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314C65">
      <w:pPr>
        <w:pStyle w:val="3959"/>
        <w:ind w:right="240" w:firstLine="522"/>
        <w:rPr>
          <w:rFonts w:hint="eastAsia"/>
          <w:b/>
          <w:bCs w:val="0"/>
          <w:color w:val="auto"/>
        </w:rPr>
      </w:pPr>
      <w:r>
        <w:rPr>
          <w:rFonts w:hint="eastAsia" w:eastAsia="楷体"/>
          <w:b/>
          <w:bCs w:val="0"/>
          <w:color w:val="auto"/>
          <w:lang w:eastAsia="zh-CN"/>
        </w:rPr>
        <w:drawing>
          <wp:anchor distT="0" distB="0" distL="114300" distR="114300" simplePos="0" relativeHeight="251667456" behindDoc="0" locked="0" layoutInCell="1" allowOverlap="1">
            <wp:simplePos x="0" y="0"/>
            <wp:positionH relativeFrom="column">
              <wp:posOffset>-527685</wp:posOffset>
            </wp:positionH>
            <wp:positionV relativeFrom="paragraph">
              <wp:posOffset>-558800</wp:posOffset>
            </wp:positionV>
            <wp:extent cx="6935470" cy="9810115"/>
            <wp:effectExtent l="0" t="0" r="17780" b="635"/>
            <wp:wrapNone/>
            <wp:docPr id="11" name="图片 11" descr="关于建设项目环境影响报告书中删除不宜公开信息的说明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关于建设项目环境影响报告书中删除不宜公开信息的说明_03"/>
                    <pic:cNvPicPr>
                      <a:picLocks noChangeAspect="1"/>
                    </pic:cNvPicPr>
                  </pic:nvPicPr>
                  <pic:blipFill>
                    <a:blip r:embed="rId16"/>
                    <a:stretch>
                      <a:fillRect/>
                    </a:stretch>
                  </pic:blipFill>
                  <pic:spPr>
                    <a:xfrm>
                      <a:off x="0" y="0"/>
                      <a:ext cx="6935470" cy="9810115"/>
                    </a:xfrm>
                    <a:prstGeom prst="rect">
                      <a:avLst/>
                    </a:prstGeom>
                  </pic:spPr>
                </pic:pic>
              </a:graphicData>
            </a:graphic>
          </wp:anchor>
        </w:drawing>
      </w:r>
    </w:p>
    <w:p w14:paraId="0AC25897">
      <w:pPr>
        <w:pStyle w:val="3959"/>
        <w:ind w:right="240" w:firstLine="522"/>
        <w:rPr>
          <w:rFonts w:hint="eastAsia" w:eastAsia="楷体"/>
          <w:b/>
          <w:bCs w:val="0"/>
          <w:color w:val="auto"/>
          <w:lang w:eastAsia="zh-CN"/>
        </w:rPr>
      </w:pPr>
      <w:r>
        <w:rPr>
          <w:rFonts w:hint="eastAsia"/>
          <w:b/>
          <w:bCs w:val="0"/>
          <w:color w:val="auto"/>
          <w:lang w:eastAsia="zh-CN"/>
        </w:rPr>
        <w:t>重庆海宇环保科技有限公司</w:t>
      </w:r>
    </w:p>
    <w:p w14:paraId="3D44C3E7">
      <w:pPr>
        <w:pStyle w:val="3959"/>
        <w:ind w:right="-2"/>
        <w:rPr>
          <w:rFonts w:hint="eastAsia" w:eastAsia="楷体"/>
          <w:b/>
          <w:bCs w:val="0"/>
          <w:color w:val="auto"/>
          <w:lang w:eastAsia="zh-CN"/>
        </w:rPr>
      </w:pPr>
      <w:bookmarkStart w:id="0" w:name="_Hlk151968559"/>
      <w:r>
        <w:rPr>
          <w:rFonts w:hint="eastAsia"/>
          <w:b/>
          <w:bCs w:val="0"/>
          <w:color w:val="auto"/>
          <w:lang w:eastAsia="zh-CN"/>
        </w:rPr>
        <w:t>页岩气开采废水处理项目</w:t>
      </w:r>
    </w:p>
    <w:bookmarkEnd w:id="0"/>
    <w:p w14:paraId="2C95A713">
      <w:pPr>
        <w:pStyle w:val="3959"/>
        <w:ind w:right="240" w:firstLine="522"/>
        <w:rPr>
          <w:b/>
          <w:bCs w:val="0"/>
          <w:color w:val="auto"/>
        </w:rPr>
      </w:pPr>
    </w:p>
    <w:p w14:paraId="2F281EEE">
      <w:pPr>
        <w:pStyle w:val="3959"/>
        <w:ind w:right="240" w:firstLine="522"/>
        <w:rPr>
          <w:rFonts w:hint="eastAsia" w:eastAsia="楷体"/>
          <w:b/>
          <w:bCs w:val="0"/>
          <w:color w:val="auto"/>
          <w:lang w:eastAsia="zh-CN"/>
        </w:rPr>
      </w:pPr>
    </w:p>
    <w:p w14:paraId="6A58B002">
      <w:pPr>
        <w:pStyle w:val="3961"/>
        <w:spacing w:before="120" w:after="120"/>
        <w:ind w:firstLine="520"/>
        <w:rPr>
          <w:color w:val="auto"/>
        </w:rPr>
      </w:pPr>
      <w:bookmarkStart w:id="1" w:name="_Hlk151968573"/>
      <w:r>
        <w:rPr>
          <w:rFonts w:hint="eastAsia"/>
          <w:color w:val="auto"/>
        </w:rPr>
        <w:t>环境影响报告书</w:t>
      </w:r>
    </w:p>
    <w:bookmarkEnd w:id="1"/>
    <w:p w14:paraId="646BD5D5">
      <w:pPr>
        <w:pStyle w:val="3959"/>
        <w:ind w:right="240" w:firstLine="520"/>
        <w:rPr>
          <w:rFonts w:hint="eastAsia" w:eastAsia="楷体"/>
          <w:color w:val="auto"/>
          <w:lang w:eastAsia="zh-CN"/>
        </w:rPr>
      </w:pPr>
      <w:r>
        <w:rPr>
          <w:rFonts w:hint="eastAsia"/>
          <w:color w:val="auto"/>
        </w:rPr>
        <w:t>（</w:t>
      </w:r>
      <w:r>
        <w:rPr>
          <w:rFonts w:hint="eastAsia"/>
          <w:color w:val="auto"/>
          <w:lang w:eastAsia="zh-CN"/>
        </w:rPr>
        <w:t>公示版</w:t>
      </w:r>
      <w:r>
        <w:rPr>
          <w:rFonts w:hint="eastAsia"/>
          <w:color w:val="auto"/>
        </w:rPr>
        <w:t>）</w:t>
      </w:r>
    </w:p>
    <w:p w14:paraId="53EF73FC">
      <w:pPr>
        <w:ind w:firstLine="803"/>
        <w:jc w:val="center"/>
        <w:rPr>
          <w:b/>
          <w:color w:val="auto"/>
          <w:sz w:val="40"/>
          <w:szCs w:val="52"/>
        </w:rPr>
      </w:pPr>
    </w:p>
    <w:p w14:paraId="0ED9EA1B">
      <w:pPr>
        <w:ind w:firstLine="803"/>
        <w:jc w:val="center"/>
        <w:rPr>
          <w:b/>
          <w:color w:val="auto"/>
          <w:sz w:val="40"/>
          <w:szCs w:val="52"/>
        </w:rPr>
      </w:pPr>
    </w:p>
    <w:p w14:paraId="2473DB1A">
      <w:pPr>
        <w:ind w:firstLine="803"/>
        <w:jc w:val="center"/>
        <w:rPr>
          <w:b/>
          <w:color w:val="auto"/>
          <w:sz w:val="40"/>
          <w:szCs w:val="52"/>
        </w:rPr>
      </w:pPr>
    </w:p>
    <w:p w14:paraId="5799F311">
      <w:pPr>
        <w:ind w:firstLine="803"/>
        <w:jc w:val="center"/>
        <w:rPr>
          <w:b/>
          <w:color w:val="auto"/>
          <w:sz w:val="40"/>
          <w:szCs w:val="52"/>
        </w:rPr>
      </w:pPr>
    </w:p>
    <w:p w14:paraId="36CB3009">
      <w:pPr>
        <w:ind w:firstLine="480"/>
        <w:rPr>
          <w:color w:val="auto"/>
        </w:rPr>
      </w:pPr>
    </w:p>
    <w:p w14:paraId="42C58778">
      <w:pPr>
        <w:ind w:firstLine="480"/>
        <w:rPr>
          <w:color w:val="auto"/>
        </w:rPr>
      </w:pPr>
    </w:p>
    <w:p w14:paraId="5C14D4AF">
      <w:pPr>
        <w:ind w:firstLine="480"/>
        <w:rPr>
          <w:color w:val="auto"/>
        </w:rPr>
      </w:pPr>
    </w:p>
    <w:p w14:paraId="1D8C2686">
      <w:pPr>
        <w:ind w:firstLine="480"/>
        <w:rPr>
          <w:color w:val="auto"/>
        </w:rPr>
      </w:pPr>
    </w:p>
    <w:p w14:paraId="00290B69">
      <w:pPr>
        <w:pStyle w:val="3963"/>
        <w:ind w:firstLine="1446" w:firstLineChars="400"/>
        <w:jc w:val="left"/>
        <w:rPr>
          <w:rFonts w:hint="eastAsia" w:eastAsia="楷体"/>
          <w:b/>
          <w:bCs/>
          <w:color w:val="auto"/>
          <w:sz w:val="36"/>
          <w:szCs w:val="32"/>
          <w:lang w:eastAsia="zh-CN"/>
        </w:rPr>
      </w:pPr>
      <w:r>
        <w:rPr>
          <w:rFonts w:hint="eastAsia"/>
          <w:b/>
          <w:bCs/>
          <w:color w:val="auto"/>
          <w:sz w:val="36"/>
          <w:szCs w:val="32"/>
        </w:rPr>
        <w:t>建设单位：</w:t>
      </w:r>
      <w:r>
        <w:rPr>
          <w:rFonts w:hint="eastAsia"/>
          <w:b/>
          <w:bCs/>
          <w:color w:val="auto"/>
          <w:sz w:val="36"/>
          <w:szCs w:val="32"/>
          <w:lang w:eastAsia="zh-CN"/>
        </w:rPr>
        <w:t>重庆海宇环保科技有限公司</w:t>
      </w:r>
    </w:p>
    <w:p w14:paraId="746B4EF8">
      <w:pPr>
        <w:pStyle w:val="3963"/>
        <w:ind w:firstLine="1446" w:firstLineChars="400"/>
        <w:jc w:val="left"/>
        <w:rPr>
          <w:b/>
          <w:bCs/>
          <w:color w:val="auto"/>
          <w:sz w:val="36"/>
          <w:szCs w:val="32"/>
        </w:rPr>
      </w:pPr>
      <w:r>
        <w:rPr>
          <w:rFonts w:hint="eastAsia"/>
          <w:b/>
          <w:bCs/>
          <w:color w:val="auto"/>
          <w:sz w:val="36"/>
          <w:szCs w:val="32"/>
        </w:rPr>
        <w:t>编制单位：重庆环科源博达环保科技有限公司</w:t>
      </w:r>
    </w:p>
    <w:p w14:paraId="17FE8423">
      <w:pPr>
        <w:pStyle w:val="3963"/>
        <w:ind w:firstLine="723"/>
        <w:rPr>
          <w:rFonts w:hint="eastAsia"/>
          <w:b/>
          <w:bCs/>
          <w:color w:val="auto"/>
          <w:sz w:val="36"/>
          <w:szCs w:val="32"/>
        </w:rPr>
        <w:sectPr>
          <w:headerReference r:id="rId7" w:type="first"/>
          <w:footerReference r:id="rId10" w:type="first"/>
          <w:headerReference r:id="rId5" w:type="default"/>
          <w:footerReference r:id="rId8" w:type="default"/>
          <w:headerReference r:id="rId6" w:type="even"/>
          <w:footerReference r:id="rId9" w:type="even"/>
          <w:type w:val="continuous"/>
          <w:pgSz w:w="11906" w:h="16838"/>
          <w:pgMar w:top="1418" w:right="1418" w:bottom="1418" w:left="1418" w:header="851" w:footer="992" w:gutter="0"/>
          <w:pgBorders>
            <w:top w:val="none" w:sz="0" w:space="0"/>
            <w:left w:val="none" w:sz="0" w:space="0"/>
            <w:bottom w:val="none" w:sz="0" w:space="0"/>
            <w:right w:val="none" w:sz="0" w:space="0"/>
          </w:pgBorders>
          <w:pgNumType w:fmt="upperRoman" w:start="1"/>
          <w:cols w:space="425" w:num="1"/>
          <w:docGrid w:linePitch="312" w:charSpace="0"/>
        </w:sectPr>
      </w:pPr>
      <w:r>
        <w:rPr>
          <w:rFonts w:hint="eastAsia"/>
          <w:b/>
          <w:bCs/>
          <w:color w:val="auto"/>
          <w:sz w:val="36"/>
          <w:szCs w:val="32"/>
        </w:rPr>
        <w:t>二〇二五年</w:t>
      </w:r>
      <w:r>
        <w:rPr>
          <w:rFonts w:hint="eastAsia"/>
          <w:b/>
          <w:bCs/>
          <w:color w:val="auto"/>
          <w:sz w:val="36"/>
          <w:szCs w:val="32"/>
          <w:lang w:eastAsia="zh-CN"/>
        </w:rPr>
        <w:t>十</w:t>
      </w:r>
      <w:r>
        <w:rPr>
          <w:rFonts w:hint="eastAsia"/>
          <w:b/>
          <w:bCs/>
          <w:color w:val="auto"/>
          <w:sz w:val="36"/>
          <w:szCs w:val="32"/>
        </w:rPr>
        <w:t>月</w:t>
      </w:r>
    </w:p>
    <w:p w14:paraId="433DFED2">
      <w:pPr>
        <w:pStyle w:val="3963"/>
        <w:ind w:firstLine="723"/>
        <w:rPr>
          <w:rFonts w:hint="eastAsia" w:eastAsia="楷体"/>
          <w:b/>
          <w:bCs/>
          <w:color w:val="auto"/>
          <w:sz w:val="36"/>
          <w:szCs w:val="32"/>
          <w:lang w:eastAsia="zh-CN"/>
        </w:rPr>
      </w:pPr>
      <w:r>
        <w:rPr>
          <w:rFonts w:hint="eastAsia" w:eastAsia="楷体"/>
          <w:b/>
          <w:bCs/>
          <w:color w:val="auto"/>
          <w:sz w:val="36"/>
          <w:szCs w:val="32"/>
          <w:lang w:eastAsia="zh-CN"/>
        </w:rPr>
        <w:drawing>
          <wp:anchor distT="0" distB="0" distL="114300" distR="114300" simplePos="0" relativeHeight="251666432" behindDoc="0" locked="0" layoutInCell="1" allowOverlap="1">
            <wp:simplePos x="0" y="0"/>
            <wp:positionH relativeFrom="column">
              <wp:posOffset>-443230</wp:posOffset>
            </wp:positionH>
            <wp:positionV relativeFrom="paragraph">
              <wp:posOffset>-523240</wp:posOffset>
            </wp:positionV>
            <wp:extent cx="6727825" cy="9513570"/>
            <wp:effectExtent l="0" t="0" r="15875" b="11430"/>
            <wp:wrapNone/>
            <wp:docPr id="15" name="图片 15" descr="20251027075125118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0251027075125118_03"/>
                    <pic:cNvPicPr>
                      <a:picLocks noChangeAspect="1"/>
                    </pic:cNvPicPr>
                  </pic:nvPicPr>
                  <pic:blipFill>
                    <a:blip r:embed="rId17"/>
                    <a:stretch>
                      <a:fillRect/>
                    </a:stretch>
                  </pic:blipFill>
                  <pic:spPr>
                    <a:xfrm>
                      <a:off x="0" y="0"/>
                      <a:ext cx="6727825" cy="9513570"/>
                    </a:xfrm>
                    <a:prstGeom prst="rect">
                      <a:avLst/>
                    </a:prstGeom>
                  </pic:spPr>
                </pic:pic>
              </a:graphicData>
            </a:graphic>
          </wp:anchor>
        </w:drawing>
      </w:r>
    </w:p>
    <w:p w14:paraId="61E9958F">
      <w:pPr>
        <w:pStyle w:val="3963"/>
        <w:ind w:firstLine="723"/>
        <w:rPr>
          <w:rFonts w:hint="eastAsia"/>
          <w:b/>
          <w:bCs/>
          <w:color w:val="auto"/>
          <w:sz w:val="36"/>
          <w:szCs w:val="32"/>
        </w:rPr>
      </w:pPr>
    </w:p>
    <w:p w14:paraId="25C81054">
      <w:pPr>
        <w:pStyle w:val="3963"/>
        <w:ind w:firstLine="723"/>
        <w:rPr>
          <w:rFonts w:hint="eastAsia"/>
          <w:b/>
          <w:bCs/>
          <w:color w:val="auto"/>
          <w:sz w:val="36"/>
          <w:szCs w:val="32"/>
        </w:rPr>
        <w:sectPr>
          <w:pgSz w:w="11906" w:h="16838"/>
          <w:pgMar w:top="1418" w:right="1418" w:bottom="1418" w:left="1418" w:header="851" w:footer="992" w:gutter="0"/>
          <w:pgBorders>
            <w:top w:val="none" w:sz="0" w:space="0"/>
            <w:left w:val="none" w:sz="0" w:space="0"/>
            <w:bottom w:val="none" w:sz="0" w:space="0"/>
            <w:right w:val="none" w:sz="0" w:space="0"/>
          </w:pgBorders>
          <w:pgNumType w:fmt="upperRoman" w:start="1"/>
          <w:cols w:space="425" w:num="1"/>
          <w:docGrid w:linePitch="312" w:charSpace="0"/>
        </w:sectPr>
      </w:pPr>
    </w:p>
    <w:p w14:paraId="4D89669D">
      <w:pPr>
        <w:pStyle w:val="3963"/>
        <w:ind w:firstLine="723"/>
        <w:rPr>
          <w:rFonts w:hint="eastAsia" w:eastAsia="楷体"/>
          <w:b/>
          <w:bCs/>
          <w:color w:val="auto"/>
          <w:sz w:val="36"/>
          <w:szCs w:val="32"/>
          <w:lang w:eastAsia="zh-CN"/>
        </w:rPr>
        <w:sectPr>
          <w:pgSz w:w="11906" w:h="16838"/>
          <w:pgMar w:top="1418" w:right="1418" w:bottom="1418" w:left="1418" w:header="851" w:footer="992" w:gutter="0"/>
          <w:pgBorders>
            <w:top w:val="none" w:sz="0" w:space="0"/>
            <w:left w:val="none" w:sz="0" w:space="0"/>
            <w:bottom w:val="none" w:sz="0" w:space="0"/>
            <w:right w:val="none" w:sz="0" w:space="0"/>
          </w:pgBorders>
          <w:pgNumType w:fmt="upperRoman" w:start="1"/>
          <w:cols w:space="425" w:num="1"/>
          <w:docGrid w:linePitch="312" w:charSpace="0"/>
        </w:sectPr>
      </w:pPr>
      <w:r>
        <w:rPr>
          <w:rFonts w:hint="eastAsia" w:eastAsia="楷体"/>
          <w:b/>
          <w:bCs/>
          <w:color w:val="auto"/>
          <w:sz w:val="36"/>
          <w:szCs w:val="32"/>
          <w:lang w:eastAsia="zh-CN"/>
        </w:rPr>
        <w:drawing>
          <wp:anchor distT="0" distB="0" distL="114300" distR="114300" simplePos="0" relativeHeight="251665408" behindDoc="0" locked="0" layoutInCell="1" allowOverlap="1">
            <wp:simplePos x="0" y="0"/>
            <wp:positionH relativeFrom="column">
              <wp:posOffset>-508000</wp:posOffset>
            </wp:positionH>
            <wp:positionV relativeFrom="paragraph">
              <wp:posOffset>-622300</wp:posOffset>
            </wp:positionV>
            <wp:extent cx="6803390" cy="9620250"/>
            <wp:effectExtent l="0" t="0" r="16510" b="0"/>
            <wp:wrapNone/>
            <wp:docPr id="14" name="图片 14" descr="20251027075125118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0251027075125118_04"/>
                    <pic:cNvPicPr>
                      <a:picLocks noChangeAspect="1"/>
                    </pic:cNvPicPr>
                  </pic:nvPicPr>
                  <pic:blipFill>
                    <a:blip r:embed="rId18"/>
                    <a:stretch>
                      <a:fillRect/>
                    </a:stretch>
                  </pic:blipFill>
                  <pic:spPr>
                    <a:xfrm>
                      <a:off x="0" y="0"/>
                      <a:ext cx="6803390" cy="9620250"/>
                    </a:xfrm>
                    <a:prstGeom prst="rect">
                      <a:avLst/>
                    </a:prstGeom>
                  </pic:spPr>
                </pic:pic>
              </a:graphicData>
            </a:graphic>
          </wp:anchor>
        </w:drawing>
      </w:r>
    </w:p>
    <w:p w14:paraId="41DE0E46">
      <w:pPr>
        <w:spacing w:line="240" w:lineRule="auto"/>
        <w:ind w:firstLine="0" w:firstLineChars="0"/>
        <w:jc w:val="center"/>
        <w:rPr>
          <w:b/>
          <w:color w:val="auto"/>
          <w:sz w:val="32"/>
          <w:szCs w:val="24"/>
        </w:rPr>
      </w:pPr>
      <w:r>
        <w:rPr>
          <w:b/>
          <w:color w:val="auto"/>
          <w:sz w:val="32"/>
          <w:szCs w:val="24"/>
        </w:rPr>
        <w:t>目录</w:t>
      </w:r>
    </w:p>
    <w:p w14:paraId="39993CD3">
      <w:pPr>
        <w:pStyle w:val="59"/>
        <w:tabs>
          <w:tab w:val="right" w:leader="dot" w:pos="9070"/>
          <w:tab w:val="clear" w:pos="960"/>
          <w:tab w:val="clear" w:pos="9060"/>
        </w:tabs>
      </w:pPr>
      <w:r>
        <w:rPr>
          <w:rFonts w:ascii="Times New Roman" w:hAnsi="Times New Roman"/>
          <w:color w:val="auto"/>
          <w:szCs w:val="24"/>
        </w:rPr>
        <w:fldChar w:fldCharType="begin"/>
      </w:r>
      <w:r>
        <w:rPr>
          <w:rFonts w:ascii="Times New Roman" w:hAnsi="Times New Roman"/>
          <w:color w:val="auto"/>
          <w:szCs w:val="24"/>
        </w:rPr>
        <w:instrText xml:space="preserve"> TOC \o "1-2" \h \z \u </w:instrText>
      </w:r>
      <w:r>
        <w:rPr>
          <w:rFonts w:ascii="Times New Roman" w:hAnsi="Times New Roman"/>
          <w:color w:val="auto"/>
          <w:szCs w:val="24"/>
        </w:rPr>
        <w:fldChar w:fldCharType="separate"/>
      </w:r>
      <w:r>
        <w:rPr>
          <w:rFonts w:ascii="Times New Roman" w:hAnsi="Times New Roman"/>
          <w:color w:val="auto"/>
          <w:szCs w:val="24"/>
        </w:rPr>
        <w:fldChar w:fldCharType="begin"/>
      </w:r>
      <w:r>
        <w:rPr>
          <w:rFonts w:ascii="Times New Roman" w:hAnsi="Times New Roman"/>
          <w:szCs w:val="24"/>
        </w:rPr>
        <w:instrText xml:space="preserve"> HYPERLINK \l _Toc28419 </w:instrText>
      </w:r>
      <w:r>
        <w:rPr>
          <w:rFonts w:ascii="Times New Roman" w:hAnsi="Times New Roman"/>
          <w:szCs w:val="24"/>
        </w:rPr>
        <w:fldChar w:fldCharType="separate"/>
      </w:r>
      <w:r>
        <w:rPr>
          <w:rFonts w:hint="eastAsia"/>
          <w:szCs w:val="24"/>
          <w:lang w:val="en-US" w:eastAsia="zh-CN"/>
        </w:rPr>
        <w:t>1</w:t>
      </w:r>
      <w:r>
        <w:rPr>
          <w:szCs w:val="24"/>
        </w:rPr>
        <w:t>概述</w:t>
      </w:r>
      <w:r>
        <w:tab/>
      </w:r>
      <w:r>
        <w:fldChar w:fldCharType="begin"/>
      </w:r>
      <w:r>
        <w:instrText xml:space="preserve"> PAGEREF _Toc28419 \h </w:instrText>
      </w:r>
      <w:r>
        <w:fldChar w:fldCharType="separate"/>
      </w:r>
      <w:r>
        <w:t>1</w:t>
      </w:r>
      <w:r>
        <w:fldChar w:fldCharType="end"/>
      </w:r>
      <w:r>
        <w:rPr>
          <w:rFonts w:ascii="Times New Roman" w:hAnsi="Times New Roman"/>
          <w:color w:val="auto"/>
          <w:szCs w:val="24"/>
        </w:rPr>
        <w:fldChar w:fldCharType="end"/>
      </w:r>
    </w:p>
    <w:p w14:paraId="7E2244FA">
      <w:pPr>
        <w:pStyle w:val="59"/>
        <w:tabs>
          <w:tab w:val="right" w:leader="dot" w:pos="9070"/>
          <w:tab w:val="clear" w:pos="960"/>
          <w:tab w:val="clear" w:pos="9060"/>
        </w:tabs>
      </w:pPr>
      <w:r>
        <w:rPr>
          <w:color w:val="auto"/>
          <w:szCs w:val="24"/>
        </w:rPr>
        <w:fldChar w:fldCharType="begin"/>
      </w:r>
      <w:r>
        <w:rPr>
          <w:szCs w:val="24"/>
        </w:rPr>
        <w:instrText xml:space="preserve"> HYPERLINK \l _Toc3042 </w:instrText>
      </w:r>
      <w:r>
        <w:rPr>
          <w:szCs w:val="24"/>
        </w:rPr>
        <w:fldChar w:fldCharType="separate"/>
      </w:r>
      <w:r>
        <w:rPr>
          <w:rFonts w:hint="eastAsia"/>
          <w:szCs w:val="24"/>
          <w:lang w:val="en-US" w:eastAsia="zh-CN"/>
        </w:rPr>
        <w:t>2</w:t>
      </w:r>
      <w:r>
        <w:rPr>
          <w:szCs w:val="24"/>
        </w:rPr>
        <w:t>总则</w:t>
      </w:r>
      <w:r>
        <w:tab/>
      </w:r>
      <w:r>
        <w:fldChar w:fldCharType="begin"/>
      </w:r>
      <w:r>
        <w:instrText xml:space="preserve"> PAGEREF _Toc3042 \h </w:instrText>
      </w:r>
      <w:r>
        <w:fldChar w:fldCharType="separate"/>
      </w:r>
      <w:r>
        <w:t>4</w:t>
      </w:r>
      <w:r>
        <w:fldChar w:fldCharType="end"/>
      </w:r>
      <w:r>
        <w:rPr>
          <w:color w:val="auto"/>
          <w:szCs w:val="24"/>
        </w:rPr>
        <w:fldChar w:fldCharType="end"/>
      </w:r>
    </w:p>
    <w:p w14:paraId="58406929">
      <w:pPr>
        <w:pStyle w:val="74"/>
        <w:tabs>
          <w:tab w:val="right" w:leader="dot" w:pos="9070"/>
          <w:tab w:val="clear" w:pos="1200"/>
          <w:tab w:val="clear" w:pos="9060"/>
        </w:tabs>
      </w:pPr>
      <w:r>
        <w:rPr>
          <w:color w:val="auto"/>
          <w:szCs w:val="24"/>
        </w:rPr>
        <w:fldChar w:fldCharType="begin"/>
      </w:r>
      <w:r>
        <w:rPr>
          <w:szCs w:val="24"/>
        </w:rPr>
        <w:instrText xml:space="preserve"> HYPERLINK \l _Toc26933 </w:instrText>
      </w:r>
      <w:r>
        <w:rPr>
          <w:szCs w:val="24"/>
        </w:rPr>
        <w:fldChar w:fldCharType="separate"/>
      </w:r>
      <w:r>
        <w:rPr>
          <w:rFonts w:hint="eastAsia"/>
          <w:lang w:eastAsia="zh-CN"/>
        </w:rPr>
        <w:t>2.1</w:t>
      </w:r>
      <w:r>
        <w:t>编制依据</w:t>
      </w:r>
      <w:r>
        <w:tab/>
      </w:r>
      <w:r>
        <w:fldChar w:fldCharType="begin"/>
      </w:r>
      <w:r>
        <w:instrText xml:space="preserve"> PAGEREF _Toc26933 \h </w:instrText>
      </w:r>
      <w:r>
        <w:fldChar w:fldCharType="separate"/>
      </w:r>
      <w:r>
        <w:t>4</w:t>
      </w:r>
      <w:r>
        <w:fldChar w:fldCharType="end"/>
      </w:r>
      <w:r>
        <w:rPr>
          <w:color w:val="auto"/>
          <w:szCs w:val="24"/>
        </w:rPr>
        <w:fldChar w:fldCharType="end"/>
      </w:r>
    </w:p>
    <w:p w14:paraId="3578CF38">
      <w:pPr>
        <w:pStyle w:val="74"/>
        <w:tabs>
          <w:tab w:val="right" w:leader="dot" w:pos="9070"/>
          <w:tab w:val="clear" w:pos="1200"/>
          <w:tab w:val="clear" w:pos="9060"/>
        </w:tabs>
      </w:pPr>
      <w:r>
        <w:rPr>
          <w:color w:val="auto"/>
          <w:szCs w:val="24"/>
        </w:rPr>
        <w:fldChar w:fldCharType="begin"/>
      </w:r>
      <w:r>
        <w:rPr>
          <w:szCs w:val="24"/>
        </w:rPr>
        <w:instrText xml:space="preserve"> HYPERLINK \l _Toc32088 </w:instrText>
      </w:r>
      <w:r>
        <w:rPr>
          <w:szCs w:val="24"/>
        </w:rPr>
        <w:fldChar w:fldCharType="separate"/>
      </w:r>
      <w:r>
        <w:rPr>
          <w:rFonts w:hint="eastAsia"/>
          <w:lang w:eastAsia="zh-CN"/>
        </w:rPr>
        <w:t>2.2</w:t>
      </w:r>
      <w:r>
        <w:t>评价目的与原则</w:t>
      </w:r>
      <w:r>
        <w:tab/>
      </w:r>
      <w:r>
        <w:fldChar w:fldCharType="begin"/>
      </w:r>
      <w:r>
        <w:instrText xml:space="preserve"> PAGEREF _Toc32088 \h </w:instrText>
      </w:r>
      <w:r>
        <w:fldChar w:fldCharType="separate"/>
      </w:r>
      <w:r>
        <w:t>7</w:t>
      </w:r>
      <w:r>
        <w:fldChar w:fldCharType="end"/>
      </w:r>
      <w:r>
        <w:rPr>
          <w:color w:val="auto"/>
          <w:szCs w:val="24"/>
        </w:rPr>
        <w:fldChar w:fldCharType="end"/>
      </w:r>
    </w:p>
    <w:p w14:paraId="0DC03E6D">
      <w:pPr>
        <w:pStyle w:val="74"/>
        <w:tabs>
          <w:tab w:val="right" w:leader="dot" w:pos="9070"/>
          <w:tab w:val="clear" w:pos="1200"/>
          <w:tab w:val="clear" w:pos="9060"/>
        </w:tabs>
      </w:pPr>
      <w:r>
        <w:rPr>
          <w:color w:val="auto"/>
          <w:szCs w:val="24"/>
        </w:rPr>
        <w:fldChar w:fldCharType="begin"/>
      </w:r>
      <w:r>
        <w:rPr>
          <w:szCs w:val="24"/>
        </w:rPr>
        <w:instrText xml:space="preserve"> HYPERLINK \l _Toc9417 </w:instrText>
      </w:r>
      <w:r>
        <w:rPr>
          <w:szCs w:val="24"/>
        </w:rPr>
        <w:fldChar w:fldCharType="separate"/>
      </w:r>
      <w:r>
        <w:rPr>
          <w:rFonts w:hint="eastAsia"/>
          <w:lang w:val="en-US" w:eastAsia="zh-CN"/>
        </w:rPr>
        <w:t>2</w:t>
      </w:r>
      <w:r>
        <w:t>.3评价总体构思</w:t>
      </w:r>
      <w:r>
        <w:tab/>
      </w:r>
      <w:r>
        <w:fldChar w:fldCharType="begin"/>
      </w:r>
      <w:r>
        <w:instrText xml:space="preserve"> PAGEREF _Toc9417 \h </w:instrText>
      </w:r>
      <w:r>
        <w:fldChar w:fldCharType="separate"/>
      </w:r>
      <w:r>
        <w:t>8</w:t>
      </w:r>
      <w:r>
        <w:fldChar w:fldCharType="end"/>
      </w:r>
      <w:r>
        <w:rPr>
          <w:color w:val="auto"/>
          <w:szCs w:val="24"/>
        </w:rPr>
        <w:fldChar w:fldCharType="end"/>
      </w:r>
    </w:p>
    <w:p w14:paraId="5671FA10">
      <w:pPr>
        <w:pStyle w:val="74"/>
        <w:tabs>
          <w:tab w:val="right" w:leader="dot" w:pos="9070"/>
          <w:tab w:val="clear" w:pos="1200"/>
          <w:tab w:val="clear" w:pos="9060"/>
        </w:tabs>
      </w:pPr>
      <w:r>
        <w:rPr>
          <w:color w:val="auto"/>
          <w:szCs w:val="24"/>
        </w:rPr>
        <w:fldChar w:fldCharType="begin"/>
      </w:r>
      <w:r>
        <w:rPr>
          <w:szCs w:val="24"/>
        </w:rPr>
        <w:instrText xml:space="preserve"> HYPERLINK \l _Toc2647 </w:instrText>
      </w:r>
      <w:r>
        <w:rPr>
          <w:szCs w:val="24"/>
        </w:rPr>
        <w:fldChar w:fldCharType="separate"/>
      </w:r>
      <w:r>
        <w:rPr>
          <w:rFonts w:hint="eastAsia"/>
          <w:lang w:val="en-US" w:eastAsia="zh-CN"/>
        </w:rPr>
        <w:t>2</w:t>
      </w:r>
      <w:r>
        <w:t>.4评价方法</w:t>
      </w:r>
      <w:r>
        <w:tab/>
      </w:r>
      <w:r>
        <w:fldChar w:fldCharType="begin"/>
      </w:r>
      <w:r>
        <w:instrText xml:space="preserve"> PAGEREF _Toc2647 \h </w:instrText>
      </w:r>
      <w:r>
        <w:fldChar w:fldCharType="separate"/>
      </w:r>
      <w:r>
        <w:t>8</w:t>
      </w:r>
      <w:r>
        <w:fldChar w:fldCharType="end"/>
      </w:r>
      <w:r>
        <w:rPr>
          <w:color w:val="auto"/>
          <w:szCs w:val="24"/>
        </w:rPr>
        <w:fldChar w:fldCharType="end"/>
      </w:r>
    </w:p>
    <w:p w14:paraId="2A888CC7">
      <w:pPr>
        <w:pStyle w:val="74"/>
        <w:tabs>
          <w:tab w:val="right" w:leader="dot" w:pos="9070"/>
          <w:tab w:val="clear" w:pos="1200"/>
          <w:tab w:val="clear" w:pos="9060"/>
        </w:tabs>
      </w:pPr>
      <w:r>
        <w:rPr>
          <w:color w:val="auto"/>
          <w:szCs w:val="24"/>
        </w:rPr>
        <w:fldChar w:fldCharType="begin"/>
      </w:r>
      <w:r>
        <w:rPr>
          <w:szCs w:val="24"/>
        </w:rPr>
        <w:instrText xml:space="preserve"> HYPERLINK \l _Toc28608 </w:instrText>
      </w:r>
      <w:r>
        <w:rPr>
          <w:szCs w:val="24"/>
        </w:rPr>
        <w:fldChar w:fldCharType="separate"/>
      </w:r>
      <w:r>
        <w:rPr>
          <w:rFonts w:hint="eastAsia"/>
          <w:lang w:val="en-US" w:eastAsia="zh-CN"/>
        </w:rPr>
        <w:t>2</w:t>
      </w:r>
      <w:r>
        <w:t>.4评价</w:t>
      </w:r>
      <w:r>
        <w:rPr>
          <w:rFonts w:hint="eastAsia"/>
        </w:rPr>
        <w:t>内容、重点及评价时段</w:t>
      </w:r>
      <w:r>
        <w:tab/>
      </w:r>
      <w:r>
        <w:fldChar w:fldCharType="begin"/>
      </w:r>
      <w:r>
        <w:instrText xml:space="preserve"> PAGEREF _Toc28608 \h </w:instrText>
      </w:r>
      <w:r>
        <w:fldChar w:fldCharType="separate"/>
      </w:r>
      <w:r>
        <w:t>8</w:t>
      </w:r>
      <w:r>
        <w:fldChar w:fldCharType="end"/>
      </w:r>
      <w:r>
        <w:rPr>
          <w:color w:val="auto"/>
          <w:szCs w:val="24"/>
        </w:rPr>
        <w:fldChar w:fldCharType="end"/>
      </w:r>
    </w:p>
    <w:p w14:paraId="05AFC9FA">
      <w:pPr>
        <w:pStyle w:val="74"/>
        <w:tabs>
          <w:tab w:val="right" w:leader="dot" w:pos="9070"/>
          <w:tab w:val="clear" w:pos="1200"/>
          <w:tab w:val="clear" w:pos="9060"/>
        </w:tabs>
      </w:pPr>
      <w:r>
        <w:rPr>
          <w:color w:val="auto"/>
          <w:szCs w:val="24"/>
        </w:rPr>
        <w:fldChar w:fldCharType="begin"/>
      </w:r>
      <w:r>
        <w:rPr>
          <w:szCs w:val="24"/>
        </w:rPr>
        <w:instrText xml:space="preserve"> HYPERLINK \l _Toc16440 </w:instrText>
      </w:r>
      <w:r>
        <w:rPr>
          <w:szCs w:val="24"/>
        </w:rPr>
        <w:fldChar w:fldCharType="separate"/>
      </w:r>
      <w:r>
        <w:rPr>
          <w:rFonts w:hint="eastAsia"/>
          <w:lang w:val="en-US" w:eastAsia="zh-CN"/>
        </w:rPr>
        <w:t>2.5</w:t>
      </w:r>
      <w:r>
        <w:t>环境影响识别</w:t>
      </w:r>
      <w:r>
        <w:tab/>
      </w:r>
      <w:r>
        <w:fldChar w:fldCharType="begin"/>
      </w:r>
      <w:r>
        <w:instrText xml:space="preserve"> PAGEREF _Toc16440 \h </w:instrText>
      </w:r>
      <w:r>
        <w:fldChar w:fldCharType="separate"/>
      </w:r>
      <w:r>
        <w:t>9</w:t>
      </w:r>
      <w:r>
        <w:fldChar w:fldCharType="end"/>
      </w:r>
      <w:r>
        <w:rPr>
          <w:color w:val="auto"/>
          <w:szCs w:val="24"/>
        </w:rPr>
        <w:fldChar w:fldCharType="end"/>
      </w:r>
    </w:p>
    <w:p w14:paraId="20D03E50">
      <w:pPr>
        <w:pStyle w:val="74"/>
        <w:tabs>
          <w:tab w:val="right" w:leader="dot" w:pos="9070"/>
          <w:tab w:val="clear" w:pos="1200"/>
          <w:tab w:val="clear" w:pos="9060"/>
        </w:tabs>
      </w:pPr>
      <w:r>
        <w:rPr>
          <w:color w:val="auto"/>
          <w:szCs w:val="24"/>
        </w:rPr>
        <w:fldChar w:fldCharType="begin"/>
      </w:r>
      <w:r>
        <w:rPr>
          <w:szCs w:val="24"/>
        </w:rPr>
        <w:instrText xml:space="preserve"> HYPERLINK \l _Toc17382 </w:instrText>
      </w:r>
      <w:r>
        <w:rPr>
          <w:szCs w:val="24"/>
        </w:rPr>
        <w:fldChar w:fldCharType="separate"/>
      </w:r>
      <w:r>
        <w:rPr>
          <w:rFonts w:hint="eastAsia"/>
          <w:lang w:eastAsia="zh-CN"/>
        </w:rPr>
        <w:t>2.6</w:t>
      </w:r>
      <w:r>
        <w:t>评价标准</w:t>
      </w:r>
      <w:r>
        <w:tab/>
      </w:r>
      <w:r>
        <w:fldChar w:fldCharType="begin"/>
      </w:r>
      <w:r>
        <w:instrText xml:space="preserve"> PAGEREF _Toc17382 \h </w:instrText>
      </w:r>
      <w:r>
        <w:fldChar w:fldCharType="separate"/>
      </w:r>
      <w:r>
        <w:t>11</w:t>
      </w:r>
      <w:r>
        <w:fldChar w:fldCharType="end"/>
      </w:r>
      <w:r>
        <w:rPr>
          <w:color w:val="auto"/>
          <w:szCs w:val="24"/>
        </w:rPr>
        <w:fldChar w:fldCharType="end"/>
      </w:r>
    </w:p>
    <w:p w14:paraId="3F9080E7">
      <w:pPr>
        <w:pStyle w:val="74"/>
        <w:tabs>
          <w:tab w:val="right" w:leader="dot" w:pos="9070"/>
          <w:tab w:val="clear" w:pos="1200"/>
          <w:tab w:val="clear" w:pos="9060"/>
        </w:tabs>
      </w:pPr>
      <w:r>
        <w:rPr>
          <w:color w:val="auto"/>
          <w:szCs w:val="24"/>
        </w:rPr>
        <w:fldChar w:fldCharType="begin"/>
      </w:r>
      <w:r>
        <w:rPr>
          <w:szCs w:val="24"/>
        </w:rPr>
        <w:instrText xml:space="preserve"> HYPERLINK \l _Toc13327 </w:instrText>
      </w:r>
      <w:r>
        <w:rPr>
          <w:szCs w:val="24"/>
        </w:rPr>
        <w:fldChar w:fldCharType="separate"/>
      </w:r>
      <w:r>
        <w:rPr>
          <w:rFonts w:hint="eastAsia"/>
          <w:lang w:eastAsia="zh-CN"/>
        </w:rPr>
        <w:t>2.7</w:t>
      </w:r>
      <w:r>
        <w:t>评价等级</w:t>
      </w:r>
      <w:r>
        <w:tab/>
      </w:r>
      <w:r>
        <w:fldChar w:fldCharType="begin"/>
      </w:r>
      <w:r>
        <w:instrText xml:space="preserve"> PAGEREF _Toc13327 \h </w:instrText>
      </w:r>
      <w:r>
        <w:fldChar w:fldCharType="separate"/>
      </w:r>
      <w:r>
        <w:t>17</w:t>
      </w:r>
      <w:r>
        <w:fldChar w:fldCharType="end"/>
      </w:r>
      <w:r>
        <w:rPr>
          <w:color w:val="auto"/>
          <w:szCs w:val="24"/>
        </w:rPr>
        <w:fldChar w:fldCharType="end"/>
      </w:r>
    </w:p>
    <w:p w14:paraId="50B5FDC9">
      <w:pPr>
        <w:pStyle w:val="74"/>
        <w:tabs>
          <w:tab w:val="right" w:leader="dot" w:pos="9070"/>
          <w:tab w:val="clear" w:pos="1200"/>
          <w:tab w:val="clear" w:pos="9060"/>
        </w:tabs>
      </w:pPr>
      <w:r>
        <w:rPr>
          <w:color w:val="auto"/>
          <w:szCs w:val="24"/>
        </w:rPr>
        <w:fldChar w:fldCharType="begin"/>
      </w:r>
      <w:r>
        <w:rPr>
          <w:szCs w:val="24"/>
        </w:rPr>
        <w:instrText xml:space="preserve"> HYPERLINK \l _Toc8871 </w:instrText>
      </w:r>
      <w:r>
        <w:rPr>
          <w:szCs w:val="24"/>
        </w:rPr>
        <w:fldChar w:fldCharType="separate"/>
      </w:r>
      <w:r>
        <w:rPr>
          <w:rFonts w:hint="eastAsia"/>
          <w:lang w:val="en-US" w:eastAsia="zh-CN"/>
        </w:rPr>
        <w:t>2.8</w:t>
      </w:r>
      <w:r>
        <w:t>评价范围</w:t>
      </w:r>
      <w:r>
        <w:tab/>
      </w:r>
      <w:r>
        <w:fldChar w:fldCharType="begin"/>
      </w:r>
      <w:r>
        <w:instrText xml:space="preserve"> PAGEREF _Toc8871 \h </w:instrText>
      </w:r>
      <w:r>
        <w:fldChar w:fldCharType="separate"/>
      </w:r>
      <w:r>
        <w:t>21</w:t>
      </w:r>
      <w:r>
        <w:fldChar w:fldCharType="end"/>
      </w:r>
      <w:r>
        <w:rPr>
          <w:color w:val="auto"/>
          <w:szCs w:val="24"/>
        </w:rPr>
        <w:fldChar w:fldCharType="end"/>
      </w:r>
    </w:p>
    <w:p w14:paraId="3542913E">
      <w:pPr>
        <w:pStyle w:val="74"/>
        <w:tabs>
          <w:tab w:val="right" w:leader="dot" w:pos="9070"/>
          <w:tab w:val="clear" w:pos="1200"/>
          <w:tab w:val="clear" w:pos="9060"/>
        </w:tabs>
      </w:pPr>
      <w:r>
        <w:rPr>
          <w:color w:val="auto"/>
          <w:szCs w:val="24"/>
        </w:rPr>
        <w:fldChar w:fldCharType="begin"/>
      </w:r>
      <w:r>
        <w:rPr>
          <w:szCs w:val="24"/>
        </w:rPr>
        <w:instrText xml:space="preserve"> HYPERLINK \l _Toc18326 </w:instrText>
      </w:r>
      <w:r>
        <w:rPr>
          <w:szCs w:val="24"/>
        </w:rPr>
        <w:fldChar w:fldCharType="separate"/>
      </w:r>
      <w:r>
        <w:rPr>
          <w:rFonts w:hint="eastAsia"/>
          <w:szCs w:val="24"/>
          <w:lang w:eastAsia="zh-CN"/>
        </w:rPr>
        <w:t>2.9</w:t>
      </w:r>
      <w:r>
        <w:rPr>
          <w:szCs w:val="24"/>
        </w:rPr>
        <w:t>产业政策及相关规划</w:t>
      </w:r>
      <w:r>
        <w:rPr>
          <w:rFonts w:hint="eastAsia"/>
          <w:szCs w:val="24"/>
        </w:rPr>
        <w:t>符合性分析</w:t>
      </w:r>
      <w:r>
        <w:tab/>
      </w:r>
      <w:r>
        <w:fldChar w:fldCharType="begin"/>
      </w:r>
      <w:r>
        <w:instrText xml:space="preserve"> PAGEREF _Toc18326 \h </w:instrText>
      </w:r>
      <w:r>
        <w:fldChar w:fldCharType="separate"/>
      </w:r>
      <w:r>
        <w:t>22</w:t>
      </w:r>
      <w:r>
        <w:fldChar w:fldCharType="end"/>
      </w:r>
      <w:r>
        <w:rPr>
          <w:color w:val="auto"/>
          <w:szCs w:val="24"/>
        </w:rPr>
        <w:fldChar w:fldCharType="end"/>
      </w:r>
    </w:p>
    <w:p w14:paraId="04B2452F">
      <w:pPr>
        <w:pStyle w:val="74"/>
        <w:tabs>
          <w:tab w:val="right" w:leader="dot" w:pos="9070"/>
          <w:tab w:val="clear" w:pos="1200"/>
          <w:tab w:val="clear" w:pos="9060"/>
        </w:tabs>
      </w:pPr>
      <w:r>
        <w:rPr>
          <w:color w:val="auto"/>
          <w:szCs w:val="24"/>
        </w:rPr>
        <w:fldChar w:fldCharType="begin"/>
      </w:r>
      <w:r>
        <w:rPr>
          <w:szCs w:val="24"/>
        </w:rPr>
        <w:instrText xml:space="preserve"> HYPERLINK \l _Toc15570 </w:instrText>
      </w:r>
      <w:r>
        <w:rPr>
          <w:szCs w:val="24"/>
        </w:rPr>
        <w:fldChar w:fldCharType="separate"/>
      </w:r>
      <w:r>
        <w:rPr>
          <w:rFonts w:hint="eastAsia"/>
          <w:szCs w:val="24"/>
          <w:lang w:eastAsia="zh-CN"/>
        </w:rPr>
        <w:t>2.10</w:t>
      </w:r>
      <w:r>
        <w:rPr>
          <w:szCs w:val="24"/>
        </w:rPr>
        <w:t>环境</w:t>
      </w:r>
      <w:r>
        <w:rPr>
          <w:rFonts w:hint="eastAsia"/>
          <w:szCs w:val="24"/>
        </w:rPr>
        <w:t>保护目标</w:t>
      </w:r>
      <w:r>
        <w:tab/>
      </w:r>
      <w:r>
        <w:fldChar w:fldCharType="begin"/>
      </w:r>
      <w:r>
        <w:instrText xml:space="preserve"> PAGEREF _Toc15570 \h </w:instrText>
      </w:r>
      <w:r>
        <w:fldChar w:fldCharType="separate"/>
      </w:r>
      <w:r>
        <w:t>40</w:t>
      </w:r>
      <w:r>
        <w:fldChar w:fldCharType="end"/>
      </w:r>
      <w:r>
        <w:rPr>
          <w:color w:val="auto"/>
          <w:szCs w:val="24"/>
        </w:rPr>
        <w:fldChar w:fldCharType="end"/>
      </w:r>
    </w:p>
    <w:p w14:paraId="19E5EFFF">
      <w:pPr>
        <w:pStyle w:val="59"/>
        <w:tabs>
          <w:tab w:val="right" w:leader="dot" w:pos="9070"/>
          <w:tab w:val="clear" w:pos="960"/>
          <w:tab w:val="clear" w:pos="9060"/>
        </w:tabs>
      </w:pPr>
      <w:r>
        <w:rPr>
          <w:color w:val="auto"/>
          <w:szCs w:val="24"/>
        </w:rPr>
        <w:fldChar w:fldCharType="begin"/>
      </w:r>
      <w:r>
        <w:rPr>
          <w:szCs w:val="24"/>
        </w:rPr>
        <w:instrText xml:space="preserve"> HYPERLINK \l _Toc20084 </w:instrText>
      </w:r>
      <w:r>
        <w:rPr>
          <w:szCs w:val="24"/>
        </w:rPr>
        <w:fldChar w:fldCharType="separate"/>
      </w:r>
      <w:r>
        <w:rPr>
          <w:rFonts w:hint="eastAsia"/>
          <w:szCs w:val="24"/>
        </w:rPr>
        <w:t>3</w:t>
      </w:r>
      <w:r>
        <w:rPr>
          <w:szCs w:val="24"/>
        </w:rPr>
        <w:t>项目概况</w:t>
      </w:r>
      <w:r>
        <w:rPr>
          <w:rFonts w:hint="eastAsia"/>
          <w:szCs w:val="24"/>
        </w:rPr>
        <w:t>及工程分析</w:t>
      </w:r>
      <w:r>
        <w:tab/>
      </w:r>
      <w:r>
        <w:fldChar w:fldCharType="begin"/>
      </w:r>
      <w:r>
        <w:instrText xml:space="preserve"> PAGEREF _Toc20084 \h </w:instrText>
      </w:r>
      <w:r>
        <w:fldChar w:fldCharType="separate"/>
      </w:r>
      <w:r>
        <w:t>45</w:t>
      </w:r>
      <w:r>
        <w:fldChar w:fldCharType="end"/>
      </w:r>
      <w:r>
        <w:rPr>
          <w:color w:val="auto"/>
          <w:szCs w:val="24"/>
        </w:rPr>
        <w:fldChar w:fldCharType="end"/>
      </w:r>
    </w:p>
    <w:p w14:paraId="4B2D323B">
      <w:pPr>
        <w:pStyle w:val="74"/>
        <w:tabs>
          <w:tab w:val="right" w:leader="dot" w:pos="9070"/>
          <w:tab w:val="clear" w:pos="1200"/>
          <w:tab w:val="clear" w:pos="9060"/>
        </w:tabs>
      </w:pPr>
      <w:r>
        <w:rPr>
          <w:color w:val="auto"/>
          <w:szCs w:val="24"/>
        </w:rPr>
        <w:fldChar w:fldCharType="begin"/>
      </w:r>
      <w:r>
        <w:rPr>
          <w:szCs w:val="24"/>
        </w:rPr>
        <w:instrText xml:space="preserve"> HYPERLINK \l _Toc11580 </w:instrText>
      </w:r>
      <w:r>
        <w:rPr>
          <w:szCs w:val="24"/>
        </w:rPr>
        <w:fldChar w:fldCharType="separate"/>
      </w:r>
      <w:r>
        <w:rPr>
          <w:szCs w:val="24"/>
        </w:rPr>
        <w:t>3.1拟建项目基本情况</w:t>
      </w:r>
      <w:r>
        <w:tab/>
      </w:r>
      <w:r>
        <w:fldChar w:fldCharType="begin"/>
      </w:r>
      <w:r>
        <w:instrText xml:space="preserve"> PAGEREF _Toc11580 \h </w:instrText>
      </w:r>
      <w:r>
        <w:fldChar w:fldCharType="separate"/>
      </w:r>
      <w:r>
        <w:t>45</w:t>
      </w:r>
      <w:r>
        <w:fldChar w:fldCharType="end"/>
      </w:r>
      <w:r>
        <w:rPr>
          <w:color w:val="auto"/>
          <w:szCs w:val="24"/>
        </w:rPr>
        <w:fldChar w:fldCharType="end"/>
      </w:r>
    </w:p>
    <w:p w14:paraId="5288166C">
      <w:pPr>
        <w:pStyle w:val="74"/>
        <w:tabs>
          <w:tab w:val="right" w:leader="dot" w:pos="9070"/>
          <w:tab w:val="clear" w:pos="1200"/>
          <w:tab w:val="clear" w:pos="9060"/>
        </w:tabs>
      </w:pPr>
      <w:r>
        <w:rPr>
          <w:color w:val="auto"/>
          <w:szCs w:val="24"/>
        </w:rPr>
        <w:fldChar w:fldCharType="begin"/>
      </w:r>
      <w:r>
        <w:rPr>
          <w:szCs w:val="24"/>
        </w:rPr>
        <w:instrText xml:space="preserve"> HYPERLINK \l _Toc24267 </w:instrText>
      </w:r>
      <w:r>
        <w:rPr>
          <w:szCs w:val="24"/>
        </w:rPr>
        <w:fldChar w:fldCharType="separate"/>
      </w:r>
      <w:r>
        <w:rPr>
          <w:rFonts w:hint="eastAsia"/>
        </w:rPr>
        <w:t>3.2</w:t>
      </w:r>
      <w:r>
        <w:t>污水量估算</w:t>
      </w:r>
      <w:r>
        <w:tab/>
      </w:r>
      <w:r>
        <w:fldChar w:fldCharType="begin"/>
      </w:r>
      <w:r>
        <w:instrText xml:space="preserve"> PAGEREF _Toc24267 \h </w:instrText>
      </w:r>
      <w:r>
        <w:fldChar w:fldCharType="separate"/>
      </w:r>
      <w:r>
        <w:t>45</w:t>
      </w:r>
      <w:r>
        <w:fldChar w:fldCharType="end"/>
      </w:r>
      <w:r>
        <w:rPr>
          <w:color w:val="auto"/>
          <w:szCs w:val="24"/>
        </w:rPr>
        <w:fldChar w:fldCharType="end"/>
      </w:r>
    </w:p>
    <w:p w14:paraId="2924F4D5">
      <w:pPr>
        <w:pStyle w:val="74"/>
        <w:tabs>
          <w:tab w:val="right" w:leader="dot" w:pos="9070"/>
          <w:tab w:val="clear" w:pos="1200"/>
          <w:tab w:val="clear" w:pos="9060"/>
        </w:tabs>
      </w:pPr>
      <w:r>
        <w:rPr>
          <w:color w:val="auto"/>
          <w:szCs w:val="24"/>
        </w:rPr>
        <w:fldChar w:fldCharType="begin"/>
      </w:r>
      <w:r>
        <w:rPr>
          <w:szCs w:val="24"/>
        </w:rPr>
        <w:instrText xml:space="preserve"> HYPERLINK \l _Toc1433 </w:instrText>
      </w:r>
      <w:r>
        <w:rPr>
          <w:szCs w:val="24"/>
        </w:rPr>
        <w:fldChar w:fldCharType="separate"/>
      </w:r>
      <w:r>
        <w:rPr>
          <w:rFonts w:hint="eastAsia"/>
        </w:rPr>
        <w:t>3.3设计</w:t>
      </w:r>
      <w:r>
        <w:t>进出水水质</w:t>
      </w:r>
      <w:r>
        <w:tab/>
      </w:r>
      <w:r>
        <w:fldChar w:fldCharType="begin"/>
      </w:r>
      <w:r>
        <w:instrText xml:space="preserve"> PAGEREF _Toc1433 \h </w:instrText>
      </w:r>
      <w:r>
        <w:fldChar w:fldCharType="separate"/>
      </w:r>
      <w:r>
        <w:t>46</w:t>
      </w:r>
      <w:r>
        <w:fldChar w:fldCharType="end"/>
      </w:r>
      <w:r>
        <w:rPr>
          <w:color w:val="auto"/>
          <w:szCs w:val="24"/>
        </w:rPr>
        <w:fldChar w:fldCharType="end"/>
      </w:r>
    </w:p>
    <w:p w14:paraId="4E6F4AFC">
      <w:pPr>
        <w:pStyle w:val="74"/>
        <w:tabs>
          <w:tab w:val="right" w:leader="dot" w:pos="9070"/>
          <w:tab w:val="clear" w:pos="1200"/>
          <w:tab w:val="clear" w:pos="9060"/>
        </w:tabs>
      </w:pPr>
      <w:r>
        <w:rPr>
          <w:color w:val="auto"/>
          <w:szCs w:val="24"/>
        </w:rPr>
        <w:fldChar w:fldCharType="begin"/>
      </w:r>
      <w:r>
        <w:rPr>
          <w:szCs w:val="24"/>
        </w:rPr>
        <w:instrText xml:space="preserve"> HYPERLINK \l _Toc12083 </w:instrText>
      </w:r>
      <w:r>
        <w:rPr>
          <w:szCs w:val="24"/>
        </w:rPr>
        <w:fldChar w:fldCharType="separate"/>
      </w:r>
      <w:r>
        <w:rPr>
          <w:rFonts w:hint="eastAsia"/>
        </w:rPr>
        <w:t>3.4</w:t>
      </w:r>
      <w:r>
        <w:t>建设内容及项目组成</w:t>
      </w:r>
      <w:r>
        <w:tab/>
      </w:r>
      <w:r>
        <w:fldChar w:fldCharType="begin"/>
      </w:r>
      <w:r>
        <w:instrText xml:space="preserve"> PAGEREF _Toc12083 \h </w:instrText>
      </w:r>
      <w:r>
        <w:fldChar w:fldCharType="separate"/>
      </w:r>
      <w:r>
        <w:t>51</w:t>
      </w:r>
      <w:r>
        <w:fldChar w:fldCharType="end"/>
      </w:r>
      <w:r>
        <w:rPr>
          <w:color w:val="auto"/>
          <w:szCs w:val="24"/>
        </w:rPr>
        <w:fldChar w:fldCharType="end"/>
      </w:r>
    </w:p>
    <w:p w14:paraId="20E89F88">
      <w:pPr>
        <w:pStyle w:val="74"/>
        <w:tabs>
          <w:tab w:val="right" w:leader="dot" w:pos="9070"/>
          <w:tab w:val="clear" w:pos="1200"/>
          <w:tab w:val="clear" w:pos="9060"/>
        </w:tabs>
      </w:pPr>
      <w:r>
        <w:rPr>
          <w:color w:val="auto"/>
          <w:szCs w:val="24"/>
        </w:rPr>
        <w:fldChar w:fldCharType="begin"/>
      </w:r>
      <w:r>
        <w:rPr>
          <w:szCs w:val="24"/>
        </w:rPr>
        <w:instrText xml:space="preserve"> HYPERLINK \l _Toc9993 </w:instrText>
      </w:r>
      <w:r>
        <w:rPr>
          <w:szCs w:val="24"/>
        </w:rPr>
        <w:fldChar w:fldCharType="separate"/>
      </w:r>
      <w:r>
        <w:rPr>
          <w:rFonts w:hint="eastAsia"/>
        </w:rPr>
        <w:t>3.5污水处理厂</w:t>
      </w:r>
      <w:r>
        <w:t>公</w:t>
      </w:r>
      <w:r>
        <w:rPr>
          <w:rFonts w:hint="eastAsia"/>
        </w:rPr>
        <w:t>辅</w:t>
      </w:r>
      <w:r>
        <w:t>工程</w:t>
      </w:r>
      <w:r>
        <w:tab/>
      </w:r>
      <w:r>
        <w:fldChar w:fldCharType="begin"/>
      </w:r>
      <w:r>
        <w:instrText xml:space="preserve"> PAGEREF _Toc9993 \h </w:instrText>
      </w:r>
      <w:r>
        <w:fldChar w:fldCharType="separate"/>
      </w:r>
      <w:r>
        <w:t>54</w:t>
      </w:r>
      <w:r>
        <w:fldChar w:fldCharType="end"/>
      </w:r>
      <w:r>
        <w:rPr>
          <w:color w:val="auto"/>
          <w:szCs w:val="24"/>
        </w:rPr>
        <w:fldChar w:fldCharType="end"/>
      </w:r>
    </w:p>
    <w:p w14:paraId="398E13F7">
      <w:pPr>
        <w:pStyle w:val="74"/>
        <w:tabs>
          <w:tab w:val="right" w:leader="dot" w:pos="9070"/>
          <w:tab w:val="clear" w:pos="1200"/>
          <w:tab w:val="clear" w:pos="9060"/>
        </w:tabs>
      </w:pPr>
      <w:r>
        <w:rPr>
          <w:color w:val="auto"/>
          <w:szCs w:val="24"/>
        </w:rPr>
        <w:fldChar w:fldCharType="begin"/>
      </w:r>
      <w:r>
        <w:rPr>
          <w:szCs w:val="24"/>
        </w:rPr>
        <w:instrText xml:space="preserve"> HYPERLINK \l _Toc13706 </w:instrText>
      </w:r>
      <w:r>
        <w:rPr>
          <w:szCs w:val="24"/>
        </w:rPr>
        <w:fldChar w:fldCharType="separate"/>
      </w:r>
      <w:r>
        <w:t>3.6总平面布置及合理性分析</w:t>
      </w:r>
      <w:r>
        <w:tab/>
      </w:r>
      <w:r>
        <w:fldChar w:fldCharType="begin"/>
      </w:r>
      <w:r>
        <w:instrText xml:space="preserve"> PAGEREF _Toc13706 \h </w:instrText>
      </w:r>
      <w:r>
        <w:fldChar w:fldCharType="separate"/>
      </w:r>
      <w:r>
        <w:t>55</w:t>
      </w:r>
      <w:r>
        <w:fldChar w:fldCharType="end"/>
      </w:r>
      <w:r>
        <w:rPr>
          <w:color w:val="auto"/>
          <w:szCs w:val="24"/>
        </w:rPr>
        <w:fldChar w:fldCharType="end"/>
      </w:r>
    </w:p>
    <w:p w14:paraId="16DB09E4">
      <w:pPr>
        <w:pStyle w:val="74"/>
        <w:tabs>
          <w:tab w:val="right" w:leader="dot" w:pos="9070"/>
          <w:tab w:val="clear" w:pos="1200"/>
          <w:tab w:val="clear" w:pos="9060"/>
        </w:tabs>
      </w:pPr>
      <w:r>
        <w:rPr>
          <w:color w:val="auto"/>
          <w:szCs w:val="24"/>
        </w:rPr>
        <w:fldChar w:fldCharType="begin"/>
      </w:r>
      <w:r>
        <w:rPr>
          <w:szCs w:val="24"/>
        </w:rPr>
        <w:instrText xml:space="preserve"> HYPERLINK \l _Toc27694 </w:instrText>
      </w:r>
      <w:r>
        <w:rPr>
          <w:szCs w:val="24"/>
        </w:rPr>
        <w:fldChar w:fldCharType="separate"/>
      </w:r>
      <w:r>
        <w:t>3.7原辅材料及动力消耗</w:t>
      </w:r>
      <w:r>
        <w:tab/>
      </w:r>
      <w:r>
        <w:fldChar w:fldCharType="begin"/>
      </w:r>
      <w:r>
        <w:instrText xml:space="preserve"> PAGEREF _Toc27694 \h </w:instrText>
      </w:r>
      <w:r>
        <w:fldChar w:fldCharType="separate"/>
      </w:r>
      <w:r>
        <w:t>55</w:t>
      </w:r>
      <w:r>
        <w:fldChar w:fldCharType="end"/>
      </w:r>
      <w:r>
        <w:rPr>
          <w:color w:val="auto"/>
          <w:szCs w:val="24"/>
        </w:rPr>
        <w:fldChar w:fldCharType="end"/>
      </w:r>
    </w:p>
    <w:p w14:paraId="2299D9E7">
      <w:pPr>
        <w:pStyle w:val="74"/>
        <w:tabs>
          <w:tab w:val="right" w:leader="dot" w:pos="9070"/>
          <w:tab w:val="clear" w:pos="1200"/>
          <w:tab w:val="clear" w:pos="9060"/>
        </w:tabs>
      </w:pPr>
      <w:r>
        <w:rPr>
          <w:color w:val="auto"/>
          <w:szCs w:val="24"/>
        </w:rPr>
        <w:fldChar w:fldCharType="begin"/>
      </w:r>
      <w:r>
        <w:rPr>
          <w:szCs w:val="24"/>
        </w:rPr>
        <w:instrText xml:space="preserve"> HYPERLINK \l _Toc5439 </w:instrText>
      </w:r>
      <w:r>
        <w:rPr>
          <w:szCs w:val="24"/>
        </w:rPr>
        <w:fldChar w:fldCharType="separate"/>
      </w:r>
      <w:r>
        <w:t>3.8</w:t>
      </w:r>
      <w:r>
        <w:rPr>
          <w:rFonts w:hint="eastAsia"/>
        </w:rPr>
        <w:t>水平衡</w:t>
      </w:r>
      <w:r>
        <w:tab/>
      </w:r>
      <w:r>
        <w:fldChar w:fldCharType="begin"/>
      </w:r>
      <w:r>
        <w:instrText xml:space="preserve"> PAGEREF _Toc5439 \h </w:instrText>
      </w:r>
      <w:r>
        <w:fldChar w:fldCharType="separate"/>
      </w:r>
      <w:r>
        <w:t>55</w:t>
      </w:r>
      <w:r>
        <w:fldChar w:fldCharType="end"/>
      </w:r>
      <w:r>
        <w:rPr>
          <w:color w:val="auto"/>
          <w:szCs w:val="24"/>
        </w:rPr>
        <w:fldChar w:fldCharType="end"/>
      </w:r>
    </w:p>
    <w:p w14:paraId="6C28F375">
      <w:pPr>
        <w:pStyle w:val="74"/>
        <w:tabs>
          <w:tab w:val="right" w:leader="dot" w:pos="9070"/>
          <w:tab w:val="clear" w:pos="1200"/>
          <w:tab w:val="clear" w:pos="9060"/>
        </w:tabs>
      </w:pPr>
      <w:r>
        <w:rPr>
          <w:color w:val="auto"/>
          <w:szCs w:val="24"/>
        </w:rPr>
        <w:fldChar w:fldCharType="begin"/>
      </w:r>
      <w:r>
        <w:rPr>
          <w:szCs w:val="24"/>
        </w:rPr>
        <w:instrText xml:space="preserve"> HYPERLINK \l _Toc6337 </w:instrText>
      </w:r>
      <w:r>
        <w:rPr>
          <w:szCs w:val="24"/>
        </w:rPr>
        <w:fldChar w:fldCharType="separate"/>
      </w:r>
      <w:r>
        <w:t>3.9</w:t>
      </w:r>
      <w:r>
        <w:rPr>
          <w:rFonts w:hint="eastAsia"/>
        </w:rPr>
        <w:t>工程占地与拆迁安置</w:t>
      </w:r>
      <w:r>
        <w:tab/>
      </w:r>
      <w:r>
        <w:fldChar w:fldCharType="begin"/>
      </w:r>
      <w:r>
        <w:instrText xml:space="preserve"> PAGEREF _Toc6337 \h </w:instrText>
      </w:r>
      <w:r>
        <w:fldChar w:fldCharType="separate"/>
      </w:r>
      <w:r>
        <w:t>56</w:t>
      </w:r>
      <w:r>
        <w:fldChar w:fldCharType="end"/>
      </w:r>
      <w:r>
        <w:rPr>
          <w:color w:val="auto"/>
          <w:szCs w:val="24"/>
        </w:rPr>
        <w:fldChar w:fldCharType="end"/>
      </w:r>
    </w:p>
    <w:p w14:paraId="2840DA73">
      <w:pPr>
        <w:pStyle w:val="74"/>
        <w:tabs>
          <w:tab w:val="right" w:leader="dot" w:pos="9070"/>
          <w:tab w:val="clear" w:pos="1200"/>
          <w:tab w:val="clear" w:pos="9060"/>
        </w:tabs>
      </w:pPr>
      <w:r>
        <w:rPr>
          <w:color w:val="auto"/>
          <w:szCs w:val="24"/>
        </w:rPr>
        <w:fldChar w:fldCharType="begin"/>
      </w:r>
      <w:r>
        <w:rPr>
          <w:szCs w:val="24"/>
        </w:rPr>
        <w:instrText xml:space="preserve"> HYPERLINK \l _Toc8456 </w:instrText>
      </w:r>
      <w:r>
        <w:rPr>
          <w:szCs w:val="24"/>
        </w:rPr>
        <w:fldChar w:fldCharType="separate"/>
      </w:r>
      <w:r>
        <w:t>3.10</w:t>
      </w:r>
      <w:r>
        <w:rPr>
          <w:rFonts w:hint="eastAsia"/>
        </w:rPr>
        <w:t>施工进度及人员安排</w:t>
      </w:r>
      <w:r>
        <w:tab/>
      </w:r>
      <w:r>
        <w:fldChar w:fldCharType="begin"/>
      </w:r>
      <w:r>
        <w:instrText xml:space="preserve"> PAGEREF _Toc8456 \h </w:instrText>
      </w:r>
      <w:r>
        <w:fldChar w:fldCharType="separate"/>
      </w:r>
      <w:r>
        <w:t>56</w:t>
      </w:r>
      <w:r>
        <w:fldChar w:fldCharType="end"/>
      </w:r>
      <w:r>
        <w:rPr>
          <w:color w:val="auto"/>
          <w:szCs w:val="24"/>
        </w:rPr>
        <w:fldChar w:fldCharType="end"/>
      </w:r>
    </w:p>
    <w:p w14:paraId="123F8225">
      <w:pPr>
        <w:pStyle w:val="74"/>
        <w:tabs>
          <w:tab w:val="right" w:leader="dot" w:pos="9070"/>
          <w:tab w:val="clear" w:pos="1200"/>
          <w:tab w:val="clear" w:pos="9060"/>
        </w:tabs>
      </w:pPr>
      <w:r>
        <w:rPr>
          <w:color w:val="auto"/>
          <w:szCs w:val="24"/>
        </w:rPr>
        <w:fldChar w:fldCharType="begin"/>
      </w:r>
      <w:r>
        <w:rPr>
          <w:szCs w:val="24"/>
        </w:rPr>
        <w:instrText xml:space="preserve"> HYPERLINK \l _Toc25345 </w:instrText>
      </w:r>
      <w:r>
        <w:rPr>
          <w:szCs w:val="24"/>
        </w:rPr>
        <w:fldChar w:fldCharType="separate"/>
      </w:r>
      <w:r>
        <w:t>3.11主要经济技术指标</w:t>
      </w:r>
      <w:r>
        <w:tab/>
      </w:r>
      <w:r>
        <w:fldChar w:fldCharType="begin"/>
      </w:r>
      <w:r>
        <w:instrText xml:space="preserve"> PAGEREF _Toc25345 \h </w:instrText>
      </w:r>
      <w:r>
        <w:fldChar w:fldCharType="separate"/>
      </w:r>
      <w:r>
        <w:t>56</w:t>
      </w:r>
      <w:r>
        <w:fldChar w:fldCharType="end"/>
      </w:r>
      <w:r>
        <w:rPr>
          <w:color w:val="auto"/>
          <w:szCs w:val="24"/>
        </w:rPr>
        <w:fldChar w:fldCharType="end"/>
      </w:r>
    </w:p>
    <w:p w14:paraId="682F3B8A">
      <w:pPr>
        <w:pStyle w:val="74"/>
        <w:tabs>
          <w:tab w:val="right" w:leader="dot" w:pos="9070"/>
          <w:tab w:val="clear" w:pos="1200"/>
          <w:tab w:val="clear" w:pos="9060"/>
        </w:tabs>
      </w:pPr>
      <w:r>
        <w:rPr>
          <w:color w:val="auto"/>
          <w:szCs w:val="24"/>
        </w:rPr>
        <w:fldChar w:fldCharType="begin"/>
      </w:r>
      <w:r>
        <w:rPr>
          <w:szCs w:val="24"/>
        </w:rPr>
        <w:instrText xml:space="preserve"> HYPERLINK \l _Toc4890 </w:instrText>
      </w:r>
      <w:r>
        <w:rPr>
          <w:szCs w:val="24"/>
        </w:rPr>
        <w:fldChar w:fldCharType="separate"/>
      </w:r>
      <w:r>
        <w:rPr>
          <w:szCs w:val="24"/>
        </w:rPr>
        <w:t>3.12</w:t>
      </w:r>
      <w:r>
        <w:rPr>
          <w:rFonts w:hint="eastAsia"/>
          <w:szCs w:val="24"/>
        </w:rPr>
        <w:t>污水处理工艺</w:t>
      </w:r>
      <w:r>
        <w:tab/>
      </w:r>
      <w:r>
        <w:fldChar w:fldCharType="begin"/>
      </w:r>
      <w:r>
        <w:instrText xml:space="preserve"> PAGEREF _Toc4890 \h </w:instrText>
      </w:r>
      <w:r>
        <w:fldChar w:fldCharType="separate"/>
      </w:r>
      <w:r>
        <w:t>57</w:t>
      </w:r>
      <w:r>
        <w:fldChar w:fldCharType="end"/>
      </w:r>
      <w:r>
        <w:rPr>
          <w:color w:val="auto"/>
          <w:szCs w:val="24"/>
        </w:rPr>
        <w:fldChar w:fldCharType="end"/>
      </w:r>
    </w:p>
    <w:p w14:paraId="6E843ECA">
      <w:pPr>
        <w:pStyle w:val="74"/>
        <w:tabs>
          <w:tab w:val="right" w:leader="dot" w:pos="9070"/>
          <w:tab w:val="clear" w:pos="1200"/>
          <w:tab w:val="clear" w:pos="9060"/>
        </w:tabs>
      </w:pPr>
      <w:r>
        <w:rPr>
          <w:color w:val="auto"/>
          <w:szCs w:val="24"/>
        </w:rPr>
        <w:fldChar w:fldCharType="begin"/>
      </w:r>
      <w:r>
        <w:rPr>
          <w:szCs w:val="24"/>
        </w:rPr>
        <w:instrText xml:space="preserve"> HYPERLINK \l _Toc19830 </w:instrText>
      </w:r>
      <w:r>
        <w:rPr>
          <w:szCs w:val="24"/>
        </w:rPr>
        <w:fldChar w:fldCharType="separate"/>
      </w:r>
      <w:r>
        <w:rPr>
          <w:rFonts w:hint="eastAsia"/>
          <w:lang w:val="en-US"/>
        </w:rPr>
        <w:t>3</w:t>
      </w:r>
      <w:r>
        <w:rPr>
          <w:lang w:val="en-US"/>
        </w:rPr>
        <w:t>.13</w:t>
      </w:r>
      <w:r>
        <w:t>施工期污染源分析</w:t>
      </w:r>
      <w:r>
        <w:tab/>
      </w:r>
      <w:r>
        <w:fldChar w:fldCharType="begin"/>
      </w:r>
      <w:r>
        <w:instrText xml:space="preserve"> PAGEREF _Toc19830 \h </w:instrText>
      </w:r>
      <w:r>
        <w:fldChar w:fldCharType="separate"/>
      </w:r>
      <w:r>
        <w:t>57</w:t>
      </w:r>
      <w:r>
        <w:fldChar w:fldCharType="end"/>
      </w:r>
      <w:r>
        <w:rPr>
          <w:color w:val="auto"/>
          <w:szCs w:val="24"/>
        </w:rPr>
        <w:fldChar w:fldCharType="end"/>
      </w:r>
    </w:p>
    <w:p w14:paraId="153D8FDD">
      <w:pPr>
        <w:pStyle w:val="74"/>
        <w:tabs>
          <w:tab w:val="right" w:leader="dot" w:pos="9070"/>
          <w:tab w:val="clear" w:pos="1200"/>
          <w:tab w:val="clear" w:pos="9060"/>
        </w:tabs>
      </w:pPr>
      <w:r>
        <w:rPr>
          <w:color w:val="auto"/>
          <w:szCs w:val="24"/>
        </w:rPr>
        <w:fldChar w:fldCharType="begin"/>
      </w:r>
      <w:r>
        <w:rPr>
          <w:szCs w:val="24"/>
        </w:rPr>
        <w:instrText xml:space="preserve"> HYPERLINK \l _Toc30816 </w:instrText>
      </w:r>
      <w:r>
        <w:rPr>
          <w:szCs w:val="24"/>
        </w:rPr>
        <w:fldChar w:fldCharType="separate"/>
      </w:r>
      <w:r>
        <w:rPr>
          <w:rFonts w:hint="eastAsia"/>
        </w:rPr>
        <w:t>3</w:t>
      </w:r>
      <w:r>
        <w:t>.</w:t>
      </w:r>
      <w:r>
        <w:rPr>
          <w:lang w:val="en-US"/>
        </w:rPr>
        <w:t>14</w:t>
      </w:r>
      <w:r>
        <w:rPr>
          <w:rFonts w:hint="eastAsia"/>
        </w:rPr>
        <w:t>营运</w:t>
      </w:r>
      <w:r>
        <w:t>期污染源分析</w:t>
      </w:r>
      <w:r>
        <w:tab/>
      </w:r>
      <w:r>
        <w:fldChar w:fldCharType="begin"/>
      </w:r>
      <w:r>
        <w:instrText xml:space="preserve"> PAGEREF _Toc30816 \h </w:instrText>
      </w:r>
      <w:r>
        <w:fldChar w:fldCharType="separate"/>
      </w:r>
      <w:r>
        <w:t>59</w:t>
      </w:r>
      <w:r>
        <w:fldChar w:fldCharType="end"/>
      </w:r>
      <w:r>
        <w:rPr>
          <w:color w:val="auto"/>
          <w:szCs w:val="24"/>
        </w:rPr>
        <w:fldChar w:fldCharType="end"/>
      </w:r>
    </w:p>
    <w:p w14:paraId="1692D8BE">
      <w:pPr>
        <w:pStyle w:val="74"/>
        <w:tabs>
          <w:tab w:val="right" w:leader="dot" w:pos="9070"/>
          <w:tab w:val="clear" w:pos="1200"/>
          <w:tab w:val="clear" w:pos="9060"/>
        </w:tabs>
      </w:pPr>
      <w:r>
        <w:rPr>
          <w:color w:val="auto"/>
          <w:szCs w:val="24"/>
        </w:rPr>
        <w:fldChar w:fldCharType="begin"/>
      </w:r>
      <w:r>
        <w:rPr>
          <w:szCs w:val="24"/>
        </w:rPr>
        <w:instrText xml:space="preserve"> HYPERLINK \l _Toc31699 </w:instrText>
      </w:r>
      <w:r>
        <w:rPr>
          <w:szCs w:val="24"/>
        </w:rPr>
        <w:fldChar w:fldCharType="separate"/>
      </w:r>
      <w:r>
        <w:rPr>
          <w:rFonts w:hint="eastAsia"/>
        </w:rPr>
        <w:t>3</w:t>
      </w:r>
      <w:r>
        <w:t>.15非正常排污分析</w:t>
      </w:r>
      <w:r>
        <w:tab/>
      </w:r>
      <w:r>
        <w:fldChar w:fldCharType="begin"/>
      </w:r>
      <w:r>
        <w:instrText xml:space="preserve"> PAGEREF _Toc31699 \h </w:instrText>
      </w:r>
      <w:r>
        <w:fldChar w:fldCharType="separate"/>
      </w:r>
      <w:r>
        <w:t>74</w:t>
      </w:r>
      <w:r>
        <w:fldChar w:fldCharType="end"/>
      </w:r>
      <w:r>
        <w:rPr>
          <w:color w:val="auto"/>
          <w:szCs w:val="24"/>
        </w:rPr>
        <w:fldChar w:fldCharType="end"/>
      </w:r>
    </w:p>
    <w:p w14:paraId="3AC765D2">
      <w:pPr>
        <w:pStyle w:val="74"/>
        <w:tabs>
          <w:tab w:val="right" w:leader="dot" w:pos="9070"/>
          <w:tab w:val="clear" w:pos="1200"/>
          <w:tab w:val="clear" w:pos="9060"/>
        </w:tabs>
      </w:pPr>
      <w:r>
        <w:rPr>
          <w:color w:val="auto"/>
          <w:szCs w:val="24"/>
        </w:rPr>
        <w:fldChar w:fldCharType="begin"/>
      </w:r>
      <w:r>
        <w:rPr>
          <w:szCs w:val="24"/>
        </w:rPr>
        <w:instrText xml:space="preserve"> HYPERLINK \l _Toc28240 </w:instrText>
      </w:r>
      <w:r>
        <w:rPr>
          <w:szCs w:val="24"/>
        </w:rPr>
        <w:fldChar w:fldCharType="separate"/>
      </w:r>
      <w:r>
        <w:t>3.16</w:t>
      </w:r>
      <w:r>
        <w:rPr>
          <w:rFonts w:hint="eastAsia"/>
        </w:rPr>
        <w:t>总量控制</w:t>
      </w:r>
      <w:r>
        <w:tab/>
      </w:r>
      <w:r>
        <w:fldChar w:fldCharType="begin"/>
      </w:r>
      <w:r>
        <w:instrText xml:space="preserve"> PAGEREF _Toc28240 \h </w:instrText>
      </w:r>
      <w:r>
        <w:fldChar w:fldCharType="separate"/>
      </w:r>
      <w:r>
        <w:t>75</w:t>
      </w:r>
      <w:r>
        <w:fldChar w:fldCharType="end"/>
      </w:r>
      <w:r>
        <w:rPr>
          <w:color w:val="auto"/>
          <w:szCs w:val="24"/>
        </w:rPr>
        <w:fldChar w:fldCharType="end"/>
      </w:r>
    </w:p>
    <w:p w14:paraId="3D3C977E">
      <w:pPr>
        <w:pStyle w:val="59"/>
        <w:tabs>
          <w:tab w:val="right" w:leader="dot" w:pos="9070"/>
          <w:tab w:val="clear" w:pos="960"/>
          <w:tab w:val="clear" w:pos="9060"/>
        </w:tabs>
      </w:pPr>
      <w:r>
        <w:rPr>
          <w:color w:val="auto"/>
          <w:szCs w:val="24"/>
        </w:rPr>
        <w:fldChar w:fldCharType="begin"/>
      </w:r>
      <w:r>
        <w:rPr>
          <w:szCs w:val="24"/>
        </w:rPr>
        <w:instrText xml:space="preserve"> HYPERLINK \l _Toc17419 </w:instrText>
      </w:r>
      <w:r>
        <w:rPr>
          <w:szCs w:val="24"/>
        </w:rPr>
        <w:fldChar w:fldCharType="separate"/>
      </w:r>
      <w:r>
        <w:rPr>
          <w:rFonts w:hint="eastAsia"/>
          <w:szCs w:val="24"/>
        </w:rPr>
        <w:t>4</w:t>
      </w:r>
      <w:r>
        <w:rPr>
          <w:szCs w:val="24"/>
        </w:rPr>
        <w:t>环境现状调查与评价</w:t>
      </w:r>
      <w:r>
        <w:tab/>
      </w:r>
      <w:r>
        <w:fldChar w:fldCharType="begin"/>
      </w:r>
      <w:r>
        <w:instrText xml:space="preserve"> PAGEREF _Toc17419 \h </w:instrText>
      </w:r>
      <w:r>
        <w:fldChar w:fldCharType="separate"/>
      </w:r>
      <w:r>
        <w:t>76</w:t>
      </w:r>
      <w:r>
        <w:fldChar w:fldCharType="end"/>
      </w:r>
      <w:r>
        <w:rPr>
          <w:color w:val="auto"/>
          <w:szCs w:val="24"/>
        </w:rPr>
        <w:fldChar w:fldCharType="end"/>
      </w:r>
    </w:p>
    <w:p w14:paraId="21C8ECB2">
      <w:pPr>
        <w:pStyle w:val="74"/>
        <w:tabs>
          <w:tab w:val="right" w:leader="dot" w:pos="9070"/>
          <w:tab w:val="clear" w:pos="1200"/>
          <w:tab w:val="clear" w:pos="9060"/>
        </w:tabs>
      </w:pPr>
      <w:r>
        <w:rPr>
          <w:color w:val="auto"/>
          <w:szCs w:val="24"/>
        </w:rPr>
        <w:fldChar w:fldCharType="begin"/>
      </w:r>
      <w:r>
        <w:rPr>
          <w:szCs w:val="24"/>
        </w:rPr>
        <w:instrText xml:space="preserve"> HYPERLINK \l _Toc4151 </w:instrText>
      </w:r>
      <w:r>
        <w:rPr>
          <w:szCs w:val="24"/>
        </w:rPr>
        <w:fldChar w:fldCharType="separate"/>
      </w:r>
      <w:r>
        <w:rPr>
          <w:rFonts w:hint="eastAsia"/>
        </w:rPr>
        <w:t>4</w:t>
      </w:r>
      <w:r>
        <w:t>.1自然环境概况</w:t>
      </w:r>
      <w:r>
        <w:tab/>
      </w:r>
      <w:r>
        <w:fldChar w:fldCharType="begin"/>
      </w:r>
      <w:r>
        <w:instrText xml:space="preserve"> PAGEREF _Toc4151 \h </w:instrText>
      </w:r>
      <w:r>
        <w:fldChar w:fldCharType="separate"/>
      </w:r>
      <w:r>
        <w:t>76</w:t>
      </w:r>
      <w:r>
        <w:fldChar w:fldCharType="end"/>
      </w:r>
      <w:r>
        <w:rPr>
          <w:color w:val="auto"/>
          <w:szCs w:val="24"/>
        </w:rPr>
        <w:fldChar w:fldCharType="end"/>
      </w:r>
    </w:p>
    <w:p w14:paraId="48BB7AB2">
      <w:pPr>
        <w:pStyle w:val="74"/>
        <w:tabs>
          <w:tab w:val="right" w:leader="dot" w:pos="9070"/>
          <w:tab w:val="clear" w:pos="1200"/>
          <w:tab w:val="clear" w:pos="9060"/>
        </w:tabs>
      </w:pPr>
      <w:r>
        <w:rPr>
          <w:color w:val="auto"/>
          <w:szCs w:val="24"/>
        </w:rPr>
        <w:fldChar w:fldCharType="begin"/>
      </w:r>
      <w:r>
        <w:rPr>
          <w:szCs w:val="24"/>
        </w:rPr>
        <w:instrText xml:space="preserve"> HYPERLINK \l _Toc1225 </w:instrText>
      </w:r>
      <w:r>
        <w:rPr>
          <w:szCs w:val="24"/>
        </w:rPr>
        <w:fldChar w:fldCharType="separate"/>
      </w:r>
      <w:r>
        <w:rPr>
          <w:rFonts w:hint="eastAsia"/>
        </w:rPr>
        <w:t>4</w:t>
      </w:r>
      <w:r>
        <w:t>.2环境质量现状调查与评价</w:t>
      </w:r>
      <w:r>
        <w:tab/>
      </w:r>
      <w:r>
        <w:fldChar w:fldCharType="begin"/>
      </w:r>
      <w:r>
        <w:instrText xml:space="preserve"> PAGEREF _Toc1225 \h </w:instrText>
      </w:r>
      <w:r>
        <w:fldChar w:fldCharType="separate"/>
      </w:r>
      <w:r>
        <w:t>83</w:t>
      </w:r>
      <w:r>
        <w:fldChar w:fldCharType="end"/>
      </w:r>
      <w:r>
        <w:rPr>
          <w:color w:val="auto"/>
          <w:szCs w:val="24"/>
        </w:rPr>
        <w:fldChar w:fldCharType="end"/>
      </w:r>
    </w:p>
    <w:p w14:paraId="67348DDC">
      <w:pPr>
        <w:pStyle w:val="59"/>
        <w:tabs>
          <w:tab w:val="right" w:leader="dot" w:pos="9070"/>
          <w:tab w:val="clear" w:pos="960"/>
          <w:tab w:val="clear" w:pos="9060"/>
        </w:tabs>
      </w:pPr>
      <w:r>
        <w:rPr>
          <w:color w:val="auto"/>
          <w:szCs w:val="24"/>
        </w:rPr>
        <w:fldChar w:fldCharType="begin"/>
      </w:r>
      <w:r>
        <w:rPr>
          <w:szCs w:val="24"/>
        </w:rPr>
        <w:instrText xml:space="preserve"> HYPERLINK \l _Toc6212 </w:instrText>
      </w:r>
      <w:r>
        <w:rPr>
          <w:szCs w:val="24"/>
        </w:rPr>
        <w:fldChar w:fldCharType="separate"/>
      </w:r>
      <w:r>
        <w:rPr>
          <w:szCs w:val="24"/>
        </w:rPr>
        <w:t>5 施工期环境影响分析</w:t>
      </w:r>
      <w:r>
        <w:tab/>
      </w:r>
      <w:r>
        <w:fldChar w:fldCharType="begin"/>
      </w:r>
      <w:r>
        <w:instrText xml:space="preserve"> PAGEREF _Toc6212 \h </w:instrText>
      </w:r>
      <w:r>
        <w:fldChar w:fldCharType="separate"/>
      </w:r>
      <w:r>
        <w:t>99</w:t>
      </w:r>
      <w:r>
        <w:fldChar w:fldCharType="end"/>
      </w:r>
      <w:r>
        <w:rPr>
          <w:color w:val="auto"/>
          <w:szCs w:val="24"/>
        </w:rPr>
        <w:fldChar w:fldCharType="end"/>
      </w:r>
    </w:p>
    <w:p w14:paraId="69E04360">
      <w:pPr>
        <w:pStyle w:val="74"/>
        <w:tabs>
          <w:tab w:val="right" w:leader="dot" w:pos="9070"/>
          <w:tab w:val="clear" w:pos="1200"/>
          <w:tab w:val="clear" w:pos="9060"/>
        </w:tabs>
      </w:pPr>
      <w:r>
        <w:rPr>
          <w:color w:val="auto"/>
          <w:szCs w:val="24"/>
        </w:rPr>
        <w:fldChar w:fldCharType="begin"/>
      </w:r>
      <w:r>
        <w:rPr>
          <w:szCs w:val="24"/>
        </w:rPr>
        <w:instrText xml:space="preserve"> HYPERLINK \l _Toc21741 </w:instrText>
      </w:r>
      <w:r>
        <w:rPr>
          <w:szCs w:val="24"/>
        </w:rPr>
        <w:fldChar w:fldCharType="separate"/>
      </w:r>
      <w:r>
        <w:rPr>
          <w:szCs w:val="24"/>
        </w:rPr>
        <w:t>5.1</w:t>
      </w:r>
      <w:r>
        <w:rPr>
          <w:rFonts w:hint="eastAsia"/>
          <w:szCs w:val="24"/>
        </w:rPr>
        <w:t>地表</w:t>
      </w:r>
      <w:r>
        <w:rPr>
          <w:szCs w:val="24"/>
        </w:rPr>
        <w:t>水环境影响分析</w:t>
      </w:r>
      <w:r>
        <w:tab/>
      </w:r>
      <w:r>
        <w:fldChar w:fldCharType="begin"/>
      </w:r>
      <w:r>
        <w:instrText xml:space="preserve"> PAGEREF _Toc21741 \h </w:instrText>
      </w:r>
      <w:r>
        <w:fldChar w:fldCharType="separate"/>
      </w:r>
      <w:r>
        <w:t>99</w:t>
      </w:r>
      <w:r>
        <w:fldChar w:fldCharType="end"/>
      </w:r>
      <w:r>
        <w:rPr>
          <w:color w:val="auto"/>
          <w:szCs w:val="24"/>
        </w:rPr>
        <w:fldChar w:fldCharType="end"/>
      </w:r>
    </w:p>
    <w:p w14:paraId="3EE731D6">
      <w:pPr>
        <w:pStyle w:val="74"/>
        <w:tabs>
          <w:tab w:val="right" w:leader="dot" w:pos="9070"/>
          <w:tab w:val="clear" w:pos="1200"/>
          <w:tab w:val="clear" w:pos="9060"/>
        </w:tabs>
      </w:pPr>
      <w:r>
        <w:rPr>
          <w:color w:val="auto"/>
          <w:szCs w:val="24"/>
        </w:rPr>
        <w:fldChar w:fldCharType="begin"/>
      </w:r>
      <w:r>
        <w:rPr>
          <w:szCs w:val="24"/>
        </w:rPr>
        <w:instrText xml:space="preserve"> HYPERLINK \l _Toc6555 </w:instrText>
      </w:r>
      <w:r>
        <w:rPr>
          <w:szCs w:val="24"/>
        </w:rPr>
        <w:fldChar w:fldCharType="separate"/>
      </w:r>
      <w:r>
        <w:rPr>
          <w:rFonts w:hint="eastAsia"/>
          <w:szCs w:val="24"/>
        </w:rPr>
        <w:t>5</w:t>
      </w:r>
      <w:r>
        <w:rPr>
          <w:szCs w:val="24"/>
        </w:rPr>
        <w:t>.2环境空气影响分析</w:t>
      </w:r>
      <w:r>
        <w:tab/>
      </w:r>
      <w:r>
        <w:fldChar w:fldCharType="begin"/>
      </w:r>
      <w:r>
        <w:instrText xml:space="preserve"> PAGEREF _Toc6555 \h </w:instrText>
      </w:r>
      <w:r>
        <w:fldChar w:fldCharType="separate"/>
      </w:r>
      <w:r>
        <w:t>99</w:t>
      </w:r>
      <w:r>
        <w:fldChar w:fldCharType="end"/>
      </w:r>
      <w:r>
        <w:rPr>
          <w:color w:val="auto"/>
          <w:szCs w:val="24"/>
        </w:rPr>
        <w:fldChar w:fldCharType="end"/>
      </w:r>
    </w:p>
    <w:p w14:paraId="33FD0C05">
      <w:pPr>
        <w:pStyle w:val="74"/>
        <w:tabs>
          <w:tab w:val="right" w:leader="dot" w:pos="9070"/>
          <w:tab w:val="clear" w:pos="1200"/>
          <w:tab w:val="clear" w:pos="9060"/>
        </w:tabs>
      </w:pPr>
      <w:r>
        <w:rPr>
          <w:color w:val="auto"/>
          <w:szCs w:val="24"/>
        </w:rPr>
        <w:fldChar w:fldCharType="begin"/>
      </w:r>
      <w:r>
        <w:rPr>
          <w:szCs w:val="24"/>
        </w:rPr>
        <w:instrText xml:space="preserve"> HYPERLINK \l _Toc31680 </w:instrText>
      </w:r>
      <w:r>
        <w:rPr>
          <w:szCs w:val="24"/>
        </w:rPr>
        <w:fldChar w:fldCharType="separate"/>
      </w:r>
      <w:r>
        <w:rPr>
          <w:rFonts w:hint="eastAsia"/>
          <w:szCs w:val="24"/>
        </w:rPr>
        <w:t>5</w:t>
      </w:r>
      <w:r>
        <w:rPr>
          <w:szCs w:val="24"/>
        </w:rPr>
        <w:t>.3声环境影响分析</w:t>
      </w:r>
      <w:r>
        <w:tab/>
      </w:r>
      <w:r>
        <w:fldChar w:fldCharType="begin"/>
      </w:r>
      <w:r>
        <w:instrText xml:space="preserve"> PAGEREF _Toc31680 \h </w:instrText>
      </w:r>
      <w:r>
        <w:fldChar w:fldCharType="separate"/>
      </w:r>
      <w:r>
        <w:t>100</w:t>
      </w:r>
      <w:r>
        <w:fldChar w:fldCharType="end"/>
      </w:r>
      <w:r>
        <w:rPr>
          <w:color w:val="auto"/>
          <w:szCs w:val="24"/>
        </w:rPr>
        <w:fldChar w:fldCharType="end"/>
      </w:r>
    </w:p>
    <w:p w14:paraId="27C65276">
      <w:pPr>
        <w:pStyle w:val="74"/>
        <w:tabs>
          <w:tab w:val="right" w:leader="dot" w:pos="9070"/>
          <w:tab w:val="clear" w:pos="1200"/>
          <w:tab w:val="clear" w:pos="9060"/>
        </w:tabs>
      </w:pPr>
      <w:r>
        <w:rPr>
          <w:color w:val="auto"/>
          <w:szCs w:val="24"/>
        </w:rPr>
        <w:fldChar w:fldCharType="begin"/>
      </w:r>
      <w:r>
        <w:rPr>
          <w:szCs w:val="24"/>
        </w:rPr>
        <w:instrText xml:space="preserve"> HYPERLINK \l _Toc9262 </w:instrText>
      </w:r>
      <w:r>
        <w:rPr>
          <w:szCs w:val="24"/>
        </w:rPr>
        <w:fldChar w:fldCharType="separate"/>
      </w:r>
      <w:r>
        <w:rPr>
          <w:rFonts w:hint="eastAsia"/>
          <w:szCs w:val="24"/>
        </w:rPr>
        <w:t>5</w:t>
      </w:r>
      <w:r>
        <w:rPr>
          <w:szCs w:val="24"/>
        </w:rPr>
        <w:t>.4固体废物影响分析</w:t>
      </w:r>
      <w:r>
        <w:tab/>
      </w:r>
      <w:r>
        <w:fldChar w:fldCharType="begin"/>
      </w:r>
      <w:r>
        <w:instrText xml:space="preserve"> PAGEREF _Toc9262 \h </w:instrText>
      </w:r>
      <w:r>
        <w:fldChar w:fldCharType="separate"/>
      </w:r>
      <w:r>
        <w:t>103</w:t>
      </w:r>
      <w:r>
        <w:fldChar w:fldCharType="end"/>
      </w:r>
      <w:r>
        <w:rPr>
          <w:color w:val="auto"/>
          <w:szCs w:val="24"/>
        </w:rPr>
        <w:fldChar w:fldCharType="end"/>
      </w:r>
    </w:p>
    <w:p w14:paraId="6A2445F6">
      <w:pPr>
        <w:pStyle w:val="74"/>
        <w:tabs>
          <w:tab w:val="right" w:leader="dot" w:pos="9070"/>
          <w:tab w:val="clear" w:pos="1200"/>
          <w:tab w:val="clear" w:pos="9060"/>
        </w:tabs>
      </w:pPr>
      <w:r>
        <w:rPr>
          <w:color w:val="auto"/>
          <w:szCs w:val="24"/>
        </w:rPr>
        <w:fldChar w:fldCharType="begin"/>
      </w:r>
      <w:r>
        <w:rPr>
          <w:szCs w:val="24"/>
        </w:rPr>
        <w:instrText xml:space="preserve"> HYPERLINK \l _Toc24574 </w:instrText>
      </w:r>
      <w:r>
        <w:rPr>
          <w:szCs w:val="24"/>
        </w:rPr>
        <w:fldChar w:fldCharType="separate"/>
      </w:r>
      <w:r>
        <w:rPr>
          <w:rFonts w:hint="eastAsia"/>
          <w:szCs w:val="24"/>
        </w:rPr>
        <w:t>5</w:t>
      </w:r>
      <w:r>
        <w:rPr>
          <w:szCs w:val="24"/>
        </w:rPr>
        <w:t>.5</w:t>
      </w:r>
      <w:r>
        <w:rPr>
          <w:rFonts w:hint="eastAsia"/>
          <w:szCs w:val="24"/>
        </w:rPr>
        <w:t>地下水环境</w:t>
      </w:r>
      <w:r>
        <w:rPr>
          <w:szCs w:val="24"/>
        </w:rPr>
        <w:t>影响分析</w:t>
      </w:r>
      <w:r>
        <w:tab/>
      </w:r>
      <w:r>
        <w:fldChar w:fldCharType="begin"/>
      </w:r>
      <w:r>
        <w:instrText xml:space="preserve"> PAGEREF _Toc24574 \h </w:instrText>
      </w:r>
      <w:r>
        <w:fldChar w:fldCharType="separate"/>
      </w:r>
      <w:r>
        <w:t>103</w:t>
      </w:r>
      <w:r>
        <w:fldChar w:fldCharType="end"/>
      </w:r>
      <w:r>
        <w:rPr>
          <w:color w:val="auto"/>
          <w:szCs w:val="24"/>
        </w:rPr>
        <w:fldChar w:fldCharType="end"/>
      </w:r>
    </w:p>
    <w:p w14:paraId="580179AA">
      <w:pPr>
        <w:pStyle w:val="74"/>
        <w:tabs>
          <w:tab w:val="right" w:leader="dot" w:pos="9070"/>
          <w:tab w:val="clear" w:pos="1200"/>
          <w:tab w:val="clear" w:pos="9060"/>
        </w:tabs>
      </w:pPr>
      <w:r>
        <w:rPr>
          <w:color w:val="auto"/>
          <w:szCs w:val="24"/>
        </w:rPr>
        <w:fldChar w:fldCharType="begin"/>
      </w:r>
      <w:r>
        <w:rPr>
          <w:szCs w:val="24"/>
        </w:rPr>
        <w:instrText xml:space="preserve"> HYPERLINK \l _Toc26673 </w:instrText>
      </w:r>
      <w:r>
        <w:rPr>
          <w:szCs w:val="24"/>
        </w:rPr>
        <w:fldChar w:fldCharType="separate"/>
      </w:r>
      <w:r>
        <w:rPr>
          <w:rFonts w:hint="eastAsia"/>
          <w:szCs w:val="24"/>
        </w:rPr>
        <w:t>5</w:t>
      </w:r>
      <w:r>
        <w:rPr>
          <w:szCs w:val="24"/>
        </w:rPr>
        <w:t>.5生态环境影响分析</w:t>
      </w:r>
      <w:r>
        <w:tab/>
      </w:r>
      <w:r>
        <w:fldChar w:fldCharType="begin"/>
      </w:r>
      <w:r>
        <w:instrText xml:space="preserve"> PAGEREF _Toc26673 \h </w:instrText>
      </w:r>
      <w:r>
        <w:fldChar w:fldCharType="separate"/>
      </w:r>
      <w:r>
        <w:t>103</w:t>
      </w:r>
      <w:r>
        <w:fldChar w:fldCharType="end"/>
      </w:r>
      <w:r>
        <w:rPr>
          <w:color w:val="auto"/>
          <w:szCs w:val="24"/>
        </w:rPr>
        <w:fldChar w:fldCharType="end"/>
      </w:r>
    </w:p>
    <w:p w14:paraId="1AEC7376">
      <w:pPr>
        <w:pStyle w:val="59"/>
        <w:tabs>
          <w:tab w:val="right" w:leader="dot" w:pos="9070"/>
          <w:tab w:val="clear" w:pos="960"/>
          <w:tab w:val="clear" w:pos="9060"/>
        </w:tabs>
      </w:pPr>
      <w:r>
        <w:rPr>
          <w:color w:val="auto"/>
          <w:szCs w:val="24"/>
        </w:rPr>
        <w:fldChar w:fldCharType="begin"/>
      </w:r>
      <w:r>
        <w:rPr>
          <w:szCs w:val="24"/>
        </w:rPr>
        <w:instrText xml:space="preserve"> HYPERLINK \l _Toc19425 </w:instrText>
      </w:r>
      <w:r>
        <w:rPr>
          <w:szCs w:val="24"/>
        </w:rPr>
        <w:fldChar w:fldCharType="separate"/>
      </w:r>
      <w:r>
        <w:rPr>
          <w:szCs w:val="24"/>
        </w:rPr>
        <w:t xml:space="preserve">6 </w:t>
      </w:r>
      <w:r>
        <w:rPr>
          <w:rFonts w:hint="eastAsia"/>
          <w:szCs w:val="24"/>
        </w:rPr>
        <w:t>运营期环境影响预测与评价</w:t>
      </w:r>
      <w:r>
        <w:tab/>
      </w:r>
      <w:r>
        <w:fldChar w:fldCharType="begin"/>
      </w:r>
      <w:r>
        <w:instrText xml:space="preserve"> PAGEREF _Toc19425 \h </w:instrText>
      </w:r>
      <w:r>
        <w:fldChar w:fldCharType="separate"/>
      </w:r>
      <w:r>
        <w:t>104</w:t>
      </w:r>
      <w:r>
        <w:fldChar w:fldCharType="end"/>
      </w:r>
      <w:r>
        <w:rPr>
          <w:color w:val="auto"/>
          <w:szCs w:val="24"/>
        </w:rPr>
        <w:fldChar w:fldCharType="end"/>
      </w:r>
    </w:p>
    <w:p w14:paraId="618EC548">
      <w:pPr>
        <w:pStyle w:val="74"/>
        <w:tabs>
          <w:tab w:val="right" w:leader="dot" w:pos="9070"/>
          <w:tab w:val="clear" w:pos="1200"/>
          <w:tab w:val="clear" w:pos="9060"/>
        </w:tabs>
      </w:pPr>
      <w:r>
        <w:rPr>
          <w:color w:val="auto"/>
          <w:szCs w:val="24"/>
        </w:rPr>
        <w:fldChar w:fldCharType="begin"/>
      </w:r>
      <w:r>
        <w:rPr>
          <w:szCs w:val="24"/>
        </w:rPr>
        <w:instrText xml:space="preserve"> HYPERLINK \l _Toc24165 </w:instrText>
      </w:r>
      <w:r>
        <w:rPr>
          <w:szCs w:val="24"/>
        </w:rPr>
        <w:fldChar w:fldCharType="separate"/>
      </w:r>
      <w:r>
        <w:rPr>
          <w:szCs w:val="24"/>
        </w:rPr>
        <w:t>6.1</w:t>
      </w:r>
      <w:r>
        <w:rPr>
          <w:rFonts w:hint="eastAsia"/>
          <w:szCs w:val="24"/>
        </w:rPr>
        <w:t>地表水环境影分析</w:t>
      </w:r>
      <w:r>
        <w:tab/>
      </w:r>
      <w:r>
        <w:fldChar w:fldCharType="begin"/>
      </w:r>
      <w:r>
        <w:instrText xml:space="preserve"> PAGEREF _Toc24165 \h </w:instrText>
      </w:r>
      <w:r>
        <w:fldChar w:fldCharType="separate"/>
      </w:r>
      <w:r>
        <w:t>104</w:t>
      </w:r>
      <w:r>
        <w:fldChar w:fldCharType="end"/>
      </w:r>
      <w:r>
        <w:rPr>
          <w:color w:val="auto"/>
          <w:szCs w:val="24"/>
        </w:rPr>
        <w:fldChar w:fldCharType="end"/>
      </w:r>
    </w:p>
    <w:p w14:paraId="569DC837">
      <w:pPr>
        <w:pStyle w:val="74"/>
        <w:tabs>
          <w:tab w:val="right" w:leader="dot" w:pos="9070"/>
          <w:tab w:val="clear" w:pos="1200"/>
          <w:tab w:val="clear" w:pos="9060"/>
        </w:tabs>
      </w:pPr>
      <w:r>
        <w:rPr>
          <w:color w:val="auto"/>
          <w:szCs w:val="24"/>
        </w:rPr>
        <w:fldChar w:fldCharType="begin"/>
      </w:r>
      <w:r>
        <w:rPr>
          <w:szCs w:val="24"/>
        </w:rPr>
        <w:instrText xml:space="preserve"> HYPERLINK \l _Toc5842 </w:instrText>
      </w:r>
      <w:r>
        <w:rPr>
          <w:szCs w:val="24"/>
        </w:rPr>
        <w:fldChar w:fldCharType="separate"/>
      </w:r>
      <w:r>
        <w:rPr>
          <w:szCs w:val="24"/>
        </w:rPr>
        <w:t>6.2</w:t>
      </w:r>
      <w:r>
        <w:rPr>
          <w:rFonts w:hint="eastAsia"/>
          <w:szCs w:val="24"/>
        </w:rPr>
        <w:t>环境空气环境影响预测评价</w:t>
      </w:r>
      <w:r>
        <w:tab/>
      </w:r>
      <w:r>
        <w:fldChar w:fldCharType="begin"/>
      </w:r>
      <w:r>
        <w:instrText xml:space="preserve"> PAGEREF _Toc5842 \h </w:instrText>
      </w:r>
      <w:r>
        <w:fldChar w:fldCharType="separate"/>
      </w:r>
      <w:r>
        <w:t>108</w:t>
      </w:r>
      <w:r>
        <w:fldChar w:fldCharType="end"/>
      </w:r>
      <w:r>
        <w:rPr>
          <w:color w:val="auto"/>
          <w:szCs w:val="24"/>
        </w:rPr>
        <w:fldChar w:fldCharType="end"/>
      </w:r>
    </w:p>
    <w:p w14:paraId="1C82FC1B">
      <w:pPr>
        <w:pStyle w:val="74"/>
        <w:tabs>
          <w:tab w:val="right" w:leader="dot" w:pos="9070"/>
          <w:tab w:val="clear" w:pos="1200"/>
          <w:tab w:val="clear" w:pos="9060"/>
        </w:tabs>
      </w:pPr>
      <w:r>
        <w:rPr>
          <w:color w:val="auto"/>
          <w:szCs w:val="24"/>
        </w:rPr>
        <w:fldChar w:fldCharType="begin"/>
      </w:r>
      <w:r>
        <w:rPr>
          <w:szCs w:val="24"/>
        </w:rPr>
        <w:instrText xml:space="preserve"> HYPERLINK \l _Toc25488 </w:instrText>
      </w:r>
      <w:r>
        <w:rPr>
          <w:szCs w:val="24"/>
        </w:rPr>
        <w:fldChar w:fldCharType="separate"/>
      </w:r>
      <w:r>
        <w:rPr>
          <w:szCs w:val="24"/>
        </w:rPr>
        <w:t>6.3</w:t>
      </w:r>
      <w:r>
        <w:rPr>
          <w:rFonts w:hint="eastAsia"/>
          <w:szCs w:val="24"/>
        </w:rPr>
        <w:t>地下水环境影响分析</w:t>
      </w:r>
      <w:r>
        <w:tab/>
      </w:r>
      <w:r>
        <w:fldChar w:fldCharType="begin"/>
      </w:r>
      <w:r>
        <w:instrText xml:space="preserve"> PAGEREF _Toc25488 \h </w:instrText>
      </w:r>
      <w:r>
        <w:fldChar w:fldCharType="separate"/>
      </w:r>
      <w:r>
        <w:t>113</w:t>
      </w:r>
      <w:r>
        <w:fldChar w:fldCharType="end"/>
      </w:r>
      <w:r>
        <w:rPr>
          <w:color w:val="auto"/>
          <w:szCs w:val="24"/>
        </w:rPr>
        <w:fldChar w:fldCharType="end"/>
      </w:r>
    </w:p>
    <w:p w14:paraId="66C75891">
      <w:pPr>
        <w:pStyle w:val="74"/>
        <w:tabs>
          <w:tab w:val="right" w:leader="dot" w:pos="9070"/>
          <w:tab w:val="clear" w:pos="1200"/>
          <w:tab w:val="clear" w:pos="9060"/>
        </w:tabs>
      </w:pPr>
      <w:r>
        <w:rPr>
          <w:color w:val="auto"/>
          <w:szCs w:val="24"/>
        </w:rPr>
        <w:fldChar w:fldCharType="begin"/>
      </w:r>
      <w:r>
        <w:rPr>
          <w:szCs w:val="24"/>
        </w:rPr>
        <w:instrText xml:space="preserve"> HYPERLINK \l _Toc2421 </w:instrText>
      </w:r>
      <w:r>
        <w:rPr>
          <w:szCs w:val="24"/>
        </w:rPr>
        <w:fldChar w:fldCharType="separate"/>
      </w:r>
      <w:r>
        <w:rPr>
          <w:rFonts w:hint="eastAsia"/>
          <w:szCs w:val="24"/>
        </w:rPr>
        <w:t>6</w:t>
      </w:r>
      <w:r>
        <w:rPr>
          <w:szCs w:val="24"/>
        </w:rPr>
        <w:t>.</w:t>
      </w:r>
      <w:r>
        <w:rPr>
          <w:rFonts w:hint="eastAsia"/>
          <w:szCs w:val="24"/>
        </w:rPr>
        <w:t>4声环境影响分析</w:t>
      </w:r>
      <w:r>
        <w:tab/>
      </w:r>
      <w:r>
        <w:fldChar w:fldCharType="begin"/>
      </w:r>
      <w:r>
        <w:instrText xml:space="preserve"> PAGEREF _Toc2421 \h </w:instrText>
      </w:r>
      <w:r>
        <w:fldChar w:fldCharType="separate"/>
      </w:r>
      <w:r>
        <w:t>126</w:t>
      </w:r>
      <w:r>
        <w:fldChar w:fldCharType="end"/>
      </w:r>
      <w:r>
        <w:rPr>
          <w:color w:val="auto"/>
          <w:szCs w:val="24"/>
        </w:rPr>
        <w:fldChar w:fldCharType="end"/>
      </w:r>
    </w:p>
    <w:p w14:paraId="06969C81">
      <w:pPr>
        <w:pStyle w:val="74"/>
        <w:tabs>
          <w:tab w:val="right" w:leader="dot" w:pos="9070"/>
          <w:tab w:val="clear" w:pos="1200"/>
          <w:tab w:val="clear" w:pos="9060"/>
        </w:tabs>
      </w:pPr>
      <w:r>
        <w:rPr>
          <w:color w:val="auto"/>
          <w:szCs w:val="24"/>
        </w:rPr>
        <w:fldChar w:fldCharType="begin"/>
      </w:r>
      <w:r>
        <w:rPr>
          <w:szCs w:val="24"/>
        </w:rPr>
        <w:instrText xml:space="preserve"> HYPERLINK \l _Toc26842 </w:instrText>
      </w:r>
      <w:r>
        <w:rPr>
          <w:szCs w:val="24"/>
        </w:rPr>
        <w:fldChar w:fldCharType="separate"/>
      </w:r>
      <w:r>
        <w:rPr>
          <w:szCs w:val="24"/>
        </w:rPr>
        <w:t>6.</w:t>
      </w:r>
      <w:r>
        <w:rPr>
          <w:rFonts w:hint="eastAsia"/>
          <w:szCs w:val="24"/>
        </w:rPr>
        <w:t>5</w:t>
      </w:r>
      <w:r>
        <w:rPr>
          <w:szCs w:val="24"/>
        </w:rPr>
        <w:t>固体废物影响分析</w:t>
      </w:r>
      <w:r>
        <w:tab/>
      </w:r>
      <w:r>
        <w:fldChar w:fldCharType="begin"/>
      </w:r>
      <w:r>
        <w:instrText xml:space="preserve"> PAGEREF _Toc26842 \h </w:instrText>
      </w:r>
      <w:r>
        <w:fldChar w:fldCharType="separate"/>
      </w:r>
      <w:r>
        <w:t>129</w:t>
      </w:r>
      <w:r>
        <w:fldChar w:fldCharType="end"/>
      </w:r>
      <w:r>
        <w:rPr>
          <w:color w:val="auto"/>
          <w:szCs w:val="24"/>
        </w:rPr>
        <w:fldChar w:fldCharType="end"/>
      </w:r>
    </w:p>
    <w:p w14:paraId="6045E528">
      <w:pPr>
        <w:pStyle w:val="74"/>
        <w:tabs>
          <w:tab w:val="right" w:leader="dot" w:pos="9070"/>
          <w:tab w:val="clear" w:pos="1200"/>
          <w:tab w:val="clear" w:pos="9060"/>
        </w:tabs>
      </w:pPr>
      <w:r>
        <w:rPr>
          <w:color w:val="auto"/>
          <w:szCs w:val="24"/>
        </w:rPr>
        <w:fldChar w:fldCharType="begin"/>
      </w:r>
      <w:r>
        <w:rPr>
          <w:szCs w:val="24"/>
        </w:rPr>
        <w:instrText xml:space="preserve"> HYPERLINK \l _Toc14110 </w:instrText>
      </w:r>
      <w:r>
        <w:rPr>
          <w:szCs w:val="24"/>
        </w:rPr>
        <w:fldChar w:fldCharType="separate"/>
      </w:r>
      <w:r>
        <w:rPr>
          <w:szCs w:val="24"/>
        </w:rPr>
        <w:t>6.</w:t>
      </w:r>
      <w:r>
        <w:rPr>
          <w:rFonts w:hint="eastAsia"/>
          <w:szCs w:val="24"/>
        </w:rPr>
        <w:t>6</w:t>
      </w:r>
      <w:r>
        <w:rPr>
          <w:szCs w:val="24"/>
        </w:rPr>
        <w:t>土壤环境影响分析</w:t>
      </w:r>
      <w:r>
        <w:tab/>
      </w:r>
      <w:r>
        <w:fldChar w:fldCharType="begin"/>
      </w:r>
      <w:r>
        <w:instrText xml:space="preserve"> PAGEREF _Toc14110 \h </w:instrText>
      </w:r>
      <w:r>
        <w:fldChar w:fldCharType="separate"/>
      </w:r>
      <w:r>
        <w:t>132</w:t>
      </w:r>
      <w:r>
        <w:fldChar w:fldCharType="end"/>
      </w:r>
      <w:r>
        <w:rPr>
          <w:color w:val="auto"/>
          <w:szCs w:val="24"/>
        </w:rPr>
        <w:fldChar w:fldCharType="end"/>
      </w:r>
    </w:p>
    <w:p w14:paraId="63B08845">
      <w:pPr>
        <w:pStyle w:val="74"/>
        <w:tabs>
          <w:tab w:val="right" w:leader="dot" w:pos="9070"/>
          <w:tab w:val="clear" w:pos="1200"/>
          <w:tab w:val="clear" w:pos="9060"/>
        </w:tabs>
      </w:pPr>
      <w:r>
        <w:rPr>
          <w:color w:val="auto"/>
          <w:szCs w:val="24"/>
        </w:rPr>
        <w:fldChar w:fldCharType="begin"/>
      </w:r>
      <w:r>
        <w:rPr>
          <w:szCs w:val="24"/>
        </w:rPr>
        <w:instrText xml:space="preserve"> HYPERLINK \l _Toc10216 </w:instrText>
      </w:r>
      <w:r>
        <w:rPr>
          <w:szCs w:val="24"/>
        </w:rPr>
        <w:fldChar w:fldCharType="separate"/>
      </w:r>
      <w:r>
        <w:rPr>
          <w:szCs w:val="24"/>
        </w:rPr>
        <w:t>6.7生态环境影分析</w:t>
      </w:r>
      <w:r>
        <w:tab/>
      </w:r>
      <w:r>
        <w:fldChar w:fldCharType="begin"/>
      </w:r>
      <w:r>
        <w:instrText xml:space="preserve"> PAGEREF _Toc10216 \h </w:instrText>
      </w:r>
      <w:r>
        <w:fldChar w:fldCharType="separate"/>
      </w:r>
      <w:r>
        <w:t>135</w:t>
      </w:r>
      <w:r>
        <w:fldChar w:fldCharType="end"/>
      </w:r>
      <w:r>
        <w:rPr>
          <w:color w:val="auto"/>
          <w:szCs w:val="24"/>
        </w:rPr>
        <w:fldChar w:fldCharType="end"/>
      </w:r>
    </w:p>
    <w:p w14:paraId="421AA6C1">
      <w:pPr>
        <w:pStyle w:val="59"/>
        <w:tabs>
          <w:tab w:val="right" w:leader="dot" w:pos="9070"/>
          <w:tab w:val="clear" w:pos="960"/>
          <w:tab w:val="clear" w:pos="9060"/>
        </w:tabs>
      </w:pPr>
      <w:r>
        <w:rPr>
          <w:color w:val="auto"/>
          <w:szCs w:val="24"/>
        </w:rPr>
        <w:fldChar w:fldCharType="begin"/>
      </w:r>
      <w:r>
        <w:rPr>
          <w:szCs w:val="24"/>
        </w:rPr>
        <w:instrText xml:space="preserve"> HYPERLINK \l _Toc8186 </w:instrText>
      </w:r>
      <w:r>
        <w:rPr>
          <w:szCs w:val="24"/>
        </w:rPr>
        <w:fldChar w:fldCharType="separate"/>
      </w:r>
      <w:r>
        <w:rPr>
          <w:rFonts w:hint="eastAsia"/>
          <w:szCs w:val="24"/>
        </w:rPr>
        <w:t>7</w:t>
      </w:r>
      <w:r>
        <w:rPr>
          <w:szCs w:val="24"/>
        </w:rPr>
        <w:t>环境风险评价</w:t>
      </w:r>
      <w:r>
        <w:tab/>
      </w:r>
      <w:r>
        <w:fldChar w:fldCharType="begin"/>
      </w:r>
      <w:r>
        <w:instrText xml:space="preserve"> PAGEREF _Toc8186 \h </w:instrText>
      </w:r>
      <w:r>
        <w:fldChar w:fldCharType="separate"/>
      </w:r>
      <w:r>
        <w:t>137</w:t>
      </w:r>
      <w:r>
        <w:fldChar w:fldCharType="end"/>
      </w:r>
      <w:r>
        <w:rPr>
          <w:color w:val="auto"/>
          <w:szCs w:val="24"/>
        </w:rPr>
        <w:fldChar w:fldCharType="end"/>
      </w:r>
    </w:p>
    <w:p w14:paraId="6AC29AEA">
      <w:pPr>
        <w:pStyle w:val="74"/>
        <w:tabs>
          <w:tab w:val="right" w:leader="dot" w:pos="9070"/>
          <w:tab w:val="clear" w:pos="1200"/>
          <w:tab w:val="clear" w:pos="9060"/>
        </w:tabs>
      </w:pPr>
      <w:r>
        <w:rPr>
          <w:color w:val="auto"/>
          <w:szCs w:val="24"/>
        </w:rPr>
        <w:fldChar w:fldCharType="begin"/>
      </w:r>
      <w:r>
        <w:rPr>
          <w:szCs w:val="24"/>
        </w:rPr>
        <w:instrText xml:space="preserve"> HYPERLINK \l _Toc229 </w:instrText>
      </w:r>
      <w:r>
        <w:rPr>
          <w:szCs w:val="24"/>
        </w:rPr>
        <w:fldChar w:fldCharType="separate"/>
      </w:r>
      <w:r>
        <w:rPr>
          <w:rFonts w:hint="eastAsia"/>
          <w:szCs w:val="24"/>
        </w:rPr>
        <w:t>7</w:t>
      </w:r>
      <w:r>
        <w:rPr>
          <w:szCs w:val="24"/>
        </w:rPr>
        <w:t>.1目的和重点</w:t>
      </w:r>
      <w:r>
        <w:tab/>
      </w:r>
      <w:r>
        <w:fldChar w:fldCharType="begin"/>
      </w:r>
      <w:r>
        <w:instrText xml:space="preserve"> PAGEREF _Toc229 \h </w:instrText>
      </w:r>
      <w:r>
        <w:fldChar w:fldCharType="separate"/>
      </w:r>
      <w:r>
        <w:t>137</w:t>
      </w:r>
      <w:r>
        <w:fldChar w:fldCharType="end"/>
      </w:r>
      <w:r>
        <w:rPr>
          <w:color w:val="auto"/>
          <w:szCs w:val="24"/>
        </w:rPr>
        <w:fldChar w:fldCharType="end"/>
      </w:r>
    </w:p>
    <w:p w14:paraId="79497A9D">
      <w:pPr>
        <w:pStyle w:val="74"/>
        <w:tabs>
          <w:tab w:val="right" w:leader="dot" w:pos="9070"/>
          <w:tab w:val="clear" w:pos="1200"/>
          <w:tab w:val="clear" w:pos="9060"/>
        </w:tabs>
      </w:pPr>
      <w:r>
        <w:rPr>
          <w:color w:val="auto"/>
          <w:szCs w:val="24"/>
        </w:rPr>
        <w:fldChar w:fldCharType="begin"/>
      </w:r>
      <w:r>
        <w:rPr>
          <w:szCs w:val="24"/>
        </w:rPr>
        <w:instrText xml:space="preserve"> HYPERLINK \l _Toc18797 </w:instrText>
      </w:r>
      <w:r>
        <w:rPr>
          <w:szCs w:val="24"/>
        </w:rPr>
        <w:fldChar w:fldCharType="separate"/>
      </w:r>
      <w:r>
        <w:rPr>
          <w:szCs w:val="24"/>
        </w:rPr>
        <w:t>7.2风险</w:t>
      </w:r>
      <w:r>
        <w:rPr>
          <w:rFonts w:hint="eastAsia"/>
          <w:szCs w:val="24"/>
        </w:rPr>
        <w:t>调查</w:t>
      </w:r>
      <w:r>
        <w:tab/>
      </w:r>
      <w:r>
        <w:fldChar w:fldCharType="begin"/>
      </w:r>
      <w:r>
        <w:instrText xml:space="preserve"> PAGEREF _Toc18797 \h </w:instrText>
      </w:r>
      <w:r>
        <w:fldChar w:fldCharType="separate"/>
      </w:r>
      <w:r>
        <w:t>137</w:t>
      </w:r>
      <w:r>
        <w:fldChar w:fldCharType="end"/>
      </w:r>
      <w:r>
        <w:rPr>
          <w:color w:val="auto"/>
          <w:szCs w:val="24"/>
        </w:rPr>
        <w:fldChar w:fldCharType="end"/>
      </w:r>
    </w:p>
    <w:p w14:paraId="6BF5F220">
      <w:pPr>
        <w:pStyle w:val="74"/>
        <w:tabs>
          <w:tab w:val="right" w:leader="dot" w:pos="9070"/>
          <w:tab w:val="clear" w:pos="1200"/>
          <w:tab w:val="clear" w:pos="9060"/>
        </w:tabs>
      </w:pPr>
      <w:r>
        <w:rPr>
          <w:color w:val="auto"/>
          <w:szCs w:val="24"/>
        </w:rPr>
        <w:fldChar w:fldCharType="begin"/>
      </w:r>
      <w:r>
        <w:rPr>
          <w:szCs w:val="24"/>
        </w:rPr>
        <w:instrText xml:space="preserve"> HYPERLINK \l _Toc6631 </w:instrText>
      </w:r>
      <w:r>
        <w:rPr>
          <w:szCs w:val="24"/>
        </w:rPr>
        <w:fldChar w:fldCharType="separate"/>
      </w:r>
      <w:r>
        <w:rPr>
          <w:rFonts w:hint="eastAsia"/>
          <w:szCs w:val="24"/>
        </w:rPr>
        <w:t>7</w:t>
      </w:r>
      <w:r>
        <w:rPr>
          <w:szCs w:val="24"/>
        </w:rPr>
        <w:t>.3</w:t>
      </w:r>
      <w:r>
        <w:rPr>
          <w:rFonts w:hint="eastAsia"/>
          <w:szCs w:val="24"/>
        </w:rPr>
        <w:t>风险潜势初判</w:t>
      </w:r>
      <w:r>
        <w:tab/>
      </w:r>
      <w:r>
        <w:fldChar w:fldCharType="begin"/>
      </w:r>
      <w:r>
        <w:instrText xml:space="preserve"> PAGEREF _Toc6631 \h </w:instrText>
      </w:r>
      <w:r>
        <w:fldChar w:fldCharType="separate"/>
      </w:r>
      <w:r>
        <w:t>142</w:t>
      </w:r>
      <w:r>
        <w:fldChar w:fldCharType="end"/>
      </w:r>
      <w:r>
        <w:rPr>
          <w:color w:val="auto"/>
          <w:szCs w:val="24"/>
        </w:rPr>
        <w:fldChar w:fldCharType="end"/>
      </w:r>
    </w:p>
    <w:p w14:paraId="5D60FC87">
      <w:pPr>
        <w:pStyle w:val="74"/>
        <w:tabs>
          <w:tab w:val="right" w:leader="dot" w:pos="9070"/>
          <w:tab w:val="clear" w:pos="1200"/>
          <w:tab w:val="clear" w:pos="9060"/>
        </w:tabs>
      </w:pPr>
      <w:r>
        <w:rPr>
          <w:color w:val="auto"/>
          <w:szCs w:val="24"/>
        </w:rPr>
        <w:fldChar w:fldCharType="begin"/>
      </w:r>
      <w:r>
        <w:rPr>
          <w:szCs w:val="24"/>
        </w:rPr>
        <w:instrText xml:space="preserve"> HYPERLINK \l _Toc9846 </w:instrText>
      </w:r>
      <w:r>
        <w:rPr>
          <w:szCs w:val="24"/>
        </w:rPr>
        <w:fldChar w:fldCharType="separate"/>
      </w:r>
      <w:r>
        <w:rPr>
          <w:rFonts w:hint="eastAsia"/>
        </w:rPr>
        <w:t>7</w:t>
      </w:r>
      <w:r>
        <w:t>.4评价等级及评价范围</w:t>
      </w:r>
      <w:r>
        <w:tab/>
      </w:r>
      <w:r>
        <w:fldChar w:fldCharType="begin"/>
      </w:r>
      <w:r>
        <w:instrText xml:space="preserve"> PAGEREF _Toc9846 \h </w:instrText>
      </w:r>
      <w:r>
        <w:fldChar w:fldCharType="separate"/>
      </w:r>
      <w:r>
        <w:t>146</w:t>
      </w:r>
      <w:r>
        <w:fldChar w:fldCharType="end"/>
      </w:r>
      <w:r>
        <w:rPr>
          <w:color w:val="auto"/>
          <w:szCs w:val="24"/>
        </w:rPr>
        <w:fldChar w:fldCharType="end"/>
      </w:r>
    </w:p>
    <w:p w14:paraId="5D1E5753">
      <w:pPr>
        <w:pStyle w:val="74"/>
        <w:tabs>
          <w:tab w:val="right" w:leader="dot" w:pos="9070"/>
          <w:tab w:val="clear" w:pos="1200"/>
          <w:tab w:val="clear" w:pos="9060"/>
        </w:tabs>
      </w:pPr>
      <w:r>
        <w:rPr>
          <w:color w:val="auto"/>
          <w:szCs w:val="24"/>
        </w:rPr>
        <w:fldChar w:fldCharType="begin"/>
      </w:r>
      <w:r>
        <w:rPr>
          <w:szCs w:val="24"/>
        </w:rPr>
        <w:instrText xml:space="preserve"> HYPERLINK \l _Toc21061 </w:instrText>
      </w:r>
      <w:r>
        <w:rPr>
          <w:szCs w:val="24"/>
        </w:rPr>
        <w:fldChar w:fldCharType="separate"/>
      </w:r>
      <w:r>
        <w:rPr>
          <w:rFonts w:hint="eastAsia"/>
        </w:rPr>
        <w:t>7</w:t>
      </w:r>
      <w:r>
        <w:t>.5</w:t>
      </w:r>
      <w:r>
        <w:rPr>
          <w:rFonts w:hint="eastAsia"/>
        </w:rPr>
        <w:t>环境风险识别</w:t>
      </w:r>
      <w:r>
        <w:tab/>
      </w:r>
      <w:r>
        <w:fldChar w:fldCharType="begin"/>
      </w:r>
      <w:r>
        <w:instrText xml:space="preserve"> PAGEREF _Toc21061 \h </w:instrText>
      </w:r>
      <w:r>
        <w:fldChar w:fldCharType="separate"/>
      </w:r>
      <w:r>
        <w:t>147</w:t>
      </w:r>
      <w:r>
        <w:fldChar w:fldCharType="end"/>
      </w:r>
      <w:r>
        <w:rPr>
          <w:color w:val="auto"/>
          <w:szCs w:val="24"/>
        </w:rPr>
        <w:fldChar w:fldCharType="end"/>
      </w:r>
    </w:p>
    <w:p w14:paraId="30A1AAE9">
      <w:pPr>
        <w:pStyle w:val="74"/>
        <w:tabs>
          <w:tab w:val="right" w:leader="dot" w:pos="9070"/>
          <w:tab w:val="clear" w:pos="1200"/>
          <w:tab w:val="clear" w:pos="9060"/>
        </w:tabs>
      </w:pPr>
      <w:r>
        <w:rPr>
          <w:color w:val="auto"/>
          <w:szCs w:val="24"/>
        </w:rPr>
        <w:fldChar w:fldCharType="begin"/>
      </w:r>
      <w:r>
        <w:rPr>
          <w:szCs w:val="24"/>
        </w:rPr>
        <w:instrText xml:space="preserve"> HYPERLINK \l _Toc14357 </w:instrText>
      </w:r>
      <w:r>
        <w:rPr>
          <w:szCs w:val="24"/>
        </w:rPr>
        <w:fldChar w:fldCharType="separate"/>
      </w:r>
      <w:r>
        <w:rPr>
          <w:rFonts w:hint="eastAsia"/>
        </w:rPr>
        <w:t>7</w:t>
      </w:r>
      <w:r>
        <w:t>.</w:t>
      </w:r>
      <w:r>
        <w:rPr>
          <w:lang w:val="en-US"/>
        </w:rPr>
        <w:t>6</w:t>
      </w:r>
      <w:r>
        <w:t>环境风险防范措施</w:t>
      </w:r>
      <w:r>
        <w:tab/>
      </w:r>
      <w:r>
        <w:fldChar w:fldCharType="begin"/>
      </w:r>
      <w:r>
        <w:instrText xml:space="preserve"> PAGEREF _Toc14357 \h </w:instrText>
      </w:r>
      <w:r>
        <w:fldChar w:fldCharType="separate"/>
      </w:r>
      <w:r>
        <w:t>148</w:t>
      </w:r>
      <w:r>
        <w:fldChar w:fldCharType="end"/>
      </w:r>
      <w:r>
        <w:rPr>
          <w:color w:val="auto"/>
          <w:szCs w:val="24"/>
        </w:rPr>
        <w:fldChar w:fldCharType="end"/>
      </w:r>
    </w:p>
    <w:p w14:paraId="7E601EDF">
      <w:pPr>
        <w:pStyle w:val="74"/>
        <w:tabs>
          <w:tab w:val="right" w:leader="dot" w:pos="9070"/>
          <w:tab w:val="clear" w:pos="1200"/>
          <w:tab w:val="clear" w:pos="9060"/>
        </w:tabs>
      </w:pPr>
      <w:r>
        <w:rPr>
          <w:color w:val="auto"/>
          <w:szCs w:val="24"/>
        </w:rPr>
        <w:fldChar w:fldCharType="begin"/>
      </w:r>
      <w:r>
        <w:rPr>
          <w:szCs w:val="24"/>
        </w:rPr>
        <w:instrText xml:space="preserve"> HYPERLINK \l _Toc29149 </w:instrText>
      </w:r>
      <w:r>
        <w:rPr>
          <w:szCs w:val="24"/>
        </w:rPr>
        <w:fldChar w:fldCharType="separate"/>
      </w:r>
      <w:r>
        <w:rPr>
          <w:rFonts w:hint="eastAsia"/>
        </w:rPr>
        <w:t>7</w:t>
      </w:r>
      <w:r>
        <w:t>.</w:t>
      </w:r>
      <w:r>
        <w:rPr>
          <w:lang w:val="en-US"/>
        </w:rPr>
        <w:t>7</w:t>
      </w:r>
      <w:r>
        <w:t>环境风险应急预案</w:t>
      </w:r>
      <w:r>
        <w:tab/>
      </w:r>
      <w:r>
        <w:fldChar w:fldCharType="begin"/>
      </w:r>
      <w:r>
        <w:instrText xml:space="preserve"> PAGEREF _Toc29149 \h </w:instrText>
      </w:r>
      <w:r>
        <w:fldChar w:fldCharType="separate"/>
      </w:r>
      <w:r>
        <w:t>154</w:t>
      </w:r>
      <w:r>
        <w:fldChar w:fldCharType="end"/>
      </w:r>
      <w:r>
        <w:rPr>
          <w:color w:val="auto"/>
          <w:szCs w:val="24"/>
        </w:rPr>
        <w:fldChar w:fldCharType="end"/>
      </w:r>
    </w:p>
    <w:p w14:paraId="126EEA88">
      <w:pPr>
        <w:pStyle w:val="74"/>
        <w:tabs>
          <w:tab w:val="right" w:leader="dot" w:pos="9070"/>
          <w:tab w:val="clear" w:pos="1200"/>
          <w:tab w:val="clear" w:pos="9060"/>
        </w:tabs>
      </w:pPr>
      <w:r>
        <w:rPr>
          <w:color w:val="auto"/>
          <w:szCs w:val="24"/>
        </w:rPr>
        <w:fldChar w:fldCharType="begin"/>
      </w:r>
      <w:r>
        <w:rPr>
          <w:szCs w:val="24"/>
        </w:rPr>
        <w:instrText xml:space="preserve"> HYPERLINK \l _Toc19979 </w:instrText>
      </w:r>
      <w:r>
        <w:rPr>
          <w:szCs w:val="24"/>
        </w:rPr>
        <w:fldChar w:fldCharType="separate"/>
      </w:r>
      <w:r>
        <w:rPr>
          <w:rFonts w:hint="eastAsia"/>
        </w:rPr>
        <w:t>7</w:t>
      </w:r>
      <w:r>
        <w:t>.</w:t>
      </w:r>
      <w:r>
        <w:rPr>
          <w:lang w:val="en-US"/>
        </w:rPr>
        <w:t>8</w:t>
      </w:r>
      <w:r>
        <w:t>环境风险防范建议</w:t>
      </w:r>
      <w:r>
        <w:tab/>
      </w:r>
      <w:r>
        <w:fldChar w:fldCharType="begin"/>
      </w:r>
      <w:r>
        <w:instrText xml:space="preserve"> PAGEREF _Toc19979 \h </w:instrText>
      </w:r>
      <w:r>
        <w:fldChar w:fldCharType="separate"/>
      </w:r>
      <w:r>
        <w:t>157</w:t>
      </w:r>
      <w:r>
        <w:fldChar w:fldCharType="end"/>
      </w:r>
      <w:r>
        <w:rPr>
          <w:color w:val="auto"/>
          <w:szCs w:val="24"/>
        </w:rPr>
        <w:fldChar w:fldCharType="end"/>
      </w:r>
    </w:p>
    <w:p w14:paraId="49CCFCC0">
      <w:pPr>
        <w:pStyle w:val="74"/>
        <w:tabs>
          <w:tab w:val="right" w:leader="dot" w:pos="9070"/>
          <w:tab w:val="clear" w:pos="1200"/>
          <w:tab w:val="clear" w:pos="9060"/>
        </w:tabs>
      </w:pPr>
      <w:r>
        <w:rPr>
          <w:color w:val="auto"/>
          <w:szCs w:val="24"/>
        </w:rPr>
        <w:fldChar w:fldCharType="begin"/>
      </w:r>
      <w:r>
        <w:rPr>
          <w:szCs w:val="24"/>
        </w:rPr>
        <w:instrText xml:space="preserve"> HYPERLINK \l _Toc31586 </w:instrText>
      </w:r>
      <w:r>
        <w:rPr>
          <w:szCs w:val="24"/>
        </w:rPr>
        <w:fldChar w:fldCharType="separate"/>
      </w:r>
      <w:r>
        <w:rPr>
          <w:rFonts w:hint="eastAsia"/>
        </w:rPr>
        <w:t>7</w:t>
      </w:r>
      <w:r>
        <w:t>.9</w:t>
      </w:r>
      <w:r>
        <w:rPr>
          <w:rFonts w:hint="eastAsia"/>
        </w:rPr>
        <w:t>环境风险评价结论</w:t>
      </w:r>
      <w:r>
        <w:tab/>
      </w:r>
      <w:r>
        <w:fldChar w:fldCharType="begin"/>
      </w:r>
      <w:r>
        <w:instrText xml:space="preserve"> PAGEREF _Toc31586 \h </w:instrText>
      </w:r>
      <w:r>
        <w:fldChar w:fldCharType="separate"/>
      </w:r>
      <w:r>
        <w:t>157</w:t>
      </w:r>
      <w:r>
        <w:fldChar w:fldCharType="end"/>
      </w:r>
      <w:r>
        <w:rPr>
          <w:color w:val="auto"/>
          <w:szCs w:val="24"/>
        </w:rPr>
        <w:fldChar w:fldCharType="end"/>
      </w:r>
    </w:p>
    <w:p w14:paraId="7010876D">
      <w:pPr>
        <w:pStyle w:val="59"/>
        <w:tabs>
          <w:tab w:val="right" w:leader="dot" w:pos="9070"/>
          <w:tab w:val="clear" w:pos="960"/>
          <w:tab w:val="clear" w:pos="9060"/>
        </w:tabs>
      </w:pPr>
      <w:r>
        <w:rPr>
          <w:color w:val="auto"/>
          <w:szCs w:val="24"/>
        </w:rPr>
        <w:fldChar w:fldCharType="begin"/>
      </w:r>
      <w:r>
        <w:rPr>
          <w:szCs w:val="24"/>
        </w:rPr>
        <w:instrText xml:space="preserve"> HYPERLINK \l _Toc21098 </w:instrText>
      </w:r>
      <w:r>
        <w:rPr>
          <w:szCs w:val="24"/>
        </w:rPr>
        <w:fldChar w:fldCharType="separate"/>
      </w:r>
      <w:r>
        <w:rPr>
          <w:szCs w:val="24"/>
        </w:rPr>
        <w:t>8环境保护措施及其</w:t>
      </w:r>
      <w:r>
        <w:rPr>
          <w:rFonts w:hint="eastAsia"/>
          <w:szCs w:val="24"/>
        </w:rPr>
        <w:t>可行性</w:t>
      </w:r>
      <w:r>
        <w:rPr>
          <w:szCs w:val="24"/>
        </w:rPr>
        <w:t>论证</w:t>
      </w:r>
      <w:r>
        <w:tab/>
      </w:r>
      <w:r>
        <w:fldChar w:fldCharType="begin"/>
      </w:r>
      <w:r>
        <w:instrText xml:space="preserve"> PAGEREF _Toc21098 \h </w:instrText>
      </w:r>
      <w:r>
        <w:fldChar w:fldCharType="separate"/>
      </w:r>
      <w:r>
        <w:t>160</w:t>
      </w:r>
      <w:r>
        <w:fldChar w:fldCharType="end"/>
      </w:r>
      <w:r>
        <w:rPr>
          <w:color w:val="auto"/>
          <w:szCs w:val="24"/>
        </w:rPr>
        <w:fldChar w:fldCharType="end"/>
      </w:r>
    </w:p>
    <w:p w14:paraId="4517DA1F">
      <w:pPr>
        <w:pStyle w:val="74"/>
        <w:tabs>
          <w:tab w:val="right" w:leader="dot" w:pos="9070"/>
          <w:tab w:val="clear" w:pos="1200"/>
          <w:tab w:val="clear" w:pos="9060"/>
        </w:tabs>
      </w:pPr>
      <w:r>
        <w:rPr>
          <w:color w:val="auto"/>
          <w:szCs w:val="24"/>
        </w:rPr>
        <w:fldChar w:fldCharType="begin"/>
      </w:r>
      <w:r>
        <w:rPr>
          <w:szCs w:val="24"/>
        </w:rPr>
        <w:instrText xml:space="preserve"> HYPERLINK \l _Toc542 </w:instrText>
      </w:r>
      <w:r>
        <w:rPr>
          <w:szCs w:val="24"/>
        </w:rPr>
        <w:fldChar w:fldCharType="separate"/>
      </w:r>
      <w:r>
        <w:rPr>
          <w:szCs w:val="24"/>
        </w:rPr>
        <w:t>8.1施工期环境保护措施</w:t>
      </w:r>
      <w:r>
        <w:tab/>
      </w:r>
      <w:r>
        <w:fldChar w:fldCharType="begin"/>
      </w:r>
      <w:r>
        <w:instrText xml:space="preserve"> PAGEREF _Toc542 \h </w:instrText>
      </w:r>
      <w:r>
        <w:fldChar w:fldCharType="separate"/>
      </w:r>
      <w:r>
        <w:t>160</w:t>
      </w:r>
      <w:r>
        <w:fldChar w:fldCharType="end"/>
      </w:r>
      <w:r>
        <w:rPr>
          <w:color w:val="auto"/>
          <w:szCs w:val="24"/>
        </w:rPr>
        <w:fldChar w:fldCharType="end"/>
      </w:r>
    </w:p>
    <w:p w14:paraId="1F13D79B">
      <w:pPr>
        <w:pStyle w:val="74"/>
        <w:tabs>
          <w:tab w:val="right" w:leader="dot" w:pos="9070"/>
          <w:tab w:val="clear" w:pos="1200"/>
          <w:tab w:val="clear" w:pos="9060"/>
        </w:tabs>
      </w:pPr>
      <w:r>
        <w:rPr>
          <w:color w:val="auto"/>
          <w:szCs w:val="24"/>
        </w:rPr>
        <w:fldChar w:fldCharType="begin"/>
      </w:r>
      <w:r>
        <w:rPr>
          <w:szCs w:val="24"/>
        </w:rPr>
        <w:instrText xml:space="preserve"> HYPERLINK \l _Toc7884 </w:instrText>
      </w:r>
      <w:r>
        <w:rPr>
          <w:szCs w:val="24"/>
        </w:rPr>
        <w:fldChar w:fldCharType="separate"/>
      </w:r>
      <w:r>
        <w:rPr>
          <w:szCs w:val="24"/>
        </w:rPr>
        <w:t>8.2</w:t>
      </w:r>
      <w:r>
        <w:rPr>
          <w:rFonts w:hint="eastAsia"/>
          <w:szCs w:val="24"/>
        </w:rPr>
        <w:t>运营期环境保护措施</w:t>
      </w:r>
      <w:r>
        <w:tab/>
      </w:r>
      <w:r>
        <w:fldChar w:fldCharType="begin"/>
      </w:r>
      <w:r>
        <w:instrText xml:space="preserve"> PAGEREF _Toc7884 \h </w:instrText>
      </w:r>
      <w:r>
        <w:fldChar w:fldCharType="separate"/>
      </w:r>
      <w:r>
        <w:t>163</w:t>
      </w:r>
      <w:r>
        <w:fldChar w:fldCharType="end"/>
      </w:r>
      <w:r>
        <w:rPr>
          <w:color w:val="auto"/>
          <w:szCs w:val="24"/>
        </w:rPr>
        <w:fldChar w:fldCharType="end"/>
      </w:r>
    </w:p>
    <w:p w14:paraId="32FBFD97">
      <w:pPr>
        <w:pStyle w:val="74"/>
        <w:tabs>
          <w:tab w:val="right" w:leader="dot" w:pos="9070"/>
          <w:tab w:val="clear" w:pos="1200"/>
          <w:tab w:val="clear" w:pos="9060"/>
        </w:tabs>
      </w:pPr>
      <w:r>
        <w:rPr>
          <w:color w:val="auto"/>
          <w:szCs w:val="24"/>
        </w:rPr>
        <w:fldChar w:fldCharType="begin"/>
      </w:r>
      <w:r>
        <w:rPr>
          <w:szCs w:val="24"/>
        </w:rPr>
        <w:instrText xml:space="preserve"> HYPERLINK \l _Toc9940 </w:instrText>
      </w:r>
      <w:r>
        <w:rPr>
          <w:szCs w:val="24"/>
        </w:rPr>
        <w:fldChar w:fldCharType="separate"/>
      </w:r>
      <w:r>
        <w:rPr>
          <w:szCs w:val="24"/>
        </w:rPr>
        <w:t>8.3</w:t>
      </w:r>
      <w:r>
        <w:rPr>
          <w:rFonts w:hint="eastAsia"/>
          <w:szCs w:val="24"/>
        </w:rPr>
        <w:t>环保措施及环保投资汇总</w:t>
      </w:r>
      <w:r>
        <w:tab/>
      </w:r>
      <w:r>
        <w:fldChar w:fldCharType="begin"/>
      </w:r>
      <w:r>
        <w:instrText xml:space="preserve"> PAGEREF _Toc9940 \h </w:instrText>
      </w:r>
      <w:r>
        <w:fldChar w:fldCharType="separate"/>
      </w:r>
      <w:r>
        <w:t>178</w:t>
      </w:r>
      <w:r>
        <w:fldChar w:fldCharType="end"/>
      </w:r>
      <w:r>
        <w:rPr>
          <w:color w:val="auto"/>
          <w:szCs w:val="24"/>
        </w:rPr>
        <w:fldChar w:fldCharType="end"/>
      </w:r>
    </w:p>
    <w:p w14:paraId="4F247985">
      <w:pPr>
        <w:pStyle w:val="59"/>
        <w:tabs>
          <w:tab w:val="right" w:leader="dot" w:pos="9070"/>
          <w:tab w:val="clear" w:pos="960"/>
          <w:tab w:val="clear" w:pos="9060"/>
        </w:tabs>
      </w:pPr>
      <w:r>
        <w:rPr>
          <w:color w:val="auto"/>
          <w:szCs w:val="24"/>
        </w:rPr>
        <w:fldChar w:fldCharType="begin"/>
      </w:r>
      <w:r>
        <w:rPr>
          <w:szCs w:val="24"/>
        </w:rPr>
        <w:instrText xml:space="preserve"> HYPERLINK \l _Toc4145 </w:instrText>
      </w:r>
      <w:r>
        <w:rPr>
          <w:szCs w:val="24"/>
        </w:rPr>
        <w:fldChar w:fldCharType="separate"/>
      </w:r>
      <w:r>
        <w:rPr>
          <w:szCs w:val="24"/>
        </w:rPr>
        <w:t>9环境影响经济损益分析</w:t>
      </w:r>
      <w:r>
        <w:tab/>
      </w:r>
      <w:r>
        <w:fldChar w:fldCharType="begin"/>
      </w:r>
      <w:r>
        <w:instrText xml:space="preserve"> PAGEREF _Toc4145 \h </w:instrText>
      </w:r>
      <w:r>
        <w:fldChar w:fldCharType="separate"/>
      </w:r>
      <w:r>
        <w:t>180</w:t>
      </w:r>
      <w:r>
        <w:fldChar w:fldCharType="end"/>
      </w:r>
      <w:r>
        <w:rPr>
          <w:color w:val="auto"/>
          <w:szCs w:val="24"/>
        </w:rPr>
        <w:fldChar w:fldCharType="end"/>
      </w:r>
    </w:p>
    <w:p w14:paraId="7350C2D2">
      <w:pPr>
        <w:pStyle w:val="74"/>
        <w:tabs>
          <w:tab w:val="right" w:leader="dot" w:pos="9070"/>
          <w:tab w:val="clear" w:pos="1200"/>
          <w:tab w:val="clear" w:pos="9060"/>
        </w:tabs>
      </w:pPr>
      <w:r>
        <w:rPr>
          <w:color w:val="auto"/>
          <w:szCs w:val="24"/>
        </w:rPr>
        <w:fldChar w:fldCharType="begin"/>
      </w:r>
      <w:r>
        <w:rPr>
          <w:szCs w:val="24"/>
        </w:rPr>
        <w:instrText xml:space="preserve"> HYPERLINK \l _Toc15528 </w:instrText>
      </w:r>
      <w:r>
        <w:rPr>
          <w:szCs w:val="24"/>
        </w:rPr>
        <w:fldChar w:fldCharType="separate"/>
      </w:r>
      <w:r>
        <w:rPr>
          <w:szCs w:val="24"/>
        </w:rPr>
        <w:t>9.1 工程投资概算</w:t>
      </w:r>
      <w:r>
        <w:tab/>
      </w:r>
      <w:r>
        <w:fldChar w:fldCharType="begin"/>
      </w:r>
      <w:r>
        <w:instrText xml:space="preserve"> PAGEREF _Toc15528 \h </w:instrText>
      </w:r>
      <w:r>
        <w:fldChar w:fldCharType="separate"/>
      </w:r>
      <w:r>
        <w:t>180</w:t>
      </w:r>
      <w:r>
        <w:fldChar w:fldCharType="end"/>
      </w:r>
      <w:r>
        <w:rPr>
          <w:color w:val="auto"/>
          <w:szCs w:val="24"/>
        </w:rPr>
        <w:fldChar w:fldCharType="end"/>
      </w:r>
    </w:p>
    <w:p w14:paraId="28E4DD77">
      <w:pPr>
        <w:pStyle w:val="74"/>
        <w:tabs>
          <w:tab w:val="right" w:leader="dot" w:pos="9070"/>
          <w:tab w:val="clear" w:pos="1200"/>
          <w:tab w:val="clear" w:pos="9060"/>
        </w:tabs>
      </w:pPr>
      <w:r>
        <w:rPr>
          <w:color w:val="auto"/>
          <w:szCs w:val="24"/>
        </w:rPr>
        <w:fldChar w:fldCharType="begin"/>
      </w:r>
      <w:r>
        <w:rPr>
          <w:szCs w:val="24"/>
        </w:rPr>
        <w:instrText xml:space="preserve"> HYPERLINK \l _Toc30415 </w:instrText>
      </w:r>
      <w:r>
        <w:rPr>
          <w:szCs w:val="24"/>
        </w:rPr>
        <w:fldChar w:fldCharType="separate"/>
      </w:r>
      <w:r>
        <w:t>9.2社会效益分析</w:t>
      </w:r>
      <w:r>
        <w:tab/>
      </w:r>
      <w:r>
        <w:fldChar w:fldCharType="begin"/>
      </w:r>
      <w:r>
        <w:instrText xml:space="preserve"> PAGEREF _Toc30415 \h </w:instrText>
      </w:r>
      <w:r>
        <w:fldChar w:fldCharType="separate"/>
      </w:r>
      <w:r>
        <w:t>180</w:t>
      </w:r>
      <w:r>
        <w:fldChar w:fldCharType="end"/>
      </w:r>
      <w:r>
        <w:rPr>
          <w:color w:val="auto"/>
          <w:szCs w:val="24"/>
        </w:rPr>
        <w:fldChar w:fldCharType="end"/>
      </w:r>
    </w:p>
    <w:p w14:paraId="7ABC723D">
      <w:pPr>
        <w:pStyle w:val="74"/>
        <w:tabs>
          <w:tab w:val="right" w:leader="dot" w:pos="9070"/>
          <w:tab w:val="clear" w:pos="1200"/>
          <w:tab w:val="clear" w:pos="9060"/>
        </w:tabs>
      </w:pPr>
      <w:r>
        <w:rPr>
          <w:color w:val="auto"/>
          <w:szCs w:val="24"/>
        </w:rPr>
        <w:fldChar w:fldCharType="begin"/>
      </w:r>
      <w:r>
        <w:rPr>
          <w:szCs w:val="24"/>
        </w:rPr>
        <w:instrText xml:space="preserve"> HYPERLINK \l _Toc24105 </w:instrText>
      </w:r>
      <w:r>
        <w:rPr>
          <w:szCs w:val="24"/>
        </w:rPr>
        <w:fldChar w:fldCharType="separate"/>
      </w:r>
      <w:r>
        <w:t>9.3经济效益</w:t>
      </w:r>
      <w:r>
        <w:tab/>
      </w:r>
      <w:r>
        <w:fldChar w:fldCharType="begin"/>
      </w:r>
      <w:r>
        <w:instrText xml:space="preserve"> PAGEREF _Toc24105 \h </w:instrText>
      </w:r>
      <w:r>
        <w:fldChar w:fldCharType="separate"/>
      </w:r>
      <w:r>
        <w:t>180</w:t>
      </w:r>
      <w:r>
        <w:fldChar w:fldCharType="end"/>
      </w:r>
      <w:r>
        <w:rPr>
          <w:color w:val="auto"/>
          <w:szCs w:val="24"/>
        </w:rPr>
        <w:fldChar w:fldCharType="end"/>
      </w:r>
    </w:p>
    <w:p w14:paraId="26082AD4">
      <w:pPr>
        <w:pStyle w:val="74"/>
        <w:tabs>
          <w:tab w:val="right" w:leader="dot" w:pos="9070"/>
          <w:tab w:val="clear" w:pos="1200"/>
          <w:tab w:val="clear" w:pos="9060"/>
        </w:tabs>
      </w:pPr>
      <w:r>
        <w:rPr>
          <w:color w:val="auto"/>
          <w:szCs w:val="24"/>
        </w:rPr>
        <w:fldChar w:fldCharType="begin"/>
      </w:r>
      <w:r>
        <w:rPr>
          <w:szCs w:val="24"/>
        </w:rPr>
        <w:instrText xml:space="preserve"> HYPERLINK \l _Toc10584 </w:instrText>
      </w:r>
      <w:r>
        <w:rPr>
          <w:szCs w:val="24"/>
        </w:rPr>
        <w:fldChar w:fldCharType="separate"/>
      </w:r>
      <w:r>
        <w:t>9.4环境效益</w:t>
      </w:r>
      <w:r>
        <w:tab/>
      </w:r>
      <w:r>
        <w:fldChar w:fldCharType="begin"/>
      </w:r>
      <w:r>
        <w:instrText xml:space="preserve"> PAGEREF _Toc10584 \h </w:instrText>
      </w:r>
      <w:r>
        <w:fldChar w:fldCharType="separate"/>
      </w:r>
      <w:r>
        <w:t>180</w:t>
      </w:r>
      <w:r>
        <w:fldChar w:fldCharType="end"/>
      </w:r>
      <w:r>
        <w:rPr>
          <w:color w:val="auto"/>
          <w:szCs w:val="24"/>
        </w:rPr>
        <w:fldChar w:fldCharType="end"/>
      </w:r>
    </w:p>
    <w:p w14:paraId="527E4094">
      <w:pPr>
        <w:pStyle w:val="59"/>
        <w:tabs>
          <w:tab w:val="right" w:leader="dot" w:pos="9070"/>
          <w:tab w:val="clear" w:pos="960"/>
          <w:tab w:val="clear" w:pos="9060"/>
        </w:tabs>
      </w:pPr>
      <w:r>
        <w:rPr>
          <w:color w:val="auto"/>
          <w:szCs w:val="24"/>
        </w:rPr>
        <w:fldChar w:fldCharType="begin"/>
      </w:r>
      <w:r>
        <w:rPr>
          <w:szCs w:val="24"/>
        </w:rPr>
        <w:instrText xml:space="preserve"> HYPERLINK \l _Toc32643 </w:instrText>
      </w:r>
      <w:r>
        <w:rPr>
          <w:szCs w:val="24"/>
        </w:rPr>
        <w:fldChar w:fldCharType="separate"/>
      </w:r>
      <w:r>
        <w:rPr>
          <w:szCs w:val="24"/>
        </w:rPr>
        <w:t>10环境管理与环境监测</w:t>
      </w:r>
      <w:r>
        <w:tab/>
      </w:r>
      <w:r>
        <w:fldChar w:fldCharType="begin"/>
      </w:r>
      <w:r>
        <w:instrText xml:space="preserve"> PAGEREF _Toc32643 \h </w:instrText>
      </w:r>
      <w:r>
        <w:fldChar w:fldCharType="separate"/>
      </w:r>
      <w:r>
        <w:t>182</w:t>
      </w:r>
      <w:r>
        <w:fldChar w:fldCharType="end"/>
      </w:r>
      <w:r>
        <w:rPr>
          <w:color w:val="auto"/>
          <w:szCs w:val="24"/>
        </w:rPr>
        <w:fldChar w:fldCharType="end"/>
      </w:r>
    </w:p>
    <w:p w14:paraId="47A1DF50">
      <w:pPr>
        <w:pStyle w:val="74"/>
        <w:tabs>
          <w:tab w:val="right" w:leader="dot" w:pos="9070"/>
          <w:tab w:val="clear" w:pos="1200"/>
          <w:tab w:val="clear" w:pos="9060"/>
        </w:tabs>
      </w:pPr>
      <w:r>
        <w:rPr>
          <w:color w:val="auto"/>
          <w:szCs w:val="24"/>
        </w:rPr>
        <w:fldChar w:fldCharType="begin"/>
      </w:r>
      <w:r>
        <w:rPr>
          <w:szCs w:val="24"/>
        </w:rPr>
        <w:instrText xml:space="preserve"> HYPERLINK \l _Toc31203 </w:instrText>
      </w:r>
      <w:r>
        <w:rPr>
          <w:szCs w:val="24"/>
        </w:rPr>
        <w:fldChar w:fldCharType="separate"/>
      </w:r>
      <w:r>
        <w:rPr>
          <w:rFonts w:hint="eastAsia"/>
          <w:szCs w:val="24"/>
        </w:rPr>
        <w:t>1</w:t>
      </w:r>
      <w:r>
        <w:rPr>
          <w:szCs w:val="24"/>
        </w:rPr>
        <w:t>0.1环境管理</w:t>
      </w:r>
      <w:r>
        <w:tab/>
      </w:r>
      <w:r>
        <w:fldChar w:fldCharType="begin"/>
      </w:r>
      <w:r>
        <w:instrText xml:space="preserve"> PAGEREF _Toc31203 \h </w:instrText>
      </w:r>
      <w:r>
        <w:fldChar w:fldCharType="separate"/>
      </w:r>
      <w:r>
        <w:t>182</w:t>
      </w:r>
      <w:r>
        <w:fldChar w:fldCharType="end"/>
      </w:r>
      <w:r>
        <w:rPr>
          <w:color w:val="auto"/>
          <w:szCs w:val="24"/>
        </w:rPr>
        <w:fldChar w:fldCharType="end"/>
      </w:r>
    </w:p>
    <w:p w14:paraId="4511791E">
      <w:pPr>
        <w:pStyle w:val="74"/>
        <w:tabs>
          <w:tab w:val="right" w:leader="dot" w:pos="9070"/>
          <w:tab w:val="clear" w:pos="1200"/>
          <w:tab w:val="clear" w:pos="9060"/>
        </w:tabs>
      </w:pPr>
      <w:r>
        <w:rPr>
          <w:color w:val="auto"/>
          <w:szCs w:val="24"/>
        </w:rPr>
        <w:fldChar w:fldCharType="begin"/>
      </w:r>
      <w:r>
        <w:rPr>
          <w:szCs w:val="24"/>
        </w:rPr>
        <w:instrText xml:space="preserve"> HYPERLINK \l _Toc21988 </w:instrText>
      </w:r>
      <w:r>
        <w:rPr>
          <w:szCs w:val="24"/>
        </w:rPr>
        <w:fldChar w:fldCharType="separate"/>
      </w:r>
      <w:r>
        <w:rPr>
          <w:rFonts w:hint="eastAsia"/>
          <w:szCs w:val="24"/>
        </w:rPr>
        <w:t>1</w:t>
      </w:r>
      <w:r>
        <w:rPr>
          <w:szCs w:val="24"/>
        </w:rPr>
        <w:t>0.2环境监测</w:t>
      </w:r>
      <w:r>
        <w:tab/>
      </w:r>
      <w:r>
        <w:fldChar w:fldCharType="begin"/>
      </w:r>
      <w:r>
        <w:instrText xml:space="preserve"> PAGEREF _Toc21988 \h </w:instrText>
      </w:r>
      <w:r>
        <w:fldChar w:fldCharType="separate"/>
      </w:r>
      <w:r>
        <w:t>182</w:t>
      </w:r>
      <w:r>
        <w:fldChar w:fldCharType="end"/>
      </w:r>
      <w:r>
        <w:rPr>
          <w:color w:val="auto"/>
          <w:szCs w:val="24"/>
        </w:rPr>
        <w:fldChar w:fldCharType="end"/>
      </w:r>
    </w:p>
    <w:p w14:paraId="02807247">
      <w:pPr>
        <w:pStyle w:val="74"/>
        <w:tabs>
          <w:tab w:val="right" w:leader="dot" w:pos="9070"/>
          <w:tab w:val="clear" w:pos="1200"/>
          <w:tab w:val="clear" w:pos="9060"/>
        </w:tabs>
      </w:pPr>
      <w:r>
        <w:rPr>
          <w:color w:val="auto"/>
          <w:szCs w:val="24"/>
        </w:rPr>
        <w:fldChar w:fldCharType="begin"/>
      </w:r>
      <w:r>
        <w:rPr>
          <w:szCs w:val="24"/>
        </w:rPr>
        <w:instrText xml:space="preserve"> HYPERLINK \l _Toc21363 </w:instrText>
      </w:r>
      <w:r>
        <w:rPr>
          <w:szCs w:val="24"/>
        </w:rPr>
        <w:fldChar w:fldCharType="separate"/>
      </w:r>
      <w:r>
        <w:rPr>
          <w:rFonts w:hint="eastAsia"/>
          <w:szCs w:val="24"/>
        </w:rPr>
        <w:t>1</w:t>
      </w:r>
      <w:r>
        <w:rPr>
          <w:szCs w:val="24"/>
        </w:rPr>
        <w:t>0</w:t>
      </w:r>
      <w:r>
        <w:rPr>
          <w:rFonts w:hint="eastAsia"/>
          <w:szCs w:val="24"/>
        </w:rPr>
        <w:t>.</w:t>
      </w:r>
      <w:r>
        <w:rPr>
          <w:szCs w:val="24"/>
        </w:rPr>
        <w:t>3排污口规整</w:t>
      </w:r>
      <w:r>
        <w:rPr>
          <w:rFonts w:hint="eastAsia"/>
          <w:szCs w:val="24"/>
        </w:rPr>
        <w:t>及排污许可申请</w:t>
      </w:r>
      <w:r>
        <w:tab/>
      </w:r>
      <w:r>
        <w:fldChar w:fldCharType="begin"/>
      </w:r>
      <w:r>
        <w:instrText xml:space="preserve"> PAGEREF _Toc21363 \h </w:instrText>
      </w:r>
      <w:r>
        <w:fldChar w:fldCharType="separate"/>
      </w:r>
      <w:r>
        <w:t>185</w:t>
      </w:r>
      <w:r>
        <w:fldChar w:fldCharType="end"/>
      </w:r>
      <w:r>
        <w:rPr>
          <w:color w:val="auto"/>
          <w:szCs w:val="24"/>
        </w:rPr>
        <w:fldChar w:fldCharType="end"/>
      </w:r>
    </w:p>
    <w:p w14:paraId="451F791E">
      <w:pPr>
        <w:pStyle w:val="74"/>
        <w:tabs>
          <w:tab w:val="right" w:leader="dot" w:pos="9070"/>
          <w:tab w:val="clear" w:pos="1200"/>
          <w:tab w:val="clear" w:pos="9060"/>
        </w:tabs>
      </w:pPr>
      <w:r>
        <w:rPr>
          <w:color w:val="auto"/>
          <w:szCs w:val="24"/>
        </w:rPr>
        <w:fldChar w:fldCharType="begin"/>
      </w:r>
      <w:r>
        <w:rPr>
          <w:szCs w:val="24"/>
        </w:rPr>
        <w:instrText xml:space="preserve"> HYPERLINK \l _Toc3396 </w:instrText>
      </w:r>
      <w:r>
        <w:rPr>
          <w:szCs w:val="24"/>
        </w:rPr>
        <w:fldChar w:fldCharType="separate"/>
      </w:r>
      <w:r>
        <w:rPr>
          <w:rFonts w:hint="eastAsia"/>
          <w:szCs w:val="24"/>
        </w:rPr>
        <w:t>1</w:t>
      </w:r>
      <w:r>
        <w:rPr>
          <w:szCs w:val="24"/>
        </w:rPr>
        <w:t>0</w:t>
      </w:r>
      <w:r>
        <w:rPr>
          <w:rFonts w:hint="eastAsia"/>
          <w:szCs w:val="24"/>
        </w:rPr>
        <w:t>.</w:t>
      </w:r>
      <w:r>
        <w:rPr>
          <w:szCs w:val="24"/>
        </w:rPr>
        <w:t>4污染源排放清单及竣工环境保护验收要求</w:t>
      </w:r>
      <w:r>
        <w:tab/>
      </w:r>
      <w:r>
        <w:fldChar w:fldCharType="begin"/>
      </w:r>
      <w:r>
        <w:instrText xml:space="preserve"> PAGEREF _Toc3396 \h </w:instrText>
      </w:r>
      <w:r>
        <w:fldChar w:fldCharType="separate"/>
      </w:r>
      <w:r>
        <w:t>189</w:t>
      </w:r>
      <w:r>
        <w:fldChar w:fldCharType="end"/>
      </w:r>
      <w:r>
        <w:rPr>
          <w:color w:val="auto"/>
          <w:szCs w:val="24"/>
        </w:rPr>
        <w:fldChar w:fldCharType="end"/>
      </w:r>
    </w:p>
    <w:p w14:paraId="07E1A328">
      <w:pPr>
        <w:pStyle w:val="59"/>
        <w:tabs>
          <w:tab w:val="right" w:leader="dot" w:pos="9070"/>
          <w:tab w:val="clear" w:pos="960"/>
          <w:tab w:val="clear" w:pos="9060"/>
        </w:tabs>
      </w:pPr>
      <w:r>
        <w:rPr>
          <w:color w:val="auto"/>
          <w:szCs w:val="24"/>
        </w:rPr>
        <w:fldChar w:fldCharType="begin"/>
      </w:r>
      <w:r>
        <w:rPr>
          <w:szCs w:val="24"/>
        </w:rPr>
        <w:instrText xml:space="preserve"> HYPERLINK \l _Toc21185 </w:instrText>
      </w:r>
      <w:r>
        <w:rPr>
          <w:szCs w:val="24"/>
        </w:rPr>
        <w:fldChar w:fldCharType="separate"/>
      </w:r>
      <w:r>
        <w:rPr>
          <w:rFonts w:hint="eastAsia"/>
          <w:szCs w:val="24"/>
        </w:rPr>
        <w:t>1</w:t>
      </w:r>
      <w:r>
        <w:rPr>
          <w:szCs w:val="24"/>
        </w:rPr>
        <w:t>1</w:t>
      </w:r>
      <w:r>
        <w:rPr>
          <w:rFonts w:hint="eastAsia"/>
          <w:szCs w:val="24"/>
        </w:rPr>
        <w:t>环境影响评价</w:t>
      </w:r>
      <w:r>
        <w:rPr>
          <w:szCs w:val="24"/>
        </w:rPr>
        <w:t>结论</w:t>
      </w:r>
      <w:r>
        <w:rPr>
          <w:rFonts w:hint="eastAsia"/>
          <w:szCs w:val="24"/>
        </w:rPr>
        <w:t>与建议</w:t>
      </w:r>
      <w:r>
        <w:tab/>
      </w:r>
      <w:r>
        <w:fldChar w:fldCharType="begin"/>
      </w:r>
      <w:r>
        <w:instrText xml:space="preserve"> PAGEREF _Toc21185 \h </w:instrText>
      </w:r>
      <w:r>
        <w:fldChar w:fldCharType="separate"/>
      </w:r>
      <w:r>
        <w:t>196</w:t>
      </w:r>
      <w:r>
        <w:fldChar w:fldCharType="end"/>
      </w:r>
      <w:r>
        <w:rPr>
          <w:color w:val="auto"/>
          <w:szCs w:val="24"/>
        </w:rPr>
        <w:fldChar w:fldCharType="end"/>
      </w:r>
    </w:p>
    <w:p w14:paraId="7DA031DD">
      <w:pPr>
        <w:pStyle w:val="74"/>
        <w:tabs>
          <w:tab w:val="right" w:leader="dot" w:pos="9070"/>
          <w:tab w:val="clear" w:pos="1200"/>
          <w:tab w:val="clear" w:pos="9060"/>
        </w:tabs>
      </w:pPr>
      <w:r>
        <w:rPr>
          <w:color w:val="auto"/>
          <w:szCs w:val="24"/>
        </w:rPr>
        <w:fldChar w:fldCharType="begin"/>
      </w:r>
      <w:r>
        <w:rPr>
          <w:szCs w:val="24"/>
        </w:rPr>
        <w:instrText xml:space="preserve"> HYPERLINK \l _Toc18986 </w:instrText>
      </w:r>
      <w:r>
        <w:rPr>
          <w:szCs w:val="24"/>
        </w:rPr>
        <w:fldChar w:fldCharType="separate"/>
      </w:r>
      <w:r>
        <w:rPr>
          <w:rFonts w:hint="eastAsia"/>
          <w:szCs w:val="24"/>
        </w:rPr>
        <w:t>1</w:t>
      </w:r>
      <w:r>
        <w:rPr>
          <w:szCs w:val="24"/>
        </w:rPr>
        <w:t>1.1建设概况</w:t>
      </w:r>
      <w:r>
        <w:tab/>
      </w:r>
      <w:r>
        <w:fldChar w:fldCharType="begin"/>
      </w:r>
      <w:r>
        <w:instrText xml:space="preserve"> PAGEREF _Toc18986 \h </w:instrText>
      </w:r>
      <w:r>
        <w:fldChar w:fldCharType="separate"/>
      </w:r>
      <w:r>
        <w:t>196</w:t>
      </w:r>
      <w:r>
        <w:fldChar w:fldCharType="end"/>
      </w:r>
      <w:r>
        <w:rPr>
          <w:color w:val="auto"/>
          <w:szCs w:val="24"/>
        </w:rPr>
        <w:fldChar w:fldCharType="end"/>
      </w:r>
    </w:p>
    <w:p w14:paraId="73E25473">
      <w:pPr>
        <w:pStyle w:val="74"/>
        <w:tabs>
          <w:tab w:val="right" w:leader="dot" w:pos="9070"/>
          <w:tab w:val="clear" w:pos="1200"/>
          <w:tab w:val="clear" w:pos="9060"/>
        </w:tabs>
      </w:pPr>
      <w:r>
        <w:rPr>
          <w:color w:val="auto"/>
          <w:szCs w:val="24"/>
        </w:rPr>
        <w:fldChar w:fldCharType="begin"/>
      </w:r>
      <w:r>
        <w:rPr>
          <w:szCs w:val="24"/>
        </w:rPr>
        <w:instrText xml:space="preserve"> HYPERLINK \l _Toc27203 </w:instrText>
      </w:r>
      <w:r>
        <w:rPr>
          <w:szCs w:val="24"/>
        </w:rPr>
        <w:fldChar w:fldCharType="separate"/>
      </w:r>
      <w:r>
        <w:rPr>
          <w:rFonts w:hint="eastAsia"/>
          <w:szCs w:val="24"/>
        </w:rPr>
        <w:t>1</w:t>
      </w:r>
      <w:r>
        <w:rPr>
          <w:szCs w:val="24"/>
        </w:rPr>
        <w:t>1.2环境质量现状</w:t>
      </w:r>
      <w:r>
        <w:tab/>
      </w:r>
      <w:r>
        <w:fldChar w:fldCharType="begin"/>
      </w:r>
      <w:r>
        <w:instrText xml:space="preserve"> PAGEREF _Toc27203 \h </w:instrText>
      </w:r>
      <w:r>
        <w:fldChar w:fldCharType="separate"/>
      </w:r>
      <w:r>
        <w:t>196</w:t>
      </w:r>
      <w:r>
        <w:fldChar w:fldCharType="end"/>
      </w:r>
      <w:r>
        <w:rPr>
          <w:color w:val="auto"/>
          <w:szCs w:val="24"/>
        </w:rPr>
        <w:fldChar w:fldCharType="end"/>
      </w:r>
    </w:p>
    <w:p w14:paraId="7D8EB87A">
      <w:pPr>
        <w:pStyle w:val="74"/>
        <w:tabs>
          <w:tab w:val="right" w:leader="dot" w:pos="9070"/>
          <w:tab w:val="clear" w:pos="1200"/>
          <w:tab w:val="clear" w:pos="9060"/>
        </w:tabs>
      </w:pPr>
      <w:r>
        <w:rPr>
          <w:color w:val="auto"/>
          <w:szCs w:val="24"/>
        </w:rPr>
        <w:fldChar w:fldCharType="begin"/>
      </w:r>
      <w:r>
        <w:rPr>
          <w:szCs w:val="24"/>
        </w:rPr>
        <w:instrText xml:space="preserve"> HYPERLINK \l _Toc7469 </w:instrText>
      </w:r>
      <w:r>
        <w:rPr>
          <w:szCs w:val="24"/>
        </w:rPr>
        <w:fldChar w:fldCharType="separate"/>
      </w:r>
      <w:r>
        <w:rPr>
          <w:szCs w:val="24"/>
          <w:lang w:val="en-US"/>
        </w:rPr>
        <w:t>11.3</w:t>
      </w:r>
      <w:r>
        <w:rPr>
          <w:szCs w:val="24"/>
        </w:rPr>
        <w:t>污染物排放总量</w:t>
      </w:r>
      <w:r>
        <w:tab/>
      </w:r>
      <w:r>
        <w:fldChar w:fldCharType="begin"/>
      </w:r>
      <w:r>
        <w:instrText xml:space="preserve"> PAGEREF _Toc7469 \h </w:instrText>
      </w:r>
      <w:r>
        <w:fldChar w:fldCharType="separate"/>
      </w:r>
      <w:r>
        <w:t>197</w:t>
      </w:r>
      <w:r>
        <w:fldChar w:fldCharType="end"/>
      </w:r>
      <w:r>
        <w:rPr>
          <w:color w:val="auto"/>
          <w:szCs w:val="24"/>
        </w:rPr>
        <w:fldChar w:fldCharType="end"/>
      </w:r>
    </w:p>
    <w:p w14:paraId="1C12A44B">
      <w:pPr>
        <w:pStyle w:val="74"/>
        <w:tabs>
          <w:tab w:val="right" w:leader="dot" w:pos="9070"/>
          <w:tab w:val="clear" w:pos="1200"/>
          <w:tab w:val="clear" w:pos="9060"/>
        </w:tabs>
      </w:pPr>
      <w:r>
        <w:rPr>
          <w:color w:val="auto"/>
          <w:szCs w:val="24"/>
        </w:rPr>
        <w:fldChar w:fldCharType="begin"/>
      </w:r>
      <w:r>
        <w:rPr>
          <w:szCs w:val="24"/>
        </w:rPr>
        <w:instrText xml:space="preserve"> HYPERLINK \l _Toc6208 </w:instrText>
      </w:r>
      <w:r>
        <w:rPr>
          <w:szCs w:val="24"/>
        </w:rPr>
        <w:fldChar w:fldCharType="separate"/>
      </w:r>
      <w:r>
        <w:rPr>
          <w:rFonts w:hint="eastAsia"/>
          <w:szCs w:val="24"/>
          <w:lang w:val="en-US"/>
        </w:rPr>
        <w:t>1</w:t>
      </w:r>
      <w:r>
        <w:rPr>
          <w:szCs w:val="24"/>
          <w:lang w:val="en-US"/>
        </w:rPr>
        <w:t>1.4环境保护措施及环境影响</w:t>
      </w:r>
      <w:r>
        <w:tab/>
      </w:r>
      <w:r>
        <w:fldChar w:fldCharType="begin"/>
      </w:r>
      <w:r>
        <w:instrText xml:space="preserve"> PAGEREF _Toc6208 \h </w:instrText>
      </w:r>
      <w:r>
        <w:fldChar w:fldCharType="separate"/>
      </w:r>
      <w:r>
        <w:t>197</w:t>
      </w:r>
      <w:r>
        <w:fldChar w:fldCharType="end"/>
      </w:r>
      <w:r>
        <w:rPr>
          <w:color w:val="auto"/>
          <w:szCs w:val="24"/>
        </w:rPr>
        <w:fldChar w:fldCharType="end"/>
      </w:r>
    </w:p>
    <w:p w14:paraId="50D2B62F">
      <w:pPr>
        <w:pStyle w:val="74"/>
        <w:tabs>
          <w:tab w:val="right" w:leader="dot" w:pos="9070"/>
          <w:tab w:val="clear" w:pos="1200"/>
          <w:tab w:val="clear" w:pos="9060"/>
        </w:tabs>
      </w:pPr>
      <w:r>
        <w:rPr>
          <w:color w:val="auto"/>
          <w:szCs w:val="24"/>
        </w:rPr>
        <w:fldChar w:fldCharType="begin"/>
      </w:r>
      <w:r>
        <w:rPr>
          <w:szCs w:val="24"/>
        </w:rPr>
        <w:instrText xml:space="preserve"> HYPERLINK \l _Toc17218 </w:instrText>
      </w:r>
      <w:r>
        <w:rPr>
          <w:szCs w:val="24"/>
        </w:rPr>
        <w:fldChar w:fldCharType="separate"/>
      </w:r>
      <w:r>
        <w:rPr>
          <w:rFonts w:hint="eastAsia"/>
          <w:szCs w:val="24"/>
        </w:rPr>
        <w:t>1</w:t>
      </w:r>
      <w:r>
        <w:rPr>
          <w:szCs w:val="24"/>
        </w:rPr>
        <w:t>1.5环境风险</w:t>
      </w:r>
      <w:r>
        <w:tab/>
      </w:r>
      <w:r>
        <w:fldChar w:fldCharType="begin"/>
      </w:r>
      <w:r>
        <w:instrText xml:space="preserve"> PAGEREF _Toc17218 \h </w:instrText>
      </w:r>
      <w:r>
        <w:fldChar w:fldCharType="separate"/>
      </w:r>
      <w:r>
        <w:t>199</w:t>
      </w:r>
      <w:r>
        <w:fldChar w:fldCharType="end"/>
      </w:r>
      <w:r>
        <w:rPr>
          <w:color w:val="auto"/>
          <w:szCs w:val="24"/>
        </w:rPr>
        <w:fldChar w:fldCharType="end"/>
      </w:r>
    </w:p>
    <w:p w14:paraId="57F8AC6E">
      <w:pPr>
        <w:pStyle w:val="74"/>
        <w:tabs>
          <w:tab w:val="right" w:leader="dot" w:pos="9070"/>
          <w:tab w:val="clear" w:pos="1200"/>
          <w:tab w:val="clear" w:pos="9060"/>
        </w:tabs>
      </w:pPr>
      <w:r>
        <w:rPr>
          <w:color w:val="auto"/>
          <w:szCs w:val="24"/>
        </w:rPr>
        <w:fldChar w:fldCharType="begin"/>
      </w:r>
      <w:r>
        <w:rPr>
          <w:szCs w:val="24"/>
        </w:rPr>
        <w:instrText xml:space="preserve"> HYPERLINK \l _Toc9855 </w:instrText>
      </w:r>
      <w:r>
        <w:rPr>
          <w:szCs w:val="24"/>
        </w:rPr>
        <w:fldChar w:fldCharType="separate"/>
      </w:r>
      <w:r>
        <w:rPr>
          <w:rFonts w:hint="eastAsia"/>
          <w:szCs w:val="24"/>
          <w:lang w:val="en-US"/>
        </w:rPr>
        <w:t>1</w:t>
      </w:r>
      <w:r>
        <w:rPr>
          <w:szCs w:val="24"/>
          <w:lang w:val="en-US"/>
        </w:rPr>
        <w:t>1.6</w:t>
      </w:r>
      <w:r>
        <w:rPr>
          <w:szCs w:val="24"/>
        </w:rPr>
        <w:t>公众意见采纳情况</w:t>
      </w:r>
      <w:r>
        <w:tab/>
      </w:r>
      <w:r>
        <w:fldChar w:fldCharType="begin"/>
      </w:r>
      <w:r>
        <w:instrText xml:space="preserve"> PAGEREF _Toc9855 \h </w:instrText>
      </w:r>
      <w:r>
        <w:fldChar w:fldCharType="separate"/>
      </w:r>
      <w:r>
        <w:t>199</w:t>
      </w:r>
      <w:r>
        <w:fldChar w:fldCharType="end"/>
      </w:r>
      <w:r>
        <w:rPr>
          <w:color w:val="auto"/>
          <w:szCs w:val="24"/>
        </w:rPr>
        <w:fldChar w:fldCharType="end"/>
      </w:r>
    </w:p>
    <w:p w14:paraId="73476C1A">
      <w:pPr>
        <w:pStyle w:val="74"/>
        <w:tabs>
          <w:tab w:val="right" w:leader="dot" w:pos="9070"/>
          <w:tab w:val="clear" w:pos="1200"/>
          <w:tab w:val="clear" w:pos="9060"/>
        </w:tabs>
      </w:pPr>
      <w:r>
        <w:rPr>
          <w:color w:val="auto"/>
          <w:szCs w:val="24"/>
        </w:rPr>
        <w:fldChar w:fldCharType="begin"/>
      </w:r>
      <w:r>
        <w:rPr>
          <w:szCs w:val="24"/>
        </w:rPr>
        <w:instrText xml:space="preserve"> HYPERLINK \l _Toc25902 </w:instrText>
      </w:r>
      <w:r>
        <w:rPr>
          <w:szCs w:val="24"/>
        </w:rPr>
        <w:fldChar w:fldCharType="separate"/>
      </w:r>
      <w:r>
        <w:rPr>
          <w:rFonts w:hint="eastAsia"/>
          <w:szCs w:val="24"/>
        </w:rPr>
        <w:t>1</w:t>
      </w:r>
      <w:r>
        <w:rPr>
          <w:szCs w:val="24"/>
        </w:rPr>
        <w:t>1.7环境影响经济损益分析</w:t>
      </w:r>
      <w:r>
        <w:tab/>
      </w:r>
      <w:r>
        <w:fldChar w:fldCharType="begin"/>
      </w:r>
      <w:r>
        <w:instrText xml:space="preserve"> PAGEREF _Toc25902 \h </w:instrText>
      </w:r>
      <w:r>
        <w:fldChar w:fldCharType="separate"/>
      </w:r>
      <w:r>
        <w:t>200</w:t>
      </w:r>
      <w:r>
        <w:fldChar w:fldCharType="end"/>
      </w:r>
      <w:r>
        <w:rPr>
          <w:color w:val="auto"/>
          <w:szCs w:val="24"/>
        </w:rPr>
        <w:fldChar w:fldCharType="end"/>
      </w:r>
    </w:p>
    <w:p w14:paraId="421A86B7">
      <w:pPr>
        <w:pStyle w:val="74"/>
        <w:tabs>
          <w:tab w:val="right" w:leader="dot" w:pos="9070"/>
          <w:tab w:val="clear" w:pos="1200"/>
          <w:tab w:val="clear" w:pos="9060"/>
        </w:tabs>
      </w:pPr>
      <w:r>
        <w:rPr>
          <w:color w:val="auto"/>
          <w:szCs w:val="24"/>
        </w:rPr>
        <w:fldChar w:fldCharType="begin"/>
      </w:r>
      <w:r>
        <w:rPr>
          <w:szCs w:val="24"/>
        </w:rPr>
        <w:instrText xml:space="preserve"> HYPERLINK \l _Toc28768 </w:instrText>
      </w:r>
      <w:r>
        <w:rPr>
          <w:szCs w:val="24"/>
        </w:rPr>
        <w:fldChar w:fldCharType="separate"/>
      </w:r>
      <w:r>
        <w:rPr>
          <w:rFonts w:hint="eastAsia"/>
          <w:szCs w:val="24"/>
        </w:rPr>
        <w:t>1</w:t>
      </w:r>
      <w:r>
        <w:rPr>
          <w:szCs w:val="24"/>
        </w:rPr>
        <w:t>1.8环境管理与监测计划</w:t>
      </w:r>
      <w:r>
        <w:tab/>
      </w:r>
      <w:r>
        <w:fldChar w:fldCharType="begin"/>
      </w:r>
      <w:r>
        <w:instrText xml:space="preserve"> PAGEREF _Toc28768 \h </w:instrText>
      </w:r>
      <w:r>
        <w:fldChar w:fldCharType="separate"/>
      </w:r>
      <w:r>
        <w:t>200</w:t>
      </w:r>
      <w:r>
        <w:fldChar w:fldCharType="end"/>
      </w:r>
      <w:r>
        <w:rPr>
          <w:color w:val="auto"/>
          <w:szCs w:val="24"/>
        </w:rPr>
        <w:fldChar w:fldCharType="end"/>
      </w:r>
    </w:p>
    <w:p w14:paraId="22506656">
      <w:pPr>
        <w:pStyle w:val="74"/>
        <w:tabs>
          <w:tab w:val="right" w:leader="dot" w:pos="9070"/>
          <w:tab w:val="clear" w:pos="1200"/>
          <w:tab w:val="clear" w:pos="9060"/>
        </w:tabs>
      </w:pPr>
      <w:r>
        <w:rPr>
          <w:color w:val="auto"/>
          <w:szCs w:val="24"/>
        </w:rPr>
        <w:fldChar w:fldCharType="begin"/>
      </w:r>
      <w:r>
        <w:rPr>
          <w:szCs w:val="24"/>
        </w:rPr>
        <w:instrText xml:space="preserve"> HYPERLINK \l _Toc14265 </w:instrText>
      </w:r>
      <w:r>
        <w:rPr>
          <w:szCs w:val="24"/>
        </w:rPr>
        <w:fldChar w:fldCharType="separate"/>
      </w:r>
      <w:r>
        <w:rPr>
          <w:szCs w:val="24"/>
          <w:lang w:val="en-US"/>
        </w:rPr>
        <w:t>11.9</w:t>
      </w:r>
      <w:r>
        <w:rPr>
          <w:szCs w:val="24"/>
        </w:rPr>
        <w:t>综合结论</w:t>
      </w:r>
      <w:r>
        <w:tab/>
      </w:r>
      <w:r>
        <w:fldChar w:fldCharType="begin"/>
      </w:r>
      <w:r>
        <w:instrText xml:space="preserve"> PAGEREF _Toc14265 \h </w:instrText>
      </w:r>
      <w:r>
        <w:fldChar w:fldCharType="separate"/>
      </w:r>
      <w:r>
        <w:t>200</w:t>
      </w:r>
      <w:r>
        <w:fldChar w:fldCharType="end"/>
      </w:r>
      <w:r>
        <w:rPr>
          <w:color w:val="auto"/>
          <w:szCs w:val="24"/>
        </w:rPr>
        <w:fldChar w:fldCharType="end"/>
      </w:r>
    </w:p>
    <w:p w14:paraId="331296EF">
      <w:pPr>
        <w:pStyle w:val="74"/>
        <w:tabs>
          <w:tab w:val="right" w:leader="dot" w:pos="9070"/>
          <w:tab w:val="clear" w:pos="1200"/>
          <w:tab w:val="clear" w:pos="9060"/>
        </w:tabs>
      </w:pPr>
      <w:r>
        <w:rPr>
          <w:color w:val="auto"/>
          <w:szCs w:val="24"/>
        </w:rPr>
        <w:fldChar w:fldCharType="begin"/>
      </w:r>
      <w:r>
        <w:rPr>
          <w:szCs w:val="24"/>
        </w:rPr>
        <w:instrText xml:space="preserve"> HYPERLINK \l _Toc10959 </w:instrText>
      </w:r>
      <w:r>
        <w:rPr>
          <w:szCs w:val="24"/>
        </w:rPr>
        <w:fldChar w:fldCharType="separate"/>
      </w:r>
      <w:r>
        <w:rPr>
          <w:rFonts w:hint="eastAsia"/>
          <w:szCs w:val="24"/>
        </w:rPr>
        <w:t>1</w:t>
      </w:r>
      <w:r>
        <w:rPr>
          <w:szCs w:val="24"/>
        </w:rPr>
        <w:t>1.10建议</w:t>
      </w:r>
      <w:r>
        <w:tab/>
      </w:r>
      <w:r>
        <w:fldChar w:fldCharType="begin"/>
      </w:r>
      <w:r>
        <w:instrText xml:space="preserve"> PAGEREF _Toc10959 \h </w:instrText>
      </w:r>
      <w:r>
        <w:fldChar w:fldCharType="separate"/>
      </w:r>
      <w:r>
        <w:t>200</w:t>
      </w:r>
      <w:r>
        <w:fldChar w:fldCharType="end"/>
      </w:r>
      <w:r>
        <w:rPr>
          <w:color w:val="auto"/>
          <w:szCs w:val="24"/>
        </w:rPr>
        <w:fldChar w:fldCharType="end"/>
      </w:r>
    </w:p>
    <w:p w14:paraId="5C90CE89">
      <w:pPr>
        <w:widowControl/>
        <w:spacing w:line="288" w:lineRule="auto"/>
        <w:ind w:firstLine="0" w:firstLineChars="0"/>
        <w:jc w:val="left"/>
        <w:rPr>
          <w:color w:val="auto"/>
          <w:szCs w:val="24"/>
        </w:rPr>
      </w:pPr>
      <w:r>
        <w:rPr>
          <w:color w:val="auto"/>
          <w:szCs w:val="24"/>
        </w:rPr>
        <w:fldChar w:fldCharType="end"/>
      </w:r>
    </w:p>
    <w:p w14:paraId="7A4390F0">
      <w:pPr>
        <w:widowControl/>
        <w:spacing w:line="288" w:lineRule="auto"/>
        <w:ind w:firstLine="0" w:firstLineChars="0"/>
        <w:jc w:val="left"/>
        <w:rPr>
          <w:b/>
          <w:bCs/>
          <w:caps/>
          <w:color w:val="auto"/>
        </w:rPr>
        <w:sectPr>
          <w:headerReference r:id="rId11" w:type="default"/>
          <w:footerReference r:id="rId12" w:type="default"/>
          <w:pgSz w:w="11906" w:h="16838"/>
          <w:pgMar w:top="1418" w:right="1418" w:bottom="1418" w:left="1418" w:header="851" w:footer="992" w:gutter="0"/>
          <w:pgBorders>
            <w:top w:val="none" w:sz="0" w:space="0"/>
            <w:left w:val="none" w:sz="0" w:space="0"/>
            <w:bottom w:val="none" w:sz="0" w:space="0"/>
            <w:right w:val="none" w:sz="0" w:space="0"/>
          </w:pgBorders>
          <w:pgNumType w:fmt="upperRoman" w:start="1"/>
          <w:cols w:space="425" w:num="1"/>
          <w:docGrid w:linePitch="312" w:charSpace="0"/>
        </w:sectPr>
      </w:pPr>
    </w:p>
    <w:p w14:paraId="53AC46C5">
      <w:pPr>
        <w:widowControl/>
        <w:adjustRightInd/>
        <w:snapToGrid/>
        <w:spacing w:line="240" w:lineRule="auto"/>
        <w:ind w:firstLine="0" w:firstLineChars="0"/>
        <w:jc w:val="left"/>
        <w:rPr>
          <w:color w:val="auto"/>
        </w:rPr>
      </w:pPr>
    </w:p>
    <w:p w14:paraId="0DF19D8E">
      <w:pPr>
        <w:pStyle w:val="3"/>
        <w:numPr>
          <w:ilvl w:val="0"/>
          <w:numId w:val="0"/>
        </w:numPr>
        <w:spacing w:line="360" w:lineRule="auto"/>
        <w:ind w:left="431" w:hanging="431" w:hangingChars="179"/>
        <w:jc w:val="center"/>
        <w:rPr>
          <w:color w:val="auto"/>
          <w:sz w:val="24"/>
          <w:szCs w:val="24"/>
        </w:rPr>
      </w:pPr>
      <w:bookmarkStart w:id="2" w:name="_Toc28419"/>
      <w:r>
        <w:rPr>
          <w:rFonts w:hint="eastAsia"/>
          <w:color w:val="auto"/>
          <w:sz w:val="24"/>
          <w:szCs w:val="24"/>
          <w:lang w:val="en-US" w:eastAsia="zh-CN"/>
        </w:rPr>
        <w:t>1</w:t>
      </w:r>
      <w:r>
        <w:rPr>
          <w:color w:val="auto"/>
          <w:sz w:val="24"/>
          <w:szCs w:val="24"/>
        </w:rPr>
        <w:t>概述</w:t>
      </w:r>
      <w:bookmarkEnd w:id="2"/>
    </w:p>
    <w:p w14:paraId="7DFDB2A9">
      <w:pPr>
        <w:spacing w:line="360" w:lineRule="auto"/>
        <w:ind w:left="0" w:leftChars="0" w:firstLine="0" w:firstLineChars="0"/>
        <w:rPr>
          <w:color w:val="auto"/>
          <w:szCs w:val="24"/>
        </w:rPr>
      </w:pPr>
      <w:r>
        <w:rPr>
          <w:rFonts w:hint="eastAsia"/>
          <w:b/>
          <w:color w:val="auto"/>
          <w:szCs w:val="24"/>
          <w:lang w:val="en-US" w:eastAsia="zh-CN"/>
        </w:rPr>
        <w:t>1.1</w:t>
      </w:r>
      <w:r>
        <w:rPr>
          <w:b/>
          <w:color w:val="auto"/>
          <w:szCs w:val="24"/>
        </w:rPr>
        <w:t>项目由来</w:t>
      </w:r>
    </w:p>
    <w:p w14:paraId="795E424E">
      <w:pPr>
        <w:spacing w:line="360" w:lineRule="auto"/>
        <w:ind w:firstLine="480"/>
        <w:rPr>
          <w:color w:val="auto"/>
          <w:szCs w:val="24"/>
        </w:rPr>
      </w:pPr>
      <w:r>
        <w:rPr>
          <w:rFonts w:hint="eastAsia"/>
          <w:color w:val="auto"/>
          <w:szCs w:val="24"/>
        </w:rPr>
        <w:t>川渝地区因页岩气资源储量丰富，大规模启动页岩气开采。</w:t>
      </w:r>
      <w:r>
        <w:rPr>
          <w:rFonts w:ascii="宋体" w:hAnsi="宋体" w:cs="宋体"/>
          <w:color w:val="auto"/>
          <w:szCs w:val="24"/>
        </w:rPr>
        <w:t>在当前的石油和天然气</w:t>
      </w:r>
      <w:r>
        <w:rPr>
          <w:rFonts w:hint="eastAsia" w:ascii="宋体" w:hAnsi="宋体" w:cs="宋体"/>
          <w:color w:val="auto"/>
          <w:szCs w:val="24"/>
        </w:rPr>
        <w:t>开采</w:t>
      </w:r>
      <w:r>
        <w:rPr>
          <w:rFonts w:ascii="宋体" w:hAnsi="宋体" w:cs="宋体"/>
          <w:color w:val="auto"/>
          <w:szCs w:val="24"/>
        </w:rPr>
        <w:t>行业中，随着能源需求的增长和</w:t>
      </w:r>
      <w:r>
        <w:rPr>
          <w:rFonts w:hint="eastAsia"/>
          <w:color w:val="auto"/>
          <w:szCs w:val="24"/>
        </w:rPr>
        <w:t>油气田</w:t>
      </w:r>
      <w:r>
        <w:rPr>
          <w:rFonts w:ascii="宋体" w:hAnsi="宋体" w:cs="宋体"/>
          <w:color w:val="auto"/>
          <w:szCs w:val="24"/>
        </w:rPr>
        <w:t>开发的不断深入，</w:t>
      </w:r>
      <w:r>
        <w:rPr>
          <w:rFonts w:hint="eastAsia"/>
          <w:color w:val="auto"/>
          <w:kern w:val="0"/>
        </w:rPr>
        <w:t>钻井废水、气田水、</w:t>
      </w:r>
      <w:r>
        <w:rPr>
          <w:color w:val="auto"/>
          <w:kern w:val="0"/>
        </w:rPr>
        <w:t>压裂返排水</w:t>
      </w:r>
      <w:r>
        <w:rPr>
          <w:rFonts w:hint="eastAsia"/>
          <w:color w:val="auto"/>
          <w:kern w:val="0"/>
        </w:rPr>
        <w:t>等</w:t>
      </w:r>
      <w:r>
        <w:rPr>
          <w:rFonts w:hint="eastAsia"/>
          <w:bCs/>
          <w:color w:val="auto"/>
          <w:szCs w:val="24"/>
        </w:rPr>
        <w:t>采出水</w:t>
      </w:r>
      <w:r>
        <w:rPr>
          <w:rFonts w:ascii="宋体" w:hAnsi="宋体" w:cs="宋体"/>
          <w:color w:val="auto"/>
          <w:szCs w:val="24"/>
        </w:rPr>
        <w:t>的处理问题日益凸显。</w:t>
      </w:r>
      <w:r>
        <w:rPr>
          <w:rFonts w:hint="eastAsia" w:ascii="宋体" w:hAnsi="宋体" w:cs="宋体"/>
          <w:color w:val="auto"/>
          <w:szCs w:val="24"/>
        </w:rPr>
        <w:t>一般情况下，</w:t>
      </w:r>
      <w:r>
        <w:rPr>
          <w:rFonts w:hint="eastAsia"/>
          <w:color w:val="auto"/>
          <w:kern w:val="0"/>
        </w:rPr>
        <w:t>钻井废水回用配置钻井液，剩余钻井废水由钻井队回收用于其他钻井工程；而</w:t>
      </w:r>
      <w:r>
        <w:rPr>
          <w:color w:val="auto"/>
          <w:kern w:val="0"/>
        </w:rPr>
        <w:t>采气分离废水和压裂返排水</w:t>
      </w:r>
      <w:r>
        <w:rPr>
          <w:rFonts w:hint="eastAsia"/>
          <w:color w:val="auto"/>
          <w:kern w:val="0"/>
        </w:rPr>
        <w:t>等均优先</w:t>
      </w:r>
      <w:r>
        <w:rPr>
          <w:color w:val="auto"/>
          <w:kern w:val="0"/>
        </w:rPr>
        <w:t>回用于压裂工序，</w:t>
      </w:r>
      <w:r>
        <w:rPr>
          <w:rFonts w:hint="eastAsia"/>
          <w:color w:val="auto"/>
          <w:kern w:val="0"/>
        </w:rPr>
        <w:t>不能</w:t>
      </w:r>
      <w:r>
        <w:rPr>
          <w:color w:val="auto"/>
          <w:kern w:val="0"/>
        </w:rPr>
        <w:t>回用时，经</w:t>
      </w:r>
      <w:r>
        <w:rPr>
          <w:rFonts w:hint="eastAsia"/>
          <w:color w:val="auto"/>
          <w:kern w:val="0"/>
        </w:rPr>
        <w:t>处理</w:t>
      </w:r>
      <w:r>
        <w:rPr>
          <w:color w:val="auto"/>
          <w:kern w:val="0"/>
        </w:rPr>
        <w:t>达标排放</w:t>
      </w:r>
      <w:r>
        <w:rPr>
          <w:rFonts w:hint="eastAsia"/>
          <w:color w:val="auto"/>
        </w:rPr>
        <w:t>或采取废水预处理工艺处理后采用罐车运至回注井回注，随着区域压裂开发用水需求量的减小，</w:t>
      </w:r>
      <w:r>
        <w:rPr>
          <w:rFonts w:hint="eastAsia"/>
          <w:color w:val="auto"/>
          <w:szCs w:val="24"/>
        </w:rPr>
        <w:t>油气田</w:t>
      </w:r>
      <w:r>
        <w:rPr>
          <w:rFonts w:ascii="宋体" w:hAnsi="宋体" w:cs="宋体"/>
          <w:color w:val="auto"/>
          <w:szCs w:val="24"/>
        </w:rPr>
        <w:t>开发</w:t>
      </w:r>
      <w:r>
        <w:rPr>
          <w:rFonts w:hint="eastAsia"/>
          <w:color w:val="auto"/>
          <w:kern w:val="0"/>
        </w:rPr>
        <w:t>废水</w:t>
      </w:r>
      <w:r>
        <w:rPr>
          <w:rFonts w:hint="eastAsia"/>
          <w:color w:val="auto"/>
        </w:rPr>
        <w:t>处理需求不断增大，而回注方式存在一定的不确定因素</w:t>
      </w:r>
      <w:r>
        <w:rPr>
          <w:rFonts w:hint="eastAsia"/>
          <w:color w:val="auto"/>
          <w:szCs w:val="24"/>
        </w:rPr>
        <w:t>。同时</w:t>
      </w:r>
      <w:r>
        <w:rPr>
          <w:rFonts w:hint="eastAsia"/>
          <w:color w:val="auto"/>
          <w:kern w:val="0"/>
        </w:rPr>
        <w:t>气田水、</w:t>
      </w:r>
      <w:r>
        <w:rPr>
          <w:color w:val="auto"/>
          <w:kern w:val="0"/>
        </w:rPr>
        <w:t>压裂返排水</w:t>
      </w:r>
      <w:r>
        <w:rPr>
          <w:rFonts w:hint="eastAsia"/>
          <w:color w:val="auto"/>
          <w:kern w:val="0"/>
        </w:rPr>
        <w:t>等</w:t>
      </w:r>
      <w:r>
        <w:rPr>
          <w:rFonts w:hint="eastAsia"/>
          <w:bCs/>
          <w:color w:val="auto"/>
          <w:szCs w:val="24"/>
        </w:rPr>
        <w:t>采出水具有含盐量高、硬度高等特点，废水处理比较困难，如何实现采出水的高效处理，是目前油气田开采的环保制约因素之一。</w:t>
      </w:r>
    </w:p>
    <w:p w14:paraId="4E316E37">
      <w:pPr>
        <w:spacing w:line="360" w:lineRule="auto"/>
        <w:ind w:firstLine="480"/>
        <w:rPr>
          <w:color w:val="auto"/>
          <w:szCs w:val="24"/>
        </w:rPr>
      </w:pPr>
      <w:r>
        <w:rPr>
          <w:rFonts w:hint="eastAsia"/>
          <w:color w:val="auto"/>
          <w:szCs w:val="24"/>
          <w:lang w:eastAsia="zh-CN"/>
        </w:rPr>
        <w:t>重庆海宇环保科技有限公司</w:t>
      </w:r>
      <w:r>
        <w:rPr>
          <w:rFonts w:hint="eastAsia"/>
          <w:color w:val="auto"/>
          <w:szCs w:val="24"/>
        </w:rPr>
        <w:t>（以下简称“</w:t>
      </w:r>
      <w:r>
        <w:rPr>
          <w:rFonts w:hint="eastAsia"/>
          <w:color w:val="auto"/>
          <w:szCs w:val="24"/>
          <w:lang w:eastAsia="zh-CN"/>
        </w:rPr>
        <w:t>海宇环保</w:t>
      </w:r>
      <w:r>
        <w:rPr>
          <w:rFonts w:hint="eastAsia"/>
          <w:color w:val="auto"/>
          <w:szCs w:val="24"/>
        </w:rPr>
        <w:t>”）是一家长期专业从事环保工程、污染治理及相关服务</w:t>
      </w:r>
      <w:r>
        <w:rPr>
          <w:rFonts w:hint="eastAsia"/>
          <w:color w:val="auto"/>
          <w:szCs w:val="24"/>
          <w:lang w:eastAsia="zh-CN"/>
        </w:rPr>
        <w:t>环保服务的公司。海宇环保</w:t>
      </w:r>
      <w:r>
        <w:rPr>
          <w:rFonts w:hint="eastAsia"/>
          <w:color w:val="auto"/>
          <w:szCs w:val="24"/>
        </w:rPr>
        <w:t>长期致力于为川渝地区油气田开采提供安全生产和清洁生产服务，具有专业的服务和运输团队、生产基地、专利技术及研发技术人员配置等。</w:t>
      </w:r>
    </w:p>
    <w:p w14:paraId="24685152">
      <w:pPr>
        <w:spacing w:line="360" w:lineRule="auto"/>
        <w:ind w:firstLine="480"/>
        <w:rPr>
          <w:color w:val="auto"/>
          <w:szCs w:val="24"/>
        </w:rPr>
      </w:pPr>
      <w:r>
        <w:rPr>
          <w:rFonts w:hint="eastAsia"/>
          <w:color w:val="auto"/>
          <w:szCs w:val="24"/>
          <w:lang w:eastAsia="zh-CN"/>
        </w:rPr>
        <w:t>重庆海宇环保科技有限公司</w:t>
      </w:r>
      <w:r>
        <w:rPr>
          <w:rFonts w:hint="eastAsia"/>
          <w:color w:val="auto"/>
          <w:szCs w:val="24"/>
        </w:rPr>
        <w:t>根据川渝一体化及公司发展规划，</w:t>
      </w:r>
      <w:r>
        <w:rPr>
          <w:rFonts w:hint="eastAsia"/>
          <w:color w:val="auto"/>
          <w:szCs w:val="24"/>
          <w:lang w:eastAsia="zh-CN"/>
        </w:rPr>
        <w:t>为进一步完善</w:t>
      </w:r>
      <w:r>
        <w:rPr>
          <w:rFonts w:hint="eastAsia"/>
          <w:color w:val="auto"/>
          <w:szCs w:val="24"/>
        </w:rPr>
        <w:t>重庆市及其周边区域</w:t>
      </w:r>
      <w:r>
        <w:rPr>
          <w:rFonts w:hint="eastAsia"/>
          <w:color w:val="auto"/>
          <w:szCs w:val="24"/>
          <w:lang w:eastAsia="zh-CN"/>
        </w:rPr>
        <w:t>页岩气开采</w:t>
      </w:r>
      <w:r>
        <w:rPr>
          <w:rFonts w:hint="eastAsia"/>
          <w:color w:val="auto"/>
          <w:kern w:val="0"/>
        </w:rPr>
        <w:t>废水</w:t>
      </w:r>
      <w:r>
        <w:rPr>
          <w:rFonts w:hint="eastAsia"/>
          <w:color w:val="auto"/>
        </w:rPr>
        <w:t>处理工程</w:t>
      </w:r>
      <w:r>
        <w:rPr>
          <w:rFonts w:hint="eastAsia"/>
          <w:color w:val="auto"/>
          <w:szCs w:val="24"/>
        </w:rPr>
        <w:t>，拟投资</w:t>
      </w:r>
      <w:r>
        <w:rPr>
          <w:rFonts w:hint="eastAsia"/>
          <w:color w:val="auto"/>
          <w:szCs w:val="24"/>
          <w:lang w:val="en-US" w:eastAsia="zh-CN"/>
        </w:rPr>
        <w:t>2</w:t>
      </w:r>
      <w:r>
        <w:rPr>
          <w:color w:val="auto"/>
          <w:szCs w:val="24"/>
        </w:rPr>
        <w:t>000</w:t>
      </w:r>
      <w:r>
        <w:rPr>
          <w:rFonts w:hint="eastAsia"/>
          <w:color w:val="auto"/>
          <w:szCs w:val="24"/>
        </w:rPr>
        <w:t>万在</w:t>
      </w:r>
      <w:r>
        <w:rPr>
          <w:rFonts w:hint="eastAsia"/>
          <w:color w:val="auto"/>
          <w:szCs w:val="24"/>
          <w:lang w:eastAsia="zh-CN"/>
        </w:rPr>
        <w:t>重庆忠县工业园乌杨组团</w:t>
      </w:r>
      <w:r>
        <w:rPr>
          <w:rFonts w:hint="eastAsia" w:ascii="宋体" w:hAnsi="宋体"/>
          <w:color w:val="auto"/>
          <w:kern w:val="0"/>
          <w:szCs w:val="24"/>
        </w:rPr>
        <w:t>建设</w:t>
      </w:r>
      <w:r>
        <w:rPr>
          <w:rFonts w:hint="eastAsia" w:ascii="宋体" w:hAnsi="宋体"/>
          <w:color w:val="auto"/>
          <w:kern w:val="0"/>
          <w:szCs w:val="24"/>
          <w:lang w:eastAsia="zh-CN"/>
        </w:rPr>
        <w:t>页岩气开采废水处理项目</w:t>
      </w:r>
      <w:r>
        <w:rPr>
          <w:rFonts w:hint="eastAsia" w:ascii="宋体" w:hAnsi="宋体"/>
          <w:color w:val="auto"/>
          <w:kern w:val="0"/>
          <w:szCs w:val="24"/>
        </w:rPr>
        <w:t>（以下简称“拟建项目”）。拟建项目主要</w:t>
      </w:r>
      <w:r>
        <w:rPr>
          <w:rFonts w:hint="eastAsia" w:ascii="宋体" w:hAnsi="宋体"/>
          <w:color w:val="auto"/>
          <w:kern w:val="0"/>
          <w:szCs w:val="24"/>
          <w:lang w:eastAsia="zh-CN"/>
        </w:rPr>
        <w:t>建设页岩气开采废水处理系统</w:t>
      </w:r>
      <w:r>
        <w:rPr>
          <w:color w:val="auto"/>
          <w:kern w:val="0"/>
          <w:szCs w:val="24"/>
        </w:rPr>
        <w:t>1套及相关配套设施设备，主要处理</w:t>
      </w:r>
      <w:r>
        <w:rPr>
          <w:rFonts w:hint="eastAsia" w:ascii="宋体" w:hAnsi="宋体"/>
          <w:color w:val="auto"/>
          <w:kern w:val="0"/>
          <w:szCs w:val="24"/>
          <w:lang w:eastAsia="zh-CN"/>
        </w:rPr>
        <w:t>页岩气开采废水</w:t>
      </w:r>
      <w:r>
        <w:rPr>
          <w:color w:val="auto"/>
          <w:kern w:val="0"/>
          <w:szCs w:val="24"/>
        </w:rPr>
        <w:t>，设计处理规模为2000m</w:t>
      </w:r>
      <w:r>
        <w:rPr>
          <w:color w:val="auto"/>
          <w:kern w:val="0"/>
          <w:szCs w:val="24"/>
          <w:vertAlign w:val="superscript"/>
        </w:rPr>
        <w:t>3</w:t>
      </w:r>
      <w:r>
        <w:rPr>
          <w:color w:val="auto"/>
          <w:kern w:val="0"/>
          <w:szCs w:val="24"/>
        </w:rPr>
        <w:t>/d</w:t>
      </w:r>
      <w:r>
        <w:rPr>
          <w:color w:val="auto"/>
        </w:rPr>
        <w:t>。</w:t>
      </w:r>
      <w:r>
        <w:rPr>
          <w:rFonts w:hint="eastAsia" w:ascii="宋体" w:hAnsi="宋体"/>
          <w:color w:val="auto"/>
          <w:kern w:val="0"/>
          <w:szCs w:val="24"/>
        </w:rPr>
        <w:t>拟建项目</w:t>
      </w:r>
      <w:r>
        <w:rPr>
          <w:rFonts w:hint="eastAsia" w:ascii="宋体" w:hAnsi="宋体"/>
          <w:color w:val="auto"/>
          <w:kern w:val="0"/>
          <w:szCs w:val="24"/>
          <w:lang w:eastAsia="zh-CN"/>
        </w:rPr>
        <w:t>页岩气开采废水处理系统采用</w:t>
      </w:r>
      <w:r>
        <w:rPr>
          <w:rFonts w:hint="eastAsia" w:cs="Tunga"/>
          <w:color w:val="auto"/>
        </w:rPr>
        <w:t>“</w:t>
      </w:r>
      <w:r>
        <w:rPr>
          <w:rFonts w:hint="eastAsia" w:cs="Tunga"/>
          <w:color w:val="auto"/>
          <w:lang w:eastAsia="zh-CN"/>
        </w:rPr>
        <w:t>调节+气浮+化学除重+高密软化沉淀+芬顿氧化+中和沉淀+精密过滤+DTRO膜浓缩+浓水蒸发结晶</w:t>
      </w:r>
      <w:r>
        <w:rPr>
          <w:rFonts w:hint="eastAsia" w:cs="Tunga"/>
          <w:color w:val="auto"/>
        </w:rPr>
        <w:t>”</w:t>
      </w:r>
      <w:r>
        <w:rPr>
          <w:rFonts w:hint="eastAsia" w:cs="Tunga"/>
          <w:color w:val="auto"/>
          <w:lang w:eastAsia="zh-CN"/>
        </w:rPr>
        <w:t>处理工艺，处理后废水达到重庆市地方标准《页岩气开采水污染物排放标准》（DB50/1806-2025）间接排放限值后再进入园区污水处理厂深度处理达标后排入长江</w:t>
      </w:r>
      <w:r>
        <w:rPr>
          <w:rFonts w:hint="eastAsia" w:cs="Tunga"/>
          <w:color w:val="auto"/>
        </w:rPr>
        <w:t>。</w:t>
      </w:r>
    </w:p>
    <w:p w14:paraId="1C93A5C7">
      <w:pPr>
        <w:widowControl/>
        <w:spacing w:line="360" w:lineRule="auto"/>
        <w:ind w:left="0" w:leftChars="0" w:firstLine="0" w:firstLineChars="0"/>
        <w:jc w:val="left"/>
        <w:rPr>
          <w:color w:val="auto"/>
          <w:kern w:val="0"/>
          <w:szCs w:val="24"/>
        </w:rPr>
      </w:pPr>
      <w:r>
        <w:rPr>
          <w:rFonts w:hint="eastAsia"/>
          <w:b/>
          <w:color w:val="auto"/>
          <w:szCs w:val="24"/>
          <w:lang w:val="en-US" w:eastAsia="zh-CN"/>
        </w:rPr>
        <w:t>1.2</w:t>
      </w:r>
      <w:r>
        <w:rPr>
          <w:b/>
          <w:color w:val="auto"/>
          <w:szCs w:val="24"/>
        </w:rPr>
        <w:t>环境影响评价工作过程</w:t>
      </w:r>
    </w:p>
    <w:p w14:paraId="168FEA24">
      <w:pPr>
        <w:spacing w:line="360" w:lineRule="auto"/>
        <w:ind w:firstLine="480"/>
        <w:jc w:val="left"/>
        <w:rPr>
          <w:color w:val="auto"/>
          <w:szCs w:val="24"/>
        </w:rPr>
      </w:pPr>
      <w:r>
        <w:rPr>
          <w:rFonts w:hint="eastAsia"/>
          <w:color w:val="auto"/>
          <w:szCs w:val="24"/>
        </w:rPr>
        <w:t>根据《中华人民共和国环境保护法</w:t>
      </w:r>
      <w:r>
        <w:rPr>
          <w:rFonts w:hint="eastAsia"/>
          <w:color w:val="auto"/>
          <w:szCs w:val="24"/>
          <w:lang w:eastAsia="zh-CN"/>
        </w:rPr>
        <w:t>》《</w:t>
      </w:r>
      <w:r>
        <w:rPr>
          <w:rFonts w:hint="eastAsia"/>
          <w:color w:val="auto"/>
          <w:szCs w:val="24"/>
        </w:rPr>
        <w:t>中华人民共和国环境影响评价法》以及《建设项目环境保护管理条例》等相关规定要求，拟建项目应办理环保手续。对照《国民经济行业分类》（GB/T 4754-2017），项目属于“</w:t>
      </w:r>
      <w:r>
        <w:rPr>
          <w:color w:val="auto"/>
          <w:szCs w:val="24"/>
        </w:rPr>
        <w:t>D4620</w:t>
      </w:r>
      <w:r>
        <w:rPr>
          <w:rFonts w:hint="eastAsia"/>
          <w:color w:val="auto"/>
          <w:szCs w:val="24"/>
        </w:rPr>
        <w:t>水的生产和供应业”；对照《建设项目环境影响评价分类管理名录》（2</w:t>
      </w:r>
      <w:r>
        <w:rPr>
          <w:color w:val="auto"/>
          <w:szCs w:val="24"/>
        </w:rPr>
        <w:t>021</w:t>
      </w:r>
      <w:r>
        <w:rPr>
          <w:rFonts w:hint="eastAsia"/>
          <w:color w:val="auto"/>
          <w:szCs w:val="24"/>
        </w:rPr>
        <w:t>版），拟建项目应属于“四十三、水的生产和供应业”，9</w:t>
      </w:r>
      <w:r>
        <w:rPr>
          <w:color w:val="auto"/>
          <w:szCs w:val="24"/>
        </w:rPr>
        <w:t>5</w:t>
      </w:r>
      <w:r>
        <w:rPr>
          <w:rFonts w:hint="eastAsia"/>
          <w:color w:val="auto"/>
          <w:szCs w:val="24"/>
        </w:rPr>
        <w:t>、“污水处理及再生利用”中的新建、扩建工业废水集中处理的项目，需编制环境影响报告书。</w:t>
      </w:r>
    </w:p>
    <w:p w14:paraId="29FF1C41">
      <w:pPr>
        <w:spacing w:line="360" w:lineRule="auto"/>
        <w:ind w:firstLine="480"/>
        <w:jc w:val="left"/>
        <w:rPr>
          <w:color w:val="auto"/>
          <w:szCs w:val="24"/>
        </w:rPr>
      </w:pPr>
      <w:r>
        <w:rPr>
          <w:rFonts w:hint="eastAsia"/>
          <w:color w:val="auto"/>
          <w:szCs w:val="24"/>
        </w:rPr>
        <w:t>为此，</w:t>
      </w:r>
      <w:r>
        <w:rPr>
          <w:rFonts w:hint="eastAsia"/>
          <w:color w:val="auto"/>
          <w:szCs w:val="24"/>
          <w:lang w:eastAsia="zh-CN"/>
        </w:rPr>
        <w:t>重庆海宇环保科技有限公司</w:t>
      </w:r>
      <w:r>
        <w:rPr>
          <w:color w:val="auto"/>
          <w:szCs w:val="24"/>
        </w:rPr>
        <w:t>委托重庆环科源博达环保科技有限公司承担该项目环境影响评价工作。</w:t>
      </w:r>
      <w:r>
        <w:rPr>
          <w:rFonts w:hint="eastAsia"/>
          <w:color w:val="auto"/>
          <w:szCs w:val="24"/>
        </w:rPr>
        <w:t>接受委托后，我公司立即组织了技术人员，对拟建项目建设区域及周边环境现状进行了现场踏勘。按照相关法律法规及评价技术导则，对拟建项目建设可能造成的环境影响进行了分析、预测和评价，在此基础上编制完成了《</w:t>
      </w:r>
      <w:r>
        <w:rPr>
          <w:rFonts w:hint="eastAsia"/>
          <w:color w:val="auto"/>
          <w:szCs w:val="24"/>
          <w:lang w:eastAsia="zh-CN"/>
        </w:rPr>
        <w:t>重庆海宇环保科技有限公司页岩气开采废水处理项目</w:t>
      </w:r>
      <w:r>
        <w:rPr>
          <w:color w:val="auto"/>
          <w:szCs w:val="24"/>
        </w:rPr>
        <w:t>环境影响报告书</w:t>
      </w:r>
      <w:r>
        <w:rPr>
          <w:rFonts w:hint="eastAsia"/>
          <w:color w:val="auto"/>
          <w:szCs w:val="24"/>
        </w:rPr>
        <w:t>》</w:t>
      </w:r>
      <w:r>
        <w:rPr>
          <w:rFonts w:hint="eastAsia"/>
          <w:color w:val="auto"/>
          <w:szCs w:val="24"/>
          <w:lang w:eastAsia="zh-CN"/>
        </w:rPr>
        <w:t>，现按规定程序呈报忠县生态环境局审批，经主管部门批准后可作为项目后续生态环境管理的重要依据</w:t>
      </w:r>
      <w:r>
        <w:rPr>
          <w:rFonts w:hint="eastAsia"/>
          <w:color w:val="auto"/>
          <w:szCs w:val="24"/>
        </w:rPr>
        <w:t>。</w:t>
      </w:r>
    </w:p>
    <w:p w14:paraId="188BAB8F">
      <w:pPr>
        <w:widowControl/>
        <w:spacing w:line="360" w:lineRule="auto"/>
        <w:ind w:left="0" w:leftChars="0" w:firstLine="0" w:firstLineChars="0"/>
        <w:jc w:val="left"/>
        <w:rPr>
          <w:b/>
          <w:color w:val="auto"/>
          <w:szCs w:val="24"/>
        </w:rPr>
      </w:pPr>
      <w:r>
        <w:rPr>
          <w:rFonts w:hint="eastAsia"/>
          <w:b/>
          <w:color w:val="auto"/>
          <w:szCs w:val="24"/>
          <w:lang w:val="en-US" w:eastAsia="zh-CN"/>
        </w:rPr>
        <w:t>1.3</w:t>
      </w:r>
      <w:r>
        <w:rPr>
          <w:rFonts w:hint="eastAsia"/>
          <w:b/>
          <w:color w:val="auto"/>
          <w:szCs w:val="24"/>
        </w:rPr>
        <w:t>分析判定相关情况</w:t>
      </w:r>
    </w:p>
    <w:p w14:paraId="68C0363B">
      <w:pPr>
        <w:spacing w:line="360" w:lineRule="auto"/>
        <w:ind w:firstLine="480"/>
        <w:rPr>
          <w:bCs/>
          <w:color w:val="auto"/>
          <w:szCs w:val="24"/>
        </w:rPr>
      </w:pPr>
      <w:r>
        <w:rPr>
          <w:rFonts w:hint="eastAsia"/>
          <w:bCs/>
          <w:color w:val="auto"/>
          <w:szCs w:val="24"/>
        </w:rPr>
        <w:t>拟建项目属于</w:t>
      </w:r>
      <w:r>
        <w:rPr>
          <w:bCs/>
          <w:color w:val="auto"/>
          <w:szCs w:val="24"/>
        </w:rPr>
        <w:t>《产业结构调整指导目录（</w:t>
      </w:r>
      <w:r>
        <w:rPr>
          <w:rFonts w:hint="eastAsia"/>
          <w:bCs/>
          <w:color w:val="auto"/>
          <w:szCs w:val="24"/>
        </w:rPr>
        <w:t>2024年本</w:t>
      </w:r>
      <w:r>
        <w:rPr>
          <w:bCs/>
          <w:color w:val="auto"/>
          <w:szCs w:val="24"/>
        </w:rPr>
        <w:t>）》</w:t>
      </w:r>
      <w:r>
        <w:rPr>
          <w:rFonts w:hint="eastAsia"/>
          <w:bCs/>
          <w:color w:val="auto"/>
          <w:szCs w:val="24"/>
        </w:rPr>
        <w:t>中</w:t>
      </w:r>
      <w:r>
        <w:rPr>
          <w:bCs/>
          <w:color w:val="auto"/>
          <w:szCs w:val="24"/>
        </w:rPr>
        <w:t>鼓励类</w:t>
      </w:r>
      <w:r>
        <w:rPr>
          <w:rFonts w:hint="eastAsia"/>
          <w:bCs/>
          <w:color w:val="auto"/>
          <w:szCs w:val="24"/>
        </w:rPr>
        <w:t>项目，符合国家及重庆市相关产业政策</w:t>
      </w:r>
      <w:r>
        <w:rPr>
          <w:bCs/>
          <w:color w:val="auto"/>
          <w:szCs w:val="24"/>
        </w:rPr>
        <w:t>。</w:t>
      </w:r>
      <w:r>
        <w:rPr>
          <w:rFonts w:hint="eastAsia"/>
          <w:color w:val="auto"/>
        </w:rPr>
        <w:t>主要生产设备不属于《部分工业行业淘汰落后生产工艺装备和产品指导目录（2010年本）》。符合</w:t>
      </w:r>
      <w:r>
        <w:rPr>
          <w:rFonts w:hint="eastAsia"/>
          <w:color w:val="auto"/>
          <w:szCs w:val="24"/>
        </w:rPr>
        <w:t>《重庆市生态环境保护“十四五”规划》（2021—2025年）（渝府发〔2022〕11号）</w:t>
      </w:r>
      <w:r>
        <w:rPr>
          <w:rFonts w:hint="eastAsia"/>
          <w:bCs/>
          <w:color w:val="auto"/>
          <w:szCs w:val="24"/>
        </w:rPr>
        <w:t>、《重庆市生态环境局关于印发重庆市大气环境保护“十四五”规划（2021—2025年）的通知》（渝环〔2022〕43号）、</w:t>
      </w:r>
      <w:r>
        <w:rPr>
          <w:rFonts w:hint="eastAsia"/>
          <w:bCs/>
          <w:color w:val="auto"/>
        </w:rPr>
        <w:t>《重庆市生态环境局关于印发重庆市“三线一单”生态环境分区管控调整方案（2023年）的通知》（渝环规〔2024〕2号）及《忠县人民政府办公室关于印发忠县 “三线一单”生态环境分区管控调整方案的通知》（忠府办发〔2024〕22号）</w:t>
      </w:r>
      <w:r>
        <w:rPr>
          <w:rFonts w:hint="eastAsia"/>
          <w:bCs/>
          <w:color w:val="auto"/>
          <w:szCs w:val="24"/>
        </w:rPr>
        <w:t>等文件及规划要求，符合《</w:t>
      </w:r>
      <w:r>
        <w:rPr>
          <w:rFonts w:hint="eastAsia"/>
          <w:bCs/>
          <w:color w:val="auto"/>
          <w:szCs w:val="24"/>
          <w:lang w:eastAsia="zh-CN"/>
        </w:rPr>
        <w:t>重庆忠县工业园乌杨组团</w:t>
      </w:r>
      <w:r>
        <w:rPr>
          <w:rFonts w:hint="eastAsia"/>
          <w:bCs/>
          <w:color w:val="auto"/>
          <w:szCs w:val="24"/>
        </w:rPr>
        <w:t>控制性详细规划修编》、规划环评及其审查意见（</w:t>
      </w:r>
      <w:r>
        <w:rPr>
          <w:rFonts w:hint="eastAsia"/>
          <w:bCs/>
          <w:color w:val="auto"/>
          <w:szCs w:val="24"/>
          <w:lang w:eastAsia="zh-CN"/>
        </w:rPr>
        <w:t>渝环函〔2020〕559号</w:t>
      </w:r>
      <w:r>
        <w:rPr>
          <w:rFonts w:hint="eastAsia"/>
          <w:bCs/>
          <w:color w:val="auto"/>
          <w:szCs w:val="24"/>
        </w:rPr>
        <w:t>）相关要求。</w:t>
      </w:r>
    </w:p>
    <w:p w14:paraId="11972A47">
      <w:pPr>
        <w:spacing w:line="360" w:lineRule="auto"/>
        <w:ind w:firstLine="480"/>
        <w:rPr>
          <w:color w:val="auto"/>
        </w:rPr>
      </w:pPr>
      <w:r>
        <w:rPr>
          <w:rFonts w:hint="eastAsia"/>
          <w:color w:val="auto"/>
        </w:rPr>
        <w:t>综上所述，项目符合国家及重庆市相关产业政策和规划。</w:t>
      </w:r>
    </w:p>
    <w:p w14:paraId="46849DCE">
      <w:pPr>
        <w:widowControl/>
        <w:spacing w:line="360" w:lineRule="auto"/>
        <w:ind w:left="0" w:leftChars="0" w:firstLine="0" w:firstLineChars="0"/>
        <w:jc w:val="left"/>
        <w:rPr>
          <w:b/>
          <w:color w:val="auto"/>
          <w:szCs w:val="24"/>
        </w:rPr>
      </w:pPr>
      <w:r>
        <w:rPr>
          <w:rFonts w:hint="eastAsia"/>
          <w:b/>
          <w:color w:val="auto"/>
          <w:szCs w:val="24"/>
          <w:lang w:val="en-US" w:eastAsia="zh-CN"/>
        </w:rPr>
        <w:t>1.4</w:t>
      </w:r>
      <w:r>
        <w:rPr>
          <w:b/>
          <w:color w:val="auto"/>
          <w:szCs w:val="24"/>
        </w:rPr>
        <w:t>关注的主要环境问题及环境影响</w:t>
      </w:r>
    </w:p>
    <w:p w14:paraId="6E1EABF1">
      <w:pPr>
        <w:spacing w:line="360" w:lineRule="auto"/>
        <w:ind w:firstLine="480"/>
        <w:rPr>
          <w:color w:val="auto"/>
          <w:szCs w:val="24"/>
        </w:rPr>
      </w:pPr>
      <w:r>
        <w:rPr>
          <w:color w:val="auto"/>
          <w:szCs w:val="24"/>
        </w:rPr>
        <w:t>本次环境影响评价以工程分析为基础，以环境影响评价为评价重点，预测项目对区域环境可能造成的影响范围、程度，论证污染治理措施的可行性和可靠性，从环保角度对项目的可行性提出明确的结论性意见。</w:t>
      </w:r>
    </w:p>
    <w:p w14:paraId="48956C8C">
      <w:pPr>
        <w:spacing w:line="360" w:lineRule="auto"/>
        <w:ind w:firstLine="480"/>
        <w:rPr>
          <w:color w:val="auto"/>
          <w:szCs w:val="24"/>
        </w:rPr>
      </w:pPr>
      <w:r>
        <w:rPr>
          <w:rFonts w:hint="eastAsia"/>
          <w:color w:val="auto"/>
          <w:szCs w:val="24"/>
        </w:rPr>
        <w:t>（1）</w:t>
      </w:r>
      <w:r>
        <w:rPr>
          <w:color w:val="auto"/>
          <w:szCs w:val="24"/>
        </w:rPr>
        <w:t>废气：运营期间</w:t>
      </w:r>
      <w:r>
        <w:rPr>
          <w:rFonts w:hint="eastAsia"/>
          <w:color w:val="auto"/>
          <w:szCs w:val="24"/>
        </w:rPr>
        <w:t>各构筑物将产生少量</w:t>
      </w:r>
      <w:r>
        <w:rPr>
          <w:color w:val="auto"/>
          <w:szCs w:val="24"/>
        </w:rPr>
        <w:t>H</w:t>
      </w:r>
      <w:r>
        <w:rPr>
          <w:color w:val="auto"/>
          <w:szCs w:val="24"/>
          <w:vertAlign w:val="subscript"/>
        </w:rPr>
        <w:t>2</w:t>
      </w:r>
      <w:r>
        <w:rPr>
          <w:color w:val="auto"/>
          <w:szCs w:val="24"/>
        </w:rPr>
        <w:t>S、NH</w:t>
      </w:r>
      <w:r>
        <w:rPr>
          <w:color w:val="auto"/>
          <w:szCs w:val="24"/>
          <w:vertAlign w:val="subscript"/>
        </w:rPr>
        <w:t>3</w:t>
      </w:r>
      <w:r>
        <w:rPr>
          <w:color w:val="auto"/>
          <w:szCs w:val="24"/>
        </w:rPr>
        <w:t>、</w:t>
      </w:r>
      <w:r>
        <w:rPr>
          <w:rFonts w:hint="eastAsia"/>
          <w:color w:val="auto"/>
          <w:szCs w:val="24"/>
        </w:rPr>
        <w:t>非甲烷总烃等废气，</w:t>
      </w:r>
      <w:r>
        <w:rPr>
          <w:rFonts w:hint="eastAsia"/>
          <w:color w:val="auto"/>
          <w:lang w:val="zh-CN"/>
        </w:rPr>
        <w:t>收集池、调节池、高密沉淀池、芬顿氧化池、沉淀池、浓水罐和污泥池</w:t>
      </w:r>
      <w:r>
        <w:rPr>
          <w:rFonts w:hint="eastAsia"/>
          <w:color w:val="auto"/>
          <w:szCs w:val="21"/>
        </w:rPr>
        <w:t>等主要产臭构筑物采取加盖等密闭方式对臭气进行收集，</w:t>
      </w:r>
      <w:r>
        <w:rPr>
          <w:rFonts w:hint="eastAsia"/>
          <w:color w:val="auto"/>
          <w:szCs w:val="21"/>
          <w:lang w:eastAsia="zh-CN"/>
        </w:rPr>
        <w:t>污泥压滤间和危废贮存库</w:t>
      </w:r>
      <w:r>
        <w:rPr>
          <w:rFonts w:hint="eastAsia"/>
          <w:color w:val="auto"/>
          <w:szCs w:val="21"/>
        </w:rPr>
        <w:t>采取负压抽风收集臭气，MVR蒸发不凝气采用管道收集，废气收集后经1套“碱喷淋+除湿+活性炭吸附”处置达标后15mDA001排气筒排放</w:t>
      </w:r>
      <w:r>
        <w:rPr>
          <w:rFonts w:hint="eastAsia"/>
          <w:color w:val="auto"/>
          <w:szCs w:val="24"/>
        </w:rPr>
        <w:t>。</w:t>
      </w:r>
      <w:r>
        <w:rPr>
          <w:color w:val="auto"/>
          <w:szCs w:val="24"/>
        </w:rPr>
        <w:t>经</w:t>
      </w:r>
      <w:r>
        <w:rPr>
          <w:rFonts w:hint="eastAsia"/>
          <w:color w:val="auto"/>
          <w:szCs w:val="24"/>
        </w:rPr>
        <w:t>计算</w:t>
      </w:r>
      <w:r>
        <w:rPr>
          <w:color w:val="auto"/>
          <w:szCs w:val="24"/>
        </w:rPr>
        <w:t>，废气污染源对环境空气影响较小，不会改变区域环境功能，环境可接受。</w:t>
      </w:r>
    </w:p>
    <w:p w14:paraId="3B5DD220">
      <w:pPr>
        <w:spacing w:line="360" w:lineRule="auto"/>
        <w:ind w:firstLine="480"/>
        <w:jc w:val="left"/>
        <w:rPr>
          <w:color w:val="auto"/>
          <w:szCs w:val="24"/>
        </w:rPr>
      </w:pPr>
      <w:r>
        <w:rPr>
          <w:rFonts w:hint="eastAsia"/>
          <w:color w:val="auto"/>
          <w:szCs w:val="24"/>
        </w:rPr>
        <w:t>（2）</w:t>
      </w:r>
      <w:r>
        <w:rPr>
          <w:color w:val="auto"/>
          <w:szCs w:val="24"/>
        </w:rPr>
        <w:t>废水：</w:t>
      </w:r>
      <w:r>
        <w:rPr>
          <w:rFonts w:hint="eastAsia"/>
          <w:color w:val="auto"/>
          <w:szCs w:val="24"/>
        </w:rPr>
        <w:t>项目主要处理</w:t>
      </w:r>
      <w:r>
        <w:rPr>
          <w:rFonts w:hint="eastAsia"/>
          <w:color w:val="auto"/>
          <w:szCs w:val="24"/>
          <w:lang w:eastAsia="zh-CN"/>
        </w:rPr>
        <w:t>页岩气开采废水</w:t>
      </w:r>
      <w:r>
        <w:rPr>
          <w:rFonts w:hint="eastAsia"/>
          <w:color w:val="auto"/>
          <w:szCs w:val="24"/>
        </w:rPr>
        <w:t>，废水通过罐车运至废水收集池，废水采用</w:t>
      </w:r>
      <w:r>
        <w:rPr>
          <w:rFonts w:hint="eastAsia" w:cs="Tunga"/>
          <w:color w:val="auto"/>
        </w:rPr>
        <w:t>“</w:t>
      </w:r>
      <w:r>
        <w:rPr>
          <w:rFonts w:hint="eastAsia" w:cs="Tunga"/>
          <w:color w:val="auto"/>
          <w:lang w:eastAsia="zh-CN"/>
        </w:rPr>
        <w:t>调节+气浮+化学除重+高密软化沉淀+芬顿氧化+中和沉淀+精密过滤+DTRO膜浓缩+浓水蒸发结晶</w:t>
      </w:r>
      <w:r>
        <w:rPr>
          <w:rFonts w:hint="eastAsia" w:cs="Tunga"/>
          <w:color w:val="auto"/>
        </w:rPr>
        <w:t>”处理工艺，</w:t>
      </w:r>
      <w:r>
        <w:rPr>
          <w:rFonts w:hint="eastAsia"/>
          <w:bCs/>
          <w:snapToGrid w:val="0"/>
          <w:color w:val="auto"/>
          <w:kern w:val="0"/>
          <w:szCs w:val="24"/>
        </w:rPr>
        <w:t>设计</w:t>
      </w:r>
      <w:r>
        <w:rPr>
          <w:rFonts w:hint="eastAsia"/>
          <w:color w:val="auto"/>
          <w:szCs w:val="24"/>
        </w:rPr>
        <w:t>处理规模2000</w:t>
      </w:r>
      <w:r>
        <w:rPr>
          <w:bCs/>
          <w:snapToGrid w:val="0"/>
          <w:color w:val="auto"/>
          <w:kern w:val="0"/>
          <w:szCs w:val="24"/>
        </w:rPr>
        <w:t>m</w:t>
      </w:r>
      <w:r>
        <w:rPr>
          <w:bCs/>
          <w:snapToGrid w:val="0"/>
          <w:color w:val="auto"/>
          <w:kern w:val="0"/>
          <w:szCs w:val="24"/>
          <w:vertAlign w:val="superscript"/>
        </w:rPr>
        <w:t>3</w:t>
      </w:r>
      <w:r>
        <w:rPr>
          <w:bCs/>
          <w:snapToGrid w:val="0"/>
          <w:color w:val="auto"/>
          <w:kern w:val="0"/>
          <w:szCs w:val="24"/>
        </w:rPr>
        <w:t>/d</w:t>
      </w:r>
      <w:r>
        <w:rPr>
          <w:rFonts w:hint="eastAsia"/>
          <w:color w:val="auto"/>
        </w:rPr>
        <w:t>，</w:t>
      </w:r>
      <w:r>
        <w:rPr>
          <w:bCs/>
          <w:color w:val="auto"/>
        </w:rPr>
        <w:t>出水水质达到</w:t>
      </w:r>
      <w:r>
        <w:rPr>
          <w:rFonts w:hint="eastAsia"/>
          <w:color w:val="auto"/>
          <w:lang w:eastAsia="zh-CN"/>
        </w:rPr>
        <w:t>《页岩气开采水污染物排放标准》（DB50/1806-2025）间接排放标准限值后直接接入乌杨组团园区污水处理厂</w:t>
      </w:r>
      <w:r>
        <w:rPr>
          <w:rFonts w:hint="eastAsia"/>
          <w:color w:val="auto"/>
        </w:rPr>
        <w:t>进行深度处理</w:t>
      </w:r>
      <w:r>
        <w:rPr>
          <w:rFonts w:hint="eastAsia"/>
          <w:color w:val="auto"/>
          <w:lang w:eastAsia="zh-CN"/>
        </w:rPr>
        <w:t>达到</w:t>
      </w:r>
      <w:r>
        <w:rPr>
          <w:rFonts w:hint="eastAsia"/>
          <w:color w:val="auto"/>
        </w:rPr>
        <w:t>《城镇污水处理厂污染物排放标准》（GB18918-2002）一级 A 标准后排入</w:t>
      </w:r>
      <w:r>
        <w:rPr>
          <w:rFonts w:hint="eastAsia"/>
          <w:color w:val="auto"/>
          <w:lang w:eastAsia="zh-CN"/>
        </w:rPr>
        <w:t>长江</w:t>
      </w:r>
      <w:r>
        <w:rPr>
          <w:color w:val="auto"/>
          <w:szCs w:val="24"/>
        </w:rPr>
        <w:t>。</w:t>
      </w:r>
    </w:p>
    <w:p w14:paraId="2B60B965">
      <w:pPr>
        <w:spacing w:line="360" w:lineRule="auto"/>
        <w:ind w:firstLine="480"/>
        <w:rPr>
          <w:b/>
          <w:bCs/>
          <w:color w:val="auto"/>
          <w:szCs w:val="24"/>
        </w:rPr>
      </w:pPr>
      <w:r>
        <w:rPr>
          <w:rFonts w:hint="eastAsia"/>
          <w:color w:val="auto"/>
          <w:szCs w:val="24"/>
        </w:rPr>
        <w:t>（3）</w:t>
      </w:r>
      <w:r>
        <w:rPr>
          <w:color w:val="auto"/>
          <w:szCs w:val="24"/>
        </w:rPr>
        <w:t>噪声：</w:t>
      </w:r>
      <w:r>
        <w:rPr>
          <w:snapToGrid w:val="0"/>
          <w:color w:val="auto"/>
          <w:kern w:val="0"/>
          <w:szCs w:val="24"/>
        </w:rPr>
        <w:t>拟建项目</w:t>
      </w:r>
      <w:r>
        <w:rPr>
          <w:rFonts w:hint="eastAsia"/>
          <w:snapToGrid w:val="0"/>
          <w:color w:val="auto"/>
          <w:kern w:val="0"/>
          <w:szCs w:val="24"/>
        </w:rPr>
        <w:t>各类</w:t>
      </w:r>
      <w:r>
        <w:rPr>
          <w:snapToGrid w:val="0"/>
          <w:color w:val="auto"/>
          <w:kern w:val="0"/>
          <w:szCs w:val="24"/>
        </w:rPr>
        <w:t>噪声源</w:t>
      </w:r>
      <w:r>
        <w:rPr>
          <w:rFonts w:hint="eastAsia"/>
          <w:snapToGrid w:val="0"/>
          <w:color w:val="auto"/>
          <w:kern w:val="0"/>
          <w:szCs w:val="24"/>
        </w:rPr>
        <w:t>通过</w:t>
      </w:r>
      <w:r>
        <w:rPr>
          <w:snapToGrid w:val="0"/>
          <w:color w:val="auto"/>
          <w:kern w:val="0"/>
          <w:szCs w:val="24"/>
        </w:rPr>
        <w:t>减振、隔声、消声等措施</w:t>
      </w:r>
      <w:r>
        <w:rPr>
          <w:color w:val="auto"/>
          <w:szCs w:val="24"/>
        </w:rPr>
        <w:t>后，</w:t>
      </w:r>
      <w:r>
        <w:rPr>
          <w:rFonts w:hint="eastAsia"/>
          <w:color w:val="auto"/>
          <w:szCs w:val="24"/>
        </w:rPr>
        <w:t>能够满足</w:t>
      </w:r>
      <w:r>
        <w:rPr>
          <w:color w:val="auto"/>
          <w:szCs w:val="24"/>
        </w:rPr>
        <w:t>《工业企业厂界环境噪声排放标准》（GB12348-2008）中</w:t>
      </w:r>
      <w:r>
        <w:rPr>
          <w:rFonts w:hint="eastAsia"/>
          <w:color w:val="auto"/>
          <w:szCs w:val="24"/>
        </w:rPr>
        <w:t>3</w:t>
      </w:r>
      <w:r>
        <w:rPr>
          <w:color w:val="auto"/>
          <w:szCs w:val="24"/>
        </w:rPr>
        <w:t>类标准</w:t>
      </w:r>
      <w:r>
        <w:rPr>
          <w:rFonts w:hint="eastAsia"/>
          <w:color w:val="auto"/>
          <w:szCs w:val="24"/>
        </w:rPr>
        <w:t>要求，</w:t>
      </w:r>
      <w:r>
        <w:rPr>
          <w:color w:val="auto"/>
          <w:szCs w:val="24"/>
        </w:rPr>
        <w:t>不会造成噪声扰民现象，但建设单位仍应引起重视，进一步完善降噪措施，降低噪声对环境的影响。</w:t>
      </w:r>
    </w:p>
    <w:p w14:paraId="2CF4308A">
      <w:pPr>
        <w:spacing w:line="360" w:lineRule="auto"/>
        <w:ind w:firstLine="480"/>
        <w:rPr>
          <w:color w:val="auto"/>
          <w:szCs w:val="21"/>
        </w:rPr>
      </w:pPr>
      <w:r>
        <w:rPr>
          <w:rFonts w:hint="eastAsia"/>
          <w:color w:val="auto"/>
          <w:szCs w:val="24"/>
        </w:rPr>
        <w:t>（4）</w:t>
      </w:r>
      <w:r>
        <w:rPr>
          <w:color w:val="auto"/>
          <w:szCs w:val="24"/>
        </w:rPr>
        <w:t>固废：</w:t>
      </w:r>
      <w:r>
        <w:rPr>
          <w:color w:val="auto"/>
          <w:lang w:val="zh-CN"/>
        </w:rPr>
        <w:t>拟建项目运行期产生的</w:t>
      </w:r>
      <w:r>
        <w:rPr>
          <w:snapToGrid w:val="0"/>
          <w:color w:val="auto"/>
          <w:kern w:val="0"/>
          <w:szCs w:val="24"/>
        </w:rPr>
        <w:t>生活垃圾</w:t>
      </w:r>
      <w:r>
        <w:rPr>
          <w:rFonts w:hint="eastAsia"/>
          <w:snapToGrid w:val="0"/>
          <w:color w:val="auto"/>
          <w:kern w:val="0"/>
          <w:szCs w:val="24"/>
        </w:rPr>
        <w:t>交</w:t>
      </w:r>
      <w:r>
        <w:rPr>
          <w:snapToGrid w:val="0"/>
          <w:color w:val="auto"/>
          <w:kern w:val="0"/>
          <w:szCs w:val="24"/>
        </w:rPr>
        <w:t>环卫</w:t>
      </w:r>
      <w:r>
        <w:rPr>
          <w:rFonts w:hint="eastAsia"/>
          <w:snapToGrid w:val="0"/>
          <w:color w:val="auto"/>
          <w:kern w:val="0"/>
          <w:szCs w:val="24"/>
        </w:rPr>
        <w:t>部门</w:t>
      </w:r>
      <w:r>
        <w:rPr>
          <w:snapToGrid w:val="0"/>
          <w:color w:val="auto"/>
          <w:kern w:val="0"/>
          <w:szCs w:val="24"/>
        </w:rPr>
        <w:t>统一处置</w:t>
      </w:r>
      <w:r>
        <w:rPr>
          <w:rFonts w:hint="eastAsia"/>
          <w:snapToGrid w:val="0"/>
          <w:color w:val="auto"/>
          <w:kern w:val="0"/>
          <w:szCs w:val="24"/>
        </w:rPr>
        <w:t>；</w:t>
      </w:r>
      <w:r>
        <w:rPr>
          <w:rFonts w:hint="eastAsia"/>
          <w:color w:val="auto"/>
          <w:szCs w:val="21"/>
        </w:rPr>
        <w:t>不沾染危险化学品的</w:t>
      </w:r>
      <w:r>
        <w:rPr>
          <w:rFonts w:hint="eastAsia"/>
          <w:color w:val="auto"/>
          <w:lang w:val="zh-CN"/>
        </w:rPr>
        <w:t>废包装材料</w:t>
      </w:r>
      <w:r>
        <w:rPr>
          <w:rFonts w:hint="eastAsia"/>
          <w:color w:val="auto"/>
          <w:szCs w:val="24"/>
        </w:rPr>
        <w:t>外卖废品回收公司；</w:t>
      </w:r>
      <w:r>
        <w:rPr>
          <w:rFonts w:hint="eastAsia"/>
          <w:color w:val="auto"/>
          <w:lang w:val="zh-CN"/>
        </w:rPr>
        <w:t>废活性炭、实验室废物、废油类、废油桶及含油废物和废膜</w:t>
      </w:r>
      <w:r>
        <w:rPr>
          <w:rFonts w:hint="eastAsia"/>
          <w:bCs/>
          <w:color w:val="auto"/>
        </w:rPr>
        <w:t>等</w:t>
      </w:r>
      <w:r>
        <w:rPr>
          <w:rFonts w:hint="eastAsia" w:eastAsiaTheme="minorEastAsia"/>
          <w:color w:val="auto"/>
          <w:szCs w:val="24"/>
        </w:rPr>
        <w:t>危险废物集中收集后暂存于危废贮存库</w:t>
      </w:r>
      <w:r>
        <w:rPr>
          <w:rFonts w:hint="eastAsia"/>
          <w:bCs/>
          <w:color w:val="auto"/>
        </w:rPr>
        <w:t>，定期交有资质单位处置</w:t>
      </w:r>
      <w:r>
        <w:rPr>
          <w:rFonts w:hint="eastAsia"/>
          <w:color w:val="auto"/>
          <w:szCs w:val="24"/>
        </w:rPr>
        <w:t>；</w:t>
      </w:r>
      <w:r>
        <w:rPr>
          <w:rFonts w:hint="eastAsia" w:eastAsiaTheme="minorEastAsia"/>
          <w:color w:val="auto"/>
          <w:szCs w:val="24"/>
        </w:rPr>
        <w:t>拟建项目产生的污泥和</w:t>
      </w:r>
      <w:r>
        <w:rPr>
          <w:rFonts w:hint="eastAsia"/>
          <w:color w:val="auto"/>
          <w:lang w:val="zh-CN"/>
        </w:rPr>
        <w:t>蒸发结晶盐</w:t>
      </w:r>
      <w:r>
        <w:rPr>
          <w:rFonts w:hint="eastAsia" w:eastAsiaTheme="minorEastAsia"/>
          <w:color w:val="auto"/>
          <w:szCs w:val="24"/>
        </w:rPr>
        <w:t>经危废鉴定后按要求处置，鉴定前</w:t>
      </w:r>
      <w:r>
        <w:rPr>
          <w:color w:val="auto"/>
          <w:szCs w:val="24"/>
        </w:rPr>
        <w:t>企业严格按照《危险废物贮存污染控制标准》（GB18597-2023</w:t>
      </w:r>
      <w:r>
        <w:rPr>
          <w:color w:val="auto"/>
          <w:szCs w:val="24"/>
          <w:lang w:val="zh-CN"/>
        </w:rPr>
        <w:t>）</w:t>
      </w:r>
      <w:r>
        <w:rPr>
          <w:color w:val="auto"/>
          <w:szCs w:val="24"/>
        </w:rPr>
        <w:t>在厂区内建设危废贮存</w:t>
      </w:r>
      <w:r>
        <w:rPr>
          <w:rFonts w:hint="eastAsia"/>
          <w:color w:val="auto"/>
          <w:szCs w:val="24"/>
        </w:rPr>
        <w:t>库</w:t>
      </w:r>
      <w:r>
        <w:rPr>
          <w:color w:val="auto"/>
          <w:szCs w:val="21"/>
        </w:rPr>
        <w:t>。</w:t>
      </w:r>
    </w:p>
    <w:p w14:paraId="48AC496D">
      <w:pPr>
        <w:spacing w:line="360" w:lineRule="auto"/>
        <w:ind w:firstLine="480"/>
        <w:rPr>
          <w:color w:val="auto"/>
        </w:rPr>
      </w:pPr>
      <w:r>
        <w:rPr>
          <w:rFonts w:hint="eastAsia"/>
          <w:color w:val="auto"/>
          <w:szCs w:val="21"/>
        </w:rPr>
        <w:t>（5）环境</w:t>
      </w:r>
      <w:r>
        <w:rPr>
          <w:color w:val="auto"/>
          <w:szCs w:val="21"/>
        </w:rPr>
        <w:t>风险：根据《建设项目环境风险评价技术导则》（HJ 169-2018）评价等级划分，</w:t>
      </w:r>
      <w:r>
        <w:rPr>
          <w:rFonts w:hint="eastAsia"/>
          <w:color w:val="auto"/>
          <w:szCs w:val="21"/>
        </w:rPr>
        <w:t>本次评价仅对环境风险进行简单分析</w:t>
      </w:r>
      <w:r>
        <w:rPr>
          <w:color w:val="auto"/>
          <w:szCs w:val="21"/>
        </w:rPr>
        <w:t>。</w:t>
      </w:r>
      <w:r>
        <w:rPr>
          <w:rFonts w:hint="eastAsia"/>
          <w:color w:val="auto"/>
        </w:rPr>
        <w:t>建设单位按照本报告书做好各项风险的预防和应急措施，并制定完善的风险事故应急预案。在项目严格落实环评提出的各项措施和要求的前提下，拟建项目环境风险可防控。</w:t>
      </w:r>
    </w:p>
    <w:p w14:paraId="6B52E254">
      <w:pPr>
        <w:adjustRightInd/>
        <w:snapToGrid/>
        <w:spacing w:line="360" w:lineRule="auto"/>
        <w:ind w:left="0" w:leftChars="0" w:firstLine="0" w:firstLineChars="0"/>
        <w:rPr>
          <w:b/>
          <w:color w:val="auto"/>
          <w:szCs w:val="24"/>
        </w:rPr>
      </w:pPr>
      <w:r>
        <w:rPr>
          <w:rFonts w:hint="eastAsia"/>
          <w:b/>
          <w:color w:val="auto"/>
          <w:szCs w:val="24"/>
          <w:lang w:val="en-US" w:eastAsia="zh-CN"/>
        </w:rPr>
        <w:t>1.5</w:t>
      </w:r>
      <w:r>
        <w:rPr>
          <w:b/>
          <w:color w:val="auto"/>
          <w:szCs w:val="24"/>
        </w:rPr>
        <w:t>评价结论</w:t>
      </w:r>
    </w:p>
    <w:p w14:paraId="1D7379D9">
      <w:pPr>
        <w:spacing w:line="360" w:lineRule="auto"/>
        <w:ind w:firstLine="480"/>
        <w:rPr>
          <w:color w:val="auto"/>
          <w:szCs w:val="24"/>
        </w:rPr>
      </w:pPr>
      <w:r>
        <w:rPr>
          <w:rFonts w:hint="eastAsia"/>
          <w:color w:val="auto"/>
          <w:szCs w:val="24"/>
          <w:lang w:eastAsia="zh-CN"/>
        </w:rPr>
        <w:t>重庆海宇环保科技有限公司页岩气开采废水处理项目</w:t>
      </w:r>
      <w:r>
        <w:rPr>
          <w:rFonts w:hint="eastAsia"/>
          <w:color w:val="auto"/>
          <w:szCs w:val="24"/>
        </w:rPr>
        <w:t>设计废水处理规模2000m</w:t>
      </w:r>
      <w:r>
        <w:rPr>
          <w:rFonts w:hint="eastAsia"/>
          <w:color w:val="auto"/>
          <w:szCs w:val="24"/>
          <w:vertAlign w:val="superscript"/>
        </w:rPr>
        <w:t>3</w:t>
      </w:r>
      <w:r>
        <w:rPr>
          <w:rFonts w:hint="eastAsia"/>
          <w:color w:val="auto"/>
          <w:szCs w:val="24"/>
        </w:rPr>
        <w:t>/d，采用</w:t>
      </w:r>
      <w:r>
        <w:rPr>
          <w:rFonts w:hint="eastAsia" w:cs="Tunga"/>
          <w:color w:val="auto"/>
        </w:rPr>
        <w:t>“</w:t>
      </w:r>
      <w:r>
        <w:rPr>
          <w:rFonts w:hint="eastAsia" w:cs="Tunga"/>
          <w:color w:val="auto"/>
          <w:lang w:eastAsia="zh-CN"/>
        </w:rPr>
        <w:t>调节+气浮+化学除重+高密软化沉淀+芬顿氧化+中和沉淀+精密过滤+DTRO膜浓缩+浓水蒸发结晶</w:t>
      </w:r>
      <w:r>
        <w:rPr>
          <w:rFonts w:hint="eastAsia" w:cs="Tunga"/>
          <w:color w:val="auto"/>
        </w:rPr>
        <w:t>”处理工艺</w:t>
      </w:r>
      <w:r>
        <w:rPr>
          <w:rFonts w:hint="eastAsia"/>
          <w:bCs/>
          <w:color w:val="auto"/>
          <w:szCs w:val="24"/>
        </w:rPr>
        <w:t>。项目建设符合国家及重庆市相关产业政策，符合国家及重庆市相关环境保护政策，符合规划及规划环评，符合重庆市及</w:t>
      </w:r>
      <w:r>
        <w:rPr>
          <w:rFonts w:hint="eastAsia"/>
          <w:bCs/>
          <w:color w:val="auto"/>
          <w:szCs w:val="24"/>
          <w:lang w:eastAsia="zh-CN"/>
        </w:rPr>
        <w:t>忠县“三线一单”</w:t>
      </w:r>
      <w:r>
        <w:rPr>
          <w:rFonts w:hint="eastAsia"/>
          <w:bCs/>
          <w:color w:val="auto"/>
          <w:szCs w:val="24"/>
        </w:rPr>
        <w:t>生态环境分区管控要求。项目是一项</w:t>
      </w:r>
      <w:r>
        <w:rPr>
          <w:rFonts w:hint="eastAsia"/>
          <w:bCs/>
          <w:color w:val="auto"/>
          <w:szCs w:val="24"/>
          <w:lang w:eastAsia="zh-CN"/>
        </w:rPr>
        <w:t>生态环境保护</w:t>
      </w:r>
      <w:r>
        <w:rPr>
          <w:rFonts w:hint="eastAsia"/>
          <w:bCs/>
          <w:color w:val="auto"/>
          <w:szCs w:val="24"/>
        </w:rPr>
        <w:t>工程，在严格落实各项目生态环境保护治理措施和风险防范措施的情况下，各污染物能达标排放，</w:t>
      </w:r>
      <w:r>
        <w:rPr>
          <w:rFonts w:hint="eastAsia"/>
          <w:bCs/>
          <w:color w:val="auto"/>
          <w:szCs w:val="24"/>
          <w:lang w:eastAsia="zh-CN"/>
        </w:rPr>
        <w:t>满足总量控制要求，</w:t>
      </w:r>
      <w:r>
        <w:rPr>
          <w:rFonts w:hint="eastAsia"/>
          <w:bCs/>
          <w:color w:val="auto"/>
          <w:szCs w:val="24"/>
        </w:rPr>
        <w:t>对环境影响较小，不会改变区域环境功能，环境风险可防控。从环境保护角度考虑，项目建设是合理可行的</w:t>
      </w:r>
      <w:r>
        <w:rPr>
          <w:color w:val="auto"/>
          <w:szCs w:val="24"/>
        </w:rPr>
        <w:t>。</w:t>
      </w:r>
    </w:p>
    <w:p w14:paraId="546E160A">
      <w:pPr>
        <w:spacing w:line="360" w:lineRule="auto"/>
        <w:ind w:firstLine="480"/>
        <w:jc w:val="left"/>
        <w:rPr>
          <w:color w:val="auto"/>
          <w:szCs w:val="24"/>
        </w:rPr>
        <w:sectPr>
          <w:footerReference r:id="rId13" w:type="default"/>
          <w:pgSz w:w="11906" w:h="16838"/>
          <w:pgMar w:top="1418" w:right="1418" w:bottom="1418" w:left="1418" w:header="851" w:footer="992" w:gutter="0"/>
          <w:pgBorders>
            <w:top w:val="none" w:sz="0" w:space="0"/>
            <w:left w:val="none" w:sz="0" w:space="0"/>
            <w:bottom w:val="none" w:sz="0" w:space="0"/>
            <w:right w:val="none" w:sz="0" w:space="0"/>
          </w:pgBorders>
          <w:pgNumType w:start="1"/>
          <w:cols w:space="425" w:num="1"/>
          <w:docGrid w:linePitch="312" w:charSpace="0"/>
        </w:sectPr>
      </w:pPr>
      <w:r>
        <w:rPr>
          <w:color w:val="auto"/>
          <w:szCs w:val="24"/>
        </w:rPr>
        <w:t>报告书</w:t>
      </w:r>
      <w:r>
        <w:rPr>
          <w:rFonts w:hint="eastAsia"/>
          <w:color w:val="auto"/>
          <w:szCs w:val="24"/>
        </w:rPr>
        <w:t>在</w:t>
      </w:r>
      <w:r>
        <w:rPr>
          <w:color w:val="auto"/>
          <w:szCs w:val="24"/>
        </w:rPr>
        <w:t>编制过程中得到了</w:t>
      </w:r>
      <w:r>
        <w:rPr>
          <w:rFonts w:hint="eastAsia"/>
          <w:color w:val="auto"/>
          <w:szCs w:val="24"/>
          <w:lang w:eastAsia="zh-CN"/>
        </w:rPr>
        <w:t>忠县生态环境局</w:t>
      </w:r>
      <w:r>
        <w:rPr>
          <w:color w:val="auto"/>
          <w:szCs w:val="24"/>
        </w:rPr>
        <w:t>、</w:t>
      </w:r>
      <w:r>
        <w:rPr>
          <w:rFonts w:hint="eastAsia"/>
          <w:color w:val="auto"/>
          <w:szCs w:val="24"/>
          <w:lang w:eastAsia="zh-CN"/>
        </w:rPr>
        <w:t>忠县工业园区管理委员会</w:t>
      </w:r>
      <w:r>
        <w:rPr>
          <w:rFonts w:hint="eastAsia"/>
          <w:color w:val="auto"/>
          <w:szCs w:val="24"/>
        </w:rPr>
        <w:t>、</w:t>
      </w:r>
      <w:r>
        <w:rPr>
          <w:rFonts w:hint="eastAsia"/>
          <w:color w:val="auto"/>
          <w:szCs w:val="24"/>
          <w:lang w:eastAsia="zh-CN"/>
        </w:rPr>
        <w:t>重庆海宇环保科技有限公司</w:t>
      </w:r>
      <w:r>
        <w:rPr>
          <w:rFonts w:hint="eastAsia"/>
          <w:color w:val="auto"/>
          <w:szCs w:val="24"/>
        </w:rPr>
        <w:t>和重庆国环环境监测有限公司</w:t>
      </w:r>
      <w:r>
        <w:rPr>
          <w:color w:val="auto"/>
          <w:szCs w:val="24"/>
        </w:rPr>
        <w:t>等单位的大力支持和帮助，在此一并致谢！</w:t>
      </w:r>
    </w:p>
    <w:p w14:paraId="6E7C4335">
      <w:pPr>
        <w:pStyle w:val="3"/>
        <w:numPr>
          <w:ilvl w:val="0"/>
          <w:numId w:val="0"/>
        </w:numPr>
        <w:spacing w:line="360" w:lineRule="auto"/>
        <w:rPr>
          <w:color w:val="auto"/>
          <w:sz w:val="24"/>
          <w:szCs w:val="24"/>
        </w:rPr>
      </w:pPr>
      <w:bookmarkStart w:id="3" w:name="_Toc194378401"/>
      <w:bookmarkStart w:id="4" w:name="_Toc396234158"/>
      <w:bookmarkStart w:id="5" w:name="_Toc344679067"/>
      <w:bookmarkStart w:id="6" w:name="_Toc51062439"/>
      <w:bookmarkStart w:id="7" w:name="_Toc439249477"/>
      <w:bookmarkStart w:id="8" w:name="_Toc245544262"/>
      <w:bookmarkStart w:id="9" w:name="_Toc198021920"/>
      <w:bookmarkStart w:id="10" w:name="_Toc244071835"/>
      <w:bookmarkStart w:id="11" w:name="_Toc3042"/>
      <w:bookmarkStart w:id="12" w:name="_Toc472509255"/>
      <w:bookmarkStart w:id="13" w:name="_Toc409795645"/>
      <w:r>
        <w:rPr>
          <w:rFonts w:hint="eastAsia"/>
          <w:color w:val="auto"/>
          <w:sz w:val="24"/>
          <w:szCs w:val="24"/>
          <w:lang w:val="en-US" w:eastAsia="zh-CN"/>
        </w:rPr>
        <w:t>2</w:t>
      </w:r>
      <w:r>
        <w:rPr>
          <w:color w:val="auto"/>
          <w:sz w:val="24"/>
          <w:szCs w:val="24"/>
        </w:rPr>
        <w:t>总</w:t>
      </w:r>
      <w:bookmarkEnd w:id="3"/>
      <w:bookmarkEnd w:id="4"/>
      <w:bookmarkEnd w:id="5"/>
      <w:bookmarkEnd w:id="6"/>
      <w:bookmarkEnd w:id="7"/>
      <w:bookmarkEnd w:id="8"/>
      <w:bookmarkEnd w:id="9"/>
      <w:bookmarkEnd w:id="10"/>
      <w:r>
        <w:rPr>
          <w:color w:val="auto"/>
          <w:sz w:val="24"/>
          <w:szCs w:val="24"/>
        </w:rPr>
        <w:t>则</w:t>
      </w:r>
      <w:bookmarkEnd w:id="11"/>
      <w:bookmarkEnd w:id="12"/>
    </w:p>
    <w:p w14:paraId="2E2C80EA">
      <w:pPr>
        <w:pStyle w:val="4"/>
        <w:numPr>
          <w:ilvl w:val="0"/>
          <w:numId w:val="0"/>
        </w:numPr>
        <w:spacing w:line="360" w:lineRule="auto"/>
        <w:rPr>
          <w:color w:val="auto"/>
        </w:rPr>
      </w:pPr>
      <w:bookmarkStart w:id="14" w:name="_Toc175479774"/>
      <w:bookmarkStart w:id="15" w:name="_Toc194378403"/>
      <w:bookmarkStart w:id="16" w:name="_Toc109139941"/>
      <w:bookmarkStart w:id="17" w:name="_Toc472509256"/>
      <w:bookmarkStart w:id="18" w:name="_Toc344679069"/>
      <w:bookmarkStart w:id="19" w:name="_Toc244071837"/>
      <w:bookmarkStart w:id="20" w:name="_Toc245544264"/>
      <w:bookmarkStart w:id="21" w:name="_Toc129763678"/>
      <w:bookmarkStart w:id="22" w:name="_Toc51062441"/>
      <w:bookmarkStart w:id="23" w:name="_Toc198021922"/>
      <w:bookmarkStart w:id="24" w:name="_Toc165607333"/>
      <w:bookmarkStart w:id="25" w:name="_Toc396234160"/>
      <w:bookmarkStart w:id="26" w:name="_Toc439249478"/>
      <w:bookmarkStart w:id="27" w:name="_Toc26933"/>
      <w:bookmarkStart w:id="28" w:name="_Toc198021921"/>
      <w:bookmarkStart w:id="29" w:name="_Toc194378402"/>
      <w:bookmarkStart w:id="30" w:name="_Toc244071836"/>
      <w:bookmarkStart w:id="31" w:name="_Toc344679068"/>
      <w:bookmarkStart w:id="32" w:name="_Toc175479773"/>
      <w:bookmarkStart w:id="33" w:name="_Toc129763677"/>
      <w:bookmarkStart w:id="34" w:name="_Toc396234159"/>
      <w:bookmarkStart w:id="35" w:name="_Toc51062440"/>
      <w:bookmarkStart w:id="36" w:name="_Toc165607332"/>
      <w:bookmarkStart w:id="37" w:name="_Toc245544263"/>
      <w:r>
        <w:rPr>
          <w:rFonts w:hint="eastAsia"/>
          <w:color w:val="auto"/>
          <w:lang w:eastAsia="zh-CN"/>
        </w:rPr>
        <w:t>2.1</w:t>
      </w:r>
      <w:r>
        <w:rPr>
          <w:color w:val="auto"/>
        </w:rPr>
        <w:t>编制依据</w:t>
      </w:r>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30DA81EC">
      <w:pPr>
        <w:pStyle w:val="5"/>
        <w:numPr>
          <w:ilvl w:val="0"/>
          <w:numId w:val="0"/>
        </w:numPr>
        <w:spacing w:line="360" w:lineRule="auto"/>
        <w:rPr>
          <w:color w:val="auto"/>
        </w:rPr>
      </w:pPr>
      <w:r>
        <w:rPr>
          <w:rFonts w:hint="eastAsia"/>
          <w:color w:val="auto"/>
          <w:lang w:eastAsia="zh-CN"/>
        </w:rPr>
        <w:t>2.1</w:t>
      </w:r>
      <w:r>
        <w:rPr>
          <w:color w:val="auto"/>
        </w:rPr>
        <w:t>.1环境保护相关法律法规</w:t>
      </w:r>
    </w:p>
    <w:p w14:paraId="4B0A59F4">
      <w:pPr>
        <w:numPr>
          <w:ilvl w:val="0"/>
          <w:numId w:val="17"/>
        </w:numPr>
        <w:spacing w:line="360" w:lineRule="auto"/>
        <w:ind w:firstLineChars="0"/>
        <w:rPr>
          <w:color w:val="auto"/>
        </w:rPr>
      </w:pPr>
      <w:r>
        <w:rPr>
          <w:color w:val="auto"/>
        </w:rPr>
        <w:t>《中华人民共和国环境保护法》（修订）（2015.1.1）；</w:t>
      </w:r>
    </w:p>
    <w:p w14:paraId="4CB7A07E">
      <w:pPr>
        <w:numPr>
          <w:ilvl w:val="0"/>
          <w:numId w:val="17"/>
        </w:numPr>
        <w:spacing w:line="360" w:lineRule="auto"/>
        <w:ind w:firstLineChars="0"/>
        <w:rPr>
          <w:color w:val="auto"/>
        </w:rPr>
      </w:pPr>
      <w:r>
        <w:rPr>
          <w:color w:val="auto"/>
        </w:rPr>
        <w:t xml:space="preserve">《中华人民共和国噪声污染防治法》（2021.12.24）； </w:t>
      </w:r>
    </w:p>
    <w:p w14:paraId="5708BFC3">
      <w:pPr>
        <w:numPr>
          <w:ilvl w:val="0"/>
          <w:numId w:val="17"/>
        </w:numPr>
        <w:spacing w:line="360" w:lineRule="auto"/>
        <w:ind w:firstLineChars="0"/>
        <w:rPr>
          <w:color w:val="auto"/>
        </w:rPr>
      </w:pPr>
      <w:r>
        <w:rPr>
          <w:color w:val="auto"/>
        </w:rPr>
        <w:t>《中华人民共和国大气污染防治法》（2018.10.26）；</w:t>
      </w:r>
    </w:p>
    <w:p w14:paraId="4ED1E916">
      <w:pPr>
        <w:numPr>
          <w:ilvl w:val="0"/>
          <w:numId w:val="17"/>
        </w:numPr>
        <w:spacing w:line="360" w:lineRule="auto"/>
        <w:ind w:firstLineChars="0"/>
        <w:rPr>
          <w:color w:val="auto"/>
        </w:rPr>
      </w:pPr>
      <w:r>
        <w:rPr>
          <w:color w:val="auto"/>
        </w:rPr>
        <w:t>《中华人民共和国水法》（2016.7修订）；</w:t>
      </w:r>
    </w:p>
    <w:p w14:paraId="311AAAC0">
      <w:pPr>
        <w:numPr>
          <w:ilvl w:val="0"/>
          <w:numId w:val="17"/>
        </w:numPr>
        <w:spacing w:line="360" w:lineRule="auto"/>
        <w:ind w:firstLineChars="0"/>
        <w:rPr>
          <w:color w:val="auto"/>
        </w:rPr>
      </w:pPr>
      <w:r>
        <w:rPr>
          <w:color w:val="auto"/>
        </w:rPr>
        <w:t>《中华人民共和国环境影响评价法》（2018.12.29）；</w:t>
      </w:r>
    </w:p>
    <w:p w14:paraId="1DA8DE04">
      <w:pPr>
        <w:numPr>
          <w:ilvl w:val="0"/>
          <w:numId w:val="17"/>
        </w:numPr>
        <w:spacing w:line="360" w:lineRule="auto"/>
        <w:ind w:firstLineChars="0"/>
        <w:rPr>
          <w:color w:val="auto"/>
        </w:rPr>
      </w:pPr>
      <w:r>
        <w:rPr>
          <w:color w:val="auto"/>
        </w:rPr>
        <w:t>《中华人民共和国固体废物污染环境防治法》（2020</w:t>
      </w:r>
      <w:r>
        <w:rPr>
          <w:rFonts w:hint="eastAsia"/>
          <w:color w:val="auto"/>
        </w:rPr>
        <w:t>修订</w:t>
      </w:r>
      <w:r>
        <w:rPr>
          <w:color w:val="auto"/>
        </w:rPr>
        <w:t>）；</w:t>
      </w:r>
    </w:p>
    <w:p w14:paraId="297077F7">
      <w:pPr>
        <w:numPr>
          <w:ilvl w:val="0"/>
          <w:numId w:val="17"/>
        </w:numPr>
        <w:spacing w:line="360" w:lineRule="auto"/>
        <w:ind w:firstLineChars="0"/>
        <w:rPr>
          <w:color w:val="auto"/>
        </w:rPr>
      </w:pPr>
      <w:r>
        <w:rPr>
          <w:color w:val="auto"/>
        </w:rPr>
        <w:t>《中华人民共和国节约能源法》（2018.10.26）；</w:t>
      </w:r>
    </w:p>
    <w:p w14:paraId="05F1CBAF">
      <w:pPr>
        <w:numPr>
          <w:ilvl w:val="0"/>
          <w:numId w:val="17"/>
        </w:numPr>
        <w:spacing w:line="360" w:lineRule="auto"/>
        <w:ind w:firstLineChars="0"/>
        <w:rPr>
          <w:color w:val="auto"/>
        </w:rPr>
      </w:pPr>
      <w:r>
        <w:rPr>
          <w:color w:val="auto"/>
        </w:rPr>
        <w:t>《中华人民共和国水污染防治法》（2018.1.1）；</w:t>
      </w:r>
    </w:p>
    <w:p w14:paraId="2A27EC70">
      <w:pPr>
        <w:numPr>
          <w:ilvl w:val="0"/>
          <w:numId w:val="17"/>
        </w:numPr>
        <w:spacing w:line="360" w:lineRule="auto"/>
        <w:ind w:firstLineChars="0"/>
        <w:rPr>
          <w:color w:val="auto"/>
        </w:rPr>
      </w:pPr>
      <w:r>
        <w:rPr>
          <w:color w:val="auto"/>
        </w:rPr>
        <w:t>《中华人民共和国循环经济促进法》（2018.10.26）；</w:t>
      </w:r>
    </w:p>
    <w:p w14:paraId="54F967D8">
      <w:pPr>
        <w:numPr>
          <w:ilvl w:val="0"/>
          <w:numId w:val="17"/>
        </w:numPr>
        <w:spacing w:line="360" w:lineRule="auto"/>
        <w:ind w:firstLineChars="0"/>
        <w:rPr>
          <w:color w:val="auto"/>
        </w:rPr>
      </w:pPr>
      <w:r>
        <w:rPr>
          <w:color w:val="auto"/>
        </w:rPr>
        <w:t>《中华人民共和国水土保持法》（2011.3.1）；</w:t>
      </w:r>
    </w:p>
    <w:p w14:paraId="53CC16F4">
      <w:pPr>
        <w:numPr>
          <w:ilvl w:val="0"/>
          <w:numId w:val="17"/>
        </w:numPr>
        <w:spacing w:line="360" w:lineRule="auto"/>
        <w:ind w:firstLineChars="0"/>
        <w:rPr>
          <w:color w:val="auto"/>
        </w:rPr>
      </w:pPr>
      <w:r>
        <w:rPr>
          <w:color w:val="auto"/>
        </w:rPr>
        <w:t>《中华人民共和国清洁生产促进法》（2018.10.26）</w:t>
      </w:r>
      <w:r>
        <w:rPr>
          <w:rFonts w:hint="eastAsia"/>
          <w:color w:val="auto"/>
          <w:lang w:eastAsia="zh-CN"/>
        </w:rPr>
        <w:t>；</w:t>
      </w:r>
    </w:p>
    <w:p w14:paraId="030DDF3C">
      <w:pPr>
        <w:pStyle w:val="1985"/>
        <w:numPr>
          <w:ilvl w:val="0"/>
          <w:numId w:val="17"/>
        </w:numPr>
        <w:spacing w:line="360" w:lineRule="auto"/>
        <w:ind w:firstLineChars="0"/>
        <w:rPr>
          <w:color w:val="auto"/>
        </w:rPr>
      </w:pPr>
      <w:r>
        <w:rPr>
          <w:color w:val="auto"/>
        </w:rPr>
        <w:t>《中华人民共和国土壤污染防治法》（2018.12.29）</w:t>
      </w:r>
      <w:r>
        <w:rPr>
          <w:rFonts w:hint="eastAsia"/>
          <w:color w:val="auto"/>
        </w:rPr>
        <w:t>；</w:t>
      </w:r>
    </w:p>
    <w:p w14:paraId="3EDC1C90">
      <w:pPr>
        <w:pStyle w:val="1985"/>
        <w:numPr>
          <w:ilvl w:val="0"/>
          <w:numId w:val="17"/>
        </w:numPr>
        <w:spacing w:line="360" w:lineRule="auto"/>
        <w:ind w:firstLineChars="0"/>
        <w:rPr>
          <w:color w:val="auto"/>
        </w:rPr>
      </w:pPr>
      <w:r>
        <w:rPr>
          <w:color w:val="auto"/>
        </w:rPr>
        <w:t>《中华人民共和国长江保护法》</w:t>
      </w:r>
      <w:r>
        <w:rPr>
          <w:rFonts w:hint="eastAsia"/>
          <w:color w:val="auto"/>
        </w:rPr>
        <w:t>（2</w:t>
      </w:r>
      <w:r>
        <w:rPr>
          <w:color w:val="auto"/>
        </w:rPr>
        <w:t>021.3.1</w:t>
      </w:r>
      <w:r>
        <w:rPr>
          <w:rFonts w:hint="eastAsia"/>
          <w:color w:val="auto"/>
        </w:rPr>
        <w:t>）；</w:t>
      </w:r>
    </w:p>
    <w:p w14:paraId="5C64B5F6">
      <w:pPr>
        <w:pStyle w:val="1985"/>
        <w:numPr>
          <w:ilvl w:val="0"/>
          <w:numId w:val="17"/>
        </w:numPr>
        <w:spacing w:line="360" w:lineRule="auto"/>
        <w:ind w:firstLineChars="0"/>
        <w:rPr>
          <w:color w:val="auto"/>
        </w:rPr>
      </w:pPr>
      <w:r>
        <w:rPr>
          <w:rFonts w:hint="eastAsia"/>
          <w:color w:val="auto"/>
        </w:rPr>
        <w:t>《中华人民共和国放射性污染防治法》；</w:t>
      </w:r>
    </w:p>
    <w:p w14:paraId="7DA2CA5D">
      <w:pPr>
        <w:pStyle w:val="1985"/>
        <w:numPr>
          <w:ilvl w:val="0"/>
          <w:numId w:val="17"/>
        </w:numPr>
        <w:spacing w:line="360" w:lineRule="auto"/>
        <w:ind w:firstLineChars="0"/>
        <w:rPr>
          <w:color w:val="auto"/>
        </w:rPr>
      </w:pPr>
      <w:r>
        <w:rPr>
          <w:rFonts w:hint="eastAsia"/>
          <w:color w:val="auto"/>
        </w:rPr>
        <w:t>《中华人民共和国核安全法》</w:t>
      </w:r>
      <w:r>
        <w:rPr>
          <w:color w:val="auto"/>
        </w:rPr>
        <w:t>。</w:t>
      </w:r>
    </w:p>
    <w:p w14:paraId="5C72B146">
      <w:pPr>
        <w:pStyle w:val="5"/>
        <w:numPr>
          <w:ilvl w:val="0"/>
          <w:numId w:val="0"/>
        </w:numPr>
        <w:spacing w:line="360" w:lineRule="auto"/>
        <w:rPr>
          <w:color w:val="auto"/>
        </w:rPr>
      </w:pPr>
      <w:r>
        <w:rPr>
          <w:rFonts w:hint="eastAsia"/>
          <w:color w:val="auto"/>
          <w:lang w:eastAsia="zh-CN"/>
        </w:rPr>
        <w:t>2.1</w:t>
      </w:r>
      <w:r>
        <w:rPr>
          <w:color w:val="auto"/>
        </w:rPr>
        <w:t>.2环境保护行政法规、条例及规章</w:t>
      </w:r>
    </w:p>
    <w:p w14:paraId="38F60CD3">
      <w:pPr>
        <w:numPr>
          <w:ilvl w:val="0"/>
          <w:numId w:val="18"/>
        </w:numPr>
        <w:spacing w:line="360" w:lineRule="auto"/>
        <w:ind w:firstLineChars="0"/>
        <w:rPr>
          <w:color w:val="auto"/>
        </w:rPr>
      </w:pPr>
      <w:r>
        <w:rPr>
          <w:color w:val="auto"/>
        </w:rPr>
        <w:t>《</w:t>
      </w:r>
      <w:r>
        <w:rPr>
          <w:rFonts w:hint="eastAsia"/>
          <w:color w:val="auto"/>
        </w:rPr>
        <w:t>中华人民共和国国民经济和社会发展第十四个五年规划和2035年远景目标纲要</w:t>
      </w:r>
      <w:r>
        <w:rPr>
          <w:color w:val="auto"/>
        </w:rPr>
        <w:t>》</w:t>
      </w:r>
    </w:p>
    <w:p w14:paraId="25ED1C3E">
      <w:pPr>
        <w:numPr>
          <w:ilvl w:val="0"/>
          <w:numId w:val="18"/>
        </w:numPr>
        <w:spacing w:line="360" w:lineRule="auto"/>
        <w:ind w:firstLineChars="0"/>
        <w:rPr>
          <w:color w:val="auto"/>
        </w:rPr>
      </w:pPr>
      <w:r>
        <w:rPr>
          <w:rFonts w:hint="eastAsia"/>
          <w:color w:val="auto"/>
        </w:rPr>
        <w:t>《国务院关于加强环境保护重点工作的意见》（国发〔2011〕35号）；</w:t>
      </w:r>
    </w:p>
    <w:p w14:paraId="66D43650">
      <w:pPr>
        <w:numPr>
          <w:ilvl w:val="0"/>
          <w:numId w:val="18"/>
        </w:numPr>
        <w:spacing w:line="360" w:lineRule="auto"/>
        <w:ind w:firstLineChars="0"/>
        <w:rPr>
          <w:color w:val="auto"/>
        </w:rPr>
      </w:pPr>
      <w:r>
        <w:rPr>
          <w:rFonts w:hint="eastAsia"/>
          <w:color w:val="auto"/>
        </w:rPr>
        <w:t>《成渝地区双城经济圈生态环境保护规划》（环综合〔202</w:t>
      </w:r>
      <w:r>
        <w:rPr>
          <w:color w:val="auto"/>
        </w:rPr>
        <w:t>2</w:t>
      </w:r>
      <w:r>
        <w:rPr>
          <w:rFonts w:hint="eastAsia"/>
          <w:color w:val="auto"/>
        </w:rPr>
        <w:t>〕12号）；</w:t>
      </w:r>
    </w:p>
    <w:p w14:paraId="0E12BD98">
      <w:pPr>
        <w:numPr>
          <w:ilvl w:val="0"/>
          <w:numId w:val="18"/>
        </w:numPr>
        <w:spacing w:line="360" w:lineRule="auto"/>
        <w:ind w:firstLineChars="0"/>
        <w:rPr>
          <w:color w:val="auto"/>
        </w:rPr>
      </w:pPr>
      <w:r>
        <w:rPr>
          <w:rFonts w:hint="eastAsia"/>
          <w:color w:val="auto"/>
        </w:rPr>
        <w:t>《空气质量持续改善行动计划》（国发〔2023〕24号）</w:t>
      </w:r>
      <w:r>
        <w:rPr>
          <w:color w:val="auto"/>
        </w:rPr>
        <w:t>；</w:t>
      </w:r>
    </w:p>
    <w:p w14:paraId="3CAFE9B9">
      <w:pPr>
        <w:numPr>
          <w:ilvl w:val="0"/>
          <w:numId w:val="18"/>
        </w:numPr>
        <w:spacing w:line="360" w:lineRule="auto"/>
        <w:ind w:firstLineChars="0"/>
        <w:rPr>
          <w:color w:val="auto"/>
        </w:rPr>
      </w:pPr>
      <w:r>
        <w:rPr>
          <w:rFonts w:hint="eastAsia"/>
          <w:color w:val="auto"/>
        </w:rPr>
        <w:t>《土壤污染源头防控行动计划》（生态环境部2024年8月21日）；</w:t>
      </w:r>
    </w:p>
    <w:p w14:paraId="52A42D6F">
      <w:pPr>
        <w:numPr>
          <w:ilvl w:val="0"/>
          <w:numId w:val="18"/>
        </w:numPr>
        <w:spacing w:line="360" w:lineRule="auto"/>
        <w:ind w:firstLineChars="0"/>
        <w:rPr>
          <w:color w:val="auto"/>
        </w:rPr>
      </w:pPr>
      <w:r>
        <w:rPr>
          <w:rFonts w:hint="eastAsia"/>
          <w:color w:val="auto"/>
        </w:rPr>
        <w:t>《地下水管理条例》（中华人民共和国国务院令第748号）；</w:t>
      </w:r>
    </w:p>
    <w:p w14:paraId="6D19DA26">
      <w:pPr>
        <w:numPr>
          <w:ilvl w:val="0"/>
          <w:numId w:val="18"/>
        </w:numPr>
        <w:spacing w:line="360" w:lineRule="auto"/>
        <w:ind w:firstLineChars="0"/>
        <w:rPr>
          <w:color w:val="auto"/>
        </w:rPr>
      </w:pPr>
      <w:r>
        <w:rPr>
          <w:color w:val="auto"/>
        </w:rPr>
        <w:t>《关于进一步加强生态保护和修复监管的指导意见》（生态环境部2024年10月14日）；</w:t>
      </w:r>
    </w:p>
    <w:p w14:paraId="1A7BA288">
      <w:pPr>
        <w:numPr>
          <w:ilvl w:val="0"/>
          <w:numId w:val="18"/>
        </w:numPr>
        <w:spacing w:line="360" w:lineRule="auto"/>
        <w:ind w:firstLineChars="0"/>
        <w:rPr>
          <w:color w:val="auto"/>
        </w:rPr>
      </w:pPr>
      <w:r>
        <w:rPr>
          <w:color w:val="auto"/>
        </w:rPr>
        <w:t>《产业结构调整指导目录 （20</w:t>
      </w:r>
      <w:r>
        <w:rPr>
          <w:rFonts w:hint="eastAsia"/>
          <w:color w:val="auto"/>
        </w:rPr>
        <w:t>24</w:t>
      </w:r>
      <w:r>
        <w:rPr>
          <w:color w:val="auto"/>
        </w:rPr>
        <w:t>年本）</w:t>
      </w:r>
      <w:r>
        <w:rPr>
          <w:rFonts w:hint="eastAsia"/>
          <w:color w:val="auto"/>
        </w:rPr>
        <w:t>》</w:t>
      </w:r>
      <w:r>
        <w:rPr>
          <w:color w:val="auto"/>
        </w:rPr>
        <w:t>；</w:t>
      </w:r>
    </w:p>
    <w:p w14:paraId="4D3C2BF8">
      <w:pPr>
        <w:numPr>
          <w:ilvl w:val="0"/>
          <w:numId w:val="18"/>
        </w:numPr>
        <w:spacing w:line="360" w:lineRule="auto"/>
        <w:ind w:firstLineChars="0"/>
        <w:rPr>
          <w:color w:val="auto"/>
        </w:rPr>
      </w:pPr>
      <w:r>
        <w:rPr>
          <w:rFonts w:hint="eastAsia"/>
          <w:color w:val="auto"/>
        </w:rPr>
        <w:t>《污染源自动监控管理办法》（国家环保总局令第28号）；</w:t>
      </w:r>
    </w:p>
    <w:p w14:paraId="48F78D3B">
      <w:pPr>
        <w:numPr>
          <w:ilvl w:val="0"/>
          <w:numId w:val="18"/>
        </w:numPr>
        <w:spacing w:line="360" w:lineRule="auto"/>
        <w:ind w:firstLineChars="0"/>
        <w:rPr>
          <w:color w:val="auto"/>
        </w:rPr>
      </w:pPr>
      <w:r>
        <w:rPr>
          <w:rFonts w:hint="eastAsia"/>
          <w:color w:val="auto"/>
        </w:rPr>
        <w:t>《建设项目环境影响评价分类管理名录（2</w:t>
      </w:r>
      <w:r>
        <w:rPr>
          <w:color w:val="auto"/>
        </w:rPr>
        <w:t>021</w:t>
      </w:r>
      <w:r>
        <w:rPr>
          <w:rFonts w:hint="eastAsia"/>
          <w:color w:val="auto"/>
        </w:rPr>
        <w:t>版）》；</w:t>
      </w:r>
      <w:r>
        <w:rPr>
          <w:color w:val="auto"/>
        </w:rPr>
        <w:t xml:space="preserve"> </w:t>
      </w:r>
    </w:p>
    <w:p w14:paraId="70940F9D">
      <w:pPr>
        <w:numPr>
          <w:ilvl w:val="0"/>
          <w:numId w:val="18"/>
        </w:numPr>
        <w:spacing w:line="360" w:lineRule="auto"/>
        <w:ind w:firstLineChars="0"/>
        <w:rPr>
          <w:color w:val="auto"/>
        </w:rPr>
      </w:pPr>
      <w:r>
        <w:rPr>
          <w:color w:val="auto"/>
        </w:rPr>
        <w:t>《环境影响评价公众参与办法》（2018部令第4号）；</w:t>
      </w:r>
    </w:p>
    <w:p w14:paraId="5731AD70">
      <w:pPr>
        <w:numPr>
          <w:ilvl w:val="0"/>
          <w:numId w:val="18"/>
        </w:numPr>
        <w:spacing w:line="360" w:lineRule="auto"/>
        <w:ind w:firstLineChars="0"/>
        <w:rPr>
          <w:color w:val="auto"/>
        </w:rPr>
      </w:pPr>
      <w:r>
        <w:rPr>
          <w:color w:val="auto"/>
        </w:rPr>
        <w:t>《关于进一步加强环境保护信息公开工作的通知》（环办</w:t>
      </w:r>
      <w:r>
        <w:rPr>
          <w:rFonts w:hint="eastAsia"/>
          <w:color w:val="auto"/>
        </w:rPr>
        <w:t>〔</w:t>
      </w:r>
      <w:r>
        <w:rPr>
          <w:color w:val="auto"/>
        </w:rPr>
        <w:t>2013</w:t>
      </w:r>
      <w:r>
        <w:rPr>
          <w:rFonts w:hint="eastAsia"/>
          <w:color w:val="auto"/>
        </w:rPr>
        <w:t>〕</w:t>
      </w:r>
      <w:r>
        <w:rPr>
          <w:color w:val="auto"/>
        </w:rPr>
        <w:t>103号）；</w:t>
      </w:r>
    </w:p>
    <w:p w14:paraId="5CBDA9A1">
      <w:pPr>
        <w:numPr>
          <w:ilvl w:val="0"/>
          <w:numId w:val="18"/>
        </w:numPr>
        <w:spacing w:line="360" w:lineRule="auto"/>
        <w:ind w:firstLineChars="0"/>
        <w:rPr>
          <w:color w:val="auto"/>
        </w:rPr>
      </w:pPr>
      <w:r>
        <w:rPr>
          <w:color w:val="auto"/>
        </w:rPr>
        <w:t>《关于切实加强风险防范严格环境影响评价管理的通知》（环发</w:t>
      </w:r>
      <w:r>
        <w:rPr>
          <w:rFonts w:hint="eastAsia"/>
          <w:color w:val="auto"/>
        </w:rPr>
        <w:t>〔</w:t>
      </w:r>
      <w:r>
        <w:rPr>
          <w:color w:val="auto"/>
        </w:rPr>
        <w:t>2012</w:t>
      </w:r>
      <w:r>
        <w:rPr>
          <w:rFonts w:hint="eastAsia"/>
          <w:color w:val="auto"/>
        </w:rPr>
        <w:t>〕</w:t>
      </w:r>
      <w:r>
        <w:rPr>
          <w:color w:val="auto"/>
        </w:rPr>
        <w:t>98号）；</w:t>
      </w:r>
    </w:p>
    <w:p w14:paraId="0D267D9B">
      <w:pPr>
        <w:numPr>
          <w:ilvl w:val="0"/>
          <w:numId w:val="18"/>
        </w:numPr>
        <w:spacing w:line="360" w:lineRule="auto"/>
        <w:ind w:firstLineChars="0"/>
        <w:rPr>
          <w:color w:val="auto"/>
        </w:rPr>
      </w:pPr>
      <w:r>
        <w:rPr>
          <w:rFonts w:hint="eastAsia"/>
          <w:color w:val="auto"/>
        </w:rPr>
        <w:t>《危险化学品安全管理条例》（中华人民共和国国务院令第645号）；</w:t>
      </w:r>
    </w:p>
    <w:p w14:paraId="50660B1C">
      <w:pPr>
        <w:numPr>
          <w:ilvl w:val="0"/>
          <w:numId w:val="18"/>
        </w:numPr>
        <w:spacing w:line="360" w:lineRule="auto"/>
        <w:ind w:firstLineChars="0"/>
        <w:rPr>
          <w:color w:val="auto"/>
        </w:rPr>
      </w:pPr>
      <w:r>
        <w:rPr>
          <w:rFonts w:hint="eastAsia"/>
          <w:color w:val="auto"/>
        </w:rPr>
        <w:t>《国家危险废物名录（2</w:t>
      </w:r>
      <w:r>
        <w:rPr>
          <w:color w:val="auto"/>
        </w:rPr>
        <w:t>025</w:t>
      </w:r>
      <w:r>
        <w:rPr>
          <w:rFonts w:hint="eastAsia"/>
          <w:color w:val="auto"/>
        </w:rPr>
        <w:t>年版）》；</w:t>
      </w:r>
    </w:p>
    <w:p w14:paraId="7EBF1A7E">
      <w:pPr>
        <w:numPr>
          <w:ilvl w:val="0"/>
          <w:numId w:val="18"/>
        </w:numPr>
        <w:spacing w:line="360" w:lineRule="auto"/>
        <w:ind w:firstLineChars="0"/>
        <w:rPr>
          <w:color w:val="auto"/>
        </w:rPr>
      </w:pPr>
      <w:r>
        <w:rPr>
          <w:rFonts w:hint="eastAsia"/>
          <w:color w:val="auto"/>
        </w:rPr>
        <w:t>《建设项目危险废物环境影响评价指南》（部公告2017年第43号）；</w:t>
      </w:r>
    </w:p>
    <w:p w14:paraId="7D810528">
      <w:pPr>
        <w:numPr>
          <w:ilvl w:val="0"/>
          <w:numId w:val="18"/>
        </w:numPr>
        <w:spacing w:line="360" w:lineRule="auto"/>
        <w:ind w:firstLineChars="0"/>
        <w:rPr>
          <w:color w:val="auto"/>
        </w:rPr>
      </w:pPr>
      <w:r>
        <w:rPr>
          <w:rFonts w:hint="eastAsia"/>
          <w:color w:val="auto"/>
        </w:rPr>
        <w:t>《突发环境事件风险评估指南（试行）》（环办〔2014〕34号）；</w:t>
      </w:r>
    </w:p>
    <w:p w14:paraId="59D2F154">
      <w:pPr>
        <w:numPr>
          <w:ilvl w:val="0"/>
          <w:numId w:val="18"/>
        </w:numPr>
        <w:spacing w:line="360" w:lineRule="auto"/>
        <w:ind w:firstLineChars="0"/>
        <w:rPr>
          <w:color w:val="auto"/>
        </w:rPr>
      </w:pPr>
      <w:r>
        <w:rPr>
          <w:rFonts w:hint="eastAsia"/>
          <w:color w:val="auto"/>
        </w:rPr>
        <w:t>《突发环境事件应急管理办法》（部令第34号）2015年3月19日；</w:t>
      </w:r>
    </w:p>
    <w:p w14:paraId="0A19ACD1">
      <w:pPr>
        <w:numPr>
          <w:ilvl w:val="0"/>
          <w:numId w:val="18"/>
        </w:numPr>
        <w:spacing w:line="360" w:lineRule="auto"/>
        <w:ind w:firstLineChars="0"/>
        <w:rPr>
          <w:color w:val="auto"/>
        </w:rPr>
      </w:pPr>
      <w:r>
        <w:rPr>
          <w:rFonts w:hint="eastAsia"/>
          <w:color w:val="auto"/>
        </w:rPr>
        <w:t>《关于进一步规范城镇（园区）污水处理环境管理的通知》（环水体〔2020〕71号）；</w:t>
      </w:r>
    </w:p>
    <w:p w14:paraId="4F98F299">
      <w:pPr>
        <w:numPr>
          <w:ilvl w:val="0"/>
          <w:numId w:val="18"/>
        </w:numPr>
        <w:spacing w:line="360" w:lineRule="auto"/>
        <w:ind w:firstLineChars="0"/>
        <w:rPr>
          <w:color w:val="auto"/>
        </w:rPr>
      </w:pPr>
      <w:r>
        <w:rPr>
          <w:rFonts w:hint="eastAsia"/>
          <w:color w:val="auto"/>
        </w:rPr>
        <w:t>《重庆市生态环境保护“十四五”规划》（2021—2025年）（渝府发〔20</w:t>
      </w:r>
      <w:r>
        <w:rPr>
          <w:color w:val="auto"/>
        </w:rPr>
        <w:t>22</w:t>
      </w:r>
      <w:r>
        <w:rPr>
          <w:rFonts w:hint="eastAsia"/>
          <w:color w:val="auto"/>
        </w:rPr>
        <w:t>〕</w:t>
      </w:r>
      <w:r>
        <w:rPr>
          <w:color w:val="auto"/>
        </w:rPr>
        <w:t>11</w:t>
      </w:r>
      <w:r>
        <w:rPr>
          <w:rFonts w:hint="eastAsia"/>
          <w:color w:val="auto"/>
        </w:rPr>
        <w:t>号）；</w:t>
      </w:r>
    </w:p>
    <w:p w14:paraId="5432EFC8">
      <w:pPr>
        <w:numPr>
          <w:ilvl w:val="0"/>
          <w:numId w:val="18"/>
        </w:numPr>
        <w:spacing w:line="360" w:lineRule="auto"/>
        <w:ind w:firstLineChars="0"/>
        <w:rPr>
          <w:color w:val="auto"/>
        </w:rPr>
      </w:pPr>
      <w:r>
        <w:rPr>
          <w:rFonts w:hint="eastAsia"/>
          <w:color w:val="auto"/>
        </w:rPr>
        <w:t>《重庆市生态环境局关于印发重庆市大气环境保护“十四五”规划（2021-2025年）的通知》（渝环〔2022〕43号）；</w:t>
      </w:r>
    </w:p>
    <w:p w14:paraId="639F8250">
      <w:pPr>
        <w:numPr>
          <w:ilvl w:val="0"/>
          <w:numId w:val="18"/>
        </w:numPr>
        <w:spacing w:line="360" w:lineRule="auto"/>
        <w:ind w:firstLineChars="0"/>
        <w:rPr>
          <w:color w:val="auto"/>
        </w:rPr>
      </w:pPr>
      <w:r>
        <w:rPr>
          <w:rFonts w:hint="eastAsia"/>
          <w:color w:val="auto"/>
        </w:rPr>
        <w:t>《重庆市水生态环境保护“十四五”规划（2021—2025年）》的函（渝环函〔2022〕347号）；</w:t>
      </w:r>
    </w:p>
    <w:p w14:paraId="699EAEF2">
      <w:pPr>
        <w:numPr>
          <w:ilvl w:val="0"/>
          <w:numId w:val="18"/>
        </w:numPr>
        <w:spacing w:line="360" w:lineRule="auto"/>
        <w:ind w:firstLineChars="0"/>
        <w:rPr>
          <w:color w:val="auto"/>
        </w:rPr>
      </w:pPr>
      <w:r>
        <w:rPr>
          <w:rFonts w:hint="eastAsia"/>
          <w:color w:val="auto"/>
        </w:rPr>
        <w:t>《重庆市人民政府关于印发重庆市空气质量持续改善行动实施方案的通知》（渝府发〔2024〕15号）</w:t>
      </w:r>
    </w:p>
    <w:p w14:paraId="0EA0D828">
      <w:pPr>
        <w:numPr>
          <w:ilvl w:val="0"/>
          <w:numId w:val="18"/>
        </w:numPr>
        <w:spacing w:line="360" w:lineRule="auto"/>
        <w:ind w:firstLineChars="0"/>
        <w:rPr>
          <w:color w:val="auto"/>
        </w:rPr>
      </w:pPr>
      <w:bookmarkStart w:id="38" w:name="tbx_bt"/>
      <w:r>
        <w:rPr>
          <w:rFonts w:hint="eastAsia"/>
          <w:color w:val="auto"/>
        </w:rPr>
        <w:t>《重庆市生态环境局关于印发重庆市大气环境保护“十四五”规划（2021—2025年）的通知》</w:t>
      </w:r>
      <w:bookmarkEnd w:id="38"/>
      <w:r>
        <w:rPr>
          <w:rFonts w:hint="eastAsia"/>
          <w:color w:val="auto"/>
        </w:rPr>
        <w:t>（渝环〔20</w:t>
      </w:r>
      <w:r>
        <w:rPr>
          <w:color w:val="auto"/>
        </w:rPr>
        <w:t>22</w:t>
      </w:r>
      <w:r>
        <w:rPr>
          <w:rFonts w:hint="eastAsia"/>
          <w:color w:val="auto"/>
        </w:rPr>
        <w:t>〕</w:t>
      </w:r>
      <w:r>
        <w:rPr>
          <w:color w:val="auto"/>
        </w:rPr>
        <w:t>43</w:t>
      </w:r>
      <w:r>
        <w:rPr>
          <w:rFonts w:hint="eastAsia"/>
          <w:color w:val="auto"/>
        </w:rPr>
        <w:t>号）；</w:t>
      </w:r>
    </w:p>
    <w:p w14:paraId="1C8A88A1">
      <w:pPr>
        <w:numPr>
          <w:ilvl w:val="0"/>
          <w:numId w:val="18"/>
        </w:numPr>
        <w:spacing w:line="360" w:lineRule="auto"/>
        <w:ind w:firstLineChars="0"/>
        <w:rPr>
          <w:color w:val="auto"/>
        </w:rPr>
      </w:pPr>
      <w:r>
        <w:rPr>
          <w:rFonts w:hint="eastAsia"/>
          <w:color w:val="auto"/>
        </w:rPr>
        <w:t>《</w:t>
      </w:r>
      <w:r>
        <w:rPr>
          <w:rFonts w:hint="eastAsia"/>
          <w:color w:val="auto"/>
          <w:lang w:eastAsia="zh-CN"/>
        </w:rPr>
        <w:t>忠县</w:t>
      </w:r>
      <w:r>
        <w:rPr>
          <w:rFonts w:hint="eastAsia"/>
          <w:color w:val="auto"/>
        </w:rPr>
        <w:t>生态环境保护“十四五”规划（2021—2025 年）》；</w:t>
      </w:r>
    </w:p>
    <w:p w14:paraId="41F6E520">
      <w:pPr>
        <w:numPr>
          <w:ilvl w:val="0"/>
          <w:numId w:val="18"/>
        </w:numPr>
        <w:spacing w:line="360" w:lineRule="auto"/>
        <w:ind w:firstLineChars="0"/>
        <w:rPr>
          <w:color w:val="auto"/>
        </w:rPr>
      </w:pPr>
      <w:r>
        <w:rPr>
          <w:rFonts w:hint="eastAsia"/>
          <w:color w:val="auto"/>
        </w:rPr>
        <w:t>《重庆市突发环境事件应急预案》（渝府办发〔2016〕22号）；</w:t>
      </w:r>
    </w:p>
    <w:p w14:paraId="5230D382">
      <w:pPr>
        <w:numPr>
          <w:ilvl w:val="0"/>
          <w:numId w:val="18"/>
        </w:numPr>
        <w:spacing w:line="360" w:lineRule="auto"/>
        <w:ind w:firstLineChars="0"/>
        <w:rPr>
          <w:color w:val="auto"/>
        </w:rPr>
      </w:pPr>
      <w:r>
        <w:rPr>
          <w:rFonts w:hint="eastAsia"/>
          <w:color w:val="auto"/>
        </w:rPr>
        <w:t>《关于加强突发事件风险管理工作的意见》（渝府发〔2015〕15号）；</w:t>
      </w:r>
    </w:p>
    <w:p w14:paraId="30FDBF83">
      <w:pPr>
        <w:numPr>
          <w:ilvl w:val="0"/>
          <w:numId w:val="18"/>
        </w:numPr>
        <w:spacing w:line="360" w:lineRule="auto"/>
        <w:ind w:firstLineChars="0"/>
        <w:rPr>
          <w:color w:val="auto"/>
        </w:rPr>
      </w:pPr>
      <w:r>
        <w:rPr>
          <w:color w:val="auto"/>
        </w:rPr>
        <w:t>《重庆市环境保护条例》（</w:t>
      </w:r>
      <w:r>
        <w:rPr>
          <w:rFonts w:hint="eastAsia"/>
          <w:color w:val="auto"/>
        </w:rPr>
        <w:t>2022修订</w:t>
      </w:r>
      <w:r>
        <w:rPr>
          <w:color w:val="auto"/>
        </w:rPr>
        <w:t>）；</w:t>
      </w:r>
    </w:p>
    <w:p w14:paraId="756D01AB">
      <w:pPr>
        <w:numPr>
          <w:ilvl w:val="0"/>
          <w:numId w:val="18"/>
        </w:numPr>
        <w:spacing w:line="360" w:lineRule="auto"/>
        <w:ind w:firstLineChars="0"/>
        <w:rPr>
          <w:color w:val="auto"/>
        </w:rPr>
      </w:pPr>
      <w:r>
        <w:rPr>
          <w:color w:val="auto"/>
        </w:rPr>
        <w:t>《重庆市大气污染防治条例》（</w:t>
      </w:r>
      <w:r>
        <w:rPr>
          <w:rFonts w:hint="eastAsia"/>
          <w:color w:val="auto"/>
        </w:rPr>
        <w:t>2021年5月27日第二次</w:t>
      </w:r>
      <w:r>
        <w:rPr>
          <w:color w:val="auto"/>
        </w:rPr>
        <w:t>修正）；</w:t>
      </w:r>
    </w:p>
    <w:p w14:paraId="07D21972">
      <w:pPr>
        <w:numPr>
          <w:ilvl w:val="0"/>
          <w:numId w:val="18"/>
        </w:numPr>
        <w:spacing w:line="360" w:lineRule="auto"/>
        <w:ind w:firstLineChars="0"/>
        <w:rPr>
          <w:color w:val="auto"/>
        </w:rPr>
      </w:pPr>
      <w:r>
        <w:rPr>
          <w:rFonts w:hint="eastAsia"/>
          <w:color w:val="auto"/>
        </w:rPr>
        <w:t>《重庆市环境噪声污染防治办法》（2024年2月1日起施行）；</w:t>
      </w:r>
    </w:p>
    <w:p w14:paraId="16472F26">
      <w:pPr>
        <w:numPr>
          <w:ilvl w:val="0"/>
          <w:numId w:val="18"/>
        </w:numPr>
        <w:spacing w:line="360" w:lineRule="auto"/>
        <w:ind w:firstLineChars="0"/>
        <w:rPr>
          <w:color w:val="auto"/>
        </w:rPr>
      </w:pPr>
      <w:r>
        <w:rPr>
          <w:rFonts w:hint="eastAsia"/>
          <w:color w:val="auto"/>
        </w:rPr>
        <w:t>《重庆市水污染防治条例》（2</w:t>
      </w:r>
      <w:r>
        <w:rPr>
          <w:color w:val="auto"/>
        </w:rPr>
        <w:t>020.7.30</w:t>
      </w:r>
      <w:r>
        <w:rPr>
          <w:rFonts w:hint="eastAsia"/>
          <w:color w:val="auto"/>
        </w:rPr>
        <w:t>）；</w:t>
      </w:r>
    </w:p>
    <w:p w14:paraId="3D9D18CC">
      <w:pPr>
        <w:numPr>
          <w:ilvl w:val="0"/>
          <w:numId w:val="18"/>
        </w:numPr>
        <w:spacing w:line="360" w:lineRule="auto"/>
        <w:ind w:firstLineChars="0"/>
        <w:rPr>
          <w:color w:val="auto"/>
        </w:rPr>
      </w:pPr>
      <w:r>
        <w:rPr>
          <w:color w:val="auto"/>
        </w:rPr>
        <w:t>《重庆市人民政府关于印发重庆市环境空气质量功能区划分规定的通知》（渝府发</w:t>
      </w:r>
      <w:r>
        <w:rPr>
          <w:rFonts w:hint="eastAsia"/>
          <w:color w:val="auto"/>
        </w:rPr>
        <w:t>〔</w:t>
      </w:r>
      <w:r>
        <w:rPr>
          <w:color w:val="auto"/>
        </w:rPr>
        <w:t>2016</w:t>
      </w:r>
      <w:r>
        <w:rPr>
          <w:rFonts w:hint="eastAsia"/>
          <w:color w:val="auto"/>
        </w:rPr>
        <w:t>〕</w:t>
      </w:r>
      <w:r>
        <w:rPr>
          <w:color w:val="auto"/>
        </w:rPr>
        <w:t>19号）；</w:t>
      </w:r>
    </w:p>
    <w:p w14:paraId="1BF6B2CC">
      <w:pPr>
        <w:numPr>
          <w:ilvl w:val="0"/>
          <w:numId w:val="18"/>
        </w:numPr>
        <w:spacing w:line="360" w:lineRule="auto"/>
        <w:ind w:firstLineChars="0"/>
        <w:rPr>
          <w:color w:val="auto"/>
        </w:rPr>
      </w:pPr>
      <w:r>
        <w:rPr>
          <w:color w:val="auto"/>
        </w:rPr>
        <w:t>《重庆市人民政府批转重庆市地表水环境功能类别调整方案的通知》（渝府发</w:t>
      </w:r>
      <w:r>
        <w:rPr>
          <w:rFonts w:hint="eastAsia"/>
          <w:color w:val="auto"/>
        </w:rPr>
        <w:t>〔</w:t>
      </w:r>
      <w:r>
        <w:rPr>
          <w:color w:val="auto"/>
        </w:rPr>
        <w:t>2012</w:t>
      </w:r>
      <w:r>
        <w:rPr>
          <w:rFonts w:hint="eastAsia"/>
          <w:color w:val="auto"/>
        </w:rPr>
        <w:t>〕</w:t>
      </w:r>
      <w:r>
        <w:rPr>
          <w:color w:val="auto"/>
        </w:rPr>
        <w:t>4号）；《重庆市人民政府关于批转重庆市地表水环境功能类别局部调整方案的通知》（渝府</w:t>
      </w:r>
      <w:r>
        <w:rPr>
          <w:rFonts w:hint="eastAsia"/>
          <w:color w:val="auto"/>
        </w:rPr>
        <w:t>〔</w:t>
      </w:r>
      <w:r>
        <w:rPr>
          <w:color w:val="auto"/>
        </w:rPr>
        <w:t>2016</w:t>
      </w:r>
      <w:r>
        <w:rPr>
          <w:rFonts w:hint="eastAsia"/>
          <w:color w:val="auto"/>
        </w:rPr>
        <w:t>〕</w:t>
      </w:r>
      <w:r>
        <w:rPr>
          <w:color w:val="auto"/>
        </w:rPr>
        <w:t>43号）；</w:t>
      </w:r>
    </w:p>
    <w:p w14:paraId="3590A1C3">
      <w:pPr>
        <w:numPr>
          <w:ilvl w:val="0"/>
          <w:numId w:val="18"/>
        </w:numPr>
        <w:spacing w:line="360" w:lineRule="auto"/>
        <w:ind w:firstLineChars="0"/>
        <w:rPr>
          <w:color w:val="auto"/>
        </w:rPr>
      </w:pPr>
      <w:r>
        <w:rPr>
          <w:rFonts w:hint="eastAsia"/>
          <w:color w:val="auto"/>
        </w:rPr>
        <w:t>《忠县人民政府办公室关于印发忠县声环境功能区划分调整方案的通知》（忠府办发〔2023〕51号）</w:t>
      </w:r>
      <w:r>
        <w:rPr>
          <w:color w:val="auto"/>
        </w:rPr>
        <w:t>；</w:t>
      </w:r>
    </w:p>
    <w:p w14:paraId="5445FBB8">
      <w:pPr>
        <w:numPr>
          <w:ilvl w:val="0"/>
          <w:numId w:val="18"/>
        </w:numPr>
        <w:spacing w:line="360" w:lineRule="auto"/>
        <w:ind w:firstLineChars="0"/>
        <w:rPr>
          <w:color w:val="auto"/>
        </w:rPr>
      </w:pPr>
      <w:r>
        <w:rPr>
          <w:bCs/>
          <w:color w:val="auto"/>
        </w:rPr>
        <w:t>《</w:t>
      </w:r>
      <w:r>
        <w:rPr>
          <w:rFonts w:hint="eastAsia"/>
          <w:bCs/>
          <w:color w:val="auto"/>
        </w:rPr>
        <w:t>重庆市生态环境局关于印发重庆市“三线一单”生态环境分区管控调整方案（2023年）的通知</w:t>
      </w:r>
      <w:r>
        <w:rPr>
          <w:bCs/>
          <w:color w:val="auto"/>
        </w:rPr>
        <w:t>》（</w:t>
      </w:r>
      <w:r>
        <w:rPr>
          <w:rFonts w:hint="eastAsia"/>
          <w:bCs/>
          <w:color w:val="auto"/>
        </w:rPr>
        <w:t>渝环规〔2024〕2号</w:t>
      </w:r>
      <w:r>
        <w:rPr>
          <w:bCs/>
          <w:color w:val="auto"/>
        </w:rPr>
        <w:t>）</w:t>
      </w:r>
      <w:r>
        <w:rPr>
          <w:rFonts w:hint="eastAsia"/>
          <w:bCs/>
          <w:color w:val="auto"/>
        </w:rPr>
        <w:t>；</w:t>
      </w:r>
    </w:p>
    <w:p w14:paraId="51C441F1">
      <w:pPr>
        <w:numPr>
          <w:ilvl w:val="0"/>
          <w:numId w:val="18"/>
        </w:numPr>
        <w:spacing w:line="360" w:lineRule="auto"/>
        <w:ind w:firstLineChars="0"/>
        <w:rPr>
          <w:color w:val="auto"/>
        </w:rPr>
      </w:pPr>
      <w:r>
        <w:rPr>
          <w:rFonts w:hint="eastAsia"/>
          <w:bCs/>
          <w:color w:val="auto"/>
          <w:szCs w:val="24"/>
        </w:rPr>
        <w:t>《忠县人民政府办公室关于印发忠县 “三线一单”生态环境分区管控调整方案的通知》（忠府办发〔2024〕22号）；</w:t>
      </w:r>
    </w:p>
    <w:p w14:paraId="77723562">
      <w:pPr>
        <w:numPr>
          <w:ilvl w:val="0"/>
          <w:numId w:val="18"/>
        </w:numPr>
        <w:spacing w:line="360" w:lineRule="auto"/>
        <w:ind w:firstLineChars="0"/>
        <w:rPr>
          <w:color w:val="auto"/>
        </w:rPr>
      </w:pPr>
      <w:r>
        <w:rPr>
          <w:rFonts w:hint="eastAsia"/>
          <w:color w:val="auto"/>
          <w:szCs w:val="24"/>
        </w:rPr>
        <w:t>《长江经济带发展负面清单指南（试行，</w:t>
      </w:r>
      <w:r>
        <w:rPr>
          <w:color w:val="auto"/>
          <w:szCs w:val="24"/>
        </w:rPr>
        <w:t>2022</w:t>
      </w:r>
      <w:r>
        <w:rPr>
          <w:rFonts w:hint="eastAsia"/>
          <w:color w:val="auto"/>
          <w:szCs w:val="24"/>
        </w:rPr>
        <w:t>版）的通知》（长江办</w:t>
      </w:r>
      <w:r>
        <w:rPr>
          <w:rFonts w:hint="eastAsia"/>
          <w:bCs/>
          <w:color w:val="auto"/>
          <w:szCs w:val="24"/>
        </w:rPr>
        <w:t>〔202</w:t>
      </w:r>
      <w:r>
        <w:rPr>
          <w:bCs/>
          <w:color w:val="auto"/>
          <w:szCs w:val="24"/>
        </w:rPr>
        <w:t>2</w:t>
      </w:r>
      <w:r>
        <w:rPr>
          <w:rFonts w:hint="eastAsia"/>
          <w:bCs/>
          <w:color w:val="auto"/>
          <w:szCs w:val="24"/>
        </w:rPr>
        <w:t>〕</w:t>
      </w:r>
      <w:r>
        <w:rPr>
          <w:color w:val="auto"/>
          <w:szCs w:val="24"/>
        </w:rPr>
        <w:t>7</w:t>
      </w:r>
      <w:r>
        <w:rPr>
          <w:rFonts w:hint="eastAsia"/>
          <w:color w:val="auto"/>
          <w:szCs w:val="24"/>
        </w:rPr>
        <w:t>号）</w:t>
      </w:r>
      <w:r>
        <w:rPr>
          <w:rFonts w:hint="eastAsia"/>
          <w:color w:val="auto"/>
        </w:rPr>
        <w:t>；</w:t>
      </w:r>
    </w:p>
    <w:p w14:paraId="378EAD6C">
      <w:pPr>
        <w:numPr>
          <w:ilvl w:val="0"/>
          <w:numId w:val="18"/>
        </w:numPr>
        <w:spacing w:line="360" w:lineRule="auto"/>
        <w:ind w:firstLineChars="0"/>
        <w:rPr>
          <w:color w:val="auto"/>
        </w:rPr>
      </w:pPr>
      <w:r>
        <w:rPr>
          <w:rFonts w:hint="eastAsia"/>
          <w:color w:val="auto"/>
          <w:szCs w:val="24"/>
        </w:rPr>
        <w:t>《四川省、重庆市长江经济带发展负面清单实施细则》（试行，2022年版）（川长江办〔</w:t>
      </w:r>
      <w:r>
        <w:rPr>
          <w:color w:val="auto"/>
          <w:szCs w:val="24"/>
        </w:rPr>
        <w:t>2022</w:t>
      </w:r>
      <w:r>
        <w:rPr>
          <w:rFonts w:hint="eastAsia"/>
          <w:color w:val="auto"/>
          <w:szCs w:val="24"/>
        </w:rPr>
        <w:t>〕1</w:t>
      </w:r>
      <w:r>
        <w:rPr>
          <w:color w:val="auto"/>
          <w:szCs w:val="24"/>
        </w:rPr>
        <w:t>7</w:t>
      </w:r>
      <w:r>
        <w:rPr>
          <w:rFonts w:hint="eastAsia"/>
          <w:color w:val="auto"/>
          <w:szCs w:val="24"/>
        </w:rPr>
        <w:t>号）；</w:t>
      </w:r>
    </w:p>
    <w:p w14:paraId="4FF6808B">
      <w:pPr>
        <w:numPr>
          <w:ilvl w:val="0"/>
          <w:numId w:val="18"/>
        </w:numPr>
        <w:spacing w:line="360" w:lineRule="auto"/>
        <w:ind w:firstLineChars="0"/>
        <w:rPr>
          <w:color w:val="auto"/>
        </w:rPr>
      </w:pPr>
      <w:r>
        <w:rPr>
          <w:rFonts w:hint="eastAsia"/>
          <w:color w:val="auto"/>
        </w:rPr>
        <w:t>《关于污（废）水处理设施产生污泥危险特性鉴别有关意见的函》（环函〔2010〕129号）；</w:t>
      </w:r>
    </w:p>
    <w:p w14:paraId="74BAB074">
      <w:pPr>
        <w:numPr>
          <w:ilvl w:val="0"/>
          <w:numId w:val="18"/>
        </w:numPr>
        <w:spacing w:line="360" w:lineRule="auto"/>
        <w:ind w:firstLineChars="0"/>
        <w:rPr>
          <w:color w:val="auto"/>
        </w:rPr>
      </w:pPr>
      <w:r>
        <w:rPr>
          <w:rFonts w:hint="eastAsia"/>
          <w:color w:val="auto"/>
        </w:rPr>
        <w:t>《放射性废物安全管理条例》；</w:t>
      </w:r>
    </w:p>
    <w:p w14:paraId="258B8317">
      <w:pPr>
        <w:numPr>
          <w:ilvl w:val="0"/>
          <w:numId w:val="18"/>
        </w:numPr>
        <w:spacing w:line="360" w:lineRule="auto"/>
        <w:ind w:firstLineChars="0"/>
        <w:rPr>
          <w:color w:val="auto"/>
        </w:rPr>
      </w:pPr>
      <w:r>
        <w:rPr>
          <w:rFonts w:hint="eastAsia"/>
          <w:color w:val="auto"/>
        </w:rPr>
        <w:t xml:space="preserve">《放射性废物分类》（公告 </w:t>
      </w:r>
      <w:r>
        <w:rPr>
          <w:color w:val="auto"/>
        </w:rPr>
        <w:t>2017</w:t>
      </w:r>
      <w:r>
        <w:rPr>
          <w:rFonts w:hint="eastAsia"/>
          <w:color w:val="auto"/>
        </w:rPr>
        <w:t>年第6</w:t>
      </w:r>
      <w:r>
        <w:rPr>
          <w:color w:val="auto"/>
        </w:rPr>
        <w:t>5</w:t>
      </w:r>
      <w:r>
        <w:rPr>
          <w:rFonts w:hint="eastAsia"/>
          <w:color w:val="auto"/>
        </w:rPr>
        <w:t>号）；</w:t>
      </w:r>
    </w:p>
    <w:p w14:paraId="2F196B50">
      <w:pPr>
        <w:numPr>
          <w:ilvl w:val="0"/>
          <w:numId w:val="18"/>
        </w:numPr>
        <w:spacing w:line="360" w:lineRule="auto"/>
        <w:ind w:firstLineChars="0"/>
        <w:rPr>
          <w:color w:val="auto"/>
        </w:rPr>
      </w:pPr>
      <w:r>
        <w:rPr>
          <w:rFonts w:hint="eastAsia"/>
          <w:color w:val="auto"/>
        </w:rPr>
        <w:t>《放射性废物管理规定》（GB</w:t>
      </w:r>
      <w:r>
        <w:rPr>
          <w:color w:val="auto"/>
        </w:rPr>
        <w:t>14500-2002</w:t>
      </w:r>
      <w:r>
        <w:rPr>
          <w:rFonts w:hint="eastAsia"/>
          <w:color w:val="auto"/>
        </w:rPr>
        <w:t>）。</w:t>
      </w:r>
    </w:p>
    <w:p w14:paraId="7A8E52AF">
      <w:pPr>
        <w:pStyle w:val="5"/>
        <w:numPr>
          <w:ilvl w:val="0"/>
          <w:numId w:val="0"/>
        </w:numPr>
        <w:spacing w:line="360" w:lineRule="auto"/>
        <w:rPr>
          <w:color w:val="auto"/>
        </w:rPr>
      </w:pPr>
      <w:r>
        <w:rPr>
          <w:rFonts w:hint="eastAsia"/>
          <w:color w:val="auto"/>
          <w:lang w:eastAsia="zh-CN"/>
        </w:rPr>
        <w:t>2.1</w:t>
      </w:r>
      <w:r>
        <w:rPr>
          <w:color w:val="auto"/>
        </w:rPr>
        <w:t>.3环境影响评价技术规范及相关文件</w:t>
      </w:r>
    </w:p>
    <w:p w14:paraId="321A24B6">
      <w:pPr>
        <w:numPr>
          <w:ilvl w:val="0"/>
          <w:numId w:val="19"/>
        </w:numPr>
        <w:spacing w:line="360" w:lineRule="auto"/>
        <w:ind w:firstLineChars="0"/>
        <w:rPr>
          <w:color w:val="auto"/>
        </w:rPr>
      </w:pPr>
      <w:r>
        <w:rPr>
          <w:color w:val="auto"/>
        </w:rPr>
        <w:t>《建设项目环境影响评价技术导则 总纲》（HJ2.1-2016）；</w:t>
      </w:r>
    </w:p>
    <w:p w14:paraId="3EF376BA">
      <w:pPr>
        <w:numPr>
          <w:ilvl w:val="0"/>
          <w:numId w:val="19"/>
        </w:numPr>
        <w:spacing w:line="360" w:lineRule="auto"/>
        <w:ind w:firstLineChars="0"/>
        <w:rPr>
          <w:color w:val="auto"/>
        </w:rPr>
      </w:pPr>
      <w:r>
        <w:rPr>
          <w:color w:val="auto"/>
        </w:rPr>
        <w:t>《环境影响评价技术导则 大气环境》（HJ2.2-2018）；</w:t>
      </w:r>
    </w:p>
    <w:p w14:paraId="2FBAC7DB">
      <w:pPr>
        <w:numPr>
          <w:ilvl w:val="0"/>
          <w:numId w:val="19"/>
        </w:numPr>
        <w:spacing w:line="360" w:lineRule="auto"/>
        <w:ind w:firstLineChars="0"/>
        <w:rPr>
          <w:color w:val="auto"/>
        </w:rPr>
      </w:pPr>
      <w:r>
        <w:rPr>
          <w:rFonts w:hint="eastAsia"/>
          <w:color w:val="auto"/>
        </w:rPr>
        <w:t>《环境影响评价技术导则 地表水环境》</w:t>
      </w:r>
      <w:r>
        <w:rPr>
          <w:rFonts w:hint="eastAsia"/>
          <w:color w:val="auto"/>
          <w:lang w:eastAsia="zh-CN"/>
        </w:rPr>
        <w:t>（</w:t>
      </w:r>
      <w:r>
        <w:rPr>
          <w:rFonts w:hint="eastAsia"/>
          <w:color w:val="auto"/>
        </w:rPr>
        <w:t>HJ 2.3-2018</w:t>
      </w:r>
      <w:r>
        <w:rPr>
          <w:rFonts w:hint="eastAsia"/>
          <w:color w:val="auto"/>
          <w:lang w:eastAsia="zh-CN"/>
        </w:rPr>
        <w:t>）</w:t>
      </w:r>
      <w:r>
        <w:rPr>
          <w:rFonts w:hint="eastAsia"/>
          <w:color w:val="auto"/>
        </w:rPr>
        <w:t>；</w:t>
      </w:r>
    </w:p>
    <w:p w14:paraId="0E8C8A36">
      <w:pPr>
        <w:numPr>
          <w:ilvl w:val="0"/>
          <w:numId w:val="19"/>
        </w:numPr>
        <w:spacing w:line="360" w:lineRule="auto"/>
        <w:ind w:firstLineChars="0"/>
        <w:rPr>
          <w:color w:val="auto"/>
        </w:rPr>
      </w:pPr>
      <w:r>
        <w:rPr>
          <w:color w:val="auto"/>
        </w:rPr>
        <w:t>《环境影响评价技术导则 声环境》（HJ2.4-2021）；</w:t>
      </w:r>
    </w:p>
    <w:p w14:paraId="7F845C73">
      <w:pPr>
        <w:numPr>
          <w:ilvl w:val="0"/>
          <w:numId w:val="19"/>
        </w:numPr>
        <w:spacing w:line="360" w:lineRule="auto"/>
        <w:ind w:firstLineChars="0"/>
        <w:rPr>
          <w:color w:val="auto"/>
        </w:rPr>
      </w:pPr>
      <w:r>
        <w:rPr>
          <w:color w:val="auto"/>
        </w:rPr>
        <w:t>《环境影响评价技术导则 地下水环境》（HJ610-2016）；</w:t>
      </w:r>
    </w:p>
    <w:p w14:paraId="3684BF70">
      <w:pPr>
        <w:numPr>
          <w:ilvl w:val="0"/>
          <w:numId w:val="19"/>
        </w:numPr>
        <w:spacing w:line="360" w:lineRule="auto"/>
        <w:ind w:firstLineChars="0"/>
        <w:rPr>
          <w:color w:val="auto"/>
        </w:rPr>
      </w:pPr>
      <w:r>
        <w:rPr>
          <w:color w:val="auto"/>
        </w:rPr>
        <w:t>《环境影响评价技术导则 生态影响》（HJ19-2022）；</w:t>
      </w:r>
    </w:p>
    <w:p w14:paraId="52994EF7">
      <w:pPr>
        <w:numPr>
          <w:ilvl w:val="0"/>
          <w:numId w:val="19"/>
        </w:numPr>
        <w:spacing w:line="360" w:lineRule="auto"/>
        <w:ind w:firstLineChars="0"/>
        <w:rPr>
          <w:color w:val="auto"/>
        </w:rPr>
      </w:pPr>
      <w:r>
        <w:rPr>
          <w:color w:val="auto"/>
        </w:rPr>
        <w:t>《建设项目环境风险评价技术导则》（HJ169-2018）</w:t>
      </w:r>
      <w:r>
        <w:rPr>
          <w:rFonts w:hint="eastAsia"/>
          <w:color w:val="auto"/>
          <w:lang w:eastAsia="zh-CN"/>
        </w:rPr>
        <w:t>；</w:t>
      </w:r>
    </w:p>
    <w:p w14:paraId="2A64C526">
      <w:pPr>
        <w:numPr>
          <w:ilvl w:val="0"/>
          <w:numId w:val="19"/>
        </w:numPr>
        <w:spacing w:line="360" w:lineRule="auto"/>
        <w:ind w:firstLineChars="0"/>
        <w:rPr>
          <w:color w:val="auto"/>
        </w:rPr>
      </w:pPr>
      <w:r>
        <w:rPr>
          <w:color w:val="auto"/>
        </w:rPr>
        <w:t xml:space="preserve">《环境影响评价技术导则 </w:t>
      </w:r>
      <w:r>
        <w:rPr>
          <w:rFonts w:hint="eastAsia"/>
          <w:color w:val="auto"/>
        </w:rPr>
        <w:t>土壤环境</w:t>
      </w:r>
      <w:r>
        <w:rPr>
          <w:color w:val="auto"/>
        </w:rPr>
        <w:t xml:space="preserve">》（HJ </w:t>
      </w:r>
      <w:r>
        <w:rPr>
          <w:rFonts w:hint="eastAsia"/>
          <w:color w:val="auto"/>
        </w:rPr>
        <w:t>964</w:t>
      </w:r>
      <w:r>
        <w:rPr>
          <w:color w:val="auto"/>
        </w:rPr>
        <w:t>-201</w:t>
      </w:r>
      <w:r>
        <w:rPr>
          <w:rFonts w:hint="eastAsia"/>
          <w:color w:val="auto"/>
        </w:rPr>
        <w:t>8</w:t>
      </w:r>
      <w:r>
        <w:rPr>
          <w:color w:val="auto"/>
        </w:rPr>
        <w:t>）</w:t>
      </w:r>
      <w:r>
        <w:rPr>
          <w:rFonts w:hint="eastAsia"/>
          <w:color w:val="auto"/>
        </w:rPr>
        <w:t>；</w:t>
      </w:r>
    </w:p>
    <w:p w14:paraId="188FB836">
      <w:pPr>
        <w:numPr>
          <w:ilvl w:val="0"/>
          <w:numId w:val="19"/>
        </w:numPr>
        <w:spacing w:line="360" w:lineRule="auto"/>
        <w:ind w:firstLineChars="0"/>
        <w:rPr>
          <w:color w:val="auto"/>
        </w:rPr>
      </w:pPr>
      <w:r>
        <w:rPr>
          <w:rFonts w:hint="eastAsia"/>
          <w:color w:val="auto"/>
        </w:rPr>
        <w:t>《排污许可证申请与核发技术规范 工业固体废物（试行）》（HJ 1200—2021）；</w:t>
      </w:r>
    </w:p>
    <w:p w14:paraId="2FEEFDCC">
      <w:pPr>
        <w:numPr>
          <w:ilvl w:val="0"/>
          <w:numId w:val="19"/>
        </w:numPr>
        <w:spacing w:line="360" w:lineRule="auto"/>
        <w:ind w:firstLineChars="0"/>
        <w:rPr>
          <w:color w:val="auto"/>
        </w:rPr>
      </w:pPr>
      <w:r>
        <w:rPr>
          <w:rFonts w:hint="eastAsia"/>
          <w:color w:val="auto"/>
          <w:szCs w:val="24"/>
        </w:rPr>
        <w:t>《排污许可证</w:t>
      </w:r>
      <w:r>
        <w:rPr>
          <w:color w:val="auto"/>
          <w:szCs w:val="24"/>
        </w:rPr>
        <w:t>申请与核发技术规范</w:t>
      </w:r>
      <w:r>
        <w:rPr>
          <w:rFonts w:hint="eastAsia"/>
          <w:color w:val="auto"/>
          <w:szCs w:val="24"/>
        </w:rPr>
        <w:t xml:space="preserve"> 水处理</w:t>
      </w:r>
      <w:r>
        <w:rPr>
          <w:color w:val="auto"/>
          <w:szCs w:val="24"/>
        </w:rPr>
        <w:t>（</w:t>
      </w:r>
      <w:r>
        <w:rPr>
          <w:rFonts w:hint="eastAsia"/>
          <w:color w:val="auto"/>
          <w:szCs w:val="24"/>
        </w:rPr>
        <w:t>试行</w:t>
      </w:r>
      <w:r>
        <w:rPr>
          <w:color w:val="auto"/>
          <w:szCs w:val="24"/>
        </w:rPr>
        <w:t>）</w:t>
      </w:r>
      <w:r>
        <w:rPr>
          <w:rFonts w:hint="eastAsia"/>
          <w:color w:val="auto"/>
          <w:szCs w:val="24"/>
        </w:rPr>
        <w:t>》（HJ978-2018）</w:t>
      </w:r>
      <w:r>
        <w:rPr>
          <w:rFonts w:hint="eastAsia"/>
          <w:color w:val="auto"/>
        </w:rPr>
        <w:t>；</w:t>
      </w:r>
    </w:p>
    <w:p w14:paraId="1025710C">
      <w:pPr>
        <w:numPr>
          <w:ilvl w:val="0"/>
          <w:numId w:val="19"/>
        </w:numPr>
        <w:spacing w:line="360" w:lineRule="auto"/>
        <w:ind w:firstLineChars="0"/>
        <w:rPr>
          <w:color w:val="auto"/>
        </w:rPr>
      </w:pPr>
      <w:r>
        <w:rPr>
          <w:rFonts w:hint="eastAsia"/>
          <w:color w:val="auto"/>
        </w:rPr>
        <w:t>《排污单位自行监测技术指南 水处理》（</w:t>
      </w:r>
      <w:r>
        <w:rPr>
          <w:color w:val="auto"/>
        </w:rPr>
        <w:t>HJ 1083—2020</w:t>
      </w:r>
      <w:r>
        <w:rPr>
          <w:rFonts w:hint="eastAsia"/>
          <w:color w:val="auto"/>
        </w:rPr>
        <w:t>）；</w:t>
      </w:r>
    </w:p>
    <w:p w14:paraId="613BE65F">
      <w:pPr>
        <w:numPr>
          <w:ilvl w:val="0"/>
          <w:numId w:val="19"/>
        </w:numPr>
        <w:spacing w:line="360" w:lineRule="auto"/>
        <w:ind w:firstLineChars="0"/>
        <w:rPr>
          <w:color w:val="auto"/>
        </w:rPr>
      </w:pPr>
      <w:r>
        <w:rPr>
          <w:rFonts w:hint="eastAsia"/>
          <w:color w:val="auto"/>
        </w:rPr>
        <w:t xml:space="preserve">《排污许可证申请与核发技术规范 </w:t>
      </w:r>
      <w:r>
        <w:rPr>
          <w:color w:val="auto"/>
        </w:rPr>
        <w:fldChar w:fldCharType="begin"/>
      </w:r>
      <w:r>
        <w:rPr>
          <w:color w:val="auto"/>
        </w:rPr>
        <w:instrText xml:space="preserve"> HYPERLINK "https://www.mee.gov.cn/ywgz/fgbz/bz/bzwb/pwxk/202308/W020230919349861394526.pdf" </w:instrText>
      </w:r>
      <w:r>
        <w:rPr>
          <w:color w:val="auto"/>
        </w:rPr>
        <w:fldChar w:fldCharType="separate"/>
      </w:r>
      <w:r>
        <w:rPr>
          <w:rFonts w:hint="eastAsia"/>
          <w:color w:val="auto"/>
        </w:rPr>
        <w:t>工业噪声》（HJ 1301—2023）</w:t>
      </w:r>
      <w:r>
        <w:rPr>
          <w:rFonts w:hint="eastAsia"/>
          <w:color w:val="auto"/>
        </w:rPr>
        <w:fldChar w:fldCharType="end"/>
      </w:r>
      <w:r>
        <w:rPr>
          <w:rFonts w:hint="eastAsia"/>
          <w:color w:val="auto"/>
        </w:rPr>
        <w:t>；</w:t>
      </w:r>
    </w:p>
    <w:p w14:paraId="0A5D8C9B">
      <w:pPr>
        <w:numPr>
          <w:ilvl w:val="0"/>
          <w:numId w:val="19"/>
        </w:numPr>
        <w:spacing w:line="360" w:lineRule="auto"/>
        <w:ind w:firstLineChars="0"/>
        <w:rPr>
          <w:color w:val="auto"/>
        </w:rPr>
      </w:pPr>
      <w:r>
        <w:rPr>
          <w:bCs/>
          <w:color w:val="auto"/>
        </w:rPr>
        <w:t>《大气挥发性有机物源排放清单编制技术指南（试行）》（部公告2014年第55号）</w:t>
      </w:r>
      <w:r>
        <w:rPr>
          <w:rFonts w:hint="eastAsia"/>
          <w:bCs/>
          <w:color w:val="auto"/>
        </w:rPr>
        <w:t>；</w:t>
      </w:r>
    </w:p>
    <w:p w14:paraId="0B5EE14D">
      <w:pPr>
        <w:numPr>
          <w:ilvl w:val="0"/>
          <w:numId w:val="19"/>
        </w:numPr>
        <w:spacing w:line="360" w:lineRule="auto"/>
        <w:ind w:firstLineChars="0"/>
        <w:rPr>
          <w:color w:val="auto"/>
        </w:rPr>
      </w:pPr>
      <w:r>
        <w:rPr>
          <w:rFonts w:hint="eastAsia"/>
          <w:bCs/>
          <w:color w:val="auto"/>
        </w:rPr>
        <w:t>《工业企业土壤和地下水自行监测 技术指南》（HJ 1209—2021）</w:t>
      </w:r>
      <w:r>
        <w:rPr>
          <w:color w:val="auto"/>
        </w:rPr>
        <w:t>。</w:t>
      </w:r>
    </w:p>
    <w:p w14:paraId="1060BF37">
      <w:pPr>
        <w:pStyle w:val="5"/>
        <w:numPr>
          <w:ilvl w:val="0"/>
          <w:numId w:val="0"/>
        </w:numPr>
        <w:spacing w:line="360" w:lineRule="auto"/>
        <w:rPr>
          <w:color w:val="auto"/>
        </w:rPr>
      </w:pPr>
      <w:r>
        <w:rPr>
          <w:rFonts w:hint="eastAsia"/>
          <w:color w:val="auto"/>
          <w:lang w:eastAsia="zh-CN"/>
        </w:rPr>
        <w:t>2.1</w:t>
      </w:r>
      <w:r>
        <w:rPr>
          <w:color w:val="auto"/>
        </w:rPr>
        <w:t>.4建设项目有关资料</w:t>
      </w:r>
    </w:p>
    <w:p w14:paraId="2D5EAF76">
      <w:pPr>
        <w:numPr>
          <w:ilvl w:val="0"/>
          <w:numId w:val="20"/>
        </w:numPr>
        <w:spacing w:line="360" w:lineRule="auto"/>
        <w:ind w:firstLineChars="0"/>
        <w:rPr>
          <w:color w:val="auto"/>
        </w:rPr>
      </w:pPr>
      <w:r>
        <w:rPr>
          <w:rFonts w:hint="eastAsia"/>
          <w:color w:val="auto"/>
        </w:rPr>
        <w:t>《重庆市企业投资项目备案证》（项目代码</w:t>
      </w:r>
      <w:r>
        <w:rPr>
          <w:rFonts w:hint="eastAsia"/>
          <w:color w:val="auto"/>
          <w:lang w:eastAsia="zh-CN"/>
        </w:rPr>
        <w:t>：2508-500233-04-02-905241</w:t>
      </w:r>
      <w:r>
        <w:rPr>
          <w:rFonts w:hint="eastAsia"/>
          <w:color w:val="auto"/>
        </w:rPr>
        <w:t>）；</w:t>
      </w:r>
    </w:p>
    <w:p w14:paraId="54AF77BF">
      <w:pPr>
        <w:numPr>
          <w:ilvl w:val="0"/>
          <w:numId w:val="20"/>
        </w:numPr>
        <w:spacing w:line="360" w:lineRule="auto"/>
        <w:ind w:firstLineChars="0"/>
        <w:rPr>
          <w:color w:val="auto"/>
        </w:rPr>
      </w:pPr>
      <w:r>
        <w:rPr>
          <w:rFonts w:hint="eastAsia"/>
          <w:color w:val="auto"/>
        </w:rPr>
        <w:t>《</w:t>
      </w:r>
      <w:r>
        <w:rPr>
          <w:rFonts w:hint="eastAsia"/>
          <w:color w:val="auto"/>
          <w:lang w:eastAsia="zh-CN"/>
        </w:rPr>
        <w:t>重庆忠县工业园乌杨组团</w:t>
      </w:r>
      <w:r>
        <w:rPr>
          <w:rFonts w:hint="eastAsia"/>
          <w:color w:val="auto"/>
        </w:rPr>
        <w:t>控制性详细规划修编环境影响报告书》及其审查意见（</w:t>
      </w:r>
      <w:r>
        <w:rPr>
          <w:rFonts w:hint="eastAsia"/>
          <w:color w:val="auto"/>
          <w:lang w:eastAsia="zh-CN"/>
        </w:rPr>
        <w:t>渝环函〔2020〕559号</w:t>
      </w:r>
      <w:r>
        <w:rPr>
          <w:rFonts w:hint="eastAsia"/>
          <w:color w:val="auto"/>
        </w:rPr>
        <w:t>）；</w:t>
      </w:r>
    </w:p>
    <w:p w14:paraId="18EC524A">
      <w:pPr>
        <w:numPr>
          <w:ilvl w:val="0"/>
          <w:numId w:val="20"/>
        </w:numPr>
        <w:spacing w:line="360" w:lineRule="auto"/>
        <w:ind w:firstLineChars="0"/>
        <w:rPr>
          <w:color w:val="auto"/>
        </w:rPr>
      </w:pPr>
      <w:r>
        <w:rPr>
          <w:rFonts w:hint="eastAsia"/>
          <w:color w:val="auto"/>
          <w:szCs w:val="24"/>
          <w:lang w:eastAsia="zh-CN"/>
        </w:rPr>
        <w:t>重庆海宇环保科技有限公司</w:t>
      </w:r>
      <w:r>
        <w:rPr>
          <w:color w:val="auto"/>
        </w:rPr>
        <w:t>提供的</w:t>
      </w:r>
      <w:r>
        <w:rPr>
          <w:rFonts w:hint="eastAsia"/>
          <w:color w:val="auto"/>
        </w:rPr>
        <w:t>“</w:t>
      </w:r>
      <w:r>
        <w:rPr>
          <w:rFonts w:hint="eastAsia"/>
          <w:color w:val="auto"/>
          <w:szCs w:val="24"/>
          <w:lang w:eastAsia="zh-CN"/>
        </w:rPr>
        <w:t>页岩气开采废水处理项目</w:t>
      </w:r>
      <w:r>
        <w:rPr>
          <w:rFonts w:hint="eastAsia"/>
          <w:color w:val="auto"/>
        </w:rPr>
        <w:t>”</w:t>
      </w:r>
      <w:r>
        <w:rPr>
          <w:color w:val="auto"/>
        </w:rPr>
        <w:t>的相关资料及文件</w:t>
      </w:r>
      <w:r>
        <w:rPr>
          <w:rFonts w:hint="eastAsia"/>
          <w:color w:val="auto"/>
        </w:rPr>
        <w:t>。</w:t>
      </w:r>
    </w:p>
    <w:bookmarkEnd w:id="28"/>
    <w:bookmarkEnd w:id="29"/>
    <w:bookmarkEnd w:id="30"/>
    <w:bookmarkEnd w:id="31"/>
    <w:bookmarkEnd w:id="32"/>
    <w:bookmarkEnd w:id="33"/>
    <w:bookmarkEnd w:id="34"/>
    <w:bookmarkEnd w:id="35"/>
    <w:bookmarkEnd w:id="36"/>
    <w:bookmarkEnd w:id="37"/>
    <w:p w14:paraId="0FF08CEE">
      <w:pPr>
        <w:pStyle w:val="4"/>
        <w:numPr>
          <w:ilvl w:val="0"/>
          <w:numId w:val="0"/>
        </w:numPr>
        <w:spacing w:line="360" w:lineRule="auto"/>
        <w:rPr>
          <w:color w:val="auto"/>
        </w:rPr>
      </w:pPr>
      <w:bookmarkStart w:id="39" w:name="_Toc203295678"/>
      <w:bookmarkStart w:id="40" w:name="_Toc202180504"/>
      <w:bookmarkStart w:id="41" w:name="_Toc202239117"/>
      <w:bookmarkStart w:id="42" w:name="_Toc396234162"/>
      <w:bookmarkStart w:id="43" w:name="_Toc267314464"/>
      <w:bookmarkStart w:id="44" w:name="_Toc344679071"/>
      <w:bookmarkStart w:id="45" w:name="_Toc311586206"/>
      <w:bookmarkStart w:id="46" w:name="_Toc252122762"/>
      <w:bookmarkStart w:id="47" w:name="_Toc439249479"/>
      <w:bookmarkStart w:id="48" w:name="_Toc472509257"/>
      <w:bookmarkStart w:id="49" w:name="_Toc202178945"/>
      <w:bookmarkStart w:id="50" w:name="_Toc32088"/>
      <w:r>
        <w:rPr>
          <w:rFonts w:hint="eastAsia"/>
          <w:color w:val="auto"/>
          <w:lang w:eastAsia="zh-CN"/>
        </w:rPr>
        <w:t>2.2</w:t>
      </w:r>
      <w:r>
        <w:rPr>
          <w:color w:val="auto"/>
        </w:rPr>
        <w:t>评价目的与原则</w:t>
      </w:r>
      <w:bookmarkEnd w:id="39"/>
      <w:bookmarkEnd w:id="40"/>
      <w:bookmarkEnd w:id="41"/>
      <w:bookmarkEnd w:id="42"/>
      <w:bookmarkEnd w:id="43"/>
      <w:bookmarkEnd w:id="44"/>
      <w:bookmarkEnd w:id="45"/>
      <w:bookmarkEnd w:id="46"/>
      <w:bookmarkEnd w:id="47"/>
      <w:bookmarkEnd w:id="48"/>
      <w:bookmarkEnd w:id="49"/>
      <w:bookmarkEnd w:id="50"/>
    </w:p>
    <w:p w14:paraId="044F06D8">
      <w:pPr>
        <w:pStyle w:val="5"/>
        <w:numPr>
          <w:ilvl w:val="0"/>
          <w:numId w:val="0"/>
        </w:numPr>
        <w:spacing w:line="360" w:lineRule="auto"/>
        <w:rPr>
          <w:color w:val="auto"/>
        </w:rPr>
      </w:pPr>
      <w:r>
        <w:rPr>
          <w:rFonts w:hint="eastAsia"/>
          <w:color w:val="auto"/>
          <w:lang w:eastAsia="zh-CN"/>
        </w:rPr>
        <w:t>2.2</w:t>
      </w:r>
      <w:r>
        <w:rPr>
          <w:color w:val="auto"/>
        </w:rPr>
        <w:t>.1评价目的</w:t>
      </w:r>
    </w:p>
    <w:p w14:paraId="4C8466BD">
      <w:pPr>
        <w:spacing w:line="360" w:lineRule="auto"/>
        <w:ind w:firstLine="480"/>
        <w:rPr>
          <w:color w:val="auto"/>
        </w:rPr>
      </w:pPr>
      <w:r>
        <w:rPr>
          <w:rFonts w:hint="eastAsia"/>
          <w:color w:val="auto"/>
        </w:rPr>
        <w:t>（1）通过对建设项目所在地周围环境的调查及现状监测，了解项目周围的环境质量现状；</w:t>
      </w:r>
    </w:p>
    <w:p w14:paraId="0DF10BDB">
      <w:pPr>
        <w:spacing w:line="360" w:lineRule="auto"/>
        <w:ind w:firstLine="480"/>
        <w:rPr>
          <w:color w:val="auto"/>
        </w:rPr>
      </w:pPr>
      <w:r>
        <w:rPr>
          <w:rFonts w:hint="eastAsia"/>
          <w:color w:val="auto"/>
        </w:rPr>
        <w:t>（2）通过对建设项目的工程分析，掌握项目运行期生产工艺流程的特点及其污染特征，搞清项目的污染因子，确定项目的污染源源强；</w:t>
      </w:r>
    </w:p>
    <w:p w14:paraId="443DD746">
      <w:pPr>
        <w:spacing w:line="360" w:lineRule="auto"/>
        <w:ind w:firstLine="480"/>
        <w:rPr>
          <w:color w:val="auto"/>
        </w:rPr>
      </w:pPr>
      <w:r>
        <w:rPr>
          <w:rFonts w:hint="eastAsia"/>
          <w:color w:val="auto"/>
        </w:rPr>
        <w:t>（3）分析、预测运行期项目对环境的影响程度与范围；</w:t>
      </w:r>
    </w:p>
    <w:p w14:paraId="523A6D61">
      <w:pPr>
        <w:spacing w:line="360" w:lineRule="auto"/>
        <w:ind w:firstLine="480"/>
        <w:rPr>
          <w:color w:val="auto"/>
        </w:rPr>
      </w:pPr>
      <w:r>
        <w:rPr>
          <w:rFonts w:hint="eastAsia"/>
          <w:color w:val="auto"/>
        </w:rPr>
        <w:t>（4）分析论述污染物达标排放的可靠性，从技术、经济角度分析和论证拟采取环保措施的可行性，提出切实可行的避免或减轻项目对环境造成不利影响的缓解措施和污染防治对策，使项目所产生的社会、经济等正面影响得到充分发挥，对环境可能产生的负面影响减至最小，达到减少污染、保护环境的目的；</w:t>
      </w:r>
    </w:p>
    <w:p w14:paraId="5CC4B25F">
      <w:pPr>
        <w:spacing w:line="360" w:lineRule="auto"/>
        <w:ind w:firstLine="480"/>
        <w:rPr>
          <w:color w:val="auto"/>
        </w:rPr>
      </w:pPr>
      <w:r>
        <w:rPr>
          <w:rFonts w:hint="eastAsia"/>
          <w:color w:val="auto"/>
        </w:rPr>
        <w:t>（5）从环境保护角度对项目的可行性做出明确结论，为生态环境主管部门决策和建设单位进行环境管理提供依据。</w:t>
      </w:r>
    </w:p>
    <w:p w14:paraId="1BA42FC1">
      <w:pPr>
        <w:pStyle w:val="5"/>
        <w:numPr>
          <w:ilvl w:val="0"/>
          <w:numId w:val="0"/>
        </w:numPr>
        <w:spacing w:line="360" w:lineRule="auto"/>
        <w:rPr>
          <w:color w:val="auto"/>
        </w:rPr>
      </w:pPr>
      <w:r>
        <w:rPr>
          <w:rFonts w:hint="eastAsia"/>
          <w:color w:val="auto"/>
          <w:lang w:eastAsia="zh-CN"/>
        </w:rPr>
        <w:t>2.2</w:t>
      </w:r>
      <w:r>
        <w:rPr>
          <w:color w:val="auto"/>
        </w:rPr>
        <w:t>.2评价工作原则</w:t>
      </w:r>
    </w:p>
    <w:p w14:paraId="7A8AEBCA">
      <w:pPr>
        <w:spacing w:line="360" w:lineRule="auto"/>
        <w:ind w:firstLine="480"/>
        <w:rPr>
          <w:color w:val="auto"/>
        </w:rPr>
      </w:pPr>
      <w:r>
        <w:rPr>
          <w:rFonts w:hint="eastAsia"/>
          <w:color w:val="auto"/>
        </w:rPr>
        <w:t>突出环境影响评价的源头预防作用，坚持保护和改善环境质量。</w:t>
      </w:r>
    </w:p>
    <w:p w14:paraId="22248B83">
      <w:pPr>
        <w:spacing w:line="360" w:lineRule="auto"/>
        <w:ind w:firstLine="480"/>
        <w:rPr>
          <w:color w:val="auto"/>
        </w:rPr>
      </w:pPr>
      <w:r>
        <w:rPr>
          <w:rFonts w:hint="eastAsia"/>
          <w:color w:val="auto"/>
        </w:rPr>
        <w:t>（1）依法评价</w:t>
      </w:r>
    </w:p>
    <w:p w14:paraId="1B691FF5">
      <w:pPr>
        <w:spacing w:line="360" w:lineRule="auto"/>
        <w:ind w:firstLine="480"/>
        <w:rPr>
          <w:color w:val="auto"/>
        </w:rPr>
      </w:pPr>
      <w:r>
        <w:rPr>
          <w:rFonts w:hint="eastAsia"/>
          <w:color w:val="auto"/>
        </w:rPr>
        <w:t>贯彻执行我国环境保护相关法律法规、标准、政策和规划等，优化项目建设，服务环境管理。</w:t>
      </w:r>
    </w:p>
    <w:p w14:paraId="4C9DB1BD">
      <w:pPr>
        <w:spacing w:line="360" w:lineRule="auto"/>
        <w:ind w:firstLine="480"/>
        <w:rPr>
          <w:color w:val="auto"/>
        </w:rPr>
      </w:pPr>
      <w:r>
        <w:rPr>
          <w:rFonts w:hint="eastAsia"/>
          <w:color w:val="auto"/>
        </w:rPr>
        <w:t>（2）科学评价</w:t>
      </w:r>
    </w:p>
    <w:p w14:paraId="4B49C5B6">
      <w:pPr>
        <w:spacing w:line="360" w:lineRule="auto"/>
        <w:ind w:firstLine="480"/>
        <w:rPr>
          <w:color w:val="auto"/>
        </w:rPr>
      </w:pPr>
      <w:r>
        <w:rPr>
          <w:rFonts w:hint="eastAsia"/>
          <w:color w:val="auto"/>
        </w:rPr>
        <w:t>规范环境影响评价方法，科学分析项目建设对环境质量的影响。|</w:t>
      </w:r>
    </w:p>
    <w:p w14:paraId="13E29341">
      <w:pPr>
        <w:spacing w:line="360" w:lineRule="auto"/>
        <w:ind w:firstLine="480"/>
        <w:rPr>
          <w:color w:val="auto"/>
        </w:rPr>
      </w:pPr>
      <w:r>
        <w:rPr>
          <w:rFonts w:hint="eastAsia"/>
          <w:color w:val="auto"/>
        </w:rPr>
        <w:t>（3）突出重点</w:t>
      </w:r>
    </w:p>
    <w:p w14:paraId="78E874B2">
      <w:pPr>
        <w:spacing w:line="360" w:lineRule="auto"/>
        <w:ind w:firstLine="480"/>
        <w:rPr>
          <w:color w:val="auto"/>
        </w:rPr>
      </w:pPr>
      <w:r>
        <w:rPr>
          <w:rFonts w:hint="eastAsia"/>
          <w:color w:val="auto"/>
        </w:rPr>
        <w:t>根据建设项目的工程内容及其特点，明确与环境要素间的作用效应关系，根据规划环境影响评价结论和审查意见，充分利用符合时效的数据资料及成果，对建设项目主要环境影响予以重点分析和评价</w:t>
      </w:r>
      <w:r>
        <w:rPr>
          <w:color w:val="auto"/>
        </w:rPr>
        <w:t>。</w:t>
      </w:r>
    </w:p>
    <w:p w14:paraId="6F34569F">
      <w:pPr>
        <w:pStyle w:val="4"/>
        <w:numPr>
          <w:ilvl w:val="0"/>
          <w:numId w:val="0"/>
        </w:numPr>
        <w:spacing w:line="360" w:lineRule="auto"/>
        <w:rPr>
          <w:color w:val="auto"/>
        </w:rPr>
      </w:pPr>
      <w:bookmarkStart w:id="51" w:name="_Toc198021923"/>
      <w:bookmarkStart w:id="52" w:name="_Toc472509258"/>
      <w:bookmarkStart w:id="53" w:name="_Toc439249480"/>
      <w:bookmarkStart w:id="54" w:name="_Toc51062442"/>
      <w:bookmarkStart w:id="55" w:name="_Toc9417"/>
      <w:bookmarkStart w:id="56" w:name="_Toc194378404"/>
      <w:bookmarkStart w:id="57" w:name="_Toc396234161"/>
      <w:bookmarkStart w:id="58" w:name="_Toc344679070"/>
      <w:bookmarkStart w:id="59" w:name="_Toc245544265"/>
      <w:bookmarkStart w:id="60" w:name="_Toc244071838"/>
      <w:bookmarkStart w:id="61" w:name="_Toc175479775"/>
      <w:r>
        <w:rPr>
          <w:rFonts w:hint="eastAsia"/>
          <w:color w:val="auto"/>
          <w:lang w:val="en-US" w:eastAsia="zh-CN"/>
        </w:rPr>
        <w:t>2</w:t>
      </w:r>
      <w:r>
        <w:rPr>
          <w:color w:val="auto"/>
        </w:rPr>
        <w:t>.3评价总体构思</w:t>
      </w:r>
      <w:bookmarkEnd w:id="51"/>
      <w:bookmarkEnd w:id="52"/>
      <w:bookmarkEnd w:id="53"/>
      <w:bookmarkEnd w:id="54"/>
      <w:bookmarkEnd w:id="55"/>
      <w:bookmarkEnd w:id="56"/>
      <w:bookmarkEnd w:id="57"/>
      <w:bookmarkEnd w:id="58"/>
      <w:bookmarkEnd w:id="59"/>
      <w:bookmarkEnd w:id="60"/>
      <w:bookmarkEnd w:id="61"/>
    </w:p>
    <w:p w14:paraId="66DFD84C">
      <w:pPr>
        <w:spacing w:line="360" w:lineRule="auto"/>
        <w:ind w:firstLine="480"/>
        <w:rPr>
          <w:color w:val="auto"/>
          <w:lang w:val="zh-CN"/>
        </w:rPr>
      </w:pPr>
      <w:r>
        <w:rPr>
          <w:rFonts w:hint="eastAsia"/>
          <w:color w:val="auto"/>
          <w:lang w:val="zh-CN"/>
        </w:rPr>
        <w:t>（</w:t>
      </w:r>
      <w:r>
        <w:rPr>
          <w:color w:val="auto"/>
        </w:rPr>
        <w:t>1</w:t>
      </w:r>
      <w:r>
        <w:rPr>
          <w:rFonts w:hint="eastAsia"/>
          <w:color w:val="auto"/>
          <w:lang w:val="zh-CN"/>
        </w:rPr>
        <w:t>）</w:t>
      </w:r>
      <w:r>
        <w:rPr>
          <w:rFonts w:hint="eastAsia"/>
          <w:color w:val="auto"/>
        </w:rPr>
        <w:t>评价针对项目特点和所在地环境特点，以污染物达标排放为纲，分析工艺的可行性、先进性，预测项目建成后污染物排放对区域环境可能造成的影响；论证项目全过程的污染控制水平、各种</w:t>
      </w:r>
      <w:r>
        <w:rPr>
          <w:rFonts w:hint="eastAsia"/>
          <w:color w:val="auto"/>
          <w:lang w:eastAsia="zh-CN"/>
        </w:rPr>
        <w:t>环境治理</w:t>
      </w:r>
      <w:r>
        <w:rPr>
          <w:rFonts w:hint="eastAsia"/>
          <w:color w:val="auto"/>
        </w:rPr>
        <w:t>措施的处理效果及其可行性、实用性、先进性和经济性，以最大程度减少项目自身建设对环境的影响，并反馈于工程设计、建设，为项目环境管理提供科学依据</w:t>
      </w:r>
      <w:r>
        <w:rPr>
          <w:rFonts w:hint="eastAsia"/>
          <w:color w:val="auto"/>
          <w:szCs w:val="24"/>
        </w:rPr>
        <w:t>。</w:t>
      </w:r>
    </w:p>
    <w:p w14:paraId="32AC6D04">
      <w:pPr>
        <w:spacing w:line="360" w:lineRule="auto"/>
        <w:ind w:firstLine="480"/>
        <w:rPr>
          <w:rFonts w:cs="Tunga"/>
          <w:color w:val="auto"/>
        </w:rPr>
      </w:pPr>
      <w:r>
        <w:rPr>
          <w:rFonts w:hint="eastAsia"/>
          <w:color w:val="auto"/>
        </w:rPr>
        <w:t>（</w:t>
      </w:r>
      <w:r>
        <w:rPr>
          <w:color w:val="auto"/>
        </w:rPr>
        <w:t>2</w:t>
      </w:r>
      <w:r>
        <w:rPr>
          <w:rFonts w:hint="eastAsia"/>
          <w:color w:val="auto"/>
        </w:rPr>
        <w:t>）</w:t>
      </w:r>
      <w:r>
        <w:rPr>
          <w:rFonts w:hint="eastAsia"/>
          <w:color w:val="auto"/>
          <w:lang w:val="en-US" w:eastAsia="zh-CN"/>
        </w:rPr>
        <w:t>拟建项目为</w:t>
      </w:r>
      <w:r>
        <w:rPr>
          <w:rFonts w:hint="eastAsia"/>
          <w:color w:val="auto"/>
          <w:szCs w:val="24"/>
          <w:lang w:val="en-US" w:eastAsia="zh-CN"/>
        </w:rPr>
        <w:t>页岩气开采废水处理设施，采用</w:t>
      </w:r>
      <w:r>
        <w:rPr>
          <w:rFonts w:hint="eastAsia" w:cs="Tunga"/>
          <w:color w:val="auto"/>
        </w:rPr>
        <w:t>“</w:t>
      </w:r>
      <w:r>
        <w:rPr>
          <w:rFonts w:hint="eastAsia" w:cs="Tunga"/>
          <w:color w:val="auto"/>
          <w:lang w:eastAsia="zh-CN"/>
        </w:rPr>
        <w:t>调节+气浮+化学除重+高密软化沉淀+芬顿氧化+中和沉淀+精密过滤+DTRO膜浓缩+浓水蒸发结晶</w:t>
      </w:r>
      <w:r>
        <w:rPr>
          <w:rFonts w:hint="eastAsia" w:cs="Tunga"/>
          <w:color w:val="auto"/>
        </w:rPr>
        <w:t>”</w:t>
      </w:r>
      <w:r>
        <w:rPr>
          <w:rFonts w:hint="eastAsia" w:cs="Tunga"/>
          <w:color w:val="auto"/>
          <w:lang w:val="en-US" w:eastAsia="zh-CN"/>
        </w:rPr>
        <w:t>处理工艺，</w:t>
      </w:r>
      <w:r>
        <w:rPr>
          <w:rFonts w:hint="eastAsia"/>
          <w:color w:val="auto"/>
          <w:szCs w:val="24"/>
        </w:rPr>
        <w:t>设计处理规模2000m</w:t>
      </w:r>
      <w:r>
        <w:rPr>
          <w:rFonts w:hint="eastAsia"/>
          <w:color w:val="auto"/>
          <w:szCs w:val="24"/>
          <w:vertAlign w:val="superscript"/>
        </w:rPr>
        <w:t>3</w:t>
      </w:r>
      <w:r>
        <w:rPr>
          <w:rFonts w:hint="eastAsia"/>
          <w:color w:val="auto"/>
          <w:szCs w:val="24"/>
        </w:rPr>
        <w:t>/d，</w:t>
      </w:r>
      <w:r>
        <w:rPr>
          <w:rFonts w:hint="eastAsia" w:cs="Tunga"/>
          <w:color w:val="auto"/>
          <w:lang w:val="en-US" w:eastAsia="zh-CN"/>
        </w:rPr>
        <w:t>出水</w:t>
      </w:r>
      <w:r>
        <w:rPr>
          <w:rFonts w:hint="eastAsia" w:cs="Tunga"/>
          <w:color w:val="auto"/>
          <w:lang w:eastAsia="zh-CN"/>
        </w:rPr>
        <w:t>达《页岩气开采水污染物排放标准》（DB50/1806-2025）间接排放限值</w:t>
      </w:r>
      <w:r>
        <w:rPr>
          <w:rFonts w:hint="eastAsia" w:cs="Tunga"/>
          <w:color w:val="auto"/>
        </w:rPr>
        <w:t>。</w:t>
      </w:r>
    </w:p>
    <w:p w14:paraId="4EA1AF20">
      <w:pPr>
        <w:spacing w:line="360" w:lineRule="auto"/>
        <w:ind w:firstLine="480"/>
        <w:rPr>
          <w:color w:val="auto"/>
        </w:rPr>
      </w:pPr>
      <w:r>
        <w:rPr>
          <w:rFonts w:hint="eastAsia"/>
          <w:color w:val="auto"/>
        </w:rPr>
        <w:t>（</w:t>
      </w:r>
      <w:r>
        <w:rPr>
          <w:rFonts w:hint="eastAsia"/>
          <w:color w:val="auto"/>
          <w:lang w:val="en-US" w:eastAsia="zh-CN"/>
        </w:rPr>
        <w:t>3</w:t>
      </w:r>
      <w:r>
        <w:rPr>
          <w:rFonts w:hint="eastAsia"/>
          <w:color w:val="auto"/>
        </w:rPr>
        <w:t>）拟建项目废水经处理达标经园区污水管网进入</w:t>
      </w:r>
      <w:r>
        <w:rPr>
          <w:rFonts w:hint="eastAsia"/>
          <w:color w:val="auto"/>
          <w:lang w:eastAsia="zh-CN"/>
        </w:rPr>
        <w:t>乌杨组团园区污水处理厂</w:t>
      </w:r>
      <w:r>
        <w:rPr>
          <w:rFonts w:hint="eastAsia"/>
          <w:color w:val="auto"/>
        </w:rPr>
        <w:t>进行深度处理后达标排放，排放方式为间接排放。因此，根据《环境影响评价技术导则 地表水环境》（HJ2.3-2018），拟建项目地表水环境影响评价等级为三级B。拟建项目地表水环境影响评价主要分析水污染控制和水环境影响减缓措施的有效性，并分析项目废水排放依托</w:t>
      </w:r>
      <w:r>
        <w:rPr>
          <w:rFonts w:hint="eastAsia"/>
          <w:color w:val="auto"/>
          <w:lang w:eastAsia="zh-CN"/>
        </w:rPr>
        <w:t>乌杨组团园区污水处理厂</w:t>
      </w:r>
      <w:r>
        <w:rPr>
          <w:rFonts w:hint="eastAsia"/>
          <w:color w:val="auto"/>
        </w:rPr>
        <w:t>的环境可行性，对</w:t>
      </w:r>
      <w:r>
        <w:rPr>
          <w:rFonts w:hint="eastAsia"/>
          <w:color w:val="auto"/>
          <w:lang w:eastAsia="zh-CN"/>
        </w:rPr>
        <w:t>长江</w:t>
      </w:r>
      <w:r>
        <w:rPr>
          <w:rFonts w:hint="eastAsia"/>
          <w:color w:val="auto"/>
        </w:rPr>
        <w:t>影响预测情况直接引用</w:t>
      </w:r>
      <w:r>
        <w:rPr>
          <w:rFonts w:hint="eastAsia"/>
          <w:color w:val="auto"/>
          <w:lang w:eastAsia="zh-CN"/>
        </w:rPr>
        <w:t>乌杨组团园区污水处理厂</w:t>
      </w:r>
      <w:r>
        <w:rPr>
          <w:rFonts w:hint="eastAsia"/>
          <w:color w:val="auto"/>
        </w:rPr>
        <w:t>环境影响评价地表水预测结论。</w:t>
      </w:r>
    </w:p>
    <w:p w14:paraId="01C08C30">
      <w:pPr>
        <w:spacing w:line="360" w:lineRule="auto"/>
        <w:ind w:firstLine="480"/>
        <w:rPr>
          <w:color w:val="auto"/>
          <w:spacing w:val="8"/>
        </w:rPr>
      </w:pPr>
      <w:r>
        <w:rPr>
          <w:rFonts w:hint="eastAsia"/>
          <w:color w:val="auto"/>
        </w:rPr>
        <w:t>（</w:t>
      </w:r>
      <w:r>
        <w:rPr>
          <w:rFonts w:hint="eastAsia"/>
          <w:color w:val="auto"/>
          <w:lang w:val="en-US" w:eastAsia="zh-CN"/>
        </w:rPr>
        <w:t>4</w:t>
      </w:r>
      <w:r>
        <w:rPr>
          <w:rFonts w:hint="eastAsia"/>
          <w:color w:val="auto"/>
        </w:rPr>
        <w:t>）项目公众参与内容由建设单位按照《环境影响评价公众参与办法》（生态环境部 部令第4号）的相关要求开展，本次评价主要在结论中引用公众意见采纳情况</w:t>
      </w:r>
      <w:r>
        <w:rPr>
          <w:color w:val="auto"/>
        </w:rPr>
        <w:t>。</w:t>
      </w:r>
    </w:p>
    <w:p w14:paraId="2ACEACD7">
      <w:pPr>
        <w:pStyle w:val="4"/>
        <w:numPr>
          <w:ilvl w:val="0"/>
          <w:numId w:val="0"/>
        </w:numPr>
        <w:spacing w:line="360" w:lineRule="auto"/>
        <w:rPr>
          <w:color w:val="auto"/>
        </w:rPr>
      </w:pPr>
      <w:bookmarkStart w:id="62" w:name="_Toc2647"/>
      <w:bookmarkStart w:id="63" w:name="_Toc396234163"/>
      <w:bookmarkStart w:id="64" w:name="_Toc472509259"/>
      <w:bookmarkStart w:id="65" w:name="_Toc439249481"/>
      <w:bookmarkStart w:id="66" w:name="_Toc311586207"/>
      <w:bookmarkStart w:id="67" w:name="_Toc344679072"/>
      <w:bookmarkStart w:id="68" w:name="_Toc267314465"/>
      <w:bookmarkStart w:id="69" w:name="_Toc252122763"/>
      <w:r>
        <w:rPr>
          <w:rFonts w:hint="eastAsia"/>
          <w:color w:val="auto"/>
          <w:lang w:val="en-US" w:eastAsia="zh-CN"/>
        </w:rPr>
        <w:t>2</w:t>
      </w:r>
      <w:r>
        <w:rPr>
          <w:color w:val="auto"/>
        </w:rPr>
        <w:t>.4评价方法</w:t>
      </w:r>
      <w:bookmarkEnd w:id="62"/>
      <w:bookmarkEnd w:id="63"/>
      <w:bookmarkEnd w:id="64"/>
      <w:bookmarkEnd w:id="65"/>
      <w:bookmarkEnd w:id="66"/>
      <w:bookmarkEnd w:id="67"/>
      <w:bookmarkEnd w:id="68"/>
      <w:bookmarkEnd w:id="69"/>
    </w:p>
    <w:p w14:paraId="7DBB9A35">
      <w:pPr>
        <w:spacing w:line="360" w:lineRule="auto"/>
        <w:ind w:firstLine="480"/>
        <w:rPr>
          <w:color w:val="auto"/>
        </w:rPr>
      </w:pPr>
      <w:r>
        <w:rPr>
          <w:rFonts w:hint="eastAsia"/>
          <w:color w:val="auto"/>
        </w:rPr>
        <w:t>（1）</w:t>
      </w:r>
      <w:r>
        <w:rPr>
          <w:color w:val="auto"/>
        </w:rPr>
        <w:t>环境质量现状评价采用资料调查法</w:t>
      </w:r>
      <w:r>
        <w:rPr>
          <w:rFonts w:hint="eastAsia"/>
          <w:color w:val="auto"/>
        </w:rPr>
        <w:t>、</w:t>
      </w:r>
      <w:r>
        <w:rPr>
          <w:color w:val="auto"/>
        </w:rPr>
        <w:t>实测法；</w:t>
      </w:r>
    </w:p>
    <w:p w14:paraId="5009113C">
      <w:pPr>
        <w:spacing w:line="360" w:lineRule="auto"/>
        <w:ind w:firstLine="480"/>
        <w:rPr>
          <w:color w:val="auto"/>
        </w:rPr>
      </w:pPr>
      <w:r>
        <w:rPr>
          <w:rFonts w:hint="eastAsia"/>
          <w:color w:val="auto"/>
        </w:rPr>
        <w:t>（2）</w:t>
      </w:r>
      <w:r>
        <w:rPr>
          <w:color w:val="auto"/>
        </w:rPr>
        <w:t>工程分析采用类比调查法和物料衡算法；</w:t>
      </w:r>
    </w:p>
    <w:p w14:paraId="79FED74D">
      <w:pPr>
        <w:spacing w:line="360" w:lineRule="auto"/>
        <w:ind w:firstLine="480"/>
        <w:rPr>
          <w:color w:val="auto"/>
        </w:rPr>
      </w:pPr>
      <w:r>
        <w:rPr>
          <w:rFonts w:hint="eastAsia"/>
          <w:color w:val="auto"/>
        </w:rPr>
        <w:t>（3）各环节要素</w:t>
      </w:r>
      <w:r>
        <w:rPr>
          <w:color w:val="auto"/>
        </w:rPr>
        <w:t>预测评价采用模型预测法和定性分析法。</w:t>
      </w:r>
    </w:p>
    <w:p w14:paraId="38691B1F">
      <w:pPr>
        <w:pStyle w:val="4"/>
        <w:numPr>
          <w:ilvl w:val="0"/>
          <w:numId w:val="0"/>
        </w:numPr>
        <w:spacing w:line="360" w:lineRule="auto"/>
        <w:rPr>
          <w:color w:val="auto"/>
        </w:rPr>
      </w:pPr>
      <w:bookmarkStart w:id="70" w:name="_Toc28608"/>
      <w:r>
        <w:rPr>
          <w:rFonts w:hint="eastAsia"/>
          <w:color w:val="auto"/>
          <w:lang w:val="en-US" w:eastAsia="zh-CN"/>
        </w:rPr>
        <w:t>2</w:t>
      </w:r>
      <w:r>
        <w:rPr>
          <w:color w:val="auto"/>
        </w:rPr>
        <w:t>.4评价</w:t>
      </w:r>
      <w:r>
        <w:rPr>
          <w:rFonts w:hint="eastAsia"/>
          <w:color w:val="auto"/>
        </w:rPr>
        <w:t>内容、重点及评价时段</w:t>
      </w:r>
      <w:bookmarkEnd w:id="70"/>
    </w:p>
    <w:p w14:paraId="3EF295FD">
      <w:pPr>
        <w:spacing w:line="360" w:lineRule="auto"/>
        <w:ind w:firstLine="482"/>
        <w:rPr>
          <w:b/>
          <w:bCs/>
          <w:color w:val="auto"/>
        </w:rPr>
      </w:pPr>
      <w:r>
        <w:rPr>
          <w:rFonts w:hint="eastAsia"/>
          <w:b/>
          <w:bCs/>
          <w:color w:val="auto"/>
        </w:rPr>
        <w:t>评价内容：</w:t>
      </w:r>
    </w:p>
    <w:p w14:paraId="2267E653">
      <w:pPr>
        <w:spacing w:line="360" w:lineRule="auto"/>
        <w:ind w:firstLine="480"/>
        <w:rPr>
          <w:color w:val="auto"/>
        </w:rPr>
      </w:pPr>
      <w:r>
        <w:rPr>
          <w:rFonts w:hint="eastAsia"/>
          <w:color w:val="auto"/>
        </w:rPr>
        <w:t>针对工程特点及性质，其主要评价内容包括：</w:t>
      </w:r>
    </w:p>
    <w:p w14:paraId="5996EB52">
      <w:pPr>
        <w:numPr>
          <w:ilvl w:val="0"/>
          <w:numId w:val="21"/>
        </w:numPr>
        <w:spacing w:line="360" w:lineRule="auto"/>
        <w:ind w:firstLine="480"/>
        <w:rPr>
          <w:rFonts w:hint="eastAsia"/>
          <w:color w:val="auto"/>
        </w:rPr>
      </w:pPr>
      <w:r>
        <w:rPr>
          <w:rFonts w:hint="eastAsia"/>
          <w:color w:val="auto"/>
          <w:lang w:val="en-US" w:eastAsia="zh-CN"/>
        </w:rPr>
        <w:t>概述</w:t>
      </w:r>
    </w:p>
    <w:p w14:paraId="7FBCB5B8">
      <w:pPr>
        <w:numPr>
          <w:ilvl w:val="0"/>
          <w:numId w:val="21"/>
        </w:numPr>
        <w:spacing w:line="360" w:lineRule="auto"/>
        <w:ind w:firstLine="480"/>
        <w:rPr>
          <w:rFonts w:hint="eastAsia"/>
          <w:color w:val="auto"/>
        </w:rPr>
      </w:pPr>
      <w:r>
        <w:rPr>
          <w:rFonts w:hint="eastAsia"/>
          <w:color w:val="auto"/>
          <w:lang w:val="en-US" w:eastAsia="zh-CN"/>
        </w:rPr>
        <w:t>总则</w:t>
      </w:r>
    </w:p>
    <w:p w14:paraId="4C9C0C75">
      <w:pPr>
        <w:spacing w:line="360" w:lineRule="auto"/>
        <w:ind w:firstLine="480"/>
        <w:rPr>
          <w:color w:val="auto"/>
        </w:rPr>
      </w:pPr>
      <w:r>
        <w:rPr>
          <w:rFonts w:hint="eastAsia"/>
          <w:color w:val="auto"/>
        </w:rPr>
        <w:t>（3）项目概况及工程分析</w:t>
      </w:r>
    </w:p>
    <w:p w14:paraId="3AF296A9">
      <w:pPr>
        <w:spacing w:line="360" w:lineRule="auto"/>
        <w:ind w:firstLine="480"/>
        <w:rPr>
          <w:color w:val="auto"/>
        </w:rPr>
      </w:pPr>
      <w:r>
        <w:rPr>
          <w:rFonts w:hint="eastAsia"/>
          <w:color w:val="auto"/>
        </w:rPr>
        <w:t>（4）环境现状调查与评价</w:t>
      </w:r>
    </w:p>
    <w:p w14:paraId="75A99995">
      <w:pPr>
        <w:spacing w:line="360" w:lineRule="auto"/>
        <w:ind w:firstLine="480"/>
        <w:rPr>
          <w:color w:val="auto"/>
        </w:rPr>
      </w:pPr>
      <w:r>
        <w:rPr>
          <w:rFonts w:hint="eastAsia"/>
          <w:color w:val="auto"/>
        </w:rPr>
        <w:t>（5）施工期环境影响分析</w:t>
      </w:r>
    </w:p>
    <w:p w14:paraId="42C657B4">
      <w:pPr>
        <w:spacing w:line="360" w:lineRule="auto"/>
        <w:ind w:firstLine="480"/>
        <w:rPr>
          <w:color w:val="auto"/>
        </w:rPr>
      </w:pPr>
      <w:r>
        <w:rPr>
          <w:rFonts w:hint="eastAsia"/>
          <w:color w:val="auto"/>
        </w:rPr>
        <w:t>（6）运营期环境影响预测与评价</w:t>
      </w:r>
    </w:p>
    <w:p w14:paraId="0467AF20">
      <w:pPr>
        <w:spacing w:line="360" w:lineRule="auto"/>
        <w:ind w:firstLine="480"/>
        <w:rPr>
          <w:color w:val="auto"/>
        </w:rPr>
      </w:pPr>
      <w:r>
        <w:rPr>
          <w:rFonts w:hint="eastAsia"/>
          <w:color w:val="auto"/>
        </w:rPr>
        <w:t>（7）环境风险评价</w:t>
      </w:r>
    </w:p>
    <w:p w14:paraId="3FA2393C">
      <w:pPr>
        <w:spacing w:line="360" w:lineRule="auto"/>
        <w:ind w:firstLine="480"/>
        <w:rPr>
          <w:color w:val="auto"/>
        </w:rPr>
      </w:pPr>
      <w:r>
        <w:rPr>
          <w:rFonts w:hint="eastAsia"/>
          <w:color w:val="auto"/>
        </w:rPr>
        <w:t>（8）环境保护措施及其可行性论证</w:t>
      </w:r>
    </w:p>
    <w:p w14:paraId="34EBDACA">
      <w:pPr>
        <w:spacing w:line="360" w:lineRule="auto"/>
        <w:ind w:firstLine="480"/>
        <w:rPr>
          <w:color w:val="auto"/>
        </w:rPr>
      </w:pPr>
      <w:r>
        <w:rPr>
          <w:rFonts w:hint="eastAsia"/>
          <w:color w:val="auto"/>
        </w:rPr>
        <w:t>（9）环境影响经济损益分析</w:t>
      </w:r>
    </w:p>
    <w:p w14:paraId="78E6D9BD">
      <w:pPr>
        <w:spacing w:line="360" w:lineRule="auto"/>
        <w:ind w:firstLine="480"/>
        <w:rPr>
          <w:color w:val="auto"/>
        </w:rPr>
      </w:pPr>
      <w:r>
        <w:rPr>
          <w:rFonts w:hint="eastAsia"/>
          <w:color w:val="auto"/>
        </w:rPr>
        <w:t>（1</w:t>
      </w:r>
      <w:r>
        <w:rPr>
          <w:color w:val="auto"/>
        </w:rPr>
        <w:t>0</w:t>
      </w:r>
      <w:r>
        <w:rPr>
          <w:rFonts w:hint="eastAsia"/>
          <w:color w:val="auto"/>
        </w:rPr>
        <w:t>）环境管理与监测计划</w:t>
      </w:r>
    </w:p>
    <w:p w14:paraId="29AED9F5">
      <w:pPr>
        <w:spacing w:line="360" w:lineRule="auto"/>
        <w:ind w:firstLine="480"/>
        <w:rPr>
          <w:color w:val="auto"/>
        </w:rPr>
      </w:pPr>
      <w:r>
        <w:rPr>
          <w:rFonts w:hint="eastAsia"/>
          <w:color w:val="auto"/>
        </w:rPr>
        <w:t>（1</w:t>
      </w:r>
      <w:r>
        <w:rPr>
          <w:color w:val="auto"/>
        </w:rPr>
        <w:t>1</w:t>
      </w:r>
      <w:r>
        <w:rPr>
          <w:rFonts w:hint="eastAsia"/>
          <w:color w:val="auto"/>
        </w:rPr>
        <w:t>）环境影响评价结论与建议</w:t>
      </w:r>
    </w:p>
    <w:p w14:paraId="3F183387">
      <w:pPr>
        <w:spacing w:line="360" w:lineRule="auto"/>
        <w:ind w:firstLine="482"/>
        <w:rPr>
          <w:b/>
          <w:bCs/>
          <w:color w:val="auto"/>
        </w:rPr>
      </w:pPr>
      <w:r>
        <w:rPr>
          <w:rFonts w:hint="eastAsia"/>
          <w:b/>
          <w:bCs/>
          <w:color w:val="auto"/>
        </w:rPr>
        <w:t>评价重点：</w:t>
      </w:r>
    </w:p>
    <w:p w14:paraId="4DA2EEAB">
      <w:pPr>
        <w:spacing w:line="360" w:lineRule="auto"/>
        <w:ind w:firstLine="480"/>
        <w:rPr>
          <w:color w:val="auto"/>
        </w:rPr>
      </w:pPr>
      <w:r>
        <w:rPr>
          <w:rFonts w:hint="eastAsia"/>
          <w:color w:val="auto"/>
        </w:rPr>
        <w:t>以工程分析为基础，以大气环境影响评价、环境风险评价、环境保护措施及其可行性论证为评价重点。</w:t>
      </w:r>
    </w:p>
    <w:p w14:paraId="28B40DAC">
      <w:pPr>
        <w:spacing w:line="360" w:lineRule="auto"/>
        <w:ind w:firstLine="482"/>
        <w:rPr>
          <w:b/>
          <w:bCs/>
          <w:color w:val="auto"/>
        </w:rPr>
      </w:pPr>
      <w:r>
        <w:rPr>
          <w:rFonts w:hint="eastAsia"/>
          <w:b/>
          <w:bCs/>
          <w:color w:val="auto"/>
        </w:rPr>
        <w:t>评价时段：</w:t>
      </w:r>
    </w:p>
    <w:p w14:paraId="601EE04E">
      <w:pPr>
        <w:spacing w:line="360" w:lineRule="auto"/>
        <w:ind w:firstLine="480"/>
        <w:rPr>
          <w:color w:val="auto"/>
        </w:rPr>
      </w:pPr>
      <w:r>
        <w:rPr>
          <w:rFonts w:hint="eastAsia"/>
          <w:color w:val="auto"/>
          <w:szCs w:val="24"/>
        </w:rPr>
        <w:t>评价时段主要包括</w:t>
      </w:r>
      <w:r>
        <w:rPr>
          <w:color w:val="auto"/>
          <w:szCs w:val="24"/>
        </w:rPr>
        <w:t>施工期</w:t>
      </w:r>
      <w:r>
        <w:rPr>
          <w:rFonts w:hint="eastAsia"/>
          <w:color w:val="auto"/>
          <w:szCs w:val="24"/>
        </w:rPr>
        <w:t>和</w:t>
      </w:r>
      <w:r>
        <w:rPr>
          <w:color w:val="auto"/>
          <w:szCs w:val="24"/>
        </w:rPr>
        <w:t>运营期，</w:t>
      </w:r>
      <w:r>
        <w:rPr>
          <w:rFonts w:hint="eastAsia"/>
          <w:color w:val="auto"/>
          <w:szCs w:val="24"/>
        </w:rPr>
        <w:t>以</w:t>
      </w:r>
      <w:r>
        <w:rPr>
          <w:color w:val="auto"/>
          <w:szCs w:val="24"/>
        </w:rPr>
        <w:t>运营期</w:t>
      </w:r>
      <w:r>
        <w:rPr>
          <w:rFonts w:hint="eastAsia"/>
          <w:color w:val="auto"/>
          <w:szCs w:val="24"/>
        </w:rPr>
        <w:t>为重点</w:t>
      </w:r>
      <w:r>
        <w:rPr>
          <w:color w:val="auto"/>
          <w:szCs w:val="24"/>
        </w:rPr>
        <w:t>。</w:t>
      </w:r>
    </w:p>
    <w:p w14:paraId="3CA97F77">
      <w:pPr>
        <w:pStyle w:val="4"/>
        <w:numPr>
          <w:ilvl w:val="0"/>
          <w:numId w:val="0"/>
        </w:numPr>
        <w:spacing w:line="360" w:lineRule="auto"/>
        <w:rPr>
          <w:color w:val="auto"/>
        </w:rPr>
      </w:pPr>
      <w:bookmarkStart w:id="71" w:name="_Toc16440"/>
      <w:bookmarkStart w:id="72" w:name="_Toc462350264"/>
      <w:bookmarkStart w:id="73" w:name="_Toc472509262"/>
      <w:r>
        <w:rPr>
          <w:rFonts w:hint="eastAsia"/>
          <w:color w:val="auto"/>
          <w:lang w:val="en-US" w:eastAsia="zh-CN"/>
        </w:rPr>
        <w:t>2.5</w:t>
      </w:r>
      <w:r>
        <w:rPr>
          <w:color w:val="auto"/>
        </w:rPr>
        <w:t>环境影响识别</w:t>
      </w:r>
      <w:bookmarkEnd w:id="71"/>
      <w:bookmarkEnd w:id="72"/>
      <w:bookmarkEnd w:id="73"/>
    </w:p>
    <w:p w14:paraId="71411B8C">
      <w:pPr>
        <w:pStyle w:val="5"/>
        <w:numPr>
          <w:ilvl w:val="0"/>
          <w:numId w:val="0"/>
        </w:numPr>
        <w:spacing w:line="360" w:lineRule="auto"/>
        <w:rPr>
          <w:color w:val="auto"/>
        </w:rPr>
      </w:pPr>
      <w:r>
        <w:rPr>
          <w:rFonts w:hint="eastAsia"/>
          <w:color w:val="auto"/>
          <w:lang w:eastAsia="zh-CN"/>
        </w:rPr>
        <w:t>2.5</w:t>
      </w:r>
      <w:r>
        <w:rPr>
          <w:color w:val="auto"/>
        </w:rPr>
        <w:t>.1环境影响要素分析</w:t>
      </w:r>
    </w:p>
    <w:p w14:paraId="068F609A">
      <w:pPr>
        <w:spacing w:line="360" w:lineRule="auto"/>
        <w:ind w:firstLine="480"/>
        <w:rPr>
          <w:color w:val="auto"/>
        </w:rPr>
      </w:pPr>
      <w:r>
        <w:rPr>
          <w:color w:val="auto"/>
        </w:rPr>
        <w:t>拟建项目建设期和运行期对周围环境产生影响的主要因素是废气、废水、噪声及固体废物，影响对象是环境空气、地表水、地下水、声环境等。</w:t>
      </w:r>
    </w:p>
    <w:p w14:paraId="69B24B72">
      <w:pPr>
        <w:spacing w:line="360" w:lineRule="auto"/>
        <w:ind w:firstLine="480"/>
        <w:rPr>
          <w:color w:val="auto"/>
          <w:szCs w:val="28"/>
        </w:rPr>
      </w:pPr>
      <w:r>
        <w:rPr>
          <w:color w:val="auto"/>
          <w:szCs w:val="28"/>
        </w:rPr>
        <w:t>根据对拟建项目的工程分析，施工期、运营期环境影响因子识别见</w:t>
      </w:r>
      <w:r>
        <w:rPr>
          <w:rFonts w:hint="eastAsia"/>
          <w:color w:val="auto"/>
          <w:szCs w:val="28"/>
        </w:rPr>
        <w:t>表</w:t>
      </w:r>
      <w:r>
        <w:rPr>
          <w:rFonts w:hint="eastAsia"/>
          <w:color w:val="auto"/>
          <w:szCs w:val="28"/>
          <w:lang w:eastAsia="zh-CN"/>
        </w:rPr>
        <w:t>2.5</w:t>
      </w:r>
      <w:r>
        <w:rPr>
          <w:rFonts w:hint="eastAsia"/>
          <w:color w:val="auto"/>
          <w:szCs w:val="28"/>
        </w:rPr>
        <w:t>-1</w:t>
      </w:r>
      <w:r>
        <w:rPr>
          <w:color w:val="auto"/>
          <w:szCs w:val="28"/>
        </w:rPr>
        <w:t>、</w:t>
      </w:r>
      <w:r>
        <w:rPr>
          <w:rFonts w:hint="eastAsia"/>
          <w:color w:val="auto"/>
          <w:szCs w:val="28"/>
        </w:rPr>
        <w:t>表</w:t>
      </w:r>
      <w:r>
        <w:rPr>
          <w:rFonts w:hint="eastAsia"/>
          <w:color w:val="auto"/>
          <w:szCs w:val="28"/>
          <w:lang w:eastAsia="zh-CN"/>
        </w:rPr>
        <w:t>2.5</w:t>
      </w:r>
      <w:r>
        <w:rPr>
          <w:rFonts w:hint="eastAsia"/>
          <w:color w:val="auto"/>
          <w:szCs w:val="28"/>
        </w:rPr>
        <w:t>-2</w:t>
      </w:r>
      <w:r>
        <w:rPr>
          <w:color w:val="auto"/>
          <w:szCs w:val="28"/>
        </w:rPr>
        <w:t>。</w:t>
      </w:r>
    </w:p>
    <w:p w14:paraId="584F3C62">
      <w:pPr>
        <w:pStyle w:val="674"/>
        <w:rPr>
          <w:color w:val="auto"/>
        </w:rPr>
      </w:pPr>
      <w:bookmarkStart w:id="74" w:name="_Ref499623924"/>
      <w:r>
        <w:rPr>
          <w:rFonts w:hint="eastAsia"/>
          <w:color w:val="auto"/>
        </w:rPr>
        <w:t>表</w:t>
      </w:r>
      <w:r>
        <w:rPr>
          <w:rFonts w:hint="eastAsia"/>
          <w:color w:val="auto"/>
          <w:lang w:eastAsia="zh-CN"/>
        </w:rPr>
        <w:t>2.5</w:t>
      </w:r>
      <w:r>
        <w:rPr>
          <w:rFonts w:hint="eastAsia"/>
          <w:color w:val="auto"/>
        </w:rPr>
        <w:t xml:space="preserve">-1  </w:t>
      </w:r>
      <w:r>
        <w:rPr>
          <w:snapToGrid w:val="0"/>
          <w:color w:val="auto"/>
          <w:kern w:val="0"/>
          <w:szCs w:val="24"/>
        </w:rPr>
        <w:t>施工期环境影响因子识别表</w:t>
      </w:r>
      <w:bookmarkEnd w:id="74"/>
    </w:p>
    <w:tbl>
      <w:tblPr>
        <w:tblStyle w:val="88"/>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7"/>
        <w:gridCol w:w="1560"/>
        <w:gridCol w:w="1558"/>
        <w:gridCol w:w="851"/>
        <w:gridCol w:w="1276"/>
        <w:gridCol w:w="1276"/>
        <w:gridCol w:w="1098"/>
      </w:tblGrid>
      <w:tr w14:paraId="02B4A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dxa"/>
            <w:vMerge w:val="restart"/>
            <w:vAlign w:val="center"/>
          </w:tcPr>
          <w:p w14:paraId="13AD2BC8">
            <w:pPr>
              <w:pStyle w:val="276"/>
              <w:rPr>
                <w:snapToGrid w:val="0"/>
                <w:color w:val="auto"/>
              </w:rPr>
            </w:pPr>
            <w:r>
              <w:rPr>
                <w:rFonts w:hint="eastAsia"/>
                <w:snapToGrid w:val="0"/>
                <w:color w:val="auto"/>
              </w:rPr>
              <w:t>主要</w:t>
            </w:r>
          </w:p>
          <w:p w14:paraId="4ED389FA">
            <w:pPr>
              <w:pStyle w:val="276"/>
              <w:rPr>
                <w:snapToGrid w:val="0"/>
                <w:color w:val="auto"/>
              </w:rPr>
            </w:pPr>
            <w:r>
              <w:rPr>
                <w:rFonts w:hint="eastAsia"/>
                <w:snapToGrid w:val="0"/>
                <w:color w:val="auto"/>
              </w:rPr>
              <w:t>污染源</w:t>
            </w:r>
          </w:p>
        </w:tc>
        <w:tc>
          <w:tcPr>
            <w:tcW w:w="7619" w:type="dxa"/>
            <w:gridSpan w:val="6"/>
            <w:vAlign w:val="center"/>
          </w:tcPr>
          <w:p w14:paraId="791750C2">
            <w:pPr>
              <w:pStyle w:val="276"/>
              <w:rPr>
                <w:snapToGrid w:val="0"/>
                <w:color w:val="auto"/>
              </w:rPr>
            </w:pPr>
            <w:r>
              <w:rPr>
                <w:rFonts w:hint="eastAsia"/>
                <w:snapToGrid w:val="0"/>
                <w:color w:val="auto"/>
              </w:rPr>
              <w:t>主要环境影响因子</w:t>
            </w:r>
          </w:p>
        </w:tc>
      </w:tr>
      <w:tr w14:paraId="0EBE1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dxa"/>
            <w:vMerge w:val="continue"/>
            <w:vAlign w:val="center"/>
          </w:tcPr>
          <w:p w14:paraId="730A0F83">
            <w:pPr>
              <w:pStyle w:val="276"/>
              <w:rPr>
                <w:snapToGrid w:val="0"/>
                <w:color w:val="auto"/>
              </w:rPr>
            </w:pPr>
          </w:p>
        </w:tc>
        <w:tc>
          <w:tcPr>
            <w:tcW w:w="1560" w:type="dxa"/>
            <w:vAlign w:val="center"/>
          </w:tcPr>
          <w:p w14:paraId="39C34F50">
            <w:pPr>
              <w:pStyle w:val="276"/>
              <w:rPr>
                <w:snapToGrid w:val="0"/>
                <w:color w:val="auto"/>
              </w:rPr>
            </w:pPr>
            <w:r>
              <w:rPr>
                <w:rFonts w:hint="eastAsia"/>
                <w:snapToGrid w:val="0"/>
                <w:color w:val="auto"/>
              </w:rPr>
              <w:t>地表水</w:t>
            </w:r>
          </w:p>
        </w:tc>
        <w:tc>
          <w:tcPr>
            <w:tcW w:w="1558" w:type="dxa"/>
            <w:vAlign w:val="center"/>
          </w:tcPr>
          <w:p w14:paraId="565C672B">
            <w:pPr>
              <w:pStyle w:val="276"/>
              <w:rPr>
                <w:snapToGrid w:val="0"/>
                <w:color w:val="auto"/>
              </w:rPr>
            </w:pPr>
            <w:r>
              <w:rPr>
                <w:rFonts w:hint="eastAsia"/>
                <w:snapToGrid w:val="0"/>
                <w:color w:val="auto"/>
              </w:rPr>
              <w:t>环境空气</w:t>
            </w:r>
          </w:p>
        </w:tc>
        <w:tc>
          <w:tcPr>
            <w:tcW w:w="851" w:type="dxa"/>
            <w:vAlign w:val="center"/>
          </w:tcPr>
          <w:p w14:paraId="5AFDA016">
            <w:pPr>
              <w:pStyle w:val="276"/>
              <w:rPr>
                <w:snapToGrid w:val="0"/>
                <w:color w:val="auto"/>
              </w:rPr>
            </w:pPr>
            <w:r>
              <w:rPr>
                <w:rFonts w:hint="eastAsia"/>
                <w:snapToGrid w:val="0"/>
                <w:color w:val="auto"/>
              </w:rPr>
              <w:t>声环境</w:t>
            </w:r>
          </w:p>
        </w:tc>
        <w:tc>
          <w:tcPr>
            <w:tcW w:w="1276" w:type="dxa"/>
            <w:vAlign w:val="center"/>
          </w:tcPr>
          <w:p w14:paraId="49DEEB64">
            <w:pPr>
              <w:pStyle w:val="276"/>
              <w:rPr>
                <w:snapToGrid w:val="0"/>
                <w:color w:val="auto"/>
              </w:rPr>
            </w:pPr>
            <w:r>
              <w:rPr>
                <w:rFonts w:hint="eastAsia"/>
                <w:snapToGrid w:val="0"/>
                <w:color w:val="auto"/>
              </w:rPr>
              <w:t>固体废物</w:t>
            </w:r>
          </w:p>
        </w:tc>
        <w:tc>
          <w:tcPr>
            <w:tcW w:w="1276" w:type="dxa"/>
            <w:vAlign w:val="center"/>
          </w:tcPr>
          <w:p w14:paraId="41058FEB">
            <w:pPr>
              <w:pStyle w:val="276"/>
              <w:rPr>
                <w:snapToGrid w:val="0"/>
                <w:color w:val="auto"/>
              </w:rPr>
            </w:pPr>
            <w:r>
              <w:rPr>
                <w:rFonts w:hint="eastAsia"/>
                <w:snapToGrid w:val="0"/>
                <w:color w:val="auto"/>
              </w:rPr>
              <w:t>生态环境</w:t>
            </w:r>
          </w:p>
        </w:tc>
        <w:tc>
          <w:tcPr>
            <w:tcW w:w="1098" w:type="dxa"/>
            <w:vAlign w:val="center"/>
          </w:tcPr>
          <w:p w14:paraId="73FF7B1A">
            <w:pPr>
              <w:pStyle w:val="276"/>
              <w:rPr>
                <w:snapToGrid w:val="0"/>
                <w:color w:val="auto"/>
              </w:rPr>
            </w:pPr>
            <w:r>
              <w:rPr>
                <w:rFonts w:hint="eastAsia"/>
                <w:snapToGrid w:val="0"/>
                <w:color w:val="auto"/>
              </w:rPr>
              <w:t>社会环境</w:t>
            </w:r>
          </w:p>
        </w:tc>
      </w:tr>
      <w:tr w14:paraId="5513A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dxa"/>
            <w:vAlign w:val="center"/>
          </w:tcPr>
          <w:p w14:paraId="63FCA645">
            <w:pPr>
              <w:pStyle w:val="276"/>
              <w:rPr>
                <w:snapToGrid w:val="0"/>
                <w:color w:val="auto"/>
              </w:rPr>
            </w:pPr>
            <w:r>
              <w:rPr>
                <w:rFonts w:hint="eastAsia"/>
                <w:snapToGrid w:val="0"/>
                <w:color w:val="auto"/>
              </w:rPr>
              <w:t>机械车辆使用、清洗</w:t>
            </w:r>
          </w:p>
        </w:tc>
        <w:tc>
          <w:tcPr>
            <w:tcW w:w="1560" w:type="dxa"/>
            <w:vAlign w:val="center"/>
          </w:tcPr>
          <w:p w14:paraId="2B93D5C9">
            <w:pPr>
              <w:pStyle w:val="276"/>
              <w:rPr>
                <w:snapToGrid w:val="0"/>
                <w:color w:val="auto"/>
              </w:rPr>
            </w:pPr>
            <w:r>
              <w:rPr>
                <w:rFonts w:hint="eastAsia"/>
                <w:snapToGrid w:val="0"/>
                <w:color w:val="auto"/>
              </w:rPr>
              <w:t>SS、石油类</w:t>
            </w:r>
          </w:p>
        </w:tc>
        <w:tc>
          <w:tcPr>
            <w:tcW w:w="1558" w:type="dxa"/>
            <w:vAlign w:val="center"/>
          </w:tcPr>
          <w:p w14:paraId="5E7E076D">
            <w:pPr>
              <w:pStyle w:val="276"/>
              <w:rPr>
                <w:snapToGrid w:val="0"/>
                <w:color w:val="auto"/>
              </w:rPr>
            </w:pPr>
            <w:r>
              <w:rPr>
                <w:rFonts w:hint="eastAsia"/>
                <w:snapToGrid w:val="0"/>
                <w:color w:val="auto"/>
              </w:rPr>
              <w:t>TSP、</w:t>
            </w:r>
            <w:r>
              <w:rPr>
                <w:rFonts w:hint="eastAsia"/>
                <w:color w:val="auto"/>
              </w:rPr>
              <w:t>SO</w:t>
            </w:r>
            <w:r>
              <w:rPr>
                <w:rFonts w:hint="eastAsia"/>
                <w:color w:val="auto"/>
                <w:vertAlign w:val="subscript"/>
              </w:rPr>
              <w:t>2</w:t>
            </w:r>
            <w:r>
              <w:rPr>
                <w:rFonts w:hint="eastAsia"/>
                <w:color w:val="auto"/>
              </w:rPr>
              <w:t>、NO</w:t>
            </w:r>
            <w:r>
              <w:rPr>
                <w:rFonts w:hint="eastAsia"/>
                <w:color w:val="auto"/>
                <w:vertAlign w:val="subscript"/>
              </w:rPr>
              <w:t>2</w:t>
            </w:r>
          </w:p>
        </w:tc>
        <w:tc>
          <w:tcPr>
            <w:tcW w:w="851" w:type="dxa"/>
            <w:vAlign w:val="center"/>
          </w:tcPr>
          <w:p w14:paraId="5486A257">
            <w:pPr>
              <w:pStyle w:val="276"/>
              <w:rPr>
                <w:snapToGrid w:val="0"/>
                <w:color w:val="auto"/>
              </w:rPr>
            </w:pPr>
            <w:r>
              <w:rPr>
                <w:rFonts w:hint="eastAsia"/>
                <w:snapToGrid w:val="0"/>
                <w:color w:val="auto"/>
              </w:rPr>
              <w:t>噪声</w:t>
            </w:r>
          </w:p>
        </w:tc>
        <w:tc>
          <w:tcPr>
            <w:tcW w:w="1276" w:type="dxa"/>
            <w:vAlign w:val="center"/>
          </w:tcPr>
          <w:p w14:paraId="40D188FC">
            <w:pPr>
              <w:pStyle w:val="276"/>
              <w:rPr>
                <w:snapToGrid w:val="0"/>
                <w:color w:val="auto"/>
              </w:rPr>
            </w:pPr>
            <w:r>
              <w:rPr>
                <w:rFonts w:hint="eastAsia"/>
                <w:snapToGrid w:val="0"/>
                <w:color w:val="auto"/>
              </w:rPr>
              <w:t>/</w:t>
            </w:r>
          </w:p>
        </w:tc>
        <w:tc>
          <w:tcPr>
            <w:tcW w:w="1276" w:type="dxa"/>
            <w:vAlign w:val="center"/>
          </w:tcPr>
          <w:p w14:paraId="72F7759A">
            <w:pPr>
              <w:pStyle w:val="276"/>
              <w:rPr>
                <w:snapToGrid w:val="0"/>
                <w:color w:val="auto"/>
              </w:rPr>
            </w:pPr>
            <w:r>
              <w:rPr>
                <w:rFonts w:hint="eastAsia"/>
                <w:snapToGrid w:val="0"/>
                <w:color w:val="auto"/>
              </w:rPr>
              <w:t>/</w:t>
            </w:r>
          </w:p>
        </w:tc>
        <w:tc>
          <w:tcPr>
            <w:tcW w:w="1098" w:type="dxa"/>
            <w:vAlign w:val="center"/>
          </w:tcPr>
          <w:p w14:paraId="46976522">
            <w:pPr>
              <w:pStyle w:val="276"/>
              <w:rPr>
                <w:snapToGrid w:val="0"/>
                <w:color w:val="auto"/>
              </w:rPr>
            </w:pPr>
            <w:r>
              <w:rPr>
                <w:rFonts w:hint="eastAsia"/>
                <w:snapToGrid w:val="0"/>
                <w:color w:val="auto"/>
              </w:rPr>
              <w:t>景观</w:t>
            </w:r>
          </w:p>
        </w:tc>
      </w:tr>
      <w:tr w14:paraId="216B0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dxa"/>
            <w:vAlign w:val="center"/>
          </w:tcPr>
          <w:p w14:paraId="0EE05C45">
            <w:pPr>
              <w:pStyle w:val="276"/>
              <w:rPr>
                <w:snapToGrid w:val="0"/>
                <w:color w:val="auto"/>
              </w:rPr>
            </w:pPr>
            <w:r>
              <w:rPr>
                <w:rFonts w:hint="eastAsia"/>
                <w:snapToGrid w:val="0"/>
                <w:color w:val="auto"/>
              </w:rPr>
              <w:t>土石方工程</w:t>
            </w:r>
          </w:p>
        </w:tc>
        <w:tc>
          <w:tcPr>
            <w:tcW w:w="1560" w:type="dxa"/>
            <w:vAlign w:val="center"/>
          </w:tcPr>
          <w:p w14:paraId="10A2766E">
            <w:pPr>
              <w:pStyle w:val="276"/>
              <w:rPr>
                <w:color w:val="auto"/>
              </w:rPr>
            </w:pPr>
            <w:r>
              <w:rPr>
                <w:rFonts w:hint="eastAsia"/>
                <w:color w:val="auto"/>
              </w:rPr>
              <w:t>/</w:t>
            </w:r>
          </w:p>
        </w:tc>
        <w:tc>
          <w:tcPr>
            <w:tcW w:w="1558" w:type="dxa"/>
            <w:vAlign w:val="center"/>
          </w:tcPr>
          <w:p w14:paraId="17AF33A0">
            <w:pPr>
              <w:pStyle w:val="276"/>
              <w:rPr>
                <w:b/>
                <w:bCs/>
                <w:color w:val="auto"/>
              </w:rPr>
            </w:pPr>
            <w:r>
              <w:rPr>
                <w:rFonts w:hint="eastAsia"/>
                <w:snapToGrid w:val="0"/>
                <w:color w:val="auto"/>
              </w:rPr>
              <w:t>扬尘</w:t>
            </w:r>
          </w:p>
        </w:tc>
        <w:tc>
          <w:tcPr>
            <w:tcW w:w="851" w:type="dxa"/>
            <w:vAlign w:val="center"/>
          </w:tcPr>
          <w:p w14:paraId="1D5A211A">
            <w:pPr>
              <w:pStyle w:val="276"/>
              <w:rPr>
                <w:b/>
                <w:bCs/>
                <w:color w:val="auto"/>
              </w:rPr>
            </w:pPr>
            <w:r>
              <w:rPr>
                <w:rFonts w:hint="eastAsia"/>
                <w:snapToGrid w:val="0"/>
                <w:color w:val="auto"/>
              </w:rPr>
              <w:t>噪声</w:t>
            </w:r>
          </w:p>
        </w:tc>
        <w:tc>
          <w:tcPr>
            <w:tcW w:w="1276" w:type="dxa"/>
            <w:vAlign w:val="center"/>
          </w:tcPr>
          <w:p w14:paraId="38C6C0E7">
            <w:pPr>
              <w:pStyle w:val="276"/>
              <w:rPr>
                <w:b/>
                <w:bCs/>
                <w:color w:val="auto"/>
              </w:rPr>
            </w:pPr>
            <w:r>
              <w:rPr>
                <w:rFonts w:hint="eastAsia"/>
                <w:color w:val="auto"/>
              </w:rPr>
              <w:t>弃方</w:t>
            </w:r>
          </w:p>
        </w:tc>
        <w:tc>
          <w:tcPr>
            <w:tcW w:w="1276" w:type="dxa"/>
            <w:vAlign w:val="center"/>
          </w:tcPr>
          <w:p w14:paraId="31C2E689">
            <w:pPr>
              <w:pStyle w:val="276"/>
              <w:rPr>
                <w:snapToGrid w:val="0"/>
                <w:color w:val="auto"/>
              </w:rPr>
            </w:pPr>
            <w:r>
              <w:rPr>
                <w:rFonts w:hint="eastAsia"/>
                <w:snapToGrid w:val="0"/>
                <w:color w:val="auto"/>
              </w:rPr>
              <w:t>/</w:t>
            </w:r>
          </w:p>
        </w:tc>
        <w:tc>
          <w:tcPr>
            <w:tcW w:w="1098" w:type="dxa"/>
            <w:vAlign w:val="center"/>
          </w:tcPr>
          <w:p w14:paraId="2EB7D5BB">
            <w:pPr>
              <w:pStyle w:val="276"/>
              <w:rPr>
                <w:snapToGrid w:val="0"/>
                <w:color w:val="auto"/>
              </w:rPr>
            </w:pPr>
            <w:r>
              <w:rPr>
                <w:rFonts w:hint="eastAsia"/>
                <w:snapToGrid w:val="0"/>
                <w:color w:val="auto"/>
              </w:rPr>
              <w:t>/</w:t>
            </w:r>
          </w:p>
        </w:tc>
      </w:tr>
      <w:tr w14:paraId="31B50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dxa"/>
            <w:vAlign w:val="center"/>
          </w:tcPr>
          <w:p w14:paraId="25258497">
            <w:pPr>
              <w:pStyle w:val="276"/>
              <w:rPr>
                <w:snapToGrid w:val="0"/>
                <w:color w:val="auto"/>
              </w:rPr>
            </w:pPr>
            <w:r>
              <w:rPr>
                <w:rFonts w:hint="eastAsia"/>
                <w:snapToGrid w:val="0"/>
                <w:color w:val="auto"/>
              </w:rPr>
              <w:t>基建施工</w:t>
            </w:r>
          </w:p>
        </w:tc>
        <w:tc>
          <w:tcPr>
            <w:tcW w:w="1560" w:type="dxa"/>
            <w:vAlign w:val="center"/>
          </w:tcPr>
          <w:p w14:paraId="64C40AA5">
            <w:pPr>
              <w:pStyle w:val="276"/>
              <w:rPr>
                <w:snapToGrid w:val="0"/>
                <w:color w:val="auto"/>
              </w:rPr>
            </w:pPr>
            <w:r>
              <w:rPr>
                <w:rFonts w:hint="eastAsia"/>
                <w:snapToGrid w:val="0"/>
                <w:color w:val="auto"/>
              </w:rPr>
              <w:t>/</w:t>
            </w:r>
          </w:p>
        </w:tc>
        <w:tc>
          <w:tcPr>
            <w:tcW w:w="1558" w:type="dxa"/>
            <w:vAlign w:val="center"/>
          </w:tcPr>
          <w:p w14:paraId="4059E95C">
            <w:pPr>
              <w:pStyle w:val="276"/>
              <w:rPr>
                <w:snapToGrid w:val="0"/>
                <w:color w:val="auto"/>
              </w:rPr>
            </w:pPr>
            <w:r>
              <w:rPr>
                <w:rFonts w:hint="eastAsia"/>
                <w:snapToGrid w:val="0"/>
                <w:color w:val="auto"/>
              </w:rPr>
              <w:t>扬尘</w:t>
            </w:r>
          </w:p>
        </w:tc>
        <w:tc>
          <w:tcPr>
            <w:tcW w:w="851" w:type="dxa"/>
            <w:vAlign w:val="center"/>
          </w:tcPr>
          <w:p w14:paraId="6492B92D">
            <w:pPr>
              <w:pStyle w:val="276"/>
              <w:rPr>
                <w:b/>
                <w:bCs/>
                <w:color w:val="auto"/>
              </w:rPr>
            </w:pPr>
            <w:r>
              <w:rPr>
                <w:rFonts w:hint="eastAsia"/>
                <w:snapToGrid w:val="0"/>
                <w:color w:val="auto"/>
              </w:rPr>
              <w:t>噪声</w:t>
            </w:r>
          </w:p>
        </w:tc>
        <w:tc>
          <w:tcPr>
            <w:tcW w:w="1276" w:type="dxa"/>
            <w:vAlign w:val="center"/>
          </w:tcPr>
          <w:p w14:paraId="5FCD804E">
            <w:pPr>
              <w:pStyle w:val="276"/>
              <w:rPr>
                <w:snapToGrid w:val="0"/>
                <w:color w:val="auto"/>
              </w:rPr>
            </w:pPr>
            <w:r>
              <w:rPr>
                <w:rFonts w:hint="eastAsia"/>
                <w:snapToGrid w:val="0"/>
                <w:color w:val="auto"/>
              </w:rPr>
              <w:t>建筑垃圾</w:t>
            </w:r>
          </w:p>
        </w:tc>
        <w:tc>
          <w:tcPr>
            <w:tcW w:w="1276" w:type="dxa"/>
            <w:vAlign w:val="center"/>
          </w:tcPr>
          <w:p w14:paraId="327DB4B3">
            <w:pPr>
              <w:pStyle w:val="276"/>
              <w:rPr>
                <w:snapToGrid w:val="0"/>
                <w:color w:val="auto"/>
              </w:rPr>
            </w:pPr>
            <w:r>
              <w:rPr>
                <w:rFonts w:hint="eastAsia"/>
                <w:snapToGrid w:val="0"/>
                <w:color w:val="auto"/>
              </w:rPr>
              <w:t>/</w:t>
            </w:r>
          </w:p>
        </w:tc>
        <w:tc>
          <w:tcPr>
            <w:tcW w:w="1098" w:type="dxa"/>
            <w:vAlign w:val="center"/>
          </w:tcPr>
          <w:p w14:paraId="035BC621">
            <w:pPr>
              <w:pStyle w:val="276"/>
              <w:rPr>
                <w:snapToGrid w:val="0"/>
                <w:color w:val="auto"/>
              </w:rPr>
            </w:pPr>
            <w:r>
              <w:rPr>
                <w:rFonts w:hint="eastAsia"/>
                <w:snapToGrid w:val="0"/>
                <w:color w:val="auto"/>
              </w:rPr>
              <w:t>景观</w:t>
            </w:r>
          </w:p>
        </w:tc>
      </w:tr>
      <w:tr w14:paraId="07E39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dxa"/>
            <w:vAlign w:val="center"/>
          </w:tcPr>
          <w:p w14:paraId="1424F254">
            <w:pPr>
              <w:pStyle w:val="276"/>
              <w:rPr>
                <w:snapToGrid w:val="0"/>
                <w:color w:val="auto"/>
              </w:rPr>
            </w:pPr>
            <w:r>
              <w:rPr>
                <w:rFonts w:hint="eastAsia"/>
                <w:snapToGrid w:val="0"/>
                <w:color w:val="auto"/>
              </w:rPr>
              <w:t>施工人员生活</w:t>
            </w:r>
          </w:p>
        </w:tc>
        <w:tc>
          <w:tcPr>
            <w:tcW w:w="1560" w:type="dxa"/>
            <w:vAlign w:val="center"/>
          </w:tcPr>
          <w:p w14:paraId="2DDD983F">
            <w:pPr>
              <w:pStyle w:val="276"/>
              <w:rPr>
                <w:b/>
                <w:bCs/>
                <w:color w:val="auto"/>
              </w:rPr>
            </w:pPr>
            <w:r>
              <w:rPr>
                <w:rFonts w:hint="eastAsia"/>
                <w:snapToGrid w:val="0"/>
                <w:color w:val="auto"/>
              </w:rPr>
              <w:t>COD、NH</w:t>
            </w:r>
            <w:r>
              <w:rPr>
                <w:rFonts w:hint="eastAsia"/>
                <w:snapToGrid w:val="0"/>
                <w:color w:val="auto"/>
                <w:vertAlign w:val="subscript"/>
              </w:rPr>
              <w:t>3</w:t>
            </w:r>
            <w:r>
              <w:rPr>
                <w:rFonts w:hint="eastAsia"/>
                <w:snapToGrid w:val="0"/>
                <w:color w:val="auto"/>
              </w:rPr>
              <w:t>-N、SS、BOD</w:t>
            </w:r>
            <w:r>
              <w:rPr>
                <w:rFonts w:hint="eastAsia"/>
                <w:snapToGrid w:val="0"/>
                <w:color w:val="auto"/>
                <w:vertAlign w:val="subscript"/>
              </w:rPr>
              <w:t>5</w:t>
            </w:r>
          </w:p>
        </w:tc>
        <w:tc>
          <w:tcPr>
            <w:tcW w:w="1558" w:type="dxa"/>
            <w:vAlign w:val="center"/>
          </w:tcPr>
          <w:p w14:paraId="44061743">
            <w:pPr>
              <w:pStyle w:val="276"/>
              <w:rPr>
                <w:color w:val="auto"/>
              </w:rPr>
            </w:pPr>
            <w:r>
              <w:rPr>
                <w:rFonts w:hint="eastAsia"/>
                <w:color w:val="auto"/>
              </w:rPr>
              <w:t>/</w:t>
            </w:r>
          </w:p>
        </w:tc>
        <w:tc>
          <w:tcPr>
            <w:tcW w:w="851" w:type="dxa"/>
            <w:vAlign w:val="center"/>
          </w:tcPr>
          <w:p w14:paraId="5999E267">
            <w:pPr>
              <w:pStyle w:val="276"/>
              <w:rPr>
                <w:color w:val="auto"/>
              </w:rPr>
            </w:pPr>
            <w:r>
              <w:rPr>
                <w:rFonts w:hint="eastAsia"/>
                <w:snapToGrid w:val="0"/>
                <w:color w:val="auto"/>
              </w:rPr>
              <w:t>/</w:t>
            </w:r>
          </w:p>
        </w:tc>
        <w:tc>
          <w:tcPr>
            <w:tcW w:w="1276" w:type="dxa"/>
            <w:vAlign w:val="center"/>
          </w:tcPr>
          <w:p w14:paraId="53E7D1D5">
            <w:pPr>
              <w:pStyle w:val="276"/>
              <w:rPr>
                <w:snapToGrid w:val="0"/>
                <w:color w:val="auto"/>
              </w:rPr>
            </w:pPr>
            <w:r>
              <w:rPr>
                <w:rFonts w:hint="eastAsia"/>
                <w:snapToGrid w:val="0"/>
                <w:color w:val="auto"/>
              </w:rPr>
              <w:t>生活垃圾</w:t>
            </w:r>
          </w:p>
        </w:tc>
        <w:tc>
          <w:tcPr>
            <w:tcW w:w="1276" w:type="dxa"/>
            <w:vAlign w:val="center"/>
          </w:tcPr>
          <w:p w14:paraId="6870AD6C">
            <w:pPr>
              <w:pStyle w:val="276"/>
              <w:rPr>
                <w:snapToGrid w:val="0"/>
                <w:color w:val="auto"/>
              </w:rPr>
            </w:pPr>
            <w:r>
              <w:rPr>
                <w:rFonts w:hint="eastAsia"/>
                <w:snapToGrid w:val="0"/>
                <w:color w:val="auto"/>
              </w:rPr>
              <w:t>/</w:t>
            </w:r>
          </w:p>
        </w:tc>
        <w:tc>
          <w:tcPr>
            <w:tcW w:w="1098" w:type="dxa"/>
            <w:vAlign w:val="center"/>
          </w:tcPr>
          <w:p w14:paraId="2BBEAE4A">
            <w:pPr>
              <w:pStyle w:val="276"/>
              <w:rPr>
                <w:snapToGrid w:val="0"/>
                <w:color w:val="auto"/>
              </w:rPr>
            </w:pPr>
            <w:r>
              <w:rPr>
                <w:rFonts w:hint="eastAsia"/>
                <w:snapToGrid w:val="0"/>
                <w:color w:val="auto"/>
              </w:rPr>
              <w:t>/</w:t>
            </w:r>
          </w:p>
        </w:tc>
      </w:tr>
    </w:tbl>
    <w:p w14:paraId="39AE0624">
      <w:pPr>
        <w:pStyle w:val="674"/>
        <w:rPr>
          <w:color w:val="auto"/>
        </w:rPr>
      </w:pPr>
      <w:bookmarkStart w:id="75" w:name="_Ref499623941"/>
    </w:p>
    <w:p w14:paraId="14EFA180">
      <w:pPr>
        <w:pStyle w:val="674"/>
        <w:rPr>
          <w:color w:val="auto"/>
        </w:rPr>
      </w:pPr>
      <w:r>
        <w:rPr>
          <w:color w:val="auto"/>
        </w:rPr>
        <w:t>表</w:t>
      </w:r>
      <w:bookmarkEnd w:id="75"/>
      <w:r>
        <w:rPr>
          <w:rFonts w:hint="eastAsia"/>
          <w:color w:val="auto"/>
          <w:lang w:eastAsia="zh-CN"/>
        </w:rPr>
        <w:t>2.5</w:t>
      </w:r>
      <w:r>
        <w:rPr>
          <w:color w:val="auto"/>
        </w:rPr>
        <w:t>-2   营运期环境影响因子识别表</w:t>
      </w:r>
    </w:p>
    <w:tbl>
      <w:tblPr>
        <w:tblStyle w:val="88"/>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2470"/>
        <w:gridCol w:w="1299"/>
        <w:gridCol w:w="680"/>
        <w:gridCol w:w="2008"/>
        <w:gridCol w:w="1294"/>
        <w:gridCol w:w="855"/>
      </w:tblGrid>
      <w:tr w14:paraId="0DEDB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80" w:type="dxa"/>
            <w:vMerge w:val="restart"/>
            <w:vAlign w:val="center"/>
          </w:tcPr>
          <w:p w14:paraId="655314D9">
            <w:pPr>
              <w:pStyle w:val="276"/>
              <w:rPr>
                <w:snapToGrid w:val="0"/>
                <w:color w:val="auto"/>
              </w:rPr>
            </w:pPr>
            <w:r>
              <w:rPr>
                <w:rFonts w:hint="eastAsia"/>
                <w:snapToGrid w:val="0"/>
                <w:color w:val="auto"/>
              </w:rPr>
              <w:t>主要</w:t>
            </w:r>
          </w:p>
          <w:p w14:paraId="7B9FBFC0">
            <w:pPr>
              <w:pStyle w:val="276"/>
              <w:rPr>
                <w:snapToGrid w:val="0"/>
                <w:color w:val="auto"/>
              </w:rPr>
            </w:pPr>
            <w:r>
              <w:rPr>
                <w:rFonts w:hint="eastAsia"/>
                <w:snapToGrid w:val="0"/>
                <w:color w:val="auto"/>
              </w:rPr>
              <w:t>污染源</w:t>
            </w:r>
          </w:p>
        </w:tc>
        <w:tc>
          <w:tcPr>
            <w:tcW w:w="8606" w:type="dxa"/>
            <w:gridSpan w:val="6"/>
            <w:vAlign w:val="center"/>
          </w:tcPr>
          <w:p w14:paraId="74FB1586">
            <w:pPr>
              <w:pStyle w:val="276"/>
              <w:rPr>
                <w:snapToGrid w:val="0"/>
                <w:color w:val="auto"/>
              </w:rPr>
            </w:pPr>
            <w:r>
              <w:rPr>
                <w:rFonts w:hint="eastAsia"/>
                <w:snapToGrid w:val="0"/>
                <w:color w:val="auto"/>
              </w:rPr>
              <w:t>主要环境影响因子</w:t>
            </w:r>
          </w:p>
        </w:tc>
      </w:tr>
      <w:tr w14:paraId="585FF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80" w:type="dxa"/>
            <w:vMerge w:val="continue"/>
            <w:vAlign w:val="center"/>
          </w:tcPr>
          <w:p w14:paraId="5356B605">
            <w:pPr>
              <w:pStyle w:val="276"/>
              <w:rPr>
                <w:snapToGrid w:val="0"/>
                <w:color w:val="auto"/>
              </w:rPr>
            </w:pPr>
          </w:p>
        </w:tc>
        <w:tc>
          <w:tcPr>
            <w:tcW w:w="2470" w:type="dxa"/>
            <w:vAlign w:val="center"/>
          </w:tcPr>
          <w:p w14:paraId="2D3F7410">
            <w:pPr>
              <w:pStyle w:val="276"/>
              <w:rPr>
                <w:snapToGrid w:val="0"/>
                <w:color w:val="auto"/>
              </w:rPr>
            </w:pPr>
            <w:r>
              <w:rPr>
                <w:rFonts w:hint="eastAsia"/>
                <w:snapToGrid w:val="0"/>
                <w:color w:val="auto"/>
              </w:rPr>
              <w:t>地表水</w:t>
            </w:r>
          </w:p>
        </w:tc>
        <w:tc>
          <w:tcPr>
            <w:tcW w:w="1299" w:type="dxa"/>
            <w:vAlign w:val="center"/>
          </w:tcPr>
          <w:p w14:paraId="29548BDE">
            <w:pPr>
              <w:pStyle w:val="276"/>
              <w:rPr>
                <w:snapToGrid w:val="0"/>
                <w:color w:val="auto"/>
              </w:rPr>
            </w:pPr>
            <w:r>
              <w:rPr>
                <w:rFonts w:hint="eastAsia"/>
                <w:snapToGrid w:val="0"/>
                <w:color w:val="auto"/>
              </w:rPr>
              <w:t>环境空气</w:t>
            </w:r>
          </w:p>
        </w:tc>
        <w:tc>
          <w:tcPr>
            <w:tcW w:w="680" w:type="dxa"/>
            <w:vAlign w:val="center"/>
          </w:tcPr>
          <w:p w14:paraId="62B4A93B">
            <w:pPr>
              <w:pStyle w:val="276"/>
              <w:rPr>
                <w:snapToGrid w:val="0"/>
                <w:color w:val="auto"/>
              </w:rPr>
            </w:pPr>
            <w:r>
              <w:rPr>
                <w:rFonts w:hint="eastAsia"/>
                <w:snapToGrid w:val="0"/>
                <w:color w:val="auto"/>
              </w:rPr>
              <w:t>声环境</w:t>
            </w:r>
          </w:p>
        </w:tc>
        <w:tc>
          <w:tcPr>
            <w:tcW w:w="2008" w:type="dxa"/>
            <w:vAlign w:val="center"/>
          </w:tcPr>
          <w:p w14:paraId="4C636DE0">
            <w:pPr>
              <w:pStyle w:val="276"/>
              <w:rPr>
                <w:snapToGrid w:val="0"/>
                <w:color w:val="auto"/>
              </w:rPr>
            </w:pPr>
            <w:r>
              <w:rPr>
                <w:rFonts w:hint="eastAsia"/>
                <w:snapToGrid w:val="0"/>
                <w:color w:val="auto"/>
              </w:rPr>
              <w:t>固体废物</w:t>
            </w:r>
          </w:p>
        </w:tc>
        <w:tc>
          <w:tcPr>
            <w:tcW w:w="1294" w:type="dxa"/>
            <w:vAlign w:val="center"/>
          </w:tcPr>
          <w:p w14:paraId="2DD17B6E">
            <w:pPr>
              <w:pStyle w:val="276"/>
              <w:rPr>
                <w:snapToGrid w:val="0"/>
                <w:color w:val="auto"/>
              </w:rPr>
            </w:pPr>
            <w:r>
              <w:rPr>
                <w:rFonts w:hint="eastAsia"/>
                <w:snapToGrid w:val="0"/>
                <w:color w:val="auto"/>
              </w:rPr>
              <w:t>地下水（非正常状况）</w:t>
            </w:r>
          </w:p>
        </w:tc>
        <w:tc>
          <w:tcPr>
            <w:tcW w:w="855" w:type="dxa"/>
            <w:vAlign w:val="center"/>
          </w:tcPr>
          <w:p w14:paraId="105F3286">
            <w:pPr>
              <w:pStyle w:val="276"/>
              <w:rPr>
                <w:snapToGrid w:val="0"/>
                <w:color w:val="auto"/>
              </w:rPr>
            </w:pPr>
            <w:r>
              <w:rPr>
                <w:rFonts w:hint="eastAsia"/>
                <w:snapToGrid w:val="0"/>
                <w:color w:val="auto"/>
              </w:rPr>
              <w:t>生态环境</w:t>
            </w:r>
          </w:p>
        </w:tc>
      </w:tr>
      <w:tr w14:paraId="4E4FB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vAlign w:val="center"/>
          </w:tcPr>
          <w:p w14:paraId="6C3B0FC6">
            <w:pPr>
              <w:pStyle w:val="276"/>
              <w:rPr>
                <w:snapToGrid w:val="0"/>
                <w:color w:val="auto"/>
              </w:rPr>
            </w:pPr>
            <w:r>
              <w:rPr>
                <w:rFonts w:hint="eastAsia"/>
                <w:snapToGrid w:val="0"/>
                <w:color w:val="auto"/>
              </w:rPr>
              <w:t>污水处理</w:t>
            </w:r>
          </w:p>
        </w:tc>
        <w:tc>
          <w:tcPr>
            <w:tcW w:w="2470" w:type="dxa"/>
            <w:vAlign w:val="center"/>
          </w:tcPr>
          <w:p w14:paraId="2FE8F404">
            <w:pPr>
              <w:pStyle w:val="276"/>
              <w:rPr>
                <w:b/>
                <w:bCs/>
                <w:color w:val="auto"/>
              </w:rPr>
            </w:pPr>
            <w:r>
              <w:rPr>
                <w:rFonts w:hint="eastAsia"/>
                <w:color w:val="auto"/>
              </w:rPr>
              <w:t>pH、COD</w:t>
            </w:r>
            <w:r>
              <w:rPr>
                <w:rFonts w:hint="eastAsia" w:hAnsi="宋体"/>
                <w:color w:val="auto"/>
              </w:rPr>
              <w:t>、</w:t>
            </w:r>
            <w:r>
              <w:rPr>
                <w:rFonts w:hint="eastAsia"/>
                <w:color w:val="auto"/>
              </w:rPr>
              <w:t>NH</w:t>
            </w:r>
            <w:r>
              <w:rPr>
                <w:rFonts w:hint="eastAsia"/>
                <w:color w:val="auto"/>
                <w:vertAlign w:val="subscript"/>
              </w:rPr>
              <w:t>3</w:t>
            </w:r>
            <w:r>
              <w:rPr>
                <w:rFonts w:hint="eastAsia"/>
                <w:color w:val="auto"/>
              </w:rPr>
              <w:t>-N、TP、TN、</w:t>
            </w:r>
            <w:r>
              <w:rPr>
                <w:rFonts w:hint="eastAsia" w:hAnsi="宋体"/>
                <w:color w:val="auto"/>
              </w:rPr>
              <w:t>BOD</w:t>
            </w:r>
            <w:r>
              <w:rPr>
                <w:rFonts w:hint="eastAsia" w:hAnsi="宋体"/>
                <w:color w:val="auto"/>
                <w:vertAlign w:val="subscript"/>
              </w:rPr>
              <w:t>5</w:t>
            </w:r>
            <w:r>
              <w:rPr>
                <w:rFonts w:hint="eastAsia" w:hAnsi="宋体"/>
                <w:color w:val="auto"/>
              </w:rPr>
              <w:t>、石油类、SS、色度</w:t>
            </w:r>
            <w:r>
              <w:rPr>
                <w:rFonts w:hint="eastAsia"/>
                <w:snapToGrid w:val="0"/>
                <w:color w:val="auto"/>
              </w:rPr>
              <w:t>、总有机碳（TOC）、硫化物、氟化物、氯化物（以Cl计）、溶解性总固体（TDS）、阴离子表面活性剂（LAS）、挥发酚、硼、可溶性钡、总α放射性、总β放射性</w:t>
            </w:r>
          </w:p>
        </w:tc>
        <w:tc>
          <w:tcPr>
            <w:tcW w:w="1299" w:type="dxa"/>
            <w:vAlign w:val="center"/>
          </w:tcPr>
          <w:p w14:paraId="2CBF8D41">
            <w:pPr>
              <w:pStyle w:val="276"/>
              <w:rPr>
                <w:snapToGrid w:val="0"/>
                <w:color w:val="auto"/>
                <w:lang w:val="en-US"/>
              </w:rPr>
            </w:pPr>
            <w:r>
              <w:rPr>
                <w:rFonts w:hint="eastAsia"/>
                <w:snapToGrid w:val="0"/>
                <w:color w:val="auto"/>
              </w:rPr>
              <w:t>H</w:t>
            </w:r>
            <w:r>
              <w:rPr>
                <w:rFonts w:hint="eastAsia"/>
                <w:snapToGrid w:val="0"/>
                <w:color w:val="auto"/>
                <w:vertAlign w:val="subscript"/>
              </w:rPr>
              <w:t>2</w:t>
            </w:r>
            <w:r>
              <w:rPr>
                <w:rFonts w:hint="eastAsia"/>
                <w:snapToGrid w:val="0"/>
                <w:color w:val="auto"/>
              </w:rPr>
              <w:t>S、NH</w:t>
            </w:r>
            <w:r>
              <w:rPr>
                <w:rFonts w:hint="eastAsia"/>
                <w:snapToGrid w:val="0"/>
                <w:color w:val="auto"/>
                <w:vertAlign w:val="subscript"/>
              </w:rPr>
              <w:t>3</w:t>
            </w:r>
            <w:r>
              <w:rPr>
                <w:rFonts w:hint="eastAsia"/>
                <w:snapToGrid w:val="0"/>
                <w:color w:val="auto"/>
              </w:rPr>
              <w:t>、臭气浓度、</w:t>
            </w:r>
            <w:r>
              <w:rPr>
                <w:rFonts w:hint="eastAsia"/>
                <w:snapToGrid w:val="0"/>
                <w:color w:val="auto"/>
                <w:lang w:val="en-US"/>
              </w:rPr>
              <w:t>非甲烷总烃</w:t>
            </w:r>
          </w:p>
        </w:tc>
        <w:tc>
          <w:tcPr>
            <w:tcW w:w="680" w:type="dxa"/>
            <w:vAlign w:val="center"/>
          </w:tcPr>
          <w:p w14:paraId="112E53F6">
            <w:pPr>
              <w:pStyle w:val="276"/>
              <w:rPr>
                <w:b/>
                <w:bCs/>
                <w:color w:val="auto"/>
              </w:rPr>
            </w:pPr>
            <w:r>
              <w:rPr>
                <w:rFonts w:hint="eastAsia"/>
                <w:snapToGrid w:val="0"/>
                <w:color w:val="auto"/>
              </w:rPr>
              <w:t>噪声</w:t>
            </w:r>
          </w:p>
        </w:tc>
        <w:tc>
          <w:tcPr>
            <w:tcW w:w="2008" w:type="dxa"/>
            <w:vAlign w:val="center"/>
          </w:tcPr>
          <w:p w14:paraId="34211CEC">
            <w:pPr>
              <w:pStyle w:val="276"/>
              <w:rPr>
                <w:snapToGrid w:val="0"/>
                <w:color w:val="auto"/>
              </w:rPr>
            </w:pPr>
            <w:r>
              <w:rPr>
                <w:rFonts w:hint="eastAsia"/>
                <w:snapToGrid w:val="0"/>
                <w:color w:val="auto"/>
              </w:rPr>
              <w:t>废包装材料、废活性炭、实验室废物、废油类、废油桶及含油废物</w:t>
            </w:r>
            <w:r>
              <w:rPr>
                <w:rFonts w:hint="eastAsia"/>
                <w:snapToGrid w:val="0"/>
                <w:color w:val="auto"/>
                <w:lang w:eastAsia="zh-CN"/>
              </w:rPr>
              <w:t>、</w:t>
            </w:r>
            <w:r>
              <w:rPr>
                <w:rFonts w:hint="eastAsia"/>
                <w:snapToGrid w:val="0"/>
                <w:color w:val="auto"/>
              </w:rPr>
              <w:t>废膜、污泥、蒸发结晶盐</w:t>
            </w:r>
          </w:p>
        </w:tc>
        <w:tc>
          <w:tcPr>
            <w:tcW w:w="1294" w:type="dxa"/>
            <w:vAlign w:val="center"/>
          </w:tcPr>
          <w:p w14:paraId="040E07C7">
            <w:pPr>
              <w:pStyle w:val="276"/>
              <w:rPr>
                <w:snapToGrid w:val="0"/>
                <w:color w:val="auto"/>
              </w:rPr>
            </w:pPr>
            <w:r>
              <w:rPr>
                <w:rFonts w:hint="eastAsia"/>
                <w:color w:val="auto"/>
              </w:rPr>
              <w:t>COD、</w:t>
            </w:r>
            <w:r>
              <w:rPr>
                <w:rFonts w:hint="eastAsia"/>
                <w:color w:val="auto"/>
                <w:lang w:val="en-US" w:eastAsia="zh-CN"/>
              </w:rPr>
              <w:t>氯化物</w:t>
            </w:r>
            <w:r>
              <w:rPr>
                <w:rFonts w:hint="eastAsia"/>
                <w:color w:val="auto"/>
                <w:lang w:eastAsia="zh-CN"/>
              </w:rPr>
              <w:t>、</w:t>
            </w:r>
            <w:r>
              <w:rPr>
                <w:rFonts w:hint="eastAsia"/>
                <w:color w:val="auto"/>
              </w:rPr>
              <w:t>石油类</w:t>
            </w:r>
          </w:p>
        </w:tc>
        <w:tc>
          <w:tcPr>
            <w:tcW w:w="855" w:type="dxa"/>
            <w:vAlign w:val="center"/>
          </w:tcPr>
          <w:p w14:paraId="02C7E5DB">
            <w:pPr>
              <w:pStyle w:val="276"/>
              <w:rPr>
                <w:snapToGrid w:val="0"/>
                <w:color w:val="auto"/>
              </w:rPr>
            </w:pPr>
            <w:r>
              <w:rPr>
                <w:rFonts w:hint="eastAsia"/>
                <w:snapToGrid w:val="0"/>
                <w:color w:val="auto"/>
              </w:rPr>
              <w:t>/</w:t>
            </w:r>
          </w:p>
        </w:tc>
      </w:tr>
      <w:tr w14:paraId="16BE0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vAlign w:val="center"/>
          </w:tcPr>
          <w:p w14:paraId="169605FF">
            <w:pPr>
              <w:pStyle w:val="276"/>
              <w:rPr>
                <w:snapToGrid w:val="0"/>
                <w:color w:val="auto"/>
              </w:rPr>
            </w:pPr>
            <w:r>
              <w:rPr>
                <w:rFonts w:hint="eastAsia"/>
                <w:snapToGrid w:val="0"/>
                <w:color w:val="auto"/>
              </w:rPr>
              <w:t>员工生活</w:t>
            </w:r>
          </w:p>
        </w:tc>
        <w:tc>
          <w:tcPr>
            <w:tcW w:w="2470" w:type="dxa"/>
            <w:vAlign w:val="center"/>
          </w:tcPr>
          <w:p w14:paraId="0B0EDBA3">
            <w:pPr>
              <w:pStyle w:val="276"/>
              <w:rPr>
                <w:rFonts w:hint="eastAsia" w:eastAsia="宋体"/>
                <w:snapToGrid w:val="0"/>
                <w:color w:val="auto"/>
                <w:lang w:eastAsia="zh-CN"/>
              </w:rPr>
            </w:pPr>
            <w:r>
              <w:rPr>
                <w:rFonts w:hint="eastAsia"/>
                <w:snapToGrid w:val="0"/>
                <w:color w:val="auto"/>
              </w:rPr>
              <w:t>COD、NH</w:t>
            </w:r>
            <w:r>
              <w:rPr>
                <w:rFonts w:hint="eastAsia"/>
                <w:snapToGrid w:val="0"/>
                <w:color w:val="auto"/>
                <w:vertAlign w:val="subscript"/>
              </w:rPr>
              <w:t>3</w:t>
            </w:r>
            <w:r>
              <w:rPr>
                <w:rFonts w:hint="eastAsia"/>
                <w:snapToGrid w:val="0"/>
                <w:color w:val="auto"/>
              </w:rPr>
              <w:t>-N、BOD</w:t>
            </w:r>
            <w:r>
              <w:rPr>
                <w:rFonts w:hint="eastAsia"/>
                <w:snapToGrid w:val="0"/>
                <w:color w:val="auto"/>
                <w:vertAlign w:val="subscript"/>
              </w:rPr>
              <w:t>5</w:t>
            </w:r>
            <w:r>
              <w:rPr>
                <w:rFonts w:hint="eastAsia"/>
                <w:snapToGrid w:val="0"/>
                <w:color w:val="auto"/>
              </w:rPr>
              <w:t>、SS</w:t>
            </w:r>
            <w:r>
              <w:rPr>
                <w:rFonts w:hint="eastAsia"/>
                <w:snapToGrid w:val="0"/>
                <w:color w:val="auto"/>
                <w:lang w:eastAsia="zh-CN"/>
              </w:rPr>
              <w:t>、总磷和总氮</w:t>
            </w:r>
          </w:p>
        </w:tc>
        <w:tc>
          <w:tcPr>
            <w:tcW w:w="1299" w:type="dxa"/>
            <w:vAlign w:val="center"/>
          </w:tcPr>
          <w:p w14:paraId="2245D198">
            <w:pPr>
              <w:pStyle w:val="276"/>
              <w:rPr>
                <w:snapToGrid w:val="0"/>
                <w:color w:val="auto"/>
              </w:rPr>
            </w:pPr>
            <w:r>
              <w:rPr>
                <w:rFonts w:hint="eastAsia"/>
                <w:snapToGrid w:val="0"/>
                <w:color w:val="auto"/>
              </w:rPr>
              <w:t>/</w:t>
            </w:r>
          </w:p>
        </w:tc>
        <w:tc>
          <w:tcPr>
            <w:tcW w:w="680" w:type="dxa"/>
            <w:vAlign w:val="center"/>
          </w:tcPr>
          <w:p w14:paraId="1A37AB61">
            <w:pPr>
              <w:pStyle w:val="276"/>
              <w:rPr>
                <w:snapToGrid w:val="0"/>
                <w:color w:val="auto"/>
              </w:rPr>
            </w:pPr>
            <w:r>
              <w:rPr>
                <w:rFonts w:hint="eastAsia"/>
                <w:snapToGrid w:val="0"/>
                <w:color w:val="auto"/>
              </w:rPr>
              <w:t>/</w:t>
            </w:r>
          </w:p>
        </w:tc>
        <w:tc>
          <w:tcPr>
            <w:tcW w:w="2008" w:type="dxa"/>
            <w:vAlign w:val="center"/>
          </w:tcPr>
          <w:p w14:paraId="6DC8411E">
            <w:pPr>
              <w:pStyle w:val="276"/>
              <w:rPr>
                <w:snapToGrid w:val="0"/>
                <w:color w:val="auto"/>
              </w:rPr>
            </w:pPr>
            <w:r>
              <w:rPr>
                <w:rFonts w:hint="eastAsia"/>
                <w:snapToGrid w:val="0"/>
                <w:color w:val="auto"/>
              </w:rPr>
              <w:t>生活垃圾</w:t>
            </w:r>
          </w:p>
        </w:tc>
        <w:tc>
          <w:tcPr>
            <w:tcW w:w="1294" w:type="dxa"/>
            <w:vAlign w:val="center"/>
          </w:tcPr>
          <w:p w14:paraId="302F9586">
            <w:pPr>
              <w:pStyle w:val="276"/>
              <w:rPr>
                <w:snapToGrid w:val="0"/>
                <w:color w:val="auto"/>
              </w:rPr>
            </w:pPr>
            <w:r>
              <w:rPr>
                <w:rFonts w:hint="eastAsia"/>
                <w:snapToGrid w:val="0"/>
                <w:color w:val="auto"/>
              </w:rPr>
              <w:t>/</w:t>
            </w:r>
          </w:p>
        </w:tc>
        <w:tc>
          <w:tcPr>
            <w:tcW w:w="855" w:type="dxa"/>
            <w:vAlign w:val="center"/>
          </w:tcPr>
          <w:p w14:paraId="1B4F6EF4">
            <w:pPr>
              <w:pStyle w:val="276"/>
              <w:rPr>
                <w:snapToGrid w:val="0"/>
                <w:color w:val="auto"/>
              </w:rPr>
            </w:pPr>
            <w:r>
              <w:rPr>
                <w:rFonts w:hint="eastAsia"/>
                <w:snapToGrid w:val="0"/>
                <w:color w:val="auto"/>
              </w:rPr>
              <w:t>/</w:t>
            </w:r>
          </w:p>
        </w:tc>
      </w:tr>
    </w:tbl>
    <w:p w14:paraId="32B47A4D">
      <w:pPr>
        <w:widowControl w:val="0"/>
        <w:numPr>
          <w:ilvl w:val="0"/>
          <w:numId w:val="0"/>
        </w:numPr>
        <w:adjustRightInd w:val="0"/>
        <w:snapToGrid w:val="0"/>
        <w:spacing w:line="360" w:lineRule="auto"/>
        <w:jc w:val="both"/>
        <w:rPr>
          <w:color w:val="auto"/>
          <w:szCs w:val="22"/>
        </w:rPr>
      </w:pPr>
    </w:p>
    <w:p w14:paraId="73A34ACE">
      <w:pPr>
        <w:pStyle w:val="5"/>
        <w:numPr>
          <w:ilvl w:val="0"/>
          <w:numId w:val="0"/>
        </w:numPr>
        <w:spacing w:line="360" w:lineRule="auto"/>
        <w:rPr>
          <w:color w:val="auto"/>
        </w:rPr>
      </w:pPr>
      <w:r>
        <w:rPr>
          <w:rFonts w:hint="eastAsia"/>
          <w:color w:val="auto"/>
          <w:lang w:eastAsia="zh-CN"/>
        </w:rPr>
        <w:t>2.5</w:t>
      </w:r>
      <w:r>
        <w:rPr>
          <w:color w:val="auto"/>
        </w:rPr>
        <w:t>.2</w:t>
      </w:r>
      <w:r>
        <w:rPr>
          <w:rFonts w:hint="eastAsia"/>
          <w:color w:val="auto"/>
        </w:rPr>
        <w:t>评价因子确定</w:t>
      </w:r>
    </w:p>
    <w:p w14:paraId="6B5E578B">
      <w:pPr>
        <w:spacing w:line="360" w:lineRule="auto"/>
        <w:ind w:firstLine="480"/>
        <w:rPr>
          <w:color w:val="auto"/>
          <w:szCs w:val="22"/>
        </w:rPr>
      </w:pPr>
      <w:r>
        <w:rPr>
          <w:color w:val="auto"/>
          <w:szCs w:val="22"/>
        </w:rPr>
        <w:t>（1）现状评价因子</w:t>
      </w:r>
    </w:p>
    <w:p w14:paraId="2AD82108">
      <w:pPr>
        <w:spacing w:line="360" w:lineRule="auto"/>
        <w:ind w:firstLine="480"/>
        <w:jc w:val="left"/>
        <w:rPr>
          <w:color w:val="auto"/>
          <w:szCs w:val="22"/>
        </w:rPr>
      </w:pPr>
      <w:r>
        <w:rPr>
          <w:color w:val="auto"/>
          <w:szCs w:val="22"/>
        </w:rPr>
        <w:t>环境空气：SO</w:t>
      </w:r>
      <w:r>
        <w:rPr>
          <w:color w:val="auto"/>
          <w:szCs w:val="22"/>
          <w:vertAlign w:val="subscript"/>
        </w:rPr>
        <w:t>2</w:t>
      </w:r>
      <w:r>
        <w:rPr>
          <w:color w:val="auto"/>
          <w:szCs w:val="22"/>
        </w:rPr>
        <w:t>、NO</w:t>
      </w:r>
      <w:r>
        <w:rPr>
          <w:color w:val="auto"/>
          <w:szCs w:val="22"/>
          <w:vertAlign w:val="subscript"/>
        </w:rPr>
        <w:t>2</w:t>
      </w:r>
      <w:r>
        <w:rPr>
          <w:color w:val="auto"/>
          <w:szCs w:val="22"/>
        </w:rPr>
        <w:t>、PM</w:t>
      </w:r>
      <w:r>
        <w:rPr>
          <w:color w:val="auto"/>
          <w:szCs w:val="22"/>
          <w:vertAlign w:val="subscript"/>
        </w:rPr>
        <w:t>10</w:t>
      </w:r>
      <w:r>
        <w:rPr>
          <w:color w:val="auto"/>
          <w:szCs w:val="22"/>
        </w:rPr>
        <w:t>、PM</w:t>
      </w:r>
      <w:r>
        <w:rPr>
          <w:color w:val="auto"/>
          <w:szCs w:val="22"/>
          <w:vertAlign w:val="subscript"/>
        </w:rPr>
        <w:t>2.5</w:t>
      </w:r>
      <w:r>
        <w:rPr>
          <w:color w:val="auto"/>
          <w:szCs w:val="22"/>
        </w:rPr>
        <w:t>、</w:t>
      </w:r>
      <w:r>
        <w:rPr>
          <w:rFonts w:hint="eastAsia"/>
          <w:color w:val="auto"/>
          <w:szCs w:val="22"/>
        </w:rPr>
        <w:t>O</w:t>
      </w:r>
      <w:r>
        <w:rPr>
          <w:color w:val="auto"/>
          <w:szCs w:val="22"/>
          <w:vertAlign w:val="subscript"/>
        </w:rPr>
        <w:t>3</w:t>
      </w:r>
      <w:r>
        <w:rPr>
          <w:rFonts w:hint="eastAsia"/>
          <w:color w:val="auto"/>
          <w:szCs w:val="22"/>
        </w:rPr>
        <w:t>、C</w:t>
      </w:r>
      <w:r>
        <w:rPr>
          <w:color w:val="auto"/>
          <w:szCs w:val="22"/>
        </w:rPr>
        <w:t>O</w:t>
      </w:r>
      <w:r>
        <w:rPr>
          <w:rFonts w:hint="eastAsia"/>
          <w:color w:val="auto"/>
          <w:szCs w:val="22"/>
        </w:rPr>
        <w:t>、</w:t>
      </w:r>
      <w:r>
        <w:rPr>
          <w:color w:val="auto"/>
          <w:szCs w:val="22"/>
        </w:rPr>
        <w:t>NH</w:t>
      </w:r>
      <w:r>
        <w:rPr>
          <w:color w:val="auto"/>
          <w:szCs w:val="22"/>
          <w:vertAlign w:val="subscript"/>
        </w:rPr>
        <w:t>3</w:t>
      </w:r>
      <w:r>
        <w:rPr>
          <w:color w:val="auto"/>
          <w:szCs w:val="22"/>
        </w:rPr>
        <w:t>、H</w:t>
      </w:r>
      <w:r>
        <w:rPr>
          <w:color w:val="auto"/>
          <w:szCs w:val="22"/>
          <w:vertAlign w:val="subscript"/>
        </w:rPr>
        <w:t>2</w:t>
      </w:r>
      <w:r>
        <w:rPr>
          <w:color w:val="auto"/>
          <w:szCs w:val="22"/>
        </w:rPr>
        <w:t>S</w:t>
      </w:r>
      <w:r>
        <w:rPr>
          <w:rFonts w:hint="eastAsia"/>
          <w:color w:val="auto"/>
          <w:szCs w:val="22"/>
        </w:rPr>
        <w:t>、TVOC、非甲烷总烃</w:t>
      </w:r>
      <w:r>
        <w:rPr>
          <w:color w:val="auto"/>
          <w:szCs w:val="22"/>
        </w:rPr>
        <w:t>；</w:t>
      </w:r>
    </w:p>
    <w:p w14:paraId="3DB06410">
      <w:pPr>
        <w:spacing w:line="360" w:lineRule="auto"/>
        <w:ind w:firstLine="480"/>
        <w:jc w:val="left"/>
        <w:rPr>
          <w:color w:val="auto"/>
          <w:szCs w:val="22"/>
        </w:rPr>
      </w:pPr>
      <w:r>
        <w:rPr>
          <w:color w:val="auto"/>
          <w:szCs w:val="22"/>
        </w:rPr>
        <w:t>地表水：</w:t>
      </w:r>
      <w:r>
        <w:rPr>
          <w:rFonts w:hint="eastAsia"/>
          <w:color w:val="auto"/>
        </w:rPr>
        <w:t>电导率、水温、pH、溶解氧、高锰酸盐指数、化学需氧量、五日生化需氧量、氨氮、总磷、总氮、铜、锌、氟化物、硒、砷、汞、镉、铬（六价）、铅、氰化物、挥发酚、石油类、阴离子表面活性剂、硫化物、粪大肠菌群</w:t>
      </w:r>
      <w:r>
        <w:rPr>
          <w:color w:val="auto"/>
          <w:szCs w:val="22"/>
        </w:rPr>
        <w:t>。</w:t>
      </w:r>
    </w:p>
    <w:p w14:paraId="0B25A335">
      <w:pPr>
        <w:spacing w:line="360" w:lineRule="auto"/>
        <w:ind w:firstLine="480"/>
        <w:jc w:val="left"/>
        <w:rPr>
          <w:color w:val="auto"/>
          <w:szCs w:val="22"/>
        </w:rPr>
      </w:pPr>
      <w:r>
        <w:rPr>
          <w:color w:val="auto"/>
          <w:szCs w:val="22"/>
        </w:rPr>
        <w:t>地下水：</w:t>
      </w:r>
      <w:r>
        <w:rPr>
          <w:rFonts w:hint="eastAsia"/>
          <w:color w:val="auto"/>
          <w:szCs w:val="24"/>
        </w:rPr>
        <w:t>八大基本离子（</w:t>
      </w:r>
      <w:r>
        <w:rPr>
          <w:bCs/>
          <w:color w:val="auto"/>
          <w:szCs w:val="24"/>
        </w:rPr>
        <w:t>K</w:t>
      </w:r>
      <w:r>
        <w:rPr>
          <w:bCs/>
          <w:color w:val="auto"/>
          <w:szCs w:val="24"/>
          <w:vertAlign w:val="superscript"/>
        </w:rPr>
        <w:t>+</w:t>
      </w:r>
      <w:r>
        <w:rPr>
          <w:rFonts w:hAnsi="宋体"/>
          <w:bCs/>
          <w:color w:val="auto"/>
          <w:szCs w:val="24"/>
        </w:rPr>
        <w:t>、</w:t>
      </w:r>
      <w:r>
        <w:rPr>
          <w:bCs/>
          <w:color w:val="auto"/>
          <w:szCs w:val="24"/>
        </w:rPr>
        <w:t>Na</w:t>
      </w:r>
      <w:r>
        <w:rPr>
          <w:bCs/>
          <w:color w:val="auto"/>
          <w:szCs w:val="24"/>
          <w:vertAlign w:val="superscript"/>
        </w:rPr>
        <w:t>+</w:t>
      </w:r>
      <w:r>
        <w:rPr>
          <w:rFonts w:hAnsi="宋体"/>
          <w:bCs/>
          <w:color w:val="auto"/>
          <w:szCs w:val="24"/>
        </w:rPr>
        <w:t>、</w:t>
      </w:r>
      <w:r>
        <w:rPr>
          <w:bCs/>
          <w:color w:val="auto"/>
          <w:szCs w:val="24"/>
        </w:rPr>
        <w:t>Ca</w:t>
      </w:r>
      <w:r>
        <w:rPr>
          <w:bCs/>
          <w:color w:val="auto"/>
          <w:szCs w:val="24"/>
          <w:vertAlign w:val="superscript"/>
        </w:rPr>
        <w:t>2+</w:t>
      </w:r>
      <w:r>
        <w:rPr>
          <w:rFonts w:hAnsi="宋体"/>
          <w:bCs/>
          <w:color w:val="auto"/>
          <w:szCs w:val="24"/>
        </w:rPr>
        <w:t>、</w:t>
      </w:r>
      <w:r>
        <w:rPr>
          <w:bCs/>
          <w:color w:val="auto"/>
          <w:szCs w:val="24"/>
        </w:rPr>
        <w:t>Mg</w:t>
      </w:r>
      <w:r>
        <w:rPr>
          <w:bCs/>
          <w:color w:val="auto"/>
          <w:szCs w:val="24"/>
          <w:vertAlign w:val="superscript"/>
        </w:rPr>
        <w:t>2+</w:t>
      </w:r>
      <w:r>
        <w:rPr>
          <w:rFonts w:hAnsi="宋体"/>
          <w:bCs/>
          <w:color w:val="auto"/>
          <w:szCs w:val="24"/>
        </w:rPr>
        <w:t>、</w:t>
      </w:r>
      <w:r>
        <w:rPr>
          <w:bCs/>
          <w:color w:val="auto"/>
          <w:szCs w:val="24"/>
        </w:rPr>
        <w:t>CO</w:t>
      </w:r>
      <w:r>
        <w:rPr>
          <w:bCs/>
          <w:color w:val="auto"/>
          <w:szCs w:val="24"/>
          <w:vertAlign w:val="subscript"/>
        </w:rPr>
        <w:t>3</w:t>
      </w:r>
      <w:r>
        <w:rPr>
          <w:bCs/>
          <w:color w:val="auto"/>
          <w:szCs w:val="24"/>
          <w:vertAlign w:val="superscript"/>
        </w:rPr>
        <w:t>2-</w:t>
      </w:r>
      <w:r>
        <w:rPr>
          <w:rFonts w:hAnsi="宋体"/>
          <w:bCs/>
          <w:color w:val="auto"/>
          <w:szCs w:val="24"/>
        </w:rPr>
        <w:t>、</w:t>
      </w:r>
      <w:r>
        <w:rPr>
          <w:bCs/>
          <w:color w:val="auto"/>
          <w:szCs w:val="24"/>
        </w:rPr>
        <w:t>HCO</w:t>
      </w:r>
      <w:r>
        <w:rPr>
          <w:bCs/>
          <w:color w:val="auto"/>
          <w:szCs w:val="24"/>
          <w:vertAlign w:val="subscript"/>
        </w:rPr>
        <w:t>3</w:t>
      </w:r>
      <w:r>
        <w:rPr>
          <w:bCs/>
          <w:color w:val="auto"/>
          <w:szCs w:val="24"/>
          <w:vertAlign w:val="superscript"/>
        </w:rPr>
        <w:t>-</w:t>
      </w:r>
      <w:r>
        <w:rPr>
          <w:rFonts w:hAnsi="宋体"/>
          <w:bCs/>
          <w:color w:val="auto"/>
          <w:szCs w:val="24"/>
        </w:rPr>
        <w:t>、</w:t>
      </w:r>
      <w:r>
        <w:rPr>
          <w:bCs/>
          <w:color w:val="auto"/>
          <w:szCs w:val="24"/>
        </w:rPr>
        <w:t>Cl</w:t>
      </w:r>
      <w:r>
        <w:rPr>
          <w:bCs/>
          <w:color w:val="auto"/>
          <w:szCs w:val="24"/>
          <w:vertAlign w:val="superscript"/>
        </w:rPr>
        <w:t>-</w:t>
      </w:r>
      <w:r>
        <w:rPr>
          <w:rFonts w:hAnsi="宋体"/>
          <w:bCs/>
          <w:color w:val="auto"/>
          <w:szCs w:val="24"/>
        </w:rPr>
        <w:t>、</w:t>
      </w:r>
      <w:r>
        <w:rPr>
          <w:bCs/>
          <w:color w:val="auto"/>
          <w:szCs w:val="24"/>
        </w:rPr>
        <w:t>SO</w:t>
      </w:r>
      <w:r>
        <w:rPr>
          <w:bCs/>
          <w:color w:val="auto"/>
          <w:szCs w:val="24"/>
          <w:vertAlign w:val="subscript"/>
        </w:rPr>
        <w:t>4</w:t>
      </w:r>
      <w:r>
        <w:rPr>
          <w:bCs/>
          <w:color w:val="auto"/>
          <w:szCs w:val="24"/>
          <w:vertAlign w:val="superscript"/>
        </w:rPr>
        <w:t>2-</w:t>
      </w:r>
      <w:r>
        <w:rPr>
          <w:rFonts w:hint="eastAsia"/>
          <w:color w:val="auto"/>
          <w:szCs w:val="24"/>
        </w:rPr>
        <w:t>）、</w:t>
      </w:r>
      <w:r>
        <w:rPr>
          <w:rFonts w:hint="eastAsia" w:hAnsi="宋体"/>
          <w:color w:val="auto"/>
          <w:szCs w:val="24"/>
        </w:rPr>
        <w:t>水位、pH、氨氮、硝酸盐、亚硝酸盐、挥发性酚类、氰化物、砷、汞、铬（六价）、总硬度、铅、氟化物、镉、铁、锰、溶解性总固体、耗氧量、硫酸盐、氯化物、总大肠菌群、细菌总数、石油类、硼、钡、硫化物、总a放射性、总β放射性</w:t>
      </w:r>
      <w:r>
        <w:rPr>
          <w:rFonts w:hint="eastAsia"/>
          <w:color w:val="auto"/>
          <w:szCs w:val="22"/>
        </w:rPr>
        <w:t>。</w:t>
      </w:r>
    </w:p>
    <w:p w14:paraId="6C6C32F9">
      <w:pPr>
        <w:spacing w:line="360" w:lineRule="auto"/>
        <w:ind w:firstLine="480"/>
        <w:rPr>
          <w:color w:val="auto"/>
          <w:szCs w:val="22"/>
        </w:rPr>
      </w:pPr>
      <w:r>
        <w:rPr>
          <w:color w:val="auto"/>
          <w:szCs w:val="22"/>
        </w:rPr>
        <w:t>声环境：噪声等效A声级。</w:t>
      </w:r>
    </w:p>
    <w:p w14:paraId="12BF7322">
      <w:pPr>
        <w:spacing w:line="360" w:lineRule="auto"/>
        <w:ind w:firstLine="480"/>
        <w:rPr>
          <w:color w:val="auto"/>
          <w:szCs w:val="22"/>
        </w:rPr>
      </w:pPr>
      <w:r>
        <w:rPr>
          <w:rFonts w:hint="eastAsia"/>
          <w:color w:val="auto"/>
          <w:szCs w:val="22"/>
        </w:rPr>
        <w:t>土壤：《土壤环境质</w:t>
      </w:r>
      <w:r>
        <w:rPr>
          <w:rFonts w:hint="eastAsia"/>
          <w:color w:val="auto"/>
        </w:rPr>
        <w:t>量建设用地土壤污染风险管控标准》表1中全</w:t>
      </w:r>
      <w:r>
        <w:rPr>
          <w:rFonts w:hint="eastAsia"/>
          <w:color w:val="auto"/>
          <w:lang w:eastAsia="zh-CN"/>
        </w:rPr>
        <w:t>部</w:t>
      </w:r>
      <w:r>
        <w:rPr>
          <w:rFonts w:hint="eastAsia"/>
          <w:color w:val="auto"/>
        </w:rPr>
        <w:t>4</w:t>
      </w:r>
      <w:r>
        <w:rPr>
          <w:color w:val="auto"/>
        </w:rPr>
        <w:t>5</w:t>
      </w:r>
      <w:r>
        <w:rPr>
          <w:rFonts w:hint="eastAsia"/>
          <w:color w:val="auto"/>
        </w:rPr>
        <w:t>项，</w:t>
      </w:r>
      <w:r>
        <w:rPr>
          <w:color w:val="auto"/>
        </w:rPr>
        <w:t>特征因子：</w:t>
      </w:r>
      <w:r>
        <w:rPr>
          <w:color w:val="auto"/>
          <w:szCs w:val="24"/>
        </w:rPr>
        <w:t>pH</w:t>
      </w:r>
      <w:r>
        <w:rPr>
          <w:rFonts w:hint="eastAsia"/>
          <w:color w:val="auto"/>
          <w:szCs w:val="24"/>
        </w:rPr>
        <w:t>值、砷、镉、六价铬、铜、铅、汞、镍、</w:t>
      </w:r>
      <w:r>
        <w:rPr>
          <w:rFonts w:hint="eastAsia"/>
          <w:color w:val="auto"/>
        </w:rPr>
        <w:t>石油烃（C10~C40）。</w:t>
      </w:r>
    </w:p>
    <w:p w14:paraId="07F5C7B9">
      <w:pPr>
        <w:spacing w:line="360" w:lineRule="auto"/>
        <w:ind w:firstLine="480"/>
        <w:rPr>
          <w:color w:val="auto"/>
          <w:szCs w:val="22"/>
        </w:rPr>
      </w:pPr>
      <w:r>
        <w:rPr>
          <w:color w:val="auto"/>
          <w:szCs w:val="22"/>
        </w:rPr>
        <w:t>（2）运</w:t>
      </w:r>
      <w:r>
        <w:rPr>
          <w:rFonts w:hint="eastAsia"/>
          <w:color w:val="auto"/>
          <w:szCs w:val="22"/>
        </w:rPr>
        <w:t>营</w:t>
      </w:r>
      <w:r>
        <w:rPr>
          <w:color w:val="auto"/>
          <w:szCs w:val="22"/>
        </w:rPr>
        <w:t>期预测、分析评价因子</w:t>
      </w:r>
    </w:p>
    <w:p w14:paraId="07B691F2">
      <w:pPr>
        <w:spacing w:line="360" w:lineRule="auto"/>
        <w:ind w:firstLine="480"/>
        <w:jc w:val="left"/>
        <w:rPr>
          <w:color w:val="auto"/>
          <w:szCs w:val="24"/>
        </w:rPr>
      </w:pPr>
      <w:r>
        <w:rPr>
          <w:color w:val="auto"/>
          <w:szCs w:val="22"/>
        </w:rPr>
        <w:t>环境空</w:t>
      </w:r>
      <w:r>
        <w:rPr>
          <w:color w:val="auto"/>
          <w:szCs w:val="24"/>
        </w:rPr>
        <w:t>气：NH</w:t>
      </w:r>
      <w:r>
        <w:rPr>
          <w:color w:val="auto"/>
          <w:szCs w:val="24"/>
          <w:vertAlign w:val="subscript"/>
        </w:rPr>
        <w:t>3</w:t>
      </w:r>
      <w:r>
        <w:rPr>
          <w:color w:val="auto"/>
          <w:szCs w:val="24"/>
        </w:rPr>
        <w:t>、H</w:t>
      </w:r>
      <w:r>
        <w:rPr>
          <w:color w:val="auto"/>
          <w:szCs w:val="24"/>
          <w:vertAlign w:val="subscript"/>
        </w:rPr>
        <w:t>2</w:t>
      </w:r>
      <w:r>
        <w:rPr>
          <w:color w:val="auto"/>
          <w:szCs w:val="24"/>
        </w:rPr>
        <w:t>S</w:t>
      </w:r>
      <w:r>
        <w:rPr>
          <w:rFonts w:hint="eastAsia"/>
          <w:color w:val="auto"/>
          <w:szCs w:val="24"/>
        </w:rPr>
        <w:t>、非甲烷总烃</w:t>
      </w:r>
      <w:r>
        <w:rPr>
          <w:color w:val="auto"/>
          <w:szCs w:val="24"/>
        </w:rPr>
        <w:t>；</w:t>
      </w:r>
    </w:p>
    <w:p w14:paraId="032F8260">
      <w:pPr>
        <w:spacing w:line="360" w:lineRule="auto"/>
        <w:ind w:firstLine="480"/>
        <w:rPr>
          <w:color w:val="auto"/>
          <w:szCs w:val="24"/>
        </w:rPr>
      </w:pPr>
      <w:r>
        <w:rPr>
          <w:color w:val="auto"/>
          <w:szCs w:val="24"/>
        </w:rPr>
        <w:t>地表水：</w:t>
      </w:r>
      <w:r>
        <w:rPr>
          <w:rFonts w:hint="eastAsia"/>
          <w:color w:val="auto"/>
          <w:szCs w:val="24"/>
        </w:rPr>
        <w:t>pH、</w:t>
      </w:r>
      <w:r>
        <w:rPr>
          <w:color w:val="auto"/>
          <w:szCs w:val="24"/>
        </w:rPr>
        <w:t>COD</w:t>
      </w:r>
      <w:r>
        <w:rPr>
          <w:rFonts w:hint="eastAsia" w:hAnsi="宋体"/>
          <w:color w:val="auto"/>
          <w:szCs w:val="24"/>
        </w:rPr>
        <w:t>、</w:t>
      </w:r>
      <w:r>
        <w:rPr>
          <w:color w:val="auto"/>
          <w:szCs w:val="24"/>
        </w:rPr>
        <w:t>NH</w:t>
      </w:r>
      <w:r>
        <w:rPr>
          <w:color w:val="auto"/>
          <w:szCs w:val="24"/>
          <w:vertAlign w:val="subscript"/>
        </w:rPr>
        <w:t>3</w:t>
      </w:r>
      <w:r>
        <w:rPr>
          <w:color w:val="auto"/>
          <w:szCs w:val="24"/>
        </w:rPr>
        <w:t>-N</w:t>
      </w:r>
      <w:r>
        <w:rPr>
          <w:rFonts w:hint="eastAsia"/>
          <w:color w:val="auto"/>
          <w:szCs w:val="24"/>
        </w:rPr>
        <w:t>、</w:t>
      </w:r>
      <w:r>
        <w:rPr>
          <w:color w:val="auto"/>
          <w:szCs w:val="24"/>
        </w:rPr>
        <w:t>TP</w:t>
      </w:r>
      <w:r>
        <w:rPr>
          <w:rFonts w:hint="eastAsia"/>
          <w:color w:val="auto"/>
          <w:szCs w:val="24"/>
        </w:rPr>
        <w:t>、</w:t>
      </w:r>
      <w:r>
        <w:rPr>
          <w:color w:val="auto"/>
          <w:szCs w:val="24"/>
        </w:rPr>
        <w:t>TN</w:t>
      </w:r>
      <w:r>
        <w:rPr>
          <w:rFonts w:hint="eastAsia"/>
          <w:color w:val="auto"/>
          <w:szCs w:val="24"/>
        </w:rPr>
        <w:t>、</w:t>
      </w:r>
      <w:r>
        <w:rPr>
          <w:rFonts w:hint="eastAsia" w:hAnsi="宋体"/>
          <w:color w:val="auto"/>
          <w:szCs w:val="24"/>
        </w:rPr>
        <w:t>B</w:t>
      </w:r>
      <w:r>
        <w:rPr>
          <w:rFonts w:hAnsi="宋体"/>
          <w:color w:val="auto"/>
          <w:szCs w:val="24"/>
        </w:rPr>
        <w:t>OD</w:t>
      </w:r>
      <w:r>
        <w:rPr>
          <w:rFonts w:hAnsi="宋体"/>
          <w:color w:val="auto"/>
          <w:szCs w:val="24"/>
          <w:vertAlign w:val="subscript"/>
        </w:rPr>
        <w:t>5</w:t>
      </w:r>
      <w:r>
        <w:rPr>
          <w:rFonts w:hint="eastAsia" w:hAnsi="宋体"/>
          <w:color w:val="auto"/>
          <w:szCs w:val="24"/>
        </w:rPr>
        <w:t>、石油类、S</w:t>
      </w:r>
      <w:r>
        <w:rPr>
          <w:rFonts w:hAnsi="宋体"/>
          <w:color w:val="auto"/>
          <w:szCs w:val="24"/>
        </w:rPr>
        <w:t>S</w:t>
      </w:r>
      <w:r>
        <w:rPr>
          <w:rFonts w:hint="eastAsia" w:hAnsi="宋体"/>
          <w:color w:val="auto"/>
          <w:szCs w:val="24"/>
        </w:rPr>
        <w:t>、色度、</w:t>
      </w:r>
      <w:r>
        <w:rPr>
          <w:rFonts w:eastAsia="等线"/>
          <w:color w:val="auto"/>
          <w:szCs w:val="24"/>
        </w:rPr>
        <w:t>LAS</w:t>
      </w:r>
      <w:r>
        <w:rPr>
          <w:rFonts w:hint="eastAsia" w:eastAsia="等线"/>
          <w:color w:val="auto"/>
          <w:szCs w:val="24"/>
        </w:rPr>
        <w:t>、</w:t>
      </w:r>
      <w:r>
        <w:rPr>
          <w:rFonts w:hint="eastAsia"/>
          <w:color w:val="auto"/>
          <w:szCs w:val="24"/>
        </w:rPr>
        <w:t>总硬度、总碱度、铁、锰、氯化物、SiO</w:t>
      </w:r>
      <w:r>
        <w:rPr>
          <w:rFonts w:hint="eastAsia"/>
          <w:color w:val="auto"/>
          <w:szCs w:val="24"/>
          <w:vertAlign w:val="subscript"/>
        </w:rPr>
        <w:t>2</w:t>
      </w:r>
      <w:r>
        <w:rPr>
          <w:rFonts w:hint="eastAsia"/>
          <w:color w:val="auto"/>
          <w:szCs w:val="24"/>
        </w:rPr>
        <w:t>、</w:t>
      </w:r>
      <w:r>
        <w:rPr>
          <w:rFonts w:hint="eastAsia"/>
          <w:color w:val="auto"/>
          <w:kern w:val="44"/>
          <w:szCs w:val="24"/>
        </w:rPr>
        <w:t>硫酸盐、溶解性总固体、</w:t>
      </w:r>
      <w:r>
        <w:rPr>
          <w:rFonts w:hint="eastAsia"/>
          <w:snapToGrid w:val="0"/>
          <w:color w:val="auto"/>
          <w:kern w:val="44"/>
          <w:szCs w:val="24"/>
        </w:rPr>
        <w:t>总有机碳、硫化物、氟化物、挥发酚</w:t>
      </w:r>
      <w:r>
        <w:rPr>
          <w:rFonts w:hint="eastAsia"/>
          <w:color w:val="auto"/>
          <w:szCs w:val="24"/>
        </w:rPr>
        <w:t>；</w:t>
      </w:r>
    </w:p>
    <w:p w14:paraId="19EFCD02">
      <w:pPr>
        <w:spacing w:line="360" w:lineRule="auto"/>
        <w:ind w:firstLine="480"/>
        <w:rPr>
          <w:color w:val="auto"/>
          <w:szCs w:val="22"/>
        </w:rPr>
      </w:pPr>
      <w:r>
        <w:rPr>
          <w:color w:val="auto"/>
          <w:szCs w:val="22"/>
        </w:rPr>
        <w:t>地下水：COD、</w:t>
      </w:r>
      <w:r>
        <w:rPr>
          <w:rFonts w:hint="eastAsia"/>
          <w:color w:val="auto"/>
          <w:szCs w:val="22"/>
        </w:rPr>
        <w:t>氯化物、石油类；</w:t>
      </w:r>
    </w:p>
    <w:p w14:paraId="6117ED8F">
      <w:pPr>
        <w:spacing w:line="360" w:lineRule="auto"/>
        <w:ind w:firstLine="480"/>
        <w:rPr>
          <w:color w:val="auto"/>
          <w:szCs w:val="22"/>
        </w:rPr>
      </w:pPr>
      <w:r>
        <w:rPr>
          <w:color w:val="auto"/>
          <w:szCs w:val="22"/>
        </w:rPr>
        <w:t>噪声：</w:t>
      </w:r>
      <w:r>
        <w:rPr>
          <w:rFonts w:hint="eastAsia"/>
          <w:color w:val="auto"/>
          <w:szCs w:val="22"/>
        </w:rPr>
        <w:t>环境</w:t>
      </w:r>
      <w:r>
        <w:rPr>
          <w:color w:val="auto"/>
          <w:szCs w:val="22"/>
        </w:rPr>
        <w:t>噪声</w:t>
      </w:r>
      <w:r>
        <w:rPr>
          <w:rFonts w:hint="eastAsia"/>
          <w:color w:val="auto"/>
          <w:szCs w:val="22"/>
        </w:rPr>
        <w:t>昼、夜</w:t>
      </w:r>
      <w:r>
        <w:rPr>
          <w:color w:val="auto"/>
          <w:szCs w:val="22"/>
        </w:rPr>
        <w:t>等效A声级；</w:t>
      </w:r>
    </w:p>
    <w:p w14:paraId="383AE873">
      <w:pPr>
        <w:spacing w:line="360" w:lineRule="auto"/>
        <w:ind w:firstLine="480"/>
        <w:jc w:val="left"/>
        <w:rPr>
          <w:color w:val="auto"/>
          <w:szCs w:val="24"/>
        </w:rPr>
      </w:pPr>
      <w:r>
        <w:rPr>
          <w:color w:val="auto"/>
          <w:szCs w:val="22"/>
        </w:rPr>
        <w:t>固体</w:t>
      </w:r>
      <w:r>
        <w:rPr>
          <w:color w:val="auto"/>
          <w:szCs w:val="24"/>
        </w:rPr>
        <w:t>废物：</w:t>
      </w:r>
      <w:r>
        <w:rPr>
          <w:rFonts w:hint="eastAsia"/>
          <w:color w:val="auto"/>
          <w:szCs w:val="24"/>
          <w:lang w:val="zh-CN"/>
        </w:rPr>
        <w:t>废包装材料、废活性炭、实验室废物、废油类、废油桶及含油废物、废膜、污泥、蒸发结晶盐和生活垃圾</w:t>
      </w:r>
      <w:r>
        <w:rPr>
          <w:color w:val="auto"/>
          <w:szCs w:val="24"/>
        </w:rPr>
        <w:t>等</w:t>
      </w:r>
      <w:r>
        <w:rPr>
          <w:rFonts w:hint="eastAsia"/>
          <w:color w:val="auto"/>
          <w:szCs w:val="24"/>
        </w:rPr>
        <w:t>；</w:t>
      </w:r>
    </w:p>
    <w:p w14:paraId="2B98BA26">
      <w:pPr>
        <w:spacing w:line="360" w:lineRule="auto"/>
        <w:ind w:firstLine="480"/>
        <w:jc w:val="left"/>
        <w:rPr>
          <w:color w:val="auto"/>
          <w:szCs w:val="24"/>
        </w:rPr>
      </w:pPr>
      <w:r>
        <w:rPr>
          <w:rFonts w:hint="eastAsia"/>
          <w:color w:val="auto"/>
          <w:szCs w:val="24"/>
        </w:rPr>
        <w:t>土壤：石油烃</w:t>
      </w:r>
      <w:r>
        <w:rPr>
          <w:rFonts w:hint="eastAsia"/>
          <w:color w:val="auto"/>
        </w:rPr>
        <w:t>（C10~C40）</w:t>
      </w:r>
      <w:r>
        <w:rPr>
          <w:rFonts w:hint="eastAsia"/>
          <w:color w:val="auto"/>
          <w:szCs w:val="24"/>
        </w:rPr>
        <w:t>。</w:t>
      </w:r>
    </w:p>
    <w:p w14:paraId="01F7A0CA">
      <w:pPr>
        <w:pStyle w:val="4"/>
        <w:numPr>
          <w:ilvl w:val="0"/>
          <w:numId w:val="0"/>
        </w:numPr>
        <w:spacing w:line="360" w:lineRule="auto"/>
        <w:rPr>
          <w:color w:val="auto"/>
        </w:rPr>
      </w:pPr>
      <w:bookmarkStart w:id="76" w:name="_Toc344679074"/>
      <w:bookmarkStart w:id="77" w:name="_Toc472509261"/>
      <w:bookmarkStart w:id="78" w:name="_Toc245544266"/>
      <w:bookmarkStart w:id="79" w:name="_Toc17382"/>
      <w:bookmarkStart w:id="80" w:name="_Toc462350263"/>
      <w:bookmarkStart w:id="81" w:name="_Toc396234165"/>
      <w:bookmarkStart w:id="82" w:name="_Toc51062443"/>
      <w:bookmarkStart w:id="83" w:name="_Toc244071839"/>
      <w:bookmarkStart w:id="84" w:name="_Toc439249483"/>
      <w:bookmarkStart w:id="85" w:name="_Toc194378405"/>
      <w:bookmarkStart w:id="86" w:name="_Toc129763679"/>
      <w:bookmarkStart w:id="87" w:name="_Toc165607334"/>
      <w:bookmarkStart w:id="88" w:name="_Toc198021924"/>
      <w:r>
        <w:rPr>
          <w:rFonts w:hint="eastAsia"/>
          <w:color w:val="auto"/>
          <w:lang w:eastAsia="zh-CN"/>
        </w:rPr>
        <w:t>2.6</w:t>
      </w:r>
      <w:r>
        <w:rPr>
          <w:color w:val="auto"/>
        </w:rPr>
        <w:t>评价标准</w:t>
      </w:r>
      <w:bookmarkEnd w:id="76"/>
      <w:bookmarkEnd w:id="77"/>
      <w:bookmarkEnd w:id="78"/>
      <w:bookmarkEnd w:id="79"/>
      <w:bookmarkEnd w:id="80"/>
      <w:bookmarkEnd w:id="81"/>
      <w:bookmarkEnd w:id="82"/>
      <w:bookmarkEnd w:id="83"/>
      <w:bookmarkEnd w:id="84"/>
      <w:bookmarkEnd w:id="85"/>
      <w:bookmarkEnd w:id="86"/>
      <w:bookmarkEnd w:id="87"/>
      <w:bookmarkEnd w:id="88"/>
    </w:p>
    <w:p w14:paraId="36D6F20B">
      <w:pPr>
        <w:pStyle w:val="5"/>
        <w:numPr>
          <w:ilvl w:val="0"/>
          <w:numId w:val="0"/>
        </w:numPr>
        <w:spacing w:line="360" w:lineRule="auto"/>
        <w:rPr>
          <w:color w:val="auto"/>
        </w:rPr>
      </w:pPr>
      <w:r>
        <w:rPr>
          <w:rFonts w:hint="eastAsia"/>
          <w:color w:val="auto"/>
          <w:lang w:eastAsia="zh-CN"/>
        </w:rPr>
        <w:t>2.6</w:t>
      </w:r>
      <w:r>
        <w:rPr>
          <w:color w:val="auto"/>
        </w:rPr>
        <w:t>.1环境功能区划和环境质量标准</w:t>
      </w:r>
    </w:p>
    <w:p w14:paraId="2709ACB9">
      <w:pPr>
        <w:spacing w:line="360" w:lineRule="auto"/>
        <w:ind w:firstLine="480"/>
        <w:rPr>
          <w:color w:val="auto"/>
        </w:rPr>
      </w:pPr>
      <w:r>
        <w:rPr>
          <w:color w:val="auto"/>
        </w:rPr>
        <w:t>（1）环境空气</w:t>
      </w:r>
    </w:p>
    <w:p w14:paraId="173E8202">
      <w:pPr>
        <w:spacing w:line="360" w:lineRule="auto"/>
        <w:ind w:firstLine="480"/>
        <w:rPr>
          <w:color w:val="auto"/>
        </w:rPr>
      </w:pPr>
      <w:r>
        <w:rPr>
          <w:color w:val="auto"/>
        </w:rPr>
        <w:t>根据《重庆市关于印发重庆市环境空气质量功能区划分规定的通知》（渝府发</w:t>
      </w:r>
      <w:r>
        <w:rPr>
          <w:rFonts w:hint="eastAsia"/>
          <w:color w:val="auto"/>
        </w:rPr>
        <w:t>〔</w:t>
      </w:r>
      <w:r>
        <w:rPr>
          <w:color w:val="auto"/>
        </w:rPr>
        <w:t>2016</w:t>
      </w:r>
      <w:r>
        <w:rPr>
          <w:rFonts w:hint="eastAsia"/>
          <w:color w:val="auto"/>
        </w:rPr>
        <w:t>〕</w:t>
      </w:r>
      <w:r>
        <w:rPr>
          <w:color w:val="auto"/>
        </w:rPr>
        <w:t>19号），拟建项目所在地属环境空气功能二类区，执行《环境空气质量标准》（GB3095-2012）</w:t>
      </w:r>
      <w:r>
        <w:rPr>
          <w:rFonts w:hint="eastAsia"/>
          <w:color w:val="auto"/>
        </w:rPr>
        <w:t>及其</w:t>
      </w:r>
      <w:r>
        <w:rPr>
          <w:color w:val="auto"/>
        </w:rPr>
        <w:t>修改单中的二级标准；特征因子</w:t>
      </w:r>
      <w:r>
        <w:rPr>
          <w:rFonts w:hint="eastAsia"/>
          <w:color w:val="auto"/>
          <w:lang w:val="en-US" w:eastAsia="zh-CN"/>
        </w:rPr>
        <w:t>氨和硫化氢</w:t>
      </w:r>
      <w:r>
        <w:rPr>
          <w:color w:val="auto"/>
        </w:rPr>
        <w:t>参照</w:t>
      </w:r>
      <w:r>
        <w:rPr>
          <w:rFonts w:hint="eastAsia"/>
          <w:color w:val="auto"/>
        </w:rPr>
        <w:t>《环境影响评价技术导则大气环境（HJ2.2-2018）》附录D的</w:t>
      </w:r>
      <w:r>
        <w:rPr>
          <w:color w:val="auto"/>
        </w:rPr>
        <w:t>标准限值，</w:t>
      </w:r>
      <w:r>
        <w:rPr>
          <w:rFonts w:hint="eastAsia"/>
          <w:color w:val="auto"/>
          <w:lang w:val="en-US" w:eastAsia="zh-CN"/>
        </w:rPr>
        <w:t>非甲烷总烃参照《河北省地方标准 环境空气质量 非甲烷总烃限值》（DB13/1577-2012），</w:t>
      </w:r>
      <w:r>
        <w:rPr>
          <w:color w:val="auto"/>
        </w:rPr>
        <w:t>相关的主要标准值见</w:t>
      </w:r>
      <w:r>
        <w:rPr>
          <w:rFonts w:hint="eastAsia"/>
          <w:color w:val="auto"/>
        </w:rPr>
        <w:t>表</w:t>
      </w:r>
      <w:r>
        <w:rPr>
          <w:rFonts w:hint="eastAsia"/>
          <w:color w:val="auto"/>
          <w:lang w:eastAsia="zh-CN"/>
        </w:rPr>
        <w:t>2.6</w:t>
      </w:r>
      <w:r>
        <w:rPr>
          <w:rFonts w:hint="eastAsia"/>
          <w:color w:val="auto"/>
        </w:rPr>
        <w:t>-1</w:t>
      </w:r>
      <w:r>
        <w:rPr>
          <w:color w:val="auto"/>
        </w:rPr>
        <w:t>。</w:t>
      </w:r>
    </w:p>
    <w:p w14:paraId="6BCFE6A1">
      <w:pPr>
        <w:pStyle w:val="674"/>
        <w:rPr>
          <w:color w:val="auto"/>
        </w:rPr>
      </w:pPr>
      <w:bookmarkStart w:id="89" w:name="_Ref485112794"/>
      <w:r>
        <w:rPr>
          <w:color w:val="auto"/>
        </w:rPr>
        <w:t>表</w:t>
      </w:r>
      <w:bookmarkEnd w:id="89"/>
      <w:r>
        <w:rPr>
          <w:rFonts w:hint="eastAsia"/>
          <w:color w:val="auto"/>
          <w:lang w:eastAsia="zh-CN"/>
        </w:rPr>
        <w:t>2.6</w:t>
      </w:r>
      <w:r>
        <w:rPr>
          <w:color w:val="auto"/>
        </w:rPr>
        <w:t>-1   环境空气质量标准</w:t>
      </w:r>
    </w:p>
    <w:tbl>
      <w:tblPr>
        <w:tblStyle w:val="88"/>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5"/>
        <w:gridCol w:w="2361"/>
        <w:gridCol w:w="1870"/>
        <w:gridCol w:w="3100"/>
      </w:tblGrid>
      <w:tr w14:paraId="60DA5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955" w:type="dxa"/>
            <w:vAlign w:val="center"/>
          </w:tcPr>
          <w:p w14:paraId="61494F63">
            <w:pPr>
              <w:pStyle w:val="276"/>
              <w:rPr>
                <w:color w:val="auto"/>
              </w:rPr>
            </w:pPr>
            <w:r>
              <w:rPr>
                <w:rFonts w:hint="eastAsia"/>
                <w:color w:val="auto"/>
              </w:rPr>
              <w:t>污染物</w:t>
            </w:r>
          </w:p>
        </w:tc>
        <w:tc>
          <w:tcPr>
            <w:tcW w:w="2361" w:type="dxa"/>
            <w:vAlign w:val="center"/>
          </w:tcPr>
          <w:p w14:paraId="24A4E54F">
            <w:pPr>
              <w:pStyle w:val="276"/>
              <w:rPr>
                <w:color w:val="auto"/>
              </w:rPr>
            </w:pPr>
            <w:r>
              <w:rPr>
                <w:rFonts w:hint="eastAsia"/>
                <w:color w:val="auto"/>
              </w:rPr>
              <w:t>取值时间</w:t>
            </w:r>
          </w:p>
        </w:tc>
        <w:tc>
          <w:tcPr>
            <w:tcW w:w="1870" w:type="dxa"/>
            <w:vAlign w:val="center"/>
          </w:tcPr>
          <w:p w14:paraId="22DCE33C">
            <w:pPr>
              <w:pStyle w:val="276"/>
              <w:rPr>
                <w:color w:val="auto"/>
              </w:rPr>
            </w:pPr>
            <w:r>
              <w:rPr>
                <w:rFonts w:hint="eastAsia"/>
                <w:color w:val="auto"/>
              </w:rPr>
              <w:t>浓度限值</w:t>
            </w:r>
          </w:p>
        </w:tc>
        <w:tc>
          <w:tcPr>
            <w:tcW w:w="3100" w:type="dxa"/>
            <w:vAlign w:val="center"/>
          </w:tcPr>
          <w:p w14:paraId="723D7DA0">
            <w:pPr>
              <w:pStyle w:val="276"/>
              <w:rPr>
                <w:color w:val="auto"/>
              </w:rPr>
            </w:pPr>
            <w:r>
              <w:rPr>
                <w:rFonts w:hint="eastAsia"/>
                <w:color w:val="auto"/>
              </w:rPr>
              <w:t>依据</w:t>
            </w:r>
          </w:p>
        </w:tc>
      </w:tr>
      <w:tr w14:paraId="4E113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55" w:type="dxa"/>
            <w:vMerge w:val="restart"/>
            <w:vAlign w:val="center"/>
          </w:tcPr>
          <w:p w14:paraId="697104A2">
            <w:pPr>
              <w:pStyle w:val="276"/>
              <w:rPr>
                <w:color w:val="auto"/>
              </w:rPr>
            </w:pPr>
            <w:r>
              <w:rPr>
                <w:rFonts w:hint="eastAsia"/>
                <w:color w:val="auto"/>
              </w:rPr>
              <w:t>颗粒物（粒径小于等于10μm）</w:t>
            </w:r>
          </w:p>
        </w:tc>
        <w:tc>
          <w:tcPr>
            <w:tcW w:w="2361" w:type="dxa"/>
            <w:vAlign w:val="center"/>
          </w:tcPr>
          <w:p w14:paraId="2D8B8E8B">
            <w:pPr>
              <w:pStyle w:val="276"/>
              <w:rPr>
                <w:color w:val="auto"/>
              </w:rPr>
            </w:pPr>
            <w:r>
              <w:rPr>
                <w:rFonts w:hint="eastAsia"/>
                <w:color w:val="auto"/>
              </w:rPr>
              <w:t>年平均</w:t>
            </w:r>
          </w:p>
        </w:tc>
        <w:tc>
          <w:tcPr>
            <w:tcW w:w="1870" w:type="dxa"/>
            <w:vAlign w:val="center"/>
          </w:tcPr>
          <w:p w14:paraId="0F96EA70">
            <w:pPr>
              <w:pStyle w:val="276"/>
              <w:rPr>
                <w:color w:val="auto"/>
              </w:rPr>
            </w:pPr>
            <w:r>
              <w:rPr>
                <w:rFonts w:hint="eastAsia"/>
                <w:color w:val="auto"/>
              </w:rPr>
              <w:t>70μg/m</w:t>
            </w:r>
            <w:r>
              <w:rPr>
                <w:rFonts w:hint="eastAsia"/>
                <w:color w:val="auto"/>
                <w:vertAlign w:val="superscript"/>
              </w:rPr>
              <w:t>3</w:t>
            </w:r>
          </w:p>
        </w:tc>
        <w:tc>
          <w:tcPr>
            <w:tcW w:w="3100" w:type="dxa"/>
            <w:vMerge w:val="restart"/>
            <w:shd w:val="clear" w:color="auto" w:fill="auto"/>
            <w:vAlign w:val="center"/>
          </w:tcPr>
          <w:p w14:paraId="1D234FD3">
            <w:pPr>
              <w:pStyle w:val="276"/>
              <w:rPr>
                <w:color w:val="auto"/>
              </w:rPr>
            </w:pPr>
            <w:r>
              <w:rPr>
                <w:rFonts w:hint="eastAsia"/>
                <w:color w:val="auto"/>
              </w:rPr>
              <w:t>《环境空气质量标准》（GB3095-2012）及其修改单</w:t>
            </w:r>
          </w:p>
        </w:tc>
      </w:tr>
      <w:tr w14:paraId="7FD07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55" w:type="dxa"/>
            <w:vMerge w:val="continue"/>
            <w:vAlign w:val="center"/>
          </w:tcPr>
          <w:p w14:paraId="33B4128D">
            <w:pPr>
              <w:pStyle w:val="276"/>
              <w:rPr>
                <w:color w:val="auto"/>
              </w:rPr>
            </w:pPr>
          </w:p>
        </w:tc>
        <w:tc>
          <w:tcPr>
            <w:tcW w:w="2361" w:type="dxa"/>
            <w:vAlign w:val="center"/>
          </w:tcPr>
          <w:p w14:paraId="1064C8D0">
            <w:pPr>
              <w:pStyle w:val="276"/>
              <w:rPr>
                <w:color w:val="auto"/>
              </w:rPr>
            </w:pPr>
            <w:r>
              <w:rPr>
                <w:rFonts w:hint="eastAsia"/>
                <w:color w:val="auto"/>
              </w:rPr>
              <w:t>24小时平均</w:t>
            </w:r>
          </w:p>
        </w:tc>
        <w:tc>
          <w:tcPr>
            <w:tcW w:w="1870" w:type="dxa"/>
            <w:vAlign w:val="center"/>
          </w:tcPr>
          <w:p w14:paraId="3358D8FA">
            <w:pPr>
              <w:pStyle w:val="276"/>
              <w:rPr>
                <w:color w:val="auto"/>
              </w:rPr>
            </w:pPr>
            <w:r>
              <w:rPr>
                <w:rFonts w:hint="eastAsia"/>
                <w:color w:val="auto"/>
              </w:rPr>
              <w:t>150μg/m</w:t>
            </w:r>
            <w:r>
              <w:rPr>
                <w:rFonts w:hint="eastAsia"/>
                <w:color w:val="auto"/>
                <w:vertAlign w:val="superscript"/>
              </w:rPr>
              <w:t>3</w:t>
            </w:r>
          </w:p>
        </w:tc>
        <w:tc>
          <w:tcPr>
            <w:tcW w:w="3100" w:type="dxa"/>
            <w:vMerge w:val="continue"/>
            <w:shd w:val="clear" w:color="auto" w:fill="auto"/>
            <w:vAlign w:val="center"/>
          </w:tcPr>
          <w:p w14:paraId="23A4BD3D">
            <w:pPr>
              <w:pStyle w:val="276"/>
              <w:rPr>
                <w:color w:val="auto"/>
              </w:rPr>
            </w:pPr>
          </w:p>
        </w:tc>
      </w:tr>
      <w:tr w14:paraId="12B26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55" w:type="dxa"/>
            <w:vMerge w:val="restart"/>
            <w:vAlign w:val="center"/>
          </w:tcPr>
          <w:p w14:paraId="27D118C5">
            <w:pPr>
              <w:pStyle w:val="276"/>
              <w:rPr>
                <w:color w:val="auto"/>
              </w:rPr>
            </w:pPr>
            <w:r>
              <w:rPr>
                <w:rFonts w:hint="eastAsia"/>
                <w:color w:val="auto"/>
              </w:rPr>
              <w:t>颗粒物（粒径小于等于2.5μm）</w:t>
            </w:r>
          </w:p>
        </w:tc>
        <w:tc>
          <w:tcPr>
            <w:tcW w:w="2361" w:type="dxa"/>
            <w:vAlign w:val="center"/>
          </w:tcPr>
          <w:p w14:paraId="76AE8D7C">
            <w:pPr>
              <w:pStyle w:val="276"/>
              <w:rPr>
                <w:color w:val="auto"/>
              </w:rPr>
            </w:pPr>
            <w:r>
              <w:rPr>
                <w:rFonts w:hint="eastAsia"/>
                <w:color w:val="auto"/>
              </w:rPr>
              <w:t>年平均</w:t>
            </w:r>
          </w:p>
        </w:tc>
        <w:tc>
          <w:tcPr>
            <w:tcW w:w="1870" w:type="dxa"/>
            <w:vAlign w:val="center"/>
          </w:tcPr>
          <w:p w14:paraId="4B87C6C8">
            <w:pPr>
              <w:pStyle w:val="276"/>
              <w:rPr>
                <w:color w:val="auto"/>
              </w:rPr>
            </w:pPr>
            <w:r>
              <w:rPr>
                <w:rFonts w:hint="eastAsia"/>
                <w:color w:val="auto"/>
              </w:rPr>
              <w:t>35μg/m</w:t>
            </w:r>
            <w:r>
              <w:rPr>
                <w:rFonts w:hint="eastAsia"/>
                <w:color w:val="auto"/>
                <w:vertAlign w:val="superscript"/>
              </w:rPr>
              <w:t>3</w:t>
            </w:r>
          </w:p>
        </w:tc>
        <w:tc>
          <w:tcPr>
            <w:tcW w:w="3100" w:type="dxa"/>
            <w:vMerge w:val="continue"/>
            <w:shd w:val="clear" w:color="auto" w:fill="auto"/>
            <w:vAlign w:val="center"/>
          </w:tcPr>
          <w:p w14:paraId="036E707A">
            <w:pPr>
              <w:pStyle w:val="276"/>
              <w:rPr>
                <w:color w:val="auto"/>
              </w:rPr>
            </w:pPr>
          </w:p>
        </w:tc>
      </w:tr>
      <w:tr w14:paraId="27732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55" w:type="dxa"/>
            <w:vMerge w:val="continue"/>
            <w:vAlign w:val="center"/>
          </w:tcPr>
          <w:p w14:paraId="7FF08C37">
            <w:pPr>
              <w:pStyle w:val="276"/>
              <w:rPr>
                <w:color w:val="auto"/>
              </w:rPr>
            </w:pPr>
          </w:p>
        </w:tc>
        <w:tc>
          <w:tcPr>
            <w:tcW w:w="2361" w:type="dxa"/>
            <w:vAlign w:val="center"/>
          </w:tcPr>
          <w:p w14:paraId="154E20DD">
            <w:pPr>
              <w:pStyle w:val="276"/>
              <w:rPr>
                <w:color w:val="auto"/>
              </w:rPr>
            </w:pPr>
            <w:r>
              <w:rPr>
                <w:rFonts w:hint="eastAsia"/>
                <w:color w:val="auto"/>
              </w:rPr>
              <w:t>24小时平均</w:t>
            </w:r>
          </w:p>
        </w:tc>
        <w:tc>
          <w:tcPr>
            <w:tcW w:w="1870" w:type="dxa"/>
            <w:vAlign w:val="center"/>
          </w:tcPr>
          <w:p w14:paraId="388C541D">
            <w:pPr>
              <w:pStyle w:val="276"/>
              <w:rPr>
                <w:color w:val="auto"/>
              </w:rPr>
            </w:pPr>
            <w:r>
              <w:rPr>
                <w:rFonts w:hint="eastAsia"/>
                <w:color w:val="auto"/>
              </w:rPr>
              <w:t>75μg/m</w:t>
            </w:r>
            <w:r>
              <w:rPr>
                <w:rFonts w:hint="eastAsia"/>
                <w:color w:val="auto"/>
                <w:vertAlign w:val="superscript"/>
              </w:rPr>
              <w:t>3</w:t>
            </w:r>
          </w:p>
        </w:tc>
        <w:tc>
          <w:tcPr>
            <w:tcW w:w="3100" w:type="dxa"/>
            <w:vMerge w:val="continue"/>
            <w:shd w:val="clear" w:color="auto" w:fill="auto"/>
            <w:vAlign w:val="center"/>
          </w:tcPr>
          <w:p w14:paraId="632D8129">
            <w:pPr>
              <w:pStyle w:val="276"/>
              <w:rPr>
                <w:color w:val="auto"/>
              </w:rPr>
            </w:pPr>
          </w:p>
        </w:tc>
      </w:tr>
      <w:tr w14:paraId="7E09B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55" w:type="dxa"/>
            <w:vMerge w:val="restart"/>
            <w:vAlign w:val="center"/>
          </w:tcPr>
          <w:p w14:paraId="4D7A7A65">
            <w:pPr>
              <w:pStyle w:val="276"/>
              <w:rPr>
                <w:color w:val="auto"/>
              </w:rPr>
            </w:pPr>
            <w:r>
              <w:rPr>
                <w:rFonts w:hint="eastAsia"/>
                <w:color w:val="auto"/>
              </w:rPr>
              <w:t>SO</w:t>
            </w:r>
            <w:r>
              <w:rPr>
                <w:rFonts w:hint="eastAsia"/>
                <w:color w:val="auto"/>
                <w:vertAlign w:val="subscript"/>
              </w:rPr>
              <w:t>2</w:t>
            </w:r>
          </w:p>
        </w:tc>
        <w:tc>
          <w:tcPr>
            <w:tcW w:w="2361" w:type="dxa"/>
            <w:vAlign w:val="center"/>
          </w:tcPr>
          <w:p w14:paraId="5A966608">
            <w:pPr>
              <w:pStyle w:val="276"/>
              <w:rPr>
                <w:color w:val="auto"/>
                <w:lang w:val="de-DE"/>
              </w:rPr>
            </w:pPr>
            <w:r>
              <w:rPr>
                <w:rFonts w:hint="eastAsia"/>
                <w:color w:val="auto"/>
              </w:rPr>
              <w:t>年平均</w:t>
            </w:r>
          </w:p>
        </w:tc>
        <w:tc>
          <w:tcPr>
            <w:tcW w:w="1870" w:type="dxa"/>
            <w:vAlign w:val="center"/>
          </w:tcPr>
          <w:p w14:paraId="65F89257">
            <w:pPr>
              <w:pStyle w:val="276"/>
              <w:rPr>
                <w:color w:val="auto"/>
              </w:rPr>
            </w:pPr>
            <w:r>
              <w:rPr>
                <w:rFonts w:hint="eastAsia"/>
                <w:color w:val="auto"/>
              </w:rPr>
              <w:t>60μg/m</w:t>
            </w:r>
            <w:r>
              <w:rPr>
                <w:rFonts w:hint="eastAsia"/>
                <w:color w:val="auto"/>
                <w:vertAlign w:val="superscript"/>
              </w:rPr>
              <w:t>3</w:t>
            </w:r>
          </w:p>
        </w:tc>
        <w:tc>
          <w:tcPr>
            <w:tcW w:w="3100" w:type="dxa"/>
            <w:vMerge w:val="continue"/>
            <w:shd w:val="clear" w:color="auto" w:fill="auto"/>
            <w:vAlign w:val="center"/>
          </w:tcPr>
          <w:p w14:paraId="4DA04EBA">
            <w:pPr>
              <w:pStyle w:val="276"/>
              <w:rPr>
                <w:color w:val="auto"/>
              </w:rPr>
            </w:pPr>
          </w:p>
        </w:tc>
      </w:tr>
      <w:tr w14:paraId="67C1D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55" w:type="dxa"/>
            <w:vMerge w:val="continue"/>
            <w:vAlign w:val="center"/>
          </w:tcPr>
          <w:p w14:paraId="7EEB5196">
            <w:pPr>
              <w:pStyle w:val="276"/>
              <w:rPr>
                <w:color w:val="auto"/>
              </w:rPr>
            </w:pPr>
          </w:p>
        </w:tc>
        <w:tc>
          <w:tcPr>
            <w:tcW w:w="2361" w:type="dxa"/>
            <w:vAlign w:val="center"/>
          </w:tcPr>
          <w:p w14:paraId="50F67186">
            <w:pPr>
              <w:pStyle w:val="276"/>
              <w:rPr>
                <w:color w:val="auto"/>
              </w:rPr>
            </w:pPr>
            <w:r>
              <w:rPr>
                <w:rFonts w:hint="eastAsia"/>
                <w:color w:val="auto"/>
              </w:rPr>
              <w:t>24小时平均</w:t>
            </w:r>
          </w:p>
        </w:tc>
        <w:tc>
          <w:tcPr>
            <w:tcW w:w="1870" w:type="dxa"/>
            <w:vAlign w:val="center"/>
          </w:tcPr>
          <w:p w14:paraId="7543FA21">
            <w:pPr>
              <w:pStyle w:val="276"/>
              <w:rPr>
                <w:color w:val="auto"/>
              </w:rPr>
            </w:pPr>
            <w:r>
              <w:rPr>
                <w:rFonts w:hint="eastAsia"/>
                <w:color w:val="auto"/>
              </w:rPr>
              <w:t>150μg/m</w:t>
            </w:r>
            <w:r>
              <w:rPr>
                <w:rFonts w:hint="eastAsia"/>
                <w:color w:val="auto"/>
                <w:vertAlign w:val="superscript"/>
              </w:rPr>
              <w:t>3</w:t>
            </w:r>
          </w:p>
        </w:tc>
        <w:tc>
          <w:tcPr>
            <w:tcW w:w="3100" w:type="dxa"/>
            <w:vMerge w:val="continue"/>
            <w:shd w:val="clear" w:color="auto" w:fill="auto"/>
            <w:vAlign w:val="center"/>
          </w:tcPr>
          <w:p w14:paraId="69F390CA">
            <w:pPr>
              <w:pStyle w:val="276"/>
              <w:rPr>
                <w:color w:val="auto"/>
              </w:rPr>
            </w:pPr>
          </w:p>
        </w:tc>
      </w:tr>
      <w:tr w14:paraId="49EA3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55" w:type="dxa"/>
            <w:vMerge w:val="continue"/>
            <w:vAlign w:val="center"/>
          </w:tcPr>
          <w:p w14:paraId="42A7BF2D">
            <w:pPr>
              <w:pStyle w:val="276"/>
              <w:rPr>
                <w:color w:val="auto"/>
              </w:rPr>
            </w:pPr>
          </w:p>
        </w:tc>
        <w:tc>
          <w:tcPr>
            <w:tcW w:w="2361" w:type="dxa"/>
            <w:vAlign w:val="center"/>
          </w:tcPr>
          <w:p w14:paraId="17E8DFC6">
            <w:pPr>
              <w:pStyle w:val="276"/>
              <w:rPr>
                <w:color w:val="auto"/>
              </w:rPr>
            </w:pPr>
            <w:r>
              <w:rPr>
                <w:rFonts w:hint="eastAsia"/>
                <w:color w:val="auto"/>
              </w:rPr>
              <w:t>1小时平均</w:t>
            </w:r>
          </w:p>
        </w:tc>
        <w:tc>
          <w:tcPr>
            <w:tcW w:w="1870" w:type="dxa"/>
            <w:vAlign w:val="center"/>
          </w:tcPr>
          <w:p w14:paraId="00453590">
            <w:pPr>
              <w:pStyle w:val="276"/>
              <w:rPr>
                <w:color w:val="auto"/>
              </w:rPr>
            </w:pPr>
            <w:r>
              <w:rPr>
                <w:rFonts w:hint="eastAsia"/>
                <w:color w:val="auto"/>
              </w:rPr>
              <w:t>500μg/m</w:t>
            </w:r>
            <w:r>
              <w:rPr>
                <w:rFonts w:hint="eastAsia"/>
                <w:color w:val="auto"/>
                <w:vertAlign w:val="superscript"/>
              </w:rPr>
              <w:t>3</w:t>
            </w:r>
          </w:p>
        </w:tc>
        <w:tc>
          <w:tcPr>
            <w:tcW w:w="3100" w:type="dxa"/>
            <w:vMerge w:val="continue"/>
            <w:shd w:val="clear" w:color="auto" w:fill="auto"/>
            <w:vAlign w:val="center"/>
          </w:tcPr>
          <w:p w14:paraId="570D95FC">
            <w:pPr>
              <w:pStyle w:val="276"/>
              <w:rPr>
                <w:color w:val="auto"/>
              </w:rPr>
            </w:pPr>
          </w:p>
        </w:tc>
      </w:tr>
      <w:tr w14:paraId="74AA5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exact"/>
          <w:jc w:val="center"/>
        </w:trPr>
        <w:tc>
          <w:tcPr>
            <w:tcW w:w="1955" w:type="dxa"/>
            <w:vMerge w:val="restart"/>
            <w:vAlign w:val="center"/>
          </w:tcPr>
          <w:p w14:paraId="69BA799F">
            <w:pPr>
              <w:pStyle w:val="276"/>
              <w:rPr>
                <w:color w:val="auto"/>
              </w:rPr>
            </w:pPr>
            <w:r>
              <w:rPr>
                <w:rFonts w:hint="eastAsia"/>
                <w:color w:val="auto"/>
              </w:rPr>
              <w:t>NO</w:t>
            </w:r>
            <w:r>
              <w:rPr>
                <w:rFonts w:hint="eastAsia"/>
                <w:color w:val="auto"/>
                <w:vertAlign w:val="subscript"/>
              </w:rPr>
              <w:t>2</w:t>
            </w:r>
          </w:p>
        </w:tc>
        <w:tc>
          <w:tcPr>
            <w:tcW w:w="2361" w:type="dxa"/>
            <w:vAlign w:val="center"/>
          </w:tcPr>
          <w:p w14:paraId="331A0B3F">
            <w:pPr>
              <w:pStyle w:val="276"/>
              <w:rPr>
                <w:color w:val="auto"/>
              </w:rPr>
            </w:pPr>
            <w:r>
              <w:rPr>
                <w:rFonts w:hint="eastAsia"/>
                <w:color w:val="auto"/>
              </w:rPr>
              <w:t>年平均</w:t>
            </w:r>
          </w:p>
        </w:tc>
        <w:tc>
          <w:tcPr>
            <w:tcW w:w="1870" w:type="dxa"/>
            <w:vAlign w:val="center"/>
          </w:tcPr>
          <w:p w14:paraId="36658A53">
            <w:pPr>
              <w:pStyle w:val="276"/>
              <w:rPr>
                <w:color w:val="auto"/>
              </w:rPr>
            </w:pPr>
            <w:r>
              <w:rPr>
                <w:rFonts w:hint="eastAsia"/>
                <w:color w:val="auto"/>
              </w:rPr>
              <w:t>40μg/m</w:t>
            </w:r>
            <w:r>
              <w:rPr>
                <w:rFonts w:hint="eastAsia"/>
                <w:color w:val="auto"/>
                <w:vertAlign w:val="superscript"/>
              </w:rPr>
              <w:t>3</w:t>
            </w:r>
          </w:p>
        </w:tc>
        <w:tc>
          <w:tcPr>
            <w:tcW w:w="3100" w:type="dxa"/>
            <w:vMerge w:val="continue"/>
            <w:shd w:val="clear" w:color="auto" w:fill="auto"/>
            <w:vAlign w:val="center"/>
          </w:tcPr>
          <w:p w14:paraId="6E1453DA">
            <w:pPr>
              <w:pStyle w:val="276"/>
              <w:rPr>
                <w:color w:val="auto"/>
              </w:rPr>
            </w:pPr>
          </w:p>
        </w:tc>
      </w:tr>
      <w:tr w14:paraId="32FEC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55" w:type="dxa"/>
            <w:vMerge w:val="continue"/>
            <w:vAlign w:val="center"/>
          </w:tcPr>
          <w:p w14:paraId="13078922">
            <w:pPr>
              <w:pStyle w:val="276"/>
              <w:rPr>
                <w:color w:val="auto"/>
              </w:rPr>
            </w:pPr>
          </w:p>
        </w:tc>
        <w:tc>
          <w:tcPr>
            <w:tcW w:w="2361" w:type="dxa"/>
            <w:vAlign w:val="center"/>
          </w:tcPr>
          <w:p w14:paraId="44747642">
            <w:pPr>
              <w:pStyle w:val="276"/>
              <w:rPr>
                <w:color w:val="auto"/>
              </w:rPr>
            </w:pPr>
            <w:r>
              <w:rPr>
                <w:rFonts w:hint="eastAsia"/>
                <w:color w:val="auto"/>
              </w:rPr>
              <w:t>24小时平均</w:t>
            </w:r>
          </w:p>
        </w:tc>
        <w:tc>
          <w:tcPr>
            <w:tcW w:w="1870" w:type="dxa"/>
            <w:vAlign w:val="center"/>
          </w:tcPr>
          <w:p w14:paraId="2179F402">
            <w:pPr>
              <w:pStyle w:val="276"/>
              <w:rPr>
                <w:color w:val="auto"/>
              </w:rPr>
            </w:pPr>
            <w:r>
              <w:rPr>
                <w:rFonts w:hint="eastAsia"/>
                <w:color w:val="auto"/>
              </w:rPr>
              <w:t>80μg/m</w:t>
            </w:r>
            <w:r>
              <w:rPr>
                <w:rFonts w:hint="eastAsia"/>
                <w:color w:val="auto"/>
                <w:vertAlign w:val="superscript"/>
              </w:rPr>
              <w:t>3</w:t>
            </w:r>
          </w:p>
        </w:tc>
        <w:tc>
          <w:tcPr>
            <w:tcW w:w="3100" w:type="dxa"/>
            <w:vMerge w:val="continue"/>
            <w:shd w:val="clear" w:color="auto" w:fill="auto"/>
            <w:vAlign w:val="center"/>
          </w:tcPr>
          <w:p w14:paraId="491FC578">
            <w:pPr>
              <w:pStyle w:val="276"/>
              <w:rPr>
                <w:color w:val="auto"/>
              </w:rPr>
            </w:pPr>
          </w:p>
        </w:tc>
      </w:tr>
      <w:tr w14:paraId="2E0B8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55" w:type="dxa"/>
            <w:vMerge w:val="continue"/>
            <w:vAlign w:val="center"/>
          </w:tcPr>
          <w:p w14:paraId="21465CF1">
            <w:pPr>
              <w:pStyle w:val="276"/>
              <w:rPr>
                <w:color w:val="auto"/>
              </w:rPr>
            </w:pPr>
          </w:p>
        </w:tc>
        <w:tc>
          <w:tcPr>
            <w:tcW w:w="2361" w:type="dxa"/>
            <w:vAlign w:val="center"/>
          </w:tcPr>
          <w:p w14:paraId="5B4C8834">
            <w:pPr>
              <w:pStyle w:val="276"/>
              <w:rPr>
                <w:color w:val="auto"/>
              </w:rPr>
            </w:pPr>
            <w:r>
              <w:rPr>
                <w:rFonts w:hint="eastAsia"/>
                <w:color w:val="auto"/>
              </w:rPr>
              <w:t>1小时平均</w:t>
            </w:r>
          </w:p>
        </w:tc>
        <w:tc>
          <w:tcPr>
            <w:tcW w:w="1870" w:type="dxa"/>
            <w:vAlign w:val="center"/>
          </w:tcPr>
          <w:p w14:paraId="1D39BED0">
            <w:pPr>
              <w:pStyle w:val="276"/>
              <w:rPr>
                <w:color w:val="auto"/>
              </w:rPr>
            </w:pPr>
            <w:r>
              <w:rPr>
                <w:rFonts w:hint="eastAsia"/>
                <w:color w:val="auto"/>
              </w:rPr>
              <w:t>200μg/m</w:t>
            </w:r>
            <w:r>
              <w:rPr>
                <w:rFonts w:hint="eastAsia"/>
                <w:color w:val="auto"/>
                <w:vertAlign w:val="superscript"/>
              </w:rPr>
              <w:t>3</w:t>
            </w:r>
          </w:p>
        </w:tc>
        <w:tc>
          <w:tcPr>
            <w:tcW w:w="3100" w:type="dxa"/>
            <w:vMerge w:val="continue"/>
            <w:shd w:val="clear" w:color="auto" w:fill="auto"/>
            <w:vAlign w:val="center"/>
          </w:tcPr>
          <w:p w14:paraId="74AA2860">
            <w:pPr>
              <w:pStyle w:val="276"/>
              <w:rPr>
                <w:color w:val="auto"/>
              </w:rPr>
            </w:pPr>
          </w:p>
        </w:tc>
      </w:tr>
      <w:tr w14:paraId="3F677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55" w:type="dxa"/>
            <w:vMerge w:val="restart"/>
            <w:vAlign w:val="center"/>
          </w:tcPr>
          <w:p w14:paraId="58B03F09">
            <w:pPr>
              <w:pStyle w:val="276"/>
              <w:rPr>
                <w:color w:val="auto"/>
                <w:spacing w:val="20"/>
              </w:rPr>
            </w:pPr>
            <w:r>
              <w:rPr>
                <w:rFonts w:hint="eastAsia"/>
                <w:color w:val="auto"/>
              </w:rPr>
              <w:t>CO</w:t>
            </w:r>
          </w:p>
        </w:tc>
        <w:tc>
          <w:tcPr>
            <w:tcW w:w="2361" w:type="dxa"/>
            <w:vAlign w:val="center"/>
          </w:tcPr>
          <w:p w14:paraId="57CC4A10">
            <w:pPr>
              <w:pStyle w:val="276"/>
              <w:rPr>
                <w:color w:val="auto"/>
              </w:rPr>
            </w:pPr>
            <w:r>
              <w:rPr>
                <w:rFonts w:hint="eastAsia"/>
                <w:color w:val="auto"/>
              </w:rPr>
              <w:t>24小时平均</w:t>
            </w:r>
          </w:p>
        </w:tc>
        <w:tc>
          <w:tcPr>
            <w:tcW w:w="1870" w:type="dxa"/>
            <w:vAlign w:val="center"/>
          </w:tcPr>
          <w:p w14:paraId="08B67D39">
            <w:pPr>
              <w:pStyle w:val="276"/>
              <w:rPr>
                <w:color w:val="auto"/>
              </w:rPr>
            </w:pPr>
            <w:r>
              <w:rPr>
                <w:rFonts w:hint="eastAsia"/>
                <w:color w:val="auto"/>
              </w:rPr>
              <w:t>4 mg/m</w:t>
            </w:r>
            <w:r>
              <w:rPr>
                <w:rFonts w:hint="eastAsia"/>
                <w:color w:val="auto"/>
                <w:vertAlign w:val="superscript"/>
              </w:rPr>
              <w:t>3</w:t>
            </w:r>
          </w:p>
        </w:tc>
        <w:tc>
          <w:tcPr>
            <w:tcW w:w="3100" w:type="dxa"/>
            <w:vMerge w:val="continue"/>
            <w:shd w:val="clear" w:color="auto" w:fill="auto"/>
            <w:vAlign w:val="center"/>
          </w:tcPr>
          <w:p w14:paraId="12BD7337">
            <w:pPr>
              <w:pStyle w:val="276"/>
              <w:rPr>
                <w:color w:val="auto"/>
              </w:rPr>
            </w:pPr>
          </w:p>
        </w:tc>
      </w:tr>
      <w:tr w14:paraId="0E2CD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55" w:type="dxa"/>
            <w:vMerge w:val="continue"/>
            <w:vAlign w:val="center"/>
          </w:tcPr>
          <w:p w14:paraId="2FB17A89">
            <w:pPr>
              <w:pStyle w:val="276"/>
              <w:rPr>
                <w:color w:val="auto"/>
              </w:rPr>
            </w:pPr>
          </w:p>
        </w:tc>
        <w:tc>
          <w:tcPr>
            <w:tcW w:w="2361" w:type="dxa"/>
            <w:vAlign w:val="center"/>
          </w:tcPr>
          <w:p w14:paraId="33F58814">
            <w:pPr>
              <w:pStyle w:val="276"/>
              <w:rPr>
                <w:color w:val="auto"/>
              </w:rPr>
            </w:pPr>
            <w:r>
              <w:rPr>
                <w:rFonts w:hint="eastAsia"/>
                <w:color w:val="auto"/>
              </w:rPr>
              <w:t>1小时平均</w:t>
            </w:r>
          </w:p>
        </w:tc>
        <w:tc>
          <w:tcPr>
            <w:tcW w:w="1870" w:type="dxa"/>
            <w:vAlign w:val="center"/>
          </w:tcPr>
          <w:p w14:paraId="1A852805">
            <w:pPr>
              <w:pStyle w:val="276"/>
              <w:rPr>
                <w:color w:val="auto"/>
              </w:rPr>
            </w:pPr>
            <w:r>
              <w:rPr>
                <w:rFonts w:hint="eastAsia"/>
                <w:color w:val="auto"/>
              </w:rPr>
              <w:t>10 mg/m</w:t>
            </w:r>
            <w:r>
              <w:rPr>
                <w:rFonts w:hint="eastAsia"/>
                <w:color w:val="auto"/>
                <w:vertAlign w:val="superscript"/>
              </w:rPr>
              <w:t>3</w:t>
            </w:r>
          </w:p>
        </w:tc>
        <w:tc>
          <w:tcPr>
            <w:tcW w:w="3100" w:type="dxa"/>
            <w:vMerge w:val="continue"/>
            <w:shd w:val="clear" w:color="auto" w:fill="auto"/>
            <w:vAlign w:val="center"/>
          </w:tcPr>
          <w:p w14:paraId="018351ED">
            <w:pPr>
              <w:pStyle w:val="276"/>
              <w:rPr>
                <w:color w:val="auto"/>
              </w:rPr>
            </w:pPr>
          </w:p>
        </w:tc>
      </w:tr>
      <w:tr w14:paraId="6EDCA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55" w:type="dxa"/>
            <w:vMerge w:val="restart"/>
            <w:vAlign w:val="center"/>
          </w:tcPr>
          <w:p w14:paraId="22667E88">
            <w:pPr>
              <w:pStyle w:val="276"/>
              <w:rPr>
                <w:color w:val="auto"/>
                <w:spacing w:val="20"/>
              </w:rPr>
            </w:pPr>
            <w:r>
              <w:rPr>
                <w:rFonts w:hint="eastAsia"/>
                <w:color w:val="auto"/>
              </w:rPr>
              <w:t>O</w:t>
            </w:r>
            <w:r>
              <w:rPr>
                <w:rFonts w:hint="eastAsia"/>
                <w:color w:val="auto"/>
                <w:vertAlign w:val="subscript"/>
              </w:rPr>
              <w:t>3</w:t>
            </w:r>
          </w:p>
        </w:tc>
        <w:tc>
          <w:tcPr>
            <w:tcW w:w="2361" w:type="dxa"/>
            <w:vAlign w:val="center"/>
          </w:tcPr>
          <w:p w14:paraId="55089BEF">
            <w:pPr>
              <w:pStyle w:val="276"/>
              <w:rPr>
                <w:color w:val="auto"/>
              </w:rPr>
            </w:pPr>
            <w:r>
              <w:rPr>
                <w:rFonts w:hint="eastAsia"/>
                <w:color w:val="auto"/>
              </w:rPr>
              <w:t>日最大8小时平均</w:t>
            </w:r>
          </w:p>
        </w:tc>
        <w:tc>
          <w:tcPr>
            <w:tcW w:w="1870" w:type="dxa"/>
            <w:vAlign w:val="center"/>
          </w:tcPr>
          <w:p w14:paraId="0E6B6B34">
            <w:pPr>
              <w:pStyle w:val="276"/>
              <w:rPr>
                <w:color w:val="auto"/>
              </w:rPr>
            </w:pPr>
            <w:r>
              <w:rPr>
                <w:rFonts w:hint="eastAsia"/>
                <w:color w:val="auto"/>
              </w:rPr>
              <w:t>160μg/m</w:t>
            </w:r>
            <w:r>
              <w:rPr>
                <w:rFonts w:hint="eastAsia"/>
                <w:color w:val="auto"/>
                <w:vertAlign w:val="superscript"/>
              </w:rPr>
              <w:t>3</w:t>
            </w:r>
          </w:p>
        </w:tc>
        <w:tc>
          <w:tcPr>
            <w:tcW w:w="3100" w:type="dxa"/>
            <w:vMerge w:val="continue"/>
            <w:shd w:val="clear" w:color="auto" w:fill="auto"/>
            <w:vAlign w:val="center"/>
          </w:tcPr>
          <w:p w14:paraId="12AA158D">
            <w:pPr>
              <w:pStyle w:val="276"/>
              <w:rPr>
                <w:color w:val="auto"/>
              </w:rPr>
            </w:pPr>
          </w:p>
        </w:tc>
      </w:tr>
      <w:tr w14:paraId="5E0CE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55" w:type="dxa"/>
            <w:vMerge w:val="continue"/>
            <w:vAlign w:val="center"/>
          </w:tcPr>
          <w:p w14:paraId="1D3F68EF">
            <w:pPr>
              <w:pStyle w:val="276"/>
              <w:rPr>
                <w:color w:val="auto"/>
              </w:rPr>
            </w:pPr>
          </w:p>
        </w:tc>
        <w:tc>
          <w:tcPr>
            <w:tcW w:w="2361" w:type="dxa"/>
            <w:vAlign w:val="center"/>
          </w:tcPr>
          <w:p w14:paraId="2C8D69A3">
            <w:pPr>
              <w:pStyle w:val="276"/>
              <w:rPr>
                <w:color w:val="auto"/>
              </w:rPr>
            </w:pPr>
            <w:r>
              <w:rPr>
                <w:rFonts w:hint="eastAsia"/>
                <w:color w:val="auto"/>
              </w:rPr>
              <w:t>1小时平均</w:t>
            </w:r>
          </w:p>
        </w:tc>
        <w:tc>
          <w:tcPr>
            <w:tcW w:w="1870" w:type="dxa"/>
            <w:vAlign w:val="center"/>
          </w:tcPr>
          <w:p w14:paraId="25DBBCCE">
            <w:pPr>
              <w:pStyle w:val="276"/>
              <w:rPr>
                <w:color w:val="auto"/>
              </w:rPr>
            </w:pPr>
            <w:r>
              <w:rPr>
                <w:rFonts w:hint="eastAsia"/>
                <w:color w:val="auto"/>
              </w:rPr>
              <w:t>200μg/m</w:t>
            </w:r>
            <w:r>
              <w:rPr>
                <w:rFonts w:hint="eastAsia"/>
                <w:color w:val="auto"/>
                <w:vertAlign w:val="superscript"/>
              </w:rPr>
              <w:t>3</w:t>
            </w:r>
          </w:p>
        </w:tc>
        <w:tc>
          <w:tcPr>
            <w:tcW w:w="3100" w:type="dxa"/>
            <w:vMerge w:val="continue"/>
            <w:shd w:val="clear" w:color="auto" w:fill="auto"/>
            <w:vAlign w:val="center"/>
          </w:tcPr>
          <w:p w14:paraId="177F6BE0">
            <w:pPr>
              <w:pStyle w:val="276"/>
              <w:rPr>
                <w:color w:val="auto"/>
              </w:rPr>
            </w:pPr>
          </w:p>
        </w:tc>
      </w:tr>
      <w:tr w14:paraId="4422D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955" w:type="dxa"/>
            <w:vAlign w:val="center"/>
          </w:tcPr>
          <w:p w14:paraId="063B76F5">
            <w:pPr>
              <w:pStyle w:val="276"/>
              <w:rPr>
                <w:color w:val="auto"/>
              </w:rPr>
            </w:pPr>
            <w:r>
              <w:rPr>
                <w:rFonts w:hint="eastAsia"/>
                <w:color w:val="auto"/>
              </w:rPr>
              <w:t>NH</w:t>
            </w:r>
            <w:r>
              <w:rPr>
                <w:rFonts w:hint="eastAsia"/>
                <w:color w:val="auto"/>
                <w:vertAlign w:val="subscript"/>
              </w:rPr>
              <w:t>3</w:t>
            </w:r>
          </w:p>
        </w:tc>
        <w:tc>
          <w:tcPr>
            <w:tcW w:w="2361" w:type="dxa"/>
            <w:vAlign w:val="center"/>
          </w:tcPr>
          <w:p w14:paraId="616645B6">
            <w:pPr>
              <w:pStyle w:val="276"/>
              <w:rPr>
                <w:color w:val="auto"/>
              </w:rPr>
            </w:pPr>
            <w:r>
              <w:rPr>
                <w:rFonts w:hint="eastAsia"/>
                <w:color w:val="auto"/>
              </w:rPr>
              <w:t>1小时平均</w:t>
            </w:r>
          </w:p>
        </w:tc>
        <w:tc>
          <w:tcPr>
            <w:tcW w:w="1870" w:type="dxa"/>
            <w:vAlign w:val="center"/>
          </w:tcPr>
          <w:p w14:paraId="4498006F">
            <w:pPr>
              <w:pStyle w:val="276"/>
              <w:rPr>
                <w:color w:val="auto"/>
              </w:rPr>
            </w:pPr>
            <w:r>
              <w:rPr>
                <w:rFonts w:hint="eastAsia"/>
                <w:color w:val="auto"/>
              </w:rPr>
              <w:t>0.20mg/m</w:t>
            </w:r>
            <w:r>
              <w:rPr>
                <w:rFonts w:hint="eastAsia"/>
                <w:color w:val="auto"/>
                <w:vertAlign w:val="superscript"/>
              </w:rPr>
              <w:t>3</w:t>
            </w:r>
          </w:p>
        </w:tc>
        <w:tc>
          <w:tcPr>
            <w:tcW w:w="3100" w:type="dxa"/>
            <w:vMerge w:val="restart"/>
            <w:shd w:val="clear" w:color="auto" w:fill="auto"/>
            <w:vAlign w:val="center"/>
          </w:tcPr>
          <w:p w14:paraId="3951AB96">
            <w:pPr>
              <w:pStyle w:val="276"/>
              <w:rPr>
                <w:color w:val="auto"/>
              </w:rPr>
            </w:pPr>
            <w:r>
              <w:rPr>
                <w:rFonts w:hint="eastAsia"/>
                <w:color w:val="auto"/>
              </w:rPr>
              <w:t>《环境影响评价技术导则大气环境（HJ2.2-2018）》附录D的标准限值</w:t>
            </w:r>
          </w:p>
        </w:tc>
      </w:tr>
      <w:tr w14:paraId="6C91E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955" w:type="dxa"/>
            <w:vAlign w:val="center"/>
          </w:tcPr>
          <w:p w14:paraId="136F3E48">
            <w:pPr>
              <w:pStyle w:val="276"/>
              <w:rPr>
                <w:color w:val="auto"/>
              </w:rPr>
            </w:pPr>
            <w:r>
              <w:rPr>
                <w:rFonts w:hint="eastAsia"/>
                <w:color w:val="auto"/>
              </w:rPr>
              <w:t>H</w:t>
            </w:r>
            <w:r>
              <w:rPr>
                <w:rFonts w:hint="eastAsia"/>
                <w:color w:val="auto"/>
                <w:vertAlign w:val="subscript"/>
              </w:rPr>
              <w:t>2</w:t>
            </w:r>
            <w:r>
              <w:rPr>
                <w:rFonts w:hint="eastAsia"/>
                <w:color w:val="auto"/>
              </w:rPr>
              <w:t>S</w:t>
            </w:r>
          </w:p>
        </w:tc>
        <w:tc>
          <w:tcPr>
            <w:tcW w:w="2361" w:type="dxa"/>
            <w:vAlign w:val="center"/>
          </w:tcPr>
          <w:p w14:paraId="39452610">
            <w:pPr>
              <w:pStyle w:val="276"/>
              <w:rPr>
                <w:color w:val="auto"/>
              </w:rPr>
            </w:pPr>
            <w:r>
              <w:rPr>
                <w:rFonts w:hint="eastAsia"/>
                <w:color w:val="auto"/>
              </w:rPr>
              <w:t>1小时平均</w:t>
            </w:r>
          </w:p>
        </w:tc>
        <w:tc>
          <w:tcPr>
            <w:tcW w:w="1870" w:type="dxa"/>
            <w:vAlign w:val="center"/>
          </w:tcPr>
          <w:p w14:paraId="344326B6">
            <w:pPr>
              <w:pStyle w:val="276"/>
              <w:rPr>
                <w:color w:val="auto"/>
              </w:rPr>
            </w:pPr>
            <w:r>
              <w:rPr>
                <w:rFonts w:hint="eastAsia"/>
                <w:color w:val="auto"/>
              </w:rPr>
              <w:t>0.01mg/m</w:t>
            </w:r>
            <w:r>
              <w:rPr>
                <w:rFonts w:hint="eastAsia"/>
                <w:color w:val="auto"/>
                <w:vertAlign w:val="superscript"/>
              </w:rPr>
              <w:t>3</w:t>
            </w:r>
          </w:p>
        </w:tc>
        <w:tc>
          <w:tcPr>
            <w:tcW w:w="3100" w:type="dxa"/>
            <w:vMerge w:val="continue"/>
            <w:shd w:val="clear" w:color="auto" w:fill="auto"/>
            <w:vAlign w:val="center"/>
          </w:tcPr>
          <w:p w14:paraId="1BC1643F">
            <w:pPr>
              <w:pStyle w:val="276"/>
              <w:rPr>
                <w:snapToGrid w:val="0"/>
                <w:color w:val="auto"/>
              </w:rPr>
            </w:pPr>
          </w:p>
        </w:tc>
      </w:tr>
      <w:tr w14:paraId="46946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955" w:type="dxa"/>
            <w:vAlign w:val="center"/>
          </w:tcPr>
          <w:p w14:paraId="158C802C">
            <w:pPr>
              <w:pStyle w:val="276"/>
              <w:rPr>
                <w:color w:val="auto"/>
              </w:rPr>
            </w:pPr>
            <w:r>
              <w:rPr>
                <w:rFonts w:hint="eastAsia"/>
                <w:color w:val="auto"/>
              </w:rPr>
              <w:t>TVOC</w:t>
            </w:r>
          </w:p>
        </w:tc>
        <w:tc>
          <w:tcPr>
            <w:tcW w:w="2361" w:type="dxa"/>
            <w:vAlign w:val="center"/>
          </w:tcPr>
          <w:p w14:paraId="03FAA8E9">
            <w:pPr>
              <w:pStyle w:val="276"/>
              <w:rPr>
                <w:color w:val="auto"/>
              </w:rPr>
            </w:pPr>
            <w:r>
              <w:rPr>
                <w:rFonts w:hint="eastAsia"/>
                <w:color w:val="auto"/>
              </w:rPr>
              <w:t>8小时平均</w:t>
            </w:r>
          </w:p>
        </w:tc>
        <w:tc>
          <w:tcPr>
            <w:tcW w:w="1870" w:type="dxa"/>
            <w:vAlign w:val="center"/>
          </w:tcPr>
          <w:p w14:paraId="1C62A878">
            <w:pPr>
              <w:pStyle w:val="276"/>
              <w:rPr>
                <w:color w:val="auto"/>
              </w:rPr>
            </w:pPr>
            <w:r>
              <w:rPr>
                <w:rFonts w:hint="eastAsia"/>
                <w:color w:val="auto"/>
              </w:rPr>
              <w:t>0.6mg/m</w:t>
            </w:r>
            <w:r>
              <w:rPr>
                <w:rFonts w:hint="eastAsia"/>
                <w:color w:val="auto"/>
                <w:vertAlign w:val="superscript"/>
              </w:rPr>
              <w:t>3</w:t>
            </w:r>
          </w:p>
        </w:tc>
        <w:tc>
          <w:tcPr>
            <w:tcW w:w="3100" w:type="dxa"/>
            <w:vMerge w:val="continue"/>
            <w:shd w:val="clear" w:color="auto" w:fill="auto"/>
            <w:vAlign w:val="center"/>
          </w:tcPr>
          <w:p w14:paraId="7979655E">
            <w:pPr>
              <w:pStyle w:val="276"/>
              <w:rPr>
                <w:snapToGrid w:val="0"/>
                <w:color w:val="auto"/>
              </w:rPr>
            </w:pPr>
          </w:p>
        </w:tc>
      </w:tr>
      <w:tr w14:paraId="13983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955" w:type="dxa"/>
            <w:vAlign w:val="center"/>
          </w:tcPr>
          <w:p w14:paraId="5DDB9AEC">
            <w:pPr>
              <w:pStyle w:val="276"/>
              <w:rPr>
                <w:color w:val="auto"/>
              </w:rPr>
            </w:pPr>
            <w:r>
              <w:rPr>
                <w:rFonts w:hint="eastAsia"/>
                <w:color w:val="auto"/>
              </w:rPr>
              <w:t>非甲烷总烃</w:t>
            </w:r>
          </w:p>
        </w:tc>
        <w:tc>
          <w:tcPr>
            <w:tcW w:w="2361" w:type="dxa"/>
            <w:shd w:val="clear" w:color="auto" w:fill="auto"/>
            <w:vAlign w:val="center"/>
          </w:tcPr>
          <w:p w14:paraId="09E7860A">
            <w:pPr>
              <w:pStyle w:val="276"/>
              <w:rPr>
                <w:color w:val="auto"/>
              </w:rPr>
            </w:pPr>
            <w:r>
              <w:rPr>
                <w:rFonts w:hint="eastAsia"/>
                <w:color w:val="auto"/>
              </w:rPr>
              <w:t>1小时平均</w:t>
            </w:r>
          </w:p>
        </w:tc>
        <w:tc>
          <w:tcPr>
            <w:tcW w:w="1870" w:type="dxa"/>
            <w:shd w:val="clear" w:color="auto" w:fill="auto"/>
            <w:vAlign w:val="center"/>
          </w:tcPr>
          <w:p w14:paraId="455BD3DF">
            <w:pPr>
              <w:pStyle w:val="276"/>
              <w:rPr>
                <w:color w:val="auto"/>
              </w:rPr>
            </w:pPr>
            <w:r>
              <w:rPr>
                <w:rFonts w:hint="eastAsia"/>
                <w:color w:val="auto"/>
                <w:lang w:val="en-US"/>
              </w:rPr>
              <w:t>2m</w:t>
            </w:r>
            <w:r>
              <w:rPr>
                <w:rFonts w:hint="eastAsia"/>
                <w:color w:val="auto"/>
              </w:rPr>
              <w:t>g/m</w:t>
            </w:r>
            <w:r>
              <w:rPr>
                <w:rFonts w:hint="eastAsia"/>
                <w:color w:val="auto"/>
                <w:vertAlign w:val="superscript"/>
              </w:rPr>
              <w:t>3</w:t>
            </w:r>
          </w:p>
        </w:tc>
        <w:tc>
          <w:tcPr>
            <w:tcW w:w="3100" w:type="dxa"/>
            <w:shd w:val="clear" w:color="auto" w:fill="auto"/>
            <w:vAlign w:val="center"/>
          </w:tcPr>
          <w:p w14:paraId="7577624A">
            <w:pPr>
              <w:pStyle w:val="276"/>
              <w:rPr>
                <w:snapToGrid w:val="0"/>
                <w:color w:val="auto"/>
                <w:sz w:val="22"/>
              </w:rPr>
            </w:pPr>
            <w:r>
              <w:rPr>
                <w:rFonts w:hint="eastAsia"/>
                <w:color w:val="auto"/>
              </w:rPr>
              <w:t>《河北省地方标准 环境空气质量 非甲烷总烃限值》（DB13/1577-2012）</w:t>
            </w:r>
          </w:p>
        </w:tc>
      </w:tr>
    </w:tbl>
    <w:p w14:paraId="1BEAC956">
      <w:pPr>
        <w:spacing w:line="360" w:lineRule="auto"/>
        <w:ind w:firstLine="480"/>
        <w:rPr>
          <w:color w:val="auto"/>
        </w:rPr>
      </w:pPr>
    </w:p>
    <w:p w14:paraId="48DC5B49">
      <w:pPr>
        <w:spacing w:line="360" w:lineRule="auto"/>
        <w:ind w:firstLine="480"/>
        <w:rPr>
          <w:color w:val="auto"/>
        </w:rPr>
      </w:pPr>
      <w:r>
        <w:rPr>
          <w:color w:val="auto"/>
        </w:rPr>
        <w:t>（2）地表水</w:t>
      </w:r>
    </w:p>
    <w:p w14:paraId="41DFCCB3">
      <w:pPr>
        <w:pStyle w:val="959"/>
        <w:snapToGrid w:val="0"/>
        <w:ind w:firstLine="480"/>
        <w:rPr>
          <w:color w:val="auto"/>
        </w:rPr>
      </w:pPr>
      <w:r>
        <w:rPr>
          <w:rFonts w:hint="eastAsia" w:ascii="Times New Roman" w:hAnsi="Times New Roman"/>
          <w:color w:val="auto"/>
          <w:lang w:val="en-US"/>
        </w:rPr>
        <w:t>拟建项目设计</w:t>
      </w:r>
      <w:r>
        <w:rPr>
          <w:bCs/>
          <w:color w:val="auto"/>
        </w:rPr>
        <w:t>出水水质达到</w:t>
      </w:r>
      <w:r>
        <w:rPr>
          <w:rFonts w:hint="eastAsia" w:ascii="Times New Roman" w:hAnsi="Times New Roman"/>
          <w:color w:val="auto"/>
          <w:lang w:val="en-US" w:eastAsia="zh-CN"/>
        </w:rPr>
        <w:t>《页岩气开采水污染物排放标准》（DB50/1806-2025）间接排放标准限值</w:t>
      </w:r>
      <w:r>
        <w:rPr>
          <w:rFonts w:ascii="Times New Roman" w:hAnsi="Times New Roman"/>
          <w:color w:val="auto"/>
        </w:rPr>
        <w:t>后</w:t>
      </w:r>
      <w:r>
        <w:rPr>
          <w:rFonts w:hint="eastAsia" w:ascii="Times New Roman" w:hAnsi="Times New Roman"/>
          <w:color w:val="auto"/>
          <w:lang w:val="en-US" w:eastAsia="zh-CN"/>
        </w:rPr>
        <w:t>直接接入</w:t>
      </w:r>
      <w:r>
        <w:rPr>
          <w:rFonts w:hint="eastAsia" w:ascii="Times New Roman" w:hAnsi="Times New Roman"/>
          <w:color w:val="auto"/>
          <w:lang w:eastAsia="zh-CN"/>
        </w:rPr>
        <w:t>乌杨组团园区污水处理厂</w:t>
      </w:r>
      <w:r>
        <w:rPr>
          <w:rFonts w:hint="eastAsia"/>
          <w:color w:val="auto"/>
        </w:rPr>
        <w:t>进行深度处理达《城镇污水处理厂污染物排放标准</w:t>
      </w:r>
      <w:r>
        <w:rPr>
          <w:rFonts w:ascii="Times New Roman" w:hAnsi="Times New Roman"/>
          <w:color w:val="auto"/>
        </w:rPr>
        <w:t>》（GB18918-2002）一级 A 标准后</w:t>
      </w:r>
      <w:r>
        <w:rPr>
          <w:rFonts w:hint="eastAsia"/>
          <w:color w:val="auto"/>
        </w:rPr>
        <w:t>排入</w:t>
      </w:r>
      <w:r>
        <w:rPr>
          <w:rFonts w:hint="eastAsia"/>
          <w:color w:val="auto"/>
          <w:lang w:eastAsia="zh-CN"/>
        </w:rPr>
        <w:t>长江</w:t>
      </w:r>
      <w:r>
        <w:rPr>
          <w:rFonts w:hint="eastAsia"/>
          <w:color w:val="auto"/>
        </w:rPr>
        <w:t>。</w:t>
      </w:r>
    </w:p>
    <w:p w14:paraId="40342E21">
      <w:pPr>
        <w:spacing w:line="360" w:lineRule="auto"/>
        <w:ind w:firstLine="480"/>
        <w:rPr>
          <w:color w:val="auto"/>
        </w:rPr>
      </w:pPr>
      <w:r>
        <w:rPr>
          <w:rFonts w:hint="eastAsia"/>
          <w:color w:val="auto"/>
        </w:rPr>
        <w:t>根据《重庆市人民政府批转重庆市地表水环境功能类别调整方案的通知》（渝府发〔2012〕4号），</w:t>
      </w:r>
      <w:r>
        <w:rPr>
          <w:rFonts w:hint="eastAsia"/>
          <w:color w:val="auto"/>
          <w:lang w:eastAsia="zh-CN"/>
        </w:rPr>
        <w:t>长江</w:t>
      </w:r>
      <w:r>
        <w:rPr>
          <w:rFonts w:hint="eastAsia"/>
          <w:color w:val="auto"/>
        </w:rPr>
        <w:t>评价段地表水域功能类别为Ⅲ类，因此，</w:t>
      </w:r>
      <w:r>
        <w:rPr>
          <w:rFonts w:hint="eastAsia"/>
          <w:color w:val="auto"/>
          <w:lang w:eastAsia="zh-CN"/>
        </w:rPr>
        <w:t>长江</w:t>
      </w:r>
      <w:r>
        <w:rPr>
          <w:rFonts w:hint="eastAsia"/>
          <w:color w:val="auto"/>
        </w:rPr>
        <w:t>评价段</w:t>
      </w:r>
      <w:r>
        <w:rPr>
          <w:color w:val="auto"/>
          <w:szCs w:val="21"/>
        </w:rPr>
        <w:t>执行</w:t>
      </w:r>
      <w:r>
        <w:rPr>
          <w:rFonts w:hint="eastAsia"/>
          <w:color w:val="auto"/>
        </w:rPr>
        <w:t>《地表水环境质量标准》（GB3838 -2002）Ⅲ类水域标准。标准值见表</w:t>
      </w:r>
      <w:r>
        <w:rPr>
          <w:rFonts w:hint="eastAsia"/>
          <w:color w:val="auto"/>
          <w:lang w:eastAsia="zh-CN"/>
        </w:rPr>
        <w:t>2.6</w:t>
      </w:r>
      <w:r>
        <w:rPr>
          <w:color w:val="auto"/>
        </w:rPr>
        <w:t>-2</w:t>
      </w:r>
      <w:r>
        <w:rPr>
          <w:rFonts w:hint="eastAsia"/>
          <w:color w:val="auto"/>
        </w:rPr>
        <w:t>。</w:t>
      </w:r>
    </w:p>
    <w:p w14:paraId="5C00C312">
      <w:pPr>
        <w:pStyle w:val="276"/>
        <w:rPr>
          <w:color w:val="auto"/>
        </w:rPr>
      </w:pPr>
      <w:r>
        <w:rPr>
          <w:color w:val="auto"/>
        </w:rPr>
        <w:t>表</w:t>
      </w:r>
      <w:r>
        <w:rPr>
          <w:rFonts w:hint="eastAsia"/>
          <w:color w:val="auto"/>
          <w:lang w:eastAsia="zh-CN"/>
        </w:rPr>
        <w:t>2.6</w:t>
      </w:r>
      <w:r>
        <w:rPr>
          <w:color w:val="auto"/>
        </w:rPr>
        <w:t xml:space="preserve">-2     地表水环境质量标准限值  </w:t>
      </w:r>
      <w:r>
        <w:rPr>
          <w:rFonts w:hint="eastAsia"/>
          <w:color w:val="auto"/>
        </w:rPr>
        <w:t>〔</w:t>
      </w:r>
      <w:r>
        <w:rPr>
          <w:color w:val="auto"/>
        </w:rPr>
        <w:t>摘要</w:t>
      </w:r>
      <w:r>
        <w:rPr>
          <w:rFonts w:hint="eastAsia"/>
          <w:color w:val="auto"/>
        </w:rPr>
        <w:t>〕</w:t>
      </w:r>
      <w:r>
        <w:rPr>
          <w:color w:val="auto"/>
        </w:rPr>
        <w:t xml:space="preserve"> </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56"/>
        <w:gridCol w:w="5430"/>
      </w:tblGrid>
      <w:tr w14:paraId="7E195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blHeader/>
          <w:jc w:val="center"/>
        </w:trPr>
        <w:tc>
          <w:tcPr>
            <w:tcW w:w="2076" w:type="pct"/>
            <w:vAlign w:val="center"/>
          </w:tcPr>
          <w:p w14:paraId="3BFE4A43">
            <w:pPr>
              <w:pStyle w:val="45"/>
              <w:ind w:firstLine="480"/>
              <w:jc w:val="center"/>
              <w:rPr>
                <w:rFonts w:ascii="Times New Roman" w:hAnsi="Times New Roman"/>
                <w:color w:val="auto"/>
                <w:szCs w:val="21"/>
              </w:rPr>
            </w:pPr>
            <w:r>
              <w:rPr>
                <w:rFonts w:hint="eastAsia" w:ascii="Times New Roman" w:hAnsi="Times New Roman"/>
                <w:color w:val="auto"/>
                <w:szCs w:val="21"/>
              </w:rPr>
              <w:t>项目</w:t>
            </w:r>
          </w:p>
        </w:tc>
        <w:tc>
          <w:tcPr>
            <w:tcW w:w="2923" w:type="pct"/>
            <w:vAlign w:val="center"/>
          </w:tcPr>
          <w:p w14:paraId="4037130F">
            <w:pPr>
              <w:pStyle w:val="45"/>
              <w:ind w:firstLine="480"/>
              <w:jc w:val="center"/>
              <w:rPr>
                <w:rFonts w:ascii="Times New Roman" w:hAnsi="Times New Roman"/>
                <w:color w:val="auto"/>
                <w:szCs w:val="21"/>
              </w:rPr>
            </w:pPr>
            <w:r>
              <w:rPr>
                <w:rFonts w:hint="eastAsia" w:hAnsi="宋体" w:cs="宋体"/>
                <w:color w:val="auto"/>
                <w:szCs w:val="21"/>
              </w:rPr>
              <w:t>Ⅲ</w:t>
            </w:r>
            <w:r>
              <w:rPr>
                <w:rFonts w:hint="eastAsia" w:ascii="Times New Roman" w:hAnsi="Times New Roman"/>
                <w:color w:val="auto"/>
                <w:szCs w:val="21"/>
              </w:rPr>
              <w:t>类标准值</w:t>
            </w:r>
          </w:p>
        </w:tc>
      </w:tr>
      <w:tr w14:paraId="5737F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6" w:type="pct"/>
            <w:vAlign w:val="center"/>
          </w:tcPr>
          <w:p w14:paraId="3733F57A">
            <w:pPr>
              <w:pStyle w:val="45"/>
              <w:ind w:firstLine="480"/>
              <w:jc w:val="center"/>
              <w:rPr>
                <w:rFonts w:ascii="Times New Roman" w:hAnsi="Times New Roman"/>
                <w:color w:val="auto"/>
                <w:szCs w:val="21"/>
              </w:rPr>
            </w:pPr>
            <w:r>
              <w:rPr>
                <w:rFonts w:hint="eastAsia" w:ascii="Times New Roman" w:hAnsi="Times New Roman"/>
                <w:color w:val="auto"/>
                <w:szCs w:val="21"/>
              </w:rPr>
              <w:t>水温（</w:t>
            </w:r>
            <w:r>
              <w:rPr>
                <w:rFonts w:hint="eastAsia" w:hAnsi="宋体" w:cs="宋体"/>
                <w:color w:val="auto"/>
                <w:szCs w:val="21"/>
              </w:rPr>
              <w:t>℃</w:t>
            </w:r>
            <w:r>
              <w:rPr>
                <w:rFonts w:hint="eastAsia" w:ascii="Times New Roman" w:hAnsi="Times New Roman"/>
                <w:color w:val="auto"/>
                <w:szCs w:val="21"/>
              </w:rPr>
              <w:t>）</w:t>
            </w:r>
          </w:p>
        </w:tc>
        <w:tc>
          <w:tcPr>
            <w:tcW w:w="2923" w:type="pct"/>
            <w:vAlign w:val="center"/>
          </w:tcPr>
          <w:p w14:paraId="2F3278AF">
            <w:pPr>
              <w:pStyle w:val="45"/>
              <w:ind w:firstLine="480"/>
              <w:jc w:val="center"/>
              <w:rPr>
                <w:rFonts w:ascii="Times New Roman" w:hAnsi="Times New Roman"/>
                <w:color w:val="auto"/>
                <w:szCs w:val="21"/>
              </w:rPr>
            </w:pPr>
            <w:r>
              <w:rPr>
                <w:rFonts w:hint="eastAsia" w:ascii="Times New Roman" w:hAnsi="Times New Roman"/>
                <w:color w:val="auto"/>
                <w:szCs w:val="21"/>
              </w:rPr>
              <w:t>人为造成的环境水温变化应限制在：周平均最大温升≤1，周平均最大温降≤2</w:t>
            </w:r>
          </w:p>
        </w:tc>
      </w:tr>
      <w:tr w14:paraId="6BF81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6" w:type="pct"/>
            <w:vAlign w:val="center"/>
          </w:tcPr>
          <w:p w14:paraId="5226AC85">
            <w:pPr>
              <w:pStyle w:val="45"/>
              <w:ind w:firstLine="480"/>
              <w:jc w:val="center"/>
              <w:rPr>
                <w:rFonts w:ascii="Times New Roman" w:hAnsi="Times New Roman"/>
                <w:color w:val="auto"/>
                <w:szCs w:val="21"/>
              </w:rPr>
            </w:pPr>
            <w:r>
              <w:rPr>
                <w:rFonts w:hint="eastAsia" w:ascii="Times New Roman" w:hAnsi="Times New Roman"/>
                <w:color w:val="auto"/>
                <w:szCs w:val="21"/>
              </w:rPr>
              <w:t>pH值（无量纲）</w:t>
            </w:r>
          </w:p>
        </w:tc>
        <w:tc>
          <w:tcPr>
            <w:tcW w:w="2923" w:type="pct"/>
            <w:vAlign w:val="center"/>
          </w:tcPr>
          <w:p w14:paraId="2B8F93D1">
            <w:pPr>
              <w:pStyle w:val="45"/>
              <w:ind w:firstLine="480"/>
              <w:jc w:val="center"/>
              <w:rPr>
                <w:rFonts w:ascii="Times New Roman" w:hAnsi="Times New Roman"/>
                <w:color w:val="auto"/>
                <w:szCs w:val="21"/>
              </w:rPr>
            </w:pPr>
            <w:r>
              <w:rPr>
                <w:rFonts w:hint="eastAsia" w:ascii="Times New Roman" w:hAnsi="Times New Roman"/>
                <w:color w:val="auto"/>
                <w:szCs w:val="21"/>
              </w:rPr>
              <w:t>6-9</w:t>
            </w:r>
          </w:p>
        </w:tc>
      </w:tr>
      <w:tr w14:paraId="3A509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6" w:type="pct"/>
            <w:vAlign w:val="center"/>
          </w:tcPr>
          <w:p w14:paraId="66FB0AB9">
            <w:pPr>
              <w:pStyle w:val="45"/>
              <w:ind w:firstLine="480"/>
              <w:jc w:val="center"/>
              <w:rPr>
                <w:rFonts w:ascii="Times New Roman" w:hAnsi="Times New Roman"/>
                <w:color w:val="auto"/>
                <w:szCs w:val="21"/>
              </w:rPr>
            </w:pPr>
            <w:r>
              <w:rPr>
                <w:rFonts w:hint="eastAsia" w:ascii="Times New Roman" w:hAnsi="Times New Roman"/>
                <w:color w:val="auto"/>
                <w:szCs w:val="21"/>
              </w:rPr>
              <w:t>溶解氧≥</w:t>
            </w:r>
          </w:p>
        </w:tc>
        <w:tc>
          <w:tcPr>
            <w:tcW w:w="2923" w:type="pct"/>
            <w:tcBorders>
              <w:right w:val="single" w:color="auto" w:sz="4" w:space="0"/>
            </w:tcBorders>
          </w:tcPr>
          <w:p w14:paraId="72D968FF">
            <w:pPr>
              <w:pStyle w:val="45"/>
              <w:ind w:firstLine="480"/>
              <w:jc w:val="center"/>
              <w:rPr>
                <w:rFonts w:ascii="Times New Roman" w:hAnsi="Times New Roman"/>
                <w:color w:val="auto"/>
                <w:szCs w:val="21"/>
              </w:rPr>
            </w:pPr>
            <w:r>
              <w:rPr>
                <w:rFonts w:hint="eastAsia" w:ascii="Times New Roman" w:hAnsi="Times New Roman"/>
                <w:color w:val="auto"/>
                <w:szCs w:val="21"/>
              </w:rPr>
              <w:t>5</w:t>
            </w:r>
          </w:p>
        </w:tc>
      </w:tr>
      <w:tr w14:paraId="53907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6" w:type="pct"/>
            <w:vAlign w:val="center"/>
          </w:tcPr>
          <w:p w14:paraId="1509923E">
            <w:pPr>
              <w:pStyle w:val="45"/>
              <w:ind w:firstLine="480"/>
              <w:jc w:val="center"/>
              <w:rPr>
                <w:rFonts w:ascii="Times New Roman" w:hAnsi="Times New Roman"/>
                <w:color w:val="auto"/>
                <w:szCs w:val="21"/>
              </w:rPr>
            </w:pPr>
            <w:r>
              <w:rPr>
                <w:rFonts w:hint="eastAsia" w:ascii="Times New Roman" w:hAnsi="Times New Roman"/>
                <w:color w:val="auto"/>
                <w:szCs w:val="21"/>
              </w:rPr>
              <w:t>高锰酸盐指数≤</w:t>
            </w:r>
          </w:p>
        </w:tc>
        <w:tc>
          <w:tcPr>
            <w:tcW w:w="2923" w:type="pct"/>
            <w:tcBorders>
              <w:right w:val="single" w:color="auto" w:sz="4" w:space="0"/>
            </w:tcBorders>
          </w:tcPr>
          <w:p w14:paraId="2D5393F1">
            <w:pPr>
              <w:pStyle w:val="45"/>
              <w:ind w:firstLine="480"/>
              <w:jc w:val="center"/>
              <w:rPr>
                <w:rFonts w:ascii="Times New Roman" w:hAnsi="Times New Roman"/>
                <w:color w:val="auto"/>
                <w:szCs w:val="21"/>
                <w:lang w:val="en-US"/>
              </w:rPr>
            </w:pPr>
            <w:r>
              <w:rPr>
                <w:rFonts w:hint="eastAsia" w:ascii="Times New Roman" w:hAnsi="Times New Roman"/>
                <w:color w:val="auto"/>
                <w:szCs w:val="21"/>
              </w:rPr>
              <w:t>6</w:t>
            </w:r>
          </w:p>
        </w:tc>
      </w:tr>
      <w:tr w14:paraId="4C44D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6" w:type="pct"/>
            <w:vAlign w:val="center"/>
          </w:tcPr>
          <w:p w14:paraId="558B2F23">
            <w:pPr>
              <w:pStyle w:val="45"/>
              <w:ind w:firstLine="480"/>
              <w:jc w:val="center"/>
              <w:rPr>
                <w:rFonts w:ascii="Times New Roman" w:hAnsi="Times New Roman"/>
                <w:color w:val="auto"/>
                <w:szCs w:val="21"/>
              </w:rPr>
            </w:pPr>
            <w:r>
              <w:rPr>
                <w:rFonts w:hint="eastAsia" w:ascii="Times New Roman" w:hAnsi="Times New Roman"/>
                <w:color w:val="auto"/>
                <w:szCs w:val="21"/>
              </w:rPr>
              <w:t>COD≤</w:t>
            </w:r>
          </w:p>
        </w:tc>
        <w:tc>
          <w:tcPr>
            <w:tcW w:w="2923" w:type="pct"/>
            <w:tcBorders>
              <w:right w:val="single" w:color="auto" w:sz="4" w:space="0"/>
            </w:tcBorders>
          </w:tcPr>
          <w:p w14:paraId="2DDABC27">
            <w:pPr>
              <w:pStyle w:val="45"/>
              <w:ind w:firstLine="480"/>
              <w:jc w:val="center"/>
              <w:rPr>
                <w:rFonts w:ascii="Times New Roman" w:hAnsi="Times New Roman"/>
                <w:color w:val="auto"/>
                <w:szCs w:val="21"/>
                <w:lang w:val="en-US"/>
              </w:rPr>
            </w:pPr>
            <w:r>
              <w:rPr>
                <w:rFonts w:hint="eastAsia" w:ascii="Times New Roman" w:hAnsi="Times New Roman"/>
                <w:color w:val="auto"/>
                <w:szCs w:val="21"/>
              </w:rPr>
              <w:t>20</w:t>
            </w:r>
          </w:p>
        </w:tc>
      </w:tr>
      <w:tr w14:paraId="797AF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6" w:type="pct"/>
            <w:vAlign w:val="center"/>
          </w:tcPr>
          <w:p w14:paraId="7C81288F">
            <w:pPr>
              <w:pStyle w:val="45"/>
              <w:ind w:firstLine="480"/>
              <w:jc w:val="center"/>
              <w:rPr>
                <w:rFonts w:ascii="Times New Roman" w:hAnsi="Times New Roman"/>
                <w:color w:val="auto"/>
                <w:szCs w:val="21"/>
              </w:rPr>
            </w:pPr>
            <w:r>
              <w:rPr>
                <w:rFonts w:hint="eastAsia" w:ascii="Times New Roman" w:hAnsi="Times New Roman"/>
                <w:color w:val="auto"/>
                <w:szCs w:val="21"/>
              </w:rPr>
              <w:t>BOD</w:t>
            </w:r>
            <w:r>
              <w:rPr>
                <w:rFonts w:hint="eastAsia" w:ascii="Times New Roman" w:hAnsi="Times New Roman"/>
                <w:color w:val="auto"/>
                <w:szCs w:val="21"/>
                <w:vertAlign w:val="subscript"/>
              </w:rPr>
              <w:t>5</w:t>
            </w:r>
            <w:r>
              <w:rPr>
                <w:rFonts w:hint="eastAsia" w:ascii="Times New Roman" w:hAnsi="Times New Roman"/>
                <w:color w:val="auto"/>
                <w:szCs w:val="21"/>
              </w:rPr>
              <w:t>≤</w:t>
            </w:r>
          </w:p>
        </w:tc>
        <w:tc>
          <w:tcPr>
            <w:tcW w:w="2923" w:type="pct"/>
            <w:tcBorders>
              <w:right w:val="single" w:color="auto" w:sz="4" w:space="0"/>
            </w:tcBorders>
          </w:tcPr>
          <w:p w14:paraId="60AF0A00">
            <w:pPr>
              <w:pStyle w:val="45"/>
              <w:ind w:firstLine="480"/>
              <w:jc w:val="center"/>
              <w:rPr>
                <w:rFonts w:ascii="Times New Roman" w:hAnsi="Times New Roman"/>
                <w:color w:val="auto"/>
                <w:szCs w:val="21"/>
              </w:rPr>
            </w:pPr>
            <w:r>
              <w:rPr>
                <w:rFonts w:hint="eastAsia" w:ascii="Times New Roman" w:hAnsi="Times New Roman"/>
                <w:color w:val="auto"/>
                <w:szCs w:val="21"/>
              </w:rPr>
              <w:t>4</w:t>
            </w:r>
          </w:p>
        </w:tc>
      </w:tr>
      <w:tr w14:paraId="1A1C3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6" w:type="pct"/>
            <w:vAlign w:val="center"/>
          </w:tcPr>
          <w:p w14:paraId="68F337E1">
            <w:pPr>
              <w:pStyle w:val="45"/>
              <w:ind w:firstLine="480"/>
              <w:jc w:val="center"/>
              <w:rPr>
                <w:rFonts w:ascii="Times New Roman" w:hAnsi="Times New Roman"/>
                <w:color w:val="auto"/>
                <w:szCs w:val="21"/>
              </w:rPr>
            </w:pPr>
            <w:r>
              <w:rPr>
                <w:rFonts w:hint="eastAsia" w:ascii="Times New Roman" w:hAnsi="Times New Roman"/>
                <w:color w:val="auto"/>
                <w:szCs w:val="21"/>
              </w:rPr>
              <w:t>氨氮≤</w:t>
            </w:r>
          </w:p>
        </w:tc>
        <w:tc>
          <w:tcPr>
            <w:tcW w:w="2923" w:type="pct"/>
            <w:tcBorders>
              <w:right w:val="single" w:color="auto" w:sz="4" w:space="0"/>
            </w:tcBorders>
          </w:tcPr>
          <w:p w14:paraId="39F45899">
            <w:pPr>
              <w:pStyle w:val="45"/>
              <w:ind w:firstLine="480"/>
              <w:jc w:val="center"/>
              <w:rPr>
                <w:rFonts w:ascii="Times New Roman" w:hAnsi="Times New Roman"/>
                <w:color w:val="auto"/>
                <w:szCs w:val="21"/>
                <w:lang w:val="en-US"/>
              </w:rPr>
            </w:pPr>
            <w:r>
              <w:rPr>
                <w:rFonts w:hint="eastAsia" w:ascii="Times New Roman" w:hAnsi="Times New Roman"/>
                <w:color w:val="auto"/>
                <w:szCs w:val="21"/>
              </w:rPr>
              <w:t>1.0</w:t>
            </w:r>
          </w:p>
        </w:tc>
      </w:tr>
      <w:tr w14:paraId="2D8A1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6" w:type="pct"/>
            <w:vAlign w:val="center"/>
          </w:tcPr>
          <w:p w14:paraId="24F0F715">
            <w:pPr>
              <w:pStyle w:val="45"/>
              <w:ind w:firstLine="480"/>
              <w:jc w:val="center"/>
              <w:rPr>
                <w:rFonts w:ascii="Times New Roman" w:hAnsi="Times New Roman"/>
                <w:color w:val="auto"/>
                <w:szCs w:val="21"/>
              </w:rPr>
            </w:pPr>
            <w:r>
              <w:rPr>
                <w:rFonts w:hint="eastAsia" w:ascii="Times New Roman" w:hAnsi="Times New Roman"/>
                <w:color w:val="auto"/>
                <w:szCs w:val="21"/>
              </w:rPr>
              <w:t>总磷≤</w:t>
            </w:r>
          </w:p>
        </w:tc>
        <w:tc>
          <w:tcPr>
            <w:tcW w:w="2923" w:type="pct"/>
            <w:tcBorders>
              <w:right w:val="single" w:color="auto" w:sz="4" w:space="0"/>
            </w:tcBorders>
          </w:tcPr>
          <w:p w14:paraId="64C5BF77">
            <w:pPr>
              <w:pStyle w:val="45"/>
              <w:ind w:firstLine="480"/>
              <w:jc w:val="center"/>
              <w:rPr>
                <w:rFonts w:ascii="Times New Roman" w:hAnsi="Times New Roman"/>
                <w:color w:val="auto"/>
                <w:szCs w:val="21"/>
              </w:rPr>
            </w:pPr>
            <w:r>
              <w:rPr>
                <w:rFonts w:hint="eastAsia" w:ascii="Times New Roman" w:hAnsi="Times New Roman"/>
                <w:color w:val="auto"/>
                <w:szCs w:val="21"/>
              </w:rPr>
              <w:t>0.2（湖、库0.05）</w:t>
            </w:r>
          </w:p>
        </w:tc>
      </w:tr>
      <w:tr w14:paraId="71FE9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6" w:type="pct"/>
            <w:vAlign w:val="center"/>
          </w:tcPr>
          <w:p w14:paraId="6F1CC8B4">
            <w:pPr>
              <w:pStyle w:val="45"/>
              <w:ind w:firstLine="480"/>
              <w:jc w:val="center"/>
              <w:rPr>
                <w:rFonts w:ascii="Times New Roman" w:hAnsi="Times New Roman"/>
                <w:color w:val="auto"/>
                <w:szCs w:val="21"/>
              </w:rPr>
            </w:pPr>
            <w:r>
              <w:rPr>
                <w:rFonts w:hint="eastAsia" w:ascii="Times New Roman" w:hAnsi="Times New Roman"/>
                <w:color w:val="auto"/>
                <w:szCs w:val="21"/>
              </w:rPr>
              <w:t>总氮≤</w:t>
            </w:r>
          </w:p>
        </w:tc>
        <w:tc>
          <w:tcPr>
            <w:tcW w:w="2923" w:type="pct"/>
            <w:tcBorders>
              <w:right w:val="single" w:color="auto" w:sz="4" w:space="0"/>
            </w:tcBorders>
          </w:tcPr>
          <w:p w14:paraId="371AF34B">
            <w:pPr>
              <w:pStyle w:val="45"/>
              <w:ind w:firstLine="480"/>
              <w:jc w:val="center"/>
              <w:rPr>
                <w:rFonts w:ascii="Times New Roman" w:hAnsi="Times New Roman"/>
                <w:color w:val="auto"/>
                <w:szCs w:val="21"/>
                <w:lang w:val="en-US"/>
              </w:rPr>
            </w:pPr>
            <w:r>
              <w:rPr>
                <w:rFonts w:hint="eastAsia" w:ascii="Times New Roman" w:hAnsi="Times New Roman"/>
                <w:color w:val="auto"/>
                <w:szCs w:val="21"/>
              </w:rPr>
              <w:t>1.0</w:t>
            </w:r>
          </w:p>
        </w:tc>
      </w:tr>
      <w:tr w14:paraId="7F3EB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6" w:type="pct"/>
            <w:vAlign w:val="center"/>
          </w:tcPr>
          <w:p w14:paraId="49EE31C2">
            <w:pPr>
              <w:pStyle w:val="45"/>
              <w:ind w:firstLine="480"/>
              <w:jc w:val="center"/>
              <w:rPr>
                <w:rFonts w:ascii="Times New Roman" w:hAnsi="Times New Roman"/>
                <w:color w:val="auto"/>
                <w:szCs w:val="21"/>
              </w:rPr>
            </w:pPr>
            <w:r>
              <w:rPr>
                <w:rFonts w:hint="eastAsia" w:ascii="Times New Roman" w:hAnsi="Times New Roman"/>
                <w:color w:val="auto"/>
                <w:szCs w:val="21"/>
              </w:rPr>
              <w:t>铜≤</w:t>
            </w:r>
          </w:p>
        </w:tc>
        <w:tc>
          <w:tcPr>
            <w:tcW w:w="2923" w:type="pct"/>
            <w:tcBorders>
              <w:right w:val="single" w:color="auto" w:sz="4" w:space="0"/>
            </w:tcBorders>
          </w:tcPr>
          <w:p w14:paraId="35F01291">
            <w:pPr>
              <w:pStyle w:val="45"/>
              <w:ind w:firstLine="480"/>
              <w:jc w:val="center"/>
              <w:rPr>
                <w:rFonts w:ascii="Times New Roman" w:hAnsi="Times New Roman"/>
                <w:color w:val="auto"/>
                <w:szCs w:val="21"/>
              </w:rPr>
            </w:pPr>
            <w:r>
              <w:rPr>
                <w:rFonts w:hint="eastAsia" w:ascii="Times New Roman" w:hAnsi="Times New Roman"/>
                <w:color w:val="auto"/>
                <w:szCs w:val="21"/>
              </w:rPr>
              <w:t>1.0</w:t>
            </w:r>
          </w:p>
        </w:tc>
      </w:tr>
      <w:tr w14:paraId="30CC0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6" w:type="pct"/>
            <w:vAlign w:val="center"/>
          </w:tcPr>
          <w:p w14:paraId="04C2C319">
            <w:pPr>
              <w:pStyle w:val="45"/>
              <w:ind w:firstLine="480"/>
              <w:jc w:val="center"/>
              <w:rPr>
                <w:rFonts w:ascii="Times New Roman" w:hAnsi="Times New Roman"/>
                <w:color w:val="auto"/>
                <w:szCs w:val="21"/>
              </w:rPr>
            </w:pPr>
            <w:r>
              <w:rPr>
                <w:rFonts w:hint="eastAsia" w:ascii="Times New Roman" w:hAnsi="Times New Roman"/>
                <w:color w:val="auto"/>
                <w:szCs w:val="21"/>
              </w:rPr>
              <w:t>锌≤</w:t>
            </w:r>
          </w:p>
        </w:tc>
        <w:tc>
          <w:tcPr>
            <w:tcW w:w="2923" w:type="pct"/>
            <w:tcBorders>
              <w:right w:val="single" w:color="auto" w:sz="4" w:space="0"/>
            </w:tcBorders>
          </w:tcPr>
          <w:p w14:paraId="796C9EC4">
            <w:pPr>
              <w:pStyle w:val="45"/>
              <w:ind w:firstLine="480"/>
              <w:jc w:val="center"/>
              <w:rPr>
                <w:rFonts w:ascii="Times New Roman" w:hAnsi="Times New Roman"/>
                <w:color w:val="auto"/>
                <w:szCs w:val="21"/>
              </w:rPr>
            </w:pPr>
            <w:r>
              <w:rPr>
                <w:rFonts w:hint="eastAsia" w:ascii="Times New Roman" w:hAnsi="Times New Roman"/>
                <w:color w:val="auto"/>
                <w:szCs w:val="21"/>
              </w:rPr>
              <w:t>1.0</w:t>
            </w:r>
          </w:p>
        </w:tc>
      </w:tr>
      <w:tr w14:paraId="6EABC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6" w:type="pct"/>
            <w:vAlign w:val="center"/>
          </w:tcPr>
          <w:p w14:paraId="6517112E">
            <w:pPr>
              <w:pStyle w:val="45"/>
              <w:ind w:firstLine="480"/>
              <w:jc w:val="center"/>
              <w:rPr>
                <w:rFonts w:ascii="Times New Roman" w:hAnsi="Times New Roman"/>
                <w:color w:val="auto"/>
                <w:szCs w:val="21"/>
              </w:rPr>
            </w:pPr>
            <w:r>
              <w:rPr>
                <w:rFonts w:hint="eastAsia" w:ascii="Times New Roman" w:hAnsi="Times New Roman"/>
                <w:color w:val="auto"/>
                <w:szCs w:val="21"/>
              </w:rPr>
              <w:t>氟化物≤</w:t>
            </w:r>
          </w:p>
        </w:tc>
        <w:tc>
          <w:tcPr>
            <w:tcW w:w="2923" w:type="pct"/>
            <w:tcBorders>
              <w:right w:val="single" w:color="auto" w:sz="4" w:space="0"/>
            </w:tcBorders>
          </w:tcPr>
          <w:p w14:paraId="50E62546">
            <w:pPr>
              <w:pStyle w:val="45"/>
              <w:ind w:firstLine="480"/>
              <w:jc w:val="center"/>
              <w:rPr>
                <w:rFonts w:ascii="Times New Roman" w:hAnsi="Times New Roman"/>
                <w:color w:val="auto"/>
                <w:szCs w:val="21"/>
              </w:rPr>
            </w:pPr>
            <w:r>
              <w:rPr>
                <w:rFonts w:hint="eastAsia" w:ascii="Times New Roman" w:hAnsi="Times New Roman"/>
                <w:color w:val="auto"/>
                <w:szCs w:val="21"/>
              </w:rPr>
              <w:t>1.0</w:t>
            </w:r>
          </w:p>
        </w:tc>
      </w:tr>
      <w:tr w14:paraId="480A0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6" w:type="pct"/>
            <w:vAlign w:val="center"/>
          </w:tcPr>
          <w:p w14:paraId="6EFE3EFD">
            <w:pPr>
              <w:pStyle w:val="45"/>
              <w:ind w:firstLine="480"/>
              <w:jc w:val="center"/>
              <w:rPr>
                <w:rFonts w:ascii="Times New Roman" w:hAnsi="Times New Roman"/>
                <w:color w:val="auto"/>
                <w:szCs w:val="21"/>
              </w:rPr>
            </w:pPr>
            <w:r>
              <w:rPr>
                <w:rFonts w:hint="eastAsia" w:ascii="Times New Roman" w:hAnsi="Times New Roman"/>
                <w:color w:val="auto"/>
                <w:szCs w:val="21"/>
              </w:rPr>
              <w:t>硒≤</w:t>
            </w:r>
          </w:p>
        </w:tc>
        <w:tc>
          <w:tcPr>
            <w:tcW w:w="2923" w:type="pct"/>
            <w:tcBorders>
              <w:right w:val="single" w:color="auto" w:sz="4" w:space="0"/>
            </w:tcBorders>
          </w:tcPr>
          <w:p w14:paraId="7EC04EEA">
            <w:pPr>
              <w:pStyle w:val="45"/>
              <w:ind w:firstLine="480"/>
              <w:jc w:val="center"/>
              <w:rPr>
                <w:rFonts w:ascii="Times New Roman" w:hAnsi="Times New Roman"/>
                <w:color w:val="auto"/>
                <w:szCs w:val="21"/>
              </w:rPr>
            </w:pPr>
            <w:r>
              <w:rPr>
                <w:rFonts w:hint="eastAsia" w:ascii="Times New Roman" w:hAnsi="Times New Roman"/>
                <w:color w:val="auto"/>
                <w:szCs w:val="21"/>
              </w:rPr>
              <w:t>0.01</w:t>
            </w:r>
          </w:p>
        </w:tc>
      </w:tr>
      <w:tr w14:paraId="61B7C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6" w:type="pct"/>
            <w:vAlign w:val="center"/>
          </w:tcPr>
          <w:p w14:paraId="6B55B3A4">
            <w:pPr>
              <w:pStyle w:val="45"/>
              <w:ind w:firstLine="480"/>
              <w:jc w:val="center"/>
              <w:rPr>
                <w:rFonts w:ascii="Times New Roman" w:hAnsi="Times New Roman"/>
                <w:color w:val="auto"/>
                <w:szCs w:val="21"/>
              </w:rPr>
            </w:pPr>
            <w:r>
              <w:rPr>
                <w:rFonts w:hint="eastAsia" w:ascii="Times New Roman" w:hAnsi="Times New Roman"/>
                <w:color w:val="auto"/>
                <w:szCs w:val="21"/>
              </w:rPr>
              <w:t>砷≤</w:t>
            </w:r>
          </w:p>
        </w:tc>
        <w:tc>
          <w:tcPr>
            <w:tcW w:w="2923" w:type="pct"/>
            <w:tcBorders>
              <w:right w:val="single" w:color="auto" w:sz="4" w:space="0"/>
            </w:tcBorders>
          </w:tcPr>
          <w:p w14:paraId="772A276C">
            <w:pPr>
              <w:pStyle w:val="45"/>
              <w:ind w:firstLine="480"/>
              <w:jc w:val="center"/>
              <w:rPr>
                <w:rFonts w:ascii="Times New Roman" w:hAnsi="Times New Roman"/>
                <w:color w:val="auto"/>
                <w:szCs w:val="21"/>
              </w:rPr>
            </w:pPr>
            <w:r>
              <w:rPr>
                <w:rFonts w:hint="eastAsia" w:ascii="Times New Roman" w:hAnsi="Times New Roman"/>
                <w:color w:val="auto"/>
                <w:szCs w:val="21"/>
              </w:rPr>
              <w:t>0.05</w:t>
            </w:r>
          </w:p>
        </w:tc>
      </w:tr>
      <w:tr w14:paraId="091C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6" w:type="pct"/>
            <w:vAlign w:val="center"/>
          </w:tcPr>
          <w:p w14:paraId="52373606">
            <w:pPr>
              <w:pStyle w:val="45"/>
              <w:ind w:firstLine="480"/>
              <w:jc w:val="center"/>
              <w:rPr>
                <w:rFonts w:ascii="Times New Roman" w:hAnsi="Times New Roman"/>
                <w:color w:val="auto"/>
                <w:szCs w:val="21"/>
              </w:rPr>
            </w:pPr>
            <w:r>
              <w:rPr>
                <w:rFonts w:hint="eastAsia" w:ascii="Times New Roman" w:hAnsi="Times New Roman"/>
                <w:color w:val="auto"/>
                <w:szCs w:val="21"/>
              </w:rPr>
              <w:t>汞≤</w:t>
            </w:r>
          </w:p>
        </w:tc>
        <w:tc>
          <w:tcPr>
            <w:tcW w:w="2923" w:type="pct"/>
            <w:tcBorders>
              <w:right w:val="single" w:color="auto" w:sz="4" w:space="0"/>
            </w:tcBorders>
          </w:tcPr>
          <w:p w14:paraId="141DB7ED">
            <w:pPr>
              <w:pStyle w:val="45"/>
              <w:ind w:firstLine="480"/>
              <w:jc w:val="center"/>
              <w:rPr>
                <w:rFonts w:ascii="Times New Roman" w:hAnsi="Times New Roman"/>
                <w:color w:val="auto"/>
                <w:szCs w:val="21"/>
              </w:rPr>
            </w:pPr>
            <w:r>
              <w:rPr>
                <w:rFonts w:hint="eastAsia" w:ascii="Times New Roman" w:hAnsi="Times New Roman"/>
                <w:color w:val="auto"/>
                <w:szCs w:val="21"/>
              </w:rPr>
              <w:t>0.0001</w:t>
            </w:r>
          </w:p>
        </w:tc>
      </w:tr>
      <w:tr w14:paraId="55DD6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6" w:type="pct"/>
            <w:vAlign w:val="center"/>
          </w:tcPr>
          <w:p w14:paraId="5F4864B7">
            <w:pPr>
              <w:pStyle w:val="45"/>
              <w:ind w:firstLine="480"/>
              <w:jc w:val="center"/>
              <w:rPr>
                <w:rFonts w:ascii="Times New Roman" w:hAnsi="Times New Roman"/>
                <w:color w:val="auto"/>
                <w:szCs w:val="21"/>
              </w:rPr>
            </w:pPr>
            <w:r>
              <w:rPr>
                <w:rFonts w:hint="eastAsia" w:ascii="Times New Roman" w:hAnsi="Times New Roman"/>
                <w:color w:val="auto"/>
                <w:szCs w:val="21"/>
              </w:rPr>
              <w:t>镉≤</w:t>
            </w:r>
          </w:p>
        </w:tc>
        <w:tc>
          <w:tcPr>
            <w:tcW w:w="2923" w:type="pct"/>
            <w:tcBorders>
              <w:right w:val="single" w:color="auto" w:sz="4" w:space="0"/>
            </w:tcBorders>
          </w:tcPr>
          <w:p w14:paraId="665F0BA9">
            <w:pPr>
              <w:pStyle w:val="45"/>
              <w:ind w:firstLine="480"/>
              <w:jc w:val="center"/>
              <w:rPr>
                <w:rFonts w:ascii="Times New Roman" w:hAnsi="Times New Roman"/>
                <w:color w:val="auto"/>
                <w:szCs w:val="21"/>
                <w:lang w:val="en-US"/>
              </w:rPr>
            </w:pPr>
            <w:r>
              <w:rPr>
                <w:rFonts w:hint="eastAsia" w:ascii="Times New Roman" w:hAnsi="Times New Roman"/>
                <w:color w:val="auto"/>
                <w:szCs w:val="21"/>
              </w:rPr>
              <w:t>0.005</w:t>
            </w:r>
          </w:p>
        </w:tc>
      </w:tr>
      <w:tr w14:paraId="2AE88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6" w:type="pct"/>
            <w:vAlign w:val="center"/>
          </w:tcPr>
          <w:p w14:paraId="7461965A">
            <w:pPr>
              <w:pStyle w:val="45"/>
              <w:ind w:firstLine="480"/>
              <w:jc w:val="center"/>
              <w:rPr>
                <w:rFonts w:ascii="Times New Roman" w:hAnsi="Times New Roman"/>
                <w:color w:val="auto"/>
                <w:szCs w:val="21"/>
              </w:rPr>
            </w:pPr>
            <w:r>
              <w:rPr>
                <w:rFonts w:hint="eastAsia" w:ascii="Times New Roman" w:hAnsi="Times New Roman"/>
                <w:color w:val="auto"/>
                <w:szCs w:val="21"/>
              </w:rPr>
              <w:t>铬（六价）≤</w:t>
            </w:r>
          </w:p>
        </w:tc>
        <w:tc>
          <w:tcPr>
            <w:tcW w:w="2923" w:type="pct"/>
            <w:tcBorders>
              <w:right w:val="single" w:color="auto" w:sz="4" w:space="0"/>
            </w:tcBorders>
          </w:tcPr>
          <w:p w14:paraId="7382D5C5">
            <w:pPr>
              <w:pStyle w:val="45"/>
              <w:ind w:firstLine="480"/>
              <w:jc w:val="center"/>
              <w:rPr>
                <w:rFonts w:ascii="Times New Roman" w:hAnsi="Times New Roman"/>
                <w:color w:val="auto"/>
                <w:szCs w:val="21"/>
                <w:lang w:val="en-US"/>
              </w:rPr>
            </w:pPr>
            <w:r>
              <w:rPr>
                <w:rFonts w:hint="eastAsia" w:ascii="Times New Roman" w:hAnsi="Times New Roman"/>
                <w:color w:val="auto"/>
                <w:szCs w:val="21"/>
              </w:rPr>
              <w:t>0.05</w:t>
            </w:r>
          </w:p>
        </w:tc>
      </w:tr>
      <w:tr w14:paraId="5A117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6" w:type="pct"/>
            <w:vAlign w:val="center"/>
          </w:tcPr>
          <w:p w14:paraId="70411F73">
            <w:pPr>
              <w:pStyle w:val="45"/>
              <w:ind w:firstLine="480"/>
              <w:jc w:val="center"/>
              <w:rPr>
                <w:rFonts w:ascii="Times New Roman" w:hAnsi="Times New Roman"/>
                <w:color w:val="auto"/>
                <w:szCs w:val="21"/>
              </w:rPr>
            </w:pPr>
            <w:r>
              <w:rPr>
                <w:rFonts w:hint="eastAsia" w:ascii="Times New Roman" w:hAnsi="Times New Roman"/>
                <w:color w:val="auto"/>
                <w:szCs w:val="21"/>
              </w:rPr>
              <w:t>铅≤</w:t>
            </w:r>
          </w:p>
        </w:tc>
        <w:tc>
          <w:tcPr>
            <w:tcW w:w="2923" w:type="pct"/>
            <w:tcBorders>
              <w:right w:val="single" w:color="auto" w:sz="4" w:space="0"/>
            </w:tcBorders>
          </w:tcPr>
          <w:p w14:paraId="2361816A">
            <w:pPr>
              <w:pStyle w:val="45"/>
              <w:ind w:firstLine="480"/>
              <w:jc w:val="center"/>
              <w:rPr>
                <w:rFonts w:ascii="Times New Roman" w:hAnsi="Times New Roman"/>
                <w:color w:val="auto"/>
                <w:szCs w:val="21"/>
                <w:lang w:val="en-US"/>
              </w:rPr>
            </w:pPr>
            <w:r>
              <w:rPr>
                <w:rFonts w:hint="eastAsia" w:ascii="Times New Roman" w:hAnsi="Times New Roman"/>
                <w:color w:val="auto"/>
                <w:szCs w:val="21"/>
              </w:rPr>
              <w:t>0.05</w:t>
            </w:r>
          </w:p>
        </w:tc>
      </w:tr>
      <w:tr w14:paraId="574E7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6" w:type="pct"/>
            <w:vAlign w:val="center"/>
          </w:tcPr>
          <w:p w14:paraId="74023057">
            <w:pPr>
              <w:pStyle w:val="45"/>
              <w:ind w:firstLine="480"/>
              <w:jc w:val="center"/>
              <w:rPr>
                <w:rFonts w:ascii="Times New Roman" w:hAnsi="Times New Roman"/>
                <w:color w:val="auto"/>
                <w:szCs w:val="21"/>
              </w:rPr>
            </w:pPr>
            <w:r>
              <w:rPr>
                <w:rFonts w:hint="eastAsia" w:ascii="Times New Roman" w:hAnsi="Times New Roman"/>
                <w:color w:val="auto"/>
                <w:szCs w:val="21"/>
              </w:rPr>
              <w:t>氰化物≤</w:t>
            </w:r>
          </w:p>
        </w:tc>
        <w:tc>
          <w:tcPr>
            <w:tcW w:w="2923" w:type="pct"/>
            <w:tcBorders>
              <w:right w:val="single" w:color="auto" w:sz="4" w:space="0"/>
            </w:tcBorders>
          </w:tcPr>
          <w:p w14:paraId="36AE86E8">
            <w:pPr>
              <w:pStyle w:val="45"/>
              <w:ind w:firstLine="480"/>
              <w:jc w:val="center"/>
              <w:rPr>
                <w:rFonts w:ascii="Times New Roman" w:hAnsi="Times New Roman"/>
                <w:color w:val="auto"/>
                <w:szCs w:val="21"/>
              </w:rPr>
            </w:pPr>
            <w:r>
              <w:rPr>
                <w:rFonts w:hint="eastAsia" w:ascii="Times New Roman" w:hAnsi="Times New Roman"/>
                <w:color w:val="auto"/>
                <w:szCs w:val="21"/>
              </w:rPr>
              <w:t>0.2</w:t>
            </w:r>
          </w:p>
        </w:tc>
      </w:tr>
      <w:tr w14:paraId="2FE87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6" w:type="pct"/>
            <w:vAlign w:val="center"/>
          </w:tcPr>
          <w:p w14:paraId="1A4E289A">
            <w:pPr>
              <w:pStyle w:val="45"/>
              <w:ind w:firstLine="480"/>
              <w:jc w:val="center"/>
              <w:rPr>
                <w:rFonts w:ascii="Times New Roman" w:hAnsi="Times New Roman"/>
                <w:color w:val="auto"/>
                <w:szCs w:val="21"/>
              </w:rPr>
            </w:pPr>
            <w:r>
              <w:rPr>
                <w:rFonts w:hint="eastAsia" w:ascii="Times New Roman" w:hAnsi="Times New Roman"/>
                <w:color w:val="auto"/>
                <w:szCs w:val="21"/>
              </w:rPr>
              <w:t>挥发酚≤</w:t>
            </w:r>
          </w:p>
        </w:tc>
        <w:tc>
          <w:tcPr>
            <w:tcW w:w="2923" w:type="pct"/>
            <w:tcBorders>
              <w:right w:val="single" w:color="auto" w:sz="4" w:space="0"/>
            </w:tcBorders>
          </w:tcPr>
          <w:p w14:paraId="24B74C93">
            <w:pPr>
              <w:pStyle w:val="45"/>
              <w:ind w:firstLine="480"/>
              <w:jc w:val="center"/>
              <w:rPr>
                <w:rFonts w:ascii="Times New Roman" w:hAnsi="Times New Roman"/>
                <w:color w:val="auto"/>
                <w:szCs w:val="21"/>
              </w:rPr>
            </w:pPr>
            <w:r>
              <w:rPr>
                <w:rFonts w:hint="eastAsia" w:ascii="Times New Roman" w:hAnsi="Times New Roman"/>
                <w:color w:val="auto"/>
                <w:szCs w:val="21"/>
              </w:rPr>
              <w:t>0.005</w:t>
            </w:r>
          </w:p>
        </w:tc>
      </w:tr>
      <w:tr w14:paraId="6B916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6" w:type="pct"/>
            <w:vAlign w:val="center"/>
          </w:tcPr>
          <w:p w14:paraId="15B00635">
            <w:pPr>
              <w:pStyle w:val="45"/>
              <w:ind w:firstLine="480"/>
              <w:jc w:val="center"/>
              <w:rPr>
                <w:rFonts w:ascii="Times New Roman" w:hAnsi="Times New Roman"/>
                <w:color w:val="auto"/>
                <w:szCs w:val="21"/>
              </w:rPr>
            </w:pPr>
            <w:r>
              <w:rPr>
                <w:rFonts w:hint="eastAsia" w:ascii="Times New Roman" w:hAnsi="Times New Roman"/>
                <w:color w:val="auto"/>
                <w:szCs w:val="21"/>
              </w:rPr>
              <w:t>石油类≤</w:t>
            </w:r>
          </w:p>
        </w:tc>
        <w:tc>
          <w:tcPr>
            <w:tcW w:w="2923" w:type="pct"/>
            <w:tcBorders>
              <w:right w:val="single" w:color="auto" w:sz="4" w:space="0"/>
            </w:tcBorders>
          </w:tcPr>
          <w:p w14:paraId="0BC09B94">
            <w:pPr>
              <w:pStyle w:val="45"/>
              <w:ind w:firstLine="480"/>
              <w:jc w:val="center"/>
              <w:rPr>
                <w:rFonts w:ascii="Times New Roman" w:hAnsi="Times New Roman"/>
                <w:color w:val="auto"/>
                <w:szCs w:val="21"/>
                <w:lang w:val="en-US"/>
              </w:rPr>
            </w:pPr>
            <w:r>
              <w:rPr>
                <w:rFonts w:hint="eastAsia" w:ascii="Times New Roman" w:hAnsi="Times New Roman"/>
                <w:color w:val="auto"/>
                <w:szCs w:val="21"/>
              </w:rPr>
              <w:t>0.05</w:t>
            </w:r>
          </w:p>
        </w:tc>
      </w:tr>
      <w:tr w14:paraId="63B92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6" w:type="pct"/>
            <w:vAlign w:val="center"/>
          </w:tcPr>
          <w:p w14:paraId="20955E8C">
            <w:pPr>
              <w:pStyle w:val="45"/>
              <w:ind w:firstLine="480"/>
              <w:jc w:val="center"/>
              <w:rPr>
                <w:rFonts w:ascii="Times New Roman" w:hAnsi="Times New Roman"/>
                <w:color w:val="auto"/>
                <w:szCs w:val="21"/>
              </w:rPr>
            </w:pPr>
            <w:r>
              <w:rPr>
                <w:rFonts w:hint="eastAsia" w:ascii="Times New Roman" w:hAnsi="Times New Roman"/>
                <w:color w:val="auto"/>
                <w:szCs w:val="21"/>
              </w:rPr>
              <w:t>阴离子表面活性剂≤</w:t>
            </w:r>
          </w:p>
        </w:tc>
        <w:tc>
          <w:tcPr>
            <w:tcW w:w="2923" w:type="pct"/>
            <w:tcBorders>
              <w:right w:val="single" w:color="auto" w:sz="4" w:space="0"/>
            </w:tcBorders>
          </w:tcPr>
          <w:p w14:paraId="3C5B6117">
            <w:pPr>
              <w:pStyle w:val="45"/>
              <w:ind w:firstLine="480"/>
              <w:jc w:val="center"/>
              <w:rPr>
                <w:rFonts w:ascii="Times New Roman" w:hAnsi="Times New Roman"/>
                <w:color w:val="auto"/>
                <w:szCs w:val="21"/>
              </w:rPr>
            </w:pPr>
            <w:r>
              <w:rPr>
                <w:rFonts w:hint="eastAsia" w:ascii="Times New Roman" w:hAnsi="Times New Roman"/>
                <w:color w:val="auto"/>
                <w:szCs w:val="21"/>
              </w:rPr>
              <w:t>0.2</w:t>
            </w:r>
          </w:p>
        </w:tc>
      </w:tr>
      <w:tr w14:paraId="73980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6" w:type="pct"/>
            <w:vAlign w:val="center"/>
          </w:tcPr>
          <w:p w14:paraId="25402D59">
            <w:pPr>
              <w:pStyle w:val="45"/>
              <w:ind w:firstLine="480"/>
              <w:jc w:val="center"/>
              <w:rPr>
                <w:rFonts w:ascii="Times New Roman" w:hAnsi="Times New Roman"/>
                <w:color w:val="auto"/>
                <w:szCs w:val="21"/>
              </w:rPr>
            </w:pPr>
            <w:r>
              <w:rPr>
                <w:rFonts w:hint="eastAsia" w:ascii="Times New Roman" w:hAnsi="Times New Roman"/>
                <w:color w:val="auto"/>
                <w:szCs w:val="21"/>
              </w:rPr>
              <w:t>硫化物≤</w:t>
            </w:r>
          </w:p>
        </w:tc>
        <w:tc>
          <w:tcPr>
            <w:tcW w:w="2923" w:type="pct"/>
            <w:tcBorders>
              <w:right w:val="single" w:color="auto" w:sz="4" w:space="0"/>
            </w:tcBorders>
          </w:tcPr>
          <w:p w14:paraId="49C9E9BD">
            <w:pPr>
              <w:pStyle w:val="45"/>
              <w:ind w:firstLine="480"/>
              <w:jc w:val="center"/>
              <w:rPr>
                <w:rFonts w:ascii="Times New Roman" w:hAnsi="Times New Roman"/>
                <w:color w:val="auto"/>
                <w:szCs w:val="21"/>
                <w:lang w:val="en-US"/>
              </w:rPr>
            </w:pPr>
            <w:r>
              <w:rPr>
                <w:rFonts w:hint="eastAsia" w:ascii="Times New Roman" w:hAnsi="Times New Roman"/>
                <w:color w:val="auto"/>
                <w:szCs w:val="21"/>
              </w:rPr>
              <w:t>0.2</w:t>
            </w:r>
          </w:p>
        </w:tc>
      </w:tr>
      <w:tr w14:paraId="49232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6" w:type="pct"/>
            <w:vAlign w:val="center"/>
          </w:tcPr>
          <w:p w14:paraId="7FDA3DAD">
            <w:pPr>
              <w:pStyle w:val="45"/>
              <w:ind w:firstLine="480"/>
              <w:jc w:val="center"/>
              <w:rPr>
                <w:rFonts w:ascii="Times New Roman" w:hAnsi="Times New Roman"/>
                <w:color w:val="auto"/>
                <w:szCs w:val="21"/>
              </w:rPr>
            </w:pPr>
            <w:r>
              <w:rPr>
                <w:rFonts w:hint="eastAsia" w:ascii="Times New Roman" w:hAnsi="Times New Roman"/>
                <w:color w:val="auto"/>
                <w:szCs w:val="21"/>
              </w:rPr>
              <w:t>粪大肠菌群（个/L）≤</w:t>
            </w:r>
          </w:p>
        </w:tc>
        <w:tc>
          <w:tcPr>
            <w:tcW w:w="2923" w:type="pct"/>
            <w:tcBorders>
              <w:right w:val="single" w:color="auto" w:sz="4" w:space="0"/>
            </w:tcBorders>
          </w:tcPr>
          <w:p w14:paraId="0A25D17B">
            <w:pPr>
              <w:pStyle w:val="45"/>
              <w:ind w:firstLine="480"/>
              <w:jc w:val="center"/>
              <w:rPr>
                <w:rFonts w:ascii="Times New Roman" w:hAnsi="Times New Roman"/>
                <w:color w:val="auto"/>
                <w:szCs w:val="21"/>
              </w:rPr>
            </w:pPr>
            <w:r>
              <w:rPr>
                <w:rFonts w:hint="eastAsia" w:ascii="Times New Roman" w:hAnsi="Times New Roman"/>
                <w:color w:val="auto"/>
                <w:szCs w:val="21"/>
              </w:rPr>
              <w:t>10000</w:t>
            </w:r>
          </w:p>
        </w:tc>
      </w:tr>
    </w:tbl>
    <w:p w14:paraId="5BC843CD">
      <w:pPr>
        <w:ind w:firstLine="480"/>
        <w:rPr>
          <w:color w:val="auto"/>
          <w:lang w:val="zh-CN"/>
        </w:rPr>
      </w:pPr>
    </w:p>
    <w:p w14:paraId="5E498FA2">
      <w:pPr>
        <w:tabs>
          <w:tab w:val="left" w:pos="1730"/>
        </w:tabs>
        <w:spacing w:line="360" w:lineRule="auto"/>
        <w:ind w:firstLine="480"/>
        <w:rPr>
          <w:color w:val="auto"/>
          <w:lang w:val="de-DE"/>
        </w:rPr>
      </w:pPr>
      <w:r>
        <w:rPr>
          <w:rFonts w:hint="eastAsia"/>
          <w:color w:val="auto"/>
          <w:lang w:val="de-DE"/>
        </w:rPr>
        <w:t>（3）地下水</w:t>
      </w:r>
    </w:p>
    <w:p w14:paraId="034F0BC3">
      <w:pPr>
        <w:tabs>
          <w:tab w:val="left" w:pos="1730"/>
        </w:tabs>
        <w:spacing w:line="360" w:lineRule="auto"/>
        <w:ind w:firstLine="480"/>
        <w:rPr>
          <w:color w:val="auto"/>
          <w:lang w:val="de-DE"/>
        </w:rPr>
      </w:pPr>
      <w:r>
        <w:rPr>
          <w:rFonts w:hint="eastAsia"/>
          <w:color w:val="auto"/>
          <w:lang w:val="de-DE"/>
        </w:rPr>
        <w:t xml:space="preserve">根据地下水质量分类，评价区域地下水属于Ⅲ类，执行《地下水质量标准》（GB/T14848-2017）Ⅲ类标准，主要标准值见表 </w:t>
      </w:r>
      <w:r>
        <w:rPr>
          <w:rFonts w:hint="eastAsia"/>
          <w:color w:val="auto"/>
          <w:lang w:val="de-DE" w:eastAsia="zh-CN"/>
        </w:rPr>
        <w:t>2.6</w:t>
      </w:r>
      <w:r>
        <w:rPr>
          <w:color w:val="auto"/>
          <w:lang w:val="de-DE"/>
        </w:rPr>
        <w:t>-</w:t>
      </w:r>
      <w:r>
        <w:rPr>
          <w:rFonts w:hint="eastAsia"/>
          <w:color w:val="auto"/>
          <w:lang w:val="de-DE"/>
        </w:rPr>
        <w:t>3。</w:t>
      </w:r>
    </w:p>
    <w:p w14:paraId="47861C89">
      <w:pPr>
        <w:pStyle w:val="674"/>
        <w:rPr>
          <w:color w:val="auto"/>
          <w:sz w:val="21"/>
          <w:szCs w:val="21"/>
        </w:rPr>
      </w:pPr>
      <w:bookmarkStart w:id="90" w:name="_Ref499627298"/>
      <w:r>
        <w:rPr>
          <w:color w:val="auto"/>
        </w:rPr>
        <w:t>表</w:t>
      </w:r>
      <w:bookmarkEnd w:id="90"/>
      <w:r>
        <w:rPr>
          <w:rFonts w:hint="eastAsia"/>
          <w:color w:val="auto"/>
          <w:lang w:eastAsia="zh-CN"/>
        </w:rPr>
        <w:t>2.6</w:t>
      </w:r>
      <w:r>
        <w:rPr>
          <w:color w:val="auto"/>
        </w:rPr>
        <w:t>-3   地下水环境质量</w:t>
      </w:r>
      <w:r>
        <w:rPr>
          <w:color w:val="auto"/>
          <w:sz w:val="21"/>
          <w:szCs w:val="21"/>
        </w:rPr>
        <w:t>单位：mg/L,pH无量纲</w:t>
      </w:r>
    </w:p>
    <w:tbl>
      <w:tblPr>
        <w:tblStyle w:val="88"/>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9"/>
        <w:gridCol w:w="4606"/>
        <w:gridCol w:w="3521"/>
      </w:tblGrid>
      <w:tr w14:paraId="5F8E2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dxa"/>
            <w:vAlign w:val="center"/>
          </w:tcPr>
          <w:p w14:paraId="744477F7">
            <w:pPr>
              <w:pStyle w:val="45"/>
              <w:jc w:val="center"/>
              <w:rPr>
                <w:rFonts w:ascii="Times New Roman" w:hAnsi="Times New Roman"/>
                <w:color w:val="auto"/>
                <w:szCs w:val="21"/>
              </w:rPr>
            </w:pPr>
            <w:r>
              <w:rPr>
                <w:rFonts w:hint="eastAsia" w:ascii="Times New Roman" w:hAnsi="Times New Roman"/>
                <w:color w:val="auto"/>
                <w:szCs w:val="21"/>
              </w:rPr>
              <w:t>序号</w:t>
            </w:r>
          </w:p>
        </w:tc>
        <w:tc>
          <w:tcPr>
            <w:tcW w:w="4606" w:type="dxa"/>
            <w:vAlign w:val="center"/>
          </w:tcPr>
          <w:p w14:paraId="1F83958F">
            <w:pPr>
              <w:pStyle w:val="45"/>
              <w:jc w:val="center"/>
              <w:rPr>
                <w:rFonts w:ascii="Times New Roman" w:hAnsi="Times New Roman"/>
                <w:color w:val="auto"/>
                <w:szCs w:val="21"/>
              </w:rPr>
            </w:pPr>
            <w:r>
              <w:rPr>
                <w:rFonts w:hint="eastAsia" w:ascii="Times New Roman" w:hAnsi="Times New Roman"/>
                <w:color w:val="auto"/>
                <w:szCs w:val="21"/>
              </w:rPr>
              <w:t>项目</w:t>
            </w:r>
          </w:p>
        </w:tc>
        <w:tc>
          <w:tcPr>
            <w:tcW w:w="3521" w:type="dxa"/>
            <w:vAlign w:val="center"/>
          </w:tcPr>
          <w:p w14:paraId="018B6BFD">
            <w:pPr>
              <w:pStyle w:val="45"/>
              <w:jc w:val="center"/>
              <w:rPr>
                <w:rFonts w:ascii="Times New Roman" w:hAnsi="Times New Roman"/>
                <w:color w:val="auto"/>
                <w:szCs w:val="21"/>
              </w:rPr>
            </w:pPr>
            <w:r>
              <w:rPr>
                <w:rFonts w:hint="eastAsia" w:hAnsi="宋体" w:cs="宋体"/>
                <w:color w:val="auto"/>
                <w:szCs w:val="21"/>
              </w:rPr>
              <w:t>Ⅲ</w:t>
            </w:r>
            <w:r>
              <w:rPr>
                <w:rFonts w:hint="eastAsia" w:ascii="Times New Roman" w:hAnsi="Times New Roman"/>
                <w:color w:val="auto"/>
                <w:szCs w:val="21"/>
              </w:rPr>
              <w:t>类标准值，mg/L</w:t>
            </w:r>
          </w:p>
        </w:tc>
      </w:tr>
      <w:tr w14:paraId="3147E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dxa"/>
            <w:vAlign w:val="center"/>
          </w:tcPr>
          <w:p w14:paraId="1CED5B44">
            <w:pPr>
              <w:pStyle w:val="45"/>
              <w:jc w:val="center"/>
              <w:rPr>
                <w:rFonts w:ascii="Times New Roman" w:hAnsi="Times New Roman"/>
                <w:color w:val="auto"/>
                <w:szCs w:val="21"/>
              </w:rPr>
            </w:pPr>
            <w:r>
              <w:rPr>
                <w:rFonts w:hint="eastAsia" w:ascii="Times New Roman" w:hAnsi="Times New Roman"/>
                <w:color w:val="auto"/>
                <w:szCs w:val="21"/>
              </w:rPr>
              <w:t>1</w:t>
            </w:r>
          </w:p>
        </w:tc>
        <w:tc>
          <w:tcPr>
            <w:tcW w:w="4606" w:type="dxa"/>
            <w:vAlign w:val="center"/>
          </w:tcPr>
          <w:p w14:paraId="1B9A76B8">
            <w:pPr>
              <w:pStyle w:val="276"/>
              <w:rPr>
                <w:color w:val="auto"/>
              </w:rPr>
            </w:pPr>
            <w:r>
              <w:rPr>
                <w:rFonts w:hint="eastAsia"/>
                <w:color w:val="auto"/>
              </w:rPr>
              <w:t>pH（无量纲）</w:t>
            </w:r>
          </w:p>
        </w:tc>
        <w:tc>
          <w:tcPr>
            <w:tcW w:w="3521" w:type="dxa"/>
            <w:vAlign w:val="center"/>
          </w:tcPr>
          <w:p w14:paraId="6CF5FFFA">
            <w:pPr>
              <w:pStyle w:val="276"/>
              <w:rPr>
                <w:color w:val="auto"/>
              </w:rPr>
            </w:pPr>
            <w:r>
              <w:rPr>
                <w:rFonts w:hint="eastAsia"/>
                <w:color w:val="auto"/>
              </w:rPr>
              <w:t>6.5~8.5</w:t>
            </w:r>
          </w:p>
        </w:tc>
      </w:tr>
      <w:tr w14:paraId="2ED6B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dxa"/>
            <w:vAlign w:val="center"/>
          </w:tcPr>
          <w:p w14:paraId="2D30E8EF">
            <w:pPr>
              <w:pStyle w:val="45"/>
              <w:jc w:val="center"/>
              <w:rPr>
                <w:rFonts w:ascii="Times New Roman" w:hAnsi="Times New Roman"/>
                <w:color w:val="auto"/>
                <w:szCs w:val="21"/>
              </w:rPr>
            </w:pPr>
            <w:r>
              <w:rPr>
                <w:rFonts w:hint="eastAsia" w:ascii="Times New Roman" w:hAnsi="Times New Roman"/>
                <w:color w:val="auto"/>
                <w:szCs w:val="21"/>
              </w:rPr>
              <w:t>2</w:t>
            </w:r>
          </w:p>
        </w:tc>
        <w:tc>
          <w:tcPr>
            <w:tcW w:w="4606" w:type="dxa"/>
            <w:vAlign w:val="center"/>
          </w:tcPr>
          <w:p w14:paraId="3F49BAFB">
            <w:pPr>
              <w:pStyle w:val="276"/>
              <w:rPr>
                <w:color w:val="auto"/>
              </w:rPr>
            </w:pPr>
            <w:r>
              <w:rPr>
                <w:rFonts w:hint="eastAsia"/>
                <w:color w:val="auto"/>
              </w:rPr>
              <w:t>硝酸盐（以N计）</w:t>
            </w:r>
          </w:p>
        </w:tc>
        <w:tc>
          <w:tcPr>
            <w:tcW w:w="3521" w:type="dxa"/>
            <w:vAlign w:val="center"/>
          </w:tcPr>
          <w:p w14:paraId="1B494CF6">
            <w:pPr>
              <w:pStyle w:val="276"/>
              <w:rPr>
                <w:snapToGrid w:val="0"/>
                <w:color w:val="auto"/>
                <w:kern w:val="0"/>
              </w:rPr>
            </w:pPr>
            <w:r>
              <w:rPr>
                <w:rFonts w:hint="eastAsia"/>
                <w:color w:val="auto"/>
              </w:rPr>
              <w:t>≤</w:t>
            </w:r>
            <w:r>
              <w:rPr>
                <w:rFonts w:hint="eastAsia"/>
                <w:color w:val="auto"/>
                <w:lang w:val="en-US"/>
              </w:rPr>
              <w:t>20</w:t>
            </w:r>
          </w:p>
        </w:tc>
      </w:tr>
      <w:tr w14:paraId="4C4E3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dxa"/>
            <w:vAlign w:val="center"/>
          </w:tcPr>
          <w:p w14:paraId="58637072">
            <w:pPr>
              <w:pStyle w:val="45"/>
              <w:jc w:val="center"/>
              <w:rPr>
                <w:rFonts w:ascii="Times New Roman" w:hAnsi="Times New Roman"/>
                <w:color w:val="auto"/>
                <w:szCs w:val="21"/>
              </w:rPr>
            </w:pPr>
            <w:r>
              <w:rPr>
                <w:rFonts w:hint="eastAsia" w:ascii="Times New Roman" w:hAnsi="Times New Roman"/>
                <w:color w:val="auto"/>
                <w:szCs w:val="21"/>
              </w:rPr>
              <w:t>3</w:t>
            </w:r>
          </w:p>
        </w:tc>
        <w:tc>
          <w:tcPr>
            <w:tcW w:w="4606" w:type="dxa"/>
            <w:vAlign w:val="center"/>
          </w:tcPr>
          <w:p w14:paraId="1954E17E">
            <w:pPr>
              <w:pStyle w:val="276"/>
              <w:rPr>
                <w:color w:val="auto"/>
              </w:rPr>
            </w:pPr>
            <w:r>
              <w:rPr>
                <w:rFonts w:hint="eastAsia"/>
                <w:color w:val="auto"/>
              </w:rPr>
              <w:t>亚硝酸盐（以N计）</w:t>
            </w:r>
          </w:p>
        </w:tc>
        <w:tc>
          <w:tcPr>
            <w:tcW w:w="3521" w:type="dxa"/>
            <w:vAlign w:val="center"/>
          </w:tcPr>
          <w:p w14:paraId="3B132EAC">
            <w:pPr>
              <w:pStyle w:val="276"/>
              <w:rPr>
                <w:color w:val="auto"/>
              </w:rPr>
            </w:pPr>
            <w:r>
              <w:rPr>
                <w:rFonts w:hint="eastAsia"/>
                <w:color w:val="auto"/>
              </w:rPr>
              <w:t>≤1</w:t>
            </w:r>
          </w:p>
        </w:tc>
      </w:tr>
      <w:tr w14:paraId="752D7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dxa"/>
            <w:vAlign w:val="center"/>
          </w:tcPr>
          <w:p w14:paraId="56A7A590">
            <w:pPr>
              <w:pStyle w:val="45"/>
              <w:jc w:val="center"/>
              <w:rPr>
                <w:rFonts w:ascii="Times New Roman" w:hAnsi="Times New Roman"/>
                <w:color w:val="auto"/>
                <w:szCs w:val="21"/>
              </w:rPr>
            </w:pPr>
            <w:r>
              <w:rPr>
                <w:rFonts w:hint="eastAsia" w:ascii="Times New Roman" w:hAnsi="Times New Roman"/>
                <w:color w:val="auto"/>
                <w:szCs w:val="21"/>
              </w:rPr>
              <w:t>4</w:t>
            </w:r>
          </w:p>
        </w:tc>
        <w:tc>
          <w:tcPr>
            <w:tcW w:w="4606" w:type="dxa"/>
            <w:vAlign w:val="center"/>
          </w:tcPr>
          <w:p w14:paraId="61125FFD">
            <w:pPr>
              <w:pStyle w:val="276"/>
              <w:rPr>
                <w:color w:val="auto"/>
              </w:rPr>
            </w:pPr>
            <w:r>
              <w:rPr>
                <w:rFonts w:hint="eastAsia"/>
                <w:color w:val="auto"/>
                <w:lang w:val="en-US"/>
              </w:rPr>
              <w:t>铁</w:t>
            </w:r>
          </w:p>
        </w:tc>
        <w:tc>
          <w:tcPr>
            <w:tcW w:w="3521" w:type="dxa"/>
            <w:vAlign w:val="center"/>
          </w:tcPr>
          <w:p w14:paraId="19ED7136">
            <w:pPr>
              <w:pStyle w:val="276"/>
              <w:rPr>
                <w:color w:val="auto"/>
              </w:rPr>
            </w:pPr>
            <w:r>
              <w:rPr>
                <w:rFonts w:hint="eastAsia"/>
                <w:color w:val="auto"/>
              </w:rPr>
              <w:t>≤</w:t>
            </w:r>
            <w:r>
              <w:rPr>
                <w:color w:val="auto"/>
                <w:lang w:val="en-US"/>
              </w:rPr>
              <w:t>0.3</w:t>
            </w:r>
          </w:p>
        </w:tc>
      </w:tr>
      <w:tr w14:paraId="04BD3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dxa"/>
            <w:vAlign w:val="center"/>
          </w:tcPr>
          <w:p w14:paraId="74D315A0">
            <w:pPr>
              <w:pStyle w:val="45"/>
              <w:jc w:val="center"/>
              <w:rPr>
                <w:rFonts w:ascii="Times New Roman" w:hAnsi="Times New Roman"/>
                <w:color w:val="auto"/>
                <w:szCs w:val="21"/>
              </w:rPr>
            </w:pPr>
            <w:r>
              <w:rPr>
                <w:rFonts w:hint="eastAsia" w:ascii="Times New Roman" w:hAnsi="Times New Roman"/>
                <w:color w:val="auto"/>
                <w:szCs w:val="21"/>
              </w:rPr>
              <w:t>5</w:t>
            </w:r>
          </w:p>
        </w:tc>
        <w:tc>
          <w:tcPr>
            <w:tcW w:w="4606" w:type="dxa"/>
            <w:vAlign w:val="center"/>
          </w:tcPr>
          <w:p w14:paraId="3F5CE159">
            <w:pPr>
              <w:pStyle w:val="276"/>
              <w:rPr>
                <w:color w:val="auto"/>
              </w:rPr>
            </w:pPr>
            <w:r>
              <w:rPr>
                <w:rFonts w:hint="eastAsia"/>
                <w:color w:val="auto"/>
                <w:lang w:val="en-US"/>
              </w:rPr>
              <w:t>锰</w:t>
            </w:r>
          </w:p>
        </w:tc>
        <w:tc>
          <w:tcPr>
            <w:tcW w:w="3521" w:type="dxa"/>
            <w:vAlign w:val="center"/>
          </w:tcPr>
          <w:p w14:paraId="079CE379">
            <w:pPr>
              <w:pStyle w:val="276"/>
              <w:rPr>
                <w:color w:val="auto"/>
              </w:rPr>
            </w:pPr>
            <w:r>
              <w:rPr>
                <w:rFonts w:hint="eastAsia"/>
                <w:color w:val="auto"/>
              </w:rPr>
              <w:t>≤</w:t>
            </w:r>
            <w:r>
              <w:rPr>
                <w:color w:val="auto"/>
                <w:lang w:val="en-US"/>
              </w:rPr>
              <w:t>0.1</w:t>
            </w:r>
          </w:p>
        </w:tc>
      </w:tr>
      <w:tr w14:paraId="129EB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dxa"/>
            <w:vAlign w:val="center"/>
          </w:tcPr>
          <w:p w14:paraId="32075BBA">
            <w:pPr>
              <w:pStyle w:val="45"/>
              <w:jc w:val="center"/>
              <w:rPr>
                <w:rFonts w:ascii="Times New Roman" w:hAnsi="Times New Roman"/>
                <w:color w:val="auto"/>
                <w:szCs w:val="21"/>
              </w:rPr>
            </w:pPr>
            <w:r>
              <w:rPr>
                <w:rFonts w:hint="eastAsia" w:ascii="Times New Roman" w:hAnsi="Times New Roman"/>
                <w:color w:val="auto"/>
                <w:szCs w:val="21"/>
              </w:rPr>
              <w:t>6</w:t>
            </w:r>
          </w:p>
        </w:tc>
        <w:tc>
          <w:tcPr>
            <w:tcW w:w="4606" w:type="dxa"/>
            <w:vAlign w:val="center"/>
          </w:tcPr>
          <w:p w14:paraId="43FD5219">
            <w:pPr>
              <w:pStyle w:val="276"/>
              <w:rPr>
                <w:color w:val="auto"/>
              </w:rPr>
            </w:pPr>
            <w:r>
              <w:rPr>
                <w:rFonts w:hint="eastAsia"/>
                <w:color w:val="auto"/>
                <w:lang w:val="en-US"/>
              </w:rPr>
              <w:t>耗氧量</w:t>
            </w:r>
          </w:p>
        </w:tc>
        <w:tc>
          <w:tcPr>
            <w:tcW w:w="3521" w:type="dxa"/>
            <w:vAlign w:val="center"/>
          </w:tcPr>
          <w:p w14:paraId="603C1964">
            <w:pPr>
              <w:pStyle w:val="276"/>
              <w:rPr>
                <w:color w:val="auto"/>
              </w:rPr>
            </w:pPr>
            <w:r>
              <w:rPr>
                <w:rFonts w:hint="eastAsia"/>
                <w:color w:val="auto"/>
              </w:rPr>
              <w:t>≤</w:t>
            </w:r>
            <w:r>
              <w:rPr>
                <w:color w:val="auto"/>
                <w:lang w:val="en-US"/>
              </w:rPr>
              <w:t>3</w:t>
            </w:r>
          </w:p>
        </w:tc>
      </w:tr>
      <w:tr w14:paraId="2E026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dxa"/>
            <w:vAlign w:val="center"/>
          </w:tcPr>
          <w:p w14:paraId="647FF309">
            <w:pPr>
              <w:pStyle w:val="45"/>
              <w:jc w:val="center"/>
              <w:rPr>
                <w:rFonts w:ascii="Times New Roman" w:hAnsi="Times New Roman"/>
                <w:color w:val="auto"/>
                <w:szCs w:val="21"/>
              </w:rPr>
            </w:pPr>
            <w:r>
              <w:rPr>
                <w:rFonts w:hint="eastAsia" w:ascii="Times New Roman" w:hAnsi="Times New Roman"/>
                <w:color w:val="auto"/>
                <w:szCs w:val="21"/>
              </w:rPr>
              <w:t>7</w:t>
            </w:r>
          </w:p>
        </w:tc>
        <w:tc>
          <w:tcPr>
            <w:tcW w:w="4606" w:type="dxa"/>
            <w:vAlign w:val="center"/>
          </w:tcPr>
          <w:p w14:paraId="3A2376D8">
            <w:pPr>
              <w:pStyle w:val="276"/>
              <w:rPr>
                <w:color w:val="auto"/>
              </w:rPr>
            </w:pPr>
            <w:r>
              <w:rPr>
                <w:rFonts w:hint="eastAsia"/>
                <w:color w:val="auto"/>
                <w:lang w:val="en-US"/>
              </w:rPr>
              <w:t>氨氮</w:t>
            </w:r>
          </w:p>
        </w:tc>
        <w:tc>
          <w:tcPr>
            <w:tcW w:w="3521" w:type="dxa"/>
            <w:vAlign w:val="center"/>
          </w:tcPr>
          <w:p w14:paraId="325CFF79">
            <w:pPr>
              <w:pStyle w:val="276"/>
              <w:rPr>
                <w:color w:val="auto"/>
              </w:rPr>
            </w:pPr>
            <w:r>
              <w:rPr>
                <w:rFonts w:hint="eastAsia"/>
                <w:color w:val="auto"/>
              </w:rPr>
              <w:t>≤</w:t>
            </w:r>
            <w:r>
              <w:rPr>
                <w:color w:val="auto"/>
                <w:lang w:val="en-US"/>
              </w:rPr>
              <w:t>0.5</w:t>
            </w:r>
          </w:p>
        </w:tc>
      </w:tr>
      <w:tr w14:paraId="1B620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dxa"/>
            <w:vAlign w:val="center"/>
          </w:tcPr>
          <w:p w14:paraId="09D62A88">
            <w:pPr>
              <w:pStyle w:val="45"/>
              <w:jc w:val="center"/>
              <w:rPr>
                <w:rFonts w:ascii="Times New Roman" w:hAnsi="Times New Roman"/>
                <w:color w:val="auto"/>
                <w:szCs w:val="21"/>
              </w:rPr>
            </w:pPr>
            <w:r>
              <w:rPr>
                <w:rFonts w:hint="eastAsia" w:ascii="Times New Roman" w:hAnsi="Times New Roman"/>
                <w:color w:val="auto"/>
                <w:szCs w:val="21"/>
              </w:rPr>
              <w:t>8</w:t>
            </w:r>
          </w:p>
        </w:tc>
        <w:tc>
          <w:tcPr>
            <w:tcW w:w="4606" w:type="dxa"/>
            <w:vAlign w:val="center"/>
          </w:tcPr>
          <w:p w14:paraId="5E549940">
            <w:pPr>
              <w:pStyle w:val="276"/>
              <w:rPr>
                <w:color w:val="auto"/>
              </w:rPr>
            </w:pPr>
            <w:r>
              <w:rPr>
                <w:rFonts w:hint="eastAsia"/>
                <w:color w:val="auto"/>
                <w:lang w:val="en-US"/>
              </w:rPr>
              <w:t>铅（μg/L）</w:t>
            </w:r>
          </w:p>
        </w:tc>
        <w:tc>
          <w:tcPr>
            <w:tcW w:w="3521" w:type="dxa"/>
            <w:vAlign w:val="center"/>
          </w:tcPr>
          <w:p w14:paraId="27B99A25">
            <w:pPr>
              <w:pStyle w:val="276"/>
              <w:rPr>
                <w:color w:val="auto"/>
              </w:rPr>
            </w:pPr>
            <w:r>
              <w:rPr>
                <w:rFonts w:hint="eastAsia"/>
                <w:color w:val="auto"/>
              </w:rPr>
              <w:t>≤</w:t>
            </w:r>
            <w:r>
              <w:rPr>
                <w:color w:val="auto"/>
                <w:lang w:val="en-US"/>
              </w:rPr>
              <w:t>10</w:t>
            </w:r>
          </w:p>
        </w:tc>
      </w:tr>
      <w:tr w14:paraId="7BBB8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dxa"/>
            <w:vAlign w:val="center"/>
          </w:tcPr>
          <w:p w14:paraId="664DA689">
            <w:pPr>
              <w:pStyle w:val="45"/>
              <w:jc w:val="center"/>
              <w:rPr>
                <w:rFonts w:ascii="Times New Roman" w:hAnsi="Times New Roman"/>
                <w:color w:val="auto"/>
                <w:szCs w:val="21"/>
              </w:rPr>
            </w:pPr>
            <w:r>
              <w:rPr>
                <w:rFonts w:hint="eastAsia" w:ascii="Times New Roman" w:hAnsi="Times New Roman"/>
                <w:color w:val="auto"/>
                <w:szCs w:val="21"/>
              </w:rPr>
              <w:t>9</w:t>
            </w:r>
          </w:p>
        </w:tc>
        <w:tc>
          <w:tcPr>
            <w:tcW w:w="4606" w:type="dxa"/>
            <w:vAlign w:val="center"/>
          </w:tcPr>
          <w:p w14:paraId="02652076">
            <w:pPr>
              <w:pStyle w:val="276"/>
              <w:rPr>
                <w:color w:val="auto"/>
              </w:rPr>
            </w:pPr>
            <w:r>
              <w:rPr>
                <w:rFonts w:hint="eastAsia"/>
                <w:color w:val="auto"/>
                <w:lang w:val="en-US"/>
              </w:rPr>
              <w:t>镉（μg/L）</w:t>
            </w:r>
          </w:p>
        </w:tc>
        <w:tc>
          <w:tcPr>
            <w:tcW w:w="3521" w:type="dxa"/>
            <w:vAlign w:val="center"/>
          </w:tcPr>
          <w:p w14:paraId="4A32F2CA">
            <w:pPr>
              <w:pStyle w:val="276"/>
              <w:rPr>
                <w:color w:val="auto"/>
              </w:rPr>
            </w:pPr>
            <w:r>
              <w:rPr>
                <w:rFonts w:hint="eastAsia"/>
                <w:color w:val="auto"/>
              </w:rPr>
              <w:t>≤</w:t>
            </w:r>
            <w:r>
              <w:rPr>
                <w:color w:val="auto"/>
                <w:lang w:val="en-US"/>
              </w:rPr>
              <w:t>5</w:t>
            </w:r>
          </w:p>
        </w:tc>
      </w:tr>
      <w:tr w14:paraId="2F942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9" w:type="dxa"/>
            <w:vAlign w:val="center"/>
          </w:tcPr>
          <w:p w14:paraId="7AB455B1">
            <w:pPr>
              <w:pStyle w:val="45"/>
              <w:jc w:val="center"/>
              <w:rPr>
                <w:rFonts w:ascii="Times New Roman" w:hAnsi="Times New Roman"/>
                <w:color w:val="auto"/>
                <w:szCs w:val="21"/>
              </w:rPr>
            </w:pPr>
            <w:r>
              <w:rPr>
                <w:rFonts w:hint="eastAsia" w:ascii="Times New Roman" w:hAnsi="Times New Roman"/>
                <w:color w:val="auto"/>
                <w:szCs w:val="21"/>
              </w:rPr>
              <w:t>10</w:t>
            </w:r>
          </w:p>
        </w:tc>
        <w:tc>
          <w:tcPr>
            <w:tcW w:w="4606" w:type="dxa"/>
            <w:vAlign w:val="center"/>
          </w:tcPr>
          <w:p w14:paraId="4A528DD5">
            <w:pPr>
              <w:pStyle w:val="276"/>
              <w:rPr>
                <w:color w:val="auto"/>
              </w:rPr>
            </w:pPr>
            <w:r>
              <w:rPr>
                <w:rFonts w:hint="eastAsia"/>
                <w:color w:val="auto"/>
                <w:lang w:val="en-US"/>
              </w:rPr>
              <w:t>挥发酚</w:t>
            </w:r>
          </w:p>
        </w:tc>
        <w:tc>
          <w:tcPr>
            <w:tcW w:w="3521" w:type="dxa"/>
            <w:vAlign w:val="center"/>
          </w:tcPr>
          <w:p w14:paraId="1D3FCFA5">
            <w:pPr>
              <w:pStyle w:val="276"/>
              <w:rPr>
                <w:color w:val="auto"/>
              </w:rPr>
            </w:pPr>
            <w:r>
              <w:rPr>
                <w:rFonts w:hint="eastAsia"/>
                <w:color w:val="auto"/>
              </w:rPr>
              <w:t>≤</w:t>
            </w:r>
            <w:r>
              <w:rPr>
                <w:color w:val="auto"/>
                <w:lang w:val="en-US"/>
              </w:rPr>
              <w:t>0.002</w:t>
            </w:r>
          </w:p>
        </w:tc>
      </w:tr>
      <w:tr w14:paraId="24930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dxa"/>
            <w:vAlign w:val="center"/>
          </w:tcPr>
          <w:p w14:paraId="00DA88DB">
            <w:pPr>
              <w:pStyle w:val="45"/>
              <w:jc w:val="center"/>
              <w:rPr>
                <w:rFonts w:ascii="Times New Roman" w:hAnsi="Times New Roman"/>
                <w:color w:val="auto"/>
                <w:szCs w:val="21"/>
              </w:rPr>
            </w:pPr>
            <w:r>
              <w:rPr>
                <w:rFonts w:hint="eastAsia" w:ascii="Times New Roman" w:hAnsi="Times New Roman"/>
                <w:color w:val="auto"/>
                <w:szCs w:val="21"/>
              </w:rPr>
              <w:t>11</w:t>
            </w:r>
          </w:p>
        </w:tc>
        <w:tc>
          <w:tcPr>
            <w:tcW w:w="4606" w:type="dxa"/>
            <w:vAlign w:val="center"/>
          </w:tcPr>
          <w:p w14:paraId="6B800E58">
            <w:pPr>
              <w:pStyle w:val="276"/>
              <w:rPr>
                <w:color w:val="auto"/>
              </w:rPr>
            </w:pPr>
            <w:r>
              <w:rPr>
                <w:rFonts w:hint="eastAsia"/>
                <w:color w:val="auto"/>
                <w:lang w:val="en-US"/>
              </w:rPr>
              <w:t>六价铬</w:t>
            </w:r>
          </w:p>
        </w:tc>
        <w:tc>
          <w:tcPr>
            <w:tcW w:w="3521" w:type="dxa"/>
            <w:vAlign w:val="center"/>
          </w:tcPr>
          <w:p w14:paraId="7E638124">
            <w:pPr>
              <w:pStyle w:val="276"/>
              <w:rPr>
                <w:color w:val="auto"/>
              </w:rPr>
            </w:pPr>
            <w:r>
              <w:rPr>
                <w:rFonts w:hint="eastAsia"/>
                <w:color w:val="auto"/>
              </w:rPr>
              <w:t>≤</w:t>
            </w:r>
            <w:r>
              <w:rPr>
                <w:color w:val="auto"/>
                <w:lang w:val="en-US"/>
              </w:rPr>
              <w:t>0.05</w:t>
            </w:r>
          </w:p>
        </w:tc>
      </w:tr>
      <w:tr w14:paraId="68910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dxa"/>
            <w:vAlign w:val="center"/>
          </w:tcPr>
          <w:p w14:paraId="1C4C7B2B">
            <w:pPr>
              <w:pStyle w:val="45"/>
              <w:jc w:val="center"/>
              <w:rPr>
                <w:rFonts w:ascii="Times New Roman" w:hAnsi="Times New Roman"/>
                <w:color w:val="auto"/>
                <w:szCs w:val="21"/>
              </w:rPr>
            </w:pPr>
            <w:r>
              <w:rPr>
                <w:rFonts w:hint="eastAsia" w:ascii="Times New Roman" w:hAnsi="Times New Roman"/>
                <w:color w:val="auto"/>
                <w:szCs w:val="21"/>
              </w:rPr>
              <w:t>12</w:t>
            </w:r>
          </w:p>
        </w:tc>
        <w:tc>
          <w:tcPr>
            <w:tcW w:w="4606" w:type="dxa"/>
            <w:vAlign w:val="center"/>
          </w:tcPr>
          <w:p w14:paraId="3BDB8ED9">
            <w:pPr>
              <w:pStyle w:val="276"/>
              <w:rPr>
                <w:color w:val="auto"/>
              </w:rPr>
            </w:pPr>
            <w:r>
              <w:rPr>
                <w:rFonts w:hint="eastAsia"/>
                <w:color w:val="auto"/>
                <w:lang w:val="en-US"/>
              </w:rPr>
              <w:t>氟化物</w:t>
            </w:r>
          </w:p>
        </w:tc>
        <w:tc>
          <w:tcPr>
            <w:tcW w:w="3521" w:type="dxa"/>
            <w:vAlign w:val="center"/>
          </w:tcPr>
          <w:p w14:paraId="595C0106">
            <w:pPr>
              <w:pStyle w:val="276"/>
              <w:rPr>
                <w:color w:val="auto"/>
              </w:rPr>
            </w:pPr>
            <w:r>
              <w:rPr>
                <w:rFonts w:hint="eastAsia"/>
                <w:color w:val="auto"/>
              </w:rPr>
              <w:t>≤</w:t>
            </w:r>
            <w:r>
              <w:rPr>
                <w:color w:val="auto"/>
                <w:lang w:val="en-US"/>
              </w:rPr>
              <w:t>1</w:t>
            </w:r>
          </w:p>
        </w:tc>
      </w:tr>
      <w:tr w14:paraId="42EE2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dxa"/>
            <w:vAlign w:val="center"/>
          </w:tcPr>
          <w:p w14:paraId="1F555E2D">
            <w:pPr>
              <w:pStyle w:val="45"/>
              <w:jc w:val="center"/>
              <w:rPr>
                <w:rFonts w:ascii="Times New Roman" w:hAnsi="Times New Roman"/>
                <w:color w:val="auto"/>
                <w:szCs w:val="21"/>
              </w:rPr>
            </w:pPr>
            <w:r>
              <w:rPr>
                <w:rFonts w:hint="eastAsia" w:ascii="Times New Roman" w:hAnsi="Times New Roman"/>
                <w:color w:val="auto"/>
                <w:szCs w:val="21"/>
              </w:rPr>
              <w:t>13</w:t>
            </w:r>
          </w:p>
        </w:tc>
        <w:tc>
          <w:tcPr>
            <w:tcW w:w="4606" w:type="dxa"/>
            <w:vAlign w:val="center"/>
          </w:tcPr>
          <w:p w14:paraId="2E2E9488">
            <w:pPr>
              <w:pStyle w:val="276"/>
              <w:rPr>
                <w:color w:val="auto"/>
              </w:rPr>
            </w:pPr>
            <w:r>
              <w:rPr>
                <w:rFonts w:hint="eastAsia"/>
                <w:color w:val="auto"/>
                <w:lang w:val="en-US"/>
              </w:rPr>
              <w:t>总硬度</w:t>
            </w:r>
          </w:p>
        </w:tc>
        <w:tc>
          <w:tcPr>
            <w:tcW w:w="3521" w:type="dxa"/>
            <w:vAlign w:val="center"/>
          </w:tcPr>
          <w:p w14:paraId="003356F9">
            <w:pPr>
              <w:pStyle w:val="276"/>
              <w:rPr>
                <w:color w:val="auto"/>
              </w:rPr>
            </w:pPr>
            <w:r>
              <w:rPr>
                <w:rFonts w:hint="eastAsia"/>
                <w:color w:val="auto"/>
              </w:rPr>
              <w:t>≤</w:t>
            </w:r>
            <w:r>
              <w:rPr>
                <w:color w:val="auto"/>
                <w:lang w:val="en-US"/>
              </w:rPr>
              <w:t>450</w:t>
            </w:r>
          </w:p>
        </w:tc>
      </w:tr>
      <w:tr w14:paraId="131EB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dxa"/>
            <w:vAlign w:val="center"/>
          </w:tcPr>
          <w:p w14:paraId="4709EA54">
            <w:pPr>
              <w:pStyle w:val="45"/>
              <w:jc w:val="center"/>
              <w:rPr>
                <w:rFonts w:ascii="Times New Roman" w:hAnsi="Times New Roman"/>
                <w:color w:val="auto"/>
                <w:szCs w:val="21"/>
              </w:rPr>
            </w:pPr>
            <w:r>
              <w:rPr>
                <w:rFonts w:hint="eastAsia" w:ascii="Times New Roman" w:hAnsi="Times New Roman"/>
                <w:color w:val="auto"/>
                <w:szCs w:val="21"/>
              </w:rPr>
              <w:t>14</w:t>
            </w:r>
          </w:p>
        </w:tc>
        <w:tc>
          <w:tcPr>
            <w:tcW w:w="4606" w:type="dxa"/>
            <w:vAlign w:val="center"/>
          </w:tcPr>
          <w:p w14:paraId="7B4B25AF">
            <w:pPr>
              <w:pStyle w:val="276"/>
              <w:rPr>
                <w:color w:val="auto"/>
              </w:rPr>
            </w:pPr>
            <w:r>
              <w:rPr>
                <w:rFonts w:hint="eastAsia"/>
                <w:color w:val="auto"/>
                <w:lang w:val="en-US"/>
              </w:rPr>
              <w:t>砷（μg/L）</w:t>
            </w:r>
          </w:p>
        </w:tc>
        <w:tc>
          <w:tcPr>
            <w:tcW w:w="3521" w:type="dxa"/>
            <w:vAlign w:val="center"/>
          </w:tcPr>
          <w:p w14:paraId="19BC3CE0">
            <w:pPr>
              <w:pStyle w:val="276"/>
              <w:rPr>
                <w:color w:val="auto"/>
              </w:rPr>
            </w:pPr>
            <w:r>
              <w:rPr>
                <w:rFonts w:hint="eastAsia"/>
                <w:color w:val="auto"/>
              </w:rPr>
              <w:t>≤</w:t>
            </w:r>
            <w:r>
              <w:rPr>
                <w:color w:val="auto"/>
                <w:lang w:val="en-US"/>
              </w:rPr>
              <w:t>10</w:t>
            </w:r>
          </w:p>
        </w:tc>
      </w:tr>
      <w:tr w14:paraId="117D6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dxa"/>
            <w:vAlign w:val="center"/>
          </w:tcPr>
          <w:p w14:paraId="59DE008C">
            <w:pPr>
              <w:pStyle w:val="45"/>
              <w:jc w:val="center"/>
              <w:rPr>
                <w:rFonts w:ascii="Times New Roman" w:hAnsi="Times New Roman"/>
                <w:color w:val="auto"/>
                <w:szCs w:val="21"/>
              </w:rPr>
            </w:pPr>
            <w:r>
              <w:rPr>
                <w:rFonts w:hint="eastAsia" w:ascii="Times New Roman" w:hAnsi="Times New Roman"/>
                <w:color w:val="auto"/>
                <w:szCs w:val="21"/>
              </w:rPr>
              <w:t>15</w:t>
            </w:r>
          </w:p>
        </w:tc>
        <w:tc>
          <w:tcPr>
            <w:tcW w:w="4606" w:type="dxa"/>
            <w:shd w:val="clear" w:color="auto" w:fill="auto"/>
            <w:vAlign w:val="center"/>
          </w:tcPr>
          <w:p w14:paraId="00F05D77">
            <w:pPr>
              <w:pStyle w:val="276"/>
              <w:rPr>
                <w:color w:val="auto"/>
              </w:rPr>
            </w:pPr>
            <w:r>
              <w:rPr>
                <w:rFonts w:hint="eastAsia"/>
                <w:color w:val="auto"/>
                <w:lang w:val="en-US"/>
              </w:rPr>
              <w:t>汞（μg/L）</w:t>
            </w:r>
          </w:p>
        </w:tc>
        <w:tc>
          <w:tcPr>
            <w:tcW w:w="3521" w:type="dxa"/>
            <w:shd w:val="clear" w:color="auto" w:fill="auto"/>
            <w:vAlign w:val="center"/>
          </w:tcPr>
          <w:p w14:paraId="0A48F5C1">
            <w:pPr>
              <w:pStyle w:val="276"/>
              <w:rPr>
                <w:color w:val="auto"/>
              </w:rPr>
            </w:pPr>
            <w:r>
              <w:rPr>
                <w:rFonts w:hint="eastAsia"/>
                <w:color w:val="auto"/>
              </w:rPr>
              <w:t>≤</w:t>
            </w:r>
            <w:r>
              <w:rPr>
                <w:color w:val="auto"/>
                <w:lang w:val="en-US"/>
              </w:rPr>
              <w:t>1</w:t>
            </w:r>
          </w:p>
        </w:tc>
      </w:tr>
      <w:tr w14:paraId="2F5D9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dxa"/>
            <w:vAlign w:val="center"/>
          </w:tcPr>
          <w:p w14:paraId="65553B5C">
            <w:pPr>
              <w:pStyle w:val="45"/>
              <w:jc w:val="center"/>
              <w:rPr>
                <w:rFonts w:ascii="Times New Roman" w:hAnsi="Times New Roman"/>
                <w:color w:val="auto"/>
                <w:szCs w:val="21"/>
              </w:rPr>
            </w:pPr>
            <w:r>
              <w:rPr>
                <w:rFonts w:hint="eastAsia" w:ascii="Times New Roman" w:hAnsi="Times New Roman"/>
                <w:color w:val="auto"/>
                <w:szCs w:val="21"/>
              </w:rPr>
              <w:t>16</w:t>
            </w:r>
          </w:p>
        </w:tc>
        <w:tc>
          <w:tcPr>
            <w:tcW w:w="4606" w:type="dxa"/>
            <w:shd w:val="clear" w:color="auto" w:fill="auto"/>
            <w:vAlign w:val="center"/>
          </w:tcPr>
          <w:p w14:paraId="68E70BE4">
            <w:pPr>
              <w:pStyle w:val="276"/>
              <w:rPr>
                <w:color w:val="auto"/>
              </w:rPr>
            </w:pPr>
            <w:r>
              <w:rPr>
                <w:rFonts w:hint="eastAsia"/>
                <w:color w:val="auto"/>
                <w:lang w:val="en-US"/>
              </w:rPr>
              <w:t>溶解性总固体</w:t>
            </w:r>
          </w:p>
        </w:tc>
        <w:tc>
          <w:tcPr>
            <w:tcW w:w="3521" w:type="dxa"/>
            <w:shd w:val="clear" w:color="auto" w:fill="auto"/>
            <w:vAlign w:val="center"/>
          </w:tcPr>
          <w:p w14:paraId="3C8C0CB9">
            <w:pPr>
              <w:pStyle w:val="276"/>
              <w:rPr>
                <w:color w:val="auto"/>
              </w:rPr>
            </w:pPr>
            <w:r>
              <w:rPr>
                <w:rFonts w:hint="eastAsia"/>
                <w:color w:val="auto"/>
              </w:rPr>
              <w:t>≤</w:t>
            </w:r>
            <w:r>
              <w:rPr>
                <w:color w:val="auto"/>
                <w:lang w:val="en-US"/>
              </w:rPr>
              <w:t>1000</w:t>
            </w:r>
          </w:p>
        </w:tc>
      </w:tr>
      <w:tr w14:paraId="1D0CE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dxa"/>
            <w:vAlign w:val="center"/>
          </w:tcPr>
          <w:p w14:paraId="313513D8">
            <w:pPr>
              <w:pStyle w:val="45"/>
              <w:jc w:val="center"/>
              <w:rPr>
                <w:rFonts w:ascii="Times New Roman" w:hAnsi="Times New Roman"/>
                <w:color w:val="auto"/>
                <w:szCs w:val="21"/>
              </w:rPr>
            </w:pPr>
            <w:r>
              <w:rPr>
                <w:rFonts w:hint="eastAsia" w:ascii="Times New Roman" w:hAnsi="Times New Roman"/>
                <w:color w:val="auto"/>
                <w:szCs w:val="21"/>
              </w:rPr>
              <w:t>17</w:t>
            </w:r>
          </w:p>
        </w:tc>
        <w:tc>
          <w:tcPr>
            <w:tcW w:w="4606" w:type="dxa"/>
            <w:shd w:val="clear" w:color="auto" w:fill="auto"/>
            <w:vAlign w:val="center"/>
          </w:tcPr>
          <w:p w14:paraId="456A5DA9">
            <w:pPr>
              <w:pStyle w:val="276"/>
              <w:rPr>
                <w:color w:val="auto"/>
              </w:rPr>
            </w:pPr>
            <w:r>
              <w:rPr>
                <w:rFonts w:hint="eastAsia"/>
                <w:color w:val="auto"/>
                <w:lang w:val="en-US"/>
              </w:rPr>
              <w:t>总大肠菌群</w:t>
            </w:r>
            <w:r>
              <w:rPr>
                <w:rFonts w:hint="eastAsia"/>
                <w:color w:val="auto"/>
              </w:rPr>
              <w:t>（MPN/100mL）</w:t>
            </w:r>
          </w:p>
        </w:tc>
        <w:tc>
          <w:tcPr>
            <w:tcW w:w="3521" w:type="dxa"/>
            <w:shd w:val="clear" w:color="auto" w:fill="auto"/>
            <w:vAlign w:val="center"/>
          </w:tcPr>
          <w:p w14:paraId="28C570B4">
            <w:pPr>
              <w:pStyle w:val="276"/>
              <w:rPr>
                <w:snapToGrid w:val="0"/>
                <w:color w:val="auto"/>
                <w:kern w:val="0"/>
              </w:rPr>
            </w:pPr>
            <w:r>
              <w:rPr>
                <w:rFonts w:hint="eastAsia"/>
                <w:color w:val="auto"/>
              </w:rPr>
              <w:t>≤</w:t>
            </w:r>
            <w:r>
              <w:rPr>
                <w:color w:val="auto"/>
                <w:lang w:val="en-US"/>
              </w:rPr>
              <w:t>3</w:t>
            </w:r>
          </w:p>
        </w:tc>
      </w:tr>
      <w:tr w14:paraId="2A833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dxa"/>
            <w:vAlign w:val="center"/>
          </w:tcPr>
          <w:p w14:paraId="604BF1A1">
            <w:pPr>
              <w:pStyle w:val="45"/>
              <w:jc w:val="center"/>
              <w:rPr>
                <w:rFonts w:ascii="Times New Roman" w:hAnsi="Times New Roman"/>
                <w:color w:val="auto"/>
                <w:szCs w:val="21"/>
              </w:rPr>
            </w:pPr>
            <w:r>
              <w:rPr>
                <w:rFonts w:hint="eastAsia" w:ascii="Times New Roman" w:hAnsi="Times New Roman"/>
                <w:color w:val="auto"/>
                <w:szCs w:val="21"/>
              </w:rPr>
              <w:t>18</w:t>
            </w:r>
          </w:p>
        </w:tc>
        <w:tc>
          <w:tcPr>
            <w:tcW w:w="4606" w:type="dxa"/>
            <w:shd w:val="clear" w:color="auto" w:fill="auto"/>
            <w:vAlign w:val="center"/>
          </w:tcPr>
          <w:p w14:paraId="629EBE35">
            <w:pPr>
              <w:pStyle w:val="276"/>
              <w:rPr>
                <w:color w:val="auto"/>
              </w:rPr>
            </w:pPr>
            <w:r>
              <w:rPr>
                <w:rFonts w:hint="eastAsia"/>
                <w:color w:val="auto"/>
                <w:lang w:val="en-US"/>
              </w:rPr>
              <w:t>石油类</w:t>
            </w:r>
          </w:p>
        </w:tc>
        <w:tc>
          <w:tcPr>
            <w:tcW w:w="3521" w:type="dxa"/>
            <w:shd w:val="clear" w:color="auto" w:fill="auto"/>
            <w:vAlign w:val="center"/>
          </w:tcPr>
          <w:p w14:paraId="10166111">
            <w:pPr>
              <w:pStyle w:val="276"/>
              <w:rPr>
                <w:snapToGrid w:val="0"/>
                <w:color w:val="auto"/>
                <w:kern w:val="0"/>
              </w:rPr>
            </w:pPr>
            <w:r>
              <w:rPr>
                <w:color w:val="auto"/>
                <w:lang w:val="en-US"/>
              </w:rPr>
              <w:t>/</w:t>
            </w:r>
          </w:p>
        </w:tc>
      </w:tr>
      <w:tr w14:paraId="6D5B6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dxa"/>
            <w:vAlign w:val="center"/>
          </w:tcPr>
          <w:p w14:paraId="1D60ABE0">
            <w:pPr>
              <w:pStyle w:val="45"/>
              <w:jc w:val="center"/>
              <w:rPr>
                <w:rFonts w:ascii="Times New Roman" w:hAnsi="Times New Roman"/>
                <w:color w:val="auto"/>
                <w:szCs w:val="21"/>
              </w:rPr>
            </w:pPr>
            <w:r>
              <w:rPr>
                <w:rFonts w:hint="eastAsia" w:ascii="Times New Roman" w:hAnsi="Times New Roman"/>
                <w:color w:val="auto"/>
                <w:szCs w:val="21"/>
              </w:rPr>
              <w:t>19</w:t>
            </w:r>
          </w:p>
        </w:tc>
        <w:tc>
          <w:tcPr>
            <w:tcW w:w="4606" w:type="dxa"/>
            <w:shd w:val="clear" w:color="auto" w:fill="auto"/>
            <w:vAlign w:val="center"/>
          </w:tcPr>
          <w:p w14:paraId="0129A84E">
            <w:pPr>
              <w:pStyle w:val="276"/>
              <w:rPr>
                <w:color w:val="auto"/>
              </w:rPr>
            </w:pPr>
            <w:r>
              <w:rPr>
                <w:rFonts w:hint="eastAsia"/>
                <w:color w:val="auto"/>
                <w:lang w:val="en-US"/>
              </w:rPr>
              <w:t>硫酸盐</w:t>
            </w:r>
          </w:p>
        </w:tc>
        <w:tc>
          <w:tcPr>
            <w:tcW w:w="3521" w:type="dxa"/>
            <w:shd w:val="clear" w:color="auto" w:fill="auto"/>
            <w:vAlign w:val="center"/>
          </w:tcPr>
          <w:p w14:paraId="06717BAD">
            <w:pPr>
              <w:pStyle w:val="276"/>
              <w:rPr>
                <w:color w:val="auto"/>
                <w:lang w:val="en-US"/>
              </w:rPr>
            </w:pPr>
            <w:r>
              <w:rPr>
                <w:rFonts w:hint="eastAsia"/>
                <w:color w:val="auto"/>
              </w:rPr>
              <w:t>≤</w:t>
            </w:r>
            <w:r>
              <w:rPr>
                <w:color w:val="auto"/>
                <w:lang w:val="en-US"/>
              </w:rPr>
              <w:t>250</w:t>
            </w:r>
          </w:p>
        </w:tc>
      </w:tr>
      <w:tr w14:paraId="11EDF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dxa"/>
            <w:shd w:val="clear" w:color="auto" w:fill="auto"/>
            <w:vAlign w:val="center"/>
          </w:tcPr>
          <w:p w14:paraId="46145DD4">
            <w:pPr>
              <w:pStyle w:val="45"/>
              <w:jc w:val="center"/>
              <w:rPr>
                <w:rFonts w:ascii="Times New Roman" w:hAnsi="Times New Roman"/>
                <w:color w:val="auto"/>
                <w:szCs w:val="21"/>
              </w:rPr>
            </w:pPr>
            <w:r>
              <w:rPr>
                <w:rFonts w:hint="eastAsia" w:ascii="Times New Roman" w:hAnsi="Times New Roman"/>
                <w:color w:val="auto"/>
                <w:szCs w:val="21"/>
              </w:rPr>
              <w:t>20</w:t>
            </w:r>
          </w:p>
        </w:tc>
        <w:tc>
          <w:tcPr>
            <w:tcW w:w="4606" w:type="dxa"/>
            <w:shd w:val="clear" w:color="auto" w:fill="auto"/>
            <w:vAlign w:val="center"/>
          </w:tcPr>
          <w:p w14:paraId="6706D64A">
            <w:pPr>
              <w:pStyle w:val="276"/>
              <w:rPr>
                <w:color w:val="auto"/>
              </w:rPr>
            </w:pPr>
            <w:r>
              <w:rPr>
                <w:rFonts w:hint="eastAsia"/>
                <w:color w:val="auto"/>
                <w:lang w:val="en-US"/>
              </w:rPr>
              <w:t>细菌总数</w:t>
            </w:r>
            <w:r>
              <w:rPr>
                <w:rFonts w:hint="eastAsia"/>
                <w:color w:val="auto"/>
              </w:rPr>
              <w:t>（CFU/mL）</w:t>
            </w:r>
          </w:p>
        </w:tc>
        <w:tc>
          <w:tcPr>
            <w:tcW w:w="3521" w:type="dxa"/>
            <w:shd w:val="clear" w:color="auto" w:fill="auto"/>
            <w:vAlign w:val="center"/>
          </w:tcPr>
          <w:p w14:paraId="3FD4A7CF">
            <w:pPr>
              <w:pStyle w:val="276"/>
              <w:rPr>
                <w:color w:val="auto"/>
                <w:lang w:val="en-US"/>
              </w:rPr>
            </w:pPr>
            <w:r>
              <w:rPr>
                <w:rFonts w:hint="eastAsia"/>
                <w:color w:val="auto"/>
              </w:rPr>
              <w:t>≤</w:t>
            </w:r>
            <w:r>
              <w:rPr>
                <w:color w:val="auto"/>
                <w:lang w:val="en-US"/>
              </w:rPr>
              <w:t>100</w:t>
            </w:r>
          </w:p>
        </w:tc>
      </w:tr>
      <w:tr w14:paraId="403D1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dxa"/>
            <w:shd w:val="clear" w:color="auto" w:fill="auto"/>
            <w:vAlign w:val="center"/>
          </w:tcPr>
          <w:p w14:paraId="0A5CC395">
            <w:pPr>
              <w:pStyle w:val="45"/>
              <w:jc w:val="center"/>
              <w:rPr>
                <w:rFonts w:ascii="Times New Roman" w:hAnsi="Times New Roman"/>
                <w:color w:val="auto"/>
                <w:szCs w:val="21"/>
              </w:rPr>
            </w:pPr>
            <w:r>
              <w:rPr>
                <w:rFonts w:hint="eastAsia" w:ascii="Times New Roman" w:hAnsi="Times New Roman"/>
                <w:color w:val="auto"/>
                <w:szCs w:val="21"/>
              </w:rPr>
              <w:t>21</w:t>
            </w:r>
          </w:p>
        </w:tc>
        <w:tc>
          <w:tcPr>
            <w:tcW w:w="4606" w:type="dxa"/>
            <w:shd w:val="clear" w:color="auto" w:fill="auto"/>
            <w:vAlign w:val="center"/>
          </w:tcPr>
          <w:p w14:paraId="341D3954">
            <w:pPr>
              <w:pStyle w:val="276"/>
              <w:rPr>
                <w:color w:val="auto"/>
              </w:rPr>
            </w:pPr>
            <w:r>
              <w:rPr>
                <w:rFonts w:hint="eastAsia"/>
                <w:color w:val="auto"/>
                <w:lang w:val="en-US"/>
              </w:rPr>
              <w:t>硼</w:t>
            </w:r>
          </w:p>
        </w:tc>
        <w:tc>
          <w:tcPr>
            <w:tcW w:w="3521" w:type="dxa"/>
            <w:shd w:val="clear" w:color="auto" w:fill="auto"/>
            <w:vAlign w:val="center"/>
          </w:tcPr>
          <w:p w14:paraId="5ABB5FAC">
            <w:pPr>
              <w:pStyle w:val="276"/>
              <w:rPr>
                <w:color w:val="auto"/>
              </w:rPr>
            </w:pPr>
            <w:r>
              <w:rPr>
                <w:rFonts w:hint="eastAsia"/>
                <w:color w:val="auto"/>
              </w:rPr>
              <w:t>≤</w:t>
            </w:r>
            <w:r>
              <w:rPr>
                <w:color w:val="auto"/>
                <w:lang w:val="en-US"/>
              </w:rPr>
              <w:t>0.5</w:t>
            </w:r>
          </w:p>
        </w:tc>
      </w:tr>
      <w:tr w14:paraId="6AA87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dxa"/>
            <w:shd w:val="clear" w:color="auto" w:fill="auto"/>
            <w:vAlign w:val="center"/>
          </w:tcPr>
          <w:p w14:paraId="16B18A94">
            <w:pPr>
              <w:pStyle w:val="45"/>
              <w:jc w:val="center"/>
              <w:rPr>
                <w:rFonts w:ascii="Times New Roman" w:hAnsi="Times New Roman"/>
                <w:color w:val="auto"/>
                <w:szCs w:val="21"/>
              </w:rPr>
            </w:pPr>
            <w:r>
              <w:rPr>
                <w:rFonts w:hint="eastAsia" w:ascii="Times New Roman" w:hAnsi="Times New Roman"/>
                <w:color w:val="auto"/>
                <w:szCs w:val="21"/>
              </w:rPr>
              <w:t>22</w:t>
            </w:r>
          </w:p>
        </w:tc>
        <w:tc>
          <w:tcPr>
            <w:tcW w:w="4606" w:type="dxa"/>
            <w:shd w:val="clear" w:color="auto" w:fill="auto"/>
            <w:vAlign w:val="center"/>
          </w:tcPr>
          <w:p w14:paraId="3C002C7A">
            <w:pPr>
              <w:pStyle w:val="276"/>
              <w:rPr>
                <w:color w:val="auto"/>
              </w:rPr>
            </w:pPr>
            <w:r>
              <w:rPr>
                <w:rFonts w:hint="eastAsia"/>
                <w:color w:val="auto"/>
                <w:lang w:val="en-US"/>
              </w:rPr>
              <w:t>钡</w:t>
            </w:r>
          </w:p>
        </w:tc>
        <w:tc>
          <w:tcPr>
            <w:tcW w:w="3521" w:type="dxa"/>
            <w:shd w:val="clear" w:color="auto" w:fill="auto"/>
            <w:vAlign w:val="center"/>
          </w:tcPr>
          <w:p w14:paraId="00C74DEF">
            <w:pPr>
              <w:pStyle w:val="276"/>
              <w:rPr>
                <w:color w:val="auto"/>
              </w:rPr>
            </w:pPr>
            <w:r>
              <w:rPr>
                <w:rFonts w:hint="eastAsia"/>
                <w:color w:val="auto"/>
              </w:rPr>
              <w:t>≤</w:t>
            </w:r>
            <w:r>
              <w:rPr>
                <w:color w:val="auto"/>
                <w:lang w:val="en-US"/>
              </w:rPr>
              <w:t>0.7</w:t>
            </w:r>
          </w:p>
        </w:tc>
      </w:tr>
      <w:tr w14:paraId="49520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dxa"/>
            <w:shd w:val="clear" w:color="auto" w:fill="auto"/>
            <w:vAlign w:val="center"/>
          </w:tcPr>
          <w:p w14:paraId="3F2BEFCF">
            <w:pPr>
              <w:pStyle w:val="45"/>
              <w:jc w:val="center"/>
              <w:rPr>
                <w:rFonts w:ascii="Times New Roman" w:hAnsi="Times New Roman"/>
                <w:color w:val="auto"/>
                <w:szCs w:val="21"/>
              </w:rPr>
            </w:pPr>
            <w:r>
              <w:rPr>
                <w:rFonts w:hint="eastAsia" w:ascii="Times New Roman" w:hAnsi="Times New Roman"/>
                <w:color w:val="auto"/>
                <w:szCs w:val="21"/>
              </w:rPr>
              <w:t>23</w:t>
            </w:r>
          </w:p>
        </w:tc>
        <w:tc>
          <w:tcPr>
            <w:tcW w:w="4606" w:type="dxa"/>
            <w:shd w:val="clear" w:color="auto" w:fill="auto"/>
            <w:vAlign w:val="center"/>
          </w:tcPr>
          <w:p w14:paraId="20E9BDD1">
            <w:pPr>
              <w:pStyle w:val="276"/>
              <w:rPr>
                <w:color w:val="auto"/>
              </w:rPr>
            </w:pPr>
            <w:r>
              <w:rPr>
                <w:rFonts w:hint="eastAsia"/>
                <w:color w:val="auto"/>
                <w:lang w:val="en-US"/>
              </w:rPr>
              <w:t>氰化物</w:t>
            </w:r>
          </w:p>
        </w:tc>
        <w:tc>
          <w:tcPr>
            <w:tcW w:w="3521" w:type="dxa"/>
            <w:shd w:val="clear" w:color="auto" w:fill="auto"/>
            <w:vAlign w:val="center"/>
          </w:tcPr>
          <w:p w14:paraId="641171B4">
            <w:pPr>
              <w:pStyle w:val="276"/>
              <w:rPr>
                <w:color w:val="auto"/>
              </w:rPr>
            </w:pPr>
            <w:r>
              <w:rPr>
                <w:rFonts w:hint="eastAsia"/>
                <w:color w:val="auto"/>
              </w:rPr>
              <w:t>≤</w:t>
            </w:r>
            <w:r>
              <w:rPr>
                <w:color w:val="auto"/>
                <w:lang w:val="en-US"/>
              </w:rPr>
              <w:t>0.05</w:t>
            </w:r>
          </w:p>
        </w:tc>
      </w:tr>
      <w:tr w14:paraId="67E39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dxa"/>
            <w:shd w:val="clear" w:color="auto" w:fill="auto"/>
            <w:vAlign w:val="center"/>
          </w:tcPr>
          <w:p w14:paraId="27C30D4F">
            <w:pPr>
              <w:pStyle w:val="45"/>
              <w:jc w:val="center"/>
              <w:rPr>
                <w:rFonts w:ascii="Times New Roman" w:hAnsi="Times New Roman"/>
                <w:color w:val="auto"/>
                <w:szCs w:val="21"/>
              </w:rPr>
            </w:pPr>
            <w:r>
              <w:rPr>
                <w:rFonts w:hint="eastAsia" w:ascii="Times New Roman" w:hAnsi="Times New Roman"/>
                <w:color w:val="auto"/>
                <w:szCs w:val="21"/>
              </w:rPr>
              <w:t>24</w:t>
            </w:r>
          </w:p>
        </w:tc>
        <w:tc>
          <w:tcPr>
            <w:tcW w:w="4606" w:type="dxa"/>
            <w:shd w:val="clear" w:color="auto" w:fill="auto"/>
            <w:vAlign w:val="center"/>
          </w:tcPr>
          <w:p w14:paraId="5A129337">
            <w:pPr>
              <w:pStyle w:val="276"/>
              <w:rPr>
                <w:color w:val="auto"/>
              </w:rPr>
            </w:pPr>
            <w:r>
              <w:rPr>
                <w:rFonts w:hint="eastAsia"/>
                <w:color w:val="auto"/>
                <w:lang w:val="en-US"/>
              </w:rPr>
              <w:t>硫化物</w:t>
            </w:r>
          </w:p>
        </w:tc>
        <w:tc>
          <w:tcPr>
            <w:tcW w:w="3521" w:type="dxa"/>
            <w:shd w:val="clear" w:color="auto" w:fill="auto"/>
            <w:vAlign w:val="center"/>
          </w:tcPr>
          <w:p w14:paraId="519F0EC1">
            <w:pPr>
              <w:pStyle w:val="276"/>
              <w:rPr>
                <w:color w:val="auto"/>
              </w:rPr>
            </w:pPr>
            <w:r>
              <w:rPr>
                <w:rFonts w:hint="eastAsia"/>
                <w:color w:val="auto"/>
              </w:rPr>
              <w:t>≤</w:t>
            </w:r>
            <w:r>
              <w:rPr>
                <w:color w:val="auto"/>
                <w:lang w:val="en-US"/>
              </w:rPr>
              <w:t>0.02</w:t>
            </w:r>
          </w:p>
        </w:tc>
      </w:tr>
      <w:tr w14:paraId="26503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dxa"/>
            <w:shd w:val="clear" w:color="auto" w:fill="auto"/>
            <w:vAlign w:val="center"/>
          </w:tcPr>
          <w:p w14:paraId="0EE289A5">
            <w:pPr>
              <w:pStyle w:val="45"/>
              <w:jc w:val="center"/>
              <w:rPr>
                <w:rFonts w:ascii="Times New Roman" w:hAnsi="Times New Roman"/>
                <w:color w:val="auto"/>
                <w:szCs w:val="21"/>
              </w:rPr>
            </w:pPr>
            <w:r>
              <w:rPr>
                <w:rFonts w:hint="eastAsia" w:ascii="Times New Roman" w:hAnsi="Times New Roman"/>
                <w:color w:val="auto"/>
                <w:szCs w:val="21"/>
              </w:rPr>
              <w:t>25</w:t>
            </w:r>
          </w:p>
        </w:tc>
        <w:tc>
          <w:tcPr>
            <w:tcW w:w="4606" w:type="dxa"/>
            <w:shd w:val="clear" w:color="auto" w:fill="auto"/>
            <w:vAlign w:val="center"/>
          </w:tcPr>
          <w:p w14:paraId="7BEF9DC7">
            <w:pPr>
              <w:pStyle w:val="276"/>
              <w:rPr>
                <w:color w:val="auto"/>
              </w:rPr>
            </w:pPr>
            <w:r>
              <w:rPr>
                <w:rFonts w:hint="eastAsia"/>
                <w:color w:val="auto"/>
                <w:lang w:val="en-US"/>
              </w:rPr>
              <w:t>氯化物</w:t>
            </w:r>
          </w:p>
        </w:tc>
        <w:tc>
          <w:tcPr>
            <w:tcW w:w="3521" w:type="dxa"/>
            <w:shd w:val="clear" w:color="auto" w:fill="auto"/>
            <w:vAlign w:val="center"/>
          </w:tcPr>
          <w:p w14:paraId="6B4C5F10">
            <w:pPr>
              <w:pStyle w:val="276"/>
              <w:rPr>
                <w:color w:val="auto"/>
              </w:rPr>
            </w:pPr>
            <w:r>
              <w:rPr>
                <w:rFonts w:hint="eastAsia"/>
                <w:color w:val="auto"/>
              </w:rPr>
              <w:t>≤</w:t>
            </w:r>
            <w:r>
              <w:rPr>
                <w:color w:val="auto"/>
                <w:lang w:val="en-US"/>
              </w:rPr>
              <w:t>250</w:t>
            </w:r>
          </w:p>
        </w:tc>
      </w:tr>
      <w:tr w14:paraId="45FF8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dxa"/>
            <w:shd w:val="clear" w:color="auto" w:fill="auto"/>
            <w:vAlign w:val="center"/>
          </w:tcPr>
          <w:p w14:paraId="797F7489">
            <w:pPr>
              <w:pStyle w:val="45"/>
              <w:jc w:val="center"/>
              <w:rPr>
                <w:rFonts w:ascii="Times New Roman" w:hAnsi="Times New Roman"/>
                <w:color w:val="auto"/>
                <w:szCs w:val="21"/>
              </w:rPr>
            </w:pPr>
            <w:r>
              <w:rPr>
                <w:rFonts w:hint="eastAsia" w:ascii="Times New Roman" w:hAnsi="Times New Roman"/>
                <w:color w:val="auto"/>
                <w:szCs w:val="21"/>
              </w:rPr>
              <w:t>26</w:t>
            </w:r>
          </w:p>
        </w:tc>
        <w:tc>
          <w:tcPr>
            <w:tcW w:w="4606" w:type="dxa"/>
            <w:shd w:val="clear" w:color="auto" w:fill="auto"/>
            <w:vAlign w:val="center"/>
          </w:tcPr>
          <w:p w14:paraId="0FE797E6">
            <w:pPr>
              <w:pStyle w:val="276"/>
              <w:rPr>
                <w:color w:val="auto"/>
              </w:rPr>
            </w:pPr>
            <w:r>
              <w:rPr>
                <w:rFonts w:hint="eastAsia"/>
                <w:color w:val="auto"/>
              </w:rPr>
              <w:t>总α放射性（Bq/L）</w:t>
            </w:r>
          </w:p>
        </w:tc>
        <w:tc>
          <w:tcPr>
            <w:tcW w:w="3521" w:type="dxa"/>
            <w:shd w:val="clear" w:color="auto" w:fill="auto"/>
            <w:vAlign w:val="center"/>
          </w:tcPr>
          <w:p w14:paraId="286396A0">
            <w:pPr>
              <w:pStyle w:val="276"/>
              <w:rPr>
                <w:color w:val="auto"/>
                <w:lang w:val="en-US"/>
              </w:rPr>
            </w:pPr>
            <w:r>
              <w:rPr>
                <w:rFonts w:hint="eastAsia"/>
                <w:color w:val="auto"/>
              </w:rPr>
              <w:t>≤0.5</w:t>
            </w:r>
          </w:p>
        </w:tc>
      </w:tr>
      <w:tr w14:paraId="232A3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dxa"/>
            <w:shd w:val="clear" w:color="auto" w:fill="auto"/>
            <w:vAlign w:val="center"/>
          </w:tcPr>
          <w:p w14:paraId="3B698421">
            <w:pPr>
              <w:pStyle w:val="45"/>
              <w:jc w:val="center"/>
              <w:rPr>
                <w:rFonts w:ascii="Times New Roman" w:hAnsi="Times New Roman"/>
                <w:color w:val="auto"/>
                <w:szCs w:val="21"/>
              </w:rPr>
            </w:pPr>
            <w:r>
              <w:rPr>
                <w:rFonts w:hint="eastAsia" w:ascii="Times New Roman" w:hAnsi="Times New Roman"/>
                <w:color w:val="auto"/>
                <w:szCs w:val="21"/>
              </w:rPr>
              <w:t>27</w:t>
            </w:r>
          </w:p>
        </w:tc>
        <w:tc>
          <w:tcPr>
            <w:tcW w:w="4606" w:type="dxa"/>
            <w:shd w:val="clear" w:color="auto" w:fill="auto"/>
            <w:vAlign w:val="center"/>
          </w:tcPr>
          <w:p w14:paraId="73B2F7F2">
            <w:pPr>
              <w:pStyle w:val="276"/>
              <w:rPr>
                <w:color w:val="auto"/>
                <w:sz w:val="18"/>
                <w:szCs w:val="18"/>
              </w:rPr>
            </w:pPr>
            <w:r>
              <w:rPr>
                <w:rFonts w:hint="eastAsia"/>
                <w:color w:val="auto"/>
              </w:rPr>
              <w:t>总β放射性（Bq/L）</w:t>
            </w:r>
          </w:p>
        </w:tc>
        <w:tc>
          <w:tcPr>
            <w:tcW w:w="3521" w:type="dxa"/>
            <w:shd w:val="clear" w:color="auto" w:fill="auto"/>
            <w:vAlign w:val="center"/>
          </w:tcPr>
          <w:p w14:paraId="54C3E8A7">
            <w:pPr>
              <w:pStyle w:val="276"/>
              <w:rPr>
                <w:color w:val="auto"/>
                <w:lang w:val="en-US"/>
              </w:rPr>
            </w:pPr>
            <w:r>
              <w:rPr>
                <w:rFonts w:hint="eastAsia"/>
                <w:color w:val="auto"/>
              </w:rPr>
              <w:t>≤1</w:t>
            </w:r>
          </w:p>
        </w:tc>
      </w:tr>
    </w:tbl>
    <w:p w14:paraId="222A7B59">
      <w:pPr>
        <w:spacing w:line="360" w:lineRule="auto"/>
        <w:ind w:firstLine="480"/>
        <w:rPr>
          <w:color w:val="auto"/>
        </w:rPr>
      </w:pPr>
    </w:p>
    <w:p w14:paraId="23FDDC85">
      <w:pPr>
        <w:spacing w:line="360" w:lineRule="auto"/>
        <w:ind w:firstLine="480"/>
        <w:rPr>
          <w:color w:val="auto"/>
        </w:rPr>
      </w:pPr>
      <w:r>
        <w:rPr>
          <w:color w:val="auto"/>
        </w:rPr>
        <w:t>（4）</w:t>
      </w:r>
      <w:r>
        <w:rPr>
          <w:rFonts w:hint="eastAsia"/>
          <w:color w:val="auto"/>
        </w:rPr>
        <w:t>声环境</w:t>
      </w:r>
    </w:p>
    <w:p w14:paraId="3EA6528B">
      <w:pPr>
        <w:spacing w:line="360" w:lineRule="auto"/>
        <w:ind w:firstLine="480"/>
        <w:rPr>
          <w:color w:val="auto"/>
        </w:rPr>
      </w:pPr>
      <w:r>
        <w:rPr>
          <w:color w:val="auto"/>
        </w:rPr>
        <w:t>根据</w:t>
      </w:r>
      <w:r>
        <w:rPr>
          <w:rFonts w:hint="eastAsia"/>
          <w:color w:val="auto"/>
          <w:lang w:eastAsia="zh-CN"/>
        </w:rPr>
        <w:t>《</w:t>
      </w:r>
      <w:r>
        <w:rPr>
          <w:rFonts w:hint="eastAsia"/>
          <w:color w:val="auto"/>
        </w:rPr>
        <w:t>忠县人民政府办公室关于印发忠县声环境功能区划分调整方案的通知</w:t>
      </w:r>
      <w:r>
        <w:rPr>
          <w:rFonts w:hint="eastAsia"/>
          <w:color w:val="auto"/>
          <w:lang w:eastAsia="zh-CN"/>
        </w:rPr>
        <w:t>》（</w:t>
      </w:r>
      <w:r>
        <w:rPr>
          <w:rFonts w:hint="eastAsia"/>
          <w:color w:val="auto"/>
        </w:rPr>
        <w:t>忠府办发〔2023〕51号</w:t>
      </w:r>
      <w:r>
        <w:rPr>
          <w:rFonts w:hint="eastAsia"/>
          <w:color w:val="auto"/>
          <w:lang w:eastAsia="zh-CN"/>
        </w:rPr>
        <w:t>）</w:t>
      </w:r>
      <w:r>
        <w:rPr>
          <w:rFonts w:hint="eastAsia"/>
          <w:color w:val="auto"/>
        </w:rPr>
        <w:t>，拟建项目所在地执行</w:t>
      </w:r>
      <w:r>
        <w:rPr>
          <w:color w:val="auto"/>
        </w:rPr>
        <w:t>《声环境质量标准》（GB3096-2008）中的3类标准，即昼间为65dB(A</w:t>
      </w:r>
      <w:r>
        <w:rPr>
          <w:rFonts w:hint="eastAsia"/>
          <w:color w:val="auto"/>
          <w:lang w:eastAsia="zh-CN"/>
        </w:rPr>
        <w:t>）</w:t>
      </w:r>
      <w:r>
        <w:rPr>
          <w:color w:val="auto"/>
        </w:rPr>
        <w:t>，夜间55dB(A</w:t>
      </w:r>
      <w:r>
        <w:rPr>
          <w:rFonts w:hint="eastAsia"/>
          <w:color w:val="auto"/>
          <w:lang w:eastAsia="zh-CN"/>
        </w:rPr>
        <w:t>）</w:t>
      </w:r>
      <w:r>
        <w:rPr>
          <w:rFonts w:hint="eastAsia"/>
          <w:color w:val="auto"/>
        </w:rPr>
        <w:t>。</w:t>
      </w:r>
    </w:p>
    <w:p w14:paraId="48EA7526">
      <w:pPr>
        <w:spacing w:line="360" w:lineRule="auto"/>
        <w:ind w:firstLine="480"/>
        <w:rPr>
          <w:color w:val="auto"/>
        </w:rPr>
      </w:pPr>
      <w:r>
        <w:rPr>
          <w:rFonts w:hint="eastAsia"/>
          <w:color w:val="auto"/>
        </w:rPr>
        <w:t>（5）土壤</w:t>
      </w:r>
    </w:p>
    <w:p w14:paraId="5BD46A25">
      <w:pPr>
        <w:spacing w:line="360" w:lineRule="auto"/>
        <w:ind w:firstLine="480"/>
        <w:rPr>
          <w:color w:val="auto"/>
        </w:rPr>
      </w:pPr>
      <w:bookmarkStart w:id="91" w:name="_Ref432089016"/>
      <w:r>
        <w:rPr>
          <w:rFonts w:hint="eastAsia"/>
          <w:snapToGrid w:val="0"/>
          <w:color w:val="auto"/>
        </w:rPr>
        <w:t>项目所在区域土壤环境质量执行《土壤环境质量建设用地土壤污染风险管控标准（试行）》（</w:t>
      </w:r>
      <w:r>
        <w:rPr>
          <w:snapToGrid w:val="0"/>
          <w:color w:val="auto"/>
        </w:rPr>
        <w:t xml:space="preserve">GB </w:t>
      </w:r>
      <w:r>
        <w:rPr>
          <w:rFonts w:hint="eastAsia"/>
          <w:snapToGrid w:val="0"/>
          <w:color w:val="auto"/>
        </w:rPr>
        <w:t>36600</w:t>
      </w:r>
      <w:r>
        <w:rPr>
          <w:snapToGrid w:val="0"/>
          <w:color w:val="auto"/>
        </w:rPr>
        <w:t>-</w:t>
      </w:r>
      <w:r>
        <w:rPr>
          <w:rFonts w:hint="eastAsia"/>
          <w:snapToGrid w:val="0"/>
          <w:color w:val="auto"/>
        </w:rPr>
        <w:t>2018）中第二类用地筛选值</w:t>
      </w:r>
      <w:r>
        <w:rPr>
          <w:rFonts w:hint="eastAsia"/>
          <w:color w:val="auto"/>
        </w:rPr>
        <w:t>，具体见表</w:t>
      </w:r>
      <w:r>
        <w:rPr>
          <w:rFonts w:hint="eastAsia"/>
          <w:color w:val="auto"/>
          <w:lang w:eastAsia="zh-CN"/>
        </w:rPr>
        <w:t>2.6</w:t>
      </w:r>
      <w:r>
        <w:rPr>
          <w:rFonts w:hint="eastAsia"/>
          <w:color w:val="auto"/>
        </w:rPr>
        <w:t>-</w:t>
      </w:r>
      <w:r>
        <w:rPr>
          <w:color w:val="auto"/>
        </w:rPr>
        <w:t>4</w:t>
      </w:r>
      <w:r>
        <w:rPr>
          <w:rFonts w:hint="eastAsia"/>
          <w:color w:val="auto"/>
        </w:rPr>
        <w:t>。</w:t>
      </w:r>
    </w:p>
    <w:p w14:paraId="5C7B5E71">
      <w:pPr>
        <w:ind w:firstLine="0" w:firstLineChars="0"/>
        <w:jc w:val="center"/>
        <w:rPr>
          <w:b/>
          <w:color w:val="auto"/>
        </w:rPr>
      </w:pPr>
      <w:r>
        <w:rPr>
          <w:b/>
          <w:color w:val="auto"/>
        </w:rPr>
        <w:t>表</w:t>
      </w:r>
      <w:bookmarkEnd w:id="91"/>
      <w:r>
        <w:rPr>
          <w:rFonts w:hint="eastAsia"/>
          <w:b/>
          <w:color w:val="auto"/>
          <w:lang w:eastAsia="zh-CN"/>
        </w:rPr>
        <w:t>2.6</w:t>
      </w:r>
      <w:r>
        <w:rPr>
          <w:rFonts w:hint="eastAsia"/>
          <w:b/>
          <w:color w:val="auto"/>
        </w:rPr>
        <w:t>-</w:t>
      </w:r>
      <w:r>
        <w:rPr>
          <w:b/>
          <w:color w:val="auto"/>
        </w:rPr>
        <w:t>4   土壤环境质量标准值</w:t>
      </w:r>
    </w:p>
    <w:tbl>
      <w:tblPr>
        <w:tblStyle w:val="88"/>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2130"/>
        <w:gridCol w:w="1550"/>
        <w:gridCol w:w="1143"/>
        <w:gridCol w:w="1967"/>
        <w:gridCol w:w="1539"/>
      </w:tblGrid>
      <w:tr w14:paraId="705A7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958" w:type="dxa"/>
            <w:vAlign w:val="center"/>
          </w:tcPr>
          <w:p w14:paraId="1D87726E">
            <w:pPr>
              <w:spacing w:line="240" w:lineRule="auto"/>
              <w:ind w:firstLine="0" w:firstLineChars="0"/>
              <w:jc w:val="center"/>
              <w:rPr>
                <w:color w:val="auto"/>
                <w:kern w:val="0"/>
                <w:sz w:val="21"/>
                <w:szCs w:val="21"/>
                <w:lang w:val="zh-CN"/>
              </w:rPr>
            </w:pPr>
            <w:r>
              <w:rPr>
                <w:rFonts w:hint="eastAsia"/>
                <w:color w:val="auto"/>
                <w:kern w:val="0"/>
                <w:sz w:val="21"/>
                <w:szCs w:val="21"/>
                <w:lang w:val="zh-CN"/>
              </w:rPr>
              <w:t>序号</w:t>
            </w:r>
          </w:p>
        </w:tc>
        <w:tc>
          <w:tcPr>
            <w:tcW w:w="2132" w:type="dxa"/>
            <w:vAlign w:val="center"/>
          </w:tcPr>
          <w:p w14:paraId="14D55532">
            <w:pPr>
              <w:spacing w:line="240" w:lineRule="auto"/>
              <w:ind w:firstLine="0" w:firstLineChars="0"/>
              <w:jc w:val="center"/>
              <w:rPr>
                <w:color w:val="auto"/>
                <w:kern w:val="0"/>
                <w:sz w:val="21"/>
                <w:szCs w:val="21"/>
                <w:lang w:val="zh-CN"/>
              </w:rPr>
            </w:pPr>
            <w:r>
              <w:rPr>
                <w:rFonts w:hint="eastAsia"/>
                <w:color w:val="auto"/>
                <w:kern w:val="0"/>
                <w:sz w:val="21"/>
                <w:szCs w:val="21"/>
                <w:lang w:val="zh-CN"/>
              </w:rPr>
              <w:t>污染物项目</w:t>
            </w:r>
          </w:p>
        </w:tc>
        <w:tc>
          <w:tcPr>
            <w:tcW w:w="1543" w:type="dxa"/>
            <w:vAlign w:val="center"/>
          </w:tcPr>
          <w:p w14:paraId="0B744419">
            <w:pPr>
              <w:spacing w:line="240" w:lineRule="auto"/>
              <w:ind w:firstLine="0" w:firstLineChars="0"/>
              <w:jc w:val="center"/>
              <w:rPr>
                <w:color w:val="auto"/>
                <w:kern w:val="0"/>
                <w:sz w:val="21"/>
                <w:szCs w:val="21"/>
                <w:lang w:val="zh-CN"/>
              </w:rPr>
            </w:pPr>
            <w:r>
              <w:rPr>
                <w:rFonts w:hint="eastAsia"/>
                <w:color w:val="auto"/>
                <w:kern w:val="0"/>
                <w:sz w:val="21"/>
                <w:szCs w:val="21"/>
                <w:lang w:val="zh-CN"/>
              </w:rPr>
              <w:t>筛选值（第二类用地）</w:t>
            </w:r>
          </w:p>
        </w:tc>
        <w:tc>
          <w:tcPr>
            <w:tcW w:w="1144" w:type="dxa"/>
            <w:vAlign w:val="center"/>
          </w:tcPr>
          <w:p w14:paraId="52974F88">
            <w:pPr>
              <w:spacing w:line="240" w:lineRule="auto"/>
              <w:ind w:firstLine="0" w:firstLineChars="0"/>
              <w:jc w:val="center"/>
              <w:rPr>
                <w:color w:val="auto"/>
                <w:kern w:val="0"/>
                <w:sz w:val="21"/>
                <w:szCs w:val="21"/>
                <w:lang w:val="zh-CN"/>
              </w:rPr>
            </w:pPr>
            <w:r>
              <w:rPr>
                <w:rFonts w:hint="eastAsia"/>
                <w:color w:val="auto"/>
                <w:kern w:val="0"/>
                <w:sz w:val="21"/>
                <w:szCs w:val="21"/>
                <w:lang w:val="zh-CN"/>
              </w:rPr>
              <w:t>序号</w:t>
            </w:r>
          </w:p>
        </w:tc>
        <w:tc>
          <w:tcPr>
            <w:tcW w:w="1969" w:type="dxa"/>
            <w:vAlign w:val="center"/>
          </w:tcPr>
          <w:p w14:paraId="24246C52">
            <w:pPr>
              <w:spacing w:line="240" w:lineRule="auto"/>
              <w:ind w:firstLine="0" w:firstLineChars="0"/>
              <w:jc w:val="center"/>
              <w:rPr>
                <w:color w:val="auto"/>
                <w:kern w:val="0"/>
                <w:sz w:val="21"/>
                <w:szCs w:val="21"/>
                <w:lang w:val="zh-CN"/>
              </w:rPr>
            </w:pPr>
            <w:r>
              <w:rPr>
                <w:rFonts w:hint="eastAsia"/>
                <w:color w:val="auto"/>
                <w:kern w:val="0"/>
                <w:sz w:val="21"/>
                <w:szCs w:val="21"/>
                <w:lang w:val="zh-CN"/>
              </w:rPr>
              <w:t>污染物项目</w:t>
            </w:r>
          </w:p>
        </w:tc>
        <w:tc>
          <w:tcPr>
            <w:tcW w:w="1540" w:type="dxa"/>
            <w:vAlign w:val="center"/>
          </w:tcPr>
          <w:p w14:paraId="4ED922EB">
            <w:pPr>
              <w:spacing w:line="240" w:lineRule="auto"/>
              <w:ind w:firstLine="0" w:firstLineChars="0"/>
              <w:jc w:val="center"/>
              <w:rPr>
                <w:color w:val="auto"/>
                <w:kern w:val="0"/>
                <w:sz w:val="21"/>
                <w:szCs w:val="21"/>
                <w:lang w:val="zh-CN"/>
              </w:rPr>
            </w:pPr>
            <w:r>
              <w:rPr>
                <w:rFonts w:hint="eastAsia"/>
                <w:color w:val="auto"/>
                <w:kern w:val="0"/>
                <w:sz w:val="21"/>
                <w:szCs w:val="21"/>
                <w:lang w:val="zh-CN"/>
              </w:rPr>
              <w:t>筛选值（第二类用地）</w:t>
            </w:r>
          </w:p>
        </w:tc>
      </w:tr>
      <w:tr w14:paraId="16070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8" w:type="dxa"/>
            <w:vAlign w:val="center"/>
          </w:tcPr>
          <w:p w14:paraId="4C1441F3">
            <w:pPr>
              <w:spacing w:line="240" w:lineRule="auto"/>
              <w:ind w:firstLine="0" w:firstLineChars="0"/>
              <w:jc w:val="center"/>
              <w:rPr>
                <w:color w:val="auto"/>
                <w:kern w:val="0"/>
                <w:sz w:val="21"/>
                <w:szCs w:val="21"/>
                <w:lang w:val="zh-CN"/>
              </w:rPr>
            </w:pPr>
            <w:r>
              <w:rPr>
                <w:rFonts w:hint="eastAsia"/>
                <w:color w:val="auto"/>
                <w:kern w:val="0"/>
                <w:sz w:val="21"/>
                <w:szCs w:val="21"/>
                <w:lang w:val="zh-CN"/>
              </w:rPr>
              <w:t>1</w:t>
            </w:r>
          </w:p>
        </w:tc>
        <w:tc>
          <w:tcPr>
            <w:tcW w:w="2132" w:type="dxa"/>
            <w:vAlign w:val="center"/>
          </w:tcPr>
          <w:p w14:paraId="074A8494">
            <w:pPr>
              <w:spacing w:line="240" w:lineRule="auto"/>
              <w:ind w:firstLine="0" w:firstLineChars="0"/>
              <w:jc w:val="center"/>
              <w:rPr>
                <w:color w:val="auto"/>
                <w:kern w:val="0"/>
                <w:sz w:val="21"/>
                <w:szCs w:val="21"/>
                <w:lang w:val="zh-CN"/>
              </w:rPr>
            </w:pPr>
            <w:r>
              <w:rPr>
                <w:rFonts w:hint="eastAsia"/>
                <w:color w:val="auto"/>
                <w:kern w:val="0"/>
                <w:sz w:val="21"/>
                <w:szCs w:val="21"/>
                <w:lang w:val="zh-CN"/>
              </w:rPr>
              <w:t>砷</w:t>
            </w:r>
          </w:p>
        </w:tc>
        <w:tc>
          <w:tcPr>
            <w:tcW w:w="1552" w:type="dxa"/>
            <w:vAlign w:val="center"/>
          </w:tcPr>
          <w:p w14:paraId="3B4A024B">
            <w:pPr>
              <w:spacing w:line="240" w:lineRule="auto"/>
              <w:ind w:firstLine="0" w:firstLineChars="0"/>
              <w:jc w:val="center"/>
              <w:rPr>
                <w:color w:val="auto"/>
                <w:kern w:val="0"/>
                <w:sz w:val="21"/>
                <w:szCs w:val="21"/>
                <w:lang w:val="zh-CN"/>
              </w:rPr>
            </w:pPr>
            <w:r>
              <w:rPr>
                <w:rFonts w:hint="eastAsia"/>
                <w:color w:val="auto"/>
                <w:kern w:val="0"/>
                <w:sz w:val="21"/>
                <w:szCs w:val="21"/>
                <w:lang w:val="zh-CN"/>
              </w:rPr>
              <w:t>60</w:t>
            </w:r>
          </w:p>
        </w:tc>
        <w:tc>
          <w:tcPr>
            <w:tcW w:w="1135" w:type="dxa"/>
            <w:vAlign w:val="center"/>
          </w:tcPr>
          <w:p w14:paraId="3223254B">
            <w:pPr>
              <w:spacing w:line="240" w:lineRule="auto"/>
              <w:ind w:firstLine="0" w:firstLineChars="0"/>
              <w:jc w:val="center"/>
              <w:rPr>
                <w:color w:val="auto"/>
                <w:kern w:val="0"/>
                <w:sz w:val="21"/>
                <w:szCs w:val="21"/>
                <w:lang w:val="zh-CN"/>
              </w:rPr>
            </w:pPr>
            <w:r>
              <w:rPr>
                <w:rFonts w:hint="eastAsia"/>
                <w:color w:val="auto"/>
                <w:kern w:val="0"/>
                <w:sz w:val="21"/>
                <w:szCs w:val="21"/>
                <w:lang w:val="zh-CN"/>
              </w:rPr>
              <w:t>24</w:t>
            </w:r>
          </w:p>
        </w:tc>
        <w:tc>
          <w:tcPr>
            <w:tcW w:w="1969" w:type="dxa"/>
            <w:vAlign w:val="center"/>
          </w:tcPr>
          <w:p w14:paraId="76BDC5F5">
            <w:pPr>
              <w:spacing w:line="240" w:lineRule="auto"/>
              <w:ind w:firstLine="0" w:firstLineChars="0"/>
              <w:jc w:val="center"/>
              <w:rPr>
                <w:color w:val="auto"/>
                <w:kern w:val="0"/>
                <w:sz w:val="21"/>
                <w:szCs w:val="21"/>
                <w:lang w:val="zh-CN"/>
              </w:rPr>
            </w:pPr>
            <w:r>
              <w:rPr>
                <w:rFonts w:hint="eastAsia"/>
                <w:color w:val="auto"/>
                <w:kern w:val="0"/>
                <w:sz w:val="21"/>
                <w:szCs w:val="21"/>
                <w:lang w:val="zh-CN"/>
              </w:rPr>
              <w:t>1,2,3-三氯丙烷</w:t>
            </w:r>
          </w:p>
        </w:tc>
        <w:tc>
          <w:tcPr>
            <w:tcW w:w="1540" w:type="dxa"/>
            <w:vAlign w:val="center"/>
          </w:tcPr>
          <w:p w14:paraId="4FF710C4">
            <w:pPr>
              <w:spacing w:line="240" w:lineRule="auto"/>
              <w:ind w:firstLine="0" w:firstLineChars="0"/>
              <w:jc w:val="center"/>
              <w:rPr>
                <w:color w:val="auto"/>
                <w:kern w:val="0"/>
                <w:sz w:val="21"/>
                <w:szCs w:val="21"/>
                <w:lang w:val="zh-CN"/>
              </w:rPr>
            </w:pPr>
            <w:r>
              <w:rPr>
                <w:rFonts w:hint="eastAsia"/>
                <w:color w:val="auto"/>
                <w:kern w:val="0"/>
                <w:sz w:val="21"/>
                <w:szCs w:val="21"/>
                <w:lang w:val="zh-CN"/>
              </w:rPr>
              <w:t>0.5</w:t>
            </w:r>
          </w:p>
        </w:tc>
      </w:tr>
      <w:tr w14:paraId="1E202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8" w:type="dxa"/>
            <w:vAlign w:val="center"/>
          </w:tcPr>
          <w:p w14:paraId="53F8A96F">
            <w:pPr>
              <w:spacing w:line="240" w:lineRule="auto"/>
              <w:ind w:firstLine="0" w:firstLineChars="0"/>
              <w:jc w:val="center"/>
              <w:rPr>
                <w:color w:val="auto"/>
                <w:kern w:val="0"/>
                <w:sz w:val="21"/>
                <w:szCs w:val="21"/>
                <w:lang w:val="zh-CN"/>
              </w:rPr>
            </w:pPr>
            <w:r>
              <w:rPr>
                <w:rFonts w:hint="eastAsia"/>
                <w:color w:val="auto"/>
                <w:kern w:val="0"/>
                <w:sz w:val="21"/>
                <w:szCs w:val="21"/>
                <w:lang w:val="zh-CN"/>
              </w:rPr>
              <w:t>2</w:t>
            </w:r>
          </w:p>
        </w:tc>
        <w:tc>
          <w:tcPr>
            <w:tcW w:w="2132" w:type="dxa"/>
            <w:vAlign w:val="center"/>
          </w:tcPr>
          <w:p w14:paraId="2DF4E514">
            <w:pPr>
              <w:spacing w:line="240" w:lineRule="auto"/>
              <w:ind w:firstLine="0" w:firstLineChars="0"/>
              <w:jc w:val="center"/>
              <w:rPr>
                <w:color w:val="auto"/>
                <w:kern w:val="0"/>
                <w:sz w:val="21"/>
                <w:szCs w:val="21"/>
                <w:lang w:val="zh-CN"/>
              </w:rPr>
            </w:pPr>
            <w:r>
              <w:rPr>
                <w:rFonts w:hint="eastAsia"/>
                <w:color w:val="auto"/>
                <w:kern w:val="0"/>
                <w:sz w:val="21"/>
                <w:szCs w:val="21"/>
                <w:lang w:val="zh-CN"/>
              </w:rPr>
              <w:t>镉</w:t>
            </w:r>
          </w:p>
        </w:tc>
        <w:tc>
          <w:tcPr>
            <w:tcW w:w="1552" w:type="dxa"/>
            <w:vAlign w:val="center"/>
          </w:tcPr>
          <w:p w14:paraId="34D6ED78">
            <w:pPr>
              <w:spacing w:line="240" w:lineRule="auto"/>
              <w:ind w:firstLine="0" w:firstLineChars="0"/>
              <w:jc w:val="center"/>
              <w:rPr>
                <w:color w:val="auto"/>
                <w:kern w:val="0"/>
                <w:sz w:val="21"/>
                <w:szCs w:val="21"/>
                <w:lang w:val="zh-CN"/>
              </w:rPr>
            </w:pPr>
            <w:r>
              <w:rPr>
                <w:rFonts w:hint="eastAsia"/>
                <w:color w:val="auto"/>
                <w:kern w:val="0"/>
                <w:sz w:val="21"/>
                <w:szCs w:val="21"/>
                <w:lang w:val="zh-CN"/>
              </w:rPr>
              <w:t>65</w:t>
            </w:r>
          </w:p>
        </w:tc>
        <w:tc>
          <w:tcPr>
            <w:tcW w:w="1135" w:type="dxa"/>
            <w:vAlign w:val="center"/>
          </w:tcPr>
          <w:p w14:paraId="7BDF4572">
            <w:pPr>
              <w:spacing w:line="240" w:lineRule="auto"/>
              <w:ind w:firstLine="0" w:firstLineChars="0"/>
              <w:jc w:val="center"/>
              <w:rPr>
                <w:color w:val="auto"/>
                <w:kern w:val="0"/>
                <w:sz w:val="21"/>
                <w:szCs w:val="21"/>
                <w:lang w:val="zh-CN"/>
              </w:rPr>
            </w:pPr>
            <w:r>
              <w:rPr>
                <w:rFonts w:hint="eastAsia"/>
                <w:color w:val="auto"/>
                <w:kern w:val="0"/>
                <w:sz w:val="21"/>
                <w:szCs w:val="21"/>
                <w:lang w:val="zh-CN"/>
              </w:rPr>
              <w:t>25</w:t>
            </w:r>
          </w:p>
        </w:tc>
        <w:tc>
          <w:tcPr>
            <w:tcW w:w="1969" w:type="dxa"/>
            <w:vAlign w:val="center"/>
          </w:tcPr>
          <w:p w14:paraId="3522F9A8">
            <w:pPr>
              <w:spacing w:line="240" w:lineRule="auto"/>
              <w:ind w:firstLine="0" w:firstLineChars="0"/>
              <w:jc w:val="center"/>
              <w:rPr>
                <w:color w:val="auto"/>
                <w:kern w:val="0"/>
                <w:sz w:val="21"/>
                <w:szCs w:val="21"/>
                <w:lang w:val="zh-CN"/>
              </w:rPr>
            </w:pPr>
            <w:r>
              <w:rPr>
                <w:rFonts w:hint="eastAsia"/>
                <w:color w:val="auto"/>
                <w:kern w:val="0"/>
                <w:sz w:val="21"/>
                <w:szCs w:val="21"/>
                <w:lang w:val="zh-CN"/>
              </w:rPr>
              <w:t>氯乙烯</w:t>
            </w:r>
          </w:p>
        </w:tc>
        <w:tc>
          <w:tcPr>
            <w:tcW w:w="1540" w:type="dxa"/>
            <w:vAlign w:val="center"/>
          </w:tcPr>
          <w:p w14:paraId="6325D08F">
            <w:pPr>
              <w:spacing w:line="240" w:lineRule="auto"/>
              <w:ind w:firstLine="0" w:firstLineChars="0"/>
              <w:jc w:val="center"/>
              <w:rPr>
                <w:color w:val="auto"/>
                <w:kern w:val="0"/>
                <w:sz w:val="21"/>
                <w:szCs w:val="21"/>
                <w:lang w:val="zh-CN"/>
              </w:rPr>
            </w:pPr>
            <w:r>
              <w:rPr>
                <w:rFonts w:hint="eastAsia"/>
                <w:color w:val="auto"/>
                <w:kern w:val="0"/>
                <w:sz w:val="21"/>
                <w:szCs w:val="21"/>
                <w:lang w:val="zh-CN"/>
              </w:rPr>
              <w:t>0.43</w:t>
            </w:r>
          </w:p>
        </w:tc>
      </w:tr>
      <w:tr w14:paraId="6F33F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8" w:type="dxa"/>
            <w:vAlign w:val="center"/>
          </w:tcPr>
          <w:p w14:paraId="2210E51D">
            <w:pPr>
              <w:spacing w:line="240" w:lineRule="auto"/>
              <w:ind w:firstLine="0" w:firstLineChars="0"/>
              <w:jc w:val="center"/>
              <w:rPr>
                <w:color w:val="auto"/>
                <w:kern w:val="0"/>
                <w:sz w:val="21"/>
                <w:szCs w:val="21"/>
                <w:lang w:val="zh-CN"/>
              </w:rPr>
            </w:pPr>
            <w:r>
              <w:rPr>
                <w:rFonts w:hint="eastAsia"/>
                <w:color w:val="auto"/>
                <w:kern w:val="0"/>
                <w:sz w:val="21"/>
                <w:szCs w:val="21"/>
                <w:lang w:val="zh-CN"/>
              </w:rPr>
              <w:t>3</w:t>
            </w:r>
          </w:p>
        </w:tc>
        <w:tc>
          <w:tcPr>
            <w:tcW w:w="2132" w:type="dxa"/>
            <w:vAlign w:val="center"/>
          </w:tcPr>
          <w:p w14:paraId="5643B28F">
            <w:pPr>
              <w:spacing w:line="240" w:lineRule="auto"/>
              <w:ind w:firstLine="0" w:firstLineChars="0"/>
              <w:jc w:val="center"/>
              <w:rPr>
                <w:color w:val="auto"/>
                <w:kern w:val="0"/>
                <w:sz w:val="21"/>
                <w:szCs w:val="21"/>
                <w:lang w:val="zh-CN"/>
              </w:rPr>
            </w:pPr>
            <w:r>
              <w:rPr>
                <w:rFonts w:hint="eastAsia"/>
                <w:color w:val="auto"/>
                <w:kern w:val="0"/>
                <w:sz w:val="21"/>
                <w:szCs w:val="21"/>
                <w:lang w:val="zh-CN"/>
              </w:rPr>
              <w:t>铬（六价）</w:t>
            </w:r>
          </w:p>
        </w:tc>
        <w:tc>
          <w:tcPr>
            <w:tcW w:w="1552" w:type="dxa"/>
            <w:vAlign w:val="center"/>
          </w:tcPr>
          <w:p w14:paraId="0CF7173E">
            <w:pPr>
              <w:spacing w:line="240" w:lineRule="auto"/>
              <w:ind w:firstLine="0" w:firstLineChars="0"/>
              <w:jc w:val="center"/>
              <w:rPr>
                <w:color w:val="auto"/>
                <w:kern w:val="0"/>
                <w:sz w:val="21"/>
                <w:szCs w:val="21"/>
                <w:lang w:val="zh-CN"/>
              </w:rPr>
            </w:pPr>
            <w:r>
              <w:rPr>
                <w:rFonts w:hint="eastAsia"/>
                <w:color w:val="auto"/>
                <w:kern w:val="0"/>
                <w:sz w:val="21"/>
                <w:szCs w:val="21"/>
                <w:lang w:val="zh-CN"/>
              </w:rPr>
              <w:t>5.7</w:t>
            </w:r>
          </w:p>
        </w:tc>
        <w:tc>
          <w:tcPr>
            <w:tcW w:w="1135" w:type="dxa"/>
            <w:vAlign w:val="center"/>
          </w:tcPr>
          <w:p w14:paraId="7423ACFB">
            <w:pPr>
              <w:spacing w:line="240" w:lineRule="auto"/>
              <w:ind w:firstLine="0" w:firstLineChars="0"/>
              <w:jc w:val="center"/>
              <w:rPr>
                <w:color w:val="auto"/>
                <w:kern w:val="0"/>
                <w:sz w:val="21"/>
                <w:szCs w:val="21"/>
                <w:lang w:val="zh-CN"/>
              </w:rPr>
            </w:pPr>
            <w:r>
              <w:rPr>
                <w:rFonts w:hint="eastAsia"/>
                <w:color w:val="auto"/>
                <w:kern w:val="0"/>
                <w:sz w:val="21"/>
                <w:szCs w:val="21"/>
                <w:lang w:val="zh-CN"/>
              </w:rPr>
              <w:t>26</w:t>
            </w:r>
          </w:p>
        </w:tc>
        <w:tc>
          <w:tcPr>
            <w:tcW w:w="1969" w:type="dxa"/>
            <w:vAlign w:val="center"/>
          </w:tcPr>
          <w:p w14:paraId="1C551A0E">
            <w:pPr>
              <w:spacing w:line="240" w:lineRule="auto"/>
              <w:ind w:firstLine="0" w:firstLineChars="0"/>
              <w:jc w:val="center"/>
              <w:rPr>
                <w:color w:val="auto"/>
                <w:kern w:val="0"/>
                <w:sz w:val="21"/>
                <w:szCs w:val="21"/>
                <w:lang w:val="zh-CN"/>
              </w:rPr>
            </w:pPr>
            <w:r>
              <w:rPr>
                <w:rFonts w:hint="eastAsia"/>
                <w:color w:val="auto"/>
                <w:kern w:val="0"/>
                <w:sz w:val="21"/>
                <w:szCs w:val="21"/>
                <w:lang w:val="zh-CN"/>
              </w:rPr>
              <w:t>苯</w:t>
            </w:r>
          </w:p>
        </w:tc>
        <w:tc>
          <w:tcPr>
            <w:tcW w:w="1540" w:type="dxa"/>
            <w:vAlign w:val="center"/>
          </w:tcPr>
          <w:p w14:paraId="577645AE">
            <w:pPr>
              <w:spacing w:line="240" w:lineRule="auto"/>
              <w:ind w:firstLine="0" w:firstLineChars="0"/>
              <w:jc w:val="center"/>
              <w:rPr>
                <w:color w:val="auto"/>
                <w:kern w:val="0"/>
                <w:sz w:val="21"/>
                <w:szCs w:val="21"/>
                <w:lang w:val="zh-CN"/>
              </w:rPr>
            </w:pPr>
            <w:r>
              <w:rPr>
                <w:rFonts w:hint="eastAsia"/>
                <w:color w:val="auto"/>
                <w:kern w:val="0"/>
                <w:sz w:val="21"/>
                <w:szCs w:val="21"/>
                <w:lang w:val="zh-CN"/>
              </w:rPr>
              <w:t>4</w:t>
            </w:r>
          </w:p>
        </w:tc>
      </w:tr>
      <w:tr w14:paraId="476E3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8" w:type="dxa"/>
            <w:vAlign w:val="center"/>
          </w:tcPr>
          <w:p w14:paraId="219492E9">
            <w:pPr>
              <w:spacing w:line="240" w:lineRule="auto"/>
              <w:ind w:firstLine="0" w:firstLineChars="0"/>
              <w:jc w:val="center"/>
              <w:rPr>
                <w:color w:val="auto"/>
                <w:kern w:val="0"/>
                <w:sz w:val="21"/>
                <w:szCs w:val="21"/>
                <w:lang w:val="zh-CN"/>
              </w:rPr>
            </w:pPr>
            <w:r>
              <w:rPr>
                <w:rFonts w:hint="eastAsia"/>
                <w:color w:val="auto"/>
                <w:kern w:val="0"/>
                <w:sz w:val="21"/>
                <w:szCs w:val="21"/>
                <w:lang w:val="zh-CN"/>
              </w:rPr>
              <w:t>4</w:t>
            </w:r>
          </w:p>
        </w:tc>
        <w:tc>
          <w:tcPr>
            <w:tcW w:w="2132" w:type="dxa"/>
            <w:vAlign w:val="center"/>
          </w:tcPr>
          <w:p w14:paraId="1604CCD2">
            <w:pPr>
              <w:spacing w:line="240" w:lineRule="auto"/>
              <w:ind w:firstLine="0" w:firstLineChars="0"/>
              <w:jc w:val="center"/>
              <w:rPr>
                <w:color w:val="auto"/>
                <w:kern w:val="0"/>
                <w:sz w:val="21"/>
                <w:szCs w:val="21"/>
                <w:lang w:val="zh-CN"/>
              </w:rPr>
            </w:pPr>
            <w:r>
              <w:rPr>
                <w:rFonts w:hint="eastAsia"/>
                <w:color w:val="auto"/>
                <w:kern w:val="0"/>
                <w:sz w:val="21"/>
                <w:szCs w:val="21"/>
                <w:lang w:val="zh-CN"/>
              </w:rPr>
              <w:t>铜</w:t>
            </w:r>
          </w:p>
        </w:tc>
        <w:tc>
          <w:tcPr>
            <w:tcW w:w="1552" w:type="dxa"/>
            <w:vAlign w:val="center"/>
          </w:tcPr>
          <w:p w14:paraId="0B35CFDE">
            <w:pPr>
              <w:spacing w:line="240" w:lineRule="auto"/>
              <w:ind w:firstLine="0" w:firstLineChars="0"/>
              <w:jc w:val="center"/>
              <w:rPr>
                <w:color w:val="auto"/>
                <w:kern w:val="0"/>
                <w:sz w:val="21"/>
                <w:szCs w:val="21"/>
                <w:lang w:val="zh-CN"/>
              </w:rPr>
            </w:pPr>
            <w:r>
              <w:rPr>
                <w:rFonts w:hint="eastAsia"/>
                <w:color w:val="auto"/>
                <w:kern w:val="0"/>
                <w:sz w:val="21"/>
                <w:szCs w:val="21"/>
                <w:lang w:val="zh-CN"/>
              </w:rPr>
              <w:t>18000</w:t>
            </w:r>
          </w:p>
        </w:tc>
        <w:tc>
          <w:tcPr>
            <w:tcW w:w="1135" w:type="dxa"/>
            <w:vAlign w:val="center"/>
          </w:tcPr>
          <w:p w14:paraId="3D016689">
            <w:pPr>
              <w:spacing w:line="240" w:lineRule="auto"/>
              <w:ind w:firstLine="0" w:firstLineChars="0"/>
              <w:jc w:val="center"/>
              <w:rPr>
                <w:color w:val="auto"/>
                <w:kern w:val="0"/>
                <w:sz w:val="21"/>
                <w:szCs w:val="21"/>
                <w:lang w:val="zh-CN"/>
              </w:rPr>
            </w:pPr>
            <w:r>
              <w:rPr>
                <w:rFonts w:hint="eastAsia"/>
                <w:color w:val="auto"/>
                <w:kern w:val="0"/>
                <w:sz w:val="21"/>
                <w:szCs w:val="21"/>
                <w:lang w:val="zh-CN"/>
              </w:rPr>
              <w:t>27</w:t>
            </w:r>
          </w:p>
        </w:tc>
        <w:tc>
          <w:tcPr>
            <w:tcW w:w="1969" w:type="dxa"/>
            <w:vAlign w:val="center"/>
          </w:tcPr>
          <w:p w14:paraId="790FC3C9">
            <w:pPr>
              <w:spacing w:line="240" w:lineRule="auto"/>
              <w:ind w:firstLine="0" w:firstLineChars="0"/>
              <w:jc w:val="center"/>
              <w:rPr>
                <w:color w:val="auto"/>
                <w:kern w:val="0"/>
                <w:sz w:val="21"/>
                <w:szCs w:val="21"/>
                <w:lang w:val="zh-CN"/>
              </w:rPr>
            </w:pPr>
            <w:r>
              <w:rPr>
                <w:rFonts w:hint="eastAsia"/>
                <w:color w:val="auto"/>
                <w:kern w:val="0"/>
                <w:sz w:val="21"/>
                <w:szCs w:val="21"/>
                <w:lang w:val="zh-CN"/>
              </w:rPr>
              <w:t>氯苯</w:t>
            </w:r>
          </w:p>
        </w:tc>
        <w:tc>
          <w:tcPr>
            <w:tcW w:w="1540" w:type="dxa"/>
            <w:vAlign w:val="center"/>
          </w:tcPr>
          <w:p w14:paraId="1AE7FE4D">
            <w:pPr>
              <w:spacing w:line="240" w:lineRule="auto"/>
              <w:ind w:firstLine="0" w:firstLineChars="0"/>
              <w:jc w:val="center"/>
              <w:rPr>
                <w:color w:val="auto"/>
                <w:kern w:val="0"/>
                <w:sz w:val="21"/>
                <w:szCs w:val="21"/>
                <w:lang w:val="zh-CN"/>
              </w:rPr>
            </w:pPr>
            <w:r>
              <w:rPr>
                <w:rFonts w:hint="eastAsia"/>
                <w:color w:val="auto"/>
                <w:kern w:val="0"/>
                <w:sz w:val="21"/>
                <w:szCs w:val="21"/>
                <w:lang w:val="zh-CN"/>
              </w:rPr>
              <w:t>270</w:t>
            </w:r>
          </w:p>
        </w:tc>
      </w:tr>
      <w:tr w14:paraId="65752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8" w:type="dxa"/>
            <w:vAlign w:val="center"/>
          </w:tcPr>
          <w:p w14:paraId="1E687599">
            <w:pPr>
              <w:spacing w:line="240" w:lineRule="auto"/>
              <w:ind w:firstLine="0" w:firstLineChars="0"/>
              <w:jc w:val="center"/>
              <w:rPr>
                <w:color w:val="auto"/>
                <w:kern w:val="0"/>
                <w:sz w:val="21"/>
                <w:szCs w:val="21"/>
                <w:lang w:val="zh-CN"/>
              </w:rPr>
            </w:pPr>
            <w:r>
              <w:rPr>
                <w:rFonts w:hint="eastAsia"/>
                <w:color w:val="auto"/>
                <w:kern w:val="0"/>
                <w:sz w:val="21"/>
                <w:szCs w:val="21"/>
                <w:lang w:val="zh-CN"/>
              </w:rPr>
              <w:t>5</w:t>
            </w:r>
          </w:p>
        </w:tc>
        <w:tc>
          <w:tcPr>
            <w:tcW w:w="2132" w:type="dxa"/>
            <w:vAlign w:val="center"/>
          </w:tcPr>
          <w:p w14:paraId="28A8F71E">
            <w:pPr>
              <w:spacing w:line="240" w:lineRule="auto"/>
              <w:ind w:firstLine="0" w:firstLineChars="0"/>
              <w:jc w:val="center"/>
              <w:rPr>
                <w:color w:val="auto"/>
                <w:kern w:val="0"/>
                <w:sz w:val="21"/>
                <w:szCs w:val="21"/>
                <w:lang w:val="zh-CN"/>
              </w:rPr>
            </w:pPr>
            <w:r>
              <w:rPr>
                <w:rFonts w:hint="eastAsia"/>
                <w:color w:val="auto"/>
                <w:kern w:val="0"/>
                <w:sz w:val="21"/>
                <w:szCs w:val="21"/>
                <w:lang w:val="zh-CN"/>
              </w:rPr>
              <w:t>铅</w:t>
            </w:r>
          </w:p>
        </w:tc>
        <w:tc>
          <w:tcPr>
            <w:tcW w:w="1552" w:type="dxa"/>
            <w:vAlign w:val="center"/>
          </w:tcPr>
          <w:p w14:paraId="355E5A0F">
            <w:pPr>
              <w:spacing w:line="240" w:lineRule="auto"/>
              <w:ind w:firstLine="0" w:firstLineChars="0"/>
              <w:jc w:val="center"/>
              <w:rPr>
                <w:color w:val="auto"/>
                <w:kern w:val="0"/>
                <w:sz w:val="21"/>
                <w:szCs w:val="21"/>
                <w:lang w:val="zh-CN"/>
              </w:rPr>
            </w:pPr>
            <w:r>
              <w:rPr>
                <w:rFonts w:hint="eastAsia"/>
                <w:color w:val="auto"/>
                <w:kern w:val="0"/>
                <w:sz w:val="21"/>
                <w:szCs w:val="21"/>
                <w:lang w:val="zh-CN"/>
              </w:rPr>
              <w:t>800</w:t>
            </w:r>
          </w:p>
        </w:tc>
        <w:tc>
          <w:tcPr>
            <w:tcW w:w="1135" w:type="dxa"/>
            <w:vAlign w:val="center"/>
          </w:tcPr>
          <w:p w14:paraId="213EE451">
            <w:pPr>
              <w:spacing w:line="240" w:lineRule="auto"/>
              <w:ind w:firstLine="0" w:firstLineChars="0"/>
              <w:jc w:val="center"/>
              <w:rPr>
                <w:color w:val="auto"/>
                <w:kern w:val="0"/>
                <w:sz w:val="21"/>
                <w:szCs w:val="21"/>
                <w:lang w:val="zh-CN"/>
              </w:rPr>
            </w:pPr>
            <w:r>
              <w:rPr>
                <w:rFonts w:hint="eastAsia"/>
                <w:color w:val="auto"/>
                <w:kern w:val="0"/>
                <w:sz w:val="21"/>
                <w:szCs w:val="21"/>
                <w:lang w:val="zh-CN"/>
              </w:rPr>
              <w:t>28</w:t>
            </w:r>
          </w:p>
        </w:tc>
        <w:tc>
          <w:tcPr>
            <w:tcW w:w="1969" w:type="dxa"/>
            <w:vAlign w:val="center"/>
          </w:tcPr>
          <w:p w14:paraId="766DF9D1">
            <w:pPr>
              <w:spacing w:line="240" w:lineRule="auto"/>
              <w:ind w:firstLine="0" w:firstLineChars="0"/>
              <w:jc w:val="center"/>
              <w:rPr>
                <w:color w:val="auto"/>
                <w:kern w:val="0"/>
                <w:sz w:val="21"/>
                <w:szCs w:val="21"/>
                <w:lang w:val="zh-CN"/>
              </w:rPr>
            </w:pPr>
            <w:r>
              <w:rPr>
                <w:rFonts w:hint="eastAsia"/>
                <w:color w:val="auto"/>
                <w:kern w:val="0"/>
                <w:sz w:val="21"/>
                <w:szCs w:val="21"/>
                <w:lang w:val="zh-CN"/>
              </w:rPr>
              <w:t>1,2-二氯苯</w:t>
            </w:r>
          </w:p>
        </w:tc>
        <w:tc>
          <w:tcPr>
            <w:tcW w:w="1540" w:type="dxa"/>
            <w:vAlign w:val="center"/>
          </w:tcPr>
          <w:p w14:paraId="5BDAA084">
            <w:pPr>
              <w:spacing w:line="240" w:lineRule="auto"/>
              <w:ind w:firstLine="0" w:firstLineChars="0"/>
              <w:jc w:val="center"/>
              <w:rPr>
                <w:color w:val="auto"/>
                <w:kern w:val="0"/>
                <w:sz w:val="21"/>
                <w:szCs w:val="21"/>
                <w:lang w:val="zh-CN"/>
              </w:rPr>
            </w:pPr>
            <w:r>
              <w:rPr>
                <w:rFonts w:hint="eastAsia"/>
                <w:color w:val="auto"/>
                <w:kern w:val="0"/>
                <w:sz w:val="21"/>
                <w:szCs w:val="21"/>
                <w:lang w:val="zh-CN"/>
              </w:rPr>
              <w:t>560</w:t>
            </w:r>
          </w:p>
        </w:tc>
      </w:tr>
      <w:tr w14:paraId="2FB42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8" w:type="dxa"/>
            <w:vAlign w:val="center"/>
          </w:tcPr>
          <w:p w14:paraId="04BF222C">
            <w:pPr>
              <w:spacing w:line="240" w:lineRule="auto"/>
              <w:ind w:firstLine="0" w:firstLineChars="0"/>
              <w:jc w:val="center"/>
              <w:rPr>
                <w:color w:val="auto"/>
                <w:kern w:val="0"/>
                <w:sz w:val="21"/>
                <w:szCs w:val="21"/>
                <w:lang w:val="zh-CN"/>
              </w:rPr>
            </w:pPr>
            <w:r>
              <w:rPr>
                <w:rFonts w:hint="eastAsia"/>
                <w:color w:val="auto"/>
                <w:kern w:val="0"/>
                <w:sz w:val="21"/>
                <w:szCs w:val="21"/>
                <w:lang w:val="zh-CN"/>
              </w:rPr>
              <w:t>6</w:t>
            </w:r>
          </w:p>
        </w:tc>
        <w:tc>
          <w:tcPr>
            <w:tcW w:w="2132" w:type="dxa"/>
            <w:vAlign w:val="center"/>
          </w:tcPr>
          <w:p w14:paraId="48AF7613">
            <w:pPr>
              <w:spacing w:line="240" w:lineRule="auto"/>
              <w:ind w:firstLine="0" w:firstLineChars="0"/>
              <w:jc w:val="center"/>
              <w:rPr>
                <w:color w:val="auto"/>
                <w:kern w:val="0"/>
                <w:sz w:val="21"/>
                <w:szCs w:val="21"/>
                <w:lang w:val="zh-CN"/>
              </w:rPr>
            </w:pPr>
            <w:r>
              <w:rPr>
                <w:rFonts w:hint="eastAsia"/>
                <w:color w:val="auto"/>
                <w:kern w:val="0"/>
                <w:sz w:val="21"/>
                <w:szCs w:val="21"/>
                <w:lang w:val="zh-CN"/>
              </w:rPr>
              <w:t>汞</w:t>
            </w:r>
          </w:p>
        </w:tc>
        <w:tc>
          <w:tcPr>
            <w:tcW w:w="1552" w:type="dxa"/>
            <w:vAlign w:val="center"/>
          </w:tcPr>
          <w:p w14:paraId="3E3A7710">
            <w:pPr>
              <w:spacing w:line="240" w:lineRule="auto"/>
              <w:ind w:firstLine="0" w:firstLineChars="0"/>
              <w:jc w:val="center"/>
              <w:rPr>
                <w:color w:val="auto"/>
                <w:kern w:val="0"/>
                <w:sz w:val="21"/>
                <w:szCs w:val="21"/>
                <w:lang w:val="zh-CN"/>
              </w:rPr>
            </w:pPr>
            <w:r>
              <w:rPr>
                <w:rFonts w:hint="eastAsia"/>
                <w:color w:val="auto"/>
                <w:kern w:val="0"/>
                <w:sz w:val="21"/>
                <w:szCs w:val="21"/>
                <w:lang w:val="zh-CN"/>
              </w:rPr>
              <w:t>38</w:t>
            </w:r>
          </w:p>
        </w:tc>
        <w:tc>
          <w:tcPr>
            <w:tcW w:w="1135" w:type="dxa"/>
            <w:vAlign w:val="center"/>
          </w:tcPr>
          <w:p w14:paraId="6A079928">
            <w:pPr>
              <w:spacing w:line="240" w:lineRule="auto"/>
              <w:ind w:firstLine="0" w:firstLineChars="0"/>
              <w:jc w:val="center"/>
              <w:rPr>
                <w:color w:val="auto"/>
                <w:kern w:val="0"/>
                <w:sz w:val="21"/>
                <w:szCs w:val="21"/>
                <w:lang w:val="zh-CN"/>
              </w:rPr>
            </w:pPr>
            <w:r>
              <w:rPr>
                <w:rFonts w:hint="eastAsia"/>
                <w:color w:val="auto"/>
                <w:kern w:val="0"/>
                <w:sz w:val="21"/>
                <w:szCs w:val="21"/>
                <w:lang w:val="zh-CN"/>
              </w:rPr>
              <w:t>29</w:t>
            </w:r>
          </w:p>
        </w:tc>
        <w:tc>
          <w:tcPr>
            <w:tcW w:w="1969" w:type="dxa"/>
            <w:vAlign w:val="center"/>
          </w:tcPr>
          <w:p w14:paraId="634A53AE">
            <w:pPr>
              <w:spacing w:line="240" w:lineRule="auto"/>
              <w:ind w:firstLine="0" w:firstLineChars="0"/>
              <w:jc w:val="center"/>
              <w:rPr>
                <w:color w:val="auto"/>
                <w:kern w:val="0"/>
                <w:sz w:val="21"/>
                <w:szCs w:val="21"/>
                <w:lang w:val="zh-CN"/>
              </w:rPr>
            </w:pPr>
            <w:r>
              <w:rPr>
                <w:rFonts w:hint="eastAsia"/>
                <w:color w:val="auto"/>
                <w:kern w:val="0"/>
                <w:sz w:val="21"/>
                <w:szCs w:val="21"/>
                <w:lang w:val="zh-CN"/>
              </w:rPr>
              <w:t>1,4-二氯苯</w:t>
            </w:r>
          </w:p>
        </w:tc>
        <w:tc>
          <w:tcPr>
            <w:tcW w:w="1540" w:type="dxa"/>
            <w:vAlign w:val="center"/>
          </w:tcPr>
          <w:p w14:paraId="4502E15F">
            <w:pPr>
              <w:spacing w:line="240" w:lineRule="auto"/>
              <w:ind w:firstLine="0" w:firstLineChars="0"/>
              <w:jc w:val="center"/>
              <w:rPr>
                <w:color w:val="auto"/>
                <w:kern w:val="0"/>
                <w:sz w:val="21"/>
                <w:szCs w:val="21"/>
                <w:lang w:val="zh-CN"/>
              </w:rPr>
            </w:pPr>
            <w:r>
              <w:rPr>
                <w:rFonts w:hint="eastAsia"/>
                <w:color w:val="auto"/>
                <w:kern w:val="0"/>
                <w:sz w:val="21"/>
                <w:szCs w:val="21"/>
                <w:lang w:val="zh-CN"/>
              </w:rPr>
              <w:t>20</w:t>
            </w:r>
          </w:p>
        </w:tc>
      </w:tr>
      <w:tr w14:paraId="20DF3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8" w:type="dxa"/>
            <w:vAlign w:val="center"/>
          </w:tcPr>
          <w:p w14:paraId="7DFB90F8">
            <w:pPr>
              <w:spacing w:line="240" w:lineRule="auto"/>
              <w:ind w:firstLine="0" w:firstLineChars="0"/>
              <w:jc w:val="center"/>
              <w:rPr>
                <w:color w:val="auto"/>
                <w:kern w:val="0"/>
                <w:sz w:val="21"/>
                <w:szCs w:val="21"/>
                <w:lang w:val="zh-CN"/>
              </w:rPr>
            </w:pPr>
            <w:r>
              <w:rPr>
                <w:rFonts w:hint="eastAsia"/>
                <w:color w:val="auto"/>
                <w:kern w:val="0"/>
                <w:sz w:val="21"/>
                <w:szCs w:val="21"/>
                <w:lang w:val="zh-CN"/>
              </w:rPr>
              <w:t>7</w:t>
            </w:r>
          </w:p>
        </w:tc>
        <w:tc>
          <w:tcPr>
            <w:tcW w:w="2132" w:type="dxa"/>
            <w:vAlign w:val="center"/>
          </w:tcPr>
          <w:p w14:paraId="7C9DBDE3">
            <w:pPr>
              <w:spacing w:line="240" w:lineRule="auto"/>
              <w:ind w:firstLine="0" w:firstLineChars="0"/>
              <w:jc w:val="center"/>
              <w:rPr>
                <w:color w:val="auto"/>
                <w:kern w:val="0"/>
                <w:sz w:val="21"/>
                <w:szCs w:val="21"/>
                <w:lang w:val="zh-CN"/>
              </w:rPr>
            </w:pPr>
            <w:r>
              <w:rPr>
                <w:rFonts w:hint="eastAsia"/>
                <w:color w:val="auto"/>
                <w:kern w:val="0"/>
                <w:sz w:val="21"/>
                <w:szCs w:val="21"/>
                <w:lang w:val="zh-CN"/>
              </w:rPr>
              <w:t>镍</w:t>
            </w:r>
          </w:p>
        </w:tc>
        <w:tc>
          <w:tcPr>
            <w:tcW w:w="1552" w:type="dxa"/>
            <w:vAlign w:val="center"/>
          </w:tcPr>
          <w:p w14:paraId="1866047E">
            <w:pPr>
              <w:spacing w:line="240" w:lineRule="auto"/>
              <w:ind w:firstLine="0" w:firstLineChars="0"/>
              <w:jc w:val="center"/>
              <w:rPr>
                <w:color w:val="auto"/>
                <w:kern w:val="0"/>
                <w:sz w:val="21"/>
                <w:szCs w:val="21"/>
                <w:lang w:val="zh-CN"/>
              </w:rPr>
            </w:pPr>
            <w:r>
              <w:rPr>
                <w:rFonts w:hint="eastAsia"/>
                <w:color w:val="auto"/>
                <w:kern w:val="0"/>
                <w:sz w:val="21"/>
                <w:szCs w:val="21"/>
                <w:lang w:val="zh-CN"/>
              </w:rPr>
              <w:t>900</w:t>
            </w:r>
          </w:p>
        </w:tc>
        <w:tc>
          <w:tcPr>
            <w:tcW w:w="1135" w:type="dxa"/>
            <w:vAlign w:val="center"/>
          </w:tcPr>
          <w:p w14:paraId="77E5B9CF">
            <w:pPr>
              <w:spacing w:line="240" w:lineRule="auto"/>
              <w:ind w:firstLine="0" w:firstLineChars="0"/>
              <w:jc w:val="center"/>
              <w:rPr>
                <w:color w:val="auto"/>
                <w:kern w:val="0"/>
                <w:sz w:val="21"/>
                <w:szCs w:val="21"/>
                <w:lang w:val="zh-CN"/>
              </w:rPr>
            </w:pPr>
            <w:r>
              <w:rPr>
                <w:rFonts w:hint="eastAsia"/>
                <w:color w:val="auto"/>
                <w:kern w:val="0"/>
                <w:sz w:val="21"/>
                <w:szCs w:val="21"/>
                <w:lang w:val="zh-CN"/>
              </w:rPr>
              <w:t>30</w:t>
            </w:r>
          </w:p>
        </w:tc>
        <w:tc>
          <w:tcPr>
            <w:tcW w:w="1969" w:type="dxa"/>
            <w:vAlign w:val="center"/>
          </w:tcPr>
          <w:p w14:paraId="50A4A92F">
            <w:pPr>
              <w:spacing w:line="240" w:lineRule="auto"/>
              <w:ind w:firstLine="0" w:firstLineChars="0"/>
              <w:jc w:val="center"/>
              <w:rPr>
                <w:color w:val="auto"/>
                <w:kern w:val="0"/>
                <w:sz w:val="21"/>
                <w:szCs w:val="21"/>
                <w:lang w:val="zh-CN"/>
              </w:rPr>
            </w:pPr>
            <w:r>
              <w:rPr>
                <w:rFonts w:hint="eastAsia"/>
                <w:color w:val="auto"/>
                <w:kern w:val="0"/>
                <w:sz w:val="21"/>
                <w:szCs w:val="21"/>
                <w:lang w:val="zh-CN"/>
              </w:rPr>
              <w:t>乙苯</w:t>
            </w:r>
          </w:p>
        </w:tc>
        <w:tc>
          <w:tcPr>
            <w:tcW w:w="1540" w:type="dxa"/>
            <w:vAlign w:val="center"/>
          </w:tcPr>
          <w:p w14:paraId="038DD109">
            <w:pPr>
              <w:spacing w:line="240" w:lineRule="auto"/>
              <w:ind w:firstLine="0" w:firstLineChars="0"/>
              <w:jc w:val="center"/>
              <w:rPr>
                <w:color w:val="auto"/>
                <w:kern w:val="0"/>
                <w:sz w:val="21"/>
                <w:szCs w:val="21"/>
                <w:lang w:val="zh-CN"/>
              </w:rPr>
            </w:pPr>
            <w:r>
              <w:rPr>
                <w:rFonts w:hint="eastAsia"/>
                <w:color w:val="auto"/>
                <w:kern w:val="0"/>
                <w:sz w:val="21"/>
                <w:szCs w:val="21"/>
                <w:lang w:val="zh-CN"/>
              </w:rPr>
              <w:t>28</w:t>
            </w:r>
          </w:p>
        </w:tc>
      </w:tr>
      <w:tr w14:paraId="17200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8" w:type="dxa"/>
            <w:vAlign w:val="center"/>
          </w:tcPr>
          <w:p w14:paraId="613777E1">
            <w:pPr>
              <w:spacing w:line="240" w:lineRule="auto"/>
              <w:ind w:firstLine="0" w:firstLineChars="0"/>
              <w:jc w:val="center"/>
              <w:rPr>
                <w:color w:val="auto"/>
                <w:kern w:val="0"/>
                <w:sz w:val="21"/>
                <w:szCs w:val="21"/>
                <w:lang w:val="zh-CN"/>
              </w:rPr>
            </w:pPr>
            <w:r>
              <w:rPr>
                <w:rFonts w:hint="eastAsia"/>
                <w:color w:val="auto"/>
                <w:kern w:val="0"/>
                <w:sz w:val="21"/>
                <w:szCs w:val="21"/>
                <w:lang w:val="zh-CN"/>
              </w:rPr>
              <w:t>8</w:t>
            </w:r>
          </w:p>
        </w:tc>
        <w:tc>
          <w:tcPr>
            <w:tcW w:w="2132" w:type="dxa"/>
            <w:vAlign w:val="center"/>
          </w:tcPr>
          <w:p w14:paraId="6CA511DD">
            <w:pPr>
              <w:spacing w:line="240" w:lineRule="auto"/>
              <w:ind w:firstLine="0" w:firstLineChars="0"/>
              <w:jc w:val="center"/>
              <w:rPr>
                <w:color w:val="auto"/>
                <w:kern w:val="0"/>
                <w:sz w:val="21"/>
                <w:szCs w:val="21"/>
                <w:lang w:val="zh-CN"/>
              </w:rPr>
            </w:pPr>
            <w:r>
              <w:rPr>
                <w:rFonts w:hint="eastAsia"/>
                <w:color w:val="auto"/>
                <w:kern w:val="0"/>
                <w:sz w:val="21"/>
                <w:szCs w:val="21"/>
                <w:lang w:val="zh-CN"/>
              </w:rPr>
              <w:t>四氯化碳</w:t>
            </w:r>
          </w:p>
        </w:tc>
        <w:tc>
          <w:tcPr>
            <w:tcW w:w="1552" w:type="dxa"/>
            <w:vAlign w:val="center"/>
          </w:tcPr>
          <w:p w14:paraId="639A067F">
            <w:pPr>
              <w:spacing w:line="240" w:lineRule="auto"/>
              <w:ind w:firstLine="0" w:firstLineChars="0"/>
              <w:jc w:val="center"/>
              <w:rPr>
                <w:color w:val="auto"/>
                <w:kern w:val="0"/>
                <w:sz w:val="21"/>
                <w:szCs w:val="21"/>
                <w:lang w:val="zh-CN"/>
              </w:rPr>
            </w:pPr>
            <w:r>
              <w:rPr>
                <w:rFonts w:hint="eastAsia"/>
                <w:color w:val="auto"/>
                <w:kern w:val="0"/>
                <w:sz w:val="21"/>
                <w:szCs w:val="21"/>
                <w:lang w:val="zh-CN"/>
              </w:rPr>
              <w:t>2.8</w:t>
            </w:r>
          </w:p>
        </w:tc>
        <w:tc>
          <w:tcPr>
            <w:tcW w:w="1135" w:type="dxa"/>
            <w:vAlign w:val="center"/>
          </w:tcPr>
          <w:p w14:paraId="60A6B79A">
            <w:pPr>
              <w:spacing w:line="240" w:lineRule="auto"/>
              <w:ind w:firstLine="0" w:firstLineChars="0"/>
              <w:jc w:val="center"/>
              <w:rPr>
                <w:color w:val="auto"/>
                <w:kern w:val="0"/>
                <w:sz w:val="21"/>
                <w:szCs w:val="21"/>
                <w:lang w:val="zh-CN"/>
              </w:rPr>
            </w:pPr>
            <w:r>
              <w:rPr>
                <w:rFonts w:hint="eastAsia"/>
                <w:color w:val="auto"/>
                <w:kern w:val="0"/>
                <w:sz w:val="21"/>
                <w:szCs w:val="21"/>
                <w:lang w:val="zh-CN"/>
              </w:rPr>
              <w:t>31</w:t>
            </w:r>
          </w:p>
        </w:tc>
        <w:tc>
          <w:tcPr>
            <w:tcW w:w="1969" w:type="dxa"/>
            <w:vAlign w:val="center"/>
          </w:tcPr>
          <w:p w14:paraId="5D46ED3C">
            <w:pPr>
              <w:spacing w:line="240" w:lineRule="auto"/>
              <w:ind w:firstLine="0" w:firstLineChars="0"/>
              <w:jc w:val="center"/>
              <w:rPr>
                <w:color w:val="auto"/>
                <w:kern w:val="0"/>
                <w:sz w:val="21"/>
                <w:szCs w:val="21"/>
                <w:lang w:val="zh-CN"/>
              </w:rPr>
            </w:pPr>
            <w:r>
              <w:rPr>
                <w:rFonts w:hint="eastAsia"/>
                <w:color w:val="auto"/>
                <w:kern w:val="0"/>
                <w:sz w:val="21"/>
                <w:szCs w:val="21"/>
                <w:lang w:val="zh-CN"/>
              </w:rPr>
              <w:t>苯乙烯</w:t>
            </w:r>
          </w:p>
        </w:tc>
        <w:tc>
          <w:tcPr>
            <w:tcW w:w="1540" w:type="dxa"/>
            <w:vAlign w:val="center"/>
          </w:tcPr>
          <w:p w14:paraId="4AF8A253">
            <w:pPr>
              <w:spacing w:line="240" w:lineRule="auto"/>
              <w:ind w:firstLine="0" w:firstLineChars="0"/>
              <w:jc w:val="center"/>
              <w:rPr>
                <w:color w:val="auto"/>
                <w:kern w:val="0"/>
                <w:sz w:val="21"/>
                <w:szCs w:val="21"/>
                <w:lang w:val="zh-CN"/>
              </w:rPr>
            </w:pPr>
            <w:r>
              <w:rPr>
                <w:rFonts w:hint="eastAsia"/>
                <w:color w:val="auto"/>
                <w:kern w:val="0"/>
                <w:sz w:val="21"/>
                <w:szCs w:val="21"/>
                <w:lang w:val="zh-CN"/>
              </w:rPr>
              <w:t>1290</w:t>
            </w:r>
          </w:p>
        </w:tc>
      </w:tr>
      <w:tr w14:paraId="41453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8" w:type="dxa"/>
            <w:vAlign w:val="center"/>
          </w:tcPr>
          <w:p w14:paraId="52E28CBF">
            <w:pPr>
              <w:spacing w:line="240" w:lineRule="auto"/>
              <w:ind w:firstLine="0" w:firstLineChars="0"/>
              <w:jc w:val="center"/>
              <w:rPr>
                <w:color w:val="auto"/>
                <w:kern w:val="0"/>
                <w:sz w:val="21"/>
                <w:szCs w:val="21"/>
                <w:lang w:val="zh-CN"/>
              </w:rPr>
            </w:pPr>
            <w:r>
              <w:rPr>
                <w:rFonts w:hint="eastAsia"/>
                <w:color w:val="auto"/>
                <w:kern w:val="0"/>
                <w:sz w:val="21"/>
                <w:szCs w:val="21"/>
                <w:lang w:val="zh-CN"/>
              </w:rPr>
              <w:t>9</w:t>
            </w:r>
          </w:p>
        </w:tc>
        <w:tc>
          <w:tcPr>
            <w:tcW w:w="2132" w:type="dxa"/>
            <w:vAlign w:val="center"/>
          </w:tcPr>
          <w:p w14:paraId="7FCA7509">
            <w:pPr>
              <w:spacing w:line="240" w:lineRule="auto"/>
              <w:ind w:firstLine="0" w:firstLineChars="0"/>
              <w:jc w:val="center"/>
              <w:rPr>
                <w:color w:val="auto"/>
                <w:kern w:val="0"/>
                <w:sz w:val="21"/>
                <w:szCs w:val="21"/>
                <w:lang w:val="zh-CN"/>
              </w:rPr>
            </w:pPr>
            <w:r>
              <w:rPr>
                <w:rFonts w:hint="eastAsia"/>
                <w:color w:val="auto"/>
                <w:kern w:val="0"/>
                <w:sz w:val="21"/>
                <w:szCs w:val="21"/>
                <w:lang w:val="zh-CN"/>
              </w:rPr>
              <w:t>氯仿</w:t>
            </w:r>
          </w:p>
        </w:tc>
        <w:tc>
          <w:tcPr>
            <w:tcW w:w="1552" w:type="dxa"/>
            <w:vAlign w:val="center"/>
          </w:tcPr>
          <w:p w14:paraId="7E7602F1">
            <w:pPr>
              <w:spacing w:line="240" w:lineRule="auto"/>
              <w:ind w:firstLine="0" w:firstLineChars="0"/>
              <w:jc w:val="center"/>
              <w:rPr>
                <w:color w:val="auto"/>
                <w:kern w:val="0"/>
                <w:sz w:val="21"/>
                <w:szCs w:val="21"/>
                <w:lang w:val="zh-CN"/>
              </w:rPr>
            </w:pPr>
            <w:r>
              <w:rPr>
                <w:rFonts w:hint="eastAsia"/>
                <w:color w:val="auto"/>
                <w:kern w:val="0"/>
                <w:sz w:val="21"/>
                <w:szCs w:val="21"/>
                <w:lang w:val="zh-CN"/>
              </w:rPr>
              <w:t>0.9</w:t>
            </w:r>
          </w:p>
        </w:tc>
        <w:tc>
          <w:tcPr>
            <w:tcW w:w="1135" w:type="dxa"/>
            <w:vAlign w:val="center"/>
          </w:tcPr>
          <w:p w14:paraId="16942E11">
            <w:pPr>
              <w:spacing w:line="240" w:lineRule="auto"/>
              <w:ind w:firstLine="0" w:firstLineChars="0"/>
              <w:jc w:val="center"/>
              <w:rPr>
                <w:color w:val="auto"/>
                <w:kern w:val="0"/>
                <w:sz w:val="21"/>
                <w:szCs w:val="21"/>
                <w:lang w:val="zh-CN"/>
              </w:rPr>
            </w:pPr>
            <w:r>
              <w:rPr>
                <w:rFonts w:hint="eastAsia"/>
                <w:color w:val="auto"/>
                <w:kern w:val="0"/>
                <w:sz w:val="21"/>
                <w:szCs w:val="21"/>
                <w:lang w:val="zh-CN"/>
              </w:rPr>
              <w:t>32</w:t>
            </w:r>
          </w:p>
        </w:tc>
        <w:tc>
          <w:tcPr>
            <w:tcW w:w="1969" w:type="dxa"/>
            <w:vAlign w:val="center"/>
          </w:tcPr>
          <w:p w14:paraId="449ADA36">
            <w:pPr>
              <w:spacing w:line="240" w:lineRule="auto"/>
              <w:ind w:firstLine="0" w:firstLineChars="0"/>
              <w:jc w:val="center"/>
              <w:rPr>
                <w:color w:val="auto"/>
                <w:kern w:val="0"/>
                <w:sz w:val="21"/>
                <w:szCs w:val="21"/>
                <w:lang w:val="zh-CN"/>
              </w:rPr>
            </w:pPr>
            <w:r>
              <w:rPr>
                <w:rFonts w:hint="eastAsia"/>
                <w:color w:val="auto"/>
                <w:kern w:val="0"/>
                <w:sz w:val="21"/>
                <w:szCs w:val="21"/>
                <w:lang w:val="zh-CN"/>
              </w:rPr>
              <w:t>甲苯</w:t>
            </w:r>
          </w:p>
        </w:tc>
        <w:tc>
          <w:tcPr>
            <w:tcW w:w="1540" w:type="dxa"/>
            <w:vAlign w:val="center"/>
          </w:tcPr>
          <w:p w14:paraId="5BAB1A99">
            <w:pPr>
              <w:spacing w:line="240" w:lineRule="auto"/>
              <w:ind w:firstLine="0" w:firstLineChars="0"/>
              <w:jc w:val="center"/>
              <w:rPr>
                <w:color w:val="auto"/>
                <w:kern w:val="0"/>
                <w:sz w:val="21"/>
                <w:szCs w:val="21"/>
                <w:lang w:val="zh-CN"/>
              </w:rPr>
            </w:pPr>
            <w:r>
              <w:rPr>
                <w:rFonts w:hint="eastAsia"/>
                <w:color w:val="auto"/>
                <w:kern w:val="0"/>
                <w:sz w:val="21"/>
                <w:szCs w:val="21"/>
                <w:lang w:val="zh-CN"/>
              </w:rPr>
              <w:t>1200</w:t>
            </w:r>
          </w:p>
        </w:tc>
      </w:tr>
      <w:tr w14:paraId="110F8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8" w:type="dxa"/>
            <w:vAlign w:val="center"/>
          </w:tcPr>
          <w:p w14:paraId="39F24832">
            <w:pPr>
              <w:spacing w:line="240" w:lineRule="auto"/>
              <w:ind w:firstLine="0" w:firstLineChars="0"/>
              <w:jc w:val="center"/>
              <w:rPr>
                <w:color w:val="auto"/>
                <w:kern w:val="0"/>
                <w:sz w:val="21"/>
                <w:szCs w:val="21"/>
                <w:lang w:val="zh-CN"/>
              </w:rPr>
            </w:pPr>
            <w:r>
              <w:rPr>
                <w:rFonts w:hint="eastAsia"/>
                <w:color w:val="auto"/>
                <w:kern w:val="0"/>
                <w:sz w:val="21"/>
                <w:szCs w:val="21"/>
                <w:lang w:val="zh-CN"/>
              </w:rPr>
              <w:t>10</w:t>
            </w:r>
          </w:p>
        </w:tc>
        <w:tc>
          <w:tcPr>
            <w:tcW w:w="2132" w:type="dxa"/>
            <w:vAlign w:val="center"/>
          </w:tcPr>
          <w:p w14:paraId="7D21B910">
            <w:pPr>
              <w:spacing w:line="240" w:lineRule="auto"/>
              <w:ind w:firstLine="0" w:firstLineChars="0"/>
              <w:jc w:val="center"/>
              <w:rPr>
                <w:color w:val="auto"/>
                <w:kern w:val="0"/>
                <w:sz w:val="21"/>
                <w:szCs w:val="21"/>
                <w:lang w:val="zh-CN"/>
              </w:rPr>
            </w:pPr>
            <w:r>
              <w:rPr>
                <w:rFonts w:hint="eastAsia"/>
                <w:color w:val="auto"/>
                <w:kern w:val="0"/>
                <w:sz w:val="21"/>
                <w:szCs w:val="21"/>
                <w:lang w:val="zh-CN"/>
              </w:rPr>
              <w:t>氯甲烷</w:t>
            </w:r>
          </w:p>
        </w:tc>
        <w:tc>
          <w:tcPr>
            <w:tcW w:w="1552" w:type="dxa"/>
            <w:vAlign w:val="center"/>
          </w:tcPr>
          <w:p w14:paraId="5BAB1EC9">
            <w:pPr>
              <w:spacing w:line="240" w:lineRule="auto"/>
              <w:ind w:firstLine="0" w:firstLineChars="0"/>
              <w:jc w:val="center"/>
              <w:rPr>
                <w:color w:val="auto"/>
                <w:kern w:val="0"/>
                <w:sz w:val="21"/>
                <w:szCs w:val="21"/>
                <w:lang w:val="zh-CN"/>
              </w:rPr>
            </w:pPr>
            <w:r>
              <w:rPr>
                <w:rFonts w:hint="eastAsia"/>
                <w:color w:val="auto"/>
                <w:kern w:val="0"/>
                <w:sz w:val="21"/>
                <w:szCs w:val="21"/>
                <w:lang w:val="zh-CN"/>
              </w:rPr>
              <w:t>37</w:t>
            </w:r>
          </w:p>
        </w:tc>
        <w:tc>
          <w:tcPr>
            <w:tcW w:w="1135" w:type="dxa"/>
            <w:vAlign w:val="center"/>
          </w:tcPr>
          <w:p w14:paraId="097FD8C3">
            <w:pPr>
              <w:spacing w:line="240" w:lineRule="auto"/>
              <w:ind w:firstLine="0" w:firstLineChars="0"/>
              <w:jc w:val="center"/>
              <w:rPr>
                <w:color w:val="auto"/>
                <w:kern w:val="0"/>
                <w:sz w:val="21"/>
                <w:szCs w:val="21"/>
                <w:lang w:val="zh-CN"/>
              </w:rPr>
            </w:pPr>
            <w:r>
              <w:rPr>
                <w:rFonts w:hint="eastAsia"/>
                <w:color w:val="auto"/>
                <w:kern w:val="0"/>
                <w:sz w:val="21"/>
                <w:szCs w:val="21"/>
                <w:lang w:val="zh-CN"/>
              </w:rPr>
              <w:t>33</w:t>
            </w:r>
          </w:p>
        </w:tc>
        <w:tc>
          <w:tcPr>
            <w:tcW w:w="1969" w:type="dxa"/>
            <w:vAlign w:val="center"/>
          </w:tcPr>
          <w:p w14:paraId="0F139B52">
            <w:pPr>
              <w:spacing w:line="240" w:lineRule="auto"/>
              <w:ind w:firstLine="0" w:firstLineChars="0"/>
              <w:jc w:val="center"/>
              <w:rPr>
                <w:color w:val="auto"/>
                <w:kern w:val="0"/>
                <w:sz w:val="21"/>
                <w:szCs w:val="21"/>
                <w:lang w:val="zh-CN"/>
              </w:rPr>
            </w:pPr>
            <w:r>
              <w:rPr>
                <w:rFonts w:hint="eastAsia"/>
                <w:color w:val="auto"/>
                <w:kern w:val="0"/>
                <w:sz w:val="21"/>
                <w:szCs w:val="21"/>
                <w:lang w:val="zh-CN"/>
              </w:rPr>
              <w:t>间二甲苯+对二甲苯</w:t>
            </w:r>
          </w:p>
        </w:tc>
        <w:tc>
          <w:tcPr>
            <w:tcW w:w="1540" w:type="dxa"/>
            <w:vAlign w:val="center"/>
          </w:tcPr>
          <w:p w14:paraId="0DD45659">
            <w:pPr>
              <w:spacing w:line="240" w:lineRule="auto"/>
              <w:ind w:firstLine="0" w:firstLineChars="0"/>
              <w:jc w:val="center"/>
              <w:rPr>
                <w:color w:val="auto"/>
                <w:kern w:val="0"/>
                <w:sz w:val="21"/>
                <w:szCs w:val="21"/>
                <w:lang w:val="zh-CN"/>
              </w:rPr>
            </w:pPr>
            <w:r>
              <w:rPr>
                <w:rFonts w:hint="eastAsia"/>
                <w:color w:val="auto"/>
                <w:kern w:val="0"/>
                <w:sz w:val="21"/>
                <w:szCs w:val="21"/>
                <w:lang w:val="zh-CN"/>
              </w:rPr>
              <w:t>570</w:t>
            </w:r>
          </w:p>
        </w:tc>
      </w:tr>
      <w:tr w14:paraId="1AEC4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8" w:type="dxa"/>
            <w:vAlign w:val="center"/>
          </w:tcPr>
          <w:p w14:paraId="45308ABB">
            <w:pPr>
              <w:spacing w:line="240" w:lineRule="auto"/>
              <w:ind w:firstLine="0" w:firstLineChars="0"/>
              <w:jc w:val="center"/>
              <w:rPr>
                <w:color w:val="auto"/>
                <w:kern w:val="0"/>
                <w:sz w:val="21"/>
                <w:szCs w:val="21"/>
                <w:lang w:val="zh-CN"/>
              </w:rPr>
            </w:pPr>
            <w:r>
              <w:rPr>
                <w:rFonts w:hint="eastAsia"/>
                <w:color w:val="auto"/>
                <w:kern w:val="0"/>
                <w:sz w:val="21"/>
                <w:szCs w:val="21"/>
                <w:lang w:val="zh-CN"/>
              </w:rPr>
              <w:t>11</w:t>
            </w:r>
          </w:p>
        </w:tc>
        <w:tc>
          <w:tcPr>
            <w:tcW w:w="2132" w:type="dxa"/>
            <w:vAlign w:val="center"/>
          </w:tcPr>
          <w:p w14:paraId="7F195FFE">
            <w:pPr>
              <w:spacing w:line="240" w:lineRule="auto"/>
              <w:ind w:firstLine="0" w:firstLineChars="0"/>
              <w:jc w:val="center"/>
              <w:rPr>
                <w:color w:val="auto"/>
                <w:kern w:val="0"/>
                <w:sz w:val="21"/>
                <w:szCs w:val="21"/>
                <w:lang w:val="zh-CN"/>
              </w:rPr>
            </w:pPr>
            <w:r>
              <w:rPr>
                <w:rFonts w:hint="eastAsia"/>
                <w:color w:val="auto"/>
                <w:kern w:val="0"/>
                <w:sz w:val="21"/>
                <w:szCs w:val="21"/>
                <w:lang w:val="zh-CN"/>
              </w:rPr>
              <w:t>1,1-二氯乙烷</w:t>
            </w:r>
          </w:p>
        </w:tc>
        <w:tc>
          <w:tcPr>
            <w:tcW w:w="1552" w:type="dxa"/>
            <w:vAlign w:val="center"/>
          </w:tcPr>
          <w:p w14:paraId="612B2E7B">
            <w:pPr>
              <w:spacing w:line="240" w:lineRule="auto"/>
              <w:ind w:firstLine="0" w:firstLineChars="0"/>
              <w:jc w:val="center"/>
              <w:rPr>
                <w:color w:val="auto"/>
                <w:kern w:val="0"/>
                <w:sz w:val="21"/>
                <w:szCs w:val="21"/>
                <w:lang w:val="zh-CN"/>
              </w:rPr>
            </w:pPr>
            <w:r>
              <w:rPr>
                <w:rFonts w:hint="eastAsia"/>
                <w:color w:val="auto"/>
                <w:kern w:val="0"/>
                <w:sz w:val="21"/>
                <w:szCs w:val="21"/>
                <w:lang w:val="zh-CN"/>
              </w:rPr>
              <w:t>9</w:t>
            </w:r>
          </w:p>
        </w:tc>
        <w:tc>
          <w:tcPr>
            <w:tcW w:w="1135" w:type="dxa"/>
            <w:vAlign w:val="center"/>
          </w:tcPr>
          <w:p w14:paraId="02D1DF20">
            <w:pPr>
              <w:spacing w:line="240" w:lineRule="auto"/>
              <w:ind w:firstLine="0" w:firstLineChars="0"/>
              <w:jc w:val="center"/>
              <w:rPr>
                <w:color w:val="auto"/>
                <w:kern w:val="0"/>
                <w:sz w:val="21"/>
                <w:szCs w:val="21"/>
                <w:lang w:val="zh-CN"/>
              </w:rPr>
            </w:pPr>
            <w:r>
              <w:rPr>
                <w:rFonts w:hint="eastAsia"/>
                <w:color w:val="auto"/>
                <w:kern w:val="0"/>
                <w:sz w:val="21"/>
                <w:szCs w:val="21"/>
                <w:lang w:val="zh-CN"/>
              </w:rPr>
              <w:t>34</w:t>
            </w:r>
          </w:p>
        </w:tc>
        <w:tc>
          <w:tcPr>
            <w:tcW w:w="1969" w:type="dxa"/>
            <w:vAlign w:val="center"/>
          </w:tcPr>
          <w:p w14:paraId="30587896">
            <w:pPr>
              <w:spacing w:line="240" w:lineRule="auto"/>
              <w:ind w:firstLine="0" w:firstLineChars="0"/>
              <w:jc w:val="center"/>
              <w:rPr>
                <w:color w:val="auto"/>
                <w:kern w:val="0"/>
                <w:sz w:val="21"/>
                <w:szCs w:val="21"/>
                <w:lang w:val="zh-CN"/>
              </w:rPr>
            </w:pPr>
            <w:r>
              <w:rPr>
                <w:rFonts w:hint="eastAsia"/>
                <w:color w:val="auto"/>
                <w:kern w:val="0"/>
                <w:sz w:val="21"/>
                <w:szCs w:val="21"/>
                <w:lang w:val="zh-CN"/>
              </w:rPr>
              <w:t>邻二甲苯</w:t>
            </w:r>
          </w:p>
        </w:tc>
        <w:tc>
          <w:tcPr>
            <w:tcW w:w="1540" w:type="dxa"/>
            <w:vAlign w:val="center"/>
          </w:tcPr>
          <w:p w14:paraId="14A5A400">
            <w:pPr>
              <w:spacing w:line="240" w:lineRule="auto"/>
              <w:ind w:firstLine="0" w:firstLineChars="0"/>
              <w:jc w:val="center"/>
              <w:rPr>
                <w:color w:val="auto"/>
                <w:kern w:val="0"/>
                <w:sz w:val="21"/>
                <w:szCs w:val="21"/>
                <w:lang w:val="zh-CN"/>
              </w:rPr>
            </w:pPr>
            <w:r>
              <w:rPr>
                <w:rFonts w:hint="eastAsia"/>
                <w:color w:val="auto"/>
                <w:kern w:val="0"/>
                <w:sz w:val="21"/>
                <w:szCs w:val="21"/>
                <w:lang w:val="zh-CN"/>
              </w:rPr>
              <w:t>640</w:t>
            </w:r>
          </w:p>
        </w:tc>
      </w:tr>
      <w:tr w14:paraId="117D7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8" w:type="dxa"/>
            <w:vAlign w:val="center"/>
          </w:tcPr>
          <w:p w14:paraId="1042E20B">
            <w:pPr>
              <w:spacing w:line="240" w:lineRule="auto"/>
              <w:ind w:firstLine="0" w:firstLineChars="0"/>
              <w:jc w:val="center"/>
              <w:rPr>
                <w:color w:val="auto"/>
                <w:kern w:val="0"/>
                <w:sz w:val="21"/>
                <w:szCs w:val="21"/>
                <w:lang w:val="zh-CN"/>
              </w:rPr>
            </w:pPr>
            <w:r>
              <w:rPr>
                <w:rFonts w:hint="eastAsia"/>
                <w:color w:val="auto"/>
                <w:kern w:val="0"/>
                <w:sz w:val="21"/>
                <w:szCs w:val="21"/>
                <w:lang w:val="zh-CN"/>
              </w:rPr>
              <w:t>12</w:t>
            </w:r>
          </w:p>
        </w:tc>
        <w:tc>
          <w:tcPr>
            <w:tcW w:w="2132" w:type="dxa"/>
            <w:vAlign w:val="center"/>
          </w:tcPr>
          <w:p w14:paraId="2685F0DA">
            <w:pPr>
              <w:spacing w:line="240" w:lineRule="auto"/>
              <w:ind w:firstLine="0" w:firstLineChars="0"/>
              <w:jc w:val="center"/>
              <w:rPr>
                <w:color w:val="auto"/>
                <w:kern w:val="0"/>
                <w:sz w:val="21"/>
                <w:szCs w:val="21"/>
                <w:lang w:val="zh-CN"/>
              </w:rPr>
            </w:pPr>
            <w:r>
              <w:rPr>
                <w:rFonts w:hint="eastAsia"/>
                <w:color w:val="auto"/>
                <w:kern w:val="0"/>
                <w:sz w:val="21"/>
                <w:szCs w:val="21"/>
                <w:lang w:val="zh-CN"/>
              </w:rPr>
              <w:t>1,2-二氯乙烷</w:t>
            </w:r>
          </w:p>
        </w:tc>
        <w:tc>
          <w:tcPr>
            <w:tcW w:w="1552" w:type="dxa"/>
            <w:vAlign w:val="center"/>
          </w:tcPr>
          <w:p w14:paraId="167A4239">
            <w:pPr>
              <w:spacing w:line="240" w:lineRule="auto"/>
              <w:ind w:firstLine="0" w:firstLineChars="0"/>
              <w:jc w:val="center"/>
              <w:rPr>
                <w:color w:val="auto"/>
                <w:kern w:val="0"/>
                <w:sz w:val="21"/>
                <w:szCs w:val="21"/>
                <w:lang w:val="zh-CN"/>
              </w:rPr>
            </w:pPr>
            <w:r>
              <w:rPr>
                <w:rFonts w:hint="eastAsia"/>
                <w:color w:val="auto"/>
                <w:kern w:val="0"/>
                <w:sz w:val="21"/>
                <w:szCs w:val="21"/>
                <w:lang w:val="zh-CN"/>
              </w:rPr>
              <w:t>5</w:t>
            </w:r>
          </w:p>
        </w:tc>
        <w:tc>
          <w:tcPr>
            <w:tcW w:w="1135" w:type="dxa"/>
            <w:vAlign w:val="center"/>
          </w:tcPr>
          <w:p w14:paraId="3E3FC3BB">
            <w:pPr>
              <w:spacing w:line="240" w:lineRule="auto"/>
              <w:ind w:firstLine="0" w:firstLineChars="0"/>
              <w:jc w:val="center"/>
              <w:rPr>
                <w:color w:val="auto"/>
                <w:kern w:val="0"/>
                <w:sz w:val="21"/>
                <w:szCs w:val="21"/>
                <w:lang w:val="zh-CN"/>
              </w:rPr>
            </w:pPr>
            <w:r>
              <w:rPr>
                <w:rFonts w:hint="eastAsia"/>
                <w:color w:val="auto"/>
                <w:kern w:val="0"/>
                <w:sz w:val="21"/>
                <w:szCs w:val="21"/>
                <w:lang w:val="zh-CN"/>
              </w:rPr>
              <w:t>35</w:t>
            </w:r>
          </w:p>
        </w:tc>
        <w:tc>
          <w:tcPr>
            <w:tcW w:w="1969" w:type="dxa"/>
            <w:vAlign w:val="center"/>
          </w:tcPr>
          <w:p w14:paraId="4B2C8847">
            <w:pPr>
              <w:spacing w:line="240" w:lineRule="auto"/>
              <w:ind w:firstLine="0" w:firstLineChars="0"/>
              <w:jc w:val="center"/>
              <w:rPr>
                <w:color w:val="auto"/>
                <w:kern w:val="0"/>
                <w:sz w:val="21"/>
                <w:szCs w:val="21"/>
                <w:lang w:val="zh-CN"/>
              </w:rPr>
            </w:pPr>
            <w:r>
              <w:rPr>
                <w:rFonts w:hint="eastAsia"/>
                <w:color w:val="auto"/>
                <w:kern w:val="0"/>
                <w:sz w:val="21"/>
                <w:szCs w:val="21"/>
                <w:lang w:val="zh-CN"/>
              </w:rPr>
              <w:t>硝基苯</w:t>
            </w:r>
          </w:p>
        </w:tc>
        <w:tc>
          <w:tcPr>
            <w:tcW w:w="1540" w:type="dxa"/>
            <w:vAlign w:val="center"/>
          </w:tcPr>
          <w:p w14:paraId="5C958465">
            <w:pPr>
              <w:spacing w:line="240" w:lineRule="auto"/>
              <w:ind w:firstLine="0" w:firstLineChars="0"/>
              <w:jc w:val="center"/>
              <w:rPr>
                <w:color w:val="auto"/>
                <w:kern w:val="0"/>
                <w:sz w:val="21"/>
                <w:szCs w:val="21"/>
                <w:lang w:val="zh-CN"/>
              </w:rPr>
            </w:pPr>
            <w:r>
              <w:rPr>
                <w:rFonts w:hint="eastAsia"/>
                <w:color w:val="auto"/>
                <w:kern w:val="0"/>
                <w:sz w:val="21"/>
                <w:szCs w:val="21"/>
                <w:lang w:val="zh-CN"/>
              </w:rPr>
              <w:t>76</w:t>
            </w:r>
          </w:p>
        </w:tc>
      </w:tr>
      <w:tr w14:paraId="07D76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8" w:type="dxa"/>
            <w:vAlign w:val="center"/>
          </w:tcPr>
          <w:p w14:paraId="2DF6EC11">
            <w:pPr>
              <w:spacing w:line="240" w:lineRule="auto"/>
              <w:ind w:firstLine="0" w:firstLineChars="0"/>
              <w:jc w:val="center"/>
              <w:rPr>
                <w:color w:val="auto"/>
                <w:kern w:val="0"/>
                <w:sz w:val="21"/>
                <w:szCs w:val="21"/>
                <w:lang w:val="zh-CN"/>
              </w:rPr>
            </w:pPr>
            <w:r>
              <w:rPr>
                <w:rFonts w:hint="eastAsia"/>
                <w:color w:val="auto"/>
                <w:kern w:val="0"/>
                <w:sz w:val="21"/>
                <w:szCs w:val="21"/>
                <w:lang w:val="zh-CN"/>
              </w:rPr>
              <w:t>13</w:t>
            </w:r>
          </w:p>
        </w:tc>
        <w:tc>
          <w:tcPr>
            <w:tcW w:w="2132" w:type="dxa"/>
            <w:vAlign w:val="center"/>
          </w:tcPr>
          <w:p w14:paraId="1140C9CF">
            <w:pPr>
              <w:spacing w:line="240" w:lineRule="auto"/>
              <w:ind w:firstLine="0" w:firstLineChars="0"/>
              <w:jc w:val="center"/>
              <w:rPr>
                <w:color w:val="auto"/>
                <w:kern w:val="0"/>
                <w:sz w:val="21"/>
                <w:szCs w:val="21"/>
                <w:lang w:val="zh-CN"/>
              </w:rPr>
            </w:pPr>
            <w:r>
              <w:rPr>
                <w:rFonts w:hint="eastAsia"/>
                <w:color w:val="auto"/>
                <w:kern w:val="0"/>
                <w:sz w:val="21"/>
                <w:szCs w:val="21"/>
                <w:lang w:val="zh-CN"/>
              </w:rPr>
              <w:t>1,1-二氯乙烯</w:t>
            </w:r>
          </w:p>
        </w:tc>
        <w:tc>
          <w:tcPr>
            <w:tcW w:w="1552" w:type="dxa"/>
            <w:vAlign w:val="center"/>
          </w:tcPr>
          <w:p w14:paraId="390E10A1">
            <w:pPr>
              <w:spacing w:line="240" w:lineRule="auto"/>
              <w:ind w:firstLine="0" w:firstLineChars="0"/>
              <w:jc w:val="center"/>
              <w:rPr>
                <w:color w:val="auto"/>
                <w:kern w:val="0"/>
                <w:sz w:val="21"/>
                <w:szCs w:val="21"/>
                <w:lang w:val="zh-CN"/>
              </w:rPr>
            </w:pPr>
            <w:r>
              <w:rPr>
                <w:rFonts w:hint="eastAsia"/>
                <w:color w:val="auto"/>
                <w:kern w:val="0"/>
                <w:sz w:val="21"/>
                <w:szCs w:val="21"/>
                <w:lang w:val="zh-CN"/>
              </w:rPr>
              <w:t>66</w:t>
            </w:r>
          </w:p>
        </w:tc>
        <w:tc>
          <w:tcPr>
            <w:tcW w:w="1135" w:type="dxa"/>
            <w:vAlign w:val="center"/>
          </w:tcPr>
          <w:p w14:paraId="35C10E15">
            <w:pPr>
              <w:spacing w:line="240" w:lineRule="auto"/>
              <w:ind w:firstLine="0" w:firstLineChars="0"/>
              <w:jc w:val="center"/>
              <w:rPr>
                <w:color w:val="auto"/>
                <w:kern w:val="0"/>
                <w:sz w:val="21"/>
                <w:szCs w:val="21"/>
                <w:lang w:val="zh-CN"/>
              </w:rPr>
            </w:pPr>
            <w:r>
              <w:rPr>
                <w:rFonts w:hint="eastAsia"/>
                <w:color w:val="auto"/>
                <w:kern w:val="0"/>
                <w:sz w:val="21"/>
                <w:szCs w:val="21"/>
                <w:lang w:val="zh-CN"/>
              </w:rPr>
              <w:t>36</w:t>
            </w:r>
          </w:p>
        </w:tc>
        <w:tc>
          <w:tcPr>
            <w:tcW w:w="1969" w:type="dxa"/>
            <w:vAlign w:val="center"/>
          </w:tcPr>
          <w:p w14:paraId="563152F9">
            <w:pPr>
              <w:spacing w:line="240" w:lineRule="auto"/>
              <w:ind w:firstLine="0" w:firstLineChars="0"/>
              <w:jc w:val="center"/>
              <w:rPr>
                <w:color w:val="auto"/>
                <w:kern w:val="0"/>
                <w:sz w:val="21"/>
                <w:szCs w:val="21"/>
                <w:lang w:val="zh-CN"/>
              </w:rPr>
            </w:pPr>
            <w:r>
              <w:rPr>
                <w:rFonts w:hint="eastAsia"/>
                <w:color w:val="auto"/>
                <w:kern w:val="0"/>
                <w:sz w:val="21"/>
                <w:szCs w:val="21"/>
                <w:lang w:val="zh-CN"/>
              </w:rPr>
              <w:t>苯胺</w:t>
            </w:r>
          </w:p>
        </w:tc>
        <w:tc>
          <w:tcPr>
            <w:tcW w:w="1540" w:type="dxa"/>
            <w:vAlign w:val="center"/>
          </w:tcPr>
          <w:p w14:paraId="093B8F2C">
            <w:pPr>
              <w:spacing w:line="240" w:lineRule="auto"/>
              <w:ind w:firstLine="0" w:firstLineChars="0"/>
              <w:jc w:val="center"/>
              <w:rPr>
                <w:color w:val="auto"/>
                <w:kern w:val="0"/>
                <w:sz w:val="21"/>
                <w:szCs w:val="21"/>
                <w:lang w:val="zh-CN"/>
              </w:rPr>
            </w:pPr>
            <w:r>
              <w:rPr>
                <w:rFonts w:hint="eastAsia"/>
                <w:color w:val="auto"/>
                <w:kern w:val="0"/>
                <w:sz w:val="21"/>
                <w:szCs w:val="21"/>
                <w:lang w:val="zh-CN"/>
              </w:rPr>
              <w:t>260</w:t>
            </w:r>
          </w:p>
        </w:tc>
      </w:tr>
      <w:tr w14:paraId="417BA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8" w:type="dxa"/>
            <w:vAlign w:val="center"/>
          </w:tcPr>
          <w:p w14:paraId="0DB7E058">
            <w:pPr>
              <w:spacing w:line="240" w:lineRule="auto"/>
              <w:ind w:firstLine="0" w:firstLineChars="0"/>
              <w:jc w:val="center"/>
              <w:rPr>
                <w:color w:val="auto"/>
                <w:kern w:val="0"/>
                <w:sz w:val="21"/>
                <w:szCs w:val="21"/>
                <w:lang w:val="zh-CN"/>
              </w:rPr>
            </w:pPr>
            <w:r>
              <w:rPr>
                <w:rFonts w:hint="eastAsia"/>
                <w:color w:val="auto"/>
                <w:kern w:val="0"/>
                <w:sz w:val="21"/>
                <w:szCs w:val="21"/>
                <w:lang w:val="zh-CN"/>
              </w:rPr>
              <w:t>14</w:t>
            </w:r>
          </w:p>
        </w:tc>
        <w:tc>
          <w:tcPr>
            <w:tcW w:w="2132" w:type="dxa"/>
            <w:vAlign w:val="center"/>
          </w:tcPr>
          <w:p w14:paraId="4F6ECA12">
            <w:pPr>
              <w:spacing w:line="240" w:lineRule="auto"/>
              <w:ind w:firstLine="0" w:firstLineChars="0"/>
              <w:jc w:val="center"/>
              <w:rPr>
                <w:color w:val="auto"/>
                <w:kern w:val="0"/>
                <w:sz w:val="21"/>
                <w:szCs w:val="21"/>
                <w:lang w:val="zh-CN"/>
              </w:rPr>
            </w:pPr>
            <w:r>
              <w:rPr>
                <w:rFonts w:hint="eastAsia"/>
                <w:color w:val="auto"/>
                <w:kern w:val="0"/>
                <w:sz w:val="21"/>
                <w:szCs w:val="21"/>
                <w:lang w:val="zh-CN"/>
              </w:rPr>
              <w:t>顺-1,2-二氯乙烯</w:t>
            </w:r>
          </w:p>
        </w:tc>
        <w:tc>
          <w:tcPr>
            <w:tcW w:w="1552" w:type="dxa"/>
            <w:vAlign w:val="center"/>
          </w:tcPr>
          <w:p w14:paraId="463EEB8E">
            <w:pPr>
              <w:spacing w:line="240" w:lineRule="auto"/>
              <w:ind w:firstLine="0" w:firstLineChars="0"/>
              <w:jc w:val="center"/>
              <w:rPr>
                <w:color w:val="auto"/>
                <w:kern w:val="0"/>
                <w:sz w:val="21"/>
                <w:szCs w:val="21"/>
                <w:lang w:val="zh-CN"/>
              </w:rPr>
            </w:pPr>
            <w:r>
              <w:rPr>
                <w:rFonts w:hint="eastAsia"/>
                <w:color w:val="auto"/>
                <w:kern w:val="0"/>
                <w:sz w:val="21"/>
                <w:szCs w:val="21"/>
                <w:lang w:val="zh-CN"/>
              </w:rPr>
              <w:t>596</w:t>
            </w:r>
          </w:p>
        </w:tc>
        <w:tc>
          <w:tcPr>
            <w:tcW w:w="1135" w:type="dxa"/>
            <w:vAlign w:val="center"/>
          </w:tcPr>
          <w:p w14:paraId="4F130E1B">
            <w:pPr>
              <w:spacing w:line="240" w:lineRule="auto"/>
              <w:ind w:firstLine="0" w:firstLineChars="0"/>
              <w:jc w:val="center"/>
              <w:rPr>
                <w:color w:val="auto"/>
                <w:kern w:val="0"/>
                <w:sz w:val="21"/>
                <w:szCs w:val="21"/>
                <w:lang w:val="zh-CN"/>
              </w:rPr>
            </w:pPr>
            <w:r>
              <w:rPr>
                <w:rFonts w:hint="eastAsia"/>
                <w:color w:val="auto"/>
                <w:kern w:val="0"/>
                <w:sz w:val="21"/>
                <w:szCs w:val="21"/>
                <w:lang w:val="zh-CN"/>
              </w:rPr>
              <w:t>37</w:t>
            </w:r>
          </w:p>
        </w:tc>
        <w:tc>
          <w:tcPr>
            <w:tcW w:w="1969" w:type="dxa"/>
            <w:vAlign w:val="center"/>
          </w:tcPr>
          <w:p w14:paraId="5B64CA11">
            <w:pPr>
              <w:spacing w:line="240" w:lineRule="auto"/>
              <w:ind w:firstLine="0" w:firstLineChars="0"/>
              <w:jc w:val="center"/>
              <w:rPr>
                <w:color w:val="auto"/>
                <w:kern w:val="0"/>
                <w:sz w:val="21"/>
                <w:szCs w:val="21"/>
                <w:lang w:val="zh-CN"/>
              </w:rPr>
            </w:pPr>
            <w:r>
              <w:rPr>
                <w:rFonts w:hint="eastAsia"/>
                <w:color w:val="auto"/>
                <w:kern w:val="0"/>
                <w:sz w:val="21"/>
                <w:szCs w:val="21"/>
                <w:lang w:val="zh-CN"/>
              </w:rPr>
              <w:t>2-氯酚</w:t>
            </w:r>
          </w:p>
        </w:tc>
        <w:tc>
          <w:tcPr>
            <w:tcW w:w="1540" w:type="dxa"/>
            <w:vAlign w:val="center"/>
          </w:tcPr>
          <w:p w14:paraId="25AE068E">
            <w:pPr>
              <w:spacing w:line="240" w:lineRule="auto"/>
              <w:ind w:firstLine="0" w:firstLineChars="0"/>
              <w:jc w:val="center"/>
              <w:rPr>
                <w:color w:val="auto"/>
                <w:kern w:val="0"/>
                <w:sz w:val="21"/>
                <w:szCs w:val="21"/>
                <w:lang w:val="zh-CN"/>
              </w:rPr>
            </w:pPr>
            <w:r>
              <w:rPr>
                <w:rFonts w:hint="eastAsia"/>
                <w:color w:val="auto"/>
                <w:kern w:val="0"/>
                <w:sz w:val="21"/>
                <w:szCs w:val="21"/>
                <w:lang w:val="zh-CN"/>
              </w:rPr>
              <w:t>2256</w:t>
            </w:r>
          </w:p>
        </w:tc>
      </w:tr>
      <w:tr w14:paraId="0F6E0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8" w:type="dxa"/>
            <w:vAlign w:val="center"/>
          </w:tcPr>
          <w:p w14:paraId="1BCDE07C">
            <w:pPr>
              <w:spacing w:line="240" w:lineRule="auto"/>
              <w:ind w:firstLine="0" w:firstLineChars="0"/>
              <w:jc w:val="center"/>
              <w:rPr>
                <w:color w:val="auto"/>
                <w:kern w:val="0"/>
                <w:sz w:val="21"/>
                <w:szCs w:val="21"/>
                <w:lang w:val="zh-CN"/>
              </w:rPr>
            </w:pPr>
            <w:r>
              <w:rPr>
                <w:rFonts w:hint="eastAsia"/>
                <w:color w:val="auto"/>
                <w:kern w:val="0"/>
                <w:sz w:val="21"/>
                <w:szCs w:val="21"/>
                <w:lang w:val="zh-CN"/>
              </w:rPr>
              <w:t>15</w:t>
            </w:r>
          </w:p>
        </w:tc>
        <w:tc>
          <w:tcPr>
            <w:tcW w:w="2132" w:type="dxa"/>
            <w:vAlign w:val="center"/>
          </w:tcPr>
          <w:p w14:paraId="51E2544A">
            <w:pPr>
              <w:spacing w:line="240" w:lineRule="auto"/>
              <w:ind w:firstLine="0" w:firstLineChars="0"/>
              <w:jc w:val="center"/>
              <w:rPr>
                <w:color w:val="auto"/>
                <w:kern w:val="0"/>
                <w:sz w:val="21"/>
                <w:szCs w:val="21"/>
                <w:lang w:val="zh-CN"/>
              </w:rPr>
            </w:pPr>
            <w:r>
              <w:rPr>
                <w:rFonts w:hint="eastAsia"/>
                <w:color w:val="auto"/>
                <w:kern w:val="0"/>
                <w:sz w:val="21"/>
                <w:szCs w:val="21"/>
                <w:lang w:val="zh-CN"/>
              </w:rPr>
              <w:t>反-1,2-二氯乙烯</w:t>
            </w:r>
          </w:p>
        </w:tc>
        <w:tc>
          <w:tcPr>
            <w:tcW w:w="1552" w:type="dxa"/>
            <w:vAlign w:val="center"/>
          </w:tcPr>
          <w:p w14:paraId="488AF406">
            <w:pPr>
              <w:spacing w:line="240" w:lineRule="auto"/>
              <w:ind w:firstLine="0" w:firstLineChars="0"/>
              <w:jc w:val="center"/>
              <w:rPr>
                <w:color w:val="auto"/>
                <w:kern w:val="0"/>
                <w:sz w:val="21"/>
                <w:szCs w:val="21"/>
                <w:lang w:val="zh-CN"/>
              </w:rPr>
            </w:pPr>
            <w:r>
              <w:rPr>
                <w:rFonts w:hint="eastAsia"/>
                <w:color w:val="auto"/>
                <w:kern w:val="0"/>
                <w:sz w:val="21"/>
                <w:szCs w:val="21"/>
                <w:lang w:val="zh-CN"/>
              </w:rPr>
              <w:t>54</w:t>
            </w:r>
          </w:p>
        </w:tc>
        <w:tc>
          <w:tcPr>
            <w:tcW w:w="1135" w:type="dxa"/>
            <w:vAlign w:val="center"/>
          </w:tcPr>
          <w:p w14:paraId="6876B3E7">
            <w:pPr>
              <w:spacing w:line="240" w:lineRule="auto"/>
              <w:ind w:firstLine="0" w:firstLineChars="0"/>
              <w:jc w:val="center"/>
              <w:rPr>
                <w:color w:val="auto"/>
                <w:kern w:val="0"/>
                <w:sz w:val="21"/>
                <w:szCs w:val="21"/>
                <w:lang w:val="zh-CN"/>
              </w:rPr>
            </w:pPr>
            <w:r>
              <w:rPr>
                <w:rFonts w:hint="eastAsia"/>
                <w:color w:val="auto"/>
                <w:kern w:val="0"/>
                <w:sz w:val="21"/>
                <w:szCs w:val="21"/>
                <w:lang w:val="zh-CN"/>
              </w:rPr>
              <w:t>38</w:t>
            </w:r>
          </w:p>
        </w:tc>
        <w:tc>
          <w:tcPr>
            <w:tcW w:w="1969" w:type="dxa"/>
            <w:vAlign w:val="center"/>
          </w:tcPr>
          <w:p w14:paraId="3D3AD619">
            <w:pPr>
              <w:spacing w:line="240" w:lineRule="auto"/>
              <w:ind w:firstLine="0" w:firstLineChars="0"/>
              <w:jc w:val="center"/>
              <w:rPr>
                <w:color w:val="auto"/>
                <w:kern w:val="0"/>
                <w:sz w:val="21"/>
                <w:szCs w:val="21"/>
                <w:lang w:val="zh-CN"/>
              </w:rPr>
            </w:pPr>
            <w:r>
              <w:rPr>
                <w:rFonts w:hint="eastAsia"/>
                <w:color w:val="auto"/>
                <w:kern w:val="0"/>
                <w:sz w:val="21"/>
                <w:szCs w:val="21"/>
                <w:lang w:val="zh-CN"/>
              </w:rPr>
              <w:t>苯并〔a〕蒽</w:t>
            </w:r>
          </w:p>
        </w:tc>
        <w:tc>
          <w:tcPr>
            <w:tcW w:w="1540" w:type="dxa"/>
            <w:vAlign w:val="center"/>
          </w:tcPr>
          <w:p w14:paraId="5326BFE4">
            <w:pPr>
              <w:spacing w:line="240" w:lineRule="auto"/>
              <w:ind w:firstLine="0" w:firstLineChars="0"/>
              <w:jc w:val="center"/>
              <w:rPr>
                <w:color w:val="auto"/>
                <w:kern w:val="0"/>
                <w:sz w:val="21"/>
                <w:szCs w:val="21"/>
                <w:lang w:val="zh-CN"/>
              </w:rPr>
            </w:pPr>
            <w:r>
              <w:rPr>
                <w:rFonts w:hint="eastAsia"/>
                <w:color w:val="auto"/>
                <w:kern w:val="0"/>
                <w:sz w:val="21"/>
                <w:szCs w:val="21"/>
                <w:lang w:val="zh-CN"/>
              </w:rPr>
              <w:t>15</w:t>
            </w:r>
          </w:p>
        </w:tc>
      </w:tr>
      <w:tr w14:paraId="361FD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8" w:type="dxa"/>
            <w:vAlign w:val="center"/>
          </w:tcPr>
          <w:p w14:paraId="64EB2A6D">
            <w:pPr>
              <w:spacing w:line="240" w:lineRule="auto"/>
              <w:ind w:firstLine="0" w:firstLineChars="0"/>
              <w:jc w:val="center"/>
              <w:rPr>
                <w:color w:val="auto"/>
                <w:kern w:val="0"/>
                <w:sz w:val="21"/>
                <w:szCs w:val="21"/>
                <w:lang w:val="zh-CN"/>
              </w:rPr>
            </w:pPr>
            <w:r>
              <w:rPr>
                <w:rFonts w:hint="eastAsia"/>
                <w:color w:val="auto"/>
                <w:kern w:val="0"/>
                <w:sz w:val="21"/>
                <w:szCs w:val="21"/>
                <w:lang w:val="zh-CN"/>
              </w:rPr>
              <w:t>16</w:t>
            </w:r>
          </w:p>
        </w:tc>
        <w:tc>
          <w:tcPr>
            <w:tcW w:w="2132" w:type="dxa"/>
            <w:vAlign w:val="center"/>
          </w:tcPr>
          <w:p w14:paraId="16D69491">
            <w:pPr>
              <w:spacing w:line="240" w:lineRule="auto"/>
              <w:ind w:firstLine="0" w:firstLineChars="0"/>
              <w:jc w:val="center"/>
              <w:rPr>
                <w:color w:val="auto"/>
                <w:kern w:val="0"/>
                <w:sz w:val="21"/>
                <w:szCs w:val="21"/>
                <w:lang w:val="zh-CN"/>
              </w:rPr>
            </w:pPr>
            <w:r>
              <w:rPr>
                <w:rFonts w:hint="eastAsia"/>
                <w:color w:val="auto"/>
                <w:kern w:val="0"/>
                <w:sz w:val="21"/>
                <w:szCs w:val="21"/>
                <w:lang w:val="zh-CN"/>
              </w:rPr>
              <w:t>二氯甲烷</w:t>
            </w:r>
          </w:p>
        </w:tc>
        <w:tc>
          <w:tcPr>
            <w:tcW w:w="1552" w:type="dxa"/>
            <w:vAlign w:val="center"/>
          </w:tcPr>
          <w:p w14:paraId="09387A88">
            <w:pPr>
              <w:spacing w:line="240" w:lineRule="auto"/>
              <w:ind w:firstLine="0" w:firstLineChars="0"/>
              <w:jc w:val="center"/>
              <w:rPr>
                <w:color w:val="auto"/>
                <w:kern w:val="0"/>
                <w:sz w:val="21"/>
                <w:szCs w:val="21"/>
                <w:lang w:val="zh-CN"/>
              </w:rPr>
            </w:pPr>
            <w:r>
              <w:rPr>
                <w:rFonts w:hint="eastAsia"/>
                <w:color w:val="auto"/>
                <w:kern w:val="0"/>
                <w:sz w:val="21"/>
                <w:szCs w:val="21"/>
                <w:lang w:val="zh-CN"/>
              </w:rPr>
              <w:t>616</w:t>
            </w:r>
          </w:p>
        </w:tc>
        <w:tc>
          <w:tcPr>
            <w:tcW w:w="1135" w:type="dxa"/>
            <w:vAlign w:val="center"/>
          </w:tcPr>
          <w:p w14:paraId="12064270">
            <w:pPr>
              <w:spacing w:line="240" w:lineRule="auto"/>
              <w:ind w:firstLine="0" w:firstLineChars="0"/>
              <w:jc w:val="center"/>
              <w:rPr>
                <w:color w:val="auto"/>
                <w:kern w:val="0"/>
                <w:sz w:val="21"/>
                <w:szCs w:val="21"/>
                <w:lang w:val="zh-CN"/>
              </w:rPr>
            </w:pPr>
            <w:r>
              <w:rPr>
                <w:rFonts w:hint="eastAsia"/>
                <w:color w:val="auto"/>
                <w:kern w:val="0"/>
                <w:sz w:val="21"/>
                <w:szCs w:val="21"/>
                <w:lang w:val="zh-CN"/>
              </w:rPr>
              <w:t>39</w:t>
            </w:r>
          </w:p>
        </w:tc>
        <w:tc>
          <w:tcPr>
            <w:tcW w:w="1969" w:type="dxa"/>
            <w:vAlign w:val="center"/>
          </w:tcPr>
          <w:p w14:paraId="47250B4E">
            <w:pPr>
              <w:spacing w:line="240" w:lineRule="auto"/>
              <w:ind w:firstLine="0" w:firstLineChars="0"/>
              <w:jc w:val="center"/>
              <w:rPr>
                <w:color w:val="auto"/>
                <w:kern w:val="0"/>
                <w:sz w:val="21"/>
                <w:szCs w:val="21"/>
                <w:lang w:val="zh-CN"/>
              </w:rPr>
            </w:pPr>
            <w:r>
              <w:rPr>
                <w:rFonts w:hint="eastAsia"/>
                <w:color w:val="auto"/>
                <w:kern w:val="0"/>
                <w:sz w:val="21"/>
                <w:szCs w:val="21"/>
                <w:lang w:val="zh-CN"/>
              </w:rPr>
              <w:t>苯并〔a〕芘</w:t>
            </w:r>
          </w:p>
        </w:tc>
        <w:tc>
          <w:tcPr>
            <w:tcW w:w="1540" w:type="dxa"/>
            <w:vAlign w:val="center"/>
          </w:tcPr>
          <w:p w14:paraId="23987DF4">
            <w:pPr>
              <w:spacing w:line="240" w:lineRule="auto"/>
              <w:ind w:firstLine="0" w:firstLineChars="0"/>
              <w:jc w:val="center"/>
              <w:rPr>
                <w:color w:val="auto"/>
                <w:kern w:val="0"/>
                <w:sz w:val="21"/>
                <w:szCs w:val="21"/>
                <w:lang w:val="zh-CN"/>
              </w:rPr>
            </w:pPr>
            <w:r>
              <w:rPr>
                <w:rFonts w:hint="eastAsia"/>
                <w:color w:val="auto"/>
                <w:kern w:val="0"/>
                <w:sz w:val="21"/>
                <w:szCs w:val="21"/>
                <w:lang w:val="zh-CN"/>
              </w:rPr>
              <w:t>1.5</w:t>
            </w:r>
          </w:p>
        </w:tc>
      </w:tr>
      <w:tr w14:paraId="5CDCD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8" w:type="dxa"/>
            <w:vAlign w:val="center"/>
          </w:tcPr>
          <w:p w14:paraId="5047B239">
            <w:pPr>
              <w:spacing w:line="240" w:lineRule="auto"/>
              <w:ind w:firstLine="0" w:firstLineChars="0"/>
              <w:jc w:val="center"/>
              <w:rPr>
                <w:color w:val="auto"/>
                <w:kern w:val="0"/>
                <w:sz w:val="21"/>
                <w:szCs w:val="21"/>
                <w:lang w:val="zh-CN"/>
              </w:rPr>
            </w:pPr>
            <w:r>
              <w:rPr>
                <w:rFonts w:hint="eastAsia"/>
                <w:color w:val="auto"/>
                <w:kern w:val="0"/>
                <w:sz w:val="21"/>
                <w:szCs w:val="21"/>
                <w:lang w:val="zh-CN"/>
              </w:rPr>
              <w:t>17</w:t>
            </w:r>
          </w:p>
        </w:tc>
        <w:tc>
          <w:tcPr>
            <w:tcW w:w="2132" w:type="dxa"/>
            <w:vAlign w:val="center"/>
          </w:tcPr>
          <w:p w14:paraId="27A9114F">
            <w:pPr>
              <w:spacing w:line="240" w:lineRule="auto"/>
              <w:ind w:firstLine="0" w:firstLineChars="0"/>
              <w:jc w:val="center"/>
              <w:rPr>
                <w:color w:val="auto"/>
                <w:kern w:val="0"/>
                <w:sz w:val="21"/>
                <w:szCs w:val="21"/>
                <w:lang w:val="zh-CN"/>
              </w:rPr>
            </w:pPr>
            <w:r>
              <w:rPr>
                <w:rFonts w:hint="eastAsia"/>
                <w:color w:val="auto"/>
                <w:kern w:val="0"/>
                <w:sz w:val="21"/>
                <w:szCs w:val="21"/>
                <w:lang w:val="zh-CN"/>
              </w:rPr>
              <w:t>1,2-二氯丙烷</w:t>
            </w:r>
          </w:p>
        </w:tc>
        <w:tc>
          <w:tcPr>
            <w:tcW w:w="1552" w:type="dxa"/>
            <w:vAlign w:val="center"/>
          </w:tcPr>
          <w:p w14:paraId="7E782C41">
            <w:pPr>
              <w:spacing w:line="240" w:lineRule="auto"/>
              <w:ind w:firstLine="0" w:firstLineChars="0"/>
              <w:jc w:val="center"/>
              <w:rPr>
                <w:color w:val="auto"/>
                <w:kern w:val="0"/>
                <w:sz w:val="21"/>
                <w:szCs w:val="21"/>
                <w:lang w:val="zh-CN"/>
              </w:rPr>
            </w:pPr>
            <w:r>
              <w:rPr>
                <w:rFonts w:hint="eastAsia"/>
                <w:color w:val="auto"/>
                <w:kern w:val="0"/>
                <w:sz w:val="21"/>
                <w:szCs w:val="21"/>
                <w:lang w:val="zh-CN"/>
              </w:rPr>
              <w:t>5</w:t>
            </w:r>
          </w:p>
        </w:tc>
        <w:tc>
          <w:tcPr>
            <w:tcW w:w="1135" w:type="dxa"/>
            <w:vAlign w:val="center"/>
          </w:tcPr>
          <w:p w14:paraId="7880F9F7">
            <w:pPr>
              <w:spacing w:line="240" w:lineRule="auto"/>
              <w:ind w:firstLine="0" w:firstLineChars="0"/>
              <w:jc w:val="center"/>
              <w:rPr>
                <w:color w:val="auto"/>
                <w:kern w:val="0"/>
                <w:sz w:val="21"/>
                <w:szCs w:val="21"/>
                <w:lang w:val="zh-CN"/>
              </w:rPr>
            </w:pPr>
            <w:r>
              <w:rPr>
                <w:rFonts w:hint="eastAsia"/>
                <w:color w:val="auto"/>
                <w:kern w:val="0"/>
                <w:sz w:val="21"/>
                <w:szCs w:val="21"/>
                <w:lang w:val="zh-CN"/>
              </w:rPr>
              <w:t>40</w:t>
            </w:r>
          </w:p>
        </w:tc>
        <w:tc>
          <w:tcPr>
            <w:tcW w:w="1969" w:type="dxa"/>
            <w:vAlign w:val="center"/>
          </w:tcPr>
          <w:p w14:paraId="7532A573">
            <w:pPr>
              <w:spacing w:line="240" w:lineRule="auto"/>
              <w:ind w:firstLine="0" w:firstLineChars="0"/>
              <w:jc w:val="center"/>
              <w:rPr>
                <w:color w:val="auto"/>
                <w:kern w:val="0"/>
                <w:sz w:val="21"/>
                <w:szCs w:val="21"/>
                <w:lang w:val="zh-CN"/>
              </w:rPr>
            </w:pPr>
            <w:r>
              <w:rPr>
                <w:rFonts w:hint="eastAsia"/>
                <w:color w:val="auto"/>
                <w:kern w:val="0"/>
                <w:sz w:val="21"/>
                <w:szCs w:val="21"/>
                <w:lang w:val="zh-CN"/>
              </w:rPr>
              <w:t>苯并〔b〕荧蒽</w:t>
            </w:r>
          </w:p>
        </w:tc>
        <w:tc>
          <w:tcPr>
            <w:tcW w:w="1540" w:type="dxa"/>
            <w:vAlign w:val="center"/>
          </w:tcPr>
          <w:p w14:paraId="69A4A31B">
            <w:pPr>
              <w:spacing w:line="240" w:lineRule="auto"/>
              <w:ind w:firstLine="0" w:firstLineChars="0"/>
              <w:jc w:val="center"/>
              <w:rPr>
                <w:color w:val="auto"/>
                <w:kern w:val="0"/>
                <w:sz w:val="21"/>
                <w:szCs w:val="21"/>
                <w:lang w:val="zh-CN"/>
              </w:rPr>
            </w:pPr>
            <w:r>
              <w:rPr>
                <w:rFonts w:hint="eastAsia"/>
                <w:color w:val="auto"/>
                <w:kern w:val="0"/>
                <w:sz w:val="21"/>
                <w:szCs w:val="21"/>
                <w:lang w:val="zh-CN"/>
              </w:rPr>
              <w:t>15</w:t>
            </w:r>
          </w:p>
        </w:tc>
      </w:tr>
      <w:tr w14:paraId="67334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8" w:type="dxa"/>
            <w:vAlign w:val="center"/>
          </w:tcPr>
          <w:p w14:paraId="465B492F">
            <w:pPr>
              <w:spacing w:line="240" w:lineRule="auto"/>
              <w:ind w:firstLine="0" w:firstLineChars="0"/>
              <w:jc w:val="center"/>
              <w:rPr>
                <w:color w:val="auto"/>
                <w:kern w:val="0"/>
                <w:sz w:val="21"/>
                <w:szCs w:val="21"/>
                <w:lang w:val="zh-CN"/>
              </w:rPr>
            </w:pPr>
            <w:r>
              <w:rPr>
                <w:rFonts w:hint="eastAsia"/>
                <w:color w:val="auto"/>
                <w:kern w:val="0"/>
                <w:sz w:val="21"/>
                <w:szCs w:val="21"/>
                <w:lang w:val="zh-CN"/>
              </w:rPr>
              <w:t>18</w:t>
            </w:r>
          </w:p>
        </w:tc>
        <w:tc>
          <w:tcPr>
            <w:tcW w:w="2132" w:type="dxa"/>
            <w:vAlign w:val="center"/>
          </w:tcPr>
          <w:p w14:paraId="24253181">
            <w:pPr>
              <w:spacing w:line="240" w:lineRule="auto"/>
              <w:ind w:firstLine="0" w:firstLineChars="0"/>
              <w:jc w:val="center"/>
              <w:rPr>
                <w:color w:val="auto"/>
                <w:kern w:val="0"/>
                <w:sz w:val="21"/>
                <w:szCs w:val="21"/>
                <w:lang w:val="zh-CN"/>
              </w:rPr>
            </w:pPr>
            <w:r>
              <w:rPr>
                <w:rFonts w:hint="eastAsia"/>
                <w:color w:val="auto"/>
                <w:kern w:val="0"/>
                <w:sz w:val="21"/>
                <w:szCs w:val="21"/>
                <w:lang w:val="zh-CN"/>
              </w:rPr>
              <w:t>1,1,1,2-四氯乙烷</w:t>
            </w:r>
          </w:p>
        </w:tc>
        <w:tc>
          <w:tcPr>
            <w:tcW w:w="1552" w:type="dxa"/>
            <w:vAlign w:val="center"/>
          </w:tcPr>
          <w:p w14:paraId="415855FE">
            <w:pPr>
              <w:spacing w:line="240" w:lineRule="auto"/>
              <w:ind w:firstLine="0" w:firstLineChars="0"/>
              <w:jc w:val="center"/>
              <w:rPr>
                <w:color w:val="auto"/>
                <w:kern w:val="0"/>
                <w:sz w:val="21"/>
                <w:szCs w:val="21"/>
                <w:lang w:val="zh-CN"/>
              </w:rPr>
            </w:pPr>
            <w:r>
              <w:rPr>
                <w:rFonts w:hint="eastAsia"/>
                <w:color w:val="auto"/>
                <w:kern w:val="0"/>
                <w:sz w:val="21"/>
                <w:szCs w:val="21"/>
                <w:lang w:val="zh-CN"/>
              </w:rPr>
              <w:t>10</w:t>
            </w:r>
          </w:p>
        </w:tc>
        <w:tc>
          <w:tcPr>
            <w:tcW w:w="1135" w:type="dxa"/>
            <w:vAlign w:val="center"/>
          </w:tcPr>
          <w:p w14:paraId="26092165">
            <w:pPr>
              <w:spacing w:line="240" w:lineRule="auto"/>
              <w:ind w:firstLine="0" w:firstLineChars="0"/>
              <w:jc w:val="center"/>
              <w:rPr>
                <w:color w:val="auto"/>
                <w:kern w:val="0"/>
                <w:sz w:val="21"/>
                <w:szCs w:val="21"/>
                <w:lang w:val="zh-CN"/>
              </w:rPr>
            </w:pPr>
            <w:r>
              <w:rPr>
                <w:rFonts w:hint="eastAsia"/>
                <w:color w:val="auto"/>
                <w:kern w:val="0"/>
                <w:sz w:val="21"/>
                <w:szCs w:val="21"/>
                <w:lang w:val="zh-CN"/>
              </w:rPr>
              <w:t>41</w:t>
            </w:r>
          </w:p>
        </w:tc>
        <w:tc>
          <w:tcPr>
            <w:tcW w:w="1969" w:type="dxa"/>
            <w:vAlign w:val="center"/>
          </w:tcPr>
          <w:p w14:paraId="28249BA8">
            <w:pPr>
              <w:spacing w:line="240" w:lineRule="auto"/>
              <w:ind w:firstLine="0" w:firstLineChars="0"/>
              <w:jc w:val="center"/>
              <w:rPr>
                <w:color w:val="auto"/>
                <w:kern w:val="0"/>
                <w:sz w:val="21"/>
                <w:szCs w:val="21"/>
                <w:lang w:val="zh-CN"/>
              </w:rPr>
            </w:pPr>
            <w:r>
              <w:rPr>
                <w:rFonts w:hint="eastAsia"/>
                <w:color w:val="auto"/>
                <w:kern w:val="0"/>
                <w:sz w:val="21"/>
                <w:szCs w:val="21"/>
                <w:lang w:val="zh-CN"/>
              </w:rPr>
              <w:t>苯并〔k〕荧蒽</w:t>
            </w:r>
          </w:p>
        </w:tc>
        <w:tc>
          <w:tcPr>
            <w:tcW w:w="1540" w:type="dxa"/>
            <w:vAlign w:val="center"/>
          </w:tcPr>
          <w:p w14:paraId="3E09319E">
            <w:pPr>
              <w:spacing w:line="240" w:lineRule="auto"/>
              <w:ind w:firstLine="0" w:firstLineChars="0"/>
              <w:jc w:val="center"/>
              <w:rPr>
                <w:color w:val="auto"/>
                <w:kern w:val="0"/>
                <w:sz w:val="21"/>
                <w:szCs w:val="21"/>
                <w:lang w:val="zh-CN"/>
              </w:rPr>
            </w:pPr>
            <w:r>
              <w:rPr>
                <w:rFonts w:hint="eastAsia"/>
                <w:color w:val="auto"/>
                <w:kern w:val="0"/>
                <w:sz w:val="21"/>
                <w:szCs w:val="21"/>
                <w:lang w:val="zh-CN"/>
              </w:rPr>
              <w:t>151</w:t>
            </w:r>
          </w:p>
        </w:tc>
      </w:tr>
      <w:tr w14:paraId="70AB1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8" w:type="dxa"/>
            <w:vAlign w:val="center"/>
          </w:tcPr>
          <w:p w14:paraId="27464C08">
            <w:pPr>
              <w:spacing w:line="240" w:lineRule="auto"/>
              <w:ind w:firstLine="0" w:firstLineChars="0"/>
              <w:jc w:val="center"/>
              <w:rPr>
                <w:color w:val="auto"/>
                <w:kern w:val="0"/>
                <w:sz w:val="21"/>
                <w:szCs w:val="21"/>
                <w:lang w:val="zh-CN"/>
              </w:rPr>
            </w:pPr>
            <w:r>
              <w:rPr>
                <w:rFonts w:hint="eastAsia"/>
                <w:color w:val="auto"/>
                <w:kern w:val="0"/>
                <w:sz w:val="21"/>
                <w:szCs w:val="21"/>
                <w:lang w:val="zh-CN"/>
              </w:rPr>
              <w:t>19</w:t>
            </w:r>
          </w:p>
        </w:tc>
        <w:tc>
          <w:tcPr>
            <w:tcW w:w="2132" w:type="dxa"/>
            <w:vAlign w:val="center"/>
          </w:tcPr>
          <w:p w14:paraId="1F662E33">
            <w:pPr>
              <w:spacing w:line="240" w:lineRule="auto"/>
              <w:ind w:firstLine="0" w:firstLineChars="0"/>
              <w:jc w:val="center"/>
              <w:rPr>
                <w:color w:val="auto"/>
                <w:kern w:val="0"/>
                <w:sz w:val="21"/>
                <w:szCs w:val="21"/>
                <w:lang w:val="zh-CN"/>
              </w:rPr>
            </w:pPr>
            <w:r>
              <w:rPr>
                <w:rFonts w:hint="eastAsia"/>
                <w:color w:val="auto"/>
                <w:kern w:val="0"/>
                <w:sz w:val="21"/>
                <w:szCs w:val="21"/>
                <w:lang w:val="zh-CN"/>
              </w:rPr>
              <w:t>1,1,2,2-四氯乙烷</w:t>
            </w:r>
          </w:p>
        </w:tc>
        <w:tc>
          <w:tcPr>
            <w:tcW w:w="1552" w:type="dxa"/>
            <w:vAlign w:val="center"/>
          </w:tcPr>
          <w:p w14:paraId="7658231F">
            <w:pPr>
              <w:spacing w:line="240" w:lineRule="auto"/>
              <w:ind w:firstLine="0" w:firstLineChars="0"/>
              <w:jc w:val="center"/>
              <w:rPr>
                <w:color w:val="auto"/>
                <w:kern w:val="0"/>
                <w:sz w:val="21"/>
                <w:szCs w:val="21"/>
                <w:lang w:val="zh-CN"/>
              </w:rPr>
            </w:pPr>
            <w:r>
              <w:rPr>
                <w:rFonts w:hint="eastAsia"/>
                <w:color w:val="auto"/>
                <w:kern w:val="0"/>
                <w:sz w:val="21"/>
                <w:szCs w:val="21"/>
                <w:lang w:val="zh-CN"/>
              </w:rPr>
              <w:t>6.8</w:t>
            </w:r>
          </w:p>
        </w:tc>
        <w:tc>
          <w:tcPr>
            <w:tcW w:w="1135" w:type="dxa"/>
            <w:vAlign w:val="center"/>
          </w:tcPr>
          <w:p w14:paraId="4F546D50">
            <w:pPr>
              <w:spacing w:line="240" w:lineRule="auto"/>
              <w:ind w:firstLine="0" w:firstLineChars="0"/>
              <w:jc w:val="center"/>
              <w:rPr>
                <w:color w:val="auto"/>
                <w:kern w:val="0"/>
                <w:sz w:val="21"/>
                <w:szCs w:val="21"/>
                <w:lang w:val="zh-CN"/>
              </w:rPr>
            </w:pPr>
            <w:r>
              <w:rPr>
                <w:rFonts w:hint="eastAsia"/>
                <w:color w:val="auto"/>
                <w:kern w:val="0"/>
                <w:sz w:val="21"/>
                <w:szCs w:val="21"/>
                <w:lang w:val="zh-CN"/>
              </w:rPr>
              <w:t>42</w:t>
            </w:r>
          </w:p>
        </w:tc>
        <w:tc>
          <w:tcPr>
            <w:tcW w:w="1969" w:type="dxa"/>
            <w:vAlign w:val="center"/>
          </w:tcPr>
          <w:p w14:paraId="03E11B46">
            <w:pPr>
              <w:spacing w:line="240" w:lineRule="auto"/>
              <w:ind w:firstLine="0" w:firstLineChars="0"/>
              <w:jc w:val="center"/>
              <w:rPr>
                <w:color w:val="auto"/>
                <w:kern w:val="0"/>
                <w:sz w:val="21"/>
                <w:szCs w:val="21"/>
                <w:lang w:val="zh-CN"/>
              </w:rPr>
            </w:pPr>
            <w:r>
              <w:rPr>
                <w:rFonts w:hint="eastAsia"/>
                <w:color w:val="auto"/>
                <w:kern w:val="0"/>
                <w:sz w:val="21"/>
                <w:szCs w:val="21"/>
                <w:lang w:val="zh-CN"/>
              </w:rPr>
              <w:t>䓛</w:t>
            </w:r>
          </w:p>
        </w:tc>
        <w:tc>
          <w:tcPr>
            <w:tcW w:w="1540" w:type="dxa"/>
            <w:vAlign w:val="center"/>
          </w:tcPr>
          <w:p w14:paraId="49F16594">
            <w:pPr>
              <w:spacing w:line="240" w:lineRule="auto"/>
              <w:ind w:firstLine="0" w:firstLineChars="0"/>
              <w:jc w:val="center"/>
              <w:rPr>
                <w:color w:val="auto"/>
                <w:kern w:val="0"/>
                <w:sz w:val="21"/>
                <w:szCs w:val="21"/>
                <w:lang w:val="zh-CN"/>
              </w:rPr>
            </w:pPr>
            <w:r>
              <w:rPr>
                <w:rFonts w:hint="eastAsia"/>
                <w:color w:val="auto"/>
                <w:kern w:val="0"/>
                <w:sz w:val="21"/>
                <w:szCs w:val="21"/>
                <w:lang w:val="zh-CN"/>
              </w:rPr>
              <w:t>1293</w:t>
            </w:r>
          </w:p>
        </w:tc>
      </w:tr>
      <w:tr w14:paraId="176FB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8" w:type="dxa"/>
            <w:vAlign w:val="center"/>
          </w:tcPr>
          <w:p w14:paraId="7000677F">
            <w:pPr>
              <w:spacing w:line="240" w:lineRule="auto"/>
              <w:ind w:firstLine="0" w:firstLineChars="0"/>
              <w:jc w:val="center"/>
              <w:rPr>
                <w:color w:val="auto"/>
                <w:kern w:val="0"/>
                <w:sz w:val="21"/>
                <w:szCs w:val="21"/>
                <w:lang w:val="zh-CN"/>
              </w:rPr>
            </w:pPr>
            <w:r>
              <w:rPr>
                <w:rFonts w:hint="eastAsia"/>
                <w:color w:val="auto"/>
                <w:kern w:val="0"/>
                <w:sz w:val="21"/>
                <w:szCs w:val="21"/>
                <w:lang w:val="zh-CN"/>
              </w:rPr>
              <w:t>20</w:t>
            </w:r>
          </w:p>
        </w:tc>
        <w:tc>
          <w:tcPr>
            <w:tcW w:w="2132" w:type="dxa"/>
            <w:vAlign w:val="center"/>
          </w:tcPr>
          <w:p w14:paraId="5F04EDB8">
            <w:pPr>
              <w:spacing w:line="240" w:lineRule="auto"/>
              <w:ind w:firstLine="0" w:firstLineChars="0"/>
              <w:jc w:val="center"/>
              <w:rPr>
                <w:color w:val="auto"/>
                <w:kern w:val="0"/>
                <w:sz w:val="21"/>
                <w:szCs w:val="21"/>
                <w:lang w:val="zh-CN"/>
              </w:rPr>
            </w:pPr>
            <w:r>
              <w:rPr>
                <w:rFonts w:hint="eastAsia"/>
                <w:color w:val="auto"/>
                <w:kern w:val="0"/>
                <w:sz w:val="21"/>
                <w:szCs w:val="21"/>
                <w:lang w:val="zh-CN"/>
              </w:rPr>
              <w:t>四氯乙烯</w:t>
            </w:r>
          </w:p>
        </w:tc>
        <w:tc>
          <w:tcPr>
            <w:tcW w:w="1552" w:type="dxa"/>
            <w:vAlign w:val="center"/>
          </w:tcPr>
          <w:p w14:paraId="29A688DA">
            <w:pPr>
              <w:spacing w:line="240" w:lineRule="auto"/>
              <w:ind w:firstLine="0" w:firstLineChars="0"/>
              <w:jc w:val="center"/>
              <w:rPr>
                <w:color w:val="auto"/>
                <w:kern w:val="0"/>
                <w:sz w:val="21"/>
                <w:szCs w:val="21"/>
                <w:lang w:val="zh-CN"/>
              </w:rPr>
            </w:pPr>
            <w:r>
              <w:rPr>
                <w:rFonts w:hint="eastAsia"/>
                <w:color w:val="auto"/>
                <w:kern w:val="0"/>
                <w:sz w:val="21"/>
                <w:szCs w:val="21"/>
                <w:lang w:val="zh-CN"/>
              </w:rPr>
              <w:t>53</w:t>
            </w:r>
          </w:p>
        </w:tc>
        <w:tc>
          <w:tcPr>
            <w:tcW w:w="1135" w:type="dxa"/>
            <w:vAlign w:val="center"/>
          </w:tcPr>
          <w:p w14:paraId="33D6A38C">
            <w:pPr>
              <w:spacing w:line="240" w:lineRule="auto"/>
              <w:ind w:firstLine="0" w:firstLineChars="0"/>
              <w:jc w:val="center"/>
              <w:rPr>
                <w:color w:val="auto"/>
                <w:kern w:val="0"/>
                <w:sz w:val="21"/>
                <w:szCs w:val="21"/>
                <w:lang w:val="zh-CN"/>
              </w:rPr>
            </w:pPr>
            <w:r>
              <w:rPr>
                <w:rFonts w:hint="eastAsia"/>
                <w:color w:val="auto"/>
                <w:kern w:val="0"/>
                <w:sz w:val="21"/>
                <w:szCs w:val="21"/>
                <w:lang w:val="zh-CN"/>
              </w:rPr>
              <w:t>43</w:t>
            </w:r>
          </w:p>
        </w:tc>
        <w:tc>
          <w:tcPr>
            <w:tcW w:w="1969" w:type="dxa"/>
            <w:vAlign w:val="center"/>
          </w:tcPr>
          <w:p w14:paraId="3F251630">
            <w:pPr>
              <w:spacing w:line="240" w:lineRule="auto"/>
              <w:ind w:firstLine="0" w:firstLineChars="0"/>
              <w:jc w:val="center"/>
              <w:rPr>
                <w:color w:val="auto"/>
                <w:kern w:val="0"/>
                <w:sz w:val="21"/>
                <w:szCs w:val="21"/>
                <w:lang w:val="zh-CN"/>
              </w:rPr>
            </w:pPr>
            <w:r>
              <w:rPr>
                <w:rFonts w:hint="eastAsia"/>
                <w:color w:val="auto"/>
                <w:kern w:val="0"/>
                <w:sz w:val="21"/>
                <w:szCs w:val="21"/>
                <w:lang w:val="zh-CN"/>
              </w:rPr>
              <w:t>二苯并〔a，h〕蒽</w:t>
            </w:r>
          </w:p>
        </w:tc>
        <w:tc>
          <w:tcPr>
            <w:tcW w:w="1540" w:type="dxa"/>
            <w:vAlign w:val="center"/>
          </w:tcPr>
          <w:p w14:paraId="053F862C">
            <w:pPr>
              <w:spacing w:line="240" w:lineRule="auto"/>
              <w:ind w:firstLine="0" w:firstLineChars="0"/>
              <w:jc w:val="center"/>
              <w:rPr>
                <w:color w:val="auto"/>
                <w:kern w:val="0"/>
                <w:sz w:val="21"/>
                <w:szCs w:val="21"/>
                <w:lang w:val="zh-CN"/>
              </w:rPr>
            </w:pPr>
            <w:r>
              <w:rPr>
                <w:rFonts w:hint="eastAsia"/>
                <w:color w:val="auto"/>
                <w:kern w:val="0"/>
                <w:sz w:val="21"/>
                <w:szCs w:val="21"/>
                <w:lang w:val="zh-CN"/>
              </w:rPr>
              <w:t>1.5</w:t>
            </w:r>
          </w:p>
        </w:tc>
      </w:tr>
      <w:tr w14:paraId="0F27B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8" w:type="dxa"/>
            <w:vAlign w:val="center"/>
          </w:tcPr>
          <w:p w14:paraId="0EFBD20C">
            <w:pPr>
              <w:spacing w:line="240" w:lineRule="auto"/>
              <w:ind w:firstLine="0" w:firstLineChars="0"/>
              <w:jc w:val="center"/>
              <w:rPr>
                <w:color w:val="auto"/>
                <w:kern w:val="0"/>
                <w:sz w:val="21"/>
                <w:szCs w:val="21"/>
                <w:lang w:val="zh-CN"/>
              </w:rPr>
            </w:pPr>
            <w:r>
              <w:rPr>
                <w:rFonts w:hint="eastAsia"/>
                <w:color w:val="auto"/>
                <w:kern w:val="0"/>
                <w:sz w:val="21"/>
                <w:szCs w:val="21"/>
                <w:lang w:val="zh-CN"/>
              </w:rPr>
              <w:t>21</w:t>
            </w:r>
          </w:p>
        </w:tc>
        <w:tc>
          <w:tcPr>
            <w:tcW w:w="2132" w:type="dxa"/>
            <w:vAlign w:val="center"/>
          </w:tcPr>
          <w:p w14:paraId="31ACA02E">
            <w:pPr>
              <w:spacing w:line="240" w:lineRule="auto"/>
              <w:ind w:firstLine="0" w:firstLineChars="0"/>
              <w:jc w:val="center"/>
              <w:rPr>
                <w:color w:val="auto"/>
                <w:kern w:val="0"/>
                <w:sz w:val="21"/>
                <w:szCs w:val="21"/>
                <w:lang w:val="zh-CN"/>
              </w:rPr>
            </w:pPr>
            <w:r>
              <w:rPr>
                <w:rFonts w:hint="eastAsia"/>
                <w:color w:val="auto"/>
                <w:kern w:val="0"/>
                <w:sz w:val="21"/>
                <w:szCs w:val="21"/>
                <w:lang w:val="zh-CN"/>
              </w:rPr>
              <w:t>1,1,1-三氯乙烷</w:t>
            </w:r>
          </w:p>
        </w:tc>
        <w:tc>
          <w:tcPr>
            <w:tcW w:w="1552" w:type="dxa"/>
            <w:vAlign w:val="center"/>
          </w:tcPr>
          <w:p w14:paraId="160483BB">
            <w:pPr>
              <w:spacing w:line="240" w:lineRule="auto"/>
              <w:ind w:firstLine="0" w:firstLineChars="0"/>
              <w:jc w:val="center"/>
              <w:rPr>
                <w:color w:val="auto"/>
                <w:kern w:val="0"/>
                <w:sz w:val="21"/>
                <w:szCs w:val="21"/>
                <w:lang w:val="zh-CN"/>
              </w:rPr>
            </w:pPr>
            <w:r>
              <w:rPr>
                <w:rFonts w:hint="eastAsia"/>
                <w:color w:val="auto"/>
                <w:kern w:val="0"/>
                <w:sz w:val="21"/>
                <w:szCs w:val="21"/>
                <w:lang w:val="zh-CN"/>
              </w:rPr>
              <w:t>840</w:t>
            </w:r>
          </w:p>
        </w:tc>
        <w:tc>
          <w:tcPr>
            <w:tcW w:w="1135" w:type="dxa"/>
            <w:vAlign w:val="center"/>
          </w:tcPr>
          <w:p w14:paraId="2167FE51">
            <w:pPr>
              <w:spacing w:line="240" w:lineRule="auto"/>
              <w:ind w:firstLine="0" w:firstLineChars="0"/>
              <w:jc w:val="center"/>
              <w:rPr>
                <w:color w:val="auto"/>
                <w:kern w:val="0"/>
                <w:sz w:val="21"/>
                <w:szCs w:val="21"/>
                <w:lang w:val="zh-CN"/>
              </w:rPr>
            </w:pPr>
            <w:r>
              <w:rPr>
                <w:rFonts w:hint="eastAsia"/>
                <w:color w:val="auto"/>
                <w:kern w:val="0"/>
                <w:sz w:val="21"/>
                <w:szCs w:val="21"/>
                <w:lang w:val="zh-CN"/>
              </w:rPr>
              <w:t>44</w:t>
            </w:r>
          </w:p>
        </w:tc>
        <w:tc>
          <w:tcPr>
            <w:tcW w:w="1969" w:type="dxa"/>
            <w:vAlign w:val="center"/>
          </w:tcPr>
          <w:p w14:paraId="7127DC52">
            <w:pPr>
              <w:spacing w:line="240" w:lineRule="auto"/>
              <w:ind w:firstLine="0" w:firstLineChars="0"/>
              <w:jc w:val="center"/>
              <w:rPr>
                <w:color w:val="auto"/>
                <w:kern w:val="0"/>
                <w:sz w:val="21"/>
                <w:szCs w:val="21"/>
                <w:lang w:val="zh-CN"/>
              </w:rPr>
            </w:pPr>
            <w:r>
              <w:rPr>
                <w:rFonts w:hint="eastAsia"/>
                <w:color w:val="auto"/>
                <w:kern w:val="0"/>
                <w:sz w:val="21"/>
                <w:szCs w:val="21"/>
                <w:lang w:val="zh-CN"/>
              </w:rPr>
              <w:t>茚并〔1,2,3-cd〕芘</w:t>
            </w:r>
          </w:p>
        </w:tc>
        <w:tc>
          <w:tcPr>
            <w:tcW w:w="1540" w:type="dxa"/>
            <w:vAlign w:val="center"/>
          </w:tcPr>
          <w:p w14:paraId="12FE7EE2">
            <w:pPr>
              <w:spacing w:line="240" w:lineRule="auto"/>
              <w:ind w:firstLine="0" w:firstLineChars="0"/>
              <w:jc w:val="center"/>
              <w:rPr>
                <w:color w:val="auto"/>
                <w:kern w:val="0"/>
                <w:sz w:val="21"/>
                <w:szCs w:val="21"/>
                <w:lang w:val="zh-CN"/>
              </w:rPr>
            </w:pPr>
            <w:r>
              <w:rPr>
                <w:rFonts w:hint="eastAsia"/>
                <w:color w:val="auto"/>
                <w:kern w:val="0"/>
                <w:sz w:val="21"/>
                <w:szCs w:val="21"/>
                <w:lang w:val="zh-CN"/>
              </w:rPr>
              <w:t>15</w:t>
            </w:r>
          </w:p>
        </w:tc>
      </w:tr>
      <w:tr w14:paraId="640A8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8" w:type="dxa"/>
            <w:vAlign w:val="center"/>
          </w:tcPr>
          <w:p w14:paraId="67863461">
            <w:pPr>
              <w:spacing w:line="240" w:lineRule="auto"/>
              <w:ind w:firstLine="0" w:firstLineChars="0"/>
              <w:jc w:val="center"/>
              <w:rPr>
                <w:color w:val="auto"/>
                <w:kern w:val="0"/>
                <w:sz w:val="21"/>
                <w:szCs w:val="21"/>
                <w:lang w:val="zh-CN"/>
              </w:rPr>
            </w:pPr>
            <w:r>
              <w:rPr>
                <w:rFonts w:hint="eastAsia"/>
                <w:color w:val="auto"/>
                <w:kern w:val="0"/>
                <w:sz w:val="21"/>
                <w:szCs w:val="21"/>
                <w:lang w:val="zh-CN"/>
              </w:rPr>
              <w:t>22</w:t>
            </w:r>
          </w:p>
        </w:tc>
        <w:tc>
          <w:tcPr>
            <w:tcW w:w="2132" w:type="dxa"/>
            <w:vAlign w:val="center"/>
          </w:tcPr>
          <w:p w14:paraId="3257743D">
            <w:pPr>
              <w:spacing w:line="240" w:lineRule="auto"/>
              <w:ind w:firstLine="0" w:firstLineChars="0"/>
              <w:jc w:val="center"/>
              <w:rPr>
                <w:color w:val="auto"/>
                <w:kern w:val="0"/>
                <w:sz w:val="21"/>
                <w:szCs w:val="21"/>
                <w:lang w:val="zh-CN"/>
              </w:rPr>
            </w:pPr>
            <w:r>
              <w:rPr>
                <w:rFonts w:hint="eastAsia"/>
                <w:color w:val="auto"/>
                <w:kern w:val="0"/>
                <w:sz w:val="21"/>
                <w:szCs w:val="21"/>
                <w:lang w:val="zh-CN"/>
              </w:rPr>
              <w:t>1,1,2-三氯乙烷</w:t>
            </w:r>
          </w:p>
        </w:tc>
        <w:tc>
          <w:tcPr>
            <w:tcW w:w="1552" w:type="dxa"/>
            <w:vAlign w:val="center"/>
          </w:tcPr>
          <w:p w14:paraId="76C6BE78">
            <w:pPr>
              <w:spacing w:line="240" w:lineRule="auto"/>
              <w:ind w:firstLine="0" w:firstLineChars="0"/>
              <w:jc w:val="center"/>
              <w:rPr>
                <w:color w:val="auto"/>
                <w:kern w:val="0"/>
                <w:sz w:val="21"/>
                <w:szCs w:val="21"/>
                <w:lang w:val="zh-CN"/>
              </w:rPr>
            </w:pPr>
            <w:r>
              <w:rPr>
                <w:rFonts w:hint="eastAsia"/>
                <w:color w:val="auto"/>
                <w:kern w:val="0"/>
                <w:sz w:val="21"/>
                <w:szCs w:val="21"/>
                <w:lang w:val="zh-CN"/>
              </w:rPr>
              <w:t>2.8</w:t>
            </w:r>
          </w:p>
        </w:tc>
        <w:tc>
          <w:tcPr>
            <w:tcW w:w="1135" w:type="dxa"/>
            <w:vAlign w:val="center"/>
          </w:tcPr>
          <w:p w14:paraId="67401970">
            <w:pPr>
              <w:spacing w:line="240" w:lineRule="auto"/>
              <w:ind w:firstLine="0" w:firstLineChars="0"/>
              <w:jc w:val="center"/>
              <w:rPr>
                <w:color w:val="auto"/>
                <w:kern w:val="0"/>
                <w:sz w:val="21"/>
                <w:szCs w:val="21"/>
                <w:lang w:val="zh-CN"/>
              </w:rPr>
            </w:pPr>
            <w:r>
              <w:rPr>
                <w:rFonts w:hint="eastAsia"/>
                <w:color w:val="auto"/>
                <w:kern w:val="0"/>
                <w:sz w:val="21"/>
                <w:szCs w:val="21"/>
                <w:lang w:val="zh-CN"/>
              </w:rPr>
              <w:t>45</w:t>
            </w:r>
          </w:p>
        </w:tc>
        <w:tc>
          <w:tcPr>
            <w:tcW w:w="1969" w:type="dxa"/>
            <w:vAlign w:val="center"/>
          </w:tcPr>
          <w:p w14:paraId="006F395A">
            <w:pPr>
              <w:spacing w:line="240" w:lineRule="auto"/>
              <w:ind w:firstLine="0" w:firstLineChars="0"/>
              <w:jc w:val="center"/>
              <w:rPr>
                <w:color w:val="auto"/>
                <w:kern w:val="0"/>
                <w:sz w:val="21"/>
                <w:szCs w:val="21"/>
                <w:lang w:val="zh-CN"/>
              </w:rPr>
            </w:pPr>
            <w:r>
              <w:rPr>
                <w:rFonts w:hint="eastAsia"/>
                <w:color w:val="auto"/>
                <w:kern w:val="0"/>
                <w:sz w:val="21"/>
                <w:szCs w:val="21"/>
                <w:lang w:val="zh-CN"/>
              </w:rPr>
              <w:t>萘</w:t>
            </w:r>
          </w:p>
        </w:tc>
        <w:tc>
          <w:tcPr>
            <w:tcW w:w="1540" w:type="dxa"/>
            <w:vAlign w:val="center"/>
          </w:tcPr>
          <w:p w14:paraId="3959D091">
            <w:pPr>
              <w:spacing w:line="240" w:lineRule="auto"/>
              <w:ind w:firstLine="0" w:firstLineChars="0"/>
              <w:jc w:val="center"/>
              <w:rPr>
                <w:color w:val="auto"/>
                <w:kern w:val="0"/>
                <w:sz w:val="21"/>
                <w:szCs w:val="21"/>
                <w:lang w:val="zh-CN"/>
              </w:rPr>
            </w:pPr>
            <w:r>
              <w:rPr>
                <w:rFonts w:hint="eastAsia"/>
                <w:color w:val="auto"/>
                <w:kern w:val="0"/>
                <w:sz w:val="21"/>
                <w:szCs w:val="21"/>
                <w:lang w:val="zh-CN"/>
              </w:rPr>
              <w:t>70</w:t>
            </w:r>
          </w:p>
        </w:tc>
      </w:tr>
      <w:tr w14:paraId="7A1D0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8" w:type="dxa"/>
            <w:vAlign w:val="center"/>
          </w:tcPr>
          <w:p w14:paraId="1CEB75C0">
            <w:pPr>
              <w:spacing w:line="240" w:lineRule="auto"/>
              <w:ind w:firstLine="0" w:firstLineChars="0"/>
              <w:jc w:val="center"/>
              <w:rPr>
                <w:color w:val="auto"/>
                <w:kern w:val="0"/>
                <w:sz w:val="21"/>
                <w:szCs w:val="21"/>
                <w:lang w:val="zh-CN"/>
              </w:rPr>
            </w:pPr>
            <w:r>
              <w:rPr>
                <w:rFonts w:hint="eastAsia"/>
                <w:color w:val="auto"/>
                <w:kern w:val="0"/>
                <w:sz w:val="21"/>
                <w:szCs w:val="21"/>
                <w:lang w:val="zh-CN"/>
              </w:rPr>
              <w:t>23</w:t>
            </w:r>
          </w:p>
        </w:tc>
        <w:tc>
          <w:tcPr>
            <w:tcW w:w="2132" w:type="dxa"/>
            <w:vAlign w:val="center"/>
          </w:tcPr>
          <w:p w14:paraId="447A1266">
            <w:pPr>
              <w:spacing w:line="240" w:lineRule="auto"/>
              <w:ind w:firstLine="0" w:firstLineChars="0"/>
              <w:jc w:val="center"/>
              <w:rPr>
                <w:color w:val="auto"/>
                <w:kern w:val="0"/>
                <w:sz w:val="21"/>
                <w:szCs w:val="21"/>
                <w:lang w:val="zh-CN"/>
              </w:rPr>
            </w:pPr>
            <w:r>
              <w:rPr>
                <w:rFonts w:hint="eastAsia"/>
                <w:color w:val="auto"/>
                <w:kern w:val="0"/>
                <w:sz w:val="21"/>
                <w:szCs w:val="21"/>
                <w:lang w:val="zh-CN"/>
              </w:rPr>
              <w:t>三氯乙烯</w:t>
            </w:r>
          </w:p>
        </w:tc>
        <w:tc>
          <w:tcPr>
            <w:tcW w:w="1552" w:type="dxa"/>
            <w:vAlign w:val="center"/>
          </w:tcPr>
          <w:p w14:paraId="4C2B1B90">
            <w:pPr>
              <w:spacing w:line="240" w:lineRule="auto"/>
              <w:ind w:firstLine="0" w:firstLineChars="0"/>
              <w:jc w:val="center"/>
              <w:rPr>
                <w:color w:val="auto"/>
                <w:kern w:val="0"/>
                <w:sz w:val="21"/>
                <w:szCs w:val="21"/>
                <w:lang w:val="zh-CN"/>
              </w:rPr>
            </w:pPr>
            <w:r>
              <w:rPr>
                <w:rFonts w:hint="eastAsia"/>
                <w:color w:val="auto"/>
                <w:kern w:val="0"/>
                <w:sz w:val="21"/>
                <w:szCs w:val="21"/>
                <w:lang w:val="zh-CN"/>
              </w:rPr>
              <w:t>2.8</w:t>
            </w:r>
          </w:p>
        </w:tc>
        <w:tc>
          <w:tcPr>
            <w:tcW w:w="1135" w:type="dxa"/>
            <w:vAlign w:val="center"/>
          </w:tcPr>
          <w:p w14:paraId="31A3D2C2">
            <w:pPr>
              <w:spacing w:line="240" w:lineRule="auto"/>
              <w:ind w:firstLine="0" w:firstLineChars="0"/>
              <w:jc w:val="center"/>
              <w:rPr>
                <w:color w:val="auto"/>
                <w:kern w:val="0"/>
                <w:sz w:val="21"/>
                <w:szCs w:val="21"/>
                <w:lang w:val="zh-CN"/>
              </w:rPr>
            </w:pPr>
            <w:r>
              <w:rPr>
                <w:rFonts w:hint="eastAsia"/>
                <w:color w:val="auto"/>
                <w:kern w:val="0"/>
                <w:sz w:val="21"/>
                <w:szCs w:val="21"/>
                <w:lang w:val="zh-CN"/>
              </w:rPr>
              <w:t>46</w:t>
            </w:r>
          </w:p>
        </w:tc>
        <w:tc>
          <w:tcPr>
            <w:tcW w:w="1969" w:type="dxa"/>
            <w:vAlign w:val="center"/>
          </w:tcPr>
          <w:p w14:paraId="7CDADC28">
            <w:pPr>
              <w:spacing w:line="240" w:lineRule="auto"/>
              <w:ind w:firstLine="0" w:firstLineChars="0"/>
              <w:jc w:val="center"/>
              <w:rPr>
                <w:color w:val="auto"/>
                <w:kern w:val="0"/>
                <w:sz w:val="21"/>
                <w:szCs w:val="21"/>
                <w:lang w:val="zh-CN"/>
              </w:rPr>
            </w:pPr>
            <w:r>
              <w:rPr>
                <w:rFonts w:hint="eastAsia"/>
                <w:color w:val="auto"/>
                <w:kern w:val="0"/>
                <w:sz w:val="21"/>
                <w:szCs w:val="21"/>
                <w:lang w:val="zh-CN"/>
              </w:rPr>
              <w:t>石油烃</w:t>
            </w:r>
          </w:p>
        </w:tc>
        <w:tc>
          <w:tcPr>
            <w:tcW w:w="1540" w:type="dxa"/>
            <w:vAlign w:val="center"/>
          </w:tcPr>
          <w:p w14:paraId="1441A6D5">
            <w:pPr>
              <w:spacing w:line="240" w:lineRule="auto"/>
              <w:ind w:firstLine="0" w:firstLineChars="0"/>
              <w:jc w:val="center"/>
              <w:rPr>
                <w:color w:val="auto"/>
                <w:kern w:val="0"/>
                <w:sz w:val="21"/>
                <w:szCs w:val="21"/>
                <w:lang w:val="zh-CN"/>
              </w:rPr>
            </w:pPr>
            <w:r>
              <w:rPr>
                <w:rFonts w:hint="eastAsia"/>
                <w:color w:val="auto"/>
                <w:kern w:val="0"/>
                <w:sz w:val="21"/>
                <w:szCs w:val="21"/>
                <w:lang w:val="zh-CN"/>
              </w:rPr>
              <w:t>4500</w:t>
            </w:r>
          </w:p>
        </w:tc>
      </w:tr>
    </w:tbl>
    <w:p w14:paraId="0A1AF4AF">
      <w:pPr>
        <w:spacing w:line="360" w:lineRule="auto"/>
        <w:ind w:firstLine="480"/>
        <w:rPr>
          <w:color w:val="auto"/>
          <w:szCs w:val="24"/>
        </w:rPr>
      </w:pPr>
    </w:p>
    <w:p w14:paraId="2508B7CD">
      <w:pPr>
        <w:pStyle w:val="5"/>
        <w:numPr>
          <w:ilvl w:val="0"/>
          <w:numId w:val="0"/>
        </w:numPr>
        <w:spacing w:line="360" w:lineRule="auto"/>
        <w:rPr>
          <w:color w:val="auto"/>
        </w:rPr>
      </w:pPr>
      <w:r>
        <w:rPr>
          <w:rFonts w:hint="eastAsia"/>
          <w:color w:val="auto"/>
          <w:lang w:eastAsia="zh-CN"/>
        </w:rPr>
        <w:t>2.6</w:t>
      </w:r>
      <w:r>
        <w:rPr>
          <w:color w:val="auto"/>
        </w:rPr>
        <w:t>.2排放标准</w:t>
      </w:r>
    </w:p>
    <w:p w14:paraId="2D127E06">
      <w:pPr>
        <w:spacing w:line="360" w:lineRule="auto"/>
        <w:ind w:firstLine="480"/>
        <w:rPr>
          <w:color w:val="auto"/>
        </w:rPr>
      </w:pPr>
      <w:r>
        <w:rPr>
          <w:color w:val="auto"/>
        </w:rPr>
        <w:t>（1）废水</w:t>
      </w:r>
    </w:p>
    <w:p w14:paraId="0AC5FAB9">
      <w:pPr>
        <w:spacing w:line="360" w:lineRule="auto"/>
        <w:ind w:firstLine="480"/>
        <w:rPr>
          <w:color w:val="auto"/>
        </w:rPr>
      </w:pPr>
      <w:r>
        <w:rPr>
          <w:rFonts w:hint="eastAsia" w:ascii="Times New Roman" w:hAnsi="Times New Roman"/>
          <w:color w:val="auto"/>
          <w:lang w:val="en-US"/>
        </w:rPr>
        <w:t>拟建项目</w:t>
      </w:r>
      <w:r>
        <w:rPr>
          <w:rFonts w:hint="eastAsia"/>
          <w:color w:val="auto"/>
          <w:lang w:val="en-US" w:eastAsia="zh-CN"/>
        </w:rPr>
        <w:t>设计出水水质</w:t>
      </w:r>
      <w:r>
        <w:rPr>
          <w:rFonts w:hint="eastAsia" w:ascii="Times New Roman" w:hAnsi="Times New Roman"/>
          <w:color w:val="auto"/>
          <w:lang w:val="en-US"/>
        </w:rPr>
        <w:t>执行</w:t>
      </w:r>
      <w:r>
        <w:rPr>
          <w:rFonts w:hint="eastAsia"/>
          <w:color w:val="auto"/>
          <w:lang w:val="en-US" w:eastAsia="zh-CN"/>
        </w:rPr>
        <w:t>《页岩气开采水污染物排放标准》（DB50/1806-2025）间接排放标准限值</w:t>
      </w:r>
      <w:r>
        <w:rPr>
          <w:rFonts w:hint="eastAsia"/>
          <w:color w:val="auto"/>
          <w:lang w:eastAsia="zh-CN"/>
        </w:rPr>
        <w:t>后直接接入乌杨组团园区污水处理厂</w:t>
      </w:r>
      <w:r>
        <w:rPr>
          <w:rFonts w:hint="eastAsia"/>
          <w:color w:val="auto"/>
        </w:rPr>
        <w:t>进行深度处理达《城镇污水处理厂污染物排放标准</w:t>
      </w:r>
      <w:r>
        <w:rPr>
          <w:rFonts w:ascii="Times New Roman" w:hAnsi="Times New Roman"/>
          <w:color w:val="auto"/>
        </w:rPr>
        <w:t>》（GB18918-2002）一级 A 标准后</w:t>
      </w:r>
      <w:r>
        <w:rPr>
          <w:rFonts w:hint="eastAsia"/>
          <w:color w:val="auto"/>
        </w:rPr>
        <w:t>排入</w:t>
      </w:r>
      <w:r>
        <w:rPr>
          <w:rFonts w:hint="eastAsia"/>
          <w:color w:val="auto"/>
          <w:lang w:eastAsia="zh-CN"/>
        </w:rPr>
        <w:t>长江</w:t>
      </w:r>
      <w:r>
        <w:rPr>
          <w:rFonts w:hint="eastAsia"/>
          <w:color w:val="auto"/>
        </w:rPr>
        <w:t>。</w:t>
      </w:r>
      <w:r>
        <w:rPr>
          <w:rFonts w:hint="eastAsia"/>
          <w:color w:val="auto"/>
          <w:lang w:eastAsia="zh-CN"/>
        </w:rPr>
        <w:t>相</w:t>
      </w:r>
      <w:r>
        <w:rPr>
          <w:color w:val="auto"/>
        </w:rPr>
        <w:t>关标准限值见表</w:t>
      </w:r>
      <w:r>
        <w:rPr>
          <w:rFonts w:hint="eastAsia"/>
          <w:color w:val="auto"/>
          <w:lang w:eastAsia="zh-CN"/>
        </w:rPr>
        <w:t>2.6</w:t>
      </w:r>
      <w:r>
        <w:rPr>
          <w:color w:val="auto"/>
        </w:rPr>
        <w:t>-</w:t>
      </w:r>
      <w:r>
        <w:rPr>
          <w:rFonts w:hint="eastAsia"/>
          <w:color w:val="auto"/>
        </w:rPr>
        <w:t>5、</w:t>
      </w:r>
      <w:r>
        <w:rPr>
          <w:rFonts w:hint="eastAsia"/>
          <w:color w:val="auto"/>
          <w:lang w:eastAsia="zh-CN"/>
        </w:rPr>
        <w:t>2.6</w:t>
      </w:r>
      <w:r>
        <w:rPr>
          <w:rFonts w:hint="eastAsia"/>
          <w:color w:val="auto"/>
        </w:rPr>
        <w:t>-6</w:t>
      </w:r>
      <w:r>
        <w:rPr>
          <w:color w:val="auto"/>
        </w:rPr>
        <w:t>。</w:t>
      </w:r>
    </w:p>
    <w:p w14:paraId="1E70E960">
      <w:pPr>
        <w:ind w:firstLine="482"/>
        <w:jc w:val="center"/>
        <w:rPr>
          <w:b/>
          <w:snapToGrid w:val="0"/>
          <w:color w:val="auto"/>
          <w:kern w:val="0"/>
          <w:szCs w:val="24"/>
        </w:rPr>
      </w:pPr>
      <w:r>
        <w:rPr>
          <w:b/>
          <w:snapToGrid w:val="0"/>
          <w:color w:val="auto"/>
          <w:kern w:val="0"/>
          <w:szCs w:val="24"/>
        </w:rPr>
        <w:t>表</w:t>
      </w:r>
      <w:r>
        <w:rPr>
          <w:rFonts w:hint="eastAsia"/>
          <w:b/>
          <w:snapToGrid w:val="0"/>
          <w:color w:val="auto"/>
          <w:kern w:val="0"/>
          <w:szCs w:val="24"/>
          <w:lang w:eastAsia="zh-CN"/>
        </w:rPr>
        <w:t>2.6</w:t>
      </w:r>
      <w:r>
        <w:rPr>
          <w:b/>
          <w:snapToGrid w:val="0"/>
          <w:color w:val="auto"/>
          <w:kern w:val="0"/>
          <w:szCs w:val="24"/>
        </w:rPr>
        <w:t xml:space="preserve">-5 </w:t>
      </w:r>
      <w:r>
        <w:rPr>
          <w:rFonts w:hint="eastAsia"/>
          <w:b/>
          <w:snapToGrid w:val="0"/>
          <w:color w:val="auto"/>
          <w:kern w:val="0"/>
          <w:szCs w:val="24"/>
        </w:rPr>
        <w:t>拟建项目</w:t>
      </w:r>
      <w:r>
        <w:rPr>
          <w:b/>
          <w:snapToGrid w:val="0"/>
          <w:color w:val="auto"/>
          <w:kern w:val="0"/>
          <w:szCs w:val="24"/>
        </w:rPr>
        <w:t>水污染物</w:t>
      </w:r>
      <w:r>
        <w:rPr>
          <w:rFonts w:hint="eastAsia"/>
          <w:b/>
          <w:snapToGrid w:val="0"/>
          <w:color w:val="auto"/>
          <w:kern w:val="0"/>
          <w:szCs w:val="24"/>
        </w:rPr>
        <w:t>相关</w:t>
      </w:r>
      <w:r>
        <w:rPr>
          <w:b/>
          <w:snapToGrid w:val="0"/>
          <w:color w:val="auto"/>
          <w:kern w:val="0"/>
          <w:szCs w:val="24"/>
        </w:rPr>
        <w:t>标准</w:t>
      </w:r>
      <w:r>
        <w:rPr>
          <w:rFonts w:hint="eastAsia"/>
          <w:b/>
          <w:snapToGrid w:val="0"/>
          <w:color w:val="auto"/>
          <w:kern w:val="0"/>
          <w:szCs w:val="24"/>
        </w:rPr>
        <w:t xml:space="preserve">   </w:t>
      </w:r>
      <w:r>
        <w:rPr>
          <w:b/>
          <w:snapToGrid w:val="0"/>
          <w:color w:val="auto"/>
          <w:kern w:val="0"/>
          <w:szCs w:val="24"/>
        </w:rPr>
        <w:t>单位：mg/L</w:t>
      </w:r>
    </w:p>
    <w:tbl>
      <w:tblPr>
        <w:tblStyle w:val="8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2"/>
        <w:gridCol w:w="2375"/>
        <w:gridCol w:w="1786"/>
        <w:gridCol w:w="1668"/>
        <w:gridCol w:w="2805"/>
      </w:tblGrid>
      <w:tr w14:paraId="3AB6E2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51" w:type="pct"/>
            <w:vAlign w:val="center"/>
          </w:tcPr>
          <w:p w14:paraId="0AB7E4D8">
            <w:pPr>
              <w:spacing w:line="320" w:lineRule="exact"/>
              <w:ind w:firstLine="0" w:firstLineChars="0"/>
              <w:jc w:val="center"/>
              <w:rPr>
                <w:snapToGrid w:val="0"/>
                <w:color w:val="auto"/>
                <w:kern w:val="0"/>
                <w:sz w:val="21"/>
                <w:szCs w:val="21"/>
              </w:rPr>
            </w:pPr>
            <w:r>
              <w:rPr>
                <w:rFonts w:hint="eastAsia"/>
                <w:color w:val="auto"/>
                <w:sz w:val="21"/>
                <w:szCs w:val="21"/>
              </w:rPr>
              <w:t>序号</w:t>
            </w:r>
          </w:p>
        </w:tc>
        <w:tc>
          <w:tcPr>
            <w:tcW w:w="1278" w:type="pct"/>
            <w:vAlign w:val="center"/>
          </w:tcPr>
          <w:p w14:paraId="50587382">
            <w:pPr>
              <w:spacing w:line="320" w:lineRule="exact"/>
              <w:ind w:firstLine="0" w:firstLineChars="0"/>
              <w:jc w:val="center"/>
              <w:rPr>
                <w:snapToGrid w:val="0"/>
                <w:color w:val="auto"/>
                <w:kern w:val="0"/>
                <w:sz w:val="21"/>
                <w:szCs w:val="21"/>
              </w:rPr>
            </w:pPr>
            <w:r>
              <w:rPr>
                <w:rFonts w:hint="eastAsia"/>
                <w:color w:val="auto"/>
                <w:sz w:val="21"/>
                <w:szCs w:val="21"/>
              </w:rPr>
              <w:t>污染物名称</w:t>
            </w:r>
          </w:p>
        </w:tc>
        <w:tc>
          <w:tcPr>
            <w:tcW w:w="961" w:type="pct"/>
            <w:vAlign w:val="center"/>
          </w:tcPr>
          <w:p w14:paraId="67548C29">
            <w:pPr>
              <w:widowControl/>
              <w:spacing w:line="320" w:lineRule="exact"/>
              <w:ind w:firstLine="0" w:firstLineChars="0"/>
              <w:jc w:val="center"/>
              <w:textAlignment w:val="top"/>
              <w:rPr>
                <w:color w:val="auto"/>
                <w:sz w:val="21"/>
                <w:szCs w:val="21"/>
              </w:rPr>
            </w:pPr>
            <w:r>
              <w:rPr>
                <w:rFonts w:hint="eastAsia"/>
                <w:color w:val="auto"/>
                <w:sz w:val="21"/>
                <w:szCs w:val="21"/>
              </w:rPr>
              <w:t>设计进水水质标准限值</w:t>
            </w:r>
          </w:p>
        </w:tc>
        <w:tc>
          <w:tcPr>
            <w:tcW w:w="898" w:type="pct"/>
            <w:vAlign w:val="center"/>
          </w:tcPr>
          <w:p w14:paraId="68B217C6">
            <w:pPr>
              <w:widowControl/>
              <w:spacing w:line="320" w:lineRule="exact"/>
              <w:ind w:firstLine="0" w:firstLineChars="0"/>
              <w:jc w:val="center"/>
              <w:textAlignment w:val="top"/>
              <w:rPr>
                <w:snapToGrid w:val="0"/>
                <w:color w:val="auto"/>
                <w:kern w:val="0"/>
                <w:sz w:val="21"/>
                <w:szCs w:val="21"/>
              </w:rPr>
            </w:pPr>
            <w:r>
              <w:rPr>
                <w:rFonts w:hint="eastAsia"/>
                <w:color w:val="auto"/>
                <w:sz w:val="21"/>
                <w:szCs w:val="21"/>
              </w:rPr>
              <w:t>设计</w:t>
            </w:r>
            <w:r>
              <w:rPr>
                <w:rFonts w:hint="eastAsia"/>
                <w:color w:val="auto"/>
                <w:sz w:val="21"/>
                <w:szCs w:val="21"/>
                <w:lang w:val="en-US" w:eastAsia="zh-CN"/>
              </w:rPr>
              <w:t>出</w:t>
            </w:r>
            <w:r>
              <w:rPr>
                <w:rFonts w:hint="eastAsia"/>
                <w:color w:val="auto"/>
                <w:sz w:val="21"/>
                <w:szCs w:val="21"/>
              </w:rPr>
              <w:t>水水质限值</w:t>
            </w:r>
          </w:p>
        </w:tc>
        <w:tc>
          <w:tcPr>
            <w:tcW w:w="1510" w:type="pct"/>
            <w:vAlign w:val="center"/>
          </w:tcPr>
          <w:p w14:paraId="10F26BAF">
            <w:pPr>
              <w:widowControl/>
              <w:spacing w:line="320" w:lineRule="exact"/>
              <w:ind w:firstLine="0" w:firstLineChars="0"/>
              <w:jc w:val="center"/>
              <w:textAlignment w:val="top"/>
              <w:rPr>
                <w:rFonts w:hint="eastAsia" w:eastAsia="宋体"/>
                <w:color w:val="auto"/>
                <w:sz w:val="21"/>
                <w:szCs w:val="21"/>
                <w:lang w:val="en-US" w:eastAsia="zh-CN"/>
              </w:rPr>
            </w:pPr>
            <w:r>
              <w:rPr>
                <w:rFonts w:hint="eastAsia"/>
                <w:color w:val="auto"/>
                <w:sz w:val="21"/>
                <w:szCs w:val="21"/>
              </w:rPr>
              <w:t>《页岩气开采水污染物排放标准》（DB50/1806-2025）间接排放标准限值</w:t>
            </w:r>
          </w:p>
        </w:tc>
      </w:tr>
      <w:tr w14:paraId="7B6624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51" w:type="pct"/>
            <w:vAlign w:val="center"/>
          </w:tcPr>
          <w:p w14:paraId="37FD5CC4">
            <w:pPr>
              <w:widowControl/>
              <w:kinsoku w:val="0"/>
              <w:autoSpaceDE w:val="0"/>
              <w:autoSpaceDN w:val="0"/>
              <w:spacing w:line="240" w:lineRule="auto"/>
              <w:ind w:firstLine="0" w:firstLineChars="0"/>
              <w:jc w:val="center"/>
              <w:textAlignment w:val="baseline"/>
              <w:rPr>
                <w:rFonts w:eastAsia="Times New Roman"/>
                <w:color w:val="auto"/>
                <w:sz w:val="21"/>
                <w:szCs w:val="21"/>
                <w:lang w:eastAsia="en-US"/>
              </w:rPr>
            </w:pPr>
            <w:r>
              <w:rPr>
                <w:rFonts w:hint="eastAsia" w:eastAsia="Times New Roman"/>
                <w:color w:val="auto"/>
                <w:kern w:val="21"/>
                <w:sz w:val="21"/>
                <w:szCs w:val="21"/>
                <w:lang w:eastAsia="en-US"/>
              </w:rPr>
              <w:t>1</w:t>
            </w:r>
          </w:p>
        </w:tc>
        <w:tc>
          <w:tcPr>
            <w:tcW w:w="1278" w:type="pct"/>
            <w:vAlign w:val="center"/>
          </w:tcPr>
          <w:p w14:paraId="09024AE3">
            <w:pPr>
              <w:spacing w:line="240" w:lineRule="auto"/>
              <w:ind w:firstLine="0" w:firstLineChars="0"/>
              <w:jc w:val="center"/>
              <w:rPr>
                <w:rFonts w:eastAsia="Times New Roman"/>
                <w:color w:val="auto"/>
                <w:sz w:val="21"/>
                <w:szCs w:val="21"/>
                <w:lang w:eastAsia="en-US"/>
              </w:rPr>
            </w:pPr>
            <w:r>
              <w:rPr>
                <w:rFonts w:hint="eastAsia" w:eastAsia="Times New Roman"/>
                <w:color w:val="auto"/>
                <w:sz w:val="21"/>
                <w:szCs w:val="21"/>
                <w:lang w:eastAsia="en-US"/>
              </w:rPr>
              <w:t>pH</w:t>
            </w:r>
            <w:r>
              <w:rPr>
                <w:rFonts w:hint="eastAsia" w:ascii="宋体" w:hAnsi="宋体" w:cs="宋体"/>
                <w:color w:val="auto"/>
                <w:sz w:val="21"/>
                <w:szCs w:val="21"/>
                <w:lang w:eastAsia="en-US"/>
              </w:rPr>
              <w:t>（无量纲）</w:t>
            </w:r>
          </w:p>
        </w:tc>
        <w:tc>
          <w:tcPr>
            <w:tcW w:w="961" w:type="pct"/>
            <w:vAlign w:val="center"/>
          </w:tcPr>
          <w:p w14:paraId="446FDAF2">
            <w:pPr>
              <w:spacing w:line="240" w:lineRule="auto"/>
              <w:ind w:firstLine="0" w:firstLineChars="0"/>
              <w:jc w:val="center"/>
              <w:rPr>
                <w:color w:val="auto"/>
                <w:sz w:val="21"/>
                <w:szCs w:val="21"/>
              </w:rPr>
            </w:pPr>
            <w:r>
              <w:rPr>
                <w:rFonts w:hint="eastAsia"/>
                <w:color w:val="auto"/>
                <w:sz w:val="21"/>
                <w:szCs w:val="21"/>
              </w:rPr>
              <w:t>6~13</w:t>
            </w:r>
          </w:p>
        </w:tc>
        <w:tc>
          <w:tcPr>
            <w:tcW w:w="898" w:type="pct"/>
            <w:vAlign w:val="center"/>
          </w:tcPr>
          <w:p w14:paraId="000A5062">
            <w:pPr>
              <w:spacing w:line="240" w:lineRule="auto"/>
              <w:ind w:firstLine="0" w:firstLineChars="0"/>
              <w:jc w:val="center"/>
              <w:rPr>
                <w:rFonts w:eastAsia="Times New Roman"/>
                <w:color w:val="auto"/>
                <w:sz w:val="21"/>
                <w:szCs w:val="21"/>
                <w:lang w:eastAsia="en-US"/>
              </w:rPr>
            </w:pPr>
            <w:r>
              <w:rPr>
                <w:rFonts w:hint="eastAsia" w:eastAsia="Times New Roman"/>
                <w:color w:val="auto"/>
                <w:sz w:val="21"/>
                <w:szCs w:val="21"/>
                <w:lang w:eastAsia="en-US"/>
              </w:rPr>
              <w:t>6-9</w:t>
            </w:r>
          </w:p>
        </w:tc>
        <w:tc>
          <w:tcPr>
            <w:tcW w:w="1510" w:type="pct"/>
            <w:shd w:val="clear" w:color="auto" w:fill="auto"/>
            <w:vAlign w:val="center"/>
          </w:tcPr>
          <w:p w14:paraId="24BB9CB4">
            <w:pPr>
              <w:spacing w:line="240" w:lineRule="auto"/>
              <w:ind w:firstLine="0" w:firstLineChars="0"/>
              <w:jc w:val="center"/>
              <w:rPr>
                <w:rFonts w:ascii="Times New Roman" w:hAnsi="Times New Roman" w:eastAsia="Times New Roman" w:cs="Times New Roman"/>
                <w:color w:val="auto"/>
                <w:kern w:val="2"/>
                <w:sz w:val="21"/>
                <w:szCs w:val="21"/>
                <w:lang w:val="en-US" w:eastAsia="en-US" w:bidi="ar-SA"/>
              </w:rPr>
            </w:pPr>
            <w:r>
              <w:rPr>
                <w:rFonts w:hint="eastAsia" w:eastAsia="Times New Roman"/>
                <w:color w:val="auto"/>
                <w:sz w:val="21"/>
                <w:szCs w:val="21"/>
                <w:lang w:eastAsia="en-US"/>
              </w:rPr>
              <w:t>6-9</w:t>
            </w:r>
          </w:p>
        </w:tc>
      </w:tr>
      <w:tr w14:paraId="349B1F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51" w:type="pct"/>
            <w:vAlign w:val="center"/>
          </w:tcPr>
          <w:p w14:paraId="4009C321">
            <w:pPr>
              <w:widowControl/>
              <w:kinsoku w:val="0"/>
              <w:autoSpaceDE w:val="0"/>
              <w:autoSpaceDN w:val="0"/>
              <w:spacing w:line="240" w:lineRule="auto"/>
              <w:ind w:firstLine="0" w:firstLineChars="0"/>
              <w:jc w:val="center"/>
              <w:textAlignment w:val="baseline"/>
              <w:rPr>
                <w:rFonts w:eastAsia="Times New Roman"/>
                <w:color w:val="auto"/>
                <w:sz w:val="21"/>
                <w:szCs w:val="21"/>
                <w:lang w:eastAsia="en-US"/>
              </w:rPr>
            </w:pPr>
            <w:r>
              <w:rPr>
                <w:rFonts w:hint="eastAsia" w:eastAsia="Times New Roman"/>
                <w:color w:val="auto"/>
                <w:kern w:val="21"/>
                <w:sz w:val="21"/>
                <w:szCs w:val="21"/>
                <w:lang w:eastAsia="en-US"/>
              </w:rPr>
              <w:t>2</w:t>
            </w:r>
          </w:p>
        </w:tc>
        <w:tc>
          <w:tcPr>
            <w:tcW w:w="1278" w:type="pct"/>
            <w:vAlign w:val="center"/>
          </w:tcPr>
          <w:p w14:paraId="68AE1B2C">
            <w:pPr>
              <w:spacing w:line="240" w:lineRule="auto"/>
              <w:ind w:firstLine="0" w:firstLineChars="0"/>
              <w:jc w:val="center"/>
              <w:rPr>
                <w:color w:val="auto"/>
                <w:sz w:val="21"/>
                <w:szCs w:val="21"/>
              </w:rPr>
            </w:pPr>
            <w:r>
              <w:rPr>
                <w:rFonts w:hint="eastAsia" w:ascii="宋体" w:hAnsi="宋体" w:cs="宋体"/>
                <w:color w:val="auto"/>
                <w:sz w:val="21"/>
                <w:szCs w:val="21"/>
                <w:lang w:eastAsia="en-US"/>
              </w:rPr>
              <w:t>色度</w:t>
            </w:r>
            <w:r>
              <w:rPr>
                <w:rFonts w:hint="eastAsia"/>
                <w:color w:val="auto"/>
                <w:sz w:val="21"/>
                <w:szCs w:val="21"/>
              </w:rPr>
              <w:t>（稀释倍数）</w:t>
            </w:r>
          </w:p>
        </w:tc>
        <w:tc>
          <w:tcPr>
            <w:tcW w:w="961" w:type="pct"/>
            <w:vAlign w:val="center"/>
          </w:tcPr>
          <w:p w14:paraId="03355612">
            <w:pPr>
              <w:spacing w:line="240" w:lineRule="auto"/>
              <w:ind w:firstLine="0" w:firstLineChars="0"/>
              <w:jc w:val="center"/>
              <w:rPr>
                <w:color w:val="auto"/>
                <w:sz w:val="21"/>
                <w:szCs w:val="21"/>
              </w:rPr>
            </w:pPr>
            <w:r>
              <w:rPr>
                <w:rFonts w:hint="eastAsia"/>
                <w:color w:val="auto"/>
                <w:sz w:val="21"/>
                <w:szCs w:val="21"/>
              </w:rPr>
              <w:t>200</w:t>
            </w:r>
          </w:p>
        </w:tc>
        <w:tc>
          <w:tcPr>
            <w:tcW w:w="898" w:type="pct"/>
            <w:vAlign w:val="center"/>
          </w:tcPr>
          <w:p w14:paraId="25D7C146">
            <w:pPr>
              <w:spacing w:line="240" w:lineRule="auto"/>
              <w:ind w:firstLine="0" w:firstLineChars="0"/>
              <w:jc w:val="center"/>
              <w:rPr>
                <w:rFonts w:eastAsia="Times New Roman"/>
                <w:color w:val="auto"/>
                <w:sz w:val="21"/>
                <w:szCs w:val="21"/>
                <w:lang w:eastAsia="en-US"/>
              </w:rPr>
            </w:pPr>
            <w:r>
              <w:rPr>
                <w:rFonts w:hint="eastAsia" w:eastAsia="Times New Roman"/>
                <w:color w:val="auto"/>
                <w:sz w:val="21"/>
                <w:szCs w:val="21"/>
                <w:lang w:eastAsia="en-US"/>
              </w:rPr>
              <w:t>64</w:t>
            </w:r>
          </w:p>
        </w:tc>
        <w:tc>
          <w:tcPr>
            <w:tcW w:w="1510" w:type="pct"/>
            <w:shd w:val="clear" w:color="auto" w:fill="auto"/>
            <w:vAlign w:val="center"/>
          </w:tcPr>
          <w:p w14:paraId="7232C358">
            <w:pPr>
              <w:spacing w:line="240" w:lineRule="auto"/>
              <w:ind w:firstLine="0" w:firstLineChars="0"/>
              <w:jc w:val="center"/>
              <w:rPr>
                <w:rFonts w:ascii="Times New Roman" w:hAnsi="Times New Roman" w:eastAsia="Times New Roman" w:cs="Times New Roman"/>
                <w:color w:val="auto"/>
                <w:kern w:val="2"/>
                <w:sz w:val="21"/>
                <w:szCs w:val="21"/>
                <w:lang w:val="en-US" w:eastAsia="en-US" w:bidi="ar-SA"/>
              </w:rPr>
            </w:pPr>
            <w:r>
              <w:rPr>
                <w:rFonts w:hint="eastAsia" w:eastAsia="Times New Roman"/>
                <w:color w:val="auto"/>
                <w:sz w:val="21"/>
                <w:szCs w:val="21"/>
                <w:lang w:eastAsia="en-US"/>
              </w:rPr>
              <w:t>64</w:t>
            </w:r>
          </w:p>
        </w:tc>
      </w:tr>
      <w:tr w14:paraId="65C11A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51" w:type="pct"/>
            <w:vAlign w:val="center"/>
          </w:tcPr>
          <w:p w14:paraId="1B40A613">
            <w:pPr>
              <w:widowControl/>
              <w:kinsoku w:val="0"/>
              <w:autoSpaceDE w:val="0"/>
              <w:autoSpaceDN w:val="0"/>
              <w:spacing w:line="240" w:lineRule="auto"/>
              <w:ind w:firstLine="0" w:firstLineChars="0"/>
              <w:jc w:val="center"/>
              <w:textAlignment w:val="baseline"/>
              <w:rPr>
                <w:rFonts w:eastAsia="Times New Roman"/>
                <w:color w:val="auto"/>
                <w:sz w:val="21"/>
                <w:szCs w:val="21"/>
                <w:lang w:eastAsia="en-US"/>
              </w:rPr>
            </w:pPr>
            <w:r>
              <w:rPr>
                <w:rFonts w:hint="eastAsia" w:eastAsia="Times New Roman"/>
                <w:color w:val="auto"/>
                <w:kern w:val="21"/>
                <w:sz w:val="21"/>
                <w:szCs w:val="21"/>
                <w:lang w:eastAsia="en-US"/>
              </w:rPr>
              <w:t>3</w:t>
            </w:r>
          </w:p>
        </w:tc>
        <w:tc>
          <w:tcPr>
            <w:tcW w:w="1278" w:type="pct"/>
            <w:vAlign w:val="center"/>
          </w:tcPr>
          <w:p w14:paraId="131ED624">
            <w:pPr>
              <w:spacing w:line="240" w:lineRule="auto"/>
              <w:ind w:firstLine="0" w:firstLineChars="0"/>
              <w:jc w:val="center"/>
              <w:rPr>
                <w:color w:val="auto"/>
                <w:sz w:val="21"/>
                <w:szCs w:val="21"/>
              </w:rPr>
            </w:pPr>
            <w:r>
              <w:rPr>
                <w:rFonts w:hint="eastAsia" w:ascii="宋体" w:hAnsi="宋体" w:cs="宋体"/>
                <w:color w:val="auto"/>
                <w:sz w:val="21"/>
                <w:szCs w:val="21"/>
                <w:lang w:eastAsia="en-US"/>
              </w:rPr>
              <w:t>悬浮物</w:t>
            </w:r>
            <w:r>
              <w:rPr>
                <w:rFonts w:hint="eastAsia"/>
                <w:color w:val="auto"/>
                <w:sz w:val="21"/>
                <w:szCs w:val="21"/>
              </w:rPr>
              <w:t>（SS）</w:t>
            </w:r>
          </w:p>
        </w:tc>
        <w:tc>
          <w:tcPr>
            <w:tcW w:w="961" w:type="pct"/>
            <w:vAlign w:val="center"/>
          </w:tcPr>
          <w:p w14:paraId="5D2DE806">
            <w:pPr>
              <w:spacing w:line="240" w:lineRule="auto"/>
              <w:ind w:firstLine="0" w:firstLineChars="0"/>
              <w:jc w:val="center"/>
              <w:rPr>
                <w:color w:val="auto"/>
                <w:sz w:val="21"/>
                <w:szCs w:val="21"/>
              </w:rPr>
            </w:pPr>
            <w:r>
              <w:rPr>
                <w:rFonts w:hint="eastAsia"/>
                <w:color w:val="auto"/>
                <w:sz w:val="21"/>
                <w:szCs w:val="21"/>
                <w:lang w:val="en-US" w:eastAsia="zh-CN"/>
              </w:rPr>
              <w:t>5</w:t>
            </w:r>
            <w:r>
              <w:rPr>
                <w:rFonts w:hint="eastAsia"/>
                <w:color w:val="auto"/>
                <w:sz w:val="21"/>
                <w:szCs w:val="21"/>
              </w:rPr>
              <w:t>00</w:t>
            </w:r>
          </w:p>
        </w:tc>
        <w:tc>
          <w:tcPr>
            <w:tcW w:w="898" w:type="pct"/>
            <w:vAlign w:val="center"/>
          </w:tcPr>
          <w:p w14:paraId="20CC6F99">
            <w:pPr>
              <w:spacing w:line="240" w:lineRule="auto"/>
              <w:ind w:firstLine="0" w:firstLineChars="0"/>
              <w:jc w:val="center"/>
              <w:rPr>
                <w:rFonts w:eastAsia="Times New Roman"/>
                <w:color w:val="auto"/>
                <w:sz w:val="21"/>
                <w:szCs w:val="21"/>
                <w:lang w:eastAsia="en-US"/>
              </w:rPr>
            </w:pPr>
            <w:r>
              <w:rPr>
                <w:rFonts w:hint="eastAsia" w:eastAsia="Times New Roman"/>
                <w:color w:val="auto"/>
                <w:sz w:val="21"/>
                <w:szCs w:val="21"/>
                <w:lang w:eastAsia="en-US"/>
              </w:rPr>
              <w:t>400</w:t>
            </w:r>
          </w:p>
        </w:tc>
        <w:tc>
          <w:tcPr>
            <w:tcW w:w="1510" w:type="pct"/>
            <w:shd w:val="clear" w:color="auto" w:fill="auto"/>
            <w:vAlign w:val="center"/>
          </w:tcPr>
          <w:p w14:paraId="4F7D5580">
            <w:pPr>
              <w:spacing w:line="240" w:lineRule="auto"/>
              <w:ind w:firstLine="0" w:firstLineChars="0"/>
              <w:jc w:val="center"/>
              <w:rPr>
                <w:rFonts w:ascii="Times New Roman" w:hAnsi="Times New Roman" w:eastAsia="Times New Roman" w:cs="Times New Roman"/>
                <w:color w:val="auto"/>
                <w:kern w:val="2"/>
                <w:sz w:val="21"/>
                <w:szCs w:val="21"/>
                <w:lang w:val="en-US" w:eastAsia="en-US" w:bidi="ar-SA"/>
              </w:rPr>
            </w:pPr>
            <w:r>
              <w:rPr>
                <w:rFonts w:hint="eastAsia" w:eastAsia="Times New Roman"/>
                <w:color w:val="auto"/>
                <w:sz w:val="21"/>
                <w:szCs w:val="21"/>
                <w:lang w:eastAsia="en-US"/>
              </w:rPr>
              <w:t>400</w:t>
            </w:r>
          </w:p>
        </w:tc>
      </w:tr>
      <w:tr w14:paraId="6B8939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51" w:type="pct"/>
            <w:vAlign w:val="center"/>
          </w:tcPr>
          <w:p w14:paraId="41071CF6">
            <w:pPr>
              <w:widowControl/>
              <w:kinsoku w:val="0"/>
              <w:autoSpaceDE w:val="0"/>
              <w:autoSpaceDN w:val="0"/>
              <w:spacing w:line="240" w:lineRule="auto"/>
              <w:ind w:firstLine="0" w:firstLineChars="0"/>
              <w:jc w:val="center"/>
              <w:textAlignment w:val="baseline"/>
              <w:rPr>
                <w:rFonts w:eastAsia="Times New Roman"/>
                <w:color w:val="auto"/>
                <w:sz w:val="21"/>
                <w:szCs w:val="21"/>
                <w:lang w:eastAsia="en-US"/>
              </w:rPr>
            </w:pPr>
            <w:r>
              <w:rPr>
                <w:rFonts w:hint="eastAsia" w:eastAsia="Times New Roman"/>
                <w:color w:val="auto"/>
                <w:kern w:val="21"/>
                <w:sz w:val="21"/>
                <w:szCs w:val="21"/>
                <w:lang w:eastAsia="en-US"/>
              </w:rPr>
              <w:t>4</w:t>
            </w:r>
          </w:p>
        </w:tc>
        <w:tc>
          <w:tcPr>
            <w:tcW w:w="1278" w:type="pct"/>
            <w:vAlign w:val="center"/>
          </w:tcPr>
          <w:p w14:paraId="1C9ADAC7">
            <w:pPr>
              <w:spacing w:line="240" w:lineRule="auto"/>
              <w:ind w:firstLine="0" w:firstLineChars="0"/>
              <w:jc w:val="center"/>
              <w:rPr>
                <w:color w:val="auto"/>
                <w:sz w:val="21"/>
                <w:szCs w:val="21"/>
              </w:rPr>
            </w:pPr>
            <w:r>
              <w:rPr>
                <w:rFonts w:hint="eastAsia"/>
                <w:color w:val="auto"/>
                <w:sz w:val="21"/>
                <w:szCs w:val="21"/>
              </w:rPr>
              <w:t>化学需氧量（</w:t>
            </w:r>
            <w:r>
              <w:rPr>
                <w:rFonts w:hint="eastAsia" w:eastAsia="Times New Roman"/>
                <w:color w:val="auto"/>
                <w:sz w:val="21"/>
                <w:szCs w:val="21"/>
              </w:rPr>
              <w:t>COD</w:t>
            </w:r>
            <w:r>
              <w:rPr>
                <w:rFonts w:hint="eastAsia"/>
                <w:color w:val="auto"/>
                <w:sz w:val="21"/>
                <w:szCs w:val="21"/>
              </w:rPr>
              <w:t>）</w:t>
            </w:r>
          </w:p>
        </w:tc>
        <w:tc>
          <w:tcPr>
            <w:tcW w:w="961" w:type="pct"/>
            <w:vAlign w:val="center"/>
          </w:tcPr>
          <w:p w14:paraId="02BA0249">
            <w:pPr>
              <w:spacing w:line="240" w:lineRule="auto"/>
              <w:ind w:firstLine="0" w:firstLineChars="0"/>
              <w:jc w:val="center"/>
              <w:rPr>
                <w:color w:val="auto"/>
                <w:sz w:val="21"/>
                <w:szCs w:val="21"/>
              </w:rPr>
            </w:pPr>
            <w:r>
              <w:rPr>
                <w:rFonts w:hint="eastAsia"/>
                <w:color w:val="auto"/>
                <w:sz w:val="21"/>
                <w:szCs w:val="21"/>
              </w:rPr>
              <w:t>2000</w:t>
            </w:r>
          </w:p>
        </w:tc>
        <w:tc>
          <w:tcPr>
            <w:tcW w:w="898" w:type="pct"/>
            <w:vAlign w:val="center"/>
          </w:tcPr>
          <w:p w14:paraId="23A53847">
            <w:pPr>
              <w:spacing w:line="240" w:lineRule="auto"/>
              <w:ind w:firstLine="0" w:firstLineChars="0"/>
              <w:jc w:val="center"/>
              <w:rPr>
                <w:rFonts w:eastAsia="Times New Roman"/>
                <w:color w:val="auto"/>
                <w:sz w:val="21"/>
                <w:szCs w:val="21"/>
                <w:lang w:eastAsia="en-US"/>
              </w:rPr>
            </w:pPr>
            <w:r>
              <w:rPr>
                <w:rFonts w:hint="eastAsia" w:eastAsia="Times New Roman"/>
                <w:color w:val="auto"/>
                <w:sz w:val="21"/>
                <w:szCs w:val="21"/>
                <w:lang w:eastAsia="en-US"/>
              </w:rPr>
              <w:t>500</w:t>
            </w:r>
          </w:p>
        </w:tc>
        <w:tc>
          <w:tcPr>
            <w:tcW w:w="1510" w:type="pct"/>
            <w:shd w:val="clear" w:color="auto" w:fill="auto"/>
            <w:vAlign w:val="center"/>
          </w:tcPr>
          <w:p w14:paraId="06F8E434">
            <w:pPr>
              <w:spacing w:line="240" w:lineRule="auto"/>
              <w:ind w:firstLine="0" w:firstLineChars="0"/>
              <w:jc w:val="center"/>
              <w:rPr>
                <w:rFonts w:ascii="Times New Roman" w:hAnsi="Times New Roman" w:eastAsia="Times New Roman" w:cs="Times New Roman"/>
                <w:color w:val="auto"/>
                <w:kern w:val="2"/>
                <w:sz w:val="21"/>
                <w:szCs w:val="21"/>
                <w:lang w:val="en-US" w:eastAsia="en-US" w:bidi="ar-SA"/>
              </w:rPr>
            </w:pPr>
            <w:r>
              <w:rPr>
                <w:rFonts w:hint="eastAsia" w:eastAsia="Times New Roman"/>
                <w:color w:val="auto"/>
                <w:sz w:val="21"/>
                <w:szCs w:val="21"/>
                <w:lang w:eastAsia="en-US"/>
              </w:rPr>
              <w:t>500</w:t>
            </w:r>
          </w:p>
        </w:tc>
      </w:tr>
      <w:tr w14:paraId="2927D9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51" w:type="pct"/>
            <w:vAlign w:val="center"/>
          </w:tcPr>
          <w:p w14:paraId="1FBF736A">
            <w:pPr>
              <w:widowControl/>
              <w:kinsoku w:val="0"/>
              <w:autoSpaceDE w:val="0"/>
              <w:autoSpaceDN w:val="0"/>
              <w:spacing w:line="240" w:lineRule="auto"/>
              <w:ind w:firstLine="0" w:firstLineChars="0"/>
              <w:jc w:val="center"/>
              <w:textAlignment w:val="baseline"/>
              <w:rPr>
                <w:rFonts w:eastAsia="Times New Roman"/>
                <w:color w:val="auto"/>
                <w:sz w:val="21"/>
                <w:szCs w:val="21"/>
                <w:lang w:eastAsia="en-US"/>
              </w:rPr>
            </w:pPr>
            <w:r>
              <w:rPr>
                <w:rFonts w:hint="eastAsia" w:eastAsia="Times New Roman"/>
                <w:color w:val="auto"/>
                <w:kern w:val="21"/>
                <w:sz w:val="21"/>
                <w:szCs w:val="21"/>
                <w:lang w:eastAsia="en-US"/>
              </w:rPr>
              <w:t>5</w:t>
            </w:r>
          </w:p>
        </w:tc>
        <w:tc>
          <w:tcPr>
            <w:tcW w:w="1278" w:type="pct"/>
            <w:vAlign w:val="center"/>
          </w:tcPr>
          <w:p w14:paraId="7A3D5AAB">
            <w:pPr>
              <w:spacing w:line="240" w:lineRule="auto"/>
              <w:ind w:firstLine="0" w:firstLineChars="0"/>
              <w:jc w:val="center"/>
              <w:rPr>
                <w:rFonts w:eastAsia="Times New Roman"/>
                <w:color w:val="auto"/>
                <w:sz w:val="21"/>
                <w:szCs w:val="21"/>
                <w:lang w:eastAsia="en-US"/>
              </w:rPr>
            </w:pPr>
            <w:r>
              <w:rPr>
                <w:rFonts w:hint="eastAsia"/>
                <w:color w:val="auto"/>
                <w:sz w:val="21"/>
                <w:szCs w:val="21"/>
              </w:rPr>
              <w:t>五日生化需氧量（</w:t>
            </w:r>
            <w:r>
              <w:rPr>
                <w:rFonts w:hint="eastAsia" w:eastAsia="Times New Roman"/>
                <w:color w:val="auto"/>
                <w:sz w:val="21"/>
                <w:szCs w:val="21"/>
                <w:lang w:eastAsia="en-US"/>
              </w:rPr>
              <w:t>BOD</w:t>
            </w:r>
            <w:r>
              <w:rPr>
                <w:rFonts w:hint="eastAsia" w:eastAsia="Times New Roman"/>
                <w:color w:val="auto"/>
                <w:sz w:val="21"/>
                <w:szCs w:val="21"/>
                <w:vertAlign w:val="subscript"/>
                <w:lang w:eastAsia="en-US"/>
              </w:rPr>
              <w:t>5</w:t>
            </w:r>
            <w:r>
              <w:rPr>
                <w:rFonts w:hint="eastAsia"/>
                <w:color w:val="auto"/>
                <w:sz w:val="21"/>
                <w:szCs w:val="21"/>
              </w:rPr>
              <w:t>）</w:t>
            </w:r>
          </w:p>
        </w:tc>
        <w:tc>
          <w:tcPr>
            <w:tcW w:w="961" w:type="pct"/>
            <w:vAlign w:val="center"/>
          </w:tcPr>
          <w:p w14:paraId="68AB28C5">
            <w:pPr>
              <w:spacing w:line="240" w:lineRule="auto"/>
              <w:ind w:firstLine="0" w:firstLineChars="0"/>
              <w:jc w:val="center"/>
              <w:rPr>
                <w:color w:val="auto"/>
                <w:sz w:val="21"/>
                <w:szCs w:val="21"/>
              </w:rPr>
            </w:pPr>
            <w:r>
              <w:rPr>
                <w:rFonts w:hint="eastAsia"/>
                <w:color w:val="auto"/>
                <w:sz w:val="21"/>
                <w:szCs w:val="21"/>
                <w:lang w:val="en-US" w:eastAsia="zh-CN"/>
              </w:rPr>
              <w:t>5</w:t>
            </w:r>
            <w:r>
              <w:rPr>
                <w:rFonts w:hint="eastAsia"/>
                <w:color w:val="auto"/>
                <w:sz w:val="21"/>
                <w:szCs w:val="21"/>
              </w:rPr>
              <w:t>00</w:t>
            </w:r>
          </w:p>
        </w:tc>
        <w:tc>
          <w:tcPr>
            <w:tcW w:w="898" w:type="pct"/>
            <w:vAlign w:val="center"/>
          </w:tcPr>
          <w:p w14:paraId="1F48A809">
            <w:pPr>
              <w:spacing w:line="240" w:lineRule="auto"/>
              <w:ind w:firstLine="0" w:firstLineChars="0"/>
              <w:jc w:val="center"/>
              <w:rPr>
                <w:rFonts w:eastAsiaTheme="minorEastAsia"/>
                <w:color w:val="auto"/>
                <w:sz w:val="21"/>
                <w:szCs w:val="21"/>
              </w:rPr>
            </w:pPr>
            <w:r>
              <w:rPr>
                <w:rFonts w:hint="eastAsia" w:eastAsiaTheme="minorEastAsia"/>
                <w:color w:val="auto"/>
                <w:sz w:val="21"/>
                <w:szCs w:val="21"/>
              </w:rPr>
              <w:t>300</w:t>
            </w:r>
          </w:p>
        </w:tc>
        <w:tc>
          <w:tcPr>
            <w:tcW w:w="1510" w:type="pct"/>
            <w:shd w:val="clear" w:color="auto" w:fill="auto"/>
            <w:vAlign w:val="center"/>
          </w:tcPr>
          <w:p w14:paraId="124BE22A">
            <w:pPr>
              <w:spacing w:line="240" w:lineRule="auto"/>
              <w:ind w:firstLine="0" w:firstLineChars="0"/>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 w:val="21"/>
                <w:szCs w:val="21"/>
              </w:rPr>
              <w:t>300</w:t>
            </w:r>
          </w:p>
        </w:tc>
      </w:tr>
      <w:tr w14:paraId="25ABCD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51" w:type="pct"/>
            <w:vAlign w:val="center"/>
          </w:tcPr>
          <w:p w14:paraId="68985FA0">
            <w:pPr>
              <w:widowControl/>
              <w:kinsoku w:val="0"/>
              <w:autoSpaceDE w:val="0"/>
              <w:autoSpaceDN w:val="0"/>
              <w:spacing w:line="240" w:lineRule="auto"/>
              <w:ind w:firstLine="0" w:firstLineChars="0"/>
              <w:jc w:val="center"/>
              <w:textAlignment w:val="baseline"/>
              <w:rPr>
                <w:rFonts w:eastAsia="Times New Roman"/>
                <w:color w:val="auto"/>
                <w:sz w:val="21"/>
                <w:szCs w:val="21"/>
                <w:lang w:eastAsia="en-US"/>
              </w:rPr>
            </w:pPr>
            <w:r>
              <w:rPr>
                <w:rFonts w:hint="eastAsia" w:eastAsia="Times New Roman"/>
                <w:color w:val="auto"/>
                <w:kern w:val="21"/>
                <w:sz w:val="21"/>
                <w:szCs w:val="21"/>
                <w:lang w:eastAsia="en-US"/>
              </w:rPr>
              <w:t>6</w:t>
            </w:r>
          </w:p>
        </w:tc>
        <w:tc>
          <w:tcPr>
            <w:tcW w:w="1278" w:type="pct"/>
            <w:vAlign w:val="center"/>
          </w:tcPr>
          <w:p w14:paraId="2F260EF5">
            <w:pPr>
              <w:spacing w:line="240" w:lineRule="auto"/>
              <w:ind w:firstLine="0" w:firstLineChars="0"/>
              <w:jc w:val="center"/>
              <w:rPr>
                <w:color w:val="auto"/>
                <w:sz w:val="21"/>
                <w:szCs w:val="21"/>
              </w:rPr>
            </w:pPr>
            <w:r>
              <w:rPr>
                <w:rFonts w:hint="eastAsia"/>
                <w:color w:val="auto"/>
                <w:sz w:val="21"/>
                <w:szCs w:val="21"/>
                <w:lang w:eastAsia="en-US"/>
              </w:rPr>
              <w:t>氨氮</w:t>
            </w:r>
            <w:r>
              <w:rPr>
                <w:rFonts w:hint="eastAsia"/>
                <w:color w:val="auto"/>
                <w:sz w:val="21"/>
                <w:szCs w:val="21"/>
              </w:rPr>
              <w:t>（以N计）</w:t>
            </w:r>
          </w:p>
        </w:tc>
        <w:tc>
          <w:tcPr>
            <w:tcW w:w="961" w:type="pct"/>
            <w:vAlign w:val="center"/>
          </w:tcPr>
          <w:p w14:paraId="53A9DF35">
            <w:pPr>
              <w:spacing w:line="240" w:lineRule="auto"/>
              <w:ind w:firstLine="0" w:firstLineChars="0"/>
              <w:jc w:val="center"/>
              <w:rPr>
                <w:color w:val="auto"/>
                <w:sz w:val="21"/>
                <w:szCs w:val="21"/>
              </w:rPr>
            </w:pPr>
            <w:r>
              <w:rPr>
                <w:rFonts w:hint="eastAsia"/>
                <w:color w:val="auto"/>
                <w:sz w:val="21"/>
                <w:szCs w:val="21"/>
              </w:rPr>
              <w:t>100</w:t>
            </w:r>
          </w:p>
        </w:tc>
        <w:tc>
          <w:tcPr>
            <w:tcW w:w="898" w:type="pct"/>
            <w:vAlign w:val="center"/>
          </w:tcPr>
          <w:p w14:paraId="6A7E7449">
            <w:pPr>
              <w:spacing w:line="240" w:lineRule="auto"/>
              <w:ind w:firstLine="0" w:firstLineChars="0"/>
              <w:jc w:val="center"/>
              <w:rPr>
                <w:rFonts w:eastAsia="Times New Roman"/>
                <w:color w:val="auto"/>
                <w:sz w:val="21"/>
                <w:szCs w:val="21"/>
                <w:lang w:eastAsia="en-US"/>
              </w:rPr>
            </w:pPr>
            <w:r>
              <w:rPr>
                <w:rFonts w:hint="eastAsia" w:eastAsia="Times New Roman"/>
                <w:color w:val="auto"/>
                <w:sz w:val="21"/>
                <w:szCs w:val="21"/>
                <w:lang w:eastAsia="en-US"/>
              </w:rPr>
              <w:t>45</w:t>
            </w:r>
          </w:p>
        </w:tc>
        <w:tc>
          <w:tcPr>
            <w:tcW w:w="1510" w:type="pct"/>
            <w:shd w:val="clear" w:color="auto" w:fill="auto"/>
            <w:vAlign w:val="center"/>
          </w:tcPr>
          <w:p w14:paraId="66FAF868">
            <w:pPr>
              <w:spacing w:line="240" w:lineRule="auto"/>
              <w:ind w:firstLine="0" w:firstLineChars="0"/>
              <w:jc w:val="center"/>
              <w:rPr>
                <w:rFonts w:ascii="Times New Roman" w:hAnsi="Times New Roman" w:eastAsia="Times New Roman" w:cs="Times New Roman"/>
                <w:color w:val="auto"/>
                <w:kern w:val="2"/>
                <w:sz w:val="21"/>
                <w:szCs w:val="21"/>
                <w:lang w:val="en-US" w:eastAsia="en-US" w:bidi="ar-SA"/>
              </w:rPr>
            </w:pPr>
            <w:r>
              <w:rPr>
                <w:rFonts w:hint="eastAsia" w:eastAsia="Times New Roman"/>
                <w:color w:val="auto"/>
                <w:sz w:val="21"/>
                <w:szCs w:val="21"/>
                <w:lang w:eastAsia="en-US"/>
              </w:rPr>
              <w:t>45</w:t>
            </w:r>
          </w:p>
        </w:tc>
      </w:tr>
      <w:tr w14:paraId="099E88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51" w:type="pct"/>
            <w:vAlign w:val="center"/>
          </w:tcPr>
          <w:p w14:paraId="67F8FF9F">
            <w:pPr>
              <w:widowControl/>
              <w:kinsoku w:val="0"/>
              <w:autoSpaceDE w:val="0"/>
              <w:autoSpaceDN w:val="0"/>
              <w:spacing w:line="240" w:lineRule="auto"/>
              <w:ind w:firstLine="0" w:firstLineChars="0"/>
              <w:jc w:val="center"/>
              <w:textAlignment w:val="baseline"/>
              <w:rPr>
                <w:rFonts w:eastAsia="Times New Roman"/>
                <w:color w:val="auto"/>
                <w:sz w:val="21"/>
                <w:szCs w:val="21"/>
                <w:lang w:eastAsia="en-US"/>
              </w:rPr>
            </w:pPr>
            <w:r>
              <w:rPr>
                <w:rFonts w:hint="eastAsia" w:eastAsia="Times New Roman"/>
                <w:color w:val="auto"/>
                <w:kern w:val="21"/>
                <w:sz w:val="21"/>
                <w:szCs w:val="21"/>
                <w:lang w:eastAsia="en-US"/>
              </w:rPr>
              <w:t>7</w:t>
            </w:r>
          </w:p>
        </w:tc>
        <w:tc>
          <w:tcPr>
            <w:tcW w:w="1278" w:type="pct"/>
            <w:vAlign w:val="center"/>
          </w:tcPr>
          <w:p w14:paraId="0DF6C38A">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color w:val="auto"/>
                <w:kern w:val="21"/>
                <w:sz w:val="21"/>
                <w:szCs w:val="21"/>
                <w:lang w:eastAsia="en-US"/>
              </w:rPr>
              <w:t>总氮</w:t>
            </w:r>
            <w:r>
              <w:rPr>
                <w:rFonts w:hint="eastAsia"/>
                <w:color w:val="auto"/>
                <w:sz w:val="21"/>
                <w:szCs w:val="21"/>
              </w:rPr>
              <w:t>（以N计）</w:t>
            </w:r>
          </w:p>
        </w:tc>
        <w:tc>
          <w:tcPr>
            <w:tcW w:w="961" w:type="pct"/>
            <w:vAlign w:val="center"/>
          </w:tcPr>
          <w:p w14:paraId="07CC1D57">
            <w:pPr>
              <w:spacing w:line="240" w:lineRule="auto"/>
              <w:ind w:firstLine="0" w:firstLineChars="0"/>
              <w:jc w:val="center"/>
              <w:rPr>
                <w:color w:val="auto"/>
                <w:sz w:val="21"/>
                <w:szCs w:val="21"/>
              </w:rPr>
            </w:pPr>
            <w:r>
              <w:rPr>
                <w:rFonts w:hint="eastAsia"/>
                <w:color w:val="auto"/>
                <w:sz w:val="21"/>
                <w:szCs w:val="21"/>
              </w:rPr>
              <w:t>200</w:t>
            </w:r>
          </w:p>
        </w:tc>
        <w:tc>
          <w:tcPr>
            <w:tcW w:w="898" w:type="pct"/>
            <w:vAlign w:val="center"/>
          </w:tcPr>
          <w:p w14:paraId="3FA23E62">
            <w:pPr>
              <w:spacing w:line="240" w:lineRule="auto"/>
              <w:ind w:firstLine="0" w:firstLineChars="0"/>
              <w:jc w:val="center"/>
              <w:rPr>
                <w:rFonts w:eastAsia="Times New Roman"/>
                <w:color w:val="auto"/>
                <w:sz w:val="21"/>
                <w:szCs w:val="21"/>
                <w:lang w:eastAsia="en-US"/>
              </w:rPr>
            </w:pPr>
            <w:r>
              <w:rPr>
                <w:rFonts w:hint="eastAsia" w:eastAsia="Times New Roman"/>
                <w:color w:val="auto"/>
                <w:sz w:val="21"/>
                <w:szCs w:val="21"/>
                <w:lang w:eastAsia="en-US"/>
              </w:rPr>
              <w:t>70</w:t>
            </w:r>
          </w:p>
        </w:tc>
        <w:tc>
          <w:tcPr>
            <w:tcW w:w="1510" w:type="pct"/>
            <w:shd w:val="clear" w:color="auto" w:fill="auto"/>
            <w:vAlign w:val="center"/>
          </w:tcPr>
          <w:p w14:paraId="75630DEA">
            <w:pPr>
              <w:spacing w:line="240" w:lineRule="auto"/>
              <w:ind w:firstLine="0" w:firstLineChars="0"/>
              <w:jc w:val="center"/>
              <w:rPr>
                <w:rFonts w:ascii="Times New Roman" w:hAnsi="Times New Roman" w:eastAsia="Times New Roman" w:cs="Times New Roman"/>
                <w:color w:val="auto"/>
                <w:kern w:val="2"/>
                <w:sz w:val="21"/>
                <w:szCs w:val="21"/>
                <w:lang w:val="en-US" w:eastAsia="en-US" w:bidi="ar-SA"/>
              </w:rPr>
            </w:pPr>
            <w:r>
              <w:rPr>
                <w:rFonts w:hint="eastAsia" w:eastAsia="Times New Roman"/>
                <w:color w:val="auto"/>
                <w:sz w:val="21"/>
                <w:szCs w:val="21"/>
                <w:lang w:eastAsia="en-US"/>
              </w:rPr>
              <w:t>70</w:t>
            </w:r>
          </w:p>
        </w:tc>
      </w:tr>
      <w:tr w14:paraId="4C67DE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51" w:type="pct"/>
            <w:vAlign w:val="center"/>
          </w:tcPr>
          <w:p w14:paraId="02C917A4">
            <w:pPr>
              <w:widowControl/>
              <w:kinsoku w:val="0"/>
              <w:autoSpaceDE w:val="0"/>
              <w:autoSpaceDN w:val="0"/>
              <w:spacing w:line="240" w:lineRule="auto"/>
              <w:ind w:firstLine="0" w:firstLineChars="0"/>
              <w:jc w:val="center"/>
              <w:textAlignment w:val="baseline"/>
              <w:rPr>
                <w:rFonts w:eastAsia="Times New Roman"/>
                <w:color w:val="auto"/>
                <w:sz w:val="21"/>
                <w:szCs w:val="21"/>
                <w:lang w:eastAsia="en-US"/>
              </w:rPr>
            </w:pPr>
            <w:r>
              <w:rPr>
                <w:rFonts w:hint="eastAsia" w:eastAsia="Times New Roman"/>
                <w:color w:val="auto"/>
                <w:kern w:val="21"/>
                <w:sz w:val="21"/>
                <w:szCs w:val="21"/>
                <w:lang w:eastAsia="en-US"/>
              </w:rPr>
              <w:t>8</w:t>
            </w:r>
          </w:p>
        </w:tc>
        <w:tc>
          <w:tcPr>
            <w:tcW w:w="1278" w:type="pct"/>
            <w:vAlign w:val="center"/>
          </w:tcPr>
          <w:p w14:paraId="719BF988">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color w:val="auto"/>
                <w:kern w:val="21"/>
                <w:sz w:val="21"/>
                <w:szCs w:val="21"/>
                <w:lang w:eastAsia="en-US"/>
              </w:rPr>
              <w:t>总磷</w:t>
            </w:r>
            <w:r>
              <w:rPr>
                <w:rFonts w:hint="eastAsia"/>
                <w:color w:val="auto"/>
                <w:sz w:val="21"/>
                <w:szCs w:val="21"/>
              </w:rPr>
              <w:t>（以P计）</w:t>
            </w:r>
          </w:p>
        </w:tc>
        <w:tc>
          <w:tcPr>
            <w:tcW w:w="961" w:type="pct"/>
            <w:vAlign w:val="center"/>
          </w:tcPr>
          <w:p w14:paraId="3D82F219">
            <w:pPr>
              <w:adjustRightInd/>
              <w:snapToGrid/>
              <w:spacing w:line="240" w:lineRule="auto"/>
              <w:ind w:firstLine="0" w:firstLineChars="0"/>
              <w:jc w:val="center"/>
              <w:rPr>
                <w:color w:val="auto"/>
                <w:sz w:val="21"/>
                <w:szCs w:val="21"/>
              </w:rPr>
            </w:pPr>
            <w:r>
              <w:rPr>
                <w:rFonts w:hint="eastAsia"/>
                <w:color w:val="auto"/>
                <w:sz w:val="21"/>
                <w:szCs w:val="21"/>
              </w:rPr>
              <w:t>20</w:t>
            </w:r>
          </w:p>
        </w:tc>
        <w:tc>
          <w:tcPr>
            <w:tcW w:w="898" w:type="pct"/>
            <w:vAlign w:val="center"/>
          </w:tcPr>
          <w:p w14:paraId="138246BA">
            <w:pPr>
              <w:adjustRightInd/>
              <w:snapToGrid/>
              <w:spacing w:line="240" w:lineRule="auto"/>
              <w:ind w:firstLine="0" w:firstLineChars="0"/>
              <w:jc w:val="center"/>
              <w:rPr>
                <w:rFonts w:eastAsia="Times New Roman"/>
                <w:color w:val="auto"/>
                <w:sz w:val="21"/>
                <w:szCs w:val="21"/>
                <w:lang w:eastAsia="en-US"/>
              </w:rPr>
            </w:pPr>
            <w:r>
              <w:rPr>
                <w:rFonts w:hint="eastAsia" w:eastAsia="Times New Roman"/>
                <w:color w:val="auto"/>
                <w:sz w:val="21"/>
                <w:szCs w:val="21"/>
                <w:lang w:eastAsia="en-US"/>
              </w:rPr>
              <w:t>8.0</w:t>
            </w:r>
          </w:p>
        </w:tc>
        <w:tc>
          <w:tcPr>
            <w:tcW w:w="1510" w:type="pct"/>
            <w:shd w:val="clear" w:color="auto" w:fill="auto"/>
            <w:vAlign w:val="center"/>
          </w:tcPr>
          <w:p w14:paraId="75938E74">
            <w:pPr>
              <w:adjustRightInd/>
              <w:snapToGrid/>
              <w:spacing w:line="240" w:lineRule="auto"/>
              <w:ind w:firstLine="0" w:firstLineChars="0"/>
              <w:jc w:val="center"/>
              <w:rPr>
                <w:rFonts w:ascii="Times New Roman" w:hAnsi="Times New Roman" w:eastAsia="Times New Roman" w:cs="Times New Roman"/>
                <w:color w:val="auto"/>
                <w:kern w:val="2"/>
                <w:sz w:val="21"/>
                <w:szCs w:val="21"/>
                <w:lang w:val="en-US" w:eastAsia="en-US" w:bidi="ar-SA"/>
              </w:rPr>
            </w:pPr>
            <w:r>
              <w:rPr>
                <w:rFonts w:hint="eastAsia" w:eastAsia="Times New Roman"/>
                <w:color w:val="auto"/>
                <w:sz w:val="21"/>
                <w:szCs w:val="21"/>
                <w:lang w:eastAsia="en-US"/>
              </w:rPr>
              <w:t>8.0</w:t>
            </w:r>
          </w:p>
        </w:tc>
      </w:tr>
      <w:tr w14:paraId="29B6DF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51" w:type="pct"/>
            <w:vAlign w:val="center"/>
          </w:tcPr>
          <w:p w14:paraId="2BFE843F">
            <w:pPr>
              <w:widowControl/>
              <w:kinsoku w:val="0"/>
              <w:autoSpaceDE w:val="0"/>
              <w:autoSpaceDN w:val="0"/>
              <w:spacing w:line="240" w:lineRule="auto"/>
              <w:ind w:firstLine="0" w:firstLineChars="0"/>
              <w:jc w:val="center"/>
              <w:textAlignment w:val="baseline"/>
              <w:rPr>
                <w:rFonts w:eastAsia="Times New Roman"/>
                <w:color w:val="auto"/>
                <w:sz w:val="21"/>
                <w:szCs w:val="21"/>
                <w:lang w:eastAsia="en-US"/>
              </w:rPr>
            </w:pPr>
            <w:r>
              <w:rPr>
                <w:rFonts w:hint="eastAsia" w:eastAsia="Times New Roman"/>
                <w:color w:val="auto"/>
                <w:kern w:val="21"/>
                <w:sz w:val="21"/>
                <w:szCs w:val="21"/>
                <w:lang w:eastAsia="en-US"/>
              </w:rPr>
              <w:t>9</w:t>
            </w:r>
          </w:p>
        </w:tc>
        <w:tc>
          <w:tcPr>
            <w:tcW w:w="1278" w:type="pct"/>
            <w:shd w:val="clear" w:color="auto" w:fill="auto"/>
            <w:vAlign w:val="center"/>
          </w:tcPr>
          <w:p w14:paraId="1356AD07">
            <w:pPr>
              <w:widowControl/>
              <w:kinsoku w:val="0"/>
              <w:autoSpaceDE w:val="0"/>
              <w:autoSpaceDN w:val="0"/>
              <w:spacing w:line="240" w:lineRule="auto"/>
              <w:ind w:firstLine="0" w:firstLineChars="0"/>
              <w:textAlignment w:val="baseline"/>
              <w:rPr>
                <w:color w:val="auto"/>
                <w:kern w:val="21"/>
                <w:sz w:val="21"/>
                <w:szCs w:val="21"/>
              </w:rPr>
            </w:pPr>
            <w:r>
              <w:rPr>
                <w:rFonts w:hint="eastAsia" w:ascii="宋体" w:hAnsi="宋体" w:cs="宋体"/>
                <w:color w:val="auto"/>
                <w:kern w:val="21"/>
                <w:sz w:val="21"/>
                <w:szCs w:val="21"/>
                <w:lang w:eastAsia="en-US"/>
              </w:rPr>
              <w:t>总有机碳</w:t>
            </w:r>
            <w:r>
              <w:rPr>
                <w:rFonts w:hint="eastAsia"/>
                <w:color w:val="auto"/>
                <w:kern w:val="21"/>
                <w:sz w:val="21"/>
                <w:szCs w:val="21"/>
              </w:rPr>
              <w:t>（TOC）</w:t>
            </w:r>
          </w:p>
        </w:tc>
        <w:tc>
          <w:tcPr>
            <w:tcW w:w="961" w:type="pct"/>
            <w:vAlign w:val="center"/>
          </w:tcPr>
          <w:p w14:paraId="65E806A9">
            <w:pPr>
              <w:spacing w:line="240" w:lineRule="auto"/>
              <w:ind w:firstLine="0" w:firstLineChars="0"/>
              <w:jc w:val="center"/>
              <w:rPr>
                <w:color w:val="auto"/>
                <w:sz w:val="21"/>
                <w:szCs w:val="21"/>
              </w:rPr>
            </w:pPr>
            <w:r>
              <w:rPr>
                <w:rFonts w:hint="eastAsia"/>
                <w:color w:val="auto"/>
                <w:sz w:val="21"/>
                <w:szCs w:val="21"/>
              </w:rPr>
              <w:t>400</w:t>
            </w:r>
          </w:p>
        </w:tc>
        <w:tc>
          <w:tcPr>
            <w:tcW w:w="898" w:type="pct"/>
            <w:shd w:val="clear" w:color="auto" w:fill="auto"/>
            <w:vAlign w:val="center"/>
          </w:tcPr>
          <w:p w14:paraId="28AC9186">
            <w:pPr>
              <w:spacing w:line="240" w:lineRule="auto"/>
              <w:ind w:firstLine="0" w:firstLineChars="0"/>
              <w:jc w:val="center"/>
              <w:rPr>
                <w:rFonts w:eastAsia="Times New Roman"/>
                <w:color w:val="auto"/>
                <w:sz w:val="21"/>
                <w:szCs w:val="21"/>
                <w:lang w:eastAsia="en-US"/>
              </w:rPr>
            </w:pPr>
            <w:r>
              <w:rPr>
                <w:rFonts w:hint="eastAsia" w:eastAsia="Times New Roman"/>
                <w:color w:val="auto"/>
                <w:sz w:val="21"/>
                <w:szCs w:val="21"/>
                <w:lang w:eastAsia="en-US"/>
              </w:rPr>
              <w:t>150</w:t>
            </w:r>
          </w:p>
        </w:tc>
        <w:tc>
          <w:tcPr>
            <w:tcW w:w="1510" w:type="pct"/>
            <w:shd w:val="clear" w:color="auto" w:fill="auto"/>
            <w:vAlign w:val="center"/>
          </w:tcPr>
          <w:p w14:paraId="62FBEA53">
            <w:pPr>
              <w:spacing w:line="240" w:lineRule="auto"/>
              <w:ind w:firstLine="0" w:firstLineChars="0"/>
              <w:jc w:val="center"/>
              <w:rPr>
                <w:rFonts w:ascii="Times New Roman" w:hAnsi="Times New Roman" w:eastAsia="Times New Roman" w:cs="Times New Roman"/>
                <w:color w:val="auto"/>
                <w:kern w:val="2"/>
                <w:sz w:val="21"/>
                <w:szCs w:val="21"/>
                <w:lang w:val="en-US" w:eastAsia="en-US" w:bidi="ar-SA"/>
              </w:rPr>
            </w:pPr>
            <w:r>
              <w:rPr>
                <w:rFonts w:hint="eastAsia" w:eastAsia="Times New Roman"/>
                <w:color w:val="auto"/>
                <w:sz w:val="21"/>
                <w:szCs w:val="21"/>
                <w:lang w:eastAsia="en-US"/>
              </w:rPr>
              <w:t>150</w:t>
            </w:r>
          </w:p>
        </w:tc>
      </w:tr>
      <w:tr w14:paraId="04FBEF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51" w:type="pct"/>
            <w:vAlign w:val="center"/>
          </w:tcPr>
          <w:p w14:paraId="644FFBCE">
            <w:pPr>
              <w:widowControl/>
              <w:kinsoku w:val="0"/>
              <w:autoSpaceDE w:val="0"/>
              <w:autoSpaceDN w:val="0"/>
              <w:spacing w:line="240" w:lineRule="auto"/>
              <w:ind w:firstLine="0" w:firstLineChars="0"/>
              <w:jc w:val="center"/>
              <w:textAlignment w:val="baseline"/>
              <w:rPr>
                <w:rFonts w:eastAsia="Times New Roman"/>
                <w:color w:val="auto"/>
                <w:sz w:val="21"/>
                <w:szCs w:val="21"/>
                <w:lang w:eastAsia="en-US"/>
              </w:rPr>
            </w:pPr>
            <w:r>
              <w:rPr>
                <w:rFonts w:hint="eastAsia" w:eastAsia="Times New Roman"/>
                <w:color w:val="auto"/>
                <w:kern w:val="21"/>
                <w:sz w:val="21"/>
                <w:szCs w:val="21"/>
                <w:lang w:eastAsia="en-US"/>
              </w:rPr>
              <w:t>10</w:t>
            </w:r>
          </w:p>
        </w:tc>
        <w:tc>
          <w:tcPr>
            <w:tcW w:w="1278" w:type="pct"/>
            <w:shd w:val="clear" w:color="auto" w:fill="auto"/>
            <w:vAlign w:val="center"/>
          </w:tcPr>
          <w:p w14:paraId="5B5F7AAB">
            <w:pPr>
              <w:spacing w:line="240" w:lineRule="auto"/>
              <w:ind w:firstLine="0" w:firstLineChars="0"/>
              <w:jc w:val="center"/>
              <w:rPr>
                <w:color w:val="auto"/>
                <w:sz w:val="21"/>
                <w:szCs w:val="21"/>
              </w:rPr>
            </w:pPr>
            <w:r>
              <w:rPr>
                <w:rFonts w:hint="eastAsia"/>
                <w:color w:val="auto"/>
                <w:kern w:val="21"/>
                <w:sz w:val="21"/>
                <w:szCs w:val="21"/>
              </w:rPr>
              <w:t>石油类</w:t>
            </w:r>
          </w:p>
        </w:tc>
        <w:tc>
          <w:tcPr>
            <w:tcW w:w="961" w:type="pct"/>
            <w:vAlign w:val="center"/>
          </w:tcPr>
          <w:p w14:paraId="1B6E8204">
            <w:pPr>
              <w:spacing w:line="240" w:lineRule="auto"/>
              <w:ind w:firstLine="0" w:firstLineChars="0"/>
              <w:jc w:val="center"/>
              <w:rPr>
                <w:color w:val="auto"/>
                <w:sz w:val="21"/>
                <w:szCs w:val="21"/>
              </w:rPr>
            </w:pPr>
            <w:r>
              <w:rPr>
                <w:rFonts w:hint="eastAsia"/>
                <w:color w:val="auto"/>
                <w:sz w:val="21"/>
                <w:szCs w:val="21"/>
              </w:rPr>
              <w:t>50</w:t>
            </w:r>
          </w:p>
        </w:tc>
        <w:tc>
          <w:tcPr>
            <w:tcW w:w="898" w:type="pct"/>
            <w:shd w:val="clear" w:color="auto" w:fill="auto"/>
            <w:vAlign w:val="center"/>
          </w:tcPr>
          <w:p w14:paraId="4470E39D">
            <w:pPr>
              <w:spacing w:line="240" w:lineRule="auto"/>
              <w:ind w:firstLine="0" w:firstLineChars="0"/>
              <w:jc w:val="center"/>
              <w:rPr>
                <w:rFonts w:eastAsia="Times New Roman"/>
                <w:color w:val="auto"/>
                <w:sz w:val="21"/>
                <w:szCs w:val="21"/>
                <w:lang w:eastAsia="en-US"/>
              </w:rPr>
            </w:pPr>
            <w:r>
              <w:rPr>
                <w:rFonts w:hint="eastAsia" w:eastAsia="Times New Roman"/>
                <w:color w:val="auto"/>
                <w:sz w:val="21"/>
                <w:szCs w:val="21"/>
                <w:lang w:eastAsia="en-US"/>
              </w:rPr>
              <w:t>15</w:t>
            </w:r>
          </w:p>
        </w:tc>
        <w:tc>
          <w:tcPr>
            <w:tcW w:w="1510" w:type="pct"/>
            <w:shd w:val="clear" w:color="auto" w:fill="auto"/>
            <w:vAlign w:val="center"/>
          </w:tcPr>
          <w:p w14:paraId="27743EDD">
            <w:pPr>
              <w:spacing w:line="240" w:lineRule="auto"/>
              <w:ind w:firstLine="0" w:firstLineChars="0"/>
              <w:jc w:val="center"/>
              <w:rPr>
                <w:rFonts w:ascii="Times New Roman" w:hAnsi="Times New Roman" w:eastAsia="Times New Roman" w:cs="Times New Roman"/>
                <w:color w:val="auto"/>
                <w:kern w:val="2"/>
                <w:sz w:val="21"/>
                <w:szCs w:val="21"/>
                <w:lang w:val="en-US" w:eastAsia="en-US" w:bidi="ar-SA"/>
              </w:rPr>
            </w:pPr>
            <w:r>
              <w:rPr>
                <w:rFonts w:hint="eastAsia" w:eastAsia="Times New Roman"/>
                <w:color w:val="auto"/>
                <w:sz w:val="21"/>
                <w:szCs w:val="21"/>
                <w:lang w:eastAsia="en-US"/>
              </w:rPr>
              <w:t>15</w:t>
            </w:r>
          </w:p>
        </w:tc>
      </w:tr>
      <w:tr w14:paraId="4AD2FE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51" w:type="pct"/>
            <w:vAlign w:val="center"/>
          </w:tcPr>
          <w:p w14:paraId="672F6821">
            <w:pPr>
              <w:widowControl/>
              <w:kinsoku w:val="0"/>
              <w:autoSpaceDE w:val="0"/>
              <w:autoSpaceDN w:val="0"/>
              <w:spacing w:line="240" w:lineRule="auto"/>
              <w:ind w:firstLine="0" w:firstLineChars="0"/>
              <w:jc w:val="center"/>
              <w:textAlignment w:val="baseline"/>
              <w:rPr>
                <w:rFonts w:eastAsia="Times New Roman"/>
                <w:color w:val="auto"/>
                <w:sz w:val="21"/>
                <w:szCs w:val="21"/>
                <w:lang w:eastAsia="en-US"/>
              </w:rPr>
            </w:pPr>
            <w:r>
              <w:rPr>
                <w:rFonts w:hint="eastAsia" w:eastAsia="Times New Roman"/>
                <w:color w:val="auto"/>
                <w:kern w:val="21"/>
                <w:sz w:val="21"/>
                <w:szCs w:val="21"/>
                <w:lang w:eastAsia="en-US"/>
              </w:rPr>
              <w:t>11</w:t>
            </w:r>
          </w:p>
        </w:tc>
        <w:tc>
          <w:tcPr>
            <w:tcW w:w="1278" w:type="pct"/>
            <w:shd w:val="clear" w:color="auto" w:fill="auto"/>
            <w:vAlign w:val="center"/>
          </w:tcPr>
          <w:p w14:paraId="791520B4">
            <w:pPr>
              <w:spacing w:line="240" w:lineRule="auto"/>
              <w:ind w:firstLine="0" w:firstLineChars="0"/>
              <w:jc w:val="center"/>
              <w:rPr>
                <w:color w:val="auto"/>
                <w:kern w:val="21"/>
                <w:sz w:val="21"/>
                <w:szCs w:val="21"/>
              </w:rPr>
            </w:pPr>
            <w:r>
              <w:rPr>
                <w:rFonts w:hint="eastAsia"/>
                <w:color w:val="auto"/>
                <w:kern w:val="21"/>
                <w:sz w:val="21"/>
                <w:szCs w:val="21"/>
              </w:rPr>
              <w:t>硫化物</w:t>
            </w:r>
          </w:p>
        </w:tc>
        <w:tc>
          <w:tcPr>
            <w:tcW w:w="961" w:type="pct"/>
            <w:vAlign w:val="center"/>
          </w:tcPr>
          <w:p w14:paraId="784B2297">
            <w:pPr>
              <w:spacing w:line="240" w:lineRule="auto"/>
              <w:ind w:firstLine="0" w:firstLineChars="0"/>
              <w:jc w:val="center"/>
              <w:rPr>
                <w:color w:val="auto"/>
                <w:sz w:val="21"/>
                <w:szCs w:val="21"/>
              </w:rPr>
            </w:pPr>
            <w:r>
              <w:rPr>
                <w:rFonts w:hint="eastAsia"/>
                <w:color w:val="auto"/>
                <w:sz w:val="21"/>
                <w:szCs w:val="21"/>
              </w:rPr>
              <w:t>5</w:t>
            </w:r>
          </w:p>
        </w:tc>
        <w:tc>
          <w:tcPr>
            <w:tcW w:w="898" w:type="pct"/>
            <w:shd w:val="clear" w:color="auto" w:fill="auto"/>
            <w:vAlign w:val="center"/>
          </w:tcPr>
          <w:p w14:paraId="45B2CC29">
            <w:pPr>
              <w:spacing w:line="240" w:lineRule="auto"/>
              <w:ind w:firstLine="0" w:firstLineChars="0"/>
              <w:jc w:val="center"/>
              <w:rPr>
                <w:rFonts w:eastAsia="Times New Roman"/>
                <w:color w:val="auto"/>
                <w:sz w:val="21"/>
                <w:szCs w:val="21"/>
                <w:lang w:eastAsia="en-US"/>
              </w:rPr>
            </w:pPr>
            <w:r>
              <w:rPr>
                <w:rFonts w:hint="eastAsia" w:eastAsia="Times New Roman"/>
                <w:color w:val="auto"/>
                <w:sz w:val="21"/>
                <w:szCs w:val="21"/>
                <w:lang w:eastAsia="en-US"/>
              </w:rPr>
              <w:t>1.0</w:t>
            </w:r>
          </w:p>
        </w:tc>
        <w:tc>
          <w:tcPr>
            <w:tcW w:w="1510" w:type="pct"/>
            <w:shd w:val="clear" w:color="auto" w:fill="auto"/>
            <w:vAlign w:val="center"/>
          </w:tcPr>
          <w:p w14:paraId="3333F26B">
            <w:pPr>
              <w:spacing w:line="240" w:lineRule="auto"/>
              <w:ind w:firstLine="0" w:firstLineChars="0"/>
              <w:jc w:val="center"/>
              <w:rPr>
                <w:rFonts w:ascii="Times New Roman" w:hAnsi="Times New Roman" w:eastAsia="Times New Roman" w:cs="Times New Roman"/>
                <w:color w:val="auto"/>
                <w:kern w:val="2"/>
                <w:sz w:val="21"/>
                <w:szCs w:val="21"/>
                <w:lang w:val="en-US" w:eastAsia="en-US" w:bidi="ar-SA"/>
              </w:rPr>
            </w:pPr>
            <w:r>
              <w:rPr>
                <w:rFonts w:hint="eastAsia" w:eastAsia="Times New Roman"/>
                <w:color w:val="auto"/>
                <w:sz w:val="21"/>
                <w:szCs w:val="21"/>
                <w:lang w:eastAsia="en-US"/>
              </w:rPr>
              <w:t>1.0</w:t>
            </w:r>
          </w:p>
        </w:tc>
      </w:tr>
      <w:tr w14:paraId="6BEF1C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51" w:type="pct"/>
            <w:vAlign w:val="center"/>
          </w:tcPr>
          <w:p w14:paraId="5162F84D">
            <w:pPr>
              <w:widowControl/>
              <w:kinsoku w:val="0"/>
              <w:autoSpaceDE w:val="0"/>
              <w:autoSpaceDN w:val="0"/>
              <w:spacing w:line="240" w:lineRule="auto"/>
              <w:ind w:firstLine="0" w:firstLineChars="0"/>
              <w:jc w:val="center"/>
              <w:textAlignment w:val="baseline"/>
              <w:rPr>
                <w:rFonts w:eastAsiaTheme="minorEastAsia"/>
                <w:color w:val="auto"/>
                <w:sz w:val="21"/>
                <w:szCs w:val="21"/>
              </w:rPr>
            </w:pPr>
            <w:r>
              <w:rPr>
                <w:rFonts w:hint="eastAsia" w:eastAsiaTheme="minorEastAsia"/>
                <w:color w:val="auto"/>
                <w:sz w:val="21"/>
                <w:szCs w:val="21"/>
              </w:rPr>
              <w:t>12</w:t>
            </w:r>
          </w:p>
        </w:tc>
        <w:tc>
          <w:tcPr>
            <w:tcW w:w="1278" w:type="pct"/>
            <w:shd w:val="clear" w:color="auto" w:fill="auto"/>
            <w:vAlign w:val="center"/>
          </w:tcPr>
          <w:p w14:paraId="1099FFB4">
            <w:pPr>
              <w:spacing w:line="240" w:lineRule="auto"/>
              <w:ind w:firstLine="0" w:firstLineChars="0"/>
              <w:jc w:val="center"/>
              <w:rPr>
                <w:color w:val="auto"/>
                <w:kern w:val="21"/>
                <w:sz w:val="21"/>
                <w:szCs w:val="21"/>
              </w:rPr>
            </w:pPr>
            <w:r>
              <w:rPr>
                <w:rFonts w:hint="eastAsia"/>
                <w:color w:val="auto"/>
                <w:kern w:val="21"/>
                <w:sz w:val="21"/>
                <w:szCs w:val="21"/>
              </w:rPr>
              <w:t>氟化物</w:t>
            </w:r>
          </w:p>
        </w:tc>
        <w:tc>
          <w:tcPr>
            <w:tcW w:w="961" w:type="pct"/>
            <w:vAlign w:val="center"/>
          </w:tcPr>
          <w:p w14:paraId="5CDFEF07">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30</w:t>
            </w:r>
          </w:p>
        </w:tc>
        <w:tc>
          <w:tcPr>
            <w:tcW w:w="898" w:type="pct"/>
            <w:shd w:val="clear" w:color="auto" w:fill="auto"/>
            <w:vAlign w:val="center"/>
          </w:tcPr>
          <w:p w14:paraId="3613C64D">
            <w:pPr>
              <w:spacing w:line="240" w:lineRule="auto"/>
              <w:ind w:firstLine="0" w:firstLineChars="0"/>
              <w:jc w:val="center"/>
              <w:rPr>
                <w:rFonts w:eastAsia="Times New Roman"/>
                <w:color w:val="auto"/>
                <w:sz w:val="21"/>
                <w:szCs w:val="21"/>
                <w:lang w:eastAsia="en-US"/>
              </w:rPr>
            </w:pPr>
            <w:r>
              <w:rPr>
                <w:rFonts w:hint="eastAsia" w:eastAsia="Times New Roman"/>
                <w:color w:val="auto"/>
                <w:sz w:val="21"/>
                <w:szCs w:val="21"/>
                <w:lang w:eastAsia="en-US"/>
              </w:rPr>
              <w:t>20</w:t>
            </w:r>
          </w:p>
        </w:tc>
        <w:tc>
          <w:tcPr>
            <w:tcW w:w="1510" w:type="pct"/>
            <w:shd w:val="clear" w:color="auto" w:fill="auto"/>
            <w:vAlign w:val="center"/>
          </w:tcPr>
          <w:p w14:paraId="0738A641">
            <w:pPr>
              <w:spacing w:line="240" w:lineRule="auto"/>
              <w:ind w:firstLine="0" w:firstLineChars="0"/>
              <w:jc w:val="center"/>
              <w:rPr>
                <w:rFonts w:ascii="Times New Roman" w:hAnsi="Times New Roman" w:eastAsia="Times New Roman" w:cs="Times New Roman"/>
                <w:color w:val="auto"/>
                <w:kern w:val="2"/>
                <w:sz w:val="21"/>
                <w:szCs w:val="21"/>
                <w:lang w:val="en-US" w:eastAsia="en-US" w:bidi="ar-SA"/>
              </w:rPr>
            </w:pPr>
            <w:r>
              <w:rPr>
                <w:rFonts w:hint="eastAsia" w:eastAsia="Times New Roman"/>
                <w:color w:val="auto"/>
                <w:sz w:val="21"/>
                <w:szCs w:val="21"/>
                <w:lang w:eastAsia="en-US"/>
              </w:rPr>
              <w:t>20</w:t>
            </w:r>
          </w:p>
        </w:tc>
      </w:tr>
      <w:tr w14:paraId="542CF6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51" w:type="pct"/>
            <w:vAlign w:val="center"/>
          </w:tcPr>
          <w:p w14:paraId="6FAB636D">
            <w:pPr>
              <w:widowControl/>
              <w:kinsoku w:val="0"/>
              <w:autoSpaceDE w:val="0"/>
              <w:autoSpaceDN w:val="0"/>
              <w:spacing w:line="240" w:lineRule="auto"/>
              <w:ind w:firstLine="0" w:firstLineChars="0"/>
              <w:jc w:val="center"/>
              <w:textAlignment w:val="baseline"/>
              <w:rPr>
                <w:rFonts w:eastAsia="Times New Roman"/>
                <w:color w:val="auto"/>
                <w:sz w:val="21"/>
                <w:szCs w:val="21"/>
                <w:lang w:eastAsia="en-US"/>
              </w:rPr>
            </w:pPr>
            <w:r>
              <w:rPr>
                <w:rFonts w:hint="eastAsia" w:eastAsia="Times New Roman"/>
                <w:color w:val="auto"/>
                <w:kern w:val="21"/>
                <w:sz w:val="21"/>
                <w:szCs w:val="21"/>
                <w:lang w:eastAsia="en-US"/>
              </w:rPr>
              <w:t>13</w:t>
            </w:r>
          </w:p>
        </w:tc>
        <w:tc>
          <w:tcPr>
            <w:tcW w:w="1278" w:type="pct"/>
            <w:shd w:val="clear" w:color="auto" w:fill="auto"/>
            <w:vAlign w:val="center"/>
          </w:tcPr>
          <w:p w14:paraId="33DDDC9E">
            <w:pPr>
              <w:spacing w:line="240" w:lineRule="auto"/>
              <w:ind w:firstLine="0" w:firstLineChars="0"/>
              <w:jc w:val="center"/>
              <w:rPr>
                <w:color w:val="auto"/>
                <w:sz w:val="21"/>
                <w:szCs w:val="21"/>
              </w:rPr>
            </w:pPr>
            <w:r>
              <w:rPr>
                <w:rFonts w:hint="eastAsia" w:ascii="宋体" w:hAnsi="宋体" w:cs="宋体"/>
                <w:color w:val="auto"/>
                <w:kern w:val="21"/>
                <w:sz w:val="21"/>
                <w:szCs w:val="21"/>
                <w:lang w:eastAsia="en-US"/>
              </w:rPr>
              <w:t>氯化物</w:t>
            </w:r>
            <w:r>
              <w:rPr>
                <w:rFonts w:hint="eastAsia"/>
                <w:color w:val="auto"/>
                <w:kern w:val="21"/>
                <w:sz w:val="21"/>
                <w:szCs w:val="21"/>
              </w:rPr>
              <w:t>（以Cl计）</w:t>
            </w:r>
          </w:p>
        </w:tc>
        <w:tc>
          <w:tcPr>
            <w:tcW w:w="961" w:type="pct"/>
            <w:vAlign w:val="center"/>
          </w:tcPr>
          <w:p w14:paraId="7AB4A6CC">
            <w:pPr>
              <w:spacing w:line="240" w:lineRule="auto"/>
              <w:ind w:firstLine="0" w:firstLineChars="0"/>
              <w:jc w:val="center"/>
              <w:rPr>
                <w:color w:val="auto"/>
                <w:sz w:val="21"/>
                <w:szCs w:val="21"/>
              </w:rPr>
            </w:pPr>
            <w:r>
              <w:rPr>
                <w:rFonts w:hint="eastAsia"/>
                <w:color w:val="auto"/>
                <w:sz w:val="21"/>
                <w:szCs w:val="21"/>
              </w:rPr>
              <w:t>20000</w:t>
            </w:r>
          </w:p>
        </w:tc>
        <w:tc>
          <w:tcPr>
            <w:tcW w:w="898" w:type="pct"/>
            <w:shd w:val="clear" w:color="auto" w:fill="auto"/>
            <w:vAlign w:val="center"/>
          </w:tcPr>
          <w:p w14:paraId="47A4D419">
            <w:pPr>
              <w:spacing w:line="240" w:lineRule="auto"/>
              <w:ind w:firstLine="0" w:firstLineChars="0"/>
              <w:jc w:val="center"/>
              <w:rPr>
                <w:rFonts w:eastAsiaTheme="minorEastAsia"/>
                <w:color w:val="auto"/>
                <w:sz w:val="21"/>
                <w:szCs w:val="21"/>
              </w:rPr>
            </w:pPr>
            <w:r>
              <w:rPr>
                <w:rFonts w:hint="eastAsia" w:eastAsiaTheme="minorEastAsia"/>
                <w:color w:val="auto"/>
                <w:sz w:val="21"/>
                <w:szCs w:val="21"/>
              </w:rPr>
              <w:t>3000</w:t>
            </w:r>
          </w:p>
        </w:tc>
        <w:tc>
          <w:tcPr>
            <w:tcW w:w="1510" w:type="pct"/>
            <w:shd w:val="clear" w:color="auto" w:fill="auto"/>
            <w:vAlign w:val="center"/>
          </w:tcPr>
          <w:p w14:paraId="310E1C6F">
            <w:pPr>
              <w:spacing w:line="240" w:lineRule="auto"/>
              <w:ind w:firstLine="0" w:firstLineChars="0"/>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 w:val="21"/>
                <w:szCs w:val="21"/>
              </w:rPr>
              <w:t>3000</w:t>
            </w:r>
          </w:p>
        </w:tc>
      </w:tr>
      <w:tr w14:paraId="6FEB6A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51" w:type="pct"/>
            <w:vAlign w:val="center"/>
          </w:tcPr>
          <w:p w14:paraId="3A43DBD7">
            <w:pPr>
              <w:widowControl/>
              <w:kinsoku w:val="0"/>
              <w:autoSpaceDE w:val="0"/>
              <w:autoSpaceDN w:val="0"/>
              <w:spacing w:line="240" w:lineRule="auto"/>
              <w:ind w:firstLine="0" w:firstLineChars="0"/>
              <w:jc w:val="center"/>
              <w:textAlignment w:val="baseline"/>
              <w:rPr>
                <w:rFonts w:eastAsia="Times New Roman"/>
                <w:color w:val="auto"/>
                <w:sz w:val="21"/>
                <w:szCs w:val="21"/>
                <w:lang w:eastAsia="en-US"/>
              </w:rPr>
            </w:pPr>
            <w:r>
              <w:rPr>
                <w:rFonts w:hint="eastAsia" w:eastAsia="Times New Roman"/>
                <w:color w:val="auto"/>
                <w:kern w:val="21"/>
                <w:sz w:val="21"/>
                <w:szCs w:val="21"/>
                <w:lang w:eastAsia="en-US"/>
              </w:rPr>
              <w:t>14</w:t>
            </w:r>
          </w:p>
        </w:tc>
        <w:tc>
          <w:tcPr>
            <w:tcW w:w="1278" w:type="pct"/>
            <w:shd w:val="clear" w:color="auto" w:fill="auto"/>
            <w:vAlign w:val="center"/>
          </w:tcPr>
          <w:p w14:paraId="7756B071">
            <w:pPr>
              <w:spacing w:line="240" w:lineRule="auto"/>
              <w:ind w:firstLine="0" w:firstLineChars="0"/>
              <w:jc w:val="center"/>
              <w:rPr>
                <w:color w:val="auto"/>
                <w:sz w:val="21"/>
                <w:szCs w:val="21"/>
              </w:rPr>
            </w:pPr>
            <w:r>
              <w:rPr>
                <w:rFonts w:hint="eastAsia"/>
                <w:color w:val="auto"/>
                <w:sz w:val="21"/>
                <w:szCs w:val="21"/>
              </w:rPr>
              <w:t>溶解性总固体（TDS）</w:t>
            </w:r>
          </w:p>
        </w:tc>
        <w:tc>
          <w:tcPr>
            <w:tcW w:w="961" w:type="pct"/>
            <w:vAlign w:val="center"/>
          </w:tcPr>
          <w:p w14:paraId="13696E62">
            <w:pPr>
              <w:spacing w:line="240" w:lineRule="auto"/>
              <w:ind w:firstLine="0" w:firstLineChars="0"/>
              <w:jc w:val="center"/>
              <w:rPr>
                <w:color w:val="auto"/>
                <w:sz w:val="21"/>
                <w:szCs w:val="21"/>
              </w:rPr>
            </w:pPr>
            <w:r>
              <w:rPr>
                <w:rFonts w:hint="eastAsia"/>
                <w:color w:val="auto"/>
                <w:sz w:val="21"/>
                <w:szCs w:val="21"/>
              </w:rPr>
              <w:t>35000</w:t>
            </w:r>
          </w:p>
        </w:tc>
        <w:tc>
          <w:tcPr>
            <w:tcW w:w="898" w:type="pct"/>
            <w:shd w:val="clear" w:color="auto" w:fill="auto"/>
            <w:vAlign w:val="center"/>
          </w:tcPr>
          <w:p w14:paraId="2D1F2026">
            <w:pPr>
              <w:spacing w:line="240" w:lineRule="auto"/>
              <w:ind w:firstLine="0" w:firstLineChars="0"/>
              <w:jc w:val="center"/>
              <w:rPr>
                <w:rFonts w:eastAsia="Times New Roman"/>
                <w:color w:val="auto"/>
                <w:sz w:val="21"/>
                <w:szCs w:val="21"/>
                <w:lang w:eastAsia="en-US"/>
              </w:rPr>
            </w:pPr>
            <w:r>
              <w:rPr>
                <w:rFonts w:hint="eastAsia" w:eastAsia="Times New Roman"/>
                <w:color w:val="auto"/>
                <w:sz w:val="21"/>
                <w:szCs w:val="21"/>
                <w:lang w:eastAsia="en-US"/>
              </w:rPr>
              <w:t>4000</w:t>
            </w:r>
          </w:p>
        </w:tc>
        <w:tc>
          <w:tcPr>
            <w:tcW w:w="1510" w:type="pct"/>
            <w:shd w:val="clear" w:color="auto" w:fill="auto"/>
            <w:vAlign w:val="center"/>
          </w:tcPr>
          <w:p w14:paraId="008733A6">
            <w:pPr>
              <w:spacing w:line="240" w:lineRule="auto"/>
              <w:ind w:firstLine="0" w:firstLineChars="0"/>
              <w:jc w:val="center"/>
              <w:rPr>
                <w:rFonts w:ascii="Times New Roman" w:hAnsi="Times New Roman" w:eastAsia="Times New Roman" w:cs="Times New Roman"/>
                <w:color w:val="auto"/>
                <w:kern w:val="2"/>
                <w:sz w:val="21"/>
                <w:szCs w:val="21"/>
                <w:lang w:val="en-US" w:eastAsia="en-US" w:bidi="ar-SA"/>
              </w:rPr>
            </w:pPr>
            <w:r>
              <w:rPr>
                <w:rFonts w:hint="eastAsia" w:eastAsia="Times New Roman"/>
                <w:color w:val="auto"/>
                <w:sz w:val="21"/>
                <w:szCs w:val="21"/>
                <w:lang w:eastAsia="en-US"/>
              </w:rPr>
              <w:t>4000</w:t>
            </w:r>
          </w:p>
        </w:tc>
      </w:tr>
      <w:tr w14:paraId="652E58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51" w:type="pct"/>
            <w:vAlign w:val="center"/>
          </w:tcPr>
          <w:p w14:paraId="2ECEB725">
            <w:pPr>
              <w:widowControl/>
              <w:kinsoku w:val="0"/>
              <w:autoSpaceDE w:val="0"/>
              <w:autoSpaceDN w:val="0"/>
              <w:spacing w:line="240" w:lineRule="auto"/>
              <w:ind w:firstLine="0" w:firstLineChars="0"/>
              <w:jc w:val="center"/>
              <w:textAlignment w:val="baseline"/>
              <w:rPr>
                <w:rFonts w:eastAsia="Times New Roman"/>
                <w:color w:val="auto"/>
                <w:sz w:val="21"/>
                <w:szCs w:val="21"/>
                <w:lang w:eastAsia="en-US"/>
              </w:rPr>
            </w:pPr>
            <w:r>
              <w:rPr>
                <w:rFonts w:hint="eastAsia" w:eastAsia="Times New Roman"/>
                <w:color w:val="auto"/>
                <w:kern w:val="21"/>
                <w:sz w:val="21"/>
                <w:szCs w:val="21"/>
                <w:lang w:eastAsia="en-US"/>
              </w:rPr>
              <w:t>15</w:t>
            </w:r>
          </w:p>
        </w:tc>
        <w:tc>
          <w:tcPr>
            <w:tcW w:w="1278" w:type="pct"/>
            <w:shd w:val="clear" w:color="auto" w:fill="auto"/>
            <w:vAlign w:val="center"/>
          </w:tcPr>
          <w:p w14:paraId="1514A427">
            <w:pPr>
              <w:widowControl/>
              <w:kinsoku w:val="0"/>
              <w:autoSpaceDE w:val="0"/>
              <w:autoSpaceDN w:val="0"/>
              <w:spacing w:line="240" w:lineRule="auto"/>
              <w:ind w:firstLine="0" w:firstLineChars="0"/>
              <w:jc w:val="center"/>
              <w:textAlignment w:val="baseline"/>
              <w:rPr>
                <w:color w:val="auto"/>
                <w:kern w:val="21"/>
                <w:sz w:val="21"/>
                <w:szCs w:val="21"/>
              </w:rPr>
            </w:pPr>
            <w:r>
              <w:rPr>
                <w:rFonts w:hint="eastAsia" w:ascii="宋体" w:hAnsi="宋体" w:cs="宋体"/>
                <w:color w:val="auto"/>
                <w:kern w:val="21"/>
                <w:sz w:val="21"/>
                <w:szCs w:val="21"/>
              </w:rPr>
              <w:t>阴离子表面活性剂</w:t>
            </w:r>
            <w:r>
              <w:rPr>
                <w:rFonts w:hint="eastAsia"/>
                <w:color w:val="auto"/>
                <w:kern w:val="21"/>
                <w:sz w:val="21"/>
                <w:szCs w:val="21"/>
              </w:rPr>
              <w:t>（LAS）</w:t>
            </w:r>
          </w:p>
        </w:tc>
        <w:tc>
          <w:tcPr>
            <w:tcW w:w="961" w:type="pct"/>
            <w:vAlign w:val="center"/>
          </w:tcPr>
          <w:p w14:paraId="684D6A1E">
            <w:pPr>
              <w:spacing w:line="240" w:lineRule="auto"/>
              <w:ind w:firstLine="0" w:firstLineChars="0"/>
              <w:jc w:val="center"/>
              <w:rPr>
                <w:color w:val="auto"/>
                <w:sz w:val="21"/>
                <w:szCs w:val="21"/>
              </w:rPr>
            </w:pPr>
            <w:r>
              <w:rPr>
                <w:rFonts w:hint="eastAsia"/>
                <w:color w:val="auto"/>
                <w:sz w:val="21"/>
                <w:szCs w:val="21"/>
              </w:rPr>
              <w:t>30</w:t>
            </w:r>
          </w:p>
        </w:tc>
        <w:tc>
          <w:tcPr>
            <w:tcW w:w="898" w:type="pct"/>
            <w:shd w:val="clear" w:color="auto" w:fill="auto"/>
            <w:vAlign w:val="center"/>
          </w:tcPr>
          <w:p w14:paraId="132F87E5">
            <w:pPr>
              <w:spacing w:line="240" w:lineRule="auto"/>
              <w:ind w:firstLine="0" w:firstLineChars="0"/>
              <w:jc w:val="center"/>
              <w:rPr>
                <w:rFonts w:eastAsia="Times New Roman"/>
                <w:color w:val="auto"/>
                <w:sz w:val="21"/>
                <w:szCs w:val="21"/>
                <w:lang w:eastAsia="en-US"/>
              </w:rPr>
            </w:pPr>
            <w:r>
              <w:rPr>
                <w:rFonts w:hint="eastAsia" w:eastAsia="Times New Roman"/>
                <w:color w:val="auto"/>
                <w:sz w:val="21"/>
                <w:szCs w:val="21"/>
                <w:lang w:eastAsia="en-US"/>
              </w:rPr>
              <w:t>20</w:t>
            </w:r>
          </w:p>
        </w:tc>
        <w:tc>
          <w:tcPr>
            <w:tcW w:w="1510" w:type="pct"/>
            <w:shd w:val="clear" w:color="auto" w:fill="auto"/>
            <w:vAlign w:val="center"/>
          </w:tcPr>
          <w:p w14:paraId="33455E6F">
            <w:pPr>
              <w:spacing w:line="240" w:lineRule="auto"/>
              <w:ind w:firstLine="0" w:firstLineChars="0"/>
              <w:jc w:val="center"/>
              <w:rPr>
                <w:rFonts w:ascii="Times New Roman" w:hAnsi="Times New Roman" w:eastAsia="Times New Roman" w:cs="Times New Roman"/>
                <w:color w:val="auto"/>
                <w:kern w:val="2"/>
                <w:sz w:val="21"/>
                <w:szCs w:val="21"/>
                <w:lang w:val="en-US" w:eastAsia="en-US" w:bidi="ar-SA"/>
              </w:rPr>
            </w:pPr>
            <w:r>
              <w:rPr>
                <w:rFonts w:hint="eastAsia" w:eastAsia="Times New Roman"/>
                <w:color w:val="auto"/>
                <w:sz w:val="21"/>
                <w:szCs w:val="21"/>
                <w:lang w:eastAsia="en-US"/>
              </w:rPr>
              <w:t>20</w:t>
            </w:r>
          </w:p>
        </w:tc>
      </w:tr>
      <w:tr w14:paraId="7CE2B1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51" w:type="pct"/>
            <w:vAlign w:val="center"/>
          </w:tcPr>
          <w:p w14:paraId="706233D4">
            <w:pPr>
              <w:widowControl/>
              <w:kinsoku w:val="0"/>
              <w:autoSpaceDE w:val="0"/>
              <w:autoSpaceDN w:val="0"/>
              <w:spacing w:line="240" w:lineRule="auto"/>
              <w:ind w:firstLine="0" w:firstLineChars="0"/>
              <w:jc w:val="center"/>
              <w:textAlignment w:val="baseline"/>
              <w:rPr>
                <w:rFonts w:eastAsia="Times New Roman"/>
                <w:color w:val="auto"/>
                <w:sz w:val="21"/>
                <w:szCs w:val="21"/>
                <w:lang w:eastAsia="en-US"/>
              </w:rPr>
            </w:pPr>
            <w:r>
              <w:rPr>
                <w:rFonts w:hint="eastAsia" w:eastAsia="Times New Roman"/>
                <w:color w:val="auto"/>
                <w:kern w:val="21"/>
                <w:sz w:val="21"/>
                <w:szCs w:val="21"/>
                <w:lang w:eastAsia="en-US"/>
              </w:rPr>
              <w:t>16</w:t>
            </w:r>
          </w:p>
        </w:tc>
        <w:tc>
          <w:tcPr>
            <w:tcW w:w="1278" w:type="pct"/>
            <w:shd w:val="clear" w:color="auto" w:fill="auto"/>
            <w:vAlign w:val="center"/>
          </w:tcPr>
          <w:p w14:paraId="73824C08">
            <w:pPr>
              <w:spacing w:line="240" w:lineRule="auto"/>
              <w:ind w:firstLine="0" w:firstLineChars="0"/>
              <w:jc w:val="center"/>
              <w:rPr>
                <w:rFonts w:eastAsia="Times New Roman"/>
                <w:color w:val="auto"/>
                <w:sz w:val="21"/>
                <w:szCs w:val="21"/>
                <w:lang w:eastAsia="en-US"/>
              </w:rPr>
            </w:pPr>
            <w:r>
              <w:rPr>
                <w:rFonts w:hint="eastAsia" w:ascii="宋体" w:hAnsi="宋体" w:cs="宋体"/>
                <w:snapToGrid w:val="0"/>
                <w:color w:val="auto"/>
                <w:kern w:val="44"/>
                <w:sz w:val="21"/>
                <w:szCs w:val="21"/>
                <w:lang w:eastAsia="en-US"/>
              </w:rPr>
              <w:t>挥发酚</w:t>
            </w:r>
          </w:p>
        </w:tc>
        <w:tc>
          <w:tcPr>
            <w:tcW w:w="961" w:type="pct"/>
            <w:vAlign w:val="center"/>
          </w:tcPr>
          <w:p w14:paraId="594E7E52">
            <w:pPr>
              <w:spacing w:line="240" w:lineRule="auto"/>
              <w:ind w:firstLine="0" w:firstLineChars="0"/>
              <w:jc w:val="center"/>
              <w:rPr>
                <w:color w:val="auto"/>
                <w:sz w:val="21"/>
                <w:szCs w:val="21"/>
              </w:rPr>
            </w:pPr>
            <w:r>
              <w:rPr>
                <w:rFonts w:hint="eastAsia"/>
                <w:color w:val="auto"/>
                <w:sz w:val="21"/>
                <w:szCs w:val="21"/>
              </w:rPr>
              <w:t>5</w:t>
            </w:r>
          </w:p>
        </w:tc>
        <w:tc>
          <w:tcPr>
            <w:tcW w:w="898" w:type="pct"/>
            <w:shd w:val="clear" w:color="auto" w:fill="auto"/>
            <w:vAlign w:val="center"/>
          </w:tcPr>
          <w:p w14:paraId="290958D0">
            <w:pPr>
              <w:spacing w:line="240" w:lineRule="auto"/>
              <w:ind w:firstLine="0" w:firstLineChars="0"/>
              <w:jc w:val="center"/>
              <w:rPr>
                <w:rFonts w:eastAsia="Times New Roman"/>
                <w:color w:val="auto"/>
                <w:sz w:val="21"/>
                <w:szCs w:val="21"/>
                <w:lang w:eastAsia="en-US"/>
              </w:rPr>
            </w:pPr>
            <w:r>
              <w:rPr>
                <w:rFonts w:hint="eastAsia" w:eastAsia="Times New Roman"/>
                <w:color w:val="auto"/>
                <w:sz w:val="21"/>
                <w:szCs w:val="21"/>
                <w:lang w:eastAsia="en-US"/>
              </w:rPr>
              <w:t>0.5</w:t>
            </w:r>
          </w:p>
        </w:tc>
        <w:tc>
          <w:tcPr>
            <w:tcW w:w="1510" w:type="pct"/>
            <w:shd w:val="clear" w:color="auto" w:fill="auto"/>
            <w:vAlign w:val="center"/>
          </w:tcPr>
          <w:p w14:paraId="2091B634">
            <w:pPr>
              <w:spacing w:line="240" w:lineRule="auto"/>
              <w:ind w:firstLine="0" w:firstLineChars="0"/>
              <w:jc w:val="center"/>
              <w:rPr>
                <w:rFonts w:ascii="Times New Roman" w:hAnsi="Times New Roman" w:eastAsia="Times New Roman" w:cs="Times New Roman"/>
                <w:color w:val="auto"/>
                <w:kern w:val="2"/>
                <w:sz w:val="21"/>
                <w:szCs w:val="21"/>
                <w:lang w:val="en-US" w:eastAsia="en-US" w:bidi="ar-SA"/>
              </w:rPr>
            </w:pPr>
            <w:r>
              <w:rPr>
                <w:rFonts w:hint="eastAsia" w:eastAsia="Times New Roman"/>
                <w:color w:val="auto"/>
                <w:sz w:val="21"/>
                <w:szCs w:val="21"/>
                <w:lang w:eastAsia="en-US"/>
              </w:rPr>
              <w:t>0.5</w:t>
            </w:r>
          </w:p>
        </w:tc>
      </w:tr>
      <w:tr w14:paraId="7231AE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51" w:type="pct"/>
            <w:vAlign w:val="center"/>
          </w:tcPr>
          <w:p w14:paraId="2614DB2F">
            <w:pPr>
              <w:widowControl/>
              <w:kinsoku w:val="0"/>
              <w:autoSpaceDE w:val="0"/>
              <w:autoSpaceDN w:val="0"/>
              <w:spacing w:line="240" w:lineRule="auto"/>
              <w:ind w:firstLine="0" w:firstLineChars="0"/>
              <w:jc w:val="center"/>
              <w:textAlignment w:val="baseline"/>
              <w:rPr>
                <w:rFonts w:eastAsia="Times New Roman"/>
                <w:color w:val="auto"/>
                <w:sz w:val="21"/>
                <w:szCs w:val="21"/>
                <w:lang w:eastAsia="en-US"/>
              </w:rPr>
            </w:pPr>
            <w:r>
              <w:rPr>
                <w:rFonts w:hint="eastAsia" w:eastAsia="Times New Roman"/>
                <w:color w:val="auto"/>
                <w:kern w:val="21"/>
                <w:sz w:val="21"/>
                <w:szCs w:val="21"/>
                <w:lang w:eastAsia="en-US"/>
              </w:rPr>
              <w:t>17</w:t>
            </w:r>
          </w:p>
        </w:tc>
        <w:tc>
          <w:tcPr>
            <w:tcW w:w="1278" w:type="pct"/>
            <w:shd w:val="clear" w:color="auto" w:fill="auto"/>
            <w:vAlign w:val="center"/>
          </w:tcPr>
          <w:p w14:paraId="675D159E">
            <w:pPr>
              <w:spacing w:line="240" w:lineRule="auto"/>
              <w:ind w:firstLine="0" w:firstLineChars="0"/>
              <w:jc w:val="center"/>
              <w:rPr>
                <w:color w:val="auto"/>
                <w:sz w:val="21"/>
                <w:szCs w:val="21"/>
              </w:rPr>
            </w:pPr>
            <w:r>
              <w:rPr>
                <w:rFonts w:hint="eastAsia"/>
                <w:color w:val="auto"/>
                <w:sz w:val="21"/>
                <w:szCs w:val="21"/>
              </w:rPr>
              <w:t>硼</w:t>
            </w:r>
          </w:p>
        </w:tc>
        <w:tc>
          <w:tcPr>
            <w:tcW w:w="961" w:type="pct"/>
            <w:vAlign w:val="center"/>
          </w:tcPr>
          <w:p w14:paraId="0ADA1771">
            <w:pPr>
              <w:widowControl/>
              <w:kinsoku w:val="0"/>
              <w:autoSpaceDE w:val="0"/>
              <w:autoSpaceDN w:val="0"/>
              <w:spacing w:line="240" w:lineRule="auto"/>
              <w:ind w:firstLine="0" w:firstLineChars="0"/>
              <w:jc w:val="center"/>
              <w:textAlignment w:val="baseline"/>
              <w:rPr>
                <w:color w:val="auto"/>
                <w:sz w:val="21"/>
                <w:szCs w:val="21"/>
              </w:rPr>
            </w:pPr>
            <w:r>
              <w:rPr>
                <w:rFonts w:hint="eastAsia"/>
                <w:color w:val="auto"/>
                <w:sz w:val="21"/>
                <w:szCs w:val="21"/>
              </w:rPr>
              <w:t>15</w:t>
            </w:r>
          </w:p>
        </w:tc>
        <w:tc>
          <w:tcPr>
            <w:tcW w:w="898" w:type="pct"/>
            <w:shd w:val="clear" w:color="auto" w:fill="auto"/>
            <w:vAlign w:val="center"/>
          </w:tcPr>
          <w:p w14:paraId="4ED7BAEE">
            <w:pPr>
              <w:spacing w:line="240" w:lineRule="auto"/>
              <w:ind w:firstLine="0" w:firstLineChars="0"/>
              <w:jc w:val="center"/>
              <w:rPr>
                <w:rFonts w:eastAsia="Times New Roman"/>
                <w:color w:val="auto"/>
                <w:sz w:val="21"/>
                <w:szCs w:val="21"/>
                <w:lang w:eastAsia="en-US"/>
              </w:rPr>
            </w:pPr>
            <w:r>
              <w:rPr>
                <w:rFonts w:hint="eastAsia" w:eastAsia="Times New Roman"/>
                <w:color w:val="auto"/>
                <w:sz w:val="21"/>
                <w:szCs w:val="21"/>
                <w:lang w:eastAsia="en-US"/>
              </w:rPr>
              <w:t>3.0</w:t>
            </w:r>
          </w:p>
        </w:tc>
        <w:tc>
          <w:tcPr>
            <w:tcW w:w="1510" w:type="pct"/>
            <w:shd w:val="clear" w:color="auto" w:fill="auto"/>
            <w:vAlign w:val="center"/>
          </w:tcPr>
          <w:p w14:paraId="54440322">
            <w:pPr>
              <w:spacing w:line="240" w:lineRule="auto"/>
              <w:ind w:firstLine="0" w:firstLineChars="0"/>
              <w:jc w:val="center"/>
              <w:rPr>
                <w:rFonts w:ascii="Times New Roman" w:hAnsi="Times New Roman" w:eastAsia="Times New Roman" w:cs="Times New Roman"/>
                <w:color w:val="auto"/>
                <w:kern w:val="2"/>
                <w:sz w:val="21"/>
                <w:szCs w:val="21"/>
                <w:lang w:val="en-US" w:eastAsia="en-US" w:bidi="ar-SA"/>
              </w:rPr>
            </w:pPr>
            <w:r>
              <w:rPr>
                <w:rFonts w:hint="eastAsia" w:eastAsia="Times New Roman"/>
                <w:color w:val="auto"/>
                <w:sz w:val="21"/>
                <w:szCs w:val="21"/>
                <w:lang w:eastAsia="en-US"/>
              </w:rPr>
              <w:t>3.0</w:t>
            </w:r>
          </w:p>
        </w:tc>
      </w:tr>
      <w:tr w14:paraId="607A87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51" w:type="pct"/>
            <w:vAlign w:val="center"/>
          </w:tcPr>
          <w:p w14:paraId="0BA59167">
            <w:pPr>
              <w:widowControl/>
              <w:kinsoku w:val="0"/>
              <w:autoSpaceDE w:val="0"/>
              <w:autoSpaceDN w:val="0"/>
              <w:spacing w:line="240" w:lineRule="auto"/>
              <w:ind w:firstLine="0" w:firstLineChars="0"/>
              <w:jc w:val="center"/>
              <w:textAlignment w:val="baseline"/>
              <w:rPr>
                <w:rFonts w:eastAsia="Times New Roman"/>
                <w:color w:val="auto"/>
                <w:sz w:val="21"/>
                <w:szCs w:val="21"/>
                <w:lang w:eastAsia="en-US"/>
              </w:rPr>
            </w:pPr>
            <w:r>
              <w:rPr>
                <w:rFonts w:hint="eastAsia" w:eastAsia="Times New Roman"/>
                <w:color w:val="auto"/>
                <w:kern w:val="21"/>
                <w:sz w:val="21"/>
                <w:szCs w:val="21"/>
                <w:lang w:eastAsia="en-US"/>
              </w:rPr>
              <w:t>18</w:t>
            </w:r>
          </w:p>
        </w:tc>
        <w:tc>
          <w:tcPr>
            <w:tcW w:w="1278" w:type="pct"/>
            <w:shd w:val="clear" w:color="auto" w:fill="auto"/>
            <w:vAlign w:val="center"/>
          </w:tcPr>
          <w:p w14:paraId="034D9D54">
            <w:pPr>
              <w:widowControl/>
              <w:kinsoku w:val="0"/>
              <w:autoSpaceDE w:val="0"/>
              <w:autoSpaceDN w:val="0"/>
              <w:spacing w:line="240" w:lineRule="auto"/>
              <w:ind w:firstLine="0" w:firstLineChars="0"/>
              <w:jc w:val="center"/>
              <w:textAlignment w:val="baseline"/>
              <w:rPr>
                <w:color w:val="auto"/>
                <w:kern w:val="21"/>
                <w:sz w:val="21"/>
                <w:szCs w:val="21"/>
              </w:rPr>
            </w:pPr>
            <w:r>
              <w:rPr>
                <w:rFonts w:hint="eastAsia"/>
                <w:color w:val="auto"/>
                <w:kern w:val="21"/>
                <w:sz w:val="21"/>
                <w:szCs w:val="21"/>
              </w:rPr>
              <w:t>可溶性钡</w:t>
            </w:r>
          </w:p>
        </w:tc>
        <w:tc>
          <w:tcPr>
            <w:tcW w:w="961" w:type="pct"/>
            <w:vAlign w:val="center"/>
          </w:tcPr>
          <w:p w14:paraId="296517B4">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40</w:t>
            </w:r>
          </w:p>
        </w:tc>
        <w:tc>
          <w:tcPr>
            <w:tcW w:w="898" w:type="pct"/>
            <w:shd w:val="clear" w:color="auto" w:fill="auto"/>
            <w:vAlign w:val="center"/>
          </w:tcPr>
          <w:p w14:paraId="616F4FD6">
            <w:pPr>
              <w:spacing w:line="240" w:lineRule="auto"/>
              <w:ind w:firstLine="0" w:firstLineChars="0"/>
              <w:jc w:val="center"/>
              <w:rPr>
                <w:rFonts w:eastAsia="Times New Roman"/>
                <w:color w:val="auto"/>
                <w:sz w:val="21"/>
                <w:szCs w:val="21"/>
                <w:lang w:eastAsia="en-US"/>
              </w:rPr>
            </w:pPr>
            <w:r>
              <w:rPr>
                <w:rFonts w:hint="eastAsia" w:eastAsia="Times New Roman"/>
                <w:color w:val="auto"/>
                <w:sz w:val="21"/>
                <w:szCs w:val="21"/>
                <w:lang w:eastAsia="en-US"/>
              </w:rPr>
              <w:t>2.0</w:t>
            </w:r>
          </w:p>
        </w:tc>
        <w:tc>
          <w:tcPr>
            <w:tcW w:w="1510" w:type="pct"/>
            <w:shd w:val="clear" w:color="auto" w:fill="auto"/>
            <w:vAlign w:val="center"/>
          </w:tcPr>
          <w:p w14:paraId="76C0D03E">
            <w:pPr>
              <w:spacing w:line="240" w:lineRule="auto"/>
              <w:ind w:firstLine="0" w:firstLineChars="0"/>
              <w:jc w:val="center"/>
              <w:rPr>
                <w:rFonts w:ascii="Times New Roman" w:hAnsi="Times New Roman" w:eastAsia="Times New Roman" w:cs="Times New Roman"/>
                <w:color w:val="auto"/>
                <w:kern w:val="2"/>
                <w:sz w:val="21"/>
                <w:szCs w:val="21"/>
                <w:lang w:val="en-US" w:eastAsia="en-US" w:bidi="ar-SA"/>
              </w:rPr>
            </w:pPr>
            <w:r>
              <w:rPr>
                <w:rFonts w:hint="eastAsia" w:eastAsia="Times New Roman"/>
                <w:color w:val="auto"/>
                <w:sz w:val="21"/>
                <w:szCs w:val="21"/>
                <w:lang w:eastAsia="en-US"/>
              </w:rPr>
              <w:t>2.0</w:t>
            </w:r>
          </w:p>
        </w:tc>
      </w:tr>
      <w:tr w14:paraId="117346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51" w:type="pct"/>
            <w:vAlign w:val="center"/>
          </w:tcPr>
          <w:p w14:paraId="3CB89A06">
            <w:pPr>
              <w:widowControl/>
              <w:kinsoku w:val="0"/>
              <w:autoSpaceDE w:val="0"/>
              <w:autoSpaceDN w:val="0"/>
              <w:spacing w:line="240" w:lineRule="auto"/>
              <w:ind w:firstLine="0" w:firstLineChars="0"/>
              <w:jc w:val="center"/>
              <w:textAlignment w:val="baseline"/>
              <w:rPr>
                <w:rFonts w:eastAsia="Times New Roman"/>
                <w:color w:val="auto"/>
                <w:sz w:val="21"/>
                <w:szCs w:val="21"/>
                <w:lang w:eastAsia="en-US"/>
              </w:rPr>
            </w:pPr>
            <w:r>
              <w:rPr>
                <w:rFonts w:hint="eastAsia" w:eastAsia="Times New Roman"/>
                <w:color w:val="auto"/>
                <w:kern w:val="21"/>
                <w:sz w:val="21"/>
                <w:szCs w:val="21"/>
                <w:lang w:eastAsia="en-US"/>
              </w:rPr>
              <w:t>19</w:t>
            </w:r>
          </w:p>
        </w:tc>
        <w:tc>
          <w:tcPr>
            <w:tcW w:w="1278" w:type="pct"/>
            <w:shd w:val="clear" w:color="auto" w:fill="auto"/>
            <w:vAlign w:val="center"/>
          </w:tcPr>
          <w:p w14:paraId="59C4D8D4">
            <w:pPr>
              <w:spacing w:line="240" w:lineRule="auto"/>
              <w:ind w:firstLine="0" w:firstLineChars="0"/>
              <w:jc w:val="center"/>
              <w:rPr>
                <w:rFonts w:eastAsia="Times New Roman"/>
                <w:color w:val="auto"/>
                <w:sz w:val="21"/>
                <w:szCs w:val="21"/>
              </w:rPr>
            </w:pPr>
            <w:r>
              <w:rPr>
                <w:rFonts w:hint="eastAsia"/>
                <w:color w:val="auto"/>
                <w:sz w:val="21"/>
                <w:szCs w:val="21"/>
              </w:rPr>
              <w:t>总α放射性</w:t>
            </w:r>
            <w:r>
              <w:rPr>
                <w:rFonts w:hint="eastAsia"/>
                <w:color w:val="auto"/>
                <w:sz w:val="21"/>
                <w:szCs w:val="21"/>
                <w:lang w:eastAsia="zh-CN"/>
              </w:rPr>
              <w:t>（</w:t>
            </w:r>
            <w:r>
              <w:rPr>
                <w:rFonts w:hint="eastAsia" w:eastAsia="Times New Roman"/>
                <w:color w:val="auto"/>
                <w:sz w:val="21"/>
                <w:szCs w:val="21"/>
              </w:rPr>
              <w:t>Bq/L</w:t>
            </w:r>
            <w:r>
              <w:rPr>
                <w:rFonts w:hint="eastAsia" w:eastAsia="宋体"/>
                <w:color w:val="auto"/>
                <w:sz w:val="21"/>
                <w:szCs w:val="21"/>
                <w:lang w:eastAsia="zh-CN"/>
              </w:rPr>
              <w:t>）</w:t>
            </w:r>
          </w:p>
        </w:tc>
        <w:tc>
          <w:tcPr>
            <w:tcW w:w="961" w:type="pct"/>
            <w:vAlign w:val="center"/>
          </w:tcPr>
          <w:p w14:paraId="1C732AFA">
            <w:pPr>
              <w:spacing w:line="240" w:lineRule="auto"/>
              <w:ind w:firstLine="0" w:firstLineChars="0"/>
              <w:jc w:val="center"/>
              <w:rPr>
                <w:color w:val="auto"/>
                <w:sz w:val="21"/>
                <w:szCs w:val="21"/>
              </w:rPr>
            </w:pPr>
            <w:r>
              <w:rPr>
                <w:rFonts w:hint="eastAsia"/>
                <w:color w:val="auto"/>
                <w:sz w:val="21"/>
                <w:szCs w:val="21"/>
              </w:rPr>
              <w:t>50</w:t>
            </w:r>
          </w:p>
        </w:tc>
        <w:tc>
          <w:tcPr>
            <w:tcW w:w="898" w:type="pct"/>
            <w:shd w:val="clear" w:color="auto" w:fill="auto"/>
            <w:vAlign w:val="center"/>
          </w:tcPr>
          <w:p w14:paraId="7CEA2A90">
            <w:pPr>
              <w:spacing w:line="240" w:lineRule="auto"/>
              <w:ind w:firstLine="0" w:firstLineChars="0"/>
              <w:jc w:val="center"/>
              <w:rPr>
                <w:rFonts w:eastAsia="Times New Roman"/>
                <w:color w:val="auto"/>
                <w:sz w:val="21"/>
                <w:szCs w:val="21"/>
                <w:lang w:eastAsia="en-US"/>
              </w:rPr>
            </w:pPr>
            <w:r>
              <w:rPr>
                <w:rFonts w:hint="eastAsia" w:eastAsia="Times New Roman"/>
                <w:color w:val="auto"/>
                <w:sz w:val="21"/>
                <w:szCs w:val="21"/>
                <w:lang w:eastAsia="en-US"/>
              </w:rPr>
              <w:t>1</w:t>
            </w:r>
          </w:p>
        </w:tc>
        <w:tc>
          <w:tcPr>
            <w:tcW w:w="1510" w:type="pct"/>
            <w:shd w:val="clear" w:color="auto" w:fill="auto"/>
            <w:vAlign w:val="center"/>
          </w:tcPr>
          <w:p w14:paraId="5219C7E0">
            <w:pPr>
              <w:spacing w:line="240" w:lineRule="auto"/>
              <w:ind w:firstLine="0" w:firstLineChars="0"/>
              <w:jc w:val="center"/>
              <w:rPr>
                <w:rFonts w:ascii="Times New Roman" w:hAnsi="Times New Roman" w:eastAsia="Times New Roman" w:cs="Times New Roman"/>
                <w:color w:val="auto"/>
                <w:kern w:val="2"/>
                <w:sz w:val="21"/>
                <w:szCs w:val="21"/>
                <w:lang w:val="en-US" w:eastAsia="en-US" w:bidi="ar-SA"/>
              </w:rPr>
            </w:pPr>
            <w:r>
              <w:rPr>
                <w:rFonts w:hint="eastAsia" w:eastAsia="Times New Roman"/>
                <w:color w:val="auto"/>
                <w:sz w:val="21"/>
                <w:szCs w:val="21"/>
                <w:lang w:eastAsia="en-US"/>
              </w:rPr>
              <w:t>1</w:t>
            </w:r>
          </w:p>
        </w:tc>
      </w:tr>
      <w:tr w14:paraId="567FB1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51" w:type="pct"/>
            <w:vAlign w:val="center"/>
          </w:tcPr>
          <w:p w14:paraId="68C3A140">
            <w:pPr>
              <w:widowControl/>
              <w:kinsoku w:val="0"/>
              <w:autoSpaceDE w:val="0"/>
              <w:autoSpaceDN w:val="0"/>
              <w:spacing w:line="240" w:lineRule="auto"/>
              <w:ind w:firstLine="0" w:firstLineChars="0"/>
              <w:jc w:val="center"/>
              <w:textAlignment w:val="baseline"/>
              <w:rPr>
                <w:rFonts w:eastAsia="Times New Roman"/>
                <w:color w:val="auto"/>
                <w:sz w:val="21"/>
                <w:szCs w:val="21"/>
                <w:lang w:eastAsia="en-US"/>
              </w:rPr>
            </w:pPr>
            <w:r>
              <w:rPr>
                <w:rFonts w:hint="eastAsia" w:eastAsia="Times New Roman"/>
                <w:color w:val="auto"/>
                <w:sz w:val="21"/>
                <w:szCs w:val="21"/>
                <w:lang w:eastAsia="en-US"/>
              </w:rPr>
              <w:t>20</w:t>
            </w:r>
          </w:p>
        </w:tc>
        <w:tc>
          <w:tcPr>
            <w:tcW w:w="1278" w:type="pct"/>
            <w:shd w:val="clear" w:color="auto" w:fill="auto"/>
            <w:vAlign w:val="center"/>
          </w:tcPr>
          <w:p w14:paraId="6DE08411">
            <w:pPr>
              <w:spacing w:line="240" w:lineRule="auto"/>
              <w:ind w:firstLine="0" w:firstLineChars="0"/>
              <w:jc w:val="center"/>
              <w:rPr>
                <w:rFonts w:eastAsia="Times New Roman"/>
                <w:color w:val="auto"/>
                <w:sz w:val="21"/>
                <w:szCs w:val="21"/>
                <w:lang w:eastAsia="en-US"/>
              </w:rPr>
            </w:pPr>
            <w:r>
              <w:rPr>
                <w:rFonts w:hint="eastAsia"/>
                <w:color w:val="auto"/>
                <w:sz w:val="21"/>
                <w:szCs w:val="21"/>
              </w:rPr>
              <w:t>总β放射性</w:t>
            </w:r>
            <w:r>
              <w:rPr>
                <w:rFonts w:hint="eastAsia"/>
                <w:color w:val="auto"/>
                <w:sz w:val="21"/>
                <w:szCs w:val="21"/>
                <w:lang w:eastAsia="zh-CN"/>
              </w:rPr>
              <w:t>（</w:t>
            </w:r>
            <w:r>
              <w:rPr>
                <w:rFonts w:hint="eastAsia" w:eastAsia="Times New Roman"/>
                <w:color w:val="auto"/>
                <w:sz w:val="21"/>
                <w:szCs w:val="21"/>
              </w:rPr>
              <w:t>Bq/L</w:t>
            </w:r>
            <w:r>
              <w:rPr>
                <w:rFonts w:hint="eastAsia" w:eastAsia="宋体"/>
                <w:color w:val="auto"/>
                <w:sz w:val="21"/>
                <w:szCs w:val="21"/>
                <w:lang w:eastAsia="zh-CN"/>
              </w:rPr>
              <w:t>）</w:t>
            </w:r>
          </w:p>
        </w:tc>
        <w:tc>
          <w:tcPr>
            <w:tcW w:w="961" w:type="pct"/>
            <w:vAlign w:val="center"/>
          </w:tcPr>
          <w:p w14:paraId="7B5116C5">
            <w:pPr>
              <w:spacing w:line="240" w:lineRule="auto"/>
              <w:ind w:firstLine="0" w:firstLineChars="0"/>
              <w:jc w:val="center"/>
              <w:rPr>
                <w:color w:val="auto"/>
                <w:sz w:val="21"/>
                <w:szCs w:val="21"/>
              </w:rPr>
            </w:pPr>
            <w:r>
              <w:rPr>
                <w:rFonts w:hint="eastAsia"/>
                <w:color w:val="auto"/>
                <w:sz w:val="21"/>
                <w:szCs w:val="21"/>
              </w:rPr>
              <w:t>200</w:t>
            </w:r>
          </w:p>
        </w:tc>
        <w:tc>
          <w:tcPr>
            <w:tcW w:w="898" w:type="pct"/>
            <w:shd w:val="clear" w:color="auto" w:fill="auto"/>
            <w:vAlign w:val="center"/>
          </w:tcPr>
          <w:p w14:paraId="2822CCD4">
            <w:pPr>
              <w:spacing w:line="240" w:lineRule="auto"/>
              <w:ind w:firstLine="0" w:firstLineChars="0"/>
              <w:jc w:val="center"/>
              <w:rPr>
                <w:rFonts w:eastAsiaTheme="minorEastAsia"/>
                <w:color w:val="auto"/>
                <w:sz w:val="21"/>
                <w:szCs w:val="21"/>
              </w:rPr>
            </w:pPr>
            <w:r>
              <w:rPr>
                <w:rFonts w:hint="eastAsia" w:eastAsiaTheme="minorEastAsia"/>
                <w:color w:val="auto"/>
                <w:sz w:val="21"/>
                <w:szCs w:val="21"/>
              </w:rPr>
              <w:t>10</w:t>
            </w:r>
          </w:p>
        </w:tc>
        <w:tc>
          <w:tcPr>
            <w:tcW w:w="1510" w:type="pct"/>
            <w:shd w:val="clear" w:color="auto" w:fill="auto"/>
            <w:vAlign w:val="center"/>
          </w:tcPr>
          <w:p w14:paraId="23C94EDC">
            <w:pPr>
              <w:spacing w:line="240" w:lineRule="auto"/>
              <w:ind w:firstLine="0" w:firstLineChars="0"/>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 w:val="21"/>
                <w:szCs w:val="21"/>
              </w:rPr>
              <w:t>10</w:t>
            </w:r>
          </w:p>
        </w:tc>
      </w:tr>
    </w:tbl>
    <w:p w14:paraId="3F9B097D">
      <w:pPr>
        <w:ind w:firstLine="482"/>
        <w:jc w:val="center"/>
        <w:rPr>
          <w:b/>
          <w:snapToGrid w:val="0"/>
          <w:color w:val="auto"/>
          <w:kern w:val="0"/>
          <w:szCs w:val="24"/>
        </w:rPr>
      </w:pPr>
    </w:p>
    <w:p w14:paraId="4275CC0E">
      <w:pPr>
        <w:ind w:firstLine="482"/>
        <w:jc w:val="center"/>
        <w:rPr>
          <w:b/>
          <w:snapToGrid w:val="0"/>
          <w:color w:val="auto"/>
          <w:kern w:val="0"/>
          <w:szCs w:val="24"/>
        </w:rPr>
      </w:pPr>
      <w:r>
        <w:rPr>
          <w:b/>
          <w:snapToGrid w:val="0"/>
          <w:color w:val="auto"/>
          <w:kern w:val="0"/>
          <w:szCs w:val="24"/>
        </w:rPr>
        <w:t>表</w:t>
      </w:r>
      <w:r>
        <w:rPr>
          <w:rFonts w:hint="eastAsia"/>
          <w:b/>
          <w:snapToGrid w:val="0"/>
          <w:color w:val="auto"/>
          <w:kern w:val="0"/>
          <w:szCs w:val="24"/>
          <w:lang w:eastAsia="zh-CN"/>
        </w:rPr>
        <w:t>2.6</w:t>
      </w:r>
      <w:r>
        <w:rPr>
          <w:b/>
          <w:snapToGrid w:val="0"/>
          <w:color w:val="auto"/>
          <w:kern w:val="0"/>
          <w:szCs w:val="24"/>
        </w:rPr>
        <w:t>-</w:t>
      </w:r>
      <w:r>
        <w:rPr>
          <w:rFonts w:hint="eastAsia"/>
          <w:b/>
          <w:snapToGrid w:val="0"/>
          <w:color w:val="auto"/>
          <w:kern w:val="0"/>
          <w:szCs w:val="24"/>
        </w:rPr>
        <w:t>6</w:t>
      </w:r>
      <w:r>
        <w:rPr>
          <w:b/>
          <w:snapToGrid w:val="0"/>
          <w:color w:val="auto"/>
          <w:kern w:val="0"/>
          <w:szCs w:val="24"/>
        </w:rPr>
        <w:t xml:space="preserve"> </w:t>
      </w:r>
      <w:r>
        <w:rPr>
          <w:rFonts w:hint="eastAsia"/>
          <w:b/>
          <w:snapToGrid w:val="0"/>
          <w:color w:val="auto"/>
          <w:kern w:val="0"/>
          <w:szCs w:val="24"/>
        </w:rPr>
        <w:t>园区污水处理厂</w:t>
      </w:r>
      <w:r>
        <w:rPr>
          <w:b/>
          <w:snapToGrid w:val="0"/>
          <w:color w:val="auto"/>
          <w:kern w:val="0"/>
          <w:szCs w:val="24"/>
        </w:rPr>
        <w:t>水污染物</w:t>
      </w:r>
      <w:r>
        <w:rPr>
          <w:rFonts w:hint="eastAsia"/>
          <w:b/>
          <w:snapToGrid w:val="0"/>
          <w:color w:val="auto"/>
          <w:kern w:val="0"/>
          <w:szCs w:val="24"/>
        </w:rPr>
        <w:t>相关</w:t>
      </w:r>
      <w:r>
        <w:rPr>
          <w:b/>
          <w:snapToGrid w:val="0"/>
          <w:color w:val="auto"/>
          <w:kern w:val="0"/>
          <w:szCs w:val="24"/>
        </w:rPr>
        <w:t>标准</w:t>
      </w:r>
      <w:r>
        <w:rPr>
          <w:rFonts w:hint="eastAsia"/>
          <w:b/>
          <w:snapToGrid w:val="0"/>
          <w:color w:val="auto"/>
          <w:kern w:val="0"/>
          <w:szCs w:val="24"/>
        </w:rPr>
        <w:t xml:space="preserve">   </w:t>
      </w:r>
      <w:r>
        <w:rPr>
          <w:b/>
          <w:snapToGrid w:val="0"/>
          <w:color w:val="auto"/>
          <w:kern w:val="0"/>
          <w:szCs w:val="24"/>
        </w:rPr>
        <w:t>单位：mg/L</w:t>
      </w:r>
    </w:p>
    <w:tbl>
      <w:tblPr>
        <w:tblStyle w:val="8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55"/>
        <w:gridCol w:w="3344"/>
        <w:gridCol w:w="4487"/>
      </w:tblGrid>
      <w:tr w14:paraId="120CD8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3" w:type="pct"/>
            <w:vAlign w:val="center"/>
          </w:tcPr>
          <w:p w14:paraId="0D4AEB3B">
            <w:pPr>
              <w:spacing w:line="320" w:lineRule="exact"/>
              <w:ind w:firstLine="0" w:firstLineChars="0"/>
              <w:jc w:val="center"/>
              <w:rPr>
                <w:snapToGrid w:val="0"/>
                <w:color w:val="auto"/>
                <w:kern w:val="0"/>
                <w:sz w:val="21"/>
                <w:szCs w:val="21"/>
              </w:rPr>
            </w:pPr>
            <w:r>
              <w:rPr>
                <w:rFonts w:hint="eastAsia"/>
                <w:color w:val="auto"/>
                <w:sz w:val="21"/>
                <w:szCs w:val="21"/>
              </w:rPr>
              <w:t>序号</w:t>
            </w:r>
          </w:p>
        </w:tc>
        <w:tc>
          <w:tcPr>
            <w:tcW w:w="1800" w:type="pct"/>
            <w:vAlign w:val="center"/>
          </w:tcPr>
          <w:p w14:paraId="7030D296">
            <w:pPr>
              <w:spacing w:line="320" w:lineRule="exact"/>
              <w:ind w:firstLine="0" w:firstLineChars="0"/>
              <w:jc w:val="center"/>
              <w:rPr>
                <w:snapToGrid w:val="0"/>
                <w:color w:val="auto"/>
                <w:kern w:val="0"/>
                <w:sz w:val="21"/>
                <w:szCs w:val="21"/>
              </w:rPr>
            </w:pPr>
            <w:r>
              <w:rPr>
                <w:rFonts w:hint="eastAsia"/>
                <w:color w:val="auto"/>
                <w:sz w:val="21"/>
                <w:szCs w:val="21"/>
              </w:rPr>
              <w:t>污染物名称</w:t>
            </w:r>
          </w:p>
        </w:tc>
        <w:tc>
          <w:tcPr>
            <w:tcW w:w="2415" w:type="pct"/>
            <w:vAlign w:val="center"/>
          </w:tcPr>
          <w:p w14:paraId="34074E85">
            <w:pPr>
              <w:widowControl/>
              <w:spacing w:line="320" w:lineRule="exact"/>
              <w:ind w:firstLine="0" w:firstLineChars="0"/>
              <w:jc w:val="center"/>
              <w:textAlignment w:val="top"/>
              <w:rPr>
                <w:snapToGrid w:val="0"/>
                <w:color w:val="auto"/>
                <w:kern w:val="0"/>
                <w:sz w:val="21"/>
                <w:szCs w:val="21"/>
              </w:rPr>
            </w:pPr>
            <w:r>
              <w:rPr>
                <w:rFonts w:hint="eastAsia"/>
                <w:color w:val="auto"/>
                <w:sz w:val="21"/>
                <w:szCs w:val="21"/>
                <w:lang w:eastAsia="zh-CN"/>
              </w:rPr>
              <w:t>乌杨组团园区污水处理厂</w:t>
            </w:r>
            <w:r>
              <w:rPr>
                <w:rFonts w:hint="eastAsia"/>
                <w:color w:val="auto"/>
                <w:sz w:val="21"/>
                <w:szCs w:val="21"/>
              </w:rPr>
              <w:t>出水标准限值（GB18918-2002）一级A标准）</w:t>
            </w:r>
          </w:p>
        </w:tc>
      </w:tr>
      <w:tr w14:paraId="67CF57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3" w:type="pct"/>
            <w:vAlign w:val="center"/>
          </w:tcPr>
          <w:p w14:paraId="4A915ADE">
            <w:pPr>
              <w:spacing w:line="320" w:lineRule="exact"/>
              <w:ind w:firstLine="0" w:firstLineChars="0"/>
              <w:jc w:val="center"/>
              <w:rPr>
                <w:snapToGrid w:val="0"/>
                <w:color w:val="auto"/>
                <w:kern w:val="0"/>
                <w:sz w:val="21"/>
                <w:szCs w:val="21"/>
              </w:rPr>
            </w:pPr>
            <w:r>
              <w:rPr>
                <w:rFonts w:hint="eastAsia"/>
                <w:color w:val="auto"/>
                <w:sz w:val="21"/>
                <w:szCs w:val="21"/>
              </w:rPr>
              <w:t>1</w:t>
            </w:r>
          </w:p>
        </w:tc>
        <w:tc>
          <w:tcPr>
            <w:tcW w:w="1800" w:type="pct"/>
            <w:vAlign w:val="center"/>
          </w:tcPr>
          <w:p w14:paraId="2475832D">
            <w:pPr>
              <w:spacing w:line="320" w:lineRule="exact"/>
              <w:ind w:firstLine="0" w:firstLineChars="0"/>
              <w:jc w:val="center"/>
              <w:rPr>
                <w:snapToGrid w:val="0"/>
                <w:color w:val="auto"/>
                <w:kern w:val="0"/>
                <w:sz w:val="21"/>
                <w:szCs w:val="21"/>
              </w:rPr>
            </w:pPr>
            <w:r>
              <w:rPr>
                <w:rFonts w:hint="eastAsia"/>
                <w:color w:val="auto"/>
                <w:sz w:val="21"/>
                <w:szCs w:val="21"/>
              </w:rPr>
              <w:t>pH</w:t>
            </w:r>
          </w:p>
        </w:tc>
        <w:tc>
          <w:tcPr>
            <w:tcW w:w="2415" w:type="pct"/>
            <w:vAlign w:val="center"/>
          </w:tcPr>
          <w:p w14:paraId="15474A7F">
            <w:pPr>
              <w:spacing w:line="320" w:lineRule="exact"/>
              <w:ind w:firstLine="0" w:firstLineChars="0"/>
              <w:jc w:val="center"/>
              <w:rPr>
                <w:snapToGrid w:val="0"/>
                <w:color w:val="auto"/>
                <w:kern w:val="0"/>
                <w:sz w:val="21"/>
                <w:szCs w:val="21"/>
              </w:rPr>
            </w:pPr>
            <w:r>
              <w:rPr>
                <w:rFonts w:hint="eastAsia"/>
                <w:color w:val="auto"/>
                <w:sz w:val="21"/>
                <w:szCs w:val="21"/>
              </w:rPr>
              <w:t>6~9</w:t>
            </w:r>
          </w:p>
        </w:tc>
      </w:tr>
      <w:tr w14:paraId="49FF6E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3" w:type="pct"/>
            <w:vAlign w:val="center"/>
          </w:tcPr>
          <w:p w14:paraId="4C97B9F4">
            <w:pPr>
              <w:spacing w:line="320" w:lineRule="exact"/>
              <w:ind w:firstLine="0" w:firstLineChars="0"/>
              <w:jc w:val="center"/>
              <w:rPr>
                <w:snapToGrid w:val="0"/>
                <w:color w:val="auto"/>
                <w:kern w:val="0"/>
                <w:sz w:val="21"/>
                <w:szCs w:val="21"/>
              </w:rPr>
            </w:pPr>
            <w:r>
              <w:rPr>
                <w:rFonts w:hint="eastAsia"/>
                <w:color w:val="auto"/>
                <w:sz w:val="21"/>
                <w:szCs w:val="21"/>
              </w:rPr>
              <w:t>2</w:t>
            </w:r>
          </w:p>
        </w:tc>
        <w:tc>
          <w:tcPr>
            <w:tcW w:w="1800" w:type="pct"/>
            <w:vAlign w:val="center"/>
          </w:tcPr>
          <w:p w14:paraId="2CA14257">
            <w:pPr>
              <w:spacing w:line="320" w:lineRule="exact"/>
              <w:ind w:firstLine="0" w:firstLineChars="0"/>
              <w:jc w:val="center"/>
              <w:rPr>
                <w:snapToGrid w:val="0"/>
                <w:color w:val="auto"/>
                <w:kern w:val="0"/>
                <w:sz w:val="21"/>
                <w:szCs w:val="21"/>
              </w:rPr>
            </w:pPr>
            <w:r>
              <w:rPr>
                <w:rFonts w:hint="eastAsia"/>
                <w:color w:val="auto"/>
                <w:sz w:val="21"/>
                <w:szCs w:val="21"/>
              </w:rPr>
              <w:t>COD</w:t>
            </w:r>
          </w:p>
        </w:tc>
        <w:tc>
          <w:tcPr>
            <w:tcW w:w="2415" w:type="pct"/>
            <w:vAlign w:val="center"/>
          </w:tcPr>
          <w:p w14:paraId="595A0C1E">
            <w:pPr>
              <w:spacing w:line="320" w:lineRule="exact"/>
              <w:ind w:firstLine="0" w:firstLineChars="0"/>
              <w:jc w:val="center"/>
              <w:rPr>
                <w:snapToGrid w:val="0"/>
                <w:color w:val="auto"/>
                <w:kern w:val="0"/>
                <w:sz w:val="21"/>
                <w:szCs w:val="21"/>
              </w:rPr>
            </w:pPr>
            <w:r>
              <w:rPr>
                <w:rFonts w:hint="eastAsia"/>
                <w:snapToGrid w:val="0"/>
                <w:color w:val="auto"/>
                <w:kern w:val="0"/>
                <w:sz w:val="21"/>
                <w:szCs w:val="21"/>
              </w:rPr>
              <w:t>50</w:t>
            </w:r>
          </w:p>
        </w:tc>
      </w:tr>
      <w:tr w14:paraId="226EAB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3" w:type="pct"/>
            <w:vAlign w:val="center"/>
          </w:tcPr>
          <w:p w14:paraId="47ABCACC">
            <w:pPr>
              <w:spacing w:line="320" w:lineRule="exact"/>
              <w:ind w:firstLine="0" w:firstLineChars="0"/>
              <w:jc w:val="center"/>
              <w:rPr>
                <w:snapToGrid w:val="0"/>
                <w:color w:val="auto"/>
                <w:kern w:val="0"/>
                <w:sz w:val="21"/>
                <w:szCs w:val="21"/>
              </w:rPr>
            </w:pPr>
            <w:r>
              <w:rPr>
                <w:rFonts w:hint="eastAsia"/>
                <w:color w:val="auto"/>
                <w:sz w:val="21"/>
                <w:szCs w:val="21"/>
              </w:rPr>
              <w:t>3</w:t>
            </w:r>
          </w:p>
        </w:tc>
        <w:tc>
          <w:tcPr>
            <w:tcW w:w="1800" w:type="pct"/>
            <w:vAlign w:val="center"/>
          </w:tcPr>
          <w:p w14:paraId="7A2A2DD0">
            <w:pPr>
              <w:spacing w:line="320" w:lineRule="exact"/>
              <w:ind w:firstLine="0" w:firstLineChars="0"/>
              <w:jc w:val="center"/>
              <w:rPr>
                <w:snapToGrid w:val="0"/>
                <w:color w:val="auto"/>
                <w:kern w:val="0"/>
                <w:sz w:val="21"/>
                <w:szCs w:val="21"/>
              </w:rPr>
            </w:pPr>
            <w:r>
              <w:rPr>
                <w:rFonts w:hint="eastAsia"/>
                <w:color w:val="auto"/>
                <w:sz w:val="21"/>
                <w:szCs w:val="21"/>
              </w:rPr>
              <w:t>BOD</w:t>
            </w:r>
            <w:r>
              <w:rPr>
                <w:rFonts w:hint="eastAsia"/>
                <w:color w:val="auto"/>
                <w:sz w:val="21"/>
                <w:szCs w:val="21"/>
                <w:vertAlign w:val="subscript"/>
              </w:rPr>
              <w:t>5</w:t>
            </w:r>
          </w:p>
        </w:tc>
        <w:tc>
          <w:tcPr>
            <w:tcW w:w="2415" w:type="pct"/>
            <w:vAlign w:val="center"/>
          </w:tcPr>
          <w:p w14:paraId="61E7E27A">
            <w:pPr>
              <w:spacing w:line="320" w:lineRule="exact"/>
              <w:ind w:firstLine="0" w:firstLineChars="0"/>
              <w:jc w:val="center"/>
              <w:rPr>
                <w:snapToGrid w:val="0"/>
                <w:color w:val="auto"/>
                <w:kern w:val="0"/>
                <w:sz w:val="21"/>
                <w:szCs w:val="21"/>
              </w:rPr>
            </w:pPr>
            <w:r>
              <w:rPr>
                <w:rFonts w:hint="eastAsia"/>
                <w:color w:val="auto"/>
                <w:sz w:val="21"/>
                <w:szCs w:val="21"/>
              </w:rPr>
              <w:t>10</w:t>
            </w:r>
          </w:p>
        </w:tc>
      </w:tr>
      <w:tr w14:paraId="188736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3" w:type="pct"/>
            <w:vAlign w:val="center"/>
          </w:tcPr>
          <w:p w14:paraId="0501F1BA">
            <w:pPr>
              <w:spacing w:line="320" w:lineRule="exact"/>
              <w:ind w:firstLine="0" w:firstLineChars="0"/>
              <w:jc w:val="center"/>
              <w:rPr>
                <w:snapToGrid w:val="0"/>
                <w:color w:val="auto"/>
                <w:kern w:val="0"/>
                <w:sz w:val="21"/>
                <w:szCs w:val="21"/>
              </w:rPr>
            </w:pPr>
            <w:r>
              <w:rPr>
                <w:rFonts w:hint="eastAsia"/>
                <w:color w:val="auto"/>
                <w:sz w:val="21"/>
                <w:szCs w:val="21"/>
              </w:rPr>
              <w:t>4</w:t>
            </w:r>
          </w:p>
        </w:tc>
        <w:tc>
          <w:tcPr>
            <w:tcW w:w="1800" w:type="pct"/>
            <w:vAlign w:val="center"/>
          </w:tcPr>
          <w:p w14:paraId="2D058F4A">
            <w:pPr>
              <w:spacing w:line="320" w:lineRule="exact"/>
              <w:ind w:firstLine="0" w:firstLineChars="0"/>
              <w:jc w:val="center"/>
              <w:rPr>
                <w:snapToGrid w:val="0"/>
                <w:color w:val="auto"/>
                <w:kern w:val="0"/>
                <w:sz w:val="21"/>
                <w:szCs w:val="21"/>
              </w:rPr>
            </w:pPr>
            <w:r>
              <w:rPr>
                <w:rFonts w:hint="eastAsia"/>
                <w:color w:val="auto"/>
                <w:sz w:val="21"/>
                <w:szCs w:val="21"/>
              </w:rPr>
              <w:t>SS</w:t>
            </w:r>
          </w:p>
        </w:tc>
        <w:tc>
          <w:tcPr>
            <w:tcW w:w="2415" w:type="pct"/>
            <w:vAlign w:val="center"/>
          </w:tcPr>
          <w:p w14:paraId="6ADB35DB">
            <w:pPr>
              <w:spacing w:line="320" w:lineRule="exact"/>
              <w:ind w:firstLine="0" w:firstLineChars="0"/>
              <w:jc w:val="center"/>
              <w:rPr>
                <w:snapToGrid w:val="0"/>
                <w:color w:val="auto"/>
                <w:kern w:val="0"/>
                <w:sz w:val="21"/>
                <w:szCs w:val="21"/>
              </w:rPr>
            </w:pPr>
            <w:r>
              <w:rPr>
                <w:rFonts w:hint="eastAsia"/>
                <w:color w:val="auto"/>
                <w:sz w:val="21"/>
                <w:szCs w:val="21"/>
              </w:rPr>
              <w:t>10</w:t>
            </w:r>
          </w:p>
        </w:tc>
      </w:tr>
      <w:tr w14:paraId="341BC9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3" w:type="pct"/>
            <w:vAlign w:val="center"/>
          </w:tcPr>
          <w:p w14:paraId="73A68ECD">
            <w:pPr>
              <w:spacing w:line="320" w:lineRule="exact"/>
              <w:ind w:firstLine="0" w:firstLineChars="0"/>
              <w:jc w:val="center"/>
              <w:rPr>
                <w:snapToGrid w:val="0"/>
                <w:color w:val="auto"/>
                <w:kern w:val="0"/>
                <w:sz w:val="21"/>
                <w:szCs w:val="21"/>
              </w:rPr>
            </w:pPr>
            <w:r>
              <w:rPr>
                <w:rFonts w:hint="eastAsia"/>
                <w:color w:val="auto"/>
                <w:sz w:val="21"/>
                <w:szCs w:val="21"/>
              </w:rPr>
              <w:t>5</w:t>
            </w:r>
          </w:p>
        </w:tc>
        <w:tc>
          <w:tcPr>
            <w:tcW w:w="1800" w:type="pct"/>
            <w:vAlign w:val="center"/>
          </w:tcPr>
          <w:p w14:paraId="0A6F6D0D">
            <w:pPr>
              <w:spacing w:line="320" w:lineRule="exact"/>
              <w:ind w:firstLine="0" w:firstLineChars="0"/>
              <w:jc w:val="center"/>
              <w:rPr>
                <w:snapToGrid w:val="0"/>
                <w:color w:val="auto"/>
                <w:kern w:val="0"/>
                <w:sz w:val="21"/>
                <w:szCs w:val="21"/>
              </w:rPr>
            </w:pPr>
            <w:r>
              <w:rPr>
                <w:rFonts w:hint="eastAsia"/>
                <w:color w:val="auto"/>
                <w:sz w:val="21"/>
                <w:szCs w:val="21"/>
              </w:rPr>
              <w:t>氨氮</w:t>
            </w:r>
          </w:p>
        </w:tc>
        <w:tc>
          <w:tcPr>
            <w:tcW w:w="2415" w:type="pct"/>
            <w:vAlign w:val="center"/>
          </w:tcPr>
          <w:p w14:paraId="5E297C9D">
            <w:pPr>
              <w:spacing w:line="320" w:lineRule="exact"/>
              <w:ind w:firstLine="0" w:firstLineChars="0"/>
              <w:jc w:val="center"/>
              <w:rPr>
                <w:snapToGrid w:val="0"/>
                <w:color w:val="auto"/>
                <w:kern w:val="0"/>
                <w:sz w:val="21"/>
                <w:szCs w:val="21"/>
              </w:rPr>
            </w:pPr>
            <w:r>
              <w:rPr>
                <w:rFonts w:hint="eastAsia"/>
                <w:snapToGrid w:val="0"/>
                <w:color w:val="auto"/>
                <w:kern w:val="0"/>
                <w:sz w:val="21"/>
                <w:szCs w:val="21"/>
              </w:rPr>
              <w:t>5</w:t>
            </w:r>
            <w:r>
              <w:rPr>
                <w:rFonts w:hint="eastAsia"/>
                <w:snapToGrid w:val="0"/>
                <w:color w:val="auto"/>
                <w:kern w:val="0"/>
                <w:sz w:val="21"/>
                <w:szCs w:val="21"/>
                <w:lang w:eastAsia="zh-CN"/>
              </w:rPr>
              <w:t>(</w:t>
            </w:r>
            <w:r>
              <w:rPr>
                <w:rFonts w:hint="eastAsia"/>
                <w:snapToGrid w:val="0"/>
                <w:color w:val="auto"/>
                <w:kern w:val="0"/>
                <w:sz w:val="21"/>
                <w:szCs w:val="21"/>
              </w:rPr>
              <w:t>8</w:t>
            </w:r>
            <w:r>
              <w:rPr>
                <w:rFonts w:hint="eastAsia"/>
                <w:snapToGrid w:val="0"/>
                <w:color w:val="auto"/>
                <w:kern w:val="0"/>
                <w:sz w:val="21"/>
                <w:szCs w:val="21"/>
                <w:lang w:eastAsia="zh-CN"/>
              </w:rPr>
              <w:t>)</w:t>
            </w:r>
          </w:p>
        </w:tc>
      </w:tr>
      <w:tr w14:paraId="139992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3" w:type="pct"/>
            <w:vAlign w:val="center"/>
          </w:tcPr>
          <w:p w14:paraId="2B8EA652">
            <w:pPr>
              <w:spacing w:line="320" w:lineRule="exact"/>
              <w:ind w:firstLine="0" w:firstLineChars="0"/>
              <w:jc w:val="center"/>
              <w:rPr>
                <w:snapToGrid w:val="0"/>
                <w:color w:val="auto"/>
                <w:kern w:val="0"/>
                <w:sz w:val="21"/>
                <w:szCs w:val="21"/>
              </w:rPr>
            </w:pPr>
            <w:r>
              <w:rPr>
                <w:rFonts w:hint="eastAsia"/>
                <w:color w:val="auto"/>
                <w:sz w:val="21"/>
                <w:szCs w:val="21"/>
              </w:rPr>
              <w:t>6</w:t>
            </w:r>
          </w:p>
        </w:tc>
        <w:tc>
          <w:tcPr>
            <w:tcW w:w="1800" w:type="pct"/>
            <w:vAlign w:val="center"/>
          </w:tcPr>
          <w:p w14:paraId="1A71CA46">
            <w:pPr>
              <w:spacing w:line="320" w:lineRule="exact"/>
              <w:ind w:firstLine="0" w:firstLineChars="0"/>
              <w:jc w:val="center"/>
              <w:rPr>
                <w:snapToGrid w:val="0"/>
                <w:color w:val="auto"/>
                <w:kern w:val="0"/>
                <w:sz w:val="21"/>
                <w:szCs w:val="21"/>
              </w:rPr>
            </w:pPr>
            <w:r>
              <w:rPr>
                <w:rFonts w:hint="eastAsia"/>
                <w:color w:val="auto"/>
                <w:sz w:val="21"/>
                <w:szCs w:val="21"/>
              </w:rPr>
              <w:t>总氮</w:t>
            </w:r>
          </w:p>
        </w:tc>
        <w:tc>
          <w:tcPr>
            <w:tcW w:w="2415" w:type="pct"/>
            <w:vAlign w:val="center"/>
          </w:tcPr>
          <w:p w14:paraId="58F4A5AF">
            <w:pPr>
              <w:spacing w:line="320" w:lineRule="exact"/>
              <w:ind w:firstLine="0" w:firstLineChars="0"/>
              <w:jc w:val="center"/>
              <w:rPr>
                <w:snapToGrid w:val="0"/>
                <w:color w:val="auto"/>
                <w:kern w:val="0"/>
                <w:sz w:val="21"/>
                <w:szCs w:val="21"/>
              </w:rPr>
            </w:pPr>
            <w:r>
              <w:rPr>
                <w:rFonts w:hint="eastAsia"/>
                <w:color w:val="auto"/>
                <w:sz w:val="21"/>
                <w:szCs w:val="21"/>
              </w:rPr>
              <w:t>15</w:t>
            </w:r>
          </w:p>
        </w:tc>
      </w:tr>
      <w:tr w14:paraId="5BD14E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3" w:type="pct"/>
            <w:vAlign w:val="center"/>
          </w:tcPr>
          <w:p w14:paraId="53F2AE12">
            <w:pPr>
              <w:spacing w:line="320" w:lineRule="exact"/>
              <w:ind w:firstLine="0" w:firstLineChars="0"/>
              <w:jc w:val="center"/>
              <w:rPr>
                <w:snapToGrid w:val="0"/>
                <w:color w:val="auto"/>
                <w:kern w:val="0"/>
                <w:sz w:val="21"/>
                <w:szCs w:val="21"/>
              </w:rPr>
            </w:pPr>
            <w:r>
              <w:rPr>
                <w:rFonts w:hint="eastAsia"/>
                <w:color w:val="auto"/>
                <w:sz w:val="21"/>
                <w:szCs w:val="21"/>
              </w:rPr>
              <w:t>7</w:t>
            </w:r>
          </w:p>
        </w:tc>
        <w:tc>
          <w:tcPr>
            <w:tcW w:w="1800" w:type="pct"/>
            <w:vAlign w:val="center"/>
          </w:tcPr>
          <w:p w14:paraId="2A7FF448">
            <w:pPr>
              <w:spacing w:line="320" w:lineRule="exact"/>
              <w:ind w:firstLine="0" w:firstLineChars="0"/>
              <w:jc w:val="center"/>
              <w:rPr>
                <w:snapToGrid w:val="0"/>
                <w:color w:val="auto"/>
                <w:kern w:val="0"/>
                <w:sz w:val="21"/>
                <w:szCs w:val="21"/>
              </w:rPr>
            </w:pPr>
            <w:r>
              <w:rPr>
                <w:rFonts w:hint="eastAsia"/>
                <w:color w:val="auto"/>
                <w:sz w:val="21"/>
                <w:szCs w:val="21"/>
              </w:rPr>
              <w:t>总磷（以P计）</w:t>
            </w:r>
          </w:p>
        </w:tc>
        <w:tc>
          <w:tcPr>
            <w:tcW w:w="2415" w:type="pct"/>
            <w:vAlign w:val="center"/>
          </w:tcPr>
          <w:p w14:paraId="514FCDFA">
            <w:pPr>
              <w:spacing w:line="320" w:lineRule="exact"/>
              <w:ind w:firstLine="0" w:firstLineChars="0"/>
              <w:jc w:val="center"/>
              <w:rPr>
                <w:snapToGrid w:val="0"/>
                <w:color w:val="auto"/>
                <w:kern w:val="0"/>
                <w:sz w:val="21"/>
                <w:szCs w:val="21"/>
              </w:rPr>
            </w:pPr>
            <w:r>
              <w:rPr>
                <w:rFonts w:hint="eastAsia"/>
                <w:snapToGrid w:val="0"/>
                <w:color w:val="auto"/>
                <w:kern w:val="0"/>
                <w:sz w:val="21"/>
                <w:szCs w:val="21"/>
              </w:rPr>
              <w:t>0.5</w:t>
            </w:r>
          </w:p>
        </w:tc>
      </w:tr>
      <w:tr w14:paraId="0B1354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3" w:type="pct"/>
            <w:vAlign w:val="center"/>
          </w:tcPr>
          <w:p w14:paraId="4FA636E3">
            <w:pPr>
              <w:spacing w:line="320" w:lineRule="exact"/>
              <w:ind w:firstLine="0" w:firstLineChars="0"/>
              <w:jc w:val="center"/>
              <w:rPr>
                <w:snapToGrid w:val="0"/>
                <w:color w:val="auto"/>
                <w:kern w:val="0"/>
                <w:sz w:val="21"/>
                <w:szCs w:val="21"/>
              </w:rPr>
            </w:pPr>
            <w:r>
              <w:rPr>
                <w:rFonts w:hint="eastAsia"/>
                <w:color w:val="auto"/>
                <w:sz w:val="21"/>
                <w:szCs w:val="21"/>
              </w:rPr>
              <w:t>8</w:t>
            </w:r>
          </w:p>
        </w:tc>
        <w:tc>
          <w:tcPr>
            <w:tcW w:w="1800" w:type="pct"/>
            <w:vAlign w:val="center"/>
          </w:tcPr>
          <w:p w14:paraId="25CE3A46">
            <w:pPr>
              <w:spacing w:line="320" w:lineRule="exact"/>
              <w:ind w:firstLine="0" w:firstLineChars="0"/>
              <w:jc w:val="center"/>
              <w:rPr>
                <w:snapToGrid w:val="0"/>
                <w:color w:val="auto"/>
                <w:kern w:val="0"/>
                <w:sz w:val="21"/>
                <w:szCs w:val="21"/>
              </w:rPr>
            </w:pPr>
            <w:r>
              <w:rPr>
                <w:rFonts w:hint="eastAsia"/>
                <w:color w:val="auto"/>
                <w:sz w:val="21"/>
                <w:szCs w:val="21"/>
              </w:rPr>
              <w:t>色度（稀释倍数）</w:t>
            </w:r>
          </w:p>
        </w:tc>
        <w:tc>
          <w:tcPr>
            <w:tcW w:w="2415" w:type="pct"/>
            <w:vAlign w:val="center"/>
          </w:tcPr>
          <w:p w14:paraId="308AE058">
            <w:pPr>
              <w:spacing w:line="320" w:lineRule="exact"/>
              <w:ind w:firstLine="0" w:firstLineChars="0"/>
              <w:jc w:val="center"/>
              <w:rPr>
                <w:rFonts w:hint="default" w:eastAsia="宋体"/>
                <w:snapToGrid w:val="0"/>
                <w:color w:val="auto"/>
                <w:kern w:val="0"/>
                <w:sz w:val="21"/>
                <w:szCs w:val="21"/>
                <w:lang w:val="en-US" w:eastAsia="zh-CN"/>
              </w:rPr>
            </w:pPr>
            <w:r>
              <w:rPr>
                <w:rFonts w:hint="eastAsia"/>
                <w:color w:val="auto"/>
                <w:sz w:val="21"/>
                <w:szCs w:val="21"/>
                <w:lang w:val="en-US" w:eastAsia="zh-CN"/>
              </w:rPr>
              <w:t>30</w:t>
            </w:r>
          </w:p>
        </w:tc>
      </w:tr>
      <w:tr w14:paraId="32CC53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3" w:type="pct"/>
            <w:vAlign w:val="center"/>
          </w:tcPr>
          <w:p w14:paraId="5D5FF098">
            <w:pPr>
              <w:spacing w:line="320" w:lineRule="exact"/>
              <w:ind w:firstLine="0" w:firstLineChars="0"/>
              <w:jc w:val="center"/>
              <w:rPr>
                <w:snapToGrid w:val="0"/>
                <w:color w:val="auto"/>
                <w:kern w:val="0"/>
                <w:sz w:val="21"/>
                <w:szCs w:val="21"/>
              </w:rPr>
            </w:pPr>
            <w:r>
              <w:rPr>
                <w:rFonts w:hint="eastAsia"/>
                <w:color w:val="auto"/>
                <w:sz w:val="21"/>
                <w:szCs w:val="21"/>
              </w:rPr>
              <w:t>9</w:t>
            </w:r>
          </w:p>
        </w:tc>
        <w:tc>
          <w:tcPr>
            <w:tcW w:w="1800" w:type="pct"/>
            <w:shd w:val="clear" w:color="auto" w:fill="auto"/>
            <w:vAlign w:val="center"/>
          </w:tcPr>
          <w:p w14:paraId="2FC03446">
            <w:pPr>
              <w:spacing w:line="320" w:lineRule="exact"/>
              <w:ind w:firstLine="0" w:firstLineChars="0"/>
              <w:jc w:val="center"/>
              <w:rPr>
                <w:color w:val="auto"/>
                <w:sz w:val="21"/>
                <w:szCs w:val="21"/>
              </w:rPr>
            </w:pPr>
            <w:r>
              <w:rPr>
                <w:rFonts w:hint="eastAsia"/>
                <w:color w:val="auto"/>
                <w:sz w:val="21"/>
                <w:szCs w:val="21"/>
              </w:rPr>
              <w:t>石油类</w:t>
            </w:r>
          </w:p>
        </w:tc>
        <w:tc>
          <w:tcPr>
            <w:tcW w:w="2415" w:type="pct"/>
            <w:shd w:val="clear" w:color="auto" w:fill="auto"/>
            <w:vAlign w:val="center"/>
          </w:tcPr>
          <w:p w14:paraId="20CF894B">
            <w:pPr>
              <w:spacing w:line="320" w:lineRule="exact"/>
              <w:ind w:firstLine="0" w:firstLineChars="0"/>
              <w:jc w:val="center"/>
              <w:rPr>
                <w:color w:val="auto"/>
                <w:sz w:val="21"/>
                <w:szCs w:val="21"/>
              </w:rPr>
            </w:pPr>
            <w:r>
              <w:rPr>
                <w:rFonts w:hint="eastAsia"/>
                <w:color w:val="auto"/>
                <w:sz w:val="21"/>
                <w:szCs w:val="21"/>
              </w:rPr>
              <w:t>1</w:t>
            </w:r>
          </w:p>
        </w:tc>
      </w:tr>
      <w:tr w14:paraId="7A672C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3" w:type="pct"/>
            <w:vAlign w:val="center"/>
          </w:tcPr>
          <w:p w14:paraId="2DD886BB">
            <w:pPr>
              <w:spacing w:line="320" w:lineRule="exact"/>
              <w:ind w:firstLine="0" w:firstLineChars="0"/>
              <w:jc w:val="center"/>
              <w:rPr>
                <w:snapToGrid w:val="0"/>
                <w:color w:val="auto"/>
                <w:kern w:val="0"/>
                <w:sz w:val="21"/>
                <w:szCs w:val="21"/>
              </w:rPr>
            </w:pPr>
            <w:r>
              <w:rPr>
                <w:rFonts w:hint="eastAsia"/>
                <w:color w:val="auto"/>
                <w:sz w:val="21"/>
                <w:szCs w:val="21"/>
              </w:rPr>
              <w:t>10</w:t>
            </w:r>
          </w:p>
        </w:tc>
        <w:tc>
          <w:tcPr>
            <w:tcW w:w="1800" w:type="pct"/>
            <w:shd w:val="clear" w:color="auto" w:fill="auto"/>
            <w:vAlign w:val="center"/>
          </w:tcPr>
          <w:p w14:paraId="29EE730E">
            <w:pPr>
              <w:spacing w:line="320" w:lineRule="exact"/>
              <w:ind w:firstLine="0" w:firstLineChars="0"/>
              <w:jc w:val="center"/>
              <w:rPr>
                <w:color w:val="auto"/>
                <w:sz w:val="21"/>
                <w:szCs w:val="21"/>
                <w:lang w:val="zh-CN"/>
              </w:rPr>
            </w:pPr>
            <w:r>
              <w:rPr>
                <w:rFonts w:hint="eastAsia"/>
                <w:color w:val="auto"/>
                <w:sz w:val="21"/>
                <w:szCs w:val="21"/>
              </w:rPr>
              <w:t>阴离子表面活性剂</w:t>
            </w:r>
          </w:p>
        </w:tc>
        <w:tc>
          <w:tcPr>
            <w:tcW w:w="2415" w:type="pct"/>
            <w:shd w:val="clear" w:color="auto" w:fill="auto"/>
            <w:vAlign w:val="center"/>
          </w:tcPr>
          <w:p w14:paraId="7C7C5746">
            <w:pPr>
              <w:spacing w:line="320" w:lineRule="exact"/>
              <w:ind w:firstLine="0" w:firstLineChars="0"/>
              <w:jc w:val="center"/>
              <w:rPr>
                <w:color w:val="auto"/>
                <w:sz w:val="21"/>
                <w:szCs w:val="21"/>
              </w:rPr>
            </w:pPr>
            <w:r>
              <w:rPr>
                <w:rFonts w:hint="eastAsia"/>
                <w:color w:val="auto"/>
                <w:sz w:val="21"/>
                <w:szCs w:val="21"/>
              </w:rPr>
              <w:t>0.5</w:t>
            </w:r>
          </w:p>
        </w:tc>
      </w:tr>
      <w:tr w14:paraId="6B1D07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3" w:type="pct"/>
            <w:vAlign w:val="center"/>
          </w:tcPr>
          <w:p w14:paraId="6D44452F">
            <w:pPr>
              <w:spacing w:line="320" w:lineRule="exact"/>
              <w:ind w:firstLine="0" w:firstLineChars="0"/>
              <w:jc w:val="center"/>
              <w:rPr>
                <w:snapToGrid w:val="0"/>
                <w:color w:val="auto"/>
                <w:kern w:val="0"/>
                <w:sz w:val="21"/>
                <w:szCs w:val="21"/>
              </w:rPr>
            </w:pPr>
            <w:r>
              <w:rPr>
                <w:rFonts w:hint="eastAsia"/>
                <w:color w:val="auto"/>
                <w:sz w:val="21"/>
                <w:szCs w:val="21"/>
              </w:rPr>
              <w:t>11</w:t>
            </w:r>
          </w:p>
        </w:tc>
        <w:tc>
          <w:tcPr>
            <w:tcW w:w="1800" w:type="pct"/>
            <w:shd w:val="clear" w:color="auto" w:fill="auto"/>
            <w:vAlign w:val="center"/>
          </w:tcPr>
          <w:p w14:paraId="25DC4C97">
            <w:pPr>
              <w:spacing w:line="240" w:lineRule="auto"/>
              <w:ind w:firstLine="0" w:firstLineChars="0"/>
              <w:jc w:val="center"/>
              <w:rPr>
                <w:color w:val="auto"/>
                <w:kern w:val="21"/>
                <w:sz w:val="21"/>
                <w:szCs w:val="21"/>
                <w:lang w:val="zh-CN"/>
              </w:rPr>
            </w:pPr>
            <w:r>
              <w:rPr>
                <w:rFonts w:hint="eastAsia"/>
                <w:color w:val="auto"/>
                <w:kern w:val="21"/>
                <w:sz w:val="21"/>
                <w:szCs w:val="21"/>
              </w:rPr>
              <w:t>硫化物</w:t>
            </w:r>
          </w:p>
        </w:tc>
        <w:tc>
          <w:tcPr>
            <w:tcW w:w="2415" w:type="pct"/>
            <w:shd w:val="clear" w:color="auto" w:fill="auto"/>
            <w:vAlign w:val="center"/>
          </w:tcPr>
          <w:p w14:paraId="32AF82FF">
            <w:pPr>
              <w:spacing w:line="320" w:lineRule="exact"/>
              <w:ind w:firstLine="0" w:firstLineChars="0"/>
              <w:jc w:val="center"/>
              <w:rPr>
                <w:color w:val="auto"/>
                <w:sz w:val="21"/>
                <w:szCs w:val="21"/>
              </w:rPr>
            </w:pPr>
            <w:r>
              <w:rPr>
                <w:rFonts w:hint="eastAsia"/>
                <w:color w:val="auto"/>
                <w:sz w:val="21"/>
                <w:szCs w:val="21"/>
              </w:rPr>
              <w:t>1.0</w:t>
            </w:r>
          </w:p>
        </w:tc>
      </w:tr>
      <w:tr w14:paraId="0D547C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3" w:type="pct"/>
            <w:vAlign w:val="center"/>
          </w:tcPr>
          <w:p w14:paraId="37B62F0A">
            <w:pPr>
              <w:spacing w:line="320" w:lineRule="exact"/>
              <w:ind w:firstLine="0" w:firstLineChars="0"/>
              <w:jc w:val="center"/>
              <w:rPr>
                <w:snapToGrid w:val="0"/>
                <w:color w:val="auto"/>
                <w:kern w:val="0"/>
                <w:sz w:val="21"/>
                <w:szCs w:val="21"/>
              </w:rPr>
            </w:pPr>
            <w:r>
              <w:rPr>
                <w:rFonts w:hint="eastAsia"/>
                <w:color w:val="auto"/>
                <w:sz w:val="21"/>
                <w:szCs w:val="21"/>
              </w:rPr>
              <w:t>12</w:t>
            </w:r>
          </w:p>
        </w:tc>
        <w:tc>
          <w:tcPr>
            <w:tcW w:w="1800" w:type="pct"/>
            <w:shd w:val="clear" w:color="auto" w:fill="auto"/>
            <w:vAlign w:val="center"/>
          </w:tcPr>
          <w:p w14:paraId="64A6D434">
            <w:pPr>
              <w:spacing w:line="240" w:lineRule="auto"/>
              <w:ind w:firstLine="0" w:firstLineChars="0"/>
              <w:jc w:val="center"/>
              <w:rPr>
                <w:snapToGrid w:val="0"/>
                <w:color w:val="auto"/>
                <w:kern w:val="44"/>
                <w:sz w:val="21"/>
                <w:szCs w:val="21"/>
              </w:rPr>
            </w:pPr>
            <w:r>
              <w:rPr>
                <w:rFonts w:hint="eastAsia"/>
                <w:snapToGrid w:val="0"/>
                <w:color w:val="auto"/>
                <w:kern w:val="44"/>
                <w:sz w:val="21"/>
                <w:szCs w:val="21"/>
              </w:rPr>
              <w:t>挥发酚</w:t>
            </w:r>
          </w:p>
        </w:tc>
        <w:tc>
          <w:tcPr>
            <w:tcW w:w="2415" w:type="pct"/>
            <w:shd w:val="clear" w:color="auto" w:fill="auto"/>
            <w:vAlign w:val="center"/>
          </w:tcPr>
          <w:p w14:paraId="1E0F913A">
            <w:pPr>
              <w:spacing w:line="320" w:lineRule="exact"/>
              <w:ind w:firstLine="0" w:firstLineChars="0"/>
              <w:jc w:val="center"/>
              <w:rPr>
                <w:color w:val="auto"/>
                <w:sz w:val="21"/>
                <w:szCs w:val="21"/>
              </w:rPr>
            </w:pPr>
            <w:r>
              <w:rPr>
                <w:rFonts w:hint="eastAsia"/>
                <w:color w:val="auto"/>
                <w:sz w:val="21"/>
                <w:szCs w:val="21"/>
              </w:rPr>
              <w:t>0.5</w:t>
            </w:r>
          </w:p>
        </w:tc>
      </w:tr>
    </w:tbl>
    <w:p w14:paraId="1A475E61">
      <w:pPr>
        <w:spacing w:line="360" w:lineRule="auto"/>
        <w:ind w:firstLine="480"/>
        <w:rPr>
          <w:color w:val="auto"/>
        </w:rPr>
      </w:pPr>
    </w:p>
    <w:p w14:paraId="50D12784">
      <w:pPr>
        <w:spacing w:line="360" w:lineRule="auto"/>
        <w:ind w:firstLine="480"/>
        <w:rPr>
          <w:color w:val="auto"/>
        </w:rPr>
      </w:pPr>
      <w:r>
        <w:rPr>
          <w:color w:val="auto"/>
        </w:rPr>
        <w:t>（2）废气</w:t>
      </w:r>
    </w:p>
    <w:p w14:paraId="5DCC3212">
      <w:pPr>
        <w:spacing w:line="360" w:lineRule="auto"/>
        <w:ind w:firstLine="480"/>
        <w:rPr>
          <w:color w:val="auto"/>
          <w:kern w:val="0"/>
        </w:rPr>
      </w:pPr>
      <w:r>
        <w:rPr>
          <w:color w:val="auto"/>
          <w:kern w:val="0"/>
        </w:rPr>
        <w:t>项目运营期</w:t>
      </w:r>
      <w:r>
        <w:rPr>
          <w:rFonts w:hint="eastAsia"/>
          <w:color w:val="auto"/>
          <w:kern w:val="0"/>
        </w:rPr>
        <w:t>主要</w:t>
      </w:r>
      <w:r>
        <w:rPr>
          <w:rFonts w:hint="eastAsia"/>
          <w:color w:val="auto"/>
          <w:kern w:val="0"/>
          <w:lang w:eastAsia="zh-CN"/>
        </w:rPr>
        <w:t>产臭构筑物</w:t>
      </w:r>
      <w:r>
        <w:rPr>
          <w:rFonts w:hint="eastAsia"/>
          <w:color w:val="auto"/>
          <w:kern w:val="0"/>
        </w:rPr>
        <w:t>采取加盖等密闭措施，臭气经统一收集后经“碱喷淋+除湿+活性炭吸附”处理达标后再经1</w:t>
      </w:r>
      <w:r>
        <w:rPr>
          <w:color w:val="auto"/>
          <w:kern w:val="0"/>
        </w:rPr>
        <w:t>5m</w:t>
      </w:r>
      <w:r>
        <w:rPr>
          <w:rFonts w:hint="eastAsia"/>
          <w:color w:val="auto"/>
          <w:kern w:val="0"/>
        </w:rPr>
        <w:t>排气筒排放，有组织废气及各厂界</w:t>
      </w:r>
      <w:r>
        <w:rPr>
          <w:color w:val="auto"/>
          <w:kern w:val="0"/>
        </w:rPr>
        <w:t>执行</w:t>
      </w:r>
      <w:r>
        <w:rPr>
          <w:rFonts w:hint="eastAsia"/>
          <w:color w:val="auto"/>
        </w:rPr>
        <w:t>《恶臭污染物排放标准》（GB14554-93）</w:t>
      </w:r>
      <w:r>
        <w:rPr>
          <w:color w:val="auto"/>
          <w:kern w:val="0"/>
        </w:rPr>
        <w:t>，</w:t>
      </w:r>
      <w:r>
        <w:rPr>
          <w:rFonts w:hint="eastAsia"/>
          <w:color w:val="auto"/>
          <w:kern w:val="0"/>
        </w:rPr>
        <w:t>非甲烷总烃</w:t>
      </w:r>
      <w:r>
        <w:rPr>
          <w:color w:val="auto"/>
          <w:kern w:val="0"/>
        </w:rPr>
        <w:t>排放</w:t>
      </w:r>
      <w:r>
        <w:rPr>
          <w:rFonts w:hint="eastAsia"/>
          <w:color w:val="auto"/>
          <w:kern w:val="0"/>
        </w:rPr>
        <w:t>执行《大气污染物综合排放标准》（DB 50/418－2016）；车间外非甲烷总烃无组织排放控制及管理按照《挥发性有机物无组织排放控制标准》（GB37822-2019）相关要求执行。</w:t>
      </w:r>
      <w:r>
        <w:rPr>
          <w:color w:val="auto"/>
          <w:kern w:val="0"/>
        </w:rPr>
        <w:t>具体标准值见表</w:t>
      </w:r>
      <w:r>
        <w:rPr>
          <w:rFonts w:hint="eastAsia"/>
          <w:color w:val="auto"/>
          <w:kern w:val="0"/>
          <w:lang w:eastAsia="zh-CN"/>
        </w:rPr>
        <w:t>2.6</w:t>
      </w:r>
      <w:r>
        <w:rPr>
          <w:color w:val="auto"/>
          <w:kern w:val="0"/>
        </w:rPr>
        <w:t>-</w:t>
      </w:r>
      <w:r>
        <w:rPr>
          <w:rFonts w:hint="eastAsia"/>
          <w:color w:val="auto"/>
          <w:kern w:val="0"/>
        </w:rPr>
        <w:t>7~</w:t>
      </w:r>
      <w:r>
        <w:rPr>
          <w:rFonts w:hint="eastAsia"/>
          <w:color w:val="auto"/>
          <w:kern w:val="0"/>
          <w:lang w:eastAsia="zh-CN"/>
        </w:rPr>
        <w:t>2.6</w:t>
      </w:r>
      <w:r>
        <w:rPr>
          <w:color w:val="auto"/>
          <w:kern w:val="0"/>
        </w:rPr>
        <w:t>-</w:t>
      </w:r>
      <w:r>
        <w:rPr>
          <w:rFonts w:hint="eastAsia"/>
          <w:color w:val="auto"/>
          <w:kern w:val="0"/>
        </w:rPr>
        <w:t>9</w:t>
      </w:r>
      <w:r>
        <w:rPr>
          <w:color w:val="auto"/>
          <w:kern w:val="0"/>
        </w:rPr>
        <w:t>。</w:t>
      </w:r>
    </w:p>
    <w:p w14:paraId="173D35E9">
      <w:pPr>
        <w:spacing w:line="360" w:lineRule="auto"/>
        <w:ind w:firstLine="0" w:firstLineChars="0"/>
        <w:jc w:val="center"/>
        <w:rPr>
          <w:b/>
          <w:snapToGrid w:val="0"/>
          <w:color w:val="auto"/>
          <w:kern w:val="0"/>
          <w:szCs w:val="24"/>
        </w:rPr>
      </w:pPr>
      <w:r>
        <w:rPr>
          <w:b/>
          <w:snapToGrid w:val="0"/>
          <w:color w:val="auto"/>
          <w:kern w:val="0"/>
          <w:szCs w:val="24"/>
        </w:rPr>
        <w:t>表</w:t>
      </w:r>
      <w:r>
        <w:rPr>
          <w:rFonts w:hint="eastAsia"/>
          <w:b/>
          <w:snapToGrid w:val="0"/>
          <w:color w:val="auto"/>
          <w:kern w:val="0"/>
          <w:szCs w:val="24"/>
          <w:lang w:eastAsia="zh-CN"/>
        </w:rPr>
        <w:t>2.6</w:t>
      </w:r>
      <w:r>
        <w:rPr>
          <w:b/>
          <w:snapToGrid w:val="0"/>
          <w:color w:val="auto"/>
          <w:kern w:val="0"/>
          <w:szCs w:val="24"/>
        </w:rPr>
        <w:t>-</w:t>
      </w:r>
      <w:r>
        <w:rPr>
          <w:rFonts w:hint="eastAsia"/>
          <w:b/>
          <w:snapToGrid w:val="0"/>
          <w:color w:val="auto"/>
          <w:kern w:val="0"/>
          <w:szCs w:val="24"/>
        </w:rPr>
        <w:t xml:space="preserve">7  </w:t>
      </w:r>
      <w:r>
        <w:rPr>
          <w:rFonts w:hint="eastAsia"/>
          <w:b/>
          <w:bCs/>
          <w:color w:val="auto"/>
        </w:rPr>
        <w:t>《恶臭污染物排放标准》（GB14554-93）</w:t>
      </w:r>
    </w:p>
    <w:tbl>
      <w:tblPr>
        <w:tblStyle w:val="8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7"/>
        <w:gridCol w:w="1389"/>
        <w:gridCol w:w="1956"/>
        <w:gridCol w:w="1852"/>
        <w:gridCol w:w="3298"/>
      </w:tblGrid>
      <w:tr w14:paraId="4DD42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Merge w:val="restart"/>
            <w:vAlign w:val="center"/>
          </w:tcPr>
          <w:p w14:paraId="17524867">
            <w:pPr>
              <w:pStyle w:val="276"/>
              <w:rPr>
                <w:color w:val="auto"/>
              </w:rPr>
            </w:pPr>
            <w:r>
              <w:rPr>
                <w:rFonts w:hint="eastAsia"/>
                <w:color w:val="auto"/>
              </w:rPr>
              <w:t>序号</w:t>
            </w:r>
          </w:p>
        </w:tc>
        <w:tc>
          <w:tcPr>
            <w:tcW w:w="748" w:type="pct"/>
            <w:vMerge w:val="restart"/>
            <w:vAlign w:val="center"/>
          </w:tcPr>
          <w:p w14:paraId="4FBAF4CE">
            <w:pPr>
              <w:pStyle w:val="276"/>
              <w:rPr>
                <w:color w:val="auto"/>
              </w:rPr>
            </w:pPr>
            <w:r>
              <w:rPr>
                <w:rFonts w:hint="eastAsia"/>
                <w:color w:val="auto"/>
              </w:rPr>
              <w:t>控制项目</w:t>
            </w:r>
          </w:p>
        </w:tc>
        <w:tc>
          <w:tcPr>
            <w:tcW w:w="2050" w:type="pct"/>
            <w:gridSpan w:val="2"/>
            <w:vAlign w:val="center"/>
          </w:tcPr>
          <w:p w14:paraId="7985315E">
            <w:pPr>
              <w:pStyle w:val="276"/>
              <w:rPr>
                <w:color w:val="auto"/>
              </w:rPr>
            </w:pPr>
            <w:r>
              <w:rPr>
                <w:rFonts w:hint="eastAsia"/>
                <w:color w:val="auto"/>
              </w:rPr>
              <w:t>有组织</w:t>
            </w:r>
          </w:p>
        </w:tc>
        <w:tc>
          <w:tcPr>
            <w:tcW w:w="1776" w:type="pct"/>
            <w:vAlign w:val="center"/>
          </w:tcPr>
          <w:p w14:paraId="0712C6E0">
            <w:pPr>
              <w:pStyle w:val="276"/>
              <w:rPr>
                <w:color w:val="auto"/>
              </w:rPr>
            </w:pPr>
            <w:r>
              <w:rPr>
                <w:rFonts w:hint="eastAsia"/>
                <w:color w:val="auto"/>
              </w:rPr>
              <w:t>无组织</w:t>
            </w:r>
          </w:p>
        </w:tc>
      </w:tr>
      <w:tr w14:paraId="58630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Merge w:val="continue"/>
            <w:vAlign w:val="center"/>
          </w:tcPr>
          <w:p w14:paraId="03D8F806">
            <w:pPr>
              <w:pStyle w:val="276"/>
              <w:rPr>
                <w:color w:val="auto"/>
              </w:rPr>
            </w:pPr>
          </w:p>
        </w:tc>
        <w:tc>
          <w:tcPr>
            <w:tcW w:w="748" w:type="pct"/>
            <w:vMerge w:val="continue"/>
            <w:vAlign w:val="center"/>
          </w:tcPr>
          <w:p w14:paraId="69F150E5">
            <w:pPr>
              <w:pStyle w:val="276"/>
              <w:rPr>
                <w:color w:val="auto"/>
              </w:rPr>
            </w:pPr>
          </w:p>
        </w:tc>
        <w:tc>
          <w:tcPr>
            <w:tcW w:w="1053" w:type="pct"/>
            <w:vAlign w:val="center"/>
          </w:tcPr>
          <w:p w14:paraId="012AB57C">
            <w:pPr>
              <w:pStyle w:val="276"/>
              <w:rPr>
                <w:color w:val="auto"/>
              </w:rPr>
            </w:pPr>
            <w:r>
              <w:rPr>
                <w:rFonts w:hint="eastAsia"/>
                <w:color w:val="auto"/>
              </w:rPr>
              <w:t>排气筒高度（m）</w:t>
            </w:r>
          </w:p>
        </w:tc>
        <w:tc>
          <w:tcPr>
            <w:tcW w:w="996" w:type="pct"/>
          </w:tcPr>
          <w:p w14:paraId="0BB0DD1C">
            <w:pPr>
              <w:pStyle w:val="276"/>
              <w:rPr>
                <w:color w:val="auto"/>
              </w:rPr>
            </w:pPr>
            <w:r>
              <w:rPr>
                <w:rFonts w:hint="eastAsia"/>
                <w:color w:val="auto"/>
              </w:rPr>
              <w:t>排放量（kg/h）</w:t>
            </w:r>
          </w:p>
        </w:tc>
        <w:tc>
          <w:tcPr>
            <w:tcW w:w="1776" w:type="pct"/>
          </w:tcPr>
          <w:p w14:paraId="03CA4E0F">
            <w:pPr>
              <w:pStyle w:val="276"/>
              <w:rPr>
                <w:color w:val="auto"/>
              </w:rPr>
            </w:pPr>
            <w:r>
              <w:rPr>
                <w:rFonts w:hint="eastAsia"/>
                <w:color w:val="auto"/>
              </w:rPr>
              <w:t>二级标准（mg/m</w:t>
            </w:r>
            <w:r>
              <w:rPr>
                <w:rFonts w:hint="eastAsia"/>
                <w:color w:val="auto"/>
                <w:vertAlign w:val="superscript"/>
              </w:rPr>
              <w:t>3</w:t>
            </w:r>
            <w:r>
              <w:rPr>
                <w:rFonts w:hint="eastAsia"/>
                <w:color w:val="auto"/>
              </w:rPr>
              <w:t>）</w:t>
            </w:r>
          </w:p>
        </w:tc>
      </w:tr>
      <w:tr w14:paraId="03A7D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Align w:val="center"/>
          </w:tcPr>
          <w:p w14:paraId="371531C5">
            <w:pPr>
              <w:pStyle w:val="276"/>
              <w:rPr>
                <w:color w:val="auto"/>
              </w:rPr>
            </w:pPr>
            <w:r>
              <w:rPr>
                <w:rFonts w:hint="eastAsia"/>
                <w:color w:val="auto"/>
              </w:rPr>
              <w:t>1</w:t>
            </w:r>
          </w:p>
        </w:tc>
        <w:tc>
          <w:tcPr>
            <w:tcW w:w="748" w:type="pct"/>
            <w:vAlign w:val="center"/>
          </w:tcPr>
          <w:p w14:paraId="433AE0EC">
            <w:pPr>
              <w:pStyle w:val="276"/>
              <w:rPr>
                <w:color w:val="auto"/>
              </w:rPr>
            </w:pPr>
            <w:r>
              <w:rPr>
                <w:rFonts w:hint="eastAsia"/>
                <w:color w:val="auto"/>
              </w:rPr>
              <w:t>氨</w:t>
            </w:r>
          </w:p>
        </w:tc>
        <w:tc>
          <w:tcPr>
            <w:tcW w:w="1053" w:type="pct"/>
            <w:vAlign w:val="center"/>
          </w:tcPr>
          <w:p w14:paraId="29CA8CD4">
            <w:pPr>
              <w:pStyle w:val="276"/>
              <w:rPr>
                <w:color w:val="auto"/>
              </w:rPr>
            </w:pPr>
            <w:r>
              <w:rPr>
                <w:rFonts w:hint="eastAsia"/>
                <w:color w:val="auto"/>
              </w:rPr>
              <w:t>15</w:t>
            </w:r>
          </w:p>
        </w:tc>
        <w:tc>
          <w:tcPr>
            <w:tcW w:w="996" w:type="pct"/>
          </w:tcPr>
          <w:p w14:paraId="06B615B7">
            <w:pPr>
              <w:pStyle w:val="276"/>
              <w:rPr>
                <w:color w:val="auto"/>
              </w:rPr>
            </w:pPr>
            <w:r>
              <w:rPr>
                <w:rFonts w:hint="eastAsia"/>
                <w:color w:val="auto"/>
              </w:rPr>
              <w:t>0.33</w:t>
            </w:r>
          </w:p>
        </w:tc>
        <w:tc>
          <w:tcPr>
            <w:tcW w:w="1776" w:type="pct"/>
            <w:vAlign w:val="center"/>
          </w:tcPr>
          <w:p w14:paraId="1ABFC804">
            <w:pPr>
              <w:pStyle w:val="276"/>
              <w:rPr>
                <w:color w:val="auto"/>
              </w:rPr>
            </w:pPr>
            <w:r>
              <w:rPr>
                <w:rFonts w:hint="eastAsia"/>
                <w:color w:val="auto"/>
              </w:rPr>
              <w:t>1.5</w:t>
            </w:r>
          </w:p>
        </w:tc>
      </w:tr>
      <w:tr w14:paraId="2A91F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tcBorders>
              <w:bottom w:val="single" w:color="auto" w:sz="4" w:space="0"/>
            </w:tcBorders>
            <w:vAlign w:val="center"/>
          </w:tcPr>
          <w:p w14:paraId="2DCED486">
            <w:pPr>
              <w:pStyle w:val="276"/>
              <w:rPr>
                <w:color w:val="auto"/>
              </w:rPr>
            </w:pPr>
            <w:r>
              <w:rPr>
                <w:rFonts w:hint="eastAsia"/>
                <w:color w:val="auto"/>
              </w:rPr>
              <w:t>2</w:t>
            </w:r>
          </w:p>
        </w:tc>
        <w:tc>
          <w:tcPr>
            <w:tcW w:w="748" w:type="pct"/>
            <w:tcBorders>
              <w:bottom w:val="single" w:color="auto" w:sz="4" w:space="0"/>
            </w:tcBorders>
            <w:vAlign w:val="center"/>
          </w:tcPr>
          <w:p w14:paraId="4D008B4F">
            <w:pPr>
              <w:pStyle w:val="276"/>
              <w:rPr>
                <w:color w:val="auto"/>
              </w:rPr>
            </w:pPr>
            <w:r>
              <w:rPr>
                <w:rFonts w:hint="eastAsia"/>
                <w:color w:val="auto"/>
              </w:rPr>
              <w:t>硫化氢</w:t>
            </w:r>
          </w:p>
        </w:tc>
        <w:tc>
          <w:tcPr>
            <w:tcW w:w="1053" w:type="pct"/>
            <w:tcBorders>
              <w:bottom w:val="single" w:color="auto" w:sz="4" w:space="0"/>
            </w:tcBorders>
            <w:vAlign w:val="center"/>
          </w:tcPr>
          <w:p w14:paraId="25323DB4">
            <w:pPr>
              <w:pStyle w:val="276"/>
              <w:rPr>
                <w:color w:val="auto"/>
              </w:rPr>
            </w:pPr>
            <w:r>
              <w:rPr>
                <w:rFonts w:hint="eastAsia"/>
                <w:color w:val="auto"/>
              </w:rPr>
              <w:t>15</w:t>
            </w:r>
          </w:p>
        </w:tc>
        <w:tc>
          <w:tcPr>
            <w:tcW w:w="996" w:type="pct"/>
            <w:tcBorders>
              <w:bottom w:val="single" w:color="auto" w:sz="4" w:space="0"/>
            </w:tcBorders>
          </w:tcPr>
          <w:p w14:paraId="1DAF94D0">
            <w:pPr>
              <w:pStyle w:val="276"/>
              <w:rPr>
                <w:color w:val="auto"/>
              </w:rPr>
            </w:pPr>
            <w:r>
              <w:rPr>
                <w:rFonts w:hint="eastAsia"/>
                <w:color w:val="auto"/>
              </w:rPr>
              <w:t>4.9</w:t>
            </w:r>
          </w:p>
        </w:tc>
        <w:tc>
          <w:tcPr>
            <w:tcW w:w="1776" w:type="pct"/>
            <w:tcBorders>
              <w:bottom w:val="single" w:color="auto" w:sz="4" w:space="0"/>
            </w:tcBorders>
            <w:vAlign w:val="center"/>
          </w:tcPr>
          <w:p w14:paraId="712E6EC5">
            <w:pPr>
              <w:pStyle w:val="276"/>
              <w:rPr>
                <w:color w:val="auto"/>
              </w:rPr>
            </w:pPr>
            <w:r>
              <w:rPr>
                <w:rFonts w:hint="eastAsia"/>
                <w:color w:val="auto"/>
              </w:rPr>
              <w:t>0.06</w:t>
            </w:r>
          </w:p>
        </w:tc>
      </w:tr>
      <w:tr w14:paraId="7D9AB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tcBorders>
              <w:top w:val="single" w:color="auto" w:sz="4" w:space="0"/>
              <w:left w:val="single" w:color="auto" w:sz="4" w:space="0"/>
              <w:bottom w:val="single" w:color="auto" w:sz="4" w:space="0"/>
              <w:right w:val="single" w:color="auto" w:sz="4" w:space="0"/>
            </w:tcBorders>
            <w:vAlign w:val="center"/>
          </w:tcPr>
          <w:p w14:paraId="65B5F704">
            <w:pPr>
              <w:pStyle w:val="276"/>
              <w:rPr>
                <w:color w:val="auto"/>
              </w:rPr>
            </w:pPr>
            <w:r>
              <w:rPr>
                <w:rFonts w:hint="eastAsia"/>
                <w:color w:val="auto"/>
              </w:rPr>
              <w:t>3</w:t>
            </w:r>
          </w:p>
        </w:tc>
        <w:tc>
          <w:tcPr>
            <w:tcW w:w="748" w:type="pct"/>
            <w:tcBorders>
              <w:top w:val="single" w:color="auto" w:sz="4" w:space="0"/>
              <w:left w:val="single" w:color="auto" w:sz="4" w:space="0"/>
              <w:bottom w:val="single" w:color="auto" w:sz="4" w:space="0"/>
              <w:right w:val="single" w:color="auto" w:sz="4" w:space="0"/>
            </w:tcBorders>
            <w:vAlign w:val="center"/>
          </w:tcPr>
          <w:p w14:paraId="63430AD3">
            <w:pPr>
              <w:pStyle w:val="276"/>
              <w:rPr>
                <w:color w:val="auto"/>
              </w:rPr>
            </w:pPr>
            <w:r>
              <w:rPr>
                <w:rFonts w:hint="eastAsia"/>
                <w:color w:val="auto"/>
              </w:rPr>
              <w:t>臭气浓度</w:t>
            </w:r>
          </w:p>
        </w:tc>
        <w:tc>
          <w:tcPr>
            <w:tcW w:w="1053" w:type="pct"/>
            <w:tcBorders>
              <w:top w:val="single" w:color="auto" w:sz="4" w:space="0"/>
              <w:left w:val="single" w:color="auto" w:sz="4" w:space="0"/>
              <w:bottom w:val="single" w:color="auto" w:sz="4" w:space="0"/>
              <w:right w:val="single" w:color="auto" w:sz="4" w:space="0"/>
            </w:tcBorders>
            <w:vAlign w:val="center"/>
          </w:tcPr>
          <w:p w14:paraId="662FB5D4">
            <w:pPr>
              <w:pStyle w:val="276"/>
              <w:rPr>
                <w:color w:val="auto"/>
              </w:rPr>
            </w:pPr>
            <w:r>
              <w:rPr>
                <w:rFonts w:hint="eastAsia"/>
                <w:color w:val="auto"/>
              </w:rPr>
              <w:t>15</w:t>
            </w:r>
          </w:p>
        </w:tc>
        <w:tc>
          <w:tcPr>
            <w:tcW w:w="996" w:type="pct"/>
            <w:tcBorders>
              <w:top w:val="single" w:color="auto" w:sz="4" w:space="0"/>
              <w:left w:val="single" w:color="auto" w:sz="4" w:space="0"/>
              <w:bottom w:val="single" w:color="auto" w:sz="4" w:space="0"/>
              <w:right w:val="single" w:color="auto" w:sz="4" w:space="0"/>
            </w:tcBorders>
          </w:tcPr>
          <w:p w14:paraId="45A50A29">
            <w:pPr>
              <w:pStyle w:val="276"/>
              <w:rPr>
                <w:color w:val="auto"/>
              </w:rPr>
            </w:pPr>
            <w:r>
              <w:rPr>
                <w:rFonts w:hint="eastAsia"/>
                <w:color w:val="auto"/>
              </w:rPr>
              <w:t>2000（无量纲）</w:t>
            </w:r>
          </w:p>
        </w:tc>
        <w:tc>
          <w:tcPr>
            <w:tcW w:w="1776" w:type="pct"/>
            <w:tcBorders>
              <w:top w:val="single" w:color="auto" w:sz="4" w:space="0"/>
              <w:left w:val="single" w:color="auto" w:sz="4" w:space="0"/>
              <w:bottom w:val="single" w:color="auto" w:sz="4" w:space="0"/>
              <w:right w:val="single" w:color="auto" w:sz="4" w:space="0"/>
            </w:tcBorders>
            <w:vAlign w:val="center"/>
          </w:tcPr>
          <w:p w14:paraId="415A049C">
            <w:pPr>
              <w:pStyle w:val="276"/>
              <w:rPr>
                <w:color w:val="auto"/>
              </w:rPr>
            </w:pPr>
            <w:r>
              <w:rPr>
                <w:rFonts w:hint="eastAsia"/>
                <w:color w:val="auto"/>
              </w:rPr>
              <w:t>20</w:t>
            </w:r>
          </w:p>
        </w:tc>
      </w:tr>
    </w:tbl>
    <w:p w14:paraId="032C9F96">
      <w:pPr>
        <w:spacing w:line="360" w:lineRule="auto"/>
        <w:ind w:firstLine="0" w:firstLineChars="0"/>
        <w:jc w:val="center"/>
        <w:rPr>
          <w:b/>
          <w:snapToGrid w:val="0"/>
          <w:color w:val="auto"/>
          <w:kern w:val="0"/>
          <w:szCs w:val="24"/>
        </w:rPr>
      </w:pPr>
    </w:p>
    <w:p w14:paraId="4DDC2192">
      <w:pPr>
        <w:spacing w:line="360" w:lineRule="auto"/>
        <w:ind w:firstLine="0" w:firstLineChars="0"/>
        <w:jc w:val="center"/>
        <w:rPr>
          <w:b/>
          <w:snapToGrid w:val="0"/>
          <w:color w:val="auto"/>
          <w:kern w:val="0"/>
          <w:szCs w:val="24"/>
        </w:rPr>
      </w:pPr>
      <w:r>
        <w:rPr>
          <w:b/>
          <w:snapToGrid w:val="0"/>
          <w:color w:val="auto"/>
          <w:kern w:val="0"/>
          <w:szCs w:val="24"/>
        </w:rPr>
        <w:t>表</w:t>
      </w:r>
      <w:r>
        <w:rPr>
          <w:rFonts w:hint="eastAsia"/>
          <w:b/>
          <w:snapToGrid w:val="0"/>
          <w:color w:val="auto"/>
          <w:kern w:val="0"/>
          <w:szCs w:val="24"/>
          <w:lang w:eastAsia="zh-CN"/>
        </w:rPr>
        <w:t>2.6</w:t>
      </w:r>
      <w:r>
        <w:rPr>
          <w:b/>
          <w:snapToGrid w:val="0"/>
          <w:color w:val="auto"/>
          <w:kern w:val="0"/>
          <w:szCs w:val="24"/>
        </w:rPr>
        <w:t>-</w:t>
      </w:r>
      <w:r>
        <w:rPr>
          <w:rFonts w:hint="eastAsia"/>
          <w:b/>
          <w:snapToGrid w:val="0"/>
          <w:color w:val="auto"/>
          <w:kern w:val="0"/>
          <w:szCs w:val="24"/>
        </w:rPr>
        <w:t xml:space="preserve">8 大气污染物排放标准 </w:t>
      </w:r>
    </w:p>
    <w:tbl>
      <w:tblPr>
        <w:tblStyle w:val="88"/>
        <w:tblW w:w="50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7"/>
        <w:gridCol w:w="1762"/>
        <w:gridCol w:w="2737"/>
        <w:gridCol w:w="1905"/>
        <w:gridCol w:w="2451"/>
      </w:tblGrid>
      <w:tr w14:paraId="323D4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35" w:type="pct"/>
            <w:vMerge w:val="restart"/>
            <w:vAlign w:val="center"/>
          </w:tcPr>
          <w:p w14:paraId="676AB58E">
            <w:pPr>
              <w:pStyle w:val="276"/>
              <w:rPr>
                <w:color w:val="auto"/>
              </w:rPr>
            </w:pPr>
            <w:r>
              <w:rPr>
                <w:rFonts w:hint="eastAsia"/>
                <w:color w:val="auto"/>
              </w:rPr>
              <w:t>序号</w:t>
            </w:r>
          </w:p>
        </w:tc>
        <w:tc>
          <w:tcPr>
            <w:tcW w:w="948" w:type="pct"/>
            <w:vMerge w:val="restart"/>
            <w:vAlign w:val="center"/>
          </w:tcPr>
          <w:p w14:paraId="6C1A0456">
            <w:pPr>
              <w:pStyle w:val="276"/>
              <w:rPr>
                <w:color w:val="auto"/>
              </w:rPr>
            </w:pPr>
            <w:r>
              <w:rPr>
                <w:rFonts w:hint="eastAsia"/>
                <w:color w:val="auto"/>
              </w:rPr>
              <w:t>污染物项目</w:t>
            </w:r>
          </w:p>
        </w:tc>
        <w:tc>
          <w:tcPr>
            <w:tcW w:w="3817" w:type="pct"/>
            <w:gridSpan w:val="3"/>
            <w:vAlign w:val="center"/>
          </w:tcPr>
          <w:p w14:paraId="7EB3F12B">
            <w:pPr>
              <w:pStyle w:val="276"/>
              <w:rPr>
                <w:color w:val="auto"/>
              </w:rPr>
            </w:pPr>
            <w:r>
              <w:rPr>
                <w:rFonts w:hint="eastAsia"/>
                <w:color w:val="auto"/>
              </w:rPr>
              <w:t>《大气污染物综合排放标准》（DB 50/418－2016）</w:t>
            </w:r>
          </w:p>
        </w:tc>
      </w:tr>
      <w:tr w14:paraId="665EE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35" w:type="pct"/>
            <w:vMerge w:val="continue"/>
            <w:vAlign w:val="center"/>
          </w:tcPr>
          <w:p w14:paraId="69CB828E">
            <w:pPr>
              <w:pStyle w:val="276"/>
              <w:rPr>
                <w:color w:val="auto"/>
              </w:rPr>
            </w:pPr>
          </w:p>
        </w:tc>
        <w:tc>
          <w:tcPr>
            <w:tcW w:w="948" w:type="pct"/>
            <w:vMerge w:val="continue"/>
            <w:vAlign w:val="center"/>
          </w:tcPr>
          <w:p w14:paraId="06760205">
            <w:pPr>
              <w:pStyle w:val="276"/>
              <w:rPr>
                <w:color w:val="auto"/>
              </w:rPr>
            </w:pPr>
          </w:p>
        </w:tc>
        <w:tc>
          <w:tcPr>
            <w:tcW w:w="1473" w:type="pct"/>
            <w:vAlign w:val="center"/>
          </w:tcPr>
          <w:p w14:paraId="26E0C764">
            <w:pPr>
              <w:pStyle w:val="276"/>
              <w:rPr>
                <w:color w:val="auto"/>
              </w:rPr>
            </w:pPr>
            <w:r>
              <w:rPr>
                <w:rFonts w:hint="eastAsia"/>
                <w:color w:val="auto"/>
              </w:rPr>
              <w:t>最高允许排放浓度（mg/m</w:t>
            </w:r>
            <w:r>
              <w:rPr>
                <w:rFonts w:hint="eastAsia"/>
                <w:color w:val="auto"/>
                <w:vertAlign w:val="superscript"/>
              </w:rPr>
              <w:t>3</w:t>
            </w:r>
            <w:r>
              <w:rPr>
                <w:rFonts w:hint="eastAsia"/>
                <w:color w:val="auto"/>
              </w:rPr>
              <w:t>）</w:t>
            </w:r>
          </w:p>
        </w:tc>
        <w:tc>
          <w:tcPr>
            <w:tcW w:w="1025" w:type="pct"/>
            <w:vAlign w:val="center"/>
          </w:tcPr>
          <w:p w14:paraId="0BB05BE0">
            <w:pPr>
              <w:pStyle w:val="276"/>
              <w:rPr>
                <w:color w:val="auto"/>
              </w:rPr>
            </w:pPr>
            <w:r>
              <w:rPr>
                <w:rFonts w:hint="eastAsia"/>
                <w:color w:val="auto"/>
              </w:rPr>
              <w:t>排放速率</w:t>
            </w:r>
          </w:p>
          <w:p w14:paraId="78D1FD78">
            <w:pPr>
              <w:pStyle w:val="276"/>
              <w:rPr>
                <w:color w:val="auto"/>
              </w:rPr>
            </w:pPr>
            <w:r>
              <w:rPr>
                <w:rFonts w:hint="eastAsia"/>
                <w:color w:val="auto"/>
                <w:lang w:eastAsia="zh-CN"/>
              </w:rPr>
              <w:t>(</w:t>
            </w:r>
            <w:r>
              <w:rPr>
                <w:rFonts w:hint="eastAsia"/>
                <w:color w:val="auto"/>
              </w:rPr>
              <w:t>kg/h</w:t>
            </w:r>
            <w:r>
              <w:rPr>
                <w:rFonts w:hint="eastAsia"/>
                <w:color w:val="auto"/>
                <w:lang w:eastAsia="zh-CN"/>
              </w:rPr>
              <w:t>)</w:t>
            </w:r>
          </w:p>
        </w:tc>
        <w:tc>
          <w:tcPr>
            <w:tcW w:w="1319" w:type="pct"/>
            <w:vAlign w:val="center"/>
          </w:tcPr>
          <w:p w14:paraId="4FA27DF6">
            <w:pPr>
              <w:pStyle w:val="276"/>
              <w:rPr>
                <w:color w:val="auto"/>
              </w:rPr>
            </w:pPr>
            <w:r>
              <w:rPr>
                <w:rFonts w:hint="eastAsia"/>
                <w:color w:val="auto"/>
              </w:rPr>
              <w:t>无组织排放监控点浓度限值（mg/m</w:t>
            </w:r>
            <w:r>
              <w:rPr>
                <w:rFonts w:hint="eastAsia"/>
                <w:color w:val="auto"/>
                <w:vertAlign w:val="superscript"/>
              </w:rPr>
              <w:t>3</w:t>
            </w:r>
            <w:r>
              <w:rPr>
                <w:rFonts w:hint="eastAsia"/>
                <w:color w:val="auto"/>
              </w:rPr>
              <w:t>）</w:t>
            </w:r>
          </w:p>
        </w:tc>
      </w:tr>
      <w:tr w14:paraId="358A6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35" w:type="pct"/>
            <w:vAlign w:val="center"/>
          </w:tcPr>
          <w:p w14:paraId="25E4A0AE">
            <w:pPr>
              <w:pStyle w:val="276"/>
              <w:rPr>
                <w:color w:val="auto"/>
              </w:rPr>
            </w:pPr>
            <w:r>
              <w:rPr>
                <w:rFonts w:hint="eastAsia"/>
                <w:color w:val="auto"/>
              </w:rPr>
              <w:t>1</w:t>
            </w:r>
          </w:p>
        </w:tc>
        <w:tc>
          <w:tcPr>
            <w:tcW w:w="948" w:type="pct"/>
            <w:vAlign w:val="center"/>
          </w:tcPr>
          <w:p w14:paraId="1F0FFA86">
            <w:pPr>
              <w:pStyle w:val="276"/>
              <w:rPr>
                <w:color w:val="auto"/>
              </w:rPr>
            </w:pPr>
            <w:r>
              <w:rPr>
                <w:rFonts w:hint="eastAsia"/>
                <w:color w:val="auto"/>
              </w:rPr>
              <w:t>非甲烷总烃</w:t>
            </w:r>
          </w:p>
        </w:tc>
        <w:tc>
          <w:tcPr>
            <w:tcW w:w="1473" w:type="pct"/>
            <w:vAlign w:val="center"/>
          </w:tcPr>
          <w:p w14:paraId="04924366">
            <w:pPr>
              <w:pStyle w:val="276"/>
              <w:rPr>
                <w:color w:val="auto"/>
              </w:rPr>
            </w:pPr>
            <w:r>
              <w:rPr>
                <w:rFonts w:hint="eastAsia"/>
                <w:color w:val="auto"/>
              </w:rPr>
              <w:t>120</w:t>
            </w:r>
          </w:p>
        </w:tc>
        <w:tc>
          <w:tcPr>
            <w:tcW w:w="1025" w:type="pct"/>
            <w:vAlign w:val="center"/>
          </w:tcPr>
          <w:p w14:paraId="24D45C10">
            <w:pPr>
              <w:pStyle w:val="276"/>
              <w:rPr>
                <w:color w:val="auto"/>
              </w:rPr>
            </w:pPr>
            <w:r>
              <w:rPr>
                <w:rFonts w:hint="eastAsia"/>
                <w:color w:val="auto"/>
              </w:rPr>
              <w:t>10（排气筒高度15m）</w:t>
            </w:r>
          </w:p>
        </w:tc>
        <w:tc>
          <w:tcPr>
            <w:tcW w:w="1319" w:type="pct"/>
            <w:vAlign w:val="center"/>
          </w:tcPr>
          <w:p w14:paraId="53106716">
            <w:pPr>
              <w:pStyle w:val="276"/>
              <w:rPr>
                <w:color w:val="auto"/>
              </w:rPr>
            </w:pPr>
            <w:r>
              <w:rPr>
                <w:rFonts w:hint="eastAsia"/>
                <w:color w:val="auto"/>
              </w:rPr>
              <w:t>4.0</w:t>
            </w:r>
          </w:p>
        </w:tc>
      </w:tr>
    </w:tbl>
    <w:p w14:paraId="0F3C96CE">
      <w:pPr>
        <w:spacing w:line="360" w:lineRule="auto"/>
        <w:ind w:firstLine="480"/>
        <w:rPr>
          <w:color w:val="auto"/>
        </w:rPr>
      </w:pPr>
    </w:p>
    <w:p w14:paraId="607E14DD">
      <w:pPr>
        <w:ind w:firstLine="482"/>
        <w:jc w:val="center"/>
        <w:rPr>
          <w:b/>
          <w:color w:val="auto"/>
          <w:szCs w:val="22"/>
        </w:rPr>
      </w:pPr>
      <w:r>
        <w:rPr>
          <w:b/>
          <w:color w:val="auto"/>
          <w:szCs w:val="22"/>
        </w:rPr>
        <w:t>表</w:t>
      </w:r>
      <w:r>
        <w:rPr>
          <w:rFonts w:hint="eastAsia"/>
          <w:b/>
          <w:color w:val="auto"/>
          <w:szCs w:val="22"/>
          <w:lang w:eastAsia="zh-CN"/>
        </w:rPr>
        <w:t>2.6</w:t>
      </w:r>
      <w:r>
        <w:rPr>
          <w:b/>
          <w:color w:val="auto"/>
          <w:szCs w:val="22"/>
        </w:rPr>
        <w:t xml:space="preserve">-9 </w:t>
      </w:r>
      <w:r>
        <w:rPr>
          <w:rFonts w:hint="eastAsia"/>
          <w:b/>
          <w:color w:val="auto"/>
          <w:szCs w:val="22"/>
        </w:rPr>
        <w:t>《挥发性有机物无组织排放控制标准》（GB37822-2019）</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2"/>
        <w:gridCol w:w="2385"/>
        <w:gridCol w:w="2955"/>
        <w:gridCol w:w="2464"/>
      </w:tblGrid>
      <w:tr w14:paraId="72190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1" w:type="dxa"/>
            <w:vAlign w:val="center"/>
          </w:tcPr>
          <w:p w14:paraId="730C44DC">
            <w:pPr>
              <w:pStyle w:val="276"/>
              <w:rPr>
                <w:color w:val="auto"/>
              </w:rPr>
            </w:pPr>
            <w:r>
              <w:rPr>
                <w:rFonts w:hint="eastAsia"/>
                <w:color w:val="auto"/>
              </w:rPr>
              <w:t>污染物</w:t>
            </w:r>
          </w:p>
        </w:tc>
        <w:tc>
          <w:tcPr>
            <w:tcW w:w="2190" w:type="dxa"/>
            <w:vAlign w:val="center"/>
          </w:tcPr>
          <w:p w14:paraId="1F3F7856">
            <w:pPr>
              <w:pStyle w:val="276"/>
              <w:rPr>
                <w:color w:val="auto"/>
              </w:rPr>
            </w:pPr>
            <w:r>
              <w:rPr>
                <w:rFonts w:hint="eastAsia"/>
                <w:color w:val="auto"/>
              </w:rPr>
              <w:t>排放限值（mg/m</w:t>
            </w:r>
            <w:r>
              <w:rPr>
                <w:rFonts w:hint="eastAsia"/>
                <w:color w:val="auto"/>
                <w:vertAlign w:val="superscript"/>
              </w:rPr>
              <w:t>3</w:t>
            </w:r>
            <w:r>
              <w:rPr>
                <w:rFonts w:hint="eastAsia"/>
                <w:color w:val="auto"/>
              </w:rPr>
              <w:t>）</w:t>
            </w:r>
          </w:p>
        </w:tc>
        <w:tc>
          <w:tcPr>
            <w:tcW w:w="2715" w:type="dxa"/>
            <w:vAlign w:val="center"/>
          </w:tcPr>
          <w:p w14:paraId="327591D6">
            <w:pPr>
              <w:pStyle w:val="276"/>
              <w:rPr>
                <w:color w:val="auto"/>
              </w:rPr>
            </w:pPr>
            <w:r>
              <w:rPr>
                <w:rFonts w:hint="eastAsia"/>
                <w:color w:val="auto"/>
              </w:rPr>
              <w:t>限值含义</w:t>
            </w:r>
          </w:p>
        </w:tc>
        <w:tc>
          <w:tcPr>
            <w:tcW w:w="2262" w:type="dxa"/>
            <w:vAlign w:val="center"/>
          </w:tcPr>
          <w:p w14:paraId="0A4A5EE5">
            <w:pPr>
              <w:pStyle w:val="276"/>
              <w:rPr>
                <w:color w:val="auto"/>
              </w:rPr>
            </w:pPr>
            <w:r>
              <w:rPr>
                <w:rFonts w:hint="eastAsia"/>
                <w:color w:val="auto"/>
              </w:rPr>
              <w:t>无组织排放监控浓度</w:t>
            </w:r>
          </w:p>
        </w:tc>
      </w:tr>
      <w:tr w14:paraId="56176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1" w:type="dxa"/>
            <w:vMerge w:val="restart"/>
            <w:vAlign w:val="center"/>
          </w:tcPr>
          <w:p w14:paraId="5B7F059D">
            <w:pPr>
              <w:pStyle w:val="276"/>
              <w:rPr>
                <w:color w:val="auto"/>
              </w:rPr>
            </w:pPr>
            <w:r>
              <w:rPr>
                <w:rFonts w:hint="eastAsia"/>
                <w:color w:val="auto"/>
              </w:rPr>
              <w:t>非甲烷总烃</w:t>
            </w:r>
          </w:p>
        </w:tc>
        <w:tc>
          <w:tcPr>
            <w:tcW w:w="2190" w:type="dxa"/>
            <w:vAlign w:val="center"/>
          </w:tcPr>
          <w:p w14:paraId="79139B53">
            <w:pPr>
              <w:pStyle w:val="276"/>
              <w:rPr>
                <w:color w:val="auto"/>
              </w:rPr>
            </w:pPr>
            <w:r>
              <w:rPr>
                <w:rFonts w:hint="eastAsia"/>
                <w:color w:val="auto"/>
              </w:rPr>
              <w:t>10</w:t>
            </w:r>
          </w:p>
        </w:tc>
        <w:tc>
          <w:tcPr>
            <w:tcW w:w="2715" w:type="dxa"/>
            <w:vAlign w:val="center"/>
          </w:tcPr>
          <w:p w14:paraId="44AA8C7D">
            <w:pPr>
              <w:pStyle w:val="276"/>
              <w:rPr>
                <w:color w:val="auto"/>
              </w:rPr>
            </w:pPr>
            <w:r>
              <w:rPr>
                <w:rFonts w:hint="eastAsia"/>
                <w:color w:val="auto"/>
              </w:rPr>
              <w:t>监控点处1h平均浓度值</w:t>
            </w:r>
          </w:p>
        </w:tc>
        <w:tc>
          <w:tcPr>
            <w:tcW w:w="2262" w:type="dxa"/>
            <w:vMerge w:val="restart"/>
            <w:vAlign w:val="center"/>
          </w:tcPr>
          <w:p w14:paraId="05257910">
            <w:pPr>
              <w:pStyle w:val="276"/>
              <w:rPr>
                <w:color w:val="auto"/>
              </w:rPr>
            </w:pPr>
            <w:r>
              <w:rPr>
                <w:rFonts w:hint="eastAsia"/>
                <w:color w:val="auto"/>
              </w:rPr>
              <w:t>在厂房外设置监控点</w:t>
            </w:r>
          </w:p>
        </w:tc>
      </w:tr>
      <w:tr w14:paraId="32FCE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1" w:type="dxa"/>
            <w:vMerge w:val="continue"/>
            <w:vAlign w:val="center"/>
          </w:tcPr>
          <w:p w14:paraId="60C70ED7">
            <w:pPr>
              <w:pStyle w:val="276"/>
              <w:rPr>
                <w:color w:val="auto"/>
              </w:rPr>
            </w:pPr>
          </w:p>
        </w:tc>
        <w:tc>
          <w:tcPr>
            <w:tcW w:w="2190" w:type="dxa"/>
            <w:vAlign w:val="center"/>
          </w:tcPr>
          <w:p w14:paraId="2F35D352">
            <w:pPr>
              <w:pStyle w:val="276"/>
              <w:rPr>
                <w:color w:val="auto"/>
              </w:rPr>
            </w:pPr>
            <w:r>
              <w:rPr>
                <w:rFonts w:hint="eastAsia"/>
                <w:color w:val="auto"/>
              </w:rPr>
              <w:t>30</w:t>
            </w:r>
          </w:p>
        </w:tc>
        <w:tc>
          <w:tcPr>
            <w:tcW w:w="2715" w:type="dxa"/>
            <w:vAlign w:val="center"/>
          </w:tcPr>
          <w:p w14:paraId="7689F26F">
            <w:pPr>
              <w:pStyle w:val="276"/>
              <w:rPr>
                <w:color w:val="auto"/>
              </w:rPr>
            </w:pPr>
            <w:r>
              <w:rPr>
                <w:rFonts w:hint="eastAsia"/>
                <w:color w:val="auto"/>
              </w:rPr>
              <w:t>监控点处任意1次浓度值</w:t>
            </w:r>
          </w:p>
        </w:tc>
        <w:tc>
          <w:tcPr>
            <w:tcW w:w="2262" w:type="dxa"/>
            <w:vMerge w:val="continue"/>
            <w:vAlign w:val="center"/>
          </w:tcPr>
          <w:p w14:paraId="547F6115">
            <w:pPr>
              <w:ind w:firstLine="480"/>
              <w:rPr>
                <w:color w:val="auto"/>
              </w:rPr>
            </w:pPr>
          </w:p>
        </w:tc>
      </w:tr>
    </w:tbl>
    <w:p w14:paraId="06433996">
      <w:pPr>
        <w:spacing w:line="360" w:lineRule="auto"/>
        <w:ind w:firstLine="480"/>
        <w:rPr>
          <w:color w:val="auto"/>
        </w:rPr>
      </w:pPr>
    </w:p>
    <w:p w14:paraId="0F71D3B8">
      <w:pPr>
        <w:spacing w:line="360" w:lineRule="auto"/>
        <w:ind w:firstLine="480"/>
        <w:rPr>
          <w:color w:val="auto"/>
        </w:rPr>
      </w:pPr>
      <w:r>
        <w:rPr>
          <w:color w:val="auto"/>
        </w:rPr>
        <w:t>（3）噪声</w:t>
      </w:r>
    </w:p>
    <w:p w14:paraId="1B1112FD">
      <w:pPr>
        <w:autoSpaceDE w:val="0"/>
        <w:ind w:firstLine="480"/>
        <w:rPr>
          <w:color w:val="auto"/>
          <w:szCs w:val="22"/>
        </w:rPr>
      </w:pPr>
      <w:r>
        <w:rPr>
          <w:color w:val="auto"/>
          <w:szCs w:val="22"/>
        </w:rPr>
        <w:t>施工期噪声排放标准执行《建筑施工场界环境噪声排放标准》（GB 12523-2011）</w:t>
      </w:r>
      <w:r>
        <w:rPr>
          <w:rFonts w:hint="eastAsia"/>
          <w:color w:val="auto"/>
          <w:szCs w:val="22"/>
        </w:rPr>
        <w:t>；</w:t>
      </w:r>
      <w:r>
        <w:rPr>
          <w:color w:val="auto"/>
          <w:szCs w:val="22"/>
        </w:rPr>
        <w:t>运营期噪声排放标准执行《工业企业厂界环境噪声排放标准》（GB 12348-2008）中的3类标准。具体标准值详见下表。</w:t>
      </w:r>
    </w:p>
    <w:p w14:paraId="15E7CB03">
      <w:pPr>
        <w:ind w:firstLine="482"/>
        <w:jc w:val="center"/>
        <w:rPr>
          <w:b/>
          <w:color w:val="auto"/>
          <w:szCs w:val="22"/>
        </w:rPr>
      </w:pPr>
      <w:r>
        <w:rPr>
          <w:rFonts w:hint="eastAsia"/>
          <w:b/>
          <w:color w:val="auto"/>
          <w:szCs w:val="22"/>
        </w:rPr>
        <w:t>表</w:t>
      </w:r>
      <w:r>
        <w:rPr>
          <w:rFonts w:hint="eastAsia"/>
          <w:b/>
          <w:color w:val="auto"/>
          <w:szCs w:val="22"/>
          <w:lang w:eastAsia="zh-CN"/>
        </w:rPr>
        <w:t>2.6</w:t>
      </w:r>
      <w:r>
        <w:rPr>
          <w:rFonts w:hint="eastAsia"/>
          <w:b/>
          <w:color w:val="auto"/>
          <w:szCs w:val="22"/>
        </w:rPr>
        <w:t>-</w:t>
      </w:r>
      <w:r>
        <w:rPr>
          <w:b/>
          <w:color w:val="auto"/>
          <w:szCs w:val="22"/>
        </w:rPr>
        <w:t>10 建筑施工场界环境噪声排放限值 单位：dB（A）</w:t>
      </w:r>
    </w:p>
    <w:tbl>
      <w:tblPr>
        <w:tblStyle w:val="88"/>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846"/>
        <w:gridCol w:w="2633"/>
        <w:gridCol w:w="2597"/>
      </w:tblGrid>
      <w:tr w14:paraId="58B619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603" w:type="dxa"/>
            <w:vAlign w:val="center"/>
          </w:tcPr>
          <w:p w14:paraId="36EE5BF9">
            <w:pPr>
              <w:spacing w:line="240" w:lineRule="auto"/>
              <w:ind w:firstLine="420"/>
              <w:jc w:val="center"/>
              <w:textAlignment w:val="baseline"/>
              <w:rPr>
                <w:color w:val="auto"/>
                <w:kern w:val="0"/>
                <w:sz w:val="21"/>
                <w:szCs w:val="21"/>
              </w:rPr>
            </w:pPr>
            <w:r>
              <w:rPr>
                <w:rFonts w:hint="eastAsia"/>
                <w:color w:val="auto"/>
                <w:kern w:val="0"/>
                <w:sz w:val="21"/>
                <w:szCs w:val="21"/>
              </w:rPr>
              <w:t>标准名称及代号</w:t>
            </w:r>
          </w:p>
        </w:tc>
        <w:tc>
          <w:tcPr>
            <w:tcW w:w="4901" w:type="dxa"/>
            <w:gridSpan w:val="2"/>
            <w:vAlign w:val="center"/>
          </w:tcPr>
          <w:p w14:paraId="25D0CB65">
            <w:pPr>
              <w:spacing w:line="240" w:lineRule="auto"/>
              <w:ind w:firstLine="420"/>
              <w:jc w:val="center"/>
              <w:textAlignment w:val="baseline"/>
              <w:rPr>
                <w:color w:val="auto"/>
                <w:kern w:val="0"/>
                <w:sz w:val="21"/>
                <w:szCs w:val="21"/>
              </w:rPr>
            </w:pPr>
            <w:r>
              <w:rPr>
                <w:rFonts w:hint="eastAsia"/>
                <w:color w:val="auto"/>
                <w:kern w:val="0"/>
                <w:sz w:val="21"/>
                <w:szCs w:val="21"/>
              </w:rPr>
              <w:t>时段</w:t>
            </w:r>
          </w:p>
        </w:tc>
      </w:tr>
      <w:tr w14:paraId="281603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603" w:type="dxa"/>
            <w:vMerge w:val="restart"/>
            <w:vAlign w:val="center"/>
          </w:tcPr>
          <w:p w14:paraId="504950AB">
            <w:pPr>
              <w:spacing w:line="240" w:lineRule="auto"/>
              <w:ind w:firstLine="420"/>
              <w:jc w:val="center"/>
              <w:textAlignment w:val="baseline"/>
              <w:rPr>
                <w:color w:val="auto"/>
                <w:kern w:val="0"/>
                <w:sz w:val="21"/>
                <w:szCs w:val="21"/>
              </w:rPr>
            </w:pPr>
            <w:r>
              <w:rPr>
                <w:rFonts w:hint="eastAsia"/>
                <w:color w:val="auto"/>
                <w:kern w:val="0"/>
                <w:sz w:val="21"/>
                <w:szCs w:val="21"/>
              </w:rPr>
              <w:t>《建筑施工场界环境噪声排放标准》</w:t>
            </w:r>
          </w:p>
          <w:p w14:paraId="5B7FDCCE">
            <w:pPr>
              <w:spacing w:line="240" w:lineRule="auto"/>
              <w:ind w:firstLine="420"/>
              <w:jc w:val="center"/>
              <w:textAlignment w:val="baseline"/>
              <w:rPr>
                <w:color w:val="auto"/>
                <w:kern w:val="0"/>
                <w:sz w:val="21"/>
                <w:szCs w:val="21"/>
              </w:rPr>
            </w:pPr>
            <w:r>
              <w:rPr>
                <w:rFonts w:hint="eastAsia"/>
                <w:color w:val="auto"/>
                <w:kern w:val="0"/>
                <w:sz w:val="21"/>
                <w:szCs w:val="21"/>
                <w:lang w:eastAsia="zh-CN"/>
              </w:rPr>
              <w:t>(</w:t>
            </w:r>
            <w:r>
              <w:rPr>
                <w:rFonts w:hint="eastAsia"/>
                <w:color w:val="auto"/>
                <w:kern w:val="0"/>
                <w:sz w:val="21"/>
                <w:szCs w:val="21"/>
              </w:rPr>
              <w:t>GB 12523-2011</w:t>
            </w:r>
            <w:r>
              <w:rPr>
                <w:rFonts w:hint="eastAsia"/>
                <w:color w:val="auto"/>
                <w:kern w:val="0"/>
                <w:sz w:val="21"/>
                <w:szCs w:val="21"/>
                <w:lang w:eastAsia="zh-CN"/>
              </w:rPr>
              <w:t>)</w:t>
            </w:r>
          </w:p>
        </w:tc>
        <w:tc>
          <w:tcPr>
            <w:tcW w:w="2467" w:type="dxa"/>
            <w:vAlign w:val="center"/>
          </w:tcPr>
          <w:p w14:paraId="154EB3AC">
            <w:pPr>
              <w:spacing w:line="240" w:lineRule="auto"/>
              <w:ind w:firstLine="420"/>
              <w:jc w:val="center"/>
              <w:textAlignment w:val="baseline"/>
              <w:rPr>
                <w:color w:val="auto"/>
                <w:kern w:val="0"/>
                <w:sz w:val="21"/>
                <w:szCs w:val="21"/>
              </w:rPr>
            </w:pPr>
            <w:r>
              <w:rPr>
                <w:rFonts w:hint="eastAsia"/>
                <w:color w:val="auto"/>
                <w:kern w:val="0"/>
                <w:sz w:val="21"/>
                <w:szCs w:val="21"/>
              </w:rPr>
              <w:t>昼间</w:t>
            </w:r>
          </w:p>
        </w:tc>
        <w:tc>
          <w:tcPr>
            <w:tcW w:w="2434" w:type="dxa"/>
            <w:vAlign w:val="center"/>
          </w:tcPr>
          <w:p w14:paraId="5F41E664">
            <w:pPr>
              <w:spacing w:line="240" w:lineRule="auto"/>
              <w:ind w:firstLine="420"/>
              <w:jc w:val="center"/>
              <w:textAlignment w:val="baseline"/>
              <w:rPr>
                <w:color w:val="auto"/>
                <w:kern w:val="0"/>
                <w:sz w:val="21"/>
                <w:szCs w:val="21"/>
              </w:rPr>
            </w:pPr>
            <w:r>
              <w:rPr>
                <w:rFonts w:hint="eastAsia"/>
                <w:color w:val="auto"/>
                <w:kern w:val="0"/>
                <w:sz w:val="21"/>
                <w:szCs w:val="21"/>
              </w:rPr>
              <w:t>夜间</w:t>
            </w:r>
          </w:p>
        </w:tc>
      </w:tr>
      <w:tr w14:paraId="090C67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603" w:type="dxa"/>
            <w:vMerge w:val="continue"/>
            <w:vAlign w:val="center"/>
          </w:tcPr>
          <w:p w14:paraId="5C3B55BC">
            <w:pPr>
              <w:spacing w:line="240" w:lineRule="auto"/>
              <w:ind w:firstLine="420"/>
              <w:jc w:val="center"/>
              <w:textAlignment w:val="baseline"/>
              <w:rPr>
                <w:color w:val="auto"/>
                <w:kern w:val="0"/>
                <w:sz w:val="21"/>
                <w:szCs w:val="21"/>
              </w:rPr>
            </w:pPr>
          </w:p>
        </w:tc>
        <w:tc>
          <w:tcPr>
            <w:tcW w:w="2467" w:type="dxa"/>
            <w:vAlign w:val="center"/>
          </w:tcPr>
          <w:p w14:paraId="7747A83B">
            <w:pPr>
              <w:spacing w:line="240" w:lineRule="auto"/>
              <w:ind w:firstLine="420"/>
              <w:jc w:val="center"/>
              <w:textAlignment w:val="baseline"/>
              <w:rPr>
                <w:color w:val="auto"/>
                <w:kern w:val="0"/>
                <w:sz w:val="21"/>
                <w:szCs w:val="21"/>
              </w:rPr>
            </w:pPr>
            <w:r>
              <w:rPr>
                <w:rFonts w:hint="eastAsia"/>
                <w:color w:val="auto"/>
                <w:kern w:val="0"/>
                <w:sz w:val="21"/>
                <w:szCs w:val="21"/>
              </w:rPr>
              <w:t>70</w:t>
            </w:r>
          </w:p>
        </w:tc>
        <w:tc>
          <w:tcPr>
            <w:tcW w:w="2434" w:type="dxa"/>
            <w:vAlign w:val="center"/>
          </w:tcPr>
          <w:p w14:paraId="773226A2">
            <w:pPr>
              <w:spacing w:line="240" w:lineRule="auto"/>
              <w:ind w:firstLine="420"/>
              <w:jc w:val="center"/>
              <w:textAlignment w:val="baseline"/>
              <w:rPr>
                <w:color w:val="auto"/>
                <w:kern w:val="0"/>
                <w:sz w:val="21"/>
                <w:szCs w:val="21"/>
              </w:rPr>
            </w:pPr>
            <w:r>
              <w:rPr>
                <w:rFonts w:hint="eastAsia"/>
                <w:color w:val="auto"/>
                <w:kern w:val="0"/>
                <w:sz w:val="21"/>
                <w:szCs w:val="21"/>
              </w:rPr>
              <w:t>55</w:t>
            </w:r>
          </w:p>
        </w:tc>
      </w:tr>
    </w:tbl>
    <w:p w14:paraId="1A2F4921">
      <w:pPr>
        <w:ind w:firstLine="482"/>
        <w:jc w:val="center"/>
        <w:rPr>
          <w:b/>
          <w:color w:val="auto"/>
          <w:szCs w:val="22"/>
        </w:rPr>
      </w:pPr>
      <w:r>
        <w:rPr>
          <w:rFonts w:hint="eastAsia"/>
          <w:b/>
          <w:color w:val="auto"/>
          <w:szCs w:val="22"/>
        </w:rPr>
        <w:t>表</w:t>
      </w:r>
      <w:r>
        <w:rPr>
          <w:rFonts w:hint="eastAsia"/>
          <w:b/>
          <w:color w:val="auto"/>
          <w:szCs w:val="22"/>
          <w:lang w:eastAsia="zh-CN"/>
        </w:rPr>
        <w:t>2.6</w:t>
      </w:r>
      <w:r>
        <w:rPr>
          <w:rFonts w:hint="eastAsia"/>
          <w:b/>
          <w:color w:val="auto"/>
          <w:szCs w:val="22"/>
        </w:rPr>
        <w:t>-</w:t>
      </w:r>
      <w:r>
        <w:rPr>
          <w:b/>
          <w:color w:val="auto"/>
          <w:szCs w:val="22"/>
        </w:rPr>
        <w:t>11 工业企业厂界环境噪声排放标准 单位：dB（A）</w:t>
      </w:r>
    </w:p>
    <w:tbl>
      <w:tblPr>
        <w:tblStyle w:val="88"/>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50"/>
        <w:gridCol w:w="1928"/>
        <w:gridCol w:w="1648"/>
        <w:gridCol w:w="1750"/>
      </w:tblGrid>
      <w:tr w14:paraId="67E56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3514" w:type="dxa"/>
            <w:vMerge w:val="restart"/>
            <w:vAlign w:val="center"/>
          </w:tcPr>
          <w:p w14:paraId="6CBFEB51">
            <w:pPr>
              <w:spacing w:line="240" w:lineRule="auto"/>
              <w:ind w:firstLine="420"/>
              <w:jc w:val="center"/>
              <w:textAlignment w:val="baseline"/>
              <w:rPr>
                <w:color w:val="auto"/>
                <w:kern w:val="0"/>
                <w:sz w:val="21"/>
                <w:szCs w:val="21"/>
              </w:rPr>
            </w:pPr>
            <w:r>
              <w:rPr>
                <w:rFonts w:hint="eastAsia"/>
                <w:color w:val="auto"/>
                <w:kern w:val="0"/>
                <w:sz w:val="21"/>
                <w:szCs w:val="21"/>
              </w:rPr>
              <w:t>标准名称及代号</w:t>
            </w:r>
          </w:p>
        </w:tc>
        <w:tc>
          <w:tcPr>
            <w:tcW w:w="1806" w:type="dxa"/>
            <w:vMerge w:val="restart"/>
            <w:vAlign w:val="center"/>
          </w:tcPr>
          <w:p w14:paraId="2268D1C4">
            <w:pPr>
              <w:spacing w:line="240" w:lineRule="auto"/>
              <w:ind w:firstLine="420"/>
              <w:jc w:val="center"/>
              <w:textAlignment w:val="baseline"/>
              <w:rPr>
                <w:color w:val="auto"/>
                <w:kern w:val="0"/>
                <w:sz w:val="21"/>
                <w:szCs w:val="21"/>
              </w:rPr>
            </w:pPr>
            <w:r>
              <w:rPr>
                <w:rFonts w:hint="eastAsia"/>
                <w:color w:val="auto"/>
                <w:kern w:val="0"/>
                <w:sz w:val="21"/>
                <w:szCs w:val="21"/>
              </w:rPr>
              <w:t>厂界外声环境</w:t>
            </w:r>
          </w:p>
          <w:p w14:paraId="0A4EA90D">
            <w:pPr>
              <w:spacing w:line="240" w:lineRule="auto"/>
              <w:ind w:firstLine="420"/>
              <w:jc w:val="center"/>
              <w:textAlignment w:val="baseline"/>
              <w:rPr>
                <w:color w:val="auto"/>
                <w:kern w:val="0"/>
                <w:sz w:val="21"/>
                <w:szCs w:val="21"/>
              </w:rPr>
            </w:pPr>
            <w:r>
              <w:rPr>
                <w:rFonts w:hint="eastAsia"/>
                <w:color w:val="auto"/>
                <w:kern w:val="0"/>
                <w:sz w:val="21"/>
                <w:szCs w:val="21"/>
              </w:rPr>
              <w:t>功能区类别</w:t>
            </w:r>
          </w:p>
        </w:tc>
        <w:tc>
          <w:tcPr>
            <w:tcW w:w="3184" w:type="dxa"/>
            <w:gridSpan w:val="2"/>
            <w:vAlign w:val="center"/>
          </w:tcPr>
          <w:p w14:paraId="0FB2B56B">
            <w:pPr>
              <w:spacing w:line="240" w:lineRule="auto"/>
              <w:ind w:firstLine="420"/>
              <w:jc w:val="center"/>
              <w:textAlignment w:val="baseline"/>
              <w:rPr>
                <w:color w:val="auto"/>
                <w:kern w:val="0"/>
                <w:sz w:val="21"/>
                <w:szCs w:val="21"/>
              </w:rPr>
            </w:pPr>
            <w:r>
              <w:rPr>
                <w:rFonts w:hint="eastAsia"/>
                <w:color w:val="auto"/>
                <w:kern w:val="0"/>
                <w:sz w:val="21"/>
                <w:szCs w:val="21"/>
              </w:rPr>
              <w:t>时段</w:t>
            </w:r>
          </w:p>
        </w:tc>
      </w:tr>
      <w:tr w14:paraId="06277E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3514" w:type="dxa"/>
            <w:vMerge w:val="continue"/>
            <w:vAlign w:val="center"/>
          </w:tcPr>
          <w:p w14:paraId="1FB9DA6E">
            <w:pPr>
              <w:spacing w:line="240" w:lineRule="auto"/>
              <w:ind w:firstLine="420"/>
              <w:jc w:val="center"/>
              <w:textAlignment w:val="baseline"/>
              <w:rPr>
                <w:color w:val="auto"/>
                <w:kern w:val="0"/>
                <w:sz w:val="21"/>
                <w:szCs w:val="21"/>
              </w:rPr>
            </w:pPr>
          </w:p>
        </w:tc>
        <w:tc>
          <w:tcPr>
            <w:tcW w:w="1806" w:type="dxa"/>
            <w:vMerge w:val="continue"/>
            <w:vAlign w:val="center"/>
          </w:tcPr>
          <w:p w14:paraId="3BA0B0B8">
            <w:pPr>
              <w:spacing w:line="240" w:lineRule="auto"/>
              <w:ind w:firstLine="420"/>
              <w:jc w:val="center"/>
              <w:textAlignment w:val="baseline"/>
              <w:rPr>
                <w:color w:val="auto"/>
                <w:kern w:val="0"/>
                <w:sz w:val="21"/>
                <w:szCs w:val="21"/>
              </w:rPr>
            </w:pPr>
          </w:p>
        </w:tc>
        <w:tc>
          <w:tcPr>
            <w:tcW w:w="1544" w:type="dxa"/>
            <w:vAlign w:val="center"/>
          </w:tcPr>
          <w:p w14:paraId="0242AE43">
            <w:pPr>
              <w:spacing w:line="240" w:lineRule="auto"/>
              <w:ind w:firstLine="420"/>
              <w:jc w:val="center"/>
              <w:textAlignment w:val="baseline"/>
              <w:rPr>
                <w:color w:val="auto"/>
                <w:kern w:val="0"/>
                <w:sz w:val="21"/>
                <w:szCs w:val="21"/>
              </w:rPr>
            </w:pPr>
            <w:r>
              <w:rPr>
                <w:rFonts w:hint="eastAsia"/>
                <w:color w:val="auto"/>
                <w:kern w:val="0"/>
                <w:sz w:val="21"/>
                <w:szCs w:val="21"/>
              </w:rPr>
              <w:t>昼间</w:t>
            </w:r>
          </w:p>
        </w:tc>
        <w:tc>
          <w:tcPr>
            <w:tcW w:w="1640" w:type="dxa"/>
            <w:vAlign w:val="center"/>
          </w:tcPr>
          <w:p w14:paraId="75331891">
            <w:pPr>
              <w:spacing w:line="240" w:lineRule="auto"/>
              <w:ind w:firstLine="420"/>
              <w:jc w:val="center"/>
              <w:textAlignment w:val="baseline"/>
              <w:rPr>
                <w:color w:val="auto"/>
                <w:kern w:val="0"/>
                <w:sz w:val="21"/>
                <w:szCs w:val="21"/>
              </w:rPr>
            </w:pPr>
            <w:r>
              <w:rPr>
                <w:rFonts w:hint="eastAsia"/>
                <w:color w:val="auto"/>
                <w:kern w:val="0"/>
                <w:sz w:val="21"/>
                <w:szCs w:val="21"/>
              </w:rPr>
              <w:t>夜间</w:t>
            </w:r>
          </w:p>
        </w:tc>
      </w:tr>
      <w:tr w14:paraId="5989F5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2" w:hRule="atLeast"/>
          <w:jc w:val="center"/>
        </w:trPr>
        <w:tc>
          <w:tcPr>
            <w:tcW w:w="3514" w:type="dxa"/>
            <w:vAlign w:val="center"/>
          </w:tcPr>
          <w:p w14:paraId="2B833AF6">
            <w:pPr>
              <w:spacing w:line="240" w:lineRule="auto"/>
              <w:ind w:firstLine="420"/>
              <w:jc w:val="center"/>
              <w:textAlignment w:val="baseline"/>
              <w:rPr>
                <w:color w:val="auto"/>
                <w:kern w:val="0"/>
                <w:sz w:val="21"/>
                <w:szCs w:val="21"/>
              </w:rPr>
            </w:pPr>
            <w:r>
              <w:rPr>
                <w:rFonts w:hint="eastAsia"/>
                <w:color w:val="auto"/>
                <w:kern w:val="0"/>
                <w:sz w:val="21"/>
                <w:szCs w:val="21"/>
              </w:rPr>
              <w:t>《工业企业厂界环境噪声排放标准》（GB 12348-2008）</w:t>
            </w:r>
          </w:p>
        </w:tc>
        <w:tc>
          <w:tcPr>
            <w:tcW w:w="1806" w:type="dxa"/>
            <w:vAlign w:val="center"/>
          </w:tcPr>
          <w:p w14:paraId="4EA0D305">
            <w:pPr>
              <w:spacing w:line="240" w:lineRule="auto"/>
              <w:ind w:firstLine="420"/>
              <w:jc w:val="center"/>
              <w:textAlignment w:val="baseline"/>
              <w:rPr>
                <w:color w:val="auto"/>
                <w:kern w:val="0"/>
                <w:sz w:val="21"/>
                <w:szCs w:val="21"/>
              </w:rPr>
            </w:pPr>
            <w:r>
              <w:rPr>
                <w:rFonts w:hint="eastAsia"/>
                <w:color w:val="auto"/>
                <w:kern w:val="0"/>
                <w:sz w:val="21"/>
                <w:szCs w:val="21"/>
              </w:rPr>
              <w:t>3</w:t>
            </w:r>
            <w:r>
              <w:rPr>
                <w:rFonts w:hint="eastAsia"/>
                <w:color w:val="auto"/>
                <w:sz w:val="21"/>
                <w:szCs w:val="21"/>
              </w:rPr>
              <w:t>类</w:t>
            </w:r>
          </w:p>
        </w:tc>
        <w:tc>
          <w:tcPr>
            <w:tcW w:w="1544" w:type="dxa"/>
            <w:vAlign w:val="center"/>
          </w:tcPr>
          <w:p w14:paraId="694EE50A">
            <w:pPr>
              <w:spacing w:line="240" w:lineRule="auto"/>
              <w:ind w:firstLine="420"/>
              <w:jc w:val="center"/>
              <w:textAlignment w:val="baseline"/>
              <w:rPr>
                <w:color w:val="auto"/>
                <w:kern w:val="0"/>
                <w:sz w:val="21"/>
                <w:szCs w:val="21"/>
              </w:rPr>
            </w:pPr>
            <w:r>
              <w:rPr>
                <w:rFonts w:hint="eastAsia"/>
                <w:color w:val="auto"/>
                <w:kern w:val="0"/>
                <w:sz w:val="21"/>
                <w:szCs w:val="21"/>
              </w:rPr>
              <w:t>65</w:t>
            </w:r>
          </w:p>
        </w:tc>
        <w:tc>
          <w:tcPr>
            <w:tcW w:w="1640" w:type="dxa"/>
            <w:vAlign w:val="center"/>
          </w:tcPr>
          <w:p w14:paraId="5E11CD67">
            <w:pPr>
              <w:spacing w:line="240" w:lineRule="auto"/>
              <w:ind w:firstLine="420"/>
              <w:jc w:val="center"/>
              <w:textAlignment w:val="baseline"/>
              <w:rPr>
                <w:color w:val="auto"/>
                <w:kern w:val="0"/>
                <w:sz w:val="21"/>
                <w:szCs w:val="21"/>
              </w:rPr>
            </w:pPr>
            <w:r>
              <w:rPr>
                <w:rFonts w:hint="eastAsia"/>
                <w:color w:val="auto"/>
                <w:kern w:val="0"/>
                <w:sz w:val="21"/>
                <w:szCs w:val="21"/>
              </w:rPr>
              <w:t>55</w:t>
            </w:r>
          </w:p>
        </w:tc>
      </w:tr>
    </w:tbl>
    <w:p w14:paraId="265F8C1B">
      <w:pPr>
        <w:spacing w:line="360" w:lineRule="auto"/>
        <w:ind w:firstLine="480"/>
        <w:rPr>
          <w:color w:val="auto"/>
        </w:rPr>
      </w:pPr>
    </w:p>
    <w:p w14:paraId="71726BCA">
      <w:pPr>
        <w:spacing w:line="360" w:lineRule="auto"/>
        <w:ind w:firstLine="480"/>
        <w:rPr>
          <w:color w:val="auto"/>
        </w:rPr>
      </w:pPr>
      <w:r>
        <w:rPr>
          <w:color w:val="auto"/>
        </w:rPr>
        <w:t>（4）固体废物</w:t>
      </w:r>
    </w:p>
    <w:p w14:paraId="719FA6CD">
      <w:pPr>
        <w:spacing w:line="360" w:lineRule="auto"/>
        <w:ind w:firstLine="480"/>
        <w:rPr>
          <w:color w:val="auto"/>
        </w:rPr>
      </w:pPr>
      <w:bookmarkStart w:id="92" w:name="_Toc472509263"/>
      <w:bookmarkStart w:id="93" w:name="_Toc462350265"/>
      <w:bookmarkStart w:id="94" w:name="_Toc439249485"/>
      <w:r>
        <w:rPr>
          <w:rFonts w:hint="eastAsia"/>
          <w:color w:val="auto"/>
        </w:rPr>
        <w:t>一般工业固体废物：采用库房贮存一般工业固体废物时应满足相应防渗漏、防雨淋、防扬尘等环境保护要求，委托他人运输、利用、处置工业固体废物时，应当对受托方的主体资格和技术能力进行核实。</w:t>
      </w:r>
    </w:p>
    <w:p w14:paraId="519E5634">
      <w:pPr>
        <w:spacing w:line="360" w:lineRule="auto"/>
        <w:ind w:firstLine="480"/>
        <w:rPr>
          <w:color w:val="auto"/>
        </w:rPr>
      </w:pPr>
      <w:r>
        <w:rPr>
          <w:rFonts w:hint="eastAsia"/>
          <w:color w:val="auto"/>
        </w:rPr>
        <w:t>危险废物：危险废物</w:t>
      </w:r>
      <w:r>
        <w:rPr>
          <w:rFonts w:hint="eastAsia"/>
          <w:color w:val="auto"/>
          <w:lang w:eastAsia="zh-CN"/>
        </w:rPr>
        <w:t>在</w:t>
      </w:r>
      <w:r>
        <w:rPr>
          <w:rFonts w:hint="eastAsia"/>
          <w:color w:val="auto"/>
        </w:rPr>
        <w:t>厂内暂存应执行《危险废物贮存污染控制标准》（GB18597-2023）要求。转移危险废物必须按照《危险废物转移管理办法》（生态环境部 公安部 交通运输部 部令 第23号）要求执行</w:t>
      </w:r>
      <w:r>
        <w:rPr>
          <w:color w:val="auto"/>
        </w:rPr>
        <w:t>。</w:t>
      </w:r>
    </w:p>
    <w:p w14:paraId="273D5C62">
      <w:pPr>
        <w:spacing w:line="360" w:lineRule="auto"/>
        <w:ind w:firstLine="480"/>
        <w:rPr>
          <w:color w:val="auto"/>
        </w:rPr>
      </w:pPr>
      <w:r>
        <w:rPr>
          <w:rFonts w:hint="eastAsia"/>
          <w:color w:val="auto"/>
        </w:rPr>
        <w:t>放射性废物：拟建项目废水处理过程中产生的废膜、污泥和蒸发结晶盐应按《放射性废物分类》（公告 2017年第65号）和《放射性废物管理规定》（GB14500-2002）相关要求进行放射性活度或浓度活度检测，以判断是否属于放射性废物，并按相应固体废物管理要求进行管理。</w:t>
      </w:r>
    </w:p>
    <w:p w14:paraId="2A526A8D">
      <w:pPr>
        <w:pStyle w:val="4"/>
        <w:numPr>
          <w:ilvl w:val="0"/>
          <w:numId w:val="0"/>
        </w:numPr>
        <w:spacing w:line="360" w:lineRule="auto"/>
        <w:rPr>
          <w:color w:val="auto"/>
        </w:rPr>
      </w:pPr>
      <w:bookmarkStart w:id="95" w:name="_Toc13327"/>
      <w:r>
        <w:rPr>
          <w:rFonts w:hint="eastAsia"/>
          <w:color w:val="auto"/>
          <w:lang w:eastAsia="zh-CN"/>
        </w:rPr>
        <w:t>2.7</w:t>
      </w:r>
      <w:r>
        <w:rPr>
          <w:color w:val="auto"/>
        </w:rPr>
        <w:t>评价等级</w:t>
      </w:r>
      <w:bookmarkEnd w:id="92"/>
      <w:bookmarkEnd w:id="93"/>
      <w:bookmarkEnd w:id="94"/>
      <w:bookmarkEnd w:id="95"/>
    </w:p>
    <w:p w14:paraId="4D2B9EFF">
      <w:pPr>
        <w:pStyle w:val="5"/>
        <w:numPr>
          <w:ilvl w:val="0"/>
          <w:numId w:val="0"/>
        </w:numPr>
        <w:spacing w:line="360" w:lineRule="auto"/>
        <w:rPr>
          <w:color w:val="auto"/>
        </w:rPr>
      </w:pPr>
      <w:r>
        <w:rPr>
          <w:rFonts w:hint="eastAsia"/>
          <w:color w:val="auto"/>
          <w:lang w:eastAsia="zh-CN"/>
        </w:rPr>
        <w:t>2.7</w:t>
      </w:r>
      <w:r>
        <w:rPr>
          <w:color w:val="auto"/>
        </w:rPr>
        <w:t>.1</w:t>
      </w:r>
      <w:r>
        <w:rPr>
          <w:rFonts w:hint="eastAsia"/>
          <w:color w:val="auto"/>
        </w:rPr>
        <w:t>大气</w:t>
      </w:r>
    </w:p>
    <w:p w14:paraId="18EDE39F">
      <w:pPr>
        <w:spacing w:line="360" w:lineRule="auto"/>
        <w:ind w:firstLine="480"/>
        <w:rPr>
          <w:color w:val="auto"/>
        </w:rPr>
      </w:pPr>
      <w:r>
        <w:rPr>
          <w:color w:val="auto"/>
        </w:rPr>
        <w:t>评价因子为</w:t>
      </w:r>
      <w:r>
        <w:rPr>
          <w:rFonts w:hint="eastAsia"/>
          <w:color w:val="auto"/>
        </w:rPr>
        <w:t>N</w:t>
      </w:r>
      <w:r>
        <w:rPr>
          <w:color w:val="auto"/>
        </w:rPr>
        <w:t>H</w:t>
      </w:r>
      <w:r>
        <w:rPr>
          <w:color w:val="auto"/>
          <w:vertAlign w:val="subscript"/>
        </w:rPr>
        <w:t>3</w:t>
      </w:r>
      <w:r>
        <w:rPr>
          <w:rFonts w:hint="eastAsia"/>
          <w:color w:val="auto"/>
        </w:rPr>
        <w:t>、</w:t>
      </w:r>
      <w:r>
        <w:rPr>
          <w:color w:val="auto"/>
        </w:rPr>
        <w:t>H</w:t>
      </w:r>
      <w:r>
        <w:rPr>
          <w:color w:val="auto"/>
          <w:vertAlign w:val="subscript"/>
        </w:rPr>
        <w:t>2</w:t>
      </w:r>
      <w:r>
        <w:rPr>
          <w:color w:val="auto"/>
        </w:rPr>
        <w:t>S</w:t>
      </w:r>
      <w:r>
        <w:rPr>
          <w:rFonts w:hint="eastAsia"/>
          <w:color w:val="auto"/>
        </w:rPr>
        <w:t>、非甲烷总烃</w:t>
      </w:r>
      <w:r>
        <w:rPr>
          <w:color w:val="auto"/>
        </w:rPr>
        <w:t>等，根据《环境影响评价技术导则大气环境》（HJ2.2-2018）对大气环境影响评价工作级别进行判定。评价等级确定依据见表</w:t>
      </w:r>
      <w:r>
        <w:rPr>
          <w:rFonts w:hint="eastAsia"/>
          <w:color w:val="auto"/>
          <w:lang w:eastAsia="zh-CN"/>
        </w:rPr>
        <w:t>2.7</w:t>
      </w:r>
      <w:r>
        <w:rPr>
          <w:color w:val="auto"/>
        </w:rPr>
        <w:t>-1。</w:t>
      </w:r>
    </w:p>
    <w:p w14:paraId="35D31014">
      <w:pPr>
        <w:spacing w:line="360" w:lineRule="auto"/>
        <w:ind w:firstLine="480"/>
        <w:rPr>
          <w:color w:val="auto"/>
        </w:rPr>
      </w:pPr>
      <w:r>
        <w:rPr>
          <w:color w:val="auto"/>
        </w:rPr>
        <w:t>采用导则推荐的</w:t>
      </w:r>
      <w:r>
        <w:rPr>
          <w:rFonts w:hint="eastAsia"/>
          <w:color w:val="auto"/>
        </w:rPr>
        <w:t>A</w:t>
      </w:r>
      <w:r>
        <w:rPr>
          <w:color w:val="auto"/>
        </w:rPr>
        <w:t>ERSCREEN模型，分别计算每一种污染物的最大地面浓度占标率Pi（第i个污染物），及第i个污染物的地面浓度达标准限值10%时所对应的最远距离D10%。其中Pi定义为：</w:t>
      </w:r>
    </w:p>
    <w:p w14:paraId="38826DA0">
      <w:pPr>
        <w:spacing w:line="360" w:lineRule="auto"/>
        <w:ind w:firstLine="480"/>
        <w:jc w:val="center"/>
        <w:rPr>
          <w:color w:val="auto"/>
        </w:rPr>
      </w:pPr>
      <w:r>
        <w:rPr>
          <w:color w:val="auto"/>
        </w:rPr>
        <w:t>Pi=C</w:t>
      </w:r>
      <w:r>
        <w:rPr>
          <w:color w:val="auto"/>
          <w:vertAlign w:val="subscript"/>
        </w:rPr>
        <w:t>i</w:t>
      </w:r>
      <w:r>
        <w:rPr>
          <w:color w:val="auto"/>
        </w:rPr>
        <w:t>/C</w:t>
      </w:r>
      <w:r>
        <w:rPr>
          <w:color w:val="auto"/>
          <w:vertAlign w:val="subscript"/>
        </w:rPr>
        <w:t>0i</w:t>
      </w:r>
      <w:r>
        <w:rPr>
          <w:color w:val="auto"/>
        </w:rPr>
        <w:t>×100%</w:t>
      </w:r>
    </w:p>
    <w:p w14:paraId="0092BF0C">
      <w:pPr>
        <w:spacing w:line="360" w:lineRule="auto"/>
        <w:ind w:firstLine="480"/>
        <w:rPr>
          <w:color w:val="auto"/>
        </w:rPr>
      </w:pPr>
      <w:r>
        <w:rPr>
          <w:color w:val="auto"/>
        </w:rPr>
        <w:t>式中：Pi -第i个污染物的最大地面浓度占标率，%；</w:t>
      </w:r>
    </w:p>
    <w:p w14:paraId="78960299">
      <w:pPr>
        <w:spacing w:line="360" w:lineRule="auto"/>
        <w:ind w:firstLine="480"/>
        <w:rPr>
          <w:color w:val="auto"/>
        </w:rPr>
      </w:pPr>
      <w:r>
        <w:rPr>
          <w:color w:val="auto"/>
        </w:rPr>
        <w:t>C</w:t>
      </w:r>
      <w:r>
        <w:rPr>
          <w:color w:val="auto"/>
          <w:vertAlign w:val="subscript"/>
        </w:rPr>
        <w:t>i</w:t>
      </w:r>
      <w:r>
        <w:rPr>
          <w:color w:val="auto"/>
        </w:rPr>
        <w:t xml:space="preserve"> -采用估算模式计算出的第个污染物的最大地面浓度，mg/m</w:t>
      </w:r>
      <w:r>
        <w:rPr>
          <w:color w:val="auto"/>
          <w:vertAlign w:val="superscript"/>
        </w:rPr>
        <w:t>3</w:t>
      </w:r>
      <w:r>
        <w:rPr>
          <w:color w:val="auto"/>
        </w:rPr>
        <w:t>；</w:t>
      </w:r>
    </w:p>
    <w:p w14:paraId="645F7AF7">
      <w:pPr>
        <w:spacing w:line="360" w:lineRule="auto"/>
        <w:ind w:firstLine="480"/>
        <w:rPr>
          <w:color w:val="auto"/>
        </w:rPr>
      </w:pPr>
      <w:r>
        <w:rPr>
          <w:color w:val="auto"/>
        </w:rPr>
        <w:t>C</w:t>
      </w:r>
      <w:r>
        <w:rPr>
          <w:color w:val="auto"/>
          <w:vertAlign w:val="subscript"/>
        </w:rPr>
        <w:t>0i</w:t>
      </w:r>
      <w:r>
        <w:rPr>
          <w:color w:val="auto"/>
        </w:rPr>
        <w:t xml:space="preserve"> -第i个污染物的环境空气质量标准，mg/m</w:t>
      </w:r>
      <w:r>
        <w:rPr>
          <w:color w:val="auto"/>
          <w:vertAlign w:val="superscript"/>
        </w:rPr>
        <w:t>3</w:t>
      </w:r>
      <w:r>
        <w:rPr>
          <w:color w:val="auto"/>
        </w:rPr>
        <w:t>。</w:t>
      </w:r>
    </w:p>
    <w:p w14:paraId="50442B4F">
      <w:pPr>
        <w:spacing w:line="360" w:lineRule="auto"/>
        <w:ind w:firstLine="480"/>
        <w:rPr>
          <w:color w:val="auto"/>
        </w:rPr>
      </w:pPr>
      <w:r>
        <w:rPr>
          <w:rFonts w:hint="eastAsia"/>
          <w:color w:val="auto"/>
        </w:rPr>
        <w:t>估算模型参数见表</w:t>
      </w:r>
      <w:r>
        <w:rPr>
          <w:rFonts w:hint="eastAsia"/>
          <w:color w:val="auto"/>
          <w:lang w:eastAsia="zh-CN"/>
        </w:rPr>
        <w:t>2.7</w:t>
      </w:r>
      <w:r>
        <w:rPr>
          <w:color w:val="auto"/>
        </w:rPr>
        <w:t>-2</w:t>
      </w:r>
      <w:r>
        <w:rPr>
          <w:rFonts w:hint="eastAsia"/>
          <w:color w:val="auto"/>
        </w:rPr>
        <w:t>。</w:t>
      </w:r>
      <w:r>
        <w:rPr>
          <w:color w:val="auto"/>
        </w:rPr>
        <w:t>根据估算模式计算出的有组织排放废气（点源）和无组织排放废气（面源）主要污染因子最大落地浓度及占标率见表</w:t>
      </w:r>
      <w:r>
        <w:rPr>
          <w:rFonts w:hint="eastAsia"/>
          <w:color w:val="auto"/>
          <w:lang w:eastAsia="zh-CN"/>
        </w:rPr>
        <w:t>2.7</w:t>
      </w:r>
      <w:r>
        <w:rPr>
          <w:color w:val="auto"/>
        </w:rPr>
        <w:t>-3。</w:t>
      </w:r>
    </w:p>
    <w:p w14:paraId="20A50FA3">
      <w:pPr>
        <w:ind w:firstLine="482"/>
        <w:jc w:val="center"/>
        <w:rPr>
          <w:b/>
          <w:snapToGrid w:val="0"/>
          <w:color w:val="auto"/>
          <w:kern w:val="0"/>
          <w:szCs w:val="24"/>
        </w:rPr>
      </w:pPr>
      <w:r>
        <w:rPr>
          <w:b/>
          <w:snapToGrid w:val="0"/>
          <w:color w:val="auto"/>
          <w:kern w:val="0"/>
          <w:szCs w:val="24"/>
        </w:rPr>
        <w:t>表</w:t>
      </w:r>
      <w:r>
        <w:rPr>
          <w:rFonts w:hint="eastAsia"/>
          <w:b/>
          <w:snapToGrid w:val="0"/>
          <w:color w:val="auto"/>
          <w:kern w:val="0"/>
          <w:szCs w:val="24"/>
          <w:lang w:eastAsia="zh-CN"/>
        </w:rPr>
        <w:t>2.7</w:t>
      </w:r>
      <w:r>
        <w:rPr>
          <w:b/>
          <w:snapToGrid w:val="0"/>
          <w:color w:val="auto"/>
          <w:kern w:val="0"/>
          <w:szCs w:val="24"/>
        </w:rPr>
        <w:t>-1  大气环境影响</w:t>
      </w:r>
      <w:r>
        <w:rPr>
          <w:rFonts w:hint="eastAsia"/>
          <w:b/>
          <w:snapToGrid w:val="0"/>
          <w:color w:val="auto"/>
          <w:kern w:val="0"/>
          <w:szCs w:val="24"/>
        </w:rPr>
        <w:t>评价等级判别表</w:t>
      </w:r>
    </w:p>
    <w:tbl>
      <w:tblPr>
        <w:tblStyle w:val="88"/>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86"/>
        <w:gridCol w:w="6500"/>
      </w:tblGrid>
      <w:tr w14:paraId="282B4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86" w:type="dxa"/>
            <w:vAlign w:val="center"/>
          </w:tcPr>
          <w:p w14:paraId="0BC14608">
            <w:pPr>
              <w:pStyle w:val="45"/>
              <w:jc w:val="center"/>
              <w:rPr>
                <w:rFonts w:ascii="Times New Roman" w:hAnsi="Times New Roman"/>
                <w:color w:val="auto"/>
              </w:rPr>
            </w:pPr>
            <w:r>
              <w:rPr>
                <w:rFonts w:hint="eastAsia" w:ascii="Times New Roman" w:hAnsi="Times New Roman"/>
                <w:color w:val="auto"/>
              </w:rPr>
              <w:t>评价工作等级</w:t>
            </w:r>
          </w:p>
        </w:tc>
        <w:tc>
          <w:tcPr>
            <w:tcW w:w="6500" w:type="dxa"/>
            <w:vAlign w:val="center"/>
          </w:tcPr>
          <w:p w14:paraId="7666AC88">
            <w:pPr>
              <w:pStyle w:val="45"/>
              <w:jc w:val="center"/>
              <w:rPr>
                <w:rFonts w:ascii="Times New Roman" w:hAnsi="Times New Roman"/>
                <w:color w:val="auto"/>
              </w:rPr>
            </w:pPr>
            <w:r>
              <w:rPr>
                <w:rFonts w:hint="eastAsia" w:ascii="Times New Roman" w:hAnsi="Times New Roman"/>
                <w:color w:val="auto"/>
              </w:rPr>
              <w:t>评价工作分级判据</w:t>
            </w:r>
          </w:p>
        </w:tc>
      </w:tr>
      <w:tr w14:paraId="72725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86" w:type="dxa"/>
            <w:vAlign w:val="center"/>
          </w:tcPr>
          <w:p w14:paraId="1D698522">
            <w:pPr>
              <w:pStyle w:val="45"/>
              <w:jc w:val="center"/>
              <w:rPr>
                <w:rFonts w:ascii="Times New Roman" w:hAnsi="Times New Roman"/>
                <w:color w:val="auto"/>
              </w:rPr>
            </w:pPr>
            <w:r>
              <w:rPr>
                <w:rFonts w:hint="eastAsia" w:ascii="Times New Roman" w:hAnsi="Times New Roman"/>
                <w:color w:val="auto"/>
              </w:rPr>
              <w:t>一级</w:t>
            </w:r>
          </w:p>
        </w:tc>
        <w:tc>
          <w:tcPr>
            <w:tcW w:w="6500" w:type="dxa"/>
            <w:vAlign w:val="center"/>
          </w:tcPr>
          <w:p w14:paraId="1C865A62">
            <w:pPr>
              <w:pStyle w:val="45"/>
              <w:jc w:val="center"/>
              <w:rPr>
                <w:rFonts w:ascii="Times New Roman" w:hAnsi="Times New Roman"/>
                <w:color w:val="auto"/>
              </w:rPr>
            </w:pPr>
            <w:r>
              <w:rPr>
                <w:rFonts w:hint="eastAsia" w:ascii="Times New Roman" w:hAnsi="Times New Roman"/>
                <w:color w:val="auto"/>
              </w:rPr>
              <w:t>PAMx≥10%</w:t>
            </w:r>
          </w:p>
        </w:tc>
      </w:tr>
      <w:tr w14:paraId="452E2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86" w:type="dxa"/>
            <w:vAlign w:val="center"/>
          </w:tcPr>
          <w:p w14:paraId="6CCFDBD0">
            <w:pPr>
              <w:pStyle w:val="45"/>
              <w:jc w:val="center"/>
              <w:rPr>
                <w:rFonts w:ascii="Times New Roman" w:hAnsi="Times New Roman"/>
                <w:color w:val="auto"/>
              </w:rPr>
            </w:pPr>
            <w:r>
              <w:rPr>
                <w:rFonts w:hint="eastAsia" w:ascii="Times New Roman" w:hAnsi="Times New Roman"/>
                <w:color w:val="auto"/>
              </w:rPr>
              <w:t>二级</w:t>
            </w:r>
          </w:p>
        </w:tc>
        <w:tc>
          <w:tcPr>
            <w:tcW w:w="6500" w:type="dxa"/>
            <w:vAlign w:val="center"/>
          </w:tcPr>
          <w:p w14:paraId="52FC50AF">
            <w:pPr>
              <w:pStyle w:val="45"/>
              <w:jc w:val="center"/>
              <w:rPr>
                <w:rFonts w:ascii="Times New Roman" w:hAnsi="Times New Roman"/>
                <w:color w:val="auto"/>
              </w:rPr>
            </w:pPr>
            <w:r>
              <w:rPr>
                <w:rFonts w:hint="eastAsia" w:ascii="Times New Roman" w:hAnsi="Times New Roman"/>
                <w:color w:val="auto"/>
              </w:rPr>
              <w:t>1%≤PAMx＜10%</w:t>
            </w:r>
          </w:p>
        </w:tc>
      </w:tr>
      <w:tr w14:paraId="47C77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86" w:type="dxa"/>
            <w:vAlign w:val="center"/>
          </w:tcPr>
          <w:p w14:paraId="663DF21A">
            <w:pPr>
              <w:pStyle w:val="45"/>
              <w:jc w:val="center"/>
              <w:rPr>
                <w:rFonts w:ascii="Times New Roman" w:hAnsi="Times New Roman"/>
                <w:color w:val="auto"/>
              </w:rPr>
            </w:pPr>
            <w:r>
              <w:rPr>
                <w:rFonts w:hint="eastAsia" w:ascii="Times New Roman" w:hAnsi="Times New Roman"/>
                <w:color w:val="auto"/>
              </w:rPr>
              <w:t>三级</w:t>
            </w:r>
          </w:p>
        </w:tc>
        <w:tc>
          <w:tcPr>
            <w:tcW w:w="6500" w:type="dxa"/>
            <w:vAlign w:val="center"/>
          </w:tcPr>
          <w:p w14:paraId="03D9E757">
            <w:pPr>
              <w:pStyle w:val="45"/>
              <w:jc w:val="center"/>
              <w:rPr>
                <w:rFonts w:ascii="Times New Roman" w:hAnsi="Times New Roman"/>
                <w:color w:val="auto"/>
              </w:rPr>
            </w:pPr>
            <w:r>
              <w:rPr>
                <w:rFonts w:hint="eastAsia" w:ascii="Times New Roman" w:hAnsi="Times New Roman"/>
                <w:color w:val="auto"/>
              </w:rPr>
              <w:t>PAMx＜1%</w:t>
            </w:r>
          </w:p>
        </w:tc>
      </w:tr>
    </w:tbl>
    <w:p w14:paraId="0BB55CA5">
      <w:pPr>
        <w:ind w:firstLine="482"/>
        <w:jc w:val="center"/>
        <w:rPr>
          <w:rFonts w:hint="eastAsia"/>
          <w:b/>
          <w:snapToGrid w:val="0"/>
          <w:color w:val="auto"/>
          <w:kern w:val="0"/>
          <w:szCs w:val="24"/>
        </w:rPr>
      </w:pPr>
    </w:p>
    <w:p w14:paraId="3B0897C4">
      <w:pPr>
        <w:ind w:firstLine="482"/>
        <w:jc w:val="center"/>
        <w:rPr>
          <w:rFonts w:hint="eastAsia"/>
          <w:b/>
          <w:snapToGrid w:val="0"/>
          <w:color w:val="auto"/>
          <w:kern w:val="0"/>
          <w:szCs w:val="24"/>
        </w:rPr>
      </w:pPr>
      <w:r>
        <w:rPr>
          <w:rFonts w:hint="eastAsia"/>
          <w:b/>
          <w:snapToGrid w:val="0"/>
          <w:color w:val="auto"/>
          <w:kern w:val="0"/>
          <w:szCs w:val="24"/>
        </w:rPr>
        <w:t>表</w:t>
      </w:r>
      <w:r>
        <w:rPr>
          <w:rFonts w:hint="eastAsia"/>
          <w:b/>
          <w:snapToGrid w:val="0"/>
          <w:color w:val="auto"/>
          <w:kern w:val="0"/>
          <w:szCs w:val="24"/>
          <w:lang w:eastAsia="zh-CN"/>
        </w:rPr>
        <w:t>2.7</w:t>
      </w:r>
      <w:r>
        <w:rPr>
          <w:b/>
          <w:snapToGrid w:val="0"/>
          <w:color w:val="auto"/>
          <w:kern w:val="0"/>
          <w:szCs w:val="24"/>
        </w:rPr>
        <w:t xml:space="preserve">-2  </w:t>
      </w:r>
      <w:r>
        <w:rPr>
          <w:rFonts w:hint="eastAsia"/>
          <w:b/>
          <w:snapToGrid w:val="0"/>
          <w:color w:val="auto"/>
          <w:kern w:val="0"/>
          <w:szCs w:val="24"/>
        </w:rPr>
        <w:t>估算模型参数表</w:t>
      </w:r>
    </w:p>
    <w:tbl>
      <w:tblPr>
        <w:tblStyle w:val="88"/>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96"/>
        <w:gridCol w:w="3097"/>
        <w:gridCol w:w="3095"/>
      </w:tblGrid>
      <w:tr w14:paraId="6AD59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6193" w:type="dxa"/>
            <w:gridSpan w:val="2"/>
            <w:vAlign w:val="center"/>
          </w:tcPr>
          <w:p w14:paraId="2FFCB6ED">
            <w:pPr>
              <w:pStyle w:val="45"/>
              <w:jc w:val="center"/>
              <w:rPr>
                <w:rFonts w:ascii="Times New Roman" w:hAnsi="Times New Roman"/>
                <w:color w:val="auto"/>
              </w:rPr>
            </w:pPr>
            <w:r>
              <w:rPr>
                <w:rFonts w:hint="eastAsia" w:ascii="Times New Roman" w:hAnsi="Times New Roman"/>
                <w:color w:val="auto"/>
              </w:rPr>
              <w:t>参数</w:t>
            </w:r>
          </w:p>
        </w:tc>
        <w:tc>
          <w:tcPr>
            <w:tcW w:w="3095" w:type="dxa"/>
            <w:vAlign w:val="center"/>
          </w:tcPr>
          <w:p w14:paraId="524AF84A">
            <w:pPr>
              <w:pStyle w:val="45"/>
              <w:jc w:val="center"/>
              <w:rPr>
                <w:rFonts w:ascii="Times New Roman" w:hAnsi="Times New Roman"/>
                <w:color w:val="auto"/>
              </w:rPr>
            </w:pPr>
            <w:r>
              <w:rPr>
                <w:rFonts w:hint="eastAsia" w:ascii="Times New Roman" w:hAnsi="Times New Roman"/>
                <w:color w:val="auto"/>
              </w:rPr>
              <w:t>取值</w:t>
            </w:r>
          </w:p>
        </w:tc>
      </w:tr>
      <w:tr w14:paraId="1530E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3096" w:type="dxa"/>
            <w:vMerge w:val="restart"/>
            <w:vAlign w:val="center"/>
          </w:tcPr>
          <w:p w14:paraId="03454648">
            <w:pPr>
              <w:pStyle w:val="45"/>
              <w:jc w:val="center"/>
              <w:rPr>
                <w:rFonts w:ascii="Times New Roman" w:hAnsi="Times New Roman"/>
                <w:color w:val="auto"/>
              </w:rPr>
            </w:pPr>
            <w:r>
              <w:rPr>
                <w:rFonts w:hint="eastAsia" w:ascii="Times New Roman" w:hAnsi="Times New Roman"/>
                <w:color w:val="auto"/>
              </w:rPr>
              <w:t>城市/农村选项</w:t>
            </w:r>
          </w:p>
        </w:tc>
        <w:tc>
          <w:tcPr>
            <w:tcW w:w="3097" w:type="dxa"/>
            <w:vAlign w:val="center"/>
          </w:tcPr>
          <w:p w14:paraId="2DF962AC">
            <w:pPr>
              <w:pStyle w:val="45"/>
              <w:jc w:val="center"/>
              <w:rPr>
                <w:rFonts w:ascii="Times New Roman" w:hAnsi="Times New Roman"/>
                <w:color w:val="auto"/>
              </w:rPr>
            </w:pPr>
            <w:r>
              <w:rPr>
                <w:rFonts w:hint="eastAsia" w:ascii="Times New Roman" w:hAnsi="Times New Roman"/>
                <w:color w:val="auto"/>
              </w:rPr>
              <w:t>城市/农村</w:t>
            </w:r>
          </w:p>
        </w:tc>
        <w:tc>
          <w:tcPr>
            <w:tcW w:w="3095" w:type="dxa"/>
            <w:vAlign w:val="center"/>
          </w:tcPr>
          <w:p w14:paraId="637AEDDE">
            <w:pPr>
              <w:pStyle w:val="45"/>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农村</w:t>
            </w:r>
          </w:p>
        </w:tc>
      </w:tr>
      <w:tr w14:paraId="5E733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3096" w:type="dxa"/>
            <w:vMerge w:val="continue"/>
            <w:vAlign w:val="center"/>
          </w:tcPr>
          <w:p w14:paraId="71D56C9B">
            <w:pPr>
              <w:pStyle w:val="45"/>
              <w:jc w:val="center"/>
              <w:rPr>
                <w:rFonts w:ascii="Times New Roman" w:hAnsi="Times New Roman"/>
                <w:color w:val="auto"/>
              </w:rPr>
            </w:pPr>
          </w:p>
        </w:tc>
        <w:tc>
          <w:tcPr>
            <w:tcW w:w="3097" w:type="dxa"/>
            <w:vAlign w:val="center"/>
          </w:tcPr>
          <w:p w14:paraId="4FC7BEE6">
            <w:pPr>
              <w:pStyle w:val="45"/>
              <w:jc w:val="center"/>
              <w:rPr>
                <w:rFonts w:ascii="Times New Roman" w:hAnsi="Times New Roman"/>
                <w:color w:val="auto"/>
              </w:rPr>
            </w:pPr>
            <w:r>
              <w:rPr>
                <w:rFonts w:hint="eastAsia" w:ascii="Times New Roman" w:hAnsi="Times New Roman"/>
                <w:color w:val="auto"/>
              </w:rPr>
              <w:t>人口数（城市选项时）</w:t>
            </w:r>
          </w:p>
        </w:tc>
        <w:tc>
          <w:tcPr>
            <w:tcW w:w="3095" w:type="dxa"/>
            <w:vAlign w:val="center"/>
          </w:tcPr>
          <w:p w14:paraId="0B42E1D9">
            <w:pPr>
              <w:pStyle w:val="45"/>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w:t>
            </w:r>
          </w:p>
        </w:tc>
      </w:tr>
      <w:tr w14:paraId="366FA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6193" w:type="dxa"/>
            <w:gridSpan w:val="2"/>
            <w:vAlign w:val="center"/>
          </w:tcPr>
          <w:p w14:paraId="418BA257">
            <w:pPr>
              <w:pStyle w:val="45"/>
              <w:jc w:val="center"/>
              <w:rPr>
                <w:rFonts w:ascii="Times New Roman" w:hAnsi="Times New Roman"/>
                <w:color w:val="auto"/>
              </w:rPr>
            </w:pPr>
            <w:r>
              <w:rPr>
                <w:rFonts w:hint="eastAsia" w:ascii="Times New Roman" w:hAnsi="Times New Roman"/>
                <w:color w:val="auto"/>
              </w:rPr>
              <w:t>最高环境温度/℃</w:t>
            </w:r>
          </w:p>
        </w:tc>
        <w:tc>
          <w:tcPr>
            <w:tcW w:w="3095" w:type="dxa"/>
            <w:vAlign w:val="center"/>
          </w:tcPr>
          <w:p w14:paraId="744D8405">
            <w:pPr>
              <w:pStyle w:val="45"/>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42.7</w:t>
            </w:r>
          </w:p>
        </w:tc>
      </w:tr>
      <w:tr w14:paraId="2DB87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6193" w:type="dxa"/>
            <w:gridSpan w:val="2"/>
            <w:vAlign w:val="center"/>
          </w:tcPr>
          <w:p w14:paraId="48CBCF17">
            <w:pPr>
              <w:pStyle w:val="45"/>
              <w:jc w:val="center"/>
              <w:rPr>
                <w:rFonts w:ascii="Times New Roman" w:hAnsi="Times New Roman"/>
                <w:color w:val="auto"/>
              </w:rPr>
            </w:pPr>
            <w:r>
              <w:rPr>
                <w:rFonts w:hint="eastAsia" w:ascii="Times New Roman" w:hAnsi="Times New Roman"/>
                <w:color w:val="auto"/>
              </w:rPr>
              <w:t>最低环境温度/℃</w:t>
            </w:r>
          </w:p>
        </w:tc>
        <w:tc>
          <w:tcPr>
            <w:tcW w:w="3095" w:type="dxa"/>
            <w:vAlign w:val="center"/>
          </w:tcPr>
          <w:p w14:paraId="1727CC24">
            <w:pPr>
              <w:pStyle w:val="45"/>
              <w:jc w:val="center"/>
              <w:rPr>
                <w:rFonts w:hint="default" w:ascii="Times New Roman" w:hAnsi="Times New Roman" w:eastAsia="宋体"/>
                <w:color w:val="auto"/>
                <w:lang w:val="en-US" w:eastAsia="zh-CN"/>
              </w:rPr>
            </w:pPr>
            <w:r>
              <w:rPr>
                <w:rFonts w:hint="eastAsia" w:ascii="Times New Roman" w:hAnsi="Times New Roman"/>
                <w:color w:val="auto"/>
              </w:rPr>
              <w:t>-</w:t>
            </w:r>
            <w:r>
              <w:rPr>
                <w:rFonts w:hint="eastAsia" w:ascii="Times New Roman" w:hAnsi="Times New Roman"/>
                <w:color w:val="auto"/>
                <w:lang w:val="en-US" w:eastAsia="zh-CN"/>
              </w:rPr>
              <w:t>0.8</w:t>
            </w:r>
          </w:p>
        </w:tc>
      </w:tr>
      <w:tr w14:paraId="2FADF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6193" w:type="dxa"/>
            <w:gridSpan w:val="2"/>
            <w:vAlign w:val="center"/>
          </w:tcPr>
          <w:p w14:paraId="2E889201">
            <w:pPr>
              <w:pStyle w:val="45"/>
              <w:jc w:val="center"/>
              <w:rPr>
                <w:rFonts w:ascii="Times New Roman" w:hAnsi="Times New Roman"/>
                <w:color w:val="auto"/>
              </w:rPr>
            </w:pPr>
            <w:r>
              <w:rPr>
                <w:rFonts w:hint="eastAsia" w:ascii="Times New Roman" w:hAnsi="Times New Roman"/>
                <w:color w:val="auto"/>
              </w:rPr>
              <w:t>土地利用类型</w:t>
            </w:r>
          </w:p>
        </w:tc>
        <w:tc>
          <w:tcPr>
            <w:tcW w:w="3095" w:type="dxa"/>
            <w:vAlign w:val="center"/>
          </w:tcPr>
          <w:p w14:paraId="6FD7E0D4">
            <w:pPr>
              <w:pStyle w:val="45"/>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落叶林</w:t>
            </w:r>
          </w:p>
        </w:tc>
      </w:tr>
      <w:tr w14:paraId="7B6B5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6193" w:type="dxa"/>
            <w:gridSpan w:val="2"/>
            <w:vAlign w:val="center"/>
          </w:tcPr>
          <w:p w14:paraId="155B4218">
            <w:pPr>
              <w:pStyle w:val="45"/>
              <w:jc w:val="center"/>
              <w:rPr>
                <w:rFonts w:ascii="Times New Roman" w:hAnsi="Times New Roman"/>
                <w:color w:val="auto"/>
              </w:rPr>
            </w:pPr>
            <w:r>
              <w:rPr>
                <w:rFonts w:hint="eastAsia" w:ascii="Times New Roman" w:hAnsi="Times New Roman"/>
                <w:color w:val="auto"/>
              </w:rPr>
              <w:t>区域湿度条件</w:t>
            </w:r>
          </w:p>
        </w:tc>
        <w:tc>
          <w:tcPr>
            <w:tcW w:w="3095" w:type="dxa"/>
            <w:vAlign w:val="center"/>
          </w:tcPr>
          <w:p w14:paraId="0D83FC4B">
            <w:pPr>
              <w:pStyle w:val="45"/>
              <w:jc w:val="center"/>
              <w:rPr>
                <w:rFonts w:hint="eastAsia" w:ascii="Times New Roman" w:hAnsi="Times New Roman" w:eastAsia="宋体"/>
                <w:color w:val="auto"/>
                <w:lang w:val="en-US" w:eastAsia="zh-CN"/>
              </w:rPr>
            </w:pPr>
            <w:r>
              <w:rPr>
                <w:rFonts w:hint="eastAsia" w:ascii="Times New Roman" w:hAnsi="Times New Roman"/>
                <w:color w:val="auto"/>
              </w:rPr>
              <w:t>潮湿</w:t>
            </w:r>
            <w:r>
              <w:rPr>
                <w:rFonts w:hint="eastAsia" w:ascii="Times New Roman" w:hAnsi="Times New Roman"/>
                <w:color w:val="auto"/>
                <w:lang w:val="en-US" w:eastAsia="zh-CN"/>
              </w:rPr>
              <w:t>气候</w:t>
            </w:r>
          </w:p>
        </w:tc>
      </w:tr>
      <w:tr w14:paraId="0BC87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3096" w:type="dxa"/>
            <w:vMerge w:val="restart"/>
            <w:vAlign w:val="center"/>
          </w:tcPr>
          <w:p w14:paraId="3EF30CDA">
            <w:pPr>
              <w:pStyle w:val="45"/>
              <w:jc w:val="center"/>
              <w:rPr>
                <w:rFonts w:ascii="Times New Roman" w:hAnsi="Times New Roman"/>
                <w:color w:val="auto"/>
              </w:rPr>
            </w:pPr>
            <w:r>
              <w:rPr>
                <w:rFonts w:hint="eastAsia" w:ascii="Times New Roman" w:hAnsi="Times New Roman"/>
                <w:color w:val="auto"/>
              </w:rPr>
              <w:t>是否考虑地形</w:t>
            </w:r>
          </w:p>
        </w:tc>
        <w:tc>
          <w:tcPr>
            <w:tcW w:w="3097" w:type="dxa"/>
            <w:vAlign w:val="center"/>
          </w:tcPr>
          <w:p w14:paraId="18FE4B3E">
            <w:pPr>
              <w:pStyle w:val="45"/>
              <w:jc w:val="center"/>
              <w:rPr>
                <w:rFonts w:ascii="Times New Roman" w:hAnsi="Times New Roman"/>
                <w:color w:val="auto"/>
              </w:rPr>
            </w:pPr>
            <w:r>
              <w:rPr>
                <w:rFonts w:hint="eastAsia" w:ascii="Times New Roman" w:hAnsi="Times New Roman"/>
                <w:color w:val="auto"/>
              </w:rPr>
              <w:t>考虑地形</w:t>
            </w:r>
          </w:p>
        </w:tc>
        <w:tc>
          <w:tcPr>
            <w:tcW w:w="3095" w:type="dxa"/>
            <w:vAlign w:val="center"/>
          </w:tcPr>
          <w:p w14:paraId="6B02BE19">
            <w:pPr>
              <w:pStyle w:val="45"/>
              <w:jc w:val="center"/>
              <w:rPr>
                <w:rFonts w:ascii="Times New Roman" w:hAnsi="Times New Roman"/>
                <w:color w:val="auto"/>
              </w:rPr>
            </w:pPr>
            <w:r>
              <w:rPr>
                <w:rFonts w:hint="eastAsia" w:ascii="Times New Roman" w:hAnsi="Times New Roman"/>
                <w:color w:val="auto"/>
              </w:rPr>
              <w:fldChar w:fldCharType="begin"/>
            </w:r>
            <w:r>
              <w:rPr>
                <w:rFonts w:hint="eastAsia" w:ascii="Times New Roman" w:hAnsi="Times New Roman"/>
                <w:color w:val="auto"/>
              </w:rPr>
              <w:instrText xml:space="preserve"> EQ \o\ac(□,√)</w:instrText>
            </w:r>
            <w:r>
              <w:rPr>
                <w:rFonts w:hint="eastAsia" w:ascii="Times New Roman" w:hAnsi="Times New Roman"/>
                <w:color w:val="auto"/>
              </w:rPr>
              <w:fldChar w:fldCharType="end"/>
            </w:r>
            <w:r>
              <w:rPr>
                <w:rFonts w:hint="eastAsia" w:ascii="Times New Roman" w:hAnsi="Times New Roman"/>
                <w:color w:val="auto"/>
              </w:rPr>
              <w:t>是</w:t>
            </w:r>
            <w:r>
              <w:rPr>
                <w:rFonts w:hint="eastAsia" w:ascii="Times New Roman" w:hAnsi="Times New Roman"/>
                <w:color w:val="auto"/>
              </w:rPr>
              <w:fldChar w:fldCharType="begin"/>
            </w:r>
            <w:r>
              <w:rPr>
                <w:rFonts w:hint="eastAsia" w:ascii="Times New Roman" w:hAnsi="Times New Roman"/>
                <w:color w:val="auto"/>
              </w:rPr>
              <w:instrText xml:space="preserve"> EQ \o\ac(□, )</w:instrText>
            </w:r>
            <w:r>
              <w:rPr>
                <w:rFonts w:hint="eastAsia" w:ascii="Times New Roman" w:hAnsi="Times New Roman"/>
                <w:color w:val="auto"/>
              </w:rPr>
              <w:fldChar w:fldCharType="end"/>
            </w:r>
            <w:r>
              <w:rPr>
                <w:rFonts w:hint="eastAsia" w:ascii="Times New Roman" w:hAnsi="Times New Roman"/>
                <w:color w:val="auto"/>
              </w:rPr>
              <w:t>否</w:t>
            </w:r>
          </w:p>
        </w:tc>
      </w:tr>
      <w:tr w14:paraId="78BA4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3096" w:type="dxa"/>
            <w:vMerge w:val="continue"/>
            <w:vAlign w:val="center"/>
          </w:tcPr>
          <w:p w14:paraId="7D3120B9">
            <w:pPr>
              <w:pStyle w:val="45"/>
              <w:jc w:val="center"/>
              <w:rPr>
                <w:rFonts w:ascii="Times New Roman" w:hAnsi="Times New Roman"/>
                <w:color w:val="auto"/>
              </w:rPr>
            </w:pPr>
          </w:p>
        </w:tc>
        <w:tc>
          <w:tcPr>
            <w:tcW w:w="3097" w:type="dxa"/>
            <w:vAlign w:val="center"/>
          </w:tcPr>
          <w:p w14:paraId="61792194">
            <w:pPr>
              <w:pStyle w:val="45"/>
              <w:jc w:val="center"/>
              <w:rPr>
                <w:rFonts w:ascii="Times New Roman" w:hAnsi="Times New Roman"/>
                <w:color w:val="auto"/>
              </w:rPr>
            </w:pPr>
            <w:r>
              <w:rPr>
                <w:rFonts w:hint="eastAsia" w:ascii="Times New Roman" w:hAnsi="Times New Roman"/>
                <w:color w:val="auto"/>
              </w:rPr>
              <w:t>地形数据分辨率/m</w:t>
            </w:r>
          </w:p>
        </w:tc>
        <w:tc>
          <w:tcPr>
            <w:tcW w:w="3095" w:type="dxa"/>
            <w:vAlign w:val="center"/>
          </w:tcPr>
          <w:p w14:paraId="5C45A53B">
            <w:pPr>
              <w:pStyle w:val="45"/>
              <w:jc w:val="center"/>
              <w:rPr>
                <w:rFonts w:ascii="Times New Roman" w:hAnsi="Times New Roman"/>
                <w:color w:val="auto"/>
              </w:rPr>
            </w:pPr>
            <w:r>
              <w:rPr>
                <w:rFonts w:hint="eastAsia" w:ascii="Times New Roman" w:hAnsi="Times New Roman"/>
                <w:color w:val="auto"/>
              </w:rPr>
              <w:t>90</w:t>
            </w:r>
          </w:p>
        </w:tc>
      </w:tr>
      <w:tr w14:paraId="404A0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3096" w:type="dxa"/>
            <w:vMerge w:val="restart"/>
            <w:vAlign w:val="center"/>
          </w:tcPr>
          <w:p w14:paraId="14B8BFC0">
            <w:pPr>
              <w:pStyle w:val="45"/>
              <w:jc w:val="center"/>
              <w:rPr>
                <w:rFonts w:ascii="Times New Roman" w:hAnsi="Times New Roman"/>
                <w:color w:val="auto"/>
              </w:rPr>
            </w:pPr>
            <w:r>
              <w:rPr>
                <w:rFonts w:hint="eastAsia" w:ascii="Times New Roman" w:hAnsi="Times New Roman"/>
                <w:color w:val="auto"/>
              </w:rPr>
              <w:t>是否考虑岸线熏烟</w:t>
            </w:r>
          </w:p>
        </w:tc>
        <w:tc>
          <w:tcPr>
            <w:tcW w:w="3097" w:type="dxa"/>
            <w:vAlign w:val="center"/>
          </w:tcPr>
          <w:p w14:paraId="70CBCD33">
            <w:pPr>
              <w:pStyle w:val="45"/>
              <w:jc w:val="center"/>
              <w:rPr>
                <w:rFonts w:ascii="Times New Roman" w:hAnsi="Times New Roman"/>
                <w:color w:val="auto"/>
              </w:rPr>
            </w:pPr>
            <w:r>
              <w:rPr>
                <w:rFonts w:hint="eastAsia" w:ascii="Times New Roman" w:hAnsi="Times New Roman"/>
                <w:color w:val="auto"/>
              </w:rPr>
              <w:t>考虑岸线熏烟</w:t>
            </w:r>
          </w:p>
        </w:tc>
        <w:tc>
          <w:tcPr>
            <w:tcW w:w="3095" w:type="dxa"/>
            <w:vAlign w:val="center"/>
          </w:tcPr>
          <w:p w14:paraId="3DA8FE3B">
            <w:pPr>
              <w:pStyle w:val="45"/>
              <w:jc w:val="center"/>
              <w:rPr>
                <w:rFonts w:ascii="Times New Roman" w:hAnsi="Times New Roman"/>
                <w:color w:val="auto"/>
              </w:rPr>
            </w:pPr>
            <w:r>
              <w:rPr>
                <w:rFonts w:hint="eastAsia" w:ascii="Times New Roman" w:hAnsi="Times New Roman"/>
                <w:color w:val="auto"/>
              </w:rPr>
              <w:fldChar w:fldCharType="begin"/>
            </w:r>
            <w:r>
              <w:rPr>
                <w:rFonts w:hint="eastAsia" w:ascii="Times New Roman" w:hAnsi="Times New Roman"/>
                <w:color w:val="auto"/>
              </w:rPr>
              <w:instrText xml:space="preserve"> EQ \o\ac(□, )</w:instrText>
            </w:r>
            <w:r>
              <w:rPr>
                <w:rFonts w:hint="eastAsia" w:ascii="Times New Roman" w:hAnsi="Times New Roman"/>
                <w:color w:val="auto"/>
              </w:rPr>
              <w:fldChar w:fldCharType="end"/>
            </w:r>
            <w:r>
              <w:rPr>
                <w:rFonts w:hint="eastAsia" w:ascii="Times New Roman" w:hAnsi="Times New Roman"/>
                <w:color w:val="auto"/>
              </w:rPr>
              <w:t>是</w:t>
            </w:r>
            <w:r>
              <w:rPr>
                <w:rFonts w:hint="eastAsia" w:ascii="Times New Roman" w:hAnsi="Times New Roman"/>
                <w:color w:val="auto"/>
              </w:rPr>
              <w:fldChar w:fldCharType="begin"/>
            </w:r>
            <w:r>
              <w:rPr>
                <w:rFonts w:hint="eastAsia" w:ascii="Times New Roman" w:hAnsi="Times New Roman"/>
                <w:color w:val="auto"/>
              </w:rPr>
              <w:instrText xml:space="preserve"> EQ \o\ac(□,√)</w:instrText>
            </w:r>
            <w:r>
              <w:rPr>
                <w:rFonts w:hint="eastAsia" w:ascii="Times New Roman" w:hAnsi="Times New Roman"/>
                <w:color w:val="auto"/>
              </w:rPr>
              <w:fldChar w:fldCharType="end"/>
            </w:r>
            <w:r>
              <w:rPr>
                <w:rFonts w:hint="eastAsia" w:ascii="Times New Roman" w:hAnsi="Times New Roman"/>
                <w:color w:val="auto"/>
              </w:rPr>
              <w:t>否</w:t>
            </w:r>
          </w:p>
        </w:tc>
      </w:tr>
      <w:tr w14:paraId="28058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3096" w:type="dxa"/>
            <w:vMerge w:val="continue"/>
            <w:vAlign w:val="center"/>
          </w:tcPr>
          <w:p w14:paraId="4361E89E">
            <w:pPr>
              <w:pStyle w:val="45"/>
              <w:jc w:val="center"/>
              <w:rPr>
                <w:rFonts w:ascii="Times New Roman" w:hAnsi="Times New Roman"/>
                <w:color w:val="auto"/>
              </w:rPr>
            </w:pPr>
          </w:p>
        </w:tc>
        <w:tc>
          <w:tcPr>
            <w:tcW w:w="3097" w:type="dxa"/>
            <w:vAlign w:val="center"/>
          </w:tcPr>
          <w:p w14:paraId="03BB0773">
            <w:pPr>
              <w:pStyle w:val="45"/>
              <w:jc w:val="center"/>
              <w:rPr>
                <w:rFonts w:ascii="Times New Roman" w:hAnsi="Times New Roman"/>
                <w:color w:val="auto"/>
              </w:rPr>
            </w:pPr>
            <w:r>
              <w:rPr>
                <w:rFonts w:hint="eastAsia" w:ascii="Times New Roman" w:hAnsi="Times New Roman"/>
                <w:color w:val="auto"/>
              </w:rPr>
              <w:t>岸线距离/km</w:t>
            </w:r>
          </w:p>
        </w:tc>
        <w:tc>
          <w:tcPr>
            <w:tcW w:w="3095" w:type="dxa"/>
            <w:vAlign w:val="center"/>
          </w:tcPr>
          <w:p w14:paraId="55A0BA84">
            <w:pPr>
              <w:pStyle w:val="45"/>
              <w:jc w:val="center"/>
              <w:rPr>
                <w:rFonts w:ascii="Times New Roman" w:hAnsi="Times New Roman"/>
                <w:color w:val="auto"/>
              </w:rPr>
            </w:pPr>
            <w:r>
              <w:rPr>
                <w:rFonts w:hint="eastAsia" w:ascii="Times New Roman" w:hAnsi="Times New Roman"/>
                <w:color w:val="auto"/>
              </w:rPr>
              <w:t>/</w:t>
            </w:r>
          </w:p>
        </w:tc>
      </w:tr>
      <w:tr w14:paraId="60E81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3096" w:type="dxa"/>
            <w:vMerge w:val="continue"/>
            <w:vAlign w:val="center"/>
          </w:tcPr>
          <w:p w14:paraId="3569BAED">
            <w:pPr>
              <w:pStyle w:val="45"/>
              <w:jc w:val="center"/>
              <w:rPr>
                <w:rFonts w:ascii="Times New Roman" w:hAnsi="Times New Roman"/>
                <w:color w:val="auto"/>
              </w:rPr>
            </w:pPr>
          </w:p>
        </w:tc>
        <w:tc>
          <w:tcPr>
            <w:tcW w:w="3097" w:type="dxa"/>
            <w:vAlign w:val="center"/>
          </w:tcPr>
          <w:p w14:paraId="5B7D40A1">
            <w:pPr>
              <w:pStyle w:val="45"/>
              <w:jc w:val="center"/>
              <w:rPr>
                <w:rFonts w:ascii="Times New Roman" w:hAnsi="Times New Roman"/>
                <w:color w:val="auto"/>
              </w:rPr>
            </w:pPr>
            <w:r>
              <w:rPr>
                <w:rFonts w:hint="eastAsia" w:ascii="Times New Roman" w:hAnsi="Times New Roman"/>
                <w:color w:val="auto"/>
              </w:rPr>
              <w:t>岸线方向/°</w:t>
            </w:r>
          </w:p>
        </w:tc>
        <w:tc>
          <w:tcPr>
            <w:tcW w:w="3095" w:type="dxa"/>
            <w:vAlign w:val="center"/>
          </w:tcPr>
          <w:p w14:paraId="639A45BA">
            <w:pPr>
              <w:pStyle w:val="45"/>
              <w:jc w:val="center"/>
              <w:rPr>
                <w:rFonts w:ascii="Times New Roman" w:hAnsi="Times New Roman"/>
                <w:color w:val="auto"/>
              </w:rPr>
            </w:pPr>
            <w:r>
              <w:rPr>
                <w:rFonts w:hint="eastAsia" w:ascii="Times New Roman" w:hAnsi="Times New Roman"/>
                <w:color w:val="auto"/>
              </w:rPr>
              <w:t>/</w:t>
            </w:r>
          </w:p>
        </w:tc>
      </w:tr>
    </w:tbl>
    <w:p w14:paraId="263C6E99">
      <w:pPr>
        <w:ind w:firstLine="482"/>
        <w:jc w:val="center"/>
        <w:rPr>
          <w:rFonts w:hint="eastAsia"/>
          <w:b/>
          <w:snapToGrid w:val="0"/>
          <w:color w:val="auto"/>
          <w:kern w:val="0"/>
          <w:szCs w:val="24"/>
        </w:rPr>
      </w:pPr>
    </w:p>
    <w:p w14:paraId="556B8343">
      <w:pPr>
        <w:pStyle w:val="1983"/>
        <w:spacing w:after="120"/>
        <w:ind w:firstLine="480"/>
        <w:rPr>
          <w:color w:val="auto"/>
        </w:rPr>
      </w:pPr>
      <w:r>
        <w:rPr>
          <w:color w:val="auto"/>
        </w:rPr>
        <w:t>表</w:t>
      </w:r>
      <w:r>
        <w:rPr>
          <w:rFonts w:hint="eastAsia"/>
          <w:color w:val="auto"/>
          <w:lang w:eastAsia="zh-CN"/>
        </w:rPr>
        <w:t>2.7</w:t>
      </w:r>
      <w:r>
        <w:rPr>
          <w:color w:val="auto"/>
        </w:rPr>
        <w:t>-3  正常工况下大气污染物估算模式计算结果</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0"/>
        <w:gridCol w:w="1349"/>
        <w:gridCol w:w="1858"/>
        <w:gridCol w:w="2027"/>
        <w:gridCol w:w="1852"/>
      </w:tblGrid>
      <w:tr w14:paraId="5BF6A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pct"/>
            <w:tcBorders>
              <w:top w:val="single" w:color="auto" w:sz="4" w:space="0"/>
              <w:left w:val="single" w:color="auto" w:sz="4" w:space="0"/>
              <w:bottom w:val="single" w:color="auto" w:sz="4" w:space="0"/>
              <w:right w:val="single" w:color="auto" w:sz="4" w:space="0"/>
            </w:tcBorders>
            <w:vAlign w:val="center"/>
          </w:tcPr>
          <w:p w14:paraId="5DDDEB99">
            <w:pPr>
              <w:pStyle w:val="348"/>
              <w:rPr>
                <w:color w:val="auto"/>
              </w:rPr>
            </w:pPr>
            <w:r>
              <w:rPr>
                <w:rFonts w:hint="eastAsia"/>
                <w:color w:val="auto"/>
              </w:rPr>
              <w:t>污染源</w:t>
            </w:r>
          </w:p>
        </w:tc>
        <w:tc>
          <w:tcPr>
            <w:tcW w:w="726" w:type="pct"/>
            <w:tcBorders>
              <w:top w:val="single" w:color="auto" w:sz="4" w:space="0"/>
              <w:left w:val="single" w:color="auto" w:sz="4" w:space="0"/>
              <w:bottom w:val="single" w:color="auto" w:sz="4" w:space="0"/>
              <w:right w:val="single" w:color="auto" w:sz="4" w:space="0"/>
            </w:tcBorders>
            <w:vAlign w:val="center"/>
          </w:tcPr>
          <w:p w14:paraId="27F27C23">
            <w:pPr>
              <w:pStyle w:val="348"/>
              <w:rPr>
                <w:color w:val="auto"/>
              </w:rPr>
            </w:pPr>
            <w:r>
              <w:rPr>
                <w:rFonts w:hint="eastAsia"/>
                <w:color w:val="auto"/>
              </w:rPr>
              <w:t>污染物</w:t>
            </w:r>
          </w:p>
        </w:tc>
        <w:tc>
          <w:tcPr>
            <w:tcW w:w="1000" w:type="pct"/>
            <w:tcBorders>
              <w:top w:val="single" w:color="auto" w:sz="4" w:space="0"/>
              <w:left w:val="single" w:color="auto" w:sz="4" w:space="0"/>
              <w:bottom w:val="single" w:color="auto" w:sz="4" w:space="0"/>
              <w:right w:val="single" w:color="auto" w:sz="4" w:space="0"/>
            </w:tcBorders>
            <w:vAlign w:val="center"/>
          </w:tcPr>
          <w:p w14:paraId="430637D8">
            <w:pPr>
              <w:pStyle w:val="348"/>
              <w:rPr>
                <w:color w:val="auto"/>
              </w:rPr>
            </w:pPr>
            <w:r>
              <w:rPr>
                <w:rFonts w:hint="eastAsia"/>
                <w:color w:val="auto"/>
              </w:rPr>
              <w:t>最大占标率%</w:t>
            </w:r>
          </w:p>
        </w:tc>
        <w:tc>
          <w:tcPr>
            <w:tcW w:w="1091" w:type="pct"/>
            <w:tcBorders>
              <w:top w:val="single" w:color="auto" w:sz="4" w:space="0"/>
              <w:left w:val="single" w:color="auto" w:sz="4" w:space="0"/>
              <w:bottom w:val="single" w:color="auto" w:sz="4" w:space="0"/>
              <w:right w:val="single" w:color="auto" w:sz="4" w:space="0"/>
            </w:tcBorders>
            <w:vAlign w:val="center"/>
          </w:tcPr>
          <w:p w14:paraId="3F2695E0">
            <w:pPr>
              <w:pStyle w:val="348"/>
              <w:rPr>
                <w:color w:val="auto"/>
              </w:rPr>
            </w:pPr>
            <w:r>
              <w:rPr>
                <w:rFonts w:hint="eastAsia"/>
                <w:color w:val="auto"/>
              </w:rPr>
              <w:t>最大落地浓度mg/m</w:t>
            </w:r>
            <w:r>
              <w:rPr>
                <w:rFonts w:hint="eastAsia"/>
                <w:color w:val="auto"/>
                <w:vertAlign w:val="superscript"/>
              </w:rPr>
              <w:t>3</w:t>
            </w:r>
          </w:p>
        </w:tc>
        <w:tc>
          <w:tcPr>
            <w:tcW w:w="997" w:type="pct"/>
            <w:tcBorders>
              <w:top w:val="single" w:color="auto" w:sz="4" w:space="0"/>
              <w:left w:val="single" w:color="auto" w:sz="4" w:space="0"/>
              <w:bottom w:val="single" w:color="auto" w:sz="4" w:space="0"/>
              <w:right w:val="single" w:color="auto" w:sz="4" w:space="0"/>
            </w:tcBorders>
            <w:vAlign w:val="center"/>
          </w:tcPr>
          <w:p w14:paraId="51EE8AA6">
            <w:pPr>
              <w:pStyle w:val="348"/>
              <w:rPr>
                <w:color w:val="auto"/>
              </w:rPr>
            </w:pPr>
            <w:r>
              <w:rPr>
                <w:rFonts w:hint="eastAsia"/>
                <w:color w:val="auto"/>
              </w:rPr>
              <w:t>D</w:t>
            </w:r>
            <w:r>
              <w:rPr>
                <w:rFonts w:hint="eastAsia"/>
                <w:color w:val="auto"/>
                <w:vertAlign w:val="subscript"/>
              </w:rPr>
              <w:t>10%</w:t>
            </w:r>
            <w:r>
              <w:rPr>
                <w:rFonts w:hint="eastAsia"/>
                <w:color w:val="auto"/>
                <w:vertAlign w:val="subscript"/>
                <w:lang w:eastAsia="zh-CN"/>
              </w:rPr>
              <w:t>(</w:t>
            </w:r>
            <w:r>
              <w:rPr>
                <w:rFonts w:hint="eastAsia"/>
                <w:color w:val="auto"/>
              </w:rPr>
              <w:t>m</w:t>
            </w:r>
            <w:r>
              <w:rPr>
                <w:rFonts w:hint="eastAsia"/>
                <w:color w:val="auto"/>
                <w:lang w:eastAsia="zh-CN"/>
              </w:rPr>
              <w:t>)</w:t>
            </w:r>
          </w:p>
        </w:tc>
      </w:tr>
      <w:tr w14:paraId="24290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185" w:type="pct"/>
            <w:vMerge w:val="restart"/>
            <w:tcBorders>
              <w:top w:val="single" w:color="auto" w:sz="4" w:space="0"/>
              <w:left w:val="single" w:color="auto" w:sz="4" w:space="0"/>
              <w:right w:val="single" w:color="auto" w:sz="4" w:space="0"/>
            </w:tcBorders>
            <w:vAlign w:val="center"/>
          </w:tcPr>
          <w:p w14:paraId="5A49628A">
            <w:pPr>
              <w:pStyle w:val="348"/>
              <w:rPr>
                <w:color w:val="auto"/>
              </w:rPr>
            </w:pPr>
            <w:r>
              <w:rPr>
                <w:rFonts w:hint="eastAsia"/>
                <w:color w:val="auto"/>
              </w:rPr>
              <w:t>DA001排气筒</w:t>
            </w:r>
          </w:p>
        </w:tc>
        <w:tc>
          <w:tcPr>
            <w:tcW w:w="726" w:type="pct"/>
            <w:tcBorders>
              <w:top w:val="single" w:color="auto" w:sz="4" w:space="0"/>
              <w:left w:val="single" w:color="auto" w:sz="4" w:space="0"/>
              <w:bottom w:val="single" w:color="auto" w:sz="4" w:space="0"/>
              <w:right w:val="single" w:color="auto" w:sz="4" w:space="0"/>
            </w:tcBorders>
            <w:vAlign w:val="center"/>
          </w:tcPr>
          <w:p w14:paraId="0A932FCF">
            <w:pPr>
              <w:pStyle w:val="348"/>
              <w:rPr>
                <w:color w:val="auto"/>
              </w:rPr>
            </w:pPr>
            <w:r>
              <w:rPr>
                <w:rFonts w:hint="eastAsia"/>
                <w:color w:val="auto"/>
              </w:rPr>
              <w:t>NH</w:t>
            </w:r>
            <w:r>
              <w:rPr>
                <w:rFonts w:hint="eastAsia"/>
                <w:color w:val="auto"/>
                <w:vertAlign w:val="subscript"/>
              </w:rPr>
              <w:t>3</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14:paraId="1B66EB56">
            <w:pPr>
              <w:pStyle w:val="348"/>
              <w:rPr>
                <w:rFonts w:hint="eastAsia" w:eastAsia="宋体"/>
                <w:color w:val="auto"/>
                <w:lang w:eastAsia="zh-CN"/>
              </w:rPr>
            </w:pPr>
            <w:r>
              <w:rPr>
                <w:rFonts w:hint="eastAsia"/>
                <w:color w:val="auto"/>
              </w:rPr>
              <w:t>0.7</w:t>
            </w:r>
            <w:r>
              <w:rPr>
                <w:rFonts w:hint="eastAsia"/>
                <w:color w:val="auto"/>
                <w:lang w:val="en-US" w:eastAsia="zh-CN"/>
              </w:rPr>
              <w:t>5</w:t>
            </w:r>
          </w:p>
        </w:tc>
        <w:tc>
          <w:tcPr>
            <w:tcW w:w="1091" w:type="pct"/>
            <w:tcBorders>
              <w:top w:val="single" w:color="auto" w:sz="4" w:space="0"/>
              <w:left w:val="single" w:color="auto" w:sz="4" w:space="0"/>
              <w:bottom w:val="single" w:color="auto" w:sz="4" w:space="0"/>
              <w:right w:val="single" w:color="auto" w:sz="4" w:space="0"/>
            </w:tcBorders>
            <w:shd w:val="clear" w:color="auto" w:fill="auto"/>
            <w:vAlign w:val="center"/>
          </w:tcPr>
          <w:p w14:paraId="33547FB6">
            <w:pPr>
              <w:pStyle w:val="348"/>
              <w:rPr>
                <w:color w:val="auto"/>
              </w:rPr>
            </w:pPr>
            <w:r>
              <w:rPr>
                <w:rFonts w:hint="eastAsia"/>
                <w:color w:val="auto"/>
              </w:rPr>
              <w:t>6.</w:t>
            </w:r>
            <w:r>
              <w:rPr>
                <w:rFonts w:hint="eastAsia"/>
                <w:color w:val="auto"/>
                <w:lang w:val="en-US" w:eastAsia="zh-CN"/>
              </w:rPr>
              <w:t>34</w:t>
            </w:r>
            <w:r>
              <w:rPr>
                <w:rFonts w:hint="eastAsia"/>
                <w:color w:val="auto"/>
              </w:rPr>
              <w:t>E-04</w:t>
            </w:r>
          </w:p>
        </w:tc>
        <w:tc>
          <w:tcPr>
            <w:tcW w:w="997" w:type="pct"/>
            <w:vMerge w:val="restart"/>
            <w:tcBorders>
              <w:top w:val="single" w:color="auto" w:sz="4" w:space="0"/>
              <w:left w:val="single" w:color="auto" w:sz="4" w:space="0"/>
              <w:right w:val="single" w:color="auto" w:sz="4" w:space="0"/>
            </w:tcBorders>
            <w:vAlign w:val="center"/>
          </w:tcPr>
          <w:p w14:paraId="65C48903">
            <w:pPr>
              <w:pStyle w:val="348"/>
              <w:rPr>
                <w:color w:val="auto"/>
              </w:rPr>
            </w:pPr>
            <w:r>
              <w:rPr>
                <w:rFonts w:hint="eastAsia"/>
                <w:color w:val="auto"/>
              </w:rPr>
              <w:t>0</w:t>
            </w:r>
          </w:p>
        </w:tc>
      </w:tr>
      <w:tr w14:paraId="13758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5" w:type="pct"/>
            <w:vMerge w:val="continue"/>
            <w:tcBorders>
              <w:left w:val="single" w:color="auto" w:sz="4" w:space="0"/>
              <w:right w:val="single" w:color="auto" w:sz="4" w:space="0"/>
            </w:tcBorders>
            <w:vAlign w:val="center"/>
          </w:tcPr>
          <w:p w14:paraId="6A5853EE">
            <w:pPr>
              <w:pStyle w:val="348"/>
              <w:rPr>
                <w:color w:val="auto"/>
              </w:rPr>
            </w:pPr>
          </w:p>
        </w:tc>
        <w:tc>
          <w:tcPr>
            <w:tcW w:w="726" w:type="pct"/>
            <w:tcBorders>
              <w:top w:val="single" w:color="auto" w:sz="4" w:space="0"/>
              <w:left w:val="single" w:color="auto" w:sz="4" w:space="0"/>
              <w:bottom w:val="single" w:color="auto" w:sz="4" w:space="0"/>
              <w:right w:val="single" w:color="auto" w:sz="4" w:space="0"/>
            </w:tcBorders>
            <w:vAlign w:val="center"/>
          </w:tcPr>
          <w:p w14:paraId="7FDCAFC5">
            <w:pPr>
              <w:pStyle w:val="348"/>
              <w:rPr>
                <w:color w:val="auto"/>
              </w:rPr>
            </w:pPr>
            <w:r>
              <w:rPr>
                <w:rFonts w:hint="eastAsia"/>
                <w:color w:val="auto"/>
              </w:rPr>
              <w:t>H</w:t>
            </w:r>
            <w:r>
              <w:rPr>
                <w:rFonts w:hint="eastAsia"/>
                <w:color w:val="auto"/>
                <w:vertAlign w:val="subscript"/>
              </w:rPr>
              <w:t>2</w:t>
            </w:r>
            <w:r>
              <w:rPr>
                <w:rFonts w:hint="eastAsia"/>
                <w:color w:val="auto"/>
              </w:rPr>
              <w:t>S</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14:paraId="1A9332AC">
            <w:pPr>
              <w:pStyle w:val="348"/>
              <w:rPr>
                <w:rFonts w:hint="eastAsia" w:eastAsia="宋体"/>
                <w:color w:val="auto"/>
                <w:lang w:eastAsia="zh-CN"/>
              </w:rPr>
            </w:pPr>
            <w:r>
              <w:rPr>
                <w:rFonts w:hint="eastAsia"/>
                <w:color w:val="auto"/>
              </w:rPr>
              <w:t>0.0</w:t>
            </w:r>
            <w:r>
              <w:rPr>
                <w:rFonts w:hint="eastAsia"/>
                <w:color w:val="auto"/>
                <w:lang w:val="en-US" w:eastAsia="zh-CN"/>
              </w:rPr>
              <w:t>9</w:t>
            </w:r>
          </w:p>
        </w:tc>
        <w:tc>
          <w:tcPr>
            <w:tcW w:w="1091" w:type="pct"/>
            <w:tcBorders>
              <w:top w:val="single" w:color="auto" w:sz="4" w:space="0"/>
              <w:left w:val="single" w:color="auto" w:sz="4" w:space="0"/>
              <w:bottom w:val="single" w:color="auto" w:sz="4" w:space="0"/>
              <w:right w:val="single" w:color="auto" w:sz="4" w:space="0"/>
            </w:tcBorders>
            <w:shd w:val="clear" w:color="auto" w:fill="auto"/>
            <w:vAlign w:val="center"/>
          </w:tcPr>
          <w:p w14:paraId="132D98A3">
            <w:pPr>
              <w:pStyle w:val="348"/>
              <w:rPr>
                <w:color w:val="auto"/>
              </w:rPr>
            </w:pPr>
            <w:r>
              <w:rPr>
                <w:rFonts w:hint="eastAsia"/>
                <w:color w:val="auto"/>
              </w:rPr>
              <w:t>7.</w:t>
            </w:r>
            <w:r>
              <w:rPr>
                <w:rFonts w:hint="eastAsia"/>
                <w:color w:val="auto"/>
                <w:lang w:val="en-US" w:eastAsia="zh-CN"/>
              </w:rPr>
              <w:t>8</w:t>
            </w:r>
            <w:r>
              <w:rPr>
                <w:rFonts w:hint="eastAsia"/>
                <w:color w:val="auto"/>
              </w:rPr>
              <w:t>0E-05</w:t>
            </w:r>
          </w:p>
        </w:tc>
        <w:tc>
          <w:tcPr>
            <w:tcW w:w="997" w:type="pct"/>
            <w:vMerge w:val="continue"/>
            <w:tcBorders>
              <w:left w:val="single" w:color="auto" w:sz="4" w:space="0"/>
              <w:right w:val="single" w:color="auto" w:sz="4" w:space="0"/>
            </w:tcBorders>
            <w:vAlign w:val="center"/>
          </w:tcPr>
          <w:p w14:paraId="06088E24">
            <w:pPr>
              <w:pStyle w:val="348"/>
              <w:rPr>
                <w:color w:val="auto"/>
              </w:rPr>
            </w:pPr>
          </w:p>
        </w:tc>
      </w:tr>
      <w:tr w14:paraId="66D29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pct"/>
            <w:vMerge w:val="continue"/>
            <w:tcBorders>
              <w:left w:val="single" w:color="auto" w:sz="4" w:space="0"/>
              <w:bottom w:val="single" w:color="auto" w:sz="4" w:space="0"/>
              <w:right w:val="single" w:color="auto" w:sz="4" w:space="0"/>
            </w:tcBorders>
            <w:vAlign w:val="center"/>
          </w:tcPr>
          <w:p w14:paraId="61243B3E">
            <w:pPr>
              <w:pStyle w:val="348"/>
              <w:rPr>
                <w:color w:val="auto"/>
              </w:rPr>
            </w:pPr>
          </w:p>
        </w:tc>
        <w:tc>
          <w:tcPr>
            <w:tcW w:w="726" w:type="pct"/>
            <w:tcBorders>
              <w:top w:val="single" w:color="auto" w:sz="4" w:space="0"/>
              <w:left w:val="single" w:color="auto" w:sz="4" w:space="0"/>
              <w:bottom w:val="single" w:color="auto" w:sz="4" w:space="0"/>
              <w:right w:val="single" w:color="auto" w:sz="4" w:space="0"/>
            </w:tcBorders>
            <w:vAlign w:val="center"/>
          </w:tcPr>
          <w:p w14:paraId="5D1936B0">
            <w:pPr>
              <w:pStyle w:val="348"/>
              <w:rPr>
                <w:color w:val="auto"/>
              </w:rPr>
            </w:pPr>
            <w:r>
              <w:rPr>
                <w:rFonts w:hint="eastAsia"/>
                <w:color w:val="auto"/>
              </w:rPr>
              <w:t>非甲烷总烃</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14:paraId="318A99C6">
            <w:pPr>
              <w:pStyle w:val="348"/>
              <w:rPr>
                <w:rFonts w:hint="eastAsia" w:eastAsia="宋体"/>
                <w:color w:val="auto"/>
                <w:lang w:eastAsia="zh-CN"/>
              </w:rPr>
            </w:pPr>
            <w:r>
              <w:rPr>
                <w:rFonts w:hint="eastAsia"/>
                <w:color w:val="auto"/>
              </w:rPr>
              <w:t>0.2</w:t>
            </w:r>
            <w:r>
              <w:rPr>
                <w:rFonts w:hint="eastAsia"/>
                <w:color w:val="auto"/>
                <w:lang w:val="en-US" w:eastAsia="zh-CN"/>
              </w:rPr>
              <w:t>4</w:t>
            </w:r>
          </w:p>
        </w:tc>
        <w:tc>
          <w:tcPr>
            <w:tcW w:w="1091" w:type="pct"/>
            <w:tcBorders>
              <w:top w:val="single" w:color="auto" w:sz="4" w:space="0"/>
              <w:left w:val="single" w:color="auto" w:sz="4" w:space="0"/>
              <w:bottom w:val="single" w:color="auto" w:sz="4" w:space="0"/>
              <w:right w:val="single" w:color="auto" w:sz="4" w:space="0"/>
            </w:tcBorders>
            <w:shd w:val="clear" w:color="auto" w:fill="auto"/>
            <w:vAlign w:val="center"/>
          </w:tcPr>
          <w:p w14:paraId="2158E74E">
            <w:pPr>
              <w:pStyle w:val="348"/>
              <w:rPr>
                <w:color w:val="auto"/>
              </w:rPr>
            </w:pPr>
            <w:r>
              <w:rPr>
                <w:rFonts w:hint="eastAsia"/>
                <w:color w:val="auto"/>
              </w:rPr>
              <w:t>4.</w:t>
            </w:r>
            <w:r>
              <w:rPr>
                <w:rFonts w:hint="eastAsia"/>
                <w:color w:val="auto"/>
                <w:lang w:val="en-US" w:eastAsia="zh-CN"/>
              </w:rPr>
              <w:t>11</w:t>
            </w:r>
            <w:r>
              <w:rPr>
                <w:rFonts w:hint="eastAsia"/>
                <w:color w:val="auto"/>
              </w:rPr>
              <w:t>E-03</w:t>
            </w:r>
          </w:p>
        </w:tc>
        <w:tc>
          <w:tcPr>
            <w:tcW w:w="997" w:type="pct"/>
            <w:vMerge w:val="continue"/>
            <w:tcBorders>
              <w:left w:val="single" w:color="auto" w:sz="4" w:space="0"/>
              <w:bottom w:val="single" w:color="auto" w:sz="4" w:space="0"/>
              <w:right w:val="single" w:color="auto" w:sz="4" w:space="0"/>
            </w:tcBorders>
            <w:vAlign w:val="center"/>
          </w:tcPr>
          <w:p w14:paraId="3C343E76">
            <w:pPr>
              <w:pStyle w:val="348"/>
              <w:rPr>
                <w:color w:val="auto"/>
              </w:rPr>
            </w:pPr>
          </w:p>
        </w:tc>
      </w:tr>
      <w:tr w14:paraId="29828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pct"/>
            <w:vMerge w:val="restart"/>
            <w:tcBorders>
              <w:top w:val="single" w:color="auto" w:sz="4" w:space="0"/>
              <w:left w:val="single" w:color="auto" w:sz="4" w:space="0"/>
              <w:right w:val="single" w:color="auto" w:sz="4" w:space="0"/>
            </w:tcBorders>
            <w:vAlign w:val="center"/>
          </w:tcPr>
          <w:p w14:paraId="663B9AE2">
            <w:pPr>
              <w:pStyle w:val="348"/>
              <w:rPr>
                <w:color w:val="auto"/>
              </w:rPr>
            </w:pPr>
            <w:r>
              <w:rPr>
                <w:rFonts w:hint="eastAsia"/>
                <w:color w:val="auto"/>
              </w:rPr>
              <w:t>废水处理站无组织</w:t>
            </w:r>
          </w:p>
        </w:tc>
        <w:tc>
          <w:tcPr>
            <w:tcW w:w="726" w:type="pct"/>
            <w:tcBorders>
              <w:top w:val="single" w:color="auto" w:sz="4" w:space="0"/>
              <w:left w:val="single" w:color="auto" w:sz="4" w:space="0"/>
              <w:bottom w:val="single" w:color="auto" w:sz="4" w:space="0"/>
              <w:right w:val="single" w:color="auto" w:sz="4" w:space="0"/>
            </w:tcBorders>
            <w:vAlign w:val="center"/>
          </w:tcPr>
          <w:p w14:paraId="77528E0B">
            <w:pPr>
              <w:pStyle w:val="348"/>
              <w:rPr>
                <w:color w:val="auto"/>
              </w:rPr>
            </w:pPr>
            <w:r>
              <w:rPr>
                <w:rFonts w:hint="eastAsia"/>
                <w:color w:val="auto"/>
              </w:rPr>
              <w:t>NH</w:t>
            </w:r>
            <w:r>
              <w:rPr>
                <w:rFonts w:hint="eastAsia"/>
                <w:color w:val="auto"/>
                <w:vertAlign w:val="subscript"/>
              </w:rPr>
              <w:t>3</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14:paraId="1CB61A24">
            <w:pPr>
              <w:pStyle w:val="348"/>
              <w:rPr>
                <w:rFonts w:hint="eastAsia" w:eastAsia="宋体"/>
                <w:color w:val="auto"/>
                <w:lang w:eastAsia="zh-CN"/>
              </w:rPr>
            </w:pPr>
            <w:r>
              <w:rPr>
                <w:rFonts w:hint="eastAsia"/>
                <w:color w:val="auto"/>
              </w:rPr>
              <w:t>0.6</w:t>
            </w:r>
            <w:r>
              <w:rPr>
                <w:rFonts w:hint="eastAsia"/>
                <w:color w:val="auto"/>
                <w:lang w:val="en-US" w:eastAsia="zh-CN"/>
              </w:rPr>
              <w:t>9</w:t>
            </w:r>
          </w:p>
        </w:tc>
        <w:tc>
          <w:tcPr>
            <w:tcW w:w="1091" w:type="pct"/>
            <w:tcBorders>
              <w:top w:val="single" w:color="auto" w:sz="4" w:space="0"/>
              <w:left w:val="single" w:color="auto" w:sz="4" w:space="0"/>
              <w:bottom w:val="single" w:color="auto" w:sz="4" w:space="0"/>
              <w:right w:val="single" w:color="auto" w:sz="4" w:space="0"/>
            </w:tcBorders>
            <w:shd w:val="clear" w:color="auto" w:fill="auto"/>
            <w:vAlign w:val="center"/>
          </w:tcPr>
          <w:p w14:paraId="7AC00EA4">
            <w:pPr>
              <w:pStyle w:val="348"/>
              <w:rPr>
                <w:color w:val="auto"/>
              </w:rPr>
            </w:pPr>
            <w:r>
              <w:rPr>
                <w:rFonts w:hint="eastAsia"/>
                <w:color w:val="auto"/>
              </w:rPr>
              <w:t>1.3</w:t>
            </w:r>
            <w:r>
              <w:rPr>
                <w:rFonts w:hint="eastAsia"/>
                <w:color w:val="auto"/>
                <w:lang w:val="en-US" w:eastAsia="zh-CN"/>
              </w:rPr>
              <w:t>9</w:t>
            </w:r>
            <w:r>
              <w:rPr>
                <w:rFonts w:hint="eastAsia"/>
                <w:color w:val="auto"/>
              </w:rPr>
              <w:t>E-03</w:t>
            </w:r>
          </w:p>
        </w:tc>
        <w:tc>
          <w:tcPr>
            <w:tcW w:w="997" w:type="pct"/>
            <w:vMerge w:val="restart"/>
            <w:tcBorders>
              <w:top w:val="single" w:color="auto" w:sz="4" w:space="0"/>
              <w:left w:val="single" w:color="auto" w:sz="4" w:space="0"/>
              <w:right w:val="single" w:color="auto" w:sz="4" w:space="0"/>
            </w:tcBorders>
            <w:vAlign w:val="center"/>
          </w:tcPr>
          <w:p w14:paraId="05E0F109">
            <w:pPr>
              <w:pStyle w:val="348"/>
              <w:rPr>
                <w:color w:val="auto"/>
              </w:rPr>
            </w:pPr>
            <w:r>
              <w:rPr>
                <w:rFonts w:hint="eastAsia"/>
                <w:color w:val="auto"/>
              </w:rPr>
              <w:t>0</w:t>
            </w:r>
          </w:p>
        </w:tc>
      </w:tr>
      <w:tr w14:paraId="16B6A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5" w:type="pct"/>
            <w:vMerge w:val="continue"/>
            <w:tcBorders>
              <w:left w:val="single" w:color="auto" w:sz="4" w:space="0"/>
              <w:right w:val="single" w:color="auto" w:sz="4" w:space="0"/>
            </w:tcBorders>
            <w:vAlign w:val="center"/>
          </w:tcPr>
          <w:p w14:paraId="30A35A43">
            <w:pPr>
              <w:pStyle w:val="348"/>
              <w:rPr>
                <w:color w:val="auto"/>
              </w:rPr>
            </w:pPr>
          </w:p>
        </w:tc>
        <w:tc>
          <w:tcPr>
            <w:tcW w:w="726" w:type="pct"/>
            <w:tcBorders>
              <w:top w:val="single" w:color="auto" w:sz="4" w:space="0"/>
              <w:left w:val="single" w:color="auto" w:sz="4" w:space="0"/>
              <w:bottom w:val="single" w:color="auto" w:sz="4" w:space="0"/>
              <w:right w:val="single" w:color="auto" w:sz="4" w:space="0"/>
            </w:tcBorders>
            <w:vAlign w:val="center"/>
          </w:tcPr>
          <w:p w14:paraId="2B5643B6">
            <w:pPr>
              <w:pStyle w:val="348"/>
              <w:rPr>
                <w:color w:val="auto"/>
              </w:rPr>
            </w:pPr>
            <w:r>
              <w:rPr>
                <w:rFonts w:hint="eastAsia"/>
                <w:color w:val="auto"/>
              </w:rPr>
              <w:t>H</w:t>
            </w:r>
            <w:r>
              <w:rPr>
                <w:rFonts w:hint="eastAsia"/>
                <w:color w:val="auto"/>
                <w:vertAlign w:val="subscript"/>
              </w:rPr>
              <w:t>2</w:t>
            </w:r>
            <w:r>
              <w:rPr>
                <w:rFonts w:hint="eastAsia"/>
                <w:color w:val="auto"/>
              </w:rPr>
              <w:t>S</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14:paraId="3D422EAF">
            <w:pPr>
              <w:pStyle w:val="348"/>
              <w:rPr>
                <w:rFonts w:hint="eastAsia" w:eastAsia="宋体"/>
                <w:color w:val="auto"/>
                <w:lang w:eastAsia="zh-CN"/>
              </w:rPr>
            </w:pPr>
            <w:r>
              <w:rPr>
                <w:rFonts w:hint="eastAsia"/>
                <w:color w:val="auto"/>
              </w:rPr>
              <w:t>2.7</w:t>
            </w:r>
            <w:r>
              <w:rPr>
                <w:rFonts w:hint="eastAsia"/>
                <w:color w:val="auto"/>
                <w:lang w:val="en-US" w:eastAsia="zh-CN"/>
              </w:rPr>
              <w:t>2</w:t>
            </w:r>
          </w:p>
        </w:tc>
        <w:tc>
          <w:tcPr>
            <w:tcW w:w="1091" w:type="pct"/>
            <w:tcBorders>
              <w:top w:val="single" w:color="auto" w:sz="4" w:space="0"/>
              <w:left w:val="single" w:color="auto" w:sz="4" w:space="0"/>
              <w:bottom w:val="single" w:color="auto" w:sz="4" w:space="0"/>
              <w:right w:val="single" w:color="auto" w:sz="4" w:space="0"/>
            </w:tcBorders>
            <w:shd w:val="clear" w:color="auto" w:fill="auto"/>
            <w:vAlign w:val="center"/>
          </w:tcPr>
          <w:p w14:paraId="74B0456E">
            <w:pPr>
              <w:pStyle w:val="348"/>
              <w:rPr>
                <w:color w:val="auto"/>
              </w:rPr>
            </w:pPr>
            <w:r>
              <w:rPr>
                <w:rFonts w:hint="eastAsia"/>
                <w:color w:val="auto"/>
              </w:rPr>
              <w:t>2.</w:t>
            </w:r>
            <w:r>
              <w:rPr>
                <w:rFonts w:hint="eastAsia"/>
                <w:color w:val="auto"/>
                <w:lang w:val="en-US" w:eastAsia="zh-CN"/>
              </w:rPr>
              <w:t>82</w:t>
            </w:r>
            <w:r>
              <w:rPr>
                <w:rFonts w:hint="eastAsia"/>
                <w:color w:val="auto"/>
              </w:rPr>
              <w:t>E-04</w:t>
            </w:r>
          </w:p>
        </w:tc>
        <w:tc>
          <w:tcPr>
            <w:tcW w:w="997" w:type="pct"/>
            <w:vMerge w:val="continue"/>
            <w:tcBorders>
              <w:left w:val="single" w:color="auto" w:sz="4" w:space="0"/>
              <w:right w:val="single" w:color="auto" w:sz="4" w:space="0"/>
            </w:tcBorders>
            <w:vAlign w:val="center"/>
          </w:tcPr>
          <w:p w14:paraId="33F20256">
            <w:pPr>
              <w:pStyle w:val="348"/>
              <w:rPr>
                <w:color w:val="auto"/>
              </w:rPr>
            </w:pPr>
          </w:p>
        </w:tc>
      </w:tr>
      <w:tr w14:paraId="6F614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pct"/>
            <w:vMerge w:val="continue"/>
            <w:tcBorders>
              <w:left w:val="single" w:color="auto" w:sz="4" w:space="0"/>
              <w:bottom w:val="single" w:color="auto" w:sz="4" w:space="0"/>
              <w:right w:val="single" w:color="auto" w:sz="4" w:space="0"/>
            </w:tcBorders>
            <w:vAlign w:val="center"/>
          </w:tcPr>
          <w:p w14:paraId="63B0087F">
            <w:pPr>
              <w:pStyle w:val="348"/>
              <w:rPr>
                <w:color w:val="auto"/>
              </w:rPr>
            </w:pPr>
          </w:p>
        </w:tc>
        <w:tc>
          <w:tcPr>
            <w:tcW w:w="726" w:type="pct"/>
            <w:tcBorders>
              <w:top w:val="single" w:color="auto" w:sz="4" w:space="0"/>
              <w:left w:val="single" w:color="auto" w:sz="4" w:space="0"/>
              <w:bottom w:val="single" w:color="auto" w:sz="4" w:space="0"/>
              <w:right w:val="single" w:color="auto" w:sz="4" w:space="0"/>
            </w:tcBorders>
            <w:vAlign w:val="center"/>
          </w:tcPr>
          <w:p w14:paraId="765B78E1">
            <w:pPr>
              <w:pStyle w:val="348"/>
              <w:rPr>
                <w:color w:val="auto"/>
              </w:rPr>
            </w:pPr>
            <w:r>
              <w:rPr>
                <w:rFonts w:hint="eastAsia"/>
                <w:color w:val="auto"/>
              </w:rPr>
              <w:t>非甲烷总烃</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14:paraId="0D59C730">
            <w:pPr>
              <w:pStyle w:val="348"/>
              <w:rPr>
                <w:rFonts w:hint="eastAsia" w:eastAsia="宋体"/>
                <w:color w:val="auto"/>
                <w:lang w:eastAsia="zh-CN"/>
              </w:rPr>
            </w:pPr>
            <w:r>
              <w:rPr>
                <w:rFonts w:hint="eastAsia"/>
                <w:color w:val="auto"/>
              </w:rPr>
              <w:t>0.6</w:t>
            </w:r>
            <w:r>
              <w:rPr>
                <w:rFonts w:hint="eastAsia"/>
                <w:color w:val="auto"/>
                <w:lang w:val="en-US" w:eastAsia="zh-CN"/>
              </w:rPr>
              <w:t>3</w:t>
            </w:r>
          </w:p>
        </w:tc>
        <w:tc>
          <w:tcPr>
            <w:tcW w:w="1091" w:type="pct"/>
            <w:tcBorders>
              <w:top w:val="single" w:color="auto" w:sz="4" w:space="0"/>
              <w:left w:val="single" w:color="auto" w:sz="4" w:space="0"/>
              <w:bottom w:val="single" w:color="auto" w:sz="4" w:space="0"/>
              <w:right w:val="single" w:color="auto" w:sz="4" w:space="0"/>
            </w:tcBorders>
            <w:shd w:val="clear" w:color="auto" w:fill="auto"/>
            <w:vAlign w:val="center"/>
          </w:tcPr>
          <w:p w14:paraId="7BD56F6B">
            <w:pPr>
              <w:pStyle w:val="348"/>
              <w:rPr>
                <w:color w:val="auto"/>
              </w:rPr>
            </w:pPr>
            <w:r>
              <w:rPr>
                <w:rFonts w:hint="eastAsia"/>
                <w:color w:val="auto"/>
              </w:rPr>
              <w:t>1.2</w:t>
            </w:r>
            <w:r>
              <w:rPr>
                <w:rFonts w:hint="eastAsia"/>
                <w:color w:val="auto"/>
                <w:lang w:val="en-US" w:eastAsia="zh-CN"/>
              </w:rPr>
              <w:t>5</w:t>
            </w:r>
            <w:r>
              <w:rPr>
                <w:rFonts w:hint="eastAsia"/>
                <w:color w:val="auto"/>
              </w:rPr>
              <w:t>E-02</w:t>
            </w:r>
          </w:p>
        </w:tc>
        <w:tc>
          <w:tcPr>
            <w:tcW w:w="997" w:type="pct"/>
            <w:vMerge w:val="continue"/>
            <w:tcBorders>
              <w:left w:val="single" w:color="auto" w:sz="4" w:space="0"/>
              <w:bottom w:val="single" w:color="auto" w:sz="4" w:space="0"/>
              <w:right w:val="single" w:color="auto" w:sz="4" w:space="0"/>
            </w:tcBorders>
            <w:vAlign w:val="center"/>
          </w:tcPr>
          <w:p w14:paraId="54419396">
            <w:pPr>
              <w:pStyle w:val="348"/>
              <w:rPr>
                <w:color w:val="auto"/>
              </w:rPr>
            </w:pPr>
          </w:p>
        </w:tc>
      </w:tr>
    </w:tbl>
    <w:p w14:paraId="60B958D0">
      <w:pPr>
        <w:pStyle w:val="684"/>
        <w:spacing w:before="72" w:line="360" w:lineRule="auto"/>
        <w:ind w:firstLine="480"/>
        <w:rPr>
          <w:color w:val="auto"/>
          <w:lang w:val="en-US"/>
        </w:rPr>
      </w:pPr>
    </w:p>
    <w:p w14:paraId="5BDBE0A9">
      <w:pPr>
        <w:spacing w:line="360" w:lineRule="auto"/>
        <w:ind w:firstLine="480"/>
        <w:rPr>
          <w:color w:val="auto"/>
          <w:szCs w:val="24"/>
        </w:rPr>
      </w:pPr>
      <w:r>
        <w:rPr>
          <w:color w:val="auto"/>
          <w:szCs w:val="24"/>
        </w:rPr>
        <w:t>根据估算结果可知，</w:t>
      </w:r>
      <w:r>
        <w:rPr>
          <w:rFonts w:hint="eastAsia"/>
          <w:color w:val="auto"/>
          <w:szCs w:val="24"/>
        </w:rPr>
        <w:t>项目</w:t>
      </w:r>
      <w:r>
        <w:rPr>
          <w:color w:val="auto"/>
          <w:szCs w:val="24"/>
        </w:rPr>
        <w:t>主要大气污染物最大地面空气质量浓度占标率</w:t>
      </w:r>
      <w:r>
        <w:rPr>
          <w:rFonts w:hint="eastAsia"/>
          <w:color w:val="auto"/>
          <w:szCs w:val="24"/>
        </w:rPr>
        <w:t>为</w:t>
      </w:r>
      <w:r>
        <w:rPr>
          <w:color w:val="auto"/>
        </w:rPr>
        <w:t>2.7</w:t>
      </w:r>
      <w:r>
        <w:rPr>
          <w:rFonts w:hint="eastAsia"/>
          <w:color w:val="auto"/>
          <w:lang w:val="en-US" w:eastAsia="zh-CN"/>
        </w:rPr>
        <w:t>2</w:t>
      </w:r>
      <w:r>
        <w:rPr>
          <w:rFonts w:hint="eastAsia"/>
          <w:color w:val="auto"/>
          <w:szCs w:val="24"/>
        </w:rPr>
        <w:t>%</w:t>
      </w:r>
      <w:r>
        <w:rPr>
          <w:color w:val="auto"/>
          <w:szCs w:val="24"/>
        </w:rPr>
        <w:t>，最大地面空气质量浓度占标率</w:t>
      </w:r>
      <w:r>
        <w:rPr>
          <w:rFonts w:hint="eastAsia"/>
          <w:color w:val="auto"/>
          <w:szCs w:val="24"/>
        </w:rPr>
        <w:t>均介于1%~</w:t>
      </w:r>
      <w:r>
        <w:rPr>
          <w:color w:val="auto"/>
          <w:szCs w:val="24"/>
        </w:rPr>
        <w:t>10%，因此依据《环境影响评价技术导则大气环境》</w:t>
      </w:r>
      <w:r>
        <w:rPr>
          <w:rFonts w:hint="eastAsia"/>
          <w:color w:val="auto"/>
          <w:szCs w:val="24"/>
        </w:rPr>
        <w:t>评价等级为二级，不需要进一步预测评价，</w:t>
      </w:r>
      <w:r>
        <w:rPr>
          <w:color w:val="auto"/>
          <w:szCs w:val="24"/>
        </w:rPr>
        <w:t>大气环境影响评价范围为边长为5km的</w:t>
      </w:r>
      <w:r>
        <w:rPr>
          <w:rFonts w:hint="eastAsia"/>
          <w:bCs/>
          <w:color w:val="auto"/>
          <w:szCs w:val="24"/>
        </w:rPr>
        <w:t>矩形</w:t>
      </w:r>
      <w:r>
        <w:rPr>
          <w:bCs/>
          <w:color w:val="auto"/>
          <w:szCs w:val="24"/>
        </w:rPr>
        <w:t>区域</w:t>
      </w:r>
      <w:r>
        <w:rPr>
          <w:color w:val="auto"/>
          <w:szCs w:val="24"/>
        </w:rPr>
        <w:t>。</w:t>
      </w:r>
    </w:p>
    <w:p w14:paraId="2A48B6D2">
      <w:pPr>
        <w:pStyle w:val="5"/>
        <w:numPr>
          <w:ilvl w:val="0"/>
          <w:numId w:val="0"/>
        </w:numPr>
        <w:spacing w:line="360" w:lineRule="auto"/>
        <w:rPr>
          <w:color w:val="auto"/>
        </w:rPr>
      </w:pPr>
      <w:r>
        <w:rPr>
          <w:rFonts w:hint="eastAsia"/>
          <w:color w:val="auto"/>
          <w:lang w:eastAsia="zh-CN"/>
        </w:rPr>
        <w:t>2.7</w:t>
      </w:r>
      <w:r>
        <w:rPr>
          <w:color w:val="auto"/>
        </w:rPr>
        <w:t>.2</w:t>
      </w:r>
      <w:r>
        <w:rPr>
          <w:rFonts w:hint="eastAsia"/>
          <w:color w:val="auto"/>
        </w:rPr>
        <w:t>地表水</w:t>
      </w:r>
    </w:p>
    <w:p w14:paraId="2B4D2676">
      <w:pPr>
        <w:spacing w:line="360" w:lineRule="auto"/>
        <w:ind w:firstLine="480"/>
        <w:rPr>
          <w:color w:val="auto"/>
        </w:rPr>
      </w:pPr>
      <w:r>
        <w:rPr>
          <w:rFonts w:hint="eastAsia"/>
          <w:color w:val="auto"/>
        </w:rPr>
        <w:t>根据《环境影响评价技术导则地表水环境》（</w:t>
      </w:r>
      <w:r>
        <w:rPr>
          <w:color w:val="auto"/>
        </w:rPr>
        <w:t>HJ 2.3-</w:t>
      </w:r>
      <w:r>
        <w:rPr>
          <w:rFonts w:hint="eastAsia"/>
          <w:color w:val="auto"/>
        </w:rPr>
        <w:t>2018），建设项目地表水环境影响评价等级按照影响类型、排放方式、排放量或影响情况、受纳水体环境质量现状、水环境保护目标等综合确定。水污染影响型建设项目的评价等级按表</w:t>
      </w:r>
      <w:r>
        <w:rPr>
          <w:rFonts w:hint="eastAsia"/>
          <w:color w:val="auto"/>
          <w:lang w:eastAsia="zh-CN"/>
        </w:rPr>
        <w:t>2.7</w:t>
      </w:r>
      <w:r>
        <w:rPr>
          <w:color w:val="auto"/>
        </w:rPr>
        <w:t>-4</w:t>
      </w:r>
      <w:r>
        <w:rPr>
          <w:rFonts w:hint="eastAsia"/>
          <w:color w:val="auto"/>
        </w:rPr>
        <w:t>进行判定。</w:t>
      </w:r>
    </w:p>
    <w:p w14:paraId="7432FA9D">
      <w:pPr>
        <w:pStyle w:val="1983"/>
        <w:spacing w:after="120"/>
        <w:ind w:firstLine="480"/>
        <w:rPr>
          <w:color w:val="auto"/>
        </w:rPr>
      </w:pPr>
      <w:r>
        <w:rPr>
          <w:rFonts w:hint="eastAsia"/>
          <w:color w:val="auto"/>
        </w:rPr>
        <w:t>表</w:t>
      </w:r>
      <w:r>
        <w:rPr>
          <w:rFonts w:hint="eastAsia"/>
          <w:color w:val="auto"/>
          <w:lang w:eastAsia="zh-CN"/>
        </w:rPr>
        <w:t>2.7</w:t>
      </w:r>
      <w:r>
        <w:rPr>
          <w:color w:val="auto"/>
        </w:rPr>
        <w:t>-4</w:t>
      </w:r>
      <w:r>
        <w:rPr>
          <w:rFonts w:hint="eastAsia"/>
          <w:color w:val="auto"/>
        </w:rPr>
        <w:t>水污染影响型建设项目评价等级判定</w:t>
      </w:r>
    </w:p>
    <w:tbl>
      <w:tblPr>
        <w:tblStyle w:val="88"/>
        <w:tblW w:w="906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013"/>
        <w:gridCol w:w="3013"/>
        <w:gridCol w:w="3038"/>
      </w:tblGrid>
      <w:tr w14:paraId="497AE5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97" w:hRule="atLeast"/>
        </w:trPr>
        <w:tc>
          <w:tcPr>
            <w:tcW w:w="3013" w:type="dxa"/>
            <w:vMerge w:val="restart"/>
            <w:shd w:val="clear" w:color="auto" w:fill="auto"/>
            <w:vAlign w:val="center"/>
          </w:tcPr>
          <w:p w14:paraId="5D3FE47A">
            <w:pPr>
              <w:pStyle w:val="45"/>
              <w:jc w:val="center"/>
              <w:rPr>
                <w:rFonts w:ascii="Times New Roman" w:hAnsi="Times New Roman"/>
                <w:color w:val="auto"/>
                <w:szCs w:val="21"/>
              </w:rPr>
            </w:pPr>
            <w:r>
              <w:rPr>
                <w:rFonts w:hint="eastAsia" w:ascii="Times New Roman" w:hAnsi="Times New Roman"/>
                <w:color w:val="auto"/>
                <w:szCs w:val="21"/>
              </w:rPr>
              <w:t>评价等级</w:t>
            </w:r>
          </w:p>
        </w:tc>
        <w:tc>
          <w:tcPr>
            <w:tcW w:w="6051" w:type="dxa"/>
            <w:gridSpan w:val="2"/>
            <w:shd w:val="clear" w:color="auto" w:fill="auto"/>
            <w:vAlign w:val="center"/>
          </w:tcPr>
          <w:p w14:paraId="07E70CE2">
            <w:pPr>
              <w:pStyle w:val="45"/>
              <w:jc w:val="center"/>
              <w:rPr>
                <w:rFonts w:ascii="Times New Roman" w:hAnsi="Times New Roman"/>
                <w:color w:val="auto"/>
                <w:szCs w:val="21"/>
              </w:rPr>
            </w:pPr>
            <w:r>
              <w:rPr>
                <w:rFonts w:hint="eastAsia" w:ascii="Times New Roman" w:hAnsi="Times New Roman"/>
                <w:color w:val="auto"/>
                <w:szCs w:val="21"/>
              </w:rPr>
              <w:t>判定依据</w:t>
            </w:r>
          </w:p>
        </w:tc>
      </w:tr>
      <w:tr w14:paraId="54E270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97" w:hRule="atLeast"/>
        </w:trPr>
        <w:tc>
          <w:tcPr>
            <w:tcW w:w="3013" w:type="dxa"/>
            <w:vMerge w:val="continue"/>
            <w:shd w:val="clear" w:color="auto" w:fill="auto"/>
            <w:vAlign w:val="center"/>
          </w:tcPr>
          <w:p w14:paraId="3A57E5C5">
            <w:pPr>
              <w:pStyle w:val="45"/>
              <w:jc w:val="center"/>
              <w:rPr>
                <w:rFonts w:ascii="Times New Roman" w:hAnsi="Times New Roman"/>
                <w:color w:val="auto"/>
                <w:szCs w:val="21"/>
              </w:rPr>
            </w:pPr>
          </w:p>
        </w:tc>
        <w:tc>
          <w:tcPr>
            <w:tcW w:w="3013" w:type="dxa"/>
            <w:shd w:val="clear" w:color="auto" w:fill="auto"/>
            <w:vAlign w:val="center"/>
          </w:tcPr>
          <w:p w14:paraId="79F3BB4F">
            <w:pPr>
              <w:pStyle w:val="45"/>
              <w:jc w:val="center"/>
              <w:rPr>
                <w:rFonts w:ascii="Times New Roman" w:hAnsi="Times New Roman"/>
                <w:color w:val="auto"/>
                <w:szCs w:val="21"/>
              </w:rPr>
            </w:pPr>
            <w:r>
              <w:rPr>
                <w:rFonts w:hint="eastAsia" w:ascii="Times New Roman" w:hAnsi="Times New Roman"/>
                <w:color w:val="auto"/>
                <w:szCs w:val="21"/>
              </w:rPr>
              <w:t>排放方式</w:t>
            </w:r>
          </w:p>
        </w:tc>
        <w:tc>
          <w:tcPr>
            <w:tcW w:w="3038" w:type="dxa"/>
            <w:shd w:val="clear" w:color="auto" w:fill="auto"/>
            <w:vAlign w:val="center"/>
          </w:tcPr>
          <w:p w14:paraId="4C4B67F3">
            <w:pPr>
              <w:pStyle w:val="45"/>
              <w:jc w:val="center"/>
              <w:rPr>
                <w:rFonts w:ascii="Times New Roman" w:hAnsi="Times New Roman"/>
                <w:color w:val="auto"/>
                <w:szCs w:val="21"/>
              </w:rPr>
            </w:pPr>
            <w:r>
              <w:rPr>
                <w:rFonts w:hint="eastAsia" w:ascii="Times New Roman" w:hAnsi="Times New Roman"/>
                <w:color w:val="auto"/>
                <w:szCs w:val="21"/>
              </w:rPr>
              <w:t>废水排放量</w:t>
            </w:r>
            <w:r>
              <w:rPr>
                <w:rFonts w:hint="eastAsia" w:ascii="Times New Roman" w:hAnsi="Times New Roman"/>
                <w:i/>
                <w:color w:val="auto"/>
                <w:szCs w:val="21"/>
              </w:rPr>
              <w:t>Q</w:t>
            </w:r>
            <w:r>
              <w:rPr>
                <w:rFonts w:hint="eastAsia" w:ascii="Times New Roman" w:hAnsi="Times New Roman"/>
                <w:color w:val="auto"/>
                <w:szCs w:val="21"/>
              </w:rPr>
              <w:t>/（m</w:t>
            </w:r>
            <w:r>
              <w:rPr>
                <w:rFonts w:hint="eastAsia" w:ascii="Times New Roman" w:hAnsi="Times New Roman"/>
                <w:color w:val="auto"/>
                <w:szCs w:val="21"/>
                <w:vertAlign w:val="superscript"/>
              </w:rPr>
              <w:t>3</w:t>
            </w:r>
            <w:r>
              <w:rPr>
                <w:rFonts w:hint="eastAsia" w:ascii="Times New Roman" w:hAnsi="Times New Roman"/>
                <w:color w:val="auto"/>
                <w:szCs w:val="21"/>
              </w:rPr>
              <w:t>/d）；</w:t>
            </w:r>
          </w:p>
          <w:p w14:paraId="26677117">
            <w:pPr>
              <w:pStyle w:val="45"/>
              <w:jc w:val="center"/>
              <w:rPr>
                <w:rFonts w:ascii="Times New Roman" w:hAnsi="Times New Roman"/>
                <w:color w:val="auto"/>
                <w:szCs w:val="21"/>
              </w:rPr>
            </w:pPr>
            <w:r>
              <w:rPr>
                <w:rFonts w:hint="eastAsia" w:ascii="Times New Roman" w:hAnsi="Times New Roman"/>
                <w:color w:val="auto"/>
                <w:szCs w:val="21"/>
              </w:rPr>
              <w:t>水污染物当量数</w:t>
            </w:r>
            <w:r>
              <w:rPr>
                <w:rFonts w:hint="eastAsia" w:ascii="Times New Roman" w:hAnsi="Times New Roman"/>
                <w:i/>
                <w:color w:val="auto"/>
                <w:szCs w:val="21"/>
              </w:rPr>
              <w:t>W</w:t>
            </w:r>
            <w:r>
              <w:rPr>
                <w:rFonts w:hint="eastAsia" w:ascii="Times New Roman" w:hAnsi="Times New Roman"/>
                <w:color w:val="auto"/>
                <w:szCs w:val="21"/>
              </w:rPr>
              <w:t>/（无量纲）</w:t>
            </w:r>
          </w:p>
        </w:tc>
      </w:tr>
      <w:tr w14:paraId="7B975C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3013" w:type="dxa"/>
            <w:shd w:val="clear" w:color="auto" w:fill="auto"/>
            <w:vAlign w:val="center"/>
          </w:tcPr>
          <w:p w14:paraId="686DA6CD">
            <w:pPr>
              <w:pStyle w:val="45"/>
              <w:jc w:val="center"/>
              <w:rPr>
                <w:rFonts w:ascii="Times New Roman" w:hAnsi="Times New Roman"/>
                <w:color w:val="auto"/>
                <w:szCs w:val="21"/>
              </w:rPr>
            </w:pPr>
            <w:r>
              <w:rPr>
                <w:rFonts w:hint="eastAsia" w:ascii="Times New Roman" w:hAnsi="Times New Roman"/>
                <w:color w:val="auto"/>
                <w:szCs w:val="21"/>
              </w:rPr>
              <w:t>一级</w:t>
            </w:r>
          </w:p>
        </w:tc>
        <w:tc>
          <w:tcPr>
            <w:tcW w:w="3013" w:type="dxa"/>
            <w:shd w:val="clear" w:color="auto" w:fill="auto"/>
            <w:vAlign w:val="center"/>
          </w:tcPr>
          <w:p w14:paraId="36FD2CCF">
            <w:pPr>
              <w:pStyle w:val="45"/>
              <w:jc w:val="center"/>
              <w:rPr>
                <w:rFonts w:ascii="Times New Roman" w:hAnsi="Times New Roman"/>
                <w:color w:val="auto"/>
                <w:szCs w:val="21"/>
              </w:rPr>
            </w:pPr>
            <w:r>
              <w:rPr>
                <w:rFonts w:hint="eastAsia" w:ascii="Times New Roman" w:hAnsi="Times New Roman"/>
                <w:color w:val="auto"/>
                <w:szCs w:val="21"/>
              </w:rPr>
              <w:t>直接排放</w:t>
            </w:r>
          </w:p>
        </w:tc>
        <w:tc>
          <w:tcPr>
            <w:tcW w:w="3038" w:type="dxa"/>
            <w:shd w:val="clear" w:color="auto" w:fill="auto"/>
            <w:vAlign w:val="center"/>
          </w:tcPr>
          <w:p w14:paraId="2AF4B9F9">
            <w:pPr>
              <w:pStyle w:val="45"/>
              <w:jc w:val="center"/>
              <w:rPr>
                <w:rFonts w:ascii="Times New Roman" w:hAnsi="Times New Roman"/>
                <w:color w:val="auto"/>
                <w:szCs w:val="21"/>
              </w:rPr>
            </w:pPr>
            <w:r>
              <w:rPr>
                <w:rFonts w:hint="eastAsia" w:ascii="Times New Roman" w:hAnsi="Times New Roman"/>
                <w:color w:val="auto"/>
                <w:szCs w:val="21"/>
              </w:rPr>
              <w:t>Q≥20000或W≥600000</w:t>
            </w:r>
          </w:p>
        </w:tc>
      </w:tr>
      <w:tr w14:paraId="299921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3013" w:type="dxa"/>
            <w:shd w:val="clear" w:color="auto" w:fill="auto"/>
            <w:vAlign w:val="center"/>
          </w:tcPr>
          <w:p w14:paraId="5567FFFA">
            <w:pPr>
              <w:pStyle w:val="45"/>
              <w:jc w:val="center"/>
              <w:rPr>
                <w:rFonts w:ascii="Times New Roman" w:hAnsi="Times New Roman"/>
                <w:color w:val="auto"/>
                <w:szCs w:val="21"/>
              </w:rPr>
            </w:pPr>
            <w:r>
              <w:rPr>
                <w:rFonts w:hint="eastAsia" w:ascii="Times New Roman" w:hAnsi="Times New Roman"/>
                <w:color w:val="auto"/>
                <w:szCs w:val="21"/>
              </w:rPr>
              <w:t>二级</w:t>
            </w:r>
          </w:p>
        </w:tc>
        <w:tc>
          <w:tcPr>
            <w:tcW w:w="3013" w:type="dxa"/>
            <w:shd w:val="clear" w:color="auto" w:fill="auto"/>
            <w:vAlign w:val="center"/>
          </w:tcPr>
          <w:p w14:paraId="550F8390">
            <w:pPr>
              <w:pStyle w:val="45"/>
              <w:jc w:val="center"/>
              <w:rPr>
                <w:rFonts w:ascii="Times New Roman" w:hAnsi="Times New Roman"/>
                <w:color w:val="auto"/>
                <w:szCs w:val="21"/>
              </w:rPr>
            </w:pPr>
            <w:r>
              <w:rPr>
                <w:rFonts w:hint="eastAsia" w:ascii="Times New Roman" w:hAnsi="Times New Roman"/>
                <w:color w:val="auto"/>
                <w:szCs w:val="21"/>
              </w:rPr>
              <w:t>直接排放</w:t>
            </w:r>
          </w:p>
        </w:tc>
        <w:tc>
          <w:tcPr>
            <w:tcW w:w="3038" w:type="dxa"/>
            <w:shd w:val="clear" w:color="auto" w:fill="auto"/>
            <w:vAlign w:val="center"/>
          </w:tcPr>
          <w:p w14:paraId="2FC8EC85">
            <w:pPr>
              <w:pStyle w:val="45"/>
              <w:jc w:val="center"/>
              <w:rPr>
                <w:rFonts w:ascii="Times New Roman" w:hAnsi="Times New Roman"/>
                <w:color w:val="auto"/>
                <w:szCs w:val="21"/>
              </w:rPr>
            </w:pPr>
            <w:r>
              <w:rPr>
                <w:rFonts w:hint="eastAsia" w:ascii="Times New Roman" w:hAnsi="Times New Roman"/>
                <w:color w:val="auto"/>
                <w:szCs w:val="21"/>
              </w:rPr>
              <w:t>其他</w:t>
            </w:r>
          </w:p>
        </w:tc>
      </w:tr>
      <w:tr w14:paraId="0DB4CD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3013" w:type="dxa"/>
            <w:shd w:val="clear" w:color="auto" w:fill="auto"/>
            <w:vAlign w:val="center"/>
          </w:tcPr>
          <w:p w14:paraId="3831C589">
            <w:pPr>
              <w:pStyle w:val="45"/>
              <w:jc w:val="center"/>
              <w:rPr>
                <w:rFonts w:ascii="Times New Roman" w:hAnsi="Times New Roman"/>
                <w:color w:val="auto"/>
                <w:szCs w:val="21"/>
              </w:rPr>
            </w:pPr>
            <w:r>
              <w:rPr>
                <w:rFonts w:hint="eastAsia" w:ascii="Times New Roman" w:hAnsi="Times New Roman"/>
                <w:color w:val="auto"/>
                <w:szCs w:val="21"/>
              </w:rPr>
              <w:t>三级A</w:t>
            </w:r>
          </w:p>
        </w:tc>
        <w:tc>
          <w:tcPr>
            <w:tcW w:w="3013" w:type="dxa"/>
            <w:shd w:val="clear" w:color="auto" w:fill="auto"/>
            <w:vAlign w:val="center"/>
          </w:tcPr>
          <w:p w14:paraId="2484A320">
            <w:pPr>
              <w:pStyle w:val="45"/>
              <w:jc w:val="center"/>
              <w:rPr>
                <w:rFonts w:ascii="Times New Roman" w:hAnsi="Times New Roman"/>
                <w:color w:val="auto"/>
                <w:szCs w:val="21"/>
              </w:rPr>
            </w:pPr>
            <w:r>
              <w:rPr>
                <w:rFonts w:hint="eastAsia" w:ascii="Times New Roman" w:hAnsi="Times New Roman"/>
                <w:color w:val="auto"/>
                <w:szCs w:val="21"/>
              </w:rPr>
              <w:t>直接排放</w:t>
            </w:r>
          </w:p>
        </w:tc>
        <w:tc>
          <w:tcPr>
            <w:tcW w:w="3038" w:type="dxa"/>
            <w:shd w:val="clear" w:color="auto" w:fill="auto"/>
            <w:vAlign w:val="center"/>
          </w:tcPr>
          <w:p w14:paraId="7F1B3A05">
            <w:pPr>
              <w:pStyle w:val="45"/>
              <w:jc w:val="center"/>
              <w:rPr>
                <w:rFonts w:ascii="Times New Roman" w:hAnsi="Times New Roman"/>
                <w:color w:val="auto"/>
                <w:szCs w:val="21"/>
              </w:rPr>
            </w:pPr>
            <w:r>
              <w:rPr>
                <w:rFonts w:hint="eastAsia" w:ascii="Times New Roman" w:hAnsi="Times New Roman"/>
                <w:color w:val="auto"/>
                <w:szCs w:val="21"/>
              </w:rPr>
              <w:t>Q＜200且W＜6000</w:t>
            </w:r>
          </w:p>
        </w:tc>
      </w:tr>
      <w:tr w14:paraId="79F1C0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3013" w:type="dxa"/>
            <w:shd w:val="clear" w:color="auto" w:fill="auto"/>
            <w:vAlign w:val="center"/>
          </w:tcPr>
          <w:p w14:paraId="54F134EC">
            <w:pPr>
              <w:pStyle w:val="45"/>
              <w:jc w:val="center"/>
              <w:rPr>
                <w:rFonts w:ascii="Times New Roman" w:hAnsi="Times New Roman"/>
                <w:color w:val="auto"/>
                <w:szCs w:val="21"/>
              </w:rPr>
            </w:pPr>
            <w:r>
              <w:rPr>
                <w:rFonts w:hint="eastAsia" w:ascii="Times New Roman" w:hAnsi="Times New Roman"/>
                <w:color w:val="auto"/>
                <w:szCs w:val="21"/>
              </w:rPr>
              <w:t>三级B</w:t>
            </w:r>
          </w:p>
        </w:tc>
        <w:tc>
          <w:tcPr>
            <w:tcW w:w="3013" w:type="dxa"/>
            <w:shd w:val="clear" w:color="auto" w:fill="auto"/>
            <w:vAlign w:val="center"/>
          </w:tcPr>
          <w:p w14:paraId="2C93C58C">
            <w:pPr>
              <w:pStyle w:val="45"/>
              <w:jc w:val="center"/>
              <w:rPr>
                <w:rFonts w:ascii="Times New Roman" w:hAnsi="Times New Roman"/>
                <w:color w:val="auto"/>
                <w:szCs w:val="21"/>
              </w:rPr>
            </w:pPr>
            <w:r>
              <w:rPr>
                <w:rFonts w:hint="eastAsia" w:ascii="Times New Roman" w:hAnsi="Times New Roman"/>
                <w:color w:val="auto"/>
                <w:szCs w:val="21"/>
              </w:rPr>
              <w:t>间接排放</w:t>
            </w:r>
          </w:p>
        </w:tc>
        <w:tc>
          <w:tcPr>
            <w:tcW w:w="3038" w:type="dxa"/>
            <w:shd w:val="clear" w:color="auto" w:fill="auto"/>
            <w:vAlign w:val="center"/>
          </w:tcPr>
          <w:p w14:paraId="15AEB712">
            <w:pPr>
              <w:pStyle w:val="45"/>
              <w:jc w:val="center"/>
              <w:rPr>
                <w:rFonts w:ascii="Times New Roman" w:hAnsi="Times New Roman"/>
                <w:color w:val="auto"/>
                <w:szCs w:val="21"/>
              </w:rPr>
            </w:pPr>
            <w:r>
              <w:rPr>
                <w:rFonts w:hint="eastAsia" w:ascii="Times New Roman" w:hAnsi="Times New Roman"/>
                <w:color w:val="auto"/>
                <w:szCs w:val="21"/>
              </w:rPr>
              <w:t>-</w:t>
            </w:r>
          </w:p>
        </w:tc>
      </w:tr>
      <w:tr w14:paraId="508E35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97" w:hRule="atLeast"/>
        </w:trPr>
        <w:tc>
          <w:tcPr>
            <w:tcW w:w="9064" w:type="dxa"/>
            <w:gridSpan w:val="3"/>
            <w:shd w:val="clear" w:color="auto" w:fill="auto"/>
            <w:vAlign w:val="center"/>
          </w:tcPr>
          <w:p w14:paraId="4166F7D2">
            <w:pPr>
              <w:pStyle w:val="45"/>
              <w:rPr>
                <w:rFonts w:ascii="Times New Roman" w:hAnsi="Times New Roman"/>
                <w:color w:val="auto"/>
                <w:szCs w:val="21"/>
              </w:rPr>
            </w:pPr>
            <w:r>
              <w:rPr>
                <w:rFonts w:hint="eastAsia" w:ascii="Times New Roman" w:hAnsi="Times New Roman"/>
                <w:color w:val="auto"/>
                <w:szCs w:val="21"/>
              </w:rPr>
              <w:t>注1：水污染物当量数等于该污染物的年排放量除以该污染物的污染当量值，计算排放污染物的污染物当量数，应区分第一类水污染物和其他类水污染物，统计第一类污染物当量数总和，然后与其他类污染物按照污染物当量数从大到小排序，取最大当量数作为建设项目评价等级确定的依据。</w:t>
            </w:r>
          </w:p>
          <w:p w14:paraId="236FF6F7">
            <w:pPr>
              <w:pStyle w:val="45"/>
              <w:rPr>
                <w:rFonts w:ascii="Times New Roman" w:hAnsi="Times New Roman"/>
                <w:color w:val="auto"/>
                <w:szCs w:val="21"/>
              </w:rPr>
            </w:pPr>
            <w:r>
              <w:rPr>
                <w:rFonts w:hint="eastAsia" w:ascii="Times New Roman" w:hAnsi="Times New Roman"/>
                <w:color w:val="auto"/>
                <w:szCs w:val="21"/>
              </w:rPr>
              <w:t>注2：废水排放量按照行业排放标准中规定的废水种类统计，没有相关行业排放标准要求的通过工程分析合理确定，应统计含热量大的冷却水的排放量，可不统计间接冷却水、循环水以及其他含污染物极少的清净下水的排放量。</w:t>
            </w:r>
          </w:p>
          <w:p w14:paraId="4DE70915">
            <w:pPr>
              <w:pStyle w:val="45"/>
              <w:rPr>
                <w:rFonts w:ascii="Times New Roman" w:hAnsi="Times New Roman"/>
                <w:color w:val="auto"/>
                <w:szCs w:val="21"/>
              </w:rPr>
            </w:pPr>
            <w:r>
              <w:rPr>
                <w:rFonts w:hint="eastAsia" w:ascii="Times New Roman" w:hAnsi="Times New Roman"/>
                <w:color w:val="auto"/>
                <w:szCs w:val="21"/>
              </w:rPr>
              <w:t>注3：厂区存在堆积物（露天堆放的原料、燃料、废渣等以及垃圾堆放场）、降尘污染的，应将初期雨污水纳入废水排放量，相应的主要污染物纳入水污染当量计算。</w:t>
            </w:r>
          </w:p>
          <w:p w14:paraId="2A233889">
            <w:pPr>
              <w:pStyle w:val="45"/>
              <w:rPr>
                <w:rFonts w:ascii="Times New Roman" w:hAnsi="Times New Roman"/>
                <w:color w:val="auto"/>
                <w:szCs w:val="21"/>
              </w:rPr>
            </w:pPr>
            <w:r>
              <w:rPr>
                <w:rFonts w:hint="eastAsia" w:ascii="Times New Roman" w:hAnsi="Times New Roman"/>
                <w:color w:val="auto"/>
                <w:szCs w:val="21"/>
              </w:rPr>
              <w:t>注4：建设项目直接排放第一类污染物的，其评价等级为一级；建设项目直接排放的污染物为受纳水体超标因子的，评价等级不低于二级。</w:t>
            </w:r>
          </w:p>
          <w:p w14:paraId="4C09E76D">
            <w:pPr>
              <w:pStyle w:val="45"/>
              <w:rPr>
                <w:rFonts w:ascii="Times New Roman" w:hAnsi="Times New Roman"/>
                <w:color w:val="auto"/>
                <w:szCs w:val="21"/>
              </w:rPr>
            </w:pPr>
            <w:r>
              <w:rPr>
                <w:rFonts w:hint="eastAsia" w:ascii="Times New Roman" w:hAnsi="Times New Roman"/>
                <w:color w:val="auto"/>
                <w:szCs w:val="21"/>
              </w:rPr>
              <w:t>注5：直接排放受纳水体影响范围涉及饮用水源保护区、饮用水取水口、重点保护与珍稀水生生物的栖息地、重要水生生物的自然产卵场等保护目标时，评价等级不低于二级。</w:t>
            </w:r>
          </w:p>
          <w:p w14:paraId="7E1C86A4">
            <w:pPr>
              <w:pStyle w:val="45"/>
              <w:rPr>
                <w:rFonts w:ascii="Times New Roman" w:hAnsi="Times New Roman"/>
                <w:color w:val="auto"/>
                <w:szCs w:val="21"/>
              </w:rPr>
            </w:pPr>
            <w:r>
              <w:rPr>
                <w:rFonts w:hint="eastAsia" w:ascii="Times New Roman" w:hAnsi="Times New Roman"/>
                <w:color w:val="auto"/>
                <w:szCs w:val="21"/>
              </w:rPr>
              <w:t>注6：建设项目向河流、湖库排放温排水引起受纳水体水温变化超过水环境质量标准要求，且评价范围有水温敏感目标时，评价等级为一级。</w:t>
            </w:r>
          </w:p>
          <w:p w14:paraId="444F2999">
            <w:pPr>
              <w:pStyle w:val="45"/>
              <w:rPr>
                <w:rFonts w:ascii="Times New Roman" w:hAnsi="Times New Roman"/>
                <w:color w:val="auto"/>
                <w:szCs w:val="21"/>
              </w:rPr>
            </w:pPr>
            <w:r>
              <w:rPr>
                <w:rFonts w:hint="eastAsia" w:ascii="Times New Roman" w:hAnsi="Times New Roman"/>
                <w:color w:val="auto"/>
                <w:szCs w:val="21"/>
              </w:rPr>
              <w:t>注7：建设项目利用海水作为调节温度介质，排水量≥500万m</w:t>
            </w:r>
            <w:r>
              <w:rPr>
                <w:rFonts w:hint="eastAsia" w:ascii="Times New Roman" w:hAnsi="Times New Roman"/>
                <w:color w:val="auto"/>
                <w:szCs w:val="21"/>
                <w:vertAlign w:val="superscript"/>
              </w:rPr>
              <w:t>3</w:t>
            </w:r>
            <w:r>
              <w:rPr>
                <w:rFonts w:hint="eastAsia" w:ascii="Times New Roman" w:hAnsi="Times New Roman"/>
                <w:color w:val="auto"/>
                <w:szCs w:val="21"/>
              </w:rPr>
              <w:t>/d，评价等级为一级；排水量＜500万m</w:t>
            </w:r>
            <w:r>
              <w:rPr>
                <w:rFonts w:hint="eastAsia" w:ascii="Times New Roman" w:hAnsi="Times New Roman"/>
                <w:color w:val="auto"/>
                <w:szCs w:val="21"/>
                <w:vertAlign w:val="superscript"/>
              </w:rPr>
              <w:t>3</w:t>
            </w:r>
            <w:r>
              <w:rPr>
                <w:rFonts w:hint="eastAsia" w:ascii="Times New Roman" w:hAnsi="Times New Roman"/>
                <w:color w:val="auto"/>
                <w:szCs w:val="21"/>
              </w:rPr>
              <w:t>/d，评价等级为二级。</w:t>
            </w:r>
          </w:p>
          <w:p w14:paraId="39575EC4">
            <w:pPr>
              <w:pStyle w:val="45"/>
              <w:rPr>
                <w:rFonts w:ascii="Times New Roman" w:hAnsi="Times New Roman"/>
                <w:color w:val="auto"/>
                <w:szCs w:val="21"/>
              </w:rPr>
            </w:pPr>
            <w:r>
              <w:rPr>
                <w:rFonts w:hint="eastAsia" w:ascii="Times New Roman" w:hAnsi="Times New Roman"/>
                <w:color w:val="auto"/>
                <w:szCs w:val="21"/>
              </w:rPr>
              <w:t>注8：仅涉及清净下水排放的，如其排放水质满足受纳水体水环境质量标准要求的，评价等级为三级A。</w:t>
            </w:r>
          </w:p>
          <w:p w14:paraId="619A1B50">
            <w:pPr>
              <w:pStyle w:val="45"/>
              <w:rPr>
                <w:rFonts w:ascii="Times New Roman" w:hAnsi="Times New Roman"/>
                <w:color w:val="auto"/>
                <w:szCs w:val="21"/>
              </w:rPr>
            </w:pPr>
            <w:r>
              <w:rPr>
                <w:rFonts w:hint="eastAsia" w:ascii="Times New Roman" w:hAnsi="Times New Roman"/>
                <w:color w:val="auto"/>
                <w:szCs w:val="21"/>
              </w:rPr>
              <w:t>注9：依托现有排放口，且对外环境未新增排放污染物的直接排放建设项目，评价等级参照间接排放，定为三级B。</w:t>
            </w:r>
          </w:p>
          <w:p w14:paraId="3A68F4F1">
            <w:pPr>
              <w:pStyle w:val="45"/>
              <w:rPr>
                <w:rFonts w:ascii="Times New Roman" w:hAnsi="Times New Roman"/>
                <w:color w:val="auto"/>
                <w:szCs w:val="21"/>
              </w:rPr>
            </w:pPr>
            <w:r>
              <w:rPr>
                <w:rFonts w:hint="eastAsia" w:ascii="Times New Roman" w:hAnsi="Times New Roman"/>
                <w:color w:val="auto"/>
                <w:szCs w:val="21"/>
              </w:rPr>
              <w:t>注10：建设项目生产工艺中有废水产生，但作为回水利用，不排放到外环境的，按三级B评价。</w:t>
            </w:r>
          </w:p>
        </w:tc>
      </w:tr>
    </w:tbl>
    <w:p w14:paraId="58D1E7C7">
      <w:pPr>
        <w:spacing w:line="360" w:lineRule="auto"/>
        <w:ind w:firstLine="480"/>
        <w:rPr>
          <w:color w:val="auto"/>
        </w:rPr>
      </w:pPr>
    </w:p>
    <w:p w14:paraId="1955FC8D">
      <w:pPr>
        <w:spacing w:line="360" w:lineRule="auto"/>
        <w:ind w:firstLine="480"/>
        <w:rPr>
          <w:color w:val="auto"/>
        </w:rPr>
      </w:pPr>
      <w:r>
        <w:rPr>
          <w:rFonts w:hint="eastAsia"/>
          <w:color w:val="auto"/>
        </w:rPr>
        <w:t>拟建项目废水经处理达标后进入</w:t>
      </w:r>
      <w:r>
        <w:rPr>
          <w:rFonts w:hint="eastAsia"/>
          <w:color w:val="auto"/>
          <w:lang w:eastAsia="zh-CN"/>
        </w:rPr>
        <w:t>乌杨组团园区污水处理厂</w:t>
      </w:r>
      <w:r>
        <w:rPr>
          <w:rFonts w:hint="eastAsia"/>
          <w:color w:val="auto"/>
        </w:rPr>
        <w:t>进行深度处理后达标排放，排放方式为间接排放。因此，根据《环境影响评价技术导则 地表水环境》（HJ2.3-2018），确定拟建项目地表水环境影响评价等级为三级B。</w:t>
      </w:r>
    </w:p>
    <w:p w14:paraId="0D8986CB">
      <w:pPr>
        <w:pStyle w:val="5"/>
        <w:numPr>
          <w:ilvl w:val="0"/>
          <w:numId w:val="0"/>
        </w:numPr>
        <w:spacing w:line="360" w:lineRule="auto"/>
        <w:rPr>
          <w:color w:val="auto"/>
        </w:rPr>
      </w:pPr>
      <w:r>
        <w:rPr>
          <w:rFonts w:hint="eastAsia"/>
          <w:color w:val="auto"/>
          <w:lang w:eastAsia="zh-CN"/>
        </w:rPr>
        <w:t>2.7</w:t>
      </w:r>
      <w:r>
        <w:rPr>
          <w:color w:val="auto"/>
        </w:rPr>
        <w:t>.3</w:t>
      </w:r>
      <w:r>
        <w:rPr>
          <w:rFonts w:hint="eastAsia"/>
          <w:color w:val="auto"/>
        </w:rPr>
        <w:t>地下水</w:t>
      </w:r>
    </w:p>
    <w:p w14:paraId="33AC7B95">
      <w:pPr>
        <w:spacing w:line="360" w:lineRule="auto"/>
        <w:ind w:firstLine="480"/>
        <w:rPr>
          <w:color w:val="auto"/>
        </w:rPr>
      </w:pPr>
      <w:r>
        <w:rPr>
          <w:color w:val="auto"/>
        </w:rPr>
        <w:t>根据《环境影响评价技术导则地下水环境》（HJ610-2016），评价采用导则确定的工作等级分级表进行分级，评价等级确定依据见</w:t>
      </w:r>
      <w:r>
        <w:rPr>
          <w:rFonts w:hint="eastAsia"/>
          <w:color w:val="auto"/>
        </w:rPr>
        <w:t>表</w:t>
      </w:r>
      <w:r>
        <w:rPr>
          <w:rFonts w:hint="eastAsia"/>
          <w:color w:val="auto"/>
          <w:lang w:eastAsia="zh-CN"/>
        </w:rPr>
        <w:t>2.7</w:t>
      </w:r>
      <w:r>
        <w:rPr>
          <w:rFonts w:hint="eastAsia"/>
          <w:color w:val="auto"/>
        </w:rPr>
        <w:t>-</w:t>
      </w:r>
      <w:r>
        <w:rPr>
          <w:color w:val="auto"/>
        </w:rPr>
        <w:t>5。</w:t>
      </w:r>
    </w:p>
    <w:p w14:paraId="1266451C">
      <w:pPr>
        <w:pStyle w:val="674"/>
        <w:rPr>
          <w:color w:val="auto"/>
        </w:rPr>
      </w:pPr>
      <w:bookmarkStart w:id="96" w:name="_Ref485112901"/>
      <w:r>
        <w:rPr>
          <w:color w:val="auto"/>
        </w:rPr>
        <w:t>表</w:t>
      </w:r>
      <w:bookmarkEnd w:id="96"/>
      <w:r>
        <w:rPr>
          <w:rFonts w:hint="eastAsia"/>
          <w:color w:val="auto"/>
          <w:lang w:eastAsia="zh-CN"/>
        </w:rPr>
        <w:t>2.7</w:t>
      </w:r>
      <w:r>
        <w:rPr>
          <w:color w:val="auto"/>
        </w:rPr>
        <w:t>-5地下水环境影响评价工作等级</w:t>
      </w:r>
    </w:p>
    <w:tbl>
      <w:tblPr>
        <w:tblStyle w:val="88"/>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17"/>
        <w:gridCol w:w="1755"/>
        <w:gridCol w:w="2102"/>
        <w:gridCol w:w="2212"/>
      </w:tblGrid>
      <w:tr w14:paraId="65668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3217" w:type="dxa"/>
            <w:tcBorders>
              <w:tl2br w:val="single" w:color="auto" w:sz="4" w:space="0"/>
            </w:tcBorders>
            <w:vAlign w:val="center"/>
          </w:tcPr>
          <w:p w14:paraId="2FB92862">
            <w:pPr>
              <w:pStyle w:val="276"/>
              <w:rPr>
                <w:color w:val="auto"/>
              </w:rPr>
            </w:pPr>
            <w:r>
              <w:rPr>
                <w:rFonts w:hint="eastAsia"/>
                <w:color w:val="auto"/>
              </w:rPr>
              <w:t>环境敏感程度项目类别</w:t>
            </w:r>
          </w:p>
        </w:tc>
        <w:tc>
          <w:tcPr>
            <w:tcW w:w="1755" w:type="dxa"/>
            <w:vAlign w:val="center"/>
          </w:tcPr>
          <w:p w14:paraId="3463A631">
            <w:pPr>
              <w:pStyle w:val="276"/>
              <w:rPr>
                <w:color w:val="auto"/>
              </w:rPr>
            </w:pPr>
            <w:r>
              <w:rPr>
                <w:rFonts w:hint="eastAsia" w:ascii="宋体" w:hAnsi="宋体" w:cs="宋体"/>
                <w:color w:val="auto"/>
              </w:rPr>
              <w:t>Ⅰ</w:t>
            </w:r>
            <w:r>
              <w:rPr>
                <w:rFonts w:hint="eastAsia"/>
                <w:color w:val="auto"/>
              </w:rPr>
              <w:t>类项目</w:t>
            </w:r>
          </w:p>
        </w:tc>
        <w:tc>
          <w:tcPr>
            <w:tcW w:w="2102" w:type="dxa"/>
            <w:vAlign w:val="center"/>
          </w:tcPr>
          <w:p w14:paraId="406E76B8">
            <w:pPr>
              <w:pStyle w:val="276"/>
              <w:rPr>
                <w:color w:val="auto"/>
              </w:rPr>
            </w:pPr>
            <w:r>
              <w:rPr>
                <w:rFonts w:hint="eastAsia" w:ascii="宋体" w:hAnsi="宋体" w:cs="宋体"/>
                <w:color w:val="auto"/>
              </w:rPr>
              <w:t>Ⅱ</w:t>
            </w:r>
            <w:r>
              <w:rPr>
                <w:rFonts w:hint="eastAsia"/>
                <w:color w:val="auto"/>
              </w:rPr>
              <w:t>类项目</w:t>
            </w:r>
          </w:p>
        </w:tc>
        <w:tc>
          <w:tcPr>
            <w:tcW w:w="2212" w:type="dxa"/>
            <w:vAlign w:val="center"/>
          </w:tcPr>
          <w:p w14:paraId="219E2314">
            <w:pPr>
              <w:pStyle w:val="276"/>
              <w:rPr>
                <w:color w:val="auto"/>
              </w:rPr>
            </w:pPr>
            <w:r>
              <w:rPr>
                <w:rFonts w:hint="eastAsia" w:ascii="宋体" w:hAnsi="宋体" w:cs="宋体"/>
                <w:color w:val="auto"/>
              </w:rPr>
              <w:t>Ⅲ</w:t>
            </w:r>
            <w:r>
              <w:rPr>
                <w:rFonts w:hint="eastAsia"/>
                <w:color w:val="auto"/>
              </w:rPr>
              <w:t>类项目</w:t>
            </w:r>
          </w:p>
        </w:tc>
      </w:tr>
      <w:tr w14:paraId="3F1FB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exact"/>
          <w:jc w:val="center"/>
        </w:trPr>
        <w:tc>
          <w:tcPr>
            <w:tcW w:w="3217" w:type="dxa"/>
            <w:vAlign w:val="center"/>
          </w:tcPr>
          <w:p w14:paraId="62687D8C">
            <w:pPr>
              <w:pStyle w:val="276"/>
              <w:rPr>
                <w:color w:val="auto"/>
              </w:rPr>
            </w:pPr>
            <w:r>
              <w:rPr>
                <w:rFonts w:hint="eastAsia"/>
                <w:color w:val="auto"/>
              </w:rPr>
              <w:t>敏感</w:t>
            </w:r>
          </w:p>
        </w:tc>
        <w:tc>
          <w:tcPr>
            <w:tcW w:w="1755" w:type="dxa"/>
            <w:vAlign w:val="center"/>
          </w:tcPr>
          <w:p w14:paraId="4284C010">
            <w:pPr>
              <w:pStyle w:val="276"/>
              <w:rPr>
                <w:color w:val="auto"/>
              </w:rPr>
            </w:pPr>
            <w:r>
              <w:rPr>
                <w:rFonts w:hint="eastAsia"/>
                <w:color w:val="auto"/>
              </w:rPr>
              <w:t>一</w:t>
            </w:r>
          </w:p>
        </w:tc>
        <w:tc>
          <w:tcPr>
            <w:tcW w:w="2102" w:type="dxa"/>
            <w:vAlign w:val="center"/>
          </w:tcPr>
          <w:p w14:paraId="515472EA">
            <w:pPr>
              <w:pStyle w:val="276"/>
              <w:rPr>
                <w:color w:val="auto"/>
              </w:rPr>
            </w:pPr>
            <w:r>
              <w:rPr>
                <w:rFonts w:hint="eastAsia"/>
                <w:color w:val="auto"/>
              </w:rPr>
              <w:t>一</w:t>
            </w:r>
          </w:p>
        </w:tc>
        <w:tc>
          <w:tcPr>
            <w:tcW w:w="2212" w:type="dxa"/>
            <w:vAlign w:val="center"/>
          </w:tcPr>
          <w:p w14:paraId="1B23F2F5">
            <w:pPr>
              <w:pStyle w:val="276"/>
              <w:rPr>
                <w:color w:val="auto"/>
              </w:rPr>
            </w:pPr>
            <w:r>
              <w:rPr>
                <w:rFonts w:hint="eastAsia"/>
                <w:color w:val="auto"/>
              </w:rPr>
              <w:t>二</w:t>
            </w:r>
          </w:p>
        </w:tc>
      </w:tr>
      <w:tr w14:paraId="6F72F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exact"/>
          <w:jc w:val="center"/>
        </w:trPr>
        <w:tc>
          <w:tcPr>
            <w:tcW w:w="3217" w:type="dxa"/>
            <w:vAlign w:val="center"/>
          </w:tcPr>
          <w:p w14:paraId="00E3C7BC">
            <w:pPr>
              <w:pStyle w:val="276"/>
              <w:rPr>
                <w:color w:val="auto"/>
              </w:rPr>
            </w:pPr>
            <w:r>
              <w:rPr>
                <w:rFonts w:hint="eastAsia"/>
                <w:color w:val="auto"/>
              </w:rPr>
              <w:t>较敏感</w:t>
            </w:r>
          </w:p>
        </w:tc>
        <w:tc>
          <w:tcPr>
            <w:tcW w:w="1755" w:type="dxa"/>
            <w:vAlign w:val="center"/>
          </w:tcPr>
          <w:p w14:paraId="12F149C5">
            <w:pPr>
              <w:pStyle w:val="276"/>
              <w:rPr>
                <w:color w:val="auto"/>
              </w:rPr>
            </w:pPr>
            <w:r>
              <w:rPr>
                <w:rFonts w:hint="eastAsia"/>
                <w:color w:val="auto"/>
              </w:rPr>
              <w:t>一</w:t>
            </w:r>
          </w:p>
        </w:tc>
        <w:tc>
          <w:tcPr>
            <w:tcW w:w="2102" w:type="dxa"/>
            <w:vAlign w:val="center"/>
          </w:tcPr>
          <w:p w14:paraId="0C1873D4">
            <w:pPr>
              <w:pStyle w:val="276"/>
              <w:rPr>
                <w:color w:val="auto"/>
              </w:rPr>
            </w:pPr>
            <w:r>
              <w:rPr>
                <w:rFonts w:hint="eastAsia"/>
                <w:color w:val="auto"/>
              </w:rPr>
              <w:t>二</w:t>
            </w:r>
          </w:p>
        </w:tc>
        <w:tc>
          <w:tcPr>
            <w:tcW w:w="2212" w:type="dxa"/>
            <w:vAlign w:val="center"/>
          </w:tcPr>
          <w:p w14:paraId="1BADAC36">
            <w:pPr>
              <w:pStyle w:val="276"/>
              <w:rPr>
                <w:color w:val="auto"/>
              </w:rPr>
            </w:pPr>
            <w:r>
              <w:rPr>
                <w:rFonts w:hint="eastAsia"/>
                <w:color w:val="auto"/>
              </w:rPr>
              <w:t>三</w:t>
            </w:r>
          </w:p>
        </w:tc>
      </w:tr>
      <w:tr w14:paraId="4A38E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exact"/>
          <w:jc w:val="center"/>
        </w:trPr>
        <w:tc>
          <w:tcPr>
            <w:tcW w:w="3217" w:type="dxa"/>
            <w:vAlign w:val="center"/>
          </w:tcPr>
          <w:p w14:paraId="190924AB">
            <w:pPr>
              <w:pStyle w:val="276"/>
              <w:rPr>
                <w:color w:val="auto"/>
              </w:rPr>
            </w:pPr>
            <w:r>
              <w:rPr>
                <w:rFonts w:hint="eastAsia"/>
                <w:color w:val="auto"/>
              </w:rPr>
              <w:t>不敏感</w:t>
            </w:r>
          </w:p>
        </w:tc>
        <w:tc>
          <w:tcPr>
            <w:tcW w:w="1755" w:type="dxa"/>
            <w:vAlign w:val="center"/>
          </w:tcPr>
          <w:p w14:paraId="7B7FF3FF">
            <w:pPr>
              <w:pStyle w:val="276"/>
              <w:rPr>
                <w:color w:val="auto"/>
              </w:rPr>
            </w:pPr>
            <w:r>
              <w:rPr>
                <w:rFonts w:hint="eastAsia"/>
                <w:color w:val="auto"/>
              </w:rPr>
              <w:t>二</w:t>
            </w:r>
          </w:p>
        </w:tc>
        <w:tc>
          <w:tcPr>
            <w:tcW w:w="2102" w:type="dxa"/>
            <w:vAlign w:val="center"/>
          </w:tcPr>
          <w:p w14:paraId="7CF8559A">
            <w:pPr>
              <w:pStyle w:val="276"/>
              <w:rPr>
                <w:color w:val="auto"/>
              </w:rPr>
            </w:pPr>
            <w:r>
              <w:rPr>
                <w:rFonts w:hint="eastAsia"/>
                <w:color w:val="auto"/>
              </w:rPr>
              <w:t>三</w:t>
            </w:r>
          </w:p>
        </w:tc>
        <w:tc>
          <w:tcPr>
            <w:tcW w:w="2212" w:type="dxa"/>
            <w:vAlign w:val="center"/>
          </w:tcPr>
          <w:p w14:paraId="54AE69F3">
            <w:pPr>
              <w:pStyle w:val="276"/>
              <w:rPr>
                <w:color w:val="auto"/>
              </w:rPr>
            </w:pPr>
            <w:r>
              <w:rPr>
                <w:rFonts w:hint="eastAsia"/>
                <w:color w:val="auto"/>
              </w:rPr>
              <w:t>三</w:t>
            </w:r>
          </w:p>
        </w:tc>
      </w:tr>
    </w:tbl>
    <w:p w14:paraId="5767C109">
      <w:pPr>
        <w:spacing w:line="360" w:lineRule="auto"/>
        <w:ind w:firstLine="480"/>
        <w:rPr>
          <w:color w:val="auto"/>
          <w:szCs w:val="24"/>
        </w:rPr>
      </w:pPr>
    </w:p>
    <w:p w14:paraId="098B6B08">
      <w:pPr>
        <w:spacing w:line="360" w:lineRule="auto"/>
        <w:ind w:firstLine="480"/>
        <w:rPr>
          <w:color w:val="auto"/>
          <w:szCs w:val="24"/>
        </w:rPr>
      </w:pPr>
      <w:r>
        <w:rPr>
          <w:rFonts w:hint="eastAsia"/>
          <w:color w:val="auto"/>
          <w:szCs w:val="24"/>
        </w:rPr>
        <w:t>项目</w:t>
      </w:r>
      <w:r>
        <w:rPr>
          <w:rFonts w:hint="eastAsia"/>
          <w:color w:val="auto"/>
          <w:szCs w:val="24"/>
          <w:lang w:val="en-US" w:eastAsia="zh-CN"/>
        </w:rPr>
        <w:t>所在区域</w:t>
      </w:r>
      <w:r>
        <w:rPr>
          <w:color w:val="auto"/>
          <w:szCs w:val="24"/>
        </w:rPr>
        <w:t>地下水</w:t>
      </w:r>
      <w:r>
        <w:rPr>
          <w:rFonts w:hint="eastAsia"/>
          <w:color w:val="auto"/>
          <w:szCs w:val="24"/>
        </w:rPr>
        <w:t>向</w:t>
      </w:r>
      <w:r>
        <w:rPr>
          <w:rFonts w:hint="eastAsia"/>
          <w:color w:val="auto"/>
          <w:szCs w:val="24"/>
          <w:lang w:val="en-US" w:eastAsia="zh-CN"/>
        </w:rPr>
        <w:t>西</w:t>
      </w:r>
      <w:r>
        <w:rPr>
          <w:rFonts w:hint="eastAsia"/>
          <w:color w:val="auto"/>
          <w:szCs w:val="24"/>
        </w:rPr>
        <w:t>排泄进入</w:t>
      </w:r>
      <w:r>
        <w:rPr>
          <w:rFonts w:hint="eastAsia"/>
          <w:color w:val="auto"/>
          <w:szCs w:val="24"/>
          <w:lang w:eastAsia="zh-CN"/>
        </w:rPr>
        <w:t>长江</w:t>
      </w:r>
      <w:r>
        <w:rPr>
          <w:rFonts w:hint="eastAsia"/>
          <w:color w:val="auto"/>
          <w:szCs w:val="24"/>
        </w:rPr>
        <w:t>，该范围内无居民自备水井等保护目标，地下水</w:t>
      </w:r>
      <w:r>
        <w:rPr>
          <w:color w:val="auto"/>
          <w:szCs w:val="24"/>
        </w:rPr>
        <w:t>环境不敏感，</w:t>
      </w:r>
    </w:p>
    <w:p w14:paraId="5171A242">
      <w:pPr>
        <w:spacing w:line="360" w:lineRule="auto"/>
        <w:ind w:firstLine="480"/>
        <w:rPr>
          <w:rFonts w:hint="eastAsia"/>
          <w:color w:val="auto"/>
          <w:szCs w:val="24"/>
          <w:lang w:eastAsia="zh-CN"/>
        </w:rPr>
      </w:pPr>
      <w:r>
        <w:rPr>
          <w:color w:val="auto"/>
          <w:szCs w:val="24"/>
        </w:rPr>
        <w:t>根</w:t>
      </w:r>
      <w:r>
        <w:rPr>
          <w:color w:val="auto"/>
        </w:rPr>
        <w:t>据地下水环境影响评价行业分类，拟建项目为工业废水集中处理类项目，编制报告</w:t>
      </w:r>
      <w:r>
        <w:rPr>
          <w:color w:val="auto"/>
          <w:szCs w:val="24"/>
        </w:rPr>
        <w:t>书，属于</w:t>
      </w:r>
      <w:r>
        <w:rPr>
          <w:rFonts w:hint="eastAsia" w:ascii="宋体" w:hAnsi="宋体" w:cs="宋体"/>
          <w:color w:val="auto"/>
          <w:szCs w:val="24"/>
        </w:rPr>
        <w:t>Ⅰ</w:t>
      </w:r>
      <w:r>
        <w:rPr>
          <w:color w:val="auto"/>
          <w:szCs w:val="24"/>
        </w:rPr>
        <w:t>类项目；拟建项目所在区域不属于集中式饮用水水源准保护区、补给径流区、分散式饮用水水源地、特殊地下水资源保护区及国家或地方政府设定与地下水环境相关的其他保护区</w:t>
      </w:r>
      <w:r>
        <w:rPr>
          <w:rFonts w:hint="eastAsia"/>
          <w:color w:val="auto"/>
          <w:szCs w:val="24"/>
          <w:lang w:eastAsia="zh-CN"/>
        </w:rPr>
        <w:t>。</w:t>
      </w:r>
      <w:r>
        <w:rPr>
          <w:rFonts w:hint="eastAsia"/>
          <w:color w:val="auto"/>
          <w:szCs w:val="24"/>
        </w:rPr>
        <w:t>自来水管网已经覆盖周边区域，周边居民不再饮用地下水</w:t>
      </w:r>
      <w:r>
        <w:rPr>
          <w:rFonts w:hint="eastAsia"/>
          <w:color w:val="auto"/>
          <w:szCs w:val="24"/>
          <w:lang w:eastAsia="zh-CN"/>
        </w:rPr>
        <w:t>。</w:t>
      </w:r>
      <w:r>
        <w:rPr>
          <w:rFonts w:hint="eastAsia"/>
          <w:color w:val="auto"/>
          <w:szCs w:val="24"/>
        </w:rPr>
        <w:t>因此，项目周边地下水环境敏感程度为不敏感</w:t>
      </w:r>
      <w:r>
        <w:rPr>
          <w:rFonts w:hint="eastAsia"/>
          <w:color w:val="auto"/>
          <w:szCs w:val="24"/>
          <w:lang w:eastAsia="zh-CN"/>
        </w:rPr>
        <w:t>。</w:t>
      </w:r>
    </w:p>
    <w:p w14:paraId="667C392A">
      <w:pPr>
        <w:spacing w:line="360" w:lineRule="auto"/>
        <w:ind w:firstLine="480"/>
        <w:rPr>
          <w:color w:val="auto"/>
          <w:szCs w:val="24"/>
        </w:rPr>
      </w:pPr>
      <w:r>
        <w:rPr>
          <w:rFonts w:hint="eastAsia"/>
          <w:color w:val="auto"/>
          <w:szCs w:val="24"/>
        </w:rPr>
        <w:t>综上，根据《环境影响评价技术导则 地下水环境》（HJ 610-2016），确定拟建项目地下水评价等级为二级</w:t>
      </w:r>
      <w:r>
        <w:rPr>
          <w:color w:val="auto"/>
          <w:szCs w:val="24"/>
        </w:rPr>
        <w:t>。</w:t>
      </w:r>
    </w:p>
    <w:p w14:paraId="48250490">
      <w:pPr>
        <w:spacing w:line="360" w:lineRule="auto"/>
        <w:ind w:firstLine="480"/>
        <w:rPr>
          <w:color w:val="auto"/>
          <w:szCs w:val="24"/>
        </w:rPr>
      </w:pPr>
      <w:r>
        <w:rPr>
          <w:rFonts w:hint="eastAsia"/>
          <w:color w:val="auto"/>
          <w:szCs w:val="24"/>
        </w:rPr>
        <w:t>评价范围为</w:t>
      </w:r>
      <w:r>
        <w:rPr>
          <w:rFonts w:hint="eastAsia"/>
          <w:color w:val="auto"/>
          <w:szCs w:val="24"/>
          <w:lang w:val="en-US" w:eastAsia="zh-CN"/>
        </w:rPr>
        <w:t>项目所在的水文地质单元，</w:t>
      </w:r>
      <w:r>
        <w:rPr>
          <w:rFonts w:hint="eastAsia"/>
          <w:color w:val="auto"/>
          <w:szCs w:val="24"/>
        </w:rPr>
        <w:t>以</w:t>
      </w:r>
      <w:r>
        <w:rPr>
          <w:rFonts w:hint="eastAsia"/>
          <w:color w:val="auto"/>
          <w:szCs w:val="24"/>
          <w:lang w:eastAsia="zh-CN"/>
        </w:rPr>
        <w:t>长江</w:t>
      </w:r>
      <w:r>
        <w:rPr>
          <w:rFonts w:hint="eastAsia"/>
          <w:color w:val="auto"/>
          <w:szCs w:val="24"/>
        </w:rPr>
        <w:t>及周边低矮丘陵形成的分水岭为界形成的面积约为</w:t>
      </w:r>
      <w:r>
        <w:rPr>
          <w:rFonts w:hint="eastAsia"/>
          <w:color w:val="auto"/>
          <w:szCs w:val="24"/>
          <w:lang w:val="en-US" w:eastAsia="zh-CN"/>
        </w:rPr>
        <w:t>15.0</w:t>
      </w:r>
      <w:r>
        <w:rPr>
          <w:rFonts w:hint="eastAsia"/>
          <w:color w:val="auto"/>
          <w:szCs w:val="24"/>
        </w:rPr>
        <w:t>k</w:t>
      </w:r>
      <w:r>
        <w:rPr>
          <w:color w:val="auto"/>
          <w:szCs w:val="24"/>
        </w:rPr>
        <w:t>m</w:t>
      </w:r>
      <w:r>
        <w:rPr>
          <w:rFonts w:hint="eastAsia"/>
          <w:color w:val="auto"/>
          <w:szCs w:val="24"/>
          <w:vertAlign w:val="superscript"/>
        </w:rPr>
        <w:t>2</w:t>
      </w:r>
      <w:r>
        <w:rPr>
          <w:rFonts w:hint="eastAsia"/>
          <w:color w:val="auto"/>
          <w:szCs w:val="24"/>
        </w:rPr>
        <w:t xml:space="preserve"> 的独立水文地质单元。项目地下水评价范围不涉及地下水饮用水源等环境敏感区。</w:t>
      </w:r>
    </w:p>
    <w:p w14:paraId="0A89A51D">
      <w:pPr>
        <w:pStyle w:val="5"/>
        <w:numPr>
          <w:ilvl w:val="0"/>
          <w:numId w:val="0"/>
        </w:numPr>
        <w:spacing w:line="360" w:lineRule="auto"/>
        <w:rPr>
          <w:color w:val="auto"/>
          <w:szCs w:val="24"/>
        </w:rPr>
      </w:pPr>
      <w:r>
        <w:rPr>
          <w:rFonts w:hint="eastAsia"/>
          <w:color w:val="auto"/>
          <w:szCs w:val="24"/>
          <w:lang w:eastAsia="zh-CN"/>
        </w:rPr>
        <w:t>2.7</w:t>
      </w:r>
      <w:r>
        <w:rPr>
          <w:color w:val="auto"/>
          <w:szCs w:val="24"/>
        </w:rPr>
        <w:t>.4噪声</w:t>
      </w:r>
    </w:p>
    <w:p w14:paraId="7F5BA6F1">
      <w:pPr>
        <w:spacing w:line="360" w:lineRule="auto"/>
        <w:ind w:firstLine="480"/>
        <w:rPr>
          <w:color w:val="auto"/>
          <w:szCs w:val="24"/>
        </w:rPr>
      </w:pPr>
      <w:r>
        <w:rPr>
          <w:color w:val="auto"/>
          <w:szCs w:val="24"/>
        </w:rPr>
        <w:t>拟建项目</w:t>
      </w:r>
      <w:r>
        <w:rPr>
          <w:rFonts w:hint="eastAsia"/>
          <w:color w:val="auto"/>
          <w:szCs w:val="24"/>
        </w:rPr>
        <w:t>位于声环境质量3</w:t>
      </w:r>
      <w:r>
        <w:rPr>
          <w:color w:val="auto"/>
          <w:szCs w:val="24"/>
        </w:rPr>
        <w:t>类功能区</w:t>
      </w:r>
      <w:r>
        <w:rPr>
          <w:rFonts w:hint="eastAsia"/>
          <w:color w:val="auto"/>
          <w:szCs w:val="24"/>
        </w:rPr>
        <w:t>，</w:t>
      </w:r>
      <w:r>
        <w:rPr>
          <w:color w:val="auto"/>
          <w:szCs w:val="24"/>
        </w:rPr>
        <w:t>项目建设前后评价范围内敏感目标噪声级增高量在3dB(A</w:t>
      </w:r>
      <w:r>
        <w:rPr>
          <w:rFonts w:hint="eastAsia"/>
          <w:color w:val="auto"/>
          <w:szCs w:val="24"/>
          <w:lang w:eastAsia="zh-CN"/>
        </w:rPr>
        <w:t>）</w:t>
      </w:r>
      <w:r>
        <w:rPr>
          <w:color w:val="auto"/>
          <w:szCs w:val="24"/>
        </w:rPr>
        <w:t>以下，且厂址周围受噪声影响人口变化不大。根据《环境影响评价技术导则 声环境》（HJ2.4-2021），声环境影响评价等级确定为三级。</w:t>
      </w:r>
    </w:p>
    <w:p w14:paraId="1485982E">
      <w:pPr>
        <w:pStyle w:val="5"/>
        <w:numPr>
          <w:ilvl w:val="0"/>
          <w:numId w:val="0"/>
        </w:numPr>
        <w:spacing w:line="360" w:lineRule="auto"/>
        <w:rPr>
          <w:color w:val="auto"/>
          <w:szCs w:val="24"/>
        </w:rPr>
      </w:pPr>
      <w:r>
        <w:rPr>
          <w:rFonts w:hint="eastAsia"/>
          <w:color w:val="auto"/>
          <w:szCs w:val="24"/>
          <w:lang w:eastAsia="zh-CN"/>
        </w:rPr>
        <w:t>2.7</w:t>
      </w:r>
      <w:r>
        <w:rPr>
          <w:color w:val="auto"/>
          <w:szCs w:val="24"/>
        </w:rPr>
        <w:t>.5生态环境</w:t>
      </w:r>
    </w:p>
    <w:p w14:paraId="0C341276">
      <w:pPr>
        <w:spacing w:line="360" w:lineRule="auto"/>
        <w:ind w:firstLine="480"/>
        <w:rPr>
          <w:color w:val="auto"/>
          <w:szCs w:val="24"/>
          <w:lang w:val="fr-FR"/>
        </w:rPr>
      </w:pPr>
      <w:r>
        <w:rPr>
          <w:rFonts w:hint="eastAsia"/>
          <w:color w:val="auto"/>
          <w:szCs w:val="24"/>
        </w:rPr>
        <w:t>根据《环境影响评价技术导则-生态影响》（HJ 19-2022），项目为的污染类建设项目，符合生态环境分区管控要求且位于已批准规划环评的产业园区（</w:t>
      </w:r>
      <w:r>
        <w:rPr>
          <w:rFonts w:hint="eastAsia"/>
          <w:color w:val="auto"/>
          <w:szCs w:val="24"/>
          <w:lang w:eastAsia="zh-CN"/>
        </w:rPr>
        <w:t>重庆忠县工业园乌杨组团</w:t>
      </w:r>
      <w:r>
        <w:rPr>
          <w:rFonts w:hint="eastAsia"/>
          <w:color w:val="auto"/>
          <w:szCs w:val="24"/>
        </w:rPr>
        <w:t>）内且符合规划环评要求、不涉及生态敏感区，可不确定评价等级，直接进行生态影响简单分析。</w:t>
      </w:r>
    </w:p>
    <w:p w14:paraId="5E1416E5">
      <w:pPr>
        <w:pStyle w:val="5"/>
        <w:numPr>
          <w:ilvl w:val="0"/>
          <w:numId w:val="0"/>
        </w:numPr>
        <w:spacing w:line="360" w:lineRule="auto"/>
        <w:rPr>
          <w:color w:val="auto"/>
          <w:szCs w:val="24"/>
        </w:rPr>
      </w:pPr>
      <w:r>
        <w:rPr>
          <w:rFonts w:hint="eastAsia"/>
          <w:color w:val="auto"/>
          <w:szCs w:val="24"/>
          <w:lang w:eastAsia="zh-CN"/>
        </w:rPr>
        <w:t>2.7</w:t>
      </w:r>
      <w:r>
        <w:rPr>
          <w:color w:val="auto"/>
          <w:szCs w:val="24"/>
        </w:rPr>
        <w:t>.6</w:t>
      </w:r>
      <w:r>
        <w:rPr>
          <w:rFonts w:hint="eastAsia"/>
          <w:color w:val="auto"/>
          <w:szCs w:val="24"/>
        </w:rPr>
        <w:t>土壤</w:t>
      </w:r>
    </w:p>
    <w:p w14:paraId="0A5ECDE3">
      <w:pPr>
        <w:spacing w:line="360" w:lineRule="auto"/>
        <w:ind w:firstLine="480"/>
        <w:rPr>
          <w:color w:val="auto"/>
        </w:rPr>
      </w:pPr>
      <w:r>
        <w:rPr>
          <w:rFonts w:hint="eastAsia"/>
          <w:color w:val="auto"/>
          <w:szCs w:val="24"/>
        </w:rPr>
        <w:t>拟建项目为《环境影响评价技术导则土壤环境（试行）》（HJ 964—2018）附录 A 中的</w:t>
      </w:r>
      <w:r>
        <w:rPr>
          <w:color w:val="auto"/>
          <w:szCs w:val="24"/>
        </w:rPr>
        <w:fldChar w:fldCharType="begin"/>
      </w:r>
      <w:r>
        <w:rPr>
          <w:rFonts w:hint="eastAsia"/>
          <w:color w:val="auto"/>
          <w:szCs w:val="24"/>
        </w:rPr>
        <w:instrText xml:space="preserve">= 2 \* ROMAN</w:instrText>
      </w:r>
      <w:r>
        <w:rPr>
          <w:color w:val="auto"/>
          <w:szCs w:val="24"/>
        </w:rPr>
        <w:fldChar w:fldCharType="separate"/>
      </w:r>
      <w:r>
        <w:rPr>
          <w:color w:val="auto"/>
          <w:szCs w:val="24"/>
        </w:rPr>
        <w:t>II</w:t>
      </w:r>
      <w:r>
        <w:rPr>
          <w:color w:val="auto"/>
          <w:szCs w:val="24"/>
        </w:rPr>
        <w:fldChar w:fldCharType="end"/>
      </w:r>
      <w:r>
        <w:rPr>
          <w:rFonts w:hint="eastAsia"/>
          <w:color w:val="auto"/>
          <w:szCs w:val="24"/>
        </w:rPr>
        <w:t>类项目（电力热力燃气及水生产和供应业-工业废水处理），</w:t>
      </w:r>
      <w:r>
        <w:rPr>
          <w:color w:val="auto"/>
          <w:szCs w:val="24"/>
          <w:lang w:val="fr-FR"/>
        </w:rPr>
        <w:t>占地面积</w:t>
      </w:r>
      <w:r>
        <w:rPr>
          <w:rFonts w:hint="eastAsia"/>
          <w:color w:val="auto"/>
          <w:szCs w:val="24"/>
          <w:lang w:val="en-US" w:eastAsia="zh-CN"/>
        </w:rPr>
        <w:t>约</w:t>
      </w:r>
      <w:r>
        <w:rPr>
          <w:rFonts w:hint="eastAsia"/>
          <w:color w:val="auto"/>
          <w:szCs w:val="24"/>
          <w:lang w:val="fr-FR"/>
        </w:rPr>
        <w:t>为</w:t>
      </w:r>
      <w:r>
        <w:rPr>
          <w:rFonts w:hint="eastAsia"/>
          <w:color w:val="auto"/>
          <w:szCs w:val="24"/>
          <w:lang w:val="en-US" w:eastAsia="zh-CN"/>
        </w:rPr>
        <w:t>75</w:t>
      </w:r>
      <w:r>
        <w:rPr>
          <w:rFonts w:hint="eastAsia"/>
          <w:color w:val="auto"/>
          <w:szCs w:val="24"/>
          <w:lang w:val="fr-FR"/>
        </w:rPr>
        <w:t>00</w:t>
      </w:r>
      <w:r>
        <w:rPr>
          <w:color w:val="auto"/>
          <w:szCs w:val="24"/>
          <w:lang w:val="fr-FR"/>
        </w:rPr>
        <w:t>m</w:t>
      </w:r>
      <w:r>
        <w:rPr>
          <w:color w:val="auto"/>
          <w:szCs w:val="24"/>
          <w:vertAlign w:val="superscript"/>
          <w:lang w:val="fr-FR"/>
        </w:rPr>
        <w:t>2</w:t>
      </w:r>
      <w:r>
        <w:rPr>
          <w:rFonts w:hint="eastAsia"/>
          <w:color w:val="auto"/>
          <w:szCs w:val="24"/>
          <w:lang w:val="fr-FR"/>
        </w:rPr>
        <w:t>，小于5hm</w:t>
      </w:r>
      <w:r>
        <w:rPr>
          <w:color w:val="auto"/>
          <w:szCs w:val="24"/>
          <w:vertAlign w:val="superscript"/>
          <w:lang w:val="fr-FR"/>
        </w:rPr>
        <w:t>2</w:t>
      </w:r>
      <w:r>
        <w:rPr>
          <w:rFonts w:hint="eastAsia"/>
          <w:color w:val="auto"/>
          <w:szCs w:val="24"/>
          <w:lang w:val="fr-FR"/>
        </w:rPr>
        <w:t>，属于</w:t>
      </w:r>
      <w:r>
        <w:rPr>
          <w:rFonts w:hint="eastAsia"/>
          <w:color w:val="auto"/>
          <w:szCs w:val="24"/>
        </w:rPr>
        <w:t>小型污染型项目，项目选址位于工业园区内，且项目周边西侧及东北侧均为工业用地，东侧及南侧为园区道路及规划郊野绿地，因此考虑土壤环境为不敏感，根据《环境影响评价技术导则土壤环境（试行）》（HJ 964—2018）表 4 要求，评价工作等级定为三级</w:t>
      </w:r>
      <w:r>
        <w:rPr>
          <w:rFonts w:hint="eastAsia"/>
          <w:color w:val="auto"/>
        </w:rPr>
        <w:t>，</w:t>
      </w:r>
      <w:r>
        <w:rPr>
          <w:color w:val="auto"/>
        </w:rPr>
        <w:t>评价等级确定依据见</w:t>
      </w:r>
      <w:r>
        <w:rPr>
          <w:rFonts w:hint="eastAsia"/>
          <w:color w:val="auto"/>
        </w:rPr>
        <w:t>表</w:t>
      </w:r>
      <w:r>
        <w:rPr>
          <w:rFonts w:hint="eastAsia"/>
          <w:color w:val="auto"/>
          <w:lang w:eastAsia="zh-CN"/>
        </w:rPr>
        <w:t>2.7</w:t>
      </w:r>
      <w:r>
        <w:rPr>
          <w:rFonts w:hint="eastAsia"/>
          <w:color w:val="auto"/>
        </w:rPr>
        <w:t>-</w:t>
      </w:r>
      <w:r>
        <w:rPr>
          <w:color w:val="auto"/>
        </w:rPr>
        <w:t>7。</w:t>
      </w:r>
    </w:p>
    <w:p w14:paraId="57B882CD">
      <w:pPr>
        <w:adjustRightInd/>
        <w:snapToGrid/>
        <w:spacing w:line="360" w:lineRule="auto"/>
        <w:ind w:firstLine="0" w:firstLineChars="0"/>
        <w:jc w:val="center"/>
        <w:rPr>
          <w:b/>
          <w:color w:val="auto"/>
          <w:szCs w:val="22"/>
        </w:rPr>
      </w:pPr>
      <w:r>
        <w:rPr>
          <w:rFonts w:hint="eastAsia"/>
          <w:b/>
          <w:color w:val="auto"/>
          <w:szCs w:val="22"/>
        </w:rPr>
        <w:t>表</w:t>
      </w:r>
      <w:r>
        <w:rPr>
          <w:rFonts w:hint="eastAsia"/>
          <w:b/>
          <w:color w:val="auto"/>
          <w:szCs w:val="22"/>
          <w:lang w:eastAsia="zh-CN"/>
        </w:rPr>
        <w:t>2.7</w:t>
      </w:r>
      <w:r>
        <w:rPr>
          <w:rFonts w:hint="eastAsia"/>
          <w:b/>
          <w:color w:val="auto"/>
          <w:szCs w:val="22"/>
        </w:rPr>
        <w:t>-</w:t>
      </w:r>
      <w:r>
        <w:rPr>
          <w:b/>
          <w:color w:val="auto"/>
          <w:szCs w:val="22"/>
        </w:rPr>
        <w:t xml:space="preserve">7 </w:t>
      </w:r>
      <w:r>
        <w:rPr>
          <w:rFonts w:hint="eastAsia"/>
          <w:b/>
          <w:color w:val="auto"/>
          <w:szCs w:val="22"/>
        </w:rPr>
        <w:t>污染影响型评价工作等级划分</w:t>
      </w:r>
    </w:p>
    <w:tbl>
      <w:tblPr>
        <w:tblStyle w:val="8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906"/>
        <w:gridCol w:w="906"/>
        <w:gridCol w:w="906"/>
        <w:gridCol w:w="906"/>
        <w:gridCol w:w="906"/>
        <w:gridCol w:w="906"/>
        <w:gridCol w:w="906"/>
        <w:gridCol w:w="906"/>
        <w:gridCol w:w="906"/>
      </w:tblGrid>
      <w:tr w14:paraId="0277E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906" w:type="dxa"/>
            <w:vMerge w:val="restart"/>
            <w:shd w:val="clear" w:color="auto" w:fill="auto"/>
            <w:vAlign w:val="center"/>
          </w:tcPr>
          <w:p w14:paraId="6EDAADF9">
            <w:pPr>
              <w:spacing w:line="320" w:lineRule="exact"/>
              <w:ind w:firstLine="0" w:firstLineChars="0"/>
              <w:jc w:val="center"/>
              <w:rPr>
                <w:color w:val="auto"/>
                <w:sz w:val="20"/>
              </w:rPr>
            </w:pPr>
            <w:r>
              <w:rPr>
                <w:rFonts w:hint="eastAsia"/>
                <w:color w:val="auto"/>
                <w:sz w:val="20"/>
              </w:rPr>
              <w:t>敏感程度</w:t>
            </w:r>
          </w:p>
        </w:tc>
        <w:tc>
          <w:tcPr>
            <w:tcW w:w="2718" w:type="dxa"/>
            <w:gridSpan w:val="3"/>
            <w:shd w:val="clear" w:color="auto" w:fill="auto"/>
            <w:vAlign w:val="center"/>
          </w:tcPr>
          <w:p w14:paraId="2E032F99">
            <w:pPr>
              <w:spacing w:line="320" w:lineRule="exact"/>
              <w:ind w:firstLine="0" w:firstLineChars="0"/>
              <w:jc w:val="center"/>
              <w:rPr>
                <w:color w:val="auto"/>
                <w:sz w:val="20"/>
              </w:rPr>
            </w:pPr>
            <w:r>
              <w:rPr>
                <w:rFonts w:hint="eastAsia"/>
                <w:color w:val="auto"/>
                <w:sz w:val="20"/>
              </w:rPr>
              <w:t>I类项目</w:t>
            </w:r>
          </w:p>
        </w:tc>
        <w:tc>
          <w:tcPr>
            <w:tcW w:w="2718" w:type="dxa"/>
            <w:gridSpan w:val="3"/>
            <w:shd w:val="clear" w:color="auto" w:fill="auto"/>
            <w:vAlign w:val="center"/>
          </w:tcPr>
          <w:p w14:paraId="6D337DE7">
            <w:pPr>
              <w:spacing w:line="320" w:lineRule="exact"/>
              <w:ind w:firstLine="0" w:firstLineChars="0"/>
              <w:jc w:val="center"/>
              <w:rPr>
                <w:color w:val="auto"/>
                <w:sz w:val="20"/>
              </w:rPr>
            </w:pPr>
            <w:r>
              <w:rPr>
                <w:rFonts w:hint="eastAsia"/>
                <w:color w:val="auto"/>
                <w:sz w:val="20"/>
              </w:rPr>
              <w:t>II类项目</w:t>
            </w:r>
          </w:p>
        </w:tc>
        <w:tc>
          <w:tcPr>
            <w:tcW w:w="2718" w:type="dxa"/>
            <w:gridSpan w:val="3"/>
            <w:shd w:val="clear" w:color="auto" w:fill="auto"/>
            <w:vAlign w:val="center"/>
          </w:tcPr>
          <w:p w14:paraId="3BEF0689">
            <w:pPr>
              <w:spacing w:line="320" w:lineRule="exact"/>
              <w:ind w:firstLine="0" w:firstLineChars="0"/>
              <w:jc w:val="center"/>
              <w:rPr>
                <w:color w:val="auto"/>
                <w:sz w:val="20"/>
              </w:rPr>
            </w:pPr>
            <w:r>
              <w:rPr>
                <w:rFonts w:hint="eastAsia"/>
                <w:color w:val="auto"/>
                <w:sz w:val="20"/>
              </w:rPr>
              <w:t>III类项目</w:t>
            </w:r>
          </w:p>
        </w:tc>
      </w:tr>
      <w:tr w14:paraId="73B27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906" w:type="dxa"/>
            <w:vMerge w:val="continue"/>
            <w:shd w:val="clear" w:color="auto" w:fill="auto"/>
            <w:vAlign w:val="center"/>
          </w:tcPr>
          <w:p w14:paraId="45B44050">
            <w:pPr>
              <w:spacing w:line="320" w:lineRule="exact"/>
              <w:ind w:firstLine="0" w:firstLineChars="0"/>
              <w:jc w:val="center"/>
              <w:rPr>
                <w:color w:val="auto"/>
                <w:sz w:val="20"/>
              </w:rPr>
            </w:pPr>
          </w:p>
        </w:tc>
        <w:tc>
          <w:tcPr>
            <w:tcW w:w="906" w:type="dxa"/>
            <w:shd w:val="clear" w:color="auto" w:fill="auto"/>
            <w:vAlign w:val="center"/>
          </w:tcPr>
          <w:p w14:paraId="1EE7BD7B">
            <w:pPr>
              <w:spacing w:line="320" w:lineRule="exact"/>
              <w:ind w:firstLine="0" w:firstLineChars="0"/>
              <w:jc w:val="center"/>
              <w:rPr>
                <w:color w:val="auto"/>
                <w:sz w:val="20"/>
              </w:rPr>
            </w:pPr>
            <w:r>
              <w:rPr>
                <w:rFonts w:hint="eastAsia"/>
                <w:color w:val="auto"/>
                <w:sz w:val="20"/>
              </w:rPr>
              <w:t>大</w:t>
            </w:r>
          </w:p>
        </w:tc>
        <w:tc>
          <w:tcPr>
            <w:tcW w:w="906" w:type="dxa"/>
            <w:shd w:val="clear" w:color="auto" w:fill="auto"/>
            <w:vAlign w:val="center"/>
          </w:tcPr>
          <w:p w14:paraId="2D77EF85">
            <w:pPr>
              <w:spacing w:line="320" w:lineRule="exact"/>
              <w:ind w:firstLine="0" w:firstLineChars="0"/>
              <w:jc w:val="center"/>
              <w:rPr>
                <w:color w:val="auto"/>
                <w:sz w:val="20"/>
              </w:rPr>
            </w:pPr>
            <w:r>
              <w:rPr>
                <w:rFonts w:hint="eastAsia"/>
                <w:color w:val="auto"/>
                <w:sz w:val="20"/>
              </w:rPr>
              <w:t>中</w:t>
            </w:r>
          </w:p>
        </w:tc>
        <w:tc>
          <w:tcPr>
            <w:tcW w:w="906" w:type="dxa"/>
            <w:shd w:val="clear" w:color="auto" w:fill="auto"/>
            <w:vAlign w:val="center"/>
          </w:tcPr>
          <w:p w14:paraId="510AF9D7">
            <w:pPr>
              <w:spacing w:line="320" w:lineRule="exact"/>
              <w:ind w:firstLine="0" w:firstLineChars="0"/>
              <w:jc w:val="center"/>
              <w:rPr>
                <w:color w:val="auto"/>
                <w:sz w:val="20"/>
              </w:rPr>
            </w:pPr>
            <w:r>
              <w:rPr>
                <w:rFonts w:hint="eastAsia"/>
                <w:color w:val="auto"/>
                <w:sz w:val="20"/>
              </w:rPr>
              <w:t>小</w:t>
            </w:r>
          </w:p>
        </w:tc>
        <w:tc>
          <w:tcPr>
            <w:tcW w:w="906" w:type="dxa"/>
            <w:shd w:val="clear" w:color="auto" w:fill="auto"/>
            <w:vAlign w:val="center"/>
          </w:tcPr>
          <w:p w14:paraId="0C49AD53">
            <w:pPr>
              <w:spacing w:line="320" w:lineRule="exact"/>
              <w:ind w:firstLine="0" w:firstLineChars="0"/>
              <w:jc w:val="center"/>
              <w:rPr>
                <w:color w:val="auto"/>
                <w:sz w:val="20"/>
              </w:rPr>
            </w:pPr>
            <w:r>
              <w:rPr>
                <w:rFonts w:hint="eastAsia"/>
                <w:color w:val="auto"/>
                <w:sz w:val="20"/>
              </w:rPr>
              <w:t>大</w:t>
            </w:r>
          </w:p>
        </w:tc>
        <w:tc>
          <w:tcPr>
            <w:tcW w:w="906" w:type="dxa"/>
            <w:shd w:val="clear" w:color="auto" w:fill="auto"/>
            <w:vAlign w:val="center"/>
          </w:tcPr>
          <w:p w14:paraId="30855D89">
            <w:pPr>
              <w:spacing w:line="320" w:lineRule="exact"/>
              <w:ind w:firstLine="0" w:firstLineChars="0"/>
              <w:jc w:val="center"/>
              <w:rPr>
                <w:color w:val="auto"/>
                <w:sz w:val="20"/>
              </w:rPr>
            </w:pPr>
            <w:r>
              <w:rPr>
                <w:rFonts w:hint="eastAsia"/>
                <w:color w:val="auto"/>
                <w:sz w:val="20"/>
              </w:rPr>
              <w:t>中</w:t>
            </w:r>
          </w:p>
        </w:tc>
        <w:tc>
          <w:tcPr>
            <w:tcW w:w="906" w:type="dxa"/>
            <w:shd w:val="clear" w:color="auto" w:fill="auto"/>
            <w:vAlign w:val="center"/>
          </w:tcPr>
          <w:p w14:paraId="4DAE1AD2">
            <w:pPr>
              <w:spacing w:line="320" w:lineRule="exact"/>
              <w:ind w:firstLine="0" w:firstLineChars="0"/>
              <w:jc w:val="center"/>
              <w:rPr>
                <w:color w:val="auto"/>
                <w:sz w:val="20"/>
              </w:rPr>
            </w:pPr>
            <w:r>
              <w:rPr>
                <w:rFonts w:hint="eastAsia"/>
                <w:color w:val="auto"/>
                <w:sz w:val="20"/>
              </w:rPr>
              <w:t>小</w:t>
            </w:r>
          </w:p>
        </w:tc>
        <w:tc>
          <w:tcPr>
            <w:tcW w:w="906" w:type="dxa"/>
            <w:shd w:val="clear" w:color="auto" w:fill="auto"/>
            <w:vAlign w:val="center"/>
          </w:tcPr>
          <w:p w14:paraId="2DB1778C">
            <w:pPr>
              <w:spacing w:line="320" w:lineRule="exact"/>
              <w:ind w:firstLine="0" w:firstLineChars="0"/>
              <w:jc w:val="center"/>
              <w:rPr>
                <w:color w:val="auto"/>
                <w:sz w:val="20"/>
              </w:rPr>
            </w:pPr>
            <w:r>
              <w:rPr>
                <w:rFonts w:hint="eastAsia"/>
                <w:color w:val="auto"/>
                <w:sz w:val="20"/>
              </w:rPr>
              <w:t>大</w:t>
            </w:r>
          </w:p>
        </w:tc>
        <w:tc>
          <w:tcPr>
            <w:tcW w:w="906" w:type="dxa"/>
            <w:shd w:val="clear" w:color="auto" w:fill="auto"/>
            <w:vAlign w:val="center"/>
          </w:tcPr>
          <w:p w14:paraId="04CF8FF5">
            <w:pPr>
              <w:spacing w:line="320" w:lineRule="exact"/>
              <w:ind w:firstLine="0" w:firstLineChars="0"/>
              <w:jc w:val="center"/>
              <w:rPr>
                <w:color w:val="auto"/>
                <w:sz w:val="20"/>
              </w:rPr>
            </w:pPr>
            <w:r>
              <w:rPr>
                <w:rFonts w:hint="eastAsia"/>
                <w:color w:val="auto"/>
                <w:sz w:val="20"/>
              </w:rPr>
              <w:t>中</w:t>
            </w:r>
          </w:p>
        </w:tc>
        <w:tc>
          <w:tcPr>
            <w:tcW w:w="906" w:type="dxa"/>
            <w:shd w:val="clear" w:color="auto" w:fill="auto"/>
            <w:vAlign w:val="center"/>
          </w:tcPr>
          <w:p w14:paraId="1CACF6AE">
            <w:pPr>
              <w:spacing w:line="320" w:lineRule="exact"/>
              <w:ind w:firstLine="0" w:firstLineChars="0"/>
              <w:jc w:val="center"/>
              <w:rPr>
                <w:color w:val="auto"/>
                <w:sz w:val="20"/>
              </w:rPr>
            </w:pPr>
            <w:r>
              <w:rPr>
                <w:rFonts w:hint="eastAsia"/>
                <w:color w:val="auto"/>
                <w:sz w:val="20"/>
              </w:rPr>
              <w:t>小</w:t>
            </w:r>
          </w:p>
        </w:tc>
      </w:tr>
      <w:tr w14:paraId="57A85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6" w:type="dxa"/>
            <w:shd w:val="clear" w:color="auto" w:fill="auto"/>
            <w:vAlign w:val="center"/>
          </w:tcPr>
          <w:p w14:paraId="57272095">
            <w:pPr>
              <w:spacing w:line="320" w:lineRule="exact"/>
              <w:ind w:firstLine="0" w:firstLineChars="0"/>
              <w:jc w:val="center"/>
              <w:rPr>
                <w:color w:val="auto"/>
                <w:sz w:val="20"/>
              </w:rPr>
            </w:pPr>
            <w:r>
              <w:rPr>
                <w:rFonts w:hint="eastAsia"/>
                <w:color w:val="auto"/>
                <w:sz w:val="20"/>
              </w:rPr>
              <w:t>敏感</w:t>
            </w:r>
          </w:p>
        </w:tc>
        <w:tc>
          <w:tcPr>
            <w:tcW w:w="906" w:type="dxa"/>
            <w:shd w:val="clear" w:color="auto" w:fill="auto"/>
            <w:vAlign w:val="center"/>
          </w:tcPr>
          <w:p w14:paraId="0618369D">
            <w:pPr>
              <w:spacing w:line="320" w:lineRule="exact"/>
              <w:ind w:firstLine="0" w:firstLineChars="0"/>
              <w:jc w:val="center"/>
              <w:rPr>
                <w:color w:val="auto"/>
                <w:sz w:val="20"/>
              </w:rPr>
            </w:pPr>
            <w:r>
              <w:rPr>
                <w:rFonts w:hint="eastAsia"/>
                <w:color w:val="auto"/>
                <w:sz w:val="20"/>
              </w:rPr>
              <w:t>一级</w:t>
            </w:r>
          </w:p>
        </w:tc>
        <w:tc>
          <w:tcPr>
            <w:tcW w:w="906" w:type="dxa"/>
            <w:shd w:val="clear" w:color="auto" w:fill="auto"/>
          </w:tcPr>
          <w:p w14:paraId="4F12183A">
            <w:pPr>
              <w:spacing w:line="320" w:lineRule="exact"/>
              <w:ind w:firstLine="0" w:firstLineChars="0"/>
              <w:jc w:val="center"/>
              <w:rPr>
                <w:color w:val="auto"/>
                <w:sz w:val="20"/>
              </w:rPr>
            </w:pPr>
            <w:r>
              <w:rPr>
                <w:rFonts w:hint="eastAsia"/>
                <w:color w:val="auto"/>
                <w:sz w:val="20"/>
              </w:rPr>
              <w:t>一级</w:t>
            </w:r>
          </w:p>
        </w:tc>
        <w:tc>
          <w:tcPr>
            <w:tcW w:w="906" w:type="dxa"/>
            <w:shd w:val="clear" w:color="auto" w:fill="auto"/>
            <w:vAlign w:val="center"/>
          </w:tcPr>
          <w:p w14:paraId="544F554D">
            <w:pPr>
              <w:spacing w:line="320" w:lineRule="exact"/>
              <w:ind w:firstLine="0" w:firstLineChars="0"/>
              <w:jc w:val="center"/>
              <w:rPr>
                <w:color w:val="auto"/>
                <w:sz w:val="20"/>
              </w:rPr>
            </w:pPr>
            <w:r>
              <w:rPr>
                <w:rFonts w:hint="eastAsia"/>
                <w:color w:val="auto"/>
                <w:sz w:val="20"/>
              </w:rPr>
              <w:t>一级</w:t>
            </w:r>
          </w:p>
        </w:tc>
        <w:tc>
          <w:tcPr>
            <w:tcW w:w="906" w:type="dxa"/>
            <w:shd w:val="clear" w:color="auto" w:fill="auto"/>
          </w:tcPr>
          <w:p w14:paraId="18557AD8">
            <w:pPr>
              <w:spacing w:line="320" w:lineRule="exact"/>
              <w:ind w:firstLine="0" w:firstLineChars="0"/>
              <w:jc w:val="center"/>
              <w:rPr>
                <w:color w:val="auto"/>
                <w:sz w:val="20"/>
              </w:rPr>
            </w:pPr>
            <w:r>
              <w:rPr>
                <w:rFonts w:hint="eastAsia"/>
                <w:color w:val="auto"/>
                <w:sz w:val="20"/>
              </w:rPr>
              <w:t>二级</w:t>
            </w:r>
          </w:p>
        </w:tc>
        <w:tc>
          <w:tcPr>
            <w:tcW w:w="906" w:type="dxa"/>
            <w:shd w:val="clear" w:color="auto" w:fill="auto"/>
          </w:tcPr>
          <w:p w14:paraId="5BFF204B">
            <w:pPr>
              <w:spacing w:line="320" w:lineRule="exact"/>
              <w:ind w:firstLine="0" w:firstLineChars="0"/>
              <w:jc w:val="center"/>
              <w:rPr>
                <w:color w:val="auto"/>
                <w:sz w:val="20"/>
              </w:rPr>
            </w:pPr>
            <w:r>
              <w:rPr>
                <w:rFonts w:hint="eastAsia"/>
                <w:color w:val="auto"/>
                <w:sz w:val="20"/>
              </w:rPr>
              <w:t>二级</w:t>
            </w:r>
          </w:p>
        </w:tc>
        <w:tc>
          <w:tcPr>
            <w:tcW w:w="906" w:type="dxa"/>
            <w:shd w:val="clear" w:color="auto" w:fill="auto"/>
            <w:vAlign w:val="center"/>
          </w:tcPr>
          <w:p w14:paraId="09F0F079">
            <w:pPr>
              <w:spacing w:line="320" w:lineRule="exact"/>
              <w:ind w:firstLine="0" w:firstLineChars="0"/>
              <w:jc w:val="center"/>
              <w:rPr>
                <w:color w:val="auto"/>
                <w:sz w:val="20"/>
              </w:rPr>
            </w:pPr>
            <w:r>
              <w:rPr>
                <w:rFonts w:hint="eastAsia"/>
                <w:color w:val="auto"/>
                <w:sz w:val="20"/>
              </w:rPr>
              <w:t>二级</w:t>
            </w:r>
          </w:p>
        </w:tc>
        <w:tc>
          <w:tcPr>
            <w:tcW w:w="906" w:type="dxa"/>
            <w:shd w:val="clear" w:color="auto" w:fill="auto"/>
          </w:tcPr>
          <w:p w14:paraId="2B2101F7">
            <w:pPr>
              <w:spacing w:line="320" w:lineRule="exact"/>
              <w:ind w:firstLine="0" w:firstLineChars="0"/>
              <w:jc w:val="center"/>
              <w:rPr>
                <w:color w:val="auto"/>
                <w:sz w:val="20"/>
              </w:rPr>
            </w:pPr>
            <w:r>
              <w:rPr>
                <w:rFonts w:hint="eastAsia"/>
                <w:color w:val="auto"/>
                <w:sz w:val="20"/>
              </w:rPr>
              <w:t>三级</w:t>
            </w:r>
          </w:p>
        </w:tc>
        <w:tc>
          <w:tcPr>
            <w:tcW w:w="906" w:type="dxa"/>
            <w:shd w:val="clear" w:color="auto" w:fill="auto"/>
          </w:tcPr>
          <w:p w14:paraId="0BE7B65E">
            <w:pPr>
              <w:spacing w:line="320" w:lineRule="exact"/>
              <w:ind w:firstLine="0" w:firstLineChars="0"/>
              <w:jc w:val="center"/>
              <w:rPr>
                <w:color w:val="auto"/>
                <w:sz w:val="20"/>
              </w:rPr>
            </w:pPr>
            <w:r>
              <w:rPr>
                <w:rFonts w:hint="eastAsia"/>
                <w:color w:val="auto"/>
                <w:sz w:val="20"/>
              </w:rPr>
              <w:t>三级</w:t>
            </w:r>
          </w:p>
        </w:tc>
        <w:tc>
          <w:tcPr>
            <w:tcW w:w="906" w:type="dxa"/>
            <w:shd w:val="clear" w:color="auto" w:fill="auto"/>
            <w:vAlign w:val="center"/>
          </w:tcPr>
          <w:p w14:paraId="06EEFD3B">
            <w:pPr>
              <w:spacing w:line="320" w:lineRule="exact"/>
              <w:ind w:firstLine="0" w:firstLineChars="0"/>
              <w:jc w:val="center"/>
              <w:rPr>
                <w:color w:val="auto"/>
                <w:sz w:val="20"/>
              </w:rPr>
            </w:pPr>
            <w:r>
              <w:rPr>
                <w:rFonts w:hint="eastAsia"/>
                <w:color w:val="auto"/>
                <w:sz w:val="20"/>
              </w:rPr>
              <w:t>三级</w:t>
            </w:r>
          </w:p>
        </w:tc>
      </w:tr>
      <w:tr w14:paraId="693C5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6" w:type="dxa"/>
            <w:shd w:val="clear" w:color="auto" w:fill="auto"/>
            <w:vAlign w:val="center"/>
          </w:tcPr>
          <w:p w14:paraId="34136077">
            <w:pPr>
              <w:spacing w:line="320" w:lineRule="exact"/>
              <w:ind w:firstLine="0" w:firstLineChars="0"/>
              <w:jc w:val="center"/>
              <w:rPr>
                <w:color w:val="auto"/>
                <w:sz w:val="20"/>
              </w:rPr>
            </w:pPr>
            <w:r>
              <w:rPr>
                <w:rFonts w:hint="eastAsia"/>
                <w:color w:val="auto"/>
                <w:sz w:val="20"/>
              </w:rPr>
              <w:t>较敏感</w:t>
            </w:r>
          </w:p>
        </w:tc>
        <w:tc>
          <w:tcPr>
            <w:tcW w:w="906" w:type="dxa"/>
            <w:shd w:val="clear" w:color="auto" w:fill="auto"/>
          </w:tcPr>
          <w:p w14:paraId="0B2DC6CF">
            <w:pPr>
              <w:spacing w:line="320" w:lineRule="exact"/>
              <w:ind w:firstLine="0" w:firstLineChars="0"/>
              <w:jc w:val="center"/>
              <w:rPr>
                <w:color w:val="auto"/>
                <w:sz w:val="20"/>
              </w:rPr>
            </w:pPr>
            <w:r>
              <w:rPr>
                <w:rFonts w:hint="eastAsia"/>
                <w:color w:val="auto"/>
                <w:sz w:val="20"/>
              </w:rPr>
              <w:t>一级</w:t>
            </w:r>
          </w:p>
        </w:tc>
        <w:tc>
          <w:tcPr>
            <w:tcW w:w="906" w:type="dxa"/>
            <w:shd w:val="clear" w:color="auto" w:fill="auto"/>
          </w:tcPr>
          <w:p w14:paraId="35AC4075">
            <w:pPr>
              <w:spacing w:line="320" w:lineRule="exact"/>
              <w:ind w:firstLine="0" w:firstLineChars="0"/>
              <w:jc w:val="center"/>
              <w:rPr>
                <w:color w:val="auto"/>
                <w:sz w:val="20"/>
              </w:rPr>
            </w:pPr>
            <w:r>
              <w:rPr>
                <w:rFonts w:hint="eastAsia"/>
                <w:color w:val="auto"/>
                <w:sz w:val="20"/>
              </w:rPr>
              <w:t>一级</w:t>
            </w:r>
          </w:p>
        </w:tc>
        <w:tc>
          <w:tcPr>
            <w:tcW w:w="906" w:type="dxa"/>
            <w:shd w:val="clear" w:color="auto" w:fill="auto"/>
          </w:tcPr>
          <w:p w14:paraId="3F2F145E">
            <w:pPr>
              <w:spacing w:line="320" w:lineRule="exact"/>
              <w:ind w:firstLine="0" w:firstLineChars="0"/>
              <w:jc w:val="center"/>
              <w:rPr>
                <w:color w:val="auto"/>
                <w:sz w:val="20"/>
              </w:rPr>
            </w:pPr>
            <w:r>
              <w:rPr>
                <w:rFonts w:hint="eastAsia"/>
                <w:color w:val="auto"/>
                <w:sz w:val="20"/>
              </w:rPr>
              <w:t>二级</w:t>
            </w:r>
          </w:p>
        </w:tc>
        <w:tc>
          <w:tcPr>
            <w:tcW w:w="906" w:type="dxa"/>
            <w:shd w:val="clear" w:color="auto" w:fill="auto"/>
          </w:tcPr>
          <w:p w14:paraId="4D3CC9CF">
            <w:pPr>
              <w:spacing w:line="320" w:lineRule="exact"/>
              <w:ind w:firstLine="0" w:firstLineChars="0"/>
              <w:jc w:val="center"/>
              <w:rPr>
                <w:color w:val="auto"/>
                <w:sz w:val="20"/>
              </w:rPr>
            </w:pPr>
            <w:r>
              <w:rPr>
                <w:rFonts w:hint="eastAsia"/>
                <w:color w:val="auto"/>
                <w:sz w:val="20"/>
              </w:rPr>
              <w:t>二级</w:t>
            </w:r>
          </w:p>
        </w:tc>
        <w:tc>
          <w:tcPr>
            <w:tcW w:w="906" w:type="dxa"/>
            <w:shd w:val="clear" w:color="auto" w:fill="auto"/>
          </w:tcPr>
          <w:p w14:paraId="25F8AB0E">
            <w:pPr>
              <w:spacing w:line="320" w:lineRule="exact"/>
              <w:ind w:firstLine="0" w:firstLineChars="0"/>
              <w:jc w:val="center"/>
              <w:rPr>
                <w:color w:val="auto"/>
                <w:sz w:val="20"/>
              </w:rPr>
            </w:pPr>
            <w:r>
              <w:rPr>
                <w:rFonts w:hint="eastAsia"/>
                <w:color w:val="auto"/>
                <w:sz w:val="20"/>
              </w:rPr>
              <w:t>二级</w:t>
            </w:r>
          </w:p>
        </w:tc>
        <w:tc>
          <w:tcPr>
            <w:tcW w:w="906" w:type="dxa"/>
            <w:shd w:val="clear" w:color="auto" w:fill="auto"/>
          </w:tcPr>
          <w:p w14:paraId="2C503429">
            <w:pPr>
              <w:spacing w:line="320" w:lineRule="exact"/>
              <w:ind w:firstLine="0" w:firstLineChars="0"/>
              <w:jc w:val="center"/>
              <w:rPr>
                <w:color w:val="auto"/>
                <w:sz w:val="20"/>
              </w:rPr>
            </w:pPr>
            <w:r>
              <w:rPr>
                <w:rFonts w:hint="eastAsia"/>
                <w:color w:val="auto"/>
                <w:sz w:val="20"/>
              </w:rPr>
              <w:t>三级</w:t>
            </w:r>
          </w:p>
        </w:tc>
        <w:tc>
          <w:tcPr>
            <w:tcW w:w="906" w:type="dxa"/>
            <w:shd w:val="clear" w:color="auto" w:fill="auto"/>
          </w:tcPr>
          <w:p w14:paraId="40854FBB">
            <w:pPr>
              <w:spacing w:line="320" w:lineRule="exact"/>
              <w:ind w:firstLine="0" w:firstLineChars="0"/>
              <w:jc w:val="center"/>
              <w:rPr>
                <w:color w:val="auto"/>
                <w:sz w:val="20"/>
              </w:rPr>
            </w:pPr>
            <w:r>
              <w:rPr>
                <w:rFonts w:hint="eastAsia"/>
                <w:color w:val="auto"/>
                <w:sz w:val="20"/>
              </w:rPr>
              <w:t>三级</w:t>
            </w:r>
          </w:p>
        </w:tc>
        <w:tc>
          <w:tcPr>
            <w:tcW w:w="906" w:type="dxa"/>
            <w:shd w:val="clear" w:color="auto" w:fill="auto"/>
          </w:tcPr>
          <w:p w14:paraId="3E581723">
            <w:pPr>
              <w:spacing w:line="320" w:lineRule="exact"/>
              <w:ind w:firstLine="0" w:firstLineChars="0"/>
              <w:jc w:val="center"/>
              <w:rPr>
                <w:color w:val="auto"/>
                <w:sz w:val="20"/>
              </w:rPr>
            </w:pPr>
            <w:r>
              <w:rPr>
                <w:rFonts w:hint="eastAsia"/>
                <w:color w:val="auto"/>
                <w:sz w:val="20"/>
              </w:rPr>
              <w:t>三级</w:t>
            </w:r>
          </w:p>
        </w:tc>
        <w:tc>
          <w:tcPr>
            <w:tcW w:w="906" w:type="dxa"/>
            <w:shd w:val="clear" w:color="auto" w:fill="auto"/>
            <w:vAlign w:val="center"/>
          </w:tcPr>
          <w:p w14:paraId="15BD42EC">
            <w:pPr>
              <w:spacing w:line="320" w:lineRule="exact"/>
              <w:ind w:firstLine="0" w:firstLineChars="0"/>
              <w:jc w:val="center"/>
              <w:rPr>
                <w:color w:val="auto"/>
                <w:sz w:val="20"/>
              </w:rPr>
            </w:pPr>
            <w:r>
              <w:rPr>
                <w:rFonts w:hint="eastAsia"/>
                <w:color w:val="auto"/>
                <w:sz w:val="20"/>
              </w:rPr>
              <w:t>-</w:t>
            </w:r>
          </w:p>
        </w:tc>
      </w:tr>
      <w:tr w14:paraId="0BD88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6" w:type="dxa"/>
            <w:shd w:val="clear" w:color="auto" w:fill="auto"/>
            <w:vAlign w:val="center"/>
          </w:tcPr>
          <w:p w14:paraId="013585ED">
            <w:pPr>
              <w:spacing w:line="320" w:lineRule="exact"/>
              <w:ind w:firstLine="0" w:firstLineChars="0"/>
              <w:jc w:val="center"/>
              <w:rPr>
                <w:color w:val="auto"/>
                <w:sz w:val="20"/>
              </w:rPr>
            </w:pPr>
            <w:r>
              <w:rPr>
                <w:rFonts w:hint="eastAsia"/>
                <w:color w:val="auto"/>
                <w:sz w:val="20"/>
              </w:rPr>
              <w:t>不敏感</w:t>
            </w:r>
          </w:p>
        </w:tc>
        <w:tc>
          <w:tcPr>
            <w:tcW w:w="906" w:type="dxa"/>
            <w:shd w:val="clear" w:color="auto" w:fill="auto"/>
          </w:tcPr>
          <w:p w14:paraId="2DF34FFB">
            <w:pPr>
              <w:spacing w:line="320" w:lineRule="exact"/>
              <w:ind w:firstLine="0" w:firstLineChars="0"/>
              <w:jc w:val="center"/>
              <w:rPr>
                <w:color w:val="auto"/>
                <w:sz w:val="20"/>
              </w:rPr>
            </w:pPr>
            <w:r>
              <w:rPr>
                <w:rFonts w:hint="eastAsia"/>
                <w:color w:val="auto"/>
                <w:sz w:val="20"/>
              </w:rPr>
              <w:t>一级</w:t>
            </w:r>
          </w:p>
        </w:tc>
        <w:tc>
          <w:tcPr>
            <w:tcW w:w="906" w:type="dxa"/>
            <w:shd w:val="clear" w:color="auto" w:fill="auto"/>
            <w:vAlign w:val="center"/>
          </w:tcPr>
          <w:p w14:paraId="3EC47693">
            <w:pPr>
              <w:spacing w:line="320" w:lineRule="exact"/>
              <w:ind w:firstLine="0" w:firstLineChars="0"/>
              <w:jc w:val="center"/>
              <w:rPr>
                <w:color w:val="auto"/>
                <w:sz w:val="20"/>
              </w:rPr>
            </w:pPr>
            <w:r>
              <w:rPr>
                <w:rFonts w:hint="eastAsia"/>
                <w:color w:val="auto"/>
                <w:sz w:val="20"/>
              </w:rPr>
              <w:t>二级</w:t>
            </w:r>
          </w:p>
        </w:tc>
        <w:tc>
          <w:tcPr>
            <w:tcW w:w="906" w:type="dxa"/>
            <w:shd w:val="clear" w:color="auto" w:fill="auto"/>
          </w:tcPr>
          <w:p w14:paraId="604720B5">
            <w:pPr>
              <w:spacing w:line="320" w:lineRule="exact"/>
              <w:ind w:firstLine="0" w:firstLineChars="0"/>
              <w:jc w:val="center"/>
              <w:rPr>
                <w:color w:val="auto"/>
                <w:sz w:val="20"/>
              </w:rPr>
            </w:pPr>
            <w:r>
              <w:rPr>
                <w:rFonts w:hint="eastAsia"/>
                <w:color w:val="auto"/>
                <w:sz w:val="20"/>
              </w:rPr>
              <w:t>二级</w:t>
            </w:r>
          </w:p>
        </w:tc>
        <w:tc>
          <w:tcPr>
            <w:tcW w:w="906" w:type="dxa"/>
            <w:shd w:val="clear" w:color="auto" w:fill="auto"/>
          </w:tcPr>
          <w:p w14:paraId="22CC79DB">
            <w:pPr>
              <w:spacing w:line="320" w:lineRule="exact"/>
              <w:ind w:firstLine="0" w:firstLineChars="0"/>
              <w:jc w:val="center"/>
              <w:rPr>
                <w:color w:val="auto"/>
                <w:sz w:val="20"/>
              </w:rPr>
            </w:pPr>
            <w:r>
              <w:rPr>
                <w:rFonts w:hint="eastAsia"/>
                <w:color w:val="auto"/>
                <w:sz w:val="20"/>
              </w:rPr>
              <w:t>二级</w:t>
            </w:r>
          </w:p>
        </w:tc>
        <w:tc>
          <w:tcPr>
            <w:tcW w:w="906" w:type="dxa"/>
            <w:shd w:val="clear" w:color="auto" w:fill="auto"/>
            <w:vAlign w:val="center"/>
          </w:tcPr>
          <w:p w14:paraId="783AE8D1">
            <w:pPr>
              <w:spacing w:line="320" w:lineRule="exact"/>
              <w:ind w:firstLine="0" w:firstLineChars="0"/>
              <w:jc w:val="center"/>
              <w:rPr>
                <w:color w:val="auto"/>
                <w:sz w:val="20"/>
              </w:rPr>
            </w:pPr>
            <w:r>
              <w:rPr>
                <w:rFonts w:hint="eastAsia"/>
                <w:color w:val="auto"/>
                <w:sz w:val="20"/>
              </w:rPr>
              <w:t>三级</w:t>
            </w:r>
          </w:p>
        </w:tc>
        <w:tc>
          <w:tcPr>
            <w:tcW w:w="906" w:type="dxa"/>
            <w:shd w:val="clear" w:color="auto" w:fill="auto"/>
          </w:tcPr>
          <w:p w14:paraId="6F2B41DF">
            <w:pPr>
              <w:spacing w:line="320" w:lineRule="exact"/>
              <w:ind w:firstLine="0" w:firstLineChars="0"/>
              <w:jc w:val="center"/>
              <w:rPr>
                <w:color w:val="auto"/>
                <w:sz w:val="20"/>
              </w:rPr>
            </w:pPr>
            <w:r>
              <w:rPr>
                <w:rFonts w:hint="eastAsia"/>
                <w:color w:val="auto"/>
                <w:sz w:val="20"/>
              </w:rPr>
              <w:t>三级</w:t>
            </w:r>
          </w:p>
        </w:tc>
        <w:tc>
          <w:tcPr>
            <w:tcW w:w="906" w:type="dxa"/>
            <w:shd w:val="clear" w:color="auto" w:fill="auto"/>
          </w:tcPr>
          <w:p w14:paraId="0EAC5B5D">
            <w:pPr>
              <w:spacing w:line="320" w:lineRule="exact"/>
              <w:ind w:firstLine="0" w:firstLineChars="0"/>
              <w:jc w:val="center"/>
              <w:rPr>
                <w:color w:val="auto"/>
                <w:sz w:val="20"/>
              </w:rPr>
            </w:pPr>
            <w:r>
              <w:rPr>
                <w:rFonts w:hint="eastAsia"/>
                <w:color w:val="auto"/>
                <w:sz w:val="20"/>
              </w:rPr>
              <w:t>三级</w:t>
            </w:r>
          </w:p>
        </w:tc>
        <w:tc>
          <w:tcPr>
            <w:tcW w:w="906" w:type="dxa"/>
            <w:shd w:val="clear" w:color="auto" w:fill="auto"/>
            <w:vAlign w:val="center"/>
          </w:tcPr>
          <w:p w14:paraId="2CB2508E">
            <w:pPr>
              <w:spacing w:line="320" w:lineRule="exact"/>
              <w:ind w:firstLine="0" w:firstLineChars="0"/>
              <w:jc w:val="center"/>
              <w:rPr>
                <w:color w:val="auto"/>
                <w:sz w:val="20"/>
              </w:rPr>
            </w:pPr>
            <w:r>
              <w:rPr>
                <w:rFonts w:hint="eastAsia"/>
                <w:color w:val="auto"/>
                <w:sz w:val="20"/>
              </w:rPr>
              <w:t>-</w:t>
            </w:r>
          </w:p>
        </w:tc>
        <w:tc>
          <w:tcPr>
            <w:tcW w:w="906" w:type="dxa"/>
            <w:shd w:val="clear" w:color="auto" w:fill="auto"/>
            <w:vAlign w:val="center"/>
          </w:tcPr>
          <w:p w14:paraId="7AA84D76">
            <w:pPr>
              <w:spacing w:line="320" w:lineRule="exact"/>
              <w:ind w:firstLine="0" w:firstLineChars="0"/>
              <w:jc w:val="center"/>
              <w:rPr>
                <w:color w:val="auto"/>
                <w:sz w:val="20"/>
              </w:rPr>
            </w:pPr>
            <w:r>
              <w:rPr>
                <w:rFonts w:hint="eastAsia"/>
                <w:color w:val="auto"/>
                <w:sz w:val="20"/>
              </w:rPr>
              <w:t>-</w:t>
            </w:r>
          </w:p>
        </w:tc>
      </w:tr>
    </w:tbl>
    <w:p w14:paraId="40E2577A">
      <w:pPr>
        <w:adjustRightInd/>
        <w:snapToGrid/>
        <w:spacing w:before="72" w:beforeLines="30" w:after="72" w:afterLines="30" w:line="240" w:lineRule="auto"/>
        <w:ind w:firstLine="0" w:firstLineChars="0"/>
        <w:jc w:val="left"/>
        <w:rPr>
          <w:color w:val="auto"/>
          <w:sz w:val="21"/>
        </w:rPr>
      </w:pPr>
      <w:r>
        <w:rPr>
          <w:rFonts w:hint="eastAsia"/>
          <w:color w:val="auto"/>
          <w:sz w:val="21"/>
        </w:rPr>
        <w:t>注：“-”表示可不开展土壤环境影响评价工作。</w:t>
      </w:r>
    </w:p>
    <w:p w14:paraId="2EE6DF68">
      <w:pPr>
        <w:pStyle w:val="5"/>
        <w:numPr>
          <w:ilvl w:val="0"/>
          <w:numId w:val="0"/>
        </w:numPr>
        <w:spacing w:line="360" w:lineRule="auto"/>
        <w:rPr>
          <w:color w:val="auto"/>
          <w:szCs w:val="24"/>
        </w:rPr>
      </w:pPr>
      <w:bookmarkStart w:id="97" w:name="_Hlk21707274"/>
      <w:r>
        <w:rPr>
          <w:rFonts w:hint="eastAsia"/>
          <w:color w:val="auto"/>
          <w:szCs w:val="24"/>
          <w:lang w:eastAsia="zh-CN"/>
        </w:rPr>
        <w:t>2.7</w:t>
      </w:r>
      <w:r>
        <w:rPr>
          <w:color w:val="auto"/>
          <w:szCs w:val="24"/>
        </w:rPr>
        <w:t>.7风险评价</w:t>
      </w:r>
    </w:p>
    <w:bookmarkEnd w:id="97"/>
    <w:p w14:paraId="08AAC55F">
      <w:pPr>
        <w:pStyle w:val="1985"/>
        <w:spacing w:line="360" w:lineRule="auto"/>
        <w:ind w:firstLine="480"/>
        <w:rPr>
          <w:color w:val="auto"/>
        </w:rPr>
      </w:pPr>
      <w:bookmarkStart w:id="98" w:name="_Toc244071842"/>
      <w:bookmarkStart w:id="99" w:name="_Toc129763681"/>
      <w:bookmarkStart w:id="100" w:name="_Toc165607336"/>
      <w:bookmarkStart w:id="101" w:name="_Toc462350266"/>
      <w:bookmarkStart w:id="102" w:name="_Toc245544269"/>
      <w:bookmarkStart w:id="103" w:name="_Toc175479779"/>
      <w:bookmarkStart w:id="104" w:name="_Toc198021927"/>
      <w:bookmarkStart w:id="105" w:name="_Toc396234167"/>
      <w:bookmarkStart w:id="106" w:name="_Toc51062446"/>
      <w:bookmarkStart w:id="107" w:name="_Toc344679076"/>
      <w:bookmarkStart w:id="108" w:name="_Toc194378408"/>
      <w:bookmarkStart w:id="109" w:name="_Toc472509264"/>
      <w:bookmarkStart w:id="110" w:name="_Toc109139973"/>
      <w:bookmarkStart w:id="111" w:name="_Toc439249486"/>
      <w:r>
        <w:rPr>
          <w:rFonts w:hint="eastAsia"/>
          <w:color w:val="auto"/>
        </w:rPr>
        <w:t>根据《建设项目环境风险评价技术导则》（HJ 169-2018）评价等级划分，见表7.3.1-1，项目大气环境风险潜势为II、地表水环境风险潜势为II、地下水环境风险潜势为I，因此项目的环境风险评价工作等级为三级。</w:t>
      </w:r>
    </w:p>
    <w:p w14:paraId="59D3C37B">
      <w:pPr>
        <w:pStyle w:val="4"/>
        <w:numPr>
          <w:ilvl w:val="0"/>
          <w:numId w:val="0"/>
        </w:numPr>
        <w:spacing w:line="360" w:lineRule="auto"/>
        <w:rPr>
          <w:color w:val="auto"/>
        </w:rPr>
      </w:pPr>
      <w:bookmarkStart w:id="112" w:name="_Toc8871"/>
      <w:r>
        <w:rPr>
          <w:rFonts w:hint="eastAsia"/>
          <w:color w:val="auto"/>
          <w:lang w:val="en-US" w:eastAsia="zh-CN"/>
        </w:rPr>
        <w:t>2.8</w:t>
      </w:r>
      <w:r>
        <w:rPr>
          <w:color w:val="auto"/>
        </w:rPr>
        <w:t>评价范围</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14:paraId="7CD86398">
      <w:pPr>
        <w:spacing w:line="360" w:lineRule="auto"/>
        <w:ind w:firstLine="480"/>
        <w:rPr>
          <w:color w:val="auto"/>
          <w:szCs w:val="24"/>
        </w:rPr>
      </w:pPr>
      <w:r>
        <w:rPr>
          <w:rFonts w:hint="eastAsia"/>
          <w:color w:val="auto"/>
          <w:szCs w:val="24"/>
        </w:rPr>
        <w:t>（1）</w:t>
      </w:r>
      <w:r>
        <w:rPr>
          <w:color w:val="auto"/>
          <w:szCs w:val="24"/>
        </w:rPr>
        <w:t>环境空气</w:t>
      </w:r>
    </w:p>
    <w:p w14:paraId="0DFDD4F9">
      <w:pPr>
        <w:spacing w:line="360" w:lineRule="auto"/>
        <w:ind w:firstLine="480"/>
        <w:rPr>
          <w:color w:val="auto"/>
          <w:szCs w:val="24"/>
        </w:rPr>
      </w:pPr>
      <w:r>
        <w:rPr>
          <w:rFonts w:hint="eastAsia"/>
          <w:color w:val="auto"/>
          <w:szCs w:val="24"/>
        </w:rPr>
        <w:t>拟建项目大气环境影响评价等级为“二级”，评价范围为自厂界外延，边长5km的矩形区域范围内。</w:t>
      </w:r>
    </w:p>
    <w:p w14:paraId="165374A4">
      <w:pPr>
        <w:spacing w:line="360" w:lineRule="auto"/>
        <w:ind w:firstLine="480"/>
        <w:rPr>
          <w:color w:val="auto"/>
          <w:szCs w:val="24"/>
        </w:rPr>
      </w:pPr>
      <w:r>
        <w:rPr>
          <w:rFonts w:hint="eastAsia"/>
          <w:color w:val="auto"/>
          <w:szCs w:val="24"/>
        </w:rPr>
        <w:t>（2）</w:t>
      </w:r>
      <w:r>
        <w:rPr>
          <w:color w:val="auto"/>
          <w:szCs w:val="24"/>
        </w:rPr>
        <w:t>地下水</w:t>
      </w:r>
    </w:p>
    <w:p w14:paraId="65D8488B">
      <w:pPr>
        <w:spacing w:line="360" w:lineRule="auto"/>
        <w:ind w:firstLine="480"/>
        <w:rPr>
          <w:color w:val="auto"/>
          <w:sz w:val="18"/>
          <w:szCs w:val="18"/>
          <w:vertAlign w:val="superscript"/>
        </w:rPr>
      </w:pPr>
      <w:r>
        <w:rPr>
          <w:rFonts w:hint="eastAsia"/>
          <w:color w:val="auto"/>
          <w:szCs w:val="24"/>
        </w:rPr>
        <w:t>拟建</w:t>
      </w:r>
      <w:r>
        <w:rPr>
          <w:rFonts w:hint="eastAsia"/>
          <w:color w:val="auto"/>
          <w:szCs w:val="21"/>
        </w:rPr>
        <w:t>项</w:t>
      </w:r>
      <w:r>
        <w:rPr>
          <w:rFonts w:hint="eastAsia"/>
          <w:color w:val="auto"/>
          <w:szCs w:val="24"/>
        </w:rPr>
        <w:t>目所在</w:t>
      </w:r>
      <w:r>
        <w:rPr>
          <w:color w:val="auto"/>
          <w:szCs w:val="24"/>
        </w:rPr>
        <w:t>水文地</w:t>
      </w:r>
      <w:bookmarkStart w:id="419" w:name="_GoBack"/>
      <w:bookmarkEnd w:id="419"/>
      <w:r>
        <w:rPr>
          <w:color w:val="auto"/>
          <w:szCs w:val="24"/>
        </w:rPr>
        <w:t>质单元</w:t>
      </w:r>
      <w:r>
        <w:rPr>
          <w:rFonts w:hint="eastAsia"/>
          <w:color w:val="auto"/>
          <w:szCs w:val="24"/>
        </w:rPr>
        <w:t>，评价范围为工程区域以</w:t>
      </w:r>
      <w:r>
        <w:rPr>
          <w:rFonts w:hint="eastAsia"/>
          <w:color w:val="auto"/>
          <w:szCs w:val="24"/>
          <w:lang w:eastAsia="zh-CN"/>
        </w:rPr>
        <w:t>长江</w:t>
      </w:r>
      <w:r>
        <w:rPr>
          <w:rFonts w:hint="eastAsia"/>
          <w:color w:val="auto"/>
          <w:szCs w:val="24"/>
        </w:rPr>
        <w:t>及周边低矮丘陵形成的分水岭为界形成的面积约为</w:t>
      </w:r>
      <w:r>
        <w:rPr>
          <w:rFonts w:hint="eastAsia"/>
          <w:color w:val="auto"/>
          <w:szCs w:val="24"/>
          <w:lang w:val="en-US" w:eastAsia="zh-CN"/>
        </w:rPr>
        <w:t>15.0</w:t>
      </w:r>
      <w:r>
        <w:rPr>
          <w:rFonts w:hint="eastAsia"/>
          <w:color w:val="auto"/>
          <w:szCs w:val="24"/>
        </w:rPr>
        <w:t>k</w:t>
      </w:r>
      <w:r>
        <w:rPr>
          <w:color w:val="auto"/>
          <w:szCs w:val="24"/>
        </w:rPr>
        <w:t>m</w:t>
      </w:r>
      <w:r>
        <w:rPr>
          <w:rFonts w:hint="eastAsia"/>
          <w:color w:val="auto"/>
          <w:szCs w:val="24"/>
          <w:vertAlign w:val="superscript"/>
        </w:rPr>
        <w:t>2</w:t>
      </w:r>
      <w:r>
        <w:rPr>
          <w:rFonts w:hint="eastAsia"/>
          <w:color w:val="auto"/>
          <w:szCs w:val="24"/>
        </w:rPr>
        <w:t xml:space="preserve"> 的独立水文地质单元。</w:t>
      </w:r>
    </w:p>
    <w:p w14:paraId="392C9C99">
      <w:pPr>
        <w:spacing w:line="360" w:lineRule="auto"/>
        <w:ind w:firstLine="480"/>
        <w:rPr>
          <w:color w:val="auto"/>
          <w:szCs w:val="24"/>
        </w:rPr>
      </w:pPr>
      <w:r>
        <w:rPr>
          <w:rFonts w:hint="eastAsia"/>
          <w:color w:val="auto"/>
          <w:szCs w:val="24"/>
        </w:rPr>
        <w:t>（3）地表水</w:t>
      </w:r>
    </w:p>
    <w:p w14:paraId="6C7D15FB">
      <w:pPr>
        <w:spacing w:line="360" w:lineRule="auto"/>
        <w:ind w:firstLine="480"/>
        <w:rPr>
          <w:color w:val="auto"/>
          <w:szCs w:val="24"/>
        </w:rPr>
      </w:pPr>
      <w:r>
        <w:rPr>
          <w:rFonts w:hint="eastAsia"/>
          <w:color w:val="auto"/>
        </w:rPr>
        <w:t>拟建项目废水处理达到</w:t>
      </w:r>
      <w:r>
        <w:rPr>
          <w:rFonts w:hint="eastAsia"/>
          <w:color w:val="auto"/>
          <w:lang w:eastAsia="zh-CN"/>
        </w:rPr>
        <w:t>《页岩气开采水污染物排放标准》（DB50/1806-2025）间接排放标准限值后直接接入乌杨组团园区污水处理厂</w:t>
      </w:r>
      <w:r>
        <w:rPr>
          <w:rFonts w:hint="eastAsia"/>
          <w:color w:val="auto"/>
        </w:rPr>
        <w:t>进行深度处理达《城镇污水处理厂污染物排放标准》（GB18918-2002）一级 A 标准后排入</w:t>
      </w:r>
      <w:r>
        <w:rPr>
          <w:rFonts w:hint="eastAsia"/>
          <w:color w:val="auto"/>
          <w:lang w:eastAsia="zh-CN"/>
        </w:rPr>
        <w:t>长江</w:t>
      </w:r>
      <w:r>
        <w:rPr>
          <w:rFonts w:hint="eastAsia"/>
          <w:color w:val="auto"/>
          <w:lang w:val="zh-CN"/>
        </w:rPr>
        <w:t>；因此，拟建项目</w:t>
      </w:r>
      <w:r>
        <w:rPr>
          <w:rFonts w:hint="eastAsia"/>
          <w:color w:val="auto"/>
        </w:rPr>
        <w:t>地表水环境影响评价等级为三级B，不设置地表水评价范围。</w:t>
      </w:r>
    </w:p>
    <w:p w14:paraId="00BE01C8">
      <w:pPr>
        <w:spacing w:line="360" w:lineRule="auto"/>
        <w:ind w:firstLine="480"/>
        <w:rPr>
          <w:color w:val="auto"/>
          <w:szCs w:val="24"/>
        </w:rPr>
      </w:pPr>
      <w:r>
        <w:rPr>
          <w:rFonts w:hint="eastAsia"/>
          <w:color w:val="auto"/>
          <w:szCs w:val="24"/>
        </w:rPr>
        <w:t>（4）</w:t>
      </w:r>
      <w:r>
        <w:rPr>
          <w:color w:val="auto"/>
          <w:szCs w:val="24"/>
        </w:rPr>
        <w:t>噪声</w:t>
      </w:r>
    </w:p>
    <w:p w14:paraId="214DBE5F">
      <w:pPr>
        <w:spacing w:line="360" w:lineRule="auto"/>
        <w:ind w:firstLine="480"/>
        <w:rPr>
          <w:color w:val="auto"/>
          <w:szCs w:val="24"/>
        </w:rPr>
      </w:pPr>
      <w:r>
        <w:rPr>
          <w:rFonts w:hint="eastAsia"/>
          <w:color w:val="auto"/>
          <w:szCs w:val="24"/>
        </w:rPr>
        <w:t>拟建项目</w:t>
      </w:r>
      <w:r>
        <w:rPr>
          <w:color w:val="auto"/>
          <w:szCs w:val="24"/>
        </w:rPr>
        <w:t>厂界外200m。</w:t>
      </w:r>
    </w:p>
    <w:p w14:paraId="21A35816">
      <w:pPr>
        <w:spacing w:line="360" w:lineRule="auto"/>
        <w:ind w:firstLine="480"/>
        <w:rPr>
          <w:color w:val="auto"/>
          <w:szCs w:val="24"/>
        </w:rPr>
      </w:pPr>
      <w:r>
        <w:rPr>
          <w:rFonts w:hint="eastAsia"/>
          <w:color w:val="auto"/>
          <w:szCs w:val="24"/>
        </w:rPr>
        <w:t>（5）</w:t>
      </w:r>
      <w:r>
        <w:rPr>
          <w:color w:val="auto"/>
          <w:szCs w:val="24"/>
        </w:rPr>
        <w:t>生态环境</w:t>
      </w:r>
    </w:p>
    <w:p w14:paraId="3C32C2F4">
      <w:pPr>
        <w:spacing w:line="360" w:lineRule="auto"/>
        <w:ind w:firstLine="480"/>
        <w:rPr>
          <w:color w:val="auto"/>
          <w:szCs w:val="24"/>
        </w:rPr>
      </w:pPr>
      <w:r>
        <w:rPr>
          <w:rFonts w:hint="eastAsia"/>
          <w:color w:val="auto"/>
          <w:szCs w:val="24"/>
        </w:rPr>
        <w:t>拟建项目</w:t>
      </w:r>
      <w:r>
        <w:rPr>
          <w:color w:val="auto"/>
        </w:rPr>
        <w:t>占地</w:t>
      </w:r>
      <w:r>
        <w:rPr>
          <w:rFonts w:hint="eastAsia"/>
          <w:color w:val="auto"/>
        </w:rPr>
        <w:t>范围内的区域</w:t>
      </w:r>
      <w:r>
        <w:rPr>
          <w:color w:val="auto"/>
          <w:szCs w:val="24"/>
        </w:rPr>
        <w:t>。</w:t>
      </w:r>
    </w:p>
    <w:p w14:paraId="3748DDFE">
      <w:pPr>
        <w:spacing w:line="360" w:lineRule="auto"/>
        <w:ind w:firstLine="480"/>
        <w:rPr>
          <w:color w:val="auto"/>
          <w:szCs w:val="24"/>
        </w:rPr>
      </w:pPr>
      <w:r>
        <w:rPr>
          <w:rFonts w:hint="eastAsia"/>
          <w:color w:val="auto"/>
          <w:szCs w:val="24"/>
        </w:rPr>
        <w:t>（6）土壤</w:t>
      </w:r>
    </w:p>
    <w:p w14:paraId="43A052AD">
      <w:pPr>
        <w:spacing w:line="360" w:lineRule="auto"/>
        <w:ind w:firstLine="480"/>
        <w:rPr>
          <w:color w:val="auto"/>
          <w:szCs w:val="24"/>
        </w:rPr>
      </w:pPr>
      <w:r>
        <w:rPr>
          <w:rFonts w:hint="eastAsia"/>
          <w:color w:val="auto"/>
          <w:szCs w:val="24"/>
        </w:rPr>
        <w:t>拟建项目</w:t>
      </w:r>
      <w:r>
        <w:rPr>
          <w:color w:val="auto"/>
        </w:rPr>
        <w:t>区域及</w:t>
      </w:r>
      <w:r>
        <w:rPr>
          <w:rFonts w:hint="eastAsia"/>
          <w:color w:val="auto"/>
          <w:szCs w:val="24"/>
        </w:rPr>
        <w:t>占地范围外</w:t>
      </w:r>
      <w:r>
        <w:rPr>
          <w:color w:val="auto"/>
          <w:szCs w:val="24"/>
        </w:rPr>
        <w:t>50m范围。</w:t>
      </w:r>
    </w:p>
    <w:p w14:paraId="308D691C">
      <w:pPr>
        <w:spacing w:line="360" w:lineRule="auto"/>
        <w:ind w:firstLine="480"/>
        <w:rPr>
          <w:color w:val="auto"/>
          <w:szCs w:val="24"/>
        </w:rPr>
      </w:pPr>
      <w:r>
        <w:rPr>
          <w:rFonts w:hint="eastAsia"/>
          <w:color w:val="auto"/>
          <w:szCs w:val="24"/>
        </w:rPr>
        <w:t>（</w:t>
      </w:r>
      <w:r>
        <w:rPr>
          <w:color w:val="auto"/>
          <w:szCs w:val="24"/>
        </w:rPr>
        <w:t>7</w:t>
      </w:r>
      <w:r>
        <w:rPr>
          <w:rFonts w:hint="eastAsia"/>
          <w:color w:val="auto"/>
          <w:szCs w:val="24"/>
        </w:rPr>
        <w:t>）</w:t>
      </w:r>
      <w:r>
        <w:rPr>
          <w:color w:val="auto"/>
          <w:szCs w:val="24"/>
        </w:rPr>
        <w:t>环境风险</w:t>
      </w:r>
    </w:p>
    <w:p w14:paraId="2FFCC7D1">
      <w:pPr>
        <w:spacing w:line="460" w:lineRule="atLeast"/>
        <w:ind w:firstLine="480"/>
        <w:rPr>
          <w:color w:val="auto"/>
        </w:rPr>
      </w:pPr>
      <w:bookmarkStart w:id="113" w:name="_Toc472509266"/>
      <w:r>
        <w:rPr>
          <w:rFonts w:hint="eastAsia"/>
          <w:color w:val="auto"/>
        </w:rPr>
        <w:t>按照《建设项目环境风险评价技术导则》（HJ169-2018）的有关规定，项目的环境风险评价范围具体如下：</w:t>
      </w:r>
    </w:p>
    <w:p w14:paraId="26E97090">
      <w:pPr>
        <w:spacing w:line="460" w:lineRule="atLeast"/>
        <w:ind w:firstLine="480"/>
        <w:rPr>
          <w:color w:val="auto"/>
        </w:rPr>
      </w:pPr>
      <w:r>
        <w:rPr>
          <w:rFonts w:hint="eastAsia"/>
          <w:color w:val="auto"/>
        </w:rPr>
        <w:t>①大气环境风险评价范围</w:t>
      </w:r>
    </w:p>
    <w:p w14:paraId="714B41B3">
      <w:pPr>
        <w:spacing w:line="460" w:lineRule="atLeast"/>
        <w:ind w:firstLine="480"/>
        <w:rPr>
          <w:color w:val="auto"/>
        </w:rPr>
      </w:pPr>
      <w:r>
        <w:rPr>
          <w:rFonts w:hint="eastAsia"/>
          <w:color w:val="auto"/>
        </w:rPr>
        <w:t>以建设项目厂区为中心外扩</w:t>
      </w:r>
      <w:r>
        <w:rPr>
          <w:color w:val="auto"/>
        </w:rPr>
        <w:t xml:space="preserve">3km </w:t>
      </w:r>
      <w:r>
        <w:rPr>
          <w:rFonts w:hint="eastAsia"/>
          <w:color w:val="auto"/>
        </w:rPr>
        <w:t>的范围。</w:t>
      </w:r>
    </w:p>
    <w:p w14:paraId="01FD3038">
      <w:pPr>
        <w:spacing w:line="460" w:lineRule="atLeast"/>
        <w:ind w:firstLine="480"/>
        <w:rPr>
          <w:color w:val="auto"/>
        </w:rPr>
      </w:pPr>
      <w:r>
        <w:rPr>
          <w:rFonts w:hint="eastAsia"/>
          <w:color w:val="auto"/>
        </w:rPr>
        <w:t>②地表水环境风险评价范围</w:t>
      </w:r>
    </w:p>
    <w:p w14:paraId="762F8AF3">
      <w:pPr>
        <w:spacing w:line="460" w:lineRule="atLeast"/>
        <w:ind w:firstLine="480"/>
        <w:rPr>
          <w:color w:val="auto"/>
        </w:rPr>
      </w:pPr>
      <w:r>
        <w:rPr>
          <w:rFonts w:hint="eastAsia"/>
          <w:color w:val="auto"/>
        </w:rPr>
        <w:t>项目已设置事故池</w:t>
      </w:r>
      <w:r>
        <w:rPr>
          <w:rFonts w:hint="eastAsia"/>
          <w:color w:val="auto"/>
          <w:lang w:eastAsia="zh-CN"/>
        </w:rPr>
        <w:t>（兼</w:t>
      </w:r>
      <w:r>
        <w:rPr>
          <w:rFonts w:hint="eastAsia"/>
          <w:color w:val="auto"/>
        </w:rPr>
        <w:t>初期雨水收集池</w:t>
      </w:r>
      <w:r>
        <w:rPr>
          <w:rFonts w:hint="eastAsia"/>
          <w:color w:val="auto"/>
          <w:lang w:eastAsia="zh-CN"/>
        </w:rPr>
        <w:t>）</w:t>
      </w:r>
      <w:r>
        <w:rPr>
          <w:rFonts w:hint="eastAsia"/>
          <w:color w:val="auto"/>
        </w:rPr>
        <w:t>，不再考虑风险事故泄漏危险物质对地表水体的影响，因此不设地表水环境风险评价范围。</w:t>
      </w:r>
    </w:p>
    <w:p w14:paraId="03A5BB45">
      <w:pPr>
        <w:spacing w:line="460" w:lineRule="atLeast"/>
        <w:ind w:firstLine="480"/>
        <w:rPr>
          <w:color w:val="auto"/>
        </w:rPr>
      </w:pPr>
      <w:r>
        <w:rPr>
          <w:rFonts w:hint="eastAsia"/>
          <w:color w:val="auto"/>
        </w:rPr>
        <w:t>③地下水环境风险评价范围</w:t>
      </w:r>
    </w:p>
    <w:p w14:paraId="2BB0F382">
      <w:pPr>
        <w:keepNext w:val="0"/>
        <w:keepLines w:val="0"/>
        <w:pageBreakBefore w:val="0"/>
        <w:widowControl w:val="0"/>
        <w:kinsoku/>
        <w:wordWrap/>
        <w:overflowPunct/>
        <w:topLinePunct w:val="0"/>
        <w:autoSpaceDE/>
        <w:autoSpaceDN/>
        <w:bidi w:val="0"/>
        <w:adjustRightInd w:val="0"/>
        <w:snapToGrid w:val="0"/>
        <w:spacing w:after="157" w:afterLines="50" w:line="460" w:lineRule="atLeast"/>
        <w:ind w:firstLine="480"/>
        <w:textAlignment w:val="auto"/>
        <w:rPr>
          <w:color w:val="auto"/>
        </w:rPr>
      </w:pPr>
      <w:r>
        <w:rPr>
          <w:rFonts w:hint="eastAsia"/>
          <w:color w:val="auto"/>
          <w:kern w:val="0"/>
        </w:rPr>
        <w:t>根据《建设项目环境风险评价技术导则》（</w:t>
      </w:r>
      <w:r>
        <w:rPr>
          <w:color w:val="auto"/>
          <w:kern w:val="0"/>
        </w:rPr>
        <w:t>HJ 169-2018</w:t>
      </w:r>
      <w:r>
        <w:rPr>
          <w:rFonts w:hint="eastAsia"/>
          <w:color w:val="auto"/>
          <w:kern w:val="0"/>
        </w:rPr>
        <w:t>）规定，项目地下水环境风险评价范围：以相对独立水文地质单元为边界，选定重点调查范围为拟建项目厂区及厂址周围下游区域，具体为：调查评价范围约</w:t>
      </w:r>
      <w:r>
        <w:rPr>
          <w:rFonts w:hint="eastAsia"/>
          <w:color w:val="auto"/>
          <w:lang w:val="en-US" w:eastAsia="zh-CN"/>
        </w:rPr>
        <w:t>15.0</w:t>
      </w:r>
      <w:r>
        <w:rPr>
          <w:color w:val="auto"/>
          <w:kern w:val="0"/>
        </w:rPr>
        <w:t>km</w:t>
      </w:r>
      <w:r>
        <w:rPr>
          <w:color w:val="auto"/>
          <w:kern w:val="0"/>
          <w:vertAlign w:val="superscript"/>
        </w:rPr>
        <w:t>2</w:t>
      </w:r>
      <w:r>
        <w:rPr>
          <w:rFonts w:hint="eastAsia"/>
          <w:color w:val="auto"/>
        </w:rPr>
        <w:t>。</w:t>
      </w:r>
    </w:p>
    <w:p w14:paraId="76EEC805">
      <w:pPr>
        <w:pStyle w:val="4"/>
        <w:numPr>
          <w:ilvl w:val="0"/>
          <w:numId w:val="0"/>
        </w:numPr>
        <w:spacing w:line="360" w:lineRule="auto"/>
        <w:rPr>
          <w:color w:val="auto"/>
          <w:szCs w:val="24"/>
        </w:rPr>
      </w:pPr>
      <w:bookmarkStart w:id="114" w:name="_Toc18326"/>
      <w:r>
        <w:rPr>
          <w:rFonts w:hint="eastAsia"/>
          <w:color w:val="auto"/>
          <w:szCs w:val="24"/>
          <w:lang w:eastAsia="zh-CN"/>
        </w:rPr>
        <w:t>2.9</w:t>
      </w:r>
      <w:r>
        <w:rPr>
          <w:color w:val="auto"/>
          <w:szCs w:val="24"/>
        </w:rPr>
        <w:t>产业政策及相关规划</w:t>
      </w:r>
      <w:bookmarkEnd w:id="113"/>
      <w:r>
        <w:rPr>
          <w:rFonts w:hint="eastAsia"/>
          <w:color w:val="auto"/>
          <w:szCs w:val="24"/>
        </w:rPr>
        <w:t>符合性分析</w:t>
      </w:r>
      <w:bookmarkEnd w:id="114"/>
    </w:p>
    <w:p w14:paraId="422F2C2E">
      <w:pPr>
        <w:pStyle w:val="5"/>
        <w:numPr>
          <w:ilvl w:val="0"/>
          <w:numId w:val="0"/>
        </w:numPr>
        <w:spacing w:line="360" w:lineRule="auto"/>
        <w:rPr>
          <w:color w:val="auto"/>
          <w:szCs w:val="24"/>
        </w:rPr>
      </w:pPr>
      <w:r>
        <w:rPr>
          <w:rFonts w:hint="eastAsia"/>
          <w:color w:val="auto"/>
          <w:szCs w:val="24"/>
          <w:lang w:eastAsia="zh-CN"/>
        </w:rPr>
        <w:t>2.9</w:t>
      </w:r>
      <w:r>
        <w:rPr>
          <w:color w:val="auto"/>
          <w:szCs w:val="24"/>
        </w:rPr>
        <w:t>.1产业政策符合性</w:t>
      </w:r>
    </w:p>
    <w:p w14:paraId="7DE04CC7">
      <w:pPr>
        <w:spacing w:line="360" w:lineRule="auto"/>
        <w:ind w:firstLine="480"/>
        <w:rPr>
          <w:bCs/>
          <w:color w:val="auto"/>
          <w:szCs w:val="24"/>
        </w:rPr>
      </w:pPr>
      <w:r>
        <w:rPr>
          <w:bCs/>
          <w:color w:val="auto"/>
          <w:szCs w:val="24"/>
        </w:rPr>
        <w:t>根据《产业结构调整指导目录（</w:t>
      </w:r>
      <w:r>
        <w:rPr>
          <w:rFonts w:hint="eastAsia"/>
          <w:bCs/>
          <w:color w:val="auto"/>
          <w:szCs w:val="24"/>
        </w:rPr>
        <w:t>2024年本</w:t>
      </w:r>
      <w:r>
        <w:rPr>
          <w:bCs/>
          <w:color w:val="auto"/>
          <w:szCs w:val="24"/>
        </w:rPr>
        <w:t>）》，拟建项目属于其中“鼓励类，第</w:t>
      </w:r>
      <w:r>
        <w:rPr>
          <w:rFonts w:hint="eastAsia"/>
          <w:bCs/>
          <w:color w:val="auto"/>
          <w:szCs w:val="24"/>
        </w:rPr>
        <w:t>四</w:t>
      </w:r>
      <w:r>
        <w:rPr>
          <w:bCs/>
          <w:color w:val="auto"/>
          <w:szCs w:val="24"/>
        </w:rPr>
        <w:t>十</w:t>
      </w:r>
      <w:r>
        <w:rPr>
          <w:rFonts w:hint="eastAsia"/>
          <w:bCs/>
          <w:color w:val="auto"/>
          <w:szCs w:val="24"/>
        </w:rPr>
        <w:t>二</w:t>
      </w:r>
      <w:r>
        <w:rPr>
          <w:bCs/>
          <w:color w:val="auto"/>
          <w:szCs w:val="24"/>
        </w:rPr>
        <w:t>项，环境保护与资源节约综合利用，第1</w:t>
      </w:r>
      <w:r>
        <w:rPr>
          <w:rFonts w:hint="eastAsia"/>
          <w:bCs/>
          <w:color w:val="auto"/>
          <w:szCs w:val="24"/>
        </w:rPr>
        <w:t>0</w:t>
      </w:r>
      <w:r>
        <w:rPr>
          <w:bCs/>
          <w:color w:val="auto"/>
          <w:szCs w:val="24"/>
        </w:rPr>
        <w:t>条：</w:t>
      </w:r>
      <w:r>
        <w:rPr>
          <w:rFonts w:hint="eastAsia"/>
          <w:bCs/>
          <w:color w:val="auto"/>
          <w:szCs w:val="24"/>
        </w:rPr>
        <w:t>工业“三废”循环利用：</w:t>
      </w:r>
      <w:r>
        <w:rPr>
          <w:rFonts w:hint="eastAsia"/>
          <w:b/>
          <w:color w:val="auto"/>
          <w:szCs w:val="24"/>
        </w:rPr>
        <w:t>“三废”综合利用与治理技术、装备和工程</w:t>
      </w:r>
      <w:r>
        <w:rPr>
          <w:rFonts w:hint="eastAsia"/>
          <w:bCs/>
          <w:color w:val="auto"/>
          <w:szCs w:val="24"/>
        </w:rPr>
        <w:t>，“三废”处理用生物菌种和添加剂开发与生产，废水高效循环利用技术应用，工业难降解有机废水循环利用、高盐废水循环利用、循环水回收利用、高效分离膜材料、高效催化氧化材料等技术装备</w:t>
      </w:r>
      <w:r>
        <w:rPr>
          <w:rFonts w:hint="eastAsia"/>
          <w:b w:val="0"/>
          <w:bCs/>
          <w:color w:val="auto"/>
          <w:szCs w:val="24"/>
        </w:rPr>
        <w:t>，高盐废水和工业副产盐的资源化利用，</w:t>
      </w:r>
      <w:r>
        <w:rPr>
          <w:rFonts w:hint="eastAsia"/>
          <w:bCs/>
          <w:color w:val="auto"/>
          <w:szCs w:val="24"/>
        </w:rPr>
        <w:t>轻烃类石化副产物综合利用技术装备，硫回收装备（低温克劳斯法）</w:t>
      </w:r>
      <w:r>
        <w:rPr>
          <w:bCs/>
          <w:color w:val="auto"/>
          <w:szCs w:val="24"/>
        </w:rPr>
        <w:t>”</w:t>
      </w:r>
      <w:r>
        <w:rPr>
          <w:rFonts w:hint="eastAsia"/>
          <w:color w:val="auto"/>
        </w:rPr>
        <w:t>。</w:t>
      </w:r>
    </w:p>
    <w:p w14:paraId="1D95C1A2">
      <w:pPr>
        <w:spacing w:line="360" w:lineRule="auto"/>
        <w:ind w:firstLine="480"/>
        <w:rPr>
          <w:rFonts w:hint="default" w:eastAsia="宋体"/>
          <w:bCs/>
          <w:color w:val="auto"/>
          <w:szCs w:val="24"/>
          <w:lang w:val="en-US" w:eastAsia="zh-CN"/>
        </w:rPr>
      </w:pPr>
      <w:r>
        <w:rPr>
          <w:rFonts w:hint="eastAsia"/>
          <w:bCs/>
          <w:color w:val="auto"/>
          <w:szCs w:val="24"/>
          <w:lang w:eastAsia="zh-CN"/>
        </w:rPr>
        <w:t>建设单位于</w:t>
      </w:r>
      <w:r>
        <w:rPr>
          <w:rFonts w:hint="eastAsia"/>
          <w:bCs/>
          <w:color w:val="auto"/>
          <w:szCs w:val="24"/>
          <w:lang w:val="en-US" w:eastAsia="zh-CN"/>
        </w:rPr>
        <w:t>2025年8月取得忠县发展和改革委员会关于项目的投资备案证（项目代码:2508-500233-04-02-905241）。</w:t>
      </w:r>
    </w:p>
    <w:p w14:paraId="1E9985C0">
      <w:pPr>
        <w:spacing w:line="360" w:lineRule="auto"/>
        <w:ind w:firstLine="480"/>
        <w:rPr>
          <w:bCs/>
          <w:color w:val="auto"/>
          <w:szCs w:val="24"/>
        </w:rPr>
      </w:pPr>
      <w:r>
        <w:rPr>
          <w:bCs/>
          <w:color w:val="auto"/>
          <w:szCs w:val="24"/>
        </w:rPr>
        <w:t>因此，拟建项目的建设符合国家</w:t>
      </w:r>
      <w:r>
        <w:rPr>
          <w:rFonts w:hint="eastAsia"/>
          <w:bCs/>
          <w:color w:val="auto"/>
          <w:szCs w:val="24"/>
        </w:rPr>
        <w:t>及重庆市相关</w:t>
      </w:r>
      <w:r>
        <w:rPr>
          <w:bCs/>
          <w:color w:val="auto"/>
          <w:szCs w:val="24"/>
        </w:rPr>
        <w:t>产业政策。</w:t>
      </w:r>
    </w:p>
    <w:p w14:paraId="46B14E83">
      <w:pPr>
        <w:pStyle w:val="5"/>
        <w:numPr>
          <w:ilvl w:val="0"/>
          <w:numId w:val="0"/>
        </w:numPr>
        <w:spacing w:line="360" w:lineRule="auto"/>
        <w:rPr>
          <w:color w:val="auto"/>
          <w:szCs w:val="24"/>
        </w:rPr>
      </w:pPr>
      <w:r>
        <w:rPr>
          <w:rFonts w:hint="eastAsia"/>
          <w:color w:val="auto"/>
          <w:szCs w:val="24"/>
          <w:lang w:eastAsia="zh-CN"/>
        </w:rPr>
        <w:t>2.9</w:t>
      </w:r>
      <w:r>
        <w:rPr>
          <w:color w:val="auto"/>
          <w:szCs w:val="24"/>
        </w:rPr>
        <w:t>.2政策及规划符合性</w:t>
      </w:r>
    </w:p>
    <w:p w14:paraId="396A9AE1">
      <w:pPr>
        <w:spacing w:line="360" w:lineRule="auto"/>
        <w:ind w:firstLine="482"/>
        <w:rPr>
          <w:b/>
          <w:bCs/>
          <w:color w:val="auto"/>
          <w:szCs w:val="24"/>
        </w:rPr>
      </w:pPr>
      <w:r>
        <w:rPr>
          <w:b/>
          <w:bCs/>
          <w:color w:val="auto"/>
          <w:szCs w:val="24"/>
        </w:rPr>
        <w:t>（1）与国家及地方有关水污染防治行动计划符合性</w:t>
      </w:r>
    </w:p>
    <w:p w14:paraId="3DEDF340">
      <w:pPr>
        <w:spacing w:line="360" w:lineRule="auto"/>
        <w:ind w:firstLine="480"/>
        <w:rPr>
          <w:color w:val="auto"/>
          <w:szCs w:val="24"/>
        </w:rPr>
      </w:pPr>
      <w:r>
        <w:rPr>
          <w:color w:val="auto"/>
          <w:szCs w:val="24"/>
        </w:rPr>
        <w:t>《国务院关于印发水污染防治行动计划的通知》（国发</w:t>
      </w:r>
      <w:r>
        <w:rPr>
          <w:rFonts w:hint="eastAsia"/>
          <w:color w:val="auto"/>
          <w:szCs w:val="24"/>
        </w:rPr>
        <w:t>〔</w:t>
      </w:r>
      <w:r>
        <w:rPr>
          <w:color w:val="auto"/>
          <w:szCs w:val="24"/>
        </w:rPr>
        <w:t>2015</w:t>
      </w:r>
      <w:r>
        <w:rPr>
          <w:rFonts w:hint="eastAsia"/>
          <w:color w:val="auto"/>
          <w:szCs w:val="24"/>
        </w:rPr>
        <w:t>〕</w:t>
      </w:r>
      <w:r>
        <w:rPr>
          <w:color w:val="auto"/>
          <w:szCs w:val="24"/>
        </w:rPr>
        <w:t>17号）中提出：“……</w:t>
      </w:r>
      <w:r>
        <w:rPr>
          <w:rFonts w:hint="eastAsia"/>
          <w:color w:val="auto"/>
          <w:szCs w:val="24"/>
        </w:rPr>
        <w:t>（七）推进循环发展。加强工业水循环利用。推进矿井水综合利用，煤炭矿区的补充用水、周边地区生产和生态用水应优先使用矿井水，加强洗煤废水循环利用。鼓励钢铁、纺织印染、造纸、石油石化、化工、制革等高耗水企业废水深度处理回用</w:t>
      </w:r>
      <w:r>
        <w:rPr>
          <w:color w:val="auto"/>
          <w:szCs w:val="24"/>
        </w:rPr>
        <w:t>……”。</w:t>
      </w:r>
    </w:p>
    <w:p w14:paraId="498FC8C0">
      <w:pPr>
        <w:spacing w:line="360" w:lineRule="auto"/>
        <w:ind w:firstLine="480"/>
        <w:rPr>
          <w:color w:val="auto"/>
          <w:szCs w:val="24"/>
        </w:rPr>
      </w:pPr>
      <w:r>
        <w:rPr>
          <w:rFonts w:hint="eastAsia"/>
          <w:color w:val="auto"/>
          <w:szCs w:val="24"/>
        </w:rPr>
        <w:t>拟建项目废水处理</w:t>
      </w:r>
      <w:r>
        <w:rPr>
          <w:rFonts w:hint="eastAsia"/>
          <w:color w:val="auto"/>
          <w:lang w:eastAsia="zh-CN"/>
        </w:rPr>
        <w:t>《页岩气开采水污染物排放标准》（DB50/1806-2025）间接排放标准限值</w:t>
      </w:r>
      <w:r>
        <w:rPr>
          <w:rFonts w:hint="eastAsia"/>
          <w:color w:val="auto"/>
          <w:szCs w:val="24"/>
          <w:lang w:eastAsia="zh-CN"/>
        </w:rPr>
        <w:t>后直接接入乌杨组团园区污水处理厂</w:t>
      </w:r>
      <w:r>
        <w:rPr>
          <w:rFonts w:hint="eastAsia"/>
          <w:color w:val="auto"/>
          <w:szCs w:val="24"/>
        </w:rPr>
        <w:t>进行深度处理达《城镇污水处理厂污染物排放标准》（GB18918-2002）一级 A 标准后排入</w:t>
      </w:r>
      <w:r>
        <w:rPr>
          <w:rFonts w:hint="eastAsia"/>
          <w:color w:val="auto"/>
          <w:szCs w:val="24"/>
          <w:lang w:eastAsia="zh-CN"/>
        </w:rPr>
        <w:t>长江</w:t>
      </w:r>
      <w:r>
        <w:rPr>
          <w:rFonts w:hint="eastAsia"/>
          <w:color w:val="auto"/>
          <w:szCs w:val="24"/>
        </w:rPr>
        <w:t>，</w:t>
      </w:r>
      <w:r>
        <w:rPr>
          <w:color w:val="auto"/>
          <w:szCs w:val="24"/>
        </w:rPr>
        <w:t>是一项环保工程</w:t>
      </w:r>
      <w:r>
        <w:rPr>
          <w:rFonts w:hint="eastAsia"/>
          <w:color w:val="auto"/>
          <w:szCs w:val="24"/>
        </w:rPr>
        <w:t>，</w:t>
      </w:r>
      <w:r>
        <w:rPr>
          <w:color w:val="auto"/>
          <w:szCs w:val="24"/>
        </w:rPr>
        <w:t>满足相关要求。</w:t>
      </w:r>
    </w:p>
    <w:p w14:paraId="057773DE">
      <w:pPr>
        <w:spacing w:line="360" w:lineRule="auto"/>
        <w:ind w:firstLine="482"/>
        <w:rPr>
          <w:b/>
          <w:bCs/>
          <w:color w:val="auto"/>
          <w:szCs w:val="24"/>
        </w:rPr>
      </w:pPr>
      <w:r>
        <w:rPr>
          <w:b/>
          <w:bCs/>
          <w:color w:val="auto"/>
          <w:szCs w:val="24"/>
        </w:rPr>
        <w:t>（2）与</w:t>
      </w:r>
      <w:r>
        <w:rPr>
          <w:rFonts w:hint="eastAsia"/>
          <w:b/>
          <w:bCs/>
          <w:color w:val="auto"/>
          <w:szCs w:val="24"/>
        </w:rPr>
        <w:t>《重庆市生态环境保护“十四五”规划》（2021—2025年）（渝府发〔2022〕11号）</w:t>
      </w:r>
      <w:r>
        <w:rPr>
          <w:b/>
          <w:bCs/>
          <w:color w:val="auto"/>
          <w:szCs w:val="24"/>
        </w:rPr>
        <w:t>的符合性分析</w:t>
      </w:r>
    </w:p>
    <w:p w14:paraId="62607644">
      <w:pPr>
        <w:spacing w:line="360" w:lineRule="auto"/>
        <w:ind w:firstLine="480"/>
        <w:rPr>
          <w:color w:val="auto"/>
          <w:szCs w:val="24"/>
        </w:rPr>
      </w:pPr>
      <w:r>
        <w:rPr>
          <w:color w:val="auto"/>
          <w:szCs w:val="24"/>
        </w:rPr>
        <w:t>根据</w:t>
      </w:r>
      <w:r>
        <w:rPr>
          <w:rFonts w:hint="eastAsia"/>
          <w:color w:val="auto"/>
          <w:szCs w:val="24"/>
        </w:rPr>
        <w:t>《重庆市生态环境保护“十四五”规划》（2021—2025年）（渝府发〔2022〕11号）</w:t>
      </w:r>
      <w:r>
        <w:rPr>
          <w:color w:val="auto"/>
          <w:szCs w:val="24"/>
        </w:rPr>
        <w:t>......</w:t>
      </w:r>
      <w:r>
        <w:rPr>
          <w:rFonts w:hint="eastAsia"/>
          <w:color w:val="auto"/>
          <w:spacing w:val="-4"/>
        </w:rPr>
        <w:t>开展工业园区清洁生产试点，</w:t>
      </w:r>
      <w:r>
        <w:rPr>
          <w:rFonts w:hint="eastAsia"/>
          <w:color w:val="auto"/>
        </w:rPr>
        <w:t>实现能源梯级利用、水资源循环利用、废物交换利用、土地集约利用，推行企业循环式生产、园区循环化改造、产业循环式组合。</w:t>
      </w:r>
      <w:r>
        <w:rPr>
          <w:color w:val="auto"/>
          <w:szCs w:val="24"/>
        </w:rPr>
        <w:t>......”</w:t>
      </w:r>
    </w:p>
    <w:p w14:paraId="4B8B890B">
      <w:pPr>
        <w:spacing w:line="360" w:lineRule="auto"/>
        <w:ind w:firstLine="480"/>
        <w:rPr>
          <w:color w:val="auto"/>
          <w:szCs w:val="24"/>
        </w:rPr>
      </w:pPr>
      <w:r>
        <w:rPr>
          <w:color w:val="auto"/>
          <w:szCs w:val="24"/>
        </w:rPr>
        <w:t>拟建项目为</w:t>
      </w:r>
      <w:r>
        <w:rPr>
          <w:rFonts w:hint="eastAsia"/>
          <w:bCs/>
          <w:color w:val="auto"/>
          <w:szCs w:val="24"/>
          <w:lang w:eastAsia="zh-CN"/>
        </w:rPr>
        <w:t>页岩气开采废水集中处理项目</w:t>
      </w:r>
      <w:r>
        <w:rPr>
          <w:color w:val="auto"/>
          <w:szCs w:val="24"/>
        </w:rPr>
        <w:t>，</w:t>
      </w:r>
      <w:r>
        <w:rPr>
          <w:rFonts w:hint="eastAsia"/>
          <w:color w:val="auto"/>
          <w:szCs w:val="24"/>
        </w:rPr>
        <w:t>废水处理达到</w:t>
      </w:r>
      <w:r>
        <w:rPr>
          <w:rFonts w:hint="eastAsia"/>
          <w:color w:val="auto"/>
          <w:lang w:eastAsia="zh-CN"/>
        </w:rPr>
        <w:t>《页岩气开采水污染物排放标准》（DB50/1806-2025）间接排放标准限值</w:t>
      </w:r>
      <w:r>
        <w:rPr>
          <w:rFonts w:hint="eastAsia"/>
          <w:color w:val="auto"/>
          <w:szCs w:val="24"/>
          <w:lang w:eastAsia="zh-CN"/>
        </w:rPr>
        <w:t>后直接接入乌杨组团园区污水处理厂</w:t>
      </w:r>
      <w:r>
        <w:rPr>
          <w:rFonts w:hint="eastAsia"/>
          <w:color w:val="auto"/>
          <w:szCs w:val="24"/>
        </w:rPr>
        <w:t>进行深度处理达《城镇污水处理厂污染物排放标准》（GB18918-2002）一级 A 标准后排入</w:t>
      </w:r>
      <w:r>
        <w:rPr>
          <w:rFonts w:hint="eastAsia"/>
          <w:color w:val="auto"/>
          <w:szCs w:val="24"/>
          <w:lang w:eastAsia="zh-CN"/>
        </w:rPr>
        <w:t>长江</w:t>
      </w:r>
      <w:r>
        <w:rPr>
          <w:rFonts w:hint="eastAsia"/>
          <w:color w:val="auto"/>
          <w:szCs w:val="24"/>
        </w:rPr>
        <w:t>，</w:t>
      </w:r>
      <w:r>
        <w:rPr>
          <w:color w:val="auto"/>
          <w:szCs w:val="24"/>
        </w:rPr>
        <w:t>是一项环保工程，</w:t>
      </w:r>
      <w:r>
        <w:rPr>
          <w:rFonts w:hint="eastAsia"/>
          <w:color w:val="auto"/>
          <w:szCs w:val="24"/>
        </w:rPr>
        <w:t>符合《重庆市生态环境保护“十四五”规划》（2021—2025年）（渝府发〔2022〕11号）</w:t>
      </w:r>
      <w:r>
        <w:rPr>
          <w:color w:val="auto"/>
          <w:szCs w:val="24"/>
        </w:rPr>
        <w:t>相关要求。</w:t>
      </w:r>
    </w:p>
    <w:p w14:paraId="01F048C2">
      <w:pPr>
        <w:spacing w:line="360" w:lineRule="auto"/>
        <w:ind w:firstLine="482"/>
        <w:rPr>
          <w:bCs/>
          <w:color w:val="auto"/>
          <w:szCs w:val="24"/>
        </w:rPr>
      </w:pPr>
      <w:r>
        <w:rPr>
          <w:rFonts w:hint="eastAsia"/>
          <w:b/>
          <w:bCs/>
          <w:color w:val="auto"/>
          <w:szCs w:val="24"/>
        </w:rPr>
        <w:t>（3）与《重庆市生态环境局关于印发重庆市大气环境保护“十四五”规划（2021—2025年）的通知》（渝环〔2022〕43号）符合性分析</w:t>
      </w:r>
      <w:r>
        <w:rPr>
          <w:b/>
          <w:bCs/>
          <w:color w:val="auto"/>
          <w:szCs w:val="24"/>
        </w:rPr>
        <w:cr/>
      </w:r>
      <w:r>
        <w:rPr>
          <w:b/>
          <w:bCs/>
          <w:color w:val="auto"/>
          <w:szCs w:val="24"/>
        </w:rPr>
        <w:t xml:space="preserve">    </w:t>
      </w:r>
      <w:r>
        <w:rPr>
          <w:rFonts w:hint="eastAsia"/>
          <w:bCs/>
          <w:color w:val="auto"/>
          <w:szCs w:val="24"/>
        </w:rPr>
        <w:t>根据《重庆市生态环境局关于印发重庆市大气环境保护“十四五”规划（2021—2025年）的通知》（渝环〔2022〕43号）第三章第四节：“</w:t>
      </w:r>
      <w:r>
        <w:rPr>
          <w:rFonts w:hint="eastAsia"/>
          <w:color w:val="auto"/>
          <w:szCs w:val="24"/>
        </w:rPr>
        <w:t>（六）综合治理恶臭污染。推动化工、制药、工业涂装等行业结合VOCs防治进一步实施恶臭治理</w:t>
      </w:r>
      <w:r>
        <w:rPr>
          <w:color w:val="auto"/>
          <w:szCs w:val="24"/>
        </w:rPr>
        <w:t>。</w:t>
      </w:r>
      <w:r>
        <w:rPr>
          <w:rFonts w:hint="eastAsia"/>
          <w:color w:val="auto"/>
          <w:szCs w:val="24"/>
        </w:rPr>
        <w:t>橡胶、塑料、食品加工等行业强化恶臭气体收集和治理</w:t>
      </w:r>
      <w:r>
        <w:rPr>
          <w:color w:val="auto"/>
          <w:szCs w:val="24"/>
        </w:rPr>
        <w:t>。</w:t>
      </w:r>
      <w:r>
        <w:rPr>
          <w:rFonts w:hint="eastAsia"/>
          <w:color w:val="auto"/>
          <w:szCs w:val="24"/>
        </w:rPr>
        <w:t>垃圾、污水集中式污染处理设施等加大控制措施，应收则收，按源施策，采取除臭措施</w:t>
      </w:r>
      <w:r>
        <w:rPr>
          <w:color w:val="auto"/>
          <w:szCs w:val="24"/>
        </w:rPr>
        <w:t>。</w:t>
      </w:r>
      <w:r>
        <w:rPr>
          <w:rFonts w:hint="eastAsia"/>
          <w:color w:val="auto"/>
          <w:szCs w:val="24"/>
        </w:rPr>
        <w:t>研究小规模养殖场和散养户粪污集中处理除臭措施</w:t>
      </w:r>
      <w:r>
        <w:rPr>
          <w:color w:val="auto"/>
          <w:szCs w:val="24"/>
        </w:rPr>
        <w:t>。</w:t>
      </w:r>
      <w:r>
        <w:rPr>
          <w:rFonts w:hint="eastAsia"/>
          <w:color w:val="auto"/>
          <w:szCs w:val="24"/>
        </w:rPr>
        <w:t>恶臭投诉集中的工业园区、重点企业安装运行在线监测预警系统。按国家要求，协同控制大气汞排放</w:t>
      </w:r>
      <w:r>
        <w:rPr>
          <w:rFonts w:hint="eastAsia"/>
          <w:bCs/>
          <w:color w:val="auto"/>
          <w:szCs w:val="24"/>
        </w:rPr>
        <w:t>”</w:t>
      </w:r>
      <w:r>
        <w:rPr>
          <w:rFonts w:hint="eastAsia"/>
          <w:color w:val="auto"/>
          <w:szCs w:val="24"/>
        </w:rPr>
        <w:t>。</w:t>
      </w:r>
    </w:p>
    <w:p w14:paraId="05331558">
      <w:pPr>
        <w:spacing w:line="360" w:lineRule="auto"/>
        <w:ind w:firstLine="480"/>
        <w:rPr>
          <w:color w:val="auto"/>
          <w:szCs w:val="24"/>
        </w:rPr>
      </w:pPr>
      <w:r>
        <w:rPr>
          <w:color w:val="auto"/>
          <w:szCs w:val="24"/>
        </w:rPr>
        <w:t>拟建项目为</w:t>
      </w:r>
      <w:r>
        <w:rPr>
          <w:rFonts w:hint="eastAsia"/>
          <w:bCs/>
          <w:color w:val="auto"/>
          <w:szCs w:val="24"/>
          <w:lang w:eastAsia="zh-CN"/>
        </w:rPr>
        <w:t>页岩气开采废水集中处理项目</w:t>
      </w:r>
      <w:r>
        <w:rPr>
          <w:color w:val="auto"/>
          <w:szCs w:val="24"/>
        </w:rPr>
        <w:t>，</w:t>
      </w:r>
      <w:r>
        <w:rPr>
          <w:rFonts w:hint="eastAsia"/>
          <w:color w:val="auto"/>
          <w:szCs w:val="24"/>
        </w:rPr>
        <w:t>主要产臭构筑物采取加盖等密闭措施，再经风机抽排至一套</w:t>
      </w:r>
      <w:r>
        <w:rPr>
          <w:rFonts w:hint="eastAsia"/>
          <w:color w:val="auto"/>
          <w:szCs w:val="21"/>
        </w:rPr>
        <w:t>“碱喷淋+除湿+活性炭吸附”处置达标后15mDA001排气筒排放</w:t>
      </w:r>
      <w:r>
        <w:rPr>
          <w:rFonts w:hint="eastAsia"/>
          <w:color w:val="auto"/>
          <w:szCs w:val="24"/>
        </w:rPr>
        <w:t>，对外环境影响较小，</w:t>
      </w:r>
      <w:r>
        <w:rPr>
          <w:rFonts w:hint="eastAsia"/>
          <w:color w:val="auto"/>
          <w:szCs w:val="24"/>
          <w:lang w:eastAsia="zh-CN"/>
        </w:rPr>
        <w:t>符合</w:t>
      </w:r>
      <w:r>
        <w:rPr>
          <w:rFonts w:hint="eastAsia"/>
          <w:bCs/>
          <w:color w:val="auto"/>
          <w:szCs w:val="24"/>
        </w:rPr>
        <w:t>《重庆市生态环境局关于印发重庆市大气环境保护“十四五”规划（2021—2025年）的通知》（渝环〔2022〕43号）</w:t>
      </w:r>
      <w:r>
        <w:rPr>
          <w:rFonts w:hint="eastAsia"/>
          <w:color w:val="auto"/>
          <w:szCs w:val="24"/>
        </w:rPr>
        <w:t>相关要求</w:t>
      </w:r>
      <w:r>
        <w:rPr>
          <w:color w:val="auto"/>
          <w:szCs w:val="24"/>
        </w:rPr>
        <w:t>。</w:t>
      </w:r>
    </w:p>
    <w:p w14:paraId="1DA8497C">
      <w:pPr>
        <w:spacing w:line="360" w:lineRule="auto"/>
        <w:ind w:firstLine="482"/>
        <w:rPr>
          <w:color w:val="auto"/>
          <w:szCs w:val="24"/>
        </w:rPr>
      </w:pPr>
      <w:r>
        <w:rPr>
          <w:rFonts w:hint="eastAsia"/>
          <w:b/>
          <w:color w:val="auto"/>
        </w:rPr>
        <w:t>（4）与重庆市生态环境局关于印发《重庆市水生态环境保护“十四五”规划（2021—2025年）》的函（</w:t>
      </w:r>
      <w:bookmarkStart w:id="115" w:name="_Toc4871"/>
      <w:r>
        <w:rPr>
          <w:rFonts w:hint="eastAsia"/>
          <w:b/>
          <w:color w:val="auto"/>
        </w:rPr>
        <w:t>渝环函〔</w:t>
      </w:r>
      <w:bookmarkStart w:id="116" w:name="gwnh"/>
      <w:r>
        <w:rPr>
          <w:rFonts w:hint="eastAsia"/>
          <w:b/>
          <w:color w:val="auto"/>
        </w:rPr>
        <w:t>2022</w:t>
      </w:r>
      <w:bookmarkEnd w:id="116"/>
      <w:r>
        <w:rPr>
          <w:rFonts w:hint="eastAsia"/>
          <w:b/>
          <w:color w:val="auto"/>
        </w:rPr>
        <w:t>〕347号</w:t>
      </w:r>
      <w:bookmarkEnd w:id="115"/>
      <w:r>
        <w:rPr>
          <w:rFonts w:hint="eastAsia"/>
          <w:b/>
          <w:color w:val="auto"/>
        </w:rPr>
        <w:t>）符合性分析</w:t>
      </w:r>
    </w:p>
    <w:p w14:paraId="45EF975B">
      <w:pPr>
        <w:spacing w:line="360" w:lineRule="auto"/>
        <w:ind w:firstLine="480"/>
        <w:rPr>
          <w:color w:val="auto"/>
          <w:szCs w:val="24"/>
        </w:rPr>
      </w:pPr>
      <w:r>
        <w:rPr>
          <w:color w:val="auto"/>
          <w:szCs w:val="24"/>
        </w:rPr>
        <w:t>拟建项目</w:t>
      </w:r>
      <w:r>
        <w:rPr>
          <w:rFonts w:hint="eastAsia"/>
          <w:color w:val="auto"/>
          <w:szCs w:val="24"/>
        </w:rPr>
        <w:t>符合重庆市生态环境局关于印发《重庆市水生态环境保护“十四五”规划（2021—2025年）》的函（渝环函〔2022〕347号）相关要求，符合性分析见下表。</w:t>
      </w:r>
    </w:p>
    <w:p w14:paraId="406AB73B">
      <w:pPr>
        <w:pStyle w:val="22"/>
        <w:spacing w:before="24" w:line="240" w:lineRule="auto"/>
        <w:ind w:firstLineChars="0"/>
        <w:jc w:val="both"/>
        <w:rPr>
          <w:rFonts w:ascii="Times New Roman" w:hAnsi="Times New Roman" w:eastAsia="宋体"/>
          <w:b w:val="0"/>
          <w:bCs w:val="0"/>
          <w:color w:val="auto"/>
        </w:rPr>
      </w:pPr>
      <w:r>
        <w:rPr>
          <w:rFonts w:ascii="Times New Roman" w:hAnsi="Times New Roman" w:eastAsia="宋体"/>
          <w:color w:val="auto"/>
        </w:rPr>
        <w:t>表</w:t>
      </w:r>
      <w:r>
        <w:rPr>
          <w:rFonts w:hint="eastAsia" w:ascii="Times New Roman" w:hAnsi="Times New Roman" w:eastAsia="宋体"/>
          <w:color w:val="auto"/>
          <w:lang w:eastAsia="zh-CN"/>
        </w:rPr>
        <w:t>2.9</w:t>
      </w:r>
      <w:r>
        <w:rPr>
          <w:rFonts w:ascii="Times New Roman" w:hAnsi="Times New Roman" w:eastAsia="宋体"/>
          <w:color w:val="auto"/>
        </w:rPr>
        <w:t>-</w:t>
      </w:r>
      <w:r>
        <w:rPr>
          <w:rFonts w:ascii="Times New Roman" w:hAnsi="Times New Roman" w:eastAsia="宋体"/>
          <w:color w:val="auto"/>
          <w:lang w:val="en-US"/>
        </w:rPr>
        <w:t>1</w:t>
      </w:r>
      <w:r>
        <w:rPr>
          <w:rFonts w:ascii="Times New Roman" w:hAnsi="Times New Roman" w:eastAsia="宋体"/>
          <w:color w:val="auto"/>
        </w:rPr>
        <w:t xml:space="preserve"> </w:t>
      </w:r>
      <w:r>
        <w:rPr>
          <w:rFonts w:ascii="Times New Roman" w:hAnsi="Times New Roman" w:eastAsia="宋体"/>
          <w:color w:val="auto"/>
          <w:lang w:val="en-US"/>
        </w:rPr>
        <w:t xml:space="preserve"> </w:t>
      </w:r>
      <w:r>
        <w:rPr>
          <w:rFonts w:hint="eastAsia" w:ascii="Times New Roman" w:hAnsi="Times New Roman" w:eastAsia="宋体"/>
          <w:color w:val="auto"/>
          <w:lang w:val="en-US"/>
        </w:rPr>
        <w:t>与重庆市水生态环境保护“十四五”规划（2021—2025年）符合性</w:t>
      </w:r>
    </w:p>
    <w:tbl>
      <w:tblPr>
        <w:tblStyle w:val="88"/>
        <w:tblW w:w="91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88"/>
        <w:gridCol w:w="5404"/>
        <w:gridCol w:w="2167"/>
        <w:gridCol w:w="967"/>
      </w:tblGrid>
      <w:tr w14:paraId="2D516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88" w:type="dxa"/>
            <w:tcBorders>
              <w:top w:val="single" w:color="auto" w:sz="4" w:space="0"/>
              <w:left w:val="single" w:color="auto" w:sz="4" w:space="0"/>
              <w:bottom w:val="single" w:color="auto" w:sz="4" w:space="0"/>
              <w:right w:val="single" w:color="auto" w:sz="4" w:space="0"/>
            </w:tcBorders>
            <w:shd w:val="clear" w:color="auto" w:fill="auto"/>
            <w:vAlign w:val="center"/>
          </w:tcPr>
          <w:p w14:paraId="0725F259">
            <w:pPr>
              <w:spacing w:line="240" w:lineRule="auto"/>
              <w:ind w:firstLine="0" w:firstLineChars="0"/>
              <w:rPr>
                <w:color w:val="auto"/>
                <w:sz w:val="21"/>
              </w:rPr>
            </w:pPr>
            <w:r>
              <w:rPr>
                <w:rFonts w:hint="eastAsia"/>
                <w:color w:val="auto"/>
                <w:sz w:val="21"/>
              </w:rPr>
              <w:t>序号</w:t>
            </w:r>
          </w:p>
        </w:tc>
        <w:tc>
          <w:tcPr>
            <w:tcW w:w="5404" w:type="dxa"/>
            <w:tcBorders>
              <w:top w:val="single" w:color="auto" w:sz="4" w:space="0"/>
              <w:left w:val="single" w:color="auto" w:sz="4" w:space="0"/>
              <w:bottom w:val="single" w:color="auto" w:sz="4" w:space="0"/>
              <w:right w:val="single" w:color="auto" w:sz="4" w:space="0"/>
            </w:tcBorders>
            <w:shd w:val="clear" w:color="auto" w:fill="auto"/>
            <w:vAlign w:val="center"/>
          </w:tcPr>
          <w:p w14:paraId="25EF5A71">
            <w:pPr>
              <w:spacing w:line="240" w:lineRule="auto"/>
              <w:ind w:firstLine="0" w:firstLineChars="0"/>
              <w:rPr>
                <w:color w:val="auto"/>
                <w:sz w:val="21"/>
              </w:rPr>
            </w:pPr>
            <w:r>
              <w:rPr>
                <w:rFonts w:hint="eastAsia"/>
                <w:color w:val="auto"/>
                <w:sz w:val="21"/>
              </w:rPr>
              <w:t>渝环函〔2022〕347号相关要求</w:t>
            </w:r>
          </w:p>
        </w:tc>
        <w:tc>
          <w:tcPr>
            <w:tcW w:w="2167" w:type="dxa"/>
            <w:tcBorders>
              <w:top w:val="single" w:color="auto" w:sz="4" w:space="0"/>
              <w:left w:val="single" w:color="auto" w:sz="4" w:space="0"/>
              <w:bottom w:val="single" w:color="auto" w:sz="4" w:space="0"/>
              <w:right w:val="single" w:color="auto" w:sz="4" w:space="0"/>
            </w:tcBorders>
            <w:shd w:val="clear" w:color="auto" w:fill="auto"/>
            <w:vAlign w:val="center"/>
          </w:tcPr>
          <w:p w14:paraId="29602B27">
            <w:pPr>
              <w:spacing w:line="240" w:lineRule="auto"/>
              <w:ind w:firstLine="0" w:firstLineChars="0"/>
              <w:jc w:val="center"/>
              <w:rPr>
                <w:color w:val="auto"/>
                <w:sz w:val="21"/>
              </w:rPr>
            </w:pPr>
            <w:r>
              <w:rPr>
                <w:rFonts w:hint="eastAsia"/>
                <w:color w:val="auto"/>
                <w:sz w:val="21"/>
              </w:rPr>
              <w:t>拟建项目建设情况</w:t>
            </w:r>
          </w:p>
        </w:tc>
        <w:tc>
          <w:tcPr>
            <w:tcW w:w="967" w:type="dxa"/>
            <w:tcBorders>
              <w:top w:val="single" w:color="auto" w:sz="4" w:space="0"/>
              <w:left w:val="single" w:color="auto" w:sz="4" w:space="0"/>
              <w:bottom w:val="single" w:color="auto" w:sz="4" w:space="0"/>
              <w:right w:val="single" w:color="auto" w:sz="4" w:space="0"/>
            </w:tcBorders>
            <w:shd w:val="clear" w:color="auto" w:fill="auto"/>
            <w:vAlign w:val="center"/>
          </w:tcPr>
          <w:p w14:paraId="5C4627B5">
            <w:pPr>
              <w:spacing w:line="240" w:lineRule="auto"/>
              <w:ind w:firstLine="0" w:firstLineChars="0"/>
              <w:jc w:val="center"/>
              <w:rPr>
                <w:color w:val="auto"/>
                <w:sz w:val="21"/>
              </w:rPr>
            </w:pPr>
            <w:r>
              <w:rPr>
                <w:rFonts w:hint="eastAsia"/>
                <w:color w:val="auto"/>
                <w:sz w:val="21"/>
              </w:rPr>
              <w:t>符合性</w:t>
            </w:r>
          </w:p>
        </w:tc>
      </w:tr>
      <w:tr w14:paraId="3C29A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88" w:type="dxa"/>
            <w:tcBorders>
              <w:top w:val="single" w:color="auto" w:sz="4" w:space="0"/>
              <w:left w:val="single" w:color="auto" w:sz="4" w:space="0"/>
              <w:bottom w:val="single" w:color="auto" w:sz="4" w:space="0"/>
              <w:right w:val="single" w:color="auto" w:sz="4" w:space="0"/>
            </w:tcBorders>
            <w:shd w:val="clear" w:color="auto" w:fill="auto"/>
            <w:vAlign w:val="center"/>
          </w:tcPr>
          <w:p w14:paraId="5B02637D">
            <w:pPr>
              <w:spacing w:line="240" w:lineRule="auto"/>
              <w:ind w:firstLine="0" w:firstLineChars="0"/>
              <w:rPr>
                <w:color w:val="auto"/>
                <w:sz w:val="21"/>
              </w:rPr>
            </w:pPr>
            <w:r>
              <w:rPr>
                <w:rFonts w:hint="eastAsia"/>
                <w:color w:val="auto"/>
                <w:sz w:val="21"/>
              </w:rPr>
              <w:t>1</w:t>
            </w:r>
          </w:p>
        </w:tc>
        <w:tc>
          <w:tcPr>
            <w:tcW w:w="5404" w:type="dxa"/>
            <w:tcBorders>
              <w:top w:val="single" w:color="auto" w:sz="4" w:space="0"/>
              <w:left w:val="single" w:color="auto" w:sz="4" w:space="0"/>
              <w:bottom w:val="single" w:color="auto" w:sz="4" w:space="0"/>
              <w:right w:val="single" w:color="auto" w:sz="4" w:space="0"/>
            </w:tcBorders>
            <w:shd w:val="clear" w:color="auto" w:fill="auto"/>
            <w:vAlign w:val="center"/>
          </w:tcPr>
          <w:p w14:paraId="3149A1A1">
            <w:pPr>
              <w:spacing w:line="240" w:lineRule="auto"/>
              <w:ind w:firstLine="0" w:firstLineChars="0"/>
              <w:rPr>
                <w:color w:val="auto"/>
                <w:sz w:val="21"/>
              </w:rPr>
            </w:pPr>
            <w:r>
              <w:rPr>
                <w:rFonts w:hint="eastAsia"/>
                <w:color w:val="auto"/>
                <w:sz w:val="21"/>
              </w:rPr>
              <w:t>强化生态空间管控。严格落实岸线空间管控，划定河湖岸线保护范围，制定河湖岸线保护规划，严格控制岸线开发建设，促进岸线合理高效利用。禁止在长江干支流岸线一公里范围内新建、扩建化工园区和化工项目。禁止在长江干流岸线三公里范围内和重要支流岸线一公里范围内新建、改建、扩建尾矿库；但是以提升安全、生态环境保护水平为目的的改建除外。禁止在长江流域重点生态功能区布局对生态系统有严重影响的产业。禁止市外重污染企业和项目向我市转移。除在安全或者产业布局等方面有特殊要求的项目外，新建有污染物排放的工业项目应当进入工业集聚区，新建化工项目应当进入全市统一布局的化工产业集聚区。</w:t>
            </w:r>
          </w:p>
        </w:tc>
        <w:tc>
          <w:tcPr>
            <w:tcW w:w="2167" w:type="dxa"/>
            <w:tcBorders>
              <w:top w:val="single" w:color="auto" w:sz="4" w:space="0"/>
              <w:left w:val="single" w:color="auto" w:sz="4" w:space="0"/>
              <w:bottom w:val="single" w:color="auto" w:sz="4" w:space="0"/>
              <w:right w:val="single" w:color="auto" w:sz="4" w:space="0"/>
            </w:tcBorders>
            <w:shd w:val="clear" w:color="auto" w:fill="auto"/>
            <w:vAlign w:val="center"/>
          </w:tcPr>
          <w:p w14:paraId="4D5C2A0E">
            <w:pPr>
              <w:spacing w:line="240" w:lineRule="auto"/>
              <w:ind w:firstLine="0" w:firstLineChars="0"/>
              <w:jc w:val="center"/>
              <w:rPr>
                <w:color w:val="auto"/>
                <w:sz w:val="21"/>
              </w:rPr>
            </w:pPr>
            <w:r>
              <w:rPr>
                <w:rFonts w:hint="eastAsia"/>
                <w:color w:val="auto"/>
                <w:sz w:val="21"/>
              </w:rPr>
              <w:t>拟建项目位于</w:t>
            </w:r>
            <w:r>
              <w:rPr>
                <w:rFonts w:hint="eastAsia"/>
                <w:color w:val="auto"/>
                <w:sz w:val="21"/>
                <w:lang w:eastAsia="zh-CN"/>
              </w:rPr>
              <w:t>忠县工业园乌杨组团</w:t>
            </w:r>
            <w:r>
              <w:rPr>
                <w:rFonts w:hint="eastAsia"/>
                <w:color w:val="auto"/>
                <w:sz w:val="21"/>
              </w:rPr>
              <w:t>，属于</w:t>
            </w:r>
            <w:r>
              <w:rPr>
                <w:rFonts w:hint="eastAsia"/>
                <w:color w:val="auto"/>
                <w:sz w:val="21"/>
                <w:lang w:eastAsia="zh-CN"/>
              </w:rPr>
              <w:t>集中工业</w:t>
            </w:r>
            <w:r>
              <w:rPr>
                <w:rFonts w:hint="eastAsia"/>
                <w:color w:val="auto"/>
                <w:sz w:val="21"/>
              </w:rPr>
              <w:t>污水处理</w:t>
            </w:r>
            <w:r>
              <w:rPr>
                <w:rFonts w:hint="eastAsia"/>
                <w:color w:val="auto"/>
                <w:sz w:val="21"/>
                <w:lang w:eastAsia="zh-CN"/>
              </w:rPr>
              <w:t>项目</w:t>
            </w:r>
            <w:r>
              <w:rPr>
                <w:rFonts w:hint="eastAsia"/>
                <w:color w:val="auto"/>
                <w:sz w:val="21"/>
              </w:rPr>
              <w:t>，不属于化工项目</w:t>
            </w:r>
          </w:p>
        </w:tc>
        <w:tc>
          <w:tcPr>
            <w:tcW w:w="967" w:type="dxa"/>
            <w:tcBorders>
              <w:top w:val="single" w:color="auto" w:sz="4" w:space="0"/>
              <w:left w:val="single" w:color="auto" w:sz="4" w:space="0"/>
              <w:bottom w:val="single" w:color="auto" w:sz="4" w:space="0"/>
              <w:right w:val="single" w:color="auto" w:sz="4" w:space="0"/>
            </w:tcBorders>
            <w:shd w:val="clear" w:color="auto" w:fill="auto"/>
            <w:vAlign w:val="center"/>
          </w:tcPr>
          <w:p w14:paraId="32050F8F">
            <w:pPr>
              <w:spacing w:line="240" w:lineRule="auto"/>
              <w:ind w:firstLine="0" w:firstLineChars="0"/>
              <w:jc w:val="center"/>
              <w:rPr>
                <w:color w:val="auto"/>
                <w:sz w:val="21"/>
              </w:rPr>
            </w:pPr>
            <w:r>
              <w:rPr>
                <w:rFonts w:hint="eastAsia"/>
                <w:color w:val="auto"/>
                <w:sz w:val="21"/>
              </w:rPr>
              <w:t>符合</w:t>
            </w:r>
          </w:p>
        </w:tc>
      </w:tr>
      <w:tr w14:paraId="51E19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88" w:type="dxa"/>
            <w:tcBorders>
              <w:top w:val="single" w:color="auto" w:sz="4" w:space="0"/>
              <w:left w:val="single" w:color="auto" w:sz="4" w:space="0"/>
              <w:bottom w:val="single" w:color="auto" w:sz="4" w:space="0"/>
              <w:right w:val="single" w:color="auto" w:sz="4" w:space="0"/>
            </w:tcBorders>
            <w:shd w:val="clear" w:color="auto" w:fill="auto"/>
            <w:vAlign w:val="center"/>
          </w:tcPr>
          <w:p w14:paraId="7EFEA553">
            <w:pPr>
              <w:spacing w:line="240" w:lineRule="auto"/>
              <w:ind w:firstLine="0" w:firstLineChars="0"/>
              <w:rPr>
                <w:color w:val="auto"/>
                <w:sz w:val="21"/>
              </w:rPr>
            </w:pPr>
            <w:r>
              <w:rPr>
                <w:rFonts w:hint="eastAsia"/>
                <w:color w:val="auto"/>
                <w:sz w:val="21"/>
              </w:rPr>
              <w:t>2</w:t>
            </w:r>
          </w:p>
        </w:tc>
        <w:tc>
          <w:tcPr>
            <w:tcW w:w="5404" w:type="dxa"/>
            <w:tcBorders>
              <w:top w:val="single" w:color="auto" w:sz="4" w:space="0"/>
              <w:left w:val="single" w:color="auto" w:sz="4" w:space="0"/>
              <w:bottom w:val="single" w:color="auto" w:sz="4" w:space="0"/>
              <w:right w:val="single" w:color="auto" w:sz="4" w:space="0"/>
            </w:tcBorders>
            <w:shd w:val="clear" w:color="auto" w:fill="auto"/>
            <w:vAlign w:val="center"/>
          </w:tcPr>
          <w:p w14:paraId="2D247B83">
            <w:pPr>
              <w:spacing w:line="240" w:lineRule="auto"/>
              <w:ind w:firstLine="0" w:firstLineChars="0"/>
              <w:rPr>
                <w:color w:val="auto"/>
                <w:sz w:val="21"/>
              </w:rPr>
            </w:pPr>
            <w:r>
              <w:rPr>
                <w:rFonts w:hint="eastAsia"/>
                <w:color w:val="auto"/>
                <w:sz w:val="21"/>
              </w:rPr>
              <w:t>实施减污降碳协同增效。严格实施主要水污染物排放总量控制，健全水污染物排放总量管理及目标分解落实考核机制，通过污染排放控制倒逼产业转型升级。编制总磷污染控制方案，因地制宜加强总磷排放控制。加强排污许可证管理，强化重点排污单位日常管理。探索构建水生态碳汇体系，结合地形地势因地制宜推动河口湿地、尾水湿地建设，有序推进污水处理设施提标升级扩容改造、再生水循环利用工程，强化生态缓冲带、水源涵养林等建设，开展城市污水处理厂尾水发电试点，探索开展山水林田湖草生态固碳增汇工程。</w:t>
            </w:r>
          </w:p>
        </w:tc>
        <w:tc>
          <w:tcPr>
            <w:tcW w:w="2167" w:type="dxa"/>
            <w:vMerge w:val="restart"/>
            <w:tcBorders>
              <w:top w:val="single" w:color="auto" w:sz="4" w:space="0"/>
              <w:left w:val="single" w:color="auto" w:sz="4" w:space="0"/>
              <w:right w:val="single" w:color="auto" w:sz="4" w:space="0"/>
            </w:tcBorders>
            <w:shd w:val="clear" w:color="auto" w:fill="auto"/>
            <w:vAlign w:val="center"/>
          </w:tcPr>
          <w:p w14:paraId="66B80A48">
            <w:pPr>
              <w:spacing w:line="240" w:lineRule="auto"/>
              <w:ind w:firstLine="0" w:firstLineChars="0"/>
              <w:jc w:val="center"/>
              <w:rPr>
                <w:rFonts w:hint="eastAsia" w:eastAsia="宋体"/>
                <w:color w:val="auto"/>
                <w:sz w:val="21"/>
                <w:lang w:eastAsia="zh-CN"/>
              </w:rPr>
            </w:pPr>
            <w:r>
              <w:rPr>
                <w:rFonts w:hint="eastAsia"/>
                <w:color w:val="auto"/>
                <w:sz w:val="21"/>
              </w:rPr>
              <w:t>拟建项目收集</w:t>
            </w:r>
            <w:r>
              <w:rPr>
                <w:rFonts w:hint="eastAsia"/>
                <w:color w:val="auto"/>
                <w:sz w:val="21"/>
                <w:lang w:eastAsia="zh-CN"/>
              </w:rPr>
              <w:t>岩气开采废水包括钻井废水、洗井废水、压裂返排水和采出水等</w:t>
            </w:r>
            <w:r>
              <w:rPr>
                <w:rFonts w:hint="eastAsia"/>
                <w:color w:val="auto"/>
                <w:sz w:val="21"/>
              </w:rPr>
              <w:t>进行集中处理，处理达标后的废水通过园区管网进入</w:t>
            </w:r>
            <w:r>
              <w:rPr>
                <w:rFonts w:hint="eastAsia"/>
                <w:color w:val="auto"/>
                <w:sz w:val="21"/>
                <w:lang w:eastAsia="zh-CN"/>
              </w:rPr>
              <w:t>乌杨组团园区污水处理厂</w:t>
            </w:r>
            <w:r>
              <w:rPr>
                <w:rFonts w:hint="eastAsia"/>
                <w:color w:val="auto"/>
                <w:sz w:val="21"/>
              </w:rPr>
              <w:t>进行深度处理达《城镇污水处理厂污染物排放标准》（GB18918-2002）一级 A 标准后排入</w:t>
            </w:r>
            <w:r>
              <w:rPr>
                <w:rFonts w:hint="eastAsia"/>
                <w:color w:val="auto"/>
                <w:sz w:val="21"/>
                <w:lang w:eastAsia="zh-CN"/>
              </w:rPr>
              <w:t>长江</w:t>
            </w:r>
          </w:p>
        </w:tc>
        <w:tc>
          <w:tcPr>
            <w:tcW w:w="967" w:type="dxa"/>
            <w:vMerge w:val="restart"/>
            <w:tcBorders>
              <w:top w:val="single" w:color="auto" w:sz="4" w:space="0"/>
              <w:left w:val="single" w:color="auto" w:sz="4" w:space="0"/>
              <w:right w:val="single" w:color="auto" w:sz="4" w:space="0"/>
            </w:tcBorders>
            <w:shd w:val="clear" w:color="auto" w:fill="auto"/>
            <w:vAlign w:val="center"/>
          </w:tcPr>
          <w:p w14:paraId="2C39E647">
            <w:pPr>
              <w:spacing w:line="240" w:lineRule="auto"/>
              <w:ind w:firstLine="0" w:firstLineChars="0"/>
              <w:jc w:val="center"/>
              <w:rPr>
                <w:color w:val="auto"/>
                <w:sz w:val="21"/>
              </w:rPr>
            </w:pPr>
            <w:r>
              <w:rPr>
                <w:rFonts w:hint="eastAsia"/>
                <w:color w:val="auto"/>
                <w:sz w:val="21"/>
              </w:rPr>
              <w:t>符合</w:t>
            </w:r>
          </w:p>
        </w:tc>
      </w:tr>
      <w:tr w14:paraId="2FB63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88" w:type="dxa"/>
            <w:tcBorders>
              <w:top w:val="single" w:color="auto" w:sz="4" w:space="0"/>
              <w:left w:val="single" w:color="auto" w:sz="4" w:space="0"/>
              <w:bottom w:val="single" w:color="auto" w:sz="4" w:space="0"/>
              <w:right w:val="single" w:color="auto" w:sz="4" w:space="0"/>
            </w:tcBorders>
            <w:shd w:val="clear" w:color="auto" w:fill="auto"/>
            <w:vAlign w:val="center"/>
          </w:tcPr>
          <w:p w14:paraId="2EE05093">
            <w:pPr>
              <w:spacing w:line="240" w:lineRule="auto"/>
              <w:ind w:firstLine="0" w:firstLineChars="0"/>
              <w:rPr>
                <w:color w:val="auto"/>
                <w:sz w:val="21"/>
              </w:rPr>
            </w:pPr>
            <w:r>
              <w:rPr>
                <w:rFonts w:hint="eastAsia"/>
                <w:color w:val="auto"/>
                <w:sz w:val="21"/>
              </w:rPr>
              <w:t>3</w:t>
            </w:r>
          </w:p>
        </w:tc>
        <w:tc>
          <w:tcPr>
            <w:tcW w:w="5404" w:type="dxa"/>
            <w:tcBorders>
              <w:top w:val="single" w:color="auto" w:sz="4" w:space="0"/>
              <w:left w:val="single" w:color="auto" w:sz="4" w:space="0"/>
              <w:bottom w:val="single" w:color="auto" w:sz="4" w:space="0"/>
              <w:right w:val="single" w:color="auto" w:sz="4" w:space="0"/>
            </w:tcBorders>
            <w:shd w:val="clear" w:color="auto" w:fill="auto"/>
            <w:vAlign w:val="center"/>
          </w:tcPr>
          <w:p w14:paraId="6F132D5C">
            <w:pPr>
              <w:spacing w:line="240" w:lineRule="auto"/>
              <w:ind w:firstLine="0" w:firstLineChars="0"/>
              <w:rPr>
                <w:color w:val="auto"/>
                <w:sz w:val="21"/>
              </w:rPr>
            </w:pPr>
            <w:r>
              <w:rPr>
                <w:rFonts w:hint="eastAsia"/>
                <w:color w:val="auto"/>
                <w:sz w:val="21"/>
              </w:rPr>
              <w:t>提升产业园区和产业集群循环化水平。科学编制新建产业园区开发建设规划，依法依规开展规划环境影响评价，完善循环产业链条，推动形成产业循环耦合。推进既有产业园区和产业集群循环化改造，推动公共设施共建共享、能源梯级利用、资源循环利用和污染物集中安全处置等，继续推进生态工业示范园区建设。鼓励化工等产业园区配套建设危险废物集中贮存、预处理和处置设施。推进企业内部工业用水循环利用、园区内企业间用水系统集成优化。推动主城新区缺水地区将市政再生水作为园区工业用水的重要来源。开展火电、石化、有色金属、造纸、印染等高耗水行业工业废水循环利用示范。</w:t>
            </w:r>
          </w:p>
        </w:tc>
        <w:tc>
          <w:tcPr>
            <w:tcW w:w="2167" w:type="dxa"/>
            <w:vMerge w:val="continue"/>
            <w:tcBorders>
              <w:left w:val="single" w:color="auto" w:sz="4" w:space="0"/>
              <w:right w:val="single" w:color="auto" w:sz="4" w:space="0"/>
            </w:tcBorders>
            <w:shd w:val="clear" w:color="auto" w:fill="auto"/>
            <w:vAlign w:val="center"/>
          </w:tcPr>
          <w:p w14:paraId="7E5C42BA">
            <w:pPr>
              <w:spacing w:line="240" w:lineRule="auto"/>
              <w:ind w:firstLine="0" w:firstLineChars="0"/>
              <w:jc w:val="center"/>
              <w:rPr>
                <w:color w:val="auto"/>
                <w:sz w:val="21"/>
              </w:rPr>
            </w:pPr>
          </w:p>
        </w:tc>
        <w:tc>
          <w:tcPr>
            <w:tcW w:w="967" w:type="dxa"/>
            <w:vMerge w:val="continue"/>
            <w:tcBorders>
              <w:left w:val="single" w:color="auto" w:sz="4" w:space="0"/>
              <w:right w:val="single" w:color="auto" w:sz="4" w:space="0"/>
            </w:tcBorders>
            <w:shd w:val="clear" w:color="auto" w:fill="auto"/>
            <w:vAlign w:val="center"/>
          </w:tcPr>
          <w:p w14:paraId="54E30786">
            <w:pPr>
              <w:spacing w:line="240" w:lineRule="auto"/>
              <w:ind w:firstLine="0" w:firstLineChars="0"/>
              <w:jc w:val="center"/>
              <w:rPr>
                <w:color w:val="auto"/>
                <w:sz w:val="21"/>
              </w:rPr>
            </w:pPr>
          </w:p>
        </w:tc>
      </w:tr>
      <w:tr w14:paraId="4E5A2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88" w:type="dxa"/>
            <w:tcBorders>
              <w:top w:val="single" w:color="auto" w:sz="4" w:space="0"/>
              <w:left w:val="single" w:color="auto" w:sz="4" w:space="0"/>
              <w:bottom w:val="single" w:color="auto" w:sz="4" w:space="0"/>
              <w:right w:val="single" w:color="auto" w:sz="4" w:space="0"/>
            </w:tcBorders>
            <w:shd w:val="clear" w:color="auto" w:fill="auto"/>
            <w:vAlign w:val="center"/>
          </w:tcPr>
          <w:p w14:paraId="66337316">
            <w:pPr>
              <w:spacing w:line="240" w:lineRule="auto"/>
              <w:ind w:firstLine="0" w:firstLineChars="0"/>
              <w:rPr>
                <w:color w:val="auto"/>
                <w:sz w:val="21"/>
              </w:rPr>
            </w:pPr>
            <w:r>
              <w:rPr>
                <w:rFonts w:hint="eastAsia"/>
                <w:color w:val="auto"/>
                <w:sz w:val="21"/>
              </w:rPr>
              <w:t>4</w:t>
            </w:r>
          </w:p>
        </w:tc>
        <w:tc>
          <w:tcPr>
            <w:tcW w:w="5404" w:type="dxa"/>
            <w:tcBorders>
              <w:top w:val="single" w:color="auto" w:sz="4" w:space="0"/>
              <w:left w:val="single" w:color="auto" w:sz="4" w:space="0"/>
              <w:bottom w:val="single" w:color="auto" w:sz="4" w:space="0"/>
              <w:right w:val="single" w:color="auto" w:sz="4" w:space="0"/>
            </w:tcBorders>
            <w:shd w:val="clear" w:color="auto" w:fill="auto"/>
            <w:vAlign w:val="center"/>
          </w:tcPr>
          <w:p w14:paraId="03BFFFDC">
            <w:pPr>
              <w:spacing w:line="240" w:lineRule="auto"/>
              <w:ind w:firstLine="0" w:firstLineChars="0"/>
              <w:rPr>
                <w:color w:val="auto"/>
                <w:sz w:val="21"/>
              </w:rPr>
            </w:pPr>
            <w:r>
              <w:rPr>
                <w:rFonts w:hint="eastAsia"/>
                <w:color w:val="auto"/>
                <w:sz w:val="21"/>
              </w:rPr>
              <w:t>深化工业节水。根据区域水资源禀赋和行业特点，结合用水总量控制措施，引导区域工业布局和产业结构调整，大力推广工业水循环利用，加快淘汰落后用水工艺和技术。完善工业园区管网，提高工业水重复利用率。推广高效冷却、洗涤、循环用水、废污水再生利用、高耗水生产工艺替代等节水工艺和技术，积极开展节水型企业建设和水效领跑者创建工作。</w:t>
            </w:r>
          </w:p>
        </w:tc>
        <w:tc>
          <w:tcPr>
            <w:tcW w:w="2167" w:type="dxa"/>
            <w:vMerge w:val="continue"/>
            <w:tcBorders>
              <w:left w:val="single" w:color="auto" w:sz="4" w:space="0"/>
              <w:right w:val="single" w:color="auto" w:sz="4" w:space="0"/>
            </w:tcBorders>
            <w:shd w:val="clear" w:color="auto" w:fill="auto"/>
            <w:vAlign w:val="center"/>
          </w:tcPr>
          <w:p w14:paraId="232441D2">
            <w:pPr>
              <w:spacing w:line="240" w:lineRule="auto"/>
              <w:ind w:firstLine="0" w:firstLineChars="0"/>
              <w:jc w:val="center"/>
              <w:rPr>
                <w:color w:val="auto"/>
                <w:sz w:val="21"/>
              </w:rPr>
            </w:pPr>
          </w:p>
        </w:tc>
        <w:tc>
          <w:tcPr>
            <w:tcW w:w="967" w:type="dxa"/>
            <w:vMerge w:val="continue"/>
            <w:tcBorders>
              <w:left w:val="single" w:color="auto" w:sz="4" w:space="0"/>
              <w:right w:val="single" w:color="auto" w:sz="4" w:space="0"/>
            </w:tcBorders>
            <w:shd w:val="clear" w:color="auto" w:fill="auto"/>
            <w:vAlign w:val="center"/>
          </w:tcPr>
          <w:p w14:paraId="4458424F">
            <w:pPr>
              <w:spacing w:line="240" w:lineRule="auto"/>
              <w:ind w:firstLine="0" w:firstLineChars="0"/>
              <w:jc w:val="center"/>
              <w:rPr>
                <w:color w:val="auto"/>
                <w:sz w:val="21"/>
              </w:rPr>
            </w:pPr>
          </w:p>
        </w:tc>
      </w:tr>
      <w:tr w14:paraId="287CC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88" w:type="dxa"/>
            <w:tcBorders>
              <w:top w:val="single" w:color="auto" w:sz="4" w:space="0"/>
              <w:left w:val="single" w:color="auto" w:sz="4" w:space="0"/>
              <w:bottom w:val="single" w:color="auto" w:sz="4" w:space="0"/>
              <w:right w:val="single" w:color="auto" w:sz="4" w:space="0"/>
            </w:tcBorders>
            <w:shd w:val="clear" w:color="auto" w:fill="auto"/>
            <w:vAlign w:val="center"/>
          </w:tcPr>
          <w:p w14:paraId="643613DE">
            <w:pPr>
              <w:spacing w:line="240" w:lineRule="auto"/>
              <w:ind w:firstLine="0" w:firstLineChars="0"/>
              <w:rPr>
                <w:color w:val="auto"/>
                <w:sz w:val="21"/>
              </w:rPr>
            </w:pPr>
            <w:r>
              <w:rPr>
                <w:rFonts w:hint="eastAsia"/>
                <w:color w:val="auto"/>
                <w:sz w:val="21"/>
              </w:rPr>
              <w:t>5</w:t>
            </w:r>
          </w:p>
        </w:tc>
        <w:tc>
          <w:tcPr>
            <w:tcW w:w="5404" w:type="dxa"/>
            <w:tcBorders>
              <w:top w:val="single" w:color="auto" w:sz="4" w:space="0"/>
              <w:left w:val="single" w:color="auto" w:sz="4" w:space="0"/>
              <w:bottom w:val="single" w:color="auto" w:sz="4" w:space="0"/>
              <w:right w:val="single" w:color="auto" w:sz="4" w:space="0"/>
            </w:tcBorders>
            <w:shd w:val="clear" w:color="auto" w:fill="auto"/>
            <w:vAlign w:val="center"/>
          </w:tcPr>
          <w:p w14:paraId="60AB7B34">
            <w:pPr>
              <w:spacing w:line="240" w:lineRule="auto"/>
              <w:ind w:firstLine="0" w:firstLineChars="0"/>
              <w:rPr>
                <w:color w:val="auto"/>
                <w:sz w:val="21"/>
              </w:rPr>
            </w:pPr>
            <w:r>
              <w:rPr>
                <w:rFonts w:hint="eastAsia"/>
                <w:color w:val="auto"/>
                <w:sz w:val="21"/>
              </w:rPr>
              <w:t>推进区域重点领域再生水循环利用。加强再生水、雨水等非常规水多元、梯级和安全利用，逐年提高非常规水利用比例。到2025年，全市非常规水源利用量达到1.5亿m3以上。结合现有污水处理设施提标升级扩能改造，系统规划城镇污水再生利用设施。合理安排城镇污水处理厂、人工湿地水质净化工程及再生水调蓄设施布局，确保再生水供需平衡、净化能力与调蓄能力匹配。充分利用现有河道、湖库、洼地、坑塘等，建设人工湿地、再生水调蓄和输配设施，缓解水资源供需矛盾。</w:t>
            </w:r>
          </w:p>
        </w:tc>
        <w:tc>
          <w:tcPr>
            <w:tcW w:w="2167" w:type="dxa"/>
            <w:vMerge w:val="continue"/>
            <w:tcBorders>
              <w:left w:val="single" w:color="auto" w:sz="4" w:space="0"/>
              <w:bottom w:val="single" w:color="auto" w:sz="4" w:space="0"/>
              <w:right w:val="single" w:color="auto" w:sz="4" w:space="0"/>
            </w:tcBorders>
            <w:shd w:val="clear" w:color="auto" w:fill="auto"/>
            <w:vAlign w:val="center"/>
          </w:tcPr>
          <w:p w14:paraId="54656A79">
            <w:pPr>
              <w:spacing w:line="240" w:lineRule="auto"/>
              <w:ind w:firstLine="0" w:firstLineChars="0"/>
              <w:jc w:val="center"/>
              <w:rPr>
                <w:color w:val="auto"/>
                <w:sz w:val="21"/>
              </w:rPr>
            </w:pPr>
          </w:p>
        </w:tc>
        <w:tc>
          <w:tcPr>
            <w:tcW w:w="967" w:type="dxa"/>
            <w:vMerge w:val="continue"/>
            <w:tcBorders>
              <w:left w:val="single" w:color="auto" w:sz="4" w:space="0"/>
              <w:bottom w:val="single" w:color="auto" w:sz="4" w:space="0"/>
              <w:right w:val="single" w:color="auto" w:sz="4" w:space="0"/>
            </w:tcBorders>
            <w:shd w:val="clear" w:color="auto" w:fill="auto"/>
            <w:vAlign w:val="center"/>
          </w:tcPr>
          <w:p w14:paraId="55B7B197">
            <w:pPr>
              <w:spacing w:line="240" w:lineRule="auto"/>
              <w:ind w:firstLine="0" w:firstLineChars="0"/>
              <w:jc w:val="center"/>
              <w:rPr>
                <w:color w:val="auto"/>
                <w:sz w:val="21"/>
              </w:rPr>
            </w:pPr>
          </w:p>
        </w:tc>
      </w:tr>
    </w:tbl>
    <w:p w14:paraId="1AB412BC">
      <w:pPr>
        <w:spacing w:line="360" w:lineRule="auto"/>
        <w:ind w:firstLine="480"/>
        <w:rPr>
          <w:color w:val="auto"/>
          <w:szCs w:val="24"/>
        </w:rPr>
      </w:pPr>
    </w:p>
    <w:p w14:paraId="67AB4641">
      <w:pPr>
        <w:spacing w:line="360" w:lineRule="auto"/>
        <w:ind w:firstLine="482"/>
        <w:rPr>
          <w:b/>
          <w:bCs/>
          <w:color w:val="auto"/>
          <w:szCs w:val="24"/>
        </w:rPr>
      </w:pPr>
      <w:r>
        <w:rPr>
          <w:rFonts w:hint="eastAsia"/>
          <w:b/>
          <w:bCs/>
          <w:color w:val="auto"/>
          <w:szCs w:val="24"/>
        </w:rPr>
        <w:t>（</w:t>
      </w:r>
      <w:r>
        <w:rPr>
          <w:b/>
          <w:bCs/>
          <w:color w:val="auto"/>
          <w:szCs w:val="24"/>
        </w:rPr>
        <w:t>5</w:t>
      </w:r>
      <w:r>
        <w:rPr>
          <w:rFonts w:hint="eastAsia"/>
          <w:b/>
          <w:bCs/>
          <w:color w:val="auto"/>
          <w:szCs w:val="24"/>
        </w:rPr>
        <w:t>）与《关于印发重庆市“污水零直排区”建设行动方案的函》（渝环规〔2024〕5号）符合性分析</w:t>
      </w:r>
    </w:p>
    <w:p w14:paraId="2D1B8200">
      <w:pPr>
        <w:spacing w:line="360" w:lineRule="auto"/>
        <w:ind w:firstLine="480"/>
        <w:rPr>
          <w:color w:val="auto"/>
          <w:szCs w:val="24"/>
        </w:rPr>
      </w:pPr>
      <w:r>
        <w:rPr>
          <w:rFonts w:hint="eastAsia"/>
          <w:color w:val="auto"/>
          <w:szCs w:val="24"/>
        </w:rPr>
        <w:t>根据《关于印发重庆市“污水零直排区”建设行动方案的函》（渝环规〔2024〕5号）“</w:t>
      </w:r>
      <w:r>
        <w:rPr>
          <w:color w:val="auto"/>
          <w:szCs w:val="24"/>
        </w:rPr>
        <w:t>3.提升污水处理设施运行效能。全面排查污水集中处理设施建设运行情况，推进满负荷、超负荷设施新改扩建和运行不稳定设施技术改造。</w:t>
      </w:r>
      <w:r>
        <w:rPr>
          <w:rFonts w:hint="eastAsia"/>
          <w:color w:val="auto"/>
          <w:szCs w:val="24"/>
        </w:rPr>
        <w:t>鼓励打造污水处理绿色低碳标杆厂，探索污水热源泵、污泥沼气热电联产、光伏发电、尾水发电等资源化利用新方式，实施精准曝气、精准加药等节能减碳措施。</w:t>
      </w:r>
      <w:r>
        <w:rPr>
          <w:rFonts w:hint="eastAsia" w:ascii="宋体" w:hAnsi="宋体" w:cs="宋体"/>
          <w:color w:val="auto"/>
          <w:szCs w:val="24"/>
          <w:shd w:val="clear" w:color="auto" w:fill="FFFFFF"/>
        </w:rPr>
        <w:t>......</w:t>
      </w:r>
      <w:r>
        <w:rPr>
          <w:color w:val="auto"/>
          <w:szCs w:val="24"/>
        </w:rPr>
        <w:t>4.建立长效运维管理机制。健全完善排水许可、截污干管接入管理、化粪池运维管理、管网巡查管理、污水集中处理设施日常运维监管、排污口规范管理等制度。</w:t>
      </w:r>
      <w:r>
        <w:rPr>
          <w:rFonts w:hint="eastAsia" w:ascii="宋体" w:hAnsi="宋体" w:cs="宋体"/>
          <w:color w:val="auto"/>
          <w:szCs w:val="24"/>
          <w:shd w:val="clear" w:color="auto" w:fill="FFFFFF"/>
        </w:rPr>
        <w:t>......</w:t>
      </w:r>
      <w:r>
        <w:rPr>
          <w:color w:val="auto"/>
          <w:szCs w:val="24"/>
        </w:rPr>
        <w:t>（二）实施工业园区</w:t>
      </w:r>
      <w:r>
        <w:rPr>
          <w:rFonts w:hint="eastAsia"/>
          <w:color w:val="auto"/>
          <w:szCs w:val="24"/>
        </w:rPr>
        <w:t>“</w:t>
      </w:r>
      <w:r>
        <w:rPr>
          <w:color w:val="auto"/>
          <w:szCs w:val="24"/>
        </w:rPr>
        <w:t>污水零直排区</w:t>
      </w:r>
      <w:r>
        <w:rPr>
          <w:rFonts w:hint="eastAsia"/>
          <w:color w:val="auto"/>
          <w:szCs w:val="24"/>
        </w:rPr>
        <w:t>”</w:t>
      </w:r>
      <w:r>
        <w:rPr>
          <w:color w:val="auto"/>
          <w:szCs w:val="24"/>
        </w:rPr>
        <w:t>建设工程。以工业园区组团为单位，聚焦</w:t>
      </w:r>
      <w:r>
        <w:rPr>
          <w:rFonts w:hint="eastAsia"/>
          <w:color w:val="auto"/>
          <w:szCs w:val="24"/>
        </w:rPr>
        <w:t>“</w:t>
      </w:r>
      <w:r>
        <w:rPr>
          <w:color w:val="auto"/>
          <w:szCs w:val="24"/>
        </w:rPr>
        <w:t>源、网、厂</w:t>
      </w:r>
      <w:r>
        <w:rPr>
          <w:rFonts w:hint="eastAsia"/>
          <w:color w:val="auto"/>
          <w:szCs w:val="24"/>
        </w:rPr>
        <w:t>”</w:t>
      </w:r>
      <w:r>
        <w:rPr>
          <w:color w:val="auto"/>
          <w:szCs w:val="24"/>
        </w:rPr>
        <w:t>，开展</w:t>
      </w:r>
      <w:r>
        <w:rPr>
          <w:rFonts w:hint="eastAsia"/>
          <w:color w:val="auto"/>
          <w:szCs w:val="24"/>
        </w:rPr>
        <w:t>“</w:t>
      </w:r>
      <w:r>
        <w:rPr>
          <w:color w:val="auto"/>
          <w:szCs w:val="24"/>
        </w:rPr>
        <w:t>污水零直排区</w:t>
      </w:r>
      <w:r>
        <w:rPr>
          <w:rFonts w:hint="eastAsia"/>
          <w:color w:val="auto"/>
          <w:szCs w:val="24"/>
        </w:rPr>
        <w:t>”</w:t>
      </w:r>
      <w:r>
        <w:rPr>
          <w:color w:val="auto"/>
          <w:szCs w:val="24"/>
        </w:rPr>
        <w:t>建设环境执法专项行动，规范工业企业排水监管、补齐设施管网短板，推动工业园区</w:t>
      </w:r>
      <w:r>
        <w:rPr>
          <w:rFonts w:hint="eastAsia"/>
          <w:color w:val="auto"/>
          <w:szCs w:val="24"/>
        </w:rPr>
        <w:t>“</w:t>
      </w:r>
      <w:r>
        <w:rPr>
          <w:color w:val="auto"/>
          <w:szCs w:val="24"/>
        </w:rPr>
        <w:t>污水全收集、收集全处理、处理全达标</w:t>
      </w:r>
      <w:r>
        <w:rPr>
          <w:rFonts w:hint="eastAsia"/>
          <w:color w:val="auto"/>
          <w:szCs w:val="24"/>
        </w:rPr>
        <w:t>”</w:t>
      </w:r>
      <w:r>
        <w:rPr>
          <w:color w:val="auto"/>
          <w:szCs w:val="24"/>
        </w:rPr>
        <w:t>。</w:t>
      </w:r>
      <w:r>
        <w:rPr>
          <w:rFonts w:hint="eastAsia" w:ascii="宋体" w:hAnsi="宋体" w:cs="宋体"/>
          <w:color w:val="auto"/>
          <w:szCs w:val="24"/>
          <w:shd w:val="clear" w:color="auto" w:fill="FFFFFF"/>
        </w:rPr>
        <w:t>......</w:t>
      </w:r>
      <w:r>
        <w:rPr>
          <w:color w:val="auto"/>
          <w:szCs w:val="24"/>
        </w:rPr>
        <w:t>1.加强工业污水源头管控。全面排查工业园区范围内企业排水管网、污水处理设施建设情况，推进工业企业排水管网混错接、重大病害以及设施运行不正常等问题整改，推动工业企业雨污水规范分类收集、处置、排放</w:t>
      </w:r>
      <w:r>
        <w:rPr>
          <w:rFonts w:hint="eastAsia"/>
          <w:color w:val="auto"/>
          <w:szCs w:val="24"/>
        </w:rPr>
        <w:t>”</w:t>
      </w:r>
      <w:r>
        <w:rPr>
          <w:color w:val="auto"/>
          <w:szCs w:val="24"/>
        </w:rPr>
        <w:t>。</w:t>
      </w:r>
    </w:p>
    <w:p w14:paraId="2D62D1F6">
      <w:pPr>
        <w:spacing w:line="360" w:lineRule="auto"/>
        <w:ind w:firstLine="480"/>
        <w:rPr>
          <w:color w:val="auto"/>
          <w:szCs w:val="24"/>
        </w:rPr>
      </w:pPr>
      <w:r>
        <w:rPr>
          <w:rFonts w:hint="eastAsia"/>
          <w:color w:val="auto"/>
          <w:szCs w:val="24"/>
        </w:rPr>
        <w:t>拟建项目收集</w:t>
      </w:r>
      <w:r>
        <w:rPr>
          <w:rFonts w:hint="eastAsia"/>
          <w:color w:val="auto"/>
          <w:szCs w:val="24"/>
          <w:lang w:eastAsia="zh-CN"/>
        </w:rPr>
        <w:t>岩气开采废水包括钻井废水、洗井废水、压裂返排水和采出水等</w:t>
      </w:r>
      <w:r>
        <w:rPr>
          <w:rFonts w:hint="eastAsia"/>
          <w:color w:val="auto"/>
          <w:szCs w:val="24"/>
        </w:rPr>
        <w:t>进行集中处理，处理达标后的废水通过园区管网进入</w:t>
      </w:r>
      <w:r>
        <w:rPr>
          <w:rFonts w:hint="eastAsia"/>
          <w:color w:val="auto"/>
          <w:szCs w:val="24"/>
          <w:lang w:eastAsia="zh-CN"/>
        </w:rPr>
        <w:t>乌杨组团园区污水处理厂</w:t>
      </w:r>
      <w:r>
        <w:rPr>
          <w:rFonts w:hint="eastAsia"/>
          <w:color w:val="auto"/>
          <w:szCs w:val="24"/>
        </w:rPr>
        <w:t>进行深度处理达《城镇污水处理厂污染物排放标准》（GB18918-2002）一级 A 标准后排入</w:t>
      </w:r>
      <w:r>
        <w:rPr>
          <w:rFonts w:hint="eastAsia"/>
          <w:color w:val="auto"/>
          <w:szCs w:val="24"/>
          <w:lang w:eastAsia="zh-CN"/>
        </w:rPr>
        <w:t>长江</w:t>
      </w:r>
      <w:r>
        <w:rPr>
          <w:color w:val="auto"/>
          <w:szCs w:val="24"/>
        </w:rPr>
        <w:t>。</w:t>
      </w:r>
      <w:r>
        <w:rPr>
          <w:rFonts w:hint="eastAsia"/>
          <w:color w:val="auto"/>
          <w:szCs w:val="24"/>
        </w:rPr>
        <w:t>拟建项目出水渠安装有在线监测系统，可以实时监控项目尾水是否达标，当在线监测系统显示出水超标时，可通过各处切换阀或应急泵将废水切入事故池。因此，拟建项目污水能实现全部收集处理，各废水处理及监控设施能保证废水处理达标后资源利用或排放，项目符合关于印发重庆市“污水零直排区”建设行动方案的函（渝环规〔2024〕5号）相关要求。</w:t>
      </w:r>
    </w:p>
    <w:p w14:paraId="08A3234C">
      <w:pPr>
        <w:spacing w:line="360" w:lineRule="auto"/>
        <w:ind w:firstLine="482"/>
        <w:rPr>
          <w:b/>
          <w:color w:val="auto"/>
        </w:rPr>
      </w:pPr>
      <w:r>
        <w:rPr>
          <w:rFonts w:hint="eastAsia"/>
          <w:b/>
          <w:color w:val="auto"/>
        </w:rPr>
        <w:t>（</w:t>
      </w:r>
      <w:r>
        <w:rPr>
          <w:b/>
          <w:color w:val="auto"/>
        </w:rPr>
        <w:t>6</w:t>
      </w:r>
      <w:r>
        <w:rPr>
          <w:rFonts w:hint="eastAsia"/>
          <w:b/>
          <w:color w:val="auto"/>
        </w:rPr>
        <w:t>）与</w:t>
      </w:r>
      <w:r>
        <w:rPr>
          <w:rFonts w:hint="eastAsia"/>
          <w:b/>
          <w:bCs/>
          <w:color w:val="auto"/>
          <w:szCs w:val="24"/>
        </w:rPr>
        <w:t>《长江经济带发展负面清单指南（试行，2022年版）》、关于印发《四川省、重庆市长江经济带发展负面清单实施细则（试行，2022年版）》的通知（川长江办〔2022〕17号）</w:t>
      </w:r>
      <w:r>
        <w:rPr>
          <w:rFonts w:hint="eastAsia"/>
          <w:b/>
          <w:color w:val="auto"/>
        </w:rPr>
        <w:t>符合性分析</w:t>
      </w:r>
    </w:p>
    <w:p w14:paraId="5F06C1D5">
      <w:pPr>
        <w:spacing w:line="360" w:lineRule="auto"/>
        <w:ind w:firstLine="480"/>
        <w:rPr>
          <w:rFonts w:hint="eastAsia"/>
          <w:color w:val="auto"/>
          <w:szCs w:val="24"/>
        </w:rPr>
      </w:pPr>
      <w:r>
        <w:rPr>
          <w:color w:val="auto"/>
          <w:szCs w:val="24"/>
        </w:rPr>
        <w:t>拟建项目为</w:t>
      </w:r>
      <w:r>
        <w:rPr>
          <w:rFonts w:hint="eastAsia"/>
          <w:bCs/>
          <w:color w:val="auto"/>
          <w:szCs w:val="24"/>
          <w:lang w:eastAsia="zh-CN"/>
        </w:rPr>
        <w:t>页岩气开采废水集中处理项目</w:t>
      </w:r>
      <w:r>
        <w:rPr>
          <w:color w:val="auto"/>
          <w:szCs w:val="24"/>
        </w:rPr>
        <w:t>，</w:t>
      </w:r>
      <w:r>
        <w:rPr>
          <w:rFonts w:hint="eastAsia"/>
          <w:color w:val="auto"/>
          <w:szCs w:val="24"/>
        </w:rPr>
        <w:t>位于</w:t>
      </w:r>
      <w:r>
        <w:rPr>
          <w:rFonts w:hint="eastAsia"/>
          <w:color w:val="auto"/>
          <w:szCs w:val="24"/>
          <w:lang w:eastAsia="zh-CN"/>
        </w:rPr>
        <w:t>忠县工业园乌杨组团</w:t>
      </w:r>
      <w:r>
        <w:rPr>
          <w:rFonts w:hint="eastAsia"/>
          <w:color w:val="auto"/>
          <w:szCs w:val="24"/>
        </w:rPr>
        <w:t>，占地不涉及自然保护区、风景名胜区、饮用水源保护区、</w:t>
      </w:r>
      <w:r>
        <w:rPr>
          <w:rFonts w:hint="eastAsia"/>
          <w:color w:val="auto"/>
          <w:szCs w:val="24"/>
          <w:lang w:val="zh-CN"/>
        </w:rPr>
        <w:t>水产种质资源保护区、国家湿地公园等需要特别保护的区域</w:t>
      </w:r>
      <w:r>
        <w:rPr>
          <w:rFonts w:hint="eastAsia"/>
          <w:color w:val="auto"/>
          <w:szCs w:val="24"/>
        </w:rPr>
        <w:t>，对照</w:t>
      </w:r>
      <w:r>
        <w:rPr>
          <w:color w:val="auto"/>
          <w:szCs w:val="24"/>
        </w:rPr>
        <w:t>《长江经济带发展负面清单</w:t>
      </w:r>
      <w:r>
        <w:rPr>
          <w:rFonts w:hint="eastAsia"/>
          <w:color w:val="auto"/>
          <w:szCs w:val="24"/>
        </w:rPr>
        <w:t>指南</w:t>
      </w:r>
      <w:r>
        <w:rPr>
          <w:color w:val="auto"/>
          <w:szCs w:val="24"/>
        </w:rPr>
        <w:t>（试行</w:t>
      </w:r>
      <w:r>
        <w:rPr>
          <w:rFonts w:hint="eastAsia"/>
          <w:color w:val="auto"/>
          <w:szCs w:val="24"/>
        </w:rPr>
        <w:t>，2022年版</w:t>
      </w:r>
      <w:r>
        <w:rPr>
          <w:color w:val="auto"/>
          <w:szCs w:val="24"/>
        </w:rPr>
        <w:t>）》</w:t>
      </w:r>
      <w:r>
        <w:rPr>
          <w:rFonts w:hint="eastAsia"/>
          <w:color w:val="auto"/>
          <w:szCs w:val="24"/>
        </w:rPr>
        <w:t>、关于印发《四川省、重庆市长江经济带发展负面清单实施细则（试行，2022年版）》的通知（川长江办〔2022〕17号），拟建项目</w:t>
      </w:r>
      <w:r>
        <w:rPr>
          <w:color w:val="auto"/>
          <w:szCs w:val="24"/>
        </w:rPr>
        <w:t>的建设符合</w:t>
      </w:r>
      <w:r>
        <w:rPr>
          <w:rFonts w:hint="eastAsia"/>
          <w:color w:val="auto"/>
          <w:szCs w:val="24"/>
        </w:rPr>
        <w:t>以上两个文件</w:t>
      </w:r>
      <w:r>
        <w:rPr>
          <w:color w:val="auto"/>
          <w:szCs w:val="24"/>
        </w:rPr>
        <w:t>中</w:t>
      </w:r>
      <w:r>
        <w:rPr>
          <w:rFonts w:hint="eastAsia"/>
          <w:color w:val="auto"/>
          <w:szCs w:val="24"/>
        </w:rPr>
        <w:t>相关</w:t>
      </w:r>
      <w:r>
        <w:rPr>
          <w:color w:val="auto"/>
          <w:szCs w:val="24"/>
        </w:rPr>
        <w:t>要求</w:t>
      </w:r>
      <w:r>
        <w:rPr>
          <w:rFonts w:hint="eastAsia"/>
          <w:color w:val="auto"/>
          <w:szCs w:val="24"/>
        </w:rPr>
        <w:t>。</w:t>
      </w:r>
    </w:p>
    <w:p w14:paraId="33F0A2B1">
      <w:pPr>
        <w:spacing w:line="360" w:lineRule="auto"/>
        <w:ind w:firstLine="480"/>
        <w:rPr>
          <w:rFonts w:hint="eastAsia"/>
          <w:color w:val="auto"/>
          <w:szCs w:val="24"/>
        </w:rPr>
      </w:pPr>
    </w:p>
    <w:p w14:paraId="55FE6EE0">
      <w:pPr>
        <w:pStyle w:val="5"/>
        <w:numPr>
          <w:ilvl w:val="0"/>
          <w:numId w:val="0"/>
        </w:numPr>
        <w:spacing w:line="360" w:lineRule="auto"/>
        <w:rPr>
          <w:rFonts w:hint="eastAsia" w:eastAsia="宋体"/>
          <w:color w:val="auto"/>
          <w:szCs w:val="24"/>
          <w:lang w:eastAsia="zh-CN"/>
        </w:rPr>
      </w:pPr>
      <w:r>
        <w:rPr>
          <w:rFonts w:hint="eastAsia"/>
          <w:color w:val="auto"/>
          <w:szCs w:val="24"/>
          <w:lang w:eastAsia="zh-CN"/>
        </w:rPr>
        <w:t>2.9</w:t>
      </w:r>
      <w:r>
        <w:rPr>
          <w:color w:val="auto"/>
          <w:szCs w:val="24"/>
        </w:rPr>
        <w:t>.3与</w:t>
      </w:r>
      <w:r>
        <w:rPr>
          <w:rFonts w:hint="eastAsia"/>
          <w:color w:val="auto"/>
          <w:szCs w:val="24"/>
          <w:lang w:eastAsia="zh-CN"/>
        </w:rPr>
        <w:t>园区规划环评及审查意见函和符合性分析</w:t>
      </w:r>
    </w:p>
    <w:p w14:paraId="4BFD6B67">
      <w:pPr>
        <w:spacing w:line="360" w:lineRule="auto"/>
        <w:ind w:firstLine="480"/>
        <w:rPr>
          <w:rFonts w:hint="eastAsia"/>
          <w:color w:val="auto"/>
          <w:szCs w:val="24"/>
          <w:lang w:val="en-US" w:eastAsia="zh-CN"/>
        </w:rPr>
      </w:pPr>
      <w:r>
        <w:rPr>
          <w:rFonts w:hint="eastAsia"/>
          <w:color w:val="auto"/>
          <w:szCs w:val="24"/>
          <w:lang w:val="en-US" w:eastAsia="zh-CN"/>
        </w:rPr>
        <w:t>根据《重庆忠县工业园乌杨组团控制性详细规划修编环境影响报告书》及其审查意见（渝环函〔2020〕559号）：</w:t>
      </w:r>
    </w:p>
    <w:p w14:paraId="71EBCC1C">
      <w:pPr>
        <w:spacing w:line="360" w:lineRule="auto"/>
        <w:ind w:firstLine="480"/>
        <w:rPr>
          <w:rFonts w:hint="eastAsia"/>
          <w:color w:val="auto"/>
          <w:szCs w:val="24"/>
        </w:rPr>
      </w:pPr>
      <w:r>
        <w:rPr>
          <w:rFonts w:hint="eastAsia"/>
          <w:color w:val="auto"/>
          <w:szCs w:val="24"/>
        </w:rPr>
        <w:t>①重庆忠县工业园区乌杨组团规划概况</w:t>
      </w:r>
    </w:p>
    <w:p w14:paraId="417E6745">
      <w:pPr>
        <w:spacing w:line="360" w:lineRule="auto"/>
        <w:ind w:firstLine="480"/>
        <w:rPr>
          <w:rFonts w:hint="eastAsia"/>
          <w:color w:val="auto"/>
          <w:szCs w:val="24"/>
        </w:rPr>
      </w:pPr>
      <w:r>
        <w:rPr>
          <w:rFonts w:hint="eastAsia"/>
          <w:color w:val="auto"/>
          <w:szCs w:val="24"/>
        </w:rPr>
        <w:t>重庆忠县工业园区乌杨组团包括A、B、C、D、E标准片区，整个规划地块北以长江为界，西至高寨片区，南至金子坪——石膏湾——康家沟一带，东以巴家塘——河沙塝为界，总面积1165.55 hm</w:t>
      </w:r>
      <w:r>
        <w:rPr>
          <w:rFonts w:hint="eastAsia"/>
          <w:color w:val="auto"/>
          <w:szCs w:val="24"/>
          <w:vertAlign w:val="superscript"/>
        </w:rPr>
        <w:t>2</w:t>
      </w:r>
      <w:r>
        <w:rPr>
          <w:rFonts w:hint="eastAsia"/>
          <w:color w:val="auto"/>
          <w:szCs w:val="24"/>
        </w:rPr>
        <w:t>；到2030年实现产值500亿。主导产业为医药、新能源、智能装备制造、资源加工四大产业集群。</w:t>
      </w:r>
    </w:p>
    <w:p w14:paraId="63BA2230">
      <w:pPr>
        <w:spacing w:line="360" w:lineRule="auto"/>
        <w:ind w:firstLine="480"/>
        <w:rPr>
          <w:rFonts w:hint="eastAsia"/>
          <w:color w:val="auto"/>
          <w:szCs w:val="24"/>
        </w:rPr>
      </w:pPr>
      <w:r>
        <w:rPr>
          <w:rFonts w:hint="eastAsia"/>
          <w:color w:val="auto"/>
          <w:szCs w:val="24"/>
        </w:rPr>
        <w:t>②产业规划</w:t>
      </w:r>
    </w:p>
    <w:p w14:paraId="1C8EAD2A">
      <w:pPr>
        <w:spacing w:line="360" w:lineRule="auto"/>
        <w:ind w:firstLine="480"/>
        <w:rPr>
          <w:rFonts w:hint="eastAsia"/>
          <w:color w:val="auto"/>
          <w:szCs w:val="24"/>
        </w:rPr>
      </w:pPr>
      <w:r>
        <w:rPr>
          <w:rFonts w:hint="eastAsia"/>
          <w:color w:val="auto"/>
          <w:szCs w:val="24"/>
        </w:rPr>
        <w:t>规划形成“两心、两轴、三园、四基地、三社区”的空间结构。“两心”即乌杨老镇区服务中心和规划的园区科技信息服务中心，担负着推动乌杨整体崛起发展、强化内部功能联系的空间使命。“两轴”为南北向的产业发展轴及东西向创新科技产业发展轴，成为新区发展的主轴线。“三园”指高速公路物流园、长江码头物流园及众创产业园。“四基地”分别为新能源基地、智能装备制造产业基地、医药产业基地、资源加工产业基地。“三社区”指三个居住社区，为居民居住生活及服务配套的主要区域。</w:t>
      </w:r>
    </w:p>
    <w:p w14:paraId="384FCA21">
      <w:pPr>
        <w:spacing w:line="360" w:lineRule="auto"/>
        <w:ind w:firstLine="480"/>
        <w:rPr>
          <w:rFonts w:hint="eastAsia"/>
          <w:color w:val="auto"/>
          <w:szCs w:val="24"/>
        </w:rPr>
      </w:pPr>
      <w:r>
        <w:rPr>
          <w:rFonts w:hint="eastAsia"/>
          <w:color w:val="auto"/>
          <w:szCs w:val="24"/>
        </w:rPr>
        <w:t>主导工业产业发展方向：</w:t>
      </w:r>
    </w:p>
    <w:p w14:paraId="492B1F96">
      <w:pPr>
        <w:spacing w:line="360" w:lineRule="auto"/>
        <w:ind w:firstLine="480"/>
        <w:rPr>
          <w:rFonts w:hint="eastAsia"/>
          <w:color w:val="auto"/>
          <w:szCs w:val="24"/>
        </w:rPr>
      </w:pPr>
      <w:r>
        <w:rPr>
          <w:rFonts w:hint="eastAsia"/>
          <w:color w:val="auto"/>
          <w:szCs w:val="24"/>
        </w:rPr>
        <w:t>医药：依托天地药业等企业，打造渝东北最大的医药产业基地；为更好引导推动全市园区特色差异发展、集聚集群发展，加快建设各具特色的产业园区，《重庆市经济和信息化委员会关于批准9个园区创建为重庆市特色产业基地的通知》渝经信园区</w:t>
      </w:r>
      <w:r>
        <w:rPr>
          <w:rFonts w:hint="eastAsia"/>
          <w:color w:val="auto"/>
          <w:szCs w:val="24"/>
          <w:lang w:eastAsia="zh-CN"/>
        </w:rPr>
        <w:t>〔2019〕22号</w:t>
      </w:r>
      <w:r>
        <w:rPr>
          <w:rFonts w:hint="eastAsia"/>
          <w:color w:val="auto"/>
          <w:szCs w:val="24"/>
        </w:rPr>
        <w:t>，忠县工业园区乌杨组团创建为重庆市化学原料药产业建设基地。</w:t>
      </w:r>
    </w:p>
    <w:p w14:paraId="07507A7A">
      <w:pPr>
        <w:spacing w:line="360" w:lineRule="auto"/>
        <w:ind w:firstLine="480"/>
        <w:rPr>
          <w:rFonts w:hint="eastAsia"/>
          <w:color w:val="auto"/>
          <w:szCs w:val="24"/>
        </w:rPr>
      </w:pPr>
      <w:r>
        <w:rPr>
          <w:rFonts w:hint="eastAsia"/>
          <w:color w:val="auto"/>
          <w:szCs w:val="24"/>
        </w:rPr>
        <w:t>新能源：加快特瑞锂电正极材料等项目，打造全市最大的锂电新材料生产基地。</w:t>
      </w:r>
    </w:p>
    <w:p w14:paraId="281C7681">
      <w:pPr>
        <w:spacing w:line="360" w:lineRule="auto"/>
        <w:ind w:firstLine="480"/>
        <w:rPr>
          <w:rFonts w:hint="eastAsia"/>
          <w:color w:val="auto"/>
          <w:szCs w:val="24"/>
        </w:rPr>
      </w:pPr>
      <w:r>
        <w:rPr>
          <w:rFonts w:hint="eastAsia"/>
          <w:color w:val="auto"/>
          <w:szCs w:val="24"/>
        </w:rPr>
        <w:t>智能装备：重点推进自动化成套生产线、智能控制系统，精密和智能仪器仪表与试验设备，关键基础零部件、元器件及通用部件，智能专用装备的发展，实现生产过程自动化、智能化、精密化、绿色化。</w:t>
      </w:r>
    </w:p>
    <w:p w14:paraId="46AD3B6A">
      <w:pPr>
        <w:spacing w:line="360" w:lineRule="auto"/>
        <w:ind w:firstLine="480"/>
        <w:rPr>
          <w:rFonts w:hint="eastAsia"/>
          <w:color w:val="auto"/>
          <w:szCs w:val="24"/>
        </w:rPr>
      </w:pPr>
      <w:r>
        <w:rPr>
          <w:rFonts w:hint="eastAsia"/>
          <w:color w:val="auto"/>
          <w:szCs w:val="24"/>
        </w:rPr>
        <w:t>资源加工：海螺独立工矿区维持现有资源加工行业发展不变。以乌杨为基地，建设百亿级的建材生产基地。</w:t>
      </w:r>
    </w:p>
    <w:p w14:paraId="7996853B">
      <w:pPr>
        <w:spacing w:line="360" w:lineRule="auto"/>
        <w:ind w:firstLine="480"/>
        <w:rPr>
          <w:rFonts w:hint="eastAsia"/>
          <w:color w:val="auto"/>
          <w:szCs w:val="24"/>
        </w:rPr>
      </w:pPr>
      <w:r>
        <w:rPr>
          <w:rFonts w:hint="eastAsia"/>
          <w:color w:val="auto"/>
          <w:szCs w:val="24"/>
        </w:rPr>
        <w:t>综上所述，拟建项目位于重庆忠县工业园区乌杨组团，为</w:t>
      </w:r>
      <w:r>
        <w:rPr>
          <w:rFonts w:hint="eastAsia"/>
          <w:color w:val="auto"/>
          <w:szCs w:val="24"/>
          <w:lang w:eastAsia="zh-CN"/>
        </w:rPr>
        <w:t>集中工业废水处理</w:t>
      </w:r>
      <w:r>
        <w:rPr>
          <w:rFonts w:hint="eastAsia"/>
          <w:color w:val="auto"/>
          <w:szCs w:val="24"/>
        </w:rPr>
        <w:t>项目，与乌杨组团的发展规划及功能定位不冲突，因此，符合《重庆忠县工业园区乌杨组团控制性详细规划修编环境影响报告书》及其审查意见函（渝环</w:t>
      </w:r>
      <w:r>
        <w:rPr>
          <w:rFonts w:hint="eastAsia"/>
          <w:color w:val="auto"/>
          <w:szCs w:val="24"/>
          <w:lang w:val="en-US" w:eastAsia="zh-CN"/>
        </w:rPr>
        <w:t>〔2020〕</w:t>
      </w:r>
      <w:r>
        <w:rPr>
          <w:rFonts w:hint="eastAsia"/>
          <w:color w:val="auto"/>
          <w:szCs w:val="24"/>
        </w:rPr>
        <w:t>559号）相关要求。</w:t>
      </w:r>
    </w:p>
    <w:p w14:paraId="764F071E">
      <w:pPr>
        <w:spacing w:line="360" w:lineRule="auto"/>
        <w:ind w:firstLine="480"/>
        <w:rPr>
          <w:rFonts w:hint="eastAsia"/>
          <w:color w:val="auto"/>
          <w:szCs w:val="24"/>
        </w:rPr>
      </w:pPr>
      <w:r>
        <w:rPr>
          <w:rFonts w:hint="eastAsia"/>
          <w:color w:val="auto"/>
          <w:szCs w:val="24"/>
        </w:rPr>
        <w:t>③规划环评“三线一单”符合性分析</w:t>
      </w:r>
    </w:p>
    <w:p w14:paraId="1D011EFC">
      <w:pPr>
        <w:spacing w:line="360" w:lineRule="auto"/>
        <w:ind w:firstLine="480"/>
        <w:rPr>
          <w:rFonts w:hint="eastAsia"/>
          <w:color w:val="auto"/>
          <w:szCs w:val="24"/>
        </w:rPr>
      </w:pPr>
      <w:r>
        <w:rPr>
          <w:rFonts w:hint="eastAsia"/>
          <w:color w:val="auto"/>
          <w:szCs w:val="24"/>
        </w:rPr>
        <w:t>根据《重庆市人民政府关于印发重庆市生态文明建设“十三五”规划的通知》和《重庆市人民政府办公厅关于印发重庆市生态保护红线划定方案的通知，落实“生态保护红线、环境质量底线、资源利用上线和环境准入负面清单”约束，建立项目环评审批与规划环评、现有项目环境管理、区域环境质量联动机制，更好地发挥环评制度从源头防范环境污染和生态破坏的作用，加快推进改善环境质量。</w:t>
      </w:r>
    </w:p>
    <w:p w14:paraId="269206E7">
      <w:pPr>
        <w:spacing w:line="360" w:lineRule="auto"/>
        <w:ind w:firstLine="480"/>
        <w:rPr>
          <w:rFonts w:hint="eastAsia"/>
          <w:color w:val="auto"/>
          <w:szCs w:val="24"/>
        </w:rPr>
      </w:pPr>
      <w:r>
        <w:rPr>
          <w:rFonts w:hint="eastAsia"/>
          <w:color w:val="auto"/>
          <w:szCs w:val="24"/>
        </w:rPr>
        <w:t>根据《重庆忠县工业园区乌杨组团控制性详细规划修编环境影响报告书》：</w:t>
      </w:r>
    </w:p>
    <w:p w14:paraId="15502D61">
      <w:pPr>
        <w:spacing w:line="360" w:lineRule="auto"/>
        <w:ind w:firstLine="480"/>
        <w:rPr>
          <w:rFonts w:hint="eastAsia"/>
          <w:color w:val="auto"/>
          <w:szCs w:val="24"/>
        </w:rPr>
      </w:pPr>
      <w:r>
        <w:rPr>
          <w:rFonts w:hint="eastAsia"/>
          <w:color w:val="auto"/>
          <w:szCs w:val="24"/>
        </w:rPr>
        <w:t>a.生态空间管制</w:t>
      </w:r>
    </w:p>
    <w:p w14:paraId="47F10DDF">
      <w:pPr>
        <w:spacing w:line="360" w:lineRule="auto"/>
        <w:ind w:firstLine="480"/>
        <w:rPr>
          <w:rFonts w:hint="eastAsia"/>
          <w:color w:val="auto"/>
          <w:szCs w:val="24"/>
        </w:rPr>
      </w:pPr>
      <w:r>
        <w:rPr>
          <w:rFonts w:hint="eastAsia"/>
          <w:color w:val="auto"/>
          <w:szCs w:val="24"/>
        </w:rPr>
        <w:t>评价要求规划区地块内长江50年一遇洪水位向陆域一侧1km范围内，禁止新建、扩建排放重金属（铬、镉、汞、砷、铅等五类重金属）、剧毒物质和持久性有机污染物的工业项目，仓储用地禁止引进危险品的仓储、物流配送企业；禁止新建、改建、扩建任何燃用高污染燃料的项目和设备。</w:t>
      </w:r>
    </w:p>
    <w:p w14:paraId="770C0690">
      <w:pPr>
        <w:spacing w:line="360" w:lineRule="auto"/>
        <w:ind w:firstLine="480"/>
        <w:rPr>
          <w:rFonts w:hint="eastAsia"/>
          <w:color w:val="auto"/>
          <w:szCs w:val="24"/>
        </w:rPr>
      </w:pPr>
      <w:r>
        <w:rPr>
          <w:rFonts w:hint="eastAsia"/>
          <w:color w:val="auto"/>
          <w:szCs w:val="24"/>
        </w:rPr>
        <w:t>拟建项目位于重庆忠县工业园区乌杨组团，不属于上述项目，满足生态空间管制要求。</w:t>
      </w:r>
    </w:p>
    <w:p w14:paraId="53C4AAC9">
      <w:pPr>
        <w:spacing w:line="360" w:lineRule="auto"/>
        <w:ind w:firstLine="480"/>
        <w:rPr>
          <w:rFonts w:hint="eastAsia"/>
          <w:color w:val="auto"/>
          <w:szCs w:val="24"/>
        </w:rPr>
      </w:pPr>
      <w:r>
        <w:rPr>
          <w:rFonts w:hint="eastAsia"/>
          <w:color w:val="auto"/>
          <w:szCs w:val="24"/>
        </w:rPr>
        <w:t>b.环境质量底线</w:t>
      </w:r>
    </w:p>
    <w:p w14:paraId="59DC1649">
      <w:pPr>
        <w:spacing w:line="360" w:lineRule="auto"/>
        <w:ind w:firstLine="480"/>
        <w:rPr>
          <w:rFonts w:hint="eastAsia"/>
          <w:color w:val="auto"/>
          <w:szCs w:val="24"/>
        </w:rPr>
      </w:pPr>
      <w:r>
        <w:rPr>
          <w:rFonts w:hint="eastAsia"/>
          <w:color w:val="auto"/>
          <w:szCs w:val="24"/>
        </w:rPr>
        <w:t>随着规划区的实施，未利用地将逐渐被建设用地所替代，就业人口数量得以增加，“三废”和噪声有效治理后，环境功能区仍满足要求，不会改变区域环境功能， 能保证区域生态系统的稳定。在规划区开发过程中确保周边环境质量满足相应划定的环境质量目标，是规划区开发的底线，基于环境质量底线及区域开发强度确定区域污染物排放总量管控限值。</w:t>
      </w:r>
    </w:p>
    <w:p w14:paraId="5DA10FA7">
      <w:pPr>
        <w:spacing w:line="360" w:lineRule="auto"/>
        <w:ind w:firstLine="480"/>
        <w:rPr>
          <w:rFonts w:hint="eastAsia"/>
          <w:color w:val="auto"/>
          <w:szCs w:val="24"/>
        </w:rPr>
      </w:pPr>
      <w:r>
        <w:rPr>
          <w:rFonts w:hint="eastAsia"/>
          <w:color w:val="auto"/>
          <w:szCs w:val="24"/>
        </w:rPr>
        <w:t>c.资源利用及环境总量上线</w:t>
      </w:r>
    </w:p>
    <w:p w14:paraId="2584149F">
      <w:pPr>
        <w:spacing w:line="360" w:lineRule="auto"/>
        <w:ind w:firstLine="480"/>
        <w:rPr>
          <w:rFonts w:hint="eastAsia"/>
          <w:color w:val="auto"/>
          <w:szCs w:val="24"/>
        </w:rPr>
      </w:pPr>
      <w:r>
        <w:rPr>
          <w:rFonts w:hint="eastAsia"/>
          <w:color w:val="auto"/>
          <w:szCs w:val="24"/>
        </w:rPr>
        <w:t>拟建项目生产过程中会消耗一定的水、电等资源，根据园区规划环评，园区均能够满足项目的资源需求，因此，项目符合资源利用</w:t>
      </w:r>
      <w:r>
        <w:rPr>
          <w:rFonts w:hint="eastAsia"/>
          <w:color w:val="auto"/>
          <w:szCs w:val="24"/>
          <w:lang w:eastAsia="zh-CN"/>
        </w:rPr>
        <w:t>上限</w:t>
      </w:r>
      <w:r>
        <w:rPr>
          <w:rFonts w:hint="eastAsia"/>
          <w:color w:val="auto"/>
          <w:szCs w:val="24"/>
        </w:rPr>
        <w:t>。</w:t>
      </w:r>
    </w:p>
    <w:p w14:paraId="4E03E2D3">
      <w:pPr>
        <w:spacing w:beforeLines="0" w:afterLines="0" w:line="480" w:lineRule="exact"/>
        <w:ind w:firstLine="480"/>
        <w:rPr>
          <w:rFonts w:eastAsia="宋体" w:cs="Times New Roman"/>
          <w:color w:val="auto"/>
        </w:rPr>
      </w:pPr>
      <w:r>
        <w:rPr>
          <w:rFonts w:hint="eastAsia" w:eastAsia="宋体" w:cs="Times New Roman"/>
          <w:color w:val="auto"/>
        </w:rPr>
        <w:t>园区污染物排放控制情况见表</w:t>
      </w:r>
      <w:r>
        <w:rPr>
          <w:rFonts w:eastAsia="宋体" w:cs="Times New Roman"/>
          <w:color w:val="auto"/>
        </w:rPr>
        <w:t>2.</w:t>
      </w:r>
      <w:r>
        <w:rPr>
          <w:rFonts w:hint="eastAsia" w:cs="Times New Roman"/>
          <w:color w:val="auto"/>
          <w:lang w:val="en-US" w:eastAsia="zh-CN"/>
        </w:rPr>
        <w:t>9</w:t>
      </w:r>
      <w:r>
        <w:rPr>
          <w:rFonts w:eastAsia="宋体" w:cs="Times New Roman"/>
          <w:color w:val="auto"/>
        </w:rPr>
        <w:t>-</w:t>
      </w:r>
      <w:r>
        <w:rPr>
          <w:rFonts w:hint="eastAsia" w:cs="Times New Roman"/>
          <w:color w:val="auto"/>
          <w:lang w:val="en-US" w:eastAsia="zh-CN"/>
        </w:rPr>
        <w:t>1</w:t>
      </w:r>
      <w:r>
        <w:rPr>
          <w:rFonts w:hint="eastAsia" w:eastAsia="宋体" w:cs="Times New Roman"/>
          <w:color w:val="auto"/>
        </w:rPr>
        <w:t>。</w:t>
      </w:r>
    </w:p>
    <w:p w14:paraId="0BB6ABAF">
      <w:pPr>
        <w:pStyle w:val="684"/>
        <w:spacing w:before="97" w:after="32"/>
        <w:rPr>
          <w:color w:val="auto"/>
          <w:lang w:val="zh-CN"/>
        </w:rPr>
      </w:pPr>
      <w:r>
        <w:rPr>
          <w:rFonts w:hint="eastAsia"/>
          <w:color w:val="auto"/>
          <w:lang w:val="zh-CN"/>
        </w:rPr>
        <w:t>表</w:t>
      </w:r>
      <w:r>
        <w:rPr>
          <w:color w:val="auto"/>
          <w:lang w:val="zh-CN"/>
        </w:rPr>
        <w:t>2.</w:t>
      </w:r>
      <w:r>
        <w:rPr>
          <w:rFonts w:hint="eastAsia"/>
          <w:color w:val="auto"/>
          <w:lang w:val="en-US" w:eastAsia="zh-CN"/>
        </w:rPr>
        <w:t>9</w:t>
      </w:r>
      <w:r>
        <w:rPr>
          <w:color w:val="auto"/>
          <w:lang w:val="zh-CN"/>
        </w:rPr>
        <w:t>-</w:t>
      </w:r>
      <w:r>
        <w:rPr>
          <w:rFonts w:hint="eastAsia"/>
          <w:color w:val="auto"/>
          <w:lang w:val="en-US" w:eastAsia="zh-CN"/>
        </w:rPr>
        <w:t>1</w:t>
      </w:r>
      <w:r>
        <w:rPr>
          <w:color w:val="auto"/>
          <w:lang w:val="zh-CN"/>
        </w:rPr>
        <w:t xml:space="preserve">  </w:t>
      </w:r>
      <w:r>
        <w:rPr>
          <w:rFonts w:hint="eastAsia"/>
          <w:color w:val="auto"/>
          <w:lang w:val="zh-CN"/>
        </w:rPr>
        <w:t>拟建项目排放量与园区污染物排放控制情况</w:t>
      </w:r>
      <w:r>
        <w:rPr>
          <w:color w:val="auto"/>
          <w:lang w:val="zh-CN"/>
        </w:rPr>
        <w:t xml:space="preserve">   </w:t>
      </w:r>
      <w:r>
        <w:rPr>
          <w:rFonts w:hint="eastAsia"/>
          <w:color w:val="auto"/>
          <w:lang w:val="zh-CN"/>
        </w:rPr>
        <w:t>单位：</w:t>
      </w:r>
      <w:r>
        <w:rPr>
          <w:color w:val="auto"/>
          <w:lang w:val="zh-CN"/>
        </w:rPr>
        <w:t>t/a</w:t>
      </w:r>
    </w:p>
    <w:tbl>
      <w:tblPr>
        <w:tblStyle w:val="88"/>
        <w:tblW w:w="91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1417"/>
        <w:gridCol w:w="1004"/>
        <w:gridCol w:w="1077"/>
        <w:gridCol w:w="1304"/>
        <w:gridCol w:w="1077"/>
        <w:gridCol w:w="1077"/>
        <w:gridCol w:w="1078"/>
      </w:tblGrid>
      <w:tr w14:paraId="0EFB1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blHeader/>
          <w:jc w:val="center"/>
        </w:trPr>
        <w:tc>
          <w:tcPr>
            <w:tcW w:w="1077" w:type="dxa"/>
            <w:tcBorders>
              <w:top w:val="single" w:color="auto" w:sz="4" w:space="0"/>
              <w:left w:val="single" w:color="auto" w:sz="4" w:space="0"/>
              <w:bottom w:val="single" w:color="auto" w:sz="4" w:space="0"/>
              <w:right w:val="single" w:color="auto" w:sz="4" w:space="0"/>
            </w:tcBorders>
            <w:vAlign w:val="center"/>
          </w:tcPr>
          <w:p w14:paraId="4E9CFC3B">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分类</w:t>
            </w:r>
          </w:p>
        </w:tc>
        <w:tc>
          <w:tcPr>
            <w:tcW w:w="1417" w:type="dxa"/>
            <w:tcBorders>
              <w:top w:val="single" w:color="auto" w:sz="4" w:space="0"/>
              <w:left w:val="single" w:color="auto" w:sz="4" w:space="0"/>
              <w:bottom w:val="single" w:color="auto" w:sz="4" w:space="0"/>
              <w:right w:val="single" w:color="auto" w:sz="4" w:space="0"/>
            </w:tcBorders>
            <w:vAlign w:val="center"/>
          </w:tcPr>
          <w:p w14:paraId="13432023">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污染物</w:t>
            </w:r>
          </w:p>
        </w:tc>
        <w:tc>
          <w:tcPr>
            <w:tcW w:w="1004" w:type="dxa"/>
            <w:tcBorders>
              <w:top w:val="single" w:color="auto" w:sz="4" w:space="0"/>
              <w:left w:val="single" w:color="auto" w:sz="4" w:space="0"/>
              <w:bottom w:val="single" w:color="auto" w:sz="4" w:space="0"/>
              <w:right w:val="single" w:color="auto" w:sz="4" w:space="0"/>
            </w:tcBorders>
            <w:noWrap/>
            <w:vAlign w:val="center"/>
          </w:tcPr>
          <w:p w14:paraId="3E5CB643">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现状</w:t>
            </w:r>
          </w:p>
          <w:p w14:paraId="592D34C1">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排放量</w:t>
            </w:r>
          </w:p>
        </w:tc>
        <w:tc>
          <w:tcPr>
            <w:tcW w:w="1077" w:type="dxa"/>
            <w:tcBorders>
              <w:top w:val="single" w:color="auto" w:sz="4" w:space="0"/>
              <w:left w:val="single" w:color="auto" w:sz="4" w:space="0"/>
              <w:bottom w:val="single" w:color="auto" w:sz="4" w:space="0"/>
              <w:right w:val="single" w:color="auto" w:sz="4" w:space="0"/>
            </w:tcBorders>
            <w:noWrap/>
            <w:vAlign w:val="center"/>
          </w:tcPr>
          <w:p w14:paraId="6BF98D35">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规划总量</w:t>
            </w:r>
          </w:p>
          <w:p w14:paraId="56BAD362">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管控限值</w:t>
            </w:r>
          </w:p>
        </w:tc>
        <w:tc>
          <w:tcPr>
            <w:tcW w:w="1304" w:type="dxa"/>
            <w:tcBorders>
              <w:top w:val="single" w:color="auto" w:sz="4" w:space="0"/>
              <w:left w:val="single" w:color="auto" w:sz="4" w:space="0"/>
              <w:bottom w:val="single" w:color="auto" w:sz="4" w:space="0"/>
              <w:right w:val="single" w:color="auto" w:sz="4" w:space="0"/>
            </w:tcBorders>
            <w:vAlign w:val="center"/>
          </w:tcPr>
          <w:p w14:paraId="37BEB902">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拟在建项目</w:t>
            </w:r>
          </w:p>
          <w:p w14:paraId="60E01F62">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排放量</w:t>
            </w:r>
          </w:p>
        </w:tc>
        <w:tc>
          <w:tcPr>
            <w:tcW w:w="1077" w:type="dxa"/>
            <w:tcBorders>
              <w:top w:val="single" w:color="auto" w:sz="4" w:space="0"/>
              <w:left w:val="single" w:color="auto" w:sz="4" w:space="0"/>
              <w:bottom w:val="single" w:color="auto" w:sz="4" w:space="0"/>
              <w:right w:val="single" w:color="auto" w:sz="4" w:space="0"/>
            </w:tcBorders>
            <w:vAlign w:val="center"/>
          </w:tcPr>
          <w:p w14:paraId="58326985">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剩余总量</w:t>
            </w:r>
          </w:p>
        </w:tc>
        <w:tc>
          <w:tcPr>
            <w:tcW w:w="1077" w:type="dxa"/>
            <w:tcBorders>
              <w:top w:val="single" w:color="auto" w:sz="4" w:space="0"/>
              <w:left w:val="single" w:color="auto" w:sz="4" w:space="0"/>
              <w:bottom w:val="single" w:color="auto" w:sz="4" w:space="0"/>
              <w:right w:val="single" w:color="auto" w:sz="4" w:space="0"/>
            </w:tcBorders>
            <w:noWrap/>
            <w:vAlign w:val="center"/>
          </w:tcPr>
          <w:p w14:paraId="0DA5FE0C">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拟建项目</w:t>
            </w:r>
          </w:p>
          <w:p w14:paraId="3951D0EF">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新增排放量</w:t>
            </w:r>
          </w:p>
        </w:tc>
        <w:tc>
          <w:tcPr>
            <w:tcW w:w="1078" w:type="dxa"/>
            <w:tcBorders>
              <w:top w:val="single" w:color="auto" w:sz="4" w:space="0"/>
              <w:left w:val="single" w:color="auto" w:sz="4" w:space="0"/>
              <w:bottom w:val="single" w:color="auto" w:sz="4" w:space="0"/>
              <w:right w:val="single" w:color="auto" w:sz="4" w:space="0"/>
            </w:tcBorders>
            <w:vAlign w:val="center"/>
          </w:tcPr>
          <w:p w14:paraId="6AB3D39F">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是否满足总量控制要求</w:t>
            </w:r>
          </w:p>
        </w:tc>
      </w:tr>
      <w:tr w14:paraId="00D9C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077" w:type="dxa"/>
            <w:vMerge w:val="restart"/>
            <w:tcBorders>
              <w:top w:val="single" w:color="auto" w:sz="4" w:space="0"/>
              <w:left w:val="single" w:color="auto" w:sz="4" w:space="0"/>
              <w:bottom w:val="single" w:color="auto" w:sz="4" w:space="0"/>
              <w:right w:val="single" w:color="auto" w:sz="4" w:space="0"/>
            </w:tcBorders>
            <w:vAlign w:val="center"/>
          </w:tcPr>
          <w:p w14:paraId="3B15AD11">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大气污染物总量管控限值</w:t>
            </w:r>
          </w:p>
        </w:tc>
        <w:tc>
          <w:tcPr>
            <w:tcW w:w="1417" w:type="dxa"/>
            <w:tcBorders>
              <w:top w:val="single" w:color="auto" w:sz="4" w:space="0"/>
              <w:left w:val="single" w:color="auto" w:sz="4" w:space="0"/>
              <w:bottom w:val="single" w:color="auto" w:sz="4" w:space="0"/>
              <w:right w:val="single" w:color="auto" w:sz="4" w:space="0"/>
            </w:tcBorders>
            <w:vAlign w:val="center"/>
          </w:tcPr>
          <w:p w14:paraId="334E4045">
            <w:pPr>
              <w:adjustRightInd w:val="0"/>
              <w:snapToGrid w:val="0"/>
              <w:spacing w:beforeLines="0" w:afterLines="0" w:line="240" w:lineRule="auto"/>
              <w:ind w:firstLine="0" w:firstLineChars="0"/>
              <w:jc w:val="center"/>
              <w:rPr>
                <w:rFonts w:eastAsia="宋体" w:cs="宋体"/>
                <w:color w:val="auto"/>
                <w:kern w:val="0"/>
                <w:sz w:val="21"/>
                <w:szCs w:val="24"/>
              </w:rPr>
            </w:pPr>
            <w:r>
              <w:rPr>
                <w:rFonts w:eastAsia="宋体" w:cs="宋体"/>
                <w:color w:val="auto"/>
                <w:kern w:val="0"/>
                <w:sz w:val="21"/>
                <w:szCs w:val="24"/>
              </w:rPr>
              <w:t>SO</w:t>
            </w:r>
            <w:r>
              <w:rPr>
                <w:rFonts w:eastAsia="宋体" w:cs="宋体"/>
                <w:color w:val="auto"/>
                <w:kern w:val="0"/>
                <w:sz w:val="21"/>
                <w:szCs w:val="24"/>
                <w:vertAlign w:val="subscript"/>
              </w:rPr>
              <w:t>2</w:t>
            </w:r>
          </w:p>
        </w:tc>
        <w:tc>
          <w:tcPr>
            <w:tcW w:w="1004" w:type="dxa"/>
            <w:tcBorders>
              <w:top w:val="single" w:color="auto" w:sz="4" w:space="0"/>
              <w:left w:val="single" w:color="auto" w:sz="4" w:space="0"/>
              <w:bottom w:val="single" w:color="auto" w:sz="4" w:space="0"/>
              <w:right w:val="single" w:color="auto" w:sz="4" w:space="0"/>
            </w:tcBorders>
            <w:noWrap/>
            <w:vAlign w:val="center"/>
          </w:tcPr>
          <w:p w14:paraId="5E148FE9">
            <w:pPr>
              <w:adjustRightInd w:val="0"/>
              <w:snapToGrid w:val="0"/>
              <w:spacing w:beforeLines="0" w:afterLines="0" w:line="240" w:lineRule="auto"/>
              <w:ind w:firstLine="0" w:firstLineChars="0"/>
              <w:jc w:val="center"/>
              <w:rPr>
                <w:rFonts w:eastAsia="宋体" w:cs="宋体"/>
                <w:color w:val="auto"/>
                <w:kern w:val="0"/>
                <w:sz w:val="21"/>
                <w:szCs w:val="24"/>
              </w:rPr>
            </w:pPr>
            <w:r>
              <w:rPr>
                <w:rFonts w:eastAsia="宋体" w:cs="宋体"/>
                <w:color w:val="auto"/>
                <w:kern w:val="0"/>
                <w:sz w:val="21"/>
                <w:szCs w:val="24"/>
              </w:rPr>
              <w:t>1891.665</w:t>
            </w:r>
          </w:p>
        </w:tc>
        <w:tc>
          <w:tcPr>
            <w:tcW w:w="1077" w:type="dxa"/>
            <w:tcBorders>
              <w:top w:val="single" w:color="auto" w:sz="4" w:space="0"/>
              <w:left w:val="single" w:color="auto" w:sz="4" w:space="0"/>
              <w:bottom w:val="single" w:color="auto" w:sz="4" w:space="0"/>
              <w:right w:val="single" w:color="auto" w:sz="4" w:space="0"/>
            </w:tcBorders>
            <w:noWrap/>
            <w:vAlign w:val="center"/>
          </w:tcPr>
          <w:p w14:paraId="0C6A06FB">
            <w:pPr>
              <w:adjustRightInd w:val="0"/>
              <w:snapToGrid w:val="0"/>
              <w:spacing w:beforeLines="0" w:afterLines="0" w:line="240" w:lineRule="auto"/>
              <w:ind w:firstLine="0" w:firstLineChars="0"/>
              <w:jc w:val="center"/>
              <w:rPr>
                <w:rFonts w:eastAsia="宋体" w:cs="宋体"/>
                <w:color w:val="auto"/>
                <w:kern w:val="0"/>
                <w:sz w:val="21"/>
                <w:szCs w:val="24"/>
              </w:rPr>
            </w:pPr>
            <w:r>
              <w:rPr>
                <w:rFonts w:eastAsia="宋体" w:cs="宋体"/>
                <w:color w:val="auto"/>
                <w:kern w:val="0"/>
                <w:sz w:val="21"/>
                <w:szCs w:val="24"/>
              </w:rPr>
              <w:t>2165.663</w:t>
            </w:r>
          </w:p>
        </w:tc>
        <w:tc>
          <w:tcPr>
            <w:tcW w:w="1304" w:type="dxa"/>
            <w:tcBorders>
              <w:top w:val="single" w:color="auto" w:sz="4" w:space="0"/>
              <w:left w:val="nil"/>
              <w:bottom w:val="single" w:color="auto" w:sz="4" w:space="0"/>
              <w:right w:val="single" w:color="auto" w:sz="4" w:space="0"/>
            </w:tcBorders>
            <w:shd w:val="clear" w:color="auto" w:fill="auto"/>
            <w:vAlign w:val="center"/>
          </w:tcPr>
          <w:p w14:paraId="18670924">
            <w:pPr>
              <w:pStyle w:val="691"/>
              <w:rPr>
                <w:color w:val="auto"/>
              </w:rPr>
            </w:pPr>
            <w:r>
              <w:rPr>
                <w:rFonts w:hint="eastAsia"/>
                <w:color w:val="auto"/>
              </w:rPr>
              <w:t>6.3992</w:t>
            </w:r>
          </w:p>
        </w:tc>
        <w:tc>
          <w:tcPr>
            <w:tcW w:w="1077" w:type="dxa"/>
            <w:tcBorders>
              <w:top w:val="single" w:color="auto" w:sz="4" w:space="0"/>
              <w:left w:val="single" w:color="auto" w:sz="4" w:space="0"/>
              <w:bottom w:val="single" w:color="auto" w:sz="4" w:space="0"/>
              <w:right w:val="nil"/>
            </w:tcBorders>
            <w:shd w:val="clear" w:color="auto" w:fill="auto"/>
            <w:vAlign w:val="center"/>
          </w:tcPr>
          <w:p w14:paraId="3C173090">
            <w:pPr>
              <w:pStyle w:val="691"/>
              <w:rPr>
                <w:color w:val="auto"/>
              </w:rPr>
            </w:pPr>
            <w:r>
              <w:rPr>
                <w:rFonts w:hint="eastAsia"/>
                <w:color w:val="auto"/>
              </w:rPr>
              <w:t>267.5988</w:t>
            </w:r>
          </w:p>
        </w:tc>
        <w:tc>
          <w:tcPr>
            <w:tcW w:w="1077" w:type="dxa"/>
            <w:tcBorders>
              <w:top w:val="single" w:color="auto" w:sz="4" w:space="0"/>
              <w:left w:val="single" w:color="auto" w:sz="4" w:space="0"/>
              <w:bottom w:val="single" w:color="auto" w:sz="4" w:space="0"/>
              <w:right w:val="single" w:color="auto" w:sz="4" w:space="0"/>
            </w:tcBorders>
            <w:noWrap/>
            <w:vAlign w:val="center"/>
          </w:tcPr>
          <w:p w14:paraId="5DD67B31">
            <w:pPr>
              <w:adjustRightInd w:val="0"/>
              <w:snapToGrid w:val="0"/>
              <w:spacing w:beforeLines="0" w:afterLines="0" w:line="240" w:lineRule="auto"/>
              <w:ind w:firstLine="0" w:firstLineChars="0"/>
              <w:jc w:val="center"/>
              <w:rPr>
                <w:rFonts w:eastAsia="宋体" w:cs="宋体"/>
                <w:color w:val="auto"/>
                <w:kern w:val="0"/>
                <w:sz w:val="21"/>
                <w:szCs w:val="24"/>
              </w:rPr>
            </w:pPr>
            <w:r>
              <w:rPr>
                <w:rFonts w:eastAsia="宋体" w:cs="宋体"/>
                <w:color w:val="auto"/>
                <w:kern w:val="0"/>
                <w:sz w:val="21"/>
                <w:szCs w:val="24"/>
              </w:rPr>
              <w:t>0</w:t>
            </w:r>
          </w:p>
        </w:tc>
        <w:tc>
          <w:tcPr>
            <w:tcW w:w="1078" w:type="dxa"/>
            <w:tcBorders>
              <w:top w:val="single" w:color="auto" w:sz="4" w:space="0"/>
              <w:left w:val="single" w:color="auto" w:sz="4" w:space="0"/>
              <w:bottom w:val="single" w:color="auto" w:sz="4" w:space="0"/>
              <w:right w:val="single" w:color="auto" w:sz="4" w:space="0"/>
            </w:tcBorders>
            <w:vAlign w:val="center"/>
          </w:tcPr>
          <w:p w14:paraId="72FB89BC">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是</w:t>
            </w:r>
          </w:p>
        </w:tc>
      </w:tr>
      <w:tr w14:paraId="43256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77" w:type="dxa"/>
            <w:vMerge w:val="continue"/>
            <w:tcBorders>
              <w:top w:val="single" w:color="auto" w:sz="4" w:space="0"/>
              <w:left w:val="single" w:color="auto" w:sz="4" w:space="0"/>
              <w:bottom w:val="single" w:color="auto" w:sz="4" w:space="0"/>
              <w:right w:val="single" w:color="auto" w:sz="4" w:space="0"/>
            </w:tcBorders>
            <w:vAlign w:val="center"/>
          </w:tcPr>
          <w:p w14:paraId="7325D2CF">
            <w:pPr>
              <w:widowControl/>
              <w:spacing w:beforeLines="0" w:afterLines="0" w:line="240" w:lineRule="auto"/>
              <w:ind w:firstLine="0" w:firstLineChars="0"/>
              <w:jc w:val="left"/>
              <w:rPr>
                <w:rFonts w:eastAsia="宋体" w:cs="宋体"/>
                <w:color w:val="auto"/>
                <w:kern w:val="0"/>
                <w:sz w:val="21"/>
                <w:szCs w:val="24"/>
              </w:rPr>
            </w:pPr>
          </w:p>
        </w:tc>
        <w:tc>
          <w:tcPr>
            <w:tcW w:w="1417" w:type="dxa"/>
            <w:tcBorders>
              <w:top w:val="single" w:color="auto" w:sz="4" w:space="0"/>
              <w:left w:val="single" w:color="auto" w:sz="4" w:space="0"/>
              <w:bottom w:val="single" w:color="auto" w:sz="4" w:space="0"/>
              <w:right w:val="single" w:color="auto" w:sz="4" w:space="0"/>
            </w:tcBorders>
            <w:vAlign w:val="center"/>
          </w:tcPr>
          <w:p w14:paraId="44813A98">
            <w:pPr>
              <w:adjustRightInd w:val="0"/>
              <w:snapToGrid w:val="0"/>
              <w:spacing w:beforeLines="0" w:afterLines="0" w:line="240" w:lineRule="auto"/>
              <w:ind w:firstLine="0" w:firstLineChars="0"/>
              <w:jc w:val="center"/>
              <w:rPr>
                <w:rFonts w:eastAsia="宋体" w:cs="宋体"/>
                <w:color w:val="auto"/>
                <w:kern w:val="0"/>
                <w:sz w:val="21"/>
                <w:szCs w:val="24"/>
              </w:rPr>
            </w:pPr>
            <w:r>
              <w:rPr>
                <w:rFonts w:eastAsia="宋体" w:cs="宋体"/>
                <w:color w:val="auto"/>
                <w:kern w:val="0"/>
                <w:sz w:val="21"/>
                <w:szCs w:val="24"/>
              </w:rPr>
              <w:t>NOx</w:t>
            </w:r>
          </w:p>
        </w:tc>
        <w:tc>
          <w:tcPr>
            <w:tcW w:w="1004" w:type="dxa"/>
            <w:tcBorders>
              <w:top w:val="single" w:color="auto" w:sz="4" w:space="0"/>
              <w:left w:val="single" w:color="auto" w:sz="4" w:space="0"/>
              <w:bottom w:val="single" w:color="auto" w:sz="4" w:space="0"/>
              <w:right w:val="single" w:color="auto" w:sz="4" w:space="0"/>
            </w:tcBorders>
            <w:noWrap/>
            <w:vAlign w:val="center"/>
          </w:tcPr>
          <w:p w14:paraId="78CD2255">
            <w:pPr>
              <w:adjustRightInd w:val="0"/>
              <w:snapToGrid w:val="0"/>
              <w:spacing w:beforeLines="0" w:afterLines="0" w:line="240" w:lineRule="auto"/>
              <w:ind w:firstLine="0" w:firstLineChars="0"/>
              <w:jc w:val="center"/>
              <w:rPr>
                <w:rFonts w:eastAsia="宋体" w:cs="宋体"/>
                <w:color w:val="auto"/>
                <w:kern w:val="0"/>
                <w:sz w:val="21"/>
                <w:szCs w:val="24"/>
              </w:rPr>
            </w:pPr>
            <w:r>
              <w:rPr>
                <w:rFonts w:eastAsia="宋体" w:cs="宋体"/>
                <w:color w:val="auto"/>
                <w:kern w:val="0"/>
                <w:sz w:val="21"/>
                <w:szCs w:val="24"/>
              </w:rPr>
              <w:t>3801.387</w:t>
            </w:r>
          </w:p>
        </w:tc>
        <w:tc>
          <w:tcPr>
            <w:tcW w:w="1077" w:type="dxa"/>
            <w:tcBorders>
              <w:top w:val="single" w:color="auto" w:sz="4" w:space="0"/>
              <w:left w:val="single" w:color="auto" w:sz="4" w:space="0"/>
              <w:bottom w:val="single" w:color="auto" w:sz="4" w:space="0"/>
              <w:right w:val="single" w:color="auto" w:sz="4" w:space="0"/>
            </w:tcBorders>
            <w:noWrap/>
            <w:vAlign w:val="center"/>
          </w:tcPr>
          <w:p w14:paraId="12211DD9">
            <w:pPr>
              <w:adjustRightInd w:val="0"/>
              <w:snapToGrid w:val="0"/>
              <w:spacing w:beforeLines="0" w:afterLines="0" w:line="240" w:lineRule="auto"/>
              <w:ind w:firstLine="0" w:firstLineChars="0"/>
              <w:jc w:val="center"/>
              <w:rPr>
                <w:rFonts w:eastAsia="宋体" w:cs="宋体"/>
                <w:color w:val="auto"/>
                <w:kern w:val="0"/>
                <w:sz w:val="21"/>
                <w:szCs w:val="24"/>
              </w:rPr>
            </w:pPr>
            <w:r>
              <w:rPr>
                <w:rFonts w:eastAsia="宋体" w:cs="宋体"/>
                <w:color w:val="auto"/>
                <w:kern w:val="0"/>
                <w:sz w:val="21"/>
                <w:szCs w:val="24"/>
              </w:rPr>
              <w:t>4267.262</w:t>
            </w:r>
          </w:p>
        </w:tc>
        <w:tc>
          <w:tcPr>
            <w:tcW w:w="1304" w:type="dxa"/>
            <w:tcBorders>
              <w:top w:val="single" w:color="auto" w:sz="4" w:space="0"/>
              <w:left w:val="nil"/>
              <w:bottom w:val="single" w:color="auto" w:sz="4" w:space="0"/>
              <w:right w:val="single" w:color="auto" w:sz="4" w:space="0"/>
            </w:tcBorders>
            <w:shd w:val="clear" w:color="auto" w:fill="auto"/>
            <w:vAlign w:val="center"/>
          </w:tcPr>
          <w:p w14:paraId="36DA2BBF">
            <w:pPr>
              <w:pStyle w:val="691"/>
              <w:rPr>
                <w:color w:val="auto"/>
              </w:rPr>
            </w:pPr>
            <w:r>
              <w:rPr>
                <w:rFonts w:hint="eastAsia"/>
                <w:color w:val="auto"/>
              </w:rPr>
              <w:t>154.545</w:t>
            </w:r>
          </w:p>
        </w:tc>
        <w:tc>
          <w:tcPr>
            <w:tcW w:w="1077" w:type="dxa"/>
            <w:tcBorders>
              <w:top w:val="single" w:color="auto" w:sz="4" w:space="0"/>
              <w:left w:val="single" w:color="auto" w:sz="4" w:space="0"/>
              <w:bottom w:val="single" w:color="auto" w:sz="4" w:space="0"/>
              <w:right w:val="nil"/>
            </w:tcBorders>
            <w:shd w:val="clear" w:color="auto" w:fill="auto"/>
            <w:vAlign w:val="center"/>
          </w:tcPr>
          <w:p w14:paraId="0F2FA219">
            <w:pPr>
              <w:pStyle w:val="691"/>
              <w:rPr>
                <w:color w:val="auto"/>
              </w:rPr>
            </w:pPr>
            <w:r>
              <w:rPr>
                <w:rFonts w:hint="eastAsia"/>
                <w:color w:val="auto"/>
              </w:rPr>
              <w:t>311.33</w:t>
            </w:r>
          </w:p>
        </w:tc>
        <w:tc>
          <w:tcPr>
            <w:tcW w:w="1077" w:type="dxa"/>
            <w:tcBorders>
              <w:top w:val="single" w:color="auto" w:sz="4" w:space="0"/>
              <w:left w:val="single" w:color="auto" w:sz="4" w:space="0"/>
              <w:bottom w:val="single" w:color="auto" w:sz="4" w:space="0"/>
              <w:right w:val="single" w:color="auto" w:sz="4" w:space="0"/>
            </w:tcBorders>
            <w:noWrap/>
            <w:vAlign w:val="center"/>
          </w:tcPr>
          <w:p w14:paraId="55633639">
            <w:pPr>
              <w:adjustRightInd w:val="0"/>
              <w:snapToGrid w:val="0"/>
              <w:spacing w:beforeLines="0" w:afterLines="0" w:line="240" w:lineRule="auto"/>
              <w:ind w:firstLine="0" w:firstLineChars="0"/>
              <w:jc w:val="center"/>
              <w:rPr>
                <w:rFonts w:eastAsia="宋体" w:cs="宋体"/>
                <w:color w:val="auto"/>
                <w:kern w:val="0"/>
                <w:sz w:val="21"/>
                <w:szCs w:val="24"/>
              </w:rPr>
            </w:pPr>
            <w:r>
              <w:rPr>
                <w:rFonts w:eastAsia="宋体" w:cs="宋体"/>
                <w:color w:val="auto"/>
                <w:kern w:val="0"/>
                <w:sz w:val="21"/>
                <w:szCs w:val="24"/>
              </w:rPr>
              <w:t>0</w:t>
            </w:r>
          </w:p>
        </w:tc>
        <w:tc>
          <w:tcPr>
            <w:tcW w:w="1078" w:type="dxa"/>
            <w:tcBorders>
              <w:top w:val="single" w:color="auto" w:sz="4" w:space="0"/>
              <w:left w:val="single" w:color="auto" w:sz="4" w:space="0"/>
              <w:bottom w:val="single" w:color="auto" w:sz="4" w:space="0"/>
              <w:right w:val="single" w:color="auto" w:sz="4" w:space="0"/>
            </w:tcBorders>
            <w:vAlign w:val="center"/>
          </w:tcPr>
          <w:p w14:paraId="379E06DC">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是</w:t>
            </w:r>
          </w:p>
        </w:tc>
      </w:tr>
      <w:tr w14:paraId="2BA7D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77" w:type="dxa"/>
            <w:vMerge w:val="continue"/>
            <w:tcBorders>
              <w:top w:val="single" w:color="auto" w:sz="4" w:space="0"/>
              <w:left w:val="single" w:color="auto" w:sz="4" w:space="0"/>
              <w:bottom w:val="single" w:color="auto" w:sz="4" w:space="0"/>
              <w:right w:val="single" w:color="auto" w:sz="4" w:space="0"/>
            </w:tcBorders>
            <w:vAlign w:val="center"/>
          </w:tcPr>
          <w:p w14:paraId="64AB2ABD">
            <w:pPr>
              <w:widowControl/>
              <w:spacing w:beforeLines="0" w:afterLines="0" w:line="240" w:lineRule="auto"/>
              <w:ind w:firstLine="0" w:firstLineChars="0"/>
              <w:jc w:val="left"/>
              <w:rPr>
                <w:rFonts w:eastAsia="宋体" w:cs="宋体"/>
                <w:color w:val="auto"/>
                <w:kern w:val="0"/>
                <w:sz w:val="21"/>
                <w:szCs w:val="24"/>
              </w:rPr>
            </w:pPr>
          </w:p>
        </w:tc>
        <w:tc>
          <w:tcPr>
            <w:tcW w:w="1417" w:type="dxa"/>
            <w:tcBorders>
              <w:top w:val="single" w:color="auto" w:sz="4" w:space="0"/>
              <w:left w:val="single" w:color="auto" w:sz="4" w:space="0"/>
              <w:bottom w:val="single" w:color="auto" w:sz="4" w:space="0"/>
              <w:right w:val="single" w:color="auto" w:sz="4" w:space="0"/>
            </w:tcBorders>
            <w:vAlign w:val="center"/>
          </w:tcPr>
          <w:p w14:paraId="326B5F7C">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颗粒物</w:t>
            </w:r>
          </w:p>
        </w:tc>
        <w:tc>
          <w:tcPr>
            <w:tcW w:w="1004" w:type="dxa"/>
            <w:tcBorders>
              <w:top w:val="single" w:color="auto" w:sz="4" w:space="0"/>
              <w:left w:val="single" w:color="auto" w:sz="4" w:space="0"/>
              <w:bottom w:val="single" w:color="auto" w:sz="4" w:space="0"/>
              <w:right w:val="single" w:color="auto" w:sz="4" w:space="0"/>
            </w:tcBorders>
            <w:noWrap/>
            <w:vAlign w:val="center"/>
          </w:tcPr>
          <w:p w14:paraId="2A4EC7A6">
            <w:pPr>
              <w:adjustRightInd w:val="0"/>
              <w:snapToGrid w:val="0"/>
              <w:spacing w:beforeLines="0" w:afterLines="0" w:line="240" w:lineRule="auto"/>
              <w:ind w:firstLine="0" w:firstLineChars="0"/>
              <w:jc w:val="center"/>
              <w:rPr>
                <w:rFonts w:eastAsia="宋体" w:cs="宋体"/>
                <w:color w:val="auto"/>
                <w:kern w:val="0"/>
                <w:sz w:val="21"/>
                <w:szCs w:val="24"/>
              </w:rPr>
            </w:pPr>
            <w:r>
              <w:rPr>
                <w:rFonts w:eastAsia="宋体" w:cs="宋体"/>
                <w:color w:val="auto"/>
                <w:kern w:val="0"/>
                <w:sz w:val="21"/>
                <w:szCs w:val="24"/>
              </w:rPr>
              <w:t>887.337</w:t>
            </w:r>
          </w:p>
        </w:tc>
        <w:tc>
          <w:tcPr>
            <w:tcW w:w="1077" w:type="dxa"/>
            <w:tcBorders>
              <w:top w:val="single" w:color="auto" w:sz="4" w:space="0"/>
              <w:left w:val="single" w:color="auto" w:sz="4" w:space="0"/>
              <w:bottom w:val="single" w:color="auto" w:sz="4" w:space="0"/>
              <w:right w:val="single" w:color="auto" w:sz="4" w:space="0"/>
            </w:tcBorders>
            <w:noWrap/>
            <w:vAlign w:val="center"/>
          </w:tcPr>
          <w:p w14:paraId="1796A432">
            <w:pPr>
              <w:adjustRightInd w:val="0"/>
              <w:snapToGrid w:val="0"/>
              <w:spacing w:beforeLines="0" w:afterLines="0" w:line="240" w:lineRule="auto"/>
              <w:ind w:firstLine="0" w:firstLineChars="0"/>
              <w:jc w:val="center"/>
              <w:rPr>
                <w:rFonts w:eastAsia="宋体" w:cs="宋体"/>
                <w:color w:val="auto"/>
                <w:kern w:val="0"/>
                <w:sz w:val="21"/>
                <w:szCs w:val="24"/>
              </w:rPr>
            </w:pPr>
            <w:r>
              <w:rPr>
                <w:rFonts w:eastAsia="宋体" w:cs="宋体"/>
                <w:color w:val="auto"/>
                <w:kern w:val="0"/>
                <w:sz w:val="21"/>
                <w:szCs w:val="24"/>
              </w:rPr>
              <w:t>1204.846</w:t>
            </w:r>
          </w:p>
        </w:tc>
        <w:tc>
          <w:tcPr>
            <w:tcW w:w="1304" w:type="dxa"/>
            <w:tcBorders>
              <w:top w:val="single" w:color="auto" w:sz="4" w:space="0"/>
              <w:left w:val="nil"/>
              <w:bottom w:val="single" w:color="auto" w:sz="4" w:space="0"/>
              <w:right w:val="single" w:color="auto" w:sz="4" w:space="0"/>
            </w:tcBorders>
            <w:shd w:val="clear" w:color="auto" w:fill="auto"/>
            <w:vAlign w:val="center"/>
          </w:tcPr>
          <w:p w14:paraId="48991AAA">
            <w:pPr>
              <w:pStyle w:val="691"/>
              <w:rPr>
                <w:color w:val="auto"/>
              </w:rPr>
            </w:pPr>
            <w:r>
              <w:rPr>
                <w:rFonts w:hint="eastAsia"/>
                <w:color w:val="auto"/>
              </w:rPr>
              <w:t>3.63</w:t>
            </w:r>
          </w:p>
        </w:tc>
        <w:tc>
          <w:tcPr>
            <w:tcW w:w="1077" w:type="dxa"/>
            <w:tcBorders>
              <w:top w:val="single" w:color="auto" w:sz="4" w:space="0"/>
              <w:left w:val="single" w:color="auto" w:sz="4" w:space="0"/>
              <w:bottom w:val="single" w:color="auto" w:sz="4" w:space="0"/>
              <w:right w:val="nil"/>
            </w:tcBorders>
            <w:shd w:val="clear" w:color="auto" w:fill="auto"/>
            <w:vAlign w:val="center"/>
          </w:tcPr>
          <w:p w14:paraId="5F10DB3A">
            <w:pPr>
              <w:pStyle w:val="691"/>
              <w:rPr>
                <w:color w:val="auto"/>
              </w:rPr>
            </w:pPr>
            <w:r>
              <w:rPr>
                <w:rFonts w:hint="eastAsia"/>
                <w:color w:val="auto"/>
              </w:rPr>
              <w:t>313.879</w:t>
            </w:r>
          </w:p>
        </w:tc>
        <w:tc>
          <w:tcPr>
            <w:tcW w:w="1077" w:type="dxa"/>
            <w:tcBorders>
              <w:top w:val="single" w:color="auto" w:sz="4" w:space="0"/>
              <w:left w:val="single" w:color="auto" w:sz="4" w:space="0"/>
              <w:bottom w:val="single" w:color="auto" w:sz="4" w:space="0"/>
              <w:right w:val="single" w:color="auto" w:sz="4" w:space="0"/>
            </w:tcBorders>
            <w:noWrap/>
            <w:vAlign w:val="center"/>
          </w:tcPr>
          <w:p w14:paraId="2967F486">
            <w:pPr>
              <w:adjustRightInd w:val="0"/>
              <w:snapToGrid w:val="0"/>
              <w:spacing w:beforeLines="0" w:afterLines="0" w:line="240" w:lineRule="auto"/>
              <w:ind w:firstLine="0" w:firstLineChars="0"/>
              <w:jc w:val="center"/>
              <w:rPr>
                <w:rFonts w:eastAsia="宋体" w:cs="宋体"/>
                <w:color w:val="auto"/>
                <w:kern w:val="0"/>
                <w:sz w:val="21"/>
                <w:szCs w:val="24"/>
              </w:rPr>
            </w:pPr>
            <w:r>
              <w:rPr>
                <w:rFonts w:eastAsia="宋体" w:cs="宋体"/>
                <w:color w:val="auto"/>
                <w:kern w:val="0"/>
                <w:sz w:val="21"/>
                <w:szCs w:val="24"/>
              </w:rPr>
              <w:t>0</w:t>
            </w:r>
          </w:p>
        </w:tc>
        <w:tc>
          <w:tcPr>
            <w:tcW w:w="1078" w:type="dxa"/>
            <w:tcBorders>
              <w:top w:val="single" w:color="auto" w:sz="4" w:space="0"/>
              <w:left w:val="single" w:color="auto" w:sz="4" w:space="0"/>
              <w:bottom w:val="single" w:color="auto" w:sz="4" w:space="0"/>
              <w:right w:val="single" w:color="auto" w:sz="4" w:space="0"/>
            </w:tcBorders>
            <w:vAlign w:val="center"/>
          </w:tcPr>
          <w:p w14:paraId="0516E858">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是</w:t>
            </w:r>
          </w:p>
        </w:tc>
      </w:tr>
      <w:tr w14:paraId="3F733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77" w:type="dxa"/>
            <w:vMerge w:val="continue"/>
            <w:tcBorders>
              <w:top w:val="single" w:color="auto" w:sz="4" w:space="0"/>
              <w:left w:val="single" w:color="auto" w:sz="4" w:space="0"/>
              <w:bottom w:val="single" w:color="auto" w:sz="4" w:space="0"/>
              <w:right w:val="single" w:color="auto" w:sz="4" w:space="0"/>
            </w:tcBorders>
            <w:vAlign w:val="center"/>
          </w:tcPr>
          <w:p w14:paraId="67C9372D">
            <w:pPr>
              <w:widowControl/>
              <w:spacing w:beforeLines="0" w:afterLines="0" w:line="240" w:lineRule="auto"/>
              <w:ind w:firstLine="0" w:firstLineChars="0"/>
              <w:jc w:val="left"/>
              <w:rPr>
                <w:rFonts w:eastAsia="宋体" w:cs="宋体"/>
                <w:color w:val="auto"/>
                <w:kern w:val="0"/>
                <w:sz w:val="21"/>
                <w:szCs w:val="24"/>
              </w:rPr>
            </w:pPr>
          </w:p>
        </w:tc>
        <w:tc>
          <w:tcPr>
            <w:tcW w:w="1417" w:type="dxa"/>
            <w:tcBorders>
              <w:top w:val="single" w:color="auto" w:sz="4" w:space="0"/>
              <w:left w:val="single" w:color="auto" w:sz="4" w:space="0"/>
              <w:bottom w:val="single" w:color="auto" w:sz="4" w:space="0"/>
              <w:right w:val="single" w:color="auto" w:sz="4" w:space="0"/>
            </w:tcBorders>
            <w:vAlign w:val="center"/>
          </w:tcPr>
          <w:p w14:paraId="57DABF01">
            <w:pPr>
              <w:adjustRightInd w:val="0"/>
              <w:snapToGrid w:val="0"/>
              <w:spacing w:beforeLines="0" w:afterLines="0" w:line="240" w:lineRule="auto"/>
              <w:ind w:firstLine="0" w:firstLineChars="0"/>
              <w:jc w:val="center"/>
              <w:rPr>
                <w:rFonts w:eastAsia="宋体" w:cs="宋体"/>
                <w:color w:val="auto"/>
                <w:kern w:val="0"/>
                <w:sz w:val="21"/>
                <w:szCs w:val="24"/>
              </w:rPr>
            </w:pPr>
            <w:r>
              <w:rPr>
                <w:rFonts w:eastAsia="宋体" w:cs="宋体"/>
                <w:color w:val="auto"/>
                <w:kern w:val="0"/>
                <w:sz w:val="21"/>
                <w:szCs w:val="24"/>
              </w:rPr>
              <w:t>VOCs</w:t>
            </w:r>
          </w:p>
          <w:p w14:paraId="1456D524">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（以非甲烷总烃计）</w:t>
            </w:r>
          </w:p>
        </w:tc>
        <w:tc>
          <w:tcPr>
            <w:tcW w:w="1004" w:type="dxa"/>
            <w:tcBorders>
              <w:top w:val="single" w:color="auto" w:sz="4" w:space="0"/>
              <w:left w:val="single" w:color="auto" w:sz="4" w:space="0"/>
              <w:bottom w:val="single" w:color="auto" w:sz="4" w:space="0"/>
              <w:right w:val="single" w:color="auto" w:sz="4" w:space="0"/>
            </w:tcBorders>
            <w:noWrap/>
            <w:vAlign w:val="center"/>
          </w:tcPr>
          <w:p w14:paraId="6678EF11">
            <w:pPr>
              <w:adjustRightInd w:val="0"/>
              <w:snapToGrid w:val="0"/>
              <w:spacing w:beforeLines="0" w:afterLines="0" w:line="240" w:lineRule="auto"/>
              <w:ind w:firstLine="0" w:firstLineChars="0"/>
              <w:jc w:val="center"/>
              <w:rPr>
                <w:rFonts w:eastAsia="宋体" w:cs="宋体"/>
                <w:color w:val="auto"/>
                <w:kern w:val="0"/>
                <w:sz w:val="21"/>
                <w:szCs w:val="24"/>
              </w:rPr>
            </w:pPr>
            <w:r>
              <w:rPr>
                <w:rFonts w:eastAsia="宋体" w:cs="宋体"/>
                <w:color w:val="auto"/>
                <w:kern w:val="0"/>
                <w:sz w:val="21"/>
                <w:szCs w:val="24"/>
              </w:rPr>
              <w:t>67.8718</w:t>
            </w:r>
          </w:p>
        </w:tc>
        <w:tc>
          <w:tcPr>
            <w:tcW w:w="1077" w:type="dxa"/>
            <w:tcBorders>
              <w:top w:val="single" w:color="auto" w:sz="4" w:space="0"/>
              <w:left w:val="single" w:color="auto" w:sz="4" w:space="0"/>
              <w:bottom w:val="single" w:color="auto" w:sz="4" w:space="0"/>
              <w:right w:val="single" w:color="auto" w:sz="4" w:space="0"/>
            </w:tcBorders>
            <w:noWrap/>
            <w:vAlign w:val="center"/>
          </w:tcPr>
          <w:p w14:paraId="4DFDE2F9">
            <w:pPr>
              <w:adjustRightInd w:val="0"/>
              <w:snapToGrid w:val="0"/>
              <w:spacing w:beforeLines="0" w:afterLines="0" w:line="240" w:lineRule="auto"/>
              <w:ind w:firstLine="0" w:firstLineChars="0"/>
              <w:jc w:val="center"/>
              <w:rPr>
                <w:rFonts w:eastAsia="宋体" w:cs="宋体"/>
                <w:color w:val="auto"/>
                <w:kern w:val="0"/>
                <w:sz w:val="21"/>
                <w:szCs w:val="24"/>
              </w:rPr>
            </w:pPr>
            <w:r>
              <w:rPr>
                <w:rFonts w:eastAsia="宋体" w:cs="宋体"/>
                <w:color w:val="auto"/>
                <w:kern w:val="0"/>
                <w:sz w:val="21"/>
                <w:szCs w:val="24"/>
              </w:rPr>
              <w:t>760.1348</w:t>
            </w:r>
          </w:p>
        </w:tc>
        <w:tc>
          <w:tcPr>
            <w:tcW w:w="1304" w:type="dxa"/>
            <w:tcBorders>
              <w:top w:val="single" w:color="auto" w:sz="4" w:space="0"/>
              <w:left w:val="nil"/>
              <w:bottom w:val="single" w:color="auto" w:sz="4" w:space="0"/>
              <w:right w:val="single" w:color="auto" w:sz="4" w:space="0"/>
            </w:tcBorders>
            <w:shd w:val="clear" w:color="auto" w:fill="auto"/>
            <w:vAlign w:val="center"/>
          </w:tcPr>
          <w:p w14:paraId="0316072D">
            <w:pPr>
              <w:pStyle w:val="691"/>
              <w:rPr>
                <w:color w:val="auto"/>
              </w:rPr>
            </w:pPr>
            <w:r>
              <w:rPr>
                <w:rFonts w:hint="eastAsia"/>
                <w:color w:val="auto"/>
              </w:rPr>
              <w:t>43.083</w:t>
            </w:r>
          </w:p>
        </w:tc>
        <w:tc>
          <w:tcPr>
            <w:tcW w:w="1077" w:type="dxa"/>
            <w:tcBorders>
              <w:top w:val="single" w:color="auto" w:sz="4" w:space="0"/>
              <w:left w:val="single" w:color="auto" w:sz="4" w:space="0"/>
              <w:bottom w:val="single" w:color="auto" w:sz="4" w:space="0"/>
              <w:right w:val="nil"/>
            </w:tcBorders>
            <w:shd w:val="clear" w:color="auto" w:fill="auto"/>
            <w:vAlign w:val="center"/>
          </w:tcPr>
          <w:p w14:paraId="13082E5F">
            <w:pPr>
              <w:pStyle w:val="691"/>
              <w:rPr>
                <w:color w:val="auto"/>
              </w:rPr>
            </w:pPr>
            <w:r>
              <w:rPr>
                <w:rFonts w:hint="eastAsia"/>
                <w:color w:val="auto"/>
              </w:rPr>
              <w:t>649.18</w:t>
            </w:r>
          </w:p>
        </w:tc>
        <w:tc>
          <w:tcPr>
            <w:tcW w:w="1077" w:type="dxa"/>
            <w:tcBorders>
              <w:top w:val="single" w:color="auto" w:sz="4" w:space="0"/>
              <w:left w:val="single" w:color="auto" w:sz="4" w:space="0"/>
              <w:bottom w:val="single" w:color="auto" w:sz="4" w:space="0"/>
              <w:right w:val="single" w:color="auto" w:sz="4" w:space="0"/>
            </w:tcBorders>
            <w:noWrap/>
            <w:vAlign w:val="center"/>
          </w:tcPr>
          <w:p w14:paraId="5A62795C">
            <w:pPr>
              <w:adjustRightInd w:val="0"/>
              <w:snapToGrid w:val="0"/>
              <w:spacing w:beforeLines="0" w:afterLines="0" w:line="240" w:lineRule="auto"/>
              <w:ind w:firstLine="0" w:firstLineChars="0"/>
              <w:jc w:val="center"/>
              <w:rPr>
                <w:rFonts w:hint="default" w:eastAsia="宋体" w:cs="宋体"/>
                <w:color w:val="auto"/>
                <w:kern w:val="0"/>
                <w:sz w:val="21"/>
                <w:szCs w:val="24"/>
                <w:lang w:val="en-US" w:eastAsia="zh-CN"/>
              </w:rPr>
            </w:pPr>
            <w:r>
              <w:rPr>
                <w:rFonts w:hint="eastAsia" w:cs="宋体"/>
                <w:color w:val="auto"/>
                <w:kern w:val="0"/>
                <w:sz w:val="21"/>
                <w:szCs w:val="24"/>
                <w:lang w:val="en-US" w:eastAsia="zh-CN"/>
              </w:rPr>
              <w:t>0.238</w:t>
            </w:r>
          </w:p>
        </w:tc>
        <w:tc>
          <w:tcPr>
            <w:tcW w:w="1078" w:type="dxa"/>
            <w:tcBorders>
              <w:top w:val="single" w:color="auto" w:sz="4" w:space="0"/>
              <w:left w:val="single" w:color="auto" w:sz="4" w:space="0"/>
              <w:bottom w:val="single" w:color="auto" w:sz="4" w:space="0"/>
              <w:right w:val="single" w:color="auto" w:sz="4" w:space="0"/>
            </w:tcBorders>
            <w:vAlign w:val="center"/>
          </w:tcPr>
          <w:p w14:paraId="0D2CD6FE">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是</w:t>
            </w:r>
          </w:p>
        </w:tc>
      </w:tr>
      <w:tr w14:paraId="77D9E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77" w:type="dxa"/>
            <w:vMerge w:val="restart"/>
            <w:tcBorders>
              <w:top w:val="single" w:color="auto" w:sz="4" w:space="0"/>
              <w:left w:val="single" w:color="auto" w:sz="4" w:space="0"/>
              <w:bottom w:val="single" w:color="auto" w:sz="4" w:space="0"/>
              <w:right w:val="single" w:color="auto" w:sz="4" w:space="0"/>
            </w:tcBorders>
            <w:vAlign w:val="center"/>
          </w:tcPr>
          <w:p w14:paraId="35126024">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水污染物总量管控限值</w:t>
            </w:r>
          </w:p>
        </w:tc>
        <w:tc>
          <w:tcPr>
            <w:tcW w:w="1417" w:type="dxa"/>
            <w:tcBorders>
              <w:top w:val="single" w:color="auto" w:sz="4" w:space="0"/>
              <w:left w:val="single" w:color="auto" w:sz="4" w:space="0"/>
              <w:bottom w:val="single" w:color="auto" w:sz="4" w:space="0"/>
              <w:right w:val="single" w:color="auto" w:sz="4" w:space="0"/>
            </w:tcBorders>
            <w:vAlign w:val="center"/>
          </w:tcPr>
          <w:p w14:paraId="5D6BCC8D">
            <w:pPr>
              <w:adjustRightInd w:val="0"/>
              <w:snapToGrid w:val="0"/>
              <w:spacing w:beforeLines="0" w:afterLines="0" w:line="240" w:lineRule="auto"/>
              <w:ind w:firstLine="0" w:firstLineChars="0"/>
              <w:jc w:val="center"/>
              <w:rPr>
                <w:rFonts w:eastAsia="宋体" w:cs="宋体"/>
                <w:color w:val="auto"/>
                <w:kern w:val="0"/>
                <w:sz w:val="21"/>
                <w:szCs w:val="24"/>
              </w:rPr>
            </w:pPr>
            <w:r>
              <w:rPr>
                <w:rFonts w:eastAsia="宋体" w:cs="宋体"/>
                <w:color w:val="auto"/>
                <w:kern w:val="0"/>
                <w:sz w:val="21"/>
                <w:szCs w:val="24"/>
              </w:rPr>
              <w:t>COD</w:t>
            </w:r>
          </w:p>
        </w:tc>
        <w:tc>
          <w:tcPr>
            <w:tcW w:w="1004" w:type="dxa"/>
            <w:tcBorders>
              <w:top w:val="single" w:color="auto" w:sz="4" w:space="0"/>
              <w:left w:val="single" w:color="auto" w:sz="4" w:space="0"/>
              <w:bottom w:val="single" w:color="auto" w:sz="4" w:space="0"/>
              <w:right w:val="single" w:color="auto" w:sz="4" w:space="0"/>
            </w:tcBorders>
            <w:noWrap/>
            <w:vAlign w:val="center"/>
          </w:tcPr>
          <w:p w14:paraId="2B5B37AF">
            <w:pPr>
              <w:adjustRightInd w:val="0"/>
              <w:snapToGrid w:val="0"/>
              <w:spacing w:beforeLines="0" w:afterLines="0" w:line="240" w:lineRule="auto"/>
              <w:ind w:firstLine="0" w:firstLineChars="0"/>
              <w:jc w:val="center"/>
              <w:rPr>
                <w:rFonts w:eastAsia="宋体" w:cs="宋体"/>
                <w:color w:val="auto"/>
                <w:kern w:val="0"/>
                <w:sz w:val="21"/>
                <w:szCs w:val="24"/>
              </w:rPr>
            </w:pPr>
            <w:r>
              <w:rPr>
                <w:rFonts w:eastAsia="宋体" w:cs="宋体"/>
                <w:color w:val="auto"/>
                <w:kern w:val="0"/>
                <w:sz w:val="21"/>
                <w:szCs w:val="24"/>
              </w:rPr>
              <w:t>74.8097</w:t>
            </w:r>
          </w:p>
        </w:tc>
        <w:tc>
          <w:tcPr>
            <w:tcW w:w="1077" w:type="dxa"/>
            <w:tcBorders>
              <w:top w:val="single" w:color="auto" w:sz="4" w:space="0"/>
              <w:left w:val="single" w:color="auto" w:sz="4" w:space="0"/>
              <w:bottom w:val="single" w:color="auto" w:sz="4" w:space="0"/>
              <w:right w:val="single" w:color="auto" w:sz="4" w:space="0"/>
            </w:tcBorders>
            <w:noWrap/>
            <w:vAlign w:val="center"/>
          </w:tcPr>
          <w:p w14:paraId="27B0DE32">
            <w:pPr>
              <w:adjustRightInd w:val="0"/>
              <w:snapToGrid w:val="0"/>
              <w:spacing w:beforeLines="0" w:afterLines="0" w:line="240" w:lineRule="auto"/>
              <w:ind w:firstLine="0" w:firstLineChars="0"/>
              <w:jc w:val="center"/>
              <w:rPr>
                <w:rFonts w:eastAsia="宋体" w:cs="宋体"/>
                <w:color w:val="auto"/>
                <w:kern w:val="0"/>
                <w:sz w:val="21"/>
                <w:szCs w:val="24"/>
              </w:rPr>
            </w:pPr>
            <w:r>
              <w:rPr>
                <w:rFonts w:eastAsia="宋体" w:cs="宋体"/>
                <w:color w:val="auto"/>
                <w:kern w:val="0"/>
                <w:sz w:val="21"/>
                <w:szCs w:val="24"/>
              </w:rPr>
              <w:t>335.8997</w:t>
            </w:r>
          </w:p>
        </w:tc>
        <w:tc>
          <w:tcPr>
            <w:tcW w:w="1304" w:type="dxa"/>
            <w:tcBorders>
              <w:top w:val="single" w:color="auto" w:sz="4" w:space="0"/>
              <w:left w:val="nil"/>
              <w:bottom w:val="single" w:color="auto" w:sz="4" w:space="0"/>
              <w:right w:val="single" w:color="auto" w:sz="4" w:space="0"/>
            </w:tcBorders>
            <w:shd w:val="clear" w:color="auto" w:fill="auto"/>
            <w:vAlign w:val="center"/>
          </w:tcPr>
          <w:p w14:paraId="1C177C7E">
            <w:pPr>
              <w:pStyle w:val="691"/>
              <w:rPr>
                <w:color w:val="auto"/>
              </w:rPr>
            </w:pPr>
            <w:r>
              <w:rPr>
                <w:rFonts w:hint="eastAsia"/>
                <w:color w:val="auto"/>
              </w:rPr>
              <w:t>9.259</w:t>
            </w:r>
          </w:p>
        </w:tc>
        <w:tc>
          <w:tcPr>
            <w:tcW w:w="1077" w:type="dxa"/>
            <w:tcBorders>
              <w:top w:val="single" w:color="auto" w:sz="4" w:space="0"/>
              <w:left w:val="single" w:color="auto" w:sz="4" w:space="0"/>
              <w:bottom w:val="single" w:color="auto" w:sz="4" w:space="0"/>
              <w:right w:val="nil"/>
            </w:tcBorders>
            <w:shd w:val="clear" w:color="auto" w:fill="auto"/>
            <w:vAlign w:val="center"/>
          </w:tcPr>
          <w:p w14:paraId="62ACAD67">
            <w:pPr>
              <w:pStyle w:val="691"/>
              <w:rPr>
                <w:color w:val="auto"/>
              </w:rPr>
            </w:pPr>
            <w:r>
              <w:rPr>
                <w:rFonts w:hint="eastAsia"/>
                <w:color w:val="auto"/>
              </w:rPr>
              <w:t>251.831</w:t>
            </w:r>
          </w:p>
        </w:tc>
        <w:tc>
          <w:tcPr>
            <w:tcW w:w="1077" w:type="dxa"/>
            <w:tcBorders>
              <w:top w:val="single" w:color="auto" w:sz="4" w:space="0"/>
              <w:left w:val="single" w:color="auto" w:sz="4" w:space="0"/>
              <w:bottom w:val="single" w:color="auto" w:sz="4" w:space="0"/>
              <w:right w:val="single" w:color="auto" w:sz="4" w:space="0"/>
            </w:tcBorders>
            <w:noWrap/>
            <w:vAlign w:val="center"/>
          </w:tcPr>
          <w:p w14:paraId="283E40F6">
            <w:pPr>
              <w:adjustRightInd w:val="0"/>
              <w:snapToGrid w:val="0"/>
              <w:spacing w:beforeLines="0" w:afterLines="0" w:line="240" w:lineRule="auto"/>
              <w:ind w:firstLine="0" w:firstLineChars="0"/>
              <w:jc w:val="center"/>
              <w:rPr>
                <w:rFonts w:hint="default" w:eastAsia="宋体" w:cs="宋体"/>
                <w:color w:val="auto"/>
                <w:kern w:val="0"/>
                <w:sz w:val="21"/>
                <w:szCs w:val="24"/>
                <w:lang w:val="en-US" w:eastAsia="zh-CN"/>
              </w:rPr>
            </w:pPr>
            <w:r>
              <w:rPr>
                <w:rFonts w:hint="eastAsia" w:cs="宋体"/>
                <w:color w:val="auto"/>
                <w:kern w:val="0"/>
                <w:sz w:val="21"/>
                <w:szCs w:val="24"/>
                <w:lang w:val="en-US" w:eastAsia="zh-CN"/>
              </w:rPr>
              <w:t>29.42</w:t>
            </w:r>
          </w:p>
        </w:tc>
        <w:tc>
          <w:tcPr>
            <w:tcW w:w="1078" w:type="dxa"/>
            <w:tcBorders>
              <w:top w:val="single" w:color="auto" w:sz="4" w:space="0"/>
              <w:left w:val="single" w:color="auto" w:sz="4" w:space="0"/>
              <w:bottom w:val="single" w:color="auto" w:sz="4" w:space="0"/>
              <w:right w:val="single" w:color="auto" w:sz="4" w:space="0"/>
            </w:tcBorders>
            <w:vAlign w:val="center"/>
          </w:tcPr>
          <w:p w14:paraId="668B97A8">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是</w:t>
            </w:r>
          </w:p>
        </w:tc>
      </w:tr>
      <w:tr w14:paraId="0F5E2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77" w:type="dxa"/>
            <w:vMerge w:val="continue"/>
            <w:tcBorders>
              <w:top w:val="single" w:color="auto" w:sz="4" w:space="0"/>
              <w:left w:val="single" w:color="auto" w:sz="4" w:space="0"/>
              <w:bottom w:val="single" w:color="auto" w:sz="4" w:space="0"/>
              <w:right w:val="single" w:color="auto" w:sz="4" w:space="0"/>
            </w:tcBorders>
            <w:vAlign w:val="center"/>
          </w:tcPr>
          <w:p w14:paraId="0A8ED366">
            <w:pPr>
              <w:widowControl/>
              <w:spacing w:beforeLines="0" w:afterLines="0" w:line="240" w:lineRule="auto"/>
              <w:ind w:firstLine="0" w:firstLineChars="0"/>
              <w:jc w:val="left"/>
              <w:rPr>
                <w:rFonts w:eastAsia="宋体" w:cs="宋体"/>
                <w:color w:val="auto"/>
                <w:kern w:val="0"/>
                <w:sz w:val="21"/>
                <w:szCs w:val="24"/>
              </w:rPr>
            </w:pPr>
          </w:p>
        </w:tc>
        <w:tc>
          <w:tcPr>
            <w:tcW w:w="1417" w:type="dxa"/>
            <w:tcBorders>
              <w:top w:val="single" w:color="auto" w:sz="4" w:space="0"/>
              <w:left w:val="single" w:color="auto" w:sz="4" w:space="0"/>
              <w:bottom w:val="single" w:color="auto" w:sz="4" w:space="0"/>
              <w:right w:val="single" w:color="auto" w:sz="4" w:space="0"/>
            </w:tcBorders>
            <w:vAlign w:val="center"/>
          </w:tcPr>
          <w:p w14:paraId="374A0DA0">
            <w:pPr>
              <w:adjustRightInd w:val="0"/>
              <w:snapToGrid w:val="0"/>
              <w:spacing w:beforeLines="0" w:afterLines="0" w:line="240" w:lineRule="auto"/>
              <w:ind w:firstLine="0" w:firstLineChars="0"/>
              <w:jc w:val="center"/>
              <w:rPr>
                <w:rFonts w:eastAsia="宋体" w:cs="宋体"/>
                <w:color w:val="auto"/>
                <w:kern w:val="0"/>
                <w:sz w:val="21"/>
                <w:szCs w:val="24"/>
              </w:rPr>
            </w:pPr>
            <w:r>
              <w:rPr>
                <w:rFonts w:eastAsia="宋体" w:cs="宋体"/>
                <w:color w:val="auto"/>
                <w:kern w:val="0"/>
                <w:sz w:val="21"/>
                <w:szCs w:val="24"/>
              </w:rPr>
              <w:t>NH</w:t>
            </w:r>
            <w:r>
              <w:rPr>
                <w:rFonts w:eastAsia="宋体" w:cs="宋体"/>
                <w:color w:val="auto"/>
                <w:kern w:val="0"/>
                <w:sz w:val="21"/>
                <w:szCs w:val="24"/>
                <w:vertAlign w:val="subscript"/>
              </w:rPr>
              <w:t>3</w:t>
            </w:r>
            <w:r>
              <w:rPr>
                <w:rFonts w:eastAsia="宋体" w:cs="宋体"/>
                <w:color w:val="auto"/>
                <w:kern w:val="0"/>
                <w:sz w:val="21"/>
                <w:szCs w:val="24"/>
              </w:rPr>
              <w:t>-N</w:t>
            </w:r>
          </w:p>
        </w:tc>
        <w:tc>
          <w:tcPr>
            <w:tcW w:w="1004" w:type="dxa"/>
            <w:tcBorders>
              <w:top w:val="single" w:color="auto" w:sz="4" w:space="0"/>
              <w:left w:val="single" w:color="auto" w:sz="4" w:space="0"/>
              <w:bottom w:val="single" w:color="auto" w:sz="4" w:space="0"/>
              <w:right w:val="single" w:color="auto" w:sz="4" w:space="0"/>
            </w:tcBorders>
            <w:noWrap/>
            <w:vAlign w:val="center"/>
          </w:tcPr>
          <w:p w14:paraId="13A859CB">
            <w:pPr>
              <w:adjustRightInd w:val="0"/>
              <w:snapToGrid w:val="0"/>
              <w:spacing w:beforeLines="0" w:afterLines="0" w:line="240" w:lineRule="auto"/>
              <w:ind w:firstLine="0" w:firstLineChars="0"/>
              <w:jc w:val="center"/>
              <w:rPr>
                <w:rFonts w:eastAsia="宋体" w:cs="宋体"/>
                <w:color w:val="auto"/>
                <w:kern w:val="0"/>
                <w:sz w:val="21"/>
                <w:szCs w:val="24"/>
              </w:rPr>
            </w:pPr>
            <w:r>
              <w:rPr>
                <w:rFonts w:eastAsia="宋体" w:cs="宋体"/>
                <w:color w:val="auto"/>
                <w:kern w:val="0"/>
                <w:sz w:val="21"/>
                <w:szCs w:val="24"/>
              </w:rPr>
              <w:t>9.1002</w:t>
            </w:r>
          </w:p>
        </w:tc>
        <w:tc>
          <w:tcPr>
            <w:tcW w:w="1077" w:type="dxa"/>
            <w:tcBorders>
              <w:top w:val="single" w:color="auto" w:sz="4" w:space="0"/>
              <w:left w:val="single" w:color="auto" w:sz="4" w:space="0"/>
              <w:bottom w:val="single" w:color="auto" w:sz="4" w:space="0"/>
              <w:right w:val="single" w:color="auto" w:sz="4" w:space="0"/>
            </w:tcBorders>
            <w:noWrap/>
            <w:vAlign w:val="center"/>
          </w:tcPr>
          <w:p w14:paraId="5C63A835">
            <w:pPr>
              <w:adjustRightInd w:val="0"/>
              <w:snapToGrid w:val="0"/>
              <w:spacing w:beforeLines="0" w:afterLines="0" w:line="240" w:lineRule="auto"/>
              <w:ind w:firstLine="0" w:firstLineChars="0"/>
              <w:jc w:val="center"/>
              <w:rPr>
                <w:rFonts w:eastAsia="宋体" w:cs="宋体"/>
                <w:color w:val="auto"/>
                <w:kern w:val="0"/>
                <w:sz w:val="21"/>
                <w:szCs w:val="24"/>
              </w:rPr>
            </w:pPr>
            <w:r>
              <w:rPr>
                <w:rFonts w:eastAsia="宋体" w:cs="宋体"/>
                <w:color w:val="auto"/>
                <w:kern w:val="0"/>
                <w:sz w:val="21"/>
                <w:szCs w:val="24"/>
              </w:rPr>
              <w:t>35.2102</w:t>
            </w:r>
          </w:p>
        </w:tc>
        <w:tc>
          <w:tcPr>
            <w:tcW w:w="1304" w:type="dxa"/>
            <w:tcBorders>
              <w:top w:val="single" w:color="auto" w:sz="4" w:space="0"/>
              <w:left w:val="nil"/>
              <w:bottom w:val="single" w:color="auto" w:sz="4" w:space="0"/>
              <w:right w:val="single" w:color="auto" w:sz="4" w:space="0"/>
            </w:tcBorders>
            <w:shd w:val="clear" w:color="auto" w:fill="auto"/>
            <w:vAlign w:val="center"/>
          </w:tcPr>
          <w:p w14:paraId="3D86F5D8">
            <w:pPr>
              <w:pStyle w:val="691"/>
              <w:rPr>
                <w:color w:val="auto"/>
              </w:rPr>
            </w:pPr>
            <w:r>
              <w:rPr>
                <w:rFonts w:hint="eastAsia"/>
                <w:color w:val="auto"/>
              </w:rPr>
              <w:t>0.928</w:t>
            </w:r>
          </w:p>
        </w:tc>
        <w:tc>
          <w:tcPr>
            <w:tcW w:w="1077" w:type="dxa"/>
            <w:tcBorders>
              <w:top w:val="single" w:color="auto" w:sz="4" w:space="0"/>
              <w:left w:val="single" w:color="auto" w:sz="4" w:space="0"/>
              <w:bottom w:val="single" w:color="auto" w:sz="4" w:space="0"/>
              <w:right w:val="nil"/>
            </w:tcBorders>
            <w:shd w:val="clear" w:color="auto" w:fill="auto"/>
            <w:vAlign w:val="center"/>
          </w:tcPr>
          <w:p w14:paraId="699B04A7">
            <w:pPr>
              <w:pStyle w:val="691"/>
              <w:rPr>
                <w:color w:val="auto"/>
              </w:rPr>
            </w:pPr>
            <w:r>
              <w:rPr>
                <w:rFonts w:hint="eastAsia"/>
                <w:color w:val="auto"/>
              </w:rPr>
              <w:t>25.182</w:t>
            </w:r>
          </w:p>
        </w:tc>
        <w:tc>
          <w:tcPr>
            <w:tcW w:w="1077" w:type="dxa"/>
            <w:tcBorders>
              <w:top w:val="single" w:color="auto" w:sz="4" w:space="0"/>
              <w:left w:val="single" w:color="auto" w:sz="4" w:space="0"/>
              <w:bottom w:val="single" w:color="auto" w:sz="4" w:space="0"/>
              <w:right w:val="single" w:color="auto" w:sz="4" w:space="0"/>
            </w:tcBorders>
            <w:noWrap/>
            <w:vAlign w:val="center"/>
          </w:tcPr>
          <w:p w14:paraId="43025C71">
            <w:pPr>
              <w:adjustRightInd w:val="0"/>
              <w:snapToGrid w:val="0"/>
              <w:spacing w:beforeLines="0" w:afterLines="0" w:line="240" w:lineRule="auto"/>
              <w:ind w:firstLine="0" w:firstLineChars="0"/>
              <w:jc w:val="center"/>
              <w:rPr>
                <w:rFonts w:hint="default" w:eastAsia="宋体" w:cs="宋体"/>
                <w:color w:val="auto"/>
                <w:kern w:val="0"/>
                <w:sz w:val="21"/>
                <w:szCs w:val="24"/>
                <w:lang w:val="en-US" w:eastAsia="zh-CN"/>
              </w:rPr>
            </w:pPr>
            <w:r>
              <w:rPr>
                <w:rFonts w:hint="eastAsia" w:cs="宋体"/>
                <w:color w:val="auto"/>
                <w:kern w:val="0"/>
                <w:sz w:val="21"/>
                <w:szCs w:val="24"/>
                <w:lang w:val="en-US" w:eastAsia="zh-CN"/>
              </w:rPr>
              <w:t>4.71</w:t>
            </w:r>
          </w:p>
        </w:tc>
        <w:tc>
          <w:tcPr>
            <w:tcW w:w="1078" w:type="dxa"/>
            <w:tcBorders>
              <w:top w:val="single" w:color="auto" w:sz="4" w:space="0"/>
              <w:left w:val="single" w:color="auto" w:sz="4" w:space="0"/>
              <w:bottom w:val="single" w:color="auto" w:sz="4" w:space="0"/>
              <w:right w:val="single" w:color="auto" w:sz="4" w:space="0"/>
            </w:tcBorders>
            <w:vAlign w:val="center"/>
          </w:tcPr>
          <w:p w14:paraId="291DBF25">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是</w:t>
            </w:r>
          </w:p>
        </w:tc>
      </w:tr>
      <w:tr w14:paraId="48F2E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111" w:type="dxa"/>
            <w:gridSpan w:val="8"/>
            <w:tcBorders>
              <w:top w:val="single" w:color="auto" w:sz="4" w:space="0"/>
              <w:left w:val="single" w:color="auto" w:sz="4" w:space="0"/>
              <w:bottom w:val="single" w:color="auto" w:sz="4" w:space="0"/>
              <w:right w:val="single" w:color="auto" w:sz="4" w:space="0"/>
            </w:tcBorders>
            <w:vAlign w:val="center"/>
          </w:tcPr>
          <w:p w14:paraId="7B901589">
            <w:pPr>
              <w:adjustRightInd w:val="0"/>
              <w:snapToGrid w:val="0"/>
              <w:spacing w:beforeLines="0" w:afterLines="0" w:line="240" w:lineRule="auto"/>
              <w:ind w:firstLine="0" w:firstLineChars="0"/>
              <w:jc w:val="left"/>
              <w:rPr>
                <w:rFonts w:eastAsia="宋体" w:cs="宋体"/>
                <w:color w:val="auto"/>
                <w:kern w:val="0"/>
                <w:sz w:val="21"/>
                <w:szCs w:val="24"/>
              </w:rPr>
            </w:pPr>
            <w:r>
              <w:rPr>
                <w:rFonts w:hint="eastAsia" w:eastAsia="宋体" w:cs="宋体"/>
                <w:color w:val="auto"/>
                <w:kern w:val="0"/>
                <w:sz w:val="21"/>
                <w:szCs w:val="24"/>
              </w:rPr>
              <w:t>注：</w:t>
            </w:r>
          </w:p>
        </w:tc>
      </w:tr>
    </w:tbl>
    <w:p w14:paraId="0BE04501">
      <w:pPr>
        <w:spacing w:beforeLines="0" w:afterLines="0" w:line="480" w:lineRule="exact"/>
        <w:ind w:firstLine="480"/>
        <w:rPr>
          <w:rFonts w:eastAsia="宋体" w:cs="Times New Roman"/>
          <w:color w:val="auto"/>
        </w:rPr>
      </w:pPr>
      <w:r>
        <w:rPr>
          <w:rFonts w:hint="eastAsia" w:eastAsia="宋体" w:cs="Times New Roman"/>
          <w:color w:val="auto"/>
        </w:rPr>
        <w:t>由上表可知，项目所在区域大气环境、水环境、声环境质量能够满足相应的标准要求，而项目排放的废气、废水污染物和噪声均能够达标排放，废气和废水污染物排放量均未突破园区总量。因此，符合园区总量要求，符合环境总量</w:t>
      </w:r>
      <w:r>
        <w:rPr>
          <w:rFonts w:hint="eastAsia" w:cs="Times New Roman"/>
          <w:color w:val="auto"/>
          <w:lang w:eastAsia="zh-CN"/>
        </w:rPr>
        <w:t>上限</w:t>
      </w:r>
      <w:r>
        <w:rPr>
          <w:rFonts w:hint="eastAsia" w:eastAsia="宋体" w:cs="Times New Roman"/>
          <w:color w:val="auto"/>
        </w:rPr>
        <w:t>要求。</w:t>
      </w:r>
    </w:p>
    <w:p w14:paraId="0E53FADD">
      <w:pPr>
        <w:spacing w:beforeLines="0" w:afterLines="0" w:line="480" w:lineRule="exact"/>
        <w:ind w:firstLine="480"/>
        <w:rPr>
          <w:rFonts w:eastAsia="宋体" w:cs="Times New Roman"/>
          <w:color w:val="auto"/>
        </w:rPr>
      </w:pPr>
      <w:r>
        <w:rPr>
          <w:rFonts w:hint="eastAsia" w:eastAsia="宋体" w:cs="Times New Roman"/>
          <w:color w:val="auto"/>
        </w:rPr>
        <w:t>④生态环境准入负面清单</w:t>
      </w:r>
    </w:p>
    <w:p w14:paraId="7D4F2362">
      <w:pPr>
        <w:spacing w:beforeLines="0" w:afterLines="0" w:line="480" w:lineRule="exact"/>
        <w:ind w:firstLine="480"/>
        <w:rPr>
          <w:rFonts w:eastAsia="宋体" w:cs="Times New Roman"/>
          <w:color w:val="auto"/>
        </w:rPr>
      </w:pPr>
      <w:r>
        <w:rPr>
          <w:rFonts w:hint="eastAsia" w:eastAsia="宋体" w:cs="Times New Roman"/>
          <w:color w:val="auto"/>
        </w:rPr>
        <w:t>重庆忠县工业园区乌杨组团生态环境准入清单见表</w:t>
      </w:r>
      <w:r>
        <w:rPr>
          <w:rFonts w:eastAsia="宋体" w:cs="Times New Roman"/>
          <w:color w:val="auto"/>
        </w:rPr>
        <w:t>2.</w:t>
      </w:r>
      <w:r>
        <w:rPr>
          <w:rFonts w:hint="eastAsia" w:cs="Times New Roman"/>
          <w:color w:val="auto"/>
          <w:lang w:val="en-US" w:eastAsia="zh-CN"/>
        </w:rPr>
        <w:t>9-2</w:t>
      </w:r>
      <w:r>
        <w:rPr>
          <w:rFonts w:hint="eastAsia" w:eastAsia="宋体" w:cs="Times New Roman"/>
          <w:color w:val="auto"/>
        </w:rPr>
        <w:t>。</w:t>
      </w:r>
    </w:p>
    <w:p w14:paraId="450A8531">
      <w:pPr>
        <w:pStyle w:val="684"/>
        <w:spacing w:before="97" w:after="32"/>
        <w:rPr>
          <w:color w:val="auto"/>
          <w:lang w:val="zh-CN"/>
        </w:rPr>
      </w:pPr>
      <w:r>
        <w:rPr>
          <w:rFonts w:hint="eastAsia"/>
          <w:color w:val="auto"/>
          <w:lang w:val="zh-CN"/>
        </w:rPr>
        <w:t>表</w:t>
      </w:r>
      <w:r>
        <w:rPr>
          <w:color w:val="auto"/>
          <w:lang w:val="zh-CN"/>
        </w:rPr>
        <w:t>2.</w:t>
      </w:r>
      <w:r>
        <w:rPr>
          <w:rFonts w:hint="eastAsia"/>
          <w:color w:val="auto"/>
          <w:lang w:val="en-US" w:eastAsia="zh-CN"/>
        </w:rPr>
        <w:t>9</w:t>
      </w:r>
      <w:r>
        <w:rPr>
          <w:color w:val="auto"/>
          <w:lang w:val="zh-CN"/>
        </w:rPr>
        <w:t xml:space="preserve">-2  </w:t>
      </w:r>
      <w:r>
        <w:rPr>
          <w:rFonts w:hint="eastAsia"/>
          <w:color w:val="auto"/>
          <w:lang w:val="zh-CN"/>
        </w:rPr>
        <w:t>重庆忠县工业园区乌杨组团生态环境准入清单（节选）符合性分析</w:t>
      </w:r>
    </w:p>
    <w:tbl>
      <w:tblPr>
        <w:tblStyle w:val="88"/>
        <w:tblW w:w="507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13" w:type="dxa"/>
          <w:left w:w="0" w:type="dxa"/>
          <w:bottom w:w="113" w:type="dxa"/>
          <w:right w:w="0" w:type="dxa"/>
        </w:tblCellMar>
      </w:tblPr>
      <w:tblGrid>
        <w:gridCol w:w="572"/>
        <w:gridCol w:w="1011"/>
        <w:gridCol w:w="4238"/>
        <w:gridCol w:w="2685"/>
        <w:gridCol w:w="714"/>
      </w:tblGrid>
      <w:tr w14:paraId="42231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0" w:type="dxa"/>
            <w:bottom w:w="113" w:type="dxa"/>
            <w:right w:w="0" w:type="dxa"/>
          </w:tblCellMar>
        </w:tblPrEx>
        <w:trPr>
          <w:trHeight w:val="340" w:hRule="atLeast"/>
          <w:tblHeader/>
          <w:jc w:val="center"/>
        </w:trPr>
        <w:tc>
          <w:tcPr>
            <w:tcW w:w="859" w:type="pct"/>
            <w:gridSpan w:val="2"/>
            <w:tcBorders>
              <w:top w:val="single" w:color="auto" w:sz="4" w:space="0"/>
              <w:left w:val="single" w:color="auto" w:sz="4" w:space="0"/>
              <w:bottom w:val="single" w:color="auto" w:sz="4" w:space="0"/>
              <w:right w:val="single" w:color="auto" w:sz="4" w:space="0"/>
            </w:tcBorders>
            <w:vAlign w:val="center"/>
          </w:tcPr>
          <w:p w14:paraId="6865F31D">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分类</w:t>
            </w:r>
          </w:p>
        </w:tc>
        <w:tc>
          <w:tcPr>
            <w:tcW w:w="2298" w:type="pct"/>
            <w:tcBorders>
              <w:top w:val="single" w:color="auto" w:sz="4" w:space="0"/>
              <w:left w:val="single" w:color="auto" w:sz="4" w:space="0"/>
              <w:bottom w:val="single" w:color="auto" w:sz="4" w:space="0"/>
              <w:right w:val="single" w:color="auto" w:sz="4" w:space="0"/>
            </w:tcBorders>
            <w:vAlign w:val="center"/>
          </w:tcPr>
          <w:p w14:paraId="4534D8D0">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清单内容</w:t>
            </w:r>
          </w:p>
        </w:tc>
        <w:tc>
          <w:tcPr>
            <w:tcW w:w="1456" w:type="pct"/>
            <w:tcBorders>
              <w:top w:val="single" w:color="auto" w:sz="4" w:space="0"/>
              <w:left w:val="single" w:color="auto" w:sz="4" w:space="0"/>
              <w:bottom w:val="single" w:color="auto" w:sz="4" w:space="0"/>
              <w:right w:val="single" w:color="auto" w:sz="4" w:space="0"/>
            </w:tcBorders>
            <w:vAlign w:val="center"/>
          </w:tcPr>
          <w:p w14:paraId="705B4843">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拟建项目情况</w:t>
            </w:r>
          </w:p>
        </w:tc>
        <w:tc>
          <w:tcPr>
            <w:tcW w:w="388" w:type="pct"/>
            <w:tcBorders>
              <w:top w:val="single" w:color="auto" w:sz="4" w:space="0"/>
              <w:left w:val="single" w:color="auto" w:sz="4" w:space="0"/>
              <w:bottom w:val="single" w:color="auto" w:sz="4" w:space="0"/>
              <w:right w:val="single" w:color="auto" w:sz="4" w:space="0"/>
            </w:tcBorders>
            <w:vAlign w:val="center"/>
          </w:tcPr>
          <w:p w14:paraId="716EDC2C">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符合性</w:t>
            </w:r>
          </w:p>
        </w:tc>
      </w:tr>
      <w:tr w14:paraId="11C5C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0" w:type="dxa"/>
            <w:bottom w:w="113" w:type="dxa"/>
            <w:right w:w="0" w:type="dxa"/>
          </w:tblCellMar>
        </w:tblPrEx>
        <w:trPr>
          <w:trHeight w:val="340" w:hRule="atLeast"/>
          <w:jc w:val="center"/>
        </w:trPr>
        <w:tc>
          <w:tcPr>
            <w:tcW w:w="859" w:type="pct"/>
            <w:gridSpan w:val="2"/>
            <w:tcBorders>
              <w:top w:val="single" w:color="auto" w:sz="4" w:space="0"/>
              <w:left w:val="single" w:color="auto" w:sz="4" w:space="0"/>
              <w:bottom w:val="single" w:color="auto" w:sz="4" w:space="0"/>
              <w:right w:val="single" w:color="auto" w:sz="4" w:space="0"/>
            </w:tcBorders>
            <w:vAlign w:val="center"/>
          </w:tcPr>
          <w:p w14:paraId="295F7F17">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空间布局约束</w:t>
            </w:r>
          </w:p>
        </w:tc>
        <w:tc>
          <w:tcPr>
            <w:tcW w:w="2298" w:type="pct"/>
            <w:tcBorders>
              <w:top w:val="single" w:color="auto" w:sz="4" w:space="0"/>
              <w:left w:val="single" w:color="auto" w:sz="4" w:space="0"/>
              <w:bottom w:val="single" w:color="auto" w:sz="4" w:space="0"/>
              <w:right w:val="single" w:color="auto" w:sz="4" w:space="0"/>
            </w:tcBorders>
            <w:vAlign w:val="center"/>
          </w:tcPr>
          <w:p w14:paraId="5618D05F">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装备制造业的涂装车间边界距离各居住地块边界满足环境防护距离要求</w:t>
            </w:r>
          </w:p>
        </w:tc>
        <w:tc>
          <w:tcPr>
            <w:tcW w:w="1456" w:type="pct"/>
            <w:tcBorders>
              <w:top w:val="single" w:color="auto" w:sz="4" w:space="0"/>
              <w:left w:val="single" w:color="auto" w:sz="4" w:space="0"/>
              <w:bottom w:val="single" w:color="auto" w:sz="4" w:space="0"/>
              <w:right w:val="single" w:color="auto" w:sz="4" w:space="0"/>
            </w:tcBorders>
            <w:vAlign w:val="center"/>
          </w:tcPr>
          <w:p w14:paraId="26761366">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项目为</w:t>
            </w:r>
            <w:r>
              <w:rPr>
                <w:rFonts w:hint="eastAsia" w:cs="宋体"/>
                <w:color w:val="auto"/>
                <w:kern w:val="0"/>
                <w:sz w:val="21"/>
                <w:szCs w:val="24"/>
                <w:lang w:eastAsia="zh-CN"/>
              </w:rPr>
              <w:t>工业废水集中处理项目，不需要设置</w:t>
            </w:r>
            <w:r>
              <w:rPr>
                <w:rFonts w:hint="eastAsia" w:eastAsia="宋体" w:cs="宋体"/>
                <w:color w:val="auto"/>
                <w:kern w:val="0"/>
                <w:sz w:val="21"/>
                <w:szCs w:val="24"/>
              </w:rPr>
              <w:t>环境防护距离</w:t>
            </w:r>
          </w:p>
        </w:tc>
        <w:tc>
          <w:tcPr>
            <w:tcW w:w="388" w:type="pct"/>
            <w:tcBorders>
              <w:top w:val="single" w:color="auto" w:sz="4" w:space="0"/>
              <w:left w:val="single" w:color="auto" w:sz="4" w:space="0"/>
              <w:bottom w:val="single" w:color="auto" w:sz="4" w:space="0"/>
              <w:right w:val="single" w:color="auto" w:sz="4" w:space="0"/>
            </w:tcBorders>
            <w:vAlign w:val="center"/>
          </w:tcPr>
          <w:p w14:paraId="5ED59E17">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符合</w:t>
            </w:r>
          </w:p>
        </w:tc>
      </w:tr>
      <w:tr w14:paraId="3276A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0" w:type="dxa"/>
            <w:bottom w:w="113" w:type="dxa"/>
            <w:right w:w="0" w:type="dxa"/>
          </w:tblCellMar>
        </w:tblPrEx>
        <w:trPr>
          <w:trHeight w:val="340" w:hRule="atLeast"/>
          <w:jc w:val="center"/>
        </w:trPr>
        <w:tc>
          <w:tcPr>
            <w:tcW w:w="311" w:type="pct"/>
            <w:vMerge w:val="restart"/>
            <w:tcBorders>
              <w:top w:val="single" w:color="auto" w:sz="4" w:space="0"/>
              <w:left w:val="single" w:color="auto" w:sz="4" w:space="0"/>
              <w:bottom w:val="single" w:color="auto" w:sz="4" w:space="0"/>
              <w:right w:val="single" w:color="auto" w:sz="4" w:space="0"/>
            </w:tcBorders>
            <w:vAlign w:val="center"/>
          </w:tcPr>
          <w:p w14:paraId="4E0D89AA">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禁止准入产业</w:t>
            </w:r>
          </w:p>
        </w:tc>
        <w:tc>
          <w:tcPr>
            <w:tcW w:w="548" w:type="pct"/>
            <w:vMerge w:val="restart"/>
            <w:tcBorders>
              <w:top w:val="single" w:color="auto" w:sz="4" w:space="0"/>
              <w:left w:val="single" w:color="auto" w:sz="4" w:space="0"/>
              <w:bottom w:val="single" w:color="auto" w:sz="4" w:space="0"/>
              <w:right w:val="single" w:color="auto" w:sz="4" w:space="0"/>
            </w:tcBorders>
            <w:vAlign w:val="center"/>
          </w:tcPr>
          <w:p w14:paraId="7CE191EF">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总体</w:t>
            </w:r>
          </w:p>
        </w:tc>
        <w:tc>
          <w:tcPr>
            <w:tcW w:w="2298" w:type="pct"/>
            <w:tcBorders>
              <w:top w:val="single" w:color="auto" w:sz="4" w:space="0"/>
              <w:left w:val="single" w:color="auto" w:sz="4" w:space="0"/>
              <w:bottom w:val="single" w:color="auto" w:sz="4" w:space="0"/>
              <w:right w:val="single" w:color="auto" w:sz="4" w:space="0"/>
            </w:tcBorders>
            <w:vAlign w:val="center"/>
          </w:tcPr>
          <w:p w14:paraId="0958D456">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《产业结构调整指导目录（</w:t>
            </w:r>
            <w:r>
              <w:rPr>
                <w:rFonts w:eastAsia="宋体" w:cs="宋体"/>
                <w:color w:val="auto"/>
                <w:kern w:val="0"/>
                <w:sz w:val="21"/>
                <w:szCs w:val="24"/>
              </w:rPr>
              <w:t>2019</w:t>
            </w:r>
            <w:r>
              <w:rPr>
                <w:rFonts w:hint="eastAsia" w:eastAsia="宋体" w:cs="宋体"/>
                <w:color w:val="auto"/>
                <w:kern w:val="0"/>
                <w:sz w:val="21"/>
                <w:szCs w:val="24"/>
              </w:rPr>
              <w:t>年本）</w:t>
            </w:r>
            <w:r>
              <w:rPr>
                <w:rFonts w:hint="eastAsia" w:cs="宋体"/>
                <w:color w:val="auto"/>
                <w:kern w:val="0"/>
                <w:sz w:val="21"/>
                <w:szCs w:val="24"/>
                <w:lang w:eastAsia="zh-CN"/>
              </w:rPr>
              <w:t>》《</w:t>
            </w:r>
            <w:r>
              <w:rPr>
                <w:rFonts w:hint="eastAsia" w:eastAsia="宋体" w:cs="宋体"/>
                <w:color w:val="auto"/>
                <w:kern w:val="0"/>
                <w:sz w:val="21"/>
                <w:szCs w:val="24"/>
              </w:rPr>
              <w:t>鼓励外商投资产业目录（</w:t>
            </w:r>
            <w:r>
              <w:rPr>
                <w:rFonts w:eastAsia="宋体" w:cs="宋体"/>
                <w:color w:val="auto"/>
                <w:kern w:val="0"/>
                <w:sz w:val="21"/>
                <w:szCs w:val="24"/>
              </w:rPr>
              <w:t>2019</w:t>
            </w:r>
            <w:r>
              <w:rPr>
                <w:rFonts w:hint="eastAsia" w:eastAsia="宋体" w:cs="宋体"/>
                <w:color w:val="auto"/>
                <w:kern w:val="0"/>
                <w:sz w:val="21"/>
                <w:szCs w:val="24"/>
              </w:rPr>
              <w:t>年版）》（中华人民共和国国家发展和改革委员会</w:t>
            </w:r>
            <w:r>
              <w:rPr>
                <w:rFonts w:eastAsia="宋体" w:cs="宋体"/>
                <w:color w:val="auto"/>
                <w:kern w:val="0"/>
                <w:sz w:val="21"/>
                <w:szCs w:val="24"/>
              </w:rPr>
              <w:t xml:space="preserve"> </w:t>
            </w:r>
            <w:r>
              <w:rPr>
                <w:rFonts w:hint="eastAsia" w:eastAsia="宋体" w:cs="宋体"/>
                <w:color w:val="auto"/>
                <w:kern w:val="0"/>
                <w:sz w:val="21"/>
                <w:szCs w:val="24"/>
              </w:rPr>
              <w:t>中华人民共和国商务部令第</w:t>
            </w:r>
            <w:r>
              <w:rPr>
                <w:rFonts w:eastAsia="宋体" w:cs="宋体"/>
                <w:color w:val="auto"/>
                <w:kern w:val="0"/>
                <w:sz w:val="21"/>
                <w:szCs w:val="24"/>
              </w:rPr>
              <w:t>27</w:t>
            </w:r>
            <w:r>
              <w:rPr>
                <w:rFonts w:hint="eastAsia" w:eastAsia="宋体" w:cs="宋体"/>
                <w:color w:val="auto"/>
                <w:kern w:val="0"/>
                <w:sz w:val="21"/>
                <w:szCs w:val="24"/>
              </w:rPr>
              <w:t>号）</w:t>
            </w:r>
            <w:r>
              <w:rPr>
                <w:rFonts w:hint="eastAsia" w:eastAsia="宋体" w:cs="宋体"/>
                <w:color w:val="auto"/>
                <w:kern w:val="0"/>
                <w:sz w:val="21"/>
                <w:szCs w:val="24"/>
                <w:u w:val="none"/>
              </w:rPr>
              <w:t>、</w:t>
            </w:r>
            <w:r>
              <w:rPr>
                <w:color w:val="auto"/>
                <w:u w:val="none"/>
              </w:rPr>
              <w:fldChar w:fldCharType="begin"/>
            </w:r>
            <w:r>
              <w:rPr>
                <w:color w:val="auto"/>
                <w:u w:val="none"/>
              </w:rPr>
              <w:instrText xml:space="preserve"> HYPERLINK "http://www.gov.cn/xinwen/2019-06/30/5404703/files/d0a86e1a90eb4e898e9a9ea6eb59703a.pdf" \t "_blank" </w:instrText>
            </w:r>
            <w:r>
              <w:rPr>
                <w:color w:val="auto"/>
                <w:u w:val="none"/>
              </w:rPr>
              <w:fldChar w:fldCharType="separate"/>
            </w:r>
            <w:r>
              <w:rPr>
                <w:rFonts w:hint="eastAsia" w:eastAsia="宋体" w:cs="宋体"/>
                <w:color w:val="auto"/>
                <w:kern w:val="0"/>
                <w:sz w:val="21"/>
                <w:szCs w:val="24"/>
                <w:u w:val="none"/>
              </w:rPr>
              <w:t>《外商投资准入特别管理措施（负面清单）（</w:t>
            </w:r>
            <w:r>
              <w:rPr>
                <w:rFonts w:eastAsia="宋体" w:cs="宋体"/>
                <w:color w:val="auto"/>
                <w:kern w:val="0"/>
                <w:sz w:val="21"/>
                <w:szCs w:val="24"/>
                <w:u w:val="none"/>
              </w:rPr>
              <w:t>2019</w:t>
            </w:r>
            <w:r>
              <w:rPr>
                <w:rFonts w:hint="eastAsia" w:eastAsia="宋体" w:cs="宋体"/>
                <w:color w:val="auto"/>
                <w:kern w:val="0"/>
                <w:sz w:val="21"/>
                <w:szCs w:val="24"/>
                <w:u w:val="none"/>
              </w:rPr>
              <w:t>年版）》</w:t>
            </w:r>
            <w:r>
              <w:rPr>
                <w:rFonts w:hint="eastAsia" w:eastAsia="宋体" w:cs="宋体"/>
                <w:color w:val="auto"/>
                <w:kern w:val="0"/>
                <w:sz w:val="21"/>
                <w:szCs w:val="24"/>
                <w:u w:val="none"/>
              </w:rPr>
              <w:fldChar w:fldCharType="end"/>
            </w:r>
            <w:r>
              <w:rPr>
                <w:rFonts w:hint="eastAsia" w:eastAsia="宋体" w:cs="宋体"/>
                <w:color w:val="auto"/>
                <w:kern w:val="0"/>
                <w:sz w:val="21"/>
                <w:szCs w:val="24"/>
                <w:u w:val="none"/>
              </w:rPr>
              <w:t>（中</w:t>
            </w:r>
            <w:r>
              <w:rPr>
                <w:rFonts w:hint="eastAsia" w:eastAsia="宋体" w:cs="宋体"/>
                <w:color w:val="auto"/>
                <w:kern w:val="0"/>
                <w:sz w:val="21"/>
                <w:szCs w:val="24"/>
              </w:rPr>
              <w:t>华人民共和国国家发展和改革委员会</w:t>
            </w:r>
            <w:r>
              <w:rPr>
                <w:rFonts w:eastAsia="宋体" w:cs="宋体"/>
                <w:color w:val="auto"/>
                <w:kern w:val="0"/>
                <w:sz w:val="21"/>
                <w:szCs w:val="24"/>
              </w:rPr>
              <w:t xml:space="preserve"> </w:t>
            </w:r>
            <w:r>
              <w:rPr>
                <w:rFonts w:hint="eastAsia" w:eastAsia="宋体" w:cs="宋体"/>
                <w:color w:val="auto"/>
                <w:kern w:val="0"/>
                <w:sz w:val="21"/>
                <w:szCs w:val="24"/>
              </w:rPr>
              <w:t>中华人民共和国商务部令第</w:t>
            </w:r>
            <w:r>
              <w:rPr>
                <w:rFonts w:eastAsia="宋体" w:cs="宋体"/>
                <w:color w:val="auto"/>
                <w:kern w:val="0"/>
                <w:sz w:val="21"/>
                <w:szCs w:val="24"/>
              </w:rPr>
              <w:t>25</w:t>
            </w:r>
            <w:r>
              <w:rPr>
                <w:rFonts w:hint="eastAsia" w:eastAsia="宋体" w:cs="宋体"/>
                <w:color w:val="auto"/>
                <w:kern w:val="0"/>
                <w:sz w:val="21"/>
                <w:szCs w:val="24"/>
              </w:rPr>
              <w:t>号）和《重庆市产业投资准入工作手册》（渝发改投〔</w:t>
            </w:r>
            <w:r>
              <w:rPr>
                <w:rFonts w:eastAsia="宋体" w:cs="宋体"/>
                <w:color w:val="auto"/>
                <w:kern w:val="0"/>
                <w:sz w:val="21"/>
                <w:szCs w:val="24"/>
              </w:rPr>
              <w:t>2018</w:t>
            </w:r>
            <w:r>
              <w:rPr>
                <w:rFonts w:hint="eastAsia" w:eastAsia="宋体" w:cs="宋体"/>
                <w:color w:val="auto"/>
                <w:kern w:val="0"/>
                <w:sz w:val="21"/>
                <w:szCs w:val="24"/>
              </w:rPr>
              <w:t>〕</w:t>
            </w:r>
            <w:r>
              <w:rPr>
                <w:rFonts w:eastAsia="宋体" w:cs="宋体"/>
                <w:color w:val="auto"/>
                <w:kern w:val="0"/>
                <w:sz w:val="21"/>
                <w:szCs w:val="24"/>
              </w:rPr>
              <w:t>541</w:t>
            </w:r>
            <w:r>
              <w:rPr>
                <w:rFonts w:hint="eastAsia" w:eastAsia="宋体" w:cs="宋体"/>
                <w:color w:val="auto"/>
                <w:kern w:val="0"/>
                <w:sz w:val="21"/>
                <w:szCs w:val="24"/>
              </w:rPr>
              <w:t>号）中重点区域范围内不予准入项目，所列其他区域淘汰类、禁止类项目</w:t>
            </w:r>
          </w:p>
        </w:tc>
        <w:tc>
          <w:tcPr>
            <w:tcW w:w="1456" w:type="pct"/>
            <w:tcBorders>
              <w:top w:val="single" w:color="auto" w:sz="4" w:space="0"/>
              <w:left w:val="single" w:color="auto" w:sz="4" w:space="0"/>
              <w:bottom w:val="single" w:color="auto" w:sz="4" w:space="0"/>
              <w:right w:val="single" w:color="auto" w:sz="4" w:space="0"/>
            </w:tcBorders>
            <w:vAlign w:val="center"/>
          </w:tcPr>
          <w:p w14:paraId="2A676328">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项目为</w:t>
            </w:r>
            <w:r>
              <w:rPr>
                <w:rFonts w:hint="eastAsia" w:cs="宋体"/>
                <w:color w:val="auto"/>
                <w:kern w:val="0"/>
                <w:sz w:val="21"/>
                <w:szCs w:val="24"/>
                <w:lang w:eastAsia="zh-CN"/>
              </w:rPr>
              <w:t>工业废水集中处理项目</w:t>
            </w:r>
            <w:r>
              <w:rPr>
                <w:rFonts w:hint="eastAsia" w:eastAsia="宋体" w:cs="宋体"/>
                <w:color w:val="auto"/>
                <w:kern w:val="0"/>
                <w:sz w:val="21"/>
                <w:szCs w:val="24"/>
              </w:rPr>
              <w:t>，属于《产业结构调整指导目录（</w:t>
            </w:r>
            <w:r>
              <w:rPr>
                <w:rFonts w:eastAsia="宋体" w:cs="宋体"/>
                <w:color w:val="auto"/>
                <w:kern w:val="0"/>
                <w:sz w:val="21"/>
                <w:szCs w:val="24"/>
              </w:rPr>
              <w:t>2024</w:t>
            </w:r>
            <w:r>
              <w:rPr>
                <w:rFonts w:hint="eastAsia" w:eastAsia="宋体" w:cs="宋体"/>
                <w:color w:val="auto"/>
                <w:kern w:val="0"/>
                <w:sz w:val="21"/>
                <w:szCs w:val="24"/>
              </w:rPr>
              <w:t>本）》中鼓励类项目，已在重庆忠县发展和改革委员会备案，取得《重庆市企业投资项目备案证》</w:t>
            </w:r>
          </w:p>
        </w:tc>
        <w:tc>
          <w:tcPr>
            <w:tcW w:w="388" w:type="pct"/>
            <w:tcBorders>
              <w:top w:val="single" w:color="auto" w:sz="4" w:space="0"/>
              <w:left w:val="single" w:color="auto" w:sz="4" w:space="0"/>
              <w:bottom w:val="single" w:color="auto" w:sz="4" w:space="0"/>
              <w:right w:val="single" w:color="auto" w:sz="4" w:space="0"/>
            </w:tcBorders>
            <w:vAlign w:val="center"/>
          </w:tcPr>
          <w:p w14:paraId="2736A161">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符合</w:t>
            </w:r>
          </w:p>
        </w:tc>
      </w:tr>
      <w:tr w14:paraId="52FD1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0" w:type="dxa"/>
            <w:bottom w:w="113" w:type="dxa"/>
            <w:right w:w="0" w:type="dxa"/>
          </w:tblCellMar>
        </w:tblPrEx>
        <w:trPr>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F54CF0E">
            <w:pPr>
              <w:widowControl/>
              <w:spacing w:beforeLines="0" w:afterLines="0" w:line="240" w:lineRule="auto"/>
              <w:ind w:firstLine="0" w:firstLineChars="0"/>
              <w:jc w:val="left"/>
              <w:rPr>
                <w:rFonts w:eastAsia="宋体" w:cs="宋体"/>
                <w:color w:val="auto"/>
                <w:kern w:val="0"/>
                <w:sz w:val="21"/>
                <w:szCs w:val="24"/>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9AEE3CE">
            <w:pPr>
              <w:widowControl/>
              <w:spacing w:beforeLines="0" w:afterLines="0" w:line="240" w:lineRule="auto"/>
              <w:ind w:firstLine="0" w:firstLineChars="0"/>
              <w:jc w:val="left"/>
              <w:rPr>
                <w:rFonts w:eastAsia="宋体" w:cs="宋体"/>
                <w:color w:val="auto"/>
                <w:kern w:val="0"/>
                <w:sz w:val="21"/>
                <w:szCs w:val="24"/>
              </w:rPr>
            </w:pPr>
          </w:p>
        </w:tc>
        <w:tc>
          <w:tcPr>
            <w:tcW w:w="2298" w:type="pct"/>
            <w:tcBorders>
              <w:top w:val="single" w:color="auto" w:sz="4" w:space="0"/>
              <w:left w:val="single" w:color="auto" w:sz="4" w:space="0"/>
              <w:bottom w:val="single" w:color="auto" w:sz="4" w:space="0"/>
              <w:right w:val="single" w:color="auto" w:sz="4" w:space="0"/>
            </w:tcBorders>
            <w:vAlign w:val="center"/>
          </w:tcPr>
          <w:p w14:paraId="4574EEA6">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重化工、纺织、造纸等存在污染风险的工业项目</w:t>
            </w:r>
          </w:p>
        </w:tc>
        <w:tc>
          <w:tcPr>
            <w:tcW w:w="1456" w:type="pct"/>
            <w:tcBorders>
              <w:top w:val="single" w:color="auto" w:sz="4" w:space="0"/>
              <w:left w:val="single" w:color="auto" w:sz="4" w:space="0"/>
              <w:bottom w:val="single" w:color="auto" w:sz="4" w:space="0"/>
              <w:right w:val="single" w:color="auto" w:sz="4" w:space="0"/>
            </w:tcBorders>
            <w:vAlign w:val="center"/>
          </w:tcPr>
          <w:p w14:paraId="27FAC289">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不属于上述项目</w:t>
            </w:r>
          </w:p>
        </w:tc>
        <w:tc>
          <w:tcPr>
            <w:tcW w:w="388" w:type="pct"/>
            <w:tcBorders>
              <w:top w:val="single" w:color="auto" w:sz="4" w:space="0"/>
              <w:left w:val="single" w:color="auto" w:sz="4" w:space="0"/>
              <w:bottom w:val="single" w:color="auto" w:sz="4" w:space="0"/>
              <w:right w:val="single" w:color="auto" w:sz="4" w:space="0"/>
            </w:tcBorders>
            <w:vAlign w:val="center"/>
          </w:tcPr>
          <w:p w14:paraId="4CA71E6B">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符合</w:t>
            </w:r>
          </w:p>
        </w:tc>
      </w:tr>
      <w:tr w14:paraId="3575F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0" w:type="dxa"/>
            <w:bottom w:w="113" w:type="dxa"/>
            <w:right w:w="0" w:type="dxa"/>
          </w:tblCellMar>
        </w:tblPrEx>
        <w:trPr>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B15851B">
            <w:pPr>
              <w:widowControl/>
              <w:spacing w:beforeLines="0" w:afterLines="0" w:line="240" w:lineRule="auto"/>
              <w:ind w:firstLine="0" w:firstLineChars="0"/>
              <w:jc w:val="left"/>
              <w:rPr>
                <w:rFonts w:eastAsia="宋体" w:cs="宋体"/>
                <w:color w:val="auto"/>
                <w:kern w:val="0"/>
                <w:sz w:val="21"/>
                <w:szCs w:val="24"/>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E27E9A2">
            <w:pPr>
              <w:widowControl/>
              <w:spacing w:beforeLines="0" w:afterLines="0" w:line="240" w:lineRule="auto"/>
              <w:ind w:firstLine="0" w:firstLineChars="0"/>
              <w:jc w:val="left"/>
              <w:rPr>
                <w:rFonts w:eastAsia="宋体" w:cs="宋体"/>
                <w:color w:val="auto"/>
                <w:kern w:val="0"/>
                <w:sz w:val="21"/>
                <w:szCs w:val="24"/>
              </w:rPr>
            </w:pPr>
          </w:p>
        </w:tc>
        <w:tc>
          <w:tcPr>
            <w:tcW w:w="2298" w:type="pct"/>
            <w:tcBorders>
              <w:top w:val="single" w:color="auto" w:sz="4" w:space="0"/>
              <w:left w:val="single" w:color="auto" w:sz="4" w:space="0"/>
              <w:bottom w:val="single" w:color="auto" w:sz="4" w:space="0"/>
              <w:right w:val="single" w:color="auto" w:sz="4" w:space="0"/>
            </w:tcBorders>
            <w:vAlign w:val="center"/>
          </w:tcPr>
          <w:p w14:paraId="5EC8EE67">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集中式饮用水源取水口上游</w:t>
            </w:r>
            <w:r>
              <w:rPr>
                <w:rFonts w:eastAsia="宋体" w:cs="宋体"/>
                <w:color w:val="auto"/>
                <w:kern w:val="0"/>
                <w:sz w:val="21"/>
                <w:szCs w:val="24"/>
              </w:rPr>
              <w:t>20</w:t>
            </w:r>
            <w:r>
              <w:rPr>
                <w:rFonts w:hint="eastAsia" w:eastAsia="宋体" w:cs="宋体"/>
                <w:color w:val="auto"/>
                <w:kern w:val="0"/>
                <w:sz w:val="21"/>
                <w:szCs w:val="24"/>
              </w:rPr>
              <w:t>公里范围内的沿岸地区（沿岸地区指江河</w:t>
            </w:r>
            <w:r>
              <w:rPr>
                <w:rFonts w:eastAsia="宋体" w:cs="宋体"/>
                <w:color w:val="auto"/>
                <w:kern w:val="0"/>
                <w:sz w:val="21"/>
                <w:szCs w:val="24"/>
              </w:rPr>
              <w:t>50</w:t>
            </w:r>
            <w:r>
              <w:rPr>
                <w:rFonts w:hint="eastAsia" w:eastAsia="宋体" w:cs="宋体"/>
                <w:color w:val="auto"/>
                <w:kern w:val="0"/>
                <w:sz w:val="21"/>
                <w:szCs w:val="24"/>
              </w:rPr>
              <w:t>年一遇洪水位向陆域一侧</w:t>
            </w:r>
            <w:r>
              <w:rPr>
                <w:rFonts w:eastAsia="宋体" w:cs="宋体"/>
                <w:color w:val="auto"/>
                <w:kern w:val="0"/>
                <w:sz w:val="21"/>
                <w:szCs w:val="24"/>
              </w:rPr>
              <w:t>1</w:t>
            </w:r>
            <w:r>
              <w:rPr>
                <w:rFonts w:hint="eastAsia" w:eastAsia="宋体" w:cs="宋体"/>
                <w:color w:val="auto"/>
                <w:kern w:val="0"/>
                <w:sz w:val="21"/>
                <w:szCs w:val="24"/>
              </w:rPr>
              <w:t>公里范围内）的重金属（铬、镉、汞、砷、铅等五类重金属，下同）、剧毒物质和持久性有机污染物的工业项目</w:t>
            </w:r>
          </w:p>
        </w:tc>
        <w:tc>
          <w:tcPr>
            <w:tcW w:w="1456" w:type="pct"/>
            <w:tcBorders>
              <w:top w:val="single" w:color="auto" w:sz="4" w:space="0"/>
              <w:left w:val="single" w:color="auto" w:sz="4" w:space="0"/>
              <w:bottom w:val="single" w:color="auto" w:sz="4" w:space="0"/>
              <w:right w:val="single" w:color="auto" w:sz="4" w:space="0"/>
            </w:tcBorders>
            <w:vAlign w:val="center"/>
          </w:tcPr>
          <w:p w14:paraId="7B197461">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项目不排放含重金属的废水</w:t>
            </w:r>
          </w:p>
        </w:tc>
        <w:tc>
          <w:tcPr>
            <w:tcW w:w="388" w:type="pct"/>
            <w:tcBorders>
              <w:top w:val="single" w:color="auto" w:sz="4" w:space="0"/>
              <w:left w:val="single" w:color="auto" w:sz="4" w:space="0"/>
              <w:bottom w:val="single" w:color="auto" w:sz="4" w:space="0"/>
              <w:right w:val="single" w:color="auto" w:sz="4" w:space="0"/>
            </w:tcBorders>
            <w:vAlign w:val="center"/>
          </w:tcPr>
          <w:p w14:paraId="170D303E">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符合</w:t>
            </w:r>
          </w:p>
        </w:tc>
      </w:tr>
      <w:tr w14:paraId="0F5E8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0" w:type="dxa"/>
            <w:bottom w:w="113" w:type="dxa"/>
            <w:right w:w="0" w:type="dxa"/>
          </w:tblCellMar>
        </w:tblPrEx>
        <w:trPr>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3E6CBAD">
            <w:pPr>
              <w:widowControl/>
              <w:spacing w:beforeLines="0" w:afterLines="0" w:line="240" w:lineRule="auto"/>
              <w:ind w:firstLine="0" w:firstLineChars="0"/>
              <w:jc w:val="left"/>
              <w:rPr>
                <w:rFonts w:eastAsia="宋体" w:cs="宋体"/>
                <w:color w:val="auto"/>
                <w:kern w:val="0"/>
                <w:sz w:val="21"/>
                <w:szCs w:val="24"/>
              </w:rPr>
            </w:pPr>
          </w:p>
        </w:tc>
        <w:tc>
          <w:tcPr>
            <w:tcW w:w="548" w:type="pct"/>
            <w:tcBorders>
              <w:top w:val="single" w:color="auto" w:sz="4" w:space="0"/>
              <w:left w:val="single" w:color="auto" w:sz="4" w:space="0"/>
              <w:bottom w:val="single" w:color="auto" w:sz="4" w:space="0"/>
              <w:right w:val="single" w:color="auto" w:sz="4" w:space="0"/>
            </w:tcBorders>
            <w:vAlign w:val="center"/>
          </w:tcPr>
          <w:p w14:paraId="404F2835">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锂电产业</w:t>
            </w:r>
          </w:p>
        </w:tc>
        <w:tc>
          <w:tcPr>
            <w:tcW w:w="2298" w:type="pct"/>
            <w:tcBorders>
              <w:top w:val="single" w:color="auto" w:sz="4" w:space="0"/>
              <w:left w:val="single" w:color="auto" w:sz="4" w:space="0"/>
              <w:bottom w:val="single" w:color="auto" w:sz="4" w:space="0"/>
              <w:right w:val="single" w:color="auto" w:sz="4" w:space="0"/>
            </w:tcBorders>
            <w:vAlign w:val="center"/>
          </w:tcPr>
          <w:p w14:paraId="695F86DD">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化学方法制氢工序的氢燃料电池制造项目</w:t>
            </w:r>
          </w:p>
        </w:tc>
        <w:tc>
          <w:tcPr>
            <w:tcW w:w="1456" w:type="pct"/>
            <w:tcBorders>
              <w:top w:val="single" w:color="auto" w:sz="4" w:space="0"/>
              <w:left w:val="single" w:color="auto" w:sz="4" w:space="0"/>
              <w:bottom w:val="single" w:color="auto" w:sz="4" w:space="0"/>
              <w:right w:val="single" w:color="auto" w:sz="4" w:space="0"/>
            </w:tcBorders>
            <w:vAlign w:val="center"/>
          </w:tcPr>
          <w:p w14:paraId="04BC0EAB">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不属于上述项目</w:t>
            </w:r>
          </w:p>
        </w:tc>
        <w:tc>
          <w:tcPr>
            <w:tcW w:w="388" w:type="pct"/>
            <w:tcBorders>
              <w:top w:val="single" w:color="auto" w:sz="4" w:space="0"/>
              <w:left w:val="single" w:color="auto" w:sz="4" w:space="0"/>
              <w:bottom w:val="single" w:color="auto" w:sz="4" w:space="0"/>
              <w:right w:val="single" w:color="auto" w:sz="4" w:space="0"/>
            </w:tcBorders>
            <w:vAlign w:val="center"/>
          </w:tcPr>
          <w:p w14:paraId="3E41033C">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符合</w:t>
            </w:r>
          </w:p>
        </w:tc>
      </w:tr>
      <w:tr w14:paraId="6238F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0" w:type="dxa"/>
            <w:bottom w:w="113" w:type="dxa"/>
            <w:right w:w="0" w:type="dxa"/>
          </w:tblCellMar>
        </w:tblPrEx>
        <w:trPr>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5F13F65">
            <w:pPr>
              <w:widowControl/>
              <w:spacing w:beforeLines="0" w:afterLines="0" w:line="240" w:lineRule="auto"/>
              <w:ind w:firstLine="0" w:firstLineChars="0"/>
              <w:jc w:val="left"/>
              <w:rPr>
                <w:rFonts w:eastAsia="宋体" w:cs="宋体"/>
                <w:color w:val="auto"/>
                <w:kern w:val="0"/>
                <w:sz w:val="21"/>
                <w:szCs w:val="24"/>
              </w:rPr>
            </w:pPr>
          </w:p>
        </w:tc>
        <w:tc>
          <w:tcPr>
            <w:tcW w:w="548" w:type="pct"/>
            <w:tcBorders>
              <w:top w:val="single" w:color="auto" w:sz="4" w:space="0"/>
              <w:left w:val="single" w:color="auto" w:sz="4" w:space="0"/>
              <w:bottom w:val="single" w:color="auto" w:sz="4" w:space="0"/>
              <w:right w:val="single" w:color="auto" w:sz="4" w:space="0"/>
            </w:tcBorders>
            <w:vAlign w:val="center"/>
          </w:tcPr>
          <w:p w14:paraId="2DB7988F">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资源加工产业</w:t>
            </w:r>
          </w:p>
        </w:tc>
        <w:tc>
          <w:tcPr>
            <w:tcW w:w="2298" w:type="pct"/>
            <w:tcBorders>
              <w:top w:val="single" w:color="auto" w:sz="4" w:space="0"/>
              <w:left w:val="single" w:color="auto" w:sz="4" w:space="0"/>
              <w:bottom w:val="single" w:color="auto" w:sz="4" w:space="0"/>
              <w:right w:val="single" w:color="auto" w:sz="4" w:space="0"/>
            </w:tcBorders>
            <w:vAlign w:val="center"/>
          </w:tcPr>
          <w:p w14:paraId="35303CE6">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禁止新建、扩建水泥（产能减量或等量置换的除外）、烧结砖瓦窑企业及使用煤、重油等高污染燃料设施的工业项目</w:t>
            </w:r>
          </w:p>
        </w:tc>
        <w:tc>
          <w:tcPr>
            <w:tcW w:w="2685" w:type="dxa"/>
            <w:tcBorders>
              <w:top w:val="single" w:color="auto" w:sz="4" w:space="0"/>
              <w:left w:val="single" w:color="auto" w:sz="4" w:space="0"/>
              <w:bottom w:val="single" w:color="auto" w:sz="4" w:space="0"/>
              <w:right w:val="single" w:color="auto" w:sz="4" w:space="0"/>
            </w:tcBorders>
            <w:vAlign w:val="center"/>
          </w:tcPr>
          <w:p w14:paraId="616295E0">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不属于上述项目</w:t>
            </w:r>
          </w:p>
        </w:tc>
        <w:tc>
          <w:tcPr>
            <w:tcW w:w="714" w:type="dxa"/>
            <w:tcBorders>
              <w:top w:val="single" w:color="auto" w:sz="4" w:space="0"/>
              <w:left w:val="single" w:color="auto" w:sz="4" w:space="0"/>
              <w:bottom w:val="single" w:color="auto" w:sz="4" w:space="0"/>
              <w:right w:val="single" w:color="auto" w:sz="4" w:space="0"/>
            </w:tcBorders>
            <w:vAlign w:val="center"/>
          </w:tcPr>
          <w:p w14:paraId="610774CE">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符合</w:t>
            </w:r>
          </w:p>
        </w:tc>
      </w:tr>
      <w:tr w14:paraId="60D53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0" w:type="dxa"/>
            <w:bottom w:w="113" w:type="dxa"/>
            <w:right w:w="0" w:type="dxa"/>
          </w:tblCellMar>
        </w:tblPrEx>
        <w:trPr>
          <w:trHeight w:val="340" w:hRule="atLeast"/>
          <w:jc w:val="center"/>
        </w:trPr>
        <w:tc>
          <w:tcPr>
            <w:tcW w:w="311" w:type="pct"/>
            <w:vMerge w:val="restart"/>
            <w:tcBorders>
              <w:top w:val="single" w:color="auto" w:sz="4" w:space="0"/>
              <w:left w:val="single" w:color="auto" w:sz="4" w:space="0"/>
              <w:bottom w:val="single" w:color="auto" w:sz="4" w:space="0"/>
              <w:right w:val="single" w:color="auto" w:sz="4" w:space="0"/>
            </w:tcBorders>
            <w:vAlign w:val="center"/>
          </w:tcPr>
          <w:p w14:paraId="254349C5">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限制准入类</w:t>
            </w:r>
          </w:p>
        </w:tc>
        <w:tc>
          <w:tcPr>
            <w:tcW w:w="548" w:type="pct"/>
            <w:tcBorders>
              <w:top w:val="single" w:color="auto" w:sz="4" w:space="0"/>
              <w:left w:val="single" w:color="auto" w:sz="4" w:space="0"/>
              <w:bottom w:val="single" w:color="auto" w:sz="4" w:space="0"/>
              <w:right w:val="single" w:color="auto" w:sz="4" w:space="0"/>
            </w:tcBorders>
            <w:vAlign w:val="center"/>
          </w:tcPr>
          <w:p w14:paraId="100BB071">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总体</w:t>
            </w:r>
          </w:p>
        </w:tc>
        <w:tc>
          <w:tcPr>
            <w:tcW w:w="2298" w:type="pct"/>
            <w:tcBorders>
              <w:top w:val="single" w:color="auto" w:sz="4" w:space="0"/>
              <w:left w:val="single" w:color="auto" w:sz="4" w:space="0"/>
              <w:bottom w:val="single" w:color="auto" w:sz="4" w:space="0"/>
              <w:right w:val="single" w:color="auto" w:sz="4" w:space="0"/>
            </w:tcBorders>
            <w:vAlign w:val="center"/>
          </w:tcPr>
          <w:p w14:paraId="21A5A91B">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使用符合环保要求的高固体分、水性涂料、粉末涂料、紫外光固化涂料等低</w:t>
            </w:r>
            <w:r>
              <w:rPr>
                <w:rFonts w:eastAsia="宋体" w:cs="宋体"/>
                <w:color w:val="auto"/>
                <w:kern w:val="0"/>
                <w:sz w:val="21"/>
                <w:szCs w:val="24"/>
              </w:rPr>
              <w:t>VOCs</w:t>
            </w:r>
            <w:r>
              <w:rPr>
                <w:rFonts w:hint="eastAsia" w:eastAsia="宋体" w:cs="宋体"/>
                <w:color w:val="auto"/>
                <w:kern w:val="0"/>
                <w:sz w:val="21"/>
                <w:szCs w:val="24"/>
              </w:rPr>
              <w:t>含量的涂料替代溶剂型涂料</w:t>
            </w:r>
          </w:p>
        </w:tc>
        <w:tc>
          <w:tcPr>
            <w:tcW w:w="1456" w:type="pct"/>
            <w:tcBorders>
              <w:top w:val="single" w:color="auto" w:sz="4" w:space="0"/>
              <w:left w:val="single" w:color="auto" w:sz="4" w:space="0"/>
              <w:bottom w:val="single" w:color="auto" w:sz="4" w:space="0"/>
              <w:right w:val="single" w:color="auto" w:sz="4" w:space="0"/>
            </w:tcBorders>
            <w:vAlign w:val="center"/>
          </w:tcPr>
          <w:p w14:paraId="7F5F38EC">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不属于上述项目</w:t>
            </w:r>
          </w:p>
        </w:tc>
        <w:tc>
          <w:tcPr>
            <w:tcW w:w="388" w:type="pct"/>
            <w:tcBorders>
              <w:top w:val="single" w:color="auto" w:sz="4" w:space="0"/>
              <w:left w:val="single" w:color="auto" w:sz="4" w:space="0"/>
              <w:bottom w:val="single" w:color="auto" w:sz="4" w:space="0"/>
              <w:right w:val="single" w:color="auto" w:sz="4" w:space="0"/>
            </w:tcBorders>
            <w:vAlign w:val="center"/>
          </w:tcPr>
          <w:p w14:paraId="74988521">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符合</w:t>
            </w:r>
          </w:p>
        </w:tc>
      </w:tr>
      <w:tr w14:paraId="42A87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0" w:type="dxa"/>
            <w:bottom w:w="113" w:type="dxa"/>
            <w:right w:w="0" w:type="dxa"/>
          </w:tblCellMar>
        </w:tblPrEx>
        <w:trPr>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F28D226">
            <w:pPr>
              <w:widowControl/>
              <w:spacing w:beforeLines="0" w:afterLines="0" w:line="240" w:lineRule="auto"/>
              <w:ind w:firstLine="0" w:firstLineChars="0"/>
              <w:jc w:val="left"/>
              <w:rPr>
                <w:rFonts w:eastAsia="宋体" w:cs="宋体"/>
                <w:color w:val="auto"/>
                <w:kern w:val="0"/>
                <w:sz w:val="21"/>
                <w:szCs w:val="24"/>
              </w:rPr>
            </w:pPr>
          </w:p>
        </w:tc>
        <w:tc>
          <w:tcPr>
            <w:tcW w:w="548" w:type="pct"/>
            <w:tcBorders>
              <w:top w:val="single" w:color="auto" w:sz="4" w:space="0"/>
              <w:left w:val="single" w:color="auto" w:sz="4" w:space="0"/>
              <w:bottom w:val="single" w:color="auto" w:sz="4" w:space="0"/>
              <w:right w:val="single" w:color="auto" w:sz="4" w:space="0"/>
            </w:tcBorders>
            <w:vAlign w:val="center"/>
          </w:tcPr>
          <w:p w14:paraId="619487D2">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医药产业</w:t>
            </w:r>
          </w:p>
        </w:tc>
        <w:tc>
          <w:tcPr>
            <w:tcW w:w="2298" w:type="pct"/>
            <w:tcBorders>
              <w:top w:val="single" w:color="auto" w:sz="4" w:space="0"/>
              <w:left w:val="single" w:color="auto" w:sz="4" w:space="0"/>
              <w:bottom w:val="single" w:color="auto" w:sz="4" w:space="0"/>
              <w:right w:val="single" w:color="auto" w:sz="4" w:space="0"/>
            </w:tcBorders>
            <w:vAlign w:val="center"/>
          </w:tcPr>
          <w:p w14:paraId="45C25C41">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ascii="宋体" w:hAnsi="宋体" w:eastAsia="宋体" w:cs="宋体"/>
                <w:color w:val="auto"/>
                <w:kern w:val="0"/>
                <w:sz w:val="21"/>
                <w:szCs w:val="24"/>
              </w:rPr>
              <w:t>①</w:t>
            </w:r>
            <w:r>
              <w:rPr>
                <w:rFonts w:hint="eastAsia" w:eastAsia="宋体" w:cs="宋体"/>
                <w:color w:val="auto"/>
                <w:kern w:val="0"/>
                <w:sz w:val="21"/>
                <w:szCs w:val="24"/>
              </w:rPr>
              <w:t>新建、扩建古龙酸和维生素</w:t>
            </w:r>
            <w:r>
              <w:rPr>
                <w:rFonts w:eastAsia="宋体" w:cs="宋体"/>
                <w:color w:val="auto"/>
                <w:kern w:val="0"/>
                <w:sz w:val="21"/>
                <w:szCs w:val="24"/>
              </w:rPr>
              <w:t>C</w:t>
            </w:r>
            <w:r>
              <w:rPr>
                <w:rFonts w:hint="eastAsia" w:eastAsia="宋体" w:cs="宋体"/>
                <w:color w:val="auto"/>
                <w:kern w:val="0"/>
                <w:sz w:val="21"/>
                <w:szCs w:val="24"/>
              </w:rPr>
              <w:t>原粉（包括药用、食品用和饲料用、化妆品用）生产装置，新建药品、食品、饲料、化妆品等用途的维生素</w:t>
            </w:r>
            <w:r>
              <w:rPr>
                <w:rFonts w:eastAsia="宋体" w:cs="宋体"/>
                <w:color w:val="auto"/>
                <w:kern w:val="0"/>
                <w:sz w:val="21"/>
                <w:szCs w:val="24"/>
              </w:rPr>
              <w:t>B1</w:t>
            </w:r>
            <w:r>
              <w:rPr>
                <w:rFonts w:hint="eastAsia" w:eastAsia="宋体" w:cs="宋体"/>
                <w:color w:val="auto"/>
                <w:kern w:val="0"/>
                <w:sz w:val="21"/>
                <w:szCs w:val="24"/>
              </w:rPr>
              <w:t>、维生素</w:t>
            </w:r>
            <w:r>
              <w:rPr>
                <w:rFonts w:eastAsia="宋体" w:cs="宋体"/>
                <w:color w:val="auto"/>
                <w:kern w:val="0"/>
                <w:sz w:val="21"/>
                <w:szCs w:val="24"/>
              </w:rPr>
              <w:t>B2</w:t>
            </w:r>
            <w:r>
              <w:rPr>
                <w:rFonts w:hint="eastAsia" w:eastAsia="宋体" w:cs="宋体"/>
                <w:color w:val="auto"/>
                <w:kern w:val="0"/>
                <w:sz w:val="21"/>
                <w:szCs w:val="24"/>
              </w:rPr>
              <w:t>、维生素</w:t>
            </w:r>
            <w:r>
              <w:rPr>
                <w:rFonts w:eastAsia="宋体" w:cs="宋体"/>
                <w:color w:val="auto"/>
                <w:kern w:val="0"/>
                <w:sz w:val="21"/>
                <w:szCs w:val="24"/>
              </w:rPr>
              <w:t xml:space="preserve">B12 </w:t>
            </w:r>
            <w:r>
              <w:rPr>
                <w:rFonts w:hint="eastAsia" w:cs="宋体"/>
                <w:color w:val="auto"/>
                <w:kern w:val="0"/>
                <w:sz w:val="21"/>
                <w:szCs w:val="24"/>
                <w:lang w:eastAsia="zh-CN"/>
              </w:rPr>
              <w:t>（</w:t>
            </w:r>
            <w:r>
              <w:rPr>
                <w:rFonts w:hint="eastAsia" w:eastAsia="宋体" w:cs="宋体"/>
                <w:color w:val="auto"/>
                <w:kern w:val="0"/>
                <w:sz w:val="21"/>
                <w:szCs w:val="24"/>
              </w:rPr>
              <w:t>综合利用除外</w:t>
            </w:r>
            <w:r>
              <w:rPr>
                <w:rFonts w:hint="eastAsia" w:cs="宋体"/>
                <w:color w:val="auto"/>
                <w:kern w:val="0"/>
                <w:sz w:val="21"/>
                <w:szCs w:val="24"/>
                <w:lang w:eastAsia="zh-CN"/>
              </w:rPr>
              <w:t>）</w:t>
            </w:r>
            <w:r>
              <w:rPr>
                <w:rFonts w:hint="eastAsia" w:eastAsia="宋体" w:cs="宋体"/>
                <w:color w:val="auto"/>
                <w:kern w:val="0"/>
                <w:sz w:val="21"/>
                <w:szCs w:val="24"/>
              </w:rPr>
              <w:t>、维生素</w:t>
            </w:r>
            <w:r>
              <w:rPr>
                <w:rFonts w:eastAsia="宋体" w:cs="宋体"/>
                <w:color w:val="auto"/>
                <w:kern w:val="0"/>
                <w:sz w:val="21"/>
                <w:szCs w:val="24"/>
              </w:rPr>
              <w:t>E</w:t>
            </w:r>
            <w:r>
              <w:rPr>
                <w:rFonts w:hint="eastAsia" w:eastAsia="宋体" w:cs="宋体"/>
                <w:color w:val="auto"/>
                <w:kern w:val="0"/>
                <w:sz w:val="21"/>
                <w:szCs w:val="24"/>
              </w:rPr>
              <w:t>原料生产装置；</w:t>
            </w:r>
            <w:r>
              <w:rPr>
                <w:rFonts w:hint="eastAsia" w:ascii="宋体" w:hAnsi="宋体" w:eastAsia="宋体" w:cs="宋体"/>
                <w:color w:val="auto"/>
                <w:kern w:val="0"/>
                <w:sz w:val="21"/>
                <w:szCs w:val="24"/>
              </w:rPr>
              <w:t>②</w:t>
            </w:r>
            <w:r>
              <w:rPr>
                <w:rFonts w:hint="eastAsia" w:eastAsia="宋体" w:cs="宋体"/>
                <w:color w:val="auto"/>
                <w:kern w:val="0"/>
                <w:sz w:val="21"/>
                <w:szCs w:val="24"/>
              </w:rPr>
              <w:t>新建青霉素工业盐、</w:t>
            </w:r>
            <w:r>
              <w:rPr>
                <w:rFonts w:eastAsia="宋体" w:cs="宋体"/>
                <w:color w:val="auto"/>
                <w:kern w:val="0"/>
                <w:sz w:val="21"/>
                <w:szCs w:val="24"/>
              </w:rPr>
              <w:t>6-</w:t>
            </w:r>
            <w:r>
              <w:rPr>
                <w:rFonts w:hint="eastAsia" w:eastAsia="宋体" w:cs="宋体"/>
                <w:color w:val="auto"/>
                <w:kern w:val="0"/>
                <w:sz w:val="21"/>
                <w:szCs w:val="24"/>
              </w:rPr>
              <w:t>氨基青霉烷酸（</w:t>
            </w:r>
            <w:r>
              <w:rPr>
                <w:rFonts w:eastAsia="宋体" w:cs="宋体"/>
                <w:color w:val="auto"/>
                <w:kern w:val="0"/>
                <w:sz w:val="21"/>
                <w:szCs w:val="24"/>
              </w:rPr>
              <w:t>6-APA</w:t>
            </w:r>
            <w:r>
              <w:rPr>
                <w:rFonts w:hint="eastAsia" w:eastAsia="宋体" w:cs="宋体"/>
                <w:color w:val="auto"/>
                <w:kern w:val="0"/>
                <w:sz w:val="21"/>
                <w:szCs w:val="24"/>
              </w:rPr>
              <w:t>）、化学法生产</w:t>
            </w:r>
            <w:r>
              <w:rPr>
                <w:rFonts w:eastAsia="宋体" w:cs="宋体"/>
                <w:color w:val="auto"/>
                <w:kern w:val="0"/>
                <w:sz w:val="21"/>
                <w:szCs w:val="24"/>
              </w:rPr>
              <w:t>7-</w:t>
            </w:r>
            <w:r>
              <w:rPr>
                <w:rFonts w:hint="eastAsia" w:eastAsia="宋体" w:cs="宋体"/>
                <w:color w:val="auto"/>
                <w:kern w:val="0"/>
                <w:sz w:val="21"/>
                <w:szCs w:val="24"/>
              </w:rPr>
              <w:t>氨基头孢烷酸（</w:t>
            </w:r>
            <w:r>
              <w:rPr>
                <w:rFonts w:eastAsia="宋体" w:cs="宋体"/>
                <w:color w:val="auto"/>
                <w:kern w:val="0"/>
                <w:sz w:val="21"/>
                <w:szCs w:val="24"/>
              </w:rPr>
              <w:t>7-ACA</w:t>
            </w:r>
            <w:r>
              <w:rPr>
                <w:rFonts w:hint="eastAsia" w:eastAsia="宋体" w:cs="宋体"/>
                <w:color w:val="auto"/>
                <w:kern w:val="0"/>
                <w:sz w:val="21"/>
                <w:szCs w:val="24"/>
              </w:rPr>
              <w:t>）、</w:t>
            </w:r>
            <w:r>
              <w:rPr>
                <w:rFonts w:eastAsia="宋体" w:cs="宋体"/>
                <w:color w:val="auto"/>
                <w:kern w:val="0"/>
                <w:sz w:val="21"/>
                <w:szCs w:val="24"/>
              </w:rPr>
              <w:t>7-</w:t>
            </w:r>
            <w:r>
              <w:rPr>
                <w:rFonts w:hint="eastAsia" w:eastAsia="宋体" w:cs="宋体"/>
                <w:color w:val="auto"/>
                <w:kern w:val="0"/>
                <w:sz w:val="21"/>
                <w:szCs w:val="24"/>
              </w:rPr>
              <w:t>氨基</w:t>
            </w:r>
            <w:r>
              <w:rPr>
                <w:rFonts w:eastAsia="宋体" w:cs="宋体"/>
                <w:color w:val="auto"/>
                <w:kern w:val="0"/>
                <w:sz w:val="21"/>
                <w:szCs w:val="24"/>
              </w:rPr>
              <w:t>-3-</w:t>
            </w:r>
            <w:r>
              <w:rPr>
                <w:rFonts w:hint="eastAsia" w:eastAsia="宋体" w:cs="宋体"/>
                <w:color w:val="auto"/>
                <w:kern w:val="0"/>
                <w:sz w:val="21"/>
                <w:szCs w:val="24"/>
              </w:rPr>
              <w:t>去乙酰氧基头孢烷酸（</w:t>
            </w:r>
            <w:r>
              <w:rPr>
                <w:rFonts w:eastAsia="宋体" w:cs="宋体"/>
                <w:color w:val="auto"/>
                <w:kern w:val="0"/>
                <w:sz w:val="21"/>
                <w:szCs w:val="24"/>
              </w:rPr>
              <w:t>7-ADCA</w:t>
            </w:r>
            <w:r>
              <w:rPr>
                <w:rFonts w:hint="eastAsia" w:eastAsia="宋体" w:cs="宋体"/>
                <w:color w:val="auto"/>
                <w:kern w:val="0"/>
                <w:sz w:val="21"/>
                <w:szCs w:val="24"/>
              </w:rPr>
              <w:t>）、青霉素</w:t>
            </w:r>
            <w:r>
              <w:rPr>
                <w:rFonts w:eastAsia="宋体" w:cs="宋体"/>
                <w:color w:val="auto"/>
                <w:kern w:val="0"/>
                <w:sz w:val="21"/>
                <w:szCs w:val="24"/>
              </w:rPr>
              <w:t>V</w:t>
            </w:r>
            <w:r>
              <w:rPr>
                <w:rFonts w:hint="eastAsia" w:eastAsia="宋体" w:cs="宋体"/>
                <w:color w:val="auto"/>
                <w:kern w:val="0"/>
                <w:sz w:val="21"/>
                <w:szCs w:val="24"/>
              </w:rPr>
              <w:t>、氨苄青霉素、羟氨苄青霉素、头孢菌素</w:t>
            </w:r>
            <w:r>
              <w:rPr>
                <w:rFonts w:eastAsia="宋体" w:cs="宋体"/>
                <w:color w:val="auto"/>
                <w:kern w:val="0"/>
                <w:sz w:val="21"/>
                <w:szCs w:val="24"/>
              </w:rPr>
              <w:t>c</w:t>
            </w:r>
            <w:r>
              <w:rPr>
                <w:rFonts w:hint="eastAsia" w:eastAsia="宋体" w:cs="宋体"/>
                <w:color w:val="auto"/>
                <w:kern w:val="0"/>
                <w:sz w:val="21"/>
                <w:szCs w:val="24"/>
              </w:rPr>
              <w:t>发酵、土霉素、四环素、氯霉素、安乃近、扑热息痛、林可霉素、庆大霉素、双氢链霉素、丁胺卡那霉素、麦迪霉素、柱晶白霉素、环丙氟哌酸、氟哌酸、氟嗪酸、利福平、咖啡因、柯柯豆碱生产装置；</w:t>
            </w:r>
            <w:r>
              <w:rPr>
                <w:rFonts w:hint="eastAsia" w:ascii="宋体" w:hAnsi="宋体" w:eastAsia="宋体" w:cs="宋体"/>
                <w:color w:val="auto"/>
                <w:kern w:val="0"/>
                <w:sz w:val="21"/>
                <w:szCs w:val="24"/>
              </w:rPr>
              <w:t>③</w:t>
            </w:r>
            <w:r>
              <w:rPr>
                <w:rFonts w:hint="eastAsia" w:eastAsia="宋体" w:cs="宋体"/>
                <w:color w:val="auto"/>
                <w:kern w:val="0"/>
                <w:sz w:val="21"/>
                <w:szCs w:val="24"/>
              </w:rPr>
              <w:t>新建紫杉醇（配套红豆杉种植除外）、植物提取法黄连素（配套黄连种植除外）生产装置等。</w:t>
            </w:r>
          </w:p>
        </w:tc>
        <w:tc>
          <w:tcPr>
            <w:tcW w:w="1456" w:type="pct"/>
            <w:tcBorders>
              <w:top w:val="single" w:color="auto" w:sz="4" w:space="0"/>
              <w:left w:val="single" w:color="auto" w:sz="4" w:space="0"/>
              <w:bottom w:val="single" w:color="auto" w:sz="4" w:space="0"/>
              <w:right w:val="single" w:color="auto" w:sz="4" w:space="0"/>
            </w:tcBorders>
            <w:vAlign w:val="center"/>
          </w:tcPr>
          <w:p w14:paraId="1198E10C">
            <w:pPr>
              <w:adjustRightInd w:val="0"/>
              <w:snapToGrid w:val="0"/>
              <w:spacing w:beforeLines="0" w:afterLines="0" w:line="240" w:lineRule="auto"/>
              <w:ind w:firstLine="0" w:firstLineChars="0"/>
              <w:jc w:val="center"/>
              <w:rPr>
                <w:rFonts w:ascii="宋体" w:hAnsi="宋体" w:eastAsia="宋体" w:cs="宋体"/>
                <w:color w:val="auto"/>
                <w:kern w:val="0"/>
                <w:sz w:val="21"/>
                <w:szCs w:val="24"/>
              </w:rPr>
            </w:pPr>
            <w:r>
              <w:rPr>
                <w:rFonts w:hint="eastAsia" w:eastAsia="宋体" w:cs="宋体"/>
                <w:color w:val="auto"/>
                <w:kern w:val="0"/>
                <w:sz w:val="21"/>
                <w:szCs w:val="24"/>
              </w:rPr>
              <w:t>不属于上述项目</w:t>
            </w:r>
          </w:p>
        </w:tc>
        <w:tc>
          <w:tcPr>
            <w:tcW w:w="388" w:type="pct"/>
            <w:tcBorders>
              <w:top w:val="single" w:color="auto" w:sz="4" w:space="0"/>
              <w:left w:val="single" w:color="auto" w:sz="4" w:space="0"/>
              <w:bottom w:val="single" w:color="auto" w:sz="4" w:space="0"/>
              <w:right w:val="single" w:color="auto" w:sz="4" w:space="0"/>
            </w:tcBorders>
            <w:vAlign w:val="center"/>
          </w:tcPr>
          <w:p w14:paraId="0DEAF73A">
            <w:pPr>
              <w:adjustRightInd w:val="0"/>
              <w:snapToGrid w:val="0"/>
              <w:spacing w:beforeLines="0" w:afterLines="0" w:line="240" w:lineRule="auto"/>
              <w:ind w:firstLine="0" w:firstLineChars="0"/>
              <w:jc w:val="center"/>
              <w:rPr>
                <w:rFonts w:ascii="宋体" w:hAnsi="宋体" w:eastAsia="宋体" w:cs="宋体"/>
                <w:color w:val="auto"/>
                <w:kern w:val="0"/>
                <w:sz w:val="21"/>
                <w:szCs w:val="24"/>
              </w:rPr>
            </w:pPr>
            <w:r>
              <w:rPr>
                <w:rFonts w:hint="eastAsia" w:eastAsia="宋体" w:cs="宋体"/>
                <w:color w:val="auto"/>
                <w:kern w:val="0"/>
                <w:sz w:val="21"/>
                <w:szCs w:val="24"/>
              </w:rPr>
              <w:t>符合</w:t>
            </w:r>
          </w:p>
        </w:tc>
      </w:tr>
      <w:tr w14:paraId="5ED77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0" w:type="dxa"/>
            <w:bottom w:w="113" w:type="dxa"/>
            <w:right w:w="0" w:type="dxa"/>
          </w:tblCellMar>
        </w:tblPrEx>
        <w:trPr>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9A0EA74">
            <w:pPr>
              <w:widowControl/>
              <w:spacing w:beforeLines="0" w:afterLines="0" w:line="240" w:lineRule="auto"/>
              <w:ind w:firstLine="0" w:firstLineChars="0"/>
              <w:jc w:val="left"/>
              <w:rPr>
                <w:rFonts w:eastAsia="宋体" w:cs="宋体"/>
                <w:color w:val="auto"/>
                <w:kern w:val="0"/>
                <w:sz w:val="21"/>
                <w:szCs w:val="24"/>
              </w:rPr>
            </w:pPr>
          </w:p>
        </w:tc>
        <w:tc>
          <w:tcPr>
            <w:tcW w:w="548" w:type="pct"/>
            <w:vMerge w:val="restart"/>
            <w:tcBorders>
              <w:top w:val="single" w:color="auto" w:sz="4" w:space="0"/>
              <w:left w:val="single" w:color="auto" w:sz="4" w:space="0"/>
              <w:bottom w:val="single" w:color="auto" w:sz="4" w:space="0"/>
              <w:right w:val="single" w:color="auto" w:sz="4" w:space="0"/>
            </w:tcBorders>
            <w:vAlign w:val="center"/>
          </w:tcPr>
          <w:p w14:paraId="27F01ABF">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装备制造产业</w:t>
            </w:r>
          </w:p>
        </w:tc>
        <w:tc>
          <w:tcPr>
            <w:tcW w:w="2298" w:type="pct"/>
            <w:tcBorders>
              <w:top w:val="single" w:color="auto" w:sz="4" w:space="0"/>
              <w:left w:val="single" w:color="auto" w:sz="4" w:space="0"/>
              <w:bottom w:val="single" w:color="auto" w:sz="4" w:space="0"/>
              <w:right w:val="single" w:color="auto" w:sz="4" w:space="0"/>
            </w:tcBorders>
            <w:vAlign w:val="center"/>
          </w:tcPr>
          <w:p w14:paraId="1C8E6718">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《产业结构调整指导目录（</w:t>
            </w:r>
            <w:r>
              <w:rPr>
                <w:rFonts w:eastAsia="宋体" w:cs="宋体"/>
                <w:color w:val="auto"/>
                <w:kern w:val="0"/>
                <w:sz w:val="21"/>
                <w:szCs w:val="24"/>
              </w:rPr>
              <w:t>2019</w:t>
            </w:r>
            <w:r>
              <w:rPr>
                <w:rFonts w:hint="eastAsia" w:eastAsia="宋体" w:cs="宋体"/>
                <w:color w:val="auto"/>
                <w:kern w:val="0"/>
                <w:sz w:val="21"/>
                <w:szCs w:val="24"/>
              </w:rPr>
              <w:t>年本）》限制类</w:t>
            </w:r>
            <w:r>
              <w:rPr>
                <w:rFonts w:eastAsia="宋体" w:cs="宋体"/>
                <w:color w:val="auto"/>
                <w:kern w:val="0"/>
                <w:sz w:val="21"/>
                <w:szCs w:val="24"/>
              </w:rPr>
              <w:t>“</w:t>
            </w:r>
            <w:r>
              <w:rPr>
                <w:rFonts w:hint="eastAsia" w:eastAsia="宋体" w:cs="宋体"/>
                <w:color w:val="auto"/>
                <w:kern w:val="0"/>
                <w:sz w:val="21"/>
                <w:szCs w:val="24"/>
              </w:rPr>
              <w:t>十一、机械</w:t>
            </w:r>
            <w:r>
              <w:rPr>
                <w:rFonts w:eastAsia="宋体" w:cs="宋体"/>
                <w:color w:val="auto"/>
                <w:kern w:val="0"/>
                <w:sz w:val="21"/>
                <w:szCs w:val="24"/>
              </w:rPr>
              <w:t>”</w:t>
            </w:r>
            <w:r>
              <w:rPr>
                <w:rFonts w:hint="eastAsia" w:eastAsia="宋体" w:cs="宋体"/>
                <w:color w:val="auto"/>
                <w:kern w:val="0"/>
                <w:sz w:val="21"/>
                <w:szCs w:val="24"/>
              </w:rPr>
              <w:t>第</w:t>
            </w:r>
            <w:r>
              <w:rPr>
                <w:rFonts w:eastAsia="宋体" w:cs="宋体"/>
                <w:color w:val="auto"/>
                <w:kern w:val="0"/>
                <w:sz w:val="21"/>
                <w:szCs w:val="24"/>
              </w:rPr>
              <w:t>12</w:t>
            </w:r>
            <w:r>
              <w:rPr>
                <w:rFonts w:hint="eastAsia" w:eastAsia="宋体" w:cs="宋体"/>
                <w:color w:val="auto"/>
                <w:kern w:val="0"/>
                <w:sz w:val="21"/>
                <w:szCs w:val="24"/>
              </w:rPr>
              <w:t>、</w:t>
            </w:r>
            <w:r>
              <w:rPr>
                <w:rFonts w:eastAsia="宋体" w:cs="宋体"/>
                <w:color w:val="auto"/>
                <w:kern w:val="0"/>
                <w:sz w:val="21"/>
                <w:szCs w:val="24"/>
              </w:rPr>
              <w:t>16―19</w:t>
            </w:r>
            <w:r>
              <w:rPr>
                <w:rFonts w:hint="eastAsia" w:eastAsia="宋体" w:cs="宋体"/>
                <w:color w:val="auto"/>
                <w:kern w:val="0"/>
                <w:sz w:val="21"/>
                <w:szCs w:val="24"/>
              </w:rPr>
              <w:t>、</w:t>
            </w:r>
            <w:r>
              <w:rPr>
                <w:rFonts w:eastAsia="宋体" w:cs="宋体"/>
                <w:color w:val="auto"/>
                <w:kern w:val="0"/>
                <w:sz w:val="21"/>
                <w:szCs w:val="24"/>
              </w:rPr>
              <w:t>21―23</w:t>
            </w:r>
            <w:r>
              <w:rPr>
                <w:rFonts w:hint="eastAsia" w:eastAsia="宋体" w:cs="宋体"/>
                <w:color w:val="auto"/>
                <w:kern w:val="0"/>
                <w:sz w:val="21"/>
                <w:szCs w:val="24"/>
              </w:rPr>
              <w:t>、</w:t>
            </w:r>
            <w:r>
              <w:rPr>
                <w:rFonts w:eastAsia="宋体" w:cs="宋体"/>
                <w:color w:val="auto"/>
                <w:kern w:val="0"/>
                <w:sz w:val="21"/>
                <w:szCs w:val="24"/>
              </w:rPr>
              <w:t>28</w:t>
            </w:r>
            <w:r>
              <w:rPr>
                <w:rFonts w:hint="eastAsia" w:eastAsia="宋体" w:cs="宋体"/>
                <w:color w:val="auto"/>
                <w:kern w:val="0"/>
                <w:sz w:val="21"/>
                <w:szCs w:val="24"/>
              </w:rPr>
              <w:t>、</w:t>
            </w:r>
            <w:r>
              <w:rPr>
                <w:rFonts w:eastAsia="宋体" w:cs="宋体"/>
                <w:color w:val="auto"/>
                <w:kern w:val="0"/>
                <w:sz w:val="21"/>
                <w:szCs w:val="24"/>
              </w:rPr>
              <w:t>29</w:t>
            </w:r>
            <w:r>
              <w:rPr>
                <w:rFonts w:hint="eastAsia" w:eastAsia="宋体" w:cs="宋体"/>
                <w:color w:val="auto"/>
                <w:kern w:val="0"/>
                <w:sz w:val="21"/>
                <w:szCs w:val="24"/>
              </w:rPr>
              <w:t>、</w:t>
            </w:r>
            <w:r>
              <w:rPr>
                <w:rFonts w:eastAsia="宋体" w:cs="宋体"/>
                <w:color w:val="auto"/>
                <w:kern w:val="0"/>
                <w:sz w:val="21"/>
                <w:szCs w:val="24"/>
              </w:rPr>
              <w:t>31―33</w:t>
            </w:r>
            <w:r>
              <w:rPr>
                <w:rFonts w:hint="eastAsia" w:eastAsia="宋体" w:cs="宋体"/>
                <w:color w:val="auto"/>
                <w:kern w:val="0"/>
                <w:sz w:val="21"/>
                <w:szCs w:val="24"/>
              </w:rPr>
              <w:t>、</w:t>
            </w:r>
            <w:r>
              <w:rPr>
                <w:rFonts w:eastAsia="宋体" w:cs="宋体"/>
                <w:color w:val="auto"/>
                <w:kern w:val="0"/>
                <w:sz w:val="21"/>
                <w:szCs w:val="24"/>
              </w:rPr>
              <w:t>36</w:t>
            </w:r>
            <w:r>
              <w:rPr>
                <w:rFonts w:hint="eastAsia" w:eastAsia="宋体" w:cs="宋体"/>
                <w:color w:val="auto"/>
                <w:kern w:val="0"/>
                <w:sz w:val="21"/>
                <w:szCs w:val="24"/>
              </w:rPr>
              <w:t>、</w:t>
            </w:r>
            <w:r>
              <w:rPr>
                <w:rFonts w:eastAsia="宋体" w:cs="宋体"/>
                <w:color w:val="auto"/>
                <w:kern w:val="0"/>
                <w:sz w:val="21"/>
                <w:szCs w:val="24"/>
              </w:rPr>
              <w:t>37</w:t>
            </w:r>
            <w:r>
              <w:rPr>
                <w:rFonts w:hint="eastAsia" w:eastAsia="宋体" w:cs="宋体"/>
                <w:color w:val="auto"/>
                <w:kern w:val="0"/>
                <w:sz w:val="21"/>
                <w:szCs w:val="24"/>
              </w:rPr>
              <w:t>、</w:t>
            </w:r>
            <w:r>
              <w:rPr>
                <w:rFonts w:eastAsia="宋体" w:cs="宋体"/>
                <w:color w:val="auto"/>
                <w:kern w:val="0"/>
                <w:sz w:val="21"/>
                <w:szCs w:val="24"/>
              </w:rPr>
              <w:t>40―43</w:t>
            </w:r>
            <w:r>
              <w:rPr>
                <w:rFonts w:hint="eastAsia" w:eastAsia="宋体" w:cs="宋体"/>
                <w:color w:val="auto"/>
                <w:kern w:val="0"/>
                <w:sz w:val="21"/>
                <w:szCs w:val="24"/>
              </w:rPr>
              <w:t>、</w:t>
            </w:r>
            <w:r>
              <w:rPr>
                <w:rFonts w:eastAsia="宋体" w:cs="宋体"/>
                <w:color w:val="auto"/>
                <w:kern w:val="0"/>
                <w:sz w:val="21"/>
                <w:szCs w:val="24"/>
              </w:rPr>
              <w:t>47</w:t>
            </w:r>
            <w:r>
              <w:rPr>
                <w:rFonts w:hint="eastAsia" w:eastAsia="宋体" w:cs="宋体"/>
                <w:color w:val="auto"/>
                <w:kern w:val="0"/>
                <w:sz w:val="21"/>
                <w:szCs w:val="24"/>
              </w:rPr>
              <w:t>、</w:t>
            </w:r>
            <w:r>
              <w:rPr>
                <w:rFonts w:eastAsia="宋体" w:cs="宋体"/>
                <w:color w:val="auto"/>
                <w:kern w:val="0"/>
                <w:sz w:val="21"/>
                <w:szCs w:val="24"/>
              </w:rPr>
              <w:t>48</w:t>
            </w:r>
            <w:r>
              <w:rPr>
                <w:rFonts w:hint="eastAsia" w:eastAsia="宋体" w:cs="宋体"/>
                <w:color w:val="auto"/>
                <w:kern w:val="0"/>
                <w:sz w:val="21"/>
                <w:szCs w:val="24"/>
              </w:rPr>
              <w:t>项等通用设备制造。限制类</w:t>
            </w:r>
            <w:r>
              <w:rPr>
                <w:rFonts w:eastAsia="宋体" w:cs="宋体"/>
                <w:color w:val="auto"/>
                <w:kern w:val="0"/>
                <w:sz w:val="21"/>
                <w:szCs w:val="24"/>
              </w:rPr>
              <w:t>“</w:t>
            </w:r>
            <w:r>
              <w:rPr>
                <w:rFonts w:hint="eastAsia" w:eastAsia="宋体" w:cs="宋体"/>
                <w:color w:val="auto"/>
                <w:kern w:val="0"/>
                <w:sz w:val="21"/>
                <w:szCs w:val="24"/>
              </w:rPr>
              <w:t>十一、机械</w:t>
            </w:r>
            <w:r>
              <w:rPr>
                <w:rFonts w:eastAsia="宋体" w:cs="宋体"/>
                <w:color w:val="auto"/>
                <w:kern w:val="0"/>
                <w:sz w:val="21"/>
                <w:szCs w:val="24"/>
              </w:rPr>
              <w:t>”</w:t>
            </w:r>
            <w:r>
              <w:rPr>
                <w:rFonts w:hint="eastAsia" w:eastAsia="宋体" w:cs="宋体"/>
                <w:color w:val="auto"/>
                <w:kern w:val="0"/>
                <w:sz w:val="21"/>
                <w:szCs w:val="24"/>
              </w:rPr>
              <w:t>第</w:t>
            </w:r>
            <w:r>
              <w:rPr>
                <w:rFonts w:eastAsia="宋体" w:cs="宋体"/>
                <w:color w:val="auto"/>
                <w:kern w:val="0"/>
                <w:sz w:val="21"/>
                <w:szCs w:val="24"/>
              </w:rPr>
              <w:t>1―10</w:t>
            </w:r>
            <w:r>
              <w:rPr>
                <w:rFonts w:hint="eastAsia" w:eastAsia="宋体" w:cs="宋体"/>
                <w:color w:val="auto"/>
                <w:kern w:val="0"/>
                <w:sz w:val="21"/>
                <w:szCs w:val="24"/>
              </w:rPr>
              <w:t>、</w:t>
            </w:r>
            <w:r>
              <w:rPr>
                <w:rFonts w:eastAsia="宋体" w:cs="宋体"/>
                <w:color w:val="auto"/>
                <w:kern w:val="0"/>
                <w:sz w:val="21"/>
                <w:szCs w:val="24"/>
              </w:rPr>
              <w:t>13</w:t>
            </w:r>
            <w:r>
              <w:rPr>
                <w:rFonts w:hint="eastAsia" w:eastAsia="宋体" w:cs="宋体"/>
                <w:color w:val="auto"/>
                <w:kern w:val="0"/>
                <w:sz w:val="21"/>
                <w:szCs w:val="24"/>
              </w:rPr>
              <w:t>、</w:t>
            </w:r>
            <w:r>
              <w:rPr>
                <w:rFonts w:eastAsia="宋体" w:cs="宋体"/>
                <w:color w:val="auto"/>
                <w:kern w:val="0"/>
                <w:sz w:val="21"/>
                <w:szCs w:val="24"/>
              </w:rPr>
              <w:t>46</w:t>
            </w:r>
            <w:r>
              <w:rPr>
                <w:rFonts w:hint="eastAsia" w:eastAsia="宋体" w:cs="宋体"/>
                <w:color w:val="auto"/>
                <w:kern w:val="0"/>
                <w:sz w:val="21"/>
                <w:szCs w:val="24"/>
              </w:rPr>
              <w:t>、</w:t>
            </w:r>
            <w:r>
              <w:rPr>
                <w:rFonts w:eastAsia="宋体" w:cs="宋体"/>
                <w:color w:val="auto"/>
                <w:kern w:val="0"/>
                <w:sz w:val="21"/>
                <w:szCs w:val="24"/>
              </w:rPr>
              <w:t>51―55</w:t>
            </w:r>
            <w:r>
              <w:rPr>
                <w:rFonts w:hint="eastAsia" w:eastAsia="宋体" w:cs="宋体"/>
                <w:color w:val="auto"/>
                <w:kern w:val="0"/>
                <w:sz w:val="21"/>
                <w:szCs w:val="24"/>
              </w:rPr>
              <w:t>项及</w:t>
            </w:r>
            <w:r>
              <w:rPr>
                <w:rFonts w:eastAsia="宋体" w:cs="宋体"/>
                <w:color w:val="auto"/>
                <w:kern w:val="0"/>
                <w:sz w:val="21"/>
                <w:szCs w:val="24"/>
              </w:rPr>
              <w:t>“</w:t>
            </w:r>
            <w:r>
              <w:rPr>
                <w:rFonts w:hint="eastAsia" w:eastAsia="宋体" w:cs="宋体"/>
                <w:color w:val="auto"/>
                <w:kern w:val="0"/>
                <w:sz w:val="21"/>
                <w:szCs w:val="24"/>
              </w:rPr>
              <w:t>十五、消防</w:t>
            </w:r>
            <w:r>
              <w:rPr>
                <w:rFonts w:eastAsia="宋体" w:cs="宋体"/>
                <w:color w:val="auto"/>
                <w:kern w:val="0"/>
                <w:sz w:val="21"/>
                <w:szCs w:val="24"/>
              </w:rPr>
              <w:t>”</w:t>
            </w:r>
            <w:r>
              <w:rPr>
                <w:rFonts w:hint="eastAsia" w:eastAsia="宋体" w:cs="宋体"/>
                <w:color w:val="auto"/>
                <w:kern w:val="0"/>
                <w:sz w:val="21"/>
                <w:szCs w:val="24"/>
              </w:rPr>
              <w:t>第</w:t>
            </w:r>
            <w:r>
              <w:rPr>
                <w:rFonts w:eastAsia="宋体" w:cs="宋体"/>
                <w:color w:val="auto"/>
                <w:kern w:val="0"/>
                <w:sz w:val="21"/>
                <w:szCs w:val="24"/>
              </w:rPr>
              <w:t>1―8</w:t>
            </w:r>
            <w:r>
              <w:rPr>
                <w:rFonts w:hint="eastAsia" w:eastAsia="宋体" w:cs="宋体"/>
                <w:color w:val="auto"/>
                <w:kern w:val="0"/>
                <w:sz w:val="21"/>
                <w:szCs w:val="24"/>
              </w:rPr>
              <w:t>项等专用设备制造。限制类</w:t>
            </w:r>
            <w:r>
              <w:rPr>
                <w:rFonts w:eastAsia="宋体" w:cs="宋体"/>
                <w:color w:val="auto"/>
                <w:kern w:val="0"/>
                <w:sz w:val="21"/>
                <w:szCs w:val="24"/>
              </w:rPr>
              <w:t>“</w:t>
            </w:r>
            <w:r>
              <w:rPr>
                <w:rFonts w:hint="eastAsia" w:eastAsia="宋体" w:cs="宋体"/>
                <w:color w:val="auto"/>
                <w:kern w:val="0"/>
                <w:sz w:val="21"/>
                <w:szCs w:val="24"/>
              </w:rPr>
              <w:t>十一、机械</w:t>
            </w:r>
            <w:r>
              <w:rPr>
                <w:rFonts w:eastAsia="宋体" w:cs="宋体"/>
                <w:color w:val="auto"/>
                <w:kern w:val="0"/>
                <w:sz w:val="21"/>
                <w:szCs w:val="24"/>
              </w:rPr>
              <w:t>”</w:t>
            </w:r>
            <w:r>
              <w:rPr>
                <w:rFonts w:hint="eastAsia" w:eastAsia="宋体" w:cs="宋体"/>
                <w:color w:val="auto"/>
                <w:kern w:val="0"/>
                <w:sz w:val="21"/>
                <w:szCs w:val="24"/>
              </w:rPr>
              <w:t>第</w:t>
            </w:r>
            <w:r>
              <w:rPr>
                <w:rFonts w:eastAsia="宋体" w:cs="宋体"/>
                <w:color w:val="auto"/>
                <w:kern w:val="0"/>
                <w:sz w:val="21"/>
                <w:szCs w:val="24"/>
              </w:rPr>
              <w:t>14</w:t>
            </w:r>
            <w:r>
              <w:rPr>
                <w:rFonts w:hint="eastAsia" w:eastAsia="宋体" w:cs="宋体"/>
                <w:color w:val="auto"/>
                <w:kern w:val="0"/>
                <w:sz w:val="21"/>
                <w:szCs w:val="24"/>
              </w:rPr>
              <w:t>、</w:t>
            </w:r>
            <w:r>
              <w:rPr>
                <w:rFonts w:eastAsia="宋体" w:cs="宋体"/>
                <w:color w:val="auto"/>
                <w:kern w:val="0"/>
                <w:sz w:val="21"/>
                <w:szCs w:val="24"/>
              </w:rPr>
              <w:t>15</w:t>
            </w:r>
            <w:r>
              <w:rPr>
                <w:rFonts w:hint="eastAsia" w:eastAsia="宋体" w:cs="宋体"/>
                <w:color w:val="auto"/>
                <w:kern w:val="0"/>
                <w:sz w:val="21"/>
                <w:szCs w:val="24"/>
              </w:rPr>
              <w:t>、</w:t>
            </w:r>
            <w:r>
              <w:rPr>
                <w:rFonts w:eastAsia="宋体" w:cs="宋体"/>
                <w:color w:val="auto"/>
                <w:kern w:val="0"/>
                <w:sz w:val="21"/>
                <w:szCs w:val="24"/>
              </w:rPr>
              <w:t>24</w:t>
            </w:r>
            <w:r>
              <w:rPr>
                <w:rFonts w:hint="eastAsia" w:eastAsia="宋体" w:cs="宋体"/>
                <w:color w:val="auto"/>
                <w:kern w:val="0"/>
                <w:sz w:val="21"/>
                <w:szCs w:val="24"/>
              </w:rPr>
              <w:t>、</w:t>
            </w:r>
            <w:r>
              <w:rPr>
                <w:rFonts w:eastAsia="宋体" w:cs="宋体"/>
                <w:color w:val="auto"/>
                <w:kern w:val="0"/>
                <w:sz w:val="21"/>
                <w:szCs w:val="24"/>
              </w:rPr>
              <w:t>25</w:t>
            </w:r>
            <w:r>
              <w:rPr>
                <w:rFonts w:hint="eastAsia" w:eastAsia="宋体" w:cs="宋体"/>
                <w:color w:val="auto"/>
                <w:kern w:val="0"/>
                <w:sz w:val="21"/>
                <w:szCs w:val="24"/>
              </w:rPr>
              <w:t>、</w:t>
            </w:r>
            <w:r>
              <w:rPr>
                <w:rFonts w:eastAsia="宋体" w:cs="宋体"/>
                <w:color w:val="auto"/>
                <w:kern w:val="0"/>
                <w:sz w:val="21"/>
                <w:szCs w:val="24"/>
              </w:rPr>
              <w:t>44</w:t>
            </w:r>
            <w:r>
              <w:rPr>
                <w:rFonts w:hint="eastAsia" w:eastAsia="宋体" w:cs="宋体"/>
                <w:color w:val="auto"/>
                <w:kern w:val="0"/>
                <w:sz w:val="21"/>
                <w:szCs w:val="24"/>
              </w:rPr>
              <w:t>、</w:t>
            </w:r>
            <w:r>
              <w:rPr>
                <w:rFonts w:eastAsia="宋体" w:cs="宋体"/>
                <w:color w:val="auto"/>
                <w:kern w:val="0"/>
                <w:sz w:val="21"/>
                <w:szCs w:val="24"/>
              </w:rPr>
              <w:t>50</w:t>
            </w:r>
            <w:r>
              <w:rPr>
                <w:rFonts w:hint="eastAsia" w:eastAsia="宋体" w:cs="宋体"/>
                <w:color w:val="auto"/>
                <w:kern w:val="0"/>
                <w:sz w:val="21"/>
                <w:szCs w:val="24"/>
              </w:rPr>
              <w:t>项等电气机械和器材制造。</w:t>
            </w:r>
          </w:p>
        </w:tc>
        <w:tc>
          <w:tcPr>
            <w:tcW w:w="1456" w:type="pct"/>
            <w:tcBorders>
              <w:top w:val="single" w:color="auto" w:sz="4" w:space="0"/>
              <w:left w:val="single" w:color="auto" w:sz="4" w:space="0"/>
              <w:bottom w:val="single" w:color="auto" w:sz="4" w:space="0"/>
              <w:right w:val="single" w:color="auto" w:sz="4" w:space="0"/>
            </w:tcBorders>
            <w:vAlign w:val="center"/>
          </w:tcPr>
          <w:p w14:paraId="7A7CA6D3">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不属于上述项目</w:t>
            </w:r>
          </w:p>
        </w:tc>
        <w:tc>
          <w:tcPr>
            <w:tcW w:w="388" w:type="pct"/>
            <w:tcBorders>
              <w:top w:val="single" w:color="auto" w:sz="4" w:space="0"/>
              <w:left w:val="single" w:color="auto" w:sz="4" w:space="0"/>
              <w:bottom w:val="single" w:color="auto" w:sz="4" w:space="0"/>
              <w:right w:val="single" w:color="auto" w:sz="4" w:space="0"/>
            </w:tcBorders>
            <w:vAlign w:val="center"/>
          </w:tcPr>
          <w:p w14:paraId="442C0101">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符合</w:t>
            </w:r>
          </w:p>
        </w:tc>
      </w:tr>
      <w:tr w14:paraId="0A938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0" w:type="dxa"/>
            <w:bottom w:w="113" w:type="dxa"/>
            <w:right w:w="0" w:type="dxa"/>
          </w:tblCellMar>
        </w:tblPrEx>
        <w:trPr>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C50EC48">
            <w:pPr>
              <w:widowControl/>
              <w:spacing w:beforeLines="0" w:afterLines="0" w:line="240" w:lineRule="auto"/>
              <w:ind w:firstLine="0" w:firstLineChars="0"/>
              <w:jc w:val="left"/>
              <w:rPr>
                <w:rFonts w:eastAsia="宋体" w:cs="宋体"/>
                <w:color w:val="auto"/>
                <w:kern w:val="0"/>
                <w:sz w:val="21"/>
                <w:szCs w:val="24"/>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49B920C">
            <w:pPr>
              <w:widowControl/>
              <w:spacing w:beforeLines="0" w:afterLines="0" w:line="240" w:lineRule="auto"/>
              <w:ind w:firstLine="0" w:firstLineChars="0"/>
              <w:jc w:val="left"/>
              <w:rPr>
                <w:rFonts w:eastAsia="宋体" w:cs="宋体"/>
                <w:color w:val="auto"/>
                <w:kern w:val="0"/>
                <w:sz w:val="21"/>
                <w:szCs w:val="24"/>
              </w:rPr>
            </w:pPr>
          </w:p>
        </w:tc>
        <w:tc>
          <w:tcPr>
            <w:tcW w:w="2298" w:type="pct"/>
            <w:tcBorders>
              <w:top w:val="single" w:color="auto" w:sz="4" w:space="0"/>
              <w:left w:val="single" w:color="auto" w:sz="4" w:space="0"/>
              <w:bottom w:val="single" w:color="auto" w:sz="4" w:space="0"/>
              <w:right w:val="single" w:color="auto" w:sz="4" w:space="0"/>
            </w:tcBorders>
            <w:vAlign w:val="center"/>
          </w:tcPr>
          <w:p w14:paraId="6D8ECE7A">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单缸柴油机制造项目；出口船舶分段建造项目等</w:t>
            </w:r>
          </w:p>
        </w:tc>
        <w:tc>
          <w:tcPr>
            <w:tcW w:w="1456" w:type="pct"/>
            <w:tcBorders>
              <w:top w:val="single" w:color="auto" w:sz="4" w:space="0"/>
              <w:left w:val="single" w:color="auto" w:sz="4" w:space="0"/>
              <w:bottom w:val="single" w:color="auto" w:sz="4" w:space="0"/>
              <w:right w:val="single" w:color="auto" w:sz="4" w:space="0"/>
            </w:tcBorders>
            <w:vAlign w:val="center"/>
          </w:tcPr>
          <w:p w14:paraId="1CF14D87">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不属于上述项目</w:t>
            </w:r>
          </w:p>
        </w:tc>
        <w:tc>
          <w:tcPr>
            <w:tcW w:w="388" w:type="pct"/>
            <w:tcBorders>
              <w:top w:val="single" w:color="auto" w:sz="4" w:space="0"/>
              <w:left w:val="single" w:color="auto" w:sz="4" w:space="0"/>
              <w:bottom w:val="single" w:color="auto" w:sz="4" w:space="0"/>
              <w:right w:val="single" w:color="auto" w:sz="4" w:space="0"/>
            </w:tcBorders>
            <w:vAlign w:val="center"/>
          </w:tcPr>
          <w:p w14:paraId="6E2E7AE5">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符合</w:t>
            </w:r>
          </w:p>
        </w:tc>
      </w:tr>
      <w:tr w14:paraId="3862D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0" w:type="dxa"/>
            <w:bottom w:w="113" w:type="dxa"/>
            <w:right w:w="0" w:type="dxa"/>
          </w:tblCellMar>
        </w:tblPrEx>
        <w:trPr>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9CC68B5">
            <w:pPr>
              <w:widowControl/>
              <w:spacing w:beforeLines="0" w:afterLines="0" w:line="240" w:lineRule="auto"/>
              <w:ind w:firstLine="0" w:firstLineChars="0"/>
              <w:jc w:val="left"/>
              <w:rPr>
                <w:rFonts w:eastAsia="宋体" w:cs="宋体"/>
                <w:color w:val="auto"/>
                <w:kern w:val="0"/>
                <w:sz w:val="21"/>
                <w:szCs w:val="24"/>
              </w:rPr>
            </w:pPr>
          </w:p>
        </w:tc>
        <w:tc>
          <w:tcPr>
            <w:tcW w:w="548" w:type="pct"/>
            <w:tcBorders>
              <w:top w:val="single" w:color="auto" w:sz="4" w:space="0"/>
              <w:left w:val="single" w:color="auto" w:sz="4" w:space="0"/>
              <w:bottom w:val="single" w:color="auto" w:sz="4" w:space="0"/>
              <w:right w:val="single" w:color="auto" w:sz="4" w:space="0"/>
            </w:tcBorders>
            <w:vAlign w:val="center"/>
          </w:tcPr>
          <w:p w14:paraId="6F4CEBF9">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建材行业</w:t>
            </w:r>
          </w:p>
        </w:tc>
        <w:tc>
          <w:tcPr>
            <w:tcW w:w="2298" w:type="pct"/>
            <w:tcBorders>
              <w:top w:val="single" w:color="auto" w:sz="4" w:space="0"/>
              <w:left w:val="single" w:color="auto" w:sz="4" w:space="0"/>
              <w:bottom w:val="single" w:color="auto" w:sz="4" w:space="0"/>
              <w:right w:val="single" w:color="auto" w:sz="4" w:space="0"/>
            </w:tcBorders>
            <w:vAlign w:val="center"/>
          </w:tcPr>
          <w:p w14:paraId="7BAC7975">
            <w:pPr>
              <w:adjustRightInd w:val="0"/>
              <w:snapToGrid w:val="0"/>
              <w:spacing w:beforeLines="0" w:afterLines="0" w:line="240" w:lineRule="auto"/>
              <w:ind w:firstLine="0" w:firstLineChars="0"/>
              <w:jc w:val="center"/>
              <w:rPr>
                <w:rFonts w:eastAsia="宋体" w:cs="宋体"/>
                <w:color w:val="auto"/>
                <w:kern w:val="0"/>
                <w:sz w:val="21"/>
                <w:szCs w:val="24"/>
              </w:rPr>
            </w:pPr>
            <w:r>
              <w:rPr>
                <w:rFonts w:eastAsia="宋体" w:cs="宋体"/>
                <w:color w:val="auto"/>
                <w:kern w:val="0"/>
                <w:sz w:val="21"/>
                <w:szCs w:val="24"/>
              </w:rPr>
              <w:t>3000</w:t>
            </w:r>
            <w:r>
              <w:rPr>
                <w:rFonts w:hint="eastAsia" w:eastAsia="宋体" w:cs="宋体"/>
                <w:color w:val="auto"/>
                <w:kern w:val="0"/>
                <w:sz w:val="21"/>
                <w:szCs w:val="24"/>
              </w:rPr>
              <w:t>万平方米</w:t>
            </w:r>
            <w:r>
              <w:rPr>
                <w:rFonts w:eastAsia="宋体" w:cs="宋体"/>
                <w:color w:val="auto"/>
                <w:kern w:val="0"/>
                <w:sz w:val="21"/>
                <w:szCs w:val="24"/>
              </w:rPr>
              <w:t>/</w:t>
            </w:r>
            <w:r>
              <w:rPr>
                <w:rFonts w:hint="eastAsia" w:eastAsia="宋体" w:cs="宋体"/>
                <w:color w:val="auto"/>
                <w:kern w:val="0"/>
                <w:sz w:val="21"/>
                <w:szCs w:val="24"/>
              </w:rPr>
              <w:t>年以下的纸面石膏板生产线；</w:t>
            </w:r>
            <w:r>
              <w:rPr>
                <w:rFonts w:eastAsia="宋体" w:cs="宋体"/>
                <w:color w:val="auto"/>
                <w:kern w:val="0"/>
                <w:sz w:val="21"/>
                <w:szCs w:val="24"/>
              </w:rPr>
              <w:t>5</w:t>
            </w:r>
            <w:r>
              <w:rPr>
                <w:rFonts w:hint="eastAsia" w:eastAsia="宋体" w:cs="宋体"/>
                <w:color w:val="auto"/>
                <w:kern w:val="0"/>
                <w:sz w:val="21"/>
                <w:szCs w:val="24"/>
              </w:rPr>
              <w:t>万平方米</w:t>
            </w:r>
            <w:r>
              <w:rPr>
                <w:rFonts w:eastAsia="宋体" w:cs="宋体"/>
                <w:color w:val="auto"/>
                <w:kern w:val="0"/>
                <w:sz w:val="21"/>
                <w:szCs w:val="24"/>
              </w:rPr>
              <w:t>/</w:t>
            </w:r>
            <w:r>
              <w:rPr>
                <w:rFonts w:hint="eastAsia" w:eastAsia="宋体" w:cs="宋体"/>
                <w:color w:val="auto"/>
                <w:kern w:val="0"/>
                <w:sz w:val="21"/>
                <w:szCs w:val="24"/>
              </w:rPr>
              <w:t>年以下的石膏（空心）砌块生产线、单班</w:t>
            </w:r>
            <w:r>
              <w:rPr>
                <w:rFonts w:eastAsia="宋体" w:cs="宋体"/>
                <w:color w:val="auto"/>
                <w:kern w:val="0"/>
                <w:sz w:val="21"/>
                <w:szCs w:val="24"/>
              </w:rPr>
              <w:t>2.5</w:t>
            </w:r>
            <w:r>
              <w:rPr>
                <w:rFonts w:hint="eastAsia" w:eastAsia="宋体" w:cs="宋体"/>
                <w:color w:val="auto"/>
                <w:kern w:val="0"/>
                <w:sz w:val="21"/>
                <w:szCs w:val="24"/>
              </w:rPr>
              <w:t>万立方米</w:t>
            </w:r>
            <w:r>
              <w:rPr>
                <w:rFonts w:eastAsia="宋体" w:cs="宋体"/>
                <w:color w:val="auto"/>
                <w:kern w:val="0"/>
                <w:sz w:val="21"/>
                <w:szCs w:val="24"/>
              </w:rPr>
              <w:t>/</w:t>
            </w:r>
            <w:r>
              <w:rPr>
                <w:rFonts w:hint="eastAsia" w:eastAsia="宋体" w:cs="宋体"/>
                <w:color w:val="auto"/>
                <w:kern w:val="0"/>
                <w:sz w:val="21"/>
                <w:szCs w:val="24"/>
              </w:rPr>
              <w:t>年以下的混凝土小型空心砌块以及单班</w:t>
            </w:r>
            <w:r>
              <w:rPr>
                <w:rFonts w:eastAsia="宋体" w:cs="宋体"/>
                <w:color w:val="auto"/>
                <w:kern w:val="0"/>
                <w:sz w:val="21"/>
                <w:szCs w:val="24"/>
              </w:rPr>
              <w:t>15</w:t>
            </w:r>
            <w:r>
              <w:rPr>
                <w:rFonts w:hint="eastAsia" w:eastAsia="宋体" w:cs="宋体"/>
                <w:color w:val="auto"/>
                <w:kern w:val="0"/>
                <w:sz w:val="21"/>
                <w:szCs w:val="24"/>
              </w:rPr>
              <w:t>万平方米</w:t>
            </w:r>
            <w:r>
              <w:rPr>
                <w:rFonts w:eastAsia="宋体" w:cs="宋体"/>
                <w:color w:val="auto"/>
                <w:kern w:val="0"/>
                <w:sz w:val="21"/>
                <w:szCs w:val="24"/>
              </w:rPr>
              <w:t>/</w:t>
            </w:r>
            <w:r>
              <w:rPr>
                <w:rFonts w:hint="eastAsia" w:eastAsia="宋体" w:cs="宋体"/>
                <w:color w:val="auto"/>
                <w:kern w:val="0"/>
                <w:sz w:val="21"/>
                <w:szCs w:val="24"/>
              </w:rPr>
              <w:t>年以下的混凝土铺地砖固定式生产线、</w:t>
            </w:r>
            <w:r>
              <w:rPr>
                <w:rFonts w:eastAsia="宋体" w:cs="宋体"/>
                <w:color w:val="auto"/>
                <w:kern w:val="0"/>
                <w:sz w:val="21"/>
                <w:szCs w:val="24"/>
              </w:rPr>
              <w:t>5</w:t>
            </w:r>
            <w:r>
              <w:rPr>
                <w:rFonts w:hint="eastAsia" w:eastAsia="宋体" w:cs="宋体"/>
                <w:color w:val="auto"/>
                <w:kern w:val="0"/>
                <w:sz w:val="21"/>
                <w:szCs w:val="24"/>
              </w:rPr>
              <w:t>万立方米</w:t>
            </w:r>
            <w:r>
              <w:rPr>
                <w:rFonts w:eastAsia="宋体" w:cs="宋体"/>
                <w:color w:val="auto"/>
                <w:kern w:val="0"/>
                <w:sz w:val="21"/>
                <w:szCs w:val="24"/>
              </w:rPr>
              <w:t>/</w:t>
            </w:r>
            <w:r>
              <w:rPr>
                <w:rFonts w:hint="eastAsia" w:eastAsia="宋体" w:cs="宋体"/>
                <w:color w:val="auto"/>
                <w:kern w:val="0"/>
                <w:sz w:val="21"/>
                <w:szCs w:val="24"/>
              </w:rPr>
              <w:t>年以下的人造轻集料（陶粒）生产线、</w:t>
            </w:r>
            <w:r>
              <w:rPr>
                <w:rFonts w:eastAsia="宋体" w:cs="宋体"/>
                <w:color w:val="auto"/>
                <w:kern w:val="0"/>
                <w:sz w:val="21"/>
                <w:szCs w:val="24"/>
              </w:rPr>
              <w:t>10</w:t>
            </w:r>
            <w:r>
              <w:rPr>
                <w:rFonts w:hint="eastAsia" w:eastAsia="宋体" w:cs="宋体"/>
                <w:color w:val="auto"/>
                <w:kern w:val="0"/>
                <w:sz w:val="21"/>
                <w:szCs w:val="24"/>
              </w:rPr>
              <w:t>万立方米</w:t>
            </w:r>
            <w:r>
              <w:rPr>
                <w:rFonts w:eastAsia="宋体" w:cs="宋体"/>
                <w:color w:val="auto"/>
                <w:kern w:val="0"/>
                <w:sz w:val="21"/>
                <w:szCs w:val="24"/>
              </w:rPr>
              <w:t>/</w:t>
            </w:r>
            <w:r>
              <w:rPr>
                <w:rFonts w:hint="eastAsia" w:eastAsia="宋体" w:cs="宋体"/>
                <w:color w:val="auto"/>
                <w:kern w:val="0"/>
                <w:sz w:val="21"/>
                <w:szCs w:val="24"/>
              </w:rPr>
              <w:t>年以下的加气混凝土生产线等。</w:t>
            </w:r>
          </w:p>
        </w:tc>
        <w:tc>
          <w:tcPr>
            <w:tcW w:w="1456" w:type="pct"/>
            <w:tcBorders>
              <w:top w:val="single" w:color="auto" w:sz="4" w:space="0"/>
              <w:left w:val="single" w:color="auto" w:sz="4" w:space="0"/>
              <w:bottom w:val="single" w:color="auto" w:sz="4" w:space="0"/>
              <w:right w:val="single" w:color="auto" w:sz="4" w:space="0"/>
            </w:tcBorders>
            <w:vAlign w:val="center"/>
          </w:tcPr>
          <w:p w14:paraId="0A7E73DD">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不属于上述项目</w:t>
            </w:r>
          </w:p>
        </w:tc>
        <w:tc>
          <w:tcPr>
            <w:tcW w:w="388" w:type="pct"/>
            <w:tcBorders>
              <w:top w:val="single" w:color="auto" w:sz="4" w:space="0"/>
              <w:left w:val="single" w:color="auto" w:sz="4" w:space="0"/>
              <w:bottom w:val="single" w:color="auto" w:sz="4" w:space="0"/>
              <w:right w:val="single" w:color="auto" w:sz="4" w:space="0"/>
            </w:tcBorders>
            <w:vAlign w:val="center"/>
          </w:tcPr>
          <w:p w14:paraId="1162C566">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符合</w:t>
            </w:r>
          </w:p>
        </w:tc>
      </w:tr>
    </w:tbl>
    <w:p w14:paraId="00D1289E">
      <w:pPr>
        <w:adjustRightInd w:val="0"/>
        <w:snapToGrid w:val="0"/>
        <w:spacing w:beforeLines="0" w:afterLines="0" w:line="480" w:lineRule="exact"/>
        <w:ind w:firstLine="480"/>
        <w:rPr>
          <w:rFonts w:eastAsia="宋体" w:cs="Times New Roman"/>
          <w:color w:val="auto"/>
          <w:kern w:val="0"/>
          <w:szCs w:val="20"/>
        </w:rPr>
      </w:pPr>
      <w:r>
        <w:rPr>
          <w:rFonts w:hint="eastAsia" w:eastAsia="宋体" w:cs="Times New Roman"/>
          <w:color w:val="auto"/>
        </w:rPr>
        <w:t>综上，拟建项目符合</w:t>
      </w:r>
      <w:r>
        <w:rPr>
          <w:rFonts w:eastAsia="宋体" w:cs="Times New Roman"/>
          <w:color w:val="auto"/>
        </w:rPr>
        <w:t>“</w:t>
      </w:r>
      <w:r>
        <w:rPr>
          <w:rFonts w:hint="eastAsia" w:eastAsia="宋体" w:cs="Times New Roman"/>
          <w:color w:val="auto"/>
        </w:rPr>
        <w:t>生态保护红线、环境质量底线、资源利用</w:t>
      </w:r>
      <w:r>
        <w:rPr>
          <w:rFonts w:hint="eastAsia" w:cs="Times New Roman"/>
          <w:color w:val="auto"/>
          <w:lang w:eastAsia="zh-CN"/>
        </w:rPr>
        <w:t>上限</w:t>
      </w:r>
      <w:r>
        <w:rPr>
          <w:rFonts w:hint="eastAsia" w:eastAsia="宋体" w:cs="Times New Roman"/>
          <w:color w:val="auto"/>
        </w:rPr>
        <w:t>和环境准入负面清单</w:t>
      </w:r>
      <w:r>
        <w:rPr>
          <w:rFonts w:eastAsia="宋体" w:cs="Times New Roman"/>
          <w:color w:val="auto"/>
        </w:rPr>
        <w:t>”</w:t>
      </w:r>
      <w:r>
        <w:rPr>
          <w:rFonts w:hint="eastAsia" w:eastAsia="宋体" w:cs="Times New Roman"/>
          <w:color w:val="auto"/>
        </w:rPr>
        <w:t>等要求。</w:t>
      </w:r>
    </w:p>
    <w:p w14:paraId="117EAA0D">
      <w:pPr>
        <w:spacing w:beforeLines="0" w:afterLines="0" w:line="480" w:lineRule="exact"/>
        <w:ind w:firstLine="480"/>
        <w:rPr>
          <w:rFonts w:eastAsia="宋体" w:cs="Times New Roman"/>
          <w:color w:val="auto"/>
        </w:rPr>
      </w:pPr>
      <w:r>
        <w:rPr>
          <w:rFonts w:hint="eastAsia" w:eastAsia="宋体" w:cs="Times New Roman"/>
          <w:color w:val="auto"/>
        </w:rPr>
        <w:t>④生态环境准入负面清单</w:t>
      </w:r>
    </w:p>
    <w:p w14:paraId="6F29DA2E">
      <w:pPr>
        <w:spacing w:beforeLines="0" w:afterLines="0" w:line="480" w:lineRule="exact"/>
        <w:ind w:firstLine="480"/>
        <w:rPr>
          <w:rFonts w:eastAsia="宋体" w:cs="Times New Roman"/>
          <w:color w:val="auto"/>
        </w:rPr>
      </w:pPr>
      <w:r>
        <w:rPr>
          <w:rFonts w:hint="eastAsia" w:cs="Times New Roman"/>
          <w:color w:val="auto"/>
          <w:lang w:eastAsia="zh-CN"/>
        </w:rPr>
        <w:t>与园区规划环评审查意见函的符合性分析见</w:t>
      </w:r>
      <w:r>
        <w:rPr>
          <w:rFonts w:hint="eastAsia" w:eastAsia="宋体" w:cs="Times New Roman"/>
          <w:color w:val="auto"/>
        </w:rPr>
        <w:t>表</w:t>
      </w:r>
      <w:r>
        <w:rPr>
          <w:rFonts w:eastAsia="宋体" w:cs="Times New Roman"/>
          <w:color w:val="auto"/>
        </w:rPr>
        <w:t>2.</w:t>
      </w:r>
      <w:r>
        <w:rPr>
          <w:rFonts w:hint="eastAsia" w:cs="Times New Roman"/>
          <w:color w:val="auto"/>
          <w:lang w:val="en-US" w:eastAsia="zh-CN"/>
        </w:rPr>
        <w:t>9-3</w:t>
      </w:r>
      <w:r>
        <w:rPr>
          <w:rFonts w:hint="eastAsia" w:eastAsia="宋体" w:cs="Times New Roman"/>
          <w:color w:val="auto"/>
        </w:rPr>
        <w:t>。</w:t>
      </w:r>
    </w:p>
    <w:p w14:paraId="21335EE8">
      <w:pPr>
        <w:pStyle w:val="22"/>
        <w:rPr>
          <w:rFonts w:hint="eastAsia"/>
          <w:color w:val="auto"/>
        </w:rPr>
      </w:pPr>
      <w:r>
        <w:rPr>
          <w:rFonts w:hint="default" w:ascii="Times New Roman" w:hAnsi="Times New Roman" w:cs="Times New Roman"/>
          <w:color w:val="auto"/>
        </w:rPr>
        <w:t>表</w:t>
      </w:r>
      <w:r>
        <w:rPr>
          <w:rFonts w:hint="default" w:ascii="Times New Roman" w:hAnsi="Times New Roman" w:cs="Times New Roman"/>
          <w:color w:val="auto"/>
          <w:lang w:eastAsia="zh-CN"/>
        </w:rPr>
        <w:t>2.9</w:t>
      </w:r>
      <w:r>
        <w:rPr>
          <w:rFonts w:hint="default" w:ascii="Times New Roman" w:hAnsi="Times New Roman" w:cs="Times New Roman"/>
          <w:color w:val="auto"/>
        </w:rPr>
        <w:t>-</w:t>
      </w:r>
      <w:r>
        <w:rPr>
          <w:rFonts w:hint="default" w:ascii="Times New Roman" w:hAnsi="Times New Roman" w:cs="Times New Roman"/>
          <w:color w:val="auto"/>
          <w:lang w:val="en-US" w:eastAsia="zh-CN"/>
        </w:rPr>
        <w:t>3</w:t>
      </w:r>
      <w:r>
        <w:rPr>
          <w:rFonts w:hint="default" w:ascii="Times New Roman" w:hAnsi="Times New Roman" w:cs="Times New Roman"/>
          <w:color w:val="auto"/>
        </w:rPr>
        <w:t xml:space="preserve"> </w:t>
      </w:r>
      <w:r>
        <w:rPr>
          <w:rFonts w:hint="default" w:ascii="Times New Roman" w:hAnsi="Times New Roman" w:cs="Times New Roman"/>
          <w:color w:val="auto"/>
          <w:lang w:val="en-US"/>
        </w:rPr>
        <w:t xml:space="preserve">  </w:t>
      </w:r>
      <w:r>
        <w:rPr>
          <w:rFonts w:hint="default" w:ascii="Times New Roman" w:hAnsi="Times New Roman" w:cs="Times New Roman"/>
          <w:color w:val="auto"/>
        </w:rPr>
        <w:t>与规划环评</w:t>
      </w:r>
      <w:r>
        <w:rPr>
          <w:rFonts w:hint="eastAsia"/>
          <w:color w:val="auto"/>
        </w:rPr>
        <w:t>审查意见（</w:t>
      </w:r>
      <w:r>
        <w:rPr>
          <w:rFonts w:hint="eastAsia"/>
          <w:color w:val="auto"/>
          <w:lang w:eastAsia="zh-CN"/>
        </w:rPr>
        <w:t>渝环函〔2020〕559号</w:t>
      </w:r>
      <w:r>
        <w:rPr>
          <w:rFonts w:hint="eastAsia"/>
          <w:color w:val="auto"/>
        </w:rPr>
        <w:t>）的符合性</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4125"/>
        <w:gridCol w:w="3341"/>
        <w:gridCol w:w="1009"/>
      </w:tblGrid>
      <w:tr w14:paraId="374F3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437" w:type="pct"/>
            <w:tcBorders>
              <w:top w:val="single" w:color="auto" w:sz="4" w:space="0"/>
              <w:left w:val="single" w:color="auto" w:sz="4" w:space="0"/>
              <w:bottom w:val="single" w:color="auto" w:sz="4" w:space="0"/>
              <w:right w:val="single" w:color="auto" w:sz="4" w:space="0"/>
            </w:tcBorders>
            <w:vAlign w:val="center"/>
          </w:tcPr>
          <w:p w14:paraId="3A28292E">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分类</w:t>
            </w:r>
          </w:p>
        </w:tc>
        <w:tc>
          <w:tcPr>
            <w:tcW w:w="2220" w:type="pct"/>
            <w:tcBorders>
              <w:top w:val="single" w:color="auto" w:sz="4" w:space="0"/>
              <w:left w:val="single" w:color="auto" w:sz="4" w:space="0"/>
              <w:bottom w:val="single" w:color="auto" w:sz="4" w:space="0"/>
              <w:right w:val="single" w:color="auto" w:sz="4" w:space="0"/>
            </w:tcBorders>
            <w:vAlign w:val="center"/>
          </w:tcPr>
          <w:p w14:paraId="1ED4555E">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渝环函〔2020〕</w:t>
            </w:r>
            <w:r>
              <w:rPr>
                <w:rFonts w:eastAsia="宋体" w:cs="宋体"/>
                <w:color w:val="auto"/>
                <w:kern w:val="0"/>
                <w:sz w:val="21"/>
                <w:szCs w:val="24"/>
              </w:rPr>
              <w:t>559</w:t>
            </w:r>
            <w:r>
              <w:rPr>
                <w:rFonts w:hint="eastAsia" w:eastAsia="宋体" w:cs="宋体"/>
                <w:color w:val="auto"/>
                <w:kern w:val="0"/>
                <w:sz w:val="21"/>
                <w:szCs w:val="24"/>
              </w:rPr>
              <w:t>号</w:t>
            </w:r>
          </w:p>
        </w:tc>
        <w:tc>
          <w:tcPr>
            <w:tcW w:w="1798" w:type="pct"/>
            <w:tcBorders>
              <w:top w:val="single" w:color="auto" w:sz="4" w:space="0"/>
              <w:left w:val="single" w:color="auto" w:sz="4" w:space="0"/>
              <w:bottom w:val="single" w:color="auto" w:sz="4" w:space="0"/>
              <w:right w:val="single" w:color="auto" w:sz="4" w:space="0"/>
            </w:tcBorders>
            <w:vAlign w:val="center"/>
          </w:tcPr>
          <w:p w14:paraId="066551FA">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拟建项目情况</w:t>
            </w:r>
          </w:p>
        </w:tc>
        <w:tc>
          <w:tcPr>
            <w:tcW w:w="543" w:type="pct"/>
            <w:tcBorders>
              <w:top w:val="single" w:color="auto" w:sz="4" w:space="0"/>
              <w:left w:val="single" w:color="auto" w:sz="4" w:space="0"/>
              <w:bottom w:val="single" w:color="auto" w:sz="4" w:space="0"/>
              <w:right w:val="single" w:color="auto" w:sz="4" w:space="0"/>
            </w:tcBorders>
            <w:vAlign w:val="center"/>
          </w:tcPr>
          <w:p w14:paraId="06079A5E">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符合性</w:t>
            </w:r>
          </w:p>
        </w:tc>
      </w:tr>
      <w:tr w14:paraId="21CDC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tcBorders>
              <w:top w:val="single" w:color="auto" w:sz="4" w:space="0"/>
              <w:left w:val="single" w:color="auto" w:sz="4" w:space="0"/>
              <w:bottom w:val="single" w:color="auto" w:sz="4" w:space="0"/>
              <w:right w:val="single" w:color="auto" w:sz="4" w:space="0"/>
            </w:tcBorders>
            <w:vAlign w:val="center"/>
          </w:tcPr>
          <w:p w14:paraId="06735762">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严格执行生态环境准入清单</w:t>
            </w:r>
          </w:p>
        </w:tc>
        <w:tc>
          <w:tcPr>
            <w:tcW w:w="2220" w:type="pct"/>
            <w:tcBorders>
              <w:top w:val="single" w:color="auto" w:sz="4" w:space="0"/>
              <w:left w:val="single" w:color="auto" w:sz="4" w:space="0"/>
              <w:bottom w:val="single" w:color="auto" w:sz="4" w:space="0"/>
              <w:right w:val="single" w:color="auto" w:sz="4" w:space="0"/>
            </w:tcBorders>
            <w:vAlign w:val="center"/>
          </w:tcPr>
          <w:p w14:paraId="3E4A857D">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规划区应按照“三线一单”管理要求，以生态保护红线、资源利用上线、环境质量底线为约束，严格建设项目环境准入，入驻工业企业应满足《重庆市工业项目环境准入规定</w:t>
            </w:r>
            <w:r>
              <w:rPr>
                <w:rFonts w:hint="eastAsia" w:cs="宋体"/>
                <w:color w:val="auto"/>
                <w:kern w:val="0"/>
                <w:sz w:val="21"/>
                <w:szCs w:val="24"/>
                <w:lang w:eastAsia="zh-CN"/>
              </w:rPr>
              <w:t>（</w:t>
            </w:r>
            <w:r>
              <w:rPr>
                <w:rFonts w:hint="eastAsia" w:eastAsia="宋体" w:cs="宋体"/>
                <w:color w:val="auto"/>
                <w:kern w:val="0"/>
                <w:sz w:val="21"/>
                <w:szCs w:val="24"/>
              </w:rPr>
              <w:t>修订</w:t>
            </w:r>
            <w:r>
              <w:rPr>
                <w:rFonts w:hint="eastAsia" w:cs="宋体"/>
                <w:color w:val="auto"/>
                <w:kern w:val="0"/>
                <w:sz w:val="21"/>
                <w:szCs w:val="24"/>
                <w:lang w:eastAsia="zh-CN"/>
              </w:rPr>
              <w:t>）</w:t>
            </w:r>
            <w:r>
              <w:rPr>
                <w:rFonts w:hint="eastAsia" w:eastAsia="宋体" w:cs="宋体"/>
                <w:color w:val="auto"/>
                <w:kern w:val="0"/>
                <w:sz w:val="21"/>
                <w:szCs w:val="24"/>
              </w:rPr>
              <w:t>》以及报告书确定的生态环境准入清单要求。</w:t>
            </w:r>
          </w:p>
        </w:tc>
        <w:tc>
          <w:tcPr>
            <w:tcW w:w="1798" w:type="pct"/>
            <w:tcBorders>
              <w:top w:val="single" w:color="auto" w:sz="4" w:space="0"/>
              <w:left w:val="single" w:color="auto" w:sz="4" w:space="0"/>
              <w:bottom w:val="single" w:color="auto" w:sz="4" w:space="0"/>
              <w:right w:val="single" w:color="auto" w:sz="4" w:space="0"/>
            </w:tcBorders>
            <w:vAlign w:val="center"/>
          </w:tcPr>
          <w:p w14:paraId="4FC9D437">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项目满足“三线一单”、规划环评生态环境准入清单要求</w:t>
            </w:r>
          </w:p>
        </w:tc>
        <w:tc>
          <w:tcPr>
            <w:tcW w:w="543" w:type="pct"/>
            <w:tcBorders>
              <w:top w:val="single" w:color="auto" w:sz="4" w:space="0"/>
              <w:left w:val="single" w:color="auto" w:sz="4" w:space="0"/>
              <w:bottom w:val="single" w:color="auto" w:sz="4" w:space="0"/>
              <w:right w:val="single" w:color="auto" w:sz="4" w:space="0"/>
            </w:tcBorders>
            <w:vAlign w:val="center"/>
          </w:tcPr>
          <w:p w14:paraId="782B668D">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符合</w:t>
            </w:r>
          </w:p>
        </w:tc>
      </w:tr>
      <w:tr w14:paraId="63978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tcBorders>
              <w:top w:val="single" w:color="auto" w:sz="4" w:space="0"/>
              <w:left w:val="single" w:color="auto" w:sz="4" w:space="0"/>
              <w:bottom w:val="single" w:color="auto" w:sz="4" w:space="0"/>
              <w:right w:val="single" w:color="auto" w:sz="4" w:space="0"/>
            </w:tcBorders>
            <w:vAlign w:val="center"/>
          </w:tcPr>
          <w:p w14:paraId="778A6B81">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强化生态环境空间管控</w:t>
            </w:r>
          </w:p>
        </w:tc>
        <w:tc>
          <w:tcPr>
            <w:tcW w:w="2220" w:type="pct"/>
            <w:tcBorders>
              <w:top w:val="single" w:color="auto" w:sz="4" w:space="0"/>
              <w:left w:val="single" w:color="auto" w:sz="4" w:space="0"/>
              <w:bottom w:val="single" w:color="auto" w:sz="4" w:space="0"/>
              <w:right w:val="single" w:color="auto" w:sz="4" w:space="0"/>
            </w:tcBorders>
            <w:vAlign w:val="center"/>
          </w:tcPr>
          <w:p w14:paraId="50745CC1">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规划区不涉及生态保护红线。入园企业应通过选址或调整布局严格控制环境防护距离包络线在园区规划范围内，不得超出园区边界。增加园区整体与周边生态环境的景观协调管理，优化调整生产设施与自然环境的协调性，使设施建设与周边景观特别是临江景观保持协调。</w:t>
            </w:r>
          </w:p>
          <w:p w14:paraId="26B4CCF8">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规划区后续建设的工业企业或项目环境防护距离原则上应控制在规划边界或用地红线内。规划区在长江干流不新设排污口，长江河道保护线外侧尚未建设的城镇建设用地按要求设置绿化缓冲带。噪声产生大的新建造船项目应布局于远离场镇及居住区的区域，各个片区工业用地与规划区居住用地之间设置绿化隔离带因</w:t>
            </w:r>
            <w:r>
              <w:rPr>
                <w:rFonts w:eastAsia="宋体" w:cs="宋体"/>
                <w:color w:val="auto"/>
                <w:kern w:val="0"/>
                <w:sz w:val="21"/>
                <w:szCs w:val="24"/>
              </w:rPr>
              <w:t xml:space="preserve"> D</w:t>
            </w:r>
            <w:r>
              <w:rPr>
                <w:rFonts w:hint="eastAsia" w:eastAsia="宋体" w:cs="宋体"/>
                <w:color w:val="auto"/>
                <w:kern w:val="0"/>
                <w:sz w:val="21"/>
                <w:szCs w:val="24"/>
              </w:rPr>
              <w:t>、</w:t>
            </w:r>
            <w:r>
              <w:rPr>
                <w:rFonts w:eastAsia="宋体" w:cs="宋体"/>
                <w:color w:val="auto"/>
                <w:kern w:val="0"/>
                <w:sz w:val="21"/>
                <w:szCs w:val="24"/>
              </w:rPr>
              <w:t>E</w:t>
            </w:r>
            <w:r>
              <w:rPr>
                <w:rFonts w:hint="eastAsia" w:eastAsia="宋体" w:cs="宋体"/>
                <w:color w:val="auto"/>
                <w:kern w:val="0"/>
                <w:sz w:val="21"/>
                <w:szCs w:val="24"/>
              </w:rPr>
              <w:t>片区邻近长江且废水依托乌杨镇城镇污水处理厂处理建议该片区不引入排放一类污染物及环境风险影响大的企业。</w:t>
            </w:r>
          </w:p>
        </w:tc>
        <w:tc>
          <w:tcPr>
            <w:tcW w:w="1798" w:type="pct"/>
            <w:tcBorders>
              <w:top w:val="single" w:color="auto" w:sz="4" w:space="0"/>
              <w:left w:val="single" w:color="auto" w:sz="4" w:space="0"/>
              <w:bottom w:val="single" w:color="auto" w:sz="4" w:space="0"/>
              <w:right w:val="single" w:color="auto" w:sz="4" w:space="0"/>
            </w:tcBorders>
            <w:shd w:val="clear" w:color="auto" w:fill="auto"/>
            <w:vAlign w:val="center"/>
          </w:tcPr>
          <w:p w14:paraId="1813C26A">
            <w:pPr>
              <w:adjustRightInd w:val="0"/>
              <w:snapToGrid w:val="0"/>
              <w:spacing w:beforeLines="0" w:afterLines="0" w:line="240" w:lineRule="auto"/>
              <w:ind w:firstLine="0" w:firstLineChars="0"/>
              <w:jc w:val="center"/>
              <w:rPr>
                <w:rFonts w:hint="eastAsia" w:cs="宋体"/>
                <w:color w:val="auto"/>
                <w:kern w:val="0"/>
                <w:sz w:val="21"/>
                <w:szCs w:val="24"/>
                <w:lang w:eastAsia="zh-CN"/>
              </w:rPr>
            </w:pPr>
            <w:r>
              <w:rPr>
                <w:rFonts w:hint="eastAsia" w:eastAsia="宋体" w:cs="宋体"/>
                <w:color w:val="auto"/>
                <w:kern w:val="0"/>
                <w:sz w:val="21"/>
                <w:szCs w:val="24"/>
              </w:rPr>
              <w:t>项目为</w:t>
            </w:r>
            <w:r>
              <w:rPr>
                <w:rFonts w:hint="eastAsia" w:cs="宋体"/>
                <w:color w:val="auto"/>
                <w:kern w:val="0"/>
                <w:sz w:val="21"/>
                <w:szCs w:val="24"/>
                <w:lang w:eastAsia="zh-CN"/>
              </w:rPr>
              <w:t>工业废水集中处理项目，不需要设置</w:t>
            </w:r>
            <w:r>
              <w:rPr>
                <w:rFonts w:hint="eastAsia" w:eastAsia="宋体" w:cs="宋体"/>
                <w:color w:val="auto"/>
                <w:kern w:val="0"/>
                <w:sz w:val="21"/>
                <w:szCs w:val="24"/>
              </w:rPr>
              <w:t>环境防护距离</w:t>
            </w:r>
            <w:r>
              <w:rPr>
                <w:rFonts w:hint="eastAsia" w:cs="宋体"/>
                <w:color w:val="auto"/>
                <w:kern w:val="0"/>
                <w:sz w:val="21"/>
                <w:szCs w:val="24"/>
                <w:lang w:eastAsia="zh-CN"/>
              </w:rPr>
              <w:t>。</w:t>
            </w:r>
          </w:p>
          <w:p w14:paraId="34FC1E1E">
            <w:pPr>
              <w:adjustRightInd w:val="0"/>
              <w:snapToGrid w:val="0"/>
              <w:spacing w:beforeLines="0" w:afterLines="0" w:line="240" w:lineRule="auto"/>
              <w:ind w:firstLine="0" w:firstLineChars="0"/>
              <w:jc w:val="center"/>
              <w:rPr>
                <w:rFonts w:hint="eastAsia" w:cs="宋体"/>
                <w:color w:val="auto"/>
                <w:kern w:val="0"/>
                <w:sz w:val="21"/>
                <w:szCs w:val="24"/>
                <w:lang w:eastAsia="zh-CN"/>
              </w:rPr>
            </w:pPr>
            <w:r>
              <w:rPr>
                <w:rFonts w:hint="eastAsia" w:cs="宋体"/>
                <w:color w:val="auto"/>
                <w:kern w:val="0"/>
                <w:sz w:val="21"/>
                <w:szCs w:val="24"/>
                <w:lang w:eastAsia="zh-CN"/>
              </w:rPr>
              <w:t>拟建项目废水处理《页岩气开采水污染物排放标准》（DB50/1806-2025）间接排放标准限值后直接接入乌杨组团园区污水处理厂进行深度处理达《城镇污水处理厂污染物排放标准》（GB18918-2002）一级 A 标准后排入长江。</w:t>
            </w:r>
          </w:p>
          <w:p w14:paraId="73C8B8AC">
            <w:pPr>
              <w:adjustRightInd w:val="0"/>
              <w:snapToGrid w:val="0"/>
              <w:spacing w:beforeLines="0" w:afterLines="0" w:line="240" w:lineRule="auto"/>
              <w:ind w:firstLine="0" w:firstLineChars="0"/>
              <w:jc w:val="center"/>
              <w:rPr>
                <w:rFonts w:hint="eastAsia" w:cs="宋体"/>
                <w:color w:val="auto"/>
                <w:kern w:val="0"/>
                <w:sz w:val="21"/>
                <w:szCs w:val="24"/>
                <w:lang w:val="en-US" w:eastAsia="zh-CN"/>
              </w:rPr>
            </w:pPr>
          </w:p>
        </w:tc>
        <w:tc>
          <w:tcPr>
            <w:tcW w:w="543" w:type="pct"/>
            <w:tcBorders>
              <w:top w:val="single" w:color="auto" w:sz="4" w:space="0"/>
              <w:left w:val="single" w:color="auto" w:sz="4" w:space="0"/>
              <w:bottom w:val="single" w:color="auto" w:sz="4" w:space="0"/>
              <w:right w:val="single" w:color="auto" w:sz="4" w:space="0"/>
            </w:tcBorders>
            <w:vAlign w:val="center"/>
          </w:tcPr>
          <w:p w14:paraId="2D84BBF3">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符合</w:t>
            </w:r>
          </w:p>
        </w:tc>
      </w:tr>
      <w:tr w14:paraId="7C118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tcBorders>
              <w:top w:val="single" w:color="auto" w:sz="4" w:space="0"/>
              <w:left w:val="single" w:color="auto" w:sz="4" w:space="0"/>
              <w:bottom w:val="single" w:color="auto" w:sz="4" w:space="0"/>
              <w:right w:val="single" w:color="auto" w:sz="4" w:space="0"/>
            </w:tcBorders>
            <w:vAlign w:val="center"/>
          </w:tcPr>
          <w:p w14:paraId="4C296503">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加强大气污染防治</w:t>
            </w:r>
          </w:p>
        </w:tc>
        <w:tc>
          <w:tcPr>
            <w:tcW w:w="2220" w:type="pct"/>
            <w:tcBorders>
              <w:top w:val="single" w:color="auto" w:sz="4" w:space="0"/>
              <w:left w:val="single" w:color="auto" w:sz="4" w:space="0"/>
              <w:bottom w:val="single" w:color="auto" w:sz="4" w:space="0"/>
              <w:right w:val="single" w:color="auto" w:sz="4" w:space="0"/>
            </w:tcBorders>
            <w:vAlign w:val="center"/>
          </w:tcPr>
          <w:p w14:paraId="5843E408">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严格遵守生态环境法律法规，鼓励引入低能耗、低污染工业项目；涉及挥发性有机污染物排放的项目应严格落实高效收集和处理措施。加强环境管理，各入驻企业采取有效的防治措施，确保达大气污染物排放相关标准</w:t>
            </w:r>
          </w:p>
        </w:tc>
        <w:tc>
          <w:tcPr>
            <w:tcW w:w="1798" w:type="pct"/>
            <w:tcBorders>
              <w:top w:val="single" w:color="auto" w:sz="4" w:space="0"/>
              <w:left w:val="single" w:color="auto" w:sz="4" w:space="0"/>
              <w:bottom w:val="single" w:color="auto" w:sz="4" w:space="0"/>
              <w:right w:val="single" w:color="auto" w:sz="4" w:space="0"/>
            </w:tcBorders>
            <w:shd w:val="clear" w:color="auto" w:fill="auto"/>
            <w:vAlign w:val="center"/>
          </w:tcPr>
          <w:p w14:paraId="6DC269F0">
            <w:pPr>
              <w:adjustRightInd w:val="0"/>
              <w:snapToGrid w:val="0"/>
              <w:spacing w:beforeLines="0" w:afterLines="0" w:line="240" w:lineRule="auto"/>
              <w:ind w:firstLine="0" w:firstLineChars="0"/>
              <w:jc w:val="center"/>
              <w:rPr>
                <w:rFonts w:hint="eastAsia" w:ascii="Times New Roman" w:hAnsi="Times New Roman" w:eastAsia="宋体" w:cs="宋体"/>
                <w:color w:val="auto"/>
                <w:kern w:val="0"/>
                <w:sz w:val="21"/>
                <w:szCs w:val="24"/>
                <w:lang w:val="en-US" w:eastAsia="zh-CN" w:bidi="ar-SA"/>
              </w:rPr>
            </w:pPr>
            <w:r>
              <w:rPr>
                <w:rFonts w:hint="eastAsia" w:eastAsia="宋体" w:cs="宋体"/>
                <w:color w:val="auto"/>
                <w:kern w:val="0"/>
                <w:sz w:val="21"/>
                <w:szCs w:val="24"/>
              </w:rPr>
              <w:t>项目为</w:t>
            </w:r>
            <w:r>
              <w:rPr>
                <w:rFonts w:hint="eastAsia" w:cs="宋体"/>
                <w:color w:val="auto"/>
                <w:kern w:val="0"/>
                <w:sz w:val="21"/>
                <w:szCs w:val="24"/>
                <w:lang w:eastAsia="zh-CN"/>
              </w:rPr>
              <w:t>工业废水集中处理项目</w:t>
            </w:r>
            <w:r>
              <w:rPr>
                <w:rFonts w:hint="eastAsia" w:eastAsia="宋体" w:cs="宋体"/>
                <w:color w:val="auto"/>
                <w:kern w:val="0"/>
                <w:sz w:val="21"/>
                <w:szCs w:val="24"/>
              </w:rPr>
              <w:t>，</w:t>
            </w:r>
            <w:r>
              <w:rPr>
                <w:rFonts w:hint="eastAsia" w:cs="宋体"/>
                <w:color w:val="auto"/>
                <w:kern w:val="0"/>
                <w:sz w:val="21"/>
                <w:szCs w:val="24"/>
                <w:lang w:eastAsia="zh-CN"/>
              </w:rPr>
              <w:t>页岩气开采废水在贮存及处理过程中有少量的氨、硫化氢和非甲烷总烃等</w:t>
            </w:r>
            <w:r>
              <w:rPr>
                <w:rFonts w:hint="eastAsia"/>
                <w:color w:val="auto"/>
                <w:sz w:val="21"/>
                <w:szCs w:val="21"/>
              </w:rPr>
              <w:t>经1套“碱喷淋+除湿+活性炭吸附”处置达标后排放</w:t>
            </w:r>
            <w:r>
              <w:rPr>
                <w:rFonts w:hint="eastAsia" w:cs="宋体"/>
                <w:color w:val="auto"/>
                <w:kern w:val="0"/>
                <w:sz w:val="21"/>
                <w:szCs w:val="24"/>
                <w:lang w:eastAsia="zh-CN"/>
              </w:rPr>
              <w:t>。</w:t>
            </w:r>
          </w:p>
        </w:tc>
        <w:tc>
          <w:tcPr>
            <w:tcW w:w="543" w:type="pct"/>
            <w:tcBorders>
              <w:top w:val="single" w:color="auto" w:sz="4" w:space="0"/>
              <w:left w:val="single" w:color="auto" w:sz="4" w:space="0"/>
              <w:bottom w:val="single" w:color="auto" w:sz="4" w:space="0"/>
              <w:right w:val="single" w:color="auto" w:sz="4" w:space="0"/>
            </w:tcBorders>
            <w:vAlign w:val="center"/>
          </w:tcPr>
          <w:p w14:paraId="2568C56D">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符合</w:t>
            </w:r>
          </w:p>
        </w:tc>
      </w:tr>
      <w:tr w14:paraId="115E3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tcBorders>
              <w:top w:val="single" w:color="auto" w:sz="4" w:space="0"/>
              <w:left w:val="single" w:color="auto" w:sz="4" w:space="0"/>
              <w:bottom w:val="single" w:color="auto" w:sz="4" w:space="0"/>
              <w:right w:val="single" w:color="auto" w:sz="4" w:space="0"/>
            </w:tcBorders>
            <w:vAlign w:val="center"/>
          </w:tcPr>
          <w:p w14:paraId="2026CA62">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加强水环境保护</w:t>
            </w:r>
          </w:p>
        </w:tc>
        <w:tc>
          <w:tcPr>
            <w:tcW w:w="2220" w:type="pct"/>
            <w:tcBorders>
              <w:top w:val="single" w:color="auto" w:sz="4" w:space="0"/>
              <w:left w:val="single" w:color="auto" w:sz="4" w:space="0"/>
              <w:bottom w:val="single" w:color="auto" w:sz="4" w:space="0"/>
              <w:right w:val="single" w:color="auto" w:sz="4" w:space="0"/>
            </w:tcBorders>
            <w:vAlign w:val="center"/>
          </w:tcPr>
          <w:p w14:paraId="575C80AB">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规划区</w:t>
            </w:r>
            <w:r>
              <w:rPr>
                <w:rFonts w:eastAsia="宋体" w:cs="宋体"/>
                <w:color w:val="auto"/>
                <w:kern w:val="0"/>
                <w:sz w:val="21"/>
                <w:szCs w:val="24"/>
              </w:rPr>
              <w:t xml:space="preserve"> A</w:t>
            </w:r>
            <w:r>
              <w:rPr>
                <w:rFonts w:hint="eastAsia" w:eastAsia="宋体" w:cs="宋体"/>
                <w:color w:val="auto"/>
                <w:kern w:val="0"/>
                <w:sz w:val="21"/>
                <w:szCs w:val="24"/>
              </w:rPr>
              <w:t>、</w:t>
            </w:r>
            <w:r>
              <w:rPr>
                <w:rFonts w:eastAsia="宋体" w:cs="宋体"/>
                <w:color w:val="auto"/>
                <w:kern w:val="0"/>
                <w:sz w:val="21"/>
                <w:szCs w:val="24"/>
              </w:rPr>
              <w:t>B</w:t>
            </w:r>
            <w:r>
              <w:rPr>
                <w:rFonts w:hint="eastAsia" w:eastAsia="宋体" w:cs="宋体"/>
                <w:color w:val="auto"/>
                <w:kern w:val="0"/>
                <w:sz w:val="21"/>
                <w:szCs w:val="24"/>
              </w:rPr>
              <w:t>、</w:t>
            </w:r>
            <w:r>
              <w:rPr>
                <w:rFonts w:eastAsia="宋体" w:cs="宋体"/>
                <w:color w:val="auto"/>
                <w:kern w:val="0"/>
                <w:sz w:val="21"/>
                <w:szCs w:val="24"/>
              </w:rPr>
              <w:t>C</w:t>
            </w:r>
            <w:r>
              <w:rPr>
                <w:rFonts w:hint="eastAsia" w:eastAsia="宋体" w:cs="宋体"/>
                <w:color w:val="auto"/>
                <w:kern w:val="0"/>
                <w:sz w:val="21"/>
                <w:szCs w:val="24"/>
              </w:rPr>
              <w:t>片区废水经处理达《污水综合排放标准》</w:t>
            </w:r>
            <w:r>
              <w:rPr>
                <w:rFonts w:hint="eastAsia" w:cs="宋体"/>
                <w:color w:val="auto"/>
                <w:kern w:val="0"/>
                <w:sz w:val="21"/>
                <w:szCs w:val="24"/>
                <w:lang w:eastAsia="zh-CN"/>
              </w:rPr>
              <w:t>（</w:t>
            </w:r>
            <w:r>
              <w:rPr>
                <w:rFonts w:eastAsia="宋体" w:cs="宋体"/>
                <w:color w:val="auto"/>
                <w:kern w:val="0"/>
                <w:sz w:val="21"/>
                <w:szCs w:val="24"/>
              </w:rPr>
              <w:t>GB8978--1996</w:t>
            </w:r>
            <w:r>
              <w:rPr>
                <w:rFonts w:hint="eastAsia" w:cs="宋体"/>
                <w:color w:val="auto"/>
                <w:kern w:val="0"/>
                <w:sz w:val="21"/>
                <w:szCs w:val="24"/>
                <w:lang w:eastAsia="zh-CN"/>
              </w:rPr>
              <w:t>）</w:t>
            </w:r>
            <w:r>
              <w:rPr>
                <w:rFonts w:hint="eastAsia" w:eastAsia="宋体" w:cs="宋体"/>
                <w:color w:val="auto"/>
                <w:kern w:val="0"/>
                <w:sz w:val="21"/>
                <w:szCs w:val="24"/>
              </w:rPr>
              <w:t>三级标准后排入园区污水处理厂</w:t>
            </w:r>
            <w:r>
              <w:rPr>
                <w:rFonts w:hint="eastAsia" w:cs="宋体"/>
                <w:color w:val="auto"/>
                <w:kern w:val="0"/>
                <w:sz w:val="21"/>
                <w:szCs w:val="24"/>
                <w:lang w:eastAsia="zh-CN"/>
              </w:rPr>
              <w:t>（</w:t>
            </w:r>
            <w:r>
              <w:rPr>
                <w:rFonts w:hint="eastAsia" w:eastAsia="宋体" w:cs="宋体"/>
                <w:color w:val="auto"/>
                <w:kern w:val="0"/>
                <w:sz w:val="21"/>
                <w:szCs w:val="24"/>
              </w:rPr>
              <w:t>入驻企业涉及行业排放标准要求的按行业标准执行</w:t>
            </w:r>
            <w:r>
              <w:rPr>
                <w:rFonts w:eastAsia="宋体" w:cs="宋体"/>
                <w:color w:val="auto"/>
                <w:kern w:val="0"/>
                <w:sz w:val="21"/>
                <w:szCs w:val="24"/>
              </w:rPr>
              <w:t xml:space="preserve"> </w:t>
            </w:r>
            <w:r>
              <w:rPr>
                <w:rFonts w:hint="eastAsia" w:cs="宋体"/>
                <w:color w:val="auto"/>
                <w:kern w:val="0"/>
                <w:sz w:val="21"/>
                <w:szCs w:val="24"/>
                <w:lang w:eastAsia="zh-CN"/>
              </w:rPr>
              <w:t>）</w:t>
            </w:r>
            <w:r>
              <w:rPr>
                <w:rFonts w:eastAsia="宋体" w:cs="宋体"/>
                <w:color w:val="auto"/>
                <w:kern w:val="0"/>
                <w:sz w:val="21"/>
                <w:szCs w:val="24"/>
              </w:rPr>
              <w:t>,</w:t>
            </w:r>
            <w:r>
              <w:rPr>
                <w:rFonts w:hint="eastAsia" w:eastAsia="宋体" w:cs="宋体"/>
                <w:color w:val="auto"/>
                <w:kern w:val="0"/>
                <w:sz w:val="21"/>
                <w:szCs w:val="24"/>
              </w:rPr>
              <w:t>其中特征污染物及第一类污染物达到相应行业标准方可排入园区污水处理厂进一步处理，处理后达《污水综合排放标准》</w:t>
            </w:r>
            <w:r>
              <w:rPr>
                <w:rFonts w:hint="eastAsia" w:cs="宋体"/>
                <w:color w:val="auto"/>
                <w:kern w:val="0"/>
                <w:sz w:val="21"/>
                <w:szCs w:val="24"/>
                <w:lang w:eastAsia="zh-CN"/>
              </w:rPr>
              <w:t>（</w:t>
            </w:r>
            <w:r>
              <w:rPr>
                <w:rFonts w:eastAsia="宋体" w:cs="宋体"/>
                <w:color w:val="auto"/>
                <w:kern w:val="0"/>
                <w:sz w:val="21"/>
                <w:szCs w:val="24"/>
              </w:rPr>
              <w:t>GB8978--1996</w:t>
            </w:r>
            <w:r>
              <w:rPr>
                <w:rFonts w:hint="eastAsia" w:cs="宋体"/>
                <w:color w:val="auto"/>
                <w:kern w:val="0"/>
                <w:sz w:val="21"/>
                <w:szCs w:val="24"/>
                <w:lang w:eastAsia="zh-CN"/>
              </w:rPr>
              <w:t>）</w:t>
            </w:r>
            <w:r>
              <w:rPr>
                <w:rFonts w:hint="eastAsia" w:eastAsia="宋体" w:cs="宋体"/>
                <w:color w:val="auto"/>
                <w:kern w:val="0"/>
                <w:sz w:val="21"/>
                <w:szCs w:val="24"/>
              </w:rPr>
              <w:t>一级标准后排入长江</w:t>
            </w:r>
            <w:r>
              <w:rPr>
                <w:rFonts w:hint="eastAsia" w:cs="宋体"/>
                <w:color w:val="auto"/>
                <w:kern w:val="0"/>
                <w:sz w:val="21"/>
                <w:szCs w:val="24"/>
                <w:lang w:eastAsia="zh-CN"/>
              </w:rPr>
              <w:t>（</w:t>
            </w:r>
            <w:r>
              <w:rPr>
                <w:rFonts w:hint="eastAsia" w:eastAsia="宋体" w:cs="宋体"/>
                <w:color w:val="auto"/>
                <w:kern w:val="0"/>
                <w:sz w:val="21"/>
                <w:szCs w:val="24"/>
              </w:rPr>
              <w:t>其中</w:t>
            </w:r>
            <w:r>
              <w:rPr>
                <w:rFonts w:eastAsia="宋体" w:cs="宋体"/>
                <w:color w:val="auto"/>
                <w:kern w:val="0"/>
                <w:sz w:val="21"/>
                <w:szCs w:val="24"/>
              </w:rPr>
              <w:t>COD</w:t>
            </w:r>
            <w:r>
              <w:rPr>
                <w:rFonts w:hint="eastAsia" w:eastAsia="宋体" w:cs="宋体"/>
                <w:color w:val="auto"/>
                <w:kern w:val="0"/>
                <w:sz w:val="21"/>
                <w:szCs w:val="24"/>
              </w:rPr>
              <w:t>、</w:t>
            </w:r>
            <w:r>
              <w:rPr>
                <w:rFonts w:eastAsia="宋体" w:cs="宋体"/>
                <w:color w:val="auto"/>
                <w:kern w:val="0"/>
                <w:sz w:val="21"/>
                <w:szCs w:val="24"/>
              </w:rPr>
              <w:t xml:space="preserve">SS </w:t>
            </w:r>
            <w:r>
              <w:rPr>
                <w:rFonts w:hint="eastAsia" w:eastAsia="宋体" w:cs="宋体"/>
                <w:color w:val="auto"/>
                <w:kern w:val="0"/>
                <w:sz w:val="21"/>
                <w:szCs w:val="24"/>
              </w:rPr>
              <w:t>污染物排放标准分别按</w:t>
            </w:r>
            <w:r>
              <w:rPr>
                <w:rFonts w:eastAsia="宋体" w:cs="宋体"/>
                <w:color w:val="auto"/>
                <w:kern w:val="0"/>
                <w:sz w:val="21"/>
                <w:szCs w:val="24"/>
              </w:rPr>
              <w:t xml:space="preserve"> 60mg/L</w:t>
            </w:r>
            <w:r>
              <w:rPr>
                <w:rFonts w:hint="eastAsia" w:eastAsia="宋体" w:cs="宋体"/>
                <w:color w:val="auto"/>
                <w:kern w:val="0"/>
                <w:sz w:val="21"/>
                <w:szCs w:val="24"/>
              </w:rPr>
              <w:t>、</w:t>
            </w:r>
            <w:r>
              <w:rPr>
                <w:rFonts w:eastAsia="宋体" w:cs="宋体"/>
                <w:color w:val="auto"/>
                <w:kern w:val="0"/>
                <w:sz w:val="21"/>
                <w:szCs w:val="24"/>
              </w:rPr>
              <w:t xml:space="preserve">20mg/L </w:t>
            </w:r>
            <w:r>
              <w:rPr>
                <w:rFonts w:hint="eastAsia" w:eastAsia="宋体" w:cs="宋体"/>
                <w:color w:val="auto"/>
                <w:kern w:val="0"/>
                <w:sz w:val="21"/>
                <w:szCs w:val="24"/>
              </w:rPr>
              <w:t>执行</w:t>
            </w:r>
            <w:r>
              <w:rPr>
                <w:rFonts w:eastAsia="宋体" w:cs="宋体"/>
                <w:color w:val="auto"/>
                <w:kern w:val="0"/>
                <w:sz w:val="21"/>
                <w:szCs w:val="24"/>
              </w:rPr>
              <w:t xml:space="preserve"> </w:t>
            </w:r>
            <w:r>
              <w:rPr>
                <w:rFonts w:hint="eastAsia" w:cs="宋体"/>
                <w:color w:val="auto"/>
                <w:kern w:val="0"/>
                <w:sz w:val="21"/>
                <w:szCs w:val="24"/>
                <w:lang w:eastAsia="zh-CN"/>
              </w:rPr>
              <w:t>）</w:t>
            </w:r>
            <w:r>
              <w:rPr>
                <w:rFonts w:hint="eastAsia" w:eastAsia="宋体" w:cs="宋体"/>
                <w:color w:val="auto"/>
                <w:kern w:val="0"/>
                <w:sz w:val="21"/>
                <w:szCs w:val="24"/>
              </w:rPr>
              <w:t>。</w:t>
            </w:r>
            <w:r>
              <w:rPr>
                <w:rFonts w:eastAsia="宋体" w:cs="宋体"/>
                <w:color w:val="auto"/>
                <w:kern w:val="0"/>
                <w:sz w:val="21"/>
                <w:szCs w:val="24"/>
              </w:rPr>
              <w:t>DE</w:t>
            </w:r>
            <w:r>
              <w:rPr>
                <w:rFonts w:hint="eastAsia" w:eastAsia="宋体" w:cs="宋体"/>
                <w:color w:val="auto"/>
                <w:kern w:val="0"/>
                <w:sz w:val="21"/>
                <w:szCs w:val="24"/>
              </w:rPr>
              <w:t>片区废水经处理达《污水综合排放标准》</w:t>
            </w:r>
            <w:r>
              <w:rPr>
                <w:rFonts w:eastAsia="宋体" w:cs="宋体"/>
                <w:color w:val="auto"/>
                <w:kern w:val="0"/>
                <w:sz w:val="21"/>
                <w:szCs w:val="24"/>
              </w:rPr>
              <w:t xml:space="preserve"> GB8978--1996</w:t>
            </w:r>
            <w:r>
              <w:rPr>
                <w:rFonts w:hint="eastAsia" w:cs="宋体"/>
                <w:color w:val="auto"/>
                <w:kern w:val="0"/>
                <w:sz w:val="21"/>
                <w:szCs w:val="24"/>
                <w:lang w:eastAsia="zh-CN"/>
              </w:rPr>
              <w:t>）</w:t>
            </w:r>
            <w:r>
              <w:rPr>
                <w:rFonts w:hint="eastAsia" w:eastAsia="宋体" w:cs="宋体"/>
                <w:color w:val="auto"/>
                <w:kern w:val="0"/>
                <w:sz w:val="21"/>
                <w:szCs w:val="24"/>
              </w:rPr>
              <w:t>三级标准后接入乌杨镇城镇污水处理厂，处理后达《城镇污水处理厂污染物排放标准》</w:t>
            </w:r>
            <w:r>
              <w:rPr>
                <w:rFonts w:hint="eastAsia" w:cs="宋体"/>
                <w:color w:val="auto"/>
                <w:kern w:val="0"/>
                <w:sz w:val="21"/>
                <w:szCs w:val="24"/>
                <w:lang w:eastAsia="zh-CN"/>
              </w:rPr>
              <w:t>（</w:t>
            </w:r>
            <w:r>
              <w:rPr>
                <w:rFonts w:eastAsia="宋体" w:cs="宋体"/>
                <w:color w:val="auto"/>
                <w:kern w:val="0"/>
                <w:sz w:val="21"/>
                <w:szCs w:val="24"/>
              </w:rPr>
              <w:t>GB18918-2002</w:t>
            </w:r>
            <w:r>
              <w:rPr>
                <w:rFonts w:hint="eastAsia" w:cs="宋体"/>
                <w:color w:val="auto"/>
                <w:kern w:val="0"/>
                <w:sz w:val="21"/>
                <w:szCs w:val="24"/>
                <w:lang w:eastAsia="zh-CN"/>
              </w:rPr>
              <w:t>）</w:t>
            </w:r>
            <w:r>
              <w:rPr>
                <w:rFonts w:hint="eastAsia" w:eastAsia="宋体" w:cs="宋体"/>
                <w:color w:val="auto"/>
                <w:kern w:val="0"/>
                <w:sz w:val="21"/>
                <w:szCs w:val="24"/>
              </w:rPr>
              <w:t>一级</w:t>
            </w:r>
            <w:r>
              <w:rPr>
                <w:rFonts w:eastAsia="宋体" w:cs="宋体"/>
                <w:color w:val="auto"/>
                <w:kern w:val="0"/>
                <w:sz w:val="21"/>
                <w:szCs w:val="24"/>
              </w:rPr>
              <w:t xml:space="preserve"> B</w:t>
            </w:r>
            <w:r>
              <w:rPr>
                <w:rFonts w:hint="eastAsia" w:eastAsia="宋体" w:cs="宋体"/>
                <w:color w:val="auto"/>
                <w:kern w:val="0"/>
                <w:sz w:val="21"/>
                <w:szCs w:val="24"/>
              </w:rPr>
              <w:t>标准后排入长江。园区污水处理厂和乌杨城镇</w:t>
            </w:r>
            <w:r>
              <w:rPr>
                <w:rFonts w:hint="eastAsia" w:cs="宋体"/>
                <w:color w:val="auto"/>
                <w:kern w:val="0"/>
                <w:sz w:val="21"/>
                <w:szCs w:val="24"/>
                <w:lang w:eastAsia="zh-CN"/>
              </w:rPr>
              <w:t>污水处理厂</w:t>
            </w:r>
            <w:r>
              <w:rPr>
                <w:rFonts w:hint="eastAsia" w:eastAsia="宋体" w:cs="宋体"/>
                <w:color w:val="auto"/>
                <w:kern w:val="0"/>
                <w:sz w:val="21"/>
                <w:szCs w:val="24"/>
              </w:rPr>
              <w:t>处理均应适时提标改造至《城镇污水处理厂污染物排放标准》</w:t>
            </w:r>
            <w:r>
              <w:rPr>
                <w:rFonts w:eastAsia="宋体" w:cs="宋体"/>
                <w:color w:val="auto"/>
                <w:kern w:val="0"/>
                <w:sz w:val="21"/>
                <w:szCs w:val="24"/>
              </w:rPr>
              <w:t>GB18918-2002</w:t>
            </w:r>
            <w:r>
              <w:rPr>
                <w:rFonts w:hint="eastAsia" w:cs="宋体"/>
                <w:color w:val="auto"/>
                <w:kern w:val="0"/>
                <w:sz w:val="21"/>
                <w:szCs w:val="24"/>
                <w:lang w:eastAsia="zh-CN"/>
              </w:rPr>
              <w:t>）</w:t>
            </w:r>
            <w:r>
              <w:rPr>
                <w:rFonts w:hint="eastAsia" w:eastAsia="宋体" w:cs="宋体"/>
                <w:color w:val="auto"/>
                <w:kern w:val="0"/>
                <w:sz w:val="21"/>
                <w:szCs w:val="24"/>
              </w:rPr>
              <w:t>一级</w:t>
            </w:r>
            <w:r>
              <w:rPr>
                <w:rFonts w:eastAsia="宋体" w:cs="宋体"/>
                <w:color w:val="auto"/>
                <w:kern w:val="0"/>
                <w:sz w:val="21"/>
                <w:szCs w:val="24"/>
              </w:rPr>
              <w:t xml:space="preserve"> A </w:t>
            </w:r>
            <w:r>
              <w:rPr>
                <w:rFonts w:hint="eastAsia" w:eastAsia="宋体" w:cs="宋体"/>
                <w:color w:val="auto"/>
                <w:kern w:val="0"/>
                <w:sz w:val="21"/>
                <w:szCs w:val="24"/>
              </w:rPr>
              <w:t>标。根据园区开发强度和废水排放量增长情况，适时实施污水处理厂扩建工程，以满足园区后续规划废水处理的需要。</w:t>
            </w:r>
          </w:p>
        </w:tc>
        <w:tc>
          <w:tcPr>
            <w:tcW w:w="1798" w:type="pct"/>
            <w:tcBorders>
              <w:top w:val="single" w:color="auto" w:sz="4" w:space="0"/>
              <w:left w:val="single" w:color="auto" w:sz="4" w:space="0"/>
              <w:bottom w:val="single" w:color="auto" w:sz="4" w:space="0"/>
              <w:right w:val="single" w:color="auto" w:sz="4" w:space="0"/>
            </w:tcBorders>
            <w:vAlign w:val="center"/>
          </w:tcPr>
          <w:p w14:paraId="70E9D47B">
            <w:pPr>
              <w:adjustRightInd w:val="0"/>
              <w:snapToGrid w:val="0"/>
              <w:spacing w:beforeLines="0" w:afterLines="0" w:line="240" w:lineRule="auto"/>
              <w:ind w:firstLine="0" w:firstLineChars="0"/>
              <w:jc w:val="center"/>
              <w:rPr>
                <w:rFonts w:hint="eastAsia" w:cs="宋体"/>
                <w:color w:val="auto"/>
                <w:kern w:val="0"/>
                <w:sz w:val="21"/>
                <w:szCs w:val="24"/>
                <w:lang w:eastAsia="zh-CN"/>
              </w:rPr>
            </w:pPr>
            <w:r>
              <w:rPr>
                <w:rFonts w:hint="eastAsia" w:cs="宋体"/>
                <w:color w:val="auto"/>
                <w:kern w:val="0"/>
                <w:sz w:val="21"/>
                <w:szCs w:val="24"/>
                <w:lang w:eastAsia="zh-CN"/>
              </w:rPr>
              <w:t>拟建项目废水处理《页岩气开采水污染物排放标准》（DB50/1806-2025）间接排放标准限值后直接接入乌杨组团园区污水处理厂进行深度处理达《城镇污水处理厂污染物排放标准》（GB18918-2002）一级 A 标准后排入长江。</w:t>
            </w:r>
          </w:p>
          <w:p w14:paraId="6816CC58">
            <w:pPr>
              <w:adjustRightInd w:val="0"/>
              <w:snapToGrid w:val="0"/>
              <w:spacing w:beforeLines="0" w:afterLines="0" w:line="240" w:lineRule="auto"/>
              <w:ind w:firstLine="0" w:firstLineChars="0"/>
              <w:jc w:val="center"/>
              <w:rPr>
                <w:rFonts w:hint="default" w:eastAsia="宋体" w:cs="宋体"/>
                <w:color w:val="auto"/>
                <w:kern w:val="0"/>
                <w:sz w:val="21"/>
                <w:szCs w:val="24"/>
                <w:lang w:val="en-US" w:eastAsia="zh-CN"/>
              </w:rPr>
            </w:pPr>
            <w:r>
              <w:rPr>
                <w:rFonts w:hint="eastAsia" w:cs="宋体"/>
                <w:color w:val="auto"/>
                <w:kern w:val="0"/>
                <w:sz w:val="21"/>
                <w:szCs w:val="24"/>
                <w:lang w:eastAsia="zh-CN"/>
              </w:rPr>
              <w:t>乌杨组团园区污水处理厂已完成提标改造，执行《城镇污水处理厂污染物排放标准》（GB18918-2002）一级 A 标准</w:t>
            </w:r>
            <w:r>
              <w:rPr>
                <w:rFonts w:hint="eastAsia" w:eastAsia="宋体" w:cs="宋体"/>
                <w:color w:val="auto"/>
                <w:kern w:val="0"/>
                <w:sz w:val="21"/>
                <w:szCs w:val="24"/>
              </w:rPr>
              <w:t>。</w:t>
            </w:r>
            <w:r>
              <w:rPr>
                <w:rFonts w:hint="eastAsia" w:cs="宋体"/>
                <w:color w:val="auto"/>
                <w:kern w:val="0"/>
                <w:sz w:val="21"/>
                <w:szCs w:val="24"/>
                <w:lang w:eastAsia="zh-CN"/>
              </w:rPr>
              <w:t>乌杨组团园区污水处理厂实际建成及验收规模为</w:t>
            </w:r>
            <w:r>
              <w:rPr>
                <w:rFonts w:hint="eastAsia" w:cs="宋体"/>
                <w:color w:val="auto"/>
                <w:kern w:val="0"/>
                <w:sz w:val="21"/>
                <w:szCs w:val="24"/>
                <w:lang w:val="en-US" w:eastAsia="zh-CN"/>
              </w:rPr>
              <w:t>7000m</w:t>
            </w:r>
            <w:r>
              <w:rPr>
                <w:rFonts w:hint="eastAsia" w:cs="宋体"/>
                <w:color w:val="auto"/>
                <w:kern w:val="0"/>
                <w:sz w:val="21"/>
                <w:szCs w:val="24"/>
                <w:vertAlign w:val="superscript"/>
                <w:lang w:val="en-US" w:eastAsia="zh-CN"/>
              </w:rPr>
              <w:t>3</w:t>
            </w:r>
            <w:r>
              <w:rPr>
                <w:rFonts w:hint="eastAsia" w:cs="宋体"/>
                <w:color w:val="auto"/>
                <w:kern w:val="0"/>
                <w:sz w:val="21"/>
                <w:szCs w:val="24"/>
                <w:lang w:val="en-US" w:eastAsia="zh-CN"/>
              </w:rPr>
              <w:t>/d，目前实际收集处理规模约为1500m</w:t>
            </w:r>
            <w:r>
              <w:rPr>
                <w:rFonts w:hint="eastAsia" w:cs="宋体"/>
                <w:color w:val="auto"/>
                <w:kern w:val="0"/>
                <w:sz w:val="21"/>
                <w:szCs w:val="24"/>
                <w:vertAlign w:val="superscript"/>
                <w:lang w:val="en-US" w:eastAsia="zh-CN"/>
              </w:rPr>
              <w:t>3</w:t>
            </w:r>
            <w:r>
              <w:rPr>
                <w:rFonts w:hint="eastAsia" w:cs="宋体"/>
                <w:color w:val="auto"/>
                <w:kern w:val="0"/>
                <w:sz w:val="21"/>
                <w:szCs w:val="24"/>
                <w:lang w:val="en-US" w:eastAsia="zh-CN"/>
              </w:rPr>
              <w:t>/d，满足拟建项目新增废水排放量及园区后续废水收集需求。</w:t>
            </w:r>
          </w:p>
        </w:tc>
        <w:tc>
          <w:tcPr>
            <w:tcW w:w="543" w:type="pct"/>
            <w:tcBorders>
              <w:top w:val="single" w:color="auto" w:sz="4" w:space="0"/>
              <w:left w:val="single" w:color="auto" w:sz="4" w:space="0"/>
              <w:bottom w:val="single" w:color="auto" w:sz="4" w:space="0"/>
              <w:right w:val="single" w:color="auto" w:sz="4" w:space="0"/>
            </w:tcBorders>
            <w:vAlign w:val="center"/>
          </w:tcPr>
          <w:p w14:paraId="46E74659">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符合</w:t>
            </w:r>
          </w:p>
        </w:tc>
      </w:tr>
      <w:tr w14:paraId="28321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tcBorders>
              <w:top w:val="single" w:color="auto" w:sz="4" w:space="0"/>
              <w:left w:val="single" w:color="auto" w:sz="4" w:space="0"/>
              <w:bottom w:val="single" w:color="auto" w:sz="4" w:space="0"/>
              <w:right w:val="single" w:color="auto" w:sz="4" w:space="0"/>
            </w:tcBorders>
            <w:vAlign w:val="center"/>
          </w:tcPr>
          <w:p w14:paraId="05BCF281">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强化噪声污染防控</w:t>
            </w:r>
          </w:p>
        </w:tc>
        <w:tc>
          <w:tcPr>
            <w:tcW w:w="2220" w:type="pct"/>
            <w:tcBorders>
              <w:top w:val="single" w:color="auto" w:sz="4" w:space="0"/>
              <w:left w:val="single" w:color="auto" w:sz="4" w:space="0"/>
              <w:bottom w:val="single" w:color="auto" w:sz="4" w:space="0"/>
              <w:right w:val="single" w:color="auto" w:sz="4" w:space="0"/>
            </w:tcBorders>
            <w:vAlign w:val="center"/>
          </w:tcPr>
          <w:p w14:paraId="61C2E61B">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工业企业可通过选择低噪声设备，采取严格的消声、隔声吸声、减振、绿化、合理布局等措施，确保厂界噪声达标。交通噪声采取绿化、合理布局等污染控制措施，减小噪声影响</w:t>
            </w:r>
          </w:p>
        </w:tc>
        <w:tc>
          <w:tcPr>
            <w:tcW w:w="1798" w:type="pct"/>
            <w:tcBorders>
              <w:top w:val="single" w:color="auto" w:sz="4" w:space="0"/>
              <w:left w:val="single" w:color="auto" w:sz="4" w:space="0"/>
              <w:bottom w:val="single" w:color="auto" w:sz="4" w:space="0"/>
              <w:right w:val="single" w:color="auto" w:sz="4" w:space="0"/>
            </w:tcBorders>
            <w:vAlign w:val="center"/>
          </w:tcPr>
          <w:p w14:paraId="74645147">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项目采用减振、隔声、绿化等措施，确保厂界噪声达标</w:t>
            </w:r>
          </w:p>
        </w:tc>
        <w:tc>
          <w:tcPr>
            <w:tcW w:w="543" w:type="pct"/>
            <w:tcBorders>
              <w:top w:val="single" w:color="auto" w:sz="4" w:space="0"/>
              <w:left w:val="single" w:color="auto" w:sz="4" w:space="0"/>
              <w:bottom w:val="single" w:color="auto" w:sz="4" w:space="0"/>
              <w:right w:val="single" w:color="auto" w:sz="4" w:space="0"/>
            </w:tcBorders>
            <w:vAlign w:val="center"/>
          </w:tcPr>
          <w:p w14:paraId="193B86A6">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符合</w:t>
            </w:r>
          </w:p>
        </w:tc>
      </w:tr>
      <w:tr w14:paraId="52CB9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tcBorders>
              <w:top w:val="single" w:color="auto" w:sz="4" w:space="0"/>
              <w:left w:val="single" w:color="auto" w:sz="4" w:space="0"/>
              <w:bottom w:val="single" w:color="auto" w:sz="4" w:space="0"/>
              <w:right w:val="single" w:color="auto" w:sz="4" w:space="0"/>
            </w:tcBorders>
            <w:vAlign w:val="center"/>
          </w:tcPr>
          <w:p w14:paraId="420462FC">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加强固体废物污染防治</w:t>
            </w:r>
          </w:p>
        </w:tc>
        <w:tc>
          <w:tcPr>
            <w:tcW w:w="2220" w:type="pct"/>
            <w:tcBorders>
              <w:top w:val="single" w:color="auto" w:sz="4" w:space="0"/>
              <w:left w:val="single" w:color="auto" w:sz="4" w:space="0"/>
              <w:bottom w:val="single" w:color="auto" w:sz="4" w:space="0"/>
              <w:right w:val="single" w:color="auto" w:sz="4" w:space="0"/>
            </w:tcBorders>
            <w:vAlign w:val="center"/>
          </w:tcPr>
          <w:p w14:paraId="385C3052">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固体废物应按资源化、减量化、无害化方式进行妥善收集处置。生活垃圾经分类收集后由忠县环卫部门统一清运处置；一般工业固废综合利用或进入一般工业固废处理场；危险废物依法依规交有危险废物处理资质的单位处理。</w:t>
            </w:r>
          </w:p>
        </w:tc>
        <w:tc>
          <w:tcPr>
            <w:tcW w:w="1798" w:type="pct"/>
            <w:tcBorders>
              <w:top w:val="single" w:color="auto" w:sz="4" w:space="0"/>
              <w:left w:val="single" w:color="auto" w:sz="4" w:space="0"/>
              <w:bottom w:val="single" w:color="auto" w:sz="4" w:space="0"/>
              <w:right w:val="single" w:color="auto" w:sz="4" w:space="0"/>
            </w:tcBorders>
            <w:vAlign w:val="center"/>
          </w:tcPr>
          <w:p w14:paraId="5CFA36CA">
            <w:pPr>
              <w:adjustRightInd w:val="0"/>
              <w:snapToGrid w:val="0"/>
              <w:spacing w:beforeLines="0" w:afterLines="0" w:line="240" w:lineRule="auto"/>
              <w:ind w:firstLine="0" w:firstLineChars="0"/>
              <w:jc w:val="center"/>
              <w:rPr>
                <w:rFonts w:hint="eastAsia" w:eastAsia="宋体" w:cs="宋体"/>
                <w:color w:val="auto"/>
                <w:kern w:val="0"/>
                <w:sz w:val="21"/>
                <w:szCs w:val="24"/>
                <w:lang w:eastAsia="zh-CN"/>
              </w:rPr>
            </w:pPr>
            <w:r>
              <w:rPr>
                <w:rFonts w:hint="eastAsia" w:eastAsia="宋体" w:cs="宋体"/>
                <w:color w:val="auto"/>
                <w:kern w:val="0"/>
                <w:sz w:val="21"/>
                <w:szCs w:val="24"/>
              </w:rPr>
              <w:t>项目为</w:t>
            </w:r>
            <w:r>
              <w:rPr>
                <w:rFonts w:hint="eastAsia" w:cs="宋体"/>
                <w:color w:val="auto"/>
                <w:kern w:val="0"/>
                <w:sz w:val="21"/>
                <w:szCs w:val="24"/>
                <w:lang w:eastAsia="zh-CN"/>
              </w:rPr>
              <w:t>工业废水集中处理项目</w:t>
            </w:r>
            <w:r>
              <w:rPr>
                <w:rFonts w:hint="eastAsia" w:eastAsia="宋体" w:cs="宋体"/>
                <w:color w:val="auto"/>
                <w:kern w:val="0"/>
                <w:sz w:val="21"/>
                <w:szCs w:val="24"/>
              </w:rPr>
              <w:t>，</w:t>
            </w:r>
            <w:r>
              <w:rPr>
                <w:rFonts w:hint="eastAsia" w:cs="宋体"/>
                <w:color w:val="auto"/>
                <w:kern w:val="0"/>
                <w:sz w:val="21"/>
                <w:szCs w:val="24"/>
                <w:lang w:eastAsia="zh-CN"/>
              </w:rPr>
              <w:t>生产运行过程中产生的各类固体废物均按要求进行妥善收集和处置。</w:t>
            </w:r>
          </w:p>
        </w:tc>
        <w:tc>
          <w:tcPr>
            <w:tcW w:w="543" w:type="pct"/>
            <w:tcBorders>
              <w:top w:val="single" w:color="auto" w:sz="4" w:space="0"/>
              <w:left w:val="single" w:color="auto" w:sz="4" w:space="0"/>
              <w:bottom w:val="single" w:color="auto" w:sz="4" w:space="0"/>
              <w:right w:val="single" w:color="auto" w:sz="4" w:space="0"/>
            </w:tcBorders>
            <w:vAlign w:val="center"/>
          </w:tcPr>
          <w:p w14:paraId="071AFECC">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符合</w:t>
            </w:r>
          </w:p>
        </w:tc>
      </w:tr>
      <w:tr w14:paraId="7D614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tcBorders>
              <w:top w:val="single" w:color="auto" w:sz="4" w:space="0"/>
              <w:left w:val="single" w:color="auto" w:sz="4" w:space="0"/>
              <w:bottom w:val="single" w:color="auto" w:sz="4" w:space="0"/>
              <w:right w:val="single" w:color="auto" w:sz="4" w:space="0"/>
            </w:tcBorders>
            <w:vAlign w:val="center"/>
          </w:tcPr>
          <w:p w14:paraId="3784886E">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重视地下水及土壤污染防控</w:t>
            </w:r>
          </w:p>
        </w:tc>
        <w:tc>
          <w:tcPr>
            <w:tcW w:w="2220" w:type="pct"/>
            <w:tcBorders>
              <w:top w:val="single" w:color="auto" w:sz="4" w:space="0"/>
              <w:left w:val="single" w:color="auto" w:sz="4" w:space="0"/>
              <w:bottom w:val="single" w:color="auto" w:sz="4" w:space="0"/>
              <w:right w:val="single" w:color="auto" w:sz="4" w:space="0"/>
            </w:tcBorders>
            <w:vAlign w:val="center"/>
          </w:tcPr>
          <w:p w14:paraId="0EA14352">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采取源头控制为主的原则，落实分区、分级防渗措施，加强跟踪监测，防止规划实施对区域地下水及土壤环境的污染。</w:t>
            </w:r>
          </w:p>
        </w:tc>
        <w:tc>
          <w:tcPr>
            <w:tcW w:w="1798" w:type="pct"/>
            <w:tcBorders>
              <w:top w:val="single" w:color="auto" w:sz="4" w:space="0"/>
              <w:left w:val="single" w:color="auto" w:sz="4" w:space="0"/>
              <w:bottom w:val="single" w:color="auto" w:sz="4" w:space="0"/>
              <w:right w:val="single" w:color="auto" w:sz="4" w:space="0"/>
            </w:tcBorders>
            <w:vAlign w:val="center"/>
          </w:tcPr>
          <w:p w14:paraId="6FA516E7">
            <w:pPr>
              <w:adjustRightInd w:val="0"/>
              <w:snapToGrid w:val="0"/>
              <w:spacing w:beforeLines="0" w:afterLines="0" w:line="240" w:lineRule="auto"/>
              <w:ind w:firstLine="0" w:firstLineChars="0"/>
              <w:jc w:val="center"/>
              <w:rPr>
                <w:rFonts w:hint="eastAsia" w:eastAsia="宋体" w:cs="宋体"/>
                <w:color w:val="auto"/>
                <w:kern w:val="0"/>
                <w:sz w:val="21"/>
                <w:szCs w:val="24"/>
                <w:lang w:eastAsia="zh-CN"/>
              </w:rPr>
            </w:pPr>
            <w:r>
              <w:rPr>
                <w:rFonts w:hint="eastAsia" w:eastAsia="宋体" w:cs="宋体"/>
                <w:color w:val="auto"/>
                <w:kern w:val="0"/>
                <w:sz w:val="21"/>
                <w:szCs w:val="24"/>
              </w:rPr>
              <w:t>地下水采取分区防渗措施，</w:t>
            </w:r>
            <w:r>
              <w:rPr>
                <w:rFonts w:hint="eastAsia" w:cs="宋体"/>
                <w:color w:val="auto"/>
                <w:kern w:val="0"/>
                <w:sz w:val="21"/>
                <w:szCs w:val="24"/>
                <w:lang w:eastAsia="zh-CN"/>
              </w:rPr>
              <w:t>按要求</w:t>
            </w:r>
            <w:r>
              <w:rPr>
                <w:rFonts w:hint="eastAsia" w:eastAsia="宋体" w:cs="宋体"/>
                <w:color w:val="auto"/>
                <w:kern w:val="0"/>
                <w:sz w:val="21"/>
                <w:szCs w:val="24"/>
              </w:rPr>
              <w:t>设置有地下水监控井</w:t>
            </w:r>
            <w:r>
              <w:rPr>
                <w:rFonts w:hint="eastAsia" w:cs="宋体"/>
                <w:color w:val="auto"/>
                <w:kern w:val="0"/>
                <w:sz w:val="21"/>
                <w:szCs w:val="24"/>
                <w:lang w:eastAsia="zh-CN"/>
              </w:rPr>
              <w:t>和土壤跟踪监测点，</w:t>
            </w:r>
            <w:r>
              <w:rPr>
                <w:rFonts w:hint="eastAsia" w:eastAsia="宋体" w:cs="宋体"/>
                <w:color w:val="auto"/>
                <w:kern w:val="0"/>
                <w:sz w:val="21"/>
                <w:szCs w:val="24"/>
              </w:rPr>
              <w:t>防止</w:t>
            </w:r>
            <w:r>
              <w:rPr>
                <w:rFonts w:hint="eastAsia" w:cs="宋体"/>
                <w:color w:val="auto"/>
                <w:kern w:val="0"/>
                <w:sz w:val="21"/>
                <w:szCs w:val="24"/>
                <w:lang w:eastAsia="zh-CN"/>
              </w:rPr>
              <w:t>项目建设</w:t>
            </w:r>
            <w:r>
              <w:rPr>
                <w:rFonts w:hint="eastAsia" w:eastAsia="宋体" w:cs="宋体"/>
                <w:color w:val="auto"/>
                <w:kern w:val="0"/>
                <w:sz w:val="21"/>
                <w:szCs w:val="24"/>
              </w:rPr>
              <w:t>实施对区域地下水及土壤环境的污染</w:t>
            </w:r>
          </w:p>
        </w:tc>
        <w:tc>
          <w:tcPr>
            <w:tcW w:w="543" w:type="pct"/>
            <w:tcBorders>
              <w:top w:val="single" w:color="auto" w:sz="4" w:space="0"/>
              <w:left w:val="single" w:color="auto" w:sz="4" w:space="0"/>
              <w:bottom w:val="single" w:color="auto" w:sz="4" w:space="0"/>
              <w:right w:val="single" w:color="auto" w:sz="4" w:space="0"/>
            </w:tcBorders>
            <w:vAlign w:val="center"/>
          </w:tcPr>
          <w:p w14:paraId="14D27A9A">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符合</w:t>
            </w:r>
          </w:p>
        </w:tc>
      </w:tr>
      <w:tr w14:paraId="072C0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tcBorders>
              <w:top w:val="single" w:color="auto" w:sz="4" w:space="0"/>
              <w:left w:val="single" w:color="auto" w:sz="4" w:space="0"/>
              <w:bottom w:val="single" w:color="auto" w:sz="4" w:space="0"/>
              <w:right w:val="single" w:color="auto" w:sz="4" w:space="0"/>
            </w:tcBorders>
            <w:vAlign w:val="center"/>
          </w:tcPr>
          <w:p w14:paraId="6238F194">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强化环境风险防范</w:t>
            </w:r>
          </w:p>
        </w:tc>
        <w:tc>
          <w:tcPr>
            <w:tcW w:w="2220" w:type="pct"/>
            <w:tcBorders>
              <w:top w:val="single" w:color="auto" w:sz="4" w:space="0"/>
              <w:left w:val="single" w:color="auto" w:sz="4" w:space="0"/>
              <w:bottom w:val="single" w:color="auto" w:sz="4" w:space="0"/>
              <w:right w:val="single" w:color="auto" w:sz="4" w:space="0"/>
            </w:tcBorders>
            <w:vAlign w:val="center"/>
          </w:tcPr>
          <w:p w14:paraId="027377C2">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规划区应建设环境风险防范体系，制定环境风险应急预案，切实提高环境风险防范意识，加强对企业环境风险源的监督管理定期开展教育培训和应急演练，全面提升环境风险防范和事故应急处置能力，保障环境安全。</w:t>
            </w:r>
          </w:p>
        </w:tc>
        <w:tc>
          <w:tcPr>
            <w:tcW w:w="1798" w:type="pct"/>
            <w:tcBorders>
              <w:top w:val="single" w:color="auto" w:sz="4" w:space="0"/>
              <w:left w:val="single" w:color="auto" w:sz="4" w:space="0"/>
              <w:bottom w:val="single" w:color="auto" w:sz="4" w:space="0"/>
              <w:right w:val="single" w:color="auto" w:sz="4" w:space="0"/>
            </w:tcBorders>
            <w:vAlign w:val="center"/>
          </w:tcPr>
          <w:p w14:paraId="47BB111D">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园区按上述要求执行，项目采取设置围堰、</w:t>
            </w:r>
            <w:r>
              <w:rPr>
                <w:rFonts w:hint="eastAsia" w:cs="宋体"/>
                <w:color w:val="auto"/>
                <w:kern w:val="0"/>
                <w:sz w:val="21"/>
                <w:szCs w:val="24"/>
                <w:lang w:eastAsia="zh-CN"/>
              </w:rPr>
              <w:t>厂区</w:t>
            </w:r>
            <w:r>
              <w:rPr>
                <w:rFonts w:hint="eastAsia" w:eastAsia="宋体" w:cs="宋体"/>
                <w:color w:val="auto"/>
                <w:kern w:val="0"/>
                <w:sz w:val="21"/>
                <w:szCs w:val="24"/>
              </w:rPr>
              <w:t>事故池及初期雨水池等风险防范措施，编制突发环境事件应急预案，并定期开展演练，可确保环境风险可</w:t>
            </w:r>
            <w:r>
              <w:rPr>
                <w:rFonts w:hint="eastAsia" w:cs="宋体"/>
                <w:color w:val="auto"/>
                <w:kern w:val="0"/>
                <w:sz w:val="21"/>
                <w:szCs w:val="24"/>
                <w:lang w:eastAsia="zh-CN"/>
              </w:rPr>
              <w:t>防</w:t>
            </w:r>
            <w:r>
              <w:rPr>
                <w:rFonts w:hint="eastAsia" w:eastAsia="宋体" w:cs="宋体"/>
                <w:color w:val="auto"/>
                <w:kern w:val="0"/>
                <w:sz w:val="21"/>
                <w:szCs w:val="24"/>
              </w:rPr>
              <w:t>控</w:t>
            </w:r>
          </w:p>
        </w:tc>
        <w:tc>
          <w:tcPr>
            <w:tcW w:w="543" w:type="pct"/>
            <w:tcBorders>
              <w:top w:val="single" w:color="auto" w:sz="4" w:space="0"/>
              <w:left w:val="single" w:color="auto" w:sz="4" w:space="0"/>
              <w:bottom w:val="single" w:color="auto" w:sz="4" w:space="0"/>
              <w:right w:val="single" w:color="auto" w:sz="4" w:space="0"/>
            </w:tcBorders>
            <w:vAlign w:val="center"/>
          </w:tcPr>
          <w:p w14:paraId="4B461717">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符合</w:t>
            </w:r>
          </w:p>
        </w:tc>
      </w:tr>
      <w:tr w14:paraId="27E6F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tcBorders>
              <w:top w:val="single" w:color="auto" w:sz="4" w:space="0"/>
              <w:left w:val="single" w:color="auto" w:sz="4" w:space="0"/>
              <w:bottom w:val="single" w:color="auto" w:sz="4" w:space="0"/>
              <w:right w:val="single" w:color="auto" w:sz="4" w:space="0"/>
            </w:tcBorders>
            <w:vAlign w:val="center"/>
          </w:tcPr>
          <w:p w14:paraId="50360FCE">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规范环境管理</w:t>
            </w:r>
          </w:p>
        </w:tc>
        <w:tc>
          <w:tcPr>
            <w:tcW w:w="2220" w:type="pct"/>
            <w:tcBorders>
              <w:top w:val="single" w:color="auto" w:sz="4" w:space="0"/>
              <w:left w:val="single" w:color="auto" w:sz="4" w:space="0"/>
              <w:bottom w:val="single" w:color="auto" w:sz="4" w:space="0"/>
              <w:right w:val="single" w:color="auto" w:sz="4" w:space="0"/>
            </w:tcBorders>
            <w:vAlign w:val="center"/>
          </w:tcPr>
          <w:p w14:paraId="47B0E4D2">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加强日常环境监管，落实建设项目环境影响评价和固定污染源排污许可制度。园区应建立环境空气、地表水、地下水、土壤等环境要素的监控体系，落实跟踪环境监测计划，适时开展环境影响跟踪评价。规划在实施范围、适用期限、规模及结构、布局等方面进行重大调整或者修订时</w:t>
            </w:r>
            <w:r>
              <w:rPr>
                <w:rFonts w:eastAsia="宋体" w:cs="宋体"/>
                <w:color w:val="auto"/>
                <w:kern w:val="0"/>
                <w:sz w:val="21"/>
                <w:szCs w:val="24"/>
              </w:rPr>
              <w:t>,</w:t>
            </w:r>
            <w:r>
              <w:rPr>
                <w:rFonts w:hint="eastAsia" w:eastAsia="宋体" w:cs="宋体"/>
                <w:color w:val="auto"/>
                <w:kern w:val="0"/>
                <w:sz w:val="21"/>
                <w:szCs w:val="24"/>
              </w:rPr>
              <w:t>应重新进行规划环境影响评价。</w:t>
            </w:r>
          </w:p>
        </w:tc>
        <w:tc>
          <w:tcPr>
            <w:tcW w:w="1798" w:type="pct"/>
            <w:tcBorders>
              <w:top w:val="single" w:color="auto" w:sz="4" w:space="0"/>
              <w:left w:val="single" w:color="auto" w:sz="4" w:space="0"/>
              <w:bottom w:val="single" w:color="auto" w:sz="4" w:space="0"/>
              <w:right w:val="single" w:color="auto" w:sz="4" w:space="0"/>
            </w:tcBorders>
            <w:vAlign w:val="center"/>
          </w:tcPr>
          <w:p w14:paraId="7C98AE11">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严格按上述措施执行</w:t>
            </w:r>
          </w:p>
        </w:tc>
        <w:tc>
          <w:tcPr>
            <w:tcW w:w="543" w:type="pct"/>
            <w:tcBorders>
              <w:top w:val="single" w:color="auto" w:sz="4" w:space="0"/>
              <w:left w:val="single" w:color="auto" w:sz="4" w:space="0"/>
              <w:bottom w:val="single" w:color="auto" w:sz="4" w:space="0"/>
              <w:right w:val="single" w:color="auto" w:sz="4" w:space="0"/>
            </w:tcBorders>
            <w:vAlign w:val="center"/>
          </w:tcPr>
          <w:p w14:paraId="44597743">
            <w:pPr>
              <w:adjustRightInd w:val="0"/>
              <w:snapToGrid w:val="0"/>
              <w:spacing w:beforeLines="0" w:afterLines="0" w:line="240" w:lineRule="auto"/>
              <w:ind w:firstLine="0" w:firstLineChars="0"/>
              <w:jc w:val="center"/>
              <w:rPr>
                <w:rFonts w:eastAsia="宋体" w:cs="宋体"/>
                <w:color w:val="auto"/>
                <w:kern w:val="0"/>
                <w:sz w:val="21"/>
                <w:szCs w:val="24"/>
              </w:rPr>
            </w:pPr>
            <w:r>
              <w:rPr>
                <w:rFonts w:hint="eastAsia" w:eastAsia="宋体" w:cs="宋体"/>
                <w:color w:val="auto"/>
                <w:kern w:val="0"/>
                <w:sz w:val="21"/>
                <w:szCs w:val="24"/>
              </w:rPr>
              <w:t>符合</w:t>
            </w:r>
          </w:p>
        </w:tc>
      </w:tr>
    </w:tbl>
    <w:p w14:paraId="4D51183E">
      <w:pPr>
        <w:spacing w:line="360" w:lineRule="auto"/>
        <w:ind w:firstLine="480"/>
        <w:rPr>
          <w:color w:val="auto"/>
          <w:szCs w:val="24"/>
        </w:rPr>
      </w:pPr>
    </w:p>
    <w:p w14:paraId="3ACB041A">
      <w:pPr>
        <w:spacing w:line="360" w:lineRule="auto"/>
        <w:ind w:firstLine="480"/>
        <w:rPr>
          <w:color w:val="auto"/>
        </w:rPr>
      </w:pPr>
      <w:r>
        <w:rPr>
          <w:rFonts w:hint="eastAsia"/>
          <w:color w:val="auto"/>
        </w:rPr>
        <w:t>综上所述，拟建项目符合</w:t>
      </w:r>
      <w:r>
        <w:rPr>
          <w:rFonts w:hint="eastAsia"/>
          <w:color w:val="auto"/>
          <w:szCs w:val="24"/>
        </w:rPr>
        <w:t>《</w:t>
      </w:r>
      <w:r>
        <w:rPr>
          <w:rFonts w:hint="eastAsia"/>
          <w:color w:val="auto"/>
          <w:lang w:eastAsia="zh-CN"/>
        </w:rPr>
        <w:t>重庆忠县工业园乌杨组团</w:t>
      </w:r>
      <w:r>
        <w:rPr>
          <w:rFonts w:hint="eastAsia"/>
          <w:color w:val="auto"/>
        </w:rPr>
        <w:t>控制性详细规划修编环境影响报告书</w:t>
      </w:r>
      <w:r>
        <w:rPr>
          <w:rFonts w:hint="eastAsia"/>
          <w:color w:val="auto"/>
          <w:szCs w:val="24"/>
        </w:rPr>
        <w:t>》及其审查意见</w:t>
      </w:r>
      <w:r>
        <w:rPr>
          <w:rFonts w:hint="eastAsia"/>
          <w:color w:val="auto"/>
        </w:rPr>
        <w:t>（</w:t>
      </w:r>
      <w:r>
        <w:rPr>
          <w:rFonts w:hint="eastAsia"/>
          <w:color w:val="auto"/>
          <w:lang w:eastAsia="zh-CN"/>
        </w:rPr>
        <w:t>渝环函〔2020〕559号</w:t>
      </w:r>
      <w:r>
        <w:rPr>
          <w:rFonts w:hint="eastAsia"/>
          <w:color w:val="auto"/>
        </w:rPr>
        <w:t>）相关要求。</w:t>
      </w:r>
    </w:p>
    <w:p w14:paraId="595B4AEE">
      <w:pPr>
        <w:pStyle w:val="5"/>
        <w:numPr>
          <w:ilvl w:val="0"/>
          <w:numId w:val="0"/>
        </w:numPr>
        <w:spacing w:line="360" w:lineRule="auto"/>
        <w:rPr>
          <w:color w:val="auto"/>
          <w:szCs w:val="24"/>
        </w:rPr>
      </w:pPr>
      <w:r>
        <w:rPr>
          <w:rFonts w:hint="eastAsia"/>
          <w:color w:val="auto"/>
          <w:szCs w:val="24"/>
          <w:lang w:eastAsia="zh-CN"/>
        </w:rPr>
        <w:t>2.9</w:t>
      </w:r>
      <w:r>
        <w:rPr>
          <w:color w:val="auto"/>
          <w:szCs w:val="24"/>
        </w:rPr>
        <w:t>.4</w:t>
      </w:r>
      <w:r>
        <w:rPr>
          <w:rFonts w:hint="eastAsia"/>
          <w:color w:val="auto"/>
          <w:szCs w:val="24"/>
        </w:rPr>
        <w:t>与项目所在区域</w:t>
      </w:r>
      <w:r>
        <w:rPr>
          <w:color w:val="auto"/>
        </w:rPr>
        <w:t xml:space="preserve"> “三线一单”</w:t>
      </w:r>
      <w:r>
        <w:rPr>
          <w:rFonts w:hint="eastAsia"/>
          <w:color w:val="auto"/>
          <w:szCs w:val="24"/>
        </w:rPr>
        <w:t>符合性分析</w:t>
      </w:r>
    </w:p>
    <w:p w14:paraId="32FE1C6B">
      <w:pPr>
        <w:spacing w:line="360" w:lineRule="auto"/>
        <w:ind w:firstLine="480"/>
        <w:rPr>
          <w:color w:val="auto"/>
        </w:rPr>
      </w:pPr>
      <w:r>
        <w:rPr>
          <w:rFonts w:hint="eastAsia"/>
          <w:color w:val="auto"/>
        </w:rPr>
        <w:t>根据</w:t>
      </w:r>
      <w:r>
        <w:rPr>
          <w:bCs/>
          <w:color w:val="auto"/>
        </w:rPr>
        <w:t>《</w:t>
      </w:r>
      <w:r>
        <w:rPr>
          <w:rFonts w:hint="eastAsia"/>
          <w:bCs/>
          <w:color w:val="auto"/>
        </w:rPr>
        <w:t>重庆市生态环境局关于印发《重庆市“三线一单”生态环境分区管控调整方案（2023年）》的通知</w:t>
      </w:r>
      <w:r>
        <w:rPr>
          <w:bCs/>
          <w:color w:val="auto"/>
        </w:rPr>
        <w:t>》（</w:t>
      </w:r>
      <w:r>
        <w:rPr>
          <w:rFonts w:hint="eastAsia"/>
          <w:bCs/>
          <w:color w:val="auto"/>
        </w:rPr>
        <w:t>渝环规〔2024〕2号</w:t>
      </w:r>
      <w:r>
        <w:rPr>
          <w:bCs/>
          <w:color w:val="auto"/>
        </w:rPr>
        <w:t>）</w:t>
      </w:r>
      <w:r>
        <w:rPr>
          <w:rFonts w:hint="eastAsia"/>
          <w:bCs/>
          <w:color w:val="auto"/>
        </w:rPr>
        <w:t>及</w:t>
      </w:r>
      <w:r>
        <w:rPr>
          <w:rFonts w:hint="eastAsia"/>
          <w:color w:val="auto"/>
        </w:rPr>
        <w:t>《忠县人民政府办公室关于印发忠县 “三线一单”生态环境分区管控调整方案的通知》（忠府办发〔2024〕22号），项目与“三线一单”符合性分析如下：</w:t>
      </w:r>
      <w:r>
        <w:rPr>
          <w:rFonts w:hint="eastAsia"/>
          <w:color w:val="auto"/>
        </w:rPr>
        <w:cr/>
      </w:r>
      <w:r>
        <w:rPr>
          <w:color w:val="auto"/>
        </w:rPr>
        <w:t xml:space="preserve">    </w:t>
      </w:r>
      <w:r>
        <w:rPr>
          <w:rFonts w:hint="eastAsia"/>
          <w:color w:val="auto"/>
        </w:rPr>
        <w:t>（1）与重庆市“三线一单”符合性分析</w:t>
      </w:r>
    </w:p>
    <w:p w14:paraId="6DE8EC8C">
      <w:pPr>
        <w:spacing w:line="360" w:lineRule="auto"/>
        <w:ind w:firstLine="480"/>
        <w:rPr>
          <w:color w:val="auto"/>
        </w:rPr>
      </w:pPr>
      <w:r>
        <w:rPr>
          <w:rFonts w:hint="eastAsia"/>
          <w:color w:val="auto"/>
        </w:rPr>
        <w:t>根据</w:t>
      </w:r>
      <w:r>
        <w:rPr>
          <w:bCs/>
          <w:color w:val="auto"/>
        </w:rPr>
        <w:t>《</w:t>
      </w:r>
      <w:r>
        <w:rPr>
          <w:rFonts w:hint="eastAsia"/>
          <w:bCs/>
          <w:color w:val="auto"/>
        </w:rPr>
        <w:t>重庆市生态环境局关于印发《重庆市“三线一单”生态环境分区管控调整方案（2023年）》的通知</w:t>
      </w:r>
      <w:r>
        <w:rPr>
          <w:bCs/>
          <w:color w:val="auto"/>
        </w:rPr>
        <w:t>》（</w:t>
      </w:r>
      <w:r>
        <w:rPr>
          <w:rFonts w:hint="eastAsia"/>
          <w:bCs/>
          <w:color w:val="auto"/>
        </w:rPr>
        <w:t>渝环规〔2024〕2号</w:t>
      </w:r>
      <w:r>
        <w:rPr>
          <w:bCs/>
          <w:color w:val="auto"/>
        </w:rPr>
        <w:t>）</w:t>
      </w:r>
      <w:r>
        <w:rPr>
          <w:rFonts w:hint="eastAsia"/>
          <w:color w:val="auto"/>
        </w:rPr>
        <w:t>，拟建项目位于</w:t>
      </w:r>
      <w:r>
        <w:rPr>
          <w:rFonts w:hint="eastAsia"/>
          <w:color w:val="auto"/>
          <w:lang w:eastAsia="zh-CN"/>
        </w:rPr>
        <w:t>重庆忠县工业园乌杨组团</w:t>
      </w:r>
      <w:r>
        <w:rPr>
          <w:rFonts w:hint="eastAsia"/>
          <w:color w:val="auto"/>
        </w:rPr>
        <w:t>，属于重点管控单元，重点管控单元指涉及水、大气、土壤、自然资源等资源环境要素重点管控的区域，主要包括人口密集的城镇规划区和产业集聚的工业园区（工业集聚区）。</w:t>
      </w:r>
    </w:p>
    <w:p w14:paraId="64B74BF7">
      <w:pPr>
        <w:spacing w:line="360" w:lineRule="auto"/>
        <w:ind w:firstLine="480"/>
        <w:rPr>
          <w:bCs/>
          <w:color w:val="auto"/>
        </w:rPr>
      </w:pPr>
      <w:r>
        <w:rPr>
          <w:rFonts w:hint="eastAsia"/>
          <w:bCs/>
          <w:color w:val="auto"/>
        </w:rPr>
        <w:t>（2）与</w:t>
      </w:r>
      <w:r>
        <w:rPr>
          <w:rFonts w:hint="eastAsia"/>
          <w:color w:val="auto"/>
        </w:rPr>
        <w:t>《忠县人民政府办公室关于印发忠县 “三线一单”生态环境分区管控调整方案的通知》（忠府办发〔2024〕22号）</w:t>
      </w:r>
      <w:r>
        <w:rPr>
          <w:rFonts w:hint="eastAsia"/>
          <w:color w:val="auto"/>
          <w:szCs w:val="24"/>
        </w:rPr>
        <w:t>符合性分析</w:t>
      </w:r>
    </w:p>
    <w:p w14:paraId="44DEE843">
      <w:pPr>
        <w:spacing w:line="360" w:lineRule="auto"/>
        <w:ind w:firstLine="480"/>
        <w:rPr>
          <w:color w:val="auto"/>
        </w:rPr>
      </w:pPr>
      <w:r>
        <w:rPr>
          <w:color w:val="auto"/>
        </w:rPr>
        <w:t>根据</w:t>
      </w:r>
      <w:r>
        <w:rPr>
          <w:rFonts w:hint="eastAsia"/>
          <w:color w:val="auto"/>
        </w:rPr>
        <w:t>《忠县人民政府办公室关于印发忠县 “三线一单”生态环境分区管控调整方案的通知》（忠府办发〔2024〕22号）</w:t>
      </w:r>
      <w:r>
        <w:rPr>
          <w:color w:val="auto"/>
        </w:rPr>
        <w:t>，</w:t>
      </w:r>
      <w:r>
        <w:rPr>
          <w:rFonts w:hint="eastAsia"/>
          <w:color w:val="auto"/>
        </w:rPr>
        <w:t>拟建项目位于</w:t>
      </w:r>
      <w:r>
        <w:rPr>
          <w:rFonts w:hint="eastAsia"/>
          <w:color w:val="auto"/>
          <w:szCs w:val="24"/>
          <w:lang w:eastAsia="zh-CN"/>
        </w:rPr>
        <w:t>重庆忠县工业园乌杨组团</w:t>
      </w:r>
      <w:r>
        <w:rPr>
          <w:rFonts w:hint="eastAsia"/>
          <w:color w:val="auto"/>
        </w:rPr>
        <w:t>，属于</w:t>
      </w:r>
      <w:r>
        <w:rPr>
          <w:rFonts w:hint="eastAsia"/>
          <w:color w:val="auto"/>
          <w:lang w:eastAsia="zh-CN"/>
        </w:rPr>
        <w:t>忠县工业城镇重点管控单元－乌杨片区（ZH50023320002）</w:t>
      </w:r>
      <w:r>
        <w:rPr>
          <w:rFonts w:hint="eastAsia"/>
          <w:color w:val="auto"/>
        </w:rPr>
        <w:t>。</w:t>
      </w:r>
    </w:p>
    <w:p w14:paraId="5AA10E8F">
      <w:pPr>
        <w:spacing w:line="360" w:lineRule="auto"/>
        <w:ind w:firstLine="480"/>
        <w:rPr>
          <w:color w:val="auto"/>
        </w:rPr>
      </w:pPr>
      <w:r>
        <w:rPr>
          <w:rFonts w:hint="eastAsia"/>
          <w:color w:val="auto"/>
        </w:rPr>
        <w:t>拟建项目与“三线一单”符合性详见下表。</w:t>
      </w:r>
    </w:p>
    <w:p w14:paraId="5BBD3385">
      <w:pPr>
        <w:spacing w:line="360" w:lineRule="auto"/>
        <w:ind w:firstLine="480"/>
        <w:rPr>
          <w:b/>
          <w:bCs/>
          <w:color w:val="auto"/>
        </w:rPr>
        <w:sectPr>
          <w:pgSz w:w="11906" w:h="16838"/>
          <w:pgMar w:top="1418" w:right="1418" w:bottom="1418" w:left="1418" w:header="851" w:footer="992" w:gutter="0"/>
          <w:pgBorders>
            <w:top w:val="none" w:sz="0" w:space="0"/>
            <w:left w:val="none" w:sz="0" w:space="0"/>
            <w:bottom w:val="none" w:sz="0" w:space="0"/>
            <w:right w:val="none" w:sz="0" w:space="0"/>
          </w:pgBorders>
          <w:cols w:space="425" w:num="1"/>
          <w:docGrid w:linePitch="312" w:charSpace="0"/>
        </w:sectPr>
      </w:pPr>
      <w:r>
        <w:rPr>
          <w:rFonts w:hint="eastAsia"/>
          <w:color w:val="auto"/>
          <w:szCs w:val="24"/>
          <w:lang w:val="zh-CN"/>
        </w:rPr>
        <w:t>综上，拟建项目符合重庆市及忠县“三线一单”生态环境分区管控要求</w:t>
      </w:r>
      <w:r>
        <w:rPr>
          <w:rFonts w:hint="eastAsia"/>
          <w:b/>
          <w:bCs/>
          <w:color w:val="auto"/>
        </w:rPr>
        <w:t>。</w:t>
      </w:r>
    </w:p>
    <w:p w14:paraId="4AB0D0A4">
      <w:pPr>
        <w:tabs>
          <w:tab w:val="left" w:pos="3851"/>
          <w:tab w:val="left" w:pos="3952"/>
        </w:tabs>
        <w:spacing w:line="360" w:lineRule="auto"/>
        <w:ind w:firstLine="482"/>
        <w:jc w:val="center"/>
        <w:rPr>
          <w:b/>
          <w:bCs/>
          <w:color w:val="auto"/>
        </w:rPr>
      </w:pPr>
      <w:r>
        <w:rPr>
          <w:b/>
          <w:bCs/>
          <w:color w:val="auto"/>
        </w:rPr>
        <w:t>表</w:t>
      </w:r>
      <w:r>
        <w:rPr>
          <w:rFonts w:hint="eastAsia"/>
          <w:b/>
          <w:bCs/>
          <w:color w:val="auto"/>
          <w:lang w:eastAsia="zh-CN"/>
        </w:rPr>
        <w:t>2.9</w:t>
      </w:r>
      <w:r>
        <w:rPr>
          <w:b/>
          <w:bCs/>
          <w:color w:val="auto"/>
        </w:rPr>
        <w:t>-</w:t>
      </w:r>
      <w:r>
        <w:rPr>
          <w:rFonts w:hint="eastAsia"/>
          <w:b/>
          <w:bCs/>
          <w:color w:val="auto"/>
          <w:lang w:val="en-US" w:eastAsia="zh-CN"/>
        </w:rPr>
        <w:t>4</w:t>
      </w:r>
      <w:r>
        <w:rPr>
          <w:b/>
          <w:bCs/>
          <w:color w:val="auto"/>
        </w:rPr>
        <w:t xml:space="preserve">  </w:t>
      </w:r>
      <w:r>
        <w:rPr>
          <w:rFonts w:hint="eastAsia"/>
          <w:b/>
          <w:bCs/>
          <w:color w:val="auto"/>
        </w:rPr>
        <w:t>拟建</w:t>
      </w:r>
      <w:r>
        <w:rPr>
          <w:b/>
          <w:bCs/>
          <w:color w:val="auto"/>
        </w:rPr>
        <w:t>项目与</w:t>
      </w:r>
      <w:r>
        <w:rPr>
          <w:rFonts w:hint="eastAsia"/>
          <w:b/>
          <w:bCs/>
          <w:color w:val="auto"/>
        </w:rPr>
        <w:t>“</w:t>
      </w:r>
      <w:r>
        <w:rPr>
          <w:b/>
          <w:bCs/>
          <w:color w:val="auto"/>
        </w:rPr>
        <w:t>三线一单</w:t>
      </w:r>
      <w:r>
        <w:rPr>
          <w:rFonts w:hint="eastAsia"/>
          <w:b/>
          <w:bCs/>
          <w:color w:val="auto"/>
        </w:rPr>
        <w:t>”</w:t>
      </w:r>
      <w:r>
        <w:rPr>
          <w:b/>
          <w:bCs/>
          <w:color w:val="auto"/>
        </w:rPr>
        <w:t>管控要求的符合性分析表</w:t>
      </w:r>
    </w:p>
    <w:tbl>
      <w:tblPr>
        <w:tblStyle w:val="88"/>
        <w:tblW w:w="48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3"/>
        <w:gridCol w:w="1313"/>
        <w:gridCol w:w="671"/>
        <w:gridCol w:w="6875"/>
        <w:gridCol w:w="2559"/>
        <w:gridCol w:w="1258"/>
      </w:tblGrid>
      <w:tr w14:paraId="0EFD4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7" w:type="dxa"/>
            <w:gridSpan w:val="3"/>
            <w:vAlign w:val="center"/>
          </w:tcPr>
          <w:p w14:paraId="707ED205">
            <w:pPr>
              <w:pStyle w:val="81"/>
              <w:adjustRightInd w:val="0"/>
              <w:snapToGrid w:val="0"/>
              <w:spacing w:before="120" w:beforeAutospacing="0" w:after="120" w:afterAutospacing="0"/>
              <w:jc w:val="center"/>
              <w:rPr>
                <w:color w:val="auto"/>
                <w:sz w:val="21"/>
                <w:szCs w:val="21"/>
              </w:rPr>
            </w:pPr>
            <w:r>
              <w:rPr>
                <w:rFonts w:hint="eastAsia"/>
                <w:color w:val="auto"/>
                <w:sz w:val="21"/>
                <w:szCs w:val="21"/>
              </w:rPr>
              <w:t>环境管控单元编码</w:t>
            </w:r>
          </w:p>
        </w:tc>
        <w:tc>
          <w:tcPr>
            <w:tcW w:w="6875" w:type="dxa"/>
            <w:vAlign w:val="center"/>
          </w:tcPr>
          <w:p w14:paraId="5158B05A">
            <w:pPr>
              <w:pStyle w:val="81"/>
              <w:adjustRightInd w:val="0"/>
              <w:snapToGrid w:val="0"/>
              <w:spacing w:before="120" w:beforeAutospacing="0" w:after="120" w:afterAutospacing="0"/>
              <w:jc w:val="center"/>
              <w:rPr>
                <w:color w:val="auto"/>
                <w:sz w:val="21"/>
                <w:szCs w:val="21"/>
              </w:rPr>
            </w:pPr>
            <w:r>
              <w:rPr>
                <w:rFonts w:hint="eastAsia"/>
                <w:color w:val="auto"/>
                <w:sz w:val="21"/>
                <w:szCs w:val="21"/>
              </w:rPr>
              <w:t>环境管控单元名称</w:t>
            </w:r>
          </w:p>
        </w:tc>
        <w:tc>
          <w:tcPr>
            <w:tcW w:w="3817" w:type="dxa"/>
            <w:gridSpan w:val="2"/>
            <w:vAlign w:val="center"/>
          </w:tcPr>
          <w:p w14:paraId="46DD0B43">
            <w:pPr>
              <w:pStyle w:val="81"/>
              <w:adjustRightInd w:val="0"/>
              <w:snapToGrid w:val="0"/>
              <w:spacing w:before="120" w:beforeAutospacing="0" w:after="120" w:afterAutospacing="0"/>
              <w:jc w:val="center"/>
              <w:rPr>
                <w:color w:val="auto"/>
                <w:sz w:val="21"/>
                <w:szCs w:val="21"/>
              </w:rPr>
            </w:pPr>
            <w:r>
              <w:rPr>
                <w:rFonts w:hint="eastAsia"/>
                <w:color w:val="auto"/>
                <w:sz w:val="21"/>
                <w:szCs w:val="21"/>
              </w:rPr>
              <w:t>环境管控单元类型</w:t>
            </w:r>
          </w:p>
        </w:tc>
      </w:tr>
      <w:tr w14:paraId="32EC7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7" w:type="dxa"/>
            <w:gridSpan w:val="3"/>
            <w:vAlign w:val="center"/>
          </w:tcPr>
          <w:p w14:paraId="3E12E55D">
            <w:pPr>
              <w:pStyle w:val="81"/>
              <w:adjustRightInd w:val="0"/>
              <w:snapToGrid w:val="0"/>
              <w:spacing w:before="120" w:beforeAutospacing="0" w:after="120" w:afterAutospacing="0"/>
              <w:jc w:val="center"/>
              <w:rPr>
                <w:rFonts w:hint="eastAsia" w:hAnsi="Times New Roman" w:eastAsia="宋体"/>
                <w:color w:val="auto"/>
                <w:sz w:val="21"/>
                <w:szCs w:val="21"/>
                <w:lang w:eastAsia="zh-CN"/>
              </w:rPr>
            </w:pPr>
            <w:r>
              <w:rPr>
                <w:rFonts w:hint="eastAsia"/>
                <w:color w:val="auto"/>
                <w:sz w:val="21"/>
                <w:szCs w:val="21"/>
                <w:lang w:eastAsia="zh-CN"/>
              </w:rPr>
              <w:t>ZH50023320002</w:t>
            </w:r>
          </w:p>
        </w:tc>
        <w:tc>
          <w:tcPr>
            <w:tcW w:w="6875" w:type="dxa"/>
            <w:vAlign w:val="center"/>
          </w:tcPr>
          <w:p w14:paraId="40AED77B">
            <w:pPr>
              <w:pStyle w:val="81"/>
              <w:adjustRightInd w:val="0"/>
              <w:snapToGrid w:val="0"/>
              <w:spacing w:before="120" w:beforeAutospacing="0" w:after="120" w:afterAutospacing="0"/>
              <w:jc w:val="center"/>
              <w:rPr>
                <w:rFonts w:hAnsi="Times New Roman"/>
                <w:color w:val="auto"/>
                <w:sz w:val="21"/>
                <w:szCs w:val="21"/>
              </w:rPr>
            </w:pPr>
            <w:r>
              <w:rPr>
                <w:rFonts w:hint="eastAsia"/>
                <w:color w:val="auto"/>
                <w:sz w:val="21"/>
                <w:szCs w:val="21"/>
                <w:lang w:eastAsia="zh-CN"/>
              </w:rPr>
              <w:t>忠县</w:t>
            </w:r>
            <w:r>
              <w:rPr>
                <w:rFonts w:hint="eastAsia"/>
                <w:color w:val="auto"/>
                <w:sz w:val="21"/>
                <w:szCs w:val="21"/>
              </w:rPr>
              <w:t>工业城镇重点管控单元－</w:t>
            </w:r>
            <w:r>
              <w:rPr>
                <w:rFonts w:hint="eastAsia"/>
                <w:color w:val="auto"/>
                <w:sz w:val="21"/>
                <w:szCs w:val="21"/>
                <w:lang w:eastAsia="zh-CN"/>
              </w:rPr>
              <w:t>乌杨</w:t>
            </w:r>
            <w:r>
              <w:rPr>
                <w:rFonts w:hint="eastAsia"/>
                <w:color w:val="auto"/>
                <w:sz w:val="21"/>
                <w:szCs w:val="21"/>
              </w:rPr>
              <w:t>片区</w:t>
            </w:r>
          </w:p>
        </w:tc>
        <w:tc>
          <w:tcPr>
            <w:tcW w:w="3817" w:type="dxa"/>
            <w:gridSpan w:val="2"/>
            <w:vAlign w:val="center"/>
          </w:tcPr>
          <w:p w14:paraId="0D65923C">
            <w:pPr>
              <w:pStyle w:val="81"/>
              <w:adjustRightInd w:val="0"/>
              <w:snapToGrid w:val="0"/>
              <w:spacing w:before="120" w:beforeAutospacing="0" w:after="120" w:afterAutospacing="0"/>
              <w:jc w:val="center"/>
              <w:rPr>
                <w:color w:val="auto"/>
                <w:sz w:val="21"/>
                <w:szCs w:val="21"/>
              </w:rPr>
            </w:pPr>
            <w:r>
              <w:rPr>
                <w:rFonts w:hint="eastAsia"/>
                <w:color w:val="auto"/>
                <w:sz w:val="21"/>
                <w:szCs w:val="21"/>
              </w:rPr>
              <w:t>重点管控单元</w:t>
            </w:r>
            <w:r>
              <w:rPr>
                <w:rFonts w:hint="eastAsia"/>
                <w:color w:val="auto"/>
                <w:sz w:val="21"/>
                <w:szCs w:val="21"/>
                <w:lang w:val="en-US"/>
              </w:rPr>
              <w:t>2</w:t>
            </w:r>
          </w:p>
        </w:tc>
      </w:tr>
      <w:tr w14:paraId="20E72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vAlign w:val="center"/>
          </w:tcPr>
          <w:p w14:paraId="272B7A6B">
            <w:pPr>
              <w:pStyle w:val="81"/>
              <w:adjustRightInd w:val="0"/>
              <w:snapToGrid w:val="0"/>
              <w:spacing w:before="120" w:beforeAutospacing="0" w:after="120" w:afterAutospacing="0"/>
              <w:jc w:val="center"/>
              <w:rPr>
                <w:color w:val="auto"/>
                <w:sz w:val="21"/>
                <w:szCs w:val="21"/>
              </w:rPr>
            </w:pPr>
            <w:r>
              <w:rPr>
                <w:rFonts w:hint="eastAsia"/>
                <w:color w:val="auto"/>
                <w:sz w:val="21"/>
                <w:szCs w:val="21"/>
              </w:rPr>
              <w:t>管控要求层级</w:t>
            </w:r>
          </w:p>
        </w:tc>
        <w:tc>
          <w:tcPr>
            <w:tcW w:w="1313" w:type="dxa"/>
            <w:vAlign w:val="center"/>
          </w:tcPr>
          <w:p w14:paraId="20AD6285">
            <w:pPr>
              <w:pStyle w:val="81"/>
              <w:adjustRightInd w:val="0"/>
              <w:snapToGrid w:val="0"/>
              <w:spacing w:before="120" w:beforeAutospacing="0" w:after="120" w:afterAutospacing="0"/>
              <w:jc w:val="center"/>
              <w:rPr>
                <w:color w:val="auto"/>
                <w:sz w:val="21"/>
                <w:szCs w:val="21"/>
              </w:rPr>
            </w:pPr>
            <w:r>
              <w:rPr>
                <w:rFonts w:hint="eastAsia"/>
                <w:color w:val="auto"/>
                <w:sz w:val="21"/>
                <w:szCs w:val="21"/>
              </w:rPr>
              <w:t>管控类型</w:t>
            </w:r>
          </w:p>
        </w:tc>
        <w:tc>
          <w:tcPr>
            <w:tcW w:w="7546" w:type="dxa"/>
            <w:gridSpan w:val="2"/>
            <w:vAlign w:val="center"/>
          </w:tcPr>
          <w:p w14:paraId="2EDA6E88">
            <w:pPr>
              <w:pStyle w:val="81"/>
              <w:adjustRightInd w:val="0"/>
              <w:snapToGrid w:val="0"/>
              <w:spacing w:before="120" w:beforeAutospacing="0" w:after="120" w:afterAutospacing="0"/>
              <w:jc w:val="center"/>
              <w:rPr>
                <w:color w:val="auto"/>
                <w:sz w:val="21"/>
                <w:szCs w:val="21"/>
              </w:rPr>
            </w:pPr>
            <w:r>
              <w:rPr>
                <w:rFonts w:hint="eastAsia"/>
                <w:color w:val="auto"/>
                <w:sz w:val="21"/>
                <w:szCs w:val="21"/>
              </w:rPr>
              <w:t>管控要求</w:t>
            </w:r>
          </w:p>
        </w:tc>
        <w:tc>
          <w:tcPr>
            <w:tcW w:w="2559" w:type="dxa"/>
            <w:vAlign w:val="center"/>
          </w:tcPr>
          <w:p w14:paraId="1BB7E228">
            <w:pPr>
              <w:pStyle w:val="81"/>
              <w:adjustRightInd w:val="0"/>
              <w:snapToGrid w:val="0"/>
              <w:spacing w:before="120" w:beforeAutospacing="0" w:after="120" w:afterAutospacing="0"/>
              <w:jc w:val="center"/>
              <w:rPr>
                <w:color w:val="auto"/>
                <w:sz w:val="21"/>
                <w:szCs w:val="21"/>
              </w:rPr>
            </w:pPr>
            <w:r>
              <w:rPr>
                <w:rFonts w:hint="eastAsia"/>
                <w:color w:val="auto"/>
                <w:sz w:val="21"/>
                <w:szCs w:val="21"/>
              </w:rPr>
              <w:t>建设项目相关情况</w:t>
            </w:r>
          </w:p>
        </w:tc>
        <w:tc>
          <w:tcPr>
            <w:tcW w:w="1258" w:type="dxa"/>
            <w:vAlign w:val="center"/>
          </w:tcPr>
          <w:p w14:paraId="12155F21">
            <w:pPr>
              <w:pStyle w:val="81"/>
              <w:adjustRightInd w:val="0"/>
              <w:snapToGrid w:val="0"/>
              <w:spacing w:before="120" w:beforeAutospacing="0" w:after="120" w:afterAutospacing="0"/>
              <w:jc w:val="center"/>
              <w:rPr>
                <w:color w:val="auto"/>
                <w:sz w:val="21"/>
                <w:szCs w:val="21"/>
              </w:rPr>
            </w:pPr>
            <w:r>
              <w:rPr>
                <w:rFonts w:hint="eastAsia"/>
                <w:color w:val="auto"/>
                <w:sz w:val="21"/>
                <w:szCs w:val="21"/>
              </w:rPr>
              <w:t>符合性分析结论</w:t>
            </w:r>
          </w:p>
        </w:tc>
      </w:tr>
      <w:tr w14:paraId="2CC38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vMerge w:val="restart"/>
            <w:vAlign w:val="center"/>
          </w:tcPr>
          <w:p w14:paraId="582E85B5">
            <w:pPr>
              <w:pStyle w:val="81"/>
              <w:adjustRightInd w:val="0"/>
              <w:snapToGrid w:val="0"/>
              <w:spacing w:before="120" w:beforeAutospacing="0" w:after="120" w:afterAutospacing="0"/>
              <w:jc w:val="center"/>
              <w:rPr>
                <w:color w:val="auto"/>
                <w:sz w:val="21"/>
                <w:szCs w:val="21"/>
              </w:rPr>
            </w:pPr>
            <w:r>
              <w:rPr>
                <w:rFonts w:hint="eastAsia" w:hAnsi="Times New Roman"/>
                <w:color w:val="auto"/>
                <w:sz w:val="21"/>
                <w:szCs w:val="21"/>
              </w:rPr>
              <w:t>全市总体管控要求</w:t>
            </w:r>
          </w:p>
        </w:tc>
        <w:tc>
          <w:tcPr>
            <w:tcW w:w="1313" w:type="dxa"/>
            <w:vAlign w:val="center"/>
          </w:tcPr>
          <w:p w14:paraId="635567A6">
            <w:pPr>
              <w:keepLines/>
              <w:numPr>
                <w:ilvl w:val="2"/>
                <w:numId w:val="0"/>
              </w:numPr>
              <w:adjustRightInd/>
              <w:snapToGrid/>
              <w:spacing w:line="240" w:lineRule="auto"/>
              <w:jc w:val="center"/>
              <w:rPr>
                <w:color w:val="auto"/>
                <w:sz w:val="21"/>
                <w:szCs w:val="21"/>
              </w:rPr>
            </w:pPr>
            <w:r>
              <w:rPr>
                <w:rFonts w:hint="eastAsia"/>
                <w:color w:val="auto"/>
                <w:sz w:val="21"/>
                <w:szCs w:val="21"/>
              </w:rPr>
              <w:t>空间布局约束</w:t>
            </w:r>
          </w:p>
        </w:tc>
        <w:tc>
          <w:tcPr>
            <w:tcW w:w="7546" w:type="dxa"/>
            <w:gridSpan w:val="2"/>
            <w:vAlign w:val="center"/>
          </w:tcPr>
          <w:p w14:paraId="0D8F23D2">
            <w:pPr>
              <w:keepLines/>
              <w:numPr>
                <w:ilvl w:val="2"/>
                <w:numId w:val="0"/>
              </w:numPr>
              <w:adjustRightInd/>
              <w:snapToGrid/>
              <w:spacing w:line="240" w:lineRule="auto"/>
              <w:jc w:val="left"/>
              <w:rPr>
                <w:color w:val="auto"/>
                <w:sz w:val="21"/>
                <w:szCs w:val="21"/>
              </w:rPr>
            </w:pPr>
            <w:r>
              <w:rPr>
                <w:rFonts w:hint="eastAsia"/>
                <w:color w:val="auto"/>
                <w:sz w:val="21"/>
                <w:szCs w:val="21"/>
              </w:rPr>
              <w:t>第一条 深入贯彻习近平生态文明思想，筑牢长江上游重要生态屏障，推动优势区域重点发展、生态功能区重点保护、城乡融合发展，优化重点区域、流域、产业的空间布局。</w:t>
            </w:r>
          </w:p>
          <w:p w14:paraId="3A9445BA">
            <w:pPr>
              <w:keepLines/>
              <w:numPr>
                <w:ilvl w:val="2"/>
                <w:numId w:val="0"/>
              </w:numPr>
              <w:adjustRightInd/>
              <w:snapToGrid/>
              <w:spacing w:line="240" w:lineRule="auto"/>
              <w:jc w:val="left"/>
              <w:rPr>
                <w:color w:val="auto"/>
                <w:sz w:val="21"/>
                <w:szCs w:val="21"/>
              </w:rPr>
            </w:pPr>
            <w:r>
              <w:rPr>
                <w:rFonts w:hint="eastAsia"/>
                <w:color w:val="auto"/>
                <w:sz w:val="21"/>
                <w:szCs w:val="21"/>
              </w:rPr>
              <w:t>第二条 禁止在长江干支流、重要湖泊岸线一公里范围内新建、扩建化工园区和化工项目。禁止在长江干流岸线三公里范围内和重要支流岸线一公里范围内新建、改建、扩建尾矿库、冶炼渣库、磷石膏库，以提升安全、生态环境保护水平为目的的改建除外。禁止在长江、嘉陵江、乌江岸线一公里范围内布局新建重化工、纸浆制造、印染等存在环境风险的项目。</w:t>
            </w:r>
          </w:p>
          <w:p w14:paraId="3B6351B7">
            <w:pPr>
              <w:keepLines/>
              <w:numPr>
                <w:ilvl w:val="2"/>
                <w:numId w:val="0"/>
              </w:numPr>
              <w:adjustRightInd/>
              <w:snapToGrid/>
              <w:spacing w:line="240" w:lineRule="auto"/>
              <w:jc w:val="left"/>
              <w:rPr>
                <w:color w:val="auto"/>
                <w:sz w:val="21"/>
                <w:szCs w:val="21"/>
              </w:rPr>
            </w:pPr>
            <w:r>
              <w:rPr>
                <w:rFonts w:hint="eastAsia"/>
                <w:color w:val="auto"/>
                <w:sz w:val="21"/>
                <w:szCs w:val="21"/>
              </w:rPr>
              <w:t>第三条 禁止在合规园区外新建、扩建钢铁、石化、化工、焦化、建材、有色、制浆造纸等高污染项目（高污染项目严格按照《环境保护综合名录》“高污染”产品名录执行）。禁止新建、扩建不符合国家石化、现代煤化工等产业布局规划的项目。新建、改建、扩建“两高”项目须符合生态环境保护法律法规和相关法定规划，满足重点污染物排放总量控制、碳排放达峰目标、生态环境准入清单、相关规划环评和相应行业建设项目环境准入条件、环评文件审批原则要求。</w:t>
            </w:r>
          </w:p>
          <w:p w14:paraId="050D050E">
            <w:pPr>
              <w:keepLines/>
              <w:numPr>
                <w:ilvl w:val="2"/>
                <w:numId w:val="0"/>
              </w:numPr>
              <w:adjustRightInd/>
              <w:snapToGrid/>
              <w:spacing w:line="240" w:lineRule="auto"/>
              <w:rPr>
                <w:color w:val="auto"/>
                <w:sz w:val="21"/>
                <w:szCs w:val="21"/>
              </w:rPr>
            </w:pPr>
            <w:r>
              <w:rPr>
                <w:rFonts w:hint="eastAsia"/>
                <w:color w:val="auto"/>
                <w:sz w:val="21"/>
                <w:szCs w:val="21"/>
              </w:rPr>
              <w:t>第四条 严把项目准入关口，对不符合要求的高耗能、高排放、低水平项目坚决不予准入。除在安全或者产业布局等方面有特殊要求的项目外，新建有污染物排放的工业项目应当进入工业集聚区。新建化工项目应当进入全市统一布局的化工产业集聚区。鼓励现有工业项目、化工项目分别搬入工业集聚区、化工产业集聚区。</w:t>
            </w:r>
          </w:p>
          <w:p w14:paraId="7E30A527">
            <w:pPr>
              <w:keepLines/>
              <w:numPr>
                <w:ilvl w:val="2"/>
                <w:numId w:val="0"/>
              </w:numPr>
              <w:adjustRightInd/>
              <w:snapToGrid/>
              <w:spacing w:line="240" w:lineRule="auto"/>
              <w:rPr>
                <w:color w:val="auto"/>
                <w:sz w:val="21"/>
                <w:szCs w:val="21"/>
              </w:rPr>
            </w:pPr>
            <w:r>
              <w:rPr>
                <w:rFonts w:hint="eastAsia"/>
                <w:color w:val="auto"/>
                <w:sz w:val="21"/>
                <w:szCs w:val="21"/>
              </w:rPr>
              <w:t>第五条 新建、扩建有色金属冶炼、电镀、铅蓄电池等企业应布设在依法合规设立并经过规划环评的产业园区。</w:t>
            </w:r>
          </w:p>
          <w:p w14:paraId="37439717">
            <w:pPr>
              <w:keepLines/>
              <w:numPr>
                <w:ilvl w:val="2"/>
                <w:numId w:val="0"/>
              </w:numPr>
              <w:adjustRightInd/>
              <w:snapToGrid/>
              <w:spacing w:line="240" w:lineRule="auto"/>
              <w:rPr>
                <w:color w:val="auto"/>
                <w:sz w:val="21"/>
                <w:szCs w:val="21"/>
              </w:rPr>
            </w:pPr>
            <w:r>
              <w:rPr>
                <w:rFonts w:hint="eastAsia"/>
                <w:color w:val="auto"/>
                <w:sz w:val="21"/>
                <w:szCs w:val="21"/>
              </w:rPr>
              <w:t>第六条 涉及环境防护距离的工业企业或项目应通过选址或调整布局原则上将环境防护距离控制在园区边界或用地红线内，提前合理规划项目地块布置、预防环境风险。</w:t>
            </w:r>
          </w:p>
          <w:p w14:paraId="44BAE537">
            <w:pPr>
              <w:keepLines/>
              <w:numPr>
                <w:ilvl w:val="2"/>
                <w:numId w:val="0"/>
              </w:numPr>
              <w:adjustRightInd/>
              <w:snapToGrid/>
              <w:spacing w:line="240" w:lineRule="auto"/>
              <w:rPr>
                <w:bCs/>
                <w:color w:val="auto"/>
                <w:sz w:val="21"/>
                <w:szCs w:val="21"/>
              </w:rPr>
            </w:pPr>
            <w:r>
              <w:rPr>
                <w:rFonts w:hint="eastAsia"/>
                <w:color w:val="auto"/>
                <w:sz w:val="21"/>
                <w:szCs w:val="21"/>
              </w:rPr>
              <w:t>第七条 有效规范空间开发秩序，合理控制空间开发强度，切实将各类开发活动限制在资源环境承载能力之内，为构建高效协调可持续的国土空间开发格局奠定坚实基础。</w:t>
            </w:r>
          </w:p>
        </w:tc>
        <w:tc>
          <w:tcPr>
            <w:tcW w:w="2559" w:type="dxa"/>
            <w:vAlign w:val="center"/>
          </w:tcPr>
          <w:p w14:paraId="73FECAF9">
            <w:pPr>
              <w:keepLines/>
              <w:numPr>
                <w:ilvl w:val="2"/>
                <w:numId w:val="0"/>
              </w:numPr>
              <w:spacing w:line="240" w:lineRule="auto"/>
              <w:rPr>
                <w:color w:val="auto"/>
                <w:sz w:val="21"/>
                <w:szCs w:val="21"/>
              </w:rPr>
            </w:pPr>
            <w:r>
              <w:rPr>
                <w:rFonts w:hint="eastAsia"/>
                <w:color w:val="auto"/>
                <w:kern w:val="0"/>
                <w:sz w:val="21"/>
                <w:szCs w:val="21"/>
              </w:rPr>
              <w:t>项目为污水集中处理项目，位于</w:t>
            </w:r>
            <w:r>
              <w:rPr>
                <w:rFonts w:hint="eastAsia"/>
                <w:color w:val="auto"/>
                <w:kern w:val="0"/>
                <w:sz w:val="21"/>
                <w:szCs w:val="21"/>
                <w:lang w:eastAsia="zh-CN"/>
              </w:rPr>
              <w:t>重庆忠县工业园乌杨组团</w:t>
            </w:r>
            <w:r>
              <w:rPr>
                <w:rFonts w:hint="eastAsia"/>
                <w:color w:val="auto"/>
                <w:kern w:val="0"/>
                <w:sz w:val="21"/>
                <w:szCs w:val="21"/>
              </w:rPr>
              <w:t>，</w:t>
            </w:r>
            <w:r>
              <w:rPr>
                <w:rFonts w:hint="eastAsia"/>
                <w:color w:val="auto"/>
                <w:sz w:val="21"/>
                <w:szCs w:val="21"/>
              </w:rPr>
              <w:t xml:space="preserve">不属于以上禁止类项目，不属于“两高”项目；项目不需要设置环境防护距离 </w:t>
            </w:r>
          </w:p>
        </w:tc>
        <w:tc>
          <w:tcPr>
            <w:tcW w:w="1258" w:type="dxa"/>
            <w:vAlign w:val="center"/>
          </w:tcPr>
          <w:p w14:paraId="2C8D2504">
            <w:pPr>
              <w:pStyle w:val="81"/>
              <w:adjustRightInd w:val="0"/>
              <w:snapToGrid w:val="0"/>
              <w:spacing w:before="120" w:beforeAutospacing="0" w:after="120" w:afterAutospacing="0"/>
              <w:jc w:val="center"/>
              <w:rPr>
                <w:color w:val="auto"/>
                <w:sz w:val="21"/>
                <w:szCs w:val="21"/>
              </w:rPr>
            </w:pPr>
            <w:r>
              <w:rPr>
                <w:rFonts w:hint="eastAsia"/>
                <w:color w:val="auto"/>
                <w:sz w:val="21"/>
                <w:szCs w:val="21"/>
              </w:rPr>
              <w:t>符合</w:t>
            </w:r>
          </w:p>
        </w:tc>
      </w:tr>
      <w:tr w14:paraId="18D90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vMerge w:val="continue"/>
            <w:vAlign w:val="center"/>
          </w:tcPr>
          <w:p w14:paraId="7189DFBC">
            <w:pPr>
              <w:pStyle w:val="81"/>
              <w:adjustRightInd w:val="0"/>
              <w:snapToGrid w:val="0"/>
              <w:spacing w:before="120" w:beforeAutospacing="0" w:after="120" w:afterAutospacing="0"/>
              <w:jc w:val="center"/>
              <w:rPr>
                <w:color w:val="auto"/>
                <w:sz w:val="21"/>
                <w:szCs w:val="21"/>
              </w:rPr>
            </w:pPr>
          </w:p>
        </w:tc>
        <w:tc>
          <w:tcPr>
            <w:tcW w:w="1313" w:type="dxa"/>
            <w:vAlign w:val="center"/>
          </w:tcPr>
          <w:p w14:paraId="6772F7DA">
            <w:pPr>
              <w:keepLines/>
              <w:numPr>
                <w:ilvl w:val="2"/>
                <w:numId w:val="0"/>
              </w:numPr>
              <w:adjustRightInd/>
              <w:snapToGrid/>
              <w:spacing w:line="240" w:lineRule="auto"/>
              <w:jc w:val="center"/>
              <w:rPr>
                <w:color w:val="auto"/>
                <w:sz w:val="21"/>
                <w:szCs w:val="21"/>
              </w:rPr>
            </w:pPr>
            <w:r>
              <w:rPr>
                <w:rFonts w:hint="eastAsia"/>
                <w:color w:val="auto"/>
                <w:sz w:val="21"/>
                <w:szCs w:val="21"/>
              </w:rPr>
              <w:t>污染物排放管控</w:t>
            </w:r>
          </w:p>
        </w:tc>
        <w:tc>
          <w:tcPr>
            <w:tcW w:w="7546" w:type="dxa"/>
            <w:gridSpan w:val="2"/>
            <w:vAlign w:val="center"/>
          </w:tcPr>
          <w:p w14:paraId="58EB6FCA">
            <w:pPr>
              <w:keepLines/>
              <w:numPr>
                <w:ilvl w:val="2"/>
                <w:numId w:val="0"/>
              </w:numPr>
              <w:adjustRightInd/>
              <w:snapToGrid/>
              <w:spacing w:line="240" w:lineRule="auto"/>
              <w:rPr>
                <w:color w:val="auto"/>
                <w:sz w:val="21"/>
                <w:szCs w:val="21"/>
              </w:rPr>
            </w:pPr>
            <w:r>
              <w:rPr>
                <w:rFonts w:hint="eastAsia"/>
                <w:color w:val="auto"/>
                <w:sz w:val="21"/>
                <w:szCs w:val="21"/>
              </w:rPr>
              <w:t>第八条 新建石化、煤化工、燃煤发电（含热电）、钢铁、有色金属冶炼、制浆造纸行业依据区域环境质量改善目标，制定配套区域污染物削减方案，采取有效的污染物区域削减措施，腾出足够的环境容量。严格按照国家及我市有关规定，对钢铁、水泥熟料、平板玻璃、电解铝等行业新建、扩建项目实行产能等量或减量置换。国家或地方已出台超低排放要求的“两高”行业建设项目应满足超低排放要求。加强水泥和平板玻璃行业差别化管理，新改扩建项目严格落实相关产业政策要求，满足能效标杆水平、环保绩效A级指标要求。</w:t>
            </w:r>
          </w:p>
          <w:p w14:paraId="2FC0F044">
            <w:pPr>
              <w:keepLines/>
              <w:numPr>
                <w:ilvl w:val="2"/>
                <w:numId w:val="0"/>
              </w:numPr>
              <w:adjustRightInd/>
              <w:snapToGrid/>
              <w:spacing w:line="240" w:lineRule="auto"/>
              <w:jc w:val="left"/>
              <w:rPr>
                <w:color w:val="auto"/>
                <w:sz w:val="21"/>
                <w:szCs w:val="21"/>
              </w:rPr>
            </w:pPr>
            <w:r>
              <w:rPr>
                <w:rFonts w:hint="eastAsia"/>
                <w:color w:val="auto"/>
                <w:sz w:val="21"/>
                <w:szCs w:val="21"/>
              </w:rPr>
              <w:t>第九条 严格落实国家及我市大气污染防控相关要求，对大气环境质量未达标地区，新建、改扩建项目实施更严格的污染物排放总量控制要求。严格落实区域削减要求，所在区域、流域控制单元环境质量未达到国家或者地方环境质量标准的，建设项目需提出有效的区域削减方案，主要污染物实行区域倍量削减。</w:t>
            </w:r>
          </w:p>
          <w:p w14:paraId="34B3BE09">
            <w:pPr>
              <w:keepLines/>
              <w:numPr>
                <w:ilvl w:val="2"/>
                <w:numId w:val="0"/>
              </w:numPr>
              <w:adjustRightInd/>
              <w:snapToGrid/>
              <w:spacing w:line="240" w:lineRule="auto"/>
              <w:jc w:val="left"/>
              <w:rPr>
                <w:color w:val="auto"/>
                <w:sz w:val="21"/>
                <w:szCs w:val="21"/>
              </w:rPr>
            </w:pPr>
            <w:r>
              <w:rPr>
                <w:rFonts w:hint="eastAsia"/>
                <w:color w:val="auto"/>
                <w:sz w:val="21"/>
                <w:szCs w:val="21"/>
              </w:rPr>
              <w:t>第十条 在重点行业（石化、化工、工业涂装、包装印刷、油品储运销等）推进挥发性有机物综合治理，推动低挥发性有机物原辅材料和产品源头替代，推广使用低挥发性有机物含量产品，推动纳入政府绿色采购名录。有条件的工业集聚区建设集中喷涂工程中心，配备高效治污设施，替代企业独立喷涂工序，对涉及喷漆、喷粉、印刷等废气进行集中处理。</w:t>
            </w:r>
          </w:p>
          <w:p w14:paraId="750E41F3">
            <w:pPr>
              <w:keepLines/>
              <w:numPr>
                <w:ilvl w:val="2"/>
                <w:numId w:val="0"/>
              </w:numPr>
              <w:adjustRightInd/>
              <w:snapToGrid/>
              <w:spacing w:line="240" w:lineRule="auto"/>
              <w:jc w:val="left"/>
              <w:rPr>
                <w:color w:val="auto"/>
                <w:sz w:val="21"/>
                <w:szCs w:val="21"/>
              </w:rPr>
            </w:pPr>
            <w:r>
              <w:rPr>
                <w:rFonts w:hint="eastAsia"/>
                <w:color w:val="auto"/>
                <w:sz w:val="21"/>
                <w:szCs w:val="21"/>
              </w:rPr>
              <w:t>第十一条 工业集聚区应当按照有关规定配套建设相应的污水集中处理设施，安装自动监测设备，工业集聚区内的企业向污水集中处理设施排放工业废水的，应当按照国家有关规定进行预处理，达到集中处理设施处理工艺要求后方可排放。</w:t>
            </w:r>
          </w:p>
          <w:p w14:paraId="44D8E06A">
            <w:pPr>
              <w:keepLines/>
              <w:numPr>
                <w:ilvl w:val="2"/>
                <w:numId w:val="0"/>
              </w:numPr>
              <w:adjustRightInd/>
              <w:snapToGrid/>
              <w:spacing w:line="240" w:lineRule="auto"/>
              <w:jc w:val="left"/>
              <w:rPr>
                <w:color w:val="auto"/>
                <w:sz w:val="21"/>
                <w:szCs w:val="21"/>
              </w:rPr>
            </w:pPr>
            <w:r>
              <w:rPr>
                <w:rFonts w:hint="eastAsia"/>
                <w:color w:val="auto"/>
                <w:sz w:val="21"/>
                <w:szCs w:val="21"/>
              </w:rPr>
              <w:t>第十二条 推进乡镇生活污水处理设施达标改造。新建城市生活污水处理厂全部按照一级A标及以上排放标准设计、施工、验收，建制乡镇生活污水处理设施出水水质不得低于一级B标排放标准；对现有截留制排水管网实施雨污分流改造，针对无法彻底雨污分流的老城区，尊重现实合理保留截留制区域，合理提高截留倍数；对新建的排水管网，全部按照雨污分流模式实施建设。</w:t>
            </w:r>
          </w:p>
          <w:p w14:paraId="57BF5BE7">
            <w:pPr>
              <w:keepLines/>
              <w:numPr>
                <w:ilvl w:val="2"/>
                <w:numId w:val="0"/>
              </w:numPr>
              <w:adjustRightInd/>
              <w:snapToGrid/>
              <w:spacing w:line="240" w:lineRule="auto"/>
              <w:jc w:val="left"/>
              <w:rPr>
                <w:color w:val="auto"/>
                <w:sz w:val="21"/>
                <w:szCs w:val="21"/>
              </w:rPr>
            </w:pPr>
            <w:r>
              <w:rPr>
                <w:rFonts w:hint="eastAsia"/>
                <w:color w:val="auto"/>
                <w:sz w:val="21"/>
                <w:szCs w:val="21"/>
              </w:rPr>
              <w:t>第十三条 新、改、扩建重点行业〔重有色金属矿采选业（铜、铅锌、镍钴、锡、锑和汞矿采选）、重有色金属冶炼业（铜、铅锌、镍钴、锡、锑和汞冶炼）、铅蓄电池制造业、皮革鞣制加工业、化学原料及化学制品制造业（电石法聚氯乙烯制造、铬盐制造、以工业固废为原料的锌无机化合物工业等）、电镀行业〕重点重金属污染物排放执行“等量替代”原则。</w:t>
            </w:r>
          </w:p>
          <w:p w14:paraId="14BD27A8">
            <w:pPr>
              <w:keepLines/>
              <w:numPr>
                <w:ilvl w:val="2"/>
                <w:numId w:val="0"/>
              </w:numPr>
              <w:adjustRightInd/>
              <w:snapToGrid/>
              <w:spacing w:line="240" w:lineRule="auto"/>
              <w:jc w:val="left"/>
              <w:rPr>
                <w:color w:val="auto"/>
                <w:sz w:val="21"/>
                <w:szCs w:val="21"/>
              </w:rPr>
            </w:pPr>
            <w:r>
              <w:rPr>
                <w:rFonts w:hint="eastAsia"/>
                <w:color w:val="auto"/>
                <w:sz w:val="21"/>
                <w:szCs w:val="21"/>
              </w:rPr>
              <w:t>第十四条 固体废物污染环境防治坚持减量化、资源化和无害化的原则。产生工业固体废物的单位应当建立健全工业固体废物产生、收集、贮存、运输、利用、处置全过程的污染环境防治责任制度，建立工业固体废物管理台账。</w:t>
            </w:r>
          </w:p>
          <w:p w14:paraId="2EFCF7F7">
            <w:pPr>
              <w:keepLines/>
              <w:numPr>
                <w:ilvl w:val="2"/>
                <w:numId w:val="0"/>
              </w:numPr>
              <w:adjustRightInd/>
              <w:snapToGrid/>
              <w:spacing w:line="240" w:lineRule="auto"/>
              <w:jc w:val="left"/>
              <w:rPr>
                <w:bCs/>
                <w:color w:val="auto"/>
                <w:sz w:val="21"/>
                <w:szCs w:val="21"/>
              </w:rPr>
            </w:pPr>
            <w:r>
              <w:rPr>
                <w:rFonts w:hint="eastAsia"/>
                <w:color w:val="auto"/>
                <w:sz w:val="21"/>
                <w:szCs w:val="21"/>
              </w:rPr>
              <w:t>第十五条 建设分类投放、分类收集、分类运输、分类处理的生活垃圾处理系统。合理布局生活垃圾分类收集站点，完善分类运输系统，加快补齐分类收集转运设施能力短板。强化“无废城市”制度、技术、市场、监管、全民行动“五大体系”建设，推进城市固体废物精细化管理。</w:t>
            </w:r>
          </w:p>
        </w:tc>
        <w:tc>
          <w:tcPr>
            <w:tcW w:w="2559" w:type="dxa"/>
            <w:vAlign w:val="center"/>
          </w:tcPr>
          <w:p w14:paraId="4BB275E9">
            <w:pPr>
              <w:keepLines/>
              <w:numPr>
                <w:ilvl w:val="2"/>
                <w:numId w:val="0"/>
              </w:numPr>
              <w:spacing w:line="240" w:lineRule="auto"/>
              <w:jc w:val="left"/>
              <w:rPr>
                <w:color w:val="auto"/>
                <w:sz w:val="21"/>
                <w:szCs w:val="21"/>
              </w:rPr>
            </w:pPr>
            <w:r>
              <w:rPr>
                <w:rFonts w:hint="eastAsia"/>
                <w:color w:val="auto"/>
                <w:sz w:val="21"/>
                <w:szCs w:val="21"/>
              </w:rPr>
              <w:t>项目位于</w:t>
            </w:r>
            <w:r>
              <w:rPr>
                <w:rFonts w:hint="eastAsia"/>
                <w:color w:val="auto"/>
                <w:sz w:val="21"/>
                <w:szCs w:val="21"/>
                <w:lang w:eastAsia="zh-CN"/>
              </w:rPr>
              <w:t>重庆忠县工业园乌杨组团</w:t>
            </w:r>
            <w:r>
              <w:rPr>
                <w:rFonts w:hint="eastAsia"/>
                <w:color w:val="auto"/>
                <w:sz w:val="21"/>
                <w:szCs w:val="21"/>
              </w:rPr>
              <w:t>，属于</w:t>
            </w:r>
            <w:r>
              <w:rPr>
                <w:rFonts w:hint="eastAsia" w:ascii="宋体" w:hAnsi="宋体" w:cs="宋体"/>
                <w:color w:val="auto"/>
                <w:sz w:val="21"/>
                <w:szCs w:val="21"/>
              </w:rPr>
              <w:t>污水集中处理项目</w:t>
            </w:r>
            <w:r>
              <w:rPr>
                <w:rFonts w:hint="eastAsia"/>
                <w:color w:val="auto"/>
                <w:sz w:val="21"/>
                <w:szCs w:val="21"/>
              </w:rPr>
              <w:t>，不属于禁止类、限制类项目，区 域 地表 水 质 量达 标 ，</w:t>
            </w:r>
            <w:r>
              <w:rPr>
                <w:rFonts w:hint="eastAsia"/>
                <w:color w:val="auto"/>
                <w:sz w:val="21"/>
                <w:szCs w:val="21"/>
                <w:lang w:val="zh-CN"/>
              </w:rPr>
              <w:t>项目不涉及使用VOCS原辅材料</w:t>
            </w:r>
            <w:r>
              <w:rPr>
                <w:rFonts w:hint="eastAsia"/>
                <w:color w:val="auto"/>
                <w:sz w:val="21"/>
                <w:szCs w:val="21"/>
              </w:rPr>
              <w:t>，项目废水处理过程产生的VOCs收集后经1套“碱喷淋+除湿+活性炭吸附”处置达标后排放。</w:t>
            </w:r>
            <w:r>
              <w:rPr>
                <w:rFonts w:hint="eastAsia"/>
                <w:color w:val="auto"/>
                <w:kern w:val="0"/>
                <w:sz w:val="21"/>
                <w:szCs w:val="21"/>
              </w:rPr>
              <w:t>项目收集废水经处理达</w:t>
            </w:r>
            <w:r>
              <w:rPr>
                <w:rFonts w:hint="eastAsia"/>
                <w:color w:val="auto"/>
                <w:kern w:val="0"/>
                <w:sz w:val="21"/>
                <w:szCs w:val="21"/>
                <w:lang w:eastAsia="zh-CN"/>
              </w:rPr>
              <w:t>《页岩气开采水污染物排放标准》（DB50/1806-2025）间接排放标准限值</w:t>
            </w:r>
            <w:r>
              <w:rPr>
                <w:rFonts w:hint="eastAsia"/>
                <w:color w:val="auto"/>
                <w:kern w:val="0"/>
                <w:sz w:val="21"/>
                <w:szCs w:val="21"/>
              </w:rPr>
              <w:t>排入园区污水管网，最终进入</w:t>
            </w:r>
            <w:r>
              <w:rPr>
                <w:rFonts w:hint="eastAsia"/>
                <w:color w:val="auto"/>
                <w:kern w:val="0"/>
                <w:sz w:val="21"/>
                <w:szCs w:val="21"/>
                <w:lang w:eastAsia="zh-CN"/>
              </w:rPr>
              <w:t>乌杨组团园区污水处理厂</w:t>
            </w:r>
            <w:r>
              <w:rPr>
                <w:rFonts w:hint="eastAsia"/>
                <w:color w:val="auto"/>
                <w:kern w:val="0"/>
                <w:sz w:val="21"/>
                <w:szCs w:val="21"/>
              </w:rPr>
              <w:t>进行深度处理达《城镇污水处理厂污染物排放标准》（GB18918-2002）一级 A 标准后排入</w:t>
            </w:r>
            <w:r>
              <w:rPr>
                <w:rFonts w:hint="eastAsia"/>
                <w:color w:val="auto"/>
                <w:kern w:val="0"/>
                <w:sz w:val="21"/>
                <w:szCs w:val="21"/>
                <w:lang w:eastAsia="zh-CN"/>
              </w:rPr>
              <w:t>长江</w:t>
            </w:r>
            <w:r>
              <w:rPr>
                <w:rFonts w:hint="eastAsia"/>
                <w:color w:val="auto"/>
                <w:kern w:val="0"/>
                <w:sz w:val="21"/>
                <w:szCs w:val="21"/>
              </w:rPr>
              <w:t>。</w:t>
            </w:r>
          </w:p>
        </w:tc>
        <w:tc>
          <w:tcPr>
            <w:tcW w:w="1258" w:type="dxa"/>
            <w:vAlign w:val="center"/>
          </w:tcPr>
          <w:p w14:paraId="1137F18F">
            <w:pPr>
              <w:pStyle w:val="81"/>
              <w:adjustRightInd w:val="0"/>
              <w:snapToGrid w:val="0"/>
              <w:spacing w:before="120" w:beforeAutospacing="0" w:after="120" w:afterAutospacing="0"/>
              <w:jc w:val="center"/>
              <w:rPr>
                <w:color w:val="auto"/>
                <w:sz w:val="21"/>
                <w:szCs w:val="21"/>
              </w:rPr>
            </w:pPr>
            <w:r>
              <w:rPr>
                <w:rFonts w:hint="eastAsia"/>
                <w:color w:val="auto"/>
                <w:sz w:val="21"/>
                <w:szCs w:val="21"/>
              </w:rPr>
              <w:t>符合</w:t>
            </w:r>
          </w:p>
        </w:tc>
      </w:tr>
      <w:tr w14:paraId="418A6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vMerge w:val="continue"/>
            <w:vAlign w:val="center"/>
          </w:tcPr>
          <w:p w14:paraId="3FB8615F">
            <w:pPr>
              <w:pStyle w:val="81"/>
              <w:adjustRightInd w:val="0"/>
              <w:snapToGrid w:val="0"/>
              <w:spacing w:before="120" w:beforeAutospacing="0" w:after="120" w:afterAutospacing="0"/>
              <w:jc w:val="center"/>
              <w:rPr>
                <w:color w:val="auto"/>
                <w:sz w:val="21"/>
                <w:szCs w:val="21"/>
              </w:rPr>
            </w:pPr>
          </w:p>
        </w:tc>
        <w:tc>
          <w:tcPr>
            <w:tcW w:w="1313" w:type="dxa"/>
            <w:vAlign w:val="center"/>
          </w:tcPr>
          <w:p w14:paraId="1BAA62DB">
            <w:pPr>
              <w:keepLines/>
              <w:numPr>
                <w:ilvl w:val="2"/>
                <w:numId w:val="0"/>
              </w:numPr>
              <w:adjustRightInd/>
              <w:snapToGrid/>
              <w:spacing w:line="240" w:lineRule="auto"/>
              <w:jc w:val="center"/>
              <w:rPr>
                <w:color w:val="auto"/>
                <w:sz w:val="21"/>
                <w:szCs w:val="21"/>
              </w:rPr>
            </w:pPr>
            <w:r>
              <w:rPr>
                <w:rFonts w:hint="eastAsia"/>
                <w:color w:val="auto"/>
                <w:sz w:val="21"/>
                <w:szCs w:val="21"/>
              </w:rPr>
              <w:t>环境风险防控</w:t>
            </w:r>
          </w:p>
        </w:tc>
        <w:tc>
          <w:tcPr>
            <w:tcW w:w="7546" w:type="dxa"/>
            <w:gridSpan w:val="2"/>
            <w:vAlign w:val="center"/>
          </w:tcPr>
          <w:p w14:paraId="5C875299">
            <w:pPr>
              <w:keepLines/>
              <w:numPr>
                <w:ilvl w:val="2"/>
                <w:numId w:val="0"/>
              </w:numPr>
              <w:tabs>
                <w:tab w:val="left" w:pos="764"/>
              </w:tabs>
              <w:adjustRightInd/>
              <w:snapToGrid/>
              <w:spacing w:line="240" w:lineRule="auto"/>
              <w:jc w:val="left"/>
              <w:rPr>
                <w:color w:val="auto"/>
                <w:sz w:val="21"/>
                <w:szCs w:val="21"/>
              </w:rPr>
            </w:pPr>
            <w:r>
              <w:rPr>
                <w:rFonts w:hint="eastAsia"/>
                <w:color w:val="auto"/>
                <w:sz w:val="21"/>
                <w:szCs w:val="21"/>
              </w:rPr>
              <w:t>第十六条 深入开展行政区域、重点流域、重点饮用水源、化工园区等突发环境事件风险评估，建立区域突发环境事件风险评估数据信息获取与动态更新机制。落实企业突发环境事件风险评估制度，推进突发环境事件风险分类分级管理，严格监管重大突发环境事件风险企业。</w:t>
            </w:r>
          </w:p>
          <w:p w14:paraId="4BFDC074">
            <w:pPr>
              <w:keepLines/>
              <w:numPr>
                <w:ilvl w:val="2"/>
                <w:numId w:val="0"/>
              </w:numPr>
              <w:adjustRightInd/>
              <w:snapToGrid/>
              <w:spacing w:line="240" w:lineRule="auto"/>
              <w:jc w:val="left"/>
              <w:rPr>
                <w:color w:val="auto"/>
                <w:sz w:val="21"/>
                <w:szCs w:val="21"/>
              </w:rPr>
            </w:pPr>
            <w:r>
              <w:rPr>
                <w:rFonts w:hint="eastAsia"/>
                <w:color w:val="auto"/>
                <w:sz w:val="21"/>
                <w:szCs w:val="21"/>
              </w:rPr>
              <w:t>第十七条 强化化工园区涉水突发环境事件四级环境风险防范体系建设。持续推进重点化工园区（化工集中区）建设有毒有害气体监测预警体系和水质生物毒性预警体系。</w:t>
            </w:r>
          </w:p>
        </w:tc>
        <w:tc>
          <w:tcPr>
            <w:tcW w:w="2559" w:type="dxa"/>
            <w:vAlign w:val="center"/>
          </w:tcPr>
          <w:p w14:paraId="5BF34FA7">
            <w:pPr>
              <w:keepLines/>
              <w:numPr>
                <w:ilvl w:val="2"/>
                <w:numId w:val="0"/>
              </w:numPr>
              <w:spacing w:line="240" w:lineRule="auto"/>
              <w:jc w:val="left"/>
              <w:rPr>
                <w:color w:val="auto"/>
                <w:sz w:val="21"/>
                <w:szCs w:val="21"/>
              </w:rPr>
            </w:pPr>
            <w:r>
              <w:rPr>
                <w:rFonts w:hint="eastAsia"/>
                <w:color w:val="auto"/>
                <w:sz w:val="21"/>
                <w:szCs w:val="21"/>
              </w:rPr>
              <w:t>建设单位按要求采取环境风险防范措施后，环境风险可防控，项目不属于重大突发环境事件风险企业</w:t>
            </w:r>
          </w:p>
        </w:tc>
        <w:tc>
          <w:tcPr>
            <w:tcW w:w="1258" w:type="dxa"/>
            <w:vAlign w:val="center"/>
          </w:tcPr>
          <w:p w14:paraId="1DA8CA6B">
            <w:pPr>
              <w:pStyle w:val="81"/>
              <w:adjustRightInd w:val="0"/>
              <w:snapToGrid w:val="0"/>
              <w:spacing w:before="120" w:beforeAutospacing="0" w:after="120" w:afterAutospacing="0"/>
              <w:jc w:val="center"/>
              <w:rPr>
                <w:color w:val="auto"/>
                <w:sz w:val="21"/>
                <w:szCs w:val="21"/>
              </w:rPr>
            </w:pPr>
            <w:r>
              <w:rPr>
                <w:rFonts w:hint="eastAsia"/>
                <w:color w:val="auto"/>
                <w:sz w:val="21"/>
                <w:szCs w:val="21"/>
              </w:rPr>
              <w:t>符合</w:t>
            </w:r>
          </w:p>
        </w:tc>
      </w:tr>
      <w:tr w14:paraId="39FAC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vMerge w:val="continue"/>
            <w:vAlign w:val="center"/>
          </w:tcPr>
          <w:p w14:paraId="3E0A2AC7">
            <w:pPr>
              <w:pStyle w:val="81"/>
              <w:adjustRightInd w:val="0"/>
              <w:snapToGrid w:val="0"/>
              <w:spacing w:before="120" w:beforeAutospacing="0" w:after="120" w:afterAutospacing="0"/>
              <w:jc w:val="center"/>
              <w:rPr>
                <w:color w:val="auto"/>
                <w:sz w:val="21"/>
                <w:szCs w:val="21"/>
              </w:rPr>
            </w:pPr>
          </w:p>
        </w:tc>
        <w:tc>
          <w:tcPr>
            <w:tcW w:w="1313" w:type="dxa"/>
            <w:vAlign w:val="center"/>
          </w:tcPr>
          <w:p w14:paraId="3E9040D0">
            <w:pPr>
              <w:keepLines/>
              <w:numPr>
                <w:ilvl w:val="2"/>
                <w:numId w:val="0"/>
              </w:numPr>
              <w:adjustRightInd/>
              <w:snapToGrid/>
              <w:spacing w:line="240" w:lineRule="auto"/>
              <w:jc w:val="center"/>
              <w:rPr>
                <w:color w:val="auto"/>
                <w:sz w:val="21"/>
                <w:szCs w:val="21"/>
              </w:rPr>
            </w:pPr>
            <w:r>
              <w:rPr>
                <w:rFonts w:hint="eastAsia"/>
                <w:color w:val="auto"/>
                <w:sz w:val="21"/>
                <w:szCs w:val="21"/>
              </w:rPr>
              <w:t>资源利用效率</w:t>
            </w:r>
          </w:p>
        </w:tc>
        <w:tc>
          <w:tcPr>
            <w:tcW w:w="7546" w:type="dxa"/>
            <w:gridSpan w:val="2"/>
            <w:vAlign w:val="center"/>
          </w:tcPr>
          <w:p w14:paraId="79A022B5">
            <w:pPr>
              <w:keepLines/>
              <w:numPr>
                <w:ilvl w:val="2"/>
                <w:numId w:val="0"/>
              </w:numPr>
              <w:adjustRightInd/>
              <w:snapToGrid/>
              <w:spacing w:line="240" w:lineRule="auto"/>
              <w:jc w:val="left"/>
              <w:rPr>
                <w:color w:val="auto"/>
                <w:sz w:val="21"/>
                <w:szCs w:val="21"/>
              </w:rPr>
            </w:pPr>
            <w:r>
              <w:rPr>
                <w:rFonts w:hint="eastAsia"/>
                <w:color w:val="auto"/>
                <w:sz w:val="21"/>
                <w:szCs w:val="21"/>
              </w:rPr>
              <w:t>第十八条 实施能源领域碳达峰碳中和行动，科学有序推动能源生产消费方式绿色低碳变革。实施可再生能源替代，减少化石能源消费。加强产业布局和能耗“双控”政策衔接，促进重点用能领域用能结构优化和能效提升。</w:t>
            </w:r>
          </w:p>
          <w:p w14:paraId="0F0F8F4C">
            <w:pPr>
              <w:keepLines/>
              <w:numPr>
                <w:ilvl w:val="2"/>
                <w:numId w:val="0"/>
              </w:numPr>
              <w:adjustRightInd/>
              <w:snapToGrid/>
              <w:spacing w:line="240" w:lineRule="auto"/>
              <w:jc w:val="left"/>
              <w:rPr>
                <w:color w:val="auto"/>
                <w:sz w:val="21"/>
                <w:szCs w:val="21"/>
              </w:rPr>
            </w:pPr>
            <w:r>
              <w:rPr>
                <w:rFonts w:hint="eastAsia"/>
                <w:color w:val="auto"/>
                <w:sz w:val="21"/>
                <w:szCs w:val="21"/>
              </w:rPr>
              <w:t>第十九条 鼓励企业对标能耗限额标准先进值或国际先进水平，加快主要产品工艺升级与绿色化改造，推动工业窑炉、锅炉、电机、压缩机、泵、变压器等重点用能设备系统节能改造。推动现有企业、园区生产过程清洁化转型，精准提升市场主体绿色低碳水平，引导绿色园区低碳发展。</w:t>
            </w:r>
          </w:p>
          <w:p w14:paraId="4621906F">
            <w:pPr>
              <w:keepLines/>
              <w:numPr>
                <w:ilvl w:val="2"/>
                <w:numId w:val="0"/>
              </w:numPr>
              <w:adjustRightInd/>
              <w:snapToGrid/>
              <w:spacing w:line="240" w:lineRule="auto"/>
              <w:jc w:val="left"/>
              <w:rPr>
                <w:color w:val="auto"/>
                <w:sz w:val="21"/>
                <w:szCs w:val="21"/>
              </w:rPr>
            </w:pPr>
            <w:r>
              <w:rPr>
                <w:rFonts w:hint="eastAsia"/>
                <w:color w:val="auto"/>
                <w:sz w:val="21"/>
                <w:szCs w:val="21"/>
              </w:rPr>
              <w:t>第二十条 新建、扩建“两高”项目应采用先进适用的工艺技术和装备，单位产品物耗、能耗、水耗等达到清洁生产先进水平。</w:t>
            </w:r>
          </w:p>
          <w:p w14:paraId="042567FE">
            <w:pPr>
              <w:keepLines/>
              <w:numPr>
                <w:ilvl w:val="2"/>
                <w:numId w:val="0"/>
              </w:numPr>
              <w:adjustRightInd/>
              <w:snapToGrid/>
              <w:spacing w:line="240" w:lineRule="auto"/>
              <w:jc w:val="left"/>
              <w:rPr>
                <w:color w:val="auto"/>
                <w:sz w:val="21"/>
                <w:szCs w:val="21"/>
              </w:rPr>
            </w:pPr>
            <w:r>
              <w:rPr>
                <w:rFonts w:hint="eastAsia"/>
                <w:color w:val="auto"/>
                <w:sz w:val="21"/>
                <w:szCs w:val="21"/>
              </w:rPr>
              <w:t>第二十一条 推进企业内部工业用水循环利用、园区内企业间用水系统集成优化。开展火电、石化、有色金属、造纸、印染等高耗水行业工业废水循环利用示范。根据区域水资源禀赋和行业特点，结合用水总量控制措施，引导区域工业布局和产业结构调整，大力推广工业水循环利用，加快淘汰落后用水工艺和技术。</w:t>
            </w:r>
          </w:p>
          <w:p w14:paraId="5AE08A93">
            <w:pPr>
              <w:keepLines/>
              <w:numPr>
                <w:ilvl w:val="2"/>
                <w:numId w:val="0"/>
              </w:numPr>
              <w:adjustRightInd/>
              <w:snapToGrid/>
              <w:spacing w:line="240" w:lineRule="auto"/>
              <w:jc w:val="left"/>
              <w:rPr>
                <w:bCs/>
                <w:snapToGrid w:val="0"/>
                <w:color w:val="auto"/>
                <w:sz w:val="21"/>
                <w:szCs w:val="21"/>
              </w:rPr>
            </w:pPr>
            <w:r>
              <w:rPr>
                <w:rFonts w:hint="eastAsia"/>
                <w:color w:val="auto"/>
                <w:sz w:val="21"/>
                <w:szCs w:val="21"/>
              </w:rPr>
              <w:t>第二十二条 加快推进节水配套设施建设，加强再生水、雨水等非常规水多元、梯级和安全利用，逐年提高非常规水利用比例。结合现有污水处理设施提标升级扩能改造，系统规划城镇污水再生利用设施。</w:t>
            </w:r>
          </w:p>
        </w:tc>
        <w:tc>
          <w:tcPr>
            <w:tcW w:w="2559" w:type="dxa"/>
            <w:vAlign w:val="center"/>
          </w:tcPr>
          <w:p w14:paraId="0423EB8A">
            <w:pPr>
              <w:keepLines/>
              <w:numPr>
                <w:ilvl w:val="2"/>
                <w:numId w:val="0"/>
              </w:numPr>
              <w:spacing w:line="240" w:lineRule="auto"/>
              <w:jc w:val="left"/>
              <w:rPr>
                <w:rFonts w:hint="eastAsia" w:eastAsia="宋体"/>
                <w:color w:val="auto"/>
                <w:sz w:val="21"/>
                <w:szCs w:val="21"/>
                <w:lang w:eastAsia="zh-CN"/>
              </w:rPr>
            </w:pPr>
            <w:r>
              <w:rPr>
                <w:rFonts w:hint="eastAsia"/>
                <w:color w:val="auto"/>
                <w:sz w:val="21"/>
                <w:szCs w:val="21"/>
              </w:rPr>
              <w:t>项目主要使用电等清洁能源；项目收集废水经处理达</w:t>
            </w:r>
            <w:r>
              <w:rPr>
                <w:rFonts w:hint="eastAsia"/>
                <w:color w:val="auto"/>
                <w:sz w:val="21"/>
                <w:szCs w:val="21"/>
                <w:lang w:eastAsia="zh-CN"/>
              </w:rPr>
              <w:t>《页岩气开采水污染物排放标准》（DB50/1806-2025）间接排放标准限值后直接接入乌杨组团园区污水处理厂</w:t>
            </w:r>
            <w:r>
              <w:rPr>
                <w:rFonts w:hint="eastAsia"/>
                <w:color w:val="auto"/>
                <w:sz w:val="21"/>
                <w:szCs w:val="21"/>
              </w:rPr>
              <w:t>进行深度处理达《城镇污水处理厂污染物排放标准》（GB18918-2002）一级 A 标准后排入</w:t>
            </w:r>
            <w:r>
              <w:rPr>
                <w:rFonts w:hint="eastAsia"/>
                <w:color w:val="auto"/>
                <w:sz w:val="21"/>
                <w:szCs w:val="21"/>
                <w:lang w:eastAsia="zh-CN"/>
              </w:rPr>
              <w:t>长江</w:t>
            </w:r>
          </w:p>
        </w:tc>
        <w:tc>
          <w:tcPr>
            <w:tcW w:w="1258" w:type="dxa"/>
            <w:vAlign w:val="center"/>
          </w:tcPr>
          <w:p w14:paraId="36726191">
            <w:pPr>
              <w:pStyle w:val="81"/>
              <w:adjustRightInd w:val="0"/>
              <w:snapToGrid w:val="0"/>
              <w:spacing w:before="120" w:beforeAutospacing="0" w:after="120" w:afterAutospacing="0"/>
              <w:jc w:val="center"/>
              <w:rPr>
                <w:color w:val="auto"/>
                <w:sz w:val="21"/>
                <w:szCs w:val="21"/>
              </w:rPr>
            </w:pPr>
            <w:r>
              <w:rPr>
                <w:rFonts w:hint="eastAsia"/>
                <w:color w:val="auto"/>
                <w:sz w:val="21"/>
                <w:szCs w:val="21"/>
              </w:rPr>
              <w:t>符合</w:t>
            </w:r>
          </w:p>
        </w:tc>
      </w:tr>
      <w:tr w14:paraId="64901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3" w:type="dxa"/>
            <w:vMerge w:val="restart"/>
            <w:tcBorders>
              <w:top w:val="single" w:color="auto" w:sz="4" w:space="0"/>
              <w:left w:val="single" w:color="auto" w:sz="4" w:space="0"/>
              <w:bottom w:val="single" w:color="auto" w:sz="4" w:space="0"/>
              <w:right w:val="single" w:color="auto" w:sz="4" w:space="0"/>
            </w:tcBorders>
            <w:vAlign w:val="center"/>
          </w:tcPr>
          <w:p w14:paraId="1DA0D671">
            <w:pPr>
              <w:pStyle w:val="691"/>
              <w:rPr>
                <w:color w:val="auto"/>
              </w:rPr>
            </w:pPr>
            <w:r>
              <w:rPr>
                <w:rFonts w:hint="eastAsia"/>
                <w:color w:val="auto"/>
              </w:rPr>
              <w:t>区县总体管控要求</w:t>
            </w:r>
          </w:p>
        </w:tc>
        <w:tc>
          <w:tcPr>
            <w:tcW w:w="1313" w:type="dxa"/>
            <w:vMerge w:val="restart"/>
            <w:tcBorders>
              <w:top w:val="single" w:color="auto" w:sz="4" w:space="0"/>
              <w:left w:val="single" w:color="auto" w:sz="4" w:space="0"/>
              <w:right w:val="single" w:color="auto" w:sz="4" w:space="0"/>
            </w:tcBorders>
            <w:vAlign w:val="center"/>
          </w:tcPr>
          <w:p w14:paraId="54205184">
            <w:pPr>
              <w:pStyle w:val="691"/>
              <w:rPr>
                <w:color w:val="auto"/>
              </w:rPr>
            </w:pPr>
            <w:r>
              <w:rPr>
                <w:rFonts w:hint="eastAsia"/>
                <w:color w:val="auto"/>
              </w:rPr>
              <w:t>空间布局约束</w:t>
            </w:r>
          </w:p>
        </w:tc>
        <w:tc>
          <w:tcPr>
            <w:tcW w:w="7546" w:type="dxa"/>
            <w:gridSpan w:val="2"/>
            <w:tcBorders>
              <w:top w:val="single" w:color="auto" w:sz="4" w:space="0"/>
              <w:left w:val="single" w:color="auto" w:sz="4" w:space="0"/>
              <w:bottom w:val="single" w:color="auto" w:sz="4" w:space="0"/>
              <w:right w:val="single" w:color="auto" w:sz="4" w:space="0"/>
            </w:tcBorders>
            <w:vAlign w:val="center"/>
          </w:tcPr>
          <w:p w14:paraId="05053F7D">
            <w:pPr>
              <w:pStyle w:val="691"/>
              <w:rPr>
                <w:color w:val="auto"/>
                <w:szCs w:val="21"/>
              </w:rPr>
            </w:pPr>
            <w:r>
              <w:rPr>
                <w:rFonts w:hint="eastAsia"/>
                <w:color w:val="auto"/>
                <w:szCs w:val="21"/>
              </w:rPr>
              <w:t>第一条 执行重点管控单元市级总体管控要求第一条、第二条、第三条、第五条、第六条和第七条。</w:t>
            </w:r>
          </w:p>
        </w:tc>
        <w:tc>
          <w:tcPr>
            <w:tcW w:w="2559" w:type="dxa"/>
            <w:tcBorders>
              <w:top w:val="single" w:color="auto" w:sz="4" w:space="0"/>
              <w:left w:val="single" w:color="auto" w:sz="4" w:space="0"/>
              <w:bottom w:val="single" w:color="auto" w:sz="4" w:space="0"/>
              <w:right w:val="single" w:color="auto" w:sz="4" w:space="0"/>
            </w:tcBorders>
            <w:vAlign w:val="center"/>
          </w:tcPr>
          <w:p w14:paraId="6E1EECD6">
            <w:pPr>
              <w:pStyle w:val="691"/>
              <w:rPr>
                <w:rFonts w:hint="eastAsia" w:eastAsia="宋体"/>
                <w:color w:val="auto"/>
                <w:szCs w:val="21"/>
                <w:lang w:eastAsia="zh-CN"/>
              </w:rPr>
            </w:pPr>
            <w:r>
              <w:rPr>
                <w:rFonts w:hint="eastAsia"/>
                <w:color w:val="auto"/>
                <w:szCs w:val="21"/>
              </w:rPr>
              <w:t>拟建项目位于乌杨组团，</w:t>
            </w:r>
            <w:r>
              <w:rPr>
                <w:rFonts w:hint="eastAsia"/>
                <w:color w:val="auto"/>
                <w:sz w:val="21"/>
                <w:szCs w:val="21"/>
              </w:rPr>
              <w:t>属于</w:t>
            </w:r>
            <w:r>
              <w:rPr>
                <w:rFonts w:hint="eastAsia" w:ascii="宋体" w:hAnsi="宋体" w:cs="宋体"/>
                <w:color w:val="auto"/>
                <w:sz w:val="21"/>
                <w:szCs w:val="21"/>
              </w:rPr>
              <w:t>污水集中处理项目</w:t>
            </w:r>
            <w:r>
              <w:rPr>
                <w:rFonts w:hint="eastAsia"/>
                <w:color w:val="auto"/>
                <w:szCs w:val="21"/>
              </w:rPr>
              <w:t>，</w:t>
            </w:r>
            <w:r>
              <w:rPr>
                <w:rFonts w:hint="eastAsia"/>
                <w:color w:val="auto"/>
                <w:szCs w:val="21"/>
                <w:lang w:eastAsia="zh-CN"/>
              </w:rPr>
              <w:t>满足</w:t>
            </w:r>
            <w:r>
              <w:rPr>
                <w:rFonts w:hint="eastAsia"/>
                <w:color w:val="auto"/>
                <w:szCs w:val="21"/>
              </w:rPr>
              <w:t>重点管控单元市级总体管控要求第一条、第二条、第三条、第五条、第六条和第七条</w:t>
            </w:r>
            <w:r>
              <w:rPr>
                <w:rFonts w:hint="eastAsia"/>
                <w:color w:val="auto"/>
                <w:szCs w:val="21"/>
                <w:lang w:eastAsia="zh-CN"/>
              </w:rPr>
              <w:t>相关要求</w:t>
            </w:r>
          </w:p>
        </w:tc>
        <w:tc>
          <w:tcPr>
            <w:tcW w:w="1258" w:type="dxa"/>
            <w:tcBorders>
              <w:top w:val="single" w:color="auto" w:sz="4" w:space="0"/>
              <w:left w:val="single" w:color="auto" w:sz="4" w:space="0"/>
              <w:bottom w:val="single" w:color="auto" w:sz="4" w:space="0"/>
              <w:right w:val="single" w:color="auto" w:sz="4" w:space="0"/>
            </w:tcBorders>
            <w:vAlign w:val="center"/>
          </w:tcPr>
          <w:p w14:paraId="73F18A9B">
            <w:pPr>
              <w:pStyle w:val="691"/>
              <w:rPr>
                <w:color w:val="auto"/>
                <w:szCs w:val="21"/>
              </w:rPr>
            </w:pPr>
            <w:r>
              <w:rPr>
                <w:rFonts w:hint="eastAsia"/>
                <w:color w:val="auto"/>
                <w:szCs w:val="21"/>
              </w:rPr>
              <w:t>符合</w:t>
            </w:r>
          </w:p>
        </w:tc>
      </w:tr>
      <w:tr w14:paraId="15DF3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3" w:type="dxa"/>
            <w:vMerge w:val="continue"/>
            <w:tcBorders>
              <w:top w:val="single" w:color="auto" w:sz="4" w:space="0"/>
              <w:left w:val="single" w:color="auto" w:sz="4" w:space="0"/>
              <w:bottom w:val="single" w:color="auto" w:sz="4" w:space="0"/>
              <w:right w:val="single" w:color="auto" w:sz="4" w:space="0"/>
            </w:tcBorders>
            <w:vAlign w:val="center"/>
          </w:tcPr>
          <w:p w14:paraId="202B4953">
            <w:pPr>
              <w:pStyle w:val="691"/>
              <w:rPr>
                <w:color w:val="auto"/>
              </w:rPr>
            </w:pPr>
          </w:p>
        </w:tc>
        <w:tc>
          <w:tcPr>
            <w:tcW w:w="1313" w:type="dxa"/>
            <w:vMerge w:val="continue"/>
            <w:tcBorders>
              <w:left w:val="single" w:color="auto" w:sz="4" w:space="0"/>
              <w:right w:val="single" w:color="auto" w:sz="4" w:space="0"/>
            </w:tcBorders>
            <w:vAlign w:val="center"/>
          </w:tcPr>
          <w:p w14:paraId="487CC023">
            <w:pPr>
              <w:pStyle w:val="691"/>
              <w:rPr>
                <w:color w:val="auto"/>
              </w:rPr>
            </w:pPr>
          </w:p>
        </w:tc>
        <w:tc>
          <w:tcPr>
            <w:tcW w:w="7546" w:type="dxa"/>
            <w:gridSpan w:val="2"/>
            <w:tcBorders>
              <w:top w:val="single" w:color="auto" w:sz="4" w:space="0"/>
              <w:left w:val="single" w:color="auto" w:sz="4" w:space="0"/>
              <w:bottom w:val="single" w:color="auto" w:sz="4" w:space="0"/>
              <w:right w:val="single" w:color="auto" w:sz="4" w:space="0"/>
            </w:tcBorders>
            <w:vAlign w:val="center"/>
          </w:tcPr>
          <w:p w14:paraId="61D3620A">
            <w:pPr>
              <w:pStyle w:val="691"/>
              <w:rPr>
                <w:color w:val="auto"/>
                <w:szCs w:val="21"/>
              </w:rPr>
            </w:pPr>
            <w:r>
              <w:rPr>
                <w:rFonts w:hint="eastAsia"/>
                <w:color w:val="auto"/>
                <w:szCs w:val="21"/>
              </w:rPr>
              <w:t>第二条 严把项目准入关口，对不符合要求的高耗能、高排放、低水平项目坚决不予准入。</w:t>
            </w:r>
          </w:p>
        </w:tc>
        <w:tc>
          <w:tcPr>
            <w:tcW w:w="2559" w:type="dxa"/>
            <w:tcBorders>
              <w:top w:val="single" w:color="auto" w:sz="4" w:space="0"/>
              <w:left w:val="single" w:color="auto" w:sz="4" w:space="0"/>
              <w:bottom w:val="single" w:color="auto" w:sz="4" w:space="0"/>
              <w:right w:val="single" w:color="auto" w:sz="4" w:space="0"/>
            </w:tcBorders>
            <w:vAlign w:val="center"/>
          </w:tcPr>
          <w:p w14:paraId="64008A0B">
            <w:pPr>
              <w:pStyle w:val="691"/>
              <w:rPr>
                <w:color w:val="auto"/>
                <w:szCs w:val="21"/>
              </w:rPr>
            </w:pPr>
            <w:r>
              <w:rPr>
                <w:rFonts w:hint="eastAsia"/>
                <w:color w:val="auto"/>
                <w:szCs w:val="21"/>
              </w:rPr>
              <w:t>拟建项目不属于高耗能、高排放、低水平项目</w:t>
            </w:r>
          </w:p>
        </w:tc>
        <w:tc>
          <w:tcPr>
            <w:tcW w:w="1258" w:type="dxa"/>
            <w:tcBorders>
              <w:top w:val="single" w:color="auto" w:sz="4" w:space="0"/>
              <w:left w:val="single" w:color="auto" w:sz="4" w:space="0"/>
              <w:bottom w:val="single" w:color="auto" w:sz="4" w:space="0"/>
              <w:right w:val="single" w:color="auto" w:sz="4" w:space="0"/>
            </w:tcBorders>
            <w:vAlign w:val="center"/>
          </w:tcPr>
          <w:p w14:paraId="554A22E1">
            <w:pPr>
              <w:pStyle w:val="691"/>
              <w:rPr>
                <w:color w:val="auto"/>
                <w:szCs w:val="21"/>
              </w:rPr>
            </w:pPr>
            <w:r>
              <w:rPr>
                <w:rFonts w:hint="eastAsia"/>
                <w:color w:val="auto"/>
                <w:szCs w:val="21"/>
              </w:rPr>
              <w:t>符合</w:t>
            </w:r>
          </w:p>
        </w:tc>
      </w:tr>
      <w:tr w14:paraId="49EF6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3" w:type="dxa"/>
            <w:vMerge w:val="continue"/>
            <w:tcBorders>
              <w:top w:val="single" w:color="auto" w:sz="4" w:space="0"/>
              <w:left w:val="single" w:color="auto" w:sz="4" w:space="0"/>
              <w:bottom w:val="single" w:color="auto" w:sz="4" w:space="0"/>
              <w:right w:val="single" w:color="auto" w:sz="4" w:space="0"/>
            </w:tcBorders>
            <w:vAlign w:val="center"/>
          </w:tcPr>
          <w:p w14:paraId="2CD7B620">
            <w:pPr>
              <w:pStyle w:val="691"/>
              <w:rPr>
                <w:color w:val="auto"/>
              </w:rPr>
            </w:pPr>
          </w:p>
        </w:tc>
        <w:tc>
          <w:tcPr>
            <w:tcW w:w="1313" w:type="dxa"/>
            <w:vMerge w:val="continue"/>
            <w:tcBorders>
              <w:left w:val="single" w:color="auto" w:sz="4" w:space="0"/>
              <w:right w:val="single" w:color="auto" w:sz="4" w:space="0"/>
            </w:tcBorders>
            <w:vAlign w:val="center"/>
          </w:tcPr>
          <w:p w14:paraId="17B5569E">
            <w:pPr>
              <w:pStyle w:val="691"/>
              <w:rPr>
                <w:color w:val="auto"/>
              </w:rPr>
            </w:pPr>
          </w:p>
        </w:tc>
        <w:tc>
          <w:tcPr>
            <w:tcW w:w="7546" w:type="dxa"/>
            <w:gridSpan w:val="2"/>
            <w:tcBorders>
              <w:top w:val="single" w:color="auto" w:sz="4" w:space="0"/>
              <w:left w:val="single" w:color="auto" w:sz="4" w:space="0"/>
              <w:bottom w:val="single" w:color="auto" w:sz="4" w:space="0"/>
              <w:right w:val="single" w:color="auto" w:sz="4" w:space="0"/>
            </w:tcBorders>
            <w:vAlign w:val="center"/>
          </w:tcPr>
          <w:p w14:paraId="4C5F92E9">
            <w:pPr>
              <w:pStyle w:val="691"/>
              <w:rPr>
                <w:color w:val="auto"/>
                <w:szCs w:val="21"/>
              </w:rPr>
            </w:pPr>
            <w:r>
              <w:rPr>
                <w:rFonts w:hint="eastAsia"/>
                <w:color w:val="auto"/>
                <w:szCs w:val="21"/>
              </w:rPr>
              <w:t>第三条</w:t>
            </w:r>
            <w:r>
              <w:rPr>
                <w:color w:val="auto"/>
                <w:szCs w:val="21"/>
              </w:rPr>
              <w:t xml:space="preserve"> </w:t>
            </w:r>
            <w:r>
              <w:rPr>
                <w:rFonts w:hint="eastAsia"/>
                <w:color w:val="auto"/>
                <w:szCs w:val="21"/>
              </w:rPr>
              <w:t>苏家组团、水坪组团不再布局重大工业项目，并引导现有企业逐步向乌杨集聚。加快布局分散的企业向园区集中。</w:t>
            </w:r>
          </w:p>
        </w:tc>
        <w:tc>
          <w:tcPr>
            <w:tcW w:w="2559" w:type="dxa"/>
            <w:tcBorders>
              <w:top w:val="single" w:color="auto" w:sz="4" w:space="0"/>
              <w:left w:val="single" w:color="auto" w:sz="4" w:space="0"/>
              <w:bottom w:val="single" w:color="auto" w:sz="4" w:space="0"/>
              <w:right w:val="single" w:color="auto" w:sz="4" w:space="0"/>
            </w:tcBorders>
            <w:vAlign w:val="center"/>
          </w:tcPr>
          <w:p w14:paraId="69CC1EA1">
            <w:pPr>
              <w:pStyle w:val="691"/>
              <w:rPr>
                <w:color w:val="auto"/>
                <w:szCs w:val="21"/>
              </w:rPr>
            </w:pPr>
            <w:r>
              <w:rPr>
                <w:rFonts w:hint="eastAsia"/>
                <w:color w:val="auto"/>
                <w:szCs w:val="21"/>
              </w:rPr>
              <w:t>拟建项目位于乌杨组团</w:t>
            </w:r>
          </w:p>
        </w:tc>
        <w:tc>
          <w:tcPr>
            <w:tcW w:w="1258" w:type="dxa"/>
            <w:tcBorders>
              <w:top w:val="single" w:color="auto" w:sz="4" w:space="0"/>
              <w:left w:val="single" w:color="auto" w:sz="4" w:space="0"/>
              <w:bottom w:val="single" w:color="auto" w:sz="4" w:space="0"/>
              <w:right w:val="single" w:color="auto" w:sz="4" w:space="0"/>
            </w:tcBorders>
            <w:vAlign w:val="center"/>
          </w:tcPr>
          <w:p w14:paraId="379FED0A">
            <w:pPr>
              <w:pStyle w:val="691"/>
              <w:rPr>
                <w:color w:val="auto"/>
                <w:szCs w:val="21"/>
              </w:rPr>
            </w:pPr>
            <w:r>
              <w:rPr>
                <w:rFonts w:hint="eastAsia"/>
                <w:color w:val="auto"/>
                <w:szCs w:val="21"/>
              </w:rPr>
              <w:t>符合</w:t>
            </w:r>
          </w:p>
        </w:tc>
      </w:tr>
      <w:tr w14:paraId="29A49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3" w:type="dxa"/>
            <w:vMerge w:val="continue"/>
            <w:tcBorders>
              <w:top w:val="single" w:color="auto" w:sz="4" w:space="0"/>
              <w:left w:val="single" w:color="auto" w:sz="4" w:space="0"/>
              <w:bottom w:val="single" w:color="auto" w:sz="4" w:space="0"/>
              <w:right w:val="single" w:color="auto" w:sz="4" w:space="0"/>
            </w:tcBorders>
            <w:vAlign w:val="center"/>
          </w:tcPr>
          <w:p w14:paraId="75F73E0E">
            <w:pPr>
              <w:pStyle w:val="691"/>
              <w:rPr>
                <w:color w:val="auto"/>
              </w:rPr>
            </w:pPr>
          </w:p>
        </w:tc>
        <w:tc>
          <w:tcPr>
            <w:tcW w:w="1313" w:type="dxa"/>
            <w:vMerge w:val="continue"/>
            <w:tcBorders>
              <w:left w:val="single" w:color="auto" w:sz="4" w:space="0"/>
              <w:bottom w:val="single" w:color="auto" w:sz="4" w:space="0"/>
              <w:right w:val="single" w:color="auto" w:sz="4" w:space="0"/>
            </w:tcBorders>
            <w:vAlign w:val="center"/>
          </w:tcPr>
          <w:p w14:paraId="59E85101">
            <w:pPr>
              <w:pStyle w:val="691"/>
              <w:rPr>
                <w:color w:val="auto"/>
              </w:rPr>
            </w:pPr>
          </w:p>
        </w:tc>
        <w:tc>
          <w:tcPr>
            <w:tcW w:w="7546" w:type="dxa"/>
            <w:gridSpan w:val="2"/>
            <w:tcBorders>
              <w:top w:val="single" w:color="auto" w:sz="4" w:space="0"/>
              <w:left w:val="single" w:color="auto" w:sz="4" w:space="0"/>
              <w:bottom w:val="single" w:color="auto" w:sz="4" w:space="0"/>
              <w:right w:val="single" w:color="auto" w:sz="4" w:space="0"/>
            </w:tcBorders>
            <w:vAlign w:val="center"/>
          </w:tcPr>
          <w:p w14:paraId="6BBE2824">
            <w:pPr>
              <w:pStyle w:val="691"/>
              <w:rPr>
                <w:color w:val="auto"/>
                <w:szCs w:val="21"/>
              </w:rPr>
            </w:pPr>
            <w:r>
              <w:rPr>
                <w:rFonts w:hint="eastAsia"/>
                <w:color w:val="auto"/>
                <w:szCs w:val="21"/>
              </w:rPr>
              <w:t>第四条 禁止新建、改建和扩建不符合全国港口布局规划以及《重庆港总体规划（2035年）》等港口总体规划的码头项目。禁止新建、改建和扩建不符合《长江干线过江通道布局规划（2020-2035年）》的过长江通道项目（含桥梁、隧道），国家发展改革委同意过长江通道线位调整的除外。</w:t>
            </w:r>
          </w:p>
        </w:tc>
        <w:tc>
          <w:tcPr>
            <w:tcW w:w="2559" w:type="dxa"/>
            <w:tcBorders>
              <w:top w:val="single" w:color="auto" w:sz="4" w:space="0"/>
              <w:left w:val="single" w:color="auto" w:sz="4" w:space="0"/>
              <w:bottom w:val="single" w:color="auto" w:sz="4" w:space="0"/>
              <w:right w:val="single" w:color="auto" w:sz="4" w:space="0"/>
            </w:tcBorders>
            <w:vAlign w:val="center"/>
          </w:tcPr>
          <w:p w14:paraId="2A86C9EE">
            <w:pPr>
              <w:pStyle w:val="691"/>
              <w:rPr>
                <w:color w:val="auto"/>
                <w:szCs w:val="21"/>
              </w:rPr>
            </w:pPr>
            <w:r>
              <w:rPr>
                <w:rFonts w:hint="eastAsia"/>
                <w:color w:val="auto"/>
                <w:szCs w:val="21"/>
              </w:rPr>
              <w:t>拟建项目不涉及</w:t>
            </w:r>
          </w:p>
        </w:tc>
        <w:tc>
          <w:tcPr>
            <w:tcW w:w="1258" w:type="dxa"/>
            <w:tcBorders>
              <w:top w:val="single" w:color="auto" w:sz="4" w:space="0"/>
              <w:left w:val="single" w:color="auto" w:sz="4" w:space="0"/>
              <w:bottom w:val="single" w:color="auto" w:sz="4" w:space="0"/>
              <w:right w:val="single" w:color="auto" w:sz="4" w:space="0"/>
            </w:tcBorders>
            <w:vAlign w:val="center"/>
          </w:tcPr>
          <w:p w14:paraId="19346BE9">
            <w:pPr>
              <w:pStyle w:val="691"/>
              <w:rPr>
                <w:color w:val="auto"/>
                <w:szCs w:val="21"/>
              </w:rPr>
            </w:pPr>
            <w:r>
              <w:rPr>
                <w:rFonts w:hint="eastAsia"/>
                <w:color w:val="auto"/>
                <w:szCs w:val="21"/>
              </w:rPr>
              <w:t>符合</w:t>
            </w:r>
          </w:p>
        </w:tc>
      </w:tr>
      <w:tr w14:paraId="0C843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3" w:type="dxa"/>
            <w:vMerge w:val="continue"/>
            <w:tcBorders>
              <w:top w:val="single" w:color="auto" w:sz="4" w:space="0"/>
              <w:left w:val="single" w:color="auto" w:sz="4" w:space="0"/>
              <w:bottom w:val="single" w:color="auto" w:sz="4" w:space="0"/>
              <w:right w:val="single" w:color="auto" w:sz="4" w:space="0"/>
            </w:tcBorders>
            <w:vAlign w:val="center"/>
          </w:tcPr>
          <w:p w14:paraId="12BA20D6">
            <w:pPr>
              <w:pStyle w:val="691"/>
              <w:rPr>
                <w:color w:val="auto"/>
              </w:rPr>
            </w:pPr>
          </w:p>
        </w:tc>
        <w:tc>
          <w:tcPr>
            <w:tcW w:w="1313" w:type="dxa"/>
            <w:vMerge w:val="restart"/>
            <w:tcBorders>
              <w:top w:val="single" w:color="auto" w:sz="4" w:space="0"/>
              <w:left w:val="single" w:color="auto" w:sz="4" w:space="0"/>
              <w:bottom w:val="single" w:color="auto" w:sz="4" w:space="0"/>
              <w:right w:val="single" w:color="auto" w:sz="4" w:space="0"/>
            </w:tcBorders>
            <w:vAlign w:val="center"/>
          </w:tcPr>
          <w:p w14:paraId="38B0C17D">
            <w:pPr>
              <w:pStyle w:val="691"/>
              <w:rPr>
                <w:color w:val="auto"/>
              </w:rPr>
            </w:pPr>
            <w:r>
              <w:rPr>
                <w:rFonts w:hint="eastAsia"/>
                <w:color w:val="auto"/>
              </w:rPr>
              <w:t>污染物</w:t>
            </w:r>
          </w:p>
          <w:p w14:paraId="23AB224C">
            <w:pPr>
              <w:pStyle w:val="691"/>
              <w:rPr>
                <w:color w:val="auto"/>
              </w:rPr>
            </w:pPr>
            <w:r>
              <w:rPr>
                <w:rFonts w:hint="eastAsia"/>
                <w:color w:val="auto"/>
              </w:rPr>
              <w:t>排放管控</w:t>
            </w:r>
          </w:p>
        </w:tc>
        <w:tc>
          <w:tcPr>
            <w:tcW w:w="7546" w:type="dxa"/>
            <w:gridSpan w:val="2"/>
            <w:tcBorders>
              <w:top w:val="single" w:color="auto" w:sz="4" w:space="0"/>
              <w:left w:val="single" w:color="auto" w:sz="4" w:space="0"/>
              <w:bottom w:val="single" w:color="auto" w:sz="4" w:space="0"/>
              <w:right w:val="single" w:color="auto" w:sz="4" w:space="0"/>
            </w:tcBorders>
            <w:vAlign w:val="center"/>
          </w:tcPr>
          <w:p w14:paraId="15FCA7EB">
            <w:pPr>
              <w:pStyle w:val="691"/>
              <w:rPr>
                <w:color w:val="auto"/>
                <w:szCs w:val="21"/>
              </w:rPr>
            </w:pPr>
            <w:r>
              <w:rPr>
                <w:rFonts w:hint="eastAsia"/>
                <w:color w:val="auto"/>
                <w:szCs w:val="21"/>
              </w:rPr>
              <w:t>第五条 执行重点管控单元市级总体管控要求第八条、第九条、第十条、第十三条和第十四条。</w:t>
            </w:r>
          </w:p>
        </w:tc>
        <w:tc>
          <w:tcPr>
            <w:tcW w:w="2559" w:type="dxa"/>
            <w:tcBorders>
              <w:top w:val="single" w:color="auto" w:sz="4" w:space="0"/>
              <w:left w:val="single" w:color="auto" w:sz="4" w:space="0"/>
              <w:bottom w:val="single" w:color="auto" w:sz="4" w:space="0"/>
              <w:right w:val="single" w:color="auto" w:sz="4" w:space="0"/>
            </w:tcBorders>
            <w:vAlign w:val="center"/>
          </w:tcPr>
          <w:p w14:paraId="3A127E85">
            <w:pPr>
              <w:pStyle w:val="691"/>
              <w:rPr>
                <w:color w:val="auto"/>
                <w:szCs w:val="21"/>
              </w:rPr>
            </w:pPr>
            <w:r>
              <w:rPr>
                <w:rFonts w:hint="eastAsia"/>
                <w:color w:val="auto"/>
                <w:szCs w:val="21"/>
              </w:rPr>
              <w:t>拟建项目位于乌杨组团，</w:t>
            </w:r>
            <w:r>
              <w:rPr>
                <w:rFonts w:hint="eastAsia"/>
                <w:color w:val="auto"/>
                <w:sz w:val="21"/>
                <w:szCs w:val="21"/>
              </w:rPr>
              <w:t>属于</w:t>
            </w:r>
            <w:r>
              <w:rPr>
                <w:rFonts w:hint="eastAsia" w:ascii="宋体" w:hAnsi="宋体" w:cs="宋体"/>
                <w:color w:val="auto"/>
                <w:sz w:val="21"/>
                <w:szCs w:val="21"/>
              </w:rPr>
              <w:t>污水集中处理项目</w:t>
            </w:r>
            <w:r>
              <w:rPr>
                <w:rFonts w:hint="eastAsia"/>
                <w:color w:val="auto"/>
                <w:szCs w:val="21"/>
              </w:rPr>
              <w:t>，</w:t>
            </w:r>
            <w:r>
              <w:rPr>
                <w:rFonts w:hint="eastAsia"/>
                <w:color w:val="auto"/>
                <w:szCs w:val="21"/>
                <w:lang w:eastAsia="zh-CN"/>
              </w:rPr>
              <w:t>满足</w:t>
            </w:r>
            <w:r>
              <w:rPr>
                <w:rFonts w:hint="eastAsia"/>
                <w:color w:val="auto"/>
                <w:szCs w:val="21"/>
              </w:rPr>
              <w:t>重点管控单元市级总体管控要求第八条、第九条、第十条、第十三条和第十四条。</w:t>
            </w:r>
          </w:p>
        </w:tc>
        <w:tc>
          <w:tcPr>
            <w:tcW w:w="1258" w:type="dxa"/>
            <w:tcBorders>
              <w:top w:val="single" w:color="auto" w:sz="4" w:space="0"/>
              <w:left w:val="single" w:color="auto" w:sz="4" w:space="0"/>
              <w:bottom w:val="single" w:color="auto" w:sz="4" w:space="0"/>
              <w:right w:val="single" w:color="auto" w:sz="4" w:space="0"/>
            </w:tcBorders>
            <w:vAlign w:val="center"/>
          </w:tcPr>
          <w:p w14:paraId="406AB92D">
            <w:pPr>
              <w:pStyle w:val="691"/>
              <w:rPr>
                <w:color w:val="auto"/>
                <w:szCs w:val="21"/>
              </w:rPr>
            </w:pPr>
            <w:r>
              <w:rPr>
                <w:rFonts w:hint="eastAsia"/>
                <w:color w:val="auto"/>
                <w:szCs w:val="21"/>
              </w:rPr>
              <w:t>符合</w:t>
            </w:r>
          </w:p>
        </w:tc>
      </w:tr>
      <w:tr w14:paraId="5F602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3" w:type="dxa"/>
            <w:vMerge w:val="continue"/>
            <w:tcBorders>
              <w:top w:val="single" w:color="auto" w:sz="4" w:space="0"/>
              <w:left w:val="single" w:color="auto" w:sz="4" w:space="0"/>
              <w:bottom w:val="single" w:color="auto" w:sz="4" w:space="0"/>
              <w:right w:val="single" w:color="auto" w:sz="4" w:space="0"/>
            </w:tcBorders>
            <w:vAlign w:val="center"/>
          </w:tcPr>
          <w:p w14:paraId="53AC5442">
            <w:pPr>
              <w:pStyle w:val="691"/>
              <w:rPr>
                <w:color w:val="auto"/>
              </w:rPr>
            </w:pPr>
          </w:p>
        </w:tc>
        <w:tc>
          <w:tcPr>
            <w:tcW w:w="1313" w:type="dxa"/>
            <w:vMerge w:val="continue"/>
            <w:tcBorders>
              <w:top w:val="single" w:color="auto" w:sz="4" w:space="0"/>
              <w:left w:val="single" w:color="auto" w:sz="4" w:space="0"/>
              <w:bottom w:val="single" w:color="auto" w:sz="4" w:space="0"/>
              <w:right w:val="single" w:color="auto" w:sz="4" w:space="0"/>
            </w:tcBorders>
            <w:vAlign w:val="center"/>
          </w:tcPr>
          <w:p w14:paraId="2E1E9E19">
            <w:pPr>
              <w:pStyle w:val="691"/>
              <w:rPr>
                <w:color w:val="auto"/>
              </w:rPr>
            </w:pPr>
          </w:p>
        </w:tc>
        <w:tc>
          <w:tcPr>
            <w:tcW w:w="7546" w:type="dxa"/>
            <w:gridSpan w:val="2"/>
            <w:tcBorders>
              <w:top w:val="single" w:color="auto" w:sz="4" w:space="0"/>
              <w:left w:val="single" w:color="auto" w:sz="4" w:space="0"/>
              <w:bottom w:val="single" w:color="auto" w:sz="4" w:space="0"/>
              <w:right w:val="single" w:color="auto" w:sz="4" w:space="0"/>
            </w:tcBorders>
            <w:vAlign w:val="center"/>
          </w:tcPr>
          <w:p w14:paraId="44C74D80">
            <w:pPr>
              <w:pStyle w:val="691"/>
              <w:rPr>
                <w:color w:val="auto"/>
                <w:szCs w:val="21"/>
              </w:rPr>
            </w:pPr>
            <w:r>
              <w:rPr>
                <w:rFonts w:hint="eastAsia"/>
                <w:color w:val="auto"/>
                <w:szCs w:val="21"/>
              </w:rPr>
              <w:t>第六条 根据园区开发强度和废水排放量增长情况，适时实施园区污水处理厂改扩建工程。完善园区配套管网。企业向污水集中处理设施排放工业废水的，应当按照国家有关规定进行预处理，达到集中处理设施处理工艺要求后方可排放。</w:t>
            </w:r>
          </w:p>
        </w:tc>
        <w:tc>
          <w:tcPr>
            <w:tcW w:w="2559" w:type="dxa"/>
            <w:tcBorders>
              <w:top w:val="single" w:color="auto" w:sz="4" w:space="0"/>
              <w:left w:val="single" w:color="auto" w:sz="4" w:space="0"/>
              <w:bottom w:val="single" w:color="auto" w:sz="4" w:space="0"/>
              <w:right w:val="single" w:color="auto" w:sz="4" w:space="0"/>
            </w:tcBorders>
            <w:vAlign w:val="center"/>
          </w:tcPr>
          <w:p w14:paraId="4DD89273">
            <w:pPr>
              <w:pStyle w:val="691"/>
              <w:rPr>
                <w:color w:val="auto"/>
                <w:szCs w:val="21"/>
              </w:rPr>
            </w:pPr>
            <w:r>
              <w:rPr>
                <w:rFonts w:hint="eastAsia"/>
                <w:color w:val="auto"/>
                <w:szCs w:val="21"/>
              </w:rPr>
              <w:t>拟建项目位于乌杨组团，</w:t>
            </w:r>
            <w:r>
              <w:rPr>
                <w:rFonts w:hint="eastAsia"/>
                <w:color w:val="auto"/>
                <w:sz w:val="21"/>
                <w:szCs w:val="21"/>
              </w:rPr>
              <w:t>属于</w:t>
            </w:r>
            <w:r>
              <w:rPr>
                <w:rFonts w:hint="eastAsia" w:ascii="宋体" w:hAnsi="宋体" w:cs="宋体"/>
                <w:color w:val="auto"/>
                <w:sz w:val="21"/>
                <w:szCs w:val="21"/>
              </w:rPr>
              <w:t>污水集中处理项目</w:t>
            </w:r>
            <w:r>
              <w:rPr>
                <w:rFonts w:hint="eastAsia"/>
                <w:color w:val="auto"/>
                <w:szCs w:val="21"/>
              </w:rPr>
              <w:t>，</w:t>
            </w:r>
            <w:r>
              <w:rPr>
                <w:rFonts w:hint="eastAsia"/>
                <w:color w:val="auto"/>
                <w:sz w:val="21"/>
                <w:szCs w:val="21"/>
              </w:rPr>
              <w:t>项目收集废水经处理达</w:t>
            </w:r>
            <w:r>
              <w:rPr>
                <w:rFonts w:hint="eastAsia"/>
                <w:color w:val="auto"/>
                <w:sz w:val="21"/>
                <w:szCs w:val="21"/>
                <w:lang w:eastAsia="zh-CN"/>
              </w:rPr>
              <w:t>《页岩气开采水污染物排放标准》（DB50/1806-2025）间接排放标准限值后直接接入乌杨组团园区污水处理厂</w:t>
            </w:r>
            <w:r>
              <w:rPr>
                <w:rFonts w:hint="eastAsia"/>
                <w:color w:val="auto"/>
                <w:sz w:val="21"/>
                <w:szCs w:val="21"/>
              </w:rPr>
              <w:t>进行深度处理达《城镇污水处理厂污染物排放标准》（GB18918-2002）一级 A 标准后排入</w:t>
            </w:r>
            <w:r>
              <w:rPr>
                <w:rFonts w:hint="eastAsia"/>
                <w:color w:val="auto"/>
                <w:sz w:val="21"/>
                <w:szCs w:val="21"/>
                <w:lang w:eastAsia="zh-CN"/>
              </w:rPr>
              <w:t>长江</w:t>
            </w:r>
          </w:p>
        </w:tc>
        <w:tc>
          <w:tcPr>
            <w:tcW w:w="1258" w:type="dxa"/>
            <w:tcBorders>
              <w:top w:val="single" w:color="auto" w:sz="4" w:space="0"/>
              <w:left w:val="single" w:color="auto" w:sz="4" w:space="0"/>
              <w:bottom w:val="single" w:color="auto" w:sz="4" w:space="0"/>
              <w:right w:val="single" w:color="auto" w:sz="4" w:space="0"/>
            </w:tcBorders>
            <w:vAlign w:val="center"/>
          </w:tcPr>
          <w:p w14:paraId="138A1734">
            <w:pPr>
              <w:pStyle w:val="691"/>
              <w:rPr>
                <w:color w:val="auto"/>
                <w:szCs w:val="21"/>
              </w:rPr>
            </w:pPr>
            <w:r>
              <w:rPr>
                <w:rFonts w:hint="eastAsia"/>
                <w:color w:val="auto"/>
                <w:szCs w:val="21"/>
              </w:rPr>
              <w:t>符合</w:t>
            </w:r>
          </w:p>
        </w:tc>
      </w:tr>
      <w:tr w14:paraId="43584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3" w:type="dxa"/>
            <w:vMerge w:val="continue"/>
            <w:tcBorders>
              <w:top w:val="single" w:color="auto" w:sz="4" w:space="0"/>
              <w:left w:val="single" w:color="auto" w:sz="4" w:space="0"/>
              <w:bottom w:val="single" w:color="auto" w:sz="4" w:space="0"/>
              <w:right w:val="single" w:color="auto" w:sz="4" w:space="0"/>
            </w:tcBorders>
            <w:vAlign w:val="center"/>
          </w:tcPr>
          <w:p w14:paraId="7084BFE7">
            <w:pPr>
              <w:pStyle w:val="691"/>
              <w:rPr>
                <w:color w:val="auto"/>
              </w:rPr>
            </w:pPr>
          </w:p>
        </w:tc>
        <w:tc>
          <w:tcPr>
            <w:tcW w:w="1313" w:type="dxa"/>
            <w:vMerge w:val="continue"/>
            <w:tcBorders>
              <w:top w:val="single" w:color="auto" w:sz="4" w:space="0"/>
              <w:left w:val="single" w:color="auto" w:sz="4" w:space="0"/>
              <w:bottom w:val="single" w:color="auto" w:sz="4" w:space="0"/>
              <w:right w:val="single" w:color="auto" w:sz="4" w:space="0"/>
            </w:tcBorders>
            <w:vAlign w:val="center"/>
          </w:tcPr>
          <w:p w14:paraId="34A63687">
            <w:pPr>
              <w:pStyle w:val="691"/>
              <w:rPr>
                <w:color w:val="auto"/>
              </w:rPr>
            </w:pPr>
          </w:p>
        </w:tc>
        <w:tc>
          <w:tcPr>
            <w:tcW w:w="7546" w:type="dxa"/>
            <w:gridSpan w:val="2"/>
            <w:tcBorders>
              <w:top w:val="single" w:color="auto" w:sz="4" w:space="0"/>
              <w:left w:val="single" w:color="auto" w:sz="4" w:space="0"/>
              <w:bottom w:val="single" w:color="auto" w:sz="4" w:space="0"/>
              <w:right w:val="single" w:color="auto" w:sz="4" w:space="0"/>
            </w:tcBorders>
            <w:vAlign w:val="center"/>
          </w:tcPr>
          <w:p w14:paraId="314E2F91">
            <w:pPr>
              <w:pStyle w:val="691"/>
              <w:rPr>
                <w:color w:val="auto"/>
                <w:szCs w:val="21"/>
              </w:rPr>
            </w:pPr>
            <w:r>
              <w:rPr>
                <w:rFonts w:hint="eastAsia"/>
                <w:color w:val="auto"/>
                <w:szCs w:val="21"/>
              </w:rPr>
              <w:t>第七条 新建城市生活污水处理厂全部按照《城镇污水处理厂污染物排放标准》（GB18918-2002）一级A标及以上排放标准设计、施工、验收，建制乡镇生活污水处理设施出水水质不得低于《城镇污水处理厂污染物排放标准》（GB18918-2002）一级B标排放标准。以老旧城区和城乡</w:t>
            </w:r>
            <w:r>
              <w:rPr>
                <w:rFonts w:hint="eastAsia"/>
                <w:color w:val="auto"/>
                <w:szCs w:val="21"/>
                <w:lang w:eastAsia="zh-CN"/>
              </w:rPr>
              <w:t>接</w:t>
            </w:r>
            <w:r>
              <w:rPr>
                <w:rFonts w:hint="eastAsia"/>
                <w:color w:val="auto"/>
                <w:szCs w:val="21"/>
              </w:rPr>
              <w:t>合部为重点，推进雨污分流改造、老旧管网更新、污水管网建设，加快消除管网空白区，逐步提高城镇污水处理厂进水生化需氧量（BOD）浓度，建立排放总量与收集能力相适应的城乡污水收集网，城市公共管网漏损率控制在10%以内。新区建设严格实施雨污分流制，不得将雨水、污水管网相互混接。推动城市生活污水处理设施扩能增效，强化运行管理和监督执法。</w:t>
            </w:r>
          </w:p>
        </w:tc>
        <w:tc>
          <w:tcPr>
            <w:tcW w:w="2559" w:type="dxa"/>
            <w:tcBorders>
              <w:top w:val="single" w:color="auto" w:sz="4" w:space="0"/>
              <w:left w:val="single" w:color="auto" w:sz="4" w:space="0"/>
              <w:bottom w:val="single" w:color="auto" w:sz="4" w:space="0"/>
              <w:right w:val="single" w:color="auto" w:sz="4" w:space="0"/>
            </w:tcBorders>
            <w:vAlign w:val="center"/>
          </w:tcPr>
          <w:p w14:paraId="5DE735C8">
            <w:pPr>
              <w:pStyle w:val="691"/>
              <w:rPr>
                <w:color w:val="auto"/>
                <w:szCs w:val="21"/>
              </w:rPr>
            </w:pPr>
            <w:r>
              <w:rPr>
                <w:rFonts w:hint="eastAsia"/>
                <w:color w:val="auto"/>
                <w:szCs w:val="21"/>
              </w:rPr>
              <w:t>拟建项目不涉及</w:t>
            </w:r>
          </w:p>
        </w:tc>
        <w:tc>
          <w:tcPr>
            <w:tcW w:w="1258" w:type="dxa"/>
            <w:tcBorders>
              <w:top w:val="single" w:color="auto" w:sz="4" w:space="0"/>
              <w:left w:val="single" w:color="auto" w:sz="4" w:space="0"/>
              <w:bottom w:val="single" w:color="auto" w:sz="4" w:space="0"/>
              <w:right w:val="single" w:color="auto" w:sz="4" w:space="0"/>
            </w:tcBorders>
            <w:vAlign w:val="center"/>
          </w:tcPr>
          <w:p w14:paraId="5C6E03CB">
            <w:pPr>
              <w:pStyle w:val="691"/>
              <w:rPr>
                <w:color w:val="auto"/>
                <w:szCs w:val="21"/>
              </w:rPr>
            </w:pPr>
            <w:r>
              <w:rPr>
                <w:rFonts w:hint="eastAsia"/>
                <w:color w:val="auto"/>
                <w:szCs w:val="21"/>
              </w:rPr>
              <w:t>符合</w:t>
            </w:r>
          </w:p>
        </w:tc>
      </w:tr>
      <w:tr w14:paraId="379B0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3" w:type="dxa"/>
            <w:vMerge w:val="continue"/>
            <w:tcBorders>
              <w:top w:val="single" w:color="auto" w:sz="4" w:space="0"/>
              <w:left w:val="single" w:color="auto" w:sz="4" w:space="0"/>
              <w:bottom w:val="single" w:color="auto" w:sz="4" w:space="0"/>
              <w:right w:val="single" w:color="auto" w:sz="4" w:space="0"/>
            </w:tcBorders>
            <w:vAlign w:val="center"/>
          </w:tcPr>
          <w:p w14:paraId="4D9D3112">
            <w:pPr>
              <w:pStyle w:val="691"/>
              <w:rPr>
                <w:color w:val="auto"/>
              </w:rPr>
            </w:pPr>
          </w:p>
        </w:tc>
        <w:tc>
          <w:tcPr>
            <w:tcW w:w="1313" w:type="dxa"/>
            <w:vMerge w:val="continue"/>
            <w:tcBorders>
              <w:top w:val="single" w:color="auto" w:sz="4" w:space="0"/>
              <w:left w:val="single" w:color="auto" w:sz="4" w:space="0"/>
              <w:bottom w:val="single" w:color="auto" w:sz="4" w:space="0"/>
              <w:right w:val="single" w:color="auto" w:sz="4" w:space="0"/>
            </w:tcBorders>
            <w:vAlign w:val="center"/>
          </w:tcPr>
          <w:p w14:paraId="2D0F6265">
            <w:pPr>
              <w:pStyle w:val="691"/>
              <w:rPr>
                <w:color w:val="auto"/>
              </w:rPr>
            </w:pPr>
          </w:p>
        </w:tc>
        <w:tc>
          <w:tcPr>
            <w:tcW w:w="7546" w:type="dxa"/>
            <w:gridSpan w:val="2"/>
            <w:tcBorders>
              <w:top w:val="single" w:color="auto" w:sz="4" w:space="0"/>
              <w:left w:val="single" w:color="auto" w:sz="4" w:space="0"/>
              <w:bottom w:val="single" w:color="auto" w:sz="4" w:space="0"/>
              <w:right w:val="single" w:color="auto" w:sz="4" w:space="0"/>
            </w:tcBorders>
            <w:vAlign w:val="center"/>
          </w:tcPr>
          <w:p w14:paraId="039C1321">
            <w:pPr>
              <w:pStyle w:val="691"/>
              <w:rPr>
                <w:color w:val="auto"/>
                <w:szCs w:val="21"/>
              </w:rPr>
            </w:pPr>
            <w:r>
              <w:rPr>
                <w:rFonts w:hint="eastAsia"/>
                <w:color w:val="auto"/>
                <w:szCs w:val="21"/>
              </w:rPr>
              <w:t>第八条 建设分类投放、分类收集、分类运输、分类处理的生活垃圾处理系统，建成具有忠县特色的生活垃圾分类常态化运行机制。巩固海螺水泥厂垃圾无害化处理模式，重点打造渝东北再生资源集散中心，全面提高生活垃圾资源化处理率、无害化处理率及减量化水平。</w:t>
            </w:r>
          </w:p>
        </w:tc>
        <w:tc>
          <w:tcPr>
            <w:tcW w:w="2559" w:type="dxa"/>
            <w:tcBorders>
              <w:top w:val="single" w:color="auto" w:sz="4" w:space="0"/>
              <w:left w:val="single" w:color="auto" w:sz="4" w:space="0"/>
              <w:bottom w:val="single" w:color="auto" w:sz="4" w:space="0"/>
              <w:right w:val="single" w:color="auto" w:sz="4" w:space="0"/>
            </w:tcBorders>
            <w:vAlign w:val="center"/>
          </w:tcPr>
          <w:p w14:paraId="78EA8347">
            <w:pPr>
              <w:pStyle w:val="691"/>
              <w:rPr>
                <w:color w:val="auto"/>
                <w:szCs w:val="21"/>
              </w:rPr>
            </w:pPr>
            <w:r>
              <w:rPr>
                <w:rFonts w:hint="eastAsia"/>
                <w:color w:val="auto"/>
                <w:szCs w:val="21"/>
              </w:rPr>
              <w:t>拟建项目不涉及</w:t>
            </w:r>
          </w:p>
        </w:tc>
        <w:tc>
          <w:tcPr>
            <w:tcW w:w="1258" w:type="dxa"/>
            <w:tcBorders>
              <w:top w:val="single" w:color="auto" w:sz="4" w:space="0"/>
              <w:left w:val="single" w:color="auto" w:sz="4" w:space="0"/>
              <w:bottom w:val="single" w:color="auto" w:sz="4" w:space="0"/>
              <w:right w:val="single" w:color="auto" w:sz="4" w:space="0"/>
            </w:tcBorders>
            <w:vAlign w:val="center"/>
          </w:tcPr>
          <w:p w14:paraId="068CFA3F">
            <w:pPr>
              <w:pStyle w:val="691"/>
              <w:rPr>
                <w:color w:val="auto"/>
                <w:szCs w:val="21"/>
              </w:rPr>
            </w:pPr>
            <w:r>
              <w:rPr>
                <w:rFonts w:hint="eastAsia"/>
                <w:color w:val="auto"/>
                <w:szCs w:val="21"/>
              </w:rPr>
              <w:t>符合</w:t>
            </w:r>
          </w:p>
        </w:tc>
      </w:tr>
      <w:tr w14:paraId="493EB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3" w:type="dxa"/>
            <w:vMerge w:val="continue"/>
            <w:tcBorders>
              <w:top w:val="single" w:color="auto" w:sz="4" w:space="0"/>
              <w:left w:val="single" w:color="auto" w:sz="4" w:space="0"/>
              <w:bottom w:val="single" w:color="auto" w:sz="4" w:space="0"/>
              <w:right w:val="single" w:color="auto" w:sz="4" w:space="0"/>
            </w:tcBorders>
            <w:vAlign w:val="center"/>
          </w:tcPr>
          <w:p w14:paraId="000D9857">
            <w:pPr>
              <w:pStyle w:val="691"/>
              <w:rPr>
                <w:color w:val="auto"/>
              </w:rPr>
            </w:pPr>
          </w:p>
        </w:tc>
        <w:tc>
          <w:tcPr>
            <w:tcW w:w="1313" w:type="dxa"/>
            <w:vMerge w:val="continue"/>
            <w:tcBorders>
              <w:top w:val="single" w:color="auto" w:sz="4" w:space="0"/>
              <w:left w:val="single" w:color="auto" w:sz="4" w:space="0"/>
              <w:bottom w:val="single" w:color="auto" w:sz="4" w:space="0"/>
              <w:right w:val="single" w:color="auto" w:sz="4" w:space="0"/>
            </w:tcBorders>
            <w:vAlign w:val="center"/>
          </w:tcPr>
          <w:p w14:paraId="11913DF1">
            <w:pPr>
              <w:pStyle w:val="691"/>
              <w:rPr>
                <w:color w:val="auto"/>
              </w:rPr>
            </w:pPr>
          </w:p>
        </w:tc>
        <w:tc>
          <w:tcPr>
            <w:tcW w:w="7546" w:type="dxa"/>
            <w:gridSpan w:val="2"/>
            <w:tcBorders>
              <w:top w:val="single" w:color="auto" w:sz="4" w:space="0"/>
              <w:left w:val="single" w:color="auto" w:sz="4" w:space="0"/>
              <w:bottom w:val="single" w:color="auto" w:sz="4" w:space="0"/>
              <w:right w:val="single" w:color="auto" w:sz="4" w:space="0"/>
            </w:tcBorders>
            <w:vAlign w:val="center"/>
          </w:tcPr>
          <w:p w14:paraId="6FBA3DA2">
            <w:pPr>
              <w:pStyle w:val="691"/>
              <w:rPr>
                <w:color w:val="auto"/>
                <w:szCs w:val="21"/>
              </w:rPr>
            </w:pPr>
            <w:r>
              <w:rPr>
                <w:rFonts w:hint="eastAsia"/>
                <w:color w:val="auto"/>
                <w:szCs w:val="21"/>
              </w:rPr>
              <w:t>第九条 完善船舶污染物“船－港－城”“收集－接收－转运－处置”的有机衔接和协作，强化船舶污染物接收、转运、处置全过程信息化管理，促进船舶污染物“船上储存、上岸交付”的零排放模式。加快港口岸电设施改造，实现港口岸电设施覆盖率100%。</w:t>
            </w:r>
          </w:p>
        </w:tc>
        <w:tc>
          <w:tcPr>
            <w:tcW w:w="2559" w:type="dxa"/>
            <w:tcBorders>
              <w:top w:val="single" w:color="auto" w:sz="4" w:space="0"/>
              <w:left w:val="single" w:color="auto" w:sz="4" w:space="0"/>
              <w:bottom w:val="single" w:color="auto" w:sz="4" w:space="0"/>
              <w:right w:val="single" w:color="auto" w:sz="4" w:space="0"/>
            </w:tcBorders>
            <w:vAlign w:val="center"/>
          </w:tcPr>
          <w:p w14:paraId="3FE93C06">
            <w:pPr>
              <w:pStyle w:val="691"/>
              <w:rPr>
                <w:color w:val="auto"/>
                <w:szCs w:val="21"/>
              </w:rPr>
            </w:pPr>
            <w:r>
              <w:rPr>
                <w:rFonts w:hint="eastAsia"/>
                <w:color w:val="auto"/>
                <w:szCs w:val="21"/>
              </w:rPr>
              <w:t>拟建项目不涉及</w:t>
            </w:r>
          </w:p>
        </w:tc>
        <w:tc>
          <w:tcPr>
            <w:tcW w:w="1258" w:type="dxa"/>
            <w:tcBorders>
              <w:top w:val="single" w:color="auto" w:sz="4" w:space="0"/>
              <w:left w:val="single" w:color="auto" w:sz="4" w:space="0"/>
              <w:bottom w:val="single" w:color="auto" w:sz="4" w:space="0"/>
              <w:right w:val="single" w:color="auto" w:sz="4" w:space="0"/>
            </w:tcBorders>
            <w:vAlign w:val="center"/>
          </w:tcPr>
          <w:p w14:paraId="26A6D461">
            <w:pPr>
              <w:pStyle w:val="691"/>
              <w:rPr>
                <w:color w:val="auto"/>
                <w:szCs w:val="21"/>
              </w:rPr>
            </w:pPr>
            <w:r>
              <w:rPr>
                <w:rFonts w:hint="eastAsia"/>
                <w:color w:val="auto"/>
                <w:szCs w:val="21"/>
              </w:rPr>
              <w:t>符合</w:t>
            </w:r>
          </w:p>
        </w:tc>
      </w:tr>
      <w:tr w14:paraId="5A65B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3" w:type="dxa"/>
            <w:vMerge w:val="continue"/>
            <w:tcBorders>
              <w:top w:val="single" w:color="auto" w:sz="4" w:space="0"/>
              <w:left w:val="single" w:color="auto" w:sz="4" w:space="0"/>
              <w:bottom w:val="single" w:color="auto" w:sz="4" w:space="0"/>
              <w:right w:val="single" w:color="auto" w:sz="4" w:space="0"/>
            </w:tcBorders>
            <w:vAlign w:val="center"/>
          </w:tcPr>
          <w:p w14:paraId="09DC459B">
            <w:pPr>
              <w:pStyle w:val="691"/>
              <w:rPr>
                <w:color w:val="auto"/>
              </w:rPr>
            </w:pPr>
          </w:p>
        </w:tc>
        <w:tc>
          <w:tcPr>
            <w:tcW w:w="1313" w:type="dxa"/>
            <w:vMerge w:val="restart"/>
            <w:tcBorders>
              <w:top w:val="single" w:color="auto" w:sz="4" w:space="0"/>
              <w:left w:val="single" w:color="auto" w:sz="4" w:space="0"/>
              <w:bottom w:val="single" w:color="auto" w:sz="4" w:space="0"/>
              <w:right w:val="single" w:color="auto" w:sz="4" w:space="0"/>
            </w:tcBorders>
            <w:vAlign w:val="center"/>
          </w:tcPr>
          <w:p w14:paraId="205039D8">
            <w:pPr>
              <w:pStyle w:val="691"/>
              <w:rPr>
                <w:color w:val="auto"/>
              </w:rPr>
            </w:pPr>
            <w:r>
              <w:rPr>
                <w:rFonts w:hint="eastAsia"/>
                <w:color w:val="auto"/>
              </w:rPr>
              <w:t>环境风险防控</w:t>
            </w:r>
          </w:p>
        </w:tc>
        <w:tc>
          <w:tcPr>
            <w:tcW w:w="7546" w:type="dxa"/>
            <w:gridSpan w:val="2"/>
            <w:tcBorders>
              <w:top w:val="single" w:color="auto" w:sz="4" w:space="0"/>
              <w:left w:val="single" w:color="auto" w:sz="4" w:space="0"/>
              <w:bottom w:val="single" w:color="auto" w:sz="4" w:space="0"/>
              <w:right w:val="single" w:color="auto" w:sz="4" w:space="0"/>
            </w:tcBorders>
            <w:vAlign w:val="center"/>
          </w:tcPr>
          <w:p w14:paraId="6353066A">
            <w:pPr>
              <w:pStyle w:val="691"/>
              <w:rPr>
                <w:color w:val="auto"/>
                <w:szCs w:val="21"/>
              </w:rPr>
            </w:pPr>
            <w:r>
              <w:rPr>
                <w:rFonts w:hint="eastAsia"/>
                <w:color w:val="auto"/>
                <w:szCs w:val="21"/>
              </w:rPr>
              <w:t>第十条 执行重点管控单元市级总体管控要求第十六条。</w:t>
            </w:r>
          </w:p>
        </w:tc>
        <w:tc>
          <w:tcPr>
            <w:tcW w:w="2559" w:type="dxa"/>
            <w:tcBorders>
              <w:top w:val="single" w:color="auto" w:sz="4" w:space="0"/>
              <w:left w:val="single" w:color="auto" w:sz="4" w:space="0"/>
              <w:bottom w:val="single" w:color="auto" w:sz="4" w:space="0"/>
              <w:right w:val="single" w:color="auto" w:sz="4" w:space="0"/>
            </w:tcBorders>
            <w:vAlign w:val="center"/>
          </w:tcPr>
          <w:p w14:paraId="255088B8">
            <w:pPr>
              <w:pStyle w:val="691"/>
              <w:rPr>
                <w:rFonts w:hint="eastAsia" w:eastAsia="宋体"/>
                <w:color w:val="auto"/>
                <w:szCs w:val="21"/>
                <w:lang w:eastAsia="zh-CN"/>
              </w:rPr>
            </w:pPr>
            <w:r>
              <w:rPr>
                <w:rFonts w:hint="eastAsia"/>
                <w:color w:val="auto"/>
                <w:szCs w:val="21"/>
                <w:lang w:eastAsia="zh-CN"/>
              </w:rPr>
              <w:t>拟建项目严格执行</w:t>
            </w:r>
            <w:r>
              <w:rPr>
                <w:rFonts w:hint="eastAsia"/>
                <w:color w:val="auto"/>
                <w:szCs w:val="21"/>
              </w:rPr>
              <w:t>重点管控单元市级总体管控要求第十六条</w:t>
            </w:r>
            <w:r>
              <w:rPr>
                <w:rFonts w:hint="eastAsia"/>
                <w:color w:val="auto"/>
                <w:szCs w:val="21"/>
                <w:lang w:eastAsia="zh-CN"/>
              </w:rPr>
              <w:t>，加强风险防范</w:t>
            </w:r>
          </w:p>
        </w:tc>
        <w:tc>
          <w:tcPr>
            <w:tcW w:w="1258" w:type="dxa"/>
            <w:tcBorders>
              <w:top w:val="single" w:color="auto" w:sz="4" w:space="0"/>
              <w:left w:val="single" w:color="auto" w:sz="4" w:space="0"/>
              <w:bottom w:val="single" w:color="auto" w:sz="4" w:space="0"/>
              <w:right w:val="single" w:color="auto" w:sz="4" w:space="0"/>
            </w:tcBorders>
            <w:vAlign w:val="center"/>
          </w:tcPr>
          <w:p w14:paraId="77D32480">
            <w:pPr>
              <w:pStyle w:val="691"/>
              <w:rPr>
                <w:color w:val="auto"/>
                <w:szCs w:val="21"/>
              </w:rPr>
            </w:pPr>
            <w:r>
              <w:rPr>
                <w:rFonts w:hint="eastAsia"/>
                <w:color w:val="auto"/>
                <w:szCs w:val="21"/>
              </w:rPr>
              <w:t>符合</w:t>
            </w:r>
          </w:p>
        </w:tc>
      </w:tr>
      <w:tr w14:paraId="6A9FA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3" w:type="dxa"/>
            <w:vMerge w:val="continue"/>
            <w:tcBorders>
              <w:top w:val="single" w:color="auto" w:sz="4" w:space="0"/>
              <w:left w:val="single" w:color="auto" w:sz="4" w:space="0"/>
              <w:bottom w:val="single" w:color="auto" w:sz="4" w:space="0"/>
              <w:right w:val="single" w:color="auto" w:sz="4" w:space="0"/>
            </w:tcBorders>
            <w:vAlign w:val="center"/>
          </w:tcPr>
          <w:p w14:paraId="29EBC72B">
            <w:pPr>
              <w:pStyle w:val="691"/>
              <w:rPr>
                <w:color w:val="auto"/>
              </w:rPr>
            </w:pPr>
          </w:p>
        </w:tc>
        <w:tc>
          <w:tcPr>
            <w:tcW w:w="1313" w:type="dxa"/>
            <w:vMerge w:val="continue"/>
            <w:tcBorders>
              <w:top w:val="single" w:color="auto" w:sz="4" w:space="0"/>
              <w:left w:val="single" w:color="auto" w:sz="4" w:space="0"/>
              <w:bottom w:val="single" w:color="auto" w:sz="4" w:space="0"/>
              <w:right w:val="single" w:color="auto" w:sz="4" w:space="0"/>
            </w:tcBorders>
            <w:vAlign w:val="center"/>
          </w:tcPr>
          <w:p w14:paraId="2033DDCD">
            <w:pPr>
              <w:pStyle w:val="691"/>
              <w:rPr>
                <w:color w:val="auto"/>
              </w:rPr>
            </w:pPr>
          </w:p>
        </w:tc>
        <w:tc>
          <w:tcPr>
            <w:tcW w:w="7546" w:type="dxa"/>
            <w:gridSpan w:val="2"/>
            <w:tcBorders>
              <w:top w:val="single" w:color="auto" w:sz="4" w:space="0"/>
              <w:left w:val="single" w:color="auto" w:sz="4" w:space="0"/>
              <w:bottom w:val="single" w:color="auto" w:sz="4" w:space="0"/>
              <w:right w:val="single" w:color="auto" w:sz="4" w:space="0"/>
            </w:tcBorders>
            <w:vAlign w:val="center"/>
          </w:tcPr>
          <w:p w14:paraId="43D47CAF">
            <w:pPr>
              <w:pStyle w:val="691"/>
              <w:rPr>
                <w:color w:val="auto"/>
                <w:szCs w:val="21"/>
              </w:rPr>
            </w:pPr>
            <w:r>
              <w:rPr>
                <w:rFonts w:hint="eastAsia"/>
                <w:color w:val="auto"/>
                <w:szCs w:val="21"/>
              </w:rPr>
              <w:t>第十一条 按要求开展园区及企业突发环境事件风险评估及环境风险应急预案制修订、应急演练。强化环境风险源精准化管理，动态更新重点环境风险源管理目录清单。强化环境风险隐患排查整治，定期开展沿江环境风险企业、港口码头等环境安全排查整治。</w:t>
            </w:r>
          </w:p>
        </w:tc>
        <w:tc>
          <w:tcPr>
            <w:tcW w:w="2559" w:type="dxa"/>
            <w:tcBorders>
              <w:top w:val="single" w:color="auto" w:sz="4" w:space="0"/>
              <w:left w:val="single" w:color="auto" w:sz="4" w:space="0"/>
              <w:bottom w:val="single" w:color="auto" w:sz="4" w:space="0"/>
              <w:right w:val="single" w:color="auto" w:sz="4" w:space="0"/>
            </w:tcBorders>
            <w:vAlign w:val="center"/>
          </w:tcPr>
          <w:p w14:paraId="617E770F">
            <w:pPr>
              <w:pStyle w:val="691"/>
              <w:rPr>
                <w:color w:val="auto"/>
                <w:szCs w:val="21"/>
              </w:rPr>
            </w:pPr>
            <w:r>
              <w:rPr>
                <w:rFonts w:hint="eastAsia"/>
                <w:color w:val="auto"/>
                <w:szCs w:val="21"/>
              </w:rPr>
              <w:t>拟建项目不涉及</w:t>
            </w:r>
          </w:p>
        </w:tc>
        <w:tc>
          <w:tcPr>
            <w:tcW w:w="1258" w:type="dxa"/>
            <w:tcBorders>
              <w:top w:val="single" w:color="auto" w:sz="4" w:space="0"/>
              <w:left w:val="single" w:color="auto" w:sz="4" w:space="0"/>
              <w:bottom w:val="single" w:color="auto" w:sz="4" w:space="0"/>
              <w:right w:val="single" w:color="auto" w:sz="4" w:space="0"/>
            </w:tcBorders>
            <w:vAlign w:val="center"/>
          </w:tcPr>
          <w:p w14:paraId="1A08A6D0">
            <w:pPr>
              <w:pStyle w:val="691"/>
              <w:rPr>
                <w:color w:val="auto"/>
                <w:szCs w:val="21"/>
              </w:rPr>
            </w:pPr>
            <w:r>
              <w:rPr>
                <w:rFonts w:hint="eastAsia"/>
                <w:color w:val="auto"/>
                <w:szCs w:val="21"/>
              </w:rPr>
              <w:t>符合</w:t>
            </w:r>
          </w:p>
        </w:tc>
      </w:tr>
      <w:tr w14:paraId="71054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3" w:type="dxa"/>
            <w:vMerge w:val="continue"/>
            <w:tcBorders>
              <w:top w:val="single" w:color="auto" w:sz="4" w:space="0"/>
              <w:left w:val="single" w:color="auto" w:sz="4" w:space="0"/>
              <w:bottom w:val="single" w:color="auto" w:sz="4" w:space="0"/>
              <w:right w:val="single" w:color="auto" w:sz="4" w:space="0"/>
            </w:tcBorders>
            <w:vAlign w:val="center"/>
          </w:tcPr>
          <w:p w14:paraId="44FBC2CB">
            <w:pPr>
              <w:pStyle w:val="691"/>
              <w:rPr>
                <w:color w:val="auto"/>
              </w:rPr>
            </w:pPr>
          </w:p>
        </w:tc>
        <w:tc>
          <w:tcPr>
            <w:tcW w:w="1313" w:type="dxa"/>
            <w:vMerge w:val="continue"/>
            <w:tcBorders>
              <w:top w:val="single" w:color="auto" w:sz="4" w:space="0"/>
              <w:left w:val="single" w:color="auto" w:sz="4" w:space="0"/>
              <w:bottom w:val="single" w:color="auto" w:sz="4" w:space="0"/>
              <w:right w:val="single" w:color="auto" w:sz="4" w:space="0"/>
            </w:tcBorders>
            <w:vAlign w:val="center"/>
          </w:tcPr>
          <w:p w14:paraId="5A4F1CA7">
            <w:pPr>
              <w:pStyle w:val="691"/>
              <w:rPr>
                <w:color w:val="auto"/>
              </w:rPr>
            </w:pPr>
          </w:p>
        </w:tc>
        <w:tc>
          <w:tcPr>
            <w:tcW w:w="7546" w:type="dxa"/>
            <w:gridSpan w:val="2"/>
            <w:tcBorders>
              <w:top w:val="single" w:color="auto" w:sz="4" w:space="0"/>
              <w:left w:val="single" w:color="auto" w:sz="4" w:space="0"/>
              <w:bottom w:val="single" w:color="auto" w:sz="4" w:space="0"/>
              <w:right w:val="single" w:color="auto" w:sz="4" w:space="0"/>
            </w:tcBorders>
            <w:vAlign w:val="center"/>
          </w:tcPr>
          <w:p w14:paraId="4511DAEF">
            <w:pPr>
              <w:pStyle w:val="691"/>
              <w:rPr>
                <w:color w:val="auto"/>
                <w:szCs w:val="21"/>
              </w:rPr>
            </w:pPr>
            <w:r>
              <w:rPr>
                <w:rFonts w:hint="eastAsia"/>
                <w:color w:val="auto"/>
                <w:szCs w:val="21"/>
              </w:rPr>
              <w:t>第十二条 优化港区运输布局，完善围油栏、吸油毡、收油机等应急物资储备库，提高溢油处置能力，建立完善与港区环境风险相匹配的应急能力。加大船舶航行安全保障和风险防范力度。</w:t>
            </w:r>
          </w:p>
        </w:tc>
        <w:tc>
          <w:tcPr>
            <w:tcW w:w="2559" w:type="dxa"/>
            <w:tcBorders>
              <w:top w:val="single" w:color="auto" w:sz="4" w:space="0"/>
              <w:left w:val="single" w:color="auto" w:sz="4" w:space="0"/>
              <w:bottom w:val="single" w:color="auto" w:sz="4" w:space="0"/>
              <w:right w:val="single" w:color="auto" w:sz="4" w:space="0"/>
            </w:tcBorders>
            <w:vAlign w:val="center"/>
          </w:tcPr>
          <w:p w14:paraId="17D525C6">
            <w:pPr>
              <w:pStyle w:val="691"/>
              <w:rPr>
                <w:color w:val="auto"/>
                <w:szCs w:val="21"/>
              </w:rPr>
            </w:pPr>
            <w:r>
              <w:rPr>
                <w:rFonts w:hint="eastAsia"/>
                <w:color w:val="auto"/>
                <w:szCs w:val="21"/>
              </w:rPr>
              <w:t>拟建项目不涉及</w:t>
            </w:r>
          </w:p>
        </w:tc>
        <w:tc>
          <w:tcPr>
            <w:tcW w:w="1258" w:type="dxa"/>
            <w:tcBorders>
              <w:top w:val="single" w:color="auto" w:sz="4" w:space="0"/>
              <w:left w:val="single" w:color="auto" w:sz="4" w:space="0"/>
              <w:bottom w:val="single" w:color="auto" w:sz="4" w:space="0"/>
              <w:right w:val="single" w:color="auto" w:sz="4" w:space="0"/>
            </w:tcBorders>
            <w:vAlign w:val="center"/>
          </w:tcPr>
          <w:p w14:paraId="55F2C865">
            <w:pPr>
              <w:pStyle w:val="691"/>
              <w:rPr>
                <w:color w:val="auto"/>
                <w:szCs w:val="21"/>
              </w:rPr>
            </w:pPr>
            <w:r>
              <w:rPr>
                <w:rFonts w:hint="eastAsia"/>
                <w:color w:val="auto"/>
                <w:szCs w:val="21"/>
              </w:rPr>
              <w:t>符合</w:t>
            </w:r>
          </w:p>
        </w:tc>
      </w:tr>
      <w:tr w14:paraId="1965B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3" w:type="dxa"/>
            <w:vMerge w:val="continue"/>
            <w:tcBorders>
              <w:top w:val="single" w:color="auto" w:sz="4" w:space="0"/>
              <w:left w:val="single" w:color="auto" w:sz="4" w:space="0"/>
              <w:bottom w:val="single" w:color="auto" w:sz="4" w:space="0"/>
              <w:right w:val="single" w:color="auto" w:sz="4" w:space="0"/>
            </w:tcBorders>
            <w:vAlign w:val="center"/>
          </w:tcPr>
          <w:p w14:paraId="3F887429">
            <w:pPr>
              <w:pStyle w:val="691"/>
              <w:rPr>
                <w:color w:val="auto"/>
              </w:rPr>
            </w:pPr>
          </w:p>
        </w:tc>
        <w:tc>
          <w:tcPr>
            <w:tcW w:w="1313" w:type="dxa"/>
            <w:vMerge w:val="restart"/>
            <w:tcBorders>
              <w:top w:val="single" w:color="auto" w:sz="4" w:space="0"/>
              <w:left w:val="single" w:color="auto" w:sz="4" w:space="0"/>
              <w:bottom w:val="single" w:color="auto" w:sz="4" w:space="0"/>
              <w:right w:val="single" w:color="auto" w:sz="4" w:space="0"/>
            </w:tcBorders>
            <w:vAlign w:val="center"/>
          </w:tcPr>
          <w:p w14:paraId="33D99D93">
            <w:pPr>
              <w:pStyle w:val="691"/>
              <w:rPr>
                <w:color w:val="auto"/>
              </w:rPr>
            </w:pPr>
            <w:r>
              <w:rPr>
                <w:rFonts w:hint="eastAsia"/>
                <w:color w:val="auto"/>
              </w:rPr>
              <w:t>资源开发利用效率</w:t>
            </w:r>
          </w:p>
        </w:tc>
        <w:tc>
          <w:tcPr>
            <w:tcW w:w="7546" w:type="dxa"/>
            <w:gridSpan w:val="2"/>
            <w:tcBorders>
              <w:top w:val="single" w:color="auto" w:sz="4" w:space="0"/>
              <w:left w:val="single" w:color="auto" w:sz="4" w:space="0"/>
              <w:bottom w:val="single" w:color="auto" w:sz="4" w:space="0"/>
              <w:right w:val="single" w:color="auto" w:sz="4" w:space="0"/>
            </w:tcBorders>
            <w:vAlign w:val="center"/>
          </w:tcPr>
          <w:p w14:paraId="6C273C97">
            <w:pPr>
              <w:pStyle w:val="691"/>
              <w:rPr>
                <w:color w:val="auto"/>
                <w:szCs w:val="21"/>
              </w:rPr>
            </w:pPr>
            <w:r>
              <w:rPr>
                <w:rFonts w:hint="eastAsia"/>
                <w:color w:val="auto"/>
                <w:szCs w:val="21"/>
              </w:rPr>
              <w:t>第十三条 执行重点管控单元市级总体管控要求第十八条、第二十条和第二十二条。</w:t>
            </w:r>
          </w:p>
        </w:tc>
        <w:tc>
          <w:tcPr>
            <w:tcW w:w="2559" w:type="dxa"/>
            <w:tcBorders>
              <w:top w:val="single" w:color="auto" w:sz="4" w:space="0"/>
              <w:left w:val="single" w:color="auto" w:sz="4" w:space="0"/>
              <w:bottom w:val="single" w:color="auto" w:sz="4" w:space="0"/>
              <w:right w:val="single" w:color="auto" w:sz="4" w:space="0"/>
            </w:tcBorders>
            <w:vAlign w:val="center"/>
          </w:tcPr>
          <w:p w14:paraId="08480C3A">
            <w:pPr>
              <w:pStyle w:val="691"/>
              <w:rPr>
                <w:color w:val="auto"/>
                <w:szCs w:val="21"/>
              </w:rPr>
            </w:pPr>
            <w:r>
              <w:rPr>
                <w:rFonts w:hint="eastAsia"/>
                <w:color w:val="auto"/>
                <w:szCs w:val="21"/>
              </w:rPr>
              <w:t>拟建项目不属于新建和扩建“两高”项目，</w:t>
            </w:r>
            <w:r>
              <w:rPr>
                <w:rFonts w:hint="eastAsia"/>
                <w:color w:val="auto"/>
                <w:szCs w:val="21"/>
                <w:lang w:eastAsia="zh-CN"/>
              </w:rPr>
              <w:t>符合</w:t>
            </w:r>
            <w:r>
              <w:rPr>
                <w:rFonts w:hint="eastAsia"/>
                <w:color w:val="auto"/>
                <w:szCs w:val="21"/>
              </w:rPr>
              <w:t>重点管控单元市级总体管控要求第十八条、第二十条和第二十二条。</w:t>
            </w:r>
          </w:p>
        </w:tc>
        <w:tc>
          <w:tcPr>
            <w:tcW w:w="1258" w:type="dxa"/>
            <w:tcBorders>
              <w:top w:val="single" w:color="auto" w:sz="4" w:space="0"/>
              <w:left w:val="single" w:color="auto" w:sz="4" w:space="0"/>
              <w:bottom w:val="single" w:color="auto" w:sz="4" w:space="0"/>
              <w:right w:val="single" w:color="auto" w:sz="4" w:space="0"/>
            </w:tcBorders>
            <w:vAlign w:val="center"/>
          </w:tcPr>
          <w:p w14:paraId="43BF3FD4">
            <w:pPr>
              <w:pStyle w:val="691"/>
              <w:rPr>
                <w:color w:val="auto"/>
                <w:szCs w:val="21"/>
              </w:rPr>
            </w:pPr>
            <w:r>
              <w:rPr>
                <w:rFonts w:hint="eastAsia"/>
                <w:color w:val="auto"/>
                <w:szCs w:val="21"/>
              </w:rPr>
              <w:t>符合</w:t>
            </w:r>
          </w:p>
        </w:tc>
      </w:tr>
      <w:tr w14:paraId="177AD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3" w:type="dxa"/>
            <w:vMerge w:val="continue"/>
            <w:tcBorders>
              <w:top w:val="single" w:color="auto" w:sz="4" w:space="0"/>
              <w:left w:val="single" w:color="auto" w:sz="4" w:space="0"/>
              <w:bottom w:val="single" w:color="auto" w:sz="4" w:space="0"/>
              <w:right w:val="single" w:color="auto" w:sz="4" w:space="0"/>
            </w:tcBorders>
            <w:vAlign w:val="center"/>
          </w:tcPr>
          <w:p w14:paraId="28441828">
            <w:pPr>
              <w:pStyle w:val="691"/>
              <w:rPr>
                <w:color w:val="auto"/>
              </w:rPr>
            </w:pPr>
          </w:p>
        </w:tc>
        <w:tc>
          <w:tcPr>
            <w:tcW w:w="1313" w:type="dxa"/>
            <w:vMerge w:val="continue"/>
            <w:tcBorders>
              <w:top w:val="single" w:color="auto" w:sz="4" w:space="0"/>
              <w:left w:val="single" w:color="auto" w:sz="4" w:space="0"/>
              <w:bottom w:val="single" w:color="auto" w:sz="4" w:space="0"/>
              <w:right w:val="single" w:color="auto" w:sz="4" w:space="0"/>
            </w:tcBorders>
            <w:vAlign w:val="center"/>
          </w:tcPr>
          <w:p w14:paraId="48652006">
            <w:pPr>
              <w:pStyle w:val="691"/>
              <w:rPr>
                <w:color w:val="auto"/>
              </w:rPr>
            </w:pPr>
          </w:p>
        </w:tc>
        <w:tc>
          <w:tcPr>
            <w:tcW w:w="7546" w:type="dxa"/>
            <w:gridSpan w:val="2"/>
            <w:tcBorders>
              <w:top w:val="single" w:color="auto" w:sz="4" w:space="0"/>
              <w:left w:val="single" w:color="auto" w:sz="4" w:space="0"/>
              <w:bottom w:val="single" w:color="auto" w:sz="4" w:space="0"/>
              <w:right w:val="single" w:color="auto" w:sz="4" w:space="0"/>
            </w:tcBorders>
            <w:vAlign w:val="center"/>
          </w:tcPr>
          <w:p w14:paraId="6F2782EE">
            <w:pPr>
              <w:pStyle w:val="691"/>
              <w:rPr>
                <w:color w:val="auto"/>
                <w:szCs w:val="21"/>
              </w:rPr>
            </w:pPr>
            <w:r>
              <w:rPr>
                <w:rFonts w:hint="eastAsia"/>
                <w:color w:val="auto"/>
                <w:szCs w:val="21"/>
              </w:rPr>
              <w:t>第十四条 严格执行重点领域项目产能置换、区域削减等政策，坚决遏制“两高”项目盲目发展。持续推进能耗环保安全技术方面达不到标准、生产不合格产品或属于淘汰类的落后产能依法依规退出。引导重点行业深入实施清洁生产改造，依法开展自愿性清洁生产评价认证。</w:t>
            </w:r>
          </w:p>
        </w:tc>
        <w:tc>
          <w:tcPr>
            <w:tcW w:w="2559" w:type="dxa"/>
            <w:tcBorders>
              <w:top w:val="single" w:color="auto" w:sz="4" w:space="0"/>
              <w:left w:val="single" w:color="auto" w:sz="4" w:space="0"/>
              <w:bottom w:val="single" w:color="auto" w:sz="4" w:space="0"/>
              <w:right w:val="single" w:color="auto" w:sz="4" w:space="0"/>
            </w:tcBorders>
            <w:vAlign w:val="center"/>
          </w:tcPr>
          <w:p w14:paraId="22F44107">
            <w:pPr>
              <w:pStyle w:val="691"/>
              <w:rPr>
                <w:color w:val="auto"/>
                <w:szCs w:val="21"/>
              </w:rPr>
            </w:pPr>
            <w:r>
              <w:rPr>
                <w:rFonts w:hint="eastAsia"/>
                <w:color w:val="auto"/>
                <w:szCs w:val="21"/>
              </w:rPr>
              <w:t>拟建项目不属于“两高”项目</w:t>
            </w:r>
          </w:p>
        </w:tc>
        <w:tc>
          <w:tcPr>
            <w:tcW w:w="1258" w:type="dxa"/>
            <w:tcBorders>
              <w:top w:val="single" w:color="auto" w:sz="4" w:space="0"/>
              <w:left w:val="single" w:color="auto" w:sz="4" w:space="0"/>
              <w:bottom w:val="single" w:color="auto" w:sz="4" w:space="0"/>
              <w:right w:val="single" w:color="auto" w:sz="4" w:space="0"/>
            </w:tcBorders>
            <w:vAlign w:val="center"/>
          </w:tcPr>
          <w:p w14:paraId="0BB5CE3D">
            <w:pPr>
              <w:pStyle w:val="691"/>
              <w:rPr>
                <w:color w:val="auto"/>
                <w:szCs w:val="21"/>
              </w:rPr>
            </w:pPr>
            <w:r>
              <w:rPr>
                <w:rFonts w:hint="eastAsia"/>
                <w:color w:val="auto"/>
                <w:szCs w:val="21"/>
              </w:rPr>
              <w:t>符合</w:t>
            </w:r>
          </w:p>
        </w:tc>
      </w:tr>
      <w:tr w14:paraId="2A37D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3" w:type="dxa"/>
            <w:vMerge w:val="continue"/>
            <w:tcBorders>
              <w:top w:val="single" w:color="auto" w:sz="4" w:space="0"/>
              <w:left w:val="single" w:color="auto" w:sz="4" w:space="0"/>
              <w:bottom w:val="single" w:color="auto" w:sz="4" w:space="0"/>
              <w:right w:val="single" w:color="auto" w:sz="4" w:space="0"/>
            </w:tcBorders>
            <w:vAlign w:val="center"/>
          </w:tcPr>
          <w:p w14:paraId="58E88002">
            <w:pPr>
              <w:pStyle w:val="691"/>
              <w:rPr>
                <w:color w:val="auto"/>
              </w:rPr>
            </w:pPr>
          </w:p>
        </w:tc>
        <w:tc>
          <w:tcPr>
            <w:tcW w:w="1313" w:type="dxa"/>
            <w:vMerge w:val="continue"/>
            <w:tcBorders>
              <w:top w:val="single" w:color="auto" w:sz="4" w:space="0"/>
              <w:left w:val="single" w:color="auto" w:sz="4" w:space="0"/>
              <w:bottom w:val="single" w:color="auto" w:sz="4" w:space="0"/>
              <w:right w:val="single" w:color="auto" w:sz="4" w:space="0"/>
            </w:tcBorders>
            <w:vAlign w:val="center"/>
          </w:tcPr>
          <w:p w14:paraId="747C7EF8">
            <w:pPr>
              <w:pStyle w:val="691"/>
              <w:rPr>
                <w:color w:val="auto"/>
              </w:rPr>
            </w:pPr>
          </w:p>
        </w:tc>
        <w:tc>
          <w:tcPr>
            <w:tcW w:w="7546" w:type="dxa"/>
            <w:gridSpan w:val="2"/>
            <w:tcBorders>
              <w:top w:val="single" w:color="auto" w:sz="4" w:space="0"/>
              <w:left w:val="single" w:color="auto" w:sz="4" w:space="0"/>
              <w:bottom w:val="single" w:color="auto" w:sz="4" w:space="0"/>
              <w:right w:val="single" w:color="auto" w:sz="4" w:space="0"/>
            </w:tcBorders>
            <w:vAlign w:val="center"/>
          </w:tcPr>
          <w:p w14:paraId="39D87643">
            <w:pPr>
              <w:pStyle w:val="691"/>
              <w:rPr>
                <w:color w:val="auto"/>
                <w:szCs w:val="21"/>
              </w:rPr>
            </w:pPr>
            <w:r>
              <w:rPr>
                <w:rFonts w:hint="eastAsia"/>
                <w:color w:val="auto"/>
                <w:szCs w:val="21"/>
              </w:rPr>
              <w:t>第十五条 鼓励工业园区企业串联用水，优先使用再生水。加强企业新、改、扩建用水管理，完善工业用水监测计量体系，加强对重点用水户、特殊用水行业用水户的监督管理。引导区域工业布局和产业结构调整，引导工业企业推广应用高效冷却、洗涤、循环用水、废污水再生利用、高耗水生产工艺替代等节水工艺和技术，加快淘汰落后用水工艺和技术。</w:t>
            </w:r>
          </w:p>
        </w:tc>
        <w:tc>
          <w:tcPr>
            <w:tcW w:w="2559" w:type="dxa"/>
            <w:tcBorders>
              <w:top w:val="single" w:color="auto" w:sz="4" w:space="0"/>
              <w:left w:val="single" w:color="auto" w:sz="4" w:space="0"/>
              <w:bottom w:val="single" w:color="auto" w:sz="4" w:space="0"/>
              <w:right w:val="single" w:color="auto" w:sz="4" w:space="0"/>
            </w:tcBorders>
            <w:vAlign w:val="center"/>
          </w:tcPr>
          <w:p w14:paraId="4B875EDC">
            <w:pPr>
              <w:pStyle w:val="691"/>
              <w:rPr>
                <w:color w:val="auto"/>
                <w:szCs w:val="21"/>
              </w:rPr>
            </w:pPr>
            <w:r>
              <w:rPr>
                <w:rFonts w:hint="eastAsia"/>
                <w:color w:val="auto"/>
                <w:szCs w:val="21"/>
              </w:rPr>
              <w:t>拟建项目</w:t>
            </w:r>
            <w:r>
              <w:rPr>
                <w:rFonts w:hint="eastAsia"/>
                <w:color w:val="auto"/>
                <w:sz w:val="21"/>
                <w:szCs w:val="21"/>
              </w:rPr>
              <w:t>属于</w:t>
            </w:r>
            <w:r>
              <w:rPr>
                <w:rFonts w:hint="eastAsia" w:ascii="宋体" w:hAnsi="宋体" w:cs="宋体"/>
                <w:color w:val="auto"/>
                <w:sz w:val="21"/>
                <w:szCs w:val="21"/>
              </w:rPr>
              <w:t>污水集中处理项目</w:t>
            </w:r>
            <w:r>
              <w:rPr>
                <w:rFonts w:hint="eastAsia"/>
                <w:color w:val="auto"/>
                <w:szCs w:val="21"/>
              </w:rPr>
              <w:t>，</w:t>
            </w:r>
            <w:r>
              <w:rPr>
                <w:rFonts w:hint="eastAsia"/>
                <w:color w:val="auto"/>
                <w:sz w:val="21"/>
                <w:szCs w:val="21"/>
              </w:rPr>
              <w:t>项目收集废水经处理达</w:t>
            </w:r>
            <w:r>
              <w:rPr>
                <w:rFonts w:hint="eastAsia"/>
                <w:color w:val="auto"/>
                <w:sz w:val="21"/>
                <w:szCs w:val="21"/>
                <w:lang w:eastAsia="zh-CN"/>
              </w:rPr>
              <w:t>《页岩气开采水污染物排放标准》（DB50/1806-2025）间接排放标准限值后直接接入乌杨组团园区污水处理厂</w:t>
            </w:r>
            <w:r>
              <w:rPr>
                <w:rFonts w:hint="eastAsia"/>
                <w:color w:val="auto"/>
                <w:sz w:val="21"/>
                <w:szCs w:val="21"/>
              </w:rPr>
              <w:t>进行深度处理达《城镇污水处理厂污染物排放标准》（GB18918-2002）一级 A 标准后排入</w:t>
            </w:r>
            <w:r>
              <w:rPr>
                <w:rFonts w:hint="eastAsia"/>
                <w:color w:val="auto"/>
                <w:sz w:val="21"/>
                <w:szCs w:val="21"/>
                <w:lang w:eastAsia="zh-CN"/>
              </w:rPr>
              <w:t>长江</w:t>
            </w:r>
          </w:p>
        </w:tc>
        <w:tc>
          <w:tcPr>
            <w:tcW w:w="1258" w:type="dxa"/>
            <w:tcBorders>
              <w:top w:val="single" w:color="auto" w:sz="4" w:space="0"/>
              <w:left w:val="single" w:color="auto" w:sz="4" w:space="0"/>
              <w:bottom w:val="single" w:color="auto" w:sz="4" w:space="0"/>
              <w:right w:val="single" w:color="auto" w:sz="4" w:space="0"/>
            </w:tcBorders>
            <w:vAlign w:val="center"/>
          </w:tcPr>
          <w:p w14:paraId="01CA1E1E">
            <w:pPr>
              <w:pStyle w:val="691"/>
              <w:rPr>
                <w:color w:val="auto"/>
                <w:szCs w:val="21"/>
              </w:rPr>
            </w:pPr>
            <w:r>
              <w:rPr>
                <w:rFonts w:hint="eastAsia"/>
                <w:color w:val="auto"/>
                <w:szCs w:val="21"/>
              </w:rPr>
              <w:t>符合</w:t>
            </w:r>
          </w:p>
        </w:tc>
      </w:tr>
      <w:tr w14:paraId="23486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3" w:type="dxa"/>
            <w:vMerge w:val="restart"/>
            <w:tcBorders>
              <w:top w:val="single" w:color="auto" w:sz="4" w:space="0"/>
              <w:left w:val="single" w:color="auto" w:sz="4" w:space="0"/>
              <w:bottom w:val="single" w:color="auto" w:sz="4" w:space="0"/>
              <w:right w:val="single" w:color="auto" w:sz="4" w:space="0"/>
            </w:tcBorders>
            <w:vAlign w:val="center"/>
          </w:tcPr>
          <w:p w14:paraId="2B2D0E9E">
            <w:pPr>
              <w:pStyle w:val="691"/>
              <w:rPr>
                <w:color w:val="auto"/>
              </w:rPr>
            </w:pPr>
            <w:r>
              <w:rPr>
                <w:rFonts w:hint="eastAsia"/>
                <w:color w:val="auto"/>
              </w:rPr>
              <w:t>单元管控要求</w:t>
            </w:r>
          </w:p>
        </w:tc>
        <w:tc>
          <w:tcPr>
            <w:tcW w:w="1313" w:type="dxa"/>
            <w:tcBorders>
              <w:top w:val="single" w:color="auto" w:sz="4" w:space="0"/>
              <w:left w:val="single" w:color="auto" w:sz="4" w:space="0"/>
              <w:bottom w:val="single" w:color="auto" w:sz="4" w:space="0"/>
              <w:right w:val="single" w:color="auto" w:sz="4" w:space="0"/>
            </w:tcBorders>
            <w:vAlign w:val="center"/>
          </w:tcPr>
          <w:p w14:paraId="2CE90358">
            <w:pPr>
              <w:pStyle w:val="691"/>
              <w:rPr>
                <w:color w:val="auto"/>
              </w:rPr>
            </w:pPr>
            <w:r>
              <w:rPr>
                <w:rFonts w:hint="eastAsia"/>
                <w:color w:val="auto"/>
              </w:rPr>
              <w:t>空间布局约束</w:t>
            </w:r>
          </w:p>
        </w:tc>
        <w:tc>
          <w:tcPr>
            <w:tcW w:w="7546" w:type="dxa"/>
            <w:gridSpan w:val="2"/>
            <w:tcBorders>
              <w:top w:val="single" w:color="auto" w:sz="4" w:space="0"/>
              <w:left w:val="single" w:color="auto" w:sz="4" w:space="0"/>
              <w:bottom w:val="single" w:color="auto" w:sz="4" w:space="0"/>
              <w:right w:val="single" w:color="auto" w:sz="4" w:space="0"/>
            </w:tcBorders>
            <w:vAlign w:val="center"/>
          </w:tcPr>
          <w:p w14:paraId="5C2744C9">
            <w:pPr>
              <w:pStyle w:val="691"/>
              <w:jc w:val="left"/>
              <w:rPr>
                <w:color w:val="auto"/>
                <w:szCs w:val="21"/>
              </w:rPr>
            </w:pPr>
            <w:r>
              <w:rPr>
                <w:rFonts w:hint="eastAsia"/>
                <w:color w:val="auto"/>
                <w:szCs w:val="21"/>
              </w:rPr>
              <w:t>1.引进的项目必须符合国家、市级及忠县产业政策、供地政策及园区产业定位。各片区工业用地和规划区居住用地之间合理设置绿化隔离带。</w:t>
            </w:r>
          </w:p>
          <w:p w14:paraId="547CA0E2">
            <w:pPr>
              <w:pStyle w:val="691"/>
              <w:jc w:val="left"/>
              <w:rPr>
                <w:color w:val="auto"/>
                <w:szCs w:val="21"/>
              </w:rPr>
            </w:pPr>
            <w:r>
              <w:rPr>
                <w:rFonts w:hint="eastAsia"/>
                <w:color w:val="auto"/>
                <w:szCs w:val="21"/>
              </w:rPr>
              <w:t>2.居住用地周边严控布局潜在污染扰民和环境风险突出的建设项目。喷涂、油漆等易造成废气扰民的项目以及噪声产生大的新建造船项目等布局应尽量远离场镇及居住区区域。</w:t>
            </w:r>
          </w:p>
        </w:tc>
        <w:tc>
          <w:tcPr>
            <w:tcW w:w="2559" w:type="dxa"/>
            <w:tcBorders>
              <w:top w:val="single" w:color="auto" w:sz="4" w:space="0"/>
              <w:left w:val="single" w:color="auto" w:sz="4" w:space="0"/>
              <w:bottom w:val="single" w:color="auto" w:sz="4" w:space="0"/>
              <w:right w:val="single" w:color="auto" w:sz="4" w:space="0"/>
            </w:tcBorders>
            <w:vAlign w:val="center"/>
          </w:tcPr>
          <w:p w14:paraId="17113689">
            <w:pPr>
              <w:pStyle w:val="691"/>
              <w:rPr>
                <w:color w:val="auto"/>
                <w:szCs w:val="21"/>
                <w:lang w:bidi="en-US"/>
              </w:rPr>
            </w:pPr>
            <w:r>
              <w:rPr>
                <w:rFonts w:hint="eastAsia"/>
                <w:color w:val="auto"/>
                <w:szCs w:val="21"/>
              </w:rPr>
              <w:t>项目位于</w:t>
            </w:r>
            <w:r>
              <w:rPr>
                <w:rFonts w:hint="eastAsia"/>
                <w:color w:val="auto"/>
                <w:szCs w:val="21"/>
                <w:lang w:eastAsia="zh-CN"/>
              </w:rPr>
              <w:t>乌杨组团园区污水处理厂二期预留用地范围内</w:t>
            </w:r>
            <w:r>
              <w:rPr>
                <w:rFonts w:hint="eastAsia"/>
                <w:color w:val="auto"/>
                <w:szCs w:val="21"/>
              </w:rPr>
              <w:t>，符合园区产业定位，项目</w:t>
            </w:r>
            <w:r>
              <w:rPr>
                <w:rFonts w:hint="eastAsia"/>
                <w:color w:val="auto"/>
                <w:szCs w:val="21"/>
                <w:lang w:eastAsia="zh-CN"/>
              </w:rPr>
              <w:t>不需要</w:t>
            </w:r>
            <w:r>
              <w:rPr>
                <w:rFonts w:hint="eastAsia"/>
                <w:color w:val="auto"/>
                <w:szCs w:val="21"/>
              </w:rPr>
              <w:t>设置环境防护距离，</w:t>
            </w:r>
          </w:p>
        </w:tc>
        <w:tc>
          <w:tcPr>
            <w:tcW w:w="1258" w:type="dxa"/>
            <w:tcBorders>
              <w:top w:val="single" w:color="auto" w:sz="4" w:space="0"/>
              <w:left w:val="single" w:color="auto" w:sz="4" w:space="0"/>
              <w:bottom w:val="single" w:color="auto" w:sz="4" w:space="0"/>
              <w:right w:val="single" w:color="auto" w:sz="4" w:space="0"/>
            </w:tcBorders>
            <w:vAlign w:val="center"/>
          </w:tcPr>
          <w:p w14:paraId="5D5A2174">
            <w:pPr>
              <w:pStyle w:val="691"/>
              <w:rPr>
                <w:color w:val="auto"/>
                <w:szCs w:val="21"/>
                <w:lang w:bidi="en-US"/>
              </w:rPr>
            </w:pPr>
            <w:r>
              <w:rPr>
                <w:rFonts w:hint="eastAsia"/>
                <w:color w:val="auto"/>
                <w:szCs w:val="21"/>
                <w:lang w:bidi="en-US"/>
              </w:rPr>
              <w:t>符合</w:t>
            </w:r>
          </w:p>
        </w:tc>
      </w:tr>
      <w:tr w14:paraId="02E67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3" w:type="dxa"/>
            <w:vMerge w:val="continue"/>
            <w:tcBorders>
              <w:top w:val="single" w:color="auto" w:sz="4" w:space="0"/>
              <w:left w:val="single" w:color="auto" w:sz="4" w:space="0"/>
              <w:bottom w:val="single" w:color="auto" w:sz="4" w:space="0"/>
              <w:right w:val="single" w:color="auto" w:sz="4" w:space="0"/>
            </w:tcBorders>
            <w:vAlign w:val="center"/>
          </w:tcPr>
          <w:p w14:paraId="16523470">
            <w:pPr>
              <w:pStyle w:val="691"/>
              <w:rPr>
                <w:color w:val="auto"/>
              </w:rPr>
            </w:pPr>
          </w:p>
        </w:tc>
        <w:tc>
          <w:tcPr>
            <w:tcW w:w="1313" w:type="dxa"/>
            <w:tcBorders>
              <w:top w:val="single" w:color="auto" w:sz="4" w:space="0"/>
              <w:left w:val="single" w:color="auto" w:sz="4" w:space="0"/>
              <w:bottom w:val="single" w:color="auto" w:sz="4" w:space="0"/>
              <w:right w:val="single" w:color="auto" w:sz="4" w:space="0"/>
            </w:tcBorders>
            <w:vAlign w:val="center"/>
          </w:tcPr>
          <w:p w14:paraId="583980F4">
            <w:pPr>
              <w:pStyle w:val="691"/>
              <w:rPr>
                <w:color w:val="auto"/>
              </w:rPr>
            </w:pPr>
            <w:r>
              <w:rPr>
                <w:rFonts w:hint="eastAsia"/>
                <w:color w:val="auto"/>
              </w:rPr>
              <w:t>污染物</w:t>
            </w:r>
          </w:p>
          <w:p w14:paraId="1AEAE63B">
            <w:pPr>
              <w:pStyle w:val="691"/>
              <w:rPr>
                <w:color w:val="auto"/>
              </w:rPr>
            </w:pPr>
            <w:r>
              <w:rPr>
                <w:rFonts w:hint="eastAsia"/>
                <w:color w:val="auto"/>
              </w:rPr>
              <w:t>排放管控</w:t>
            </w:r>
          </w:p>
        </w:tc>
        <w:tc>
          <w:tcPr>
            <w:tcW w:w="7546" w:type="dxa"/>
            <w:gridSpan w:val="2"/>
            <w:tcBorders>
              <w:top w:val="single" w:color="auto" w:sz="4" w:space="0"/>
              <w:left w:val="single" w:color="auto" w:sz="4" w:space="0"/>
              <w:bottom w:val="single" w:color="auto" w:sz="4" w:space="0"/>
              <w:right w:val="single" w:color="auto" w:sz="4" w:space="0"/>
            </w:tcBorders>
            <w:vAlign w:val="center"/>
          </w:tcPr>
          <w:p w14:paraId="6ACAC53A">
            <w:pPr>
              <w:pStyle w:val="691"/>
              <w:jc w:val="left"/>
              <w:rPr>
                <w:color w:val="auto"/>
                <w:szCs w:val="21"/>
              </w:rPr>
            </w:pPr>
            <w:r>
              <w:rPr>
                <w:rFonts w:hint="eastAsia"/>
                <w:color w:val="auto"/>
                <w:szCs w:val="21"/>
              </w:rPr>
              <w:t>1.有序推进海螺水泥超低排放改造，开展中小微企业废气排放排查与整治。 2.严格落实秋冬季大气污染防控要求，督促水泥、砖瓦窑等重点企业落实错峰生产，散货堆场落实扬尘控制措施。</w:t>
            </w:r>
          </w:p>
          <w:p w14:paraId="4A070856">
            <w:pPr>
              <w:pStyle w:val="691"/>
              <w:jc w:val="left"/>
              <w:rPr>
                <w:color w:val="auto"/>
                <w:szCs w:val="21"/>
              </w:rPr>
            </w:pPr>
            <w:r>
              <w:rPr>
                <w:rFonts w:hint="eastAsia"/>
                <w:color w:val="auto"/>
                <w:szCs w:val="21"/>
              </w:rPr>
              <w:t>3.按照资源化、减量化、无害化等原则妥善收集、处置固体废物，危险废物依法依规交有危险废物处理资质的单位处理。</w:t>
            </w:r>
          </w:p>
          <w:p w14:paraId="03502D03">
            <w:pPr>
              <w:pStyle w:val="691"/>
              <w:jc w:val="left"/>
              <w:rPr>
                <w:color w:val="auto"/>
                <w:szCs w:val="21"/>
              </w:rPr>
            </w:pPr>
            <w:r>
              <w:rPr>
                <w:rFonts w:hint="eastAsia"/>
                <w:color w:val="auto"/>
                <w:szCs w:val="21"/>
              </w:rPr>
              <w:t>4.全面实施新生产船舶发动机第二阶段排放标准，鼓励淘汰船龄20年以上的内河航运船舶，加快淘汰高污染、高耗能的客船和老旧运输船舶。</w:t>
            </w:r>
          </w:p>
          <w:p w14:paraId="6A5B4E52">
            <w:pPr>
              <w:pStyle w:val="691"/>
              <w:jc w:val="left"/>
              <w:rPr>
                <w:color w:val="auto"/>
                <w:szCs w:val="21"/>
              </w:rPr>
            </w:pPr>
            <w:r>
              <w:rPr>
                <w:rFonts w:hint="eastAsia"/>
                <w:color w:val="auto"/>
                <w:szCs w:val="21"/>
              </w:rPr>
              <w:t>5.干散货作业区应优先采取封闭存储及运输等严格防治措施。</w:t>
            </w:r>
          </w:p>
          <w:p w14:paraId="68881B63">
            <w:pPr>
              <w:pStyle w:val="691"/>
              <w:jc w:val="left"/>
              <w:rPr>
                <w:rFonts w:hint="eastAsia"/>
                <w:color w:val="auto"/>
                <w:szCs w:val="21"/>
              </w:rPr>
            </w:pPr>
            <w:r>
              <w:rPr>
                <w:rFonts w:hint="eastAsia"/>
                <w:color w:val="auto"/>
                <w:szCs w:val="21"/>
              </w:rPr>
              <w:t xml:space="preserve">6.严格执行排污许可、排水许可、接改沟许可管理制度，确保污水达标排放。 </w:t>
            </w:r>
          </w:p>
          <w:p w14:paraId="7C8F664B">
            <w:pPr>
              <w:pStyle w:val="691"/>
              <w:jc w:val="left"/>
              <w:rPr>
                <w:color w:val="auto"/>
                <w:szCs w:val="21"/>
              </w:rPr>
            </w:pPr>
            <w:r>
              <w:rPr>
                <w:rFonts w:hint="eastAsia"/>
                <w:color w:val="auto"/>
                <w:szCs w:val="21"/>
              </w:rPr>
              <w:t>7.推进污水管网破损修复、老旧管网更新和混接错接改造，新区建设严格实施雨污分流制，全面提升污水处理率、处理率。</w:t>
            </w:r>
          </w:p>
          <w:p w14:paraId="7DBB9C37">
            <w:pPr>
              <w:pStyle w:val="691"/>
              <w:jc w:val="left"/>
              <w:rPr>
                <w:color w:val="auto"/>
                <w:szCs w:val="21"/>
              </w:rPr>
            </w:pPr>
            <w:r>
              <w:rPr>
                <w:rFonts w:hint="eastAsia"/>
                <w:color w:val="auto"/>
                <w:szCs w:val="21"/>
              </w:rPr>
              <w:t>8.推进乌杨新区污水处理厂提标升级改造，强化运行管理和监督执法。</w:t>
            </w:r>
          </w:p>
        </w:tc>
        <w:tc>
          <w:tcPr>
            <w:tcW w:w="2559" w:type="dxa"/>
            <w:tcBorders>
              <w:top w:val="single" w:color="auto" w:sz="4" w:space="0"/>
              <w:left w:val="single" w:color="auto" w:sz="4" w:space="0"/>
              <w:bottom w:val="single" w:color="auto" w:sz="4" w:space="0"/>
              <w:right w:val="single" w:color="auto" w:sz="4" w:space="0"/>
            </w:tcBorders>
            <w:vAlign w:val="center"/>
          </w:tcPr>
          <w:p w14:paraId="7F05D74C">
            <w:pPr>
              <w:pStyle w:val="691"/>
              <w:rPr>
                <w:color w:val="auto"/>
                <w:szCs w:val="21"/>
                <w:lang w:bidi="en-US"/>
              </w:rPr>
            </w:pPr>
            <w:r>
              <w:rPr>
                <w:rFonts w:hint="eastAsia"/>
                <w:color w:val="auto"/>
                <w:sz w:val="21"/>
                <w:szCs w:val="21"/>
              </w:rPr>
              <w:t>项目</w:t>
            </w:r>
            <w:r>
              <w:rPr>
                <w:rFonts w:hint="eastAsia" w:hAnsi="Times New Roman"/>
                <w:color w:val="auto"/>
                <w:sz w:val="21"/>
                <w:szCs w:val="21"/>
              </w:rPr>
              <w:t>不涉及使用VOC</w:t>
            </w:r>
            <w:r>
              <w:rPr>
                <w:rFonts w:hint="eastAsia" w:hAnsi="Times New Roman"/>
                <w:color w:val="auto"/>
                <w:sz w:val="21"/>
                <w:szCs w:val="21"/>
                <w:vertAlign w:val="subscript"/>
              </w:rPr>
              <w:t>S</w:t>
            </w:r>
            <w:r>
              <w:rPr>
                <w:rFonts w:hint="eastAsia" w:hAnsi="Times New Roman"/>
                <w:color w:val="auto"/>
                <w:sz w:val="21"/>
                <w:szCs w:val="21"/>
              </w:rPr>
              <w:t>原辅材料，项目废水处理过程产生的</w:t>
            </w:r>
            <w:r>
              <w:rPr>
                <w:rFonts w:hint="eastAsia" w:hAnsi="Times New Roman"/>
                <w:color w:val="auto"/>
                <w:sz w:val="21"/>
                <w:szCs w:val="21"/>
                <w:lang w:val="en-US"/>
              </w:rPr>
              <w:t>臭气和</w:t>
            </w:r>
            <w:r>
              <w:rPr>
                <w:rFonts w:hint="eastAsia" w:hAnsi="Times New Roman"/>
                <w:color w:val="auto"/>
                <w:sz w:val="21"/>
                <w:szCs w:val="21"/>
              </w:rPr>
              <w:t>VOCs收集后经</w:t>
            </w:r>
            <w:r>
              <w:rPr>
                <w:rFonts w:hint="eastAsia" w:hAnsi="Times New Roman"/>
                <w:color w:val="auto"/>
                <w:sz w:val="21"/>
                <w:szCs w:val="21"/>
                <w:lang w:val="en-US"/>
              </w:rPr>
              <w:t>1套</w:t>
            </w:r>
            <w:r>
              <w:rPr>
                <w:rFonts w:hint="eastAsia" w:hAnsi="Times New Roman"/>
                <w:color w:val="auto"/>
                <w:sz w:val="21"/>
                <w:szCs w:val="21"/>
              </w:rPr>
              <w:t>“</w:t>
            </w:r>
            <w:r>
              <w:rPr>
                <w:rFonts w:hint="eastAsia" w:hAnsi="Times New Roman"/>
                <w:color w:val="auto"/>
                <w:sz w:val="21"/>
                <w:szCs w:val="21"/>
                <w:lang w:val="en-US"/>
              </w:rPr>
              <w:t>碱喷淋+除湿+活性炭吸附</w:t>
            </w:r>
            <w:r>
              <w:rPr>
                <w:rFonts w:hint="eastAsia" w:hAnsi="Times New Roman"/>
                <w:color w:val="auto"/>
                <w:sz w:val="21"/>
                <w:szCs w:val="21"/>
              </w:rPr>
              <w:t>”处置达标后排放</w:t>
            </w:r>
          </w:p>
        </w:tc>
        <w:tc>
          <w:tcPr>
            <w:tcW w:w="1258" w:type="dxa"/>
            <w:tcBorders>
              <w:top w:val="single" w:color="auto" w:sz="4" w:space="0"/>
              <w:left w:val="single" w:color="auto" w:sz="4" w:space="0"/>
              <w:bottom w:val="single" w:color="auto" w:sz="4" w:space="0"/>
              <w:right w:val="single" w:color="auto" w:sz="4" w:space="0"/>
            </w:tcBorders>
            <w:vAlign w:val="center"/>
          </w:tcPr>
          <w:p w14:paraId="22C2A5D0">
            <w:pPr>
              <w:pStyle w:val="691"/>
              <w:rPr>
                <w:color w:val="auto"/>
                <w:szCs w:val="21"/>
                <w:lang w:bidi="en-US"/>
              </w:rPr>
            </w:pPr>
            <w:r>
              <w:rPr>
                <w:rFonts w:hint="eastAsia"/>
                <w:color w:val="auto"/>
                <w:szCs w:val="21"/>
                <w:lang w:bidi="en-US"/>
              </w:rPr>
              <w:t>符合</w:t>
            </w:r>
          </w:p>
        </w:tc>
      </w:tr>
      <w:tr w14:paraId="7ED4C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3" w:type="dxa"/>
            <w:vMerge w:val="continue"/>
            <w:tcBorders>
              <w:top w:val="single" w:color="auto" w:sz="4" w:space="0"/>
              <w:left w:val="single" w:color="auto" w:sz="4" w:space="0"/>
              <w:bottom w:val="single" w:color="auto" w:sz="4" w:space="0"/>
              <w:right w:val="single" w:color="auto" w:sz="4" w:space="0"/>
            </w:tcBorders>
            <w:vAlign w:val="center"/>
          </w:tcPr>
          <w:p w14:paraId="28633E2C">
            <w:pPr>
              <w:pStyle w:val="691"/>
              <w:rPr>
                <w:color w:val="auto"/>
              </w:rPr>
            </w:pPr>
          </w:p>
        </w:tc>
        <w:tc>
          <w:tcPr>
            <w:tcW w:w="1313" w:type="dxa"/>
            <w:tcBorders>
              <w:top w:val="single" w:color="auto" w:sz="4" w:space="0"/>
              <w:left w:val="single" w:color="auto" w:sz="4" w:space="0"/>
              <w:bottom w:val="single" w:color="auto" w:sz="4" w:space="0"/>
              <w:right w:val="single" w:color="auto" w:sz="4" w:space="0"/>
            </w:tcBorders>
            <w:vAlign w:val="center"/>
          </w:tcPr>
          <w:p w14:paraId="75AC5F64">
            <w:pPr>
              <w:pStyle w:val="691"/>
              <w:rPr>
                <w:color w:val="auto"/>
              </w:rPr>
            </w:pPr>
            <w:r>
              <w:rPr>
                <w:rFonts w:hint="eastAsia"/>
                <w:color w:val="auto"/>
              </w:rPr>
              <w:t>环境风险防控</w:t>
            </w:r>
          </w:p>
        </w:tc>
        <w:tc>
          <w:tcPr>
            <w:tcW w:w="7546" w:type="dxa"/>
            <w:gridSpan w:val="2"/>
            <w:tcBorders>
              <w:top w:val="single" w:color="auto" w:sz="4" w:space="0"/>
              <w:left w:val="single" w:color="auto" w:sz="4" w:space="0"/>
              <w:bottom w:val="single" w:color="auto" w:sz="4" w:space="0"/>
              <w:right w:val="single" w:color="auto" w:sz="4" w:space="0"/>
            </w:tcBorders>
            <w:vAlign w:val="center"/>
          </w:tcPr>
          <w:p w14:paraId="5816BF94">
            <w:pPr>
              <w:pStyle w:val="691"/>
              <w:jc w:val="left"/>
              <w:rPr>
                <w:color w:val="auto"/>
                <w:szCs w:val="21"/>
              </w:rPr>
            </w:pPr>
            <w:r>
              <w:rPr>
                <w:rFonts w:hint="eastAsia"/>
                <w:color w:val="auto"/>
                <w:szCs w:val="21"/>
              </w:rPr>
              <w:t>1.加强企业环境风险监管，督促水泥、制药等行业企业建立完善防止风险物质泄漏扩散的</w:t>
            </w:r>
            <w:r>
              <w:rPr>
                <w:rFonts w:hint="eastAsia"/>
                <w:color w:val="auto"/>
                <w:szCs w:val="21"/>
                <w:lang w:eastAsia="zh-CN"/>
              </w:rPr>
              <w:t>围栏</w:t>
            </w:r>
            <w:r>
              <w:rPr>
                <w:rFonts w:hint="eastAsia"/>
                <w:color w:val="auto"/>
                <w:szCs w:val="21"/>
              </w:rPr>
              <w:t>、封堵、喷淋、吸收等装置以及污染物应急收集和处理设施。</w:t>
            </w:r>
          </w:p>
          <w:p w14:paraId="32C875CB">
            <w:pPr>
              <w:pStyle w:val="691"/>
              <w:jc w:val="left"/>
              <w:rPr>
                <w:color w:val="auto"/>
                <w:szCs w:val="21"/>
              </w:rPr>
            </w:pPr>
            <w:r>
              <w:rPr>
                <w:rFonts w:hint="eastAsia"/>
                <w:color w:val="auto"/>
                <w:szCs w:val="21"/>
              </w:rPr>
              <w:t>2.强化重庆海创环保科技有限责任公司等土壤污染重点监管单位监管，督促全面落实有毒有害物质排放报告、污染隐患排查、土壤（地下水）自行监测等要求。鼓励因地制宜实施管道化、密闭化改造，重点区域防腐防渗改造，以及物料、污水管线架空建设和绿色化改造。</w:t>
            </w:r>
          </w:p>
        </w:tc>
        <w:tc>
          <w:tcPr>
            <w:tcW w:w="2559" w:type="dxa"/>
            <w:tcBorders>
              <w:top w:val="single" w:color="auto" w:sz="4" w:space="0"/>
              <w:left w:val="single" w:color="auto" w:sz="4" w:space="0"/>
              <w:bottom w:val="single" w:color="auto" w:sz="4" w:space="0"/>
              <w:right w:val="single" w:color="auto" w:sz="4" w:space="0"/>
            </w:tcBorders>
            <w:vAlign w:val="center"/>
          </w:tcPr>
          <w:p w14:paraId="36DD7285">
            <w:pPr>
              <w:pStyle w:val="691"/>
              <w:rPr>
                <w:color w:val="auto"/>
                <w:szCs w:val="21"/>
                <w:lang w:bidi="en-US"/>
              </w:rPr>
            </w:pPr>
            <w:r>
              <w:rPr>
                <w:rFonts w:hint="eastAsia"/>
                <w:color w:val="auto"/>
                <w:szCs w:val="21"/>
              </w:rPr>
              <w:t>拟建项目设置有完善的环境风险防范措施，并定期开展土壤隐患排放，定期对土壤及地下水开展自行监测</w:t>
            </w:r>
          </w:p>
        </w:tc>
        <w:tc>
          <w:tcPr>
            <w:tcW w:w="1258" w:type="dxa"/>
            <w:tcBorders>
              <w:top w:val="single" w:color="auto" w:sz="4" w:space="0"/>
              <w:left w:val="single" w:color="auto" w:sz="4" w:space="0"/>
              <w:bottom w:val="single" w:color="auto" w:sz="4" w:space="0"/>
              <w:right w:val="single" w:color="auto" w:sz="4" w:space="0"/>
            </w:tcBorders>
            <w:vAlign w:val="center"/>
          </w:tcPr>
          <w:p w14:paraId="78E83447">
            <w:pPr>
              <w:pStyle w:val="691"/>
              <w:rPr>
                <w:color w:val="auto"/>
                <w:szCs w:val="21"/>
                <w:lang w:bidi="en-US"/>
              </w:rPr>
            </w:pPr>
            <w:r>
              <w:rPr>
                <w:rFonts w:hint="eastAsia"/>
                <w:color w:val="auto"/>
                <w:szCs w:val="21"/>
                <w:lang w:bidi="en-US"/>
              </w:rPr>
              <w:t>符合</w:t>
            </w:r>
          </w:p>
        </w:tc>
      </w:tr>
      <w:tr w14:paraId="7107B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3" w:type="dxa"/>
            <w:vMerge w:val="continue"/>
            <w:tcBorders>
              <w:top w:val="single" w:color="auto" w:sz="4" w:space="0"/>
              <w:left w:val="single" w:color="auto" w:sz="4" w:space="0"/>
              <w:bottom w:val="single" w:color="auto" w:sz="4" w:space="0"/>
              <w:right w:val="single" w:color="auto" w:sz="4" w:space="0"/>
            </w:tcBorders>
            <w:vAlign w:val="center"/>
          </w:tcPr>
          <w:p w14:paraId="62E90C99">
            <w:pPr>
              <w:pStyle w:val="691"/>
              <w:rPr>
                <w:color w:val="auto"/>
              </w:rPr>
            </w:pPr>
          </w:p>
        </w:tc>
        <w:tc>
          <w:tcPr>
            <w:tcW w:w="1313" w:type="dxa"/>
            <w:tcBorders>
              <w:top w:val="single" w:color="auto" w:sz="4" w:space="0"/>
              <w:left w:val="single" w:color="auto" w:sz="4" w:space="0"/>
              <w:bottom w:val="single" w:color="auto" w:sz="4" w:space="0"/>
              <w:right w:val="single" w:color="auto" w:sz="4" w:space="0"/>
            </w:tcBorders>
            <w:vAlign w:val="center"/>
          </w:tcPr>
          <w:p w14:paraId="1D07EF6B">
            <w:pPr>
              <w:pStyle w:val="691"/>
              <w:rPr>
                <w:color w:val="auto"/>
              </w:rPr>
            </w:pPr>
            <w:r>
              <w:rPr>
                <w:rFonts w:hint="eastAsia"/>
                <w:color w:val="auto"/>
              </w:rPr>
              <w:t>资源开发利用效率</w:t>
            </w:r>
          </w:p>
        </w:tc>
        <w:tc>
          <w:tcPr>
            <w:tcW w:w="7546" w:type="dxa"/>
            <w:gridSpan w:val="2"/>
            <w:tcBorders>
              <w:top w:val="single" w:color="auto" w:sz="4" w:space="0"/>
              <w:left w:val="single" w:color="auto" w:sz="4" w:space="0"/>
              <w:bottom w:val="single" w:color="auto" w:sz="4" w:space="0"/>
              <w:right w:val="single" w:color="auto" w:sz="4" w:space="0"/>
            </w:tcBorders>
            <w:vAlign w:val="center"/>
          </w:tcPr>
          <w:p w14:paraId="3E61548D">
            <w:pPr>
              <w:pStyle w:val="691"/>
              <w:jc w:val="left"/>
              <w:rPr>
                <w:color w:val="auto"/>
                <w:szCs w:val="21"/>
              </w:rPr>
            </w:pPr>
            <w:r>
              <w:rPr>
                <w:rFonts w:hint="eastAsia"/>
                <w:color w:val="auto"/>
                <w:szCs w:val="21"/>
              </w:rPr>
              <w:t>1.入园企业应采取先进的生产工艺和污染物治理技术，从源头上控制单位产品的产、排污量，引入项目的清洁生产水平应达到国内先进水平。</w:t>
            </w:r>
          </w:p>
          <w:p w14:paraId="15304ECD">
            <w:pPr>
              <w:pStyle w:val="691"/>
              <w:jc w:val="left"/>
              <w:rPr>
                <w:color w:val="auto"/>
                <w:szCs w:val="21"/>
              </w:rPr>
            </w:pPr>
            <w:r>
              <w:rPr>
                <w:rFonts w:hint="eastAsia"/>
                <w:color w:val="auto"/>
                <w:szCs w:val="21"/>
              </w:rPr>
              <w:t>2.推动园内企业循环式生产、产业循环式组合，促进园内废物交换利用、能量梯级利用、水的分类利用和循环使用。</w:t>
            </w:r>
          </w:p>
        </w:tc>
        <w:tc>
          <w:tcPr>
            <w:tcW w:w="2559" w:type="dxa"/>
            <w:tcBorders>
              <w:top w:val="single" w:color="auto" w:sz="4" w:space="0"/>
              <w:left w:val="single" w:color="auto" w:sz="4" w:space="0"/>
              <w:bottom w:val="single" w:color="auto" w:sz="4" w:space="0"/>
              <w:right w:val="single" w:color="auto" w:sz="4" w:space="0"/>
            </w:tcBorders>
            <w:vAlign w:val="center"/>
          </w:tcPr>
          <w:p w14:paraId="6B2D441E">
            <w:pPr>
              <w:pStyle w:val="691"/>
              <w:rPr>
                <w:color w:val="auto"/>
                <w:szCs w:val="21"/>
                <w:lang w:bidi="en-US"/>
              </w:rPr>
            </w:pPr>
            <w:r>
              <w:rPr>
                <w:rFonts w:hint="eastAsia"/>
                <w:color w:val="auto"/>
                <w:szCs w:val="21"/>
                <w:lang w:bidi="en-US"/>
              </w:rPr>
              <w:t>拟建项目采用先进的生产工艺和污染治理技术，产生的固废尽量自行利用或处置，清洁生产</w:t>
            </w:r>
            <w:r>
              <w:rPr>
                <w:rFonts w:hint="eastAsia"/>
                <w:color w:val="auto"/>
                <w:szCs w:val="21"/>
                <w:lang w:eastAsia="zh-CN" w:bidi="en-US"/>
              </w:rPr>
              <w:t>可达国内先进</w:t>
            </w:r>
            <w:r>
              <w:rPr>
                <w:rFonts w:hint="eastAsia"/>
                <w:color w:val="auto"/>
                <w:szCs w:val="21"/>
                <w:lang w:bidi="en-US"/>
              </w:rPr>
              <w:t>水平</w:t>
            </w:r>
          </w:p>
        </w:tc>
        <w:tc>
          <w:tcPr>
            <w:tcW w:w="1258" w:type="dxa"/>
            <w:tcBorders>
              <w:top w:val="single" w:color="auto" w:sz="4" w:space="0"/>
              <w:left w:val="single" w:color="auto" w:sz="4" w:space="0"/>
              <w:bottom w:val="single" w:color="auto" w:sz="4" w:space="0"/>
              <w:right w:val="single" w:color="auto" w:sz="4" w:space="0"/>
            </w:tcBorders>
            <w:vAlign w:val="center"/>
          </w:tcPr>
          <w:p w14:paraId="00061958">
            <w:pPr>
              <w:pStyle w:val="691"/>
              <w:rPr>
                <w:color w:val="auto"/>
                <w:szCs w:val="21"/>
                <w:lang w:bidi="en-US"/>
              </w:rPr>
            </w:pPr>
            <w:r>
              <w:rPr>
                <w:rFonts w:hint="eastAsia"/>
                <w:color w:val="auto"/>
                <w:szCs w:val="21"/>
                <w:lang w:bidi="en-US"/>
              </w:rPr>
              <w:t>符合</w:t>
            </w:r>
          </w:p>
        </w:tc>
      </w:tr>
    </w:tbl>
    <w:p w14:paraId="37508ED4">
      <w:pPr>
        <w:tabs>
          <w:tab w:val="left" w:pos="3851"/>
          <w:tab w:val="left" w:pos="3952"/>
        </w:tabs>
        <w:spacing w:line="360" w:lineRule="auto"/>
        <w:ind w:firstLine="482"/>
        <w:rPr>
          <w:b/>
          <w:bCs/>
          <w:color w:val="auto"/>
        </w:rPr>
        <w:sectPr>
          <w:pgSz w:w="16838" w:h="11906" w:orient="landscape"/>
          <w:pgMar w:top="1417" w:right="1418" w:bottom="1417" w:left="1418" w:header="851" w:footer="992" w:gutter="0"/>
          <w:pgBorders>
            <w:top w:val="none" w:sz="0" w:space="0"/>
            <w:left w:val="none" w:sz="0" w:space="0"/>
            <w:bottom w:val="none" w:sz="0" w:space="0"/>
            <w:right w:val="none" w:sz="0" w:space="0"/>
          </w:pgBorders>
          <w:cols w:space="0" w:num="1"/>
          <w:docGrid w:linePitch="312" w:charSpace="0"/>
        </w:sectPr>
      </w:pPr>
    </w:p>
    <w:p w14:paraId="36CB3E5E">
      <w:pPr>
        <w:pStyle w:val="5"/>
        <w:numPr>
          <w:ilvl w:val="0"/>
          <w:numId w:val="0"/>
        </w:numPr>
        <w:spacing w:line="360" w:lineRule="auto"/>
        <w:rPr>
          <w:color w:val="auto"/>
          <w:szCs w:val="24"/>
        </w:rPr>
      </w:pPr>
      <w:r>
        <w:rPr>
          <w:rFonts w:hint="eastAsia"/>
          <w:color w:val="auto"/>
          <w:szCs w:val="24"/>
          <w:lang w:eastAsia="zh-CN"/>
        </w:rPr>
        <w:t>2.9</w:t>
      </w:r>
      <w:r>
        <w:rPr>
          <w:color w:val="auto"/>
          <w:szCs w:val="24"/>
        </w:rPr>
        <w:t>.5</w:t>
      </w:r>
      <w:r>
        <w:rPr>
          <w:rFonts w:hint="eastAsia"/>
          <w:color w:val="auto"/>
          <w:szCs w:val="24"/>
        </w:rPr>
        <w:t>与</w:t>
      </w:r>
      <w:r>
        <w:rPr>
          <w:color w:val="auto"/>
        </w:rPr>
        <w:t>《中华人民共和国长江保护法》</w:t>
      </w:r>
      <w:r>
        <w:rPr>
          <w:rFonts w:hint="eastAsia"/>
          <w:color w:val="auto"/>
          <w:szCs w:val="24"/>
        </w:rPr>
        <w:t>符合性分析</w:t>
      </w:r>
    </w:p>
    <w:p w14:paraId="4C7BD441">
      <w:pPr>
        <w:spacing w:line="360" w:lineRule="auto"/>
        <w:ind w:firstLine="480"/>
        <w:rPr>
          <w:color w:val="auto"/>
          <w:szCs w:val="24"/>
          <w:lang w:val="zh-CN"/>
        </w:rPr>
      </w:pPr>
      <w:r>
        <w:rPr>
          <w:rFonts w:hint="eastAsia"/>
          <w:color w:val="auto"/>
          <w:szCs w:val="24"/>
          <w:lang w:val="zh-CN"/>
        </w:rPr>
        <w:t>拟建项目与</w:t>
      </w:r>
      <w:r>
        <w:rPr>
          <w:color w:val="auto"/>
        </w:rPr>
        <w:t>《中华人民共和国长江保护法》</w:t>
      </w:r>
      <w:r>
        <w:rPr>
          <w:rFonts w:hint="eastAsia"/>
          <w:color w:val="auto"/>
        </w:rPr>
        <w:t>符合性详见表</w:t>
      </w:r>
      <w:r>
        <w:rPr>
          <w:rFonts w:hint="eastAsia"/>
          <w:color w:val="auto"/>
          <w:lang w:eastAsia="zh-CN"/>
        </w:rPr>
        <w:t>2.9</w:t>
      </w:r>
      <w:r>
        <w:rPr>
          <w:color w:val="auto"/>
        </w:rPr>
        <w:t>-4</w:t>
      </w:r>
      <w:r>
        <w:rPr>
          <w:rFonts w:hint="eastAsia"/>
          <w:color w:val="auto"/>
        </w:rPr>
        <w:t>。</w:t>
      </w:r>
    </w:p>
    <w:p w14:paraId="34A653D7">
      <w:pPr>
        <w:tabs>
          <w:tab w:val="left" w:pos="3851"/>
          <w:tab w:val="left" w:pos="3952"/>
        </w:tabs>
        <w:spacing w:line="360" w:lineRule="auto"/>
        <w:ind w:firstLine="482"/>
        <w:jc w:val="center"/>
        <w:rPr>
          <w:b/>
          <w:bCs/>
          <w:color w:val="auto"/>
        </w:rPr>
      </w:pPr>
      <w:r>
        <w:rPr>
          <w:b/>
          <w:bCs/>
          <w:color w:val="auto"/>
        </w:rPr>
        <w:t>表</w:t>
      </w:r>
      <w:r>
        <w:rPr>
          <w:rFonts w:hint="eastAsia"/>
          <w:b/>
          <w:bCs/>
          <w:color w:val="auto"/>
          <w:lang w:eastAsia="zh-CN"/>
        </w:rPr>
        <w:t>2.9</w:t>
      </w:r>
      <w:r>
        <w:rPr>
          <w:b/>
          <w:bCs/>
          <w:color w:val="auto"/>
        </w:rPr>
        <w:t>-4  与《中华人民共和国长江保护法》符合性分析</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5856"/>
        <w:gridCol w:w="1374"/>
        <w:gridCol w:w="1382"/>
      </w:tblGrid>
      <w:tr w14:paraId="627A1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63" w:type="pct"/>
            <w:shd w:val="clear" w:color="auto" w:fill="auto"/>
            <w:vAlign w:val="center"/>
          </w:tcPr>
          <w:p w14:paraId="144305FD">
            <w:pPr>
              <w:spacing w:line="240" w:lineRule="auto"/>
              <w:ind w:firstLine="0" w:firstLineChars="0"/>
              <w:jc w:val="center"/>
              <w:rPr>
                <w:color w:val="auto"/>
                <w:kern w:val="0"/>
                <w:sz w:val="21"/>
                <w:szCs w:val="21"/>
              </w:rPr>
            </w:pPr>
            <w:r>
              <w:rPr>
                <w:rFonts w:hint="eastAsia"/>
                <w:color w:val="auto"/>
                <w:kern w:val="0"/>
                <w:sz w:val="21"/>
                <w:szCs w:val="21"/>
              </w:rPr>
              <w:t>序号</w:t>
            </w:r>
          </w:p>
        </w:tc>
        <w:tc>
          <w:tcPr>
            <w:tcW w:w="3153" w:type="pct"/>
            <w:shd w:val="clear" w:color="auto" w:fill="auto"/>
            <w:vAlign w:val="center"/>
          </w:tcPr>
          <w:p w14:paraId="71B07B76">
            <w:pPr>
              <w:ind w:firstLine="0" w:firstLineChars="0"/>
              <w:rPr>
                <w:color w:val="auto"/>
                <w:kern w:val="0"/>
                <w:sz w:val="21"/>
                <w:szCs w:val="21"/>
              </w:rPr>
            </w:pPr>
            <w:r>
              <w:rPr>
                <w:rFonts w:hint="eastAsia"/>
                <w:color w:val="auto"/>
                <w:kern w:val="0"/>
                <w:sz w:val="21"/>
                <w:szCs w:val="21"/>
              </w:rPr>
              <w:t>相关规定</w:t>
            </w:r>
          </w:p>
        </w:tc>
        <w:tc>
          <w:tcPr>
            <w:tcW w:w="740" w:type="pct"/>
            <w:shd w:val="clear" w:color="auto" w:fill="auto"/>
            <w:vAlign w:val="center"/>
          </w:tcPr>
          <w:p w14:paraId="53F667D6">
            <w:pPr>
              <w:ind w:firstLine="0" w:firstLineChars="0"/>
              <w:rPr>
                <w:color w:val="auto"/>
                <w:kern w:val="0"/>
                <w:sz w:val="21"/>
                <w:szCs w:val="21"/>
              </w:rPr>
            </w:pPr>
            <w:r>
              <w:rPr>
                <w:rFonts w:hint="eastAsia"/>
                <w:color w:val="auto"/>
                <w:kern w:val="0"/>
                <w:sz w:val="21"/>
                <w:szCs w:val="21"/>
              </w:rPr>
              <w:t>项目情况</w:t>
            </w:r>
          </w:p>
        </w:tc>
        <w:tc>
          <w:tcPr>
            <w:tcW w:w="744" w:type="pct"/>
            <w:shd w:val="clear" w:color="auto" w:fill="auto"/>
            <w:vAlign w:val="center"/>
          </w:tcPr>
          <w:p w14:paraId="066AB561">
            <w:pPr>
              <w:ind w:firstLine="0" w:firstLineChars="0"/>
              <w:rPr>
                <w:color w:val="auto"/>
                <w:kern w:val="0"/>
                <w:sz w:val="21"/>
                <w:szCs w:val="21"/>
              </w:rPr>
            </w:pPr>
            <w:r>
              <w:rPr>
                <w:rFonts w:hint="eastAsia"/>
                <w:color w:val="auto"/>
                <w:kern w:val="0"/>
                <w:sz w:val="21"/>
                <w:szCs w:val="21"/>
              </w:rPr>
              <w:t>符合性分析</w:t>
            </w:r>
          </w:p>
        </w:tc>
      </w:tr>
      <w:tr w14:paraId="190B0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363" w:type="pct"/>
            <w:shd w:val="clear" w:color="auto" w:fill="auto"/>
            <w:vAlign w:val="center"/>
          </w:tcPr>
          <w:p w14:paraId="74783D36">
            <w:pPr>
              <w:spacing w:line="240" w:lineRule="auto"/>
              <w:ind w:firstLine="0" w:firstLineChars="0"/>
              <w:jc w:val="center"/>
              <w:rPr>
                <w:color w:val="auto"/>
                <w:kern w:val="0"/>
                <w:sz w:val="21"/>
                <w:szCs w:val="21"/>
              </w:rPr>
            </w:pPr>
            <w:r>
              <w:rPr>
                <w:rFonts w:hint="eastAsia"/>
                <w:color w:val="auto"/>
                <w:kern w:val="0"/>
                <w:sz w:val="21"/>
                <w:szCs w:val="21"/>
              </w:rPr>
              <w:t>1</w:t>
            </w:r>
          </w:p>
        </w:tc>
        <w:tc>
          <w:tcPr>
            <w:tcW w:w="3153" w:type="pct"/>
            <w:shd w:val="clear" w:color="auto" w:fill="auto"/>
            <w:vAlign w:val="center"/>
          </w:tcPr>
          <w:p w14:paraId="3AE5E15B">
            <w:pPr>
              <w:spacing w:line="240" w:lineRule="auto"/>
              <w:ind w:firstLine="0" w:firstLineChars="0"/>
              <w:jc w:val="center"/>
              <w:rPr>
                <w:color w:val="auto"/>
                <w:kern w:val="0"/>
                <w:sz w:val="21"/>
                <w:szCs w:val="21"/>
              </w:rPr>
            </w:pPr>
            <w:r>
              <w:rPr>
                <w:rFonts w:hint="eastAsia"/>
                <w:color w:val="auto"/>
                <w:kern w:val="0"/>
                <w:sz w:val="21"/>
                <w:szCs w:val="21"/>
              </w:rPr>
              <w:t>第二十六条　国家对长江流域河湖岸线实施特殊管制。国家长江流域协调机制统筹协调国务院自然资源、水行政、生态环境、住房和城乡建设、农业农村、交通运输、林业和草原等部门和长江流域省级人民政府划定河湖岸线保护范围，制定河湖岸线保护规划，严格控制岸线开发建设，促进岸线合理高效利用。禁止在长江干支流岸线一公里范围内新建、扩建化工园区和化工项目。禁止在长江干流岸线三公里范围内和重要支流岸线一公里范围内新建、改建、扩建尾矿库；但是以提升安全、生态环境保护水平为目的的改建除外。</w:t>
            </w:r>
          </w:p>
        </w:tc>
        <w:tc>
          <w:tcPr>
            <w:tcW w:w="740" w:type="pct"/>
            <w:shd w:val="clear" w:color="auto" w:fill="auto"/>
            <w:vAlign w:val="center"/>
          </w:tcPr>
          <w:p w14:paraId="414CC815">
            <w:pPr>
              <w:spacing w:line="240" w:lineRule="auto"/>
              <w:ind w:firstLine="0" w:firstLineChars="0"/>
              <w:jc w:val="center"/>
              <w:rPr>
                <w:color w:val="auto"/>
                <w:kern w:val="0"/>
                <w:sz w:val="21"/>
                <w:szCs w:val="21"/>
              </w:rPr>
            </w:pPr>
            <w:r>
              <w:rPr>
                <w:rFonts w:hint="eastAsia"/>
                <w:color w:val="auto"/>
                <w:kern w:val="0"/>
                <w:sz w:val="21"/>
                <w:szCs w:val="21"/>
              </w:rPr>
              <w:t>拟建项目为</w:t>
            </w:r>
            <w:r>
              <w:rPr>
                <w:rFonts w:hint="eastAsia"/>
                <w:color w:val="auto"/>
                <w:kern w:val="0"/>
                <w:sz w:val="21"/>
                <w:szCs w:val="21"/>
                <w:lang w:eastAsia="zh-CN"/>
              </w:rPr>
              <w:t>页岩气开采废水集中处理项目</w:t>
            </w:r>
            <w:r>
              <w:rPr>
                <w:rFonts w:hint="eastAsia"/>
                <w:color w:val="auto"/>
                <w:kern w:val="0"/>
                <w:sz w:val="21"/>
                <w:szCs w:val="21"/>
              </w:rPr>
              <w:t>，不涉及上述禁止内容</w:t>
            </w:r>
          </w:p>
        </w:tc>
        <w:tc>
          <w:tcPr>
            <w:tcW w:w="744" w:type="pct"/>
            <w:shd w:val="clear" w:color="auto" w:fill="auto"/>
            <w:vAlign w:val="center"/>
          </w:tcPr>
          <w:p w14:paraId="2E27D1EE">
            <w:pPr>
              <w:spacing w:line="240" w:lineRule="auto"/>
              <w:ind w:firstLine="0" w:firstLineChars="0"/>
              <w:jc w:val="center"/>
              <w:rPr>
                <w:color w:val="auto"/>
                <w:kern w:val="0"/>
                <w:sz w:val="21"/>
                <w:szCs w:val="21"/>
              </w:rPr>
            </w:pPr>
            <w:r>
              <w:rPr>
                <w:rFonts w:hint="eastAsia"/>
                <w:color w:val="auto"/>
                <w:kern w:val="0"/>
                <w:sz w:val="21"/>
                <w:szCs w:val="21"/>
              </w:rPr>
              <w:t>符合</w:t>
            </w:r>
          </w:p>
        </w:tc>
      </w:tr>
      <w:tr w14:paraId="6BC21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3" w:type="pct"/>
            <w:shd w:val="clear" w:color="auto" w:fill="auto"/>
            <w:vAlign w:val="center"/>
          </w:tcPr>
          <w:p w14:paraId="2BAC0438">
            <w:pPr>
              <w:spacing w:line="240" w:lineRule="auto"/>
              <w:ind w:firstLine="0" w:firstLineChars="0"/>
              <w:jc w:val="center"/>
              <w:rPr>
                <w:color w:val="auto"/>
                <w:kern w:val="0"/>
                <w:sz w:val="21"/>
                <w:szCs w:val="21"/>
              </w:rPr>
            </w:pPr>
            <w:r>
              <w:rPr>
                <w:rFonts w:hint="eastAsia"/>
                <w:color w:val="auto"/>
                <w:kern w:val="0"/>
                <w:sz w:val="21"/>
                <w:szCs w:val="21"/>
              </w:rPr>
              <w:t>2</w:t>
            </w:r>
          </w:p>
        </w:tc>
        <w:tc>
          <w:tcPr>
            <w:tcW w:w="3153" w:type="pct"/>
            <w:shd w:val="clear" w:color="auto" w:fill="auto"/>
            <w:vAlign w:val="center"/>
          </w:tcPr>
          <w:p w14:paraId="1B8387C2">
            <w:pPr>
              <w:spacing w:line="240" w:lineRule="auto"/>
              <w:ind w:firstLine="0" w:firstLineChars="0"/>
              <w:jc w:val="center"/>
              <w:rPr>
                <w:color w:val="auto"/>
                <w:kern w:val="0"/>
                <w:sz w:val="21"/>
                <w:szCs w:val="21"/>
              </w:rPr>
            </w:pPr>
            <w:r>
              <w:rPr>
                <w:rFonts w:hint="eastAsia"/>
                <w:color w:val="auto"/>
                <w:kern w:val="0"/>
                <w:sz w:val="21"/>
                <w:szCs w:val="21"/>
              </w:rPr>
              <w:t>第四十七条　长江流域县级以上地方人民政府应当统筹长江流域城乡污水集中处理设施及配套管网建设，并保障其正常运行，提高城乡污水收集处理能力。长江流域县级以上地方人民政府应当组织对本行政区域的江河、湖泊排污口开展排查整治，明确责任主体，实施分类管理。在长江流域江河、湖泊新设、改设或者扩大排污口，应当按照国家有关规定报经有管辖权的生态环境主管部门或者长江流域生态环境监督管理机构同意。对未达到水质目标的水功能区，除污水集中处理设施排污口外，应当严格控制新设、改设或者扩大排污口。</w:t>
            </w:r>
          </w:p>
        </w:tc>
        <w:tc>
          <w:tcPr>
            <w:tcW w:w="740" w:type="pct"/>
            <w:shd w:val="clear" w:color="auto" w:fill="auto"/>
            <w:vAlign w:val="center"/>
          </w:tcPr>
          <w:p w14:paraId="6CC027D3">
            <w:pPr>
              <w:spacing w:line="240" w:lineRule="auto"/>
              <w:ind w:firstLine="0" w:firstLineChars="0"/>
              <w:jc w:val="center"/>
              <w:rPr>
                <w:color w:val="auto"/>
                <w:kern w:val="0"/>
                <w:sz w:val="21"/>
                <w:szCs w:val="21"/>
              </w:rPr>
            </w:pPr>
            <w:r>
              <w:rPr>
                <w:rFonts w:hint="eastAsia"/>
                <w:color w:val="auto"/>
                <w:kern w:val="0"/>
                <w:sz w:val="21"/>
                <w:szCs w:val="21"/>
              </w:rPr>
              <w:t>拟建项目为</w:t>
            </w:r>
            <w:r>
              <w:rPr>
                <w:rFonts w:hint="eastAsia"/>
                <w:color w:val="auto"/>
                <w:kern w:val="0"/>
                <w:sz w:val="21"/>
                <w:szCs w:val="21"/>
                <w:lang w:eastAsia="zh-CN"/>
              </w:rPr>
              <w:t>页岩气开采废水集中处理项目</w:t>
            </w:r>
            <w:r>
              <w:rPr>
                <w:rFonts w:hint="eastAsia"/>
                <w:color w:val="auto"/>
                <w:kern w:val="0"/>
                <w:sz w:val="21"/>
                <w:szCs w:val="21"/>
              </w:rPr>
              <w:t>，</w:t>
            </w:r>
            <w:r>
              <w:rPr>
                <w:rFonts w:hint="eastAsia"/>
                <w:color w:val="auto"/>
                <w:kern w:val="0"/>
                <w:sz w:val="21"/>
                <w:szCs w:val="21"/>
                <w:lang w:eastAsia="zh-CN"/>
              </w:rPr>
              <w:t>处理达标废水进入园区污水处理厂深度处理达标后外排，</w:t>
            </w:r>
            <w:r>
              <w:rPr>
                <w:rFonts w:hint="eastAsia"/>
                <w:color w:val="auto"/>
                <w:kern w:val="0"/>
                <w:sz w:val="21"/>
                <w:szCs w:val="21"/>
              </w:rPr>
              <w:t>不新增设置排污口</w:t>
            </w:r>
          </w:p>
        </w:tc>
        <w:tc>
          <w:tcPr>
            <w:tcW w:w="744" w:type="pct"/>
            <w:shd w:val="clear" w:color="auto" w:fill="auto"/>
            <w:vAlign w:val="center"/>
          </w:tcPr>
          <w:p w14:paraId="5E13F2F9">
            <w:pPr>
              <w:spacing w:line="240" w:lineRule="auto"/>
              <w:ind w:firstLine="0" w:firstLineChars="0"/>
              <w:jc w:val="center"/>
              <w:rPr>
                <w:color w:val="auto"/>
                <w:kern w:val="0"/>
                <w:sz w:val="21"/>
                <w:szCs w:val="21"/>
              </w:rPr>
            </w:pPr>
            <w:r>
              <w:rPr>
                <w:rFonts w:hint="eastAsia"/>
                <w:color w:val="auto"/>
                <w:kern w:val="0"/>
                <w:sz w:val="21"/>
                <w:szCs w:val="21"/>
              </w:rPr>
              <w:t>符合</w:t>
            </w:r>
          </w:p>
        </w:tc>
      </w:tr>
      <w:tr w14:paraId="4834C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3" w:type="pct"/>
            <w:shd w:val="clear" w:color="auto" w:fill="auto"/>
            <w:vAlign w:val="center"/>
          </w:tcPr>
          <w:p w14:paraId="25D0CF31">
            <w:pPr>
              <w:spacing w:line="240" w:lineRule="auto"/>
              <w:ind w:firstLine="0" w:firstLineChars="0"/>
              <w:jc w:val="center"/>
              <w:rPr>
                <w:color w:val="auto"/>
                <w:kern w:val="0"/>
                <w:sz w:val="21"/>
                <w:szCs w:val="21"/>
              </w:rPr>
            </w:pPr>
            <w:r>
              <w:rPr>
                <w:rFonts w:hint="eastAsia"/>
                <w:color w:val="auto"/>
                <w:kern w:val="0"/>
                <w:sz w:val="21"/>
                <w:szCs w:val="21"/>
              </w:rPr>
              <w:t>3</w:t>
            </w:r>
          </w:p>
        </w:tc>
        <w:tc>
          <w:tcPr>
            <w:tcW w:w="3153" w:type="pct"/>
            <w:shd w:val="clear" w:color="auto" w:fill="auto"/>
            <w:vAlign w:val="center"/>
          </w:tcPr>
          <w:p w14:paraId="0D60A8A8">
            <w:pPr>
              <w:spacing w:line="240" w:lineRule="auto"/>
              <w:ind w:firstLine="0" w:firstLineChars="0"/>
              <w:jc w:val="center"/>
              <w:rPr>
                <w:color w:val="auto"/>
                <w:kern w:val="0"/>
                <w:sz w:val="21"/>
                <w:szCs w:val="21"/>
              </w:rPr>
            </w:pPr>
            <w:r>
              <w:rPr>
                <w:rFonts w:hint="eastAsia"/>
                <w:color w:val="auto"/>
                <w:kern w:val="0"/>
                <w:sz w:val="21"/>
                <w:szCs w:val="21"/>
              </w:rPr>
              <w:t>禁止在长江流域水上运输剧毒化学品和国家规定禁止通过内河运输的其他危险化学品。</w:t>
            </w:r>
          </w:p>
        </w:tc>
        <w:tc>
          <w:tcPr>
            <w:tcW w:w="740" w:type="pct"/>
            <w:shd w:val="clear" w:color="auto" w:fill="auto"/>
            <w:vAlign w:val="center"/>
          </w:tcPr>
          <w:p w14:paraId="64379541">
            <w:pPr>
              <w:spacing w:line="240" w:lineRule="auto"/>
              <w:ind w:firstLine="0" w:firstLineChars="0"/>
              <w:jc w:val="center"/>
              <w:rPr>
                <w:color w:val="auto"/>
                <w:kern w:val="0"/>
                <w:sz w:val="21"/>
                <w:szCs w:val="21"/>
              </w:rPr>
            </w:pPr>
            <w:r>
              <w:rPr>
                <w:rFonts w:hint="eastAsia"/>
                <w:color w:val="auto"/>
                <w:kern w:val="0"/>
                <w:sz w:val="21"/>
                <w:szCs w:val="21"/>
              </w:rPr>
              <w:t>拟建项目原辅料运输均为陆路运输</w:t>
            </w:r>
          </w:p>
        </w:tc>
        <w:tc>
          <w:tcPr>
            <w:tcW w:w="744" w:type="pct"/>
            <w:shd w:val="clear" w:color="auto" w:fill="auto"/>
            <w:vAlign w:val="center"/>
          </w:tcPr>
          <w:p w14:paraId="684526EF">
            <w:pPr>
              <w:spacing w:line="240" w:lineRule="auto"/>
              <w:ind w:firstLine="0" w:firstLineChars="0"/>
              <w:jc w:val="center"/>
              <w:rPr>
                <w:color w:val="auto"/>
                <w:kern w:val="0"/>
                <w:sz w:val="21"/>
                <w:szCs w:val="21"/>
              </w:rPr>
            </w:pPr>
            <w:r>
              <w:rPr>
                <w:rFonts w:hint="eastAsia"/>
                <w:color w:val="auto"/>
                <w:kern w:val="0"/>
                <w:sz w:val="21"/>
                <w:szCs w:val="21"/>
              </w:rPr>
              <w:t>符合</w:t>
            </w:r>
          </w:p>
        </w:tc>
      </w:tr>
    </w:tbl>
    <w:p w14:paraId="3F6CFA58">
      <w:pPr>
        <w:ind w:firstLine="480"/>
        <w:rPr>
          <w:color w:val="auto"/>
        </w:rPr>
      </w:pPr>
    </w:p>
    <w:p w14:paraId="0C78CC86">
      <w:pPr>
        <w:pStyle w:val="4"/>
        <w:numPr>
          <w:ilvl w:val="0"/>
          <w:numId w:val="0"/>
        </w:numPr>
        <w:spacing w:line="360" w:lineRule="auto"/>
        <w:rPr>
          <w:color w:val="auto"/>
          <w:szCs w:val="24"/>
        </w:rPr>
      </w:pPr>
      <w:bookmarkStart w:id="117" w:name="_Toc344679079"/>
      <w:bookmarkStart w:id="118" w:name="_Toc51062449"/>
      <w:bookmarkStart w:id="119" w:name="_Toc245544272"/>
      <w:bookmarkStart w:id="120" w:name="_Toc462350268"/>
      <w:bookmarkStart w:id="121" w:name="_Toc439249488"/>
      <w:bookmarkStart w:id="122" w:name="_Toc396234170"/>
      <w:bookmarkStart w:id="123" w:name="_Toc472509267"/>
      <w:bookmarkStart w:id="124" w:name="_Toc244071845"/>
      <w:bookmarkStart w:id="125" w:name="_Toc15570"/>
      <w:r>
        <w:rPr>
          <w:rFonts w:hint="eastAsia"/>
          <w:color w:val="auto"/>
          <w:szCs w:val="24"/>
          <w:lang w:eastAsia="zh-CN"/>
        </w:rPr>
        <w:t>2.10</w:t>
      </w:r>
      <w:r>
        <w:rPr>
          <w:color w:val="auto"/>
          <w:szCs w:val="24"/>
        </w:rPr>
        <w:t>环境</w:t>
      </w:r>
      <w:bookmarkEnd w:id="117"/>
      <w:bookmarkEnd w:id="118"/>
      <w:bookmarkEnd w:id="119"/>
      <w:bookmarkEnd w:id="120"/>
      <w:bookmarkEnd w:id="121"/>
      <w:bookmarkEnd w:id="122"/>
      <w:bookmarkEnd w:id="123"/>
      <w:bookmarkEnd w:id="124"/>
      <w:r>
        <w:rPr>
          <w:rFonts w:hint="eastAsia"/>
          <w:color w:val="auto"/>
          <w:szCs w:val="24"/>
        </w:rPr>
        <w:t>保护目标</w:t>
      </w:r>
      <w:bookmarkEnd w:id="125"/>
    </w:p>
    <w:p w14:paraId="5DE78CFE">
      <w:pPr>
        <w:spacing w:line="360" w:lineRule="auto"/>
        <w:ind w:firstLine="480"/>
        <w:rPr>
          <w:color w:val="auto"/>
          <w:szCs w:val="24"/>
          <w:highlight w:val="none"/>
        </w:rPr>
      </w:pPr>
      <w:r>
        <w:rPr>
          <w:rFonts w:hint="eastAsia"/>
          <w:color w:val="auto"/>
          <w:szCs w:val="24"/>
        </w:rPr>
        <w:t>根据现场调查，项目位于</w:t>
      </w:r>
      <w:r>
        <w:rPr>
          <w:rFonts w:hint="eastAsia"/>
          <w:color w:val="auto"/>
          <w:szCs w:val="24"/>
          <w:lang w:eastAsia="zh-CN"/>
        </w:rPr>
        <w:t>忠县工业园乌杨组团</w:t>
      </w:r>
      <w:r>
        <w:rPr>
          <w:rFonts w:hint="eastAsia"/>
          <w:color w:val="auto"/>
          <w:lang w:eastAsia="zh-CN"/>
        </w:rPr>
        <w:t>园区污水处理厂二期预留用地</w:t>
      </w:r>
      <w:r>
        <w:rPr>
          <w:rFonts w:hint="eastAsia"/>
          <w:color w:val="auto"/>
        </w:rPr>
        <w:t>范围</w:t>
      </w:r>
      <w:r>
        <w:rPr>
          <w:rFonts w:hint="eastAsia"/>
          <w:color w:val="auto"/>
          <w:szCs w:val="24"/>
        </w:rPr>
        <w:t>内</w:t>
      </w:r>
      <w:r>
        <w:rPr>
          <w:rFonts w:hint="eastAsia"/>
          <w:color w:val="auto"/>
          <w:szCs w:val="24"/>
          <w:lang w:eastAsia="zh-CN"/>
        </w:rPr>
        <w:t>，利用园区污水处理厂现有闲置用地</w:t>
      </w:r>
      <w:r>
        <w:rPr>
          <w:rFonts w:hint="eastAsia"/>
          <w:color w:val="auto"/>
          <w:szCs w:val="24"/>
        </w:rPr>
        <w:t>，场地现已平整。</w:t>
      </w:r>
      <w:r>
        <w:rPr>
          <w:rFonts w:hint="eastAsia"/>
          <w:color w:val="auto"/>
          <w:szCs w:val="24"/>
          <w:highlight w:val="none"/>
        </w:rPr>
        <w:t>项目</w:t>
      </w:r>
      <w:r>
        <w:rPr>
          <w:rFonts w:hint="eastAsia"/>
          <w:color w:val="auto"/>
          <w:szCs w:val="24"/>
          <w:highlight w:val="none"/>
          <w:lang w:eastAsia="zh-CN"/>
        </w:rPr>
        <w:t>东侧为园区规划工业用地和现有工业企业，南侧为园区污水处理厂</w:t>
      </w:r>
      <w:r>
        <w:rPr>
          <w:rFonts w:hint="eastAsia"/>
          <w:color w:val="auto"/>
          <w:szCs w:val="24"/>
          <w:highlight w:val="none"/>
        </w:rPr>
        <w:t>现有</w:t>
      </w:r>
      <w:r>
        <w:rPr>
          <w:rFonts w:hint="eastAsia"/>
          <w:color w:val="auto"/>
          <w:szCs w:val="24"/>
          <w:highlight w:val="none"/>
          <w:lang w:eastAsia="zh-CN"/>
        </w:rPr>
        <w:t>处理设施及用地，西侧为长江</w:t>
      </w:r>
      <w:r>
        <w:rPr>
          <w:rFonts w:hint="eastAsia"/>
          <w:color w:val="auto"/>
          <w:szCs w:val="24"/>
          <w:highlight w:val="none"/>
        </w:rPr>
        <w:t>，</w:t>
      </w:r>
      <w:r>
        <w:rPr>
          <w:rFonts w:hint="eastAsia"/>
          <w:color w:val="auto"/>
          <w:szCs w:val="24"/>
          <w:highlight w:val="none"/>
          <w:lang w:eastAsia="zh-CN"/>
        </w:rPr>
        <w:t>北</w:t>
      </w:r>
      <w:r>
        <w:rPr>
          <w:rFonts w:hint="eastAsia"/>
          <w:color w:val="auto"/>
          <w:szCs w:val="24"/>
          <w:highlight w:val="none"/>
        </w:rPr>
        <w:t>侧为</w:t>
      </w:r>
      <w:r>
        <w:rPr>
          <w:rFonts w:hint="eastAsia"/>
          <w:color w:val="auto"/>
          <w:szCs w:val="24"/>
          <w:highlight w:val="none"/>
          <w:lang w:eastAsia="zh-CN"/>
        </w:rPr>
        <w:t>园区</w:t>
      </w:r>
      <w:r>
        <w:rPr>
          <w:rFonts w:hint="eastAsia"/>
          <w:color w:val="auto"/>
          <w:szCs w:val="24"/>
          <w:highlight w:val="none"/>
        </w:rPr>
        <w:t>规划工业</w:t>
      </w:r>
      <w:r>
        <w:rPr>
          <w:rFonts w:hint="eastAsia"/>
          <w:color w:val="auto"/>
          <w:szCs w:val="24"/>
          <w:highlight w:val="none"/>
          <w:lang w:eastAsia="zh-CN"/>
        </w:rPr>
        <w:t>用地</w:t>
      </w:r>
      <w:r>
        <w:rPr>
          <w:rFonts w:hint="eastAsia"/>
          <w:color w:val="auto"/>
          <w:szCs w:val="24"/>
          <w:highlight w:val="none"/>
        </w:rPr>
        <w:t>，暂无企业入驻。</w:t>
      </w:r>
    </w:p>
    <w:p w14:paraId="70105DBC">
      <w:pPr>
        <w:spacing w:line="360" w:lineRule="auto"/>
        <w:ind w:firstLine="480"/>
        <w:rPr>
          <w:color w:val="auto"/>
          <w:szCs w:val="24"/>
        </w:rPr>
      </w:pPr>
      <w:r>
        <w:rPr>
          <w:rFonts w:hint="eastAsia"/>
          <w:color w:val="auto"/>
          <w:szCs w:val="24"/>
        </w:rPr>
        <w:t>评价范围不涉及自然保护区、风景名胜区等环境敏感区，主要保护目标为</w:t>
      </w:r>
      <w:r>
        <w:rPr>
          <w:rFonts w:hint="eastAsia"/>
          <w:color w:val="auto"/>
          <w:szCs w:val="24"/>
          <w:lang w:eastAsia="zh-CN"/>
        </w:rPr>
        <w:t>乌杨街道（包括学校和医院）、将军社区、黄谷社区、文峰社区、鹿角村及周边零散居民</w:t>
      </w:r>
      <w:r>
        <w:rPr>
          <w:rFonts w:hint="eastAsia"/>
          <w:color w:val="auto"/>
          <w:szCs w:val="24"/>
        </w:rPr>
        <w:t>等。</w:t>
      </w:r>
    </w:p>
    <w:p w14:paraId="1BE0B3F7">
      <w:pPr>
        <w:spacing w:line="360" w:lineRule="auto"/>
        <w:ind w:firstLine="480"/>
        <w:rPr>
          <w:color w:val="auto"/>
          <w:szCs w:val="24"/>
        </w:rPr>
      </w:pPr>
      <w:r>
        <w:rPr>
          <w:rFonts w:hint="eastAsia"/>
          <w:color w:val="auto"/>
          <w:szCs w:val="24"/>
        </w:rPr>
        <w:t>（1）环境空气评价范围内人口和敏感点排查情况</w:t>
      </w:r>
    </w:p>
    <w:p w14:paraId="4E759898">
      <w:pPr>
        <w:spacing w:line="360" w:lineRule="auto"/>
        <w:ind w:firstLine="480"/>
        <w:rPr>
          <w:color w:val="auto"/>
          <w:szCs w:val="24"/>
        </w:rPr>
      </w:pPr>
      <w:r>
        <w:rPr>
          <w:rFonts w:hint="eastAsia"/>
          <w:color w:val="auto"/>
          <w:szCs w:val="24"/>
        </w:rPr>
        <w:t>人口：主要为</w:t>
      </w:r>
      <w:r>
        <w:rPr>
          <w:rFonts w:hint="eastAsia"/>
          <w:color w:val="auto"/>
          <w:szCs w:val="24"/>
          <w:lang w:eastAsia="zh-CN"/>
        </w:rPr>
        <w:t>街道及村社</w:t>
      </w:r>
      <w:r>
        <w:rPr>
          <w:rFonts w:hint="eastAsia"/>
          <w:color w:val="auto"/>
          <w:szCs w:val="24"/>
        </w:rPr>
        <w:t>居民、</w:t>
      </w:r>
      <w:r>
        <w:rPr>
          <w:rFonts w:hint="eastAsia"/>
          <w:color w:val="auto"/>
          <w:szCs w:val="24"/>
          <w:lang w:eastAsia="zh-CN"/>
        </w:rPr>
        <w:t>学校</w:t>
      </w:r>
      <w:r>
        <w:rPr>
          <w:rFonts w:hint="eastAsia"/>
          <w:color w:val="auto"/>
          <w:szCs w:val="24"/>
        </w:rPr>
        <w:t>等。</w:t>
      </w:r>
    </w:p>
    <w:p w14:paraId="02933F29">
      <w:pPr>
        <w:spacing w:line="360" w:lineRule="auto"/>
        <w:ind w:firstLine="480"/>
        <w:rPr>
          <w:color w:val="auto"/>
          <w:szCs w:val="24"/>
        </w:rPr>
      </w:pPr>
      <w:r>
        <w:rPr>
          <w:rFonts w:hint="eastAsia"/>
          <w:color w:val="auto"/>
          <w:szCs w:val="24"/>
        </w:rPr>
        <w:t>社会关注区：学校、医院等。</w:t>
      </w:r>
    </w:p>
    <w:p w14:paraId="424D9ABA">
      <w:pPr>
        <w:spacing w:line="360" w:lineRule="auto"/>
        <w:ind w:firstLine="480"/>
        <w:rPr>
          <w:color w:val="auto"/>
          <w:szCs w:val="24"/>
        </w:rPr>
      </w:pPr>
      <w:r>
        <w:rPr>
          <w:rFonts w:hint="eastAsia"/>
          <w:color w:val="auto"/>
          <w:szCs w:val="24"/>
        </w:rPr>
        <w:t>（2）地表水</w:t>
      </w:r>
    </w:p>
    <w:p w14:paraId="4DD5D2A5">
      <w:pPr>
        <w:spacing w:line="360" w:lineRule="auto"/>
        <w:ind w:firstLine="480"/>
        <w:rPr>
          <w:rFonts w:hint="eastAsia"/>
          <w:color w:val="auto"/>
          <w:szCs w:val="24"/>
        </w:rPr>
      </w:pPr>
      <w:r>
        <w:rPr>
          <w:rFonts w:hint="eastAsia"/>
          <w:color w:val="auto"/>
          <w:szCs w:val="24"/>
        </w:rPr>
        <w:t>经调查，乌杨</w:t>
      </w:r>
      <w:r>
        <w:rPr>
          <w:rFonts w:hint="eastAsia"/>
          <w:color w:val="auto"/>
          <w:szCs w:val="24"/>
          <w:lang w:eastAsia="zh-CN"/>
        </w:rPr>
        <w:t>园区</w:t>
      </w:r>
      <w:r>
        <w:rPr>
          <w:rFonts w:hint="eastAsia"/>
          <w:color w:val="auto"/>
          <w:szCs w:val="24"/>
        </w:rPr>
        <w:t>污水处理厂排口上游分布有塘土浩产卵场，下游50 km范围内分布有忠县苏家水厂取水口、复兴镇水坪水厂取水口、忠县石宝水厂取水口。</w:t>
      </w:r>
    </w:p>
    <w:p w14:paraId="5EB5A7DE">
      <w:pPr>
        <w:spacing w:line="360" w:lineRule="auto"/>
        <w:ind w:firstLine="480"/>
        <w:rPr>
          <w:rFonts w:hint="eastAsia"/>
          <w:color w:val="auto"/>
          <w:szCs w:val="24"/>
        </w:rPr>
      </w:pPr>
      <w:r>
        <w:rPr>
          <w:rFonts w:hint="eastAsia"/>
          <w:color w:val="auto"/>
          <w:szCs w:val="24"/>
        </w:rPr>
        <w:t>①塘土浩产卵场</w:t>
      </w:r>
    </w:p>
    <w:p w14:paraId="6E20CB0A">
      <w:pPr>
        <w:spacing w:line="360" w:lineRule="auto"/>
        <w:ind w:firstLine="480"/>
        <w:rPr>
          <w:rFonts w:hint="eastAsia"/>
          <w:color w:val="auto"/>
          <w:szCs w:val="24"/>
        </w:rPr>
      </w:pPr>
      <w:r>
        <w:rPr>
          <w:rFonts w:hint="eastAsia"/>
          <w:color w:val="auto"/>
          <w:szCs w:val="24"/>
          <w:lang w:eastAsia="zh-CN"/>
        </w:rPr>
        <w:t>园区污水处理厂排口上游约</w:t>
      </w:r>
      <w:r>
        <w:rPr>
          <w:rFonts w:hint="eastAsia"/>
          <w:color w:val="auto"/>
          <w:szCs w:val="24"/>
          <w:lang w:val="en-US" w:eastAsia="zh-CN"/>
        </w:rPr>
        <w:t>500m，</w:t>
      </w:r>
      <w:r>
        <w:rPr>
          <w:rFonts w:hint="eastAsia"/>
          <w:color w:val="auto"/>
          <w:szCs w:val="24"/>
        </w:rPr>
        <w:t>主要产卵鱼类有鲶、鲤、黄颡鱼、长吻鮠、岩原鲤、中华倒刺鲃等，产卵规模6000万粒/年，面积为200 hm</w:t>
      </w:r>
      <w:r>
        <w:rPr>
          <w:rFonts w:hint="eastAsia"/>
          <w:color w:val="auto"/>
          <w:szCs w:val="24"/>
          <w:vertAlign w:val="superscript"/>
        </w:rPr>
        <w:t>2</w:t>
      </w:r>
      <w:r>
        <w:rPr>
          <w:rFonts w:hint="eastAsia"/>
          <w:color w:val="auto"/>
          <w:szCs w:val="24"/>
        </w:rPr>
        <w:t>。</w:t>
      </w:r>
    </w:p>
    <w:p w14:paraId="3F9405CD">
      <w:pPr>
        <w:spacing w:line="360" w:lineRule="auto"/>
        <w:ind w:firstLine="480"/>
        <w:rPr>
          <w:rFonts w:hint="eastAsia"/>
          <w:color w:val="auto"/>
          <w:szCs w:val="24"/>
        </w:rPr>
      </w:pPr>
      <w:r>
        <w:rPr>
          <w:rFonts w:hint="eastAsia"/>
          <w:color w:val="auto"/>
          <w:szCs w:val="24"/>
        </w:rPr>
        <w:t>②忠县苏家水厂饮用水水源保护区</w:t>
      </w:r>
    </w:p>
    <w:p w14:paraId="4A256F8E">
      <w:pPr>
        <w:spacing w:line="360" w:lineRule="auto"/>
        <w:ind w:firstLine="480"/>
        <w:rPr>
          <w:rFonts w:hint="eastAsia"/>
          <w:color w:val="auto"/>
          <w:szCs w:val="24"/>
        </w:rPr>
      </w:pPr>
      <w:r>
        <w:rPr>
          <w:rFonts w:hint="eastAsia"/>
          <w:color w:val="auto"/>
          <w:szCs w:val="24"/>
        </w:rPr>
        <w:t>一级保护区水域范围：取水口上游1000米至下游100米，以中泓线为界的同侧水域；陆域范围：沿岸纵深与最高水位时河岸水平距离不小于50米，且不小于饮用水水源卫生防护规定的范围，陆域沿岸长度与一级保护区水域长度相同。二级保护区水域范围：取水口上游1000米至2000米，下游100米至200米，以中泓线为界的同侧水域；陆域范围：沿岸纵深与最高水位时河岸水平距离不小于50米，且不小于饮用水水源卫生防护规定的范围，陆域沿岸长度与二级保护区水域长度相同。</w:t>
      </w:r>
    </w:p>
    <w:p w14:paraId="2B4C4341">
      <w:pPr>
        <w:spacing w:line="360" w:lineRule="auto"/>
        <w:ind w:firstLine="480"/>
        <w:rPr>
          <w:rFonts w:hint="eastAsia"/>
          <w:color w:val="auto"/>
          <w:szCs w:val="24"/>
        </w:rPr>
      </w:pPr>
      <w:r>
        <w:rPr>
          <w:rFonts w:hint="eastAsia"/>
          <w:color w:val="auto"/>
          <w:szCs w:val="24"/>
        </w:rPr>
        <w:t>③复兴镇水坪水厂饮用水水源保护区</w:t>
      </w:r>
    </w:p>
    <w:p w14:paraId="113EFC05">
      <w:pPr>
        <w:spacing w:line="360" w:lineRule="auto"/>
        <w:ind w:firstLine="480"/>
        <w:rPr>
          <w:rFonts w:hint="eastAsia"/>
          <w:color w:val="auto"/>
          <w:szCs w:val="24"/>
        </w:rPr>
      </w:pPr>
      <w:r>
        <w:rPr>
          <w:rFonts w:hint="eastAsia"/>
          <w:color w:val="auto"/>
          <w:szCs w:val="24"/>
        </w:rPr>
        <w:t>一级保护区水域范围：取水口上游1000米至下游100米，以中泓线为界的同侧水域；陆域范围：沿岸纵深与最高水位时河岸水平距离不小于50米，且不小于饮用水水源卫生防护规定的范围，陆域沿岸长度与一级保护区水域长度相同。二级保护区水域范围：取水口上游1000米至2000米，下游100米至200米，以中泓线为界的同侧水域；陆域范围：沿岸纵深与最高水位时河岸水平距离不小于50米，且不小于饮用水水源卫生防护规定的范围，陆域沿岸长度与二级保护区水域长度相同。</w:t>
      </w:r>
    </w:p>
    <w:p w14:paraId="315EC522">
      <w:pPr>
        <w:spacing w:line="360" w:lineRule="auto"/>
        <w:ind w:firstLine="480"/>
        <w:rPr>
          <w:rFonts w:hint="eastAsia"/>
          <w:color w:val="auto"/>
          <w:szCs w:val="24"/>
        </w:rPr>
      </w:pPr>
      <w:r>
        <w:rPr>
          <w:rFonts w:hint="eastAsia"/>
          <w:color w:val="auto"/>
          <w:szCs w:val="24"/>
        </w:rPr>
        <w:t>④忠县石宝水厂饮用水水源保护区</w:t>
      </w:r>
    </w:p>
    <w:p w14:paraId="04420055">
      <w:pPr>
        <w:spacing w:line="360" w:lineRule="auto"/>
        <w:ind w:firstLine="480"/>
        <w:rPr>
          <w:rFonts w:hint="default" w:eastAsia="宋体"/>
          <w:color w:val="auto"/>
          <w:szCs w:val="24"/>
          <w:lang w:val="en-US" w:eastAsia="zh-CN"/>
        </w:rPr>
      </w:pPr>
      <w:r>
        <w:rPr>
          <w:rFonts w:hint="eastAsia"/>
          <w:color w:val="auto"/>
          <w:szCs w:val="24"/>
        </w:rPr>
        <w:t>一级保护区水域范围：取水口上游1000米至下游100米，以中泓线为界的同侧水域；陆域范围：沿岸纵深与最高水位时河岸水平距离不小于50米，且不小于饮用水水源卫生防护规定的范围，陆域沿岸长度与一级保护区水域长度相同。二级保护区水域范围：取水口上游1000米至2000米，下游100米至200米，以中泓线为界的同侧水域；陆域范围：沿岸纵深与最高水位时河岸水平距离不小于50米，且不小于饮用水水源卫生防护规定的范围，陆域沿岸长度与二级保护区水域长度相同</w:t>
      </w:r>
      <w:r>
        <w:rPr>
          <w:rFonts w:hint="eastAsia"/>
          <w:color w:val="auto"/>
          <w:szCs w:val="24"/>
          <w:lang w:eastAsia="zh-CN"/>
        </w:rPr>
        <w:t>。</w:t>
      </w:r>
    </w:p>
    <w:p w14:paraId="6E275FA2">
      <w:pPr>
        <w:spacing w:line="360" w:lineRule="auto"/>
        <w:ind w:firstLine="480"/>
        <w:rPr>
          <w:color w:val="auto"/>
          <w:szCs w:val="24"/>
        </w:rPr>
      </w:pPr>
      <w:r>
        <w:rPr>
          <w:rFonts w:hint="eastAsia"/>
          <w:color w:val="auto"/>
          <w:szCs w:val="24"/>
        </w:rPr>
        <w:t>（3）地下水</w:t>
      </w:r>
    </w:p>
    <w:p w14:paraId="57DEDDAB">
      <w:pPr>
        <w:spacing w:line="360" w:lineRule="auto"/>
        <w:ind w:firstLine="480"/>
        <w:rPr>
          <w:color w:val="auto"/>
          <w:szCs w:val="24"/>
        </w:rPr>
      </w:pPr>
      <w:r>
        <w:rPr>
          <w:rFonts w:hint="eastAsia"/>
          <w:color w:val="auto"/>
          <w:szCs w:val="24"/>
        </w:rPr>
        <w:t>饮用水：根据园区规划环评调查，项目所在地规划区域内已经完成了农村供水工程改造，周边居民生活用水全部来自自来水，项目区内无居民将井泉作为饮用水水源。</w:t>
      </w:r>
    </w:p>
    <w:p w14:paraId="2A7D8A57">
      <w:pPr>
        <w:spacing w:line="360" w:lineRule="auto"/>
        <w:ind w:firstLine="480"/>
        <w:rPr>
          <w:color w:val="auto"/>
          <w:szCs w:val="24"/>
        </w:rPr>
      </w:pPr>
      <w:r>
        <w:rPr>
          <w:rFonts w:hint="eastAsia"/>
          <w:color w:val="auto"/>
          <w:szCs w:val="24"/>
        </w:rPr>
        <w:t>（4）声环境</w:t>
      </w:r>
    </w:p>
    <w:p w14:paraId="1994FE03">
      <w:pPr>
        <w:spacing w:line="360" w:lineRule="auto"/>
        <w:ind w:firstLine="480"/>
        <w:rPr>
          <w:color w:val="auto"/>
          <w:szCs w:val="24"/>
        </w:rPr>
      </w:pPr>
      <w:r>
        <w:rPr>
          <w:rFonts w:hint="eastAsia"/>
          <w:color w:val="auto"/>
          <w:szCs w:val="24"/>
        </w:rPr>
        <w:t>项目厂界外周边200m范围内无医院、学校、机关、科研单位、自然保护区等</w:t>
      </w:r>
      <w:r>
        <w:rPr>
          <w:rFonts w:hint="eastAsia"/>
          <w:color w:val="auto"/>
          <w:szCs w:val="24"/>
          <w:lang w:eastAsia="zh-CN"/>
        </w:rPr>
        <w:t>，主要声环境</w:t>
      </w:r>
      <w:r>
        <w:rPr>
          <w:rFonts w:hint="eastAsia"/>
          <w:color w:val="auto"/>
          <w:szCs w:val="24"/>
        </w:rPr>
        <w:t>敏感</w:t>
      </w:r>
      <w:r>
        <w:rPr>
          <w:rFonts w:hint="eastAsia"/>
          <w:color w:val="auto"/>
          <w:szCs w:val="24"/>
          <w:lang w:eastAsia="zh-CN"/>
        </w:rPr>
        <w:t>目标为东侧</w:t>
      </w:r>
      <w:r>
        <w:rPr>
          <w:rFonts w:hint="eastAsia"/>
          <w:color w:val="auto"/>
          <w:szCs w:val="24"/>
          <w:lang w:val="en-US" w:eastAsia="zh-CN"/>
        </w:rPr>
        <w:t>170~200m有将军社区居民</w:t>
      </w:r>
      <w:r>
        <w:rPr>
          <w:rFonts w:hint="eastAsia"/>
          <w:color w:val="auto"/>
          <w:szCs w:val="24"/>
        </w:rPr>
        <w:t>。</w:t>
      </w:r>
    </w:p>
    <w:p w14:paraId="19CA90CE">
      <w:pPr>
        <w:spacing w:line="360" w:lineRule="auto"/>
        <w:ind w:firstLine="480"/>
        <w:rPr>
          <w:rFonts w:hint="eastAsia"/>
          <w:color w:val="auto"/>
          <w:szCs w:val="24"/>
        </w:rPr>
      </w:pPr>
      <w:r>
        <w:rPr>
          <w:rFonts w:hint="eastAsia"/>
          <w:color w:val="auto"/>
          <w:szCs w:val="24"/>
        </w:rPr>
        <w:t>（</w:t>
      </w:r>
      <w:r>
        <w:rPr>
          <w:rFonts w:hint="eastAsia"/>
          <w:color w:val="auto"/>
          <w:szCs w:val="24"/>
          <w:lang w:val="en-US" w:eastAsia="zh-CN"/>
        </w:rPr>
        <w:t>5</w:t>
      </w:r>
      <w:r>
        <w:rPr>
          <w:rFonts w:hint="eastAsia"/>
          <w:color w:val="auto"/>
          <w:szCs w:val="24"/>
        </w:rPr>
        <w:t>）土壤</w:t>
      </w:r>
    </w:p>
    <w:p w14:paraId="1FFCF2C2">
      <w:pPr>
        <w:spacing w:line="360" w:lineRule="auto"/>
        <w:ind w:firstLine="480"/>
        <w:rPr>
          <w:rFonts w:hint="eastAsia"/>
          <w:color w:val="auto"/>
          <w:szCs w:val="24"/>
        </w:rPr>
      </w:pPr>
      <w:r>
        <w:rPr>
          <w:rFonts w:hint="eastAsia"/>
          <w:color w:val="auto"/>
          <w:szCs w:val="24"/>
          <w:lang w:eastAsia="zh-CN"/>
        </w:rPr>
        <w:t>项目</w:t>
      </w:r>
      <w:r>
        <w:rPr>
          <w:rFonts w:hint="eastAsia"/>
          <w:color w:val="auto"/>
          <w:szCs w:val="24"/>
        </w:rPr>
        <w:t>土壤评价范围为厂区边界向外</w:t>
      </w:r>
      <w:r>
        <w:rPr>
          <w:rFonts w:hint="eastAsia"/>
          <w:color w:val="auto"/>
          <w:szCs w:val="24"/>
          <w:lang w:val="en-US" w:eastAsia="zh-CN"/>
        </w:rPr>
        <w:t>50m</w:t>
      </w:r>
      <w:r>
        <w:rPr>
          <w:rFonts w:hint="eastAsia"/>
          <w:color w:val="auto"/>
          <w:szCs w:val="24"/>
        </w:rPr>
        <w:t>为评价范围。项目土壤评价范围内分布</w:t>
      </w:r>
      <w:r>
        <w:rPr>
          <w:rFonts w:hint="eastAsia"/>
          <w:color w:val="auto"/>
          <w:szCs w:val="24"/>
          <w:lang w:eastAsia="zh-CN"/>
        </w:rPr>
        <w:t>主要为园区工业用地</w:t>
      </w:r>
      <w:r>
        <w:rPr>
          <w:rFonts w:hint="eastAsia"/>
          <w:color w:val="auto"/>
          <w:szCs w:val="24"/>
        </w:rPr>
        <w:t>等。</w:t>
      </w:r>
    </w:p>
    <w:p w14:paraId="6DC82B39">
      <w:pPr>
        <w:spacing w:line="360" w:lineRule="auto"/>
        <w:ind w:firstLine="480"/>
        <w:rPr>
          <w:color w:val="auto"/>
          <w:szCs w:val="24"/>
        </w:rPr>
      </w:pPr>
      <w:r>
        <w:rPr>
          <w:rFonts w:hint="eastAsia"/>
          <w:color w:val="auto"/>
          <w:szCs w:val="24"/>
        </w:rPr>
        <w:t>（</w:t>
      </w:r>
      <w:r>
        <w:rPr>
          <w:rFonts w:hint="eastAsia"/>
          <w:color w:val="auto"/>
          <w:szCs w:val="24"/>
          <w:lang w:val="en-US" w:eastAsia="zh-CN"/>
        </w:rPr>
        <w:t>6</w:t>
      </w:r>
      <w:r>
        <w:rPr>
          <w:rFonts w:hint="eastAsia"/>
          <w:color w:val="auto"/>
          <w:szCs w:val="24"/>
        </w:rPr>
        <w:t>）生态环境</w:t>
      </w:r>
    </w:p>
    <w:p w14:paraId="08721402">
      <w:pPr>
        <w:spacing w:line="360" w:lineRule="auto"/>
        <w:ind w:firstLine="480"/>
        <w:rPr>
          <w:color w:val="auto"/>
          <w:szCs w:val="24"/>
        </w:rPr>
      </w:pPr>
      <w:r>
        <w:rPr>
          <w:rFonts w:hint="eastAsia"/>
          <w:color w:val="auto"/>
          <w:szCs w:val="24"/>
        </w:rPr>
        <w:t>项目位于</w:t>
      </w:r>
      <w:r>
        <w:rPr>
          <w:rFonts w:hint="eastAsia"/>
          <w:color w:val="auto"/>
          <w:szCs w:val="24"/>
          <w:lang w:eastAsia="zh-CN"/>
        </w:rPr>
        <w:t>忠县工业园乌杨组团</w:t>
      </w:r>
      <w:r>
        <w:rPr>
          <w:rFonts w:hint="eastAsia"/>
          <w:color w:val="auto"/>
          <w:lang w:eastAsia="zh-CN"/>
        </w:rPr>
        <w:t>园区污水处理厂二期预留用地</w:t>
      </w:r>
      <w:r>
        <w:rPr>
          <w:rFonts w:hint="eastAsia"/>
          <w:color w:val="auto"/>
        </w:rPr>
        <w:t>范围</w:t>
      </w:r>
      <w:r>
        <w:rPr>
          <w:rFonts w:hint="eastAsia"/>
          <w:color w:val="auto"/>
          <w:lang w:eastAsia="zh-CN"/>
        </w:rPr>
        <w:t>内</w:t>
      </w:r>
      <w:r>
        <w:rPr>
          <w:rFonts w:hint="eastAsia"/>
          <w:color w:val="auto"/>
          <w:szCs w:val="24"/>
        </w:rPr>
        <w:t>，属于工业园区内，用地及周边不涉及重要物种、生态敏感区以及其他需要保护的物种、种群、生物群落及生态空间等生态环境保护目标。</w:t>
      </w:r>
    </w:p>
    <w:p w14:paraId="4E8B79FD">
      <w:pPr>
        <w:spacing w:line="360" w:lineRule="auto"/>
        <w:ind w:firstLine="480"/>
        <w:rPr>
          <w:color w:val="auto"/>
          <w:szCs w:val="24"/>
        </w:rPr>
      </w:pPr>
      <w:r>
        <w:rPr>
          <w:rFonts w:hint="eastAsia"/>
          <w:color w:val="auto"/>
          <w:szCs w:val="24"/>
        </w:rPr>
        <w:t>项目主要环境保护目标和敏感点分布见表</w:t>
      </w:r>
      <w:r>
        <w:rPr>
          <w:rFonts w:hint="eastAsia"/>
          <w:color w:val="auto"/>
          <w:szCs w:val="24"/>
          <w:lang w:eastAsia="zh-CN"/>
        </w:rPr>
        <w:t>2.10</w:t>
      </w:r>
      <w:r>
        <w:rPr>
          <w:rFonts w:hint="eastAsia"/>
          <w:color w:val="auto"/>
          <w:szCs w:val="24"/>
        </w:rPr>
        <w:t>-1。</w:t>
      </w:r>
    </w:p>
    <w:p w14:paraId="140537BD">
      <w:pPr>
        <w:spacing w:line="360" w:lineRule="auto"/>
        <w:ind w:firstLine="462"/>
        <w:rPr>
          <w:b/>
          <w:color w:val="auto"/>
          <w:sz w:val="23"/>
          <w:szCs w:val="23"/>
        </w:rPr>
        <w:sectPr>
          <w:pgSz w:w="11906" w:h="16838"/>
          <w:pgMar w:top="1418" w:right="1418" w:bottom="1418" w:left="1418" w:header="851" w:footer="992" w:gutter="0"/>
          <w:pgBorders>
            <w:top w:val="none" w:sz="0" w:space="0"/>
            <w:left w:val="none" w:sz="0" w:space="0"/>
            <w:bottom w:val="none" w:sz="0" w:space="0"/>
            <w:right w:val="none" w:sz="0" w:space="0"/>
          </w:pgBorders>
          <w:cols w:space="425" w:num="1"/>
          <w:docGrid w:linePitch="312" w:charSpace="0"/>
        </w:sectPr>
      </w:pPr>
    </w:p>
    <w:p w14:paraId="6E88667C">
      <w:pPr>
        <w:spacing w:line="450" w:lineRule="exact"/>
        <w:ind w:firstLine="482"/>
        <w:jc w:val="center"/>
        <w:rPr>
          <w:b/>
          <w:color w:val="auto"/>
          <w:szCs w:val="24"/>
        </w:rPr>
      </w:pPr>
      <w:r>
        <w:rPr>
          <w:b/>
          <w:color w:val="auto"/>
          <w:szCs w:val="24"/>
        </w:rPr>
        <w:t>表</w:t>
      </w:r>
      <w:r>
        <w:rPr>
          <w:rFonts w:hint="eastAsia"/>
          <w:b/>
          <w:color w:val="auto"/>
          <w:szCs w:val="24"/>
          <w:lang w:eastAsia="zh-CN"/>
        </w:rPr>
        <w:t>2.10</w:t>
      </w:r>
      <w:r>
        <w:rPr>
          <w:b/>
          <w:color w:val="auto"/>
          <w:szCs w:val="24"/>
        </w:rPr>
        <w:t>-1  主要环境保护目标分布情况</w:t>
      </w:r>
      <w:r>
        <w:rPr>
          <w:rFonts w:hint="eastAsia"/>
          <w:b/>
          <w:color w:val="auto"/>
          <w:szCs w:val="24"/>
        </w:rPr>
        <w:t>表</w:t>
      </w:r>
    </w:p>
    <w:tbl>
      <w:tblPr>
        <w:tblStyle w:val="88"/>
        <w:tblW w:w="47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79"/>
        <w:gridCol w:w="521"/>
        <w:gridCol w:w="1969"/>
        <w:gridCol w:w="1295"/>
        <w:gridCol w:w="2092"/>
        <w:gridCol w:w="1899"/>
        <w:gridCol w:w="2167"/>
        <w:gridCol w:w="1085"/>
        <w:gridCol w:w="1622"/>
      </w:tblGrid>
      <w:tr w14:paraId="0DEDD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70" w:hRule="atLeast"/>
        </w:trPr>
        <w:tc>
          <w:tcPr>
            <w:tcW w:w="290" w:type="pct"/>
            <w:vMerge w:val="restart"/>
            <w:tcBorders>
              <w:left w:val="single" w:color="auto" w:sz="4" w:space="0"/>
            </w:tcBorders>
            <w:vAlign w:val="center"/>
          </w:tcPr>
          <w:p w14:paraId="4B6A4863">
            <w:pPr>
              <w:pStyle w:val="276"/>
              <w:rPr>
                <w:color w:val="auto"/>
              </w:rPr>
            </w:pPr>
            <w:r>
              <w:rPr>
                <w:rFonts w:hint="eastAsia"/>
                <w:color w:val="auto"/>
              </w:rPr>
              <w:t>环境</w:t>
            </w:r>
          </w:p>
          <w:p w14:paraId="1B8E123E">
            <w:pPr>
              <w:pStyle w:val="276"/>
              <w:rPr>
                <w:color w:val="auto"/>
              </w:rPr>
            </w:pPr>
            <w:r>
              <w:rPr>
                <w:rFonts w:hint="eastAsia"/>
                <w:color w:val="auto"/>
              </w:rPr>
              <w:t>要素</w:t>
            </w:r>
          </w:p>
        </w:tc>
        <w:tc>
          <w:tcPr>
            <w:tcW w:w="194" w:type="pct"/>
            <w:vMerge w:val="restart"/>
            <w:vAlign w:val="center"/>
          </w:tcPr>
          <w:p w14:paraId="2C519124">
            <w:pPr>
              <w:pStyle w:val="276"/>
              <w:rPr>
                <w:color w:val="auto"/>
              </w:rPr>
            </w:pPr>
            <w:r>
              <w:rPr>
                <w:rFonts w:hint="eastAsia"/>
                <w:color w:val="auto"/>
              </w:rPr>
              <w:t>序号</w:t>
            </w:r>
          </w:p>
        </w:tc>
        <w:tc>
          <w:tcPr>
            <w:tcW w:w="733" w:type="pct"/>
            <w:vMerge w:val="restart"/>
            <w:vAlign w:val="center"/>
          </w:tcPr>
          <w:p w14:paraId="6EFDC5B9">
            <w:pPr>
              <w:pStyle w:val="276"/>
              <w:rPr>
                <w:color w:val="auto"/>
              </w:rPr>
            </w:pPr>
            <w:r>
              <w:rPr>
                <w:rFonts w:hint="eastAsia"/>
                <w:color w:val="auto"/>
              </w:rPr>
              <w:t>敏感点</w:t>
            </w:r>
          </w:p>
          <w:p w14:paraId="4785ABA0">
            <w:pPr>
              <w:pStyle w:val="276"/>
              <w:rPr>
                <w:color w:val="auto"/>
              </w:rPr>
            </w:pPr>
            <w:r>
              <w:rPr>
                <w:rFonts w:hint="eastAsia"/>
                <w:color w:val="auto"/>
              </w:rPr>
              <w:t>名称</w:t>
            </w:r>
          </w:p>
        </w:tc>
        <w:tc>
          <w:tcPr>
            <w:tcW w:w="482" w:type="pct"/>
            <w:vMerge w:val="restart"/>
            <w:vAlign w:val="center"/>
          </w:tcPr>
          <w:p w14:paraId="6CDBBA40">
            <w:pPr>
              <w:pStyle w:val="276"/>
              <w:rPr>
                <w:color w:val="auto"/>
              </w:rPr>
            </w:pPr>
            <w:r>
              <w:rPr>
                <w:rFonts w:hint="eastAsia"/>
                <w:color w:val="auto"/>
              </w:rPr>
              <w:t>与厂区方位</w:t>
            </w:r>
          </w:p>
        </w:tc>
        <w:tc>
          <w:tcPr>
            <w:tcW w:w="1486" w:type="pct"/>
            <w:gridSpan w:val="2"/>
            <w:vAlign w:val="center"/>
          </w:tcPr>
          <w:p w14:paraId="3BCD1A8A">
            <w:pPr>
              <w:pStyle w:val="276"/>
              <w:rPr>
                <w:color w:val="auto"/>
              </w:rPr>
            </w:pPr>
            <w:r>
              <w:rPr>
                <w:rFonts w:hint="eastAsia"/>
                <w:color w:val="auto"/>
              </w:rPr>
              <w:t>坐标</w:t>
            </w:r>
          </w:p>
        </w:tc>
        <w:tc>
          <w:tcPr>
            <w:tcW w:w="806" w:type="pct"/>
            <w:vMerge w:val="restart"/>
            <w:vAlign w:val="center"/>
          </w:tcPr>
          <w:p w14:paraId="1A32C0D3">
            <w:pPr>
              <w:pStyle w:val="276"/>
              <w:rPr>
                <w:color w:val="auto"/>
              </w:rPr>
            </w:pPr>
            <w:r>
              <w:rPr>
                <w:rFonts w:hint="eastAsia"/>
                <w:color w:val="auto"/>
              </w:rPr>
              <w:t>环境敏感特征</w:t>
            </w:r>
          </w:p>
        </w:tc>
        <w:tc>
          <w:tcPr>
            <w:tcW w:w="400" w:type="pct"/>
            <w:vMerge w:val="restart"/>
            <w:vAlign w:val="center"/>
          </w:tcPr>
          <w:p w14:paraId="0B84219A">
            <w:pPr>
              <w:pStyle w:val="276"/>
              <w:rPr>
                <w:color w:val="auto"/>
              </w:rPr>
            </w:pPr>
            <w:r>
              <w:rPr>
                <w:rFonts w:hint="eastAsia"/>
                <w:color w:val="auto"/>
              </w:rPr>
              <w:t>与项目边界</w:t>
            </w:r>
            <w:r>
              <w:rPr>
                <w:rFonts w:hint="eastAsia"/>
                <w:color w:val="auto"/>
                <w:lang w:eastAsia="zh-CN"/>
              </w:rPr>
              <w:t>最近</w:t>
            </w:r>
            <w:r>
              <w:rPr>
                <w:rFonts w:hint="eastAsia"/>
                <w:color w:val="auto"/>
              </w:rPr>
              <w:t>距离（m）</w:t>
            </w:r>
          </w:p>
        </w:tc>
        <w:tc>
          <w:tcPr>
            <w:tcW w:w="603" w:type="pct"/>
            <w:vMerge w:val="restart"/>
            <w:tcBorders>
              <w:right w:val="single" w:color="auto" w:sz="4" w:space="0"/>
            </w:tcBorders>
            <w:vAlign w:val="center"/>
          </w:tcPr>
          <w:p w14:paraId="18D96E86">
            <w:pPr>
              <w:pStyle w:val="276"/>
              <w:rPr>
                <w:color w:val="auto"/>
              </w:rPr>
            </w:pPr>
            <w:r>
              <w:rPr>
                <w:rFonts w:hint="eastAsia"/>
                <w:color w:val="auto"/>
              </w:rPr>
              <w:t>保护目标</w:t>
            </w:r>
          </w:p>
        </w:tc>
      </w:tr>
      <w:tr w14:paraId="0C7A2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9" w:hRule="atLeast"/>
        </w:trPr>
        <w:tc>
          <w:tcPr>
            <w:tcW w:w="290" w:type="pct"/>
            <w:vMerge w:val="continue"/>
            <w:tcBorders>
              <w:left w:val="single" w:color="auto" w:sz="4" w:space="0"/>
            </w:tcBorders>
            <w:vAlign w:val="center"/>
          </w:tcPr>
          <w:p w14:paraId="36E20512">
            <w:pPr>
              <w:pStyle w:val="276"/>
              <w:rPr>
                <w:color w:val="auto"/>
              </w:rPr>
            </w:pPr>
          </w:p>
        </w:tc>
        <w:tc>
          <w:tcPr>
            <w:tcW w:w="194" w:type="pct"/>
            <w:vMerge w:val="continue"/>
            <w:vAlign w:val="center"/>
          </w:tcPr>
          <w:p w14:paraId="49206899">
            <w:pPr>
              <w:pStyle w:val="276"/>
              <w:rPr>
                <w:color w:val="auto"/>
              </w:rPr>
            </w:pPr>
          </w:p>
        </w:tc>
        <w:tc>
          <w:tcPr>
            <w:tcW w:w="733" w:type="pct"/>
            <w:vMerge w:val="continue"/>
            <w:vAlign w:val="center"/>
          </w:tcPr>
          <w:p w14:paraId="390CC5DB">
            <w:pPr>
              <w:pStyle w:val="276"/>
              <w:rPr>
                <w:color w:val="auto"/>
              </w:rPr>
            </w:pPr>
          </w:p>
        </w:tc>
        <w:tc>
          <w:tcPr>
            <w:tcW w:w="482" w:type="pct"/>
            <w:vMerge w:val="continue"/>
            <w:vAlign w:val="center"/>
          </w:tcPr>
          <w:p w14:paraId="5E0ADD22">
            <w:pPr>
              <w:pStyle w:val="276"/>
              <w:rPr>
                <w:color w:val="auto"/>
              </w:rPr>
            </w:pPr>
          </w:p>
        </w:tc>
        <w:tc>
          <w:tcPr>
            <w:tcW w:w="779" w:type="pct"/>
            <w:vAlign w:val="center"/>
          </w:tcPr>
          <w:p w14:paraId="251C8F20">
            <w:pPr>
              <w:pStyle w:val="276"/>
              <w:rPr>
                <w:color w:val="auto"/>
              </w:rPr>
            </w:pPr>
            <w:r>
              <w:rPr>
                <w:rFonts w:hint="eastAsia"/>
                <w:color w:val="auto"/>
              </w:rPr>
              <w:t>经度</w:t>
            </w:r>
          </w:p>
        </w:tc>
        <w:tc>
          <w:tcPr>
            <w:tcW w:w="707" w:type="pct"/>
            <w:vAlign w:val="center"/>
          </w:tcPr>
          <w:p w14:paraId="44631809">
            <w:pPr>
              <w:pStyle w:val="276"/>
              <w:rPr>
                <w:color w:val="auto"/>
              </w:rPr>
            </w:pPr>
            <w:r>
              <w:rPr>
                <w:rFonts w:hint="eastAsia"/>
                <w:color w:val="auto"/>
              </w:rPr>
              <w:t>伟度</w:t>
            </w:r>
          </w:p>
        </w:tc>
        <w:tc>
          <w:tcPr>
            <w:tcW w:w="806" w:type="pct"/>
            <w:vMerge w:val="continue"/>
            <w:vAlign w:val="center"/>
          </w:tcPr>
          <w:p w14:paraId="664D8298">
            <w:pPr>
              <w:pStyle w:val="276"/>
              <w:rPr>
                <w:color w:val="auto"/>
              </w:rPr>
            </w:pPr>
          </w:p>
        </w:tc>
        <w:tc>
          <w:tcPr>
            <w:tcW w:w="400" w:type="pct"/>
            <w:vMerge w:val="continue"/>
            <w:vAlign w:val="center"/>
          </w:tcPr>
          <w:p w14:paraId="6BB793B7">
            <w:pPr>
              <w:pStyle w:val="276"/>
              <w:rPr>
                <w:color w:val="auto"/>
              </w:rPr>
            </w:pPr>
          </w:p>
        </w:tc>
        <w:tc>
          <w:tcPr>
            <w:tcW w:w="603" w:type="pct"/>
            <w:vMerge w:val="continue"/>
            <w:tcBorders>
              <w:right w:val="single" w:color="auto" w:sz="4" w:space="0"/>
            </w:tcBorders>
            <w:vAlign w:val="center"/>
          </w:tcPr>
          <w:p w14:paraId="78EF4AAE">
            <w:pPr>
              <w:pStyle w:val="276"/>
              <w:rPr>
                <w:color w:val="auto"/>
              </w:rPr>
            </w:pPr>
          </w:p>
        </w:tc>
      </w:tr>
      <w:tr w14:paraId="0D5F9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290" w:type="pct"/>
            <w:vMerge w:val="restart"/>
            <w:tcBorders>
              <w:left w:val="single" w:color="auto" w:sz="4" w:space="0"/>
            </w:tcBorders>
            <w:vAlign w:val="center"/>
          </w:tcPr>
          <w:p w14:paraId="3C059701">
            <w:pPr>
              <w:pStyle w:val="276"/>
              <w:rPr>
                <w:color w:val="auto"/>
              </w:rPr>
            </w:pPr>
            <w:r>
              <w:rPr>
                <w:rFonts w:hint="eastAsia"/>
                <w:color w:val="auto"/>
              </w:rPr>
              <w:t>环境空气、环境风险</w:t>
            </w:r>
          </w:p>
        </w:tc>
        <w:tc>
          <w:tcPr>
            <w:tcW w:w="194" w:type="pct"/>
            <w:vAlign w:val="center"/>
          </w:tcPr>
          <w:p w14:paraId="4D571191">
            <w:pPr>
              <w:spacing w:line="240" w:lineRule="auto"/>
              <w:ind w:firstLine="0" w:firstLineChars="0"/>
              <w:jc w:val="center"/>
              <w:rPr>
                <w:color w:val="auto"/>
                <w:sz w:val="21"/>
                <w:szCs w:val="21"/>
              </w:rPr>
            </w:pPr>
            <w:r>
              <w:rPr>
                <w:rFonts w:hint="eastAsia"/>
                <w:color w:val="auto"/>
                <w:sz w:val="21"/>
                <w:szCs w:val="21"/>
              </w:rPr>
              <w:t>1</w:t>
            </w:r>
          </w:p>
        </w:tc>
        <w:tc>
          <w:tcPr>
            <w:tcW w:w="733" w:type="pct"/>
            <w:vAlign w:val="center"/>
          </w:tcPr>
          <w:p w14:paraId="481EB864">
            <w:pPr>
              <w:pStyle w:val="276"/>
              <w:rPr>
                <w:color w:val="auto"/>
              </w:rPr>
            </w:pPr>
            <w:r>
              <w:rPr>
                <w:rFonts w:hint="eastAsia"/>
                <w:color w:val="auto"/>
                <w:lang w:eastAsia="zh-CN"/>
              </w:rPr>
              <w:t>将军社区（临近居民</w:t>
            </w:r>
            <w:r>
              <w:rPr>
                <w:rFonts w:hint="eastAsia"/>
                <w:color w:val="auto"/>
                <w:lang w:val="en-US" w:eastAsia="zh-CN"/>
              </w:rPr>
              <w:t>1</w:t>
            </w:r>
            <w:r>
              <w:rPr>
                <w:rFonts w:hint="eastAsia"/>
                <w:color w:val="auto"/>
                <w:lang w:eastAsia="zh-CN"/>
              </w:rPr>
              <w:t>）</w:t>
            </w:r>
          </w:p>
        </w:tc>
        <w:tc>
          <w:tcPr>
            <w:tcW w:w="482" w:type="pct"/>
            <w:vAlign w:val="center"/>
          </w:tcPr>
          <w:p w14:paraId="39C975B9">
            <w:pPr>
              <w:pStyle w:val="276"/>
              <w:rPr>
                <w:color w:val="auto"/>
              </w:rPr>
            </w:pPr>
            <w:r>
              <w:rPr>
                <w:rFonts w:hint="eastAsia"/>
                <w:color w:val="auto"/>
              </w:rPr>
              <w:t>E</w:t>
            </w:r>
          </w:p>
        </w:tc>
        <w:tc>
          <w:tcPr>
            <w:tcW w:w="779" w:type="pct"/>
            <w:vAlign w:val="center"/>
          </w:tcPr>
          <w:p w14:paraId="18383569">
            <w:pPr>
              <w:pStyle w:val="276"/>
              <w:ind w:firstLine="0" w:firstLineChars="0"/>
              <w:rPr>
                <w:rFonts w:hint="eastAsia"/>
                <w:color w:val="auto"/>
              </w:rPr>
            </w:pPr>
            <w:r>
              <w:rPr>
                <w:rFonts w:hint="default"/>
                <w:color w:val="auto"/>
                <w:lang w:val="en-US" w:eastAsia="zh-CN"/>
              </w:rPr>
              <w:t xml:space="preserve">108.012795 </w:t>
            </w:r>
          </w:p>
        </w:tc>
        <w:tc>
          <w:tcPr>
            <w:tcW w:w="707" w:type="pct"/>
            <w:vAlign w:val="center"/>
          </w:tcPr>
          <w:p w14:paraId="7E27CD54">
            <w:pPr>
              <w:pStyle w:val="276"/>
              <w:ind w:firstLine="0" w:firstLineChars="0"/>
              <w:rPr>
                <w:rFonts w:hint="eastAsia"/>
                <w:color w:val="auto"/>
              </w:rPr>
            </w:pPr>
            <w:r>
              <w:rPr>
                <w:rFonts w:hint="eastAsia"/>
                <w:color w:val="auto"/>
                <w:lang w:val="en-US" w:eastAsia="zh-CN"/>
              </w:rPr>
              <w:t xml:space="preserve">30.215871 </w:t>
            </w:r>
          </w:p>
        </w:tc>
        <w:tc>
          <w:tcPr>
            <w:tcW w:w="806" w:type="pct"/>
            <w:vAlign w:val="center"/>
          </w:tcPr>
          <w:p w14:paraId="0110D0CD">
            <w:pPr>
              <w:pStyle w:val="276"/>
              <w:rPr>
                <w:rFonts w:hint="default" w:eastAsia="宋体"/>
                <w:color w:val="auto"/>
                <w:lang w:val="en-US" w:eastAsia="zh-CN"/>
              </w:rPr>
            </w:pPr>
            <w:r>
              <w:rPr>
                <w:rFonts w:hint="eastAsia"/>
                <w:color w:val="auto"/>
                <w:lang w:eastAsia="zh-CN"/>
              </w:rPr>
              <w:t>约</w:t>
            </w:r>
            <w:r>
              <w:rPr>
                <w:rFonts w:hint="eastAsia"/>
                <w:color w:val="auto"/>
                <w:lang w:val="en-US" w:eastAsia="zh-CN"/>
              </w:rPr>
              <w:t>20户，80人</w:t>
            </w:r>
          </w:p>
        </w:tc>
        <w:tc>
          <w:tcPr>
            <w:tcW w:w="400" w:type="pct"/>
            <w:vAlign w:val="center"/>
          </w:tcPr>
          <w:p w14:paraId="3D97A4F7">
            <w:pPr>
              <w:pStyle w:val="276"/>
              <w:rPr>
                <w:rFonts w:hint="default" w:eastAsia="宋体"/>
                <w:color w:val="auto"/>
                <w:lang w:val="en-US" w:eastAsia="zh-CN"/>
              </w:rPr>
            </w:pPr>
            <w:r>
              <w:rPr>
                <w:rFonts w:hint="eastAsia"/>
                <w:color w:val="auto"/>
                <w:lang w:val="en-US" w:eastAsia="zh-CN"/>
              </w:rPr>
              <w:t>170~200</w:t>
            </w:r>
          </w:p>
        </w:tc>
        <w:tc>
          <w:tcPr>
            <w:tcW w:w="603" w:type="pct"/>
            <w:vMerge w:val="restart"/>
            <w:tcBorders>
              <w:right w:val="single" w:color="auto" w:sz="4" w:space="0"/>
            </w:tcBorders>
            <w:vAlign w:val="center"/>
          </w:tcPr>
          <w:p w14:paraId="776A917C">
            <w:pPr>
              <w:pStyle w:val="276"/>
              <w:rPr>
                <w:color w:val="auto"/>
              </w:rPr>
            </w:pPr>
            <w:r>
              <w:rPr>
                <w:rFonts w:hint="eastAsia"/>
                <w:color w:val="auto"/>
              </w:rPr>
              <w:t>GB3095-2012</w:t>
            </w:r>
          </w:p>
          <w:p w14:paraId="0958052E">
            <w:pPr>
              <w:pStyle w:val="276"/>
              <w:rPr>
                <w:color w:val="auto"/>
              </w:rPr>
            </w:pPr>
            <w:r>
              <w:rPr>
                <w:rFonts w:hint="eastAsia"/>
                <w:color w:val="auto"/>
              </w:rPr>
              <w:t>二级标准</w:t>
            </w:r>
          </w:p>
        </w:tc>
      </w:tr>
      <w:tr w14:paraId="56BC7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290" w:type="pct"/>
            <w:vMerge w:val="continue"/>
            <w:tcBorders>
              <w:left w:val="single" w:color="auto" w:sz="4" w:space="0"/>
            </w:tcBorders>
            <w:vAlign w:val="center"/>
          </w:tcPr>
          <w:p w14:paraId="45899B7C">
            <w:pPr>
              <w:pStyle w:val="276"/>
              <w:rPr>
                <w:color w:val="auto"/>
              </w:rPr>
            </w:pPr>
          </w:p>
        </w:tc>
        <w:tc>
          <w:tcPr>
            <w:tcW w:w="194" w:type="pct"/>
            <w:vAlign w:val="center"/>
          </w:tcPr>
          <w:p w14:paraId="488B8655">
            <w:pPr>
              <w:spacing w:line="240" w:lineRule="auto"/>
              <w:ind w:firstLine="0" w:firstLineChars="0"/>
              <w:jc w:val="center"/>
              <w:rPr>
                <w:color w:val="auto"/>
                <w:sz w:val="21"/>
                <w:szCs w:val="21"/>
              </w:rPr>
            </w:pPr>
            <w:r>
              <w:rPr>
                <w:rFonts w:hint="eastAsia"/>
                <w:color w:val="auto"/>
                <w:sz w:val="21"/>
                <w:szCs w:val="21"/>
              </w:rPr>
              <w:t>2</w:t>
            </w:r>
          </w:p>
        </w:tc>
        <w:tc>
          <w:tcPr>
            <w:tcW w:w="733" w:type="pct"/>
            <w:shd w:val="clear" w:color="auto" w:fill="auto"/>
            <w:vAlign w:val="center"/>
          </w:tcPr>
          <w:p w14:paraId="168B6619">
            <w:pPr>
              <w:pStyle w:val="276"/>
              <w:ind w:firstLine="0" w:firstLineChars="0"/>
              <w:rPr>
                <w:rFonts w:ascii="Times New Roman" w:hAnsi="Times New Roman" w:eastAsia="宋体" w:cs="Times New Roman"/>
                <w:color w:val="auto"/>
                <w:kern w:val="2"/>
                <w:sz w:val="21"/>
                <w:szCs w:val="21"/>
                <w:lang w:val="zh-CN" w:eastAsia="zh-CN" w:bidi="ar-SA"/>
              </w:rPr>
            </w:pPr>
            <w:r>
              <w:rPr>
                <w:rFonts w:hint="eastAsia"/>
                <w:color w:val="auto"/>
                <w:lang w:eastAsia="zh-CN"/>
              </w:rPr>
              <w:t>将军社区（临近居民</w:t>
            </w:r>
            <w:r>
              <w:rPr>
                <w:rFonts w:hint="eastAsia"/>
                <w:color w:val="auto"/>
                <w:lang w:val="en-US" w:eastAsia="zh-CN"/>
              </w:rPr>
              <w:t>2</w:t>
            </w:r>
            <w:r>
              <w:rPr>
                <w:rFonts w:hint="eastAsia"/>
                <w:color w:val="auto"/>
                <w:lang w:eastAsia="zh-CN"/>
              </w:rPr>
              <w:t>）</w:t>
            </w:r>
          </w:p>
        </w:tc>
        <w:tc>
          <w:tcPr>
            <w:tcW w:w="482" w:type="pct"/>
            <w:shd w:val="clear" w:color="auto" w:fill="auto"/>
            <w:vAlign w:val="center"/>
          </w:tcPr>
          <w:p w14:paraId="4638B145">
            <w:pPr>
              <w:pStyle w:val="276"/>
              <w:ind w:firstLine="0" w:firstLineChars="0"/>
              <w:rPr>
                <w:rFonts w:hint="eastAsia" w:ascii="Times New Roman" w:hAnsi="Times New Roman" w:eastAsia="宋体" w:cs="Times New Roman"/>
                <w:color w:val="auto"/>
                <w:kern w:val="2"/>
                <w:sz w:val="21"/>
                <w:szCs w:val="21"/>
                <w:lang w:val="zh-CN" w:eastAsia="zh-CN" w:bidi="ar-SA"/>
              </w:rPr>
            </w:pPr>
            <w:r>
              <w:rPr>
                <w:rFonts w:hint="eastAsia"/>
                <w:color w:val="auto"/>
              </w:rPr>
              <w:t>E</w:t>
            </w:r>
          </w:p>
        </w:tc>
        <w:tc>
          <w:tcPr>
            <w:tcW w:w="779" w:type="pct"/>
            <w:vAlign w:val="center"/>
          </w:tcPr>
          <w:p w14:paraId="626E9E5E">
            <w:pPr>
              <w:pStyle w:val="276"/>
              <w:ind w:firstLine="0" w:firstLineChars="0"/>
              <w:rPr>
                <w:rFonts w:hint="eastAsia"/>
                <w:color w:val="auto"/>
              </w:rPr>
            </w:pPr>
            <w:r>
              <w:rPr>
                <w:rFonts w:hint="default"/>
                <w:color w:val="auto"/>
                <w:lang w:val="en-US" w:eastAsia="zh-CN"/>
              </w:rPr>
              <w:t xml:space="preserve">108.012290 </w:t>
            </w:r>
          </w:p>
        </w:tc>
        <w:tc>
          <w:tcPr>
            <w:tcW w:w="707" w:type="pct"/>
            <w:vAlign w:val="center"/>
          </w:tcPr>
          <w:p w14:paraId="472B4131">
            <w:pPr>
              <w:pStyle w:val="276"/>
              <w:ind w:firstLine="0" w:firstLineChars="0"/>
              <w:rPr>
                <w:rFonts w:hint="eastAsia"/>
                <w:color w:val="auto"/>
              </w:rPr>
            </w:pPr>
            <w:r>
              <w:rPr>
                <w:rFonts w:hint="eastAsia"/>
                <w:color w:val="auto"/>
                <w:lang w:val="en-US" w:eastAsia="zh-CN"/>
              </w:rPr>
              <w:t xml:space="preserve">30.214058 </w:t>
            </w:r>
          </w:p>
        </w:tc>
        <w:tc>
          <w:tcPr>
            <w:tcW w:w="806" w:type="pct"/>
            <w:vAlign w:val="center"/>
          </w:tcPr>
          <w:p w14:paraId="6008A781">
            <w:pPr>
              <w:pStyle w:val="276"/>
              <w:rPr>
                <w:color w:val="auto"/>
              </w:rPr>
            </w:pPr>
            <w:r>
              <w:rPr>
                <w:rFonts w:hint="eastAsia"/>
                <w:color w:val="auto"/>
                <w:lang w:eastAsia="zh-CN"/>
              </w:rPr>
              <w:t>约</w:t>
            </w:r>
            <w:r>
              <w:rPr>
                <w:rFonts w:hint="eastAsia"/>
                <w:color w:val="auto"/>
                <w:lang w:val="en-US" w:eastAsia="zh-CN"/>
              </w:rPr>
              <w:t>50户，200人</w:t>
            </w:r>
          </w:p>
        </w:tc>
        <w:tc>
          <w:tcPr>
            <w:tcW w:w="400" w:type="pct"/>
            <w:vAlign w:val="center"/>
          </w:tcPr>
          <w:p w14:paraId="73F76260">
            <w:pPr>
              <w:pStyle w:val="276"/>
              <w:rPr>
                <w:rFonts w:hint="default" w:eastAsia="宋体"/>
                <w:color w:val="auto"/>
                <w:lang w:val="en-US" w:eastAsia="zh-CN"/>
              </w:rPr>
            </w:pPr>
            <w:r>
              <w:rPr>
                <w:rFonts w:hint="eastAsia"/>
                <w:color w:val="auto"/>
                <w:lang w:val="en-US" w:eastAsia="zh-CN"/>
              </w:rPr>
              <w:t>200~400</w:t>
            </w:r>
          </w:p>
        </w:tc>
        <w:tc>
          <w:tcPr>
            <w:tcW w:w="603" w:type="pct"/>
            <w:vMerge w:val="continue"/>
            <w:tcBorders>
              <w:right w:val="single" w:color="auto" w:sz="4" w:space="0"/>
            </w:tcBorders>
            <w:vAlign w:val="center"/>
          </w:tcPr>
          <w:p w14:paraId="0338C8FB">
            <w:pPr>
              <w:pStyle w:val="276"/>
              <w:rPr>
                <w:color w:val="auto"/>
              </w:rPr>
            </w:pPr>
          </w:p>
        </w:tc>
      </w:tr>
      <w:tr w14:paraId="30CBD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290" w:type="pct"/>
            <w:vMerge w:val="continue"/>
            <w:tcBorders>
              <w:left w:val="single" w:color="auto" w:sz="4" w:space="0"/>
            </w:tcBorders>
            <w:vAlign w:val="center"/>
          </w:tcPr>
          <w:p w14:paraId="7439C66E">
            <w:pPr>
              <w:pStyle w:val="276"/>
              <w:rPr>
                <w:color w:val="auto"/>
              </w:rPr>
            </w:pPr>
          </w:p>
        </w:tc>
        <w:tc>
          <w:tcPr>
            <w:tcW w:w="194" w:type="pct"/>
            <w:vAlign w:val="center"/>
          </w:tcPr>
          <w:p w14:paraId="6F91B72C">
            <w:pPr>
              <w:spacing w:line="240" w:lineRule="auto"/>
              <w:ind w:firstLine="0" w:firstLineChars="0"/>
              <w:jc w:val="center"/>
              <w:rPr>
                <w:color w:val="auto"/>
                <w:sz w:val="21"/>
                <w:szCs w:val="21"/>
              </w:rPr>
            </w:pPr>
            <w:r>
              <w:rPr>
                <w:rFonts w:hint="eastAsia"/>
                <w:color w:val="auto"/>
                <w:sz w:val="21"/>
                <w:szCs w:val="21"/>
              </w:rPr>
              <w:t>3</w:t>
            </w:r>
          </w:p>
        </w:tc>
        <w:tc>
          <w:tcPr>
            <w:tcW w:w="733" w:type="pct"/>
            <w:shd w:val="clear" w:color="auto" w:fill="auto"/>
            <w:vAlign w:val="center"/>
          </w:tcPr>
          <w:p w14:paraId="622194B5">
            <w:pPr>
              <w:pStyle w:val="276"/>
              <w:ind w:firstLine="0" w:firstLineChars="0"/>
              <w:rPr>
                <w:rFonts w:ascii="Times New Roman" w:hAnsi="Times New Roman" w:eastAsia="宋体" w:cs="Times New Roman"/>
                <w:color w:val="auto"/>
                <w:kern w:val="2"/>
                <w:sz w:val="21"/>
                <w:szCs w:val="21"/>
                <w:lang w:val="zh-CN" w:eastAsia="zh-CN" w:bidi="ar-SA"/>
              </w:rPr>
            </w:pPr>
            <w:r>
              <w:rPr>
                <w:rFonts w:hint="eastAsia"/>
                <w:color w:val="auto"/>
                <w:lang w:eastAsia="zh-CN"/>
              </w:rPr>
              <w:t>将军社区（彭高）</w:t>
            </w:r>
          </w:p>
        </w:tc>
        <w:tc>
          <w:tcPr>
            <w:tcW w:w="482" w:type="pct"/>
            <w:shd w:val="clear" w:color="auto" w:fill="auto"/>
            <w:vAlign w:val="center"/>
          </w:tcPr>
          <w:p w14:paraId="6018769F">
            <w:pPr>
              <w:pStyle w:val="276"/>
              <w:ind w:firstLine="0" w:firstLineChars="0"/>
              <w:rPr>
                <w:rFonts w:hint="eastAsia" w:ascii="Times New Roman" w:hAnsi="Times New Roman" w:eastAsia="宋体" w:cs="Times New Roman"/>
                <w:color w:val="auto"/>
                <w:kern w:val="2"/>
                <w:sz w:val="21"/>
                <w:szCs w:val="21"/>
                <w:lang w:val="zh-CN" w:eastAsia="zh-CN" w:bidi="ar-SA"/>
              </w:rPr>
            </w:pPr>
            <w:r>
              <w:rPr>
                <w:rFonts w:hint="eastAsia"/>
                <w:color w:val="auto"/>
                <w:lang w:val="en-US" w:eastAsia="zh-CN"/>
              </w:rPr>
              <w:t>E</w:t>
            </w:r>
          </w:p>
        </w:tc>
        <w:tc>
          <w:tcPr>
            <w:tcW w:w="779" w:type="pct"/>
            <w:vAlign w:val="center"/>
          </w:tcPr>
          <w:p w14:paraId="0E57E6EB">
            <w:pPr>
              <w:pStyle w:val="276"/>
              <w:ind w:firstLine="0" w:firstLineChars="0"/>
              <w:rPr>
                <w:rFonts w:hint="eastAsia"/>
                <w:color w:val="auto"/>
              </w:rPr>
            </w:pPr>
            <w:r>
              <w:rPr>
                <w:rFonts w:hint="default"/>
                <w:color w:val="auto"/>
                <w:lang w:val="en-US" w:eastAsia="zh-CN"/>
              </w:rPr>
              <w:t xml:space="preserve">108.016582 </w:t>
            </w:r>
          </w:p>
        </w:tc>
        <w:tc>
          <w:tcPr>
            <w:tcW w:w="707" w:type="pct"/>
            <w:vAlign w:val="center"/>
          </w:tcPr>
          <w:p w14:paraId="33A74F58">
            <w:pPr>
              <w:pStyle w:val="276"/>
              <w:ind w:firstLine="0" w:firstLineChars="0"/>
              <w:rPr>
                <w:rFonts w:hint="eastAsia"/>
                <w:color w:val="auto"/>
              </w:rPr>
            </w:pPr>
            <w:r>
              <w:rPr>
                <w:rFonts w:hint="eastAsia"/>
                <w:color w:val="auto"/>
                <w:lang w:val="en-US" w:eastAsia="zh-CN"/>
              </w:rPr>
              <w:t xml:space="preserve">30.215496 </w:t>
            </w:r>
          </w:p>
        </w:tc>
        <w:tc>
          <w:tcPr>
            <w:tcW w:w="806" w:type="pct"/>
            <w:vAlign w:val="center"/>
          </w:tcPr>
          <w:p w14:paraId="5EB4FFDE">
            <w:pPr>
              <w:pStyle w:val="276"/>
              <w:rPr>
                <w:color w:val="auto"/>
              </w:rPr>
            </w:pPr>
            <w:r>
              <w:rPr>
                <w:rFonts w:hint="eastAsia"/>
                <w:color w:val="auto"/>
                <w:lang w:eastAsia="zh-CN"/>
              </w:rPr>
              <w:t>约</w:t>
            </w:r>
            <w:r>
              <w:rPr>
                <w:rFonts w:hint="eastAsia"/>
                <w:color w:val="auto"/>
                <w:lang w:val="en-US" w:eastAsia="zh-CN"/>
              </w:rPr>
              <w:t>50户，200人</w:t>
            </w:r>
          </w:p>
        </w:tc>
        <w:tc>
          <w:tcPr>
            <w:tcW w:w="400" w:type="pct"/>
            <w:vAlign w:val="center"/>
          </w:tcPr>
          <w:p w14:paraId="76772214">
            <w:pPr>
              <w:pStyle w:val="276"/>
              <w:rPr>
                <w:rFonts w:hint="default" w:eastAsia="宋体"/>
                <w:color w:val="auto"/>
                <w:lang w:val="en-US" w:eastAsia="zh-CN"/>
              </w:rPr>
            </w:pPr>
            <w:r>
              <w:rPr>
                <w:rFonts w:hint="eastAsia"/>
                <w:color w:val="auto"/>
                <w:lang w:val="en-US" w:eastAsia="zh-CN"/>
              </w:rPr>
              <w:t>400~750</w:t>
            </w:r>
          </w:p>
        </w:tc>
        <w:tc>
          <w:tcPr>
            <w:tcW w:w="603" w:type="pct"/>
            <w:vMerge w:val="continue"/>
            <w:tcBorders>
              <w:right w:val="single" w:color="auto" w:sz="4" w:space="0"/>
            </w:tcBorders>
            <w:vAlign w:val="center"/>
          </w:tcPr>
          <w:p w14:paraId="20C8B0B5">
            <w:pPr>
              <w:pStyle w:val="276"/>
              <w:rPr>
                <w:color w:val="auto"/>
              </w:rPr>
            </w:pPr>
          </w:p>
        </w:tc>
      </w:tr>
      <w:tr w14:paraId="1D9B6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290" w:type="pct"/>
            <w:vMerge w:val="continue"/>
            <w:tcBorders>
              <w:left w:val="single" w:color="auto" w:sz="4" w:space="0"/>
            </w:tcBorders>
            <w:vAlign w:val="center"/>
          </w:tcPr>
          <w:p w14:paraId="4601CB56">
            <w:pPr>
              <w:pStyle w:val="276"/>
              <w:rPr>
                <w:color w:val="auto"/>
              </w:rPr>
            </w:pPr>
          </w:p>
        </w:tc>
        <w:tc>
          <w:tcPr>
            <w:tcW w:w="194" w:type="pct"/>
            <w:vAlign w:val="center"/>
          </w:tcPr>
          <w:p w14:paraId="0A4095CE">
            <w:pPr>
              <w:spacing w:line="240" w:lineRule="auto"/>
              <w:ind w:firstLine="0" w:firstLineChars="0"/>
              <w:jc w:val="center"/>
              <w:rPr>
                <w:color w:val="auto"/>
                <w:sz w:val="21"/>
                <w:szCs w:val="21"/>
              </w:rPr>
            </w:pPr>
            <w:r>
              <w:rPr>
                <w:rFonts w:hint="eastAsia"/>
                <w:color w:val="auto"/>
                <w:sz w:val="21"/>
                <w:szCs w:val="21"/>
              </w:rPr>
              <w:t>4</w:t>
            </w:r>
          </w:p>
        </w:tc>
        <w:tc>
          <w:tcPr>
            <w:tcW w:w="733" w:type="pct"/>
            <w:vAlign w:val="center"/>
          </w:tcPr>
          <w:p w14:paraId="4B3AD0F0">
            <w:pPr>
              <w:pStyle w:val="276"/>
              <w:rPr>
                <w:rFonts w:hint="eastAsia" w:eastAsia="宋体"/>
                <w:color w:val="auto"/>
                <w:lang w:eastAsia="zh-CN"/>
              </w:rPr>
            </w:pPr>
            <w:r>
              <w:rPr>
                <w:rFonts w:hint="eastAsia"/>
                <w:color w:val="auto"/>
                <w:lang w:eastAsia="zh-CN"/>
              </w:rPr>
              <w:t>乌杨街道</w:t>
            </w:r>
          </w:p>
        </w:tc>
        <w:tc>
          <w:tcPr>
            <w:tcW w:w="482" w:type="pct"/>
            <w:vAlign w:val="center"/>
          </w:tcPr>
          <w:p w14:paraId="7A92F1E9">
            <w:pPr>
              <w:pStyle w:val="276"/>
              <w:rPr>
                <w:rFonts w:hint="eastAsia" w:eastAsia="宋体"/>
                <w:color w:val="auto"/>
                <w:lang w:eastAsia="zh-CN"/>
              </w:rPr>
            </w:pPr>
            <w:r>
              <w:rPr>
                <w:rFonts w:hint="eastAsia"/>
                <w:color w:val="auto"/>
                <w:lang w:val="en-US" w:eastAsia="zh-CN"/>
              </w:rPr>
              <w:t>S</w:t>
            </w:r>
          </w:p>
        </w:tc>
        <w:tc>
          <w:tcPr>
            <w:tcW w:w="779" w:type="pct"/>
            <w:vAlign w:val="center"/>
          </w:tcPr>
          <w:p w14:paraId="2CEB5DF7">
            <w:pPr>
              <w:pStyle w:val="276"/>
              <w:ind w:firstLine="0" w:firstLineChars="0"/>
              <w:rPr>
                <w:rFonts w:hint="eastAsia"/>
                <w:color w:val="auto"/>
              </w:rPr>
            </w:pPr>
            <w:r>
              <w:rPr>
                <w:rFonts w:hint="default"/>
                <w:color w:val="auto"/>
                <w:lang w:val="en-US" w:eastAsia="zh-CN"/>
              </w:rPr>
              <w:t xml:space="preserve">108.007645 </w:t>
            </w:r>
          </w:p>
        </w:tc>
        <w:tc>
          <w:tcPr>
            <w:tcW w:w="707" w:type="pct"/>
            <w:vAlign w:val="center"/>
          </w:tcPr>
          <w:p w14:paraId="33122C3F">
            <w:pPr>
              <w:pStyle w:val="276"/>
              <w:ind w:firstLine="0" w:firstLineChars="0"/>
              <w:rPr>
                <w:rFonts w:hint="eastAsia"/>
                <w:color w:val="auto"/>
              </w:rPr>
            </w:pPr>
            <w:r>
              <w:rPr>
                <w:rFonts w:hint="eastAsia"/>
                <w:color w:val="auto"/>
                <w:lang w:val="en-US" w:eastAsia="zh-CN"/>
              </w:rPr>
              <w:t xml:space="preserve">30.205325 </w:t>
            </w:r>
          </w:p>
        </w:tc>
        <w:tc>
          <w:tcPr>
            <w:tcW w:w="806" w:type="pct"/>
            <w:vAlign w:val="center"/>
          </w:tcPr>
          <w:p w14:paraId="65DDEDA6">
            <w:pPr>
              <w:pStyle w:val="276"/>
              <w:rPr>
                <w:color w:val="auto"/>
              </w:rPr>
            </w:pPr>
            <w:r>
              <w:rPr>
                <w:rFonts w:hint="eastAsia"/>
                <w:color w:val="auto"/>
              </w:rPr>
              <w:t>集中居住区约</w:t>
            </w:r>
            <w:r>
              <w:rPr>
                <w:rFonts w:hint="eastAsia"/>
                <w:color w:val="auto"/>
                <w:lang w:val="en-US" w:eastAsia="zh-CN"/>
              </w:rPr>
              <w:t>65</w:t>
            </w:r>
            <w:r>
              <w:rPr>
                <w:rFonts w:hint="eastAsia"/>
                <w:color w:val="auto"/>
              </w:rPr>
              <w:t>00人</w:t>
            </w:r>
          </w:p>
        </w:tc>
        <w:tc>
          <w:tcPr>
            <w:tcW w:w="400" w:type="pct"/>
            <w:vAlign w:val="center"/>
          </w:tcPr>
          <w:p w14:paraId="2464DB63">
            <w:pPr>
              <w:pStyle w:val="276"/>
              <w:rPr>
                <w:rFonts w:hint="default" w:eastAsia="宋体"/>
                <w:color w:val="auto"/>
                <w:lang w:val="en-US" w:eastAsia="zh-CN"/>
              </w:rPr>
            </w:pPr>
            <w:r>
              <w:rPr>
                <w:rFonts w:hint="eastAsia"/>
                <w:color w:val="auto"/>
                <w:lang w:val="en-US" w:eastAsia="zh-CN"/>
              </w:rPr>
              <w:t>400~2000</w:t>
            </w:r>
          </w:p>
        </w:tc>
        <w:tc>
          <w:tcPr>
            <w:tcW w:w="603" w:type="pct"/>
            <w:vMerge w:val="continue"/>
            <w:tcBorders>
              <w:right w:val="single" w:color="auto" w:sz="4" w:space="0"/>
            </w:tcBorders>
            <w:vAlign w:val="center"/>
          </w:tcPr>
          <w:p w14:paraId="63649C9B">
            <w:pPr>
              <w:pStyle w:val="276"/>
              <w:rPr>
                <w:color w:val="auto"/>
              </w:rPr>
            </w:pPr>
          </w:p>
        </w:tc>
      </w:tr>
      <w:tr w14:paraId="592CE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290" w:type="pct"/>
            <w:vMerge w:val="continue"/>
            <w:tcBorders>
              <w:left w:val="single" w:color="auto" w:sz="4" w:space="0"/>
            </w:tcBorders>
            <w:vAlign w:val="center"/>
          </w:tcPr>
          <w:p w14:paraId="2D0D531E">
            <w:pPr>
              <w:pStyle w:val="276"/>
              <w:rPr>
                <w:color w:val="auto"/>
              </w:rPr>
            </w:pPr>
          </w:p>
        </w:tc>
        <w:tc>
          <w:tcPr>
            <w:tcW w:w="194" w:type="pct"/>
            <w:vAlign w:val="center"/>
          </w:tcPr>
          <w:p w14:paraId="121EC5BA">
            <w:pPr>
              <w:spacing w:line="240" w:lineRule="auto"/>
              <w:ind w:firstLine="0" w:firstLineChars="0"/>
              <w:jc w:val="center"/>
              <w:rPr>
                <w:color w:val="auto"/>
                <w:sz w:val="21"/>
                <w:szCs w:val="21"/>
              </w:rPr>
            </w:pPr>
            <w:r>
              <w:rPr>
                <w:rFonts w:hint="eastAsia"/>
                <w:color w:val="auto"/>
                <w:sz w:val="21"/>
                <w:szCs w:val="21"/>
              </w:rPr>
              <w:t>5</w:t>
            </w:r>
          </w:p>
        </w:tc>
        <w:tc>
          <w:tcPr>
            <w:tcW w:w="733" w:type="pct"/>
            <w:vAlign w:val="center"/>
          </w:tcPr>
          <w:p w14:paraId="718A7B75">
            <w:pPr>
              <w:pStyle w:val="276"/>
              <w:rPr>
                <w:rFonts w:hint="eastAsia" w:eastAsia="宋体"/>
                <w:color w:val="auto"/>
                <w:lang w:eastAsia="zh-CN"/>
              </w:rPr>
            </w:pPr>
            <w:r>
              <w:rPr>
                <w:rFonts w:hint="eastAsia"/>
                <w:color w:val="auto"/>
                <w:lang w:eastAsia="zh-CN"/>
              </w:rPr>
              <w:t>文峰社区</w:t>
            </w:r>
          </w:p>
        </w:tc>
        <w:tc>
          <w:tcPr>
            <w:tcW w:w="482" w:type="pct"/>
            <w:vAlign w:val="center"/>
          </w:tcPr>
          <w:p w14:paraId="58CA94A2">
            <w:pPr>
              <w:pStyle w:val="276"/>
              <w:rPr>
                <w:rFonts w:hint="eastAsia" w:eastAsia="宋体"/>
                <w:color w:val="auto"/>
                <w:lang w:eastAsia="zh-CN"/>
              </w:rPr>
            </w:pPr>
            <w:r>
              <w:rPr>
                <w:rFonts w:hint="eastAsia"/>
                <w:color w:val="auto"/>
                <w:lang w:val="en-US" w:eastAsia="zh-CN"/>
              </w:rPr>
              <w:t>SEE</w:t>
            </w:r>
          </w:p>
        </w:tc>
        <w:tc>
          <w:tcPr>
            <w:tcW w:w="779" w:type="pct"/>
            <w:vAlign w:val="center"/>
          </w:tcPr>
          <w:p w14:paraId="102C326A">
            <w:pPr>
              <w:pStyle w:val="276"/>
              <w:ind w:firstLine="0" w:firstLineChars="0"/>
              <w:rPr>
                <w:rFonts w:hint="eastAsia"/>
                <w:color w:val="auto"/>
              </w:rPr>
            </w:pPr>
            <w:r>
              <w:rPr>
                <w:rFonts w:hint="default"/>
                <w:color w:val="auto"/>
                <w:lang w:val="en-US" w:eastAsia="zh-CN"/>
              </w:rPr>
              <w:t xml:space="preserve">108.021657 </w:t>
            </w:r>
          </w:p>
        </w:tc>
        <w:tc>
          <w:tcPr>
            <w:tcW w:w="707" w:type="pct"/>
            <w:vAlign w:val="center"/>
          </w:tcPr>
          <w:p w14:paraId="2CA1304F">
            <w:pPr>
              <w:pStyle w:val="276"/>
              <w:ind w:firstLine="0" w:firstLineChars="0"/>
              <w:rPr>
                <w:rFonts w:hint="eastAsia"/>
                <w:color w:val="auto"/>
              </w:rPr>
            </w:pPr>
            <w:r>
              <w:rPr>
                <w:rFonts w:hint="eastAsia"/>
                <w:color w:val="auto"/>
                <w:lang w:val="en-US" w:eastAsia="zh-CN"/>
              </w:rPr>
              <w:t xml:space="preserve">30.207814 </w:t>
            </w:r>
          </w:p>
        </w:tc>
        <w:tc>
          <w:tcPr>
            <w:tcW w:w="806" w:type="pct"/>
            <w:vAlign w:val="center"/>
          </w:tcPr>
          <w:p w14:paraId="77842A4F">
            <w:pPr>
              <w:pStyle w:val="276"/>
              <w:rPr>
                <w:color w:val="auto"/>
              </w:rPr>
            </w:pPr>
            <w:r>
              <w:rPr>
                <w:rFonts w:hint="eastAsia"/>
                <w:color w:val="auto"/>
              </w:rPr>
              <w:t>集中居住区约</w:t>
            </w:r>
            <w:r>
              <w:rPr>
                <w:rFonts w:hint="eastAsia"/>
                <w:color w:val="auto"/>
                <w:lang w:val="en-US" w:eastAsia="zh-CN"/>
              </w:rPr>
              <w:t>40</w:t>
            </w:r>
            <w:r>
              <w:rPr>
                <w:rFonts w:hint="eastAsia"/>
                <w:color w:val="auto"/>
              </w:rPr>
              <w:t>00人</w:t>
            </w:r>
          </w:p>
        </w:tc>
        <w:tc>
          <w:tcPr>
            <w:tcW w:w="400" w:type="pct"/>
            <w:vAlign w:val="center"/>
          </w:tcPr>
          <w:p w14:paraId="6D70FA96">
            <w:pPr>
              <w:pStyle w:val="276"/>
              <w:rPr>
                <w:rFonts w:hint="default" w:eastAsia="宋体"/>
                <w:color w:val="auto"/>
                <w:lang w:val="en-US" w:eastAsia="zh-CN"/>
              </w:rPr>
            </w:pPr>
            <w:r>
              <w:rPr>
                <w:rFonts w:hint="eastAsia"/>
                <w:color w:val="auto"/>
                <w:lang w:val="en-US" w:eastAsia="zh-CN"/>
              </w:rPr>
              <w:t>900~1400</w:t>
            </w:r>
          </w:p>
        </w:tc>
        <w:tc>
          <w:tcPr>
            <w:tcW w:w="603" w:type="pct"/>
            <w:vMerge w:val="continue"/>
            <w:tcBorders>
              <w:right w:val="single" w:color="auto" w:sz="4" w:space="0"/>
            </w:tcBorders>
            <w:vAlign w:val="center"/>
          </w:tcPr>
          <w:p w14:paraId="3152F966">
            <w:pPr>
              <w:pStyle w:val="276"/>
              <w:rPr>
                <w:color w:val="auto"/>
              </w:rPr>
            </w:pPr>
          </w:p>
        </w:tc>
      </w:tr>
      <w:tr w14:paraId="2AD9E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290" w:type="pct"/>
            <w:vMerge w:val="continue"/>
            <w:tcBorders>
              <w:left w:val="single" w:color="auto" w:sz="4" w:space="0"/>
            </w:tcBorders>
            <w:vAlign w:val="center"/>
          </w:tcPr>
          <w:p w14:paraId="30599142">
            <w:pPr>
              <w:pStyle w:val="276"/>
              <w:rPr>
                <w:color w:val="auto"/>
              </w:rPr>
            </w:pPr>
          </w:p>
        </w:tc>
        <w:tc>
          <w:tcPr>
            <w:tcW w:w="194" w:type="pct"/>
            <w:vAlign w:val="center"/>
          </w:tcPr>
          <w:p w14:paraId="653B83E5">
            <w:pPr>
              <w:spacing w:line="240" w:lineRule="auto"/>
              <w:ind w:firstLine="0" w:firstLineChars="0"/>
              <w:jc w:val="center"/>
              <w:rPr>
                <w:color w:val="auto"/>
                <w:sz w:val="21"/>
                <w:szCs w:val="21"/>
              </w:rPr>
            </w:pPr>
            <w:r>
              <w:rPr>
                <w:rFonts w:hint="eastAsia"/>
                <w:color w:val="auto"/>
                <w:sz w:val="21"/>
                <w:szCs w:val="21"/>
              </w:rPr>
              <w:t>6</w:t>
            </w:r>
          </w:p>
        </w:tc>
        <w:tc>
          <w:tcPr>
            <w:tcW w:w="733" w:type="pct"/>
            <w:vAlign w:val="center"/>
          </w:tcPr>
          <w:p w14:paraId="4925B53B">
            <w:pPr>
              <w:pStyle w:val="276"/>
              <w:rPr>
                <w:rFonts w:hint="eastAsia" w:eastAsia="宋体"/>
                <w:color w:val="auto"/>
                <w:lang w:eastAsia="zh-CN"/>
              </w:rPr>
            </w:pPr>
            <w:r>
              <w:rPr>
                <w:rFonts w:hint="eastAsia"/>
                <w:color w:val="auto"/>
                <w:lang w:eastAsia="zh-CN"/>
              </w:rPr>
              <w:t>黄谷社区</w:t>
            </w:r>
          </w:p>
        </w:tc>
        <w:tc>
          <w:tcPr>
            <w:tcW w:w="482" w:type="pct"/>
            <w:vAlign w:val="center"/>
          </w:tcPr>
          <w:p w14:paraId="43756D0E">
            <w:pPr>
              <w:pStyle w:val="276"/>
              <w:rPr>
                <w:rFonts w:hint="default" w:eastAsia="宋体"/>
                <w:color w:val="auto"/>
                <w:lang w:val="en-US" w:eastAsia="zh-CN"/>
              </w:rPr>
            </w:pPr>
            <w:r>
              <w:rPr>
                <w:rFonts w:hint="eastAsia"/>
                <w:color w:val="auto"/>
                <w:lang w:val="en-US" w:eastAsia="zh-CN"/>
              </w:rPr>
              <w:t>NE</w:t>
            </w:r>
          </w:p>
        </w:tc>
        <w:tc>
          <w:tcPr>
            <w:tcW w:w="779" w:type="pct"/>
            <w:vAlign w:val="center"/>
          </w:tcPr>
          <w:p w14:paraId="27F7A684">
            <w:pPr>
              <w:pStyle w:val="276"/>
              <w:ind w:firstLine="0" w:firstLineChars="0"/>
              <w:rPr>
                <w:rFonts w:hint="eastAsia"/>
                <w:color w:val="auto"/>
              </w:rPr>
            </w:pPr>
            <w:r>
              <w:rPr>
                <w:rFonts w:hint="default"/>
                <w:color w:val="auto"/>
                <w:lang w:val="en-US" w:eastAsia="zh-CN"/>
              </w:rPr>
              <w:t xml:space="preserve">108.031248 </w:t>
            </w:r>
          </w:p>
        </w:tc>
        <w:tc>
          <w:tcPr>
            <w:tcW w:w="707" w:type="pct"/>
            <w:vAlign w:val="center"/>
          </w:tcPr>
          <w:p w14:paraId="14517221">
            <w:pPr>
              <w:pStyle w:val="276"/>
              <w:ind w:firstLine="0" w:firstLineChars="0"/>
              <w:rPr>
                <w:rFonts w:hint="eastAsia"/>
                <w:color w:val="auto"/>
              </w:rPr>
            </w:pPr>
            <w:r>
              <w:rPr>
                <w:rFonts w:hint="eastAsia"/>
                <w:color w:val="auto"/>
                <w:lang w:val="en-US" w:eastAsia="zh-CN"/>
              </w:rPr>
              <w:t xml:space="preserve">30.225023 </w:t>
            </w:r>
          </w:p>
        </w:tc>
        <w:tc>
          <w:tcPr>
            <w:tcW w:w="806" w:type="pct"/>
            <w:vAlign w:val="center"/>
          </w:tcPr>
          <w:p w14:paraId="1666FA8C">
            <w:pPr>
              <w:pStyle w:val="276"/>
              <w:rPr>
                <w:color w:val="auto"/>
              </w:rPr>
            </w:pPr>
            <w:r>
              <w:rPr>
                <w:rFonts w:hint="eastAsia"/>
                <w:color w:val="auto"/>
                <w:lang w:eastAsia="zh-CN"/>
              </w:rPr>
              <w:t>零散居民</w:t>
            </w:r>
            <w:r>
              <w:rPr>
                <w:rFonts w:hint="eastAsia"/>
                <w:color w:val="auto"/>
              </w:rPr>
              <w:t>约</w:t>
            </w:r>
            <w:r>
              <w:rPr>
                <w:rFonts w:hint="eastAsia"/>
                <w:color w:val="auto"/>
                <w:lang w:val="en-US" w:eastAsia="zh-CN"/>
              </w:rPr>
              <w:t>10</w:t>
            </w:r>
            <w:r>
              <w:rPr>
                <w:rFonts w:hint="eastAsia"/>
                <w:color w:val="auto"/>
              </w:rPr>
              <w:t>00人</w:t>
            </w:r>
          </w:p>
        </w:tc>
        <w:tc>
          <w:tcPr>
            <w:tcW w:w="400" w:type="pct"/>
            <w:vAlign w:val="center"/>
          </w:tcPr>
          <w:p w14:paraId="0BF9EB1C">
            <w:pPr>
              <w:pStyle w:val="276"/>
              <w:rPr>
                <w:rFonts w:hint="default" w:eastAsia="宋体"/>
                <w:color w:val="auto"/>
                <w:lang w:val="en-US" w:eastAsia="zh-CN"/>
              </w:rPr>
            </w:pPr>
            <w:r>
              <w:rPr>
                <w:rFonts w:hint="eastAsia"/>
                <w:color w:val="auto"/>
                <w:lang w:val="en-US" w:eastAsia="zh-CN"/>
              </w:rPr>
              <w:t>1200~2500</w:t>
            </w:r>
          </w:p>
        </w:tc>
        <w:tc>
          <w:tcPr>
            <w:tcW w:w="603" w:type="pct"/>
            <w:vMerge w:val="continue"/>
            <w:tcBorders>
              <w:right w:val="single" w:color="auto" w:sz="4" w:space="0"/>
            </w:tcBorders>
            <w:vAlign w:val="center"/>
          </w:tcPr>
          <w:p w14:paraId="66BDE140">
            <w:pPr>
              <w:pStyle w:val="276"/>
              <w:rPr>
                <w:color w:val="auto"/>
              </w:rPr>
            </w:pPr>
          </w:p>
        </w:tc>
      </w:tr>
      <w:tr w14:paraId="450B6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290" w:type="pct"/>
            <w:vMerge w:val="continue"/>
            <w:tcBorders>
              <w:left w:val="single" w:color="auto" w:sz="4" w:space="0"/>
            </w:tcBorders>
            <w:vAlign w:val="center"/>
          </w:tcPr>
          <w:p w14:paraId="752DB155">
            <w:pPr>
              <w:pStyle w:val="276"/>
              <w:rPr>
                <w:color w:val="auto"/>
              </w:rPr>
            </w:pPr>
          </w:p>
        </w:tc>
        <w:tc>
          <w:tcPr>
            <w:tcW w:w="194" w:type="pct"/>
            <w:vAlign w:val="center"/>
          </w:tcPr>
          <w:p w14:paraId="0C76DC92">
            <w:pPr>
              <w:spacing w:line="240" w:lineRule="auto"/>
              <w:ind w:firstLine="0" w:firstLineChars="0"/>
              <w:jc w:val="center"/>
              <w:rPr>
                <w:color w:val="auto"/>
                <w:sz w:val="21"/>
                <w:szCs w:val="21"/>
              </w:rPr>
            </w:pPr>
            <w:r>
              <w:rPr>
                <w:rFonts w:hint="eastAsia"/>
                <w:color w:val="auto"/>
                <w:sz w:val="21"/>
                <w:szCs w:val="21"/>
              </w:rPr>
              <w:t>7</w:t>
            </w:r>
          </w:p>
        </w:tc>
        <w:tc>
          <w:tcPr>
            <w:tcW w:w="733" w:type="pct"/>
            <w:vAlign w:val="center"/>
          </w:tcPr>
          <w:p w14:paraId="66D5A555">
            <w:pPr>
              <w:pStyle w:val="276"/>
              <w:rPr>
                <w:rFonts w:hint="eastAsia" w:eastAsia="宋体"/>
                <w:color w:val="auto"/>
                <w:lang w:eastAsia="zh-CN"/>
              </w:rPr>
            </w:pPr>
            <w:r>
              <w:rPr>
                <w:rFonts w:hint="eastAsia"/>
                <w:color w:val="auto"/>
                <w:lang w:eastAsia="zh-CN"/>
              </w:rPr>
              <w:t>忠县第一中学校</w:t>
            </w:r>
          </w:p>
        </w:tc>
        <w:tc>
          <w:tcPr>
            <w:tcW w:w="482" w:type="pct"/>
            <w:vAlign w:val="center"/>
          </w:tcPr>
          <w:p w14:paraId="36E1B4E3">
            <w:pPr>
              <w:pStyle w:val="276"/>
              <w:rPr>
                <w:rFonts w:hint="eastAsia" w:eastAsia="宋体"/>
                <w:color w:val="auto"/>
                <w:lang w:val="en-US" w:eastAsia="zh-CN"/>
              </w:rPr>
            </w:pPr>
            <w:r>
              <w:rPr>
                <w:rFonts w:hint="eastAsia"/>
                <w:color w:val="auto"/>
                <w:lang w:val="en-US" w:eastAsia="zh-CN"/>
              </w:rPr>
              <w:t>E</w:t>
            </w:r>
          </w:p>
        </w:tc>
        <w:tc>
          <w:tcPr>
            <w:tcW w:w="779" w:type="pct"/>
            <w:vAlign w:val="center"/>
          </w:tcPr>
          <w:p w14:paraId="0AD020BA">
            <w:pPr>
              <w:pStyle w:val="276"/>
              <w:ind w:firstLine="0" w:firstLineChars="0"/>
              <w:rPr>
                <w:rFonts w:hint="eastAsia"/>
                <w:color w:val="auto"/>
              </w:rPr>
            </w:pPr>
            <w:r>
              <w:rPr>
                <w:rFonts w:hint="default"/>
                <w:color w:val="auto"/>
                <w:lang w:val="en-US" w:eastAsia="zh-CN"/>
              </w:rPr>
              <w:t xml:space="preserve">108.026549 </w:t>
            </w:r>
          </w:p>
        </w:tc>
        <w:tc>
          <w:tcPr>
            <w:tcW w:w="707" w:type="pct"/>
            <w:vAlign w:val="center"/>
          </w:tcPr>
          <w:p w14:paraId="4FA53FB2">
            <w:pPr>
              <w:pStyle w:val="276"/>
              <w:ind w:firstLine="0" w:firstLineChars="0"/>
              <w:rPr>
                <w:rFonts w:hint="eastAsia"/>
                <w:color w:val="auto"/>
              </w:rPr>
            </w:pPr>
            <w:r>
              <w:rPr>
                <w:rFonts w:hint="eastAsia"/>
                <w:color w:val="auto"/>
                <w:lang w:val="en-US" w:eastAsia="zh-CN"/>
              </w:rPr>
              <w:t xml:space="preserve">30.212964 </w:t>
            </w:r>
          </w:p>
        </w:tc>
        <w:tc>
          <w:tcPr>
            <w:tcW w:w="806" w:type="pct"/>
            <w:vAlign w:val="center"/>
          </w:tcPr>
          <w:p w14:paraId="750A8BEA">
            <w:pPr>
              <w:pStyle w:val="276"/>
              <w:rPr>
                <w:color w:val="auto"/>
              </w:rPr>
            </w:pPr>
            <w:r>
              <w:rPr>
                <w:rFonts w:hint="eastAsia"/>
                <w:color w:val="auto"/>
              </w:rPr>
              <w:t>学校，师生约</w:t>
            </w:r>
            <w:r>
              <w:rPr>
                <w:rFonts w:hint="eastAsia"/>
                <w:color w:val="auto"/>
                <w:lang w:val="en-US" w:eastAsia="zh-CN"/>
              </w:rPr>
              <w:t>48</w:t>
            </w:r>
            <w:r>
              <w:rPr>
                <w:rFonts w:hint="eastAsia"/>
                <w:color w:val="auto"/>
              </w:rPr>
              <w:t>00人</w:t>
            </w:r>
          </w:p>
        </w:tc>
        <w:tc>
          <w:tcPr>
            <w:tcW w:w="400" w:type="pct"/>
            <w:vAlign w:val="center"/>
          </w:tcPr>
          <w:p w14:paraId="71012053">
            <w:pPr>
              <w:pStyle w:val="276"/>
              <w:rPr>
                <w:rFonts w:hint="default" w:eastAsia="宋体"/>
                <w:color w:val="auto"/>
                <w:lang w:val="en-US" w:eastAsia="zh-CN"/>
              </w:rPr>
            </w:pPr>
            <w:r>
              <w:rPr>
                <w:rFonts w:hint="eastAsia"/>
                <w:color w:val="auto"/>
                <w:lang w:val="en-US" w:eastAsia="zh-CN"/>
              </w:rPr>
              <w:t>1200</w:t>
            </w:r>
          </w:p>
        </w:tc>
        <w:tc>
          <w:tcPr>
            <w:tcW w:w="603" w:type="pct"/>
            <w:vMerge w:val="continue"/>
            <w:tcBorders>
              <w:right w:val="single" w:color="auto" w:sz="4" w:space="0"/>
            </w:tcBorders>
            <w:vAlign w:val="center"/>
          </w:tcPr>
          <w:p w14:paraId="0AF1F811">
            <w:pPr>
              <w:pStyle w:val="276"/>
              <w:rPr>
                <w:color w:val="auto"/>
              </w:rPr>
            </w:pPr>
          </w:p>
        </w:tc>
      </w:tr>
      <w:tr w14:paraId="7C8D8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290" w:type="pct"/>
            <w:vMerge w:val="continue"/>
            <w:tcBorders>
              <w:left w:val="single" w:color="auto" w:sz="4" w:space="0"/>
            </w:tcBorders>
            <w:vAlign w:val="center"/>
          </w:tcPr>
          <w:p w14:paraId="1E124B2E">
            <w:pPr>
              <w:pStyle w:val="276"/>
              <w:rPr>
                <w:color w:val="auto"/>
              </w:rPr>
            </w:pPr>
          </w:p>
        </w:tc>
        <w:tc>
          <w:tcPr>
            <w:tcW w:w="194" w:type="pct"/>
            <w:vAlign w:val="center"/>
          </w:tcPr>
          <w:p w14:paraId="6C9DD26C">
            <w:pPr>
              <w:spacing w:line="240" w:lineRule="auto"/>
              <w:ind w:firstLine="0" w:firstLineChars="0"/>
              <w:jc w:val="center"/>
              <w:rPr>
                <w:color w:val="auto"/>
                <w:sz w:val="21"/>
                <w:szCs w:val="21"/>
              </w:rPr>
            </w:pPr>
            <w:r>
              <w:rPr>
                <w:rFonts w:hint="eastAsia"/>
                <w:color w:val="auto"/>
                <w:sz w:val="21"/>
                <w:szCs w:val="21"/>
              </w:rPr>
              <w:t>8</w:t>
            </w:r>
          </w:p>
        </w:tc>
        <w:tc>
          <w:tcPr>
            <w:tcW w:w="733" w:type="pct"/>
            <w:shd w:val="clear" w:color="auto" w:fill="auto"/>
            <w:vAlign w:val="center"/>
          </w:tcPr>
          <w:p w14:paraId="6990F564">
            <w:pPr>
              <w:pStyle w:val="276"/>
              <w:ind w:firstLine="0" w:firstLineChars="0"/>
              <w:rPr>
                <w:rFonts w:hint="eastAsia" w:ascii="Times New Roman" w:hAnsi="Times New Roman" w:eastAsia="宋体" w:cs="Times New Roman"/>
                <w:color w:val="auto"/>
                <w:kern w:val="2"/>
                <w:sz w:val="21"/>
                <w:szCs w:val="21"/>
                <w:lang w:val="zh-CN" w:eastAsia="zh-CN" w:bidi="ar-SA"/>
              </w:rPr>
            </w:pPr>
            <w:r>
              <w:rPr>
                <w:rFonts w:hint="eastAsia"/>
                <w:color w:val="auto"/>
              </w:rPr>
              <w:t>麻柳村</w:t>
            </w:r>
          </w:p>
        </w:tc>
        <w:tc>
          <w:tcPr>
            <w:tcW w:w="482" w:type="pct"/>
            <w:shd w:val="clear" w:color="auto" w:fill="auto"/>
            <w:vAlign w:val="center"/>
          </w:tcPr>
          <w:p w14:paraId="3FF822C2">
            <w:pPr>
              <w:pStyle w:val="276"/>
              <w:ind w:firstLine="0" w:firstLineChars="0"/>
              <w:rPr>
                <w:rFonts w:hint="eastAsia" w:ascii="Times New Roman" w:hAnsi="Times New Roman" w:eastAsia="宋体" w:cs="Times New Roman"/>
                <w:color w:val="auto"/>
                <w:kern w:val="2"/>
                <w:sz w:val="21"/>
                <w:szCs w:val="21"/>
                <w:lang w:val="zh-CN" w:eastAsia="zh-CN" w:bidi="ar-SA"/>
              </w:rPr>
            </w:pPr>
            <w:r>
              <w:rPr>
                <w:rFonts w:hint="eastAsia"/>
                <w:color w:val="auto"/>
                <w:lang w:val="en-US" w:eastAsia="zh-CN"/>
              </w:rPr>
              <w:t>SE</w:t>
            </w:r>
          </w:p>
        </w:tc>
        <w:tc>
          <w:tcPr>
            <w:tcW w:w="779" w:type="pct"/>
            <w:shd w:val="clear" w:color="auto" w:fill="auto"/>
            <w:vAlign w:val="center"/>
          </w:tcPr>
          <w:p w14:paraId="25BA0860">
            <w:pPr>
              <w:pStyle w:val="276"/>
              <w:ind w:firstLine="0" w:firstLineChars="0"/>
              <w:rPr>
                <w:rFonts w:hint="eastAsia"/>
                <w:color w:val="auto"/>
                <w:lang w:val="zh-CN" w:eastAsia="zh-CN"/>
              </w:rPr>
            </w:pPr>
            <w:r>
              <w:rPr>
                <w:rFonts w:hint="default"/>
                <w:color w:val="auto"/>
                <w:lang w:val="en-US" w:eastAsia="zh-CN"/>
              </w:rPr>
              <w:t xml:space="preserve">108.016249 </w:t>
            </w:r>
          </w:p>
        </w:tc>
        <w:tc>
          <w:tcPr>
            <w:tcW w:w="707" w:type="pct"/>
            <w:shd w:val="clear" w:color="auto" w:fill="auto"/>
            <w:vAlign w:val="center"/>
          </w:tcPr>
          <w:p w14:paraId="361FACDC">
            <w:pPr>
              <w:pStyle w:val="276"/>
              <w:ind w:firstLine="0" w:firstLineChars="0"/>
              <w:rPr>
                <w:rFonts w:hint="eastAsia"/>
                <w:color w:val="auto"/>
                <w:lang w:val="zh-CN" w:eastAsia="zh-CN"/>
              </w:rPr>
            </w:pPr>
            <w:r>
              <w:rPr>
                <w:rFonts w:hint="eastAsia"/>
                <w:color w:val="auto"/>
                <w:lang w:val="en-US" w:eastAsia="zh-CN"/>
              </w:rPr>
              <w:t xml:space="preserve">30.196399 </w:t>
            </w:r>
          </w:p>
        </w:tc>
        <w:tc>
          <w:tcPr>
            <w:tcW w:w="806" w:type="pct"/>
            <w:shd w:val="clear" w:color="auto" w:fill="auto"/>
            <w:vAlign w:val="center"/>
          </w:tcPr>
          <w:p w14:paraId="5C94E014">
            <w:pPr>
              <w:pStyle w:val="276"/>
              <w:ind w:firstLine="0" w:firstLineChars="0"/>
              <w:rPr>
                <w:rFonts w:hint="eastAsia" w:ascii="Times New Roman" w:hAnsi="Times New Roman" w:eastAsia="宋体" w:cs="Times New Roman"/>
                <w:color w:val="auto"/>
                <w:kern w:val="2"/>
                <w:sz w:val="21"/>
                <w:szCs w:val="21"/>
                <w:lang w:val="zh-CN" w:eastAsia="zh-CN" w:bidi="ar-SA"/>
              </w:rPr>
            </w:pPr>
            <w:r>
              <w:rPr>
                <w:rFonts w:hint="eastAsia"/>
                <w:color w:val="auto"/>
                <w:lang w:eastAsia="zh-CN"/>
              </w:rPr>
              <w:t>零散居民</w:t>
            </w:r>
            <w:r>
              <w:rPr>
                <w:rFonts w:hint="eastAsia"/>
                <w:color w:val="auto"/>
              </w:rPr>
              <w:t>约</w:t>
            </w:r>
            <w:r>
              <w:rPr>
                <w:rFonts w:hint="eastAsia"/>
                <w:color w:val="auto"/>
                <w:lang w:val="en-US" w:eastAsia="zh-CN"/>
              </w:rPr>
              <w:t>1</w:t>
            </w:r>
            <w:r>
              <w:rPr>
                <w:rFonts w:hint="eastAsia"/>
                <w:color w:val="auto"/>
              </w:rPr>
              <w:t>00人</w:t>
            </w:r>
          </w:p>
        </w:tc>
        <w:tc>
          <w:tcPr>
            <w:tcW w:w="400" w:type="pct"/>
            <w:shd w:val="clear" w:color="auto" w:fill="auto"/>
            <w:vAlign w:val="center"/>
          </w:tcPr>
          <w:p w14:paraId="58F4760D">
            <w:pPr>
              <w:pStyle w:val="276"/>
              <w:ind w:firstLine="0" w:firstLineChars="0"/>
              <w:rPr>
                <w:rFonts w:hint="eastAsia" w:ascii="Times New Roman" w:hAnsi="Times New Roman" w:eastAsia="宋体" w:cs="Times New Roman"/>
                <w:color w:val="auto"/>
                <w:kern w:val="2"/>
                <w:sz w:val="21"/>
                <w:szCs w:val="21"/>
                <w:lang w:val="zh-CN" w:eastAsia="zh-CN" w:bidi="ar-SA"/>
              </w:rPr>
            </w:pPr>
            <w:r>
              <w:rPr>
                <w:rFonts w:hint="eastAsia"/>
                <w:color w:val="auto"/>
                <w:lang w:val="en-US" w:eastAsia="zh-CN"/>
              </w:rPr>
              <w:t>2000~2500</w:t>
            </w:r>
          </w:p>
        </w:tc>
        <w:tc>
          <w:tcPr>
            <w:tcW w:w="603" w:type="pct"/>
            <w:vMerge w:val="continue"/>
            <w:tcBorders>
              <w:right w:val="single" w:color="auto" w:sz="4" w:space="0"/>
            </w:tcBorders>
            <w:vAlign w:val="center"/>
          </w:tcPr>
          <w:p w14:paraId="51D4E3C4">
            <w:pPr>
              <w:pStyle w:val="276"/>
              <w:rPr>
                <w:color w:val="auto"/>
              </w:rPr>
            </w:pPr>
          </w:p>
        </w:tc>
      </w:tr>
      <w:tr w14:paraId="4CCFA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290" w:type="pct"/>
            <w:vMerge w:val="continue"/>
            <w:tcBorders>
              <w:left w:val="single" w:color="auto" w:sz="4" w:space="0"/>
            </w:tcBorders>
            <w:vAlign w:val="center"/>
          </w:tcPr>
          <w:p w14:paraId="06B05FD4">
            <w:pPr>
              <w:pStyle w:val="276"/>
              <w:rPr>
                <w:color w:val="auto"/>
              </w:rPr>
            </w:pPr>
          </w:p>
        </w:tc>
        <w:tc>
          <w:tcPr>
            <w:tcW w:w="194" w:type="pct"/>
            <w:vAlign w:val="center"/>
          </w:tcPr>
          <w:p w14:paraId="7F4134D9">
            <w:pPr>
              <w:spacing w:line="240" w:lineRule="auto"/>
              <w:ind w:firstLine="0" w:firstLineChars="0"/>
              <w:jc w:val="center"/>
              <w:rPr>
                <w:color w:val="auto"/>
                <w:sz w:val="21"/>
                <w:szCs w:val="21"/>
              </w:rPr>
            </w:pPr>
            <w:r>
              <w:rPr>
                <w:rFonts w:hint="eastAsia"/>
                <w:color w:val="auto"/>
                <w:sz w:val="21"/>
                <w:szCs w:val="21"/>
              </w:rPr>
              <w:t>9</w:t>
            </w:r>
          </w:p>
        </w:tc>
        <w:tc>
          <w:tcPr>
            <w:tcW w:w="733" w:type="pct"/>
            <w:shd w:val="clear" w:color="auto" w:fill="auto"/>
            <w:vAlign w:val="center"/>
          </w:tcPr>
          <w:p w14:paraId="02064DCF">
            <w:pPr>
              <w:pStyle w:val="276"/>
              <w:ind w:firstLine="0" w:firstLineChars="0"/>
              <w:rPr>
                <w:rFonts w:hint="eastAsia" w:ascii="Times New Roman" w:hAnsi="Times New Roman" w:eastAsia="宋体" w:cs="Times New Roman"/>
                <w:color w:val="auto"/>
                <w:kern w:val="2"/>
                <w:sz w:val="21"/>
                <w:szCs w:val="21"/>
                <w:lang w:val="zh-CN" w:eastAsia="zh-CN" w:bidi="ar-SA"/>
              </w:rPr>
            </w:pPr>
            <w:r>
              <w:rPr>
                <w:rFonts w:hint="eastAsia"/>
                <w:color w:val="auto"/>
                <w:lang w:eastAsia="zh-CN"/>
              </w:rPr>
              <w:t>乌杨中学校</w:t>
            </w:r>
          </w:p>
        </w:tc>
        <w:tc>
          <w:tcPr>
            <w:tcW w:w="482" w:type="pct"/>
            <w:shd w:val="clear" w:color="auto" w:fill="auto"/>
            <w:vAlign w:val="center"/>
          </w:tcPr>
          <w:p w14:paraId="25DD3429">
            <w:pPr>
              <w:pStyle w:val="276"/>
              <w:ind w:firstLine="0" w:firstLineChars="0"/>
              <w:rPr>
                <w:rFonts w:hint="eastAsia" w:ascii="Times New Roman" w:hAnsi="Times New Roman" w:eastAsia="宋体" w:cs="Times New Roman"/>
                <w:color w:val="auto"/>
                <w:kern w:val="2"/>
                <w:sz w:val="21"/>
                <w:szCs w:val="21"/>
                <w:lang w:val="en-US" w:eastAsia="zh-CN" w:bidi="ar-SA"/>
              </w:rPr>
            </w:pPr>
            <w:r>
              <w:rPr>
                <w:rFonts w:hint="eastAsia"/>
                <w:color w:val="auto"/>
              </w:rPr>
              <w:t>S</w:t>
            </w:r>
            <w:r>
              <w:rPr>
                <w:rFonts w:hint="eastAsia"/>
                <w:color w:val="auto"/>
                <w:lang w:val="en-US" w:eastAsia="zh-CN"/>
              </w:rPr>
              <w:t>S</w:t>
            </w:r>
            <w:r>
              <w:rPr>
                <w:rFonts w:hint="eastAsia"/>
                <w:color w:val="auto"/>
              </w:rPr>
              <w:t>W</w:t>
            </w:r>
          </w:p>
        </w:tc>
        <w:tc>
          <w:tcPr>
            <w:tcW w:w="779" w:type="pct"/>
            <w:shd w:val="clear" w:color="auto" w:fill="auto"/>
            <w:vAlign w:val="center"/>
          </w:tcPr>
          <w:p w14:paraId="473877D4">
            <w:pPr>
              <w:pStyle w:val="276"/>
              <w:ind w:firstLine="0" w:firstLineChars="0"/>
              <w:rPr>
                <w:rFonts w:hint="eastAsia"/>
                <w:color w:val="auto"/>
                <w:lang w:val="zh-CN" w:eastAsia="zh-CN"/>
              </w:rPr>
            </w:pPr>
            <w:r>
              <w:rPr>
                <w:rFonts w:hint="default"/>
                <w:color w:val="auto"/>
                <w:lang w:val="en-US" w:eastAsia="zh-CN"/>
              </w:rPr>
              <w:t xml:space="preserve">107.997538 </w:t>
            </w:r>
          </w:p>
        </w:tc>
        <w:tc>
          <w:tcPr>
            <w:tcW w:w="707" w:type="pct"/>
            <w:shd w:val="clear" w:color="auto" w:fill="auto"/>
            <w:vAlign w:val="center"/>
          </w:tcPr>
          <w:p w14:paraId="2C39D8AC">
            <w:pPr>
              <w:pStyle w:val="276"/>
              <w:ind w:firstLine="0" w:firstLineChars="0"/>
              <w:rPr>
                <w:rFonts w:hint="eastAsia"/>
                <w:color w:val="auto"/>
                <w:lang w:val="zh-CN" w:eastAsia="zh-CN"/>
              </w:rPr>
            </w:pPr>
            <w:r>
              <w:rPr>
                <w:rFonts w:hint="eastAsia"/>
                <w:color w:val="auto"/>
                <w:lang w:val="en-US" w:eastAsia="zh-CN"/>
              </w:rPr>
              <w:t xml:space="preserve">30.197729 </w:t>
            </w:r>
          </w:p>
        </w:tc>
        <w:tc>
          <w:tcPr>
            <w:tcW w:w="806" w:type="pct"/>
            <w:shd w:val="clear" w:color="auto" w:fill="auto"/>
            <w:vAlign w:val="center"/>
          </w:tcPr>
          <w:p w14:paraId="13CE4642">
            <w:pPr>
              <w:pStyle w:val="276"/>
              <w:ind w:firstLine="0" w:firstLineChars="0"/>
              <w:rPr>
                <w:rFonts w:ascii="Times New Roman" w:hAnsi="Times New Roman" w:eastAsia="宋体" w:cs="Times New Roman"/>
                <w:color w:val="auto"/>
                <w:kern w:val="2"/>
                <w:sz w:val="21"/>
                <w:szCs w:val="21"/>
                <w:lang w:val="zh-CN" w:eastAsia="zh-CN" w:bidi="ar-SA"/>
              </w:rPr>
            </w:pPr>
            <w:r>
              <w:rPr>
                <w:rFonts w:hint="eastAsia"/>
                <w:color w:val="auto"/>
              </w:rPr>
              <w:t>学校，师生约</w:t>
            </w:r>
            <w:r>
              <w:rPr>
                <w:rFonts w:hint="eastAsia"/>
                <w:color w:val="auto"/>
                <w:lang w:val="en-US" w:eastAsia="zh-CN"/>
              </w:rPr>
              <w:t>16</w:t>
            </w:r>
            <w:r>
              <w:rPr>
                <w:rFonts w:hint="eastAsia"/>
                <w:color w:val="auto"/>
              </w:rPr>
              <w:t>00人</w:t>
            </w:r>
          </w:p>
        </w:tc>
        <w:tc>
          <w:tcPr>
            <w:tcW w:w="400" w:type="pct"/>
            <w:shd w:val="clear" w:color="auto" w:fill="auto"/>
            <w:vAlign w:val="center"/>
          </w:tcPr>
          <w:p w14:paraId="5B75E134">
            <w:pPr>
              <w:pStyle w:val="276"/>
              <w:ind w:firstLine="0" w:firstLineChars="0"/>
              <w:rPr>
                <w:rFonts w:hint="default" w:ascii="Times New Roman" w:hAnsi="Times New Roman" w:eastAsia="宋体" w:cs="Times New Roman"/>
                <w:color w:val="auto"/>
                <w:kern w:val="2"/>
                <w:sz w:val="21"/>
                <w:szCs w:val="21"/>
                <w:lang w:val="en-US" w:eastAsia="zh-CN" w:bidi="ar-SA"/>
              </w:rPr>
            </w:pPr>
            <w:r>
              <w:rPr>
                <w:rFonts w:hint="eastAsia"/>
                <w:color w:val="auto"/>
              </w:rPr>
              <w:t>1800</w:t>
            </w:r>
          </w:p>
        </w:tc>
        <w:tc>
          <w:tcPr>
            <w:tcW w:w="603" w:type="pct"/>
            <w:vMerge w:val="continue"/>
            <w:tcBorders>
              <w:right w:val="single" w:color="auto" w:sz="4" w:space="0"/>
            </w:tcBorders>
            <w:vAlign w:val="center"/>
          </w:tcPr>
          <w:p w14:paraId="01D1DD7B">
            <w:pPr>
              <w:pStyle w:val="276"/>
              <w:rPr>
                <w:color w:val="auto"/>
              </w:rPr>
            </w:pPr>
          </w:p>
        </w:tc>
      </w:tr>
      <w:tr w14:paraId="662CB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290" w:type="pct"/>
            <w:vMerge w:val="continue"/>
            <w:tcBorders>
              <w:left w:val="single" w:color="auto" w:sz="4" w:space="0"/>
            </w:tcBorders>
            <w:vAlign w:val="center"/>
          </w:tcPr>
          <w:p w14:paraId="4DA6DF1E">
            <w:pPr>
              <w:pStyle w:val="276"/>
              <w:rPr>
                <w:color w:val="auto"/>
              </w:rPr>
            </w:pPr>
          </w:p>
        </w:tc>
        <w:tc>
          <w:tcPr>
            <w:tcW w:w="194" w:type="pct"/>
            <w:vAlign w:val="center"/>
          </w:tcPr>
          <w:p w14:paraId="0DB30DDA">
            <w:pPr>
              <w:spacing w:line="240" w:lineRule="auto"/>
              <w:ind w:firstLine="0" w:firstLineChars="0"/>
              <w:jc w:val="center"/>
              <w:rPr>
                <w:color w:val="auto"/>
                <w:sz w:val="21"/>
                <w:szCs w:val="21"/>
              </w:rPr>
            </w:pPr>
            <w:r>
              <w:rPr>
                <w:rFonts w:hint="eastAsia"/>
                <w:color w:val="auto"/>
                <w:sz w:val="21"/>
                <w:szCs w:val="21"/>
              </w:rPr>
              <w:t>10</w:t>
            </w:r>
          </w:p>
        </w:tc>
        <w:tc>
          <w:tcPr>
            <w:tcW w:w="733" w:type="pct"/>
            <w:shd w:val="clear" w:color="auto" w:fill="auto"/>
            <w:vAlign w:val="center"/>
          </w:tcPr>
          <w:p w14:paraId="0EB3BE42">
            <w:pPr>
              <w:pStyle w:val="276"/>
              <w:ind w:firstLine="0" w:firstLineChars="0"/>
              <w:rPr>
                <w:rFonts w:hint="eastAsia" w:ascii="Times New Roman" w:hAnsi="Times New Roman" w:eastAsia="宋体" w:cs="Times New Roman"/>
                <w:color w:val="auto"/>
                <w:kern w:val="2"/>
                <w:sz w:val="21"/>
                <w:szCs w:val="21"/>
                <w:lang w:val="zh-CN" w:eastAsia="zh-CN" w:bidi="ar-SA"/>
              </w:rPr>
            </w:pPr>
            <w:r>
              <w:rPr>
                <w:rFonts w:hint="eastAsia"/>
                <w:color w:val="auto"/>
                <w:lang w:eastAsia="zh-CN"/>
              </w:rPr>
              <w:t>沿溪社区</w:t>
            </w:r>
          </w:p>
        </w:tc>
        <w:tc>
          <w:tcPr>
            <w:tcW w:w="482" w:type="pct"/>
            <w:shd w:val="clear" w:color="auto" w:fill="auto"/>
            <w:vAlign w:val="center"/>
          </w:tcPr>
          <w:p w14:paraId="6F16A92D">
            <w:pPr>
              <w:pStyle w:val="276"/>
              <w:ind w:firstLine="0" w:firstLineChars="0"/>
              <w:rPr>
                <w:rFonts w:hint="eastAsia" w:ascii="Times New Roman" w:hAnsi="Times New Roman" w:eastAsia="宋体" w:cs="Times New Roman"/>
                <w:color w:val="auto"/>
                <w:kern w:val="2"/>
                <w:sz w:val="21"/>
                <w:szCs w:val="21"/>
                <w:lang w:val="en-US" w:eastAsia="zh-CN" w:bidi="ar-SA"/>
              </w:rPr>
            </w:pPr>
            <w:r>
              <w:rPr>
                <w:rFonts w:hint="eastAsia"/>
                <w:color w:val="auto"/>
              </w:rPr>
              <w:t>S</w:t>
            </w:r>
            <w:r>
              <w:rPr>
                <w:rFonts w:hint="eastAsia"/>
                <w:color w:val="auto"/>
                <w:lang w:val="en-US" w:eastAsia="zh-CN"/>
              </w:rPr>
              <w:t>W</w:t>
            </w:r>
          </w:p>
        </w:tc>
        <w:tc>
          <w:tcPr>
            <w:tcW w:w="779" w:type="pct"/>
            <w:shd w:val="clear" w:color="auto" w:fill="auto"/>
            <w:vAlign w:val="center"/>
          </w:tcPr>
          <w:p w14:paraId="1FB0EF2E">
            <w:pPr>
              <w:pStyle w:val="276"/>
              <w:ind w:firstLine="0" w:firstLineChars="0"/>
              <w:rPr>
                <w:rFonts w:hint="eastAsia"/>
                <w:color w:val="auto"/>
                <w:lang w:val="zh-CN" w:eastAsia="zh-CN"/>
              </w:rPr>
            </w:pPr>
            <w:r>
              <w:rPr>
                <w:rFonts w:hint="default"/>
                <w:color w:val="auto"/>
                <w:lang w:val="en-US" w:eastAsia="zh-CN"/>
              </w:rPr>
              <w:t xml:space="preserve">107.992066 </w:t>
            </w:r>
          </w:p>
        </w:tc>
        <w:tc>
          <w:tcPr>
            <w:tcW w:w="707" w:type="pct"/>
            <w:shd w:val="clear" w:color="auto" w:fill="auto"/>
            <w:vAlign w:val="center"/>
          </w:tcPr>
          <w:p w14:paraId="40F39B67">
            <w:pPr>
              <w:pStyle w:val="276"/>
              <w:ind w:firstLine="0" w:firstLineChars="0"/>
              <w:rPr>
                <w:rFonts w:hint="eastAsia"/>
                <w:color w:val="auto"/>
                <w:lang w:val="zh-CN" w:eastAsia="zh-CN"/>
              </w:rPr>
            </w:pPr>
            <w:r>
              <w:rPr>
                <w:rFonts w:hint="eastAsia"/>
                <w:color w:val="auto"/>
                <w:lang w:val="en-US" w:eastAsia="zh-CN"/>
              </w:rPr>
              <w:t xml:space="preserve">30.193523 </w:t>
            </w:r>
          </w:p>
        </w:tc>
        <w:tc>
          <w:tcPr>
            <w:tcW w:w="806" w:type="pct"/>
            <w:shd w:val="clear" w:color="auto" w:fill="auto"/>
            <w:vAlign w:val="center"/>
          </w:tcPr>
          <w:p w14:paraId="5642FC68">
            <w:pPr>
              <w:pStyle w:val="276"/>
              <w:ind w:firstLine="0" w:firstLineChars="0"/>
              <w:rPr>
                <w:rFonts w:ascii="Times New Roman" w:hAnsi="Times New Roman" w:eastAsia="宋体" w:cs="Times New Roman"/>
                <w:color w:val="auto"/>
                <w:kern w:val="2"/>
                <w:sz w:val="21"/>
                <w:szCs w:val="21"/>
                <w:lang w:val="zh-CN" w:eastAsia="zh-CN" w:bidi="ar-SA"/>
              </w:rPr>
            </w:pPr>
            <w:r>
              <w:rPr>
                <w:rFonts w:hint="eastAsia"/>
                <w:color w:val="auto"/>
              </w:rPr>
              <w:t>集中居住区约</w:t>
            </w:r>
            <w:r>
              <w:rPr>
                <w:rFonts w:hint="eastAsia"/>
                <w:color w:val="auto"/>
                <w:lang w:val="en-US" w:eastAsia="zh-CN"/>
              </w:rPr>
              <w:t>20</w:t>
            </w:r>
            <w:r>
              <w:rPr>
                <w:rFonts w:hint="eastAsia"/>
                <w:color w:val="auto"/>
              </w:rPr>
              <w:t>00人</w:t>
            </w:r>
          </w:p>
        </w:tc>
        <w:tc>
          <w:tcPr>
            <w:tcW w:w="400" w:type="pct"/>
            <w:shd w:val="clear" w:color="auto" w:fill="auto"/>
            <w:vAlign w:val="center"/>
          </w:tcPr>
          <w:p w14:paraId="383C3327">
            <w:pPr>
              <w:pStyle w:val="276"/>
              <w:ind w:firstLine="0" w:firstLineChars="0"/>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2100~2300</w:t>
            </w:r>
          </w:p>
        </w:tc>
        <w:tc>
          <w:tcPr>
            <w:tcW w:w="603" w:type="pct"/>
            <w:vMerge w:val="continue"/>
            <w:tcBorders>
              <w:right w:val="single" w:color="auto" w:sz="4" w:space="0"/>
            </w:tcBorders>
            <w:vAlign w:val="center"/>
          </w:tcPr>
          <w:p w14:paraId="4D684753">
            <w:pPr>
              <w:pStyle w:val="276"/>
              <w:rPr>
                <w:color w:val="auto"/>
              </w:rPr>
            </w:pPr>
          </w:p>
        </w:tc>
      </w:tr>
      <w:tr w14:paraId="6876F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290" w:type="pct"/>
            <w:vMerge w:val="continue"/>
            <w:tcBorders>
              <w:left w:val="single" w:color="auto" w:sz="4" w:space="0"/>
            </w:tcBorders>
            <w:vAlign w:val="center"/>
          </w:tcPr>
          <w:p w14:paraId="5531FF91">
            <w:pPr>
              <w:pStyle w:val="276"/>
              <w:rPr>
                <w:color w:val="auto"/>
              </w:rPr>
            </w:pPr>
          </w:p>
        </w:tc>
        <w:tc>
          <w:tcPr>
            <w:tcW w:w="194" w:type="pct"/>
            <w:shd w:val="clear" w:color="auto" w:fill="auto"/>
            <w:vAlign w:val="center"/>
          </w:tcPr>
          <w:p w14:paraId="6491B48C">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11</w:t>
            </w:r>
          </w:p>
        </w:tc>
        <w:tc>
          <w:tcPr>
            <w:tcW w:w="733" w:type="pct"/>
            <w:shd w:val="clear" w:color="auto" w:fill="auto"/>
            <w:vAlign w:val="center"/>
          </w:tcPr>
          <w:p w14:paraId="40CE5626">
            <w:pPr>
              <w:pStyle w:val="276"/>
              <w:ind w:firstLine="0" w:firstLineChars="0"/>
              <w:rPr>
                <w:rFonts w:hint="eastAsia" w:ascii="Times New Roman" w:hAnsi="Times New Roman" w:eastAsia="宋体" w:cs="Times New Roman"/>
                <w:color w:val="auto"/>
                <w:kern w:val="2"/>
                <w:sz w:val="21"/>
                <w:szCs w:val="21"/>
                <w:lang w:val="zh-CN" w:eastAsia="zh-CN" w:bidi="ar-SA"/>
              </w:rPr>
            </w:pPr>
            <w:r>
              <w:rPr>
                <w:rFonts w:hint="eastAsia"/>
                <w:color w:val="auto"/>
                <w:lang w:eastAsia="zh-CN"/>
              </w:rPr>
              <w:t>上坝村</w:t>
            </w:r>
          </w:p>
        </w:tc>
        <w:tc>
          <w:tcPr>
            <w:tcW w:w="482" w:type="pct"/>
            <w:shd w:val="clear" w:color="auto" w:fill="auto"/>
            <w:vAlign w:val="center"/>
          </w:tcPr>
          <w:p w14:paraId="09D87848">
            <w:pPr>
              <w:pStyle w:val="276"/>
              <w:ind w:firstLine="0" w:firstLineChars="0"/>
              <w:rPr>
                <w:rFonts w:hint="eastAsia" w:ascii="Times New Roman" w:hAnsi="Times New Roman" w:eastAsia="宋体" w:cs="Times New Roman"/>
                <w:color w:val="auto"/>
                <w:kern w:val="2"/>
                <w:sz w:val="21"/>
                <w:szCs w:val="21"/>
                <w:lang w:val="zh-CN" w:eastAsia="zh-CN" w:bidi="ar-SA"/>
              </w:rPr>
            </w:pPr>
            <w:r>
              <w:rPr>
                <w:rFonts w:hint="eastAsia"/>
                <w:color w:val="auto"/>
              </w:rPr>
              <w:t>E</w:t>
            </w:r>
          </w:p>
        </w:tc>
        <w:tc>
          <w:tcPr>
            <w:tcW w:w="779" w:type="pct"/>
            <w:shd w:val="clear" w:color="auto" w:fill="auto"/>
            <w:vAlign w:val="center"/>
          </w:tcPr>
          <w:p w14:paraId="58701168">
            <w:pPr>
              <w:pStyle w:val="276"/>
              <w:ind w:firstLine="0" w:firstLineChars="0"/>
              <w:rPr>
                <w:rFonts w:hint="eastAsia"/>
                <w:color w:val="auto"/>
                <w:lang w:val="zh-CN" w:eastAsia="zh-CN"/>
              </w:rPr>
            </w:pPr>
            <w:r>
              <w:rPr>
                <w:rFonts w:hint="default"/>
                <w:color w:val="auto"/>
                <w:lang w:val="en-US" w:eastAsia="zh-CN"/>
              </w:rPr>
              <w:t xml:space="preserve">107.988848 </w:t>
            </w:r>
          </w:p>
        </w:tc>
        <w:tc>
          <w:tcPr>
            <w:tcW w:w="707" w:type="pct"/>
            <w:shd w:val="clear" w:color="auto" w:fill="auto"/>
            <w:vAlign w:val="center"/>
          </w:tcPr>
          <w:p w14:paraId="58F7947F">
            <w:pPr>
              <w:pStyle w:val="276"/>
              <w:ind w:firstLine="0" w:firstLineChars="0"/>
              <w:rPr>
                <w:rFonts w:hint="eastAsia"/>
                <w:color w:val="auto"/>
                <w:lang w:val="zh-CN" w:eastAsia="zh-CN"/>
              </w:rPr>
            </w:pPr>
            <w:r>
              <w:rPr>
                <w:rFonts w:hint="eastAsia"/>
                <w:color w:val="auto"/>
                <w:lang w:val="en-US" w:eastAsia="zh-CN"/>
              </w:rPr>
              <w:t xml:space="preserve">30.186442 </w:t>
            </w:r>
          </w:p>
        </w:tc>
        <w:tc>
          <w:tcPr>
            <w:tcW w:w="806" w:type="pct"/>
            <w:shd w:val="clear" w:color="auto" w:fill="auto"/>
            <w:vAlign w:val="center"/>
          </w:tcPr>
          <w:p w14:paraId="6CC27735">
            <w:pPr>
              <w:pStyle w:val="276"/>
              <w:ind w:firstLine="0" w:firstLineChars="0"/>
              <w:rPr>
                <w:rFonts w:hint="eastAsia" w:ascii="Times New Roman" w:hAnsi="Times New Roman" w:eastAsia="宋体" w:cs="Times New Roman"/>
                <w:color w:val="auto"/>
                <w:kern w:val="2"/>
                <w:sz w:val="21"/>
                <w:szCs w:val="21"/>
                <w:lang w:val="zh-CN" w:eastAsia="zh-CN" w:bidi="ar-SA"/>
              </w:rPr>
            </w:pPr>
            <w:r>
              <w:rPr>
                <w:rFonts w:hint="eastAsia"/>
                <w:color w:val="auto"/>
                <w:lang w:eastAsia="zh-CN"/>
              </w:rPr>
              <w:t>零散居民</w:t>
            </w:r>
            <w:r>
              <w:rPr>
                <w:rFonts w:hint="eastAsia"/>
                <w:color w:val="auto"/>
              </w:rPr>
              <w:t>约</w:t>
            </w:r>
            <w:r>
              <w:rPr>
                <w:rFonts w:hint="eastAsia"/>
                <w:color w:val="auto"/>
                <w:lang w:val="en-US" w:eastAsia="zh-CN"/>
              </w:rPr>
              <w:t>10</w:t>
            </w:r>
            <w:r>
              <w:rPr>
                <w:rFonts w:hint="eastAsia"/>
                <w:color w:val="auto"/>
              </w:rPr>
              <w:t>00人</w:t>
            </w:r>
          </w:p>
        </w:tc>
        <w:tc>
          <w:tcPr>
            <w:tcW w:w="400" w:type="pct"/>
            <w:shd w:val="clear" w:color="auto" w:fill="auto"/>
            <w:vAlign w:val="center"/>
          </w:tcPr>
          <w:p w14:paraId="414B55B2">
            <w:pPr>
              <w:pStyle w:val="276"/>
              <w:ind w:firstLine="0" w:firstLineChars="0"/>
              <w:rPr>
                <w:rFonts w:hint="eastAsia" w:ascii="Times New Roman" w:hAnsi="Times New Roman" w:eastAsia="宋体" w:cs="Times New Roman"/>
                <w:color w:val="auto"/>
                <w:kern w:val="2"/>
                <w:sz w:val="21"/>
                <w:szCs w:val="21"/>
                <w:lang w:val="en-US" w:eastAsia="zh-CN" w:bidi="ar-SA"/>
              </w:rPr>
            </w:pPr>
            <w:r>
              <w:rPr>
                <w:rFonts w:hint="eastAsia"/>
                <w:color w:val="auto"/>
              </w:rPr>
              <w:t>2400</w:t>
            </w:r>
            <w:r>
              <w:rPr>
                <w:rFonts w:hint="eastAsia"/>
                <w:color w:val="auto"/>
                <w:lang w:val="en-US" w:eastAsia="zh-CN"/>
              </w:rPr>
              <w:t>~2600</w:t>
            </w:r>
          </w:p>
        </w:tc>
        <w:tc>
          <w:tcPr>
            <w:tcW w:w="603" w:type="pct"/>
            <w:vMerge w:val="continue"/>
            <w:tcBorders>
              <w:right w:val="single" w:color="auto" w:sz="4" w:space="0"/>
            </w:tcBorders>
            <w:vAlign w:val="center"/>
          </w:tcPr>
          <w:p w14:paraId="049D8AA1">
            <w:pPr>
              <w:pStyle w:val="276"/>
              <w:rPr>
                <w:color w:val="auto"/>
              </w:rPr>
            </w:pPr>
          </w:p>
        </w:tc>
      </w:tr>
      <w:tr w14:paraId="6D67A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290" w:type="pct"/>
            <w:vMerge w:val="continue"/>
            <w:tcBorders>
              <w:left w:val="single" w:color="auto" w:sz="4" w:space="0"/>
            </w:tcBorders>
            <w:vAlign w:val="center"/>
          </w:tcPr>
          <w:p w14:paraId="5528DE43">
            <w:pPr>
              <w:pStyle w:val="276"/>
              <w:rPr>
                <w:color w:val="auto"/>
              </w:rPr>
            </w:pPr>
          </w:p>
        </w:tc>
        <w:tc>
          <w:tcPr>
            <w:tcW w:w="194" w:type="pct"/>
            <w:vAlign w:val="center"/>
          </w:tcPr>
          <w:p w14:paraId="47130ACC">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12</w:t>
            </w:r>
          </w:p>
        </w:tc>
        <w:tc>
          <w:tcPr>
            <w:tcW w:w="733" w:type="pct"/>
            <w:shd w:val="clear" w:color="auto" w:fill="auto"/>
            <w:vAlign w:val="center"/>
          </w:tcPr>
          <w:p w14:paraId="0F45F100">
            <w:pPr>
              <w:pStyle w:val="276"/>
              <w:ind w:firstLine="0" w:firstLineChars="0"/>
              <w:rPr>
                <w:rFonts w:hint="eastAsia" w:ascii="Times New Roman" w:hAnsi="Times New Roman" w:eastAsia="宋体" w:cs="Times New Roman"/>
                <w:color w:val="auto"/>
                <w:kern w:val="2"/>
                <w:sz w:val="21"/>
                <w:szCs w:val="21"/>
                <w:lang w:val="zh-CN" w:eastAsia="zh-CN" w:bidi="ar-SA"/>
              </w:rPr>
            </w:pPr>
            <w:r>
              <w:rPr>
                <w:rFonts w:hint="eastAsia"/>
                <w:color w:val="auto"/>
                <w:lang w:eastAsia="zh-CN"/>
              </w:rPr>
              <w:t>鹿角村</w:t>
            </w:r>
          </w:p>
        </w:tc>
        <w:tc>
          <w:tcPr>
            <w:tcW w:w="482" w:type="pct"/>
            <w:shd w:val="clear" w:color="auto" w:fill="auto"/>
            <w:vAlign w:val="center"/>
          </w:tcPr>
          <w:p w14:paraId="0FD7A613">
            <w:pPr>
              <w:pStyle w:val="276"/>
              <w:ind w:firstLine="0" w:firstLineChars="0"/>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W</w:t>
            </w:r>
          </w:p>
        </w:tc>
        <w:tc>
          <w:tcPr>
            <w:tcW w:w="779" w:type="pct"/>
            <w:shd w:val="clear" w:color="auto" w:fill="auto"/>
            <w:vAlign w:val="center"/>
          </w:tcPr>
          <w:p w14:paraId="40AE971F">
            <w:pPr>
              <w:pStyle w:val="276"/>
              <w:ind w:firstLine="0" w:firstLineChars="0"/>
              <w:rPr>
                <w:rFonts w:hint="eastAsia"/>
                <w:color w:val="auto"/>
                <w:lang w:val="zh-CN" w:eastAsia="zh-CN"/>
              </w:rPr>
            </w:pPr>
            <w:r>
              <w:rPr>
                <w:rFonts w:hint="default"/>
                <w:color w:val="auto"/>
                <w:lang w:val="en-US" w:eastAsia="zh-CN"/>
              </w:rPr>
              <w:t xml:space="preserve">107.989856 </w:t>
            </w:r>
          </w:p>
        </w:tc>
        <w:tc>
          <w:tcPr>
            <w:tcW w:w="707" w:type="pct"/>
            <w:shd w:val="clear" w:color="auto" w:fill="auto"/>
            <w:vAlign w:val="center"/>
          </w:tcPr>
          <w:p w14:paraId="09872672">
            <w:pPr>
              <w:pStyle w:val="276"/>
              <w:ind w:firstLine="0" w:firstLineChars="0"/>
              <w:rPr>
                <w:rFonts w:hint="eastAsia"/>
                <w:color w:val="auto"/>
                <w:lang w:val="zh-CN" w:eastAsia="zh-CN"/>
              </w:rPr>
            </w:pPr>
            <w:r>
              <w:rPr>
                <w:rFonts w:hint="eastAsia"/>
                <w:color w:val="auto"/>
                <w:lang w:val="en-US" w:eastAsia="zh-CN"/>
              </w:rPr>
              <w:t xml:space="preserve">30.222791 </w:t>
            </w:r>
          </w:p>
        </w:tc>
        <w:tc>
          <w:tcPr>
            <w:tcW w:w="806" w:type="pct"/>
            <w:shd w:val="clear" w:color="auto" w:fill="auto"/>
            <w:vAlign w:val="center"/>
          </w:tcPr>
          <w:p w14:paraId="44E69DC3">
            <w:pPr>
              <w:pStyle w:val="276"/>
              <w:ind w:firstLine="0" w:firstLineChars="0"/>
              <w:rPr>
                <w:rFonts w:hint="eastAsia" w:ascii="Times New Roman" w:hAnsi="Times New Roman" w:eastAsia="宋体" w:cs="Times New Roman"/>
                <w:color w:val="auto"/>
                <w:kern w:val="2"/>
                <w:sz w:val="21"/>
                <w:szCs w:val="21"/>
                <w:lang w:val="zh-CN" w:eastAsia="zh-CN" w:bidi="ar-SA"/>
              </w:rPr>
            </w:pPr>
            <w:r>
              <w:rPr>
                <w:rFonts w:hint="eastAsia"/>
                <w:color w:val="auto"/>
                <w:lang w:eastAsia="zh-CN"/>
              </w:rPr>
              <w:t>零散居民</w:t>
            </w:r>
            <w:r>
              <w:rPr>
                <w:rFonts w:hint="eastAsia"/>
                <w:color w:val="auto"/>
              </w:rPr>
              <w:t>约</w:t>
            </w:r>
            <w:r>
              <w:rPr>
                <w:rFonts w:hint="eastAsia"/>
                <w:color w:val="auto"/>
                <w:lang w:val="en-US" w:eastAsia="zh-CN"/>
              </w:rPr>
              <w:t>3</w:t>
            </w:r>
            <w:r>
              <w:rPr>
                <w:rFonts w:hint="eastAsia"/>
                <w:color w:val="auto"/>
              </w:rPr>
              <w:t>00人</w:t>
            </w:r>
          </w:p>
        </w:tc>
        <w:tc>
          <w:tcPr>
            <w:tcW w:w="400" w:type="pct"/>
            <w:shd w:val="clear" w:color="auto" w:fill="auto"/>
            <w:vAlign w:val="center"/>
          </w:tcPr>
          <w:p w14:paraId="09B7D370">
            <w:pPr>
              <w:pStyle w:val="276"/>
              <w:ind w:firstLine="0" w:firstLineChars="0"/>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2000~2500</w:t>
            </w:r>
          </w:p>
        </w:tc>
        <w:tc>
          <w:tcPr>
            <w:tcW w:w="603" w:type="pct"/>
            <w:vMerge w:val="continue"/>
            <w:tcBorders>
              <w:right w:val="single" w:color="auto" w:sz="4" w:space="0"/>
            </w:tcBorders>
            <w:vAlign w:val="center"/>
          </w:tcPr>
          <w:p w14:paraId="50714297">
            <w:pPr>
              <w:pStyle w:val="276"/>
              <w:rPr>
                <w:color w:val="auto"/>
              </w:rPr>
            </w:pPr>
          </w:p>
        </w:tc>
      </w:tr>
      <w:tr w14:paraId="121EF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290" w:type="pct"/>
            <w:vMerge w:val="continue"/>
            <w:tcBorders>
              <w:left w:val="single" w:color="auto" w:sz="4" w:space="0"/>
            </w:tcBorders>
            <w:vAlign w:val="center"/>
          </w:tcPr>
          <w:p w14:paraId="3977BF72">
            <w:pPr>
              <w:pStyle w:val="276"/>
              <w:rPr>
                <w:color w:val="auto"/>
              </w:rPr>
            </w:pPr>
          </w:p>
        </w:tc>
        <w:tc>
          <w:tcPr>
            <w:tcW w:w="194" w:type="pct"/>
            <w:vAlign w:val="center"/>
          </w:tcPr>
          <w:p w14:paraId="788D8BAF">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13</w:t>
            </w:r>
          </w:p>
        </w:tc>
        <w:tc>
          <w:tcPr>
            <w:tcW w:w="733" w:type="pct"/>
            <w:vAlign w:val="center"/>
          </w:tcPr>
          <w:p w14:paraId="1BDAA732">
            <w:pPr>
              <w:pStyle w:val="276"/>
              <w:rPr>
                <w:rFonts w:hint="eastAsia" w:eastAsia="宋体"/>
                <w:color w:val="auto"/>
                <w:lang w:eastAsia="zh-CN"/>
              </w:rPr>
            </w:pPr>
            <w:r>
              <w:rPr>
                <w:rFonts w:hint="eastAsia"/>
                <w:color w:val="auto"/>
                <w:lang w:eastAsia="zh-CN"/>
              </w:rPr>
              <w:t>凤江村</w:t>
            </w:r>
          </w:p>
        </w:tc>
        <w:tc>
          <w:tcPr>
            <w:tcW w:w="482" w:type="pct"/>
            <w:vAlign w:val="center"/>
          </w:tcPr>
          <w:p w14:paraId="7B7FFE18">
            <w:pPr>
              <w:pStyle w:val="276"/>
              <w:rPr>
                <w:rFonts w:hint="default"/>
                <w:color w:val="auto"/>
                <w:lang w:val="en-US" w:eastAsia="zh-CN"/>
              </w:rPr>
            </w:pPr>
            <w:r>
              <w:rPr>
                <w:rFonts w:hint="eastAsia"/>
                <w:color w:val="auto"/>
                <w:lang w:val="en-US" w:eastAsia="zh-CN"/>
              </w:rPr>
              <w:t>N</w:t>
            </w:r>
          </w:p>
        </w:tc>
        <w:tc>
          <w:tcPr>
            <w:tcW w:w="779" w:type="pct"/>
            <w:vAlign w:val="center"/>
          </w:tcPr>
          <w:p w14:paraId="1A51F938">
            <w:pPr>
              <w:pStyle w:val="276"/>
              <w:ind w:firstLine="0" w:firstLineChars="0"/>
              <w:rPr>
                <w:rFonts w:hint="eastAsia"/>
                <w:color w:val="auto"/>
              </w:rPr>
            </w:pPr>
            <w:r>
              <w:rPr>
                <w:rFonts w:hint="default"/>
                <w:color w:val="auto"/>
                <w:lang w:val="en-US" w:eastAsia="zh-CN"/>
              </w:rPr>
              <w:t xml:space="preserve">108.018352 </w:t>
            </w:r>
          </w:p>
        </w:tc>
        <w:tc>
          <w:tcPr>
            <w:tcW w:w="707" w:type="pct"/>
            <w:vAlign w:val="center"/>
          </w:tcPr>
          <w:p w14:paraId="73D5B520">
            <w:pPr>
              <w:pStyle w:val="276"/>
              <w:ind w:firstLine="0" w:firstLineChars="0"/>
              <w:rPr>
                <w:rFonts w:hint="eastAsia"/>
                <w:color w:val="auto"/>
              </w:rPr>
            </w:pPr>
            <w:r>
              <w:rPr>
                <w:rFonts w:hint="eastAsia"/>
                <w:color w:val="auto"/>
                <w:lang w:val="en-US" w:eastAsia="zh-CN"/>
              </w:rPr>
              <w:t xml:space="preserve">30.220968 </w:t>
            </w:r>
          </w:p>
        </w:tc>
        <w:tc>
          <w:tcPr>
            <w:tcW w:w="806" w:type="pct"/>
            <w:shd w:val="clear" w:color="auto" w:fill="auto"/>
            <w:vAlign w:val="center"/>
          </w:tcPr>
          <w:p w14:paraId="3F16A930">
            <w:pPr>
              <w:pStyle w:val="276"/>
              <w:ind w:firstLine="0" w:firstLineChars="0"/>
              <w:rPr>
                <w:rFonts w:hint="eastAsia"/>
                <w:color w:val="auto"/>
                <w:lang w:eastAsia="zh-CN"/>
              </w:rPr>
            </w:pPr>
            <w:r>
              <w:rPr>
                <w:rFonts w:hint="eastAsia"/>
                <w:color w:val="auto"/>
                <w:lang w:eastAsia="zh-CN"/>
              </w:rPr>
              <w:t>零散居民</w:t>
            </w:r>
            <w:r>
              <w:rPr>
                <w:rFonts w:hint="eastAsia"/>
                <w:color w:val="auto"/>
              </w:rPr>
              <w:t>约</w:t>
            </w:r>
            <w:r>
              <w:rPr>
                <w:rFonts w:hint="eastAsia"/>
                <w:color w:val="auto"/>
                <w:lang w:val="en-US" w:eastAsia="zh-CN"/>
              </w:rPr>
              <w:t>3</w:t>
            </w:r>
            <w:r>
              <w:rPr>
                <w:rFonts w:hint="eastAsia"/>
                <w:color w:val="auto"/>
              </w:rPr>
              <w:t>00人</w:t>
            </w:r>
          </w:p>
        </w:tc>
        <w:tc>
          <w:tcPr>
            <w:tcW w:w="400" w:type="pct"/>
            <w:shd w:val="clear" w:color="auto" w:fill="auto"/>
            <w:vAlign w:val="center"/>
          </w:tcPr>
          <w:p w14:paraId="4D4C7B4C">
            <w:pPr>
              <w:pStyle w:val="276"/>
              <w:ind w:firstLine="0" w:firstLineChars="0"/>
              <w:rPr>
                <w:rFonts w:hint="default"/>
                <w:color w:val="auto"/>
                <w:lang w:val="en-US" w:eastAsia="zh-CN"/>
              </w:rPr>
            </w:pPr>
            <w:r>
              <w:rPr>
                <w:rFonts w:hint="eastAsia"/>
                <w:color w:val="auto"/>
                <w:lang w:val="en-US" w:eastAsia="zh-CN"/>
              </w:rPr>
              <w:t>500~1500</w:t>
            </w:r>
          </w:p>
        </w:tc>
        <w:tc>
          <w:tcPr>
            <w:tcW w:w="603" w:type="pct"/>
            <w:vMerge w:val="continue"/>
            <w:tcBorders>
              <w:right w:val="single" w:color="auto" w:sz="4" w:space="0"/>
            </w:tcBorders>
            <w:vAlign w:val="center"/>
          </w:tcPr>
          <w:p w14:paraId="4C966804">
            <w:pPr>
              <w:pStyle w:val="276"/>
              <w:rPr>
                <w:color w:val="auto"/>
              </w:rPr>
            </w:pPr>
          </w:p>
        </w:tc>
      </w:tr>
      <w:tr w14:paraId="7945E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290" w:type="pct"/>
            <w:vMerge w:val="continue"/>
            <w:tcBorders>
              <w:left w:val="single" w:color="auto" w:sz="4" w:space="0"/>
            </w:tcBorders>
            <w:vAlign w:val="center"/>
          </w:tcPr>
          <w:p w14:paraId="4B2EBA85">
            <w:pPr>
              <w:pStyle w:val="276"/>
              <w:rPr>
                <w:color w:val="auto"/>
              </w:rPr>
            </w:pPr>
          </w:p>
        </w:tc>
        <w:tc>
          <w:tcPr>
            <w:tcW w:w="194" w:type="pct"/>
            <w:vAlign w:val="center"/>
          </w:tcPr>
          <w:p w14:paraId="132D3D09">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14</w:t>
            </w:r>
          </w:p>
        </w:tc>
        <w:tc>
          <w:tcPr>
            <w:tcW w:w="733" w:type="pct"/>
            <w:vAlign w:val="center"/>
          </w:tcPr>
          <w:p w14:paraId="7AFF685E">
            <w:pPr>
              <w:pStyle w:val="276"/>
              <w:rPr>
                <w:rFonts w:hint="eastAsia" w:eastAsia="宋体"/>
                <w:color w:val="auto"/>
                <w:lang w:eastAsia="zh-CN"/>
              </w:rPr>
            </w:pPr>
            <w:r>
              <w:rPr>
                <w:rFonts w:hint="eastAsia"/>
                <w:color w:val="auto"/>
                <w:lang w:eastAsia="zh-CN"/>
              </w:rPr>
              <w:t>康家沱</w:t>
            </w:r>
          </w:p>
        </w:tc>
        <w:tc>
          <w:tcPr>
            <w:tcW w:w="482" w:type="pct"/>
            <w:vAlign w:val="center"/>
          </w:tcPr>
          <w:p w14:paraId="3B161244">
            <w:pPr>
              <w:pStyle w:val="276"/>
              <w:rPr>
                <w:rFonts w:hint="eastAsia" w:eastAsia="宋体"/>
                <w:color w:val="auto"/>
                <w:lang w:val="en-US" w:eastAsia="zh-CN"/>
              </w:rPr>
            </w:pPr>
            <w:r>
              <w:rPr>
                <w:rFonts w:hint="eastAsia"/>
                <w:color w:val="auto"/>
                <w:lang w:val="en-US" w:eastAsia="zh-CN"/>
              </w:rPr>
              <w:t>N</w:t>
            </w:r>
          </w:p>
        </w:tc>
        <w:tc>
          <w:tcPr>
            <w:tcW w:w="779" w:type="pct"/>
            <w:vAlign w:val="center"/>
          </w:tcPr>
          <w:p w14:paraId="1B9344FB">
            <w:pPr>
              <w:pStyle w:val="276"/>
              <w:ind w:firstLine="0" w:firstLineChars="0"/>
              <w:rPr>
                <w:rFonts w:hint="eastAsia"/>
                <w:color w:val="auto"/>
              </w:rPr>
            </w:pPr>
            <w:r>
              <w:rPr>
                <w:rFonts w:hint="default"/>
                <w:color w:val="auto"/>
                <w:lang w:val="en-US" w:eastAsia="zh-CN"/>
              </w:rPr>
              <w:t xml:space="preserve">108.016764 </w:t>
            </w:r>
          </w:p>
        </w:tc>
        <w:tc>
          <w:tcPr>
            <w:tcW w:w="707" w:type="pct"/>
            <w:vAlign w:val="center"/>
          </w:tcPr>
          <w:p w14:paraId="4DB2395F">
            <w:pPr>
              <w:pStyle w:val="276"/>
              <w:ind w:firstLine="0" w:firstLineChars="0"/>
              <w:rPr>
                <w:rFonts w:hint="eastAsia"/>
                <w:color w:val="auto"/>
              </w:rPr>
            </w:pPr>
            <w:r>
              <w:rPr>
                <w:rFonts w:hint="eastAsia"/>
                <w:color w:val="auto"/>
                <w:lang w:val="en-US" w:eastAsia="zh-CN"/>
              </w:rPr>
              <w:t xml:space="preserve">30.234464 </w:t>
            </w:r>
          </w:p>
        </w:tc>
        <w:tc>
          <w:tcPr>
            <w:tcW w:w="806" w:type="pct"/>
            <w:shd w:val="clear" w:color="auto" w:fill="auto"/>
            <w:vAlign w:val="center"/>
          </w:tcPr>
          <w:p w14:paraId="54B2F01D">
            <w:pPr>
              <w:pStyle w:val="276"/>
              <w:ind w:firstLine="0" w:firstLineChars="0"/>
              <w:rPr>
                <w:rFonts w:hint="eastAsia" w:ascii="Times New Roman" w:hAnsi="Times New Roman" w:eastAsia="宋体" w:cs="Times New Roman"/>
                <w:color w:val="auto"/>
                <w:kern w:val="2"/>
                <w:sz w:val="21"/>
                <w:szCs w:val="21"/>
                <w:lang w:val="zh-CN" w:eastAsia="zh-CN" w:bidi="ar-SA"/>
              </w:rPr>
            </w:pPr>
            <w:r>
              <w:rPr>
                <w:rFonts w:hint="eastAsia"/>
                <w:color w:val="auto"/>
                <w:lang w:eastAsia="zh-CN"/>
              </w:rPr>
              <w:t>零散居民</w:t>
            </w:r>
            <w:r>
              <w:rPr>
                <w:rFonts w:hint="eastAsia"/>
                <w:color w:val="auto"/>
              </w:rPr>
              <w:t>约</w:t>
            </w:r>
            <w:r>
              <w:rPr>
                <w:rFonts w:hint="eastAsia"/>
                <w:color w:val="auto"/>
                <w:lang w:val="en-US" w:eastAsia="zh-CN"/>
              </w:rPr>
              <w:t>1</w:t>
            </w:r>
            <w:r>
              <w:rPr>
                <w:rFonts w:hint="eastAsia"/>
                <w:color w:val="auto"/>
              </w:rPr>
              <w:t>00人</w:t>
            </w:r>
          </w:p>
        </w:tc>
        <w:tc>
          <w:tcPr>
            <w:tcW w:w="400" w:type="pct"/>
            <w:shd w:val="clear" w:color="auto" w:fill="auto"/>
            <w:vAlign w:val="center"/>
          </w:tcPr>
          <w:p w14:paraId="6F53240A">
            <w:pPr>
              <w:pStyle w:val="276"/>
              <w:ind w:firstLine="0" w:firstLineChars="0"/>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1700~2100</w:t>
            </w:r>
          </w:p>
        </w:tc>
        <w:tc>
          <w:tcPr>
            <w:tcW w:w="603" w:type="pct"/>
            <w:vMerge w:val="continue"/>
            <w:tcBorders>
              <w:right w:val="single" w:color="auto" w:sz="4" w:space="0"/>
            </w:tcBorders>
            <w:vAlign w:val="center"/>
          </w:tcPr>
          <w:p w14:paraId="59EAA8CA">
            <w:pPr>
              <w:pStyle w:val="276"/>
              <w:rPr>
                <w:color w:val="auto"/>
              </w:rPr>
            </w:pPr>
          </w:p>
        </w:tc>
      </w:tr>
      <w:tr w14:paraId="513D6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290" w:type="pct"/>
            <w:vMerge w:val="restart"/>
            <w:tcBorders>
              <w:left w:val="single" w:color="auto" w:sz="4" w:space="0"/>
            </w:tcBorders>
            <w:vAlign w:val="center"/>
          </w:tcPr>
          <w:p w14:paraId="7E97074E">
            <w:pPr>
              <w:pStyle w:val="276"/>
              <w:rPr>
                <w:color w:val="auto"/>
              </w:rPr>
            </w:pPr>
            <w:r>
              <w:rPr>
                <w:rFonts w:hint="eastAsia"/>
                <w:color w:val="auto"/>
              </w:rPr>
              <w:t>环境风险</w:t>
            </w:r>
          </w:p>
        </w:tc>
        <w:tc>
          <w:tcPr>
            <w:tcW w:w="194" w:type="pct"/>
            <w:vAlign w:val="center"/>
          </w:tcPr>
          <w:p w14:paraId="516AD36F">
            <w:pPr>
              <w:spacing w:line="240" w:lineRule="auto"/>
              <w:ind w:firstLine="0" w:firstLineChars="0"/>
              <w:jc w:val="center"/>
              <w:rPr>
                <w:rFonts w:hint="eastAsia" w:eastAsia="宋体"/>
                <w:color w:val="auto"/>
                <w:sz w:val="21"/>
                <w:szCs w:val="21"/>
                <w:lang w:eastAsia="zh-CN"/>
              </w:rPr>
            </w:pPr>
            <w:r>
              <w:rPr>
                <w:rFonts w:hint="eastAsia"/>
                <w:color w:val="auto"/>
                <w:sz w:val="21"/>
                <w:szCs w:val="21"/>
              </w:rPr>
              <w:t>1</w:t>
            </w:r>
            <w:r>
              <w:rPr>
                <w:rFonts w:hint="eastAsia"/>
                <w:color w:val="auto"/>
                <w:sz w:val="21"/>
                <w:szCs w:val="21"/>
                <w:lang w:val="en-US" w:eastAsia="zh-CN"/>
              </w:rPr>
              <w:t>5</w:t>
            </w:r>
          </w:p>
        </w:tc>
        <w:tc>
          <w:tcPr>
            <w:tcW w:w="733" w:type="pct"/>
            <w:vAlign w:val="center"/>
          </w:tcPr>
          <w:p w14:paraId="7376452F">
            <w:pPr>
              <w:pStyle w:val="276"/>
              <w:rPr>
                <w:rFonts w:hint="eastAsia" w:eastAsia="宋体"/>
                <w:color w:val="auto"/>
                <w:lang w:eastAsia="zh-CN"/>
              </w:rPr>
            </w:pPr>
            <w:r>
              <w:rPr>
                <w:rFonts w:hint="eastAsia"/>
                <w:color w:val="auto"/>
                <w:lang w:eastAsia="zh-CN"/>
              </w:rPr>
              <w:t>桐柏村</w:t>
            </w:r>
          </w:p>
        </w:tc>
        <w:tc>
          <w:tcPr>
            <w:tcW w:w="482" w:type="pct"/>
            <w:vAlign w:val="center"/>
          </w:tcPr>
          <w:p w14:paraId="68B495AE">
            <w:pPr>
              <w:pStyle w:val="3932"/>
              <w:spacing w:before="120" w:line="240" w:lineRule="auto"/>
              <w:ind w:firstLine="0" w:firstLineChars="0"/>
              <w:rPr>
                <w:rFonts w:hint="eastAsia" w:eastAsia="等线"/>
                <w:color w:val="auto"/>
                <w:sz w:val="21"/>
                <w:szCs w:val="21"/>
                <w:lang w:eastAsia="zh-CN"/>
              </w:rPr>
            </w:pPr>
            <w:r>
              <w:rPr>
                <w:rFonts w:hint="eastAsia" w:eastAsia="等线"/>
                <w:color w:val="auto"/>
                <w:sz w:val="21"/>
                <w:szCs w:val="21"/>
                <w:lang w:val="en-US" w:eastAsia="zh-CN"/>
              </w:rPr>
              <w:t>N</w:t>
            </w:r>
          </w:p>
        </w:tc>
        <w:tc>
          <w:tcPr>
            <w:tcW w:w="779" w:type="pct"/>
            <w:vAlign w:val="center"/>
          </w:tcPr>
          <w:p w14:paraId="0F146D95">
            <w:pPr>
              <w:pStyle w:val="276"/>
              <w:ind w:firstLine="0" w:firstLineChars="0"/>
              <w:rPr>
                <w:rFonts w:hint="eastAsia"/>
                <w:color w:val="auto"/>
              </w:rPr>
            </w:pPr>
            <w:r>
              <w:rPr>
                <w:rFonts w:hint="default"/>
                <w:color w:val="auto"/>
                <w:lang w:val="en-US" w:eastAsia="zh-CN"/>
              </w:rPr>
              <w:t xml:space="preserve">108.021249 </w:t>
            </w:r>
          </w:p>
        </w:tc>
        <w:tc>
          <w:tcPr>
            <w:tcW w:w="707" w:type="pct"/>
            <w:vAlign w:val="center"/>
          </w:tcPr>
          <w:p w14:paraId="6EBF55A8">
            <w:pPr>
              <w:pStyle w:val="276"/>
              <w:ind w:firstLine="0" w:firstLineChars="0"/>
              <w:rPr>
                <w:rFonts w:hint="eastAsia"/>
                <w:color w:val="auto"/>
              </w:rPr>
            </w:pPr>
            <w:r>
              <w:rPr>
                <w:rFonts w:hint="eastAsia"/>
                <w:color w:val="auto"/>
                <w:lang w:val="en-US" w:eastAsia="zh-CN"/>
              </w:rPr>
              <w:t xml:space="preserve">30.262209 </w:t>
            </w:r>
          </w:p>
        </w:tc>
        <w:tc>
          <w:tcPr>
            <w:tcW w:w="806" w:type="pct"/>
            <w:vAlign w:val="center"/>
          </w:tcPr>
          <w:p w14:paraId="669560E4">
            <w:pPr>
              <w:pStyle w:val="276"/>
              <w:rPr>
                <w:color w:val="auto"/>
              </w:rPr>
            </w:pPr>
            <w:r>
              <w:rPr>
                <w:rFonts w:hint="eastAsia"/>
                <w:color w:val="auto"/>
                <w:lang w:eastAsia="zh-CN"/>
              </w:rPr>
              <w:t>零散居民</w:t>
            </w:r>
            <w:r>
              <w:rPr>
                <w:rFonts w:hint="eastAsia"/>
                <w:color w:val="auto"/>
              </w:rPr>
              <w:t>约</w:t>
            </w:r>
            <w:r>
              <w:rPr>
                <w:rFonts w:hint="eastAsia"/>
                <w:color w:val="auto"/>
                <w:lang w:val="en-US" w:eastAsia="zh-CN"/>
              </w:rPr>
              <w:t>10</w:t>
            </w:r>
            <w:r>
              <w:rPr>
                <w:rFonts w:hint="eastAsia"/>
                <w:color w:val="auto"/>
              </w:rPr>
              <w:t>00人</w:t>
            </w:r>
          </w:p>
        </w:tc>
        <w:tc>
          <w:tcPr>
            <w:tcW w:w="400" w:type="pct"/>
            <w:vAlign w:val="center"/>
          </w:tcPr>
          <w:p w14:paraId="6D1D5275">
            <w:pPr>
              <w:pStyle w:val="276"/>
              <w:rPr>
                <w:color w:val="auto"/>
              </w:rPr>
            </w:pPr>
            <w:r>
              <w:rPr>
                <w:rFonts w:hint="eastAsia"/>
                <w:color w:val="auto"/>
              </w:rPr>
              <w:t>4500</w:t>
            </w:r>
          </w:p>
        </w:tc>
        <w:tc>
          <w:tcPr>
            <w:tcW w:w="603" w:type="pct"/>
            <w:vMerge w:val="restart"/>
            <w:tcBorders>
              <w:right w:val="single" w:color="auto" w:sz="4" w:space="0"/>
            </w:tcBorders>
            <w:vAlign w:val="center"/>
          </w:tcPr>
          <w:p w14:paraId="252E44CB">
            <w:pPr>
              <w:pStyle w:val="276"/>
              <w:rPr>
                <w:color w:val="auto"/>
              </w:rPr>
            </w:pPr>
            <w:r>
              <w:rPr>
                <w:rFonts w:hint="eastAsia"/>
                <w:color w:val="auto"/>
              </w:rPr>
              <w:t>GB3095-2012</w:t>
            </w:r>
          </w:p>
          <w:p w14:paraId="49C7AE4D">
            <w:pPr>
              <w:pStyle w:val="276"/>
              <w:rPr>
                <w:color w:val="auto"/>
              </w:rPr>
            </w:pPr>
            <w:r>
              <w:rPr>
                <w:rFonts w:hint="eastAsia"/>
                <w:color w:val="auto"/>
              </w:rPr>
              <w:t>二级标准</w:t>
            </w:r>
          </w:p>
        </w:tc>
      </w:tr>
      <w:tr w14:paraId="17758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290" w:type="pct"/>
            <w:vMerge w:val="continue"/>
            <w:tcBorders>
              <w:left w:val="single" w:color="auto" w:sz="4" w:space="0"/>
            </w:tcBorders>
            <w:vAlign w:val="center"/>
          </w:tcPr>
          <w:p w14:paraId="35FEFFAD">
            <w:pPr>
              <w:pStyle w:val="276"/>
              <w:rPr>
                <w:color w:val="auto"/>
              </w:rPr>
            </w:pPr>
          </w:p>
        </w:tc>
        <w:tc>
          <w:tcPr>
            <w:tcW w:w="194" w:type="pct"/>
            <w:vAlign w:val="center"/>
          </w:tcPr>
          <w:p w14:paraId="7CAAC6D3">
            <w:pPr>
              <w:spacing w:line="240" w:lineRule="auto"/>
              <w:ind w:firstLine="0" w:firstLineChars="0"/>
              <w:jc w:val="center"/>
              <w:rPr>
                <w:rFonts w:hint="eastAsia" w:eastAsia="宋体"/>
                <w:color w:val="auto"/>
                <w:sz w:val="21"/>
                <w:szCs w:val="21"/>
                <w:lang w:eastAsia="zh-CN"/>
              </w:rPr>
            </w:pPr>
            <w:r>
              <w:rPr>
                <w:rFonts w:hint="eastAsia"/>
                <w:color w:val="auto"/>
                <w:sz w:val="21"/>
                <w:szCs w:val="21"/>
              </w:rPr>
              <w:t>1</w:t>
            </w:r>
            <w:r>
              <w:rPr>
                <w:rFonts w:hint="eastAsia"/>
                <w:color w:val="auto"/>
                <w:sz w:val="21"/>
                <w:szCs w:val="21"/>
                <w:lang w:val="en-US" w:eastAsia="zh-CN"/>
              </w:rPr>
              <w:t>6</w:t>
            </w:r>
          </w:p>
        </w:tc>
        <w:tc>
          <w:tcPr>
            <w:tcW w:w="733" w:type="pct"/>
            <w:vAlign w:val="center"/>
          </w:tcPr>
          <w:p w14:paraId="0862E504">
            <w:pPr>
              <w:pStyle w:val="276"/>
              <w:rPr>
                <w:rFonts w:hint="eastAsia" w:eastAsia="宋体"/>
                <w:color w:val="auto"/>
                <w:lang w:eastAsia="zh-CN"/>
              </w:rPr>
            </w:pPr>
            <w:r>
              <w:rPr>
                <w:rFonts w:hint="eastAsia"/>
                <w:color w:val="auto"/>
                <w:lang w:eastAsia="zh-CN"/>
              </w:rPr>
              <w:t>永华村</w:t>
            </w:r>
          </w:p>
        </w:tc>
        <w:tc>
          <w:tcPr>
            <w:tcW w:w="482" w:type="pct"/>
            <w:vAlign w:val="center"/>
          </w:tcPr>
          <w:p w14:paraId="052FD9CD">
            <w:pPr>
              <w:pStyle w:val="276"/>
              <w:rPr>
                <w:rFonts w:hint="default" w:eastAsia="宋体"/>
                <w:color w:val="auto"/>
                <w:lang w:val="en-US" w:eastAsia="zh-CN"/>
              </w:rPr>
            </w:pPr>
            <w:r>
              <w:rPr>
                <w:rFonts w:hint="eastAsia"/>
                <w:color w:val="auto"/>
                <w:lang w:val="en-US" w:eastAsia="zh-CN"/>
              </w:rPr>
              <w:t>NE</w:t>
            </w:r>
          </w:p>
        </w:tc>
        <w:tc>
          <w:tcPr>
            <w:tcW w:w="779" w:type="pct"/>
            <w:vAlign w:val="center"/>
          </w:tcPr>
          <w:p w14:paraId="198AF609">
            <w:pPr>
              <w:pStyle w:val="276"/>
              <w:ind w:firstLine="0" w:firstLineChars="0"/>
              <w:rPr>
                <w:rFonts w:hint="eastAsia"/>
                <w:color w:val="auto"/>
              </w:rPr>
            </w:pPr>
            <w:r>
              <w:rPr>
                <w:rFonts w:hint="default"/>
                <w:color w:val="auto"/>
                <w:lang w:val="en-US" w:eastAsia="zh-CN"/>
              </w:rPr>
              <w:t xml:space="preserve">108.038415 </w:t>
            </w:r>
          </w:p>
        </w:tc>
        <w:tc>
          <w:tcPr>
            <w:tcW w:w="707" w:type="pct"/>
            <w:vAlign w:val="center"/>
          </w:tcPr>
          <w:p w14:paraId="54252A82">
            <w:pPr>
              <w:pStyle w:val="276"/>
              <w:ind w:firstLine="0" w:firstLineChars="0"/>
              <w:rPr>
                <w:rFonts w:hint="eastAsia"/>
                <w:color w:val="auto"/>
              </w:rPr>
            </w:pPr>
            <w:r>
              <w:rPr>
                <w:rFonts w:hint="eastAsia"/>
                <w:color w:val="auto"/>
                <w:lang w:val="en-US" w:eastAsia="zh-CN"/>
              </w:rPr>
              <w:t xml:space="preserve">30.250965 </w:t>
            </w:r>
          </w:p>
        </w:tc>
        <w:tc>
          <w:tcPr>
            <w:tcW w:w="806" w:type="pct"/>
            <w:shd w:val="clear" w:color="auto" w:fill="auto"/>
            <w:vAlign w:val="center"/>
          </w:tcPr>
          <w:p w14:paraId="2BB9539E">
            <w:pPr>
              <w:pStyle w:val="276"/>
              <w:ind w:firstLine="0" w:firstLineChars="0"/>
              <w:rPr>
                <w:rFonts w:ascii="Times New Roman" w:hAnsi="Times New Roman" w:eastAsia="宋体" w:cs="Times New Roman"/>
                <w:color w:val="auto"/>
                <w:kern w:val="2"/>
                <w:sz w:val="21"/>
                <w:szCs w:val="21"/>
                <w:lang w:val="zh-CN" w:eastAsia="zh-CN" w:bidi="ar-SA"/>
              </w:rPr>
            </w:pPr>
            <w:r>
              <w:rPr>
                <w:rFonts w:hint="eastAsia"/>
                <w:color w:val="auto"/>
                <w:lang w:eastAsia="zh-CN"/>
              </w:rPr>
              <w:t>零散居民</w:t>
            </w:r>
            <w:r>
              <w:rPr>
                <w:rFonts w:hint="eastAsia"/>
                <w:color w:val="auto"/>
              </w:rPr>
              <w:t>约</w:t>
            </w:r>
            <w:r>
              <w:rPr>
                <w:rFonts w:hint="eastAsia"/>
                <w:color w:val="auto"/>
                <w:lang w:val="en-US" w:eastAsia="zh-CN"/>
              </w:rPr>
              <w:t>10</w:t>
            </w:r>
            <w:r>
              <w:rPr>
                <w:rFonts w:hint="eastAsia"/>
                <w:color w:val="auto"/>
              </w:rPr>
              <w:t>00人</w:t>
            </w:r>
          </w:p>
        </w:tc>
        <w:tc>
          <w:tcPr>
            <w:tcW w:w="400" w:type="pct"/>
            <w:shd w:val="clear" w:color="auto" w:fill="auto"/>
            <w:vAlign w:val="center"/>
          </w:tcPr>
          <w:p w14:paraId="13216CB1">
            <w:pPr>
              <w:pStyle w:val="276"/>
              <w:ind w:firstLine="0" w:firstLineChars="0"/>
              <w:rPr>
                <w:rFonts w:hint="default" w:ascii="Times New Roman" w:hAnsi="Times New Roman" w:eastAsia="宋体" w:cs="Times New Roman"/>
                <w:color w:val="auto"/>
                <w:kern w:val="2"/>
                <w:sz w:val="21"/>
                <w:szCs w:val="21"/>
                <w:lang w:val="en-US" w:eastAsia="zh-CN" w:bidi="ar-SA"/>
              </w:rPr>
            </w:pPr>
            <w:r>
              <w:rPr>
                <w:rFonts w:hint="eastAsia"/>
                <w:color w:val="auto"/>
              </w:rPr>
              <w:t>4500</w:t>
            </w:r>
          </w:p>
        </w:tc>
        <w:tc>
          <w:tcPr>
            <w:tcW w:w="603" w:type="pct"/>
            <w:vMerge w:val="continue"/>
            <w:tcBorders>
              <w:right w:val="single" w:color="auto" w:sz="4" w:space="0"/>
            </w:tcBorders>
            <w:vAlign w:val="center"/>
          </w:tcPr>
          <w:p w14:paraId="3B9C4814">
            <w:pPr>
              <w:pStyle w:val="276"/>
              <w:rPr>
                <w:color w:val="auto"/>
              </w:rPr>
            </w:pPr>
          </w:p>
        </w:tc>
      </w:tr>
      <w:tr w14:paraId="38732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290" w:type="pct"/>
            <w:vMerge w:val="continue"/>
            <w:tcBorders>
              <w:left w:val="single" w:color="auto" w:sz="4" w:space="0"/>
            </w:tcBorders>
            <w:vAlign w:val="center"/>
          </w:tcPr>
          <w:p w14:paraId="6B480154">
            <w:pPr>
              <w:pStyle w:val="276"/>
              <w:rPr>
                <w:color w:val="auto"/>
              </w:rPr>
            </w:pPr>
          </w:p>
        </w:tc>
        <w:tc>
          <w:tcPr>
            <w:tcW w:w="194" w:type="pct"/>
            <w:vAlign w:val="center"/>
          </w:tcPr>
          <w:p w14:paraId="318AF743">
            <w:pPr>
              <w:spacing w:line="240" w:lineRule="auto"/>
              <w:ind w:firstLine="0" w:firstLineChars="0"/>
              <w:jc w:val="center"/>
              <w:rPr>
                <w:rFonts w:hint="eastAsia" w:eastAsia="宋体"/>
                <w:color w:val="auto"/>
                <w:sz w:val="21"/>
                <w:szCs w:val="21"/>
                <w:lang w:eastAsia="zh-CN"/>
              </w:rPr>
            </w:pPr>
            <w:r>
              <w:rPr>
                <w:rFonts w:hint="eastAsia"/>
                <w:color w:val="auto"/>
                <w:sz w:val="21"/>
                <w:szCs w:val="21"/>
              </w:rPr>
              <w:t>1</w:t>
            </w:r>
            <w:r>
              <w:rPr>
                <w:rFonts w:hint="eastAsia"/>
                <w:color w:val="auto"/>
                <w:sz w:val="21"/>
                <w:szCs w:val="21"/>
                <w:lang w:val="en-US" w:eastAsia="zh-CN"/>
              </w:rPr>
              <w:t>7</w:t>
            </w:r>
          </w:p>
        </w:tc>
        <w:tc>
          <w:tcPr>
            <w:tcW w:w="733" w:type="pct"/>
            <w:vAlign w:val="center"/>
          </w:tcPr>
          <w:p w14:paraId="686959A9">
            <w:pPr>
              <w:pStyle w:val="276"/>
              <w:rPr>
                <w:rFonts w:hint="eastAsia" w:eastAsia="宋体"/>
                <w:color w:val="auto"/>
                <w:lang w:eastAsia="zh-CN"/>
              </w:rPr>
            </w:pPr>
            <w:r>
              <w:rPr>
                <w:rFonts w:hint="eastAsia"/>
                <w:color w:val="auto"/>
                <w:lang w:eastAsia="zh-CN"/>
              </w:rPr>
              <w:t>竹山村</w:t>
            </w:r>
          </w:p>
        </w:tc>
        <w:tc>
          <w:tcPr>
            <w:tcW w:w="482" w:type="pct"/>
            <w:vAlign w:val="center"/>
          </w:tcPr>
          <w:p w14:paraId="58415231">
            <w:pPr>
              <w:pStyle w:val="276"/>
              <w:rPr>
                <w:rFonts w:hint="eastAsia" w:eastAsia="宋体"/>
                <w:color w:val="auto"/>
                <w:lang w:eastAsia="zh-CN"/>
              </w:rPr>
            </w:pPr>
            <w:r>
              <w:rPr>
                <w:rFonts w:hint="eastAsia"/>
                <w:color w:val="auto"/>
                <w:lang w:val="en-US" w:eastAsia="zh-CN"/>
              </w:rPr>
              <w:t>E</w:t>
            </w:r>
          </w:p>
        </w:tc>
        <w:tc>
          <w:tcPr>
            <w:tcW w:w="779" w:type="pct"/>
            <w:vAlign w:val="center"/>
          </w:tcPr>
          <w:p w14:paraId="70A6EFE6">
            <w:pPr>
              <w:pStyle w:val="276"/>
              <w:ind w:firstLine="0" w:firstLineChars="0"/>
              <w:rPr>
                <w:rFonts w:hint="eastAsia"/>
                <w:color w:val="auto"/>
              </w:rPr>
            </w:pPr>
            <w:r>
              <w:rPr>
                <w:rFonts w:hint="default"/>
                <w:color w:val="auto"/>
                <w:lang w:val="en-US" w:eastAsia="zh-CN"/>
              </w:rPr>
              <w:t xml:space="preserve">108.061246 </w:t>
            </w:r>
          </w:p>
        </w:tc>
        <w:tc>
          <w:tcPr>
            <w:tcW w:w="707" w:type="pct"/>
            <w:vAlign w:val="center"/>
          </w:tcPr>
          <w:p w14:paraId="0BF4A5B7">
            <w:pPr>
              <w:pStyle w:val="276"/>
              <w:ind w:firstLine="0" w:firstLineChars="0"/>
              <w:rPr>
                <w:rFonts w:hint="eastAsia"/>
                <w:color w:val="auto"/>
              </w:rPr>
            </w:pPr>
            <w:r>
              <w:rPr>
                <w:rFonts w:hint="eastAsia"/>
                <w:color w:val="auto"/>
                <w:lang w:val="en-US" w:eastAsia="zh-CN"/>
              </w:rPr>
              <w:t xml:space="preserve">30.218436 </w:t>
            </w:r>
          </w:p>
        </w:tc>
        <w:tc>
          <w:tcPr>
            <w:tcW w:w="806" w:type="pct"/>
            <w:vAlign w:val="center"/>
          </w:tcPr>
          <w:p w14:paraId="5B1F70B2">
            <w:pPr>
              <w:pStyle w:val="276"/>
              <w:rPr>
                <w:color w:val="auto"/>
              </w:rPr>
            </w:pPr>
            <w:r>
              <w:rPr>
                <w:rFonts w:hint="eastAsia"/>
                <w:color w:val="auto"/>
              </w:rPr>
              <w:t>农村散户约1000人</w:t>
            </w:r>
          </w:p>
        </w:tc>
        <w:tc>
          <w:tcPr>
            <w:tcW w:w="400" w:type="pct"/>
            <w:vAlign w:val="center"/>
          </w:tcPr>
          <w:p w14:paraId="2371326A">
            <w:pPr>
              <w:pStyle w:val="276"/>
              <w:rPr>
                <w:rFonts w:hint="default" w:eastAsia="宋体"/>
                <w:color w:val="auto"/>
                <w:lang w:val="en-US" w:eastAsia="zh-CN"/>
              </w:rPr>
            </w:pPr>
            <w:r>
              <w:rPr>
                <w:rFonts w:hint="eastAsia"/>
                <w:color w:val="auto"/>
                <w:lang w:val="en-US" w:eastAsia="zh-CN"/>
              </w:rPr>
              <w:t>4600</w:t>
            </w:r>
          </w:p>
        </w:tc>
        <w:tc>
          <w:tcPr>
            <w:tcW w:w="603" w:type="pct"/>
            <w:vMerge w:val="continue"/>
            <w:tcBorders>
              <w:right w:val="single" w:color="auto" w:sz="4" w:space="0"/>
            </w:tcBorders>
            <w:vAlign w:val="center"/>
          </w:tcPr>
          <w:p w14:paraId="2735F567">
            <w:pPr>
              <w:pStyle w:val="276"/>
              <w:rPr>
                <w:color w:val="auto"/>
              </w:rPr>
            </w:pPr>
          </w:p>
        </w:tc>
      </w:tr>
      <w:tr w14:paraId="18C59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290" w:type="pct"/>
            <w:vMerge w:val="continue"/>
            <w:tcBorders>
              <w:left w:val="single" w:color="auto" w:sz="4" w:space="0"/>
            </w:tcBorders>
            <w:vAlign w:val="center"/>
          </w:tcPr>
          <w:p w14:paraId="6CD9B4D9">
            <w:pPr>
              <w:pStyle w:val="276"/>
              <w:rPr>
                <w:color w:val="auto"/>
              </w:rPr>
            </w:pPr>
          </w:p>
        </w:tc>
        <w:tc>
          <w:tcPr>
            <w:tcW w:w="194" w:type="pct"/>
            <w:vAlign w:val="center"/>
          </w:tcPr>
          <w:p w14:paraId="1ACFF576">
            <w:pPr>
              <w:spacing w:line="240" w:lineRule="auto"/>
              <w:ind w:firstLine="0" w:firstLineChars="0"/>
              <w:jc w:val="center"/>
              <w:rPr>
                <w:rFonts w:hint="eastAsia" w:eastAsia="宋体"/>
                <w:color w:val="auto"/>
                <w:sz w:val="21"/>
                <w:szCs w:val="21"/>
                <w:lang w:eastAsia="zh-CN"/>
              </w:rPr>
            </w:pPr>
            <w:r>
              <w:rPr>
                <w:rFonts w:hint="eastAsia"/>
                <w:color w:val="auto"/>
                <w:sz w:val="21"/>
                <w:szCs w:val="21"/>
              </w:rPr>
              <w:t>1</w:t>
            </w:r>
            <w:r>
              <w:rPr>
                <w:rFonts w:hint="eastAsia"/>
                <w:color w:val="auto"/>
                <w:sz w:val="21"/>
                <w:szCs w:val="21"/>
                <w:lang w:val="en-US" w:eastAsia="zh-CN"/>
              </w:rPr>
              <w:t>8</w:t>
            </w:r>
          </w:p>
        </w:tc>
        <w:tc>
          <w:tcPr>
            <w:tcW w:w="733" w:type="pct"/>
            <w:vAlign w:val="center"/>
          </w:tcPr>
          <w:p w14:paraId="562C6D37">
            <w:pPr>
              <w:pStyle w:val="276"/>
              <w:rPr>
                <w:rFonts w:hint="default" w:eastAsia="宋体"/>
                <w:color w:val="auto"/>
                <w:lang w:val="en-US" w:eastAsia="zh-CN"/>
              </w:rPr>
            </w:pPr>
            <w:r>
              <w:rPr>
                <w:rFonts w:hint="eastAsia"/>
                <w:color w:val="auto"/>
                <w:lang w:eastAsia="zh-CN"/>
              </w:rPr>
              <w:t>马耳村</w:t>
            </w:r>
            <w:r>
              <w:rPr>
                <w:rFonts w:hint="eastAsia"/>
                <w:color w:val="auto"/>
                <w:lang w:val="en-US" w:eastAsia="zh-CN"/>
              </w:rPr>
              <w:t>/长春村</w:t>
            </w:r>
          </w:p>
        </w:tc>
        <w:tc>
          <w:tcPr>
            <w:tcW w:w="482" w:type="pct"/>
            <w:vAlign w:val="center"/>
          </w:tcPr>
          <w:p w14:paraId="2263A764">
            <w:pPr>
              <w:pStyle w:val="276"/>
              <w:rPr>
                <w:rFonts w:hint="default" w:eastAsia="宋体"/>
                <w:color w:val="auto"/>
                <w:lang w:val="en-US" w:eastAsia="zh-CN"/>
              </w:rPr>
            </w:pPr>
            <w:r>
              <w:rPr>
                <w:rFonts w:hint="eastAsia"/>
                <w:color w:val="auto"/>
                <w:lang w:val="en-US" w:eastAsia="zh-CN"/>
              </w:rPr>
              <w:t>SE</w:t>
            </w:r>
          </w:p>
        </w:tc>
        <w:tc>
          <w:tcPr>
            <w:tcW w:w="779" w:type="pct"/>
            <w:vAlign w:val="center"/>
          </w:tcPr>
          <w:p w14:paraId="29A1C6AC">
            <w:pPr>
              <w:pStyle w:val="276"/>
              <w:ind w:firstLine="0" w:firstLineChars="0"/>
              <w:rPr>
                <w:rFonts w:hint="eastAsia"/>
                <w:color w:val="auto"/>
              </w:rPr>
            </w:pPr>
            <w:r>
              <w:rPr>
                <w:rFonts w:hint="default"/>
                <w:color w:val="auto"/>
                <w:lang w:val="en-US" w:eastAsia="zh-CN"/>
              </w:rPr>
              <w:t xml:space="preserve">108.046397 </w:t>
            </w:r>
          </w:p>
        </w:tc>
        <w:tc>
          <w:tcPr>
            <w:tcW w:w="707" w:type="pct"/>
            <w:vAlign w:val="center"/>
          </w:tcPr>
          <w:p w14:paraId="610B43D2">
            <w:pPr>
              <w:pStyle w:val="276"/>
              <w:ind w:firstLine="0" w:firstLineChars="0"/>
              <w:rPr>
                <w:rFonts w:hint="eastAsia"/>
                <w:color w:val="auto"/>
              </w:rPr>
            </w:pPr>
            <w:r>
              <w:rPr>
                <w:rFonts w:hint="eastAsia"/>
                <w:color w:val="auto"/>
                <w:lang w:val="en-US" w:eastAsia="zh-CN"/>
              </w:rPr>
              <w:t xml:space="preserve">30.190026 </w:t>
            </w:r>
          </w:p>
        </w:tc>
        <w:tc>
          <w:tcPr>
            <w:tcW w:w="806" w:type="pct"/>
            <w:vAlign w:val="center"/>
          </w:tcPr>
          <w:p w14:paraId="082E3A89">
            <w:pPr>
              <w:pStyle w:val="276"/>
              <w:rPr>
                <w:color w:val="auto"/>
              </w:rPr>
            </w:pPr>
            <w:r>
              <w:rPr>
                <w:rFonts w:hint="eastAsia"/>
                <w:color w:val="auto"/>
              </w:rPr>
              <w:t>农村散户约1000人</w:t>
            </w:r>
          </w:p>
        </w:tc>
        <w:tc>
          <w:tcPr>
            <w:tcW w:w="400" w:type="pct"/>
            <w:vAlign w:val="center"/>
          </w:tcPr>
          <w:p w14:paraId="0F2D4EE5">
            <w:pPr>
              <w:pStyle w:val="276"/>
              <w:rPr>
                <w:rFonts w:hint="default" w:eastAsia="宋体"/>
                <w:color w:val="auto"/>
                <w:lang w:val="en-US" w:eastAsia="zh-CN"/>
              </w:rPr>
            </w:pPr>
            <w:r>
              <w:rPr>
                <w:rFonts w:hint="eastAsia"/>
                <w:color w:val="auto"/>
                <w:lang w:val="en-US" w:eastAsia="zh-CN"/>
              </w:rPr>
              <w:t>3500</w:t>
            </w:r>
          </w:p>
        </w:tc>
        <w:tc>
          <w:tcPr>
            <w:tcW w:w="603" w:type="pct"/>
            <w:vMerge w:val="continue"/>
            <w:tcBorders>
              <w:right w:val="single" w:color="auto" w:sz="4" w:space="0"/>
            </w:tcBorders>
            <w:vAlign w:val="center"/>
          </w:tcPr>
          <w:p w14:paraId="10E4BC02">
            <w:pPr>
              <w:pStyle w:val="276"/>
              <w:rPr>
                <w:color w:val="auto"/>
              </w:rPr>
            </w:pPr>
          </w:p>
        </w:tc>
      </w:tr>
      <w:tr w14:paraId="50350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290" w:type="pct"/>
            <w:vMerge w:val="continue"/>
            <w:tcBorders>
              <w:left w:val="single" w:color="auto" w:sz="4" w:space="0"/>
            </w:tcBorders>
            <w:vAlign w:val="center"/>
          </w:tcPr>
          <w:p w14:paraId="3EF577C2">
            <w:pPr>
              <w:pStyle w:val="276"/>
              <w:rPr>
                <w:color w:val="auto"/>
              </w:rPr>
            </w:pPr>
          </w:p>
        </w:tc>
        <w:tc>
          <w:tcPr>
            <w:tcW w:w="194" w:type="pct"/>
            <w:vAlign w:val="center"/>
          </w:tcPr>
          <w:p w14:paraId="0B5B7545">
            <w:pPr>
              <w:spacing w:line="240" w:lineRule="auto"/>
              <w:ind w:firstLine="0" w:firstLineChars="0"/>
              <w:jc w:val="center"/>
              <w:rPr>
                <w:rFonts w:hint="eastAsia" w:eastAsia="宋体"/>
                <w:color w:val="auto"/>
                <w:sz w:val="21"/>
                <w:szCs w:val="21"/>
                <w:lang w:eastAsia="zh-CN"/>
              </w:rPr>
            </w:pPr>
            <w:r>
              <w:rPr>
                <w:rFonts w:hint="eastAsia"/>
                <w:color w:val="auto"/>
                <w:sz w:val="21"/>
                <w:szCs w:val="21"/>
              </w:rPr>
              <w:t>1</w:t>
            </w:r>
            <w:r>
              <w:rPr>
                <w:rFonts w:hint="eastAsia"/>
                <w:color w:val="auto"/>
                <w:sz w:val="21"/>
                <w:szCs w:val="21"/>
                <w:lang w:val="en-US" w:eastAsia="zh-CN"/>
              </w:rPr>
              <w:t>9</w:t>
            </w:r>
          </w:p>
        </w:tc>
        <w:tc>
          <w:tcPr>
            <w:tcW w:w="733" w:type="pct"/>
            <w:vAlign w:val="center"/>
          </w:tcPr>
          <w:p w14:paraId="7FBE53E7">
            <w:pPr>
              <w:pStyle w:val="276"/>
              <w:rPr>
                <w:rFonts w:hint="default" w:eastAsia="宋体"/>
                <w:color w:val="auto"/>
                <w:lang w:val="en-US" w:eastAsia="zh-CN"/>
              </w:rPr>
            </w:pPr>
            <w:r>
              <w:rPr>
                <w:rFonts w:hint="eastAsia"/>
                <w:color w:val="auto"/>
                <w:lang w:eastAsia="zh-CN"/>
              </w:rPr>
              <w:t>聂家村</w:t>
            </w:r>
          </w:p>
        </w:tc>
        <w:tc>
          <w:tcPr>
            <w:tcW w:w="482" w:type="pct"/>
            <w:vAlign w:val="center"/>
          </w:tcPr>
          <w:p w14:paraId="552749EF">
            <w:pPr>
              <w:pStyle w:val="276"/>
              <w:rPr>
                <w:color w:val="auto"/>
              </w:rPr>
            </w:pPr>
            <w:r>
              <w:rPr>
                <w:rFonts w:hint="eastAsia"/>
                <w:color w:val="auto"/>
              </w:rPr>
              <w:t>W</w:t>
            </w:r>
          </w:p>
        </w:tc>
        <w:tc>
          <w:tcPr>
            <w:tcW w:w="779" w:type="pct"/>
            <w:vAlign w:val="center"/>
          </w:tcPr>
          <w:p w14:paraId="4F2FBC58">
            <w:pPr>
              <w:pStyle w:val="276"/>
              <w:ind w:firstLine="0" w:firstLineChars="0"/>
              <w:rPr>
                <w:rFonts w:hint="eastAsia"/>
                <w:color w:val="auto"/>
              </w:rPr>
            </w:pPr>
            <w:r>
              <w:rPr>
                <w:rFonts w:hint="default"/>
                <w:color w:val="auto"/>
                <w:lang w:val="en-US" w:eastAsia="zh-CN"/>
              </w:rPr>
              <w:t xml:space="preserve">108.014897 </w:t>
            </w:r>
          </w:p>
        </w:tc>
        <w:tc>
          <w:tcPr>
            <w:tcW w:w="707" w:type="pct"/>
            <w:vAlign w:val="center"/>
          </w:tcPr>
          <w:p w14:paraId="4D0E5490">
            <w:pPr>
              <w:pStyle w:val="276"/>
              <w:ind w:firstLine="0" w:firstLineChars="0"/>
              <w:rPr>
                <w:rFonts w:hint="eastAsia"/>
                <w:color w:val="auto"/>
              </w:rPr>
            </w:pPr>
            <w:r>
              <w:rPr>
                <w:rFonts w:hint="eastAsia"/>
                <w:color w:val="auto"/>
                <w:lang w:val="en-US" w:eastAsia="zh-CN"/>
              </w:rPr>
              <w:t xml:space="preserve">30.174490 </w:t>
            </w:r>
          </w:p>
        </w:tc>
        <w:tc>
          <w:tcPr>
            <w:tcW w:w="806" w:type="pct"/>
            <w:vAlign w:val="center"/>
          </w:tcPr>
          <w:p w14:paraId="11F65CE9">
            <w:pPr>
              <w:pStyle w:val="276"/>
              <w:rPr>
                <w:color w:val="auto"/>
              </w:rPr>
            </w:pPr>
            <w:r>
              <w:rPr>
                <w:rFonts w:hint="eastAsia"/>
                <w:color w:val="auto"/>
              </w:rPr>
              <w:t>农村散户约</w:t>
            </w:r>
            <w:r>
              <w:rPr>
                <w:rFonts w:hint="eastAsia"/>
                <w:color w:val="auto"/>
                <w:lang w:val="en-US" w:eastAsia="zh-CN"/>
              </w:rPr>
              <w:t>15</w:t>
            </w:r>
            <w:r>
              <w:rPr>
                <w:rFonts w:hint="eastAsia"/>
                <w:color w:val="auto"/>
              </w:rPr>
              <w:t>00人</w:t>
            </w:r>
          </w:p>
        </w:tc>
        <w:tc>
          <w:tcPr>
            <w:tcW w:w="400" w:type="pct"/>
            <w:vAlign w:val="center"/>
          </w:tcPr>
          <w:p w14:paraId="37D93960">
            <w:pPr>
              <w:pStyle w:val="276"/>
              <w:rPr>
                <w:rFonts w:hint="default" w:eastAsia="宋体"/>
                <w:color w:val="auto"/>
                <w:lang w:val="en-US" w:eastAsia="zh-CN"/>
              </w:rPr>
            </w:pPr>
            <w:r>
              <w:rPr>
                <w:rFonts w:hint="eastAsia"/>
                <w:color w:val="auto"/>
                <w:lang w:val="en-US" w:eastAsia="zh-CN"/>
              </w:rPr>
              <w:t>4200</w:t>
            </w:r>
          </w:p>
        </w:tc>
        <w:tc>
          <w:tcPr>
            <w:tcW w:w="603" w:type="pct"/>
            <w:vMerge w:val="continue"/>
            <w:tcBorders>
              <w:right w:val="single" w:color="auto" w:sz="4" w:space="0"/>
            </w:tcBorders>
            <w:vAlign w:val="center"/>
          </w:tcPr>
          <w:p w14:paraId="5E03F4D7">
            <w:pPr>
              <w:pStyle w:val="276"/>
              <w:rPr>
                <w:color w:val="auto"/>
              </w:rPr>
            </w:pPr>
          </w:p>
        </w:tc>
      </w:tr>
      <w:tr w14:paraId="01CD9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290" w:type="pct"/>
            <w:vMerge w:val="continue"/>
            <w:tcBorders>
              <w:left w:val="single" w:color="auto" w:sz="4" w:space="0"/>
            </w:tcBorders>
            <w:vAlign w:val="center"/>
          </w:tcPr>
          <w:p w14:paraId="645C5C86">
            <w:pPr>
              <w:pStyle w:val="276"/>
              <w:rPr>
                <w:color w:val="auto"/>
              </w:rPr>
            </w:pPr>
          </w:p>
        </w:tc>
        <w:tc>
          <w:tcPr>
            <w:tcW w:w="194" w:type="pct"/>
            <w:shd w:val="clear" w:color="auto" w:fill="auto"/>
            <w:vAlign w:val="center"/>
          </w:tcPr>
          <w:p w14:paraId="45BD7CD7">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20</w:t>
            </w:r>
          </w:p>
        </w:tc>
        <w:tc>
          <w:tcPr>
            <w:tcW w:w="733" w:type="pct"/>
            <w:shd w:val="clear" w:color="auto" w:fill="auto"/>
            <w:vAlign w:val="center"/>
          </w:tcPr>
          <w:p w14:paraId="2A99D510">
            <w:pPr>
              <w:pStyle w:val="276"/>
              <w:ind w:firstLine="0" w:firstLineChars="0"/>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联合村</w:t>
            </w:r>
          </w:p>
        </w:tc>
        <w:tc>
          <w:tcPr>
            <w:tcW w:w="482" w:type="pct"/>
            <w:shd w:val="clear" w:color="auto" w:fill="auto"/>
            <w:vAlign w:val="center"/>
          </w:tcPr>
          <w:p w14:paraId="194CBF12">
            <w:pPr>
              <w:pStyle w:val="276"/>
              <w:ind w:firstLine="0" w:firstLineChars="0"/>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SW</w:t>
            </w:r>
          </w:p>
        </w:tc>
        <w:tc>
          <w:tcPr>
            <w:tcW w:w="779" w:type="pct"/>
            <w:shd w:val="clear" w:color="auto" w:fill="auto"/>
            <w:vAlign w:val="center"/>
          </w:tcPr>
          <w:p w14:paraId="6CD319E6">
            <w:pPr>
              <w:pStyle w:val="276"/>
              <w:ind w:firstLine="0" w:firstLineChars="0"/>
              <w:rPr>
                <w:rFonts w:hint="eastAsia"/>
                <w:color w:val="auto"/>
                <w:lang w:val="zh-CN" w:eastAsia="zh-CN"/>
              </w:rPr>
            </w:pPr>
            <w:r>
              <w:rPr>
                <w:rFonts w:hint="default"/>
                <w:color w:val="auto"/>
                <w:lang w:val="en-US" w:eastAsia="zh-CN"/>
              </w:rPr>
              <w:t xml:space="preserve">107.983312 </w:t>
            </w:r>
          </w:p>
        </w:tc>
        <w:tc>
          <w:tcPr>
            <w:tcW w:w="707" w:type="pct"/>
            <w:shd w:val="clear" w:color="auto" w:fill="auto"/>
            <w:vAlign w:val="center"/>
          </w:tcPr>
          <w:p w14:paraId="0EADA609">
            <w:pPr>
              <w:pStyle w:val="276"/>
              <w:ind w:firstLine="0" w:firstLineChars="0"/>
              <w:rPr>
                <w:rFonts w:hint="eastAsia"/>
                <w:color w:val="auto"/>
                <w:lang w:val="zh-CN" w:eastAsia="zh-CN"/>
              </w:rPr>
            </w:pPr>
            <w:r>
              <w:rPr>
                <w:rFonts w:hint="eastAsia"/>
                <w:color w:val="auto"/>
                <w:lang w:val="en-US" w:eastAsia="zh-CN"/>
              </w:rPr>
              <w:t xml:space="preserve">30.179726 </w:t>
            </w:r>
          </w:p>
        </w:tc>
        <w:tc>
          <w:tcPr>
            <w:tcW w:w="806" w:type="pct"/>
            <w:shd w:val="clear" w:color="auto" w:fill="auto"/>
            <w:vAlign w:val="center"/>
          </w:tcPr>
          <w:p w14:paraId="152689BE">
            <w:pPr>
              <w:pStyle w:val="276"/>
              <w:ind w:firstLine="0" w:firstLineChars="0"/>
              <w:rPr>
                <w:rFonts w:hint="eastAsia" w:ascii="Times New Roman" w:hAnsi="Times New Roman" w:eastAsia="宋体" w:cs="Times New Roman"/>
                <w:color w:val="auto"/>
                <w:kern w:val="2"/>
                <w:sz w:val="21"/>
                <w:szCs w:val="21"/>
                <w:lang w:val="zh-CN" w:eastAsia="zh-CN" w:bidi="ar-SA"/>
              </w:rPr>
            </w:pPr>
            <w:r>
              <w:rPr>
                <w:rFonts w:hint="eastAsia"/>
                <w:color w:val="auto"/>
              </w:rPr>
              <w:t>农村散户约</w:t>
            </w:r>
            <w:r>
              <w:rPr>
                <w:rFonts w:hint="eastAsia"/>
                <w:color w:val="auto"/>
                <w:lang w:val="en-US" w:eastAsia="zh-CN"/>
              </w:rPr>
              <w:t>2</w:t>
            </w:r>
            <w:r>
              <w:rPr>
                <w:rFonts w:hint="eastAsia"/>
                <w:color w:val="auto"/>
              </w:rPr>
              <w:t>000人</w:t>
            </w:r>
          </w:p>
        </w:tc>
        <w:tc>
          <w:tcPr>
            <w:tcW w:w="400" w:type="pct"/>
            <w:shd w:val="clear" w:color="auto" w:fill="auto"/>
            <w:vAlign w:val="center"/>
          </w:tcPr>
          <w:p w14:paraId="534BB51F">
            <w:pPr>
              <w:pStyle w:val="276"/>
              <w:ind w:firstLine="0" w:firstLineChars="0"/>
              <w:rPr>
                <w:rFonts w:hint="eastAsia" w:ascii="Times New Roman" w:hAnsi="Times New Roman" w:eastAsia="宋体" w:cs="Times New Roman"/>
                <w:color w:val="auto"/>
                <w:kern w:val="2"/>
                <w:sz w:val="21"/>
                <w:szCs w:val="21"/>
                <w:lang w:val="en-US" w:eastAsia="zh-CN" w:bidi="ar-SA"/>
              </w:rPr>
            </w:pPr>
            <w:r>
              <w:rPr>
                <w:rFonts w:hint="eastAsia"/>
                <w:color w:val="auto"/>
              </w:rPr>
              <w:t>4</w:t>
            </w:r>
            <w:r>
              <w:rPr>
                <w:rFonts w:hint="eastAsia"/>
                <w:color w:val="auto"/>
                <w:lang w:val="en-US" w:eastAsia="zh-CN"/>
              </w:rPr>
              <w:t>5</w:t>
            </w:r>
            <w:r>
              <w:rPr>
                <w:rFonts w:hint="eastAsia"/>
                <w:color w:val="auto"/>
              </w:rPr>
              <w:t>00</w:t>
            </w:r>
          </w:p>
        </w:tc>
        <w:tc>
          <w:tcPr>
            <w:tcW w:w="603" w:type="pct"/>
            <w:vMerge w:val="continue"/>
            <w:tcBorders>
              <w:right w:val="single" w:color="auto" w:sz="4" w:space="0"/>
            </w:tcBorders>
            <w:vAlign w:val="center"/>
          </w:tcPr>
          <w:p w14:paraId="4718089F">
            <w:pPr>
              <w:pStyle w:val="276"/>
              <w:rPr>
                <w:color w:val="auto"/>
              </w:rPr>
            </w:pPr>
          </w:p>
        </w:tc>
      </w:tr>
      <w:tr w14:paraId="73980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290" w:type="pct"/>
            <w:vMerge w:val="continue"/>
            <w:tcBorders>
              <w:left w:val="single" w:color="auto" w:sz="4" w:space="0"/>
            </w:tcBorders>
            <w:vAlign w:val="center"/>
          </w:tcPr>
          <w:p w14:paraId="71BB64BE">
            <w:pPr>
              <w:pStyle w:val="276"/>
              <w:rPr>
                <w:color w:val="auto"/>
              </w:rPr>
            </w:pPr>
          </w:p>
        </w:tc>
        <w:tc>
          <w:tcPr>
            <w:tcW w:w="194" w:type="pct"/>
            <w:vAlign w:val="center"/>
          </w:tcPr>
          <w:p w14:paraId="624053DB">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21</w:t>
            </w:r>
          </w:p>
        </w:tc>
        <w:tc>
          <w:tcPr>
            <w:tcW w:w="733" w:type="pct"/>
            <w:vAlign w:val="center"/>
          </w:tcPr>
          <w:p w14:paraId="35B7397E">
            <w:pPr>
              <w:pStyle w:val="276"/>
              <w:rPr>
                <w:rFonts w:hint="eastAsia"/>
                <w:color w:val="auto"/>
                <w:lang w:eastAsia="zh-CN"/>
              </w:rPr>
            </w:pPr>
            <w:r>
              <w:rPr>
                <w:rFonts w:hint="eastAsia"/>
                <w:color w:val="auto"/>
                <w:lang w:eastAsia="zh-CN"/>
              </w:rPr>
              <w:t>合水社区</w:t>
            </w:r>
          </w:p>
        </w:tc>
        <w:tc>
          <w:tcPr>
            <w:tcW w:w="482" w:type="pct"/>
            <w:vAlign w:val="center"/>
          </w:tcPr>
          <w:p w14:paraId="2E3F908D">
            <w:pPr>
              <w:pStyle w:val="276"/>
              <w:rPr>
                <w:rFonts w:hint="eastAsia" w:eastAsia="宋体"/>
                <w:color w:val="auto"/>
                <w:lang w:val="en-US" w:eastAsia="zh-CN"/>
              </w:rPr>
            </w:pPr>
            <w:r>
              <w:rPr>
                <w:rFonts w:hint="eastAsia"/>
                <w:color w:val="auto"/>
                <w:lang w:val="en-US" w:eastAsia="zh-CN"/>
              </w:rPr>
              <w:t>W</w:t>
            </w:r>
          </w:p>
        </w:tc>
        <w:tc>
          <w:tcPr>
            <w:tcW w:w="779" w:type="pct"/>
            <w:vAlign w:val="center"/>
          </w:tcPr>
          <w:p w14:paraId="568BE86D">
            <w:pPr>
              <w:pStyle w:val="276"/>
              <w:ind w:firstLine="0" w:firstLineChars="0"/>
              <w:rPr>
                <w:rFonts w:hint="eastAsia"/>
                <w:color w:val="auto"/>
              </w:rPr>
            </w:pPr>
            <w:r>
              <w:rPr>
                <w:rFonts w:hint="default"/>
                <w:color w:val="auto"/>
                <w:lang w:val="en-US" w:eastAsia="zh-CN"/>
              </w:rPr>
              <w:t xml:space="preserve">107.967691 </w:t>
            </w:r>
          </w:p>
        </w:tc>
        <w:tc>
          <w:tcPr>
            <w:tcW w:w="707" w:type="pct"/>
            <w:vAlign w:val="center"/>
          </w:tcPr>
          <w:p w14:paraId="737766CA">
            <w:pPr>
              <w:pStyle w:val="276"/>
              <w:ind w:firstLine="0" w:firstLineChars="0"/>
              <w:rPr>
                <w:rFonts w:hint="eastAsia"/>
                <w:color w:val="auto"/>
              </w:rPr>
            </w:pPr>
            <w:r>
              <w:rPr>
                <w:rFonts w:hint="eastAsia"/>
                <w:color w:val="auto"/>
                <w:lang w:val="en-US" w:eastAsia="zh-CN"/>
              </w:rPr>
              <w:t xml:space="preserve">30.224959 </w:t>
            </w:r>
          </w:p>
        </w:tc>
        <w:tc>
          <w:tcPr>
            <w:tcW w:w="806" w:type="pct"/>
            <w:shd w:val="clear" w:color="auto" w:fill="auto"/>
            <w:vAlign w:val="center"/>
          </w:tcPr>
          <w:p w14:paraId="1953446C">
            <w:pPr>
              <w:pStyle w:val="276"/>
              <w:ind w:firstLine="0" w:firstLineChars="0"/>
              <w:rPr>
                <w:rFonts w:hint="eastAsia" w:ascii="Times New Roman" w:hAnsi="Times New Roman" w:eastAsia="宋体" w:cs="Times New Roman"/>
                <w:color w:val="auto"/>
                <w:kern w:val="2"/>
                <w:sz w:val="21"/>
                <w:szCs w:val="21"/>
                <w:lang w:val="zh-CN" w:eastAsia="zh-CN" w:bidi="ar-SA"/>
              </w:rPr>
            </w:pPr>
            <w:r>
              <w:rPr>
                <w:rFonts w:hint="eastAsia"/>
                <w:color w:val="auto"/>
              </w:rPr>
              <w:t>集中居住区约</w:t>
            </w:r>
            <w:r>
              <w:rPr>
                <w:rFonts w:hint="eastAsia"/>
                <w:color w:val="auto"/>
                <w:lang w:val="en-US" w:eastAsia="zh-CN"/>
              </w:rPr>
              <w:t>15</w:t>
            </w:r>
            <w:r>
              <w:rPr>
                <w:rFonts w:hint="eastAsia"/>
                <w:color w:val="auto"/>
              </w:rPr>
              <w:t>00人</w:t>
            </w:r>
          </w:p>
        </w:tc>
        <w:tc>
          <w:tcPr>
            <w:tcW w:w="400" w:type="pct"/>
            <w:shd w:val="clear" w:color="auto" w:fill="auto"/>
            <w:vAlign w:val="center"/>
          </w:tcPr>
          <w:p w14:paraId="36E67E42">
            <w:pPr>
              <w:pStyle w:val="276"/>
              <w:ind w:firstLine="0" w:firstLineChars="0"/>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3900</w:t>
            </w:r>
          </w:p>
        </w:tc>
        <w:tc>
          <w:tcPr>
            <w:tcW w:w="603" w:type="pct"/>
            <w:vMerge w:val="continue"/>
            <w:tcBorders>
              <w:right w:val="single" w:color="auto" w:sz="4" w:space="0"/>
            </w:tcBorders>
            <w:vAlign w:val="center"/>
          </w:tcPr>
          <w:p w14:paraId="295C3D0F">
            <w:pPr>
              <w:pStyle w:val="276"/>
              <w:rPr>
                <w:color w:val="auto"/>
              </w:rPr>
            </w:pPr>
          </w:p>
        </w:tc>
      </w:tr>
      <w:tr w14:paraId="78CA2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290" w:type="pct"/>
            <w:vMerge w:val="continue"/>
            <w:tcBorders>
              <w:left w:val="single" w:color="auto" w:sz="4" w:space="0"/>
            </w:tcBorders>
            <w:vAlign w:val="center"/>
          </w:tcPr>
          <w:p w14:paraId="6A31D100">
            <w:pPr>
              <w:pStyle w:val="276"/>
              <w:rPr>
                <w:color w:val="auto"/>
              </w:rPr>
            </w:pPr>
          </w:p>
        </w:tc>
        <w:tc>
          <w:tcPr>
            <w:tcW w:w="194" w:type="pct"/>
            <w:vAlign w:val="center"/>
          </w:tcPr>
          <w:p w14:paraId="71E7FE1D">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22</w:t>
            </w:r>
          </w:p>
        </w:tc>
        <w:tc>
          <w:tcPr>
            <w:tcW w:w="733" w:type="pct"/>
            <w:vAlign w:val="center"/>
          </w:tcPr>
          <w:p w14:paraId="68D1E99A">
            <w:pPr>
              <w:pStyle w:val="276"/>
              <w:rPr>
                <w:rFonts w:hint="default" w:eastAsia="宋体"/>
                <w:color w:val="auto"/>
                <w:lang w:val="en-US" w:eastAsia="zh-CN"/>
              </w:rPr>
            </w:pPr>
            <w:r>
              <w:rPr>
                <w:rFonts w:hint="eastAsia"/>
                <w:color w:val="auto"/>
                <w:lang w:val="en-US" w:eastAsia="zh-CN"/>
              </w:rPr>
              <w:t>忠洲中学校</w:t>
            </w:r>
          </w:p>
        </w:tc>
        <w:tc>
          <w:tcPr>
            <w:tcW w:w="482" w:type="pct"/>
            <w:vAlign w:val="center"/>
          </w:tcPr>
          <w:p w14:paraId="4B85A299">
            <w:pPr>
              <w:pStyle w:val="276"/>
              <w:rPr>
                <w:rFonts w:hint="default" w:eastAsia="宋体"/>
                <w:color w:val="auto"/>
                <w:lang w:val="en-US" w:eastAsia="zh-CN"/>
              </w:rPr>
            </w:pPr>
            <w:r>
              <w:rPr>
                <w:rFonts w:hint="eastAsia"/>
                <w:color w:val="auto"/>
                <w:lang w:val="en-US" w:eastAsia="zh-CN"/>
              </w:rPr>
              <w:t>NW</w:t>
            </w:r>
          </w:p>
        </w:tc>
        <w:tc>
          <w:tcPr>
            <w:tcW w:w="779" w:type="pct"/>
            <w:vAlign w:val="center"/>
          </w:tcPr>
          <w:p w14:paraId="2D3156C7">
            <w:pPr>
              <w:pStyle w:val="276"/>
              <w:ind w:firstLine="0" w:firstLineChars="0"/>
              <w:rPr>
                <w:rFonts w:hint="eastAsia"/>
                <w:color w:val="auto"/>
              </w:rPr>
            </w:pPr>
            <w:r>
              <w:rPr>
                <w:rFonts w:hint="default"/>
                <w:color w:val="auto"/>
                <w:lang w:val="en-US" w:eastAsia="zh-CN"/>
              </w:rPr>
              <w:t xml:space="preserve">107.992410 </w:t>
            </w:r>
          </w:p>
        </w:tc>
        <w:tc>
          <w:tcPr>
            <w:tcW w:w="707" w:type="pct"/>
            <w:vAlign w:val="center"/>
          </w:tcPr>
          <w:p w14:paraId="18D56CD7">
            <w:pPr>
              <w:pStyle w:val="276"/>
              <w:ind w:firstLine="0" w:firstLineChars="0"/>
              <w:rPr>
                <w:rFonts w:hint="eastAsia"/>
                <w:color w:val="auto"/>
              </w:rPr>
            </w:pPr>
            <w:r>
              <w:rPr>
                <w:rFonts w:hint="eastAsia"/>
                <w:color w:val="auto"/>
                <w:lang w:val="en-US" w:eastAsia="zh-CN"/>
              </w:rPr>
              <w:t xml:space="preserve">30.253111 </w:t>
            </w:r>
          </w:p>
        </w:tc>
        <w:tc>
          <w:tcPr>
            <w:tcW w:w="806" w:type="pct"/>
            <w:shd w:val="clear" w:color="auto" w:fill="auto"/>
            <w:vAlign w:val="center"/>
          </w:tcPr>
          <w:p w14:paraId="104B2786">
            <w:pPr>
              <w:pStyle w:val="276"/>
              <w:ind w:firstLine="0" w:firstLineChars="0"/>
              <w:rPr>
                <w:rFonts w:ascii="Times New Roman" w:hAnsi="Times New Roman" w:eastAsia="宋体" w:cs="Times New Roman"/>
                <w:color w:val="auto"/>
                <w:kern w:val="2"/>
                <w:sz w:val="21"/>
                <w:szCs w:val="21"/>
                <w:lang w:val="zh-CN" w:eastAsia="zh-CN" w:bidi="ar-SA"/>
              </w:rPr>
            </w:pPr>
            <w:r>
              <w:rPr>
                <w:rFonts w:hint="eastAsia"/>
                <w:color w:val="auto"/>
              </w:rPr>
              <w:t>学校，师生约</w:t>
            </w:r>
            <w:r>
              <w:rPr>
                <w:rFonts w:hint="eastAsia"/>
                <w:color w:val="auto"/>
                <w:lang w:val="en-US" w:eastAsia="zh-CN"/>
              </w:rPr>
              <w:t>16</w:t>
            </w:r>
            <w:r>
              <w:rPr>
                <w:rFonts w:hint="eastAsia"/>
                <w:color w:val="auto"/>
              </w:rPr>
              <w:t>00人</w:t>
            </w:r>
          </w:p>
        </w:tc>
        <w:tc>
          <w:tcPr>
            <w:tcW w:w="400" w:type="pct"/>
            <w:shd w:val="clear" w:color="auto" w:fill="auto"/>
            <w:vAlign w:val="center"/>
          </w:tcPr>
          <w:p w14:paraId="7E19FB1D">
            <w:pPr>
              <w:pStyle w:val="276"/>
              <w:ind w:firstLine="0" w:firstLineChars="0"/>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2800</w:t>
            </w:r>
          </w:p>
        </w:tc>
        <w:tc>
          <w:tcPr>
            <w:tcW w:w="603" w:type="pct"/>
            <w:vMerge w:val="continue"/>
            <w:tcBorders>
              <w:right w:val="single" w:color="auto" w:sz="4" w:space="0"/>
            </w:tcBorders>
            <w:vAlign w:val="center"/>
          </w:tcPr>
          <w:p w14:paraId="5B7804B3">
            <w:pPr>
              <w:pStyle w:val="276"/>
              <w:rPr>
                <w:color w:val="auto"/>
              </w:rPr>
            </w:pPr>
          </w:p>
        </w:tc>
      </w:tr>
      <w:tr w14:paraId="7A4C2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290" w:type="pct"/>
            <w:vMerge w:val="restart"/>
            <w:tcBorders>
              <w:left w:val="single" w:color="auto" w:sz="4" w:space="0"/>
            </w:tcBorders>
            <w:vAlign w:val="center"/>
          </w:tcPr>
          <w:p w14:paraId="34F78EF4">
            <w:pPr>
              <w:pStyle w:val="276"/>
              <w:rPr>
                <w:color w:val="auto"/>
              </w:rPr>
            </w:pPr>
            <w:r>
              <w:rPr>
                <w:rFonts w:hint="eastAsia"/>
                <w:color w:val="auto"/>
              </w:rPr>
              <w:t>地表水</w:t>
            </w:r>
          </w:p>
        </w:tc>
        <w:tc>
          <w:tcPr>
            <w:tcW w:w="194" w:type="pct"/>
            <w:vAlign w:val="center"/>
          </w:tcPr>
          <w:p w14:paraId="6365440A">
            <w:pPr>
              <w:pStyle w:val="276"/>
              <w:rPr>
                <w:color w:val="auto"/>
              </w:rPr>
            </w:pPr>
            <w:r>
              <w:rPr>
                <w:rFonts w:hint="eastAsia"/>
                <w:color w:val="auto"/>
              </w:rPr>
              <w:t>1</w:t>
            </w:r>
          </w:p>
        </w:tc>
        <w:tc>
          <w:tcPr>
            <w:tcW w:w="733" w:type="pct"/>
            <w:vAlign w:val="center"/>
          </w:tcPr>
          <w:p w14:paraId="5A8C8CD6">
            <w:pPr>
              <w:pStyle w:val="276"/>
              <w:rPr>
                <w:rFonts w:hint="eastAsia" w:eastAsia="宋体"/>
                <w:color w:val="auto"/>
                <w:lang w:eastAsia="zh-CN"/>
              </w:rPr>
            </w:pPr>
            <w:r>
              <w:rPr>
                <w:rFonts w:hint="eastAsia"/>
                <w:color w:val="auto"/>
                <w:lang w:eastAsia="zh-CN"/>
              </w:rPr>
              <w:t>长江</w:t>
            </w:r>
          </w:p>
        </w:tc>
        <w:tc>
          <w:tcPr>
            <w:tcW w:w="482" w:type="pct"/>
            <w:vAlign w:val="center"/>
          </w:tcPr>
          <w:p w14:paraId="6380128D">
            <w:pPr>
              <w:pStyle w:val="276"/>
              <w:rPr>
                <w:rFonts w:hint="eastAsia" w:eastAsia="宋体"/>
                <w:color w:val="auto"/>
                <w:lang w:eastAsia="zh-CN"/>
              </w:rPr>
            </w:pPr>
            <w:r>
              <w:rPr>
                <w:rFonts w:hint="eastAsia"/>
                <w:color w:val="auto"/>
                <w:lang w:val="en-US" w:eastAsia="zh-CN"/>
              </w:rPr>
              <w:t>W</w:t>
            </w:r>
          </w:p>
        </w:tc>
        <w:tc>
          <w:tcPr>
            <w:tcW w:w="779" w:type="pct"/>
            <w:vAlign w:val="center"/>
          </w:tcPr>
          <w:p w14:paraId="377A5012">
            <w:pPr>
              <w:pStyle w:val="276"/>
              <w:rPr>
                <w:color w:val="auto"/>
              </w:rPr>
            </w:pPr>
            <w:r>
              <w:rPr>
                <w:rFonts w:hint="eastAsia"/>
                <w:color w:val="auto"/>
              </w:rPr>
              <w:t>/</w:t>
            </w:r>
          </w:p>
        </w:tc>
        <w:tc>
          <w:tcPr>
            <w:tcW w:w="707" w:type="pct"/>
            <w:vAlign w:val="center"/>
          </w:tcPr>
          <w:p w14:paraId="13122589">
            <w:pPr>
              <w:pStyle w:val="276"/>
              <w:rPr>
                <w:color w:val="auto"/>
              </w:rPr>
            </w:pPr>
            <w:r>
              <w:rPr>
                <w:rFonts w:hint="eastAsia"/>
                <w:color w:val="auto"/>
              </w:rPr>
              <w:t>/</w:t>
            </w:r>
          </w:p>
        </w:tc>
        <w:tc>
          <w:tcPr>
            <w:tcW w:w="806" w:type="pct"/>
            <w:vAlign w:val="center"/>
          </w:tcPr>
          <w:p w14:paraId="372A390B">
            <w:pPr>
              <w:pStyle w:val="276"/>
              <w:rPr>
                <w:color w:val="auto"/>
              </w:rPr>
            </w:pPr>
            <w:r>
              <w:rPr>
                <w:rFonts w:hint="eastAsia"/>
                <w:color w:val="auto"/>
              </w:rPr>
              <w:t>/</w:t>
            </w:r>
          </w:p>
        </w:tc>
        <w:tc>
          <w:tcPr>
            <w:tcW w:w="400" w:type="pct"/>
            <w:vAlign w:val="center"/>
          </w:tcPr>
          <w:p w14:paraId="3D2327E6">
            <w:pPr>
              <w:pStyle w:val="276"/>
              <w:rPr>
                <w:rFonts w:hint="default" w:eastAsia="宋体"/>
                <w:color w:val="auto"/>
                <w:lang w:val="en-US" w:eastAsia="zh-CN"/>
              </w:rPr>
            </w:pPr>
            <w:r>
              <w:rPr>
                <w:rFonts w:hint="eastAsia"/>
                <w:color w:val="auto"/>
                <w:lang w:val="en-US" w:eastAsia="zh-CN"/>
              </w:rPr>
              <w:t>50</w:t>
            </w:r>
          </w:p>
        </w:tc>
        <w:tc>
          <w:tcPr>
            <w:tcW w:w="603" w:type="pct"/>
            <w:vMerge w:val="restart"/>
            <w:tcBorders>
              <w:right w:val="single" w:color="auto" w:sz="4" w:space="0"/>
            </w:tcBorders>
            <w:vAlign w:val="center"/>
          </w:tcPr>
          <w:p w14:paraId="0AAAFFAA">
            <w:pPr>
              <w:pStyle w:val="276"/>
              <w:rPr>
                <w:color w:val="auto"/>
              </w:rPr>
            </w:pPr>
            <w:r>
              <w:rPr>
                <w:rFonts w:hint="eastAsia"/>
                <w:color w:val="auto"/>
              </w:rPr>
              <w:t>《地表水环境质量标准》</w:t>
            </w:r>
            <w:r>
              <w:rPr>
                <w:rFonts w:hint="eastAsia" w:cs="宋体"/>
                <w:color w:val="auto"/>
              </w:rPr>
              <w:t>Ⅲ</w:t>
            </w:r>
            <w:r>
              <w:rPr>
                <w:rFonts w:hint="eastAsia"/>
                <w:color w:val="auto"/>
              </w:rPr>
              <w:t>类标准</w:t>
            </w:r>
          </w:p>
        </w:tc>
      </w:tr>
      <w:tr w14:paraId="5CDB1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290" w:type="pct"/>
            <w:vMerge w:val="continue"/>
            <w:tcBorders>
              <w:left w:val="single" w:color="auto" w:sz="4" w:space="0"/>
            </w:tcBorders>
            <w:vAlign w:val="center"/>
          </w:tcPr>
          <w:p w14:paraId="34014EAA">
            <w:pPr>
              <w:pStyle w:val="276"/>
              <w:rPr>
                <w:rFonts w:hint="eastAsia"/>
                <w:color w:val="auto"/>
              </w:rPr>
            </w:pPr>
          </w:p>
        </w:tc>
        <w:tc>
          <w:tcPr>
            <w:tcW w:w="194" w:type="pct"/>
            <w:vAlign w:val="center"/>
          </w:tcPr>
          <w:p w14:paraId="24F087F2">
            <w:pPr>
              <w:pStyle w:val="276"/>
              <w:rPr>
                <w:rFonts w:hint="eastAsia" w:eastAsia="宋体"/>
                <w:color w:val="auto"/>
                <w:lang w:val="en-US" w:eastAsia="zh-CN"/>
              </w:rPr>
            </w:pPr>
            <w:r>
              <w:rPr>
                <w:rFonts w:hint="eastAsia"/>
                <w:color w:val="auto"/>
                <w:lang w:val="en-US" w:eastAsia="zh-CN"/>
              </w:rPr>
              <w:t>2</w:t>
            </w:r>
          </w:p>
        </w:tc>
        <w:tc>
          <w:tcPr>
            <w:tcW w:w="733" w:type="pct"/>
            <w:vAlign w:val="center"/>
          </w:tcPr>
          <w:p w14:paraId="476A65B0">
            <w:pPr>
              <w:pStyle w:val="276"/>
              <w:rPr>
                <w:rFonts w:hint="eastAsia"/>
                <w:color w:val="auto"/>
                <w:lang w:eastAsia="zh-CN"/>
              </w:rPr>
            </w:pPr>
            <w:r>
              <w:rPr>
                <w:rFonts w:hint="eastAsia"/>
                <w:color w:val="auto"/>
                <w:lang w:eastAsia="zh-CN"/>
              </w:rPr>
              <w:t>塘土浩产卵场</w:t>
            </w:r>
          </w:p>
        </w:tc>
        <w:tc>
          <w:tcPr>
            <w:tcW w:w="482" w:type="pct"/>
            <w:vAlign w:val="center"/>
          </w:tcPr>
          <w:p w14:paraId="129F25FD">
            <w:pPr>
              <w:pStyle w:val="276"/>
              <w:rPr>
                <w:rFonts w:hint="default"/>
                <w:color w:val="auto"/>
                <w:lang w:val="en-US" w:eastAsia="zh-CN"/>
              </w:rPr>
            </w:pPr>
            <w:r>
              <w:rPr>
                <w:rFonts w:hint="eastAsia"/>
                <w:color w:val="auto"/>
                <w:lang w:val="en-US" w:eastAsia="zh-CN"/>
              </w:rPr>
              <w:t>SW</w:t>
            </w:r>
          </w:p>
        </w:tc>
        <w:tc>
          <w:tcPr>
            <w:tcW w:w="2293" w:type="pct"/>
            <w:gridSpan w:val="3"/>
            <w:vAlign w:val="center"/>
          </w:tcPr>
          <w:p w14:paraId="7B39F3BB">
            <w:pPr>
              <w:pStyle w:val="276"/>
              <w:rPr>
                <w:rFonts w:hint="eastAsia"/>
                <w:color w:val="auto"/>
              </w:rPr>
            </w:pPr>
            <w:r>
              <w:rPr>
                <w:rFonts w:hint="eastAsia"/>
                <w:color w:val="auto"/>
              </w:rPr>
              <w:t>产卵场，主要产卵鱼类有鲶、鲤、黄颡鱼、长吻鮠、岩原鲤、中华倒刺鲃等，产卵规模6000万粒/年，面积为200 hm</w:t>
            </w:r>
            <w:r>
              <w:rPr>
                <w:rFonts w:hint="eastAsia"/>
                <w:color w:val="auto"/>
                <w:vertAlign w:val="superscript"/>
              </w:rPr>
              <w:t>2</w:t>
            </w:r>
            <w:r>
              <w:rPr>
                <w:rFonts w:hint="eastAsia"/>
                <w:color w:val="auto"/>
              </w:rPr>
              <w:t>。</w:t>
            </w:r>
          </w:p>
        </w:tc>
        <w:tc>
          <w:tcPr>
            <w:tcW w:w="400" w:type="pct"/>
            <w:vAlign w:val="center"/>
          </w:tcPr>
          <w:p w14:paraId="3633625F">
            <w:pPr>
              <w:pStyle w:val="276"/>
              <w:rPr>
                <w:rFonts w:hint="default"/>
                <w:color w:val="auto"/>
                <w:lang w:val="en-US" w:eastAsia="zh-CN"/>
              </w:rPr>
            </w:pPr>
            <w:r>
              <w:rPr>
                <w:rFonts w:hint="eastAsia"/>
                <w:color w:val="auto"/>
                <w:lang w:val="en-US" w:eastAsia="zh-CN"/>
              </w:rPr>
              <w:t>500</w:t>
            </w:r>
          </w:p>
        </w:tc>
        <w:tc>
          <w:tcPr>
            <w:tcW w:w="603" w:type="pct"/>
            <w:vMerge w:val="continue"/>
            <w:tcBorders>
              <w:right w:val="single" w:color="auto" w:sz="4" w:space="0"/>
            </w:tcBorders>
            <w:vAlign w:val="center"/>
          </w:tcPr>
          <w:p w14:paraId="661D654E">
            <w:pPr>
              <w:pStyle w:val="276"/>
              <w:rPr>
                <w:rFonts w:hint="eastAsia"/>
                <w:color w:val="auto"/>
              </w:rPr>
            </w:pPr>
          </w:p>
        </w:tc>
      </w:tr>
      <w:tr w14:paraId="28F90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290" w:type="pct"/>
            <w:vMerge w:val="continue"/>
            <w:tcBorders>
              <w:left w:val="single" w:color="auto" w:sz="4" w:space="0"/>
            </w:tcBorders>
            <w:vAlign w:val="center"/>
          </w:tcPr>
          <w:p w14:paraId="61F9201F">
            <w:pPr>
              <w:pStyle w:val="276"/>
              <w:rPr>
                <w:rFonts w:hint="eastAsia"/>
                <w:color w:val="auto"/>
              </w:rPr>
            </w:pPr>
          </w:p>
        </w:tc>
        <w:tc>
          <w:tcPr>
            <w:tcW w:w="194" w:type="pct"/>
            <w:vAlign w:val="center"/>
          </w:tcPr>
          <w:p w14:paraId="366DC22C">
            <w:pPr>
              <w:pStyle w:val="276"/>
              <w:rPr>
                <w:rFonts w:hint="eastAsia" w:eastAsia="宋体"/>
                <w:color w:val="auto"/>
                <w:lang w:val="en-US" w:eastAsia="zh-CN"/>
              </w:rPr>
            </w:pPr>
            <w:r>
              <w:rPr>
                <w:rFonts w:hint="eastAsia"/>
                <w:color w:val="auto"/>
                <w:lang w:val="en-US" w:eastAsia="zh-CN"/>
              </w:rPr>
              <w:t>3</w:t>
            </w:r>
          </w:p>
        </w:tc>
        <w:tc>
          <w:tcPr>
            <w:tcW w:w="733" w:type="pct"/>
            <w:vAlign w:val="center"/>
          </w:tcPr>
          <w:p w14:paraId="5B79AE3B">
            <w:pPr>
              <w:pStyle w:val="276"/>
              <w:rPr>
                <w:rFonts w:hint="eastAsia"/>
                <w:color w:val="auto"/>
                <w:lang w:eastAsia="zh-CN"/>
              </w:rPr>
            </w:pPr>
            <w:r>
              <w:rPr>
                <w:rFonts w:hint="eastAsia"/>
                <w:color w:val="auto"/>
                <w:lang w:eastAsia="zh-CN"/>
              </w:rPr>
              <w:t>忠县苏家水厂取水口</w:t>
            </w:r>
          </w:p>
        </w:tc>
        <w:tc>
          <w:tcPr>
            <w:tcW w:w="3177" w:type="pct"/>
            <w:gridSpan w:val="5"/>
            <w:vAlign w:val="center"/>
          </w:tcPr>
          <w:p w14:paraId="741ECFF2">
            <w:pPr>
              <w:pStyle w:val="276"/>
              <w:rPr>
                <w:rFonts w:hint="eastAsia"/>
                <w:color w:val="auto"/>
                <w:lang w:val="en-US" w:eastAsia="zh-CN"/>
              </w:rPr>
            </w:pPr>
            <w:r>
              <w:rPr>
                <w:rFonts w:hint="eastAsia"/>
                <w:color w:val="auto"/>
                <w:lang w:eastAsia="zh-CN"/>
              </w:rPr>
              <w:t>城市集中式饮用水源地</w:t>
            </w:r>
            <w:r>
              <w:rPr>
                <w:rFonts w:hint="eastAsia"/>
                <w:color w:val="auto"/>
                <w:lang w:val="en-US" w:eastAsia="zh-CN"/>
              </w:rPr>
              <w:t>,</w:t>
            </w:r>
            <w:r>
              <w:rPr>
                <w:rFonts w:hint="eastAsia"/>
                <w:color w:val="auto"/>
                <w:lang w:eastAsia="zh-CN"/>
              </w:rPr>
              <w:t>长江对岸（下游），园区污水处理厂排污口下游14.5 km</w:t>
            </w:r>
          </w:p>
        </w:tc>
        <w:tc>
          <w:tcPr>
            <w:tcW w:w="603" w:type="pct"/>
            <w:vMerge w:val="continue"/>
            <w:tcBorders>
              <w:right w:val="single" w:color="auto" w:sz="4" w:space="0"/>
            </w:tcBorders>
            <w:vAlign w:val="center"/>
          </w:tcPr>
          <w:p w14:paraId="638FB541">
            <w:pPr>
              <w:pStyle w:val="276"/>
              <w:rPr>
                <w:rFonts w:hint="eastAsia"/>
                <w:color w:val="auto"/>
              </w:rPr>
            </w:pPr>
          </w:p>
        </w:tc>
      </w:tr>
      <w:tr w14:paraId="2DC27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290" w:type="pct"/>
            <w:vMerge w:val="continue"/>
            <w:tcBorders>
              <w:left w:val="single" w:color="auto" w:sz="4" w:space="0"/>
            </w:tcBorders>
            <w:vAlign w:val="center"/>
          </w:tcPr>
          <w:p w14:paraId="626EB6F6">
            <w:pPr>
              <w:pStyle w:val="276"/>
              <w:rPr>
                <w:rFonts w:hint="eastAsia"/>
                <w:color w:val="auto"/>
              </w:rPr>
            </w:pPr>
          </w:p>
        </w:tc>
        <w:tc>
          <w:tcPr>
            <w:tcW w:w="194" w:type="pct"/>
            <w:vAlign w:val="center"/>
          </w:tcPr>
          <w:p w14:paraId="01D4894E">
            <w:pPr>
              <w:pStyle w:val="276"/>
              <w:rPr>
                <w:rFonts w:hint="default"/>
                <w:color w:val="auto"/>
                <w:lang w:val="en-US" w:eastAsia="zh-CN"/>
              </w:rPr>
            </w:pPr>
            <w:r>
              <w:rPr>
                <w:rFonts w:hint="eastAsia"/>
                <w:color w:val="auto"/>
                <w:lang w:val="en-US" w:eastAsia="zh-CN"/>
              </w:rPr>
              <w:t>4</w:t>
            </w:r>
          </w:p>
        </w:tc>
        <w:tc>
          <w:tcPr>
            <w:tcW w:w="733" w:type="pct"/>
            <w:vAlign w:val="center"/>
          </w:tcPr>
          <w:p w14:paraId="586274C7">
            <w:pPr>
              <w:pStyle w:val="276"/>
              <w:rPr>
                <w:rFonts w:hint="eastAsia"/>
                <w:color w:val="auto"/>
                <w:lang w:eastAsia="zh-CN"/>
              </w:rPr>
            </w:pPr>
            <w:r>
              <w:rPr>
                <w:rFonts w:hint="eastAsia"/>
                <w:color w:val="auto"/>
                <w:lang w:eastAsia="zh-CN"/>
              </w:rPr>
              <w:t>复兴镇水坪水厂取水口</w:t>
            </w:r>
          </w:p>
        </w:tc>
        <w:tc>
          <w:tcPr>
            <w:tcW w:w="3177" w:type="pct"/>
            <w:gridSpan w:val="5"/>
            <w:vAlign w:val="center"/>
          </w:tcPr>
          <w:p w14:paraId="210E8B74">
            <w:pPr>
              <w:pStyle w:val="276"/>
              <w:rPr>
                <w:rFonts w:hint="eastAsia"/>
                <w:color w:val="auto"/>
                <w:lang w:val="en-US" w:eastAsia="zh-CN"/>
              </w:rPr>
            </w:pPr>
            <w:r>
              <w:rPr>
                <w:rFonts w:hint="eastAsia"/>
                <w:color w:val="auto"/>
                <w:lang w:eastAsia="zh-CN"/>
              </w:rPr>
              <w:t>村镇集中式饮用水源地</w:t>
            </w:r>
            <w:r>
              <w:rPr>
                <w:rFonts w:hint="eastAsia"/>
                <w:color w:val="auto"/>
                <w:lang w:val="en-US" w:eastAsia="zh-CN"/>
              </w:rPr>
              <w:t>,</w:t>
            </w:r>
            <w:r>
              <w:rPr>
                <w:rFonts w:hint="eastAsia"/>
                <w:color w:val="auto"/>
                <w:lang w:eastAsia="zh-CN"/>
              </w:rPr>
              <w:t>长江同侧（下游），园区污水处理厂排污口下游20.5 km</w:t>
            </w:r>
          </w:p>
        </w:tc>
        <w:tc>
          <w:tcPr>
            <w:tcW w:w="603" w:type="pct"/>
            <w:vMerge w:val="continue"/>
            <w:tcBorders>
              <w:right w:val="single" w:color="auto" w:sz="4" w:space="0"/>
            </w:tcBorders>
            <w:vAlign w:val="center"/>
          </w:tcPr>
          <w:p w14:paraId="5E276542">
            <w:pPr>
              <w:pStyle w:val="276"/>
              <w:rPr>
                <w:rFonts w:hint="eastAsia"/>
                <w:color w:val="auto"/>
              </w:rPr>
            </w:pPr>
          </w:p>
        </w:tc>
      </w:tr>
      <w:tr w14:paraId="69A82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290" w:type="pct"/>
            <w:vMerge w:val="continue"/>
            <w:tcBorders>
              <w:left w:val="single" w:color="auto" w:sz="4" w:space="0"/>
            </w:tcBorders>
            <w:vAlign w:val="center"/>
          </w:tcPr>
          <w:p w14:paraId="5DBFE45D">
            <w:pPr>
              <w:pStyle w:val="276"/>
              <w:rPr>
                <w:color w:val="auto"/>
              </w:rPr>
            </w:pPr>
          </w:p>
        </w:tc>
        <w:tc>
          <w:tcPr>
            <w:tcW w:w="194" w:type="pct"/>
            <w:vAlign w:val="center"/>
          </w:tcPr>
          <w:p w14:paraId="5B18DC92">
            <w:pPr>
              <w:pStyle w:val="276"/>
              <w:rPr>
                <w:rFonts w:hint="eastAsia" w:eastAsia="宋体"/>
                <w:color w:val="auto"/>
                <w:lang w:eastAsia="zh-CN"/>
              </w:rPr>
            </w:pPr>
            <w:r>
              <w:rPr>
                <w:rFonts w:hint="eastAsia"/>
                <w:color w:val="auto"/>
                <w:lang w:val="en-US" w:eastAsia="zh-CN"/>
              </w:rPr>
              <w:t>5</w:t>
            </w:r>
          </w:p>
        </w:tc>
        <w:tc>
          <w:tcPr>
            <w:tcW w:w="733" w:type="pct"/>
            <w:vAlign w:val="center"/>
          </w:tcPr>
          <w:p w14:paraId="6277402B">
            <w:pPr>
              <w:pStyle w:val="276"/>
              <w:rPr>
                <w:rFonts w:hint="eastAsia"/>
                <w:color w:val="auto"/>
                <w:lang w:eastAsia="zh-CN"/>
              </w:rPr>
            </w:pPr>
            <w:r>
              <w:rPr>
                <w:rFonts w:hint="eastAsia"/>
                <w:color w:val="auto"/>
                <w:lang w:eastAsia="zh-CN"/>
              </w:rPr>
              <w:t>忠县石宝水厂取水口</w:t>
            </w:r>
          </w:p>
        </w:tc>
        <w:tc>
          <w:tcPr>
            <w:tcW w:w="3177" w:type="pct"/>
            <w:gridSpan w:val="5"/>
            <w:vAlign w:val="center"/>
          </w:tcPr>
          <w:p w14:paraId="3198C4BD">
            <w:pPr>
              <w:pStyle w:val="276"/>
              <w:rPr>
                <w:rFonts w:hint="eastAsia"/>
                <w:color w:val="auto"/>
                <w:lang w:eastAsia="zh-CN"/>
              </w:rPr>
            </w:pPr>
            <w:r>
              <w:rPr>
                <w:rFonts w:hint="eastAsia"/>
                <w:color w:val="auto"/>
                <w:lang w:eastAsia="zh-CN"/>
              </w:rPr>
              <w:t>村镇集中式饮用水源地</w:t>
            </w:r>
            <w:r>
              <w:rPr>
                <w:rFonts w:hint="eastAsia"/>
                <w:color w:val="auto"/>
                <w:lang w:val="en-US" w:eastAsia="zh-CN"/>
              </w:rPr>
              <w:t>,</w:t>
            </w:r>
            <w:r>
              <w:rPr>
                <w:rFonts w:hint="eastAsia"/>
                <w:color w:val="auto"/>
                <w:lang w:eastAsia="zh-CN"/>
              </w:rPr>
              <w:t>长江对岸（下游），园区污水处理厂排污口下游42 km</w:t>
            </w:r>
          </w:p>
        </w:tc>
        <w:tc>
          <w:tcPr>
            <w:tcW w:w="603" w:type="pct"/>
            <w:vMerge w:val="continue"/>
            <w:tcBorders>
              <w:right w:val="single" w:color="auto" w:sz="4" w:space="0"/>
            </w:tcBorders>
            <w:vAlign w:val="center"/>
          </w:tcPr>
          <w:p w14:paraId="6A380152">
            <w:pPr>
              <w:pStyle w:val="276"/>
              <w:rPr>
                <w:color w:val="auto"/>
              </w:rPr>
            </w:pPr>
          </w:p>
        </w:tc>
      </w:tr>
      <w:tr w14:paraId="7D1CA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290" w:type="pct"/>
            <w:tcBorders>
              <w:left w:val="single" w:color="auto" w:sz="4" w:space="0"/>
            </w:tcBorders>
            <w:vAlign w:val="center"/>
          </w:tcPr>
          <w:p w14:paraId="41B502C0">
            <w:pPr>
              <w:pStyle w:val="276"/>
              <w:rPr>
                <w:color w:val="auto"/>
              </w:rPr>
            </w:pPr>
            <w:r>
              <w:rPr>
                <w:rFonts w:hint="eastAsia"/>
                <w:color w:val="auto"/>
              </w:rPr>
              <w:t>地下水</w:t>
            </w:r>
          </w:p>
        </w:tc>
        <w:tc>
          <w:tcPr>
            <w:tcW w:w="194" w:type="pct"/>
            <w:vAlign w:val="center"/>
          </w:tcPr>
          <w:p w14:paraId="2EFDF37D">
            <w:pPr>
              <w:pStyle w:val="276"/>
              <w:rPr>
                <w:color w:val="auto"/>
              </w:rPr>
            </w:pPr>
            <w:r>
              <w:rPr>
                <w:rFonts w:hint="eastAsia"/>
                <w:color w:val="auto"/>
              </w:rPr>
              <w:t>/</w:t>
            </w:r>
          </w:p>
        </w:tc>
        <w:tc>
          <w:tcPr>
            <w:tcW w:w="3911" w:type="pct"/>
            <w:gridSpan w:val="6"/>
            <w:vAlign w:val="center"/>
          </w:tcPr>
          <w:p w14:paraId="79082685">
            <w:pPr>
              <w:pStyle w:val="276"/>
              <w:rPr>
                <w:rFonts w:hint="eastAsia" w:eastAsia="宋体"/>
                <w:color w:val="auto"/>
                <w:lang w:eastAsia="zh-CN"/>
              </w:rPr>
            </w:pPr>
            <w:r>
              <w:rPr>
                <w:rFonts w:hint="eastAsia"/>
                <w:color w:val="auto"/>
              </w:rPr>
              <w:t>厂区所在</w:t>
            </w:r>
            <w:r>
              <w:rPr>
                <w:rFonts w:hint="eastAsia"/>
                <w:color w:val="auto"/>
                <w:lang w:eastAsia="zh-CN"/>
              </w:rPr>
              <w:t>区域</w:t>
            </w:r>
            <w:r>
              <w:rPr>
                <w:rFonts w:hint="eastAsia"/>
                <w:color w:val="auto"/>
              </w:rPr>
              <w:t>水文地质单元</w:t>
            </w:r>
            <w:r>
              <w:rPr>
                <w:rFonts w:hint="eastAsia"/>
                <w:color w:val="auto"/>
                <w:lang w:eastAsia="zh-CN"/>
              </w:rPr>
              <w:t>，评价范围内居民饮用水源为自来水。</w:t>
            </w:r>
          </w:p>
        </w:tc>
        <w:tc>
          <w:tcPr>
            <w:tcW w:w="603" w:type="pct"/>
            <w:tcBorders>
              <w:right w:val="single" w:color="auto" w:sz="4" w:space="0"/>
            </w:tcBorders>
            <w:vAlign w:val="center"/>
          </w:tcPr>
          <w:p w14:paraId="22DC08FB">
            <w:pPr>
              <w:pStyle w:val="276"/>
              <w:rPr>
                <w:color w:val="auto"/>
              </w:rPr>
            </w:pPr>
            <w:r>
              <w:rPr>
                <w:rFonts w:hint="eastAsia" w:cs="宋体"/>
                <w:color w:val="auto"/>
              </w:rPr>
              <w:t>Ⅲ</w:t>
            </w:r>
            <w:r>
              <w:rPr>
                <w:rFonts w:hint="eastAsia"/>
                <w:color w:val="auto"/>
              </w:rPr>
              <w:t>类标准</w:t>
            </w:r>
          </w:p>
        </w:tc>
      </w:tr>
      <w:tr w14:paraId="122E4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290" w:type="pct"/>
            <w:tcBorders>
              <w:left w:val="single" w:color="auto" w:sz="4" w:space="0"/>
            </w:tcBorders>
            <w:vAlign w:val="center"/>
          </w:tcPr>
          <w:p w14:paraId="0FFD8E51">
            <w:pPr>
              <w:pStyle w:val="276"/>
              <w:rPr>
                <w:color w:val="auto"/>
              </w:rPr>
            </w:pPr>
            <w:r>
              <w:rPr>
                <w:rFonts w:hint="eastAsia"/>
                <w:color w:val="auto"/>
              </w:rPr>
              <w:t>声环境</w:t>
            </w:r>
          </w:p>
        </w:tc>
        <w:tc>
          <w:tcPr>
            <w:tcW w:w="194" w:type="pct"/>
            <w:shd w:val="clear" w:color="auto" w:fill="auto"/>
            <w:vAlign w:val="center"/>
          </w:tcPr>
          <w:p w14:paraId="35FC3C63">
            <w:pPr>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733" w:type="pct"/>
            <w:shd w:val="clear" w:color="auto" w:fill="auto"/>
            <w:vAlign w:val="center"/>
          </w:tcPr>
          <w:p w14:paraId="41FD604A">
            <w:pPr>
              <w:pStyle w:val="276"/>
              <w:ind w:firstLine="0" w:firstLineChars="0"/>
              <w:rPr>
                <w:rFonts w:ascii="Times New Roman" w:hAnsi="Times New Roman" w:eastAsia="宋体" w:cs="Times New Roman"/>
                <w:color w:val="auto"/>
                <w:kern w:val="2"/>
                <w:sz w:val="21"/>
                <w:szCs w:val="21"/>
                <w:lang w:val="zh-CN" w:eastAsia="zh-CN" w:bidi="ar-SA"/>
              </w:rPr>
            </w:pPr>
            <w:r>
              <w:rPr>
                <w:rFonts w:hint="eastAsia"/>
                <w:color w:val="auto"/>
                <w:lang w:eastAsia="zh-CN"/>
              </w:rPr>
              <w:t>将军社区（临近居民</w:t>
            </w:r>
            <w:r>
              <w:rPr>
                <w:rFonts w:hint="eastAsia"/>
                <w:color w:val="auto"/>
                <w:lang w:val="en-US" w:eastAsia="zh-CN"/>
              </w:rPr>
              <w:t>1</w:t>
            </w:r>
            <w:r>
              <w:rPr>
                <w:rFonts w:hint="eastAsia"/>
                <w:color w:val="auto"/>
                <w:lang w:eastAsia="zh-CN"/>
              </w:rPr>
              <w:t>）</w:t>
            </w:r>
          </w:p>
        </w:tc>
        <w:tc>
          <w:tcPr>
            <w:tcW w:w="482" w:type="pct"/>
            <w:shd w:val="clear" w:color="auto" w:fill="auto"/>
            <w:vAlign w:val="center"/>
          </w:tcPr>
          <w:p w14:paraId="47CB8C69">
            <w:pPr>
              <w:pStyle w:val="276"/>
              <w:ind w:firstLine="0" w:firstLineChars="0"/>
              <w:rPr>
                <w:rFonts w:ascii="Times New Roman" w:hAnsi="Times New Roman" w:eastAsia="宋体" w:cs="Times New Roman"/>
                <w:color w:val="auto"/>
                <w:kern w:val="2"/>
                <w:sz w:val="21"/>
                <w:szCs w:val="21"/>
                <w:lang w:val="zh-CN" w:eastAsia="zh-CN" w:bidi="ar-SA"/>
              </w:rPr>
            </w:pPr>
            <w:r>
              <w:rPr>
                <w:rFonts w:hint="eastAsia"/>
                <w:color w:val="auto"/>
              </w:rPr>
              <w:t>E</w:t>
            </w:r>
          </w:p>
        </w:tc>
        <w:tc>
          <w:tcPr>
            <w:tcW w:w="779" w:type="pct"/>
            <w:shd w:val="clear" w:color="auto" w:fill="auto"/>
            <w:vAlign w:val="center"/>
          </w:tcPr>
          <w:p w14:paraId="5B1D8119">
            <w:pPr>
              <w:pStyle w:val="276"/>
              <w:ind w:firstLine="0" w:firstLineChars="0"/>
              <w:rPr>
                <w:rFonts w:hint="eastAsia" w:ascii="Times New Roman" w:hAnsi="Times New Roman" w:eastAsia="宋体" w:cs="Times New Roman"/>
                <w:color w:val="auto"/>
                <w:kern w:val="2"/>
                <w:sz w:val="21"/>
                <w:szCs w:val="21"/>
                <w:lang w:val="zh-CN" w:eastAsia="zh-CN" w:bidi="ar-SA"/>
              </w:rPr>
            </w:pPr>
            <w:r>
              <w:rPr>
                <w:rFonts w:hint="default"/>
                <w:color w:val="auto"/>
                <w:lang w:val="en-US" w:eastAsia="zh-CN"/>
              </w:rPr>
              <w:t xml:space="preserve">108.012795 </w:t>
            </w:r>
          </w:p>
        </w:tc>
        <w:tc>
          <w:tcPr>
            <w:tcW w:w="707" w:type="pct"/>
            <w:shd w:val="clear" w:color="auto" w:fill="auto"/>
            <w:vAlign w:val="center"/>
          </w:tcPr>
          <w:p w14:paraId="6A07FD8F">
            <w:pPr>
              <w:pStyle w:val="276"/>
              <w:ind w:firstLine="0" w:firstLineChars="0"/>
              <w:rPr>
                <w:rFonts w:hint="eastAsia" w:ascii="Times New Roman" w:hAnsi="Times New Roman" w:eastAsia="宋体" w:cs="Times New Roman"/>
                <w:color w:val="auto"/>
                <w:kern w:val="2"/>
                <w:sz w:val="21"/>
                <w:szCs w:val="21"/>
                <w:lang w:val="zh-CN" w:eastAsia="zh-CN" w:bidi="ar-SA"/>
              </w:rPr>
            </w:pPr>
            <w:r>
              <w:rPr>
                <w:rFonts w:hint="eastAsia"/>
                <w:color w:val="auto"/>
                <w:lang w:val="en-US" w:eastAsia="zh-CN"/>
              </w:rPr>
              <w:t xml:space="preserve">30.215871 </w:t>
            </w:r>
          </w:p>
        </w:tc>
        <w:tc>
          <w:tcPr>
            <w:tcW w:w="806" w:type="pct"/>
            <w:shd w:val="clear" w:color="auto" w:fill="auto"/>
            <w:vAlign w:val="center"/>
          </w:tcPr>
          <w:p w14:paraId="0231887B">
            <w:pPr>
              <w:pStyle w:val="276"/>
              <w:ind w:firstLine="0" w:firstLineChars="0"/>
              <w:rPr>
                <w:rFonts w:hint="default" w:ascii="Times New Roman" w:hAnsi="Times New Roman" w:eastAsia="宋体" w:cs="Times New Roman"/>
                <w:color w:val="auto"/>
                <w:kern w:val="2"/>
                <w:sz w:val="21"/>
                <w:szCs w:val="21"/>
                <w:lang w:val="en-US" w:eastAsia="zh-CN" w:bidi="ar-SA"/>
              </w:rPr>
            </w:pPr>
            <w:r>
              <w:rPr>
                <w:rFonts w:hint="eastAsia"/>
                <w:color w:val="auto"/>
                <w:lang w:eastAsia="zh-CN"/>
              </w:rPr>
              <w:t>约</w:t>
            </w:r>
            <w:r>
              <w:rPr>
                <w:rFonts w:hint="eastAsia"/>
                <w:color w:val="auto"/>
                <w:lang w:val="en-US" w:eastAsia="zh-CN"/>
              </w:rPr>
              <w:t>20户，80人</w:t>
            </w:r>
          </w:p>
        </w:tc>
        <w:tc>
          <w:tcPr>
            <w:tcW w:w="400" w:type="pct"/>
            <w:shd w:val="clear" w:color="auto" w:fill="auto"/>
            <w:vAlign w:val="center"/>
          </w:tcPr>
          <w:p w14:paraId="2392E8E6">
            <w:pPr>
              <w:pStyle w:val="276"/>
              <w:ind w:firstLine="0" w:firstLineChars="0"/>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170~200</w:t>
            </w:r>
          </w:p>
        </w:tc>
        <w:tc>
          <w:tcPr>
            <w:tcW w:w="603" w:type="pct"/>
            <w:tcBorders>
              <w:right w:val="single" w:color="auto" w:sz="4" w:space="0"/>
            </w:tcBorders>
            <w:vAlign w:val="center"/>
          </w:tcPr>
          <w:p w14:paraId="70AEE1D6">
            <w:pPr>
              <w:pStyle w:val="276"/>
              <w:rPr>
                <w:color w:val="auto"/>
              </w:rPr>
            </w:pPr>
            <w:r>
              <w:rPr>
                <w:rFonts w:hint="eastAsia"/>
                <w:color w:val="auto"/>
                <w:lang w:val="en-US" w:eastAsia="zh-CN"/>
              </w:rPr>
              <w:t>2</w:t>
            </w:r>
            <w:r>
              <w:rPr>
                <w:rFonts w:hint="eastAsia"/>
                <w:color w:val="auto"/>
              </w:rPr>
              <w:t>类</w:t>
            </w:r>
          </w:p>
        </w:tc>
      </w:tr>
      <w:tr w14:paraId="3FDB2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5000" w:type="pct"/>
            <w:gridSpan w:val="9"/>
            <w:tcBorders>
              <w:left w:val="single" w:color="auto" w:sz="4" w:space="0"/>
              <w:right w:val="single" w:color="auto" w:sz="4" w:space="0"/>
            </w:tcBorders>
            <w:vAlign w:val="center"/>
          </w:tcPr>
          <w:p w14:paraId="455FF717">
            <w:pPr>
              <w:pStyle w:val="276"/>
              <w:jc w:val="both"/>
              <w:rPr>
                <w:color w:val="auto"/>
              </w:rPr>
            </w:pPr>
            <w:r>
              <w:rPr>
                <w:rFonts w:hint="eastAsia"/>
                <w:color w:val="auto"/>
              </w:rPr>
              <w:t xml:space="preserve">注： </w:t>
            </w:r>
          </w:p>
        </w:tc>
      </w:tr>
    </w:tbl>
    <w:p w14:paraId="7ADA4E84">
      <w:pPr>
        <w:spacing w:line="450" w:lineRule="exact"/>
        <w:ind w:firstLine="482"/>
        <w:jc w:val="center"/>
        <w:rPr>
          <w:b/>
          <w:color w:val="auto"/>
          <w:szCs w:val="24"/>
        </w:rPr>
      </w:pPr>
    </w:p>
    <w:p w14:paraId="60A96FBA">
      <w:pPr>
        <w:spacing w:line="450" w:lineRule="exact"/>
        <w:ind w:firstLine="0" w:firstLineChars="0"/>
        <w:rPr>
          <w:b/>
          <w:color w:val="auto"/>
          <w:szCs w:val="24"/>
        </w:rPr>
        <w:sectPr>
          <w:pgSz w:w="16838" w:h="11906" w:orient="landscape"/>
          <w:pgMar w:top="1418" w:right="1418" w:bottom="1418" w:left="1418" w:header="851" w:footer="992" w:gutter="0"/>
          <w:pgBorders>
            <w:top w:val="none" w:sz="0" w:space="0"/>
            <w:left w:val="none" w:sz="0" w:space="0"/>
            <w:bottom w:val="none" w:sz="0" w:space="0"/>
            <w:right w:val="none" w:sz="0" w:space="0"/>
          </w:pgBorders>
          <w:cols w:space="425" w:num="1"/>
          <w:docGrid w:linePitch="312" w:charSpace="0"/>
        </w:sectPr>
      </w:pPr>
    </w:p>
    <w:bookmarkEnd w:id="13"/>
    <w:p w14:paraId="6639E2F7">
      <w:pPr>
        <w:pStyle w:val="3"/>
        <w:numPr>
          <w:ilvl w:val="0"/>
          <w:numId w:val="0"/>
        </w:numPr>
        <w:spacing w:line="360" w:lineRule="auto"/>
        <w:rPr>
          <w:color w:val="auto"/>
          <w:szCs w:val="24"/>
        </w:rPr>
      </w:pPr>
      <w:bookmarkStart w:id="126" w:name="_Toc20084"/>
      <w:bookmarkStart w:id="127" w:name="_Toc472509309"/>
      <w:bookmarkStart w:id="128" w:name="_Toc462350290"/>
      <w:r>
        <w:rPr>
          <w:rFonts w:hint="eastAsia"/>
          <w:color w:val="auto"/>
          <w:sz w:val="24"/>
          <w:szCs w:val="24"/>
        </w:rPr>
        <w:t>3</w:t>
      </w:r>
      <w:r>
        <w:rPr>
          <w:color w:val="auto"/>
          <w:sz w:val="24"/>
          <w:szCs w:val="24"/>
        </w:rPr>
        <w:t>项目概况</w:t>
      </w:r>
      <w:r>
        <w:rPr>
          <w:rFonts w:hint="eastAsia"/>
          <w:color w:val="auto"/>
          <w:sz w:val="24"/>
          <w:szCs w:val="24"/>
        </w:rPr>
        <w:t>及工程分析</w:t>
      </w:r>
      <w:bookmarkEnd w:id="126"/>
    </w:p>
    <w:p w14:paraId="35234080">
      <w:pPr>
        <w:pStyle w:val="4"/>
        <w:numPr>
          <w:ilvl w:val="0"/>
          <w:numId w:val="0"/>
        </w:numPr>
        <w:spacing w:line="360" w:lineRule="auto"/>
        <w:rPr>
          <w:color w:val="auto"/>
          <w:szCs w:val="24"/>
        </w:rPr>
      </w:pPr>
      <w:bookmarkStart w:id="129" w:name="_Toc11580"/>
      <w:r>
        <w:rPr>
          <w:color w:val="auto"/>
          <w:szCs w:val="24"/>
        </w:rPr>
        <w:t>3.1拟建项目基本情况</w:t>
      </w:r>
      <w:bookmarkEnd w:id="129"/>
    </w:p>
    <w:p w14:paraId="7B7706BB">
      <w:pPr>
        <w:spacing w:line="360" w:lineRule="auto"/>
        <w:ind w:firstLine="480"/>
        <w:rPr>
          <w:color w:val="auto"/>
          <w:szCs w:val="24"/>
        </w:rPr>
      </w:pPr>
      <w:r>
        <w:rPr>
          <w:rFonts w:hint="eastAsia"/>
          <w:color w:val="auto"/>
          <w:szCs w:val="24"/>
        </w:rPr>
        <w:t>（1）</w:t>
      </w:r>
      <w:r>
        <w:rPr>
          <w:color w:val="auto"/>
          <w:szCs w:val="24"/>
        </w:rPr>
        <w:t>项目名称：</w:t>
      </w:r>
      <w:r>
        <w:rPr>
          <w:rFonts w:hint="eastAsia"/>
          <w:color w:val="auto"/>
          <w:szCs w:val="24"/>
          <w:lang w:eastAsia="zh-CN"/>
        </w:rPr>
        <w:t>页岩气开采废水处理项目</w:t>
      </w:r>
      <w:r>
        <w:rPr>
          <w:rFonts w:hint="eastAsia"/>
          <w:color w:val="auto"/>
          <w:szCs w:val="24"/>
        </w:rPr>
        <w:t>；</w:t>
      </w:r>
    </w:p>
    <w:p w14:paraId="1284286D">
      <w:pPr>
        <w:spacing w:line="360" w:lineRule="auto"/>
        <w:ind w:firstLine="480"/>
        <w:rPr>
          <w:color w:val="auto"/>
          <w:szCs w:val="24"/>
        </w:rPr>
      </w:pPr>
      <w:r>
        <w:rPr>
          <w:rFonts w:hint="eastAsia"/>
          <w:color w:val="auto"/>
          <w:szCs w:val="24"/>
        </w:rPr>
        <w:t>（2）</w:t>
      </w:r>
      <w:r>
        <w:rPr>
          <w:color w:val="auto"/>
          <w:szCs w:val="24"/>
        </w:rPr>
        <w:t>建设性质：</w:t>
      </w:r>
      <w:r>
        <w:rPr>
          <w:rFonts w:hint="eastAsia"/>
          <w:color w:val="auto"/>
          <w:szCs w:val="24"/>
          <w:lang w:eastAsia="zh-CN"/>
        </w:rPr>
        <w:t>新建</w:t>
      </w:r>
      <w:r>
        <w:rPr>
          <w:rFonts w:hint="eastAsia"/>
          <w:color w:val="auto"/>
          <w:szCs w:val="24"/>
        </w:rPr>
        <w:t>；</w:t>
      </w:r>
    </w:p>
    <w:p w14:paraId="1C49DCBA">
      <w:pPr>
        <w:spacing w:line="360" w:lineRule="auto"/>
        <w:ind w:firstLine="480"/>
        <w:rPr>
          <w:color w:val="auto"/>
          <w:szCs w:val="24"/>
        </w:rPr>
      </w:pPr>
      <w:r>
        <w:rPr>
          <w:rFonts w:hint="eastAsia"/>
          <w:color w:val="auto"/>
          <w:szCs w:val="24"/>
        </w:rPr>
        <w:t>（3）</w:t>
      </w:r>
      <w:r>
        <w:rPr>
          <w:color w:val="auto"/>
          <w:szCs w:val="24"/>
        </w:rPr>
        <w:t>建设规模：</w:t>
      </w:r>
      <w:r>
        <w:rPr>
          <w:rFonts w:hint="eastAsia"/>
          <w:color w:val="auto"/>
          <w:szCs w:val="24"/>
        </w:rPr>
        <w:t>废水处理规模20</w:t>
      </w:r>
      <w:r>
        <w:rPr>
          <w:color w:val="auto"/>
          <w:szCs w:val="24"/>
        </w:rPr>
        <w:t>00</w:t>
      </w:r>
      <w:r>
        <w:rPr>
          <w:rFonts w:hint="eastAsia"/>
          <w:color w:val="auto"/>
          <w:szCs w:val="24"/>
        </w:rPr>
        <w:t>m</w:t>
      </w:r>
      <w:r>
        <w:rPr>
          <w:rFonts w:hint="eastAsia"/>
          <w:color w:val="auto"/>
          <w:szCs w:val="24"/>
          <w:vertAlign w:val="superscript"/>
        </w:rPr>
        <w:t>3</w:t>
      </w:r>
      <w:r>
        <w:rPr>
          <w:rFonts w:hint="eastAsia"/>
          <w:color w:val="auto"/>
          <w:szCs w:val="24"/>
        </w:rPr>
        <w:t>/d；</w:t>
      </w:r>
    </w:p>
    <w:p w14:paraId="33608DE2">
      <w:pPr>
        <w:spacing w:line="360" w:lineRule="auto"/>
        <w:ind w:firstLine="480"/>
        <w:rPr>
          <w:color w:val="auto"/>
          <w:szCs w:val="24"/>
        </w:rPr>
      </w:pPr>
      <w:r>
        <w:rPr>
          <w:rFonts w:hint="eastAsia"/>
          <w:color w:val="auto"/>
          <w:szCs w:val="24"/>
        </w:rPr>
        <w:t>（4）</w:t>
      </w:r>
      <w:r>
        <w:rPr>
          <w:color w:val="auto"/>
          <w:szCs w:val="24"/>
        </w:rPr>
        <w:t>建设地点：</w:t>
      </w:r>
      <w:r>
        <w:rPr>
          <w:rFonts w:hint="eastAsia"/>
          <w:color w:val="auto"/>
          <w:szCs w:val="24"/>
          <w:lang w:eastAsia="zh-CN"/>
        </w:rPr>
        <w:t>重庆忠县工业园乌杨组团</w:t>
      </w:r>
      <w:r>
        <w:rPr>
          <w:rFonts w:hint="eastAsia"/>
          <w:color w:val="auto"/>
          <w:szCs w:val="24"/>
        </w:rPr>
        <w:t>；</w:t>
      </w:r>
    </w:p>
    <w:p w14:paraId="3EF86F12">
      <w:pPr>
        <w:spacing w:line="360" w:lineRule="auto"/>
        <w:ind w:firstLine="480"/>
        <w:rPr>
          <w:snapToGrid w:val="0"/>
          <w:color w:val="auto"/>
          <w:szCs w:val="24"/>
        </w:rPr>
      </w:pPr>
      <w:r>
        <w:rPr>
          <w:rFonts w:hint="eastAsia"/>
          <w:color w:val="auto"/>
          <w:szCs w:val="24"/>
        </w:rPr>
        <w:t>（5）</w:t>
      </w:r>
      <w:r>
        <w:rPr>
          <w:color w:val="auto"/>
          <w:szCs w:val="24"/>
        </w:rPr>
        <w:t>建设单位：</w:t>
      </w:r>
      <w:r>
        <w:rPr>
          <w:rFonts w:hint="eastAsia"/>
          <w:color w:val="auto"/>
          <w:szCs w:val="24"/>
          <w:lang w:eastAsia="zh-CN"/>
        </w:rPr>
        <w:t>重庆海宇环保科技有限公司</w:t>
      </w:r>
      <w:r>
        <w:rPr>
          <w:rFonts w:hint="eastAsia"/>
          <w:color w:val="auto"/>
          <w:szCs w:val="24"/>
        </w:rPr>
        <w:t>；</w:t>
      </w:r>
    </w:p>
    <w:p w14:paraId="041F140B">
      <w:pPr>
        <w:spacing w:line="360" w:lineRule="auto"/>
        <w:ind w:firstLine="480"/>
        <w:rPr>
          <w:color w:val="auto"/>
          <w:szCs w:val="24"/>
        </w:rPr>
      </w:pPr>
      <w:r>
        <w:rPr>
          <w:rFonts w:hint="eastAsia"/>
          <w:color w:val="auto"/>
          <w:szCs w:val="24"/>
        </w:rPr>
        <w:t>（6）</w:t>
      </w:r>
      <w:r>
        <w:rPr>
          <w:color w:val="auto"/>
          <w:szCs w:val="24"/>
        </w:rPr>
        <w:t>占地面积：</w:t>
      </w:r>
      <w:r>
        <w:rPr>
          <w:rFonts w:hint="eastAsia"/>
          <w:color w:val="auto"/>
          <w:szCs w:val="24"/>
          <w:lang w:val="en-US" w:eastAsia="zh-CN"/>
        </w:rPr>
        <w:t>7</w:t>
      </w:r>
      <w:r>
        <w:rPr>
          <w:rFonts w:hint="eastAsia"/>
          <w:color w:val="auto"/>
          <w:szCs w:val="24"/>
        </w:rPr>
        <w:t>500</w:t>
      </w:r>
      <w:r>
        <w:rPr>
          <w:color w:val="auto"/>
          <w:szCs w:val="24"/>
        </w:rPr>
        <w:t>m</w:t>
      </w:r>
      <w:r>
        <w:rPr>
          <w:color w:val="auto"/>
          <w:szCs w:val="24"/>
          <w:vertAlign w:val="superscript"/>
        </w:rPr>
        <w:t>2</w:t>
      </w:r>
      <w:r>
        <w:rPr>
          <w:rFonts w:hint="eastAsia"/>
          <w:color w:val="auto"/>
          <w:szCs w:val="24"/>
        </w:rPr>
        <w:t>；</w:t>
      </w:r>
    </w:p>
    <w:p w14:paraId="16312BB9">
      <w:pPr>
        <w:spacing w:line="360" w:lineRule="auto"/>
        <w:ind w:firstLine="480"/>
        <w:rPr>
          <w:color w:val="auto"/>
          <w:szCs w:val="24"/>
        </w:rPr>
      </w:pPr>
      <w:r>
        <w:rPr>
          <w:rFonts w:hint="eastAsia"/>
          <w:color w:val="auto"/>
          <w:szCs w:val="24"/>
        </w:rPr>
        <w:t>（7）</w:t>
      </w:r>
      <w:r>
        <w:rPr>
          <w:color w:val="auto"/>
          <w:szCs w:val="24"/>
        </w:rPr>
        <w:t>劳动定员</w:t>
      </w:r>
      <w:r>
        <w:rPr>
          <w:rFonts w:hint="eastAsia"/>
          <w:color w:val="auto"/>
          <w:szCs w:val="24"/>
        </w:rPr>
        <w:t>及工作制度</w:t>
      </w:r>
      <w:r>
        <w:rPr>
          <w:color w:val="auto"/>
          <w:szCs w:val="24"/>
        </w:rPr>
        <w:t>：劳动定员20</w:t>
      </w:r>
      <w:r>
        <w:rPr>
          <w:rFonts w:hint="eastAsia"/>
          <w:color w:val="auto"/>
          <w:szCs w:val="24"/>
        </w:rPr>
        <w:t>人</w:t>
      </w:r>
      <w:r>
        <w:rPr>
          <w:color w:val="auto"/>
          <w:szCs w:val="24"/>
        </w:rPr>
        <w:t>，</w:t>
      </w:r>
      <w:r>
        <w:rPr>
          <w:rFonts w:hint="eastAsia"/>
          <w:color w:val="auto"/>
          <w:szCs w:val="24"/>
        </w:rPr>
        <w:t>全年运营</w:t>
      </w:r>
      <w:r>
        <w:rPr>
          <w:color w:val="auto"/>
          <w:szCs w:val="24"/>
        </w:rPr>
        <w:t>3</w:t>
      </w:r>
      <w:r>
        <w:rPr>
          <w:rFonts w:hint="eastAsia"/>
          <w:color w:val="auto"/>
          <w:szCs w:val="24"/>
        </w:rPr>
        <w:t>00d，每天24h；</w:t>
      </w:r>
    </w:p>
    <w:p w14:paraId="5FB7875D">
      <w:pPr>
        <w:spacing w:line="360" w:lineRule="auto"/>
        <w:ind w:firstLine="480"/>
        <w:jc w:val="left"/>
        <w:rPr>
          <w:bCs/>
          <w:snapToGrid w:val="0"/>
          <w:color w:val="auto"/>
          <w:kern w:val="0"/>
          <w:szCs w:val="24"/>
        </w:rPr>
      </w:pPr>
      <w:r>
        <w:rPr>
          <w:rFonts w:hint="eastAsia"/>
          <w:color w:val="auto"/>
          <w:szCs w:val="24"/>
        </w:rPr>
        <w:t>（8）</w:t>
      </w:r>
      <w:r>
        <w:rPr>
          <w:color w:val="auto"/>
          <w:szCs w:val="24"/>
        </w:rPr>
        <w:t>总投资：</w:t>
      </w:r>
      <w:r>
        <w:rPr>
          <w:color w:val="auto"/>
        </w:rPr>
        <w:t>总投资</w:t>
      </w:r>
      <w:r>
        <w:rPr>
          <w:rFonts w:hint="eastAsia"/>
          <w:color w:val="auto"/>
          <w:lang w:val="en-US" w:eastAsia="zh-CN"/>
        </w:rPr>
        <w:t>2</w:t>
      </w:r>
      <w:r>
        <w:rPr>
          <w:rFonts w:hint="eastAsia"/>
          <w:color w:val="auto"/>
        </w:rPr>
        <w:t>000</w:t>
      </w:r>
      <w:r>
        <w:rPr>
          <w:color w:val="auto"/>
        </w:rPr>
        <w:t>万元</w:t>
      </w:r>
      <w:r>
        <w:rPr>
          <w:rFonts w:hint="eastAsia"/>
          <w:color w:val="auto"/>
        </w:rPr>
        <w:t>，环保投资约</w:t>
      </w:r>
      <w:r>
        <w:rPr>
          <w:rFonts w:hint="eastAsia"/>
          <w:color w:val="auto"/>
          <w:lang w:val="en-US" w:eastAsia="zh-CN"/>
        </w:rPr>
        <w:t>150</w:t>
      </w:r>
      <w:r>
        <w:rPr>
          <w:rFonts w:hint="eastAsia"/>
          <w:color w:val="auto"/>
        </w:rPr>
        <w:t>万元，占总投资的</w:t>
      </w:r>
      <w:r>
        <w:rPr>
          <w:rFonts w:hint="eastAsia"/>
          <w:color w:val="auto"/>
          <w:lang w:val="en-US" w:eastAsia="zh-CN"/>
        </w:rPr>
        <w:t>7.5</w:t>
      </w:r>
      <w:r>
        <w:rPr>
          <w:rFonts w:hint="eastAsia"/>
          <w:color w:val="auto"/>
        </w:rPr>
        <w:t>%</w:t>
      </w:r>
      <w:r>
        <w:rPr>
          <w:rFonts w:hint="eastAsia"/>
          <w:color w:val="auto"/>
          <w:szCs w:val="24"/>
        </w:rPr>
        <w:t>；</w:t>
      </w:r>
    </w:p>
    <w:p w14:paraId="07EFF2F8">
      <w:pPr>
        <w:spacing w:line="360" w:lineRule="auto"/>
        <w:ind w:firstLine="480"/>
        <w:jc w:val="left"/>
        <w:rPr>
          <w:rFonts w:cs="Tunga"/>
          <w:color w:val="auto"/>
        </w:rPr>
      </w:pPr>
      <w:r>
        <w:rPr>
          <w:rFonts w:hint="eastAsia" w:cs="Tunga"/>
          <w:color w:val="auto"/>
        </w:rPr>
        <w:t>（9）施工工期：约</w:t>
      </w:r>
      <w:r>
        <w:rPr>
          <w:rFonts w:cs="Tunga"/>
          <w:color w:val="auto"/>
        </w:rPr>
        <w:t>12</w:t>
      </w:r>
      <w:r>
        <w:rPr>
          <w:rFonts w:hint="eastAsia" w:cs="Tunga"/>
          <w:color w:val="auto"/>
        </w:rPr>
        <w:t>个月</w:t>
      </w:r>
      <w:r>
        <w:rPr>
          <w:rFonts w:hint="eastAsia"/>
          <w:color w:val="auto"/>
          <w:szCs w:val="24"/>
        </w:rPr>
        <w:t>；</w:t>
      </w:r>
    </w:p>
    <w:p w14:paraId="07FCDF66">
      <w:pPr>
        <w:spacing w:line="360" w:lineRule="auto"/>
        <w:ind w:firstLine="480"/>
        <w:rPr>
          <w:color w:val="auto"/>
        </w:rPr>
      </w:pPr>
      <w:r>
        <w:rPr>
          <w:rFonts w:hint="eastAsia" w:cs="Tunga"/>
          <w:color w:val="auto"/>
        </w:rPr>
        <w:t>（1</w:t>
      </w:r>
      <w:r>
        <w:rPr>
          <w:rFonts w:cs="Tunga"/>
          <w:color w:val="auto"/>
        </w:rPr>
        <w:t>0</w:t>
      </w:r>
      <w:r>
        <w:rPr>
          <w:rFonts w:hint="eastAsia" w:cs="Tunga"/>
          <w:color w:val="auto"/>
        </w:rPr>
        <w:t>）主要建设内容及规模：主要</w:t>
      </w:r>
      <w:r>
        <w:rPr>
          <w:rFonts w:hint="eastAsia" w:ascii="宋体" w:hAnsi="宋体"/>
          <w:color w:val="auto"/>
          <w:kern w:val="0"/>
          <w:szCs w:val="24"/>
          <w:lang w:eastAsia="zh-CN"/>
        </w:rPr>
        <w:t>建设页岩气开采废水处理系统</w:t>
      </w:r>
      <w:r>
        <w:rPr>
          <w:rFonts w:hint="eastAsia" w:ascii="宋体" w:hAnsi="宋体"/>
          <w:color w:val="auto"/>
          <w:kern w:val="0"/>
          <w:szCs w:val="24"/>
        </w:rPr>
        <w:t>1套及相关配套设施设备，主要处理</w:t>
      </w:r>
      <w:r>
        <w:rPr>
          <w:rFonts w:hint="eastAsia" w:ascii="宋体" w:hAnsi="宋体"/>
          <w:color w:val="auto"/>
          <w:kern w:val="0"/>
          <w:szCs w:val="24"/>
          <w:lang w:eastAsia="zh-CN"/>
        </w:rPr>
        <w:t>页岩气开采</w:t>
      </w:r>
      <w:r>
        <w:rPr>
          <w:rFonts w:hint="eastAsia" w:ascii="宋体" w:hAnsi="宋体"/>
          <w:color w:val="auto"/>
          <w:kern w:val="0"/>
          <w:szCs w:val="24"/>
        </w:rPr>
        <w:t>废水</w:t>
      </w:r>
      <w:r>
        <w:rPr>
          <w:color w:val="auto"/>
          <w:kern w:val="0"/>
          <w:szCs w:val="24"/>
        </w:rPr>
        <w:t>，</w:t>
      </w:r>
      <w:r>
        <w:rPr>
          <w:rFonts w:hint="eastAsia"/>
          <w:color w:val="auto"/>
          <w:szCs w:val="24"/>
        </w:rPr>
        <w:t>废水采用</w:t>
      </w:r>
      <w:r>
        <w:rPr>
          <w:rFonts w:hint="eastAsia" w:cs="Tunga"/>
          <w:color w:val="auto"/>
        </w:rPr>
        <w:t>“</w:t>
      </w:r>
      <w:r>
        <w:rPr>
          <w:rFonts w:hint="eastAsia" w:cs="Tunga"/>
          <w:color w:val="auto"/>
          <w:lang w:eastAsia="zh-CN"/>
        </w:rPr>
        <w:t>调节+气浮+化学除重+高密软化沉淀+芬顿氧化+中和沉淀+精密过滤+DTRO膜浓缩+浓水蒸发结晶</w:t>
      </w:r>
      <w:r>
        <w:rPr>
          <w:rFonts w:hint="eastAsia" w:cs="Tunga"/>
          <w:color w:val="auto"/>
        </w:rPr>
        <w:t>”处理工艺，</w:t>
      </w:r>
      <w:r>
        <w:rPr>
          <w:color w:val="auto"/>
          <w:kern w:val="0"/>
          <w:szCs w:val="24"/>
        </w:rPr>
        <w:t>设计处理规模为2000m</w:t>
      </w:r>
      <w:r>
        <w:rPr>
          <w:color w:val="auto"/>
          <w:kern w:val="0"/>
          <w:szCs w:val="24"/>
          <w:vertAlign w:val="superscript"/>
        </w:rPr>
        <w:t>3</w:t>
      </w:r>
      <w:r>
        <w:rPr>
          <w:color w:val="auto"/>
          <w:kern w:val="0"/>
          <w:szCs w:val="24"/>
        </w:rPr>
        <w:t>/d</w:t>
      </w:r>
      <w:r>
        <w:rPr>
          <w:rFonts w:hint="eastAsia"/>
          <w:color w:val="auto"/>
          <w:kern w:val="0"/>
          <w:szCs w:val="24"/>
          <w:lang w:eastAsia="zh-CN"/>
        </w:rPr>
        <w:t>，设计出水水质达重庆市地方标准</w:t>
      </w:r>
      <w:r>
        <w:rPr>
          <w:rFonts w:hint="eastAsia" w:ascii="Times New Roman" w:hAnsi="Times New Roman"/>
          <w:color w:val="auto"/>
          <w:lang w:val="en-US" w:eastAsia="zh-CN"/>
        </w:rPr>
        <w:t>《页岩气开采水污染物排放标准》（DB50/1806-2025）间接排放标准限值</w:t>
      </w:r>
      <w:r>
        <w:rPr>
          <w:rFonts w:hint="eastAsia" w:cs="Tunga"/>
          <w:color w:val="auto"/>
        </w:rPr>
        <w:t>。</w:t>
      </w:r>
    </w:p>
    <w:p w14:paraId="51057300">
      <w:pPr>
        <w:pStyle w:val="4"/>
        <w:numPr>
          <w:ilvl w:val="0"/>
          <w:numId w:val="0"/>
        </w:numPr>
        <w:spacing w:line="360" w:lineRule="auto"/>
        <w:rPr>
          <w:color w:val="auto"/>
        </w:rPr>
      </w:pPr>
      <w:bookmarkStart w:id="130" w:name="_Toc24267"/>
      <w:r>
        <w:rPr>
          <w:rFonts w:hint="eastAsia"/>
          <w:color w:val="auto"/>
        </w:rPr>
        <w:t>3.2</w:t>
      </w:r>
      <w:r>
        <w:rPr>
          <w:color w:val="auto"/>
        </w:rPr>
        <w:t>污水量估算</w:t>
      </w:r>
      <w:bookmarkEnd w:id="130"/>
    </w:p>
    <w:p w14:paraId="50F9DE59">
      <w:pPr>
        <w:pStyle w:val="5"/>
        <w:numPr>
          <w:ilvl w:val="0"/>
          <w:numId w:val="0"/>
        </w:numPr>
        <w:spacing w:line="360" w:lineRule="auto"/>
        <w:rPr>
          <w:color w:val="auto"/>
          <w:szCs w:val="24"/>
        </w:rPr>
      </w:pPr>
      <w:r>
        <w:rPr>
          <w:rFonts w:hint="eastAsia"/>
          <w:color w:val="auto"/>
          <w:szCs w:val="24"/>
        </w:rPr>
        <w:t>3.2</w:t>
      </w:r>
      <w:r>
        <w:rPr>
          <w:color w:val="auto"/>
          <w:szCs w:val="24"/>
        </w:rPr>
        <w:t>.1服务范围</w:t>
      </w:r>
    </w:p>
    <w:p w14:paraId="2EEA7DC7">
      <w:pPr>
        <w:spacing w:line="360" w:lineRule="auto"/>
        <w:ind w:firstLine="480"/>
        <w:rPr>
          <w:color w:val="auto"/>
        </w:rPr>
      </w:pPr>
      <w:r>
        <w:rPr>
          <w:rFonts w:hint="eastAsia"/>
          <w:color w:val="auto"/>
          <w:szCs w:val="24"/>
        </w:rPr>
        <w:t>拟建项目服务范围为</w:t>
      </w:r>
      <w:r>
        <w:rPr>
          <w:rFonts w:hint="eastAsia"/>
          <w:color w:val="auto"/>
          <w:szCs w:val="24"/>
          <w:lang w:eastAsia="zh-CN"/>
        </w:rPr>
        <w:t>忠县、梁平、垫江、石柱和万州等周边区县</w:t>
      </w:r>
      <w:r>
        <w:rPr>
          <w:rFonts w:hint="eastAsia"/>
          <w:color w:val="auto"/>
          <w:szCs w:val="24"/>
        </w:rPr>
        <w:t>，服务对象主要包括中石化重庆涪陵页岩气勘探开发有限公司</w:t>
      </w:r>
      <w:r>
        <w:rPr>
          <w:rFonts w:hint="eastAsia"/>
          <w:color w:val="auto"/>
          <w:szCs w:val="24"/>
          <w:lang w:eastAsia="zh-CN"/>
        </w:rPr>
        <w:t>、</w:t>
      </w:r>
      <w:r>
        <w:rPr>
          <w:rFonts w:hint="eastAsia"/>
          <w:color w:val="auto"/>
        </w:rPr>
        <w:t>重庆页岩气勘探开发有限责任公司和中国石油天然气股份有限公司西南油气田分公司等。</w:t>
      </w:r>
    </w:p>
    <w:p w14:paraId="5F26553A">
      <w:pPr>
        <w:spacing w:line="360" w:lineRule="auto"/>
        <w:ind w:firstLine="480"/>
        <w:rPr>
          <w:color w:val="auto"/>
          <w:szCs w:val="24"/>
        </w:rPr>
      </w:pPr>
      <w:r>
        <w:rPr>
          <w:color w:val="auto"/>
        </w:rPr>
        <w:t>项目处理</w:t>
      </w:r>
      <w:r>
        <w:rPr>
          <w:rFonts w:hint="eastAsia"/>
          <w:color w:val="auto"/>
        </w:rPr>
        <w:t>服务范围内</w:t>
      </w:r>
      <w:r>
        <w:rPr>
          <w:rFonts w:hint="eastAsia"/>
          <w:color w:val="auto"/>
          <w:szCs w:val="24"/>
        </w:rPr>
        <w:t>页岩气开采企业产生的</w:t>
      </w:r>
      <w:r>
        <w:rPr>
          <w:rFonts w:hint="eastAsia"/>
          <w:color w:val="auto"/>
          <w:szCs w:val="24"/>
          <w:lang w:eastAsia="zh-CN"/>
        </w:rPr>
        <w:t>岩气开采废水包括钻井废水、洗井废水、压裂返排水和采出水等</w:t>
      </w:r>
      <w:r>
        <w:rPr>
          <w:rFonts w:hint="eastAsia"/>
          <w:color w:val="auto"/>
          <w:szCs w:val="24"/>
        </w:rPr>
        <w:t>。</w:t>
      </w:r>
    </w:p>
    <w:p w14:paraId="3D3BFB82">
      <w:pPr>
        <w:spacing w:line="360" w:lineRule="auto"/>
        <w:ind w:firstLine="480"/>
        <w:rPr>
          <w:color w:val="auto"/>
        </w:rPr>
      </w:pPr>
      <w:r>
        <w:rPr>
          <w:rFonts w:hint="eastAsia"/>
          <w:color w:val="auto"/>
        </w:rPr>
        <w:t>拟处理废水从服务范围内</w:t>
      </w:r>
      <w:r>
        <w:rPr>
          <w:rFonts w:hint="eastAsia"/>
          <w:color w:val="auto"/>
          <w:szCs w:val="24"/>
        </w:rPr>
        <w:t>页岩气开采企业相关钻井平台和井场</w:t>
      </w:r>
      <w:r>
        <w:rPr>
          <w:rFonts w:hint="eastAsia"/>
          <w:color w:val="auto"/>
        </w:rPr>
        <w:t>用罐车运至</w:t>
      </w:r>
      <w:r>
        <w:rPr>
          <w:rFonts w:hint="eastAsia"/>
          <w:color w:val="auto"/>
          <w:szCs w:val="24"/>
        </w:rPr>
        <w:t>拟建</w:t>
      </w:r>
      <w:r>
        <w:rPr>
          <w:rFonts w:hint="eastAsia"/>
          <w:color w:val="auto"/>
        </w:rPr>
        <w:t>项目污水处理厂进行处理。运输车辆主要通过井场道路、乡道、国道、高速及园区道路等进入项目厂区。运输车辆应合理选择运输路线，避开饮用水源保护区等区域。</w:t>
      </w:r>
      <w:r>
        <w:rPr>
          <w:rFonts w:hint="eastAsia"/>
          <w:color w:val="auto"/>
          <w:szCs w:val="24"/>
        </w:rPr>
        <w:t>拟建</w:t>
      </w:r>
      <w:r>
        <w:rPr>
          <w:rFonts w:hint="eastAsia"/>
          <w:color w:val="auto"/>
        </w:rPr>
        <w:t>项目废水运输由专业公司负责，项目不涉及运输车辆维修和清洗等。</w:t>
      </w:r>
    </w:p>
    <w:p w14:paraId="17DC36FE">
      <w:pPr>
        <w:pStyle w:val="5"/>
        <w:numPr>
          <w:ilvl w:val="0"/>
          <w:numId w:val="0"/>
        </w:numPr>
        <w:spacing w:line="360" w:lineRule="auto"/>
        <w:rPr>
          <w:color w:val="auto"/>
          <w:szCs w:val="24"/>
        </w:rPr>
      </w:pPr>
      <w:r>
        <w:rPr>
          <w:rFonts w:hint="eastAsia"/>
          <w:color w:val="auto"/>
          <w:szCs w:val="24"/>
        </w:rPr>
        <w:t>3.2</w:t>
      </w:r>
      <w:r>
        <w:rPr>
          <w:color w:val="auto"/>
          <w:szCs w:val="24"/>
        </w:rPr>
        <w:t>.2</w:t>
      </w:r>
      <w:r>
        <w:rPr>
          <w:color w:val="auto"/>
          <w:lang w:val="en-US"/>
        </w:rPr>
        <w:t>废水处理现状</w:t>
      </w:r>
    </w:p>
    <w:p w14:paraId="69BA5D37">
      <w:pPr>
        <w:spacing w:line="360" w:lineRule="auto"/>
        <w:ind w:firstLine="480"/>
        <w:rPr>
          <w:color w:val="auto"/>
          <w:kern w:val="0"/>
        </w:rPr>
      </w:pPr>
      <w:r>
        <w:rPr>
          <w:rFonts w:hint="eastAsia"/>
          <w:color w:val="auto"/>
          <w:kern w:val="0"/>
        </w:rPr>
        <w:t>根据调查，</w:t>
      </w:r>
      <w:r>
        <w:rPr>
          <w:color w:val="auto"/>
          <w:kern w:val="0"/>
        </w:rPr>
        <w:t>页岩气开发</w:t>
      </w:r>
      <w:r>
        <w:rPr>
          <w:rFonts w:hint="eastAsia"/>
          <w:color w:val="auto"/>
          <w:kern w:val="0"/>
        </w:rPr>
        <w:t>过程主要产生的</w:t>
      </w:r>
      <w:r>
        <w:rPr>
          <w:rFonts w:hint="eastAsia"/>
          <w:color w:val="auto"/>
          <w:szCs w:val="24"/>
        </w:rPr>
        <w:t>岩气开采废水</w:t>
      </w:r>
      <w:r>
        <w:rPr>
          <w:rFonts w:hint="eastAsia"/>
          <w:color w:val="auto"/>
          <w:kern w:val="0"/>
        </w:rPr>
        <w:t>主要包括钻井废水、气田水、</w:t>
      </w:r>
      <w:r>
        <w:rPr>
          <w:color w:val="auto"/>
          <w:kern w:val="0"/>
        </w:rPr>
        <w:t>压裂返排水</w:t>
      </w:r>
      <w:r>
        <w:rPr>
          <w:rFonts w:hint="eastAsia"/>
          <w:color w:val="auto"/>
          <w:kern w:val="0"/>
        </w:rPr>
        <w:t>，钻井废水回用于配置水基段钻井液，剩余钻井废水由钻井队回收用于其他钻井工程；而</w:t>
      </w:r>
      <w:r>
        <w:rPr>
          <w:color w:val="auto"/>
          <w:kern w:val="0"/>
        </w:rPr>
        <w:t>采气分离废水和压裂返排水</w:t>
      </w:r>
      <w:r>
        <w:rPr>
          <w:rFonts w:hint="eastAsia"/>
          <w:color w:val="auto"/>
          <w:kern w:val="0"/>
        </w:rPr>
        <w:t>均优先</w:t>
      </w:r>
      <w:r>
        <w:rPr>
          <w:color w:val="auto"/>
          <w:kern w:val="0"/>
        </w:rPr>
        <w:t>回用于压裂工序，</w:t>
      </w:r>
      <w:r>
        <w:rPr>
          <w:rFonts w:hint="eastAsia"/>
          <w:color w:val="auto"/>
          <w:kern w:val="0"/>
        </w:rPr>
        <w:t>不能</w:t>
      </w:r>
      <w:r>
        <w:rPr>
          <w:color w:val="auto"/>
          <w:kern w:val="0"/>
        </w:rPr>
        <w:t>回用时，经</w:t>
      </w:r>
      <w:r>
        <w:rPr>
          <w:rFonts w:hint="eastAsia"/>
          <w:color w:val="auto"/>
          <w:kern w:val="0"/>
        </w:rPr>
        <w:t>处理</w:t>
      </w:r>
      <w:r>
        <w:rPr>
          <w:color w:val="auto"/>
          <w:kern w:val="0"/>
        </w:rPr>
        <w:t>达标排放</w:t>
      </w:r>
      <w:r>
        <w:rPr>
          <w:rFonts w:hint="eastAsia"/>
          <w:color w:val="auto"/>
        </w:rPr>
        <w:t>或采取废水预处理工艺处理后采用罐车运至回注井回注，随着区域压裂开发用水需求量的</w:t>
      </w:r>
      <w:r>
        <w:rPr>
          <w:rFonts w:hint="eastAsia"/>
          <w:color w:val="auto"/>
          <w:lang w:eastAsia="zh-CN"/>
        </w:rPr>
        <w:t>减少</w:t>
      </w:r>
      <w:r>
        <w:rPr>
          <w:rFonts w:hint="eastAsia"/>
          <w:color w:val="auto"/>
        </w:rPr>
        <w:t>，废水处理需求不断增大，而回注方式存在一定的不确定因素</w:t>
      </w:r>
      <w:r>
        <w:rPr>
          <w:rFonts w:hint="eastAsia"/>
          <w:color w:val="auto"/>
          <w:kern w:val="0"/>
        </w:rPr>
        <w:t>。</w:t>
      </w:r>
    </w:p>
    <w:p w14:paraId="66A4CA32">
      <w:pPr>
        <w:pStyle w:val="5"/>
        <w:numPr>
          <w:ilvl w:val="0"/>
          <w:numId w:val="0"/>
        </w:numPr>
        <w:spacing w:line="360" w:lineRule="auto"/>
        <w:rPr>
          <w:rFonts w:hint="eastAsia" w:eastAsia="宋体"/>
          <w:color w:val="auto"/>
          <w:szCs w:val="24"/>
          <w:lang w:eastAsia="zh-CN"/>
        </w:rPr>
      </w:pPr>
      <w:r>
        <w:rPr>
          <w:rFonts w:hint="eastAsia"/>
          <w:color w:val="auto"/>
          <w:szCs w:val="24"/>
        </w:rPr>
        <w:t>3.2</w:t>
      </w:r>
      <w:r>
        <w:rPr>
          <w:color w:val="auto"/>
          <w:szCs w:val="24"/>
        </w:rPr>
        <w:t>.3废水</w:t>
      </w:r>
      <w:r>
        <w:rPr>
          <w:rFonts w:hint="eastAsia"/>
          <w:color w:val="auto"/>
          <w:lang w:val="en-US" w:eastAsia="zh-CN"/>
        </w:rPr>
        <w:t>来源</w:t>
      </w:r>
    </w:p>
    <w:p w14:paraId="489A6C62">
      <w:pPr>
        <w:pStyle w:val="959"/>
        <w:snapToGrid w:val="0"/>
        <w:ind w:firstLine="480"/>
        <w:rPr>
          <w:color w:val="auto"/>
          <w:szCs w:val="24"/>
        </w:rPr>
      </w:pPr>
      <w:r>
        <w:rPr>
          <w:rFonts w:hint="eastAsia"/>
          <w:color w:val="auto"/>
          <w:szCs w:val="24"/>
        </w:rPr>
        <w:t>为解决</w:t>
      </w:r>
      <w:r>
        <w:rPr>
          <w:rFonts w:hint="eastAsia"/>
          <w:color w:val="auto"/>
          <w:szCs w:val="24"/>
          <w:lang w:eastAsia="zh-CN"/>
        </w:rPr>
        <w:t>忠县、梁平、垫江、石柱和万州等周边区县</w:t>
      </w:r>
      <w:r>
        <w:rPr>
          <w:rFonts w:hint="eastAsia"/>
          <w:color w:val="auto"/>
          <w:szCs w:val="24"/>
        </w:rPr>
        <w:t>页岩气开采企业岩气开采废水处理需要，建设单位拟在</w:t>
      </w:r>
      <w:r>
        <w:rPr>
          <w:rFonts w:hint="eastAsia"/>
          <w:color w:val="auto"/>
          <w:szCs w:val="24"/>
          <w:lang w:eastAsia="zh-CN"/>
        </w:rPr>
        <w:t>重庆忠县工业园乌杨组团</w:t>
      </w:r>
      <w:r>
        <w:rPr>
          <w:rFonts w:hint="eastAsia"/>
          <w:color w:val="auto"/>
          <w:szCs w:val="24"/>
        </w:rPr>
        <w:t>内新建</w:t>
      </w:r>
      <w:r>
        <w:rPr>
          <w:rFonts w:hint="eastAsia"/>
          <w:color w:val="auto"/>
          <w:szCs w:val="24"/>
          <w:lang w:val="en-US" w:eastAsia="zh-CN"/>
        </w:rPr>
        <w:t>页岩气开采废水处理项目</w:t>
      </w:r>
      <w:r>
        <w:rPr>
          <w:rFonts w:hint="eastAsia"/>
          <w:color w:val="auto"/>
          <w:szCs w:val="24"/>
          <w:lang w:val="en-US"/>
        </w:rPr>
        <w:t>，主要处理水基岩屑、泥浆干化产出的压滤水，以及井场的其他钻采废水（包括：压裂返排水、产气废水等）和井场生活污水等</w:t>
      </w:r>
      <w:r>
        <w:rPr>
          <w:rFonts w:hint="eastAsia"/>
          <w:color w:val="auto"/>
          <w:szCs w:val="24"/>
        </w:rPr>
        <w:t>。</w:t>
      </w:r>
    </w:p>
    <w:p w14:paraId="7F239B9E">
      <w:pPr>
        <w:pStyle w:val="4"/>
        <w:numPr>
          <w:ilvl w:val="0"/>
          <w:numId w:val="0"/>
        </w:numPr>
        <w:spacing w:line="360" w:lineRule="auto"/>
        <w:rPr>
          <w:color w:val="auto"/>
        </w:rPr>
      </w:pPr>
      <w:bookmarkStart w:id="131" w:name="_Toc1433"/>
      <w:r>
        <w:rPr>
          <w:rFonts w:hint="eastAsia"/>
          <w:color w:val="auto"/>
        </w:rPr>
        <w:t>3.3设计</w:t>
      </w:r>
      <w:r>
        <w:rPr>
          <w:color w:val="auto"/>
        </w:rPr>
        <w:t>进出水水质</w:t>
      </w:r>
      <w:bookmarkEnd w:id="131"/>
    </w:p>
    <w:p w14:paraId="75BB311E">
      <w:pPr>
        <w:pStyle w:val="5"/>
        <w:numPr>
          <w:ilvl w:val="0"/>
          <w:numId w:val="0"/>
        </w:numPr>
        <w:spacing w:line="360" w:lineRule="auto"/>
        <w:rPr>
          <w:color w:val="auto"/>
        </w:rPr>
      </w:pPr>
      <w:r>
        <w:rPr>
          <w:rFonts w:hint="eastAsia"/>
          <w:color w:val="auto"/>
        </w:rPr>
        <w:t>3.3</w:t>
      </w:r>
      <w:r>
        <w:rPr>
          <w:color w:val="auto"/>
        </w:rPr>
        <w:t>.1</w:t>
      </w:r>
      <w:r>
        <w:rPr>
          <w:rFonts w:hint="eastAsia"/>
          <w:color w:val="auto"/>
        </w:rPr>
        <w:t>设计</w:t>
      </w:r>
      <w:r>
        <w:rPr>
          <w:color w:val="auto"/>
        </w:rPr>
        <w:t>进水水质</w:t>
      </w:r>
    </w:p>
    <w:p w14:paraId="3607043A">
      <w:pPr>
        <w:spacing w:line="360" w:lineRule="auto"/>
        <w:ind w:firstLine="470" w:firstLineChars="196"/>
        <w:rPr>
          <w:color w:val="auto"/>
          <w:szCs w:val="24"/>
        </w:rPr>
      </w:pPr>
      <w:r>
        <w:rPr>
          <w:rFonts w:hint="eastAsia"/>
          <w:color w:val="auto"/>
          <w:szCs w:val="24"/>
        </w:rPr>
        <w:t>污水处理厂设计进水水质的确定，通常根据污水水质实测资料、设计规范、国内</w:t>
      </w:r>
      <w:r>
        <w:rPr>
          <w:rFonts w:hint="eastAsia"/>
          <w:color w:val="auto"/>
        </w:rPr>
        <w:t>同类型页岩气开采废水处理设施设计</w:t>
      </w:r>
      <w:r>
        <w:rPr>
          <w:rFonts w:hint="eastAsia"/>
          <w:color w:val="auto"/>
          <w:szCs w:val="24"/>
        </w:rPr>
        <w:t>进水水质及城市未来的发展等方面进行综合考虑。</w:t>
      </w:r>
    </w:p>
    <w:p w14:paraId="3B3326FF">
      <w:pPr>
        <w:pStyle w:val="959"/>
        <w:snapToGrid w:val="0"/>
        <w:ind w:firstLine="480"/>
        <w:rPr>
          <w:rFonts w:ascii="Times New Roman" w:hAnsi="Times New Roman"/>
          <w:color w:val="auto"/>
          <w:lang w:val="en-US"/>
        </w:rPr>
      </w:pPr>
      <w:r>
        <w:rPr>
          <w:rFonts w:ascii="Times New Roman" w:hAnsi="Times New Roman"/>
          <w:color w:val="auto"/>
          <w:lang w:val="en-US"/>
        </w:rPr>
        <w:t>（1）废水特征污染因子分析</w:t>
      </w:r>
    </w:p>
    <w:p w14:paraId="79F93AB8">
      <w:pPr>
        <w:pStyle w:val="959"/>
        <w:ind w:firstLine="480"/>
        <w:rPr>
          <w:rFonts w:ascii="Times New Roman" w:hAnsi="Times New Roman"/>
          <w:color w:val="auto"/>
          <w:lang w:val="en-US"/>
        </w:rPr>
      </w:pPr>
      <w:r>
        <w:rPr>
          <w:rFonts w:ascii="Times New Roman" w:hAnsi="Times New Roman"/>
          <w:color w:val="auto"/>
          <w:lang w:val="en-US"/>
        </w:rPr>
        <w:t>根据油气开采行业产排污情况分析，行业污水均由物理过程（无油气炼制与化工工艺过程）产生，污染物种类相对单一，主要</w:t>
      </w:r>
      <w:r>
        <w:rPr>
          <w:rFonts w:hint="eastAsia" w:ascii="Times New Roman" w:hAnsi="Times New Roman"/>
          <w:color w:val="auto"/>
          <w:lang w:val="en-US" w:eastAsia="zh-CN"/>
        </w:rPr>
        <w:t>来自</w:t>
      </w:r>
      <w:r>
        <w:rPr>
          <w:rFonts w:ascii="Times New Roman" w:hAnsi="Times New Roman"/>
          <w:color w:val="auto"/>
          <w:lang w:val="en-US"/>
        </w:rPr>
        <w:t>地层。</w:t>
      </w:r>
      <w:r>
        <w:rPr>
          <w:rFonts w:hint="eastAsia" w:ascii="Times New Roman" w:hAnsi="Times New Roman"/>
          <w:color w:val="auto"/>
          <w:lang w:val="en-US"/>
        </w:rPr>
        <w:t>根据重庆市地方标准《页岩气开采水污染物排放标准》（报批稿）</w:t>
      </w:r>
      <w:r>
        <w:rPr>
          <w:rFonts w:ascii="Times New Roman" w:hAnsi="Times New Roman"/>
          <w:color w:val="auto"/>
          <w:lang w:val="en-US"/>
        </w:rPr>
        <w:t>选择</w:t>
      </w:r>
      <w:r>
        <w:rPr>
          <w:rFonts w:hint="eastAsia" w:ascii="Times New Roman" w:hAnsi="Times New Roman"/>
          <w:color w:val="auto"/>
          <w:lang w:val="en-US"/>
        </w:rPr>
        <w:t>拟建</w:t>
      </w:r>
      <w:r>
        <w:rPr>
          <w:rFonts w:ascii="Times New Roman" w:hAnsi="Times New Roman"/>
          <w:color w:val="auto"/>
          <w:lang w:val="en-US"/>
        </w:rPr>
        <w:t>项目废水特征污染物因子</w:t>
      </w:r>
      <w:r>
        <w:rPr>
          <w:rFonts w:hint="eastAsia" w:ascii="Times New Roman" w:hAnsi="Times New Roman"/>
          <w:color w:val="auto"/>
          <w:lang w:val="en-US"/>
        </w:rPr>
        <w:t>，确定拟建项目废水污染因子包括</w:t>
      </w:r>
      <w:r>
        <w:rPr>
          <w:rFonts w:ascii="Times New Roman" w:hAnsi="Times New Roman"/>
          <w:color w:val="auto"/>
          <w:lang w:val="en-US"/>
        </w:rPr>
        <w:t>pH值、</w:t>
      </w:r>
      <w:r>
        <w:rPr>
          <w:rFonts w:hint="eastAsia" w:ascii="Times New Roman" w:hAnsi="Times New Roman"/>
          <w:color w:val="auto"/>
          <w:lang w:val="en-US"/>
        </w:rPr>
        <w:t>色度、</w:t>
      </w:r>
      <w:r>
        <w:rPr>
          <w:rFonts w:ascii="Times New Roman" w:hAnsi="Times New Roman"/>
          <w:color w:val="auto"/>
          <w:lang w:val="en-US"/>
        </w:rPr>
        <w:t>悬浮物、化学需氧量、五日生化需氧量、氨氮、</w:t>
      </w:r>
      <w:r>
        <w:rPr>
          <w:rFonts w:hint="eastAsia" w:ascii="Times New Roman" w:hAnsi="Times New Roman"/>
          <w:color w:val="auto"/>
          <w:lang w:val="en-US"/>
        </w:rPr>
        <w:t>总氮、总磷、</w:t>
      </w:r>
      <w:r>
        <w:rPr>
          <w:rFonts w:ascii="Times New Roman" w:hAnsi="Times New Roman"/>
          <w:color w:val="auto"/>
          <w:lang w:val="en-US"/>
        </w:rPr>
        <w:t>总有机碳、石油类、硫化物、</w:t>
      </w:r>
      <w:r>
        <w:rPr>
          <w:rFonts w:hint="eastAsia" w:ascii="Times New Roman" w:hAnsi="Times New Roman"/>
          <w:color w:val="auto"/>
          <w:lang w:val="en-US"/>
        </w:rPr>
        <w:t>氟化物、氯化物、溶解性总固体</w:t>
      </w:r>
      <w:r>
        <w:rPr>
          <w:rFonts w:ascii="Times New Roman" w:hAnsi="Times New Roman"/>
          <w:color w:val="auto"/>
          <w:lang w:val="en-US"/>
        </w:rPr>
        <w:t>、阴离子表面活性剂</w:t>
      </w:r>
      <w:r>
        <w:rPr>
          <w:rFonts w:hint="eastAsia" w:ascii="Times New Roman" w:hAnsi="Times New Roman"/>
          <w:color w:val="auto"/>
          <w:lang w:val="en-US"/>
        </w:rPr>
        <w:t>、</w:t>
      </w:r>
      <w:r>
        <w:rPr>
          <w:rFonts w:ascii="Times New Roman" w:hAnsi="Times New Roman"/>
          <w:color w:val="auto"/>
          <w:lang w:val="en-US"/>
        </w:rPr>
        <w:t>挥发酚</w:t>
      </w:r>
      <w:r>
        <w:rPr>
          <w:rFonts w:hint="eastAsia" w:ascii="Times New Roman" w:hAnsi="Times New Roman"/>
          <w:color w:val="auto"/>
          <w:lang w:val="en-US"/>
        </w:rPr>
        <w:t>、硼、可溶性钡、总α放射性和总β放射性等。</w:t>
      </w:r>
    </w:p>
    <w:p w14:paraId="6A78BDE7">
      <w:pPr>
        <w:pStyle w:val="959"/>
        <w:snapToGrid w:val="0"/>
        <w:ind w:firstLine="480"/>
        <w:rPr>
          <w:rFonts w:ascii="Times New Roman" w:hAnsi="Times New Roman"/>
          <w:color w:val="auto"/>
          <w:lang w:val="en-US"/>
        </w:rPr>
      </w:pPr>
      <w:r>
        <w:rPr>
          <w:rFonts w:ascii="Times New Roman" w:hAnsi="Times New Roman"/>
          <w:color w:val="auto"/>
          <w:lang w:val="en-US"/>
        </w:rPr>
        <w:t xml:space="preserve"> （2）代表性废水实际监测结果分析</w:t>
      </w:r>
    </w:p>
    <w:p w14:paraId="7A4864C3">
      <w:pPr>
        <w:pStyle w:val="959"/>
        <w:snapToGrid w:val="0"/>
        <w:ind w:firstLine="480"/>
        <w:rPr>
          <w:rFonts w:ascii="Times New Roman" w:hAnsi="Times New Roman"/>
          <w:color w:val="auto"/>
          <w:lang w:val="en-US"/>
        </w:rPr>
      </w:pPr>
      <w:r>
        <w:rPr>
          <w:rFonts w:ascii="Times New Roman" w:hAnsi="Times New Roman"/>
          <w:color w:val="auto"/>
          <w:lang w:val="en-US"/>
        </w:rPr>
        <w:t>①废水种类分析</w:t>
      </w:r>
    </w:p>
    <w:p w14:paraId="0FB71254">
      <w:pPr>
        <w:pStyle w:val="959"/>
        <w:snapToGrid w:val="0"/>
        <w:ind w:firstLine="480"/>
        <w:rPr>
          <w:rFonts w:ascii="Times New Roman" w:hAnsi="Times New Roman"/>
          <w:color w:val="auto"/>
          <w:lang w:val="en-US"/>
        </w:rPr>
      </w:pPr>
      <w:r>
        <w:rPr>
          <w:rFonts w:ascii="Times New Roman" w:hAnsi="Times New Roman"/>
          <w:color w:val="auto"/>
          <w:lang w:val="en-US"/>
        </w:rPr>
        <w:t>项目处理</w:t>
      </w:r>
      <w:r>
        <w:rPr>
          <w:rFonts w:hint="eastAsia" w:ascii="Times New Roman" w:hAnsi="Times New Roman"/>
          <w:color w:val="auto"/>
          <w:lang w:val="en-US"/>
        </w:rPr>
        <w:t>页岩气开采废水</w:t>
      </w:r>
      <w:r>
        <w:rPr>
          <w:rFonts w:ascii="Times New Roman" w:hAnsi="Times New Roman"/>
          <w:color w:val="auto"/>
          <w:lang w:val="en-US"/>
        </w:rPr>
        <w:t>主要</w:t>
      </w:r>
      <w:r>
        <w:rPr>
          <w:rFonts w:hint="eastAsia" w:ascii="Times New Roman" w:hAnsi="Times New Roman"/>
          <w:color w:val="auto"/>
          <w:lang w:val="en-US"/>
        </w:rPr>
        <w:t>包括压裂返排水</w:t>
      </w:r>
      <w:r>
        <w:rPr>
          <w:rFonts w:ascii="Times New Roman" w:hAnsi="Times New Roman"/>
          <w:color w:val="auto"/>
          <w:lang w:val="en-US"/>
        </w:rPr>
        <w:t>、</w:t>
      </w:r>
      <w:r>
        <w:rPr>
          <w:rFonts w:hint="eastAsia"/>
          <w:color w:val="auto"/>
          <w:lang w:val="en-US"/>
        </w:rPr>
        <w:t>气田水和压滤水</w:t>
      </w:r>
      <w:r>
        <w:rPr>
          <w:rFonts w:ascii="Times New Roman" w:hAnsi="Times New Roman"/>
          <w:color w:val="auto"/>
          <w:lang w:val="en-US"/>
        </w:rPr>
        <w:t>等废水</w:t>
      </w:r>
      <w:r>
        <w:rPr>
          <w:rFonts w:hint="eastAsia" w:ascii="Times New Roman" w:hAnsi="Times New Roman"/>
          <w:color w:val="auto"/>
          <w:lang w:val="en-US"/>
        </w:rPr>
        <w:t>，</w:t>
      </w:r>
      <w:r>
        <w:rPr>
          <w:rFonts w:hint="eastAsia"/>
          <w:color w:val="auto"/>
          <w:szCs w:val="24"/>
          <w:lang w:eastAsia="zh-CN"/>
        </w:rPr>
        <w:t>忠县、梁平、垫江、石柱和万州等周边区县</w:t>
      </w:r>
      <w:r>
        <w:rPr>
          <w:rFonts w:hint="eastAsia"/>
          <w:color w:val="auto"/>
          <w:szCs w:val="24"/>
        </w:rPr>
        <w:t>页岩气开采企业</w:t>
      </w:r>
      <w:r>
        <w:rPr>
          <w:rFonts w:hint="eastAsia" w:ascii="Times New Roman" w:hAnsi="Times New Roman"/>
          <w:color w:val="auto"/>
          <w:lang w:val="en-US"/>
        </w:rPr>
        <w:t>页岩气开采平台</w:t>
      </w:r>
      <w:r>
        <w:rPr>
          <w:rFonts w:ascii="Times New Roman" w:hAnsi="Times New Roman"/>
          <w:color w:val="auto"/>
          <w:lang w:val="en-US"/>
        </w:rPr>
        <w:t>。</w:t>
      </w:r>
    </w:p>
    <w:p w14:paraId="14376637">
      <w:pPr>
        <w:pStyle w:val="959"/>
        <w:snapToGrid w:val="0"/>
        <w:ind w:firstLine="480"/>
        <w:rPr>
          <w:rFonts w:ascii="Times New Roman" w:hAnsi="Times New Roman"/>
          <w:color w:val="auto"/>
          <w:lang w:val="en-US"/>
        </w:rPr>
      </w:pPr>
      <w:r>
        <w:rPr>
          <w:rFonts w:ascii="Times New Roman" w:hAnsi="Times New Roman"/>
          <w:color w:val="auto"/>
          <w:lang w:val="en-US"/>
        </w:rPr>
        <w:t>②废水水质分析</w:t>
      </w:r>
    </w:p>
    <w:p w14:paraId="562FD132">
      <w:pPr>
        <w:pStyle w:val="959"/>
        <w:snapToGrid w:val="0"/>
        <w:ind w:firstLine="480"/>
        <w:rPr>
          <w:rFonts w:ascii="Times New Roman" w:hAnsi="Times New Roman"/>
          <w:color w:val="auto"/>
          <w:lang w:val="en-US"/>
        </w:rPr>
      </w:pPr>
      <w:r>
        <w:rPr>
          <w:rFonts w:hint="eastAsia" w:ascii="Times New Roman" w:hAnsi="Times New Roman"/>
          <w:color w:val="auto"/>
          <w:lang w:val="en-US"/>
        </w:rPr>
        <w:t>根据重庆市地方标准《页岩气开采水污染物排放标准》编制说明中废水水质特征分析，详见表3</w:t>
      </w:r>
      <w:r>
        <w:rPr>
          <w:rFonts w:ascii="Times New Roman" w:hAnsi="Times New Roman"/>
          <w:color w:val="auto"/>
          <w:lang w:val="en-US"/>
        </w:rPr>
        <w:t>.3-2</w:t>
      </w:r>
      <w:r>
        <w:rPr>
          <w:rFonts w:hint="eastAsia" w:ascii="Times New Roman" w:hAnsi="Times New Roman"/>
          <w:color w:val="auto"/>
          <w:lang w:val="en-US"/>
        </w:rPr>
        <w:t>。</w:t>
      </w:r>
    </w:p>
    <w:p w14:paraId="103C7F98">
      <w:pPr>
        <w:pStyle w:val="21"/>
        <w:snapToGrid w:val="0"/>
        <w:ind w:firstLine="482"/>
        <w:jc w:val="center"/>
        <w:rPr>
          <w:rFonts w:ascii="Times New Roman" w:hAnsi="Times New Roman"/>
          <w:b/>
          <w:color w:val="auto"/>
          <w:sz w:val="24"/>
          <w:lang w:val="en-US"/>
        </w:rPr>
        <w:sectPr>
          <w:pgSz w:w="11906" w:h="16838"/>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pPr>
    </w:p>
    <w:p w14:paraId="192458AC">
      <w:pPr>
        <w:pStyle w:val="21"/>
        <w:snapToGrid w:val="0"/>
        <w:ind w:firstLine="482"/>
        <w:jc w:val="center"/>
        <w:rPr>
          <w:rFonts w:ascii="Times New Roman" w:hAnsi="Times New Roman"/>
          <w:b/>
          <w:color w:val="auto"/>
          <w:sz w:val="24"/>
        </w:rPr>
      </w:pPr>
      <w:r>
        <w:rPr>
          <w:rFonts w:hint="eastAsia" w:ascii="Times New Roman" w:hAnsi="Times New Roman"/>
          <w:b/>
          <w:color w:val="auto"/>
          <w:sz w:val="24"/>
          <w:lang w:val="en-US"/>
        </w:rPr>
        <w:t xml:space="preserve">                         </w:t>
      </w:r>
    </w:p>
    <w:p w14:paraId="6B8E97A3">
      <w:pPr>
        <w:pStyle w:val="21"/>
        <w:snapToGrid w:val="0"/>
        <w:ind w:firstLine="482"/>
        <w:jc w:val="center"/>
        <w:rPr>
          <w:rFonts w:ascii="Times New Roman" w:hAnsi="Times New Roman"/>
          <w:b/>
          <w:color w:val="auto"/>
          <w:sz w:val="24"/>
        </w:rPr>
      </w:pPr>
      <w:r>
        <w:rPr>
          <w:rFonts w:ascii="Times New Roman" w:hAnsi="Times New Roman"/>
          <w:b/>
          <w:color w:val="auto"/>
          <w:sz w:val="24"/>
        </w:rPr>
        <w:t>表3.3</w:t>
      </w:r>
      <w:r>
        <w:rPr>
          <w:rFonts w:ascii="Times New Roman" w:hAnsi="Times New Roman"/>
          <w:b/>
          <w:color w:val="auto"/>
          <w:sz w:val="24"/>
          <w:lang w:val="en-US"/>
        </w:rPr>
        <w:t>-2</w:t>
      </w:r>
      <w:r>
        <w:rPr>
          <w:rFonts w:hint="eastAsia" w:ascii="Times New Roman" w:hAnsi="Times New Roman"/>
          <w:b/>
          <w:color w:val="auto"/>
          <w:sz w:val="24"/>
          <w:lang w:val="en-US"/>
        </w:rPr>
        <w:t xml:space="preserve">  《页岩气开采水污染物排放标准》编制说明中废水实测</w:t>
      </w:r>
      <w:r>
        <w:rPr>
          <w:rFonts w:ascii="Times New Roman" w:hAnsi="Times New Roman"/>
          <w:b/>
          <w:color w:val="auto"/>
          <w:sz w:val="24"/>
          <w:lang w:val="en-US"/>
        </w:rPr>
        <w:t>监测结果</w:t>
      </w:r>
      <w:r>
        <w:rPr>
          <w:rFonts w:hint="eastAsia" w:ascii="Times New Roman" w:hAnsi="Times New Roman"/>
          <w:b/>
          <w:color w:val="auto"/>
          <w:sz w:val="24"/>
          <w:lang w:val="en-US"/>
        </w:rPr>
        <w:t xml:space="preserve">   </w:t>
      </w:r>
      <w:r>
        <w:rPr>
          <w:rFonts w:ascii="Times New Roman" w:hAnsi="Times New Roman"/>
          <w:b/>
          <w:color w:val="auto"/>
          <w:sz w:val="24"/>
        </w:rPr>
        <w:t>单位：mg/L、pH除外</w:t>
      </w:r>
    </w:p>
    <w:tbl>
      <w:tblPr>
        <w:tblStyle w:val="662"/>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67"/>
        <w:gridCol w:w="886"/>
        <w:gridCol w:w="2208"/>
        <w:gridCol w:w="2220"/>
        <w:gridCol w:w="2094"/>
      </w:tblGrid>
      <w:tr w14:paraId="49C7AF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2332" w:type="dxa"/>
            <w:gridSpan w:val="2"/>
          </w:tcPr>
          <w:p w14:paraId="53D09C05">
            <w:pPr>
              <w:pStyle w:val="3361"/>
              <w:rPr>
                <w:rFonts w:eastAsia="Times New Roman"/>
                <w:color w:val="auto"/>
                <w:kern w:val="0"/>
                <w:lang w:eastAsia="en-US"/>
              </w:rPr>
            </w:pPr>
            <w:r>
              <w:rPr>
                <w:rFonts w:hint="eastAsia" w:ascii="宋体" w:hAnsi="宋体" w:eastAsia="Times New Roman" w:cs="宋体"/>
                <w:color w:val="auto"/>
                <w:lang w:eastAsia="en-US"/>
              </w:rPr>
              <w:t>项</w:t>
            </w:r>
            <w:r>
              <w:rPr>
                <w:rFonts w:hint="eastAsia" w:eastAsia="Times New Roman"/>
                <w:color w:val="auto"/>
                <w:lang w:eastAsia="en-US"/>
              </w:rPr>
              <w:t xml:space="preserve"> </w:t>
            </w:r>
            <w:r>
              <w:rPr>
                <w:rFonts w:hint="eastAsia" w:ascii="宋体" w:hAnsi="宋体" w:eastAsia="Times New Roman" w:cs="宋体"/>
                <w:color w:val="auto"/>
                <w:lang w:eastAsia="en-US"/>
              </w:rPr>
              <w:t>目</w:t>
            </w:r>
          </w:p>
        </w:tc>
        <w:tc>
          <w:tcPr>
            <w:tcW w:w="2017" w:type="dxa"/>
          </w:tcPr>
          <w:p w14:paraId="6D6487DA">
            <w:pPr>
              <w:pStyle w:val="3361"/>
              <w:rPr>
                <w:rFonts w:eastAsia="Times New Roman"/>
                <w:color w:val="auto"/>
                <w:lang w:eastAsia="en-US"/>
              </w:rPr>
            </w:pPr>
            <w:r>
              <w:rPr>
                <w:rFonts w:hint="eastAsia" w:ascii="宋体" w:hAnsi="宋体" w:eastAsia="Times New Roman" w:cs="宋体"/>
                <w:color w:val="auto"/>
                <w:lang w:eastAsia="en-US"/>
              </w:rPr>
              <w:t>北区</w:t>
            </w:r>
          </w:p>
        </w:tc>
        <w:tc>
          <w:tcPr>
            <w:tcW w:w="2028" w:type="dxa"/>
          </w:tcPr>
          <w:p w14:paraId="7EAAFCFA">
            <w:pPr>
              <w:pStyle w:val="3361"/>
              <w:rPr>
                <w:rFonts w:eastAsia="Times New Roman"/>
                <w:color w:val="auto"/>
                <w:lang w:eastAsia="en-US"/>
              </w:rPr>
            </w:pPr>
            <w:r>
              <w:rPr>
                <w:rFonts w:hint="eastAsia" w:ascii="宋体" w:hAnsi="宋体" w:eastAsia="Times New Roman" w:cs="宋体"/>
                <w:color w:val="auto"/>
                <w:lang w:eastAsia="en-US"/>
              </w:rPr>
              <w:t>中区</w:t>
            </w:r>
          </w:p>
        </w:tc>
        <w:tc>
          <w:tcPr>
            <w:tcW w:w="1913" w:type="dxa"/>
          </w:tcPr>
          <w:p w14:paraId="6AE79159">
            <w:pPr>
              <w:pStyle w:val="3361"/>
              <w:rPr>
                <w:rFonts w:eastAsia="Times New Roman"/>
                <w:color w:val="auto"/>
                <w:lang w:eastAsia="en-US"/>
              </w:rPr>
            </w:pPr>
            <w:r>
              <w:rPr>
                <w:rFonts w:hint="eastAsia" w:ascii="宋体" w:hAnsi="宋体" w:eastAsia="Times New Roman" w:cs="宋体"/>
                <w:color w:val="auto"/>
                <w:lang w:eastAsia="en-US"/>
              </w:rPr>
              <w:t>南区</w:t>
            </w:r>
          </w:p>
        </w:tc>
      </w:tr>
      <w:tr w14:paraId="51E380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jc w:val="center"/>
        </w:trPr>
        <w:tc>
          <w:tcPr>
            <w:tcW w:w="1523" w:type="dxa"/>
          </w:tcPr>
          <w:p w14:paraId="4E650B5C">
            <w:pPr>
              <w:widowControl/>
              <w:kinsoku w:val="0"/>
              <w:autoSpaceDE w:val="0"/>
              <w:autoSpaceDN w:val="0"/>
              <w:spacing w:line="240" w:lineRule="auto"/>
              <w:ind w:firstLine="0" w:firstLineChars="0"/>
              <w:jc w:val="center"/>
              <w:textAlignment w:val="baseline"/>
              <w:rPr>
                <w:rFonts w:ascii="宋体" w:hAnsi="宋体" w:eastAsia="Times New Roman" w:cs="宋体"/>
                <w:color w:val="auto"/>
                <w:kern w:val="21"/>
                <w:sz w:val="21"/>
                <w:szCs w:val="21"/>
                <w:lang w:eastAsia="en-US"/>
              </w:rPr>
            </w:pPr>
            <w:r>
              <w:rPr>
                <w:rFonts w:hint="eastAsia" w:eastAsia="Times New Roman"/>
                <w:color w:val="auto"/>
                <w:kern w:val="21"/>
                <w:sz w:val="21"/>
                <w:szCs w:val="21"/>
                <w:lang w:eastAsia="en-US"/>
              </w:rPr>
              <w:t>pH</w:t>
            </w:r>
            <w:r>
              <w:rPr>
                <w:rFonts w:hint="eastAsia" w:ascii="宋体" w:hAnsi="宋体" w:eastAsia="Times New Roman" w:cs="宋体"/>
                <w:color w:val="auto"/>
                <w:kern w:val="21"/>
                <w:sz w:val="21"/>
                <w:szCs w:val="21"/>
                <w:lang w:eastAsia="en-US"/>
              </w:rPr>
              <w:t>（无量纲）</w:t>
            </w:r>
          </w:p>
        </w:tc>
        <w:tc>
          <w:tcPr>
            <w:tcW w:w="809" w:type="dxa"/>
          </w:tcPr>
          <w:p w14:paraId="3DBB258E">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w:t>
            </w:r>
          </w:p>
        </w:tc>
        <w:tc>
          <w:tcPr>
            <w:tcW w:w="2017" w:type="dxa"/>
          </w:tcPr>
          <w:p w14:paraId="363E210B">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6.4~7.1</w:t>
            </w:r>
          </w:p>
        </w:tc>
        <w:tc>
          <w:tcPr>
            <w:tcW w:w="2028" w:type="dxa"/>
          </w:tcPr>
          <w:p w14:paraId="049745F3">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6.8~7.1</w:t>
            </w:r>
          </w:p>
        </w:tc>
        <w:tc>
          <w:tcPr>
            <w:tcW w:w="1913" w:type="dxa"/>
          </w:tcPr>
          <w:p w14:paraId="35FCDE8B">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6.6~7.0</w:t>
            </w:r>
          </w:p>
        </w:tc>
      </w:tr>
      <w:tr w14:paraId="0FD233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jc w:val="center"/>
        </w:trPr>
        <w:tc>
          <w:tcPr>
            <w:tcW w:w="1523" w:type="dxa"/>
          </w:tcPr>
          <w:p w14:paraId="17447AB8">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ascii="宋体" w:hAnsi="宋体" w:eastAsia="Times New Roman" w:cs="宋体"/>
                <w:color w:val="auto"/>
                <w:kern w:val="21"/>
                <w:sz w:val="21"/>
                <w:szCs w:val="21"/>
                <w:lang w:eastAsia="en-US"/>
              </w:rPr>
              <w:t>石油类</w:t>
            </w:r>
          </w:p>
        </w:tc>
        <w:tc>
          <w:tcPr>
            <w:tcW w:w="809" w:type="dxa"/>
            <w:vMerge w:val="restart"/>
          </w:tcPr>
          <w:p w14:paraId="76B535B7">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p>
          <w:p w14:paraId="3066F427">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p>
          <w:p w14:paraId="50B2FA31">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p>
          <w:p w14:paraId="469B74C2">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p>
          <w:p w14:paraId="67D2BDCE">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p>
          <w:p w14:paraId="1863C5CB">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p>
          <w:p w14:paraId="49A08051">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p>
          <w:p w14:paraId="49029C39">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p>
          <w:p w14:paraId="1915AE1A">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p>
          <w:p w14:paraId="03B151C6">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p>
          <w:p w14:paraId="048C09D2">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p>
          <w:p w14:paraId="2F48EA9C">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p>
          <w:p w14:paraId="6A13DD1D">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p>
          <w:p w14:paraId="7528A6CB">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mg/L</w:t>
            </w:r>
          </w:p>
        </w:tc>
        <w:tc>
          <w:tcPr>
            <w:tcW w:w="2017" w:type="dxa"/>
          </w:tcPr>
          <w:p w14:paraId="35BAD104">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6.1~30.4</w:t>
            </w:r>
          </w:p>
        </w:tc>
        <w:tc>
          <w:tcPr>
            <w:tcW w:w="2028" w:type="dxa"/>
          </w:tcPr>
          <w:p w14:paraId="126BBD70">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12.0~96.0</w:t>
            </w:r>
          </w:p>
        </w:tc>
        <w:tc>
          <w:tcPr>
            <w:tcW w:w="1913" w:type="dxa"/>
          </w:tcPr>
          <w:p w14:paraId="1DBDBF58">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3.5~20.8</w:t>
            </w:r>
          </w:p>
        </w:tc>
      </w:tr>
      <w:tr w14:paraId="12D6D5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jc w:val="center"/>
        </w:trPr>
        <w:tc>
          <w:tcPr>
            <w:tcW w:w="1523" w:type="dxa"/>
          </w:tcPr>
          <w:p w14:paraId="0EFABB7E">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ascii="宋体" w:hAnsi="宋体" w:eastAsia="Times New Roman" w:cs="宋体"/>
                <w:color w:val="auto"/>
                <w:kern w:val="21"/>
                <w:sz w:val="21"/>
                <w:szCs w:val="21"/>
                <w:lang w:eastAsia="en-US"/>
              </w:rPr>
              <w:t>氨氮</w:t>
            </w:r>
          </w:p>
        </w:tc>
        <w:tc>
          <w:tcPr>
            <w:tcW w:w="809" w:type="dxa"/>
            <w:vMerge w:val="continue"/>
            <w:vAlign w:val="center"/>
          </w:tcPr>
          <w:p w14:paraId="51969B99">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p>
        </w:tc>
        <w:tc>
          <w:tcPr>
            <w:tcW w:w="2017" w:type="dxa"/>
          </w:tcPr>
          <w:p w14:paraId="0052AB38">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46.4~108.0</w:t>
            </w:r>
          </w:p>
        </w:tc>
        <w:tc>
          <w:tcPr>
            <w:tcW w:w="2028" w:type="dxa"/>
          </w:tcPr>
          <w:p w14:paraId="21FEB4F3">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32.4~63.3</w:t>
            </w:r>
          </w:p>
        </w:tc>
        <w:tc>
          <w:tcPr>
            <w:tcW w:w="1913" w:type="dxa"/>
          </w:tcPr>
          <w:p w14:paraId="03749D81">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41.0~79.7</w:t>
            </w:r>
          </w:p>
        </w:tc>
      </w:tr>
      <w:tr w14:paraId="114C9B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jc w:val="center"/>
        </w:trPr>
        <w:tc>
          <w:tcPr>
            <w:tcW w:w="1523" w:type="dxa"/>
          </w:tcPr>
          <w:p w14:paraId="5C2483B2">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COD</w:t>
            </w:r>
          </w:p>
        </w:tc>
        <w:tc>
          <w:tcPr>
            <w:tcW w:w="809" w:type="dxa"/>
            <w:vMerge w:val="continue"/>
            <w:vAlign w:val="center"/>
          </w:tcPr>
          <w:p w14:paraId="5AFC2D93">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p>
        </w:tc>
        <w:tc>
          <w:tcPr>
            <w:tcW w:w="2017" w:type="dxa"/>
          </w:tcPr>
          <w:p w14:paraId="4A400AA1">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755~2500</w:t>
            </w:r>
          </w:p>
        </w:tc>
        <w:tc>
          <w:tcPr>
            <w:tcW w:w="2028" w:type="dxa"/>
          </w:tcPr>
          <w:p w14:paraId="51E005F3">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434~1910</w:t>
            </w:r>
          </w:p>
        </w:tc>
        <w:tc>
          <w:tcPr>
            <w:tcW w:w="1913" w:type="dxa"/>
          </w:tcPr>
          <w:p w14:paraId="5886FA78">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334~1470</w:t>
            </w:r>
          </w:p>
        </w:tc>
      </w:tr>
      <w:tr w14:paraId="539006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jc w:val="center"/>
        </w:trPr>
        <w:tc>
          <w:tcPr>
            <w:tcW w:w="1523" w:type="dxa"/>
          </w:tcPr>
          <w:p w14:paraId="20FB2ABE">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TOC</w:t>
            </w:r>
          </w:p>
        </w:tc>
        <w:tc>
          <w:tcPr>
            <w:tcW w:w="809" w:type="dxa"/>
            <w:vMerge w:val="continue"/>
            <w:vAlign w:val="center"/>
          </w:tcPr>
          <w:p w14:paraId="4E83AB14">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p>
        </w:tc>
        <w:tc>
          <w:tcPr>
            <w:tcW w:w="2017" w:type="dxa"/>
          </w:tcPr>
          <w:p w14:paraId="59E22507">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36.2~57.1</w:t>
            </w:r>
          </w:p>
        </w:tc>
        <w:tc>
          <w:tcPr>
            <w:tcW w:w="2028" w:type="dxa"/>
          </w:tcPr>
          <w:p w14:paraId="0B2E7B28">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68.8~156.0</w:t>
            </w:r>
          </w:p>
        </w:tc>
        <w:tc>
          <w:tcPr>
            <w:tcW w:w="1913" w:type="dxa"/>
          </w:tcPr>
          <w:p w14:paraId="70C049EF">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31.0~40.2</w:t>
            </w:r>
          </w:p>
        </w:tc>
      </w:tr>
      <w:tr w14:paraId="631C7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jc w:val="center"/>
        </w:trPr>
        <w:tc>
          <w:tcPr>
            <w:tcW w:w="1523" w:type="dxa"/>
          </w:tcPr>
          <w:p w14:paraId="5AE547B2">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SS</w:t>
            </w:r>
          </w:p>
        </w:tc>
        <w:tc>
          <w:tcPr>
            <w:tcW w:w="809" w:type="dxa"/>
            <w:vMerge w:val="continue"/>
            <w:vAlign w:val="center"/>
          </w:tcPr>
          <w:p w14:paraId="3C1D1B53">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p>
        </w:tc>
        <w:tc>
          <w:tcPr>
            <w:tcW w:w="2017" w:type="dxa"/>
          </w:tcPr>
          <w:p w14:paraId="258EEC54">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90~504</w:t>
            </w:r>
          </w:p>
        </w:tc>
        <w:tc>
          <w:tcPr>
            <w:tcW w:w="2028" w:type="dxa"/>
          </w:tcPr>
          <w:p w14:paraId="260D428B">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114~982</w:t>
            </w:r>
          </w:p>
        </w:tc>
        <w:tc>
          <w:tcPr>
            <w:tcW w:w="1913" w:type="dxa"/>
          </w:tcPr>
          <w:p w14:paraId="1E77F41D">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34~228</w:t>
            </w:r>
          </w:p>
        </w:tc>
      </w:tr>
      <w:tr w14:paraId="36F7E8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jc w:val="center"/>
        </w:trPr>
        <w:tc>
          <w:tcPr>
            <w:tcW w:w="1523" w:type="dxa"/>
          </w:tcPr>
          <w:p w14:paraId="5C5840A9">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BOD</w:t>
            </w:r>
            <w:r>
              <w:rPr>
                <w:rFonts w:hint="eastAsia" w:ascii="MS Mincho" w:hAnsi="MS Mincho" w:eastAsia="MS Mincho" w:cs="MS Mincho"/>
                <w:color w:val="auto"/>
                <w:kern w:val="21"/>
                <w:sz w:val="21"/>
                <w:szCs w:val="21"/>
                <w:lang w:eastAsia="en-US"/>
              </w:rPr>
              <w:t>₅</w:t>
            </w:r>
          </w:p>
        </w:tc>
        <w:tc>
          <w:tcPr>
            <w:tcW w:w="809" w:type="dxa"/>
            <w:vMerge w:val="continue"/>
            <w:vAlign w:val="center"/>
          </w:tcPr>
          <w:p w14:paraId="33F2CD37">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p>
        </w:tc>
        <w:tc>
          <w:tcPr>
            <w:tcW w:w="2017" w:type="dxa"/>
          </w:tcPr>
          <w:p w14:paraId="7340F0FA">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203~719</w:t>
            </w:r>
          </w:p>
        </w:tc>
        <w:tc>
          <w:tcPr>
            <w:tcW w:w="2028" w:type="dxa"/>
          </w:tcPr>
          <w:p w14:paraId="7F8ADACD">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125~473</w:t>
            </w:r>
          </w:p>
        </w:tc>
        <w:tc>
          <w:tcPr>
            <w:tcW w:w="1913" w:type="dxa"/>
          </w:tcPr>
          <w:p w14:paraId="67FD9F1C">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51.8~390</w:t>
            </w:r>
          </w:p>
        </w:tc>
      </w:tr>
      <w:tr w14:paraId="317538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jc w:val="center"/>
        </w:trPr>
        <w:tc>
          <w:tcPr>
            <w:tcW w:w="1523" w:type="dxa"/>
          </w:tcPr>
          <w:p w14:paraId="0308AEB9">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TDS</w:t>
            </w:r>
          </w:p>
        </w:tc>
        <w:tc>
          <w:tcPr>
            <w:tcW w:w="809" w:type="dxa"/>
            <w:vMerge w:val="continue"/>
            <w:vAlign w:val="center"/>
          </w:tcPr>
          <w:p w14:paraId="03491524">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p>
        </w:tc>
        <w:tc>
          <w:tcPr>
            <w:tcW w:w="2017" w:type="dxa"/>
          </w:tcPr>
          <w:p w14:paraId="5C14FB84">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36900~72300</w:t>
            </w:r>
          </w:p>
        </w:tc>
        <w:tc>
          <w:tcPr>
            <w:tcW w:w="2028" w:type="dxa"/>
          </w:tcPr>
          <w:p w14:paraId="3724D315">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23200~48700</w:t>
            </w:r>
          </w:p>
        </w:tc>
        <w:tc>
          <w:tcPr>
            <w:tcW w:w="1913" w:type="dxa"/>
          </w:tcPr>
          <w:p w14:paraId="23B63A5F">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29300~66000</w:t>
            </w:r>
          </w:p>
        </w:tc>
      </w:tr>
      <w:tr w14:paraId="3813A4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jc w:val="center"/>
        </w:trPr>
        <w:tc>
          <w:tcPr>
            <w:tcW w:w="1523" w:type="dxa"/>
          </w:tcPr>
          <w:p w14:paraId="574702C0">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K+</w:t>
            </w:r>
          </w:p>
        </w:tc>
        <w:tc>
          <w:tcPr>
            <w:tcW w:w="809" w:type="dxa"/>
            <w:vMerge w:val="continue"/>
            <w:vAlign w:val="center"/>
          </w:tcPr>
          <w:p w14:paraId="00CBA5B5">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p>
        </w:tc>
        <w:tc>
          <w:tcPr>
            <w:tcW w:w="2017" w:type="dxa"/>
          </w:tcPr>
          <w:p w14:paraId="63AFCFDE">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240~388</w:t>
            </w:r>
          </w:p>
        </w:tc>
        <w:tc>
          <w:tcPr>
            <w:tcW w:w="2028" w:type="dxa"/>
          </w:tcPr>
          <w:p w14:paraId="6802CFB0">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120~182</w:t>
            </w:r>
          </w:p>
        </w:tc>
        <w:tc>
          <w:tcPr>
            <w:tcW w:w="1913" w:type="dxa"/>
          </w:tcPr>
          <w:p w14:paraId="449DE520">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261~370</w:t>
            </w:r>
          </w:p>
        </w:tc>
      </w:tr>
      <w:tr w14:paraId="2932F7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jc w:val="center"/>
        </w:trPr>
        <w:tc>
          <w:tcPr>
            <w:tcW w:w="1523" w:type="dxa"/>
          </w:tcPr>
          <w:p w14:paraId="79782EC7">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Na+</w:t>
            </w:r>
          </w:p>
        </w:tc>
        <w:tc>
          <w:tcPr>
            <w:tcW w:w="809" w:type="dxa"/>
            <w:vMerge w:val="continue"/>
            <w:vAlign w:val="center"/>
          </w:tcPr>
          <w:p w14:paraId="0A826B38">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p>
        </w:tc>
        <w:tc>
          <w:tcPr>
            <w:tcW w:w="2017" w:type="dxa"/>
          </w:tcPr>
          <w:p w14:paraId="4950BCEB">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10800~21300</w:t>
            </w:r>
          </w:p>
        </w:tc>
        <w:tc>
          <w:tcPr>
            <w:tcW w:w="2028" w:type="dxa"/>
          </w:tcPr>
          <w:p w14:paraId="2581B12B">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8070~9240</w:t>
            </w:r>
          </w:p>
        </w:tc>
        <w:tc>
          <w:tcPr>
            <w:tcW w:w="1913" w:type="dxa"/>
          </w:tcPr>
          <w:p w14:paraId="1956FBA2">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10800~12900</w:t>
            </w:r>
          </w:p>
        </w:tc>
      </w:tr>
      <w:tr w14:paraId="6A8A72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jc w:val="center"/>
        </w:trPr>
        <w:tc>
          <w:tcPr>
            <w:tcW w:w="1523" w:type="dxa"/>
          </w:tcPr>
          <w:p w14:paraId="2C39A5EE">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Ca²+</w:t>
            </w:r>
          </w:p>
        </w:tc>
        <w:tc>
          <w:tcPr>
            <w:tcW w:w="809" w:type="dxa"/>
            <w:vMerge w:val="continue"/>
            <w:vAlign w:val="center"/>
          </w:tcPr>
          <w:p w14:paraId="111ECC55">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p>
        </w:tc>
        <w:tc>
          <w:tcPr>
            <w:tcW w:w="2017" w:type="dxa"/>
          </w:tcPr>
          <w:p w14:paraId="67A615D3">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942~1458</w:t>
            </w:r>
          </w:p>
        </w:tc>
        <w:tc>
          <w:tcPr>
            <w:tcW w:w="2028" w:type="dxa"/>
          </w:tcPr>
          <w:p w14:paraId="1BAC47B0">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307~382</w:t>
            </w:r>
          </w:p>
        </w:tc>
        <w:tc>
          <w:tcPr>
            <w:tcW w:w="1913" w:type="dxa"/>
          </w:tcPr>
          <w:p w14:paraId="72B8CA52">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1308~1970</w:t>
            </w:r>
          </w:p>
        </w:tc>
      </w:tr>
      <w:tr w14:paraId="2F9F9C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jc w:val="center"/>
        </w:trPr>
        <w:tc>
          <w:tcPr>
            <w:tcW w:w="1523" w:type="dxa"/>
          </w:tcPr>
          <w:p w14:paraId="6C19836E">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Mg²+</w:t>
            </w:r>
          </w:p>
        </w:tc>
        <w:tc>
          <w:tcPr>
            <w:tcW w:w="809" w:type="dxa"/>
            <w:vMerge w:val="continue"/>
            <w:vAlign w:val="center"/>
          </w:tcPr>
          <w:p w14:paraId="1D7C60D4">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p>
        </w:tc>
        <w:tc>
          <w:tcPr>
            <w:tcW w:w="2017" w:type="dxa"/>
          </w:tcPr>
          <w:p w14:paraId="6654215B">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112~188</w:t>
            </w:r>
          </w:p>
        </w:tc>
        <w:tc>
          <w:tcPr>
            <w:tcW w:w="2028" w:type="dxa"/>
          </w:tcPr>
          <w:p w14:paraId="3B7F47B0">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34~51</w:t>
            </w:r>
          </w:p>
        </w:tc>
        <w:tc>
          <w:tcPr>
            <w:tcW w:w="1913" w:type="dxa"/>
          </w:tcPr>
          <w:p w14:paraId="22DF4C61">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114~145</w:t>
            </w:r>
          </w:p>
        </w:tc>
      </w:tr>
      <w:tr w14:paraId="64C6CA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jc w:val="center"/>
        </w:trPr>
        <w:tc>
          <w:tcPr>
            <w:tcW w:w="1523" w:type="dxa"/>
          </w:tcPr>
          <w:p w14:paraId="1C7A07D0">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Ba²+</w:t>
            </w:r>
          </w:p>
        </w:tc>
        <w:tc>
          <w:tcPr>
            <w:tcW w:w="809" w:type="dxa"/>
            <w:vMerge w:val="continue"/>
            <w:vAlign w:val="center"/>
          </w:tcPr>
          <w:p w14:paraId="132D4F14">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p>
        </w:tc>
        <w:tc>
          <w:tcPr>
            <w:tcW w:w="2017" w:type="dxa"/>
          </w:tcPr>
          <w:p w14:paraId="06593029">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1000~1346</w:t>
            </w:r>
          </w:p>
        </w:tc>
        <w:tc>
          <w:tcPr>
            <w:tcW w:w="2028" w:type="dxa"/>
          </w:tcPr>
          <w:p w14:paraId="1E928641">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136~160</w:t>
            </w:r>
          </w:p>
        </w:tc>
        <w:tc>
          <w:tcPr>
            <w:tcW w:w="1913" w:type="dxa"/>
          </w:tcPr>
          <w:p w14:paraId="282572CB">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128~148</w:t>
            </w:r>
          </w:p>
        </w:tc>
      </w:tr>
      <w:tr w14:paraId="55EC61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jc w:val="center"/>
        </w:trPr>
        <w:tc>
          <w:tcPr>
            <w:tcW w:w="1523" w:type="dxa"/>
          </w:tcPr>
          <w:p w14:paraId="20AA69CE">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Sr²+</w:t>
            </w:r>
          </w:p>
        </w:tc>
        <w:tc>
          <w:tcPr>
            <w:tcW w:w="809" w:type="dxa"/>
            <w:vMerge w:val="continue"/>
            <w:vAlign w:val="center"/>
          </w:tcPr>
          <w:p w14:paraId="7511EDA6">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p>
        </w:tc>
        <w:tc>
          <w:tcPr>
            <w:tcW w:w="2017" w:type="dxa"/>
          </w:tcPr>
          <w:p w14:paraId="6B6C77D5">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432~566</w:t>
            </w:r>
          </w:p>
        </w:tc>
        <w:tc>
          <w:tcPr>
            <w:tcW w:w="2028" w:type="dxa"/>
          </w:tcPr>
          <w:p w14:paraId="50E8DB47">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57~77</w:t>
            </w:r>
          </w:p>
        </w:tc>
        <w:tc>
          <w:tcPr>
            <w:tcW w:w="1913" w:type="dxa"/>
          </w:tcPr>
          <w:p w14:paraId="26ECF985">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98~259</w:t>
            </w:r>
          </w:p>
        </w:tc>
      </w:tr>
      <w:tr w14:paraId="68CB40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jc w:val="center"/>
        </w:trPr>
        <w:tc>
          <w:tcPr>
            <w:tcW w:w="1523" w:type="dxa"/>
          </w:tcPr>
          <w:p w14:paraId="04E8C09C">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Cl</w:t>
            </w:r>
            <w:r>
              <w:rPr>
                <w:rFonts w:eastAsia="Times New Roman"/>
                <w:color w:val="auto"/>
                <w:kern w:val="21"/>
                <w:sz w:val="21"/>
                <w:szCs w:val="21"/>
                <w:vertAlign w:val="superscript"/>
                <w:lang w:eastAsia="en-US"/>
              </w:rPr>
              <w:t>-</w:t>
            </w:r>
          </w:p>
        </w:tc>
        <w:tc>
          <w:tcPr>
            <w:tcW w:w="809" w:type="dxa"/>
            <w:vMerge w:val="continue"/>
            <w:vAlign w:val="center"/>
          </w:tcPr>
          <w:p w14:paraId="18F294D1">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p>
        </w:tc>
        <w:tc>
          <w:tcPr>
            <w:tcW w:w="2017" w:type="dxa"/>
          </w:tcPr>
          <w:p w14:paraId="71E7241F">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18500~36800</w:t>
            </w:r>
          </w:p>
        </w:tc>
        <w:tc>
          <w:tcPr>
            <w:tcW w:w="2028" w:type="dxa"/>
          </w:tcPr>
          <w:p w14:paraId="0AE16279">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13400~15600</w:t>
            </w:r>
          </w:p>
        </w:tc>
        <w:tc>
          <w:tcPr>
            <w:tcW w:w="1913" w:type="dxa"/>
          </w:tcPr>
          <w:p w14:paraId="3BF856F9">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16200~27700</w:t>
            </w:r>
          </w:p>
        </w:tc>
      </w:tr>
      <w:tr w14:paraId="11BBD4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1523" w:type="dxa"/>
          </w:tcPr>
          <w:p w14:paraId="6F91FF60">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ascii="宋体" w:hAnsi="宋体" w:eastAsia="Times New Roman" w:cs="宋体"/>
                <w:color w:val="auto"/>
                <w:kern w:val="21"/>
                <w:sz w:val="21"/>
                <w:szCs w:val="21"/>
                <w:lang w:eastAsia="en-US"/>
              </w:rPr>
              <w:t>硫酸根</w:t>
            </w:r>
          </w:p>
        </w:tc>
        <w:tc>
          <w:tcPr>
            <w:tcW w:w="809" w:type="dxa"/>
            <w:vMerge w:val="continue"/>
            <w:vAlign w:val="center"/>
          </w:tcPr>
          <w:p w14:paraId="106631D0">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p>
        </w:tc>
        <w:tc>
          <w:tcPr>
            <w:tcW w:w="2017" w:type="dxa"/>
          </w:tcPr>
          <w:p w14:paraId="4F2E207C">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0.11~38.85</w:t>
            </w:r>
          </w:p>
        </w:tc>
        <w:tc>
          <w:tcPr>
            <w:tcW w:w="2028" w:type="dxa"/>
          </w:tcPr>
          <w:p w14:paraId="065BA228">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0.2~28.8</w:t>
            </w:r>
          </w:p>
        </w:tc>
        <w:tc>
          <w:tcPr>
            <w:tcW w:w="1913" w:type="dxa"/>
          </w:tcPr>
          <w:p w14:paraId="78BAD575">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0.18~29</w:t>
            </w:r>
          </w:p>
        </w:tc>
      </w:tr>
      <w:tr w14:paraId="194801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jc w:val="center"/>
        </w:trPr>
        <w:tc>
          <w:tcPr>
            <w:tcW w:w="1523" w:type="dxa"/>
          </w:tcPr>
          <w:p w14:paraId="01DC748C">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ascii="宋体" w:hAnsi="宋体" w:eastAsia="Times New Roman" w:cs="宋体"/>
                <w:color w:val="auto"/>
                <w:kern w:val="21"/>
                <w:sz w:val="21"/>
                <w:szCs w:val="21"/>
                <w:lang w:eastAsia="en-US"/>
              </w:rPr>
              <w:t>氟离子</w:t>
            </w:r>
          </w:p>
        </w:tc>
        <w:tc>
          <w:tcPr>
            <w:tcW w:w="809" w:type="dxa"/>
            <w:vMerge w:val="continue"/>
            <w:vAlign w:val="center"/>
          </w:tcPr>
          <w:p w14:paraId="0A33D305">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p>
        </w:tc>
        <w:tc>
          <w:tcPr>
            <w:tcW w:w="2017" w:type="dxa"/>
          </w:tcPr>
          <w:p w14:paraId="07A9A81A">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0.88~8.1</w:t>
            </w:r>
          </w:p>
        </w:tc>
        <w:tc>
          <w:tcPr>
            <w:tcW w:w="2028" w:type="dxa"/>
          </w:tcPr>
          <w:p w14:paraId="55AA4289">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0.9~7.1</w:t>
            </w:r>
          </w:p>
        </w:tc>
        <w:tc>
          <w:tcPr>
            <w:tcW w:w="1913" w:type="dxa"/>
          </w:tcPr>
          <w:p w14:paraId="0A43B233">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0.82~7.8</w:t>
            </w:r>
          </w:p>
        </w:tc>
      </w:tr>
      <w:tr w14:paraId="05E7A7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jc w:val="center"/>
        </w:trPr>
        <w:tc>
          <w:tcPr>
            <w:tcW w:w="1523" w:type="dxa"/>
          </w:tcPr>
          <w:p w14:paraId="76D4FF95">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Cr</w:t>
            </w:r>
          </w:p>
        </w:tc>
        <w:tc>
          <w:tcPr>
            <w:tcW w:w="809" w:type="dxa"/>
            <w:vMerge w:val="continue"/>
            <w:vAlign w:val="center"/>
          </w:tcPr>
          <w:p w14:paraId="6A85D722">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p>
        </w:tc>
        <w:tc>
          <w:tcPr>
            <w:tcW w:w="2017" w:type="dxa"/>
          </w:tcPr>
          <w:p w14:paraId="0FA1B795">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0.01L</w:t>
            </w:r>
          </w:p>
        </w:tc>
        <w:tc>
          <w:tcPr>
            <w:tcW w:w="2028" w:type="dxa"/>
          </w:tcPr>
          <w:p w14:paraId="04B8AE02">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0.01L</w:t>
            </w:r>
          </w:p>
        </w:tc>
        <w:tc>
          <w:tcPr>
            <w:tcW w:w="1913" w:type="dxa"/>
          </w:tcPr>
          <w:p w14:paraId="7B9AD154">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0.01L</w:t>
            </w:r>
          </w:p>
        </w:tc>
      </w:tr>
      <w:tr w14:paraId="08D856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jc w:val="center"/>
        </w:trPr>
        <w:tc>
          <w:tcPr>
            <w:tcW w:w="1523" w:type="dxa"/>
          </w:tcPr>
          <w:p w14:paraId="6413D209">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Hg</w:t>
            </w:r>
          </w:p>
        </w:tc>
        <w:tc>
          <w:tcPr>
            <w:tcW w:w="809" w:type="dxa"/>
            <w:vMerge w:val="continue"/>
            <w:vAlign w:val="center"/>
          </w:tcPr>
          <w:p w14:paraId="741C638E">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p>
        </w:tc>
        <w:tc>
          <w:tcPr>
            <w:tcW w:w="2017" w:type="dxa"/>
          </w:tcPr>
          <w:p w14:paraId="11AD6236">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0.00008~0.00113</w:t>
            </w:r>
          </w:p>
        </w:tc>
        <w:tc>
          <w:tcPr>
            <w:tcW w:w="2028" w:type="dxa"/>
          </w:tcPr>
          <w:p w14:paraId="601596B1">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0.00034~0.00213</w:t>
            </w:r>
          </w:p>
        </w:tc>
        <w:tc>
          <w:tcPr>
            <w:tcW w:w="1913" w:type="dxa"/>
          </w:tcPr>
          <w:p w14:paraId="12BC13D7">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0.00005~0.0003</w:t>
            </w:r>
          </w:p>
        </w:tc>
      </w:tr>
      <w:tr w14:paraId="225689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jc w:val="center"/>
        </w:trPr>
        <w:tc>
          <w:tcPr>
            <w:tcW w:w="1523" w:type="dxa"/>
          </w:tcPr>
          <w:p w14:paraId="1EB44E5C">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As</w:t>
            </w:r>
          </w:p>
        </w:tc>
        <w:tc>
          <w:tcPr>
            <w:tcW w:w="809" w:type="dxa"/>
            <w:vMerge w:val="continue"/>
            <w:vAlign w:val="center"/>
          </w:tcPr>
          <w:p w14:paraId="01C55942">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p>
        </w:tc>
        <w:tc>
          <w:tcPr>
            <w:tcW w:w="2017" w:type="dxa"/>
          </w:tcPr>
          <w:p w14:paraId="1543ADC2">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0.0003~0.0039</w:t>
            </w:r>
          </w:p>
        </w:tc>
        <w:tc>
          <w:tcPr>
            <w:tcW w:w="2028" w:type="dxa"/>
          </w:tcPr>
          <w:p w14:paraId="7B685803">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0.0009~0.0067</w:t>
            </w:r>
          </w:p>
        </w:tc>
        <w:tc>
          <w:tcPr>
            <w:tcW w:w="1913" w:type="dxa"/>
          </w:tcPr>
          <w:p w14:paraId="6E613A8E">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0.0003~0.0030</w:t>
            </w:r>
          </w:p>
        </w:tc>
      </w:tr>
      <w:tr w14:paraId="1F52BE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jc w:val="center"/>
        </w:trPr>
        <w:tc>
          <w:tcPr>
            <w:tcW w:w="1523" w:type="dxa"/>
          </w:tcPr>
          <w:p w14:paraId="4FA552A8">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Pb</w:t>
            </w:r>
          </w:p>
        </w:tc>
        <w:tc>
          <w:tcPr>
            <w:tcW w:w="809" w:type="dxa"/>
            <w:vMerge w:val="continue"/>
            <w:vAlign w:val="center"/>
          </w:tcPr>
          <w:p w14:paraId="25D3B4F0">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p>
        </w:tc>
        <w:tc>
          <w:tcPr>
            <w:tcW w:w="2017" w:type="dxa"/>
          </w:tcPr>
          <w:p w14:paraId="704D7FE8">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0.001L</w:t>
            </w:r>
          </w:p>
        </w:tc>
        <w:tc>
          <w:tcPr>
            <w:tcW w:w="2028" w:type="dxa"/>
          </w:tcPr>
          <w:p w14:paraId="3F7C8A3C">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0.001L</w:t>
            </w:r>
          </w:p>
        </w:tc>
        <w:tc>
          <w:tcPr>
            <w:tcW w:w="1913" w:type="dxa"/>
          </w:tcPr>
          <w:p w14:paraId="28BC904E">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0.001L</w:t>
            </w:r>
          </w:p>
        </w:tc>
      </w:tr>
      <w:tr w14:paraId="48C068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jc w:val="center"/>
        </w:trPr>
        <w:tc>
          <w:tcPr>
            <w:tcW w:w="1523" w:type="dxa"/>
          </w:tcPr>
          <w:p w14:paraId="1904C06A">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Cd</w:t>
            </w:r>
          </w:p>
        </w:tc>
        <w:tc>
          <w:tcPr>
            <w:tcW w:w="809" w:type="dxa"/>
            <w:vMerge w:val="continue"/>
            <w:vAlign w:val="center"/>
          </w:tcPr>
          <w:p w14:paraId="30A7913E">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p>
        </w:tc>
        <w:tc>
          <w:tcPr>
            <w:tcW w:w="2017" w:type="dxa"/>
          </w:tcPr>
          <w:p w14:paraId="08023B5B">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0.0001L</w:t>
            </w:r>
          </w:p>
        </w:tc>
        <w:tc>
          <w:tcPr>
            <w:tcW w:w="2028" w:type="dxa"/>
          </w:tcPr>
          <w:p w14:paraId="50DB9854">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0.0001L</w:t>
            </w:r>
          </w:p>
        </w:tc>
        <w:tc>
          <w:tcPr>
            <w:tcW w:w="1913" w:type="dxa"/>
          </w:tcPr>
          <w:p w14:paraId="18A80C86">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0.0001L</w:t>
            </w:r>
          </w:p>
        </w:tc>
      </w:tr>
      <w:tr w14:paraId="46DAAC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jc w:val="center"/>
        </w:trPr>
        <w:tc>
          <w:tcPr>
            <w:tcW w:w="1523" w:type="dxa"/>
          </w:tcPr>
          <w:p w14:paraId="7764C8BD">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Fe</w:t>
            </w:r>
          </w:p>
        </w:tc>
        <w:tc>
          <w:tcPr>
            <w:tcW w:w="809" w:type="dxa"/>
            <w:vMerge w:val="continue"/>
            <w:vAlign w:val="center"/>
          </w:tcPr>
          <w:p w14:paraId="0E3C2662">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p>
        </w:tc>
        <w:tc>
          <w:tcPr>
            <w:tcW w:w="2017" w:type="dxa"/>
          </w:tcPr>
          <w:p w14:paraId="25407271">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44.0~132</w:t>
            </w:r>
          </w:p>
        </w:tc>
        <w:tc>
          <w:tcPr>
            <w:tcW w:w="2028" w:type="dxa"/>
          </w:tcPr>
          <w:p w14:paraId="3A189F98">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31.5~73.3</w:t>
            </w:r>
          </w:p>
        </w:tc>
        <w:tc>
          <w:tcPr>
            <w:tcW w:w="1913" w:type="dxa"/>
          </w:tcPr>
          <w:p w14:paraId="53178F8D">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23.0~33.9</w:t>
            </w:r>
          </w:p>
        </w:tc>
      </w:tr>
      <w:tr w14:paraId="1E1923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jc w:val="center"/>
        </w:trPr>
        <w:tc>
          <w:tcPr>
            <w:tcW w:w="1523" w:type="dxa"/>
          </w:tcPr>
          <w:p w14:paraId="6DAFB412">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ascii="宋体" w:hAnsi="宋体" w:eastAsia="Times New Roman" w:cs="宋体"/>
                <w:color w:val="auto"/>
                <w:kern w:val="21"/>
                <w:sz w:val="21"/>
                <w:szCs w:val="21"/>
                <w:lang w:eastAsia="en-US"/>
              </w:rPr>
              <w:t>总</w:t>
            </w:r>
            <w:r>
              <w:rPr>
                <w:rFonts w:eastAsia="Times New Roman"/>
                <w:color w:val="auto"/>
                <w:kern w:val="21"/>
                <w:sz w:val="21"/>
                <w:szCs w:val="21"/>
                <w:lang w:eastAsia="en-US"/>
              </w:rPr>
              <w:t>α</w:t>
            </w:r>
            <w:r>
              <w:rPr>
                <w:rFonts w:hint="eastAsia" w:ascii="宋体" w:hAnsi="宋体" w:eastAsia="Times New Roman" w:cs="宋体"/>
                <w:color w:val="auto"/>
                <w:kern w:val="21"/>
                <w:sz w:val="21"/>
                <w:szCs w:val="21"/>
                <w:lang w:eastAsia="en-US"/>
              </w:rPr>
              <w:t>放射性</w:t>
            </w:r>
          </w:p>
        </w:tc>
        <w:tc>
          <w:tcPr>
            <w:tcW w:w="809" w:type="dxa"/>
            <w:vMerge w:val="restart"/>
          </w:tcPr>
          <w:p w14:paraId="1F2CE12E">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Bq/L</w:t>
            </w:r>
          </w:p>
          <w:p w14:paraId="4868A3F7">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p>
        </w:tc>
        <w:tc>
          <w:tcPr>
            <w:tcW w:w="2017" w:type="dxa"/>
          </w:tcPr>
          <w:p w14:paraId="096D2BA3">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1.9~106.1</w:t>
            </w:r>
          </w:p>
        </w:tc>
        <w:tc>
          <w:tcPr>
            <w:tcW w:w="2028" w:type="dxa"/>
          </w:tcPr>
          <w:p w14:paraId="52062A33">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2.8~80.16</w:t>
            </w:r>
          </w:p>
        </w:tc>
        <w:tc>
          <w:tcPr>
            <w:tcW w:w="1913" w:type="dxa"/>
          </w:tcPr>
          <w:p w14:paraId="4F7FBDB0">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3.9~79.16</w:t>
            </w:r>
          </w:p>
        </w:tc>
      </w:tr>
      <w:tr w14:paraId="5D4EEE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jc w:val="center"/>
        </w:trPr>
        <w:tc>
          <w:tcPr>
            <w:tcW w:w="1523" w:type="dxa"/>
          </w:tcPr>
          <w:p w14:paraId="0FC56DC6">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ascii="宋体" w:hAnsi="宋体" w:eastAsia="Times New Roman" w:cs="宋体"/>
                <w:color w:val="auto"/>
                <w:kern w:val="21"/>
                <w:sz w:val="21"/>
                <w:szCs w:val="21"/>
                <w:lang w:eastAsia="en-US"/>
              </w:rPr>
              <w:t>总</w:t>
            </w:r>
            <w:r>
              <w:rPr>
                <w:rFonts w:eastAsia="Times New Roman"/>
                <w:color w:val="auto"/>
                <w:kern w:val="21"/>
                <w:sz w:val="21"/>
                <w:szCs w:val="21"/>
                <w:lang w:eastAsia="en-US"/>
              </w:rPr>
              <w:t>β</w:t>
            </w:r>
            <w:r>
              <w:rPr>
                <w:rFonts w:hint="eastAsia" w:ascii="宋体" w:hAnsi="宋体" w:eastAsia="Times New Roman" w:cs="宋体"/>
                <w:color w:val="auto"/>
                <w:kern w:val="21"/>
                <w:sz w:val="21"/>
                <w:szCs w:val="21"/>
                <w:lang w:eastAsia="en-US"/>
              </w:rPr>
              <w:t>放射性</w:t>
            </w:r>
          </w:p>
        </w:tc>
        <w:tc>
          <w:tcPr>
            <w:tcW w:w="809" w:type="dxa"/>
            <w:vMerge w:val="continue"/>
          </w:tcPr>
          <w:p w14:paraId="5454C546">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p>
        </w:tc>
        <w:tc>
          <w:tcPr>
            <w:tcW w:w="2017" w:type="dxa"/>
          </w:tcPr>
          <w:p w14:paraId="26B01B03">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4.29~61.63</w:t>
            </w:r>
          </w:p>
        </w:tc>
        <w:tc>
          <w:tcPr>
            <w:tcW w:w="2028" w:type="dxa"/>
          </w:tcPr>
          <w:p w14:paraId="41BD24FE">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4.8~61.62</w:t>
            </w:r>
          </w:p>
        </w:tc>
        <w:tc>
          <w:tcPr>
            <w:tcW w:w="1913" w:type="dxa"/>
          </w:tcPr>
          <w:p w14:paraId="0CC20430">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4.89~56.63</w:t>
            </w:r>
          </w:p>
        </w:tc>
      </w:tr>
    </w:tbl>
    <w:p w14:paraId="31693D2C">
      <w:pPr>
        <w:pStyle w:val="959"/>
        <w:snapToGrid w:val="0"/>
        <w:ind w:firstLine="480"/>
        <w:rPr>
          <w:rFonts w:ascii="Times New Roman" w:hAnsi="Times New Roman"/>
          <w:color w:val="auto"/>
          <w:lang w:val="en-US"/>
        </w:rPr>
      </w:pPr>
    </w:p>
    <w:p w14:paraId="56D6B6FC">
      <w:pPr>
        <w:pStyle w:val="959"/>
        <w:snapToGrid w:val="0"/>
        <w:ind w:firstLine="480"/>
        <w:rPr>
          <w:rFonts w:ascii="Times New Roman" w:hAnsi="Times New Roman"/>
          <w:color w:val="auto"/>
          <w:lang w:val="en-US"/>
        </w:rPr>
      </w:pPr>
      <w:r>
        <w:rPr>
          <w:rFonts w:ascii="Times New Roman" w:hAnsi="Times New Roman"/>
          <w:color w:val="auto"/>
          <w:lang w:val="en-US"/>
        </w:rPr>
        <w:t>结合区域产生特点以及实验室取样分析数据项目</w:t>
      </w:r>
      <w:r>
        <w:rPr>
          <w:rFonts w:hint="eastAsia" w:ascii="Times New Roman" w:hAnsi="Times New Roman"/>
          <w:color w:val="auto"/>
          <w:lang w:val="en-US"/>
        </w:rPr>
        <w:t>采出水</w:t>
      </w:r>
      <w:r>
        <w:rPr>
          <w:rFonts w:ascii="Times New Roman" w:hAnsi="Times New Roman"/>
          <w:color w:val="auto"/>
          <w:lang w:val="en-US"/>
        </w:rPr>
        <w:t>废水特点如下：</w:t>
      </w:r>
    </w:p>
    <w:p w14:paraId="31CC807D">
      <w:pPr>
        <w:pStyle w:val="959"/>
        <w:snapToGrid w:val="0"/>
        <w:ind w:firstLine="480"/>
        <w:rPr>
          <w:rFonts w:ascii="Times New Roman" w:hAnsi="Times New Roman"/>
          <w:color w:val="auto"/>
          <w:lang w:val="en-US"/>
        </w:rPr>
      </w:pPr>
      <w:r>
        <w:rPr>
          <w:rFonts w:ascii="Times New Roman" w:hAnsi="Times New Roman"/>
          <w:color w:val="auto"/>
          <w:lang w:val="en-US"/>
        </w:rPr>
        <w:t>A.结合区域地层结构、</w:t>
      </w:r>
      <w:r>
        <w:rPr>
          <w:rFonts w:hint="eastAsia" w:ascii="Times New Roman" w:hAnsi="Times New Roman"/>
          <w:color w:val="auto"/>
          <w:lang w:val="en-US"/>
        </w:rPr>
        <w:t>以上监测</w:t>
      </w:r>
      <w:r>
        <w:rPr>
          <w:rFonts w:ascii="Times New Roman" w:hAnsi="Times New Roman"/>
          <w:color w:val="auto"/>
          <w:lang w:val="en-US"/>
        </w:rPr>
        <w:t>数据可知，</w:t>
      </w:r>
      <w:r>
        <w:rPr>
          <w:rFonts w:hint="eastAsia" w:ascii="Times New Roman" w:hAnsi="Times New Roman"/>
          <w:color w:val="auto"/>
          <w:lang w:val="en-US"/>
        </w:rPr>
        <w:t>废水</w:t>
      </w:r>
      <w:r>
        <w:rPr>
          <w:rFonts w:ascii="Times New Roman" w:hAnsi="Times New Roman"/>
          <w:color w:val="auto"/>
          <w:lang w:val="en-US"/>
        </w:rPr>
        <w:t>TDS较高</w:t>
      </w:r>
      <w:r>
        <w:rPr>
          <w:rFonts w:hint="eastAsia" w:ascii="Times New Roman" w:hAnsi="Times New Roman"/>
          <w:color w:val="auto"/>
          <w:lang w:val="en-US"/>
        </w:rPr>
        <w:t>，</w:t>
      </w:r>
      <w:r>
        <w:rPr>
          <w:rFonts w:ascii="Times New Roman" w:hAnsi="Times New Roman"/>
          <w:color w:val="auto"/>
          <w:lang w:val="en-US"/>
        </w:rPr>
        <w:t>含盐量高。</w:t>
      </w:r>
    </w:p>
    <w:p w14:paraId="7E5CD01D">
      <w:pPr>
        <w:pStyle w:val="959"/>
        <w:snapToGrid w:val="0"/>
        <w:ind w:firstLine="480"/>
        <w:rPr>
          <w:rFonts w:ascii="Times New Roman" w:hAnsi="Times New Roman"/>
          <w:color w:val="auto"/>
          <w:lang w:val="en-US"/>
        </w:rPr>
      </w:pPr>
      <w:r>
        <w:rPr>
          <w:rFonts w:ascii="Times New Roman" w:hAnsi="Times New Roman"/>
          <w:color w:val="auto"/>
          <w:lang w:val="en-US"/>
        </w:rPr>
        <w:t>B.水质波动较大，其中COD浓度在600~5</w:t>
      </w:r>
      <w:r>
        <w:rPr>
          <w:rFonts w:hint="eastAsia" w:ascii="Times New Roman" w:hAnsi="Times New Roman"/>
          <w:color w:val="auto"/>
          <w:lang w:val="en-US"/>
        </w:rPr>
        <w:t>500</w:t>
      </w:r>
      <w:r>
        <w:rPr>
          <w:rFonts w:ascii="Times New Roman" w:hAnsi="Times New Roman"/>
          <w:color w:val="auto"/>
          <w:lang w:val="en-US"/>
        </w:rPr>
        <w:t>mg/L之间、石油类浓度在0.26~529mg/L之间。</w:t>
      </w:r>
    </w:p>
    <w:p w14:paraId="2C8CBAE0">
      <w:pPr>
        <w:pStyle w:val="959"/>
        <w:ind w:firstLine="480"/>
        <w:rPr>
          <w:rFonts w:ascii="Times New Roman" w:hAnsi="Times New Roman"/>
          <w:color w:val="auto"/>
          <w:lang w:val="en-US"/>
        </w:rPr>
      </w:pPr>
      <w:r>
        <w:rPr>
          <w:rFonts w:ascii="Times New Roman" w:hAnsi="Times New Roman"/>
          <w:color w:val="auto"/>
          <w:lang w:val="en-US"/>
        </w:rPr>
        <w:t>C.受地层</w:t>
      </w:r>
      <w:r>
        <w:rPr>
          <w:rFonts w:hint="eastAsia" w:ascii="Times New Roman" w:hAnsi="Times New Roman"/>
          <w:color w:val="auto"/>
          <w:lang w:val="en-US"/>
        </w:rPr>
        <w:t>区域</w:t>
      </w:r>
      <w:r>
        <w:rPr>
          <w:rFonts w:ascii="Times New Roman" w:hAnsi="Times New Roman"/>
          <w:color w:val="auto"/>
          <w:lang w:val="en-US"/>
        </w:rPr>
        <w:t>地质影响，</w:t>
      </w:r>
      <w:r>
        <w:rPr>
          <w:rFonts w:hint="eastAsia" w:ascii="Times New Roman" w:hAnsi="Times New Roman"/>
          <w:color w:val="auto"/>
          <w:lang w:val="en-US"/>
        </w:rPr>
        <w:t>区域页岩气开采废水</w:t>
      </w:r>
      <w:r>
        <w:rPr>
          <w:rFonts w:ascii="Times New Roman" w:hAnsi="Times New Roman"/>
          <w:color w:val="auto"/>
          <w:lang w:val="en-US"/>
        </w:rPr>
        <w:t>中含有少量低浓度重金属</w:t>
      </w:r>
      <w:r>
        <w:rPr>
          <w:rFonts w:hint="eastAsia" w:ascii="Times New Roman" w:hAnsi="Times New Roman"/>
          <w:color w:val="auto"/>
          <w:lang w:val="en-US"/>
        </w:rPr>
        <w:t>，五类重点重金属铬（六价）、砷、汞、铅、镉等含量非常低（部分未检出），浓度均低于</w:t>
      </w:r>
      <w:r>
        <w:rPr>
          <w:rFonts w:hint="eastAsia"/>
          <w:color w:val="auto"/>
        </w:rPr>
        <w:t>《地表水环境质量标准》（GB3838 -2002）Ⅲ类水域标准</w:t>
      </w:r>
      <w:r>
        <w:rPr>
          <w:rFonts w:ascii="Times New Roman" w:hAnsi="Times New Roman"/>
          <w:color w:val="auto"/>
          <w:lang w:val="en-US"/>
        </w:rPr>
        <w:t>。</w:t>
      </w:r>
    </w:p>
    <w:p w14:paraId="3B0432DF">
      <w:pPr>
        <w:pStyle w:val="959"/>
        <w:snapToGrid w:val="0"/>
        <w:ind w:firstLine="480"/>
        <w:rPr>
          <w:rFonts w:ascii="Times New Roman" w:hAnsi="Times New Roman"/>
          <w:color w:val="auto"/>
          <w:lang w:val="en-US"/>
        </w:rPr>
      </w:pPr>
      <w:r>
        <w:rPr>
          <w:rFonts w:ascii="Times New Roman" w:hAnsi="Times New Roman"/>
          <w:color w:val="auto"/>
          <w:lang w:val="en-US"/>
        </w:rPr>
        <w:t>综上所述，项目进水水质特点为：含盐量高、硬度高。</w:t>
      </w:r>
    </w:p>
    <w:p w14:paraId="5183B853">
      <w:pPr>
        <w:pStyle w:val="959"/>
        <w:snapToGrid w:val="0"/>
        <w:ind w:firstLine="480"/>
        <w:rPr>
          <w:rFonts w:ascii="Times New Roman" w:hAnsi="Times New Roman"/>
          <w:color w:val="auto"/>
          <w:lang w:val="en-US"/>
        </w:rPr>
      </w:pPr>
      <w:r>
        <w:rPr>
          <w:rFonts w:hint="eastAsia" w:ascii="Times New Roman" w:hAnsi="Times New Roman"/>
          <w:color w:val="auto"/>
          <w:lang w:val="en-US"/>
        </w:rPr>
        <w:t>③同类项目设计进水水质情况</w:t>
      </w:r>
    </w:p>
    <w:p w14:paraId="1D504A67">
      <w:pPr>
        <w:pStyle w:val="959"/>
        <w:snapToGrid w:val="0"/>
        <w:ind w:firstLine="480"/>
        <w:rPr>
          <w:rFonts w:ascii="Times New Roman" w:hAnsi="Times New Roman"/>
          <w:color w:val="auto"/>
          <w:lang w:val="en-US"/>
        </w:rPr>
      </w:pPr>
      <w:r>
        <w:rPr>
          <w:rFonts w:hint="eastAsia" w:ascii="Times New Roman" w:hAnsi="Times New Roman"/>
          <w:color w:val="auto"/>
          <w:lang w:val="en-US"/>
        </w:rPr>
        <w:t>拟建项目服务范围内页岩气开采目的层、钻井工艺、压裂工艺及采气集输工艺与南川阳春沟区域、</w:t>
      </w:r>
      <w:r>
        <w:rPr>
          <w:rFonts w:hint="eastAsia" w:ascii="Times New Roman" w:hAnsi="Times New Roman"/>
          <w:color w:val="auto"/>
        </w:rPr>
        <w:t>涪陵</w:t>
      </w:r>
      <w:r>
        <w:rPr>
          <w:rFonts w:hint="eastAsia" w:ascii="Times New Roman" w:hAnsi="Times New Roman"/>
          <w:color w:val="auto"/>
          <w:lang w:val="en-US"/>
        </w:rPr>
        <w:t>平桥区块、武隆区</w:t>
      </w:r>
      <w:r>
        <w:rPr>
          <w:rFonts w:hint="eastAsia" w:ascii="Times New Roman" w:hAnsi="Times New Roman"/>
          <w:color w:val="auto"/>
          <w:lang w:val="en-US" w:eastAsia="zh-CN"/>
        </w:rPr>
        <w:t>、</w:t>
      </w:r>
      <w:r>
        <w:rPr>
          <w:rFonts w:hint="eastAsia" w:ascii="Times New Roman" w:hAnsi="Times New Roman"/>
          <w:color w:val="auto"/>
          <w:lang w:val="en-US"/>
        </w:rPr>
        <w:t>荣昌区</w:t>
      </w:r>
      <w:r>
        <w:rPr>
          <w:rFonts w:hint="eastAsia" w:ascii="Times New Roman" w:hAnsi="Times New Roman"/>
          <w:color w:val="auto"/>
          <w:lang w:val="en-US" w:eastAsia="zh-CN"/>
        </w:rPr>
        <w:t>和大足区</w:t>
      </w:r>
      <w:r>
        <w:rPr>
          <w:rFonts w:hint="eastAsia" w:ascii="Times New Roman" w:hAnsi="Times New Roman"/>
          <w:color w:val="auto"/>
          <w:lang w:val="en-US"/>
        </w:rPr>
        <w:t>等页岩气开采基本一致。根据建设单位资料收集及公开的资料查询，“南川页岩气田阳春沟区块页岩气采出水处理项目环境影响报告表”“武隆区页岩气压裂返排水治理项目环境影响报告书”、“荣昌工业园区油气田废水</w:t>
      </w:r>
      <w:r>
        <w:rPr>
          <w:rFonts w:hint="eastAsia" w:ascii="Times New Roman" w:hAnsi="Times New Roman"/>
          <w:color w:val="auto"/>
          <w:lang w:val="en-US" w:eastAsia="zh-CN"/>
        </w:rPr>
        <w:t>环境治理</w:t>
      </w:r>
      <w:r>
        <w:rPr>
          <w:rFonts w:hint="eastAsia" w:ascii="Times New Roman" w:hAnsi="Times New Roman"/>
          <w:color w:val="auto"/>
          <w:lang w:val="en-US"/>
        </w:rPr>
        <w:t>项目环境影响报告书”</w:t>
      </w:r>
      <w:r>
        <w:rPr>
          <w:rFonts w:hint="eastAsia" w:ascii="Times New Roman" w:hAnsi="Times New Roman"/>
          <w:color w:val="auto"/>
          <w:lang w:val="en-US" w:eastAsia="zh-CN"/>
        </w:rPr>
        <w:t>和“大足森士环保页岩气开采废水处理项目</w:t>
      </w:r>
      <w:r>
        <w:rPr>
          <w:rFonts w:hint="eastAsia" w:ascii="Times New Roman" w:hAnsi="Times New Roman"/>
          <w:color w:val="auto"/>
          <w:lang w:val="en-US"/>
        </w:rPr>
        <w:t>环境影响报告书</w:t>
      </w:r>
      <w:r>
        <w:rPr>
          <w:rFonts w:hint="eastAsia" w:ascii="Times New Roman" w:hAnsi="Times New Roman"/>
          <w:color w:val="auto"/>
          <w:lang w:val="en-US" w:eastAsia="zh-CN"/>
        </w:rPr>
        <w:t>”</w:t>
      </w:r>
      <w:r>
        <w:rPr>
          <w:rFonts w:hint="eastAsia" w:ascii="Times New Roman" w:hAnsi="Times New Roman"/>
          <w:color w:val="auto"/>
          <w:lang w:val="en-US"/>
        </w:rPr>
        <w:t>设计进水水质要求，</w:t>
      </w:r>
      <w:r>
        <w:rPr>
          <w:rFonts w:hint="eastAsia" w:ascii="Times New Roman" w:hAnsi="Times New Roman"/>
          <w:color w:val="auto"/>
          <w:szCs w:val="24"/>
          <w:lang w:val="en-US"/>
        </w:rPr>
        <w:t>页岩气开采废水处理设施设计进水水质见</w:t>
      </w:r>
      <w:r>
        <w:rPr>
          <w:rFonts w:hint="eastAsia" w:ascii="Times New Roman" w:hAnsi="Times New Roman"/>
          <w:color w:val="auto"/>
          <w:lang w:val="en-US"/>
        </w:rPr>
        <w:t>表3</w:t>
      </w:r>
      <w:r>
        <w:rPr>
          <w:rFonts w:ascii="Times New Roman" w:hAnsi="Times New Roman"/>
          <w:color w:val="auto"/>
          <w:lang w:val="en-US"/>
        </w:rPr>
        <w:t>.3-3</w:t>
      </w:r>
      <w:r>
        <w:rPr>
          <w:rFonts w:hint="eastAsia" w:ascii="Times New Roman" w:hAnsi="Times New Roman"/>
          <w:color w:val="auto"/>
          <w:lang w:val="en-US"/>
        </w:rPr>
        <w:t>。</w:t>
      </w:r>
    </w:p>
    <w:p w14:paraId="036E084F">
      <w:pPr>
        <w:pStyle w:val="959"/>
        <w:snapToGrid w:val="0"/>
        <w:ind w:firstLine="482"/>
        <w:jc w:val="center"/>
        <w:rPr>
          <w:rFonts w:ascii="Times New Roman" w:hAnsi="Times New Roman"/>
          <w:b/>
          <w:color w:val="auto"/>
        </w:rPr>
      </w:pPr>
      <w:r>
        <w:rPr>
          <w:rFonts w:ascii="Times New Roman" w:hAnsi="Times New Roman"/>
          <w:b/>
          <w:color w:val="auto"/>
        </w:rPr>
        <w:t>表</w:t>
      </w:r>
      <w:bookmarkStart w:id="132" w:name="_Hlk78879032"/>
      <w:r>
        <w:rPr>
          <w:rFonts w:hint="eastAsia" w:ascii="Times New Roman" w:hAnsi="Times New Roman"/>
          <w:b/>
          <w:color w:val="auto"/>
          <w:lang w:val="en-US"/>
        </w:rPr>
        <w:t>3.3-3  同类页岩气开采废水处理设施设计进水水质</w:t>
      </w:r>
      <w:bookmarkEnd w:id="132"/>
    </w:p>
    <w:tbl>
      <w:tblPr>
        <w:tblStyle w:val="662"/>
        <w:tblpPr w:leftFromText="180" w:rightFromText="180" w:vertAnchor="text" w:tblpXSpec="center" w:tblpY="1"/>
        <w:tblOverlap w:val="never"/>
        <w:tblW w:w="5006" w:type="pct"/>
        <w:jc w:val="center"/>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autofit"/>
        <w:tblCellMar>
          <w:top w:w="0" w:type="dxa"/>
          <w:left w:w="0" w:type="dxa"/>
          <w:bottom w:w="0" w:type="dxa"/>
          <w:right w:w="0" w:type="dxa"/>
        </w:tblCellMar>
      </w:tblPr>
      <w:tblGrid>
        <w:gridCol w:w="565"/>
        <w:gridCol w:w="924"/>
        <w:gridCol w:w="1519"/>
        <w:gridCol w:w="1519"/>
        <w:gridCol w:w="1519"/>
        <w:gridCol w:w="1519"/>
        <w:gridCol w:w="1522"/>
      </w:tblGrid>
      <w:tr w14:paraId="246E49C0">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19" w:type="pct"/>
            <w:gridSpan w:val="2"/>
            <w:tcBorders>
              <w:tl2br w:val="nil"/>
              <w:tr2bl w:val="nil"/>
            </w:tcBorders>
            <w:vAlign w:val="center"/>
          </w:tcPr>
          <w:p w14:paraId="22DE3F91">
            <w:pPr>
              <w:pStyle w:val="3127"/>
              <w:rPr>
                <w:rFonts w:eastAsia="Times New Roman"/>
                <w:color w:val="auto"/>
                <w:lang w:eastAsia="en-US"/>
              </w:rPr>
            </w:pPr>
            <w:r>
              <w:rPr>
                <w:rFonts w:eastAsia="Times New Roman"/>
                <w:color w:val="auto"/>
                <w:lang w:eastAsia="en-US"/>
              </w:rPr>
              <w:t>进水指标及各检测报告</w:t>
            </w:r>
          </w:p>
        </w:tc>
        <w:tc>
          <w:tcPr>
            <w:tcW w:w="835" w:type="pct"/>
            <w:tcBorders>
              <w:tl2br w:val="nil"/>
              <w:tr2bl w:val="nil"/>
            </w:tcBorders>
            <w:vAlign w:val="center"/>
          </w:tcPr>
          <w:p w14:paraId="40004436">
            <w:pPr>
              <w:pStyle w:val="3127"/>
              <w:rPr>
                <w:rFonts w:eastAsia="Times New Roman"/>
                <w:color w:val="auto"/>
                <w:lang w:eastAsia="en-US"/>
              </w:rPr>
            </w:pPr>
            <w:r>
              <w:rPr>
                <w:rFonts w:hint="eastAsia" w:eastAsia="Times New Roman"/>
                <w:color w:val="auto"/>
                <w:lang w:eastAsia="en-US"/>
              </w:rPr>
              <w:t>润心之泉荣昌工业园区油气田废水</w:t>
            </w:r>
            <w:r>
              <w:rPr>
                <w:rFonts w:hint="eastAsia" w:eastAsia="宋体"/>
                <w:color w:val="auto"/>
                <w:lang w:eastAsia="zh-CN"/>
              </w:rPr>
              <w:t>环境治理</w:t>
            </w:r>
            <w:r>
              <w:rPr>
                <w:rFonts w:hint="eastAsia" w:eastAsia="Times New Roman"/>
                <w:color w:val="auto"/>
                <w:lang w:eastAsia="en-US"/>
              </w:rPr>
              <w:t>项目</w:t>
            </w:r>
            <w:r>
              <w:rPr>
                <w:rFonts w:eastAsia="Times New Roman"/>
                <w:color w:val="auto"/>
                <w:lang w:eastAsia="en-US"/>
              </w:rPr>
              <w:t>采出水进水水质</w:t>
            </w:r>
          </w:p>
        </w:tc>
        <w:tc>
          <w:tcPr>
            <w:tcW w:w="835" w:type="pct"/>
            <w:tcBorders>
              <w:tl2br w:val="nil"/>
              <w:tr2bl w:val="nil"/>
            </w:tcBorders>
            <w:vAlign w:val="center"/>
          </w:tcPr>
          <w:p w14:paraId="0E340835">
            <w:pPr>
              <w:pStyle w:val="3127"/>
              <w:rPr>
                <w:rFonts w:hint="default" w:eastAsia="宋体"/>
                <w:color w:val="auto"/>
                <w:lang w:val="en-US" w:eastAsia="zh-CN"/>
              </w:rPr>
            </w:pPr>
            <w:r>
              <w:rPr>
                <w:rFonts w:hint="eastAsia"/>
                <w:color w:val="auto"/>
                <w:lang w:val="en-US" w:eastAsia="zh-CN"/>
              </w:rPr>
              <w:t xml:space="preserve">森士环保页岩气开采废水处理项目进水水质 </w:t>
            </w:r>
          </w:p>
        </w:tc>
        <w:tc>
          <w:tcPr>
            <w:tcW w:w="835" w:type="pct"/>
            <w:tcBorders>
              <w:tl2br w:val="nil"/>
              <w:tr2bl w:val="nil"/>
            </w:tcBorders>
            <w:vAlign w:val="center"/>
          </w:tcPr>
          <w:p w14:paraId="6E701653">
            <w:pPr>
              <w:pStyle w:val="3127"/>
              <w:rPr>
                <w:rFonts w:eastAsia="Times New Roman"/>
                <w:color w:val="auto"/>
                <w:lang w:eastAsia="en-US"/>
              </w:rPr>
            </w:pPr>
            <w:r>
              <w:rPr>
                <w:rFonts w:eastAsia="Times New Roman"/>
                <w:color w:val="auto"/>
                <w:lang w:eastAsia="en-US"/>
              </w:rPr>
              <w:t>南川页岩气田阳春沟区块页岩气采出水处理项目采出水进水水质</w:t>
            </w:r>
          </w:p>
        </w:tc>
        <w:tc>
          <w:tcPr>
            <w:tcW w:w="835" w:type="pct"/>
            <w:tcBorders>
              <w:tl2br w:val="nil"/>
              <w:tr2bl w:val="nil"/>
            </w:tcBorders>
            <w:vAlign w:val="center"/>
          </w:tcPr>
          <w:p w14:paraId="554BCA6C">
            <w:pPr>
              <w:pStyle w:val="3127"/>
              <w:rPr>
                <w:rFonts w:eastAsia="Times New Roman"/>
                <w:color w:val="auto"/>
                <w:lang w:eastAsia="en-US"/>
              </w:rPr>
            </w:pPr>
            <w:r>
              <w:rPr>
                <w:rFonts w:eastAsia="Times New Roman"/>
                <w:color w:val="auto"/>
                <w:lang w:eastAsia="en-US"/>
              </w:rPr>
              <w:t>四川兴澳涪陵气田平桥水处理站采出水进水水质</w:t>
            </w:r>
          </w:p>
        </w:tc>
        <w:tc>
          <w:tcPr>
            <w:tcW w:w="837" w:type="pct"/>
            <w:tcBorders>
              <w:tl2br w:val="nil"/>
              <w:tr2bl w:val="nil"/>
            </w:tcBorders>
            <w:shd w:val="clear" w:color="auto" w:fill="auto"/>
            <w:vAlign w:val="center"/>
          </w:tcPr>
          <w:p w14:paraId="25447B4F">
            <w:pPr>
              <w:pStyle w:val="3127"/>
              <w:rPr>
                <w:rFonts w:eastAsia="Times New Roman"/>
                <w:color w:val="auto"/>
                <w:lang w:eastAsia="en-US"/>
              </w:rPr>
            </w:pPr>
            <w:r>
              <w:rPr>
                <w:rFonts w:hint="eastAsia" w:ascii="宋体" w:hAnsi="宋体" w:eastAsia="Times New Roman" w:cs="宋体"/>
                <w:color w:val="auto"/>
                <w:lang w:eastAsia="en-US"/>
              </w:rPr>
              <w:t>武隆区页岩气压裂返排液治理项目进水水质（压裂返排液和采出水）</w:t>
            </w:r>
          </w:p>
        </w:tc>
      </w:tr>
      <w:tr w14:paraId="0CE65ACF">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11" w:type="pct"/>
            <w:tcBorders>
              <w:tl2br w:val="nil"/>
              <w:tr2bl w:val="nil"/>
            </w:tcBorders>
            <w:vAlign w:val="center"/>
          </w:tcPr>
          <w:p w14:paraId="0BBB949E">
            <w:pPr>
              <w:pStyle w:val="3127"/>
              <w:rPr>
                <w:rFonts w:eastAsia="Times New Roman"/>
                <w:color w:val="auto"/>
                <w:lang w:eastAsia="en-US"/>
              </w:rPr>
            </w:pPr>
            <w:r>
              <w:rPr>
                <w:rFonts w:eastAsia="Times New Roman"/>
                <w:color w:val="auto"/>
                <w:lang w:eastAsia="en-US"/>
              </w:rPr>
              <w:t>序号</w:t>
            </w:r>
          </w:p>
        </w:tc>
        <w:tc>
          <w:tcPr>
            <w:tcW w:w="508" w:type="pct"/>
            <w:tcBorders>
              <w:tl2br w:val="nil"/>
              <w:tr2bl w:val="nil"/>
            </w:tcBorders>
            <w:vAlign w:val="center"/>
          </w:tcPr>
          <w:p w14:paraId="78F43E32">
            <w:pPr>
              <w:pStyle w:val="3127"/>
              <w:rPr>
                <w:rFonts w:eastAsia="Times New Roman"/>
                <w:color w:val="auto"/>
                <w:lang w:eastAsia="en-US"/>
              </w:rPr>
            </w:pPr>
            <w:r>
              <w:rPr>
                <w:rFonts w:eastAsia="Times New Roman"/>
                <w:color w:val="auto"/>
                <w:lang w:eastAsia="en-US"/>
              </w:rPr>
              <w:t>指标</w:t>
            </w:r>
          </w:p>
        </w:tc>
        <w:tc>
          <w:tcPr>
            <w:tcW w:w="835" w:type="pct"/>
            <w:tcBorders>
              <w:tl2br w:val="nil"/>
              <w:tr2bl w:val="nil"/>
            </w:tcBorders>
            <w:vAlign w:val="center"/>
          </w:tcPr>
          <w:p w14:paraId="6E7EBBE8">
            <w:pPr>
              <w:pStyle w:val="3127"/>
              <w:rPr>
                <w:rFonts w:eastAsia="Times New Roman"/>
                <w:color w:val="auto"/>
                <w:lang w:eastAsia="en-US"/>
              </w:rPr>
            </w:pPr>
            <w:r>
              <w:rPr>
                <w:rFonts w:eastAsia="Times New Roman"/>
                <w:color w:val="auto"/>
                <w:lang w:eastAsia="en-US"/>
              </w:rPr>
              <w:t>mg/L</w:t>
            </w:r>
          </w:p>
        </w:tc>
        <w:tc>
          <w:tcPr>
            <w:tcW w:w="835" w:type="pct"/>
            <w:tcBorders>
              <w:tl2br w:val="nil"/>
              <w:tr2bl w:val="nil"/>
            </w:tcBorders>
            <w:vAlign w:val="center"/>
          </w:tcPr>
          <w:p w14:paraId="0AB8700E">
            <w:pPr>
              <w:pStyle w:val="3127"/>
              <w:rPr>
                <w:rFonts w:eastAsia="Times New Roman"/>
                <w:color w:val="auto"/>
                <w:lang w:eastAsia="en-US"/>
              </w:rPr>
            </w:pPr>
          </w:p>
        </w:tc>
        <w:tc>
          <w:tcPr>
            <w:tcW w:w="835" w:type="pct"/>
            <w:tcBorders>
              <w:tl2br w:val="nil"/>
              <w:tr2bl w:val="nil"/>
            </w:tcBorders>
            <w:vAlign w:val="center"/>
          </w:tcPr>
          <w:p w14:paraId="34DFAB44">
            <w:pPr>
              <w:pStyle w:val="3127"/>
              <w:rPr>
                <w:rFonts w:eastAsia="Times New Roman"/>
                <w:color w:val="auto"/>
                <w:lang w:eastAsia="en-US"/>
              </w:rPr>
            </w:pPr>
            <w:r>
              <w:rPr>
                <w:rFonts w:eastAsia="Times New Roman"/>
                <w:color w:val="auto"/>
                <w:lang w:eastAsia="en-US"/>
              </w:rPr>
              <w:t>mg/L</w:t>
            </w:r>
          </w:p>
        </w:tc>
        <w:tc>
          <w:tcPr>
            <w:tcW w:w="835" w:type="pct"/>
            <w:tcBorders>
              <w:tl2br w:val="nil"/>
              <w:tr2bl w:val="nil"/>
            </w:tcBorders>
            <w:vAlign w:val="center"/>
          </w:tcPr>
          <w:p w14:paraId="6A6199F4">
            <w:pPr>
              <w:pStyle w:val="3127"/>
              <w:rPr>
                <w:rFonts w:eastAsia="Times New Roman"/>
                <w:color w:val="auto"/>
                <w:lang w:eastAsia="en-US"/>
              </w:rPr>
            </w:pPr>
            <w:r>
              <w:rPr>
                <w:rFonts w:eastAsia="Times New Roman"/>
                <w:color w:val="auto"/>
                <w:lang w:eastAsia="en-US"/>
              </w:rPr>
              <w:t>mg/L</w:t>
            </w:r>
          </w:p>
        </w:tc>
        <w:tc>
          <w:tcPr>
            <w:tcW w:w="837" w:type="pct"/>
            <w:tcBorders>
              <w:tl2br w:val="nil"/>
              <w:tr2bl w:val="nil"/>
            </w:tcBorders>
            <w:shd w:val="clear" w:color="auto" w:fill="auto"/>
            <w:vAlign w:val="center"/>
          </w:tcPr>
          <w:p w14:paraId="587DCDDC">
            <w:pPr>
              <w:pStyle w:val="3127"/>
              <w:rPr>
                <w:rFonts w:eastAsia="Times New Roman"/>
                <w:color w:val="auto"/>
                <w:lang w:eastAsia="en-US"/>
              </w:rPr>
            </w:pPr>
            <w:r>
              <w:rPr>
                <w:rFonts w:eastAsia="Times New Roman"/>
                <w:color w:val="auto"/>
                <w:lang w:eastAsia="en-US"/>
              </w:rPr>
              <w:t>mg/L</w:t>
            </w:r>
          </w:p>
        </w:tc>
      </w:tr>
      <w:tr w14:paraId="3DE2DDC4">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311" w:type="pct"/>
            <w:tcBorders>
              <w:tl2br w:val="nil"/>
              <w:tr2bl w:val="nil"/>
            </w:tcBorders>
            <w:vAlign w:val="center"/>
          </w:tcPr>
          <w:p w14:paraId="09B7C381">
            <w:pPr>
              <w:pStyle w:val="3127"/>
              <w:rPr>
                <w:rFonts w:eastAsia="Times New Roman"/>
                <w:color w:val="auto"/>
                <w:lang w:eastAsia="en-US"/>
              </w:rPr>
            </w:pPr>
            <w:r>
              <w:rPr>
                <w:rFonts w:eastAsia="Times New Roman"/>
                <w:color w:val="auto"/>
                <w:lang w:eastAsia="en-US"/>
              </w:rPr>
              <w:t>1</w:t>
            </w:r>
          </w:p>
        </w:tc>
        <w:tc>
          <w:tcPr>
            <w:tcW w:w="508" w:type="pct"/>
            <w:tcBorders>
              <w:tl2br w:val="nil"/>
              <w:tr2bl w:val="nil"/>
            </w:tcBorders>
            <w:vAlign w:val="center"/>
          </w:tcPr>
          <w:p w14:paraId="111BB930">
            <w:pPr>
              <w:pStyle w:val="3127"/>
              <w:rPr>
                <w:rFonts w:eastAsia="Times New Roman"/>
                <w:color w:val="auto"/>
                <w:lang w:eastAsia="en-US"/>
              </w:rPr>
            </w:pPr>
            <w:r>
              <w:rPr>
                <w:rFonts w:eastAsia="Times New Roman"/>
                <w:color w:val="auto"/>
                <w:lang w:eastAsia="en-US"/>
              </w:rPr>
              <w:t>pH</w:t>
            </w:r>
            <w:r>
              <w:rPr>
                <w:rFonts w:hint="eastAsia" w:eastAsia="Times New Roman"/>
                <w:color w:val="auto"/>
                <w:lang w:eastAsia="en-US"/>
              </w:rPr>
              <w:t>（无量纲）</w:t>
            </w:r>
          </w:p>
        </w:tc>
        <w:tc>
          <w:tcPr>
            <w:tcW w:w="835" w:type="pct"/>
            <w:tcBorders>
              <w:tl2br w:val="nil"/>
              <w:tr2bl w:val="nil"/>
            </w:tcBorders>
            <w:vAlign w:val="center"/>
          </w:tcPr>
          <w:p w14:paraId="4FAFA635">
            <w:pPr>
              <w:pStyle w:val="3127"/>
              <w:rPr>
                <w:rFonts w:eastAsia="Times New Roman"/>
                <w:color w:val="auto"/>
                <w:lang w:eastAsia="en-US"/>
              </w:rPr>
            </w:pPr>
            <w:r>
              <w:rPr>
                <w:rFonts w:hint="eastAsia" w:eastAsia="Times New Roman"/>
                <w:color w:val="auto"/>
                <w:lang w:eastAsia="en-US"/>
              </w:rPr>
              <w:t>6</w:t>
            </w:r>
            <w:r>
              <w:rPr>
                <w:rFonts w:eastAsia="Times New Roman"/>
                <w:color w:val="auto"/>
                <w:lang w:eastAsia="en-US"/>
              </w:rPr>
              <w:t>~</w:t>
            </w:r>
            <w:r>
              <w:rPr>
                <w:rFonts w:hint="eastAsia" w:eastAsia="Times New Roman"/>
                <w:color w:val="auto"/>
                <w:lang w:eastAsia="en-US"/>
              </w:rPr>
              <w:t>9</w:t>
            </w:r>
          </w:p>
        </w:tc>
        <w:tc>
          <w:tcPr>
            <w:tcW w:w="835" w:type="pct"/>
            <w:tcBorders>
              <w:tl2br w:val="nil"/>
              <w:tr2bl w:val="nil"/>
            </w:tcBorders>
            <w:vAlign w:val="center"/>
          </w:tcPr>
          <w:p w14:paraId="2317967E">
            <w:pPr>
              <w:pStyle w:val="3127"/>
              <w:rPr>
                <w:rFonts w:hint="default" w:eastAsia="宋体"/>
                <w:color w:val="auto"/>
                <w:lang w:val="en-US" w:eastAsia="zh-CN"/>
              </w:rPr>
            </w:pPr>
            <w:r>
              <w:rPr>
                <w:rFonts w:hint="eastAsia"/>
                <w:color w:val="auto"/>
                <w:lang w:val="en-US" w:eastAsia="zh-CN"/>
              </w:rPr>
              <w:t>6~13</w:t>
            </w:r>
          </w:p>
        </w:tc>
        <w:tc>
          <w:tcPr>
            <w:tcW w:w="835" w:type="pct"/>
            <w:tcBorders>
              <w:tl2br w:val="nil"/>
              <w:tr2bl w:val="nil"/>
            </w:tcBorders>
            <w:vAlign w:val="center"/>
          </w:tcPr>
          <w:p w14:paraId="648615B5">
            <w:pPr>
              <w:pStyle w:val="3127"/>
              <w:rPr>
                <w:rFonts w:eastAsia="Times New Roman"/>
                <w:color w:val="auto"/>
                <w:lang w:eastAsia="en-US"/>
              </w:rPr>
            </w:pPr>
            <w:r>
              <w:rPr>
                <w:rFonts w:hint="eastAsia" w:eastAsia="Times New Roman"/>
                <w:color w:val="auto"/>
                <w:lang w:eastAsia="en-US"/>
              </w:rPr>
              <w:t>/</w:t>
            </w:r>
          </w:p>
        </w:tc>
        <w:tc>
          <w:tcPr>
            <w:tcW w:w="835" w:type="pct"/>
            <w:tcBorders>
              <w:tl2br w:val="nil"/>
              <w:tr2bl w:val="nil"/>
            </w:tcBorders>
            <w:vAlign w:val="center"/>
          </w:tcPr>
          <w:p w14:paraId="58D30A4E">
            <w:pPr>
              <w:pStyle w:val="3127"/>
              <w:rPr>
                <w:rFonts w:eastAsia="Times New Roman"/>
                <w:color w:val="auto"/>
                <w:lang w:eastAsia="en-US"/>
              </w:rPr>
            </w:pPr>
            <w:r>
              <w:rPr>
                <w:rFonts w:hint="eastAsia" w:eastAsia="Times New Roman"/>
                <w:color w:val="auto"/>
                <w:lang w:eastAsia="en-US"/>
              </w:rPr>
              <w:t>/</w:t>
            </w:r>
          </w:p>
        </w:tc>
        <w:tc>
          <w:tcPr>
            <w:tcW w:w="837" w:type="pct"/>
            <w:tcBorders>
              <w:tl2br w:val="nil"/>
              <w:tr2bl w:val="nil"/>
            </w:tcBorders>
            <w:shd w:val="clear" w:color="auto" w:fill="auto"/>
            <w:vAlign w:val="center"/>
          </w:tcPr>
          <w:p w14:paraId="17AEF1FB">
            <w:pPr>
              <w:pStyle w:val="3127"/>
              <w:rPr>
                <w:rFonts w:eastAsia="Times New Roman"/>
                <w:color w:val="auto"/>
                <w:lang w:eastAsia="en-US"/>
              </w:rPr>
            </w:pPr>
            <w:r>
              <w:rPr>
                <w:rFonts w:hint="eastAsia" w:eastAsia="Times New Roman"/>
                <w:color w:val="auto"/>
                <w:lang w:eastAsia="en-US"/>
              </w:rPr>
              <w:t>6~9</w:t>
            </w:r>
          </w:p>
        </w:tc>
      </w:tr>
      <w:tr w14:paraId="38CC64EF">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11" w:type="pct"/>
            <w:tcBorders>
              <w:tl2br w:val="nil"/>
              <w:tr2bl w:val="nil"/>
            </w:tcBorders>
            <w:vAlign w:val="center"/>
          </w:tcPr>
          <w:p w14:paraId="66FA80C6">
            <w:pPr>
              <w:pStyle w:val="3127"/>
              <w:rPr>
                <w:rFonts w:eastAsia="Times New Roman"/>
                <w:color w:val="auto"/>
                <w:lang w:eastAsia="en-US"/>
              </w:rPr>
            </w:pPr>
            <w:r>
              <w:rPr>
                <w:rFonts w:eastAsia="Times New Roman"/>
                <w:color w:val="auto"/>
                <w:lang w:eastAsia="en-US"/>
              </w:rPr>
              <w:t>2</w:t>
            </w:r>
          </w:p>
        </w:tc>
        <w:tc>
          <w:tcPr>
            <w:tcW w:w="508" w:type="pct"/>
            <w:tcBorders>
              <w:tl2br w:val="nil"/>
              <w:tr2bl w:val="nil"/>
            </w:tcBorders>
            <w:vAlign w:val="center"/>
          </w:tcPr>
          <w:p w14:paraId="24800702">
            <w:pPr>
              <w:pStyle w:val="3127"/>
              <w:rPr>
                <w:rFonts w:eastAsia="Times New Roman"/>
                <w:color w:val="auto"/>
                <w:lang w:eastAsia="en-US"/>
              </w:rPr>
            </w:pPr>
            <w:r>
              <w:rPr>
                <w:rFonts w:eastAsia="Times New Roman"/>
                <w:color w:val="auto"/>
                <w:lang w:eastAsia="en-US"/>
              </w:rPr>
              <w:t>色度</w:t>
            </w:r>
            <w:r>
              <w:rPr>
                <w:rFonts w:hint="eastAsia" w:ascii="宋体" w:hAnsi="宋体" w:eastAsia="Times New Roman" w:cs="宋体"/>
                <w:color w:val="auto"/>
                <w:lang w:eastAsia="en-US"/>
              </w:rPr>
              <w:t>（倍）</w:t>
            </w:r>
          </w:p>
        </w:tc>
        <w:tc>
          <w:tcPr>
            <w:tcW w:w="835" w:type="pct"/>
            <w:tcBorders>
              <w:tl2br w:val="nil"/>
              <w:tr2bl w:val="nil"/>
            </w:tcBorders>
            <w:vAlign w:val="center"/>
          </w:tcPr>
          <w:p w14:paraId="0E399E5F">
            <w:pPr>
              <w:pStyle w:val="3127"/>
              <w:rPr>
                <w:rFonts w:eastAsia="Times New Roman"/>
                <w:color w:val="auto"/>
                <w:lang w:eastAsia="en-US"/>
              </w:rPr>
            </w:pPr>
            <w:r>
              <w:rPr>
                <w:rFonts w:hint="eastAsia" w:eastAsia="Times New Roman"/>
                <w:color w:val="auto"/>
                <w:lang w:eastAsia="en-US"/>
              </w:rPr>
              <w:t>500</w:t>
            </w:r>
          </w:p>
        </w:tc>
        <w:tc>
          <w:tcPr>
            <w:tcW w:w="835" w:type="pct"/>
            <w:tcBorders>
              <w:tl2br w:val="nil"/>
              <w:tr2bl w:val="nil"/>
            </w:tcBorders>
            <w:vAlign w:val="center"/>
          </w:tcPr>
          <w:p w14:paraId="2DAC73AF">
            <w:pPr>
              <w:pStyle w:val="3127"/>
              <w:rPr>
                <w:rFonts w:hint="default" w:eastAsia="宋体"/>
                <w:color w:val="auto"/>
                <w:lang w:val="en-US" w:eastAsia="zh-CN"/>
              </w:rPr>
            </w:pPr>
            <w:r>
              <w:rPr>
                <w:rFonts w:hint="eastAsia"/>
                <w:color w:val="auto"/>
                <w:lang w:val="en-US" w:eastAsia="zh-CN"/>
              </w:rPr>
              <w:t>200</w:t>
            </w:r>
          </w:p>
        </w:tc>
        <w:tc>
          <w:tcPr>
            <w:tcW w:w="835" w:type="pct"/>
            <w:tcBorders>
              <w:tl2br w:val="nil"/>
              <w:tr2bl w:val="nil"/>
            </w:tcBorders>
            <w:vAlign w:val="center"/>
          </w:tcPr>
          <w:p w14:paraId="79520D1B">
            <w:pPr>
              <w:pStyle w:val="3127"/>
              <w:rPr>
                <w:rFonts w:eastAsia="Times New Roman"/>
                <w:color w:val="auto"/>
                <w:lang w:eastAsia="en-US"/>
              </w:rPr>
            </w:pPr>
            <w:r>
              <w:rPr>
                <w:rFonts w:hint="eastAsia" w:eastAsia="Times New Roman"/>
                <w:color w:val="auto"/>
                <w:lang w:eastAsia="en-US"/>
              </w:rPr>
              <w:t>500</w:t>
            </w:r>
          </w:p>
        </w:tc>
        <w:tc>
          <w:tcPr>
            <w:tcW w:w="835" w:type="pct"/>
            <w:tcBorders>
              <w:tl2br w:val="nil"/>
              <w:tr2bl w:val="nil"/>
            </w:tcBorders>
            <w:vAlign w:val="center"/>
          </w:tcPr>
          <w:p w14:paraId="4D0B43A0">
            <w:pPr>
              <w:pStyle w:val="3127"/>
              <w:rPr>
                <w:rFonts w:eastAsia="Times New Roman"/>
                <w:color w:val="auto"/>
                <w:lang w:eastAsia="en-US"/>
              </w:rPr>
            </w:pPr>
            <w:r>
              <w:rPr>
                <w:rFonts w:hint="eastAsia" w:eastAsia="Times New Roman"/>
                <w:color w:val="auto"/>
                <w:lang w:eastAsia="en-US"/>
              </w:rPr>
              <w:t>/</w:t>
            </w:r>
          </w:p>
        </w:tc>
        <w:tc>
          <w:tcPr>
            <w:tcW w:w="837" w:type="pct"/>
            <w:tcBorders>
              <w:tl2br w:val="nil"/>
              <w:tr2bl w:val="nil"/>
            </w:tcBorders>
            <w:shd w:val="clear" w:color="auto" w:fill="auto"/>
            <w:vAlign w:val="center"/>
          </w:tcPr>
          <w:p w14:paraId="1BDDEC21">
            <w:pPr>
              <w:pStyle w:val="3127"/>
              <w:rPr>
                <w:rFonts w:eastAsia="Times New Roman"/>
                <w:color w:val="auto"/>
                <w:lang w:eastAsia="en-US"/>
              </w:rPr>
            </w:pPr>
            <w:r>
              <w:rPr>
                <w:rFonts w:hint="eastAsia" w:eastAsia="Times New Roman"/>
                <w:color w:val="auto"/>
                <w:lang w:eastAsia="en-US"/>
              </w:rPr>
              <w:t>/</w:t>
            </w:r>
          </w:p>
        </w:tc>
      </w:tr>
      <w:tr w14:paraId="6066F111">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11" w:type="pct"/>
            <w:tcBorders>
              <w:tl2br w:val="nil"/>
              <w:tr2bl w:val="nil"/>
            </w:tcBorders>
            <w:vAlign w:val="center"/>
          </w:tcPr>
          <w:p w14:paraId="74D1648B">
            <w:pPr>
              <w:pStyle w:val="3127"/>
              <w:rPr>
                <w:rFonts w:eastAsia="Times New Roman"/>
                <w:color w:val="auto"/>
                <w:lang w:eastAsia="en-US"/>
              </w:rPr>
            </w:pPr>
            <w:r>
              <w:rPr>
                <w:rFonts w:eastAsia="Times New Roman"/>
                <w:color w:val="auto"/>
                <w:lang w:eastAsia="en-US"/>
              </w:rPr>
              <w:t>3</w:t>
            </w:r>
          </w:p>
        </w:tc>
        <w:tc>
          <w:tcPr>
            <w:tcW w:w="508" w:type="pct"/>
            <w:tcBorders>
              <w:tl2br w:val="nil"/>
              <w:tr2bl w:val="nil"/>
            </w:tcBorders>
            <w:shd w:val="clear" w:color="auto" w:fill="auto"/>
            <w:vAlign w:val="center"/>
          </w:tcPr>
          <w:p w14:paraId="47FB80A4">
            <w:pPr>
              <w:pStyle w:val="3127"/>
              <w:rPr>
                <w:rFonts w:eastAsia="Times New Roman"/>
                <w:color w:val="auto"/>
                <w:lang w:eastAsia="en-US"/>
              </w:rPr>
            </w:pPr>
            <w:r>
              <w:rPr>
                <w:rFonts w:eastAsia="Times New Roman"/>
                <w:color w:val="auto"/>
                <w:lang w:eastAsia="en-US"/>
              </w:rPr>
              <w:t>COD</w:t>
            </w:r>
          </w:p>
        </w:tc>
        <w:tc>
          <w:tcPr>
            <w:tcW w:w="835" w:type="pct"/>
            <w:tcBorders>
              <w:tl2br w:val="nil"/>
              <w:tr2bl w:val="nil"/>
            </w:tcBorders>
            <w:shd w:val="clear" w:color="auto" w:fill="auto"/>
            <w:vAlign w:val="center"/>
          </w:tcPr>
          <w:p w14:paraId="400F369E">
            <w:pPr>
              <w:pStyle w:val="3127"/>
              <w:rPr>
                <w:rFonts w:eastAsia="Times New Roman"/>
                <w:color w:val="auto"/>
                <w:lang w:eastAsia="en-US"/>
              </w:rPr>
            </w:pPr>
            <w:r>
              <w:rPr>
                <w:rFonts w:hint="eastAsia" w:eastAsia="Times New Roman"/>
                <w:color w:val="auto"/>
                <w:lang w:eastAsia="en-US"/>
              </w:rPr>
              <w:t>≤35</w:t>
            </w:r>
            <w:r>
              <w:rPr>
                <w:rFonts w:eastAsia="Times New Roman"/>
                <w:color w:val="auto"/>
                <w:lang w:eastAsia="en-US"/>
              </w:rPr>
              <w:t>00</w:t>
            </w:r>
          </w:p>
        </w:tc>
        <w:tc>
          <w:tcPr>
            <w:tcW w:w="835" w:type="pct"/>
            <w:tcBorders>
              <w:tl2br w:val="nil"/>
              <w:tr2bl w:val="nil"/>
            </w:tcBorders>
            <w:shd w:val="clear" w:color="auto" w:fill="auto"/>
            <w:vAlign w:val="center"/>
          </w:tcPr>
          <w:p w14:paraId="66DEFCE5">
            <w:pPr>
              <w:pStyle w:val="3127"/>
              <w:rPr>
                <w:rFonts w:hint="default" w:eastAsia="宋体"/>
                <w:color w:val="auto"/>
                <w:lang w:val="en-US" w:eastAsia="zh-CN"/>
              </w:rPr>
            </w:pPr>
            <w:r>
              <w:rPr>
                <w:rFonts w:hint="eastAsia"/>
                <w:color w:val="auto"/>
                <w:lang w:val="en-US" w:eastAsia="zh-CN"/>
              </w:rPr>
              <w:t>2000</w:t>
            </w:r>
          </w:p>
        </w:tc>
        <w:tc>
          <w:tcPr>
            <w:tcW w:w="835" w:type="pct"/>
            <w:tcBorders>
              <w:tl2br w:val="nil"/>
              <w:tr2bl w:val="nil"/>
            </w:tcBorders>
            <w:shd w:val="clear" w:color="auto" w:fill="auto"/>
            <w:vAlign w:val="center"/>
          </w:tcPr>
          <w:p w14:paraId="1562E825">
            <w:pPr>
              <w:pStyle w:val="3127"/>
              <w:rPr>
                <w:rFonts w:eastAsia="Times New Roman"/>
                <w:color w:val="auto"/>
                <w:lang w:eastAsia="en-US"/>
              </w:rPr>
            </w:pPr>
            <w:r>
              <w:rPr>
                <w:rFonts w:hint="eastAsia" w:eastAsia="Times New Roman"/>
                <w:color w:val="auto"/>
                <w:lang w:eastAsia="en-US"/>
              </w:rPr>
              <w:t>3500</w:t>
            </w:r>
          </w:p>
        </w:tc>
        <w:tc>
          <w:tcPr>
            <w:tcW w:w="835" w:type="pct"/>
            <w:tcBorders>
              <w:tl2br w:val="nil"/>
              <w:tr2bl w:val="nil"/>
            </w:tcBorders>
            <w:shd w:val="clear" w:color="auto" w:fill="auto"/>
            <w:vAlign w:val="center"/>
          </w:tcPr>
          <w:p w14:paraId="7ADAD4F0">
            <w:pPr>
              <w:pStyle w:val="3127"/>
              <w:rPr>
                <w:rFonts w:eastAsia="Times New Roman"/>
                <w:color w:val="auto"/>
                <w:lang w:eastAsia="en-US"/>
              </w:rPr>
            </w:pPr>
            <w:r>
              <w:rPr>
                <w:rFonts w:hint="eastAsia" w:eastAsia="Times New Roman"/>
                <w:color w:val="auto"/>
                <w:lang w:eastAsia="en-US"/>
              </w:rPr>
              <w:t>2500</w:t>
            </w:r>
          </w:p>
        </w:tc>
        <w:tc>
          <w:tcPr>
            <w:tcW w:w="837" w:type="pct"/>
            <w:tcBorders>
              <w:tl2br w:val="nil"/>
              <w:tr2bl w:val="nil"/>
            </w:tcBorders>
            <w:shd w:val="clear" w:color="auto" w:fill="auto"/>
            <w:vAlign w:val="center"/>
          </w:tcPr>
          <w:p w14:paraId="6CB3AB03">
            <w:pPr>
              <w:pStyle w:val="3127"/>
              <w:rPr>
                <w:rFonts w:eastAsia="Times New Roman"/>
                <w:color w:val="auto"/>
                <w:lang w:eastAsia="en-US"/>
              </w:rPr>
            </w:pPr>
            <w:r>
              <w:rPr>
                <w:rFonts w:hint="eastAsia" w:eastAsia="Times New Roman"/>
                <w:color w:val="auto"/>
                <w:lang w:eastAsia="en-US"/>
              </w:rPr>
              <w:t>1800</w:t>
            </w:r>
          </w:p>
        </w:tc>
      </w:tr>
      <w:tr w14:paraId="2ABDFA5D">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11" w:type="pct"/>
            <w:tcBorders>
              <w:tl2br w:val="nil"/>
              <w:tr2bl w:val="nil"/>
            </w:tcBorders>
            <w:vAlign w:val="center"/>
          </w:tcPr>
          <w:p w14:paraId="2D1D92E5">
            <w:pPr>
              <w:pStyle w:val="3127"/>
              <w:rPr>
                <w:rFonts w:eastAsia="Times New Roman"/>
                <w:color w:val="auto"/>
                <w:lang w:eastAsia="en-US"/>
              </w:rPr>
            </w:pPr>
            <w:r>
              <w:rPr>
                <w:rFonts w:eastAsia="Times New Roman"/>
                <w:color w:val="auto"/>
                <w:lang w:eastAsia="en-US"/>
              </w:rPr>
              <w:t>4</w:t>
            </w:r>
          </w:p>
        </w:tc>
        <w:tc>
          <w:tcPr>
            <w:tcW w:w="508" w:type="pct"/>
            <w:tcBorders>
              <w:tl2br w:val="nil"/>
              <w:tr2bl w:val="nil"/>
            </w:tcBorders>
            <w:shd w:val="clear" w:color="auto" w:fill="auto"/>
            <w:vAlign w:val="center"/>
          </w:tcPr>
          <w:p w14:paraId="60D23363">
            <w:pPr>
              <w:pStyle w:val="3127"/>
              <w:rPr>
                <w:rFonts w:eastAsia="Times New Roman"/>
                <w:color w:val="auto"/>
                <w:lang w:eastAsia="en-US"/>
              </w:rPr>
            </w:pPr>
            <w:r>
              <w:rPr>
                <w:rFonts w:eastAsia="Times New Roman"/>
                <w:color w:val="auto"/>
                <w:lang w:eastAsia="en-US"/>
              </w:rPr>
              <w:t>BOD</w:t>
            </w:r>
            <w:r>
              <w:rPr>
                <w:rFonts w:eastAsia="Times New Roman"/>
                <w:color w:val="auto"/>
                <w:vertAlign w:val="subscript"/>
                <w:lang w:eastAsia="en-US"/>
              </w:rPr>
              <w:t>5</w:t>
            </w:r>
          </w:p>
        </w:tc>
        <w:tc>
          <w:tcPr>
            <w:tcW w:w="835" w:type="pct"/>
            <w:tcBorders>
              <w:tl2br w:val="nil"/>
              <w:tr2bl w:val="nil"/>
            </w:tcBorders>
            <w:shd w:val="clear" w:color="auto" w:fill="auto"/>
            <w:vAlign w:val="center"/>
          </w:tcPr>
          <w:p w14:paraId="36689810">
            <w:pPr>
              <w:pStyle w:val="3127"/>
              <w:rPr>
                <w:rFonts w:eastAsia="Times New Roman"/>
                <w:color w:val="auto"/>
                <w:lang w:eastAsia="en-US"/>
              </w:rPr>
            </w:pPr>
            <w:r>
              <w:rPr>
                <w:rFonts w:hint="eastAsia" w:eastAsia="Times New Roman"/>
                <w:color w:val="auto"/>
                <w:lang w:eastAsia="en-US"/>
              </w:rPr>
              <w:t>≤5</w:t>
            </w:r>
            <w:r>
              <w:rPr>
                <w:rFonts w:eastAsia="Times New Roman"/>
                <w:color w:val="auto"/>
                <w:lang w:eastAsia="en-US"/>
              </w:rPr>
              <w:t>00</w:t>
            </w:r>
          </w:p>
        </w:tc>
        <w:tc>
          <w:tcPr>
            <w:tcW w:w="835" w:type="pct"/>
            <w:tcBorders>
              <w:tl2br w:val="nil"/>
              <w:tr2bl w:val="nil"/>
            </w:tcBorders>
            <w:shd w:val="clear" w:color="auto" w:fill="auto"/>
            <w:vAlign w:val="center"/>
          </w:tcPr>
          <w:p w14:paraId="02630923">
            <w:pPr>
              <w:pStyle w:val="3127"/>
              <w:rPr>
                <w:rFonts w:hint="default" w:eastAsia="宋体"/>
                <w:color w:val="auto"/>
                <w:lang w:val="en-US" w:eastAsia="zh-CN"/>
              </w:rPr>
            </w:pPr>
            <w:r>
              <w:rPr>
                <w:rFonts w:hint="eastAsia"/>
                <w:color w:val="auto"/>
                <w:lang w:val="en-US" w:eastAsia="zh-CN"/>
              </w:rPr>
              <w:t>300</w:t>
            </w:r>
          </w:p>
        </w:tc>
        <w:tc>
          <w:tcPr>
            <w:tcW w:w="835" w:type="pct"/>
            <w:tcBorders>
              <w:tl2br w:val="nil"/>
              <w:tr2bl w:val="nil"/>
            </w:tcBorders>
            <w:shd w:val="clear" w:color="auto" w:fill="auto"/>
            <w:vAlign w:val="center"/>
          </w:tcPr>
          <w:p w14:paraId="5E4DE65F">
            <w:pPr>
              <w:pStyle w:val="3127"/>
              <w:rPr>
                <w:rFonts w:eastAsia="Times New Roman"/>
                <w:color w:val="auto"/>
                <w:lang w:eastAsia="en-US"/>
              </w:rPr>
            </w:pPr>
            <w:r>
              <w:rPr>
                <w:rFonts w:hint="eastAsia" w:eastAsia="Times New Roman"/>
                <w:color w:val="auto"/>
                <w:lang w:eastAsia="en-US"/>
              </w:rPr>
              <w:t>/</w:t>
            </w:r>
          </w:p>
        </w:tc>
        <w:tc>
          <w:tcPr>
            <w:tcW w:w="835" w:type="pct"/>
            <w:tcBorders>
              <w:tl2br w:val="nil"/>
              <w:tr2bl w:val="nil"/>
            </w:tcBorders>
            <w:shd w:val="clear" w:color="auto" w:fill="auto"/>
            <w:vAlign w:val="center"/>
          </w:tcPr>
          <w:p w14:paraId="716CB61F">
            <w:pPr>
              <w:pStyle w:val="3127"/>
              <w:rPr>
                <w:rFonts w:eastAsia="Times New Roman"/>
                <w:color w:val="auto"/>
                <w:lang w:eastAsia="en-US"/>
              </w:rPr>
            </w:pPr>
            <w:r>
              <w:rPr>
                <w:rFonts w:hint="eastAsia" w:eastAsia="Times New Roman"/>
                <w:color w:val="auto"/>
                <w:lang w:eastAsia="en-US"/>
              </w:rPr>
              <w:t>/</w:t>
            </w:r>
          </w:p>
        </w:tc>
        <w:tc>
          <w:tcPr>
            <w:tcW w:w="837" w:type="pct"/>
            <w:tcBorders>
              <w:tl2br w:val="nil"/>
              <w:tr2bl w:val="nil"/>
            </w:tcBorders>
            <w:shd w:val="clear" w:color="auto" w:fill="auto"/>
            <w:vAlign w:val="center"/>
          </w:tcPr>
          <w:p w14:paraId="74E4F1C1">
            <w:pPr>
              <w:pStyle w:val="3127"/>
              <w:rPr>
                <w:rFonts w:eastAsia="Times New Roman"/>
                <w:color w:val="auto"/>
                <w:lang w:eastAsia="en-US"/>
              </w:rPr>
            </w:pPr>
            <w:r>
              <w:rPr>
                <w:rFonts w:hint="eastAsia" w:eastAsia="Times New Roman"/>
                <w:color w:val="auto"/>
                <w:lang w:eastAsia="en-US"/>
              </w:rPr>
              <w:t>800</w:t>
            </w:r>
          </w:p>
        </w:tc>
      </w:tr>
      <w:tr w14:paraId="33F97960">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11" w:type="pct"/>
            <w:tcBorders>
              <w:tl2br w:val="nil"/>
              <w:tr2bl w:val="nil"/>
            </w:tcBorders>
            <w:vAlign w:val="center"/>
          </w:tcPr>
          <w:p w14:paraId="0E503556">
            <w:pPr>
              <w:pStyle w:val="3127"/>
              <w:rPr>
                <w:rFonts w:eastAsia="Times New Roman"/>
                <w:color w:val="auto"/>
                <w:lang w:eastAsia="en-US"/>
              </w:rPr>
            </w:pPr>
            <w:r>
              <w:rPr>
                <w:rFonts w:eastAsia="Times New Roman"/>
                <w:color w:val="auto"/>
                <w:lang w:eastAsia="en-US"/>
              </w:rPr>
              <w:t>5</w:t>
            </w:r>
          </w:p>
        </w:tc>
        <w:tc>
          <w:tcPr>
            <w:tcW w:w="508" w:type="pct"/>
            <w:tcBorders>
              <w:tl2br w:val="nil"/>
              <w:tr2bl w:val="nil"/>
            </w:tcBorders>
            <w:shd w:val="clear" w:color="auto" w:fill="auto"/>
            <w:vAlign w:val="center"/>
          </w:tcPr>
          <w:p w14:paraId="53010C9D">
            <w:pPr>
              <w:pStyle w:val="3127"/>
              <w:rPr>
                <w:rFonts w:eastAsia="Times New Roman"/>
                <w:color w:val="auto"/>
                <w:lang w:eastAsia="en-US"/>
              </w:rPr>
            </w:pPr>
            <w:r>
              <w:rPr>
                <w:rFonts w:eastAsia="Times New Roman"/>
                <w:color w:val="auto"/>
                <w:lang w:eastAsia="en-US"/>
              </w:rPr>
              <w:t>氨氮</w:t>
            </w:r>
          </w:p>
        </w:tc>
        <w:tc>
          <w:tcPr>
            <w:tcW w:w="835" w:type="pct"/>
            <w:tcBorders>
              <w:tl2br w:val="nil"/>
              <w:tr2bl w:val="nil"/>
            </w:tcBorders>
            <w:shd w:val="clear" w:color="auto" w:fill="auto"/>
            <w:vAlign w:val="center"/>
          </w:tcPr>
          <w:p w14:paraId="5ECCF016">
            <w:pPr>
              <w:pStyle w:val="3127"/>
              <w:rPr>
                <w:rFonts w:eastAsia="Times New Roman"/>
                <w:color w:val="auto"/>
                <w:lang w:eastAsia="en-US"/>
              </w:rPr>
            </w:pPr>
            <w:r>
              <w:rPr>
                <w:rFonts w:eastAsia="Times New Roman"/>
                <w:color w:val="auto"/>
                <w:lang w:eastAsia="en-US"/>
              </w:rPr>
              <w:t>90</w:t>
            </w:r>
          </w:p>
        </w:tc>
        <w:tc>
          <w:tcPr>
            <w:tcW w:w="835" w:type="pct"/>
            <w:tcBorders>
              <w:tl2br w:val="nil"/>
              <w:tr2bl w:val="nil"/>
            </w:tcBorders>
            <w:shd w:val="clear" w:color="auto" w:fill="auto"/>
            <w:vAlign w:val="center"/>
          </w:tcPr>
          <w:p w14:paraId="32A2EB1C">
            <w:pPr>
              <w:pStyle w:val="3127"/>
              <w:rPr>
                <w:rFonts w:hint="default" w:eastAsia="宋体"/>
                <w:color w:val="auto"/>
                <w:lang w:val="en-US" w:eastAsia="zh-CN"/>
              </w:rPr>
            </w:pPr>
            <w:r>
              <w:rPr>
                <w:rFonts w:hint="eastAsia"/>
                <w:color w:val="auto"/>
                <w:lang w:val="en-US" w:eastAsia="zh-CN"/>
              </w:rPr>
              <w:t>100</w:t>
            </w:r>
          </w:p>
        </w:tc>
        <w:tc>
          <w:tcPr>
            <w:tcW w:w="835" w:type="pct"/>
            <w:tcBorders>
              <w:tl2br w:val="nil"/>
              <w:tr2bl w:val="nil"/>
            </w:tcBorders>
            <w:shd w:val="clear" w:color="auto" w:fill="auto"/>
            <w:vAlign w:val="center"/>
          </w:tcPr>
          <w:p w14:paraId="334C5D20">
            <w:pPr>
              <w:pStyle w:val="3127"/>
              <w:rPr>
                <w:rFonts w:eastAsia="Times New Roman"/>
                <w:color w:val="auto"/>
                <w:lang w:eastAsia="en-US"/>
              </w:rPr>
            </w:pPr>
            <w:r>
              <w:rPr>
                <w:rFonts w:hint="eastAsia" w:eastAsia="Times New Roman"/>
                <w:color w:val="auto"/>
                <w:lang w:eastAsia="en-US"/>
              </w:rPr>
              <w:t>80</w:t>
            </w:r>
          </w:p>
        </w:tc>
        <w:tc>
          <w:tcPr>
            <w:tcW w:w="835" w:type="pct"/>
            <w:tcBorders>
              <w:tl2br w:val="nil"/>
              <w:tr2bl w:val="nil"/>
            </w:tcBorders>
            <w:shd w:val="clear" w:color="auto" w:fill="auto"/>
            <w:vAlign w:val="center"/>
          </w:tcPr>
          <w:p w14:paraId="507D90B1">
            <w:pPr>
              <w:pStyle w:val="3127"/>
              <w:rPr>
                <w:rFonts w:eastAsia="Times New Roman"/>
                <w:color w:val="auto"/>
                <w:lang w:eastAsia="en-US"/>
              </w:rPr>
            </w:pPr>
            <w:r>
              <w:rPr>
                <w:rFonts w:hint="eastAsia" w:eastAsia="Times New Roman"/>
                <w:color w:val="auto"/>
                <w:lang w:eastAsia="en-US"/>
              </w:rPr>
              <w:t>90</w:t>
            </w:r>
          </w:p>
        </w:tc>
        <w:tc>
          <w:tcPr>
            <w:tcW w:w="837" w:type="pct"/>
            <w:tcBorders>
              <w:tl2br w:val="nil"/>
              <w:tr2bl w:val="nil"/>
            </w:tcBorders>
            <w:shd w:val="clear" w:color="auto" w:fill="auto"/>
            <w:vAlign w:val="center"/>
          </w:tcPr>
          <w:p w14:paraId="0F8C8516">
            <w:pPr>
              <w:pStyle w:val="3127"/>
              <w:rPr>
                <w:rFonts w:eastAsia="Times New Roman"/>
                <w:color w:val="auto"/>
                <w:lang w:eastAsia="en-US"/>
              </w:rPr>
            </w:pPr>
            <w:r>
              <w:rPr>
                <w:rFonts w:hint="eastAsia" w:eastAsia="Times New Roman"/>
                <w:color w:val="auto"/>
                <w:lang w:eastAsia="en-US"/>
              </w:rPr>
              <w:t>60</w:t>
            </w:r>
          </w:p>
        </w:tc>
      </w:tr>
      <w:tr w14:paraId="5A9259D7">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11" w:type="pct"/>
            <w:tcBorders>
              <w:tl2br w:val="nil"/>
              <w:tr2bl w:val="nil"/>
            </w:tcBorders>
            <w:vAlign w:val="center"/>
          </w:tcPr>
          <w:p w14:paraId="2D49A2B4">
            <w:pPr>
              <w:pStyle w:val="3127"/>
              <w:rPr>
                <w:rFonts w:eastAsia="Times New Roman"/>
                <w:color w:val="auto"/>
                <w:lang w:eastAsia="en-US"/>
              </w:rPr>
            </w:pPr>
            <w:r>
              <w:rPr>
                <w:rFonts w:eastAsia="Times New Roman"/>
                <w:color w:val="auto"/>
                <w:lang w:eastAsia="en-US"/>
              </w:rPr>
              <w:t>6</w:t>
            </w:r>
          </w:p>
        </w:tc>
        <w:tc>
          <w:tcPr>
            <w:tcW w:w="508" w:type="pct"/>
            <w:tcBorders>
              <w:tl2br w:val="nil"/>
              <w:tr2bl w:val="nil"/>
            </w:tcBorders>
            <w:shd w:val="clear" w:color="auto" w:fill="auto"/>
            <w:vAlign w:val="center"/>
          </w:tcPr>
          <w:p w14:paraId="6ACAAB9E">
            <w:pPr>
              <w:pStyle w:val="3127"/>
              <w:rPr>
                <w:rFonts w:eastAsia="Times New Roman"/>
                <w:color w:val="auto"/>
                <w:lang w:eastAsia="en-US"/>
              </w:rPr>
            </w:pPr>
            <w:r>
              <w:rPr>
                <w:rFonts w:eastAsia="Times New Roman"/>
                <w:color w:val="auto"/>
                <w:lang w:eastAsia="en-US"/>
              </w:rPr>
              <w:t>石油类</w:t>
            </w:r>
          </w:p>
        </w:tc>
        <w:tc>
          <w:tcPr>
            <w:tcW w:w="835" w:type="pct"/>
            <w:tcBorders>
              <w:tl2br w:val="nil"/>
              <w:tr2bl w:val="nil"/>
            </w:tcBorders>
            <w:shd w:val="clear" w:color="auto" w:fill="auto"/>
            <w:vAlign w:val="center"/>
          </w:tcPr>
          <w:p w14:paraId="560791C5">
            <w:pPr>
              <w:pStyle w:val="3127"/>
              <w:rPr>
                <w:rFonts w:eastAsia="Times New Roman"/>
                <w:color w:val="auto"/>
                <w:lang w:eastAsia="en-US"/>
              </w:rPr>
            </w:pPr>
            <w:r>
              <w:rPr>
                <w:rFonts w:eastAsia="Times New Roman"/>
                <w:color w:val="auto"/>
                <w:lang w:eastAsia="en-US"/>
              </w:rPr>
              <w:t>100</w:t>
            </w:r>
          </w:p>
        </w:tc>
        <w:tc>
          <w:tcPr>
            <w:tcW w:w="835" w:type="pct"/>
            <w:tcBorders>
              <w:tl2br w:val="nil"/>
              <w:tr2bl w:val="nil"/>
            </w:tcBorders>
            <w:shd w:val="clear" w:color="auto" w:fill="auto"/>
            <w:vAlign w:val="center"/>
          </w:tcPr>
          <w:p w14:paraId="2FB3F68D">
            <w:pPr>
              <w:pStyle w:val="3127"/>
              <w:rPr>
                <w:rFonts w:hint="default" w:eastAsia="宋体"/>
                <w:color w:val="auto"/>
                <w:lang w:val="en-US" w:eastAsia="zh-CN"/>
              </w:rPr>
            </w:pPr>
            <w:r>
              <w:rPr>
                <w:rFonts w:hint="eastAsia"/>
                <w:color w:val="auto"/>
                <w:lang w:val="en-US" w:eastAsia="zh-CN"/>
              </w:rPr>
              <w:t>50</w:t>
            </w:r>
          </w:p>
        </w:tc>
        <w:tc>
          <w:tcPr>
            <w:tcW w:w="835" w:type="pct"/>
            <w:tcBorders>
              <w:tl2br w:val="nil"/>
              <w:tr2bl w:val="nil"/>
            </w:tcBorders>
            <w:shd w:val="clear" w:color="auto" w:fill="auto"/>
            <w:vAlign w:val="center"/>
          </w:tcPr>
          <w:p w14:paraId="04CDC4F1">
            <w:pPr>
              <w:pStyle w:val="3127"/>
              <w:rPr>
                <w:rFonts w:eastAsia="Times New Roman"/>
                <w:color w:val="auto"/>
                <w:lang w:eastAsia="en-US"/>
              </w:rPr>
            </w:pPr>
            <w:r>
              <w:rPr>
                <w:rFonts w:hint="eastAsia" w:eastAsia="Times New Roman"/>
                <w:color w:val="auto"/>
                <w:lang w:eastAsia="en-US"/>
              </w:rPr>
              <w:t>15</w:t>
            </w:r>
          </w:p>
        </w:tc>
        <w:tc>
          <w:tcPr>
            <w:tcW w:w="835" w:type="pct"/>
            <w:tcBorders>
              <w:tl2br w:val="nil"/>
              <w:tr2bl w:val="nil"/>
            </w:tcBorders>
            <w:shd w:val="clear" w:color="auto" w:fill="auto"/>
            <w:vAlign w:val="center"/>
          </w:tcPr>
          <w:p w14:paraId="1CADD6D9">
            <w:pPr>
              <w:pStyle w:val="3127"/>
              <w:rPr>
                <w:rFonts w:eastAsia="Times New Roman"/>
                <w:color w:val="auto"/>
                <w:lang w:eastAsia="en-US"/>
              </w:rPr>
            </w:pPr>
            <w:r>
              <w:rPr>
                <w:rFonts w:hint="eastAsia" w:eastAsia="Times New Roman"/>
                <w:color w:val="auto"/>
                <w:lang w:eastAsia="en-US"/>
              </w:rPr>
              <w:t>/</w:t>
            </w:r>
          </w:p>
        </w:tc>
        <w:tc>
          <w:tcPr>
            <w:tcW w:w="837" w:type="pct"/>
            <w:tcBorders>
              <w:tl2br w:val="nil"/>
              <w:tr2bl w:val="nil"/>
            </w:tcBorders>
            <w:shd w:val="clear" w:color="auto" w:fill="auto"/>
            <w:vAlign w:val="center"/>
          </w:tcPr>
          <w:p w14:paraId="618E3E86">
            <w:pPr>
              <w:pStyle w:val="3127"/>
              <w:rPr>
                <w:rFonts w:eastAsia="Times New Roman"/>
                <w:color w:val="auto"/>
                <w:lang w:eastAsia="en-US"/>
              </w:rPr>
            </w:pPr>
            <w:r>
              <w:rPr>
                <w:rFonts w:hint="eastAsia" w:eastAsia="Times New Roman"/>
                <w:color w:val="auto"/>
                <w:lang w:eastAsia="en-US"/>
              </w:rPr>
              <w:t>100</w:t>
            </w:r>
          </w:p>
        </w:tc>
      </w:tr>
      <w:tr w14:paraId="67F864E7">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11" w:type="pct"/>
            <w:tcBorders>
              <w:tl2br w:val="nil"/>
              <w:tr2bl w:val="nil"/>
            </w:tcBorders>
            <w:vAlign w:val="center"/>
          </w:tcPr>
          <w:p w14:paraId="1A671039">
            <w:pPr>
              <w:pStyle w:val="3127"/>
              <w:rPr>
                <w:rFonts w:eastAsia="Times New Roman"/>
                <w:color w:val="auto"/>
                <w:lang w:eastAsia="en-US"/>
              </w:rPr>
            </w:pPr>
            <w:r>
              <w:rPr>
                <w:rFonts w:eastAsia="Times New Roman"/>
                <w:color w:val="auto"/>
                <w:lang w:eastAsia="en-US"/>
              </w:rPr>
              <w:t>7</w:t>
            </w:r>
          </w:p>
        </w:tc>
        <w:tc>
          <w:tcPr>
            <w:tcW w:w="508" w:type="pct"/>
            <w:tcBorders>
              <w:tl2br w:val="nil"/>
              <w:tr2bl w:val="nil"/>
            </w:tcBorders>
            <w:shd w:val="clear" w:color="auto" w:fill="auto"/>
            <w:vAlign w:val="center"/>
          </w:tcPr>
          <w:p w14:paraId="17184D1F">
            <w:pPr>
              <w:pStyle w:val="3127"/>
              <w:rPr>
                <w:rFonts w:eastAsia="Times New Roman"/>
                <w:color w:val="auto"/>
                <w:lang w:eastAsia="en-US"/>
              </w:rPr>
            </w:pPr>
            <w:r>
              <w:rPr>
                <w:rFonts w:eastAsia="Times New Roman"/>
                <w:color w:val="auto"/>
                <w:lang w:eastAsia="en-US"/>
              </w:rPr>
              <w:t>悬浮物</w:t>
            </w:r>
          </w:p>
        </w:tc>
        <w:tc>
          <w:tcPr>
            <w:tcW w:w="835" w:type="pct"/>
            <w:tcBorders>
              <w:tl2br w:val="nil"/>
              <w:tr2bl w:val="nil"/>
            </w:tcBorders>
            <w:shd w:val="clear" w:color="auto" w:fill="auto"/>
            <w:vAlign w:val="center"/>
          </w:tcPr>
          <w:p w14:paraId="7229A9E4">
            <w:pPr>
              <w:pStyle w:val="3127"/>
              <w:rPr>
                <w:rFonts w:eastAsia="Times New Roman"/>
                <w:color w:val="auto"/>
                <w:lang w:eastAsia="en-US"/>
              </w:rPr>
            </w:pPr>
            <w:r>
              <w:rPr>
                <w:rFonts w:eastAsia="Times New Roman"/>
                <w:color w:val="auto"/>
                <w:lang w:eastAsia="en-US"/>
              </w:rPr>
              <w:t>3000</w:t>
            </w:r>
          </w:p>
        </w:tc>
        <w:tc>
          <w:tcPr>
            <w:tcW w:w="835" w:type="pct"/>
            <w:tcBorders>
              <w:tl2br w:val="nil"/>
              <w:tr2bl w:val="nil"/>
            </w:tcBorders>
            <w:shd w:val="clear" w:color="auto" w:fill="auto"/>
            <w:vAlign w:val="center"/>
          </w:tcPr>
          <w:p w14:paraId="020A52CC">
            <w:pPr>
              <w:pStyle w:val="3127"/>
              <w:rPr>
                <w:rFonts w:hint="default" w:eastAsia="宋体"/>
                <w:color w:val="auto"/>
                <w:lang w:val="en-US" w:eastAsia="zh-CN"/>
              </w:rPr>
            </w:pPr>
            <w:r>
              <w:rPr>
                <w:rFonts w:hint="eastAsia"/>
                <w:color w:val="auto"/>
                <w:lang w:val="en-US" w:eastAsia="zh-CN"/>
              </w:rPr>
              <w:t>500</w:t>
            </w:r>
          </w:p>
        </w:tc>
        <w:tc>
          <w:tcPr>
            <w:tcW w:w="835" w:type="pct"/>
            <w:tcBorders>
              <w:tl2br w:val="nil"/>
              <w:tr2bl w:val="nil"/>
            </w:tcBorders>
            <w:shd w:val="clear" w:color="auto" w:fill="auto"/>
            <w:vAlign w:val="center"/>
          </w:tcPr>
          <w:p w14:paraId="343F4BB1">
            <w:pPr>
              <w:pStyle w:val="3127"/>
              <w:rPr>
                <w:rFonts w:eastAsia="Times New Roman"/>
                <w:color w:val="auto"/>
                <w:lang w:eastAsia="en-US"/>
              </w:rPr>
            </w:pPr>
            <w:r>
              <w:rPr>
                <w:rFonts w:hint="eastAsia" w:eastAsia="Times New Roman"/>
                <w:color w:val="auto"/>
                <w:lang w:eastAsia="en-US"/>
              </w:rPr>
              <w:t>500</w:t>
            </w:r>
          </w:p>
        </w:tc>
        <w:tc>
          <w:tcPr>
            <w:tcW w:w="835" w:type="pct"/>
            <w:tcBorders>
              <w:tl2br w:val="nil"/>
              <w:tr2bl w:val="nil"/>
            </w:tcBorders>
            <w:shd w:val="clear" w:color="auto" w:fill="auto"/>
            <w:vAlign w:val="center"/>
          </w:tcPr>
          <w:p w14:paraId="66390368">
            <w:pPr>
              <w:pStyle w:val="3127"/>
              <w:rPr>
                <w:rFonts w:eastAsia="Times New Roman"/>
                <w:color w:val="auto"/>
                <w:lang w:eastAsia="en-US"/>
              </w:rPr>
            </w:pPr>
            <w:r>
              <w:rPr>
                <w:rFonts w:hint="eastAsia" w:eastAsia="Times New Roman"/>
                <w:color w:val="auto"/>
                <w:lang w:eastAsia="en-US"/>
              </w:rPr>
              <w:t>3000</w:t>
            </w:r>
          </w:p>
        </w:tc>
        <w:tc>
          <w:tcPr>
            <w:tcW w:w="837" w:type="pct"/>
            <w:tcBorders>
              <w:tl2br w:val="nil"/>
              <w:tr2bl w:val="nil"/>
            </w:tcBorders>
            <w:shd w:val="clear" w:color="auto" w:fill="auto"/>
            <w:vAlign w:val="center"/>
          </w:tcPr>
          <w:p w14:paraId="1E304341">
            <w:pPr>
              <w:pStyle w:val="3127"/>
              <w:rPr>
                <w:rFonts w:eastAsia="Times New Roman"/>
                <w:color w:val="auto"/>
                <w:lang w:eastAsia="en-US"/>
              </w:rPr>
            </w:pPr>
            <w:r>
              <w:rPr>
                <w:rFonts w:hint="eastAsia" w:eastAsia="Times New Roman"/>
                <w:color w:val="auto"/>
                <w:lang w:eastAsia="en-US"/>
              </w:rPr>
              <w:t>3000</w:t>
            </w:r>
          </w:p>
        </w:tc>
      </w:tr>
      <w:tr w14:paraId="74504830">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11" w:type="pct"/>
            <w:tcBorders>
              <w:tl2br w:val="nil"/>
              <w:tr2bl w:val="nil"/>
            </w:tcBorders>
            <w:vAlign w:val="center"/>
          </w:tcPr>
          <w:p w14:paraId="55A3329B">
            <w:pPr>
              <w:pStyle w:val="3127"/>
              <w:rPr>
                <w:rFonts w:eastAsia="Times New Roman"/>
                <w:color w:val="auto"/>
                <w:lang w:eastAsia="en-US"/>
              </w:rPr>
            </w:pPr>
            <w:r>
              <w:rPr>
                <w:rFonts w:eastAsia="Times New Roman"/>
                <w:color w:val="auto"/>
                <w:lang w:eastAsia="en-US"/>
              </w:rPr>
              <w:t>8</w:t>
            </w:r>
          </w:p>
        </w:tc>
        <w:tc>
          <w:tcPr>
            <w:tcW w:w="508" w:type="pct"/>
            <w:tcBorders>
              <w:tl2br w:val="nil"/>
              <w:tr2bl w:val="nil"/>
            </w:tcBorders>
            <w:shd w:val="clear" w:color="auto" w:fill="auto"/>
            <w:vAlign w:val="center"/>
          </w:tcPr>
          <w:p w14:paraId="325E4E1B">
            <w:pPr>
              <w:pStyle w:val="3127"/>
              <w:rPr>
                <w:rFonts w:eastAsia="Times New Roman"/>
                <w:color w:val="auto"/>
                <w:lang w:eastAsia="en-US"/>
              </w:rPr>
            </w:pPr>
            <w:r>
              <w:rPr>
                <w:rFonts w:eastAsia="Times New Roman"/>
                <w:color w:val="auto"/>
                <w:lang w:eastAsia="en-US"/>
              </w:rPr>
              <w:t>挥发酚</w:t>
            </w:r>
          </w:p>
        </w:tc>
        <w:tc>
          <w:tcPr>
            <w:tcW w:w="835" w:type="pct"/>
            <w:tcBorders>
              <w:tl2br w:val="nil"/>
              <w:tr2bl w:val="nil"/>
            </w:tcBorders>
            <w:shd w:val="clear" w:color="auto" w:fill="auto"/>
            <w:vAlign w:val="center"/>
          </w:tcPr>
          <w:p w14:paraId="19811E8C">
            <w:pPr>
              <w:pStyle w:val="3127"/>
              <w:rPr>
                <w:rFonts w:eastAsia="Times New Roman"/>
                <w:color w:val="auto"/>
                <w:lang w:eastAsia="en-US"/>
              </w:rPr>
            </w:pPr>
            <w:r>
              <w:rPr>
                <w:rFonts w:eastAsia="Times New Roman"/>
                <w:color w:val="auto"/>
                <w:lang w:eastAsia="en-US"/>
              </w:rPr>
              <w:t>5</w:t>
            </w:r>
          </w:p>
        </w:tc>
        <w:tc>
          <w:tcPr>
            <w:tcW w:w="835" w:type="pct"/>
            <w:tcBorders>
              <w:tl2br w:val="nil"/>
              <w:tr2bl w:val="nil"/>
            </w:tcBorders>
            <w:shd w:val="clear" w:color="auto" w:fill="auto"/>
            <w:vAlign w:val="center"/>
          </w:tcPr>
          <w:p w14:paraId="5B86523F">
            <w:pPr>
              <w:pStyle w:val="3127"/>
              <w:rPr>
                <w:rFonts w:hint="eastAsia" w:eastAsia="宋体"/>
                <w:color w:val="auto"/>
                <w:lang w:val="en-US" w:eastAsia="zh-CN"/>
              </w:rPr>
            </w:pPr>
            <w:r>
              <w:rPr>
                <w:rFonts w:hint="eastAsia"/>
                <w:color w:val="auto"/>
                <w:lang w:val="en-US" w:eastAsia="zh-CN"/>
              </w:rPr>
              <w:t>5</w:t>
            </w:r>
          </w:p>
        </w:tc>
        <w:tc>
          <w:tcPr>
            <w:tcW w:w="835" w:type="pct"/>
            <w:tcBorders>
              <w:tl2br w:val="nil"/>
              <w:tr2bl w:val="nil"/>
            </w:tcBorders>
            <w:shd w:val="clear" w:color="auto" w:fill="auto"/>
            <w:vAlign w:val="center"/>
          </w:tcPr>
          <w:p w14:paraId="5820DCFF">
            <w:pPr>
              <w:pStyle w:val="3127"/>
              <w:rPr>
                <w:rFonts w:eastAsia="Times New Roman"/>
                <w:color w:val="auto"/>
                <w:lang w:eastAsia="en-US"/>
              </w:rPr>
            </w:pPr>
            <w:r>
              <w:rPr>
                <w:rFonts w:hint="eastAsia" w:eastAsia="Times New Roman"/>
                <w:color w:val="auto"/>
                <w:lang w:eastAsia="en-US"/>
              </w:rPr>
              <w:t>5.0</w:t>
            </w:r>
          </w:p>
        </w:tc>
        <w:tc>
          <w:tcPr>
            <w:tcW w:w="835" w:type="pct"/>
            <w:tcBorders>
              <w:tl2br w:val="nil"/>
              <w:tr2bl w:val="nil"/>
            </w:tcBorders>
            <w:shd w:val="clear" w:color="auto" w:fill="auto"/>
            <w:vAlign w:val="center"/>
          </w:tcPr>
          <w:p w14:paraId="03AA09B1">
            <w:pPr>
              <w:pStyle w:val="3127"/>
              <w:rPr>
                <w:rFonts w:eastAsia="Times New Roman"/>
                <w:color w:val="auto"/>
                <w:lang w:eastAsia="en-US"/>
              </w:rPr>
            </w:pPr>
            <w:r>
              <w:rPr>
                <w:rFonts w:hint="eastAsia" w:eastAsia="Times New Roman"/>
                <w:color w:val="auto"/>
                <w:lang w:eastAsia="en-US"/>
              </w:rPr>
              <w:t>/</w:t>
            </w:r>
          </w:p>
        </w:tc>
        <w:tc>
          <w:tcPr>
            <w:tcW w:w="837" w:type="pct"/>
            <w:tcBorders>
              <w:tl2br w:val="nil"/>
              <w:tr2bl w:val="nil"/>
            </w:tcBorders>
            <w:shd w:val="clear" w:color="auto" w:fill="auto"/>
            <w:vAlign w:val="center"/>
          </w:tcPr>
          <w:p w14:paraId="4BD28A2D">
            <w:pPr>
              <w:pStyle w:val="3127"/>
              <w:rPr>
                <w:rFonts w:eastAsia="Times New Roman"/>
                <w:color w:val="auto"/>
                <w:lang w:eastAsia="en-US"/>
              </w:rPr>
            </w:pPr>
            <w:r>
              <w:rPr>
                <w:rFonts w:hint="eastAsia" w:eastAsia="Times New Roman"/>
                <w:color w:val="auto"/>
                <w:lang w:eastAsia="en-US"/>
              </w:rPr>
              <w:t>/</w:t>
            </w:r>
          </w:p>
        </w:tc>
      </w:tr>
      <w:tr w14:paraId="1AA6A299">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11" w:type="pct"/>
            <w:tcBorders>
              <w:tl2br w:val="nil"/>
              <w:tr2bl w:val="nil"/>
            </w:tcBorders>
            <w:vAlign w:val="center"/>
          </w:tcPr>
          <w:p w14:paraId="06AF251B">
            <w:pPr>
              <w:pStyle w:val="3127"/>
              <w:rPr>
                <w:rFonts w:eastAsia="Times New Roman"/>
                <w:color w:val="auto"/>
                <w:lang w:eastAsia="en-US"/>
              </w:rPr>
            </w:pPr>
            <w:r>
              <w:rPr>
                <w:rFonts w:eastAsia="Times New Roman"/>
                <w:color w:val="auto"/>
                <w:lang w:eastAsia="en-US"/>
              </w:rPr>
              <w:t>9</w:t>
            </w:r>
          </w:p>
        </w:tc>
        <w:tc>
          <w:tcPr>
            <w:tcW w:w="508" w:type="pct"/>
            <w:tcBorders>
              <w:tl2br w:val="nil"/>
              <w:tr2bl w:val="nil"/>
            </w:tcBorders>
            <w:shd w:val="clear" w:color="auto" w:fill="auto"/>
            <w:vAlign w:val="center"/>
          </w:tcPr>
          <w:p w14:paraId="277F8E4E">
            <w:pPr>
              <w:pStyle w:val="3127"/>
              <w:rPr>
                <w:rFonts w:eastAsia="Times New Roman"/>
                <w:color w:val="auto"/>
                <w:lang w:eastAsia="en-US"/>
              </w:rPr>
            </w:pPr>
            <w:r>
              <w:rPr>
                <w:rFonts w:eastAsia="Times New Roman"/>
                <w:color w:val="auto"/>
                <w:lang w:eastAsia="en-US"/>
              </w:rPr>
              <w:t>硫化物</w:t>
            </w:r>
          </w:p>
        </w:tc>
        <w:tc>
          <w:tcPr>
            <w:tcW w:w="835" w:type="pct"/>
            <w:tcBorders>
              <w:tl2br w:val="nil"/>
              <w:tr2bl w:val="nil"/>
            </w:tcBorders>
            <w:shd w:val="clear" w:color="auto" w:fill="auto"/>
            <w:vAlign w:val="center"/>
          </w:tcPr>
          <w:p w14:paraId="00808B87">
            <w:pPr>
              <w:pStyle w:val="3127"/>
              <w:rPr>
                <w:rFonts w:eastAsia="Times New Roman"/>
                <w:color w:val="auto"/>
                <w:lang w:eastAsia="en-US"/>
              </w:rPr>
            </w:pPr>
            <w:r>
              <w:rPr>
                <w:rFonts w:eastAsia="Times New Roman"/>
                <w:color w:val="auto"/>
                <w:lang w:eastAsia="en-US"/>
              </w:rPr>
              <w:t>2</w:t>
            </w:r>
          </w:p>
        </w:tc>
        <w:tc>
          <w:tcPr>
            <w:tcW w:w="835" w:type="pct"/>
            <w:tcBorders>
              <w:tl2br w:val="nil"/>
              <w:tr2bl w:val="nil"/>
            </w:tcBorders>
            <w:shd w:val="clear" w:color="auto" w:fill="auto"/>
            <w:vAlign w:val="center"/>
          </w:tcPr>
          <w:p w14:paraId="067D2F1A">
            <w:pPr>
              <w:pStyle w:val="3127"/>
              <w:rPr>
                <w:rFonts w:hint="eastAsia" w:eastAsia="宋体"/>
                <w:color w:val="auto"/>
                <w:lang w:val="en-US" w:eastAsia="zh-CN"/>
              </w:rPr>
            </w:pPr>
            <w:r>
              <w:rPr>
                <w:rFonts w:hint="eastAsia"/>
                <w:color w:val="auto"/>
                <w:lang w:val="en-US" w:eastAsia="zh-CN"/>
              </w:rPr>
              <w:t>5</w:t>
            </w:r>
          </w:p>
        </w:tc>
        <w:tc>
          <w:tcPr>
            <w:tcW w:w="835" w:type="pct"/>
            <w:tcBorders>
              <w:tl2br w:val="nil"/>
              <w:tr2bl w:val="nil"/>
            </w:tcBorders>
            <w:shd w:val="clear" w:color="auto" w:fill="auto"/>
            <w:vAlign w:val="center"/>
          </w:tcPr>
          <w:p w14:paraId="4297B121">
            <w:pPr>
              <w:pStyle w:val="3127"/>
              <w:rPr>
                <w:rFonts w:eastAsia="Times New Roman"/>
                <w:color w:val="auto"/>
                <w:lang w:eastAsia="en-US"/>
              </w:rPr>
            </w:pPr>
            <w:r>
              <w:rPr>
                <w:rFonts w:hint="eastAsia" w:eastAsia="Times New Roman"/>
                <w:color w:val="auto"/>
                <w:lang w:eastAsia="en-US"/>
              </w:rPr>
              <w:t>/</w:t>
            </w:r>
          </w:p>
        </w:tc>
        <w:tc>
          <w:tcPr>
            <w:tcW w:w="835" w:type="pct"/>
            <w:tcBorders>
              <w:tl2br w:val="nil"/>
              <w:tr2bl w:val="nil"/>
            </w:tcBorders>
            <w:shd w:val="clear" w:color="auto" w:fill="auto"/>
            <w:vAlign w:val="center"/>
          </w:tcPr>
          <w:p w14:paraId="346D24B4">
            <w:pPr>
              <w:pStyle w:val="3127"/>
              <w:rPr>
                <w:rFonts w:eastAsia="Times New Roman"/>
                <w:color w:val="auto"/>
                <w:lang w:eastAsia="en-US"/>
              </w:rPr>
            </w:pPr>
            <w:r>
              <w:rPr>
                <w:rFonts w:hint="eastAsia" w:eastAsia="Times New Roman"/>
                <w:color w:val="auto"/>
                <w:lang w:eastAsia="en-US"/>
              </w:rPr>
              <w:t>/</w:t>
            </w:r>
          </w:p>
        </w:tc>
        <w:tc>
          <w:tcPr>
            <w:tcW w:w="837" w:type="pct"/>
            <w:tcBorders>
              <w:tl2br w:val="nil"/>
              <w:tr2bl w:val="nil"/>
            </w:tcBorders>
            <w:shd w:val="clear" w:color="auto" w:fill="auto"/>
            <w:vAlign w:val="center"/>
          </w:tcPr>
          <w:p w14:paraId="3EBAF56F">
            <w:pPr>
              <w:pStyle w:val="3127"/>
              <w:rPr>
                <w:rFonts w:eastAsia="Times New Roman"/>
                <w:color w:val="auto"/>
                <w:lang w:eastAsia="en-US"/>
              </w:rPr>
            </w:pPr>
            <w:r>
              <w:rPr>
                <w:rFonts w:hint="eastAsia" w:eastAsia="Times New Roman"/>
                <w:color w:val="auto"/>
                <w:lang w:eastAsia="en-US"/>
              </w:rPr>
              <w:t>/</w:t>
            </w:r>
          </w:p>
        </w:tc>
      </w:tr>
      <w:tr w14:paraId="6362880F">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11" w:type="pct"/>
            <w:tcBorders>
              <w:tl2br w:val="nil"/>
              <w:tr2bl w:val="nil"/>
            </w:tcBorders>
            <w:vAlign w:val="center"/>
          </w:tcPr>
          <w:p w14:paraId="7ADAC30D">
            <w:pPr>
              <w:pStyle w:val="3127"/>
              <w:rPr>
                <w:rFonts w:eastAsia="Times New Roman"/>
                <w:color w:val="auto"/>
                <w:lang w:eastAsia="en-US"/>
              </w:rPr>
            </w:pPr>
            <w:r>
              <w:rPr>
                <w:rFonts w:eastAsia="Times New Roman"/>
                <w:color w:val="auto"/>
                <w:lang w:eastAsia="en-US"/>
              </w:rPr>
              <w:t>10</w:t>
            </w:r>
          </w:p>
        </w:tc>
        <w:tc>
          <w:tcPr>
            <w:tcW w:w="508" w:type="pct"/>
            <w:tcBorders>
              <w:tl2br w:val="nil"/>
              <w:tr2bl w:val="nil"/>
            </w:tcBorders>
            <w:shd w:val="clear" w:color="auto" w:fill="auto"/>
            <w:vAlign w:val="center"/>
          </w:tcPr>
          <w:p w14:paraId="5AA1C1C4">
            <w:pPr>
              <w:pStyle w:val="3127"/>
              <w:rPr>
                <w:rFonts w:eastAsia="Times New Roman"/>
                <w:color w:val="auto"/>
                <w:lang w:eastAsia="en-US"/>
              </w:rPr>
            </w:pPr>
            <w:r>
              <w:rPr>
                <w:rFonts w:eastAsia="Times New Roman"/>
                <w:color w:val="auto"/>
                <w:lang w:eastAsia="en-US"/>
              </w:rPr>
              <w:t>氯化物</w:t>
            </w:r>
          </w:p>
        </w:tc>
        <w:tc>
          <w:tcPr>
            <w:tcW w:w="835" w:type="pct"/>
            <w:tcBorders>
              <w:tl2br w:val="nil"/>
              <w:tr2bl w:val="nil"/>
            </w:tcBorders>
            <w:shd w:val="clear" w:color="auto" w:fill="auto"/>
            <w:vAlign w:val="center"/>
          </w:tcPr>
          <w:p w14:paraId="60EAF792">
            <w:pPr>
              <w:pStyle w:val="3127"/>
              <w:rPr>
                <w:rFonts w:eastAsia="Times New Roman"/>
                <w:color w:val="auto"/>
                <w:lang w:eastAsia="en-US"/>
              </w:rPr>
            </w:pPr>
            <w:r>
              <w:rPr>
                <w:rFonts w:eastAsia="Times New Roman"/>
                <w:color w:val="auto"/>
                <w:lang w:eastAsia="en-US"/>
              </w:rPr>
              <w:t>20000</w:t>
            </w:r>
          </w:p>
        </w:tc>
        <w:tc>
          <w:tcPr>
            <w:tcW w:w="835" w:type="pct"/>
            <w:tcBorders>
              <w:tl2br w:val="nil"/>
              <w:tr2bl w:val="nil"/>
            </w:tcBorders>
            <w:shd w:val="clear" w:color="auto" w:fill="auto"/>
            <w:vAlign w:val="center"/>
          </w:tcPr>
          <w:p w14:paraId="08047B52">
            <w:pPr>
              <w:pStyle w:val="3127"/>
              <w:rPr>
                <w:rFonts w:hint="default" w:eastAsia="宋体"/>
                <w:color w:val="auto"/>
                <w:lang w:val="en-US" w:eastAsia="zh-CN"/>
              </w:rPr>
            </w:pPr>
            <w:r>
              <w:rPr>
                <w:rFonts w:hint="eastAsia"/>
                <w:color w:val="auto"/>
                <w:lang w:val="en-US" w:eastAsia="zh-CN"/>
              </w:rPr>
              <w:t>20000</w:t>
            </w:r>
          </w:p>
        </w:tc>
        <w:tc>
          <w:tcPr>
            <w:tcW w:w="835" w:type="pct"/>
            <w:tcBorders>
              <w:tl2br w:val="nil"/>
              <w:tr2bl w:val="nil"/>
            </w:tcBorders>
            <w:shd w:val="clear" w:color="auto" w:fill="auto"/>
            <w:vAlign w:val="center"/>
          </w:tcPr>
          <w:p w14:paraId="50A01861">
            <w:pPr>
              <w:pStyle w:val="3127"/>
              <w:rPr>
                <w:rFonts w:eastAsia="Times New Roman"/>
                <w:color w:val="auto"/>
                <w:lang w:eastAsia="en-US"/>
              </w:rPr>
            </w:pPr>
            <w:r>
              <w:rPr>
                <w:rFonts w:hint="eastAsia" w:eastAsia="Times New Roman"/>
                <w:color w:val="auto"/>
                <w:lang w:eastAsia="en-US"/>
              </w:rPr>
              <w:t>15000</w:t>
            </w:r>
          </w:p>
        </w:tc>
        <w:tc>
          <w:tcPr>
            <w:tcW w:w="835" w:type="pct"/>
            <w:tcBorders>
              <w:tl2br w:val="nil"/>
              <w:tr2bl w:val="nil"/>
            </w:tcBorders>
            <w:shd w:val="clear" w:color="auto" w:fill="auto"/>
            <w:vAlign w:val="center"/>
          </w:tcPr>
          <w:p w14:paraId="544F6E07">
            <w:pPr>
              <w:pStyle w:val="3127"/>
              <w:rPr>
                <w:rFonts w:eastAsia="Times New Roman"/>
                <w:color w:val="auto"/>
                <w:lang w:eastAsia="en-US"/>
              </w:rPr>
            </w:pPr>
            <w:r>
              <w:rPr>
                <w:rFonts w:hint="eastAsia" w:eastAsia="Times New Roman"/>
                <w:color w:val="auto"/>
                <w:lang w:eastAsia="en-US"/>
              </w:rPr>
              <w:t>14000</w:t>
            </w:r>
          </w:p>
        </w:tc>
        <w:tc>
          <w:tcPr>
            <w:tcW w:w="837" w:type="pct"/>
            <w:tcBorders>
              <w:tl2br w:val="nil"/>
              <w:tr2bl w:val="nil"/>
            </w:tcBorders>
            <w:shd w:val="clear" w:color="auto" w:fill="auto"/>
            <w:vAlign w:val="center"/>
          </w:tcPr>
          <w:p w14:paraId="79181DA4">
            <w:pPr>
              <w:pStyle w:val="3127"/>
              <w:rPr>
                <w:rFonts w:eastAsia="Times New Roman"/>
                <w:color w:val="auto"/>
                <w:lang w:eastAsia="en-US"/>
              </w:rPr>
            </w:pPr>
            <w:r>
              <w:rPr>
                <w:rFonts w:hint="eastAsia" w:eastAsia="Times New Roman"/>
                <w:color w:val="auto"/>
                <w:lang w:eastAsia="en-US"/>
              </w:rPr>
              <w:t>15000</w:t>
            </w:r>
          </w:p>
        </w:tc>
      </w:tr>
      <w:tr w14:paraId="71728E20">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11" w:type="pct"/>
            <w:tcBorders>
              <w:tl2br w:val="nil"/>
              <w:tr2bl w:val="nil"/>
            </w:tcBorders>
            <w:vAlign w:val="center"/>
          </w:tcPr>
          <w:p w14:paraId="79D822D0">
            <w:pPr>
              <w:pStyle w:val="3127"/>
              <w:rPr>
                <w:rFonts w:eastAsia="Times New Roman"/>
                <w:color w:val="auto"/>
                <w:lang w:eastAsia="en-US"/>
              </w:rPr>
            </w:pPr>
            <w:r>
              <w:rPr>
                <w:rFonts w:eastAsia="Times New Roman"/>
                <w:color w:val="auto"/>
                <w:lang w:eastAsia="en-US"/>
              </w:rPr>
              <w:t>11</w:t>
            </w:r>
          </w:p>
        </w:tc>
        <w:tc>
          <w:tcPr>
            <w:tcW w:w="508" w:type="pct"/>
            <w:tcBorders>
              <w:tl2br w:val="nil"/>
              <w:tr2bl w:val="nil"/>
            </w:tcBorders>
            <w:shd w:val="clear" w:color="auto" w:fill="auto"/>
            <w:vAlign w:val="center"/>
          </w:tcPr>
          <w:p w14:paraId="4D748622">
            <w:pPr>
              <w:pStyle w:val="3127"/>
              <w:rPr>
                <w:rFonts w:eastAsia="Times New Roman"/>
                <w:color w:val="auto"/>
                <w:lang w:eastAsia="en-US"/>
              </w:rPr>
            </w:pPr>
            <w:r>
              <w:rPr>
                <w:rFonts w:eastAsia="Times New Roman"/>
                <w:color w:val="auto"/>
                <w:lang w:eastAsia="en-US"/>
              </w:rPr>
              <w:t>总氮</w:t>
            </w:r>
          </w:p>
        </w:tc>
        <w:tc>
          <w:tcPr>
            <w:tcW w:w="835" w:type="pct"/>
            <w:tcBorders>
              <w:tl2br w:val="nil"/>
              <w:tr2bl w:val="nil"/>
            </w:tcBorders>
            <w:shd w:val="clear" w:color="auto" w:fill="auto"/>
            <w:vAlign w:val="center"/>
          </w:tcPr>
          <w:p w14:paraId="6F54FD7B">
            <w:pPr>
              <w:pStyle w:val="3127"/>
              <w:rPr>
                <w:rFonts w:eastAsia="Times New Roman"/>
                <w:color w:val="auto"/>
                <w:lang w:eastAsia="en-US"/>
              </w:rPr>
            </w:pPr>
            <w:r>
              <w:rPr>
                <w:rFonts w:eastAsia="Times New Roman"/>
                <w:color w:val="auto"/>
                <w:lang w:eastAsia="en-US"/>
              </w:rPr>
              <w:t>100</w:t>
            </w:r>
          </w:p>
        </w:tc>
        <w:tc>
          <w:tcPr>
            <w:tcW w:w="835" w:type="pct"/>
            <w:tcBorders>
              <w:tl2br w:val="nil"/>
              <w:tr2bl w:val="nil"/>
            </w:tcBorders>
            <w:shd w:val="clear" w:color="auto" w:fill="auto"/>
            <w:vAlign w:val="center"/>
          </w:tcPr>
          <w:p w14:paraId="0BBCEA52">
            <w:pPr>
              <w:pStyle w:val="3127"/>
              <w:rPr>
                <w:rFonts w:hint="default" w:eastAsia="宋体"/>
                <w:color w:val="auto"/>
                <w:lang w:val="en-US" w:eastAsia="zh-CN"/>
              </w:rPr>
            </w:pPr>
            <w:r>
              <w:rPr>
                <w:rFonts w:hint="eastAsia"/>
                <w:color w:val="auto"/>
                <w:lang w:val="en-US" w:eastAsia="zh-CN"/>
              </w:rPr>
              <w:t>200</w:t>
            </w:r>
          </w:p>
        </w:tc>
        <w:tc>
          <w:tcPr>
            <w:tcW w:w="835" w:type="pct"/>
            <w:tcBorders>
              <w:tl2br w:val="nil"/>
              <w:tr2bl w:val="nil"/>
            </w:tcBorders>
            <w:shd w:val="clear" w:color="auto" w:fill="auto"/>
            <w:vAlign w:val="center"/>
          </w:tcPr>
          <w:p w14:paraId="68DF2954">
            <w:pPr>
              <w:pStyle w:val="3127"/>
              <w:rPr>
                <w:rFonts w:eastAsia="Times New Roman"/>
                <w:color w:val="auto"/>
                <w:lang w:eastAsia="en-US"/>
              </w:rPr>
            </w:pPr>
            <w:r>
              <w:rPr>
                <w:rFonts w:hint="eastAsia" w:eastAsia="Times New Roman"/>
                <w:color w:val="auto"/>
                <w:lang w:eastAsia="en-US"/>
              </w:rPr>
              <w:t>/</w:t>
            </w:r>
          </w:p>
        </w:tc>
        <w:tc>
          <w:tcPr>
            <w:tcW w:w="835" w:type="pct"/>
            <w:tcBorders>
              <w:tl2br w:val="nil"/>
              <w:tr2bl w:val="nil"/>
            </w:tcBorders>
            <w:shd w:val="clear" w:color="auto" w:fill="auto"/>
            <w:vAlign w:val="center"/>
          </w:tcPr>
          <w:p w14:paraId="69ED2F96">
            <w:pPr>
              <w:pStyle w:val="3127"/>
              <w:rPr>
                <w:rFonts w:eastAsia="Times New Roman"/>
                <w:color w:val="auto"/>
                <w:lang w:eastAsia="en-US"/>
              </w:rPr>
            </w:pPr>
            <w:r>
              <w:rPr>
                <w:rFonts w:hint="eastAsia" w:eastAsia="Times New Roman"/>
                <w:color w:val="auto"/>
                <w:lang w:eastAsia="en-US"/>
              </w:rPr>
              <w:t>/</w:t>
            </w:r>
          </w:p>
        </w:tc>
        <w:tc>
          <w:tcPr>
            <w:tcW w:w="837" w:type="pct"/>
            <w:tcBorders>
              <w:tl2br w:val="nil"/>
              <w:tr2bl w:val="nil"/>
            </w:tcBorders>
            <w:shd w:val="clear" w:color="auto" w:fill="auto"/>
            <w:vAlign w:val="center"/>
          </w:tcPr>
          <w:p w14:paraId="4A265BD2">
            <w:pPr>
              <w:pStyle w:val="3127"/>
              <w:rPr>
                <w:rFonts w:eastAsia="Times New Roman"/>
                <w:color w:val="auto"/>
                <w:lang w:eastAsia="en-US"/>
              </w:rPr>
            </w:pPr>
            <w:r>
              <w:rPr>
                <w:rFonts w:hint="eastAsia" w:eastAsia="Times New Roman"/>
                <w:color w:val="auto"/>
                <w:lang w:eastAsia="en-US"/>
              </w:rPr>
              <w:t>75</w:t>
            </w:r>
          </w:p>
        </w:tc>
      </w:tr>
      <w:tr w14:paraId="1CF6A29A">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11" w:type="pct"/>
            <w:tcBorders>
              <w:tl2br w:val="nil"/>
              <w:tr2bl w:val="nil"/>
            </w:tcBorders>
            <w:vAlign w:val="center"/>
          </w:tcPr>
          <w:p w14:paraId="3903B7D1">
            <w:pPr>
              <w:pStyle w:val="3127"/>
              <w:rPr>
                <w:rFonts w:eastAsia="Times New Roman"/>
                <w:color w:val="auto"/>
                <w:lang w:eastAsia="en-US"/>
              </w:rPr>
            </w:pPr>
            <w:r>
              <w:rPr>
                <w:rFonts w:eastAsia="Times New Roman"/>
                <w:color w:val="auto"/>
                <w:lang w:eastAsia="en-US"/>
              </w:rPr>
              <w:t>12</w:t>
            </w:r>
          </w:p>
        </w:tc>
        <w:tc>
          <w:tcPr>
            <w:tcW w:w="508" w:type="pct"/>
            <w:tcBorders>
              <w:tl2br w:val="nil"/>
              <w:tr2bl w:val="nil"/>
            </w:tcBorders>
            <w:shd w:val="clear" w:color="auto" w:fill="auto"/>
            <w:vAlign w:val="center"/>
          </w:tcPr>
          <w:p w14:paraId="1E9699FE">
            <w:pPr>
              <w:pStyle w:val="3127"/>
              <w:rPr>
                <w:rFonts w:eastAsia="Times New Roman"/>
                <w:color w:val="auto"/>
                <w:lang w:eastAsia="en-US"/>
              </w:rPr>
            </w:pPr>
            <w:r>
              <w:rPr>
                <w:rFonts w:eastAsia="Times New Roman"/>
                <w:color w:val="auto"/>
                <w:lang w:eastAsia="en-US"/>
              </w:rPr>
              <w:t>总磷</w:t>
            </w:r>
          </w:p>
        </w:tc>
        <w:tc>
          <w:tcPr>
            <w:tcW w:w="835" w:type="pct"/>
            <w:tcBorders>
              <w:tl2br w:val="nil"/>
              <w:tr2bl w:val="nil"/>
            </w:tcBorders>
            <w:shd w:val="clear" w:color="auto" w:fill="auto"/>
            <w:vAlign w:val="center"/>
          </w:tcPr>
          <w:p w14:paraId="58C6B506">
            <w:pPr>
              <w:pStyle w:val="3127"/>
              <w:rPr>
                <w:rFonts w:eastAsia="Times New Roman"/>
                <w:color w:val="auto"/>
                <w:lang w:eastAsia="en-US"/>
              </w:rPr>
            </w:pPr>
            <w:r>
              <w:rPr>
                <w:rFonts w:eastAsia="Times New Roman"/>
                <w:color w:val="auto"/>
                <w:lang w:eastAsia="en-US"/>
              </w:rPr>
              <w:t>10</w:t>
            </w:r>
          </w:p>
        </w:tc>
        <w:tc>
          <w:tcPr>
            <w:tcW w:w="835" w:type="pct"/>
            <w:tcBorders>
              <w:tl2br w:val="nil"/>
              <w:tr2bl w:val="nil"/>
            </w:tcBorders>
            <w:shd w:val="clear" w:color="auto" w:fill="auto"/>
            <w:vAlign w:val="center"/>
          </w:tcPr>
          <w:p w14:paraId="1C8EA72D">
            <w:pPr>
              <w:pStyle w:val="3127"/>
              <w:rPr>
                <w:rFonts w:hint="default" w:eastAsia="宋体"/>
                <w:color w:val="auto"/>
                <w:lang w:val="en-US" w:eastAsia="zh-CN"/>
              </w:rPr>
            </w:pPr>
            <w:r>
              <w:rPr>
                <w:rFonts w:hint="eastAsia"/>
                <w:color w:val="auto"/>
                <w:lang w:val="en-US" w:eastAsia="zh-CN"/>
              </w:rPr>
              <w:t>20</w:t>
            </w:r>
          </w:p>
        </w:tc>
        <w:tc>
          <w:tcPr>
            <w:tcW w:w="835" w:type="pct"/>
            <w:tcBorders>
              <w:tl2br w:val="nil"/>
              <w:tr2bl w:val="nil"/>
            </w:tcBorders>
            <w:shd w:val="clear" w:color="auto" w:fill="auto"/>
            <w:vAlign w:val="center"/>
          </w:tcPr>
          <w:p w14:paraId="684853EC">
            <w:pPr>
              <w:pStyle w:val="3127"/>
              <w:rPr>
                <w:rFonts w:eastAsia="Times New Roman"/>
                <w:color w:val="auto"/>
                <w:lang w:eastAsia="en-US"/>
              </w:rPr>
            </w:pPr>
            <w:r>
              <w:rPr>
                <w:rFonts w:hint="eastAsia" w:eastAsia="Times New Roman"/>
                <w:color w:val="auto"/>
                <w:lang w:eastAsia="en-US"/>
              </w:rPr>
              <w:t>/</w:t>
            </w:r>
          </w:p>
        </w:tc>
        <w:tc>
          <w:tcPr>
            <w:tcW w:w="835" w:type="pct"/>
            <w:tcBorders>
              <w:tl2br w:val="nil"/>
              <w:tr2bl w:val="nil"/>
            </w:tcBorders>
            <w:shd w:val="clear" w:color="auto" w:fill="auto"/>
            <w:vAlign w:val="center"/>
          </w:tcPr>
          <w:p w14:paraId="1377589B">
            <w:pPr>
              <w:pStyle w:val="3127"/>
              <w:rPr>
                <w:rFonts w:eastAsia="Times New Roman"/>
                <w:color w:val="auto"/>
                <w:lang w:eastAsia="en-US"/>
              </w:rPr>
            </w:pPr>
            <w:r>
              <w:rPr>
                <w:rFonts w:hint="eastAsia" w:eastAsia="Times New Roman"/>
                <w:color w:val="auto"/>
                <w:lang w:eastAsia="en-US"/>
              </w:rPr>
              <w:t>3.0</w:t>
            </w:r>
          </w:p>
        </w:tc>
        <w:tc>
          <w:tcPr>
            <w:tcW w:w="837" w:type="pct"/>
            <w:tcBorders>
              <w:tl2br w:val="nil"/>
              <w:tr2bl w:val="nil"/>
            </w:tcBorders>
            <w:shd w:val="clear" w:color="auto" w:fill="auto"/>
            <w:vAlign w:val="center"/>
          </w:tcPr>
          <w:p w14:paraId="2C479768">
            <w:pPr>
              <w:pStyle w:val="3127"/>
              <w:rPr>
                <w:rFonts w:eastAsia="Times New Roman"/>
                <w:color w:val="auto"/>
                <w:lang w:eastAsia="en-US"/>
              </w:rPr>
            </w:pPr>
            <w:r>
              <w:rPr>
                <w:rFonts w:hint="eastAsia" w:eastAsia="Times New Roman"/>
                <w:color w:val="auto"/>
                <w:lang w:eastAsia="en-US"/>
              </w:rPr>
              <w:t>10</w:t>
            </w:r>
          </w:p>
        </w:tc>
      </w:tr>
      <w:tr w14:paraId="1925D737">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11" w:type="pct"/>
            <w:tcBorders>
              <w:tl2br w:val="nil"/>
              <w:tr2bl w:val="nil"/>
            </w:tcBorders>
            <w:vAlign w:val="center"/>
          </w:tcPr>
          <w:p w14:paraId="6E6E7993">
            <w:pPr>
              <w:pStyle w:val="3127"/>
              <w:rPr>
                <w:rFonts w:eastAsia="Times New Roman"/>
                <w:color w:val="auto"/>
                <w:lang w:eastAsia="en-US"/>
              </w:rPr>
            </w:pPr>
            <w:r>
              <w:rPr>
                <w:rFonts w:eastAsia="Times New Roman"/>
                <w:color w:val="auto"/>
                <w:lang w:eastAsia="en-US"/>
              </w:rPr>
              <w:t>13</w:t>
            </w:r>
          </w:p>
        </w:tc>
        <w:tc>
          <w:tcPr>
            <w:tcW w:w="508" w:type="pct"/>
            <w:tcBorders>
              <w:tl2br w:val="nil"/>
              <w:tr2bl w:val="nil"/>
            </w:tcBorders>
            <w:shd w:val="clear" w:color="auto" w:fill="auto"/>
            <w:vAlign w:val="center"/>
          </w:tcPr>
          <w:p w14:paraId="6B56303B">
            <w:pPr>
              <w:pStyle w:val="3127"/>
              <w:rPr>
                <w:rFonts w:eastAsia="Times New Roman"/>
                <w:color w:val="auto"/>
                <w:lang w:eastAsia="en-US"/>
              </w:rPr>
            </w:pPr>
            <w:r>
              <w:rPr>
                <w:rFonts w:eastAsia="Times New Roman"/>
                <w:color w:val="auto"/>
                <w:lang w:eastAsia="en-US"/>
              </w:rPr>
              <w:t>硫酸盐</w:t>
            </w:r>
          </w:p>
        </w:tc>
        <w:tc>
          <w:tcPr>
            <w:tcW w:w="835" w:type="pct"/>
            <w:tcBorders>
              <w:tl2br w:val="nil"/>
              <w:tr2bl w:val="nil"/>
            </w:tcBorders>
            <w:shd w:val="clear" w:color="auto" w:fill="auto"/>
            <w:vAlign w:val="center"/>
          </w:tcPr>
          <w:p w14:paraId="45C874E0">
            <w:pPr>
              <w:pStyle w:val="3127"/>
              <w:rPr>
                <w:rFonts w:eastAsia="Times New Roman"/>
                <w:color w:val="auto"/>
                <w:lang w:eastAsia="en-US"/>
              </w:rPr>
            </w:pPr>
            <w:r>
              <w:rPr>
                <w:rFonts w:eastAsia="Times New Roman"/>
                <w:color w:val="auto"/>
                <w:lang w:eastAsia="en-US"/>
              </w:rPr>
              <w:t>500</w:t>
            </w:r>
          </w:p>
        </w:tc>
        <w:tc>
          <w:tcPr>
            <w:tcW w:w="835" w:type="pct"/>
            <w:tcBorders>
              <w:tl2br w:val="nil"/>
              <w:tr2bl w:val="nil"/>
            </w:tcBorders>
            <w:shd w:val="clear" w:color="auto" w:fill="auto"/>
            <w:vAlign w:val="center"/>
          </w:tcPr>
          <w:p w14:paraId="00052D62">
            <w:pPr>
              <w:pStyle w:val="3127"/>
              <w:rPr>
                <w:rFonts w:hint="eastAsia" w:eastAsia="宋体"/>
                <w:color w:val="auto"/>
                <w:lang w:val="en-US" w:eastAsia="zh-CN"/>
              </w:rPr>
            </w:pPr>
            <w:r>
              <w:rPr>
                <w:rFonts w:hint="eastAsia"/>
                <w:color w:val="auto"/>
                <w:lang w:val="en-US" w:eastAsia="zh-CN"/>
              </w:rPr>
              <w:t>/</w:t>
            </w:r>
          </w:p>
        </w:tc>
        <w:tc>
          <w:tcPr>
            <w:tcW w:w="835" w:type="pct"/>
            <w:tcBorders>
              <w:tl2br w:val="nil"/>
              <w:tr2bl w:val="nil"/>
            </w:tcBorders>
            <w:shd w:val="clear" w:color="auto" w:fill="auto"/>
            <w:vAlign w:val="center"/>
          </w:tcPr>
          <w:p w14:paraId="3D75ED51">
            <w:pPr>
              <w:pStyle w:val="3127"/>
              <w:rPr>
                <w:rFonts w:eastAsia="Times New Roman"/>
                <w:color w:val="auto"/>
                <w:lang w:eastAsia="en-US"/>
              </w:rPr>
            </w:pPr>
            <w:r>
              <w:rPr>
                <w:rFonts w:hint="eastAsia" w:eastAsia="Times New Roman"/>
                <w:color w:val="auto"/>
                <w:lang w:eastAsia="en-US"/>
              </w:rPr>
              <w:t>/</w:t>
            </w:r>
          </w:p>
        </w:tc>
        <w:tc>
          <w:tcPr>
            <w:tcW w:w="835" w:type="pct"/>
            <w:tcBorders>
              <w:tl2br w:val="nil"/>
              <w:tr2bl w:val="nil"/>
            </w:tcBorders>
            <w:shd w:val="clear" w:color="auto" w:fill="auto"/>
            <w:vAlign w:val="center"/>
          </w:tcPr>
          <w:p w14:paraId="7D6D8831">
            <w:pPr>
              <w:pStyle w:val="3127"/>
              <w:rPr>
                <w:rFonts w:eastAsia="Times New Roman"/>
                <w:color w:val="auto"/>
                <w:lang w:eastAsia="en-US"/>
              </w:rPr>
            </w:pPr>
            <w:r>
              <w:rPr>
                <w:rFonts w:hint="eastAsia" w:eastAsia="Times New Roman"/>
                <w:color w:val="auto"/>
                <w:lang w:eastAsia="en-US"/>
              </w:rPr>
              <w:t>/</w:t>
            </w:r>
          </w:p>
        </w:tc>
        <w:tc>
          <w:tcPr>
            <w:tcW w:w="837" w:type="pct"/>
            <w:tcBorders>
              <w:tl2br w:val="nil"/>
              <w:tr2bl w:val="nil"/>
            </w:tcBorders>
            <w:shd w:val="clear" w:color="auto" w:fill="auto"/>
            <w:vAlign w:val="center"/>
          </w:tcPr>
          <w:p w14:paraId="1D20936D">
            <w:pPr>
              <w:pStyle w:val="3127"/>
              <w:rPr>
                <w:rFonts w:eastAsia="Times New Roman"/>
                <w:color w:val="auto"/>
                <w:lang w:eastAsia="en-US"/>
              </w:rPr>
            </w:pPr>
            <w:r>
              <w:rPr>
                <w:rFonts w:hint="eastAsia" w:eastAsia="Times New Roman"/>
                <w:color w:val="auto"/>
                <w:lang w:eastAsia="en-US"/>
              </w:rPr>
              <w:t>/</w:t>
            </w:r>
          </w:p>
        </w:tc>
      </w:tr>
      <w:tr w14:paraId="1821F0C1">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11" w:type="pct"/>
            <w:tcBorders>
              <w:tl2br w:val="nil"/>
              <w:tr2bl w:val="nil"/>
            </w:tcBorders>
            <w:vAlign w:val="center"/>
          </w:tcPr>
          <w:p w14:paraId="08CA0E63">
            <w:pPr>
              <w:pStyle w:val="3127"/>
              <w:rPr>
                <w:rFonts w:eastAsia="Times New Roman"/>
                <w:color w:val="auto"/>
                <w:lang w:eastAsia="en-US"/>
              </w:rPr>
            </w:pPr>
            <w:r>
              <w:rPr>
                <w:rFonts w:eastAsia="Times New Roman"/>
                <w:color w:val="auto"/>
                <w:lang w:eastAsia="en-US"/>
              </w:rPr>
              <w:t>14</w:t>
            </w:r>
          </w:p>
        </w:tc>
        <w:tc>
          <w:tcPr>
            <w:tcW w:w="508" w:type="pct"/>
            <w:tcBorders>
              <w:tl2br w:val="nil"/>
              <w:tr2bl w:val="nil"/>
            </w:tcBorders>
            <w:shd w:val="clear" w:color="auto" w:fill="auto"/>
            <w:vAlign w:val="center"/>
          </w:tcPr>
          <w:p w14:paraId="227C7A7E">
            <w:pPr>
              <w:pStyle w:val="3127"/>
              <w:rPr>
                <w:rFonts w:eastAsia="Times New Roman"/>
                <w:color w:val="auto"/>
                <w:lang w:eastAsia="en-US"/>
              </w:rPr>
            </w:pPr>
            <w:r>
              <w:rPr>
                <w:rFonts w:eastAsia="Times New Roman"/>
                <w:color w:val="auto"/>
                <w:lang w:eastAsia="en-US"/>
              </w:rPr>
              <w:t>TDS</w:t>
            </w:r>
          </w:p>
        </w:tc>
        <w:tc>
          <w:tcPr>
            <w:tcW w:w="835" w:type="pct"/>
            <w:tcBorders>
              <w:tl2br w:val="nil"/>
              <w:tr2bl w:val="nil"/>
            </w:tcBorders>
            <w:shd w:val="clear" w:color="auto" w:fill="auto"/>
            <w:vAlign w:val="center"/>
          </w:tcPr>
          <w:p w14:paraId="761B9B6F">
            <w:pPr>
              <w:pStyle w:val="3127"/>
              <w:rPr>
                <w:rFonts w:eastAsia="Times New Roman"/>
                <w:color w:val="auto"/>
                <w:lang w:eastAsia="en-US"/>
              </w:rPr>
            </w:pPr>
            <w:r>
              <w:rPr>
                <w:rFonts w:eastAsia="Times New Roman"/>
                <w:color w:val="auto"/>
                <w:lang w:eastAsia="en-US"/>
              </w:rPr>
              <w:t>25000</w:t>
            </w:r>
          </w:p>
        </w:tc>
        <w:tc>
          <w:tcPr>
            <w:tcW w:w="835" w:type="pct"/>
            <w:tcBorders>
              <w:tl2br w:val="nil"/>
              <w:tr2bl w:val="nil"/>
            </w:tcBorders>
            <w:shd w:val="clear" w:color="auto" w:fill="auto"/>
            <w:vAlign w:val="center"/>
          </w:tcPr>
          <w:p w14:paraId="3785AC2C">
            <w:pPr>
              <w:pStyle w:val="3127"/>
              <w:rPr>
                <w:rFonts w:hint="default" w:eastAsia="宋体"/>
                <w:color w:val="auto"/>
                <w:lang w:val="en-US" w:eastAsia="zh-CN"/>
              </w:rPr>
            </w:pPr>
            <w:r>
              <w:rPr>
                <w:rFonts w:hint="eastAsia"/>
                <w:color w:val="auto"/>
                <w:lang w:val="en-US" w:eastAsia="zh-CN"/>
              </w:rPr>
              <w:t>35000</w:t>
            </w:r>
          </w:p>
        </w:tc>
        <w:tc>
          <w:tcPr>
            <w:tcW w:w="835" w:type="pct"/>
            <w:tcBorders>
              <w:tl2br w:val="nil"/>
              <w:tr2bl w:val="nil"/>
            </w:tcBorders>
            <w:shd w:val="clear" w:color="auto" w:fill="auto"/>
            <w:vAlign w:val="center"/>
          </w:tcPr>
          <w:p w14:paraId="1567378A">
            <w:pPr>
              <w:pStyle w:val="3127"/>
              <w:rPr>
                <w:rFonts w:eastAsia="Times New Roman"/>
                <w:color w:val="auto"/>
                <w:lang w:eastAsia="en-US"/>
              </w:rPr>
            </w:pPr>
            <w:r>
              <w:rPr>
                <w:rFonts w:hint="eastAsia" w:eastAsia="Times New Roman"/>
                <w:color w:val="auto"/>
                <w:lang w:eastAsia="en-US"/>
              </w:rPr>
              <w:t>/</w:t>
            </w:r>
          </w:p>
        </w:tc>
        <w:tc>
          <w:tcPr>
            <w:tcW w:w="835" w:type="pct"/>
            <w:tcBorders>
              <w:tl2br w:val="nil"/>
              <w:tr2bl w:val="nil"/>
            </w:tcBorders>
            <w:shd w:val="clear" w:color="auto" w:fill="auto"/>
            <w:vAlign w:val="center"/>
          </w:tcPr>
          <w:p w14:paraId="41093AB2">
            <w:pPr>
              <w:pStyle w:val="3127"/>
              <w:rPr>
                <w:rFonts w:eastAsia="Times New Roman"/>
                <w:color w:val="auto"/>
                <w:lang w:eastAsia="en-US"/>
              </w:rPr>
            </w:pPr>
            <w:r>
              <w:rPr>
                <w:rFonts w:hint="eastAsia" w:eastAsia="Times New Roman"/>
                <w:color w:val="auto"/>
                <w:lang w:eastAsia="en-US"/>
              </w:rPr>
              <w:t>/</w:t>
            </w:r>
          </w:p>
        </w:tc>
        <w:tc>
          <w:tcPr>
            <w:tcW w:w="837" w:type="pct"/>
            <w:tcBorders>
              <w:tl2br w:val="nil"/>
              <w:tr2bl w:val="nil"/>
            </w:tcBorders>
            <w:shd w:val="clear" w:color="auto" w:fill="auto"/>
            <w:vAlign w:val="center"/>
          </w:tcPr>
          <w:p w14:paraId="4743D7D0">
            <w:pPr>
              <w:pStyle w:val="3127"/>
              <w:rPr>
                <w:rFonts w:eastAsia="Times New Roman"/>
                <w:color w:val="auto"/>
                <w:lang w:eastAsia="en-US"/>
              </w:rPr>
            </w:pPr>
            <w:r>
              <w:rPr>
                <w:rFonts w:hint="eastAsia" w:eastAsia="Times New Roman"/>
                <w:color w:val="auto"/>
                <w:lang w:eastAsia="en-US"/>
              </w:rPr>
              <w:t>25000</w:t>
            </w:r>
          </w:p>
        </w:tc>
      </w:tr>
      <w:tr w14:paraId="52CFFE09">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11" w:type="pct"/>
            <w:tcBorders>
              <w:tl2br w:val="nil"/>
              <w:tr2bl w:val="nil"/>
            </w:tcBorders>
            <w:vAlign w:val="center"/>
          </w:tcPr>
          <w:p w14:paraId="688782FC">
            <w:pPr>
              <w:pStyle w:val="3127"/>
              <w:rPr>
                <w:rFonts w:eastAsia="Times New Roman"/>
                <w:color w:val="auto"/>
                <w:lang w:eastAsia="en-US"/>
              </w:rPr>
            </w:pPr>
            <w:r>
              <w:rPr>
                <w:rFonts w:eastAsia="Times New Roman"/>
                <w:color w:val="auto"/>
                <w:lang w:eastAsia="en-US"/>
              </w:rPr>
              <w:t>15</w:t>
            </w:r>
          </w:p>
        </w:tc>
        <w:tc>
          <w:tcPr>
            <w:tcW w:w="508" w:type="pct"/>
            <w:tcBorders>
              <w:tl2br w:val="nil"/>
              <w:tr2bl w:val="nil"/>
            </w:tcBorders>
            <w:shd w:val="clear" w:color="auto" w:fill="auto"/>
            <w:vAlign w:val="center"/>
          </w:tcPr>
          <w:p w14:paraId="465463AC">
            <w:pPr>
              <w:pStyle w:val="3127"/>
              <w:rPr>
                <w:rFonts w:eastAsia="Times New Roman"/>
                <w:color w:val="auto"/>
                <w:lang w:eastAsia="en-US"/>
              </w:rPr>
            </w:pPr>
            <w:r>
              <w:rPr>
                <w:rFonts w:hint="eastAsia" w:eastAsia="Times New Roman"/>
                <w:color w:val="auto"/>
                <w:lang w:eastAsia="en-US"/>
              </w:rPr>
              <w:t>TOC</w:t>
            </w:r>
          </w:p>
        </w:tc>
        <w:tc>
          <w:tcPr>
            <w:tcW w:w="835" w:type="pct"/>
            <w:tcBorders>
              <w:tl2br w:val="nil"/>
              <w:tr2bl w:val="nil"/>
            </w:tcBorders>
            <w:shd w:val="clear" w:color="auto" w:fill="auto"/>
            <w:vAlign w:val="center"/>
          </w:tcPr>
          <w:p w14:paraId="5BCDCEAA">
            <w:pPr>
              <w:pStyle w:val="3127"/>
              <w:rPr>
                <w:rFonts w:eastAsia="Times New Roman"/>
                <w:color w:val="auto"/>
                <w:lang w:eastAsia="en-US"/>
              </w:rPr>
            </w:pPr>
            <w:r>
              <w:rPr>
                <w:rFonts w:eastAsia="Times New Roman"/>
                <w:color w:val="auto"/>
                <w:lang w:eastAsia="en-US"/>
              </w:rPr>
              <w:t>200</w:t>
            </w:r>
          </w:p>
        </w:tc>
        <w:tc>
          <w:tcPr>
            <w:tcW w:w="835" w:type="pct"/>
            <w:tcBorders>
              <w:tl2br w:val="nil"/>
              <w:tr2bl w:val="nil"/>
            </w:tcBorders>
            <w:shd w:val="clear" w:color="auto" w:fill="auto"/>
            <w:vAlign w:val="center"/>
          </w:tcPr>
          <w:p w14:paraId="22333A8D">
            <w:pPr>
              <w:pStyle w:val="3127"/>
              <w:rPr>
                <w:rFonts w:hint="default" w:eastAsia="宋体"/>
                <w:color w:val="auto"/>
                <w:lang w:val="en-US" w:eastAsia="zh-CN"/>
              </w:rPr>
            </w:pPr>
            <w:r>
              <w:rPr>
                <w:rFonts w:hint="eastAsia"/>
                <w:color w:val="auto"/>
                <w:lang w:val="en-US" w:eastAsia="zh-CN"/>
              </w:rPr>
              <w:t>400</w:t>
            </w:r>
          </w:p>
        </w:tc>
        <w:tc>
          <w:tcPr>
            <w:tcW w:w="835" w:type="pct"/>
            <w:tcBorders>
              <w:tl2br w:val="nil"/>
              <w:tr2bl w:val="nil"/>
            </w:tcBorders>
            <w:shd w:val="clear" w:color="auto" w:fill="auto"/>
            <w:vAlign w:val="center"/>
          </w:tcPr>
          <w:p w14:paraId="73EFF6E9">
            <w:pPr>
              <w:pStyle w:val="3127"/>
              <w:rPr>
                <w:rFonts w:eastAsia="Times New Roman"/>
                <w:color w:val="auto"/>
                <w:lang w:eastAsia="en-US"/>
              </w:rPr>
            </w:pPr>
            <w:r>
              <w:rPr>
                <w:rFonts w:hint="eastAsia" w:eastAsia="Times New Roman"/>
                <w:color w:val="auto"/>
                <w:lang w:eastAsia="en-US"/>
              </w:rPr>
              <w:t>700</w:t>
            </w:r>
          </w:p>
        </w:tc>
        <w:tc>
          <w:tcPr>
            <w:tcW w:w="835" w:type="pct"/>
            <w:tcBorders>
              <w:tl2br w:val="nil"/>
              <w:tr2bl w:val="nil"/>
            </w:tcBorders>
            <w:shd w:val="clear" w:color="auto" w:fill="auto"/>
            <w:vAlign w:val="center"/>
          </w:tcPr>
          <w:p w14:paraId="52A92974">
            <w:pPr>
              <w:pStyle w:val="3127"/>
              <w:rPr>
                <w:rFonts w:eastAsia="Times New Roman"/>
                <w:color w:val="auto"/>
                <w:lang w:eastAsia="en-US"/>
              </w:rPr>
            </w:pPr>
            <w:r>
              <w:rPr>
                <w:rFonts w:hint="eastAsia" w:eastAsia="Times New Roman"/>
                <w:color w:val="auto"/>
                <w:lang w:eastAsia="en-US"/>
              </w:rPr>
              <w:t>/</w:t>
            </w:r>
          </w:p>
        </w:tc>
        <w:tc>
          <w:tcPr>
            <w:tcW w:w="837" w:type="pct"/>
            <w:tcBorders>
              <w:tl2br w:val="nil"/>
              <w:tr2bl w:val="nil"/>
            </w:tcBorders>
            <w:shd w:val="clear" w:color="auto" w:fill="auto"/>
            <w:vAlign w:val="center"/>
          </w:tcPr>
          <w:p w14:paraId="3148852B">
            <w:pPr>
              <w:pStyle w:val="3127"/>
              <w:rPr>
                <w:rFonts w:eastAsia="Times New Roman"/>
                <w:color w:val="auto"/>
                <w:lang w:eastAsia="en-US"/>
              </w:rPr>
            </w:pPr>
            <w:r>
              <w:rPr>
                <w:rFonts w:hint="eastAsia" w:eastAsia="Times New Roman"/>
                <w:color w:val="auto"/>
                <w:lang w:eastAsia="en-US"/>
              </w:rPr>
              <w:t>/</w:t>
            </w:r>
          </w:p>
        </w:tc>
      </w:tr>
      <w:tr w14:paraId="0D3F2DBF">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11" w:type="pct"/>
            <w:tcBorders>
              <w:tl2br w:val="nil"/>
              <w:tr2bl w:val="nil"/>
            </w:tcBorders>
            <w:vAlign w:val="center"/>
          </w:tcPr>
          <w:p w14:paraId="7A6ED04D">
            <w:pPr>
              <w:pStyle w:val="3127"/>
              <w:rPr>
                <w:rFonts w:eastAsia="Times New Roman"/>
                <w:color w:val="auto"/>
                <w:lang w:eastAsia="en-US"/>
              </w:rPr>
            </w:pPr>
            <w:r>
              <w:rPr>
                <w:rFonts w:eastAsia="Times New Roman"/>
                <w:color w:val="auto"/>
                <w:lang w:eastAsia="en-US"/>
              </w:rPr>
              <w:t>16</w:t>
            </w:r>
          </w:p>
        </w:tc>
        <w:tc>
          <w:tcPr>
            <w:tcW w:w="508" w:type="pct"/>
            <w:tcBorders>
              <w:tl2br w:val="nil"/>
              <w:tr2bl w:val="nil"/>
            </w:tcBorders>
            <w:shd w:val="clear" w:color="auto" w:fill="auto"/>
            <w:vAlign w:val="center"/>
          </w:tcPr>
          <w:p w14:paraId="2D9D3387">
            <w:pPr>
              <w:pStyle w:val="3127"/>
              <w:rPr>
                <w:rFonts w:eastAsia="Times New Roman"/>
                <w:color w:val="auto"/>
                <w:lang w:eastAsia="en-US"/>
              </w:rPr>
            </w:pPr>
            <w:r>
              <w:rPr>
                <w:rFonts w:eastAsia="Times New Roman"/>
                <w:color w:val="auto"/>
                <w:lang w:eastAsia="en-US"/>
              </w:rPr>
              <w:t>阴离子表面活性剂</w:t>
            </w:r>
          </w:p>
        </w:tc>
        <w:tc>
          <w:tcPr>
            <w:tcW w:w="835" w:type="pct"/>
            <w:tcBorders>
              <w:tl2br w:val="nil"/>
              <w:tr2bl w:val="nil"/>
            </w:tcBorders>
            <w:shd w:val="clear" w:color="auto" w:fill="auto"/>
            <w:vAlign w:val="center"/>
          </w:tcPr>
          <w:p w14:paraId="2E3419B1">
            <w:pPr>
              <w:pStyle w:val="3127"/>
              <w:rPr>
                <w:rFonts w:eastAsia="Times New Roman"/>
                <w:color w:val="auto"/>
                <w:lang w:eastAsia="en-US"/>
              </w:rPr>
            </w:pPr>
            <w:r>
              <w:rPr>
                <w:rFonts w:hint="eastAsia" w:eastAsia="Times New Roman"/>
                <w:color w:val="auto"/>
                <w:lang w:eastAsia="en-US"/>
              </w:rPr>
              <w:t>≤5</w:t>
            </w:r>
          </w:p>
        </w:tc>
        <w:tc>
          <w:tcPr>
            <w:tcW w:w="835" w:type="pct"/>
            <w:tcBorders>
              <w:tl2br w:val="nil"/>
              <w:tr2bl w:val="nil"/>
            </w:tcBorders>
            <w:shd w:val="clear" w:color="auto" w:fill="auto"/>
            <w:vAlign w:val="center"/>
          </w:tcPr>
          <w:p w14:paraId="24D5F10E">
            <w:pPr>
              <w:pStyle w:val="3127"/>
              <w:rPr>
                <w:rFonts w:hint="default" w:eastAsia="宋体"/>
                <w:color w:val="auto"/>
                <w:lang w:val="en-US" w:eastAsia="zh-CN"/>
              </w:rPr>
            </w:pPr>
            <w:r>
              <w:rPr>
                <w:rFonts w:hint="eastAsia"/>
                <w:color w:val="auto"/>
                <w:lang w:val="en-US" w:eastAsia="zh-CN"/>
              </w:rPr>
              <w:t>30</w:t>
            </w:r>
          </w:p>
        </w:tc>
        <w:tc>
          <w:tcPr>
            <w:tcW w:w="835" w:type="pct"/>
            <w:tcBorders>
              <w:tl2br w:val="nil"/>
              <w:tr2bl w:val="nil"/>
            </w:tcBorders>
            <w:shd w:val="clear" w:color="auto" w:fill="auto"/>
            <w:vAlign w:val="center"/>
          </w:tcPr>
          <w:p w14:paraId="3CE39DC0">
            <w:pPr>
              <w:pStyle w:val="3127"/>
              <w:rPr>
                <w:rFonts w:eastAsia="Times New Roman"/>
                <w:color w:val="auto"/>
                <w:lang w:eastAsia="en-US"/>
              </w:rPr>
            </w:pPr>
            <w:r>
              <w:rPr>
                <w:rFonts w:hint="eastAsia" w:eastAsia="Times New Roman"/>
                <w:color w:val="auto"/>
                <w:lang w:eastAsia="en-US"/>
              </w:rPr>
              <w:t>/</w:t>
            </w:r>
          </w:p>
        </w:tc>
        <w:tc>
          <w:tcPr>
            <w:tcW w:w="835" w:type="pct"/>
            <w:tcBorders>
              <w:tl2br w:val="nil"/>
              <w:tr2bl w:val="nil"/>
            </w:tcBorders>
            <w:shd w:val="clear" w:color="auto" w:fill="auto"/>
            <w:vAlign w:val="center"/>
          </w:tcPr>
          <w:p w14:paraId="61325512">
            <w:pPr>
              <w:pStyle w:val="3127"/>
              <w:rPr>
                <w:rFonts w:eastAsia="Times New Roman"/>
                <w:color w:val="auto"/>
                <w:lang w:eastAsia="en-US"/>
              </w:rPr>
            </w:pPr>
            <w:r>
              <w:rPr>
                <w:rFonts w:hint="eastAsia" w:eastAsia="Times New Roman"/>
                <w:color w:val="auto"/>
                <w:lang w:eastAsia="en-US"/>
              </w:rPr>
              <w:t>/</w:t>
            </w:r>
          </w:p>
        </w:tc>
        <w:tc>
          <w:tcPr>
            <w:tcW w:w="837" w:type="pct"/>
            <w:tcBorders>
              <w:tl2br w:val="nil"/>
              <w:tr2bl w:val="nil"/>
            </w:tcBorders>
            <w:shd w:val="clear" w:color="auto" w:fill="auto"/>
            <w:vAlign w:val="center"/>
          </w:tcPr>
          <w:p w14:paraId="25E7CE44">
            <w:pPr>
              <w:pStyle w:val="3127"/>
              <w:rPr>
                <w:rFonts w:eastAsia="Times New Roman"/>
                <w:color w:val="auto"/>
                <w:lang w:eastAsia="en-US"/>
              </w:rPr>
            </w:pPr>
            <w:r>
              <w:rPr>
                <w:rFonts w:hint="eastAsia" w:eastAsia="Times New Roman"/>
                <w:color w:val="auto"/>
                <w:lang w:eastAsia="en-US"/>
              </w:rPr>
              <w:t>/</w:t>
            </w:r>
          </w:p>
        </w:tc>
      </w:tr>
      <w:tr w14:paraId="4304E80D">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11" w:type="pct"/>
            <w:tcBorders>
              <w:tl2br w:val="nil"/>
              <w:tr2bl w:val="nil"/>
            </w:tcBorders>
            <w:vAlign w:val="center"/>
          </w:tcPr>
          <w:p w14:paraId="39EEAF19">
            <w:pPr>
              <w:pStyle w:val="3127"/>
              <w:rPr>
                <w:rFonts w:eastAsia="Times New Roman"/>
                <w:color w:val="auto"/>
                <w:lang w:eastAsia="en-US"/>
              </w:rPr>
            </w:pPr>
            <w:r>
              <w:rPr>
                <w:rFonts w:eastAsia="Times New Roman"/>
                <w:color w:val="auto"/>
                <w:lang w:eastAsia="en-US"/>
              </w:rPr>
              <w:t>17</w:t>
            </w:r>
          </w:p>
        </w:tc>
        <w:tc>
          <w:tcPr>
            <w:tcW w:w="508" w:type="pct"/>
            <w:tcBorders>
              <w:tl2br w:val="nil"/>
              <w:tr2bl w:val="nil"/>
            </w:tcBorders>
            <w:shd w:val="clear" w:color="auto" w:fill="auto"/>
            <w:vAlign w:val="center"/>
          </w:tcPr>
          <w:p w14:paraId="1FC3807C">
            <w:pPr>
              <w:pStyle w:val="3127"/>
              <w:rPr>
                <w:rFonts w:eastAsia="Times New Roman"/>
                <w:color w:val="auto"/>
                <w:lang w:eastAsia="en-US"/>
              </w:rPr>
            </w:pPr>
            <w:r>
              <w:rPr>
                <w:rFonts w:hint="eastAsia" w:ascii="宋体" w:hAnsi="宋体" w:eastAsia="Times New Roman" w:cs="宋体"/>
                <w:color w:val="auto"/>
                <w:lang w:eastAsia="en-US"/>
              </w:rPr>
              <w:t>二氧化硅</w:t>
            </w:r>
          </w:p>
        </w:tc>
        <w:tc>
          <w:tcPr>
            <w:tcW w:w="835" w:type="pct"/>
            <w:tcBorders>
              <w:tl2br w:val="nil"/>
              <w:tr2bl w:val="nil"/>
            </w:tcBorders>
            <w:shd w:val="clear" w:color="auto" w:fill="auto"/>
            <w:vAlign w:val="center"/>
          </w:tcPr>
          <w:p w14:paraId="4CCC5309">
            <w:pPr>
              <w:pStyle w:val="3127"/>
              <w:rPr>
                <w:rFonts w:eastAsia="Times New Roman"/>
                <w:color w:val="auto"/>
                <w:lang w:eastAsia="en-US"/>
              </w:rPr>
            </w:pPr>
            <w:r>
              <w:rPr>
                <w:rFonts w:hint="eastAsia" w:eastAsia="Times New Roman"/>
                <w:color w:val="auto"/>
                <w:lang w:eastAsia="en-US"/>
              </w:rPr>
              <w:t>≤80</w:t>
            </w:r>
          </w:p>
        </w:tc>
        <w:tc>
          <w:tcPr>
            <w:tcW w:w="835" w:type="pct"/>
            <w:tcBorders>
              <w:tl2br w:val="nil"/>
              <w:tr2bl w:val="nil"/>
            </w:tcBorders>
            <w:shd w:val="clear" w:color="auto" w:fill="auto"/>
            <w:vAlign w:val="center"/>
          </w:tcPr>
          <w:p w14:paraId="17486A39">
            <w:pPr>
              <w:pStyle w:val="3127"/>
              <w:rPr>
                <w:rFonts w:hint="eastAsia" w:eastAsia="宋体"/>
                <w:color w:val="auto"/>
                <w:lang w:val="en-US" w:eastAsia="zh-CN"/>
              </w:rPr>
            </w:pPr>
            <w:r>
              <w:rPr>
                <w:rFonts w:hint="eastAsia"/>
                <w:color w:val="auto"/>
                <w:lang w:val="en-US" w:eastAsia="zh-CN"/>
              </w:rPr>
              <w:t>/</w:t>
            </w:r>
          </w:p>
        </w:tc>
        <w:tc>
          <w:tcPr>
            <w:tcW w:w="835" w:type="pct"/>
            <w:tcBorders>
              <w:tl2br w:val="nil"/>
              <w:tr2bl w:val="nil"/>
            </w:tcBorders>
            <w:shd w:val="clear" w:color="auto" w:fill="auto"/>
            <w:vAlign w:val="center"/>
          </w:tcPr>
          <w:p w14:paraId="6C759F73">
            <w:pPr>
              <w:pStyle w:val="3127"/>
              <w:rPr>
                <w:rFonts w:eastAsia="Times New Roman"/>
                <w:color w:val="auto"/>
                <w:lang w:eastAsia="en-US"/>
              </w:rPr>
            </w:pPr>
            <w:r>
              <w:rPr>
                <w:rFonts w:hint="eastAsia" w:eastAsia="Times New Roman"/>
                <w:color w:val="auto"/>
                <w:lang w:eastAsia="en-US"/>
              </w:rPr>
              <w:t>/</w:t>
            </w:r>
          </w:p>
        </w:tc>
        <w:tc>
          <w:tcPr>
            <w:tcW w:w="835" w:type="pct"/>
            <w:tcBorders>
              <w:tl2br w:val="nil"/>
              <w:tr2bl w:val="nil"/>
            </w:tcBorders>
            <w:shd w:val="clear" w:color="auto" w:fill="auto"/>
            <w:vAlign w:val="center"/>
          </w:tcPr>
          <w:p w14:paraId="57B41056">
            <w:pPr>
              <w:pStyle w:val="3127"/>
              <w:rPr>
                <w:rFonts w:eastAsia="Times New Roman"/>
                <w:color w:val="auto"/>
                <w:lang w:eastAsia="en-US"/>
              </w:rPr>
            </w:pPr>
            <w:r>
              <w:rPr>
                <w:rFonts w:hint="eastAsia" w:eastAsia="Times New Roman"/>
                <w:color w:val="auto"/>
                <w:lang w:eastAsia="en-US"/>
              </w:rPr>
              <w:t>/</w:t>
            </w:r>
          </w:p>
        </w:tc>
        <w:tc>
          <w:tcPr>
            <w:tcW w:w="837" w:type="pct"/>
            <w:tcBorders>
              <w:tl2br w:val="nil"/>
              <w:tr2bl w:val="nil"/>
            </w:tcBorders>
            <w:shd w:val="clear" w:color="auto" w:fill="auto"/>
            <w:vAlign w:val="center"/>
          </w:tcPr>
          <w:p w14:paraId="2BFDFA81">
            <w:pPr>
              <w:pStyle w:val="3127"/>
              <w:rPr>
                <w:rFonts w:eastAsia="Times New Roman"/>
                <w:color w:val="auto"/>
                <w:lang w:eastAsia="en-US"/>
              </w:rPr>
            </w:pPr>
            <w:r>
              <w:rPr>
                <w:rFonts w:hint="eastAsia" w:eastAsia="Times New Roman"/>
                <w:color w:val="auto"/>
                <w:lang w:eastAsia="en-US"/>
              </w:rPr>
              <w:t>/</w:t>
            </w:r>
          </w:p>
        </w:tc>
      </w:tr>
      <w:tr w14:paraId="574ACB24">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11" w:type="pct"/>
            <w:tcBorders>
              <w:tl2br w:val="nil"/>
              <w:tr2bl w:val="nil"/>
            </w:tcBorders>
            <w:vAlign w:val="center"/>
          </w:tcPr>
          <w:p w14:paraId="2DAC2AFF">
            <w:pPr>
              <w:pStyle w:val="3127"/>
              <w:rPr>
                <w:rFonts w:eastAsia="Times New Roman"/>
                <w:color w:val="auto"/>
                <w:lang w:eastAsia="en-US"/>
              </w:rPr>
            </w:pPr>
            <w:r>
              <w:rPr>
                <w:rFonts w:eastAsia="Times New Roman"/>
                <w:color w:val="auto"/>
                <w:lang w:eastAsia="en-US"/>
              </w:rPr>
              <w:t>18</w:t>
            </w:r>
          </w:p>
        </w:tc>
        <w:tc>
          <w:tcPr>
            <w:tcW w:w="508" w:type="pct"/>
            <w:tcBorders>
              <w:tl2br w:val="nil"/>
              <w:tr2bl w:val="nil"/>
            </w:tcBorders>
            <w:shd w:val="clear" w:color="auto" w:fill="auto"/>
            <w:vAlign w:val="center"/>
          </w:tcPr>
          <w:p w14:paraId="664CF5E6">
            <w:pPr>
              <w:pStyle w:val="3127"/>
              <w:rPr>
                <w:rFonts w:eastAsia="Times New Roman"/>
                <w:color w:val="auto"/>
                <w:lang w:eastAsia="en-US"/>
              </w:rPr>
            </w:pPr>
            <w:r>
              <w:rPr>
                <w:rFonts w:hint="eastAsia" w:eastAsia="Times New Roman"/>
                <w:color w:val="auto"/>
                <w:lang w:eastAsia="en-US"/>
              </w:rPr>
              <w:t>铁</w:t>
            </w:r>
          </w:p>
        </w:tc>
        <w:tc>
          <w:tcPr>
            <w:tcW w:w="835" w:type="pct"/>
            <w:tcBorders>
              <w:tl2br w:val="nil"/>
              <w:tr2bl w:val="nil"/>
            </w:tcBorders>
            <w:shd w:val="clear" w:color="auto" w:fill="auto"/>
            <w:vAlign w:val="center"/>
          </w:tcPr>
          <w:p w14:paraId="450D80C6">
            <w:pPr>
              <w:pStyle w:val="3127"/>
              <w:rPr>
                <w:rFonts w:eastAsia="Times New Roman"/>
                <w:color w:val="auto"/>
                <w:lang w:eastAsia="en-US"/>
              </w:rPr>
            </w:pPr>
            <w:r>
              <w:rPr>
                <w:rFonts w:hint="eastAsia" w:eastAsia="Times New Roman"/>
                <w:color w:val="auto"/>
                <w:lang w:eastAsia="en-US"/>
              </w:rPr>
              <w:t>≤12</w:t>
            </w:r>
          </w:p>
        </w:tc>
        <w:tc>
          <w:tcPr>
            <w:tcW w:w="835" w:type="pct"/>
            <w:tcBorders>
              <w:tl2br w:val="nil"/>
              <w:tr2bl w:val="nil"/>
            </w:tcBorders>
            <w:shd w:val="clear" w:color="auto" w:fill="auto"/>
            <w:vAlign w:val="center"/>
          </w:tcPr>
          <w:p w14:paraId="1099A292">
            <w:pPr>
              <w:pStyle w:val="3127"/>
              <w:rPr>
                <w:rFonts w:hint="eastAsia" w:eastAsia="宋体"/>
                <w:color w:val="auto"/>
                <w:lang w:val="en-US" w:eastAsia="zh-CN"/>
              </w:rPr>
            </w:pPr>
            <w:r>
              <w:rPr>
                <w:rFonts w:hint="eastAsia"/>
                <w:color w:val="auto"/>
                <w:lang w:val="en-US" w:eastAsia="zh-CN"/>
              </w:rPr>
              <w:t>/</w:t>
            </w:r>
          </w:p>
        </w:tc>
        <w:tc>
          <w:tcPr>
            <w:tcW w:w="835" w:type="pct"/>
            <w:tcBorders>
              <w:tl2br w:val="nil"/>
              <w:tr2bl w:val="nil"/>
            </w:tcBorders>
            <w:shd w:val="clear" w:color="auto" w:fill="auto"/>
            <w:vAlign w:val="center"/>
          </w:tcPr>
          <w:p w14:paraId="2C53F977">
            <w:pPr>
              <w:pStyle w:val="3127"/>
              <w:rPr>
                <w:rFonts w:eastAsia="Times New Roman"/>
                <w:color w:val="auto"/>
                <w:lang w:eastAsia="en-US"/>
              </w:rPr>
            </w:pPr>
          </w:p>
        </w:tc>
        <w:tc>
          <w:tcPr>
            <w:tcW w:w="835" w:type="pct"/>
            <w:tcBorders>
              <w:tl2br w:val="nil"/>
              <w:tr2bl w:val="nil"/>
            </w:tcBorders>
            <w:shd w:val="clear" w:color="auto" w:fill="auto"/>
            <w:vAlign w:val="center"/>
          </w:tcPr>
          <w:p w14:paraId="64AF0D8A">
            <w:pPr>
              <w:pStyle w:val="3127"/>
              <w:rPr>
                <w:rFonts w:eastAsia="Times New Roman"/>
                <w:color w:val="auto"/>
                <w:lang w:eastAsia="en-US"/>
              </w:rPr>
            </w:pPr>
          </w:p>
        </w:tc>
        <w:tc>
          <w:tcPr>
            <w:tcW w:w="837" w:type="pct"/>
            <w:tcBorders>
              <w:tl2br w:val="nil"/>
              <w:tr2bl w:val="nil"/>
            </w:tcBorders>
            <w:shd w:val="clear" w:color="auto" w:fill="auto"/>
            <w:vAlign w:val="center"/>
          </w:tcPr>
          <w:p w14:paraId="2BDD8E74">
            <w:pPr>
              <w:pStyle w:val="3127"/>
              <w:rPr>
                <w:rFonts w:eastAsia="Times New Roman"/>
                <w:color w:val="auto"/>
                <w:lang w:eastAsia="en-US"/>
              </w:rPr>
            </w:pPr>
          </w:p>
        </w:tc>
      </w:tr>
      <w:tr w14:paraId="44519221">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11" w:type="pct"/>
            <w:tcBorders>
              <w:tl2br w:val="nil"/>
              <w:tr2bl w:val="nil"/>
            </w:tcBorders>
            <w:vAlign w:val="center"/>
          </w:tcPr>
          <w:p w14:paraId="059B9D6E">
            <w:pPr>
              <w:pStyle w:val="3127"/>
              <w:rPr>
                <w:rFonts w:eastAsia="Times New Roman"/>
                <w:color w:val="auto"/>
                <w:lang w:eastAsia="en-US"/>
              </w:rPr>
            </w:pPr>
            <w:r>
              <w:rPr>
                <w:rFonts w:eastAsia="Times New Roman"/>
                <w:color w:val="auto"/>
                <w:lang w:eastAsia="en-US"/>
              </w:rPr>
              <w:t>19</w:t>
            </w:r>
          </w:p>
        </w:tc>
        <w:tc>
          <w:tcPr>
            <w:tcW w:w="508" w:type="pct"/>
            <w:tcBorders>
              <w:tl2br w:val="nil"/>
              <w:tr2bl w:val="nil"/>
            </w:tcBorders>
            <w:shd w:val="clear" w:color="auto" w:fill="auto"/>
            <w:vAlign w:val="center"/>
          </w:tcPr>
          <w:p w14:paraId="1FDCA0DC">
            <w:pPr>
              <w:pStyle w:val="3127"/>
              <w:rPr>
                <w:rFonts w:eastAsia="Times New Roman"/>
                <w:color w:val="auto"/>
                <w:lang w:eastAsia="en-US"/>
              </w:rPr>
            </w:pPr>
            <w:r>
              <w:rPr>
                <w:rFonts w:hint="eastAsia" w:ascii="宋体" w:hAnsi="宋体" w:eastAsia="Times New Roman" w:cs="宋体"/>
                <w:color w:val="auto"/>
                <w:lang w:eastAsia="en-US"/>
              </w:rPr>
              <w:t>锰</w:t>
            </w:r>
          </w:p>
        </w:tc>
        <w:tc>
          <w:tcPr>
            <w:tcW w:w="835" w:type="pct"/>
            <w:tcBorders>
              <w:tl2br w:val="nil"/>
              <w:tr2bl w:val="nil"/>
            </w:tcBorders>
            <w:shd w:val="clear" w:color="auto" w:fill="auto"/>
            <w:vAlign w:val="center"/>
          </w:tcPr>
          <w:p w14:paraId="2B5AA433">
            <w:pPr>
              <w:pStyle w:val="3127"/>
              <w:rPr>
                <w:rFonts w:eastAsia="Times New Roman"/>
                <w:color w:val="auto"/>
                <w:lang w:eastAsia="en-US"/>
              </w:rPr>
            </w:pPr>
            <w:r>
              <w:rPr>
                <w:rFonts w:hint="eastAsia" w:eastAsia="Times New Roman"/>
                <w:color w:val="auto"/>
                <w:lang w:eastAsia="en-US"/>
              </w:rPr>
              <w:t>≤1</w:t>
            </w:r>
          </w:p>
        </w:tc>
        <w:tc>
          <w:tcPr>
            <w:tcW w:w="835" w:type="pct"/>
            <w:tcBorders>
              <w:tl2br w:val="nil"/>
              <w:tr2bl w:val="nil"/>
            </w:tcBorders>
            <w:shd w:val="clear" w:color="auto" w:fill="auto"/>
            <w:vAlign w:val="center"/>
          </w:tcPr>
          <w:p w14:paraId="582E7E40">
            <w:pPr>
              <w:pStyle w:val="3127"/>
              <w:rPr>
                <w:rFonts w:hint="eastAsia" w:eastAsia="宋体"/>
                <w:color w:val="auto"/>
                <w:lang w:val="en-US" w:eastAsia="zh-CN"/>
              </w:rPr>
            </w:pPr>
            <w:r>
              <w:rPr>
                <w:rFonts w:hint="eastAsia"/>
                <w:color w:val="auto"/>
                <w:lang w:val="en-US" w:eastAsia="zh-CN"/>
              </w:rPr>
              <w:t>/</w:t>
            </w:r>
          </w:p>
        </w:tc>
        <w:tc>
          <w:tcPr>
            <w:tcW w:w="835" w:type="pct"/>
            <w:tcBorders>
              <w:tl2br w:val="nil"/>
              <w:tr2bl w:val="nil"/>
            </w:tcBorders>
            <w:shd w:val="clear" w:color="auto" w:fill="auto"/>
            <w:vAlign w:val="center"/>
          </w:tcPr>
          <w:p w14:paraId="1D8D3275">
            <w:pPr>
              <w:pStyle w:val="3127"/>
              <w:rPr>
                <w:rFonts w:eastAsia="Times New Roman"/>
                <w:color w:val="auto"/>
                <w:lang w:eastAsia="en-US"/>
              </w:rPr>
            </w:pPr>
            <w:r>
              <w:rPr>
                <w:rFonts w:hint="eastAsia" w:eastAsia="Times New Roman"/>
                <w:color w:val="auto"/>
                <w:lang w:eastAsia="en-US"/>
              </w:rPr>
              <w:t>/</w:t>
            </w:r>
          </w:p>
        </w:tc>
        <w:tc>
          <w:tcPr>
            <w:tcW w:w="835" w:type="pct"/>
            <w:tcBorders>
              <w:tl2br w:val="nil"/>
              <w:tr2bl w:val="nil"/>
            </w:tcBorders>
            <w:shd w:val="clear" w:color="auto" w:fill="auto"/>
            <w:vAlign w:val="center"/>
          </w:tcPr>
          <w:p w14:paraId="552BA5C6">
            <w:pPr>
              <w:pStyle w:val="3127"/>
              <w:rPr>
                <w:rFonts w:eastAsia="Times New Roman"/>
                <w:color w:val="auto"/>
                <w:lang w:eastAsia="en-US"/>
              </w:rPr>
            </w:pPr>
            <w:r>
              <w:rPr>
                <w:rFonts w:hint="eastAsia" w:eastAsia="Times New Roman"/>
                <w:color w:val="auto"/>
                <w:lang w:eastAsia="en-US"/>
              </w:rPr>
              <w:t>/</w:t>
            </w:r>
          </w:p>
        </w:tc>
        <w:tc>
          <w:tcPr>
            <w:tcW w:w="837" w:type="pct"/>
            <w:tcBorders>
              <w:tl2br w:val="nil"/>
              <w:tr2bl w:val="nil"/>
            </w:tcBorders>
            <w:shd w:val="clear" w:color="auto" w:fill="auto"/>
            <w:vAlign w:val="center"/>
          </w:tcPr>
          <w:p w14:paraId="16C8A8E7">
            <w:pPr>
              <w:pStyle w:val="3127"/>
              <w:rPr>
                <w:rFonts w:eastAsia="Times New Roman"/>
                <w:color w:val="auto"/>
                <w:lang w:eastAsia="en-US"/>
              </w:rPr>
            </w:pPr>
            <w:r>
              <w:rPr>
                <w:rFonts w:hint="eastAsia" w:eastAsia="Times New Roman"/>
                <w:color w:val="auto"/>
                <w:lang w:eastAsia="en-US"/>
              </w:rPr>
              <w:t>/</w:t>
            </w:r>
          </w:p>
        </w:tc>
      </w:tr>
      <w:tr w14:paraId="73AD6E4E">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11" w:type="pct"/>
            <w:tcBorders>
              <w:tl2br w:val="nil"/>
              <w:tr2bl w:val="nil"/>
            </w:tcBorders>
            <w:vAlign w:val="center"/>
          </w:tcPr>
          <w:p w14:paraId="7A18E073">
            <w:pPr>
              <w:pStyle w:val="3127"/>
              <w:rPr>
                <w:rFonts w:eastAsia="Times New Roman"/>
                <w:color w:val="auto"/>
                <w:lang w:eastAsia="en-US"/>
              </w:rPr>
            </w:pPr>
            <w:r>
              <w:rPr>
                <w:rFonts w:eastAsia="Times New Roman"/>
                <w:color w:val="auto"/>
                <w:lang w:eastAsia="en-US"/>
              </w:rPr>
              <w:t>20</w:t>
            </w:r>
          </w:p>
        </w:tc>
        <w:tc>
          <w:tcPr>
            <w:tcW w:w="508" w:type="pct"/>
            <w:tcBorders>
              <w:tl2br w:val="nil"/>
              <w:tr2bl w:val="nil"/>
            </w:tcBorders>
            <w:shd w:val="clear" w:color="auto" w:fill="auto"/>
            <w:vAlign w:val="center"/>
          </w:tcPr>
          <w:p w14:paraId="39335B5F">
            <w:pPr>
              <w:pStyle w:val="3127"/>
              <w:rPr>
                <w:rFonts w:eastAsia="Times New Roman"/>
                <w:snapToGrid w:val="0"/>
                <w:color w:val="auto"/>
                <w:kern w:val="44"/>
                <w:lang w:eastAsia="en-US"/>
              </w:rPr>
            </w:pPr>
            <w:r>
              <w:rPr>
                <w:rFonts w:hint="eastAsia" w:ascii="宋体" w:hAnsi="宋体" w:eastAsia="Times New Roman" w:cs="宋体"/>
                <w:snapToGrid w:val="0"/>
                <w:color w:val="auto"/>
                <w:kern w:val="44"/>
                <w:lang w:eastAsia="en-US"/>
              </w:rPr>
              <w:t>氟化物</w:t>
            </w:r>
          </w:p>
        </w:tc>
        <w:tc>
          <w:tcPr>
            <w:tcW w:w="835" w:type="pct"/>
            <w:tcBorders>
              <w:tl2br w:val="nil"/>
              <w:tr2bl w:val="nil"/>
            </w:tcBorders>
            <w:shd w:val="clear" w:color="auto" w:fill="auto"/>
            <w:vAlign w:val="center"/>
          </w:tcPr>
          <w:p w14:paraId="32362B5D">
            <w:pPr>
              <w:pStyle w:val="3127"/>
              <w:rPr>
                <w:rFonts w:eastAsia="Times New Roman"/>
                <w:color w:val="auto"/>
                <w:lang w:eastAsia="en-US"/>
              </w:rPr>
            </w:pPr>
            <w:r>
              <w:rPr>
                <w:rFonts w:hint="eastAsia" w:eastAsia="Times New Roman"/>
                <w:color w:val="auto"/>
                <w:lang w:eastAsia="en-US"/>
              </w:rPr>
              <w:t>≤50</w:t>
            </w:r>
          </w:p>
        </w:tc>
        <w:tc>
          <w:tcPr>
            <w:tcW w:w="835" w:type="pct"/>
            <w:tcBorders>
              <w:tl2br w:val="nil"/>
              <w:tr2bl w:val="nil"/>
            </w:tcBorders>
            <w:shd w:val="clear" w:color="auto" w:fill="auto"/>
            <w:vAlign w:val="center"/>
          </w:tcPr>
          <w:p w14:paraId="1C81990F">
            <w:pPr>
              <w:pStyle w:val="3127"/>
              <w:rPr>
                <w:rFonts w:hint="default" w:eastAsia="宋体"/>
                <w:color w:val="auto"/>
                <w:lang w:val="en-US" w:eastAsia="zh-CN"/>
              </w:rPr>
            </w:pPr>
            <w:r>
              <w:rPr>
                <w:rFonts w:hint="eastAsia"/>
                <w:color w:val="auto"/>
                <w:lang w:val="en-US" w:eastAsia="zh-CN"/>
              </w:rPr>
              <w:t>50</w:t>
            </w:r>
          </w:p>
        </w:tc>
        <w:tc>
          <w:tcPr>
            <w:tcW w:w="835" w:type="pct"/>
            <w:tcBorders>
              <w:tl2br w:val="nil"/>
              <w:tr2bl w:val="nil"/>
            </w:tcBorders>
            <w:shd w:val="clear" w:color="auto" w:fill="auto"/>
            <w:vAlign w:val="center"/>
          </w:tcPr>
          <w:p w14:paraId="5882E090">
            <w:pPr>
              <w:pStyle w:val="3127"/>
              <w:rPr>
                <w:rFonts w:eastAsia="Times New Roman"/>
                <w:color w:val="auto"/>
                <w:lang w:eastAsia="en-US"/>
              </w:rPr>
            </w:pPr>
            <w:r>
              <w:rPr>
                <w:rFonts w:hint="eastAsia" w:eastAsia="Times New Roman"/>
                <w:color w:val="auto"/>
                <w:lang w:eastAsia="en-US"/>
              </w:rPr>
              <w:t>/</w:t>
            </w:r>
          </w:p>
        </w:tc>
        <w:tc>
          <w:tcPr>
            <w:tcW w:w="835" w:type="pct"/>
            <w:tcBorders>
              <w:tl2br w:val="nil"/>
              <w:tr2bl w:val="nil"/>
            </w:tcBorders>
            <w:shd w:val="clear" w:color="auto" w:fill="auto"/>
            <w:vAlign w:val="center"/>
          </w:tcPr>
          <w:p w14:paraId="14527A77">
            <w:pPr>
              <w:pStyle w:val="3127"/>
              <w:rPr>
                <w:rFonts w:eastAsia="Times New Roman"/>
                <w:color w:val="auto"/>
                <w:lang w:eastAsia="en-US"/>
              </w:rPr>
            </w:pPr>
            <w:r>
              <w:rPr>
                <w:rFonts w:hint="eastAsia" w:eastAsia="Times New Roman"/>
                <w:color w:val="auto"/>
                <w:lang w:eastAsia="en-US"/>
              </w:rPr>
              <w:t>/</w:t>
            </w:r>
          </w:p>
        </w:tc>
        <w:tc>
          <w:tcPr>
            <w:tcW w:w="837" w:type="pct"/>
            <w:tcBorders>
              <w:tl2br w:val="nil"/>
              <w:tr2bl w:val="nil"/>
            </w:tcBorders>
            <w:shd w:val="clear" w:color="auto" w:fill="auto"/>
            <w:vAlign w:val="center"/>
          </w:tcPr>
          <w:p w14:paraId="0D505C34">
            <w:pPr>
              <w:pStyle w:val="3127"/>
              <w:rPr>
                <w:rFonts w:eastAsia="Times New Roman"/>
                <w:color w:val="auto"/>
                <w:lang w:eastAsia="en-US"/>
              </w:rPr>
            </w:pPr>
            <w:r>
              <w:rPr>
                <w:rFonts w:hint="eastAsia" w:eastAsia="Times New Roman"/>
                <w:color w:val="auto"/>
                <w:lang w:eastAsia="en-US"/>
              </w:rPr>
              <w:t>/</w:t>
            </w:r>
          </w:p>
        </w:tc>
      </w:tr>
      <w:tr w14:paraId="11FF6082">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11" w:type="pct"/>
            <w:tcBorders>
              <w:tl2br w:val="nil"/>
              <w:tr2bl w:val="nil"/>
            </w:tcBorders>
            <w:vAlign w:val="center"/>
          </w:tcPr>
          <w:p w14:paraId="43C1F56E">
            <w:pPr>
              <w:pStyle w:val="3127"/>
              <w:rPr>
                <w:rFonts w:eastAsia="Times New Roman"/>
                <w:color w:val="auto"/>
                <w:lang w:eastAsia="en-US"/>
              </w:rPr>
            </w:pPr>
            <w:r>
              <w:rPr>
                <w:rFonts w:eastAsia="Times New Roman"/>
                <w:color w:val="auto"/>
                <w:lang w:eastAsia="en-US"/>
              </w:rPr>
              <w:t>21</w:t>
            </w:r>
          </w:p>
        </w:tc>
        <w:tc>
          <w:tcPr>
            <w:tcW w:w="508" w:type="pct"/>
            <w:tcBorders>
              <w:tl2br w:val="nil"/>
              <w:tr2bl w:val="nil"/>
            </w:tcBorders>
            <w:shd w:val="clear" w:color="auto" w:fill="auto"/>
            <w:vAlign w:val="center"/>
          </w:tcPr>
          <w:p w14:paraId="6E92515C">
            <w:pPr>
              <w:pStyle w:val="3127"/>
              <w:ind w:firstLine="0" w:firstLineChars="0"/>
              <w:rPr>
                <w:rFonts w:ascii="Times New Roman" w:hAnsi="Times New Roman" w:eastAsia="Times New Roman" w:cs="Times New Roman"/>
                <w:color w:val="auto"/>
                <w:kern w:val="2"/>
                <w:sz w:val="21"/>
                <w:szCs w:val="21"/>
                <w:lang w:val="en-US" w:eastAsia="en-US" w:bidi="ar-SA"/>
              </w:rPr>
            </w:pPr>
            <w:r>
              <w:rPr>
                <w:rFonts w:hint="eastAsia" w:ascii="宋体" w:hAnsi="宋体" w:eastAsia="Times New Roman" w:cs="宋体"/>
                <w:color w:val="auto"/>
                <w:lang w:eastAsia="en-US"/>
              </w:rPr>
              <w:t>总硬度（总碱度）</w:t>
            </w:r>
          </w:p>
        </w:tc>
        <w:tc>
          <w:tcPr>
            <w:tcW w:w="835" w:type="pct"/>
            <w:tcBorders>
              <w:tl2br w:val="nil"/>
              <w:tr2bl w:val="nil"/>
            </w:tcBorders>
            <w:shd w:val="clear" w:color="auto" w:fill="auto"/>
            <w:vAlign w:val="center"/>
          </w:tcPr>
          <w:p w14:paraId="5B6EE3BC">
            <w:pPr>
              <w:pStyle w:val="3127"/>
              <w:ind w:firstLine="0" w:firstLineChars="0"/>
              <w:rPr>
                <w:rFonts w:ascii="Times New Roman" w:hAnsi="Times New Roman" w:eastAsia="Times New Roman" w:cs="Times New Roman"/>
                <w:color w:val="auto"/>
                <w:kern w:val="2"/>
                <w:sz w:val="21"/>
                <w:szCs w:val="21"/>
                <w:lang w:val="en-US" w:eastAsia="en-US" w:bidi="ar-SA"/>
              </w:rPr>
            </w:pPr>
            <w:r>
              <w:rPr>
                <w:rFonts w:eastAsia="Times New Roman"/>
                <w:color w:val="auto"/>
                <w:lang w:eastAsia="en-US"/>
              </w:rPr>
              <w:t>500</w:t>
            </w:r>
          </w:p>
        </w:tc>
        <w:tc>
          <w:tcPr>
            <w:tcW w:w="835" w:type="pct"/>
            <w:tcBorders>
              <w:tl2br w:val="nil"/>
              <w:tr2bl w:val="nil"/>
            </w:tcBorders>
            <w:shd w:val="clear" w:color="auto" w:fill="auto"/>
            <w:vAlign w:val="center"/>
          </w:tcPr>
          <w:p w14:paraId="54BAF9C8">
            <w:pPr>
              <w:pStyle w:val="3127"/>
              <w:rPr>
                <w:rFonts w:hint="eastAsia" w:eastAsia="宋体"/>
                <w:color w:val="auto"/>
                <w:lang w:val="en-US" w:eastAsia="zh-CN"/>
              </w:rPr>
            </w:pPr>
            <w:r>
              <w:rPr>
                <w:rFonts w:hint="eastAsia"/>
                <w:color w:val="auto"/>
                <w:lang w:val="en-US" w:eastAsia="zh-CN"/>
              </w:rPr>
              <w:t>5</w:t>
            </w:r>
          </w:p>
        </w:tc>
        <w:tc>
          <w:tcPr>
            <w:tcW w:w="835" w:type="pct"/>
            <w:tcBorders>
              <w:tl2br w:val="nil"/>
              <w:tr2bl w:val="nil"/>
            </w:tcBorders>
            <w:shd w:val="clear" w:color="auto" w:fill="auto"/>
            <w:vAlign w:val="center"/>
          </w:tcPr>
          <w:p w14:paraId="1F486D5D">
            <w:pPr>
              <w:pStyle w:val="3127"/>
              <w:rPr>
                <w:rFonts w:eastAsia="Times New Roman"/>
                <w:color w:val="auto"/>
                <w:lang w:eastAsia="en-US"/>
              </w:rPr>
            </w:pPr>
            <w:r>
              <w:rPr>
                <w:rFonts w:hint="eastAsia" w:eastAsia="Times New Roman"/>
                <w:color w:val="auto"/>
                <w:lang w:eastAsia="en-US"/>
              </w:rPr>
              <w:t>/</w:t>
            </w:r>
          </w:p>
        </w:tc>
        <w:tc>
          <w:tcPr>
            <w:tcW w:w="835" w:type="pct"/>
            <w:tcBorders>
              <w:tl2br w:val="nil"/>
              <w:tr2bl w:val="nil"/>
            </w:tcBorders>
            <w:shd w:val="clear" w:color="auto" w:fill="auto"/>
            <w:vAlign w:val="center"/>
          </w:tcPr>
          <w:p w14:paraId="01FDFD03">
            <w:pPr>
              <w:pStyle w:val="3127"/>
              <w:rPr>
                <w:rFonts w:eastAsia="Times New Roman"/>
                <w:color w:val="auto"/>
                <w:lang w:eastAsia="en-US"/>
              </w:rPr>
            </w:pPr>
            <w:r>
              <w:rPr>
                <w:rFonts w:hint="eastAsia" w:eastAsia="Times New Roman"/>
                <w:color w:val="auto"/>
                <w:lang w:eastAsia="en-US"/>
              </w:rPr>
              <w:t>/</w:t>
            </w:r>
          </w:p>
        </w:tc>
        <w:tc>
          <w:tcPr>
            <w:tcW w:w="837" w:type="pct"/>
            <w:tcBorders>
              <w:tl2br w:val="nil"/>
              <w:tr2bl w:val="nil"/>
            </w:tcBorders>
            <w:shd w:val="clear" w:color="auto" w:fill="auto"/>
            <w:vAlign w:val="center"/>
          </w:tcPr>
          <w:p w14:paraId="5D66D69B">
            <w:pPr>
              <w:pStyle w:val="3127"/>
              <w:rPr>
                <w:rFonts w:eastAsia="Times New Roman"/>
                <w:color w:val="auto"/>
                <w:lang w:eastAsia="en-US"/>
              </w:rPr>
            </w:pPr>
            <w:r>
              <w:rPr>
                <w:rFonts w:hint="eastAsia" w:eastAsia="Times New Roman"/>
                <w:color w:val="auto"/>
                <w:lang w:eastAsia="en-US"/>
              </w:rPr>
              <w:t>/</w:t>
            </w:r>
          </w:p>
        </w:tc>
      </w:tr>
      <w:tr w14:paraId="72204B4B">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11" w:type="pct"/>
            <w:tcBorders>
              <w:tl2br w:val="nil"/>
              <w:tr2bl w:val="nil"/>
            </w:tcBorders>
            <w:vAlign w:val="center"/>
          </w:tcPr>
          <w:p w14:paraId="666503C6">
            <w:pPr>
              <w:pStyle w:val="3127"/>
              <w:rPr>
                <w:rFonts w:hint="default" w:eastAsia="宋体"/>
                <w:color w:val="auto"/>
                <w:lang w:val="en-US" w:eastAsia="zh-CN"/>
              </w:rPr>
            </w:pPr>
            <w:r>
              <w:rPr>
                <w:rFonts w:hint="eastAsia"/>
                <w:color w:val="auto"/>
                <w:lang w:val="en-US" w:eastAsia="zh-CN"/>
              </w:rPr>
              <w:t>22</w:t>
            </w:r>
          </w:p>
        </w:tc>
        <w:tc>
          <w:tcPr>
            <w:tcW w:w="508" w:type="pct"/>
            <w:tcBorders>
              <w:tl2br w:val="nil"/>
              <w:tr2bl w:val="nil"/>
            </w:tcBorders>
            <w:shd w:val="clear" w:color="auto" w:fill="auto"/>
            <w:vAlign w:val="center"/>
          </w:tcPr>
          <w:p w14:paraId="28086A6B">
            <w:pPr>
              <w:spacing w:line="240" w:lineRule="auto"/>
              <w:ind w:firstLine="0" w:firstLineChars="0"/>
              <w:jc w:val="center"/>
              <w:rPr>
                <w:rFonts w:hint="eastAsia" w:ascii="宋体" w:hAnsi="宋体" w:eastAsia="Times New Roman" w:cs="宋体"/>
                <w:color w:val="auto"/>
                <w:szCs w:val="22"/>
                <w:lang w:eastAsia="en-US"/>
              </w:rPr>
            </w:pPr>
            <w:r>
              <w:rPr>
                <w:rFonts w:eastAsia="Times New Roman"/>
                <w:color w:val="auto"/>
                <w:sz w:val="21"/>
                <w:szCs w:val="21"/>
                <w:lang w:eastAsia="en-US"/>
              </w:rPr>
              <w:t>硼</w:t>
            </w:r>
          </w:p>
        </w:tc>
        <w:tc>
          <w:tcPr>
            <w:tcW w:w="1519" w:type="dxa"/>
            <w:tcBorders>
              <w:tl2br w:val="nil"/>
              <w:tr2bl w:val="nil"/>
            </w:tcBorders>
            <w:shd w:val="clear" w:color="auto" w:fill="auto"/>
            <w:vAlign w:val="center"/>
          </w:tcPr>
          <w:p w14:paraId="587AD9E8">
            <w:pPr>
              <w:pStyle w:val="3127"/>
              <w:ind w:firstLine="0" w:firstLineChars="0"/>
              <w:rPr>
                <w:rFonts w:eastAsia="Times New Roman"/>
                <w:color w:val="auto"/>
                <w:lang w:eastAsia="en-US"/>
              </w:rPr>
            </w:pPr>
            <w:r>
              <w:rPr>
                <w:rFonts w:hint="eastAsia" w:eastAsia="Times New Roman"/>
                <w:color w:val="auto"/>
                <w:lang w:eastAsia="en-US"/>
              </w:rPr>
              <w:t>/</w:t>
            </w:r>
          </w:p>
        </w:tc>
        <w:tc>
          <w:tcPr>
            <w:tcW w:w="835" w:type="pct"/>
            <w:tcBorders>
              <w:tl2br w:val="nil"/>
              <w:tr2bl w:val="nil"/>
            </w:tcBorders>
            <w:shd w:val="clear" w:color="auto" w:fill="auto"/>
            <w:vAlign w:val="center"/>
          </w:tcPr>
          <w:p w14:paraId="2B1074A9">
            <w:pPr>
              <w:widowControl/>
              <w:kinsoku w:val="0"/>
              <w:autoSpaceDE w:val="0"/>
              <w:autoSpaceDN w:val="0"/>
              <w:spacing w:line="240" w:lineRule="auto"/>
              <w:ind w:firstLine="0" w:firstLineChars="0"/>
              <w:jc w:val="center"/>
              <w:textAlignment w:val="baseline"/>
              <w:rPr>
                <w:rFonts w:hint="eastAsia" w:ascii="Times New Roman" w:hAnsi="Times New Roman" w:eastAsia="Times New Roman" w:cs="Times New Roman"/>
                <w:color w:val="auto"/>
                <w:kern w:val="2"/>
                <w:sz w:val="24"/>
                <w:szCs w:val="22"/>
                <w:lang w:val="en-US" w:eastAsia="zh-CN" w:bidi="ar-SA"/>
              </w:rPr>
            </w:pPr>
            <w:r>
              <w:rPr>
                <w:rFonts w:eastAsia="Times New Roman"/>
                <w:color w:val="auto"/>
                <w:sz w:val="21"/>
                <w:szCs w:val="21"/>
                <w:lang w:eastAsia="en-US"/>
              </w:rPr>
              <w:t>15</w:t>
            </w:r>
          </w:p>
        </w:tc>
        <w:tc>
          <w:tcPr>
            <w:tcW w:w="1519" w:type="dxa"/>
            <w:tcBorders>
              <w:tl2br w:val="nil"/>
              <w:tr2bl w:val="nil"/>
            </w:tcBorders>
            <w:shd w:val="clear" w:color="auto" w:fill="auto"/>
            <w:vAlign w:val="center"/>
          </w:tcPr>
          <w:p w14:paraId="6C25840D">
            <w:pPr>
              <w:pStyle w:val="3127"/>
              <w:ind w:firstLine="0" w:firstLineChars="0"/>
              <w:rPr>
                <w:rFonts w:hint="eastAsia" w:eastAsia="Times New Roman"/>
                <w:color w:val="auto"/>
                <w:lang w:eastAsia="en-US"/>
              </w:rPr>
            </w:pPr>
            <w:r>
              <w:rPr>
                <w:rFonts w:hint="eastAsia" w:eastAsia="Times New Roman"/>
                <w:color w:val="auto"/>
                <w:lang w:eastAsia="en-US"/>
              </w:rPr>
              <w:t>/</w:t>
            </w:r>
          </w:p>
        </w:tc>
        <w:tc>
          <w:tcPr>
            <w:tcW w:w="1519" w:type="dxa"/>
            <w:tcBorders>
              <w:tl2br w:val="nil"/>
              <w:tr2bl w:val="nil"/>
            </w:tcBorders>
            <w:shd w:val="clear" w:color="auto" w:fill="auto"/>
            <w:vAlign w:val="center"/>
          </w:tcPr>
          <w:p w14:paraId="7777C174">
            <w:pPr>
              <w:pStyle w:val="3127"/>
              <w:ind w:firstLine="0" w:firstLineChars="0"/>
              <w:rPr>
                <w:rFonts w:hint="eastAsia" w:eastAsia="Times New Roman"/>
                <w:color w:val="auto"/>
                <w:lang w:eastAsia="en-US"/>
              </w:rPr>
            </w:pPr>
            <w:r>
              <w:rPr>
                <w:rFonts w:hint="eastAsia" w:eastAsia="Times New Roman"/>
                <w:color w:val="auto"/>
                <w:lang w:eastAsia="en-US"/>
              </w:rPr>
              <w:t>/</w:t>
            </w:r>
          </w:p>
        </w:tc>
        <w:tc>
          <w:tcPr>
            <w:tcW w:w="1522" w:type="dxa"/>
            <w:tcBorders>
              <w:tl2br w:val="nil"/>
              <w:tr2bl w:val="nil"/>
            </w:tcBorders>
            <w:shd w:val="clear" w:color="auto" w:fill="auto"/>
            <w:vAlign w:val="center"/>
          </w:tcPr>
          <w:p w14:paraId="4F8381B2">
            <w:pPr>
              <w:pStyle w:val="3127"/>
              <w:ind w:firstLine="0" w:firstLineChars="0"/>
              <w:rPr>
                <w:rFonts w:hint="eastAsia" w:eastAsia="Times New Roman"/>
                <w:color w:val="auto"/>
                <w:lang w:eastAsia="en-US"/>
              </w:rPr>
            </w:pPr>
            <w:r>
              <w:rPr>
                <w:rFonts w:hint="eastAsia" w:eastAsia="Times New Roman"/>
                <w:color w:val="auto"/>
                <w:lang w:eastAsia="en-US"/>
              </w:rPr>
              <w:t>/</w:t>
            </w:r>
          </w:p>
        </w:tc>
      </w:tr>
      <w:tr w14:paraId="5C4F2346">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11" w:type="pct"/>
            <w:tcBorders>
              <w:tl2br w:val="nil"/>
              <w:tr2bl w:val="nil"/>
            </w:tcBorders>
            <w:vAlign w:val="center"/>
          </w:tcPr>
          <w:p w14:paraId="19AFC6A5">
            <w:pPr>
              <w:pStyle w:val="3127"/>
              <w:rPr>
                <w:rFonts w:hint="default" w:eastAsia="宋体"/>
                <w:color w:val="auto"/>
                <w:lang w:val="en-US" w:eastAsia="zh-CN"/>
              </w:rPr>
            </w:pPr>
            <w:r>
              <w:rPr>
                <w:rFonts w:hint="eastAsia"/>
                <w:color w:val="auto"/>
                <w:lang w:val="en-US" w:eastAsia="zh-CN"/>
              </w:rPr>
              <w:t>23</w:t>
            </w:r>
          </w:p>
        </w:tc>
        <w:tc>
          <w:tcPr>
            <w:tcW w:w="508" w:type="pct"/>
            <w:tcBorders>
              <w:tl2br w:val="nil"/>
              <w:tr2bl w:val="nil"/>
            </w:tcBorders>
            <w:shd w:val="clear" w:color="auto" w:fill="auto"/>
            <w:vAlign w:val="center"/>
          </w:tcPr>
          <w:p w14:paraId="510DA848">
            <w:pPr>
              <w:widowControl/>
              <w:kinsoku w:val="0"/>
              <w:autoSpaceDE w:val="0"/>
              <w:autoSpaceDN w:val="0"/>
              <w:spacing w:line="240" w:lineRule="auto"/>
              <w:ind w:firstLine="0" w:firstLineChars="0"/>
              <w:jc w:val="center"/>
              <w:textAlignment w:val="baseline"/>
              <w:rPr>
                <w:rFonts w:hint="eastAsia" w:ascii="宋体" w:hAnsi="宋体" w:eastAsia="Times New Roman" w:cs="宋体"/>
                <w:color w:val="auto"/>
                <w:szCs w:val="22"/>
                <w:lang w:eastAsia="en-US"/>
              </w:rPr>
            </w:pPr>
            <w:r>
              <w:rPr>
                <w:rFonts w:eastAsia="Times New Roman"/>
                <w:color w:val="auto"/>
                <w:kern w:val="21"/>
                <w:sz w:val="21"/>
                <w:szCs w:val="21"/>
                <w:lang w:eastAsia="en-US"/>
              </w:rPr>
              <w:t>可溶性钡</w:t>
            </w:r>
          </w:p>
        </w:tc>
        <w:tc>
          <w:tcPr>
            <w:tcW w:w="1519" w:type="dxa"/>
            <w:tcBorders>
              <w:tl2br w:val="nil"/>
              <w:tr2bl w:val="nil"/>
            </w:tcBorders>
            <w:shd w:val="clear" w:color="auto" w:fill="auto"/>
            <w:vAlign w:val="center"/>
          </w:tcPr>
          <w:p w14:paraId="485FE8A7">
            <w:pPr>
              <w:pStyle w:val="3127"/>
              <w:ind w:firstLine="0" w:firstLineChars="0"/>
              <w:rPr>
                <w:rFonts w:eastAsia="Times New Roman"/>
                <w:color w:val="auto"/>
                <w:lang w:eastAsia="en-US"/>
              </w:rPr>
            </w:pPr>
            <w:r>
              <w:rPr>
                <w:rFonts w:hint="eastAsia" w:eastAsia="Times New Roman"/>
                <w:color w:val="auto"/>
                <w:lang w:eastAsia="en-US"/>
              </w:rPr>
              <w:t>/</w:t>
            </w:r>
          </w:p>
        </w:tc>
        <w:tc>
          <w:tcPr>
            <w:tcW w:w="835" w:type="pct"/>
            <w:tcBorders>
              <w:tl2br w:val="nil"/>
              <w:tr2bl w:val="nil"/>
            </w:tcBorders>
            <w:shd w:val="clear" w:color="auto" w:fill="auto"/>
            <w:vAlign w:val="center"/>
          </w:tcPr>
          <w:p w14:paraId="724409B6">
            <w:pPr>
              <w:spacing w:line="240" w:lineRule="auto"/>
              <w:ind w:firstLine="0" w:firstLineChars="0"/>
              <w:jc w:val="center"/>
              <w:rPr>
                <w:rFonts w:hint="eastAsia" w:ascii="Times New Roman" w:hAnsi="Times New Roman" w:eastAsia="Times New Roman" w:cs="Times New Roman"/>
                <w:color w:val="auto"/>
                <w:kern w:val="2"/>
                <w:sz w:val="24"/>
                <w:szCs w:val="22"/>
                <w:lang w:val="en-US" w:eastAsia="zh-CN" w:bidi="ar-SA"/>
              </w:rPr>
            </w:pPr>
            <w:r>
              <w:rPr>
                <w:rFonts w:eastAsia="Times New Roman"/>
                <w:color w:val="auto"/>
                <w:sz w:val="21"/>
                <w:szCs w:val="21"/>
                <w:lang w:eastAsia="en-US"/>
              </w:rPr>
              <w:t>50</w:t>
            </w:r>
          </w:p>
        </w:tc>
        <w:tc>
          <w:tcPr>
            <w:tcW w:w="1519" w:type="dxa"/>
            <w:tcBorders>
              <w:tl2br w:val="nil"/>
              <w:tr2bl w:val="nil"/>
            </w:tcBorders>
            <w:shd w:val="clear" w:color="auto" w:fill="auto"/>
            <w:vAlign w:val="center"/>
          </w:tcPr>
          <w:p w14:paraId="276D4831">
            <w:pPr>
              <w:pStyle w:val="3127"/>
              <w:ind w:firstLine="0" w:firstLineChars="0"/>
              <w:rPr>
                <w:rFonts w:hint="eastAsia" w:eastAsia="Times New Roman"/>
                <w:color w:val="auto"/>
                <w:lang w:eastAsia="en-US"/>
              </w:rPr>
            </w:pPr>
            <w:r>
              <w:rPr>
                <w:rFonts w:hint="eastAsia" w:eastAsia="Times New Roman"/>
                <w:color w:val="auto"/>
                <w:lang w:eastAsia="en-US"/>
              </w:rPr>
              <w:t>/</w:t>
            </w:r>
          </w:p>
        </w:tc>
        <w:tc>
          <w:tcPr>
            <w:tcW w:w="1519" w:type="dxa"/>
            <w:tcBorders>
              <w:tl2br w:val="nil"/>
              <w:tr2bl w:val="nil"/>
            </w:tcBorders>
            <w:shd w:val="clear" w:color="auto" w:fill="auto"/>
            <w:vAlign w:val="center"/>
          </w:tcPr>
          <w:p w14:paraId="12052C35">
            <w:pPr>
              <w:pStyle w:val="3127"/>
              <w:ind w:firstLine="0" w:firstLineChars="0"/>
              <w:rPr>
                <w:rFonts w:hint="eastAsia" w:eastAsia="Times New Roman"/>
                <w:color w:val="auto"/>
                <w:lang w:eastAsia="en-US"/>
              </w:rPr>
            </w:pPr>
            <w:r>
              <w:rPr>
                <w:rFonts w:hint="eastAsia" w:eastAsia="Times New Roman"/>
                <w:color w:val="auto"/>
                <w:lang w:eastAsia="en-US"/>
              </w:rPr>
              <w:t>/</w:t>
            </w:r>
          </w:p>
        </w:tc>
        <w:tc>
          <w:tcPr>
            <w:tcW w:w="1522" w:type="dxa"/>
            <w:tcBorders>
              <w:tl2br w:val="nil"/>
              <w:tr2bl w:val="nil"/>
            </w:tcBorders>
            <w:shd w:val="clear" w:color="auto" w:fill="auto"/>
            <w:vAlign w:val="center"/>
          </w:tcPr>
          <w:p w14:paraId="4D8C4EAE">
            <w:pPr>
              <w:pStyle w:val="3127"/>
              <w:ind w:firstLine="0" w:firstLineChars="0"/>
              <w:rPr>
                <w:rFonts w:hint="eastAsia" w:eastAsia="Times New Roman"/>
                <w:color w:val="auto"/>
                <w:lang w:eastAsia="en-US"/>
              </w:rPr>
            </w:pPr>
            <w:r>
              <w:rPr>
                <w:rFonts w:hint="eastAsia" w:eastAsia="Times New Roman"/>
                <w:color w:val="auto"/>
                <w:lang w:eastAsia="en-US"/>
              </w:rPr>
              <w:t>/</w:t>
            </w:r>
          </w:p>
        </w:tc>
      </w:tr>
      <w:tr w14:paraId="3AF19F52">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11" w:type="pct"/>
            <w:tcBorders>
              <w:tl2br w:val="nil"/>
              <w:tr2bl w:val="nil"/>
            </w:tcBorders>
            <w:vAlign w:val="center"/>
          </w:tcPr>
          <w:p w14:paraId="2E0C15AC">
            <w:pPr>
              <w:pStyle w:val="3127"/>
              <w:rPr>
                <w:rFonts w:hint="default" w:eastAsia="宋体"/>
                <w:color w:val="auto"/>
                <w:lang w:val="en-US" w:eastAsia="zh-CN"/>
              </w:rPr>
            </w:pPr>
            <w:r>
              <w:rPr>
                <w:rFonts w:hint="eastAsia"/>
                <w:color w:val="auto"/>
                <w:lang w:val="en-US" w:eastAsia="zh-CN"/>
              </w:rPr>
              <w:t>24</w:t>
            </w:r>
          </w:p>
        </w:tc>
        <w:tc>
          <w:tcPr>
            <w:tcW w:w="508" w:type="pct"/>
            <w:tcBorders>
              <w:tl2br w:val="nil"/>
              <w:tr2bl w:val="nil"/>
            </w:tcBorders>
            <w:shd w:val="clear" w:color="auto" w:fill="auto"/>
            <w:vAlign w:val="center"/>
          </w:tcPr>
          <w:p w14:paraId="1FCAF47D">
            <w:pPr>
              <w:spacing w:line="240" w:lineRule="auto"/>
              <w:ind w:firstLine="0" w:firstLineChars="0"/>
              <w:jc w:val="center"/>
              <w:rPr>
                <w:rFonts w:hint="eastAsia" w:ascii="宋体" w:hAnsi="宋体" w:eastAsia="Times New Roman" w:cs="宋体"/>
                <w:color w:val="auto"/>
                <w:szCs w:val="22"/>
                <w:lang w:eastAsia="en-US"/>
              </w:rPr>
            </w:pPr>
            <w:r>
              <w:rPr>
                <w:rFonts w:eastAsia="Times New Roman"/>
                <w:color w:val="auto"/>
                <w:sz w:val="21"/>
                <w:szCs w:val="21"/>
                <w:lang w:eastAsia="en-US"/>
              </w:rPr>
              <w:t>总α放射性</w:t>
            </w:r>
            <w:r>
              <w:rPr>
                <w:rFonts w:hint="eastAsia" w:eastAsia="宋体"/>
                <w:color w:val="auto"/>
                <w:sz w:val="21"/>
                <w:szCs w:val="21"/>
                <w:lang w:eastAsia="zh-CN"/>
              </w:rPr>
              <w:t>（</w:t>
            </w:r>
            <w:r>
              <w:rPr>
                <w:rFonts w:eastAsia="Times New Roman"/>
                <w:color w:val="auto"/>
                <w:sz w:val="21"/>
                <w:szCs w:val="21"/>
                <w:lang w:eastAsia="en-US"/>
              </w:rPr>
              <w:t>Bq/L</w:t>
            </w:r>
            <w:r>
              <w:rPr>
                <w:rFonts w:hint="eastAsia" w:eastAsia="宋体"/>
                <w:color w:val="auto"/>
                <w:sz w:val="21"/>
                <w:szCs w:val="21"/>
                <w:lang w:eastAsia="zh-CN"/>
              </w:rPr>
              <w:t>）</w:t>
            </w:r>
          </w:p>
        </w:tc>
        <w:tc>
          <w:tcPr>
            <w:tcW w:w="1519" w:type="dxa"/>
            <w:tcBorders>
              <w:tl2br w:val="nil"/>
              <w:tr2bl w:val="nil"/>
            </w:tcBorders>
            <w:shd w:val="clear" w:color="auto" w:fill="auto"/>
            <w:vAlign w:val="center"/>
          </w:tcPr>
          <w:p w14:paraId="2F4D6D68">
            <w:pPr>
              <w:pStyle w:val="3127"/>
              <w:ind w:firstLine="0" w:firstLineChars="0"/>
              <w:rPr>
                <w:rFonts w:eastAsia="Times New Roman"/>
                <w:color w:val="auto"/>
                <w:lang w:eastAsia="en-US"/>
              </w:rPr>
            </w:pPr>
            <w:r>
              <w:rPr>
                <w:rFonts w:hint="eastAsia" w:eastAsia="Times New Roman"/>
                <w:color w:val="auto"/>
                <w:lang w:eastAsia="en-US"/>
              </w:rPr>
              <w:t>/</w:t>
            </w:r>
          </w:p>
        </w:tc>
        <w:tc>
          <w:tcPr>
            <w:tcW w:w="835" w:type="pct"/>
            <w:tcBorders>
              <w:tl2br w:val="nil"/>
              <w:tr2bl w:val="nil"/>
            </w:tcBorders>
            <w:shd w:val="clear" w:color="auto" w:fill="auto"/>
            <w:vAlign w:val="center"/>
          </w:tcPr>
          <w:p w14:paraId="11CC299D">
            <w:pPr>
              <w:spacing w:line="240" w:lineRule="auto"/>
              <w:ind w:firstLine="0" w:firstLineChars="0"/>
              <w:jc w:val="center"/>
              <w:rPr>
                <w:rFonts w:hint="eastAsia" w:ascii="Times New Roman" w:hAnsi="Times New Roman" w:eastAsia="Times New Roman" w:cs="Times New Roman"/>
                <w:color w:val="auto"/>
                <w:kern w:val="2"/>
                <w:sz w:val="24"/>
                <w:szCs w:val="22"/>
                <w:lang w:val="en-US" w:eastAsia="zh-CN" w:bidi="ar-SA"/>
              </w:rPr>
            </w:pPr>
            <w:r>
              <w:rPr>
                <w:rFonts w:eastAsia="Times New Roman"/>
                <w:color w:val="auto"/>
                <w:sz w:val="21"/>
                <w:szCs w:val="21"/>
                <w:lang w:eastAsia="en-US"/>
              </w:rPr>
              <w:t>50</w:t>
            </w:r>
          </w:p>
        </w:tc>
        <w:tc>
          <w:tcPr>
            <w:tcW w:w="1519" w:type="dxa"/>
            <w:tcBorders>
              <w:tl2br w:val="nil"/>
              <w:tr2bl w:val="nil"/>
            </w:tcBorders>
            <w:shd w:val="clear" w:color="auto" w:fill="auto"/>
            <w:vAlign w:val="center"/>
          </w:tcPr>
          <w:p w14:paraId="20344F5E">
            <w:pPr>
              <w:pStyle w:val="3127"/>
              <w:ind w:firstLine="0" w:firstLineChars="0"/>
              <w:rPr>
                <w:rFonts w:hint="eastAsia" w:eastAsia="Times New Roman"/>
                <w:color w:val="auto"/>
                <w:lang w:eastAsia="en-US"/>
              </w:rPr>
            </w:pPr>
            <w:r>
              <w:rPr>
                <w:rFonts w:hint="eastAsia" w:eastAsia="Times New Roman"/>
                <w:color w:val="auto"/>
                <w:lang w:eastAsia="en-US"/>
              </w:rPr>
              <w:t>/</w:t>
            </w:r>
          </w:p>
        </w:tc>
        <w:tc>
          <w:tcPr>
            <w:tcW w:w="1519" w:type="dxa"/>
            <w:tcBorders>
              <w:tl2br w:val="nil"/>
              <w:tr2bl w:val="nil"/>
            </w:tcBorders>
            <w:shd w:val="clear" w:color="auto" w:fill="auto"/>
            <w:vAlign w:val="center"/>
          </w:tcPr>
          <w:p w14:paraId="702A9457">
            <w:pPr>
              <w:pStyle w:val="3127"/>
              <w:ind w:firstLine="0" w:firstLineChars="0"/>
              <w:rPr>
                <w:rFonts w:hint="eastAsia" w:eastAsia="Times New Roman"/>
                <w:color w:val="auto"/>
                <w:lang w:eastAsia="en-US"/>
              </w:rPr>
            </w:pPr>
            <w:r>
              <w:rPr>
                <w:rFonts w:hint="eastAsia" w:eastAsia="Times New Roman"/>
                <w:color w:val="auto"/>
                <w:lang w:eastAsia="en-US"/>
              </w:rPr>
              <w:t>/</w:t>
            </w:r>
          </w:p>
        </w:tc>
        <w:tc>
          <w:tcPr>
            <w:tcW w:w="1522" w:type="dxa"/>
            <w:tcBorders>
              <w:tl2br w:val="nil"/>
              <w:tr2bl w:val="nil"/>
            </w:tcBorders>
            <w:shd w:val="clear" w:color="auto" w:fill="auto"/>
            <w:vAlign w:val="center"/>
          </w:tcPr>
          <w:p w14:paraId="0D311F77">
            <w:pPr>
              <w:pStyle w:val="3127"/>
              <w:ind w:firstLine="0" w:firstLineChars="0"/>
              <w:rPr>
                <w:rFonts w:hint="eastAsia" w:eastAsia="Times New Roman"/>
                <w:color w:val="auto"/>
                <w:lang w:eastAsia="en-US"/>
              </w:rPr>
            </w:pPr>
            <w:r>
              <w:rPr>
                <w:rFonts w:hint="eastAsia" w:eastAsia="Times New Roman"/>
                <w:color w:val="auto"/>
                <w:lang w:eastAsia="en-US"/>
              </w:rPr>
              <w:t>/</w:t>
            </w:r>
          </w:p>
        </w:tc>
      </w:tr>
      <w:tr w14:paraId="79397114">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11" w:type="pct"/>
            <w:tcBorders>
              <w:tl2br w:val="nil"/>
              <w:tr2bl w:val="nil"/>
            </w:tcBorders>
            <w:vAlign w:val="center"/>
          </w:tcPr>
          <w:p w14:paraId="36B78E10">
            <w:pPr>
              <w:pStyle w:val="3127"/>
              <w:rPr>
                <w:rFonts w:hint="eastAsia" w:eastAsia="宋体"/>
                <w:color w:val="auto"/>
                <w:lang w:eastAsia="zh-CN"/>
              </w:rPr>
            </w:pPr>
            <w:r>
              <w:rPr>
                <w:rFonts w:eastAsia="Times New Roman"/>
                <w:color w:val="auto"/>
                <w:lang w:eastAsia="en-US"/>
              </w:rPr>
              <w:t>2</w:t>
            </w:r>
            <w:r>
              <w:rPr>
                <w:rFonts w:hint="eastAsia"/>
                <w:color w:val="auto"/>
                <w:lang w:val="en-US" w:eastAsia="zh-CN"/>
              </w:rPr>
              <w:t>5</w:t>
            </w:r>
          </w:p>
        </w:tc>
        <w:tc>
          <w:tcPr>
            <w:tcW w:w="508" w:type="pct"/>
            <w:tcBorders>
              <w:tl2br w:val="nil"/>
              <w:tr2bl w:val="nil"/>
            </w:tcBorders>
            <w:shd w:val="clear" w:color="auto" w:fill="auto"/>
            <w:vAlign w:val="center"/>
          </w:tcPr>
          <w:p w14:paraId="0DD68366">
            <w:pPr>
              <w:spacing w:line="240" w:lineRule="auto"/>
              <w:ind w:firstLine="0" w:firstLineChars="0"/>
              <w:jc w:val="center"/>
              <w:rPr>
                <w:rFonts w:eastAsia="Times New Roman"/>
                <w:color w:val="auto"/>
                <w:szCs w:val="22"/>
                <w:lang w:eastAsia="en-US"/>
              </w:rPr>
            </w:pPr>
            <w:r>
              <w:rPr>
                <w:rFonts w:eastAsia="Times New Roman"/>
                <w:color w:val="auto"/>
                <w:sz w:val="21"/>
                <w:szCs w:val="21"/>
                <w:lang w:eastAsia="en-US"/>
              </w:rPr>
              <w:t>总β放射性</w:t>
            </w:r>
            <w:r>
              <w:rPr>
                <w:rFonts w:hint="eastAsia" w:eastAsia="宋体"/>
                <w:color w:val="auto"/>
                <w:sz w:val="21"/>
                <w:szCs w:val="21"/>
                <w:lang w:eastAsia="zh-CN"/>
              </w:rPr>
              <w:t>（</w:t>
            </w:r>
            <w:r>
              <w:rPr>
                <w:rFonts w:eastAsia="Times New Roman"/>
                <w:color w:val="auto"/>
                <w:sz w:val="21"/>
                <w:szCs w:val="21"/>
                <w:lang w:eastAsia="en-US"/>
              </w:rPr>
              <w:t>Bq/L</w:t>
            </w:r>
            <w:r>
              <w:rPr>
                <w:rFonts w:hint="eastAsia" w:eastAsia="宋体"/>
                <w:color w:val="auto"/>
                <w:sz w:val="21"/>
                <w:szCs w:val="21"/>
                <w:lang w:eastAsia="zh-CN"/>
              </w:rPr>
              <w:t>）</w:t>
            </w:r>
          </w:p>
        </w:tc>
        <w:tc>
          <w:tcPr>
            <w:tcW w:w="1519" w:type="dxa"/>
            <w:tcBorders>
              <w:tl2br w:val="nil"/>
              <w:tr2bl w:val="nil"/>
            </w:tcBorders>
            <w:shd w:val="clear" w:color="auto" w:fill="auto"/>
            <w:vAlign w:val="center"/>
          </w:tcPr>
          <w:p w14:paraId="0F4B41AA">
            <w:pPr>
              <w:pStyle w:val="3127"/>
              <w:ind w:firstLine="0" w:firstLineChars="0"/>
              <w:rPr>
                <w:rFonts w:eastAsia="Times New Roman"/>
                <w:color w:val="auto"/>
                <w:lang w:eastAsia="en-US"/>
              </w:rPr>
            </w:pPr>
            <w:r>
              <w:rPr>
                <w:rFonts w:hint="eastAsia" w:eastAsia="Times New Roman"/>
                <w:color w:val="auto"/>
                <w:lang w:eastAsia="en-US"/>
              </w:rPr>
              <w:t>/</w:t>
            </w:r>
          </w:p>
        </w:tc>
        <w:tc>
          <w:tcPr>
            <w:tcW w:w="835" w:type="pct"/>
            <w:tcBorders>
              <w:tl2br w:val="nil"/>
              <w:tr2bl w:val="nil"/>
            </w:tcBorders>
            <w:shd w:val="clear" w:color="auto" w:fill="auto"/>
            <w:vAlign w:val="center"/>
          </w:tcPr>
          <w:p w14:paraId="71AFAF91">
            <w:pPr>
              <w:spacing w:line="240" w:lineRule="auto"/>
              <w:ind w:firstLine="0" w:firstLineChars="0"/>
              <w:jc w:val="center"/>
              <w:rPr>
                <w:rFonts w:hint="eastAsia" w:ascii="Times New Roman" w:hAnsi="Times New Roman" w:eastAsia="Times New Roman" w:cs="Times New Roman"/>
                <w:color w:val="auto"/>
                <w:kern w:val="2"/>
                <w:sz w:val="24"/>
                <w:szCs w:val="22"/>
                <w:lang w:val="en-US" w:eastAsia="zh-CN" w:bidi="ar-SA"/>
              </w:rPr>
            </w:pPr>
            <w:r>
              <w:rPr>
                <w:rFonts w:eastAsia="Times New Roman"/>
                <w:color w:val="auto"/>
                <w:sz w:val="21"/>
                <w:szCs w:val="21"/>
                <w:lang w:eastAsia="en-US"/>
              </w:rPr>
              <w:t>200</w:t>
            </w:r>
          </w:p>
        </w:tc>
        <w:tc>
          <w:tcPr>
            <w:tcW w:w="835" w:type="pct"/>
            <w:tcBorders>
              <w:tl2br w:val="nil"/>
              <w:tr2bl w:val="nil"/>
            </w:tcBorders>
            <w:shd w:val="clear" w:color="auto" w:fill="auto"/>
            <w:vAlign w:val="center"/>
          </w:tcPr>
          <w:p w14:paraId="09479794">
            <w:pPr>
              <w:pStyle w:val="3127"/>
              <w:rPr>
                <w:rFonts w:eastAsia="Times New Roman"/>
                <w:color w:val="auto"/>
                <w:lang w:eastAsia="en-US"/>
              </w:rPr>
            </w:pPr>
            <w:r>
              <w:rPr>
                <w:rFonts w:hint="eastAsia" w:eastAsia="Times New Roman"/>
                <w:color w:val="auto"/>
                <w:lang w:eastAsia="en-US"/>
              </w:rPr>
              <w:t>/</w:t>
            </w:r>
          </w:p>
        </w:tc>
        <w:tc>
          <w:tcPr>
            <w:tcW w:w="835" w:type="pct"/>
            <w:tcBorders>
              <w:tl2br w:val="nil"/>
              <w:tr2bl w:val="nil"/>
            </w:tcBorders>
            <w:shd w:val="clear" w:color="auto" w:fill="auto"/>
            <w:vAlign w:val="center"/>
          </w:tcPr>
          <w:p w14:paraId="69DEED5E">
            <w:pPr>
              <w:pStyle w:val="3127"/>
              <w:rPr>
                <w:rFonts w:eastAsia="Times New Roman"/>
                <w:color w:val="auto"/>
                <w:lang w:eastAsia="en-US"/>
              </w:rPr>
            </w:pPr>
            <w:r>
              <w:rPr>
                <w:rFonts w:hint="eastAsia" w:eastAsia="Times New Roman"/>
                <w:color w:val="auto"/>
                <w:lang w:eastAsia="en-US"/>
              </w:rPr>
              <w:t>/</w:t>
            </w:r>
          </w:p>
        </w:tc>
        <w:tc>
          <w:tcPr>
            <w:tcW w:w="837" w:type="pct"/>
            <w:tcBorders>
              <w:tl2br w:val="nil"/>
              <w:tr2bl w:val="nil"/>
            </w:tcBorders>
            <w:shd w:val="clear" w:color="auto" w:fill="auto"/>
            <w:vAlign w:val="center"/>
          </w:tcPr>
          <w:p w14:paraId="637B63C4">
            <w:pPr>
              <w:pStyle w:val="3127"/>
              <w:rPr>
                <w:rFonts w:eastAsia="Times New Roman"/>
                <w:color w:val="auto"/>
                <w:lang w:eastAsia="en-US"/>
              </w:rPr>
            </w:pPr>
            <w:r>
              <w:rPr>
                <w:rFonts w:hint="eastAsia" w:eastAsia="Times New Roman"/>
                <w:color w:val="auto"/>
                <w:lang w:eastAsia="en-US"/>
              </w:rPr>
              <w:t>/</w:t>
            </w:r>
          </w:p>
        </w:tc>
      </w:tr>
    </w:tbl>
    <w:p w14:paraId="762471C0">
      <w:pPr>
        <w:pStyle w:val="959"/>
        <w:snapToGrid w:val="0"/>
        <w:ind w:firstLine="480"/>
        <w:rPr>
          <w:rFonts w:ascii="Times New Roman" w:hAnsi="Times New Roman"/>
          <w:color w:val="auto"/>
          <w:lang w:val="en-US"/>
        </w:rPr>
      </w:pPr>
    </w:p>
    <w:p w14:paraId="4C408C8A">
      <w:pPr>
        <w:pStyle w:val="959"/>
        <w:snapToGrid w:val="0"/>
        <w:ind w:firstLine="480"/>
        <w:rPr>
          <w:rFonts w:ascii="Times New Roman" w:hAnsi="Times New Roman"/>
          <w:color w:val="auto"/>
          <w:lang w:val="en-US"/>
        </w:rPr>
      </w:pPr>
      <w:r>
        <w:rPr>
          <w:rFonts w:hint="eastAsia" w:ascii="宋体" w:hAnsi="宋体" w:cs="宋体"/>
          <w:color w:val="auto"/>
          <w:lang w:val="en-US" w:eastAsia="ja-JP"/>
        </w:rPr>
        <w:t>④</w:t>
      </w:r>
      <w:r>
        <w:rPr>
          <w:rFonts w:hint="eastAsia" w:ascii="宋体" w:hAnsi="宋体" w:cs="宋体"/>
          <w:color w:val="auto"/>
          <w:lang w:val="en-US"/>
        </w:rPr>
        <w:t>设计</w:t>
      </w:r>
      <w:r>
        <w:rPr>
          <w:rFonts w:ascii="Times New Roman" w:hAnsi="Times New Roman"/>
          <w:color w:val="auto"/>
          <w:lang w:val="en-US"/>
        </w:rPr>
        <w:t>进水水质确定</w:t>
      </w:r>
    </w:p>
    <w:p w14:paraId="06088D00">
      <w:pPr>
        <w:pStyle w:val="959"/>
        <w:snapToGrid w:val="0"/>
        <w:ind w:firstLine="480"/>
        <w:rPr>
          <w:rFonts w:hint="eastAsia" w:ascii="Times New Roman" w:hAnsi="Times New Roman"/>
          <w:color w:val="auto"/>
          <w:lang w:val="en-US"/>
        </w:rPr>
      </w:pPr>
      <w:r>
        <w:rPr>
          <w:rFonts w:hint="eastAsia" w:ascii="Times New Roman" w:hAnsi="Times New Roman"/>
          <w:color w:val="auto"/>
          <w:lang w:val="en-US"/>
        </w:rPr>
        <w:t>综上所述，</w:t>
      </w:r>
      <w:r>
        <w:rPr>
          <w:rFonts w:hint="eastAsia"/>
          <w:color w:val="auto"/>
          <w:szCs w:val="24"/>
          <w:lang w:val="en-US" w:eastAsia="zh-CN"/>
        </w:rPr>
        <w:t>重庆地区</w:t>
      </w:r>
      <w:r>
        <w:rPr>
          <w:rFonts w:hint="eastAsia"/>
          <w:color w:val="auto"/>
          <w:szCs w:val="24"/>
        </w:rPr>
        <w:t>页岩气开采企业岩气开采废水水质实测及调查情况</w:t>
      </w:r>
      <w:r>
        <w:rPr>
          <w:rFonts w:hint="eastAsia"/>
          <w:color w:val="auto"/>
        </w:rPr>
        <w:t>水质情况及同类型页岩气开采废水处理设施设计进水水质情况</w:t>
      </w:r>
      <w:r>
        <w:rPr>
          <w:rFonts w:ascii="Times New Roman" w:hAnsi="Times New Roman"/>
          <w:color w:val="auto"/>
          <w:lang w:val="en-US"/>
        </w:rPr>
        <w:t>，确定</w:t>
      </w:r>
      <w:r>
        <w:rPr>
          <w:rFonts w:hint="eastAsia" w:ascii="Times New Roman" w:hAnsi="Times New Roman"/>
          <w:color w:val="auto"/>
          <w:lang w:val="en-US"/>
        </w:rPr>
        <w:t>拟建</w:t>
      </w:r>
      <w:r>
        <w:rPr>
          <w:rFonts w:ascii="Times New Roman" w:hAnsi="Times New Roman"/>
          <w:color w:val="auto"/>
          <w:lang w:val="en-US"/>
        </w:rPr>
        <w:t>项目</w:t>
      </w:r>
      <w:r>
        <w:rPr>
          <w:rFonts w:hint="eastAsia" w:ascii="Times New Roman" w:hAnsi="Times New Roman"/>
          <w:color w:val="auto"/>
          <w:lang w:val="en-US"/>
        </w:rPr>
        <w:t>设计</w:t>
      </w:r>
      <w:r>
        <w:rPr>
          <w:rFonts w:ascii="Times New Roman" w:hAnsi="Times New Roman"/>
          <w:color w:val="auto"/>
          <w:lang w:val="en-US"/>
        </w:rPr>
        <w:t>进出水水质</w:t>
      </w:r>
      <w:r>
        <w:rPr>
          <w:rFonts w:hint="eastAsia" w:ascii="Times New Roman" w:hAnsi="Times New Roman"/>
          <w:color w:val="auto"/>
          <w:lang w:val="en-US"/>
        </w:rPr>
        <w:t>见表3.3-4。</w:t>
      </w:r>
    </w:p>
    <w:p w14:paraId="62F3EC76">
      <w:pPr>
        <w:pStyle w:val="21"/>
        <w:snapToGrid w:val="0"/>
        <w:ind w:firstLine="482"/>
        <w:jc w:val="center"/>
        <w:rPr>
          <w:rFonts w:ascii="Times New Roman" w:hAnsi="Times New Roman"/>
          <w:b/>
          <w:color w:val="auto"/>
          <w:sz w:val="24"/>
          <w:lang w:val="en-US"/>
        </w:rPr>
      </w:pPr>
      <w:r>
        <w:rPr>
          <w:rFonts w:ascii="Times New Roman" w:hAnsi="Times New Roman"/>
          <w:b/>
          <w:color w:val="auto"/>
          <w:sz w:val="24"/>
        </w:rPr>
        <w:t>表3.3</w:t>
      </w:r>
      <w:r>
        <w:rPr>
          <w:rFonts w:ascii="Times New Roman" w:hAnsi="Times New Roman"/>
          <w:b/>
          <w:color w:val="auto"/>
          <w:sz w:val="24"/>
          <w:lang w:val="en-US"/>
        </w:rPr>
        <w:t>-</w:t>
      </w:r>
      <w:r>
        <w:rPr>
          <w:rFonts w:hint="eastAsia" w:ascii="Times New Roman" w:hAnsi="Times New Roman"/>
          <w:b/>
          <w:color w:val="auto"/>
          <w:sz w:val="24"/>
          <w:lang w:val="en-US"/>
        </w:rPr>
        <w:t xml:space="preserve">4  </w:t>
      </w:r>
      <w:r>
        <w:rPr>
          <w:rFonts w:ascii="Times New Roman" w:hAnsi="Times New Roman"/>
          <w:b/>
          <w:color w:val="auto"/>
          <w:sz w:val="24"/>
          <w:lang w:val="en-US"/>
        </w:rPr>
        <w:t>设计进水水质</w:t>
      </w:r>
    </w:p>
    <w:tbl>
      <w:tblPr>
        <w:tblStyle w:val="662"/>
        <w:tblW w:w="5003"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76"/>
        <w:gridCol w:w="2362"/>
        <w:gridCol w:w="1569"/>
        <w:gridCol w:w="1128"/>
        <w:gridCol w:w="2572"/>
        <w:gridCol w:w="774"/>
      </w:tblGrid>
      <w:tr w14:paraId="27F155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76" w:type="dxa"/>
            <w:tcBorders>
              <w:tl2br w:val="nil"/>
              <w:tr2bl w:val="nil"/>
            </w:tcBorders>
            <w:vAlign w:val="center"/>
          </w:tcPr>
          <w:p w14:paraId="108B7941">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eastAsia="Times New Roman"/>
                <w:color w:val="auto"/>
                <w:kern w:val="21"/>
                <w:sz w:val="21"/>
                <w:szCs w:val="21"/>
                <w:lang w:eastAsia="en-US"/>
              </w:rPr>
              <w:t>序号</w:t>
            </w:r>
          </w:p>
        </w:tc>
        <w:tc>
          <w:tcPr>
            <w:tcW w:w="2361" w:type="dxa"/>
            <w:tcBorders>
              <w:tl2br w:val="nil"/>
              <w:tr2bl w:val="nil"/>
            </w:tcBorders>
            <w:vAlign w:val="center"/>
          </w:tcPr>
          <w:p w14:paraId="0D3DF198">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eastAsia="Times New Roman"/>
                <w:color w:val="auto"/>
                <w:kern w:val="21"/>
                <w:sz w:val="21"/>
                <w:szCs w:val="21"/>
                <w:lang w:eastAsia="en-US"/>
              </w:rPr>
              <w:t>指标</w:t>
            </w:r>
          </w:p>
        </w:tc>
        <w:tc>
          <w:tcPr>
            <w:tcW w:w="1568" w:type="dxa"/>
            <w:tcBorders>
              <w:tl2br w:val="nil"/>
              <w:tr2bl w:val="nil"/>
            </w:tcBorders>
            <w:vAlign w:val="center"/>
          </w:tcPr>
          <w:p w14:paraId="6F3F07E2">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eastAsia="Times New Roman"/>
                <w:color w:val="auto"/>
                <w:kern w:val="21"/>
                <w:sz w:val="21"/>
                <w:szCs w:val="21"/>
                <w:lang w:eastAsia="en-US"/>
              </w:rPr>
              <w:t>mg/L</w:t>
            </w:r>
          </w:p>
        </w:tc>
        <w:tc>
          <w:tcPr>
            <w:tcW w:w="1127" w:type="dxa"/>
            <w:tcBorders>
              <w:tl2br w:val="nil"/>
              <w:tr2bl w:val="nil"/>
            </w:tcBorders>
            <w:vAlign w:val="center"/>
          </w:tcPr>
          <w:p w14:paraId="5F72C75D">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eastAsia="Times New Roman"/>
                <w:color w:val="auto"/>
                <w:kern w:val="21"/>
                <w:sz w:val="21"/>
                <w:szCs w:val="21"/>
                <w:lang w:eastAsia="en-US"/>
              </w:rPr>
              <w:t>序号</w:t>
            </w:r>
          </w:p>
        </w:tc>
        <w:tc>
          <w:tcPr>
            <w:tcW w:w="2571" w:type="dxa"/>
            <w:tcBorders>
              <w:tl2br w:val="nil"/>
              <w:tr2bl w:val="nil"/>
            </w:tcBorders>
            <w:vAlign w:val="center"/>
          </w:tcPr>
          <w:p w14:paraId="3BEDD604">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eastAsia="Times New Roman"/>
                <w:color w:val="auto"/>
                <w:kern w:val="21"/>
                <w:sz w:val="21"/>
                <w:szCs w:val="21"/>
                <w:lang w:eastAsia="en-US"/>
              </w:rPr>
              <w:t>指标</w:t>
            </w:r>
          </w:p>
        </w:tc>
        <w:tc>
          <w:tcPr>
            <w:tcW w:w="773" w:type="dxa"/>
            <w:tcBorders>
              <w:tl2br w:val="nil"/>
              <w:tr2bl w:val="nil"/>
            </w:tcBorders>
            <w:vAlign w:val="center"/>
          </w:tcPr>
          <w:p w14:paraId="6DE0DB7A">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eastAsia="Times New Roman"/>
                <w:color w:val="auto"/>
                <w:kern w:val="21"/>
                <w:sz w:val="21"/>
                <w:szCs w:val="21"/>
                <w:lang w:eastAsia="en-US"/>
              </w:rPr>
              <w:t>mg/L</w:t>
            </w:r>
          </w:p>
        </w:tc>
      </w:tr>
      <w:tr w14:paraId="133F32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76" w:type="dxa"/>
            <w:tcBorders>
              <w:tl2br w:val="nil"/>
              <w:tr2bl w:val="nil"/>
            </w:tcBorders>
            <w:vAlign w:val="center"/>
          </w:tcPr>
          <w:p w14:paraId="12194A4F">
            <w:pPr>
              <w:widowControl/>
              <w:kinsoku w:val="0"/>
              <w:autoSpaceDE w:val="0"/>
              <w:autoSpaceDN w:val="0"/>
              <w:spacing w:line="240" w:lineRule="auto"/>
              <w:ind w:firstLine="0" w:firstLineChars="0"/>
              <w:jc w:val="center"/>
              <w:textAlignment w:val="baseline"/>
              <w:rPr>
                <w:rFonts w:eastAsia="Times New Roman"/>
                <w:color w:val="auto"/>
                <w:sz w:val="21"/>
                <w:szCs w:val="21"/>
                <w:lang w:eastAsia="en-US"/>
              </w:rPr>
            </w:pPr>
            <w:r>
              <w:rPr>
                <w:rFonts w:eastAsia="Times New Roman"/>
                <w:color w:val="auto"/>
                <w:kern w:val="21"/>
                <w:sz w:val="21"/>
                <w:szCs w:val="21"/>
                <w:lang w:eastAsia="en-US"/>
              </w:rPr>
              <w:t>1</w:t>
            </w:r>
          </w:p>
        </w:tc>
        <w:tc>
          <w:tcPr>
            <w:tcW w:w="2361" w:type="dxa"/>
            <w:tcBorders>
              <w:tl2br w:val="nil"/>
              <w:tr2bl w:val="nil"/>
            </w:tcBorders>
            <w:vAlign w:val="center"/>
          </w:tcPr>
          <w:p w14:paraId="48FB4E39">
            <w:pPr>
              <w:spacing w:line="240" w:lineRule="auto"/>
              <w:ind w:firstLine="0" w:firstLineChars="0"/>
              <w:jc w:val="center"/>
              <w:rPr>
                <w:rFonts w:eastAsia="Times New Roman"/>
                <w:color w:val="auto"/>
                <w:sz w:val="21"/>
                <w:szCs w:val="21"/>
                <w:lang w:eastAsia="en-US"/>
              </w:rPr>
            </w:pPr>
            <w:r>
              <w:rPr>
                <w:rFonts w:eastAsia="Times New Roman"/>
                <w:color w:val="auto"/>
                <w:sz w:val="21"/>
                <w:szCs w:val="21"/>
                <w:lang w:eastAsia="en-US"/>
              </w:rPr>
              <w:t>pH</w:t>
            </w:r>
            <w:r>
              <w:rPr>
                <w:rFonts w:hint="eastAsia" w:ascii="宋体" w:hAnsi="宋体" w:eastAsia="Times New Roman" w:cs="宋体"/>
                <w:color w:val="auto"/>
                <w:sz w:val="21"/>
                <w:szCs w:val="21"/>
                <w:lang w:eastAsia="en-US"/>
              </w:rPr>
              <w:t>（无量纲）</w:t>
            </w:r>
          </w:p>
        </w:tc>
        <w:tc>
          <w:tcPr>
            <w:tcW w:w="1568" w:type="dxa"/>
            <w:tcBorders>
              <w:tl2br w:val="nil"/>
              <w:tr2bl w:val="nil"/>
            </w:tcBorders>
            <w:vAlign w:val="center"/>
          </w:tcPr>
          <w:p w14:paraId="5E85F14F">
            <w:pPr>
              <w:spacing w:line="240" w:lineRule="auto"/>
              <w:ind w:firstLine="0" w:firstLineChars="0"/>
              <w:jc w:val="center"/>
              <w:rPr>
                <w:rFonts w:hint="eastAsia" w:eastAsia="宋体"/>
                <w:color w:val="auto"/>
                <w:sz w:val="21"/>
                <w:szCs w:val="21"/>
                <w:lang w:eastAsia="zh-CN"/>
              </w:rPr>
            </w:pPr>
            <w:r>
              <w:rPr>
                <w:rFonts w:hint="eastAsia" w:eastAsia="Times New Roman"/>
                <w:color w:val="auto"/>
                <w:sz w:val="21"/>
                <w:szCs w:val="21"/>
                <w:lang w:eastAsia="en-US"/>
              </w:rPr>
              <w:t>6</w:t>
            </w:r>
            <w:r>
              <w:rPr>
                <w:rFonts w:eastAsia="Times New Roman"/>
                <w:color w:val="auto"/>
                <w:sz w:val="21"/>
                <w:szCs w:val="21"/>
                <w:lang w:eastAsia="en-US"/>
              </w:rPr>
              <w:t>~1</w:t>
            </w:r>
            <w:r>
              <w:rPr>
                <w:rFonts w:hint="eastAsia"/>
                <w:color w:val="auto"/>
                <w:sz w:val="21"/>
                <w:szCs w:val="21"/>
                <w:lang w:val="en-US" w:eastAsia="zh-CN"/>
              </w:rPr>
              <w:t>2</w:t>
            </w:r>
          </w:p>
        </w:tc>
        <w:tc>
          <w:tcPr>
            <w:tcW w:w="1127" w:type="dxa"/>
            <w:tcBorders>
              <w:tl2br w:val="nil"/>
              <w:tr2bl w:val="nil"/>
            </w:tcBorders>
            <w:shd w:val="clear" w:color="auto" w:fill="auto"/>
            <w:vAlign w:val="center"/>
          </w:tcPr>
          <w:p w14:paraId="3BD7D269">
            <w:pPr>
              <w:widowControl/>
              <w:kinsoku w:val="0"/>
              <w:autoSpaceDE w:val="0"/>
              <w:autoSpaceDN w:val="0"/>
              <w:spacing w:line="240" w:lineRule="auto"/>
              <w:ind w:firstLine="0" w:firstLineChars="0"/>
              <w:jc w:val="center"/>
              <w:textAlignment w:val="baseline"/>
              <w:rPr>
                <w:rFonts w:eastAsia="Times New Roman"/>
                <w:color w:val="auto"/>
                <w:sz w:val="21"/>
                <w:szCs w:val="21"/>
                <w:lang w:eastAsia="en-US"/>
              </w:rPr>
            </w:pPr>
            <w:r>
              <w:rPr>
                <w:rFonts w:hint="eastAsia" w:eastAsia="Times New Roman"/>
                <w:color w:val="auto"/>
                <w:sz w:val="21"/>
                <w:szCs w:val="21"/>
                <w:lang w:eastAsia="en-US"/>
              </w:rPr>
              <w:t>11</w:t>
            </w:r>
          </w:p>
        </w:tc>
        <w:tc>
          <w:tcPr>
            <w:tcW w:w="2571" w:type="dxa"/>
            <w:tcBorders>
              <w:tl2br w:val="nil"/>
              <w:tr2bl w:val="nil"/>
            </w:tcBorders>
            <w:shd w:val="clear" w:color="auto" w:fill="auto"/>
            <w:vAlign w:val="center"/>
          </w:tcPr>
          <w:p w14:paraId="6AA2BDD4">
            <w:pPr>
              <w:spacing w:line="240" w:lineRule="auto"/>
              <w:ind w:firstLine="0" w:firstLineChars="0"/>
              <w:jc w:val="center"/>
              <w:rPr>
                <w:rFonts w:eastAsia="Times New Roman"/>
                <w:color w:val="auto"/>
                <w:kern w:val="21"/>
                <w:sz w:val="21"/>
                <w:szCs w:val="21"/>
                <w:lang w:eastAsia="en-US"/>
              </w:rPr>
            </w:pPr>
            <w:r>
              <w:rPr>
                <w:rFonts w:eastAsia="Times New Roman"/>
                <w:color w:val="auto"/>
                <w:kern w:val="21"/>
                <w:sz w:val="21"/>
                <w:szCs w:val="21"/>
                <w:lang w:eastAsia="en-US"/>
              </w:rPr>
              <w:t>硫化物</w:t>
            </w:r>
          </w:p>
        </w:tc>
        <w:tc>
          <w:tcPr>
            <w:tcW w:w="773" w:type="dxa"/>
            <w:tcBorders>
              <w:tl2br w:val="nil"/>
              <w:tr2bl w:val="nil"/>
            </w:tcBorders>
            <w:shd w:val="clear" w:color="auto" w:fill="auto"/>
            <w:vAlign w:val="center"/>
          </w:tcPr>
          <w:p w14:paraId="580A7969">
            <w:pPr>
              <w:spacing w:line="240" w:lineRule="auto"/>
              <w:ind w:firstLine="0" w:firstLineChars="0"/>
              <w:jc w:val="center"/>
              <w:rPr>
                <w:rFonts w:eastAsia="Times New Roman"/>
                <w:color w:val="auto"/>
                <w:sz w:val="21"/>
                <w:szCs w:val="21"/>
                <w:lang w:eastAsia="en-US"/>
              </w:rPr>
            </w:pPr>
            <w:r>
              <w:rPr>
                <w:rFonts w:eastAsia="Times New Roman"/>
                <w:color w:val="auto"/>
                <w:sz w:val="21"/>
                <w:szCs w:val="21"/>
                <w:lang w:eastAsia="en-US"/>
              </w:rPr>
              <w:t>5</w:t>
            </w:r>
          </w:p>
        </w:tc>
      </w:tr>
      <w:tr w14:paraId="43027C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76" w:type="dxa"/>
            <w:tcBorders>
              <w:tl2br w:val="nil"/>
              <w:tr2bl w:val="nil"/>
            </w:tcBorders>
            <w:vAlign w:val="center"/>
          </w:tcPr>
          <w:p w14:paraId="5216E754">
            <w:pPr>
              <w:widowControl/>
              <w:kinsoku w:val="0"/>
              <w:autoSpaceDE w:val="0"/>
              <w:autoSpaceDN w:val="0"/>
              <w:spacing w:line="240" w:lineRule="auto"/>
              <w:ind w:firstLine="0" w:firstLineChars="0"/>
              <w:jc w:val="center"/>
              <w:textAlignment w:val="baseline"/>
              <w:rPr>
                <w:rFonts w:eastAsia="Times New Roman"/>
                <w:color w:val="auto"/>
                <w:sz w:val="21"/>
                <w:szCs w:val="21"/>
                <w:lang w:eastAsia="en-US"/>
              </w:rPr>
            </w:pPr>
            <w:r>
              <w:rPr>
                <w:rFonts w:eastAsia="Times New Roman"/>
                <w:color w:val="auto"/>
                <w:kern w:val="21"/>
                <w:sz w:val="21"/>
                <w:szCs w:val="21"/>
                <w:lang w:eastAsia="en-US"/>
              </w:rPr>
              <w:t>2</w:t>
            </w:r>
          </w:p>
        </w:tc>
        <w:tc>
          <w:tcPr>
            <w:tcW w:w="2361" w:type="dxa"/>
            <w:tcBorders>
              <w:tl2br w:val="nil"/>
              <w:tr2bl w:val="nil"/>
            </w:tcBorders>
            <w:vAlign w:val="center"/>
          </w:tcPr>
          <w:p w14:paraId="44E12DCC">
            <w:pPr>
              <w:spacing w:line="240" w:lineRule="auto"/>
              <w:ind w:firstLine="0" w:firstLineChars="0"/>
              <w:jc w:val="center"/>
              <w:rPr>
                <w:rFonts w:eastAsia="Times New Roman"/>
                <w:color w:val="auto"/>
                <w:sz w:val="21"/>
                <w:szCs w:val="21"/>
                <w:lang w:eastAsia="en-US"/>
              </w:rPr>
            </w:pPr>
            <w:r>
              <w:rPr>
                <w:rFonts w:hint="eastAsia" w:ascii="宋体" w:hAnsi="宋体" w:eastAsia="Times New Roman" w:cs="宋体"/>
                <w:color w:val="auto"/>
                <w:sz w:val="21"/>
                <w:szCs w:val="21"/>
                <w:lang w:eastAsia="en-US"/>
              </w:rPr>
              <w:t>色度</w:t>
            </w:r>
            <w:r>
              <w:rPr>
                <w:rFonts w:eastAsia="Times New Roman"/>
                <w:color w:val="auto"/>
                <w:sz w:val="21"/>
                <w:szCs w:val="21"/>
                <w:lang w:eastAsia="en-US"/>
              </w:rPr>
              <w:t>（稀释倍数）</w:t>
            </w:r>
          </w:p>
        </w:tc>
        <w:tc>
          <w:tcPr>
            <w:tcW w:w="1568" w:type="dxa"/>
            <w:tcBorders>
              <w:tl2br w:val="nil"/>
              <w:tr2bl w:val="nil"/>
            </w:tcBorders>
            <w:vAlign w:val="center"/>
          </w:tcPr>
          <w:p w14:paraId="30FAA2B8">
            <w:pPr>
              <w:spacing w:line="240" w:lineRule="auto"/>
              <w:ind w:firstLine="0" w:firstLineChars="0"/>
              <w:jc w:val="center"/>
              <w:rPr>
                <w:rFonts w:eastAsia="Times New Roman"/>
                <w:color w:val="auto"/>
                <w:sz w:val="21"/>
                <w:szCs w:val="21"/>
                <w:lang w:eastAsia="en-US"/>
              </w:rPr>
            </w:pPr>
            <w:r>
              <w:rPr>
                <w:rFonts w:eastAsia="Times New Roman"/>
                <w:color w:val="auto"/>
                <w:sz w:val="21"/>
                <w:szCs w:val="21"/>
                <w:lang w:eastAsia="en-US"/>
              </w:rPr>
              <w:t>200</w:t>
            </w:r>
          </w:p>
        </w:tc>
        <w:tc>
          <w:tcPr>
            <w:tcW w:w="1127" w:type="dxa"/>
            <w:tcBorders>
              <w:tl2br w:val="nil"/>
              <w:tr2bl w:val="nil"/>
            </w:tcBorders>
            <w:shd w:val="clear" w:color="auto" w:fill="auto"/>
            <w:vAlign w:val="center"/>
          </w:tcPr>
          <w:p w14:paraId="0F96473F">
            <w:pPr>
              <w:widowControl/>
              <w:kinsoku w:val="0"/>
              <w:autoSpaceDE w:val="0"/>
              <w:autoSpaceDN w:val="0"/>
              <w:spacing w:line="240" w:lineRule="auto"/>
              <w:ind w:firstLine="0" w:firstLineChars="0"/>
              <w:jc w:val="center"/>
              <w:textAlignment w:val="baseline"/>
              <w:rPr>
                <w:rFonts w:eastAsia="Times New Roman"/>
                <w:color w:val="auto"/>
                <w:sz w:val="21"/>
                <w:szCs w:val="21"/>
                <w:lang w:eastAsia="en-US"/>
              </w:rPr>
            </w:pPr>
            <w:r>
              <w:rPr>
                <w:rFonts w:hint="eastAsia" w:eastAsia="Times New Roman"/>
                <w:color w:val="auto"/>
                <w:kern w:val="21"/>
                <w:sz w:val="21"/>
                <w:szCs w:val="21"/>
                <w:lang w:eastAsia="en-US"/>
              </w:rPr>
              <w:t>12</w:t>
            </w:r>
          </w:p>
        </w:tc>
        <w:tc>
          <w:tcPr>
            <w:tcW w:w="2571" w:type="dxa"/>
            <w:tcBorders>
              <w:tl2br w:val="nil"/>
              <w:tr2bl w:val="nil"/>
            </w:tcBorders>
            <w:shd w:val="clear" w:color="auto" w:fill="auto"/>
            <w:vAlign w:val="center"/>
          </w:tcPr>
          <w:p w14:paraId="66F04457">
            <w:pPr>
              <w:spacing w:line="240" w:lineRule="auto"/>
              <w:ind w:firstLine="0" w:firstLineChars="0"/>
              <w:jc w:val="center"/>
              <w:rPr>
                <w:rFonts w:eastAsia="Times New Roman"/>
                <w:color w:val="auto"/>
                <w:kern w:val="21"/>
                <w:sz w:val="21"/>
                <w:szCs w:val="21"/>
                <w:lang w:eastAsia="en-US"/>
              </w:rPr>
            </w:pPr>
            <w:r>
              <w:rPr>
                <w:rFonts w:eastAsia="Times New Roman"/>
                <w:color w:val="auto"/>
                <w:kern w:val="21"/>
                <w:sz w:val="21"/>
                <w:szCs w:val="21"/>
                <w:lang w:eastAsia="en-US"/>
              </w:rPr>
              <w:t>氟化物</w:t>
            </w:r>
          </w:p>
        </w:tc>
        <w:tc>
          <w:tcPr>
            <w:tcW w:w="773" w:type="dxa"/>
            <w:tcBorders>
              <w:tl2br w:val="nil"/>
              <w:tr2bl w:val="nil"/>
            </w:tcBorders>
            <w:shd w:val="clear" w:color="auto" w:fill="auto"/>
            <w:vAlign w:val="center"/>
          </w:tcPr>
          <w:p w14:paraId="7A912E37">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30</w:t>
            </w:r>
          </w:p>
        </w:tc>
      </w:tr>
      <w:tr w14:paraId="1ED7FA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76" w:type="dxa"/>
            <w:tcBorders>
              <w:tl2br w:val="nil"/>
              <w:tr2bl w:val="nil"/>
            </w:tcBorders>
            <w:vAlign w:val="center"/>
          </w:tcPr>
          <w:p w14:paraId="02F15116">
            <w:pPr>
              <w:widowControl/>
              <w:kinsoku w:val="0"/>
              <w:autoSpaceDE w:val="0"/>
              <w:autoSpaceDN w:val="0"/>
              <w:spacing w:line="240" w:lineRule="auto"/>
              <w:ind w:firstLine="0" w:firstLineChars="0"/>
              <w:jc w:val="center"/>
              <w:textAlignment w:val="baseline"/>
              <w:rPr>
                <w:rFonts w:eastAsia="Times New Roman"/>
                <w:color w:val="auto"/>
                <w:sz w:val="21"/>
                <w:szCs w:val="21"/>
                <w:lang w:eastAsia="en-US"/>
              </w:rPr>
            </w:pPr>
            <w:r>
              <w:rPr>
                <w:rFonts w:eastAsia="Times New Roman"/>
                <w:color w:val="auto"/>
                <w:kern w:val="21"/>
                <w:sz w:val="21"/>
                <w:szCs w:val="21"/>
                <w:lang w:eastAsia="en-US"/>
              </w:rPr>
              <w:t>3</w:t>
            </w:r>
          </w:p>
        </w:tc>
        <w:tc>
          <w:tcPr>
            <w:tcW w:w="2361" w:type="dxa"/>
            <w:tcBorders>
              <w:tl2br w:val="nil"/>
              <w:tr2bl w:val="nil"/>
            </w:tcBorders>
            <w:vAlign w:val="center"/>
          </w:tcPr>
          <w:p w14:paraId="7BDC3829">
            <w:pPr>
              <w:spacing w:line="240" w:lineRule="auto"/>
              <w:ind w:firstLine="0" w:firstLineChars="0"/>
              <w:jc w:val="center"/>
              <w:rPr>
                <w:rFonts w:eastAsia="Times New Roman"/>
                <w:color w:val="auto"/>
                <w:sz w:val="21"/>
                <w:szCs w:val="21"/>
                <w:lang w:eastAsia="en-US"/>
              </w:rPr>
            </w:pPr>
            <w:r>
              <w:rPr>
                <w:rFonts w:hint="eastAsia" w:ascii="宋体" w:hAnsi="宋体" w:eastAsia="Times New Roman" w:cs="宋体"/>
                <w:color w:val="auto"/>
                <w:sz w:val="21"/>
                <w:szCs w:val="21"/>
                <w:lang w:eastAsia="en-US"/>
              </w:rPr>
              <w:t>悬浮物</w:t>
            </w:r>
            <w:r>
              <w:rPr>
                <w:rFonts w:eastAsia="Times New Roman"/>
                <w:color w:val="auto"/>
                <w:sz w:val="21"/>
                <w:szCs w:val="21"/>
                <w:lang w:eastAsia="en-US"/>
              </w:rPr>
              <w:t>（SS）</w:t>
            </w:r>
          </w:p>
        </w:tc>
        <w:tc>
          <w:tcPr>
            <w:tcW w:w="1568" w:type="dxa"/>
            <w:tcBorders>
              <w:tl2br w:val="nil"/>
              <w:tr2bl w:val="nil"/>
            </w:tcBorders>
            <w:vAlign w:val="center"/>
          </w:tcPr>
          <w:p w14:paraId="2C2C6F9C">
            <w:pPr>
              <w:spacing w:line="240" w:lineRule="auto"/>
              <w:ind w:firstLine="0" w:firstLineChars="0"/>
              <w:jc w:val="center"/>
              <w:rPr>
                <w:rFonts w:eastAsia="Times New Roman"/>
                <w:color w:val="auto"/>
                <w:sz w:val="21"/>
                <w:szCs w:val="21"/>
                <w:lang w:eastAsia="en-US"/>
              </w:rPr>
            </w:pPr>
            <w:r>
              <w:rPr>
                <w:rFonts w:hint="eastAsia" w:eastAsia="Times New Roman"/>
                <w:color w:val="auto"/>
                <w:sz w:val="21"/>
                <w:szCs w:val="21"/>
                <w:lang w:eastAsia="en-US"/>
              </w:rPr>
              <w:t>5</w:t>
            </w:r>
            <w:r>
              <w:rPr>
                <w:rFonts w:eastAsia="Times New Roman"/>
                <w:color w:val="auto"/>
                <w:sz w:val="21"/>
                <w:szCs w:val="21"/>
                <w:lang w:eastAsia="en-US"/>
              </w:rPr>
              <w:t>00</w:t>
            </w:r>
          </w:p>
        </w:tc>
        <w:tc>
          <w:tcPr>
            <w:tcW w:w="1127" w:type="dxa"/>
            <w:tcBorders>
              <w:tl2br w:val="nil"/>
              <w:tr2bl w:val="nil"/>
            </w:tcBorders>
            <w:shd w:val="clear" w:color="auto" w:fill="auto"/>
            <w:vAlign w:val="center"/>
          </w:tcPr>
          <w:p w14:paraId="33E595CE">
            <w:pPr>
              <w:widowControl/>
              <w:kinsoku w:val="0"/>
              <w:autoSpaceDE w:val="0"/>
              <w:autoSpaceDN w:val="0"/>
              <w:spacing w:line="240" w:lineRule="auto"/>
              <w:ind w:firstLine="0" w:firstLineChars="0"/>
              <w:jc w:val="center"/>
              <w:textAlignment w:val="baseline"/>
              <w:rPr>
                <w:rFonts w:eastAsia="Times New Roman"/>
                <w:color w:val="auto"/>
                <w:sz w:val="21"/>
                <w:szCs w:val="21"/>
                <w:lang w:eastAsia="en-US"/>
              </w:rPr>
            </w:pPr>
            <w:r>
              <w:rPr>
                <w:rFonts w:hint="eastAsia" w:eastAsia="Times New Roman"/>
                <w:color w:val="auto"/>
                <w:kern w:val="21"/>
                <w:sz w:val="21"/>
                <w:szCs w:val="21"/>
                <w:lang w:eastAsia="en-US"/>
              </w:rPr>
              <w:t>13</w:t>
            </w:r>
          </w:p>
        </w:tc>
        <w:tc>
          <w:tcPr>
            <w:tcW w:w="2571" w:type="dxa"/>
            <w:tcBorders>
              <w:tl2br w:val="nil"/>
              <w:tr2bl w:val="nil"/>
            </w:tcBorders>
            <w:shd w:val="clear" w:color="auto" w:fill="auto"/>
            <w:vAlign w:val="center"/>
          </w:tcPr>
          <w:p w14:paraId="26DCF68E">
            <w:pPr>
              <w:spacing w:line="240" w:lineRule="auto"/>
              <w:ind w:firstLine="0" w:firstLineChars="0"/>
              <w:jc w:val="center"/>
              <w:rPr>
                <w:rFonts w:eastAsia="Times New Roman"/>
                <w:color w:val="auto"/>
                <w:sz w:val="21"/>
                <w:szCs w:val="21"/>
                <w:lang w:eastAsia="en-US"/>
              </w:rPr>
            </w:pPr>
            <w:r>
              <w:rPr>
                <w:rFonts w:hint="eastAsia" w:ascii="宋体" w:hAnsi="宋体" w:eastAsia="Times New Roman" w:cs="宋体"/>
                <w:color w:val="auto"/>
                <w:kern w:val="21"/>
                <w:sz w:val="21"/>
                <w:szCs w:val="21"/>
                <w:lang w:eastAsia="en-US"/>
              </w:rPr>
              <w:t>氯化物</w:t>
            </w:r>
            <w:r>
              <w:rPr>
                <w:rFonts w:eastAsia="Times New Roman"/>
                <w:color w:val="auto"/>
                <w:kern w:val="21"/>
                <w:sz w:val="21"/>
                <w:szCs w:val="21"/>
                <w:lang w:eastAsia="en-US"/>
              </w:rPr>
              <w:t>（以Cl计）</w:t>
            </w:r>
          </w:p>
        </w:tc>
        <w:tc>
          <w:tcPr>
            <w:tcW w:w="773" w:type="dxa"/>
            <w:tcBorders>
              <w:tl2br w:val="nil"/>
              <w:tr2bl w:val="nil"/>
            </w:tcBorders>
            <w:shd w:val="clear" w:color="auto" w:fill="auto"/>
            <w:vAlign w:val="center"/>
          </w:tcPr>
          <w:p w14:paraId="144DECE8">
            <w:pPr>
              <w:spacing w:line="240" w:lineRule="auto"/>
              <w:ind w:firstLine="0" w:firstLineChars="0"/>
              <w:jc w:val="center"/>
              <w:rPr>
                <w:rFonts w:eastAsia="Times New Roman"/>
                <w:color w:val="auto"/>
                <w:sz w:val="21"/>
                <w:szCs w:val="21"/>
                <w:lang w:eastAsia="en-US"/>
              </w:rPr>
            </w:pPr>
            <w:r>
              <w:rPr>
                <w:rFonts w:eastAsia="Times New Roman"/>
                <w:color w:val="auto"/>
                <w:sz w:val="21"/>
                <w:szCs w:val="21"/>
                <w:lang w:eastAsia="en-US"/>
              </w:rPr>
              <w:t>2</w:t>
            </w:r>
            <w:r>
              <w:rPr>
                <w:rFonts w:hint="eastAsia"/>
                <w:color w:val="auto"/>
                <w:sz w:val="21"/>
                <w:szCs w:val="21"/>
                <w:lang w:val="en-US" w:eastAsia="zh-CN"/>
              </w:rPr>
              <w:t>0</w:t>
            </w:r>
            <w:r>
              <w:rPr>
                <w:rFonts w:eastAsia="Times New Roman"/>
                <w:color w:val="auto"/>
                <w:sz w:val="21"/>
                <w:szCs w:val="21"/>
                <w:lang w:eastAsia="en-US"/>
              </w:rPr>
              <w:t>000</w:t>
            </w:r>
          </w:p>
        </w:tc>
      </w:tr>
      <w:tr w14:paraId="51CB74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76" w:type="dxa"/>
            <w:tcBorders>
              <w:tl2br w:val="nil"/>
              <w:tr2bl w:val="nil"/>
            </w:tcBorders>
            <w:vAlign w:val="center"/>
          </w:tcPr>
          <w:p w14:paraId="120C22F7">
            <w:pPr>
              <w:widowControl/>
              <w:kinsoku w:val="0"/>
              <w:autoSpaceDE w:val="0"/>
              <w:autoSpaceDN w:val="0"/>
              <w:spacing w:line="240" w:lineRule="auto"/>
              <w:ind w:firstLine="0" w:firstLineChars="0"/>
              <w:jc w:val="center"/>
              <w:textAlignment w:val="baseline"/>
              <w:rPr>
                <w:rFonts w:eastAsia="Times New Roman"/>
                <w:color w:val="auto"/>
                <w:sz w:val="21"/>
                <w:szCs w:val="21"/>
                <w:lang w:eastAsia="en-US"/>
              </w:rPr>
            </w:pPr>
            <w:r>
              <w:rPr>
                <w:rFonts w:eastAsia="Times New Roman"/>
                <w:color w:val="auto"/>
                <w:kern w:val="21"/>
                <w:sz w:val="21"/>
                <w:szCs w:val="21"/>
                <w:lang w:eastAsia="en-US"/>
              </w:rPr>
              <w:t>4</w:t>
            </w:r>
          </w:p>
        </w:tc>
        <w:tc>
          <w:tcPr>
            <w:tcW w:w="2361" w:type="dxa"/>
            <w:tcBorders>
              <w:tl2br w:val="nil"/>
              <w:tr2bl w:val="nil"/>
            </w:tcBorders>
            <w:vAlign w:val="center"/>
          </w:tcPr>
          <w:p w14:paraId="21D445C7">
            <w:pPr>
              <w:spacing w:line="240" w:lineRule="auto"/>
              <w:ind w:firstLine="0" w:firstLineChars="0"/>
              <w:jc w:val="center"/>
              <w:rPr>
                <w:rFonts w:eastAsia="Times New Roman"/>
                <w:color w:val="auto"/>
                <w:sz w:val="21"/>
                <w:szCs w:val="21"/>
                <w:lang w:eastAsia="en-US"/>
              </w:rPr>
            </w:pPr>
            <w:r>
              <w:rPr>
                <w:rFonts w:eastAsia="Times New Roman"/>
                <w:color w:val="auto"/>
                <w:sz w:val="21"/>
                <w:szCs w:val="21"/>
                <w:lang w:eastAsia="en-US"/>
              </w:rPr>
              <w:t>化学需氧量（COD）</w:t>
            </w:r>
          </w:p>
        </w:tc>
        <w:tc>
          <w:tcPr>
            <w:tcW w:w="1568" w:type="dxa"/>
            <w:tcBorders>
              <w:tl2br w:val="nil"/>
              <w:tr2bl w:val="nil"/>
            </w:tcBorders>
            <w:vAlign w:val="center"/>
          </w:tcPr>
          <w:p w14:paraId="25303AF5">
            <w:pPr>
              <w:spacing w:line="240" w:lineRule="auto"/>
              <w:ind w:firstLine="0" w:firstLineChars="0"/>
              <w:jc w:val="center"/>
              <w:rPr>
                <w:rFonts w:eastAsia="Times New Roman"/>
                <w:color w:val="auto"/>
                <w:sz w:val="21"/>
                <w:szCs w:val="21"/>
                <w:lang w:eastAsia="en-US"/>
              </w:rPr>
            </w:pPr>
            <w:r>
              <w:rPr>
                <w:rFonts w:eastAsia="Times New Roman"/>
                <w:color w:val="auto"/>
                <w:sz w:val="21"/>
                <w:szCs w:val="21"/>
                <w:lang w:eastAsia="en-US"/>
              </w:rPr>
              <w:t>2</w:t>
            </w:r>
            <w:r>
              <w:rPr>
                <w:rFonts w:hint="eastAsia" w:eastAsia="Times New Roman"/>
                <w:color w:val="auto"/>
                <w:sz w:val="21"/>
                <w:szCs w:val="21"/>
                <w:lang w:eastAsia="en-US"/>
              </w:rPr>
              <w:t>0</w:t>
            </w:r>
            <w:r>
              <w:rPr>
                <w:rFonts w:eastAsia="Times New Roman"/>
                <w:color w:val="auto"/>
                <w:sz w:val="21"/>
                <w:szCs w:val="21"/>
                <w:lang w:eastAsia="en-US"/>
              </w:rPr>
              <w:t>0</w:t>
            </w:r>
            <w:r>
              <w:rPr>
                <w:rFonts w:hint="eastAsia" w:eastAsia="Times New Roman"/>
                <w:color w:val="auto"/>
                <w:sz w:val="21"/>
                <w:szCs w:val="21"/>
                <w:lang w:eastAsia="en-US"/>
              </w:rPr>
              <w:t>0</w:t>
            </w:r>
          </w:p>
        </w:tc>
        <w:tc>
          <w:tcPr>
            <w:tcW w:w="1127" w:type="dxa"/>
            <w:tcBorders>
              <w:tl2br w:val="nil"/>
              <w:tr2bl w:val="nil"/>
            </w:tcBorders>
            <w:shd w:val="clear" w:color="auto" w:fill="auto"/>
            <w:vAlign w:val="center"/>
          </w:tcPr>
          <w:p w14:paraId="52DC5562">
            <w:pPr>
              <w:widowControl/>
              <w:kinsoku w:val="0"/>
              <w:autoSpaceDE w:val="0"/>
              <w:autoSpaceDN w:val="0"/>
              <w:spacing w:line="240" w:lineRule="auto"/>
              <w:ind w:firstLine="0" w:firstLineChars="0"/>
              <w:jc w:val="center"/>
              <w:textAlignment w:val="baseline"/>
              <w:rPr>
                <w:rFonts w:eastAsia="Times New Roman"/>
                <w:color w:val="auto"/>
                <w:sz w:val="21"/>
                <w:szCs w:val="21"/>
                <w:lang w:eastAsia="en-US"/>
              </w:rPr>
            </w:pPr>
            <w:r>
              <w:rPr>
                <w:rFonts w:hint="eastAsia" w:eastAsia="Times New Roman"/>
                <w:color w:val="auto"/>
                <w:kern w:val="21"/>
                <w:sz w:val="21"/>
                <w:szCs w:val="21"/>
                <w:lang w:eastAsia="en-US"/>
              </w:rPr>
              <w:t>14</w:t>
            </w:r>
          </w:p>
        </w:tc>
        <w:tc>
          <w:tcPr>
            <w:tcW w:w="2571" w:type="dxa"/>
            <w:tcBorders>
              <w:tl2br w:val="nil"/>
              <w:tr2bl w:val="nil"/>
            </w:tcBorders>
            <w:shd w:val="clear" w:color="auto" w:fill="auto"/>
            <w:vAlign w:val="center"/>
          </w:tcPr>
          <w:p w14:paraId="39469F72">
            <w:pPr>
              <w:spacing w:line="240" w:lineRule="auto"/>
              <w:ind w:firstLine="0" w:firstLineChars="0"/>
              <w:jc w:val="center"/>
              <w:rPr>
                <w:rFonts w:eastAsia="Times New Roman"/>
                <w:color w:val="auto"/>
                <w:sz w:val="21"/>
                <w:szCs w:val="21"/>
                <w:lang w:eastAsia="en-US"/>
              </w:rPr>
            </w:pPr>
            <w:r>
              <w:rPr>
                <w:rFonts w:eastAsia="Times New Roman"/>
                <w:color w:val="auto"/>
                <w:sz w:val="21"/>
                <w:szCs w:val="21"/>
                <w:lang w:eastAsia="en-US"/>
              </w:rPr>
              <w:t>溶解性总固体（TDS）</w:t>
            </w:r>
          </w:p>
        </w:tc>
        <w:tc>
          <w:tcPr>
            <w:tcW w:w="773" w:type="dxa"/>
            <w:tcBorders>
              <w:tl2br w:val="nil"/>
              <w:tr2bl w:val="nil"/>
            </w:tcBorders>
            <w:shd w:val="clear" w:color="auto" w:fill="auto"/>
            <w:vAlign w:val="center"/>
          </w:tcPr>
          <w:p w14:paraId="499EBAC7">
            <w:pPr>
              <w:spacing w:line="240" w:lineRule="auto"/>
              <w:ind w:firstLine="0" w:firstLineChars="0"/>
              <w:jc w:val="center"/>
              <w:rPr>
                <w:rFonts w:eastAsia="Times New Roman"/>
                <w:color w:val="auto"/>
                <w:sz w:val="21"/>
                <w:szCs w:val="21"/>
                <w:lang w:eastAsia="en-US"/>
              </w:rPr>
            </w:pPr>
            <w:r>
              <w:rPr>
                <w:rFonts w:hint="eastAsia"/>
                <w:color w:val="auto"/>
                <w:sz w:val="21"/>
                <w:szCs w:val="21"/>
                <w:lang w:val="en-US" w:eastAsia="zh-CN"/>
              </w:rPr>
              <w:t>35</w:t>
            </w:r>
            <w:r>
              <w:rPr>
                <w:rFonts w:eastAsia="Times New Roman"/>
                <w:color w:val="auto"/>
                <w:sz w:val="21"/>
                <w:szCs w:val="21"/>
                <w:lang w:eastAsia="en-US"/>
              </w:rPr>
              <w:t>000</w:t>
            </w:r>
          </w:p>
        </w:tc>
      </w:tr>
      <w:tr w14:paraId="2C43D2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76" w:type="dxa"/>
            <w:tcBorders>
              <w:tl2br w:val="nil"/>
              <w:tr2bl w:val="nil"/>
            </w:tcBorders>
            <w:vAlign w:val="center"/>
          </w:tcPr>
          <w:p w14:paraId="29019F40">
            <w:pPr>
              <w:widowControl/>
              <w:kinsoku w:val="0"/>
              <w:autoSpaceDE w:val="0"/>
              <w:autoSpaceDN w:val="0"/>
              <w:spacing w:line="240" w:lineRule="auto"/>
              <w:ind w:firstLine="0" w:firstLineChars="0"/>
              <w:jc w:val="center"/>
              <w:textAlignment w:val="baseline"/>
              <w:rPr>
                <w:rFonts w:eastAsia="Times New Roman"/>
                <w:color w:val="auto"/>
                <w:sz w:val="21"/>
                <w:szCs w:val="21"/>
                <w:lang w:eastAsia="en-US"/>
              </w:rPr>
            </w:pPr>
            <w:r>
              <w:rPr>
                <w:rFonts w:eastAsia="Times New Roman"/>
                <w:color w:val="auto"/>
                <w:kern w:val="21"/>
                <w:sz w:val="21"/>
                <w:szCs w:val="21"/>
                <w:lang w:eastAsia="en-US"/>
              </w:rPr>
              <w:t>5</w:t>
            </w:r>
          </w:p>
        </w:tc>
        <w:tc>
          <w:tcPr>
            <w:tcW w:w="2361" w:type="dxa"/>
            <w:tcBorders>
              <w:tl2br w:val="nil"/>
              <w:tr2bl w:val="nil"/>
            </w:tcBorders>
            <w:vAlign w:val="center"/>
          </w:tcPr>
          <w:p w14:paraId="19A9F1F4">
            <w:pPr>
              <w:spacing w:line="240" w:lineRule="auto"/>
              <w:ind w:firstLine="0" w:firstLineChars="0"/>
              <w:jc w:val="center"/>
              <w:rPr>
                <w:rFonts w:eastAsia="Times New Roman"/>
                <w:color w:val="auto"/>
                <w:sz w:val="21"/>
                <w:szCs w:val="21"/>
                <w:lang w:eastAsia="en-US"/>
              </w:rPr>
            </w:pPr>
            <w:r>
              <w:rPr>
                <w:rFonts w:eastAsia="Times New Roman"/>
                <w:color w:val="auto"/>
                <w:sz w:val="21"/>
                <w:szCs w:val="21"/>
                <w:lang w:eastAsia="en-US"/>
              </w:rPr>
              <w:t>五日生化需氧量（BOD</w:t>
            </w:r>
            <w:r>
              <w:rPr>
                <w:rFonts w:eastAsia="Times New Roman"/>
                <w:color w:val="auto"/>
                <w:sz w:val="21"/>
                <w:szCs w:val="21"/>
                <w:vertAlign w:val="subscript"/>
                <w:lang w:eastAsia="en-US"/>
              </w:rPr>
              <w:t>5</w:t>
            </w:r>
            <w:r>
              <w:rPr>
                <w:rFonts w:eastAsia="Times New Roman"/>
                <w:color w:val="auto"/>
                <w:sz w:val="21"/>
                <w:szCs w:val="21"/>
                <w:lang w:eastAsia="en-US"/>
              </w:rPr>
              <w:t>）</w:t>
            </w:r>
          </w:p>
        </w:tc>
        <w:tc>
          <w:tcPr>
            <w:tcW w:w="1568" w:type="dxa"/>
            <w:tcBorders>
              <w:tl2br w:val="nil"/>
              <w:tr2bl w:val="nil"/>
            </w:tcBorders>
            <w:vAlign w:val="center"/>
          </w:tcPr>
          <w:p w14:paraId="4CD82DFD">
            <w:pPr>
              <w:spacing w:line="240" w:lineRule="auto"/>
              <w:ind w:firstLine="0" w:firstLineChars="0"/>
              <w:jc w:val="center"/>
              <w:rPr>
                <w:rFonts w:eastAsia="Times New Roman"/>
                <w:color w:val="auto"/>
                <w:sz w:val="21"/>
                <w:szCs w:val="21"/>
                <w:lang w:eastAsia="en-US"/>
              </w:rPr>
            </w:pPr>
            <w:r>
              <w:rPr>
                <w:rFonts w:hint="eastAsia"/>
                <w:color w:val="auto"/>
                <w:sz w:val="21"/>
                <w:szCs w:val="21"/>
                <w:lang w:val="en-US" w:eastAsia="zh-CN"/>
              </w:rPr>
              <w:t>5</w:t>
            </w:r>
            <w:r>
              <w:rPr>
                <w:rFonts w:hint="eastAsia" w:eastAsia="Times New Roman"/>
                <w:color w:val="auto"/>
                <w:sz w:val="21"/>
                <w:szCs w:val="21"/>
                <w:lang w:eastAsia="en-US"/>
              </w:rPr>
              <w:t>00</w:t>
            </w:r>
          </w:p>
        </w:tc>
        <w:tc>
          <w:tcPr>
            <w:tcW w:w="1127" w:type="dxa"/>
            <w:tcBorders>
              <w:tl2br w:val="nil"/>
              <w:tr2bl w:val="nil"/>
            </w:tcBorders>
            <w:shd w:val="clear" w:color="auto" w:fill="auto"/>
            <w:vAlign w:val="center"/>
          </w:tcPr>
          <w:p w14:paraId="212F48B7">
            <w:pPr>
              <w:widowControl/>
              <w:kinsoku w:val="0"/>
              <w:autoSpaceDE w:val="0"/>
              <w:autoSpaceDN w:val="0"/>
              <w:spacing w:line="240" w:lineRule="auto"/>
              <w:ind w:firstLine="0" w:firstLineChars="0"/>
              <w:jc w:val="center"/>
              <w:textAlignment w:val="baseline"/>
              <w:rPr>
                <w:rFonts w:eastAsia="Times New Roman"/>
                <w:color w:val="auto"/>
                <w:sz w:val="21"/>
                <w:szCs w:val="21"/>
                <w:lang w:eastAsia="en-US"/>
              </w:rPr>
            </w:pPr>
            <w:r>
              <w:rPr>
                <w:rFonts w:hint="eastAsia" w:eastAsia="Times New Roman"/>
                <w:color w:val="auto"/>
                <w:kern w:val="21"/>
                <w:sz w:val="21"/>
                <w:szCs w:val="21"/>
                <w:lang w:eastAsia="en-US"/>
              </w:rPr>
              <w:t>15</w:t>
            </w:r>
          </w:p>
        </w:tc>
        <w:tc>
          <w:tcPr>
            <w:tcW w:w="2571" w:type="dxa"/>
            <w:tcBorders>
              <w:tl2br w:val="nil"/>
              <w:tr2bl w:val="nil"/>
            </w:tcBorders>
            <w:shd w:val="clear" w:color="auto" w:fill="auto"/>
            <w:vAlign w:val="center"/>
          </w:tcPr>
          <w:p w14:paraId="24C6CB49">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ascii="宋体" w:hAnsi="宋体" w:eastAsia="Times New Roman" w:cs="宋体"/>
                <w:color w:val="auto"/>
                <w:kern w:val="21"/>
                <w:sz w:val="21"/>
                <w:szCs w:val="21"/>
                <w:lang w:eastAsia="en-US"/>
              </w:rPr>
              <w:t>阴离子表面活性剂</w:t>
            </w:r>
            <w:r>
              <w:rPr>
                <w:rFonts w:eastAsia="Times New Roman"/>
                <w:color w:val="auto"/>
                <w:kern w:val="21"/>
                <w:sz w:val="21"/>
                <w:szCs w:val="21"/>
                <w:lang w:eastAsia="en-US"/>
              </w:rPr>
              <w:t>（LAS）</w:t>
            </w:r>
          </w:p>
        </w:tc>
        <w:tc>
          <w:tcPr>
            <w:tcW w:w="773" w:type="dxa"/>
            <w:tcBorders>
              <w:tl2br w:val="nil"/>
              <w:tr2bl w:val="nil"/>
            </w:tcBorders>
            <w:shd w:val="clear" w:color="auto" w:fill="auto"/>
            <w:vAlign w:val="center"/>
          </w:tcPr>
          <w:p w14:paraId="5D18095E">
            <w:pPr>
              <w:spacing w:line="240" w:lineRule="auto"/>
              <w:ind w:firstLine="0" w:firstLineChars="0"/>
              <w:jc w:val="center"/>
              <w:rPr>
                <w:rFonts w:eastAsia="Times New Roman"/>
                <w:color w:val="auto"/>
                <w:sz w:val="21"/>
                <w:szCs w:val="21"/>
                <w:lang w:eastAsia="en-US"/>
              </w:rPr>
            </w:pPr>
            <w:r>
              <w:rPr>
                <w:rFonts w:eastAsia="Times New Roman"/>
                <w:color w:val="auto"/>
                <w:sz w:val="21"/>
                <w:szCs w:val="21"/>
                <w:lang w:eastAsia="en-US"/>
              </w:rPr>
              <w:t>30</w:t>
            </w:r>
          </w:p>
        </w:tc>
      </w:tr>
      <w:tr w14:paraId="0E0335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76" w:type="dxa"/>
            <w:tcBorders>
              <w:tl2br w:val="nil"/>
              <w:tr2bl w:val="nil"/>
            </w:tcBorders>
            <w:vAlign w:val="center"/>
          </w:tcPr>
          <w:p w14:paraId="0E0DDC5E">
            <w:pPr>
              <w:widowControl/>
              <w:kinsoku w:val="0"/>
              <w:autoSpaceDE w:val="0"/>
              <w:autoSpaceDN w:val="0"/>
              <w:spacing w:line="240" w:lineRule="auto"/>
              <w:ind w:firstLine="0" w:firstLineChars="0"/>
              <w:jc w:val="center"/>
              <w:textAlignment w:val="baseline"/>
              <w:rPr>
                <w:rFonts w:eastAsia="Times New Roman"/>
                <w:color w:val="auto"/>
                <w:sz w:val="21"/>
                <w:szCs w:val="21"/>
                <w:lang w:eastAsia="en-US"/>
              </w:rPr>
            </w:pPr>
            <w:r>
              <w:rPr>
                <w:rFonts w:eastAsia="Times New Roman"/>
                <w:color w:val="auto"/>
                <w:kern w:val="21"/>
                <w:sz w:val="21"/>
                <w:szCs w:val="21"/>
                <w:lang w:eastAsia="en-US"/>
              </w:rPr>
              <w:t>6</w:t>
            </w:r>
          </w:p>
        </w:tc>
        <w:tc>
          <w:tcPr>
            <w:tcW w:w="2361" w:type="dxa"/>
            <w:tcBorders>
              <w:tl2br w:val="nil"/>
              <w:tr2bl w:val="nil"/>
            </w:tcBorders>
            <w:vAlign w:val="center"/>
          </w:tcPr>
          <w:p w14:paraId="73C63C93">
            <w:pPr>
              <w:spacing w:line="240" w:lineRule="auto"/>
              <w:ind w:firstLine="0" w:firstLineChars="0"/>
              <w:jc w:val="center"/>
              <w:rPr>
                <w:rFonts w:eastAsia="Times New Roman"/>
                <w:color w:val="auto"/>
                <w:sz w:val="21"/>
                <w:szCs w:val="21"/>
                <w:lang w:eastAsia="en-US"/>
              </w:rPr>
            </w:pPr>
            <w:r>
              <w:rPr>
                <w:rFonts w:eastAsia="Times New Roman"/>
                <w:color w:val="auto"/>
                <w:sz w:val="21"/>
                <w:szCs w:val="21"/>
                <w:lang w:eastAsia="en-US"/>
              </w:rPr>
              <w:t>氨氮（以N计）</w:t>
            </w:r>
          </w:p>
        </w:tc>
        <w:tc>
          <w:tcPr>
            <w:tcW w:w="1568" w:type="dxa"/>
            <w:tcBorders>
              <w:tl2br w:val="nil"/>
              <w:tr2bl w:val="nil"/>
            </w:tcBorders>
            <w:vAlign w:val="center"/>
          </w:tcPr>
          <w:p w14:paraId="777FB73F">
            <w:pPr>
              <w:spacing w:line="240" w:lineRule="auto"/>
              <w:ind w:firstLine="0" w:firstLineChars="0"/>
              <w:jc w:val="center"/>
              <w:rPr>
                <w:rFonts w:eastAsia="Times New Roman"/>
                <w:color w:val="auto"/>
                <w:sz w:val="21"/>
                <w:szCs w:val="21"/>
                <w:lang w:eastAsia="en-US"/>
              </w:rPr>
            </w:pPr>
            <w:r>
              <w:rPr>
                <w:rFonts w:eastAsia="Times New Roman"/>
                <w:color w:val="auto"/>
                <w:sz w:val="21"/>
                <w:szCs w:val="21"/>
                <w:lang w:eastAsia="en-US"/>
              </w:rPr>
              <w:t>1</w:t>
            </w:r>
            <w:r>
              <w:rPr>
                <w:rFonts w:hint="eastAsia" w:eastAsia="Times New Roman"/>
                <w:color w:val="auto"/>
                <w:sz w:val="21"/>
                <w:szCs w:val="21"/>
                <w:lang w:eastAsia="en-US"/>
              </w:rPr>
              <w:t>00</w:t>
            </w:r>
          </w:p>
        </w:tc>
        <w:tc>
          <w:tcPr>
            <w:tcW w:w="1127" w:type="dxa"/>
            <w:tcBorders>
              <w:tl2br w:val="nil"/>
              <w:tr2bl w:val="nil"/>
            </w:tcBorders>
            <w:shd w:val="clear" w:color="auto" w:fill="auto"/>
            <w:vAlign w:val="center"/>
          </w:tcPr>
          <w:p w14:paraId="35C39509">
            <w:pPr>
              <w:widowControl/>
              <w:kinsoku w:val="0"/>
              <w:autoSpaceDE w:val="0"/>
              <w:autoSpaceDN w:val="0"/>
              <w:spacing w:line="240" w:lineRule="auto"/>
              <w:ind w:firstLine="0" w:firstLineChars="0"/>
              <w:jc w:val="center"/>
              <w:textAlignment w:val="baseline"/>
              <w:rPr>
                <w:rFonts w:eastAsia="Times New Roman"/>
                <w:color w:val="auto"/>
                <w:sz w:val="21"/>
                <w:szCs w:val="21"/>
                <w:lang w:eastAsia="en-US"/>
              </w:rPr>
            </w:pPr>
            <w:r>
              <w:rPr>
                <w:rFonts w:hint="eastAsia" w:eastAsia="Times New Roman"/>
                <w:color w:val="auto"/>
                <w:kern w:val="21"/>
                <w:sz w:val="21"/>
                <w:szCs w:val="21"/>
                <w:lang w:eastAsia="en-US"/>
              </w:rPr>
              <w:t>16</w:t>
            </w:r>
          </w:p>
        </w:tc>
        <w:tc>
          <w:tcPr>
            <w:tcW w:w="2571" w:type="dxa"/>
            <w:tcBorders>
              <w:tl2br w:val="nil"/>
              <w:tr2bl w:val="nil"/>
            </w:tcBorders>
            <w:shd w:val="clear" w:color="auto" w:fill="auto"/>
            <w:vAlign w:val="center"/>
          </w:tcPr>
          <w:p w14:paraId="649C9B8E">
            <w:pPr>
              <w:spacing w:line="240" w:lineRule="auto"/>
              <w:ind w:firstLine="0" w:firstLineChars="0"/>
              <w:jc w:val="center"/>
              <w:rPr>
                <w:rFonts w:eastAsia="Times New Roman"/>
                <w:color w:val="auto"/>
                <w:sz w:val="21"/>
                <w:szCs w:val="21"/>
                <w:lang w:eastAsia="en-US"/>
              </w:rPr>
            </w:pPr>
            <w:r>
              <w:rPr>
                <w:rFonts w:hint="eastAsia" w:ascii="宋体" w:hAnsi="宋体" w:eastAsia="Times New Roman" w:cs="宋体"/>
                <w:snapToGrid w:val="0"/>
                <w:color w:val="auto"/>
                <w:kern w:val="44"/>
                <w:sz w:val="21"/>
                <w:szCs w:val="21"/>
                <w:lang w:eastAsia="en-US"/>
              </w:rPr>
              <w:t>挥发酚</w:t>
            </w:r>
          </w:p>
        </w:tc>
        <w:tc>
          <w:tcPr>
            <w:tcW w:w="773" w:type="dxa"/>
            <w:tcBorders>
              <w:tl2br w:val="nil"/>
              <w:tr2bl w:val="nil"/>
            </w:tcBorders>
            <w:shd w:val="clear" w:color="auto" w:fill="auto"/>
            <w:vAlign w:val="center"/>
          </w:tcPr>
          <w:p w14:paraId="3C149B56">
            <w:pPr>
              <w:spacing w:line="240" w:lineRule="auto"/>
              <w:ind w:firstLine="0" w:firstLineChars="0"/>
              <w:jc w:val="center"/>
              <w:rPr>
                <w:rFonts w:eastAsia="Times New Roman"/>
                <w:color w:val="auto"/>
                <w:sz w:val="21"/>
                <w:szCs w:val="21"/>
                <w:lang w:eastAsia="en-US"/>
              </w:rPr>
            </w:pPr>
            <w:r>
              <w:rPr>
                <w:rFonts w:eastAsia="Times New Roman"/>
                <w:color w:val="auto"/>
                <w:sz w:val="21"/>
                <w:szCs w:val="21"/>
                <w:lang w:eastAsia="en-US"/>
              </w:rPr>
              <w:t>5</w:t>
            </w:r>
          </w:p>
        </w:tc>
      </w:tr>
      <w:tr w14:paraId="2635F9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76" w:type="dxa"/>
            <w:tcBorders>
              <w:tl2br w:val="nil"/>
              <w:tr2bl w:val="nil"/>
            </w:tcBorders>
            <w:vAlign w:val="center"/>
          </w:tcPr>
          <w:p w14:paraId="05F74AF3">
            <w:pPr>
              <w:widowControl/>
              <w:kinsoku w:val="0"/>
              <w:autoSpaceDE w:val="0"/>
              <w:autoSpaceDN w:val="0"/>
              <w:spacing w:line="240" w:lineRule="auto"/>
              <w:ind w:firstLine="0" w:firstLineChars="0"/>
              <w:jc w:val="center"/>
              <w:textAlignment w:val="baseline"/>
              <w:rPr>
                <w:rFonts w:eastAsia="Times New Roman"/>
                <w:color w:val="auto"/>
                <w:sz w:val="21"/>
                <w:szCs w:val="21"/>
                <w:lang w:eastAsia="en-US"/>
              </w:rPr>
            </w:pPr>
            <w:r>
              <w:rPr>
                <w:rFonts w:eastAsia="Times New Roman"/>
                <w:color w:val="auto"/>
                <w:kern w:val="21"/>
                <w:sz w:val="21"/>
                <w:szCs w:val="21"/>
                <w:lang w:eastAsia="en-US"/>
              </w:rPr>
              <w:t>7</w:t>
            </w:r>
          </w:p>
        </w:tc>
        <w:tc>
          <w:tcPr>
            <w:tcW w:w="2361" w:type="dxa"/>
            <w:tcBorders>
              <w:tl2br w:val="nil"/>
              <w:tr2bl w:val="nil"/>
            </w:tcBorders>
            <w:shd w:val="clear" w:color="auto" w:fill="auto"/>
            <w:vAlign w:val="center"/>
          </w:tcPr>
          <w:p w14:paraId="3A8F674F">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eastAsia="Times New Roman"/>
                <w:color w:val="auto"/>
                <w:kern w:val="21"/>
                <w:sz w:val="21"/>
                <w:szCs w:val="21"/>
                <w:lang w:eastAsia="en-US"/>
              </w:rPr>
              <w:t>总氮</w:t>
            </w:r>
            <w:r>
              <w:rPr>
                <w:rFonts w:eastAsia="Times New Roman"/>
                <w:color w:val="auto"/>
                <w:sz w:val="21"/>
                <w:szCs w:val="21"/>
                <w:lang w:eastAsia="en-US"/>
              </w:rPr>
              <w:t>（以N计）</w:t>
            </w:r>
          </w:p>
        </w:tc>
        <w:tc>
          <w:tcPr>
            <w:tcW w:w="1568" w:type="dxa"/>
            <w:tcBorders>
              <w:tl2br w:val="nil"/>
              <w:tr2bl w:val="nil"/>
            </w:tcBorders>
            <w:shd w:val="clear" w:color="auto" w:fill="auto"/>
            <w:vAlign w:val="center"/>
          </w:tcPr>
          <w:p w14:paraId="3D6DCE37">
            <w:pPr>
              <w:spacing w:line="240" w:lineRule="auto"/>
              <w:ind w:firstLine="0" w:firstLineChars="0"/>
              <w:jc w:val="center"/>
              <w:rPr>
                <w:rFonts w:eastAsia="Times New Roman"/>
                <w:color w:val="auto"/>
                <w:sz w:val="21"/>
                <w:szCs w:val="21"/>
                <w:lang w:eastAsia="en-US"/>
              </w:rPr>
            </w:pPr>
            <w:r>
              <w:rPr>
                <w:rFonts w:eastAsia="Times New Roman"/>
                <w:color w:val="auto"/>
                <w:sz w:val="21"/>
                <w:szCs w:val="21"/>
                <w:lang w:eastAsia="en-US"/>
              </w:rPr>
              <w:t>200</w:t>
            </w:r>
          </w:p>
        </w:tc>
        <w:tc>
          <w:tcPr>
            <w:tcW w:w="1127" w:type="dxa"/>
            <w:tcBorders>
              <w:tl2br w:val="nil"/>
              <w:tr2bl w:val="nil"/>
            </w:tcBorders>
            <w:shd w:val="clear" w:color="auto" w:fill="auto"/>
            <w:vAlign w:val="center"/>
          </w:tcPr>
          <w:p w14:paraId="78826614">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17</w:t>
            </w:r>
          </w:p>
        </w:tc>
        <w:tc>
          <w:tcPr>
            <w:tcW w:w="2571" w:type="dxa"/>
            <w:tcBorders>
              <w:tl2br w:val="nil"/>
              <w:tr2bl w:val="nil"/>
            </w:tcBorders>
            <w:shd w:val="clear" w:color="auto" w:fill="auto"/>
            <w:vAlign w:val="center"/>
          </w:tcPr>
          <w:p w14:paraId="6C56552C">
            <w:pPr>
              <w:spacing w:line="240" w:lineRule="auto"/>
              <w:ind w:firstLine="0" w:firstLineChars="0"/>
              <w:jc w:val="center"/>
              <w:rPr>
                <w:rFonts w:eastAsia="Times New Roman"/>
                <w:color w:val="auto"/>
                <w:sz w:val="21"/>
                <w:szCs w:val="21"/>
                <w:lang w:eastAsia="en-US"/>
              </w:rPr>
            </w:pPr>
            <w:r>
              <w:rPr>
                <w:rFonts w:eastAsia="Times New Roman"/>
                <w:color w:val="auto"/>
                <w:sz w:val="21"/>
                <w:szCs w:val="21"/>
                <w:lang w:eastAsia="en-US"/>
              </w:rPr>
              <w:t>硼</w:t>
            </w:r>
          </w:p>
        </w:tc>
        <w:tc>
          <w:tcPr>
            <w:tcW w:w="773" w:type="dxa"/>
            <w:tcBorders>
              <w:tl2br w:val="nil"/>
              <w:tr2bl w:val="nil"/>
            </w:tcBorders>
            <w:shd w:val="clear" w:color="auto" w:fill="auto"/>
            <w:vAlign w:val="center"/>
          </w:tcPr>
          <w:p w14:paraId="1C555638">
            <w:pPr>
              <w:widowControl/>
              <w:kinsoku w:val="0"/>
              <w:autoSpaceDE w:val="0"/>
              <w:autoSpaceDN w:val="0"/>
              <w:spacing w:line="240" w:lineRule="auto"/>
              <w:ind w:firstLine="0" w:firstLineChars="0"/>
              <w:jc w:val="center"/>
              <w:textAlignment w:val="baseline"/>
              <w:rPr>
                <w:rFonts w:eastAsia="Times New Roman"/>
                <w:color w:val="auto"/>
                <w:sz w:val="21"/>
                <w:szCs w:val="21"/>
                <w:lang w:eastAsia="en-US"/>
              </w:rPr>
            </w:pPr>
            <w:r>
              <w:rPr>
                <w:rFonts w:eastAsia="Times New Roman"/>
                <w:color w:val="auto"/>
                <w:sz w:val="21"/>
                <w:szCs w:val="21"/>
                <w:lang w:eastAsia="en-US"/>
              </w:rPr>
              <w:t>15</w:t>
            </w:r>
          </w:p>
        </w:tc>
      </w:tr>
      <w:tr w14:paraId="25471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76" w:type="dxa"/>
            <w:tcBorders>
              <w:tl2br w:val="nil"/>
              <w:tr2bl w:val="nil"/>
            </w:tcBorders>
            <w:vAlign w:val="center"/>
          </w:tcPr>
          <w:p w14:paraId="407E5D07">
            <w:pPr>
              <w:widowControl/>
              <w:kinsoku w:val="0"/>
              <w:autoSpaceDE w:val="0"/>
              <w:autoSpaceDN w:val="0"/>
              <w:spacing w:line="240" w:lineRule="auto"/>
              <w:ind w:firstLine="0" w:firstLineChars="0"/>
              <w:jc w:val="center"/>
              <w:textAlignment w:val="baseline"/>
              <w:rPr>
                <w:rFonts w:eastAsia="Times New Roman"/>
                <w:color w:val="auto"/>
                <w:sz w:val="21"/>
                <w:szCs w:val="21"/>
                <w:lang w:eastAsia="en-US"/>
              </w:rPr>
            </w:pPr>
            <w:r>
              <w:rPr>
                <w:rFonts w:eastAsia="Times New Roman"/>
                <w:color w:val="auto"/>
                <w:kern w:val="21"/>
                <w:sz w:val="21"/>
                <w:szCs w:val="21"/>
                <w:lang w:eastAsia="en-US"/>
              </w:rPr>
              <w:t>8</w:t>
            </w:r>
          </w:p>
        </w:tc>
        <w:tc>
          <w:tcPr>
            <w:tcW w:w="2361" w:type="dxa"/>
            <w:tcBorders>
              <w:tl2br w:val="nil"/>
              <w:tr2bl w:val="nil"/>
            </w:tcBorders>
            <w:vAlign w:val="center"/>
          </w:tcPr>
          <w:p w14:paraId="7C81E804">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eastAsia="Times New Roman"/>
                <w:color w:val="auto"/>
                <w:kern w:val="21"/>
                <w:sz w:val="21"/>
                <w:szCs w:val="21"/>
                <w:lang w:eastAsia="en-US"/>
              </w:rPr>
              <w:t>总磷</w:t>
            </w:r>
            <w:r>
              <w:rPr>
                <w:rFonts w:eastAsia="Times New Roman"/>
                <w:color w:val="auto"/>
                <w:sz w:val="21"/>
                <w:szCs w:val="21"/>
                <w:lang w:eastAsia="en-US"/>
              </w:rPr>
              <w:t>（以P计）</w:t>
            </w:r>
          </w:p>
        </w:tc>
        <w:tc>
          <w:tcPr>
            <w:tcW w:w="1568" w:type="dxa"/>
            <w:tcBorders>
              <w:tl2br w:val="nil"/>
              <w:tr2bl w:val="nil"/>
            </w:tcBorders>
            <w:vAlign w:val="center"/>
          </w:tcPr>
          <w:p w14:paraId="0652FCB0">
            <w:pPr>
              <w:adjustRightInd/>
              <w:snapToGrid/>
              <w:spacing w:line="240" w:lineRule="auto"/>
              <w:ind w:firstLine="0" w:firstLineChars="0"/>
              <w:jc w:val="center"/>
              <w:rPr>
                <w:rFonts w:eastAsia="Times New Roman"/>
                <w:color w:val="auto"/>
                <w:sz w:val="21"/>
                <w:szCs w:val="21"/>
                <w:lang w:eastAsia="en-US"/>
              </w:rPr>
            </w:pPr>
            <w:r>
              <w:rPr>
                <w:rFonts w:eastAsia="Times New Roman"/>
                <w:color w:val="auto"/>
                <w:sz w:val="21"/>
                <w:szCs w:val="21"/>
                <w:lang w:eastAsia="en-US"/>
              </w:rPr>
              <w:t>20</w:t>
            </w:r>
          </w:p>
        </w:tc>
        <w:tc>
          <w:tcPr>
            <w:tcW w:w="1127" w:type="dxa"/>
            <w:tcBorders>
              <w:tl2br w:val="nil"/>
              <w:tr2bl w:val="nil"/>
            </w:tcBorders>
            <w:shd w:val="clear" w:color="auto" w:fill="auto"/>
            <w:vAlign w:val="center"/>
          </w:tcPr>
          <w:p w14:paraId="054EDDDD">
            <w:pPr>
              <w:widowControl/>
              <w:kinsoku w:val="0"/>
              <w:autoSpaceDE w:val="0"/>
              <w:autoSpaceDN w:val="0"/>
              <w:spacing w:line="240" w:lineRule="auto"/>
              <w:ind w:firstLine="0" w:firstLineChars="0"/>
              <w:jc w:val="center"/>
              <w:textAlignment w:val="baseline"/>
              <w:rPr>
                <w:rFonts w:eastAsia="Times New Roman"/>
                <w:color w:val="auto"/>
                <w:sz w:val="21"/>
                <w:szCs w:val="21"/>
                <w:lang w:eastAsia="en-US"/>
              </w:rPr>
            </w:pPr>
            <w:r>
              <w:rPr>
                <w:rFonts w:hint="eastAsia" w:eastAsia="Times New Roman"/>
                <w:color w:val="auto"/>
                <w:sz w:val="21"/>
                <w:szCs w:val="21"/>
                <w:lang w:eastAsia="en-US"/>
              </w:rPr>
              <w:t>18</w:t>
            </w:r>
          </w:p>
        </w:tc>
        <w:tc>
          <w:tcPr>
            <w:tcW w:w="2571" w:type="dxa"/>
            <w:tcBorders>
              <w:tl2br w:val="nil"/>
              <w:tr2bl w:val="nil"/>
            </w:tcBorders>
            <w:shd w:val="clear" w:color="auto" w:fill="auto"/>
            <w:vAlign w:val="center"/>
          </w:tcPr>
          <w:p w14:paraId="510147AB">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eastAsia="Times New Roman"/>
                <w:color w:val="auto"/>
                <w:kern w:val="21"/>
                <w:sz w:val="21"/>
                <w:szCs w:val="21"/>
                <w:lang w:eastAsia="en-US"/>
              </w:rPr>
              <w:t>可溶性钡</w:t>
            </w:r>
          </w:p>
        </w:tc>
        <w:tc>
          <w:tcPr>
            <w:tcW w:w="773" w:type="dxa"/>
            <w:tcBorders>
              <w:tl2br w:val="nil"/>
              <w:tr2bl w:val="nil"/>
            </w:tcBorders>
            <w:shd w:val="clear" w:color="auto" w:fill="auto"/>
            <w:vAlign w:val="center"/>
          </w:tcPr>
          <w:p w14:paraId="75DB7D2F">
            <w:pPr>
              <w:spacing w:line="240" w:lineRule="auto"/>
              <w:ind w:firstLine="0" w:firstLineChars="0"/>
              <w:jc w:val="center"/>
              <w:rPr>
                <w:rFonts w:hint="default" w:eastAsia="宋体"/>
                <w:color w:val="auto"/>
                <w:sz w:val="21"/>
                <w:szCs w:val="21"/>
                <w:lang w:val="en-US" w:eastAsia="zh-CN"/>
              </w:rPr>
            </w:pPr>
            <w:r>
              <w:rPr>
                <w:rFonts w:hint="eastAsia" w:eastAsia="宋体"/>
                <w:color w:val="auto"/>
                <w:sz w:val="21"/>
                <w:szCs w:val="21"/>
                <w:lang w:val="en-US" w:eastAsia="zh-CN"/>
              </w:rPr>
              <w:t>40</w:t>
            </w:r>
          </w:p>
        </w:tc>
      </w:tr>
      <w:tr w14:paraId="2B83B7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76" w:type="dxa"/>
            <w:tcBorders>
              <w:tl2br w:val="nil"/>
              <w:tr2bl w:val="nil"/>
            </w:tcBorders>
            <w:vAlign w:val="center"/>
          </w:tcPr>
          <w:p w14:paraId="59130EF7">
            <w:pPr>
              <w:widowControl/>
              <w:kinsoku w:val="0"/>
              <w:autoSpaceDE w:val="0"/>
              <w:autoSpaceDN w:val="0"/>
              <w:spacing w:line="240" w:lineRule="auto"/>
              <w:ind w:firstLine="0" w:firstLineChars="0"/>
              <w:jc w:val="center"/>
              <w:textAlignment w:val="baseline"/>
              <w:rPr>
                <w:rFonts w:eastAsia="Times New Roman"/>
                <w:color w:val="auto"/>
                <w:sz w:val="21"/>
                <w:szCs w:val="21"/>
                <w:lang w:eastAsia="en-US"/>
              </w:rPr>
            </w:pPr>
            <w:r>
              <w:rPr>
                <w:rFonts w:eastAsia="Times New Roman"/>
                <w:color w:val="auto"/>
                <w:kern w:val="21"/>
                <w:sz w:val="21"/>
                <w:szCs w:val="21"/>
                <w:lang w:eastAsia="en-US"/>
              </w:rPr>
              <w:t>9</w:t>
            </w:r>
          </w:p>
        </w:tc>
        <w:tc>
          <w:tcPr>
            <w:tcW w:w="2361" w:type="dxa"/>
            <w:tcBorders>
              <w:tl2br w:val="nil"/>
              <w:tr2bl w:val="nil"/>
            </w:tcBorders>
            <w:shd w:val="clear" w:color="auto" w:fill="auto"/>
            <w:vAlign w:val="center"/>
          </w:tcPr>
          <w:p w14:paraId="1B591EA0">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ascii="宋体" w:hAnsi="宋体" w:eastAsia="Times New Roman" w:cs="宋体"/>
                <w:color w:val="auto"/>
                <w:kern w:val="21"/>
                <w:sz w:val="21"/>
                <w:szCs w:val="21"/>
                <w:lang w:eastAsia="en-US"/>
              </w:rPr>
              <w:t>总有机碳</w:t>
            </w:r>
            <w:r>
              <w:rPr>
                <w:rFonts w:eastAsia="Times New Roman"/>
                <w:color w:val="auto"/>
                <w:kern w:val="21"/>
                <w:sz w:val="21"/>
                <w:szCs w:val="21"/>
                <w:lang w:eastAsia="en-US"/>
              </w:rPr>
              <w:t>（TOC）</w:t>
            </w:r>
          </w:p>
        </w:tc>
        <w:tc>
          <w:tcPr>
            <w:tcW w:w="1568" w:type="dxa"/>
            <w:tcBorders>
              <w:tl2br w:val="nil"/>
              <w:tr2bl w:val="nil"/>
            </w:tcBorders>
            <w:shd w:val="clear" w:color="auto" w:fill="auto"/>
            <w:vAlign w:val="center"/>
          </w:tcPr>
          <w:p w14:paraId="39A8BBC5">
            <w:pPr>
              <w:spacing w:line="240" w:lineRule="auto"/>
              <w:ind w:firstLine="0" w:firstLineChars="0"/>
              <w:jc w:val="center"/>
              <w:rPr>
                <w:rFonts w:eastAsia="Times New Roman"/>
                <w:color w:val="auto"/>
                <w:sz w:val="21"/>
                <w:szCs w:val="21"/>
                <w:lang w:eastAsia="en-US"/>
              </w:rPr>
            </w:pPr>
            <w:r>
              <w:rPr>
                <w:rFonts w:eastAsia="Times New Roman"/>
                <w:color w:val="auto"/>
                <w:sz w:val="21"/>
                <w:szCs w:val="21"/>
                <w:lang w:eastAsia="en-US"/>
              </w:rPr>
              <w:t>400</w:t>
            </w:r>
          </w:p>
        </w:tc>
        <w:tc>
          <w:tcPr>
            <w:tcW w:w="1127" w:type="dxa"/>
            <w:tcBorders>
              <w:tl2br w:val="nil"/>
              <w:tr2bl w:val="nil"/>
            </w:tcBorders>
            <w:shd w:val="clear" w:color="auto" w:fill="auto"/>
            <w:vAlign w:val="center"/>
          </w:tcPr>
          <w:p w14:paraId="3996DB18">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eastAsia="Times New Roman"/>
                <w:color w:val="auto"/>
                <w:kern w:val="21"/>
                <w:sz w:val="21"/>
                <w:szCs w:val="21"/>
                <w:lang w:eastAsia="en-US"/>
              </w:rPr>
              <w:t>19</w:t>
            </w:r>
          </w:p>
        </w:tc>
        <w:tc>
          <w:tcPr>
            <w:tcW w:w="2571" w:type="dxa"/>
            <w:tcBorders>
              <w:tl2br w:val="nil"/>
              <w:tr2bl w:val="nil"/>
            </w:tcBorders>
            <w:shd w:val="clear" w:color="auto" w:fill="auto"/>
            <w:vAlign w:val="center"/>
          </w:tcPr>
          <w:p w14:paraId="6E3426BD">
            <w:pPr>
              <w:spacing w:line="240" w:lineRule="auto"/>
              <w:ind w:firstLine="0" w:firstLineChars="0"/>
              <w:jc w:val="center"/>
              <w:rPr>
                <w:rFonts w:eastAsia="Times New Roman"/>
                <w:color w:val="auto"/>
                <w:sz w:val="21"/>
                <w:szCs w:val="21"/>
                <w:lang w:eastAsia="en-US"/>
              </w:rPr>
            </w:pPr>
            <w:r>
              <w:rPr>
                <w:rFonts w:eastAsia="Times New Roman"/>
                <w:color w:val="auto"/>
                <w:sz w:val="21"/>
                <w:szCs w:val="21"/>
                <w:lang w:eastAsia="en-US"/>
              </w:rPr>
              <w:t>总α放射性</w:t>
            </w:r>
            <w:r>
              <w:rPr>
                <w:rFonts w:hint="eastAsia" w:eastAsia="宋体"/>
                <w:color w:val="auto"/>
                <w:sz w:val="21"/>
                <w:szCs w:val="21"/>
                <w:lang w:eastAsia="zh-CN"/>
              </w:rPr>
              <w:t>（</w:t>
            </w:r>
            <w:r>
              <w:rPr>
                <w:rFonts w:eastAsia="Times New Roman"/>
                <w:color w:val="auto"/>
                <w:sz w:val="21"/>
                <w:szCs w:val="21"/>
                <w:lang w:eastAsia="en-US"/>
              </w:rPr>
              <w:t>Bq/L</w:t>
            </w:r>
            <w:r>
              <w:rPr>
                <w:rFonts w:hint="eastAsia" w:eastAsia="宋体"/>
                <w:color w:val="auto"/>
                <w:sz w:val="21"/>
                <w:szCs w:val="21"/>
                <w:lang w:eastAsia="zh-CN"/>
              </w:rPr>
              <w:t>）</w:t>
            </w:r>
          </w:p>
        </w:tc>
        <w:tc>
          <w:tcPr>
            <w:tcW w:w="773" w:type="dxa"/>
            <w:tcBorders>
              <w:tl2br w:val="nil"/>
              <w:tr2bl w:val="nil"/>
            </w:tcBorders>
            <w:shd w:val="clear" w:color="auto" w:fill="auto"/>
            <w:vAlign w:val="center"/>
          </w:tcPr>
          <w:p w14:paraId="5119DCCD">
            <w:pPr>
              <w:spacing w:line="240" w:lineRule="auto"/>
              <w:ind w:firstLine="0" w:firstLineChars="0"/>
              <w:jc w:val="center"/>
              <w:rPr>
                <w:rFonts w:eastAsia="Times New Roman"/>
                <w:color w:val="auto"/>
                <w:sz w:val="21"/>
                <w:szCs w:val="21"/>
                <w:lang w:eastAsia="en-US"/>
              </w:rPr>
            </w:pPr>
            <w:r>
              <w:rPr>
                <w:rFonts w:eastAsia="Times New Roman"/>
                <w:color w:val="auto"/>
                <w:sz w:val="21"/>
                <w:szCs w:val="21"/>
                <w:lang w:eastAsia="en-US"/>
              </w:rPr>
              <w:t>50</w:t>
            </w:r>
          </w:p>
        </w:tc>
      </w:tr>
      <w:tr w14:paraId="612C72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76" w:type="dxa"/>
            <w:tcBorders>
              <w:tl2br w:val="nil"/>
              <w:tr2bl w:val="nil"/>
            </w:tcBorders>
            <w:shd w:val="clear" w:color="auto" w:fill="auto"/>
            <w:vAlign w:val="center"/>
          </w:tcPr>
          <w:p w14:paraId="7E480FC0">
            <w:pPr>
              <w:widowControl/>
              <w:kinsoku w:val="0"/>
              <w:autoSpaceDE w:val="0"/>
              <w:autoSpaceDN w:val="0"/>
              <w:spacing w:line="240" w:lineRule="auto"/>
              <w:ind w:firstLine="0" w:firstLineChars="0"/>
              <w:jc w:val="center"/>
              <w:textAlignment w:val="baseline"/>
              <w:rPr>
                <w:rFonts w:eastAsia="Times New Roman"/>
                <w:color w:val="auto"/>
                <w:sz w:val="21"/>
                <w:szCs w:val="21"/>
                <w:lang w:eastAsia="en-US"/>
              </w:rPr>
            </w:pPr>
            <w:r>
              <w:rPr>
                <w:rFonts w:eastAsia="Times New Roman"/>
                <w:color w:val="auto"/>
                <w:kern w:val="21"/>
                <w:sz w:val="21"/>
                <w:szCs w:val="21"/>
                <w:lang w:eastAsia="en-US"/>
              </w:rPr>
              <w:t>10</w:t>
            </w:r>
          </w:p>
        </w:tc>
        <w:tc>
          <w:tcPr>
            <w:tcW w:w="2361" w:type="dxa"/>
            <w:tcBorders>
              <w:tl2br w:val="nil"/>
              <w:tr2bl w:val="nil"/>
            </w:tcBorders>
            <w:shd w:val="clear" w:color="auto" w:fill="auto"/>
            <w:vAlign w:val="center"/>
          </w:tcPr>
          <w:p w14:paraId="483BFFFF">
            <w:pPr>
              <w:spacing w:line="240" w:lineRule="auto"/>
              <w:ind w:firstLine="0" w:firstLineChars="0"/>
              <w:jc w:val="center"/>
              <w:rPr>
                <w:rFonts w:eastAsia="Times New Roman"/>
                <w:color w:val="auto"/>
                <w:sz w:val="21"/>
                <w:szCs w:val="21"/>
                <w:lang w:eastAsia="en-US"/>
              </w:rPr>
            </w:pPr>
            <w:r>
              <w:rPr>
                <w:rFonts w:eastAsia="Times New Roman"/>
                <w:color w:val="auto"/>
                <w:kern w:val="21"/>
                <w:sz w:val="21"/>
                <w:szCs w:val="21"/>
                <w:lang w:eastAsia="en-US"/>
              </w:rPr>
              <w:t>石油类</w:t>
            </w:r>
          </w:p>
        </w:tc>
        <w:tc>
          <w:tcPr>
            <w:tcW w:w="1568" w:type="dxa"/>
            <w:tcBorders>
              <w:tl2br w:val="nil"/>
              <w:tr2bl w:val="nil"/>
            </w:tcBorders>
            <w:shd w:val="clear" w:color="auto" w:fill="auto"/>
            <w:vAlign w:val="center"/>
          </w:tcPr>
          <w:p w14:paraId="13E68FD4">
            <w:pPr>
              <w:spacing w:line="240" w:lineRule="auto"/>
              <w:ind w:firstLine="0" w:firstLineChars="0"/>
              <w:jc w:val="center"/>
              <w:rPr>
                <w:rFonts w:hint="default" w:eastAsia="宋体"/>
                <w:color w:val="auto"/>
                <w:sz w:val="21"/>
                <w:szCs w:val="21"/>
                <w:lang w:val="en-US" w:eastAsia="zh-CN"/>
              </w:rPr>
            </w:pPr>
            <w:r>
              <w:rPr>
                <w:rFonts w:hint="eastAsia" w:eastAsia="宋体"/>
                <w:color w:val="auto"/>
                <w:sz w:val="21"/>
                <w:szCs w:val="21"/>
                <w:lang w:val="en-US" w:eastAsia="zh-CN"/>
              </w:rPr>
              <w:t>100</w:t>
            </w:r>
          </w:p>
        </w:tc>
        <w:tc>
          <w:tcPr>
            <w:tcW w:w="1127" w:type="dxa"/>
            <w:tcBorders>
              <w:tl2br w:val="nil"/>
              <w:tr2bl w:val="nil"/>
            </w:tcBorders>
            <w:shd w:val="clear" w:color="auto" w:fill="auto"/>
            <w:vAlign w:val="center"/>
          </w:tcPr>
          <w:p w14:paraId="6D345B6E">
            <w:pPr>
              <w:widowControl/>
              <w:kinsoku w:val="0"/>
              <w:autoSpaceDE w:val="0"/>
              <w:autoSpaceDN w:val="0"/>
              <w:spacing w:line="240" w:lineRule="auto"/>
              <w:ind w:firstLine="0" w:firstLineChars="0"/>
              <w:jc w:val="center"/>
              <w:textAlignment w:val="baseline"/>
              <w:rPr>
                <w:rFonts w:eastAsia="Times New Roman"/>
                <w:color w:val="auto"/>
                <w:sz w:val="21"/>
                <w:szCs w:val="21"/>
                <w:lang w:eastAsia="en-US"/>
              </w:rPr>
            </w:pPr>
            <w:r>
              <w:rPr>
                <w:rFonts w:hint="eastAsia" w:eastAsia="Times New Roman"/>
                <w:color w:val="auto"/>
                <w:sz w:val="21"/>
                <w:szCs w:val="21"/>
                <w:lang w:eastAsia="en-US"/>
              </w:rPr>
              <w:t>20</w:t>
            </w:r>
          </w:p>
        </w:tc>
        <w:tc>
          <w:tcPr>
            <w:tcW w:w="2571" w:type="dxa"/>
            <w:tcBorders>
              <w:tl2br w:val="nil"/>
              <w:tr2bl w:val="nil"/>
            </w:tcBorders>
            <w:shd w:val="clear" w:color="auto" w:fill="auto"/>
            <w:vAlign w:val="center"/>
          </w:tcPr>
          <w:p w14:paraId="3A3F1FBB">
            <w:pPr>
              <w:spacing w:line="240" w:lineRule="auto"/>
              <w:ind w:firstLine="0" w:firstLineChars="0"/>
              <w:jc w:val="center"/>
              <w:rPr>
                <w:rFonts w:eastAsia="Times New Roman"/>
                <w:color w:val="auto"/>
                <w:sz w:val="21"/>
                <w:szCs w:val="21"/>
                <w:lang w:eastAsia="en-US"/>
              </w:rPr>
            </w:pPr>
            <w:r>
              <w:rPr>
                <w:rFonts w:eastAsia="Times New Roman"/>
                <w:color w:val="auto"/>
                <w:sz w:val="21"/>
                <w:szCs w:val="21"/>
                <w:lang w:eastAsia="en-US"/>
              </w:rPr>
              <w:t>总β放射性</w:t>
            </w:r>
            <w:r>
              <w:rPr>
                <w:rFonts w:hint="eastAsia" w:eastAsia="宋体"/>
                <w:color w:val="auto"/>
                <w:sz w:val="21"/>
                <w:szCs w:val="21"/>
                <w:lang w:eastAsia="zh-CN"/>
              </w:rPr>
              <w:t>（</w:t>
            </w:r>
            <w:r>
              <w:rPr>
                <w:rFonts w:eastAsia="Times New Roman"/>
                <w:color w:val="auto"/>
                <w:sz w:val="21"/>
                <w:szCs w:val="21"/>
                <w:lang w:eastAsia="en-US"/>
              </w:rPr>
              <w:t>Bq/L</w:t>
            </w:r>
            <w:r>
              <w:rPr>
                <w:rFonts w:hint="eastAsia" w:eastAsia="宋体"/>
                <w:color w:val="auto"/>
                <w:sz w:val="21"/>
                <w:szCs w:val="21"/>
                <w:lang w:eastAsia="zh-CN"/>
              </w:rPr>
              <w:t>）</w:t>
            </w:r>
          </w:p>
        </w:tc>
        <w:tc>
          <w:tcPr>
            <w:tcW w:w="773" w:type="dxa"/>
            <w:tcBorders>
              <w:tl2br w:val="nil"/>
              <w:tr2bl w:val="nil"/>
            </w:tcBorders>
            <w:shd w:val="clear" w:color="auto" w:fill="auto"/>
            <w:vAlign w:val="center"/>
          </w:tcPr>
          <w:p w14:paraId="56042A00">
            <w:pPr>
              <w:spacing w:line="240" w:lineRule="auto"/>
              <w:ind w:firstLine="0" w:firstLineChars="0"/>
              <w:jc w:val="center"/>
              <w:rPr>
                <w:rFonts w:eastAsia="Times New Roman"/>
                <w:color w:val="auto"/>
                <w:sz w:val="21"/>
                <w:szCs w:val="21"/>
                <w:lang w:eastAsia="en-US"/>
              </w:rPr>
            </w:pPr>
            <w:r>
              <w:rPr>
                <w:rFonts w:eastAsia="Times New Roman"/>
                <w:color w:val="auto"/>
                <w:sz w:val="21"/>
                <w:szCs w:val="21"/>
                <w:lang w:eastAsia="en-US"/>
              </w:rPr>
              <w:t>200</w:t>
            </w:r>
          </w:p>
        </w:tc>
      </w:tr>
    </w:tbl>
    <w:p w14:paraId="4F25700F">
      <w:pPr>
        <w:pStyle w:val="959"/>
        <w:widowControl w:val="0"/>
        <w:snapToGrid w:val="0"/>
        <w:ind w:firstLine="440"/>
        <w:rPr>
          <w:rFonts w:ascii="Times New Roman" w:hAnsi="Times New Roman"/>
          <w:color w:val="auto"/>
          <w:sz w:val="22"/>
          <w:szCs w:val="18"/>
          <w:lang w:val="en-US"/>
        </w:rPr>
      </w:pPr>
    </w:p>
    <w:p w14:paraId="325A628C">
      <w:pPr>
        <w:pStyle w:val="5"/>
        <w:numPr>
          <w:ilvl w:val="0"/>
          <w:numId w:val="0"/>
        </w:numPr>
        <w:spacing w:line="360" w:lineRule="auto"/>
        <w:rPr>
          <w:color w:val="auto"/>
        </w:rPr>
      </w:pPr>
      <w:r>
        <w:rPr>
          <w:rFonts w:hint="eastAsia"/>
          <w:color w:val="auto"/>
        </w:rPr>
        <w:t>3.3</w:t>
      </w:r>
      <w:r>
        <w:rPr>
          <w:color w:val="auto"/>
        </w:rPr>
        <w:t>.2</w:t>
      </w:r>
      <w:r>
        <w:rPr>
          <w:rFonts w:hint="eastAsia"/>
          <w:color w:val="auto"/>
        </w:rPr>
        <w:t>设计出水水质</w:t>
      </w:r>
    </w:p>
    <w:p w14:paraId="56A1BF2F">
      <w:pPr>
        <w:pStyle w:val="959"/>
        <w:snapToGrid w:val="0"/>
        <w:ind w:firstLine="480"/>
        <w:rPr>
          <w:color w:val="auto"/>
        </w:rPr>
      </w:pPr>
      <w:r>
        <w:rPr>
          <w:rFonts w:hint="eastAsia" w:ascii="Times New Roman" w:hAnsi="Times New Roman"/>
          <w:color w:val="auto"/>
          <w:lang w:val="en-US"/>
        </w:rPr>
        <w:t>拟建项目设计</w:t>
      </w:r>
      <w:r>
        <w:rPr>
          <w:bCs/>
          <w:color w:val="auto"/>
        </w:rPr>
        <w:t>出水水质达到</w:t>
      </w:r>
      <w:r>
        <w:rPr>
          <w:rFonts w:hint="eastAsia" w:ascii="Times New Roman" w:hAnsi="Times New Roman"/>
          <w:color w:val="auto"/>
          <w:lang w:val="en-US" w:eastAsia="zh-CN"/>
        </w:rPr>
        <w:t>《页岩气开采水污染物排放标准》（DB50/1806-2025）间接排放标准限值</w:t>
      </w:r>
      <w:r>
        <w:rPr>
          <w:rFonts w:hint="eastAsia" w:ascii="Times New Roman" w:hAnsi="Times New Roman"/>
          <w:color w:val="auto"/>
          <w:lang w:eastAsia="zh-CN"/>
        </w:rPr>
        <w:t>后直接接入乌杨组团园区污水处理厂</w:t>
      </w:r>
      <w:r>
        <w:rPr>
          <w:rFonts w:hint="eastAsia"/>
          <w:color w:val="auto"/>
        </w:rPr>
        <w:t>进行深度处理达《城镇污水处理厂污染物排放标准</w:t>
      </w:r>
      <w:r>
        <w:rPr>
          <w:rFonts w:ascii="Times New Roman" w:hAnsi="Times New Roman"/>
          <w:color w:val="auto"/>
        </w:rPr>
        <w:t>》（GB18918-2002）一级 A 标准后</w:t>
      </w:r>
      <w:r>
        <w:rPr>
          <w:rFonts w:hint="eastAsia"/>
          <w:color w:val="auto"/>
        </w:rPr>
        <w:t>排入</w:t>
      </w:r>
      <w:r>
        <w:rPr>
          <w:rFonts w:hint="eastAsia"/>
          <w:color w:val="auto"/>
          <w:lang w:eastAsia="zh-CN"/>
        </w:rPr>
        <w:t>长江</w:t>
      </w:r>
      <w:r>
        <w:rPr>
          <w:rFonts w:hint="eastAsia" w:ascii="Times New Roman" w:hAnsi="Times New Roman"/>
          <w:color w:val="auto"/>
          <w:lang w:val="en-US"/>
        </w:rPr>
        <w:t>，详见下表。</w:t>
      </w:r>
    </w:p>
    <w:p w14:paraId="2F6D9A5A">
      <w:pPr>
        <w:pStyle w:val="959"/>
        <w:snapToGrid w:val="0"/>
        <w:ind w:firstLine="482"/>
        <w:jc w:val="center"/>
        <w:rPr>
          <w:rFonts w:ascii="Times New Roman" w:hAnsi="Times New Roman"/>
          <w:color w:val="auto"/>
          <w:lang w:val="en-US"/>
        </w:rPr>
      </w:pPr>
      <w:r>
        <w:rPr>
          <w:rFonts w:ascii="Times New Roman" w:hAnsi="Times New Roman"/>
          <w:b/>
          <w:bCs/>
          <w:color w:val="auto"/>
          <w:szCs w:val="24"/>
        </w:rPr>
        <w:t>表</w:t>
      </w:r>
      <w:r>
        <w:rPr>
          <w:rFonts w:ascii="Times New Roman" w:hAnsi="Times New Roman"/>
          <w:b/>
          <w:bCs/>
          <w:color w:val="auto"/>
          <w:szCs w:val="24"/>
          <w:lang w:val="en-US"/>
        </w:rPr>
        <w:t>3.3</w:t>
      </w:r>
      <w:r>
        <w:rPr>
          <w:rFonts w:ascii="Times New Roman" w:hAnsi="Times New Roman"/>
          <w:b/>
          <w:bCs/>
          <w:color w:val="auto"/>
          <w:szCs w:val="24"/>
        </w:rPr>
        <w:t>-</w:t>
      </w:r>
      <w:r>
        <w:rPr>
          <w:rFonts w:ascii="Times New Roman" w:hAnsi="Times New Roman"/>
          <w:b/>
          <w:bCs/>
          <w:color w:val="auto"/>
          <w:szCs w:val="24"/>
          <w:lang w:val="en-US"/>
        </w:rPr>
        <w:t>3</w:t>
      </w:r>
      <w:r>
        <w:rPr>
          <w:rFonts w:hint="eastAsia" w:ascii="Times New Roman" w:hAnsi="Times New Roman"/>
          <w:b/>
          <w:bCs/>
          <w:color w:val="auto"/>
          <w:szCs w:val="24"/>
          <w:lang w:val="en-US"/>
        </w:rPr>
        <w:t xml:space="preserve">  废水设计出水水质   </w:t>
      </w:r>
      <w:r>
        <w:rPr>
          <w:rFonts w:ascii="Times New Roman" w:hAnsi="Times New Roman"/>
          <w:b/>
          <w:bCs/>
          <w:color w:val="auto"/>
          <w:szCs w:val="24"/>
        </w:rPr>
        <w:t>单位：mg/L</w:t>
      </w:r>
    </w:p>
    <w:tbl>
      <w:tblPr>
        <w:tblStyle w:val="662"/>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32"/>
        <w:gridCol w:w="2175"/>
        <w:gridCol w:w="1216"/>
        <w:gridCol w:w="982"/>
        <w:gridCol w:w="2480"/>
        <w:gridCol w:w="1091"/>
      </w:tblGrid>
      <w:tr w14:paraId="53C22C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624" w:type="pct"/>
            <w:tcBorders>
              <w:tl2br w:val="nil"/>
              <w:tr2bl w:val="nil"/>
            </w:tcBorders>
            <w:vAlign w:val="center"/>
          </w:tcPr>
          <w:p w14:paraId="71323CBD">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ascii="宋体" w:hAnsi="宋体" w:eastAsia="Times New Roman" w:cs="宋体"/>
                <w:color w:val="auto"/>
                <w:kern w:val="21"/>
                <w:sz w:val="21"/>
                <w:szCs w:val="21"/>
                <w:lang w:eastAsia="en-US"/>
              </w:rPr>
              <w:t>序号</w:t>
            </w:r>
          </w:p>
        </w:tc>
        <w:tc>
          <w:tcPr>
            <w:tcW w:w="1198" w:type="pct"/>
            <w:tcBorders>
              <w:tl2br w:val="nil"/>
              <w:tr2bl w:val="nil"/>
            </w:tcBorders>
            <w:vAlign w:val="center"/>
          </w:tcPr>
          <w:p w14:paraId="6B25BD7A">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ascii="宋体" w:hAnsi="宋体" w:eastAsia="Times New Roman" w:cs="宋体"/>
                <w:color w:val="auto"/>
                <w:kern w:val="21"/>
                <w:sz w:val="21"/>
                <w:szCs w:val="21"/>
                <w:lang w:eastAsia="en-US"/>
              </w:rPr>
              <w:t>指标</w:t>
            </w:r>
          </w:p>
        </w:tc>
        <w:tc>
          <w:tcPr>
            <w:tcW w:w="670" w:type="pct"/>
            <w:tcBorders>
              <w:tl2br w:val="nil"/>
              <w:tr2bl w:val="nil"/>
            </w:tcBorders>
            <w:vAlign w:val="center"/>
          </w:tcPr>
          <w:p w14:paraId="1242F96C">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eastAsia="Times New Roman"/>
                <w:color w:val="auto"/>
                <w:kern w:val="21"/>
                <w:sz w:val="21"/>
                <w:szCs w:val="21"/>
                <w:lang w:eastAsia="en-US"/>
              </w:rPr>
              <w:t>mg/L</w:t>
            </w:r>
          </w:p>
        </w:tc>
        <w:tc>
          <w:tcPr>
            <w:tcW w:w="541" w:type="pct"/>
            <w:tcBorders>
              <w:tl2br w:val="nil"/>
              <w:tr2bl w:val="nil"/>
            </w:tcBorders>
            <w:vAlign w:val="center"/>
          </w:tcPr>
          <w:p w14:paraId="2DC304CF">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ascii="宋体" w:hAnsi="宋体" w:eastAsia="Times New Roman" w:cs="宋体"/>
                <w:color w:val="auto"/>
                <w:kern w:val="21"/>
                <w:sz w:val="21"/>
                <w:szCs w:val="21"/>
                <w:lang w:eastAsia="en-US"/>
              </w:rPr>
              <w:t>序号</w:t>
            </w:r>
          </w:p>
        </w:tc>
        <w:tc>
          <w:tcPr>
            <w:tcW w:w="1366" w:type="pct"/>
            <w:tcBorders>
              <w:tl2br w:val="nil"/>
              <w:tr2bl w:val="nil"/>
            </w:tcBorders>
            <w:vAlign w:val="center"/>
          </w:tcPr>
          <w:p w14:paraId="3E240A8B">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ascii="宋体" w:hAnsi="宋体" w:eastAsia="Times New Roman" w:cs="宋体"/>
                <w:color w:val="auto"/>
                <w:kern w:val="21"/>
                <w:sz w:val="21"/>
                <w:szCs w:val="21"/>
                <w:lang w:eastAsia="en-US"/>
              </w:rPr>
              <w:t>指标</w:t>
            </w:r>
          </w:p>
        </w:tc>
        <w:tc>
          <w:tcPr>
            <w:tcW w:w="601" w:type="pct"/>
            <w:tcBorders>
              <w:tl2br w:val="nil"/>
              <w:tr2bl w:val="nil"/>
            </w:tcBorders>
            <w:vAlign w:val="center"/>
          </w:tcPr>
          <w:p w14:paraId="12EF129A">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eastAsia="Times New Roman"/>
                <w:color w:val="auto"/>
                <w:kern w:val="21"/>
                <w:sz w:val="21"/>
                <w:szCs w:val="21"/>
                <w:lang w:eastAsia="en-US"/>
              </w:rPr>
              <w:t>mg/L</w:t>
            </w:r>
          </w:p>
        </w:tc>
      </w:tr>
      <w:tr w14:paraId="073259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624" w:type="pct"/>
            <w:tcBorders>
              <w:tl2br w:val="nil"/>
              <w:tr2bl w:val="nil"/>
            </w:tcBorders>
            <w:vAlign w:val="center"/>
          </w:tcPr>
          <w:p w14:paraId="701A0844">
            <w:pPr>
              <w:widowControl/>
              <w:kinsoku w:val="0"/>
              <w:autoSpaceDE w:val="0"/>
              <w:autoSpaceDN w:val="0"/>
              <w:spacing w:line="240" w:lineRule="auto"/>
              <w:ind w:firstLine="0" w:firstLineChars="0"/>
              <w:jc w:val="center"/>
              <w:textAlignment w:val="baseline"/>
              <w:rPr>
                <w:rFonts w:eastAsia="Times New Roman"/>
                <w:color w:val="auto"/>
                <w:sz w:val="21"/>
                <w:szCs w:val="21"/>
                <w:lang w:eastAsia="en-US"/>
              </w:rPr>
            </w:pPr>
            <w:r>
              <w:rPr>
                <w:rFonts w:eastAsia="Times New Roman"/>
                <w:color w:val="auto"/>
                <w:kern w:val="21"/>
                <w:sz w:val="21"/>
                <w:szCs w:val="21"/>
                <w:lang w:eastAsia="en-US"/>
              </w:rPr>
              <w:t>1</w:t>
            </w:r>
          </w:p>
        </w:tc>
        <w:tc>
          <w:tcPr>
            <w:tcW w:w="1198" w:type="pct"/>
            <w:tcBorders>
              <w:tl2br w:val="nil"/>
              <w:tr2bl w:val="nil"/>
            </w:tcBorders>
            <w:vAlign w:val="center"/>
          </w:tcPr>
          <w:p w14:paraId="1C3BF9DC">
            <w:pPr>
              <w:spacing w:line="240" w:lineRule="auto"/>
              <w:ind w:firstLine="0" w:firstLineChars="0"/>
              <w:jc w:val="center"/>
              <w:rPr>
                <w:rFonts w:eastAsia="Times New Roman"/>
                <w:color w:val="auto"/>
                <w:sz w:val="21"/>
                <w:szCs w:val="21"/>
                <w:lang w:eastAsia="en-US"/>
              </w:rPr>
            </w:pPr>
            <w:r>
              <w:rPr>
                <w:rFonts w:eastAsia="Times New Roman"/>
                <w:color w:val="auto"/>
                <w:sz w:val="21"/>
                <w:szCs w:val="21"/>
                <w:lang w:eastAsia="en-US"/>
              </w:rPr>
              <w:t>pH</w:t>
            </w:r>
            <w:r>
              <w:rPr>
                <w:rFonts w:hint="eastAsia" w:ascii="宋体" w:hAnsi="宋体" w:eastAsia="Times New Roman" w:cs="宋体"/>
                <w:color w:val="auto"/>
                <w:sz w:val="21"/>
                <w:szCs w:val="21"/>
                <w:lang w:eastAsia="en-US"/>
              </w:rPr>
              <w:t>（无量纲）</w:t>
            </w:r>
          </w:p>
        </w:tc>
        <w:tc>
          <w:tcPr>
            <w:tcW w:w="1215" w:type="dxa"/>
            <w:tcBorders>
              <w:tl2br w:val="nil"/>
              <w:tr2bl w:val="nil"/>
            </w:tcBorders>
            <w:vAlign w:val="center"/>
          </w:tcPr>
          <w:p w14:paraId="4E3B67EA">
            <w:pPr>
              <w:spacing w:line="240" w:lineRule="auto"/>
              <w:ind w:firstLine="0" w:firstLineChars="0"/>
              <w:jc w:val="center"/>
              <w:rPr>
                <w:rFonts w:eastAsia="Times New Roman"/>
                <w:color w:val="auto"/>
                <w:sz w:val="21"/>
                <w:szCs w:val="21"/>
                <w:lang w:eastAsia="en-US"/>
              </w:rPr>
            </w:pPr>
            <w:r>
              <w:rPr>
                <w:rFonts w:hint="eastAsia" w:eastAsia="Times New Roman"/>
                <w:color w:val="auto"/>
                <w:sz w:val="21"/>
                <w:szCs w:val="21"/>
                <w:lang w:eastAsia="en-US"/>
              </w:rPr>
              <w:t>6-9</w:t>
            </w:r>
          </w:p>
        </w:tc>
        <w:tc>
          <w:tcPr>
            <w:tcW w:w="541" w:type="pct"/>
            <w:tcBorders>
              <w:tl2br w:val="nil"/>
              <w:tr2bl w:val="nil"/>
            </w:tcBorders>
            <w:shd w:val="clear" w:color="auto" w:fill="auto"/>
            <w:vAlign w:val="center"/>
          </w:tcPr>
          <w:p w14:paraId="000FBCE7">
            <w:pPr>
              <w:widowControl/>
              <w:kinsoku w:val="0"/>
              <w:autoSpaceDE w:val="0"/>
              <w:autoSpaceDN w:val="0"/>
              <w:spacing w:line="240" w:lineRule="auto"/>
              <w:ind w:firstLine="0" w:firstLineChars="0"/>
              <w:jc w:val="center"/>
              <w:textAlignment w:val="baseline"/>
              <w:rPr>
                <w:rFonts w:eastAsia="Times New Roman"/>
                <w:color w:val="auto"/>
                <w:sz w:val="21"/>
                <w:szCs w:val="21"/>
                <w:lang w:eastAsia="en-US"/>
              </w:rPr>
            </w:pPr>
            <w:r>
              <w:rPr>
                <w:rFonts w:eastAsia="Times New Roman"/>
                <w:color w:val="auto"/>
                <w:kern w:val="21"/>
                <w:sz w:val="21"/>
                <w:szCs w:val="21"/>
                <w:lang w:eastAsia="en-US"/>
              </w:rPr>
              <w:t>11</w:t>
            </w:r>
          </w:p>
        </w:tc>
        <w:tc>
          <w:tcPr>
            <w:tcW w:w="1366" w:type="pct"/>
            <w:tcBorders>
              <w:tl2br w:val="nil"/>
              <w:tr2bl w:val="nil"/>
            </w:tcBorders>
            <w:shd w:val="clear" w:color="auto" w:fill="auto"/>
            <w:vAlign w:val="center"/>
          </w:tcPr>
          <w:p w14:paraId="7A0E7FD9">
            <w:pPr>
              <w:spacing w:line="240" w:lineRule="auto"/>
              <w:ind w:firstLine="0" w:firstLineChars="0"/>
              <w:jc w:val="center"/>
              <w:rPr>
                <w:rFonts w:eastAsia="Times New Roman"/>
                <w:color w:val="auto"/>
                <w:kern w:val="21"/>
                <w:sz w:val="21"/>
                <w:szCs w:val="21"/>
                <w:lang w:eastAsia="en-US"/>
              </w:rPr>
            </w:pPr>
            <w:r>
              <w:rPr>
                <w:rFonts w:eastAsia="Times New Roman"/>
                <w:color w:val="auto"/>
                <w:kern w:val="21"/>
                <w:sz w:val="21"/>
                <w:szCs w:val="21"/>
                <w:lang w:eastAsia="en-US"/>
              </w:rPr>
              <w:t>硫化物</w:t>
            </w:r>
          </w:p>
        </w:tc>
        <w:tc>
          <w:tcPr>
            <w:tcW w:w="1089" w:type="dxa"/>
            <w:tcBorders>
              <w:tl2br w:val="nil"/>
              <w:tr2bl w:val="nil"/>
            </w:tcBorders>
            <w:shd w:val="clear" w:color="auto" w:fill="auto"/>
            <w:vAlign w:val="center"/>
          </w:tcPr>
          <w:p w14:paraId="5E489626">
            <w:pPr>
              <w:spacing w:line="240" w:lineRule="auto"/>
              <w:ind w:firstLine="0" w:firstLineChars="0"/>
              <w:jc w:val="center"/>
              <w:rPr>
                <w:rFonts w:eastAsia="Times New Roman"/>
                <w:color w:val="auto"/>
                <w:sz w:val="21"/>
                <w:szCs w:val="21"/>
                <w:lang w:eastAsia="en-US"/>
              </w:rPr>
            </w:pPr>
            <w:r>
              <w:rPr>
                <w:rFonts w:hint="eastAsia" w:eastAsia="Times New Roman"/>
                <w:color w:val="auto"/>
                <w:sz w:val="21"/>
                <w:szCs w:val="21"/>
                <w:lang w:eastAsia="en-US"/>
              </w:rPr>
              <w:t>1.0</w:t>
            </w:r>
          </w:p>
        </w:tc>
      </w:tr>
      <w:tr w14:paraId="0C126B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624" w:type="pct"/>
            <w:tcBorders>
              <w:tl2br w:val="nil"/>
              <w:tr2bl w:val="nil"/>
            </w:tcBorders>
            <w:vAlign w:val="center"/>
          </w:tcPr>
          <w:p w14:paraId="1DE8F35F">
            <w:pPr>
              <w:widowControl/>
              <w:kinsoku w:val="0"/>
              <w:autoSpaceDE w:val="0"/>
              <w:autoSpaceDN w:val="0"/>
              <w:spacing w:line="240" w:lineRule="auto"/>
              <w:ind w:firstLine="0" w:firstLineChars="0"/>
              <w:jc w:val="center"/>
              <w:textAlignment w:val="baseline"/>
              <w:rPr>
                <w:rFonts w:eastAsia="Times New Roman"/>
                <w:color w:val="auto"/>
                <w:sz w:val="21"/>
                <w:szCs w:val="21"/>
                <w:lang w:eastAsia="en-US"/>
              </w:rPr>
            </w:pPr>
            <w:r>
              <w:rPr>
                <w:rFonts w:eastAsia="Times New Roman"/>
                <w:color w:val="auto"/>
                <w:kern w:val="21"/>
                <w:sz w:val="21"/>
                <w:szCs w:val="21"/>
                <w:lang w:eastAsia="en-US"/>
              </w:rPr>
              <w:t>2</w:t>
            </w:r>
          </w:p>
        </w:tc>
        <w:tc>
          <w:tcPr>
            <w:tcW w:w="1198" w:type="pct"/>
            <w:tcBorders>
              <w:tl2br w:val="nil"/>
              <w:tr2bl w:val="nil"/>
            </w:tcBorders>
            <w:shd w:val="clear" w:color="auto" w:fill="auto"/>
            <w:vAlign w:val="center"/>
          </w:tcPr>
          <w:p w14:paraId="007C33DD">
            <w:pPr>
              <w:spacing w:line="240" w:lineRule="auto"/>
              <w:ind w:firstLine="0" w:firstLineChars="0"/>
              <w:jc w:val="center"/>
              <w:rPr>
                <w:rFonts w:eastAsia="Times New Roman"/>
                <w:color w:val="auto"/>
                <w:sz w:val="21"/>
                <w:szCs w:val="21"/>
                <w:lang w:eastAsia="en-US"/>
              </w:rPr>
            </w:pPr>
            <w:r>
              <w:rPr>
                <w:rFonts w:hint="eastAsia" w:ascii="宋体" w:hAnsi="宋体" w:eastAsia="Times New Roman" w:cs="宋体"/>
                <w:color w:val="auto"/>
                <w:sz w:val="21"/>
                <w:szCs w:val="21"/>
                <w:lang w:eastAsia="en-US"/>
              </w:rPr>
              <w:t>色度</w:t>
            </w:r>
            <w:r>
              <w:rPr>
                <w:rFonts w:eastAsia="Times New Roman"/>
                <w:color w:val="auto"/>
                <w:sz w:val="21"/>
                <w:szCs w:val="21"/>
                <w:lang w:eastAsia="en-US"/>
              </w:rPr>
              <w:t>（稀释倍数）</w:t>
            </w:r>
          </w:p>
        </w:tc>
        <w:tc>
          <w:tcPr>
            <w:tcW w:w="1215" w:type="dxa"/>
            <w:tcBorders>
              <w:tl2br w:val="nil"/>
              <w:tr2bl w:val="nil"/>
            </w:tcBorders>
            <w:shd w:val="clear" w:color="auto" w:fill="auto"/>
            <w:vAlign w:val="center"/>
          </w:tcPr>
          <w:p w14:paraId="05672AC2">
            <w:pPr>
              <w:spacing w:line="240" w:lineRule="auto"/>
              <w:ind w:firstLine="0" w:firstLineChars="0"/>
              <w:jc w:val="center"/>
              <w:rPr>
                <w:rFonts w:eastAsia="Times New Roman"/>
                <w:color w:val="auto"/>
                <w:sz w:val="21"/>
                <w:szCs w:val="21"/>
                <w:lang w:eastAsia="en-US"/>
              </w:rPr>
            </w:pPr>
            <w:r>
              <w:rPr>
                <w:rFonts w:hint="eastAsia" w:eastAsia="Times New Roman"/>
                <w:color w:val="auto"/>
                <w:sz w:val="21"/>
                <w:szCs w:val="21"/>
                <w:lang w:eastAsia="en-US"/>
              </w:rPr>
              <w:t>64</w:t>
            </w:r>
          </w:p>
        </w:tc>
        <w:tc>
          <w:tcPr>
            <w:tcW w:w="541" w:type="pct"/>
            <w:tcBorders>
              <w:tl2br w:val="nil"/>
              <w:tr2bl w:val="nil"/>
            </w:tcBorders>
            <w:shd w:val="clear" w:color="auto" w:fill="auto"/>
            <w:vAlign w:val="center"/>
          </w:tcPr>
          <w:p w14:paraId="425008CD">
            <w:pPr>
              <w:widowControl/>
              <w:kinsoku w:val="0"/>
              <w:autoSpaceDE w:val="0"/>
              <w:autoSpaceDN w:val="0"/>
              <w:spacing w:line="240" w:lineRule="auto"/>
              <w:ind w:firstLine="0" w:firstLineChars="0"/>
              <w:jc w:val="center"/>
              <w:textAlignment w:val="baseline"/>
              <w:rPr>
                <w:rFonts w:eastAsiaTheme="minorEastAsia"/>
                <w:color w:val="auto"/>
                <w:sz w:val="21"/>
                <w:szCs w:val="21"/>
                <w:lang w:eastAsia="en-US"/>
              </w:rPr>
            </w:pPr>
            <w:r>
              <w:rPr>
                <w:rFonts w:eastAsiaTheme="minorEastAsia"/>
                <w:color w:val="auto"/>
                <w:sz w:val="21"/>
                <w:szCs w:val="21"/>
                <w:lang w:eastAsia="en-US"/>
              </w:rPr>
              <w:t>12</w:t>
            </w:r>
          </w:p>
        </w:tc>
        <w:tc>
          <w:tcPr>
            <w:tcW w:w="1366" w:type="pct"/>
            <w:tcBorders>
              <w:tl2br w:val="nil"/>
              <w:tr2bl w:val="nil"/>
            </w:tcBorders>
            <w:shd w:val="clear" w:color="auto" w:fill="auto"/>
            <w:vAlign w:val="center"/>
          </w:tcPr>
          <w:p w14:paraId="167CF121">
            <w:pPr>
              <w:spacing w:line="240" w:lineRule="auto"/>
              <w:ind w:firstLine="0" w:firstLineChars="0"/>
              <w:jc w:val="center"/>
              <w:rPr>
                <w:rFonts w:eastAsia="Times New Roman"/>
                <w:color w:val="auto"/>
                <w:kern w:val="21"/>
                <w:sz w:val="21"/>
                <w:szCs w:val="21"/>
                <w:lang w:eastAsia="en-US"/>
              </w:rPr>
            </w:pPr>
            <w:r>
              <w:rPr>
                <w:rFonts w:eastAsia="Times New Roman"/>
                <w:color w:val="auto"/>
                <w:kern w:val="21"/>
                <w:sz w:val="21"/>
                <w:szCs w:val="21"/>
                <w:lang w:eastAsia="en-US"/>
              </w:rPr>
              <w:t>氟化物</w:t>
            </w:r>
          </w:p>
        </w:tc>
        <w:tc>
          <w:tcPr>
            <w:tcW w:w="1089" w:type="dxa"/>
            <w:tcBorders>
              <w:tl2br w:val="nil"/>
              <w:tr2bl w:val="nil"/>
            </w:tcBorders>
            <w:shd w:val="clear" w:color="auto" w:fill="auto"/>
            <w:vAlign w:val="center"/>
          </w:tcPr>
          <w:p w14:paraId="79D569F8">
            <w:pPr>
              <w:spacing w:line="240" w:lineRule="auto"/>
              <w:ind w:firstLine="0" w:firstLineChars="0"/>
              <w:jc w:val="center"/>
              <w:rPr>
                <w:rFonts w:eastAsia="Times New Roman"/>
                <w:color w:val="auto"/>
                <w:sz w:val="21"/>
                <w:szCs w:val="21"/>
                <w:lang w:eastAsia="en-US"/>
              </w:rPr>
            </w:pPr>
            <w:r>
              <w:rPr>
                <w:rFonts w:hint="eastAsia" w:eastAsia="Times New Roman"/>
                <w:color w:val="auto"/>
                <w:sz w:val="21"/>
                <w:szCs w:val="21"/>
                <w:lang w:eastAsia="en-US"/>
              </w:rPr>
              <w:t>20</w:t>
            </w:r>
          </w:p>
        </w:tc>
      </w:tr>
      <w:tr w14:paraId="7988E4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624" w:type="pct"/>
            <w:tcBorders>
              <w:tl2br w:val="nil"/>
              <w:tr2bl w:val="nil"/>
            </w:tcBorders>
            <w:vAlign w:val="center"/>
          </w:tcPr>
          <w:p w14:paraId="6366A056">
            <w:pPr>
              <w:widowControl/>
              <w:kinsoku w:val="0"/>
              <w:autoSpaceDE w:val="0"/>
              <w:autoSpaceDN w:val="0"/>
              <w:spacing w:line="240" w:lineRule="auto"/>
              <w:ind w:firstLine="0" w:firstLineChars="0"/>
              <w:jc w:val="center"/>
              <w:textAlignment w:val="baseline"/>
              <w:rPr>
                <w:rFonts w:eastAsia="Times New Roman"/>
                <w:color w:val="auto"/>
                <w:sz w:val="21"/>
                <w:szCs w:val="21"/>
                <w:lang w:eastAsia="en-US"/>
              </w:rPr>
            </w:pPr>
            <w:r>
              <w:rPr>
                <w:rFonts w:eastAsia="Times New Roman"/>
                <w:color w:val="auto"/>
                <w:kern w:val="21"/>
                <w:sz w:val="21"/>
                <w:szCs w:val="21"/>
                <w:lang w:eastAsia="en-US"/>
              </w:rPr>
              <w:t>3</w:t>
            </w:r>
          </w:p>
        </w:tc>
        <w:tc>
          <w:tcPr>
            <w:tcW w:w="1198" w:type="pct"/>
            <w:tcBorders>
              <w:tl2br w:val="nil"/>
              <w:tr2bl w:val="nil"/>
            </w:tcBorders>
            <w:shd w:val="clear" w:color="auto" w:fill="auto"/>
            <w:vAlign w:val="center"/>
          </w:tcPr>
          <w:p w14:paraId="2C321707">
            <w:pPr>
              <w:spacing w:line="240" w:lineRule="auto"/>
              <w:ind w:firstLine="0" w:firstLineChars="0"/>
              <w:jc w:val="center"/>
              <w:rPr>
                <w:rFonts w:eastAsia="Times New Roman"/>
                <w:color w:val="auto"/>
                <w:sz w:val="21"/>
                <w:szCs w:val="21"/>
                <w:lang w:eastAsia="en-US"/>
              </w:rPr>
            </w:pPr>
            <w:r>
              <w:rPr>
                <w:rFonts w:hint="eastAsia" w:ascii="宋体" w:hAnsi="宋体" w:eastAsia="Times New Roman" w:cs="宋体"/>
                <w:color w:val="auto"/>
                <w:sz w:val="21"/>
                <w:szCs w:val="21"/>
                <w:lang w:eastAsia="en-US"/>
              </w:rPr>
              <w:t>悬浮物</w:t>
            </w:r>
            <w:r>
              <w:rPr>
                <w:rFonts w:eastAsia="Times New Roman"/>
                <w:color w:val="auto"/>
                <w:sz w:val="21"/>
                <w:szCs w:val="21"/>
                <w:lang w:eastAsia="en-US"/>
              </w:rPr>
              <w:t>（SS）</w:t>
            </w:r>
          </w:p>
        </w:tc>
        <w:tc>
          <w:tcPr>
            <w:tcW w:w="1215" w:type="dxa"/>
            <w:tcBorders>
              <w:tl2br w:val="nil"/>
              <w:tr2bl w:val="nil"/>
            </w:tcBorders>
            <w:shd w:val="clear" w:color="auto" w:fill="auto"/>
            <w:vAlign w:val="center"/>
          </w:tcPr>
          <w:p w14:paraId="7D3CBB60">
            <w:pPr>
              <w:spacing w:line="240" w:lineRule="auto"/>
              <w:ind w:firstLine="0" w:firstLineChars="0"/>
              <w:jc w:val="center"/>
              <w:rPr>
                <w:rFonts w:eastAsia="Times New Roman"/>
                <w:color w:val="auto"/>
                <w:sz w:val="21"/>
                <w:szCs w:val="21"/>
                <w:lang w:eastAsia="en-US"/>
              </w:rPr>
            </w:pPr>
            <w:r>
              <w:rPr>
                <w:rFonts w:hint="eastAsia" w:eastAsia="Times New Roman"/>
                <w:color w:val="auto"/>
                <w:sz w:val="21"/>
                <w:szCs w:val="21"/>
                <w:lang w:eastAsia="en-US"/>
              </w:rPr>
              <w:t>400</w:t>
            </w:r>
          </w:p>
        </w:tc>
        <w:tc>
          <w:tcPr>
            <w:tcW w:w="541" w:type="pct"/>
            <w:tcBorders>
              <w:tl2br w:val="nil"/>
              <w:tr2bl w:val="nil"/>
            </w:tcBorders>
            <w:shd w:val="clear" w:color="auto" w:fill="auto"/>
            <w:vAlign w:val="center"/>
          </w:tcPr>
          <w:p w14:paraId="27654F1E">
            <w:pPr>
              <w:widowControl/>
              <w:kinsoku w:val="0"/>
              <w:autoSpaceDE w:val="0"/>
              <w:autoSpaceDN w:val="0"/>
              <w:spacing w:line="240" w:lineRule="auto"/>
              <w:ind w:firstLine="0" w:firstLineChars="0"/>
              <w:jc w:val="center"/>
              <w:textAlignment w:val="baseline"/>
              <w:rPr>
                <w:rFonts w:eastAsia="Times New Roman"/>
                <w:color w:val="auto"/>
                <w:sz w:val="21"/>
                <w:szCs w:val="21"/>
                <w:lang w:eastAsia="en-US"/>
              </w:rPr>
            </w:pPr>
            <w:r>
              <w:rPr>
                <w:rFonts w:eastAsia="Times New Roman"/>
                <w:color w:val="auto"/>
                <w:kern w:val="21"/>
                <w:sz w:val="21"/>
                <w:szCs w:val="21"/>
                <w:lang w:eastAsia="en-US"/>
              </w:rPr>
              <w:t>13</w:t>
            </w:r>
          </w:p>
        </w:tc>
        <w:tc>
          <w:tcPr>
            <w:tcW w:w="1366" w:type="pct"/>
            <w:tcBorders>
              <w:tl2br w:val="nil"/>
              <w:tr2bl w:val="nil"/>
            </w:tcBorders>
            <w:shd w:val="clear" w:color="auto" w:fill="auto"/>
            <w:vAlign w:val="center"/>
          </w:tcPr>
          <w:p w14:paraId="0C4A8394">
            <w:pPr>
              <w:spacing w:line="240" w:lineRule="auto"/>
              <w:ind w:firstLine="0" w:firstLineChars="0"/>
              <w:jc w:val="center"/>
              <w:rPr>
                <w:rFonts w:eastAsia="Times New Roman"/>
                <w:color w:val="auto"/>
                <w:sz w:val="21"/>
                <w:szCs w:val="21"/>
                <w:lang w:eastAsia="en-US"/>
              </w:rPr>
            </w:pPr>
            <w:r>
              <w:rPr>
                <w:rFonts w:hint="eastAsia" w:ascii="宋体" w:hAnsi="宋体" w:eastAsia="Times New Roman" w:cs="宋体"/>
                <w:color w:val="auto"/>
                <w:kern w:val="21"/>
                <w:sz w:val="21"/>
                <w:szCs w:val="21"/>
                <w:lang w:eastAsia="en-US"/>
              </w:rPr>
              <w:t>氯化物</w:t>
            </w:r>
            <w:r>
              <w:rPr>
                <w:rFonts w:eastAsia="Times New Roman"/>
                <w:color w:val="auto"/>
                <w:kern w:val="21"/>
                <w:sz w:val="21"/>
                <w:szCs w:val="21"/>
                <w:lang w:eastAsia="en-US"/>
              </w:rPr>
              <w:t>（以Cl计）</w:t>
            </w:r>
          </w:p>
        </w:tc>
        <w:tc>
          <w:tcPr>
            <w:tcW w:w="1089" w:type="dxa"/>
            <w:tcBorders>
              <w:tl2br w:val="nil"/>
              <w:tr2bl w:val="nil"/>
            </w:tcBorders>
            <w:shd w:val="clear" w:color="auto" w:fill="auto"/>
            <w:vAlign w:val="center"/>
          </w:tcPr>
          <w:p w14:paraId="4759396A">
            <w:pPr>
              <w:spacing w:line="240" w:lineRule="auto"/>
              <w:ind w:firstLine="0" w:firstLineChars="0"/>
              <w:jc w:val="center"/>
              <w:rPr>
                <w:rFonts w:eastAsiaTheme="minorEastAsia"/>
                <w:color w:val="auto"/>
                <w:sz w:val="21"/>
                <w:szCs w:val="21"/>
                <w:lang w:eastAsia="en-US"/>
              </w:rPr>
            </w:pPr>
            <w:r>
              <w:rPr>
                <w:rFonts w:hint="eastAsia" w:eastAsiaTheme="minorEastAsia"/>
                <w:color w:val="auto"/>
                <w:sz w:val="21"/>
                <w:szCs w:val="21"/>
              </w:rPr>
              <w:t>3000</w:t>
            </w:r>
          </w:p>
        </w:tc>
      </w:tr>
      <w:tr w14:paraId="65BD54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624" w:type="pct"/>
            <w:tcBorders>
              <w:tl2br w:val="nil"/>
              <w:tr2bl w:val="nil"/>
            </w:tcBorders>
            <w:vAlign w:val="center"/>
          </w:tcPr>
          <w:p w14:paraId="174E1649">
            <w:pPr>
              <w:widowControl/>
              <w:kinsoku w:val="0"/>
              <w:autoSpaceDE w:val="0"/>
              <w:autoSpaceDN w:val="0"/>
              <w:spacing w:line="240" w:lineRule="auto"/>
              <w:ind w:firstLine="0" w:firstLineChars="0"/>
              <w:jc w:val="center"/>
              <w:textAlignment w:val="baseline"/>
              <w:rPr>
                <w:rFonts w:eastAsia="Times New Roman"/>
                <w:color w:val="auto"/>
                <w:sz w:val="21"/>
                <w:szCs w:val="21"/>
                <w:lang w:eastAsia="en-US"/>
              </w:rPr>
            </w:pPr>
            <w:r>
              <w:rPr>
                <w:rFonts w:eastAsia="Times New Roman"/>
                <w:color w:val="auto"/>
                <w:kern w:val="21"/>
                <w:sz w:val="21"/>
                <w:szCs w:val="21"/>
                <w:lang w:eastAsia="en-US"/>
              </w:rPr>
              <w:t>4</w:t>
            </w:r>
          </w:p>
        </w:tc>
        <w:tc>
          <w:tcPr>
            <w:tcW w:w="1198" w:type="pct"/>
            <w:tcBorders>
              <w:tl2br w:val="nil"/>
              <w:tr2bl w:val="nil"/>
            </w:tcBorders>
            <w:shd w:val="clear" w:color="auto" w:fill="auto"/>
            <w:vAlign w:val="center"/>
          </w:tcPr>
          <w:p w14:paraId="5924C9A3">
            <w:pPr>
              <w:spacing w:line="240" w:lineRule="auto"/>
              <w:ind w:firstLine="0" w:firstLineChars="0"/>
              <w:jc w:val="center"/>
              <w:rPr>
                <w:rFonts w:eastAsia="Times New Roman"/>
                <w:color w:val="auto"/>
                <w:sz w:val="21"/>
                <w:szCs w:val="21"/>
                <w:lang w:eastAsia="en-US"/>
              </w:rPr>
            </w:pPr>
            <w:r>
              <w:rPr>
                <w:rFonts w:eastAsia="Times New Roman"/>
                <w:color w:val="auto"/>
                <w:sz w:val="21"/>
                <w:szCs w:val="21"/>
                <w:lang w:eastAsia="en-US"/>
              </w:rPr>
              <w:t>化学需氧量（COD）</w:t>
            </w:r>
          </w:p>
        </w:tc>
        <w:tc>
          <w:tcPr>
            <w:tcW w:w="1215" w:type="dxa"/>
            <w:tcBorders>
              <w:tl2br w:val="nil"/>
              <w:tr2bl w:val="nil"/>
            </w:tcBorders>
            <w:shd w:val="clear" w:color="auto" w:fill="auto"/>
            <w:vAlign w:val="center"/>
          </w:tcPr>
          <w:p w14:paraId="22D05ACB">
            <w:pPr>
              <w:spacing w:line="240" w:lineRule="auto"/>
              <w:ind w:firstLine="0" w:firstLineChars="0"/>
              <w:jc w:val="center"/>
              <w:rPr>
                <w:rFonts w:eastAsia="Times New Roman"/>
                <w:color w:val="auto"/>
                <w:sz w:val="21"/>
                <w:szCs w:val="21"/>
                <w:lang w:eastAsia="en-US"/>
              </w:rPr>
            </w:pPr>
            <w:r>
              <w:rPr>
                <w:rFonts w:hint="eastAsia" w:eastAsia="Times New Roman"/>
                <w:color w:val="auto"/>
                <w:sz w:val="21"/>
                <w:szCs w:val="21"/>
                <w:lang w:eastAsia="en-US"/>
              </w:rPr>
              <w:t>500</w:t>
            </w:r>
          </w:p>
        </w:tc>
        <w:tc>
          <w:tcPr>
            <w:tcW w:w="541" w:type="pct"/>
            <w:tcBorders>
              <w:tl2br w:val="nil"/>
              <w:tr2bl w:val="nil"/>
            </w:tcBorders>
            <w:shd w:val="clear" w:color="auto" w:fill="auto"/>
            <w:vAlign w:val="center"/>
          </w:tcPr>
          <w:p w14:paraId="005FDDE9">
            <w:pPr>
              <w:widowControl/>
              <w:kinsoku w:val="0"/>
              <w:autoSpaceDE w:val="0"/>
              <w:autoSpaceDN w:val="0"/>
              <w:spacing w:line="240" w:lineRule="auto"/>
              <w:ind w:firstLine="0" w:firstLineChars="0"/>
              <w:jc w:val="center"/>
              <w:textAlignment w:val="baseline"/>
              <w:rPr>
                <w:rFonts w:eastAsia="Times New Roman"/>
                <w:color w:val="auto"/>
                <w:sz w:val="21"/>
                <w:szCs w:val="21"/>
                <w:lang w:eastAsia="en-US"/>
              </w:rPr>
            </w:pPr>
            <w:r>
              <w:rPr>
                <w:rFonts w:eastAsia="Times New Roman"/>
                <w:color w:val="auto"/>
                <w:kern w:val="21"/>
                <w:sz w:val="21"/>
                <w:szCs w:val="21"/>
                <w:lang w:eastAsia="en-US"/>
              </w:rPr>
              <w:t>14</w:t>
            </w:r>
          </w:p>
        </w:tc>
        <w:tc>
          <w:tcPr>
            <w:tcW w:w="1366" w:type="pct"/>
            <w:tcBorders>
              <w:tl2br w:val="nil"/>
              <w:tr2bl w:val="nil"/>
            </w:tcBorders>
            <w:shd w:val="clear" w:color="auto" w:fill="auto"/>
            <w:vAlign w:val="center"/>
          </w:tcPr>
          <w:p w14:paraId="2E036BD4">
            <w:pPr>
              <w:spacing w:line="240" w:lineRule="auto"/>
              <w:ind w:firstLine="0" w:firstLineChars="0"/>
              <w:jc w:val="center"/>
              <w:rPr>
                <w:rFonts w:eastAsia="Times New Roman"/>
                <w:color w:val="auto"/>
                <w:sz w:val="21"/>
                <w:szCs w:val="21"/>
                <w:lang w:eastAsia="en-US"/>
              </w:rPr>
            </w:pPr>
            <w:r>
              <w:rPr>
                <w:rFonts w:eastAsia="Times New Roman"/>
                <w:color w:val="auto"/>
                <w:sz w:val="21"/>
                <w:szCs w:val="21"/>
                <w:lang w:eastAsia="en-US"/>
              </w:rPr>
              <w:t>溶解性总固体（TDS）</w:t>
            </w:r>
          </w:p>
        </w:tc>
        <w:tc>
          <w:tcPr>
            <w:tcW w:w="1089" w:type="dxa"/>
            <w:tcBorders>
              <w:tl2br w:val="nil"/>
              <w:tr2bl w:val="nil"/>
            </w:tcBorders>
            <w:shd w:val="clear" w:color="auto" w:fill="auto"/>
            <w:vAlign w:val="center"/>
          </w:tcPr>
          <w:p w14:paraId="6F490187">
            <w:pPr>
              <w:spacing w:line="240" w:lineRule="auto"/>
              <w:ind w:firstLine="0" w:firstLineChars="0"/>
              <w:jc w:val="center"/>
              <w:rPr>
                <w:rFonts w:eastAsia="Times New Roman"/>
                <w:color w:val="auto"/>
                <w:sz w:val="21"/>
                <w:szCs w:val="21"/>
                <w:lang w:eastAsia="en-US"/>
              </w:rPr>
            </w:pPr>
            <w:r>
              <w:rPr>
                <w:rFonts w:hint="eastAsia" w:eastAsia="Times New Roman"/>
                <w:color w:val="auto"/>
                <w:sz w:val="21"/>
                <w:szCs w:val="21"/>
                <w:lang w:eastAsia="en-US"/>
              </w:rPr>
              <w:t>4000</w:t>
            </w:r>
          </w:p>
        </w:tc>
      </w:tr>
      <w:tr w14:paraId="4DF12A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624" w:type="pct"/>
            <w:tcBorders>
              <w:tl2br w:val="nil"/>
              <w:tr2bl w:val="nil"/>
            </w:tcBorders>
            <w:vAlign w:val="center"/>
          </w:tcPr>
          <w:p w14:paraId="1C8BAC88">
            <w:pPr>
              <w:widowControl/>
              <w:kinsoku w:val="0"/>
              <w:autoSpaceDE w:val="0"/>
              <w:autoSpaceDN w:val="0"/>
              <w:spacing w:line="240" w:lineRule="auto"/>
              <w:ind w:firstLine="0" w:firstLineChars="0"/>
              <w:jc w:val="center"/>
              <w:textAlignment w:val="baseline"/>
              <w:rPr>
                <w:rFonts w:eastAsia="Times New Roman"/>
                <w:color w:val="auto"/>
                <w:sz w:val="21"/>
                <w:szCs w:val="21"/>
                <w:lang w:eastAsia="en-US"/>
              </w:rPr>
            </w:pPr>
            <w:r>
              <w:rPr>
                <w:rFonts w:eastAsia="Times New Roman"/>
                <w:color w:val="auto"/>
                <w:kern w:val="21"/>
                <w:sz w:val="21"/>
                <w:szCs w:val="21"/>
                <w:lang w:eastAsia="en-US"/>
              </w:rPr>
              <w:t>5</w:t>
            </w:r>
          </w:p>
        </w:tc>
        <w:tc>
          <w:tcPr>
            <w:tcW w:w="1198" w:type="pct"/>
            <w:tcBorders>
              <w:tl2br w:val="nil"/>
              <w:tr2bl w:val="nil"/>
            </w:tcBorders>
            <w:shd w:val="clear" w:color="auto" w:fill="auto"/>
            <w:vAlign w:val="center"/>
          </w:tcPr>
          <w:p w14:paraId="2E8E1964">
            <w:pPr>
              <w:spacing w:line="240" w:lineRule="auto"/>
              <w:ind w:firstLine="0" w:firstLineChars="0"/>
              <w:jc w:val="center"/>
              <w:rPr>
                <w:rFonts w:eastAsia="Times New Roman"/>
                <w:color w:val="auto"/>
                <w:sz w:val="21"/>
                <w:szCs w:val="21"/>
                <w:lang w:eastAsia="en-US"/>
              </w:rPr>
            </w:pPr>
            <w:r>
              <w:rPr>
                <w:rFonts w:eastAsia="Times New Roman"/>
                <w:color w:val="auto"/>
                <w:sz w:val="21"/>
                <w:szCs w:val="21"/>
                <w:lang w:eastAsia="en-US"/>
              </w:rPr>
              <w:t>五日生化需氧量（BOD</w:t>
            </w:r>
            <w:r>
              <w:rPr>
                <w:rFonts w:eastAsia="Times New Roman"/>
                <w:color w:val="auto"/>
                <w:sz w:val="21"/>
                <w:szCs w:val="21"/>
                <w:vertAlign w:val="subscript"/>
                <w:lang w:eastAsia="en-US"/>
              </w:rPr>
              <w:t>5</w:t>
            </w:r>
            <w:r>
              <w:rPr>
                <w:rFonts w:eastAsia="Times New Roman"/>
                <w:color w:val="auto"/>
                <w:sz w:val="21"/>
                <w:szCs w:val="21"/>
                <w:lang w:eastAsia="en-US"/>
              </w:rPr>
              <w:t>）</w:t>
            </w:r>
          </w:p>
        </w:tc>
        <w:tc>
          <w:tcPr>
            <w:tcW w:w="1215" w:type="dxa"/>
            <w:tcBorders>
              <w:tl2br w:val="nil"/>
              <w:tr2bl w:val="nil"/>
            </w:tcBorders>
            <w:shd w:val="clear" w:color="auto" w:fill="auto"/>
            <w:vAlign w:val="center"/>
          </w:tcPr>
          <w:p w14:paraId="24554EAA">
            <w:pPr>
              <w:spacing w:line="240" w:lineRule="auto"/>
              <w:ind w:firstLine="0" w:firstLineChars="0"/>
              <w:jc w:val="center"/>
              <w:rPr>
                <w:rFonts w:eastAsiaTheme="minorEastAsia"/>
                <w:color w:val="auto"/>
                <w:sz w:val="21"/>
                <w:szCs w:val="21"/>
                <w:lang w:eastAsia="en-US"/>
              </w:rPr>
            </w:pPr>
            <w:r>
              <w:rPr>
                <w:rFonts w:hint="eastAsia" w:eastAsiaTheme="minorEastAsia"/>
                <w:color w:val="auto"/>
                <w:sz w:val="21"/>
                <w:szCs w:val="21"/>
              </w:rPr>
              <w:t>300</w:t>
            </w:r>
          </w:p>
        </w:tc>
        <w:tc>
          <w:tcPr>
            <w:tcW w:w="541" w:type="pct"/>
            <w:tcBorders>
              <w:tl2br w:val="nil"/>
              <w:tr2bl w:val="nil"/>
            </w:tcBorders>
            <w:shd w:val="clear" w:color="auto" w:fill="auto"/>
            <w:vAlign w:val="center"/>
          </w:tcPr>
          <w:p w14:paraId="78F5C853">
            <w:pPr>
              <w:widowControl/>
              <w:kinsoku w:val="0"/>
              <w:autoSpaceDE w:val="0"/>
              <w:autoSpaceDN w:val="0"/>
              <w:spacing w:line="240" w:lineRule="auto"/>
              <w:ind w:firstLine="0" w:firstLineChars="0"/>
              <w:jc w:val="center"/>
              <w:textAlignment w:val="baseline"/>
              <w:rPr>
                <w:rFonts w:eastAsia="Times New Roman"/>
                <w:color w:val="auto"/>
                <w:sz w:val="21"/>
                <w:szCs w:val="21"/>
                <w:lang w:eastAsia="en-US"/>
              </w:rPr>
            </w:pPr>
            <w:r>
              <w:rPr>
                <w:rFonts w:eastAsia="Times New Roman"/>
                <w:color w:val="auto"/>
                <w:kern w:val="21"/>
                <w:sz w:val="21"/>
                <w:szCs w:val="21"/>
                <w:lang w:eastAsia="en-US"/>
              </w:rPr>
              <w:t>15</w:t>
            </w:r>
          </w:p>
        </w:tc>
        <w:tc>
          <w:tcPr>
            <w:tcW w:w="1366" w:type="pct"/>
            <w:tcBorders>
              <w:tl2br w:val="nil"/>
              <w:tr2bl w:val="nil"/>
            </w:tcBorders>
            <w:shd w:val="clear" w:color="auto" w:fill="auto"/>
            <w:vAlign w:val="center"/>
          </w:tcPr>
          <w:p w14:paraId="26E78A70">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ascii="宋体" w:hAnsi="宋体" w:eastAsia="Times New Roman" w:cs="宋体"/>
                <w:color w:val="auto"/>
                <w:kern w:val="21"/>
                <w:sz w:val="21"/>
                <w:szCs w:val="21"/>
                <w:lang w:eastAsia="en-US"/>
              </w:rPr>
              <w:t>阴离子表面活性剂</w:t>
            </w:r>
            <w:r>
              <w:rPr>
                <w:rFonts w:eastAsia="Times New Roman"/>
                <w:color w:val="auto"/>
                <w:kern w:val="21"/>
                <w:sz w:val="21"/>
                <w:szCs w:val="21"/>
                <w:lang w:eastAsia="en-US"/>
              </w:rPr>
              <w:t>（LAS）</w:t>
            </w:r>
          </w:p>
        </w:tc>
        <w:tc>
          <w:tcPr>
            <w:tcW w:w="1089" w:type="dxa"/>
            <w:tcBorders>
              <w:tl2br w:val="nil"/>
              <w:tr2bl w:val="nil"/>
            </w:tcBorders>
            <w:shd w:val="clear" w:color="auto" w:fill="auto"/>
            <w:vAlign w:val="center"/>
          </w:tcPr>
          <w:p w14:paraId="352FD544">
            <w:pPr>
              <w:spacing w:line="240" w:lineRule="auto"/>
              <w:ind w:firstLine="0" w:firstLineChars="0"/>
              <w:jc w:val="center"/>
              <w:rPr>
                <w:rFonts w:eastAsia="Times New Roman"/>
                <w:color w:val="auto"/>
                <w:sz w:val="21"/>
                <w:szCs w:val="21"/>
                <w:lang w:eastAsia="en-US"/>
              </w:rPr>
            </w:pPr>
            <w:r>
              <w:rPr>
                <w:rFonts w:hint="eastAsia" w:eastAsia="Times New Roman"/>
                <w:color w:val="auto"/>
                <w:sz w:val="21"/>
                <w:szCs w:val="21"/>
                <w:lang w:eastAsia="en-US"/>
              </w:rPr>
              <w:t>20</w:t>
            </w:r>
          </w:p>
        </w:tc>
      </w:tr>
      <w:tr w14:paraId="6CF221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624" w:type="pct"/>
            <w:tcBorders>
              <w:tl2br w:val="nil"/>
              <w:tr2bl w:val="nil"/>
            </w:tcBorders>
            <w:vAlign w:val="center"/>
          </w:tcPr>
          <w:p w14:paraId="6B9F5F4A">
            <w:pPr>
              <w:widowControl/>
              <w:kinsoku w:val="0"/>
              <w:autoSpaceDE w:val="0"/>
              <w:autoSpaceDN w:val="0"/>
              <w:spacing w:line="240" w:lineRule="auto"/>
              <w:ind w:firstLine="0" w:firstLineChars="0"/>
              <w:jc w:val="center"/>
              <w:textAlignment w:val="baseline"/>
              <w:rPr>
                <w:rFonts w:eastAsia="Times New Roman"/>
                <w:color w:val="auto"/>
                <w:sz w:val="21"/>
                <w:szCs w:val="21"/>
                <w:lang w:eastAsia="en-US"/>
              </w:rPr>
            </w:pPr>
            <w:r>
              <w:rPr>
                <w:rFonts w:eastAsia="Times New Roman"/>
                <w:color w:val="auto"/>
                <w:kern w:val="21"/>
                <w:sz w:val="21"/>
                <w:szCs w:val="21"/>
                <w:lang w:eastAsia="en-US"/>
              </w:rPr>
              <w:t>6</w:t>
            </w:r>
          </w:p>
        </w:tc>
        <w:tc>
          <w:tcPr>
            <w:tcW w:w="1198" w:type="pct"/>
            <w:tcBorders>
              <w:tl2br w:val="nil"/>
              <w:tr2bl w:val="nil"/>
            </w:tcBorders>
            <w:shd w:val="clear" w:color="auto" w:fill="auto"/>
            <w:vAlign w:val="center"/>
          </w:tcPr>
          <w:p w14:paraId="763E4F25">
            <w:pPr>
              <w:spacing w:line="240" w:lineRule="auto"/>
              <w:ind w:firstLine="0" w:firstLineChars="0"/>
              <w:jc w:val="center"/>
              <w:rPr>
                <w:rFonts w:eastAsia="Times New Roman"/>
                <w:color w:val="auto"/>
                <w:sz w:val="21"/>
                <w:szCs w:val="21"/>
                <w:lang w:eastAsia="en-US"/>
              </w:rPr>
            </w:pPr>
            <w:r>
              <w:rPr>
                <w:rFonts w:eastAsia="Times New Roman"/>
                <w:color w:val="auto"/>
                <w:sz w:val="21"/>
                <w:szCs w:val="21"/>
                <w:lang w:eastAsia="en-US"/>
              </w:rPr>
              <w:t>氨氮（以N计）</w:t>
            </w:r>
          </w:p>
        </w:tc>
        <w:tc>
          <w:tcPr>
            <w:tcW w:w="1215" w:type="dxa"/>
            <w:tcBorders>
              <w:tl2br w:val="nil"/>
              <w:tr2bl w:val="nil"/>
            </w:tcBorders>
            <w:shd w:val="clear" w:color="auto" w:fill="auto"/>
            <w:vAlign w:val="center"/>
          </w:tcPr>
          <w:p w14:paraId="060E4F72">
            <w:pPr>
              <w:spacing w:line="240" w:lineRule="auto"/>
              <w:ind w:firstLine="0" w:firstLineChars="0"/>
              <w:jc w:val="center"/>
              <w:rPr>
                <w:rFonts w:eastAsia="Times New Roman"/>
                <w:color w:val="auto"/>
                <w:sz w:val="21"/>
                <w:szCs w:val="21"/>
                <w:lang w:eastAsia="en-US"/>
              </w:rPr>
            </w:pPr>
            <w:r>
              <w:rPr>
                <w:rFonts w:hint="eastAsia" w:eastAsia="Times New Roman"/>
                <w:color w:val="auto"/>
                <w:sz w:val="21"/>
                <w:szCs w:val="21"/>
                <w:lang w:eastAsia="en-US"/>
              </w:rPr>
              <w:t>45</w:t>
            </w:r>
          </w:p>
        </w:tc>
        <w:tc>
          <w:tcPr>
            <w:tcW w:w="541" w:type="pct"/>
            <w:tcBorders>
              <w:tl2br w:val="nil"/>
              <w:tr2bl w:val="nil"/>
            </w:tcBorders>
            <w:shd w:val="clear" w:color="auto" w:fill="auto"/>
            <w:vAlign w:val="center"/>
          </w:tcPr>
          <w:p w14:paraId="18A54A5E">
            <w:pPr>
              <w:widowControl/>
              <w:kinsoku w:val="0"/>
              <w:autoSpaceDE w:val="0"/>
              <w:autoSpaceDN w:val="0"/>
              <w:spacing w:line="240" w:lineRule="auto"/>
              <w:ind w:firstLine="0" w:firstLineChars="0"/>
              <w:jc w:val="center"/>
              <w:textAlignment w:val="baseline"/>
              <w:rPr>
                <w:rFonts w:eastAsia="Times New Roman"/>
                <w:color w:val="auto"/>
                <w:sz w:val="21"/>
                <w:szCs w:val="21"/>
                <w:lang w:eastAsia="en-US"/>
              </w:rPr>
            </w:pPr>
            <w:r>
              <w:rPr>
                <w:rFonts w:eastAsia="Times New Roman"/>
                <w:color w:val="auto"/>
                <w:kern w:val="21"/>
                <w:sz w:val="21"/>
                <w:szCs w:val="21"/>
                <w:lang w:eastAsia="en-US"/>
              </w:rPr>
              <w:t>16</w:t>
            </w:r>
          </w:p>
        </w:tc>
        <w:tc>
          <w:tcPr>
            <w:tcW w:w="1366" w:type="pct"/>
            <w:tcBorders>
              <w:tl2br w:val="nil"/>
              <w:tr2bl w:val="nil"/>
            </w:tcBorders>
            <w:shd w:val="clear" w:color="auto" w:fill="auto"/>
            <w:vAlign w:val="center"/>
          </w:tcPr>
          <w:p w14:paraId="1FB136A9">
            <w:pPr>
              <w:spacing w:line="240" w:lineRule="auto"/>
              <w:ind w:firstLine="0" w:firstLineChars="0"/>
              <w:jc w:val="center"/>
              <w:rPr>
                <w:rFonts w:eastAsia="Times New Roman"/>
                <w:color w:val="auto"/>
                <w:sz w:val="21"/>
                <w:szCs w:val="21"/>
                <w:lang w:eastAsia="en-US"/>
              </w:rPr>
            </w:pPr>
            <w:r>
              <w:rPr>
                <w:rFonts w:hint="eastAsia" w:ascii="宋体" w:hAnsi="宋体" w:eastAsia="Times New Roman" w:cs="宋体"/>
                <w:snapToGrid w:val="0"/>
                <w:color w:val="auto"/>
                <w:kern w:val="44"/>
                <w:sz w:val="21"/>
                <w:szCs w:val="21"/>
                <w:lang w:eastAsia="en-US"/>
              </w:rPr>
              <w:t>挥发酚</w:t>
            </w:r>
          </w:p>
        </w:tc>
        <w:tc>
          <w:tcPr>
            <w:tcW w:w="1089" w:type="dxa"/>
            <w:tcBorders>
              <w:tl2br w:val="nil"/>
              <w:tr2bl w:val="nil"/>
            </w:tcBorders>
            <w:shd w:val="clear" w:color="auto" w:fill="auto"/>
            <w:vAlign w:val="center"/>
          </w:tcPr>
          <w:p w14:paraId="7753F3D0">
            <w:pPr>
              <w:spacing w:line="240" w:lineRule="auto"/>
              <w:ind w:firstLine="0" w:firstLineChars="0"/>
              <w:jc w:val="center"/>
              <w:rPr>
                <w:rFonts w:eastAsia="Times New Roman"/>
                <w:color w:val="auto"/>
                <w:sz w:val="21"/>
                <w:szCs w:val="21"/>
                <w:lang w:eastAsia="en-US"/>
              </w:rPr>
            </w:pPr>
            <w:r>
              <w:rPr>
                <w:rFonts w:hint="eastAsia" w:eastAsia="Times New Roman"/>
                <w:color w:val="auto"/>
                <w:sz w:val="21"/>
                <w:szCs w:val="21"/>
                <w:lang w:eastAsia="en-US"/>
              </w:rPr>
              <w:t>0.5</w:t>
            </w:r>
          </w:p>
        </w:tc>
      </w:tr>
      <w:tr w14:paraId="0BEDAE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624" w:type="pct"/>
            <w:tcBorders>
              <w:tl2br w:val="nil"/>
              <w:tr2bl w:val="nil"/>
            </w:tcBorders>
            <w:vAlign w:val="center"/>
          </w:tcPr>
          <w:p w14:paraId="1C2DF1FD">
            <w:pPr>
              <w:widowControl/>
              <w:kinsoku w:val="0"/>
              <w:autoSpaceDE w:val="0"/>
              <w:autoSpaceDN w:val="0"/>
              <w:spacing w:line="240" w:lineRule="auto"/>
              <w:ind w:firstLine="0" w:firstLineChars="0"/>
              <w:jc w:val="center"/>
              <w:textAlignment w:val="baseline"/>
              <w:rPr>
                <w:rFonts w:eastAsia="Times New Roman"/>
                <w:color w:val="auto"/>
                <w:sz w:val="21"/>
                <w:szCs w:val="21"/>
                <w:lang w:eastAsia="en-US"/>
              </w:rPr>
            </w:pPr>
            <w:r>
              <w:rPr>
                <w:rFonts w:eastAsia="Times New Roman"/>
                <w:color w:val="auto"/>
                <w:kern w:val="21"/>
                <w:sz w:val="21"/>
                <w:szCs w:val="21"/>
                <w:lang w:eastAsia="en-US"/>
              </w:rPr>
              <w:t>7</w:t>
            </w:r>
          </w:p>
        </w:tc>
        <w:tc>
          <w:tcPr>
            <w:tcW w:w="1198" w:type="pct"/>
            <w:tcBorders>
              <w:tl2br w:val="nil"/>
              <w:tr2bl w:val="nil"/>
            </w:tcBorders>
            <w:shd w:val="clear" w:color="auto" w:fill="auto"/>
            <w:vAlign w:val="center"/>
          </w:tcPr>
          <w:p w14:paraId="28C332EF">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eastAsia="Times New Roman"/>
                <w:color w:val="auto"/>
                <w:kern w:val="21"/>
                <w:sz w:val="21"/>
                <w:szCs w:val="21"/>
                <w:lang w:eastAsia="en-US"/>
              </w:rPr>
              <w:t>总氮</w:t>
            </w:r>
            <w:r>
              <w:rPr>
                <w:rFonts w:eastAsia="Times New Roman"/>
                <w:color w:val="auto"/>
                <w:sz w:val="21"/>
                <w:szCs w:val="21"/>
                <w:lang w:eastAsia="en-US"/>
              </w:rPr>
              <w:t>（以N计）</w:t>
            </w:r>
          </w:p>
        </w:tc>
        <w:tc>
          <w:tcPr>
            <w:tcW w:w="1215" w:type="dxa"/>
            <w:tcBorders>
              <w:tl2br w:val="nil"/>
              <w:tr2bl w:val="nil"/>
            </w:tcBorders>
            <w:shd w:val="clear" w:color="auto" w:fill="auto"/>
            <w:vAlign w:val="center"/>
          </w:tcPr>
          <w:p w14:paraId="68855053">
            <w:pPr>
              <w:spacing w:line="240" w:lineRule="auto"/>
              <w:ind w:firstLine="0" w:firstLineChars="0"/>
              <w:jc w:val="center"/>
              <w:rPr>
                <w:rFonts w:eastAsia="Times New Roman"/>
                <w:color w:val="auto"/>
                <w:sz w:val="21"/>
                <w:szCs w:val="21"/>
                <w:lang w:eastAsia="en-US"/>
              </w:rPr>
            </w:pPr>
            <w:r>
              <w:rPr>
                <w:rFonts w:hint="eastAsia" w:eastAsia="Times New Roman"/>
                <w:color w:val="auto"/>
                <w:sz w:val="21"/>
                <w:szCs w:val="21"/>
                <w:lang w:eastAsia="en-US"/>
              </w:rPr>
              <w:t>70</w:t>
            </w:r>
          </w:p>
        </w:tc>
        <w:tc>
          <w:tcPr>
            <w:tcW w:w="541" w:type="pct"/>
            <w:tcBorders>
              <w:tl2br w:val="nil"/>
              <w:tr2bl w:val="nil"/>
            </w:tcBorders>
            <w:shd w:val="clear" w:color="auto" w:fill="auto"/>
            <w:vAlign w:val="center"/>
          </w:tcPr>
          <w:p w14:paraId="31E2F5B2">
            <w:pPr>
              <w:widowControl/>
              <w:kinsoku w:val="0"/>
              <w:autoSpaceDE w:val="0"/>
              <w:autoSpaceDN w:val="0"/>
              <w:spacing w:line="240" w:lineRule="auto"/>
              <w:ind w:firstLine="0" w:firstLineChars="0"/>
              <w:jc w:val="center"/>
              <w:textAlignment w:val="baseline"/>
              <w:rPr>
                <w:rFonts w:eastAsia="Times New Roman"/>
                <w:color w:val="auto"/>
                <w:sz w:val="21"/>
                <w:szCs w:val="21"/>
                <w:lang w:eastAsia="en-US"/>
              </w:rPr>
            </w:pPr>
            <w:r>
              <w:rPr>
                <w:rFonts w:eastAsia="Times New Roman"/>
                <w:color w:val="auto"/>
                <w:kern w:val="21"/>
                <w:sz w:val="21"/>
                <w:szCs w:val="21"/>
                <w:lang w:eastAsia="en-US"/>
              </w:rPr>
              <w:t>17</w:t>
            </w:r>
          </w:p>
        </w:tc>
        <w:tc>
          <w:tcPr>
            <w:tcW w:w="1366" w:type="pct"/>
            <w:tcBorders>
              <w:tl2br w:val="nil"/>
              <w:tr2bl w:val="nil"/>
            </w:tcBorders>
            <w:shd w:val="clear" w:color="auto" w:fill="auto"/>
            <w:vAlign w:val="center"/>
          </w:tcPr>
          <w:p w14:paraId="4FB94D81">
            <w:pPr>
              <w:spacing w:line="240" w:lineRule="auto"/>
              <w:ind w:firstLine="0" w:firstLineChars="0"/>
              <w:jc w:val="center"/>
              <w:rPr>
                <w:rFonts w:eastAsia="Times New Roman"/>
                <w:color w:val="auto"/>
                <w:sz w:val="21"/>
                <w:szCs w:val="21"/>
                <w:lang w:eastAsia="en-US"/>
              </w:rPr>
            </w:pPr>
            <w:r>
              <w:rPr>
                <w:rFonts w:eastAsia="Times New Roman"/>
                <w:color w:val="auto"/>
                <w:sz w:val="21"/>
                <w:szCs w:val="21"/>
                <w:lang w:eastAsia="en-US"/>
              </w:rPr>
              <w:t>硼</w:t>
            </w:r>
          </w:p>
        </w:tc>
        <w:tc>
          <w:tcPr>
            <w:tcW w:w="1089" w:type="dxa"/>
            <w:tcBorders>
              <w:tl2br w:val="nil"/>
              <w:tr2bl w:val="nil"/>
            </w:tcBorders>
            <w:shd w:val="clear" w:color="auto" w:fill="auto"/>
            <w:vAlign w:val="center"/>
          </w:tcPr>
          <w:p w14:paraId="0C34EBC5">
            <w:pPr>
              <w:spacing w:line="240" w:lineRule="auto"/>
              <w:ind w:firstLine="0" w:firstLineChars="0"/>
              <w:jc w:val="center"/>
              <w:rPr>
                <w:rFonts w:eastAsia="Times New Roman"/>
                <w:color w:val="auto"/>
                <w:sz w:val="21"/>
                <w:szCs w:val="21"/>
                <w:lang w:eastAsia="en-US"/>
              </w:rPr>
            </w:pPr>
            <w:r>
              <w:rPr>
                <w:rFonts w:hint="eastAsia" w:eastAsia="Times New Roman"/>
                <w:color w:val="auto"/>
                <w:sz w:val="21"/>
                <w:szCs w:val="21"/>
                <w:lang w:eastAsia="en-US"/>
              </w:rPr>
              <w:t>3.0</w:t>
            </w:r>
          </w:p>
        </w:tc>
      </w:tr>
      <w:tr w14:paraId="23D0A5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624" w:type="pct"/>
            <w:tcBorders>
              <w:tl2br w:val="nil"/>
              <w:tr2bl w:val="nil"/>
            </w:tcBorders>
            <w:vAlign w:val="center"/>
          </w:tcPr>
          <w:p w14:paraId="460E5DF0">
            <w:pPr>
              <w:widowControl/>
              <w:kinsoku w:val="0"/>
              <w:autoSpaceDE w:val="0"/>
              <w:autoSpaceDN w:val="0"/>
              <w:spacing w:line="240" w:lineRule="auto"/>
              <w:ind w:firstLine="0" w:firstLineChars="0"/>
              <w:jc w:val="center"/>
              <w:textAlignment w:val="baseline"/>
              <w:rPr>
                <w:rFonts w:eastAsia="Times New Roman"/>
                <w:color w:val="auto"/>
                <w:sz w:val="21"/>
                <w:szCs w:val="21"/>
                <w:lang w:eastAsia="en-US"/>
              </w:rPr>
            </w:pPr>
            <w:r>
              <w:rPr>
                <w:rFonts w:eastAsia="Times New Roman"/>
                <w:color w:val="auto"/>
                <w:kern w:val="21"/>
                <w:sz w:val="21"/>
                <w:szCs w:val="21"/>
                <w:lang w:eastAsia="en-US"/>
              </w:rPr>
              <w:t>8</w:t>
            </w:r>
          </w:p>
        </w:tc>
        <w:tc>
          <w:tcPr>
            <w:tcW w:w="1198" w:type="pct"/>
            <w:tcBorders>
              <w:tl2br w:val="nil"/>
              <w:tr2bl w:val="nil"/>
            </w:tcBorders>
            <w:shd w:val="clear" w:color="auto" w:fill="auto"/>
            <w:vAlign w:val="center"/>
          </w:tcPr>
          <w:p w14:paraId="777EDE89">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eastAsia="Times New Roman"/>
                <w:color w:val="auto"/>
                <w:kern w:val="21"/>
                <w:sz w:val="21"/>
                <w:szCs w:val="21"/>
                <w:lang w:eastAsia="en-US"/>
              </w:rPr>
              <w:t>总磷</w:t>
            </w:r>
            <w:r>
              <w:rPr>
                <w:rFonts w:eastAsia="Times New Roman"/>
                <w:color w:val="auto"/>
                <w:sz w:val="21"/>
                <w:szCs w:val="21"/>
                <w:lang w:eastAsia="en-US"/>
              </w:rPr>
              <w:t>（以P计）</w:t>
            </w:r>
          </w:p>
        </w:tc>
        <w:tc>
          <w:tcPr>
            <w:tcW w:w="1215" w:type="dxa"/>
            <w:tcBorders>
              <w:tl2br w:val="nil"/>
              <w:tr2bl w:val="nil"/>
            </w:tcBorders>
            <w:shd w:val="clear" w:color="auto" w:fill="auto"/>
            <w:vAlign w:val="center"/>
          </w:tcPr>
          <w:p w14:paraId="522FB16C">
            <w:pPr>
              <w:adjustRightInd/>
              <w:snapToGrid/>
              <w:spacing w:line="240" w:lineRule="auto"/>
              <w:ind w:firstLine="0" w:firstLineChars="0"/>
              <w:jc w:val="center"/>
              <w:rPr>
                <w:rFonts w:eastAsia="Times New Roman"/>
                <w:color w:val="auto"/>
                <w:sz w:val="21"/>
                <w:szCs w:val="21"/>
                <w:lang w:eastAsia="en-US"/>
              </w:rPr>
            </w:pPr>
            <w:r>
              <w:rPr>
                <w:rFonts w:hint="eastAsia" w:eastAsia="Times New Roman"/>
                <w:color w:val="auto"/>
                <w:sz w:val="21"/>
                <w:szCs w:val="21"/>
                <w:lang w:eastAsia="en-US"/>
              </w:rPr>
              <w:t>8.0</w:t>
            </w:r>
          </w:p>
        </w:tc>
        <w:tc>
          <w:tcPr>
            <w:tcW w:w="541" w:type="pct"/>
            <w:tcBorders>
              <w:tl2br w:val="nil"/>
              <w:tr2bl w:val="nil"/>
            </w:tcBorders>
            <w:shd w:val="clear" w:color="auto" w:fill="auto"/>
            <w:vAlign w:val="center"/>
          </w:tcPr>
          <w:p w14:paraId="6ED2EFCC">
            <w:pPr>
              <w:widowControl/>
              <w:kinsoku w:val="0"/>
              <w:autoSpaceDE w:val="0"/>
              <w:autoSpaceDN w:val="0"/>
              <w:spacing w:line="240" w:lineRule="auto"/>
              <w:ind w:firstLine="0" w:firstLineChars="0"/>
              <w:jc w:val="center"/>
              <w:textAlignment w:val="baseline"/>
              <w:rPr>
                <w:rFonts w:eastAsia="Times New Roman"/>
                <w:color w:val="auto"/>
                <w:sz w:val="21"/>
                <w:szCs w:val="21"/>
                <w:lang w:eastAsia="en-US"/>
              </w:rPr>
            </w:pPr>
            <w:r>
              <w:rPr>
                <w:rFonts w:eastAsia="Times New Roman"/>
                <w:color w:val="auto"/>
                <w:kern w:val="21"/>
                <w:sz w:val="21"/>
                <w:szCs w:val="21"/>
                <w:lang w:eastAsia="en-US"/>
              </w:rPr>
              <w:t>18</w:t>
            </w:r>
          </w:p>
        </w:tc>
        <w:tc>
          <w:tcPr>
            <w:tcW w:w="1366" w:type="pct"/>
            <w:tcBorders>
              <w:tl2br w:val="nil"/>
              <w:tr2bl w:val="nil"/>
            </w:tcBorders>
            <w:shd w:val="clear" w:color="auto" w:fill="auto"/>
            <w:vAlign w:val="center"/>
          </w:tcPr>
          <w:p w14:paraId="1FB031EC">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eastAsia="Times New Roman"/>
                <w:color w:val="auto"/>
                <w:kern w:val="21"/>
                <w:sz w:val="21"/>
                <w:szCs w:val="21"/>
                <w:lang w:eastAsia="en-US"/>
              </w:rPr>
              <w:t>可溶性钡</w:t>
            </w:r>
          </w:p>
        </w:tc>
        <w:tc>
          <w:tcPr>
            <w:tcW w:w="1089" w:type="dxa"/>
            <w:tcBorders>
              <w:tl2br w:val="nil"/>
              <w:tr2bl w:val="nil"/>
            </w:tcBorders>
            <w:shd w:val="clear" w:color="auto" w:fill="auto"/>
            <w:vAlign w:val="center"/>
          </w:tcPr>
          <w:p w14:paraId="2A94F8EC">
            <w:pPr>
              <w:spacing w:line="240" w:lineRule="auto"/>
              <w:ind w:firstLine="0" w:firstLineChars="0"/>
              <w:jc w:val="center"/>
              <w:rPr>
                <w:rFonts w:eastAsia="Times New Roman"/>
                <w:color w:val="auto"/>
                <w:sz w:val="21"/>
                <w:szCs w:val="21"/>
                <w:lang w:eastAsia="en-US"/>
              </w:rPr>
            </w:pPr>
            <w:r>
              <w:rPr>
                <w:rFonts w:hint="eastAsia" w:eastAsia="Times New Roman"/>
                <w:color w:val="auto"/>
                <w:sz w:val="21"/>
                <w:szCs w:val="21"/>
                <w:lang w:eastAsia="en-US"/>
              </w:rPr>
              <w:t>2.0</w:t>
            </w:r>
          </w:p>
        </w:tc>
      </w:tr>
      <w:tr w14:paraId="713B05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624" w:type="pct"/>
            <w:tcBorders>
              <w:tl2br w:val="nil"/>
              <w:tr2bl w:val="nil"/>
            </w:tcBorders>
            <w:vAlign w:val="center"/>
          </w:tcPr>
          <w:p w14:paraId="3FC4A3A3">
            <w:pPr>
              <w:widowControl/>
              <w:kinsoku w:val="0"/>
              <w:autoSpaceDE w:val="0"/>
              <w:autoSpaceDN w:val="0"/>
              <w:spacing w:line="240" w:lineRule="auto"/>
              <w:ind w:firstLine="0" w:firstLineChars="0"/>
              <w:jc w:val="center"/>
              <w:textAlignment w:val="baseline"/>
              <w:rPr>
                <w:rFonts w:eastAsia="Times New Roman"/>
                <w:color w:val="auto"/>
                <w:sz w:val="21"/>
                <w:szCs w:val="21"/>
                <w:lang w:eastAsia="en-US"/>
              </w:rPr>
            </w:pPr>
            <w:r>
              <w:rPr>
                <w:rFonts w:eastAsia="Times New Roman"/>
                <w:color w:val="auto"/>
                <w:kern w:val="21"/>
                <w:sz w:val="21"/>
                <w:szCs w:val="21"/>
                <w:lang w:eastAsia="en-US"/>
              </w:rPr>
              <w:t>9</w:t>
            </w:r>
          </w:p>
        </w:tc>
        <w:tc>
          <w:tcPr>
            <w:tcW w:w="1198" w:type="pct"/>
            <w:tcBorders>
              <w:tl2br w:val="nil"/>
              <w:tr2bl w:val="nil"/>
            </w:tcBorders>
            <w:shd w:val="clear" w:color="auto" w:fill="auto"/>
            <w:vAlign w:val="center"/>
          </w:tcPr>
          <w:p w14:paraId="62F0FFF9">
            <w:pPr>
              <w:widowControl/>
              <w:kinsoku w:val="0"/>
              <w:autoSpaceDE w:val="0"/>
              <w:autoSpaceDN w:val="0"/>
              <w:spacing w:line="240" w:lineRule="auto"/>
              <w:ind w:firstLine="0" w:firstLineChars="0"/>
              <w:jc w:val="center"/>
              <w:textAlignment w:val="baseline"/>
              <w:rPr>
                <w:rFonts w:eastAsia="Times New Roman"/>
                <w:color w:val="auto"/>
                <w:kern w:val="21"/>
                <w:sz w:val="21"/>
                <w:szCs w:val="21"/>
                <w:lang w:eastAsia="en-US"/>
              </w:rPr>
            </w:pPr>
            <w:r>
              <w:rPr>
                <w:rFonts w:hint="eastAsia" w:ascii="宋体" w:hAnsi="宋体" w:eastAsia="Times New Roman" w:cs="宋体"/>
                <w:color w:val="auto"/>
                <w:kern w:val="21"/>
                <w:sz w:val="21"/>
                <w:szCs w:val="21"/>
                <w:lang w:eastAsia="en-US"/>
              </w:rPr>
              <w:t>总有机碳</w:t>
            </w:r>
            <w:r>
              <w:rPr>
                <w:rFonts w:eastAsia="Times New Roman"/>
                <w:color w:val="auto"/>
                <w:kern w:val="21"/>
                <w:sz w:val="21"/>
                <w:szCs w:val="21"/>
                <w:lang w:eastAsia="en-US"/>
              </w:rPr>
              <w:t>（TOC）</w:t>
            </w:r>
          </w:p>
        </w:tc>
        <w:tc>
          <w:tcPr>
            <w:tcW w:w="1215" w:type="dxa"/>
            <w:tcBorders>
              <w:tl2br w:val="nil"/>
              <w:tr2bl w:val="nil"/>
            </w:tcBorders>
            <w:shd w:val="clear" w:color="auto" w:fill="auto"/>
            <w:vAlign w:val="center"/>
          </w:tcPr>
          <w:p w14:paraId="3F139CEC">
            <w:pPr>
              <w:spacing w:line="240" w:lineRule="auto"/>
              <w:ind w:firstLine="0" w:firstLineChars="0"/>
              <w:jc w:val="center"/>
              <w:rPr>
                <w:rFonts w:eastAsia="Times New Roman"/>
                <w:color w:val="auto"/>
                <w:sz w:val="21"/>
                <w:szCs w:val="21"/>
                <w:lang w:eastAsia="en-US"/>
              </w:rPr>
            </w:pPr>
            <w:r>
              <w:rPr>
                <w:rFonts w:hint="eastAsia" w:eastAsia="Times New Roman"/>
                <w:color w:val="auto"/>
                <w:sz w:val="21"/>
                <w:szCs w:val="21"/>
                <w:lang w:eastAsia="en-US"/>
              </w:rPr>
              <w:t>150</w:t>
            </w:r>
          </w:p>
        </w:tc>
        <w:tc>
          <w:tcPr>
            <w:tcW w:w="541" w:type="pct"/>
            <w:tcBorders>
              <w:tl2br w:val="nil"/>
              <w:tr2bl w:val="nil"/>
            </w:tcBorders>
            <w:shd w:val="clear" w:color="auto" w:fill="auto"/>
            <w:vAlign w:val="center"/>
          </w:tcPr>
          <w:p w14:paraId="716BC007">
            <w:pPr>
              <w:widowControl/>
              <w:kinsoku w:val="0"/>
              <w:autoSpaceDE w:val="0"/>
              <w:autoSpaceDN w:val="0"/>
              <w:spacing w:line="240" w:lineRule="auto"/>
              <w:ind w:firstLine="0" w:firstLineChars="0"/>
              <w:jc w:val="center"/>
              <w:textAlignment w:val="baseline"/>
              <w:rPr>
                <w:rFonts w:eastAsia="Times New Roman"/>
                <w:color w:val="auto"/>
                <w:sz w:val="21"/>
                <w:szCs w:val="21"/>
                <w:lang w:eastAsia="en-US"/>
              </w:rPr>
            </w:pPr>
            <w:r>
              <w:rPr>
                <w:rFonts w:eastAsia="Times New Roman"/>
                <w:color w:val="auto"/>
                <w:kern w:val="21"/>
                <w:sz w:val="21"/>
                <w:szCs w:val="21"/>
                <w:lang w:eastAsia="en-US"/>
              </w:rPr>
              <w:t>19</w:t>
            </w:r>
          </w:p>
        </w:tc>
        <w:tc>
          <w:tcPr>
            <w:tcW w:w="1366" w:type="pct"/>
            <w:tcBorders>
              <w:tl2br w:val="nil"/>
              <w:tr2bl w:val="nil"/>
            </w:tcBorders>
            <w:shd w:val="clear" w:color="auto" w:fill="auto"/>
            <w:vAlign w:val="center"/>
          </w:tcPr>
          <w:p w14:paraId="044F6BD8">
            <w:pPr>
              <w:spacing w:line="240" w:lineRule="auto"/>
              <w:ind w:firstLine="0" w:firstLineChars="0"/>
              <w:jc w:val="center"/>
              <w:rPr>
                <w:rFonts w:eastAsia="Times New Roman"/>
                <w:color w:val="auto"/>
                <w:sz w:val="21"/>
                <w:szCs w:val="21"/>
                <w:lang w:eastAsia="en-US"/>
              </w:rPr>
            </w:pPr>
            <w:r>
              <w:rPr>
                <w:rFonts w:eastAsia="Times New Roman"/>
                <w:color w:val="auto"/>
                <w:sz w:val="21"/>
                <w:szCs w:val="21"/>
                <w:lang w:eastAsia="en-US"/>
              </w:rPr>
              <w:t>总α放射性</w:t>
            </w:r>
            <w:r>
              <w:rPr>
                <w:rFonts w:hint="eastAsia" w:eastAsia="宋体"/>
                <w:color w:val="auto"/>
                <w:sz w:val="21"/>
                <w:szCs w:val="21"/>
                <w:lang w:eastAsia="zh-CN"/>
              </w:rPr>
              <w:t>（</w:t>
            </w:r>
            <w:r>
              <w:rPr>
                <w:rFonts w:eastAsia="Times New Roman"/>
                <w:color w:val="auto"/>
                <w:sz w:val="21"/>
                <w:szCs w:val="21"/>
                <w:lang w:eastAsia="en-US"/>
              </w:rPr>
              <w:t>Bq/L</w:t>
            </w:r>
            <w:r>
              <w:rPr>
                <w:rFonts w:hint="eastAsia" w:eastAsia="宋体"/>
                <w:color w:val="auto"/>
                <w:sz w:val="21"/>
                <w:szCs w:val="21"/>
                <w:lang w:eastAsia="zh-CN"/>
              </w:rPr>
              <w:t>）</w:t>
            </w:r>
          </w:p>
        </w:tc>
        <w:tc>
          <w:tcPr>
            <w:tcW w:w="1089" w:type="dxa"/>
            <w:tcBorders>
              <w:tl2br w:val="nil"/>
              <w:tr2bl w:val="nil"/>
            </w:tcBorders>
            <w:shd w:val="clear" w:color="auto" w:fill="auto"/>
            <w:vAlign w:val="center"/>
          </w:tcPr>
          <w:p w14:paraId="096CFE2C">
            <w:pPr>
              <w:spacing w:line="240" w:lineRule="auto"/>
              <w:ind w:firstLine="0" w:firstLineChars="0"/>
              <w:jc w:val="center"/>
              <w:rPr>
                <w:rFonts w:eastAsia="Times New Roman"/>
                <w:color w:val="auto"/>
                <w:sz w:val="21"/>
                <w:szCs w:val="21"/>
                <w:lang w:eastAsia="en-US"/>
              </w:rPr>
            </w:pPr>
            <w:r>
              <w:rPr>
                <w:rFonts w:hint="eastAsia" w:eastAsia="Times New Roman"/>
                <w:color w:val="auto"/>
                <w:sz w:val="21"/>
                <w:szCs w:val="21"/>
                <w:lang w:eastAsia="en-US"/>
              </w:rPr>
              <w:t>1</w:t>
            </w:r>
          </w:p>
        </w:tc>
      </w:tr>
      <w:tr w14:paraId="7B0290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624" w:type="pct"/>
            <w:tcBorders>
              <w:tl2br w:val="nil"/>
              <w:tr2bl w:val="nil"/>
            </w:tcBorders>
            <w:vAlign w:val="center"/>
          </w:tcPr>
          <w:p w14:paraId="3A2299BE">
            <w:pPr>
              <w:widowControl/>
              <w:kinsoku w:val="0"/>
              <w:autoSpaceDE w:val="0"/>
              <w:autoSpaceDN w:val="0"/>
              <w:spacing w:line="240" w:lineRule="auto"/>
              <w:ind w:firstLine="0" w:firstLineChars="0"/>
              <w:jc w:val="center"/>
              <w:textAlignment w:val="baseline"/>
              <w:rPr>
                <w:rFonts w:eastAsia="Times New Roman"/>
                <w:color w:val="auto"/>
                <w:sz w:val="21"/>
                <w:szCs w:val="21"/>
                <w:lang w:eastAsia="en-US"/>
              </w:rPr>
            </w:pPr>
            <w:r>
              <w:rPr>
                <w:rFonts w:eastAsia="Times New Roman"/>
                <w:color w:val="auto"/>
                <w:kern w:val="21"/>
                <w:sz w:val="21"/>
                <w:szCs w:val="21"/>
                <w:lang w:eastAsia="en-US"/>
              </w:rPr>
              <w:t>10</w:t>
            </w:r>
          </w:p>
        </w:tc>
        <w:tc>
          <w:tcPr>
            <w:tcW w:w="1198" w:type="pct"/>
            <w:tcBorders>
              <w:tl2br w:val="nil"/>
              <w:tr2bl w:val="nil"/>
            </w:tcBorders>
            <w:shd w:val="clear" w:color="auto" w:fill="auto"/>
            <w:vAlign w:val="center"/>
          </w:tcPr>
          <w:p w14:paraId="152AF96C">
            <w:pPr>
              <w:spacing w:line="240" w:lineRule="auto"/>
              <w:ind w:firstLine="0" w:firstLineChars="0"/>
              <w:jc w:val="center"/>
              <w:rPr>
                <w:rFonts w:eastAsia="Times New Roman"/>
                <w:color w:val="auto"/>
                <w:sz w:val="21"/>
                <w:szCs w:val="21"/>
                <w:lang w:eastAsia="en-US"/>
              </w:rPr>
            </w:pPr>
            <w:r>
              <w:rPr>
                <w:rFonts w:eastAsia="Times New Roman"/>
                <w:color w:val="auto"/>
                <w:kern w:val="21"/>
                <w:sz w:val="21"/>
                <w:szCs w:val="21"/>
                <w:lang w:eastAsia="en-US"/>
              </w:rPr>
              <w:t>石油类</w:t>
            </w:r>
          </w:p>
        </w:tc>
        <w:tc>
          <w:tcPr>
            <w:tcW w:w="1215" w:type="dxa"/>
            <w:tcBorders>
              <w:tl2br w:val="nil"/>
              <w:tr2bl w:val="nil"/>
            </w:tcBorders>
            <w:shd w:val="clear" w:color="auto" w:fill="auto"/>
            <w:vAlign w:val="center"/>
          </w:tcPr>
          <w:p w14:paraId="5D854CE4">
            <w:pPr>
              <w:spacing w:line="240" w:lineRule="auto"/>
              <w:ind w:firstLine="0" w:firstLineChars="0"/>
              <w:jc w:val="center"/>
              <w:rPr>
                <w:rFonts w:eastAsia="Times New Roman"/>
                <w:color w:val="auto"/>
                <w:sz w:val="21"/>
                <w:szCs w:val="21"/>
                <w:lang w:eastAsia="en-US"/>
              </w:rPr>
            </w:pPr>
            <w:r>
              <w:rPr>
                <w:rFonts w:hint="eastAsia" w:eastAsia="Times New Roman"/>
                <w:color w:val="auto"/>
                <w:sz w:val="21"/>
                <w:szCs w:val="21"/>
                <w:lang w:eastAsia="en-US"/>
              </w:rPr>
              <w:t>15</w:t>
            </w:r>
          </w:p>
        </w:tc>
        <w:tc>
          <w:tcPr>
            <w:tcW w:w="541" w:type="pct"/>
            <w:tcBorders>
              <w:tl2br w:val="nil"/>
              <w:tr2bl w:val="nil"/>
            </w:tcBorders>
            <w:shd w:val="clear" w:color="auto" w:fill="auto"/>
            <w:vAlign w:val="center"/>
          </w:tcPr>
          <w:p w14:paraId="140B1506">
            <w:pPr>
              <w:widowControl/>
              <w:kinsoku w:val="0"/>
              <w:autoSpaceDE w:val="0"/>
              <w:autoSpaceDN w:val="0"/>
              <w:spacing w:line="240" w:lineRule="auto"/>
              <w:ind w:firstLine="0" w:firstLineChars="0"/>
              <w:jc w:val="center"/>
              <w:textAlignment w:val="baseline"/>
              <w:rPr>
                <w:rFonts w:eastAsia="Times New Roman"/>
                <w:color w:val="auto"/>
                <w:sz w:val="21"/>
                <w:szCs w:val="21"/>
                <w:lang w:eastAsia="en-US"/>
              </w:rPr>
            </w:pPr>
            <w:r>
              <w:rPr>
                <w:rFonts w:eastAsia="Times New Roman"/>
                <w:color w:val="auto"/>
                <w:sz w:val="21"/>
                <w:szCs w:val="21"/>
                <w:lang w:eastAsia="en-US"/>
              </w:rPr>
              <w:t>20</w:t>
            </w:r>
          </w:p>
        </w:tc>
        <w:tc>
          <w:tcPr>
            <w:tcW w:w="1366" w:type="pct"/>
            <w:tcBorders>
              <w:tl2br w:val="nil"/>
              <w:tr2bl w:val="nil"/>
            </w:tcBorders>
            <w:shd w:val="clear" w:color="auto" w:fill="auto"/>
            <w:vAlign w:val="center"/>
          </w:tcPr>
          <w:p w14:paraId="1B00890D">
            <w:pPr>
              <w:spacing w:line="240" w:lineRule="auto"/>
              <w:ind w:firstLine="0" w:firstLineChars="0"/>
              <w:jc w:val="center"/>
              <w:rPr>
                <w:rFonts w:eastAsia="Times New Roman"/>
                <w:color w:val="auto"/>
                <w:sz w:val="21"/>
                <w:szCs w:val="21"/>
                <w:lang w:eastAsia="en-US"/>
              </w:rPr>
            </w:pPr>
            <w:r>
              <w:rPr>
                <w:rFonts w:eastAsia="Times New Roman"/>
                <w:color w:val="auto"/>
                <w:sz w:val="21"/>
                <w:szCs w:val="21"/>
                <w:lang w:eastAsia="en-US"/>
              </w:rPr>
              <w:t>总β放射性</w:t>
            </w:r>
            <w:r>
              <w:rPr>
                <w:rFonts w:hint="eastAsia" w:eastAsia="宋体"/>
                <w:color w:val="auto"/>
                <w:sz w:val="21"/>
                <w:szCs w:val="21"/>
                <w:lang w:eastAsia="zh-CN"/>
              </w:rPr>
              <w:t>（</w:t>
            </w:r>
            <w:r>
              <w:rPr>
                <w:rFonts w:eastAsia="Times New Roman"/>
                <w:color w:val="auto"/>
                <w:sz w:val="21"/>
                <w:szCs w:val="21"/>
                <w:lang w:eastAsia="en-US"/>
              </w:rPr>
              <w:t>Bq/L</w:t>
            </w:r>
            <w:r>
              <w:rPr>
                <w:rFonts w:hint="eastAsia" w:eastAsia="宋体"/>
                <w:color w:val="auto"/>
                <w:sz w:val="21"/>
                <w:szCs w:val="21"/>
                <w:lang w:eastAsia="zh-CN"/>
              </w:rPr>
              <w:t>）</w:t>
            </w:r>
          </w:p>
        </w:tc>
        <w:tc>
          <w:tcPr>
            <w:tcW w:w="1089" w:type="dxa"/>
            <w:tcBorders>
              <w:tl2br w:val="nil"/>
              <w:tr2bl w:val="nil"/>
            </w:tcBorders>
            <w:shd w:val="clear" w:color="auto" w:fill="auto"/>
            <w:vAlign w:val="center"/>
          </w:tcPr>
          <w:p w14:paraId="2052674B">
            <w:pPr>
              <w:spacing w:line="240" w:lineRule="auto"/>
              <w:ind w:firstLine="0" w:firstLineChars="0"/>
              <w:jc w:val="center"/>
              <w:rPr>
                <w:rFonts w:eastAsiaTheme="minorEastAsia"/>
                <w:color w:val="auto"/>
                <w:sz w:val="21"/>
                <w:szCs w:val="21"/>
                <w:lang w:eastAsia="en-US"/>
              </w:rPr>
            </w:pPr>
            <w:r>
              <w:rPr>
                <w:rFonts w:hint="eastAsia" w:eastAsiaTheme="minorEastAsia"/>
                <w:color w:val="auto"/>
                <w:sz w:val="21"/>
                <w:szCs w:val="21"/>
              </w:rPr>
              <w:t>10</w:t>
            </w:r>
          </w:p>
        </w:tc>
      </w:tr>
      <w:tr w14:paraId="3614F4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5000" w:type="pct"/>
            <w:gridSpan w:val="6"/>
            <w:tcBorders>
              <w:tl2br w:val="nil"/>
              <w:tr2bl w:val="nil"/>
            </w:tcBorders>
            <w:shd w:val="clear" w:color="auto" w:fill="auto"/>
            <w:vAlign w:val="center"/>
          </w:tcPr>
          <w:p w14:paraId="6CB1C9A1">
            <w:pPr>
              <w:spacing w:line="240" w:lineRule="auto"/>
              <w:ind w:firstLine="0" w:firstLineChars="0"/>
              <w:rPr>
                <w:rFonts w:eastAsia="Times New Roman"/>
                <w:color w:val="auto"/>
                <w:sz w:val="21"/>
                <w:szCs w:val="21"/>
                <w:lang w:eastAsia="en-US"/>
              </w:rPr>
            </w:pPr>
            <w:r>
              <w:rPr>
                <w:rFonts w:eastAsia="Times New Roman"/>
                <w:snapToGrid w:val="0"/>
                <w:color w:val="auto"/>
                <w:kern w:val="44"/>
                <w:sz w:val="21"/>
                <w:szCs w:val="21"/>
                <w:lang w:eastAsia="en-US"/>
              </w:rPr>
              <w:t>注：</w:t>
            </w:r>
            <w:r>
              <w:rPr>
                <w:rFonts w:hint="eastAsia" w:ascii="宋体" w:hAnsi="宋体" w:eastAsia="Times New Roman" w:cs="宋体"/>
                <w:snapToGrid w:val="0"/>
                <w:color w:val="auto"/>
                <w:kern w:val="44"/>
                <w:sz w:val="21"/>
                <w:szCs w:val="21"/>
                <w:lang w:eastAsia="en-US"/>
              </w:rPr>
              <w:t>执行</w:t>
            </w:r>
            <w:r>
              <w:rPr>
                <w:rFonts w:hint="eastAsia" w:ascii="宋体" w:hAnsi="宋体" w:cs="宋体"/>
                <w:snapToGrid w:val="0"/>
                <w:color w:val="auto"/>
                <w:kern w:val="44"/>
                <w:sz w:val="21"/>
                <w:szCs w:val="21"/>
                <w:lang w:eastAsia="zh-CN"/>
              </w:rPr>
              <w:t>《页岩气开采水污染物排放标准</w:t>
            </w:r>
            <w:r>
              <w:rPr>
                <w:rFonts w:hint="default" w:ascii="Times New Roman" w:hAnsi="Times New Roman" w:cs="Times New Roman"/>
                <w:snapToGrid w:val="0"/>
                <w:color w:val="auto"/>
                <w:kern w:val="44"/>
                <w:sz w:val="21"/>
                <w:szCs w:val="21"/>
                <w:lang w:eastAsia="zh-CN"/>
              </w:rPr>
              <w:t>》（DB50/1806-2025）间接</w:t>
            </w:r>
            <w:r>
              <w:rPr>
                <w:rFonts w:hint="eastAsia" w:ascii="宋体" w:hAnsi="宋体" w:cs="宋体"/>
                <w:snapToGrid w:val="0"/>
                <w:color w:val="auto"/>
                <w:kern w:val="44"/>
                <w:sz w:val="21"/>
                <w:szCs w:val="21"/>
                <w:lang w:eastAsia="zh-CN"/>
              </w:rPr>
              <w:t>排放标准限值</w:t>
            </w:r>
            <w:r>
              <w:rPr>
                <w:rFonts w:eastAsia="Times New Roman"/>
                <w:snapToGrid w:val="0"/>
                <w:color w:val="auto"/>
                <w:kern w:val="44"/>
                <w:sz w:val="21"/>
                <w:szCs w:val="21"/>
                <w:lang w:eastAsia="en-US"/>
              </w:rPr>
              <w:t>。</w:t>
            </w:r>
          </w:p>
        </w:tc>
      </w:tr>
    </w:tbl>
    <w:p w14:paraId="4BA92E7A">
      <w:pPr>
        <w:ind w:firstLine="480"/>
        <w:rPr>
          <w:color w:val="auto"/>
        </w:rPr>
      </w:pPr>
    </w:p>
    <w:p w14:paraId="6D7BA52E">
      <w:pPr>
        <w:pStyle w:val="5"/>
        <w:numPr>
          <w:ilvl w:val="0"/>
          <w:numId w:val="0"/>
        </w:numPr>
        <w:spacing w:line="360" w:lineRule="auto"/>
        <w:rPr>
          <w:color w:val="auto"/>
        </w:rPr>
      </w:pPr>
      <w:r>
        <w:rPr>
          <w:rFonts w:hint="eastAsia"/>
          <w:color w:val="auto"/>
        </w:rPr>
        <w:t>3.3</w:t>
      </w:r>
      <w:r>
        <w:rPr>
          <w:color w:val="auto"/>
        </w:rPr>
        <w:t>.3尾水排放</w:t>
      </w:r>
    </w:p>
    <w:p w14:paraId="25B19FC2">
      <w:pPr>
        <w:spacing w:line="360" w:lineRule="auto"/>
        <w:ind w:firstLine="480"/>
        <w:rPr>
          <w:color w:val="auto"/>
          <w:lang w:val="zh-CN"/>
        </w:rPr>
      </w:pPr>
      <w:r>
        <w:rPr>
          <w:rFonts w:hint="eastAsia"/>
          <w:color w:val="auto"/>
          <w:lang w:val="zh-CN"/>
        </w:rPr>
        <w:t>拟建</w:t>
      </w:r>
      <w:r>
        <w:rPr>
          <w:color w:val="auto"/>
          <w:lang w:val="zh-CN"/>
        </w:rPr>
        <w:t>项目</w:t>
      </w:r>
      <w:r>
        <w:rPr>
          <w:rFonts w:hint="eastAsia"/>
          <w:color w:val="auto"/>
          <w:lang w:val="zh-CN"/>
        </w:rPr>
        <w:t>收集页岩气开采废水</w:t>
      </w:r>
      <w:r>
        <w:rPr>
          <w:color w:val="auto"/>
          <w:lang w:val="zh-CN"/>
        </w:rPr>
        <w:t>经污水处理厂处理</w:t>
      </w:r>
      <w:r>
        <w:rPr>
          <w:rFonts w:hint="eastAsia"/>
          <w:color w:val="auto"/>
          <w:lang w:val="zh-CN"/>
        </w:rPr>
        <w:t>达标后直接接入乌</w:t>
      </w:r>
      <w:r>
        <w:rPr>
          <w:rFonts w:hint="eastAsia"/>
          <w:color w:val="auto"/>
          <w:lang w:eastAsia="zh-CN"/>
        </w:rPr>
        <w:t>杨组团园区污水处理厂</w:t>
      </w:r>
      <w:r>
        <w:rPr>
          <w:rFonts w:hint="eastAsia"/>
          <w:color w:val="auto"/>
        </w:rPr>
        <w:t>进行深度处理达标后排入</w:t>
      </w:r>
      <w:r>
        <w:rPr>
          <w:rFonts w:hint="eastAsia"/>
          <w:color w:val="auto"/>
          <w:lang w:eastAsia="zh-CN"/>
        </w:rPr>
        <w:t>长江</w:t>
      </w:r>
      <w:r>
        <w:rPr>
          <w:rFonts w:hint="eastAsia"/>
          <w:color w:val="auto"/>
        </w:rPr>
        <w:t>，因此，拟建项目不涉及新增入河排污口</w:t>
      </w:r>
      <w:r>
        <w:rPr>
          <w:rFonts w:hint="eastAsia"/>
          <w:color w:val="auto"/>
          <w:lang w:val="zh-CN"/>
        </w:rPr>
        <w:t>。</w:t>
      </w:r>
    </w:p>
    <w:p w14:paraId="561918C8">
      <w:pPr>
        <w:pStyle w:val="5"/>
        <w:numPr>
          <w:ilvl w:val="0"/>
          <w:numId w:val="0"/>
        </w:numPr>
        <w:spacing w:line="360" w:lineRule="auto"/>
        <w:rPr>
          <w:color w:val="auto"/>
        </w:rPr>
      </w:pPr>
      <w:r>
        <w:rPr>
          <w:rFonts w:hint="eastAsia"/>
          <w:color w:val="auto"/>
        </w:rPr>
        <w:t>3.3</w:t>
      </w:r>
      <w:r>
        <w:rPr>
          <w:color w:val="auto"/>
        </w:rPr>
        <w:t>.4</w:t>
      </w:r>
      <w:r>
        <w:rPr>
          <w:rFonts w:hint="eastAsia"/>
          <w:color w:val="auto"/>
        </w:rPr>
        <w:t>设计年限</w:t>
      </w:r>
    </w:p>
    <w:p w14:paraId="7AD026DD">
      <w:pPr>
        <w:spacing w:line="360" w:lineRule="auto"/>
        <w:ind w:firstLine="480"/>
        <w:rPr>
          <w:color w:val="auto"/>
          <w:szCs w:val="24"/>
        </w:rPr>
      </w:pPr>
      <w:r>
        <w:rPr>
          <w:rFonts w:hint="eastAsia"/>
          <w:color w:val="auto"/>
          <w:lang w:val="zh-CN"/>
        </w:rPr>
        <w:t>拟建</w:t>
      </w:r>
      <w:r>
        <w:rPr>
          <w:color w:val="auto"/>
          <w:lang w:val="zh-CN"/>
        </w:rPr>
        <w:t>项目</w:t>
      </w:r>
      <w:r>
        <w:rPr>
          <w:rFonts w:hint="eastAsia"/>
          <w:color w:val="auto"/>
          <w:lang w:val="zh-CN"/>
        </w:rPr>
        <w:t>是</w:t>
      </w:r>
      <w:r>
        <w:rPr>
          <w:rFonts w:hint="eastAsia"/>
          <w:color w:val="auto"/>
          <w:szCs w:val="24"/>
        </w:rPr>
        <w:t>永久性废水处理工程。</w:t>
      </w:r>
    </w:p>
    <w:p w14:paraId="2F395E2D">
      <w:pPr>
        <w:pStyle w:val="4"/>
        <w:numPr>
          <w:ilvl w:val="0"/>
          <w:numId w:val="0"/>
        </w:numPr>
        <w:spacing w:line="360" w:lineRule="auto"/>
        <w:rPr>
          <w:color w:val="auto"/>
        </w:rPr>
        <w:sectPr>
          <w:pgSz w:w="11906" w:h="16838"/>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pPr>
    </w:p>
    <w:p w14:paraId="13343957">
      <w:pPr>
        <w:pStyle w:val="4"/>
        <w:numPr>
          <w:ilvl w:val="0"/>
          <w:numId w:val="0"/>
        </w:numPr>
        <w:spacing w:line="360" w:lineRule="auto"/>
        <w:rPr>
          <w:color w:val="auto"/>
        </w:rPr>
      </w:pPr>
      <w:bookmarkStart w:id="133" w:name="_Toc12083"/>
      <w:r>
        <w:rPr>
          <w:rFonts w:hint="eastAsia"/>
          <w:color w:val="auto"/>
        </w:rPr>
        <w:t>3.4</w:t>
      </w:r>
      <w:r>
        <w:rPr>
          <w:color w:val="auto"/>
        </w:rPr>
        <w:t>建设内容及项目组成</w:t>
      </w:r>
      <w:bookmarkEnd w:id="133"/>
    </w:p>
    <w:p w14:paraId="5223FC97">
      <w:pPr>
        <w:pStyle w:val="5"/>
        <w:numPr>
          <w:ilvl w:val="0"/>
          <w:numId w:val="0"/>
        </w:numPr>
        <w:spacing w:line="360" w:lineRule="auto"/>
        <w:rPr>
          <w:color w:val="auto"/>
        </w:rPr>
      </w:pPr>
      <w:r>
        <w:rPr>
          <w:rFonts w:hint="eastAsia"/>
          <w:color w:val="auto"/>
        </w:rPr>
        <w:t>3.4</w:t>
      </w:r>
      <w:r>
        <w:rPr>
          <w:color w:val="auto"/>
        </w:rPr>
        <w:t>.1</w:t>
      </w:r>
      <w:r>
        <w:rPr>
          <w:rFonts w:hint="eastAsia"/>
          <w:color w:val="auto"/>
        </w:rPr>
        <w:t>项目组成</w:t>
      </w:r>
    </w:p>
    <w:p w14:paraId="02353E8A">
      <w:pPr>
        <w:spacing w:line="360" w:lineRule="auto"/>
        <w:ind w:firstLine="480"/>
        <w:rPr>
          <w:color w:val="auto"/>
        </w:rPr>
      </w:pPr>
      <w:bookmarkStart w:id="134" w:name="_Ref499711220"/>
      <w:r>
        <w:rPr>
          <w:color w:val="auto"/>
          <w:szCs w:val="24"/>
        </w:rPr>
        <w:t>根据</w:t>
      </w:r>
      <w:r>
        <w:rPr>
          <w:rFonts w:hint="eastAsia"/>
          <w:color w:val="auto"/>
          <w:szCs w:val="24"/>
        </w:rPr>
        <w:t>建设单位设计资料</w:t>
      </w:r>
      <w:r>
        <w:rPr>
          <w:color w:val="auto"/>
          <w:szCs w:val="24"/>
        </w:rPr>
        <w:t>，</w:t>
      </w:r>
      <w:r>
        <w:rPr>
          <w:rFonts w:hint="eastAsia"/>
          <w:color w:val="auto"/>
          <w:szCs w:val="24"/>
        </w:rPr>
        <w:t>拟建</w:t>
      </w:r>
      <w:r>
        <w:rPr>
          <w:color w:val="auto"/>
          <w:szCs w:val="24"/>
        </w:rPr>
        <w:t>项目</w:t>
      </w:r>
      <w:r>
        <w:rPr>
          <w:rFonts w:hint="eastAsia"/>
          <w:color w:val="auto"/>
          <w:szCs w:val="24"/>
        </w:rPr>
        <w:t>设计处理规模2000m</w:t>
      </w:r>
      <w:r>
        <w:rPr>
          <w:rFonts w:hint="eastAsia"/>
          <w:color w:val="auto"/>
          <w:szCs w:val="24"/>
          <w:vertAlign w:val="superscript"/>
        </w:rPr>
        <w:t>3</w:t>
      </w:r>
      <w:r>
        <w:rPr>
          <w:rFonts w:hint="eastAsia"/>
          <w:color w:val="auto"/>
          <w:szCs w:val="24"/>
        </w:rPr>
        <w:t>/d，主要建设</w:t>
      </w:r>
      <w:r>
        <w:rPr>
          <w:rFonts w:hint="eastAsia" w:cs="Tunga"/>
          <w:color w:val="auto"/>
        </w:rPr>
        <w:t>“调节+气浮+化学除重+高密软化沉淀+芬顿氧化+中和沉淀+</w:t>
      </w:r>
      <w:r>
        <w:rPr>
          <w:rFonts w:hint="eastAsia" w:cs="Tunga"/>
          <w:color w:val="auto"/>
          <w:lang w:eastAsia="zh-CN"/>
        </w:rPr>
        <w:t>精密过滤</w:t>
      </w:r>
      <w:r>
        <w:rPr>
          <w:rFonts w:hint="eastAsia" w:cs="Tunga"/>
          <w:color w:val="auto"/>
        </w:rPr>
        <w:t>+DTRO膜浓缩</w:t>
      </w:r>
      <w:r>
        <w:rPr>
          <w:rFonts w:hint="eastAsia" w:cs="Tunga"/>
          <w:color w:val="auto"/>
          <w:lang w:val="en-US" w:eastAsia="zh-CN"/>
        </w:rPr>
        <w:t>+浓水蒸发</w:t>
      </w:r>
      <w:r>
        <w:rPr>
          <w:rFonts w:hint="eastAsia" w:cs="Tunga"/>
          <w:color w:val="auto"/>
        </w:rPr>
        <w:t>”相关处理设施设备</w:t>
      </w:r>
      <w:r>
        <w:rPr>
          <w:rFonts w:hint="eastAsia"/>
          <w:color w:val="auto"/>
          <w:szCs w:val="24"/>
        </w:rPr>
        <w:t>。</w:t>
      </w:r>
      <w:r>
        <w:rPr>
          <w:color w:val="auto"/>
        </w:rPr>
        <w:t>主要建设内容和项目组成详见表</w:t>
      </w:r>
      <w:r>
        <w:rPr>
          <w:rFonts w:hint="eastAsia"/>
          <w:color w:val="auto"/>
        </w:rPr>
        <w:t>3.4</w:t>
      </w:r>
      <w:r>
        <w:rPr>
          <w:color w:val="auto"/>
        </w:rPr>
        <w:t>-1。</w:t>
      </w:r>
    </w:p>
    <w:bookmarkEnd w:id="134"/>
    <w:p w14:paraId="179023F9">
      <w:pPr>
        <w:pStyle w:val="185"/>
        <w:rPr>
          <w:color w:val="auto"/>
        </w:rPr>
      </w:pPr>
      <w:r>
        <w:rPr>
          <w:color w:val="auto"/>
        </w:rPr>
        <w:t xml:space="preserve">表 3.4-1 </w:t>
      </w:r>
      <w:r>
        <w:rPr>
          <w:rFonts w:hint="eastAsia"/>
          <w:color w:val="auto"/>
        </w:rPr>
        <w:t>拟建</w:t>
      </w:r>
      <w:r>
        <w:rPr>
          <w:color w:val="auto"/>
        </w:rPr>
        <w:t>项目组成一览表</w:t>
      </w:r>
    </w:p>
    <w:tbl>
      <w:tblPr>
        <w:tblStyle w:val="88"/>
        <w:tblW w:w="50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56"/>
        <w:gridCol w:w="931"/>
        <w:gridCol w:w="7080"/>
        <w:gridCol w:w="733"/>
      </w:tblGrid>
      <w:tr w14:paraId="63446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48" w:type="pct"/>
            <w:vAlign w:val="center"/>
          </w:tcPr>
          <w:p w14:paraId="7A5AE04B">
            <w:pPr>
              <w:pStyle w:val="3361"/>
              <w:rPr>
                <w:color w:val="auto"/>
              </w:rPr>
            </w:pPr>
            <w:r>
              <w:rPr>
                <w:rFonts w:hint="eastAsia"/>
                <w:color w:val="auto"/>
              </w:rPr>
              <w:t>分类</w:t>
            </w:r>
          </w:p>
        </w:tc>
        <w:tc>
          <w:tcPr>
            <w:tcW w:w="506" w:type="pct"/>
            <w:vAlign w:val="center"/>
          </w:tcPr>
          <w:p w14:paraId="574A65A6">
            <w:pPr>
              <w:pStyle w:val="3361"/>
              <w:rPr>
                <w:color w:val="auto"/>
              </w:rPr>
            </w:pPr>
            <w:r>
              <w:rPr>
                <w:rFonts w:hint="eastAsia"/>
                <w:color w:val="auto"/>
              </w:rPr>
              <w:t>名称</w:t>
            </w:r>
          </w:p>
        </w:tc>
        <w:tc>
          <w:tcPr>
            <w:tcW w:w="3846" w:type="pct"/>
            <w:vAlign w:val="center"/>
          </w:tcPr>
          <w:p w14:paraId="3B06DCAA">
            <w:pPr>
              <w:pStyle w:val="3361"/>
              <w:rPr>
                <w:color w:val="auto"/>
              </w:rPr>
            </w:pPr>
            <w:r>
              <w:rPr>
                <w:rFonts w:hint="eastAsia"/>
                <w:color w:val="auto"/>
              </w:rPr>
              <w:t>工程内容</w:t>
            </w:r>
          </w:p>
        </w:tc>
        <w:tc>
          <w:tcPr>
            <w:tcW w:w="398" w:type="pct"/>
          </w:tcPr>
          <w:p w14:paraId="2549104F">
            <w:pPr>
              <w:pStyle w:val="3361"/>
              <w:rPr>
                <w:color w:val="auto"/>
              </w:rPr>
            </w:pPr>
            <w:r>
              <w:rPr>
                <w:rFonts w:hint="eastAsia"/>
                <w:color w:val="auto"/>
              </w:rPr>
              <w:t>备注</w:t>
            </w:r>
          </w:p>
        </w:tc>
      </w:tr>
      <w:tr w14:paraId="70C4F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48" w:type="pct"/>
            <w:vMerge w:val="restart"/>
            <w:vAlign w:val="center"/>
          </w:tcPr>
          <w:p w14:paraId="5A2E12D7">
            <w:pPr>
              <w:pStyle w:val="3361"/>
              <w:rPr>
                <w:color w:val="auto"/>
              </w:rPr>
            </w:pPr>
            <w:r>
              <w:rPr>
                <w:rFonts w:hint="eastAsia"/>
                <w:color w:val="auto"/>
              </w:rPr>
              <w:t>主体工程</w:t>
            </w:r>
          </w:p>
        </w:tc>
        <w:tc>
          <w:tcPr>
            <w:tcW w:w="506" w:type="pct"/>
            <w:vMerge w:val="restart"/>
            <w:tcMar>
              <w:left w:w="113" w:type="dxa"/>
              <w:right w:w="113" w:type="dxa"/>
            </w:tcMar>
            <w:vAlign w:val="center"/>
          </w:tcPr>
          <w:p w14:paraId="5F4593EF">
            <w:pPr>
              <w:pStyle w:val="3361"/>
              <w:rPr>
                <w:color w:val="auto"/>
              </w:rPr>
            </w:pPr>
            <w:r>
              <w:rPr>
                <w:rFonts w:hint="eastAsia"/>
                <w:color w:val="auto"/>
              </w:rPr>
              <w:t>污水处理工程</w:t>
            </w:r>
          </w:p>
        </w:tc>
        <w:tc>
          <w:tcPr>
            <w:tcW w:w="3846" w:type="pct"/>
            <w:vAlign w:val="center"/>
          </w:tcPr>
          <w:p w14:paraId="23F9DE82">
            <w:pPr>
              <w:pStyle w:val="3361"/>
              <w:rPr>
                <w:color w:val="auto"/>
                <w:lang w:val="en-US"/>
              </w:rPr>
            </w:pPr>
            <w:r>
              <w:rPr>
                <w:rFonts w:hint="eastAsia"/>
                <w:color w:val="auto"/>
              </w:rPr>
              <w:t>废水收集池前设置废水卸车区，点地面积约为</w:t>
            </w:r>
            <w:r>
              <w:rPr>
                <w:rFonts w:hint="eastAsia"/>
                <w:color w:val="auto"/>
                <w:lang w:val="en-US" w:eastAsia="zh-CN"/>
              </w:rPr>
              <w:t>240</w:t>
            </w:r>
            <w:r>
              <w:rPr>
                <w:rFonts w:hint="eastAsia"/>
                <w:color w:val="auto"/>
              </w:rPr>
              <w:t xml:space="preserve"> m</w:t>
            </w:r>
            <w:r>
              <w:rPr>
                <w:rFonts w:hint="eastAsia"/>
                <w:color w:val="auto"/>
                <w:vertAlign w:val="superscript"/>
                <w:lang w:val="en-US"/>
              </w:rPr>
              <w:t>2</w:t>
            </w:r>
            <w:r>
              <w:rPr>
                <w:rFonts w:hint="eastAsia"/>
                <w:color w:val="auto"/>
              </w:rPr>
              <w:t>，尺寸</w:t>
            </w:r>
            <w:r>
              <w:rPr>
                <w:rFonts w:hint="eastAsia"/>
                <w:color w:val="auto"/>
                <w:lang w:val="en-US" w:eastAsia="zh-CN"/>
              </w:rPr>
              <w:t>40</w:t>
            </w:r>
            <w:r>
              <w:rPr>
                <w:rFonts w:hint="eastAsia"/>
                <w:color w:val="auto"/>
              </w:rPr>
              <w:t>×</w:t>
            </w:r>
            <w:r>
              <w:rPr>
                <w:rFonts w:hint="eastAsia"/>
                <w:color w:val="auto"/>
                <w:lang w:val="en-US" w:eastAsia="zh-CN"/>
              </w:rPr>
              <w:t>6</w:t>
            </w:r>
            <w:r>
              <w:rPr>
                <w:rFonts w:hint="eastAsia"/>
                <w:color w:val="auto"/>
                <w:lang w:val="en-US"/>
              </w:rPr>
              <w:t>m</w:t>
            </w:r>
            <w:r>
              <w:rPr>
                <w:rFonts w:hint="eastAsia"/>
                <w:color w:val="auto"/>
              </w:rPr>
              <w:t>，主要功能为入厂废水罐车卸车。卸车区设置环形应急收集沟，就近接入废水收集池</w:t>
            </w:r>
          </w:p>
        </w:tc>
        <w:tc>
          <w:tcPr>
            <w:tcW w:w="398" w:type="pct"/>
            <w:vMerge w:val="restart"/>
            <w:vAlign w:val="center"/>
          </w:tcPr>
          <w:p w14:paraId="14FF2E42">
            <w:pPr>
              <w:pStyle w:val="3361"/>
              <w:rPr>
                <w:color w:val="auto"/>
              </w:rPr>
            </w:pPr>
            <w:r>
              <w:rPr>
                <w:rFonts w:hint="eastAsia"/>
                <w:color w:val="auto"/>
              </w:rPr>
              <w:t>废水接收储存单元</w:t>
            </w:r>
          </w:p>
        </w:tc>
      </w:tr>
      <w:tr w14:paraId="22856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48" w:type="pct"/>
            <w:vMerge w:val="continue"/>
            <w:vAlign w:val="center"/>
          </w:tcPr>
          <w:p w14:paraId="7AB34A82">
            <w:pPr>
              <w:pStyle w:val="3361"/>
              <w:rPr>
                <w:color w:val="auto"/>
              </w:rPr>
            </w:pPr>
          </w:p>
        </w:tc>
        <w:tc>
          <w:tcPr>
            <w:tcW w:w="506" w:type="pct"/>
            <w:vMerge w:val="continue"/>
            <w:tcMar>
              <w:left w:w="113" w:type="dxa"/>
              <w:right w:w="113" w:type="dxa"/>
            </w:tcMar>
            <w:vAlign w:val="center"/>
          </w:tcPr>
          <w:p w14:paraId="5DEDC418">
            <w:pPr>
              <w:pStyle w:val="3361"/>
              <w:rPr>
                <w:color w:val="auto"/>
              </w:rPr>
            </w:pPr>
          </w:p>
        </w:tc>
        <w:tc>
          <w:tcPr>
            <w:tcW w:w="3846" w:type="pct"/>
            <w:vAlign w:val="center"/>
          </w:tcPr>
          <w:p w14:paraId="5E0E1B68">
            <w:pPr>
              <w:pStyle w:val="3361"/>
              <w:rPr>
                <w:color w:val="auto"/>
              </w:rPr>
            </w:pPr>
            <w:r>
              <w:rPr>
                <w:rFonts w:hint="eastAsia"/>
                <w:color w:val="auto"/>
              </w:rPr>
              <w:t>新建</w:t>
            </w:r>
            <w:r>
              <w:rPr>
                <w:rFonts w:hint="eastAsia"/>
                <w:color w:val="auto"/>
                <w:lang w:val="en-US" w:eastAsia="zh-CN"/>
              </w:rPr>
              <w:t>2</w:t>
            </w:r>
            <w:r>
              <w:rPr>
                <w:rFonts w:hint="eastAsia"/>
                <w:color w:val="auto"/>
              </w:rPr>
              <w:t>座半地埋式废水储存池，单个设计容积</w:t>
            </w:r>
            <w:r>
              <w:rPr>
                <w:rFonts w:hint="eastAsia"/>
                <w:color w:val="auto"/>
                <w:lang w:val="en-US" w:eastAsia="zh-CN"/>
              </w:rPr>
              <w:t>1950</w:t>
            </w:r>
            <w:r>
              <w:rPr>
                <w:rFonts w:hint="eastAsia"/>
                <w:color w:val="auto"/>
              </w:rPr>
              <w:t>m</w:t>
            </w:r>
            <w:r>
              <w:rPr>
                <w:rFonts w:hint="eastAsia"/>
                <w:color w:val="auto"/>
                <w:vertAlign w:val="superscript"/>
              </w:rPr>
              <w:t>3</w:t>
            </w:r>
            <w:r>
              <w:rPr>
                <w:rFonts w:hint="eastAsia"/>
                <w:color w:val="auto"/>
              </w:rPr>
              <w:t>，有效容积</w:t>
            </w:r>
            <w:r>
              <w:rPr>
                <w:rFonts w:hint="eastAsia"/>
                <w:color w:val="auto"/>
                <w:lang w:val="en-US" w:eastAsia="zh-CN"/>
              </w:rPr>
              <w:t>1560</w:t>
            </w:r>
            <w:r>
              <w:rPr>
                <w:rFonts w:hint="eastAsia"/>
                <w:color w:val="auto"/>
              </w:rPr>
              <w:t xml:space="preserve"> m</w:t>
            </w:r>
            <w:r>
              <w:rPr>
                <w:rFonts w:hint="eastAsia"/>
                <w:color w:val="auto"/>
                <w:vertAlign w:val="superscript"/>
              </w:rPr>
              <w:t>3</w:t>
            </w:r>
            <w:r>
              <w:rPr>
                <w:rFonts w:hint="eastAsia"/>
                <w:color w:val="auto"/>
              </w:rPr>
              <w:t>，总有效容积约为</w:t>
            </w:r>
            <w:r>
              <w:rPr>
                <w:rFonts w:hint="eastAsia"/>
                <w:color w:val="auto"/>
                <w:lang w:val="en-US" w:eastAsia="zh-CN"/>
              </w:rPr>
              <w:t>3120</w:t>
            </w:r>
            <w:r>
              <w:rPr>
                <w:rFonts w:hint="eastAsia"/>
                <w:color w:val="auto"/>
              </w:rPr>
              <w:t>m</w:t>
            </w:r>
            <w:r>
              <w:rPr>
                <w:rFonts w:hint="eastAsia"/>
                <w:color w:val="auto"/>
                <w:vertAlign w:val="superscript"/>
              </w:rPr>
              <w:t>3</w:t>
            </w:r>
            <w:r>
              <w:rPr>
                <w:rFonts w:hint="eastAsia"/>
                <w:color w:val="auto"/>
              </w:rPr>
              <w:t>，主要功能为各类页岩气开采废水储存</w:t>
            </w:r>
          </w:p>
        </w:tc>
        <w:tc>
          <w:tcPr>
            <w:tcW w:w="398" w:type="pct"/>
            <w:vMerge w:val="continue"/>
            <w:vAlign w:val="center"/>
          </w:tcPr>
          <w:p w14:paraId="493B1F5D">
            <w:pPr>
              <w:pStyle w:val="3361"/>
              <w:rPr>
                <w:color w:val="auto"/>
              </w:rPr>
            </w:pPr>
          </w:p>
        </w:tc>
      </w:tr>
      <w:tr w14:paraId="50388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48" w:type="pct"/>
            <w:vMerge w:val="continue"/>
            <w:vAlign w:val="center"/>
          </w:tcPr>
          <w:p w14:paraId="280BEB61">
            <w:pPr>
              <w:pStyle w:val="3361"/>
              <w:rPr>
                <w:color w:val="auto"/>
              </w:rPr>
            </w:pPr>
          </w:p>
        </w:tc>
        <w:tc>
          <w:tcPr>
            <w:tcW w:w="506" w:type="pct"/>
            <w:vMerge w:val="continue"/>
            <w:tcMar>
              <w:left w:w="113" w:type="dxa"/>
              <w:right w:w="113" w:type="dxa"/>
            </w:tcMar>
            <w:vAlign w:val="center"/>
          </w:tcPr>
          <w:p w14:paraId="5445F2A5">
            <w:pPr>
              <w:pStyle w:val="3361"/>
              <w:rPr>
                <w:color w:val="auto"/>
              </w:rPr>
            </w:pPr>
          </w:p>
        </w:tc>
        <w:tc>
          <w:tcPr>
            <w:tcW w:w="3846" w:type="pct"/>
            <w:vAlign w:val="center"/>
          </w:tcPr>
          <w:p w14:paraId="1C40BF90">
            <w:pPr>
              <w:pStyle w:val="3361"/>
              <w:rPr>
                <w:color w:val="auto"/>
              </w:rPr>
            </w:pPr>
            <w:r>
              <w:rPr>
                <w:rFonts w:hint="eastAsia"/>
                <w:color w:val="auto"/>
              </w:rPr>
              <w:t>调节：</w:t>
            </w:r>
            <w:r>
              <w:rPr>
                <w:rFonts w:hint="eastAsia"/>
                <w:color w:val="auto"/>
                <w:lang w:eastAsia="zh-CN"/>
              </w:rPr>
              <w:t>新建</w:t>
            </w:r>
            <w:r>
              <w:rPr>
                <w:rFonts w:hint="eastAsia"/>
                <w:color w:val="auto"/>
              </w:rPr>
              <w:t>调节池</w:t>
            </w:r>
            <w:r>
              <w:rPr>
                <w:rFonts w:hint="eastAsia"/>
                <w:color w:val="auto"/>
                <w:lang w:val="en-US" w:eastAsia="zh-CN"/>
              </w:rPr>
              <w:t>1个</w:t>
            </w:r>
            <w:r>
              <w:rPr>
                <w:rFonts w:hint="eastAsia"/>
                <w:color w:val="auto"/>
              </w:rPr>
              <w:t>，设计容积</w:t>
            </w:r>
            <w:r>
              <w:rPr>
                <w:rFonts w:hint="eastAsia"/>
                <w:color w:val="auto"/>
                <w:lang w:val="en-US" w:eastAsia="zh-CN"/>
              </w:rPr>
              <w:t>122</w:t>
            </w:r>
            <w:r>
              <w:rPr>
                <w:rFonts w:hint="eastAsia"/>
                <w:color w:val="auto"/>
              </w:rPr>
              <w:t>m</w:t>
            </w:r>
            <w:r>
              <w:rPr>
                <w:rFonts w:hint="eastAsia"/>
                <w:color w:val="auto"/>
                <w:vertAlign w:val="superscript"/>
              </w:rPr>
              <w:t>3</w:t>
            </w:r>
            <w:r>
              <w:rPr>
                <w:rFonts w:hint="eastAsia"/>
                <w:color w:val="auto"/>
              </w:rPr>
              <w:t>，有效容积</w:t>
            </w:r>
            <w:r>
              <w:rPr>
                <w:rFonts w:hint="eastAsia"/>
                <w:color w:val="auto"/>
                <w:lang w:val="en-US" w:eastAsia="zh-CN"/>
              </w:rPr>
              <w:t>100</w:t>
            </w:r>
            <w:r>
              <w:rPr>
                <w:rFonts w:hint="eastAsia"/>
                <w:color w:val="auto"/>
              </w:rPr>
              <w:t>m</w:t>
            </w:r>
            <w:r>
              <w:rPr>
                <w:rFonts w:hint="eastAsia"/>
                <w:color w:val="auto"/>
                <w:vertAlign w:val="superscript"/>
              </w:rPr>
              <w:t>3</w:t>
            </w:r>
            <w:r>
              <w:rPr>
                <w:rFonts w:hint="eastAsia"/>
                <w:color w:val="auto"/>
              </w:rPr>
              <w:t>，主要功能为均质调节</w:t>
            </w:r>
          </w:p>
        </w:tc>
        <w:tc>
          <w:tcPr>
            <w:tcW w:w="398" w:type="pct"/>
            <w:vMerge w:val="restart"/>
            <w:vAlign w:val="center"/>
          </w:tcPr>
          <w:p w14:paraId="07E84ADA">
            <w:pPr>
              <w:pStyle w:val="3361"/>
              <w:rPr>
                <w:color w:val="auto"/>
              </w:rPr>
            </w:pPr>
            <w:r>
              <w:rPr>
                <w:rFonts w:hint="eastAsia"/>
                <w:color w:val="auto"/>
              </w:rPr>
              <w:t>处理单元</w:t>
            </w:r>
          </w:p>
        </w:tc>
      </w:tr>
      <w:tr w14:paraId="4B535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48" w:type="pct"/>
            <w:vMerge w:val="continue"/>
            <w:vAlign w:val="center"/>
          </w:tcPr>
          <w:p w14:paraId="6B368E9B">
            <w:pPr>
              <w:pStyle w:val="3361"/>
              <w:rPr>
                <w:color w:val="auto"/>
              </w:rPr>
            </w:pPr>
          </w:p>
        </w:tc>
        <w:tc>
          <w:tcPr>
            <w:tcW w:w="506" w:type="pct"/>
            <w:vMerge w:val="continue"/>
            <w:tcMar>
              <w:left w:w="113" w:type="dxa"/>
              <w:right w:w="113" w:type="dxa"/>
            </w:tcMar>
            <w:vAlign w:val="center"/>
          </w:tcPr>
          <w:p w14:paraId="4FD4F11B">
            <w:pPr>
              <w:pStyle w:val="3361"/>
              <w:rPr>
                <w:color w:val="auto"/>
              </w:rPr>
            </w:pPr>
          </w:p>
        </w:tc>
        <w:tc>
          <w:tcPr>
            <w:tcW w:w="3846" w:type="pct"/>
            <w:vAlign w:val="center"/>
          </w:tcPr>
          <w:p w14:paraId="16C7340D">
            <w:pPr>
              <w:pStyle w:val="3361"/>
              <w:rPr>
                <w:color w:val="auto"/>
              </w:rPr>
            </w:pPr>
            <w:r>
              <w:rPr>
                <w:rFonts w:hint="eastAsia"/>
                <w:color w:val="auto"/>
              </w:rPr>
              <w:t>新建化学除重处理设施，设计处理能力为100m</w:t>
            </w:r>
            <w:r>
              <w:rPr>
                <w:rFonts w:hint="eastAsia"/>
                <w:color w:val="auto"/>
                <w:vertAlign w:val="superscript"/>
              </w:rPr>
              <w:t>3</w:t>
            </w:r>
            <w:r>
              <w:rPr>
                <w:rFonts w:hint="eastAsia"/>
                <w:color w:val="auto"/>
              </w:rPr>
              <w:t>/h，主要功能为通过化学沉淀进行重金属、总α放射性和总β放射性的去除</w:t>
            </w:r>
          </w:p>
        </w:tc>
        <w:tc>
          <w:tcPr>
            <w:tcW w:w="398" w:type="pct"/>
            <w:vMerge w:val="continue"/>
            <w:vAlign w:val="center"/>
          </w:tcPr>
          <w:p w14:paraId="148B6085">
            <w:pPr>
              <w:pStyle w:val="3361"/>
              <w:rPr>
                <w:color w:val="auto"/>
              </w:rPr>
            </w:pPr>
          </w:p>
        </w:tc>
      </w:tr>
      <w:tr w14:paraId="41463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48" w:type="pct"/>
            <w:vMerge w:val="continue"/>
            <w:vAlign w:val="center"/>
          </w:tcPr>
          <w:p w14:paraId="6269A289">
            <w:pPr>
              <w:pStyle w:val="3361"/>
              <w:rPr>
                <w:color w:val="auto"/>
              </w:rPr>
            </w:pPr>
          </w:p>
        </w:tc>
        <w:tc>
          <w:tcPr>
            <w:tcW w:w="506" w:type="pct"/>
            <w:vMerge w:val="continue"/>
            <w:tcMar>
              <w:left w:w="113" w:type="dxa"/>
              <w:right w:w="113" w:type="dxa"/>
            </w:tcMar>
            <w:vAlign w:val="center"/>
          </w:tcPr>
          <w:p w14:paraId="57DD1821">
            <w:pPr>
              <w:pStyle w:val="3361"/>
              <w:rPr>
                <w:color w:val="auto"/>
              </w:rPr>
            </w:pPr>
          </w:p>
        </w:tc>
        <w:tc>
          <w:tcPr>
            <w:tcW w:w="3846" w:type="pct"/>
            <w:vAlign w:val="center"/>
          </w:tcPr>
          <w:p w14:paraId="2BF0A59F">
            <w:pPr>
              <w:pStyle w:val="3361"/>
              <w:rPr>
                <w:color w:val="auto"/>
              </w:rPr>
            </w:pPr>
            <w:r>
              <w:rPr>
                <w:rFonts w:hint="eastAsia"/>
                <w:color w:val="auto"/>
                <w:lang w:eastAsia="zh-CN"/>
              </w:rPr>
              <w:t>新建</w:t>
            </w:r>
            <w:r>
              <w:rPr>
                <w:rFonts w:hint="eastAsia"/>
                <w:color w:val="auto"/>
              </w:rPr>
              <w:t>高密软化沉淀设施，主要功能为利用碳酸钠</w:t>
            </w:r>
            <w:r>
              <w:rPr>
                <w:rFonts w:hint="eastAsia"/>
                <w:color w:val="auto"/>
                <w:lang w:val="en-US" w:eastAsia="zh-CN"/>
              </w:rPr>
              <w:t>/除重剂</w:t>
            </w:r>
            <w:r>
              <w:rPr>
                <w:rFonts w:hint="eastAsia"/>
                <w:color w:val="auto"/>
              </w:rPr>
              <w:t>、氢氧化钠、PAC和PAM等药剂去除废水中硬度。</w:t>
            </w:r>
          </w:p>
          <w:p w14:paraId="65A9EBC1">
            <w:pPr>
              <w:pStyle w:val="3361"/>
              <w:rPr>
                <w:color w:val="auto"/>
              </w:rPr>
            </w:pPr>
            <w:r>
              <w:rPr>
                <w:rFonts w:hint="eastAsia"/>
                <w:color w:val="auto"/>
              </w:rPr>
              <w:t>主要包括碱</w:t>
            </w:r>
            <w:r>
              <w:rPr>
                <w:rFonts w:hint="eastAsia"/>
                <w:color w:val="auto"/>
                <w:lang w:val="en-US" w:eastAsia="zh-CN"/>
              </w:rPr>
              <w:t>/除重剂</w:t>
            </w:r>
            <w:r>
              <w:rPr>
                <w:rFonts w:hint="eastAsia"/>
                <w:color w:val="auto"/>
              </w:rPr>
              <w:t>、纯碱、PAC和PAM添加池各1个，</w:t>
            </w:r>
            <w:r>
              <w:rPr>
                <w:rFonts w:hint="eastAsia"/>
                <w:color w:val="auto"/>
                <w:lang w:eastAsia="zh-CN"/>
              </w:rPr>
              <w:t>设计处理能力</w:t>
            </w:r>
            <w:r>
              <w:rPr>
                <w:rFonts w:hint="eastAsia"/>
                <w:color w:val="auto"/>
              </w:rPr>
              <w:t>为100m</w:t>
            </w:r>
            <w:r>
              <w:rPr>
                <w:rFonts w:hint="eastAsia"/>
                <w:color w:val="auto"/>
                <w:vertAlign w:val="superscript"/>
              </w:rPr>
              <w:t>3</w:t>
            </w:r>
            <w:r>
              <w:rPr>
                <w:rFonts w:hint="eastAsia"/>
                <w:color w:val="auto"/>
              </w:rPr>
              <w:t>/h</w:t>
            </w:r>
          </w:p>
        </w:tc>
        <w:tc>
          <w:tcPr>
            <w:tcW w:w="398" w:type="pct"/>
            <w:vMerge w:val="continue"/>
            <w:vAlign w:val="center"/>
          </w:tcPr>
          <w:p w14:paraId="56C676D7">
            <w:pPr>
              <w:pStyle w:val="3361"/>
              <w:rPr>
                <w:color w:val="auto"/>
              </w:rPr>
            </w:pPr>
          </w:p>
        </w:tc>
      </w:tr>
      <w:tr w14:paraId="477DA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48" w:type="pct"/>
            <w:vMerge w:val="continue"/>
            <w:vAlign w:val="center"/>
          </w:tcPr>
          <w:p w14:paraId="42573E15">
            <w:pPr>
              <w:pStyle w:val="3361"/>
              <w:rPr>
                <w:color w:val="auto"/>
              </w:rPr>
            </w:pPr>
          </w:p>
        </w:tc>
        <w:tc>
          <w:tcPr>
            <w:tcW w:w="506" w:type="pct"/>
            <w:vMerge w:val="continue"/>
            <w:tcMar>
              <w:left w:w="113" w:type="dxa"/>
              <w:right w:w="113" w:type="dxa"/>
            </w:tcMar>
            <w:vAlign w:val="center"/>
          </w:tcPr>
          <w:p w14:paraId="547D770C">
            <w:pPr>
              <w:pStyle w:val="3361"/>
              <w:rPr>
                <w:color w:val="auto"/>
              </w:rPr>
            </w:pPr>
          </w:p>
        </w:tc>
        <w:tc>
          <w:tcPr>
            <w:tcW w:w="3846" w:type="pct"/>
            <w:vAlign w:val="center"/>
          </w:tcPr>
          <w:p w14:paraId="5C4654BA">
            <w:pPr>
              <w:pStyle w:val="3361"/>
              <w:rPr>
                <w:color w:val="auto"/>
              </w:rPr>
            </w:pPr>
            <w:r>
              <w:rPr>
                <w:rFonts w:hint="eastAsia"/>
                <w:color w:val="auto"/>
                <w:lang w:eastAsia="zh-CN"/>
              </w:rPr>
              <w:t>新建</w:t>
            </w:r>
            <w:r>
              <w:rPr>
                <w:rFonts w:hint="eastAsia"/>
                <w:color w:val="auto"/>
              </w:rPr>
              <w:t>芬顿氧化设施</w:t>
            </w:r>
            <w:r>
              <w:rPr>
                <w:rFonts w:hint="eastAsia"/>
                <w:color w:val="auto"/>
                <w:lang w:val="en-US" w:eastAsia="zh-CN"/>
              </w:rPr>
              <w:t>2套</w:t>
            </w:r>
            <w:r>
              <w:rPr>
                <w:rFonts w:hint="eastAsia"/>
                <w:color w:val="auto"/>
              </w:rPr>
              <w:t>，主要功能为对废水进行芬顿催化氧化处理，进一步去除废水中的COD和大分子有机物。</w:t>
            </w:r>
          </w:p>
          <w:p w14:paraId="07E76774">
            <w:pPr>
              <w:pStyle w:val="3361"/>
              <w:rPr>
                <w:color w:val="auto"/>
              </w:rPr>
            </w:pPr>
            <w:r>
              <w:rPr>
                <w:rFonts w:hint="eastAsia"/>
                <w:color w:val="auto"/>
              </w:rPr>
              <w:t>主要包括调酸池和催化剂池各</w:t>
            </w:r>
            <w:r>
              <w:rPr>
                <w:rFonts w:hint="eastAsia"/>
                <w:color w:val="auto"/>
                <w:lang w:val="en-US" w:eastAsia="zh-CN"/>
              </w:rPr>
              <w:t>1</w:t>
            </w:r>
            <w:r>
              <w:rPr>
                <w:rFonts w:hint="eastAsia"/>
                <w:color w:val="auto"/>
              </w:rPr>
              <w:t>个，芬顿氧化池2个，设计处理能力达到2000m</w:t>
            </w:r>
            <w:r>
              <w:rPr>
                <w:rFonts w:hint="eastAsia"/>
                <w:color w:val="auto"/>
                <w:vertAlign w:val="superscript"/>
              </w:rPr>
              <w:t>3</w:t>
            </w:r>
            <w:r>
              <w:rPr>
                <w:rFonts w:hint="eastAsia"/>
                <w:color w:val="auto"/>
              </w:rPr>
              <w:t>/d</w:t>
            </w:r>
          </w:p>
        </w:tc>
        <w:tc>
          <w:tcPr>
            <w:tcW w:w="398" w:type="pct"/>
            <w:vMerge w:val="continue"/>
            <w:vAlign w:val="center"/>
          </w:tcPr>
          <w:p w14:paraId="64A9FBBF">
            <w:pPr>
              <w:pStyle w:val="3361"/>
              <w:rPr>
                <w:color w:val="auto"/>
              </w:rPr>
            </w:pPr>
          </w:p>
        </w:tc>
      </w:tr>
      <w:tr w14:paraId="3D50C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48" w:type="pct"/>
            <w:vMerge w:val="continue"/>
            <w:vAlign w:val="center"/>
          </w:tcPr>
          <w:p w14:paraId="63D7837A">
            <w:pPr>
              <w:pStyle w:val="3361"/>
              <w:rPr>
                <w:color w:val="auto"/>
              </w:rPr>
            </w:pPr>
          </w:p>
        </w:tc>
        <w:tc>
          <w:tcPr>
            <w:tcW w:w="506" w:type="pct"/>
            <w:vMerge w:val="continue"/>
            <w:tcMar>
              <w:left w:w="113" w:type="dxa"/>
              <w:right w:w="113" w:type="dxa"/>
            </w:tcMar>
            <w:vAlign w:val="center"/>
          </w:tcPr>
          <w:p w14:paraId="1B536ED3">
            <w:pPr>
              <w:pStyle w:val="3361"/>
              <w:rPr>
                <w:color w:val="auto"/>
              </w:rPr>
            </w:pPr>
          </w:p>
        </w:tc>
        <w:tc>
          <w:tcPr>
            <w:tcW w:w="3846" w:type="pct"/>
            <w:vAlign w:val="center"/>
          </w:tcPr>
          <w:p w14:paraId="668B14FC">
            <w:pPr>
              <w:pStyle w:val="3361"/>
              <w:rPr>
                <w:color w:val="auto"/>
              </w:rPr>
            </w:pPr>
            <w:r>
              <w:rPr>
                <w:rFonts w:hint="eastAsia"/>
                <w:color w:val="auto"/>
                <w:lang w:eastAsia="zh-CN"/>
              </w:rPr>
              <w:t>新建中和沉淀</w:t>
            </w:r>
            <w:r>
              <w:rPr>
                <w:rFonts w:hint="eastAsia"/>
                <w:color w:val="auto"/>
              </w:rPr>
              <w:t>设施</w:t>
            </w:r>
            <w:r>
              <w:rPr>
                <w:rFonts w:hint="eastAsia"/>
                <w:color w:val="auto"/>
                <w:lang w:val="en-US" w:eastAsia="zh-CN"/>
              </w:rPr>
              <w:t>1套</w:t>
            </w:r>
            <w:r>
              <w:rPr>
                <w:rFonts w:hint="eastAsia"/>
                <w:color w:val="auto"/>
              </w:rPr>
              <w:t>，主要功能为芬顿氧化后的废水进行沉淀处理，通过回调p沉淀将污泥分离出来。</w:t>
            </w:r>
          </w:p>
          <w:p w14:paraId="2E5848CD">
            <w:pPr>
              <w:pStyle w:val="3361"/>
              <w:rPr>
                <w:color w:val="auto"/>
              </w:rPr>
            </w:pPr>
            <w:r>
              <w:rPr>
                <w:rFonts w:hint="eastAsia"/>
                <w:color w:val="auto"/>
              </w:rPr>
              <w:t>主要包括沉淀池各1个，设计处理能力达到2000m</w:t>
            </w:r>
            <w:r>
              <w:rPr>
                <w:rFonts w:hint="eastAsia"/>
                <w:color w:val="auto"/>
                <w:vertAlign w:val="superscript"/>
              </w:rPr>
              <w:t>3</w:t>
            </w:r>
            <w:r>
              <w:rPr>
                <w:rFonts w:hint="eastAsia"/>
                <w:color w:val="auto"/>
              </w:rPr>
              <w:t>/d</w:t>
            </w:r>
          </w:p>
        </w:tc>
        <w:tc>
          <w:tcPr>
            <w:tcW w:w="398" w:type="pct"/>
            <w:vMerge w:val="continue"/>
            <w:vAlign w:val="center"/>
          </w:tcPr>
          <w:p w14:paraId="5D16BD84">
            <w:pPr>
              <w:pStyle w:val="3361"/>
              <w:rPr>
                <w:color w:val="auto"/>
              </w:rPr>
            </w:pPr>
          </w:p>
        </w:tc>
      </w:tr>
      <w:tr w14:paraId="541A9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48" w:type="pct"/>
            <w:vMerge w:val="continue"/>
            <w:vAlign w:val="center"/>
          </w:tcPr>
          <w:p w14:paraId="78F5A3F3">
            <w:pPr>
              <w:pStyle w:val="3361"/>
              <w:rPr>
                <w:color w:val="auto"/>
              </w:rPr>
            </w:pPr>
          </w:p>
        </w:tc>
        <w:tc>
          <w:tcPr>
            <w:tcW w:w="506" w:type="pct"/>
            <w:vMerge w:val="continue"/>
            <w:tcMar>
              <w:left w:w="113" w:type="dxa"/>
              <w:right w:w="113" w:type="dxa"/>
            </w:tcMar>
            <w:vAlign w:val="center"/>
          </w:tcPr>
          <w:p w14:paraId="4F94CBBF">
            <w:pPr>
              <w:pStyle w:val="3361"/>
              <w:rPr>
                <w:color w:val="auto"/>
              </w:rPr>
            </w:pPr>
          </w:p>
        </w:tc>
        <w:tc>
          <w:tcPr>
            <w:tcW w:w="3846" w:type="pct"/>
            <w:vAlign w:val="center"/>
          </w:tcPr>
          <w:p w14:paraId="4E2F16EB">
            <w:pPr>
              <w:pStyle w:val="3361"/>
              <w:rPr>
                <w:color w:val="auto"/>
              </w:rPr>
            </w:pPr>
            <w:r>
              <w:rPr>
                <w:rFonts w:hint="eastAsia"/>
                <w:color w:val="auto"/>
                <w:lang w:eastAsia="zh-CN"/>
              </w:rPr>
              <w:t>新建</w:t>
            </w:r>
            <w:r>
              <w:rPr>
                <w:rFonts w:hint="eastAsia"/>
                <w:color w:val="auto"/>
              </w:rPr>
              <w:t>清水池</w:t>
            </w:r>
            <w:r>
              <w:rPr>
                <w:rFonts w:hint="eastAsia"/>
                <w:color w:val="auto"/>
                <w:lang w:val="en-US" w:eastAsia="zh-CN"/>
              </w:rPr>
              <w:t>1座</w:t>
            </w:r>
            <w:r>
              <w:rPr>
                <w:rFonts w:hint="eastAsia"/>
                <w:color w:val="auto"/>
              </w:rPr>
              <w:t>，收集沉淀处理</w:t>
            </w:r>
            <w:r>
              <w:rPr>
                <w:rFonts w:hint="eastAsia"/>
                <w:color w:val="auto"/>
                <w:lang w:eastAsia="zh-CN"/>
              </w:rPr>
              <w:t>后清水</w:t>
            </w:r>
            <w:r>
              <w:rPr>
                <w:rFonts w:hint="eastAsia"/>
                <w:color w:val="auto"/>
              </w:rPr>
              <w:t>。</w:t>
            </w:r>
          </w:p>
          <w:p w14:paraId="69A3FB74">
            <w:pPr>
              <w:pStyle w:val="3361"/>
              <w:rPr>
                <w:rFonts w:hint="eastAsia"/>
                <w:color w:val="auto"/>
              </w:rPr>
            </w:pPr>
            <w:r>
              <w:rPr>
                <w:rFonts w:hint="eastAsia"/>
                <w:color w:val="auto"/>
              </w:rPr>
              <w:t>主要包括清水池1个，设计总容积</w:t>
            </w:r>
            <w:r>
              <w:rPr>
                <w:rFonts w:hint="eastAsia"/>
                <w:color w:val="auto"/>
                <w:lang w:val="en-US" w:eastAsia="zh-CN"/>
              </w:rPr>
              <w:t>264</w:t>
            </w:r>
            <w:r>
              <w:rPr>
                <w:rFonts w:hint="eastAsia"/>
                <w:color w:val="auto"/>
              </w:rPr>
              <w:t xml:space="preserve"> m</w:t>
            </w:r>
            <w:r>
              <w:rPr>
                <w:rFonts w:hint="eastAsia"/>
                <w:color w:val="auto"/>
                <w:vertAlign w:val="superscript"/>
              </w:rPr>
              <w:t>3</w:t>
            </w:r>
            <w:r>
              <w:rPr>
                <w:rFonts w:hint="eastAsia"/>
                <w:color w:val="auto"/>
              </w:rPr>
              <w:t>，有效容积</w:t>
            </w:r>
            <w:r>
              <w:rPr>
                <w:rFonts w:hint="eastAsia"/>
                <w:color w:val="auto"/>
                <w:lang w:val="en-US" w:eastAsia="zh-CN"/>
              </w:rPr>
              <w:t>211</w:t>
            </w:r>
            <w:r>
              <w:rPr>
                <w:rFonts w:hint="eastAsia"/>
                <w:color w:val="auto"/>
              </w:rPr>
              <w:t>m</w:t>
            </w:r>
            <w:r>
              <w:rPr>
                <w:rFonts w:hint="eastAsia"/>
                <w:color w:val="auto"/>
                <w:vertAlign w:val="superscript"/>
              </w:rPr>
              <w:t>3</w:t>
            </w:r>
          </w:p>
        </w:tc>
        <w:tc>
          <w:tcPr>
            <w:tcW w:w="398" w:type="pct"/>
            <w:vMerge w:val="continue"/>
            <w:vAlign w:val="center"/>
          </w:tcPr>
          <w:p w14:paraId="5C180E27">
            <w:pPr>
              <w:pStyle w:val="3361"/>
              <w:rPr>
                <w:color w:val="auto"/>
              </w:rPr>
            </w:pPr>
          </w:p>
        </w:tc>
      </w:tr>
      <w:tr w14:paraId="428D5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48" w:type="pct"/>
            <w:vMerge w:val="continue"/>
            <w:vAlign w:val="center"/>
          </w:tcPr>
          <w:p w14:paraId="411E8DBB">
            <w:pPr>
              <w:pStyle w:val="3361"/>
              <w:rPr>
                <w:color w:val="auto"/>
              </w:rPr>
            </w:pPr>
          </w:p>
        </w:tc>
        <w:tc>
          <w:tcPr>
            <w:tcW w:w="506" w:type="pct"/>
            <w:vMerge w:val="continue"/>
            <w:tcMar>
              <w:left w:w="113" w:type="dxa"/>
              <w:right w:w="113" w:type="dxa"/>
            </w:tcMar>
            <w:vAlign w:val="center"/>
          </w:tcPr>
          <w:p w14:paraId="78A0CDDC">
            <w:pPr>
              <w:pStyle w:val="3361"/>
              <w:rPr>
                <w:color w:val="auto"/>
              </w:rPr>
            </w:pPr>
          </w:p>
        </w:tc>
        <w:tc>
          <w:tcPr>
            <w:tcW w:w="3846" w:type="pct"/>
            <w:vAlign w:val="center"/>
          </w:tcPr>
          <w:p w14:paraId="62C9C13A">
            <w:pPr>
              <w:pStyle w:val="3361"/>
              <w:rPr>
                <w:color w:val="auto"/>
              </w:rPr>
            </w:pPr>
            <w:r>
              <w:rPr>
                <w:rFonts w:hint="eastAsia"/>
                <w:color w:val="auto"/>
              </w:rPr>
              <w:t>气浮工段：新增一体化气浮机</w:t>
            </w:r>
            <w:r>
              <w:rPr>
                <w:rFonts w:hint="eastAsia"/>
                <w:color w:val="auto"/>
                <w:lang w:val="en-US" w:eastAsia="zh-CN"/>
              </w:rPr>
              <w:t>2</w:t>
            </w:r>
            <w:r>
              <w:rPr>
                <w:rFonts w:hint="eastAsia"/>
                <w:color w:val="auto"/>
              </w:rPr>
              <w:t>台，</w:t>
            </w:r>
            <w:r>
              <w:rPr>
                <w:rFonts w:hint="eastAsia"/>
                <w:color w:val="auto"/>
                <w:lang w:eastAsia="zh-CN"/>
              </w:rPr>
              <w:t>单台</w:t>
            </w:r>
            <w:r>
              <w:rPr>
                <w:rFonts w:hint="eastAsia"/>
                <w:color w:val="auto"/>
              </w:rPr>
              <w:t>设计处理能力为50m</w:t>
            </w:r>
            <w:r>
              <w:rPr>
                <w:rFonts w:hint="eastAsia"/>
                <w:color w:val="auto"/>
                <w:vertAlign w:val="superscript"/>
              </w:rPr>
              <w:t>3</w:t>
            </w:r>
            <w:r>
              <w:rPr>
                <w:rFonts w:hint="eastAsia"/>
                <w:color w:val="auto"/>
              </w:rPr>
              <w:t>/h，回流比30%。主要功能为利用气浮原理将废水中的油和较大颗粒的悬浮物进行去除。</w:t>
            </w:r>
          </w:p>
        </w:tc>
        <w:tc>
          <w:tcPr>
            <w:tcW w:w="398" w:type="pct"/>
            <w:vMerge w:val="continue"/>
            <w:vAlign w:val="center"/>
          </w:tcPr>
          <w:p w14:paraId="4BAD77E5">
            <w:pPr>
              <w:pStyle w:val="3361"/>
              <w:rPr>
                <w:color w:val="auto"/>
              </w:rPr>
            </w:pPr>
          </w:p>
        </w:tc>
      </w:tr>
      <w:tr w14:paraId="6CFB4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48" w:type="pct"/>
            <w:vMerge w:val="continue"/>
            <w:vAlign w:val="center"/>
          </w:tcPr>
          <w:p w14:paraId="46BD1DD5">
            <w:pPr>
              <w:pStyle w:val="3361"/>
              <w:rPr>
                <w:color w:val="auto"/>
              </w:rPr>
            </w:pPr>
          </w:p>
        </w:tc>
        <w:tc>
          <w:tcPr>
            <w:tcW w:w="506" w:type="pct"/>
            <w:vMerge w:val="continue"/>
            <w:tcMar>
              <w:left w:w="113" w:type="dxa"/>
              <w:right w:w="113" w:type="dxa"/>
            </w:tcMar>
            <w:vAlign w:val="center"/>
          </w:tcPr>
          <w:p w14:paraId="2AC5202F">
            <w:pPr>
              <w:pStyle w:val="3361"/>
              <w:rPr>
                <w:color w:val="auto"/>
              </w:rPr>
            </w:pPr>
          </w:p>
        </w:tc>
        <w:tc>
          <w:tcPr>
            <w:tcW w:w="3846" w:type="pct"/>
            <w:vAlign w:val="center"/>
          </w:tcPr>
          <w:p w14:paraId="44192704">
            <w:pPr>
              <w:pStyle w:val="3361"/>
              <w:rPr>
                <w:color w:val="auto"/>
              </w:rPr>
            </w:pPr>
            <w:r>
              <w:rPr>
                <w:rFonts w:hint="eastAsia"/>
                <w:color w:val="auto"/>
                <w:lang w:eastAsia="zh-CN"/>
              </w:rPr>
              <w:t>新建</w:t>
            </w:r>
            <w:r>
              <w:rPr>
                <w:rFonts w:hint="eastAsia"/>
                <w:color w:val="auto"/>
              </w:rPr>
              <w:t>清水</w:t>
            </w:r>
            <w:r>
              <w:rPr>
                <w:rFonts w:hint="eastAsia"/>
                <w:color w:val="auto"/>
                <w:lang w:eastAsia="zh-CN"/>
              </w:rPr>
              <w:t>中间</w:t>
            </w:r>
            <w:r>
              <w:rPr>
                <w:rFonts w:hint="eastAsia"/>
                <w:color w:val="auto"/>
              </w:rPr>
              <w:t>池</w:t>
            </w:r>
            <w:r>
              <w:rPr>
                <w:rFonts w:hint="eastAsia"/>
                <w:color w:val="auto"/>
                <w:lang w:val="en-US" w:eastAsia="zh-CN"/>
              </w:rPr>
              <w:t>1座</w:t>
            </w:r>
            <w:r>
              <w:rPr>
                <w:rFonts w:hint="eastAsia"/>
                <w:color w:val="auto"/>
              </w:rPr>
              <w:t>，收集</w:t>
            </w:r>
            <w:r>
              <w:rPr>
                <w:rFonts w:hint="eastAsia"/>
                <w:color w:val="auto"/>
                <w:lang w:eastAsia="zh-CN"/>
              </w:rPr>
              <w:t>气浮</w:t>
            </w:r>
            <w:r>
              <w:rPr>
                <w:rFonts w:hint="eastAsia"/>
                <w:color w:val="auto"/>
              </w:rPr>
              <w:t>处理后的清水。</w:t>
            </w:r>
          </w:p>
          <w:p w14:paraId="3E4D53D0">
            <w:pPr>
              <w:pStyle w:val="3361"/>
              <w:rPr>
                <w:rFonts w:hint="eastAsia"/>
                <w:color w:val="auto"/>
              </w:rPr>
            </w:pPr>
            <w:r>
              <w:rPr>
                <w:rFonts w:hint="eastAsia"/>
                <w:color w:val="auto"/>
              </w:rPr>
              <w:t>主要包括清水</w:t>
            </w:r>
            <w:r>
              <w:rPr>
                <w:rFonts w:hint="eastAsia"/>
                <w:color w:val="auto"/>
                <w:lang w:eastAsia="zh-CN"/>
              </w:rPr>
              <w:t>中间</w:t>
            </w:r>
            <w:r>
              <w:rPr>
                <w:rFonts w:hint="eastAsia"/>
                <w:color w:val="auto"/>
              </w:rPr>
              <w:t>池1个，设计总容积</w:t>
            </w:r>
            <w:r>
              <w:rPr>
                <w:rFonts w:hint="eastAsia"/>
                <w:color w:val="auto"/>
                <w:lang w:val="en-US" w:eastAsia="zh-CN"/>
              </w:rPr>
              <w:t>726</w:t>
            </w:r>
            <w:r>
              <w:rPr>
                <w:rFonts w:hint="eastAsia"/>
                <w:color w:val="auto"/>
              </w:rPr>
              <w:t>m</w:t>
            </w:r>
            <w:r>
              <w:rPr>
                <w:rFonts w:hint="eastAsia"/>
                <w:color w:val="auto"/>
                <w:vertAlign w:val="superscript"/>
              </w:rPr>
              <w:t>3</w:t>
            </w:r>
            <w:r>
              <w:rPr>
                <w:rFonts w:hint="eastAsia"/>
                <w:color w:val="auto"/>
              </w:rPr>
              <w:t>，有效容积</w:t>
            </w:r>
            <w:r>
              <w:rPr>
                <w:rFonts w:hint="eastAsia"/>
                <w:color w:val="auto"/>
                <w:lang w:val="en-US" w:eastAsia="zh-CN"/>
              </w:rPr>
              <w:t>600</w:t>
            </w:r>
            <w:r>
              <w:rPr>
                <w:rFonts w:hint="eastAsia"/>
                <w:color w:val="auto"/>
              </w:rPr>
              <w:t>m</w:t>
            </w:r>
            <w:r>
              <w:rPr>
                <w:rFonts w:hint="eastAsia"/>
                <w:color w:val="auto"/>
                <w:vertAlign w:val="superscript"/>
              </w:rPr>
              <w:t>3</w:t>
            </w:r>
            <w:r>
              <w:rPr>
                <w:rFonts w:hint="eastAsia"/>
                <w:color w:val="auto"/>
              </w:rPr>
              <w:t>，收集</w:t>
            </w:r>
            <w:r>
              <w:rPr>
                <w:rFonts w:hint="eastAsia"/>
                <w:color w:val="auto"/>
                <w:lang w:eastAsia="zh-CN"/>
              </w:rPr>
              <w:t>气浮</w:t>
            </w:r>
            <w:r>
              <w:rPr>
                <w:rFonts w:hint="eastAsia"/>
                <w:color w:val="auto"/>
              </w:rPr>
              <w:t>处理后的清水</w:t>
            </w:r>
            <w:r>
              <w:rPr>
                <w:rFonts w:hint="eastAsia"/>
                <w:color w:val="auto"/>
                <w:lang w:eastAsia="zh-CN"/>
              </w:rPr>
              <w:t>。</w:t>
            </w:r>
          </w:p>
        </w:tc>
        <w:tc>
          <w:tcPr>
            <w:tcW w:w="398" w:type="pct"/>
            <w:vMerge w:val="continue"/>
            <w:vAlign w:val="center"/>
          </w:tcPr>
          <w:p w14:paraId="4C3B89E4">
            <w:pPr>
              <w:pStyle w:val="3361"/>
              <w:rPr>
                <w:color w:val="auto"/>
              </w:rPr>
            </w:pPr>
          </w:p>
        </w:tc>
      </w:tr>
      <w:tr w14:paraId="14D74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48" w:type="pct"/>
            <w:vMerge w:val="continue"/>
            <w:vAlign w:val="center"/>
          </w:tcPr>
          <w:p w14:paraId="61DC27B1">
            <w:pPr>
              <w:pStyle w:val="3361"/>
              <w:rPr>
                <w:color w:val="auto"/>
              </w:rPr>
            </w:pPr>
          </w:p>
        </w:tc>
        <w:tc>
          <w:tcPr>
            <w:tcW w:w="506" w:type="pct"/>
            <w:vMerge w:val="continue"/>
            <w:tcMar>
              <w:left w:w="113" w:type="dxa"/>
              <w:right w:w="113" w:type="dxa"/>
            </w:tcMar>
            <w:vAlign w:val="center"/>
          </w:tcPr>
          <w:p w14:paraId="46C75FD4">
            <w:pPr>
              <w:pStyle w:val="3361"/>
              <w:rPr>
                <w:color w:val="auto"/>
              </w:rPr>
            </w:pPr>
          </w:p>
        </w:tc>
        <w:tc>
          <w:tcPr>
            <w:tcW w:w="3846" w:type="pct"/>
            <w:vAlign w:val="center"/>
          </w:tcPr>
          <w:p w14:paraId="594E5BA3">
            <w:pPr>
              <w:pStyle w:val="3361"/>
              <w:rPr>
                <w:color w:val="auto"/>
              </w:rPr>
            </w:pPr>
            <w:r>
              <w:rPr>
                <w:rFonts w:hint="eastAsia"/>
                <w:color w:val="auto"/>
              </w:rPr>
              <w:t>新建石英砂过滤装置1套，设计处理能力为100m</w:t>
            </w:r>
            <w:r>
              <w:rPr>
                <w:rFonts w:hint="eastAsia"/>
                <w:color w:val="auto"/>
                <w:vertAlign w:val="superscript"/>
              </w:rPr>
              <w:t>3</w:t>
            </w:r>
            <w:r>
              <w:rPr>
                <w:rFonts w:hint="eastAsia"/>
                <w:color w:val="auto"/>
              </w:rPr>
              <w:t>/h，主要是对来水中悬浮物、颗粒物及胶体等物质进行去除，同时对来水中的浊度、色度起到降低作用。该设备可以滤除经絮凝加药所生成的矾花和原水带来的颗粒、藻类等</w:t>
            </w:r>
          </w:p>
        </w:tc>
        <w:tc>
          <w:tcPr>
            <w:tcW w:w="398" w:type="pct"/>
            <w:vMerge w:val="continue"/>
            <w:vAlign w:val="center"/>
          </w:tcPr>
          <w:p w14:paraId="21F1F6F7">
            <w:pPr>
              <w:pStyle w:val="3361"/>
              <w:rPr>
                <w:color w:val="auto"/>
              </w:rPr>
            </w:pPr>
          </w:p>
        </w:tc>
      </w:tr>
      <w:tr w14:paraId="02BF1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48" w:type="pct"/>
            <w:vMerge w:val="continue"/>
            <w:vAlign w:val="center"/>
          </w:tcPr>
          <w:p w14:paraId="39AB26E3">
            <w:pPr>
              <w:pStyle w:val="3361"/>
              <w:rPr>
                <w:color w:val="auto"/>
              </w:rPr>
            </w:pPr>
          </w:p>
        </w:tc>
        <w:tc>
          <w:tcPr>
            <w:tcW w:w="506" w:type="pct"/>
            <w:vMerge w:val="continue"/>
            <w:tcMar>
              <w:left w:w="113" w:type="dxa"/>
              <w:right w:w="113" w:type="dxa"/>
            </w:tcMar>
            <w:vAlign w:val="center"/>
          </w:tcPr>
          <w:p w14:paraId="6DC69E7C">
            <w:pPr>
              <w:pStyle w:val="3361"/>
              <w:rPr>
                <w:color w:val="auto"/>
              </w:rPr>
            </w:pPr>
          </w:p>
        </w:tc>
        <w:tc>
          <w:tcPr>
            <w:tcW w:w="3846" w:type="pct"/>
            <w:vAlign w:val="center"/>
          </w:tcPr>
          <w:p w14:paraId="48B51560">
            <w:pPr>
              <w:pStyle w:val="3361"/>
              <w:rPr>
                <w:color w:val="auto"/>
              </w:rPr>
            </w:pPr>
            <w:r>
              <w:rPr>
                <w:rFonts w:hint="eastAsia"/>
                <w:color w:val="auto"/>
              </w:rPr>
              <w:t>新建</w:t>
            </w:r>
            <w:r>
              <w:rPr>
                <w:rFonts w:hint="eastAsia"/>
                <w:color w:val="auto"/>
                <w:lang w:eastAsia="zh-CN"/>
              </w:rPr>
              <w:t>陶瓷过滤装置</w:t>
            </w:r>
            <w:r>
              <w:rPr>
                <w:rFonts w:hint="eastAsia"/>
                <w:color w:val="auto"/>
              </w:rPr>
              <w:t>1套，设计处理能力为100m</w:t>
            </w:r>
            <w:r>
              <w:rPr>
                <w:rFonts w:hint="eastAsia"/>
                <w:color w:val="auto"/>
                <w:vertAlign w:val="superscript"/>
              </w:rPr>
              <w:t>3</w:t>
            </w:r>
            <w:r>
              <w:rPr>
                <w:rFonts w:hint="eastAsia"/>
                <w:color w:val="auto"/>
              </w:rPr>
              <w:t>/h，主要功能为通过</w:t>
            </w:r>
            <w:r>
              <w:rPr>
                <w:rFonts w:hint="eastAsia"/>
                <w:color w:val="auto"/>
                <w:lang w:eastAsia="zh-CN"/>
              </w:rPr>
              <w:t>陶瓷过滤</w:t>
            </w:r>
            <w:r>
              <w:rPr>
                <w:rFonts w:hint="eastAsia"/>
                <w:color w:val="auto"/>
              </w:rPr>
              <w:t>进一步对水中悬浮物、颗粒物及胶体等物质进行去除。</w:t>
            </w:r>
          </w:p>
        </w:tc>
        <w:tc>
          <w:tcPr>
            <w:tcW w:w="398" w:type="pct"/>
            <w:vMerge w:val="continue"/>
            <w:vAlign w:val="center"/>
          </w:tcPr>
          <w:p w14:paraId="0A48B491">
            <w:pPr>
              <w:pStyle w:val="3361"/>
              <w:rPr>
                <w:color w:val="auto"/>
              </w:rPr>
            </w:pPr>
          </w:p>
        </w:tc>
      </w:tr>
      <w:tr w14:paraId="336AA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48" w:type="pct"/>
            <w:vMerge w:val="continue"/>
            <w:vAlign w:val="center"/>
          </w:tcPr>
          <w:p w14:paraId="56C907E9">
            <w:pPr>
              <w:pStyle w:val="3361"/>
              <w:rPr>
                <w:color w:val="auto"/>
              </w:rPr>
            </w:pPr>
          </w:p>
        </w:tc>
        <w:tc>
          <w:tcPr>
            <w:tcW w:w="506" w:type="pct"/>
            <w:vMerge w:val="continue"/>
            <w:tcMar>
              <w:left w:w="113" w:type="dxa"/>
              <w:right w:w="113" w:type="dxa"/>
            </w:tcMar>
            <w:vAlign w:val="center"/>
          </w:tcPr>
          <w:p w14:paraId="7510A96A">
            <w:pPr>
              <w:pStyle w:val="3361"/>
              <w:rPr>
                <w:color w:val="auto"/>
              </w:rPr>
            </w:pPr>
          </w:p>
        </w:tc>
        <w:tc>
          <w:tcPr>
            <w:tcW w:w="3846" w:type="pct"/>
            <w:vAlign w:val="center"/>
          </w:tcPr>
          <w:p w14:paraId="6BAC4D12">
            <w:pPr>
              <w:pStyle w:val="3361"/>
              <w:rPr>
                <w:color w:val="auto"/>
              </w:rPr>
            </w:pPr>
            <w:r>
              <w:rPr>
                <w:rFonts w:hint="eastAsia"/>
                <w:color w:val="auto"/>
              </w:rPr>
              <w:t>新建DTRO膜浓缩装置1套，设计处理能力为2000m</w:t>
            </w:r>
            <w:r>
              <w:rPr>
                <w:rFonts w:hint="eastAsia"/>
                <w:color w:val="auto"/>
                <w:vertAlign w:val="superscript"/>
              </w:rPr>
              <w:t>3</w:t>
            </w:r>
            <w:r>
              <w:rPr>
                <w:rFonts w:hint="eastAsia"/>
                <w:color w:val="auto"/>
              </w:rPr>
              <w:t>/d，主要功能为基于反渗透技术去除原水中的无机盐、重金属离子、有机物、胶体、细菌、病毒等杂质，从而实现对水的净化</w:t>
            </w:r>
          </w:p>
        </w:tc>
        <w:tc>
          <w:tcPr>
            <w:tcW w:w="398" w:type="pct"/>
            <w:vMerge w:val="continue"/>
            <w:vAlign w:val="center"/>
          </w:tcPr>
          <w:p w14:paraId="5BF21F3F">
            <w:pPr>
              <w:pStyle w:val="3361"/>
              <w:rPr>
                <w:color w:val="auto"/>
              </w:rPr>
            </w:pPr>
          </w:p>
        </w:tc>
      </w:tr>
      <w:tr w14:paraId="1CA3C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48" w:type="pct"/>
            <w:vMerge w:val="continue"/>
            <w:vAlign w:val="center"/>
          </w:tcPr>
          <w:p w14:paraId="10CAA05D">
            <w:pPr>
              <w:pStyle w:val="3361"/>
              <w:rPr>
                <w:color w:val="auto"/>
              </w:rPr>
            </w:pPr>
          </w:p>
        </w:tc>
        <w:tc>
          <w:tcPr>
            <w:tcW w:w="506" w:type="pct"/>
            <w:vMerge w:val="continue"/>
            <w:tcMar>
              <w:left w:w="113" w:type="dxa"/>
              <w:right w:w="113" w:type="dxa"/>
            </w:tcMar>
            <w:vAlign w:val="center"/>
          </w:tcPr>
          <w:p w14:paraId="363EFF45">
            <w:pPr>
              <w:pStyle w:val="3361"/>
              <w:rPr>
                <w:color w:val="auto"/>
              </w:rPr>
            </w:pPr>
          </w:p>
        </w:tc>
        <w:tc>
          <w:tcPr>
            <w:tcW w:w="3846" w:type="pct"/>
            <w:vAlign w:val="center"/>
          </w:tcPr>
          <w:p w14:paraId="3643DEB0">
            <w:pPr>
              <w:pStyle w:val="3361"/>
              <w:rPr>
                <w:color w:val="auto"/>
              </w:rPr>
            </w:pPr>
            <w:r>
              <w:rPr>
                <w:rFonts w:hint="eastAsia"/>
                <w:color w:val="auto"/>
                <w:lang w:eastAsia="zh-CN"/>
              </w:rPr>
              <w:t>新建排放中间</w:t>
            </w:r>
            <w:r>
              <w:rPr>
                <w:rFonts w:hint="eastAsia"/>
                <w:color w:val="auto"/>
              </w:rPr>
              <w:t>池</w:t>
            </w:r>
            <w:r>
              <w:rPr>
                <w:rFonts w:hint="eastAsia"/>
                <w:color w:val="auto"/>
                <w:lang w:val="en-US" w:eastAsia="zh-CN"/>
              </w:rPr>
              <w:t>1座</w:t>
            </w:r>
            <w:r>
              <w:rPr>
                <w:rFonts w:hint="eastAsia"/>
                <w:color w:val="auto"/>
              </w:rPr>
              <w:t>，收集DTRO膜浓缩处理后的清水</w:t>
            </w:r>
            <w:r>
              <w:rPr>
                <w:rFonts w:hint="eastAsia"/>
                <w:color w:val="auto"/>
                <w:lang w:eastAsia="zh-CN"/>
              </w:rPr>
              <w:t>和</w:t>
            </w:r>
            <w:r>
              <w:rPr>
                <w:rFonts w:hint="eastAsia"/>
                <w:color w:val="auto"/>
                <w:lang w:val="en-US" w:eastAsia="zh-CN"/>
              </w:rPr>
              <w:t>MVR蒸发后的清水</w:t>
            </w:r>
            <w:r>
              <w:rPr>
                <w:rFonts w:hint="eastAsia"/>
                <w:color w:val="auto"/>
              </w:rPr>
              <w:t>。</w:t>
            </w:r>
          </w:p>
          <w:p w14:paraId="1987F406">
            <w:pPr>
              <w:pStyle w:val="3361"/>
              <w:rPr>
                <w:rFonts w:hint="eastAsia" w:eastAsia="宋体"/>
                <w:color w:val="auto"/>
                <w:lang w:eastAsia="zh-CN"/>
              </w:rPr>
            </w:pPr>
            <w:r>
              <w:rPr>
                <w:rFonts w:hint="eastAsia"/>
                <w:color w:val="auto"/>
              </w:rPr>
              <w:t>主要包括</w:t>
            </w:r>
            <w:r>
              <w:rPr>
                <w:rFonts w:hint="eastAsia"/>
                <w:color w:val="auto"/>
                <w:lang w:eastAsia="zh-CN"/>
              </w:rPr>
              <w:t>排放中间</w:t>
            </w:r>
            <w:r>
              <w:rPr>
                <w:rFonts w:hint="eastAsia"/>
                <w:color w:val="auto"/>
              </w:rPr>
              <w:t>池1个，设计总容积</w:t>
            </w:r>
            <w:r>
              <w:rPr>
                <w:rFonts w:hint="eastAsia"/>
                <w:color w:val="auto"/>
                <w:lang w:val="en-US" w:eastAsia="zh-CN"/>
              </w:rPr>
              <w:t>324</w:t>
            </w:r>
            <w:r>
              <w:rPr>
                <w:rFonts w:hint="eastAsia"/>
                <w:color w:val="auto"/>
              </w:rPr>
              <w:t xml:space="preserve"> m</w:t>
            </w:r>
            <w:r>
              <w:rPr>
                <w:rFonts w:hint="eastAsia"/>
                <w:color w:val="auto"/>
                <w:vertAlign w:val="superscript"/>
              </w:rPr>
              <w:t>3</w:t>
            </w:r>
            <w:r>
              <w:rPr>
                <w:rFonts w:hint="eastAsia"/>
                <w:color w:val="auto"/>
              </w:rPr>
              <w:t>，有效容积</w:t>
            </w:r>
            <w:r>
              <w:rPr>
                <w:rFonts w:hint="eastAsia"/>
                <w:color w:val="auto"/>
                <w:lang w:val="en-US" w:eastAsia="zh-CN"/>
              </w:rPr>
              <w:t>259</w:t>
            </w:r>
            <w:r>
              <w:rPr>
                <w:rFonts w:hint="eastAsia"/>
                <w:color w:val="auto"/>
              </w:rPr>
              <w:t>m</w:t>
            </w:r>
            <w:r>
              <w:rPr>
                <w:rFonts w:hint="eastAsia"/>
                <w:color w:val="auto"/>
                <w:vertAlign w:val="superscript"/>
              </w:rPr>
              <w:t>3</w:t>
            </w:r>
            <w:r>
              <w:rPr>
                <w:rFonts w:hint="eastAsia"/>
                <w:color w:val="auto"/>
              </w:rPr>
              <w:t>，收集DTRO膜浓缩处理后的清水</w:t>
            </w:r>
            <w:r>
              <w:rPr>
                <w:rFonts w:hint="eastAsia"/>
                <w:color w:val="auto"/>
                <w:lang w:eastAsia="zh-CN"/>
              </w:rPr>
              <w:t>和</w:t>
            </w:r>
            <w:r>
              <w:rPr>
                <w:rFonts w:hint="eastAsia"/>
                <w:color w:val="auto"/>
                <w:lang w:val="en-US" w:eastAsia="zh-CN"/>
              </w:rPr>
              <w:t>MVR蒸发后的清水</w:t>
            </w:r>
            <w:r>
              <w:rPr>
                <w:rFonts w:hint="eastAsia"/>
                <w:color w:val="auto"/>
                <w:lang w:eastAsia="zh-CN"/>
              </w:rPr>
              <w:t>。</w:t>
            </w:r>
          </w:p>
        </w:tc>
        <w:tc>
          <w:tcPr>
            <w:tcW w:w="398" w:type="pct"/>
            <w:vMerge w:val="continue"/>
            <w:vAlign w:val="center"/>
          </w:tcPr>
          <w:p w14:paraId="3A07B334">
            <w:pPr>
              <w:pStyle w:val="3361"/>
              <w:rPr>
                <w:color w:val="auto"/>
              </w:rPr>
            </w:pPr>
          </w:p>
        </w:tc>
      </w:tr>
      <w:tr w14:paraId="7EFE0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48" w:type="pct"/>
            <w:vMerge w:val="continue"/>
            <w:vAlign w:val="center"/>
          </w:tcPr>
          <w:p w14:paraId="0FA82272">
            <w:pPr>
              <w:pStyle w:val="3361"/>
              <w:rPr>
                <w:color w:val="auto"/>
              </w:rPr>
            </w:pPr>
          </w:p>
        </w:tc>
        <w:tc>
          <w:tcPr>
            <w:tcW w:w="506" w:type="pct"/>
            <w:vMerge w:val="continue"/>
            <w:tcMar>
              <w:left w:w="113" w:type="dxa"/>
              <w:right w:w="113" w:type="dxa"/>
            </w:tcMar>
            <w:vAlign w:val="center"/>
          </w:tcPr>
          <w:p w14:paraId="4E4333CB">
            <w:pPr>
              <w:pStyle w:val="3361"/>
              <w:rPr>
                <w:color w:val="auto"/>
              </w:rPr>
            </w:pPr>
          </w:p>
        </w:tc>
        <w:tc>
          <w:tcPr>
            <w:tcW w:w="3846" w:type="pct"/>
            <w:vAlign w:val="center"/>
          </w:tcPr>
          <w:p w14:paraId="053DB843">
            <w:pPr>
              <w:pStyle w:val="3361"/>
              <w:rPr>
                <w:color w:val="auto"/>
              </w:rPr>
            </w:pPr>
            <w:r>
              <w:rPr>
                <w:rFonts w:hint="eastAsia"/>
                <w:color w:val="auto"/>
              </w:rPr>
              <w:t>新建浓水</w:t>
            </w:r>
            <w:r>
              <w:rPr>
                <w:rFonts w:hint="eastAsia"/>
                <w:color w:val="auto"/>
                <w:lang w:eastAsia="zh-CN"/>
              </w:rPr>
              <w:t>罐</w:t>
            </w:r>
            <w:r>
              <w:rPr>
                <w:rFonts w:hint="eastAsia"/>
                <w:color w:val="auto"/>
                <w:lang w:val="en-US" w:eastAsia="zh-CN"/>
              </w:rPr>
              <w:t>2</w:t>
            </w:r>
            <w:r>
              <w:rPr>
                <w:rFonts w:hint="eastAsia"/>
                <w:color w:val="auto"/>
              </w:rPr>
              <w:t>个，收集DTRO膜浓缩处理后的浓水，保证后续设备的连续稳定运行，</w:t>
            </w:r>
            <w:r>
              <w:rPr>
                <w:rFonts w:hint="eastAsia"/>
                <w:color w:val="auto"/>
                <w:lang w:eastAsia="zh-CN"/>
              </w:rPr>
              <w:t>后续</w:t>
            </w:r>
            <w:r>
              <w:rPr>
                <w:rFonts w:hint="eastAsia"/>
                <w:color w:val="auto"/>
              </w:rPr>
              <w:t>蒸发浓缩处理。</w:t>
            </w:r>
          </w:p>
          <w:p w14:paraId="0CD2D21D">
            <w:pPr>
              <w:pStyle w:val="3361"/>
              <w:rPr>
                <w:color w:val="auto"/>
              </w:rPr>
            </w:pPr>
            <w:r>
              <w:rPr>
                <w:rFonts w:hint="eastAsia"/>
                <w:color w:val="auto"/>
              </w:rPr>
              <w:t>主要包括浓水</w:t>
            </w:r>
            <w:r>
              <w:rPr>
                <w:rFonts w:hint="eastAsia"/>
                <w:color w:val="auto"/>
                <w:lang w:eastAsia="zh-CN"/>
              </w:rPr>
              <w:t>罐</w:t>
            </w:r>
            <w:r>
              <w:rPr>
                <w:rFonts w:hint="eastAsia"/>
                <w:color w:val="auto"/>
                <w:lang w:val="en-US" w:eastAsia="zh-CN"/>
              </w:rPr>
              <w:t>2</w:t>
            </w:r>
            <w:r>
              <w:rPr>
                <w:rFonts w:hint="eastAsia"/>
                <w:color w:val="auto"/>
              </w:rPr>
              <w:t>个，</w:t>
            </w:r>
            <w:r>
              <w:rPr>
                <w:rFonts w:hint="eastAsia"/>
                <w:color w:val="auto"/>
                <w:lang w:eastAsia="zh-CN"/>
              </w:rPr>
              <w:t>单个</w:t>
            </w:r>
            <w:r>
              <w:rPr>
                <w:rFonts w:hint="eastAsia"/>
                <w:color w:val="auto"/>
              </w:rPr>
              <w:t>设计</w:t>
            </w:r>
            <w:r>
              <w:rPr>
                <w:rFonts w:hint="eastAsia"/>
                <w:color w:val="auto"/>
                <w:lang w:eastAsia="zh-CN"/>
              </w:rPr>
              <w:t>有效</w:t>
            </w:r>
            <w:r>
              <w:rPr>
                <w:rFonts w:hint="eastAsia"/>
                <w:color w:val="auto"/>
              </w:rPr>
              <w:t>容积</w:t>
            </w:r>
            <w:r>
              <w:rPr>
                <w:rFonts w:hint="eastAsia"/>
                <w:color w:val="auto"/>
                <w:lang w:val="en-US" w:eastAsia="zh-CN"/>
              </w:rPr>
              <w:t>300</w:t>
            </w:r>
            <w:r>
              <w:rPr>
                <w:rFonts w:hint="eastAsia"/>
                <w:color w:val="auto"/>
              </w:rPr>
              <w:t>m</w:t>
            </w:r>
            <w:r>
              <w:rPr>
                <w:rFonts w:hint="eastAsia"/>
                <w:color w:val="auto"/>
                <w:vertAlign w:val="superscript"/>
              </w:rPr>
              <w:t>3</w:t>
            </w:r>
            <w:r>
              <w:rPr>
                <w:rFonts w:hint="eastAsia"/>
                <w:color w:val="auto"/>
              </w:rPr>
              <w:t>，</w:t>
            </w:r>
            <w:r>
              <w:rPr>
                <w:rFonts w:hint="eastAsia"/>
                <w:color w:val="auto"/>
                <w:lang w:eastAsia="zh-CN"/>
              </w:rPr>
              <w:t>合计有效</w:t>
            </w:r>
            <w:r>
              <w:rPr>
                <w:rFonts w:hint="eastAsia"/>
                <w:color w:val="auto"/>
              </w:rPr>
              <w:t>容积</w:t>
            </w:r>
            <w:r>
              <w:rPr>
                <w:rFonts w:hint="eastAsia"/>
                <w:color w:val="auto"/>
                <w:lang w:val="en-US" w:eastAsia="zh-CN"/>
              </w:rPr>
              <w:t>600</w:t>
            </w:r>
            <w:r>
              <w:rPr>
                <w:rFonts w:hint="eastAsia"/>
                <w:color w:val="auto"/>
              </w:rPr>
              <w:t>m</w:t>
            </w:r>
            <w:r>
              <w:rPr>
                <w:rFonts w:hint="eastAsia"/>
                <w:color w:val="auto"/>
                <w:vertAlign w:val="superscript"/>
              </w:rPr>
              <w:t>3</w:t>
            </w:r>
          </w:p>
        </w:tc>
        <w:tc>
          <w:tcPr>
            <w:tcW w:w="398" w:type="pct"/>
            <w:vMerge w:val="continue"/>
            <w:vAlign w:val="center"/>
          </w:tcPr>
          <w:p w14:paraId="3D5E8551">
            <w:pPr>
              <w:pStyle w:val="3361"/>
              <w:rPr>
                <w:color w:val="auto"/>
              </w:rPr>
            </w:pPr>
          </w:p>
        </w:tc>
      </w:tr>
      <w:tr w14:paraId="36403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48" w:type="pct"/>
            <w:vMerge w:val="continue"/>
            <w:vAlign w:val="center"/>
          </w:tcPr>
          <w:p w14:paraId="293C4B05">
            <w:pPr>
              <w:pStyle w:val="3361"/>
              <w:rPr>
                <w:color w:val="auto"/>
              </w:rPr>
            </w:pPr>
          </w:p>
        </w:tc>
        <w:tc>
          <w:tcPr>
            <w:tcW w:w="506" w:type="pct"/>
            <w:vMerge w:val="continue"/>
            <w:tcMar>
              <w:left w:w="113" w:type="dxa"/>
              <w:right w:w="113" w:type="dxa"/>
            </w:tcMar>
            <w:vAlign w:val="center"/>
          </w:tcPr>
          <w:p w14:paraId="618EFB5A">
            <w:pPr>
              <w:pStyle w:val="3361"/>
              <w:rPr>
                <w:color w:val="auto"/>
              </w:rPr>
            </w:pPr>
          </w:p>
        </w:tc>
        <w:tc>
          <w:tcPr>
            <w:tcW w:w="3846" w:type="pct"/>
            <w:vAlign w:val="center"/>
          </w:tcPr>
          <w:p w14:paraId="15496D4D">
            <w:pPr>
              <w:pStyle w:val="3361"/>
              <w:rPr>
                <w:color w:val="auto"/>
              </w:rPr>
            </w:pPr>
            <w:r>
              <w:rPr>
                <w:rFonts w:hint="eastAsia"/>
                <w:color w:val="auto"/>
              </w:rPr>
              <w:t>浓水蒸发浓缩系统新建</w:t>
            </w:r>
            <w:r>
              <w:rPr>
                <w:rFonts w:hint="eastAsia"/>
                <w:color w:val="auto"/>
                <w:lang w:eastAsia="zh-CN"/>
              </w:rPr>
              <w:t>蒸发</w:t>
            </w:r>
            <w:r>
              <w:rPr>
                <w:rFonts w:hint="eastAsia"/>
                <w:color w:val="auto"/>
              </w:rPr>
              <w:t>装置1套，设计处理能力为800m</w:t>
            </w:r>
            <w:r>
              <w:rPr>
                <w:rFonts w:hint="eastAsia"/>
                <w:color w:val="auto"/>
                <w:vertAlign w:val="superscript"/>
              </w:rPr>
              <w:t>3</w:t>
            </w:r>
            <w:r>
              <w:rPr>
                <w:rFonts w:hint="eastAsia"/>
                <w:color w:val="auto"/>
              </w:rPr>
              <w:t>/d，主要配备MVR蒸发器2台（采用电加热），单台处理能力为20m</w:t>
            </w:r>
            <w:r>
              <w:rPr>
                <w:rFonts w:hint="eastAsia"/>
                <w:color w:val="auto"/>
                <w:vertAlign w:val="superscript"/>
              </w:rPr>
              <w:t>3</w:t>
            </w:r>
            <w:r>
              <w:rPr>
                <w:rFonts w:hint="eastAsia"/>
                <w:color w:val="auto"/>
              </w:rPr>
              <w:t>/h。</w:t>
            </w:r>
          </w:p>
          <w:p w14:paraId="01B4D0C9">
            <w:pPr>
              <w:pStyle w:val="3361"/>
              <w:rPr>
                <w:color w:val="auto"/>
              </w:rPr>
            </w:pPr>
            <w:r>
              <w:rPr>
                <w:rFonts w:hint="eastAsia"/>
                <w:color w:val="auto"/>
              </w:rPr>
              <w:t>软化后的膜浓缩液，进入蒸发系统，进行盐水分离。膜浓缩液中的水通过升温的方式变为蒸汽，使浓缩液由稀变浓，继续蒸发盐分呈晶体析出，从而实现盐水分离</w:t>
            </w:r>
          </w:p>
        </w:tc>
        <w:tc>
          <w:tcPr>
            <w:tcW w:w="398" w:type="pct"/>
            <w:vAlign w:val="center"/>
          </w:tcPr>
          <w:p w14:paraId="0B2957B3">
            <w:pPr>
              <w:pStyle w:val="3361"/>
              <w:rPr>
                <w:color w:val="auto"/>
              </w:rPr>
            </w:pPr>
            <w:r>
              <w:rPr>
                <w:rFonts w:hint="eastAsia"/>
                <w:color w:val="auto"/>
              </w:rPr>
              <w:t>浓水蒸发浓缩</w:t>
            </w:r>
          </w:p>
        </w:tc>
      </w:tr>
      <w:tr w14:paraId="19D9C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27" w:hRule="atLeast"/>
          <w:jc w:val="center"/>
        </w:trPr>
        <w:tc>
          <w:tcPr>
            <w:tcW w:w="248" w:type="pct"/>
            <w:vMerge w:val="continue"/>
            <w:vAlign w:val="center"/>
          </w:tcPr>
          <w:p w14:paraId="606B6507">
            <w:pPr>
              <w:pStyle w:val="3361"/>
              <w:rPr>
                <w:color w:val="auto"/>
              </w:rPr>
            </w:pPr>
          </w:p>
        </w:tc>
        <w:tc>
          <w:tcPr>
            <w:tcW w:w="506" w:type="pct"/>
            <w:vMerge w:val="continue"/>
            <w:tcMar>
              <w:left w:w="113" w:type="dxa"/>
              <w:right w:w="113" w:type="dxa"/>
            </w:tcMar>
            <w:vAlign w:val="center"/>
          </w:tcPr>
          <w:p w14:paraId="778F4FB9">
            <w:pPr>
              <w:pStyle w:val="3361"/>
              <w:rPr>
                <w:color w:val="auto"/>
              </w:rPr>
            </w:pPr>
          </w:p>
        </w:tc>
        <w:tc>
          <w:tcPr>
            <w:tcW w:w="3846" w:type="pct"/>
            <w:vAlign w:val="center"/>
          </w:tcPr>
          <w:p w14:paraId="7DE43643">
            <w:pPr>
              <w:pStyle w:val="3361"/>
              <w:rPr>
                <w:color w:val="auto"/>
              </w:rPr>
            </w:pPr>
            <w:r>
              <w:rPr>
                <w:rFonts w:hint="eastAsia"/>
                <w:color w:val="auto"/>
                <w:lang w:eastAsia="zh-CN"/>
              </w:rPr>
              <w:t>新建</w:t>
            </w:r>
            <w:r>
              <w:rPr>
                <w:rFonts w:hint="eastAsia"/>
                <w:color w:val="auto"/>
              </w:rPr>
              <w:t>污泥</w:t>
            </w:r>
            <w:r>
              <w:rPr>
                <w:rFonts w:hint="eastAsia"/>
                <w:color w:val="auto"/>
                <w:lang w:eastAsia="zh-CN"/>
              </w:rPr>
              <w:t>浓缩沉淀</w:t>
            </w:r>
            <w:r>
              <w:rPr>
                <w:rFonts w:hint="eastAsia"/>
                <w:color w:val="auto"/>
              </w:rPr>
              <w:t>池</w:t>
            </w:r>
            <w:r>
              <w:rPr>
                <w:rFonts w:hint="eastAsia"/>
                <w:color w:val="auto"/>
                <w:lang w:val="en-US" w:eastAsia="zh-CN"/>
              </w:rPr>
              <w:t>1座</w:t>
            </w:r>
            <w:r>
              <w:rPr>
                <w:rFonts w:hint="eastAsia"/>
                <w:color w:val="auto"/>
              </w:rPr>
              <w:t>，主要功能为储存气浮池、高密软化池和沉淀池的污泥。</w:t>
            </w:r>
          </w:p>
          <w:p w14:paraId="22D2B56A">
            <w:pPr>
              <w:pStyle w:val="3361"/>
              <w:rPr>
                <w:color w:val="auto"/>
                <w:sz w:val="21"/>
                <w:lang w:val="zh-CN"/>
              </w:rPr>
            </w:pPr>
            <w:r>
              <w:rPr>
                <w:rFonts w:hint="eastAsia"/>
                <w:color w:val="auto"/>
              </w:rPr>
              <w:t>主要包括过排污泥池1个，设计总容积</w:t>
            </w:r>
            <w:r>
              <w:rPr>
                <w:rFonts w:hint="eastAsia"/>
                <w:color w:val="auto"/>
                <w:lang w:val="en-US" w:eastAsia="zh-CN"/>
              </w:rPr>
              <w:t>88</w:t>
            </w:r>
            <w:r>
              <w:rPr>
                <w:rFonts w:hint="eastAsia"/>
                <w:color w:val="auto"/>
              </w:rPr>
              <w:t>m</w:t>
            </w:r>
            <w:r>
              <w:rPr>
                <w:rFonts w:hint="eastAsia"/>
                <w:color w:val="auto"/>
                <w:vertAlign w:val="superscript"/>
              </w:rPr>
              <w:t>3</w:t>
            </w:r>
            <w:r>
              <w:rPr>
                <w:rFonts w:hint="eastAsia"/>
                <w:color w:val="auto"/>
              </w:rPr>
              <w:t>，有效容积</w:t>
            </w:r>
            <w:r>
              <w:rPr>
                <w:rFonts w:hint="eastAsia"/>
                <w:color w:val="auto"/>
                <w:lang w:val="en-US" w:eastAsia="zh-CN"/>
              </w:rPr>
              <w:t>80</w:t>
            </w:r>
            <w:r>
              <w:rPr>
                <w:rFonts w:hint="eastAsia"/>
                <w:color w:val="auto"/>
              </w:rPr>
              <w:t>m</w:t>
            </w:r>
            <w:r>
              <w:rPr>
                <w:rFonts w:hint="eastAsia"/>
                <w:color w:val="auto"/>
                <w:vertAlign w:val="superscript"/>
              </w:rPr>
              <w:t>3</w:t>
            </w:r>
          </w:p>
        </w:tc>
        <w:tc>
          <w:tcPr>
            <w:tcW w:w="398" w:type="pct"/>
            <w:vMerge w:val="restart"/>
            <w:vAlign w:val="center"/>
          </w:tcPr>
          <w:p w14:paraId="6C95932D">
            <w:pPr>
              <w:pStyle w:val="3361"/>
              <w:rPr>
                <w:color w:val="auto"/>
              </w:rPr>
            </w:pPr>
            <w:r>
              <w:rPr>
                <w:rFonts w:hint="eastAsia"/>
                <w:color w:val="auto"/>
              </w:rPr>
              <w:t>污泥系统</w:t>
            </w:r>
          </w:p>
        </w:tc>
      </w:tr>
      <w:tr w14:paraId="6CABB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48" w:type="pct"/>
            <w:vMerge w:val="continue"/>
            <w:vAlign w:val="center"/>
          </w:tcPr>
          <w:p w14:paraId="3E2C0DBC">
            <w:pPr>
              <w:pStyle w:val="3361"/>
              <w:rPr>
                <w:color w:val="auto"/>
              </w:rPr>
            </w:pPr>
          </w:p>
        </w:tc>
        <w:tc>
          <w:tcPr>
            <w:tcW w:w="506" w:type="pct"/>
            <w:vMerge w:val="continue"/>
            <w:tcMar>
              <w:left w:w="113" w:type="dxa"/>
              <w:right w:w="113" w:type="dxa"/>
            </w:tcMar>
            <w:vAlign w:val="center"/>
          </w:tcPr>
          <w:p w14:paraId="5907F864">
            <w:pPr>
              <w:pStyle w:val="3361"/>
              <w:rPr>
                <w:color w:val="auto"/>
              </w:rPr>
            </w:pPr>
          </w:p>
        </w:tc>
        <w:tc>
          <w:tcPr>
            <w:tcW w:w="3846" w:type="pct"/>
            <w:vAlign w:val="center"/>
          </w:tcPr>
          <w:p w14:paraId="12AC8E50">
            <w:pPr>
              <w:pStyle w:val="3361"/>
              <w:rPr>
                <w:color w:val="auto"/>
              </w:rPr>
            </w:pPr>
            <w:r>
              <w:rPr>
                <w:rFonts w:hint="eastAsia"/>
                <w:color w:val="auto"/>
              </w:rPr>
              <w:t>新建1个污泥</w:t>
            </w:r>
            <w:r>
              <w:rPr>
                <w:rFonts w:hint="eastAsia"/>
                <w:color w:val="auto"/>
                <w:lang w:eastAsia="zh-CN"/>
              </w:rPr>
              <w:t>压滤</w:t>
            </w:r>
            <w:r>
              <w:rPr>
                <w:rFonts w:hint="eastAsia"/>
                <w:color w:val="auto"/>
              </w:rPr>
              <w:t>间</w:t>
            </w:r>
            <w:r>
              <w:rPr>
                <w:rFonts w:hint="eastAsia"/>
                <w:color w:val="auto"/>
                <w:lang w:val="en-US" w:eastAsia="zh-CN"/>
              </w:rPr>
              <w:t>1个</w:t>
            </w:r>
            <w:r>
              <w:rPr>
                <w:rFonts w:hint="eastAsia"/>
                <w:color w:val="auto"/>
              </w:rPr>
              <w:t>，设计建筑面积</w:t>
            </w:r>
            <w:r>
              <w:rPr>
                <w:rFonts w:hint="eastAsia"/>
                <w:color w:val="auto"/>
                <w:lang w:eastAsia="zh-CN"/>
              </w:rPr>
              <w:t>约</w:t>
            </w:r>
            <w:r>
              <w:rPr>
                <w:rFonts w:hint="eastAsia"/>
                <w:color w:val="auto"/>
              </w:rPr>
              <w:t>为</w:t>
            </w:r>
            <w:r>
              <w:rPr>
                <w:rFonts w:hint="eastAsia"/>
                <w:color w:val="auto"/>
                <w:lang w:val="en-US" w:eastAsia="zh-CN"/>
              </w:rPr>
              <w:t>6</w:t>
            </w:r>
            <w:r>
              <w:rPr>
                <w:rFonts w:hint="eastAsia"/>
                <w:color w:val="auto"/>
              </w:rPr>
              <w:t>0m</w:t>
            </w:r>
            <w:r>
              <w:rPr>
                <w:rFonts w:hint="eastAsia"/>
                <w:color w:val="auto"/>
                <w:vertAlign w:val="superscript"/>
              </w:rPr>
              <w:t>2</w:t>
            </w:r>
            <w:r>
              <w:rPr>
                <w:rFonts w:hint="eastAsia"/>
                <w:color w:val="auto"/>
              </w:rPr>
              <w:t>，</w:t>
            </w:r>
            <w:r>
              <w:rPr>
                <w:rFonts w:hint="eastAsia"/>
                <w:color w:val="auto"/>
                <w:lang w:eastAsia="zh-CN"/>
              </w:rPr>
              <w:t>设计配备污泥压滤机</w:t>
            </w:r>
            <w:r>
              <w:rPr>
                <w:rFonts w:hint="eastAsia"/>
                <w:color w:val="auto"/>
                <w:lang w:val="en-US" w:eastAsia="zh-CN"/>
              </w:rPr>
              <w:t>2台，</w:t>
            </w:r>
            <w:r>
              <w:rPr>
                <w:rFonts w:hint="eastAsia"/>
                <w:color w:val="auto"/>
              </w:rPr>
              <w:t>用于污泥池污泥压滤脱水</w:t>
            </w:r>
          </w:p>
        </w:tc>
        <w:tc>
          <w:tcPr>
            <w:tcW w:w="398" w:type="pct"/>
            <w:vMerge w:val="continue"/>
            <w:vAlign w:val="center"/>
          </w:tcPr>
          <w:p w14:paraId="4DF2D719">
            <w:pPr>
              <w:pStyle w:val="3361"/>
              <w:rPr>
                <w:color w:val="auto"/>
              </w:rPr>
            </w:pPr>
          </w:p>
        </w:tc>
      </w:tr>
      <w:tr w14:paraId="101BE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48" w:type="pct"/>
            <w:vMerge w:val="continue"/>
            <w:vAlign w:val="center"/>
          </w:tcPr>
          <w:p w14:paraId="72FEEF99">
            <w:pPr>
              <w:pStyle w:val="3361"/>
              <w:rPr>
                <w:color w:val="auto"/>
              </w:rPr>
            </w:pPr>
          </w:p>
        </w:tc>
        <w:tc>
          <w:tcPr>
            <w:tcW w:w="506" w:type="pct"/>
            <w:tcMar>
              <w:left w:w="113" w:type="dxa"/>
              <w:right w:w="113" w:type="dxa"/>
            </w:tcMar>
            <w:vAlign w:val="center"/>
          </w:tcPr>
          <w:p w14:paraId="00987E33">
            <w:pPr>
              <w:pStyle w:val="3361"/>
              <w:rPr>
                <w:color w:val="auto"/>
              </w:rPr>
            </w:pPr>
            <w:r>
              <w:rPr>
                <w:rFonts w:hint="eastAsia"/>
                <w:color w:val="auto"/>
              </w:rPr>
              <w:t>管网工程</w:t>
            </w:r>
          </w:p>
        </w:tc>
        <w:tc>
          <w:tcPr>
            <w:tcW w:w="3846" w:type="pct"/>
            <w:vAlign w:val="center"/>
          </w:tcPr>
          <w:p w14:paraId="4EC0703B">
            <w:pPr>
              <w:pStyle w:val="3361"/>
              <w:rPr>
                <w:color w:val="auto"/>
              </w:rPr>
            </w:pPr>
            <w:r>
              <w:rPr>
                <w:rFonts w:hint="eastAsia"/>
                <w:color w:val="auto"/>
              </w:rPr>
              <w:t>拟建项目管网建设仅涉及</w:t>
            </w:r>
            <w:r>
              <w:rPr>
                <w:rFonts w:hint="eastAsia"/>
                <w:color w:val="auto"/>
                <w:lang w:eastAsia="zh-CN"/>
              </w:rPr>
              <w:t>污水处理厂</w:t>
            </w:r>
            <w:r>
              <w:rPr>
                <w:rFonts w:hint="eastAsia"/>
                <w:color w:val="auto"/>
              </w:rPr>
              <w:t>厂内管网建设，不涉及厂外管网建设，外来废水均通过罐车运至厂区内</w:t>
            </w:r>
          </w:p>
        </w:tc>
        <w:tc>
          <w:tcPr>
            <w:tcW w:w="398" w:type="pct"/>
            <w:vAlign w:val="center"/>
          </w:tcPr>
          <w:p w14:paraId="14F526EF">
            <w:pPr>
              <w:pStyle w:val="3361"/>
              <w:rPr>
                <w:color w:val="auto"/>
              </w:rPr>
            </w:pPr>
            <w:r>
              <w:rPr>
                <w:rFonts w:hint="eastAsia"/>
                <w:color w:val="auto"/>
              </w:rPr>
              <w:t>新建</w:t>
            </w:r>
          </w:p>
        </w:tc>
      </w:tr>
      <w:tr w14:paraId="27DDB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48" w:type="pct"/>
            <w:vMerge w:val="restart"/>
            <w:vAlign w:val="center"/>
          </w:tcPr>
          <w:p w14:paraId="2D5D37A1">
            <w:pPr>
              <w:pStyle w:val="3361"/>
              <w:rPr>
                <w:color w:val="auto"/>
              </w:rPr>
            </w:pPr>
            <w:r>
              <w:rPr>
                <w:rFonts w:hint="eastAsia"/>
                <w:color w:val="auto"/>
              </w:rPr>
              <w:t>辅助工程</w:t>
            </w:r>
          </w:p>
        </w:tc>
        <w:tc>
          <w:tcPr>
            <w:tcW w:w="506" w:type="pct"/>
            <w:tcMar>
              <w:left w:w="113" w:type="dxa"/>
              <w:right w:w="113" w:type="dxa"/>
            </w:tcMar>
            <w:vAlign w:val="center"/>
          </w:tcPr>
          <w:p w14:paraId="0C2E6F65">
            <w:pPr>
              <w:pStyle w:val="2121"/>
              <w:rPr>
                <w:rStyle w:val="3380"/>
                <w:color w:val="auto"/>
              </w:rPr>
            </w:pPr>
            <w:r>
              <w:rPr>
                <w:rStyle w:val="3380"/>
                <w:rFonts w:hint="eastAsia"/>
                <w:color w:val="auto"/>
              </w:rPr>
              <w:t>办公区</w:t>
            </w:r>
          </w:p>
        </w:tc>
        <w:tc>
          <w:tcPr>
            <w:tcW w:w="3846" w:type="pct"/>
            <w:vAlign w:val="center"/>
          </w:tcPr>
          <w:p w14:paraId="15388C25">
            <w:pPr>
              <w:pStyle w:val="2121"/>
              <w:rPr>
                <w:rStyle w:val="3380"/>
                <w:color w:val="auto"/>
              </w:rPr>
            </w:pPr>
            <w:r>
              <w:rPr>
                <w:rStyle w:val="3380"/>
                <w:rFonts w:hint="eastAsia"/>
                <w:color w:val="auto"/>
              </w:rPr>
              <w:t>设置检测办公室</w:t>
            </w:r>
            <w:r>
              <w:rPr>
                <w:rStyle w:val="3380"/>
                <w:rFonts w:hint="eastAsia"/>
                <w:color w:val="auto"/>
                <w:lang w:val="en-US"/>
              </w:rPr>
              <w:t>1个</w:t>
            </w:r>
            <w:r>
              <w:rPr>
                <w:rStyle w:val="3380"/>
                <w:rFonts w:hint="eastAsia"/>
                <w:color w:val="auto"/>
              </w:rPr>
              <w:t>，占地面积</w:t>
            </w:r>
            <w:r>
              <w:rPr>
                <w:rStyle w:val="3380"/>
                <w:rFonts w:hint="eastAsia"/>
                <w:color w:val="auto"/>
                <w:lang w:val="en-US"/>
              </w:rPr>
              <w:t>66.4</w:t>
            </w:r>
            <w:r>
              <w:rPr>
                <w:rStyle w:val="3380"/>
                <w:rFonts w:hint="eastAsia"/>
                <w:color w:val="auto"/>
              </w:rPr>
              <w:t>m</w:t>
            </w:r>
            <w:r>
              <w:rPr>
                <w:rStyle w:val="3380"/>
                <w:rFonts w:hint="eastAsia"/>
                <w:color w:val="auto"/>
                <w:vertAlign w:val="superscript"/>
              </w:rPr>
              <w:t>2</w:t>
            </w:r>
            <w:r>
              <w:rPr>
                <w:rStyle w:val="3380"/>
                <w:rFonts w:hint="eastAsia"/>
                <w:color w:val="auto"/>
              </w:rPr>
              <w:t>；主要布置办公室、控制室和测试分析等。</w:t>
            </w:r>
          </w:p>
        </w:tc>
        <w:tc>
          <w:tcPr>
            <w:tcW w:w="398" w:type="pct"/>
            <w:vAlign w:val="center"/>
          </w:tcPr>
          <w:p w14:paraId="1AD6C305">
            <w:pPr>
              <w:pStyle w:val="3361"/>
              <w:rPr>
                <w:color w:val="auto"/>
              </w:rPr>
            </w:pPr>
            <w:r>
              <w:rPr>
                <w:rFonts w:hint="eastAsia"/>
                <w:color w:val="auto"/>
              </w:rPr>
              <w:t>新建</w:t>
            </w:r>
          </w:p>
        </w:tc>
      </w:tr>
      <w:tr w14:paraId="559EE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48" w:type="pct"/>
            <w:vMerge w:val="continue"/>
            <w:vAlign w:val="center"/>
          </w:tcPr>
          <w:p w14:paraId="06231FF5">
            <w:pPr>
              <w:pStyle w:val="3361"/>
              <w:rPr>
                <w:color w:val="auto"/>
              </w:rPr>
            </w:pPr>
          </w:p>
        </w:tc>
        <w:tc>
          <w:tcPr>
            <w:tcW w:w="506" w:type="pct"/>
            <w:tcMar>
              <w:left w:w="113" w:type="dxa"/>
              <w:right w:w="113" w:type="dxa"/>
            </w:tcMar>
            <w:vAlign w:val="center"/>
          </w:tcPr>
          <w:p w14:paraId="0FBA5919">
            <w:pPr>
              <w:pStyle w:val="2121"/>
              <w:rPr>
                <w:rStyle w:val="3380"/>
                <w:color w:val="auto"/>
              </w:rPr>
            </w:pPr>
            <w:r>
              <w:rPr>
                <w:rStyle w:val="3380"/>
                <w:rFonts w:hint="eastAsia"/>
                <w:color w:val="auto"/>
              </w:rPr>
              <w:t>实验室</w:t>
            </w:r>
          </w:p>
        </w:tc>
        <w:tc>
          <w:tcPr>
            <w:tcW w:w="3846" w:type="pct"/>
            <w:vAlign w:val="center"/>
          </w:tcPr>
          <w:p w14:paraId="1E6E7330">
            <w:pPr>
              <w:pStyle w:val="2121"/>
              <w:rPr>
                <w:rStyle w:val="3380"/>
                <w:color w:val="auto"/>
              </w:rPr>
            </w:pPr>
            <w:r>
              <w:rPr>
                <w:rStyle w:val="3380"/>
                <w:rFonts w:hint="eastAsia"/>
                <w:color w:val="auto"/>
                <w:lang w:val="zh-CN"/>
              </w:rPr>
              <w:t>项目于车间内设置实验室</w:t>
            </w:r>
            <w:r>
              <w:rPr>
                <w:rStyle w:val="3380"/>
                <w:color w:val="auto"/>
                <w:lang w:val="zh-CN"/>
              </w:rPr>
              <w:t>1</w:t>
            </w:r>
            <w:r>
              <w:rPr>
                <w:rStyle w:val="3380"/>
                <w:rFonts w:hint="eastAsia"/>
                <w:color w:val="auto"/>
                <w:lang w:val="zh-CN"/>
              </w:rPr>
              <w:t>间，占地面积约</w:t>
            </w:r>
            <w:r>
              <w:rPr>
                <w:rStyle w:val="3380"/>
                <w:rFonts w:hint="eastAsia"/>
                <w:color w:val="auto"/>
                <w:lang w:val="en-US"/>
              </w:rPr>
              <w:t>40</w:t>
            </w:r>
            <w:r>
              <w:rPr>
                <w:rStyle w:val="3380"/>
                <w:rFonts w:hint="eastAsia"/>
                <w:color w:val="auto"/>
              </w:rPr>
              <w:t>m</w:t>
            </w:r>
            <w:r>
              <w:rPr>
                <w:rStyle w:val="3380"/>
                <w:rFonts w:hint="eastAsia"/>
                <w:color w:val="auto"/>
                <w:vertAlign w:val="superscript"/>
              </w:rPr>
              <w:t>2</w:t>
            </w:r>
            <w:r>
              <w:rPr>
                <w:rStyle w:val="3380"/>
                <w:rFonts w:hint="eastAsia"/>
                <w:color w:val="auto"/>
                <w:lang w:val="zh-CN"/>
              </w:rPr>
              <w:t>，用于对各类废水中的</w:t>
            </w:r>
            <w:r>
              <w:rPr>
                <w:rStyle w:val="3380"/>
                <w:color w:val="auto"/>
                <w:lang w:val="zh-CN"/>
              </w:rPr>
              <w:t>TDS</w:t>
            </w:r>
            <w:r>
              <w:rPr>
                <w:rStyle w:val="3380"/>
                <w:rFonts w:hint="eastAsia"/>
                <w:color w:val="auto"/>
                <w:lang w:val="zh-CN"/>
              </w:rPr>
              <w:t>、氯化物</w:t>
            </w:r>
            <w:r>
              <w:rPr>
                <w:rStyle w:val="3380"/>
                <w:rFonts w:hint="eastAsia"/>
                <w:color w:val="auto"/>
              </w:rPr>
              <w:t>、</w:t>
            </w:r>
            <w:r>
              <w:rPr>
                <w:rStyle w:val="3380"/>
                <w:color w:val="auto"/>
                <w:lang w:val="zh-CN"/>
              </w:rPr>
              <w:t>COD</w:t>
            </w:r>
            <w:r>
              <w:rPr>
                <w:rStyle w:val="3380"/>
                <w:rFonts w:hint="eastAsia"/>
                <w:color w:val="auto"/>
                <w:lang w:val="zh-CN"/>
              </w:rPr>
              <w:t>、氨氮及硬度等常规水质因子进行检验分析。实验室主要设备包括</w:t>
            </w:r>
            <w:r>
              <w:rPr>
                <w:rStyle w:val="3380"/>
                <w:color w:val="auto"/>
                <w:lang w:val="zh-CN"/>
              </w:rPr>
              <w:t>TDS</w:t>
            </w:r>
            <w:r>
              <w:rPr>
                <w:rStyle w:val="3380"/>
                <w:rFonts w:hint="eastAsia"/>
                <w:color w:val="auto"/>
                <w:lang w:val="zh-CN"/>
              </w:rPr>
              <w:t>分析仪、氯化物分析仪、</w:t>
            </w:r>
            <w:r>
              <w:rPr>
                <w:rStyle w:val="3380"/>
                <w:color w:val="auto"/>
                <w:lang w:val="zh-CN"/>
              </w:rPr>
              <w:t xml:space="preserve"> COD</w:t>
            </w:r>
            <w:r>
              <w:rPr>
                <w:rStyle w:val="3380"/>
                <w:rFonts w:hint="eastAsia"/>
                <w:color w:val="auto"/>
                <w:lang w:val="zh-CN"/>
              </w:rPr>
              <w:t>分析仪、氨氮分析仪和硬度分析仪等，检测试剂主要采用外购化学试剂，不涉及配药</w:t>
            </w:r>
          </w:p>
        </w:tc>
        <w:tc>
          <w:tcPr>
            <w:tcW w:w="398" w:type="pct"/>
            <w:vAlign w:val="center"/>
          </w:tcPr>
          <w:p w14:paraId="0DFE7D14">
            <w:pPr>
              <w:pStyle w:val="2121"/>
              <w:rPr>
                <w:rStyle w:val="3380"/>
                <w:color w:val="auto"/>
              </w:rPr>
            </w:pPr>
            <w:r>
              <w:rPr>
                <w:rStyle w:val="3380"/>
                <w:rFonts w:hint="eastAsia"/>
                <w:color w:val="auto"/>
              </w:rPr>
              <w:t>新建</w:t>
            </w:r>
          </w:p>
        </w:tc>
      </w:tr>
      <w:tr w14:paraId="3D4F2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48" w:type="pct"/>
            <w:vMerge w:val="continue"/>
            <w:vAlign w:val="center"/>
          </w:tcPr>
          <w:p w14:paraId="227415CB">
            <w:pPr>
              <w:pStyle w:val="3361"/>
              <w:rPr>
                <w:color w:val="auto"/>
              </w:rPr>
            </w:pPr>
          </w:p>
        </w:tc>
        <w:tc>
          <w:tcPr>
            <w:tcW w:w="506" w:type="pct"/>
            <w:tcMar>
              <w:left w:w="113" w:type="dxa"/>
              <w:right w:w="113" w:type="dxa"/>
            </w:tcMar>
            <w:vAlign w:val="center"/>
          </w:tcPr>
          <w:p w14:paraId="069B5B59">
            <w:pPr>
              <w:pStyle w:val="2121"/>
              <w:rPr>
                <w:rStyle w:val="3380"/>
                <w:color w:val="auto"/>
              </w:rPr>
            </w:pPr>
            <w:r>
              <w:rPr>
                <w:rStyle w:val="3380"/>
                <w:rFonts w:hint="eastAsia"/>
                <w:color w:val="auto"/>
              </w:rPr>
              <w:t>机修间</w:t>
            </w:r>
          </w:p>
        </w:tc>
        <w:tc>
          <w:tcPr>
            <w:tcW w:w="3846" w:type="pct"/>
            <w:vAlign w:val="center"/>
          </w:tcPr>
          <w:p w14:paraId="0991E7D6">
            <w:pPr>
              <w:pStyle w:val="2121"/>
              <w:rPr>
                <w:rStyle w:val="3380"/>
                <w:color w:val="auto"/>
              </w:rPr>
            </w:pPr>
            <w:r>
              <w:rPr>
                <w:rStyle w:val="3380"/>
                <w:rFonts w:hint="eastAsia"/>
                <w:color w:val="auto"/>
              </w:rPr>
              <w:t>新建机修间，占地面积</w:t>
            </w:r>
            <w:r>
              <w:rPr>
                <w:rStyle w:val="3380"/>
                <w:rFonts w:hint="eastAsia"/>
                <w:color w:val="auto"/>
                <w:lang w:val="en-US"/>
              </w:rPr>
              <w:t>40</w:t>
            </w:r>
            <w:r>
              <w:rPr>
                <w:rStyle w:val="3380"/>
                <w:rFonts w:hint="eastAsia"/>
                <w:color w:val="auto"/>
              </w:rPr>
              <w:t>m</w:t>
            </w:r>
            <w:r>
              <w:rPr>
                <w:rStyle w:val="3380"/>
                <w:rFonts w:hint="eastAsia"/>
                <w:color w:val="auto"/>
                <w:vertAlign w:val="superscript"/>
              </w:rPr>
              <w:t>2</w:t>
            </w:r>
            <w:r>
              <w:rPr>
                <w:rStyle w:val="3380"/>
                <w:rFonts w:hint="eastAsia"/>
                <w:color w:val="auto"/>
              </w:rPr>
              <w:t>，钢架，主要用于设备维护检修。</w:t>
            </w:r>
          </w:p>
        </w:tc>
        <w:tc>
          <w:tcPr>
            <w:tcW w:w="398" w:type="pct"/>
            <w:vAlign w:val="center"/>
          </w:tcPr>
          <w:p w14:paraId="2CE5C11A">
            <w:pPr>
              <w:pStyle w:val="3361"/>
              <w:rPr>
                <w:color w:val="auto"/>
              </w:rPr>
            </w:pPr>
            <w:r>
              <w:rPr>
                <w:rStyle w:val="3380"/>
                <w:rFonts w:hint="eastAsia"/>
                <w:color w:val="auto"/>
              </w:rPr>
              <w:t>新建</w:t>
            </w:r>
          </w:p>
        </w:tc>
      </w:tr>
      <w:tr w14:paraId="68034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48" w:type="pct"/>
            <w:vMerge w:val="continue"/>
            <w:vAlign w:val="center"/>
          </w:tcPr>
          <w:p w14:paraId="788D5F7A">
            <w:pPr>
              <w:pStyle w:val="3361"/>
              <w:rPr>
                <w:color w:val="auto"/>
              </w:rPr>
            </w:pPr>
          </w:p>
        </w:tc>
        <w:tc>
          <w:tcPr>
            <w:tcW w:w="506" w:type="pct"/>
            <w:tcMar>
              <w:left w:w="113" w:type="dxa"/>
              <w:right w:w="113" w:type="dxa"/>
            </w:tcMar>
            <w:vAlign w:val="center"/>
          </w:tcPr>
          <w:p w14:paraId="3376815F">
            <w:pPr>
              <w:pStyle w:val="2121"/>
              <w:rPr>
                <w:rStyle w:val="3380"/>
                <w:color w:val="auto"/>
              </w:rPr>
            </w:pPr>
            <w:r>
              <w:rPr>
                <w:rStyle w:val="3380"/>
                <w:rFonts w:hint="eastAsia"/>
                <w:color w:val="auto"/>
              </w:rPr>
              <w:t>地磅</w:t>
            </w:r>
          </w:p>
        </w:tc>
        <w:tc>
          <w:tcPr>
            <w:tcW w:w="3846" w:type="pct"/>
            <w:vAlign w:val="center"/>
          </w:tcPr>
          <w:p w14:paraId="3774A9F8">
            <w:pPr>
              <w:pStyle w:val="2121"/>
              <w:rPr>
                <w:rStyle w:val="3380"/>
                <w:color w:val="auto"/>
              </w:rPr>
            </w:pPr>
            <w:r>
              <w:rPr>
                <w:rStyle w:val="3380"/>
                <w:rFonts w:hint="eastAsia"/>
                <w:color w:val="auto"/>
              </w:rPr>
              <w:t>于厂区内新建地磅</w:t>
            </w:r>
            <w:r>
              <w:rPr>
                <w:rStyle w:val="3380"/>
                <w:rFonts w:hint="eastAsia"/>
                <w:color w:val="auto"/>
                <w:lang w:val="en-US"/>
              </w:rPr>
              <w:t>1座</w:t>
            </w:r>
            <w:r>
              <w:rPr>
                <w:rStyle w:val="3380"/>
                <w:rFonts w:hint="eastAsia"/>
                <w:color w:val="auto"/>
              </w:rPr>
              <w:t>，主要用于运输车辆计量。</w:t>
            </w:r>
          </w:p>
        </w:tc>
        <w:tc>
          <w:tcPr>
            <w:tcW w:w="398" w:type="pct"/>
            <w:vAlign w:val="center"/>
          </w:tcPr>
          <w:p w14:paraId="754A9BDE">
            <w:pPr>
              <w:pStyle w:val="3361"/>
              <w:rPr>
                <w:rFonts w:hint="eastAsia" w:eastAsia="宋体"/>
                <w:color w:val="auto"/>
                <w:lang w:eastAsia="zh-CN"/>
              </w:rPr>
            </w:pPr>
            <w:r>
              <w:rPr>
                <w:rFonts w:hint="eastAsia"/>
                <w:color w:val="auto"/>
                <w:lang w:eastAsia="zh-CN"/>
              </w:rPr>
              <w:t>新建</w:t>
            </w:r>
          </w:p>
        </w:tc>
      </w:tr>
      <w:tr w14:paraId="1A145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8" w:type="pct"/>
            <w:vMerge w:val="restart"/>
            <w:vAlign w:val="center"/>
          </w:tcPr>
          <w:p w14:paraId="66442F9C">
            <w:pPr>
              <w:pStyle w:val="3361"/>
              <w:rPr>
                <w:color w:val="auto"/>
              </w:rPr>
            </w:pPr>
            <w:r>
              <w:rPr>
                <w:rFonts w:hint="eastAsia"/>
                <w:color w:val="auto"/>
              </w:rPr>
              <w:t>公用工程</w:t>
            </w:r>
          </w:p>
        </w:tc>
        <w:tc>
          <w:tcPr>
            <w:tcW w:w="506" w:type="pct"/>
            <w:vAlign w:val="center"/>
          </w:tcPr>
          <w:p w14:paraId="5559EC4C">
            <w:pPr>
              <w:pStyle w:val="3361"/>
              <w:rPr>
                <w:color w:val="auto"/>
              </w:rPr>
            </w:pPr>
            <w:r>
              <w:rPr>
                <w:rFonts w:hint="eastAsia"/>
                <w:color w:val="auto"/>
              </w:rPr>
              <w:t>给水</w:t>
            </w:r>
          </w:p>
        </w:tc>
        <w:tc>
          <w:tcPr>
            <w:tcW w:w="3846" w:type="pct"/>
            <w:shd w:val="clear" w:color="auto" w:fill="auto"/>
            <w:vAlign w:val="center"/>
          </w:tcPr>
          <w:p w14:paraId="684FA077">
            <w:pPr>
              <w:pStyle w:val="3361"/>
              <w:rPr>
                <w:color w:val="auto"/>
              </w:rPr>
            </w:pPr>
            <w:r>
              <w:rPr>
                <w:rFonts w:hint="eastAsia"/>
                <w:color w:val="auto"/>
              </w:rPr>
              <w:t>生活用水由市政给水管网供水</w:t>
            </w:r>
          </w:p>
        </w:tc>
        <w:tc>
          <w:tcPr>
            <w:tcW w:w="398" w:type="pct"/>
            <w:vAlign w:val="center"/>
          </w:tcPr>
          <w:p w14:paraId="4226879F">
            <w:pPr>
              <w:pStyle w:val="3361"/>
              <w:rPr>
                <w:color w:val="auto"/>
              </w:rPr>
            </w:pPr>
            <w:r>
              <w:rPr>
                <w:rFonts w:hint="eastAsia"/>
                <w:color w:val="auto"/>
              </w:rPr>
              <w:t>依托园区</w:t>
            </w:r>
          </w:p>
        </w:tc>
      </w:tr>
      <w:tr w14:paraId="4C26F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8" w:type="pct"/>
            <w:vMerge w:val="continue"/>
            <w:vAlign w:val="center"/>
          </w:tcPr>
          <w:p w14:paraId="79483A9B">
            <w:pPr>
              <w:pStyle w:val="3361"/>
              <w:rPr>
                <w:color w:val="auto"/>
              </w:rPr>
            </w:pPr>
          </w:p>
        </w:tc>
        <w:tc>
          <w:tcPr>
            <w:tcW w:w="506" w:type="pct"/>
            <w:vAlign w:val="center"/>
          </w:tcPr>
          <w:p w14:paraId="400B8440">
            <w:pPr>
              <w:pStyle w:val="3361"/>
              <w:rPr>
                <w:color w:val="auto"/>
              </w:rPr>
            </w:pPr>
            <w:r>
              <w:rPr>
                <w:rFonts w:hint="eastAsia"/>
                <w:color w:val="auto"/>
              </w:rPr>
              <w:t>排水</w:t>
            </w:r>
          </w:p>
        </w:tc>
        <w:tc>
          <w:tcPr>
            <w:tcW w:w="3846" w:type="pct"/>
            <w:shd w:val="clear" w:color="auto" w:fill="auto"/>
            <w:vAlign w:val="center"/>
          </w:tcPr>
          <w:p w14:paraId="04414687">
            <w:pPr>
              <w:pStyle w:val="3361"/>
              <w:rPr>
                <w:color w:val="auto"/>
              </w:rPr>
            </w:pPr>
            <w:r>
              <w:rPr>
                <w:rFonts w:hint="eastAsia"/>
                <w:color w:val="auto"/>
              </w:rPr>
              <w:t>厂区排水采用雨污分流制，雨水经雨水管网收集后排入市政雨水管网；其他废水经处理达标后排入园区污水管网</w:t>
            </w:r>
          </w:p>
        </w:tc>
        <w:tc>
          <w:tcPr>
            <w:tcW w:w="398" w:type="pct"/>
            <w:vAlign w:val="center"/>
          </w:tcPr>
          <w:p w14:paraId="067C5A0F">
            <w:pPr>
              <w:pStyle w:val="3361"/>
              <w:rPr>
                <w:color w:val="auto"/>
              </w:rPr>
            </w:pPr>
            <w:r>
              <w:rPr>
                <w:rFonts w:hint="eastAsia"/>
                <w:color w:val="auto"/>
              </w:rPr>
              <w:t>依托园区</w:t>
            </w:r>
          </w:p>
        </w:tc>
      </w:tr>
      <w:tr w14:paraId="5ECEF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8" w:type="pct"/>
            <w:vMerge w:val="continue"/>
            <w:vAlign w:val="center"/>
          </w:tcPr>
          <w:p w14:paraId="799A9589">
            <w:pPr>
              <w:pStyle w:val="3361"/>
              <w:rPr>
                <w:color w:val="auto"/>
              </w:rPr>
            </w:pPr>
          </w:p>
        </w:tc>
        <w:tc>
          <w:tcPr>
            <w:tcW w:w="506" w:type="pct"/>
            <w:vAlign w:val="center"/>
          </w:tcPr>
          <w:p w14:paraId="05981E60">
            <w:pPr>
              <w:pStyle w:val="3361"/>
              <w:rPr>
                <w:color w:val="auto"/>
              </w:rPr>
            </w:pPr>
            <w:r>
              <w:rPr>
                <w:rFonts w:hint="eastAsia"/>
                <w:color w:val="auto"/>
              </w:rPr>
              <w:t>供电</w:t>
            </w:r>
          </w:p>
        </w:tc>
        <w:tc>
          <w:tcPr>
            <w:tcW w:w="3846" w:type="pct"/>
            <w:shd w:val="clear" w:color="auto" w:fill="auto"/>
            <w:vAlign w:val="center"/>
          </w:tcPr>
          <w:p w14:paraId="36049DCF">
            <w:pPr>
              <w:pStyle w:val="3361"/>
              <w:rPr>
                <w:color w:val="auto"/>
              </w:rPr>
            </w:pPr>
            <w:r>
              <w:rPr>
                <w:rFonts w:hint="eastAsia"/>
                <w:color w:val="auto"/>
              </w:rPr>
              <w:t>由市政供电管网供给，依托</w:t>
            </w:r>
            <w:r>
              <w:rPr>
                <w:rFonts w:hint="eastAsia"/>
                <w:color w:val="auto"/>
                <w:lang w:eastAsia="zh-CN"/>
              </w:rPr>
              <w:t>园区污水处理厂</w:t>
            </w:r>
            <w:r>
              <w:rPr>
                <w:rFonts w:hint="eastAsia"/>
                <w:color w:val="auto"/>
              </w:rPr>
              <w:t>应急备用电源</w:t>
            </w:r>
          </w:p>
        </w:tc>
        <w:tc>
          <w:tcPr>
            <w:tcW w:w="398" w:type="pct"/>
            <w:vAlign w:val="center"/>
          </w:tcPr>
          <w:p w14:paraId="6AC79BE4">
            <w:pPr>
              <w:pStyle w:val="3361"/>
              <w:rPr>
                <w:color w:val="auto"/>
              </w:rPr>
            </w:pPr>
            <w:r>
              <w:rPr>
                <w:rFonts w:hint="eastAsia"/>
                <w:color w:val="auto"/>
              </w:rPr>
              <w:t>依托园区</w:t>
            </w:r>
          </w:p>
        </w:tc>
      </w:tr>
      <w:tr w14:paraId="1AFFC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8" w:type="pct"/>
            <w:vMerge w:val="restart"/>
            <w:vAlign w:val="center"/>
          </w:tcPr>
          <w:p w14:paraId="5F10CB0E">
            <w:pPr>
              <w:pStyle w:val="3361"/>
              <w:rPr>
                <w:color w:val="auto"/>
              </w:rPr>
            </w:pPr>
            <w:r>
              <w:rPr>
                <w:rFonts w:hint="eastAsia"/>
                <w:color w:val="auto"/>
              </w:rPr>
              <w:t>贮运工程</w:t>
            </w:r>
          </w:p>
        </w:tc>
        <w:tc>
          <w:tcPr>
            <w:tcW w:w="506" w:type="pct"/>
            <w:shd w:val="clear" w:color="auto" w:fill="auto"/>
            <w:vAlign w:val="center"/>
          </w:tcPr>
          <w:p w14:paraId="019B2091">
            <w:pPr>
              <w:pStyle w:val="3361"/>
              <w:rPr>
                <w:color w:val="auto"/>
              </w:rPr>
            </w:pPr>
            <w:r>
              <w:rPr>
                <w:rFonts w:hint="eastAsia"/>
                <w:color w:val="auto"/>
              </w:rPr>
              <w:t>1#药剂储存罐区</w:t>
            </w:r>
          </w:p>
        </w:tc>
        <w:tc>
          <w:tcPr>
            <w:tcW w:w="3846" w:type="pct"/>
            <w:shd w:val="clear" w:color="auto" w:fill="auto"/>
            <w:vAlign w:val="center"/>
          </w:tcPr>
          <w:p w14:paraId="5E1F4CF3">
            <w:pPr>
              <w:pStyle w:val="3361"/>
              <w:rPr>
                <w:color w:val="auto"/>
              </w:rPr>
            </w:pPr>
            <w:r>
              <w:rPr>
                <w:rFonts w:hint="eastAsia"/>
                <w:color w:val="auto"/>
              </w:rPr>
              <w:t>在污水处理区域</w:t>
            </w:r>
            <w:r>
              <w:rPr>
                <w:rFonts w:hint="eastAsia"/>
                <w:color w:val="auto"/>
                <w:lang w:eastAsia="zh-CN"/>
              </w:rPr>
              <w:t>西侧</w:t>
            </w:r>
            <w:r>
              <w:rPr>
                <w:rFonts w:hint="eastAsia"/>
                <w:color w:val="auto"/>
              </w:rPr>
              <w:t>布置1#药剂储存罐区，占地面积约</w:t>
            </w:r>
            <w:r>
              <w:rPr>
                <w:rFonts w:hint="eastAsia"/>
                <w:color w:val="auto"/>
                <w:lang w:val="en-US" w:eastAsia="zh-CN"/>
              </w:rPr>
              <w:t>5</w:t>
            </w:r>
            <w:r>
              <w:rPr>
                <w:rFonts w:hint="eastAsia"/>
                <w:color w:val="auto"/>
              </w:rPr>
              <w:t>0m</w:t>
            </w:r>
            <w:r>
              <w:rPr>
                <w:rFonts w:hint="eastAsia"/>
                <w:color w:val="auto"/>
                <w:vertAlign w:val="superscript"/>
              </w:rPr>
              <w:t>2</w:t>
            </w:r>
            <w:r>
              <w:rPr>
                <w:rFonts w:hint="eastAsia"/>
                <w:color w:val="auto"/>
              </w:rPr>
              <w:t>，主要设置5m</w:t>
            </w:r>
            <w:r>
              <w:rPr>
                <w:rFonts w:hint="eastAsia"/>
                <w:color w:val="auto"/>
                <w:vertAlign w:val="superscript"/>
              </w:rPr>
              <w:t>3</w:t>
            </w:r>
            <w:r>
              <w:rPr>
                <w:rFonts w:hint="eastAsia"/>
                <w:color w:val="auto"/>
              </w:rPr>
              <w:t>储罐（φ1600×2900mm）</w:t>
            </w:r>
            <w:r>
              <w:rPr>
                <w:rFonts w:hint="eastAsia"/>
                <w:color w:val="auto"/>
                <w:lang w:val="en-US" w:eastAsia="zh-CN"/>
              </w:rPr>
              <w:t>4</w:t>
            </w:r>
            <w:r>
              <w:rPr>
                <w:rFonts w:hint="eastAsia"/>
                <w:color w:val="auto"/>
              </w:rPr>
              <w:t>个，分别用于储存30%双氧水。</w:t>
            </w:r>
          </w:p>
        </w:tc>
        <w:tc>
          <w:tcPr>
            <w:tcW w:w="398" w:type="pct"/>
            <w:shd w:val="clear" w:color="auto" w:fill="auto"/>
            <w:vAlign w:val="center"/>
          </w:tcPr>
          <w:p w14:paraId="50D3C9AF">
            <w:pPr>
              <w:pStyle w:val="3361"/>
              <w:ind w:firstLine="0" w:firstLineChars="0"/>
              <w:rPr>
                <w:rFonts w:ascii="Times New Roman" w:hAnsi="Times New Roman" w:eastAsia="宋体" w:cs="Times New Roman"/>
                <w:color w:val="auto"/>
                <w:kern w:val="2"/>
                <w:sz w:val="21"/>
                <w:szCs w:val="21"/>
                <w:lang w:val="zh-CN" w:eastAsia="zh-CN" w:bidi="ar-SA"/>
              </w:rPr>
            </w:pPr>
            <w:r>
              <w:rPr>
                <w:rFonts w:hint="eastAsia"/>
                <w:color w:val="auto"/>
              </w:rPr>
              <w:t>新建</w:t>
            </w:r>
          </w:p>
        </w:tc>
      </w:tr>
      <w:tr w14:paraId="73262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8" w:type="pct"/>
            <w:vMerge w:val="continue"/>
            <w:vAlign w:val="center"/>
          </w:tcPr>
          <w:p w14:paraId="6F644281">
            <w:pPr>
              <w:pStyle w:val="3361"/>
              <w:rPr>
                <w:color w:val="auto"/>
              </w:rPr>
            </w:pPr>
          </w:p>
        </w:tc>
        <w:tc>
          <w:tcPr>
            <w:tcW w:w="506" w:type="pct"/>
            <w:shd w:val="clear" w:color="auto" w:fill="auto"/>
            <w:vAlign w:val="center"/>
          </w:tcPr>
          <w:p w14:paraId="639CB63B">
            <w:pPr>
              <w:pStyle w:val="3361"/>
              <w:ind w:firstLine="0" w:firstLineChars="0"/>
              <w:rPr>
                <w:rFonts w:ascii="Times New Roman" w:hAnsi="Times New Roman" w:eastAsia="宋体" w:cs="Times New Roman"/>
                <w:color w:val="auto"/>
                <w:kern w:val="2"/>
                <w:sz w:val="21"/>
                <w:szCs w:val="21"/>
                <w:lang w:val="zh-CN" w:eastAsia="zh-CN" w:bidi="ar-SA"/>
              </w:rPr>
            </w:pPr>
            <w:r>
              <w:rPr>
                <w:rFonts w:hint="eastAsia"/>
                <w:color w:val="auto"/>
                <w:lang w:val="en-US" w:eastAsia="zh-CN"/>
              </w:rPr>
              <w:t>2</w:t>
            </w:r>
            <w:r>
              <w:rPr>
                <w:rFonts w:hint="eastAsia"/>
                <w:color w:val="auto"/>
              </w:rPr>
              <w:t>#药剂储存罐区</w:t>
            </w:r>
          </w:p>
        </w:tc>
        <w:tc>
          <w:tcPr>
            <w:tcW w:w="3846" w:type="pct"/>
            <w:shd w:val="clear" w:color="auto" w:fill="auto"/>
            <w:vAlign w:val="center"/>
          </w:tcPr>
          <w:p w14:paraId="4128BD85">
            <w:pPr>
              <w:pStyle w:val="3361"/>
              <w:ind w:firstLine="0" w:firstLineChars="0"/>
              <w:rPr>
                <w:rFonts w:ascii="Times New Roman" w:hAnsi="Times New Roman" w:eastAsia="宋体" w:cs="Times New Roman"/>
                <w:color w:val="auto"/>
                <w:kern w:val="2"/>
                <w:sz w:val="21"/>
                <w:szCs w:val="21"/>
                <w:lang w:val="zh-CN" w:eastAsia="zh-CN" w:bidi="ar-SA"/>
              </w:rPr>
            </w:pPr>
            <w:r>
              <w:rPr>
                <w:rFonts w:hint="eastAsia"/>
                <w:color w:val="auto"/>
              </w:rPr>
              <w:t>在厂区西北侧污水处理区域布置3#药剂储存罐区，占地面积</w:t>
            </w:r>
            <w:r>
              <w:rPr>
                <w:rFonts w:hint="eastAsia"/>
                <w:color w:val="auto"/>
                <w:lang w:val="en-US" w:eastAsia="zh-CN"/>
              </w:rPr>
              <w:t>50</w:t>
            </w:r>
            <w:r>
              <w:rPr>
                <w:rFonts w:hint="eastAsia"/>
                <w:color w:val="auto"/>
              </w:rPr>
              <w:t>m</w:t>
            </w:r>
            <w:r>
              <w:rPr>
                <w:rFonts w:hint="eastAsia"/>
                <w:color w:val="auto"/>
                <w:vertAlign w:val="superscript"/>
              </w:rPr>
              <w:t>2</w:t>
            </w:r>
            <w:r>
              <w:rPr>
                <w:rFonts w:hint="eastAsia"/>
                <w:color w:val="auto"/>
              </w:rPr>
              <w:t>，主要设置 5m</w:t>
            </w:r>
            <w:r>
              <w:rPr>
                <w:rFonts w:hint="eastAsia"/>
                <w:color w:val="auto"/>
                <w:vertAlign w:val="superscript"/>
              </w:rPr>
              <w:t>3</w:t>
            </w:r>
            <w:r>
              <w:rPr>
                <w:rFonts w:hint="eastAsia"/>
                <w:color w:val="auto"/>
              </w:rPr>
              <w:t>储罐（φ1600×2900mm）</w:t>
            </w:r>
            <w:r>
              <w:rPr>
                <w:rFonts w:hint="eastAsia"/>
                <w:color w:val="auto"/>
                <w:lang w:val="en-US" w:eastAsia="zh-CN"/>
              </w:rPr>
              <w:t>6</w:t>
            </w:r>
            <w:r>
              <w:rPr>
                <w:rFonts w:hint="eastAsia"/>
                <w:color w:val="auto"/>
              </w:rPr>
              <w:t>个，</w:t>
            </w:r>
            <w:r>
              <w:rPr>
                <w:rFonts w:hint="eastAsia"/>
                <w:color w:val="auto"/>
                <w:lang w:eastAsia="zh-CN"/>
              </w:rPr>
              <w:t>分别</w:t>
            </w:r>
            <w:r>
              <w:rPr>
                <w:rFonts w:hint="eastAsia"/>
                <w:color w:val="auto"/>
              </w:rPr>
              <w:t>用于储存</w:t>
            </w:r>
            <w:r>
              <w:rPr>
                <w:rFonts w:hint="eastAsia"/>
                <w:color w:val="auto"/>
                <w:lang w:val="en-US" w:eastAsia="zh-CN"/>
              </w:rPr>
              <w:t>50%硫酸储罐2个，</w:t>
            </w:r>
            <w:r>
              <w:rPr>
                <w:rFonts w:hint="eastAsia"/>
                <w:color w:val="auto"/>
              </w:rPr>
              <w:t>30%盐酸</w:t>
            </w:r>
            <w:r>
              <w:rPr>
                <w:rFonts w:hint="eastAsia"/>
                <w:color w:val="auto"/>
                <w:lang w:val="en-US" w:eastAsia="zh-CN"/>
              </w:rPr>
              <w:t>1个，备用储罐2个</w:t>
            </w:r>
            <w:r>
              <w:rPr>
                <w:rFonts w:hint="eastAsia"/>
                <w:color w:val="auto"/>
              </w:rPr>
              <w:t>。</w:t>
            </w:r>
          </w:p>
        </w:tc>
        <w:tc>
          <w:tcPr>
            <w:tcW w:w="398" w:type="pct"/>
            <w:shd w:val="clear" w:color="auto" w:fill="auto"/>
            <w:vAlign w:val="center"/>
          </w:tcPr>
          <w:p w14:paraId="43EDB838">
            <w:pPr>
              <w:pStyle w:val="3361"/>
              <w:ind w:firstLine="0" w:firstLineChars="0"/>
              <w:rPr>
                <w:rFonts w:ascii="Times New Roman" w:hAnsi="Times New Roman" w:eastAsia="宋体" w:cs="Times New Roman"/>
                <w:color w:val="auto"/>
                <w:kern w:val="2"/>
                <w:sz w:val="21"/>
                <w:szCs w:val="21"/>
                <w:lang w:val="zh-CN" w:eastAsia="zh-CN" w:bidi="ar-SA"/>
              </w:rPr>
            </w:pPr>
            <w:r>
              <w:rPr>
                <w:rFonts w:hint="eastAsia"/>
                <w:color w:val="auto"/>
              </w:rPr>
              <w:t>新建</w:t>
            </w:r>
          </w:p>
        </w:tc>
      </w:tr>
      <w:tr w14:paraId="7636B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8" w:type="pct"/>
            <w:vMerge w:val="continue"/>
            <w:vAlign w:val="center"/>
          </w:tcPr>
          <w:p w14:paraId="1A5E7B97">
            <w:pPr>
              <w:pStyle w:val="3361"/>
              <w:rPr>
                <w:color w:val="auto"/>
              </w:rPr>
            </w:pPr>
          </w:p>
        </w:tc>
        <w:tc>
          <w:tcPr>
            <w:tcW w:w="506" w:type="pct"/>
            <w:shd w:val="clear" w:color="auto" w:fill="auto"/>
            <w:vAlign w:val="center"/>
          </w:tcPr>
          <w:p w14:paraId="71B17AE0">
            <w:pPr>
              <w:pStyle w:val="3361"/>
              <w:ind w:firstLine="0" w:firstLineChars="0"/>
              <w:rPr>
                <w:rFonts w:ascii="Times New Roman" w:hAnsi="Times New Roman" w:eastAsia="宋体" w:cs="Times New Roman"/>
                <w:color w:val="auto"/>
                <w:kern w:val="2"/>
                <w:sz w:val="21"/>
                <w:szCs w:val="21"/>
                <w:lang w:val="zh-CN" w:eastAsia="zh-CN" w:bidi="ar-SA"/>
              </w:rPr>
            </w:pPr>
            <w:r>
              <w:rPr>
                <w:rFonts w:hint="eastAsia"/>
                <w:color w:val="auto"/>
              </w:rPr>
              <w:t>药品储存间</w:t>
            </w:r>
          </w:p>
        </w:tc>
        <w:tc>
          <w:tcPr>
            <w:tcW w:w="3846" w:type="pct"/>
            <w:shd w:val="clear" w:color="auto" w:fill="auto"/>
            <w:vAlign w:val="center"/>
          </w:tcPr>
          <w:p w14:paraId="3673CF17">
            <w:pPr>
              <w:pStyle w:val="3361"/>
              <w:ind w:firstLine="0" w:firstLineChars="0"/>
              <w:rPr>
                <w:rFonts w:ascii="Times New Roman" w:hAnsi="Times New Roman" w:eastAsia="宋体" w:cs="Times New Roman"/>
                <w:color w:val="auto"/>
                <w:kern w:val="2"/>
                <w:sz w:val="21"/>
                <w:szCs w:val="21"/>
                <w:lang w:val="zh-CN" w:eastAsia="zh-CN" w:bidi="ar-SA"/>
              </w:rPr>
            </w:pPr>
            <w:r>
              <w:rPr>
                <w:rFonts w:hint="eastAsia"/>
                <w:color w:val="auto"/>
              </w:rPr>
              <w:t>在厂房内中部压滤脱水区域布置2#药剂储存区，占地面积</w:t>
            </w:r>
            <w:r>
              <w:rPr>
                <w:rFonts w:hint="eastAsia"/>
                <w:color w:val="auto"/>
                <w:lang w:val="en-US" w:eastAsia="zh-CN"/>
              </w:rPr>
              <w:t>35</w:t>
            </w:r>
            <w:r>
              <w:rPr>
                <w:rFonts w:hint="eastAsia"/>
                <w:color w:val="auto"/>
              </w:rPr>
              <w:t>m</w:t>
            </w:r>
            <w:r>
              <w:rPr>
                <w:rFonts w:hint="eastAsia"/>
                <w:color w:val="auto"/>
                <w:vertAlign w:val="superscript"/>
              </w:rPr>
              <w:t>2</w:t>
            </w:r>
            <w:r>
              <w:rPr>
                <w:rFonts w:hint="eastAsia"/>
                <w:color w:val="auto"/>
              </w:rPr>
              <w:t>，主要储存PAC、PAM、片碱、硫酸亚铁</w:t>
            </w:r>
            <w:r>
              <w:rPr>
                <w:rFonts w:hint="eastAsia"/>
                <w:color w:val="auto"/>
                <w:lang w:eastAsia="zh-CN"/>
              </w:rPr>
              <w:t>、</w:t>
            </w:r>
            <w:r>
              <w:rPr>
                <w:rFonts w:hint="eastAsia"/>
                <w:color w:val="auto"/>
              </w:rPr>
              <w:t>氨氮去除剂等药剂。</w:t>
            </w:r>
          </w:p>
        </w:tc>
        <w:tc>
          <w:tcPr>
            <w:tcW w:w="398" w:type="pct"/>
            <w:vAlign w:val="center"/>
          </w:tcPr>
          <w:p w14:paraId="48BBB82F">
            <w:pPr>
              <w:pStyle w:val="3361"/>
              <w:rPr>
                <w:color w:val="auto"/>
              </w:rPr>
            </w:pPr>
            <w:r>
              <w:rPr>
                <w:rFonts w:hint="eastAsia"/>
                <w:color w:val="auto"/>
              </w:rPr>
              <w:t>新建</w:t>
            </w:r>
          </w:p>
        </w:tc>
      </w:tr>
      <w:tr w14:paraId="0F02D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8" w:type="pct"/>
            <w:vMerge w:val="continue"/>
            <w:vAlign w:val="center"/>
          </w:tcPr>
          <w:p w14:paraId="3F90DADE">
            <w:pPr>
              <w:pStyle w:val="3361"/>
              <w:rPr>
                <w:color w:val="auto"/>
              </w:rPr>
            </w:pPr>
          </w:p>
        </w:tc>
        <w:tc>
          <w:tcPr>
            <w:tcW w:w="506" w:type="pct"/>
            <w:shd w:val="clear" w:color="auto" w:fill="auto"/>
            <w:vAlign w:val="center"/>
          </w:tcPr>
          <w:p w14:paraId="73E5026C">
            <w:pPr>
              <w:pStyle w:val="3361"/>
              <w:rPr>
                <w:rFonts w:hint="eastAsia" w:eastAsia="宋体"/>
                <w:color w:val="auto"/>
                <w:lang w:eastAsia="zh-CN"/>
              </w:rPr>
            </w:pPr>
            <w:r>
              <w:rPr>
                <w:rFonts w:hint="eastAsia"/>
                <w:color w:val="auto"/>
              </w:rPr>
              <w:t>污泥贮存</w:t>
            </w:r>
            <w:r>
              <w:rPr>
                <w:rFonts w:hint="eastAsia"/>
                <w:color w:val="auto"/>
                <w:lang w:eastAsia="zh-CN"/>
              </w:rPr>
              <w:t>区</w:t>
            </w:r>
          </w:p>
        </w:tc>
        <w:tc>
          <w:tcPr>
            <w:tcW w:w="3846" w:type="pct"/>
            <w:shd w:val="clear" w:color="auto" w:fill="auto"/>
            <w:vAlign w:val="center"/>
          </w:tcPr>
          <w:p w14:paraId="5A79DEF2">
            <w:pPr>
              <w:pStyle w:val="3361"/>
              <w:rPr>
                <w:color w:val="auto"/>
              </w:rPr>
            </w:pPr>
            <w:r>
              <w:rPr>
                <w:rFonts w:hint="eastAsia"/>
                <w:color w:val="auto"/>
              </w:rPr>
              <w:t>新建1个污泥贮存</w:t>
            </w:r>
            <w:r>
              <w:rPr>
                <w:rFonts w:hint="eastAsia"/>
                <w:color w:val="auto"/>
                <w:lang w:eastAsia="zh-CN"/>
              </w:rPr>
              <w:t>区</w:t>
            </w:r>
            <w:r>
              <w:rPr>
                <w:rFonts w:hint="eastAsia"/>
                <w:color w:val="auto"/>
              </w:rPr>
              <w:t>，位于</w:t>
            </w:r>
            <w:r>
              <w:rPr>
                <w:rFonts w:hint="eastAsia"/>
                <w:color w:val="auto"/>
                <w:lang w:eastAsia="zh-CN"/>
              </w:rPr>
              <w:t>危废贮存库</w:t>
            </w:r>
            <w:r>
              <w:rPr>
                <w:rFonts w:hint="eastAsia"/>
                <w:color w:val="auto"/>
              </w:rPr>
              <w:t>，</w:t>
            </w:r>
            <w:r>
              <w:rPr>
                <w:rFonts w:hint="eastAsia"/>
                <w:color w:val="auto"/>
                <w:lang w:val="en-US"/>
              </w:rPr>
              <w:t>建筑</w:t>
            </w:r>
            <w:r>
              <w:rPr>
                <w:rFonts w:hint="eastAsia"/>
                <w:color w:val="auto"/>
              </w:rPr>
              <w:t>面积约为</w:t>
            </w:r>
            <w:r>
              <w:rPr>
                <w:rFonts w:hint="eastAsia"/>
                <w:color w:val="auto"/>
                <w:lang w:val="en-US" w:eastAsia="zh-CN"/>
              </w:rPr>
              <w:t>35</w:t>
            </w:r>
            <w:r>
              <w:rPr>
                <w:rFonts w:hint="eastAsia"/>
                <w:color w:val="auto"/>
              </w:rPr>
              <w:t>m</w:t>
            </w:r>
            <w:r>
              <w:rPr>
                <w:rFonts w:hint="eastAsia"/>
                <w:color w:val="auto"/>
                <w:vertAlign w:val="superscript"/>
              </w:rPr>
              <w:t>2</w:t>
            </w:r>
            <w:r>
              <w:rPr>
                <w:rFonts w:hint="eastAsia"/>
                <w:color w:val="auto"/>
              </w:rPr>
              <w:t>，用于储存污泥。按《危险废物贮存污染控制标准》（GB 18597-2023）相关要求设置，采取必要的防风、防晒、防雨、防漏、防渗、防腐以及其他环境污染防治措施</w:t>
            </w:r>
          </w:p>
        </w:tc>
        <w:tc>
          <w:tcPr>
            <w:tcW w:w="398" w:type="pct"/>
            <w:vAlign w:val="center"/>
          </w:tcPr>
          <w:p w14:paraId="7561CF1F">
            <w:pPr>
              <w:pStyle w:val="3361"/>
              <w:rPr>
                <w:color w:val="auto"/>
              </w:rPr>
            </w:pPr>
            <w:r>
              <w:rPr>
                <w:rFonts w:hint="eastAsia"/>
                <w:color w:val="auto"/>
              </w:rPr>
              <w:t>新建</w:t>
            </w:r>
          </w:p>
        </w:tc>
      </w:tr>
      <w:tr w14:paraId="253A5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8" w:type="pct"/>
            <w:vMerge w:val="continue"/>
            <w:vAlign w:val="center"/>
          </w:tcPr>
          <w:p w14:paraId="4E11C4A8">
            <w:pPr>
              <w:pStyle w:val="3361"/>
              <w:rPr>
                <w:color w:val="auto"/>
              </w:rPr>
            </w:pPr>
          </w:p>
        </w:tc>
        <w:tc>
          <w:tcPr>
            <w:tcW w:w="506" w:type="pct"/>
            <w:shd w:val="clear" w:color="auto" w:fill="auto"/>
            <w:vAlign w:val="center"/>
          </w:tcPr>
          <w:p w14:paraId="5EF3C2EE">
            <w:pPr>
              <w:pStyle w:val="3361"/>
              <w:rPr>
                <w:rFonts w:hint="eastAsia" w:eastAsia="宋体"/>
                <w:color w:val="auto"/>
                <w:lang w:eastAsia="zh-CN"/>
              </w:rPr>
            </w:pPr>
            <w:r>
              <w:rPr>
                <w:rFonts w:hint="eastAsia"/>
                <w:color w:val="auto"/>
              </w:rPr>
              <w:t>盐贮存</w:t>
            </w:r>
            <w:r>
              <w:rPr>
                <w:rFonts w:hint="eastAsia"/>
                <w:color w:val="auto"/>
                <w:lang w:eastAsia="zh-CN"/>
              </w:rPr>
              <w:t>区</w:t>
            </w:r>
          </w:p>
        </w:tc>
        <w:tc>
          <w:tcPr>
            <w:tcW w:w="3846" w:type="pct"/>
            <w:shd w:val="clear" w:color="auto" w:fill="auto"/>
            <w:vAlign w:val="center"/>
          </w:tcPr>
          <w:p w14:paraId="60EBAD9D">
            <w:pPr>
              <w:pStyle w:val="3361"/>
              <w:rPr>
                <w:color w:val="auto"/>
              </w:rPr>
            </w:pPr>
            <w:r>
              <w:rPr>
                <w:rFonts w:hint="eastAsia"/>
                <w:color w:val="auto"/>
              </w:rPr>
              <w:t>新建1个盐贮存</w:t>
            </w:r>
            <w:r>
              <w:rPr>
                <w:rFonts w:hint="eastAsia"/>
                <w:color w:val="auto"/>
                <w:lang w:eastAsia="zh-CN"/>
              </w:rPr>
              <w:t>区</w:t>
            </w:r>
            <w:r>
              <w:rPr>
                <w:rFonts w:hint="eastAsia"/>
                <w:color w:val="auto"/>
              </w:rPr>
              <w:t>，位于</w:t>
            </w:r>
            <w:r>
              <w:rPr>
                <w:rFonts w:hint="eastAsia"/>
                <w:color w:val="auto"/>
                <w:lang w:eastAsia="zh-CN"/>
              </w:rPr>
              <w:t>危废贮存库，</w:t>
            </w:r>
            <w:r>
              <w:rPr>
                <w:rFonts w:hint="eastAsia"/>
                <w:color w:val="auto"/>
                <w:lang w:val="en-US"/>
              </w:rPr>
              <w:t>建筑</w:t>
            </w:r>
            <w:r>
              <w:rPr>
                <w:rFonts w:hint="eastAsia"/>
                <w:color w:val="auto"/>
              </w:rPr>
              <w:t>面积约为</w:t>
            </w:r>
            <w:r>
              <w:rPr>
                <w:rFonts w:hint="eastAsia"/>
                <w:color w:val="auto"/>
                <w:lang w:val="en-US" w:eastAsia="zh-CN"/>
              </w:rPr>
              <w:t>7</w:t>
            </w:r>
            <w:r>
              <w:rPr>
                <w:rFonts w:hint="eastAsia"/>
                <w:color w:val="auto"/>
                <w:lang w:val="en-US"/>
              </w:rPr>
              <w:t>0</w:t>
            </w:r>
            <w:r>
              <w:rPr>
                <w:rFonts w:hint="eastAsia"/>
                <w:color w:val="auto"/>
              </w:rPr>
              <w:t>m</w:t>
            </w:r>
            <w:r>
              <w:rPr>
                <w:rFonts w:hint="eastAsia"/>
                <w:color w:val="auto"/>
                <w:vertAlign w:val="superscript"/>
              </w:rPr>
              <w:t>2</w:t>
            </w:r>
            <w:r>
              <w:rPr>
                <w:rFonts w:hint="eastAsia"/>
                <w:color w:val="auto"/>
              </w:rPr>
              <w:t>，用于储存结晶盐。按《危险废物贮存污染控制标准》（GB 18597-2023）相关要求设置，采取必要的防风、防晒、防雨、防漏、防渗、防腐以及其他环境污染防治措施</w:t>
            </w:r>
          </w:p>
        </w:tc>
        <w:tc>
          <w:tcPr>
            <w:tcW w:w="398" w:type="pct"/>
            <w:vAlign w:val="center"/>
          </w:tcPr>
          <w:p w14:paraId="12E5BE6B">
            <w:pPr>
              <w:pStyle w:val="3361"/>
              <w:rPr>
                <w:color w:val="auto"/>
              </w:rPr>
            </w:pPr>
            <w:r>
              <w:rPr>
                <w:rFonts w:hint="eastAsia"/>
                <w:color w:val="auto"/>
              </w:rPr>
              <w:t>新建</w:t>
            </w:r>
          </w:p>
        </w:tc>
      </w:tr>
      <w:tr w14:paraId="21450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8" w:type="pct"/>
            <w:vMerge w:val="continue"/>
            <w:vAlign w:val="center"/>
          </w:tcPr>
          <w:p w14:paraId="0FB26D2E">
            <w:pPr>
              <w:pStyle w:val="3361"/>
              <w:rPr>
                <w:color w:val="auto"/>
              </w:rPr>
            </w:pPr>
          </w:p>
        </w:tc>
        <w:tc>
          <w:tcPr>
            <w:tcW w:w="506" w:type="pct"/>
            <w:shd w:val="clear" w:color="auto" w:fill="auto"/>
            <w:vAlign w:val="center"/>
          </w:tcPr>
          <w:p w14:paraId="53614D7B">
            <w:pPr>
              <w:pStyle w:val="3361"/>
              <w:rPr>
                <w:color w:val="auto"/>
              </w:rPr>
            </w:pPr>
            <w:r>
              <w:rPr>
                <w:rFonts w:hint="eastAsia"/>
                <w:color w:val="auto"/>
              </w:rPr>
              <w:t>厂内道路</w:t>
            </w:r>
          </w:p>
        </w:tc>
        <w:tc>
          <w:tcPr>
            <w:tcW w:w="3846" w:type="pct"/>
            <w:shd w:val="clear" w:color="auto" w:fill="auto"/>
            <w:vAlign w:val="center"/>
          </w:tcPr>
          <w:p w14:paraId="1E6C2856">
            <w:pPr>
              <w:pStyle w:val="3361"/>
              <w:rPr>
                <w:color w:val="auto"/>
                <w:lang w:val="en-US"/>
              </w:rPr>
            </w:pPr>
            <w:r>
              <w:rPr>
                <w:rFonts w:hint="eastAsia"/>
                <w:color w:val="auto"/>
              </w:rPr>
              <w:t>厂区道路呈环形布置，保证消防通道畅通，厂区公路宽4.0～6.0m，道路净空高度不小于4.5m，污水处理厂出入口与厂外道路相连，满足消防车对通行的要求，同时转弯半径≥9.0m，满足消防车转弯需求</w:t>
            </w:r>
          </w:p>
        </w:tc>
        <w:tc>
          <w:tcPr>
            <w:tcW w:w="398" w:type="pct"/>
            <w:vAlign w:val="center"/>
          </w:tcPr>
          <w:p w14:paraId="1679B4DD">
            <w:pPr>
              <w:pStyle w:val="3361"/>
              <w:rPr>
                <w:color w:val="auto"/>
              </w:rPr>
            </w:pPr>
            <w:r>
              <w:rPr>
                <w:rFonts w:hint="eastAsia"/>
                <w:color w:val="auto"/>
              </w:rPr>
              <w:t>依托现有</w:t>
            </w:r>
          </w:p>
        </w:tc>
      </w:tr>
      <w:tr w14:paraId="0A82E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8" w:type="pct"/>
            <w:vMerge w:val="restart"/>
            <w:vAlign w:val="center"/>
          </w:tcPr>
          <w:p w14:paraId="0175215D">
            <w:pPr>
              <w:pStyle w:val="3361"/>
              <w:rPr>
                <w:color w:val="auto"/>
              </w:rPr>
            </w:pPr>
            <w:r>
              <w:rPr>
                <w:rFonts w:hint="eastAsia"/>
                <w:color w:val="auto"/>
              </w:rPr>
              <w:t>环保工程</w:t>
            </w:r>
          </w:p>
        </w:tc>
        <w:tc>
          <w:tcPr>
            <w:tcW w:w="506" w:type="pct"/>
            <w:vMerge w:val="restart"/>
            <w:shd w:val="clear" w:color="auto" w:fill="auto"/>
            <w:vAlign w:val="center"/>
          </w:tcPr>
          <w:p w14:paraId="477ED8E2">
            <w:pPr>
              <w:pStyle w:val="3361"/>
              <w:rPr>
                <w:color w:val="auto"/>
              </w:rPr>
            </w:pPr>
            <w:r>
              <w:rPr>
                <w:rFonts w:hint="eastAsia"/>
                <w:color w:val="auto"/>
              </w:rPr>
              <w:t>废水</w:t>
            </w:r>
          </w:p>
        </w:tc>
        <w:tc>
          <w:tcPr>
            <w:tcW w:w="3846" w:type="pct"/>
            <w:shd w:val="clear" w:color="auto" w:fill="auto"/>
            <w:vAlign w:val="center"/>
          </w:tcPr>
          <w:p w14:paraId="2D26FC73">
            <w:pPr>
              <w:pStyle w:val="3361"/>
              <w:rPr>
                <w:rFonts w:hint="eastAsia" w:eastAsia="宋体"/>
                <w:color w:val="auto"/>
                <w:lang w:eastAsia="zh-CN"/>
              </w:rPr>
            </w:pPr>
            <w:r>
              <w:rPr>
                <w:rFonts w:hint="eastAsia"/>
                <w:color w:val="auto"/>
              </w:rPr>
              <w:t>拟建项目对外接收废水、生产废水（包括实验室废水）和初期雨水等经油气田钻采废水</w:t>
            </w:r>
            <w:r>
              <w:rPr>
                <w:rFonts w:hint="eastAsia"/>
                <w:color w:val="auto"/>
                <w:lang w:eastAsia="zh-CN"/>
              </w:rPr>
              <w:t>处理</w:t>
            </w:r>
            <w:r>
              <w:rPr>
                <w:rFonts w:hint="eastAsia"/>
                <w:color w:val="auto"/>
              </w:rPr>
              <w:t>设施（处理规模</w:t>
            </w:r>
            <w:r>
              <w:rPr>
                <w:rFonts w:hint="eastAsia"/>
                <w:color w:val="auto"/>
                <w:szCs w:val="24"/>
              </w:rPr>
              <w:t>2000m</w:t>
            </w:r>
            <w:r>
              <w:rPr>
                <w:rFonts w:hint="eastAsia"/>
                <w:color w:val="auto"/>
                <w:szCs w:val="24"/>
                <w:vertAlign w:val="superscript"/>
              </w:rPr>
              <w:t>3</w:t>
            </w:r>
            <w:r>
              <w:rPr>
                <w:rFonts w:hint="eastAsia"/>
                <w:color w:val="auto"/>
                <w:szCs w:val="24"/>
              </w:rPr>
              <w:t>/d</w:t>
            </w:r>
            <w:r>
              <w:rPr>
                <w:rFonts w:hint="eastAsia"/>
                <w:color w:val="auto"/>
              </w:rPr>
              <w:t>）处理达到</w:t>
            </w:r>
            <w:r>
              <w:rPr>
                <w:rFonts w:hint="eastAsia"/>
                <w:bCs/>
                <w:color w:val="auto"/>
                <w:lang w:eastAsia="zh-CN"/>
              </w:rPr>
              <w:t>《页岩气开采水污染物排放标准》（DB50/1806-2025）间接排放标准限值</w:t>
            </w:r>
            <w:r>
              <w:rPr>
                <w:rFonts w:hint="eastAsia"/>
                <w:color w:val="auto"/>
                <w:lang w:eastAsia="zh-CN"/>
              </w:rPr>
              <w:t>后直接接入乌杨组团园区污水处理厂</w:t>
            </w:r>
            <w:r>
              <w:rPr>
                <w:rFonts w:hint="eastAsia"/>
                <w:color w:val="auto"/>
              </w:rPr>
              <w:t>进行深度处理达《城镇污水处理厂污染物排放标准》（GB18918-2002）一级 A 标准后排入</w:t>
            </w:r>
            <w:r>
              <w:rPr>
                <w:rFonts w:hint="eastAsia"/>
                <w:color w:val="auto"/>
                <w:lang w:eastAsia="zh-CN"/>
              </w:rPr>
              <w:t>长江</w:t>
            </w:r>
          </w:p>
        </w:tc>
        <w:tc>
          <w:tcPr>
            <w:tcW w:w="398" w:type="pct"/>
            <w:vAlign w:val="center"/>
          </w:tcPr>
          <w:p w14:paraId="69448896">
            <w:pPr>
              <w:pStyle w:val="3361"/>
              <w:rPr>
                <w:color w:val="auto"/>
              </w:rPr>
            </w:pPr>
            <w:r>
              <w:rPr>
                <w:rFonts w:hint="eastAsia"/>
                <w:color w:val="auto"/>
              </w:rPr>
              <w:t>新建</w:t>
            </w:r>
          </w:p>
        </w:tc>
      </w:tr>
      <w:tr w14:paraId="6A7F9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8" w:type="pct"/>
            <w:vMerge w:val="continue"/>
            <w:vAlign w:val="center"/>
          </w:tcPr>
          <w:p w14:paraId="58D5F676">
            <w:pPr>
              <w:pStyle w:val="3361"/>
              <w:rPr>
                <w:color w:val="auto"/>
              </w:rPr>
            </w:pPr>
          </w:p>
        </w:tc>
        <w:tc>
          <w:tcPr>
            <w:tcW w:w="506" w:type="pct"/>
            <w:vMerge w:val="continue"/>
            <w:shd w:val="clear" w:color="auto" w:fill="auto"/>
            <w:vAlign w:val="center"/>
          </w:tcPr>
          <w:p w14:paraId="2177E46F">
            <w:pPr>
              <w:pStyle w:val="3361"/>
              <w:rPr>
                <w:color w:val="auto"/>
              </w:rPr>
            </w:pPr>
          </w:p>
        </w:tc>
        <w:tc>
          <w:tcPr>
            <w:tcW w:w="3846" w:type="pct"/>
            <w:shd w:val="clear" w:color="auto" w:fill="auto"/>
            <w:vAlign w:val="center"/>
          </w:tcPr>
          <w:p w14:paraId="7642DA80">
            <w:pPr>
              <w:pStyle w:val="3361"/>
              <w:rPr>
                <w:rFonts w:hint="eastAsia" w:eastAsia="宋体"/>
                <w:color w:val="auto"/>
                <w:lang w:eastAsia="zh-CN"/>
              </w:rPr>
            </w:pPr>
            <w:r>
              <w:rPr>
                <w:rFonts w:hint="eastAsia"/>
                <w:color w:val="auto"/>
              </w:rPr>
              <w:t>厂区生活污水经生化池（处理规模</w:t>
            </w:r>
            <w:r>
              <w:rPr>
                <w:rFonts w:hint="eastAsia"/>
                <w:color w:val="auto"/>
                <w:lang w:val="en-US" w:eastAsia="zh-CN"/>
              </w:rPr>
              <w:t>10</w:t>
            </w:r>
            <w:r>
              <w:rPr>
                <w:rFonts w:hint="eastAsia"/>
                <w:color w:val="auto"/>
                <w:szCs w:val="24"/>
              </w:rPr>
              <w:t>m</w:t>
            </w:r>
            <w:r>
              <w:rPr>
                <w:rFonts w:hint="eastAsia"/>
                <w:color w:val="auto"/>
                <w:szCs w:val="24"/>
                <w:vertAlign w:val="superscript"/>
              </w:rPr>
              <w:t>3</w:t>
            </w:r>
            <w:r>
              <w:rPr>
                <w:rFonts w:hint="eastAsia"/>
                <w:color w:val="auto"/>
                <w:szCs w:val="24"/>
              </w:rPr>
              <w:t>/d</w:t>
            </w:r>
            <w:r>
              <w:rPr>
                <w:rFonts w:hint="eastAsia"/>
                <w:color w:val="auto"/>
              </w:rPr>
              <w:t>）处理达</w:t>
            </w:r>
            <w:r>
              <w:rPr>
                <w:rFonts w:hint="eastAsia"/>
                <w:bCs/>
                <w:color w:val="auto"/>
                <w:lang w:eastAsia="zh-CN"/>
              </w:rPr>
              <w:t>标后</w:t>
            </w:r>
            <w:r>
              <w:rPr>
                <w:rFonts w:hint="eastAsia"/>
                <w:color w:val="auto"/>
                <w:lang w:eastAsia="zh-CN"/>
              </w:rPr>
              <w:t>直接接入乌杨组团园区污水处理厂</w:t>
            </w:r>
            <w:r>
              <w:rPr>
                <w:rFonts w:hint="eastAsia"/>
                <w:color w:val="auto"/>
              </w:rPr>
              <w:t>进行深度处理达《城镇污水处理厂污染物排放标准》（GB18918-2002）一级 A 标准后排入</w:t>
            </w:r>
            <w:r>
              <w:rPr>
                <w:rFonts w:hint="eastAsia"/>
                <w:color w:val="auto"/>
                <w:lang w:eastAsia="zh-CN"/>
              </w:rPr>
              <w:t>长江</w:t>
            </w:r>
          </w:p>
        </w:tc>
        <w:tc>
          <w:tcPr>
            <w:tcW w:w="398" w:type="pct"/>
            <w:vAlign w:val="center"/>
          </w:tcPr>
          <w:p w14:paraId="41A16D9B">
            <w:pPr>
              <w:pStyle w:val="3361"/>
              <w:rPr>
                <w:rFonts w:hint="eastAsia" w:eastAsia="宋体"/>
                <w:color w:val="auto"/>
                <w:lang w:eastAsia="zh-CN"/>
              </w:rPr>
            </w:pPr>
            <w:r>
              <w:rPr>
                <w:rFonts w:hint="eastAsia"/>
                <w:color w:val="auto"/>
                <w:lang w:eastAsia="zh-CN"/>
              </w:rPr>
              <w:t>新建</w:t>
            </w:r>
          </w:p>
        </w:tc>
      </w:tr>
      <w:tr w14:paraId="39BD6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8" w:type="pct"/>
            <w:vMerge w:val="continue"/>
            <w:vAlign w:val="center"/>
          </w:tcPr>
          <w:p w14:paraId="22769B3A">
            <w:pPr>
              <w:pStyle w:val="3361"/>
              <w:rPr>
                <w:color w:val="auto"/>
              </w:rPr>
            </w:pPr>
          </w:p>
        </w:tc>
        <w:tc>
          <w:tcPr>
            <w:tcW w:w="506" w:type="pct"/>
            <w:shd w:val="clear" w:color="auto" w:fill="auto"/>
            <w:vAlign w:val="center"/>
          </w:tcPr>
          <w:p w14:paraId="324635FC">
            <w:pPr>
              <w:pStyle w:val="3361"/>
              <w:rPr>
                <w:color w:val="auto"/>
              </w:rPr>
            </w:pPr>
            <w:r>
              <w:rPr>
                <w:rFonts w:hint="eastAsia"/>
                <w:color w:val="auto"/>
              </w:rPr>
              <w:t>废气</w:t>
            </w:r>
          </w:p>
        </w:tc>
        <w:tc>
          <w:tcPr>
            <w:tcW w:w="3846" w:type="pct"/>
            <w:shd w:val="clear" w:color="auto" w:fill="auto"/>
            <w:vAlign w:val="center"/>
          </w:tcPr>
          <w:p w14:paraId="387EAD1E">
            <w:pPr>
              <w:pStyle w:val="3361"/>
              <w:rPr>
                <w:color w:val="auto"/>
              </w:rPr>
            </w:pPr>
            <w:r>
              <w:rPr>
                <w:rFonts w:hint="eastAsia"/>
                <w:color w:val="auto"/>
                <w:lang w:eastAsia="zh-CN"/>
              </w:rPr>
              <w:t>收集池</w:t>
            </w:r>
            <w:r>
              <w:rPr>
                <w:rFonts w:hint="eastAsia"/>
                <w:color w:val="auto"/>
              </w:rPr>
              <w:t>、调节池、气浮池、高密软化沉淀池、芬顿氧化池、中和沉淀池、</w:t>
            </w:r>
            <w:r>
              <w:rPr>
                <w:rFonts w:hint="eastAsia"/>
                <w:color w:val="auto"/>
                <w:lang w:eastAsia="zh-CN"/>
              </w:rPr>
              <w:t>浓水罐</w:t>
            </w:r>
            <w:r>
              <w:rPr>
                <w:rFonts w:hint="eastAsia"/>
                <w:color w:val="auto"/>
              </w:rPr>
              <w:t>、污泥池等主要产臭构筑物采取加盖等密闭方式对臭气进行收集，</w:t>
            </w:r>
            <w:r>
              <w:rPr>
                <w:rFonts w:hint="eastAsia"/>
                <w:color w:val="auto"/>
                <w:lang w:val="en-US" w:eastAsia="zh-CN"/>
              </w:rPr>
              <w:t>污泥压滤间</w:t>
            </w:r>
            <w:r>
              <w:rPr>
                <w:rFonts w:hint="eastAsia"/>
                <w:color w:val="auto"/>
                <w:lang w:val="en-US"/>
              </w:rPr>
              <w:t>、</w:t>
            </w:r>
            <w:r>
              <w:rPr>
                <w:rFonts w:hint="eastAsia"/>
                <w:color w:val="auto"/>
                <w:lang w:val="en-US" w:eastAsia="zh-CN"/>
              </w:rPr>
              <w:t>危废贮存库采取负压抽风</w:t>
            </w:r>
            <w:r>
              <w:rPr>
                <w:rFonts w:hint="eastAsia"/>
                <w:color w:val="auto"/>
                <w:lang w:val="en-US"/>
              </w:rPr>
              <w:t>收集臭气，废气</w:t>
            </w:r>
            <w:r>
              <w:rPr>
                <w:rFonts w:hint="eastAsia"/>
                <w:color w:val="auto"/>
              </w:rPr>
              <w:t>收集后经</w:t>
            </w:r>
            <w:r>
              <w:rPr>
                <w:rFonts w:hint="eastAsia"/>
                <w:color w:val="auto"/>
                <w:lang w:val="en-US"/>
              </w:rPr>
              <w:t>1套</w:t>
            </w:r>
            <w:r>
              <w:rPr>
                <w:rFonts w:hint="eastAsia"/>
                <w:color w:val="auto"/>
              </w:rPr>
              <w:t>“</w:t>
            </w:r>
            <w:r>
              <w:rPr>
                <w:rFonts w:hint="eastAsia"/>
                <w:color w:val="auto"/>
                <w:lang w:val="en-US"/>
              </w:rPr>
              <w:t>碱喷淋+除湿+活性炭吸附</w:t>
            </w:r>
            <w:r>
              <w:rPr>
                <w:rFonts w:hint="eastAsia"/>
                <w:color w:val="auto"/>
              </w:rPr>
              <w:t>”处置达标后15m高</w:t>
            </w:r>
            <w:r>
              <w:rPr>
                <w:rFonts w:hint="eastAsia"/>
                <w:color w:val="auto"/>
                <w:lang w:val="en-US"/>
              </w:rPr>
              <w:t>DA001</w:t>
            </w:r>
            <w:r>
              <w:rPr>
                <w:rFonts w:hint="eastAsia"/>
                <w:color w:val="auto"/>
              </w:rPr>
              <w:t>排气筒排放</w:t>
            </w:r>
          </w:p>
        </w:tc>
        <w:tc>
          <w:tcPr>
            <w:tcW w:w="398" w:type="pct"/>
            <w:vAlign w:val="center"/>
          </w:tcPr>
          <w:p w14:paraId="333EBBDC">
            <w:pPr>
              <w:pStyle w:val="3361"/>
              <w:rPr>
                <w:color w:val="auto"/>
              </w:rPr>
            </w:pPr>
            <w:r>
              <w:rPr>
                <w:rFonts w:hint="eastAsia"/>
                <w:color w:val="auto"/>
              </w:rPr>
              <w:t>新建</w:t>
            </w:r>
          </w:p>
        </w:tc>
      </w:tr>
      <w:tr w14:paraId="4F5D2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8" w:type="pct"/>
            <w:vMerge w:val="continue"/>
            <w:vAlign w:val="center"/>
          </w:tcPr>
          <w:p w14:paraId="31F7A6AE">
            <w:pPr>
              <w:pStyle w:val="3361"/>
              <w:rPr>
                <w:color w:val="auto"/>
              </w:rPr>
            </w:pPr>
          </w:p>
        </w:tc>
        <w:tc>
          <w:tcPr>
            <w:tcW w:w="506" w:type="pct"/>
            <w:shd w:val="clear" w:color="auto" w:fill="auto"/>
            <w:vAlign w:val="center"/>
          </w:tcPr>
          <w:p w14:paraId="1F52D2DA">
            <w:pPr>
              <w:pStyle w:val="3361"/>
              <w:rPr>
                <w:color w:val="auto"/>
              </w:rPr>
            </w:pPr>
            <w:r>
              <w:rPr>
                <w:rFonts w:hint="eastAsia"/>
                <w:color w:val="auto"/>
              </w:rPr>
              <w:t>噪声</w:t>
            </w:r>
          </w:p>
        </w:tc>
        <w:tc>
          <w:tcPr>
            <w:tcW w:w="3846" w:type="pct"/>
            <w:shd w:val="clear" w:color="auto" w:fill="auto"/>
            <w:vAlign w:val="center"/>
          </w:tcPr>
          <w:p w14:paraId="51688368">
            <w:pPr>
              <w:pStyle w:val="3361"/>
              <w:rPr>
                <w:color w:val="auto"/>
              </w:rPr>
            </w:pPr>
            <w:r>
              <w:rPr>
                <w:rFonts w:hint="eastAsia"/>
                <w:color w:val="auto"/>
              </w:rPr>
              <w:t>新建设施设备均采取低噪声设备、建筑隔声、基础减振等降噪措施，厂界噪声能够满足《工业企业厂界环境噪声排放标准》3类标准要求</w:t>
            </w:r>
          </w:p>
        </w:tc>
        <w:tc>
          <w:tcPr>
            <w:tcW w:w="398" w:type="pct"/>
            <w:vAlign w:val="center"/>
          </w:tcPr>
          <w:p w14:paraId="5BB5FD4C">
            <w:pPr>
              <w:pStyle w:val="3361"/>
              <w:rPr>
                <w:color w:val="auto"/>
              </w:rPr>
            </w:pPr>
            <w:r>
              <w:rPr>
                <w:rFonts w:hint="eastAsia"/>
                <w:color w:val="auto"/>
              </w:rPr>
              <w:t>新建</w:t>
            </w:r>
          </w:p>
        </w:tc>
      </w:tr>
      <w:tr w14:paraId="65880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8" w:type="pct"/>
            <w:vMerge w:val="continue"/>
            <w:vAlign w:val="center"/>
          </w:tcPr>
          <w:p w14:paraId="22E704EA">
            <w:pPr>
              <w:pStyle w:val="3361"/>
              <w:rPr>
                <w:color w:val="auto"/>
              </w:rPr>
            </w:pPr>
          </w:p>
        </w:tc>
        <w:tc>
          <w:tcPr>
            <w:tcW w:w="506" w:type="pct"/>
            <w:vMerge w:val="restart"/>
            <w:shd w:val="clear" w:color="auto" w:fill="auto"/>
            <w:vAlign w:val="center"/>
          </w:tcPr>
          <w:p w14:paraId="191A4BC7">
            <w:pPr>
              <w:pStyle w:val="3361"/>
              <w:rPr>
                <w:color w:val="auto"/>
              </w:rPr>
            </w:pPr>
            <w:r>
              <w:rPr>
                <w:rFonts w:hint="eastAsia"/>
                <w:color w:val="auto"/>
              </w:rPr>
              <w:t>固体废物</w:t>
            </w:r>
          </w:p>
        </w:tc>
        <w:tc>
          <w:tcPr>
            <w:tcW w:w="3846" w:type="pct"/>
            <w:shd w:val="clear" w:color="auto" w:fill="auto"/>
            <w:vAlign w:val="center"/>
          </w:tcPr>
          <w:p w14:paraId="624938BE">
            <w:pPr>
              <w:spacing w:line="360" w:lineRule="auto"/>
              <w:ind w:firstLine="480"/>
              <w:rPr>
                <w:rFonts w:hint="eastAsia" w:ascii="Times New Roman" w:hAnsi="Times New Roman" w:eastAsia="宋体" w:cs="Times New Roman"/>
                <w:color w:val="auto"/>
                <w:kern w:val="2"/>
                <w:sz w:val="21"/>
                <w:szCs w:val="21"/>
                <w:lang w:val="zh-CN" w:eastAsia="zh-CN" w:bidi="ar-SA"/>
              </w:rPr>
            </w:pPr>
            <w:r>
              <w:rPr>
                <w:rFonts w:hint="eastAsia" w:ascii="Times New Roman" w:hAnsi="Times New Roman" w:eastAsia="宋体" w:cs="Times New Roman"/>
                <w:color w:val="auto"/>
                <w:kern w:val="2"/>
                <w:sz w:val="21"/>
                <w:szCs w:val="21"/>
                <w:lang w:val="zh-CN" w:eastAsia="zh-CN" w:bidi="ar-SA"/>
              </w:rPr>
              <w:t>危险废物：新建危险贮存库</w:t>
            </w:r>
            <w:r>
              <w:rPr>
                <w:rFonts w:hint="eastAsia" w:ascii="Times New Roman" w:hAnsi="Times New Roman" w:eastAsia="宋体" w:cs="Times New Roman"/>
                <w:color w:val="auto"/>
                <w:kern w:val="2"/>
                <w:sz w:val="21"/>
                <w:szCs w:val="21"/>
                <w:lang w:val="en-US" w:eastAsia="zh-CN" w:bidi="ar-SA"/>
              </w:rPr>
              <w:t>1个，主要包括污泥贮存区</w:t>
            </w:r>
            <w:r>
              <w:rPr>
                <w:rFonts w:hint="eastAsia" w:ascii="Times New Roman" w:hAnsi="Times New Roman" w:eastAsia="宋体" w:cs="Times New Roman"/>
                <w:color w:val="auto"/>
                <w:kern w:val="2"/>
                <w:sz w:val="21"/>
                <w:szCs w:val="21"/>
                <w:lang w:val="zh-CN" w:eastAsia="zh-CN" w:bidi="ar-SA"/>
              </w:rPr>
              <w:t>，占地面积约</w:t>
            </w:r>
            <w:r>
              <w:rPr>
                <w:rFonts w:hint="eastAsia" w:ascii="Times New Roman" w:hAnsi="Times New Roman" w:eastAsia="宋体" w:cs="Times New Roman"/>
                <w:color w:val="auto"/>
                <w:kern w:val="2"/>
                <w:sz w:val="21"/>
                <w:szCs w:val="21"/>
                <w:lang w:val="en-US" w:eastAsia="zh-CN" w:bidi="ar-SA"/>
              </w:rPr>
              <w:t>35</w:t>
            </w:r>
            <w:r>
              <w:rPr>
                <w:rFonts w:hint="eastAsia" w:ascii="Times New Roman" w:hAnsi="Times New Roman" w:eastAsia="宋体" w:cs="Times New Roman"/>
                <w:color w:val="auto"/>
                <w:kern w:val="2"/>
                <w:sz w:val="21"/>
                <w:szCs w:val="21"/>
                <w:lang w:val="zh-CN" w:eastAsia="zh-CN" w:bidi="ar-SA"/>
              </w:rPr>
              <w:t>m</w:t>
            </w:r>
            <w:r>
              <w:rPr>
                <w:rFonts w:hint="eastAsia" w:ascii="Times New Roman" w:hAnsi="Times New Roman" w:eastAsia="宋体" w:cs="Times New Roman"/>
                <w:color w:val="auto"/>
                <w:kern w:val="2"/>
                <w:sz w:val="21"/>
                <w:szCs w:val="21"/>
                <w:vertAlign w:val="superscript"/>
                <w:lang w:val="zh-CN" w:eastAsia="zh-CN" w:bidi="ar-SA"/>
              </w:rPr>
              <w:t>2</w:t>
            </w:r>
            <w:r>
              <w:rPr>
                <w:rFonts w:hint="eastAsia" w:ascii="Times New Roman" w:hAnsi="Times New Roman" w:eastAsia="宋体" w:cs="Times New Roman"/>
                <w:color w:val="auto"/>
                <w:kern w:val="2"/>
                <w:sz w:val="21"/>
                <w:szCs w:val="21"/>
                <w:lang w:val="zh-CN" w:eastAsia="zh-CN" w:bidi="ar-SA"/>
              </w:rPr>
              <w:t>，蒸发结晶盐</w:t>
            </w:r>
            <w:r>
              <w:rPr>
                <w:rFonts w:hint="eastAsia" w:ascii="Times New Roman" w:hAnsi="Times New Roman" w:eastAsia="宋体" w:cs="Times New Roman"/>
                <w:color w:val="auto"/>
                <w:kern w:val="2"/>
                <w:sz w:val="21"/>
                <w:szCs w:val="21"/>
                <w:lang w:val="en-US" w:eastAsia="zh-CN" w:bidi="ar-SA"/>
              </w:rPr>
              <w:t>贮存区</w:t>
            </w:r>
            <w:r>
              <w:rPr>
                <w:rFonts w:hint="eastAsia" w:ascii="Times New Roman" w:hAnsi="Times New Roman" w:eastAsia="宋体" w:cs="Times New Roman"/>
                <w:color w:val="auto"/>
                <w:kern w:val="2"/>
                <w:sz w:val="21"/>
                <w:szCs w:val="21"/>
                <w:lang w:val="zh-CN" w:eastAsia="zh-CN" w:bidi="ar-SA"/>
              </w:rPr>
              <w:t>，占地面积约</w:t>
            </w:r>
            <w:r>
              <w:rPr>
                <w:rFonts w:hint="eastAsia" w:ascii="Times New Roman" w:hAnsi="Times New Roman" w:eastAsia="宋体" w:cs="Times New Roman"/>
                <w:color w:val="auto"/>
                <w:kern w:val="2"/>
                <w:sz w:val="21"/>
                <w:szCs w:val="21"/>
                <w:lang w:val="en-US" w:eastAsia="zh-CN" w:bidi="ar-SA"/>
              </w:rPr>
              <w:t>70</w:t>
            </w:r>
            <w:r>
              <w:rPr>
                <w:rFonts w:hint="eastAsia" w:ascii="Times New Roman" w:hAnsi="Times New Roman" w:eastAsia="宋体" w:cs="Times New Roman"/>
                <w:color w:val="auto"/>
                <w:kern w:val="2"/>
                <w:sz w:val="21"/>
                <w:szCs w:val="21"/>
                <w:lang w:val="zh-CN" w:eastAsia="zh-CN" w:bidi="ar-SA"/>
              </w:rPr>
              <w:t>m</w:t>
            </w:r>
            <w:r>
              <w:rPr>
                <w:rFonts w:hint="eastAsia" w:ascii="Times New Roman" w:hAnsi="Times New Roman" w:eastAsia="宋体" w:cs="Times New Roman"/>
                <w:color w:val="auto"/>
                <w:kern w:val="2"/>
                <w:sz w:val="21"/>
                <w:szCs w:val="21"/>
                <w:vertAlign w:val="superscript"/>
                <w:lang w:val="zh-CN" w:eastAsia="zh-CN" w:bidi="ar-SA"/>
              </w:rPr>
              <w:t>2</w:t>
            </w:r>
            <w:r>
              <w:rPr>
                <w:rFonts w:hint="eastAsia" w:ascii="Times New Roman" w:hAnsi="Times New Roman" w:eastAsia="宋体" w:cs="Times New Roman"/>
                <w:color w:val="auto"/>
                <w:kern w:val="2"/>
                <w:sz w:val="21"/>
                <w:szCs w:val="21"/>
                <w:lang w:val="zh-CN" w:eastAsia="zh-CN" w:bidi="ar-SA"/>
              </w:rPr>
              <w:t>，其他危险废物贮存区，占地面积约</w:t>
            </w:r>
            <w:r>
              <w:rPr>
                <w:rFonts w:hint="eastAsia" w:ascii="Times New Roman" w:hAnsi="Times New Roman" w:eastAsia="宋体" w:cs="Times New Roman"/>
                <w:color w:val="auto"/>
                <w:kern w:val="2"/>
                <w:sz w:val="21"/>
                <w:szCs w:val="21"/>
                <w:lang w:val="en-US" w:eastAsia="zh-CN" w:bidi="ar-SA"/>
              </w:rPr>
              <w:t>10</w:t>
            </w:r>
            <w:r>
              <w:rPr>
                <w:rFonts w:hint="eastAsia" w:ascii="Times New Roman" w:hAnsi="Times New Roman" w:eastAsia="宋体" w:cs="Times New Roman"/>
                <w:color w:val="auto"/>
                <w:kern w:val="2"/>
                <w:sz w:val="21"/>
                <w:szCs w:val="21"/>
                <w:lang w:val="zh-CN" w:eastAsia="zh-CN" w:bidi="ar-SA"/>
              </w:rPr>
              <w:t>m</w:t>
            </w:r>
            <w:r>
              <w:rPr>
                <w:rFonts w:hint="eastAsia" w:ascii="Times New Roman" w:hAnsi="Times New Roman" w:eastAsia="宋体" w:cs="Times New Roman"/>
                <w:color w:val="auto"/>
                <w:kern w:val="2"/>
                <w:sz w:val="21"/>
                <w:szCs w:val="21"/>
                <w:vertAlign w:val="superscript"/>
                <w:lang w:val="zh-CN" w:eastAsia="zh-CN" w:bidi="ar-SA"/>
              </w:rPr>
              <w:t>2</w:t>
            </w:r>
            <w:r>
              <w:rPr>
                <w:rFonts w:hint="eastAsia" w:ascii="Times New Roman" w:hAnsi="Times New Roman" w:eastAsia="宋体" w:cs="Times New Roman"/>
                <w:color w:val="auto"/>
                <w:kern w:val="2"/>
                <w:sz w:val="21"/>
                <w:szCs w:val="21"/>
                <w:lang w:val="zh-CN" w:eastAsia="zh-CN" w:bidi="ar-SA"/>
              </w:rPr>
              <w:t>，危险废物分类收集后交有资质的单位处置。</w:t>
            </w:r>
          </w:p>
        </w:tc>
        <w:tc>
          <w:tcPr>
            <w:tcW w:w="398" w:type="pct"/>
            <w:vAlign w:val="center"/>
          </w:tcPr>
          <w:p w14:paraId="580E60FF">
            <w:pPr>
              <w:pStyle w:val="3361"/>
              <w:rPr>
                <w:rFonts w:hint="eastAsia" w:ascii="Times New Roman" w:hAnsi="Times New Roman" w:eastAsia="宋体" w:cs="Times New Roman"/>
                <w:color w:val="auto"/>
                <w:kern w:val="2"/>
                <w:sz w:val="21"/>
                <w:szCs w:val="21"/>
                <w:lang w:val="zh-CN" w:eastAsia="zh-CN" w:bidi="ar-SA"/>
              </w:rPr>
            </w:pPr>
            <w:r>
              <w:rPr>
                <w:rFonts w:hint="eastAsia" w:ascii="Times New Roman" w:hAnsi="Times New Roman" w:eastAsia="宋体" w:cs="Times New Roman"/>
                <w:color w:val="auto"/>
                <w:kern w:val="2"/>
                <w:sz w:val="21"/>
                <w:szCs w:val="21"/>
                <w:lang w:val="zh-CN" w:eastAsia="zh-CN" w:bidi="ar-SA"/>
              </w:rPr>
              <w:t>新建</w:t>
            </w:r>
          </w:p>
        </w:tc>
      </w:tr>
      <w:tr w14:paraId="749F1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8" w:type="pct"/>
            <w:vMerge w:val="continue"/>
            <w:vAlign w:val="center"/>
          </w:tcPr>
          <w:p w14:paraId="1DC9CBE2">
            <w:pPr>
              <w:pStyle w:val="3361"/>
              <w:rPr>
                <w:color w:val="auto"/>
              </w:rPr>
            </w:pPr>
          </w:p>
        </w:tc>
        <w:tc>
          <w:tcPr>
            <w:tcW w:w="506" w:type="pct"/>
            <w:vMerge w:val="continue"/>
            <w:shd w:val="clear" w:color="auto" w:fill="auto"/>
            <w:vAlign w:val="center"/>
          </w:tcPr>
          <w:p w14:paraId="1C7B4EA3">
            <w:pPr>
              <w:pStyle w:val="3361"/>
              <w:rPr>
                <w:color w:val="auto"/>
              </w:rPr>
            </w:pPr>
          </w:p>
        </w:tc>
        <w:tc>
          <w:tcPr>
            <w:tcW w:w="3846" w:type="pct"/>
            <w:shd w:val="clear" w:color="auto" w:fill="auto"/>
            <w:vAlign w:val="center"/>
          </w:tcPr>
          <w:p w14:paraId="3D20834D">
            <w:pPr>
              <w:pStyle w:val="3361"/>
              <w:rPr>
                <w:color w:val="auto"/>
              </w:rPr>
            </w:pPr>
            <w:r>
              <w:rPr>
                <w:rFonts w:hint="eastAsia"/>
                <w:color w:val="auto"/>
              </w:rPr>
              <w:t>一般工业固体废物：</w:t>
            </w:r>
            <w:r>
              <w:rPr>
                <w:rFonts w:hint="eastAsia"/>
                <w:color w:val="auto"/>
                <w:lang w:eastAsia="zh-CN"/>
              </w:rPr>
              <w:t>新建</w:t>
            </w:r>
            <w:r>
              <w:rPr>
                <w:rFonts w:hint="eastAsia"/>
                <w:color w:val="auto"/>
              </w:rPr>
              <w:t>一般工业固废暂存间</w:t>
            </w:r>
            <w:r>
              <w:rPr>
                <w:rFonts w:hint="eastAsia"/>
                <w:color w:val="auto"/>
                <w:lang w:val="en-US" w:eastAsia="zh-CN"/>
              </w:rPr>
              <w:t>1个</w:t>
            </w:r>
            <w:r>
              <w:rPr>
                <w:rFonts w:hint="eastAsia"/>
                <w:color w:val="auto"/>
              </w:rPr>
              <w:t>，占地面积约</w:t>
            </w:r>
            <w:r>
              <w:rPr>
                <w:rFonts w:hint="eastAsia"/>
                <w:color w:val="auto"/>
                <w:lang w:val="en-US" w:eastAsia="zh-CN"/>
              </w:rPr>
              <w:t>20</w:t>
            </w:r>
            <w:r>
              <w:rPr>
                <w:rFonts w:hint="eastAsia"/>
                <w:color w:val="auto"/>
              </w:rPr>
              <w:t>m</w:t>
            </w:r>
            <w:r>
              <w:rPr>
                <w:rFonts w:hint="eastAsia"/>
                <w:color w:val="auto"/>
                <w:vertAlign w:val="superscript"/>
              </w:rPr>
              <w:t>2</w:t>
            </w:r>
            <w:r>
              <w:rPr>
                <w:rFonts w:hint="eastAsia"/>
                <w:color w:val="auto"/>
              </w:rPr>
              <w:t>，暂存点满足“防渗漏、防雨淋、防扬尘”等相关要求，主要用于一般工业固体废物的储存。</w:t>
            </w:r>
          </w:p>
        </w:tc>
        <w:tc>
          <w:tcPr>
            <w:tcW w:w="398" w:type="pct"/>
            <w:vAlign w:val="center"/>
          </w:tcPr>
          <w:p w14:paraId="4C625D6A">
            <w:pPr>
              <w:pStyle w:val="3361"/>
              <w:rPr>
                <w:rFonts w:hint="eastAsia" w:eastAsia="宋体"/>
                <w:color w:val="auto"/>
                <w:lang w:eastAsia="zh-CN"/>
              </w:rPr>
            </w:pPr>
            <w:r>
              <w:rPr>
                <w:rFonts w:hint="eastAsia"/>
                <w:color w:val="auto"/>
                <w:lang w:eastAsia="zh-CN"/>
              </w:rPr>
              <w:t>新建</w:t>
            </w:r>
          </w:p>
        </w:tc>
      </w:tr>
      <w:tr w14:paraId="123A0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8" w:type="pct"/>
            <w:vMerge w:val="continue"/>
            <w:vAlign w:val="center"/>
          </w:tcPr>
          <w:p w14:paraId="42B17035">
            <w:pPr>
              <w:pStyle w:val="3361"/>
              <w:rPr>
                <w:color w:val="auto"/>
              </w:rPr>
            </w:pPr>
          </w:p>
        </w:tc>
        <w:tc>
          <w:tcPr>
            <w:tcW w:w="506" w:type="pct"/>
            <w:vMerge w:val="continue"/>
            <w:shd w:val="clear" w:color="auto" w:fill="auto"/>
            <w:vAlign w:val="center"/>
          </w:tcPr>
          <w:p w14:paraId="12E7290D">
            <w:pPr>
              <w:pStyle w:val="3361"/>
              <w:rPr>
                <w:color w:val="auto"/>
              </w:rPr>
            </w:pPr>
          </w:p>
        </w:tc>
        <w:tc>
          <w:tcPr>
            <w:tcW w:w="3846" w:type="pct"/>
            <w:shd w:val="clear" w:color="auto" w:fill="auto"/>
            <w:vAlign w:val="center"/>
          </w:tcPr>
          <w:p w14:paraId="4E2C8EA9">
            <w:pPr>
              <w:pStyle w:val="3361"/>
              <w:rPr>
                <w:color w:val="auto"/>
              </w:rPr>
            </w:pPr>
            <w:r>
              <w:rPr>
                <w:rFonts w:hint="eastAsia"/>
                <w:color w:val="auto"/>
              </w:rPr>
              <w:t>生活垃圾：依托现有生活垃圾收集设施，生活垃圾集中收集后交环卫部门处置</w:t>
            </w:r>
          </w:p>
        </w:tc>
        <w:tc>
          <w:tcPr>
            <w:tcW w:w="398" w:type="pct"/>
            <w:vAlign w:val="center"/>
          </w:tcPr>
          <w:p w14:paraId="68A864BD">
            <w:pPr>
              <w:pStyle w:val="3361"/>
              <w:rPr>
                <w:rFonts w:hint="eastAsia" w:eastAsia="宋体"/>
                <w:color w:val="auto"/>
                <w:lang w:eastAsia="zh-CN"/>
              </w:rPr>
            </w:pPr>
            <w:r>
              <w:rPr>
                <w:rFonts w:hint="eastAsia"/>
                <w:color w:val="auto"/>
                <w:lang w:eastAsia="zh-CN"/>
              </w:rPr>
              <w:t>新建</w:t>
            </w:r>
          </w:p>
        </w:tc>
      </w:tr>
      <w:tr w14:paraId="44027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8" w:type="pct"/>
            <w:vMerge w:val="continue"/>
            <w:vAlign w:val="center"/>
          </w:tcPr>
          <w:p w14:paraId="7784D2E9">
            <w:pPr>
              <w:pStyle w:val="3361"/>
              <w:rPr>
                <w:color w:val="auto"/>
              </w:rPr>
            </w:pPr>
          </w:p>
        </w:tc>
        <w:tc>
          <w:tcPr>
            <w:tcW w:w="506" w:type="pct"/>
            <w:shd w:val="clear" w:color="auto" w:fill="auto"/>
            <w:vAlign w:val="center"/>
          </w:tcPr>
          <w:p w14:paraId="20D54875">
            <w:pPr>
              <w:pStyle w:val="3361"/>
              <w:rPr>
                <w:color w:val="auto"/>
              </w:rPr>
            </w:pPr>
            <w:r>
              <w:rPr>
                <w:rFonts w:hint="eastAsia"/>
                <w:color w:val="auto"/>
              </w:rPr>
              <w:t>地下水和土壤</w:t>
            </w:r>
          </w:p>
        </w:tc>
        <w:tc>
          <w:tcPr>
            <w:tcW w:w="4244" w:type="pct"/>
            <w:gridSpan w:val="2"/>
            <w:shd w:val="clear" w:color="auto" w:fill="auto"/>
            <w:vAlign w:val="center"/>
          </w:tcPr>
          <w:p w14:paraId="53D2C5A2">
            <w:pPr>
              <w:pStyle w:val="3361"/>
              <w:rPr>
                <w:color w:val="auto"/>
              </w:rPr>
            </w:pPr>
            <w:r>
              <w:rPr>
                <w:rFonts w:hint="eastAsia"/>
                <w:color w:val="auto"/>
              </w:rPr>
              <w:t>按地下水分区防渗相关要求采取分区防渗措施；罐区设置围堰，厂区设置事故池，并采取重点防渗措施；定期对地下水和土壤进行跟踪监测</w:t>
            </w:r>
          </w:p>
        </w:tc>
      </w:tr>
      <w:tr w14:paraId="2BA76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8" w:type="pct"/>
            <w:vMerge w:val="continue"/>
            <w:vAlign w:val="center"/>
          </w:tcPr>
          <w:p w14:paraId="308A45B2">
            <w:pPr>
              <w:pStyle w:val="3361"/>
              <w:rPr>
                <w:color w:val="auto"/>
              </w:rPr>
            </w:pPr>
          </w:p>
        </w:tc>
        <w:tc>
          <w:tcPr>
            <w:tcW w:w="506" w:type="pct"/>
            <w:shd w:val="clear" w:color="auto" w:fill="auto"/>
            <w:vAlign w:val="center"/>
          </w:tcPr>
          <w:p w14:paraId="102BE1D4">
            <w:pPr>
              <w:pStyle w:val="3361"/>
              <w:rPr>
                <w:color w:val="auto"/>
              </w:rPr>
            </w:pPr>
            <w:r>
              <w:rPr>
                <w:rFonts w:hint="eastAsia"/>
                <w:color w:val="auto"/>
              </w:rPr>
              <w:t>环境风险</w:t>
            </w:r>
          </w:p>
        </w:tc>
        <w:tc>
          <w:tcPr>
            <w:tcW w:w="4244" w:type="pct"/>
            <w:gridSpan w:val="2"/>
            <w:shd w:val="clear" w:color="auto" w:fill="auto"/>
            <w:vAlign w:val="center"/>
          </w:tcPr>
          <w:p w14:paraId="4CEB037A">
            <w:pPr>
              <w:pStyle w:val="3361"/>
              <w:rPr>
                <w:color w:val="auto"/>
              </w:rPr>
            </w:pPr>
            <w:r>
              <w:rPr>
                <w:rFonts w:hint="eastAsia"/>
                <w:color w:val="auto"/>
              </w:rPr>
              <w:t>①加强管理，定期巡检、调节、保养、维修；严格控制处理单元的相关工艺参数，确保处理效果的稳定性；</w:t>
            </w:r>
          </w:p>
          <w:p w14:paraId="050DC5CE">
            <w:pPr>
              <w:pStyle w:val="3361"/>
              <w:rPr>
                <w:color w:val="auto"/>
              </w:rPr>
            </w:pPr>
            <w:r>
              <w:rPr>
                <w:rFonts w:hint="eastAsia"/>
                <w:color w:val="auto"/>
              </w:rPr>
              <w:t>②严格按照地下水和土壤污染防治措施要求，对厂区进行防渗分区，并严格落实各区域的分区防渗措施；</w:t>
            </w:r>
          </w:p>
          <w:p w14:paraId="202BD34E">
            <w:pPr>
              <w:pStyle w:val="3361"/>
              <w:rPr>
                <w:color w:val="auto"/>
              </w:rPr>
            </w:pPr>
            <w:r>
              <w:rPr>
                <w:rFonts w:hint="eastAsia"/>
                <w:color w:val="auto"/>
              </w:rPr>
              <w:t>③污泥贮存库和盐贮存库应按《危险废物贮存污染控制标准》（GB 18597-2023）相关要求设置，采取必要的防风、防晒、防雨、防漏、防渗、防腐以及其他环境污染防治措施；</w:t>
            </w:r>
          </w:p>
          <w:p w14:paraId="2B779EDE">
            <w:pPr>
              <w:pStyle w:val="3361"/>
              <w:rPr>
                <w:color w:val="auto"/>
              </w:rPr>
            </w:pPr>
            <w:r>
              <w:rPr>
                <w:rFonts w:hint="eastAsia"/>
                <w:color w:val="auto"/>
              </w:rPr>
              <w:t>④页岩气开采废水卸水和浓水装车过程均采取全密闭管道装卸方式，废水卸车区和浓水装车区设置环形应急收集沟，就近接入废水收集池；罐区设置围堰，</w:t>
            </w:r>
            <w:r>
              <w:rPr>
                <w:rFonts w:hint="eastAsia"/>
                <w:color w:val="auto"/>
                <w:lang w:eastAsia="zh-CN"/>
              </w:rPr>
              <w:t>厂区南侧新建1座事故池</w:t>
            </w:r>
            <w:r>
              <w:rPr>
                <w:rFonts w:hint="eastAsia"/>
                <w:color w:val="auto"/>
              </w:rPr>
              <w:t>，有效容积不低于</w:t>
            </w:r>
            <w:r>
              <w:rPr>
                <w:rFonts w:hint="eastAsia"/>
                <w:color w:val="auto"/>
                <w:lang w:val="en-US" w:eastAsia="zh-CN"/>
              </w:rPr>
              <w:t>1</w:t>
            </w:r>
            <w:r>
              <w:rPr>
                <w:rFonts w:hint="eastAsia"/>
                <w:color w:val="auto"/>
                <w:lang w:val="en-US"/>
              </w:rPr>
              <w:t>000</w:t>
            </w:r>
            <w:r>
              <w:rPr>
                <w:rFonts w:hint="eastAsia"/>
                <w:color w:val="auto"/>
              </w:rPr>
              <w:t>m</w:t>
            </w:r>
            <w:r>
              <w:rPr>
                <w:rFonts w:hint="eastAsia"/>
                <w:color w:val="auto"/>
                <w:vertAlign w:val="superscript"/>
              </w:rPr>
              <w:t>3</w:t>
            </w:r>
            <w:r>
              <w:rPr>
                <w:rFonts w:hint="eastAsia"/>
                <w:color w:val="auto"/>
              </w:rPr>
              <w:t>；</w:t>
            </w:r>
          </w:p>
          <w:p w14:paraId="0ADF4DBB">
            <w:pPr>
              <w:pStyle w:val="3361"/>
              <w:jc w:val="left"/>
              <w:rPr>
                <w:color w:val="auto"/>
              </w:rPr>
            </w:pPr>
            <w:r>
              <w:rPr>
                <w:rFonts w:hint="eastAsia"/>
                <w:color w:val="auto"/>
              </w:rPr>
              <w:t>⑤</w:t>
            </w:r>
            <w:r>
              <w:rPr>
                <w:rFonts w:hint="eastAsia"/>
                <w:color w:val="auto"/>
                <w:lang w:eastAsia="zh-CN"/>
              </w:rPr>
              <w:t>编制突发事件环境风险评估及应急预案</w:t>
            </w:r>
            <w:r>
              <w:rPr>
                <w:rFonts w:hint="eastAsia"/>
                <w:color w:val="auto"/>
              </w:rPr>
              <w:t>，并报区生态环境局备案。</w:t>
            </w:r>
          </w:p>
        </w:tc>
      </w:tr>
    </w:tbl>
    <w:p w14:paraId="20F12B28">
      <w:pPr>
        <w:pStyle w:val="185"/>
        <w:rPr>
          <w:color w:val="auto"/>
        </w:rPr>
      </w:pPr>
    </w:p>
    <w:p w14:paraId="44D66D98">
      <w:pPr>
        <w:pStyle w:val="5"/>
        <w:numPr>
          <w:ilvl w:val="0"/>
          <w:numId w:val="0"/>
        </w:numPr>
        <w:spacing w:line="360" w:lineRule="auto"/>
        <w:rPr>
          <w:color w:val="auto"/>
        </w:rPr>
      </w:pPr>
      <w:r>
        <w:rPr>
          <w:rFonts w:hint="eastAsia"/>
          <w:color w:val="auto"/>
        </w:rPr>
        <w:t>3.4</w:t>
      </w:r>
      <w:r>
        <w:rPr>
          <w:color w:val="auto"/>
        </w:rPr>
        <w:t>.</w:t>
      </w:r>
      <w:r>
        <w:rPr>
          <w:rFonts w:hint="eastAsia"/>
          <w:color w:val="auto"/>
          <w:lang w:val="en-US"/>
        </w:rPr>
        <w:t>2</w:t>
      </w:r>
      <w:r>
        <w:rPr>
          <w:rFonts w:hint="eastAsia"/>
          <w:color w:val="auto"/>
        </w:rPr>
        <w:t>主要构筑物及设备</w:t>
      </w:r>
    </w:p>
    <w:p w14:paraId="157303C3">
      <w:pPr>
        <w:spacing w:line="360" w:lineRule="auto"/>
        <w:ind w:firstLine="480"/>
        <w:rPr>
          <w:rFonts w:hint="eastAsia"/>
          <w:color w:val="auto"/>
          <w:lang w:val="zh-CN"/>
        </w:rPr>
      </w:pPr>
      <w:r>
        <w:rPr>
          <w:rFonts w:hint="eastAsia"/>
          <w:color w:val="auto"/>
          <w:lang w:val="en-US" w:eastAsia="zh-CN"/>
        </w:rPr>
        <w:t>***涉及商业秘密，申请不予公开***</w:t>
      </w:r>
    </w:p>
    <w:p w14:paraId="57B586F7">
      <w:pPr>
        <w:spacing w:line="360" w:lineRule="auto"/>
        <w:ind w:firstLine="470" w:firstLineChars="196"/>
        <w:rPr>
          <w:color w:val="auto"/>
        </w:rPr>
      </w:pPr>
    </w:p>
    <w:p w14:paraId="41C671E6">
      <w:pPr>
        <w:pStyle w:val="5"/>
        <w:numPr>
          <w:ilvl w:val="0"/>
          <w:numId w:val="0"/>
        </w:numPr>
        <w:spacing w:line="360" w:lineRule="auto"/>
        <w:rPr>
          <w:color w:val="auto"/>
        </w:rPr>
      </w:pPr>
      <w:r>
        <w:rPr>
          <w:rFonts w:hint="eastAsia"/>
          <w:color w:val="auto"/>
        </w:rPr>
        <w:t>3.4</w:t>
      </w:r>
      <w:r>
        <w:rPr>
          <w:color w:val="auto"/>
        </w:rPr>
        <w:t>.</w:t>
      </w:r>
      <w:r>
        <w:rPr>
          <w:rFonts w:hint="eastAsia"/>
          <w:color w:val="auto"/>
          <w:lang w:val="en-US"/>
        </w:rPr>
        <w:t>3</w:t>
      </w:r>
      <w:r>
        <w:rPr>
          <w:rFonts w:hint="eastAsia"/>
          <w:color w:val="auto"/>
        </w:rPr>
        <w:t>厂外污水输送管道工程</w:t>
      </w:r>
    </w:p>
    <w:p w14:paraId="01202C8E">
      <w:pPr>
        <w:spacing w:line="360" w:lineRule="auto"/>
        <w:ind w:firstLine="470" w:firstLineChars="196"/>
        <w:rPr>
          <w:color w:val="auto"/>
        </w:rPr>
      </w:pPr>
      <w:r>
        <w:rPr>
          <w:rFonts w:hint="eastAsia"/>
          <w:color w:val="auto"/>
        </w:rPr>
        <w:t>拟建项目管网建设仅涉及</w:t>
      </w:r>
      <w:r>
        <w:rPr>
          <w:rFonts w:hint="eastAsia"/>
          <w:color w:val="auto"/>
          <w:lang w:eastAsia="zh-CN"/>
        </w:rPr>
        <w:t>污水处理厂</w:t>
      </w:r>
      <w:r>
        <w:rPr>
          <w:rFonts w:hint="eastAsia"/>
          <w:color w:val="auto"/>
        </w:rPr>
        <w:t>厂内管网建设，不涉及厂外管网建设，外来废水均通过罐车运至厂区内。处理达标后的外排废水通过厂内管网接入园区污水管网，进入园区污水处理厂进一步深度处理后外排</w:t>
      </w:r>
      <w:r>
        <w:rPr>
          <w:rFonts w:hint="eastAsia"/>
          <w:color w:val="auto"/>
          <w:lang w:eastAsia="zh-CN"/>
        </w:rPr>
        <w:t>长江</w:t>
      </w:r>
      <w:r>
        <w:rPr>
          <w:rFonts w:hint="eastAsia"/>
          <w:color w:val="auto"/>
        </w:rPr>
        <w:t>。</w:t>
      </w:r>
    </w:p>
    <w:p w14:paraId="43EDAC04">
      <w:pPr>
        <w:pStyle w:val="5"/>
        <w:numPr>
          <w:ilvl w:val="0"/>
          <w:numId w:val="0"/>
        </w:numPr>
        <w:spacing w:line="360" w:lineRule="auto"/>
        <w:rPr>
          <w:color w:val="auto"/>
        </w:rPr>
      </w:pPr>
      <w:r>
        <w:rPr>
          <w:rFonts w:hint="eastAsia"/>
          <w:color w:val="auto"/>
        </w:rPr>
        <w:t>3.4</w:t>
      </w:r>
      <w:r>
        <w:rPr>
          <w:color w:val="auto"/>
        </w:rPr>
        <w:t>.</w:t>
      </w:r>
      <w:r>
        <w:rPr>
          <w:color w:val="auto"/>
          <w:lang w:val="en-US"/>
        </w:rPr>
        <w:t>4</w:t>
      </w:r>
      <w:r>
        <w:rPr>
          <w:rFonts w:hint="eastAsia"/>
          <w:color w:val="auto"/>
        </w:rPr>
        <w:t>厂外污水运送</w:t>
      </w:r>
    </w:p>
    <w:p w14:paraId="75C08B6C">
      <w:pPr>
        <w:spacing w:line="360" w:lineRule="auto"/>
        <w:ind w:firstLine="470" w:firstLineChars="196"/>
        <w:rPr>
          <w:color w:val="auto"/>
        </w:rPr>
      </w:pPr>
      <w:r>
        <w:rPr>
          <w:rFonts w:hint="eastAsia"/>
          <w:color w:val="auto"/>
        </w:rPr>
        <w:t>拟建项目外来废水均通过罐车运至厂区内。</w:t>
      </w:r>
      <w:r>
        <w:rPr>
          <w:rFonts w:hint="eastAsia"/>
          <w:color w:val="auto"/>
          <w:lang w:eastAsia="zh-CN"/>
        </w:rPr>
        <w:t>厂外岩页气开采废水</w:t>
      </w:r>
      <w:r>
        <w:rPr>
          <w:rFonts w:hint="eastAsia"/>
          <w:color w:val="auto"/>
        </w:rPr>
        <w:t>运输委托专业运公司采用罐车进行运输，与</w:t>
      </w:r>
      <w:r>
        <w:rPr>
          <w:rFonts w:hint="eastAsia"/>
          <w:color w:val="auto"/>
          <w:lang w:eastAsia="zh-CN"/>
        </w:rPr>
        <w:t>运输单位</w:t>
      </w:r>
      <w:r>
        <w:rPr>
          <w:rFonts w:hint="eastAsia"/>
          <w:color w:val="auto"/>
        </w:rPr>
        <w:t>签订运输合作意向协议</w:t>
      </w:r>
      <w:r>
        <w:rPr>
          <w:rFonts w:hint="eastAsia"/>
          <w:color w:val="auto"/>
          <w:lang w:eastAsia="zh-CN"/>
        </w:rPr>
        <w:t>，</w:t>
      </w:r>
      <w:r>
        <w:rPr>
          <w:rFonts w:hint="eastAsia"/>
          <w:color w:val="auto"/>
        </w:rPr>
        <w:t>明确运输单位对运输过程中的安全和环保工作负责。</w:t>
      </w:r>
    </w:p>
    <w:p w14:paraId="6FDAC5A4">
      <w:pPr>
        <w:pStyle w:val="4"/>
        <w:numPr>
          <w:ilvl w:val="0"/>
          <w:numId w:val="0"/>
        </w:numPr>
        <w:spacing w:line="360" w:lineRule="auto"/>
        <w:rPr>
          <w:color w:val="auto"/>
        </w:rPr>
      </w:pPr>
      <w:bookmarkStart w:id="135" w:name="_Toc9993"/>
      <w:r>
        <w:rPr>
          <w:rFonts w:hint="eastAsia"/>
          <w:color w:val="auto"/>
        </w:rPr>
        <w:t>3.5污水处理厂</w:t>
      </w:r>
      <w:r>
        <w:rPr>
          <w:color w:val="auto"/>
        </w:rPr>
        <w:t>公</w:t>
      </w:r>
      <w:r>
        <w:rPr>
          <w:rFonts w:hint="eastAsia"/>
          <w:color w:val="auto"/>
        </w:rPr>
        <w:t>辅</w:t>
      </w:r>
      <w:r>
        <w:rPr>
          <w:color w:val="auto"/>
        </w:rPr>
        <w:t>工程</w:t>
      </w:r>
      <w:bookmarkEnd w:id="135"/>
    </w:p>
    <w:p w14:paraId="457E8E5B">
      <w:pPr>
        <w:pStyle w:val="5"/>
        <w:numPr>
          <w:ilvl w:val="0"/>
          <w:numId w:val="0"/>
        </w:numPr>
        <w:spacing w:line="360" w:lineRule="auto"/>
        <w:rPr>
          <w:color w:val="auto"/>
        </w:rPr>
      </w:pPr>
      <w:r>
        <w:rPr>
          <w:rFonts w:hint="eastAsia"/>
          <w:color w:val="auto"/>
        </w:rPr>
        <w:t>3.5</w:t>
      </w:r>
      <w:r>
        <w:rPr>
          <w:color w:val="auto"/>
        </w:rPr>
        <w:t>.1供电</w:t>
      </w:r>
    </w:p>
    <w:p w14:paraId="2DE7E0A0">
      <w:pPr>
        <w:spacing w:line="360" w:lineRule="auto"/>
        <w:ind w:firstLine="480"/>
        <w:rPr>
          <w:color w:val="auto"/>
        </w:rPr>
      </w:pPr>
      <w:r>
        <w:rPr>
          <w:rFonts w:hint="eastAsia"/>
          <w:color w:val="auto"/>
        </w:rPr>
        <w:t>由市政供电系统供电。另外为确保项目应急保障能力，依托</w:t>
      </w:r>
      <w:r>
        <w:rPr>
          <w:rFonts w:hint="eastAsia"/>
          <w:color w:val="auto"/>
          <w:lang w:eastAsia="zh-CN"/>
        </w:rPr>
        <w:t>园区污水处理厂</w:t>
      </w:r>
      <w:r>
        <w:rPr>
          <w:rFonts w:hint="eastAsia"/>
          <w:color w:val="auto"/>
        </w:rPr>
        <w:t>应急备用电源。</w:t>
      </w:r>
    </w:p>
    <w:p w14:paraId="3C153C69">
      <w:pPr>
        <w:pStyle w:val="5"/>
        <w:numPr>
          <w:ilvl w:val="0"/>
          <w:numId w:val="0"/>
        </w:numPr>
        <w:spacing w:line="360" w:lineRule="auto"/>
        <w:rPr>
          <w:color w:val="auto"/>
        </w:rPr>
      </w:pPr>
      <w:r>
        <w:rPr>
          <w:rFonts w:hint="eastAsia"/>
          <w:color w:val="auto"/>
        </w:rPr>
        <w:t>3.5</w:t>
      </w:r>
      <w:r>
        <w:rPr>
          <w:color w:val="auto"/>
        </w:rPr>
        <w:t>.2给水</w:t>
      </w:r>
    </w:p>
    <w:p w14:paraId="532DCDA2">
      <w:pPr>
        <w:spacing w:line="360" w:lineRule="auto"/>
        <w:ind w:firstLine="480"/>
        <w:rPr>
          <w:color w:val="auto"/>
        </w:rPr>
      </w:pPr>
      <w:r>
        <w:rPr>
          <w:rFonts w:hint="eastAsia"/>
          <w:color w:val="auto"/>
        </w:rPr>
        <w:t>生活用水由市政供水管网供水</w:t>
      </w:r>
      <w:r>
        <w:rPr>
          <w:color w:val="auto"/>
          <w:lang w:val="zh-CN"/>
        </w:rPr>
        <w:t>。</w:t>
      </w:r>
    </w:p>
    <w:p w14:paraId="7F03B05E">
      <w:pPr>
        <w:pStyle w:val="5"/>
        <w:numPr>
          <w:ilvl w:val="0"/>
          <w:numId w:val="0"/>
        </w:numPr>
        <w:spacing w:line="360" w:lineRule="auto"/>
        <w:rPr>
          <w:color w:val="auto"/>
        </w:rPr>
      </w:pPr>
      <w:r>
        <w:rPr>
          <w:rFonts w:hint="eastAsia"/>
          <w:color w:val="auto"/>
        </w:rPr>
        <w:t>3.5</w:t>
      </w:r>
      <w:r>
        <w:rPr>
          <w:color w:val="auto"/>
        </w:rPr>
        <w:t>.3排水</w:t>
      </w:r>
    </w:p>
    <w:p w14:paraId="5485F163">
      <w:pPr>
        <w:spacing w:line="360" w:lineRule="auto"/>
        <w:ind w:firstLine="480"/>
        <w:rPr>
          <w:color w:val="auto"/>
          <w:lang w:val="zh-CN"/>
        </w:rPr>
      </w:pPr>
      <w:r>
        <w:rPr>
          <w:rFonts w:hint="eastAsia"/>
          <w:color w:val="auto"/>
          <w:lang w:val="zh-CN"/>
        </w:rPr>
        <w:t>厂区排水采用雨污分流制，初期雨水经雨水管网收集后进入事故池（兼初期雨水收集池），后期</w:t>
      </w:r>
      <w:r>
        <w:rPr>
          <w:color w:val="auto"/>
          <w:lang w:val="zh-CN"/>
        </w:rPr>
        <w:t>雨水</w:t>
      </w:r>
      <w:r>
        <w:rPr>
          <w:rFonts w:hint="eastAsia"/>
          <w:color w:val="auto"/>
          <w:lang w:val="zh-CN"/>
        </w:rPr>
        <w:t>经雨水管网收集后排入园区雨水管网；</w:t>
      </w:r>
      <w:r>
        <w:rPr>
          <w:rFonts w:hint="eastAsia"/>
          <w:color w:val="auto"/>
        </w:rPr>
        <w:t>其他废水经处理达标后排入园区污水管网</w:t>
      </w:r>
      <w:r>
        <w:rPr>
          <w:rFonts w:hint="eastAsia"/>
          <w:color w:val="auto"/>
          <w:lang w:val="zh-CN"/>
        </w:rPr>
        <w:t>。</w:t>
      </w:r>
    </w:p>
    <w:p w14:paraId="71B8F8E8">
      <w:pPr>
        <w:pStyle w:val="5"/>
        <w:numPr>
          <w:ilvl w:val="0"/>
          <w:numId w:val="0"/>
        </w:numPr>
        <w:spacing w:line="360" w:lineRule="auto"/>
        <w:rPr>
          <w:color w:val="auto"/>
        </w:rPr>
      </w:pPr>
      <w:r>
        <w:rPr>
          <w:rFonts w:hint="eastAsia"/>
          <w:color w:val="auto"/>
        </w:rPr>
        <w:t>3.5</w:t>
      </w:r>
      <w:r>
        <w:rPr>
          <w:color w:val="auto"/>
        </w:rPr>
        <w:t>.4厂区道路</w:t>
      </w:r>
    </w:p>
    <w:p w14:paraId="51B77E05">
      <w:pPr>
        <w:spacing w:line="360" w:lineRule="auto"/>
        <w:ind w:firstLine="480"/>
        <w:rPr>
          <w:color w:val="auto"/>
          <w:lang w:val="zh-CN"/>
        </w:rPr>
      </w:pPr>
      <w:r>
        <w:rPr>
          <w:rFonts w:hint="eastAsia"/>
          <w:color w:val="auto"/>
          <w:lang w:val="zh-CN"/>
        </w:rPr>
        <w:t>厂区位置紧邻园区道路，因此不需要设置进厂道路，厂区内设置物流道路及人行道路。</w:t>
      </w:r>
    </w:p>
    <w:p w14:paraId="6965727F">
      <w:pPr>
        <w:pStyle w:val="5"/>
        <w:numPr>
          <w:ilvl w:val="0"/>
          <w:numId w:val="0"/>
        </w:numPr>
        <w:spacing w:line="360" w:lineRule="auto"/>
        <w:rPr>
          <w:color w:val="auto"/>
        </w:rPr>
      </w:pPr>
      <w:r>
        <w:rPr>
          <w:rFonts w:hint="eastAsia"/>
          <w:color w:val="auto"/>
        </w:rPr>
        <w:t>3.5</w:t>
      </w:r>
      <w:r>
        <w:rPr>
          <w:color w:val="auto"/>
        </w:rPr>
        <w:t>.</w:t>
      </w:r>
      <w:r>
        <w:rPr>
          <w:rFonts w:hint="eastAsia"/>
          <w:color w:val="auto"/>
          <w:lang w:val="en-US"/>
        </w:rPr>
        <w:t>5实验室</w:t>
      </w:r>
    </w:p>
    <w:p w14:paraId="08C633B9">
      <w:pPr>
        <w:spacing w:line="360" w:lineRule="auto"/>
        <w:ind w:firstLine="480"/>
        <w:rPr>
          <w:color w:val="auto"/>
          <w:lang w:val="zh-CN"/>
        </w:rPr>
      </w:pPr>
      <w:r>
        <w:rPr>
          <w:rFonts w:hint="eastAsia"/>
          <w:color w:val="auto"/>
          <w:lang w:val="zh-CN"/>
        </w:rPr>
        <w:t>项目于车间内设置实验室1间，占地面积约</w:t>
      </w:r>
      <w:r>
        <w:rPr>
          <w:rFonts w:hint="eastAsia"/>
          <w:color w:val="auto"/>
          <w:lang w:val="en-US" w:eastAsia="zh-CN"/>
        </w:rPr>
        <w:t>4</w:t>
      </w:r>
      <w:r>
        <w:rPr>
          <w:rFonts w:hint="eastAsia"/>
          <w:color w:val="auto"/>
          <w:lang w:val="zh-CN"/>
        </w:rPr>
        <w:t>0m</w:t>
      </w:r>
      <w:r>
        <w:rPr>
          <w:rFonts w:hint="eastAsia"/>
          <w:color w:val="auto"/>
          <w:vertAlign w:val="superscript"/>
          <w:lang w:val="zh-CN"/>
        </w:rPr>
        <w:t>2</w:t>
      </w:r>
      <w:r>
        <w:rPr>
          <w:rFonts w:hint="eastAsia"/>
          <w:color w:val="auto"/>
          <w:lang w:val="zh-CN"/>
        </w:rPr>
        <w:t>，用于对各类废水中的TDS、氯化物、COD、氨氮及硬度等常规水质因子进行检验分析。实验室主要设备包括TDS分析仪、氯化物分析仪、 COD分析仪、氨氮分析仪和硬度分析仪等，检测试剂主要采用外购化学试剂，不涉及配药</w:t>
      </w:r>
    </w:p>
    <w:p w14:paraId="731D9841">
      <w:pPr>
        <w:spacing w:line="360" w:lineRule="auto"/>
        <w:ind w:firstLine="480"/>
        <w:rPr>
          <w:color w:val="auto"/>
          <w:lang w:val="zh-CN"/>
        </w:rPr>
      </w:pPr>
      <w:r>
        <w:rPr>
          <w:rFonts w:hint="eastAsia"/>
          <w:color w:val="auto"/>
          <w:lang w:val="zh-CN"/>
        </w:rPr>
        <w:t>实验室设备、器皿一次和二次清洗过程产生清洗废液，后续清洗产生实验室清洗废水。清洗废液作为实验室废物桶装收集后按危险废物处理；实验室清洗废水产生量约为</w:t>
      </w:r>
      <w:r>
        <w:rPr>
          <w:rFonts w:hint="eastAsia"/>
          <w:color w:val="auto"/>
        </w:rPr>
        <w:t>0.9m</w:t>
      </w:r>
      <w:r>
        <w:rPr>
          <w:rFonts w:hint="eastAsia"/>
          <w:color w:val="auto"/>
          <w:vertAlign w:val="superscript"/>
        </w:rPr>
        <w:t>3</w:t>
      </w:r>
      <w:r>
        <w:rPr>
          <w:rFonts w:hint="eastAsia"/>
          <w:color w:val="auto"/>
        </w:rPr>
        <w:t>/d，</w:t>
      </w:r>
      <w:r>
        <w:rPr>
          <w:rFonts w:hint="eastAsia"/>
          <w:color w:val="auto"/>
          <w:lang w:val="zh-CN"/>
        </w:rPr>
        <w:t>作为生产废水进入废水处理站处理。</w:t>
      </w:r>
    </w:p>
    <w:p w14:paraId="31CE7013">
      <w:pPr>
        <w:spacing w:line="360" w:lineRule="auto"/>
        <w:ind w:firstLine="480"/>
        <w:rPr>
          <w:color w:val="auto"/>
          <w:lang w:val="zh-CN"/>
        </w:rPr>
      </w:pPr>
      <w:r>
        <w:rPr>
          <w:rFonts w:hint="eastAsia"/>
          <w:color w:val="auto"/>
          <w:lang w:val="zh-CN"/>
        </w:rPr>
        <w:t>实验室产生实验室废物主要包括分析检测过程中产生的废实验样品、试剂、一次和二次清洗废液等，类比同类项目产生量约为</w:t>
      </w:r>
      <w:r>
        <w:rPr>
          <w:rFonts w:hint="eastAsia"/>
          <w:color w:val="auto"/>
        </w:rPr>
        <w:t>3.5</w:t>
      </w:r>
      <w:r>
        <w:rPr>
          <w:rFonts w:hint="eastAsia"/>
          <w:color w:val="auto"/>
          <w:lang w:val="zh-CN"/>
        </w:rPr>
        <w:t>t/a，作为危险废物交有资质单位处置。</w:t>
      </w:r>
    </w:p>
    <w:p w14:paraId="01DD1E2F">
      <w:pPr>
        <w:spacing w:line="360" w:lineRule="auto"/>
        <w:ind w:firstLine="480"/>
        <w:rPr>
          <w:color w:val="auto"/>
          <w:lang w:val="zh-CN"/>
        </w:rPr>
      </w:pPr>
      <w:r>
        <w:rPr>
          <w:rFonts w:hint="eastAsia"/>
          <w:color w:val="auto"/>
          <w:lang w:val="zh-CN"/>
        </w:rPr>
        <w:t>实验室按《危险废物贮存污染控制标准》（GB18597-2023）要求设置危废贮存点，危废贮存点设置收集桶下方配套设置托盘，桶装收集后的实验室废物定期转移至危废贮存库，交有资质单位处置。</w:t>
      </w:r>
    </w:p>
    <w:p w14:paraId="7C60108D">
      <w:pPr>
        <w:pStyle w:val="5"/>
        <w:numPr>
          <w:ilvl w:val="0"/>
          <w:numId w:val="0"/>
        </w:numPr>
        <w:spacing w:line="360" w:lineRule="auto"/>
        <w:rPr>
          <w:color w:val="auto"/>
        </w:rPr>
      </w:pPr>
      <w:r>
        <w:rPr>
          <w:rFonts w:hint="eastAsia"/>
          <w:color w:val="auto"/>
        </w:rPr>
        <w:t>3.5</w:t>
      </w:r>
      <w:r>
        <w:rPr>
          <w:color w:val="auto"/>
        </w:rPr>
        <w:t>.</w:t>
      </w:r>
      <w:r>
        <w:rPr>
          <w:rFonts w:hint="eastAsia"/>
          <w:color w:val="auto"/>
          <w:lang w:val="en-US"/>
        </w:rPr>
        <w:t>6办公区</w:t>
      </w:r>
    </w:p>
    <w:p w14:paraId="10BCA561">
      <w:pPr>
        <w:spacing w:line="360" w:lineRule="auto"/>
        <w:ind w:firstLine="480"/>
        <w:rPr>
          <w:color w:val="auto"/>
          <w:lang w:val="zh-CN"/>
        </w:rPr>
      </w:pPr>
      <w:r>
        <w:rPr>
          <w:rFonts w:hint="eastAsia"/>
          <w:color w:val="auto"/>
          <w:lang w:val="zh-CN"/>
        </w:rPr>
        <w:t>新建办公区，占地面积</w:t>
      </w:r>
      <w:r>
        <w:rPr>
          <w:rFonts w:hint="eastAsia"/>
          <w:color w:val="auto"/>
          <w:lang w:val="en-US" w:eastAsia="zh-CN"/>
        </w:rPr>
        <w:t>40</w:t>
      </w:r>
      <w:r>
        <w:rPr>
          <w:rFonts w:hint="eastAsia"/>
          <w:color w:val="auto"/>
          <w:lang w:val="zh-CN"/>
        </w:rPr>
        <w:t>m</w:t>
      </w:r>
      <w:r>
        <w:rPr>
          <w:rFonts w:hint="eastAsia"/>
          <w:color w:val="auto"/>
          <w:vertAlign w:val="superscript"/>
          <w:lang w:val="zh-CN"/>
        </w:rPr>
        <w:t>2</w:t>
      </w:r>
      <w:r>
        <w:rPr>
          <w:rFonts w:hint="eastAsia"/>
          <w:color w:val="auto"/>
          <w:lang w:val="zh-CN"/>
        </w:rPr>
        <w:t>；主要布置办公室、倒班室等，主要用于职工办公、倒班及钻井液成分测试分析等。</w:t>
      </w:r>
    </w:p>
    <w:p w14:paraId="7A43D2BE">
      <w:pPr>
        <w:pStyle w:val="5"/>
        <w:numPr>
          <w:ilvl w:val="0"/>
          <w:numId w:val="0"/>
        </w:numPr>
        <w:spacing w:line="360" w:lineRule="auto"/>
        <w:rPr>
          <w:color w:val="auto"/>
        </w:rPr>
      </w:pPr>
      <w:r>
        <w:rPr>
          <w:rFonts w:hint="eastAsia"/>
          <w:color w:val="auto"/>
        </w:rPr>
        <w:t>3.5</w:t>
      </w:r>
      <w:r>
        <w:rPr>
          <w:color w:val="auto"/>
        </w:rPr>
        <w:t>.</w:t>
      </w:r>
      <w:r>
        <w:rPr>
          <w:rFonts w:hint="eastAsia"/>
          <w:color w:val="auto"/>
          <w:lang w:val="en-US"/>
        </w:rPr>
        <w:t>7机修间</w:t>
      </w:r>
    </w:p>
    <w:p w14:paraId="344103EF">
      <w:pPr>
        <w:spacing w:line="360" w:lineRule="auto"/>
        <w:ind w:firstLine="480"/>
        <w:rPr>
          <w:color w:val="auto"/>
          <w:lang w:val="zh-CN"/>
        </w:rPr>
      </w:pPr>
      <w:r>
        <w:rPr>
          <w:rFonts w:hint="eastAsia"/>
          <w:color w:val="auto"/>
          <w:lang w:val="zh-CN"/>
        </w:rPr>
        <w:t>新建机修间，1F，占地面积</w:t>
      </w:r>
      <w:r>
        <w:rPr>
          <w:rFonts w:hint="eastAsia"/>
          <w:color w:val="auto"/>
          <w:lang w:val="en-US" w:eastAsia="zh-CN"/>
        </w:rPr>
        <w:t>40</w:t>
      </w:r>
      <w:r>
        <w:rPr>
          <w:rFonts w:hint="eastAsia"/>
          <w:color w:val="auto"/>
          <w:lang w:val="zh-CN"/>
        </w:rPr>
        <w:t>m</w:t>
      </w:r>
      <w:r>
        <w:rPr>
          <w:rFonts w:hint="eastAsia"/>
          <w:color w:val="auto"/>
          <w:vertAlign w:val="superscript"/>
          <w:lang w:val="zh-CN"/>
        </w:rPr>
        <w:t>2</w:t>
      </w:r>
      <w:r>
        <w:rPr>
          <w:rFonts w:hint="eastAsia"/>
          <w:color w:val="auto"/>
          <w:lang w:val="zh-CN"/>
        </w:rPr>
        <w:t>，钢架，主要用于设备维护检修。</w:t>
      </w:r>
    </w:p>
    <w:p w14:paraId="396397B8">
      <w:pPr>
        <w:pStyle w:val="4"/>
        <w:numPr>
          <w:ilvl w:val="0"/>
          <w:numId w:val="0"/>
        </w:numPr>
        <w:spacing w:line="360" w:lineRule="auto"/>
        <w:rPr>
          <w:color w:val="auto"/>
        </w:rPr>
      </w:pPr>
      <w:bookmarkStart w:id="136" w:name="_Toc13706"/>
      <w:r>
        <w:rPr>
          <w:color w:val="auto"/>
        </w:rPr>
        <w:t>3.6总平面布置及合理性分析</w:t>
      </w:r>
      <w:bookmarkEnd w:id="136"/>
    </w:p>
    <w:p w14:paraId="62CD7D68">
      <w:pPr>
        <w:spacing w:line="360" w:lineRule="auto"/>
        <w:ind w:firstLine="480"/>
        <w:rPr>
          <w:color w:val="auto"/>
          <w:lang w:val="zh-CN"/>
        </w:rPr>
      </w:pPr>
      <w:r>
        <w:rPr>
          <w:rFonts w:hint="eastAsia"/>
          <w:color w:val="auto"/>
          <w:lang w:val="zh-CN"/>
        </w:rPr>
        <w:t>拟建项目总平面布置具体根据城市主导风向、进水方向、受纳水体、工艺流程特点及厂址地形、地质条件等因素进行布置，既要考虑流程合理、管理方便、经济实用。</w:t>
      </w:r>
    </w:p>
    <w:p w14:paraId="63CDD617">
      <w:pPr>
        <w:spacing w:line="360" w:lineRule="auto"/>
        <w:ind w:firstLine="480"/>
        <w:rPr>
          <w:color w:val="auto"/>
        </w:rPr>
      </w:pPr>
      <w:r>
        <w:rPr>
          <w:rFonts w:hint="eastAsia"/>
          <w:color w:val="auto"/>
          <w:lang w:val="zh-CN"/>
        </w:rPr>
        <w:t>拟建项目主要废水处理建构筑物位于园区污水厂区北侧二期预留用地，从北至南依次布设废水卸车区、储存池、预处理设施设备、清水池、污泥池、压滤间、</w:t>
      </w:r>
      <w:r>
        <w:rPr>
          <w:rFonts w:hint="eastAsia" w:cs="Tunga"/>
          <w:color w:val="auto"/>
        </w:rPr>
        <w:t>DTRO膜浓缩</w:t>
      </w:r>
      <w:r>
        <w:rPr>
          <w:rFonts w:hint="eastAsia" w:cs="Tunga"/>
          <w:color w:val="auto"/>
          <w:lang w:eastAsia="zh-CN"/>
        </w:rPr>
        <w:t>装置、</w:t>
      </w:r>
      <w:r>
        <w:rPr>
          <w:rFonts w:hint="eastAsia"/>
          <w:color w:val="auto"/>
        </w:rPr>
        <w:t>MVR蒸发装置</w:t>
      </w:r>
      <w:r>
        <w:rPr>
          <w:rFonts w:hint="eastAsia"/>
          <w:color w:val="auto"/>
          <w:lang w:eastAsia="zh-CN"/>
        </w:rPr>
        <w:t>、固体废物贮存库、排放水池和事故池等</w:t>
      </w:r>
      <w:r>
        <w:rPr>
          <w:rFonts w:hint="eastAsia"/>
          <w:color w:val="auto"/>
          <w:lang w:val="zh-CN"/>
        </w:rPr>
        <w:t>。废水处理工艺流程顺畅，管线短，交叉少，为了便于交通运输和设备的安装、维护，厂区内车行道宽</w:t>
      </w:r>
      <w:r>
        <w:rPr>
          <w:color w:val="auto"/>
          <w:lang w:val="zh-CN"/>
        </w:rPr>
        <w:t>6</w:t>
      </w:r>
      <w:r>
        <w:rPr>
          <w:rFonts w:hint="eastAsia"/>
          <w:color w:val="auto"/>
          <w:lang w:val="zh-CN"/>
        </w:rPr>
        <w:t>m，路面结构采用混凝土铺设，在厂区南侧设置</w:t>
      </w:r>
      <w:r>
        <w:rPr>
          <w:rFonts w:hint="eastAsia"/>
          <w:color w:val="auto"/>
        </w:rPr>
        <w:t>1</w:t>
      </w:r>
      <w:r>
        <w:rPr>
          <w:rFonts w:hint="eastAsia"/>
          <w:color w:val="auto"/>
          <w:lang w:val="zh-CN"/>
        </w:rPr>
        <w:t>个主出入口接厂外道路，作为</w:t>
      </w:r>
      <w:r>
        <w:rPr>
          <w:rFonts w:hint="eastAsia"/>
          <w:color w:val="auto"/>
        </w:rPr>
        <w:t>人流</w:t>
      </w:r>
      <w:r>
        <w:rPr>
          <w:rFonts w:hint="eastAsia"/>
          <w:color w:val="auto"/>
          <w:lang w:eastAsia="zh-CN"/>
        </w:rPr>
        <w:t>和物流</w:t>
      </w:r>
      <w:r>
        <w:rPr>
          <w:rFonts w:hint="eastAsia"/>
          <w:color w:val="auto"/>
          <w:lang w:val="zh-CN"/>
        </w:rPr>
        <w:t>通道。</w:t>
      </w:r>
      <w:r>
        <w:rPr>
          <w:rFonts w:hint="eastAsia"/>
          <w:color w:val="auto"/>
        </w:rPr>
        <w:t>主要产臭单元采用地埋式或进行加盖密闭收集，</w:t>
      </w:r>
      <w:r>
        <w:rPr>
          <w:color w:val="auto"/>
        </w:rPr>
        <w:t>因此，从环境保护的角度来看，拟建项目平面布置合理可行。</w:t>
      </w:r>
    </w:p>
    <w:p w14:paraId="432C1269">
      <w:pPr>
        <w:pStyle w:val="4"/>
        <w:numPr>
          <w:ilvl w:val="0"/>
          <w:numId w:val="0"/>
        </w:numPr>
        <w:spacing w:line="360" w:lineRule="auto"/>
        <w:rPr>
          <w:color w:val="auto"/>
        </w:rPr>
      </w:pPr>
      <w:bookmarkStart w:id="137" w:name="_Toc467144800"/>
      <w:bookmarkStart w:id="138" w:name="_Toc452047794"/>
      <w:bookmarkStart w:id="139" w:name="_Toc27694"/>
      <w:r>
        <w:rPr>
          <w:color w:val="auto"/>
        </w:rPr>
        <w:t>3.7原辅材料</w:t>
      </w:r>
      <w:bookmarkEnd w:id="137"/>
      <w:bookmarkEnd w:id="138"/>
      <w:r>
        <w:rPr>
          <w:color w:val="auto"/>
        </w:rPr>
        <w:t>及动力消耗</w:t>
      </w:r>
      <w:bookmarkEnd w:id="139"/>
    </w:p>
    <w:p w14:paraId="15068FC2">
      <w:pPr>
        <w:spacing w:line="360" w:lineRule="auto"/>
        <w:ind w:firstLine="480"/>
        <w:rPr>
          <w:b/>
          <w:snapToGrid w:val="0"/>
          <w:color w:val="auto"/>
          <w:kern w:val="0"/>
          <w:szCs w:val="24"/>
        </w:rPr>
      </w:pPr>
      <w:r>
        <w:rPr>
          <w:rFonts w:hint="eastAsia"/>
          <w:color w:val="auto"/>
          <w:lang w:val="en-US" w:eastAsia="zh-CN"/>
        </w:rPr>
        <w:t>***涉及商业秘密，申请不予公开***</w:t>
      </w:r>
      <w:bookmarkStart w:id="140" w:name="_Toc345177430"/>
    </w:p>
    <w:p w14:paraId="194D4DB6">
      <w:pPr>
        <w:pStyle w:val="4"/>
        <w:numPr>
          <w:ilvl w:val="0"/>
          <w:numId w:val="0"/>
        </w:numPr>
        <w:spacing w:line="360" w:lineRule="auto"/>
        <w:rPr>
          <w:b w:val="0"/>
          <w:color w:val="auto"/>
          <w:sz w:val="26"/>
          <w:szCs w:val="26"/>
        </w:rPr>
      </w:pPr>
      <w:bookmarkStart w:id="141" w:name="_Toc5439"/>
      <w:r>
        <w:rPr>
          <w:color w:val="auto"/>
        </w:rPr>
        <w:t>3.8</w:t>
      </w:r>
      <w:r>
        <w:rPr>
          <w:rFonts w:hint="eastAsia"/>
          <w:color w:val="auto"/>
        </w:rPr>
        <w:t>水平衡</w:t>
      </w:r>
      <w:bookmarkEnd w:id="141"/>
    </w:p>
    <w:p w14:paraId="79E8DDFC">
      <w:pPr>
        <w:pStyle w:val="5"/>
        <w:numPr>
          <w:ilvl w:val="0"/>
          <w:numId w:val="0"/>
        </w:numPr>
        <w:spacing w:line="360" w:lineRule="auto"/>
        <w:rPr>
          <w:color w:val="auto"/>
          <w:szCs w:val="24"/>
        </w:rPr>
      </w:pPr>
      <w:r>
        <w:rPr>
          <w:color w:val="auto"/>
          <w:szCs w:val="24"/>
          <w:lang w:val="en-US"/>
        </w:rPr>
        <w:t>3.8</w:t>
      </w:r>
      <w:r>
        <w:rPr>
          <w:color w:val="auto"/>
          <w:szCs w:val="24"/>
        </w:rPr>
        <w:t>.1</w:t>
      </w:r>
      <w:r>
        <w:rPr>
          <w:rFonts w:hint="eastAsia"/>
          <w:color w:val="auto"/>
          <w:szCs w:val="24"/>
        </w:rPr>
        <w:t>水平衡</w:t>
      </w:r>
    </w:p>
    <w:p w14:paraId="0621C778">
      <w:pPr>
        <w:spacing w:line="360" w:lineRule="auto"/>
        <w:ind w:firstLine="480"/>
        <w:rPr>
          <w:color w:val="auto"/>
          <w:szCs w:val="24"/>
        </w:rPr>
      </w:pPr>
      <w:r>
        <w:rPr>
          <w:rFonts w:hint="eastAsia"/>
          <w:color w:val="auto"/>
        </w:rPr>
        <w:t>拟建</w:t>
      </w:r>
      <w:r>
        <w:rPr>
          <w:color w:val="auto"/>
        </w:rPr>
        <w:t>项目</w:t>
      </w:r>
      <w:r>
        <w:rPr>
          <w:rFonts w:hint="eastAsia"/>
          <w:color w:val="auto"/>
        </w:rPr>
        <w:t>主要</w:t>
      </w:r>
      <w:r>
        <w:rPr>
          <w:color w:val="auto"/>
        </w:rPr>
        <w:t>用水包括</w:t>
      </w:r>
      <w:r>
        <w:rPr>
          <w:rFonts w:hint="eastAsia"/>
          <w:color w:val="auto"/>
        </w:rPr>
        <w:t>构筑物及设备清洗用水、实验室用水、车辆清洗用水（主要为车辆轮胎及外观清洗，不涉及罐体内部清洗）、药剂调配用水和</w:t>
      </w:r>
      <w:r>
        <w:rPr>
          <w:color w:val="auto"/>
          <w:szCs w:val="24"/>
        </w:rPr>
        <w:t>员工生活用水</w:t>
      </w:r>
      <w:r>
        <w:rPr>
          <w:rFonts w:hint="eastAsia"/>
          <w:color w:val="auto"/>
          <w:szCs w:val="24"/>
        </w:rPr>
        <w:t>等</w:t>
      </w:r>
      <w:r>
        <w:rPr>
          <w:color w:val="auto"/>
          <w:szCs w:val="24"/>
        </w:rPr>
        <w:t>。</w:t>
      </w:r>
    </w:p>
    <w:p w14:paraId="4DC98E8B">
      <w:pPr>
        <w:spacing w:line="360" w:lineRule="auto"/>
        <w:ind w:firstLine="480"/>
        <w:rPr>
          <w:rFonts w:hint="eastAsia"/>
          <w:color w:val="auto"/>
        </w:rPr>
      </w:pPr>
      <w:r>
        <w:rPr>
          <w:rFonts w:hint="eastAsia"/>
          <w:color w:val="auto"/>
        </w:rPr>
        <w:t>拟建项目废水经处理达到</w:t>
      </w:r>
      <w:r>
        <w:rPr>
          <w:rFonts w:hint="eastAsia"/>
          <w:color w:val="auto"/>
          <w:lang w:eastAsia="zh-CN"/>
        </w:rPr>
        <w:t>《页岩气开采水污染物排放标准》（DB50/1806-2025）间接排放标准限值后直接接入乌杨组团园区污水处理厂</w:t>
      </w:r>
      <w:r>
        <w:rPr>
          <w:rFonts w:hint="eastAsia"/>
          <w:color w:val="auto"/>
        </w:rPr>
        <w:t>进行深度处理达《城镇污水处理厂污染物排放标准》（GB18918-2002）一级 A 标准后排入</w:t>
      </w:r>
      <w:r>
        <w:rPr>
          <w:rFonts w:hint="eastAsia"/>
          <w:color w:val="auto"/>
          <w:lang w:eastAsia="zh-CN"/>
        </w:rPr>
        <w:t>长江</w:t>
      </w:r>
      <w:r>
        <w:rPr>
          <w:rFonts w:hint="eastAsia"/>
          <w:color w:val="auto"/>
        </w:rPr>
        <w:t>。</w:t>
      </w:r>
    </w:p>
    <w:p w14:paraId="199F544C">
      <w:pPr>
        <w:spacing w:line="360" w:lineRule="auto"/>
        <w:ind w:firstLine="480"/>
        <w:rPr>
          <w:rFonts w:hint="eastAsia"/>
          <w:color w:val="auto"/>
        </w:rPr>
      </w:pPr>
      <w:r>
        <w:rPr>
          <w:rFonts w:hint="eastAsia"/>
          <w:color w:val="auto"/>
          <w:lang w:val="en-US" w:eastAsia="zh-CN"/>
        </w:rPr>
        <w:t>***涉及商业秘密，申请不予公开***</w:t>
      </w:r>
    </w:p>
    <w:p w14:paraId="6CB2FDC0">
      <w:pPr>
        <w:ind w:firstLine="480"/>
        <w:jc w:val="center"/>
        <w:rPr>
          <w:color w:val="auto"/>
        </w:rPr>
      </w:pPr>
    </w:p>
    <w:p w14:paraId="03A36D9A">
      <w:pPr>
        <w:pStyle w:val="86"/>
        <w:ind w:firstLine="240"/>
        <w:rPr>
          <w:color w:val="auto"/>
          <w:lang w:val="en-US"/>
        </w:rPr>
        <w:sectPr>
          <w:pgSz w:w="11906" w:h="16838"/>
          <w:pgMar w:top="1418" w:right="1417" w:bottom="1418" w:left="1417" w:header="851" w:footer="992" w:gutter="0"/>
          <w:pgBorders>
            <w:top w:val="none" w:sz="0" w:space="0"/>
            <w:left w:val="none" w:sz="0" w:space="0"/>
            <w:bottom w:val="none" w:sz="0" w:space="0"/>
            <w:right w:val="none" w:sz="0" w:space="0"/>
          </w:pgBorders>
          <w:cols w:space="0" w:num="1"/>
          <w:docGrid w:linePitch="326" w:charSpace="0"/>
        </w:sectPr>
      </w:pPr>
    </w:p>
    <w:bookmarkEnd w:id="140"/>
    <w:p w14:paraId="4B5FC4BF">
      <w:pPr>
        <w:pStyle w:val="4"/>
        <w:numPr>
          <w:ilvl w:val="0"/>
          <w:numId w:val="0"/>
        </w:numPr>
        <w:spacing w:line="360" w:lineRule="auto"/>
        <w:rPr>
          <w:b w:val="0"/>
          <w:color w:val="auto"/>
          <w:sz w:val="26"/>
          <w:szCs w:val="26"/>
        </w:rPr>
      </w:pPr>
      <w:bookmarkStart w:id="142" w:name="_Toc6337"/>
      <w:bookmarkStart w:id="143" w:name="_Toc345177431"/>
      <w:r>
        <w:rPr>
          <w:color w:val="auto"/>
        </w:rPr>
        <w:t>3.9</w:t>
      </w:r>
      <w:r>
        <w:rPr>
          <w:rFonts w:hint="eastAsia"/>
          <w:color w:val="auto"/>
        </w:rPr>
        <w:t>工程占地与拆迁安置</w:t>
      </w:r>
      <w:bookmarkEnd w:id="142"/>
      <w:bookmarkEnd w:id="143"/>
    </w:p>
    <w:p w14:paraId="7C8D3A4A">
      <w:pPr>
        <w:spacing w:line="360" w:lineRule="auto"/>
        <w:ind w:firstLine="480"/>
        <w:rPr>
          <w:color w:val="auto"/>
        </w:rPr>
      </w:pPr>
      <w:r>
        <w:rPr>
          <w:rFonts w:hint="eastAsia"/>
          <w:color w:val="auto"/>
        </w:rPr>
        <w:t>拟建项目位于</w:t>
      </w:r>
      <w:r>
        <w:rPr>
          <w:rFonts w:hint="eastAsia"/>
          <w:color w:val="auto"/>
          <w:lang w:eastAsia="zh-CN"/>
        </w:rPr>
        <w:t>忠县工业园乌杨组团园区污水处理厂二期预留用地</w:t>
      </w:r>
      <w:r>
        <w:rPr>
          <w:rFonts w:hint="eastAsia"/>
          <w:color w:val="auto"/>
        </w:rPr>
        <w:t>范围内，属于园区</w:t>
      </w:r>
      <w:r>
        <w:rPr>
          <w:rFonts w:hint="eastAsia"/>
          <w:color w:val="auto"/>
          <w:lang w:eastAsia="zh-CN"/>
        </w:rPr>
        <w:t>工业</w:t>
      </w:r>
      <w:r>
        <w:rPr>
          <w:rFonts w:hint="eastAsia"/>
          <w:color w:val="auto"/>
        </w:rPr>
        <w:t>用地，不涉及拆迁安置。</w:t>
      </w:r>
    </w:p>
    <w:p w14:paraId="6C9051C1">
      <w:pPr>
        <w:pStyle w:val="4"/>
        <w:numPr>
          <w:ilvl w:val="0"/>
          <w:numId w:val="0"/>
        </w:numPr>
        <w:spacing w:line="360" w:lineRule="auto"/>
        <w:rPr>
          <w:color w:val="auto"/>
        </w:rPr>
      </w:pPr>
      <w:bookmarkStart w:id="144" w:name="_Toc8456"/>
      <w:bookmarkStart w:id="145" w:name="_Toc345177434"/>
      <w:r>
        <w:rPr>
          <w:color w:val="auto"/>
        </w:rPr>
        <w:t>3.10</w:t>
      </w:r>
      <w:r>
        <w:rPr>
          <w:rFonts w:hint="eastAsia"/>
          <w:color w:val="auto"/>
        </w:rPr>
        <w:t>施工进度及人员安排</w:t>
      </w:r>
      <w:bookmarkEnd w:id="144"/>
      <w:bookmarkEnd w:id="145"/>
    </w:p>
    <w:p w14:paraId="0A3B9688">
      <w:pPr>
        <w:spacing w:line="360" w:lineRule="auto"/>
        <w:ind w:firstLine="480"/>
        <w:rPr>
          <w:color w:val="auto"/>
        </w:rPr>
      </w:pPr>
      <w:r>
        <w:rPr>
          <w:rFonts w:hint="eastAsia"/>
          <w:color w:val="auto"/>
        </w:rPr>
        <w:t>（1）施工进度安排</w:t>
      </w:r>
    </w:p>
    <w:p w14:paraId="692C453A">
      <w:pPr>
        <w:spacing w:line="360" w:lineRule="auto"/>
        <w:ind w:firstLine="480"/>
        <w:rPr>
          <w:bCs/>
          <w:snapToGrid w:val="0"/>
          <w:color w:val="auto"/>
          <w:kern w:val="0"/>
          <w:szCs w:val="24"/>
        </w:rPr>
      </w:pPr>
      <w:r>
        <w:rPr>
          <w:rFonts w:hint="eastAsia"/>
          <w:color w:val="auto"/>
        </w:rPr>
        <w:t>根据项目规划安排，拟建项目</w:t>
      </w:r>
      <w:r>
        <w:rPr>
          <w:rFonts w:hint="eastAsia"/>
          <w:bCs/>
          <w:snapToGrid w:val="0"/>
          <w:color w:val="auto"/>
          <w:kern w:val="0"/>
          <w:szCs w:val="24"/>
        </w:rPr>
        <w:t>工期</w:t>
      </w:r>
      <w:r>
        <w:rPr>
          <w:bCs/>
          <w:snapToGrid w:val="0"/>
          <w:color w:val="auto"/>
          <w:kern w:val="0"/>
          <w:szCs w:val="24"/>
        </w:rPr>
        <w:t>12</w:t>
      </w:r>
      <w:r>
        <w:rPr>
          <w:rFonts w:hint="eastAsia"/>
          <w:bCs/>
          <w:snapToGrid w:val="0"/>
          <w:color w:val="auto"/>
          <w:kern w:val="0"/>
          <w:szCs w:val="24"/>
        </w:rPr>
        <w:t>个月。</w:t>
      </w:r>
    </w:p>
    <w:p w14:paraId="13DBD174">
      <w:pPr>
        <w:spacing w:line="360" w:lineRule="auto"/>
        <w:ind w:firstLine="480"/>
        <w:rPr>
          <w:color w:val="auto"/>
        </w:rPr>
      </w:pPr>
      <w:r>
        <w:rPr>
          <w:rFonts w:hint="eastAsia"/>
          <w:color w:val="auto"/>
        </w:rPr>
        <w:t>（2）施工人员安排</w:t>
      </w:r>
    </w:p>
    <w:p w14:paraId="60B23C8D">
      <w:pPr>
        <w:spacing w:line="360" w:lineRule="auto"/>
        <w:ind w:firstLine="480"/>
        <w:rPr>
          <w:color w:val="auto"/>
        </w:rPr>
      </w:pPr>
      <w:r>
        <w:rPr>
          <w:rFonts w:hint="eastAsia"/>
          <w:color w:val="auto"/>
        </w:rPr>
        <w:t>拟建项目平均每天施工人员约为50人，施工期不在占地范围内设置施工营地，工人食住均依托周边设施，施工人员产生的粪便污水依托周边现有生活设施，材料堆场堆放在占地红线内。</w:t>
      </w:r>
    </w:p>
    <w:p w14:paraId="4409EC5D">
      <w:pPr>
        <w:spacing w:line="360" w:lineRule="auto"/>
        <w:ind w:firstLine="480"/>
        <w:rPr>
          <w:color w:val="auto"/>
        </w:rPr>
      </w:pPr>
      <w:r>
        <w:rPr>
          <w:rFonts w:hint="eastAsia"/>
          <w:color w:val="auto"/>
        </w:rPr>
        <w:t>（3）施工条件</w:t>
      </w:r>
    </w:p>
    <w:p w14:paraId="23BB607B">
      <w:pPr>
        <w:spacing w:line="360" w:lineRule="auto"/>
        <w:ind w:firstLine="480"/>
        <w:rPr>
          <w:color w:val="auto"/>
        </w:rPr>
      </w:pPr>
      <w:r>
        <w:rPr>
          <w:rFonts w:hint="eastAsia"/>
          <w:color w:val="auto"/>
        </w:rPr>
        <w:t>拟建项目位于</w:t>
      </w:r>
      <w:r>
        <w:rPr>
          <w:rFonts w:hint="eastAsia"/>
          <w:color w:val="auto"/>
          <w:lang w:eastAsia="zh-CN"/>
        </w:rPr>
        <w:t>忠县工业园乌杨组团园区污水处理厂二期预留用地</w:t>
      </w:r>
      <w:r>
        <w:rPr>
          <w:rFonts w:hint="eastAsia"/>
          <w:color w:val="auto"/>
        </w:rPr>
        <w:t>范围内，施工时可利用园区已建成的道路与外界相通，无需再修临时施工道路；项目施工区周边市政给水、市政电网完善，为项目的建设提供成熟的施工用水用电接入条件，建设条件较好。</w:t>
      </w:r>
    </w:p>
    <w:p w14:paraId="727A3D3B">
      <w:pPr>
        <w:spacing w:line="360" w:lineRule="auto"/>
        <w:ind w:firstLine="480"/>
        <w:rPr>
          <w:color w:val="auto"/>
        </w:rPr>
      </w:pPr>
      <w:r>
        <w:rPr>
          <w:rFonts w:hint="eastAsia"/>
          <w:color w:val="auto"/>
        </w:rPr>
        <w:t>（4）施工平面布置</w:t>
      </w:r>
    </w:p>
    <w:p w14:paraId="5C443C48">
      <w:pPr>
        <w:spacing w:line="360" w:lineRule="auto"/>
        <w:ind w:firstLine="480"/>
        <w:rPr>
          <w:color w:val="auto"/>
        </w:rPr>
      </w:pPr>
      <w:r>
        <w:rPr>
          <w:rFonts w:hint="eastAsia"/>
          <w:color w:val="auto"/>
        </w:rPr>
        <w:t>项目的施工场地内主要设有材料堆放场等，不另外征用临时施工场地。</w:t>
      </w:r>
    </w:p>
    <w:p w14:paraId="73D724F6">
      <w:pPr>
        <w:pStyle w:val="4"/>
        <w:numPr>
          <w:ilvl w:val="0"/>
          <w:numId w:val="0"/>
        </w:numPr>
        <w:spacing w:line="360" w:lineRule="auto"/>
        <w:rPr>
          <w:color w:val="auto"/>
        </w:rPr>
      </w:pPr>
      <w:bookmarkStart w:id="146" w:name="_Toc25345"/>
      <w:r>
        <w:rPr>
          <w:color w:val="auto"/>
        </w:rPr>
        <w:t>3.11主要经济技术指标</w:t>
      </w:r>
      <w:bookmarkEnd w:id="146"/>
    </w:p>
    <w:p w14:paraId="2356EA1F">
      <w:pPr>
        <w:spacing w:line="360" w:lineRule="auto"/>
        <w:ind w:firstLine="480"/>
        <w:rPr>
          <w:color w:val="auto"/>
        </w:rPr>
      </w:pPr>
      <w:r>
        <w:rPr>
          <w:color w:val="auto"/>
        </w:rPr>
        <w:t>拟建项目主要经济技术指标见</w:t>
      </w:r>
      <w:r>
        <w:rPr>
          <w:rFonts w:hint="eastAsia"/>
          <w:color w:val="auto"/>
        </w:rPr>
        <w:t>表</w:t>
      </w:r>
      <w:r>
        <w:rPr>
          <w:color w:val="auto"/>
        </w:rPr>
        <w:t>3.11</w:t>
      </w:r>
      <w:r>
        <w:rPr>
          <w:rFonts w:hint="eastAsia"/>
          <w:color w:val="auto"/>
        </w:rPr>
        <w:t>-1。</w:t>
      </w:r>
    </w:p>
    <w:p w14:paraId="78B07CAB">
      <w:pPr>
        <w:pStyle w:val="674"/>
        <w:rPr>
          <w:color w:val="auto"/>
        </w:rPr>
      </w:pPr>
      <w:r>
        <w:rPr>
          <w:color w:val="auto"/>
        </w:rPr>
        <w:t>表3.11-1  拟建项目主要经济技术指标</w:t>
      </w:r>
    </w:p>
    <w:tbl>
      <w:tblPr>
        <w:tblStyle w:val="88"/>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9"/>
        <w:gridCol w:w="1904"/>
        <w:gridCol w:w="1507"/>
        <w:gridCol w:w="1559"/>
        <w:gridCol w:w="3337"/>
      </w:tblGrid>
      <w:tr w14:paraId="43800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blHeader/>
          <w:jc w:val="center"/>
        </w:trPr>
        <w:tc>
          <w:tcPr>
            <w:tcW w:w="979" w:type="dxa"/>
            <w:tcBorders>
              <w:top w:val="single" w:color="auto" w:sz="4" w:space="0"/>
              <w:left w:val="single" w:color="auto" w:sz="4" w:space="0"/>
              <w:right w:val="single" w:color="auto" w:sz="4" w:space="0"/>
            </w:tcBorders>
            <w:vAlign w:val="center"/>
          </w:tcPr>
          <w:p w14:paraId="43C6BEE3">
            <w:pPr>
              <w:pStyle w:val="276"/>
              <w:rPr>
                <w:color w:val="auto"/>
              </w:rPr>
            </w:pPr>
            <w:r>
              <w:rPr>
                <w:rFonts w:hint="eastAsia"/>
                <w:color w:val="auto"/>
              </w:rPr>
              <w:t>序号</w:t>
            </w:r>
          </w:p>
        </w:tc>
        <w:tc>
          <w:tcPr>
            <w:tcW w:w="1904" w:type="dxa"/>
            <w:tcBorders>
              <w:top w:val="single" w:color="auto" w:sz="4" w:space="0"/>
              <w:left w:val="single" w:color="auto" w:sz="4" w:space="0"/>
              <w:right w:val="single" w:color="auto" w:sz="4" w:space="0"/>
            </w:tcBorders>
            <w:vAlign w:val="center"/>
          </w:tcPr>
          <w:p w14:paraId="53C19DC5">
            <w:pPr>
              <w:pStyle w:val="276"/>
              <w:rPr>
                <w:color w:val="auto"/>
              </w:rPr>
            </w:pPr>
            <w:r>
              <w:rPr>
                <w:rFonts w:hint="eastAsia"/>
                <w:color w:val="auto"/>
              </w:rPr>
              <w:t>项目</w:t>
            </w:r>
          </w:p>
        </w:tc>
        <w:tc>
          <w:tcPr>
            <w:tcW w:w="1507" w:type="dxa"/>
            <w:tcBorders>
              <w:top w:val="single" w:color="auto" w:sz="4" w:space="0"/>
              <w:left w:val="single" w:color="auto" w:sz="4" w:space="0"/>
              <w:right w:val="single" w:color="auto" w:sz="4" w:space="0"/>
            </w:tcBorders>
            <w:vAlign w:val="center"/>
          </w:tcPr>
          <w:p w14:paraId="098EF1EF">
            <w:pPr>
              <w:pStyle w:val="276"/>
              <w:rPr>
                <w:color w:val="auto"/>
              </w:rPr>
            </w:pPr>
            <w:r>
              <w:rPr>
                <w:rFonts w:hint="eastAsia"/>
                <w:color w:val="auto"/>
              </w:rPr>
              <w:t>单位</w:t>
            </w:r>
          </w:p>
        </w:tc>
        <w:tc>
          <w:tcPr>
            <w:tcW w:w="1559" w:type="dxa"/>
            <w:tcBorders>
              <w:top w:val="single" w:color="auto" w:sz="4" w:space="0"/>
              <w:left w:val="single" w:color="auto" w:sz="4" w:space="0"/>
              <w:right w:val="single" w:color="auto" w:sz="4" w:space="0"/>
            </w:tcBorders>
            <w:vAlign w:val="center"/>
          </w:tcPr>
          <w:p w14:paraId="7A6450B7">
            <w:pPr>
              <w:pStyle w:val="276"/>
              <w:rPr>
                <w:color w:val="auto"/>
              </w:rPr>
            </w:pPr>
            <w:r>
              <w:rPr>
                <w:rFonts w:hint="eastAsia"/>
                <w:color w:val="auto"/>
              </w:rPr>
              <w:t>数量</w:t>
            </w:r>
          </w:p>
        </w:tc>
        <w:tc>
          <w:tcPr>
            <w:tcW w:w="3337" w:type="dxa"/>
            <w:tcBorders>
              <w:top w:val="single" w:color="auto" w:sz="4" w:space="0"/>
              <w:left w:val="single" w:color="auto" w:sz="4" w:space="0"/>
              <w:right w:val="single" w:color="auto" w:sz="4" w:space="0"/>
            </w:tcBorders>
            <w:vAlign w:val="center"/>
          </w:tcPr>
          <w:p w14:paraId="5A1DC9C4">
            <w:pPr>
              <w:pStyle w:val="276"/>
              <w:rPr>
                <w:color w:val="auto"/>
              </w:rPr>
            </w:pPr>
            <w:r>
              <w:rPr>
                <w:rFonts w:hint="eastAsia"/>
                <w:color w:val="auto"/>
              </w:rPr>
              <w:t>备注</w:t>
            </w:r>
          </w:p>
        </w:tc>
      </w:tr>
      <w:tr w14:paraId="13BD4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979" w:type="dxa"/>
            <w:tcBorders>
              <w:top w:val="single" w:color="auto" w:sz="4" w:space="0"/>
              <w:left w:val="single" w:color="auto" w:sz="4" w:space="0"/>
              <w:bottom w:val="single" w:color="auto" w:sz="4" w:space="0"/>
              <w:right w:val="single" w:color="auto" w:sz="4" w:space="0"/>
            </w:tcBorders>
            <w:vAlign w:val="center"/>
          </w:tcPr>
          <w:p w14:paraId="2A7F5788">
            <w:pPr>
              <w:pStyle w:val="276"/>
              <w:rPr>
                <w:color w:val="auto"/>
              </w:rPr>
            </w:pPr>
            <w:r>
              <w:rPr>
                <w:rFonts w:hint="eastAsia"/>
                <w:color w:val="auto"/>
              </w:rPr>
              <w:t>1</w:t>
            </w:r>
          </w:p>
        </w:tc>
        <w:tc>
          <w:tcPr>
            <w:tcW w:w="1904" w:type="dxa"/>
            <w:tcBorders>
              <w:top w:val="single" w:color="auto" w:sz="4" w:space="0"/>
              <w:left w:val="single" w:color="auto" w:sz="4" w:space="0"/>
              <w:bottom w:val="single" w:color="auto" w:sz="4" w:space="0"/>
              <w:right w:val="single" w:color="auto" w:sz="4" w:space="0"/>
            </w:tcBorders>
            <w:vAlign w:val="center"/>
          </w:tcPr>
          <w:p w14:paraId="58161B23">
            <w:pPr>
              <w:pStyle w:val="276"/>
              <w:rPr>
                <w:color w:val="auto"/>
              </w:rPr>
            </w:pPr>
            <w:r>
              <w:rPr>
                <w:rFonts w:hint="eastAsia"/>
                <w:color w:val="auto"/>
              </w:rPr>
              <w:t>污水处理规模</w:t>
            </w:r>
          </w:p>
        </w:tc>
        <w:tc>
          <w:tcPr>
            <w:tcW w:w="1507" w:type="dxa"/>
            <w:tcBorders>
              <w:top w:val="single" w:color="auto" w:sz="4" w:space="0"/>
              <w:left w:val="single" w:color="auto" w:sz="4" w:space="0"/>
              <w:bottom w:val="single" w:color="auto" w:sz="4" w:space="0"/>
              <w:right w:val="single" w:color="auto" w:sz="4" w:space="0"/>
            </w:tcBorders>
            <w:vAlign w:val="center"/>
          </w:tcPr>
          <w:p w14:paraId="44A9689E">
            <w:pPr>
              <w:pStyle w:val="276"/>
              <w:rPr>
                <w:color w:val="auto"/>
              </w:rPr>
            </w:pPr>
            <w:r>
              <w:rPr>
                <w:rFonts w:hint="eastAsia"/>
                <w:color w:val="auto"/>
              </w:rPr>
              <w:t>m</w:t>
            </w:r>
            <w:r>
              <w:rPr>
                <w:rFonts w:hint="eastAsia"/>
                <w:color w:val="auto"/>
                <w:vertAlign w:val="superscript"/>
              </w:rPr>
              <w:t>3</w:t>
            </w:r>
            <w:r>
              <w:rPr>
                <w:rFonts w:hint="eastAsia"/>
                <w:color w:val="auto"/>
              </w:rPr>
              <w:t>/d</w:t>
            </w:r>
          </w:p>
        </w:tc>
        <w:tc>
          <w:tcPr>
            <w:tcW w:w="1559" w:type="dxa"/>
            <w:tcBorders>
              <w:top w:val="single" w:color="auto" w:sz="4" w:space="0"/>
              <w:left w:val="single" w:color="auto" w:sz="4" w:space="0"/>
              <w:bottom w:val="single" w:color="auto" w:sz="4" w:space="0"/>
              <w:right w:val="single" w:color="auto" w:sz="4" w:space="0"/>
            </w:tcBorders>
            <w:vAlign w:val="center"/>
          </w:tcPr>
          <w:p w14:paraId="6FBCCC39">
            <w:pPr>
              <w:pStyle w:val="276"/>
              <w:rPr>
                <w:color w:val="auto"/>
              </w:rPr>
            </w:pPr>
            <w:r>
              <w:rPr>
                <w:rFonts w:hint="eastAsia"/>
                <w:color w:val="auto"/>
                <w:lang w:val="en-US"/>
              </w:rPr>
              <w:t>20</w:t>
            </w:r>
            <w:r>
              <w:rPr>
                <w:rFonts w:hint="eastAsia"/>
                <w:color w:val="auto"/>
              </w:rPr>
              <w:t>00</w:t>
            </w:r>
          </w:p>
        </w:tc>
        <w:tc>
          <w:tcPr>
            <w:tcW w:w="3337" w:type="dxa"/>
            <w:tcBorders>
              <w:top w:val="single" w:color="auto" w:sz="4" w:space="0"/>
              <w:left w:val="single" w:color="auto" w:sz="4" w:space="0"/>
              <w:bottom w:val="single" w:color="auto" w:sz="4" w:space="0"/>
              <w:right w:val="single" w:color="auto" w:sz="4" w:space="0"/>
            </w:tcBorders>
            <w:vAlign w:val="center"/>
          </w:tcPr>
          <w:p w14:paraId="541ED07E">
            <w:pPr>
              <w:pStyle w:val="276"/>
              <w:rPr>
                <w:color w:val="auto"/>
              </w:rPr>
            </w:pPr>
            <w:r>
              <w:rPr>
                <w:rFonts w:hint="eastAsia"/>
                <w:color w:val="auto"/>
              </w:rPr>
              <w:t>页岩气开采废水</w:t>
            </w:r>
          </w:p>
        </w:tc>
      </w:tr>
      <w:tr w14:paraId="2BFEF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979" w:type="dxa"/>
            <w:tcBorders>
              <w:top w:val="single" w:color="auto" w:sz="4" w:space="0"/>
              <w:left w:val="single" w:color="auto" w:sz="4" w:space="0"/>
              <w:bottom w:val="single" w:color="auto" w:sz="4" w:space="0"/>
              <w:right w:val="single" w:color="auto" w:sz="4" w:space="0"/>
            </w:tcBorders>
            <w:vAlign w:val="center"/>
          </w:tcPr>
          <w:p w14:paraId="310CB116">
            <w:pPr>
              <w:pStyle w:val="276"/>
              <w:rPr>
                <w:color w:val="auto"/>
              </w:rPr>
            </w:pPr>
            <w:r>
              <w:rPr>
                <w:rFonts w:hint="eastAsia"/>
                <w:color w:val="auto"/>
              </w:rPr>
              <w:t>2</w:t>
            </w:r>
          </w:p>
        </w:tc>
        <w:tc>
          <w:tcPr>
            <w:tcW w:w="1904" w:type="dxa"/>
            <w:tcBorders>
              <w:top w:val="single" w:color="auto" w:sz="4" w:space="0"/>
              <w:left w:val="single" w:color="auto" w:sz="4" w:space="0"/>
              <w:bottom w:val="single" w:color="auto" w:sz="4" w:space="0"/>
              <w:right w:val="single" w:color="auto" w:sz="4" w:space="0"/>
            </w:tcBorders>
            <w:vAlign w:val="center"/>
          </w:tcPr>
          <w:p w14:paraId="08A9DBD3">
            <w:pPr>
              <w:pStyle w:val="276"/>
              <w:rPr>
                <w:color w:val="auto"/>
              </w:rPr>
            </w:pPr>
            <w:r>
              <w:rPr>
                <w:rFonts w:hint="eastAsia"/>
                <w:color w:val="auto"/>
              </w:rPr>
              <w:t>占地面积</w:t>
            </w:r>
          </w:p>
        </w:tc>
        <w:tc>
          <w:tcPr>
            <w:tcW w:w="1507" w:type="dxa"/>
            <w:tcBorders>
              <w:top w:val="single" w:color="auto" w:sz="4" w:space="0"/>
              <w:left w:val="single" w:color="auto" w:sz="4" w:space="0"/>
              <w:bottom w:val="single" w:color="auto" w:sz="4" w:space="0"/>
              <w:right w:val="single" w:color="auto" w:sz="4" w:space="0"/>
            </w:tcBorders>
            <w:vAlign w:val="center"/>
          </w:tcPr>
          <w:p w14:paraId="794705F5">
            <w:pPr>
              <w:pStyle w:val="276"/>
              <w:rPr>
                <w:color w:val="auto"/>
              </w:rPr>
            </w:pPr>
            <w:r>
              <w:rPr>
                <w:rFonts w:hint="eastAsia"/>
                <w:color w:val="auto"/>
              </w:rPr>
              <w:t>m</w:t>
            </w:r>
            <w:r>
              <w:rPr>
                <w:rFonts w:hint="eastAsia"/>
                <w:color w:val="auto"/>
                <w:vertAlign w:val="superscript"/>
              </w:rPr>
              <w:t>2</w:t>
            </w:r>
          </w:p>
        </w:tc>
        <w:tc>
          <w:tcPr>
            <w:tcW w:w="1559" w:type="dxa"/>
            <w:tcBorders>
              <w:top w:val="single" w:color="auto" w:sz="4" w:space="0"/>
              <w:left w:val="single" w:color="auto" w:sz="4" w:space="0"/>
              <w:bottom w:val="single" w:color="auto" w:sz="4" w:space="0"/>
              <w:right w:val="single" w:color="auto" w:sz="4" w:space="0"/>
            </w:tcBorders>
            <w:vAlign w:val="center"/>
          </w:tcPr>
          <w:p w14:paraId="0A21D3AA">
            <w:pPr>
              <w:pStyle w:val="276"/>
              <w:rPr>
                <w:rFonts w:hint="default" w:eastAsia="宋体"/>
                <w:color w:val="auto"/>
                <w:lang w:val="en-US" w:eastAsia="zh-CN"/>
              </w:rPr>
            </w:pPr>
            <w:r>
              <w:rPr>
                <w:rFonts w:hint="eastAsia"/>
                <w:color w:val="auto"/>
                <w:lang w:val="en-US" w:eastAsia="zh-CN"/>
              </w:rPr>
              <w:t>7500</w:t>
            </w:r>
          </w:p>
        </w:tc>
        <w:tc>
          <w:tcPr>
            <w:tcW w:w="3337" w:type="dxa"/>
            <w:tcBorders>
              <w:top w:val="single" w:color="auto" w:sz="4" w:space="0"/>
              <w:left w:val="single" w:color="auto" w:sz="4" w:space="0"/>
              <w:bottom w:val="single" w:color="auto" w:sz="4" w:space="0"/>
              <w:right w:val="single" w:color="auto" w:sz="4" w:space="0"/>
            </w:tcBorders>
            <w:vAlign w:val="center"/>
          </w:tcPr>
          <w:p w14:paraId="37445380">
            <w:pPr>
              <w:pStyle w:val="276"/>
              <w:rPr>
                <w:color w:val="auto"/>
              </w:rPr>
            </w:pPr>
            <w:r>
              <w:rPr>
                <w:rFonts w:hint="eastAsia"/>
                <w:color w:val="auto"/>
              </w:rPr>
              <w:t>/</w:t>
            </w:r>
          </w:p>
        </w:tc>
      </w:tr>
      <w:tr w14:paraId="017F2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979" w:type="dxa"/>
            <w:tcBorders>
              <w:top w:val="single" w:color="auto" w:sz="4" w:space="0"/>
              <w:left w:val="single" w:color="auto" w:sz="4" w:space="0"/>
              <w:bottom w:val="single" w:color="auto" w:sz="4" w:space="0"/>
              <w:right w:val="single" w:color="auto" w:sz="4" w:space="0"/>
            </w:tcBorders>
            <w:vAlign w:val="center"/>
          </w:tcPr>
          <w:p w14:paraId="1F0AD930">
            <w:pPr>
              <w:pStyle w:val="276"/>
              <w:rPr>
                <w:color w:val="auto"/>
              </w:rPr>
            </w:pPr>
            <w:r>
              <w:rPr>
                <w:rFonts w:hint="eastAsia"/>
                <w:color w:val="auto"/>
              </w:rPr>
              <w:t>3</w:t>
            </w:r>
          </w:p>
        </w:tc>
        <w:tc>
          <w:tcPr>
            <w:tcW w:w="1904" w:type="dxa"/>
            <w:tcBorders>
              <w:top w:val="single" w:color="auto" w:sz="4" w:space="0"/>
              <w:left w:val="single" w:color="auto" w:sz="4" w:space="0"/>
              <w:bottom w:val="single" w:color="auto" w:sz="4" w:space="0"/>
              <w:right w:val="single" w:color="auto" w:sz="4" w:space="0"/>
            </w:tcBorders>
            <w:vAlign w:val="center"/>
          </w:tcPr>
          <w:p w14:paraId="6E6C5125">
            <w:pPr>
              <w:pStyle w:val="276"/>
              <w:rPr>
                <w:color w:val="auto"/>
                <w:kern w:val="0"/>
                <w:lang w:bidi="ar"/>
              </w:rPr>
            </w:pPr>
            <w:r>
              <w:rPr>
                <w:rFonts w:hint="eastAsia"/>
                <w:color w:val="auto"/>
              </w:rPr>
              <w:t>总投资</w:t>
            </w:r>
          </w:p>
        </w:tc>
        <w:tc>
          <w:tcPr>
            <w:tcW w:w="1507" w:type="dxa"/>
            <w:tcBorders>
              <w:top w:val="single" w:color="auto" w:sz="4" w:space="0"/>
              <w:left w:val="single" w:color="auto" w:sz="4" w:space="0"/>
              <w:bottom w:val="single" w:color="auto" w:sz="4" w:space="0"/>
              <w:right w:val="single" w:color="auto" w:sz="4" w:space="0"/>
            </w:tcBorders>
            <w:vAlign w:val="center"/>
          </w:tcPr>
          <w:p w14:paraId="40E54C18">
            <w:pPr>
              <w:pStyle w:val="276"/>
              <w:rPr>
                <w:color w:val="auto"/>
              </w:rPr>
            </w:pPr>
            <w:r>
              <w:rPr>
                <w:rFonts w:hint="eastAsia"/>
                <w:color w:val="auto"/>
              </w:rPr>
              <w:t>万元</w:t>
            </w:r>
          </w:p>
        </w:tc>
        <w:tc>
          <w:tcPr>
            <w:tcW w:w="1559" w:type="dxa"/>
            <w:tcBorders>
              <w:top w:val="single" w:color="auto" w:sz="4" w:space="0"/>
              <w:left w:val="single" w:color="auto" w:sz="4" w:space="0"/>
              <w:bottom w:val="single" w:color="auto" w:sz="4" w:space="0"/>
              <w:right w:val="single" w:color="auto" w:sz="4" w:space="0"/>
            </w:tcBorders>
            <w:vAlign w:val="center"/>
          </w:tcPr>
          <w:p w14:paraId="083C98BA">
            <w:pPr>
              <w:pStyle w:val="276"/>
              <w:rPr>
                <w:rFonts w:hint="default" w:eastAsia="宋体"/>
                <w:color w:val="auto"/>
                <w:lang w:val="en-US" w:eastAsia="zh-CN"/>
              </w:rPr>
            </w:pPr>
            <w:r>
              <w:rPr>
                <w:rFonts w:hint="eastAsia"/>
                <w:snapToGrid w:val="0"/>
                <w:color w:val="auto"/>
                <w:lang w:val="en-US" w:eastAsia="zh-CN"/>
              </w:rPr>
              <w:t>2000</w:t>
            </w:r>
          </w:p>
        </w:tc>
        <w:tc>
          <w:tcPr>
            <w:tcW w:w="3337" w:type="dxa"/>
            <w:tcBorders>
              <w:top w:val="single" w:color="auto" w:sz="4" w:space="0"/>
              <w:left w:val="single" w:color="auto" w:sz="4" w:space="0"/>
              <w:bottom w:val="single" w:color="auto" w:sz="4" w:space="0"/>
              <w:right w:val="single" w:color="auto" w:sz="4" w:space="0"/>
            </w:tcBorders>
            <w:vAlign w:val="center"/>
          </w:tcPr>
          <w:p w14:paraId="444B54F8">
            <w:pPr>
              <w:pStyle w:val="276"/>
              <w:rPr>
                <w:color w:val="auto"/>
              </w:rPr>
            </w:pPr>
            <w:r>
              <w:rPr>
                <w:rFonts w:hint="eastAsia"/>
                <w:color w:val="auto"/>
              </w:rPr>
              <w:t>/</w:t>
            </w:r>
          </w:p>
        </w:tc>
      </w:tr>
      <w:tr w14:paraId="04C81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979" w:type="dxa"/>
            <w:tcBorders>
              <w:top w:val="single" w:color="auto" w:sz="4" w:space="0"/>
              <w:left w:val="single" w:color="auto" w:sz="4" w:space="0"/>
              <w:bottom w:val="single" w:color="auto" w:sz="4" w:space="0"/>
              <w:right w:val="single" w:color="auto" w:sz="4" w:space="0"/>
            </w:tcBorders>
            <w:vAlign w:val="center"/>
          </w:tcPr>
          <w:p w14:paraId="0D06954F">
            <w:pPr>
              <w:pStyle w:val="276"/>
              <w:rPr>
                <w:color w:val="auto"/>
              </w:rPr>
            </w:pPr>
            <w:r>
              <w:rPr>
                <w:rFonts w:hint="eastAsia"/>
                <w:color w:val="auto"/>
              </w:rPr>
              <w:t>4</w:t>
            </w:r>
          </w:p>
        </w:tc>
        <w:tc>
          <w:tcPr>
            <w:tcW w:w="1904" w:type="dxa"/>
            <w:tcBorders>
              <w:top w:val="single" w:color="auto" w:sz="4" w:space="0"/>
              <w:left w:val="single" w:color="auto" w:sz="4" w:space="0"/>
              <w:bottom w:val="single" w:color="auto" w:sz="4" w:space="0"/>
              <w:right w:val="single" w:color="auto" w:sz="4" w:space="0"/>
            </w:tcBorders>
            <w:vAlign w:val="center"/>
          </w:tcPr>
          <w:p w14:paraId="751DD1F5">
            <w:pPr>
              <w:pStyle w:val="276"/>
              <w:rPr>
                <w:color w:val="auto"/>
              </w:rPr>
            </w:pPr>
            <w:r>
              <w:rPr>
                <w:rFonts w:hint="eastAsia"/>
                <w:color w:val="auto"/>
              </w:rPr>
              <w:t>环保投资</w:t>
            </w:r>
          </w:p>
        </w:tc>
        <w:tc>
          <w:tcPr>
            <w:tcW w:w="1507" w:type="dxa"/>
            <w:tcBorders>
              <w:top w:val="single" w:color="auto" w:sz="4" w:space="0"/>
              <w:left w:val="single" w:color="auto" w:sz="4" w:space="0"/>
              <w:bottom w:val="single" w:color="auto" w:sz="4" w:space="0"/>
              <w:right w:val="single" w:color="auto" w:sz="4" w:space="0"/>
            </w:tcBorders>
            <w:vAlign w:val="center"/>
          </w:tcPr>
          <w:p w14:paraId="7347FCF8">
            <w:pPr>
              <w:pStyle w:val="276"/>
              <w:rPr>
                <w:color w:val="auto"/>
              </w:rPr>
            </w:pPr>
            <w:r>
              <w:rPr>
                <w:rFonts w:hint="eastAsia"/>
                <w:color w:val="auto"/>
              </w:rPr>
              <w:t>万元</w:t>
            </w:r>
          </w:p>
        </w:tc>
        <w:tc>
          <w:tcPr>
            <w:tcW w:w="1559" w:type="dxa"/>
            <w:tcBorders>
              <w:top w:val="single" w:color="auto" w:sz="4" w:space="0"/>
              <w:left w:val="single" w:color="auto" w:sz="4" w:space="0"/>
              <w:bottom w:val="single" w:color="auto" w:sz="4" w:space="0"/>
              <w:right w:val="single" w:color="auto" w:sz="4" w:space="0"/>
            </w:tcBorders>
            <w:vAlign w:val="center"/>
          </w:tcPr>
          <w:p w14:paraId="6750B515">
            <w:pPr>
              <w:pStyle w:val="276"/>
              <w:rPr>
                <w:rFonts w:hint="default" w:eastAsia="宋体"/>
                <w:snapToGrid w:val="0"/>
                <w:color w:val="auto"/>
                <w:lang w:val="en-US" w:eastAsia="zh-CN"/>
              </w:rPr>
            </w:pPr>
            <w:r>
              <w:rPr>
                <w:rFonts w:hint="eastAsia"/>
                <w:snapToGrid w:val="0"/>
                <w:color w:val="auto"/>
                <w:lang w:val="en-US" w:eastAsia="zh-CN"/>
              </w:rPr>
              <w:t>150</w:t>
            </w:r>
          </w:p>
        </w:tc>
        <w:tc>
          <w:tcPr>
            <w:tcW w:w="3337" w:type="dxa"/>
            <w:tcBorders>
              <w:top w:val="single" w:color="auto" w:sz="4" w:space="0"/>
              <w:left w:val="single" w:color="auto" w:sz="4" w:space="0"/>
              <w:bottom w:val="single" w:color="auto" w:sz="4" w:space="0"/>
              <w:right w:val="single" w:color="auto" w:sz="4" w:space="0"/>
            </w:tcBorders>
            <w:vAlign w:val="center"/>
          </w:tcPr>
          <w:p w14:paraId="08B35888">
            <w:pPr>
              <w:pStyle w:val="276"/>
              <w:rPr>
                <w:color w:val="auto"/>
              </w:rPr>
            </w:pPr>
            <w:r>
              <w:rPr>
                <w:rFonts w:hint="eastAsia"/>
                <w:color w:val="auto"/>
              </w:rPr>
              <w:t>占总投资</w:t>
            </w:r>
            <w:r>
              <w:rPr>
                <w:rFonts w:hint="eastAsia"/>
                <w:color w:val="auto"/>
                <w:lang w:val="en-US" w:eastAsia="zh-CN"/>
              </w:rPr>
              <w:t>7.5</w:t>
            </w:r>
            <w:r>
              <w:rPr>
                <w:rFonts w:hint="eastAsia"/>
                <w:color w:val="auto"/>
              </w:rPr>
              <w:t>%</w:t>
            </w:r>
          </w:p>
        </w:tc>
      </w:tr>
      <w:tr w14:paraId="04769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979" w:type="dxa"/>
            <w:tcBorders>
              <w:top w:val="single" w:color="auto" w:sz="4" w:space="0"/>
              <w:left w:val="single" w:color="auto" w:sz="4" w:space="0"/>
              <w:right w:val="single" w:color="auto" w:sz="4" w:space="0"/>
            </w:tcBorders>
            <w:vAlign w:val="center"/>
          </w:tcPr>
          <w:p w14:paraId="52A476F1">
            <w:pPr>
              <w:pStyle w:val="276"/>
              <w:rPr>
                <w:color w:val="auto"/>
              </w:rPr>
            </w:pPr>
            <w:r>
              <w:rPr>
                <w:rFonts w:hint="eastAsia"/>
                <w:color w:val="auto"/>
              </w:rPr>
              <w:t>5</w:t>
            </w:r>
          </w:p>
        </w:tc>
        <w:tc>
          <w:tcPr>
            <w:tcW w:w="1904" w:type="dxa"/>
            <w:tcBorders>
              <w:top w:val="single" w:color="auto" w:sz="4" w:space="0"/>
              <w:left w:val="single" w:color="auto" w:sz="4" w:space="0"/>
              <w:right w:val="single" w:color="auto" w:sz="4" w:space="0"/>
            </w:tcBorders>
            <w:vAlign w:val="center"/>
          </w:tcPr>
          <w:p w14:paraId="0A407C78">
            <w:pPr>
              <w:pStyle w:val="276"/>
              <w:rPr>
                <w:color w:val="auto"/>
              </w:rPr>
            </w:pPr>
            <w:r>
              <w:rPr>
                <w:rFonts w:hint="eastAsia"/>
                <w:color w:val="auto"/>
              </w:rPr>
              <w:t>工作制度</w:t>
            </w:r>
          </w:p>
        </w:tc>
        <w:tc>
          <w:tcPr>
            <w:tcW w:w="1507" w:type="dxa"/>
            <w:tcBorders>
              <w:top w:val="single" w:color="auto" w:sz="4" w:space="0"/>
              <w:left w:val="single" w:color="auto" w:sz="4" w:space="0"/>
              <w:bottom w:val="single" w:color="auto" w:sz="4" w:space="0"/>
              <w:right w:val="single" w:color="auto" w:sz="4" w:space="0"/>
            </w:tcBorders>
            <w:vAlign w:val="center"/>
          </w:tcPr>
          <w:p w14:paraId="66285701">
            <w:pPr>
              <w:pStyle w:val="276"/>
              <w:rPr>
                <w:color w:val="auto"/>
              </w:rPr>
            </w:pPr>
            <w:r>
              <w:rPr>
                <w:rFonts w:hint="eastAsia"/>
                <w:color w:val="auto"/>
              </w:rPr>
              <w:t>d/a</w:t>
            </w:r>
          </w:p>
        </w:tc>
        <w:tc>
          <w:tcPr>
            <w:tcW w:w="1559" w:type="dxa"/>
            <w:tcBorders>
              <w:top w:val="single" w:color="auto" w:sz="4" w:space="0"/>
              <w:left w:val="single" w:color="auto" w:sz="4" w:space="0"/>
              <w:bottom w:val="single" w:color="auto" w:sz="4" w:space="0"/>
              <w:right w:val="single" w:color="auto" w:sz="4" w:space="0"/>
            </w:tcBorders>
            <w:vAlign w:val="center"/>
          </w:tcPr>
          <w:p w14:paraId="3A93755E">
            <w:pPr>
              <w:pStyle w:val="276"/>
              <w:rPr>
                <w:snapToGrid w:val="0"/>
                <w:color w:val="auto"/>
              </w:rPr>
            </w:pPr>
            <w:r>
              <w:rPr>
                <w:rFonts w:hint="eastAsia"/>
                <w:snapToGrid w:val="0"/>
                <w:color w:val="auto"/>
              </w:rPr>
              <w:t>300</w:t>
            </w:r>
          </w:p>
        </w:tc>
        <w:tc>
          <w:tcPr>
            <w:tcW w:w="3337" w:type="dxa"/>
            <w:tcBorders>
              <w:top w:val="single" w:color="auto" w:sz="4" w:space="0"/>
              <w:left w:val="single" w:color="auto" w:sz="4" w:space="0"/>
              <w:right w:val="single" w:color="auto" w:sz="4" w:space="0"/>
            </w:tcBorders>
            <w:vAlign w:val="center"/>
          </w:tcPr>
          <w:p w14:paraId="55D36609">
            <w:pPr>
              <w:pStyle w:val="276"/>
              <w:rPr>
                <w:color w:val="auto"/>
              </w:rPr>
            </w:pPr>
            <w:r>
              <w:rPr>
                <w:rFonts w:hint="eastAsia"/>
                <w:color w:val="auto"/>
              </w:rPr>
              <w:t>/</w:t>
            </w:r>
          </w:p>
        </w:tc>
      </w:tr>
      <w:tr w14:paraId="678B8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979" w:type="dxa"/>
            <w:tcBorders>
              <w:top w:val="single" w:color="auto" w:sz="4" w:space="0"/>
              <w:left w:val="single" w:color="auto" w:sz="4" w:space="0"/>
              <w:bottom w:val="single" w:color="auto" w:sz="4" w:space="0"/>
              <w:right w:val="single" w:color="auto" w:sz="4" w:space="0"/>
            </w:tcBorders>
            <w:vAlign w:val="center"/>
          </w:tcPr>
          <w:p w14:paraId="50919334">
            <w:pPr>
              <w:pStyle w:val="276"/>
              <w:rPr>
                <w:color w:val="auto"/>
              </w:rPr>
            </w:pPr>
            <w:r>
              <w:rPr>
                <w:rFonts w:hint="eastAsia"/>
                <w:color w:val="auto"/>
              </w:rPr>
              <w:t>6</w:t>
            </w:r>
          </w:p>
        </w:tc>
        <w:tc>
          <w:tcPr>
            <w:tcW w:w="1904" w:type="dxa"/>
            <w:tcBorders>
              <w:left w:val="single" w:color="auto" w:sz="4" w:space="0"/>
              <w:bottom w:val="single" w:color="auto" w:sz="4" w:space="0"/>
              <w:right w:val="single" w:color="auto" w:sz="4" w:space="0"/>
            </w:tcBorders>
            <w:vAlign w:val="center"/>
          </w:tcPr>
          <w:p w14:paraId="385D637B">
            <w:pPr>
              <w:pStyle w:val="276"/>
              <w:rPr>
                <w:color w:val="auto"/>
              </w:rPr>
            </w:pPr>
            <w:r>
              <w:rPr>
                <w:rFonts w:hint="eastAsia"/>
                <w:color w:val="auto"/>
              </w:rPr>
              <w:t>劳动定员</w:t>
            </w:r>
          </w:p>
        </w:tc>
        <w:tc>
          <w:tcPr>
            <w:tcW w:w="1507" w:type="dxa"/>
            <w:tcBorders>
              <w:top w:val="single" w:color="auto" w:sz="4" w:space="0"/>
              <w:left w:val="single" w:color="auto" w:sz="4" w:space="0"/>
              <w:bottom w:val="single" w:color="auto" w:sz="4" w:space="0"/>
              <w:right w:val="single" w:color="auto" w:sz="4" w:space="0"/>
            </w:tcBorders>
            <w:vAlign w:val="center"/>
          </w:tcPr>
          <w:p w14:paraId="6616B620">
            <w:pPr>
              <w:pStyle w:val="276"/>
              <w:rPr>
                <w:color w:val="auto"/>
              </w:rPr>
            </w:pPr>
            <w:r>
              <w:rPr>
                <w:rFonts w:hint="eastAsia"/>
                <w:color w:val="auto"/>
              </w:rPr>
              <w:t>人</w:t>
            </w:r>
          </w:p>
        </w:tc>
        <w:tc>
          <w:tcPr>
            <w:tcW w:w="1559" w:type="dxa"/>
            <w:tcBorders>
              <w:top w:val="single" w:color="auto" w:sz="4" w:space="0"/>
              <w:left w:val="single" w:color="auto" w:sz="4" w:space="0"/>
              <w:bottom w:val="single" w:color="auto" w:sz="4" w:space="0"/>
              <w:right w:val="single" w:color="auto" w:sz="4" w:space="0"/>
            </w:tcBorders>
            <w:vAlign w:val="center"/>
          </w:tcPr>
          <w:p w14:paraId="4133F5DF">
            <w:pPr>
              <w:pStyle w:val="276"/>
              <w:rPr>
                <w:snapToGrid w:val="0"/>
                <w:color w:val="auto"/>
              </w:rPr>
            </w:pPr>
            <w:r>
              <w:rPr>
                <w:rFonts w:hint="eastAsia"/>
                <w:snapToGrid w:val="0"/>
                <w:color w:val="auto"/>
              </w:rPr>
              <w:t>20</w:t>
            </w:r>
          </w:p>
        </w:tc>
        <w:tc>
          <w:tcPr>
            <w:tcW w:w="3337" w:type="dxa"/>
            <w:tcBorders>
              <w:left w:val="single" w:color="auto" w:sz="4" w:space="0"/>
              <w:bottom w:val="single" w:color="auto" w:sz="4" w:space="0"/>
              <w:right w:val="single" w:color="auto" w:sz="4" w:space="0"/>
            </w:tcBorders>
            <w:vAlign w:val="center"/>
          </w:tcPr>
          <w:p w14:paraId="7D9EAED6">
            <w:pPr>
              <w:pStyle w:val="276"/>
              <w:rPr>
                <w:color w:val="auto"/>
              </w:rPr>
            </w:pPr>
            <w:r>
              <w:rPr>
                <w:rFonts w:hint="eastAsia"/>
                <w:color w:val="auto"/>
              </w:rPr>
              <w:t>/</w:t>
            </w:r>
          </w:p>
        </w:tc>
      </w:tr>
    </w:tbl>
    <w:p w14:paraId="26DC9F1A">
      <w:pPr>
        <w:pStyle w:val="959"/>
        <w:snapToGrid w:val="0"/>
        <w:ind w:firstLine="480"/>
        <w:rPr>
          <w:rFonts w:ascii="Times New Roman" w:hAnsi="Times New Roman"/>
          <w:color w:val="auto"/>
          <w:lang w:val="en-US"/>
        </w:rPr>
      </w:pPr>
      <w:r>
        <w:rPr>
          <w:color w:val="auto"/>
          <w:szCs w:val="24"/>
        </w:rPr>
        <w:br w:type="page"/>
      </w:r>
    </w:p>
    <w:p w14:paraId="6957B47D">
      <w:pPr>
        <w:pStyle w:val="4"/>
        <w:numPr>
          <w:ilvl w:val="0"/>
          <w:numId w:val="0"/>
        </w:numPr>
        <w:spacing w:line="360" w:lineRule="auto"/>
        <w:rPr>
          <w:rFonts w:hint="eastAsia"/>
          <w:color w:val="auto"/>
          <w:szCs w:val="24"/>
        </w:rPr>
      </w:pPr>
      <w:bookmarkStart w:id="147" w:name="_Toc4890"/>
      <w:r>
        <w:rPr>
          <w:color w:val="auto"/>
          <w:szCs w:val="24"/>
        </w:rPr>
        <w:t>3.12</w:t>
      </w:r>
      <w:r>
        <w:rPr>
          <w:rFonts w:hint="eastAsia"/>
          <w:color w:val="auto"/>
          <w:szCs w:val="24"/>
        </w:rPr>
        <w:t>污水处理工艺</w:t>
      </w:r>
      <w:bookmarkEnd w:id="147"/>
    </w:p>
    <w:p w14:paraId="65460F3C">
      <w:pPr>
        <w:rPr>
          <w:rFonts w:hint="eastAsia"/>
          <w:color w:val="auto"/>
          <w:lang w:val="en-US" w:eastAsia="zh-CN"/>
        </w:rPr>
      </w:pPr>
      <w:r>
        <w:rPr>
          <w:rFonts w:hint="eastAsia"/>
          <w:color w:val="auto"/>
          <w:lang w:val="en-US" w:eastAsia="zh-CN"/>
        </w:rPr>
        <w:t>***涉及商业秘密，申请不予公开***</w:t>
      </w:r>
    </w:p>
    <w:p w14:paraId="4CDE366D">
      <w:pPr>
        <w:rPr>
          <w:rFonts w:hint="eastAsia"/>
          <w:color w:val="auto"/>
          <w:lang w:val="en-US" w:eastAsia="zh-CN"/>
        </w:rPr>
      </w:pPr>
    </w:p>
    <w:p w14:paraId="336F03F6">
      <w:pPr>
        <w:pStyle w:val="4"/>
        <w:numPr>
          <w:ilvl w:val="0"/>
          <w:numId w:val="0"/>
        </w:numPr>
        <w:spacing w:line="360" w:lineRule="auto"/>
        <w:rPr>
          <w:color w:val="auto"/>
          <w:lang w:val="en-US"/>
        </w:rPr>
      </w:pPr>
      <w:bookmarkStart w:id="148" w:name="_Toc19830"/>
      <w:r>
        <w:rPr>
          <w:rFonts w:hint="eastAsia"/>
          <w:color w:val="auto"/>
          <w:lang w:val="en-US"/>
        </w:rPr>
        <w:t>3</w:t>
      </w:r>
      <w:r>
        <w:rPr>
          <w:color w:val="auto"/>
          <w:lang w:val="en-US"/>
        </w:rPr>
        <w:t>.13</w:t>
      </w:r>
      <w:r>
        <w:rPr>
          <w:color w:val="auto"/>
        </w:rPr>
        <w:t>施工期污染源分析</w:t>
      </w:r>
      <w:bookmarkEnd w:id="148"/>
    </w:p>
    <w:p w14:paraId="1D6BA553">
      <w:pPr>
        <w:pStyle w:val="5"/>
        <w:numPr>
          <w:ilvl w:val="0"/>
          <w:numId w:val="0"/>
        </w:numPr>
        <w:spacing w:line="360" w:lineRule="auto"/>
        <w:rPr>
          <w:color w:val="auto"/>
          <w:lang w:val="en-US"/>
        </w:rPr>
      </w:pPr>
      <w:bookmarkStart w:id="149" w:name="_Toc306729612"/>
      <w:bookmarkStart w:id="150" w:name="_Toc332121617"/>
      <w:bookmarkStart w:id="151" w:name="_Toc385832572"/>
      <w:r>
        <w:rPr>
          <w:rFonts w:hint="eastAsia"/>
          <w:color w:val="auto"/>
          <w:lang w:val="en-US"/>
        </w:rPr>
        <w:t>3</w:t>
      </w:r>
      <w:r>
        <w:rPr>
          <w:color w:val="auto"/>
          <w:lang w:val="en-US"/>
        </w:rPr>
        <w:t>.13.1</w:t>
      </w:r>
      <w:r>
        <w:rPr>
          <w:color w:val="auto"/>
        </w:rPr>
        <w:t>施工</w:t>
      </w:r>
      <w:bookmarkEnd w:id="149"/>
      <w:bookmarkEnd w:id="150"/>
      <w:bookmarkEnd w:id="151"/>
      <w:r>
        <w:rPr>
          <w:rFonts w:hint="eastAsia"/>
          <w:color w:val="auto"/>
        </w:rPr>
        <w:t>方案</w:t>
      </w:r>
    </w:p>
    <w:p w14:paraId="03478084">
      <w:pPr>
        <w:spacing w:line="360" w:lineRule="auto"/>
        <w:ind w:firstLine="480"/>
        <w:rPr>
          <w:color w:val="auto"/>
        </w:rPr>
      </w:pPr>
      <w:r>
        <w:rPr>
          <w:rFonts w:hint="eastAsia"/>
          <w:color w:val="auto"/>
        </w:rPr>
        <w:t>（1）施工工艺流程及产排污分析</w:t>
      </w:r>
    </w:p>
    <w:p w14:paraId="44BC519C">
      <w:pPr>
        <w:spacing w:line="360" w:lineRule="auto"/>
        <w:ind w:firstLine="480"/>
        <w:rPr>
          <w:color w:val="auto"/>
        </w:rPr>
      </w:pPr>
      <w:r>
        <w:rPr>
          <w:rFonts w:hint="eastAsia"/>
          <w:color w:val="auto"/>
        </w:rPr>
        <w:t>拟建项目施工内容主要包括基础施工、结构施工以及设备安装，最后竣工验收后交付使用，拟建项目主要施工工序及可能的产污环节详见图3.</w:t>
      </w:r>
      <w:r>
        <w:rPr>
          <w:color w:val="auto"/>
        </w:rPr>
        <w:t>13</w:t>
      </w:r>
      <w:r>
        <w:rPr>
          <w:rFonts w:hint="eastAsia"/>
          <w:color w:val="auto"/>
        </w:rPr>
        <w:t>-1。</w:t>
      </w:r>
    </w:p>
    <w:p w14:paraId="397735AD">
      <w:pPr>
        <w:pStyle w:val="296"/>
        <w:tabs>
          <w:tab w:val="left" w:pos="5040"/>
          <w:tab w:val="clear" w:pos="6300"/>
        </w:tabs>
        <w:spacing w:after="120" w:line="240" w:lineRule="auto"/>
        <w:ind w:firstLine="0" w:firstLineChars="0"/>
        <w:jc w:val="center"/>
        <w:rPr>
          <w:rFonts w:ascii="Times New Roman" w:hAnsi="Times New Roman"/>
          <w:color w:val="auto"/>
          <w:sz w:val="21"/>
          <w:szCs w:val="21"/>
        </w:rPr>
      </w:pPr>
      <w:r>
        <w:rPr>
          <w:color w:val="auto"/>
        </w:rPr>
        <w:object>
          <v:shape id="_x0000_i1025" o:spt="75" type="#_x0000_t75" style="height:145.5pt;width:445.5pt;" o:ole="t" filled="f" o:preferrelative="t" stroked="f" coordsize="21600,21600">
            <v:path/>
            <v:fill on="f" focussize="0,0"/>
            <v:stroke on="f"/>
            <v:imagedata r:id="rId20" o:title=""/>
            <o:lock v:ext="edit" aspectratio="t"/>
            <w10:wrap type="none"/>
            <w10:anchorlock/>
          </v:shape>
          <o:OLEObject Type="Embed" ProgID="Visio.Drawing.11" ShapeID="_x0000_i1025" DrawAspect="Content" ObjectID="_1468075725" r:id="rId19">
            <o:LockedField>false</o:LockedField>
          </o:OLEObject>
        </w:object>
      </w:r>
    </w:p>
    <w:p w14:paraId="00814888">
      <w:pPr>
        <w:ind w:firstLine="480"/>
        <w:jc w:val="center"/>
        <w:rPr>
          <w:color w:val="auto"/>
          <w:szCs w:val="24"/>
        </w:rPr>
      </w:pPr>
      <w:r>
        <w:rPr>
          <w:rFonts w:hint="eastAsia"/>
          <w:color w:val="auto"/>
          <w:szCs w:val="24"/>
        </w:rPr>
        <w:t>图3.</w:t>
      </w:r>
      <w:r>
        <w:rPr>
          <w:color w:val="auto"/>
          <w:szCs w:val="24"/>
        </w:rPr>
        <w:t>13</w:t>
      </w:r>
      <w:r>
        <w:rPr>
          <w:rFonts w:hint="eastAsia"/>
          <w:color w:val="auto"/>
          <w:szCs w:val="24"/>
        </w:rPr>
        <w:t>-1  施工工序及产污环节示意图</w:t>
      </w:r>
    </w:p>
    <w:p w14:paraId="463B3BA2">
      <w:pPr>
        <w:spacing w:line="360" w:lineRule="auto"/>
        <w:ind w:firstLine="480"/>
        <w:rPr>
          <w:color w:val="auto"/>
        </w:rPr>
      </w:pPr>
      <w:r>
        <w:rPr>
          <w:rFonts w:hint="eastAsia"/>
          <w:color w:val="auto"/>
        </w:rPr>
        <w:t>（2）施工营地</w:t>
      </w:r>
    </w:p>
    <w:p w14:paraId="12CD6D80">
      <w:pPr>
        <w:spacing w:line="360" w:lineRule="auto"/>
        <w:ind w:firstLine="480"/>
        <w:rPr>
          <w:color w:val="auto"/>
        </w:rPr>
      </w:pPr>
      <w:r>
        <w:rPr>
          <w:rFonts w:hint="eastAsia"/>
          <w:color w:val="auto"/>
        </w:rPr>
        <w:t>拟建项目施工期间不设置施工营地，位于项目</w:t>
      </w:r>
      <w:r>
        <w:rPr>
          <w:rFonts w:hint="eastAsia"/>
          <w:color w:val="auto"/>
          <w:lang w:eastAsia="zh-CN"/>
        </w:rPr>
        <w:t>园区污水处理厂二期预留用地范围</w:t>
      </w:r>
      <w:r>
        <w:rPr>
          <w:rFonts w:hint="eastAsia"/>
          <w:color w:val="auto"/>
        </w:rPr>
        <w:t>内，施工人员主要依托园区周边现有生活设施。</w:t>
      </w:r>
    </w:p>
    <w:p w14:paraId="5352B7B4">
      <w:pPr>
        <w:pStyle w:val="5"/>
        <w:numPr>
          <w:ilvl w:val="0"/>
          <w:numId w:val="0"/>
        </w:numPr>
        <w:spacing w:line="360" w:lineRule="auto"/>
        <w:rPr>
          <w:color w:val="auto"/>
        </w:rPr>
      </w:pPr>
      <w:r>
        <w:rPr>
          <w:rFonts w:hint="eastAsia"/>
          <w:color w:val="auto"/>
        </w:rPr>
        <w:t>3</w:t>
      </w:r>
      <w:r>
        <w:rPr>
          <w:color w:val="auto"/>
        </w:rPr>
        <w:t>.</w:t>
      </w:r>
      <w:r>
        <w:rPr>
          <w:color w:val="auto"/>
          <w:lang w:val="en-US"/>
        </w:rPr>
        <w:t>13</w:t>
      </w:r>
      <w:r>
        <w:rPr>
          <w:color w:val="auto"/>
        </w:rPr>
        <w:t>.2废水</w:t>
      </w:r>
    </w:p>
    <w:p w14:paraId="4BB39C81">
      <w:pPr>
        <w:spacing w:line="360" w:lineRule="auto"/>
        <w:ind w:firstLine="480"/>
        <w:rPr>
          <w:color w:val="auto"/>
          <w:lang w:val="zh-CN"/>
        </w:rPr>
      </w:pPr>
      <w:r>
        <w:rPr>
          <w:color w:val="auto"/>
          <w:lang w:val="zh-CN"/>
        </w:rPr>
        <w:t>（1）施工期生活污水</w:t>
      </w:r>
    </w:p>
    <w:p w14:paraId="048AE344">
      <w:pPr>
        <w:spacing w:line="360" w:lineRule="auto"/>
        <w:ind w:firstLine="480"/>
        <w:rPr>
          <w:color w:val="auto"/>
          <w:lang w:val="zh-CN"/>
        </w:rPr>
      </w:pPr>
      <w:r>
        <w:rPr>
          <w:color w:val="auto"/>
          <w:lang w:val="zh-CN"/>
        </w:rPr>
        <w:t>拟建项目高峰期施工人员按</w:t>
      </w:r>
      <w:r>
        <w:rPr>
          <w:rFonts w:hint="eastAsia"/>
          <w:color w:val="auto"/>
          <w:lang w:val="en-US" w:eastAsia="zh-CN"/>
        </w:rPr>
        <w:t>50</w:t>
      </w:r>
      <w:r>
        <w:rPr>
          <w:color w:val="auto"/>
          <w:lang w:val="zh-CN"/>
        </w:rPr>
        <w:t>人/d统计，生活用水按100L/人•d，施工</w:t>
      </w:r>
      <w:r>
        <w:rPr>
          <w:color w:val="auto"/>
        </w:rPr>
        <w:t>12</w:t>
      </w:r>
      <w:r>
        <w:rPr>
          <w:color w:val="auto"/>
          <w:lang w:val="zh-CN"/>
        </w:rPr>
        <w:t>个月，污水排放量按生活用水量的90%核算，废水排放量最大为</w:t>
      </w:r>
      <w:r>
        <w:rPr>
          <w:rFonts w:hint="eastAsia"/>
          <w:color w:val="auto"/>
          <w:lang w:val="en-US" w:eastAsia="zh-CN"/>
        </w:rPr>
        <w:t>4.5</w:t>
      </w:r>
      <w:r>
        <w:rPr>
          <w:color w:val="auto"/>
          <w:lang w:val="zh-CN"/>
        </w:rPr>
        <w:t>m</w:t>
      </w:r>
      <w:r>
        <w:rPr>
          <w:color w:val="auto"/>
          <w:vertAlign w:val="superscript"/>
          <w:lang w:val="zh-CN"/>
        </w:rPr>
        <w:t>3</w:t>
      </w:r>
      <w:r>
        <w:rPr>
          <w:color w:val="auto"/>
          <w:lang w:val="zh-CN"/>
        </w:rPr>
        <w:t>/d。主要污染物 COD（</w:t>
      </w:r>
      <w:r>
        <w:rPr>
          <w:rFonts w:hint="eastAsia"/>
          <w:color w:val="auto"/>
        </w:rPr>
        <w:t>4</w:t>
      </w:r>
      <w:r>
        <w:rPr>
          <w:color w:val="auto"/>
          <w:lang w:val="zh-CN"/>
        </w:rPr>
        <w:t>50mg/L）</w:t>
      </w:r>
      <w:r>
        <w:rPr>
          <w:rFonts w:hint="eastAsia"/>
          <w:color w:val="auto"/>
          <w:lang w:val="zh-CN"/>
        </w:rPr>
        <w:t>、</w:t>
      </w:r>
      <w:r>
        <w:rPr>
          <w:color w:val="auto"/>
          <w:lang w:val="zh-CN"/>
        </w:rPr>
        <w:t>BOD</w:t>
      </w:r>
      <w:r>
        <w:rPr>
          <w:color w:val="auto"/>
          <w:vertAlign w:val="subscript"/>
          <w:lang w:val="zh-CN"/>
        </w:rPr>
        <w:t>5</w:t>
      </w:r>
      <w:r>
        <w:rPr>
          <w:color w:val="auto"/>
          <w:lang w:val="zh-CN"/>
        </w:rPr>
        <w:t>（</w:t>
      </w:r>
      <w:r>
        <w:rPr>
          <w:rFonts w:hint="eastAsia"/>
          <w:color w:val="auto"/>
        </w:rPr>
        <w:t>35</w:t>
      </w:r>
      <w:r>
        <w:rPr>
          <w:color w:val="auto"/>
          <w:lang w:val="zh-CN"/>
        </w:rPr>
        <w:t>0mg/L）</w:t>
      </w:r>
      <w:r>
        <w:rPr>
          <w:rFonts w:hint="eastAsia"/>
          <w:color w:val="auto"/>
          <w:lang w:val="zh-CN"/>
        </w:rPr>
        <w:t>、氨氮</w:t>
      </w:r>
      <w:r>
        <w:rPr>
          <w:color w:val="auto"/>
          <w:lang w:val="zh-CN"/>
        </w:rPr>
        <w:t>（</w:t>
      </w:r>
      <w:r>
        <w:rPr>
          <w:rFonts w:hint="eastAsia"/>
          <w:color w:val="auto"/>
        </w:rPr>
        <w:t>45</w:t>
      </w:r>
      <w:r>
        <w:rPr>
          <w:color w:val="auto"/>
          <w:lang w:val="zh-CN"/>
        </w:rPr>
        <w:t>mg/L）</w:t>
      </w:r>
      <w:r>
        <w:rPr>
          <w:rFonts w:hint="eastAsia"/>
          <w:color w:val="auto"/>
          <w:lang w:val="zh-CN"/>
        </w:rPr>
        <w:t>、</w:t>
      </w:r>
      <w:r>
        <w:rPr>
          <w:color w:val="auto"/>
          <w:lang w:val="zh-CN"/>
        </w:rPr>
        <w:t>SS（</w:t>
      </w:r>
      <w:r>
        <w:rPr>
          <w:rFonts w:hint="eastAsia"/>
          <w:color w:val="auto"/>
        </w:rPr>
        <w:t>4</w:t>
      </w:r>
      <w:r>
        <w:rPr>
          <w:color w:val="auto"/>
          <w:lang w:val="zh-CN"/>
        </w:rPr>
        <w:t>00mg/L），污染物产生量COD0.</w:t>
      </w:r>
      <w:r>
        <w:rPr>
          <w:rFonts w:hint="eastAsia"/>
          <w:color w:val="auto"/>
          <w:lang w:val="en-US" w:eastAsia="zh-CN"/>
        </w:rPr>
        <w:t>729</w:t>
      </w:r>
      <w:r>
        <w:rPr>
          <w:color w:val="auto"/>
          <w:lang w:val="zh-CN"/>
        </w:rPr>
        <w:t>t</w:t>
      </w:r>
      <w:r>
        <w:rPr>
          <w:rFonts w:hint="eastAsia"/>
          <w:color w:val="auto"/>
          <w:lang w:val="en-US" w:eastAsia="zh-CN"/>
        </w:rPr>
        <w:t>/a</w:t>
      </w:r>
      <w:r>
        <w:rPr>
          <w:color w:val="auto"/>
          <w:lang w:val="zh-CN"/>
        </w:rPr>
        <w:t>、BOD</w:t>
      </w:r>
      <w:r>
        <w:rPr>
          <w:color w:val="auto"/>
          <w:vertAlign w:val="subscript"/>
          <w:lang w:val="zh-CN"/>
        </w:rPr>
        <w:t>5</w:t>
      </w:r>
      <w:r>
        <w:rPr>
          <w:rFonts w:hint="eastAsia"/>
          <w:color w:val="auto"/>
          <w:lang w:val="zh-CN"/>
        </w:rPr>
        <w:t>0.</w:t>
      </w:r>
      <w:r>
        <w:rPr>
          <w:rFonts w:hint="eastAsia"/>
          <w:color w:val="auto"/>
          <w:lang w:val="en-US" w:eastAsia="zh-CN"/>
        </w:rPr>
        <w:t>567</w:t>
      </w:r>
      <w:r>
        <w:rPr>
          <w:rFonts w:hint="eastAsia"/>
          <w:color w:val="auto"/>
          <w:lang w:val="zh-CN"/>
        </w:rPr>
        <w:t>t</w:t>
      </w:r>
      <w:r>
        <w:rPr>
          <w:rFonts w:hint="eastAsia"/>
          <w:color w:val="auto"/>
          <w:lang w:val="en-US" w:eastAsia="zh-CN"/>
        </w:rPr>
        <w:t>/a</w:t>
      </w:r>
      <w:r>
        <w:rPr>
          <w:rFonts w:hint="eastAsia"/>
          <w:color w:val="auto"/>
          <w:lang w:val="zh-CN"/>
        </w:rPr>
        <w:t>、氨氮0</w:t>
      </w:r>
      <w:r>
        <w:rPr>
          <w:color w:val="auto"/>
          <w:lang w:val="zh-CN"/>
        </w:rPr>
        <w:t>.0</w:t>
      </w:r>
      <w:r>
        <w:rPr>
          <w:rFonts w:hint="eastAsia"/>
          <w:color w:val="auto"/>
          <w:lang w:val="en-US" w:eastAsia="zh-CN"/>
        </w:rPr>
        <w:t>73</w:t>
      </w:r>
      <w:r>
        <w:rPr>
          <w:rFonts w:hint="eastAsia"/>
          <w:color w:val="auto"/>
          <w:lang w:val="zh-CN"/>
        </w:rPr>
        <w:t>t</w:t>
      </w:r>
      <w:r>
        <w:rPr>
          <w:rFonts w:hint="eastAsia"/>
          <w:color w:val="auto"/>
          <w:lang w:val="en-US" w:eastAsia="zh-CN"/>
        </w:rPr>
        <w:t>/a</w:t>
      </w:r>
      <w:r>
        <w:rPr>
          <w:rFonts w:hint="eastAsia"/>
          <w:color w:val="auto"/>
          <w:lang w:val="zh-CN"/>
        </w:rPr>
        <w:t>、</w:t>
      </w:r>
      <w:r>
        <w:rPr>
          <w:color w:val="auto"/>
          <w:lang w:val="zh-CN"/>
        </w:rPr>
        <w:t>SS0.</w:t>
      </w:r>
      <w:r>
        <w:rPr>
          <w:rFonts w:hint="eastAsia"/>
          <w:color w:val="auto"/>
          <w:lang w:val="en-US" w:eastAsia="zh-CN"/>
        </w:rPr>
        <w:t>648</w:t>
      </w:r>
      <w:r>
        <w:rPr>
          <w:color w:val="auto"/>
          <w:lang w:val="zh-CN"/>
        </w:rPr>
        <w:t>t</w:t>
      </w:r>
      <w:r>
        <w:rPr>
          <w:rFonts w:hint="eastAsia"/>
          <w:color w:val="auto"/>
          <w:lang w:val="en-US" w:eastAsia="zh-CN"/>
        </w:rPr>
        <w:t>/a</w:t>
      </w:r>
      <w:r>
        <w:rPr>
          <w:color w:val="auto"/>
          <w:lang w:val="zh-CN"/>
        </w:rPr>
        <w:t>。施工场地内不设食堂。</w:t>
      </w:r>
    </w:p>
    <w:p w14:paraId="062B9972">
      <w:pPr>
        <w:spacing w:line="360" w:lineRule="auto"/>
        <w:ind w:firstLine="480"/>
        <w:rPr>
          <w:color w:val="auto"/>
          <w:lang w:val="zh-CN"/>
        </w:rPr>
      </w:pPr>
      <w:r>
        <w:rPr>
          <w:color w:val="auto"/>
          <w:lang w:val="zh-CN"/>
        </w:rPr>
        <w:t>（2）施工场地废水</w:t>
      </w:r>
    </w:p>
    <w:p w14:paraId="7FC9EA3F">
      <w:pPr>
        <w:spacing w:line="360" w:lineRule="auto"/>
        <w:ind w:firstLine="480"/>
        <w:rPr>
          <w:color w:val="auto"/>
        </w:rPr>
      </w:pPr>
      <w:r>
        <w:rPr>
          <w:color w:val="auto"/>
        </w:rPr>
        <w:t>施工初期，建筑物地基的开挖和混凝土的养护、施工机械冲洗、施工车辆冲洗等，将不可避免地产生浑浊的施工废水，主要的污染物是石油类和SS，拟建项目预计施工废水为10m</w:t>
      </w:r>
      <w:r>
        <w:rPr>
          <w:color w:val="auto"/>
          <w:vertAlign w:val="superscript"/>
        </w:rPr>
        <w:t>3</w:t>
      </w:r>
      <w:r>
        <w:rPr>
          <w:color w:val="auto"/>
        </w:rPr>
        <w:t>/d，其SS浓度为600mg/L、石油类20mg/L。</w:t>
      </w:r>
    </w:p>
    <w:p w14:paraId="751C2FB4">
      <w:pPr>
        <w:spacing w:line="360" w:lineRule="auto"/>
        <w:ind w:firstLine="480"/>
        <w:rPr>
          <w:color w:val="auto"/>
          <w:lang w:val="zh-CN"/>
        </w:rPr>
      </w:pPr>
      <w:r>
        <w:rPr>
          <w:color w:val="auto"/>
          <w:lang w:val="zh-CN"/>
        </w:rPr>
        <w:t>施工废水经场地内简易沉淀池经沉淀后回用于施工场地</w:t>
      </w:r>
      <w:r>
        <w:rPr>
          <w:rFonts w:hint="eastAsia"/>
          <w:color w:val="auto"/>
          <w:lang w:val="zh-CN"/>
        </w:rPr>
        <w:t>，不外排</w:t>
      </w:r>
      <w:r>
        <w:rPr>
          <w:color w:val="auto"/>
          <w:lang w:val="zh-CN"/>
        </w:rPr>
        <w:t>。</w:t>
      </w:r>
    </w:p>
    <w:p w14:paraId="27D04854">
      <w:pPr>
        <w:pStyle w:val="5"/>
        <w:numPr>
          <w:ilvl w:val="0"/>
          <w:numId w:val="0"/>
        </w:numPr>
        <w:spacing w:line="360" w:lineRule="auto"/>
        <w:rPr>
          <w:color w:val="auto"/>
        </w:rPr>
      </w:pPr>
      <w:r>
        <w:rPr>
          <w:rFonts w:hint="eastAsia"/>
          <w:color w:val="auto"/>
        </w:rPr>
        <w:t>3</w:t>
      </w:r>
      <w:r>
        <w:rPr>
          <w:color w:val="auto"/>
        </w:rPr>
        <w:t>.</w:t>
      </w:r>
      <w:r>
        <w:rPr>
          <w:color w:val="auto"/>
          <w:lang w:val="en-US"/>
        </w:rPr>
        <w:t>13</w:t>
      </w:r>
      <w:r>
        <w:rPr>
          <w:color w:val="auto"/>
        </w:rPr>
        <w:t>.3废气</w:t>
      </w:r>
    </w:p>
    <w:p w14:paraId="70D1F7B5">
      <w:pPr>
        <w:spacing w:line="360" w:lineRule="auto"/>
        <w:ind w:firstLine="480"/>
        <w:rPr>
          <w:color w:val="auto"/>
          <w:lang w:val="zh-CN"/>
        </w:rPr>
      </w:pPr>
      <w:r>
        <w:rPr>
          <w:color w:val="auto"/>
          <w:lang w:val="zh-CN"/>
        </w:rPr>
        <w:t>（1）施工扬尘</w:t>
      </w:r>
    </w:p>
    <w:p w14:paraId="18CC0405">
      <w:pPr>
        <w:spacing w:line="360" w:lineRule="auto"/>
        <w:ind w:firstLine="480"/>
        <w:rPr>
          <w:color w:val="auto"/>
          <w:lang w:val="zh-CN"/>
        </w:rPr>
      </w:pPr>
      <w:r>
        <w:rPr>
          <w:color w:val="auto"/>
          <w:lang w:val="zh-CN"/>
        </w:rPr>
        <w:t>拟建项目施工期大气污染物主要是扬尘。施工过程进一步扰动地表，运输车辆行驶或大风都</w:t>
      </w:r>
      <w:r>
        <w:rPr>
          <w:rFonts w:hint="eastAsia"/>
          <w:color w:val="auto"/>
          <w:lang w:val="zh-CN"/>
        </w:rPr>
        <w:t>可能</w:t>
      </w:r>
      <w:r>
        <w:rPr>
          <w:color w:val="auto"/>
          <w:lang w:val="zh-CN"/>
        </w:rPr>
        <w:t>导致扬尘产生。</w:t>
      </w:r>
      <w:r>
        <w:rPr>
          <w:rFonts w:hint="eastAsia"/>
          <w:color w:val="auto"/>
          <w:lang w:val="zh-CN"/>
        </w:rPr>
        <w:t>有关资料显示</w:t>
      </w:r>
      <w:r>
        <w:rPr>
          <w:color w:val="auto"/>
          <w:lang w:val="zh-CN"/>
        </w:rPr>
        <w:t>，施工扬尘的主要来源是运输车辆行驶而形成，约占扬尘总量的60%，扬尘量的大小与天气干燥程度、道路路况、车辆行驶速度、风速大小有关；施工车辆运输行驶于泥土路面而扬起的灰土，其灰尘的浓度可达到1~3g/m</w:t>
      </w:r>
      <w:r>
        <w:rPr>
          <w:color w:val="auto"/>
          <w:vertAlign w:val="superscript"/>
          <w:lang w:val="zh-CN"/>
        </w:rPr>
        <w:t>3</w:t>
      </w:r>
      <w:r>
        <w:rPr>
          <w:color w:val="auto"/>
          <w:lang w:val="zh-CN"/>
        </w:rPr>
        <w:t>。另外由于在挖方过程中破坏了地表结构，造成地面扬尘污染环境，扬尘的大小因施工现场工作条件、施工季节、施工阶段、管理水平、机械化程度及土质、天气条件的不同而差异较大。一般情况下，在自然风作用下，扬尘受重力、浮力和气流运动的作用，可以发生沉降、上升和扩散，扬尘影响范围在80m以内。在大风天气，扬尘量及影响范围将有所扩大。施工中的弃土、砂料、石灰等，若堆放时被覆不当或装卸运输时散落，也会造成施工扬尘，影响范围在50m左右。</w:t>
      </w:r>
    </w:p>
    <w:p w14:paraId="2F45A5FF">
      <w:pPr>
        <w:spacing w:line="360" w:lineRule="auto"/>
        <w:ind w:firstLine="480"/>
        <w:rPr>
          <w:color w:val="auto"/>
          <w:lang w:val="zh-CN"/>
        </w:rPr>
      </w:pPr>
      <w:r>
        <w:rPr>
          <w:color w:val="auto"/>
          <w:lang w:val="zh-CN"/>
        </w:rPr>
        <w:t>（2）施工机械废气</w:t>
      </w:r>
    </w:p>
    <w:p w14:paraId="2DC3640C">
      <w:pPr>
        <w:spacing w:line="360" w:lineRule="auto"/>
        <w:ind w:firstLine="480"/>
        <w:rPr>
          <w:color w:val="auto"/>
          <w:lang w:val="zh-CN"/>
        </w:rPr>
      </w:pPr>
      <w:r>
        <w:rPr>
          <w:color w:val="auto"/>
          <w:lang w:val="zh-CN"/>
        </w:rPr>
        <w:t>拟建项目施工过程使用的施工机械主要有挖掘机、装载机等机械，以柴油为燃料，会产生一定量燃油废气，主要污染物为CO、NO</w:t>
      </w:r>
      <w:r>
        <w:rPr>
          <w:color w:val="auto"/>
          <w:vertAlign w:val="subscript"/>
          <w:lang w:val="zh-CN"/>
        </w:rPr>
        <w:t>x</w:t>
      </w:r>
      <w:r>
        <w:rPr>
          <w:color w:val="auto"/>
          <w:lang w:val="zh-CN"/>
        </w:rPr>
        <w:t>、</w:t>
      </w:r>
      <w:r>
        <w:rPr>
          <w:color w:val="auto"/>
          <w:szCs w:val="24"/>
        </w:rPr>
        <w:t>HC</w:t>
      </w:r>
      <w:r>
        <w:rPr>
          <w:color w:val="auto"/>
          <w:lang w:val="zh-CN"/>
        </w:rPr>
        <w:t>等，考虑其产生量不大，环境影响范围有限且影响程度较小，故评价中仅进行定性分析。</w:t>
      </w:r>
    </w:p>
    <w:p w14:paraId="603AB96D">
      <w:pPr>
        <w:pStyle w:val="5"/>
        <w:numPr>
          <w:ilvl w:val="0"/>
          <w:numId w:val="0"/>
        </w:numPr>
        <w:spacing w:line="360" w:lineRule="auto"/>
        <w:rPr>
          <w:color w:val="auto"/>
        </w:rPr>
      </w:pPr>
      <w:r>
        <w:rPr>
          <w:rFonts w:hint="eastAsia"/>
          <w:color w:val="auto"/>
        </w:rPr>
        <w:t>3</w:t>
      </w:r>
      <w:r>
        <w:rPr>
          <w:color w:val="auto"/>
        </w:rPr>
        <w:t>.</w:t>
      </w:r>
      <w:r>
        <w:rPr>
          <w:color w:val="auto"/>
          <w:lang w:val="en-US"/>
        </w:rPr>
        <w:t>13</w:t>
      </w:r>
      <w:r>
        <w:rPr>
          <w:color w:val="auto"/>
        </w:rPr>
        <w:t>.4噪声</w:t>
      </w:r>
    </w:p>
    <w:p w14:paraId="5F0338BE">
      <w:pPr>
        <w:spacing w:line="360" w:lineRule="auto"/>
        <w:ind w:firstLine="480"/>
        <w:rPr>
          <w:color w:val="auto"/>
          <w:lang w:val="zh-CN"/>
        </w:rPr>
      </w:pPr>
      <w:r>
        <w:rPr>
          <w:color w:val="auto"/>
          <w:lang w:val="zh-CN"/>
        </w:rPr>
        <w:t>施工过程中，各种施工机械设备运转和车辆运行会带来噪声污染。土建阶段的噪声源主要是混凝土振捣器、装载机、挖掘机、运输车等。上述设备单机噪声在75～105dB(A</w:t>
      </w:r>
      <w:r>
        <w:rPr>
          <w:rFonts w:hint="eastAsia"/>
          <w:color w:val="auto"/>
          <w:lang w:val="zh-CN"/>
        </w:rPr>
        <w:t>）</w:t>
      </w:r>
      <w:r>
        <w:rPr>
          <w:color w:val="auto"/>
          <w:lang w:val="zh-CN"/>
        </w:rPr>
        <w:t>之间，具体噪声值参见</w:t>
      </w:r>
      <w:r>
        <w:rPr>
          <w:rFonts w:hint="eastAsia"/>
          <w:color w:val="auto"/>
          <w:lang w:val="zh-CN"/>
        </w:rPr>
        <w:t>表3</w:t>
      </w:r>
      <w:r>
        <w:rPr>
          <w:color w:val="auto"/>
          <w:lang w:val="zh-CN"/>
        </w:rPr>
        <w:t>.</w:t>
      </w:r>
      <w:r>
        <w:rPr>
          <w:color w:val="auto"/>
        </w:rPr>
        <w:t>13</w:t>
      </w:r>
      <w:r>
        <w:rPr>
          <w:color w:val="auto"/>
          <w:lang w:val="zh-CN"/>
        </w:rPr>
        <w:t>-1。</w:t>
      </w:r>
    </w:p>
    <w:p w14:paraId="65843C0F">
      <w:pPr>
        <w:pStyle w:val="185"/>
        <w:rPr>
          <w:color w:val="auto"/>
        </w:rPr>
      </w:pPr>
      <w:bookmarkStart w:id="152" w:name="_Ref499731391"/>
      <w:r>
        <w:rPr>
          <w:color w:val="auto"/>
        </w:rPr>
        <w:t>表</w:t>
      </w:r>
      <w:bookmarkEnd w:id="152"/>
      <w:r>
        <w:rPr>
          <w:color w:val="auto"/>
        </w:rPr>
        <w:t>3.</w:t>
      </w:r>
      <w:r>
        <w:rPr>
          <w:color w:val="auto"/>
          <w:lang w:val="en-US"/>
        </w:rPr>
        <w:t>13</w:t>
      </w:r>
      <w:r>
        <w:rPr>
          <w:color w:val="auto"/>
        </w:rPr>
        <w:t>-1 工程主要施工机械源强单位：Leq dB(A)</w:t>
      </w:r>
    </w:p>
    <w:tbl>
      <w:tblPr>
        <w:tblStyle w:val="88"/>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94"/>
        <w:gridCol w:w="3094"/>
        <w:gridCol w:w="3098"/>
      </w:tblGrid>
      <w:tr w14:paraId="3085D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094" w:type="dxa"/>
            <w:vAlign w:val="center"/>
          </w:tcPr>
          <w:p w14:paraId="7A81D998">
            <w:pPr>
              <w:pStyle w:val="276"/>
              <w:rPr>
                <w:color w:val="auto"/>
              </w:rPr>
            </w:pPr>
            <w:r>
              <w:rPr>
                <w:rFonts w:hint="eastAsia"/>
                <w:color w:val="auto"/>
              </w:rPr>
              <w:t>声源类型</w:t>
            </w:r>
          </w:p>
        </w:tc>
        <w:tc>
          <w:tcPr>
            <w:tcW w:w="3094" w:type="dxa"/>
            <w:vAlign w:val="center"/>
          </w:tcPr>
          <w:p w14:paraId="090D7CE3">
            <w:pPr>
              <w:pStyle w:val="276"/>
              <w:rPr>
                <w:color w:val="auto"/>
              </w:rPr>
            </w:pPr>
            <w:r>
              <w:rPr>
                <w:rFonts w:hint="eastAsia"/>
                <w:color w:val="auto"/>
              </w:rPr>
              <w:t>设备名称</w:t>
            </w:r>
          </w:p>
        </w:tc>
        <w:tc>
          <w:tcPr>
            <w:tcW w:w="3098" w:type="dxa"/>
            <w:vAlign w:val="center"/>
          </w:tcPr>
          <w:p w14:paraId="6DB009D2">
            <w:pPr>
              <w:pStyle w:val="276"/>
              <w:rPr>
                <w:color w:val="auto"/>
              </w:rPr>
            </w:pPr>
            <w:r>
              <w:rPr>
                <w:rFonts w:hint="eastAsia"/>
                <w:color w:val="auto"/>
              </w:rPr>
              <w:t>距声源10m处噪声级</w:t>
            </w:r>
          </w:p>
        </w:tc>
      </w:tr>
      <w:tr w14:paraId="0133A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4" w:type="dxa"/>
            <w:vMerge w:val="restart"/>
            <w:vAlign w:val="center"/>
          </w:tcPr>
          <w:p w14:paraId="2331F3CF">
            <w:pPr>
              <w:pStyle w:val="276"/>
              <w:rPr>
                <w:color w:val="auto"/>
              </w:rPr>
            </w:pPr>
            <w:r>
              <w:rPr>
                <w:rFonts w:hint="eastAsia"/>
                <w:color w:val="auto"/>
              </w:rPr>
              <w:t>固定源及小范围流动源</w:t>
            </w:r>
          </w:p>
        </w:tc>
        <w:tc>
          <w:tcPr>
            <w:tcW w:w="3094" w:type="dxa"/>
            <w:vAlign w:val="center"/>
          </w:tcPr>
          <w:p w14:paraId="24804235">
            <w:pPr>
              <w:pStyle w:val="276"/>
              <w:rPr>
                <w:color w:val="auto"/>
              </w:rPr>
            </w:pPr>
            <w:r>
              <w:rPr>
                <w:rFonts w:hint="eastAsia"/>
                <w:color w:val="auto"/>
              </w:rPr>
              <w:t>混凝土振捣器</w:t>
            </w:r>
          </w:p>
        </w:tc>
        <w:tc>
          <w:tcPr>
            <w:tcW w:w="3098" w:type="dxa"/>
            <w:vAlign w:val="center"/>
          </w:tcPr>
          <w:p w14:paraId="2B14CC50">
            <w:pPr>
              <w:pStyle w:val="276"/>
              <w:rPr>
                <w:color w:val="auto"/>
              </w:rPr>
            </w:pPr>
            <w:r>
              <w:rPr>
                <w:rFonts w:hint="eastAsia"/>
                <w:color w:val="auto"/>
              </w:rPr>
              <w:t>75～84</w:t>
            </w:r>
          </w:p>
        </w:tc>
      </w:tr>
      <w:tr w14:paraId="71B6E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4" w:type="dxa"/>
            <w:vMerge w:val="continue"/>
            <w:vAlign w:val="center"/>
          </w:tcPr>
          <w:p w14:paraId="4ECC10B4">
            <w:pPr>
              <w:pStyle w:val="276"/>
              <w:rPr>
                <w:color w:val="auto"/>
              </w:rPr>
            </w:pPr>
          </w:p>
        </w:tc>
        <w:tc>
          <w:tcPr>
            <w:tcW w:w="3094" w:type="dxa"/>
            <w:vAlign w:val="center"/>
          </w:tcPr>
          <w:p w14:paraId="647E45B6">
            <w:pPr>
              <w:pStyle w:val="276"/>
              <w:rPr>
                <w:color w:val="auto"/>
              </w:rPr>
            </w:pPr>
            <w:r>
              <w:rPr>
                <w:rFonts w:hint="eastAsia"/>
                <w:color w:val="auto"/>
              </w:rPr>
              <w:t>空压机</w:t>
            </w:r>
          </w:p>
        </w:tc>
        <w:tc>
          <w:tcPr>
            <w:tcW w:w="3098" w:type="dxa"/>
            <w:vAlign w:val="center"/>
          </w:tcPr>
          <w:p w14:paraId="1F88D835">
            <w:pPr>
              <w:pStyle w:val="276"/>
              <w:rPr>
                <w:color w:val="auto"/>
              </w:rPr>
            </w:pPr>
            <w:r>
              <w:rPr>
                <w:rFonts w:hint="eastAsia"/>
                <w:color w:val="auto"/>
              </w:rPr>
              <w:t>83～88</w:t>
            </w:r>
          </w:p>
        </w:tc>
      </w:tr>
      <w:tr w14:paraId="40B32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4" w:type="dxa"/>
            <w:vMerge w:val="continue"/>
            <w:vAlign w:val="center"/>
          </w:tcPr>
          <w:p w14:paraId="3252BE74">
            <w:pPr>
              <w:pStyle w:val="276"/>
              <w:rPr>
                <w:color w:val="auto"/>
              </w:rPr>
            </w:pPr>
          </w:p>
        </w:tc>
        <w:tc>
          <w:tcPr>
            <w:tcW w:w="3094" w:type="dxa"/>
            <w:vAlign w:val="center"/>
          </w:tcPr>
          <w:p w14:paraId="031C3FB2">
            <w:pPr>
              <w:pStyle w:val="276"/>
              <w:rPr>
                <w:color w:val="auto"/>
              </w:rPr>
            </w:pPr>
            <w:r>
              <w:rPr>
                <w:rFonts w:hint="eastAsia"/>
                <w:color w:val="auto"/>
              </w:rPr>
              <w:t>装载机</w:t>
            </w:r>
          </w:p>
        </w:tc>
        <w:tc>
          <w:tcPr>
            <w:tcW w:w="3098" w:type="dxa"/>
            <w:vAlign w:val="center"/>
          </w:tcPr>
          <w:p w14:paraId="13D6F1A5">
            <w:pPr>
              <w:pStyle w:val="276"/>
              <w:rPr>
                <w:color w:val="auto"/>
              </w:rPr>
            </w:pPr>
            <w:r>
              <w:rPr>
                <w:rFonts w:hint="eastAsia"/>
                <w:color w:val="auto"/>
              </w:rPr>
              <w:t>85～91</w:t>
            </w:r>
          </w:p>
        </w:tc>
      </w:tr>
      <w:tr w14:paraId="6044C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4" w:type="dxa"/>
            <w:vMerge w:val="continue"/>
            <w:vAlign w:val="center"/>
          </w:tcPr>
          <w:p w14:paraId="44508FC7">
            <w:pPr>
              <w:pStyle w:val="276"/>
              <w:rPr>
                <w:color w:val="auto"/>
              </w:rPr>
            </w:pPr>
          </w:p>
        </w:tc>
        <w:tc>
          <w:tcPr>
            <w:tcW w:w="3094" w:type="dxa"/>
            <w:vAlign w:val="center"/>
          </w:tcPr>
          <w:p w14:paraId="0221FB16">
            <w:pPr>
              <w:pStyle w:val="276"/>
              <w:rPr>
                <w:color w:val="auto"/>
              </w:rPr>
            </w:pPr>
            <w:r>
              <w:rPr>
                <w:rFonts w:hint="eastAsia"/>
                <w:color w:val="auto"/>
              </w:rPr>
              <w:t>挖掘机</w:t>
            </w:r>
          </w:p>
        </w:tc>
        <w:tc>
          <w:tcPr>
            <w:tcW w:w="3098" w:type="dxa"/>
            <w:vAlign w:val="center"/>
          </w:tcPr>
          <w:p w14:paraId="1241BC71">
            <w:pPr>
              <w:pStyle w:val="276"/>
              <w:rPr>
                <w:color w:val="auto"/>
              </w:rPr>
            </w:pPr>
            <w:r>
              <w:rPr>
                <w:rFonts w:hint="eastAsia"/>
                <w:color w:val="auto"/>
              </w:rPr>
              <w:t>75～86</w:t>
            </w:r>
          </w:p>
        </w:tc>
      </w:tr>
      <w:tr w14:paraId="7DF3E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4" w:type="dxa"/>
            <w:vMerge w:val="restart"/>
            <w:vAlign w:val="center"/>
          </w:tcPr>
          <w:p w14:paraId="6A7AFED2">
            <w:pPr>
              <w:pStyle w:val="276"/>
              <w:rPr>
                <w:color w:val="auto"/>
              </w:rPr>
            </w:pPr>
            <w:r>
              <w:rPr>
                <w:rFonts w:hint="eastAsia"/>
                <w:color w:val="auto"/>
              </w:rPr>
              <w:t>大范围流动源</w:t>
            </w:r>
          </w:p>
        </w:tc>
        <w:tc>
          <w:tcPr>
            <w:tcW w:w="3094" w:type="dxa"/>
            <w:vAlign w:val="center"/>
          </w:tcPr>
          <w:p w14:paraId="69B7DE48">
            <w:pPr>
              <w:pStyle w:val="276"/>
              <w:rPr>
                <w:color w:val="auto"/>
              </w:rPr>
            </w:pPr>
            <w:r>
              <w:rPr>
                <w:rFonts w:hint="eastAsia"/>
                <w:color w:val="auto"/>
              </w:rPr>
              <w:t>运输车</w:t>
            </w:r>
          </w:p>
        </w:tc>
        <w:tc>
          <w:tcPr>
            <w:tcW w:w="3098" w:type="dxa"/>
            <w:vAlign w:val="center"/>
          </w:tcPr>
          <w:p w14:paraId="0EEF9D07">
            <w:pPr>
              <w:pStyle w:val="276"/>
              <w:rPr>
                <w:color w:val="auto"/>
              </w:rPr>
            </w:pPr>
            <w:r>
              <w:rPr>
                <w:rFonts w:hint="eastAsia"/>
                <w:color w:val="auto"/>
              </w:rPr>
              <w:t>78～86</w:t>
            </w:r>
          </w:p>
        </w:tc>
      </w:tr>
      <w:tr w14:paraId="594E8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4" w:type="dxa"/>
            <w:vMerge w:val="continue"/>
            <w:vAlign w:val="center"/>
          </w:tcPr>
          <w:p w14:paraId="518E365C">
            <w:pPr>
              <w:pStyle w:val="276"/>
              <w:rPr>
                <w:color w:val="auto"/>
              </w:rPr>
            </w:pPr>
          </w:p>
        </w:tc>
        <w:tc>
          <w:tcPr>
            <w:tcW w:w="3094" w:type="dxa"/>
            <w:vAlign w:val="center"/>
          </w:tcPr>
          <w:p w14:paraId="34B5B9EE">
            <w:pPr>
              <w:pStyle w:val="276"/>
              <w:rPr>
                <w:color w:val="auto"/>
              </w:rPr>
            </w:pPr>
            <w:r>
              <w:rPr>
                <w:rFonts w:hint="eastAsia"/>
                <w:color w:val="auto"/>
              </w:rPr>
              <w:t>推土机</w:t>
            </w:r>
          </w:p>
        </w:tc>
        <w:tc>
          <w:tcPr>
            <w:tcW w:w="3098" w:type="dxa"/>
            <w:vAlign w:val="center"/>
          </w:tcPr>
          <w:p w14:paraId="0A1DED5C">
            <w:pPr>
              <w:pStyle w:val="276"/>
              <w:rPr>
                <w:color w:val="auto"/>
              </w:rPr>
            </w:pPr>
            <w:r>
              <w:rPr>
                <w:rFonts w:hint="eastAsia"/>
                <w:color w:val="auto"/>
              </w:rPr>
              <w:t>80～85</w:t>
            </w:r>
          </w:p>
        </w:tc>
      </w:tr>
    </w:tbl>
    <w:p w14:paraId="73D021F2">
      <w:pPr>
        <w:ind w:firstLine="480"/>
        <w:rPr>
          <w:color w:val="auto"/>
          <w:lang w:val="zh-CN"/>
        </w:rPr>
      </w:pPr>
    </w:p>
    <w:p w14:paraId="4A7B1748">
      <w:pPr>
        <w:pStyle w:val="5"/>
        <w:numPr>
          <w:ilvl w:val="0"/>
          <w:numId w:val="0"/>
        </w:numPr>
        <w:spacing w:line="360" w:lineRule="auto"/>
        <w:rPr>
          <w:color w:val="auto"/>
        </w:rPr>
      </w:pPr>
      <w:r>
        <w:rPr>
          <w:rFonts w:hint="eastAsia"/>
          <w:color w:val="auto"/>
        </w:rPr>
        <w:t>3</w:t>
      </w:r>
      <w:r>
        <w:rPr>
          <w:color w:val="auto"/>
        </w:rPr>
        <w:t>.</w:t>
      </w:r>
      <w:r>
        <w:rPr>
          <w:color w:val="auto"/>
          <w:lang w:val="en-US"/>
        </w:rPr>
        <w:t>13</w:t>
      </w:r>
      <w:r>
        <w:rPr>
          <w:color w:val="auto"/>
        </w:rPr>
        <w:t>.5固体废物</w:t>
      </w:r>
    </w:p>
    <w:p w14:paraId="5615CED0">
      <w:pPr>
        <w:spacing w:line="360" w:lineRule="auto"/>
        <w:ind w:firstLine="480"/>
        <w:rPr>
          <w:color w:val="auto"/>
          <w:lang w:val="zh-CN"/>
        </w:rPr>
      </w:pPr>
      <w:r>
        <w:rPr>
          <w:color w:val="auto"/>
          <w:lang w:val="zh-CN"/>
        </w:rPr>
        <w:t>（1）建筑垃圾</w:t>
      </w:r>
    </w:p>
    <w:p w14:paraId="5CC545A4">
      <w:pPr>
        <w:spacing w:line="360" w:lineRule="auto"/>
        <w:ind w:firstLine="480"/>
        <w:rPr>
          <w:color w:val="auto"/>
          <w:lang w:val="zh-CN"/>
        </w:rPr>
      </w:pPr>
      <w:r>
        <w:rPr>
          <w:color w:val="auto"/>
          <w:lang w:val="zh-CN"/>
        </w:rPr>
        <w:t>根据项目</w:t>
      </w:r>
      <w:r>
        <w:rPr>
          <w:rFonts w:hint="eastAsia"/>
          <w:color w:val="auto"/>
          <w:lang w:val="zh-CN"/>
        </w:rPr>
        <w:t>设计资料</w:t>
      </w:r>
      <w:r>
        <w:rPr>
          <w:color w:val="auto"/>
          <w:lang w:val="zh-CN"/>
        </w:rPr>
        <w:t>，施工期开挖土石方约</w:t>
      </w:r>
      <w:r>
        <w:rPr>
          <w:color w:val="auto"/>
        </w:rPr>
        <w:t>5</w:t>
      </w:r>
      <w:r>
        <w:rPr>
          <w:rFonts w:hint="eastAsia"/>
          <w:color w:val="auto"/>
        </w:rPr>
        <w:t>0</w:t>
      </w:r>
      <w:r>
        <w:rPr>
          <w:rFonts w:hint="eastAsia"/>
          <w:color w:val="auto"/>
          <w:lang w:val="zh-CN"/>
        </w:rPr>
        <w:t>00</w:t>
      </w:r>
      <w:r>
        <w:rPr>
          <w:color w:val="auto"/>
          <w:lang w:val="zh-CN"/>
        </w:rPr>
        <w:t>m</w:t>
      </w:r>
      <w:r>
        <w:rPr>
          <w:color w:val="auto"/>
          <w:vertAlign w:val="superscript"/>
          <w:lang w:val="zh-CN"/>
        </w:rPr>
        <w:t>3</w:t>
      </w:r>
      <w:r>
        <w:rPr>
          <w:color w:val="auto"/>
          <w:lang w:val="zh-CN"/>
        </w:rPr>
        <w:t>，</w:t>
      </w:r>
      <w:r>
        <w:rPr>
          <w:rFonts w:hint="eastAsia"/>
          <w:color w:val="auto"/>
          <w:lang w:val="zh-CN"/>
        </w:rPr>
        <w:t>回填</w:t>
      </w:r>
      <w:r>
        <w:rPr>
          <w:color w:val="auto"/>
          <w:lang w:val="zh-CN"/>
        </w:rPr>
        <w:t>土石方约</w:t>
      </w:r>
      <w:r>
        <w:rPr>
          <w:color w:val="auto"/>
        </w:rPr>
        <w:t>3</w:t>
      </w:r>
      <w:r>
        <w:rPr>
          <w:rFonts w:hint="eastAsia"/>
          <w:color w:val="auto"/>
        </w:rPr>
        <w:t>0</w:t>
      </w:r>
      <w:r>
        <w:rPr>
          <w:rFonts w:hint="eastAsia"/>
          <w:color w:val="auto"/>
          <w:lang w:val="zh-CN"/>
        </w:rPr>
        <w:t>00</w:t>
      </w:r>
      <w:r>
        <w:rPr>
          <w:color w:val="auto"/>
          <w:lang w:val="zh-CN"/>
        </w:rPr>
        <w:t>m</w:t>
      </w:r>
      <w:r>
        <w:rPr>
          <w:color w:val="auto"/>
          <w:vertAlign w:val="superscript"/>
          <w:lang w:val="zh-CN"/>
        </w:rPr>
        <w:t>3</w:t>
      </w:r>
      <w:r>
        <w:rPr>
          <w:color w:val="auto"/>
          <w:lang w:val="zh-CN"/>
        </w:rPr>
        <w:t>，</w:t>
      </w:r>
      <w:r>
        <w:rPr>
          <w:rFonts w:hint="eastAsia"/>
          <w:color w:val="auto"/>
          <w:lang w:val="zh-CN"/>
        </w:rPr>
        <w:t>约产生弃方</w:t>
      </w:r>
      <w:r>
        <w:rPr>
          <w:color w:val="auto"/>
        </w:rPr>
        <w:t>2</w:t>
      </w:r>
      <w:r>
        <w:rPr>
          <w:rFonts w:hint="eastAsia"/>
          <w:color w:val="auto"/>
        </w:rPr>
        <w:t>00</w:t>
      </w:r>
      <w:r>
        <w:rPr>
          <w:rFonts w:hint="eastAsia"/>
          <w:color w:val="auto"/>
          <w:lang w:val="zh-CN"/>
        </w:rPr>
        <w:t>0</w:t>
      </w:r>
      <w:r>
        <w:rPr>
          <w:color w:val="auto"/>
          <w:lang w:val="zh-CN"/>
        </w:rPr>
        <w:t>m</w:t>
      </w:r>
      <w:r>
        <w:rPr>
          <w:color w:val="auto"/>
          <w:vertAlign w:val="superscript"/>
          <w:lang w:val="zh-CN"/>
        </w:rPr>
        <w:t>3</w:t>
      </w:r>
      <w:r>
        <w:rPr>
          <w:color w:val="auto"/>
          <w:lang w:val="zh-CN"/>
        </w:rPr>
        <w:t>，</w:t>
      </w:r>
      <w:r>
        <w:rPr>
          <w:rFonts w:hint="eastAsia"/>
          <w:color w:val="auto"/>
          <w:lang w:val="zh-CN"/>
        </w:rPr>
        <w:t>直接用于园区其他施工</w:t>
      </w:r>
      <w:r>
        <w:rPr>
          <w:rFonts w:hint="eastAsia"/>
          <w:color w:val="auto"/>
        </w:rPr>
        <w:t>场地项目回填方，拟建项目不设置弃土场和渣场。</w:t>
      </w:r>
    </w:p>
    <w:p w14:paraId="58A3A042">
      <w:pPr>
        <w:spacing w:line="360" w:lineRule="auto"/>
        <w:ind w:firstLine="480"/>
        <w:rPr>
          <w:color w:val="auto"/>
          <w:lang w:val="zh-CN"/>
        </w:rPr>
      </w:pPr>
      <w:r>
        <w:rPr>
          <w:color w:val="auto"/>
          <w:lang w:val="zh-CN"/>
        </w:rPr>
        <w:t>（2）施工期生活垃圾</w:t>
      </w:r>
    </w:p>
    <w:p w14:paraId="2D12D216">
      <w:pPr>
        <w:spacing w:line="360" w:lineRule="auto"/>
        <w:ind w:firstLine="480"/>
        <w:rPr>
          <w:color w:val="auto"/>
          <w:lang w:val="zh-CN"/>
        </w:rPr>
      </w:pPr>
      <w:r>
        <w:rPr>
          <w:color w:val="auto"/>
          <w:lang w:val="zh-CN"/>
        </w:rPr>
        <w:t>按照施工期</w:t>
      </w:r>
      <w:r>
        <w:rPr>
          <w:color w:val="auto"/>
        </w:rPr>
        <w:t>12</w:t>
      </w:r>
      <w:r>
        <w:rPr>
          <w:color w:val="auto"/>
          <w:lang w:val="zh-CN"/>
        </w:rPr>
        <w:t>个月计，拟建项目高峰期施工人员按</w:t>
      </w:r>
      <w:r>
        <w:rPr>
          <w:rFonts w:hint="eastAsia"/>
          <w:color w:val="auto"/>
          <w:lang w:val="en-US" w:eastAsia="zh-CN"/>
        </w:rPr>
        <w:t>50</w:t>
      </w:r>
      <w:r>
        <w:rPr>
          <w:color w:val="auto"/>
          <w:lang w:val="zh-CN"/>
        </w:rPr>
        <w:t>人/d统计，生活垃圾以0.5kg/人•d计，则施工区排放量为</w:t>
      </w:r>
      <w:r>
        <w:rPr>
          <w:rFonts w:hint="eastAsia"/>
          <w:color w:val="auto"/>
          <w:lang w:val="en-US" w:eastAsia="zh-CN"/>
        </w:rPr>
        <w:t>25.0</w:t>
      </w:r>
      <w:r>
        <w:rPr>
          <w:color w:val="auto"/>
          <w:lang w:val="zh-CN"/>
        </w:rPr>
        <w:t>kg/d（</w:t>
      </w:r>
      <w:r>
        <w:rPr>
          <w:rFonts w:hint="eastAsia"/>
          <w:color w:val="auto"/>
          <w:lang w:val="en-US" w:eastAsia="zh-CN"/>
        </w:rPr>
        <w:t>9.0</w:t>
      </w:r>
      <w:r>
        <w:rPr>
          <w:color w:val="auto"/>
          <w:lang w:val="zh-CN"/>
        </w:rPr>
        <w:t>t/a），集中收集后交市政环卫部门处置。</w:t>
      </w:r>
    </w:p>
    <w:p w14:paraId="74654B42">
      <w:pPr>
        <w:pStyle w:val="5"/>
        <w:numPr>
          <w:ilvl w:val="0"/>
          <w:numId w:val="0"/>
        </w:numPr>
        <w:spacing w:line="360" w:lineRule="auto"/>
        <w:rPr>
          <w:color w:val="auto"/>
        </w:rPr>
      </w:pPr>
      <w:r>
        <w:rPr>
          <w:rFonts w:hint="eastAsia"/>
          <w:color w:val="auto"/>
        </w:rPr>
        <w:t>3</w:t>
      </w:r>
      <w:r>
        <w:rPr>
          <w:color w:val="auto"/>
        </w:rPr>
        <w:t>.</w:t>
      </w:r>
      <w:r>
        <w:rPr>
          <w:color w:val="auto"/>
          <w:lang w:val="en-US"/>
        </w:rPr>
        <w:t>13</w:t>
      </w:r>
      <w:r>
        <w:rPr>
          <w:color w:val="auto"/>
        </w:rPr>
        <w:t>.6生态影响</w:t>
      </w:r>
    </w:p>
    <w:p w14:paraId="6B1CC171">
      <w:pPr>
        <w:spacing w:line="360" w:lineRule="auto"/>
        <w:ind w:firstLine="480"/>
        <w:rPr>
          <w:color w:val="auto"/>
          <w:lang w:val="zh-CN"/>
        </w:rPr>
      </w:pPr>
      <w:bookmarkStart w:id="153" w:name="_Toc295908676"/>
      <w:bookmarkStart w:id="154" w:name="_Toc280901443"/>
      <w:bookmarkStart w:id="155" w:name="_Toc447638865"/>
      <w:r>
        <w:rPr>
          <w:rFonts w:hint="eastAsia"/>
          <w:color w:val="auto"/>
          <w:lang w:val="zh-CN"/>
        </w:rPr>
        <w:t>项目的选址符合生态环境分区管控要求且位于已批准规划环评的产业园区（重庆忠县工业园乌杨组团）内且符合规划环评要求、不涉及生态敏感区。项目主要设施设备均位于</w:t>
      </w:r>
      <w:r>
        <w:rPr>
          <w:rFonts w:hint="eastAsia"/>
          <w:color w:val="auto"/>
          <w:lang w:eastAsia="zh-CN"/>
        </w:rPr>
        <w:t>园区污水处理厂二期预留用地</w:t>
      </w:r>
      <w:r>
        <w:rPr>
          <w:rFonts w:hint="eastAsia"/>
          <w:color w:val="auto"/>
        </w:rPr>
        <w:t>范围</w:t>
      </w:r>
      <w:r>
        <w:rPr>
          <w:rFonts w:hint="eastAsia"/>
          <w:color w:val="auto"/>
          <w:lang w:val="zh-CN"/>
        </w:rPr>
        <w:t>内，施工期均为厂界范围内，施工过程对生态环境影响较小</w:t>
      </w:r>
      <w:r>
        <w:rPr>
          <w:color w:val="auto"/>
          <w:lang w:val="zh-CN"/>
        </w:rPr>
        <w:t>。</w:t>
      </w:r>
    </w:p>
    <w:p w14:paraId="6122F84F">
      <w:pPr>
        <w:pStyle w:val="4"/>
        <w:numPr>
          <w:ilvl w:val="0"/>
          <w:numId w:val="0"/>
        </w:numPr>
        <w:spacing w:line="360" w:lineRule="auto"/>
        <w:rPr>
          <w:color w:val="auto"/>
        </w:rPr>
      </w:pPr>
      <w:bookmarkStart w:id="156" w:name="_Toc30816"/>
      <w:r>
        <w:rPr>
          <w:rFonts w:hint="eastAsia"/>
          <w:color w:val="auto"/>
        </w:rPr>
        <w:t>3</w:t>
      </w:r>
      <w:r>
        <w:rPr>
          <w:color w:val="auto"/>
        </w:rPr>
        <w:t>.</w:t>
      </w:r>
      <w:r>
        <w:rPr>
          <w:color w:val="auto"/>
          <w:lang w:val="en-US"/>
        </w:rPr>
        <w:t>14</w:t>
      </w:r>
      <w:r>
        <w:rPr>
          <w:rFonts w:hint="eastAsia"/>
          <w:color w:val="auto"/>
        </w:rPr>
        <w:t>营运</w:t>
      </w:r>
      <w:r>
        <w:rPr>
          <w:color w:val="auto"/>
        </w:rPr>
        <w:t>期</w:t>
      </w:r>
      <w:bookmarkEnd w:id="153"/>
      <w:bookmarkEnd w:id="154"/>
      <w:r>
        <w:rPr>
          <w:color w:val="auto"/>
        </w:rPr>
        <w:t>污染源</w:t>
      </w:r>
      <w:bookmarkEnd w:id="155"/>
      <w:r>
        <w:rPr>
          <w:color w:val="auto"/>
        </w:rPr>
        <w:t>分析</w:t>
      </w:r>
      <w:bookmarkEnd w:id="156"/>
    </w:p>
    <w:p w14:paraId="0B81AE86">
      <w:pPr>
        <w:pStyle w:val="5"/>
        <w:numPr>
          <w:ilvl w:val="0"/>
          <w:numId w:val="0"/>
        </w:numPr>
        <w:spacing w:line="360" w:lineRule="auto"/>
        <w:rPr>
          <w:color w:val="auto"/>
        </w:rPr>
      </w:pPr>
      <w:r>
        <w:rPr>
          <w:rFonts w:hint="eastAsia"/>
          <w:color w:val="auto"/>
        </w:rPr>
        <w:t>3</w:t>
      </w:r>
      <w:r>
        <w:rPr>
          <w:color w:val="auto"/>
        </w:rPr>
        <w:t>.</w:t>
      </w:r>
      <w:r>
        <w:rPr>
          <w:color w:val="auto"/>
          <w:lang w:val="en-US"/>
        </w:rPr>
        <w:t>14</w:t>
      </w:r>
      <w:r>
        <w:rPr>
          <w:color w:val="auto"/>
        </w:rPr>
        <w:t>.1废水</w:t>
      </w:r>
    </w:p>
    <w:p w14:paraId="4128663F">
      <w:pPr>
        <w:spacing w:line="360" w:lineRule="auto"/>
        <w:ind w:firstLine="480"/>
        <w:rPr>
          <w:color w:val="auto"/>
          <w:szCs w:val="24"/>
        </w:rPr>
      </w:pPr>
      <w:r>
        <w:rPr>
          <w:color w:val="auto"/>
          <w:lang w:val="zh-CN"/>
        </w:rPr>
        <w:t>拟建项目</w:t>
      </w:r>
      <w:r>
        <w:rPr>
          <w:rFonts w:hint="eastAsia"/>
          <w:color w:val="auto"/>
          <w:lang w:val="zh-CN"/>
        </w:rPr>
        <w:t>为污水处理工程，</w:t>
      </w:r>
      <w:r>
        <w:rPr>
          <w:rFonts w:hint="eastAsia"/>
          <w:color w:val="auto"/>
          <w:szCs w:val="24"/>
          <w:lang w:eastAsia="zh-CN"/>
        </w:rPr>
        <w:t>设计废水处理规模2000m</w:t>
      </w:r>
      <w:r>
        <w:rPr>
          <w:rFonts w:hint="eastAsia"/>
          <w:color w:val="auto"/>
          <w:szCs w:val="24"/>
          <w:vertAlign w:val="superscript"/>
          <w:lang w:eastAsia="zh-CN"/>
        </w:rPr>
        <w:t>3</w:t>
      </w:r>
      <w:r>
        <w:rPr>
          <w:rFonts w:hint="eastAsia"/>
          <w:color w:val="auto"/>
          <w:szCs w:val="24"/>
          <w:lang w:eastAsia="zh-CN"/>
        </w:rPr>
        <w:t>/d</w:t>
      </w:r>
      <w:r>
        <w:rPr>
          <w:rFonts w:hint="eastAsia"/>
          <w:color w:val="auto"/>
          <w:szCs w:val="24"/>
        </w:rPr>
        <w:t>。</w:t>
      </w:r>
    </w:p>
    <w:p w14:paraId="580CE150">
      <w:pPr>
        <w:spacing w:line="360" w:lineRule="auto"/>
        <w:ind w:firstLine="480"/>
        <w:rPr>
          <w:rFonts w:hint="default" w:eastAsia="宋体"/>
          <w:color w:val="auto"/>
          <w:lang w:val="en-US" w:eastAsia="zh-CN"/>
        </w:rPr>
      </w:pPr>
      <w:r>
        <w:rPr>
          <w:rFonts w:hint="eastAsia"/>
          <w:color w:val="auto"/>
          <w:lang w:val="en-US" w:eastAsia="zh-CN"/>
        </w:rPr>
        <w:t>（1）生产废水</w:t>
      </w:r>
    </w:p>
    <w:p w14:paraId="7D059A4E">
      <w:pPr>
        <w:spacing w:line="360" w:lineRule="auto"/>
        <w:ind w:firstLine="480"/>
        <w:rPr>
          <w:color w:val="auto"/>
          <w:lang w:val="zh-CN"/>
        </w:rPr>
      </w:pPr>
      <w:r>
        <w:rPr>
          <w:rFonts w:hint="eastAsia"/>
          <w:color w:val="auto"/>
          <w:lang w:val="zh-CN"/>
        </w:rPr>
        <w:t>拟建项目废水主要包括：构筑物及设备清洗废水、实验室废水、车辆清洗废水、污泥压滤废水、</w:t>
      </w:r>
      <w:r>
        <w:rPr>
          <w:rFonts w:hint="eastAsia"/>
          <w:color w:val="auto"/>
          <w:lang w:val="en-US" w:eastAsia="zh-CN"/>
        </w:rPr>
        <w:t>MVR装置</w:t>
      </w:r>
      <w:r>
        <w:rPr>
          <w:rFonts w:hint="eastAsia"/>
          <w:color w:val="auto"/>
          <w:lang w:val="zh-CN"/>
        </w:rPr>
        <w:t>蒸发冷凝水和员工生活污水。</w:t>
      </w:r>
    </w:p>
    <w:p w14:paraId="200667A5">
      <w:pPr>
        <w:pStyle w:val="1990"/>
        <w:ind w:firstLine="480"/>
        <w:rPr>
          <w:color w:val="auto"/>
          <w:lang w:val="zh-CN"/>
        </w:rPr>
      </w:pPr>
      <w:r>
        <w:rPr>
          <w:rFonts w:hint="eastAsia"/>
          <w:color w:val="auto"/>
          <w:lang w:val="zh-CN"/>
        </w:rPr>
        <w:t>根据建设单位设计资料及项目水平衡分析，构筑物及设备清洗废水、实验室废水、车辆清洗废水、污泥压滤废水等合计产生量约3</w:t>
      </w:r>
      <w:r>
        <w:rPr>
          <w:color w:val="auto"/>
          <w:lang w:val="zh-CN"/>
        </w:rPr>
        <w:t>0.98</w:t>
      </w:r>
      <w:r>
        <w:rPr>
          <w:rFonts w:hint="eastAsia"/>
          <w:color w:val="auto"/>
        </w:rPr>
        <w:t xml:space="preserve"> m</w:t>
      </w:r>
      <w:r>
        <w:rPr>
          <w:rFonts w:hint="eastAsia"/>
          <w:color w:val="auto"/>
          <w:vertAlign w:val="superscript"/>
        </w:rPr>
        <w:t>3</w:t>
      </w:r>
      <w:r>
        <w:rPr>
          <w:rFonts w:hint="eastAsia"/>
          <w:color w:val="auto"/>
        </w:rPr>
        <w:t>/d，</w:t>
      </w:r>
      <w:r>
        <w:rPr>
          <w:rFonts w:hint="eastAsia"/>
          <w:color w:val="auto"/>
          <w:lang w:val="zh-CN"/>
        </w:rPr>
        <w:t>直接进入废水处理站调节池，处理达标后排放。</w:t>
      </w:r>
    </w:p>
    <w:p w14:paraId="4578EA3D">
      <w:pPr>
        <w:pStyle w:val="1990"/>
        <w:ind w:firstLine="480"/>
        <w:rPr>
          <w:color w:val="auto"/>
        </w:rPr>
      </w:pPr>
      <w:r>
        <w:rPr>
          <w:rFonts w:hint="eastAsia"/>
          <w:color w:val="auto"/>
          <w:lang w:val="en-US" w:eastAsia="zh-CN"/>
        </w:rPr>
        <w:t>MVR装置</w:t>
      </w:r>
      <w:r>
        <w:rPr>
          <w:rFonts w:hint="eastAsia"/>
          <w:color w:val="auto"/>
          <w:lang w:val="zh-CN"/>
        </w:rPr>
        <w:t>蒸发冷凝水产生量约为</w:t>
      </w:r>
      <w:r>
        <w:rPr>
          <w:rFonts w:hint="eastAsia"/>
          <w:color w:val="auto"/>
        </w:rPr>
        <w:t>4</w:t>
      </w:r>
      <w:r>
        <w:rPr>
          <w:color w:val="auto"/>
          <w:lang w:val="zh-CN"/>
        </w:rPr>
        <w:t>56</w:t>
      </w:r>
      <w:r>
        <w:rPr>
          <w:rFonts w:hint="eastAsia"/>
          <w:color w:val="auto"/>
        </w:rPr>
        <w:t xml:space="preserve"> m</w:t>
      </w:r>
      <w:r>
        <w:rPr>
          <w:rFonts w:hint="eastAsia"/>
          <w:color w:val="auto"/>
          <w:vertAlign w:val="superscript"/>
        </w:rPr>
        <w:t>3</w:t>
      </w:r>
      <w:r>
        <w:rPr>
          <w:rFonts w:hint="eastAsia"/>
          <w:color w:val="auto"/>
        </w:rPr>
        <w:t>/d，经管道进入排放水池，与DTRO浓缩处理后清水一起达标排放。</w:t>
      </w:r>
    </w:p>
    <w:p w14:paraId="3F46D088">
      <w:pPr>
        <w:pStyle w:val="1990"/>
        <w:ind w:firstLine="480"/>
        <w:rPr>
          <w:color w:val="auto"/>
          <w:lang w:val="zh-CN"/>
        </w:rPr>
      </w:pPr>
      <w:r>
        <w:rPr>
          <w:rFonts w:hint="eastAsia"/>
          <w:color w:val="auto"/>
          <w:lang w:val="zh-CN"/>
        </w:rPr>
        <w:t>根据项目用排水分析及水平衡可知，废水处理站生产废水</w:t>
      </w:r>
      <w:r>
        <w:rPr>
          <w:rFonts w:hint="eastAsia"/>
          <w:color w:val="auto"/>
        </w:rPr>
        <w:t>排放量为1</w:t>
      </w:r>
      <w:r>
        <w:rPr>
          <w:color w:val="auto"/>
        </w:rPr>
        <w:t>956</w:t>
      </w:r>
      <w:r>
        <w:rPr>
          <w:rFonts w:hint="eastAsia"/>
          <w:color w:val="auto"/>
        </w:rPr>
        <w:t>m</w:t>
      </w:r>
      <w:r>
        <w:rPr>
          <w:rFonts w:hint="eastAsia"/>
          <w:color w:val="auto"/>
          <w:vertAlign w:val="superscript"/>
        </w:rPr>
        <w:t>3</w:t>
      </w:r>
      <w:r>
        <w:rPr>
          <w:rFonts w:hint="eastAsia"/>
          <w:color w:val="auto"/>
        </w:rPr>
        <w:t>/d。</w:t>
      </w:r>
    </w:p>
    <w:p w14:paraId="3DD0CA7E">
      <w:pPr>
        <w:pStyle w:val="1990"/>
        <w:ind w:firstLine="480"/>
        <w:rPr>
          <w:color w:val="auto"/>
          <w:lang w:val="zh-CN"/>
        </w:rPr>
      </w:pPr>
      <w:r>
        <w:rPr>
          <w:rFonts w:hint="eastAsia"/>
          <w:color w:val="auto"/>
          <w:lang w:val="zh-CN"/>
        </w:rPr>
        <w:t>（</w:t>
      </w:r>
      <w:r>
        <w:rPr>
          <w:rFonts w:hint="eastAsia"/>
          <w:color w:val="auto"/>
          <w:lang w:val="en-US" w:eastAsia="zh-CN"/>
        </w:rPr>
        <w:t>2</w:t>
      </w:r>
      <w:r>
        <w:rPr>
          <w:rFonts w:hint="eastAsia"/>
          <w:color w:val="auto"/>
          <w:lang w:val="zh-CN"/>
        </w:rPr>
        <w:t>）生活污水</w:t>
      </w:r>
    </w:p>
    <w:p w14:paraId="65F72409">
      <w:pPr>
        <w:adjustRightInd w:val="0"/>
        <w:snapToGrid w:val="0"/>
        <w:spacing w:line="360" w:lineRule="auto"/>
        <w:ind w:firstLine="480" w:firstLineChars="200"/>
        <w:rPr>
          <w:color w:val="auto"/>
          <w:lang w:val="zh-CN"/>
        </w:rPr>
      </w:pPr>
      <w:r>
        <w:rPr>
          <w:bCs/>
          <w:color w:val="auto"/>
          <w:sz w:val="24"/>
        </w:rPr>
        <w:t>拟建项目预计新增劳动定员</w:t>
      </w:r>
      <w:r>
        <w:rPr>
          <w:rFonts w:hint="eastAsia"/>
          <w:bCs/>
          <w:color w:val="auto"/>
          <w:sz w:val="24"/>
          <w:lang w:val="en-US" w:eastAsia="zh-CN"/>
        </w:rPr>
        <w:t>20</w:t>
      </w:r>
      <w:r>
        <w:rPr>
          <w:bCs/>
          <w:color w:val="auto"/>
          <w:sz w:val="24"/>
        </w:rPr>
        <w:t>人，不设置住宿相关生活设施，人均用水量按100L/d计，新鲜用水量为</w:t>
      </w:r>
      <w:r>
        <w:rPr>
          <w:rFonts w:hint="eastAsia"/>
          <w:bCs/>
          <w:color w:val="auto"/>
          <w:sz w:val="24"/>
          <w:lang w:val="en-US" w:eastAsia="zh-CN"/>
        </w:rPr>
        <w:t>2</w:t>
      </w:r>
      <w:r>
        <w:rPr>
          <w:bCs/>
          <w:color w:val="auto"/>
          <w:sz w:val="24"/>
        </w:rPr>
        <w:t>m</w:t>
      </w:r>
      <w:r>
        <w:rPr>
          <w:bCs/>
          <w:color w:val="auto"/>
          <w:sz w:val="24"/>
          <w:vertAlign w:val="superscript"/>
        </w:rPr>
        <w:t>3</w:t>
      </w:r>
      <w:r>
        <w:rPr>
          <w:bCs/>
          <w:color w:val="auto"/>
          <w:sz w:val="24"/>
        </w:rPr>
        <w:t>/d（</w:t>
      </w:r>
      <w:r>
        <w:rPr>
          <w:rFonts w:hint="eastAsia"/>
          <w:bCs/>
          <w:color w:val="auto"/>
          <w:sz w:val="24"/>
          <w:lang w:val="en-US" w:eastAsia="zh-CN"/>
        </w:rPr>
        <w:t>6</w:t>
      </w:r>
      <w:r>
        <w:rPr>
          <w:bCs/>
          <w:color w:val="auto"/>
          <w:sz w:val="24"/>
        </w:rPr>
        <w:t>00m</w:t>
      </w:r>
      <w:r>
        <w:rPr>
          <w:bCs/>
          <w:color w:val="auto"/>
          <w:sz w:val="24"/>
          <w:vertAlign w:val="superscript"/>
        </w:rPr>
        <w:t>3</w:t>
      </w:r>
      <w:r>
        <w:rPr>
          <w:bCs/>
          <w:color w:val="auto"/>
          <w:sz w:val="24"/>
        </w:rPr>
        <w:t>/a），排污系数按0.9计，生活污水产生量为</w:t>
      </w:r>
      <w:r>
        <w:rPr>
          <w:rFonts w:hint="eastAsia"/>
          <w:bCs/>
          <w:color w:val="auto"/>
          <w:sz w:val="24"/>
          <w:lang w:val="en-US" w:eastAsia="zh-CN"/>
        </w:rPr>
        <w:t>1.8</w:t>
      </w:r>
      <w:r>
        <w:rPr>
          <w:bCs/>
          <w:color w:val="auto"/>
          <w:sz w:val="24"/>
        </w:rPr>
        <w:t>m</w:t>
      </w:r>
      <w:r>
        <w:rPr>
          <w:bCs/>
          <w:color w:val="auto"/>
          <w:sz w:val="24"/>
          <w:vertAlign w:val="superscript"/>
        </w:rPr>
        <w:t>3</w:t>
      </w:r>
      <w:r>
        <w:rPr>
          <w:bCs/>
          <w:color w:val="auto"/>
          <w:sz w:val="24"/>
        </w:rPr>
        <w:t>/d（</w:t>
      </w:r>
      <w:r>
        <w:rPr>
          <w:rFonts w:hint="eastAsia"/>
          <w:bCs/>
          <w:color w:val="auto"/>
          <w:sz w:val="24"/>
          <w:lang w:val="en-US" w:eastAsia="zh-CN"/>
        </w:rPr>
        <w:t>540</w:t>
      </w:r>
      <w:r>
        <w:rPr>
          <w:bCs/>
          <w:color w:val="auto"/>
          <w:sz w:val="24"/>
        </w:rPr>
        <w:t>m</w:t>
      </w:r>
      <w:r>
        <w:rPr>
          <w:bCs/>
          <w:color w:val="auto"/>
          <w:sz w:val="24"/>
          <w:vertAlign w:val="superscript"/>
        </w:rPr>
        <w:t>3</w:t>
      </w:r>
      <w:r>
        <w:rPr>
          <w:bCs/>
          <w:color w:val="auto"/>
          <w:sz w:val="24"/>
        </w:rPr>
        <w:t>/a），主要污染物浓度为pH6~9、COD 450mg/L、BOD</w:t>
      </w:r>
      <w:r>
        <w:rPr>
          <w:bCs/>
          <w:color w:val="auto"/>
          <w:sz w:val="24"/>
          <w:vertAlign w:val="subscript"/>
        </w:rPr>
        <w:t>5</w:t>
      </w:r>
      <w:r>
        <w:rPr>
          <w:bCs/>
          <w:color w:val="auto"/>
          <w:sz w:val="24"/>
        </w:rPr>
        <w:t xml:space="preserve"> 350mg/L、SS 300mg/L、NH</w:t>
      </w:r>
      <w:r>
        <w:rPr>
          <w:bCs/>
          <w:color w:val="auto"/>
          <w:sz w:val="24"/>
          <w:vertAlign w:val="subscript"/>
        </w:rPr>
        <w:t>3</w:t>
      </w:r>
      <w:r>
        <w:rPr>
          <w:bCs/>
          <w:color w:val="auto"/>
          <w:sz w:val="24"/>
        </w:rPr>
        <w:t>-N35mg/L、总磷</w:t>
      </w:r>
      <w:r>
        <w:rPr>
          <w:rFonts w:hint="eastAsia"/>
          <w:bCs/>
          <w:color w:val="auto"/>
          <w:sz w:val="24"/>
          <w:lang w:val="en-US" w:eastAsia="zh-CN"/>
        </w:rPr>
        <w:t>5</w:t>
      </w:r>
      <w:r>
        <w:rPr>
          <w:bCs/>
          <w:color w:val="auto"/>
          <w:sz w:val="24"/>
        </w:rPr>
        <w:t>mg/L、总氮70mg/L。</w:t>
      </w:r>
      <w:r>
        <w:rPr>
          <w:rFonts w:hint="eastAsia"/>
          <w:color w:val="auto"/>
          <w:lang w:val="zh-CN"/>
        </w:rPr>
        <w:t>新增员工生活污水约为1</w:t>
      </w:r>
      <w:r>
        <w:rPr>
          <w:color w:val="auto"/>
          <w:lang w:val="zh-CN"/>
        </w:rPr>
        <w:t>.8</w:t>
      </w:r>
      <w:r>
        <w:rPr>
          <w:rFonts w:hint="eastAsia"/>
          <w:color w:val="auto"/>
        </w:rPr>
        <w:t>m</w:t>
      </w:r>
      <w:r>
        <w:rPr>
          <w:rFonts w:hint="eastAsia"/>
          <w:color w:val="auto"/>
          <w:vertAlign w:val="superscript"/>
        </w:rPr>
        <w:t>3</w:t>
      </w:r>
      <w:r>
        <w:rPr>
          <w:rFonts w:hint="eastAsia"/>
          <w:color w:val="auto"/>
        </w:rPr>
        <w:t>/d，经生化池处理达标后排入园区污水管网。</w:t>
      </w:r>
    </w:p>
    <w:p w14:paraId="624943D0">
      <w:pPr>
        <w:pStyle w:val="1990"/>
        <w:ind w:firstLine="480"/>
        <w:rPr>
          <w:color w:val="auto"/>
        </w:rPr>
      </w:pPr>
      <w:r>
        <w:rPr>
          <w:color w:val="auto"/>
          <w:lang w:val="zh-CN"/>
        </w:rPr>
        <w:t>拟建项目</w:t>
      </w:r>
      <w:r>
        <w:rPr>
          <w:rFonts w:hint="eastAsia"/>
          <w:color w:val="auto"/>
          <w:lang w:val="zh-CN"/>
        </w:rPr>
        <w:t>处理规模为</w:t>
      </w:r>
      <w:r>
        <w:rPr>
          <w:rFonts w:hint="eastAsia"/>
          <w:color w:val="auto"/>
        </w:rPr>
        <w:t>20</w:t>
      </w:r>
      <w:r>
        <w:rPr>
          <w:color w:val="auto"/>
          <w:lang w:val="zh-CN"/>
        </w:rPr>
        <w:t>00</w:t>
      </w:r>
      <w:r>
        <w:rPr>
          <w:rFonts w:hint="eastAsia"/>
          <w:color w:val="auto"/>
          <w:lang w:val="zh-CN"/>
        </w:rPr>
        <w:t>m</w:t>
      </w:r>
      <w:r>
        <w:rPr>
          <w:rFonts w:hint="eastAsia"/>
          <w:color w:val="auto"/>
          <w:vertAlign w:val="superscript"/>
          <w:lang w:val="zh-CN"/>
        </w:rPr>
        <w:t>3</w:t>
      </w:r>
      <w:r>
        <w:rPr>
          <w:rFonts w:hint="eastAsia"/>
          <w:color w:val="auto"/>
          <w:lang w:val="zh-CN"/>
        </w:rPr>
        <w:t>/d，</w:t>
      </w:r>
      <w:r>
        <w:rPr>
          <w:rFonts w:hint="eastAsia"/>
          <w:color w:val="auto"/>
        </w:rPr>
        <w:t>对外接收页岩气开采废水规模约为</w:t>
      </w:r>
      <w:r>
        <w:rPr>
          <w:rFonts w:hint="eastAsia"/>
          <w:color w:val="auto"/>
          <w:lang w:val="en-US" w:eastAsia="zh-CN"/>
        </w:rPr>
        <w:t>20</w:t>
      </w:r>
      <w:r>
        <w:rPr>
          <w:rFonts w:hint="eastAsia"/>
          <w:color w:val="auto"/>
        </w:rPr>
        <w:t>00 m</w:t>
      </w:r>
      <w:r>
        <w:rPr>
          <w:rFonts w:hint="eastAsia"/>
          <w:color w:val="auto"/>
          <w:vertAlign w:val="superscript"/>
        </w:rPr>
        <w:t>3</w:t>
      </w:r>
      <w:r>
        <w:rPr>
          <w:rFonts w:hint="eastAsia"/>
          <w:color w:val="auto"/>
        </w:rPr>
        <w:t>/d</w:t>
      </w:r>
      <w:r>
        <w:rPr>
          <w:rFonts w:hint="eastAsia"/>
          <w:color w:val="auto"/>
          <w:lang w:val="zh-CN"/>
        </w:rPr>
        <w:t>，根据项目水平衡计算可知，</w:t>
      </w:r>
      <w:r>
        <w:rPr>
          <w:rFonts w:hint="eastAsia"/>
          <w:color w:val="auto"/>
        </w:rPr>
        <w:t>项目废水经处理达到</w:t>
      </w:r>
      <w:r>
        <w:rPr>
          <w:rFonts w:hint="eastAsia"/>
          <w:color w:val="auto"/>
          <w:lang w:eastAsia="zh-CN"/>
        </w:rPr>
        <w:t>《页岩气开采水污染物排放标准》（DB50/1806-2025）间接排放标准限值后直接接入乌杨组团园区污水处理厂</w:t>
      </w:r>
      <w:r>
        <w:rPr>
          <w:rFonts w:hint="eastAsia"/>
          <w:color w:val="auto"/>
        </w:rPr>
        <w:t>进行深度处理达《城镇污水处理厂污染物排放标准》（GB18918-2002）一级 A 标准后排入</w:t>
      </w:r>
      <w:r>
        <w:rPr>
          <w:rFonts w:hint="eastAsia"/>
          <w:color w:val="auto"/>
          <w:lang w:eastAsia="zh-CN"/>
        </w:rPr>
        <w:t>长江</w:t>
      </w:r>
      <w:r>
        <w:rPr>
          <w:color w:val="auto"/>
        </w:rPr>
        <w:t>。</w:t>
      </w:r>
    </w:p>
    <w:p w14:paraId="5F810020">
      <w:pPr>
        <w:spacing w:line="360" w:lineRule="auto"/>
        <w:ind w:firstLine="480"/>
        <w:rPr>
          <w:color w:val="auto"/>
          <w:lang w:val="zh-CN"/>
        </w:rPr>
      </w:pPr>
      <w:r>
        <w:rPr>
          <w:color w:val="auto"/>
          <w:lang w:val="zh-CN"/>
        </w:rPr>
        <w:t>废水</w:t>
      </w:r>
      <w:r>
        <w:rPr>
          <w:rFonts w:hint="eastAsia"/>
          <w:color w:val="auto"/>
          <w:lang w:val="zh-CN"/>
        </w:rPr>
        <w:t>各</w:t>
      </w:r>
      <w:r>
        <w:rPr>
          <w:color w:val="auto"/>
          <w:lang w:val="zh-CN"/>
        </w:rPr>
        <w:t>污染物收集、排放情况如表3.14-1</w:t>
      </w:r>
      <w:r>
        <w:rPr>
          <w:rFonts w:hint="eastAsia"/>
          <w:color w:val="auto"/>
          <w:lang w:val="zh-CN"/>
        </w:rPr>
        <w:t>和</w:t>
      </w:r>
      <w:r>
        <w:rPr>
          <w:color w:val="auto"/>
          <w:lang w:val="zh-CN"/>
        </w:rPr>
        <w:t>表3.14-1。</w:t>
      </w:r>
    </w:p>
    <w:p w14:paraId="5E94FD7D">
      <w:pPr>
        <w:pStyle w:val="185"/>
        <w:rPr>
          <w:color w:val="auto"/>
        </w:rPr>
        <w:sectPr>
          <w:pgSz w:w="11906" w:h="16838"/>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pPr>
    </w:p>
    <w:p w14:paraId="0CF1F969">
      <w:pPr>
        <w:pStyle w:val="185"/>
        <w:rPr>
          <w:snapToGrid w:val="0"/>
          <w:color w:val="auto"/>
        </w:rPr>
      </w:pPr>
      <w:r>
        <w:rPr>
          <w:color w:val="auto"/>
        </w:rPr>
        <w:t xml:space="preserve">表3.14-1  </w:t>
      </w:r>
      <w:r>
        <w:rPr>
          <w:rFonts w:hint="eastAsia"/>
          <w:snapToGrid w:val="0"/>
          <w:color w:val="auto"/>
        </w:rPr>
        <w:t>拟建项目建成后全厂</w:t>
      </w:r>
      <w:r>
        <w:rPr>
          <w:snapToGrid w:val="0"/>
          <w:color w:val="auto"/>
        </w:rPr>
        <w:t>污水处理主要污染物</w:t>
      </w:r>
      <w:r>
        <w:rPr>
          <w:rFonts w:hint="eastAsia"/>
          <w:snapToGrid w:val="0"/>
          <w:color w:val="auto"/>
        </w:rPr>
        <w:t>产生、排放</w:t>
      </w:r>
      <w:r>
        <w:rPr>
          <w:snapToGrid w:val="0"/>
          <w:color w:val="auto"/>
        </w:rPr>
        <w:t>情况</w:t>
      </w:r>
    </w:p>
    <w:tbl>
      <w:tblPr>
        <w:tblStyle w:val="88"/>
        <w:tblW w:w="1404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949"/>
        <w:gridCol w:w="794"/>
        <w:gridCol w:w="846"/>
        <w:gridCol w:w="2169"/>
        <w:gridCol w:w="1044"/>
        <w:gridCol w:w="1043"/>
        <w:gridCol w:w="1241"/>
        <w:gridCol w:w="1028"/>
        <w:gridCol w:w="1000"/>
        <w:gridCol w:w="1025"/>
        <w:gridCol w:w="951"/>
        <w:gridCol w:w="999"/>
        <w:gridCol w:w="951"/>
      </w:tblGrid>
      <w:tr w14:paraId="4423ED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49" w:type="dxa"/>
            <w:vMerge w:val="restart"/>
            <w:shd w:val="clear" w:color="auto" w:fill="auto"/>
            <w:vAlign w:val="center"/>
          </w:tcPr>
          <w:p w14:paraId="49235F01">
            <w:pPr>
              <w:pStyle w:val="181"/>
              <w:rPr>
                <w:color w:val="auto"/>
              </w:rPr>
            </w:pPr>
            <w:r>
              <w:rPr>
                <w:rFonts w:hint="eastAsia"/>
                <w:color w:val="auto"/>
              </w:rPr>
              <w:t>污染源</w:t>
            </w:r>
          </w:p>
        </w:tc>
        <w:tc>
          <w:tcPr>
            <w:tcW w:w="1640" w:type="dxa"/>
            <w:gridSpan w:val="2"/>
            <w:vMerge w:val="restart"/>
            <w:shd w:val="clear" w:color="auto" w:fill="auto"/>
            <w:vAlign w:val="center"/>
          </w:tcPr>
          <w:p w14:paraId="019A83C3">
            <w:pPr>
              <w:pStyle w:val="181"/>
              <w:rPr>
                <w:color w:val="auto"/>
              </w:rPr>
            </w:pPr>
            <w:r>
              <w:rPr>
                <w:rFonts w:hint="eastAsia"/>
                <w:color w:val="auto"/>
              </w:rPr>
              <w:t>废水量</w:t>
            </w:r>
          </w:p>
        </w:tc>
        <w:tc>
          <w:tcPr>
            <w:tcW w:w="2169" w:type="dxa"/>
            <w:vMerge w:val="restart"/>
            <w:shd w:val="clear" w:color="auto" w:fill="auto"/>
            <w:vAlign w:val="center"/>
          </w:tcPr>
          <w:p w14:paraId="4B750232">
            <w:pPr>
              <w:pStyle w:val="181"/>
              <w:rPr>
                <w:color w:val="auto"/>
              </w:rPr>
            </w:pPr>
            <w:r>
              <w:rPr>
                <w:rFonts w:hint="eastAsia"/>
                <w:color w:val="auto"/>
              </w:rPr>
              <w:t>污染物</w:t>
            </w:r>
          </w:p>
        </w:tc>
        <w:tc>
          <w:tcPr>
            <w:tcW w:w="2087" w:type="dxa"/>
            <w:gridSpan w:val="2"/>
            <w:shd w:val="clear" w:color="auto" w:fill="auto"/>
            <w:vAlign w:val="center"/>
          </w:tcPr>
          <w:p w14:paraId="475E0010">
            <w:pPr>
              <w:pStyle w:val="181"/>
              <w:rPr>
                <w:color w:val="auto"/>
              </w:rPr>
            </w:pPr>
            <w:r>
              <w:rPr>
                <w:rFonts w:hint="eastAsia"/>
                <w:color w:val="auto"/>
              </w:rPr>
              <w:t>治理前</w:t>
            </w:r>
          </w:p>
        </w:tc>
        <w:tc>
          <w:tcPr>
            <w:tcW w:w="1241" w:type="dxa"/>
            <w:vMerge w:val="restart"/>
            <w:shd w:val="clear" w:color="auto" w:fill="auto"/>
            <w:vAlign w:val="center"/>
          </w:tcPr>
          <w:p w14:paraId="014A2958">
            <w:pPr>
              <w:pStyle w:val="181"/>
              <w:rPr>
                <w:color w:val="auto"/>
              </w:rPr>
            </w:pPr>
            <w:r>
              <w:rPr>
                <w:rFonts w:hint="eastAsia"/>
                <w:color w:val="auto"/>
              </w:rPr>
              <w:t>治理措施</w:t>
            </w:r>
          </w:p>
        </w:tc>
        <w:tc>
          <w:tcPr>
            <w:tcW w:w="1028" w:type="dxa"/>
            <w:vMerge w:val="restart"/>
            <w:shd w:val="clear" w:color="auto" w:fill="auto"/>
            <w:vAlign w:val="center"/>
          </w:tcPr>
          <w:p w14:paraId="4605D89F">
            <w:pPr>
              <w:pStyle w:val="181"/>
              <w:rPr>
                <w:color w:val="auto"/>
              </w:rPr>
            </w:pPr>
            <w:r>
              <w:rPr>
                <w:rFonts w:hint="eastAsia"/>
                <w:color w:val="auto"/>
              </w:rPr>
              <w:t>治理效率（%）</w:t>
            </w:r>
          </w:p>
        </w:tc>
        <w:tc>
          <w:tcPr>
            <w:tcW w:w="2025" w:type="dxa"/>
            <w:gridSpan w:val="2"/>
            <w:shd w:val="clear" w:color="auto" w:fill="auto"/>
            <w:vAlign w:val="center"/>
          </w:tcPr>
          <w:p w14:paraId="4A846D12">
            <w:pPr>
              <w:pStyle w:val="181"/>
              <w:rPr>
                <w:color w:val="auto"/>
              </w:rPr>
            </w:pPr>
            <w:r>
              <w:rPr>
                <w:rFonts w:hint="eastAsia"/>
                <w:color w:val="auto"/>
              </w:rPr>
              <w:t>治理后</w:t>
            </w:r>
          </w:p>
        </w:tc>
        <w:tc>
          <w:tcPr>
            <w:tcW w:w="951" w:type="dxa"/>
            <w:vMerge w:val="restart"/>
            <w:shd w:val="clear" w:color="auto" w:fill="auto"/>
            <w:vAlign w:val="center"/>
          </w:tcPr>
          <w:p w14:paraId="446C66F3">
            <w:pPr>
              <w:pStyle w:val="181"/>
              <w:rPr>
                <w:color w:val="auto"/>
              </w:rPr>
            </w:pPr>
            <w:r>
              <w:rPr>
                <w:rFonts w:hint="eastAsia"/>
                <w:color w:val="auto"/>
              </w:rPr>
              <w:t>排放去向</w:t>
            </w:r>
          </w:p>
        </w:tc>
        <w:tc>
          <w:tcPr>
            <w:tcW w:w="999" w:type="dxa"/>
            <w:vMerge w:val="restart"/>
            <w:shd w:val="clear" w:color="auto" w:fill="auto"/>
            <w:vAlign w:val="center"/>
          </w:tcPr>
          <w:p w14:paraId="4E89774A">
            <w:pPr>
              <w:pStyle w:val="181"/>
              <w:rPr>
                <w:color w:val="auto"/>
              </w:rPr>
            </w:pPr>
            <w:r>
              <w:rPr>
                <w:rFonts w:hint="eastAsia"/>
                <w:color w:val="auto"/>
              </w:rPr>
              <w:t>排放标准mg/L</w:t>
            </w:r>
          </w:p>
        </w:tc>
        <w:tc>
          <w:tcPr>
            <w:tcW w:w="951" w:type="dxa"/>
            <w:vMerge w:val="restart"/>
            <w:shd w:val="clear" w:color="auto" w:fill="auto"/>
            <w:vAlign w:val="center"/>
          </w:tcPr>
          <w:p w14:paraId="30573A8E">
            <w:pPr>
              <w:pStyle w:val="181"/>
              <w:rPr>
                <w:color w:val="auto"/>
              </w:rPr>
            </w:pPr>
            <w:r>
              <w:rPr>
                <w:rFonts w:hint="eastAsia"/>
                <w:color w:val="auto"/>
              </w:rPr>
              <w:t>达标情况</w:t>
            </w:r>
          </w:p>
        </w:tc>
      </w:tr>
      <w:tr w14:paraId="20ADF9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49" w:type="dxa"/>
            <w:vMerge w:val="continue"/>
            <w:vAlign w:val="center"/>
          </w:tcPr>
          <w:p w14:paraId="2D4F7846">
            <w:pPr>
              <w:pStyle w:val="181"/>
              <w:rPr>
                <w:color w:val="auto"/>
              </w:rPr>
            </w:pPr>
          </w:p>
        </w:tc>
        <w:tc>
          <w:tcPr>
            <w:tcW w:w="1640" w:type="dxa"/>
            <w:gridSpan w:val="2"/>
            <w:vMerge w:val="continue"/>
            <w:vAlign w:val="center"/>
          </w:tcPr>
          <w:p w14:paraId="4F8C8492">
            <w:pPr>
              <w:pStyle w:val="181"/>
              <w:rPr>
                <w:color w:val="auto"/>
              </w:rPr>
            </w:pPr>
          </w:p>
        </w:tc>
        <w:tc>
          <w:tcPr>
            <w:tcW w:w="2169" w:type="dxa"/>
            <w:vMerge w:val="continue"/>
            <w:vAlign w:val="center"/>
          </w:tcPr>
          <w:p w14:paraId="0F5D347A">
            <w:pPr>
              <w:pStyle w:val="181"/>
              <w:rPr>
                <w:color w:val="auto"/>
              </w:rPr>
            </w:pPr>
          </w:p>
        </w:tc>
        <w:tc>
          <w:tcPr>
            <w:tcW w:w="1044" w:type="dxa"/>
            <w:shd w:val="clear" w:color="auto" w:fill="auto"/>
            <w:vAlign w:val="center"/>
          </w:tcPr>
          <w:p w14:paraId="12DAD52F">
            <w:pPr>
              <w:pStyle w:val="181"/>
              <w:rPr>
                <w:color w:val="auto"/>
              </w:rPr>
            </w:pPr>
            <w:r>
              <w:rPr>
                <w:rFonts w:hint="eastAsia"/>
                <w:color w:val="auto"/>
              </w:rPr>
              <w:t>浓度</w:t>
            </w:r>
          </w:p>
        </w:tc>
        <w:tc>
          <w:tcPr>
            <w:tcW w:w="1043" w:type="dxa"/>
            <w:shd w:val="clear" w:color="auto" w:fill="auto"/>
            <w:vAlign w:val="center"/>
          </w:tcPr>
          <w:p w14:paraId="56FD9F88">
            <w:pPr>
              <w:pStyle w:val="181"/>
              <w:rPr>
                <w:color w:val="auto"/>
              </w:rPr>
            </w:pPr>
            <w:r>
              <w:rPr>
                <w:rFonts w:hint="eastAsia"/>
                <w:color w:val="auto"/>
              </w:rPr>
              <w:t>产生量</w:t>
            </w:r>
          </w:p>
        </w:tc>
        <w:tc>
          <w:tcPr>
            <w:tcW w:w="1241" w:type="dxa"/>
            <w:vMerge w:val="continue"/>
            <w:vAlign w:val="center"/>
          </w:tcPr>
          <w:p w14:paraId="706483D8">
            <w:pPr>
              <w:pStyle w:val="181"/>
              <w:rPr>
                <w:color w:val="auto"/>
              </w:rPr>
            </w:pPr>
          </w:p>
        </w:tc>
        <w:tc>
          <w:tcPr>
            <w:tcW w:w="1028" w:type="dxa"/>
            <w:vMerge w:val="continue"/>
            <w:vAlign w:val="center"/>
          </w:tcPr>
          <w:p w14:paraId="644D0760">
            <w:pPr>
              <w:pStyle w:val="181"/>
              <w:rPr>
                <w:color w:val="auto"/>
              </w:rPr>
            </w:pPr>
          </w:p>
        </w:tc>
        <w:tc>
          <w:tcPr>
            <w:tcW w:w="1000" w:type="dxa"/>
            <w:shd w:val="clear" w:color="auto" w:fill="auto"/>
            <w:vAlign w:val="center"/>
          </w:tcPr>
          <w:p w14:paraId="642CC4C7">
            <w:pPr>
              <w:pStyle w:val="181"/>
              <w:rPr>
                <w:color w:val="auto"/>
              </w:rPr>
            </w:pPr>
            <w:r>
              <w:rPr>
                <w:rFonts w:hint="eastAsia"/>
                <w:color w:val="auto"/>
              </w:rPr>
              <w:t>浓度</w:t>
            </w:r>
          </w:p>
        </w:tc>
        <w:tc>
          <w:tcPr>
            <w:tcW w:w="1025" w:type="dxa"/>
            <w:shd w:val="clear" w:color="auto" w:fill="auto"/>
            <w:vAlign w:val="center"/>
          </w:tcPr>
          <w:p w14:paraId="32CD0AE1">
            <w:pPr>
              <w:pStyle w:val="181"/>
              <w:rPr>
                <w:color w:val="auto"/>
              </w:rPr>
            </w:pPr>
            <w:r>
              <w:rPr>
                <w:rFonts w:hint="eastAsia"/>
                <w:color w:val="auto"/>
              </w:rPr>
              <w:t>产生量</w:t>
            </w:r>
          </w:p>
        </w:tc>
        <w:tc>
          <w:tcPr>
            <w:tcW w:w="951" w:type="dxa"/>
            <w:vMerge w:val="continue"/>
            <w:vAlign w:val="center"/>
          </w:tcPr>
          <w:p w14:paraId="2784D5EB">
            <w:pPr>
              <w:pStyle w:val="181"/>
              <w:rPr>
                <w:color w:val="auto"/>
              </w:rPr>
            </w:pPr>
          </w:p>
        </w:tc>
        <w:tc>
          <w:tcPr>
            <w:tcW w:w="999" w:type="dxa"/>
            <w:vMerge w:val="continue"/>
            <w:vAlign w:val="center"/>
          </w:tcPr>
          <w:p w14:paraId="47D1B14A">
            <w:pPr>
              <w:pStyle w:val="181"/>
              <w:rPr>
                <w:color w:val="auto"/>
              </w:rPr>
            </w:pPr>
          </w:p>
        </w:tc>
        <w:tc>
          <w:tcPr>
            <w:tcW w:w="951" w:type="dxa"/>
            <w:vMerge w:val="continue"/>
            <w:vAlign w:val="center"/>
          </w:tcPr>
          <w:p w14:paraId="2BE2B37A">
            <w:pPr>
              <w:pStyle w:val="181"/>
              <w:rPr>
                <w:color w:val="auto"/>
              </w:rPr>
            </w:pPr>
          </w:p>
        </w:tc>
      </w:tr>
      <w:tr w14:paraId="0DD763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49" w:type="dxa"/>
            <w:vMerge w:val="continue"/>
            <w:vAlign w:val="center"/>
          </w:tcPr>
          <w:p w14:paraId="68DF90B7">
            <w:pPr>
              <w:pStyle w:val="181"/>
              <w:rPr>
                <w:color w:val="auto"/>
              </w:rPr>
            </w:pPr>
          </w:p>
        </w:tc>
        <w:tc>
          <w:tcPr>
            <w:tcW w:w="794" w:type="dxa"/>
            <w:shd w:val="clear" w:color="auto" w:fill="auto"/>
            <w:vAlign w:val="center"/>
          </w:tcPr>
          <w:p w14:paraId="35DA02F8">
            <w:pPr>
              <w:pStyle w:val="181"/>
              <w:rPr>
                <w:color w:val="auto"/>
              </w:rPr>
            </w:pPr>
            <w:r>
              <w:rPr>
                <w:rFonts w:hint="eastAsia"/>
                <w:color w:val="auto"/>
              </w:rPr>
              <w:t>m3/d</w:t>
            </w:r>
          </w:p>
        </w:tc>
        <w:tc>
          <w:tcPr>
            <w:tcW w:w="846" w:type="dxa"/>
            <w:shd w:val="clear" w:color="auto" w:fill="auto"/>
            <w:vAlign w:val="center"/>
          </w:tcPr>
          <w:p w14:paraId="20B420DD">
            <w:pPr>
              <w:pStyle w:val="181"/>
              <w:rPr>
                <w:color w:val="auto"/>
              </w:rPr>
            </w:pPr>
            <w:r>
              <w:rPr>
                <w:rFonts w:hint="eastAsia"/>
                <w:color w:val="auto"/>
              </w:rPr>
              <w:t>m3/a</w:t>
            </w:r>
          </w:p>
        </w:tc>
        <w:tc>
          <w:tcPr>
            <w:tcW w:w="2169" w:type="dxa"/>
            <w:vMerge w:val="continue"/>
            <w:vAlign w:val="center"/>
          </w:tcPr>
          <w:p w14:paraId="6702568B">
            <w:pPr>
              <w:pStyle w:val="181"/>
              <w:rPr>
                <w:color w:val="auto"/>
              </w:rPr>
            </w:pPr>
          </w:p>
        </w:tc>
        <w:tc>
          <w:tcPr>
            <w:tcW w:w="1044" w:type="dxa"/>
            <w:shd w:val="clear" w:color="auto" w:fill="auto"/>
            <w:vAlign w:val="center"/>
          </w:tcPr>
          <w:p w14:paraId="718DD9E0">
            <w:pPr>
              <w:pStyle w:val="181"/>
              <w:rPr>
                <w:color w:val="auto"/>
              </w:rPr>
            </w:pPr>
            <w:r>
              <w:rPr>
                <w:rFonts w:hint="eastAsia"/>
                <w:color w:val="auto"/>
              </w:rPr>
              <w:t>mg/L</w:t>
            </w:r>
          </w:p>
        </w:tc>
        <w:tc>
          <w:tcPr>
            <w:tcW w:w="1043" w:type="dxa"/>
            <w:shd w:val="clear" w:color="auto" w:fill="auto"/>
            <w:vAlign w:val="center"/>
          </w:tcPr>
          <w:p w14:paraId="662BD21C">
            <w:pPr>
              <w:pStyle w:val="181"/>
              <w:rPr>
                <w:color w:val="auto"/>
              </w:rPr>
            </w:pPr>
            <w:r>
              <w:rPr>
                <w:rFonts w:hint="eastAsia"/>
                <w:color w:val="auto"/>
              </w:rPr>
              <w:t>t/a</w:t>
            </w:r>
          </w:p>
        </w:tc>
        <w:tc>
          <w:tcPr>
            <w:tcW w:w="1241" w:type="dxa"/>
            <w:vMerge w:val="continue"/>
            <w:vAlign w:val="center"/>
          </w:tcPr>
          <w:p w14:paraId="2E667321">
            <w:pPr>
              <w:pStyle w:val="181"/>
              <w:rPr>
                <w:color w:val="auto"/>
              </w:rPr>
            </w:pPr>
          </w:p>
        </w:tc>
        <w:tc>
          <w:tcPr>
            <w:tcW w:w="1028" w:type="dxa"/>
            <w:vMerge w:val="continue"/>
            <w:vAlign w:val="center"/>
          </w:tcPr>
          <w:p w14:paraId="0B7A15CD">
            <w:pPr>
              <w:pStyle w:val="181"/>
              <w:rPr>
                <w:color w:val="auto"/>
              </w:rPr>
            </w:pPr>
          </w:p>
        </w:tc>
        <w:tc>
          <w:tcPr>
            <w:tcW w:w="1000" w:type="dxa"/>
            <w:shd w:val="clear" w:color="auto" w:fill="auto"/>
            <w:vAlign w:val="center"/>
          </w:tcPr>
          <w:p w14:paraId="06702633">
            <w:pPr>
              <w:pStyle w:val="181"/>
              <w:rPr>
                <w:color w:val="auto"/>
              </w:rPr>
            </w:pPr>
            <w:r>
              <w:rPr>
                <w:rFonts w:hint="eastAsia"/>
                <w:color w:val="auto"/>
              </w:rPr>
              <w:t>mg/L</w:t>
            </w:r>
          </w:p>
        </w:tc>
        <w:tc>
          <w:tcPr>
            <w:tcW w:w="1025" w:type="dxa"/>
            <w:shd w:val="clear" w:color="auto" w:fill="auto"/>
            <w:vAlign w:val="center"/>
          </w:tcPr>
          <w:p w14:paraId="24F7CC4F">
            <w:pPr>
              <w:pStyle w:val="181"/>
              <w:rPr>
                <w:color w:val="auto"/>
              </w:rPr>
            </w:pPr>
            <w:r>
              <w:rPr>
                <w:rFonts w:hint="eastAsia"/>
                <w:color w:val="auto"/>
              </w:rPr>
              <w:t>t/a</w:t>
            </w:r>
          </w:p>
        </w:tc>
        <w:tc>
          <w:tcPr>
            <w:tcW w:w="951" w:type="dxa"/>
            <w:vMerge w:val="continue"/>
            <w:vAlign w:val="center"/>
          </w:tcPr>
          <w:p w14:paraId="5F97DAF0">
            <w:pPr>
              <w:pStyle w:val="181"/>
              <w:rPr>
                <w:color w:val="auto"/>
              </w:rPr>
            </w:pPr>
          </w:p>
        </w:tc>
        <w:tc>
          <w:tcPr>
            <w:tcW w:w="999" w:type="dxa"/>
            <w:vMerge w:val="continue"/>
            <w:vAlign w:val="center"/>
          </w:tcPr>
          <w:p w14:paraId="4C600DC4">
            <w:pPr>
              <w:pStyle w:val="181"/>
              <w:rPr>
                <w:color w:val="auto"/>
              </w:rPr>
            </w:pPr>
          </w:p>
        </w:tc>
        <w:tc>
          <w:tcPr>
            <w:tcW w:w="951" w:type="dxa"/>
            <w:vMerge w:val="continue"/>
            <w:vAlign w:val="center"/>
          </w:tcPr>
          <w:p w14:paraId="5CBD729B">
            <w:pPr>
              <w:pStyle w:val="181"/>
              <w:rPr>
                <w:color w:val="auto"/>
              </w:rPr>
            </w:pPr>
          </w:p>
        </w:tc>
      </w:tr>
      <w:tr w14:paraId="41706F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49" w:type="dxa"/>
            <w:vMerge w:val="restart"/>
            <w:shd w:val="clear" w:color="auto" w:fill="auto"/>
            <w:vAlign w:val="center"/>
          </w:tcPr>
          <w:p w14:paraId="4C2EBF38">
            <w:pPr>
              <w:pStyle w:val="181"/>
              <w:rPr>
                <w:color w:val="auto"/>
              </w:rPr>
            </w:pPr>
            <w:r>
              <w:rPr>
                <w:rFonts w:hint="eastAsia"/>
                <w:color w:val="auto"/>
              </w:rPr>
              <w:t>生产废水</w:t>
            </w:r>
          </w:p>
        </w:tc>
        <w:tc>
          <w:tcPr>
            <w:tcW w:w="794" w:type="dxa"/>
            <w:vMerge w:val="restart"/>
            <w:shd w:val="clear" w:color="auto" w:fill="auto"/>
            <w:vAlign w:val="center"/>
          </w:tcPr>
          <w:p w14:paraId="1F30CC18">
            <w:pPr>
              <w:pStyle w:val="181"/>
              <w:rPr>
                <w:color w:val="auto"/>
              </w:rPr>
            </w:pPr>
            <w:r>
              <w:rPr>
                <w:rFonts w:hint="eastAsia"/>
                <w:color w:val="auto"/>
              </w:rPr>
              <w:t>2000</w:t>
            </w:r>
          </w:p>
        </w:tc>
        <w:tc>
          <w:tcPr>
            <w:tcW w:w="846" w:type="dxa"/>
            <w:vMerge w:val="restart"/>
            <w:shd w:val="clear" w:color="auto" w:fill="auto"/>
            <w:vAlign w:val="center"/>
          </w:tcPr>
          <w:p w14:paraId="4373D777">
            <w:pPr>
              <w:pStyle w:val="181"/>
              <w:rPr>
                <w:color w:val="auto"/>
              </w:rPr>
            </w:pPr>
            <w:r>
              <w:rPr>
                <w:rFonts w:hint="eastAsia"/>
                <w:color w:val="auto"/>
              </w:rPr>
              <w:t>600000</w:t>
            </w:r>
          </w:p>
        </w:tc>
        <w:tc>
          <w:tcPr>
            <w:tcW w:w="2169" w:type="dxa"/>
            <w:shd w:val="clear" w:color="auto" w:fill="auto"/>
            <w:vAlign w:val="center"/>
          </w:tcPr>
          <w:p w14:paraId="3ECE65A8">
            <w:pPr>
              <w:pStyle w:val="181"/>
              <w:rPr>
                <w:color w:val="auto"/>
              </w:rPr>
            </w:pPr>
            <w:r>
              <w:rPr>
                <w:rFonts w:hint="eastAsia"/>
                <w:color w:val="auto"/>
              </w:rPr>
              <w:t>pH（无量纲）</w:t>
            </w:r>
          </w:p>
        </w:tc>
        <w:tc>
          <w:tcPr>
            <w:tcW w:w="1044" w:type="dxa"/>
            <w:shd w:val="clear" w:color="auto" w:fill="auto"/>
            <w:vAlign w:val="center"/>
          </w:tcPr>
          <w:p w14:paraId="2E5D7649">
            <w:pPr>
              <w:pStyle w:val="181"/>
              <w:rPr>
                <w:color w:val="auto"/>
              </w:rPr>
            </w:pPr>
            <w:r>
              <w:rPr>
                <w:rFonts w:hint="eastAsia"/>
                <w:color w:val="auto"/>
              </w:rPr>
              <w:t>6~13</w:t>
            </w:r>
          </w:p>
        </w:tc>
        <w:tc>
          <w:tcPr>
            <w:tcW w:w="1043" w:type="dxa"/>
            <w:shd w:val="clear" w:color="auto" w:fill="auto"/>
            <w:vAlign w:val="center"/>
          </w:tcPr>
          <w:p w14:paraId="51333932">
            <w:pPr>
              <w:pStyle w:val="181"/>
              <w:rPr>
                <w:color w:val="auto"/>
              </w:rPr>
            </w:pPr>
            <w:r>
              <w:rPr>
                <w:rFonts w:hint="eastAsia"/>
                <w:color w:val="auto"/>
              </w:rPr>
              <w:t>/</w:t>
            </w:r>
          </w:p>
        </w:tc>
        <w:tc>
          <w:tcPr>
            <w:tcW w:w="1241" w:type="dxa"/>
            <w:vMerge w:val="restart"/>
            <w:shd w:val="clear" w:color="auto" w:fill="auto"/>
            <w:vAlign w:val="center"/>
          </w:tcPr>
          <w:p w14:paraId="51016821">
            <w:pPr>
              <w:pStyle w:val="181"/>
              <w:rPr>
                <w:color w:val="auto"/>
              </w:rPr>
            </w:pPr>
            <w:r>
              <w:rPr>
                <w:rFonts w:hint="eastAsia"/>
                <w:color w:val="auto"/>
                <w:lang w:eastAsia="zh-CN"/>
              </w:rPr>
              <w:t>调节+气浮+化学除重+高密软化沉淀+芬顿氧化+中和沉淀+精密过滤+DTRO膜浓缩+浓水蒸发结晶</w:t>
            </w:r>
            <w:r>
              <w:rPr>
                <w:rFonts w:hint="eastAsia"/>
                <w:color w:val="auto"/>
              </w:rPr>
              <w:t>（排放量1956m</w:t>
            </w:r>
            <w:r>
              <w:rPr>
                <w:rFonts w:hint="eastAsia"/>
                <w:color w:val="auto"/>
                <w:vertAlign w:val="superscript"/>
              </w:rPr>
              <w:t>3</w:t>
            </w:r>
            <w:r>
              <w:rPr>
                <w:rFonts w:hint="eastAsia"/>
                <w:color w:val="auto"/>
              </w:rPr>
              <w:t>/d）</w:t>
            </w:r>
          </w:p>
        </w:tc>
        <w:tc>
          <w:tcPr>
            <w:tcW w:w="1028" w:type="dxa"/>
            <w:shd w:val="clear" w:color="auto" w:fill="auto"/>
            <w:vAlign w:val="center"/>
          </w:tcPr>
          <w:p w14:paraId="12CB838B">
            <w:pPr>
              <w:pStyle w:val="181"/>
              <w:rPr>
                <w:color w:val="auto"/>
              </w:rPr>
            </w:pPr>
            <w:r>
              <w:rPr>
                <w:rFonts w:hint="eastAsia"/>
                <w:color w:val="auto"/>
              </w:rPr>
              <w:t>/</w:t>
            </w:r>
          </w:p>
        </w:tc>
        <w:tc>
          <w:tcPr>
            <w:tcW w:w="1000" w:type="dxa"/>
            <w:shd w:val="clear" w:color="auto" w:fill="auto"/>
            <w:vAlign w:val="center"/>
          </w:tcPr>
          <w:p w14:paraId="647720D4">
            <w:pPr>
              <w:pStyle w:val="181"/>
              <w:rPr>
                <w:color w:val="auto"/>
              </w:rPr>
            </w:pPr>
            <w:r>
              <w:rPr>
                <w:rFonts w:hint="eastAsia"/>
                <w:color w:val="auto"/>
              </w:rPr>
              <w:t>6~9</w:t>
            </w:r>
          </w:p>
        </w:tc>
        <w:tc>
          <w:tcPr>
            <w:tcW w:w="1025" w:type="dxa"/>
            <w:shd w:val="clear" w:color="auto" w:fill="auto"/>
            <w:vAlign w:val="center"/>
          </w:tcPr>
          <w:p w14:paraId="7A489F4C">
            <w:pPr>
              <w:pStyle w:val="181"/>
              <w:rPr>
                <w:color w:val="auto"/>
              </w:rPr>
            </w:pPr>
            <w:r>
              <w:rPr>
                <w:rFonts w:hint="eastAsia"/>
                <w:color w:val="auto"/>
              </w:rPr>
              <w:t>/</w:t>
            </w:r>
          </w:p>
        </w:tc>
        <w:tc>
          <w:tcPr>
            <w:tcW w:w="951" w:type="dxa"/>
            <w:vMerge w:val="restart"/>
            <w:shd w:val="clear" w:color="auto" w:fill="auto"/>
            <w:vAlign w:val="center"/>
          </w:tcPr>
          <w:p w14:paraId="3AA2075D">
            <w:pPr>
              <w:pStyle w:val="181"/>
              <w:rPr>
                <w:color w:val="auto"/>
              </w:rPr>
            </w:pPr>
            <w:r>
              <w:rPr>
                <w:rFonts w:hint="eastAsia"/>
                <w:color w:val="auto"/>
              </w:rPr>
              <w:t>园区污水处理厂</w:t>
            </w:r>
          </w:p>
        </w:tc>
        <w:tc>
          <w:tcPr>
            <w:tcW w:w="999" w:type="dxa"/>
            <w:shd w:val="clear" w:color="auto" w:fill="auto"/>
            <w:vAlign w:val="center"/>
          </w:tcPr>
          <w:p w14:paraId="7CD1B3B8">
            <w:pPr>
              <w:pStyle w:val="181"/>
              <w:rPr>
                <w:color w:val="auto"/>
              </w:rPr>
            </w:pPr>
            <w:r>
              <w:rPr>
                <w:rFonts w:hint="eastAsia"/>
                <w:color w:val="auto"/>
              </w:rPr>
              <w:t>6~9</w:t>
            </w:r>
          </w:p>
        </w:tc>
        <w:tc>
          <w:tcPr>
            <w:tcW w:w="951" w:type="dxa"/>
            <w:shd w:val="clear" w:color="auto" w:fill="auto"/>
            <w:vAlign w:val="center"/>
          </w:tcPr>
          <w:p w14:paraId="386F925F">
            <w:pPr>
              <w:pStyle w:val="181"/>
              <w:rPr>
                <w:color w:val="auto"/>
              </w:rPr>
            </w:pPr>
            <w:r>
              <w:rPr>
                <w:rFonts w:hint="eastAsia"/>
                <w:color w:val="auto"/>
              </w:rPr>
              <w:t>达标</w:t>
            </w:r>
          </w:p>
        </w:tc>
      </w:tr>
      <w:tr w14:paraId="738A67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49" w:type="dxa"/>
            <w:vMerge w:val="continue"/>
            <w:vAlign w:val="center"/>
          </w:tcPr>
          <w:p w14:paraId="704C139C">
            <w:pPr>
              <w:pStyle w:val="181"/>
              <w:rPr>
                <w:color w:val="auto"/>
              </w:rPr>
            </w:pPr>
          </w:p>
        </w:tc>
        <w:tc>
          <w:tcPr>
            <w:tcW w:w="794" w:type="dxa"/>
            <w:vMerge w:val="continue"/>
            <w:vAlign w:val="center"/>
          </w:tcPr>
          <w:p w14:paraId="5DEA12D2">
            <w:pPr>
              <w:pStyle w:val="181"/>
              <w:rPr>
                <w:color w:val="auto"/>
              </w:rPr>
            </w:pPr>
          </w:p>
        </w:tc>
        <w:tc>
          <w:tcPr>
            <w:tcW w:w="846" w:type="dxa"/>
            <w:vMerge w:val="continue"/>
            <w:vAlign w:val="center"/>
          </w:tcPr>
          <w:p w14:paraId="1E184176">
            <w:pPr>
              <w:pStyle w:val="181"/>
              <w:rPr>
                <w:color w:val="auto"/>
              </w:rPr>
            </w:pPr>
          </w:p>
        </w:tc>
        <w:tc>
          <w:tcPr>
            <w:tcW w:w="2169" w:type="dxa"/>
            <w:shd w:val="clear" w:color="auto" w:fill="auto"/>
            <w:vAlign w:val="center"/>
          </w:tcPr>
          <w:p w14:paraId="71EF50EB">
            <w:pPr>
              <w:pStyle w:val="181"/>
              <w:rPr>
                <w:color w:val="auto"/>
              </w:rPr>
            </w:pPr>
            <w:r>
              <w:rPr>
                <w:rFonts w:hint="eastAsia"/>
                <w:color w:val="auto"/>
              </w:rPr>
              <w:t>色度（稀释倍数）</w:t>
            </w:r>
          </w:p>
        </w:tc>
        <w:tc>
          <w:tcPr>
            <w:tcW w:w="1044" w:type="dxa"/>
            <w:shd w:val="clear" w:color="auto" w:fill="auto"/>
            <w:vAlign w:val="center"/>
          </w:tcPr>
          <w:p w14:paraId="2A175741">
            <w:pPr>
              <w:pStyle w:val="178"/>
              <w:bidi w:val="0"/>
              <w:ind w:firstLine="0" w:firstLineChars="0"/>
              <w:rPr>
                <w:rFonts w:hint="default"/>
                <w:color w:val="auto"/>
                <w:lang w:val="en-US" w:eastAsia="zh-CN"/>
              </w:rPr>
            </w:pPr>
            <w:r>
              <w:rPr>
                <w:rFonts w:hint="default"/>
                <w:color w:val="auto"/>
                <w:lang w:val="en-US" w:eastAsia="zh-CN"/>
              </w:rPr>
              <w:t>500</w:t>
            </w:r>
          </w:p>
        </w:tc>
        <w:tc>
          <w:tcPr>
            <w:tcW w:w="1043" w:type="dxa"/>
            <w:shd w:val="clear" w:color="auto" w:fill="auto"/>
            <w:vAlign w:val="center"/>
          </w:tcPr>
          <w:p w14:paraId="2D6329A8">
            <w:pPr>
              <w:pStyle w:val="178"/>
              <w:bidi w:val="0"/>
              <w:ind w:firstLine="0" w:firstLineChars="0"/>
              <w:rPr>
                <w:rFonts w:hint="default"/>
                <w:color w:val="auto"/>
                <w:lang w:val="en-US" w:eastAsia="zh-CN"/>
              </w:rPr>
            </w:pPr>
            <w:r>
              <w:rPr>
                <w:rFonts w:hint="default"/>
                <w:color w:val="auto"/>
                <w:lang w:val="en-US" w:eastAsia="zh-CN"/>
              </w:rPr>
              <w:t>293.4</w:t>
            </w:r>
          </w:p>
        </w:tc>
        <w:tc>
          <w:tcPr>
            <w:tcW w:w="1241" w:type="dxa"/>
            <w:vMerge w:val="continue"/>
            <w:vAlign w:val="center"/>
          </w:tcPr>
          <w:p w14:paraId="3B93D4A8">
            <w:pPr>
              <w:pStyle w:val="181"/>
              <w:rPr>
                <w:color w:val="auto"/>
              </w:rPr>
            </w:pPr>
          </w:p>
        </w:tc>
        <w:tc>
          <w:tcPr>
            <w:tcW w:w="1028" w:type="dxa"/>
            <w:shd w:val="clear" w:color="auto" w:fill="auto"/>
            <w:vAlign w:val="center"/>
          </w:tcPr>
          <w:p w14:paraId="4777E5C2">
            <w:pPr>
              <w:pStyle w:val="181"/>
              <w:rPr>
                <w:color w:val="auto"/>
              </w:rPr>
            </w:pPr>
            <w:r>
              <w:rPr>
                <w:rFonts w:hint="eastAsia"/>
                <w:color w:val="auto"/>
              </w:rPr>
              <w:t>/</w:t>
            </w:r>
          </w:p>
        </w:tc>
        <w:tc>
          <w:tcPr>
            <w:tcW w:w="1000" w:type="dxa"/>
            <w:shd w:val="clear" w:color="auto" w:fill="auto"/>
            <w:vAlign w:val="center"/>
          </w:tcPr>
          <w:p w14:paraId="012080CC">
            <w:pPr>
              <w:pStyle w:val="181"/>
              <w:rPr>
                <w:color w:val="auto"/>
              </w:rPr>
            </w:pPr>
            <w:r>
              <w:rPr>
                <w:rFonts w:hint="eastAsia"/>
                <w:color w:val="auto"/>
              </w:rPr>
              <w:t>64</w:t>
            </w:r>
          </w:p>
        </w:tc>
        <w:tc>
          <w:tcPr>
            <w:tcW w:w="1025" w:type="dxa"/>
            <w:shd w:val="clear" w:color="auto" w:fill="auto"/>
            <w:vAlign w:val="center"/>
          </w:tcPr>
          <w:p w14:paraId="210ED4CC">
            <w:pPr>
              <w:pStyle w:val="181"/>
              <w:rPr>
                <w:color w:val="auto"/>
              </w:rPr>
            </w:pPr>
            <w:r>
              <w:rPr>
                <w:rFonts w:hint="eastAsia"/>
                <w:color w:val="auto"/>
              </w:rPr>
              <w:t>/</w:t>
            </w:r>
          </w:p>
        </w:tc>
        <w:tc>
          <w:tcPr>
            <w:tcW w:w="951" w:type="dxa"/>
            <w:vMerge w:val="continue"/>
            <w:vAlign w:val="center"/>
          </w:tcPr>
          <w:p w14:paraId="155041A1">
            <w:pPr>
              <w:pStyle w:val="181"/>
              <w:rPr>
                <w:color w:val="auto"/>
              </w:rPr>
            </w:pPr>
          </w:p>
        </w:tc>
        <w:tc>
          <w:tcPr>
            <w:tcW w:w="999" w:type="dxa"/>
            <w:shd w:val="clear" w:color="auto" w:fill="auto"/>
            <w:vAlign w:val="center"/>
          </w:tcPr>
          <w:p w14:paraId="2AF578A3">
            <w:pPr>
              <w:pStyle w:val="181"/>
              <w:rPr>
                <w:color w:val="auto"/>
              </w:rPr>
            </w:pPr>
            <w:r>
              <w:rPr>
                <w:rFonts w:hint="eastAsia"/>
                <w:color w:val="auto"/>
              </w:rPr>
              <w:t>64</w:t>
            </w:r>
          </w:p>
        </w:tc>
        <w:tc>
          <w:tcPr>
            <w:tcW w:w="951" w:type="dxa"/>
            <w:shd w:val="clear" w:color="auto" w:fill="auto"/>
            <w:vAlign w:val="center"/>
          </w:tcPr>
          <w:p w14:paraId="66729124">
            <w:pPr>
              <w:pStyle w:val="181"/>
              <w:rPr>
                <w:color w:val="auto"/>
              </w:rPr>
            </w:pPr>
            <w:r>
              <w:rPr>
                <w:rFonts w:hint="eastAsia"/>
                <w:color w:val="auto"/>
              </w:rPr>
              <w:t>达标</w:t>
            </w:r>
          </w:p>
        </w:tc>
      </w:tr>
      <w:tr w14:paraId="640F41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49" w:type="dxa"/>
            <w:vMerge w:val="continue"/>
            <w:vAlign w:val="center"/>
          </w:tcPr>
          <w:p w14:paraId="160D57FF">
            <w:pPr>
              <w:pStyle w:val="181"/>
              <w:rPr>
                <w:color w:val="auto"/>
              </w:rPr>
            </w:pPr>
          </w:p>
        </w:tc>
        <w:tc>
          <w:tcPr>
            <w:tcW w:w="794" w:type="dxa"/>
            <w:vMerge w:val="continue"/>
            <w:vAlign w:val="center"/>
          </w:tcPr>
          <w:p w14:paraId="41425061">
            <w:pPr>
              <w:pStyle w:val="181"/>
              <w:rPr>
                <w:color w:val="auto"/>
              </w:rPr>
            </w:pPr>
          </w:p>
        </w:tc>
        <w:tc>
          <w:tcPr>
            <w:tcW w:w="846" w:type="dxa"/>
            <w:vMerge w:val="continue"/>
            <w:vAlign w:val="center"/>
          </w:tcPr>
          <w:p w14:paraId="2E95DEE7">
            <w:pPr>
              <w:pStyle w:val="181"/>
              <w:rPr>
                <w:color w:val="auto"/>
              </w:rPr>
            </w:pPr>
          </w:p>
        </w:tc>
        <w:tc>
          <w:tcPr>
            <w:tcW w:w="2169" w:type="dxa"/>
            <w:shd w:val="clear" w:color="auto" w:fill="auto"/>
            <w:vAlign w:val="center"/>
          </w:tcPr>
          <w:p w14:paraId="1DDB5D73">
            <w:pPr>
              <w:pStyle w:val="181"/>
              <w:rPr>
                <w:color w:val="auto"/>
              </w:rPr>
            </w:pPr>
            <w:r>
              <w:rPr>
                <w:rFonts w:hint="eastAsia"/>
                <w:color w:val="auto"/>
              </w:rPr>
              <w:t>悬浮物（SS）</w:t>
            </w:r>
          </w:p>
        </w:tc>
        <w:tc>
          <w:tcPr>
            <w:tcW w:w="1044" w:type="dxa"/>
            <w:shd w:val="clear" w:color="auto" w:fill="auto"/>
            <w:vAlign w:val="center"/>
          </w:tcPr>
          <w:p w14:paraId="56B896D7">
            <w:pPr>
              <w:pStyle w:val="178"/>
              <w:bidi w:val="0"/>
              <w:ind w:firstLine="0" w:firstLineChars="0"/>
              <w:rPr>
                <w:rFonts w:hint="default"/>
                <w:color w:val="auto"/>
                <w:lang w:val="en-US" w:eastAsia="zh-CN"/>
              </w:rPr>
            </w:pPr>
            <w:r>
              <w:rPr>
                <w:rFonts w:hint="default"/>
                <w:color w:val="auto"/>
                <w:lang w:val="en-US" w:eastAsia="zh-CN"/>
              </w:rPr>
              <w:t>2000</w:t>
            </w:r>
          </w:p>
        </w:tc>
        <w:tc>
          <w:tcPr>
            <w:tcW w:w="1043" w:type="dxa"/>
            <w:shd w:val="clear" w:color="auto" w:fill="auto"/>
            <w:vAlign w:val="center"/>
          </w:tcPr>
          <w:p w14:paraId="6E9D4E36">
            <w:pPr>
              <w:pStyle w:val="178"/>
              <w:bidi w:val="0"/>
              <w:ind w:firstLine="0" w:firstLineChars="0"/>
              <w:rPr>
                <w:rFonts w:hint="default"/>
                <w:color w:val="auto"/>
                <w:lang w:val="en-US" w:eastAsia="zh-CN"/>
              </w:rPr>
            </w:pPr>
            <w:r>
              <w:rPr>
                <w:rFonts w:hint="default"/>
                <w:color w:val="auto"/>
                <w:lang w:val="en-US" w:eastAsia="zh-CN"/>
              </w:rPr>
              <w:t>1173.6</w:t>
            </w:r>
          </w:p>
        </w:tc>
        <w:tc>
          <w:tcPr>
            <w:tcW w:w="1241" w:type="dxa"/>
            <w:vMerge w:val="continue"/>
            <w:vAlign w:val="center"/>
          </w:tcPr>
          <w:p w14:paraId="1226B878">
            <w:pPr>
              <w:pStyle w:val="181"/>
              <w:rPr>
                <w:color w:val="auto"/>
              </w:rPr>
            </w:pPr>
          </w:p>
        </w:tc>
        <w:tc>
          <w:tcPr>
            <w:tcW w:w="1028" w:type="dxa"/>
            <w:shd w:val="clear" w:color="auto" w:fill="auto"/>
            <w:vAlign w:val="center"/>
          </w:tcPr>
          <w:p w14:paraId="00CF5EB9">
            <w:pPr>
              <w:pStyle w:val="181"/>
              <w:rPr>
                <w:color w:val="auto"/>
              </w:rPr>
            </w:pPr>
            <w:r>
              <w:rPr>
                <w:rFonts w:hint="eastAsia"/>
                <w:color w:val="auto"/>
              </w:rPr>
              <w:t>/</w:t>
            </w:r>
          </w:p>
        </w:tc>
        <w:tc>
          <w:tcPr>
            <w:tcW w:w="1000" w:type="dxa"/>
            <w:shd w:val="clear" w:color="auto" w:fill="auto"/>
            <w:vAlign w:val="center"/>
          </w:tcPr>
          <w:p w14:paraId="1039C24D">
            <w:pPr>
              <w:pStyle w:val="178"/>
              <w:bidi w:val="0"/>
              <w:ind w:firstLine="0" w:firstLineChars="0"/>
              <w:rPr>
                <w:rFonts w:hint="default"/>
                <w:color w:val="auto"/>
                <w:lang w:val="en-US" w:eastAsia="zh-CN"/>
              </w:rPr>
            </w:pPr>
            <w:r>
              <w:rPr>
                <w:rFonts w:hint="default"/>
                <w:color w:val="auto"/>
                <w:lang w:val="en-US" w:eastAsia="zh-CN"/>
              </w:rPr>
              <w:t>400</w:t>
            </w:r>
          </w:p>
        </w:tc>
        <w:tc>
          <w:tcPr>
            <w:tcW w:w="1025" w:type="dxa"/>
            <w:shd w:val="clear" w:color="auto" w:fill="auto"/>
            <w:vAlign w:val="center"/>
          </w:tcPr>
          <w:p w14:paraId="024CD7EA">
            <w:pPr>
              <w:pStyle w:val="178"/>
              <w:bidi w:val="0"/>
              <w:ind w:firstLine="0" w:firstLineChars="0"/>
              <w:rPr>
                <w:rFonts w:hint="default"/>
                <w:color w:val="auto"/>
                <w:lang w:val="en-US" w:eastAsia="zh-CN"/>
              </w:rPr>
            </w:pPr>
            <w:r>
              <w:rPr>
                <w:rFonts w:hint="default"/>
                <w:color w:val="auto"/>
                <w:lang w:val="en-US" w:eastAsia="zh-CN"/>
              </w:rPr>
              <w:t>234.72</w:t>
            </w:r>
          </w:p>
        </w:tc>
        <w:tc>
          <w:tcPr>
            <w:tcW w:w="951" w:type="dxa"/>
            <w:vMerge w:val="continue"/>
            <w:vAlign w:val="center"/>
          </w:tcPr>
          <w:p w14:paraId="3427F3C6">
            <w:pPr>
              <w:pStyle w:val="181"/>
              <w:rPr>
                <w:color w:val="auto"/>
              </w:rPr>
            </w:pPr>
          </w:p>
        </w:tc>
        <w:tc>
          <w:tcPr>
            <w:tcW w:w="999" w:type="dxa"/>
            <w:shd w:val="clear" w:color="auto" w:fill="auto"/>
            <w:vAlign w:val="center"/>
          </w:tcPr>
          <w:p w14:paraId="7B99EC66">
            <w:pPr>
              <w:pStyle w:val="178"/>
              <w:bidi w:val="0"/>
              <w:ind w:firstLine="0" w:firstLineChars="0"/>
              <w:rPr>
                <w:color w:val="auto"/>
              </w:rPr>
            </w:pPr>
            <w:r>
              <w:rPr>
                <w:rFonts w:hint="default"/>
                <w:color w:val="auto"/>
                <w:lang w:val="en-US" w:eastAsia="zh-CN"/>
              </w:rPr>
              <w:t>400</w:t>
            </w:r>
          </w:p>
        </w:tc>
        <w:tc>
          <w:tcPr>
            <w:tcW w:w="951" w:type="dxa"/>
            <w:shd w:val="clear" w:color="auto" w:fill="auto"/>
            <w:vAlign w:val="center"/>
          </w:tcPr>
          <w:p w14:paraId="69858CDA">
            <w:pPr>
              <w:pStyle w:val="181"/>
              <w:rPr>
                <w:color w:val="auto"/>
              </w:rPr>
            </w:pPr>
            <w:r>
              <w:rPr>
                <w:rFonts w:hint="eastAsia"/>
                <w:color w:val="auto"/>
              </w:rPr>
              <w:t>达标</w:t>
            </w:r>
          </w:p>
        </w:tc>
      </w:tr>
      <w:tr w14:paraId="07EAE2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49" w:type="dxa"/>
            <w:vMerge w:val="continue"/>
            <w:vAlign w:val="center"/>
          </w:tcPr>
          <w:p w14:paraId="7382D59F">
            <w:pPr>
              <w:pStyle w:val="181"/>
              <w:rPr>
                <w:color w:val="auto"/>
              </w:rPr>
            </w:pPr>
          </w:p>
        </w:tc>
        <w:tc>
          <w:tcPr>
            <w:tcW w:w="794" w:type="dxa"/>
            <w:vMerge w:val="continue"/>
            <w:vAlign w:val="center"/>
          </w:tcPr>
          <w:p w14:paraId="3E3ECDC6">
            <w:pPr>
              <w:pStyle w:val="181"/>
              <w:rPr>
                <w:color w:val="auto"/>
              </w:rPr>
            </w:pPr>
          </w:p>
        </w:tc>
        <w:tc>
          <w:tcPr>
            <w:tcW w:w="846" w:type="dxa"/>
            <w:vMerge w:val="continue"/>
            <w:vAlign w:val="center"/>
          </w:tcPr>
          <w:p w14:paraId="3BBA6057">
            <w:pPr>
              <w:pStyle w:val="181"/>
              <w:rPr>
                <w:color w:val="auto"/>
              </w:rPr>
            </w:pPr>
          </w:p>
        </w:tc>
        <w:tc>
          <w:tcPr>
            <w:tcW w:w="2169" w:type="dxa"/>
            <w:shd w:val="clear" w:color="auto" w:fill="auto"/>
            <w:vAlign w:val="center"/>
          </w:tcPr>
          <w:p w14:paraId="004A6F54">
            <w:pPr>
              <w:pStyle w:val="181"/>
              <w:rPr>
                <w:color w:val="auto"/>
              </w:rPr>
            </w:pPr>
            <w:r>
              <w:rPr>
                <w:rFonts w:hint="eastAsia"/>
                <w:color w:val="auto"/>
              </w:rPr>
              <w:t>化学需氧量（COD）</w:t>
            </w:r>
          </w:p>
        </w:tc>
        <w:tc>
          <w:tcPr>
            <w:tcW w:w="1044" w:type="dxa"/>
            <w:shd w:val="clear" w:color="auto" w:fill="auto"/>
            <w:vAlign w:val="center"/>
          </w:tcPr>
          <w:p w14:paraId="4173DC4C">
            <w:pPr>
              <w:pStyle w:val="178"/>
              <w:bidi w:val="0"/>
              <w:ind w:firstLine="0" w:firstLineChars="0"/>
              <w:rPr>
                <w:rFonts w:hint="default"/>
                <w:color w:val="auto"/>
                <w:lang w:val="en-US" w:eastAsia="zh-CN"/>
              </w:rPr>
            </w:pPr>
            <w:r>
              <w:rPr>
                <w:rFonts w:hint="default"/>
                <w:color w:val="auto"/>
                <w:lang w:val="en-US" w:eastAsia="zh-CN"/>
              </w:rPr>
              <w:t>300</w:t>
            </w:r>
          </w:p>
        </w:tc>
        <w:tc>
          <w:tcPr>
            <w:tcW w:w="1043" w:type="dxa"/>
            <w:shd w:val="clear" w:color="auto" w:fill="auto"/>
            <w:vAlign w:val="center"/>
          </w:tcPr>
          <w:p w14:paraId="4C04B186">
            <w:pPr>
              <w:pStyle w:val="178"/>
              <w:bidi w:val="0"/>
              <w:ind w:firstLine="0" w:firstLineChars="0"/>
              <w:rPr>
                <w:rFonts w:hint="default"/>
                <w:color w:val="auto"/>
                <w:lang w:val="en-US" w:eastAsia="zh-CN"/>
              </w:rPr>
            </w:pPr>
            <w:r>
              <w:rPr>
                <w:rFonts w:hint="default"/>
                <w:color w:val="auto"/>
                <w:lang w:val="en-US" w:eastAsia="zh-CN"/>
              </w:rPr>
              <w:t>176.04</w:t>
            </w:r>
          </w:p>
        </w:tc>
        <w:tc>
          <w:tcPr>
            <w:tcW w:w="1241" w:type="dxa"/>
            <w:vMerge w:val="continue"/>
            <w:vAlign w:val="center"/>
          </w:tcPr>
          <w:p w14:paraId="5AFF1090">
            <w:pPr>
              <w:pStyle w:val="181"/>
              <w:rPr>
                <w:color w:val="auto"/>
              </w:rPr>
            </w:pPr>
          </w:p>
        </w:tc>
        <w:tc>
          <w:tcPr>
            <w:tcW w:w="1028" w:type="dxa"/>
            <w:shd w:val="clear" w:color="auto" w:fill="auto"/>
            <w:vAlign w:val="center"/>
          </w:tcPr>
          <w:p w14:paraId="196AC903">
            <w:pPr>
              <w:pStyle w:val="181"/>
              <w:rPr>
                <w:color w:val="auto"/>
              </w:rPr>
            </w:pPr>
            <w:r>
              <w:rPr>
                <w:rFonts w:hint="eastAsia"/>
                <w:color w:val="auto"/>
              </w:rPr>
              <w:t>/</w:t>
            </w:r>
          </w:p>
        </w:tc>
        <w:tc>
          <w:tcPr>
            <w:tcW w:w="1000" w:type="dxa"/>
            <w:shd w:val="clear" w:color="auto" w:fill="auto"/>
            <w:vAlign w:val="center"/>
          </w:tcPr>
          <w:p w14:paraId="5B918300">
            <w:pPr>
              <w:pStyle w:val="178"/>
              <w:bidi w:val="0"/>
              <w:ind w:firstLine="0" w:firstLineChars="0"/>
              <w:rPr>
                <w:rFonts w:hint="default"/>
                <w:color w:val="auto"/>
                <w:lang w:val="en-US" w:eastAsia="zh-CN"/>
              </w:rPr>
            </w:pPr>
            <w:r>
              <w:rPr>
                <w:rFonts w:hint="default"/>
                <w:color w:val="auto"/>
                <w:lang w:val="en-US" w:eastAsia="zh-CN"/>
              </w:rPr>
              <w:t>500</w:t>
            </w:r>
          </w:p>
        </w:tc>
        <w:tc>
          <w:tcPr>
            <w:tcW w:w="1025" w:type="dxa"/>
            <w:shd w:val="clear" w:color="auto" w:fill="auto"/>
            <w:vAlign w:val="center"/>
          </w:tcPr>
          <w:p w14:paraId="6B6D8D90">
            <w:pPr>
              <w:pStyle w:val="178"/>
              <w:bidi w:val="0"/>
              <w:ind w:firstLine="0" w:firstLineChars="0"/>
              <w:rPr>
                <w:rFonts w:hint="default"/>
                <w:color w:val="auto"/>
                <w:lang w:val="en-US" w:eastAsia="zh-CN"/>
              </w:rPr>
            </w:pPr>
            <w:r>
              <w:rPr>
                <w:rFonts w:hint="default"/>
                <w:color w:val="auto"/>
                <w:lang w:val="en-US" w:eastAsia="zh-CN"/>
              </w:rPr>
              <w:t>293.4</w:t>
            </w:r>
          </w:p>
        </w:tc>
        <w:tc>
          <w:tcPr>
            <w:tcW w:w="951" w:type="dxa"/>
            <w:vMerge w:val="continue"/>
            <w:vAlign w:val="center"/>
          </w:tcPr>
          <w:p w14:paraId="7A990C64">
            <w:pPr>
              <w:pStyle w:val="181"/>
              <w:rPr>
                <w:color w:val="auto"/>
              </w:rPr>
            </w:pPr>
          </w:p>
        </w:tc>
        <w:tc>
          <w:tcPr>
            <w:tcW w:w="999" w:type="dxa"/>
            <w:shd w:val="clear" w:color="auto" w:fill="auto"/>
            <w:vAlign w:val="center"/>
          </w:tcPr>
          <w:p w14:paraId="67D5E02C">
            <w:pPr>
              <w:pStyle w:val="178"/>
              <w:bidi w:val="0"/>
              <w:ind w:firstLine="0" w:firstLineChars="0"/>
              <w:rPr>
                <w:color w:val="auto"/>
              </w:rPr>
            </w:pPr>
            <w:r>
              <w:rPr>
                <w:rFonts w:hint="default"/>
                <w:color w:val="auto"/>
                <w:lang w:val="en-US" w:eastAsia="zh-CN"/>
              </w:rPr>
              <w:t>500</w:t>
            </w:r>
          </w:p>
        </w:tc>
        <w:tc>
          <w:tcPr>
            <w:tcW w:w="951" w:type="dxa"/>
            <w:shd w:val="clear" w:color="auto" w:fill="auto"/>
            <w:vAlign w:val="center"/>
          </w:tcPr>
          <w:p w14:paraId="0BC342B4">
            <w:pPr>
              <w:pStyle w:val="181"/>
              <w:rPr>
                <w:color w:val="auto"/>
              </w:rPr>
            </w:pPr>
            <w:r>
              <w:rPr>
                <w:rFonts w:hint="eastAsia"/>
                <w:color w:val="auto"/>
              </w:rPr>
              <w:t>达标</w:t>
            </w:r>
          </w:p>
        </w:tc>
      </w:tr>
      <w:tr w14:paraId="08C63A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49" w:type="dxa"/>
            <w:vMerge w:val="continue"/>
            <w:vAlign w:val="center"/>
          </w:tcPr>
          <w:p w14:paraId="40D6F7B8">
            <w:pPr>
              <w:pStyle w:val="181"/>
              <w:rPr>
                <w:color w:val="auto"/>
              </w:rPr>
            </w:pPr>
          </w:p>
        </w:tc>
        <w:tc>
          <w:tcPr>
            <w:tcW w:w="794" w:type="dxa"/>
            <w:vMerge w:val="continue"/>
            <w:vAlign w:val="center"/>
          </w:tcPr>
          <w:p w14:paraId="4A0E9BF9">
            <w:pPr>
              <w:pStyle w:val="181"/>
              <w:rPr>
                <w:color w:val="auto"/>
              </w:rPr>
            </w:pPr>
          </w:p>
        </w:tc>
        <w:tc>
          <w:tcPr>
            <w:tcW w:w="846" w:type="dxa"/>
            <w:vMerge w:val="continue"/>
            <w:vAlign w:val="center"/>
          </w:tcPr>
          <w:p w14:paraId="6595581D">
            <w:pPr>
              <w:pStyle w:val="181"/>
              <w:rPr>
                <w:color w:val="auto"/>
              </w:rPr>
            </w:pPr>
          </w:p>
        </w:tc>
        <w:tc>
          <w:tcPr>
            <w:tcW w:w="2169" w:type="dxa"/>
            <w:shd w:val="clear" w:color="auto" w:fill="auto"/>
            <w:vAlign w:val="center"/>
          </w:tcPr>
          <w:p w14:paraId="67634F39">
            <w:pPr>
              <w:pStyle w:val="181"/>
              <w:rPr>
                <w:color w:val="auto"/>
              </w:rPr>
            </w:pPr>
            <w:r>
              <w:rPr>
                <w:rFonts w:hint="eastAsia"/>
                <w:color w:val="auto"/>
              </w:rPr>
              <w:t>五日生化需氧量</w:t>
            </w:r>
          </w:p>
        </w:tc>
        <w:tc>
          <w:tcPr>
            <w:tcW w:w="1044" w:type="dxa"/>
            <w:shd w:val="clear" w:color="auto" w:fill="auto"/>
            <w:vAlign w:val="center"/>
          </w:tcPr>
          <w:p w14:paraId="5995812B">
            <w:pPr>
              <w:pStyle w:val="178"/>
              <w:bidi w:val="0"/>
              <w:ind w:firstLine="0" w:firstLineChars="0"/>
              <w:rPr>
                <w:rFonts w:hint="default"/>
                <w:color w:val="auto"/>
                <w:lang w:val="en-US" w:eastAsia="zh-CN"/>
              </w:rPr>
            </w:pPr>
            <w:r>
              <w:rPr>
                <w:rFonts w:hint="default"/>
                <w:color w:val="auto"/>
                <w:lang w:val="en-US" w:eastAsia="zh-CN"/>
              </w:rPr>
              <w:t>100</w:t>
            </w:r>
          </w:p>
        </w:tc>
        <w:tc>
          <w:tcPr>
            <w:tcW w:w="1043" w:type="dxa"/>
            <w:shd w:val="clear" w:color="auto" w:fill="auto"/>
            <w:vAlign w:val="center"/>
          </w:tcPr>
          <w:p w14:paraId="3C34E9E3">
            <w:pPr>
              <w:pStyle w:val="178"/>
              <w:bidi w:val="0"/>
              <w:ind w:firstLine="0" w:firstLineChars="0"/>
              <w:rPr>
                <w:rFonts w:hint="default"/>
                <w:color w:val="auto"/>
                <w:lang w:val="en-US" w:eastAsia="zh-CN"/>
              </w:rPr>
            </w:pPr>
            <w:r>
              <w:rPr>
                <w:rFonts w:hint="default"/>
                <w:color w:val="auto"/>
                <w:lang w:val="en-US" w:eastAsia="zh-CN"/>
              </w:rPr>
              <w:t>58.68</w:t>
            </w:r>
          </w:p>
        </w:tc>
        <w:tc>
          <w:tcPr>
            <w:tcW w:w="1241" w:type="dxa"/>
            <w:vMerge w:val="continue"/>
            <w:vAlign w:val="center"/>
          </w:tcPr>
          <w:p w14:paraId="3A9B7232">
            <w:pPr>
              <w:pStyle w:val="181"/>
              <w:rPr>
                <w:color w:val="auto"/>
              </w:rPr>
            </w:pPr>
          </w:p>
        </w:tc>
        <w:tc>
          <w:tcPr>
            <w:tcW w:w="1028" w:type="dxa"/>
            <w:shd w:val="clear" w:color="auto" w:fill="auto"/>
            <w:vAlign w:val="center"/>
          </w:tcPr>
          <w:p w14:paraId="2E09DF4C">
            <w:pPr>
              <w:pStyle w:val="181"/>
              <w:rPr>
                <w:color w:val="auto"/>
              </w:rPr>
            </w:pPr>
            <w:r>
              <w:rPr>
                <w:rFonts w:hint="eastAsia"/>
                <w:color w:val="auto"/>
              </w:rPr>
              <w:t>/</w:t>
            </w:r>
          </w:p>
        </w:tc>
        <w:tc>
          <w:tcPr>
            <w:tcW w:w="1000" w:type="dxa"/>
            <w:shd w:val="clear" w:color="auto" w:fill="auto"/>
            <w:vAlign w:val="center"/>
          </w:tcPr>
          <w:p w14:paraId="70B2D156">
            <w:pPr>
              <w:pStyle w:val="178"/>
              <w:bidi w:val="0"/>
              <w:ind w:firstLine="0" w:firstLineChars="0"/>
              <w:rPr>
                <w:rFonts w:hint="default"/>
                <w:color w:val="auto"/>
                <w:lang w:val="en-US" w:eastAsia="zh-CN"/>
              </w:rPr>
            </w:pPr>
            <w:r>
              <w:rPr>
                <w:rFonts w:hint="default"/>
                <w:color w:val="auto"/>
                <w:lang w:val="en-US" w:eastAsia="zh-CN"/>
              </w:rPr>
              <w:t>300</w:t>
            </w:r>
          </w:p>
        </w:tc>
        <w:tc>
          <w:tcPr>
            <w:tcW w:w="1025" w:type="dxa"/>
            <w:shd w:val="clear" w:color="auto" w:fill="auto"/>
            <w:vAlign w:val="center"/>
          </w:tcPr>
          <w:p w14:paraId="4BDF471F">
            <w:pPr>
              <w:pStyle w:val="178"/>
              <w:bidi w:val="0"/>
              <w:ind w:firstLine="0" w:firstLineChars="0"/>
              <w:rPr>
                <w:rFonts w:hint="default"/>
                <w:color w:val="auto"/>
                <w:lang w:val="en-US" w:eastAsia="zh-CN"/>
              </w:rPr>
            </w:pPr>
            <w:r>
              <w:rPr>
                <w:rFonts w:hint="default"/>
                <w:color w:val="auto"/>
                <w:lang w:val="en-US" w:eastAsia="zh-CN"/>
              </w:rPr>
              <w:t>176.04</w:t>
            </w:r>
          </w:p>
        </w:tc>
        <w:tc>
          <w:tcPr>
            <w:tcW w:w="951" w:type="dxa"/>
            <w:vMerge w:val="continue"/>
            <w:vAlign w:val="center"/>
          </w:tcPr>
          <w:p w14:paraId="0950DF14">
            <w:pPr>
              <w:pStyle w:val="181"/>
              <w:rPr>
                <w:color w:val="auto"/>
              </w:rPr>
            </w:pPr>
          </w:p>
        </w:tc>
        <w:tc>
          <w:tcPr>
            <w:tcW w:w="999" w:type="dxa"/>
            <w:shd w:val="clear" w:color="auto" w:fill="auto"/>
            <w:vAlign w:val="center"/>
          </w:tcPr>
          <w:p w14:paraId="7DBEC5F0">
            <w:pPr>
              <w:pStyle w:val="178"/>
              <w:bidi w:val="0"/>
              <w:ind w:firstLine="0" w:firstLineChars="0"/>
              <w:rPr>
                <w:color w:val="auto"/>
              </w:rPr>
            </w:pPr>
            <w:r>
              <w:rPr>
                <w:rFonts w:hint="default"/>
                <w:color w:val="auto"/>
                <w:lang w:val="en-US" w:eastAsia="zh-CN"/>
              </w:rPr>
              <w:t>300</w:t>
            </w:r>
          </w:p>
        </w:tc>
        <w:tc>
          <w:tcPr>
            <w:tcW w:w="951" w:type="dxa"/>
            <w:shd w:val="clear" w:color="auto" w:fill="auto"/>
            <w:vAlign w:val="center"/>
          </w:tcPr>
          <w:p w14:paraId="1D4DA0C7">
            <w:pPr>
              <w:pStyle w:val="181"/>
              <w:rPr>
                <w:color w:val="auto"/>
              </w:rPr>
            </w:pPr>
            <w:r>
              <w:rPr>
                <w:rFonts w:hint="eastAsia"/>
                <w:color w:val="auto"/>
              </w:rPr>
              <w:t>达标</w:t>
            </w:r>
          </w:p>
        </w:tc>
      </w:tr>
      <w:tr w14:paraId="6A27A1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49" w:type="dxa"/>
            <w:vMerge w:val="continue"/>
            <w:vAlign w:val="center"/>
          </w:tcPr>
          <w:p w14:paraId="15DD74FF">
            <w:pPr>
              <w:pStyle w:val="181"/>
              <w:rPr>
                <w:color w:val="auto"/>
              </w:rPr>
            </w:pPr>
          </w:p>
        </w:tc>
        <w:tc>
          <w:tcPr>
            <w:tcW w:w="794" w:type="dxa"/>
            <w:vMerge w:val="continue"/>
            <w:vAlign w:val="center"/>
          </w:tcPr>
          <w:p w14:paraId="1BD0D15E">
            <w:pPr>
              <w:pStyle w:val="181"/>
              <w:rPr>
                <w:color w:val="auto"/>
              </w:rPr>
            </w:pPr>
          </w:p>
        </w:tc>
        <w:tc>
          <w:tcPr>
            <w:tcW w:w="846" w:type="dxa"/>
            <w:vMerge w:val="continue"/>
            <w:vAlign w:val="center"/>
          </w:tcPr>
          <w:p w14:paraId="0F84DCFA">
            <w:pPr>
              <w:pStyle w:val="181"/>
              <w:rPr>
                <w:color w:val="auto"/>
              </w:rPr>
            </w:pPr>
          </w:p>
        </w:tc>
        <w:tc>
          <w:tcPr>
            <w:tcW w:w="2169" w:type="dxa"/>
            <w:shd w:val="clear" w:color="auto" w:fill="auto"/>
            <w:vAlign w:val="center"/>
          </w:tcPr>
          <w:p w14:paraId="1EE13FF9">
            <w:pPr>
              <w:pStyle w:val="181"/>
              <w:rPr>
                <w:color w:val="auto"/>
              </w:rPr>
            </w:pPr>
            <w:r>
              <w:rPr>
                <w:rFonts w:hint="eastAsia"/>
                <w:color w:val="auto"/>
              </w:rPr>
              <w:t>氨氮（以N计）</w:t>
            </w:r>
          </w:p>
        </w:tc>
        <w:tc>
          <w:tcPr>
            <w:tcW w:w="1044" w:type="dxa"/>
            <w:shd w:val="clear" w:color="auto" w:fill="auto"/>
            <w:vAlign w:val="center"/>
          </w:tcPr>
          <w:p w14:paraId="30412B02">
            <w:pPr>
              <w:pStyle w:val="178"/>
              <w:bidi w:val="0"/>
              <w:ind w:firstLine="0" w:firstLineChars="0"/>
              <w:rPr>
                <w:rFonts w:hint="default"/>
                <w:color w:val="auto"/>
                <w:lang w:val="en-US" w:eastAsia="zh-CN"/>
              </w:rPr>
            </w:pPr>
            <w:r>
              <w:rPr>
                <w:rFonts w:hint="default"/>
                <w:color w:val="auto"/>
                <w:lang w:val="en-US" w:eastAsia="zh-CN"/>
              </w:rPr>
              <w:t>200</w:t>
            </w:r>
          </w:p>
        </w:tc>
        <w:tc>
          <w:tcPr>
            <w:tcW w:w="1043" w:type="dxa"/>
            <w:shd w:val="clear" w:color="auto" w:fill="auto"/>
            <w:vAlign w:val="center"/>
          </w:tcPr>
          <w:p w14:paraId="682E7B75">
            <w:pPr>
              <w:pStyle w:val="178"/>
              <w:bidi w:val="0"/>
              <w:ind w:firstLine="0" w:firstLineChars="0"/>
              <w:rPr>
                <w:rFonts w:hint="default"/>
                <w:color w:val="auto"/>
                <w:lang w:val="en-US" w:eastAsia="zh-CN"/>
              </w:rPr>
            </w:pPr>
            <w:r>
              <w:rPr>
                <w:rFonts w:hint="default"/>
                <w:color w:val="auto"/>
                <w:lang w:val="en-US" w:eastAsia="zh-CN"/>
              </w:rPr>
              <w:t>117.36</w:t>
            </w:r>
          </w:p>
        </w:tc>
        <w:tc>
          <w:tcPr>
            <w:tcW w:w="1241" w:type="dxa"/>
            <w:vMerge w:val="continue"/>
            <w:vAlign w:val="center"/>
          </w:tcPr>
          <w:p w14:paraId="2D037425">
            <w:pPr>
              <w:pStyle w:val="181"/>
              <w:rPr>
                <w:color w:val="auto"/>
              </w:rPr>
            </w:pPr>
          </w:p>
        </w:tc>
        <w:tc>
          <w:tcPr>
            <w:tcW w:w="1028" w:type="dxa"/>
            <w:shd w:val="clear" w:color="auto" w:fill="auto"/>
            <w:vAlign w:val="center"/>
          </w:tcPr>
          <w:p w14:paraId="586DE00F">
            <w:pPr>
              <w:pStyle w:val="181"/>
              <w:rPr>
                <w:color w:val="auto"/>
              </w:rPr>
            </w:pPr>
            <w:r>
              <w:rPr>
                <w:rFonts w:hint="eastAsia"/>
                <w:color w:val="auto"/>
              </w:rPr>
              <w:t>/</w:t>
            </w:r>
          </w:p>
        </w:tc>
        <w:tc>
          <w:tcPr>
            <w:tcW w:w="1000" w:type="dxa"/>
            <w:shd w:val="clear" w:color="auto" w:fill="auto"/>
            <w:vAlign w:val="center"/>
          </w:tcPr>
          <w:p w14:paraId="25747BBB">
            <w:pPr>
              <w:pStyle w:val="178"/>
              <w:bidi w:val="0"/>
              <w:ind w:firstLine="0" w:firstLineChars="0"/>
              <w:rPr>
                <w:rFonts w:hint="default"/>
                <w:color w:val="auto"/>
                <w:lang w:val="en-US" w:eastAsia="zh-CN"/>
              </w:rPr>
            </w:pPr>
            <w:r>
              <w:rPr>
                <w:rFonts w:hint="default"/>
                <w:color w:val="auto"/>
                <w:lang w:val="en-US" w:eastAsia="zh-CN"/>
              </w:rPr>
              <w:t>45</w:t>
            </w:r>
          </w:p>
        </w:tc>
        <w:tc>
          <w:tcPr>
            <w:tcW w:w="1025" w:type="dxa"/>
            <w:shd w:val="clear" w:color="auto" w:fill="auto"/>
            <w:vAlign w:val="center"/>
          </w:tcPr>
          <w:p w14:paraId="1946F7E6">
            <w:pPr>
              <w:pStyle w:val="178"/>
              <w:bidi w:val="0"/>
              <w:ind w:firstLine="0" w:firstLineChars="0"/>
              <w:rPr>
                <w:rFonts w:hint="default"/>
                <w:color w:val="auto"/>
                <w:lang w:val="en-US" w:eastAsia="zh-CN"/>
              </w:rPr>
            </w:pPr>
            <w:r>
              <w:rPr>
                <w:rFonts w:hint="default"/>
                <w:color w:val="auto"/>
                <w:lang w:val="en-US" w:eastAsia="zh-CN"/>
              </w:rPr>
              <w:t>26.41</w:t>
            </w:r>
          </w:p>
        </w:tc>
        <w:tc>
          <w:tcPr>
            <w:tcW w:w="951" w:type="dxa"/>
            <w:vMerge w:val="continue"/>
            <w:vAlign w:val="center"/>
          </w:tcPr>
          <w:p w14:paraId="32E6034B">
            <w:pPr>
              <w:pStyle w:val="181"/>
              <w:rPr>
                <w:color w:val="auto"/>
              </w:rPr>
            </w:pPr>
          </w:p>
        </w:tc>
        <w:tc>
          <w:tcPr>
            <w:tcW w:w="999" w:type="dxa"/>
            <w:shd w:val="clear" w:color="auto" w:fill="auto"/>
            <w:vAlign w:val="center"/>
          </w:tcPr>
          <w:p w14:paraId="05E9AA45">
            <w:pPr>
              <w:pStyle w:val="178"/>
              <w:bidi w:val="0"/>
              <w:ind w:firstLine="0" w:firstLineChars="0"/>
              <w:rPr>
                <w:color w:val="auto"/>
              </w:rPr>
            </w:pPr>
            <w:r>
              <w:rPr>
                <w:rFonts w:hint="default"/>
                <w:color w:val="auto"/>
                <w:lang w:val="en-US" w:eastAsia="zh-CN"/>
              </w:rPr>
              <w:t>45</w:t>
            </w:r>
          </w:p>
        </w:tc>
        <w:tc>
          <w:tcPr>
            <w:tcW w:w="951" w:type="dxa"/>
            <w:shd w:val="clear" w:color="auto" w:fill="auto"/>
            <w:vAlign w:val="center"/>
          </w:tcPr>
          <w:p w14:paraId="52972E3F">
            <w:pPr>
              <w:pStyle w:val="181"/>
              <w:rPr>
                <w:color w:val="auto"/>
              </w:rPr>
            </w:pPr>
            <w:r>
              <w:rPr>
                <w:rFonts w:hint="eastAsia"/>
                <w:color w:val="auto"/>
              </w:rPr>
              <w:t>达标</w:t>
            </w:r>
          </w:p>
        </w:tc>
      </w:tr>
      <w:tr w14:paraId="6DE4E2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49" w:type="dxa"/>
            <w:vMerge w:val="continue"/>
            <w:vAlign w:val="center"/>
          </w:tcPr>
          <w:p w14:paraId="70AC4660">
            <w:pPr>
              <w:pStyle w:val="181"/>
              <w:rPr>
                <w:color w:val="auto"/>
              </w:rPr>
            </w:pPr>
          </w:p>
        </w:tc>
        <w:tc>
          <w:tcPr>
            <w:tcW w:w="794" w:type="dxa"/>
            <w:vMerge w:val="continue"/>
            <w:vAlign w:val="center"/>
          </w:tcPr>
          <w:p w14:paraId="419DC29F">
            <w:pPr>
              <w:pStyle w:val="181"/>
              <w:rPr>
                <w:color w:val="auto"/>
              </w:rPr>
            </w:pPr>
          </w:p>
        </w:tc>
        <w:tc>
          <w:tcPr>
            <w:tcW w:w="846" w:type="dxa"/>
            <w:vMerge w:val="continue"/>
            <w:vAlign w:val="center"/>
          </w:tcPr>
          <w:p w14:paraId="3CA1675E">
            <w:pPr>
              <w:pStyle w:val="181"/>
              <w:rPr>
                <w:color w:val="auto"/>
              </w:rPr>
            </w:pPr>
          </w:p>
        </w:tc>
        <w:tc>
          <w:tcPr>
            <w:tcW w:w="2169" w:type="dxa"/>
            <w:shd w:val="clear" w:color="auto" w:fill="auto"/>
            <w:vAlign w:val="center"/>
          </w:tcPr>
          <w:p w14:paraId="698398D4">
            <w:pPr>
              <w:pStyle w:val="181"/>
              <w:rPr>
                <w:color w:val="auto"/>
              </w:rPr>
            </w:pPr>
            <w:r>
              <w:rPr>
                <w:rFonts w:hint="eastAsia"/>
                <w:color w:val="auto"/>
              </w:rPr>
              <w:t>总氮（以N计）</w:t>
            </w:r>
          </w:p>
        </w:tc>
        <w:tc>
          <w:tcPr>
            <w:tcW w:w="1044" w:type="dxa"/>
            <w:shd w:val="clear" w:color="auto" w:fill="auto"/>
            <w:vAlign w:val="center"/>
          </w:tcPr>
          <w:p w14:paraId="1599EA24">
            <w:pPr>
              <w:pStyle w:val="178"/>
              <w:bidi w:val="0"/>
              <w:ind w:firstLine="0" w:firstLineChars="0"/>
              <w:rPr>
                <w:rFonts w:hint="default"/>
                <w:color w:val="auto"/>
                <w:lang w:val="en-US" w:eastAsia="zh-CN"/>
              </w:rPr>
            </w:pPr>
            <w:r>
              <w:rPr>
                <w:rFonts w:hint="default"/>
                <w:color w:val="auto"/>
                <w:lang w:val="en-US" w:eastAsia="zh-CN"/>
              </w:rPr>
              <w:t>20</w:t>
            </w:r>
          </w:p>
        </w:tc>
        <w:tc>
          <w:tcPr>
            <w:tcW w:w="1043" w:type="dxa"/>
            <w:shd w:val="clear" w:color="auto" w:fill="auto"/>
            <w:vAlign w:val="center"/>
          </w:tcPr>
          <w:p w14:paraId="395D5DA7">
            <w:pPr>
              <w:pStyle w:val="178"/>
              <w:bidi w:val="0"/>
              <w:ind w:firstLine="0" w:firstLineChars="0"/>
              <w:rPr>
                <w:rFonts w:hint="default"/>
                <w:color w:val="auto"/>
                <w:lang w:val="en-US" w:eastAsia="zh-CN"/>
              </w:rPr>
            </w:pPr>
            <w:r>
              <w:rPr>
                <w:rFonts w:hint="default"/>
                <w:color w:val="auto"/>
                <w:lang w:val="en-US" w:eastAsia="zh-CN"/>
              </w:rPr>
              <w:t>11.74</w:t>
            </w:r>
          </w:p>
        </w:tc>
        <w:tc>
          <w:tcPr>
            <w:tcW w:w="1241" w:type="dxa"/>
            <w:vMerge w:val="continue"/>
            <w:vAlign w:val="center"/>
          </w:tcPr>
          <w:p w14:paraId="5BC69396">
            <w:pPr>
              <w:pStyle w:val="181"/>
              <w:rPr>
                <w:color w:val="auto"/>
              </w:rPr>
            </w:pPr>
          </w:p>
        </w:tc>
        <w:tc>
          <w:tcPr>
            <w:tcW w:w="1028" w:type="dxa"/>
            <w:shd w:val="clear" w:color="auto" w:fill="auto"/>
            <w:vAlign w:val="center"/>
          </w:tcPr>
          <w:p w14:paraId="2A4CB645">
            <w:pPr>
              <w:pStyle w:val="181"/>
              <w:rPr>
                <w:color w:val="auto"/>
              </w:rPr>
            </w:pPr>
            <w:r>
              <w:rPr>
                <w:rFonts w:hint="eastAsia"/>
                <w:color w:val="auto"/>
              </w:rPr>
              <w:t>/</w:t>
            </w:r>
          </w:p>
        </w:tc>
        <w:tc>
          <w:tcPr>
            <w:tcW w:w="1000" w:type="dxa"/>
            <w:shd w:val="clear" w:color="auto" w:fill="auto"/>
            <w:vAlign w:val="center"/>
          </w:tcPr>
          <w:p w14:paraId="6B1008FC">
            <w:pPr>
              <w:pStyle w:val="178"/>
              <w:bidi w:val="0"/>
              <w:ind w:firstLine="0" w:firstLineChars="0"/>
              <w:rPr>
                <w:rFonts w:hint="default"/>
                <w:color w:val="auto"/>
                <w:lang w:val="en-US" w:eastAsia="zh-CN"/>
              </w:rPr>
            </w:pPr>
            <w:r>
              <w:rPr>
                <w:rFonts w:hint="default"/>
                <w:color w:val="auto"/>
                <w:lang w:val="en-US" w:eastAsia="zh-CN"/>
              </w:rPr>
              <w:t>70</w:t>
            </w:r>
          </w:p>
        </w:tc>
        <w:tc>
          <w:tcPr>
            <w:tcW w:w="1025" w:type="dxa"/>
            <w:shd w:val="clear" w:color="auto" w:fill="auto"/>
            <w:vAlign w:val="center"/>
          </w:tcPr>
          <w:p w14:paraId="3F5F082C">
            <w:pPr>
              <w:pStyle w:val="178"/>
              <w:bidi w:val="0"/>
              <w:ind w:firstLine="0" w:firstLineChars="0"/>
              <w:rPr>
                <w:rFonts w:hint="default"/>
                <w:color w:val="auto"/>
                <w:lang w:val="en-US" w:eastAsia="zh-CN"/>
              </w:rPr>
            </w:pPr>
            <w:r>
              <w:rPr>
                <w:rFonts w:hint="default"/>
                <w:color w:val="auto"/>
                <w:lang w:val="en-US" w:eastAsia="zh-CN"/>
              </w:rPr>
              <w:t>41.08</w:t>
            </w:r>
          </w:p>
        </w:tc>
        <w:tc>
          <w:tcPr>
            <w:tcW w:w="951" w:type="dxa"/>
            <w:vMerge w:val="continue"/>
            <w:vAlign w:val="center"/>
          </w:tcPr>
          <w:p w14:paraId="2718E0BE">
            <w:pPr>
              <w:pStyle w:val="181"/>
              <w:rPr>
                <w:color w:val="auto"/>
              </w:rPr>
            </w:pPr>
          </w:p>
        </w:tc>
        <w:tc>
          <w:tcPr>
            <w:tcW w:w="999" w:type="dxa"/>
            <w:shd w:val="clear" w:color="auto" w:fill="auto"/>
            <w:vAlign w:val="center"/>
          </w:tcPr>
          <w:p w14:paraId="171AC607">
            <w:pPr>
              <w:pStyle w:val="178"/>
              <w:bidi w:val="0"/>
              <w:ind w:firstLine="0" w:firstLineChars="0"/>
              <w:rPr>
                <w:color w:val="auto"/>
              </w:rPr>
            </w:pPr>
            <w:r>
              <w:rPr>
                <w:rFonts w:hint="default"/>
                <w:color w:val="auto"/>
                <w:lang w:val="en-US" w:eastAsia="zh-CN"/>
              </w:rPr>
              <w:t>70</w:t>
            </w:r>
          </w:p>
        </w:tc>
        <w:tc>
          <w:tcPr>
            <w:tcW w:w="951" w:type="dxa"/>
            <w:shd w:val="clear" w:color="auto" w:fill="auto"/>
            <w:vAlign w:val="center"/>
          </w:tcPr>
          <w:p w14:paraId="58A5B55B">
            <w:pPr>
              <w:pStyle w:val="181"/>
              <w:rPr>
                <w:color w:val="auto"/>
              </w:rPr>
            </w:pPr>
            <w:r>
              <w:rPr>
                <w:rFonts w:hint="eastAsia"/>
                <w:color w:val="auto"/>
              </w:rPr>
              <w:t>达标</w:t>
            </w:r>
          </w:p>
        </w:tc>
      </w:tr>
      <w:tr w14:paraId="5240E0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49" w:type="dxa"/>
            <w:vMerge w:val="continue"/>
            <w:vAlign w:val="center"/>
          </w:tcPr>
          <w:p w14:paraId="7489C913">
            <w:pPr>
              <w:pStyle w:val="181"/>
              <w:rPr>
                <w:color w:val="auto"/>
              </w:rPr>
            </w:pPr>
          </w:p>
        </w:tc>
        <w:tc>
          <w:tcPr>
            <w:tcW w:w="794" w:type="dxa"/>
            <w:vMerge w:val="continue"/>
            <w:vAlign w:val="center"/>
          </w:tcPr>
          <w:p w14:paraId="267485DA">
            <w:pPr>
              <w:pStyle w:val="181"/>
              <w:rPr>
                <w:color w:val="auto"/>
              </w:rPr>
            </w:pPr>
          </w:p>
        </w:tc>
        <w:tc>
          <w:tcPr>
            <w:tcW w:w="846" w:type="dxa"/>
            <w:vMerge w:val="continue"/>
            <w:vAlign w:val="center"/>
          </w:tcPr>
          <w:p w14:paraId="38B2492A">
            <w:pPr>
              <w:pStyle w:val="181"/>
              <w:rPr>
                <w:color w:val="auto"/>
              </w:rPr>
            </w:pPr>
          </w:p>
        </w:tc>
        <w:tc>
          <w:tcPr>
            <w:tcW w:w="2169" w:type="dxa"/>
            <w:shd w:val="clear" w:color="auto" w:fill="auto"/>
            <w:vAlign w:val="center"/>
          </w:tcPr>
          <w:p w14:paraId="4A98C769">
            <w:pPr>
              <w:pStyle w:val="181"/>
              <w:rPr>
                <w:color w:val="auto"/>
              </w:rPr>
            </w:pPr>
            <w:r>
              <w:rPr>
                <w:rFonts w:hint="eastAsia"/>
                <w:color w:val="auto"/>
              </w:rPr>
              <w:t>总磷（以P计）</w:t>
            </w:r>
          </w:p>
        </w:tc>
        <w:tc>
          <w:tcPr>
            <w:tcW w:w="1044" w:type="dxa"/>
            <w:shd w:val="clear" w:color="auto" w:fill="auto"/>
            <w:vAlign w:val="center"/>
          </w:tcPr>
          <w:p w14:paraId="7F4F5909">
            <w:pPr>
              <w:pStyle w:val="178"/>
              <w:bidi w:val="0"/>
              <w:ind w:firstLine="0" w:firstLineChars="0"/>
              <w:rPr>
                <w:rFonts w:hint="default"/>
                <w:color w:val="auto"/>
                <w:lang w:val="en-US" w:eastAsia="zh-CN"/>
              </w:rPr>
            </w:pPr>
            <w:r>
              <w:rPr>
                <w:rFonts w:hint="default"/>
                <w:color w:val="auto"/>
                <w:lang w:val="en-US" w:eastAsia="zh-CN"/>
              </w:rPr>
              <w:t>400</w:t>
            </w:r>
          </w:p>
        </w:tc>
        <w:tc>
          <w:tcPr>
            <w:tcW w:w="1043" w:type="dxa"/>
            <w:shd w:val="clear" w:color="auto" w:fill="auto"/>
            <w:vAlign w:val="center"/>
          </w:tcPr>
          <w:p w14:paraId="78B55FF5">
            <w:pPr>
              <w:pStyle w:val="178"/>
              <w:bidi w:val="0"/>
              <w:ind w:firstLine="0" w:firstLineChars="0"/>
              <w:rPr>
                <w:rFonts w:hint="default"/>
                <w:color w:val="auto"/>
                <w:lang w:val="en-US" w:eastAsia="zh-CN"/>
              </w:rPr>
            </w:pPr>
            <w:r>
              <w:rPr>
                <w:rFonts w:hint="default"/>
                <w:color w:val="auto"/>
                <w:lang w:val="en-US" w:eastAsia="zh-CN"/>
              </w:rPr>
              <w:t>234.72</w:t>
            </w:r>
          </w:p>
        </w:tc>
        <w:tc>
          <w:tcPr>
            <w:tcW w:w="1241" w:type="dxa"/>
            <w:vMerge w:val="continue"/>
            <w:vAlign w:val="center"/>
          </w:tcPr>
          <w:p w14:paraId="595D8B71">
            <w:pPr>
              <w:pStyle w:val="181"/>
              <w:rPr>
                <w:color w:val="auto"/>
              </w:rPr>
            </w:pPr>
          </w:p>
        </w:tc>
        <w:tc>
          <w:tcPr>
            <w:tcW w:w="1028" w:type="dxa"/>
            <w:shd w:val="clear" w:color="auto" w:fill="auto"/>
            <w:vAlign w:val="center"/>
          </w:tcPr>
          <w:p w14:paraId="6EC9429E">
            <w:pPr>
              <w:pStyle w:val="181"/>
              <w:rPr>
                <w:color w:val="auto"/>
              </w:rPr>
            </w:pPr>
            <w:r>
              <w:rPr>
                <w:rFonts w:hint="eastAsia"/>
                <w:color w:val="auto"/>
              </w:rPr>
              <w:t>/</w:t>
            </w:r>
          </w:p>
        </w:tc>
        <w:tc>
          <w:tcPr>
            <w:tcW w:w="1000" w:type="dxa"/>
            <w:shd w:val="clear" w:color="auto" w:fill="auto"/>
            <w:vAlign w:val="center"/>
          </w:tcPr>
          <w:p w14:paraId="57C955BD">
            <w:pPr>
              <w:pStyle w:val="178"/>
              <w:bidi w:val="0"/>
              <w:ind w:firstLine="0" w:firstLineChars="0"/>
              <w:rPr>
                <w:rFonts w:hint="default"/>
                <w:color w:val="auto"/>
                <w:lang w:val="en-US" w:eastAsia="zh-CN"/>
              </w:rPr>
            </w:pPr>
            <w:r>
              <w:rPr>
                <w:rFonts w:hint="default"/>
                <w:color w:val="auto"/>
                <w:lang w:val="en-US" w:eastAsia="zh-CN"/>
              </w:rPr>
              <w:t>8</w:t>
            </w:r>
          </w:p>
        </w:tc>
        <w:tc>
          <w:tcPr>
            <w:tcW w:w="1025" w:type="dxa"/>
            <w:shd w:val="clear" w:color="auto" w:fill="auto"/>
            <w:vAlign w:val="center"/>
          </w:tcPr>
          <w:p w14:paraId="0E184B7D">
            <w:pPr>
              <w:pStyle w:val="178"/>
              <w:bidi w:val="0"/>
              <w:ind w:firstLine="0" w:firstLineChars="0"/>
              <w:rPr>
                <w:rFonts w:hint="default"/>
                <w:color w:val="auto"/>
                <w:lang w:val="en-US" w:eastAsia="zh-CN"/>
              </w:rPr>
            </w:pPr>
            <w:r>
              <w:rPr>
                <w:rFonts w:hint="default"/>
                <w:color w:val="auto"/>
                <w:lang w:val="en-US" w:eastAsia="zh-CN"/>
              </w:rPr>
              <w:t>4.69</w:t>
            </w:r>
          </w:p>
        </w:tc>
        <w:tc>
          <w:tcPr>
            <w:tcW w:w="951" w:type="dxa"/>
            <w:vMerge w:val="continue"/>
            <w:vAlign w:val="center"/>
          </w:tcPr>
          <w:p w14:paraId="5F22297F">
            <w:pPr>
              <w:pStyle w:val="181"/>
              <w:rPr>
                <w:color w:val="auto"/>
              </w:rPr>
            </w:pPr>
          </w:p>
        </w:tc>
        <w:tc>
          <w:tcPr>
            <w:tcW w:w="999" w:type="dxa"/>
            <w:shd w:val="clear" w:color="auto" w:fill="auto"/>
            <w:vAlign w:val="center"/>
          </w:tcPr>
          <w:p w14:paraId="2A08091A">
            <w:pPr>
              <w:pStyle w:val="178"/>
              <w:bidi w:val="0"/>
              <w:ind w:firstLine="0" w:firstLineChars="0"/>
              <w:rPr>
                <w:color w:val="auto"/>
              </w:rPr>
            </w:pPr>
            <w:r>
              <w:rPr>
                <w:rFonts w:hint="default"/>
                <w:color w:val="auto"/>
                <w:lang w:val="en-US" w:eastAsia="zh-CN"/>
              </w:rPr>
              <w:t>8</w:t>
            </w:r>
          </w:p>
        </w:tc>
        <w:tc>
          <w:tcPr>
            <w:tcW w:w="951" w:type="dxa"/>
            <w:shd w:val="clear" w:color="auto" w:fill="auto"/>
            <w:vAlign w:val="center"/>
          </w:tcPr>
          <w:p w14:paraId="5B3415D4">
            <w:pPr>
              <w:pStyle w:val="181"/>
              <w:rPr>
                <w:color w:val="auto"/>
              </w:rPr>
            </w:pPr>
            <w:r>
              <w:rPr>
                <w:rFonts w:hint="eastAsia"/>
                <w:color w:val="auto"/>
              </w:rPr>
              <w:t>达标</w:t>
            </w:r>
          </w:p>
        </w:tc>
      </w:tr>
      <w:tr w14:paraId="6EFA5C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49" w:type="dxa"/>
            <w:vMerge w:val="continue"/>
            <w:vAlign w:val="center"/>
          </w:tcPr>
          <w:p w14:paraId="05611122">
            <w:pPr>
              <w:pStyle w:val="181"/>
              <w:rPr>
                <w:color w:val="auto"/>
              </w:rPr>
            </w:pPr>
          </w:p>
        </w:tc>
        <w:tc>
          <w:tcPr>
            <w:tcW w:w="794" w:type="dxa"/>
            <w:vMerge w:val="continue"/>
            <w:vAlign w:val="center"/>
          </w:tcPr>
          <w:p w14:paraId="25F4EA5F">
            <w:pPr>
              <w:pStyle w:val="181"/>
              <w:rPr>
                <w:color w:val="auto"/>
              </w:rPr>
            </w:pPr>
          </w:p>
        </w:tc>
        <w:tc>
          <w:tcPr>
            <w:tcW w:w="846" w:type="dxa"/>
            <w:vMerge w:val="continue"/>
            <w:vAlign w:val="center"/>
          </w:tcPr>
          <w:p w14:paraId="30FC2729">
            <w:pPr>
              <w:pStyle w:val="181"/>
              <w:rPr>
                <w:color w:val="auto"/>
              </w:rPr>
            </w:pPr>
          </w:p>
        </w:tc>
        <w:tc>
          <w:tcPr>
            <w:tcW w:w="2169" w:type="dxa"/>
            <w:shd w:val="clear" w:color="auto" w:fill="auto"/>
            <w:vAlign w:val="center"/>
          </w:tcPr>
          <w:p w14:paraId="542FB7A2">
            <w:pPr>
              <w:pStyle w:val="181"/>
              <w:rPr>
                <w:color w:val="auto"/>
              </w:rPr>
            </w:pPr>
            <w:r>
              <w:rPr>
                <w:rFonts w:hint="eastAsia"/>
                <w:color w:val="auto"/>
              </w:rPr>
              <w:t>总有机碳（TOC）</w:t>
            </w:r>
          </w:p>
        </w:tc>
        <w:tc>
          <w:tcPr>
            <w:tcW w:w="1044" w:type="dxa"/>
            <w:shd w:val="clear" w:color="auto" w:fill="auto"/>
            <w:vAlign w:val="center"/>
          </w:tcPr>
          <w:p w14:paraId="7011499C">
            <w:pPr>
              <w:pStyle w:val="178"/>
              <w:bidi w:val="0"/>
              <w:ind w:firstLine="0" w:firstLineChars="0"/>
              <w:rPr>
                <w:rFonts w:hint="default"/>
                <w:color w:val="auto"/>
                <w:lang w:val="en-US" w:eastAsia="zh-CN"/>
              </w:rPr>
            </w:pPr>
            <w:r>
              <w:rPr>
                <w:rFonts w:hint="default"/>
                <w:color w:val="auto"/>
                <w:lang w:val="en-US" w:eastAsia="zh-CN"/>
              </w:rPr>
              <w:t>100</w:t>
            </w:r>
          </w:p>
        </w:tc>
        <w:tc>
          <w:tcPr>
            <w:tcW w:w="1043" w:type="dxa"/>
            <w:shd w:val="clear" w:color="auto" w:fill="auto"/>
            <w:vAlign w:val="center"/>
          </w:tcPr>
          <w:p w14:paraId="4FD8F1F9">
            <w:pPr>
              <w:pStyle w:val="178"/>
              <w:bidi w:val="0"/>
              <w:ind w:firstLine="0" w:firstLineChars="0"/>
              <w:rPr>
                <w:rFonts w:hint="default"/>
                <w:color w:val="auto"/>
                <w:lang w:val="en-US" w:eastAsia="zh-CN"/>
              </w:rPr>
            </w:pPr>
            <w:r>
              <w:rPr>
                <w:rFonts w:hint="default"/>
                <w:color w:val="auto"/>
                <w:lang w:val="en-US" w:eastAsia="zh-CN"/>
              </w:rPr>
              <w:t>58.68</w:t>
            </w:r>
          </w:p>
        </w:tc>
        <w:tc>
          <w:tcPr>
            <w:tcW w:w="1241" w:type="dxa"/>
            <w:vMerge w:val="continue"/>
            <w:vAlign w:val="center"/>
          </w:tcPr>
          <w:p w14:paraId="7BB8F4E1">
            <w:pPr>
              <w:pStyle w:val="181"/>
              <w:rPr>
                <w:color w:val="auto"/>
              </w:rPr>
            </w:pPr>
          </w:p>
        </w:tc>
        <w:tc>
          <w:tcPr>
            <w:tcW w:w="1028" w:type="dxa"/>
            <w:shd w:val="clear" w:color="auto" w:fill="auto"/>
            <w:vAlign w:val="center"/>
          </w:tcPr>
          <w:p w14:paraId="68A24463">
            <w:pPr>
              <w:pStyle w:val="181"/>
              <w:rPr>
                <w:color w:val="auto"/>
              </w:rPr>
            </w:pPr>
            <w:r>
              <w:rPr>
                <w:rFonts w:hint="eastAsia"/>
                <w:color w:val="auto"/>
              </w:rPr>
              <w:t>/</w:t>
            </w:r>
          </w:p>
        </w:tc>
        <w:tc>
          <w:tcPr>
            <w:tcW w:w="1000" w:type="dxa"/>
            <w:shd w:val="clear" w:color="auto" w:fill="auto"/>
            <w:vAlign w:val="center"/>
          </w:tcPr>
          <w:p w14:paraId="7987C186">
            <w:pPr>
              <w:pStyle w:val="178"/>
              <w:bidi w:val="0"/>
              <w:ind w:firstLine="0" w:firstLineChars="0"/>
              <w:rPr>
                <w:rFonts w:hint="default"/>
                <w:color w:val="auto"/>
                <w:lang w:val="en-US" w:eastAsia="zh-CN"/>
              </w:rPr>
            </w:pPr>
            <w:r>
              <w:rPr>
                <w:rFonts w:hint="default"/>
                <w:color w:val="auto"/>
                <w:lang w:val="en-US" w:eastAsia="zh-CN"/>
              </w:rPr>
              <w:t>150</w:t>
            </w:r>
          </w:p>
        </w:tc>
        <w:tc>
          <w:tcPr>
            <w:tcW w:w="1025" w:type="dxa"/>
            <w:shd w:val="clear" w:color="auto" w:fill="auto"/>
            <w:vAlign w:val="center"/>
          </w:tcPr>
          <w:p w14:paraId="2BCDDDA4">
            <w:pPr>
              <w:pStyle w:val="178"/>
              <w:bidi w:val="0"/>
              <w:ind w:firstLine="0" w:firstLineChars="0"/>
              <w:rPr>
                <w:rFonts w:hint="default"/>
                <w:color w:val="auto"/>
                <w:lang w:val="en-US" w:eastAsia="zh-CN"/>
              </w:rPr>
            </w:pPr>
            <w:r>
              <w:rPr>
                <w:rFonts w:hint="default"/>
                <w:color w:val="auto"/>
                <w:lang w:val="en-US" w:eastAsia="zh-CN"/>
              </w:rPr>
              <w:t>88.02</w:t>
            </w:r>
          </w:p>
        </w:tc>
        <w:tc>
          <w:tcPr>
            <w:tcW w:w="951" w:type="dxa"/>
            <w:vMerge w:val="continue"/>
            <w:vAlign w:val="center"/>
          </w:tcPr>
          <w:p w14:paraId="56DD8184">
            <w:pPr>
              <w:pStyle w:val="181"/>
              <w:rPr>
                <w:color w:val="auto"/>
              </w:rPr>
            </w:pPr>
          </w:p>
        </w:tc>
        <w:tc>
          <w:tcPr>
            <w:tcW w:w="999" w:type="dxa"/>
            <w:shd w:val="clear" w:color="auto" w:fill="auto"/>
            <w:vAlign w:val="center"/>
          </w:tcPr>
          <w:p w14:paraId="3C991840">
            <w:pPr>
              <w:pStyle w:val="181"/>
              <w:rPr>
                <w:color w:val="auto"/>
              </w:rPr>
            </w:pPr>
            <w:r>
              <w:rPr>
                <w:rFonts w:hint="eastAsia"/>
                <w:color w:val="auto"/>
              </w:rPr>
              <w:t>150</w:t>
            </w:r>
          </w:p>
        </w:tc>
        <w:tc>
          <w:tcPr>
            <w:tcW w:w="951" w:type="dxa"/>
            <w:shd w:val="clear" w:color="auto" w:fill="auto"/>
            <w:vAlign w:val="center"/>
          </w:tcPr>
          <w:p w14:paraId="1BE0878C">
            <w:pPr>
              <w:pStyle w:val="181"/>
              <w:rPr>
                <w:color w:val="auto"/>
              </w:rPr>
            </w:pPr>
            <w:r>
              <w:rPr>
                <w:rFonts w:hint="eastAsia"/>
                <w:color w:val="auto"/>
              </w:rPr>
              <w:t>达标</w:t>
            </w:r>
          </w:p>
        </w:tc>
      </w:tr>
      <w:tr w14:paraId="10478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49" w:type="dxa"/>
            <w:vMerge w:val="continue"/>
            <w:vAlign w:val="center"/>
          </w:tcPr>
          <w:p w14:paraId="185D00AE">
            <w:pPr>
              <w:pStyle w:val="181"/>
              <w:rPr>
                <w:color w:val="auto"/>
              </w:rPr>
            </w:pPr>
          </w:p>
        </w:tc>
        <w:tc>
          <w:tcPr>
            <w:tcW w:w="794" w:type="dxa"/>
            <w:vMerge w:val="continue"/>
            <w:vAlign w:val="center"/>
          </w:tcPr>
          <w:p w14:paraId="1A4DF044">
            <w:pPr>
              <w:pStyle w:val="181"/>
              <w:rPr>
                <w:color w:val="auto"/>
              </w:rPr>
            </w:pPr>
          </w:p>
        </w:tc>
        <w:tc>
          <w:tcPr>
            <w:tcW w:w="846" w:type="dxa"/>
            <w:vMerge w:val="continue"/>
            <w:vAlign w:val="center"/>
          </w:tcPr>
          <w:p w14:paraId="107AFB1B">
            <w:pPr>
              <w:pStyle w:val="181"/>
              <w:rPr>
                <w:color w:val="auto"/>
              </w:rPr>
            </w:pPr>
          </w:p>
        </w:tc>
        <w:tc>
          <w:tcPr>
            <w:tcW w:w="2169" w:type="dxa"/>
            <w:shd w:val="clear" w:color="auto" w:fill="auto"/>
            <w:vAlign w:val="center"/>
          </w:tcPr>
          <w:p w14:paraId="27BCFBDB">
            <w:pPr>
              <w:pStyle w:val="181"/>
              <w:rPr>
                <w:color w:val="auto"/>
              </w:rPr>
            </w:pPr>
            <w:r>
              <w:rPr>
                <w:rFonts w:hint="eastAsia"/>
                <w:color w:val="auto"/>
              </w:rPr>
              <w:t>石油类</w:t>
            </w:r>
          </w:p>
        </w:tc>
        <w:tc>
          <w:tcPr>
            <w:tcW w:w="1044" w:type="dxa"/>
            <w:shd w:val="clear" w:color="auto" w:fill="auto"/>
            <w:vAlign w:val="center"/>
          </w:tcPr>
          <w:p w14:paraId="275E5D1E">
            <w:pPr>
              <w:pStyle w:val="178"/>
              <w:bidi w:val="0"/>
              <w:ind w:firstLine="0" w:firstLineChars="0"/>
              <w:rPr>
                <w:rFonts w:hint="default"/>
                <w:color w:val="auto"/>
                <w:lang w:val="en-US" w:eastAsia="zh-CN"/>
              </w:rPr>
            </w:pPr>
            <w:r>
              <w:rPr>
                <w:rFonts w:hint="default"/>
                <w:color w:val="auto"/>
                <w:lang w:val="en-US" w:eastAsia="zh-CN"/>
              </w:rPr>
              <w:t>5</w:t>
            </w:r>
          </w:p>
        </w:tc>
        <w:tc>
          <w:tcPr>
            <w:tcW w:w="1043" w:type="dxa"/>
            <w:shd w:val="clear" w:color="auto" w:fill="auto"/>
            <w:vAlign w:val="center"/>
          </w:tcPr>
          <w:p w14:paraId="7C03C565">
            <w:pPr>
              <w:pStyle w:val="178"/>
              <w:bidi w:val="0"/>
              <w:ind w:firstLine="0" w:firstLineChars="0"/>
              <w:rPr>
                <w:rFonts w:hint="default"/>
                <w:color w:val="auto"/>
                <w:lang w:val="en-US" w:eastAsia="zh-CN"/>
              </w:rPr>
            </w:pPr>
            <w:r>
              <w:rPr>
                <w:rFonts w:hint="default"/>
                <w:color w:val="auto"/>
                <w:lang w:val="en-US" w:eastAsia="zh-CN"/>
              </w:rPr>
              <w:t>2.93</w:t>
            </w:r>
          </w:p>
        </w:tc>
        <w:tc>
          <w:tcPr>
            <w:tcW w:w="1241" w:type="dxa"/>
            <w:vMerge w:val="continue"/>
            <w:vAlign w:val="center"/>
          </w:tcPr>
          <w:p w14:paraId="2FD1286B">
            <w:pPr>
              <w:pStyle w:val="181"/>
              <w:rPr>
                <w:color w:val="auto"/>
              </w:rPr>
            </w:pPr>
          </w:p>
        </w:tc>
        <w:tc>
          <w:tcPr>
            <w:tcW w:w="1028" w:type="dxa"/>
            <w:shd w:val="clear" w:color="auto" w:fill="auto"/>
            <w:vAlign w:val="center"/>
          </w:tcPr>
          <w:p w14:paraId="16DA64A2">
            <w:pPr>
              <w:pStyle w:val="181"/>
              <w:rPr>
                <w:color w:val="auto"/>
              </w:rPr>
            </w:pPr>
            <w:r>
              <w:rPr>
                <w:rFonts w:hint="eastAsia"/>
                <w:color w:val="auto"/>
              </w:rPr>
              <w:t>/</w:t>
            </w:r>
          </w:p>
        </w:tc>
        <w:tc>
          <w:tcPr>
            <w:tcW w:w="1000" w:type="dxa"/>
            <w:shd w:val="clear" w:color="auto" w:fill="auto"/>
            <w:vAlign w:val="center"/>
          </w:tcPr>
          <w:p w14:paraId="4A389F6E">
            <w:pPr>
              <w:pStyle w:val="178"/>
              <w:bidi w:val="0"/>
              <w:ind w:firstLine="0" w:firstLineChars="0"/>
              <w:rPr>
                <w:rFonts w:hint="default"/>
                <w:color w:val="auto"/>
                <w:lang w:val="en-US" w:eastAsia="zh-CN"/>
              </w:rPr>
            </w:pPr>
            <w:r>
              <w:rPr>
                <w:rFonts w:hint="default"/>
                <w:color w:val="auto"/>
                <w:lang w:val="en-US" w:eastAsia="zh-CN"/>
              </w:rPr>
              <w:t>15</w:t>
            </w:r>
          </w:p>
        </w:tc>
        <w:tc>
          <w:tcPr>
            <w:tcW w:w="1025" w:type="dxa"/>
            <w:shd w:val="clear" w:color="auto" w:fill="auto"/>
            <w:vAlign w:val="center"/>
          </w:tcPr>
          <w:p w14:paraId="6BA10DE9">
            <w:pPr>
              <w:pStyle w:val="178"/>
              <w:bidi w:val="0"/>
              <w:ind w:firstLine="0" w:firstLineChars="0"/>
              <w:rPr>
                <w:rFonts w:hint="default"/>
                <w:color w:val="auto"/>
                <w:lang w:val="en-US" w:eastAsia="zh-CN"/>
              </w:rPr>
            </w:pPr>
            <w:r>
              <w:rPr>
                <w:rFonts w:hint="default"/>
                <w:color w:val="auto"/>
                <w:lang w:val="en-US" w:eastAsia="zh-CN"/>
              </w:rPr>
              <w:t>8.8</w:t>
            </w:r>
          </w:p>
        </w:tc>
        <w:tc>
          <w:tcPr>
            <w:tcW w:w="951" w:type="dxa"/>
            <w:vMerge w:val="continue"/>
            <w:vAlign w:val="center"/>
          </w:tcPr>
          <w:p w14:paraId="66BFF6B4">
            <w:pPr>
              <w:pStyle w:val="181"/>
              <w:rPr>
                <w:color w:val="auto"/>
              </w:rPr>
            </w:pPr>
          </w:p>
        </w:tc>
        <w:tc>
          <w:tcPr>
            <w:tcW w:w="999" w:type="dxa"/>
            <w:shd w:val="clear" w:color="auto" w:fill="auto"/>
            <w:vAlign w:val="center"/>
          </w:tcPr>
          <w:p w14:paraId="0E6D8920">
            <w:pPr>
              <w:pStyle w:val="181"/>
              <w:rPr>
                <w:color w:val="auto"/>
              </w:rPr>
            </w:pPr>
            <w:r>
              <w:rPr>
                <w:rFonts w:hint="eastAsia"/>
                <w:color w:val="auto"/>
              </w:rPr>
              <w:t>15</w:t>
            </w:r>
          </w:p>
        </w:tc>
        <w:tc>
          <w:tcPr>
            <w:tcW w:w="951" w:type="dxa"/>
            <w:shd w:val="clear" w:color="auto" w:fill="auto"/>
            <w:vAlign w:val="center"/>
          </w:tcPr>
          <w:p w14:paraId="24F7B801">
            <w:pPr>
              <w:pStyle w:val="181"/>
              <w:rPr>
                <w:color w:val="auto"/>
              </w:rPr>
            </w:pPr>
            <w:r>
              <w:rPr>
                <w:rFonts w:hint="eastAsia"/>
                <w:color w:val="auto"/>
              </w:rPr>
              <w:t>达标</w:t>
            </w:r>
          </w:p>
        </w:tc>
      </w:tr>
      <w:tr w14:paraId="5EC364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49" w:type="dxa"/>
            <w:vMerge w:val="continue"/>
            <w:vAlign w:val="center"/>
          </w:tcPr>
          <w:p w14:paraId="79BE3768">
            <w:pPr>
              <w:pStyle w:val="181"/>
              <w:rPr>
                <w:color w:val="auto"/>
              </w:rPr>
            </w:pPr>
          </w:p>
        </w:tc>
        <w:tc>
          <w:tcPr>
            <w:tcW w:w="794" w:type="dxa"/>
            <w:vMerge w:val="continue"/>
            <w:vAlign w:val="center"/>
          </w:tcPr>
          <w:p w14:paraId="22C79222">
            <w:pPr>
              <w:pStyle w:val="181"/>
              <w:rPr>
                <w:color w:val="auto"/>
              </w:rPr>
            </w:pPr>
          </w:p>
        </w:tc>
        <w:tc>
          <w:tcPr>
            <w:tcW w:w="846" w:type="dxa"/>
            <w:vMerge w:val="continue"/>
            <w:vAlign w:val="center"/>
          </w:tcPr>
          <w:p w14:paraId="5D068025">
            <w:pPr>
              <w:pStyle w:val="181"/>
              <w:rPr>
                <w:color w:val="auto"/>
              </w:rPr>
            </w:pPr>
          </w:p>
        </w:tc>
        <w:tc>
          <w:tcPr>
            <w:tcW w:w="2169" w:type="dxa"/>
            <w:shd w:val="clear" w:color="auto" w:fill="auto"/>
            <w:vAlign w:val="center"/>
          </w:tcPr>
          <w:p w14:paraId="53973154">
            <w:pPr>
              <w:pStyle w:val="181"/>
              <w:rPr>
                <w:color w:val="auto"/>
              </w:rPr>
            </w:pPr>
            <w:r>
              <w:rPr>
                <w:rFonts w:hint="eastAsia"/>
                <w:color w:val="auto"/>
              </w:rPr>
              <w:t>硫化物</w:t>
            </w:r>
          </w:p>
        </w:tc>
        <w:tc>
          <w:tcPr>
            <w:tcW w:w="1044" w:type="dxa"/>
            <w:shd w:val="clear" w:color="auto" w:fill="auto"/>
            <w:vAlign w:val="center"/>
          </w:tcPr>
          <w:p w14:paraId="7BDF6729">
            <w:pPr>
              <w:pStyle w:val="178"/>
              <w:bidi w:val="0"/>
              <w:ind w:firstLine="0" w:firstLineChars="0"/>
              <w:rPr>
                <w:rFonts w:hint="default"/>
                <w:color w:val="auto"/>
                <w:lang w:val="en-US" w:eastAsia="zh-CN"/>
              </w:rPr>
            </w:pPr>
            <w:r>
              <w:rPr>
                <w:rFonts w:hint="default"/>
                <w:color w:val="auto"/>
                <w:lang w:val="en-US" w:eastAsia="zh-CN"/>
              </w:rPr>
              <w:t>30</w:t>
            </w:r>
          </w:p>
        </w:tc>
        <w:tc>
          <w:tcPr>
            <w:tcW w:w="1043" w:type="dxa"/>
            <w:shd w:val="clear" w:color="auto" w:fill="auto"/>
            <w:vAlign w:val="center"/>
          </w:tcPr>
          <w:p w14:paraId="6C557EAA">
            <w:pPr>
              <w:pStyle w:val="178"/>
              <w:bidi w:val="0"/>
              <w:ind w:firstLine="0" w:firstLineChars="0"/>
              <w:rPr>
                <w:rFonts w:hint="default"/>
                <w:color w:val="auto"/>
                <w:lang w:val="en-US" w:eastAsia="zh-CN"/>
              </w:rPr>
            </w:pPr>
            <w:r>
              <w:rPr>
                <w:rFonts w:hint="default"/>
                <w:color w:val="auto"/>
                <w:lang w:val="en-US" w:eastAsia="zh-CN"/>
              </w:rPr>
              <w:t>17.6</w:t>
            </w:r>
          </w:p>
        </w:tc>
        <w:tc>
          <w:tcPr>
            <w:tcW w:w="1241" w:type="dxa"/>
            <w:vMerge w:val="continue"/>
            <w:vAlign w:val="center"/>
          </w:tcPr>
          <w:p w14:paraId="762CBCEF">
            <w:pPr>
              <w:pStyle w:val="181"/>
              <w:rPr>
                <w:color w:val="auto"/>
              </w:rPr>
            </w:pPr>
          </w:p>
        </w:tc>
        <w:tc>
          <w:tcPr>
            <w:tcW w:w="1028" w:type="dxa"/>
            <w:shd w:val="clear" w:color="auto" w:fill="auto"/>
            <w:vAlign w:val="center"/>
          </w:tcPr>
          <w:p w14:paraId="62C97E36">
            <w:pPr>
              <w:pStyle w:val="181"/>
              <w:rPr>
                <w:color w:val="auto"/>
              </w:rPr>
            </w:pPr>
            <w:r>
              <w:rPr>
                <w:rFonts w:hint="eastAsia"/>
                <w:color w:val="auto"/>
              </w:rPr>
              <w:t>/</w:t>
            </w:r>
          </w:p>
        </w:tc>
        <w:tc>
          <w:tcPr>
            <w:tcW w:w="1000" w:type="dxa"/>
            <w:shd w:val="clear" w:color="auto" w:fill="auto"/>
            <w:vAlign w:val="center"/>
          </w:tcPr>
          <w:p w14:paraId="761C066B">
            <w:pPr>
              <w:pStyle w:val="178"/>
              <w:bidi w:val="0"/>
              <w:ind w:firstLine="0" w:firstLineChars="0"/>
              <w:rPr>
                <w:rFonts w:hint="default"/>
                <w:color w:val="auto"/>
                <w:lang w:val="en-US" w:eastAsia="zh-CN"/>
              </w:rPr>
            </w:pPr>
            <w:r>
              <w:rPr>
                <w:rFonts w:hint="default"/>
                <w:color w:val="auto"/>
                <w:lang w:val="en-US" w:eastAsia="zh-CN"/>
              </w:rPr>
              <w:t>1</w:t>
            </w:r>
          </w:p>
        </w:tc>
        <w:tc>
          <w:tcPr>
            <w:tcW w:w="1025" w:type="dxa"/>
            <w:shd w:val="clear" w:color="auto" w:fill="auto"/>
            <w:vAlign w:val="center"/>
          </w:tcPr>
          <w:p w14:paraId="1FC5A3E7">
            <w:pPr>
              <w:pStyle w:val="178"/>
              <w:bidi w:val="0"/>
              <w:ind w:firstLine="0" w:firstLineChars="0"/>
              <w:rPr>
                <w:rFonts w:hint="default"/>
                <w:color w:val="auto"/>
                <w:lang w:val="en-US" w:eastAsia="zh-CN"/>
              </w:rPr>
            </w:pPr>
            <w:r>
              <w:rPr>
                <w:rFonts w:hint="default"/>
                <w:color w:val="auto"/>
                <w:lang w:val="en-US" w:eastAsia="zh-CN"/>
              </w:rPr>
              <w:t>0.59</w:t>
            </w:r>
          </w:p>
        </w:tc>
        <w:tc>
          <w:tcPr>
            <w:tcW w:w="951" w:type="dxa"/>
            <w:vMerge w:val="continue"/>
            <w:vAlign w:val="center"/>
          </w:tcPr>
          <w:p w14:paraId="122B0194">
            <w:pPr>
              <w:pStyle w:val="181"/>
              <w:rPr>
                <w:color w:val="auto"/>
              </w:rPr>
            </w:pPr>
          </w:p>
        </w:tc>
        <w:tc>
          <w:tcPr>
            <w:tcW w:w="999" w:type="dxa"/>
            <w:shd w:val="clear" w:color="auto" w:fill="auto"/>
            <w:vAlign w:val="center"/>
          </w:tcPr>
          <w:p w14:paraId="302FBAA8">
            <w:pPr>
              <w:pStyle w:val="181"/>
              <w:rPr>
                <w:color w:val="auto"/>
              </w:rPr>
            </w:pPr>
            <w:r>
              <w:rPr>
                <w:rFonts w:hint="eastAsia"/>
                <w:color w:val="auto"/>
              </w:rPr>
              <w:t>1</w:t>
            </w:r>
          </w:p>
        </w:tc>
        <w:tc>
          <w:tcPr>
            <w:tcW w:w="951" w:type="dxa"/>
            <w:shd w:val="clear" w:color="auto" w:fill="auto"/>
            <w:vAlign w:val="center"/>
          </w:tcPr>
          <w:p w14:paraId="731E919D">
            <w:pPr>
              <w:pStyle w:val="181"/>
              <w:rPr>
                <w:color w:val="auto"/>
              </w:rPr>
            </w:pPr>
            <w:r>
              <w:rPr>
                <w:rFonts w:hint="eastAsia"/>
                <w:color w:val="auto"/>
              </w:rPr>
              <w:t>达标</w:t>
            </w:r>
          </w:p>
        </w:tc>
      </w:tr>
      <w:tr w14:paraId="392EE5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49" w:type="dxa"/>
            <w:vMerge w:val="continue"/>
            <w:vAlign w:val="center"/>
          </w:tcPr>
          <w:p w14:paraId="03123C59">
            <w:pPr>
              <w:pStyle w:val="181"/>
              <w:rPr>
                <w:color w:val="auto"/>
              </w:rPr>
            </w:pPr>
          </w:p>
        </w:tc>
        <w:tc>
          <w:tcPr>
            <w:tcW w:w="794" w:type="dxa"/>
            <w:vMerge w:val="continue"/>
            <w:vAlign w:val="center"/>
          </w:tcPr>
          <w:p w14:paraId="7F445DA0">
            <w:pPr>
              <w:pStyle w:val="181"/>
              <w:rPr>
                <w:color w:val="auto"/>
              </w:rPr>
            </w:pPr>
          </w:p>
        </w:tc>
        <w:tc>
          <w:tcPr>
            <w:tcW w:w="846" w:type="dxa"/>
            <w:vMerge w:val="continue"/>
            <w:vAlign w:val="center"/>
          </w:tcPr>
          <w:p w14:paraId="1B6D7AF8">
            <w:pPr>
              <w:pStyle w:val="181"/>
              <w:rPr>
                <w:color w:val="auto"/>
              </w:rPr>
            </w:pPr>
          </w:p>
        </w:tc>
        <w:tc>
          <w:tcPr>
            <w:tcW w:w="2169" w:type="dxa"/>
            <w:shd w:val="clear" w:color="auto" w:fill="auto"/>
            <w:vAlign w:val="center"/>
          </w:tcPr>
          <w:p w14:paraId="63957ED9">
            <w:pPr>
              <w:pStyle w:val="181"/>
              <w:rPr>
                <w:color w:val="auto"/>
              </w:rPr>
            </w:pPr>
            <w:r>
              <w:rPr>
                <w:rFonts w:hint="eastAsia"/>
                <w:color w:val="auto"/>
              </w:rPr>
              <w:t>氟化物</w:t>
            </w:r>
          </w:p>
        </w:tc>
        <w:tc>
          <w:tcPr>
            <w:tcW w:w="1044" w:type="dxa"/>
            <w:shd w:val="clear" w:color="auto" w:fill="auto"/>
            <w:vAlign w:val="center"/>
          </w:tcPr>
          <w:p w14:paraId="06B929EE">
            <w:pPr>
              <w:pStyle w:val="178"/>
              <w:bidi w:val="0"/>
              <w:ind w:firstLine="0" w:firstLineChars="0"/>
              <w:rPr>
                <w:rFonts w:hint="default"/>
                <w:color w:val="auto"/>
                <w:lang w:val="en-US" w:eastAsia="zh-CN"/>
              </w:rPr>
            </w:pPr>
            <w:r>
              <w:rPr>
                <w:rFonts w:hint="default"/>
                <w:color w:val="auto"/>
                <w:lang w:val="en-US" w:eastAsia="zh-CN"/>
              </w:rPr>
              <w:t>20000</w:t>
            </w:r>
          </w:p>
        </w:tc>
        <w:tc>
          <w:tcPr>
            <w:tcW w:w="1043" w:type="dxa"/>
            <w:shd w:val="clear" w:color="auto" w:fill="auto"/>
            <w:vAlign w:val="center"/>
          </w:tcPr>
          <w:p w14:paraId="1E6C6320">
            <w:pPr>
              <w:pStyle w:val="178"/>
              <w:bidi w:val="0"/>
              <w:ind w:firstLine="0" w:firstLineChars="0"/>
              <w:rPr>
                <w:rFonts w:hint="default"/>
                <w:color w:val="auto"/>
                <w:lang w:val="en-US" w:eastAsia="zh-CN"/>
              </w:rPr>
            </w:pPr>
            <w:r>
              <w:rPr>
                <w:rFonts w:hint="default"/>
                <w:color w:val="auto"/>
                <w:lang w:val="en-US" w:eastAsia="zh-CN"/>
              </w:rPr>
              <w:t>11736</w:t>
            </w:r>
          </w:p>
        </w:tc>
        <w:tc>
          <w:tcPr>
            <w:tcW w:w="1241" w:type="dxa"/>
            <w:vMerge w:val="continue"/>
            <w:vAlign w:val="center"/>
          </w:tcPr>
          <w:p w14:paraId="386CD7BC">
            <w:pPr>
              <w:pStyle w:val="181"/>
              <w:rPr>
                <w:color w:val="auto"/>
              </w:rPr>
            </w:pPr>
          </w:p>
        </w:tc>
        <w:tc>
          <w:tcPr>
            <w:tcW w:w="1028" w:type="dxa"/>
            <w:shd w:val="clear" w:color="auto" w:fill="auto"/>
            <w:vAlign w:val="center"/>
          </w:tcPr>
          <w:p w14:paraId="6D168388">
            <w:pPr>
              <w:pStyle w:val="181"/>
              <w:rPr>
                <w:color w:val="auto"/>
              </w:rPr>
            </w:pPr>
            <w:r>
              <w:rPr>
                <w:rFonts w:hint="eastAsia"/>
                <w:color w:val="auto"/>
              </w:rPr>
              <w:t>/</w:t>
            </w:r>
          </w:p>
        </w:tc>
        <w:tc>
          <w:tcPr>
            <w:tcW w:w="1000" w:type="dxa"/>
            <w:shd w:val="clear" w:color="auto" w:fill="auto"/>
            <w:vAlign w:val="center"/>
          </w:tcPr>
          <w:p w14:paraId="0A2B4E5E">
            <w:pPr>
              <w:pStyle w:val="178"/>
              <w:bidi w:val="0"/>
              <w:ind w:firstLine="0" w:firstLineChars="0"/>
              <w:rPr>
                <w:rFonts w:hint="default"/>
                <w:color w:val="auto"/>
                <w:lang w:val="en-US" w:eastAsia="zh-CN"/>
              </w:rPr>
            </w:pPr>
            <w:r>
              <w:rPr>
                <w:rFonts w:hint="default"/>
                <w:color w:val="auto"/>
                <w:lang w:val="en-US" w:eastAsia="zh-CN"/>
              </w:rPr>
              <w:t>20</w:t>
            </w:r>
          </w:p>
        </w:tc>
        <w:tc>
          <w:tcPr>
            <w:tcW w:w="1025" w:type="dxa"/>
            <w:shd w:val="clear" w:color="auto" w:fill="auto"/>
            <w:vAlign w:val="center"/>
          </w:tcPr>
          <w:p w14:paraId="4944CE80">
            <w:pPr>
              <w:pStyle w:val="178"/>
              <w:bidi w:val="0"/>
              <w:ind w:firstLine="0" w:firstLineChars="0"/>
              <w:rPr>
                <w:rFonts w:hint="default"/>
                <w:color w:val="auto"/>
                <w:lang w:val="en-US" w:eastAsia="zh-CN"/>
              </w:rPr>
            </w:pPr>
            <w:r>
              <w:rPr>
                <w:rFonts w:hint="default"/>
                <w:color w:val="auto"/>
                <w:lang w:val="en-US" w:eastAsia="zh-CN"/>
              </w:rPr>
              <w:t>11.74</w:t>
            </w:r>
          </w:p>
        </w:tc>
        <w:tc>
          <w:tcPr>
            <w:tcW w:w="951" w:type="dxa"/>
            <w:vMerge w:val="continue"/>
            <w:vAlign w:val="center"/>
          </w:tcPr>
          <w:p w14:paraId="634B2C10">
            <w:pPr>
              <w:pStyle w:val="181"/>
              <w:rPr>
                <w:color w:val="auto"/>
              </w:rPr>
            </w:pPr>
          </w:p>
        </w:tc>
        <w:tc>
          <w:tcPr>
            <w:tcW w:w="999" w:type="dxa"/>
            <w:shd w:val="clear" w:color="auto" w:fill="auto"/>
            <w:vAlign w:val="center"/>
          </w:tcPr>
          <w:p w14:paraId="349B743C">
            <w:pPr>
              <w:pStyle w:val="181"/>
              <w:rPr>
                <w:color w:val="auto"/>
              </w:rPr>
            </w:pPr>
            <w:r>
              <w:rPr>
                <w:rFonts w:hint="eastAsia"/>
                <w:color w:val="auto"/>
              </w:rPr>
              <w:t>20</w:t>
            </w:r>
          </w:p>
        </w:tc>
        <w:tc>
          <w:tcPr>
            <w:tcW w:w="951" w:type="dxa"/>
            <w:shd w:val="clear" w:color="auto" w:fill="auto"/>
            <w:vAlign w:val="center"/>
          </w:tcPr>
          <w:p w14:paraId="72390277">
            <w:pPr>
              <w:pStyle w:val="181"/>
              <w:rPr>
                <w:color w:val="auto"/>
              </w:rPr>
            </w:pPr>
            <w:r>
              <w:rPr>
                <w:rFonts w:hint="eastAsia"/>
                <w:color w:val="auto"/>
              </w:rPr>
              <w:t>达标</w:t>
            </w:r>
          </w:p>
        </w:tc>
      </w:tr>
      <w:tr w14:paraId="1769C7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49" w:type="dxa"/>
            <w:vMerge w:val="continue"/>
            <w:vAlign w:val="center"/>
          </w:tcPr>
          <w:p w14:paraId="4E5DF342">
            <w:pPr>
              <w:pStyle w:val="181"/>
              <w:rPr>
                <w:color w:val="auto"/>
              </w:rPr>
            </w:pPr>
          </w:p>
        </w:tc>
        <w:tc>
          <w:tcPr>
            <w:tcW w:w="794" w:type="dxa"/>
            <w:vMerge w:val="continue"/>
            <w:vAlign w:val="center"/>
          </w:tcPr>
          <w:p w14:paraId="30B87633">
            <w:pPr>
              <w:pStyle w:val="181"/>
              <w:rPr>
                <w:color w:val="auto"/>
              </w:rPr>
            </w:pPr>
          </w:p>
        </w:tc>
        <w:tc>
          <w:tcPr>
            <w:tcW w:w="846" w:type="dxa"/>
            <w:vMerge w:val="continue"/>
            <w:vAlign w:val="center"/>
          </w:tcPr>
          <w:p w14:paraId="000A7F6C">
            <w:pPr>
              <w:pStyle w:val="181"/>
              <w:rPr>
                <w:color w:val="auto"/>
              </w:rPr>
            </w:pPr>
          </w:p>
        </w:tc>
        <w:tc>
          <w:tcPr>
            <w:tcW w:w="2169" w:type="dxa"/>
            <w:shd w:val="clear" w:color="auto" w:fill="auto"/>
            <w:vAlign w:val="center"/>
          </w:tcPr>
          <w:p w14:paraId="7EC32171">
            <w:pPr>
              <w:pStyle w:val="181"/>
              <w:rPr>
                <w:color w:val="auto"/>
              </w:rPr>
            </w:pPr>
            <w:r>
              <w:rPr>
                <w:rFonts w:hint="eastAsia"/>
                <w:color w:val="auto"/>
              </w:rPr>
              <w:t>氯化物（以Cl计）</w:t>
            </w:r>
          </w:p>
        </w:tc>
        <w:tc>
          <w:tcPr>
            <w:tcW w:w="1044" w:type="dxa"/>
            <w:shd w:val="clear" w:color="auto" w:fill="auto"/>
            <w:vAlign w:val="center"/>
          </w:tcPr>
          <w:p w14:paraId="14073FBC">
            <w:pPr>
              <w:pStyle w:val="178"/>
              <w:bidi w:val="0"/>
              <w:ind w:firstLine="0" w:firstLineChars="0"/>
              <w:rPr>
                <w:rFonts w:hint="default"/>
                <w:color w:val="auto"/>
                <w:lang w:val="en-US" w:eastAsia="zh-CN"/>
              </w:rPr>
            </w:pPr>
            <w:r>
              <w:rPr>
                <w:rFonts w:hint="default"/>
                <w:color w:val="auto"/>
                <w:lang w:val="en-US" w:eastAsia="zh-CN"/>
              </w:rPr>
              <w:t>35000</w:t>
            </w:r>
          </w:p>
        </w:tc>
        <w:tc>
          <w:tcPr>
            <w:tcW w:w="1043" w:type="dxa"/>
            <w:shd w:val="clear" w:color="auto" w:fill="auto"/>
            <w:vAlign w:val="center"/>
          </w:tcPr>
          <w:p w14:paraId="22C22B41">
            <w:pPr>
              <w:pStyle w:val="178"/>
              <w:bidi w:val="0"/>
              <w:ind w:firstLine="0" w:firstLineChars="0"/>
              <w:rPr>
                <w:rFonts w:hint="default"/>
                <w:color w:val="auto"/>
                <w:lang w:val="en-US" w:eastAsia="zh-CN"/>
              </w:rPr>
            </w:pPr>
            <w:r>
              <w:rPr>
                <w:rFonts w:hint="default"/>
                <w:color w:val="auto"/>
                <w:lang w:val="en-US" w:eastAsia="zh-CN"/>
              </w:rPr>
              <w:t>20538</w:t>
            </w:r>
          </w:p>
        </w:tc>
        <w:tc>
          <w:tcPr>
            <w:tcW w:w="1241" w:type="dxa"/>
            <w:vMerge w:val="continue"/>
            <w:vAlign w:val="center"/>
          </w:tcPr>
          <w:p w14:paraId="60FF4580">
            <w:pPr>
              <w:pStyle w:val="181"/>
              <w:rPr>
                <w:color w:val="auto"/>
              </w:rPr>
            </w:pPr>
          </w:p>
        </w:tc>
        <w:tc>
          <w:tcPr>
            <w:tcW w:w="1028" w:type="dxa"/>
            <w:shd w:val="clear" w:color="auto" w:fill="auto"/>
            <w:vAlign w:val="center"/>
          </w:tcPr>
          <w:p w14:paraId="6AC69BC7">
            <w:pPr>
              <w:pStyle w:val="181"/>
              <w:rPr>
                <w:color w:val="auto"/>
              </w:rPr>
            </w:pPr>
            <w:r>
              <w:rPr>
                <w:rFonts w:hint="eastAsia"/>
                <w:color w:val="auto"/>
              </w:rPr>
              <w:t>/</w:t>
            </w:r>
          </w:p>
        </w:tc>
        <w:tc>
          <w:tcPr>
            <w:tcW w:w="1000" w:type="dxa"/>
            <w:shd w:val="clear" w:color="auto" w:fill="auto"/>
            <w:vAlign w:val="center"/>
          </w:tcPr>
          <w:p w14:paraId="584297A7">
            <w:pPr>
              <w:pStyle w:val="178"/>
              <w:bidi w:val="0"/>
              <w:ind w:firstLine="0" w:firstLineChars="0"/>
              <w:rPr>
                <w:rFonts w:hint="default"/>
                <w:color w:val="auto"/>
                <w:lang w:val="en-US" w:eastAsia="zh-CN"/>
              </w:rPr>
            </w:pPr>
            <w:r>
              <w:rPr>
                <w:rFonts w:hint="default"/>
                <w:color w:val="auto"/>
                <w:lang w:val="en-US" w:eastAsia="zh-CN"/>
              </w:rPr>
              <w:t>3000</w:t>
            </w:r>
          </w:p>
        </w:tc>
        <w:tc>
          <w:tcPr>
            <w:tcW w:w="1025" w:type="dxa"/>
            <w:shd w:val="clear" w:color="auto" w:fill="auto"/>
            <w:vAlign w:val="center"/>
          </w:tcPr>
          <w:p w14:paraId="562CC105">
            <w:pPr>
              <w:pStyle w:val="178"/>
              <w:bidi w:val="0"/>
              <w:ind w:firstLine="0" w:firstLineChars="0"/>
              <w:rPr>
                <w:rFonts w:hint="default"/>
                <w:color w:val="auto"/>
                <w:lang w:val="en-US" w:eastAsia="zh-CN"/>
              </w:rPr>
            </w:pPr>
            <w:r>
              <w:rPr>
                <w:rFonts w:hint="default"/>
                <w:color w:val="auto"/>
                <w:lang w:val="en-US" w:eastAsia="zh-CN"/>
              </w:rPr>
              <w:t>1760.4</w:t>
            </w:r>
          </w:p>
        </w:tc>
        <w:tc>
          <w:tcPr>
            <w:tcW w:w="951" w:type="dxa"/>
            <w:vMerge w:val="continue"/>
            <w:vAlign w:val="center"/>
          </w:tcPr>
          <w:p w14:paraId="55FD8FB2">
            <w:pPr>
              <w:pStyle w:val="181"/>
              <w:rPr>
                <w:color w:val="auto"/>
              </w:rPr>
            </w:pPr>
          </w:p>
        </w:tc>
        <w:tc>
          <w:tcPr>
            <w:tcW w:w="999" w:type="dxa"/>
            <w:shd w:val="clear" w:color="auto" w:fill="auto"/>
            <w:vAlign w:val="center"/>
          </w:tcPr>
          <w:p w14:paraId="69E74CB0">
            <w:pPr>
              <w:widowControl/>
              <w:adjustRightInd/>
              <w:snapToGrid/>
              <w:spacing w:line="240" w:lineRule="auto"/>
              <w:ind w:firstLine="0" w:firstLineChars="0"/>
              <w:jc w:val="center"/>
              <w:rPr>
                <w:color w:val="auto"/>
              </w:rPr>
            </w:pPr>
            <w:r>
              <w:rPr>
                <w:rFonts w:hint="eastAsia"/>
                <w:color w:val="auto"/>
                <w:kern w:val="0"/>
                <w:sz w:val="21"/>
                <w:szCs w:val="21"/>
              </w:rPr>
              <w:t>3000</w:t>
            </w:r>
          </w:p>
        </w:tc>
        <w:tc>
          <w:tcPr>
            <w:tcW w:w="951" w:type="dxa"/>
            <w:shd w:val="clear" w:color="auto" w:fill="auto"/>
            <w:vAlign w:val="center"/>
          </w:tcPr>
          <w:p w14:paraId="79910722">
            <w:pPr>
              <w:pStyle w:val="181"/>
              <w:rPr>
                <w:color w:val="auto"/>
              </w:rPr>
            </w:pPr>
            <w:r>
              <w:rPr>
                <w:rFonts w:hint="eastAsia"/>
                <w:color w:val="auto"/>
              </w:rPr>
              <w:t>达标</w:t>
            </w:r>
          </w:p>
        </w:tc>
      </w:tr>
      <w:tr w14:paraId="6B8BC6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49" w:type="dxa"/>
            <w:vMerge w:val="continue"/>
            <w:vAlign w:val="center"/>
          </w:tcPr>
          <w:p w14:paraId="295FE601">
            <w:pPr>
              <w:pStyle w:val="181"/>
              <w:rPr>
                <w:color w:val="auto"/>
              </w:rPr>
            </w:pPr>
          </w:p>
        </w:tc>
        <w:tc>
          <w:tcPr>
            <w:tcW w:w="794" w:type="dxa"/>
            <w:vMerge w:val="continue"/>
            <w:vAlign w:val="center"/>
          </w:tcPr>
          <w:p w14:paraId="15C25856">
            <w:pPr>
              <w:pStyle w:val="181"/>
              <w:rPr>
                <w:color w:val="auto"/>
              </w:rPr>
            </w:pPr>
          </w:p>
        </w:tc>
        <w:tc>
          <w:tcPr>
            <w:tcW w:w="846" w:type="dxa"/>
            <w:vMerge w:val="continue"/>
            <w:vAlign w:val="center"/>
          </w:tcPr>
          <w:p w14:paraId="52258CF5">
            <w:pPr>
              <w:pStyle w:val="181"/>
              <w:rPr>
                <w:color w:val="auto"/>
              </w:rPr>
            </w:pPr>
          </w:p>
        </w:tc>
        <w:tc>
          <w:tcPr>
            <w:tcW w:w="2169" w:type="dxa"/>
            <w:shd w:val="clear" w:color="auto" w:fill="auto"/>
            <w:vAlign w:val="center"/>
          </w:tcPr>
          <w:p w14:paraId="7954D5E5">
            <w:pPr>
              <w:pStyle w:val="181"/>
              <w:rPr>
                <w:color w:val="auto"/>
              </w:rPr>
            </w:pPr>
            <w:r>
              <w:rPr>
                <w:rFonts w:hint="eastAsia"/>
                <w:color w:val="auto"/>
              </w:rPr>
              <w:t>溶解性总固体</w:t>
            </w:r>
          </w:p>
        </w:tc>
        <w:tc>
          <w:tcPr>
            <w:tcW w:w="1044" w:type="dxa"/>
            <w:shd w:val="clear" w:color="auto" w:fill="auto"/>
            <w:vAlign w:val="center"/>
          </w:tcPr>
          <w:p w14:paraId="7C6ABB66">
            <w:pPr>
              <w:pStyle w:val="178"/>
              <w:bidi w:val="0"/>
              <w:ind w:firstLine="0" w:firstLineChars="0"/>
              <w:rPr>
                <w:rFonts w:hint="default"/>
                <w:color w:val="auto"/>
                <w:lang w:val="en-US" w:eastAsia="zh-CN"/>
              </w:rPr>
            </w:pPr>
            <w:r>
              <w:rPr>
                <w:rFonts w:hint="default"/>
                <w:color w:val="auto"/>
                <w:lang w:val="en-US" w:eastAsia="zh-CN"/>
              </w:rPr>
              <w:t>30</w:t>
            </w:r>
          </w:p>
        </w:tc>
        <w:tc>
          <w:tcPr>
            <w:tcW w:w="1043" w:type="dxa"/>
            <w:shd w:val="clear" w:color="auto" w:fill="auto"/>
            <w:vAlign w:val="center"/>
          </w:tcPr>
          <w:p w14:paraId="64BE578F">
            <w:pPr>
              <w:pStyle w:val="178"/>
              <w:bidi w:val="0"/>
              <w:ind w:firstLine="0" w:firstLineChars="0"/>
              <w:rPr>
                <w:rFonts w:hint="default"/>
                <w:color w:val="auto"/>
                <w:lang w:val="en-US" w:eastAsia="zh-CN"/>
              </w:rPr>
            </w:pPr>
            <w:r>
              <w:rPr>
                <w:rFonts w:hint="default"/>
                <w:color w:val="auto"/>
                <w:lang w:val="en-US" w:eastAsia="zh-CN"/>
              </w:rPr>
              <w:t>17.6</w:t>
            </w:r>
          </w:p>
        </w:tc>
        <w:tc>
          <w:tcPr>
            <w:tcW w:w="1241" w:type="dxa"/>
            <w:vMerge w:val="continue"/>
            <w:vAlign w:val="center"/>
          </w:tcPr>
          <w:p w14:paraId="5A125D68">
            <w:pPr>
              <w:pStyle w:val="181"/>
              <w:rPr>
                <w:color w:val="auto"/>
              </w:rPr>
            </w:pPr>
          </w:p>
        </w:tc>
        <w:tc>
          <w:tcPr>
            <w:tcW w:w="1028" w:type="dxa"/>
            <w:shd w:val="clear" w:color="auto" w:fill="auto"/>
            <w:vAlign w:val="center"/>
          </w:tcPr>
          <w:p w14:paraId="2C3F868C">
            <w:pPr>
              <w:pStyle w:val="181"/>
              <w:rPr>
                <w:color w:val="auto"/>
              </w:rPr>
            </w:pPr>
            <w:r>
              <w:rPr>
                <w:rFonts w:hint="eastAsia"/>
                <w:color w:val="auto"/>
              </w:rPr>
              <w:t>/</w:t>
            </w:r>
          </w:p>
        </w:tc>
        <w:tc>
          <w:tcPr>
            <w:tcW w:w="1000" w:type="dxa"/>
            <w:shd w:val="clear" w:color="auto" w:fill="auto"/>
            <w:vAlign w:val="center"/>
          </w:tcPr>
          <w:p w14:paraId="44B1F6D8">
            <w:pPr>
              <w:pStyle w:val="178"/>
              <w:bidi w:val="0"/>
              <w:ind w:firstLine="0" w:firstLineChars="0"/>
              <w:rPr>
                <w:rFonts w:hint="default"/>
                <w:color w:val="auto"/>
                <w:lang w:val="en-US" w:eastAsia="zh-CN"/>
              </w:rPr>
            </w:pPr>
            <w:r>
              <w:rPr>
                <w:rFonts w:hint="default"/>
                <w:color w:val="auto"/>
                <w:lang w:val="en-US" w:eastAsia="zh-CN"/>
              </w:rPr>
              <w:t>4000</w:t>
            </w:r>
          </w:p>
        </w:tc>
        <w:tc>
          <w:tcPr>
            <w:tcW w:w="1025" w:type="dxa"/>
            <w:shd w:val="clear" w:color="auto" w:fill="auto"/>
            <w:vAlign w:val="center"/>
          </w:tcPr>
          <w:p w14:paraId="0C7FB568">
            <w:pPr>
              <w:pStyle w:val="178"/>
              <w:bidi w:val="0"/>
              <w:ind w:firstLine="0" w:firstLineChars="0"/>
              <w:rPr>
                <w:rFonts w:hint="default"/>
                <w:color w:val="auto"/>
                <w:lang w:val="en-US" w:eastAsia="zh-CN"/>
              </w:rPr>
            </w:pPr>
            <w:r>
              <w:rPr>
                <w:rFonts w:hint="default"/>
                <w:color w:val="auto"/>
                <w:lang w:val="en-US" w:eastAsia="zh-CN"/>
              </w:rPr>
              <w:t>2347.2</w:t>
            </w:r>
          </w:p>
        </w:tc>
        <w:tc>
          <w:tcPr>
            <w:tcW w:w="951" w:type="dxa"/>
            <w:vMerge w:val="continue"/>
            <w:vAlign w:val="center"/>
          </w:tcPr>
          <w:p w14:paraId="0F7028EF">
            <w:pPr>
              <w:pStyle w:val="181"/>
              <w:rPr>
                <w:color w:val="auto"/>
              </w:rPr>
            </w:pPr>
          </w:p>
        </w:tc>
        <w:tc>
          <w:tcPr>
            <w:tcW w:w="999" w:type="dxa"/>
            <w:shd w:val="clear" w:color="auto" w:fill="auto"/>
            <w:vAlign w:val="center"/>
          </w:tcPr>
          <w:p w14:paraId="7FB9239A">
            <w:pPr>
              <w:widowControl/>
              <w:adjustRightInd/>
              <w:snapToGrid/>
              <w:spacing w:line="240" w:lineRule="auto"/>
              <w:ind w:firstLine="0" w:firstLineChars="0"/>
              <w:jc w:val="center"/>
              <w:rPr>
                <w:color w:val="auto"/>
              </w:rPr>
            </w:pPr>
            <w:r>
              <w:rPr>
                <w:rFonts w:hint="eastAsia"/>
                <w:color w:val="auto"/>
                <w:kern w:val="0"/>
                <w:sz w:val="21"/>
                <w:szCs w:val="21"/>
              </w:rPr>
              <w:t>4000</w:t>
            </w:r>
          </w:p>
        </w:tc>
        <w:tc>
          <w:tcPr>
            <w:tcW w:w="951" w:type="dxa"/>
            <w:shd w:val="clear" w:color="auto" w:fill="auto"/>
            <w:vAlign w:val="center"/>
          </w:tcPr>
          <w:p w14:paraId="15D5730A">
            <w:pPr>
              <w:pStyle w:val="181"/>
              <w:rPr>
                <w:color w:val="auto"/>
              </w:rPr>
            </w:pPr>
            <w:r>
              <w:rPr>
                <w:rFonts w:hint="eastAsia"/>
                <w:color w:val="auto"/>
              </w:rPr>
              <w:t>达标</w:t>
            </w:r>
          </w:p>
        </w:tc>
      </w:tr>
      <w:tr w14:paraId="70A39E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49" w:type="dxa"/>
            <w:vMerge w:val="continue"/>
            <w:vAlign w:val="center"/>
          </w:tcPr>
          <w:p w14:paraId="01D35EF7">
            <w:pPr>
              <w:pStyle w:val="181"/>
              <w:rPr>
                <w:color w:val="auto"/>
              </w:rPr>
            </w:pPr>
          </w:p>
        </w:tc>
        <w:tc>
          <w:tcPr>
            <w:tcW w:w="794" w:type="dxa"/>
            <w:vMerge w:val="continue"/>
            <w:vAlign w:val="center"/>
          </w:tcPr>
          <w:p w14:paraId="01101971">
            <w:pPr>
              <w:pStyle w:val="181"/>
              <w:rPr>
                <w:color w:val="auto"/>
              </w:rPr>
            </w:pPr>
          </w:p>
        </w:tc>
        <w:tc>
          <w:tcPr>
            <w:tcW w:w="846" w:type="dxa"/>
            <w:vMerge w:val="continue"/>
            <w:vAlign w:val="center"/>
          </w:tcPr>
          <w:p w14:paraId="2B03D3C1">
            <w:pPr>
              <w:pStyle w:val="181"/>
              <w:rPr>
                <w:color w:val="auto"/>
              </w:rPr>
            </w:pPr>
          </w:p>
        </w:tc>
        <w:tc>
          <w:tcPr>
            <w:tcW w:w="2169" w:type="dxa"/>
            <w:shd w:val="clear" w:color="auto" w:fill="auto"/>
            <w:vAlign w:val="center"/>
          </w:tcPr>
          <w:p w14:paraId="1E68FB03">
            <w:pPr>
              <w:pStyle w:val="181"/>
              <w:rPr>
                <w:color w:val="auto"/>
              </w:rPr>
            </w:pPr>
            <w:r>
              <w:rPr>
                <w:rFonts w:hint="eastAsia"/>
                <w:color w:val="auto"/>
              </w:rPr>
              <w:t>阴离子表面活性剂</w:t>
            </w:r>
          </w:p>
        </w:tc>
        <w:tc>
          <w:tcPr>
            <w:tcW w:w="1044" w:type="dxa"/>
            <w:shd w:val="clear" w:color="auto" w:fill="auto"/>
            <w:vAlign w:val="center"/>
          </w:tcPr>
          <w:p w14:paraId="7ACDA082">
            <w:pPr>
              <w:pStyle w:val="178"/>
              <w:bidi w:val="0"/>
              <w:ind w:firstLine="0" w:firstLineChars="0"/>
              <w:rPr>
                <w:rFonts w:hint="default"/>
                <w:color w:val="auto"/>
                <w:lang w:val="en-US" w:eastAsia="zh-CN"/>
              </w:rPr>
            </w:pPr>
            <w:r>
              <w:rPr>
                <w:rFonts w:hint="default"/>
                <w:color w:val="auto"/>
                <w:lang w:val="en-US" w:eastAsia="zh-CN"/>
              </w:rPr>
              <w:t>5</w:t>
            </w:r>
          </w:p>
        </w:tc>
        <w:tc>
          <w:tcPr>
            <w:tcW w:w="1043" w:type="dxa"/>
            <w:shd w:val="clear" w:color="auto" w:fill="auto"/>
            <w:vAlign w:val="center"/>
          </w:tcPr>
          <w:p w14:paraId="56DFC3D5">
            <w:pPr>
              <w:pStyle w:val="178"/>
              <w:bidi w:val="0"/>
              <w:ind w:firstLine="0" w:firstLineChars="0"/>
              <w:rPr>
                <w:rFonts w:hint="default"/>
                <w:color w:val="auto"/>
                <w:lang w:val="en-US" w:eastAsia="zh-CN"/>
              </w:rPr>
            </w:pPr>
            <w:r>
              <w:rPr>
                <w:rFonts w:hint="default"/>
                <w:color w:val="auto"/>
                <w:lang w:val="en-US" w:eastAsia="zh-CN"/>
              </w:rPr>
              <w:t>2.93</w:t>
            </w:r>
          </w:p>
        </w:tc>
        <w:tc>
          <w:tcPr>
            <w:tcW w:w="1241" w:type="dxa"/>
            <w:vMerge w:val="continue"/>
            <w:vAlign w:val="center"/>
          </w:tcPr>
          <w:p w14:paraId="07107976">
            <w:pPr>
              <w:pStyle w:val="181"/>
              <w:rPr>
                <w:color w:val="auto"/>
              </w:rPr>
            </w:pPr>
          </w:p>
        </w:tc>
        <w:tc>
          <w:tcPr>
            <w:tcW w:w="1028" w:type="dxa"/>
            <w:shd w:val="clear" w:color="auto" w:fill="auto"/>
            <w:vAlign w:val="center"/>
          </w:tcPr>
          <w:p w14:paraId="1A8CB367">
            <w:pPr>
              <w:pStyle w:val="181"/>
              <w:rPr>
                <w:color w:val="auto"/>
              </w:rPr>
            </w:pPr>
            <w:r>
              <w:rPr>
                <w:rFonts w:hint="eastAsia"/>
                <w:color w:val="auto"/>
              </w:rPr>
              <w:t>/</w:t>
            </w:r>
          </w:p>
        </w:tc>
        <w:tc>
          <w:tcPr>
            <w:tcW w:w="1000" w:type="dxa"/>
            <w:shd w:val="clear" w:color="auto" w:fill="auto"/>
            <w:vAlign w:val="center"/>
          </w:tcPr>
          <w:p w14:paraId="2FA313A8">
            <w:pPr>
              <w:pStyle w:val="178"/>
              <w:bidi w:val="0"/>
              <w:ind w:firstLine="0" w:firstLineChars="0"/>
              <w:rPr>
                <w:rFonts w:hint="default"/>
                <w:color w:val="auto"/>
                <w:lang w:val="en-US" w:eastAsia="zh-CN"/>
              </w:rPr>
            </w:pPr>
            <w:r>
              <w:rPr>
                <w:rFonts w:hint="default"/>
                <w:color w:val="auto"/>
                <w:lang w:val="en-US" w:eastAsia="zh-CN"/>
              </w:rPr>
              <w:t>20</w:t>
            </w:r>
          </w:p>
        </w:tc>
        <w:tc>
          <w:tcPr>
            <w:tcW w:w="1025" w:type="dxa"/>
            <w:shd w:val="clear" w:color="auto" w:fill="auto"/>
            <w:vAlign w:val="center"/>
          </w:tcPr>
          <w:p w14:paraId="234B233A">
            <w:pPr>
              <w:pStyle w:val="178"/>
              <w:bidi w:val="0"/>
              <w:ind w:firstLine="0" w:firstLineChars="0"/>
              <w:rPr>
                <w:rFonts w:hint="default"/>
                <w:color w:val="auto"/>
                <w:lang w:val="en-US" w:eastAsia="zh-CN"/>
              </w:rPr>
            </w:pPr>
            <w:r>
              <w:rPr>
                <w:rFonts w:hint="default"/>
                <w:color w:val="auto"/>
                <w:lang w:val="en-US" w:eastAsia="zh-CN"/>
              </w:rPr>
              <w:t>11.74</w:t>
            </w:r>
          </w:p>
        </w:tc>
        <w:tc>
          <w:tcPr>
            <w:tcW w:w="951" w:type="dxa"/>
            <w:vMerge w:val="continue"/>
            <w:vAlign w:val="center"/>
          </w:tcPr>
          <w:p w14:paraId="29D83A87">
            <w:pPr>
              <w:pStyle w:val="181"/>
              <w:rPr>
                <w:color w:val="auto"/>
              </w:rPr>
            </w:pPr>
          </w:p>
        </w:tc>
        <w:tc>
          <w:tcPr>
            <w:tcW w:w="999" w:type="dxa"/>
            <w:shd w:val="clear" w:color="auto" w:fill="auto"/>
            <w:vAlign w:val="center"/>
          </w:tcPr>
          <w:p w14:paraId="18A253AD">
            <w:pPr>
              <w:pStyle w:val="181"/>
              <w:rPr>
                <w:color w:val="auto"/>
              </w:rPr>
            </w:pPr>
            <w:r>
              <w:rPr>
                <w:rFonts w:hint="eastAsia"/>
                <w:color w:val="auto"/>
              </w:rPr>
              <w:t>20</w:t>
            </w:r>
          </w:p>
        </w:tc>
        <w:tc>
          <w:tcPr>
            <w:tcW w:w="951" w:type="dxa"/>
            <w:shd w:val="clear" w:color="auto" w:fill="auto"/>
            <w:vAlign w:val="center"/>
          </w:tcPr>
          <w:p w14:paraId="58A65B6A">
            <w:pPr>
              <w:pStyle w:val="181"/>
              <w:rPr>
                <w:color w:val="auto"/>
              </w:rPr>
            </w:pPr>
            <w:r>
              <w:rPr>
                <w:rFonts w:hint="eastAsia"/>
                <w:color w:val="auto"/>
              </w:rPr>
              <w:t>达标</w:t>
            </w:r>
          </w:p>
        </w:tc>
      </w:tr>
      <w:tr w14:paraId="3C67EA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49" w:type="dxa"/>
            <w:vMerge w:val="continue"/>
            <w:vAlign w:val="center"/>
          </w:tcPr>
          <w:p w14:paraId="612C507A">
            <w:pPr>
              <w:pStyle w:val="181"/>
              <w:rPr>
                <w:color w:val="auto"/>
              </w:rPr>
            </w:pPr>
          </w:p>
        </w:tc>
        <w:tc>
          <w:tcPr>
            <w:tcW w:w="794" w:type="dxa"/>
            <w:vMerge w:val="continue"/>
            <w:vAlign w:val="center"/>
          </w:tcPr>
          <w:p w14:paraId="78EDBD72">
            <w:pPr>
              <w:pStyle w:val="181"/>
              <w:rPr>
                <w:color w:val="auto"/>
              </w:rPr>
            </w:pPr>
          </w:p>
        </w:tc>
        <w:tc>
          <w:tcPr>
            <w:tcW w:w="846" w:type="dxa"/>
            <w:vMerge w:val="continue"/>
            <w:vAlign w:val="center"/>
          </w:tcPr>
          <w:p w14:paraId="36782A70">
            <w:pPr>
              <w:pStyle w:val="181"/>
              <w:rPr>
                <w:color w:val="auto"/>
              </w:rPr>
            </w:pPr>
          </w:p>
        </w:tc>
        <w:tc>
          <w:tcPr>
            <w:tcW w:w="2169" w:type="dxa"/>
            <w:shd w:val="clear" w:color="auto" w:fill="auto"/>
            <w:vAlign w:val="center"/>
          </w:tcPr>
          <w:p w14:paraId="00ADA60C">
            <w:pPr>
              <w:pStyle w:val="181"/>
              <w:rPr>
                <w:color w:val="auto"/>
              </w:rPr>
            </w:pPr>
            <w:r>
              <w:rPr>
                <w:rFonts w:hint="eastAsia"/>
                <w:color w:val="auto"/>
              </w:rPr>
              <w:t>挥发酚</w:t>
            </w:r>
          </w:p>
        </w:tc>
        <w:tc>
          <w:tcPr>
            <w:tcW w:w="1044" w:type="dxa"/>
            <w:shd w:val="clear" w:color="auto" w:fill="auto"/>
            <w:vAlign w:val="center"/>
          </w:tcPr>
          <w:p w14:paraId="36400998">
            <w:pPr>
              <w:pStyle w:val="178"/>
              <w:bidi w:val="0"/>
              <w:ind w:firstLine="0" w:firstLineChars="0"/>
              <w:rPr>
                <w:rFonts w:hint="default"/>
                <w:color w:val="auto"/>
                <w:lang w:val="en-US" w:eastAsia="zh-CN"/>
              </w:rPr>
            </w:pPr>
            <w:r>
              <w:rPr>
                <w:rFonts w:hint="default"/>
                <w:color w:val="auto"/>
                <w:lang w:val="en-US" w:eastAsia="zh-CN"/>
              </w:rPr>
              <w:t>15</w:t>
            </w:r>
          </w:p>
        </w:tc>
        <w:tc>
          <w:tcPr>
            <w:tcW w:w="1043" w:type="dxa"/>
            <w:shd w:val="clear" w:color="auto" w:fill="auto"/>
            <w:vAlign w:val="center"/>
          </w:tcPr>
          <w:p w14:paraId="3B7035AD">
            <w:pPr>
              <w:pStyle w:val="178"/>
              <w:bidi w:val="0"/>
              <w:ind w:firstLine="0" w:firstLineChars="0"/>
              <w:rPr>
                <w:rFonts w:hint="default"/>
                <w:color w:val="auto"/>
                <w:lang w:val="en-US" w:eastAsia="zh-CN"/>
              </w:rPr>
            </w:pPr>
            <w:r>
              <w:rPr>
                <w:rFonts w:hint="default"/>
                <w:color w:val="auto"/>
                <w:lang w:val="en-US" w:eastAsia="zh-CN"/>
              </w:rPr>
              <w:t>8.8</w:t>
            </w:r>
          </w:p>
        </w:tc>
        <w:tc>
          <w:tcPr>
            <w:tcW w:w="1241" w:type="dxa"/>
            <w:vMerge w:val="continue"/>
            <w:vAlign w:val="center"/>
          </w:tcPr>
          <w:p w14:paraId="21EC1A3A">
            <w:pPr>
              <w:pStyle w:val="181"/>
              <w:rPr>
                <w:color w:val="auto"/>
              </w:rPr>
            </w:pPr>
          </w:p>
        </w:tc>
        <w:tc>
          <w:tcPr>
            <w:tcW w:w="1028" w:type="dxa"/>
            <w:shd w:val="clear" w:color="auto" w:fill="auto"/>
            <w:vAlign w:val="center"/>
          </w:tcPr>
          <w:p w14:paraId="42D3E64C">
            <w:pPr>
              <w:pStyle w:val="181"/>
              <w:rPr>
                <w:color w:val="auto"/>
              </w:rPr>
            </w:pPr>
            <w:r>
              <w:rPr>
                <w:rFonts w:hint="eastAsia"/>
                <w:color w:val="auto"/>
              </w:rPr>
              <w:t>/</w:t>
            </w:r>
          </w:p>
        </w:tc>
        <w:tc>
          <w:tcPr>
            <w:tcW w:w="1000" w:type="dxa"/>
            <w:shd w:val="clear" w:color="auto" w:fill="auto"/>
            <w:vAlign w:val="center"/>
          </w:tcPr>
          <w:p w14:paraId="1F3A9D80">
            <w:pPr>
              <w:pStyle w:val="178"/>
              <w:bidi w:val="0"/>
              <w:ind w:firstLine="0" w:firstLineChars="0"/>
              <w:rPr>
                <w:rFonts w:hint="default"/>
                <w:color w:val="auto"/>
                <w:lang w:val="en-US" w:eastAsia="zh-CN"/>
              </w:rPr>
            </w:pPr>
            <w:r>
              <w:rPr>
                <w:rFonts w:hint="default"/>
                <w:color w:val="auto"/>
                <w:lang w:val="en-US" w:eastAsia="zh-CN"/>
              </w:rPr>
              <w:t>0.5</w:t>
            </w:r>
          </w:p>
        </w:tc>
        <w:tc>
          <w:tcPr>
            <w:tcW w:w="1025" w:type="dxa"/>
            <w:shd w:val="clear" w:color="auto" w:fill="auto"/>
            <w:vAlign w:val="center"/>
          </w:tcPr>
          <w:p w14:paraId="2A2D87AB">
            <w:pPr>
              <w:pStyle w:val="178"/>
              <w:bidi w:val="0"/>
              <w:ind w:firstLine="0" w:firstLineChars="0"/>
              <w:rPr>
                <w:rFonts w:hint="default"/>
                <w:color w:val="auto"/>
                <w:lang w:val="en-US" w:eastAsia="zh-CN"/>
              </w:rPr>
            </w:pPr>
            <w:r>
              <w:rPr>
                <w:rFonts w:hint="default"/>
                <w:color w:val="auto"/>
                <w:lang w:val="en-US" w:eastAsia="zh-CN"/>
              </w:rPr>
              <w:t>0.29</w:t>
            </w:r>
          </w:p>
        </w:tc>
        <w:tc>
          <w:tcPr>
            <w:tcW w:w="951" w:type="dxa"/>
            <w:vMerge w:val="continue"/>
            <w:vAlign w:val="center"/>
          </w:tcPr>
          <w:p w14:paraId="6FA6E494">
            <w:pPr>
              <w:pStyle w:val="181"/>
              <w:rPr>
                <w:color w:val="auto"/>
              </w:rPr>
            </w:pPr>
          </w:p>
        </w:tc>
        <w:tc>
          <w:tcPr>
            <w:tcW w:w="999" w:type="dxa"/>
            <w:shd w:val="clear" w:color="auto" w:fill="auto"/>
            <w:vAlign w:val="center"/>
          </w:tcPr>
          <w:p w14:paraId="4574BCF5">
            <w:pPr>
              <w:pStyle w:val="181"/>
              <w:rPr>
                <w:color w:val="auto"/>
              </w:rPr>
            </w:pPr>
            <w:r>
              <w:rPr>
                <w:rFonts w:hint="eastAsia"/>
                <w:color w:val="auto"/>
              </w:rPr>
              <w:t>0.5</w:t>
            </w:r>
          </w:p>
        </w:tc>
        <w:tc>
          <w:tcPr>
            <w:tcW w:w="951" w:type="dxa"/>
            <w:shd w:val="clear" w:color="auto" w:fill="auto"/>
            <w:vAlign w:val="center"/>
          </w:tcPr>
          <w:p w14:paraId="73996198">
            <w:pPr>
              <w:pStyle w:val="181"/>
              <w:rPr>
                <w:color w:val="auto"/>
              </w:rPr>
            </w:pPr>
            <w:r>
              <w:rPr>
                <w:rFonts w:hint="eastAsia"/>
                <w:color w:val="auto"/>
              </w:rPr>
              <w:t>达标</w:t>
            </w:r>
          </w:p>
        </w:tc>
      </w:tr>
      <w:tr w14:paraId="1C6D4C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49" w:type="dxa"/>
            <w:vMerge w:val="continue"/>
            <w:vAlign w:val="center"/>
          </w:tcPr>
          <w:p w14:paraId="5DD8D32E">
            <w:pPr>
              <w:pStyle w:val="181"/>
              <w:rPr>
                <w:color w:val="auto"/>
              </w:rPr>
            </w:pPr>
          </w:p>
        </w:tc>
        <w:tc>
          <w:tcPr>
            <w:tcW w:w="794" w:type="dxa"/>
            <w:vMerge w:val="continue"/>
            <w:vAlign w:val="center"/>
          </w:tcPr>
          <w:p w14:paraId="76ECDC3B">
            <w:pPr>
              <w:pStyle w:val="181"/>
              <w:rPr>
                <w:color w:val="auto"/>
              </w:rPr>
            </w:pPr>
          </w:p>
        </w:tc>
        <w:tc>
          <w:tcPr>
            <w:tcW w:w="846" w:type="dxa"/>
            <w:vMerge w:val="continue"/>
            <w:vAlign w:val="center"/>
          </w:tcPr>
          <w:p w14:paraId="62EB097B">
            <w:pPr>
              <w:pStyle w:val="181"/>
              <w:rPr>
                <w:color w:val="auto"/>
              </w:rPr>
            </w:pPr>
          </w:p>
        </w:tc>
        <w:tc>
          <w:tcPr>
            <w:tcW w:w="2169" w:type="dxa"/>
            <w:shd w:val="clear" w:color="auto" w:fill="auto"/>
            <w:vAlign w:val="center"/>
          </w:tcPr>
          <w:p w14:paraId="62CEC359">
            <w:pPr>
              <w:pStyle w:val="181"/>
              <w:rPr>
                <w:color w:val="auto"/>
              </w:rPr>
            </w:pPr>
            <w:r>
              <w:rPr>
                <w:rFonts w:hint="eastAsia"/>
                <w:color w:val="auto"/>
              </w:rPr>
              <w:t>硼</w:t>
            </w:r>
          </w:p>
        </w:tc>
        <w:tc>
          <w:tcPr>
            <w:tcW w:w="1044" w:type="dxa"/>
            <w:shd w:val="clear" w:color="auto" w:fill="auto"/>
            <w:vAlign w:val="center"/>
          </w:tcPr>
          <w:p w14:paraId="6FD41602">
            <w:pPr>
              <w:pStyle w:val="178"/>
              <w:bidi w:val="0"/>
              <w:ind w:firstLine="0" w:firstLineChars="0"/>
              <w:rPr>
                <w:rFonts w:hint="default"/>
                <w:color w:val="auto"/>
                <w:lang w:val="en-US" w:eastAsia="zh-CN"/>
              </w:rPr>
            </w:pPr>
            <w:r>
              <w:rPr>
                <w:rFonts w:hint="default"/>
                <w:color w:val="auto"/>
                <w:lang w:val="en-US" w:eastAsia="zh-CN"/>
              </w:rPr>
              <w:t>40</w:t>
            </w:r>
          </w:p>
        </w:tc>
        <w:tc>
          <w:tcPr>
            <w:tcW w:w="1043" w:type="dxa"/>
            <w:shd w:val="clear" w:color="auto" w:fill="auto"/>
            <w:vAlign w:val="center"/>
          </w:tcPr>
          <w:p w14:paraId="54B6B676">
            <w:pPr>
              <w:pStyle w:val="178"/>
              <w:bidi w:val="0"/>
              <w:ind w:firstLine="0" w:firstLineChars="0"/>
              <w:rPr>
                <w:rFonts w:hint="default"/>
                <w:color w:val="auto"/>
                <w:lang w:val="en-US" w:eastAsia="zh-CN"/>
              </w:rPr>
            </w:pPr>
            <w:r>
              <w:rPr>
                <w:rFonts w:hint="default"/>
                <w:color w:val="auto"/>
                <w:lang w:val="en-US" w:eastAsia="zh-CN"/>
              </w:rPr>
              <w:t>23.47</w:t>
            </w:r>
          </w:p>
        </w:tc>
        <w:tc>
          <w:tcPr>
            <w:tcW w:w="1241" w:type="dxa"/>
            <w:vMerge w:val="continue"/>
            <w:vAlign w:val="center"/>
          </w:tcPr>
          <w:p w14:paraId="2AEA05CF">
            <w:pPr>
              <w:pStyle w:val="181"/>
              <w:rPr>
                <w:color w:val="auto"/>
              </w:rPr>
            </w:pPr>
          </w:p>
        </w:tc>
        <w:tc>
          <w:tcPr>
            <w:tcW w:w="1028" w:type="dxa"/>
            <w:shd w:val="clear" w:color="auto" w:fill="auto"/>
            <w:vAlign w:val="center"/>
          </w:tcPr>
          <w:p w14:paraId="5B2DD654">
            <w:pPr>
              <w:pStyle w:val="181"/>
              <w:rPr>
                <w:color w:val="auto"/>
              </w:rPr>
            </w:pPr>
            <w:r>
              <w:rPr>
                <w:rFonts w:hint="eastAsia"/>
                <w:color w:val="auto"/>
              </w:rPr>
              <w:t>/</w:t>
            </w:r>
          </w:p>
        </w:tc>
        <w:tc>
          <w:tcPr>
            <w:tcW w:w="1000" w:type="dxa"/>
            <w:shd w:val="clear" w:color="auto" w:fill="auto"/>
            <w:vAlign w:val="center"/>
          </w:tcPr>
          <w:p w14:paraId="71550CF5">
            <w:pPr>
              <w:pStyle w:val="178"/>
              <w:bidi w:val="0"/>
              <w:ind w:firstLine="0" w:firstLineChars="0"/>
              <w:rPr>
                <w:rFonts w:hint="default"/>
                <w:color w:val="auto"/>
                <w:lang w:val="en-US" w:eastAsia="zh-CN"/>
              </w:rPr>
            </w:pPr>
            <w:r>
              <w:rPr>
                <w:rFonts w:hint="default"/>
                <w:color w:val="auto"/>
                <w:lang w:val="en-US" w:eastAsia="zh-CN"/>
              </w:rPr>
              <w:t>3</w:t>
            </w:r>
          </w:p>
        </w:tc>
        <w:tc>
          <w:tcPr>
            <w:tcW w:w="1025" w:type="dxa"/>
            <w:shd w:val="clear" w:color="auto" w:fill="auto"/>
            <w:vAlign w:val="center"/>
          </w:tcPr>
          <w:p w14:paraId="335658C6">
            <w:pPr>
              <w:pStyle w:val="178"/>
              <w:bidi w:val="0"/>
              <w:ind w:firstLine="0" w:firstLineChars="0"/>
              <w:rPr>
                <w:rFonts w:hint="default"/>
                <w:color w:val="auto"/>
                <w:lang w:val="en-US" w:eastAsia="zh-CN"/>
              </w:rPr>
            </w:pPr>
            <w:r>
              <w:rPr>
                <w:rFonts w:hint="default"/>
                <w:color w:val="auto"/>
                <w:lang w:val="en-US" w:eastAsia="zh-CN"/>
              </w:rPr>
              <w:t>1.76</w:t>
            </w:r>
          </w:p>
        </w:tc>
        <w:tc>
          <w:tcPr>
            <w:tcW w:w="951" w:type="dxa"/>
            <w:vMerge w:val="continue"/>
            <w:vAlign w:val="center"/>
          </w:tcPr>
          <w:p w14:paraId="3E1A9FEF">
            <w:pPr>
              <w:pStyle w:val="181"/>
              <w:rPr>
                <w:color w:val="auto"/>
              </w:rPr>
            </w:pPr>
          </w:p>
        </w:tc>
        <w:tc>
          <w:tcPr>
            <w:tcW w:w="999" w:type="dxa"/>
            <w:shd w:val="clear" w:color="auto" w:fill="auto"/>
            <w:vAlign w:val="center"/>
          </w:tcPr>
          <w:p w14:paraId="42787064">
            <w:pPr>
              <w:pStyle w:val="181"/>
              <w:rPr>
                <w:color w:val="auto"/>
              </w:rPr>
            </w:pPr>
            <w:r>
              <w:rPr>
                <w:rFonts w:hint="eastAsia"/>
                <w:color w:val="auto"/>
              </w:rPr>
              <w:t>3</w:t>
            </w:r>
          </w:p>
        </w:tc>
        <w:tc>
          <w:tcPr>
            <w:tcW w:w="951" w:type="dxa"/>
            <w:shd w:val="clear" w:color="auto" w:fill="auto"/>
            <w:vAlign w:val="center"/>
          </w:tcPr>
          <w:p w14:paraId="1C5C8A13">
            <w:pPr>
              <w:pStyle w:val="181"/>
              <w:rPr>
                <w:color w:val="auto"/>
              </w:rPr>
            </w:pPr>
            <w:r>
              <w:rPr>
                <w:rFonts w:hint="eastAsia"/>
                <w:color w:val="auto"/>
              </w:rPr>
              <w:t>达标</w:t>
            </w:r>
          </w:p>
        </w:tc>
      </w:tr>
      <w:tr w14:paraId="59F8BE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49" w:type="dxa"/>
            <w:vMerge w:val="continue"/>
            <w:vAlign w:val="center"/>
          </w:tcPr>
          <w:p w14:paraId="630474BA">
            <w:pPr>
              <w:pStyle w:val="181"/>
              <w:rPr>
                <w:color w:val="auto"/>
              </w:rPr>
            </w:pPr>
          </w:p>
        </w:tc>
        <w:tc>
          <w:tcPr>
            <w:tcW w:w="794" w:type="dxa"/>
            <w:vMerge w:val="continue"/>
            <w:vAlign w:val="center"/>
          </w:tcPr>
          <w:p w14:paraId="10165798">
            <w:pPr>
              <w:pStyle w:val="181"/>
              <w:rPr>
                <w:color w:val="auto"/>
              </w:rPr>
            </w:pPr>
          </w:p>
        </w:tc>
        <w:tc>
          <w:tcPr>
            <w:tcW w:w="846" w:type="dxa"/>
            <w:vMerge w:val="continue"/>
            <w:vAlign w:val="center"/>
          </w:tcPr>
          <w:p w14:paraId="010505BC">
            <w:pPr>
              <w:pStyle w:val="181"/>
              <w:rPr>
                <w:color w:val="auto"/>
              </w:rPr>
            </w:pPr>
          </w:p>
        </w:tc>
        <w:tc>
          <w:tcPr>
            <w:tcW w:w="2169" w:type="dxa"/>
            <w:shd w:val="clear" w:color="auto" w:fill="auto"/>
            <w:vAlign w:val="center"/>
          </w:tcPr>
          <w:p w14:paraId="6E8321F8">
            <w:pPr>
              <w:pStyle w:val="181"/>
              <w:rPr>
                <w:color w:val="auto"/>
              </w:rPr>
            </w:pPr>
            <w:r>
              <w:rPr>
                <w:rFonts w:hint="eastAsia"/>
                <w:color w:val="auto"/>
              </w:rPr>
              <w:t>可溶性钡</w:t>
            </w:r>
          </w:p>
        </w:tc>
        <w:tc>
          <w:tcPr>
            <w:tcW w:w="1044" w:type="dxa"/>
            <w:shd w:val="clear" w:color="auto" w:fill="auto"/>
            <w:vAlign w:val="center"/>
          </w:tcPr>
          <w:p w14:paraId="586A72B9">
            <w:pPr>
              <w:pStyle w:val="178"/>
              <w:bidi w:val="0"/>
              <w:ind w:firstLine="0" w:firstLineChars="0"/>
              <w:rPr>
                <w:rFonts w:hint="default"/>
                <w:color w:val="auto"/>
                <w:lang w:val="en-US" w:eastAsia="zh-CN"/>
              </w:rPr>
            </w:pPr>
            <w:r>
              <w:rPr>
                <w:rFonts w:hint="default"/>
                <w:color w:val="auto"/>
                <w:lang w:val="en-US" w:eastAsia="zh-CN"/>
              </w:rPr>
              <w:t>50</w:t>
            </w:r>
          </w:p>
        </w:tc>
        <w:tc>
          <w:tcPr>
            <w:tcW w:w="1043" w:type="dxa"/>
            <w:shd w:val="clear" w:color="auto" w:fill="auto"/>
            <w:vAlign w:val="center"/>
          </w:tcPr>
          <w:p w14:paraId="6E89CD00">
            <w:pPr>
              <w:pStyle w:val="178"/>
              <w:bidi w:val="0"/>
              <w:ind w:firstLine="0" w:firstLineChars="0"/>
              <w:rPr>
                <w:rFonts w:hint="default"/>
                <w:color w:val="auto"/>
                <w:lang w:val="en-US" w:eastAsia="zh-CN"/>
              </w:rPr>
            </w:pPr>
            <w:r>
              <w:rPr>
                <w:rFonts w:hint="default"/>
                <w:color w:val="auto"/>
                <w:lang w:val="en-US" w:eastAsia="zh-CN"/>
              </w:rPr>
              <w:t>29.34</w:t>
            </w:r>
          </w:p>
        </w:tc>
        <w:tc>
          <w:tcPr>
            <w:tcW w:w="1241" w:type="dxa"/>
            <w:vMerge w:val="continue"/>
            <w:vAlign w:val="center"/>
          </w:tcPr>
          <w:p w14:paraId="4BF032F5">
            <w:pPr>
              <w:pStyle w:val="181"/>
              <w:rPr>
                <w:color w:val="auto"/>
              </w:rPr>
            </w:pPr>
          </w:p>
        </w:tc>
        <w:tc>
          <w:tcPr>
            <w:tcW w:w="1028" w:type="dxa"/>
            <w:shd w:val="clear" w:color="auto" w:fill="auto"/>
            <w:vAlign w:val="center"/>
          </w:tcPr>
          <w:p w14:paraId="1B1DFFE3">
            <w:pPr>
              <w:pStyle w:val="181"/>
              <w:rPr>
                <w:color w:val="auto"/>
              </w:rPr>
            </w:pPr>
            <w:r>
              <w:rPr>
                <w:rFonts w:hint="eastAsia"/>
                <w:color w:val="auto"/>
              </w:rPr>
              <w:t>/</w:t>
            </w:r>
          </w:p>
        </w:tc>
        <w:tc>
          <w:tcPr>
            <w:tcW w:w="1000" w:type="dxa"/>
            <w:shd w:val="clear" w:color="auto" w:fill="auto"/>
            <w:vAlign w:val="center"/>
          </w:tcPr>
          <w:p w14:paraId="4F12BA19">
            <w:pPr>
              <w:pStyle w:val="178"/>
              <w:bidi w:val="0"/>
              <w:ind w:firstLine="0" w:firstLineChars="0"/>
              <w:rPr>
                <w:rFonts w:hint="default"/>
                <w:color w:val="auto"/>
                <w:lang w:val="en-US" w:eastAsia="zh-CN"/>
              </w:rPr>
            </w:pPr>
            <w:r>
              <w:rPr>
                <w:rFonts w:hint="default"/>
                <w:color w:val="auto"/>
                <w:lang w:val="en-US" w:eastAsia="zh-CN"/>
              </w:rPr>
              <w:t>2</w:t>
            </w:r>
          </w:p>
        </w:tc>
        <w:tc>
          <w:tcPr>
            <w:tcW w:w="1025" w:type="dxa"/>
            <w:shd w:val="clear" w:color="auto" w:fill="auto"/>
            <w:vAlign w:val="center"/>
          </w:tcPr>
          <w:p w14:paraId="0D6880C2">
            <w:pPr>
              <w:pStyle w:val="178"/>
              <w:bidi w:val="0"/>
              <w:ind w:firstLine="0" w:firstLineChars="0"/>
              <w:rPr>
                <w:rFonts w:hint="default"/>
                <w:color w:val="auto"/>
                <w:lang w:val="en-US" w:eastAsia="zh-CN"/>
              </w:rPr>
            </w:pPr>
            <w:r>
              <w:rPr>
                <w:rFonts w:hint="default"/>
                <w:color w:val="auto"/>
                <w:lang w:val="en-US" w:eastAsia="zh-CN"/>
              </w:rPr>
              <w:t>1.17</w:t>
            </w:r>
          </w:p>
        </w:tc>
        <w:tc>
          <w:tcPr>
            <w:tcW w:w="951" w:type="dxa"/>
            <w:vMerge w:val="continue"/>
            <w:vAlign w:val="center"/>
          </w:tcPr>
          <w:p w14:paraId="64F8B611">
            <w:pPr>
              <w:pStyle w:val="181"/>
              <w:rPr>
                <w:color w:val="auto"/>
              </w:rPr>
            </w:pPr>
          </w:p>
        </w:tc>
        <w:tc>
          <w:tcPr>
            <w:tcW w:w="999" w:type="dxa"/>
            <w:shd w:val="clear" w:color="auto" w:fill="auto"/>
            <w:vAlign w:val="center"/>
          </w:tcPr>
          <w:p w14:paraId="18ED5461">
            <w:pPr>
              <w:pStyle w:val="181"/>
              <w:rPr>
                <w:color w:val="auto"/>
              </w:rPr>
            </w:pPr>
            <w:r>
              <w:rPr>
                <w:rFonts w:hint="eastAsia"/>
                <w:color w:val="auto"/>
              </w:rPr>
              <w:t>2</w:t>
            </w:r>
          </w:p>
        </w:tc>
        <w:tc>
          <w:tcPr>
            <w:tcW w:w="951" w:type="dxa"/>
            <w:shd w:val="clear" w:color="auto" w:fill="auto"/>
            <w:vAlign w:val="center"/>
          </w:tcPr>
          <w:p w14:paraId="60E667B1">
            <w:pPr>
              <w:pStyle w:val="181"/>
              <w:rPr>
                <w:color w:val="auto"/>
              </w:rPr>
            </w:pPr>
            <w:r>
              <w:rPr>
                <w:rFonts w:hint="eastAsia"/>
                <w:color w:val="auto"/>
              </w:rPr>
              <w:t>达标</w:t>
            </w:r>
          </w:p>
        </w:tc>
      </w:tr>
      <w:tr w14:paraId="7E8884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49" w:type="dxa"/>
            <w:vMerge w:val="continue"/>
            <w:vAlign w:val="center"/>
          </w:tcPr>
          <w:p w14:paraId="5F0140CC">
            <w:pPr>
              <w:pStyle w:val="181"/>
              <w:rPr>
                <w:color w:val="auto"/>
              </w:rPr>
            </w:pPr>
          </w:p>
        </w:tc>
        <w:tc>
          <w:tcPr>
            <w:tcW w:w="794" w:type="dxa"/>
            <w:vMerge w:val="continue"/>
            <w:vAlign w:val="center"/>
          </w:tcPr>
          <w:p w14:paraId="35338461">
            <w:pPr>
              <w:pStyle w:val="181"/>
              <w:rPr>
                <w:color w:val="auto"/>
              </w:rPr>
            </w:pPr>
          </w:p>
        </w:tc>
        <w:tc>
          <w:tcPr>
            <w:tcW w:w="846" w:type="dxa"/>
            <w:vMerge w:val="continue"/>
            <w:vAlign w:val="center"/>
          </w:tcPr>
          <w:p w14:paraId="3701AE2A">
            <w:pPr>
              <w:pStyle w:val="181"/>
              <w:rPr>
                <w:color w:val="auto"/>
              </w:rPr>
            </w:pPr>
          </w:p>
        </w:tc>
        <w:tc>
          <w:tcPr>
            <w:tcW w:w="2169" w:type="dxa"/>
            <w:shd w:val="clear" w:color="auto" w:fill="auto"/>
            <w:vAlign w:val="center"/>
          </w:tcPr>
          <w:p w14:paraId="3F599CBC">
            <w:pPr>
              <w:pStyle w:val="181"/>
              <w:rPr>
                <w:color w:val="auto"/>
              </w:rPr>
            </w:pPr>
            <w:r>
              <w:rPr>
                <w:rFonts w:hint="eastAsia"/>
                <w:color w:val="auto"/>
              </w:rPr>
              <w:t>总α放射性</w:t>
            </w:r>
            <w:r>
              <w:rPr>
                <w:rFonts w:hint="eastAsia"/>
                <w:color w:val="auto"/>
                <w:lang w:eastAsia="zh-CN"/>
              </w:rPr>
              <w:t>（</w:t>
            </w:r>
            <w:r>
              <w:rPr>
                <w:rFonts w:hint="eastAsia"/>
                <w:color w:val="auto"/>
              </w:rPr>
              <w:t>Bq/L</w:t>
            </w:r>
            <w:r>
              <w:rPr>
                <w:rFonts w:hint="eastAsia"/>
                <w:color w:val="auto"/>
                <w:lang w:eastAsia="zh-CN"/>
              </w:rPr>
              <w:t>）</w:t>
            </w:r>
          </w:p>
        </w:tc>
        <w:tc>
          <w:tcPr>
            <w:tcW w:w="1044" w:type="dxa"/>
            <w:shd w:val="clear" w:color="auto" w:fill="auto"/>
            <w:vAlign w:val="center"/>
          </w:tcPr>
          <w:p w14:paraId="38B09B20">
            <w:pPr>
              <w:pStyle w:val="178"/>
              <w:bidi w:val="0"/>
              <w:ind w:firstLine="0" w:firstLineChars="0"/>
              <w:rPr>
                <w:rFonts w:hint="default"/>
                <w:color w:val="auto"/>
                <w:lang w:val="en-US" w:eastAsia="zh-CN"/>
              </w:rPr>
            </w:pPr>
            <w:r>
              <w:rPr>
                <w:rFonts w:hint="default"/>
                <w:color w:val="auto"/>
                <w:lang w:val="en-US" w:eastAsia="zh-CN"/>
              </w:rPr>
              <w:t>200</w:t>
            </w:r>
          </w:p>
        </w:tc>
        <w:tc>
          <w:tcPr>
            <w:tcW w:w="1043" w:type="dxa"/>
            <w:shd w:val="clear" w:color="auto" w:fill="auto"/>
            <w:vAlign w:val="center"/>
          </w:tcPr>
          <w:p w14:paraId="2C3AB49D">
            <w:pPr>
              <w:pStyle w:val="178"/>
              <w:bidi w:val="0"/>
              <w:ind w:firstLine="0" w:firstLineChars="0"/>
              <w:rPr>
                <w:rFonts w:hint="default"/>
                <w:color w:val="auto"/>
                <w:lang w:val="en-US" w:eastAsia="zh-CN"/>
              </w:rPr>
            </w:pPr>
            <w:r>
              <w:rPr>
                <w:rFonts w:hint="default"/>
                <w:color w:val="auto"/>
                <w:lang w:val="en-US" w:eastAsia="zh-CN"/>
              </w:rPr>
              <w:t>117.36</w:t>
            </w:r>
          </w:p>
        </w:tc>
        <w:tc>
          <w:tcPr>
            <w:tcW w:w="1241" w:type="dxa"/>
            <w:vMerge w:val="continue"/>
            <w:vAlign w:val="center"/>
          </w:tcPr>
          <w:p w14:paraId="661FDBA2">
            <w:pPr>
              <w:pStyle w:val="181"/>
              <w:rPr>
                <w:color w:val="auto"/>
              </w:rPr>
            </w:pPr>
          </w:p>
        </w:tc>
        <w:tc>
          <w:tcPr>
            <w:tcW w:w="1028" w:type="dxa"/>
            <w:shd w:val="clear" w:color="auto" w:fill="auto"/>
            <w:vAlign w:val="center"/>
          </w:tcPr>
          <w:p w14:paraId="5EBA20E7">
            <w:pPr>
              <w:pStyle w:val="181"/>
              <w:rPr>
                <w:color w:val="auto"/>
              </w:rPr>
            </w:pPr>
            <w:r>
              <w:rPr>
                <w:rFonts w:hint="eastAsia"/>
                <w:color w:val="auto"/>
              </w:rPr>
              <w:t>/</w:t>
            </w:r>
          </w:p>
        </w:tc>
        <w:tc>
          <w:tcPr>
            <w:tcW w:w="1000" w:type="dxa"/>
            <w:shd w:val="clear" w:color="auto" w:fill="auto"/>
            <w:vAlign w:val="center"/>
          </w:tcPr>
          <w:p w14:paraId="269B891D">
            <w:pPr>
              <w:pStyle w:val="178"/>
              <w:bidi w:val="0"/>
              <w:ind w:firstLine="0" w:firstLineChars="0"/>
              <w:rPr>
                <w:rFonts w:hint="default"/>
                <w:color w:val="auto"/>
                <w:lang w:val="en-US" w:eastAsia="zh-CN"/>
              </w:rPr>
            </w:pPr>
            <w:r>
              <w:rPr>
                <w:rFonts w:hint="default"/>
                <w:color w:val="auto"/>
                <w:lang w:val="en-US" w:eastAsia="zh-CN"/>
              </w:rPr>
              <w:t>1</w:t>
            </w:r>
          </w:p>
        </w:tc>
        <w:tc>
          <w:tcPr>
            <w:tcW w:w="1025" w:type="dxa"/>
            <w:shd w:val="clear" w:color="auto" w:fill="auto"/>
            <w:vAlign w:val="center"/>
          </w:tcPr>
          <w:p w14:paraId="7C4E8206">
            <w:pPr>
              <w:pStyle w:val="178"/>
              <w:bidi w:val="0"/>
              <w:ind w:firstLine="0" w:firstLineChars="0"/>
              <w:rPr>
                <w:rFonts w:hint="default"/>
                <w:color w:val="auto"/>
                <w:lang w:val="en-US" w:eastAsia="zh-CN"/>
              </w:rPr>
            </w:pPr>
            <w:r>
              <w:rPr>
                <w:rFonts w:hint="default"/>
                <w:color w:val="auto"/>
                <w:lang w:val="en-US" w:eastAsia="zh-CN"/>
              </w:rPr>
              <w:t>0.59</w:t>
            </w:r>
          </w:p>
        </w:tc>
        <w:tc>
          <w:tcPr>
            <w:tcW w:w="951" w:type="dxa"/>
            <w:vMerge w:val="continue"/>
            <w:vAlign w:val="center"/>
          </w:tcPr>
          <w:p w14:paraId="19BA72CF">
            <w:pPr>
              <w:pStyle w:val="181"/>
              <w:rPr>
                <w:color w:val="auto"/>
              </w:rPr>
            </w:pPr>
          </w:p>
        </w:tc>
        <w:tc>
          <w:tcPr>
            <w:tcW w:w="999" w:type="dxa"/>
            <w:shd w:val="clear" w:color="auto" w:fill="auto"/>
            <w:vAlign w:val="center"/>
          </w:tcPr>
          <w:p w14:paraId="28DE9619">
            <w:pPr>
              <w:pStyle w:val="181"/>
              <w:rPr>
                <w:color w:val="auto"/>
              </w:rPr>
            </w:pPr>
            <w:r>
              <w:rPr>
                <w:rFonts w:hint="eastAsia"/>
                <w:color w:val="auto"/>
              </w:rPr>
              <w:t>1</w:t>
            </w:r>
          </w:p>
        </w:tc>
        <w:tc>
          <w:tcPr>
            <w:tcW w:w="951" w:type="dxa"/>
            <w:shd w:val="clear" w:color="auto" w:fill="auto"/>
            <w:vAlign w:val="center"/>
          </w:tcPr>
          <w:p w14:paraId="61E6D127">
            <w:pPr>
              <w:pStyle w:val="181"/>
              <w:rPr>
                <w:color w:val="auto"/>
              </w:rPr>
            </w:pPr>
            <w:r>
              <w:rPr>
                <w:rFonts w:hint="eastAsia"/>
                <w:color w:val="auto"/>
              </w:rPr>
              <w:t>达标</w:t>
            </w:r>
          </w:p>
        </w:tc>
      </w:tr>
      <w:tr w14:paraId="5A83CE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49" w:type="dxa"/>
            <w:vMerge w:val="continue"/>
            <w:vAlign w:val="center"/>
          </w:tcPr>
          <w:p w14:paraId="02569273">
            <w:pPr>
              <w:pStyle w:val="181"/>
              <w:rPr>
                <w:color w:val="auto"/>
              </w:rPr>
            </w:pPr>
          </w:p>
        </w:tc>
        <w:tc>
          <w:tcPr>
            <w:tcW w:w="794" w:type="dxa"/>
            <w:vMerge w:val="continue"/>
            <w:vAlign w:val="center"/>
          </w:tcPr>
          <w:p w14:paraId="46D923E2">
            <w:pPr>
              <w:pStyle w:val="181"/>
              <w:rPr>
                <w:color w:val="auto"/>
              </w:rPr>
            </w:pPr>
          </w:p>
        </w:tc>
        <w:tc>
          <w:tcPr>
            <w:tcW w:w="846" w:type="dxa"/>
            <w:vMerge w:val="continue"/>
            <w:vAlign w:val="center"/>
          </w:tcPr>
          <w:p w14:paraId="76287ABB">
            <w:pPr>
              <w:pStyle w:val="181"/>
              <w:rPr>
                <w:color w:val="auto"/>
              </w:rPr>
            </w:pPr>
          </w:p>
        </w:tc>
        <w:tc>
          <w:tcPr>
            <w:tcW w:w="2169" w:type="dxa"/>
            <w:shd w:val="clear" w:color="auto" w:fill="auto"/>
            <w:vAlign w:val="center"/>
          </w:tcPr>
          <w:p w14:paraId="09B3E5BC">
            <w:pPr>
              <w:pStyle w:val="181"/>
              <w:rPr>
                <w:color w:val="auto"/>
              </w:rPr>
            </w:pPr>
            <w:r>
              <w:rPr>
                <w:rFonts w:hint="eastAsia"/>
                <w:color w:val="auto"/>
              </w:rPr>
              <w:t>总β放射性</w:t>
            </w:r>
            <w:r>
              <w:rPr>
                <w:rFonts w:hint="eastAsia"/>
                <w:color w:val="auto"/>
                <w:lang w:eastAsia="zh-CN"/>
              </w:rPr>
              <w:t>（</w:t>
            </w:r>
            <w:r>
              <w:rPr>
                <w:rFonts w:hint="eastAsia"/>
                <w:color w:val="auto"/>
              </w:rPr>
              <w:t>Bq/L</w:t>
            </w:r>
            <w:r>
              <w:rPr>
                <w:rFonts w:hint="eastAsia"/>
                <w:color w:val="auto"/>
                <w:lang w:eastAsia="zh-CN"/>
              </w:rPr>
              <w:t>）</w:t>
            </w:r>
          </w:p>
        </w:tc>
        <w:tc>
          <w:tcPr>
            <w:tcW w:w="1044" w:type="dxa"/>
            <w:shd w:val="clear" w:color="auto" w:fill="auto"/>
            <w:vAlign w:val="center"/>
          </w:tcPr>
          <w:p w14:paraId="01087D9E">
            <w:pPr>
              <w:pStyle w:val="178"/>
              <w:bidi w:val="0"/>
              <w:ind w:firstLine="0" w:firstLineChars="0"/>
              <w:rPr>
                <w:rFonts w:hint="default"/>
                <w:color w:val="auto"/>
                <w:lang w:val="en-US" w:eastAsia="zh-CN"/>
              </w:rPr>
            </w:pPr>
            <w:r>
              <w:rPr>
                <w:rFonts w:hint="default"/>
                <w:color w:val="auto"/>
                <w:lang w:val="en-US" w:eastAsia="zh-CN"/>
              </w:rPr>
              <w:t>500</w:t>
            </w:r>
          </w:p>
        </w:tc>
        <w:tc>
          <w:tcPr>
            <w:tcW w:w="1043" w:type="dxa"/>
            <w:shd w:val="clear" w:color="auto" w:fill="auto"/>
            <w:vAlign w:val="center"/>
          </w:tcPr>
          <w:p w14:paraId="5B7C9DA7">
            <w:pPr>
              <w:pStyle w:val="178"/>
              <w:bidi w:val="0"/>
              <w:ind w:firstLine="0" w:firstLineChars="0"/>
              <w:rPr>
                <w:rFonts w:hint="default"/>
                <w:color w:val="auto"/>
                <w:lang w:val="en-US" w:eastAsia="zh-CN"/>
              </w:rPr>
            </w:pPr>
            <w:r>
              <w:rPr>
                <w:rFonts w:hint="default"/>
                <w:color w:val="auto"/>
                <w:lang w:val="en-US" w:eastAsia="zh-CN"/>
              </w:rPr>
              <w:t>293.4</w:t>
            </w:r>
          </w:p>
        </w:tc>
        <w:tc>
          <w:tcPr>
            <w:tcW w:w="1241" w:type="dxa"/>
            <w:vMerge w:val="continue"/>
            <w:vAlign w:val="center"/>
          </w:tcPr>
          <w:p w14:paraId="274F6672">
            <w:pPr>
              <w:pStyle w:val="181"/>
              <w:rPr>
                <w:color w:val="auto"/>
              </w:rPr>
            </w:pPr>
          </w:p>
        </w:tc>
        <w:tc>
          <w:tcPr>
            <w:tcW w:w="1028" w:type="dxa"/>
            <w:shd w:val="clear" w:color="auto" w:fill="auto"/>
            <w:vAlign w:val="center"/>
          </w:tcPr>
          <w:p w14:paraId="412F49F9">
            <w:pPr>
              <w:pStyle w:val="181"/>
              <w:rPr>
                <w:color w:val="auto"/>
              </w:rPr>
            </w:pPr>
            <w:r>
              <w:rPr>
                <w:rFonts w:hint="eastAsia"/>
                <w:color w:val="auto"/>
              </w:rPr>
              <w:t>/</w:t>
            </w:r>
          </w:p>
        </w:tc>
        <w:tc>
          <w:tcPr>
            <w:tcW w:w="1000" w:type="dxa"/>
            <w:shd w:val="clear" w:color="auto" w:fill="auto"/>
            <w:vAlign w:val="center"/>
          </w:tcPr>
          <w:p w14:paraId="543C9CCC">
            <w:pPr>
              <w:pStyle w:val="178"/>
              <w:bidi w:val="0"/>
              <w:ind w:firstLine="0" w:firstLineChars="0"/>
              <w:rPr>
                <w:rFonts w:hint="default"/>
                <w:color w:val="auto"/>
                <w:lang w:val="en-US" w:eastAsia="zh-CN"/>
              </w:rPr>
            </w:pPr>
            <w:r>
              <w:rPr>
                <w:rFonts w:hint="default"/>
                <w:color w:val="auto"/>
                <w:lang w:val="en-US" w:eastAsia="zh-CN"/>
              </w:rPr>
              <w:t>10</w:t>
            </w:r>
          </w:p>
        </w:tc>
        <w:tc>
          <w:tcPr>
            <w:tcW w:w="1025" w:type="dxa"/>
            <w:shd w:val="clear" w:color="auto" w:fill="auto"/>
            <w:vAlign w:val="center"/>
          </w:tcPr>
          <w:p w14:paraId="6539BFF1">
            <w:pPr>
              <w:pStyle w:val="178"/>
              <w:bidi w:val="0"/>
              <w:ind w:firstLine="0" w:firstLineChars="0"/>
              <w:rPr>
                <w:rFonts w:hint="default"/>
                <w:color w:val="auto"/>
                <w:lang w:val="en-US" w:eastAsia="zh-CN"/>
              </w:rPr>
            </w:pPr>
            <w:r>
              <w:rPr>
                <w:rFonts w:hint="default"/>
                <w:color w:val="auto"/>
                <w:lang w:val="en-US" w:eastAsia="zh-CN"/>
              </w:rPr>
              <w:t>5.87</w:t>
            </w:r>
          </w:p>
        </w:tc>
        <w:tc>
          <w:tcPr>
            <w:tcW w:w="951" w:type="dxa"/>
            <w:vMerge w:val="continue"/>
            <w:vAlign w:val="center"/>
          </w:tcPr>
          <w:p w14:paraId="3FE38434">
            <w:pPr>
              <w:pStyle w:val="181"/>
              <w:rPr>
                <w:color w:val="auto"/>
              </w:rPr>
            </w:pPr>
          </w:p>
        </w:tc>
        <w:tc>
          <w:tcPr>
            <w:tcW w:w="999" w:type="dxa"/>
            <w:shd w:val="clear" w:color="auto" w:fill="auto"/>
            <w:vAlign w:val="center"/>
          </w:tcPr>
          <w:p w14:paraId="36F9E22B">
            <w:pPr>
              <w:pStyle w:val="181"/>
              <w:rPr>
                <w:color w:val="auto"/>
              </w:rPr>
            </w:pPr>
            <w:r>
              <w:rPr>
                <w:rFonts w:hint="eastAsia"/>
                <w:color w:val="auto"/>
              </w:rPr>
              <w:t>10</w:t>
            </w:r>
          </w:p>
        </w:tc>
        <w:tc>
          <w:tcPr>
            <w:tcW w:w="951" w:type="dxa"/>
            <w:shd w:val="clear" w:color="auto" w:fill="auto"/>
            <w:vAlign w:val="center"/>
          </w:tcPr>
          <w:p w14:paraId="430577CB">
            <w:pPr>
              <w:pStyle w:val="181"/>
              <w:rPr>
                <w:color w:val="auto"/>
              </w:rPr>
            </w:pPr>
            <w:r>
              <w:rPr>
                <w:rFonts w:hint="eastAsia"/>
                <w:color w:val="auto"/>
              </w:rPr>
              <w:t>达标</w:t>
            </w:r>
          </w:p>
        </w:tc>
      </w:tr>
      <w:tr w14:paraId="4CE269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49" w:type="dxa"/>
            <w:vMerge w:val="restart"/>
            <w:shd w:val="clear" w:color="auto" w:fill="auto"/>
            <w:vAlign w:val="center"/>
          </w:tcPr>
          <w:p w14:paraId="25E2538B">
            <w:pPr>
              <w:pStyle w:val="181"/>
              <w:rPr>
                <w:color w:val="auto"/>
              </w:rPr>
            </w:pPr>
            <w:r>
              <w:rPr>
                <w:rFonts w:hint="eastAsia"/>
                <w:color w:val="auto"/>
              </w:rPr>
              <w:t>生活污水</w:t>
            </w:r>
          </w:p>
        </w:tc>
        <w:tc>
          <w:tcPr>
            <w:tcW w:w="794" w:type="dxa"/>
            <w:vMerge w:val="restart"/>
            <w:shd w:val="clear" w:color="auto" w:fill="auto"/>
            <w:vAlign w:val="center"/>
          </w:tcPr>
          <w:p w14:paraId="49A9E35F">
            <w:pPr>
              <w:pStyle w:val="181"/>
              <w:rPr>
                <w:rFonts w:hint="default" w:eastAsia="宋体"/>
                <w:color w:val="auto"/>
                <w:lang w:val="en-US" w:eastAsia="zh-CN"/>
              </w:rPr>
            </w:pPr>
            <w:r>
              <w:rPr>
                <w:rFonts w:hint="eastAsia"/>
                <w:color w:val="auto"/>
                <w:lang w:val="en-US" w:eastAsia="zh-CN"/>
              </w:rPr>
              <w:t>1.8</w:t>
            </w:r>
          </w:p>
        </w:tc>
        <w:tc>
          <w:tcPr>
            <w:tcW w:w="846" w:type="dxa"/>
            <w:vMerge w:val="restart"/>
            <w:shd w:val="clear" w:color="auto" w:fill="auto"/>
            <w:vAlign w:val="center"/>
          </w:tcPr>
          <w:p w14:paraId="3B62D384">
            <w:pPr>
              <w:pStyle w:val="181"/>
              <w:rPr>
                <w:rFonts w:hint="default" w:eastAsia="宋体"/>
                <w:color w:val="auto"/>
                <w:lang w:val="en-US" w:eastAsia="zh-CN"/>
              </w:rPr>
            </w:pPr>
            <w:r>
              <w:rPr>
                <w:rFonts w:hint="eastAsia"/>
                <w:color w:val="auto"/>
                <w:lang w:val="en-US" w:eastAsia="zh-CN"/>
              </w:rPr>
              <w:t>540</w:t>
            </w:r>
          </w:p>
        </w:tc>
        <w:tc>
          <w:tcPr>
            <w:tcW w:w="2169" w:type="dxa"/>
            <w:shd w:val="clear" w:color="auto" w:fill="auto"/>
            <w:vAlign w:val="center"/>
          </w:tcPr>
          <w:p w14:paraId="1C917FFE">
            <w:pPr>
              <w:pStyle w:val="181"/>
              <w:rPr>
                <w:color w:val="auto"/>
              </w:rPr>
            </w:pPr>
            <w:r>
              <w:rPr>
                <w:rFonts w:hint="eastAsia"/>
                <w:color w:val="auto"/>
              </w:rPr>
              <w:t>pH</w:t>
            </w:r>
          </w:p>
        </w:tc>
        <w:tc>
          <w:tcPr>
            <w:tcW w:w="1044" w:type="dxa"/>
            <w:shd w:val="clear" w:color="auto" w:fill="auto"/>
            <w:vAlign w:val="center"/>
          </w:tcPr>
          <w:p w14:paraId="326E822D">
            <w:pPr>
              <w:pStyle w:val="181"/>
              <w:rPr>
                <w:color w:val="auto"/>
              </w:rPr>
            </w:pPr>
            <w:r>
              <w:rPr>
                <w:rFonts w:hint="eastAsia"/>
                <w:color w:val="auto"/>
              </w:rPr>
              <w:t>6~9</w:t>
            </w:r>
          </w:p>
        </w:tc>
        <w:tc>
          <w:tcPr>
            <w:tcW w:w="1043" w:type="dxa"/>
            <w:shd w:val="clear" w:color="auto" w:fill="auto"/>
            <w:vAlign w:val="center"/>
          </w:tcPr>
          <w:p w14:paraId="31EF4819">
            <w:pPr>
              <w:pStyle w:val="181"/>
              <w:rPr>
                <w:color w:val="auto"/>
              </w:rPr>
            </w:pPr>
            <w:r>
              <w:rPr>
                <w:rFonts w:hint="eastAsia"/>
                <w:color w:val="auto"/>
                <w:lang w:val="en-US"/>
              </w:rPr>
              <w:t>/</w:t>
            </w:r>
          </w:p>
        </w:tc>
        <w:tc>
          <w:tcPr>
            <w:tcW w:w="1241" w:type="dxa"/>
            <w:vMerge w:val="restart"/>
            <w:shd w:val="clear" w:color="auto" w:fill="auto"/>
            <w:vAlign w:val="center"/>
          </w:tcPr>
          <w:p w14:paraId="59799002">
            <w:pPr>
              <w:pStyle w:val="181"/>
              <w:rPr>
                <w:color w:val="auto"/>
              </w:rPr>
            </w:pPr>
            <w:r>
              <w:rPr>
                <w:rFonts w:hint="eastAsia"/>
                <w:color w:val="auto"/>
                <w:lang w:val="en-US"/>
              </w:rPr>
              <w:t>生化池</w:t>
            </w:r>
          </w:p>
        </w:tc>
        <w:tc>
          <w:tcPr>
            <w:tcW w:w="1028" w:type="dxa"/>
            <w:shd w:val="clear" w:color="auto" w:fill="auto"/>
            <w:vAlign w:val="center"/>
          </w:tcPr>
          <w:p w14:paraId="130A7714">
            <w:pPr>
              <w:pStyle w:val="181"/>
              <w:rPr>
                <w:color w:val="auto"/>
              </w:rPr>
            </w:pPr>
            <w:r>
              <w:rPr>
                <w:rFonts w:hint="eastAsia"/>
                <w:color w:val="auto"/>
                <w:lang w:val="en-US"/>
              </w:rPr>
              <w:t>/</w:t>
            </w:r>
          </w:p>
        </w:tc>
        <w:tc>
          <w:tcPr>
            <w:tcW w:w="1000" w:type="dxa"/>
            <w:shd w:val="clear" w:color="auto" w:fill="auto"/>
            <w:vAlign w:val="center"/>
          </w:tcPr>
          <w:p w14:paraId="48E07C23">
            <w:pPr>
              <w:pStyle w:val="181"/>
              <w:rPr>
                <w:color w:val="auto"/>
              </w:rPr>
            </w:pPr>
            <w:r>
              <w:rPr>
                <w:rFonts w:hint="eastAsia"/>
                <w:color w:val="auto"/>
                <w:lang w:val="en-US"/>
              </w:rPr>
              <w:t>6~9</w:t>
            </w:r>
          </w:p>
        </w:tc>
        <w:tc>
          <w:tcPr>
            <w:tcW w:w="1025" w:type="dxa"/>
            <w:shd w:val="clear" w:color="auto" w:fill="auto"/>
            <w:vAlign w:val="center"/>
          </w:tcPr>
          <w:p w14:paraId="3785B9EF">
            <w:pPr>
              <w:pStyle w:val="181"/>
              <w:rPr>
                <w:color w:val="auto"/>
              </w:rPr>
            </w:pPr>
            <w:r>
              <w:rPr>
                <w:rFonts w:hint="eastAsia"/>
                <w:color w:val="auto"/>
                <w:lang w:val="en-US"/>
              </w:rPr>
              <w:t>/</w:t>
            </w:r>
          </w:p>
        </w:tc>
        <w:tc>
          <w:tcPr>
            <w:tcW w:w="951" w:type="dxa"/>
            <w:vMerge w:val="restart"/>
            <w:shd w:val="clear" w:color="auto" w:fill="auto"/>
            <w:vAlign w:val="center"/>
          </w:tcPr>
          <w:p w14:paraId="1CAD3FE9">
            <w:pPr>
              <w:pStyle w:val="181"/>
              <w:rPr>
                <w:color w:val="auto"/>
              </w:rPr>
            </w:pPr>
            <w:r>
              <w:rPr>
                <w:rFonts w:hint="eastAsia"/>
                <w:color w:val="auto"/>
              </w:rPr>
              <w:t>园区污水处理厂</w:t>
            </w:r>
          </w:p>
        </w:tc>
        <w:tc>
          <w:tcPr>
            <w:tcW w:w="999" w:type="dxa"/>
            <w:shd w:val="clear" w:color="auto" w:fill="auto"/>
            <w:vAlign w:val="center"/>
          </w:tcPr>
          <w:p w14:paraId="6A827843">
            <w:pPr>
              <w:pStyle w:val="181"/>
              <w:rPr>
                <w:color w:val="auto"/>
              </w:rPr>
            </w:pPr>
            <w:r>
              <w:rPr>
                <w:rFonts w:hint="eastAsia"/>
                <w:color w:val="auto"/>
              </w:rPr>
              <w:t>6~9</w:t>
            </w:r>
          </w:p>
        </w:tc>
        <w:tc>
          <w:tcPr>
            <w:tcW w:w="951" w:type="dxa"/>
            <w:shd w:val="clear" w:color="auto" w:fill="auto"/>
            <w:vAlign w:val="center"/>
          </w:tcPr>
          <w:p w14:paraId="5BE88904">
            <w:pPr>
              <w:pStyle w:val="181"/>
              <w:rPr>
                <w:color w:val="auto"/>
              </w:rPr>
            </w:pPr>
            <w:r>
              <w:rPr>
                <w:rFonts w:hint="eastAsia"/>
                <w:color w:val="auto"/>
              </w:rPr>
              <w:t>达标</w:t>
            </w:r>
          </w:p>
        </w:tc>
      </w:tr>
      <w:tr w14:paraId="7D520B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49" w:type="dxa"/>
            <w:vMerge w:val="continue"/>
            <w:vAlign w:val="center"/>
          </w:tcPr>
          <w:p w14:paraId="4AAAF73B">
            <w:pPr>
              <w:pStyle w:val="181"/>
              <w:rPr>
                <w:color w:val="auto"/>
              </w:rPr>
            </w:pPr>
          </w:p>
        </w:tc>
        <w:tc>
          <w:tcPr>
            <w:tcW w:w="794" w:type="dxa"/>
            <w:vMerge w:val="continue"/>
            <w:vAlign w:val="center"/>
          </w:tcPr>
          <w:p w14:paraId="04975888">
            <w:pPr>
              <w:pStyle w:val="181"/>
              <w:rPr>
                <w:color w:val="auto"/>
              </w:rPr>
            </w:pPr>
          </w:p>
        </w:tc>
        <w:tc>
          <w:tcPr>
            <w:tcW w:w="846" w:type="dxa"/>
            <w:vMerge w:val="continue"/>
            <w:vAlign w:val="center"/>
          </w:tcPr>
          <w:p w14:paraId="58E8B10B">
            <w:pPr>
              <w:pStyle w:val="181"/>
              <w:rPr>
                <w:color w:val="auto"/>
              </w:rPr>
            </w:pPr>
          </w:p>
        </w:tc>
        <w:tc>
          <w:tcPr>
            <w:tcW w:w="2169" w:type="dxa"/>
            <w:shd w:val="clear" w:color="auto" w:fill="auto"/>
            <w:vAlign w:val="center"/>
          </w:tcPr>
          <w:p w14:paraId="6A24D6DF">
            <w:pPr>
              <w:pStyle w:val="181"/>
              <w:rPr>
                <w:color w:val="auto"/>
              </w:rPr>
            </w:pPr>
            <w:r>
              <w:rPr>
                <w:rFonts w:hint="eastAsia"/>
                <w:color w:val="auto"/>
              </w:rPr>
              <w:t>COD</w:t>
            </w:r>
          </w:p>
        </w:tc>
        <w:tc>
          <w:tcPr>
            <w:tcW w:w="1044" w:type="dxa"/>
            <w:shd w:val="clear" w:color="auto" w:fill="auto"/>
            <w:vAlign w:val="center"/>
          </w:tcPr>
          <w:p w14:paraId="50B30939">
            <w:pPr>
              <w:pStyle w:val="178"/>
              <w:bidi w:val="0"/>
              <w:ind w:firstLine="0" w:firstLineChars="0"/>
              <w:rPr>
                <w:rFonts w:hint="default"/>
                <w:color w:val="auto"/>
                <w:lang w:val="en-US" w:eastAsia="zh-CN"/>
              </w:rPr>
            </w:pPr>
            <w:r>
              <w:rPr>
                <w:rFonts w:hint="default"/>
                <w:color w:val="auto"/>
                <w:lang w:val="en-US" w:eastAsia="zh-CN"/>
              </w:rPr>
              <w:t>450</w:t>
            </w:r>
          </w:p>
        </w:tc>
        <w:tc>
          <w:tcPr>
            <w:tcW w:w="1043" w:type="dxa"/>
            <w:shd w:val="clear" w:color="auto" w:fill="auto"/>
            <w:vAlign w:val="center"/>
          </w:tcPr>
          <w:p w14:paraId="03C2B69F">
            <w:pPr>
              <w:pStyle w:val="178"/>
              <w:bidi w:val="0"/>
              <w:ind w:firstLine="0" w:firstLineChars="0"/>
              <w:rPr>
                <w:rFonts w:hint="default"/>
                <w:color w:val="auto"/>
                <w:lang w:val="en-US" w:eastAsia="zh-CN"/>
              </w:rPr>
            </w:pPr>
            <w:r>
              <w:rPr>
                <w:rFonts w:hint="default"/>
                <w:color w:val="auto"/>
                <w:lang w:val="en-US" w:eastAsia="zh-CN"/>
              </w:rPr>
              <w:t>0.24</w:t>
            </w:r>
          </w:p>
        </w:tc>
        <w:tc>
          <w:tcPr>
            <w:tcW w:w="1241" w:type="dxa"/>
            <w:vMerge w:val="continue"/>
            <w:vAlign w:val="center"/>
          </w:tcPr>
          <w:p w14:paraId="2DB738F5">
            <w:pPr>
              <w:pStyle w:val="181"/>
              <w:rPr>
                <w:color w:val="auto"/>
              </w:rPr>
            </w:pPr>
          </w:p>
        </w:tc>
        <w:tc>
          <w:tcPr>
            <w:tcW w:w="1028" w:type="dxa"/>
            <w:shd w:val="clear" w:color="auto" w:fill="auto"/>
            <w:vAlign w:val="center"/>
          </w:tcPr>
          <w:p w14:paraId="34EF783D">
            <w:pPr>
              <w:pStyle w:val="181"/>
              <w:rPr>
                <w:color w:val="auto"/>
              </w:rPr>
            </w:pPr>
            <w:r>
              <w:rPr>
                <w:rFonts w:hint="eastAsia"/>
                <w:color w:val="auto"/>
                <w:lang w:val="en-US"/>
              </w:rPr>
              <w:t>/</w:t>
            </w:r>
          </w:p>
        </w:tc>
        <w:tc>
          <w:tcPr>
            <w:tcW w:w="1000" w:type="dxa"/>
            <w:shd w:val="clear" w:color="auto" w:fill="auto"/>
            <w:vAlign w:val="center"/>
          </w:tcPr>
          <w:p w14:paraId="18789673">
            <w:pPr>
              <w:pStyle w:val="178"/>
              <w:bidi w:val="0"/>
              <w:ind w:firstLine="0" w:firstLineChars="0"/>
              <w:rPr>
                <w:rFonts w:hint="default"/>
                <w:color w:val="auto"/>
                <w:lang w:val="en-US" w:eastAsia="zh-CN"/>
              </w:rPr>
            </w:pPr>
            <w:r>
              <w:rPr>
                <w:rFonts w:hint="default"/>
                <w:color w:val="auto"/>
                <w:lang w:val="en-US" w:eastAsia="zh-CN"/>
              </w:rPr>
              <w:t>450</w:t>
            </w:r>
          </w:p>
        </w:tc>
        <w:tc>
          <w:tcPr>
            <w:tcW w:w="1025" w:type="dxa"/>
            <w:shd w:val="clear" w:color="auto" w:fill="auto"/>
            <w:vAlign w:val="center"/>
          </w:tcPr>
          <w:p w14:paraId="30F879BF">
            <w:pPr>
              <w:pStyle w:val="178"/>
              <w:bidi w:val="0"/>
              <w:ind w:firstLine="0" w:firstLineChars="0"/>
              <w:rPr>
                <w:rFonts w:hint="default"/>
                <w:color w:val="auto"/>
                <w:lang w:val="en-US" w:eastAsia="zh-CN"/>
              </w:rPr>
            </w:pPr>
            <w:r>
              <w:rPr>
                <w:rFonts w:hint="default"/>
                <w:color w:val="auto"/>
                <w:lang w:val="en-US" w:eastAsia="zh-CN"/>
              </w:rPr>
              <w:t>0.24</w:t>
            </w:r>
          </w:p>
        </w:tc>
        <w:tc>
          <w:tcPr>
            <w:tcW w:w="951" w:type="dxa"/>
            <w:vMerge w:val="continue"/>
            <w:vAlign w:val="center"/>
          </w:tcPr>
          <w:p w14:paraId="62BCED85">
            <w:pPr>
              <w:pStyle w:val="181"/>
              <w:rPr>
                <w:color w:val="auto"/>
              </w:rPr>
            </w:pPr>
          </w:p>
        </w:tc>
        <w:tc>
          <w:tcPr>
            <w:tcW w:w="999" w:type="dxa"/>
            <w:shd w:val="clear" w:color="auto" w:fill="auto"/>
            <w:vAlign w:val="center"/>
          </w:tcPr>
          <w:p w14:paraId="74CF6DA5">
            <w:pPr>
              <w:pStyle w:val="178"/>
              <w:bidi w:val="0"/>
              <w:ind w:firstLine="0" w:firstLineChars="0"/>
              <w:rPr>
                <w:rFonts w:hint="default"/>
                <w:color w:val="auto"/>
                <w:lang w:val="en-US" w:eastAsia="zh-CN"/>
              </w:rPr>
            </w:pPr>
            <w:r>
              <w:rPr>
                <w:rFonts w:hint="default"/>
                <w:color w:val="auto"/>
                <w:lang w:val="en-US" w:eastAsia="zh-CN"/>
              </w:rPr>
              <w:t>500</w:t>
            </w:r>
          </w:p>
        </w:tc>
        <w:tc>
          <w:tcPr>
            <w:tcW w:w="951" w:type="dxa"/>
            <w:shd w:val="clear" w:color="auto" w:fill="auto"/>
            <w:vAlign w:val="center"/>
          </w:tcPr>
          <w:p w14:paraId="613E63FE">
            <w:pPr>
              <w:pStyle w:val="178"/>
              <w:bidi w:val="0"/>
              <w:ind w:firstLine="0" w:firstLineChars="0"/>
              <w:rPr>
                <w:rFonts w:hint="default"/>
                <w:color w:val="auto"/>
                <w:lang w:val="en-US" w:eastAsia="zh-CN"/>
              </w:rPr>
            </w:pPr>
            <w:r>
              <w:rPr>
                <w:rFonts w:hint="eastAsia"/>
                <w:color w:val="auto"/>
                <w:lang w:val="en-US" w:eastAsia="zh-CN"/>
              </w:rPr>
              <w:t>达标</w:t>
            </w:r>
          </w:p>
        </w:tc>
      </w:tr>
      <w:tr w14:paraId="5C8818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49" w:type="dxa"/>
            <w:vMerge w:val="continue"/>
            <w:vAlign w:val="center"/>
          </w:tcPr>
          <w:p w14:paraId="33A1289A">
            <w:pPr>
              <w:pStyle w:val="181"/>
              <w:rPr>
                <w:color w:val="auto"/>
              </w:rPr>
            </w:pPr>
          </w:p>
        </w:tc>
        <w:tc>
          <w:tcPr>
            <w:tcW w:w="794" w:type="dxa"/>
            <w:vMerge w:val="continue"/>
            <w:vAlign w:val="center"/>
          </w:tcPr>
          <w:p w14:paraId="16B1CD07">
            <w:pPr>
              <w:pStyle w:val="181"/>
              <w:rPr>
                <w:color w:val="auto"/>
              </w:rPr>
            </w:pPr>
          </w:p>
        </w:tc>
        <w:tc>
          <w:tcPr>
            <w:tcW w:w="846" w:type="dxa"/>
            <w:vMerge w:val="continue"/>
            <w:vAlign w:val="center"/>
          </w:tcPr>
          <w:p w14:paraId="16D89D21">
            <w:pPr>
              <w:pStyle w:val="181"/>
              <w:rPr>
                <w:color w:val="auto"/>
              </w:rPr>
            </w:pPr>
          </w:p>
        </w:tc>
        <w:tc>
          <w:tcPr>
            <w:tcW w:w="2169" w:type="dxa"/>
            <w:shd w:val="clear" w:color="auto" w:fill="auto"/>
            <w:vAlign w:val="center"/>
          </w:tcPr>
          <w:p w14:paraId="29A1967C">
            <w:pPr>
              <w:pStyle w:val="181"/>
              <w:rPr>
                <w:color w:val="auto"/>
              </w:rPr>
            </w:pPr>
            <w:r>
              <w:rPr>
                <w:rFonts w:hint="eastAsia"/>
                <w:color w:val="auto"/>
              </w:rPr>
              <w:t>BOD5</w:t>
            </w:r>
          </w:p>
        </w:tc>
        <w:tc>
          <w:tcPr>
            <w:tcW w:w="1044" w:type="dxa"/>
            <w:shd w:val="clear" w:color="auto" w:fill="auto"/>
            <w:vAlign w:val="center"/>
          </w:tcPr>
          <w:p w14:paraId="723F1BA7">
            <w:pPr>
              <w:pStyle w:val="178"/>
              <w:bidi w:val="0"/>
              <w:ind w:firstLine="0" w:firstLineChars="0"/>
              <w:rPr>
                <w:rFonts w:hint="default"/>
                <w:color w:val="auto"/>
                <w:lang w:val="en-US" w:eastAsia="zh-CN"/>
              </w:rPr>
            </w:pPr>
            <w:r>
              <w:rPr>
                <w:rFonts w:hint="default"/>
                <w:color w:val="auto"/>
                <w:lang w:val="en-US" w:eastAsia="zh-CN"/>
              </w:rPr>
              <w:t>350</w:t>
            </w:r>
          </w:p>
        </w:tc>
        <w:tc>
          <w:tcPr>
            <w:tcW w:w="1043" w:type="dxa"/>
            <w:shd w:val="clear" w:color="auto" w:fill="auto"/>
            <w:vAlign w:val="center"/>
          </w:tcPr>
          <w:p w14:paraId="5AAFA352">
            <w:pPr>
              <w:pStyle w:val="178"/>
              <w:bidi w:val="0"/>
              <w:ind w:firstLine="0" w:firstLineChars="0"/>
              <w:rPr>
                <w:rFonts w:hint="default"/>
                <w:color w:val="auto"/>
                <w:lang w:val="en-US" w:eastAsia="zh-CN"/>
              </w:rPr>
            </w:pPr>
            <w:r>
              <w:rPr>
                <w:rFonts w:hint="default"/>
                <w:color w:val="auto"/>
                <w:lang w:val="en-US" w:eastAsia="zh-CN"/>
              </w:rPr>
              <w:t xml:space="preserve">0.19 </w:t>
            </w:r>
          </w:p>
        </w:tc>
        <w:tc>
          <w:tcPr>
            <w:tcW w:w="1241" w:type="dxa"/>
            <w:vMerge w:val="continue"/>
            <w:vAlign w:val="center"/>
          </w:tcPr>
          <w:p w14:paraId="0C0BC3C3">
            <w:pPr>
              <w:pStyle w:val="181"/>
              <w:rPr>
                <w:color w:val="auto"/>
              </w:rPr>
            </w:pPr>
          </w:p>
        </w:tc>
        <w:tc>
          <w:tcPr>
            <w:tcW w:w="1028" w:type="dxa"/>
            <w:shd w:val="clear" w:color="auto" w:fill="auto"/>
            <w:vAlign w:val="center"/>
          </w:tcPr>
          <w:p w14:paraId="1AEA2C39">
            <w:pPr>
              <w:pStyle w:val="181"/>
              <w:rPr>
                <w:color w:val="auto"/>
              </w:rPr>
            </w:pPr>
            <w:r>
              <w:rPr>
                <w:rFonts w:hint="eastAsia"/>
                <w:color w:val="auto"/>
                <w:lang w:val="en-US"/>
              </w:rPr>
              <w:t>/</w:t>
            </w:r>
          </w:p>
        </w:tc>
        <w:tc>
          <w:tcPr>
            <w:tcW w:w="1000" w:type="dxa"/>
            <w:shd w:val="clear" w:color="auto" w:fill="auto"/>
            <w:vAlign w:val="center"/>
          </w:tcPr>
          <w:p w14:paraId="23D5E6B2">
            <w:pPr>
              <w:pStyle w:val="178"/>
              <w:bidi w:val="0"/>
              <w:ind w:firstLine="0" w:firstLineChars="0"/>
              <w:rPr>
                <w:rFonts w:hint="default"/>
                <w:color w:val="auto"/>
                <w:lang w:val="en-US" w:eastAsia="zh-CN"/>
              </w:rPr>
            </w:pPr>
            <w:r>
              <w:rPr>
                <w:rFonts w:hint="default"/>
                <w:color w:val="auto"/>
                <w:lang w:val="en-US" w:eastAsia="zh-CN"/>
              </w:rPr>
              <w:t>300</w:t>
            </w:r>
          </w:p>
        </w:tc>
        <w:tc>
          <w:tcPr>
            <w:tcW w:w="1025" w:type="dxa"/>
            <w:shd w:val="clear" w:color="auto" w:fill="auto"/>
            <w:vAlign w:val="center"/>
          </w:tcPr>
          <w:p w14:paraId="563100DE">
            <w:pPr>
              <w:pStyle w:val="178"/>
              <w:bidi w:val="0"/>
              <w:ind w:firstLine="0" w:firstLineChars="0"/>
              <w:rPr>
                <w:rFonts w:hint="default"/>
                <w:color w:val="auto"/>
                <w:lang w:val="en-US" w:eastAsia="zh-CN"/>
              </w:rPr>
            </w:pPr>
            <w:r>
              <w:rPr>
                <w:rFonts w:hint="default"/>
                <w:color w:val="auto"/>
                <w:lang w:val="en-US" w:eastAsia="zh-CN"/>
              </w:rPr>
              <w:t>0.16</w:t>
            </w:r>
          </w:p>
        </w:tc>
        <w:tc>
          <w:tcPr>
            <w:tcW w:w="951" w:type="dxa"/>
            <w:vMerge w:val="continue"/>
            <w:vAlign w:val="center"/>
          </w:tcPr>
          <w:p w14:paraId="38469CFA">
            <w:pPr>
              <w:pStyle w:val="181"/>
              <w:rPr>
                <w:color w:val="auto"/>
              </w:rPr>
            </w:pPr>
          </w:p>
        </w:tc>
        <w:tc>
          <w:tcPr>
            <w:tcW w:w="999" w:type="dxa"/>
            <w:shd w:val="clear" w:color="auto" w:fill="auto"/>
            <w:vAlign w:val="center"/>
          </w:tcPr>
          <w:p w14:paraId="66C0F508">
            <w:pPr>
              <w:pStyle w:val="178"/>
              <w:bidi w:val="0"/>
              <w:ind w:firstLine="0" w:firstLineChars="0"/>
              <w:rPr>
                <w:rFonts w:hint="default"/>
                <w:color w:val="auto"/>
                <w:lang w:val="en-US" w:eastAsia="zh-CN"/>
              </w:rPr>
            </w:pPr>
            <w:r>
              <w:rPr>
                <w:rFonts w:hint="default"/>
                <w:color w:val="auto"/>
                <w:lang w:val="en-US" w:eastAsia="zh-CN"/>
              </w:rPr>
              <w:t>300</w:t>
            </w:r>
          </w:p>
        </w:tc>
        <w:tc>
          <w:tcPr>
            <w:tcW w:w="951" w:type="dxa"/>
            <w:shd w:val="clear" w:color="auto" w:fill="auto"/>
            <w:vAlign w:val="center"/>
          </w:tcPr>
          <w:p w14:paraId="2AC14F92">
            <w:pPr>
              <w:pStyle w:val="178"/>
              <w:bidi w:val="0"/>
              <w:ind w:firstLine="0" w:firstLineChars="0"/>
              <w:rPr>
                <w:rFonts w:hint="default"/>
                <w:color w:val="auto"/>
                <w:lang w:val="en-US" w:eastAsia="zh-CN"/>
              </w:rPr>
            </w:pPr>
            <w:r>
              <w:rPr>
                <w:rFonts w:hint="eastAsia"/>
                <w:color w:val="auto"/>
                <w:lang w:val="en-US" w:eastAsia="zh-CN"/>
              </w:rPr>
              <w:t>达标</w:t>
            </w:r>
          </w:p>
        </w:tc>
      </w:tr>
      <w:tr w14:paraId="44D825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49" w:type="dxa"/>
            <w:vMerge w:val="continue"/>
            <w:vAlign w:val="center"/>
          </w:tcPr>
          <w:p w14:paraId="27BF5506">
            <w:pPr>
              <w:pStyle w:val="181"/>
              <w:rPr>
                <w:color w:val="auto"/>
              </w:rPr>
            </w:pPr>
          </w:p>
        </w:tc>
        <w:tc>
          <w:tcPr>
            <w:tcW w:w="794" w:type="dxa"/>
            <w:vMerge w:val="continue"/>
            <w:vAlign w:val="center"/>
          </w:tcPr>
          <w:p w14:paraId="10AF266E">
            <w:pPr>
              <w:pStyle w:val="181"/>
              <w:rPr>
                <w:color w:val="auto"/>
              </w:rPr>
            </w:pPr>
          </w:p>
        </w:tc>
        <w:tc>
          <w:tcPr>
            <w:tcW w:w="846" w:type="dxa"/>
            <w:vMerge w:val="continue"/>
            <w:vAlign w:val="center"/>
          </w:tcPr>
          <w:p w14:paraId="3BA923A5">
            <w:pPr>
              <w:pStyle w:val="181"/>
              <w:rPr>
                <w:color w:val="auto"/>
              </w:rPr>
            </w:pPr>
          </w:p>
        </w:tc>
        <w:tc>
          <w:tcPr>
            <w:tcW w:w="2169" w:type="dxa"/>
            <w:shd w:val="clear" w:color="auto" w:fill="auto"/>
            <w:vAlign w:val="center"/>
          </w:tcPr>
          <w:p w14:paraId="4A2A2CF4">
            <w:pPr>
              <w:pStyle w:val="181"/>
              <w:rPr>
                <w:color w:val="auto"/>
              </w:rPr>
            </w:pPr>
            <w:r>
              <w:rPr>
                <w:rFonts w:hint="eastAsia"/>
                <w:color w:val="auto"/>
              </w:rPr>
              <w:t>SS</w:t>
            </w:r>
          </w:p>
        </w:tc>
        <w:tc>
          <w:tcPr>
            <w:tcW w:w="1044" w:type="dxa"/>
            <w:shd w:val="clear" w:color="auto" w:fill="auto"/>
            <w:vAlign w:val="center"/>
          </w:tcPr>
          <w:p w14:paraId="5E614832">
            <w:pPr>
              <w:pStyle w:val="178"/>
              <w:bidi w:val="0"/>
              <w:ind w:firstLine="0" w:firstLineChars="0"/>
              <w:rPr>
                <w:rFonts w:hint="default"/>
                <w:color w:val="auto"/>
                <w:lang w:val="en-US" w:eastAsia="zh-CN"/>
              </w:rPr>
            </w:pPr>
            <w:r>
              <w:rPr>
                <w:rFonts w:hint="default"/>
                <w:color w:val="auto"/>
                <w:lang w:val="en-US" w:eastAsia="zh-CN"/>
              </w:rPr>
              <w:t>300</w:t>
            </w:r>
          </w:p>
        </w:tc>
        <w:tc>
          <w:tcPr>
            <w:tcW w:w="1043" w:type="dxa"/>
            <w:shd w:val="clear" w:color="auto" w:fill="auto"/>
            <w:vAlign w:val="center"/>
          </w:tcPr>
          <w:p w14:paraId="22141509">
            <w:pPr>
              <w:pStyle w:val="178"/>
              <w:bidi w:val="0"/>
              <w:ind w:firstLine="0" w:firstLineChars="0"/>
              <w:rPr>
                <w:rFonts w:hint="default"/>
                <w:color w:val="auto"/>
                <w:lang w:val="en-US" w:eastAsia="zh-CN"/>
              </w:rPr>
            </w:pPr>
            <w:r>
              <w:rPr>
                <w:rFonts w:hint="default"/>
                <w:color w:val="auto"/>
                <w:lang w:val="en-US" w:eastAsia="zh-CN"/>
              </w:rPr>
              <w:t>0.16</w:t>
            </w:r>
          </w:p>
        </w:tc>
        <w:tc>
          <w:tcPr>
            <w:tcW w:w="1241" w:type="dxa"/>
            <w:vMerge w:val="continue"/>
            <w:vAlign w:val="center"/>
          </w:tcPr>
          <w:p w14:paraId="31B4F690">
            <w:pPr>
              <w:pStyle w:val="181"/>
              <w:rPr>
                <w:color w:val="auto"/>
              </w:rPr>
            </w:pPr>
          </w:p>
        </w:tc>
        <w:tc>
          <w:tcPr>
            <w:tcW w:w="1028" w:type="dxa"/>
            <w:shd w:val="clear" w:color="auto" w:fill="auto"/>
            <w:vAlign w:val="center"/>
          </w:tcPr>
          <w:p w14:paraId="65B1ACCB">
            <w:pPr>
              <w:pStyle w:val="181"/>
              <w:rPr>
                <w:color w:val="auto"/>
              </w:rPr>
            </w:pPr>
            <w:r>
              <w:rPr>
                <w:rFonts w:hint="eastAsia"/>
                <w:color w:val="auto"/>
                <w:lang w:val="en-US"/>
              </w:rPr>
              <w:t>/</w:t>
            </w:r>
          </w:p>
        </w:tc>
        <w:tc>
          <w:tcPr>
            <w:tcW w:w="1000" w:type="dxa"/>
            <w:shd w:val="clear" w:color="auto" w:fill="auto"/>
            <w:vAlign w:val="center"/>
          </w:tcPr>
          <w:p w14:paraId="56031C95">
            <w:pPr>
              <w:pStyle w:val="178"/>
              <w:bidi w:val="0"/>
              <w:ind w:firstLine="0" w:firstLineChars="0"/>
              <w:rPr>
                <w:rFonts w:hint="default"/>
                <w:color w:val="auto"/>
                <w:lang w:val="en-US" w:eastAsia="zh-CN"/>
              </w:rPr>
            </w:pPr>
            <w:r>
              <w:rPr>
                <w:rFonts w:hint="default"/>
                <w:color w:val="auto"/>
                <w:lang w:val="en-US" w:eastAsia="zh-CN"/>
              </w:rPr>
              <w:t>300</w:t>
            </w:r>
          </w:p>
        </w:tc>
        <w:tc>
          <w:tcPr>
            <w:tcW w:w="1025" w:type="dxa"/>
            <w:shd w:val="clear" w:color="auto" w:fill="auto"/>
            <w:vAlign w:val="center"/>
          </w:tcPr>
          <w:p w14:paraId="7A483F64">
            <w:pPr>
              <w:pStyle w:val="178"/>
              <w:bidi w:val="0"/>
              <w:ind w:firstLine="0" w:firstLineChars="0"/>
              <w:rPr>
                <w:rFonts w:hint="default"/>
                <w:color w:val="auto"/>
                <w:lang w:val="en-US" w:eastAsia="zh-CN"/>
              </w:rPr>
            </w:pPr>
            <w:r>
              <w:rPr>
                <w:rFonts w:hint="default"/>
                <w:color w:val="auto"/>
                <w:lang w:val="en-US" w:eastAsia="zh-CN"/>
              </w:rPr>
              <w:t>0.16</w:t>
            </w:r>
          </w:p>
        </w:tc>
        <w:tc>
          <w:tcPr>
            <w:tcW w:w="951" w:type="dxa"/>
            <w:vMerge w:val="continue"/>
            <w:vAlign w:val="center"/>
          </w:tcPr>
          <w:p w14:paraId="17F03BA5">
            <w:pPr>
              <w:pStyle w:val="181"/>
              <w:rPr>
                <w:color w:val="auto"/>
              </w:rPr>
            </w:pPr>
          </w:p>
        </w:tc>
        <w:tc>
          <w:tcPr>
            <w:tcW w:w="999" w:type="dxa"/>
            <w:shd w:val="clear" w:color="auto" w:fill="auto"/>
            <w:vAlign w:val="center"/>
          </w:tcPr>
          <w:p w14:paraId="6A6353BF">
            <w:pPr>
              <w:pStyle w:val="178"/>
              <w:bidi w:val="0"/>
              <w:ind w:firstLine="0" w:firstLineChars="0"/>
              <w:rPr>
                <w:rFonts w:hint="default"/>
                <w:color w:val="auto"/>
                <w:lang w:val="en-US" w:eastAsia="zh-CN"/>
              </w:rPr>
            </w:pPr>
            <w:r>
              <w:rPr>
                <w:rFonts w:hint="default"/>
                <w:color w:val="auto"/>
                <w:lang w:val="en-US" w:eastAsia="zh-CN"/>
              </w:rPr>
              <w:t>400</w:t>
            </w:r>
          </w:p>
        </w:tc>
        <w:tc>
          <w:tcPr>
            <w:tcW w:w="951" w:type="dxa"/>
            <w:shd w:val="clear" w:color="auto" w:fill="auto"/>
            <w:vAlign w:val="center"/>
          </w:tcPr>
          <w:p w14:paraId="3F7313BB">
            <w:pPr>
              <w:pStyle w:val="178"/>
              <w:bidi w:val="0"/>
              <w:ind w:firstLine="0" w:firstLineChars="0"/>
              <w:rPr>
                <w:rFonts w:hint="default"/>
                <w:color w:val="auto"/>
                <w:lang w:val="en-US" w:eastAsia="zh-CN"/>
              </w:rPr>
            </w:pPr>
            <w:r>
              <w:rPr>
                <w:rFonts w:hint="eastAsia"/>
                <w:color w:val="auto"/>
                <w:lang w:val="en-US" w:eastAsia="zh-CN"/>
              </w:rPr>
              <w:t>达标</w:t>
            </w:r>
          </w:p>
        </w:tc>
      </w:tr>
      <w:tr w14:paraId="580042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49" w:type="dxa"/>
            <w:vMerge w:val="continue"/>
            <w:vAlign w:val="center"/>
          </w:tcPr>
          <w:p w14:paraId="7FA6C497">
            <w:pPr>
              <w:pStyle w:val="181"/>
              <w:rPr>
                <w:color w:val="auto"/>
              </w:rPr>
            </w:pPr>
          </w:p>
        </w:tc>
        <w:tc>
          <w:tcPr>
            <w:tcW w:w="794" w:type="dxa"/>
            <w:vMerge w:val="continue"/>
            <w:vAlign w:val="center"/>
          </w:tcPr>
          <w:p w14:paraId="767C98D0">
            <w:pPr>
              <w:pStyle w:val="181"/>
              <w:rPr>
                <w:color w:val="auto"/>
              </w:rPr>
            </w:pPr>
          </w:p>
        </w:tc>
        <w:tc>
          <w:tcPr>
            <w:tcW w:w="846" w:type="dxa"/>
            <w:vMerge w:val="continue"/>
            <w:vAlign w:val="center"/>
          </w:tcPr>
          <w:p w14:paraId="0E8FB112">
            <w:pPr>
              <w:pStyle w:val="181"/>
              <w:rPr>
                <w:color w:val="auto"/>
              </w:rPr>
            </w:pPr>
          </w:p>
        </w:tc>
        <w:tc>
          <w:tcPr>
            <w:tcW w:w="2169" w:type="dxa"/>
            <w:shd w:val="clear" w:color="auto" w:fill="auto"/>
            <w:vAlign w:val="center"/>
          </w:tcPr>
          <w:p w14:paraId="60E4E256">
            <w:pPr>
              <w:pStyle w:val="181"/>
              <w:ind w:firstLine="0" w:firstLineChars="0"/>
              <w:rPr>
                <w:rFonts w:hint="eastAsia" w:ascii="Times New Roman" w:hAnsi="Times New Roman" w:eastAsia="宋体" w:cs="Times New Roman"/>
                <w:color w:val="auto"/>
                <w:kern w:val="2"/>
                <w:sz w:val="21"/>
                <w:szCs w:val="18"/>
                <w:lang w:val="zh-CN" w:eastAsia="zh-CN" w:bidi="ar-SA"/>
              </w:rPr>
            </w:pPr>
            <w:r>
              <w:rPr>
                <w:rFonts w:hint="eastAsia"/>
                <w:color w:val="auto"/>
              </w:rPr>
              <w:t>氨氮</w:t>
            </w:r>
          </w:p>
        </w:tc>
        <w:tc>
          <w:tcPr>
            <w:tcW w:w="1044" w:type="dxa"/>
            <w:shd w:val="clear" w:color="auto" w:fill="auto"/>
            <w:vAlign w:val="center"/>
          </w:tcPr>
          <w:p w14:paraId="1E2AECE9">
            <w:pPr>
              <w:pStyle w:val="178"/>
              <w:bidi w:val="0"/>
              <w:ind w:firstLine="0" w:firstLineChars="0"/>
              <w:rPr>
                <w:rFonts w:hint="eastAsia"/>
                <w:color w:val="auto"/>
                <w:lang w:val="zh-CN" w:eastAsia="zh-CN"/>
              </w:rPr>
            </w:pPr>
            <w:r>
              <w:rPr>
                <w:rFonts w:hint="default"/>
                <w:color w:val="auto"/>
                <w:lang w:val="en-US" w:eastAsia="zh-CN"/>
              </w:rPr>
              <w:t>35</w:t>
            </w:r>
          </w:p>
        </w:tc>
        <w:tc>
          <w:tcPr>
            <w:tcW w:w="1043" w:type="dxa"/>
            <w:shd w:val="clear" w:color="auto" w:fill="auto"/>
            <w:vAlign w:val="center"/>
          </w:tcPr>
          <w:p w14:paraId="36C3BDD4">
            <w:pPr>
              <w:pStyle w:val="178"/>
              <w:bidi w:val="0"/>
              <w:ind w:firstLine="0" w:firstLineChars="0"/>
              <w:rPr>
                <w:rFonts w:hint="eastAsia"/>
                <w:color w:val="auto"/>
                <w:lang w:val="en-US" w:eastAsia="zh-CN"/>
              </w:rPr>
            </w:pPr>
            <w:r>
              <w:rPr>
                <w:rFonts w:hint="default"/>
                <w:color w:val="auto"/>
                <w:lang w:val="en-US" w:eastAsia="zh-CN"/>
              </w:rPr>
              <w:t>0.02</w:t>
            </w:r>
          </w:p>
        </w:tc>
        <w:tc>
          <w:tcPr>
            <w:tcW w:w="1241" w:type="dxa"/>
            <w:vMerge w:val="continue"/>
            <w:shd w:val="clear" w:color="auto" w:fill="auto"/>
            <w:vAlign w:val="center"/>
          </w:tcPr>
          <w:p w14:paraId="14FF98DE">
            <w:pPr>
              <w:pStyle w:val="181"/>
              <w:ind w:firstLine="0" w:firstLineChars="0"/>
              <w:rPr>
                <w:rFonts w:ascii="Times New Roman" w:hAnsi="Times New Roman" w:eastAsia="宋体" w:cs="Times New Roman"/>
                <w:color w:val="auto"/>
                <w:kern w:val="2"/>
                <w:sz w:val="21"/>
                <w:szCs w:val="18"/>
                <w:lang w:val="zh-CN" w:eastAsia="zh-CN" w:bidi="ar-SA"/>
              </w:rPr>
            </w:pPr>
          </w:p>
        </w:tc>
        <w:tc>
          <w:tcPr>
            <w:tcW w:w="1028" w:type="dxa"/>
            <w:shd w:val="clear" w:color="auto" w:fill="auto"/>
            <w:vAlign w:val="center"/>
          </w:tcPr>
          <w:p w14:paraId="7BC23D61">
            <w:pPr>
              <w:pStyle w:val="181"/>
              <w:ind w:firstLine="0" w:firstLineChars="0"/>
              <w:rPr>
                <w:rFonts w:hint="eastAsia" w:ascii="Times New Roman" w:hAnsi="Times New Roman" w:eastAsia="宋体" w:cs="Times New Roman"/>
                <w:color w:val="auto"/>
                <w:kern w:val="2"/>
                <w:sz w:val="21"/>
                <w:szCs w:val="18"/>
                <w:lang w:val="en-US" w:eastAsia="zh-CN" w:bidi="ar-SA"/>
              </w:rPr>
            </w:pPr>
            <w:r>
              <w:rPr>
                <w:rFonts w:hint="eastAsia"/>
                <w:color w:val="auto"/>
                <w:lang w:val="en-US"/>
              </w:rPr>
              <w:t>/</w:t>
            </w:r>
          </w:p>
        </w:tc>
        <w:tc>
          <w:tcPr>
            <w:tcW w:w="1000" w:type="dxa"/>
            <w:shd w:val="clear" w:color="auto" w:fill="auto"/>
            <w:vAlign w:val="center"/>
          </w:tcPr>
          <w:p w14:paraId="322C1AA1">
            <w:pPr>
              <w:pStyle w:val="178"/>
              <w:bidi w:val="0"/>
              <w:ind w:firstLine="0" w:firstLineChars="0"/>
              <w:rPr>
                <w:rFonts w:hint="eastAsia"/>
                <w:color w:val="auto"/>
                <w:lang w:val="en-US" w:eastAsia="zh-CN"/>
              </w:rPr>
            </w:pPr>
            <w:r>
              <w:rPr>
                <w:rFonts w:hint="default"/>
                <w:color w:val="auto"/>
                <w:lang w:val="en-US" w:eastAsia="zh-CN"/>
              </w:rPr>
              <w:t>35</w:t>
            </w:r>
          </w:p>
        </w:tc>
        <w:tc>
          <w:tcPr>
            <w:tcW w:w="1025" w:type="dxa"/>
            <w:shd w:val="clear" w:color="auto" w:fill="auto"/>
            <w:vAlign w:val="center"/>
          </w:tcPr>
          <w:p w14:paraId="47FEA909">
            <w:pPr>
              <w:pStyle w:val="178"/>
              <w:bidi w:val="0"/>
              <w:ind w:firstLine="0" w:firstLineChars="0"/>
              <w:rPr>
                <w:rFonts w:hint="eastAsia"/>
                <w:color w:val="auto"/>
                <w:lang w:val="en-US" w:eastAsia="zh-CN"/>
              </w:rPr>
            </w:pPr>
            <w:r>
              <w:rPr>
                <w:rFonts w:hint="default"/>
                <w:color w:val="auto"/>
                <w:lang w:val="en-US" w:eastAsia="zh-CN"/>
              </w:rPr>
              <w:t>0.02</w:t>
            </w:r>
          </w:p>
        </w:tc>
        <w:tc>
          <w:tcPr>
            <w:tcW w:w="951" w:type="dxa"/>
            <w:vMerge w:val="continue"/>
            <w:shd w:val="clear" w:color="auto" w:fill="auto"/>
            <w:vAlign w:val="center"/>
          </w:tcPr>
          <w:p w14:paraId="671AFE3C">
            <w:pPr>
              <w:pStyle w:val="181"/>
              <w:ind w:firstLine="0" w:firstLineChars="0"/>
              <w:rPr>
                <w:rFonts w:ascii="Times New Roman" w:hAnsi="Times New Roman" w:eastAsia="宋体" w:cs="Times New Roman"/>
                <w:color w:val="auto"/>
                <w:kern w:val="2"/>
                <w:sz w:val="21"/>
                <w:szCs w:val="18"/>
                <w:lang w:val="zh-CN" w:eastAsia="zh-CN" w:bidi="ar-SA"/>
              </w:rPr>
            </w:pPr>
          </w:p>
        </w:tc>
        <w:tc>
          <w:tcPr>
            <w:tcW w:w="999" w:type="dxa"/>
            <w:shd w:val="clear" w:color="auto" w:fill="auto"/>
            <w:vAlign w:val="center"/>
          </w:tcPr>
          <w:p w14:paraId="04C7186D">
            <w:pPr>
              <w:pStyle w:val="178"/>
              <w:bidi w:val="0"/>
              <w:ind w:firstLine="0" w:firstLineChars="0"/>
              <w:rPr>
                <w:rFonts w:hint="eastAsia"/>
                <w:color w:val="auto"/>
                <w:lang w:val="zh-CN" w:eastAsia="zh-CN"/>
              </w:rPr>
            </w:pPr>
            <w:r>
              <w:rPr>
                <w:rFonts w:hint="default"/>
                <w:color w:val="auto"/>
                <w:lang w:val="en-US" w:eastAsia="zh-CN"/>
              </w:rPr>
              <w:t>45</w:t>
            </w:r>
          </w:p>
        </w:tc>
        <w:tc>
          <w:tcPr>
            <w:tcW w:w="951" w:type="dxa"/>
            <w:shd w:val="clear" w:color="auto" w:fill="auto"/>
            <w:vAlign w:val="center"/>
          </w:tcPr>
          <w:p w14:paraId="677DC4FE">
            <w:pPr>
              <w:pStyle w:val="178"/>
              <w:bidi w:val="0"/>
              <w:ind w:firstLine="0" w:firstLineChars="0"/>
              <w:rPr>
                <w:rFonts w:hint="eastAsia"/>
                <w:color w:val="auto"/>
                <w:lang w:val="zh-CN" w:eastAsia="zh-CN"/>
              </w:rPr>
            </w:pPr>
            <w:r>
              <w:rPr>
                <w:rFonts w:hint="eastAsia"/>
                <w:color w:val="auto"/>
                <w:lang w:val="en-US" w:eastAsia="zh-CN"/>
              </w:rPr>
              <w:t>达标</w:t>
            </w:r>
          </w:p>
        </w:tc>
      </w:tr>
      <w:tr w14:paraId="4360DE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49" w:type="dxa"/>
            <w:vMerge w:val="continue"/>
            <w:vAlign w:val="center"/>
          </w:tcPr>
          <w:p w14:paraId="3A2B36BA">
            <w:pPr>
              <w:pStyle w:val="181"/>
              <w:rPr>
                <w:color w:val="auto"/>
              </w:rPr>
            </w:pPr>
          </w:p>
        </w:tc>
        <w:tc>
          <w:tcPr>
            <w:tcW w:w="794" w:type="dxa"/>
            <w:vMerge w:val="continue"/>
            <w:vAlign w:val="center"/>
          </w:tcPr>
          <w:p w14:paraId="2A62BE22">
            <w:pPr>
              <w:pStyle w:val="181"/>
              <w:rPr>
                <w:color w:val="auto"/>
              </w:rPr>
            </w:pPr>
          </w:p>
        </w:tc>
        <w:tc>
          <w:tcPr>
            <w:tcW w:w="846" w:type="dxa"/>
            <w:vMerge w:val="continue"/>
            <w:vAlign w:val="center"/>
          </w:tcPr>
          <w:p w14:paraId="2296F7CE">
            <w:pPr>
              <w:pStyle w:val="181"/>
              <w:rPr>
                <w:color w:val="auto"/>
              </w:rPr>
            </w:pPr>
          </w:p>
        </w:tc>
        <w:tc>
          <w:tcPr>
            <w:tcW w:w="2169" w:type="dxa"/>
            <w:shd w:val="clear" w:color="auto" w:fill="auto"/>
            <w:vAlign w:val="center"/>
          </w:tcPr>
          <w:p w14:paraId="56F0106C">
            <w:pPr>
              <w:pStyle w:val="181"/>
              <w:rPr>
                <w:rFonts w:hint="eastAsia" w:eastAsia="宋体"/>
                <w:color w:val="auto"/>
                <w:lang w:eastAsia="zh-CN"/>
              </w:rPr>
            </w:pPr>
            <w:r>
              <w:rPr>
                <w:rFonts w:hint="eastAsia"/>
                <w:color w:val="auto"/>
                <w:lang w:eastAsia="zh-CN"/>
              </w:rPr>
              <w:t>总氮</w:t>
            </w:r>
          </w:p>
        </w:tc>
        <w:tc>
          <w:tcPr>
            <w:tcW w:w="1044" w:type="dxa"/>
            <w:shd w:val="clear" w:color="auto" w:fill="auto"/>
            <w:vAlign w:val="center"/>
          </w:tcPr>
          <w:p w14:paraId="7939C87B">
            <w:pPr>
              <w:pStyle w:val="178"/>
              <w:bidi w:val="0"/>
              <w:ind w:firstLine="0" w:firstLineChars="0"/>
              <w:rPr>
                <w:rFonts w:hint="eastAsia"/>
                <w:color w:val="auto"/>
                <w:lang w:val="en-US" w:eastAsia="zh-CN"/>
              </w:rPr>
            </w:pPr>
            <w:r>
              <w:rPr>
                <w:rFonts w:hint="default"/>
                <w:color w:val="auto"/>
                <w:lang w:val="en-US" w:eastAsia="zh-CN"/>
              </w:rPr>
              <w:t>70</w:t>
            </w:r>
          </w:p>
        </w:tc>
        <w:tc>
          <w:tcPr>
            <w:tcW w:w="1043" w:type="dxa"/>
            <w:shd w:val="clear" w:color="auto" w:fill="auto"/>
            <w:vAlign w:val="center"/>
          </w:tcPr>
          <w:p w14:paraId="30DBDFE3">
            <w:pPr>
              <w:pStyle w:val="178"/>
              <w:bidi w:val="0"/>
              <w:ind w:firstLine="0" w:firstLineChars="0"/>
              <w:rPr>
                <w:rFonts w:hint="eastAsia"/>
                <w:color w:val="auto"/>
                <w:lang w:val="en-US" w:eastAsia="zh-CN"/>
              </w:rPr>
            </w:pPr>
            <w:r>
              <w:rPr>
                <w:rFonts w:hint="default"/>
                <w:color w:val="auto"/>
                <w:lang w:val="en-US" w:eastAsia="zh-CN"/>
              </w:rPr>
              <w:t>0.04</w:t>
            </w:r>
          </w:p>
        </w:tc>
        <w:tc>
          <w:tcPr>
            <w:tcW w:w="1241" w:type="dxa"/>
            <w:vMerge w:val="continue"/>
            <w:vAlign w:val="center"/>
          </w:tcPr>
          <w:p w14:paraId="432C8DE2">
            <w:pPr>
              <w:pStyle w:val="181"/>
              <w:rPr>
                <w:color w:val="auto"/>
              </w:rPr>
            </w:pPr>
          </w:p>
        </w:tc>
        <w:tc>
          <w:tcPr>
            <w:tcW w:w="1028" w:type="dxa"/>
            <w:shd w:val="clear" w:color="auto" w:fill="auto"/>
            <w:vAlign w:val="center"/>
          </w:tcPr>
          <w:p w14:paraId="327AD04F">
            <w:pPr>
              <w:pStyle w:val="181"/>
              <w:rPr>
                <w:rFonts w:hint="eastAsia"/>
                <w:color w:val="auto"/>
                <w:lang w:val="en-US"/>
              </w:rPr>
            </w:pPr>
          </w:p>
        </w:tc>
        <w:tc>
          <w:tcPr>
            <w:tcW w:w="1000" w:type="dxa"/>
            <w:shd w:val="clear" w:color="auto" w:fill="auto"/>
            <w:vAlign w:val="center"/>
          </w:tcPr>
          <w:p w14:paraId="1CD027BE">
            <w:pPr>
              <w:pStyle w:val="178"/>
              <w:bidi w:val="0"/>
              <w:ind w:firstLine="0" w:firstLineChars="0"/>
              <w:rPr>
                <w:rFonts w:hint="eastAsia"/>
                <w:color w:val="auto"/>
                <w:lang w:val="en-US" w:eastAsia="zh-CN"/>
              </w:rPr>
            </w:pPr>
            <w:r>
              <w:rPr>
                <w:rFonts w:hint="default"/>
                <w:color w:val="auto"/>
                <w:lang w:val="en-US" w:eastAsia="zh-CN"/>
              </w:rPr>
              <w:t>70</w:t>
            </w:r>
          </w:p>
        </w:tc>
        <w:tc>
          <w:tcPr>
            <w:tcW w:w="1025" w:type="dxa"/>
            <w:shd w:val="clear" w:color="auto" w:fill="auto"/>
            <w:vAlign w:val="center"/>
          </w:tcPr>
          <w:p w14:paraId="214D1A3A">
            <w:pPr>
              <w:pStyle w:val="178"/>
              <w:bidi w:val="0"/>
              <w:ind w:firstLine="0" w:firstLineChars="0"/>
              <w:rPr>
                <w:rFonts w:hint="eastAsia"/>
                <w:color w:val="auto"/>
                <w:lang w:val="en-US" w:eastAsia="zh-CN"/>
              </w:rPr>
            </w:pPr>
            <w:r>
              <w:rPr>
                <w:rFonts w:hint="default"/>
                <w:color w:val="auto"/>
                <w:lang w:val="en-US" w:eastAsia="zh-CN"/>
              </w:rPr>
              <w:t>0.04</w:t>
            </w:r>
          </w:p>
        </w:tc>
        <w:tc>
          <w:tcPr>
            <w:tcW w:w="951" w:type="dxa"/>
            <w:vMerge w:val="continue"/>
            <w:vAlign w:val="center"/>
          </w:tcPr>
          <w:p w14:paraId="5CAB5ED3">
            <w:pPr>
              <w:pStyle w:val="181"/>
              <w:rPr>
                <w:color w:val="auto"/>
              </w:rPr>
            </w:pPr>
          </w:p>
        </w:tc>
        <w:tc>
          <w:tcPr>
            <w:tcW w:w="999" w:type="dxa"/>
            <w:shd w:val="clear" w:color="auto" w:fill="auto"/>
            <w:vAlign w:val="center"/>
          </w:tcPr>
          <w:p w14:paraId="37E03DF2">
            <w:pPr>
              <w:pStyle w:val="178"/>
              <w:bidi w:val="0"/>
              <w:ind w:firstLine="0" w:firstLineChars="0"/>
              <w:rPr>
                <w:rFonts w:hint="eastAsia"/>
                <w:color w:val="auto"/>
                <w:lang w:val="en-US" w:eastAsia="zh-CN"/>
              </w:rPr>
            </w:pPr>
            <w:r>
              <w:rPr>
                <w:rFonts w:hint="default"/>
                <w:color w:val="auto"/>
                <w:lang w:val="en-US" w:eastAsia="zh-CN"/>
              </w:rPr>
              <w:t>70</w:t>
            </w:r>
          </w:p>
        </w:tc>
        <w:tc>
          <w:tcPr>
            <w:tcW w:w="951" w:type="dxa"/>
            <w:shd w:val="clear" w:color="auto" w:fill="auto"/>
            <w:vAlign w:val="center"/>
          </w:tcPr>
          <w:p w14:paraId="470509FC">
            <w:pPr>
              <w:pStyle w:val="178"/>
              <w:bidi w:val="0"/>
              <w:ind w:firstLine="0" w:firstLineChars="0"/>
              <w:rPr>
                <w:rFonts w:hint="eastAsia"/>
                <w:color w:val="auto"/>
                <w:lang w:val="en-US" w:eastAsia="zh-CN"/>
              </w:rPr>
            </w:pPr>
            <w:r>
              <w:rPr>
                <w:rFonts w:hint="eastAsia"/>
                <w:color w:val="auto"/>
                <w:lang w:val="en-US" w:eastAsia="zh-CN"/>
              </w:rPr>
              <w:t>达标</w:t>
            </w:r>
          </w:p>
        </w:tc>
      </w:tr>
      <w:tr w14:paraId="571017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49" w:type="dxa"/>
            <w:vMerge w:val="continue"/>
            <w:vAlign w:val="center"/>
          </w:tcPr>
          <w:p w14:paraId="11E842F8">
            <w:pPr>
              <w:pStyle w:val="181"/>
              <w:rPr>
                <w:color w:val="auto"/>
              </w:rPr>
            </w:pPr>
          </w:p>
        </w:tc>
        <w:tc>
          <w:tcPr>
            <w:tcW w:w="794" w:type="dxa"/>
            <w:vMerge w:val="continue"/>
            <w:vAlign w:val="center"/>
          </w:tcPr>
          <w:p w14:paraId="0D81D1FE">
            <w:pPr>
              <w:pStyle w:val="181"/>
              <w:rPr>
                <w:color w:val="auto"/>
              </w:rPr>
            </w:pPr>
          </w:p>
        </w:tc>
        <w:tc>
          <w:tcPr>
            <w:tcW w:w="846" w:type="dxa"/>
            <w:vMerge w:val="continue"/>
            <w:vAlign w:val="center"/>
          </w:tcPr>
          <w:p w14:paraId="787E5F1F">
            <w:pPr>
              <w:pStyle w:val="181"/>
              <w:rPr>
                <w:color w:val="auto"/>
              </w:rPr>
            </w:pPr>
          </w:p>
        </w:tc>
        <w:tc>
          <w:tcPr>
            <w:tcW w:w="2169" w:type="dxa"/>
            <w:shd w:val="clear" w:color="auto" w:fill="auto"/>
            <w:vAlign w:val="center"/>
          </w:tcPr>
          <w:p w14:paraId="49916518">
            <w:pPr>
              <w:pStyle w:val="181"/>
              <w:rPr>
                <w:rFonts w:hint="eastAsia" w:eastAsia="宋体"/>
                <w:color w:val="auto"/>
                <w:lang w:eastAsia="zh-CN"/>
              </w:rPr>
            </w:pPr>
            <w:r>
              <w:rPr>
                <w:rFonts w:hint="eastAsia"/>
                <w:color w:val="auto"/>
                <w:lang w:eastAsia="zh-CN"/>
              </w:rPr>
              <w:t>总磷</w:t>
            </w:r>
          </w:p>
        </w:tc>
        <w:tc>
          <w:tcPr>
            <w:tcW w:w="1044" w:type="dxa"/>
            <w:shd w:val="clear" w:color="auto" w:fill="auto"/>
            <w:vAlign w:val="center"/>
          </w:tcPr>
          <w:p w14:paraId="0882DD33">
            <w:pPr>
              <w:pStyle w:val="178"/>
              <w:bidi w:val="0"/>
              <w:ind w:firstLine="0" w:firstLineChars="0"/>
              <w:rPr>
                <w:rFonts w:hint="default"/>
                <w:color w:val="auto"/>
                <w:lang w:val="en-US" w:eastAsia="zh-CN"/>
              </w:rPr>
            </w:pPr>
            <w:r>
              <w:rPr>
                <w:rFonts w:hint="default"/>
                <w:color w:val="auto"/>
                <w:lang w:val="en-US" w:eastAsia="zh-CN"/>
              </w:rPr>
              <w:t>5</w:t>
            </w:r>
          </w:p>
        </w:tc>
        <w:tc>
          <w:tcPr>
            <w:tcW w:w="1043" w:type="dxa"/>
            <w:shd w:val="clear" w:color="auto" w:fill="auto"/>
            <w:vAlign w:val="center"/>
          </w:tcPr>
          <w:p w14:paraId="3571B74D">
            <w:pPr>
              <w:pStyle w:val="178"/>
              <w:bidi w:val="0"/>
              <w:ind w:firstLine="0" w:firstLineChars="0"/>
              <w:rPr>
                <w:rFonts w:hint="default"/>
                <w:color w:val="auto"/>
                <w:lang w:val="en-US" w:eastAsia="zh-CN"/>
              </w:rPr>
            </w:pPr>
            <w:r>
              <w:rPr>
                <w:rFonts w:hint="default"/>
                <w:color w:val="auto"/>
                <w:lang w:val="en-US" w:eastAsia="zh-CN"/>
              </w:rPr>
              <w:t>0.003</w:t>
            </w:r>
          </w:p>
        </w:tc>
        <w:tc>
          <w:tcPr>
            <w:tcW w:w="1241" w:type="dxa"/>
            <w:vMerge w:val="continue"/>
            <w:vAlign w:val="center"/>
          </w:tcPr>
          <w:p w14:paraId="623B649E">
            <w:pPr>
              <w:pStyle w:val="181"/>
              <w:rPr>
                <w:color w:val="auto"/>
              </w:rPr>
            </w:pPr>
          </w:p>
        </w:tc>
        <w:tc>
          <w:tcPr>
            <w:tcW w:w="1028" w:type="dxa"/>
            <w:shd w:val="clear" w:color="auto" w:fill="auto"/>
            <w:vAlign w:val="center"/>
          </w:tcPr>
          <w:p w14:paraId="1B0271ED">
            <w:pPr>
              <w:pStyle w:val="181"/>
              <w:rPr>
                <w:color w:val="auto"/>
              </w:rPr>
            </w:pPr>
          </w:p>
        </w:tc>
        <w:tc>
          <w:tcPr>
            <w:tcW w:w="1000" w:type="dxa"/>
            <w:shd w:val="clear" w:color="auto" w:fill="auto"/>
            <w:vAlign w:val="center"/>
          </w:tcPr>
          <w:p w14:paraId="7DE36930">
            <w:pPr>
              <w:pStyle w:val="178"/>
              <w:bidi w:val="0"/>
              <w:ind w:firstLine="0" w:firstLineChars="0"/>
              <w:rPr>
                <w:rFonts w:hint="default"/>
                <w:color w:val="auto"/>
                <w:lang w:val="en-US" w:eastAsia="zh-CN"/>
              </w:rPr>
            </w:pPr>
            <w:r>
              <w:rPr>
                <w:rFonts w:hint="default"/>
                <w:color w:val="auto"/>
                <w:lang w:val="en-US" w:eastAsia="zh-CN"/>
              </w:rPr>
              <w:t>5</w:t>
            </w:r>
          </w:p>
        </w:tc>
        <w:tc>
          <w:tcPr>
            <w:tcW w:w="1025" w:type="dxa"/>
            <w:shd w:val="clear" w:color="auto" w:fill="auto"/>
            <w:vAlign w:val="center"/>
          </w:tcPr>
          <w:p w14:paraId="4335671C">
            <w:pPr>
              <w:pStyle w:val="178"/>
              <w:bidi w:val="0"/>
              <w:ind w:firstLine="0" w:firstLineChars="0"/>
              <w:rPr>
                <w:rFonts w:hint="default"/>
                <w:color w:val="auto"/>
                <w:lang w:val="en-US" w:eastAsia="zh-CN"/>
              </w:rPr>
            </w:pPr>
            <w:r>
              <w:rPr>
                <w:rFonts w:hint="default"/>
                <w:color w:val="auto"/>
                <w:lang w:val="en-US" w:eastAsia="zh-CN"/>
              </w:rPr>
              <w:t>0.003</w:t>
            </w:r>
          </w:p>
        </w:tc>
        <w:tc>
          <w:tcPr>
            <w:tcW w:w="951" w:type="dxa"/>
            <w:vMerge w:val="continue"/>
            <w:vAlign w:val="center"/>
          </w:tcPr>
          <w:p w14:paraId="05EC153C">
            <w:pPr>
              <w:pStyle w:val="181"/>
              <w:rPr>
                <w:color w:val="auto"/>
              </w:rPr>
            </w:pPr>
          </w:p>
        </w:tc>
        <w:tc>
          <w:tcPr>
            <w:tcW w:w="999" w:type="dxa"/>
            <w:shd w:val="clear" w:color="auto" w:fill="auto"/>
            <w:vAlign w:val="center"/>
          </w:tcPr>
          <w:p w14:paraId="20399DC7">
            <w:pPr>
              <w:pStyle w:val="178"/>
              <w:bidi w:val="0"/>
              <w:ind w:firstLine="0" w:firstLineChars="0"/>
              <w:rPr>
                <w:rFonts w:hint="default"/>
                <w:color w:val="auto"/>
                <w:lang w:val="en-US" w:eastAsia="zh-CN"/>
              </w:rPr>
            </w:pPr>
            <w:r>
              <w:rPr>
                <w:rFonts w:hint="default"/>
                <w:color w:val="auto"/>
                <w:lang w:val="en-US" w:eastAsia="zh-CN"/>
              </w:rPr>
              <w:t>8</w:t>
            </w:r>
          </w:p>
        </w:tc>
        <w:tc>
          <w:tcPr>
            <w:tcW w:w="951" w:type="dxa"/>
            <w:shd w:val="clear" w:color="auto" w:fill="auto"/>
            <w:vAlign w:val="center"/>
          </w:tcPr>
          <w:p w14:paraId="2FD9B63D">
            <w:pPr>
              <w:pStyle w:val="178"/>
              <w:bidi w:val="0"/>
              <w:ind w:firstLine="0" w:firstLineChars="0"/>
              <w:rPr>
                <w:rFonts w:hint="default"/>
                <w:color w:val="auto"/>
                <w:lang w:val="en-US" w:eastAsia="zh-CN"/>
              </w:rPr>
            </w:pPr>
            <w:r>
              <w:rPr>
                <w:rFonts w:hint="eastAsia"/>
                <w:color w:val="auto"/>
                <w:lang w:val="en-US" w:eastAsia="zh-CN"/>
              </w:rPr>
              <w:t>达标</w:t>
            </w:r>
          </w:p>
        </w:tc>
      </w:tr>
      <w:tr w14:paraId="73EA1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49" w:type="dxa"/>
            <w:vMerge w:val="restart"/>
            <w:shd w:val="clear" w:color="auto" w:fill="auto"/>
            <w:vAlign w:val="center"/>
          </w:tcPr>
          <w:p w14:paraId="68CEDF73">
            <w:pPr>
              <w:pStyle w:val="181"/>
              <w:rPr>
                <w:color w:val="auto"/>
              </w:rPr>
            </w:pPr>
            <w:r>
              <w:rPr>
                <w:rFonts w:hint="eastAsia"/>
                <w:color w:val="auto"/>
              </w:rPr>
              <w:t>合计进入园区污水处理厂</w:t>
            </w:r>
          </w:p>
        </w:tc>
        <w:tc>
          <w:tcPr>
            <w:tcW w:w="794" w:type="dxa"/>
            <w:vMerge w:val="restart"/>
            <w:shd w:val="clear" w:color="auto" w:fill="auto"/>
            <w:vAlign w:val="center"/>
          </w:tcPr>
          <w:p w14:paraId="5D96DF76">
            <w:pPr>
              <w:pStyle w:val="181"/>
              <w:rPr>
                <w:rFonts w:hint="eastAsia"/>
                <w:color w:val="auto"/>
                <w:lang w:val="en-US"/>
              </w:rPr>
            </w:pPr>
            <w:r>
              <w:rPr>
                <w:rFonts w:hint="default"/>
                <w:color w:val="auto"/>
                <w:lang w:val="en-US" w:eastAsia="zh-CN"/>
              </w:rPr>
              <w:t>1957.8</w:t>
            </w:r>
          </w:p>
        </w:tc>
        <w:tc>
          <w:tcPr>
            <w:tcW w:w="846" w:type="dxa"/>
            <w:vMerge w:val="restart"/>
            <w:shd w:val="clear" w:color="auto" w:fill="auto"/>
            <w:vAlign w:val="center"/>
          </w:tcPr>
          <w:p w14:paraId="00469662">
            <w:pPr>
              <w:pStyle w:val="181"/>
              <w:rPr>
                <w:rFonts w:hint="eastAsia"/>
                <w:color w:val="auto"/>
                <w:lang w:val="en-US"/>
              </w:rPr>
            </w:pPr>
            <w:r>
              <w:rPr>
                <w:rFonts w:hint="default"/>
                <w:color w:val="auto"/>
                <w:lang w:val="en-US" w:eastAsia="zh-CN"/>
              </w:rPr>
              <w:t>587340</w:t>
            </w:r>
          </w:p>
        </w:tc>
        <w:tc>
          <w:tcPr>
            <w:tcW w:w="2169" w:type="dxa"/>
            <w:shd w:val="clear" w:color="auto" w:fill="auto"/>
            <w:vAlign w:val="center"/>
          </w:tcPr>
          <w:p w14:paraId="1EC83FAD">
            <w:pPr>
              <w:pStyle w:val="181"/>
              <w:rPr>
                <w:color w:val="auto"/>
              </w:rPr>
            </w:pPr>
            <w:r>
              <w:rPr>
                <w:rFonts w:hint="eastAsia"/>
                <w:color w:val="auto"/>
              </w:rPr>
              <w:t>pH（无量纲）</w:t>
            </w:r>
          </w:p>
        </w:tc>
        <w:tc>
          <w:tcPr>
            <w:tcW w:w="1044" w:type="dxa"/>
            <w:shd w:val="clear" w:color="auto" w:fill="auto"/>
            <w:vAlign w:val="center"/>
          </w:tcPr>
          <w:p w14:paraId="6EDA4C3B">
            <w:pPr>
              <w:pStyle w:val="181"/>
              <w:rPr>
                <w:color w:val="auto"/>
              </w:rPr>
            </w:pPr>
            <w:r>
              <w:rPr>
                <w:rFonts w:hint="eastAsia"/>
                <w:color w:val="auto"/>
              </w:rPr>
              <w:t>6~9</w:t>
            </w:r>
          </w:p>
        </w:tc>
        <w:tc>
          <w:tcPr>
            <w:tcW w:w="1043" w:type="dxa"/>
            <w:shd w:val="clear" w:color="auto" w:fill="auto"/>
            <w:vAlign w:val="center"/>
          </w:tcPr>
          <w:p w14:paraId="6F83C2A8">
            <w:pPr>
              <w:pStyle w:val="181"/>
              <w:rPr>
                <w:color w:val="auto"/>
              </w:rPr>
            </w:pPr>
            <w:r>
              <w:rPr>
                <w:rFonts w:hint="eastAsia"/>
                <w:color w:val="auto"/>
              </w:rPr>
              <w:t>/</w:t>
            </w:r>
          </w:p>
        </w:tc>
        <w:tc>
          <w:tcPr>
            <w:tcW w:w="1241" w:type="dxa"/>
            <w:vMerge w:val="restart"/>
            <w:shd w:val="clear" w:color="auto" w:fill="auto"/>
            <w:vAlign w:val="center"/>
          </w:tcPr>
          <w:p w14:paraId="0ACB14A9">
            <w:pPr>
              <w:pStyle w:val="181"/>
              <w:rPr>
                <w:color w:val="auto"/>
              </w:rPr>
            </w:pPr>
            <w:r>
              <w:rPr>
                <w:rFonts w:hint="eastAsia"/>
                <w:color w:val="auto"/>
                <w:lang w:eastAsia="zh-CN"/>
              </w:rPr>
              <w:t>调节+气浮+化学除重+高密软化沉淀+芬顿氧化+中和沉淀+精密过滤+DTRO膜浓缩+浓水蒸发结晶</w:t>
            </w:r>
          </w:p>
        </w:tc>
        <w:tc>
          <w:tcPr>
            <w:tcW w:w="1028" w:type="dxa"/>
            <w:shd w:val="clear" w:color="auto" w:fill="auto"/>
            <w:vAlign w:val="center"/>
          </w:tcPr>
          <w:p w14:paraId="1D5D5974">
            <w:pPr>
              <w:pStyle w:val="181"/>
              <w:rPr>
                <w:color w:val="auto"/>
              </w:rPr>
            </w:pPr>
            <w:r>
              <w:rPr>
                <w:rFonts w:hint="eastAsia"/>
                <w:color w:val="auto"/>
              </w:rPr>
              <w:t>/</w:t>
            </w:r>
          </w:p>
        </w:tc>
        <w:tc>
          <w:tcPr>
            <w:tcW w:w="1000" w:type="dxa"/>
            <w:shd w:val="clear" w:color="auto" w:fill="auto"/>
            <w:vAlign w:val="center"/>
          </w:tcPr>
          <w:p w14:paraId="35E59372">
            <w:pPr>
              <w:pStyle w:val="181"/>
              <w:rPr>
                <w:color w:val="auto"/>
              </w:rPr>
            </w:pPr>
            <w:r>
              <w:rPr>
                <w:rFonts w:hint="eastAsia"/>
                <w:color w:val="auto"/>
              </w:rPr>
              <w:t>6~9</w:t>
            </w:r>
          </w:p>
        </w:tc>
        <w:tc>
          <w:tcPr>
            <w:tcW w:w="1025" w:type="dxa"/>
            <w:shd w:val="clear" w:color="auto" w:fill="auto"/>
            <w:vAlign w:val="center"/>
          </w:tcPr>
          <w:p w14:paraId="0735B69C">
            <w:pPr>
              <w:pStyle w:val="181"/>
              <w:rPr>
                <w:color w:val="auto"/>
              </w:rPr>
            </w:pPr>
            <w:r>
              <w:rPr>
                <w:rFonts w:hint="eastAsia"/>
                <w:color w:val="auto"/>
              </w:rPr>
              <w:t>/</w:t>
            </w:r>
          </w:p>
        </w:tc>
        <w:tc>
          <w:tcPr>
            <w:tcW w:w="951" w:type="dxa"/>
            <w:vMerge w:val="restart"/>
            <w:shd w:val="clear" w:color="auto" w:fill="auto"/>
            <w:vAlign w:val="center"/>
          </w:tcPr>
          <w:p w14:paraId="48E3F358">
            <w:pPr>
              <w:pStyle w:val="181"/>
              <w:rPr>
                <w:rFonts w:hint="eastAsia" w:eastAsia="宋体"/>
                <w:color w:val="auto"/>
                <w:lang w:eastAsia="zh-CN"/>
              </w:rPr>
            </w:pPr>
            <w:r>
              <w:rPr>
                <w:rFonts w:hint="eastAsia"/>
                <w:color w:val="auto"/>
                <w:lang w:eastAsia="zh-CN"/>
              </w:rPr>
              <w:t>长江</w:t>
            </w:r>
          </w:p>
        </w:tc>
        <w:tc>
          <w:tcPr>
            <w:tcW w:w="999" w:type="dxa"/>
            <w:shd w:val="clear" w:color="auto" w:fill="auto"/>
            <w:vAlign w:val="center"/>
          </w:tcPr>
          <w:p w14:paraId="79F1FE14">
            <w:pPr>
              <w:pStyle w:val="181"/>
              <w:rPr>
                <w:color w:val="auto"/>
              </w:rPr>
            </w:pPr>
            <w:r>
              <w:rPr>
                <w:rFonts w:hint="eastAsia"/>
                <w:color w:val="auto"/>
              </w:rPr>
              <w:t>6~9</w:t>
            </w:r>
          </w:p>
        </w:tc>
        <w:tc>
          <w:tcPr>
            <w:tcW w:w="951" w:type="dxa"/>
            <w:shd w:val="clear" w:color="auto" w:fill="auto"/>
            <w:vAlign w:val="center"/>
          </w:tcPr>
          <w:p w14:paraId="7F2CAC09">
            <w:pPr>
              <w:pStyle w:val="181"/>
              <w:rPr>
                <w:color w:val="auto"/>
              </w:rPr>
            </w:pPr>
            <w:r>
              <w:rPr>
                <w:rFonts w:hint="eastAsia"/>
                <w:color w:val="auto"/>
              </w:rPr>
              <w:t>达标</w:t>
            </w:r>
          </w:p>
        </w:tc>
      </w:tr>
      <w:tr w14:paraId="3A06AF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49" w:type="dxa"/>
            <w:vMerge w:val="continue"/>
            <w:vAlign w:val="center"/>
          </w:tcPr>
          <w:p w14:paraId="1867F27C">
            <w:pPr>
              <w:pStyle w:val="181"/>
              <w:rPr>
                <w:color w:val="auto"/>
              </w:rPr>
            </w:pPr>
          </w:p>
        </w:tc>
        <w:tc>
          <w:tcPr>
            <w:tcW w:w="794" w:type="dxa"/>
            <w:vMerge w:val="continue"/>
            <w:vAlign w:val="center"/>
          </w:tcPr>
          <w:p w14:paraId="6B10A19C">
            <w:pPr>
              <w:pStyle w:val="181"/>
              <w:rPr>
                <w:color w:val="auto"/>
              </w:rPr>
            </w:pPr>
          </w:p>
        </w:tc>
        <w:tc>
          <w:tcPr>
            <w:tcW w:w="846" w:type="dxa"/>
            <w:vMerge w:val="continue"/>
            <w:vAlign w:val="center"/>
          </w:tcPr>
          <w:p w14:paraId="30F4029C">
            <w:pPr>
              <w:pStyle w:val="181"/>
              <w:rPr>
                <w:color w:val="auto"/>
              </w:rPr>
            </w:pPr>
          </w:p>
        </w:tc>
        <w:tc>
          <w:tcPr>
            <w:tcW w:w="2169" w:type="dxa"/>
            <w:shd w:val="clear" w:color="auto" w:fill="auto"/>
            <w:vAlign w:val="center"/>
          </w:tcPr>
          <w:p w14:paraId="49E12908">
            <w:pPr>
              <w:pStyle w:val="181"/>
              <w:rPr>
                <w:color w:val="auto"/>
              </w:rPr>
            </w:pPr>
            <w:r>
              <w:rPr>
                <w:rFonts w:hint="eastAsia"/>
                <w:color w:val="auto"/>
              </w:rPr>
              <w:t>色度（稀释倍数）</w:t>
            </w:r>
          </w:p>
        </w:tc>
        <w:tc>
          <w:tcPr>
            <w:tcW w:w="1044" w:type="dxa"/>
            <w:shd w:val="clear" w:color="auto" w:fill="auto"/>
            <w:vAlign w:val="center"/>
          </w:tcPr>
          <w:p w14:paraId="397A6FA5">
            <w:pPr>
              <w:pStyle w:val="181"/>
              <w:rPr>
                <w:color w:val="auto"/>
              </w:rPr>
            </w:pPr>
            <w:r>
              <w:rPr>
                <w:rFonts w:hint="eastAsia"/>
                <w:color w:val="auto"/>
              </w:rPr>
              <w:t>64</w:t>
            </w:r>
          </w:p>
        </w:tc>
        <w:tc>
          <w:tcPr>
            <w:tcW w:w="1043" w:type="dxa"/>
            <w:shd w:val="clear" w:color="auto" w:fill="auto"/>
            <w:vAlign w:val="center"/>
          </w:tcPr>
          <w:p w14:paraId="360F3C87">
            <w:pPr>
              <w:pStyle w:val="181"/>
              <w:rPr>
                <w:color w:val="auto"/>
              </w:rPr>
            </w:pPr>
            <w:r>
              <w:rPr>
                <w:rFonts w:hint="eastAsia"/>
                <w:color w:val="auto"/>
              </w:rPr>
              <w:t>/</w:t>
            </w:r>
          </w:p>
        </w:tc>
        <w:tc>
          <w:tcPr>
            <w:tcW w:w="1241" w:type="dxa"/>
            <w:vMerge w:val="continue"/>
            <w:vAlign w:val="center"/>
          </w:tcPr>
          <w:p w14:paraId="0F8EF5BD">
            <w:pPr>
              <w:pStyle w:val="181"/>
              <w:rPr>
                <w:color w:val="auto"/>
              </w:rPr>
            </w:pPr>
          </w:p>
        </w:tc>
        <w:tc>
          <w:tcPr>
            <w:tcW w:w="1028" w:type="dxa"/>
            <w:shd w:val="clear" w:color="auto" w:fill="auto"/>
            <w:vAlign w:val="center"/>
          </w:tcPr>
          <w:p w14:paraId="3632DF14">
            <w:pPr>
              <w:pStyle w:val="181"/>
              <w:rPr>
                <w:color w:val="auto"/>
              </w:rPr>
            </w:pPr>
            <w:r>
              <w:rPr>
                <w:rFonts w:hint="eastAsia"/>
                <w:color w:val="auto"/>
              </w:rPr>
              <w:t>/</w:t>
            </w:r>
          </w:p>
        </w:tc>
        <w:tc>
          <w:tcPr>
            <w:tcW w:w="1000" w:type="dxa"/>
            <w:shd w:val="clear" w:color="auto" w:fill="auto"/>
            <w:vAlign w:val="center"/>
          </w:tcPr>
          <w:p w14:paraId="2B59A49E">
            <w:pPr>
              <w:pStyle w:val="181"/>
              <w:rPr>
                <w:color w:val="auto"/>
              </w:rPr>
            </w:pPr>
            <w:r>
              <w:rPr>
                <w:rFonts w:hint="eastAsia"/>
                <w:color w:val="auto"/>
              </w:rPr>
              <w:t>30</w:t>
            </w:r>
          </w:p>
        </w:tc>
        <w:tc>
          <w:tcPr>
            <w:tcW w:w="1025" w:type="dxa"/>
            <w:shd w:val="clear" w:color="auto" w:fill="auto"/>
            <w:vAlign w:val="center"/>
          </w:tcPr>
          <w:p w14:paraId="2C21D647">
            <w:pPr>
              <w:pStyle w:val="181"/>
              <w:rPr>
                <w:color w:val="auto"/>
              </w:rPr>
            </w:pPr>
            <w:r>
              <w:rPr>
                <w:rFonts w:hint="eastAsia"/>
                <w:color w:val="auto"/>
              </w:rPr>
              <w:t>/</w:t>
            </w:r>
          </w:p>
        </w:tc>
        <w:tc>
          <w:tcPr>
            <w:tcW w:w="951" w:type="dxa"/>
            <w:vMerge w:val="continue"/>
            <w:vAlign w:val="center"/>
          </w:tcPr>
          <w:p w14:paraId="790DB0F7">
            <w:pPr>
              <w:pStyle w:val="181"/>
              <w:rPr>
                <w:color w:val="auto"/>
              </w:rPr>
            </w:pPr>
          </w:p>
        </w:tc>
        <w:tc>
          <w:tcPr>
            <w:tcW w:w="999" w:type="dxa"/>
            <w:shd w:val="clear" w:color="auto" w:fill="auto"/>
            <w:vAlign w:val="center"/>
          </w:tcPr>
          <w:p w14:paraId="26CE2973">
            <w:pPr>
              <w:pStyle w:val="181"/>
              <w:rPr>
                <w:color w:val="auto"/>
              </w:rPr>
            </w:pPr>
            <w:r>
              <w:rPr>
                <w:rFonts w:hint="eastAsia"/>
                <w:color w:val="auto"/>
              </w:rPr>
              <w:t>30</w:t>
            </w:r>
          </w:p>
        </w:tc>
        <w:tc>
          <w:tcPr>
            <w:tcW w:w="951" w:type="dxa"/>
            <w:shd w:val="clear" w:color="auto" w:fill="auto"/>
            <w:vAlign w:val="center"/>
          </w:tcPr>
          <w:p w14:paraId="40B8A274">
            <w:pPr>
              <w:pStyle w:val="181"/>
              <w:rPr>
                <w:color w:val="auto"/>
              </w:rPr>
            </w:pPr>
            <w:r>
              <w:rPr>
                <w:rFonts w:hint="eastAsia"/>
                <w:color w:val="auto"/>
              </w:rPr>
              <w:t>达标</w:t>
            </w:r>
          </w:p>
        </w:tc>
      </w:tr>
      <w:tr w14:paraId="38D3FA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49" w:type="dxa"/>
            <w:vMerge w:val="continue"/>
            <w:vAlign w:val="center"/>
          </w:tcPr>
          <w:p w14:paraId="6F88D233">
            <w:pPr>
              <w:pStyle w:val="181"/>
              <w:rPr>
                <w:color w:val="auto"/>
              </w:rPr>
            </w:pPr>
          </w:p>
        </w:tc>
        <w:tc>
          <w:tcPr>
            <w:tcW w:w="794" w:type="dxa"/>
            <w:vMerge w:val="continue"/>
            <w:vAlign w:val="center"/>
          </w:tcPr>
          <w:p w14:paraId="2B0EBBDD">
            <w:pPr>
              <w:pStyle w:val="181"/>
              <w:rPr>
                <w:color w:val="auto"/>
              </w:rPr>
            </w:pPr>
          </w:p>
        </w:tc>
        <w:tc>
          <w:tcPr>
            <w:tcW w:w="846" w:type="dxa"/>
            <w:vMerge w:val="continue"/>
            <w:vAlign w:val="center"/>
          </w:tcPr>
          <w:p w14:paraId="3F5673EF">
            <w:pPr>
              <w:pStyle w:val="181"/>
              <w:rPr>
                <w:color w:val="auto"/>
              </w:rPr>
            </w:pPr>
          </w:p>
        </w:tc>
        <w:tc>
          <w:tcPr>
            <w:tcW w:w="2169" w:type="dxa"/>
            <w:shd w:val="clear" w:color="auto" w:fill="auto"/>
            <w:vAlign w:val="center"/>
          </w:tcPr>
          <w:p w14:paraId="22AA61BC">
            <w:pPr>
              <w:pStyle w:val="181"/>
              <w:rPr>
                <w:color w:val="auto"/>
              </w:rPr>
            </w:pPr>
            <w:r>
              <w:rPr>
                <w:rFonts w:hint="eastAsia"/>
                <w:color w:val="auto"/>
              </w:rPr>
              <w:t>悬浮物（SS）</w:t>
            </w:r>
          </w:p>
        </w:tc>
        <w:tc>
          <w:tcPr>
            <w:tcW w:w="1044" w:type="dxa"/>
            <w:shd w:val="clear" w:color="auto" w:fill="auto"/>
            <w:vAlign w:val="center"/>
          </w:tcPr>
          <w:p w14:paraId="10A44E6D">
            <w:pPr>
              <w:pStyle w:val="178"/>
              <w:bidi w:val="0"/>
              <w:ind w:firstLine="0" w:firstLineChars="0"/>
              <w:rPr>
                <w:rFonts w:hint="default"/>
                <w:color w:val="auto"/>
                <w:lang w:val="en-US" w:eastAsia="zh-CN"/>
              </w:rPr>
            </w:pPr>
            <w:r>
              <w:rPr>
                <w:rFonts w:hint="default"/>
                <w:color w:val="auto"/>
                <w:lang w:val="en-US" w:eastAsia="zh-CN"/>
              </w:rPr>
              <w:t>399.9</w:t>
            </w:r>
          </w:p>
        </w:tc>
        <w:tc>
          <w:tcPr>
            <w:tcW w:w="1043" w:type="dxa"/>
            <w:shd w:val="clear" w:color="auto" w:fill="auto"/>
            <w:vAlign w:val="center"/>
          </w:tcPr>
          <w:p w14:paraId="60FA08DB">
            <w:pPr>
              <w:pStyle w:val="178"/>
              <w:bidi w:val="0"/>
              <w:ind w:firstLine="0" w:firstLineChars="0"/>
              <w:rPr>
                <w:rFonts w:hint="default"/>
                <w:color w:val="auto"/>
                <w:lang w:val="en-US" w:eastAsia="zh-CN"/>
              </w:rPr>
            </w:pPr>
            <w:r>
              <w:rPr>
                <w:rFonts w:hint="default"/>
                <w:color w:val="auto"/>
                <w:lang w:val="en-US" w:eastAsia="zh-CN"/>
              </w:rPr>
              <w:t>234.88</w:t>
            </w:r>
          </w:p>
        </w:tc>
        <w:tc>
          <w:tcPr>
            <w:tcW w:w="1241" w:type="dxa"/>
            <w:vMerge w:val="continue"/>
            <w:vAlign w:val="center"/>
          </w:tcPr>
          <w:p w14:paraId="45DAAF0E">
            <w:pPr>
              <w:pStyle w:val="181"/>
              <w:rPr>
                <w:color w:val="auto"/>
              </w:rPr>
            </w:pPr>
          </w:p>
        </w:tc>
        <w:tc>
          <w:tcPr>
            <w:tcW w:w="1028" w:type="dxa"/>
            <w:shd w:val="clear" w:color="auto" w:fill="auto"/>
            <w:vAlign w:val="center"/>
          </w:tcPr>
          <w:p w14:paraId="77BF0C13">
            <w:pPr>
              <w:pStyle w:val="181"/>
              <w:rPr>
                <w:color w:val="auto"/>
              </w:rPr>
            </w:pPr>
            <w:r>
              <w:rPr>
                <w:rFonts w:hint="eastAsia"/>
                <w:color w:val="auto"/>
              </w:rPr>
              <w:t>/</w:t>
            </w:r>
          </w:p>
        </w:tc>
        <w:tc>
          <w:tcPr>
            <w:tcW w:w="1000" w:type="dxa"/>
            <w:shd w:val="clear" w:color="auto" w:fill="auto"/>
            <w:vAlign w:val="center"/>
          </w:tcPr>
          <w:p w14:paraId="406A8EF4">
            <w:pPr>
              <w:pStyle w:val="178"/>
              <w:bidi w:val="0"/>
              <w:ind w:firstLine="0" w:firstLineChars="0"/>
              <w:rPr>
                <w:rFonts w:hint="default"/>
                <w:color w:val="auto"/>
                <w:lang w:val="en-US" w:eastAsia="zh-CN"/>
              </w:rPr>
            </w:pPr>
            <w:r>
              <w:rPr>
                <w:rFonts w:hint="default"/>
                <w:color w:val="auto"/>
                <w:lang w:val="en-US" w:eastAsia="zh-CN"/>
              </w:rPr>
              <w:t>10</w:t>
            </w:r>
          </w:p>
        </w:tc>
        <w:tc>
          <w:tcPr>
            <w:tcW w:w="1025" w:type="dxa"/>
            <w:shd w:val="clear" w:color="auto" w:fill="auto"/>
            <w:vAlign w:val="center"/>
          </w:tcPr>
          <w:p w14:paraId="13FCEBBC">
            <w:pPr>
              <w:pStyle w:val="178"/>
              <w:bidi w:val="0"/>
              <w:ind w:firstLine="0" w:firstLineChars="0"/>
              <w:rPr>
                <w:rFonts w:hint="default"/>
                <w:color w:val="auto"/>
                <w:lang w:val="en-US" w:eastAsia="zh-CN"/>
              </w:rPr>
            </w:pPr>
            <w:r>
              <w:rPr>
                <w:rFonts w:hint="default"/>
                <w:color w:val="auto"/>
                <w:lang w:val="en-US" w:eastAsia="zh-CN"/>
              </w:rPr>
              <w:t>5.87</w:t>
            </w:r>
          </w:p>
        </w:tc>
        <w:tc>
          <w:tcPr>
            <w:tcW w:w="951" w:type="dxa"/>
            <w:vMerge w:val="continue"/>
            <w:vAlign w:val="center"/>
          </w:tcPr>
          <w:p w14:paraId="54858B57">
            <w:pPr>
              <w:pStyle w:val="181"/>
              <w:rPr>
                <w:color w:val="auto"/>
              </w:rPr>
            </w:pPr>
          </w:p>
        </w:tc>
        <w:tc>
          <w:tcPr>
            <w:tcW w:w="999" w:type="dxa"/>
            <w:shd w:val="clear" w:color="auto" w:fill="auto"/>
            <w:vAlign w:val="center"/>
          </w:tcPr>
          <w:p w14:paraId="7664A7A2">
            <w:pPr>
              <w:pStyle w:val="181"/>
              <w:rPr>
                <w:color w:val="auto"/>
              </w:rPr>
            </w:pPr>
            <w:r>
              <w:rPr>
                <w:rFonts w:hint="eastAsia"/>
                <w:color w:val="auto"/>
              </w:rPr>
              <w:t>10</w:t>
            </w:r>
          </w:p>
        </w:tc>
        <w:tc>
          <w:tcPr>
            <w:tcW w:w="951" w:type="dxa"/>
            <w:shd w:val="clear" w:color="auto" w:fill="auto"/>
            <w:vAlign w:val="center"/>
          </w:tcPr>
          <w:p w14:paraId="39D13984">
            <w:pPr>
              <w:pStyle w:val="181"/>
              <w:rPr>
                <w:color w:val="auto"/>
              </w:rPr>
            </w:pPr>
            <w:r>
              <w:rPr>
                <w:rFonts w:hint="eastAsia"/>
                <w:color w:val="auto"/>
              </w:rPr>
              <w:t>达标</w:t>
            </w:r>
          </w:p>
        </w:tc>
      </w:tr>
      <w:tr w14:paraId="41F812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49" w:type="dxa"/>
            <w:vMerge w:val="continue"/>
            <w:vAlign w:val="center"/>
          </w:tcPr>
          <w:p w14:paraId="4886CA1B">
            <w:pPr>
              <w:pStyle w:val="181"/>
              <w:rPr>
                <w:color w:val="auto"/>
              </w:rPr>
            </w:pPr>
          </w:p>
        </w:tc>
        <w:tc>
          <w:tcPr>
            <w:tcW w:w="794" w:type="dxa"/>
            <w:vMerge w:val="continue"/>
            <w:vAlign w:val="center"/>
          </w:tcPr>
          <w:p w14:paraId="0EED6039">
            <w:pPr>
              <w:pStyle w:val="181"/>
              <w:rPr>
                <w:color w:val="auto"/>
              </w:rPr>
            </w:pPr>
          </w:p>
        </w:tc>
        <w:tc>
          <w:tcPr>
            <w:tcW w:w="846" w:type="dxa"/>
            <w:vMerge w:val="continue"/>
            <w:vAlign w:val="center"/>
          </w:tcPr>
          <w:p w14:paraId="5E3FB475">
            <w:pPr>
              <w:pStyle w:val="181"/>
              <w:rPr>
                <w:color w:val="auto"/>
              </w:rPr>
            </w:pPr>
          </w:p>
        </w:tc>
        <w:tc>
          <w:tcPr>
            <w:tcW w:w="2169" w:type="dxa"/>
            <w:shd w:val="clear" w:color="auto" w:fill="auto"/>
            <w:vAlign w:val="center"/>
          </w:tcPr>
          <w:p w14:paraId="7EAC308A">
            <w:pPr>
              <w:pStyle w:val="181"/>
              <w:rPr>
                <w:color w:val="auto"/>
              </w:rPr>
            </w:pPr>
            <w:r>
              <w:rPr>
                <w:rFonts w:hint="eastAsia"/>
                <w:color w:val="auto"/>
              </w:rPr>
              <w:t>化学需氧量（COD）</w:t>
            </w:r>
          </w:p>
        </w:tc>
        <w:tc>
          <w:tcPr>
            <w:tcW w:w="1044" w:type="dxa"/>
            <w:shd w:val="clear" w:color="auto" w:fill="auto"/>
            <w:vAlign w:val="center"/>
          </w:tcPr>
          <w:p w14:paraId="27921A6B">
            <w:pPr>
              <w:pStyle w:val="178"/>
              <w:bidi w:val="0"/>
              <w:ind w:firstLine="0" w:firstLineChars="0"/>
              <w:rPr>
                <w:rFonts w:hint="default"/>
                <w:color w:val="auto"/>
                <w:lang w:val="en-US" w:eastAsia="zh-CN"/>
              </w:rPr>
            </w:pPr>
            <w:r>
              <w:rPr>
                <w:rFonts w:hint="default"/>
                <w:color w:val="auto"/>
                <w:lang w:val="en-US" w:eastAsia="zh-CN"/>
              </w:rPr>
              <w:t>499.95</w:t>
            </w:r>
          </w:p>
        </w:tc>
        <w:tc>
          <w:tcPr>
            <w:tcW w:w="1043" w:type="dxa"/>
            <w:shd w:val="clear" w:color="auto" w:fill="auto"/>
            <w:vAlign w:val="center"/>
          </w:tcPr>
          <w:p w14:paraId="59529F4C">
            <w:pPr>
              <w:pStyle w:val="178"/>
              <w:bidi w:val="0"/>
              <w:ind w:firstLine="0" w:firstLineChars="0"/>
              <w:rPr>
                <w:rFonts w:hint="default"/>
                <w:color w:val="auto"/>
                <w:lang w:val="en-US" w:eastAsia="zh-CN"/>
              </w:rPr>
            </w:pPr>
            <w:r>
              <w:rPr>
                <w:rFonts w:hint="default"/>
                <w:color w:val="auto"/>
                <w:lang w:val="en-US" w:eastAsia="zh-CN"/>
              </w:rPr>
              <w:t>293.64</w:t>
            </w:r>
          </w:p>
        </w:tc>
        <w:tc>
          <w:tcPr>
            <w:tcW w:w="1241" w:type="dxa"/>
            <w:vMerge w:val="continue"/>
            <w:vAlign w:val="center"/>
          </w:tcPr>
          <w:p w14:paraId="43822482">
            <w:pPr>
              <w:pStyle w:val="181"/>
              <w:rPr>
                <w:color w:val="auto"/>
              </w:rPr>
            </w:pPr>
          </w:p>
        </w:tc>
        <w:tc>
          <w:tcPr>
            <w:tcW w:w="1028" w:type="dxa"/>
            <w:shd w:val="clear" w:color="auto" w:fill="auto"/>
            <w:vAlign w:val="center"/>
          </w:tcPr>
          <w:p w14:paraId="0D5686B3">
            <w:pPr>
              <w:pStyle w:val="181"/>
              <w:rPr>
                <w:color w:val="auto"/>
              </w:rPr>
            </w:pPr>
            <w:r>
              <w:rPr>
                <w:rFonts w:hint="eastAsia"/>
                <w:color w:val="auto"/>
              </w:rPr>
              <w:t>/</w:t>
            </w:r>
          </w:p>
        </w:tc>
        <w:tc>
          <w:tcPr>
            <w:tcW w:w="1000" w:type="dxa"/>
            <w:shd w:val="clear" w:color="auto" w:fill="auto"/>
            <w:vAlign w:val="center"/>
          </w:tcPr>
          <w:p w14:paraId="5C464FB7">
            <w:pPr>
              <w:pStyle w:val="178"/>
              <w:bidi w:val="0"/>
              <w:ind w:firstLine="0" w:firstLineChars="0"/>
              <w:rPr>
                <w:rFonts w:hint="default"/>
                <w:color w:val="auto"/>
                <w:lang w:val="en-US" w:eastAsia="zh-CN"/>
              </w:rPr>
            </w:pPr>
            <w:r>
              <w:rPr>
                <w:rFonts w:hint="default"/>
                <w:color w:val="auto"/>
                <w:lang w:val="en-US" w:eastAsia="zh-CN"/>
              </w:rPr>
              <w:t>50</w:t>
            </w:r>
          </w:p>
        </w:tc>
        <w:tc>
          <w:tcPr>
            <w:tcW w:w="1025" w:type="dxa"/>
            <w:shd w:val="clear" w:color="auto" w:fill="auto"/>
            <w:vAlign w:val="center"/>
          </w:tcPr>
          <w:p w14:paraId="691502C2">
            <w:pPr>
              <w:pStyle w:val="178"/>
              <w:bidi w:val="0"/>
              <w:ind w:firstLine="0" w:firstLineChars="0"/>
              <w:rPr>
                <w:rFonts w:hint="default"/>
                <w:color w:val="auto"/>
                <w:lang w:val="en-US" w:eastAsia="zh-CN"/>
              </w:rPr>
            </w:pPr>
            <w:r>
              <w:rPr>
                <w:rFonts w:hint="default"/>
                <w:color w:val="auto"/>
                <w:lang w:val="en-US" w:eastAsia="zh-CN"/>
              </w:rPr>
              <w:t>29.37</w:t>
            </w:r>
          </w:p>
        </w:tc>
        <w:tc>
          <w:tcPr>
            <w:tcW w:w="951" w:type="dxa"/>
            <w:vMerge w:val="continue"/>
            <w:vAlign w:val="center"/>
          </w:tcPr>
          <w:p w14:paraId="47DFB139">
            <w:pPr>
              <w:pStyle w:val="181"/>
              <w:rPr>
                <w:color w:val="auto"/>
              </w:rPr>
            </w:pPr>
          </w:p>
        </w:tc>
        <w:tc>
          <w:tcPr>
            <w:tcW w:w="999" w:type="dxa"/>
            <w:shd w:val="clear" w:color="auto" w:fill="auto"/>
            <w:vAlign w:val="center"/>
          </w:tcPr>
          <w:p w14:paraId="2F71C89C">
            <w:pPr>
              <w:pStyle w:val="181"/>
              <w:rPr>
                <w:color w:val="auto"/>
              </w:rPr>
            </w:pPr>
            <w:r>
              <w:rPr>
                <w:rFonts w:hint="eastAsia"/>
                <w:color w:val="auto"/>
              </w:rPr>
              <w:t>50</w:t>
            </w:r>
          </w:p>
        </w:tc>
        <w:tc>
          <w:tcPr>
            <w:tcW w:w="951" w:type="dxa"/>
            <w:shd w:val="clear" w:color="auto" w:fill="auto"/>
            <w:vAlign w:val="center"/>
          </w:tcPr>
          <w:p w14:paraId="00102253">
            <w:pPr>
              <w:pStyle w:val="181"/>
              <w:rPr>
                <w:color w:val="auto"/>
              </w:rPr>
            </w:pPr>
            <w:r>
              <w:rPr>
                <w:rFonts w:hint="eastAsia"/>
                <w:color w:val="auto"/>
              </w:rPr>
              <w:t>达标</w:t>
            </w:r>
          </w:p>
        </w:tc>
      </w:tr>
      <w:tr w14:paraId="2AD1BA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49" w:type="dxa"/>
            <w:vMerge w:val="continue"/>
            <w:vAlign w:val="center"/>
          </w:tcPr>
          <w:p w14:paraId="301DD7EA">
            <w:pPr>
              <w:pStyle w:val="181"/>
              <w:rPr>
                <w:color w:val="auto"/>
              </w:rPr>
            </w:pPr>
          </w:p>
        </w:tc>
        <w:tc>
          <w:tcPr>
            <w:tcW w:w="794" w:type="dxa"/>
            <w:vMerge w:val="continue"/>
            <w:vAlign w:val="center"/>
          </w:tcPr>
          <w:p w14:paraId="591E0EE5">
            <w:pPr>
              <w:pStyle w:val="181"/>
              <w:rPr>
                <w:color w:val="auto"/>
              </w:rPr>
            </w:pPr>
          </w:p>
        </w:tc>
        <w:tc>
          <w:tcPr>
            <w:tcW w:w="846" w:type="dxa"/>
            <w:vMerge w:val="continue"/>
            <w:vAlign w:val="center"/>
          </w:tcPr>
          <w:p w14:paraId="75E2E085">
            <w:pPr>
              <w:pStyle w:val="181"/>
              <w:rPr>
                <w:color w:val="auto"/>
              </w:rPr>
            </w:pPr>
          </w:p>
        </w:tc>
        <w:tc>
          <w:tcPr>
            <w:tcW w:w="2169" w:type="dxa"/>
            <w:shd w:val="clear" w:color="auto" w:fill="auto"/>
            <w:vAlign w:val="center"/>
          </w:tcPr>
          <w:p w14:paraId="537D60EF">
            <w:pPr>
              <w:pStyle w:val="181"/>
              <w:rPr>
                <w:color w:val="auto"/>
              </w:rPr>
            </w:pPr>
            <w:r>
              <w:rPr>
                <w:rFonts w:hint="eastAsia"/>
                <w:color w:val="auto"/>
              </w:rPr>
              <w:t>五日生化需氧量</w:t>
            </w:r>
          </w:p>
        </w:tc>
        <w:tc>
          <w:tcPr>
            <w:tcW w:w="1044" w:type="dxa"/>
            <w:shd w:val="clear" w:color="auto" w:fill="auto"/>
            <w:vAlign w:val="center"/>
          </w:tcPr>
          <w:p w14:paraId="7DCD4C58">
            <w:pPr>
              <w:pStyle w:val="178"/>
              <w:bidi w:val="0"/>
              <w:ind w:firstLine="0" w:firstLineChars="0"/>
              <w:rPr>
                <w:rFonts w:hint="default"/>
                <w:color w:val="auto"/>
                <w:lang w:val="en-US" w:eastAsia="zh-CN"/>
              </w:rPr>
            </w:pPr>
            <w:r>
              <w:rPr>
                <w:rFonts w:hint="default"/>
                <w:color w:val="auto"/>
                <w:lang w:val="en-US" w:eastAsia="zh-CN"/>
              </w:rPr>
              <w:t>300.13</w:t>
            </w:r>
          </w:p>
        </w:tc>
        <w:tc>
          <w:tcPr>
            <w:tcW w:w="1043" w:type="dxa"/>
            <w:shd w:val="clear" w:color="auto" w:fill="auto"/>
            <w:vAlign w:val="center"/>
          </w:tcPr>
          <w:p w14:paraId="1B630D00">
            <w:pPr>
              <w:pStyle w:val="178"/>
              <w:bidi w:val="0"/>
              <w:ind w:firstLine="0" w:firstLineChars="0"/>
              <w:rPr>
                <w:rFonts w:hint="default"/>
                <w:color w:val="auto"/>
                <w:lang w:val="en-US" w:eastAsia="zh-CN"/>
              </w:rPr>
            </w:pPr>
            <w:r>
              <w:rPr>
                <w:rFonts w:hint="default"/>
                <w:color w:val="auto"/>
                <w:lang w:val="en-US" w:eastAsia="zh-CN"/>
              </w:rPr>
              <w:t>176.28</w:t>
            </w:r>
          </w:p>
        </w:tc>
        <w:tc>
          <w:tcPr>
            <w:tcW w:w="1241" w:type="dxa"/>
            <w:vMerge w:val="continue"/>
            <w:vAlign w:val="center"/>
          </w:tcPr>
          <w:p w14:paraId="51E3A28C">
            <w:pPr>
              <w:pStyle w:val="181"/>
              <w:rPr>
                <w:color w:val="auto"/>
              </w:rPr>
            </w:pPr>
          </w:p>
        </w:tc>
        <w:tc>
          <w:tcPr>
            <w:tcW w:w="1028" w:type="dxa"/>
            <w:shd w:val="clear" w:color="auto" w:fill="auto"/>
            <w:vAlign w:val="center"/>
          </w:tcPr>
          <w:p w14:paraId="1D6A8F19">
            <w:pPr>
              <w:pStyle w:val="181"/>
              <w:rPr>
                <w:color w:val="auto"/>
              </w:rPr>
            </w:pPr>
            <w:r>
              <w:rPr>
                <w:rFonts w:hint="eastAsia"/>
                <w:color w:val="auto"/>
              </w:rPr>
              <w:t>/</w:t>
            </w:r>
          </w:p>
        </w:tc>
        <w:tc>
          <w:tcPr>
            <w:tcW w:w="1000" w:type="dxa"/>
            <w:shd w:val="clear" w:color="auto" w:fill="auto"/>
            <w:vAlign w:val="center"/>
          </w:tcPr>
          <w:p w14:paraId="117F791B">
            <w:pPr>
              <w:pStyle w:val="178"/>
              <w:bidi w:val="0"/>
              <w:ind w:firstLine="0" w:firstLineChars="0"/>
              <w:rPr>
                <w:rFonts w:hint="default"/>
                <w:color w:val="auto"/>
                <w:lang w:val="en-US" w:eastAsia="zh-CN"/>
              </w:rPr>
            </w:pPr>
            <w:r>
              <w:rPr>
                <w:rFonts w:hint="default"/>
                <w:color w:val="auto"/>
                <w:lang w:val="en-US" w:eastAsia="zh-CN"/>
              </w:rPr>
              <w:t>10</w:t>
            </w:r>
          </w:p>
        </w:tc>
        <w:tc>
          <w:tcPr>
            <w:tcW w:w="1025" w:type="dxa"/>
            <w:shd w:val="clear" w:color="auto" w:fill="auto"/>
            <w:vAlign w:val="center"/>
          </w:tcPr>
          <w:p w14:paraId="20899F82">
            <w:pPr>
              <w:pStyle w:val="178"/>
              <w:bidi w:val="0"/>
              <w:ind w:firstLine="0" w:firstLineChars="0"/>
              <w:rPr>
                <w:rFonts w:hint="default"/>
                <w:color w:val="auto"/>
                <w:lang w:val="en-US" w:eastAsia="zh-CN"/>
              </w:rPr>
            </w:pPr>
            <w:r>
              <w:rPr>
                <w:rFonts w:hint="default"/>
                <w:color w:val="auto"/>
                <w:lang w:val="en-US" w:eastAsia="zh-CN"/>
              </w:rPr>
              <w:t>5.87</w:t>
            </w:r>
          </w:p>
        </w:tc>
        <w:tc>
          <w:tcPr>
            <w:tcW w:w="951" w:type="dxa"/>
            <w:vMerge w:val="continue"/>
            <w:vAlign w:val="center"/>
          </w:tcPr>
          <w:p w14:paraId="29057A16">
            <w:pPr>
              <w:pStyle w:val="181"/>
              <w:rPr>
                <w:color w:val="auto"/>
              </w:rPr>
            </w:pPr>
          </w:p>
        </w:tc>
        <w:tc>
          <w:tcPr>
            <w:tcW w:w="999" w:type="dxa"/>
            <w:shd w:val="clear" w:color="auto" w:fill="auto"/>
            <w:vAlign w:val="center"/>
          </w:tcPr>
          <w:p w14:paraId="7065BEAD">
            <w:pPr>
              <w:pStyle w:val="181"/>
              <w:rPr>
                <w:color w:val="auto"/>
              </w:rPr>
            </w:pPr>
            <w:r>
              <w:rPr>
                <w:rFonts w:hint="eastAsia"/>
                <w:color w:val="auto"/>
              </w:rPr>
              <w:t>10</w:t>
            </w:r>
          </w:p>
        </w:tc>
        <w:tc>
          <w:tcPr>
            <w:tcW w:w="951" w:type="dxa"/>
            <w:shd w:val="clear" w:color="auto" w:fill="auto"/>
            <w:vAlign w:val="center"/>
          </w:tcPr>
          <w:p w14:paraId="017827CA">
            <w:pPr>
              <w:pStyle w:val="181"/>
              <w:rPr>
                <w:color w:val="auto"/>
              </w:rPr>
            </w:pPr>
            <w:r>
              <w:rPr>
                <w:rFonts w:hint="eastAsia"/>
                <w:color w:val="auto"/>
              </w:rPr>
              <w:t>达标</w:t>
            </w:r>
          </w:p>
        </w:tc>
      </w:tr>
      <w:tr w14:paraId="5BBBD5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49" w:type="dxa"/>
            <w:vMerge w:val="continue"/>
            <w:vAlign w:val="center"/>
          </w:tcPr>
          <w:p w14:paraId="6D8957A3">
            <w:pPr>
              <w:pStyle w:val="181"/>
              <w:rPr>
                <w:color w:val="auto"/>
              </w:rPr>
            </w:pPr>
          </w:p>
        </w:tc>
        <w:tc>
          <w:tcPr>
            <w:tcW w:w="794" w:type="dxa"/>
            <w:vMerge w:val="continue"/>
            <w:vAlign w:val="center"/>
          </w:tcPr>
          <w:p w14:paraId="2E644A19">
            <w:pPr>
              <w:pStyle w:val="181"/>
              <w:rPr>
                <w:color w:val="auto"/>
              </w:rPr>
            </w:pPr>
          </w:p>
        </w:tc>
        <w:tc>
          <w:tcPr>
            <w:tcW w:w="846" w:type="dxa"/>
            <w:vMerge w:val="continue"/>
            <w:vAlign w:val="center"/>
          </w:tcPr>
          <w:p w14:paraId="413A8501">
            <w:pPr>
              <w:pStyle w:val="181"/>
              <w:rPr>
                <w:color w:val="auto"/>
              </w:rPr>
            </w:pPr>
          </w:p>
        </w:tc>
        <w:tc>
          <w:tcPr>
            <w:tcW w:w="2169" w:type="dxa"/>
            <w:shd w:val="clear" w:color="auto" w:fill="auto"/>
            <w:vAlign w:val="center"/>
          </w:tcPr>
          <w:p w14:paraId="3CB2C7A1">
            <w:pPr>
              <w:pStyle w:val="181"/>
              <w:rPr>
                <w:color w:val="auto"/>
              </w:rPr>
            </w:pPr>
            <w:r>
              <w:rPr>
                <w:rFonts w:hint="eastAsia"/>
                <w:color w:val="auto"/>
              </w:rPr>
              <w:t>氨氮（以N计）</w:t>
            </w:r>
          </w:p>
        </w:tc>
        <w:tc>
          <w:tcPr>
            <w:tcW w:w="1044" w:type="dxa"/>
            <w:shd w:val="clear" w:color="auto" w:fill="auto"/>
            <w:vAlign w:val="center"/>
          </w:tcPr>
          <w:p w14:paraId="0291C75A">
            <w:pPr>
              <w:pStyle w:val="178"/>
              <w:bidi w:val="0"/>
              <w:ind w:firstLine="0" w:firstLineChars="0"/>
              <w:rPr>
                <w:rFonts w:hint="default"/>
                <w:color w:val="auto"/>
                <w:lang w:val="en-US" w:eastAsia="zh-CN"/>
              </w:rPr>
            </w:pPr>
            <w:r>
              <w:rPr>
                <w:rFonts w:hint="default"/>
                <w:color w:val="auto"/>
                <w:lang w:val="en-US" w:eastAsia="zh-CN"/>
              </w:rPr>
              <w:t>45</w:t>
            </w:r>
          </w:p>
        </w:tc>
        <w:tc>
          <w:tcPr>
            <w:tcW w:w="1043" w:type="dxa"/>
            <w:shd w:val="clear" w:color="auto" w:fill="auto"/>
            <w:vAlign w:val="center"/>
          </w:tcPr>
          <w:p w14:paraId="0F1B406C">
            <w:pPr>
              <w:pStyle w:val="178"/>
              <w:bidi w:val="0"/>
              <w:ind w:firstLine="0" w:firstLineChars="0"/>
              <w:rPr>
                <w:rFonts w:hint="default"/>
                <w:color w:val="auto"/>
                <w:lang w:val="en-US" w:eastAsia="zh-CN"/>
              </w:rPr>
            </w:pPr>
            <w:r>
              <w:rPr>
                <w:rFonts w:hint="default"/>
                <w:color w:val="auto"/>
                <w:lang w:val="en-US" w:eastAsia="zh-CN"/>
              </w:rPr>
              <w:t>26.43</w:t>
            </w:r>
          </w:p>
        </w:tc>
        <w:tc>
          <w:tcPr>
            <w:tcW w:w="1241" w:type="dxa"/>
            <w:vMerge w:val="continue"/>
            <w:vAlign w:val="center"/>
          </w:tcPr>
          <w:p w14:paraId="6902AA60">
            <w:pPr>
              <w:pStyle w:val="181"/>
              <w:rPr>
                <w:color w:val="auto"/>
              </w:rPr>
            </w:pPr>
          </w:p>
        </w:tc>
        <w:tc>
          <w:tcPr>
            <w:tcW w:w="1028" w:type="dxa"/>
            <w:shd w:val="clear" w:color="auto" w:fill="auto"/>
            <w:vAlign w:val="center"/>
          </w:tcPr>
          <w:p w14:paraId="14884CF0">
            <w:pPr>
              <w:pStyle w:val="181"/>
              <w:rPr>
                <w:color w:val="auto"/>
              </w:rPr>
            </w:pPr>
            <w:r>
              <w:rPr>
                <w:rFonts w:hint="eastAsia"/>
                <w:color w:val="auto"/>
              </w:rPr>
              <w:t>/</w:t>
            </w:r>
          </w:p>
        </w:tc>
        <w:tc>
          <w:tcPr>
            <w:tcW w:w="1000" w:type="dxa"/>
            <w:shd w:val="clear" w:color="auto" w:fill="auto"/>
            <w:vAlign w:val="center"/>
          </w:tcPr>
          <w:p w14:paraId="029204C1">
            <w:pPr>
              <w:pStyle w:val="178"/>
              <w:bidi w:val="0"/>
              <w:ind w:firstLine="0" w:firstLineChars="0"/>
              <w:rPr>
                <w:rFonts w:hint="default"/>
                <w:color w:val="auto"/>
                <w:lang w:val="en-US" w:eastAsia="zh-CN"/>
              </w:rPr>
            </w:pPr>
            <w:r>
              <w:rPr>
                <w:rFonts w:hint="default"/>
                <w:color w:val="auto"/>
                <w:lang w:val="en-US" w:eastAsia="zh-CN"/>
              </w:rPr>
              <w:t>8</w:t>
            </w:r>
          </w:p>
        </w:tc>
        <w:tc>
          <w:tcPr>
            <w:tcW w:w="1025" w:type="dxa"/>
            <w:shd w:val="clear" w:color="auto" w:fill="auto"/>
            <w:vAlign w:val="center"/>
          </w:tcPr>
          <w:p w14:paraId="4F17C420">
            <w:pPr>
              <w:pStyle w:val="178"/>
              <w:bidi w:val="0"/>
              <w:ind w:firstLine="0" w:firstLineChars="0"/>
              <w:rPr>
                <w:rFonts w:hint="default"/>
                <w:color w:val="auto"/>
                <w:lang w:val="en-US" w:eastAsia="zh-CN"/>
              </w:rPr>
            </w:pPr>
            <w:r>
              <w:rPr>
                <w:rFonts w:hint="default"/>
                <w:color w:val="auto"/>
                <w:lang w:val="en-US" w:eastAsia="zh-CN"/>
              </w:rPr>
              <w:t>4.7</w:t>
            </w:r>
          </w:p>
        </w:tc>
        <w:tc>
          <w:tcPr>
            <w:tcW w:w="951" w:type="dxa"/>
            <w:vMerge w:val="continue"/>
            <w:vAlign w:val="center"/>
          </w:tcPr>
          <w:p w14:paraId="3C510E79">
            <w:pPr>
              <w:pStyle w:val="181"/>
              <w:rPr>
                <w:color w:val="auto"/>
              </w:rPr>
            </w:pPr>
          </w:p>
        </w:tc>
        <w:tc>
          <w:tcPr>
            <w:tcW w:w="999" w:type="dxa"/>
            <w:shd w:val="clear" w:color="auto" w:fill="auto"/>
            <w:vAlign w:val="center"/>
          </w:tcPr>
          <w:p w14:paraId="4CD3439E">
            <w:pPr>
              <w:pStyle w:val="181"/>
              <w:rPr>
                <w:color w:val="auto"/>
              </w:rPr>
            </w:pPr>
            <w:r>
              <w:rPr>
                <w:rFonts w:hint="eastAsia"/>
                <w:color w:val="auto"/>
              </w:rPr>
              <w:t>8</w:t>
            </w:r>
          </w:p>
        </w:tc>
        <w:tc>
          <w:tcPr>
            <w:tcW w:w="951" w:type="dxa"/>
            <w:shd w:val="clear" w:color="auto" w:fill="auto"/>
            <w:vAlign w:val="center"/>
          </w:tcPr>
          <w:p w14:paraId="7F1543E5">
            <w:pPr>
              <w:pStyle w:val="181"/>
              <w:rPr>
                <w:color w:val="auto"/>
              </w:rPr>
            </w:pPr>
            <w:r>
              <w:rPr>
                <w:rFonts w:hint="eastAsia"/>
                <w:color w:val="auto"/>
              </w:rPr>
              <w:t>达标</w:t>
            </w:r>
          </w:p>
        </w:tc>
      </w:tr>
      <w:tr w14:paraId="6DF937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49" w:type="dxa"/>
            <w:vMerge w:val="continue"/>
            <w:vAlign w:val="center"/>
          </w:tcPr>
          <w:p w14:paraId="65BF6EE5">
            <w:pPr>
              <w:pStyle w:val="181"/>
              <w:rPr>
                <w:color w:val="auto"/>
              </w:rPr>
            </w:pPr>
          </w:p>
        </w:tc>
        <w:tc>
          <w:tcPr>
            <w:tcW w:w="794" w:type="dxa"/>
            <w:vMerge w:val="continue"/>
            <w:vAlign w:val="center"/>
          </w:tcPr>
          <w:p w14:paraId="46B74FFB">
            <w:pPr>
              <w:pStyle w:val="181"/>
              <w:rPr>
                <w:color w:val="auto"/>
              </w:rPr>
            </w:pPr>
          </w:p>
        </w:tc>
        <w:tc>
          <w:tcPr>
            <w:tcW w:w="846" w:type="dxa"/>
            <w:vMerge w:val="continue"/>
            <w:vAlign w:val="center"/>
          </w:tcPr>
          <w:p w14:paraId="2A0013EE">
            <w:pPr>
              <w:pStyle w:val="181"/>
              <w:rPr>
                <w:color w:val="auto"/>
              </w:rPr>
            </w:pPr>
          </w:p>
        </w:tc>
        <w:tc>
          <w:tcPr>
            <w:tcW w:w="2169" w:type="dxa"/>
            <w:shd w:val="clear" w:color="auto" w:fill="auto"/>
            <w:vAlign w:val="center"/>
          </w:tcPr>
          <w:p w14:paraId="53D6BF24">
            <w:pPr>
              <w:pStyle w:val="181"/>
              <w:rPr>
                <w:color w:val="auto"/>
              </w:rPr>
            </w:pPr>
            <w:r>
              <w:rPr>
                <w:rFonts w:hint="eastAsia"/>
                <w:color w:val="auto"/>
              </w:rPr>
              <w:t>总氮（以N计）</w:t>
            </w:r>
          </w:p>
        </w:tc>
        <w:tc>
          <w:tcPr>
            <w:tcW w:w="1044" w:type="dxa"/>
            <w:shd w:val="clear" w:color="auto" w:fill="auto"/>
            <w:vAlign w:val="center"/>
          </w:tcPr>
          <w:p w14:paraId="10BCD158">
            <w:pPr>
              <w:pStyle w:val="178"/>
              <w:bidi w:val="0"/>
              <w:ind w:firstLine="0" w:firstLineChars="0"/>
              <w:rPr>
                <w:rFonts w:hint="default"/>
                <w:color w:val="auto"/>
                <w:lang w:val="en-US" w:eastAsia="zh-CN"/>
              </w:rPr>
            </w:pPr>
            <w:r>
              <w:rPr>
                <w:rFonts w:hint="default"/>
                <w:color w:val="auto"/>
                <w:lang w:val="en-US" w:eastAsia="zh-CN"/>
              </w:rPr>
              <w:t>70.01</w:t>
            </w:r>
          </w:p>
        </w:tc>
        <w:tc>
          <w:tcPr>
            <w:tcW w:w="1043" w:type="dxa"/>
            <w:shd w:val="clear" w:color="auto" w:fill="auto"/>
            <w:vAlign w:val="center"/>
          </w:tcPr>
          <w:p w14:paraId="76E6C0B2">
            <w:pPr>
              <w:pStyle w:val="178"/>
              <w:bidi w:val="0"/>
              <w:ind w:firstLine="0" w:firstLineChars="0"/>
              <w:rPr>
                <w:rFonts w:hint="default"/>
                <w:color w:val="auto"/>
                <w:lang w:val="en-US" w:eastAsia="zh-CN"/>
              </w:rPr>
            </w:pPr>
            <w:r>
              <w:rPr>
                <w:rFonts w:hint="default"/>
                <w:color w:val="auto"/>
                <w:lang w:val="en-US" w:eastAsia="zh-CN"/>
              </w:rPr>
              <w:t>41.12</w:t>
            </w:r>
          </w:p>
        </w:tc>
        <w:tc>
          <w:tcPr>
            <w:tcW w:w="1241" w:type="dxa"/>
            <w:vMerge w:val="continue"/>
            <w:vAlign w:val="center"/>
          </w:tcPr>
          <w:p w14:paraId="32FDF77F">
            <w:pPr>
              <w:pStyle w:val="181"/>
              <w:rPr>
                <w:color w:val="auto"/>
              </w:rPr>
            </w:pPr>
          </w:p>
        </w:tc>
        <w:tc>
          <w:tcPr>
            <w:tcW w:w="1028" w:type="dxa"/>
            <w:shd w:val="clear" w:color="auto" w:fill="auto"/>
            <w:vAlign w:val="center"/>
          </w:tcPr>
          <w:p w14:paraId="3B860F5F">
            <w:pPr>
              <w:pStyle w:val="181"/>
              <w:rPr>
                <w:color w:val="auto"/>
              </w:rPr>
            </w:pPr>
            <w:r>
              <w:rPr>
                <w:rFonts w:hint="eastAsia"/>
                <w:color w:val="auto"/>
              </w:rPr>
              <w:t>/</w:t>
            </w:r>
          </w:p>
        </w:tc>
        <w:tc>
          <w:tcPr>
            <w:tcW w:w="1000" w:type="dxa"/>
            <w:shd w:val="clear" w:color="auto" w:fill="auto"/>
            <w:vAlign w:val="center"/>
          </w:tcPr>
          <w:p w14:paraId="5B4BFB6D">
            <w:pPr>
              <w:pStyle w:val="178"/>
              <w:bidi w:val="0"/>
              <w:ind w:firstLine="0" w:firstLineChars="0"/>
              <w:rPr>
                <w:rFonts w:hint="default"/>
                <w:color w:val="auto"/>
                <w:lang w:val="en-US" w:eastAsia="zh-CN"/>
              </w:rPr>
            </w:pPr>
            <w:r>
              <w:rPr>
                <w:rFonts w:hint="default"/>
                <w:color w:val="auto"/>
                <w:lang w:val="en-US" w:eastAsia="zh-CN"/>
              </w:rPr>
              <w:t>15</w:t>
            </w:r>
          </w:p>
        </w:tc>
        <w:tc>
          <w:tcPr>
            <w:tcW w:w="1025" w:type="dxa"/>
            <w:shd w:val="clear" w:color="auto" w:fill="auto"/>
            <w:vAlign w:val="center"/>
          </w:tcPr>
          <w:p w14:paraId="3006583E">
            <w:pPr>
              <w:pStyle w:val="178"/>
              <w:bidi w:val="0"/>
              <w:ind w:firstLine="0" w:firstLineChars="0"/>
              <w:rPr>
                <w:rFonts w:hint="default"/>
                <w:color w:val="auto"/>
                <w:lang w:val="en-US" w:eastAsia="zh-CN"/>
              </w:rPr>
            </w:pPr>
            <w:r>
              <w:rPr>
                <w:rFonts w:hint="default"/>
                <w:color w:val="auto"/>
                <w:lang w:val="en-US" w:eastAsia="zh-CN"/>
              </w:rPr>
              <w:t>8.81</w:t>
            </w:r>
          </w:p>
        </w:tc>
        <w:tc>
          <w:tcPr>
            <w:tcW w:w="951" w:type="dxa"/>
            <w:vMerge w:val="continue"/>
            <w:vAlign w:val="center"/>
          </w:tcPr>
          <w:p w14:paraId="2A32ED61">
            <w:pPr>
              <w:pStyle w:val="181"/>
              <w:rPr>
                <w:color w:val="auto"/>
              </w:rPr>
            </w:pPr>
          </w:p>
        </w:tc>
        <w:tc>
          <w:tcPr>
            <w:tcW w:w="999" w:type="dxa"/>
            <w:shd w:val="clear" w:color="auto" w:fill="auto"/>
            <w:vAlign w:val="center"/>
          </w:tcPr>
          <w:p w14:paraId="0BFAD4C3">
            <w:pPr>
              <w:pStyle w:val="181"/>
              <w:rPr>
                <w:color w:val="auto"/>
              </w:rPr>
            </w:pPr>
            <w:r>
              <w:rPr>
                <w:rFonts w:hint="eastAsia"/>
                <w:color w:val="auto"/>
              </w:rPr>
              <w:t>15</w:t>
            </w:r>
          </w:p>
        </w:tc>
        <w:tc>
          <w:tcPr>
            <w:tcW w:w="951" w:type="dxa"/>
            <w:shd w:val="clear" w:color="auto" w:fill="auto"/>
            <w:vAlign w:val="center"/>
          </w:tcPr>
          <w:p w14:paraId="0C5C57BC">
            <w:pPr>
              <w:pStyle w:val="181"/>
              <w:rPr>
                <w:color w:val="auto"/>
              </w:rPr>
            </w:pPr>
            <w:r>
              <w:rPr>
                <w:rFonts w:hint="eastAsia"/>
                <w:color w:val="auto"/>
              </w:rPr>
              <w:t>达标</w:t>
            </w:r>
          </w:p>
        </w:tc>
      </w:tr>
      <w:tr w14:paraId="398F6F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49" w:type="dxa"/>
            <w:vMerge w:val="continue"/>
            <w:vAlign w:val="center"/>
          </w:tcPr>
          <w:p w14:paraId="08BCAE31">
            <w:pPr>
              <w:pStyle w:val="181"/>
              <w:rPr>
                <w:color w:val="auto"/>
              </w:rPr>
            </w:pPr>
          </w:p>
        </w:tc>
        <w:tc>
          <w:tcPr>
            <w:tcW w:w="794" w:type="dxa"/>
            <w:vMerge w:val="continue"/>
            <w:vAlign w:val="center"/>
          </w:tcPr>
          <w:p w14:paraId="7F569D12">
            <w:pPr>
              <w:pStyle w:val="181"/>
              <w:rPr>
                <w:color w:val="auto"/>
              </w:rPr>
            </w:pPr>
          </w:p>
        </w:tc>
        <w:tc>
          <w:tcPr>
            <w:tcW w:w="846" w:type="dxa"/>
            <w:vMerge w:val="continue"/>
            <w:vAlign w:val="center"/>
          </w:tcPr>
          <w:p w14:paraId="7D98E8FF">
            <w:pPr>
              <w:pStyle w:val="181"/>
              <w:rPr>
                <w:color w:val="auto"/>
              </w:rPr>
            </w:pPr>
          </w:p>
        </w:tc>
        <w:tc>
          <w:tcPr>
            <w:tcW w:w="2169" w:type="dxa"/>
            <w:shd w:val="clear" w:color="auto" w:fill="auto"/>
            <w:vAlign w:val="center"/>
          </w:tcPr>
          <w:p w14:paraId="6C8EDFE3">
            <w:pPr>
              <w:pStyle w:val="181"/>
              <w:rPr>
                <w:color w:val="auto"/>
              </w:rPr>
            </w:pPr>
            <w:r>
              <w:rPr>
                <w:rFonts w:hint="eastAsia"/>
                <w:color w:val="auto"/>
              </w:rPr>
              <w:t>总磷（以P计）</w:t>
            </w:r>
          </w:p>
        </w:tc>
        <w:tc>
          <w:tcPr>
            <w:tcW w:w="1044" w:type="dxa"/>
            <w:shd w:val="clear" w:color="auto" w:fill="auto"/>
            <w:vAlign w:val="center"/>
          </w:tcPr>
          <w:p w14:paraId="592F990B">
            <w:pPr>
              <w:pStyle w:val="178"/>
              <w:bidi w:val="0"/>
              <w:ind w:firstLine="0" w:firstLineChars="0"/>
              <w:rPr>
                <w:rFonts w:hint="default"/>
                <w:color w:val="auto"/>
                <w:lang w:val="en-US" w:eastAsia="zh-CN"/>
              </w:rPr>
            </w:pPr>
            <w:r>
              <w:rPr>
                <w:rFonts w:hint="default"/>
                <w:color w:val="auto"/>
                <w:lang w:val="en-US" w:eastAsia="zh-CN"/>
              </w:rPr>
              <w:t>7.99</w:t>
            </w:r>
          </w:p>
        </w:tc>
        <w:tc>
          <w:tcPr>
            <w:tcW w:w="1043" w:type="dxa"/>
            <w:shd w:val="clear" w:color="auto" w:fill="auto"/>
            <w:vAlign w:val="center"/>
          </w:tcPr>
          <w:p w14:paraId="5E63BF9D">
            <w:pPr>
              <w:pStyle w:val="178"/>
              <w:bidi w:val="0"/>
              <w:ind w:firstLine="0" w:firstLineChars="0"/>
              <w:rPr>
                <w:rFonts w:hint="default"/>
                <w:color w:val="auto"/>
                <w:lang w:val="en-US" w:eastAsia="zh-CN"/>
              </w:rPr>
            </w:pPr>
            <w:r>
              <w:rPr>
                <w:rFonts w:hint="default"/>
                <w:color w:val="auto"/>
                <w:lang w:val="en-US" w:eastAsia="zh-CN"/>
              </w:rPr>
              <w:t>4.693</w:t>
            </w:r>
          </w:p>
        </w:tc>
        <w:tc>
          <w:tcPr>
            <w:tcW w:w="1241" w:type="dxa"/>
            <w:vMerge w:val="continue"/>
            <w:vAlign w:val="center"/>
          </w:tcPr>
          <w:p w14:paraId="3D674C93">
            <w:pPr>
              <w:pStyle w:val="181"/>
              <w:rPr>
                <w:color w:val="auto"/>
              </w:rPr>
            </w:pPr>
          </w:p>
        </w:tc>
        <w:tc>
          <w:tcPr>
            <w:tcW w:w="1028" w:type="dxa"/>
            <w:shd w:val="clear" w:color="auto" w:fill="auto"/>
            <w:vAlign w:val="center"/>
          </w:tcPr>
          <w:p w14:paraId="3C5C1433">
            <w:pPr>
              <w:pStyle w:val="181"/>
              <w:rPr>
                <w:color w:val="auto"/>
              </w:rPr>
            </w:pPr>
            <w:r>
              <w:rPr>
                <w:rFonts w:hint="eastAsia"/>
                <w:color w:val="auto"/>
              </w:rPr>
              <w:t>/</w:t>
            </w:r>
          </w:p>
        </w:tc>
        <w:tc>
          <w:tcPr>
            <w:tcW w:w="1000" w:type="dxa"/>
            <w:shd w:val="clear" w:color="auto" w:fill="auto"/>
            <w:vAlign w:val="center"/>
          </w:tcPr>
          <w:p w14:paraId="0882E496">
            <w:pPr>
              <w:pStyle w:val="178"/>
              <w:bidi w:val="0"/>
              <w:ind w:firstLine="0" w:firstLineChars="0"/>
              <w:rPr>
                <w:rFonts w:hint="default"/>
                <w:color w:val="auto"/>
                <w:lang w:val="en-US" w:eastAsia="zh-CN"/>
              </w:rPr>
            </w:pPr>
            <w:r>
              <w:rPr>
                <w:rFonts w:hint="default"/>
                <w:color w:val="auto"/>
                <w:lang w:val="en-US" w:eastAsia="zh-CN"/>
              </w:rPr>
              <w:t>0.5</w:t>
            </w:r>
          </w:p>
        </w:tc>
        <w:tc>
          <w:tcPr>
            <w:tcW w:w="1025" w:type="dxa"/>
            <w:shd w:val="clear" w:color="auto" w:fill="auto"/>
            <w:vAlign w:val="center"/>
          </w:tcPr>
          <w:p w14:paraId="6C5CE66B">
            <w:pPr>
              <w:pStyle w:val="178"/>
              <w:bidi w:val="0"/>
              <w:ind w:firstLine="0" w:firstLineChars="0"/>
              <w:rPr>
                <w:rFonts w:hint="default"/>
                <w:color w:val="auto"/>
                <w:lang w:val="en-US" w:eastAsia="zh-CN"/>
              </w:rPr>
            </w:pPr>
            <w:r>
              <w:rPr>
                <w:rFonts w:hint="default"/>
                <w:color w:val="auto"/>
                <w:lang w:val="en-US" w:eastAsia="zh-CN"/>
              </w:rPr>
              <w:t>0.29</w:t>
            </w:r>
          </w:p>
        </w:tc>
        <w:tc>
          <w:tcPr>
            <w:tcW w:w="951" w:type="dxa"/>
            <w:vMerge w:val="continue"/>
            <w:vAlign w:val="center"/>
          </w:tcPr>
          <w:p w14:paraId="3BA0480F">
            <w:pPr>
              <w:pStyle w:val="181"/>
              <w:rPr>
                <w:color w:val="auto"/>
              </w:rPr>
            </w:pPr>
          </w:p>
        </w:tc>
        <w:tc>
          <w:tcPr>
            <w:tcW w:w="999" w:type="dxa"/>
            <w:shd w:val="clear" w:color="auto" w:fill="auto"/>
            <w:vAlign w:val="center"/>
          </w:tcPr>
          <w:p w14:paraId="3DD73EEF">
            <w:pPr>
              <w:pStyle w:val="181"/>
              <w:rPr>
                <w:color w:val="auto"/>
              </w:rPr>
            </w:pPr>
            <w:r>
              <w:rPr>
                <w:rFonts w:hint="eastAsia"/>
                <w:color w:val="auto"/>
              </w:rPr>
              <w:t>0.5</w:t>
            </w:r>
          </w:p>
        </w:tc>
        <w:tc>
          <w:tcPr>
            <w:tcW w:w="951" w:type="dxa"/>
            <w:shd w:val="clear" w:color="auto" w:fill="auto"/>
            <w:vAlign w:val="center"/>
          </w:tcPr>
          <w:p w14:paraId="22E3D02E">
            <w:pPr>
              <w:pStyle w:val="181"/>
              <w:rPr>
                <w:color w:val="auto"/>
              </w:rPr>
            </w:pPr>
            <w:r>
              <w:rPr>
                <w:rFonts w:hint="eastAsia"/>
                <w:color w:val="auto"/>
              </w:rPr>
              <w:t>达标</w:t>
            </w:r>
          </w:p>
        </w:tc>
      </w:tr>
      <w:tr w14:paraId="31935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49" w:type="dxa"/>
            <w:vMerge w:val="continue"/>
            <w:vAlign w:val="center"/>
          </w:tcPr>
          <w:p w14:paraId="234EF1C1">
            <w:pPr>
              <w:pStyle w:val="181"/>
              <w:rPr>
                <w:color w:val="auto"/>
              </w:rPr>
            </w:pPr>
          </w:p>
        </w:tc>
        <w:tc>
          <w:tcPr>
            <w:tcW w:w="794" w:type="dxa"/>
            <w:vMerge w:val="continue"/>
            <w:vAlign w:val="center"/>
          </w:tcPr>
          <w:p w14:paraId="434726C9">
            <w:pPr>
              <w:pStyle w:val="181"/>
              <w:rPr>
                <w:color w:val="auto"/>
              </w:rPr>
            </w:pPr>
          </w:p>
        </w:tc>
        <w:tc>
          <w:tcPr>
            <w:tcW w:w="846" w:type="dxa"/>
            <w:vMerge w:val="continue"/>
            <w:vAlign w:val="center"/>
          </w:tcPr>
          <w:p w14:paraId="08EF6A12">
            <w:pPr>
              <w:pStyle w:val="181"/>
              <w:rPr>
                <w:color w:val="auto"/>
              </w:rPr>
            </w:pPr>
          </w:p>
        </w:tc>
        <w:tc>
          <w:tcPr>
            <w:tcW w:w="2169" w:type="dxa"/>
            <w:shd w:val="clear" w:color="auto" w:fill="auto"/>
            <w:vAlign w:val="center"/>
          </w:tcPr>
          <w:p w14:paraId="18D515DD">
            <w:pPr>
              <w:pStyle w:val="181"/>
              <w:rPr>
                <w:color w:val="auto"/>
              </w:rPr>
            </w:pPr>
            <w:r>
              <w:rPr>
                <w:rFonts w:hint="eastAsia"/>
                <w:color w:val="auto"/>
              </w:rPr>
              <w:t>总有机碳（TOC）</w:t>
            </w:r>
          </w:p>
        </w:tc>
        <w:tc>
          <w:tcPr>
            <w:tcW w:w="1044" w:type="dxa"/>
            <w:shd w:val="clear" w:color="auto" w:fill="auto"/>
            <w:vAlign w:val="center"/>
          </w:tcPr>
          <w:p w14:paraId="7F56B8D7">
            <w:pPr>
              <w:pStyle w:val="178"/>
              <w:bidi w:val="0"/>
              <w:ind w:firstLine="0" w:firstLineChars="0"/>
              <w:rPr>
                <w:rFonts w:hint="default"/>
                <w:color w:val="auto"/>
                <w:lang w:val="en-US" w:eastAsia="zh-CN"/>
              </w:rPr>
            </w:pPr>
            <w:r>
              <w:rPr>
                <w:rFonts w:hint="default"/>
                <w:color w:val="auto"/>
                <w:lang w:val="en-US" w:eastAsia="zh-CN"/>
              </w:rPr>
              <w:t>149.86</w:t>
            </w:r>
          </w:p>
        </w:tc>
        <w:tc>
          <w:tcPr>
            <w:tcW w:w="1043" w:type="dxa"/>
            <w:shd w:val="clear" w:color="auto" w:fill="auto"/>
            <w:vAlign w:val="center"/>
          </w:tcPr>
          <w:p w14:paraId="41DA20BB">
            <w:pPr>
              <w:pStyle w:val="178"/>
              <w:bidi w:val="0"/>
              <w:ind w:firstLine="0" w:firstLineChars="0"/>
              <w:rPr>
                <w:rFonts w:hint="default"/>
                <w:color w:val="auto"/>
                <w:lang w:val="en-US" w:eastAsia="zh-CN"/>
              </w:rPr>
            </w:pPr>
            <w:r>
              <w:rPr>
                <w:rFonts w:hint="default"/>
                <w:color w:val="auto"/>
                <w:lang w:val="en-US" w:eastAsia="zh-CN"/>
              </w:rPr>
              <w:t>88.02</w:t>
            </w:r>
          </w:p>
        </w:tc>
        <w:tc>
          <w:tcPr>
            <w:tcW w:w="1241" w:type="dxa"/>
            <w:vMerge w:val="continue"/>
            <w:vAlign w:val="center"/>
          </w:tcPr>
          <w:p w14:paraId="76C3A8EE">
            <w:pPr>
              <w:pStyle w:val="181"/>
              <w:rPr>
                <w:color w:val="auto"/>
              </w:rPr>
            </w:pPr>
          </w:p>
        </w:tc>
        <w:tc>
          <w:tcPr>
            <w:tcW w:w="1028" w:type="dxa"/>
            <w:shd w:val="clear" w:color="auto" w:fill="auto"/>
            <w:vAlign w:val="center"/>
          </w:tcPr>
          <w:p w14:paraId="47AE760F">
            <w:pPr>
              <w:pStyle w:val="181"/>
              <w:rPr>
                <w:color w:val="auto"/>
              </w:rPr>
            </w:pPr>
            <w:r>
              <w:rPr>
                <w:rFonts w:hint="eastAsia"/>
                <w:color w:val="auto"/>
              </w:rPr>
              <w:t>/</w:t>
            </w:r>
          </w:p>
        </w:tc>
        <w:tc>
          <w:tcPr>
            <w:tcW w:w="1000" w:type="dxa"/>
            <w:shd w:val="clear" w:color="auto" w:fill="auto"/>
            <w:vAlign w:val="center"/>
          </w:tcPr>
          <w:p w14:paraId="56F6BEA9">
            <w:pPr>
              <w:pStyle w:val="178"/>
              <w:bidi w:val="0"/>
              <w:ind w:firstLine="0" w:firstLineChars="0"/>
              <w:rPr>
                <w:rFonts w:hint="default"/>
                <w:color w:val="auto"/>
                <w:lang w:val="en-US" w:eastAsia="zh-CN"/>
              </w:rPr>
            </w:pPr>
            <w:r>
              <w:rPr>
                <w:rFonts w:hint="default"/>
                <w:color w:val="auto"/>
                <w:lang w:val="en-US" w:eastAsia="zh-CN"/>
              </w:rPr>
              <w:t>149.86</w:t>
            </w:r>
          </w:p>
        </w:tc>
        <w:tc>
          <w:tcPr>
            <w:tcW w:w="1025" w:type="dxa"/>
            <w:shd w:val="clear" w:color="auto" w:fill="auto"/>
            <w:vAlign w:val="center"/>
          </w:tcPr>
          <w:p w14:paraId="0247CE25">
            <w:pPr>
              <w:pStyle w:val="178"/>
              <w:bidi w:val="0"/>
              <w:ind w:firstLine="0" w:firstLineChars="0"/>
              <w:rPr>
                <w:rFonts w:hint="default"/>
                <w:color w:val="auto"/>
                <w:lang w:val="en-US" w:eastAsia="zh-CN"/>
              </w:rPr>
            </w:pPr>
            <w:r>
              <w:rPr>
                <w:rFonts w:hint="default"/>
                <w:color w:val="auto"/>
                <w:lang w:val="en-US" w:eastAsia="zh-CN"/>
              </w:rPr>
              <w:t>88.02</w:t>
            </w:r>
          </w:p>
        </w:tc>
        <w:tc>
          <w:tcPr>
            <w:tcW w:w="951" w:type="dxa"/>
            <w:vMerge w:val="continue"/>
            <w:vAlign w:val="center"/>
          </w:tcPr>
          <w:p w14:paraId="3504C685">
            <w:pPr>
              <w:pStyle w:val="181"/>
              <w:rPr>
                <w:color w:val="auto"/>
              </w:rPr>
            </w:pPr>
          </w:p>
        </w:tc>
        <w:tc>
          <w:tcPr>
            <w:tcW w:w="999" w:type="dxa"/>
            <w:shd w:val="clear" w:color="auto" w:fill="auto"/>
            <w:vAlign w:val="center"/>
          </w:tcPr>
          <w:p w14:paraId="2822D7FC">
            <w:pPr>
              <w:pStyle w:val="181"/>
              <w:rPr>
                <w:color w:val="auto"/>
              </w:rPr>
            </w:pPr>
            <w:r>
              <w:rPr>
                <w:rFonts w:hint="eastAsia"/>
                <w:color w:val="auto"/>
              </w:rPr>
              <w:t>/</w:t>
            </w:r>
          </w:p>
        </w:tc>
        <w:tc>
          <w:tcPr>
            <w:tcW w:w="951" w:type="dxa"/>
            <w:shd w:val="clear" w:color="auto" w:fill="auto"/>
            <w:vAlign w:val="center"/>
          </w:tcPr>
          <w:p w14:paraId="3F0C0038">
            <w:pPr>
              <w:pStyle w:val="181"/>
              <w:rPr>
                <w:color w:val="auto"/>
              </w:rPr>
            </w:pPr>
            <w:r>
              <w:rPr>
                <w:rFonts w:hint="eastAsia"/>
                <w:color w:val="auto"/>
              </w:rPr>
              <w:t>/</w:t>
            </w:r>
          </w:p>
        </w:tc>
      </w:tr>
      <w:tr w14:paraId="19A187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49" w:type="dxa"/>
            <w:vMerge w:val="continue"/>
            <w:vAlign w:val="center"/>
          </w:tcPr>
          <w:p w14:paraId="7D04EA4C">
            <w:pPr>
              <w:pStyle w:val="181"/>
              <w:rPr>
                <w:color w:val="auto"/>
              </w:rPr>
            </w:pPr>
          </w:p>
        </w:tc>
        <w:tc>
          <w:tcPr>
            <w:tcW w:w="794" w:type="dxa"/>
            <w:vMerge w:val="continue"/>
            <w:vAlign w:val="center"/>
          </w:tcPr>
          <w:p w14:paraId="0DC09337">
            <w:pPr>
              <w:pStyle w:val="181"/>
              <w:rPr>
                <w:color w:val="auto"/>
              </w:rPr>
            </w:pPr>
          </w:p>
        </w:tc>
        <w:tc>
          <w:tcPr>
            <w:tcW w:w="846" w:type="dxa"/>
            <w:vMerge w:val="continue"/>
            <w:vAlign w:val="center"/>
          </w:tcPr>
          <w:p w14:paraId="16BF44DE">
            <w:pPr>
              <w:pStyle w:val="181"/>
              <w:rPr>
                <w:color w:val="auto"/>
              </w:rPr>
            </w:pPr>
          </w:p>
        </w:tc>
        <w:tc>
          <w:tcPr>
            <w:tcW w:w="2169" w:type="dxa"/>
            <w:shd w:val="clear" w:color="auto" w:fill="auto"/>
            <w:vAlign w:val="center"/>
          </w:tcPr>
          <w:p w14:paraId="4F618F9B">
            <w:pPr>
              <w:pStyle w:val="181"/>
              <w:rPr>
                <w:color w:val="auto"/>
              </w:rPr>
            </w:pPr>
            <w:r>
              <w:rPr>
                <w:rFonts w:hint="eastAsia"/>
                <w:color w:val="auto"/>
              </w:rPr>
              <w:t>石油类</w:t>
            </w:r>
          </w:p>
        </w:tc>
        <w:tc>
          <w:tcPr>
            <w:tcW w:w="1044" w:type="dxa"/>
            <w:shd w:val="clear" w:color="auto" w:fill="auto"/>
            <w:vAlign w:val="center"/>
          </w:tcPr>
          <w:p w14:paraId="59A47B35">
            <w:pPr>
              <w:pStyle w:val="178"/>
              <w:bidi w:val="0"/>
              <w:ind w:firstLine="0" w:firstLineChars="0"/>
              <w:rPr>
                <w:rFonts w:hint="default"/>
                <w:color w:val="auto"/>
                <w:lang w:val="en-US" w:eastAsia="zh-CN"/>
              </w:rPr>
            </w:pPr>
            <w:r>
              <w:rPr>
                <w:rFonts w:hint="default"/>
                <w:color w:val="auto"/>
                <w:lang w:val="en-US" w:eastAsia="zh-CN"/>
              </w:rPr>
              <w:t>14.98</w:t>
            </w:r>
          </w:p>
        </w:tc>
        <w:tc>
          <w:tcPr>
            <w:tcW w:w="1043" w:type="dxa"/>
            <w:shd w:val="clear" w:color="auto" w:fill="auto"/>
            <w:vAlign w:val="center"/>
          </w:tcPr>
          <w:p w14:paraId="3666D051">
            <w:pPr>
              <w:pStyle w:val="178"/>
              <w:bidi w:val="0"/>
              <w:ind w:firstLine="0" w:firstLineChars="0"/>
              <w:rPr>
                <w:rFonts w:hint="default"/>
                <w:color w:val="auto"/>
                <w:lang w:val="en-US" w:eastAsia="zh-CN"/>
              </w:rPr>
            </w:pPr>
            <w:r>
              <w:rPr>
                <w:rFonts w:hint="default"/>
                <w:color w:val="auto"/>
                <w:lang w:val="en-US" w:eastAsia="zh-CN"/>
              </w:rPr>
              <w:t>8.8</w:t>
            </w:r>
          </w:p>
        </w:tc>
        <w:tc>
          <w:tcPr>
            <w:tcW w:w="1241" w:type="dxa"/>
            <w:vMerge w:val="continue"/>
            <w:vAlign w:val="center"/>
          </w:tcPr>
          <w:p w14:paraId="4F469EE8">
            <w:pPr>
              <w:pStyle w:val="181"/>
              <w:rPr>
                <w:color w:val="auto"/>
              </w:rPr>
            </w:pPr>
          </w:p>
        </w:tc>
        <w:tc>
          <w:tcPr>
            <w:tcW w:w="1028" w:type="dxa"/>
            <w:shd w:val="clear" w:color="auto" w:fill="auto"/>
            <w:vAlign w:val="center"/>
          </w:tcPr>
          <w:p w14:paraId="59416B0E">
            <w:pPr>
              <w:pStyle w:val="181"/>
              <w:rPr>
                <w:color w:val="auto"/>
              </w:rPr>
            </w:pPr>
            <w:r>
              <w:rPr>
                <w:rFonts w:hint="eastAsia"/>
                <w:color w:val="auto"/>
              </w:rPr>
              <w:t>/</w:t>
            </w:r>
          </w:p>
        </w:tc>
        <w:tc>
          <w:tcPr>
            <w:tcW w:w="1000" w:type="dxa"/>
            <w:shd w:val="clear" w:color="auto" w:fill="auto"/>
            <w:vAlign w:val="center"/>
          </w:tcPr>
          <w:p w14:paraId="795DD9D4">
            <w:pPr>
              <w:pStyle w:val="178"/>
              <w:bidi w:val="0"/>
              <w:ind w:firstLine="0" w:firstLineChars="0"/>
              <w:rPr>
                <w:rFonts w:hint="default"/>
                <w:color w:val="auto"/>
                <w:lang w:val="en-US" w:eastAsia="zh-CN"/>
              </w:rPr>
            </w:pPr>
            <w:r>
              <w:rPr>
                <w:rFonts w:hint="default"/>
                <w:color w:val="auto"/>
                <w:lang w:val="en-US" w:eastAsia="zh-CN"/>
              </w:rPr>
              <w:t>1</w:t>
            </w:r>
          </w:p>
        </w:tc>
        <w:tc>
          <w:tcPr>
            <w:tcW w:w="1025" w:type="dxa"/>
            <w:shd w:val="clear" w:color="auto" w:fill="auto"/>
            <w:vAlign w:val="center"/>
          </w:tcPr>
          <w:p w14:paraId="1B34A1CB">
            <w:pPr>
              <w:pStyle w:val="178"/>
              <w:bidi w:val="0"/>
              <w:ind w:firstLine="0" w:firstLineChars="0"/>
              <w:rPr>
                <w:rFonts w:hint="default"/>
                <w:color w:val="auto"/>
                <w:lang w:val="en-US" w:eastAsia="zh-CN"/>
              </w:rPr>
            </w:pPr>
            <w:r>
              <w:rPr>
                <w:rFonts w:hint="default"/>
                <w:color w:val="auto"/>
                <w:lang w:val="en-US" w:eastAsia="zh-CN"/>
              </w:rPr>
              <w:t>0.59</w:t>
            </w:r>
          </w:p>
        </w:tc>
        <w:tc>
          <w:tcPr>
            <w:tcW w:w="951" w:type="dxa"/>
            <w:vMerge w:val="continue"/>
            <w:vAlign w:val="center"/>
          </w:tcPr>
          <w:p w14:paraId="47804112">
            <w:pPr>
              <w:pStyle w:val="181"/>
              <w:rPr>
                <w:color w:val="auto"/>
              </w:rPr>
            </w:pPr>
          </w:p>
        </w:tc>
        <w:tc>
          <w:tcPr>
            <w:tcW w:w="999" w:type="dxa"/>
            <w:shd w:val="clear" w:color="auto" w:fill="auto"/>
            <w:vAlign w:val="center"/>
          </w:tcPr>
          <w:p w14:paraId="2185C63E">
            <w:pPr>
              <w:pStyle w:val="181"/>
              <w:rPr>
                <w:color w:val="auto"/>
              </w:rPr>
            </w:pPr>
            <w:r>
              <w:rPr>
                <w:rFonts w:hint="eastAsia"/>
                <w:color w:val="auto"/>
              </w:rPr>
              <w:t>1</w:t>
            </w:r>
          </w:p>
        </w:tc>
        <w:tc>
          <w:tcPr>
            <w:tcW w:w="951" w:type="dxa"/>
            <w:shd w:val="clear" w:color="auto" w:fill="auto"/>
            <w:vAlign w:val="center"/>
          </w:tcPr>
          <w:p w14:paraId="75EB7C05">
            <w:pPr>
              <w:pStyle w:val="181"/>
              <w:rPr>
                <w:color w:val="auto"/>
              </w:rPr>
            </w:pPr>
            <w:r>
              <w:rPr>
                <w:rFonts w:hint="eastAsia"/>
                <w:color w:val="auto"/>
              </w:rPr>
              <w:t>达标</w:t>
            </w:r>
          </w:p>
        </w:tc>
      </w:tr>
      <w:tr w14:paraId="746F24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49" w:type="dxa"/>
            <w:vMerge w:val="continue"/>
            <w:vAlign w:val="center"/>
          </w:tcPr>
          <w:p w14:paraId="6FC8814D">
            <w:pPr>
              <w:pStyle w:val="181"/>
              <w:rPr>
                <w:color w:val="auto"/>
              </w:rPr>
            </w:pPr>
          </w:p>
        </w:tc>
        <w:tc>
          <w:tcPr>
            <w:tcW w:w="794" w:type="dxa"/>
            <w:vMerge w:val="continue"/>
            <w:vAlign w:val="center"/>
          </w:tcPr>
          <w:p w14:paraId="68780C48">
            <w:pPr>
              <w:pStyle w:val="181"/>
              <w:rPr>
                <w:color w:val="auto"/>
              </w:rPr>
            </w:pPr>
          </w:p>
        </w:tc>
        <w:tc>
          <w:tcPr>
            <w:tcW w:w="846" w:type="dxa"/>
            <w:vMerge w:val="continue"/>
            <w:vAlign w:val="center"/>
          </w:tcPr>
          <w:p w14:paraId="2497681E">
            <w:pPr>
              <w:pStyle w:val="181"/>
              <w:rPr>
                <w:color w:val="auto"/>
              </w:rPr>
            </w:pPr>
          </w:p>
        </w:tc>
        <w:tc>
          <w:tcPr>
            <w:tcW w:w="2169" w:type="dxa"/>
            <w:shd w:val="clear" w:color="auto" w:fill="auto"/>
            <w:vAlign w:val="center"/>
          </w:tcPr>
          <w:p w14:paraId="00C23E97">
            <w:pPr>
              <w:pStyle w:val="181"/>
              <w:rPr>
                <w:color w:val="auto"/>
              </w:rPr>
            </w:pPr>
            <w:r>
              <w:rPr>
                <w:rFonts w:hint="eastAsia"/>
                <w:color w:val="auto"/>
              </w:rPr>
              <w:t>硫化物</w:t>
            </w:r>
          </w:p>
        </w:tc>
        <w:tc>
          <w:tcPr>
            <w:tcW w:w="1044" w:type="dxa"/>
            <w:shd w:val="clear" w:color="auto" w:fill="auto"/>
            <w:vAlign w:val="center"/>
          </w:tcPr>
          <w:p w14:paraId="4A866729">
            <w:pPr>
              <w:pStyle w:val="178"/>
              <w:bidi w:val="0"/>
              <w:ind w:firstLine="0" w:firstLineChars="0"/>
              <w:rPr>
                <w:rFonts w:hint="default"/>
                <w:color w:val="auto"/>
                <w:lang w:val="en-US" w:eastAsia="zh-CN"/>
              </w:rPr>
            </w:pPr>
            <w:r>
              <w:rPr>
                <w:rFonts w:hint="default"/>
                <w:color w:val="auto"/>
                <w:lang w:val="en-US" w:eastAsia="zh-CN"/>
              </w:rPr>
              <w:t>1</w:t>
            </w:r>
          </w:p>
        </w:tc>
        <w:tc>
          <w:tcPr>
            <w:tcW w:w="1043" w:type="dxa"/>
            <w:shd w:val="clear" w:color="auto" w:fill="auto"/>
            <w:vAlign w:val="center"/>
          </w:tcPr>
          <w:p w14:paraId="2153E5A7">
            <w:pPr>
              <w:pStyle w:val="178"/>
              <w:bidi w:val="0"/>
              <w:ind w:firstLine="0" w:firstLineChars="0"/>
              <w:rPr>
                <w:rFonts w:hint="default"/>
                <w:color w:val="auto"/>
                <w:lang w:val="en-US" w:eastAsia="zh-CN"/>
              </w:rPr>
            </w:pPr>
            <w:r>
              <w:rPr>
                <w:rFonts w:hint="default"/>
                <w:color w:val="auto"/>
                <w:lang w:val="en-US" w:eastAsia="zh-CN"/>
              </w:rPr>
              <w:t>0.59</w:t>
            </w:r>
          </w:p>
        </w:tc>
        <w:tc>
          <w:tcPr>
            <w:tcW w:w="1241" w:type="dxa"/>
            <w:vMerge w:val="continue"/>
            <w:vAlign w:val="center"/>
          </w:tcPr>
          <w:p w14:paraId="2E3EB6B7">
            <w:pPr>
              <w:pStyle w:val="181"/>
              <w:rPr>
                <w:color w:val="auto"/>
              </w:rPr>
            </w:pPr>
          </w:p>
        </w:tc>
        <w:tc>
          <w:tcPr>
            <w:tcW w:w="1028" w:type="dxa"/>
            <w:shd w:val="clear" w:color="auto" w:fill="auto"/>
            <w:vAlign w:val="center"/>
          </w:tcPr>
          <w:p w14:paraId="24E3A5F0">
            <w:pPr>
              <w:pStyle w:val="181"/>
              <w:rPr>
                <w:color w:val="auto"/>
              </w:rPr>
            </w:pPr>
            <w:r>
              <w:rPr>
                <w:rFonts w:hint="eastAsia"/>
                <w:color w:val="auto"/>
              </w:rPr>
              <w:t>/</w:t>
            </w:r>
          </w:p>
        </w:tc>
        <w:tc>
          <w:tcPr>
            <w:tcW w:w="1000" w:type="dxa"/>
            <w:shd w:val="clear" w:color="auto" w:fill="auto"/>
            <w:vAlign w:val="center"/>
          </w:tcPr>
          <w:p w14:paraId="04928ADF">
            <w:pPr>
              <w:pStyle w:val="178"/>
              <w:bidi w:val="0"/>
              <w:ind w:firstLine="0" w:firstLineChars="0"/>
              <w:rPr>
                <w:rFonts w:hint="default"/>
                <w:color w:val="auto"/>
                <w:lang w:val="en-US" w:eastAsia="zh-CN"/>
              </w:rPr>
            </w:pPr>
            <w:r>
              <w:rPr>
                <w:rFonts w:hint="default"/>
                <w:color w:val="auto"/>
                <w:lang w:val="en-US" w:eastAsia="zh-CN"/>
              </w:rPr>
              <w:t>1</w:t>
            </w:r>
          </w:p>
        </w:tc>
        <w:tc>
          <w:tcPr>
            <w:tcW w:w="1025" w:type="dxa"/>
            <w:shd w:val="clear" w:color="auto" w:fill="auto"/>
            <w:vAlign w:val="center"/>
          </w:tcPr>
          <w:p w14:paraId="7A8A0951">
            <w:pPr>
              <w:pStyle w:val="178"/>
              <w:bidi w:val="0"/>
              <w:ind w:firstLine="0" w:firstLineChars="0"/>
              <w:rPr>
                <w:rFonts w:hint="default"/>
                <w:color w:val="auto"/>
                <w:lang w:val="en-US" w:eastAsia="zh-CN"/>
              </w:rPr>
            </w:pPr>
            <w:r>
              <w:rPr>
                <w:rFonts w:hint="default"/>
                <w:color w:val="auto"/>
                <w:lang w:val="en-US" w:eastAsia="zh-CN"/>
              </w:rPr>
              <w:t>0.59</w:t>
            </w:r>
          </w:p>
        </w:tc>
        <w:tc>
          <w:tcPr>
            <w:tcW w:w="951" w:type="dxa"/>
            <w:vMerge w:val="continue"/>
            <w:vAlign w:val="center"/>
          </w:tcPr>
          <w:p w14:paraId="7E54CE45">
            <w:pPr>
              <w:pStyle w:val="181"/>
              <w:rPr>
                <w:color w:val="auto"/>
              </w:rPr>
            </w:pPr>
          </w:p>
        </w:tc>
        <w:tc>
          <w:tcPr>
            <w:tcW w:w="999" w:type="dxa"/>
            <w:shd w:val="clear" w:color="auto" w:fill="auto"/>
            <w:vAlign w:val="center"/>
          </w:tcPr>
          <w:p w14:paraId="15C84F11">
            <w:pPr>
              <w:pStyle w:val="181"/>
              <w:rPr>
                <w:color w:val="auto"/>
              </w:rPr>
            </w:pPr>
            <w:r>
              <w:rPr>
                <w:rFonts w:hint="eastAsia"/>
                <w:color w:val="auto"/>
              </w:rPr>
              <w:t>1</w:t>
            </w:r>
          </w:p>
        </w:tc>
        <w:tc>
          <w:tcPr>
            <w:tcW w:w="951" w:type="dxa"/>
            <w:shd w:val="clear" w:color="auto" w:fill="auto"/>
            <w:vAlign w:val="center"/>
          </w:tcPr>
          <w:p w14:paraId="46FDE709">
            <w:pPr>
              <w:pStyle w:val="181"/>
              <w:rPr>
                <w:color w:val="auto"/>
              </w:rPr>
            </w:pPr>
            <w:r>
              <w:rPr>
                <w:rFonts w:hint="eastAsia"/>
                <w:color w:val="auto"/>
              </w:rPr>
              <w:t>达标</w:t>
            </w:r>
          </w:p>
        </w:tc>
      </w:tr>
      <w:tr w14:paraId="0FFC4F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49" w:type="dxa"/>
            <w:vMerge w:val="continue"/>
            <w:vAlign w:val="center"/>
          </w:tcPr>
          <w:p w14:paraId="7E45AA42">
            <w:pPr>
              <w:pStyle w:val="181"/>
              <w:rPr>
                <w:color w:val="auto"/>
              </w:rPr>
            </w:pPr>
          </w:p>
        </w:tc>
        <w:tc>
          <w:tcPr>
            <w:tcW w:w="794" w:type="dxa"/>
            <w:vMerge w:val="continue"/>
            <w:vAlign w:val="center"/>
          </w:tcPr>
          <w:p w14:paraId="02719E52">
            <w:pPr>
              <w:pStyle w:val="181"/>
              <w:rPr>
                <w:color w:val="auto"/>
              </w:rPr>
            </w:pPr>
          </w:p>
        </w:tc>
        <w:tc>
          <w:tcPr>
            <w:tcW w:w="846" w:type="dxa"/>
            <w:vMerge w:val="continue"/>
            <w:vAlign w:val="center"/>
          </w:tcPr>
          <w:p w14:paraId="422B5508">
            <w:pPr>
              <w:pStyle w:val="181"/>
              <w:rPr>
                <w:color w:val="auto"/>
              </w:rPr>
            </w:pPr>
          </w:p>
        </w:tc>
        <w:tc>
          <w:tcPr>
            <w:tcW w:w="2169" w:type="dxa"/>
            <w:shd w:val="clear" w:color="auto" w:fill="auto"/>
            <w:vAlign w:val="center"/>
          </w:tcPr>
          <w:p w14:paraId="438EEA53">
            <w:pPr>
              <w:pStyle w:val="181"/>
              <w:rPr>
                <w:color w:val="auto"/>
              </w:rPr>
            </w:pPr>
            <w:r>
              <w:rPr>
                <w:rFonts w:hint="eastAsia"/>
                <w:color w:val="auto"/>
              </w:rPr>
              <w:t>氟化物</w:t>
            </w:r>
          </w:p>
        </w:tc>
        <w:tc>
          <w:tcPr>
            <w:tcW w:w="1044" w:type="dxa"/>
            <w:shd w:val="clear" w:color="auto" w:fill="auto"/>
            <w:vAlign w:val="center"/>
          </w:tcPr>
          <w:p w14:paraId="0122453F">
            <w:pPr>
              <w:pStyle w:val="178"/>
              <w:bidi w:val="0"/>
              <w:ind w:firstLine="0" w:firstLineChars="0"/>
              <w:rPr>
                <w:rFonts w:hint="default"/>
                <w:color w:val="auto"/>
                <w:lang w:val="en-US" w:eastAsia="zh-CN"/>
              </w:rPr>
            </w:pPr>
            <w:r>
              <w:rPr>
                <w:rFonts w:hint="default"/>
                <w:color w:val="auto"/>
                <w:lang w:val="en-US" w:eastAsia="zh-CN"/>
              </w:rPr>
              <w:t>19.99</w:t>
            </w:r>
          </w:p>
        </w:tc>
        <w:tc>
          <w:tcPr>
            <w:tcW w:w="1043" w:type="dxa"/>
            <w:shd w:val="clear" w:color="auto" w:fill="auto"/>
            <w:vAlign w:val="center"/>
          </w:tcPr>
          <w:p w14:paraId="024C452F">
            <w:pPr>
              <w:pStyle w:val="178"/>
              <w:bidi w:val="0"/>
              <w:ind w:firstLine="0" w:firstLineChars="0"/>
              <w:rPr>
                <w:rFonts w:hint="default"/>
                <w:color w:val="auto"/>
                <w:lang w:val="en-US" w:eastAsia="zh-CN"/>
              </w:rPr>
            </w:pPr>
            <w:r>
              <w:rPr>
                <w:rFonts w:hint="default"/>
                <w:color w:val="auto"/>
                <w:lang w:val="en-US" w:eastAsia="zh-CN"/>
              </w:rPr>
              <w:t>11.74</w:t>
            </w:r>
          </w:p>
        </w:tc>
        <w:tc>
          <w:tcPr>
            <w:tcW w:w="1241" w:type="dxa"/>
            <w:vMerge w:val="continue"/>
            <w:vAlign w:val="center"/>
          </w:tcPr>
          <w:p w14:paraId="1EA4F8EF">
            <w:pPr>
              <w:pStyle w:val="181"/>
              <w:rPr>
                <w:color w:val="auto"/>
              </w:rPr>
            </w:pPr>
          </w:p>
        </w:tc>
        <w:tc>
          <w:tcPr>
            <w:tcW w:w="1028" w:type="dxa"/>
            <w:shd w:val="clear" w:color="auto" w:fill="auto"/>
            <w:vAlign w:val="center"/>
          </w:tcPr>
          <w:p w14:paraId="30FA0822">
            <w:pPr>
              <w:pStyle w:val="181"/>
              <w:rPr>
                <w:color w:val="auto"/>
              </w:rPr>
            </w:pPr>
            <w:r>
              <w:rPr>
                <w:rFonts w:hint="eastAsia"/>
                <w:color w:val="auto"/>
              </w:rPr>
              <w:t>/</w:t>
            </w:r>
          </w:p>
        </w:tc>
        <w:tc>
          <w:tcPr>
            <w:tcW w:w="1000" w:type="dxa"/>
            <w:shd w:val="clear" w:color="auto" w:fill="auto"/>
            <w:vAlign w:val="center"/>
          </w:tcPr>
          <w:p w14:paraId="1ABF5552">
            <w:pPr>
              <w:pStyle w:val="178"/>
              <w:bidi w:val="0"/>
              <w:ind w:firstLine="0" w:firstLineChars="0"/>
              <w:rPr>
                <w:rFonts w:hint="default"/>
                <w:color w:val="auto"/>
                <w:lang w:val="en-US" w:eastAsia="zh-CN"/>
              </w:rPr>
            </w:pPr>
            <w:r>
              <w:rPr>
                <w:rFonts w:hint="default"/>
                <w:color w:val="auto"/>
                <w:lang w:val="en-US" w:eastAsia="zh-CN"/>
              </w:rPr>
              <w:t>19.94</w:t>
            </w:r>
          </w:p>
        </w:tc>
        <w:tc>
          <w:tcPr>
            <w:tcW w:w="1025" w:type="dxa"/>
            <w:shd w:val="clear" w:color="auto" w:fill="auto"/>
            <w:vAlign w:val="center"/>
          </w:tcPr>
          <w:p w14:paraId="15570EAC">
            <w:pPr>
              <w:pStyle w:val="178"/>
              <w:bidi w:val="0"/>
              <w:ind w:firstLine="0" w:firstLineChars="0"/>
              <w:rPr>
                <w:rFonts w:hint="default"/>
                <w:color w:val="auto"/>
                <w:lang w:val="en-US" w:eastAsia="zh-CN"/>
              </w:rPr>
            </w:pPr>
            <w:r>
              <w:rPr>
                <w:rFonts w:hint="default"/>
                <w:color w:val="auto"/>
                <w:lang w:val="en-US" w:eastAsia="zh-CN"/>
              </w:rPr>
              <w:t>11.71</w:t>
            </w:r>
          </w:p>
        </w:tc>
        <w:tc>
          <w:tcPr>
            <w:tcW w:w="951" w:type="dxa"/>
            <w:vMerge w:val="continue"/>
            <w:vAlign w:val="center"/>
          </w:tcPr>
          <w:p w14:paraId="7A1969BE">
            <w:pPr>
              <w:pStyle w:val="181"/>
              <w:rPr>
                <w:color w:val="auto"/>
              </w:rPr>
            </w:pPr>
          </w:p>
        </w:tc>
        <w:tc>
          <w:tcPr>
            <w:tcW w:w="999" w:type="dxa"/>
            <w:shd w:val="clear" w:color="auto" w:fill="auto"/>
            <w:vAlign w:val="center"/>
          </w:tcPr>
          <w:p w14:paraId="15154C91">
            <w:pPr>
              <w:pStyle w:val="181"/>
              <w:rPr>
                <w:color w:val="auto"/>
              </w:rPr>
            </w:pPr>
            <w:r>
              <w:rPr>
                <w:rFonts w:hint="eastAsia"/>
                <w:color w:val="auto"/>
              </w:rPr>
              <w:t>/</w:t>
            </w:r>
          </w:p>
        </w:tc>
        <w:tc>
          <w:tcPr>
            <w:tcW w:w="951" w:type="dxa"/>
            <w:shd w:val="clear" w:color="auto" w:fill="auto"/>
            <w:vAlign w:val="center"/>
          </w:tcPr>
          <w:p w14:paraId="7B14BA03">
            <w:pPr>
              <w:pStyle w:val="181"/>
              <w:rPr>
                <w:color w:val="auto"/>
              </w:rPr>
            </w:pPr>
            <w:r>
              <w:rPr>
                <w:rFonts w:hint="eastAsia"/>
                <w:color w:val="auto"/>
              </w:rPr>
              <w:t>/</w:t>
            </w:r>
          </w:p>
        </w:tc>
      </w:tr>
      <w:tr w14:paraId="07A790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49" w:type="dxa"/>
            <w:vMerge w:val="continue"/>
            <w:vAlign w:val="center"/>
          </w:tcPr>
          <w:p w14:paraId="6DAC1B73">
            <w:pPr>
              <w:pStyle w:val="181"/>
              <w:rPr>
                <w:color w:val="auto"/>
              </w:rPr>
            </w:pPr>
          </w:p>
        </w:tc>
        <w:tc>
          <w:tcPr>
            <w:tcW w:w="794" w:type="dxa"/>
            <w:vMerge w:val="continue"/>
            <w:vAlign w:val="center"/>
          </w:tcPr>
          <w:p w14:paraId="5F1EAA1F">
            <w:pPr>
              <w:pStyle w:val="181"/>
              <w:rPr>
                <w:color w:val="auto"/>
              </w:rPr>
            </w:pPr>
          </w:p>
        </w:tc>
        <w:tc>
          <w:tcPr>
            <w:tcW w:w="846" w:type="dxa"/>
            <w:vMerge w:val="continue"/>
            <w:vAlign w:val="center"/>
          </w:tcPr>
          <w:p w14:paraId="7C6FFAE1">
            <w:pPr>
              <w:pStyle w:val="181"/>
              <w:rPr>
                <w:color w:val="auto"/>
              </w:rPr>
            </w:pPr>
          </w:p>
        </w:tc>
        <w:tc>
          <w:tcPr>
            <w:tcW w:w="2169" w:type="dxa"/>
            <w:shd w:val="clear" w:color="auto" w:fill="auto"/>
            <w:vAlign w:val="center"/>
          </w:tcPr>
          <w:p w14:paraId="613A56C7">
            <w:pPr>
              <w:pStyle w:val="181"/>
              <w:rPr>
                <w:color w:val="auto"/>
              </w:rPr>
            </w:pPr>
            <w:r>
              <w:rPr>
                <w:rFonts w:hint="eastAsia"/>
                <w:color w:val="auto"/>
              </w:rPr>
              <w:t>氯化物（以Cl计）</w:t>
            </w:r>
          </w:p>
        </w:tc>
        <w:tc>
          <w:tcPr>
            <w:tcW w:w="1044" w:type="dxa"/>
            <w:shd w:val="clear" w:color="auto" w:fill="auto"/>
            <w:vAlign w:val="center"/>
          </w:tcPr>
          <w:p w14:paraId="22DAD009">
            <w:pPr>
              <w:pStyle w:val="178"/>
              <w:bidi w:val="0"/>
              <w:ind w:firstLine="0" w:firstLineChars="0"/>
              <w:rPr>
                <w:rFonts w:hint="default"/>
                <w:color w:val="auto"/>
                <w:lang w:val="en-US" w:eastAsia="zh-CN"/>
              </w:rPr>
            </w:pPr>
            <w:r>
              <w:rPr>
                <w:rFonts w:hint="default"/>
                <w:color w:val="auto"/>
                <w:lang w:val="en-US" w:eastAsia="zh-CN"/>
              </w:rPr>
              <w:t>2997.24</w:t>
            </w:r>
          </w:p>
        </w:tc>
        <w:tc>
          <w:tcPr>
            <w:tcW w:w="1043" w:type="dxa"/>
            <w:shd w:val="clear" w:color="auto" w:fill="auto"/>
            <w:vAlign w:val="center"/>
          </w:tcPr>
          <w:p w14:paraId="458F653F">
            <w:pPr>
              <w:pStyle w:val="178"/>
              <w:bidi w:val="0"/>
              <w:ind w:firstLine="0" w:firstLineChars="0"/>
              <w:rPr>
                <w:rFonts w:hint="default"/>
                <w:color w:val="auto"/>
                <w:lang w:val="en-US" w:eastAsia="zh-CN"/>
              </w:rPr>
            </w:pPr>
            <w:r>
              <w:rPr>
                <w:rFonts w:hint="default"/>
                <w:color w:val="auto"/>
                <w:lang w:val="en-US" w:eastAsia="zh-CN"/>
              </w:rPr>
              <w:t>1760.4</w:t>
            </w:r>
          </w:p>
        </w:tc>
        <w:tc>
          <w:tcPr>
            <w:tcW w:w="1241" w:type="dxa"/>
            <w:vMerge w:val="continue"/>
            <w:vAlign w:val="center"/>
          </w:tcPr>
          <w:p w14:paraId="7921F3B8">
            <w:pPr>
              <w:pStyle w:val="181"/>
              <w:rPr>
                <w:color w:val="auto"/>
              </w:rPr>
            </w:pPr>
          </w:p>
        </w:tc>
        <w:tc>
          <w:tcPr>
            <w:tcW w:w="1028" w:type="dxa"/>
            <w:shd w:val="clear" w:color="auto" w:fill="auto"/>
            <w:vAlign w:val="center"/>
          </w:tcPr>
          <w:p w14:paraId="5A10A5EB">
            <w:pPr>
              <w:pStyle w:val="181"/>
              <w:rPr>
                <w:color w:val="auto"/>
              </w:rPr>
            </w:pPr>
            <w:r>
              <w:rPr>
                <w:rFonts w:hint="eastAsia"/>
                <w:color w:val="auto"/>
              </w:rPr>
              <w:t>/</w:t>
            </w:r>
          </w:p>
        </w:tc>
        <w:tc>
          <w:tcPr>
            <w:tcW w:w="1000" w:type="dxa"/>
            <w:shd w:val="clear" w:color="auto" w:fill="auto"/>
            <w:vAlign w:val="center"/>
          </w:tcPr>
          <w:p w14:paraId="1633D4AB">
            <w:pPr>
              <w:pStyle w:val="178"/>
              <w:bidi w:val="0"/>
              <w:ind w:firstLine="0" w:firstLineChars="0"/>
              <w:rPr>
                <w:rFonts w:hint="default"/>
                <w:color w:val="auto"/>
                <w:lang w:val="en-US" w:eastAsia="zh-CN"/>
              </w:rPr>
            </w:pPr>
            <w:r>
              <w:rPr>
                <w:rFonts w:hint="default"/>
                <w:color w:val="auto"/>
                <w:lang w:val="en-US" w:eastAsia="zh-CN"/>
              </w:rPr>
              <w:t>2997.24</w:t>
            </w:r>
          </w:p>
        </w:tc>
        <w:tc>
          <w:tcPr>
            <w:tcW w:w="1025" w:type="dxa"/>
            <w:shd w:val="clear" w:color="auto" w:fill="auto"/>
            <w:vAlign w:val="center"/>
          </w:tcPr>
          <w:p w14:paraId="1C5F964E">
            <w:pPr>
              <w:pStyle w:val="178"/>
              <w:bidi w:val="0"/>
              <w:ind w:firstLine="0" w:firstLineChars="0"/>
              <w:rPr>
                <w:rFonts w:hint="default"/>
                <w:color w:val="auto"/>
                <w:lang w:val="en-US" w:eastAsia="zh-CN"/>
              </w:rPr>
            </w:pPr>
            <w:r>
              <w:rPr>
                <w:rFonts w:hint="default"/>
                <w:color w:val="auto"/>
                <w:lang w:val="en-US" w:eastAsia="zh-CN"/>
              </w:rPr>
              <w:t>1760.4</w:t>
            </w:r>
          </w:p>
        </w:tc>
        <w:tc>
          <w:tcPr>
            <w:tcW w:w="951" w:type="dxa"/>
            <w:vMerge w:val="continue"/>
            <w:vAlign w:val="center"/>
          </w:tcPr>
          <w:p w14:paraId="08597996">
            <w:pPr>
              <w:pStyle w:val="181"/>
              <w:rPr>
                <w:color w:val="auto"/>
              </w:rPr>
            </w:pPr>
          </w:p>
        </w:tc>
        <w:tc>
          <w:tcPr>
            <w:tcW w:w="999" w:type="dxa"/>
            <w:shd w:val="clear" w:color="auto" w:fill="auto"/>
            <w:vAlign w:val="center"/>
          </w:tcPr>
          <w:p w14:paraId="1F78DBD0">
            <w:pPr>
              <w:pStyle w:val="181"/>
              <w:rPr>
                <w:color w:val="auto"/>
              </w:rPr>
            </w:pPr>
            <w:r>
              <w:rPr>
                <w:rFonts w:hint="eastAsia"/>
                <w:color w:val="auto"/>
              </w:rPr>
              <w:t>/</w:t>
            </w:r>
          </w:p>
        </w:tc>
        <w:tc>
          <w:tcPr>
            <w:tcW w:w="951" w:type="dxa"/>
            <w:shd w:val="clear" w:color="auto" w:fill="auto"/>
            <w:vAlign w:val="center"/>
          </w:tcPr>
          <w:p w14:paraId="34D5C52D">
            <w:pPr>
              <w:pStyle w:val="181"/>
              <w:rPr>
                <w:color w:val="auto"/>
              </w:rPr>
            </w:pPr>
            <w:r>
              <w:rPr>
                <w:rFonts w:hint="eastAsia"/>
                <w:color w:val="auto"/>
              </w:rPr>
              <w:t>/</w:t>
            </w:r>
          </w:p>
        </w:tc>
      </w:tr>
      <w:tr w14:paraId="28F820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49" w:type="dxa"/>
            <w:vMerge w:val="continue"/>
            <w:vAlign w:val="center"/>
          </w:tcPr>
          <w:p w14:paraId="43B24FF5">
            <w:pPr>
              <w:pStyle w:val="181"/>
              <w:rPr>
                <w:color w:val="auto"/>
              </w:rPr>
            </w:pPr>
          </w:p>
        </w:tc>
        <w:tc>
          <w:tcPr>
            <w:tcW w:w="794" w:type="dxa"/>
            <w:vMerge w:val="continue"/>
            <w:vAlign w:val="center"/>
          </w:tcPr>
          <w:p w14:paraId="03F46098">
            <w:pPr>
              <w:pStyle w:val="181"/>
              <w:rPr>
                <w:color w:val="auto"/>
              </w:rPr>
            </w:pPr>
          </w:p>
        </w:tc>
        <w:tc>
          <w:tcPr>
            <w:tcW w:w="846" w:type="dxa"/>
            <w:vMerge w:val="continue"/>
            <w:vAlign w:val="center"/>
          </w:tcPr>
          <w:p w14:paraId="1B2F041F">
            <w:pPr>
              <w:pStyle w:val="181"/>
              <w:rPr>
                <w:color w:val="auto"/>
              </w:rPr>
            </w:pPr>
          </w:p>
        </w:tc>
        <w:tc>
          <w:tcPr>
            <w:tcW w:w="2169" w:type="dxa"/>
            <w:shd w:val="clear" w:color="auto" w:fill="auto"/>
            <w:vAlign w:val="center"/>
          </w:tcPr>
          <w:p w14:paraId="63023BF9">
            <w:pPr>
              <w:pStyle w:val="181"/>
              <w:rPr>
                <w:color w:val="auto"/>
              </w:rPr>
            </w:pPr>
            <w:r>
              <w:rPr>
                <w:rFonts w:hint="eastAsia"/>
                <w:color w:val="auto"/>
              </w:rPr>
              <w:t>溶解性总固体</w:t>
            </w:r>
          </w:p>
        </w:tc>
        <w:tc>
          <w:tcPr>
            <w:tcW w:w="1044" w:type="dxa"/>
            <w:shd w:val="clear" w:color="auto" w:fill="auto"/>
            <w:vAlign w:val="center"/>
          </w:tcPr>
          <w:p w14:paraId="36666497">
            <w:pPr>
              <w:pStyle w:val="178"/>
              <w:bidi w:val="0"/>
              <w:ind w:firstLine="0" w:firstLineChars="0"/>
              <w:rPr>
                <w:rFonts w:hint="default"/>
                <w:color w:val="auto"/>
                <w:lang w:val="en-US" w:eastAsia="zh-CN"/>
              </w:rPr>
            </w:pPr>
            <w:r>
              <w:rPr>
                <w:rFonts w:hint="default"/>
                <w:color w:val="auto"/>
                <w:lang w:val="en-US" w:eastAsia="zh-CN"/>
              </w:rPr>
              <w:t>3996.32</w:t>
            </w:r>
          </w:p>
        </w:tc>
        <w:tc>
          <w:tcPr>
            <w:tcW w:w="1043" w:type="dxa"/>
            <w:shd w:val="clear" w:color="auto" w:fill="auto"/>
            <w:vAlign w:val="center"/>
          </w:tcPr>
          <w:p w14:paraId="21C08840">
            <w:pPr>
              <w:pStyle w:val="178"/>
              <w:bidi w:val="0"/>
              <w:ind w:firstLine="0" w:firstLineChars="0"/>
              <w:rPr>
                <w:rFonts w:hint="default"/>
                <w:color w:val="auto"/>
                <w:lang w:val="en-US" w:eastAsia="zh-CN"/>
              </w:rPr>
            </w:pPr>
            <w:r>
              <w:rPr>
                <w:rFonts w:hint="default"/>
                <w:color w:val="auto"/>
                <w:lang w:val="en-US" w:eastAsia="zh-CN"/>
              </w:rPr>
              <w:t>2347.2</w:t>
            </w:r>
          </w:p>
        </w:tc>
        <w:tc>
          <w:tcPr>
            <w:tcW w:w="1241" w:type="dxa"/>
            <w:vMerge w:val="continue"/>
            <w:vAlign w:val="center"/>
          </w:tcPr>
          <w:p w14:paraId="6AE08C3A">
            <w:pPr>
              <w:pStyle w:val="181"/>
              <w:rPr>
                <w:color w:val="auto"/>
              </w:rPr>
            </w:pPr>
          </w:p>
        </w:tc>
        <w:tc>
          <w:tcPr>
            <w:tcW w:w="1028" w:type="dxa"/>
            <w:shd w:val="clear" w:color="auto" w:fill="auto"/>
            <w:vAlign w:val="center"/>
          </w:tcPr>
          <w:p w14:paraId="53E95D75">
            <w:pPr>
              <w:pStyle w:val="181"/>
              <w:rPr>
                <w:color w:val="auto"/>
              </w:rPr>
            </w:pPr>
            <w:r>
              <w:rPr>
                <w:rFonts w:hint="eastAsia"/>
                <w:color w:val="auto"/>
              </w:rPr>
              <w:t>/</w:t>
            </w:r>
          </w:p>
        </w:tc>
        <w:tc>
          <w:tcPr>
            <w:tcW w:w="1000" w:type="dxa"/>
            <w:shd w:val="clear" w:color="auto" w:fill="auto"/>
            <w:vAlign w:val="center"/>
          </w:tcPr>
          <w:p w14:paraId="10D0F8F4">
            <w:pPr>
              <w:pStyle w:val="178"/>
              <w:bidi w:val="0"/>
              <w:ind w:firstLine="0" w:firstLineChars="0"/>
              <w:rPr>
                <w:rFonts w:hint="default"/>
                <w:color w:val="auto"/>
                <w:lang w:val="en-US" w:eastAsia="zh-CN"/>
              </w:rPr>
            </w:pPr>
            <w:r>
              <w:rPr>
                <w:rFonts w:hint="default"/>
                <w:color w:val="auto"/>
                <w:lang w:val="en-US" w:eastAsia="zh-CN"/>
              </w:rPr>
              <w:t>3996.32</w:t>
            </w:r>
          </w:p>
        </w:tc>
        <w:tc>
          <w:tcPr>
            <w:tcW w:w="1025" w:type="dxa"/>
            <w:shd w:val="clear" w:color="auto" w:fill="auto"/>
            <w:vAlign w:val="center"/>
          </w:tcPr>
          <w:p w14:paraId="72B10222">
            <w:pPr>
              <w:pStyle w:val="178"/>
              <w:bidi w:val="0"/>
              <w:ind w:firstLine="0" w:firstLineChars="0"/>
              <w:rPr>
                <w:rFonts w:hint="default"/>
                <w:color w:val="auto"/>
                <w:lang w:val="en-US" w:eastAsia="zh-CN"/>
              </w:rPr>
            </w:pPr>
            <w:r>
              <w:rPr>
                <w:rFonts w:hint="default"/>
                <w:color w:val="auto"/>
                <w:lang w:val="en-US" w:eastAsia="zh-CN"/>
              </w:rPr>
              <w:t>2347.2</w:t>
            </w:r>
          </w:p>
        </w:tc>
        <w:tc>
          <w:tcPr>
            <w:tcW w:w="951" w:type="dxa"/>
            <w:vMerge w:val="continue"/>
            <w:vAlign w:val="center"/>
          </w:tcPr>
          <w:p w14:paraId="12D27EE7">
            <w:pPr>
              <w:pStyle w:val="181"/>
              <w:rPr>
                <w:color w:val="auto"/>
              </w:rPr>
            </w:pPr>
          </w:p>
        </w:tc>
        <w:tc>
          <w:tcPr>
            <w:tcW w:w="999" w:type="dxa"/>
            <w:shd w:val="clear" w:color="auto" w:fill="auto"/>
            <w:vAlign w:val="center"/>
          </w:tcPr>
          <w:p w14:paraId="1697476D">
            <w:pPr>
              <w:pStyle w:val="181"/>
              <w:rPr>
                <w:color w:val="auto"/>
              </w:rPr>
            </w:pPr>
            <w:r>
              <w:rPr>
                <w:rFonts w:hint="eastAsia"/>
                <w:color w:val="auto"/>
              </w:rPr>
              <w:t>/</w:t>
            </w:r>
          </w:p>
        </w:tc>
        <w:tc>
          <w:tcPr>
            <w:tcW w:w="951" w:type="dxa"/>
            <w:shd w:val="clear" w:color="auto" w:fill="auto"/>
            <w:vAlign w:val="center"/>
          </w:tcPr>
          <w:p w14:paraId="6F14D1E3">
            <w:pPr>
              <w:pStyle w:val="181"/>
              <w:rPr>
                <w:color w:val="auto"/>
              </w:rPr>
            </w:pPr>
            <w:r>
              <w:rPr>
                <w:rFonts w:hint="eastAsia"/>
                <w:color w:val="auto"/>
              </w:rPr>
              <w:t>/</w:t>
            </w:r>
          </w:p>
        </w:tc>
      </w:tr>
      <w:tr w14:paraId="1BC1AD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49" w:type="dxa"/>
            <w:vMerge w:val="continue"/>
            <w:vAlign w:val="center"/>
          </w:tcPr>
          <w:p w14:paraId="76D346A3">
            <w:pPr>
              <w:pStyle w:val="181"/>
              <w:rPr>
                <w:color w:val="auto"/>
              </w:rPr>
            </w:pPr>
          </w:p>
        </w:tc>
        <w:tc>
          <w:tcPr>
            <w:tcW w:w="794" w:type="dxa"/>
            <w:vMerge w:val="continue"/>
            <w:vAlign w:val="center"/>
          </w:tcPr>
          <w:p w14:paraId="5A0E7C12">
            <w:pPr>
              <w:pStyle w:val="181"/>
              <w:rPr>
                <w:color w:val="auto"/>
              </w:rPr>
            </w:pPr>
          </w:p>
        </w:tc>
        <w:tc>
          <w:tcPr>
            <w:tcW w:w="846" w:type="dxa"/>
            <w:vMerge w:val="continue"/>
            <w:vAlign w:val="center"/>
          </w:tcPr>
          <w:p w14:paraId="012C19F1">
            <w:pPr>
              <w:pStyle w:val="181"/>
              <w:rPr>
                <w:color w:val="auto"/>
              </w:rPr>
            </w:pPr>
          </w:p>
        </w:tc>
        <w:tc>
          <w:tcPr>
            <w:tcW w:w="2169" w:type="dxa"/>
            <w:shd w:val="clear" w:color="auto" w:fill="auto"/>
            <w:vAlign w:val="center"/>
          </w:tcPr>
          <w:p w14:paraId="1A5E68E9">
            <w:pPr>
              <w:pStyle w:val="181"/>
              <w:rPr>
                <w:color w:val="auto"/>
              </w:rPr>
            </w:pPr>
            <w:r>
              <w:rPr>
                <w:rFonts w:hint="eastAsia"/>
                <w:color w:val="auto"/>
              </w:rPr>
              <w:t>阴离子表面活性剂</w:t>
            </w:r>
          </w:p>
        </w:tc>
        <w:tc>
          <w:tcPr>
            <w:tcW w:w="1044" w:type="dxa"/>
            <w:shd w:val="clear" w:color="auto" w:fill="auto"/>
            <w:vAlign w:val="center"/>
          </w:tcPr>
          <w:p w14:paraId="318F9B68">
            <w:pPr>
              <w:pStyle w:val="178"/>
              <w:bidi w:val="0"/>
              <w:ind w:firstLine="0" w:firstLineChars="0"/>
              <w:rPr>
                <w:rFonts w:hint="default"/>
                <w:color w:val="auto"/>
                <w:lang w:val="en-US" w:eastAsia="zh-CN"/>
              </w:rPr>
            </w:pPr>
            <w:r>
              <w:rPr>
                <w:rFonts w:hint="default"/>
                <w:color w:val="auto"/>
                <w:lang w:val="en-US" w:eastAsia="zh-CN"/>
              </w:rPr>
              <w:t>19.99</w:t>
            </w:r>
          </w:p>
        </w:tc>
        <w:tc>
          <w:tcPr>
            <w:tcW w:w="1043" w:type="dxa"/>
            <w:shd w:val="clear" w:color="auto" w:fill="auto"/>
            <w:vAlign w:val="center"/>
          </w:tcPr>
          <w:p w14:paraId="4B4A5FB1">
            <w:pPr>
              <w:pStyle w:val="178"/>
              <w:bidi w:val="0"/>
              <w:ind w:firstLine="0" w:firstLineChars="0"/>
              <w:rPr>
                <w:rFonts w:hint="default"/>
                <w:color w:val="auto"/>
                <w:lang w:val="en-US" w:eastAsia="zh-CN"/>
              </w:rPr>
            </w:pPr>
            <w:r>
              <w:rPr>
                <w:rFonts w:hint="default"/>
                <w:color w:val="auto"/>
                <w:lang w:val="en-US" w:eastAsia="zh-CN"/>
              </w:rPr>
              <w:t>11.74</w:t>
            </w:r>
          </w:p>
        </w:tc>
        <w:tc>
          <w:tcPr>
            <w:tcW w:w="1241" w:type="dxa"/>
            <w:vMerge w:val="continue"/>
            <w:vAlign w:val="center"/>
          </w:tcPr>
          <w:p w14:paraId="2FA4CA36">
            <w:pPr>
              <w:pStyle w:val="181"/>
              <w:rPr>
                <w:color w:val="auto"/>
              </w:rPr>
            </w:pPr>
          </w:p>
        </w:tc>
        <w:tc>
          <w:tcPr>
            <w:tcW w:w="1028" w:type="dxa"/>
            <w:shd w:val="clear" w:color="auto" w:fill="auto"/>
            <w:vAlign w:val="center"/>
          </w:tcPr>
          <w:p w14:paraId="048CA7B0">
            <w:pPr>
              <w:pStyle w:val="181"/>
              <w:rPr>
                <w:color w:val="auto"/>
              </w:rPr>
            </w:pPr>
            <w:r>
              <w:rPr>
                <w:rFonts w:hint="eastAsia"/>
                <w:color w:val="auto"/>
              </w:rPr>
              <w:t>/</w:t>
            </w:r>
          </w:p>
        </w:tc>
        <w:tc>
          <w:tcPr>
            <w:tcW w:w="1000" w:type="dxa"/>
            <w:shd w:val="clear" w:color="auto" w:fill="auto"/>
            <w:vAlign w:val="center"/>
          </w:tcPr>
          <w:p w14:paraId="540BC840">
            <w:pPr>
              <w:pStyle w:val="178"/>
              <w:bidi w:val="0"/>
              <w:ind w:firstLine="0" w:firstLineChars="0"/>
              <w:rPr>
                <w:rFonts w:hint="default"/>
                <w:color w:val="auto"/>
                <w:lang w:val="en-US" w:eastAsia="zh-CN"/>
              </w:rPr>
            </w:pPr>
            <w:r>
              <w:rPr>
                <w:rFonts w:hint="default"/>
                <w:color w:val="auto"/>
                <w:lang w:val="en-US" w:eastAsia="zh-CN"/>
              </w:rPr>
              <w:t>0.5</w:t>
            </w:r>
          </w:p>
        </w:tc>
        <w:tc>
          <w:tcPr>
            <w:tcW w:w="1025" w:type="dxa"/>
            <w:shd w:val="clear" w:color="auto" w:fill="auto"/>
            <w:vAlign w:val="center"/>
          </w:tcPr>
          <w:p w14:paraId="6D221314">
            <w:pPr>
              <w:pStyle w:val="178"/>
              <w:bidi w:val="0"/>
              <w:ind w:firstLine="0" w:firstLineChars="0"/>
              <w:rPr>
                <w:rFonts w:hint="default"/>
                <w:color w:val="auto"/>
                <w:lang w:val="en-US" w:eastAsia="zh-CN"/>
              </w:rPr>
            </w:pPr>
            <w:r>
              <w:rPr>
                <w:rFonts w:hint="default"/>
                <w:color w:val="auto"/>
                <w:lang w:val="en-US" w:eastAsia="zh-CN"/>
              </w:rPr>
              <w:t>0.29</w:t>
            </w:r>
          </w:p>
        </w:tc>
        <w:tc>
          <w:tcPr>
            <w:tcW w:w="951" w:type="dxa"/>
            <w:vMerge w:val="continue"/>
            <w:vAlign w:val="center"/>
          </w:tcPr>
          <w:p w14:paraId="4F266051">
            <w:pPr>
              <w:pStyle w:val="181"/>
              <w:rPr>
                <w:color w:val="auto"/>
              </w:rPr>
            </w:pPr>
          </w:p>
        </w:tc>
        <w:tc>
          <w:tcPr>
            <w:tcW w:w="999" w:type="dxa"/>
            <w:shd w:val="clear" w:color="auto" w:fill="auto"/>
            <w:vAlign w:val="center"/>
          </w:tcPr>
          <w:p w14:paraId="79EB2B25">
            <w:pPr>
              <w:pStyle w:val="181"/>
              <w:rPr>
                <w:color w:val="auto"/>
              </w:rPr>
            </w:pPr>
            <w:r>
              <w:rPr>
                <w:rFonts w:hint="eastAsia"/>
                <w:color w:val="auto"/>
              </w:rPr>
              <w:t>0.5</w:t>
            </w:r>
          </w:p>
        </w:tc>
        <w:tc>
          <w:tcPr>
            <w:tcW w:w="951" w:type="dxa"/>
            <w:shd w:val="clear" w:color="auto" w:fill="auto"/>
            <w:vAlign w:val="center"/>
          </w:tcPr>
          <w:p w14:paraId="58A599D9">
            <w:pPr>
              <w:pStyle w:val="181"/>
              <w:rPr>
                <w:color w:val="auto"/>
              </w:rPr>
            </w:pPr>
            <w:r>
              <w:rPr>
                <w:rFonts w:hint="eastAsia"/>
                <w:color w:val="auto"/>
              </w:rPr>
              <w:t>达标</w:t>
            </w:r>
          </w:p>
        </w:tc>
      </w:tr>
      <w:tr w14:paraId="66DAE7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49" w:type="dxa"/>
            <w:vMerge w:val="continue"/>
            <w:vAlign w:val="center"/>
          </w:tcPr>
          <w:p w14:paraId="56FCD38B">
            <w:pPr>
              <w:pStyle w:val="181"/>
              <w:rPr>
                <w:color w:val="auto"/>
              </w:rPr>
            </w:pPr>
          </w:p>
        </w:tc>
        <w:tc>
          <w:tcPr>
            <w:tcW w:w="794" w:type="dxa"/>
            <w:vMerge w:val="continue"/>
            <w:vAlign w:val="center"/>
          </w:tcPr>
          <w:p w14:paraId="6B967810">
            <w:pPr>
              <w:pStyle w:val="181"/>
              <w:rPr>
                <w:color w:val="auto"/>
              </w:rPr>
            </w:pPr>
          </w:p>
        </w:tc>
        <w:tc>
          <w:tcPr>
            <w:tcW w:w="846" w:type="dxa"/>
            <w:vMerge w:val="continue"/>
            <w:vAlign w:val="center"/>
          </w:tcPr>
          <w:p w14:paraId="7ACB1FEF">
            <w:pPr>
              <w:pStyle w:val="181"/>
              <w:rPr>
                <w:color w:val="auto"/>
              </w:rPr>
            </w:pPr>
          </w:p>
        </w:tc>
        <w:tc>
          <w:tcPr>
            <w:tcW w:w="2169" w:type="dxa"/>
            <w:shd w:val="clear" w:color="auto" w:fill="auto"/>
            <w:vAlign w:val="center"/>
          </w:tcPr>
          <w:p w14:paraId="4101B310">
            <w:pPr>
              <w:pStyle w:val="181"/>
              <w:rPr>
                <w:color w:val="auto"/>
              </w:rPr>
            </w:pPr>
            <w:r>
              <w:rPr>
                <w:rFonts w:hint="eastAsia"/>
                <w:color w:val="auto"/>
              </w:rPr>
              <w:t>挥发酚</w:t>
            </w:r>
          </w:p>
        </w:tc>
        <w:tc>
          <w:tcPr>
            <w:tcW w:w="1044" w:type="dxa"/>
            <w:shd w:val="clear" w:color="auto" w:fill="auto"/>
            <w:vAlign w:val="center"/>
          </w:tcPr>
          <w:p w14:paraId="08DD433F">
            <w:pPr>
              <w:pStyle w:val="178"/>
              <w:bidi w:val="0"/>
              <w:ind w:firstLine="0" w:firstLineChars="0"/>
              <w:rPr>
                <w:rFonts w:hint="default"/>
                <w:color w:val="auto"/>
                <w:lang w:val="en-US" w:eastAsia="zh-CN"/>
              </w:rPr>
            </w:pPr>
            <w:r>
              <w:rPr>
                <w:rFonts w:hint="default"/>
                <w:color w:val="auto"/>
                <w:lang w:val="en-US" w:eastAsia="zh-CN"/>
              </w:rPr>
              <w:t>0.49</w:t>
            </w:r>
          </w:p>
        </w:tc>
        <w:tc>
          <w:tcPr>
            <w:tcW w:w="1043" w:type="dxa"/>
            <w:shd w:val="clear" w:color="auto" w:fill="auto"/>
            <w:vAlign w:val="center"/>
          </w:tcPr>
          <w:p w14:paraId="23CDA06A">
            <w:pPr>
              <w:pStyle w:val="178"/>
              <w:bidi w:val="0"/>
              <w:ind w:firstLine="0" w:firstLineChars="0"/>
              <w:rPr>
                <w:rFonts w:hint="default"/>
                <w:color w:val="auto"/>
                <w:lang w:val="en-US" w:eastAsia="zh-CN"/>
              </w:rPr>
            </w:pPr>
            <w:r>
              <w:rPr>
                <w:rFonts w:hint="default"/>
                <w:color w:val="auto"/>
                <w:lang w:val="en-US" w:eastAsia="zh-CN"/>
              </w:rPr>
              <w:t>0.29</w:t>
            </w:r>
          </w:p>
        </w:tc>
        <w:tc>
          <w:tcPr>
            <w:tcW w:w="1241" w:type="dxa"/>
            <w:vMerge w:val="continue"/>
            <w:vAlign w:val="center"/>
          </w:tcPr>
          <w:p w14:paraId="35800B1D">
            <w:pPr>
              <w:pStyle w:val="181"/>
              <w:rPr>
                <w:color w:val="auto"/>
              </w:rPr>
            </w:pPr>
          </w:p>
        </w:tc>
        <w:tc>
          <w:tcPr>
            <w:tcW w:w="1028" w:type="dxa"/>
            <w:shd w:val="clear" w:color="auto" w:fill="auto"/>
            <w:vAlign w:val="center"/>
          </w:tcPr>
          <w:p w14:paraId="301361CC">
            <w:pPr>
              <w:pStyle w:val="181"/>
              <w:rPr>
                <w:color w:val="auto"/>
              </w:rPr>
            </w:pPr>
            <w:r>
              <w:rPr>
                <w:rFonts w:hint="eastAsia"/>
                <w:color w:val="auto"/>
              </w:rPr>
              <w:t>/</w:t>
            </w:r>
          </w:p>
        </w:tc>
        <w:tc>
          <w:tcPr>
            <w:tcW w:w="1000" w:type="dxa"/>
            <w:shd w:val="clear" w:color="auto" w:fill="auto"/>
            <w:vAlign w:val="center"/>
          </w:tcPr>
          <w:p w14:paraId="251EAD4D">
            <w:pPr>
              <w:pStyle w:val="178"/>
              <w:bidi w:val="0"/>
              <w:ind w:firstLine="0" w:firstLineChars="0"/>
              <w:rPr>
                <w:rFonts w:hint="default"/>
                <w:color w:val="auto"/>
                <w:lang w:val="en-US" w:eastAsia="zh-CN"/>
              </w:rPr>
            </w:pPr>
            <w:r>
              <w:rPr>
                <w:rFonts w:hint="default"/>
                <w:color w:val="auto"/>
                <w:lang w:val="en-US" w:eastAsia="zh-CN"/>
              </w:rPr>
              <w:t>0.5</w:t>
            </w:r>
          </w:p>
        </w:tc>
        <w:tc>
          <w:tcPr>
            <w:tcW w:w="1025" w:type="dxa"/>
            <w:shd w:val="clear" w:color="auto" w:fill="auto"/>
            <w:vAlign w:val="center"/>
          </w:tcPr>
          <w:p w14:paraId="0956CC84">
            <w:pPr>
              <w:pStyle w:val="178"/>
              <w:bidi w:val="0"/>
              <w:ind w:firstLine="0" w:firstLineChars="0"/>
              <w:rPr>
                <w:rFonts w:hint="default"/>
                <w:color w:val="auto"/>
                <w:lang w:val="en-US" w:eastAsia="zh-CN"/>
              </w:rPr>
            </w:pPr>
            <w:r>
              <w:rPr>
                <w:rFonts w:hint="default"/>
                <w:color w:val="auto"/>
                <w:lang w:val="en-US" w:eastAsia="zh-CN"/>
              </w:rPr>
              <w:t>0.29</w:t>
            </w:r>
          </w:p>
        </w:tc>
        <w:tc>
          <w:tcPr>
            <w:tcW w:w="951" w:type="dxa"/>
            <w:vMerge w:val="continue"/>
            <w:vAlign w:val="center"/>
          </w:tcPr>
          <w:p w14:paraId="50B049B5">
            <w:pPr>
              <w:pStyle w:val="181"/>
              <w:rPr>
                <w:color w:val="auto"/>
              </w:rPr>
            </w:pPr>
          </w:p>
        </w:tc>
        <w:tc>
          <w:tcPr>
            <w:tcW w:w="999" w:type="dxa"/>
            <w:shd w:val="clear" w:color="auto" w:fill="auto"/>
            <w:vAlign w:val="center"/>
          </w:tcPr>
          <w:p w14:paraId="237AC79F">
            <w:pPr>
              <w:pStyle w:val="181"/>
              <w:rPr>
                <w:color w:val="auto"/>
              </w:rPr>
            </w:pPr>
            <w:r>
              <w:rPr>
                <w:rFonts w:hint="eastAsia"/>
                <w:color w:val="auto"/>
              </w:rPr>
              <w:t>0.5</w:t>
            </w:r>
          </w:p>
        </w:tc>
        <w:tc>
          <w:tcPr>
            <w:tcW w:w="951" w:type="dxa"/>
            <w:shd w:val="clear" w:color="auto" w:fill="auto"/>
            <w:vAlign w:val="center"/>
          </w:tcPr>
          <w:p w14:paraId="53A706CD">
            <w:pPr>
              <w:pStyle w:val="181"/>
              <w:rPr>
                <w:color w:val="auto"/>
              </w:rPr>
            </w:pPr>
            <w:r>
              <w:rPr>
                <w:rFonts w:hint="eastAsia"/>
                <w:color w:val="auto"/>
              </w:rPr>
              <w:t>达标</w:t>
            </w:r>
          </w:p>
        </w:tc>
      </w:tr>
      <w:tr w14:paraId="5DC4C3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49" w:type="dxa"/>
            <w:vMerge w:val="continue"/>
            <w:vAlign w:val="center"/>
          </w:tcPr>
          <w:p w14:paraId="3F32A80F">
            <w:pPr>
              <w:pStyle w:val="181"/>
              <w:rPr>
                <w:color w:val="auto"/>
              </w:rPr>
            </w:pPr>
          </w:p>
        </w:tc>
        <w:tc>
          <w:tcPr>
            <w:tcW w:w="794" w:type="dxa"/>
            <w:vMerge w:val="continue"/>
            <w:vAlign w:val="center"/>
          </w:tcPr>
          <w:p w14:paraId="020C4048">
            <w:pPr>
              <w:pStyle w:val="181"/>
              <w:rPr>
                <w:color w:val="auto"/>
              </w:rPr>
            </w:pPr>
          </w:p>
        </w:tc>
        <w:tc>
          <w:tcPr>
            <w:tcW w:w="846" w:type="dxa"/>
            <w:vMerge w:val="continue"/>
            <w:vAlign w:val="center"/>
          </w:tcPr>
          <w:p w14:paraId="4036C2A6">
            <w:pPr>
              <w:pStyle w:val="181"/>
              <w:rPr>
                <w:color w:val="auto"/>
              </w:rPr>
            </w:pPr>
          </w:p>
        </w:tc>
        <w:tc>
          <w:tcPr>
            <w:tcW w:w="2169" w:type="dxa"/>
            <w:shd w:val="clear" w:color="auto" w:fill="auto"/>
            <w:vAlign w:val="center"/>
          </w:tcPr>
          <w:p w14:paraId="6AADAB78">
            <w:pPr>
              <w:pStyle w:val="181"/>
              <w:rPr>
                <w:color w:val="auto"/>
              </w:rPr>
            </w:pPr>
            <w:r>
              <w:rPr>
                <w:rFonts w:hint="eastAsia"/>
                <w:color w:val="auto"/>
              </w:rPr>
              <w:t>硼</w:t>
            </w:r>
          </w:p>
        </w:tc>
        <w:tc>
          <w:tcPr>
            <w:tcW w:w="1044" w:type="dxa"/>
            <w:shd w:val="clear" w:color="auto" w:fill="auto"/>
            <w:vAlign w:val="center"/>
          </w:tcPr>
          <w:p w14:paraId="14159ED3">
            <w:pPr>
              <w:pStyle w:val="178"/>
              <w:bidi w:val="0"/>
              <w:ind w:firstLine="0" w:firstLineChars="0"/>
              <w:rPr>
                <w:rFonts w:hint="default"/>
                <w:color w:val="auto"/>
                <w:lang w:val="en-US" w:eastAsia="zh-CN"/>
              </w:rPr>
            </w:pPr>
            <w:r>
              <w:rPr>
                <w:rFonts w:hint="default"/>
                <w:color w:val="auto"/>
                <w:lang w:val="en-US" w:eastAsia="zh-CN"/>
              </w:rPr>
              <w:t>3</w:t>
            </w:r>
          </w:p>
        </w:tc>
        <w:tc>
          <w:tcPr>
            <w:tcW w:w="1043" w:type="dxa"/>
            <w:shd w:val="clear" w:color="auto" w:fill="auto"/>
            <w:vAlign w:val="center"/>
          </w:tcPr>
          <w:p w14:paraId="430B6FD2">
            <w:pPr>
              <w:pStyle w:val="178"/>
              <w:bidi w:val="0"/>
              <w:ind w:firstLine="0" w:firstLineChars="0"/>
              <w:rPr>
                <w:rFonts w:hint="default"/>
                <w:color w:val="auto"/>
                <w:lang w:val="en-US" w:eastAsia="zh-CN"/>
              </w:rPr>
            </w:pPr>
            <w:r>
              <w:rPr>
                <w:rFonts w:hint="default"/>
                <w:color w:val="auto"/>
                <w:lang w:val="en-US" w:eastAsia="zh-CN"/>
              </w:rPr>
              <w:t>1.76</w:t>
            </w:r>
          </w:p>
        </w:tc>
        <w:tc>
          <w:tcPr>
            <w:tcW w:w="1241" w:type="dxa"/>
            <w:vMerge w:val="continue"/>
            <w:vAlign w:val="center"/>
          </w:tcPr>
          <w:p w14:paraId="2567B47B">
            <w:pPr>
              <w:pStyle w:val="181"/>
              <w:rPr>
                <w:color w:val="auto"/>
              </w:rPr>
            </w:pPr>
          </w:p>
        </w:tc>
        <w:tc>
          <w:tcPr>
            <w:tcW w:w="1028" w:type="dxa"/>
            <w:shd w:val="clear" w:color="auto" w:fill="auto"/>
            <w:vAlign w:val="center"/>
          </w:tcPr>
          <w:p w14:paraId="73B80049">
            <w:pPr>
              <w:pStyle w:val="181"/>
              <w:rPr>
                <w:color w:val="auto"/>
              </w:rPr>
            </w:pPr>
            <w:r>
              <w:rPr>
                <w:rFonts w:hint="eastAsia"/>
                <w:color w:val="auto"/>
              </w:rPr>
              <w:t>/</w:t>
            </w:r>
          </w:p>
        </w:tc>
        <w:tc>
          <w:tcPr>
            <w:tcW w:w="1000" w:type="dxa"/>
            <w:shd w:val="clear" w:color="auto" w:fill="auto"/>
            <w:vAlign w:val="center"/>
          </w:tcPr>
          <w:p w14:paraId="31DEAE96">
            <w:pPr>
              <w:pStyle w:val="178"/>
              <w:bidi w:val="0"/>
              <w:ind w:firstLine="0" w:firstLineChars="0"/>
              <w:rPr>
                <w:rFonts w:hint="default"/>
                <w:color w:val="auto"/>
                <w:lang w:val="en-US" w:eastAsia="zh-CN"/>
              </w:rPr>
            </w:pPr>
            <w:r>
              <w:rPr>
                <w:rFonts w:hint="default"/>
                <w:color w:val="auto"/>
                <w:lang w:val="en-US" w:eastAsia="zh-CN"/>
              </w:rPr>
              <w:t>2.99</w:t>
            </w:r>
          </w:p>
        </w:tc>
        <w:tc>
          <w:tcPr>
            <w:tcW w:w="1025" w:type="dxa"/>
            <w:shd w:val="clear" w:color="auto" w:fill="auto"/>
            <w:vAlign w:val="center"/>
          </w:tcPr>
          <w:p w14:paraId="5FD8E8DF">
            <w:pPr>
              <w:pStyle w:val="178"/>
              <w:bidi w:val="0"/>
              <w:ind w:firstLine="0" w:firstLineChars="0"/>
              <w:rPr>
                <w:rFonts w:hint="default"/>
                <w:color w:val="auto"/>
                <w:lang w:val="en-US" w:eastAsia="zh-CN"/>
              </w:rPr>
            </w:pPr>
            <w:r>
              <w:rPr>
                <w:rFonts w:hint="default"/>
                <w:color w:val="auto"/>
                <w:lang w:val="en-US" w:eastAsia="zh-CN"/>
              </w:rPr>
              <w:t>1.76</w:t>
            </w:r>
          </w:p>
        </w:tc>
        <w:tc>
          <w:tcPr>
            <w:tcW w:w="951" w:type="dxa"/>
            <w:vMerge w:val="continue"/>
            <w:vAlign w:val="center"/>
          </w:tcPr>
          <w:p w14:paraId="7019E9B6">
            <w:pPr>
              <w:pStyle w:val="181"/>
              <w:rPr>
                <w:color w:val="auto"/>
              </w:rPr>
            </w:pPr>
          </w:p>
        </w:tc>
        <w:tc>
          <w:tcPr>
            <w:tcW w:w="999" w:type="dxa"/>
            <w:shd w:val="clear" w:color="auto" w:fill="auto"/>
            <w:vAlign w:val="center"/>
          </w:tcPr>
          <w:p w14:paraId="4756FCA9">
            <w:pPr>
              <w:pStyle w:val="181"/>
              <w:rPr>
                <w:color w:val="auto"/>
              </w:rPr>
            </w:pPr>
            <w:r>
              <w:rPr>
                <w:rFonts w:hint="eastAsia"/>
                <w:color w:val="auto"/>
              </w:rPr>
              <w:t>/</w:t>
            </w:r>
          </w:p>
        </w:tc>
        <w:tc>
          <w:tcPr>
            <w:tcW w:w="951" w:type="dxa"/>
            <w:shd w:val="clear" w:color="auto" w:fill="auto"/>
            <w:vAlign w:val="center"/>
          </w:tcPr>
          <w:p w14:paraId="236FA32A">
            <w:pPr>
              <w:pStyle w:val="181"/>
              <w:rPr>
                <w:color w:val="auto"/>
              </w:rPr>
            </w:pPr>
            <w:r>
              <w:rPr>
                <w:rFonts w:hint="eastAsia"/>
                <w:color w:val="auto"/>
              </w:rPr>
              <w:t>/</w:t>
            </w:r>
          </w:p>
        </w:tc>
      </w:tr>
      <w:tr w14:paraId="51FF47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49" w:type="dxa"/>
            <w:vMerge w:val="continue"/>
            <w:vAlign w:val="center"/>
          </w:tcPr>
          <w:p w14:paraId="582DF606">
            <w:pPr>
              <w:pStyle w:val="181"/>
              <w:rPr>
                <w:color w:val="auto"/>
              </w:rPr>
            </w:pPr>
          </w:p>
        </w:tc>
        <w:tc>
          <w:tcPr>
            <w:tcW w:w="794" w:type="dxa"/>
            <w:vMerge w:val="continue"/>
            <w:vAlign w:val="center"/>
          </w:tcPr>
          <w:p w14:paraId="1CF3DFC8">
            <w:pPr>
              <w:pStyle w:val="181"/>
              <w:rPr>
                <w:color w:val="auto"/>
              </w:rPr>
            </w:pPr>
          </w:p>
        </w:tc>
        <w:tc>
          <w:tcPr>
            <w:tcW w:w="846" w:type="dxa"/>
            <w:vMerge w:val="continue"/>
            <w:vAlign w:val="center"/>
          </w:tcPr>
          <w:p w14:paraId="32119DD3">
            <w:pPr>
              <w:pStyle w:val="181"/>
              <w:rPr>
                <w:color w:val="auto"/>
              </w:rPr>
            </w:pPr>
          </w:p>
        </w:tc>
        <w:tc>
          <w:tcPr>
            <w:tcW w:w="2169" w:type="dxa"/>
            <w:shd w:val="clear" w:color="auto" w:fill="auto"/>
            <w:vAlign w:val="center"/>
          </w:tcPr>
          <w:p w14:paraId="716E444E">
            <w:pPr>
              <w:pStyle w:val="181"/>
              <w:rPr>
                <w:color w:val="auto"/>
              </w:rPr>
            </w:pPr>
            <w:r>
              <w:rPr>
                <w:rFonts w:hint="eastAsia"/>
                <w:color w:val="auto"/>
              </w:rPr>
              <w:t>可溶性钡</w:t>
            </w:r>
          </w:p>
        </w:tc>
        <w:tc>
          <w:tcPr>
            <w:tcW w:w="1044" w:type="dxa"/>
            <w:shd w:val="clear" w:color="auto" w:fill="auto"/>
            <w:vAlign w:val="center"/>
          </w:tcPr>
          <w:p w14:paraId="6E948738">
            <w:pPr>
              <w:pStyle w:val="178"/>
              <w:bidi w:val="0"/>
              <w:ind w:firstLine="0" w:firstLineChars="0"/>
              <w:rPr>
                <w:rFonts w:hint="default"/>
                <w:color w:val="auto"/>
                <w:lang w:val="en-US" w:eastAsia="zh-CN"/>
              </w:rPr>
            </w:pPr>
            <w:r>
              <w:rPr>
                <w:rFonts w:hint="default"/>
                <w:color w:val="auto"/>
                <w:lang w:val="en-US" w:eastAsia="zh-CN"/>
              </w:rPr>
              <w:t>1.99</w:t>
            </w:r>
          </w:p>
        </w:tc>
        <w:tc>
          <w:tcPr>
            <w:tcW w:w="1043" w:type="dxa"/>
            <w:shd w:val="clear" w:color="auto" w:fill="auto"/>
            <w:vAlign w:val="center"/>
          </w:tcPr>
          <w:p w14:paraId="219DAAAF">
            <w:pPr>
              <w:pStyle w:val="178"/>
              <w:bidi w:val="0"/>
              <w:ind w:firstLine="0" w:firstLineChars="0"/>
              <w:rPr>
                <w:rFonts w:hint="default"/>
                <w:color w:val="auto"/>
                <w:lang w:val="en-US" w:eastAsia="zh-CN"/>
              </w:rPr>
            </w:pPr>
            <w:r>
              <w:rPr>
                <w:rFonts w:hint="default"/>
                <w:color w:val="auto"/>
                <w:lang w:val="en-US" w:eastAsia="zh-CN"/>
              </w:rPr>
              <w:t>1.17</w:t>
            </w:r>
          </w:p>
        </w:tc>
        <w:tc>
          <w:tcPr>
            <w:tcW w:w="1241" w:type="dxa"/>
            <w:vMerge w:val="continue"/>
            <w:vAlign w:val="center"/>
          </w:tcPr>
          <w:p w14:paraId="7CB64DCB">
            <w:pPr>
              <w:pStyle w:val="181"/>
              <w:rPr>
                <w:color w:val="auto"/>
              </w:rPr>
            </w:pPr>
          </w:p>
        </w:tc>
        <w:tc>
          <w:tcPr>
            <w:tcW w:w="1028" w:type="dxa"/>
            <w:shd w:val="clear" w:color="auto" w:fill="auto"/>
            <w:vAlign w:val="center"/>
          </w:tcPr>
          <w:p w14:paraId="2E1B4A10">
            <w:pPr>
              <w:pStyle w:val="181"/>
              <w:rPr>
                <w:color w:val="auto"/>
              </w:rPr>
            </w:pPr>
            <w:r>
              <w:rPr>
                <w:rFonts w:hint="eastAsia"/>
                <w:color w:val="auto"/>
              </w:rPr>
              <w:t>/</w:t>
            </w:r>
          </w:p>
        </w:tc>
        <w:tc>
          <w:tcPr>
            <w:tcW w:w="1000" w:type="dxa"/>
            <w:shd w:val="clear" w:color="auto" w:fill="auto"/>
            <w:vAlign w:val="center"/>
          </w:tcPr>
          <w:p w14:paraId="2F2C4270">
            <w:pPr>
              <w:pStyle w:val="178"/>
              <w:bidi w:val="0"/>
              <w:ind w:firstLine="0" w:firstLineChars="0"/>
              <w:rPr>
                <w:rFonts w:hint="default"/>
                <w:color w:val="auto"/>
                <w:lang w:val="en-US" w:eastAsia="zh-CN"/>
              </w:rPr>
            </w:pPr>
            <w:r>
              <w:rPr>
                <w:rFonts w:hint="default"/>
                <w:color w:val="auto"/>
                <w:lang w:val="en-US" w:eastAsia="zh-CN"/>
              </w:rPr>
              <w:t>2</w:t>
            </w:r>
          </w:p>
        </w:tc>
        <w:tc>
          <w:tcPr>
            <w:tcW w:w="1025" w:type="dxa"/>
            <w:shd w:val="clear" w:color="auto" w:fill="auto"/>
            <w:vAlign w:val="center"/>
          </w:tcPr>
          <w:p w14:paraId="5606A670">
            <w:pPr>
              <w:pStyle w:val="178"/>
              <w:bidi w:val="0"/>
              <w:ind w:firstLine="0" w:firstLineChars="0"/>
              <w:rPr>
                <w:rFonts w:hint="default"/>
                <w:color w:val="auto"/>
                <w:lang w:val="en-US" w:eastAsia="zh-CN"/>
              </w:rPr>
            </w:pPr>
            <w:r>
              <w:rPr>
                <w:rFonts w:hint="default"/>
                <w:color w:val="auto"/>
                <w:lang w:val="en-US" w:eastAsia="zh-CN"/>
              </w:rPr>
              <w:t>1.17</w:t>
            </w:r>
          </w:p>
        </w:tc>
        <w:tc>
          <w:tcPr>
            <w:tcW w:w="951" w:type="dxa"/>
            <w:vMerge w:val="continue"/>
            <w:vAlign w:val="center"/>
          </w:tcPr>
          <w:p w14:paraId="1B59084E">
            <w:pPr>
              <w:pStyle w:val="181"/>
              <w:rPr>
                <w:color w:val="auto"/>
              </w:rPr>
            </w:pPr>
          </w:p>
        </w:tc>
        <w:tc>
          <w:tcPr>
            <w:tcW w:w="999" w:type="dxa"/>
            <w:shd w:val="clear" w:color="auto" w:fill="auto"/>
            <w:vAlign w:val="center"/>
          </w:tcPr>
          <w:p w14:paraId="520D7B58">
            <w:pPr>
              <w:pStyle w:val="181"/>
              <w:rPr>
                <w:color w:val="auto"/>
              </w:rPr>
            </w:pPr>
            <w:r>
              <w:rPr>
                <w:rFonts w:hint="eastAsia"/>
                <w:color w:val="auto"/>
              </w:rPr>
              <w:t>/</w:t>
            </w:r>
          </w:p>
        </w:tc>
        <w:tc>
          <w:tcPr>
            <w:tcW w:w="951" w:type="dxa"/>
            <w:shd w:val="clear" w:color="auto" w:fill="auto"/>
            <w:vAlign w:val="center"/>
          </w:tcPr>
          <w:p w14:paraId="1AA9DAE0">
            <w:pPr>
              <w:pStyle w:val="181"/>
              <w:rPr>
                <w:color w:val="auto"/>
              </w:rPr>
            </w:pPr>
            <w:r>
              <w:rPr>
                <w:rFonts w:hint="eastAsia"/>
                <w:color w:val="auto"/>
              </w:rPr>
              <w:t>/</w:t>
            </w:r>
          </w:p>
        </w:tc>
      </w:tr>
      <w:tr w14:paraId="6391D4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49" w:type="dxa"/>
            <w:vMerge w:val="continue"/>
            <w:vAlign w:val="center"/>
          </w:tcPr>
          <w:p w14:paraId="49B417F0">
            <w:pPr>
              <w:pStyle w:val="181"/>
              <w:rPr>
                <w:color w:val="auto"/>
              </w:rPr>
            </w:pPr>
          </w:p>
        </w:tc>
        <w:tc>
          <w:tcPr>
            <w:tcW w:w="794" w:type="dxa"/>
            <w:vMerge w:val="continue"/>
            <w:vAlign w:val="center"/>
          </w:tcPr>
          <w:p w14:paraId="2D092737">
            <w:pPr>
              <w:pStyle w:val="181"/>
              <w:rPr>
                <w:color w:val="auto"/>
              </w:rPr>
            </w:pPr>
          </w:p>
        </w:tc>
        <w:tc>
          <w:tcPr>
            <w:tcW w:w="846" w:type="dxa"/>
            <w:vMerge w:val="continue"/>
            <w:vAlign w:val="center"/>
          </w:tcPr>
          <w:p w14:paraId="33B6E01B">
            <w:pPr>
              <w:pStyle w:val="181"/>
              <w:rPr>
                <w:color w:val="auto"/>
              </w:rPr>
            </w:pPr>
          </w:p>
        </w:tc>
        <w:tc>
          <w:tcPr>
            <w:tcW w:w="2169" w:type="dxa"/>
            <w:shd w:val="clear" w:color="auto" w:fill="auto"/>
            <w:vAlign w:val="center"/>
          </w:tcPr>
          <w:p w14:paraId="4A0039F1">
            <w:pPr>
              <w:pStyle w:val="181"/>
              <w:rPr>
                <w:color w:val="auto"/>
              </w:rPr>
            </w:pPr>
            <w:r>
              <w:rPr>
                <w:rFonts w:hint="eastAsia"/>
                <w:color w:val="auto"/>
              </w:rPr>
              <w:t>总α放射性</w:t>
            </w:r>
            <w:r>
              <w:rPr>
                <w:rFonts w:hint="eastAsia"/>
                <w:color w:val="auto"/>
                <w:lang w:eastAsia="zh-CN"/>
              </w:rPr>
              <w:t>（</w:t>
            </w:r>
            <w:r>
              <w:rPr>
                <w:rFonts w:hint="eastAsia"/>
                <w:color w:val="auto"/>
              </w:rPr>
              <w:t>Bq/L</w:t>
            </w:r>
            <w:r>
              <w:rPr>
                <w:rFonts w:hint="eastAsia"/>
                <w:color w:val="auto"/>
                <w:lang w:eastAsia="zh-CN"/>
              </w:rPr>
              <w:t>）</w:t>
            </w:r>
          </w:p>
        </w:tc>
        <w:tc>
          <w:tcPr>
            <w:tcW w:w="1044" w:type="dxa"/>
            <w:shd w:val="clear" w:color="auto" w:fill="auto"/>
            <w:vAlign w:val="center"/>
          </w:tcPr>
          <w:p w14:paraId="009BE3A7">
            <w:pPr>
              <w:pStyle w:val="178"/>
              <w:bidi w:val="0"/>
              <w:ind w:firstLine="0" w:firstLineChars="0"/>
              <w:rPr>
                <w:rFonts w:hint="default"/>
                <w:color w:val="auto"/>
                <w:lang w:val="en-US" w:eastAsia="zh-CN"/>
              </w:rPr>
            </w:pPr>
            <w:r>
              <w:rPr>
                <w:rFonts w:hint="default"/>
                <w:color w:val="auto"/>
                <w:lang w:val="en-US" w:eastAsia="zh-CN"/>
              </w:rPr>
              <w:t>1</w:t>
            </w:r>
          </w:p>
        </w:tc>
        <w:tc>
          <w:tcPr>
            <w:tcW w:w="1043" w:type="dxa"/>
            <w:shd w:val="clear" w:color="auto" w:fill="auto"/>
            <w:vAlign w:val="center"/>
          </w:tcPr>
          <w:p w14:paraId="70EE932F">
            <w:pPr>
              <w:pStyle w:val="178"/>
              <w:bidi w:val="0"/>
              <w:ind w:firstLine="0" w:firstLineChars="0"/>
              <w:rPr>
                <w:rFonts w:hint="default"/>
                <w:color w:val="auto"/>
                <w:lang w:val="en-US" w:eastAsia="zh-CN"/>
              </w:rPr>
            </w:pPr>
            <w:r>
              <w:rPr>
                <w:rFonts w:hint="default"/>
                <w:color w:val="auto"/>
                <w:lang w:val="en-US" w:eastAsia="zh-CN"/>
              </w:rPr>
              <w:t>0.59</w:t>
            </w:r>
          </w:p>
        </w:tc>
        <w:tc>
          <w:tcPr>
            <w:tcW w:w="1241" w:type="dxa"/>
            <w:vMerge w:val="continue"/>
            <w:vAlign w:val="center"/>
          </w:tcPr>
          <w:p w14:paraId="47740522">
            <w:pPr>
              <w:pStyle w:val="181"/>
              <w:rPr>
                <w:color w:val="auto"/>
              </w:rPr>
            </w:pPr>
          </w:p>
        </w:tc>
        <w:tc>
          <w:tcPr>
            <w:tcW w:w="1028" w:type="dxa"/>
            <w:shd w:val="clear" w:color="auto" w:fill="auto"/>
            <w:vAlign w:val="center"/>
          </w:tcPr>
          <w:p w14:paraId="652D20EA">
            <w:pPr>
              <w:pStyle w:val="181"/>
              <w:rPr>
                <w:color w:val="auto"/>
              </w:rPr>
            </w:pPr>
            <w:r>
              <w:rPr>
                <w:rFonts w:hint="eastAsia"/>
                <w:color w:val="auto"/>
              </w:rPr>
              <w:t>/</w:t>
            </w:r>
          </w:p>
        </w:tc>
        <w:tc>
          <w:tcPr>
            <w:tcW w:w="1000" w:type="dxa"/>
            <w:shd w:val="clear" w:color="auto" w:fill="auto"/>
            <w:vAlign w:val="center"/>
          </w:tcPr>
          <w:p w14:paraId="603A855E">
            <w:pPr>
              <w:pStyle w:val="178"/>
              <w:bidi w:val="0"/>
              <w:ind w:firstLine="0" w:firstLineChars="0"/>
              <w:rPr>
                <w:rFonts w:hint="default"/>
                <w:color w:val="auto"/>
                <w:lang w:val="en-US" w:eastAsia="zh-CN"/>
              </w:rPr>
            </w:pPr>
            <w:r>
              <w:rPr>
                <w:rFonts w:hint="default"/>
                <w:color w:val="auto"/>
                <w:lang w:val="en-US" w:eastAsia="zh-CN"/>
              </w:rPr>
              <w:t>1</w:t>
            </w:r>
          </w:p>
        </w:tc>
        <w:tc>
          <w:tcPr>
            <w:tcW w:w="1025" w:type="dxa"/>
            <w:shd w:val="clear" w:color="auto" w:fill="auto"/>
            <w:vAlign w:val="center"/>
          </w:tcPr>
          <w:p w14:paraId="07B2447A">
            <w:pPr>
              <w:pStyle w:val="178"/>
              <w:bidi w:val="0"/>
              <w:ind w:firstLine="0" w:firstLineChars="0"/>
              <w:rPr>
                <w:rFonts w:hint="default"/>
                <w:color w:val="auto"/>
                <w:lang w:val="en-US" w:eastAsia="zh-CN"/>
              </w:rPr>
            </w:pPr>
            <w:r>
              <w:rPr>
                <w:rFonts w:hint="default"/>
                <w:color w:val="auto"/>
                <w:lang w:val="en-US" w:eastAsia="zh-CN"/>
              </w:rPr>
              <w:t>0.59</w:t>
            </w:r>
          </w:p>
        </w:tc>
        <w:tc>
          <w:tcPr>
            <w:tcW w:w="951" w:type="dxa"/>
            <w:vMerge w:val="continue"/>
            <w:vAlign w:val="center"/>
          </w:tcPr>
          <w:p w14:paraId="13D2C007">
            <w:pPr>
              <w:pStyle w:val="181"/>
              <w:rPr>
                <w:color w:val="auto"/>
              </w:rPr>
            </w:pPr>
          </w:p>
        </w:tc>
        <w:tc>
          <w:tcPr>
            <w:tcW w:w="999" w:type="dxa"/>
            <w:shd w:val="clear" w:color="auto" w:fill="auto"/>
            <w:vAlign w:val="center"/>
          </w:tcPr>
          <w:p w14:paraId="22CEE2C9">
            <w:pPr>
              <w:pStyle w:val="181"/>
              <w:rPr>
                <w:color w:val="auto"/>
              </w:rPr>
            </w:pPr>
            <w:r>
              <w:rPr>
                <w:rFonts w:hint="eastAsia"/>
                <w:color w:val="auto"/>
              </w:rPr>
              <w:t>/</w:t>
            </w:r>
          </w:p>
        </w:tc>
        <w:tc>
          <w:tcPr>
            <w:tcW w:w="951" w:type="dxa"/>
            <w:shd w:val="clear" w:color="auto" w:fill="auto"/>
            <w:vAlign w:val="center"/>
          </w:tcPr>
          <w:p w14:paraId="372E167E">
            <w:pPr>
              <w:pStyle w:val="181"/>
              <w:rPr>
                <w:color w:val="auto"/>
              </w:rPr>
            </w:pPr>
            <w:r>
              <w:rPr>
                <w:rFonts w:hint="eastAsia"/>
                <w:color w:val="auto"/>
              </w:rPr>
              <w:t>/</w:t>
            </w:r>
          </w:p>
        </w:tc>
      </w:tr>
      <w:tr w14:paraId="566E5C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49" w:type="dxa"/>
            <w:vMerge w:val="continue"/>
            <w:vAlign w:val="center"/>
          </w:tcPr>
          <w:p w14:paraId="7515EEE7">
            <w:pPr>
              <w:pStyle w:val="181"/>
              <w:rPr>
                <w:color w:val="auto"/>
              </w:rPr>
            </w:pPr>
          </w:p>
        </w:tc>
        <w:tc>
          <w:tcPr>
            <w:tcW w:w="794" w:type="dxa"/>
            <w:vMerge w:val="continue"/>
            <w:vAlign w:val="center"/>
          </w:tcPr>
          <w:p w14:paraId="1B162F75">
            <w:pPr>
              <w:pStyle w:val="181"/>
              <w:rPr>
                <w:color w:val="auto"/>
              </w:rPr>
            </w:pPr>
          </w:p>
        </w:tc>
        <w:tc>
          <w:tcPr>
            <w:tcW w:w="846" w:type="dxa"/>
            <w:vMerge w:val="continue"/>
            <w:vAlign w:val="center"/>
          </w:tcPr>
          <w:p w14:paraId="5772A441">
            <w:pPr>
              <w:pStyle w:val="181"/>
              <w:rPr>
                <w:color w:val="auto"/>
              </w:rPr>
            </w:pPr>
          </w:p>
        </w:tc>
        <w:tc>
          <w:tcPr>
            <w:tcW w:w="2169" w:type="dxa"/>
            <w:shd w:val="clear" w:color="auto" w:fill="auto"/>
            <w:vAlign w:val="center"/>
          </w:tcPr>
          <w:p w14:paraId="2896A514">
            <w:pPr>
              <w:pStyle w:val="181"/>
              <w:rPr>
                <w:color w:val="auto"/>
              </w:rPr>
            </w:pPr>
            <w:r>
              <w:rPr>
                <w:rFonts w:hint="eastAsia"/>
                <w:color w:val="auto"/>
              </w:rPr>
              <w:t>总β放射性</w:t>
            </w:r>
            <w:r>
              <w:rPr>
                <w:rFonts w:hint="eastAsia"/>
                <w:color w:val="auto"/>
                <w:lang w:eastAsia="zh-CN"/>
              </w:rPr>
              <w:t>（</w:t>
            </w:r>
            <w:r>
              <w:rPr>
                <w:rFonts w:hint="eastAsia"/>
                <w:color w:val="auto"/>
              </w:rPr>
              <w:t>Bq/L</w:t>
            </w:r>
            <w:r>
              <w:rPr>
                <w:rFonts w:hint="eastAsia"/>
                <w:color w:val="auto"/>
                <w:lang w:eastAsia="zh-CN"/>
              </w:rPr>
              <w:t>）</w:t>
            </w:r>
          </w:p>
        </w:tc>
        <w:tc>
          <w:tcPr>
            <w:tcW w:w="1044" w:type="dxa"/>
            <w:shd w:val="clear" w:color="auto" w:fill="auto"/>
            <w:vAlign w:val="center"/>
          </w:tcPr>
          <w:p w14:paraId="371DB449">
            <w:pPr>
              <w:pStyle w:val="178"/>
              <w:bidi w:val="0"/>
              <w:ind w:firstLine="0" w:firstLineChars="0"/>
              <w:rPr>
                <w:rFonts w:hint="default"/>
                <w:color w:val="auto"/>
                <w:lang w:val="en-US" w:eastAsia="zh-CN"/>
              </w:rPr>
            </w:pPr>
            <w:r>
              <w:rPr>
                <w:rFonts w:hint="default"/>
                <w:color w:val="auto"/>
                <w:lang w:val="en-US" w:eastAsia="zh-CN"/>
              </w:rPr>
              <w:t>9.99</w:t>
            </w:r>
          </w:p>
        </w:tc>
        <w:tc>
          <w:tcPr>
            <w:tcW w:w="1043" w:type="dxa"/>
            <w:shd w:val="clear" w:color="auto" w:fill="auto"/>
            <w:vAlign w:val="center"/>
          </w:tcPr>
          <w:p w14:paraId="1300E539">
            <w:pPr>
              <w:pStyle w:val="178"/>
              <w:bidi w:val="0"/>
              <w:ind w:firstLine="0" w:firstLineChars="0"/>
              <w:rPr>
                <w:rFonts w:hint="default"/>
                <w:color w:val="auto"/>
                <w:lang w:val="en-US" w:eastAsia="zh-CN"/>
              </w:rPr>
            </w:pPr>
            <w:r>
              <w:rPr>
                <w:rFonts w:hint="default"/>
                <w:color w:val="auto"/>
                <w:lang w:val="en-US" w:eastAsia="zh-CN"/>
              </w:rPr>
              <w:t>5.87</w:t>
            </w:r>
          </w:p>
        </w:tc>
        <w:tc>
          <w:tcPr>
            <w:tcW w:w="1241" w:type="dxa"/>
            <w:vMerge w:val="continue"/>
            <w:vAlign w:val="center"/>
          </w:tcPr>
          <w:p w14:paraId="745921F1">
            <w:pPr>
              <w:pStyle w:val="181"/>
              <w:rPr>
                <w:color w:val="auto"/>
              </w:rPr>
            </w:pPr>
          </w:p>
        </w:tc>
        <w:tc>
          <w:tcPr>
            <w:tcW w:w="1028" w:type="dxa"/>
            <w:shd w:val="clear" w:color="auto" w:fill="auto"/>
            <w:vAlign w:val="center"/>
          </w:tcPr>
          <w:p w14:paraId="69AC893F">
            <w:pPr>
              <w:pStyle w:val="181"/>
              <w:rPr>
                <w:color w:val="auto"/>
              </w:rPr>
            </w:pPr>
            <w:r>
              <w:rPr>
                <w:rFonts w:hint="eastAsia"/>
                <w:color w:val="auto"/>
              </w:rPr>
              <w:t>/</w:t>
            </w:r>
          </w:p>
        </w:tc>
        <w:tc>
          <w:tcPr>
            <w:tcW w:w="1000" w:type="dxa"/>
            <w:shd w:val="clear" w:color="auto" w:fill="auto"/>
            <w:vAlign w:val="center"/>
          </w:tcPr>
          <w:p w14:paraId="535B3CB6">
            <w:pPr>
              <w:pStyle w:val="178"/>
              <w:bidi w:val="0"/>
              <w:ind w:firstLine="0" w:firstLineChars="0"/>
              <w:rPr>
                <w:rFonts w:hint="default"/>
                <w:color w:val="auto"/>
                <w:lang w:val="en-US" w:eastAsia="zh-CN"/>
              </w:rPr>
            </w:pPr>
            <w:r>
              <w:rPr>
                <w:rFonts w:hint="default"/>
                <w:color w:val="auto"/>
                <w:lang w:val="en-US" w:eastAsia="zh-CN"/>
              </w:rPr>
              <w:t>9.97</w:t>
            </w:r>
          </w:p>
        </w:tc>
        <w:tc>
          <w:tcPr>
            <w:tcW w:w="1025" w:type="dxa"/>
            <w:shd w:val="clear" w:color="auto" w:fill="auto"/>
            <w:vAlign w:val="center"/>
          </w:tcPr>
          <w:p w14:paraId="304F22F9">
            <w:pPr>
              <w:pStyle w:val="178"/>
              <w:bidi w:val="0"/>
              <w:ind w:firstLine="0" w:firstLineChars="0"/>
              <w:rPr>
                <w:rFonts w:hint="default"/>
                <w:color w:val="auto"/>
                <w:lang w:val="en-US" w:eastAsia="zh-CN"/>
              </w:rPr>
            </w:pPr>
            <w:r>
              <w:rPr>
                <w:rFonts w:hint="default"/>
                <w:color w:val="auto"/>
                <w:lang w:val="en-US" w:eastAsia="zh-CN"/>
              </w:rPr>
              <w:t>5.86</w:t>
            </w:r>
          </w:p>
        </w:tc>
        <w:tc>
          <w:tcPr>
            <w:tcW w:w="951" w:type="dxa"/>
            <w:vMerge w:val="continue"/>
            <w:vAlign w:val="center"/>
          </w:tcPr>
          <w:p w14:paraId="1AC738C8">
            <w:pPr>
              <w:pStyle w:val="181"/>
              <w:rPr>
                <w:color w:val="auto"/>
              </w:rPr>
            </w:pPr>
          </w:p>
        </w:tc>
        <w:tc>
          <w:tcPr>
            <w:tcW w:w="999" w:type="dxa"/>
            <w:shd w:val="clear" w:color="auto" w:fill="auto"/>
            <w:vAlign w:val="center"/>
          </w:tcPr>
          <w:p w14:paraId="0A8B742E">
            <w:pPr>
              <w:pStyle w:val="181"/>
              <w:rPr>
                <w:color w:val="auto"/>
              </w:rPr>
            </w:pPr>
            <w:r>
              <w:rPr>
                <w:rFonts w:hint="eastAsia"/>
                <w:color w:val="auto"/>
              </w:rPr>
              <w:t>/</w:t>
            </w:r>
          </w:p>
        </w:tc>
        <w:tc>
          <w:tcPr>
            <w:tcW w:w="951" w:type="dxa"/>
            <w:shd w:val="clear" w:color="auto" w:fill="auto"/>
            <w:vAlign w:val="center"/>
          </w:tcPr>
          <w:p w14:paraId="4E0355D7">
            <w:pPr>
              <w:pStyle w:val="181"/>
              <w:rPr>
                <w:color w:val="auto"/>
              </w:rPr>
            </w:pPr>
            <w:r>
              <w:rPr>
                <w:rFonts w:hint="eastAsia"/>
                <w:color w:val="auto"/>
              </w:rPr>
              <w:t>/</w:t>
            </w:r>
          </w:p>
        </w:tc>
      </w:tr>
    </w:tbl>
    <w:p w14:paraId="0E6C3B19">
      <w:pPr>
        <w:pStyle w:val="185"/>
        <w:rPr>
          <w:snapToGrid w:val="0"/>
          <w:color w:val="auto"/>
        </w:rPr>
      </w:pPr>
    </w:p>
    <w:p w14:paraId="7E3CFFBA">
      <w:pPr>
        <w:ind w:firstLine="480"/>
        <w:rPr>
          <w:color w:val="auto"/>
        </w:rPr>
        <w:sectPr>
          <w:pgSz w:w="16838" w:h="11906" w:orient="landscape"/>
          <w:pgMar w:top="1418" w:right="1418" w:bottom="1418" w:left="1418" w:header="851" w:footer="992" w:gutter="0"/>
          <w:pgBorders>
            <w:top w:val="none" w:sz="0" w:space="0"/>
            <w:left w:val="none" w:sz="0" w:space="0"/>
            <w:bottom w:val="none" w:sz="0" w:space="0"/>
            <w:right w:val="none" w:sz="0" w:space="0"/>
          </w:pgBorders>
          <w:cols w:space="720" w:num="1"/>
          <w:docGrid w:linePitch="326" w:charSpace="0"/>
        </w:sectPr>
      </w:pPr>
    </w:p>
    <w:p w14:paraId="3370C273">
      <w:pPr>
        <w:pStyle w:val="5"/>
        <w:numPr>
          <w:ilvl w:val="0"/>
          <w:numId w:val="0"/>
        </w:numPr>
        <w:rPr>
          <w:color w:val="auto"/>
        </w:rPr>
      </w:pPr>
      <w:r>
        <w:rPr>
          <w:rFonts w:hint="eastAsia"/>
          <w:color w:val="auto"/>
        </w:rPr>
        <w:t>3</w:t>
      </w:r>
      <w:r>
        <w:rPr>
          <w:color w:val="auto"/>
        </w:rPr>
        <w:t>.14.2废气</w:t>
      </w:r>
    </w:p>
    <w:p w14:paraId="3E90AC25">
      <w:pPr>
        <w:ind w:firstLine="480"/>
        <w:rPr>
          <w:color w:val="auto"/>
        </w:rPr>
      </w:pPr>
      <w:r>
        <w:rPr>
          <w:color w:val="auto"/>
        </w:rPr>
        <w:t>运营期间废气主要为污水处理</w:t>
      </w:r>
      <w:r>
        <w:rPr>
          <w:rFonts w:hint="eastAsia"/>
          <w:color w:val="auto"/>
        </w:rPr>
        <w:t>设施</w:t>
      </w:r>
      <w:r>
        <w:rPr>
          <w:color w:val="auto"/>
        </w:rPr>
        <w:t>臭气</w:t>
      </w:r>
      <w:r>
        <w:rPr>
          <w:rFonts w:hint="eastAsia"/>
          <w:color w:val="auto"/>
        </w:rPr>
        <w:t>和MVR蒸发不凝气</w:t>
      </w:r>
      <w:r>
        <w:rPr>
          <w:color w:val="auto"/>
        </w:rPr>
        <w:t>等</w:t>
      </w:r>
      <w:r>
        <w:rPr>
          <w:rFonts w:hint="eastAsia"/>
          <w:color w:val="auto"/>
        </w:rPr>
        <w:t>。项目废气污染物排放节点见下表：</w:t>
      </w:r>
    </w:p>
    <w:p w14:paraId="4D9E54C3">
      <w:pPr>
        <w:ind w:firstLine="482"/>
        <w:jc w:val="center"/>
        <w:rPr>
          <w:b/>
          <w:snapToGrid w:val="0"/>
          <w:color w:val="auto"/>
          <w:szCs w:val="21"/>
        </w:rPr>
      </w:pPr>
      <w:r>
        <w:rPr>
          <w:b/>
          <w:snapToGrid w:val="0"/>
          <w:color w:val="auto"/>
          <w:szCs w:val="21"/>
        </w:rPr>
        <w:t>表</w:t>
      </w:r>
      <w:r>
        <w:rPr>
          <w:rFonts w:hint="eastAsia"/>
          <w:b/>
          <w:snapToGrid w:val="0"/>
          <w:color w:val="auto"/>
          <w:szCs w:val="21"/>
        </w:rPr>
        <w:t>3</w:t>
      </w:r>
      <w:r>
        <w:rPr>
          <w:b/>
          <w:snapToGrid w:val="0"/>
          <w:color w:val="auto"/>
          <w:szCs w:val="21"/>
        </w:rPr>
        <w:t>.14-</w:t>
      </w:r>
      <w:r>
        <w:rPr>
          <w:rFonts w:hint="eastAsia"/>
          <w:b/>
          <w:snapToGrid w:val="0"/>
          <w:color w:val="auto"/>
          <w:szCs w:val="21"/>
        </w:rPr>
        <w:t xml:space="preserve">2  </w:t>
      </w:r>
      <w:r>
        <w:rPr>
          <w:b/>
          <w:snapToGrid w:val="0"/>
          <w:color w:val="auto"/>
          <w:szCs w:val="21"/>
        </w:rPr>
        <w:t>项目废气污染物排污节点一览表</w:t>
      </w:r>
    </w:p>
    <w:tbl>
      <w:tblPr>
        <w:tblStyle w:val="88"/>
        <w:tblW w:w="5059"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3002"/>
        <w:gridCol w:w="1966"/>
        <w:gridCol w:w="2695"/>
        <w:gridCol w:w="1733"/>
      </w:tblGrid>
      <w:tr w14:paraId="1C4807A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597" w:type="pct"/>
            <w:tcBorders>
              <w:tl2br w:val="nil"/>
              <w:tr2bl w:val="nil"/>
            </w:tcBorders>
            <w:vAlign w:val="center"/>
          </w:tcPr>
          <w:p w14:paraId="0C7945FD">
            <w:pPr>
              <w:spacing w:line="240" w:lineRule="auto"/>
              <w:ind w:firstLine="0" w:firstLineChars="0"/>
              <w:jc w:val="center"/>
              <w:rPr>
                <w:color w:val="auto"/>
                <w:sz w:val="21"/>
                <w:szCs w:val="21"/>
              </w:rPr>
            </w:pPr>
            <w:r>
              <w:rPr>
                <w:rFonts w:hint="eastAsia"/>
                <w:color w:val="auto"/>
                <w:sz w:val="21"/>
                <w:szCs w:val="21"/>
              </w:rPr>
              <w:t>污染源强</w:t>
            </w:r>
          </w:p>
        </w:tc>
        <w:tc>
          <w:tcPr>
            <w:tcW w:w="1046" w:type="pct"/>
            <w:tcBorders>
              <w:tl2br w:val="nil"/>
              <w:tr2bl w:val="nil"/>
            </w:tcBorders>
            <w:vAlign w:val="center"/>
          </w:tcPr>
          <w:p w14:paraId="24399504">
            <w:pPr>
              <w:spacing w:line="240" w:lineRule="auto"/>
              <w:ind w:firstLine="0" w:firstLineChars="0"/>
              <w:jc w:val="center"/>
              <w:rPr>
                <w:color w:val="auto"/>
                <w:sz w:val="21"/>
                <w:szCs w:val="21"/>
              </w:rPr>
            </w:pPr>
            <w:r>
              <w:rPr>
                <w:rFonts w:hint="eastAsia"/>
                <w:color w:val="auto"/>
                <w:sz w:val="21"/>
                <w:szCs w:val="21"/>
              </w:rPr>
              <w:t>主要污染因子</w:t>
            </w:r>
          </w:p>
        </w:tc>
        <w:tc>
          <w:tcPr>
            <w:tcW w:w="1434" w:type="pct"/>
            <w:tcBorders>
              <w:tl2br w:val="nil"/>
              <w:tr2bl w:val="nil"/>
            </w:tcBorders>
            <w:vAlign w:val="center"/>
          </w:tcPr>
          <w:p w14:paraId="58327E16">
            <w:pPr>
              <w:spacing w:line="240" w:lineRule="auto"/>
              <w:ind w:firstLine="0" w:firstLineChars="0"/>
              <w:jc w:val="center"/>
              <w:rPr>
                <w:color w:val="auto"/>
                <w:sz w:val="21"/>
                <w:szCs w:val="21"/>
              </w:rPr>
            </w:pPr>
            <w:r>
              <w:rPr>
                <w:rFonts w:hint="eastAsia"/>
                <w:color w:val="auto"/>
                <w:sz w:val="21"/>
                <w:szCs w:val="21"/>
              </w:rPr>
              <w:t>治理措施</w:t>
            </w:r>
          </w:p>
        </w:tc>
        <w:tc>
          <w:tcPr>
            <w:tcW w:w="922" w:type="pct"/>
            <w:tcBorders>
              <w:tl2br w:val="nil"/>
              <w:tr2bl w:val="nil"/>
            </w:tcBorders>
            <w:vAlign w:val="center"/>
          </w:tcPr>
          <w:p w14:paraId="7A27E485">
            <w:pPr>
              <w:spacing w:line="240" w:lineRule="auto"/>
              <w:ind w:firstLine="0" w:firstLineChars="0"/>
              <w:jc w:val="center"/>
              <w:rPr>
                <w:color w:val="auto"/>
                <w:sz w:val="21"/>
                <w:szCs w:val="21"/>
              </w:rPr>
            </w:pPr>
            <w:r>
              <w:rPr>
                <w:rFonts w:hint="eastAsia"/>
                <w:color w:val="auto"/>
                <w:sz w:val="21"/>
                <w:szCs w:val="21"/>
              </w:rPr>
              <w:t>排气筒</w:t>
            </w:r>
          </w:p>
        </w:tc>
      </w:tr>
      <w:tr w14:paraId="165BA55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597" w:type="pct"/>
            <w:tcBorders>
              <w:tl2br w:val="nil"/>
              <w:tr2bl w:val="nil"/>
            </w:tcBorders>
            <w:vAlign w:val="center"/>
          </w:tcPr>
          <w:p w14:paraId="512669C2">
            <w:pPr>
              <w:spacing w:line="240" w:lineRule="auto"/>
              <w:ind w:firstLine="0" w:firstLineChars="0"/>
              <w:jc w:val="center"/>
              <w:rPr>
                <w:color w:val="auto"/>
                <w:sz w:val="21"/>
                <w:szCs w:val="21"/>
              </w:rPr>
            </w:pPr>
            <w:bookmarkStart w:id="157" w:name="_Hlk185498590"/>
            <w:r>
              <w:rPr>
                <w:rFonts w:hint="eastAsia"/>
                <w:color w:val="auto"/>
                <w:sz w:val="21"/>
                <w:szCs w:val="21"/>
              </w:rPr>
              <w:t>收集池、调节池、高密沉淀池、芬顿氧化池、中和沉淀池</w:t>
            </w:r>
          </w:p>
        </w:tc>
        <w:tc>
          <w:tcPr>
            <w:tcW w:w="1046" w:type="pct"/>
            <w:tcBorders>
              <w:tl2br w:val="nil"/>
              <w:tr2bl w:val="nil"/>
            </w:tcBorders>
            <w:vAlign w:val="center"/>
          </w:tcPr>
          <w:p w14:paraId="4A3CA4F5">
            <w:pPr>
              <w:spacing w:line="240" w:lineRule="auto"/>
              <w:ind w:firstLine="0" w:firstLineChars="0"/>
              <w:jc w:val="center"/>
              <w:rPr>
                <w:color w:val="auto"/>
                <w:sz w:val="21"/>
                <w:szCs w:val="21"/>
              </w:rPr>
            </w:pPr>
            <w:r>
              <w:rPr>
                <w:rFonts w:hint="eastAsia"/>
                <w:color w:val="auto"/>
                <w:sz w:val="21"/>
                <w:szCs w:val="21"/>
              </w:rPr>
              <w:t>NH</w:t>
            </w:r>
            <w:r>
              <w:rPr>
                <w:rFonts w:hint="eastAsia"/>
                <w:color w:val="auto"/>
                <w:sz w:val="21"/>
                <w:szCs w:val="21"/>
                <w:vertAlign w:val="subscript"/>
              </w:rPr>
              <w:t>3</w:t>
            </w:r>
            <w:r>
              <w:rPr>
                <w:rFonts w:hint="eastAsia"/>
                <w:color w:val="auto"/>
                <w:sz w:val="21"/>
                <w:szCs w:val="21"/>
              </w:rPr>
              <w:t>、H</w:t>
            </w:r>
            <w:r>
              <w:rPr>
                <w:rFonts w:hint="eastAsia"/>
                <w:color w:val="auto"/>
                <w:sz w:val="21"/>
                <w:szCs w:val="21"/>
                <w:vertAlign w:val="subscript"/>
              </w:rPr>
              <w:t>2</w:t>
            </w:r>
            <w:r>
              <w:rPr>
                <w:rFonts w:hint="eastAsia"/>
                <w:color w:val="auto"/>
                <w:sz w:val="21"/>
                <w:szCs w:val="21"/>
              </w:rPr>
              <w:t>S、非甲烷总烃</w:t>
            </w:r>
          </w:p>
        </w:tc>
        <w:tc>
          <w:tcPr>
            <w:tcW w:w="1434" w:type="pct"/>
            <w:vMerge w:val="restart"/>
            <w:tcBorders>
              <w:tl2br w:val="nil"/>
              <w:tr2bl w:val="nil"/>
            </w:tcBorders>
            <w:vAlign w:val="center"/>
          </w:tcPr>
          <w:p w14:paraId="2427B268">
            <w:pPr>
              <w:spacing w:line="240" w:lineRule="auto"/>
              <w:ind w:firstLine="0" w:firstLineChars="0"/>
              <w:jc w:val="center"/>
              <w:rPr>
                <w:color w:val="auto"/>
                <w:sz w:val="21"/>
                <w:szCs w:val="21"/>
              </w:rPr>
            </w:pPr>
            <w:r>
              <w:rPr>
                <w:rFonts w:hint="eastAsia"/>
                <w:color w:val="auto"/>
                <w:sz w:val="21"/>
                <w:szCs w:val="21"/>
              </w:rPr>
              <w:t>密闭（负压）收集+碱喷淋+除湿+活性炭吸附+15m排气筒排放</w:t>
            </w:r>
          </w:p>
        </w:tc>
        <w:tc>
          <w:tcPr>
            <w:tcW w:w="922" w:type="pct"/>
            <w:vMerge w:val="restart"/>
            <w:tcBorders>
              <w:tl2br w:val="nil"/>
              <w:tr2bl w:val="nil"/>
            </w:tcBorders>
            <w:vAlign w:val="center"/>
          </w:tcPr>
          <w:p w14:paraId="13F2BE63">
            <w:pPr>
              <w:spacing w:line="240" w:lineRule="auto"/>
              <w:ind w:firstLine="0" w:firstLineChars="0"/>
              <w:jc w:val="center"/>
              <w:rPr>
                <w:color w:val="auto"/>
                <w:sz w:val="21"/>
                <w:szCs w:val="21"/>
              </w:rPr>
            </w:pPr>
            <w:r>
              <w:rPr>
                <w:rFonts w:hint="eastAsia"/>
                <w:color w:val="auto"/>
                <w:sz w:val="21"/>
                <w:szCs w:val="21"/>
              </w:rPr>
              <w:t>1#排气筒DA001</w:t>
            </w:r>
          </w:p>
          <w:p w14:paraId="7CAE9BD8">
            <w:pPr>
              <w:spacing w:line="240" w:lineRule="auto"/>
              <w:ind w:firstLine="0" w:firstLineChars="0"/>
              <w:jc w:val="center"/>
              <w:rPr>
                <w:color w:val="auto"/>
                <w:sz w:val="21"/>
                <w:szCs w:val="21"/>
              </w:rPr>
            </w:pPr>
            <w:r>
              <w:rPr>
                <w:rFonts w:hint="eastAsia"/>
                <w:color w:val="auto"/>
                <w:sz w:val="21"/>
                <w:szCs w:val="21"/>
                <w:lang w:eastAsia="zh-CN"/>
              </w:rPr>
              <w:t>(</w:t>
            </w:r>
            <w:r>
              <w:rPr>
                <w:rFonts w:hint="eastAsia"/>
                <w:color w:val="auto"/>
                <w:sz w:val="21"/>
                <w:szCs w:val="21"/>
              </w:rPr>
              <w:t>15m</w:t>
            </w:r>
            <w:r>
              <w:rPr>
                <w:rFonts w:hint="eastAsia"/>
                <w:color w:val="auto"/>
                <w:sz w:val="21"/>
                <w:szCs w:val="21"/>
                <w:lang w:eastAsia="zh-CN"/>
              </w:rPr>
              <w:t>)</w:t>
            </w:r>
          </w:p>
        </w:tc>
      </w:tr>
      <w:tr w14:paraId="46BC3BE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597" w:type="pct"/>
            <w:tcBorders>
              <w:tl2br w:val="nil"/>
              <w:tr2bl w:val="nil"/>
            </w:tcBorders>
            <w:shd w:val="clear" w:color="auto" w:fill="auto"/>
            <w:vAlign w:val="center"/>
          </w:tcPr>
          <w:p w14:paraId="742623C8">
            <w:pPr>
              <w:spacing w:line="240" w:lineRule="auto"/>
              <w:ind w:firstLine="0" w:firstLineChars="0"/>
              <w:jc w:val="center"/>
              <w:rPr>
                <w:rFonts w:hint="eastAsia" w:eastAsia="宋体"/>
                <w:color w:val="auto"/>
                <w:sz w:val="21"/>
                <w:szCs w:val="21"/>
                <w:lang w:eastAsia="zh-CN"/>
              </w:rPr>
            </w:pPr>
            <w:r>
              <w:rPr>
                <w:rFonts w:hint="eastAsia"/>
                <w:color w:val="auto"/>
                <w:sz w:val="21"/>
                <w:szCs w:val="21"/>
                <w:lang w:eastAsia="zh-CN"/>
              </w:rPr>
              <w:t>浓水罐</w:t>
            </w:r>
            <w:r>
              <w:rPr>
                <w:rFonts w:hint="eastAsia"/>
                <w:color w:val="auto"/>
                <w:sz w:val="21"/>
                <w:szCs w:val="21"/>
              </w:rPr>
              <w:t>、污泥池、</w:t>
            </w:r>
            <w:r>
              <w:rPr>
                <w:rFonts w:hint="eastAsia"/>
                <w:color w:val="auto"/>
                <w:sz w:val="21"/>
                <w:szCs w:val="21"/>
                <w:lang w:eastAsia="zh-CN"/>
              </w:rPr>
              <w:t>污泥压滤间</w:t>
            </w:r>
            <w:r>
              <w:rPr>
                <w:rFonts w:hint="eastAsia"/>
                <w:color w:val="auto"/>
                <w:sz w:val="21"/>
                <w:szCs w:val="21"/>
              </w:rPr>
              <w:t>、</w:t>
            </w:r>
            <w:r>
              <w:rPr>
                <w:rFonts w:hint="eastAsia"/>
                <w:color w:val="auto"/>
                <w:sz w:val="21"/>
                <w:szCs w:val="21"/>
                <w:lang w:eastAsia="zh-CN"/>
              </w:rPr>
              <w:t>危废贮存库</w:t>
            </w:r>
          </w:p>
        </w:tc>
        <w:tc>
          <w:tcPr>
            <w:tcW w:w="1046" w:type="pct"/>
            <w:tcBorders>
              <w:tl2br w:val="nil"/>
              <w:tr2bl w:val="nil"/>
            </w:tcBorders>
            <w:shd w:val="clear" w:color="auto" w:fill="auto"/>
            <w:vAlign w:val="center"/>
          </w:tcPr>
          <w:p w14:paraId="43E577E5">
            <w:pPr>
              <w:spacing w:line="240" w:lineRule="auto"/>
              <w:ind w:firstLine="0" w:firstLineChars="0"/>
              <w:jc w:val="center"/>
              <w:rPr>
                <w:color w:val="auto"/>
                <w:sz w:val="21"/>
                <w:szCs w:val="21"/>
              </w:rPr>
            </w:pPr>
            <w:r>
              <w:rPr>
                <w:rFonts w:hint="eastAsia"/>
                <w:color w:val="auto"/>
                <w:sz w:val="21"/>
                <w:szCs w:val="21"/>
              </w:rPr>
              <w:t>NH</w:t>
            </w:r>
            <w:r>
              <w:rPr>
                <w:rFonts w:hint="eastAsia"/>
                <w:color w:val="auto"/>
                <w:sz w:val="21"/>
                <w:szCs w:val="21"/>
                <w:vertAlign w:val="subscript"/>
              </w:rPr>
              <w:t>3</w:t>
            </w:r>
            <w:r>
              <w:rPr>
                <w:rFonts w:hint="eastAsia"/>
                <w:color w:val="auto"/>
                <w:sz w:val="21"/>
                <w:szCs w:val="21"/>
              </w:rPr>
              <w:t>、H</w:t>
            </w:r>
            <w:r>
              <w:rPr>
                <w:rFonts w:hint="eastAsia"/>
                <w:color w:val="auto"/>
                <w:sz w:val="21"/>
                <w:szCs w:val="21"/>
                <w:vertAlign w:val="subscript"/>
              </w:rPr>
              <w:t>2</w:t>
            </w:r>
            <w:r>
              <w:rPr>
                <w:rFonts w:hint="eastAsia"/>
                <w:color w:val="auto"/>
                <w:sz w:val="21"/>
                <w:szCs w:val="21"/>
              </w:rPr>
              <w:t>S</w:t>
            </w:r>
          </w:p>
        </w:tc>
        <w:tc>
          <w:tcPr>
            <w:tcW w:w="1434" w:type="pct"/>
            <w:vMerge w:val="continue"/>
            <w:tcBorders>
              <w:tl2br w:val="nil"/>
              <w:tr2bl w:val="nil"/>
            </w:tcBorders>
            <w:vAlign w:val="center"/>
          </w:tcPr>
          <w:p w14:paraId="49F408F4">
            <w:pPr>
              <w:spacing w:line="240" w:lineRule="auto"/>
              <w:ind w:firstLine="0" w:firstLineChars="0"/>
              <w:jc w:val="center"/>
              <w:rPr>
                <w:color w:val="auto"/>
                <w:sz w:val="21"/>
                <w:szCs w:val="21"/>
              </w:rPr>
            </w:pPr>
          </w:p>
        </w:tc>
        <w:tc>
          <w:tcPr>
            <w:tcW w:w="922" w:type="pct"/>
            <w:vMerge w:val="continue"/>
            <w:tcBorders>
              <w:tl2br w:val="nil"/>
              <w:tr2bl w:val="nil"/>
            </w:tcBorders>
            <w:vAlign w:val="center"/>
          </w:tcPr>
          <w:p w14:paraId="1CE04A5E">
            <w:pPr>
              <w:spacing w:line="240" w:lineRule="auto"/>
              <w:ind w:firstLine="0" w:firstLineChars="0"/>
              <w:jc w:val="center"/>
              <w:rPr>
                <w:color w:val="auto"/>
                <w:sz w:val="21"/>
                <w:szCs w:val="21"/>
              </w:rPr>
            </w:pPr>
          </w:p>
        </w:tc>
      </w:tr>
      <w:tr w14:paraId="7A55708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597" w:type="pct"/>
            <w:tcBorders>
              <w:tl2br w:val="nil"/>
              <w:tr2bl w:val="nil"/>
            </w:tcBorders>
            <w:vAlign w:val="center"/>
          </w:tcPr>
          <w:p w14:paraId="61CCB56B">
            <w:pPr>
              <w:spacing w:line="240" w:lineRule="auto"/>
              <w:ind w:firstLine="0" w:firstLineChars="0"/>
              <w:jc w:val="center"/>
              <w:rPr>
                <w:color w:val="auto"/>
                <w:sz w:val="21"/>
                <w:szCs w:val="21"/>
              </w:rPr>
            </w:pPr>
            <w:r>
              <w:rPr>
                <w:rFonts w:hint="eastAsia"/>
                <w:color w:val="auto"/>
                <w:sz w:val="21"/>
                <w:szCs w:val="21"/>
              </w:rPr>
              <w:t>MVR蒸发不凝气</w:t>
            </w:r>
          </w:p>
        </w:tc>
        <w:tc>
          <w:tcPr>
            <w:tcW w:w="1046" w:type="pct"/>
            <w:tcBorders>
              <w:tl2br w:val="nil"/>
              <w:tr2bl w:val="nil"/>
            </w:tcBorders>
            <w:vAlign w:val="center"/>
          </w:tcPr>
          <w:p w14:paraId="7A910C0E">
            <w:pPr>
              <w:spacing w:line="240" w:lineRule="auto"/>
              <w:ind w:firstLine="0" w:firstLineChars="0"/>
              <w:jc w:val="center"/>
              <w:rPr>
                <w:color w:val="auto"/>
                <w:sz w:val="21"/>
                <w:szCs w:val="21"/>
              </w:rPr>
            </w:pPr>
            <w:r>
              <w:rPr>
                <w:rFonts w:hint="eastAsia"/>
                <w:color w:val="auto"/>
                <w:sz w:val="21"/>
                <w:szCs w:val="21"/>
              </w:rPr>
              <w:t>非甲烷总烃</w:t>
            </w:r>
          </w:p>
        </w:tc>
        <w:tc>
          <w:tcPr>
            <w:tcW w:w="1434" w:type="pct"/>
            <w:vMerge w:val="continue"/>
            <w:tcBorders>
              <w:tl2br w:val="nil"/>
              <w:tr2bl w:val="nil"/>
            </w:tcBorders>
            <w:vAlign w:val="center"/>
          </w:tcPr>
          <w:p w14:paraId="0EE93B00">
            <w:pPr>
              <w:spacing w:line="240" w:lineRule="auto"/>
              <w:ind w:firstLine="0" w:firstLineChars="0"/>
              <w:jc w:val="center"/>
              <w:rPr>
                <w:color w:val="auto"/>
                <w:sz w:val="21"/>
                <w:szCs w:val="21"/>
              </w:rPr>
            </w:pPr>
          </w:p>
        </w:tc>
        <w:tc>
          <w:tcPr>
            <w:tcW w:w="922" w:type="pct"/>
            <w:vMerge w:val="continue"/>
            <w:tcBorders>
              <w:tl2br w:val="nil"/>
              <w:tr2bl w:val="nil"/>
            </w:tcBorders>
            <w:vAlign w:val="center"/>
          </w:tcPr>
          <w:p w14:paraId="00D84B59">
            <w:pPr>
              <w:spacing w:line="240" w:lineRule="auto"/>
              <w:ind w:firstLine="0" w:firstLineChars="0"/>
              <w:jc w:val="center"/>
              <w:rPr>
                <w:color w:val="auto"/>
                <w:sz w:val="21"/>
                <w:szCs w:val="21"/>
              </w:rPr>
            </w:pPr>
          </w:p>
        </w:tc>
      </w:tr>
      <w:bookmarkEnd w:id="157"/>
    </w:tbl>
    <w:p w14:paraId="1CBC1D4B">
      <w:pPr>
        <w:ind w:firstLine="480"/>
        <w:rPr>
          <w:color w:val="auto"/>
        </w:rPr>
      </w:pPr>
    </w:p>
    <w:p w14:paraId="6679A73E">
      <w:pPr>
        <w:spacing w:line="360" w:lineRule="auto"/>
        <w:ind w:firstLine="480"/>
        <w:rPr>
          <w:bCs/>
          <w:color w:val="auto"/>
        </w:rPr>
      </w:pPr>
      <w:r>
        <w:rPr>
          <w:rFonts w:hint="eastAsia"/>
          <w:color w:val="auto"/>
        </w:rPr>
        <w:t>（1）</w:t>
      </w:r>
      <w:r>
        <w:rPr>
          <w:bCs/>
          <w:color w:val="auto"/>
        </w:rPr>
        <w:t>有机废气</w:t>
      </w:r>
    </w:p>
    <w:p w14:paraId="488C1D14">
      <w:pPr>
        <w:spacing w:line="360" w:lineRule="auto"/>
        <w:ind w:firstLine="480"/>
        <w:rPr>
          <w:bCs/>
          <w:color w:val="auto"/>
        </w:rPr>
      </w:pPr>
      <w:r>
        <w:rPr>
          <w:rFonts w:hint="eastAsia"/>
          <w:bCs/>
          <w:color w:val="auto"/>
        </w:rPr>
        <w:t>①废水处理废气</w:t>
      </w:r>
    </w:p>
    <w:p w14:paraId="13BC7923">
      <w:pPr>
        <w:spacing w:line="360" w:lineRule="auto"/>
        <w:ind w:firstLine="480"/>
        <w:rPr>
          <w:bCs/>
          <w:color w:val="auto"/>
        </w:rPr>
      </w:pPr>
      <w:r>
        <w:rPr>
          <w:bCs/>
          <w:color w:val="auto"/>
        </w:rPr>
        <w:t>项目</w:t>
      </w:r>
      <w:r>
        <w:rPr>
          <w:rFonts w:hint="eastAsia"/>
          <w:bCs/>
          <w:color w:val="auto"/>
        </w:rPr>
        <w:t>油气田采出水</w:t>
      </w:r>
      <w:r>
        <w:rPr>
          <w:bCs/>
          <w:color w:val="auto"/>
        </w:rPr>
        <w:t>中油类物质在</w:t>
      </w:r>
      <w:r>
        <w:rPr>
          <w:rFonts w:hint="eastAsia"/>
          <w:bCs/>
          <w:color w:val="auto"/>
        </w:rPr>
        <w:t>接收和</w:t>
      </w:r>
      <w:r>
        <w:rPr>
          <w:bCs/>
          <w:color w:val="auto"/>
        </w:rPr>
        <w:t>处理过程中</w:t>
      </w:r>
      <w:r>
        <w:rPr>
          <w:rFonts w:hint="eastAsia"/>
          <w:bCs/>
          <w:color w:val="auto"/>
        </w:rPr>
        <w:t>会挥发一定量的含油</w:t>
      </w:r>
      <w:r>
        <w:rPr>
          <w:bCs/>
          <w:color w:val="auto"/>
        </w:rPr>
        <w:t>废气，</w:t>
      </w:r>
      <w:r>
        <w:rPr>
          <w:rFonts w:hint="eastAsia"/>
          <w:bCs/>
          <w:color w:val="auto"/>
        </w:rPr>
        <w:t>污染因子</w:t>
      </w:r>
      <w:r>
        <w:rPr>
          <w:bCs/>
          <w:color w:val="auto"/>
        </w:rPr>
        <w:t>以</w:t>
      </w:r>
      <w:r>
        <w:rPr>
          <w:rFonts w:hint="eastAsia"/>
          <w:color w:val="auto"/>
        </w:rPr>
        <w:t>非甲烷总烃</w:t>
      </w:r>
      <w:r>
        <w:rPr>
          <w:bCs/>
          <w:color w:val="auto"/>
        </w:rPr>
        <w:t>进行表征。</w:t>
      </w:r>
    </w:p>
    <w:p w14:paraId="164398B0">
      <w:pPr>
        <w:spacing w:line="360" w:lineRule="auto"/>
        <w:ind w:firstLine="480"/>
        <w:rPr>
          <w:bCs/>
          <w:color w:val="auto"/>
        </w:rPr>
      </w:pPr>
      <w:r>
        <w:rPr>
          <w:rFonts w:hint="eastAsia"/>
          <w:bCs/>
          <w:color w:val="auto"/>
        </w:rPr>
        <w:t>油气田采出水</w:t>
      </w:r>
      <w:r>
        <w:rPr>
          <w:bCs/>
          <w:color w:val="auto"/>
        </w:rPr>
        <w:t>处理产生的挥发性有机物排放量采用《大气挥发性有机物源排放清单编制技术指南（试行）》（部公告2014年第55号）中的工艺过程源计算公式估算。计算公式如下：</w:t>
      </w:r>
    </w:p>
    <w:p w14:paraId="103FA190">
      <w:pPr>
        <w:spacing w:line="360" w:lineRule="auto"/>
        <w:ind w:firstLine="480"/>
        <w:jc w:val="center"/>
        <w:rPr>
          <w:bCs/>
          <w:color w:val="auto"/>
        </w:rPr>
      </w:pPr>
      <w:r>
        <w:rPr>
          <w:color w:val="auto"/>
        </w:rPr>
        <w:drawing>
          <wp:inline distT="0" distB="0" distL="114300" distR="114300">
            <wp:extent cx="2496185" cy="448945"/>
            <wp:effectExtent l="0" t="0" r="0" b="8255"/>
            <wp:docPr id="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pic:cNvPicPr>
                      <a:picLocks noChangeAspect="1"/>
                    </pic:cNvPicPr>
                  </pic:nvPicPr>
                  <pic:blipFill>
                    <a:blip r:embed="rId21"/>
                    <a:stretch>
                      <a:fillRect/>
                    </a:stretch>
                  </pic:blipFill>
                  <pic:spPr>
                    <a:xfrm>
                      <a:off x="0" y="0"/>
                      <a:ext cx="2643043" cy="475303"/>
                    </a:xfrm>
                    <a:prstGeom prst="rect">
                      <a:avLst/>
                    </a:prstGeom>
                    <a:noFill/>
                    <a:ln>
                      <a:noFill/>
                    </a:ln>
                  </pic:spPr>
                </pic:pic>
              </a:graphicData>
            </a:graphic>
          </wp:inline>
        </w:drawing>
      </w:r>
      <w:r>
        <w:rPr>
          <w:bCs/>
          <w:color w:val="auto"/>
        </w:rPr>
        <w:t xml:space="preserve"> </w:t>
      </w:r>
    </w:p>
    <w:p w14:paraId="4ECD65F0">
      <w:pPr>
        <w:spacing w:line="360" w:lineRule="auto"/>
        <w:ind w:firstLine="480"/>
        <w:rPr>
          <w:bCs/>
          <w:color w:val="auto"/>
        </w:rPr>
      </w:pPr>
      <w:r>
        <w:rPr>
          <w:bCs/>
          <w:color w:val="auto"/>
        </w:rPr>
        <w:t>式中：k 为工艺过程的</w:t>
      </w:r>
      <w:r>
        <w:rPr>
          <w:rFonts w:hint="eastAsia"/>
          <w:bCs/>
          <w:color w:val="auto"/>
        </w:rPr>
        <w:t>非甲烷总烃</w:t>
      </w:r>
      <w:r>
        <w:rPr>
          <w:bCs/>
          <w:color w:val="auto"/>
        </w:rPr>
        <w:t xml:space="preserve"> 排放子源，m 为省，E—为污染物排放量；</w:t>
      </w:r>
    </w:p>
    <w:p w14:paraId="100D13BE">
      <w:pPr>
        <w:spacing w:line="360" w:lineRule="auto"/>
        <w:ind w:firstLine="480"/>
        <w:rPr>
          <w:bCs/>
          <w:color w:val="auto"/>
        </w:rPr>
      </w:pPr>
      <w:r>
        <w:rPr>
          <w:bCs/>
          <w:color w:val="auto"/>
        </w:rPr>
        <w:t>EF—为污染物排放系数，对照《大气挥发性有机物源排放清单编制技术指南（试行）》中污水处理，取0.0011g/kg污水；</w:t>
      </w:r>
    </w:p>
    <w:p w14:paraId="4F4F6F88">
      <w:pPr>
        <w:spacing w:line="360" w:lineRule="auto"/>
        <w:ind w:firstLine="480"/>
        <w:rPr>
          <w:bCs/>
          <w:color w:val="auto"/>
        </w:rPr>
      </w:pPr>
      <w:r>
        <w:rPr>
          <w:bCs/>
          <w:color w:val="auto"/>
        </w:rPr>
        <w:t>Q</w:t>
      </w:r>
      <w:r>
        <w:rPr>
          <w:bCs/>
          <w:color w:val="auto"/>
          <w:vertAlign w:val="subscript"/>
        </w:rPr>
        <w:t>m</w:t>
      </w:r>
      <w:r>
        <w:rPr>
          <w:bCs/>
          <w:color w:val="auto"/>
        </w:rPr>
        <w:t>—工艺过程生产的产品量，项目取值</w:t>
      </w:r>
      <w:r>
        <w:rPr>
          <w:rFonts w:hint="eastAsia"/>
          <w:bCs/>
          <w:color w:val="auto"/>
        </w:rPr>
        <w:t>60</w:t>
      </w:r>
      <w:r>
        <w:rPr>
          <w:bCs/>
          <w:color w:val="auto"/>
        </w:rPr>
        <w:t>万吨</w:t>
      </w:r>
      <w:r>
        <w:rPr>
          <w:rFonts w:hint="eastAsia"/>
          <w:bCs/>
          <w:color w:val="auto"/>
        </w:rPr>
        <w:t>；</w:t>
      </w:r>
    </w:p>
    <w:p w14:paraId="14498089">
      <w:pPr>
        <w:spacing w:line="360" w:lineRule="auto"/>
        <w:ind w:firstLine="480"/>
        <w:rPr>
          <w:bCs/>
          <w:color w:val="auto"/>
        </w:rPr>
      </w:pPr>
      <w:r>
        <w:rPr>
          <w:bCs/>
          <w:color w:val="auto"/>
        </w:rPr>
        <w:t xml:space="preserve">ŋ—为污染控制技术对 </w:t>
      </w:r>
      <w:r>
        <w:rPr>
          <w:rFonts w:hint="eastAsia"/>
          <w:bCs/>
          <w:color w:val="auto"/>
        </w:rPr>
        <w:t>非甲烷总烃</w:t>
      </w:r>
      <w:r>
        <w:rPr>
          <w:bCs/>
          <w:color w:val="auto"/>
        </w:rPr>
        <w:t>的去除效率。</w:t>
      </w:r>
    </w:p>
    <w:p w14:paraId="0E283DFA">
      <w:pPr>
        <w:spacing w:line="360" w:lineRule="auto"/>
        <w:ind w:firstLine="480"/>
        <w:rPr>
          <w:bCs/>
          <w:color w:val="auto"/>
        </w:rPr>
      </w:pPr>
      <w:r>
        <w:rPr>
          <w:bCs/>
          <w:color w:val="auto"/>
        </w:rPr>
        <w:t>据计算结果，项目废水处理产生的挥发性有机物排放量，见下表：</w:t>
      </w:r>
    </w:p>
    <w:p w14:paraId="4CFFB295">
      <w:pPr>
        <w:spacing w:line="240" w:lineRule="auto"/>
        <w:ind w:firstLine="482"/>
        <w:jc w:val="center"/>
        <w:rPr>
          <w:color w:val="auto"/>
        </w:rPr>
      </w:pPr>
      <w:r>
        <w:rPr>
          <w:b/>
          <w:snapToGrid w:val="0"/>
          <w:color w:val="auto"/>
          <w:szCs w:val="21"/>
        </w:rPr>
        <w:t>表</w:t>
      </w:r>
      <w:r>
        <w:rPr>
          <w:rFonts w:hint="eastAsia"/>
          <w:b/>
          <w:snapToGrid w:val="0"/>
          <w:color w:val="auto"/>
          <w:szCs w:val="21"/>
        </w:rPr>
        <w:t>3</w:t>
      </w:r>
      <w:r>
        <w:rPr>
          <w:b/>
          <w:snapToGrid w:val="0"/>
          <w:color w:val="auto"/>
          <w:szCs w:val="21"/>
        </w:rPr>
        <w:t>.14-</w:t>
      </w:r>
      <w:r>
        <w:rPr>
          <w:rFonts w:hint="eastAsia"/>
          <w:b/>
          <w:snapToGrid w:val="0"/>
          <w:color w:val="auto"/>
          <w:szCs w:val="21"/>
        </w:rPr>
        <w:t xml:space="preserve">3  </w:t>
      </w:r>
      <w:r>
        <w:rPr>
          <w:b/>
          <w:snapToGrid w:val="0"/>
          <w:color w:val="auto"/>
          <w:szCs w:val="21"/>
        </w:rPr>
        <w:t>有机废气污染产生情况表</w:t>
      </w:r>
    </w:p>
    <w:tbl>
      <w:tblPr>
        <w:tblStyle w:val="662"/>
        <w:tblW w:w="4998" w:type="pct"/>
        <w:jc w:val="center"/>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autofit"/>
        <w:tblCellMar>
          <w:top w:w="0" w:type="dxa"/>
          <w:left w:w="0" w:type="dxa"/>
          <w:bottom w:w="0" w:type="dxa"/>
          <w:right w:w="0" w:type="dxa"/>
        </w:tblCellMar>
      </w:tblPr>
      <w:tblGrid>
        <w:gridCol w:w="2514"/>
        <w:gridCol w:w="2686"/>
        <w:gridCol w:w="1939"/>
        <w:gridCol w:w="1933"/>
      </w:tblGrid>
      <w:tr w14:paraId="28AE1A5F">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30" w:hRule="atLeast"/>
          <w:jc w:val="center"/>
        </w:trPr>
        <w:tc>
          <w:tcPr>
            <w:tcW w:w="1385" w:type="pct"/>
            <w:tcBorders>
              <w:tl2br w:val="nil"/>
              <w:tr2bl w:val="nil"/>
            </w:tcBorders>
            <w:vAlign w:val="center"/>
          </w:tcPr>
          <w:p w14:paraId="3AA0B7E2">
            <w:pPr>
              <w:spacing w:line="240" w:lineRule="auto"/>
              <w:ind w:firstLine="0" w:firstLineChars="0"/>
              <w:jc w:val="center"/>
              <w:rPr>
                <w:rFonts w:eastAsia="Times New Roman"/>
                <w:color w:val="auto"/>
                <w:sz w:val="21"/>
                <w:szCs w:val="21"/>
                <w:lang w:eastAsia="en-US"/>
              </w:rPr>
            </w:pPr>
            <w:r>
              <w:rPr>
                <w:rFonts w:eastAsia="Times New Roman"/>
                <w:color w:val="auto"/>
                <w:sz w:val="21"/>
                <w:szCs w:val="21"/>
                <w:lang w:eastAsia="en-US"/>
              </w:rPr>
              <w:t>处理量（</w:t>
            </w:r>
            <w:r>
              <w:rPr>
                <w:rFonts w:hint="eastAsia" w:eastAsia="Times New Roman"/>
                <w:color w:val="auto"/>
                <w:sz w:val="21"/>
                <w:szCs w:val="21"/>
                <w:lang w:eastAsia="en-US"/>
              </w:rPr>
              <w:t>万</w:t>
            </w:r>
            <w:r>
              <w:rPr>
                <w:rFonts w:eastAsia="Times New Roman"/>
                <w:bCs/>
                <w:color w:val="auto"/>
                <w:sz w:val="21"/>
                <w:szCs w:val="21"/>
                <w:lang w:eastAsia="en-US"/>
              </w:rPr>
              <w:t>m</w:t>
            </w:r>
            <w:r>
              <w:rPr>
                <w:rFonts w:eastAsia="Times New Roman"/>
                <w:bCs/>
                <w:color w:val="auto"/>
                <w:sz w:val="21"/>
                <w:szCs w:val="21"/>
                <w:vertAlign w:val="superscript"/>
                <w:lang w:eastAsia="en-US"/>
              </w:rPr>
              <w:t>3</w:t>
            </w:r>
            <w:r>
              <w:rPr>
                <w:rFonts w:eastAsia="Times New Roman"/>
                <w:color w:val="auto"/>
                <w:sz w:val="21"/>
                <w:szCs w:val="21"/>
                <w:lang w:eastAsia="en-US"/>
              </w:rPr>
              <w:t>）</w:t>
            </w:r>
          </w:p>
        </w:tc>
        <w:tc>
          <w:tcPr>
            <w:tcW w:w="1480" w:type="pct"/>
            <w:tcBorders>
              <w:tl2br w:val="nil"/>
              <w:tr2bl w:val="nil"/>
            </w:tcBorders>
            <w:vAlign w:val="center"/>
          </w:tcPr>
          <w:p w14:paraId="726975BE">
            <w:pPr>
              <w:spacing w:line="240" w:lineRule="auto"/>
              <w:ind w:firstLine="0" w:firstLineChars="0"/>
              <w:jc w:val="center"/>
              <w:rPr>
                <w:rFonts w:eastAsia="Times New Roman"/>
                <w:color w:val="auto"/>
                <w:sz w:val="21"/>
                <w:szCs w:val="21"/>
                <w:lang w:eastAsia="en-US"/>
              </w:rPr>
            </w:pPr>
            <w:r>
              <w:rPr>
                <w:rFonts w:eastAsia="Times New Roman"/>
                <w:color w:val="auto"/>
                <w:sz w:val="21"/>
                <w:szCs w:val="21"/>
                <w:lang w:eastAsia="en-US"/>
              </w:rPr>
              <w:t>排放系数（g/kg污水）</w:t>
            </w:r>
          </w:p>
        </w:tc>
        <w:tc>
          <w:tcPr>
            <w:tcW w:w="1068" w:type="pct"/>
            <w:tcBorders>
              <w:tl2br w:val="nil"/>
              <w:tr2bl w:val="nil"/>
            </w:tcBorders>
            <w:vAlign w:val="center"/>
          </w:tcPr>
          <w:p w14:paraId="3A0899EC">
            <w:pPr>
              <w:spacing w:line="240" w:lineRule="auto"/>
              <w:ind w:firstLine="0" w:firstLineChars="0"/>
              <w:jc w:val="center"/>
              <w:rPr>
                <w:rFonts w:eastAsia="Times New Roman"/>
                <w:color w:val="auto"/>
                <w:sz w:val="21"/>
                <w:szCs w:val="21"/>
                <w:lang w:eastAsia="en-US"/>
              </w:rPr>
            </w:pPr>
            <w:r>
              <w:rPr>
                <w:rFonts w:eastAsia="Times New Roman"/>
                <w:color w:val="auto"/>
                <w:sz w:val="21"/>
                <w:szCs w:val="21"/>
                <w:lang w:eastAsia="en-US"/>
              </w:rPr>
              <w:t>产生总量（kg/a）</w:t>
            </w:r>
          </w:p>
        </w:tc>
        <w:tc>
          <w:tcPr>
            <w:tcW w:w="1065" w:type="pct"/>
            <w:tcBorders>
              <w:tl2br w:val="nil"/>
              <w:tr2bl w:val="nil"/>
            </w:tcBorders>
            <w:vAlign w:val="center"/>
          </w:tcPr>
          <w:p w14:paraId="2604D2EE">
            <w:pPr>
              <w:spacing w:line="240" w:lineRule="auto"/>
              <w:ind w:firstLine="0" w:firstLineChars="0"/>
              <w:jc w:val="center"/>
              <w:rPr>
                <w:rFonts w:eastAsia="Times New Roman"/>
                <w:color w:val="auto"/>
                <w:sz w:val="21"/>
                <w:szCs w:val="21"/>
                <w:lang w:eastAsia="en-US"/>
              </w:rPr>
            </w:pPr>
            <w:r>
              <w:rPr>
                <w:rFonts w:eastAsia="Times New Roman"/>
                <w:color w:val="auto"/>
                <w:sz w:val="21"/>
                <w:szCs w:val="21"/>
                <w:lang w:eastAsia="en-US"/>
              </w:rPr>
              <w:t>产生速率（kg/h）</w:t>
            </w:r>
          </w:p>
        </w:tc>
      </w:tr>
      <w:tr w14:paraId="6ACA827F">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30" w:hRule="atLeast"/>
          <w:jc w:val="center"/>
        </w:trPr>
        <w:tc>
          <w:tcPr>
            <w:tcW w:w="1385" w:type="pct"/>
            <w:tcBorders>
              <w:tl2br w:val="nil"/>
              <w:tr2bl w:val="nil"/>
            </w:tcBorders>
            <w:vAlign w:val="center"/>
          </w:tcPr>
          <w:p w14:paraId="7180444C">
            <w:pPr>
              <w:spacing w:line="240" w:lineRule="auto"/>
              <w:ind w:firstLine="0" w:firstLineChars="0"/>
              <w:jc w:val="center"/>
              <w:rPr>
                <w:rFonts w:eastAsia="Times New Roman"/>
                <w:color w:val="auto"/>
                <w:sz w:val="21"/>
                <w:szCs w:val="21"/>
                <w:lang w:eastAsia="en-US"/>
              </w:rPr>
            </w:pPr>
            <w:r>
              <w:rPr>
                <w:rFonts w:hint="eastAsia" w:eastAsia="Times New Roman"/>
                <w:color w:val="auto"/>
                <w:sz w:val="21"/>
                <w:szCs w:val="21"/>
                <w:lang w:eastAsia="en-US"/>
              </w:rPr>
              <w:t>60</w:t>
            </w:r>
          </w:p>
        </w:tc>
        <w:tc>
          <w:tcPr>
            <w:tcW w:w="1480" w:type="pct"/>
            <w:tcBorders>
              <w:tl2br w:val="nil"/>
              <w:tr2bl w:val="nil"/>
            </w:tcBorders>
            <w:vAlign w:val="center"/>
          </w:tcPr>
          <w:p w14:paraId="127E6F09">
            <w:pPr>
              <w:spacing w:line="240" w:lineRule="auto"/>
              <w:ind w:firstLine="0" w:firstLineChars="0"/>
              <w:jc w:val="center"/>
              <w:rPr>
                <w:rFonts w:eastAsia="Times New Roman"/>
                <w:color w:val="auto"/>
                <w:sz w:val="21"/>
                <w:szCs w:val="21"/>
                <w:lang w:eastAsia="en-US"/>
              </w:rPr>
            </w:pPr>
            <w:r>
              <w:rPr>
                <w:rFonts w:eastAsia="Times New Roman"/>
                <w:color w:val="auto"/>
                <w:sz w:val="21"/>
                <w:szCs w:val="21"/>
                <w:lang w:eastAsia="en-US"/>
              </w:rPr>
              <w:t>0.0011</w:t>
            </w:r>
          </w:p>
        </w:tc>
        <w:tc>
          <w:tcPr>
            <w:tcW w:w="1913" w:type="dxa"/>
            <w:tcBorders>
              <w:tl2br w:val="nil"/>
              <w:tr2bl w:val="nil"/>
            </w:tcBorders>
            <w:vAlign w:val="center"/>
          </w:tcPr>
          <w:p w14:paraId="5C8AF857">
            <w:pPr>
              <w:spacing w:line="240" w:lineRule="auto"/>
              <w:ind w:firstLine="0" w:firstLineChars="0"/>
              <w:jc w:val="center"/>
              <w:rPr>
                <w:rFonts w:eastAsia="Times New Roman"/>
                <w:color w:val="auto"/>
                <w:sz w:val="21"/>
                <w:szCs w:val="21"/>
                <w:lang w:eastAsia="en-US"/>
              </w:rPr>
            </w:pPr>
            <w:r>
              <w:rPr>
                <w:rFonts w:eastAsia="Times New Roman"/>
                <w:color w:val="auto"/>
                <w:sz w:val="21"/>
                <w:szCs w:val="21"/>
                <w:lang w:eastAsia="en-US"/>
              </w:rPr>
              <w:t>660</w:t>
            </w:r>
          </w:p>
        </w:tc>
        <w:tc>
          <w:tcPr>
            <w:tcW w:w="1908" w:type="dxa"/>
            <w:tcBorders>
              <w:tl2br w:val="nil"/>
              <w:tr2bl w:val="nil"/>
            </w:tcBorders>
            <w:vAlign w:val="center"/>
          </w:tcPr>
          <w:p w14:paraId="617CD87A">
            <w:pPr>
              <w:spacing w:line="240" w:lineRule="auto"/>
              <w:ind w:firstLine="0" w:firstLineChars="0"/>
              <w:jc w:val="center"/>
              <w:rPr>
                <w:rFonts w:eastAsia="Times New Roman"/>
                <w:color w:val="auto"/>
                <w:sz w:val="21"/>
                <w:szCs w:val="21"/>
                <w:lang w:eastAsia="en-US"/>
              </w:rPr>
            </w:pPr>
            <w:r>
              <w:rPr>
                <w:rFonts w:eastAsia="Times New Roman"/>
                <w:color w:val="auto"/>
                <w:sz w:val="21"/>
                <w:szCs w:val="21"/>
                <w:lang w:eastAsia="en-US"/>
              </w:rPr>
              <w:t xml:space="preserve">0.092 </w:t>
            </w:r>
          </w:p>
        </w:tc>
      </w:tr>
    </w:tbl>
    <w:p w14:paraId="0A12BF9D">
      <w:pPr>
        <w:ind w:firstLine="480"/>
        <w:rPr>
          <w:color w:val="auto"/>
        </w:rPr>
      </w:pPr>
      <w:r>
        <w:rPr>
          <w:rFonts w:hint="eastAsia"/>
          <w:color w:val="auto"/>
        </w:rPr>
        <w:t>②MVR蒸发不凝气</w:t>
      </w:r>
    </w:p>
    <w:p w14:paraId="64F72AA6">
      <w:pPr>
        <w:ind w:firstLine="480"/>
        <w:rPr>
          <w:color w:val="auto"/>
        </w:rPr>
      </w:pPr>
      <w:r>
        <w:rPr>
          <w:rFonts w:hint="eastAsia"/>
          <w:color w:val="auto"/>
        </w:rPr>
        <w:t>MVR蒸发不凝气主要为浓水蒸发过程中产生的少量冷凝不凝废气（主要污染以非甲烷总烃计），MVR蒸发主要是为了进行除盐，有机物和油类等含量非常低。MVR蒸发不凝气产生量非常小和产生浓度非常低，本次评价不定量分析。MVR蒸发不凝气</w:t>
      </w:r>
      <w:r>
        <w:rPr>
          <w:rFonts w:hint="eastAsia"/>
          <w:color w:val="auto"/>
          <w:kern w:val="0"/>
          <w:szCs w:val="24"/>
        </w:rPr>
        <w:t>通过管道引至废水处理站“碱喷淋+除湿+活性炭吸附”装置处理后达标排放。</w:t>
      </w:r>
    </w:p>
    <w:p w14:paraId="30C37EDF">
      <w:pPr>
        <w:ind w:firstLine="480"/>
        <w:rPr>
          <w:color w:val="auto"/>
        </w:rPr>
      </w:pPr>
      <w:r>
        <w:rPr>
          <w:rFonts w:hint="eastAsia"/>
          <w:color w:val="auto"/>
        </w:rPr>
        <w:t>（2）恶臭气体</w:t>
      </w:r>
    </w:p>
    <w:p w14:paraId="2E79754B">
      <w:pPr>
        <w:ind w:firstLine="480"/>
        <w:rPr>
          <w:color w:val="auto"/>
        </w:rPr>
      </w:pPr>
      <w:r>
        <w:rPr>
          <w:color w:val="auto"/>
        </w:rPr>
        <w:t>污水处理</w:t>
      </w:r>
      <w:r>
        <w:rPr>
          <w:rFonts w:hint="eastAsia"/>
          <w:color w:val="auto"/>
        </w:rPr>
        <w:t>设施</w:t>
      </w:r>
      <w:r>
        <w:rPr>
          <w:color w:val="auto"/>
        </w:rPr>
        <w:t>臭气。拟建项目臭气污染源主要为</w:t>
      </w:r>
      <w:r>
        <w:rPr>
          <w:rFonts w:hint="eastAsia"/>
          <w:color w:val="auto"/>
          <w:lang w:eastAsia="zh-CN"/>
        </w:rPr>
        <w:t>收集池</w:t>
      </w:r>
      <w:r>
        <w:rPr>
          <w:rFonts w:hint="eastAsia"/>
          <w:color w:val="auto"/>
        </w:rPr>
        <w:t>、调节池、高密沉淀池、芬顿氧化池、中和沉淀池、</w:t>
      </w:r>
      <w:r>
        <w:rPr>
          <w:rFonts w:hint="eastAsia"/>
          <w:color w:val="auto"/>
          <w:lang w:eastAsia="zh-CN"/>
        </w:rPr>
        <w:t>浓水罐</w:t>
      </w:r>
      <w:r>
        <w:rPr>
          <w:rFonts w:hint="eastAsia"/>
          <w:color w:val="auto"/>
        </w:rPr>
        <w:t>、污泥池、</w:t>
      </w:r>
      <w:r>
        <w:rPr>
          <w:rFonts w:hint="eastAsia"/>
          <w:color w:val="auto"/>
          <w:lang w:eastAsia="zh-CN"/>
        </w:rPr>
        <w:t>污泥压滤间</w:t>
      </w:r>
      <w:r>
        <w:rPr>
          <w:rFonts w:hint="eastAsia"/>
          <w:color w:val="auto"/>
        </w:rPr>
        <w:t>、污泥暂存库等构筑物</w:t>
      </w:r>
      <w:r>
        <w:rPr>
          <w:color w:val="auto"/>
        </w:rPr>
        <w:t>。恶臭源强</w:t>
      </w:r>
      <w:r>
        <w:rPr>
          <w:rFonts w:hint="eastAsia"/>
          <w:color w:val="auto"/>
        </w:rPr>
        <w:t>采用</w:t>
      </w:r>
      <w:r>
        <w:rPr>
          <w:color w:val="auto"/>
        </w:rPr>
        <w:t>污水处理厂</w:t>
      </w:r>
      <w:r>
        <w:rPr>
          <w:rFonts w:hint="eastAsia"/>
          <w:color w:val="auto"/>
        </w:rPr>
        <w:t>臭气</w:t>
      </w:r>
      <w:r>
        <w:rPr>
          <w:color w:val="auto"/>
        </w:rPr>
        <w:t>产生系数</w:t>
      </w:r>
      <w:r>
        <w:rPr>
          <w:rFonts w:hint="eastAsia"/>
          <w:color w:val="auto"/>
        </w:rPr>
        <w:t>的经验数据</w:t>
      </w:r>
      <w:r>
        <w:rPr>
          <w:color w:val="auto"/>
        </w:rPr>
        <w:t>，即每削减1</w:t>
      </w:r>
      <w:r>
        <w:rPr>
          <w:rFonts w:hint="eastAsia"/>
          <w:color w:val="auto"/>
        </w:rPr>
        <w:t>t</w:t>
      </w:r>
      <w:r>
        <w:rPr>
          <w:color w:val="auto"/>
        </w:rPr>
        <w:t>COD，产生0.11</w:t>
      </w:r>
      <w:r>
        <w:rPr>
          <w:rFonts w:hint="eastAsia"/>
          <w:color w:val="auto"/>
        </w:rPr>
        <w:t>kg</w:t>
      </w:r>
      <w:r>
        <w:rPr>
          <w:color w:val="auto"/>
        </w:rPr>
        <w:t>NH</w:t>
      </w:r>
      <w:r>
        <w:rPr>
          <w:color w:val="auto"/>
          <w:vertAlign w:val="subscript"/>
        </w:rPr>
        <w:t>3</w:t>
      </w:r>
      <w:r>
        <w:rPr>
          <w:color w:val="auto"/>
        </w:rPr>
        <w:t>、0.013</w:t>
      </w:r>
      <w:r>
        <w:rPr>
          <w:rFonts w:hint="eastAsia"/>
          <w:color w:val="auto"/>
        </w:rPr>
        <w:t>kg</w:t>
      </w:r>
      <w:r>
        <w:rPr>
          <w:color w:val="auto"/>
        </w:rPr>
        <w:t>H</w:t>
      </w:r>
      <w:r>
        <w:rPr>
          <w:color w:val="auto"/>
          <w:vertAlign w:val="subscript"/>
        </w:rPr>
        <w:t>2</w:t>
      </w:r>
      <w:r>
        <w:rPr>
          <w:color w:val="auto"/>
        </w:rPr>
        <w:t>S</w:t>
      </w:r>
      <w:r>
        <w:rPr>
          <w:rFonts w:hint="eastAsia"/>
          <w:color w:val="auto"/>
        </w:rPr>
        <w:t>。</w:t>
      </w:r>
    </w:p>
    <w:p w14:paraId="6A4A60D7">
      <w:pPr>
        <w:ind w:firstLine="480"/>
        <w:rPr>
          <w:color w:val="auto"/>
        </w:rPr>
      </w:pPr>
      <w:r>
        <w:rPr>
          <w:color w:val="auto"/>
        </w:rPr>
        <w:t>由此计算可知，拟建项目运营期间产生的NH</w:t>
      </w:r>
      <w:r>
        <w:rPr>
          <w:color w:val="auto"/>
          <w:vertAlign w:val="subscript"/>
        </w:rPr>
        <w:t>3</w:t>
      </w:r>
      <w:r>
        <w:rPr>
          <w:color w:val="auto"/>
        </w:rPr>
        <w:t>、H</w:t>
      </w:r>
      <w:r>
        <w:rPr>
          <w:color w:val="auto"/>
          <w:vertAlign w:val="subscript"/>
        </w:rPr>
        <w:t>2</w:t>
      </w:r>
      <w:r>
        <w:rPr>
          <w:color w:val="auto"/>
        </w:rPr>
        <w:t>S</w:t>
      </w:r>
      <w:r>
        <w:rPr>
          <w:rFonts w:hint="eastAsia"/>
          <w:color w:val="auto"/>
        </w:rPr>
        <w:t>情况见下表</w:t>
      </w:r>
      <w:r>
        <w:rPr>
          <w:color w:val="auto"/>
        </w:rPr>
        <w:t>。</w:t>
      </w:r>
    </w:p>
    <w:p w14:paraId="2D8A3BC0">
      <w:pPr>
        <w:ind w:firstLineChars="83"/>
        <w:jc w:val="center"/>
        <w:rPr>
          <w:b/>
          <w:bCs/>
          <w:color w:val="auto"/>
          <w:sz w:val="21"/>
          <w:szCs w:val="21"/>
        </w:rPr>
      </w:pPr>
      <w:r>
        <w:rPr>
          <w:b/>
          <w:bCs/>
          <w:color w:val="auto"/>
          <w:szCs w:val="24"/>
        </w:rPr>
        <w:t>表3.14-</w:t>
      </w:r>
      <w:r>
        <w:rPr>
          <w:rFonts w:hint="eastAsia"/>
          <w:b/>
          <w:bCs/>
          <w:color w:val="auto"/>
          <w:szCs w:val="24"/>
        </w:rPr>
        <w:t>4</w:t>
      </w:r>
      <w:r>
        <w:rPr>
          <w:b/>
          <w:bCs/>
          <w:color w:val="auto"/>
          <w:szCs w:val="24"/>
        </w:rPr>
        <w:t xml:space="preserve">  </w:t>
      </w:r>
      <w:r>
        <w:rPr>
          <w:rFonts w:hint="eastAsia"/>
          <w:b/>
          <w:bCs/>
          <w:color w:val="auto"/>
          <w:szCs w:val="24"/>
        </w:rPr>
        <w:t>废水处理厂</w:t>
      </w:r>
      <w:r>
        <w:rPr>
          <w:b/>
          <w:bCs/>
          <w:color w:val="auto"/>
          <w:szCs w:val="24"/>
        </w:rPr>
        <w:t>废气</w:t>
      </w:r>
      <w:r>
        <w:rPr>
          <w:rFonts w:hint="eastAsia"/>
          <w:b/>
          <w:bCs/>
          <w:color w:val="auto"/>
          <w:szCs w:val="24"/>
        </w:rPr>
        <w:t>产生</w:t>
      </w:r>
      <w:r>
        <w:rPr>
          <w:b/>
          <w:bCs/>
          <w:color w:val="auto"/>
          <w:szCs w:val="24"/>
        </w:rPr>
        <w:t>量统计表</w:t>
      </w:r>
    </w:p>
    <w:tbl>
      <w:tblPr>
        <w:tblStyle w:val="88"/>
        <w:tblW w:w="49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1"/>
        <w:gridCol w:w="1437"/>
        <w:gridCol w:w="1528"/>
        <w:gridCol w:w="1528"/>
        <w:gridCol w:w="1528"/>
        <w:gridCol w:w="1531"/>
      </w:tblGrid>
      <w:tr w14:paraId="5C9A9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879" w:type="pct"/>
            <w:vAlign w:val="center"/>
          </w:tcPr>
          <w:p w14:paraId="0B2F62C5">
            <w:pPr>
              <w:spacing w:line="240" w:lineRule="auto"/>
              <w:ind w:firstLine="0" w:firstLineChars="0"/>
              <w:jc w:val="center"/>
              <w:rPr>
                <w:color w:val="auto"/>
                <w:sz w:val="21"/>
                <w:szCs w:val="21"/>
              </w:rPr>
            </w:pPr>
            <w:r>
              <w:rPr>
                <w:rFonts w:hint="eastAsia"/>
                <w:color w:val="auto"/>
                <w:sz w:val="21"/>
                <w:szCs w:val="21"/>
              </w:rPr>
              <w:t>废水处理规模</w:t>
            </w:r>
          </w:p>
        </w:tc>
        <w:tc>
          <w:tcPr>
            <w:tcW w:w="784" w:type="pct"/>
            <w:vAlign w:val="center"/>
          </w:tcPr>
          <w:p w14:paraId="2778F448">
            <w:pPr>
              <w:spacing w:line="240" w:lineRule="auto"/>
              <w:ind w:firstLine="0" w:firstLineChars="0"/>
              <w:jc w:val="center"/>
              <w:rPr>
                <w:color w:val="auto"/>
                <w:sz w:val="21"/>
                <w:szCs w:val="21"/>
              </w:rPr>
            </w:pPr>
            <w:r>
              <w:rPr>
                <w:rFonts w:hint="eastAsia"/>
                <w:color w:val="auto"/>
                <w:sz w:val="21"/>
                <w:szCs w:val="21"/>
              </w:rPr>
              <w:t>COD削减（t/a）</w:t>
            </w:r>
          </w:p>
        </w:tc>
        <w:tc>
          <w:tcPr>
            <w:tcW w:w="3337" w:type="pct"/>
            <w:gridSpan w:val="4"/>
            <w:vAlign w:val="center"/>
          </w:tcPr>
          <w:p w14:paraId="44E56969">
            <w:pPr>
              <w:spacing w:line="240" w:lineRule="auto"/>
              <w:ind w:firstLine="0" w:firstLineChars="0"/>
              <w:jc w:val="center"/>
              <w:rPr>
                <w:color w:val="auto"/>
                <w:sz w:val="21"/>
                <w:szCs w:val="21"/>
              </w:rPr>
            </w:pPr>
            <w:r>
              <w:rPr>
                <w:rFonts w:hint="eastAsia"/>
                <w:color w:val="auto"/>
                <w:sz w:val="21"/>
                <w:szCs w:val="21"/>
              </w:rPr>
              <w:t>污染物产生情况</w:t>
            </w:r>
          </w:p>
        </w:tc>
      </w:tr>
      <w:tr w14:paraId="176D9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879" w:type="pct"/>
            <w:vMerge w:val="restart"/>
            <w:vAlign w:val="center"/>
          </w:tcPr>
          <w:p w14:paraId="5F25B0A7">
            <w:pPr>
              <w:spacing w:line="240" w:lineRule="auto"/>
              <w:ind w:firstLine="0" w:firstLineChars="0"/>
              <w:jc w:val="center"/>
              <w:rPr>
                <w:color w:val="auto"/>
                <w:sz w:val="21"/>
                <w:szCs w:val="21"/>
              </w:rPr>
            </w:pPr>
            <w:r>
              <w:rPr>
                <w:rFonts w:hint="eastAsia"/>
                <w:color w:val="auto"/>
                <w:sz w:val="21"/>
                <w:szCs w:val="21"/>
              </w:rPr>
              <w:t>2000m</w:t>
            </w:r>
            <w:r>
              <w:rPr>
                <w:rFonts w:hint="eastAsia"/>
                <w:color w:val="auto"/>
                <w:sz w:val="21"/>
                <w:szCs w:val="21"/>
                <w:vertAlign w:val="superscript"/>
              </w:rPr>
              <w:t>3</w:t>
            </w:r>
            <w:r>
              <w:rPr>
                <w:rFonts w:hint="eastAsia"/>
                <w:color w:val="auto"/>
                <w:sz w:val="21"/>
                <w:szCs w:val="21"/>
              </w:rPr>
              <w:t>/d</w:t>
            </w:r>
          </w:p>
        </w:tc>
        <w:tc>
          <w:tcPr>
            <w:tcW w:w="784" w:type="pct"/>
            <w:vMerge w:val="restart"/>
            <w:vAlign w:val="center"/>
          </w:tcPr>
          <w:p w14:paraId="762642FA">
            <w:pPr>
              <w:spacing w:line="240" w:lineRule="auto"/>
              <w:ind w:firstLine="0" w:firstLineChars="0"/>
              <w:jc w:val="center"/>
              <w:rPr>
                <w:color w:val="auto"/>
                <w:sz w:val="21"/>
                <w:szCs w:val="21"/>
              </w:rPr>
            </w:pPr>
            <w:r>
              <w:rPr>
                <w:rFonts w:hint="eastAsia"/>
                <w:color w:val="auto"/>
                <w:sz w:val="21"/>
                <w:szCs w:val="21"/>
              </w:rPr>
              <w:t>936</w:t>
            </w:r>
          </w:p>
        </w:tc>
        <w:tc>
          <w:tcPr>
            <w:tcW w:w="834" w:type="pct"/>
            <w:vAlign w:val="center"/>
          </w:tcPr>
          <w:p w14:paraId="00892507">
            <w:pPr>
              <w:spacing w:line="240" w:lineRule="auto"/>
              <w:ind w:firstLine="0" w:firstLineChars="0"/>
              <w:jc w:val="center"/>
              <w:rPr>
                <w:color w:val="auto"/>
                <w:sz w:val="21"/>
                <w:szCs w:val="21"/>
              </w:rPr>
            </w:pPr>
            <w:r>
              <w:rPr>
                <w:rFonts w:hint="eastAsia"/>
                <w:color w:val="auto"/>
                <w:sz w:val="21"/>
                <w:szCs w:val="21"/>
              </w:rPr>
              <w:t>NH</w:t>
            </w:r>
            <w:r>
              <w:rPr>
                <w:rFonts w:hint="eastAsia"/>
                <w:color w:val="auto"/>
                <w:sz w:val="21"/>
                <w:szCs w:val="21"/>
                <w:vertAlign w:val="subscript"/>
              </w:rPr>
              <w:t>3</w:t>
            </w:r>
            <w:r>
              <w:rPr>
                <w:rFonts w:hint="eastAsia"/>
                <w:color w:val="auto"/>
                <w:sz w:val="21"/>
                <w:szCs w:val="21"/>
                <w:vertAlign w:val="subscript"/>
                <w:lang w:eastAsia="zh-CN"/>
              </w:rPr>
              <w:t>(</w:t>
            </w:r>
            <w:r>
              <w:rPr>
                <w:rFonts w:hint="eastAsia"/>
                <w:color w:val="auto"/>
                <w:sz w:val="21"/>
                <w:szCs w:val="21"/>
              </w:rPr>
              <w:t>kg/h</w:t>
            </w:r>
            <w:r>
              <w:rPr>
                <w:rFonts w:hint="eastAsia"/>
                <w:color w:val="auto"/>
                <w:sz w:val="21"/>
                <w:szCs w:val="21"/>
                <w:lang w:eastAsia="zh-CN"/>
              </w:rPr>
              <w:t>)</w:t>
            </w:r>
          </w:p>
        </w:tc>
        <w:tc>
          <w:tcPr>
            <w:tcW w:w="834" w:type="pct"/>
            <w:vAlign w:val="center"/>
          </w:tcPr>
          <w:p w14:paraId="65B325C1">
            <w:pPr>
              <w:spacing w:line="240" w:lineRule="auto"/>
              <w:ind w:firstLine="0" w:firstLineChars="0"/>
              <w:jc w:val="center"/>
              <w:rPr>
                <w:color w:val="auto"/>
                <w:sz w:val="21"/>
                <w:szCs w:val="21"/>
              </w:rPr>
            </w:pPr>
            <w:r>
              <w:rPr>
                <w:rFonts w:hint="eastAsia"/>
                <w:color w:val="auto"/>
                <w:sz w:val="21"/>
                <w:szCs w:val="21"/>
              </w:rPr>
              <w:t>NH</w:t>
            </w:r>
            <w:r>
              <w:rPr>
                <w:rFonts w:hint="eastAsia"/>
                <w:color w:val="auto"/>
                <w:sz w:val="21"/>
                <w:szCs w:val="21"/>
                <w:vertAlign w:val="subscript"/>
              </w:rPr>
              <w:t>3</w:t>
            </w:r>
            <w:r>
              <w:rPr>
                <w:rFonts w:hint="eastAsia"/>
                <w:color w:val="auto"/>
                <w:sz w:val="21"/>
                <w:szCs w:val="21"/>
                <w:vertAlign w:val="subscript"/>
                <w:lang w:eastAsia="zh-CN"/>
              </w:rPr>
              <w:t>(</w:t>
            </w:r>
            <w:r>
              <w:rPr>
                <w:rFonts w:hint="eastAsia"/>
                <w:color w:val="auto"/>
                <w:sz w:val="21"/>
                <w:szCs w:val="21"/>
              </w:rPr>
              <w:t>t/a</w:t>
            </w:r>
            <w:r>
              <w:rPr>
                <w:rFonts w:hint="eastAsia"/>
                <w:color w:val="auto"/>
                <w:sz w:val="21"/>
                <w:szCs w:val="21"/>
                <w:lang w:eastAsia="zh-CN"/>
              </w:rPr>
              <w:t>)</w:t>
            </w:r>
          </w:p>
        </w:tc>
        <w:tc>
          <w:tcPr>
            <w:tcW w:w="834" w:type="pct"/>
            <w:vAlign w:val="center"/>
          </w:tcPr>
          <w:p w14:paraId="6F5C64CC">
            <w:pPr>
              <w:spacing w:line="240" w:lineRule="auto"/>
              <w:ind w:firstLine="0" w:firstLineChars="0"/>
              <w:jc w:val="center"/>
              <w:rPr>
                <w:color w:val="auto"/>
                <w:sz w:val="21"/>
                <w:szCs w:val="21"/>
              </w:rPr>
            </w:pPr>
            <w:r>
              <w:rPr>
                <w:rFonts w:hint="eastAsia"/>
                <w:color w:val="auto"/>
                <w:sz w:val="21"/>
                <w:szCs w:val="21"/>
              </w:rPr>
              <w:t>H</w:t>
            </w:r>
            <w:r>
              <w:rPr>
                <w:rFonts w:hint="eastAsia"/>
                <w:color w:val="auto"/>
                <w:sz w:val="21"/>
                <w:szCs w:val="21"/>
                <w:vertAlign w:val="subscript"/>
              </w:rPr>
              <w:t>2</w:t>
            </w:r>
            <w:r>
              <w:rPr>
                <w:rFonts w:hint="eastAsia"/>
                <w:color w:val="auto"/>
                <w:sz w:val="21"/>
                <w:szCs w:val="21"/>
              </w:rPr>
              <w:t>S</w:t>
            </w:r>
            <w:r>
              <w:rPr>
                <w:rFonts w:hint="eastAsia"/>
                <w:color w:val="auto"/>
                <w:sz w:val="21"/>
                <w:szCs w:val="21"/>
                <w:lang w:eastAsia="zh-CN"/>
              </w:rPr>
              <w:t>(</w:t>
            </w:r>
            <w:r>
              <w:rPr>
                <w:rFonts w:hint="eastAsia"/>
                <w:color w:val="auto"/>
                <w:sz w:val="21"/>
                <w:szCs w:val="21"/>
              </w:rPr>
              <w:t>kg/h</w:t>
            </w:r>
            <w:r>
              <w:rPr>
                <w:rFonts w:hint="eastAsia"/>
                <w:color w:val="auto"/>
                <w:sz w:val="21"/>
                <w:szCs w:val="21"/>
                <w:lang w:eastAsia="zh-CN"/>
              </w:rPr>
              <w:t>)</w:t>
            </w:r>
          </w:p>
        </w:tc>
        <w:tc>
          <w:tcPr>
            <w:tcW w:w="834" w:type="pct"/>
            <w:vAlign w:val="center"/>
          </w:tcPr>
          <w:p w14:paraId="43753B54">
            <w:pPr>
              <w:spacing w:line="240" w:lineRule="auto"/>
              <w:ind w:firstLine="0" w:firstLineChars="0"/>
              <w:jc w:val="center"/>
              <w:rPr>
                <w:color w:val="auto"/>
                <w:sz w:val="21"/>
                <w:szCs w:val="21"/>
              </w:rPr>
            </w:pPr>
            <w:r>
              <w:rPr>
                <w:rFonts w:hint="eastAsia"/>
                <w:color w:val="auto"/>
                <w:sz w:val="21"/>
                <w:szCs w:val="21"/>
              </w:rPr>
              <w:t>H</w:t>
            </w:r>
            <w:r>
              <w:rPr>
                <w:rFonts w:hint="eastAsia"/>
                <w:color w:val="auto"/>
                <w:sz w:val="21"/>
                <w:szCs w:val="21"/>
                <w:vertAlign w:val="subscript"/>
              </w:rPr>
              <w:t>2</w:t>
            </w:r>
            <w:r>
              <w:rPr>
                <w:rFonts w:hint="eastAsia"/>
                <w:color w:val="auto"/>
                <w:sz w:val="21"/>
                <w:szCs w:val="21"/>
              </w:rPr>
              <w:t>S</w:t>
            </w:r>
            <w:r>
              <w:rPr>
                <w:rFonts w:hint="eastAsia"/>
                <w:color w:val="auto"/>
                <w:sz w:val="21"/>
                <w:szCs w:val="21"/>
                <w:lang w:eastAsia="zh-CN"/>
              </w:rPr>
              <w:t>(</w:t>
            </w:r>
            <w:r>
              <w:rPr>
                <w:rFonts w:hint="eastAsia"/>
                <w:color w:val="auto"/>
                <w:sz w:val="21"/>
                <w:szCs w:val="21"/>
              </w:rPr>
              <w:t>t/a</w:t>
            </w:r>
            <w:r>
              <w:rPr>
                <w:rFonts w:hint="eastAsia"/>
                <w:color w:val="auto"/>
                <w:sz w:val="21"/>
                <w:szCs w:val="21"/>
                <w:lang w:eastAsia="zh-CN"/>
              </w:rPr>
              <w:t>)</w:t>
            </w:r>
          </w:p>
        </w:tc>
      </w:tr>
      <w:tr w14:paraId="2584D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exact"/>
          <w:jc w:val="center"/>
        </w:trPr>
        <w:tc>
          <w:tcPr>
            <w:tcW w:w="879" w:type="pct"/>
            <w:vMerge w:val="continue"/>
            <w:vAlign w:val="center"/>
          </w:tcPr>
          <w:p w14:paraId="083BFA78">
            <w:pPr>
              <w:spacing w:line="240" w:lineRule="auto"/>
              <w:ind w:firstLine="0" w:firstLineChars="0"/>
              <w:jc w:val="center"/>
              <w:rPr>
                <w:color w:val="auto"/>
                <w:sz w:val="21"/>
                <w:szCs w:val="21"/>
              </w:rPr>
            </w:pPr>
          </w:p>
        </w:tc>
        <w:tc>
          <w:tcPr>
            <w:tcW w:w="784" w:type="pct"/>
            <w:vMerge w:val="continue"/>
            <w:vAlign w:val="center"/>
          </w:tcPr>
          <w:p w14:paraId="2C92D5ED">
            <w:pPr>
              <w:spacing w:line="240" w:lineRule="auto"/>
              <w:ind w:firstLine="0" w:firstLineChars="0"/>
              <w:jc w:val="center"/>
              <w:rPr>
                <w:color w:val="auto"/>
                <w:sz w:val="21"/>
                <w:szCs w:val="21"/>
              </w:rPr>
            </w:pPr>
          </w:p>
        </w:tc>
        <w:tc>
          <w:tcPr>
            <w:tcW w:w="834" w:type="pct"/>
            <w:vAlign w:val="center"/>
          </w:tcPr>
          <w:p w14:paraId="5C9F2B12">
            <w:pPr>
              <w:spacing w:line="240" w:lineRule="auto"/>
              <w:ind w:firstLine="0" w:firstLineChars="0"/>
              <w:jc w:val="center"/>
              <w:rPr>
                <w:color w:val="auto"/>
                <w:sz w:val="21"/>
                <w:szCs w:val="21"/>
              </w:rPr>
            </w:pPr>
            <w:r>
              <w:rPr>
                <w:rFonts w:hint="eastAsia"/>
                <w:color w:val="auto"/>
                <w:sz w:val="21"/>
                <w:szCs w:val="21"/>
              </w:rPr>
              <w:t xml:space="preserve">0.0143 </w:t>
            </w:r>
          </w:p>
        </w:tc>
        <w:tc>
          <w:tcPr>
            <w:tcW w:w="834" w:type="pct"/>
            <w:vAlign w:val="center"/>
          </w:tcPr>
          <w:p w14:paraId="1A19A92E">
            <w:pPr>
              <w:spacing w:line="240" w:lineRule="auto"/>
              <w:ind w:firstLine="0" w:firstLineChars="0"/>
              <w:jc w:val="center"/>
              <w:rPr>
                <w:color w:val="auto"/>
                <w:sz w:val="21"/>
                <w:szCs w:val="21"/>
              </w:rPr>
            </w:pPr>
            <w:r>
              <w:rPr>
                <w:rFonts w:hint="eastAsia"/>
                <w:color w:val="auto"/>
                <w:sz w:val="21"/>
                <w:szCs w:val="21"/>
              </w:rPr>
              <w:t>0. 103</w:t>
            </w:r>
          </w:p>
        </w:tc>
        <w:tc>
          <w:tcPr>
            <w:tcW w:w="834" w:type="pct"/>
            <w:vAlign w:val="center"/>
          </w:tcPr>
          <w:p w14:paraId="62E9DFB9">
            <w:pPr>
              <w:spacing w:line="240" w:lineRule="auto"/>
              <w:ind w:firstLine="0" w:firstLineChars="0"/>
              <w:jc w:val="center"/>
              <w:rPr>
                <w:color w:val="auto"/>
                <w:sz w:val="21"/>
                <w:szCs w:val="21"/>
              </w:rPr>
            </w:pPr>
            <w:r>
              <w:rPr>
                <w:rFonts w:hint="eastAsia"/>
                <w:color w:val="auto"/>
                <w:sz w:val="21"/>
                <w:szCs w:val="21"/>
              </w:rPr>
              <w:t xml:space="preserve">0.0017 </w:t>
            </w:r>
          </w:p>
        </w:tc>
        <w:tc>
          <w:tcPr>
            <w:tcW w:w="834" w:type="pct"/>
            <w:vAlign w:val="center"/>
          </w:tcPr>
          <w:p w14:paraId="58495384">
            <w:pPr>
              <w:spacing w:line="240" w:lineRule="auto"/>
              <w:ind w:firstLine="0" w:firstLineChars="0"/>
              <w:jc w:val="center"/>
              <w:rPr>
                <w:color w:val="auto"/>
                <w:sz w:val="21"/>
                <w:szCs w:val="21"/>
              </w:rPr>
            </w:pPr>
            <w:r>
              <w:rPr>
                <w:rFonts w:hint="eastAsia"/>
                <w:color w:val="auto"/>
                <w:sz w:val="21"/>
                <w:szCs w:val="21"/>
              </w:rPr>
              <w:t xml:space="preserve">0.012 </w:t>
            </w:r>
          </w:p>
        </w:tc>
      </w:tr>
    </w:tbl>
    <w:p w14:paraId="7652A66B">
      <w:pPr>
        <w:spacing w:line="360" w:lineRule="auto"/>
        <w:ind w:firstLine="480"/>
        <w:rPr>
          <w:color w:val="auto"/>
        </w:rPr>
      </w:pPr>
    </w:p>
    <w:p w14:paraId="3052582B">
      <w:pPr>
        <w:spacing w:line="360" w:lineRule="auto"/>
        <w:ind w:firstLine="480"/>
        <w:rPr>
          <w:color w:val="auto"/>
        </w:rPr>
      </w:pPr>
      <w:r>
        <w:rPr>
          <w:rFonts w:hint="eastAsia"/>
          <w:color w:val="auto"/>
        </w:rPr>
        <w:t>（3）废气收集</w:t>
      </w:r>
    </w:p>
    <w:p w14:paraId="1C8A3EDC">
      <w:pPr>
        <w:spacing w:line="360" w:lineRule="auto"/>
        <w:ind w:firstLine="480"/>
        <w:rPr>
          <w:color w:val="auto"/>
        </w:rPr>
      </w:pPr>
      <w:r>
        <w:rPr>
          <w:rFonts w:hint="eastAsia"/>
          <w:color w:val="auto"/>
        </w:rPr>
        <w:t>根据项目设计资料可知，拟建项目</w:t>
      </w:r>
      <w:r>
        <w:rPr>
          <w:rFonts w:hint="eastAsia"/>
          <w:color w:val="auto"/>
          <w:szCs w:val="24"/>
        </w:rPr>
        <w:t>实施后，污泥脱水车间及污泥</w:t>
      </w:r>
      <w:r>
        <w:rPr>
          <w:rFonts w:hint="eastAsia"/>
          <w:color w:val="auto"/>
          <w:szCs w:val="24"/>
          <w:lang w:eastAsia="zh-CN"/>
        </w:rPr>
        <w:t>暂存区</w:t>
      </w:r>
      <w:r>
        <w:rPr>
          <w:rFonts w:hint="eastAsia"/>
          <w:color w:val="auto"/>
          <w:szCs w:val="24"/>
        </w:rPr>
        <w:t>采用密闭负压抽排废气，其余构筑物采取加盖对废气进行收集排放，再将所有臭气抽送至一套“碱喷淋+除湿+活性炭吸附”处理达标后排放。</w:t>
      </w:r>
    </w:p>
    <w:p w14:paraId="77760CEC">
      <w:pPr>
        <w:ind w:firstLineChars="83"/>
        <w:jc w:val="center"/>
        <w:rPr>
          <w:b/>
          <w:bCs/>
          <w:color w:val="auto"/>
        </w:rPr>
      </w:pPr>
      <w:r>
        <w:rPr>
          <w:b/>
          <w:bCs/>
          <w:color w:val="auto"/>
          <w:szCs w:val="24"/>
        </w:rPr>
        <w:t>表3.14-</w:t>
      </w:r>
      <w:r>
        <w:rPr>
          <w:rFonts w:hint="eastAsia"/>
          <w:b/>
          <w:bCs/>
          <w:color w:val="auto"/>
          <w:szCs w:val="24"/>
        </w:rPr>
        <w:t>5</w:t>
      </w:r>
      <w:r>
        <w:rPr>
          <w:b/>
          <w:bCs/>
          <w:color w:val="auto"/>
          <w:szCs w:val="24"/>
        </w:rPr>
        <w:t xml:space="preserve">  </w:t>
      </w:r>
      <w:r>
        <w:rPr>
          <w:rFonts w:hint="eastAsia"/>
          <w:b/>
          <w:bCs/>
          <w:color w:val="auto"/>
        </w:rPr>
        <w:t>拟建项目风量核算一览表</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1"/>
        <w:gridCol w:w="2169"/>
        <w:gridCol w:w="583"/>
        <w:gridCol w:w="531"/>
        <w:gridCol w:w="919"/>
        <w:gridCol w:w="1183"/>
        <w:gridCol w:w="890"/>
        <w:gridCol w:w="865"/>
        <w:gridCol w:w="652"/>
        <w:gridCol w:w="1053"/>
      </w:tblGrid>
      <w:tr w14:paraId="2E48C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 w:type="pct"/>
            <w:shd w:val="clear" w:color="auto" w:fill="auto"/>
            <w:vAlign w:val="center"/>
          </w:tcPr>
          <w:p w14:paraId="3C9328B7">
            <w:pPr>
              <w:spacing w:line="240" w:lineRule="auto"/>
              <w:ind w:firstLine="0" w:firstLineChars="0"/>
              <w:jc w:val="center"/>
              <w:rPr>
                <w:color w:val="auto"/>
                <w:sz w:val="21"/>
                <w:szCs w:val="21"/>
              </w:rPr>
            </w:pPr>
            <w:r>
              <w:rPr>
                <w:rFonts w:hint="eastAsia"/>
                <w:color w:val="auto"/>
                <w:sz w:val="21"/>
                <w:szCs w:val="21"/>
              </w:rPr>
              <w:t>序号</w:t>
            </w:r>
          </w:p>
        </w:tc>
        <w:tc>
          <w:tcPr>
            <w:tcW w:w="1168" w:type="pct"/>
            <w:shd w:val="clear" w:color="auto" w:fill="auto"/>
            <w:vAlign w:val="center"/>
          </w:tcPr>
          <w:p w14:paraId="6FB7B257">
            <w:pPr>
              <w:spacing w:line="240" w:lineRule="auto"/>
              <w:ind w:firstLine="0" w:firstLineChars="0"/>
              <w:jc w:val="center"/>
              <w:rPr>
                <w:color w:val="auto"/>
                <w:sz w:val="21"/>
                <w:szCs w:val="21"/>
              </w:rPr>
            </w:pPr>
            <w:r>
              <w:rPr>
                <w:rFonts w:hint="eastAsia"/>
                <w:color w:val="auto"/>
                <w:sz w:val="21"/>
                <w:szCs w:val="21"/>
              </w:rPr>
              <w:t>构筑物名称</w:t>
            </w:r>
          </w:p>
        </w:tc>
        <w:tc>
          <w:tcPr>
            <w:tcW w:w="314" w:type="pct"/>
            <w:shd w:val="clear" w:color="auto" w:fill="auto"/>
            <w:vAlign w:val="center"/>
          </w:tcPr>
          <w:p w14:paraId="6ABF2A3A">
            <w:pPr>
              <w:pStyle w:val="276"/>
              <w:rPr>
                <w:color w:val="auto"/>
              </w:rPr>
            </w:pPr>
            <w:r>
              <w:rPr>
                <w:rFonts w:hint="eastAsia"/>
                <w:color w:val="auto"/>
              </w:rPr>
              <w:t>长</w:t>
            </w:r>
            <w:r>
              <w:rPr>
                <w:rFonts w:hint="eastAsia"/>
                <w:color w:val="auto"/>
                <w:lang w:eastAsia="zh-CN"/>
              </w:rPr>
              <w:t>（</w:t>
            </w:r>
            <w:r>
              <w:rPr>
                <w:rFonts w:hint="eastAsia"/>
                <w:color w:val="auto"/>
              </w:rPr>
              <w:t>m</w:t>
            </w:r>
            <w:r>
              <w:rPr>
                <w:rFonts w:hint="eastAsia"/>
                <w:color w:val="auto"/>
                <w:lang w:eastAsia="zh-CN"/>
              </w:rPr>
              <w:t>）</w:t>
            </w:r>
          </w:p>
        </w:tc>
        <w:tc>
          <w:tcPr>
            <w:tcW w:w="286" w:type="pct"/>
            <w:shd w:val="clear" w:color="auto" w:fill="auto"/>
            <w:vAlign w:val="center"/>
          </w:tcPr>
          <w:p w14:paraId="652A4E62">
            <w:pPr>
              <w:pStyle w:val="276"/>
              <w:rPr>
                <w:color w:val="auto"/>
              </w:rPr>
            </w:pPr>
            <w:r>
              <w:rPr>
                <w:rFonts w:hint="eastAsia"/>
                <w:color w:val="auto"/>
              </w:rPr>
              <w:t>宽</w:t>
            </w:r>
            <w:r>
              <w:rPr>
                <w:rFonts w:hint="eastAsia"/>
                <w:color w:val="auto"/>
                <w:lang w:eastAsia="zh-CN"/>
              </w:rPr>
              <w:t>（</w:t>
            </w:r>
            <w:r>
              <w:rPr>
                <w:rFonts w:hint="eastAsia"/>
                <w:color w:val="auto"/>
              </w:rPr>
              <w:t>m</w:t>
            </w:r>
            <w:r>
              <w:rPr>
                <w:rFonts w:hint="eastAsia"/>
                <w:color w:val="auto"/>
                <w:lang w:eastAsia="zh-CN"/>
              </w:rPr>
              <w:t>）</w:t>
            </w:r>
          </w:p>
        </w:tc>
        <w:tc>
          <w:tcPr>
            <w:tcW w:w="495" w:type="pct"/>
            <w:shd w:val="clear" w:color="auto" w:fill="auto"/>
            <w:vAlign w:val="center"/>
          </w:tcPr>
          <w:p w14:paraId="5A0DA440">
            <w:pPr>
              <w:pStyle w:val="276"/>
              <w:rPr>
                <w:color w:val="auto"/>
              </w:rPr>
            </w:pPr>
            <w:r>
              <w:rPr>
                <w:rFonts w:hint="eastAsia"/>
                <w:color w:val="auto"/>
              </w:rPr>
              <w:t>面积（m</w:t>
            </w:r>
            <w:r>
              <w:rPr>
                <w:rFonts w:hint="eastAsia"/>
                <w:color w:val="auto"/>
                <w:vertAlign w:val="superscript"/>
                <w:lang w:val="en-US"/>
              </w:rPr>
              <w:t>2</w:t>
            </w:r>
            <w:r>
              <w:rPr>
                <w:rFonts w:hint="eastAsia"/>
                <w:color w:val="auto"/>
              </w:rPr>
              <w:t>）</w:t>
            </w:r>
          </w:p>
        </w:tc>
        <w:tc>
          <w:tcPr>
            <w:tcW w:w="637" w:type="pct"/>
            <w:shd w:val="clear" w:color="auto" w:fill="auto"/>
            <w:vAlign w:val="center"/>
          </w:tcPr>
          <w:p w14:paraId="28DC2D88">
            <w:pPr>
              <w:pStyle w:val="276"/>
              <w:rPr>
                <w:color w:val="auto"/>
              </w:rPr>
            </w:pPr>
            <w:r>
              <w:rPr>
                <w:rFonts w:hint="eastAsia"/>
                <w:color w:val="auto"/>
              </w:rPr>
              <w:t>单位水面积气量3~10m</w:t>
            </w:r>
            <w:r>
              <w:rPr>
                <w:rFonts w:hint="eastAsia"/>
                <w:color w:val="auto"/>
                <w:vertAlign w:val="superscript"/>
              </w:rPr>
              <w:t>3</w:t>
            </w:r>
            <w:r>
              <w:rPr>
                <w:rFonts w:hint="eastAsia"/>
                <w:color w:val="auto"/>
              </w:rPr>
              <w:t>/（m</w:t>
            </w:r>
            <w:r>
              <w:rPr>
                <w:rFonts w:hint="eastAsia"/>
                <w:color w:val="auto"/>
                <w:vertAlign w:val="superscript"/>
              </w:rPr>
              <w:t>2</w:t>
            </w:r>
            <w:r>
              <w:rPr>
                <w:rFonts w:hint="eastAsia"/>
                <w:color w:val="auto"/>
              </w:rPr>
              <w:t>·h）</w:t>
            </w:r>
          </w:p>
        </w:tc>
        <w:tc>
          <w:tcPr>
            <w:tcW w:w="479" w:type="pct"/>
            <w:shd w:val="clear" w:color="auto" w:fill="auto"/>
            <w:vAlign w:val="center"/>
          </w:tcPr>
          <w:p w14:paraId="6219F525">
            <w:pPr>
              <w:pStyle w:val="276"/>
              <w:rPr>
                <w:color w:val="auto"/>
              </w:rPr>
            </w:pPr>
            <w:r>
              <w:rPr>
                <w:rFonts w:hint="eastAsia"/>
                <w:color w:val="auto"/>
              </w:rPr>
              <w:t>臭气空间体积（m</w:t>
            </w:r>
            <w:r>
              <w:rPr>
                <w:rFonts w:hint="eastAsia"/>
                <w:color w:val="auto"/>
                <w:vertAlign w:val="superscript"/>
              </w:rPr>
              <w:t>3</w:t>
            </w:r>
            <w:r>
              <w:rPr>
                <w:rFonts w:hint="eastAsia"/>
                <w:color w:val="auto"/>
              </w:rPr>
              <w:t>）</w:t>
            </w:r>
          </w:p>
        </w:tc>
        <w:tc>
          <w:tcPr>
            <w:tcW w:w="466" w:type="pct"/>
            <w:shd w:val="clear" w:color="auto" w:fill="auto"/>
            <w:vAlign w:val="center"/>
          </w:tcPr>
          <w:p w14:paraId="1ED0A3BE">
            <w:pPr>
              <w:pStyle w:val="276"/>
              <w:rPr>
                <w:color w:val="auto"/>
              </w:rPr>
            </w:pPr>
            <w:r>
              <w:rPr>
                <w:rFonts w:hint="eastAsia"/>
                <w:color w:val="auto"/>
              </w:rPr>
              <w:t>数量（个）</w:t>
            </w:r>
          </w:p>
        </w:tc>
        <w:tc>
          <w:tcPr>
            <w:tcW w:w="351" w:type="pct"/>
            <w:shd w:val="clear" w:color="auto" w:fill="auto"/>
            <w:vAlign w:val="center"/>
          </w:tcPr>
          <w:p w14:paraId="693B44C5">
            <w:pPr>
              <w:pStyle w:val="276"/>
              <w:rPr>
                <w:color w:val="auto"/>
              </w:rPr>
            </w:pPr>
            <w:r>
              <w:rPr>
                <w:rFonts w:hint="eastAsia"/>
                <w:color w:val="auto"/>
              </w:rPr>
              <w:t>换气次数（次/h）</w:t>
            </w:r>
          </w:p>
        </w:tc>
        <w:tc>
          <w:tcPr>
            <w:tcW w:w="567" w:type="pct"/>
            <w:shd w:val="clear" w:color="auto" w:fill="auto"/>
            <w:vAlign w:val="center"/>
          </w:tcPr>
          <w:p w14:paraId="44660CDE">
            <w:pPr>
              <w:pStyle w:val="276"/>
              <w:rPr>
                <w:color w:val="auto"/>
              </w:rPr>
            </w:pPr>
            <w:r>
              <w:rPr>
                <w:rFonts w:hint="eastAsia"/>
                <w:color w:val="auto"/>
              </w:rPr>
              <w:t>风量（m</w:t>
            </w:r>
            <w:r>
              <w:rPr>
                <w:rFonts w:hint="eastAsia"/>
                <w:color w:val="auto"/>
                <w:vertAlign w:val="superscript"/>
              </w:rPr>
              <w:t>3</w:t>
            </w:r>
            <w:r>
              <w:rPr>
                <w:rFonts w:hint="eastAsia"/>
                <w:color w:val="auto"/>
              </w:rPr>
              <w:t>/h）</w:t>
            </w:r>
          </w:p>
        </w:tc>
      </w:tr>
      <w:tr w14:paraId="2218C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 w:type="pct"/>
            <w:shd w:val="clear" w:color="auto" w:fill="auto"/>
            <w:vAlign w:val="center"/>
          </w:tcPr>
          <w:p w14:paraId="4518DDD1">
            <w:pPr>
              <w:spacing w:line="240" w:lineRule="auto"/>
              <w:ind w:firstLine="0" w:firstLineChars="0"/>
              <w:jc w:val="center"/>
              <w:rPr>
                <w:color w:val="auto"/>
                <w:sz w:val="21"/>
                <w:szCs w:val="21"/>
              </w:rPr>
            </w:pPr>
            <w:r>
              <w:rPr>
                <w:rFonts w:hint="eastAsia"/>
                <w:color w:val="auto"/>
                <w:sz w:val="21"/>
                <w:szCs w:val="21"/>
              </w:rPr>
              <w:t>1</w:t>
            </w:r>
          </w:p>
        </w:tc>
        <w:tc>
          <w:tcPr>
            <w:tcW w:w="1168" w:type="pct"/>
            <w:shd w:val="clear" w:color="auto" w:fill="auto"/>
            <w:noWrap/>
            <w:vAlign w:val="center"/>
          </w:tcPr>
          <w:p w14:paraId="72D36CE7">
            <w:pPr>
              <w:spacing w:line="240" w:lineRule="auto"/>
              <w:ind w:firstLine="0" w:firstLineChars="0"/>
              <w:jc w:val="center"/>
              <w:rPr>
                <w:color w:val="auto"/>
                <w:sz w:val="21"/>
                <w:szCs w:val="21"/>
              </w:rPr>
            </w:pPr>
            <w:r>
              <w:rPr>
                <w:rFonts w:hint="eastAsia"/>
                <w:color w:val="auto"/>
                <w:sz w:val="21"/>
                <w:szCs w:val="21"/>
              </w:rPr>
              <w:t>收集池</w:t>
            </w:r>
          </w:p>
        </w:tc>
        <w:tc>
          <w:tcPr>
            <w:tcW w:w="314" w:type="pct"/>
            <w:shd w:val="clear" w:color="auto" w:fill="auto"/>
            <w:vAlign w:val="center"/>
          </w:tcPr>
          <w:p w14:paraId="194B145D">
            <w:pPr>
              <w:pStyle w:val="276"/>
              <w:rPr>
                <w:color w:val="auto"/>
              </w:rPr>
            </w:pPr>
            <w:r>
              <w:rPr>
                <w:rFonts w:hint="eastAsia"/>
                <w:color w:val="auto"/>
              </w:rPr>
              <w:t>12.6</w:t>
            </w:r>
          </w:p>
        </w:tc>
        <w:tc>
          <w:tcPr>
            <w:tcW w:w="286" w:type="pct"/>
            <w:shd w:val="clear" w:color="auto" w:fill="auto"/>
            <w:vAlign w:val="center"/>
          </w:tcPr>
          <w:p w14:paraId="52AACB86">
            <w:pPr>
              <w:pStyle w:val="276"/>
              <w:rPr>
                <w:color w:val="auto"/>
              </w:rPr>
            </w:pPr>
            <w:r>
              <w:rPr>
                <w:rFonts w:hint="eastAsia"/>
                <w:color w:val="auto"/>
              </w:rPr>
              <w:t>11.5</w:t>
            </w:r>
          </w:p>
        </w:tc>
        <w:tc>
          <w:tcPr>
            <w:tcW w:w="495" w:type="pct"/>
            <w:shd w:val="clear" w:color="auto" w:fill="auto"/>
            <w:vAlign w:val="center"/>
          </w:tcPr>
          <w:p w14:paraId="22AFEE39">
            <w:pPr>
              <w:pStyle w:val="276"/>
              <w:rPr>
                <w:color w:val="auto"/>
              </w:rPr>
            </w:pPr>
            <w:r>
              <w:rPr>
                <w:rFonts w:hint="eastAsia"/>
                <w:color w:val="auto"/>
              </w:rPr>
              <w:t>145</w:t>
            </w:r>
          </w:p>
        </w:tc>
        <w:tc>
          <w:tcPr>
            <w:tcW w:w="637" w:type="pct"/>
            <w:shd w:val="clear" w:color="auto" w:fill="auto"/>
            <w:vAlign w:val="center"/>
          </w:tcPr>
          <w:p w14:paraId="57B6BD1F">
            <w:pPr>
              <w:pStyle w:val="276"/>
              <w:rPr>
                <w:color w:val="auto"/>
              </w:rPr>
            </w:pPr>
            <w:r>
              <w:rPr>
                <w:rFonts w:hint="eastAsia"/>
                <w:color w:val="auto"/>
              </w:rPr>
              <w:t>3　</w:t>
            </w:r>
          </w:p>
        </w:tc>
        <w:tc>
          <w:tcPr>
            <w:tcW w:w="479" w:type="pct"/>
            <w:shd w:val="clear" w:color="auto" w:fill="auto"/>
            <w:vAlign w:val="center"/>
          </w:tcPr>
          <w:p w14:paraId="3174043F">
            <w:pPr>
              <w:pStyle w:val="276"/>
              <w:rPr>
                <w:color w:val="auto"/>
              </w:rPr>
            </w:pPr>
            <w:r>
              <w:rPr>
                <w:rFonts w:hint="eastAsia"/>
                <w:color w:val="auto"/>
              </w:rPr>
              <w:t>435</w:t>
            </w:r>
          </w:p>
        </w:tc>
        <w:tc>
          <w:tcPr>
            <w:tcW w:w="466" w:type="pct"/>
            <w:shd w:val="clear" w:color="auto" w:fill="auto"/>
            <w:vAlign w:val="center"/>
          </w:tcPr>
          <w:p w14:paraId="28EDFDDA">
            <w:pPr>
              <w:pStyle w:val="276"/>
              <w:rPr>
                <w:color w:val="auto"/>
              </w:rPr>
            </w:pPr>
            <w:r>
              <w:rPr>
                <w:rFonts w:hint="eastAsia"/>
                <w:color w:val="auto"/>
              </w:rPr>
              <w:t>1</w:t>
            </w:r>
          </w:p>
        </w:tc>
        <w:tc>
          <w:tcPr>
            <w:tcW w:w="351" w:type="pct"/>
            <w:shd w:val="clear" w:color="auto" w:fill="auto"/>
            <w:vAlign w:val="center"/>
          </w:tcPr>
          <w:p w14:paraId="542AE539">
            <w:pPr>
              <w:pStyle w:val="276"/>
              <w:rPr>
                <w:color w:val="auto"/>
              </w:rPr>
            </w:pPr>
            <w:r>
              <w:rPr>
                <w:rFonts w:hint="eastAsia"/>
                <w:color w:val="auto"/>
              </w:rPr>
              <w:t>12</w:t>
            </w:r>
          </w:p>
        </w:tc>
        <w:tc>
          <w:tcPr>
            <w:tcW w:w="567" w:type="pct"/>
            <w:shd w:val="clear" w:color="auto" w:fill="auto"/>
            <w:vAlign w:val="center"/>
          </w:tcPr>
          <w:p w14:paraId="074FA8FF">
            <w:pPr>
              <w:pStyle w:val="276"/>
              <w:rPr>
                <w:color w:val="auto"/>
              </w:rPr>
            </w:pPr>
            <w:r>
              <w:rPr>
                <w:rFonts w:hint="eastAsia"/>
                <w:color w:val="auto"/>
              </w:rPr>
              <w:t>5220</w:t>
            </w:r>
          </w:p>
        </w:tc>
      </w:tr>
      <w:tr w14:paraId="11BB5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 w:type="pct"/>
            <w:shd w:val="clear" w:color="auto" w:fill="auto"/>
            <w:vAlign w:val="center"/>
          </w:tcPr>
          <w:p w14:paraId="300F4997">
            <w:pPr>
              <w:spacing w:line="240" w:lineRule="auto"/>
              <w:ind w:firstLine="0" w:firstLineChars="0"/>
              <w:jc w:val="center"/>
              <w:rPr>
                <w:color w:val="auto"/>
                <w:sz w:val="21"/>
                <w:szCs w:val="21"/>
              </w:rPr>
            </w:pPr>
            <w:r>
              <w:rPr>
                <w:rFonts w:hint="eastAsia"/>
                <w:color w:val="auto"/>
                <w:sz w:val="21"/>
                <w:szCs w:val="21"/>
              </w:rPr>
              <w:t>2</w:t>
            </w:r>
          </w:p>
        </w:tc>
        <w:tc>
          <w:tcPr>
            <w:tcW w:w="1168" w:type="pct"/>
            <w:shd w:val="clear" w:color="auto" w:fill="auto"/>
            <w:noWrap/>
            <w:vAlign w:val="center"/>
          </w:tcPr>
          <w:p w14:paraId="5A48F44D">
            <w:pPr>
              <w:spacing w:line="240" w:lineRule="auto"/>
              <w:ind w:firstLine="0" w:firstLineChars="0"/>
              <w:jc w:val="center"/>
              <w:rPr>
                <w:color w:val="auto"/>
                <w:sz w:val="21"/>
                <w:szCs w:val="21"/>
              </w:rPr>
            </w:pPr>
            <w:r>
              <w:rPr>
                <w:rFonts w:hint="eastAsia"/>
                <w:color w:val="auto"/>
                <w:sz w:val="21"/>
                <w:szCs w:val="21"/>
              </w:rPr>
              <w:t>储存池</w:t>
            </w:r>
          </w:p>
          <w:p w14:paraId="167EDD77">
            <w:pPr>
              <w:spacing w:line="240" w:lineRule="auto"/>
              <w:ind w:firstLine="0" w:firstLineChars="0"/>
              <w:jc w:val="center"/>
              <w:rPr>
                <w:rFonts w:hint="eastAsia" w:eastAsia="宋体"/>
                <w:color w:val="auto"/>
                <w:sz w:val="21"/>
                <w:szCs w:val="21"/>
                <w:lang w:eastAsia="zh-CN"/>
              </w:rPr>
            </w:pPr>
            <w:r>
              <w:rPr>
                <w:rFonts w:hint="eastAsia"/>
                <w:color w:val="auto"/>
                <w:sz w:val="21"/>
                <w:szCs w:val="21"/>
                <w:lang w:eastAsia="zh-CN"/>
              </w:rPr>
              <w:t>浓水罐</w:t>
            </w:r>
          </w:p>
          <w:p w14:paraId="784CA2F9">
            <w:pPr>
              <w:spacing w:line="240" w:lineRule="auto"/>
              <w:ind w:firstLine="0" w:firstLineChars="0"/>
              <w:jc w:val="center"/>
              <w:rPr>
                <w:color w:val="auto"/>
                <w:sz w:val="21"/>
                <w:szCs w:val="21"/>
              </w:rPr>
            </w:pPr>
          </w:p>
        </w:tc>
        <w:tc>
          <w:tcPr>
            <w:tcW w:w="314" w:type="pct"/>
            <w:shd w:val="clear" w:color="auto" w:fill="auto"/>
            <w:vAlign w:val="center"/>
          </w:tcPr>
          <w:p w14:paraId="09AE0EB1">
            <w:pPr>
              <w:pStyle w:val="276"/>
              <w:rPr>
                <w:color w:val="auto"/>
              </w:rPr>
            </w:pPr>
            <w:r>
              <w:rPr>
                <w:rFonts w:hint="eastAsia"/>
                <w:color w:val="auto"/>
              </w:rPr>
              <w:t>40</w:t>
            </w:r>
          </w:p>
        </w:tc>
        <w:tc>
          <w:tcPr>
            <w:tcW w:w="286" w:type="pct"/>
            <w:shd w:val="clear" w:color="auto" w:fill="auto"/>
            <w:vAlign w:val="center"/>
          </w:tcPr>
          <w:p w14:paraId="6084C1F8">
            <w:pPr>
              <w:pStyle w:val="276"/>
              <w:rPr>
                <w:color w:val="auto"/>
              </w:rPr>
            </w:pPr>
            <w:r>
              <w:rPr>
                <w:rFonts w:hint="eastAsia"/>
                <w:color w:val="auto"/>
              </w:rPr>
              <w:t>15</w:t>
            </w:r>
          </w:p>
        </w:tc>
        <w:tc>
          <w:tcPr>
            <w:tcW w:w="495" w:type="pct"/>
            <w:shd w:val="clear" w:color="auto" w:fill="auto"/>
            <w:vAlign w:val="center"/>
          </w:tcPr>
          <w:p w14:paraId="5A559BFB">
            <w:pPr>
              <w:pStyle w:val="276"/>
              <w:rPr>
                <w:color w:val="auto"/>
              </w:rPr>
            </w:pPr>
            <w:r>
              <w:rPr>
                <w:rFonts w:hint="eastAsia"/>
                <w:color w:val="auto"/>
              </w:rPr>
              <w:t>600</w:t>
            </w:r>
          </w:p>
        </w:tc>
        <w:tc>
          <w:tcPr>
            <w:tcW w:w="637" w:type="pct"/>
            <w:shd w:val="clear" w:color="auto" w:fill="auto"/>
            <w:vAlign w:val="center"/>
          </w:tcPr>
          <w:p w14:paraId="27AE48E7">
            <w:pPr>
              <w:pStyle w:val="276"/>
              <w:rPr>
                <w:color w:val="auto"/>
              </w:rPr>
            </w:pPr>
            <w:r>
              <w:rPr>
                <w:rFonts w:hint="eastAsia"/>
                <w:color w:val="auto"/>
              </w:rPr>
              <w:t>3　</w:t>
            </w:r>
          </w:p>
        </w:tc>
        <w:tc>
          <w:tcPr>
            <w:tcW w:w="479" w:type="pct"/>
            <w:shd w:val="clear" w:color="auto" w:fill="auto"/>
            <w:vAlign w:val="center"/>
          </w:tcPr>
          <w:p w14:paraId="714B9C11">
            <w:pPr>
              <w:pStyle w:val="276"/>
              <w:rPr>
                <w:color w:val="auto"/>
              </w:rPr>
            </w:pPr>
            <w:r>
              <w:rPr>
                <w:rFonts w:hint="eastAsia"/>
                <w:color w:val="auto"/>
              </w:rPr>
              <w:t>1800</w:t>
            </w:r>
          </w:p>
        </w:tc>
        <w:tc>
          <w:tcPr>
            <w:tcW w:w="466" w:type="pct"/>
            <w:shd w:val="clear" w:color="auto" w:fill="auto"/>
            <w:vAlign w:val="center"/>
          </w:tcPr>
          <w:p w14:paraId="4FC835C6">
            <w:pPr>
              <w:pStyle w:val="276"/>
              <w:rPr>
                <w:color w:val="auto"/>
              </w:rPr>
            </w:pPr>
            <w:r>
              <w:rPr>
                <w:rFonts w:hint="eastAsia"/>
                <w:color w:val="auto"/>
              </w:rPr>
              <w:t>1</w:t>
            </w:r>
          </w:p>
        </w:tc>
        <w:tc>
          <w:tcPr>
            <w:tcW w:w="351" w:type="pct"/>
            <w:shd w:val="clear" w:color="auto" w:fill="auto"/>
            <w:vAlign w:val="center"/>
          </w:tcPr>
          <w:p w14:paraId="689CC19E">
            <w:pPr>
              <w:pStyle w:val="276"/>
              <w:rPr>
                <w:color w:val="auto"/>
              </w:rPr>
            </w:pPr>
            <w:r>
              <w:rPr>
                <w:rFonts w:hint="eastAsia"/>
                <w:color w:val="auto"/>
              </w:rPr>
              <w:t>2</w:t>
            </w:r>
          </w:p>
        </w:tc>
        <w:tc>
          <w:tcPr>
            <w:tcW w:w="567" w:type="pct"/>
            <w:shd w:val="clear" w:color="auto" w:fill="auto"/>
            <w:vAlign w:val="center"/>
          </w:tcPr>
          <w:p w14:paraId="34FA9E5D">
            <w:pPr>
              <w:pStyle w:val="276"/>
              <w:rPr>
                <w:color w:val="auto"/>
              </w:rPr>
            </w:pPr>
            <w:r>
              <w:rPr>
                <w:rFonts w:hint="eastAsia"/>
                <w:color w:val="auto"/>
              </w:rPr>
              <w:t>3600</w:t>
            </w:r>
          </w:p>
        </w:tc>
      </w:tr>
      <w:tr w14:paraId="24B2D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 w:type="pct"/>
            <w:shd w:val="clear" w:color="auto" w:fill="auto"/>
            <w:vAlign w:val="center"/>
          </w:tcPr>
          <w:p w14:paraId="0EABB8BD">
            <w:pPr>
              <w:spacing w:line="240" w:lineRule="auto"/>
              <w:ind w:firstLine="0" w:firstLineChars="0"/>
              <w:jc w:val="center"/>
              <w:rPr>
                <w:color w:val="auto"/>
                <w:sz w:val="21"/>
                <w:szCs w:val="21"/>
              </w:rPr>
            </w:pPr>
            <w:r>
              <w:rPr>
                <w:rFonts w:hint="eastAsia"/>
                <w:color w:val="auto"/>
                <w:sz w:val="21"/>
                <w:szCs w:val="21"/>
              </w:rPr>
              <w:t>3</w:t>
            </w:r>
          </w:p>
        </w:tc>
        <w:tc>
          <w:tcPr>
            <w:tcW w:w="1168" w:type="pct"/>
            <w:shd w:val="clear" w:color="auto" w:fill="auto"/>
            <w:noWrap/>
            <w:vAlign w:val="center"/>
          </w:tcPr>
          <w:p w14:paraId="382AEA45">
            <w:pPr>
              <w:spacing w:line="240" w:lineRule="auto"/>
              <w:ind w:firstLine="0" w:firstLineChars="0"/>
              <w:jc w:val="center"/>
              <w:rPr>
                <w:color w:val="auto"/>
                <w:sz w:val="21"/>
                <w:szCs w:val="21"/>
              </w:rPr>
            </w:pPr>
            <w:r>
              <w:rPr>
                <w:rFonts w:hint="eastAsia"/>
                <w:color w:val="auto"/>
                <w:sz w:val="21"/>
                <w:szCs w:val="21"/>
              </w:rPr>
              <w:t>调节池</w:t>
            </w:r>
          </w:p>
          <w:p w14:paraId="02B414D8">
            <w:pPr>
              <w:spacing w:line="240" w:lineRule="auto"/>
              <w:ind w:firstLine="0" w:firstLineChars="0"/>
              <w:jc w:val="center"/>
              <w:rPr>
                <w:color w:val="auto"/>
                <w:sz w:val="21"/>
                <w:szCs w:val="21"/>
              </w:rPr>
            </w:pPr>
            <w:r>
              <w:rPr>
                <w:rFonts w:hint="eastAsia"/>
                <w:color w:val="auto"/>
                <w:sz w:val="21"/>
                <w:szCs w:val="21"/>
              </w:rPr>
              <w:t>高密沉淀池</w:t>
            </w:r>
          </w:p>
          <w:p w14:paraId="3316EEDF">
            <w:pPr>
              <w:spacing w:line="240" w:lineRule="auto"/>
              <w:ind w:firstLine="0" w:firstLineChars="0"/>
              <w:jc w:val="center"/>
              <w:rPr>
                <w:color w:val="auto"/>
                <w:sz w:val="21"/>
                <w:szCs w:val="21"/>
              </w:rPr>
            </w:pPr>
            <w:r>
              <w:rPr>
                <w:rFonts w:hint="eastAsia"/>
                <w:color w:val="auto"/>
                <w:sz w:val="21"/>
                <w:szCs w:val="21"/>
              </w:rPr>
              <w:t>芬顿氧化池</w:t>
            </w:r>
          </w:p>
          <w:p w14:paraId="743A006B">
            <w:pPr>
              <w:spacing w:line="240" w:lineRule="auto"/>
              <w:ind w:firstLine="0" w:firstLineChars="0"/>
              <w:jc w:val="center"/>
              <w:rPr>
                <w:color w:val="auto"/>
                <w:sz w:val="21"/>
                <w:szCs w:val="21"/>
              </w:rPr>
            </w:pPr>
            <w:r>
              <w:rPr>
                <w:rFonts w:hint="eastAsia"/>
                <w:color w:val="auto"/>
                <w:sz w:val="21"/>
                <w:szCs w:val="21"/>
              </w:rPr>
              <w:t>中和沉淀池</w:t>
            </w:r>
          </w:p>
          <w:p w14:paraId="0E677F48">
            <w:pPr>
              <w:spacing w:line="240" w:lineRule="auto"/>
              <w:ind w:firstLine="0" w:firstLineChars="0"/>
              <w:rPr>
                <w:color w:val="auto"/>
                <w:sz w:val="21"/>
                <w:szCs w:val="21"/>
              </w:rPr>
            </w:pPr>
            <w:r>
              <w:rPr>
                <w:rFonts w:hint="eastAsia"/>
                <w:color w:val="auto"/>
                <w:sz w:val="21"/>
                <w:szCs w:val="21"/>
              </w:rPr>
              <w:t>污泥池</w:t>
            </w:r>
          </w:p>
        </w:tc>
        <w:tc>
          <w:tcPr>
            <w:tcW w:w="314" w:type="pct"/>
            <w:shd w:val="clear" w:color="auto" w:fill="auto"/>
            <w:vAlign w:val="center"/>
          </w:tcPr>
          <w:p w14:paraId="0ECF29DA">
            <w:pPr>
              <w:pStyle w:val="276"/>
              <w:rPr>
                <w:color w:val="auto"/>
              </w:rPr>
            </w:pPr>
            <w:r>
              <w:rPr>
                <w:rFonts w:hint="eastAsia"/>
                <w:color w:val="auto"/>
              </w:rPr>
              <w:t>30</w:t>
            </w:r>
          </w:p>
        </w:tc>
        <w:tc>
          <w:tcPr>
            <w:tcW w:w="286" w:type="pct"/>
            <w:shd w:val="clear" w:color="auto" w:fill="auto"/>
            <w:vAlign w:val="center"/>
          </w:tcPr>
          <w:p w14:paraId="4B512B2A">
            <w:pPr>
              <w:pStyle w:val="276"/>
              <w:rPr>
                <w:color w:val="auto"/>
              </w:rPr>
            </w:pPr>
            <w:r>
              <w:rPr>
                <w:rFonts w:hint="eastAsia"/>
                <w:color w:val="auto"/>
              </w:rPr>
              <w:t>15</w:t>
            </w:r>
          </w:p>
        </w:tc>
        <w:tc>
          <w:tcPr>
            <w:tcW w:w="495" w:type="pct"/>
            <w:shd w:val="clear" w:color="auto" w:fill="auto"/>
            <w:vAlign w:val="center"/>
          </w:tcPr>
          <w:p w14:paraId="6FC88A31">
            <w:pPr>
              <w:pStyle w:val="276"/>
              <w:rPr>
                <w:color w:val="auto"/>
              </w:rPr>
            </w:pPr>
            <w:r>
              <w:rPr>
                <w:rFonts w:hint="eastAsia"/>
                <w:color w:val="auto"/>
              </w:rPr>
              <w:t>450</w:t>
            </w:r>
          </w:p>
        </w:tc>
        <w:tc>
          <w:tcPr>
            <w:tcW w:w="637" w:type="pct"/>
            <w:shd w:val="clear" w:color="auto" w:fill="auto"/>
            <w:vAlign w:val="center"/>
          </w:tcPr>
          <w:p w14:paraId="1CD925B0">
            <w:pPr>
              <w:pStyle w:val="276"/>
              <w:rPr>
                <w:color w:val="auto"/>
              </w:rPr>
            </w:pPr>
            <w:r>
              <w:rPr>
                <w:rFonts w:hint="eastAsia"/>
                <w:color w:val="auto"/>
              </w:rPr>
              <w:t>5</w:t>
            </w:r>
          </w:p>
        </w:tc>
        <w:tc>
          <w:tcPr>
            <w:tcW w:w="479" w:type="pct"/>
            <w:shd w:val="clear" w:color="auto" w:fill="auto"/>
            <w:vAlign w:val="center"/>
          </w:tcPr>
          <w:p w14:paraId="17D1F8CB">
            <w:pPr>
              <w:pStyle w:val="276"/>
              <w:rPr>
                <w:color w:val="auto"/>
              </w:rPr>
            </w:pPr>
            <w:r>
              <w:rPr>
                <w:rFonts w:hint="eastAsia"/>
                <w:color w:val="auto"/>
              </w:rPr>
              <w:t>4500</w:t>
            </w:r>
          </w:p>
        </w:tc>
        <w:tc>
          <w:tcPr>
            <w:tcW w:w="466" w:type="pct"/>
            <w:shd w:val="clear" w:color="auto" w:fill="auto"/>
            <w:vAlign w:val="center"/>
          </w:tcPr>
          <w:p w14:paraId="02D006AE">
            <w:pPr>
              <w:pStyle w:val="276"/>
              <w:rPr>
                <w:color w:val="auto"/>
              </w:rPr>
            </w:pPr>
            <w:r>
              <w:rPr>
                <w:rFonts w:hint="eastAsia"/>
                <w:color w:val="auto"/>
              </w:rPr>
              <w:t>1</w:t>
            </w:r>
          </w:p>
        </w:tc>
        <w:tc>
          <w:tcPr>
            <w:tcW w:w="351" w:type="pct"/>
            <w:shd w:val="clear" w:color="auto" w:fill="auto"/>
            <w:vAlign w:val="center"/>
          </w:tcPr>
          <w:p w14:paraId="042E62D3">
            <w:pPr>
              <w:pStyle w:val="276"/>
              <w:rPr>
                <w:color w:val="auto"/>
              </w:rPr>
            </w:pPr>
            <w:r>
              <w:rPr>
                <w:rFonts w:hint="eastAsia"/>
                <w:color w:val="auto"/>
              </w:rPr>
              <w:t>2</w:t>
            </w:r>
          </w:p>
        </w:tc>
        <w:tc>
          <w:tcPr>
            <w:tcW w:w="567" w:type="pct"/>
            <w:shd w:val="clear" w:color="auto" w:fill="auto"/>
            <w:vAlign w:val="center"/>
          </w:tcPr>
          <w:p w14:paraId="7C28A06B">
            <w:pPr>
              <w:pStyle w:val="276"/>
              <w:rPr>
                <w:color w:val="auto"/>
              </w:rPr>
            </w:pPr>
            <w:r>
              <w:rPr>
                <w:rFonts w:hint="eastAsia"/>
                <w:color w:val="auto"/>
              </w:rPr>
              <w:t>9000</w:t>
            </w:r>
          </w:p>
        </w:tc>
      </w:tr>
      <w:tr w14:paraId="68340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 w:type="pct"/>
            <w:shd w:val="clear" w:color="auto" w:fill="auto"/>
            <w:vAlign w:val="center"/>
          </w:tcPr>
          <w:p w14:paraId="71AD0AE6">
            <w:pPr>
              <w:spacing w:line="240" w:lineRule="auto"/>
              <w:ind w:firstLine="0" w:firstLineChars="0"/>
              <w:jc w:val="center"/>
              <w:rPr>
                <w:color w:val="auto"/>
                <w:sz w:val="21"/>
                <w:szCs w:val="21"/>
              </w:rPr>
            </w:pPr>
            <w:r>
              <w:rPr>
                <w:rFonts w:hint="eastAsia"/>
                <w:color w:val="auto"/>
                <w:sz w:val="21"/>
                <w:szCs w:val="21"/>
              </w:rPr>
              <w:t>4</w:t>
            </w:r>
          </w:p>
        </w:tc>
        <w:tc>
          <w:tcPr>
            <w:tcW w:w="1168" w:type="pct"/>
            <w:shd w:val="clear" w:color="auto" w:fill="auto"/>
            <w:noWrap/>
            <w:vAlign w:val="center"/>
          </w:tcPr>
          <w:p w14:paraId="6591CCA5">
            <w:pPr>
              <w:spacing w:line="240" w:lineRule="auto"/>
              <w:ind w:firstLine="0" w:firstLineChars="0"/>
              <w:jc w:val="center"/>
              <w:rPr>
                <w:color w:val="auto"/>
                <w:sz w:val="21"/>
                <w:szCs w:val="21"/>
              </w:rPr>
            </w:pPr>
            <w:r>
              <w:rPr>
                <w:rFonts w:hint="eastAsia"/>
                <w:color w:val="auto"/>
                <w:sz w:val="21"/>
                <w:szCs w:val="21"/>
                <w:lang w:eastAsia="zh-CN"/>
              </w:rPr>
              <w:t>污泥压滤间</w:t>
            </w:r>
          </w:p>
        </w:tc>
        <w:tc>
          <w:tcPr>
            <w:tcW w:w="314" w:type="pct"/>
            <w:shd w:val="clear" w:color="auto" w:fill="auto"/>
            <w:vAlign w:val="center"/>
          </w:tcPr>
          <w:p w14:paraId="5B9220F4">
            <w:pPr>
              <w:pStyle w:val="276"/>
              <w:rPr>
                <w:color w:val="auto"/>
              </w:rPr>
            </w:pPr>
            <w:r>
              <w:rPr>
                <w:rFonts w:hint="eastAsia"/>
                <w:color w:val="auto"/>
              </w:rPr>
              <w:t>/</w:t>
            </w:r>
          </w:p>
        </w:tc>
        <w:tc>
          <w:tcPr>
            <w:tcW w:w="286" w:type="pct"/>
            <w:shd w:val="clear" w:color="auto" w:fill="auto"/>
            <w:vAlign w:val="center"/>
          </w:tcPr>
          <w:p w14:paraId="1A6D7641">
            <w:pPr>
              <w:pStyle w:val="276"/>
              <w:rPr>
                <w:color w:val="auto"/>
              </w:rPr>
            </w:pPr>
            <w:r>
              <w:rPr>
                <w:rFonts w:hint="eastAsia"/>
                <w:color w:val="auto"/>
              </w:rPr>
              <w:t>/</w:t>
            </w:r>
          </w:p>
        </w:tc>
        <w:tc>
          <w:tcPr>
            <w:tcW w:w="495" w:type="pct"/>
            <w:shd w:val="clear" w:color="auto" w:fill="auto"/>
            <w:vAlign w:val="center"/>
          </w:tcPr>
          <w:p w14:paraId="0A93B133">
            <w:pPr>
              <w:pStyle w:val="276"/>
              <w:rPr>
                <w:color w:val="auto"/>
              </w:rPr>
            </w:pPr>
            <w:r>
              <w:rPr>
                <w:rFonts w:hint="eastAsia"/>
                <w:color w:val="auto"/>
              </w:rPr>
              <w:t>15</w:t>
            </w:r>
          </w:p>
        </w:tc>
        <w:tc>
          <w:tcPr>
            <w:tcW w:w="637" w:type="pct"/>
            <w:shd w:val="clear" w:color="auto" w:fill="auto"/>
            <w:vAlign w:val="center"/>
          </w:tcPr>
          <w:p w14:paraId="3FE6CFBB">
            <w:pPr>
              <w:pStyle w:val="276"/>
              <w:rPr>
                <w:color w:val="auto"/>
              </w:rPr>
            </w:pPr>
            <w:r>
              <w:rPr>
                <w:rFonts w:hint="eastAsia"/>
                <w:color w:val="auto"/>
              </w:rPr>
              <w:t>/</w:t>
            </w:r>
          </w:p>
        </w:tc>
        <w:tc>
          <w:tcPr>
            <w:tcW w:w="479" w:type="pct"/>
            <w:shd w:val="clear" w:color="auto" w:fill="auto"/>
            <w:vAlign w:val="center"/>
          </w:tcPr>
          <w:p w14:paraId="71C74CB4">
            <w:pPr>
              <w:pStyle w:val="276"/>
              <w:rPr>
                <w:color w:val="auto"/>
              </w:rPr>
            </w:pPr>
            <w:r>
              <w:rPr>
                <w:rFonts w:hint="eastAsia"/>
                <w:color w:val="auto"/>
              </w:rPr>
              <w:t>75</w:t>
            </w:r>
          </w:p>
        </w:tc>
        <w:tc>
          <w:tcPr>
            <w:tcW w:w="466" w:type="pct"/>
            <w:shd w:val="clear" w:color="auto" w:fill="auto"/>
            <w:vAlign w:val="center"/>
          </w:tcPr>
          <w:p w14:paraId="57765B41">
            <w:pPr>
              <w:pStyle w:val="276"/>
              <w:rPr>
                <w:color w:val="auto"/>
              </w:rPr>
            </w:pPr>
            <w:r>
              <w:rPr>
                <w:rFonts w:hint="eastAsia"/>
                <w:color w:val="auto"/>
              </w:rPr>
              <w:t>1</w:t>
            </w:r>
          </w:p>
        </w:tc>
        <w:tc>
          <w:tcPr>
            <w:tcW w:w="351" w:type="pct"/>
            <w:shd w:val="clear" w:color="auto" w:fill="auto"/>
            <w:vAlign w:val="center"/>
          </w:tcPr>
          <w:p w14:paraId="752B8632">
            <w:pPr>
              <w:pStyle w:val="276"/>
              <w:rPr>
                <w:color w:val="auto"/>
              </w:rPr>
            </w:pPr>
            <w:r>
              <w:rPr>
                <w:rFonts w:hint="eastAsia"/>
                <w:color w:val="auto"/>
              </w:rPr>
              <w:t>12</w:t>
            </w:r>
          </w:p>
        </w:tc>
        <w:tc>
          <w:tcPr>
            <w:tcW w:w="567" w:type="pct"/>
            <w:shd w:val="clear" w:color="auto" w:fill="auto"/>
            <w:vAlign w:val="center"/>
          </w:tcPr>
          <w:p w14:paraId="66169D43">
            <w:pPr>
              <w:pStyle w:val="276"/>
              <w:rPr>
                <w:color w:val="auto"/>
              </w:rPr>
            </w:pPr>
            <w:r>
              <w:rPr>
                <w:rFonts w:hint="eastAsia"/>
                <w:color w:val="auto"/>
              </w:rPr>
              <w:t>900</w:t>
            </w:r>
          </w:p>
        </w:tc>
      </w:tr>
      <w:tr w14:paraId="2A617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 w:type="pct"/>
            <w:shd w:val="clear" w:color="auto" w:fill="auto"/>
            <w:vAlign w:val="center"/>
          </w:tcPr>
          <w:p w14:paraId="168ADD9B">
            <w:pPr>
              <w:spacing w:line="240" w:lineRule="auto"/>
              <w:ind w:firstLine="0" w:firstLineChars="0"/>
              <w:jc w:val="center"/>
              <w:rPr>
                <w:color w:val="auto"/>
                <w:sz w:val="21"/>
                <w:szCs w:val="21"/>
              </w:rPr>
            </w:pPr>
            <w:r>
              <w:rPr>
                <w:rFonts w:hint="eastAsia"/>
                <w:color w:val="auto"/>
                <w:sz w:val="21"/>
                <w:szCs w:val="21"/>
              </w:rPr>
              <w:t>5</w:t>
            </w:r>
          </w:p>
        </w:tc>
        <w:tc>
          <w:tcPr>
            <w:tcW w:w="1168" w:type="pct"/>
            <w:shd w:val="clear" w:color="auto" w:fill="auto"/>
            <w:noWrap/>
            <w:vAlign w:val="center"/>
          </w:tcPr>
          <w:p w14:paraId="49E1B826">
            <w:pPr>
              <w:spacing w:line="240" w:lineRule="auto"/>
              <w:ind w:firstLine="0" w:firstLineChars="0"/>
              <w:jc w:val="center"/>
              <w:rPr>
                <w:color w:val="auto"/>
                <w:sz w:val="21"/>
                <w:szCs w:val="21"/>
              </w:rPr>
            </w:pPr>
            <w:r>
              <w:rPr>
                <w:rFonts w:hint="eastAsia"/>
                <w:color w:val="auto"/>
                <w:sz w:val="21"/>
                <w:szCs w:val="21"/>
              </w:rPr>
              <w:t>污泥暂存库</w:t>
            </w:r>
          </w:p>
        </w:tc>
        <w:tc>
          <w:tcPr>
            <w:tcW w:w="314" w:type="pct"/>
            <w:shd w:val="clear" w:color="auto" w:fill="auto"/>
            <w:vAlign w:val="center"/>
          </w:tcPr>
          <w:p w14:paraId="7C8CFB90">
            <w:pPr>
              <w:pStyle w:val="276"/>
              <w:rPr>
                <w:color w:val="auto"/>
              </w:rPr>
            </w:pPr>
            <w:r>
              <w:rPr>
                <w:rFonts w:hint="eastAsia"/>
                <w:color w:val="auto"/>
              </w:rPr>
              <w:t>/</w:t>
            </w:r>
          </w:p>
        </w:tc>
        <w:tc>
          <w:tcPr>
            <w:tcW w:w="286" w:type="pct"/>
            <w:shd w:val="clear" w:color="auto" w:fill="auto"/>
            <w:vAlign w:val="center"/>
          </w:tcPr>
          <w:p w14:paraId="50920A20">
            <w:pPr>
              <w:pStyle w:val="276"/>
              <w:rPr>
                <w:color w:val="auto"/>
              </w:rPr>
            </w:pPr>
            <w:r>
              <w:rPr>
                <w:rFonts w:hint="eastAsia"/>
                <w:color w:val="auto"/>
              </w:rPr>
              <w:t>/</w:t>
            </w:r>
          </w:p>
        </w:tc>
        <w:tc>
          <w:tcPr>
            <w:tcW w:w="495" w:type="pct"/>
            <w:shd w:val="clear" w:color="auto" w:fill="auto"/>
            <w:vAlign w:val="center"/>
          </w:tcPr>
          <w:p w14:paraId="016E460C">
            <w:pPr>
              <w:pStyle w:val="276"/>
              <w:rPr>
                <w:color w:val="auto"/>
              </w:rPr>
            </w:pPr>
            <w:r>
              <w:rPr>
                <w:rFonts w:hint="eastAsia"/>
                <w:color w:val="auto"/>
              </w:rPr>
              <w:t>20</w:t>
            </w:r>
          </w:p>
        </w:tc>
        <w:tc>
          <w:tcPr>
            <w:tcW w:w="637" w:type="pct"/>
            <w:shd w:val="clear" w:color="auto" w:fill="auto"/>
            <w:vAlign w:val="center"/>
          </w:tcPr>
          <w:p w14:paraId="267D810B">
            <w:pPr>
              <w:pStyle w:val="276"/>
              <w:rPr>
                <w:color w:val="auto"/>
              </w:rPr>
            </w:pPr>
            <w:r>
              <w:rPr>
                <w:rFonts w:hint="eastAsia"/>
                <w:color w:val="auto"/>
              </w:rPr>
              <w:t>/</w:t>
            </w:r>
          </w:p>
        </w:tc>
        <w:tc>
          <w:tcPr>
            <w:tcW w:w="479" w:type="pct"/>
            <w:shd w:val="clear" w:color="auto" w:fill="auto"/>
            <w:vAlign w:val="center"/>
          </w:tcPr>
          <w:p w14:paraId="6E41E4C0">
            <w:pPr>
              <w:pStyle w:val="276"/>
              <w:rPr>
                <w:color w:val="auto"/>
              </w:rPr>
            </w:pPr>
            <w:r>
              <w:rPr>
                <w:rFonts w:hint="eastAsia"/>
                <w:color w:val="auto"/>
              </w:rPr>
              <w:t>100</w:t>
            </w:r>
          </w:p>
        </w:tc>
        <w:tc>
          <w:tcPr>
            <w:tcW w:w="466" w:type="pct"/>
            <w:shd w:val="clear" w:color="auto" w:fill="auto"/>
            <w:vAlign w:val="center"/>
          </w:tcPr>
          <w:p w14:paraId="70CBCF67">
            <w:pPr>
              <w:pStyle w:val="276"/>
              <w:rPr>
                <w:color w:val="auto"/>
              </w:rPr>
            </w:pPr>
            <w:r>
              <w:rPr>
                <w:rFonts w:hint="eastAsia"/>
                <w:color w:val="auto"/>
              </w:rPr>
              <w:t>1</w:t>
            </w:r>
          </w:p>
        </w:tc>
        <w:tc>
          <w:tcPr>
            <w:tcW w:w="351" w:type="pct"/>
            <w:shd w:val="clear" w:color="auto" w:fill="auto"/>
            <w:vAlign w:val="center"/>
          </w:tcPr>
          <w:p w14:paraId="4417F333">
            <w:pPr>
              <w:pStyle w:val="276"/>
              <w:rPr>
                <w:color w:val="auto"/>
              </w:rPr>
            </w:pPr>
            <w:r>
              <w:rPr>
                <w:rFonts w:hint="eastAsia"/>
                <w:color w:val="auto"/>
              </w:rPr>
              <w:t>12</w:t>
            </w:r>
          </w:p>
        </w:tc>
        <w:tc>
          <w:tcPr>
            <w:tcW w:w="567" w:type="pct"/>
            <w:shd w:val="clear" w:color="auto" w:fill="auto"/>
            <w:vAlign w:val="center"/>
          </w:tcPr>
          <w:p w14:paraId="19C9FB0D">
            <w:pPr>
              <w:pStyle w:val="276"/>
              <w:rPr>
                <w:color w:val="auto"/>
              </w:rPr>
            </w:pPr>
            <w:r>
              <w:rPr>
                <w:rFonts w:hint="eastAsia"/>
                <w:color w:val="auto"/>
              </w:rPr>
              <w:t>1200</w:t>
            </w:r>
          </w:p>
        </w:tc>
      </w:tr>
      <w:tr w14:paraId="3CB3D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33" w:type="pct"/>
            <w:gridSpan w:val="9"/>
            <w:shd w:val="clear" w:color="auto" w:fill="auto"/>
            <w:vAlign w:val="center"/>
          </w:tcPr>
          <w:p w14:paraId="106D6D19">
            <w:pPr>
              <w:pStyle w:val="276"/>
              <w:rPr>
                <w:color w:val="auto"/>
              </w:rPr>
            </w:pPr>
            <w:r>
              <w:rPr>
                <w:rFonts w:hint="eastAsia"/>
                <w:color w:val="auto"/>
              </w:rPr>
              <w:t>合计</w:t>
            </w:r>
          </w:p>
        </w:tc>
        <w:tc>
          <w:tcPr>
            <w:tcW w:w="567" w:type="pct"/>
            <w:shd w:val="clear" w:color="auto" w:fill="auto"/>
            <w:vAlign w:val="center"/>
          </w:tcPr>
          <w:p w14:paraId="67119E25">
            <w:pPr>
              <w:pStyle w:val="276"/>
              <w:rPr>
                <w:color w:val="auto"/>
              </w:rPr>
            </w:pPr>
            <w:r>
              <w:rPr>
                <w:rFonts w:hint="eastAsia"/>
                <w:color w:val="auto"/>
              </w:rPr>
              <w:t>19920</w:t>
            </w:r>
          </w:p>
        </w:tc>
      </w:tr>
    </w:tbl>
    <w:p w14:paraId="23875F70">
      <w:pPr>
        <w:ind w:firstLineChars="83"/>
        <w:jc w:val="center"/>
        <w:rPr>
          <w:b/>
          <w:bCs/>
          <w:color w:val="auto"/>
        </w:rPr>
      </w:pPr>
    </w:p>
    <w:p w14:paraId="09EDD7C1">
      <w:pPr>
        <w:spacing w:line="360" w:lineRule="auto"/>
        <w:ind w:firstLine="480"/>
        <w:rPr>
          <w:color w:val="auto"/>
        </w:rPr>
      </w:pPr>
      <w:r>
        <w:rPr>
          <w:rFonts w:hint="eastAsia"/>
          <w:color w:val="auto"/>
          <w:szCs w:val="24"/>
        </w:rPr>
        <w:t>项目废水收集池接收过程中臭气产生量较大，污泥脱水车间及污泥暂存库均采用密闭负压抽排废气，换气次数按1</w:t>
      </w:r>
      <w:r>
        <w:rPr>
          <w:color w:val="auto"/>
          <w:szCs w:val="24"/>
        </w:rPr>
        <w:t>2</w:t>
      </w:r>
      <w:r>
        <w:rPr>
          <w:rFonts w:hint="eastAsia"/>
          <w:color w:val="auto"/>
          <w:szCs w:val="24"/>
        </w:rPr>
        <w:t>次/</w:t>
      </w:r>
      <w:r>
        <w:rPr>
          <w:color w:val="auto"/>
          <w:szCs w:val="24"/>
        </w:rPr>
        <w:t>h</w:t>
      </w:r>
      <w:r>
        <w:rPr>
          <w:rFonts w:hint="eastAsia"/>
          <w:color w:val="auto"/>
          <w:szCs w:val="24"/>
        </w:rPr>
        <w:t>考虑。其余产臭构筑物采取加盖对废气进行收集排放，换气次数按</w:t>
      </w:r>
      <w:r>
        <w:rPr>
          <w:color w:val="auto"/>
          <w:szCs w:val="24"/>
        </w:rPr>
        <w:t>2</w:t>
      </w:r>
      <w:r>
        <w:rPr>
          <w:rFonts w:hint="eastAsia"/>
          <w:color w:val="auto"/>
          <w:szCs w:val="24"/>
        </w:rPr>
        <w:t>次/</w:t>
      </w:r>
      <w:r>
        <w:rPr>
          <w:color w:val="auto"/>
          <w:szCs w:val="24"/>
        </w:rPr>
        <w:t>h</w:t>
      </w:r>
      <w:r>
        <w:rPr>
          <w:rFonts w:hint="eastAsia"/>
          <w:color w:val="auto"/>
          <w:szCs w:val="24"/>
        </w:rPr>
        <w:t>考虑。由上表可知，项目收集风量约为</w:t>
      </w:r>
      <w:r>
        <w:rPr>
          <w:color w:val="auto"/>
          <w:szCs w:val="24"/>
        </w:rPr>
        <w:t>1992</w:t>
      </w:r>
      <w:r>
        <w:rPr>
          <w:rFonts w:hint="eastAsia"/>
          <w:color w:val="auto"/>
          <w:szCs w:val="24"/>
        </w:rPr>
        <w:t>0m</w:t>
      </w:r>
      <w:r>
        <w:rPr>
          <w:rFonts w:hint="eastAsia"/>
          <w:color w:val="auto"/>
          <w:szCs w:val="24"/>
          <w:vertAlign w:val="superscript"/>
        </w:rPr>
        <w:t>3</w:t>
      </w:r>
      <w:r>
        <w:rPr>
          <w:rFonts w:hint="eastAsia"/>
          <w:color w:val="auto"/>
          <w:szCs w:val="24"/>
        </w:rPr>
        <w:t>/h。</w:t>
      </w:r>
      <w:r>
        <w:rPr>
          <w:rFonts w:hint="eastAsia"/>
          <w:color w:val="auto"/>
        </w:rPr>
        <w:t>考虑到项目主要产臭构筑物均已密闭或负压抽排，因此拟建项目有组织收集的臭气占比取</w:t>
      </w:r>
      <w:r>
        <w:rPr>
          <w:color w:val="auto"/>
        </w:rPr>
        <w:t>90%</w:t>
      </w:r>
      <w:r>
        <w:rPr>
          <w:rFonts w:hint="eastAsia"/>
          <w:color w:val="auto"/>
        </w:rPr>
        <w:t>，未收集的废气占比</w:t>
      </w:r>
      <w:r>
        <w:rPr>
          <w:color w:val="auto"/>
        </w:rPr>
        <w:t>10%</w:t>
      </w:r>
      <w:r>
        <w:rPr>
          <w:rFonts w:hint="eastAsia"/>
          <w:color w:val="auto"/>
        </w:rPr>
        <w:t>。碱喷淋+除湿+活性炭吸附对有机废气和臭气综合处理效率按60%计，</w:t>
      </w:r>
      <w:r>
        <w:rPr>
          <w:rFonts w:hint="eastAsia"/>
          <w:color w:val="auto"/>
          <w:szCs w:val="24"/>
        </w:rPr>
        <w:t>拟建项目风机风量按</w:t>
      </w:r>
      <w:r>
        <w:rPr>
          <w:color w:val="auto"/>
          <w:szCs w:val="24"/>
        </w:rPr>
        <w:t>20000m</w:t>
      </w:r>
      <w:r>
        <w:rPr>
          <w:color w:val="auto"/>
          <w:szCs w:val="24"/>
          <w:vertAlign w:val="superscript"/>
        </w:rPr>
        <w:t>3</w:t>
      </w:r>
      <w:r>
        <w:rPr>
          <w:color w:val="auto"/>
          <w:szCs w:val="24"/>
        </w:rPr>
        <w:t>/h</w:t>
      </w:r>
      <w:r>
        <w:rPr>
          <w:rFonts w:hint="eastAsia"/>
          <w:color w:val="auto"/>
          <w:szCs w:val="24"/>
        </w:rPr>
        <w:t>进行配置，臭气经</w:t>
      </w:r>
      <w:r>
        <w:rPr>
          <w:rFonts w:hint="eastAsia"/>
          <w:color w:val="auto"/>
          <w:szCs w:val="21"/>
        </w:rPr>
        <w:t>处理达标后</w:t>
      </w:r>
      <w:r>
        <w:rPr>
          <w:rFonts w:hint="eastAsia"/>
          <w:color w:val="auto"/>
          <w:szCs w:val="24"/>
        </w:rPr>
        <w:t>经1根1</w:t>
      </w:r>
      <w:r>
        <w:rPr>
          <w:color w:val="auto"/>
          <w:szCs w:val="24"/>
        </w:rPr>
        <w:t>5m</w:t>
      </w:r>
      <w:r>
        <w:rPr>
          <w:rFonts w:hint="eastAsia"/>
          <w:color w:val="auto"/>
          <w:szCs w:val="24"/>
        </w:rPr>
        <w:t>高排气筒</w:t>
      </w:r>
      <w:r>
        <w:rPr>
          <w:bCs/>
          <w:color w:val="auto"/>
        </w:rPr>
        <w:t>（DA00</w:t>
      </w:r>
      <w:r>
        <w:rPr>
          <w:rFonts w:hint="eastAsia"/>
          <w:bCs/>
          <w:color w:val="auto"/>
        </w:rPr>
        <w:t>1</w:t>
      </w:r>
      <w:r>
        <w:rPr>
          <w:bCs/>
          <w:color w:val="auto"/>
        </w:rPr>
        <w:t>）</w:t>
      </w:r>
      <w:r>
        <w:rPr>
          <w:rFonts w:hint="eastAsia"/>
          <w:color w:val="auto"/>
          <w:szCs w:val="24"/>
        </w:rPr>
        <w:t>排放</w:t>
      </w:r>
      <w:r>
        <w:rPr>
          <w:rFonts w:hint="eastAsia"/>
          <w:color w:val="auto"/>
        </w:rPr>
        <w:t>。</w:t>
      </w:r>
    </w:p>
    <w:p w14:paraId="0A467FE7">
      <w:pPr>
        <w:widowControl/>
        <w:adjustRightInd/>
        <w:snapToGrid/>
        <w:spacing w:line="360" w:lineRule="auto"/>
        <w:ind w:firstLine="480"/>
        <w:jc w:val="left"/>
        <w:rPr>
          <w:color w:val="auto"/>
        </w:rPr>
      </w:pPr>
      <w:r>
        <w:rPr>
          <w:color w:val="auto"/>
        </w:rPr>
        <w:t>拟建项目运营期间</w:t>
      </w:r>
      <w:r>
        <w:rPr>
          <w:rFonts w:hint="eastAsia"/>
          <w:color w:val="auto"/>
        </w:rPr>
        <w:t>各废气产生及排放情况见下表：</w:t>
      </w:r>
    </w:p>
    <w:p w14:paraId="02070CF4">
      <w:pPr>
        <w:ind w:firstLine="482"/>
        <w:rPr>
          <w:b/>
          <w:bCs/>
          <w:color w:val="auto"/>
          <w:szCs w:val="24"/>
        </w:rPr>
        <w:sectPr>
          <w:pgSz w:w="11906" w:h="16838"/>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pPr>
    </w:p>
    <w:p w14:paraId="0FC92EC2">
      <w:pPr>
        <w:ind w:firstLine="482"/>
        <w:jc w:val="center"/>
        <w:rPr>
          <w:color w:val="auto"/>
        </w:rPr>
      </w:pPr>
      <w:r>
        <w:rPr>
          <w:b/>
          <w:bCs/>
          <w:color w:val="auto"/>
          <w:szCs w:val="24"/>
        </w:rPr>
        <w:t>表3.14-</w:t>
      </w:r>
      <w:r>
        <w:rPr>
          <w:rFonts w:hint="eastAsia"/>
          <w:b/>
          <w:bCs/>
          <w:color w:val="auto"/>
          <w:szCs w:val="24"/>
        </w:rPr>
        <w:t xml:space="preserve">6   </w:t>
      </w:r>
      <w:r>
        <w:rPr>
          <w:b/>
          <w:color w:val="auto"/>
          <w:szCs w:val="24"/>
        </w:rPr>
        <w:t>废气污染物排放信息表</w:t>
      </w:r>
    </w:p>
    <w:tbl>
      <w:tblPr>
        <w:tblStyle w:val="88"/>
        <w:tblW w:w="4996"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864"/>
        <w:gridCol w:w="1151"/>
        <w:gridCol w:w="863"/>
        <w:gridCol w:w="929"/>
        <w:gridCol w:w="798"/>
        <w:gridCol w:w="686"/>
        <w:gridCol w:w="1105"/>
        <w:gridCol w:w="762"/>
        <w:gridCol w:w="928"/>
        <w:gridCol w:w="998"/>
        <w:gridCol w:w="998"/>
        <w:gridCol w:w="863"/>
        <w:gridCol w:w="929"/>
        <w:gridCol w:w="722"/>
        <w:gridCol w:w="894"/>
      </w:tblGrid>
      <w:tr w14:paraId="59CA658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52" w:type="pct"/>
            <w:vMerge w:val="restart"/>
            <w:tcBorders>
              <w:tl2br w:val="nil"/>
              <w:tr2bl w:val="nil"/>
            </w:tcBorders>
            <w:vAlign w:val="center"/>
          </w:tcPr>
          <w:p w14:paraId="3215DBE5">
            <w:pPr>
              <w:spacing w:line="240" w:lineRule="auto"/>
              <w:ind w:firstLine="0" w:firstLineChars="0"/>
              <w:jc w:val="center"/>
              <w:rPr>
                <w:color w:val="auto"/>
                <w:sz w:val="21"/>
                <w:szCs w:val="21"/>
              </w:rPr>
            </w:pPr>
            <w:r>
              <w:rPr>
                <w:rFonts w:hint="eastAsia"/>
                <w:color w:val="auto"/>
                <w:sz w:val="21"/>
                <w:szCs w:val="21"/>
              </w:rPr>
              <w:t>工序</w:t>
            </w:r>
          </w:p>
        </w:tc>
        <w:tc>
          <w:tcPr>
            <w:tcW w:w="304" w:type="pct"/>
            <w:vMerge w:val="restart"/>
            <w:tcBorders>
              <w:tl2br w:val="nil"/>
              <w:tr2bl w:val="nil"/>
            </w:tcBorders>
            <w:vAlign w:val="center"/>
          </w:tcPr>
          <w:p w14:paraId="50679F85">
            <w:pPr>
              <w:spacing w:line="240" w:lineRule="auto"/>
              <w:ind w:firstLine="0" w:firstLineChars="0"/>
              <w:jc w:val="center"/>
              <w:rPr>
                <w:color w:val="auto"/>
                <w:sz w:val="21"/>
                <w:szCs w:val="21"/>
              </w:rPr>
            </w:pPr>
            <w:r>
              <w:rPr>
                <w:rFonts w:hint="eastAsia"/>
                <w:color w:val="auto"/>
                <w:sz w:val="21"/>
                <w:szCs w:val="21"/>
              </w:rPr>
              <w:t>污染物类型</w:t>
            </w:r>
          </w:p>
        </w:tc>
        <w:tc>
          <w:tcPr>
            <w:tcW w:w="405" w:type="pct"/>
            <w:vMerge w:val="restart"/>
            <w:tcBorders>
              <w:tl2br w:val="nil"/>
              <w:tr2bl w:val="nil"/>
            </w:tcBorders>
            <w:vAlign w:val="center"/>
          </w:tcPr>
          <w:p w14:paraId="166DB453">
            <w:pPr>
              <w:spacing w:line="240" w:lineRule="auto"/>
              <w:ind w:firstLine="0" w:firstLineChars="0"/>
              <w:jc w:val="center"/>
              <w:rPr>
                <w:color w:val="auto"/>
                <w:sz w:val="21"/>
                <w:szCs w:val="21"/>
              </w:rPr>
            </w:pPr>
            <w:r>
              <w:rPr>
                <w:rFonts w:hint="eastAsia"/>
                <w:color w:val="auto"/>
                <w:sz w:val="21"/>
                <w:szCs w:val="21"/>
              </w:rPr>
              <w:t>核算方法</w:t>
            </w:r>
          </w:p>
        </w:tc>
        <w:tc>
          <w:tcPr>
            <w:tcW w:w="912" w:type="pct"/>
            <w:gridSpan w:val="3"/>
            <w:tcBorders>
              <w:tl2br w:val="nil"/>
              <w:tr2bl w:val="nil"/>
            </w:tcBorders>
            <w:vAlign w:val="center"/>
          </w:tcPr>
          <w:p w14:paraId="3DFEADD6">
            <w:pPr>
              <w:spacing w:line="240" w:lineRule="auto"/>
              <w:ind w:firstLine="0" w:firstLineChars="0"/>
              <w:jc w:val="center"/>
              <w:rPr>
                <w:color w:val="auto"/>
                <w:sz w:val="21"/>
                <w:szCs w:val="21"/>
              </w:rPr>
            </w:pPr>
            <w:r>
              <w:rPr>
                <w:rFonts w:hint="eastAsia"/>
                <w:color w:val="auto"/>
                <w:sz w:val="21"/>
                <w:szCs w:val="21"/>
              </w:rPr>
              <w:t>污染物产生</w:t>
            </w:r>
          </w:p>
        </w:tc>
        <w:tc>
          <w:tcPr>
            <w:tcW w:w="898" w:type="pct"/>
            <w:gridSpan w:val="3"/>
            <w:tcBorders>
              <w:tl2br w:val="nil"/>
              <w:tr2bl w:val="nil"/>
            </w:tcBorders>
            <w:vAlign w:val="center"/>
          </w:tcPr>
          <w:p w14:paraId="67B31AC5">
            <w:pPr>
              <w:spacing w:line="240" w:lineRule="auto"/>
              <w:ind w:firstLine="0" w:firstLineChars="0"/>
              <w:jc w:val="center"/>
              <w:rPr>
                <w:color w:val="auto"/>
                <w:sz w:val="21"/>
                <w:szCs w:val="21"/>
              </w:rPr>
            </w:pPr>
            <w:r>
              <w:rPr>
                <w:rFonts w:hint="eastAsia"/>
                <w:color w:val="auto"/>
                <w:sz w:val="21"/>
                <w:szCs w:val="21"/>
              </w:rPr>
              <w:t>治理措施</w:t>
            </w:r>
          </w:p>
        </w:tc>
        <w:tc>
          <w:tcPr>
            <w:tcW w:w="1913" w:type="pct"/>
            <w:gridSpan w:val="6"/>
            <w:tcBorders>
              <w:tl2br w:val="nil"/>
              <w:tr2bl w:val="nil"/>
            </w:tcBorders>
            <w:vAlign w:val="center"/>
          </w:tcPr>
          <w:p w14:paraId="528B3ECC">
            <w:pPr>
              <w:spacing w:line="240" w:lineRule="auto"/>
              <w:ind w:firstLine="0" w:firstLineChars="0"/>
              <w:jc w:val="center"/>
              <w:rPr>
                <w:color w:val="auto"/>
                <w:sz w:val="21"/>
                <w:szCs w:val="21"/>
              </w:rPr>
            </w:pPr>
            <w:r>
              <w:rPr>
                <w:rFonts w:hint="eastAsia"/>
                <w:color w:val="auto"/>
                <w:sz w:val="21"/>
                <w:szCs w:val="21"/>
              </w:rPr>
              <w:t>污染物排放</w:t>
            </w:r>
          </w:p>
        </w:tc>
        <w:tc>
          <w:tcPr>
            <w:tcW w:w="315" w:type="pct"/>
            <w:vMerge w:val="restart"/>
            <w:tcBorders>
              <w:tl2br w:val="nil"/>
              <w:tr2bl w:val="nil"/>
            </w:tcBorders>
            <w:vAlign w:val="center"/>
          </w:tcPr>
          <w:p w14:paraId="1C5ADD93">
            <w:pPr>
              <w:spacing w:line="240" w:lineRule="auto"/>
              <w:ind w:firstLine="0" w:firstLineChars="0"/>
              <w:jc w:val="center"/>
              <w:rPr>
                <w:color w:val="auto"/>
                <w:sz w:val="21"/>
                <w:szCs w:val="21"/>
              </w:rPr>
            </w:pPr>
            <w:r>
              <w:rPr>
                <w:rFonts w:hint="eastAsia"/>
                <w:color w:val="auto"/>
                <w:sz w:val="21"/>
                <w:szCs w:val="21"/>
              </w:rPr>
              <w:t>排放口编号</w:t>
            </w:r>
          </w:p>
        </w:tc>
      </w:tr>
      <w:tr w14:paraId="25F75EC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52" w:type="pct"/>
            <w:vMerge w:val="continue"/>
            <w:tcBorders>
              <w:tl2br w:val="nil"/>
              <w:tr2bl w:val="nil"/>
            </w:tcBorders>
            <w:vAlign w:val="center"/>
          </w:tcPr>
          <w:p w14:paraId="0B113098">
            <w:pPr>
              <w:spacing w:line="240" w:lineRule="auto"/>
              <w:ind w:firstLine="0" w:firstLineChars="0"/>
              <w:jc w:val="center"/>
              <w:rPr>
                <w:color w:val="auto"/>
                <w:sz w:val="21"/>
                <w:szCs w:val="21"/>
              </w:rPr>
            </w:pPr>
          </w:p>
        </w:tc>
        <w:tc>
          <w:tcPr>
            <w:tcW w:w="304" w:type="pct"/>
            <w:vMerge w:val="continue"/>
            <w:tcBorders>
              <w:tl2br w:val="nil"/>
              <w:tr2bl w:val="nil"/>
            </w:tcBorders>
            <w:vAlign w:val="center"/>
          </w:tcPr>
          <w:p w14:paraId="1CF5E8FE">
            <w:pPr>
              <w:spacing w:line="240" w:lineRule="auto"/>
              <w:ind w:firstLine="0" w:firstLineChars="0"/>
              <w:jc w:val="center"/>
              <w:rPr>
                <w:color w:val="auto"/>
                <w:sz w:val="21"/>
                <w:szCs w:val="21"/>
              </w:rPr>
            </w:pPr>
          </w:p>
        </w:tc>
        <w:tc>
          <w:tcPr>
            <w:tcW w:w="405" w:type="pct"/>
            <w:vMerge w:val="continue"/>
            <w:tcBorders>
              <w:tl2br w:val="nil"/>
              <w:tr2bl w:val="nil"/>
            </w:tcBorders>
            <w:vAlign w:val="center"/>
          </w:tcPr>
          <w:p w14:paraId="58428614">
            <w:pPr>
              <w:spacing w:line="240" w:lineRule="auto"/>
              <w:ind w:firstLine="0" w:firstLineChars="0"/>
              <w:jc w:val="center"/>
              <w:rPr>
                <w:color w:val="auto"/>
                <w:sz w:val="21"/>
                <w:szCs w:val="21"/>
              </w:rPr>
            </w:pPr>
          </w:p>
        </w:tc>
        <w:tc>
          <w:tcPr>
            <w:tcW w:w="304" w:type="pct"/>
            <w:tcBorders>
              <w:tl2br w:val="nil"/>
              <w:tr2bl w:val="nil"/>
            </w:tcBorders>
            <w:vAlign w:val="center"/>
          </w:tcPr>
          <w:p w14:paraId="38BEFB77">
            <w:pPr>
              <w:spacing w:line="240" w:lineRule="auto"/>
              <w:ind w:firstLine="0" w:firstLineChars="0"/>
              <w:jc w:val="center"/>
              <w:rPr>
                <w:color w:val="auto"/>
                <w:sz w:val="21"/>
                <w:szCs w:val="21"/>
              </w:rPr>
            </w:pPr>
            <w:r>
              <w:rPr>
                <w:rFonts w:hint="eastAsia"/>
                <w:color w:val="auto"/>
                <w:sz w:val="21"/>
                <w:szCs w:val="21"/>
              </w:rPr>
              <w:t>浓度</w:t>
            </w:r>
            <w:r>
              <w:rPr>
                <w:rFonts w:hint="eastAsia"/>
                <w:color w:val="auto"/>
                <w:sz w:val="21"/>
                <w:szCs w:val="21"/>
                <w:lang w:eastAsia="zh-CN"/>
              </w:rPr>
              <w:t>（</w:t>
            </w:r>
            <w:r>
              <w:rPr>
                <w:rFonts w:hint="eastAsia"/>
                <w:color w:val="auto"/>
                <w:sz w:val="21"/>
                <w:szCs w:val="21"/>
              </w:rPr>
              <w:t>mg/m</w:t>
            </w:r>
            <w:r>
              <w:rPr>
                <w:rFonts w:hint="eastAsia"/>
                <w:color w:val="auto"/>
                <w:sz w:val="21"/>
                <w:szCs w:val="21"/>
                <w:vertAlign w:val="superscript"/>
              </w:rPr>
              <w:t>3</w:t>
            </w:r>
            <w:r>
              <w:rPr>
                <w:rFonts w:hint="eastAsia"/>
                <w:color w:val="auto"/>
                <w:sz w:val="21"/>
                <w:szCs w:val="21"/>
                <w:vertAlign w:val="superscript"/>
                <w:lang w:eastAsia="zh-CN"/>
              </w:rPr>
              <w:t>）</w:t>
            </w:r>
          </w:p>
        </w:tc>
        <w:tc>
          <w:tcPr>
            <w:tcW w:w="327" w:type="pct"/>
            <w:tcBorders>
              <w:tl2br w:val="nil"/>
              <w:tr2bl w:val="nil"/>
            </w:tcBorders>
            <w:vAlign w:val="center"/>
          </w:tcPr>
          <w:p w14:paraId="7EAE0823">
            <w:pPr>
              <w:spacing w:line="240" w:lineRule="auto"/>
              <w:ind w:firstLine="0" w:firstLineChars="0"/>
              <w:jc w:val="center"/>
              <w:rPr>
                <w:color w:val="auto"/>
                <w:sz w:val="21"/>
                <w:szCs w:val="21"/>
              </w:rPr>
            </w:pPr>
            <w:r>
              <w:rPr>
                <w:rFonts w:hint="eastAsia"/>
                <w:color w:val="auto"/>
                <w:sz w:val="21"/>
                <w:szCs w:val="21"/>
              </w:rPr>
              <w:t>速率（kg/h）</w:t>
            </w:r>
          </w:p>
        </w:tc>
        <w:tc>
          <w:tcPr>
            <w:tcW w:w="281" w:type="pct"/>
            <w:tcBorders>
              <w:tl2br w:val="nil"/>
              <w:tr2bl w:val="nil"/>
            </w:tcBorders>
            <w:vAlign w:val="center"/>
          </w:tcPr>
          <w:p w14:paraId="4A0718B7">
            <w:pPr>
              <w:spacing w:line="240" w:lineRule="auto"/>
              <w:ind w:firstLine="0" w:firstLineChars="0"/>
              <w:jc w:val="center"/>
              <w:rPr>
                <w:color w:val="auto"/>
                <w:sz w:val="21"/>
                <w:szCs w:val="21"/>
              </w:rPr>
            </w:pPr>
            <w:r>
              <w:rPr>
                <w:rFonts w:hint="eastAsia"/>
                <w:color w:val="auto"/>
                <w:sz w:val="21"/>
                <w:szCs w:val="21"/>
              </w:rPr>
              <w:t>产生量</w:t>
            </w:r>
            <w:r>
              <w:rPr>
                <w:rFonts w:hint="eastAsia"/>
                <w:color w:val="auto"/>
                <w:sz w:val="21"/>
                <w:szCs w:val="21"/>
                <w:lang w:eastAsia="zh-CN"/>
              </w:rPr>
              <w:t>（</w:t>
            </w:r>
            <w:r>
              <w:rPr>
                <w:rFonts w:hint="eastAsia"/>
                <w:color w:val="auto"/>
                <w:sz w:val="21"/>
                <w:szCs w:val="21"/>
              </w:rPr>
              <w:t>t/a</w:t>
            </w:r>
            <w:r>
              <w:rPr>
                <w:rFonts w:hint="eastAsia"/>
                <w:color w:val="auto"/>
                <w:sz w:val="21"/>
                <w:szCs w:val="21"/>
                <w:lang w:eastAsia="zh-CN"/>
              </w:rPr>
              <w:t>）</w:t>
            </w:r>
          </w:p>
        </w:tc>
        <w:tc>
          <w:tcPr>
            <w:tcW w:w="241" w:type="pct"/>
            <w:tcBorders>
              <w:tl2br w:val="nil"/>
              <w:tr2bl w:val="nil"/>
            </w:tcBorders>
            <w:vAlign w:val="center"/>
          </w:tcPr>
          <w:p w14:paraId="25B90BB4">
            <w:pPr>
              <w:spacing w:line="240" w:lineRule="auto"/>
              <w:ind w:firstLine="0" w:firstLineChars="0"/>
              <w:jc w:val="center"/>
              <w:rPr>
                <w:color w:val="auto"/>
                <w:sz w:val="21"/>
                <w:szCs w:val="21"/>
              </w:rPr>
            </w:pPr>
            <w:r>
              <w:rPr>
                <w:rFonts w:hint="eastAsia"/>
                <w:color w:val="auto"/>
                <w:sz w:val="21"/>
                <w:szCs w:val="21"/>
              </w:rPr>
              <w:t>收集效率</w:t>
            </w:r>
            <w:r>
              <w:rPr>
                <w:rFonts w:hint="eastAsia"/>
                <w:color w:val="auto"/>
                <w:sz w:val="21"/>
                <w:szCs w:val="21"/>
                <w:lang w:eastAsia="zh-CN"/>
              </w:rPr>
              <w:t>（</w:t>
            </w:r>
            <w:r>
              <w:rPr>
                <w:rFonts w:hint="eastAsia"/>
                <w:color w:val="auto"/>
                <w:sz w:val="21"/>
                <w:szCs w:val="21"/>
              </w:rPr>
              <w:t>%</w:t>
            </w:r>
            <w:r>
              <w:rPr>
                <w:rFonts w:hint="eastAsia"/>
                <w:color w:val="auto"/>
                <w:sz w:val="21"/>
                <w:szCs w:val="21"/>
                <w:lang w:eastAsia="zh-CN"/>
              </w:rPr>
              <w:t>）</w:t>
            </w:r>
          </w:p>
        </w:tc>
        <w:tc>
          <w:tcPr>
            <w:tcW w:w="389" w:type="pct"/>
            <w:tcBorders>
              <w:tl2br w:val="nil"/>
              <w:tr2bl w:val="nil"/>
            </w:tcBorders>
            <w:vAlign w:val="center"/>
          </w:tcPr>
          <w:p w14:paraId="34ED7889">
            <w:pPr>
              <w:spacing w:line="240" w:lineRule="auto"/>
              <w:ind w:firstLine="0" w:firstLineChars="0"/>
              <w:jc w:val="center"/>
              <w:rPr>
                <w:color w:val="auto"/>
                <w:sz w:val="21"/>
                <w:szCs w:val="21"/>
              </w:rPr>
            </w:pPr>
            <w:r>
              <w:rPr>
                <w:rFonts w:hint="eastAsia"/>
                <w:color w:val="auto"/>
                <w:sz w:val="21"/>
                <w:szCs w:val="21"/>
              </w:rPr>
              <w:t>治理工艺</w:t>
            </w:r>
          </w:p>
        </w:tc>
        <w:tc>
          <w:tcPr>
            <w:tcW w:w="268" w:type="pct"/>
            <w:tcBorders>
              <w:tl2br w:val="nil"/>
              <w:tr2bl w:val="nil"/>
            </w:tcBorders>
            <w:vAlign w:val="center"/>
          </w:tcPr>
          <w:p w14:paraId="64A734DD">
            <w:pPr>
              <w:spacing w:line="240" w:lineRule="auto"/>
              <w:ind w:firstLine="0" w:firstLineChars="0"/>
              <w:jc w:val="center"/>
              <w:rPr>
                <w:color w:val="auto"/>
                <w:sz w:val="21"/>
                <w:szCs w:val="21"/>
              </w:rPr>
            </w:pPr>
            <w:r>
              <w:rPr>
                <w:rFonts w:hint="eastAsia"/>
                <w:color w:val="auto"/>
                <w:sz w:val="21"/>
                <w:szCs w:val="21"/>
              </w:rPr>
              <w:t>去除效率</w:t>
            </w:r>
            <w:r>
              <w:rPr>
                <w:rFonts w:hint="eastAsia"/>
                <w:color w:val="auto"/>
                <w:sz w:val="21"/>
                <w:szCs w:val="21"/>
                <w:lang w:eastAsia="zh-CN"/>
              </w:rPr>
              <w:t>（</w:t>
            </w:r>
            <w:r>
              <w:rPr>
                <w:rFonts w:hint="eastAsia"/>
                <w:color w:val="auto"/>
                <w:sz w:val="21"/>
                <w:szCs w:val="21"/>
              </w:rPr>
              <w:t>%</w:t>
            </w:r>
            <w:r>
              <w:rPr>
                <w:rFonts w:hint="eastAsia"/>
                <w:color w:val="auto"/>
                <w:sz w:val="21"/>
                <w:szCs w:val="21"/>
                <w:lang w:eastAsia="zh-CN"/>
              </w:rPr>
              <w:t>）</w:t>
            </w:r>
          </w:p>
        </w:tc>
        <w:tc>
          <w:tcPr>
            <w:tcW w:w="326" w:type="pct"/>
            <w:tcBorders>
              <w:tl2br w:val="nil"/>
              <w:tr2bl w:val="nil"/>
            </w:tcBorders>
            <w:vAlign w:val="center"/>
          </w:tcPr>
          <w:p w14:paraId="1F8F8AB4">
            <w:pPr>
              <w:spacing w:line="240" w:lineRule="auto"/>
              <w:ind w:firstLine="0" w:firstLineChars="0"/>
              <w:jc w:val="center"/>
              <w:rPr>
                <w:color w:val="auto"/>
                <w:sz w:val="21"/>
                <w:szCs w:val="21"/>
              </w:rPr>
            </w:pPr>
            <w:r>
              <w:rPr>
                <w:rFonts w:hint="eastAsia"/>
                <w:color w:val="auto"/>
                <w:sz w:val="21"/>
                <w:szCs w:val="21"/>
              </w:rPr>
              <w:t>排放</w:t>
            </w:r>
          </w:p>
          <w:p w14:paraId="7F5CD1AD">
            <w:pPr>
              <w:spacing w:line="240" w:lineRule="auto"/>
              <w:ind w:firstLine="0" w:firstLineChars="0"/>
              <w:jc w:val="center"/>
              <w:rPr>
                <w:color w:val="auto"/>
                <w:sz w:val="21"/>
                <w:szCs w:val="21"/>
              </w:rPr>
            </w:pPr>
            <w:r>
              <w:rPr>
                <w:rFonts w:hint="eastAsia"/>
                <w:color w:val="auto"/>
                <w:sz w:val="21"/>
                <w:szCs w:val="21"/>
              </w:rPr>
              <w:t>形式</w:t>
            </w:r>
          </w:p>
        </w:tc>
        <w:tc>
          <w:tcPr>
            <w:tcW w:w="351" w:type="pct"/>
            <w:tcBorders>
              <w:tl2br w:val="nil"/>
              <w:tr2bl w:val="nil"/>
            </w:tcBorders>
            <w:vAlign w:val="center"/>
          </w:tcPr>
          <w:p w14:paraId="5FFA2A70">
            <w:pPr>
              <w:spacing w:line="240" w:lineRule="auto"/>
              <w:ind w:firstLine="0" w:firstLineChars="0"/>
              <w:jc w:val="center"/>
              <w:rPr>
                <w:color w:val="auto"/>
                <w:sz w:val="21"/>
                <w:szCs w:val="21"/>
              </w:rPr>
            </w:pPr>
            <w:r>
              <w:rPr>
                <w:rFonts w:hint="eastAsia"/>
                <w:color w:val="auto"/>
                <w:sz w:val="21"/>
                <w:szCs w:val="21"/>
              </w:rPr>
              <w:t>废气量</w:t>
            </w:r>
            <w:r>
              <w:rPr>
                <w:rFonts w:hint="eastAsia"/>
                <w:color w:val="auto"/>
                <w:sz w:val="21"/>
                <w:szCs w:val="21"/>
                <w:lang w:eastAsia="zh-CN"/>
              </w:rPr>
              <w:t>（</w:t>
            </w:r>
            <w:r>
              <w:rPr>
                <w:rFonts w:hint="eastAsia"/>
                <w:color w:val="auto"/>
                <w:sz w:val="21"/>
                <w:szCs w:val="21"/>
              </w:rPr>
              <w:t>m</w:t>
            </w:r>
            <w:r>
              <w:rPr>
                <w:rFonts w:hint="eastAsia"/>
                <w:color w:val="auto"/>
                <w:sz w:val="21"/>
                <w:szCs w:val="21"/>
                <w:vertAlign w:val="superscript"/>
              </w:rPr>
              <w:t>3</w:t>
            </w:r>
            <w:r>
              <w:rPr>
                <w:rFonts w:hint="eastAsia"/>
                <w:color w:val="auto"/>
                <w:sz w:val="21"/>
                <w:szCs w:val="21"/>
              </w:rPr>
              <w:t>/h</w:t>
            </w:r>
            <w:r>
              <w:rPr>
                <w:rFonts w:hint="eastAsia"/>
                <w:color w:val="auto"/>
                <w:sz w:val="21"/>
                <w:szCs w:val="21"/>
                <w:lang w:eastAsia="zh-CN"/>
              </w:rPr>
              <w:t>）</w:t>
            </w:r>
          </w:p>
        </w:tc>
        <w:tc>
          <w:tcPr>
            <w:tcW w:w="351" w:type="pct"/>
            <w:tcBorders>
              <w:tl2br w:val="nil"/>
              <w:tr2bl w:val="nil"/>
            </w:tcBorders>
            <w:vAlign w:val="center"/>
          </w:tcPr>
          <w:p w14:paraId="0F170962">
            <w:pPr>
              <w:spacing w:line="240" w:lineRule="auto"/>
              <w:ind w:firstLine="0" w:firstLineChars="0"/>
              <w:jc w:val="center"/>
              <w:rPr>
                <w:color w:val="auto"/>
                <w:sz w:val="21"/>
                <w:szCs w:val="21"/>
              </w:rPr>
            </w:pPr>
            <w:r>
              <w:rPr>
                <w:rFonts w:hint="eastAsia"/>
                <w:color w:val="auto"/>
                <w:sz w:val="21"/>
                <w:szCs w:val="21"/>
              </w:rPr>
              <w:t>浓度</w:t>
            </w:r>
            <w:r>
              <w:rPr>
                <w:rFonts w:hint="eastAsia"/>
                <w:color w:val="auto"/>
                <w:sz w:val="21"/>
                <w:szCs w:val="21"/>
                <w:lang w:eastAsia="zh-CN"/>
              </w:rPr>
              <w:t>（</w:t>
            </w:r>
            <w:r>
              <w:rPr>
                <w:rFonts w:hint="eastAsia"/>
                <w:color w:val="auto"/>
                <w:sz w:val="21"/>
                <w:szCs w:val="21"/>
              </w:rPr>
              <w:t>mg/m</w:t>
            </w:r>
            <w:r>
              <w:rPr>
                <w:rFonts w:hint="eastAsia"/>
                <w:color w:val="auto"/>
                <w:sz w:val="21"/>
                <w:szCs w:val="21"/>
                <w:vertAlign w:val="superscript"/>
              </w:rPr>
              <w:t>3</w:t>
            </w:r>
            <w:r>
              <w:rPr>
                <w:rFonts w:hint="eastAsia"/>
                <w:color w:val="auto"/>
                <w:sz w:val="21"/>
                <w:szCs w:val="21"/>
                <w:vertAlign w:val="superscript"/>
                <w:lang w:eastAsia="zh-CN"/>
              </w:rPr>
              <w:t>）</w:t>
            </w:r>
          </w:p>
        </w:tc>
        <w:tc>
          <w:tcPr>
            <w:tcW w:w="304" w:type="pct"/>
            <w:tcBorders>
              <w:tl2br w:val="nil"/>
              <w:tr2bl w:val="nil"/>
            </w:tcBorders>
            <w:vAlign w:val="center"/>
          </w:tcPr>
          <w:p w14:paraId="7B43F1B4">
            <w:pPr>
              <w:spacing w:line="240" w:lineRule="auto"/>
              <w:ind w:firstLine="0" w:firstLineChars="0"/>
              <w:jc w:val="center"/>
              <w:rPr>
                <w:color w:val="auto"/>
                <w:sz w:val="21"/>
                <w:szCs w:val="21"/>
              </w:rPr>
            </w:pPr>
            <w:r>
              <w:rPr>
                <w:rFonts w:hint="eastAsia"/>
                <w:color w:val="auto"/>
                <w:sz w:val="21"/>
                <w:szCs w:val="21"/>
              </w:rPr>
              <w:t>速率（kg/h）</w:t>
            </w:r>
          </w:p>
        </w:tc>
        <w:tc>
          <w:tcPr>
            <w:tcW w:w="327" w:type="pct"/>
            <w:tcBorders>
              <w:tl2br w:val="nil"/>
              <w:tr2bl w:val="nil"/>
            </w:tcBorders>
            <w:vAlign w:val="center"/>
          </w:tcPr>
          <w:p w14:paraId="487EAF8A">
            <w:pPr>
              <w:spacing w:line="240" w:lineRule="auto"/>
              <w:ind w:firstLine="0" w:firstLineChars="0"/>
              <w:jc w:val="center"/>
              <w:rPr>
                <w:color w:val="auto"/>
                <w:sz w:val="21"/>
                <w:szCs w:val="21"/>
              </w:rPr>
            </w:pPr>
            <w:r>
              <w:rPr>
                <w:rFonts w:hint="eastAsia"/>
                <w:color w:val="auto"/>
                <w:sz w:val="21"/>
                <w:szCs w:val="21"/>
              </w:rPr>
              <w:t>排放量（t/a）</w:t>
            </w:r>
          </w:p>
        </w:tc>
        <w:tc>
          <w:tcPr>
            <w:tcW w:w="254" w:type="pct"/>
            <w:tcBorders>
              <w:tl2br w:val="nil"/>
              <w:tr2bl w:val="nil"/>
            </w:tcBorders>
            <w:vAlign w:val="center"/>
          </w:tcPr>
          <w:p w14:paraId="7443CCBB">
            <w:pPr>
              <w:spacing w:line="240" w:lineRule="auto"/>
              <w:ind w:firstLine="0" w:firstLineChars="0"/>
              <w:jc w:val="center"/>
              <w:rPr>
                <w:color w:val="auto"/>
                <w:sz w:val="21"/>
                <w:szCs w:val="21"/>
              </w:rPr>
            </w:pPr>
            <w:r>
              <w:rPr>
                <w:rFonts w:hint="eastAsia"/>
                <w:color w:val="auto"/>
                <w:sz w:val="21"/>
                <w:szCs w:val="21"/>
              </w:rPr>
              <w:t>排放时间</w:t>
            </w:r>
            <w:r>
              <w:rPr>
                <w:rFonts w:hint="eastAsia"/>
                <w:color w:val="auto"/>
                <w:sz w:val="21"/>
                <w:szCs w:val="21"/>
                <w:lang w:eastAsia="zh-CN"/>
              </w:rPr>
              <w:t>（</w:t>
            </w:r>
            <w:r>
              <w:rPr>
                <w:rFonts w:hint="eastAsia"/>
                <w:color w:val="auto"/>
                <w:sz w:val="21"/>
                <w:szCs w:val="21"/>
              </w:rPr>
              <w:t>h</w:t>
            </w:r>
            <w:r>
              <w:rPr>
                <w:rFonts w:hint="eastAsia"/>
                <w:color w:val="auto"/>
                <w:sz w:val="21"/>
                <w:szCs w:val="21"/>
                <w:lang w:eastAsia="zh-CN"/>
              </w:rPr>
              <w:t>）</w:t>
            </w:r>
          </w:p>
        </w:tc>
        <w:tc>
          <w:tcPr>
            <w:tcW w:w="315" w:type="pct"/>
            <w:vMerge w:val="continue"/>
            <w:tcBorders>
              <w:tl2br w:val="nil"/>
              <w:tr2bl w:val="nil"/>
            </w:tcBorders>
            <w:vAlign w:val="center"/>
          </w:tcPr>
          <w:p w14:paraId="1C64FB6C">
            <w:pPr>
              <w:spacing w:line="240" w:lineRule="auto"/>
              <w:ind w:firstLine="0" w:firstLineChars="0"/>
              <w:jc w:val="center"/>
              <w:rPr>
                <w:color w:val="auto"/>
                <w:sz w:val="21"/>
                <w:szCs w:val="21"/>
              </w:rPr>
            </w:pPr>
          </w:p>
        </w:tc>
      </w:tr>
      <w:tr w14:paraId="59CF906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0" w:hRule="atLeast"/>
          <w:tblHeader/>
          <w:jc w:val="center"/>
        </w:trPr>
        <w:tc>
          <w:tcPr>
            <w:tcW w:w="252" w:type="pct"/>
            <w:vMerge w:val="restart"/>
            <w:tcBorders>
              <w:tl2br w:val="nil"/>
              <w:tr2bl w:val="nil"/>
            </w:tcBorders>
            <w:vAlign w:val="center"/>
          </w:tcPr>
          <w:p w14:paraId="7249A5D7">
            <w:pPr>
              <w:spacing w:line="240" w:lineRule="auto"/>
              <w:ind w:firstLine="0" w:firstLineChars="0"/>
              <w:jc w:val="center"/>
              <w:rPr>
                <w:color w:val="auto"/>
                <w:sz w:val="21"/>
                <w:szCs w:val="21"/>
              </w:rPr>
            </w:pPr>
            <w:r>
              <w:rPr>
                <w:rFonts w:hint="eastAsia"/>
                <w:color w:val="auto"/>
                <w:sz w:val="21"/>
                <w:szCs w:val="21"/>
              </w:rPr>
              <w:t>废水处理站</w:t>
            </w:r>
          </w:p>
        </w:tc>
        <w:tc>
          <w:tcPr>
            <w:tcW w:w="304" w:type="pct"/>
            <w:tcBorders>
              <w:tl2br w:val="nil"/>
              <w:tr2bl w:val="nil"/>
            </w:tcBorders>
            <w:vAlign w:val="center"/>
          </w:tcPr>
          <w:p w14:paraId="0F04F99E">
            <w:pPr>
              <w:spacing w:line="240" w:lineRule="auto"/>
              <w:ind w:firstLine="0" w:firstLineChars="0"/>
              <w:jc w:val="center"/>
              <w:rPr>
                <w:color w:val="auto"/>
                <w:sz w:val="21"/>
                <w:szCs w:val="21"/>
              </w:rPr>
            </w:pPr>
            <w:r>
              <w:rPr>
                <w:rFonts w:hint="eastAsia"/>
                <w:color w:val="auto"/>
                <w:sz w:val="21"/>
                <w:szCs w:val="21"/>
              </w:rPr>
              <w:t>NH</w:t>
            </w:r>
            <w:r>
              <w:rPr>
                <w:rFonts w:hint="eastAsia"/>
                <w:color w:val="auto"/>
                <w:sz w:val="21"/>
                <w:szCs w:val="21"/>
                <w:vertAlign w:val="subscript"/>
              </w:rPr>
              <w:t>3</w:t>
            </w:r>
          </w:p>
        </w:tc>
        <w:tc>
          <w:tcPr>
            <w:tcW w:w="405" w:type="pct"/>
            <w:tcBorders>
              <w:tl2br w:val="nil"/>
              <w:tr2bl w:val="nil"/>
            </w:tcBorders>
            <w:vAlign w:val="center"/>
          </w:tcPr>
          <w:p w14:paraId="6E17D8B6">
            <w:pPr>
              <w:spacing w:line="240" w:lineRule="auto"/>
              <w:ind w:firstLine="0" w:firstLineChars="0"/>
              <w:jc w:val="center"/>
              <w:rPr>
                <w:color w:val="auto"/>
                <w:sz w:val="21"/>
                <w:szCs w:val="21"/>
              </w:rPr>
            </w:pPr>
            <w:r>
              <w:rPr>
                <w:rFonts w:hint="eastAsia"/>
                <w:color w:val="auto"/>
                <w:sz w:val="21"/>
                <w:szCs w:val="21"/>
              </w:rPr>
              <w:t>类比分析</w:t>
            </w:r>
          </w:p>
        </w:tc>
        <w:tc>
          <w:tcPr>
            <w:tcW w:w="304" w:type="pct"/>
            <w:tcBorders>
              <w:tl2br w:val="nil"/>
              <w:tr2bl w:val="nil"/>
            </w:tcBorders>
            <w:vAlign w:val="center"/>
          </w:tcPr>
          <w:p w14:paraId="1F0A5A7C">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0.72</w:t>
            </w:r>
          </w:p>
        </w:tc>
        <w:tc>
          <w:tcPr>
            <w:tcW w:w="327" w:type="pct"/>
            <w:tcBorders>
              <w:tl2br w:val="nil"/>
              <w:tr2bl w:val="nil"/>
            </w:tcBorders>
            <w:vAlign w:val="center"/>
          </w:tcPr>
          <w:p w14:paraId="5958E74C">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0.0143</w:t>
            </w:r>
          </w:p>
        </w:tc>
        <w:tc>
          <w:tcPr>
            <w:tcW w:w="281" w:type="pct"/>
            <w:tcBorders>
              <w:tl2br w:val="nil"/>
              <w:tr2bl w:val="nil"/>
            </w:tcBorders>
            <w:vAlign w:val="center"/>
          </w:tcPr>
          <w:p w14:paraId="5FC94D9B">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0.103</w:t>
            </w:r>
          </w:p>
        </w:tc>
        <w:tc>
          <w:tcPr>
            <w:tcW w:w="241" w:type="pct"/>
            <w:vMerge w:val="restart"/>
            <w:tcBorders>
              <w:tl2br w:val="nil"/>
              <w:tr2bl w:val="nil"/>
            </w:tcBorders>
            <w:vAlign w:val="center"/>
          </w:tcPr>
          <w:p w14:paraId="0C903F5E">
            <w:pPr>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90</w:t>
            </w:r>
          </w:p>
        </w:tc>
        <w:tc>
          <w:tcPr>
            <w:tcW w:w="389" w:type="pct"/>
            <w:vMerge w:val="restart"/>
            <w:tcBorders>
              <w:tl2br w:val="nil"/>
              <w:tr2bl w:val="nil"/>
            </w:tcBorders>
            <w:vAlign w:val="center"/>
          </w:tcPr>
          <w:p w14:paraId="26C24314">
            <w:pPr>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碱喷淋+除湿+活性炭吸附</w:t>
            </w:r>
          </w:p>
        </w:tc>
        <w:tc>
          <w:tcPr>
            <w:tcW w:w="268" w:type="pct"/>
            <w:tcBorders>
              <w:tl2br w:val="nil"/>
              <w:tr2bl w:val="nil"/>
            </w:tcBorders>
            <w:vAlign w:val="center"/>
          </w:tcPr>
          <w:p w14:paraId="1E86C0A0">
            <w:pPr>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60</w:t>
            </w:r>
          </w:p>
        </w:tc>
        <w:tc>
          <w:tcPr>
            <w:tcW w:w="326" w:type="pct"/>
            <w:tcBorders>
              <w:tl2br w:val="nil"/>
              <w:tr2bl w:val="nil"/>
            </w:tcBorders>
            <w:vAlign w:val="center"/>
          </w:tcPr>
          <w:p w14:paraId="1422AC2E">
            <w:pPr>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有组织</w:t>
            </w:r>
          </w:p>
        </w:tc>
        <w:tc>
          <w:tcPr>
            <w:tcW w:w="351" w:type="pct"/>
            <w:vMerge w:val="restart"/>
            <w:tcBorders>
              <w:tl2br w:val="nil"/>
              <w:tr2bl w:val="nil"/>
            </w:tcBorders>
            <w:vAlign w:val="center"/>
          </w:tcPr>
          <w:p w14:paraId="06059C84">
            <w:pPr>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20000</w:t>
            </w:r>
          </w:p>
        </w:tc>
        <w:tc>
          <w:tcPr>
            <w:tcW w:w="351" w:type="pct"/>
            <w:tcBorders>
              <w:tl2br w:val="nil"/>
              <w:tr2bl w:val="nil"/>
            </w:tcBorders>
            <w:vAlign w:val="center"/>
          </w:tcPr>
          <w:p w14:paraId="3F3C9674">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0.26</w:t>
            </w:r>
          </w:p>
        </w:tc>
        <w:tc>
          <w:tcPr>
            <w:tcW w:w="304" w:type="pct"/>
            <w:tcBorders>
              <w:tl2br w:val="nil"/>
              <w:tr2bl w:val="nil"/>
            </w:tcBorders>
            <w:vAlign w:val="center"/>
          </w:tcPr>
          <w:p w14:paraId="6D7C3FEA">
            <w:pPr>
              <w:pStyle w:val="3361"/>
              <w:rPr>
                <w:color w:val="auto"/>
                <w:lang w:bidi="ar"/>
              </w:rPr>
            </w:pPr>
            <w:r>
              <w:rPr>
                <w:rFonts w:hint="eastAsia"/>
                <w:color w:val="auto"/>
                <w:lang w:bidi="ar"/>
              </w:rPr>
              <w:t>0.0051</w:t>
            </w:r>
          </w:p>
        </w:tc>
        <w:tc>
          <w:tcPr>
            <w:tcW w:w="327" w:type="pct"/>
            <w:tcBorders>
              <w:tl2br w:val="nil"/>
              <w:tr2bl w:val="nil"/>
            </w:tcBorders>
            <w:vAlign w:val="center"/>
          </w:tcPr>
          <w:p w14:paraId="1810BEDA">
            <w:pPr>
              <w:pStyle w:val="3361"/>
              <w:rPr>
                <w:color w:val="auto"/>
                <w:lang w:bidi="ar"/>
              </w:rPr>
            </w:pPr>
            <w:r>
              <w:rPr>
                <w:rFonts w:hint="eastAsia"/>
                <w:color w:val="auto"/>
                <w:lang w:bidi="ar"/>
              </w:rPr>
              <w:t>0.037</w:t>
            </w:r>
          </w:p>
        </w:tc>
        <w:tc>
          <w:tcPr>
            <w:tcW w:w="254" w:type="pct"/>
            <w:vMerge w:val="restart"/>
            <w:tcBorders>
              <w:tl2br w:val="nil"/>
              <w:tr2bl w:val="nil"/>
            </w:tcBorders>
            <w:vAlign w:val="center"/>
          </w:tcPr>
          <w:p w14:paraId="74EB520E">
            <w:pPr>
              <w:spacing w:line="240" w:lineRule="auto"/>
              <w:ind w:firstLine="0" w:firstLineChars="0"/>
              <w:jc w:val="center"/>
              <w:rPr>
                <w:color w:val="auto"/>
                <w:sz w:val="21"/>
                <w:szCs w:val="21"/>
              </w:rPr>
            </w:pPr>
            <w:r>
              <w:rPr>
                <w:rFonts w:hint="eastAsia"/>
                <w:color w:val="auto"/>
                <w:sz w:val="21"/>
                <w:szCs w:val="21"/>
              </w:rPr>
              <w:t>7200</w:t>
            </w:r>
          </w:p>
        </w:tc>
        <w:tc>
          <w:tcPr>
            <w:tcW w:w="315" w:type="pct"/>
            <w:vMerge w:val="restart"/>
            <w:tcBorders>
              <w:tl2br w:val="nil"/>
              <w:tr2bl w:val="nil"/>
            </w:tcBorders>
            <w:vAlign w:val="center"/>
          </w:tcPr>
          <w:p w14:paraId="68ACCE8A">
            <w:pPr>
              <w:spacing w:line="240" w:lineRule="auto"/>
              <w:ind w:firstLine="0" w:firstLineChars="0"/>
              <w:jc w:val="center"/>
              <w:rPr>
                <w:color w:val="auto"/>
                <w:sz w:val="21"/>
                <w:szCs w:val="21"/>
              </w:rPr>
            </w:pPr>
            <w:r>
              <w:rPr>
                <w:rFonts w:hint="eastAsia"/>
                <w:color w:val="auto"/>
                <w:sz w:val="21"/>
                <w:szCs w:val="21"/>
              </w:rPr>
              <w:t>DA001</w:t>
            </w:r>
          </w:p>
        </w:tc>
      </w:tr>
      <w:tr w14:paraId="3327BBE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52" w:type="pct"/>
            <w:vMerge w:val="continue"/>
            <w:tcBorders>
              <w:tl2br w:val="nil"/>
              <w:tr2bl w:val="nil"/>
            </w:tcBorders>
            <w:vAlign w:val="center"/>
          </w:tcPr>
          <w:p w14:paraId="6832CE4E">
            <w:pPr>
              <w:spacing w:line="240" w:lineRule="auto"/>
              <w:ind w:firstLine="0" w:firstLineChars="0"/>
              <w:jc w:val="center"/>
              <w:rPr>
                <w:color w:val="auto"/>
                <w:sz w:val="21"/>
                <w:szCs w:val="21"/>
              </w:rPr>
            </w:pPr>
          </w:p>
        </w:tc>
        <w:tc>
          <w:tcPr>
            <w:tcW w:w="304" w:type="pct"/>
            <w:tcBorders>
              <w:tl2br w:val="nil"/>
              <w:tr2bl w:val="nil"/>
            </w:tcBorders>
            <w:vAlign w:val="center"/>
          </w:tcPr>
          <w:p w14:paraId="5E80ACD8">
            <w:pPr>
              <w:spacing w:line="240" w:lineRule="auto"/>
              <w:ind w:firstLine="0" w:firstLineChars="0"/>
              <w:jc w:val="center"/>
              <w:rPr>
                <w:color w:val="auto"/>
                <w:sz w:val="21"/>
                <w:szCs w:val="21"/>
                <w:vertAlign w:val="subscript"/>
              </w:rPr>
            </w:pPr>
            <w:r>
              <w:rPr>
                <w:rFonts w:hint="eastAsia"/>
                <w:color w:val="auto"/>
                <w:sz w:val="21"/>
                <w:szCs w:val="21"/>
              </w:rPr>
              <w:t>H</w:t>
            </w:r>
            <w:r>
              <w:rPr>
                <w:rFonts w:hint="eastAsia"/>
                <w:color w:val="auto"/>
                <w:sz w:val="21"/>
                <w:szCs w:val="21"/>
                <w:vertAlign w:val="subscript"/>
              </w:rPr>
              <w:t>2</w:t>
            </w:r>
            <w:r>
              <w:rPr>
                <w:rFonts w:hint="eastAsia"/>
                <w:color w:val="auto"/>
                <w:sz w:val="21"/>
                <w:szCs w:val="21"/>
              </w:rPr>
              <w:t>S</w:t>
            </w:r>
          </w:p>
        </w:tc>
        <w:tc>
          <w:tcPr>
            <w:tcW w:w="405" w:type="pct"/>
            <w:tcBorders>
              <w:tl2br w:val="nil"/>
              <w:tr2bl w:val="nil"/>
            </w:tcBorders>
            <w:vAlign w:val="center"/>
          </w:tcPr>
          <w:p w14:paraId="41B70B00">
            <w:pPr>
              <w:spacing w:line="240" w:lineRule="auto"/>
              <w:ind w:firstLine="0" w:firstLineChars="0"/>
              <w:jc w:val="center"/>
              <w:rPr>
                <w:color w:val="auto"/>
                <w:sz w:val="21"/>
                <w:szCs w:val="21"/>
              </w:rPr>
            </w:pPr>
            <w:r>
              <w:rPr>
                <w:rFonts w:hint="eastAsia"/>
                <w:color w:val="auto"/>
                <w:sz w:val="21"/>
                <w:szCs w:val="21"/>
              </w:rPr>
              <w:t>类比分析</w:t>
            </w:r>
          </w:p>
        </w:tc>
        <w:tc>
          <w:tcPr>
            <w:tcW w:w="304" w:type="pct"/>
            <w:tcBorders>
              <w:tl2br w:val="nil"/>
              <w:tr2bl w:val="nil"/>
            </w:tcBorders>
            <w:vAlign w:val="center"/>
          </w:tcPr>
          <w:p w14:paraId="3131E594">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0.09</w:t>
            </w:r>
          </w:p>
        </w:tc>
        <w:tc>
          <w:tcPr>
            <w:tcW w:w="327" w:type="pct"/>
            <w:tcBorders>
              <w:tl2br w:val="nil"/>
              <w:tr2bl w:val="nil"/>
            </w:tcBorders>
            <w:vAlign w:val="center"/>
          </w:tcPr>
          <w:p w14:paraId="1649FEEB">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 xml:space="preserve">0.0017 </w:t>
            </w:r>
          </w:p>
        </w:tc>
        <w:tc>
          <w:tcPr>
            <w:tcW w:w="281" w:type="pct"/>
            <w:tcBorders>
              <w:tl2br w:val="nil"/>
              <w:tr2bl w:val="nil"/>
            </w:tcBorders>
            <w:vAlign w:val="center"/>
          </w:tcPr>
          <w:p w14:paraId="49E8D986">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 xml:space="preserve">0.012 </w:t>
            </w:r>
          </w:p>
        </w:tc>
        <w:tc>
          <w:tcPr>
            <w:tcW w:w="241" w:type="pct"/>
            <w:vMerge w:val="continue"/>
            <w:tcBorders>
              <w:tl2br w:val="nil"/>
              <w:tr2bl w:val="nil"/>
            </w:tcBorders>
            <w:vAlign w:val="center"/>
          </w:tcPr>
          <w:p w14:paraId="74F8EF93">
            <w:pPr>
              <w:widowControl/>
              <w:spacing w:line="240" w:lineRule="auto"/>
              <w:ind w:firstLine="0" w:firstLineChars="0"/>
              <w:jc w:val="center"/>
              <w:textAlignment w:val="center"/>
              <w:rPr>
                <w:color w:val="auto"/>
                <w:kern w:val="0"/>
                <w:sz w:val="21"/>
                <w:szCs w:val="21"/>
                <w:lang w:bidi="ar"/>
              </w:rPr>
            </w:pPr>
          </w:p>
        </w:tc>
        <w:tc>
          <w:tcPr>
            <w:tcW w:w="389" w:type="pct"/>
            <w:vMerge w:val="continue"/>
            <w:tcBorders>
              <w:tl2br w:val="nil"/>
              <w:tr2bl w:val="nil"/>
            </w:tcBorders>
            <w:vAlign w:val="center"/>
          </w:tcPr>
          <w:p w14:paraId="2E77F307">
            <w:pPr>
              <w:widowControl/>
              <w:spacing w:line="240" w:lineRule="auto"/>
              <w:ind w:firstLine="0" w:firstLineChars="0"/>
              <w:jc w:val="center"/>
              <w:textAlignment w:val="center"/>
              <w:rPr>
                <w:color w:val="auto"/>
                <w:kern w:val="0"/>
                <w:sz w:val="21"/>
                <w:szCs w:val="21"/>
                <w:lang w:bidi="ar"/>
              </w:rPr>
            </w:pPr>
          </w:p>
        </w:tc>
        <w:tc>
          <w:tcPr>
            <w:tcW w:w="268" w:type="pct"/>
            <w:tcBorders>
              <w:tl2br w:val="nil"/>
              <w:tr2bl w:val="nil"/>
            </w:tcBorders>
            <w:vAlign w:val="center"/>
          </w:tcPr>
          <w:p w14:paraId="5051BB93">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60</w:t>
            </w:r>
          </w:p>
        </w:tc>
        <w:tc>
          <w:tcPr>
            <w:tcW w:w="326" w:type="pct"/>
            <w:tcBorders>
              <w:tl2br w:val="nil"/>
              <w:tr2bl w:val="nil"/>
            </w:tcBorders>
            <w:vAlign w:val="center"/>
          </w:tcPr>
          <w:p w14:paraId="122C3018">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有组织</w:t>
            </w:r>
          </w:p>
        </w:tc>
        <w:tc>
          <w:tcPr>
            <w:tcW w:w="351" w:type="pct"/>
            <w:vMerge w:val="continue"/>
            <w:tcBorders>
              <w:tl2br w:val="nil"/>
              <w:tr2bl w:val="nil"/>
            </w:tcBorders>
            <w:vAlign w:val="center"/>
          </w:tcPr>
          <w:p w14:paraId="304DB0EF">
            <w:pPr>
              <w:widowControl/>
              <w:spacing w:line="240" w:lineRule="auto"/>
              <w:ind w:firstLine="0" w:firstLineChars="0"/>
              <w:jc w:val="center"/>
              <w:textAlignment w:val="center"/>
              <w:rPr>
                <w:color w:val="auto"/>
                <w:kern w:val="0"/>
                <w:sz w:val="21"/>
                <w:szCs w:val="21"/>
                <w:lang w:bidi="ar"/>
              </w:rPr>
            </w:pPr>
          </w:p>
        </w:tc>
        <w:tc>
          <w:tcPr>
            <w:tcW w:w="351" w:type="pct"/>
            <w:tcBorders>
              <w:tl2br w:val="nil"/>
              <w:tr2bl w:val="nil"/>
            </w:tcBorders>
            <w:vAlign w:val="center"/>
          </w:tcPr>
          <w:p w14:paraId="182E43B2">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0.03</w:t>
            </w:r>
          </w:p>
        </w:tc>
        <w:tc>
          <w:tcPr>
            <w:tcW w:w="304" w:type="pct"/>
            <w:tcBorders>
              <w:tl2br w:val="nil"/>
              <w:tr2bl w:val="nil"/>
            </w:tcBorders>
            <w:vAlign w:val="center"/>
          </w:tcPr>
          <w:p w14:paraId="1CCC3F7E">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0.0006</w:t>
            </w:r>
          </w:p>
        </w:tc>
        <w:tc>
          <w:tcPr>
            <w:tcW w:w="327" w:type="pct"/>
            <w:tcBorders>
              <w:tl2br w:val="nil"/>
              <w:tr2bl w:val="nil"/>
            </w:tcBorders>
            <w:vAlign w:val="center"/>
          </w:tcPr>
          <w:p w14:paraId="44377232">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0.004</w:t>
            </w:r>
          </w:p>
        </w:tc>
        <w:tc>
          <w:tcPr>
            <w:tcW w:w="254" w:type="pct"/>
            <w:vMerge w:val="continue"/>
            <w:tcBorders>
              <w:tl2br w:val="nil"/>
              <w:tr2bl w:val="nil"/>
            </w:tcBorders>
            <w:vAlign w:val="center"/>
          </w:tcPr>
          <w:p w14:paraId="462343F4">
            <w:pPr>
              <w:spacing w:line="240" w:lineRule="auto"/>
              <w:ind w:firstLine="0" w:firstLineChars="0"/>
              <w:jc w:val="center"/>
              <w:rPr>
                <w:color w:val="auto"/>
                <w:sz w:val="21"/>
                <w:szCs w:val="21"/>
              </w:rPr>
            </w:pPr>
          </w:p>
        </w:tc>
        <w:tc>
          <w:tcPr>
            <w:tcW w:w="315" w:type="pct"/>
            <w:vMerge w:val="continue"/>
            <w:tcBorders>
              <w:tl2br w:val="nil"/>
              <w:tr2bl w:val="nil"/>
            </w:tcBorders>
            <w:vAlign w:val="center"/>
          </w:tcPr>
          <w:p w14:paraId="602DFF6F">
            <w:pPr>
              <w:spacing w:line="240" w:lineRule="auto"/>
              <w:ind w:firstLine="420"/>
              <w:jc w:val="center"/>
              <w:rPr>
                <w:color w:val="auto"/>
                <w:sz w:val="21"/>
                <w:szCs w:val="21"/>
              </w:rPr>
            </w:pPr>
          </w:p>
        </w:tc>
      </w:tr>
      <w:tr w14:paraId="2ED426A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52" w:type="pct"/>
            <w:vMerge w:val="continue"/>
            <w:tcBorders>
              <w:tl2br w:val="nil"/>
              <w:tr2bl w:val="nil"/>
            </w:tcBorders>
            <w:vAlign w:val="center"/>
          </w:tcPr>
          <w:p w14:paraId="01407411">
            <w:pPr>
              <w:spacing w:line="240" w:lineRule="auto"/>
              <w:ind w:firstLine="0" w:firstLineChars="0"/>
              <w:jc w:val="center"/>
              <w:rPr>
                <w:color w:val="auto"/>
                <w:sz w:val="21"/>
                <w:szCs w:val="21"/>
              </w:rPr>
            </w:pPr>
          </w:p>
        </w:tc>
        <w:tc>
          <w:tcPr>
            <w:tcW w:w="304" w:type="pct"/>
            <w:tcBorders>
              <w:tl2br w:val="nil"/>
              <w:tr2bl w:val="nil"/>
            </w:tcBorders>
            <w:vAlign w:val="center"/>
          </w:tcPr>
          <w:p w14:paraId="21A2F257">
            <w:pPr>
              <w:spacing w:line="240" w:lineRule="auto"/>
              <w:ind w:firstLine="0" w:firstLineChars="0"/>
              <w:jc w:val="center"/>
              <w:rPr>
                <w:color w:val="auto"/>
                <w:sz w:val="21"/>
                <w:szCs w:val="21"/>
                <w:vertAlign w:val="subscript"/>
              </w:rPr>
            </w:pPr>
            <w:r>
              <w:rPr>
                <w:rFonts w:hint="eastAsia"/>
                <w:color w:val="auto"/>
                <w:kern w:val="0"/>
                <w:sz w:val="21"/>
                <w:szCs w:val="21"/>
                <w:lang w:bidi="ar"/>
              </w:rPr>
              <w:t>非甲烷总烃</w:t>
            </w:r>
          </w:p>
        </w:tc>
        <w:tc>
          <w:tcPr>
            <w:tcW w:w="405" w:type="pct"/>
            <w:tcBorders>
              <w:tl2br w:val="nil"/>
              <w:tr2bl w:val="nil"/>
            </w:tcBorders>
            <w:vAlign w:val="center"/>
          </w:tcPr>
          <w:p w14:paraId="3E356055">
            <w:pPr>
              <w:spacing w:line="240" w:lineRule="auto"/>
              <w:ind w:firstLine="0" w:firstLineChars="0"/>
              <w:jc w:val="center"/>
              <w:rPr>
                <w:color w:val="auto"/>
                <w:sz w:val="21"/>
                <w:szCs w:val="21"/>
              </w:rPr>
            </w:pPr>
            <w:r>
              <w:rPr>
                <w:rFonts w:hint="eastAsia"/>
                <w:color w:val="auto"/>
                <w:sz w:val="21"/>
                <w:szCs w:val="21"/>
              </w:rPr>
              <w:t>产污系数</w:t>
            </w:r>
          </w:p>
        </w:tc>
        <w:tc>
          <w:tcPr>
            <w:tcW w:w="304" w:type="pct"/>
            <w:tcBorders>
              <w:tl2br w:val="nil"/>
              <w:tr2bl w:val="nil"/>
            </w:tcBorders>
            <w:vAlign w:val="center"/>
          </w:tcPr>
          <w:p w14:paraId="0DA59C7D">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4.6</w:t>
            </w:r>
          </w:p>
        </w:tc>
        <w:tc>
          <w:tcPr>
            <w:tcW w:w="327" w:type="pct"/>
            <w:tcBorders>
              <w:tl2br w:val="nil"/>
              <w:tr2bl w:val="nil"/>
            </w:tcBorders>
            <w:vAlign w:val="center"/>
          </w:tcPr>
          <w:p w14:paraId="0E18EF26">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 xml:space="preserve">0.092 </w:t>
            </w:r>
          </w:p>
        </w:tc>
        <w:tc>
          <w:tcPr>
            <w:tcW w:w="281" w:type="pct"/>
            <w:tcBorders>
              <w:tl2br w:val="nil"/>
              <w:tr2bl w:val="nil"/>
            </w:tcBorders>
            <w:vAlign w:val="center"/>
          </w:tcPr>
          <w:p w14:paraId="07A32B00">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0.660</w:t>
            </w:r>
          </w:p>
        </w:tc>
        <w:tc>
          <w:tcPr>
            <w:tcW w:w="241" w:type="pct"/>
            <w:vMerge w:val="continue"/>
            <w:tcBorders>
              <w:tl2br w:val="nil"/>
              <w:tr2bl w:val="nil"/>
            </w:tcBorders>
            <w:vAlign w:val="center"/>
          </w:tcPr>
          <w:p w14:paraId="1E141F5B">
            <w:pPr>
              <w:widowControl/>
              <w:spacing w:line="240" w:lineRule="auto"/>
              <w:ind w:firstLine="0" w:firstLineChars="0"/>
              <w:jc w:val="center"/>
              <w:textAlignment w:val="center"/>
              <w:rPr>
                <w:color w:val="auto"/>
                <w:kern w:val="0"/>
                <w:sz w:val="21"/>
                <w:szCs w:val="21"/>
                <w:lang w:bidi="ar"/>
              </w:rPr>
            </w:pPr>
          </w:p>
        </w:tc>
        <w:tc>
          <w:tcPr>
            <w:tcW w:w="389" w:type="pct"/>
            <w:vMerge w:val="continue"/>
            <w:tcBorders>
              <w:tl2br w:val="nil"/>
              <w:tr2bl w:val="nil"/>
            </w:tcBorders>
            <w:vAlign w:val="center"/>
          </w:tcPr>
          <w:p w14:paraId="75F0145B">
            <w:pPr>
              <w:widowControl/>
              <w:spacing w:line="240" w:lineRule="auto"/>
              <w:ind w:firstLine="0" w:firstLineChars="0"/>
              <w:jc w:val="center"/>
              <w:textAlignment w:val="center"/>
              <w:rPr>
                <w:color w:val="auto"/>
                <w:kern w:val="0"/>
                <w:sz w:val="21"/>
                <w:szCs w:val="21"/>
                <w:lang w:bidi="ar"/>
              </w:rPr>
            </w:pPr>
          </w:p>
        </w:tc>
        <w:tc>
          <w:tcPr>
            <w:tcW w:w="268" w:type="pct"/>
            <w:tcBorders>
              <w:tl2br w:val="nil"/>
              <w:tr2bl w:val="nil"/>
            </w:tcBorders>
            <w:vAlign w:val="center"/>
          </w:tcPr>
          <w:p w14:paraId="4FCAA839">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60</w:t>
            </w:r>
          </w:p>
        </w:tc>
        <w:tc>
          <w:tcPr>
            <w:tcW w:w="326" w:type="pct"/>
            <w:tcBorders>
              <w:tl2br w:val="nil"/>
              <w:tr2bl w:val="nil"/>
            </w:tcBorders>
            <w:vAlign w:val="center"/>
          </w:tcPr>
          <w:p w14:paraId="621FB9A6">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有组织</w:t>
            </w:r>
          </w:p>
        </w:tc>
        <w:tc>
          <w:tcPr>
            <w:tcW w:w="351" w:type="pct"/>
            <w:vMerge w:val="continue"/>
            <w:tcBorders>
              <w:tl2br w:val="nil"/>
              <w:tr2bl w:val="nil"/>
            </w:tcBorders>
            <w:vAlign w:val="center"/>
          </w:tcPr>
          <w:p w14:paraId="66FC1EB0">
            <w:pPr>
              <w:widowControl/>
              <w:spacing w:line="240" w:lineRule="auto"/>
              <w:ind w:firstLine="0" w:firstLineChars="0"/>
              <w:jc w:val="center"/>
              <w:textAlignment w:val="center"/>
              <w:rPr>
                <w:color w:val="auto"/>
                <w:kern w:val="0"/>
                <w:sz w:val="21"/>
                <w:szCs w:val="21"/>
                <w:lang w:bidi="ar"/>
              </w:rPr>
            </w:pPr>
          </w:p>
        </w:tc>
        <w:tc>
          <w:tcPr>
            <w:tcW w:w="351" w:type="pct"/>
            <w:tcBorders>
              <w:tl2br w:val="nil"/>
              <w:tr2bl w:val="nil"/>
            </w:tcBorders>
            <w:vAlign w:val="center"/>
          </w:tcPr>
          <w:p w14:paraId="7D9FD712">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1.66</w:t>
            </w:r>
          </w:p>
        </w:tc>
        <w:tc>
          <w:tcPr>
            <w:tcW w:w="304" w:type="pct"/>
            <w:tcBorders>
              <w:tl2br w:val="nil"/>
              <w:tr2bl w:val="nil"/>
            </w:tcBorders>
            <w:vAlign w:val="center"/>
          </w:tcPr>
          <w:p w14:paraId="009AD2A4">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0.0331</w:t>
            </w:r>
          </w:p>
        </w:tc>
        <w:tc>
          <w:tcPr>
            <w:tcW w:w="327" w:type="pct"/>
            <w:tcBorders>
              <w:tl2br w:val="nil"/>
              <w:tr2bl w:val="nil"/>
            </w:tcBorders>
            <w:vAlign w:val="center"/>
          </w:tcPr>
          <w:p w14:paraId="1991CEB5">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0.238</w:t>
            </w:r>
          </w:p>
        </w:tc>
        <w:tc>
          <w:tcPr>
            <w:tcW w:w="254" w:type="pct"/>
            <w:vMerge w:val="continue"/>
            <w:tcBorders>
              <w:tl2br w:val="nil"/>
              <w:tr2bl w:val="nil"/>
            </w:tcBorders>
            <w:vAlign w:val="center"/>
          </w:tcPr>
          <w:p w14:paraId="520CD636">
            <w:pPr>
              <w:spacing w:line="240" w:lineRule="auto"/>
              <w:ind w:firstLine="0" w:firstLineChars="0"/>
              <w:jc w:val="center"/>
              <w:rPr>
                <w:color w:val="auto"/>
                <w:sz w:val="21"/>
                <w:szCs w:val="21"/>
              </w:rPr>
            </w:pPr>
          </w:p>
        </w:tc>
        <w:tc>
          <w:tcPr>
            <w:tcW w:w="315" w:type="pct"/>
            <w:vMerge w:val="continue"/>
            <w:tcBorders>
              <w:tl2br w:val="nil"/>
              <w:tr2bl w:val="nil"/>
            </w:tcBorders>
            <w:vAlign w:val="center"/>
          </w:tcPr>
          <w:p w14:paraId="61A685E8">
            <w:pPr>
              <w:spacing w:line="240" w:lineRule="auto"/>
              <w:ind w:firstLine="0" w:firstLineChars="0"/>
              <w:jc w:val="center"/>
              <w:rPr>
                <w:color w:val="auto"/>
                <w:sz w:val="21"/>
                <w:szCs w:val="21"/>
              </w:rPr>
            </w:pPr>
          </w:p>
        </w:tc>
      </w:tr>
      <w:tr w14:paraId="50B41CE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52" w:type="pct"/>
            <w:vMerge w:val="restart"/>
            <w:tcBorders>
              <w:tl2br w:val="nil"/>
              <w:tr2bl w:val="nil"/>
            </w:tcBorders>
            <w:vAlign w:val="center"/>
          </w:tcPr>
          <w:p w14:paraId="3D78CE90">
            <w:pPr>
              <w:spacing w:line="240" w:lineRule="auto"/>
              <w:ind w:firstLine="0" w:firstLineChars="0"/>
              <w:jc w:val="center"/>
              <w:rPr>
                <w:color w:val="auto"/>
                <w:sz w:val="21"/>
                <w:szCs w:val="21"/>
              </w:rPr>
            </w:pPr>
            <w:r>
              <w:rPr>
                <w:rFonts w:hint="eastAsia"/>
                <w:color w:val="auto"/>
                <w:sz w:val="21"/>
                <w:szCs w:val="21"/>
              </w:rPr>
              <w:t>无组织</w:t>
            </w:r>
          </w:p>
        </w:tc>
        <w:tc>
          <w:tcPr>
            <w:tcW w:w="304" w:type="pct"/>
            <w:tcBorders>
              <w:tl2br w:val="nil"/>
              <w:tr2bl w:val="nil"/>
            </w:tcBorders>
            <w:vAlign w:val="center"/>
          </w:tcPr>
          <w:p w14:paraId="1BBC414A">
            <w:pPr>
              <w:spacing w:line="240" w:lineRule="auto"/>
              <w:ind w:firstLine="0" w:firstLineChars="0"/>
              <w:jc w:val="center"/>
              <w:rPr>
                <w:color w:val="auto"/>
                <w:sz w:val="21"/>
                <w:szCs w:val="21"/>
              </w:rPr>
            </w:pPr>
            <w:r>
              <w:rPr>
                <w:rFonts w:hint="eastAsia"/>
                <w:color w:val="auto"/>
                <w:sz w:val="21"/>
                <w:szCs w:val="21"/>
              </w:rPr>
              <w:t>NH</w:t>
            </w:r>
            <w:r>
              <w:rPr>
                <w:rFonts w:hint="eastAsia"/>
                <w:color w:val="auto"/>
                <w:sz w:val="21"/>
                <w:szCs w:val="21"/>
                <w:vertAlign w:val="subscript"/>
              </w:rPr>
              <w:t>3</w:t>
            </w:r>
          </w:p>
        </w:tc>
        <w:tc>
          <w:tcPr>
            <w:tcW w:w="405" w:type="pct"/>
            <w:tcBorders>
              <w:tl2br w:val="nil"/>
              <w:tr2bl w:val="nil"/>
            </w:tcBorders>
            <w:vAlign w:val="center"/>
          </w:tcPr>
          <w:p w14:paraId="3076CE7F">
            <w:pPr>
              <w:spacing w:line="240" w:lineRule="auto"/>
              <w:ind w:firstLine="0" w:firstLineChars="0"/>
              <w:jc w:val="center"/>
              <w:rPr>
                <w:color w:val="auto"/>
                <w:sz w:val="21"/>
                <w:szCs w:val="21"/>
              </w:rPr>
            </w:pPr>
            <w:r>
              <w:rPr>
                <w:rFonts w:hint="eastAsia"/>
                <w:color w:val="auto"/>
                <w:sz w:val="21"/>
                <w:szCs w:val="21"/>
              </w:rPr>
              <w:t>/</w:t>
            </w:r>
          </w:p>
        </w:tc>
        <w:tc>
          <w:tcPr>
            <w:tcW w:w="304" w:type="pct"/>
            <w:tcBorders>
              <w:tl2br w:val="nil"/>
              <w:tr2bl w:val="nil"/>
            </w:tcBorders>
            <w:vAlign w:val="center"/>
          </w:tcPr>
          <w:p w14:paraId="18B6FCF2">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w:t>
            </w:r>
          </w:p>
        </w:tc>
        <w:tc>
          <w:tcPr>
            <w:tcW w:w="327" w:type="pct"/>
            <w:tcBorders>
              <w:tl2br w:val="nil"/>
              <w:tr2bl w:val="nil"/>
            </w:tcBorders>
            <w:vAlign w:val="center"/>
          </w:tcPr>
          <w:p w14:paraId="526901E1">
            <w:pPr>
              <w:pStyle w:val="3361"/>
              <w:rPr>
                <w:color w:val="auto"/>
                <w:lang w:bidi="ar"/>
              </w:rPr>
            </w:pPr>
            <w:r>
              <w:rPr>
                <w:rFonts w:hint="eastAsia"/>
                <w:color w:val="auto"/>
                <w:lang w:bidi="ar"/>
              </w:rPr>
              <w:t>0.001</w:t>
            </w:r>
          </w:p>
        </w:tc>
        <w:tc>
          <w:tcPr>
            <w:tcW w:w="281" w:type="pct"/>
            <w:tcBorders>
              <w:tl2br w:val="nil"/>
              <w:tr2bl w:val="nil"/>
            </w:tcBorders>
            <w:vAlign w:val="center"/>
          </w:tcPr>
          <w:p w14:paraId="6447F8D3">
            <w:pPr>
              <w:pStyle w:val="3361"/>
              <w:rPr>
                <w:color w:val="auto"/>
                <w:lang w:bidi="ar"/>
              </w:rPr>
            </w:pPr>
            <w:r>
              <w:rPr>
                <w:rFonts w:hint="eastAsia"/>
                <w:color w:val="auto"/>
                <w:lang w:bidi="ar"/>
              </w:rPr>
              <w:t>0.01</w:t>
            </w:r>
          </w:p>
        </w:tc>
        <w:tc>
          <w:tcPr>
            <w:tcW w:w="241" w:type="pct"/>
            <w:tcBorders>
              <w:tl2br w:val="nil"/>
              <w:tr2bl w:val="nil"/>
            </w:tcBorders>
            <w:vAlign w:val="center"/>
          </w:tcPr>
          <w:p w14:paraId="5A316330">
            <w:pPr>
              <w:spacing w:line="240" w:lineRule="auto"/>
              <w:ind w:firstLine="0" w:firstLineChars="0"/>
              <w:jc w:val="center"/>
              <w:rPr>
                <w:color w:val="auto"/>
                <w:sz w:val="21"/>
                <w:szCs w:val="21"/>
              </w:rPr>
            </w:pPr>
            <w:r>
              <w:rPr>
                <w:rFonts w:hint="eastAsia"/>
                <w:color w:val="auto"/>
                <w:sz w:val="21"/>
                <w:szCs w:val="21"/>
              </w:rPr>
              <w:t>/</w:t>
            </w:r>
          </w:p>
        </w:tc>
        <w:tc>
          <w:tcPr>
            <w:tcW w:w="389" w:type="pct"/>
            <w:tcBorders>
              <w:tl2br w:val="nil"/>
              <w:tr2bl w:val="nil"/>
            </w:tcBorders>
            <w:vAlign w:val="center"/>
          </w:tcPr>
          <w:p w14:paraId="1EF03450">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w:t>
            </w:r>
          </w:p>
        </w:tc>
        <w:tc>
          <w:tcPr>
            <w:tcW w:w="268" w:type="pct"/>
            <w:tcBorders>
              <w:tl2br w:val="nil"/>
              <w:tr2bl w:val="nil"/>
            </w:tcBorders>
            <w:vAlign w:val="center"/>
          </w:tcPr>
          <w:p w14:paraId="04629E33">
            <w:pPr>
              <w:spacing w:line="240" w:lineRule="auto"/>
              <w:ind w:firstLine="0" w:firstLineChars="0"/>
              <w:jc w:val="center"/>
              <w:rPr>
                <w:color w:val="auto"/>
                <w:sz w:val="21"/>
                <w:szCs w:val="21"/>
              </w:rPr>
            </w:pPr>
            <w:r>
              <w:rPr>
                <w:rFonts w:hint="eastAsia"/>
                <w:color w:val="auto"/>
                <w:sz w:val="21"/>
                <w:szCs w:val="21"/>
              </w:rPr>
              <w:t>/</w:t>
            </w:r>
          </w:p>
        </w:tc>
        <w:tc>
          <w:tcPr>
            <w:tcW w:w="326" w:type="pct"/>
            <w:tcBorders>
              <w:tl2br w:val="nil"/>
              <w:tr2bl w:val="nil"/>
            </w:tcBorders>
            <w:vAlign w:val="center"/>
          </w:tcPr>
          <w:p w14:paraId="5BBA06F4">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w:t>
            </w:r>
          </w:p>
        </w:tc>
        <w:tc>
          <w:tcPr>
            <w:tcW w:w="351" w:type="pct"/>
            <w:tcBorders>
              <w:tl2br w:val="nil"/>
              <w:tr2bl w:val="nil"/>
            </w:tcBorders>
            <w:vAlign w:val="center"/>
          </w:tcPr>
          <w:p w14:paraId="13C3F3C6">
            <w:pPr>
              <w:spacing w:line="240" w:lineRule="auto"/>
              <w:ind w:firstLine="0" w:firstLineChars="0"/>
              <w:jc w:val="center"/>
              <w:rPr>
                <w:color w:val="auto"/>
                <w:sz w:val="21"/>
                <w:szCs w:val="21"/>
              </w:rPr>
            </w:pPr>
            <w:r>
              <w:rPr>
                <w:rFonts w:hint="eastAsia"/>
                <w:color w:val="auto"/>
                <w:sz w:val="21"/>
                <w:szCs w:val="21"/>
              </w:rPr>
              <w:t>/</w:t>
            </w:r>
          </w:p>
        </w:tc>
        <w:tc>
          <w:tcPr>
            <w:tcW w:w="351" w:type="pct"/>
            <w:tcBorders>
              <w:tl2br w:val="nil"/>
              <w:tr2bl w:val="nil"/>
            </w:tcBorders>
            <w:vAlign w:val="center"/>
          </w:tcPr>
          <w:p w14:paraId="51FB56C4">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w:t>
            </w:r>
          </w:p>
        </w:tc>
        <w:tc>
          <w:tcPr>
            <w:tcW w:w="304" w:type="pct"/>
            <w:tcBorders>
              <w:tl2br w:val="nil"/>
              <w:tr2bl w:val="nil"/>
            </w:tcBorders>
            <w:vAlign w:val="center"/>
          </w:tcPr>
          <w:p w14:paraId="7FAFF52A">
            <w:pPr>
              <w:pStyle w:val="3361"/>
              <w:rPr>
                <w:color w:val="auto"/>
                <w:lang w:bidi="ar"/>
              </w:rPr>
            </w:pPr>
            <w:r>
              <w:rPr>
                <w:rFonts w:hint="eastAsia"/>
                <w:color w:val="auto"/>
                <w:lang w:bidi="ar"/>
              </w:rPr>
              <w:t>0.001</w:t>
            </w:r>
          </w:p>
        </w:tc>
        <w:tc>
          <w:tcPr>
            <w:tcW w:w="327" w:type="pct"/>
            <w:tcBorders>
              <w:tl2br w:val="nil"/>
              <w:tr2bl w:val="nil"/>
            </w:tcBorders>
            <w:vAlign w:val="center"/>
          </w:tcPr>
          <w:p w14:paraId="4E3ACE13">
            <w:pPr>
              <w:pStyle w:val="3361"/>
              <w:rPr>
                <w:color w:val="auto"/>
                <w:lang w:bidi="ar"/>
              </w:rPr>
            </w:pPr>
            <w:r>
              <w:rPr>
                <w:rFonts w:hint="eastAsia"/>
                <w:color w:val="auto"/>
                <w:lang w:bidi="ar"/>
              </w:rPr>
              <w:t>0.01</w:t>
            </w:r>
          </w:p>
        </w:tc>
        <w:tc>
          <w:tcPr>
            <w:tcW w:w="254" w:type="pct"/>
            <w:tcBorders>
              <w:tl2br w:val="nil"/>
              <w:tr2bl w:val="nil"/>
            </w:tcBorders>
            <w:vAlign w:val="center"/>
          </w:tcPr>
          <w:p w14:paraId="701C3C8F">
            <w:pPr>
              <w:spacing w:line="240" w:lineRule="auto"/>
              <w:ind w:firstLine="0" w:firstLineChars="0"/>
              <w:jc w:val="center"/>
              <w:rPr>
                <w:color w:val="auto"/>
                <w:sz w:val="21"/>
                <w:szCs w:val="21"/>
              </w:rPr>
            </w:pPr>
            <w:r>
              <w:rPr>
                <w:rFonts w:hint="eastAsia"/>
                <w:color w:val="auto"/>
                <w:sz w:val="21"/>
                <w:szCs w:val="21"/>
              </w:rPr>
              <w:t>/</w:t>
            </w:r>
          </w:p>
        </w:tc>
        <w:tc>
          <w:tcPr>
            <w:tcW w:w="315" w:type="pct"/>
            <w:tcBorders>
              <w:tl2br w:val="nil"/>
              <w:tr2bl w:val="nil"/>
            </w:tcBorders>
            <w:vAlign w:val="center"/>
          </w:tcPr>
          <w:p w14:paraId="38D623F5">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w:t>
            </w:r>
          </w:p>
        </w:tc>
      </w:tr>
      <w:tr w14:paraId="60BF47B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52" w:type="pct"/>
            <w:vMerge w:val="continue"/>
            <w:tcBorders>
              <w:tl2br w:val="nil"/>
              <w:tr2bl w:val="nil"/>
            </w:tcBorders>
            <w:vAlign w:val="center"/>
          </w:tcPr>
          <w:p w14:paraId="6EDBD533">
            <w:pPr>
              <w:spacing w:line="240" w:lineRule="auto"/>
              <w:ind w:firstLine="0" w:firstLineChars="0"/>
              <w:jc w:val="center"/>
              <w:rPr>
                <w:color w:val="auto"/>
                <w:sz w:val="21"/>
                <w:szCs w:val="21"/>
              </w:rPr>
            </w:pPr>
          </w:p>
        </w:tc>
        <w:tc>
          <w:tcPr>
            <w:tcW w:w="304" w:type="pct"/>
            <w:tcBorders>
              <w:tl2br w:val="nil"/>
              <w:tr2bl w:val="nil"/>
            </w:tcBorders>
            <w:vAlign w:val="center"/>
          </w:tcPr>
          <w:p w14:paraId="67667C5C">
            <w:pPr>
              <w:spacing w:line="240" w:lineRule="auto"/>
              <w:ind w:firstLine="0" w:firstLineChars="0"/>
              <w:jc w:val="center"/>
              <w:rPr>
                <w:color w:val="auto"/>
                <w:sz w:val="21"/>
                <w:szCs w:val="21"/>
                <w:vertAlign w:val="subscript"/>
              </w:rPr>
            </w:pPr>
            <w:r>
              <w:rPr>
                <w:rFonts w:hint="eastAsia"/>
                <w:color w:val="auto"/>
                <w:sz w:val="21"/>
                <w:szCs w:val="21"/>
              </w:rPr>
              <w:t>H</w:t>
            </w:r>
            <w:r>
              <w:rPr>
                <w:rFonts w:hint="eastAsia"/>
                <w:color w:val="auto"/>
                <w:sz w:val="21"/>
                <w:szCs w:val="21"/>
                <w:vertAlign w:val="subscript"/>
              </w:rPr>
              <w:t>2</w:t>
            </w:r>
            <w:r>
              <w:rPr>
                <w:rFonts w:hint="eastAsia"/>
                <w:color w:val="auto"/>
                <w:sz w:val="21"/>
                <w:szCs w:val="21"/>
              </w:rPr>
              <w:t>S</w:t>
            </w:r>
          </w:p>
        </w:tc>
        <w:tc>
          <w:tcPr>
            <w:tcW w:w="405" w:type="pct"/>
            <w:tcBorders>
              <w:tl2br w:val="nil"/>
              <w:tr2bl w:val="nil"/>
            </w:tcBorders>
            <w:vAlign w:val="center"/>
          </w:tcPr>
          <w:p w14:paraId="4C353794">
            <w:pPr>
              <w:spacing w:line="240" w:lineRule="auto"/>
              <w:ind w:firstLine="0" w:firstLineChars="0"/>
              <w:jc w:val="center"/>
              <w:rPr>
                <w:color w:val="auto"/>
                <w:sz w:val="21"/>
                <w:szCs w:val="21"/>
              </w:rPr>
            </w:pPr>
            <w:r>
              <w:rPr>
                <w:rFonts w:hint="eastAsia"/>
                <w:color w:val="auto"/>
                <w:sz w:val="21"/>
                <w:szCs w:val="21"/>
              </w:rPr>
              <w:t>/</w:t>
            </w:r>
          </w:p>
        </w:tc>
        <w:tc>
          <w:tcPr>
            <w:tcW w:w="304" w:type="pct"/>
            <w:tcBorders>
              <w:tl2br w:val="nil"/>
              <w:tr2bl w:val="nil"/>
            </w:tcBorders>
            <w:vAlign w:val="center"/>
          </w:tcPr>
          <w:p w14:paraId="2CDECCCA">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w:t>
            </w:r>
          </w:p>
        </w:tc>
        <w:tc>
          <w:tcPr>
            <w:tcW w:w="327" w:type="pct"/>
            <w:tcBorders>
              <w:tl2br w:val="nil"/>
              <w:tr2bl w:val="nil"/>
            </w:tcBorders>
            <w:vAlign w:val="center"/>
          </w:tcPr>
          <w:p w14:paraId="1CD7AB4A">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0.0002</w:t>
            </w:r>
          </w:p>
        </w:tc>
        <w:tc>
          <w:tcPr>
            <w:tcW w:w="281" w:type="pct"/>
            <w:tcBorders>
              <w:tl2br w:val="nil"/>
              <w:tr2bl w:val="nil"/>
            </w:tcBorders>
            <w:vAlign w:val="center"/>
          </w:tcPr>
          <w:p w14:paraId="4F13BFAC">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0.001</w:t>
            </w:r>
          </w:p>
        </w:tc>
        <w:tc>
          <w:tcPr>
            <w:tcW w:w="241" w:type="pct"/>
            <w:tcBorders>
              <w:tl2br w:val="nil"/>
              <w:tr2bl w:val="nil"/>
            </w:tcBorders>
            <w:vAlign w:val="center"/>
          </w:tcPr>
          <w:p w14:paraId="457E4ACF">
            <w:pPr>
              <w:spacing w:line="240" w:lineRule="auto"/>
              <w:ind w:firstLine="0" w:firstLineChars="0"/>
              <w:jc w:val="center"/>
              <w:rPr>
                <w:color w:val="auto"/>
                <w:sz w:val="21"/>
                <w:szCs w:val="21"/>
              </w:rPr>
            </w:pPr>
            <w:r>
              <w:rPr>
                <w:rFonts w:hint="eastAsia"/>
                <w:color w:val="auto"/>
                <w:sz w:val="21"/>
                <w:szCs w:val="21"/>
              </w:rPr>
              <w:t>/</w:t>
            </w:r>
          </w:p>
        </w:tc>
        <w:tc>
          <w:tcPr>
            <w:tcW w:w="389" w:type="pct"/>
            <w:tcBorders>
              <w:tl2br w:val="nil"/>
              <w:tr2bl w:val="nil"/>
            </w:tcBorders>
            <w:vAlign w:val="center"/>
          </w:tcPr>
          <w:p w14:paraId="706F8C0B">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w:t>
            </w:r>
          </w:p>
        </w:tc>
        <w:tc>
          <w:tcPr>
            <w:tcW w:w="268" w:type="pct"/>
            <w:tcBorders>
              <w:tl2br w:val="nil"/>
              <w:tr2bl w:val="nil"/>
            </w:tcBorders>
            <w:vAlign w:val="center"/>
          </w:tcPr>
          <w:p w14:paraId="47C9C096">
            <w:pPr>
              <w:spacing w:line="240" w:lineRule="auto"/>
              <w:ind w:firstLine="0" w:firstLineChars="0"/>
              <w:jc w:val="center"/>
              <w:rPr>
                <w:color w:val="auto"/>
                <w:sz w:val="21"/>
                <w:szCs w:val="21"/>
              </w:rPr>
            </w:pPr>
            <w:r>
              <w:rPr>
                <w:rFonts w:hint="eastAsia"/>
                <w:color w:val="auto"/>
                <w:sz w:val="21"/>
                <w:szCs w:val="21"/>
              </w:rPr>
              <w:t>/</w:t>
            </w:r>
          </w:p>
        </w:tc>
        <w:tc>
          <w:tcPr>
            <w:tcW w:w="326" w:type="pct"/>
            <w:tcBorders>
              <w:tl2br w:val="nil"/>
              <w:tr2bl w:val="nil"/>
            </w:tcBorders>
            <w:vAlign w:val="center"/>
          </w:tcPr>
          <w:p w14:paraId="2B51816D">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w:t>
            </w:r>
          </w:p>
        </w:tc>
        <w:tc>
          <w:tcPr>
            <w:tcW w:w="351" w:type="pct"/>
            <w:tcBorders>
              <w:tl2br w:val="nil"/>
              <w:tr2bl w:val="nil"/>
            </w:tcBorders>
            <w:vAlign w:val="center"/>
          </w:tcPr>
          <w:p w14:paraId="3FCAF51C">
            <w:pPr>
              <w:spacing w:line="240" w:lineRule="auto"/>
              <w:ind w:firstLine="0" w:firstLineChars="0"/>
              <w:jc w:val="center"/>
              <w:rPr>
                <w:color w:val="auto"/>
                <w:sz w:val="21"/>
                <w:szCs w:val="21"/>
              </w:rPr>
            </w:pPr>
            <w:r>
              <w:rPr>
                <w:rFonts w:hint="eastAsia"/>
                <w:color w:val="auto"/>
                <w:sz w:val="21"/>
                <w:szCs w:val="21"/>
              </w:rPr>
              <w:t>/</w:t>
            </w:r>
          </w:p>
        </w:tc>
        <w:tc>
          <w:tcPr>
            <w:tcW w:w="351" w:type="pct"/>
            <w:tcBorders>
              <w:tl2br w:val="nil"/>
              <w:tr2bl w:val="nil"/>
            </w:tcBorders>
            <w:vAlign w:val="center"/>
          </w:tcPr>
          <w:p w14:paraId="3FE816D5">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w:t>
            </w:r>
          </w:p>
        </w:tc>
        <w:tc>
          <w:tcPr>
            <w:tcW w:w="304" w:type="pct"/>
            <w:tcBorders>
              <w:tl2br w:val="nil"/>
              <w:tr2bl w:val="nil"/>
            </w:tcBorders>
            <w:vAlign w:val="center"/>
          </w:tcPr>
          <w:p w14:paraId="4100ADFA">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0.0002</w:t>
            </w:r>
          </w:p>
        </w:tc>
        <w:tc>
          <w:tcPr>
            <w:tcW w:w="327" w:type="pct"/>
            <w:tcBorders>
              <w:tl2br w:val="nil"/>
              <w:tr2bl w:val="nil"/>
            </w:tcBorders>
            <w:vAlign w:val="center"/>
          </w:tcPr>
          <w:p w14:paraId="3B48AA39">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0.001</w:t>
            </w:r>
          </w:p>
        </w:tc>
        <w:tc>
          <w:tcPr>
            <w:tcW w:w="254" w:type="pct"/>
            <w:tcBorders>
              <w:tl2br w:val="nil"/>
              <w:tr2bl w:val="nil"/>
            </w:tcBorders>
            <w:vAlign w:val="center"/>
          </w:tcPr>
          <w:p w14:paraId="3D4CE39C">
            <w:pPr>
              <w:spacing w:line="240" w:lineRule="auto"/>
              <w:ind w:firstLine="0" w:firstLineChars="0"/>
              <w:jc w:val="center"/>
              <w:rPr>
                <w:color w:val="auto"/>
                <w:sz w:val="21"/>
                <w:szCs w:val="21"/>
              </w:rPr>
            </w:pPr>
            <w:r>
              <w:rPr>
                <w:rFonts w:hint="eastAsia"/>
                <w:color w:val="auto"/>
                <w:sz w:val="21"/>
                <w:szCs w:val="21"/>
              </w:rPr>
              <w:t>/</w:t>
            </w:r>
          </w:p>
        </w:tc>
        <w:tc>
          <w:tcPr>
            <w:tcW w:w="315" w:type="pct"/>
            <w:tcBorders>
              <w:tl2br w:val="nil"/>
              <w:tr2bl w:val="nil"/>
            </w:tcBorders>
            <w:vAlign w:val="center"/>
          </w:tcPr>
          <w:p w14:paraId="7B5F4805">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w:t>
            </w:r>
          </w:p>
        </w:tc>
      </w:tr>
      <w:tr w14:paraId="7FD5774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52" w:type="pct"/>
            <w:vMerge w:val="continue"/>
            <w:tcBorders>
              <w:tl2br w:val="nil"/>
              <w:tr2bl w:val="nil"/>
            </w:tcBorders>
            <w:vAlign w:val="center"/>
          </w:tcPr>
          <w:p w14:paraId="60810204">
            <w:pPr>
              <w:spacing w:line="240" w:lineRule="auto"/>
              <w:ind w:firstLine="0" w:firstLineChars="0"/>
              <w:jc w:val="center"/>
              <w:rPr>
                <w:color w:val="auto"/>
                <w:sz w:val="21"/>
                <w:szCs w:val="21"/>
              </w:rPr>
            </w:pPr>
          </w:p>
        </w:tc>
        <w:tc>
          <w:tcPr>
            <w:tcW w:w="304" w:type="pct"/>
            <w:tcBorders>
              <w:tl2br w:val="nil"/>
              <w:tr2bl w:val="nil"/>
            </w:tcBorders>
            <w:vAlign w:val="center"/>
          </w:tcPr>
          <w:p w14:paraId="19C84E0B">
            <w:pPr>
              <w:spacing w:line="240" w:lineRule="auto"/>
              <w:ind w:firstLine="0" w:firstLineChars="0"/>
              <w:jc w:val="center"/>
              <w:rPr>
                <w:color w:val="auto"/>
                <w:sz w:val="21"/>
                <w:szCs w:val="21"/>
                <w:vertAlign w:val="subscript"/>
              </w:rPr>
            </w:pPr>
            <w:r>
              <w:rPr>
                <w:rFonts w:hint="eastAsia"/>
                <w:color w:val="auto"/>
                <w:kern w:val="0"/>
                <w:sz w:val="21"/>
                <w:szCs w:val="21"/>
                <w:lang w:bidi="ar"/>
              </w:rPr>
              <w:t>非甲烷总烃</w:t>
            </w:r>
          </w:p>
        </w:tc>
        <w:tc>
          <w:tcPr>
            <w:tcW w:w="405" w:type="pct"/>
            <w:tcBorders>
              <w:tl2br w:val="nil"/>
              <w:tr2bl w:val="nil"/>
            </w:tcBorders>
            <w:vAlign w:val="center"/>
          </w:tcPr>
          <w:p w14:paraId="4711F4E8">
            <w:pPr>
              <w:spacing w:line="240" w:lineRule="auto"/>
              <w:ind w:firstLine="0" w:firstLineChars="0"/>
              <w:jc w:val="center"/>
              <w:rPr>
                <w:color w:val="auto"/>
                <w:sz w:val="21"/>
                <w:szCs w:val="21"/>
              </w:rPr>
            </w:pPr>
            <w:r>
              <w:rPr>
                <w:rFonts w:hint="eastAsia"/>
                <w:color w:val="auto"/>
                <w:sz w:val="21"/>
                <w:szCs w:val="21"/>
              </w:rPr>
              <w:t>/</w:t>
            </w:r>
          </w:p>
        </w:tc>
        <w:tc>
          <w:tcPr>
            <w:tcW w:w="304" w:type="pct"/>
            <w:tcBorders>
              <w:tl2br w:val="nil"/>
              <w:tr2bl w:val="nil"/>
            </w:tcBorders>
            <w:vAlign w:val="center"/>
          </w:tcPr>
          <w:p w14:paraId="558FC464">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w:t>
            </w:r>
          </w:p>
        </w:tc>
        <w:tc>
          <w:tcPr>
            <w:tcW w:w="327" w:type="pct"/>
            <w:tcBorders>
              <w:tl2br w:val="nil"/>
              <w:tr2bl w:val="nil"/>
            </w:tcBorders>
            <w:vAlign w:val="center"/>
          </w:tcPr>
          <w:p w14:paraId="6C100569">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0.009</w:t>
            </w:r>
          </w:p>
        </w:tc>
        <w:tc>
          <w:tcPr>
            <w:tcW w:w="281" w:type="pct"/>
            <w:tcBorders>
              <w:tl2br w:val="nil"/>
              <w:tr2bl w:val="nil"/>
            </w:tcBorders>
            <w:vAlign w:val="center"/>
          </w:tcPr>
          <w:p w14:paraId="04C03615">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0.066</w:t>
            </w:r>
          </w:p>
        </w:tc>
        <w:tc>
          <w:tcPr>
            <w:tcW w:w="241" w:type="pct"/>
            <w:tcBorders>
              <w:tl2br w:val="nil"/>
              <w:tr2bl w:val="nil"/>
            </w:tcBorders>
            <w:vAlign w:val="center"/>
          </w:tcPr>
          <w:p w14:paraId="2CD5F617">
            <w:pPr>
              <w:spacing w:line="240" w:lineRule="auto"/>
              <w:ind w:firstLine="0" w:firstLineChars="0"/>
              <w:jc w:val="center"/>
              <w:rPr>
                <w:color w:val="auto"/>
                <w:sz w:val="21"/>
                <w:szCs w:val="21"/>
              </w:rPr>
            </w:pPr>
            <w:r>
              <w:rPr>
                <w:rFonts w:hint="eastAsia"/>
                <w:color w:val="auto"/>
                <w:sz w:val="21"/>
                <w:szCs w:val="21"/>
              </w:rPr>
              <w:t>/</w:t>
            </w:r>
          </w:p>
        </w:tc>
        <w:tc>
          <w:tcPr>
            <w:tcW w:w="389" w:type="pct"/>
            <w:tcBorders>
              <w:tl2br w:val="nil"/>
              <w:tr2bl w:val="nil"/>
            </w:tcBorders>
            <w:vAlign w:val="center"/>
          </w:tcPr>
          <w:p w14:paraId="6E794C89">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w:t>
            </w:r>
          </w:p>
        </w:tc>
        <w:tc>
          <w:tcPr>
            <w:tcW w:w="268" w:type="pct"/>
            <w:tcBorders>
              <w:tl2br w:val="nil"/>
              <w:tr2bl w:val="nil"/>
            </w:tcBorders>
            <w:vAlign w:val="center"/>
          </w:tcPr>
          <w:p w14:paraId="38DED3EA">
            <w:pPr>
              <w:spacing w:line="240" w:lineRule="auto"/>
              <w:ind w:firstLine="0" w:firstLineChars="0"/>
              <w:jc w:val="center"/>
              <w:rPr>
                <w:color w:val="auto"/>
                <w:sz w:val="21"/>
                <w:szCs w:val="21"/>
              </w:rPr>
            </w:pPr>
            <w:r>
              <w:rPr>
                <w:rFonts w:hint="eastAsia"/>
                <w:color w:val="auto"/>
                <w:sz w:val="21"/>
                <w:szCs w:val="21"/>
              </w:rPr>
              <w:t>/</w:t>
            </w:r>
          </w:p>
        </w:tc>
        <w:tc>
          <w:tcPr>
            <w:tcW w:w="326" w:type="pct"/>
            <w:tcBorders>
              <w:tl2br w:val="nil"/>
              <w:tr2bl w:val="nil"/>
            </w:tcBorders>
            <w:vAlign w:val="center"/>
          </w:tcPr>
          <w:p w14:paraId="04EA0C24">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w:t>
            </w:r>
          </w:p>
        </w:tc>
        <w:tc>
          <w:tcPr>
            <w:tcW w:w="351" w:type="pct"/>
            <w:tcBorders>
              <w:tl2br w:val="nil"/>
              <w:tr2bl w:val="nil"/>
            </w:tcBorders>
            <w:vAlign w:val="center"/>
          </w:tcPr>
          <w:p w14:paraId="18652242">
            <w:pPr>
              <w:spacing w:line="240" w:lineRule="auto"/>
              <w:ind w:firstLine="0" w:firstLineChars="0"/>
              <w:jc w:val="center"/>
              <w:rPr>
                <w:color w:val="auto"/>
                <w:sz w:val="21"/>
                <w:szCs w:val="21"/>
              </w:rPr>
            </w:pPr>
            <w:r>
              <w:rPr>
                <w:rFonts w:hint="eastAsia"/>
                <w:color w:val="auto"/>
                <w:sz w:val="21"/>
                <w:szCs w:val="21"/>
              </w:rPr>
              <w:t>/</w:t>
            </w:r>
          </w:p>
        </w:tc>
        <w:tc>
          <w:tcPr>
            <w:tcW w:w="351" w:type="pct"/>
            <w:tcBorders>
              <w:tl2br w:val="nil"/>
              <w:tr2bl w:val="nil"/>
            </w:tcBorders>
            <w:vAlign w:val="center"/>
          </w:tcPr>
          <w:p w14:paraId="6DB5B566">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w:t>
            </w:r>
          </w:p>
        </w:tc>
        <w:tc>
          <w:tcPr>
            <w:tcW w:w="304" w:type="pct"/>
            <w:tcBorders>
              <w:tl2br w:val="nil"/>
              <w:tr2bl w:val="nil"/>
            </w:tcBorders>
            <w:vAlign w:val="center"/>
          </w:tcPr>
          <w:p w14:paraId="46615861">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0.009</w:t>
            </w:r>
          </w:p>
        </w:tc>
        <w:tc>
          <w:tcPr>
            <w:tcW w:w="327" w:type="pct"/>
            <w:tcBorders>
              <w:tl2br w:val="nil"/>
              <w:tr2bl w:val="nil"/>
            </w:tcBorders>
            <w:vAlign w:val="center"/>
          </w:tcPr>
          <w:p w14:paraId="2BF692D1">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0.066</w:t>
            </w:r>
          </w:p>
        </w:tc>
        <w:tc>
          <w:tcPr>
            <w:tcW w:w="254" w:type="pct"/>
            <w:tcBorders>
              <w:tl2br w:val="nil"/>
              <w:tr2bl w:val="nil"/>
            </w:tcBorders>
            <w:vAlign w:val="center"/>
          </w:tcPr>
          <w:p w14:paraId="3FB38435">
            <w:pPr>
              <w:spacing w:line="240" w:lineRule="auto"/>
              <w:ind w:firstLine="0" w:firstLineChars="0"/>
              <w:jc w:val="center"/>
              <w:rPr>
                <w:color w:val="auto"/>
                <w:sz w:val="21"/>
                <w:szCs w:val="21"/>
              </w:rPr>
            </w:pPr>
            <w:r>
              <w:rPr>
                <w:rFonts w:hint="eastAsia"/>
                <w:color w:val="auto"/>
                <w:sz w:val="21"/>
                <w:szCs w:val="21"/>
              </w:rPr>
              <w:t>/</w:t>
            </w:r>
          </w:p>
        </w:tc>
        <w:tc>
          <w:tcPr>
            <w:tcW w:w="315" w:type="pct"/>
            <w:tcBorders>
              <w:tl2br w:val="nil"/>
              <w:tr2bl w:val="nil"/>
            </w:tcBorders>
            <w:vAlign w:val="center"/>
          </w:tcPr>
          <w:p w14:paraId="441B50CF">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w:t>
            </w:r>
          </w:p>
        </w:tc>
      </w:tr>
    </w:tbl>
    <w:p w14:paraId="3064259A">
      <w:pPr>
        <w:ind w:firstLine="480"/>
        <w:rPr>
          <w:color w:val="auto"/>
        </w:rPr>
        <w:sectPr>
          <w:pgSz w:w="16838" w:h="11906" w:orient="landscape"/>
          <w:pgMar w:top="1417" w:right="1418" w:bottom="1417" w:left="1418" w:header="851" w:footer="992" w:gutter="0"/>
          <w:pgBorders>
            <w:top w:val="none" w:sz="0" w:space="0"/>
            <w:left w:val="none" w:sz="0" w:space="0"/>
            <w:bottom w:val="none" w:sz="0" w:space="0"/>
            <w:right w:val="none" w:sz="0" w:space="0"/>
          </w:pgBorders>
          <w:cols w:space="0" w:num="1"/>
          <w:docGrid w:linePitch="312" w:charSpace="0"/>
        </w:sectPr>
      </w:pPr>
    </w:p>
    <w:p w14:paraId="14192937">
      <w:pPr>
        <w:pStyle w:val="5"/>
        <w:numPr>
          <w:ilvl w:val="0"/>
          <w:numId w:val="0"/>
        </w:numPr>
        <w:rPr>
          <w:color w:val="auto"/>
        </w:rPr>
      </w:pPr>
      <w:r>
        <w:rPr>
          <w:rFonts w:hint="eastAsia"/>
          <w:color w:val="auto"/>
        </w:rPr>
        <w:t>3</w:t>
      </w:r>
      <w:r>
        <w:rPr>
          <w:color w:val="auto"/>
        </w:rPr>
        <w:t>.14.3噪声</w:t>
      </w:r>
    </w:p>
    <w:p w14:paraId="6E5E658B">
      <w:pPr>
        <w:ind w:firstLine="480"/>
        <w:rPr>
          <w:color w:val="auto"/>
        </w:rPr>
      </w:pPr>
      <w:r>
        <w:rPr>
          <w:color w:val="auto"/>
        </w:rPr>
        <w:t>拟建项目运营期主要噪声源主要为</w:t>
      </w:r>
      <w:r>
        <w:rPr>
          <w:rFonts w:hint="eastAsia"/>
          <w:color w:val="auto"/>
        </w:rPr>
        <w:t>搅拌机、气浮机、DTRO膜浓缩装置、MVR蒸发器、</w:t>
      </w:r>
      <w:r>
        <w:rPr>
          <w:rFonts w:hint="eastAsia"/>
          <w:color w:val="auto"/>
          <w:lang w:eastAsia="zh-CN"/>
        </w:rPr>
        <w:t>污泥压滤机</w:t>
      </w:r>
      <w:r>
        <w:rPr>
          <w:rFonts w:hint="eastAsia"/>
          <w:color w:val="auto"/>
        </w:rPr>
        <w:t>、各类泵和风机</w:t>
      </w:r>
      <w:r>
        <w:rPr>
          <w:color w:val="auto"/>
        </w:rPr>
        <w:t>等</w:t>
      </w:r>
      <w:r>
        <w:rPr>
          <w:rFonts w:hint="eastAsia"/>
          <w:color w:val="auto"/>
        </w:rPr>
        <w:t>机械设备</w:t>
      </w:r>
      <w:r>
        <w:rPr>
          <w:color w:val="auto"/>
        </w:rPr>
        <w:t>，各噪声源强如表</w:t>
      </w:r>
      <w:r>
        <w:rPr>
          <w:rFonts w:hint="eastAsia"/>
          <w:color w:val="auto"/>
        </w:rPr>
        <w:t>3</w:t>
      </w:r>
      <w:r>
        <w:rPr>
          <w:color w:val="auto"/>
        </w:rPr>
        <w:t>.14-5所示。</w:t>
      </w:r>
    </w:p>
    <w:p w14:paraId="32F98A84">
      <w:pPr>
        <w:spacing w:line="360" w:lineRule="auto"/>
        <w:ind w:firstLine="480"/>
        <w:rPr>
          <w:rFonts w:hint="eastAsia"/>
          <w:color w:val="auto"/>
          <w:lang w:val="en-US" w:eastAsia="zh-CN"/>
        </w:rPr>
      </w:pPr>
    </w:p>
    <w:p w14:paraId="70B1CDD7">
      <w:pPr>
        <w:spacing w:line="360" w:lineRule="auto"/>
        <w:ind w:firstLine="480"/>
        <w:rPr>
          <w:rFonts w:hint="eastAsia"/>
          <w:color w:val="auto"/>
          <w:lang w:val="zh-CN"/>
        </w:rPr>
      </w:pPr>
      <w:r>
        <w:rPr>
          <w:rFonts w:hint="eastAsia"/>
          <w:color w:val="auto"/>
          <w:lang w:val="en-US" w:eastAsia="zh-CN"/>
        </w:rPr>
        <w:t>***涉及商业秘密，申请不予公开***</w:t>
      </w:r>
    </w:p>
    <w:p w14:paraId="3CBD9BB4">
      <w:pPr>
        <w:ind w:firstLine="480"/>
        <w:rPr>
          <w:color w:val="auto"/>
          <w:lang w:val="zh-CN"/>
        </w:rPr>
      </w:pPr>
    </w:p>
    <w:p w14:paraId="0192D11A">
      <w:pPr>
        <w:pStyle w:val="5"/>
        <w:numPr>
          <w:ilvl w:val="0"/>
          <w:numId w:val="0"/>
        </w:numPr>
        <w:spacing w:line="360" w:lineRule="auto"/>
        <w:rPr>
          <w:color w:val="auto"/>
        </w:rPr>
      </w:pPr>
      <w:r>
        <w:rPr>
          <w:rFonts w:hint="eastAsia"/>
          <w:color w:val="auto"/>
        </w:rPr>
        <w:t>3</w:t>
      </w:r>
      <w:r>
        <w:rPr>
          <w:color w:val="auto"/>
        </w:rPr>
        <w:t>.14.4固体废物</w:t>
      </w:r>
    </w:p>
    <w:p w14:paraId="5B20457B">
      <w:pPr>
        <w:spacing w:line="360" w:lineRule="auto"/>
        <w:ind w:firstLine="480"/>
        <w:rPr>
          <w:color w:val="auto"/>
          <w:lang w:val="zh-CN"/>
        </w:rPr>
      </w:pPr>
      <w:r>
        <w:rPr>
          <w:color w:val="auto"/>
          <w:lang w:val="zh-CN"/>
        </w:rPr>
        <w:t>拟建项目运行期产生的固体废物主要为</w:t>
      </w:r>
      <w:r>
        <w:rPr>
          <w:rFonts w:hint="eastAsia"/>
          <w:color w:val="auto"/>
          <w:lang w:val="zh-CN"/>
        </w:rPr>
        <w:t>废包装材料、废活性炭、实验室废物、废油类、废油桶及含油废物、废膜、污泥、蒸发结晶盐和生活垃圾等</w:t>
      </w:r>
      <w:r>
        <w:rPr>
          <w:color w:val="auto"/>
          <w:lang w:val="zh-CN"/>
        </w:rPr>
        <w:t>。</w:t>
      </w:r>
    </w:p>
    <w:p w14:paraId="28F25899">
      <w:pPr>
        <w:spacing w:line="360" w:lineRule="auto"/>
        <w:ind w:firstLine="480"/>
        <w:rPr>
          <w:color w:val="auto"/>
          <w:lang w:val="zh-CN"/>
        </w:rPr>
      </w:pPr>
      <w:r>
        <w:rPr>
          <w:color w:val="auto"/>
          <w:lang w:val="zh-CN"/>
        </w:rPr>
        <w:t>（1）污泥</w:t>
      </w:r>
    </w:p>
    <w:p w14:paraId="3D791261">
      <w:pPr>
        <w:autoSpaceDE w:val="0"/>
        <w:autoSpaceDN w:val="0"/>
        <w:spacing w:line="360" w:lineRule="auto"/>
        <w:ind w:firstLine="480"/>
        <w:jc w:val="left"/>
        <w:rPr>
          <w:color w:val="auto"/>
          <w:lang w:val="zh-CN"/>
        </w:rPr>
      </w:pPr>
      <w:r>
        <w:rPr>
          <w:rFonts w:hint="eastAsia"/>
          <w:color w:val="auto"/>
          <w:szCs w:val="24"/>
        </w:rPr>
        <w:t>气浮、高效沉淀和中心沉淀出来的污泥进入污泥池，通过污泥泵送至</w:t>
      </w:r>
      <w:r>
        <w:rPr>
          <w:rFonts w:hint="eastAsia"/>
          <w:color w:val="auto"/>
          <w:szCs w:val="24"/>
          <w:lang w:eastAsia="zh-CN"/>
        </w:rPr>
        <w:t>污泥压滤间</w:t>
      </w:r>
      <w:r>
        <w:rPr>
          <w:rFonts w:hint="eastAsia"/>
          <w:color w:val="auto"/>
          <w:szCs w:val="24"/>
        </w:rPr>
        <w:t>进行脱水，根据项目设计资料，</w:t>
      </w:r>
      <w:r>
        <w:rPr>
          <w:rFonts w:hint="eastAsia"/>
          <w:bCs/>
          <w:color w:val="auto"/>
          <w:szCs w:val="24"/>
        </w:rPr>
        <w:t>脱水后</w:t>
      </w:r>
      <w:r>
        <w:rPr>
          <w:rFonts w:hint="eastAsia"/>
          <w:color w:val="auto"/>
          <w:szCs w:val="24"/>
        </w:rPr>
        <w:t>污泥</w:t>
      </w:r>
      <w:r>
        <w:rPr>
          <w:rFonts w:hint="eastAsia"/>
          <w:bCs/>
          <w:color w:val="auto"/>
        </w:rPr>
        <w:t>含水率小于</w:t>
      </w:r>
      <w:r>
        <w:rPr>
          <w:bCs/>
          <w:color w:val="auto"/>
        </w:rPr>
        <w:t>7</w:t>
      </w:r>
      <w:r>
        <w:rPr>
          <w:rFonts w:hint="eastAsia"/>
          <w:bCs/>
          <w:color w:val="auto"/>
        </w:rPr>
        <w:t>0%，</w:t>
      </w:r>
      <w:r>
        <w:rPr>
          <w:rFonts w:hint="eastAsia"/>
          <w:color w:val="auto"/>
          <w:szCs w:val="24"/>
        </w:rPr>
        <w:t>产生量约</w:t>
      </w:r>
      <w:r>
        <w:rPr>
          <w:color w:val="auto"/>
          <w:szCs w:val="24"/>
        </w:rPr>
        <w:t>7</w:t>
      </w:r>
      <w:r>
        <w:rPr>
          <w:rFonts w:hint="eastAsia"/>
          <w:color w:val="auto"/>
          <w:szCs w:val="24"/>
        </w:rPr>
        <w:t>t/d（</w:t>
      </w:r>
      <w:r>
        <w:rPr>
          <w:bCs/>
          <w:color w:val="auto"/>
        </w:rPr>
        <w:t>2100t/a</w:t>
      </w:r>
      <w:r>
        <w:rPr>
          <w:rFonts w:hint="eastAsia"/>
          <w:color w:val="auto"/>
          <w:szCs w:val="24"/>
        </w:rPr>
        <w:t>）</w:t>
      </w:r>
      <w:r>
        <w:rPr>
          <w:rFonts w:hint="eastAsia"/>
          <w:bCs/>
          <w:color w:val="auto"/>
        </w:rPr>
        <w:t>。</w:t>
      </w:r>
      <w:r>
        <w:rPr>
          <w:color w:val="auto"/>
          <w:lang w:val="zh-CN"/>
        </w:rPr>
        <w:t>根据《关于污（废）水处理设施产生污泥危险特性鉴别有关意见的函》（环函</w:t>
      </w:r>
      <w:r>
        <w:rPr>
          <w:rFonts w:hint="eastAsia"/>
          <w:color w:val="auto"/>
          <w:lang w:val="zh-CN"/>
        </w:rPr>
        <w:t>〔</w:t>
      </w:r>
      <w:r>
        <w:rPr>
          <w:color w:val="auto"/>
          <w:lang w:val="zh-CN"/>
        </w:rPr>
        <w:t>2010</w:t>
      </w:r>
      <w:r>
        <w:rPr>
          <w:rFonts w:hint="eastAsia"/>
          <w:color w:val="auto"/>
          <w:lang w:val="zh-CN"/>
        </w:rPr>
        <w:t>〕</w:t>
      </w:r>
      <w:r>
        <w:rPr>
          <w:color w:val="auto"/>
          <w:lang w:val="zh-CN"/>
        </w:rPr>
        <w:t>129号）相关要求，</w:t>
      </w:r>
      <w:r>
        <w:rPr>
          <w:rFonts w:hint="eastAsia"/>
          <w:color w:val="auto"/>
          <w:lang w:val="zh-CN"/>
        </w:rPr>
        <w:t>需</w:t>
      </w:r>
      <w:r>
        <w:rPr>
          <w:color w:val="auto"/>
          <w:lang w:val="zh-CN"/>
        </w:rPr>
        <w:t>对污泥进行危险特性鉴别，</w:t>
      </w:r>
      <w:r>
        <w:rPr>
          <w:rFonts w:hint="eastAsia"/>
          <w:color w:val="auto"/>
          <w:lang w:val="zh-CN"/>
        </w:rPr>
        <w:t>鉴别前按照危险废物管理；若鉴别为危险废物，交有资质单位收运和处置，如鉴别为一般工业固废，</w:t>
      </w:r>
      <w:r>
        <w:rPr>
          <w:rFonts w:hint="eastAsia"/>
          <w:color w:val="auto"/>
          <w:szCs w:val="21"/>
        </w:rPr>
        <w:t>交有处置能力单位综合利用</w:t>
      </w:r>
      <w:r>
        <w:rPr>
          <w:rFonts w:hint="eastAsia" w:eastAsiaTheme="minorEastAsia"/>
          <w:color w:val="auto"/>
          <w:szCs w:val="24"/>
        </w:rPr>
        <w:t>。</w:t>
      </w:r>
    </w:p>
    <w:p w14:paraId="1E24D892">
      <w:pPr>
        <w:spacing w:line="360" w:lineRule="auto"/>
        <w:ind w:firstLine="480"/>
        <w:rPr>
          <w:color w:val="auto"/>
          <w:lang w:val="zh-CN"/>
        </w:rPr>
      </w:pPr>
      <w:r>
        <w:rPr>
          <w:rFonts w:hint="eastAsia"/>
          <w:color w:val="auto"/>
          <w:lang w:val="zh-CN"/>
        </w:rPr>
        <w:t>（</w:t>
      </w:r>
      <w:r>
        <w:rPr>
          <w:color w:val="auto"/>
          <w:lang w:val="zh-CN"/>
        </w:rPr>
        <w:t>2</w:t>
      </w:r>
      <w:r>
        <w:rPr>
          <w:rFonts w:hint="eastAsia"/>
          <w:color w:val="auto"/>
          <w:lang w:val="zh-CN"/>
        </w:rPr>
        <w:t>）废包装材料</w:t>
      </w:r>
    </w:p>
    <w:p w14:paraId="6C857C7D">
      <w:pPr>
        <w:spacing w:line="360" w:lineRule="auto"/>
        <w:ind w:firstLine="480"/>
        <w:rPr>
          <w:color w:val="auto"/>
          <w:lang w:val="zh-CN"/>
        </w:rPr>
      </w:pPr>
      <w:r>
        <w:rPr>
          <w:rFonts w:hint="eastAsia"/>
          <w:color w:val="auto"/>
          <w:lang w:val="zh-CN"/>
        </w:rPr>
        <w:t>拟建项目废包装材料包括</w:t>
      </w:r>
      <w:r>
        <w:rPr>
          <w:rFonts w:hint="eastAsia"/>
          <w:color w:val="auto"/>
          <w:szCs w:val="21"/>
        </w:rPr>
        <w:t>沾染危险化学品的废包装材料和不沾染危险化学品的</w:t>
      </w:r>
      <w:r>
        <w:rPr>
          <w:rFonts w:hint="eastAsia"/>
          <w:color w:val="auto"/>
          <w:lang w:val="zh-CN"/>
        </w:rPr>
        <w:t>废包装材料。根据</w:t>
      </w:r>
      <w:r>
        <w:rPr>
          <w:bCs/>
          <w:color w:val="auto"/>
        </w:rPr>
        <w:t>《国家危险废物名录（2025年</w:t>
      </w:r>
      <w:r>
        <w:rPr>
          <w:rFonts w:hint="eastAsia"/>
          <w:bCs/>
          <w:color w:val="auto"/>
        </w:rPr>
        <w:t>版</w:t>
      </w:r>
      <w:r>
        <w:rPr>
          <w:bCs/>
          <w:color w:val="auto"/>
        </w:rPr>
        <w:t>）》</w:t>
      </w:r>
      <w:r>
        <w:rPr>
          <w:rFonts w:hint="eastAsia"/>
          <w:bCs/>
          <w:color w:val="auto"/>
        </w:rPr>
        <w:t>，</w:t>
      </w:r>
      <w:r>
        <w:rPr>
          <w:rFonts w:hint="eastAsia"/>
          <w:color w:val="auto"/>
          <w:lang w:val="zh-CN"/>
        </w:rPr>
        <w:t>其中</w:t>
      </w:r>
      <w:r>
        <w:rPr>
          <w:rFonts w:hint="eastAsia"/>
          <w:color w:val="auto"/>
          <w:szCs w:val="21"/>
        </w:rPr>
        <w:t>沾染危险化学品的废包装材料属于HW</w:t>
      </w:r>
      <w:r>
        <w:rPr>
          <w:color w:val="auto"/>
          <w:szCs w:val="21"/>
        </w:rPr>
        <w:t>49</w:t>
      </w:r>
      <w:r>
        <w:rPr>
          <w:rFonts w:hint="eastAsia"/>
          <w:color w:val="auto"/>
          <w:szCs w:val="21"/>
        </w:rPr>
        <w:t>类危险废物</w:t>
      </w:r>
      <w:r>
        <w:rPr>
          <w:rFonts w:hint="eastAsia"/>
          <w:color w:val="auto"/>
          <w:lang w:val="zh-CN"/>
        </w:rPr>
        <w:t>（危废代码为900-04</w:t>
      </w:r>
      <w:r>
        <w:rPr>
          <w:color w:val="auto"/>
          <w:lang w:val="zh-CN"/>
        </w:rPr>
        <w:t>1</w:t>
      </w:r>
      <w:r>
        <w:rPr>
          <w:rFonts w:hint="eastAsia"/>
          <w:color w:val="auto"/>
          <w:lang w:val="zh-CN"/>
        </w:rPr>
        <w:t>-49）</w:t>
      </w:r>
      <w:r>
        <w:rPr>
          <w:rFonts w:hint="eastAsia"/>
          <w:color w:val="auto"/>
          <w:szCs w:val="21"/>
        </w:rPr>
        <w:t>，</w:t>
      </w:r>
      <w:r>
        <w:rPr>
          <w:rFonts w:hint="eastAsia"/>
          <w:color w:val="auto"/>
          <w:lang w:val="zh-CN"/>
        </w:rPr>
        <w:t>产生量约为</w:t>
      </w:r>
      <w:r>
        <w:rPr>
          <w:color w:val="auto"/>
          <w:lang w:val="zh-CN"/>
        </w:rPr>
        <w:t>1t/a</w:t>
      </w:r>
      <w:r>
        <w:rPr>
          <w:rFonts w:hint="eastAsia"/>
          <w:color w:val="auto"/>
          <w:lang w:val="zh-CN"/>
        </w:rPr>
        <w:t>，</w:t>
      </w:r>
      <w:r>
        <w:rPr>
          <w:rFonts w:hint="eastAsia"/>
          <w:color w:val="auto"/>
          <w:szCs w:val="21"/>
        </w:rPr>
        <w:t>交有资质单位收运和处置。根据《固体废物分类与代码目录》，不沾染危险化学品的</w:t>
      </w:r>
      <w:r>
        <w:rPr>
          <w:rFonts w:hint="eastAsia"/>
          <w:color w:val="auto"/>
          <w:lang w:val="zh-CN"/>
        </w:rPr>
        <w:t>废包装材料为</w:t>
      </w:r>
      <w:r>
        <w:rPr>
          <w:color w:val="auto"/>
          <w:lang w:val="zh-CN"/>
        </w:rPr>
        <w:t>SW17</w:t>
      </w:r>
      <w:r>
        <w:rPr>
          <w:rFonts w:hint="eastAsia"/>
          <w:color w:val="auto"/>
          <w:lang w:val="zh-CN"/>
        </w:rPr>
        <w:t>可再生类废物（废物代码</w:t>
      </w:r>
      <w:r>
        <w:rPr>
          <w:color w:val="auto"/>
          <w:lang w:val="zh-CN"/>
        </w:rPr>
        <w:t>900-099-S17</w:t>
      </w:r>
      <w:r>
        <w:rPr>
          <w:rFonts w:hint="eastAsia"/>
          <w:color w:val="auto"/>
          <w:lang w:val="zh-CN"/>
        </w:rPr>
        <w:t>），产生量约为</w:t>
      </w:r>
      <w:r>
        <w:rPr>
          <w:color w:val="auto"/>
          <w:lang w:val="zh-CN"/>
        </w:rPr>
        <w:t>5t/a</w:t>
      </w:r>
      <w:r>
        <w:rPr>
          <w:rFonts w:hint="eastAsia"/>
          <w:color w:val="auto"/>
          <w:lang w:val="zh-CN"/>
        </w:rPr>
        <w:t>，</w:t>
      </w:r>
      <w:r>
        <w:rPr>
          <w:rFonts w:hint="eastAsia"/>
          <w:color w:val="auto"/>
          <w:szCs w:val="21"/>
        </w:rPr>
        <w:t>交有处置能力单位综合利用</w:t>
      </w:r>
      <w:r>
        <w:rPr>
          <w:rFonts w:hint="eastAsia"/>
          <w:color w:val="auto"/>
          <w:lang w:val="zh-CN"/>
        </w:rPr>
        <w:t>。</w:t>
      </w:r>
    </w:p>
    <w:p w14:paraId="414C3CAD">
      <w:pPr>
        <w:spacing w:line="360" w:lineRule="auto"/>
        <w:ind w:firstLine="480"/>
        <w:rPr>
          <w:color w:val="auto"/>
          <w:lang w:val="zh-CN"/>
        </w:rPr>
      </w:pPr>
      <w:r>
        <w:rPr>
          <w:color w:val="auto"/>
          <w:lang w:val="zh-CN"/>
        </w:rPr>
        <w:t>（3）</w:t>
      </w:r>
      <w:r>
        <w:rPr>
          <w:rFonts w:hint="eastAsia"/>
          <w:color w:val="auto"/>
          <w:lang w:val="zh-CN"/>
        </w:rPr>
        <w:t>废活性炭</w:t>
      </w:r>
    </w:p>
    <w:p w14:paraId="399458A7">
      <w:pPr>
        <w:autoSpaceDE w:val="0"/>
        <w:autoSpaceDN w:val="0"/>
        <w:spacing w:line="360" w:lineRule="auto"/>
        <w:ind w:firstLine="480"/>
        <w:jc w:val="left"/>
        <w:rPr>
          <w:color w:val="auto"/>
          <w:lang w:val="zh-CN"/>
        </w:rPr>
      </w:pPr>
      <w:r>
        <w:rPr>
          <w:rFonts w:hint="eastAsia"/>
          <w:color w:val="auto"/>
          <w:lang w:val="zh-CN"/>
        </w:rPr>
        <w:t>项目有机废气处理末端采用“活性炭吸附”处理。在活性炭吸附饱和后定期更换，经处理后削减的有机物约为</w:t>
      </w:r>
      <w:r>
        <w:rPr>
          <w:color w:val="auto"/>
          <w:lang w:val="zh-CN"/>
        </w:rPr>
        <w:t>0.422</w:t>
      </w:r>
      <w:r>
        <w:rPr>
          <w:rFonts w:hint="eastAsia"/>
          <w:color w:val="auto"/>
          <w:lang w:val="zh-CN"/>
        </w:rPr>
        <w:t>t/a，根据《2023 年重庆市夏秋季臭氧污染防治攻坚工作方案》相关要求，年活性炭使用量宜不应低于 VOC产生量的 5 倍，即1吨VOCs 产生量，需 5吨活性炭用于吸附，则项目废活性炭产生量约为</w:t>
      </w:r>
      <w:r>
        <w:rPr>
          <w:color w:val="auto"/>
          <w:lang w:val="zh-CN"/>
        </w:rPr>
        <w:t>2.5</w:t>
      </w:r>
      <w:r>
        <w:rPr>
          <w:rFonts w:hint="eastAsia"/>
          <w:color w:val="auto"/>
          <w:lang w:val="zh-CN"/>
        </w:rPr>
        <w:t>t/a。</w:t>
      </w:r>
    </w:p>
    <w:p w14:paraId="4EDF39C5">
      <w:pPr>
        <w:autoSpaceDE w:val="0"/>
        <w:autoSpaceDN w:val="0"/>
        <w:spacing w:line="360" w:lineRule="auto"/>
        <w:ind w:firstLine="480"/>
        <w:jc w:val="left"/>
        <w:rPr>
          <w:color w:val="auto"/>
          <w:lang w:val="zh-CN"/>
        </w:rPr>
      </w:pPr>
      <w:r>
        <w:rPr>
          <w:rFonts w:hint="eastAsia"/>
          <w:color w:val="auto"/>
          <w:lang w:val="zh-CN"/>
        </w:rPr>
        <w:t>根据</w:t>
      </w:r>
      <w:r>
        <w:rPr>
          <w:bCs/>
          <w:color w:val="auto"/>
        </w:rPr>
        <w:t>《国家危险废物名录（2025年</w:t>
      </w:r>
      <w:r>
        <w:rPr>
          <w:rFonts w:hint="eastAsia"/>
          <w:bCs/>
          <w:color w:val="auto"/>
        </w:rPr>
        <w:t>版</w:t>
      </w:r>
      <w:r>
        <w:rPr>
          <w:bCs/>
          <w:color w:val="auto"/>
        </w:rPr>
        <w:t>）》</w:t>
      </w:r>
      <w:r>
        <w:rPr>
          <w:rFonts w:hint="eastAsia"/>
          <w:bCs/>
          <w:color w:val="auto"/>
        </w:rPr>
        <w:t>，</w:t>
      </w:r>
      <w:r>
        <w:rPr>
          <w:rFonts w:hint="eastAsia"/>
          <w:color w:val="auto"/>
          <w:lang w:val="zh-CN"/>
        </w:rPr>
        <w:t>废活性炭</w:t>
      </w:r>
      <w:r>
        <w:rPr>
          <w:rFonts w:hint="eastAsia"/>
          <w:color w:val="auto"/>
          <w:szCs w:val="21"/>
        </w:rPr>
        <w:t>属于HW</w:t>
      </w:r>
      <w:r>
        <w:rPr>
          <w:color w:val="auto"/>
          <w:szCs w:val="21"/>
        </w:rPr>
        <w:t>49</w:t>
      </w:r>
      <w:r>
        <w:rPr>
          <w:rFonts w:hint="eastAsia"/>
          <w:color w:val="auto"/>
          <w:szCs w:val="21"/>
        </w:rPr>
        <w:t>类危险废物</w:t>
      </w:r>
      <w:r>
        <w:rPr>
          <w:rFonts w:hint="eastAsia"/>
          <w:color w:val="auto"/>
          <w:lang w:val="zh-CN"/>
        </w:rPr>
        <w:t>（危废代码为900-0</w:t>
      </w:r>
      <w:r>
        <w:rPr>
          <w:color w:val="auto"/>
          <w:lang w:val="zh-CN"/>
        </w:rPr>
        <w:t>39</w:t>
      </w:r>
      <w:r>
        <w:rPr>
          <w:rFonts w:hint="eastAsia"/>
          <w:color w:val="auto"/>
          <w:lang w:val="zh-CN"/>
        </w:rPr>
        <w:t>-49）</w:t>
      </w:r>
      <w:r>
        <w:rPr>
          <w:rFonts w:hint="eastAsia"/>
          <w:color w:val="auto"/>
          <w:szCs w:val="21"/>
        </w:rPr>
        <w:t>，</w:t>
      </w:r>
      <w:r>
        <w:rPr>
          <w:rFonts w:hint="eastAsia"/>
          <w:color w:val="auto"/>
          <w:lang w:val="zh-CN"/>
        </w:rPr>
        <w:t>产生量约为</w:t>
      </w:r>
      <w:r>
        <w:rPr>
          <w:color w:val="auto"/>
          <w:lang w:val="zh-CN"/>
        </w:rPr>
        <w:t>2.5t/a</w:t>
      </w:r>
      <w:r>
        <w:rPr>
          <w:rFonts w:hint="eastAsia"/>
          <w:color w:val="auto"/>
          <w:lang w:val="zh-CN"/>
        </w:rPr>
        <w:t>，</w:t>
      </w:r>
      <w:r>
        <w:rPr>
          <w:rFonts w:hint="eastAsia"/>
          <w:color w:val="auto"/>
          <w:szCs w:val="21"/>
        </w:rPr>
        <w:t>交有资质单位收运和处置。</w:t>
      </w:r>
    </w:p>
    <w:p w14:paraId="26D47B50">
      <w:pPr>
        <w:spacing w:line="360" w:lineRule="auto"/>
        <w:ind w:firstLine="480"/>
        <w:rPr>
          <w:color w:val="auto"/>
          <w:lang w:val="zh-CN"/>
        </w:rPr>
      </w:pPr>
      <w:r>
        <w:rPr>
          <w:rFonts w:hint="eastAsia"/>
          <w:color w:val="auto"/>
          <w:lang w:val="zh-CN"/>
        </w:rPr>
        <w:t>（</w:t>
      </w:r>
      <w:r>
        <w:rPr>
          <w:color w:val="auto"/>
          <w:lang w:val="zh-CN"/>
        </w:rPr>
        <w:t>4</w:t>
      </w:r>
      <w:r>
        <w:rPr>
          <w:rFonts w:hint="eastAsia"/>
          <w:color w:val="auto"/>
          <w:lang w:val="zh-CN"/>
        </w:rPr>
        <w:t>）实验室废物</w:t>
      </w:r>
    </w:p>
    <w:p w14:paraId="427E11D1">
      <w:pPr>
        <w:autoSpaceDE w:val="0"/>
        <w:autoSpaceDN w:val="0"/>
        <w:spacing w:line="360" w:lineRule="auto"/>
        <w:ind w:firstLine="480"/>
        <w:jc w:val="left"/>
        <w:rPr>
          <w:color w:val="auto"/>
          <w:lang w:val="zh-CN"/>
        </w:rPr>
      </w:pPr>
      <w:r>
        <w:rPr>
          <w:rFonts w:hint="eastAsia"/>
          <w:color w:val="auto"/>
          <w:lang w:val="zh-CN"/>
        </w:rPr>
        <w:t>实验室废物主要包括分析检测过程中产生的废实验样品、试剂、一次和二次清洗废液等，类比同类项目产生量约为</w:t>
      </w:r>
      <w:r>
        <w:rPr>
          <w:rFonts w:hint="eastAsia"/>
          <w:color w:val="auto"/>
        </w:rPr>
        <w:t>3.5</w:t>
      </w:r>
      <w:r>
        <w:rPr>
          <w:rFonts w:hint="eastAsia"/>
          <w:color w:val="auto"/>
          <w:lang w:val="zh-CN"/>
        </w:rPr>
        <w:t>t/a。根据《国家危险废物名录</w:t>
      </w:r>
      <w:r>
        <w:rPr>
          <w:bCs/>
          <w:color w:val="auto"/>
        </w:rPr>
        <w:t>（2025年</w:t>
      </w:r>
      <w:r>
        <w:rPr>
          <w:rFonts w:hint="eastAsia"/>
          <w:bCs/>
          <w:color w:val="auto"/>
        </w:rPr>
        <w:t>版</w:t>
      </w:r>
      <w:r>
        <w:rPr>
          <w:bCs/>
          <w:color w:val="auto"/>
        </w:rPr>
        <w:t>）</w:t>
      </w:r>
      <w:r>
        <w:rPr>
          <w:rFonts w:hint="eastAsia"/>
          <w:color w:val="auto"/>
          <w:lang w:val="zh-CN"/>
        </w:rPr>
        <w:t>》，实验室废液属于HW49类危险废物（危废代码为900-047-49），交有资质单位收运和处置。</w:t>
      </w:r>
    </w:p>
    <w:p w14:paraId="77679C30">
      <w:pPr>
        <w:spacing w:line="360" w:lineRule="auto"/>
        <w:ind w:firstLine="480"/>
        <w:rPr>
          <w:color w:val="auto"/>
          <w:lang w:val="zh-CN"/>
        </w:rPr>
      </w:pPr>
      <w:r>
        <w:rPr>
          <w:rFonts w:hint="eastAsia"/>
          <w:color w:val="auto"/>
          <w:lang w:val="zh-CN"/>
        </w:rPr>
        <w:t>（</w:t>
      </w:r>
      <w:r>
        <w:rPr>
          <w:color w:val="auto"/>
          <w:lang w:val="zh-CN"/>
        </w:rPr>
        <w:t>5</w:t>
      </w:r>
      <w:r>
        <w:rPr>
          <w:rFonts w:hint="eastAsia"/>
          <w:color w:val="auto"/>
          <w:lang w:val="zh-CN"/>
        </w:rPr>
        <w:t>）</w:t>
      </w:r>
      <w:r>
        <w:rPr>
          <w:bCs/>
          <w:color w:val="auto"/>
        </w:rPr>
        <w:t>废</w:t>
      </w:r>
      <w:r>
        <w:rPr>
          <w:rFonts w:hint="eastAsia"/>
          <w:bCs/>
          <w:color w:val="auto"/>
        </w:rPr>
        <w:t>油类、废油</w:t>
      </w:r>
      <w:r>
        <w:rPr>
          <w:bCs/>
          <w:color w:val="auto"/>
        </w:rPr>
        <w:t>桶</w:t>
      </w:r>
      <w:r>
        <w:rPr>
          <w:rFonts w:hint="eastAsia"/>
          <w:bCs/>
          <w:color w:val="auto"/>
        </w:rPr>
        <w:t>及</w:t>
      </w:r>
      <w:r>
        <w:rPr>
          <w:bCs/>
          <w:color w:val="auto"/>
        </w:rPr>
        <w:t>含油</w:t>
      </w:r>
      <w:r>
        <w:rPr>
          <w:rFonts w:hint="eastAsia"/>
          <w:bCs/>
          <w:color w:val="auto"/>
        </w:rPr>
        <w:t>废物</w:t>
      </w:r>
    </w:p>
    <w:p w14:paraId="1F286DF4">
      <w:pPr>
        <w:autoSpaceDE w:val="0"/>
        <w:autoSpaceDN w:val="0"/>
        <w:spacing w:line="360" w:lineRule="auto"/>
        <w:ind w:firstLine="480"/>
        <w:jc w:val="left"/>
        <w:rPr>
          <w:color w:val="auto"/>
          <w:lang w:val="zh-CN"/>
        </w:rPr>
      </w:pPr>
      <w:r>
        <w:rPr>
          <w:rFonts w:hint="eastAsia"/>
          <w:bCs/>
          <w:color w:val="auto"/>
        </w:rPr>
        <w:t>项目</w:t>
      </w:r>
      <w:r>
        <w:rPr>
          <w:bCs/>
          <w:color w:val="auto"/>
        </w:rPr>
        <w:t>废</w:t>
      </w:r>
      <w:r>
        <w:rPr>
          <w:rFonts w:hint="eastAsia"/>
          <w:bCs/>
          <w:color w:val="auto"/>
        </w:rPr>
        <w:t>油类、废油</w:t>
      </w:r>
      <w:r>
        <w:rPr>
          <w:bCs/>
          <w:color w:val="auto"/>
        </w:rPr>
        <w:t>桶</w:t>
      </w:r>
      <w:r>
        <w:rPr>
          <w:rFonts w:hint="eastAsia"/>
          <w:bCs/>
          <w:color w:val="auto"/>
        </w:rPr>
        <w:t>及</w:t>
      </w:r>
      <w:r>
        <w:rPr>
          <w:bCs/>
          <w:color w:val="auto"/>
        </w:rPr>
        <w:t>含油</w:t>
      </w:r>
      <w:r>
        <w:rPr>
          <w:rFonts w:hint="eastAsia"/>
          <w:bCs/>
          <w:color w:val="auto"/>
        </w:rPr>
        <w:t>废物等主要产生于机械设备保养及维修，产生量约为</w:t>
      </w:r>
      <w:r>
        <w:rPr>
          <w:bCs/>
          <w:color w:val="auto"/>
        </w:rPr>
        <w:t>12t/a</w:t>
      </w:r>
      <w:r>
        <w:rPr>
          <w:rFonts w:hint="eastAsia"/>
          <w:bCs/>
          <w:color w:val="auto"/>
        </w:rPr>
        <w:t>。</w:t>
      </w:r>
      <w:r>
        <w:rPr>
          <w:rFonts w:hint="eastAsia"/>
          <w:color w:val="auto"/>
          <w:lang w:val="zh-CN"/>
        </w:rPr>
        <w:t>根据《国家危险废物名录</w:t>
      </w:r>
      <w:r>
        <w:rPr>
          <w:bCs/>
          <w:color w:val="auto"/>
        </w:rPr>
        <w:t>（2025年</w:t>
      </w:r>
      <w:r>
        <w:rPr>
          <w:rFonts w:hint="eastAsia"/>
          <w:bCs/>
          <w:color w:val="auto"/>
        </w:rPr>
        <w:t>版</w:t>
      </w:r>
      <w:r>
        <w:rPr>
          <w:bCs/>
          <w:color w:val="auto"/>
        </w:rPr>
        <w:t>）</w:t>
      </w:r>
      <w:r>
        <w:rPr>
          <w:rFonts w:hint="eastAsia"/>
          <w:color w:val="auto"/>
          <w:lang w:val="zh-CN"/>
        </w:rPr>
        <w:t>》，</w:t>
      </w:r>
      <w:r>
        <w:rPr>
          <w:bCs/>
          <w:color w:val="auto"/>
        </w:rPr>
        <w:t>废</w:t>
      </w:r>
      <w:r>
        <w:rPr>
          <w:rFonts w:hint="eastAsia"/>
          <w:bCs/>
          <w:color w:val="auto"/>
        </w:rPr>
        <w:t>油类、废油</w:t>
      </w:r>
      <w:r>
        <w:rPr>
          <w:bCs/>
          <w:color w:val="auto"/>
        </w:rPr>
        <w:t>桶</w:t>
      </w:r>
      <w:r>
        <w:rPr>
          <w:rFonts w:hint="eastAsia"/>
          <w:bCs/>
          <w:color w:val="auto"/>
        </w:rPr>
        <w:t>及</w:t>
      </w:r>
      <w:r>
        <w:rPr>
          <w:bCs/>
          <w:color w:val="auto"/>
        </w:rPr>
        <w:t>含油</w:t>
      </w:r>
      <w:r>
        <w:rPr>
          <w:rFonts w:hint="eastAsia"/>
          <w:bCs/>
          <w:color w:val="auto"/>
        </w:rPr>
        <w:t>废物</w:t>
      </w:r>
      <w:r>
        <w:rPr>
          <w:rFonts w:hint="eastAsia"/>
          <w:color w:val="auto"/>
          <w:lang w:val="zh-CN"/>
        </w:rPr>
        <w:t>属于HW</w:t>
      </w:r>
      <w:r>
        <w:rPr>
          <w:color w:val="auto"/>
          <w:lang w:val="zh-CN"/>
        </w:rPr>
        <w:t>08</w:t>
      </w:r>
      <w:r>
        <w:rPr>
          <w:rFonts w:hint="eastAsia"/>
          <w:color w:val="auto"/>
          <w:lang w:val="zh-CN"/>
        </w:rPr>
        <w:t>类危险废物（危废代码为</w:t>
      </w:r>
      <w:r>
        <w:rPr>
          <w:color w:val="auto"/>
          <w:lang w:val="zh-CN"/>
        </w:rPr>
        <w:t>900-249-08</w:t>
      </w:r>
      <w:r>
        <w:rPr>
          <w:rFonts w:hint="eastAsia"/>
          <w:color w:val="auto"/>
          <w:lang w:val="zh-CN"/>
        </w:rPr>
        <w:t>），交有资质单位收运和处置。</w:t>
      </w:r>
    </w:p>
    <w:p w14:paraId="6A2B355B">
      <w:pPr>
        <w:spacing w:line="360" w:lineRule="auto"/>
        <w:ind w:firstLine="480"/>
        <w:rPr>
          <w:color w:val="auto"/>
        </w:rPr>
      </w:pPr>
      <w:r>
        <w:rPr>
          <w:rFonts w:hint="eastAsia"/>
          <w:color w:val="auto"/>
          <w:lang w:val="zh-CN"/>
        </w:rPr>
        <w:t>（</w:t>
      </w:r>
      <w:r>
        <w:rPr>
          <w:rFonts w:hint="eastAsia"/>
          <w:color w:val="auto"/>
          <w:lang w:val="en-US" w:eastAsia="zh-CN"/>
        </w:rPr>
        <w:t>6</w:t>
      </w:r>
      <w:r>
        <w:rPr>
          <w:rFonts w:hint="eastAsia"/>
          <w:color w:val="auto"/>
          <w:lang w:val="zh-CN"/>
        </w:rPr>
        <w:t>）</w:t>
      </w:r>
      <w:r>
        <w:rPr>
          <w:rFonts w:hint="eastAsia"/>
          <w:color w:val="auto"/>
        </w:rPr>
        <w:t>废膜</w:t>
      </w:r>
    </w:p>
    <w:p w14:paraId="335EA40A">
      <w:pPr>
        <w:autoSpaceDE w:val="0"/>
        <w:autoSpaceDN w:val="0"/>
        <w:spacing w:line="360" w:lineRule="auto"/>
        <w:ind w:firstLine="480"/>
        <w:jc w:val="left"/>
        <w:rPr>
          <w:color w:val="auto"/>
          <w:lang w:val="zh-CN"/>
        </w:rPr>
      </w:pPr>
      <w:r>
        <w:rPr>
          <w:rFonts w:hint="eastAsia"/>
          <w:color w:val="auto"/>
        </w:rPr>
        <w:t>项目DTRO膜系统的渗透膜经过使用一定年限，需要更换。根据建设单位提供设计资料，废膜产生量约为</w:t>
      </w:r>
      <w:r>
        <w:rPr>
          <w:color w:val="auto"/>
        </w:rPr>
        <w:t>1</w:t>
      </w:r>
      <w:r>
        <w:rPr>
          <w:rFonts w:hint="eastAsia"/>
          <w:color w:val="auto"/>
        </w:rPr>
        <w:t>t/a。</w:t>
      </w:r>
      <w:r>
        <w:rPr>
          <w:rFonts w:hint="eastAsia"/>
          <w:color w:val="auto"/>
          <w:lang w:val="zh-CN"/>
        </w:rPr>
        <w:t>根据《国家危险废物名录</w:t>
      </w:r>
      <w:r>
        <w:rPr>
          <w:bCs/>
          <w:color w:val="auto"/>
        </w:rPr>
        <w:t>（2025年</w:t>
      </w:r>
      <w:r>
        <w:rPr>
          <w:rFonts w:hint="eastAsia"/>
          <w:bCs/>
          <w:color w:val="auto"/>
        </w:rPr>
        <w:t>版</w:t>
      </w:r>
      <w:r>
        <w:rPr>
          <w:bCs/>
          <w:color w:val="auto"/>
        </w:rPr>
        <w:t>）</w:t>
      </w:r>
      <w:r>
        <w:rPr>
          <w:rFonts w:hint="eastAsia"/>
          <w:color w:val="auto"/>
          <w:lang w:val="zh-CN"/>
        </w:rPr>
        <w:t>》，</w:t>
      </w:r>
      <w:r>
        <w:rPr>
          <w:rFonts w:hint="eastAsia"/>
          <w:color w:val="auto"/>
        </w:rPr>
        <w:t>废膜</w:t>
      </w:r>
      <w:r>
        <w:rPr>
          <w:rFonts w:hint="eastAsia"/>
          <w:color w:val="auto"/>
          <w:lang w:val="zh-CN"/>
        </w:rPr>
        <w:t>属于HW</w:t>
      </w:r>
      <w:r>
        <w:rPr>
          <w:color w:val="auto"/>
          <w:lang w:val="zh-CN"/>
        </w:rPr>
        <w:t>49</w:t>
      </w:r>
      <w:r>
        <w:rPr>
          <w:rFonts w:hint="eastAsia"/>
          <w:color w:val="auto"/>
          <w:lang w:val="zh-CN"/>
        </w:rPr>
        <w:t>类危险废物（危废代码为</w:t>
      </w:r>
      <w:r>
        <w:rPr>
          <w:color w:val="auto"/>
          <w:lang w:val="zh-CN"/>
        </w:rPr>
        <w:t>900-041-49</w:t>
      </w:r>
      <w:r>
        <w:rPr>
          <w:rFonts w:hint="eastAsia"/>
          <w:color w:val="auto"/>
          <w:lang w:val="zh-CN"/>
        </w:rPr>
        <w:t>），交有资质单位收运和处置。</w:t>
      </w:r>
    </w:p>
    <w:p w14:paraId="6A2A8558">
      <w:pPr>
        <w:spacing w:line="360" w:lineRule="auto"/>
        <w:ind w:firstLine="480"/>
        <w:rPr>
          <w:color w:val="auto"/>
          <w:lang w:val="zh-CN"/>
        </w:rPr>
      </w:pPr>
      <w:r>
        <w:rPr>
          <w:rFonts w:hint="eastAsia"/>
          <w:color w:val="auto"/>
          <w:lang w:val="zh-CN"/>
        </w:rPr>
        <w:t>（</w:t>
      </w:r>
      <w:r>
        <w:rPr>
          <w:rFonts w:hint="eastAsia"/>
          <w:color w:val="auto"/>
          <w:lang w:val="en-US" w:eastAsia="zh-CN"/>
        </w:rPr>
        <w:t>7</w:t>
      </w:r>
      <w:r>
        <w:rPr>
          <w:rFonts w:hint="eastAsia"/>
          <w:color w:val="auto"/>
          <w:lang w:val="zh-CN"/>
        </w:rPr>
        <w:t>）蒸发结晶盐</w:t>
      </w:r>
    </w:p>
    <w:p w14:paraId="0A133D32">
      <w:pPr>
        <w:spacing w:line="360" w:lineRule="auto"/>
        <w:ind w:firstLine="480"/>
        <w:rPr>
          <w:color w:val="auto"/>
          <w:lang w:val="zh-CN"/>
        </w:rPr>
      </w:pPr>
      <w:r>
        <w:rPr>
          <w:rFonts w:hint="eastAsia"/>
          <w:color w:val="auto"/>
          <w:lang w:val="zh-CN"/>
        </w:rPr>
        <w:t>根据企业提供资料和设计方案，项目蒸发结晶盐产生量约为</w:t>
      </w:r>
      <w:r>
        <w:rPr>
          <w:color w:val="auto"/>
        </w:rPr>
        <w:t>76t/d</w:t>
      </w:r>
      <w:r>
        <w:rPr>
          <w:rFonts w:hint="eastAsia"/>
          <w:color w:val="auto"/>
        </w:rPr>
        <w:t>（2</w:t>
      </w:r>
      <w:r>
        <w:rPr>
          <w:color w:val="auto"/>
        </w:rPr>
        <w:t>2800</w:t>
      </w:r>
      <w:r>
        <w:rPr>
          <w:rFonts w:hint="eastAsia"/>
          <w:color w:val="auto"/>
          <w:lang w:val="zh-CN"/>
        </w:rPr>
        <w:t>t/a），蒸发结晶盐含水率约</w:t>
      </w:r>
      <w:r>
        <w:rPr>
          <w:color w:val="auto"/>
        </w:rPr>
        <w:t>3</w:t>
      </w:r>
      <w:r>
        <w:rPr>
          <w:rFonts w:hint="eastAsia"/>
          <w:color w:val="auto"/>
        </w:rPr>
        <w:t>%</w:t>
      </w:r>
      <w:r>
        <w:rPr>
          <w:rFonts w:hint="eastAsia"/>
          <w:color w:val="auto"/>
          <w:lang w:val="zh-CN"/>
        </w:rPr>
        <w:t>。根据相关要求，需对蒸发结晶盐进行危险特性鉴别，鉴别前按照危险废物管理；若鉴别为危险废物，由有资质单位处置，如鉴别为一般工业固废，交有处置能力单位综合利用。</w:t>
      </w:r>
    </w:p>
    <w:p w14:paraId="2DAAAFDB">
      <w:pPr>
        <w:spacing w:line="360" w:lineRule="auto"/>
        <w:ind w:firstLine="480"/>
        <w:rPr>
          <w:color w:val="auto"/>
          <w:lang w:val="zh-CN"/>
        </w:rPr>
      </w:pPr>
      <w:r>
        <w:rPr>
          <w:rFonts w:hint="eastAsia"/>
          <w:color w:val="auto"/>
          <w:lang w:val="zh-CN"/>
        </w:rPr>
        <w:t>（</w:t>
      </w:r>
      <w:r>
        <w:rPr>
          <w:rFonts w:hint="eastAsia"/>
          <w:color w:val="auto"/>
          <w:lang w:val="en-US" w:eastAsia="zh-CN"/>
        </w:rPr>
        <w:t>8</w:t>
      </w:r>
      <w:r>
        <w:rPr>
          <w:rFonts w:hint="eastAsia"/>
          <w:color w:val="auto"/>
          <w:lang w:val="zh-CN"/>
        </w:rPr>
        <w:t>）</w:t>
      </w:r>
      <w:r>
        <w:rPr>
          <w:color w:val="auto"/>
          <w:lang w:val="zh-CN"/>
        </w:rPr>
        <w:t>生活垃圾</w:t>
      </w:r>
    </w:p>
    <w:p w14:paraId="1040CD66">
      <w:pPr>
        <w:spacing w:line="360" w:lineRule="auto"/>
        <w:ind w:firstLine="480"/>
        <w:rPr>
          <w:color w:val="auto"/>
          <w:lang w:val="zh-CN"/>
        </w:rPr>
      </w:pPr>
      <w:r>
        <w:rPr>
          <w:color w:val="auto"/>
          <w:lang w:val="zh-CN"/>
        </w:rPr>
        <w:t>拟建项目劳动定员</w:t>
      </w:r>
      <w:r>
        <w:rPr>
          <w:rFonts w:hint="eastAsia"/>
          <w:color w:val="auto"/>
        </w:rPr>
        <w:t>2</w:t>
      </w:r>
      <w:r>
        <w:rPr>
          <w:color w:val="auto"/>
        </w:rPr>
        <w:t>0</w:t>
      </w:r>
      <w:r>
        <w:rPr>
          <w:rFonts w:hint="eastAsia"/>
          <w:color w:val="auto"/>
          <w:lang w:val="zh-CN"/>
        </w:rPr>
        <w:t>人</w:t>
      </w:r>
      <w:r>
        <w:rPr>
          <w:color w:val="auto"/>
          <w:lang w:val="zh-CN"/>
        </w:rPr>
        <w:t>，生活垃圾产生量按0.5kg/d计，产生量为</w:t>
      </w:r>
      <w:r>
        <w:rPr>
          <w:color w:val="auto"/>
        </w:rPr>
        <w:t>3.0</w:t>
      </w:r>
      <w:r>
        <w:rPr>
          <w:color w:val="auto"/>
          <w:lang w:val="zh-CN"/>
        </w:rPr>
        <w:t>t/a</w:t>
      </w:r>
      <w:r>
        <w:rPr>
          <w:rFonts w:hint="eastAsia"/>
          <w:color w:val="auto"/>
          <w:lang w:val="zh-CN"/>
        </w:rPr>
        <w:t>，</w:t>
      </w:r>
      <w:r>
        <w:rPr>
          <w:color w:val="auto"/>
          <w:lang w:val="zh-CN"/>
        </w:rPr>
        <w:t>生活垃圾集中收集后由市政环卫部分统一处置。</w:t>
      </w:r>
    </w:p>
    <w:p w14:paraId="65BF10CB">
      <w:pPr>
        <w:spacing w:line="360" w:lineRule="auto"/>
        <w:ind w:firstLine="480"/>
        <w:rPr>
          <w:color w:val="auto"/>
        </w:rPr>
      </w:pPr>
      <w:r>
        <w:rPr>
          <w:rFonts w:hint="eastAsia"/>
          <w:color w:val="auto"/>
        </w:rPr>
        <w:t>拟建项目危险废物产生情况见表3</w:t>
      </w:r>
      <w:r>
        <w:rPr>
          <w:color w:val="auto"/>
        </w:rPr>
        <w:t>.14-4</w:t>
      </w:r>
      <w:r>
        <w:rPr>
          <w:rFonts w:hint="eastAsia"/>
          <w:color w:val="auto"/>
        </w:rPr>
        <w:t>，</w:t>
      </w:r>
      <w:r>
        <w:rPr>
          <w:color w:val="auto"/>
        </w:rPr>
        <w:t>固废产生量</w:t>
      </w:r>
      <w:r>
        <w:rPr>
          <w:rFonts w:hint="eastAsia"/>
          <w:color w:val="auto"/>
        </w:rPr>
        <w:t>统计</w:t>
      </w:r>
      <w:r>
        <w:rPr>
          <w:color w:val="auto"/>
        </w:rPr>
        <w:t>详见</w:t>
      </w:r>
      <w:r>
        <w:rPr>
          <w:rFonts w:hint="eastAsia"/>
          <w:color w:val="auto"/>
        </w:rPr>
        <w:t>表3</w:t>
      </w:r>
      <w:r>
        <w:rPr>
          <w:color w:val="auto"/>
        </w:rPr>
        <w:t>.14-5</w:t>
      </w:r>
      <w:r>
        <w:rPr>
          <w:rFonts w:hint="eastAsia"/>
          <w:color w:val="auto"/>
        </w:rPr>
        <w:t>，危险废物贮存场所（设施）基本情况见表3</w:t>
      </w:r>
      <w:r>
        <w:rPr>
          <w:color w:val="auto"/>
        </w:rPr>
        <w:t>.14-</w:t>
      </w:r>
      <w:r>
        <w:rPr>
          <w:rFonts w:hint="eastAsia"/>
          <w:color w:val="auto"/>
        </w:rPr>
        <w:t>6。</w:t>
      </w:r>
    </w:p>
    <w:p w14:paraId="7BA60CFF">
      <w:pPr>
        <w:spacing w:line="360" w:lineRule="auto"/>
        <w:ind w:firstLine="480"/>
        <w:rPr>
          <w:color w:val="auto"/>
        </w:rPr>
      </w:pPr>
      <w:r>
        <w:rPr>
          <w:rFonts w:hint="eastAsia"/>
          <w:color w:val="auto"/>
        </w:rPr>
        <w:t>危险废物环境影响评价指南相关要求：</w:t>
      </w:r>
    </w:p>
    <w:p w14:paraId="01DE5D5A">
      <w:pPr>
        <w:spacing w:line="360" w:lineRule="auto"/>
        <w:ind w:firstLine="480"/>
        <w:rPr>
          <w:color w:val="auto"/>
        </w:rPr>
      </w:pPr>
      <w:r>
        <w:rPr>
          <w:rFonts w:hint="eastAsia"/>
          <w:color w:val="auto"/>
        </w:rPr>
        <w:t>根据《建设项目危险废物环境影响评价指南》相关要求，固体废物的处置遵循分类原则、回收利用原则、减量化原则、无害化原则。</w:t>
      </w:r>
    </w:p>
    <w:p w14:paraId="544B38F0">
      <w:pPr>
        <w:spacing w:line="360" w:lineRule="auto"/>
        <w:ind w:firstLine="480"/>
        <w:rPr>
          <w:color w:val="auto"/>
        </w:rPr>
      </w:pPr>
      <w:r>
        <w:rPr>
          <w:rFonts w:hint="eastAsia"/>
          <w:color w:val="auto"/>
        </w:rPr>
        <w:t>项目危险废物主要包括：废包装材料、废活性炭、实验室废物、废油类、废油桶及含油废物、废膜等，危险废物在厂区危废贮存库进行暂存，交有资质单位收运和处置。</w:t>
      </w:r>
    </w:p>
    <w:p w14:paraId="725772B2">
      <w:pPr>
        <w:spacing w:line="360" w:lineRule="auto"/>
        <w:ind w:firstLine="480"/>
        <w:rPr>
          <w:color w:val="auto"/>
        </w:rPr>
      </w:pPr>
      <w:r>
        <w:rPr>
          <w:rFonts w:hint="eastAsia"/>
          <w:color w:val="auto"/>
        </w:rPr>
        <w:t>污泥和蒸发结晶盐贮存于厂区污泥贮存库和盐贮存库，按要求进行危废鉴别，鉴别结果出来前，需按危险废物（危废代码772-006-49）管理，交有资质单位收运处置。</w:t>
      </w:r>
    </w:p>
    <w:p w14:paraId="38024325">
      <w:pPr>
        <w:spacing w:line="360" w:lineRule="auto"/>
        <w:ind w:firstLine="480"/>
        <w:rPr>
          <w:color w:val="auto"/>
        </w:rPr>
      </w:pPr>
      <w:r>
        <w:rPr>
          <w:rFonts w:hint="eastAsia"/>
          <w:color w:val="auto"/>
        </w:rPr>
        <w:t>固体废物若处置不当（如随便丢弃、倾倒、堆置、焚烧等），将会对周边环境和人群产生直接危害。因此，企业需要强化固体废物产生、收集、贮运各环节的管理，杜绝固废在厂区内的散失、渗漏。各种固废在厂内应分别设置堆存专门容器或临时场地堆存。堆存场地按照有关规范修建围墙并</w:t>
      </w:r>
      <w:r>
        <w:rPr>
          <w:rFonts w:hint="eastAsia"/>
          <w:color w:val="auto"/>
          <w:lang w:eastAsia="zh-CN"/>
        </w:rPr>
        <w:t>做</w:t>
      </w:r>
      <w:r>
        <w:rPr>
          <w:rFonts w:hint="eastAsia"/>
          <w:color w:val="auto"/>
        </w:rPr>
        <w:t>防渗处理。做好固体废物在厂区内的收集和储存相关防护工作，收集后进行有效处置。建立完善的规章制度，以降低固体废物散落对周围环境的影响。尤其值得注意的是，需在厂内临时存放的固废，应采取严格的防风、防晒、防雨、防渗等措施，避免其对环境产生危害。禁止将生活垃圾同工业固废混合堆放。</w:t>
      </w:r>
    </w:p>
    <w:p w14:paraId="1DDBC786">
      <w:pPr>
        <w:spacing w:line="360" w:lineRule="auto"/>
        <w:ind w:firstLine="480"/>
        <w:rPr>
          <w:color w:val="auto"/>
        </w:rPr>
      </w:pPr>
      <w:r>
        <w:rPr>
          <w:rFonts w:hint="eastAsia"/>
          <w:color w:val="auto"/>
        </w:rPr>
        <w:t>对不同类型的固体废物进行分类收集、储存、处理和处置，在执行评价提出的危险废物临时贮存和转移控制措施，加强管理的前提下，固体废物不会对环境造成二次污染影响。</w:t>
      </w:r>
    </w:p>
    <w:p w14:paraId="6C3E0E1E">
      <w:pPr>
        <w:spacing w:line="360" w:lineRule="auto"/>
        <w:ind w:firstLine="480"/>
        <w:rPr>
          <w:color w:val="auto"/>
        </w:rPr>
      </w:pPr>
      <w:r>
        <w:rPr>
          <w:rFonts w:hint="eastAsia"/>
          <w:color w:val="auto"/>
        </w:rPr>
        <w:t>放射性废物管理规定相关要求：</w:t>
      </w:r>
    </w:p>
    <w:p w14:paraId="0125A16C">
      <w:pPr>
        <w:spacing w:line="360" w:lineRule="auto"/>
        <w:ind w:firstLine="480"/>
        <w:rPr>
          <w:color w:val="auto"/>
          <w:lang w:val="zh-CN"/>
        </w:rPr>
      </w:pPr>
      <w:r>
        <w:rPr>
          <w:rFonts w:hint="eastAsia"/>
          <w:color w:val="auto"/>
        </w:rPr>
        <w:t>拟建项目废水处理过程中对水污染总α放射性和总β放射性进行去除，去除过程中产生的废膜、污泥和蒸发结晶盐应按《放射性废物分类》（公告 2017年第65号）和《放射性废物管理规定》（GB14500-2002）相关要求进行放射性活度或浓度活度检测，以判断是否属于放射性废物，</w:t>
      </w:r>
      <w:r>
        <w:rPr>
          <w:rFonts w:hint="eastAsia"/>
          <w:color w:val="auto"/>
          <w:lang w:eastAsia="zh-CN"/>
        </w:rPr>
        <w:t>如属于</w:t>
      </w:r>
      <w:r>
        <w:rPr>
          <w:rFonts w:hint="eastAsia"/>
          <w:color w:val="auto"/>
        </w:rPr>
        <w:t>放射性废物</w:t>
      </w:r>
      <w:r>
        <w:rPr>
          <w:rFonts w:hint="eastAsia"/>
          <w:color w:val="auto"/>
          <w:lang w:eastAsia="zh-CN"/>
        </w:rPr>
        <w:t>，则按</w:t>
      </w:r>
      <w:r>
        <w:rPr>
          <w:rFonts w:hint="eastAsia"/>
          <w:color w:val="auto"/>
        </w:rPr>
        <w:t>放射性废物</w:t>
      </w:r>
      <w:r>
        <w:rPr>
          <w:rFonts w:hint="eastAsia"/>
          <w:color w:val="auto"/>
          <w:lang w:eastAsia="zh-CN"/>
        </w:rPr>
        <w:t>进行管理；如不属于</w:t>
      </w:r>
      <w:r>
        <w:rPr>
          <w:rFonts w:hint="eastAsia"/>
          <w:color w:val="auto"/>
        </w:rPr>
        <w:t>放射性废物</w:t>
      </w:r>
      <w:r>
        <w:rPr>
          <w:rFonts w:hint="eastAsia"/>
          <w:color w:val="auto"/>
          <w:lang w:eastAsia="zh-CN"/>
        </w:rPr>
        <w:t>，则</w:t>
      </w:r>
      <w:r>
        <w:rPr>
          <w:rFonts w:hint="eastAsia"/>
          <w:color w:val="auto"/>
        </w:rPr>
        <w:t>废膜、</w:t>
      </w:r>
      <w:r>
        <w:rPr>
          <w:rFonts w:hint="eastAsia"/>
          <w:color w:val="auto"/>
          <w:lang w:eastAsia="zh-CN"/>
        </w:rPr>
        <w:t>按危险废物相关要求进行管理，</w:t>
      </w:r>
      <w:r>
        <w:rPr>
          <w:rFonts w:hint="eastAsia"/>
          <w:color w:val="auto"/>
        </w:rPr>
        <w:t>污泥和蒸发结晶盐</w:t>
      </w:r>
      <w:r>
        <w:rPr>
          <w:rFonts w:hint="eastAsia"/>
          <w:color w:val="auto"/>
          <w:lang w:eastAsia="zh-CN"/>
        </w:rPr>
        <w:t>根据危险特性鉴别结果按危险废物一般工业固废进行管理</w:t>
      </w:r>
      <w:r>
        <w:rPr>
          <w:rFonts w:hint="eastAsia"/>
          <w:color w:val="auto"/>
        </w:rPr>
        <w:t>。</w:t>
      </w:r>
    </w:p>
    <w:p w14:paraId="3C8B3C9C">
      <w:pPr>
        <w:spacing w:line="360" w:lineRule="auto"/>
        <w:ind w:firstLine="480"/>
        <w:rPr>
          <w:color w:val="auto"/>
        </w:rPr>
      </w:pPr>
    </w:p>
    <w:p w14:paraId="71F2867E">
      <w:pPr>
        <w:spacing w:line="360" w:lineRule="auto"/>
        <w:ind w:firstLine="480"/>
        <w:rPr>
          <w:color w:val="auto"/>
        </w:rPr>
      </w:pPr>
    </w:p>
    <w:p w14:paraId="44C37DF2">
      <w:pPr>
        <w:spacing w:line="360" w:lineRule="auto"/>
        <w:ind w:firstLine="480"/>
        <w:rPr>
          <w:color w:val="auto"/>
        </w:rPr>
      </w:pPr>
    </w:p>
    <w:p w14:paraId="1F04AFD9">
      <w:pPr>
        <w:spacing w:line="360" w:lineRule="auto"/>
        <w:ind w:firstLine="480"/>
        <w:rPr>
          <w:color w:val="auto"/>
        </w:rPr>
        <w:sectPr>
          <w:pgSz w:w="11906" w:h="16838"/>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pPr>
    </w:p>
    <w:p w14:paraId="5D2CC307">
      <w:pPr>
        <w:pStyle w:val="185"/>
        <w:rPr>
          <w:color w:val="auto"/>
        </w:rPr>
      </w:pPr>
      <w:r>
        <w:rPr>
          <w:color w:val="auto"/>
        </w:rPr>
        <w:t>表3.14-4   项目危险废物产生及处置情况一览表</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1666"/>
        <w:gridCol w:w="1065"/>
        <w:gridCol w:w="1883"/>
        <w:gridCol w:w="1085"/>
        <w:gridCol w:w="1302"/>
        <w:gridCol w:w="863"/>
        <w:gridCol w:w="1082"/>
        <w:gridCol w:w="1085"/>
        <w:gridCol w:w="1085"/>
        <w:gridCol w:w="1091"/>
        <w:gridCol w:w="1245"/>
      </w:tblGrid>
      <w:tr w14:paraId="6D0CE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269" w:type="pct"/>
            <w:vAlign w:val="center"/>
          </w:tcPr>
          <w:p w14:paraId="00A0B060">
            <w:pPr>
              <w:pStyle w:val="276"/>
              <w:rPr>
                <w:color w:val="auto"/>
              </w:rPr>
            </w:pPr>
            <w:r>
              <w:rPr>
                <w:rFonts w:hint="eastAsia"/>
                <w:color w:val="auto"/>
              </w:rPr>
              <w:t>序号</w:t>
            </w:r>
          </w:p>
        </w:tc>
        <w:tc>
          <w:tcPr>
            <w:tcW w:w="585" w:type="pct"/>
            <w:vAlign w:val="center"/>
          </w:tcPr>
          <w:p w14:paraId="65AEF847">
            <w:pPr>
              <w:pStyle w:val="276"/>
              <w:rPr>
                <w:color w:val="auto"/>
              </w:rPr>
            </w:pPr>
            <w:r>
              <w:rPr>
                <w:rFonts w:hint="eastAsia"/>
                <w:color w:val="auto"/>
              </w:rPr>
              <w:t>危险废物名称</w:t>
            </w:r>
          </w:p>
        </w:tc>
        <w:tc>
          <w:tcPr>
            <w:tcW w:w="374" w:type="pct"/>
            <w:vAlign w:val="center"/>
          </w:tcPr>
          <w:p w14:paraId="42A8A60A">
            <w:pPr>
              <w:pStyle w:val="276"/>
              <w:rPr>
                <w:color w:val="auto"/>
              </w:rPr>
            </w:pPr>
            <w:r>
              <w:rPr>
                <w:rFonts w:hint="eastAsia"/>
                <w:color w:val="auto"/>
              </w:rPr>
              <w:t>危险废</w:t>
            </w:r>
          </w:p>
          <w:p w14:paraId="30779337">
            <w:pPr>
              <w:pStyle w:val="276"/>
              <w:rPr>
                <w:color w:val="auto"/>
              </w:rPr>
            </w:pPr>
            <w:r>
              <w:rPr>
                <w:rFonts w:hint="eastAsia"/>
                <w:color w:val="auto"/>
              </w:rPr>
              <w:t>物类别</w:t>
            </w:r>
          </w:p>
        </w:tc>
        <w:tc>
          <w:tcPr>
            <w:tcW w:w="661" w:type="pct"/>
            <w:vAlign w:val="center"/>
          </w:tcPr>
          <w:p w14:paraId="73806D71">
            <w:pPr>
              <w:pStyle w:val="276"/>
              <w:rPr>
                <w:color w:val="auto"/>
              </w:rPr>
            </w:pPr>
            <w:r>
              <w:rPr>
                <w:rFonts w:hint="eastAsia"/>
                <w:color w:val="auto"/>
              </w:rPr>
              <w:t>危险废物代码</w:t>
            </w:r>
          </w:p>
        </w:tc>
        <w:tc>
          <w:tcPr>
            <w:tcW w:w="381" w:type="pct"/>
            <w:vAlign w:val="center"/>
          </w:tcPr>
          <w:p w14:paraId="314CDE48">
            <w:pPr>
              <w:pStyle w:val="276"/>
              <w:rPr>
                <w:color w:val="auto"/>
              </w:rPr>
            </w:pPr>
            <w:r>
              <w:rPr>
                <w:rFonts w:hint="eastAsia"/>
                <w:color w:val="auto"/>
              </w:rPr>
              <w:t>产生量</w:t>
            </w:r>
          </w:p>
          <w:p w14:paraId="0820F76A">
            <w:pPr>
              <w:pStyle w:val="276"/>
              <w:rPr>
                <w:color w:val="auto"/>
              </w:rPr>
            </w:pPr>
            <w:r>
              <w:rPr>
                <w:rFonts w:hint="eastAsia"/>
                <w:color w:val="auto"/>
              </w:rPr>
              <w:t>t/a</w:t>
            </w:r>
          </w:p>
        </w:tc>
        <w:tc>
          <w:tcPr>
            <w:tcW w:w="457" w:type="pct"/>
            <w:vAlign w:val="center"/>
          </w:tcPr>
          <w:p w14:paraId="0A8CB64E">
            <w:pPr>
              <w:pStyle w:val="276"/>
              <w:rPr>
                <w:color w:val="auto"/>
              </w:rPr>
            </w:pPr>
            <w:r>
              <w:rPr>
                <w:rFonts w:hint="eastAsia"/>
                <w:color w:val="auto"/>
              </w:rPr>
              <w:t>产生工序及装置</w:t>
            </w:r>
          </w:p>
        </w:tc>
        <w:tc>
          <w:tcPr>
            <w:tcW w:w="303" w:type="pct"/>
            <w:vAlign w:val="center"/>
          </w:tcPr>
          <w:p w14:paraId="7418AD52">
            <w:pPr>
              <w:pStyle w:val="276"/>
              <w:rPr>
                <w:color w:val="auto"/>
              </w:rPr>
            </w:pPr>
            <w:r>
              <w:rPr>
                <w:rFonts w:hint="eastAsia"/>
                <w:color w:val="auto"/>
              </w:rPr>
              <w:t>形态</w:t>
            </w:r>
          </w:p>
        </w:tc>
        <w:tc>
          <w:tcPr>
            <w:tcW w:w="380" w:type="pct"/>
            <w:vAlign w:val="center"/>
          </w:tcPr>
          <w:p w14:paraId="15E9EA37">
            <w:pPr>
              <w:pStyle w:val="276"/>
              <w:rPr>
                <w:color w:val="auto"/>
              </w:rPr>
            </w:pPr>
            <w:r>
              <w:rPr>
                <w:rFonts w:hint="eastAsia"/>
                <w:color w:val="auto"/>
              </w:rPr>
              <w:t>主要成分</w:t>
            </w:r>
          </w:p>
        </w:tc>
        <w:tc>
          <w:tcPr>
            <w:tcW w:w="381" w:type="pct"/>
            <w:vAlign w:val="center"/>
          </w:tcPr>
          <w:p w14:paraId="6E65C82D">
            <w:pPr>
              <w:pStyle w:val="276"/>
              <w:rPr>
                <w:color w:val="auto"/>
              </w:rPr>
            </w:pPr>
            <w:r>
              <w:rPr>
                <w:rFonts w:hint="eastAsia"/>
                <w:color w:val="auto"/>
              </w:rPr>
              <w:t>有害成分</w:t>
            </w:r>
          </w:p>
        </w:tc>
        <w:tc>
          <w:tcPr>
            <w:tcW w:w="381" w:type="pct"/>
            <w:vAlign w:val="center"/>
          </w:tcPr>
          <w:p w14:paraId="5507583D">
            <w:pPr>
              <w:pStyle w:val="276"/>
              <w:rPr>
                <w:color w:val="auto"/>
              </w:rPr>
            </w:pPr>
            <w:r>
              <w:rPr>
                <w:rFonts w:hint="eastAsia"/>
                <w:color w:val="auto"/>
              </w:rPr>
              <w:t>产废周期</w:t>
            </w:r>
          </w:p>
        </w:tc>
        <w:tc>
          <w:tcPr>
            <w:tcW w:w="383" w:type="pct"/>
            <w:vAlign w:val="center"/>
          </w:tcPr>
          <w:p w14:paraId="1E6F37B0">
            <w:pPr>
              <w:pStyle w:val="276"/>
              <w:rPr>
                <w:color w:val="auto"/>
              </w:rPr>
            </w:pPr>
            <w:r>
              <w:rPr>
                <w:rFonts w:hint="eastAsia"/>
                <w:color w:val="auto"/>
              </w:rPr>
              <w:t>危险</w:t>
            </w:r>
          </w:p>
          <w:p w14:paraId="71AC547D">
            <w:pPr>
              <w:pStyle w:val="276"/>
              <w:rPr>
                <w:color w:val="auto"/>
              </w:rPr>
            </w:pPr>
            <w:r>
              <w:rPr>
                <w:rFonts w:hint="eastAsia"/>
                <w:color w:val="auto"/>
              </w:rPr>
              <w:t>特性</w:t>
            </w:r>
          </w:p>
        </w:tc>
        <w:tc>
          <w:tcPr>
            <w:tcW w:w="437" w:type="pct"/>
            <w:vAlign w:val="center"/>
          </w:tcPr>
          <w:p w14:paraId="5FA7ABA4">
            <w:pPr>
              <w:pStyle w:val="276"/>
              <w:rPr>
                <w:color w:val="auto"/>
              </w:rPr>
            </w:pPr>
            <w:r>
              <w:rPr>
                <w:rFonts w:hint="eastAsia"/>
                <w:color w:val="auto"/>
              </w:rPr>
              <w:t>污染防治措施</w:t>
            </w:r>
          </w:p>
        </w:tc>
      </w:tr>
      <w:tr w14:paraId="51951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vAlign w:val="center"/>
          </w:tcPr>
          <w:p w14:paraId="02915876">
            <w:pPr>
              <w:pStyle w:val="276"/>
              <w:rPr>
                <w:color w:val="auto"/>
              </w:rPr>
            </w:pPr>
            <w:r>
              <w:rPr>
                <w:rFonts w:hint="eastAsia"/>
                <w:color w:val="auto"/>
              </w:rPr>
              <w:t>1</w:t>
            </w:r>
          </w:p>
        </w:tc>
        <w:tc>
          <w:tcPr>
            <w:tcW w:w="585" w:type="pct"/>
            <w:vAlign w:val="center"/>
          </w:tcPr>
          <w:p w14:paraId="5E6B3B18">
            <w:pPr>
              <w:pStyle w:val="276"/>
              <w:rPr>
                <w:color w:val="auto"/>
              </w:rPr>
            </w:pPr>
            <w:r>
              <w:rPr>
                <w:rFonts w:hint="eastAsia"/>
                <w:color w:val="auto"/>
              </w:rPr>
              <w:t>废包装材料</w:t>
            </w:r>
          </w:p>
        </w:tc>
        <w:tc>
          <w:tcPr>
            <w:tcW w:w="374" w:type="pct"/>
            <w:vAlign w:val="center"/>
          </w:tcPr>
          <w:p w14:paraId="4A359A71">
            <w:pPr>
              <w:pStyle w:val="276"/>
              <w:rPr>
                <w:color w:val="auto"/>
              </w:rPr>
            </w:pPr>
            <w:r>
              <w:rPr>
                <w:rFonts w:hint="eastAsia"/>
                <w:color w:val="auto"/>
              </w:rPr>
              <w:t>HW49</w:t>
            </w:r>
          </w:p>
        </w:tc>
        <w:tc>
          <w:tcPr>
            <w:tcW w:w="661" w:type="pct"/>
            <w:vAlign w:val="center"/>
          </w:tcPr>
          <w:p w14:paraId="25C25368">
            <w:pPr>
              <w:pStyle w:val="276"/>
              <w:rPr>
                <w:color w:val="auto"/>
              </w:rPr>
            </w:pPr>
            <w:r>
              <w:rPr>
                <w:rFonts w:hint="eastAsia"/>
                <w:color w:val="auto"/>
              </w:rPr>
              <w:t>900-0</w:t>
            </w:r>
            <w:r>
              <w:rPr>
                <w:rFonts w:hint="eastAsia"/>
                <w:color w:val="auto"/>
                <w:lang w:val="en-US"/>
              </w:rPr>
              <w:t>41</w:t>
            </w:r>
            <w:r>
              <w:rPr>
                <w:rFonts w:hint="eastAsia"/>
                <w:color w:val="auto"/>
              </w:rPr>
              <w:t>-49</w:t>
            </w:r>
          </w:p>
        </w:tc>
        <w:tc>
          <w:tcPr>
            <w:tcW w:w="381" w:type="pct"/>
            <w:vAlign w:val="center"/>
          </w:tcPr>
          <w:p w14:paraId="32AFC685">
            <w:pPr>
              <w:pStyle w:val="276"/>
              <w:rPr>
                <w:color w:val="auto"/>
              </w:rPr>
            </w:pPr>
            <w:r>
              <w:rPr>
                <w:rFonts w:hint="eastAsia"/>
                <w:color w:val="auto"/>
              </w:rPr>
              <w:t>1</w:t>
            </w:r>
          </w:p>
        </w:tc>
        <w:tc>
          <w:tcPr>
            <w:tcW w:w="457" w:type="pct"/>
            <w:vAlign w:val="center"/>
          </w:tcPr>
          <w:p w14:paraId="67A83B91">
            <w:pPr>
              <w:pStyle w:val="276"/>
              <w:rPr>
                <w:color w:val="auto"/>
              </w:rPr>
            </w:pPr>
            <w:r>
              <w:rPr>
                <w:rFonts w:hint="eastAsia"/>
                <w:color w:val="auto"/>
              </w:rPr>
              <w:t>原辅料使用</w:t>
            </w:r>
          </w:p>
        </w:tc>
        <w:tc>
          <w:tcPr>
            <w:tcW w:w="303" w:type="pct"/>
            <w:vAlign w:val="center"/>
          </w:tcPr>
          <w:p w14:paraId="372A7910">
            <w:pPr>
              <w:pStyle w:val="276"/>
              <w:rPr>
                <w:color w:val="auto"/>
              </w:rPr>
            </w:pPr>
            <w:r>
              <w:rPr>
                <w:rFonts w:hint="eastAsia"/>
                <w:color w:val="auto"/>
              </w:rPr>
              <w:t>固</w:t>
            </w:r>
          </w:p>
        </w:tc>
        <w:tc>
          <w:tcPr>
            <w:tcW w:w="380" w:type="pct"/>
            <w:vAlign w:val="center"/>
          </w:tcPr>
          <w:p w14:paraId="15B2BF8C">
            <w:pPr>
              <w:pStyle w:val="276"/>
              <w:rPr>
                <w:color w:val="auto"/>
              </w:rPr>
            </w:pPr>
            <w:r>
              <w:rPr>
                <w:rFonts w:hint="eastAsia"/>
                <w:color w:val="auto"/>
              </w:rPr>
              <w:t>/</w:t>
            </w:r>
          </w:p>
        </w:tc>
        <w:tc>
          <w:tcPr>
            <w:tcW w:w="381" w:type="pct"/>
            <w:vAlign w:val="center"/>
          </w:tcPr>
          <w:p w14:paraId="66161631">
            <w:pPr>
              <w:pStyle w:val="276"/>
              <w:rPr>
                <w:color w:val="auto"/>
              </w:rPr>
            </w:pPr>
            <w:r>
              <w:rPr>
                <w:rFonts w:hint="eastAsia"/>
                <w:color w:val="auto"/>
              </w:rPr>
              <w:t>酸碱等</w:t>
            </w:r>
          </w:p>
        </w:tc>
        <w:tc>
          <w:tcPr>
            <w:tcW w:w="381" w:type="pct"/>
            <w:vAlign w:val="center"/>
          </w:tcPr>
          <w:p w14:paraId="32B0DEEC">
            <w:pPr>
              <w:pStyle w:val="276"/>
              <w:rPr>
                <w:color w:val="auto"/>
              </w:rPr>
            </w:pPr>
            <w:r>
              <w:rPr>
                <w:rFonts w:hint="eastAsia"/>
                <w:color w:val="auto"/>
              </w:rPr>
              <w:t>每月</w:t>
            </w:r>
          </w:p>
        </w:tc>
        <w:tc>
          <w:tcPr>
            <w:tcW w:w="383" w:type="pct"/>
            <w:vAlign w:val="center"/>
          </w:tcPr>
          <w:p w14:paraId="13D60CAF">
            <w:pPr>
              <w:pStyle w:val="276"/>
              <w:rPr>
                <w:color w:val="auto"/>
              </w:rPr>
            </w:pPr>
            <w:r>
              <w:rPr>
                <w:rFonts w:hint="eastAsia"/>
                <w:color w:val="auto"/>
              </w:rPr>
              <w:t>T/In</w:t>
            </w:r>
          </w:p>
        </w:tc>
        <w:tc>
          <w:tcPr>
            <w:tcW w:w="437" w:type="pct"/>
            <w:vMerge w:val="restart"/>
            <w:vAlign w:val="center"/>
          </w:tcPr>
          <w:p w14:paraId="37F2940F">
            <w:pPr>
              <w:spacing w:line="240" w:lineRule="auto"/>
              <w:ind w:firstLine="0" w:firstLineChars="0"/>
              <w:jc w:val="center"/>
              <w:rPr>
                <w:color w:val="auto"/>
                <w:sz w:val="21"/>
                <w:lang w:val="zh-CN"/>
              </w:rPr>
            </w:pPr>
            <w:r>
              <w:rPr>
                <w:rFonts w:hint="eastAsia"/>
                <w:color w:val="auto"/>
                <w:sz w:val="21"/>
                <w:lang w:val="zh-CN"/>
              </w:rPr>
              <w:t>交有资质单位收运和处置</w:t>
            </w:r>
          </w:p>
        </w:tc>
      </w:tr>
      <w:tr w14:paraId="3C354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vAlign w:val="center"/>
          </w:tcPr>
          <w:p w14:paraId="0AFB5DE9">
            <w:pPr>
              <w:pStyle w:val="276"/>
              <w:rPr>
                <w:color w:val="auto"/>
              </w:rPr>
            </w:pPr>
            <w:r>
              <w:rPr>
                <w:rFonts w:hint="eastAsia"/>
                <w:color w:val="auto"/>
              </w:rPr>
              <w:t>2</w:t>
            </w:r>
          </w:p>
        </w:tc>
        <w:tc>
          <w:tcPr>
            <w:tcW w:w="585" w:type="pct"/>
            <w:vAlign w:val="center"/>
          </w:tcPr>
          <w:p w14:paraId="3534183C">
            <w:pPr>
              <w:pStyle w:val="276"/>
              <w:rPr>
                <w:color w:val="auto"/>
              </w:rPr>
            </w:pPr>
            <w:r>
              <w:rPr>
                <w:rFonts w:hint="eastAsia"/>
                <w:color w:val="auto"/>
              </w:rPr>
              <w:t>废活性炭</w:t>
            </w:r>
          </w:p>
        </w:tc>
        <w:tc>
          <w:tcPr>
            <w:tcW w:w="374" w:type="pct"/>
            <w:vAlign w:val="center"/>
          </w:tcPr>
          <w:p w14:paraId="3C4C361C">
            <w:pPr>
              <w:widowControl/>
              <w:spacing w:line="240" w:lineRule="auto"/>
              <w:ind w:firstLine="0" w:firstLineChars="0"/>
              <w:jc w:val="center"/>
              <w:rPr>
                <w:color w:val="auto"/>
              </w:rPr>
            </w:pPr>
            <w:r>
              <w:rPr>
                <w:rFonts w:hint="eastAsia"/>
                <w:color w:val="auto"/>
                <w:sz w:val="21"/>
                <w:lang w:val="zh-CN"/>
              </w:rPr>
              <w:t>HW49</w:t>
            </w:r>
          </w:p>
        </w:tc>
        <w:tc>
          <w:tcPr>
            <w:tcW w:w="661" w:type="pct"/>
            <w:vAlign w:val="center"/>
          </w:tcPr>
          <w:p w14:paraId="36A2DD3D">
            <w:pPr>
              <w:pStyle w:val="276"/>
              <w:rPr>
                <w:color w:val="auto"/>
              </w:rPr>
            </w:pPr>
            <w:r>
              <w:rPr>
                <w:rFonts w:hint="eastAsia"/>
                <w:color w:val="auto"/>
              </w:rPr>
              <w:t>900-039-49</w:t>
            </w:r>
          </w:p>
        </w:tc>
        <w:tc>
          <w:tcPr>
            <w:tcW w:w="381" w:type="pct"/>
            <w:vAlign w:val="center"/>
          </w:tcPr>
          <w:p w14:paraId="601A0123">
            <w:pPr>
              <w:pStyle w:val="276"/>
              <w:rPr>
                <w:color w:val="auto"/>
              </w:rPr>
            </w:pPr>
            <w:r>
              <w:rPr>
                <w:rFonts w:hint="eastAsia"/>
                <w:color w:val="auto"/>
              </w:rPr>
              <w:t>2.5</w:t>
            </w:r>
          </w:p>
        </w:tc>
        <w:tc>
          <w:tcPr>
            <w:tcW w:w="457" w:type="pct"/>
            <w:vAlign w:val="center"/>
          </w:tcPr>
          <w:p w14:paraId="44EDA8B9">
            <w:pPr>
              <w:pStyle w:val="276"/>
              <w:rPr>
                <w:color w:val="auto"/>
              </w:rPr>
            </w:pPr>
            <w:r>
              <w:rPr>
                <w:rFonts w:hint="eastAsia"/>
                <w:color w:val="auto"/>
              </w:rPr>
              <w:t>废气处理</w:t>
            </w:r>
          </w:p>
        </w:tc>
        <w:tc>
          <w:tcPr>
            <w:tcW w:w="303" w:type="pct"/>
            <w:vAlign w:val="center"/>
          </w:tcPr>
          <w:p w14:paraId="5AAABE4F">
            <w:pPr>
              <w:pStyle w:val="276"/>
              <w:rPr>
                <w:color w:val="auto"/>
              </w:rPr>
            </w:pPr>
            <w:r>
              <w:rPr>
                <w:rFonts w:hint="eastAsia"/>
                <w:color w:val="auto"/>
              </w:rPr>
              <w:t>固</w:t>
            </w:r>
          </w:p>
        </w:tc>
        <w:tc>
          <w:tcPr>
            <w:tcW w:w="380" w:type="pct"/>
            <w:vAlign w:val="center"/>
          </w:tcPr>
          <w:p w14:paraId="14ECCC7F">
            <w:pPr>
              <w:pStyle w:val="276"/>
              <w:rPr>
                <w:color w:val="auto"/>
              </w:rPr>
            </w:pPr>
            <w:r>
              <w:rPr>
                <w:rFonts w:hint="eastAsia"/>
                <w:color w:val="auto"/>
              </w:rPr>
              <w:t>活性炭</w:t>
            </w:r>
          </w:p>
        </w:tc>
        <w:tc>
          <w:tcPr>
            <w:tcW w:w="381" w:type="pct"/>
            <w:vAlign w:val="center"/>
          </w:tcPr>
          <w:p w14:paraId="18DE773D">
            <w:pPr>
              <w:pStyle w:val="276"/>
              <w:rPr>
                <w:color w:val="auto"/>
              </w:rPr>
            </w:pPr>
            <w:r>
              <w:rPr>
                <w:rFonts w:hint="eastAsia"/>
                <w:color w:val="auto"/>
              </w:rPr>
              <w:t>VOC</w:t>
            </w:r>
            <w:r>
              <w:rPr>
                <w:rFonts w:hint="eastAsia"/>
                <w:color w:val="auto"/>
                <w:vertAlign w:val="subscript"/>
              </w:rPr>
              <w:t>S</w:t>
            </w:r>
          </w:p>
        </w:tc>
        <w:tc>
          <w:tcPr>
            <w:tcW w:w="381" w:type="pct"/>
            <w:vAlign w:val="center"/>
          </w:tcPr>
          <w:p w14:paraId="3078F530">
            <w:pPr>
              <w:pStyle w:val="276"/>
              <w:rPr>
                <w:color w:val="auto"/>
              </w:rPr>
            </w:pPr>
            <w:r>
              <w:rPr>
                <w:rFonts w:hint="eastAsia"/>
                <w:color w:val="auto"/>
              </w:rPr>
              <w:t>季度</w:t>
            </w:r>
          </w:p>
        </w:tc>
        <w:tc>
          <w:tcPr>
            <w:tcW w:w="383" w:type="pct"/>
            <w:vAlign w:val="center"/>
          </w:tcPr>
          <w:p w14:paraId="4F49DA37">
            <w:pPr>
              <w:pStyle w:val="276"/>
              <w:rPr>
                <w:color w:val="auto"/>
              </w:rPr>
            </w:pPr>
            <w:r>
              <w:rPr>
                <w:rFonts w:hint="eastAsia"/>
                <w:color w:val="auto"/>
              </w:rPr>
              <w:t>T</w:t>
            </w:r>
          </w:p>
        </w:tc>
        <w:tc>
          <w:tcPr>
            <w:tcW w:w="437" w:type="pct"/>
            <w:vMerge w:val="continue"/>
            <w:vAlign w:val="center"/>
          </w:tcPr>
          <w:p w14:paraId="7F1D2C1F">
            <w:pPr>
              <w:spacing w:line="240" w:lineRule="auto"/>
              <w:ind w:firstLine="0" w:firstLineChars="0"/>
              <w:jc w:val="center"/>
              <w:rPr>
                <w:color w:val="auto"/>
                <w:sz w:val="21"/>
                <w:lang w:val="zh-CN"/>
              </w:rPr>
            </w:pPr>
          </w:p>
        </w:tc>
      </w:tr>
      <w:tr w14:paraId="1003A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vAlign w:val="center"/>
          </w:tcPr>
          <w:p w14:paraId="66FEA787">
            <w:pPr>
              <w:pStyle w:val="276"/>
              <w:rPr>
                <w:color w:val="auto"/>
              </w:rPr>
            </w:pPr>
            <w:r>
              <w:rPr>
                <w:rFonts w:hint="eastAsia"/>
                <w:color w:val="auto"/>
              </w:rPr>
              <w:t>3</w:t>
            </w:r>
          </w:p>
        </w:tc>
        <w:tc>
          <w:tcPr>
            <w:tcW w:w="585" w:type="pct"/>
            <w:vAlign w:val="center"/>
          </w:tcPr>
          <w:p w14:paraId="635E3C4E">
            <w:pPr>
              <w:pStyle w:val="276"/>
              <w:rPr>
                <w:color w:val="auto"/>
              </w:rPr>
            </w:pPr>
            <w:r>
              <w:rPr>
                <w:rFonts w:hint="eastAsia"/>
                <w:color w:val="auto"/>
              </w:rPr>
              <w:t>实验室废物</w:t>
            </w:r>
          </w:p>
        </w:tc>
        <w:tc>
          <w:tcPr>
            <w:tcW w:w="374" w:type="pct"/>
            <w:vAlign w:val="center"/>
          </w:tcPr>
          <w:p w14:paraId="283E75D0">
            <w:pPr>
              <w:widowControl/>
              <w:spacing w:line="240" w:lineRule="auto"/>
              <w:ind w:firstLine="0" w:firstLineChars="0"/>
              <w:jc w:val="center"/>
              <w:rPr>
                <w:color w:val="auto"/>
              </w:rPr>
            </w:pPr>
            <w:r>
              <w:rPr>
                <w:rFonts w:hint="eastAsia"/>
                <w:color w:val="auto"/>
                <w:sz w:val="21"/>
                <w:lang w:val="zh-CN"/>
              </w:rPr>
              <w:t>HW49</w:t>
            </w:r>
          </w:p>
        </w:tc>
        <w:tc>
          <w:tcPr>
            <w:tcW w:w="661" w:type="pct"/>
            <w:vAlign w:val="center"/>
          </w:tcPr>
          <w:p w14:paraId="41CCD200">
            <w:pPr>
              <w:pStyle w:val="276"/>
              <w:rPr>
                <w:color w:val="auto"/>
              </w:rPr>
            </w:pPr>
            <w:r>
              <w:rPr>
                <w:rFonts w:hint="eastAsia"/>
                <w:color w:val="auto"/>
              </w:rPr>
              <w:t>900-047-49</w:t>
            </w:r>
          </w:p>
        </w:tc>
        <w:tc>
          <w:tcPr>
            <w:tcW w:w="381" w:type="pct"/>
            <w:vAlign w:val="center"/>
          </w:tcPr>
          <w:p w14:paraId="08263448">
            <w:pPr>
              <w:pStyle w:val="276"/>
              <w:rPr>
                <w:color w:val="auto"/>
                <w:lang w:val="en-US"/>
              </w:rPr>
            </w:pPr>
            <w:r>
              <w:rPr>
                <w:rFonts w:hint="eastAsia"/>
                <w:color w:val="auto"/>
                <w:lang w:val="en-US"/>
              </w:rPr>
              <w:t>3.5</w:t>
            </w:r>
          </w:p>
        </w:tc>
        <w:tc>
          <w:tcPr>
            <w:tcW w:w="457" w:type="pct"/>
            <w:vAlign w:val="center"/>
          </w:tcPr>
          <w:p w14:paraId="17025947">
            <w:pPr>
              <w:pStyle w:val="276"/>
              <w:rPr>
                <w:color w:val="auto"/>
              </w:rPr>
            </w:pPr>
            <w:r>
              <w:rPr>
                <w:rFonts w:hint="eastAsia"/>
                <w:color w:val="auto"/>
              </w:rPr>
              <w:t>实验室</w:t>
            </w:r>
          </w:p>
        </w:tc>
        <w:tc>
          <w:tcPr>
            <w:tcW w:w="303" w:type="pct"/>
            <w:vAlign w:val="center"/>
          </w:tcPr>
          <w:p w14:paraId="439573A3">
            <w:pPr>
              <w:pStyle w:val="276"/>
              <w:rPr>
                <w:color w:val="auto"/>
              </w:rPr>
            </w:pPr>
            <w:r>
              <w:rPr>
                <w:rFonts w:hint="eastAsia"/>
                <w:color w:val="auto"/>
              </w:rPr>
              <w:t>液</w:t>
            </w:r>
          </w:p>
        </w:tc>
        <w:tc>
          <w:tcPr>
            <w:tcW w:w="380" w:type="pct"/>
            <w:vAlign w:val="center"/>
          </w:tcPr>
          <w:p w14:paraId="2B46014F">
            <w:pPr>
              <w:pStyle w:val="276"/>
              <w:rPr>
                <w:color w:val="auto"/>
              </w:rPr>
            </w:pPr>
            <w:r>
              <w:rPr>
                <w:rFonts w:hint="eastAsia"/>
                <w:color w:val="auto"/>
              </w:rPr>
              <w:t>/</w:t>
            </w:r>
          </w:p>
        </w:tc>
        <w:tc>
          <w:tcPr>
            <w:tcW w:w="381" w:type="pct"/>
            <w:vAlign w:val="center"/>
          </w:tcPr>
          <w:p w14:paraId="5DB6FEAF">
            <w:pPr>
              <w:pStyle w:val="276"/>
              <w:rPr>
                <w:color w:val="auto"/>
              </w:rPr>
            </w:pPr>
            <w:r>
              <w:rPr>
                <w:rFonts w:hint="eastAsia"/>
                <w:color w:val="auto"/>
              </w:rPr>
              <w:t>酸碱等</w:t>
            </w:r>
          </w:p>
        </w:tc>
        <w:tc>
          <w:tcPr>
            <w:tcW w:w="381" w:type="pct"/>
            <w:vAlign w:val="center"/>
          </w:tcPr>
          <w:p w14:paraId="2635267E">
            <w:pPr>
              <w:pStyle w:val="276"/>
              <w:rPr>
                <w:color w:val="auto"/>
              </w:rPr>
            </w:pPr>
            <w:r>
              <w:rPr>
                <w:rFonts w:hint="eastAsia"/>
                <w:color w:val="auto"/>
              </w:rPr>
              <w:t>每月</w:t>
            </w:r>
          </w:p>
        </w:tc>
        <w:tc>
          <w:tcPr>
            <w:tcW w:w="383" w:type="pct"/>
            <w:vAlign w:val="center"/>
          </w:tcPr>
          <w:p w14:paraId="04637CA8">
            <w:pPr>
              <w:pStyle w:val="276"/>
              <w:rPr>
                <w:color w:val="auto"/>
              </w:rPr>
            </w:pPr>
            <w:r>
              <w:rPr>
                <w:rFonts w:hint="eastAsia"/>
                <w:color w:val="auto"/>
              </w:rPr>
              <w:t>T/C/I/R</w:t>
            </w:r>
          </w:p>
        </w:tc>
        <w:tc>
          <w:tcPr>
            <w:tcW w:w="437" w:type="pct"/>
            <w:vMerge w:val="continue"/>
            <w:vAlign w:val="center"/>
          </w:tcPr>
          <w:p w14:paraId="33ED2E0B">
            <w:pPr>
              <w:spacing w:line="240" w:lineRule="auto"/>
              <w:ind w:firstLine="0" w:firstLineChars="0"/>
              <w:jc w:val="center"/>
              <w:rPr>
                <w:color w:val="auto"/>
                <w:sz w:val="21"/>
                <w:lang w:val="zh-CN"/>
              </w:rPr>
            </w:pPr>
          </w:p>
        </w:tc>
      </w:tr>
      <w:tr w14:paraId="004F5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vAlign w:val="center"/>
          </w:tcPr>
          <w:p w14:paraId="76782071">
            <w:pPr>
              <w:pStyle w:val="276"/>
              <w:rPr>
                <w:color w:val="auto"/>
              </w:rPr>
            </w:pPr>
            <w:r>
              <w:rPr>
                <w:rFonts w:hint="eastAsia"/>
                <w:color w:val="auto"/>
              </w:rPr>
              <w:t>4</w:t>
            </w:r>
          </w:p>
        </w:tc>
        <w:tc>
          <w:tcPr>
            <w:tcW w:w="585" w:type="pct"/>
            <w:vAlign w:val="center"/>
          </w:tcPr>
          <w:p w14:paraId="2B524E68">
            <w:pPr>
              <w:pStyle w:val="276"/>
              <w:rPr>
                <w:color w:val="auto"/>
              </w:rPr>
            </w:pPr>
            <w:r>
              <w:rPr>
                <w:rFonts w:hint="eastAsia"/>
                <w:color w:val="auto"/>
              </w:rPr>
              <w:t>废油类、废油桶及含油废物</w:t>
            </w:r>
          </w:p>
        </w:tc>
        <w:tc>
          <w:tcPr>
            <w:tcW w:w="374" w:type="pct"/>
            <w:vAlign w:val="center"/>
          </w:tcPr>
          <w:p w14:paraId="3FECC631">
            <w:pPr>
              <w:widowControl/>
              <w:spacing w:line="240" w:lineRule="auto"/>
              <w:ind w:firstLine="0" w:firstLineChars="0"/>
              <w:jc w:val="center"/>
              <w:rPr>
                <w:color w:val="auto"/>
                <w:sz w:val="21"/>
                <w:lang w:val="zh-CN"/>
              </w:rPr>
            </w:pPr>
            <w:r>
              <w:rPr>
                <w:rFonts w:hint="eastAsia"/>
                <w:color w:val="auto"/>
                <w:sz w:val="21"/>
                <w:lang w:val="zh-CN"/>
              </w:rPr>
              <w:t>HW08</w:t>
            </w:r>
          </w:p>
        </w:tc>
        <w:tc>
          <w:tcPr>
            <w:tcW w:w="661" w:type="pct"/>
            <w:vAlign w:val="center"/>
          </w:tcPr>
          <w:p w14:paraId="7AB50BBC">
            <w:pPr>
              <w:pStyle w:val="276"/>
              <w:rPr>
                <w:color w:val="auto"/>
              </w:rPr>
            </w:pPr>
            <w:r>
              <w:rPr>
                <w:rFonts w:hint="eastAsia"/>
                <w:color w:val="auto"/>
              </w:rPr>
              <w:t>900-249-08</w:t>
            </w:r>
          </w:p>
        </w:tc>
        <w:tc>
          <w:tcPr>
            <w:tcW w:w="381" w:type="pct"/>
            <w:vAlign w:val="center"/>
          </w:tcPr>
          <w:p w14:paraId="77E7A665">
            <w:pPr>
              <w:pStyle w:val="276"/>
              <w:rPr>
                <w:color w:val="auto"/>
              </w:rPr>
            </w:pPr>
            <w:r>
              <w:rPr>
                <w:rFonts w:hint="eastAsia"/>
                <w:color w:val="auto"/>
              </w:rPr>
              <w:t>12</w:t>
            </w:r>
          </w:p>
        </w:tc>
        <w:tc>
          <w:tcPr>
            <w:tcW w:w="457" w:type="pct"/>
            <w:vAlign w:val="center"/>
          </w:tcPr>
          <w:p w14:paraId="3E5941EF">
            <w:pPr>
              <w:pStyle w:val="276"/>
              <w:rPr>
                <w:color w:val="auto"/>
              </w:rPr>
            </w:pPr>
            <w:r>
              <w:rPr>
                <w:rFonts w:hint="eastAsia"/>
                <w:color w:val="auto"/>
              </w:rPr>
              <w:t>机械设备</w:t>
            </w:r>
          </w:p>
        </w:tc>
        <w:tc>
          <w:tcPr>
            <w:tcW w:w="303" w:type="pct"/>
            <w:vAlign w:val="center"/>
          </w:tcPr>
          <w:p w14:paraId="0E05E2A0">
            <w:pPr>
              <w:pStyle w:val="276"/>
              <w:rPr>
                <w:color w:val="auto"/>
              </w:rPr>
            </w:pPr>
            <w:r>
              <w:rPr>
                <w:rFonts w:hint="eastAsia"/>
                <w:color w:val="auto"/>
              </w:rPr>
              <w:t>固</w:t>
            </w:r>
          </w:p>
        </w:tc>
        <w:tc>
          <w:tcPr>
            <w:tcW w:w="380" w:type="pct"/>
            <w:vAlign w:val="center"/>
          </w:tcPr>
          <w:p w14:paraId="0DC83234">
            <w:pPr>
              <w:pStyle w:val="276"/>
              <w:rPr>
                <w:color w:val="auto"/>
              </w:rPr>
            </w:pPr>
            <w:r>
              <w:rPr>
                <w:rFonts w:hint="eastAsia"/>
                <w:color w:val="auto"/>
              </w:rPr>
              <w:t>油类</w:t>
            </w:r>
          </w:p>
        </w:tc>
        <w:tc>
          <w:tcPr>
            <w:tcW w:w="381" w:type="pct"/>
            <w:vAlign w:val="center"/>
          </w:tcPr>
          <w:p w14:paraId="5B4C6D70">
            <w:pPr>
              <w:pStyle w:val="276"/>
              <w:rPr>
                <w:color w:val="auto"/>
              </w:rPr>
            </w:pPr>
            <w:r>
              <w:rPr>
                <w:rFonts w:hint="eastAsia"/>
                <w:color w:val="auto"/>
              </w:rPr>
              <w:t>油类等</w:t>
            </w:r>
          </w:p>
        </w:tc>
        <w:tc>
          <w:tcPr>
            <w:tcW w:w="381" w:type="pct"/>
            <w:vAlign w:val="center"/>
          </w:tcPr>
          <w:p w14:paraId="50AE0A7B">
            <w:pPr>
              <w:pStyle w:val="276"/>
              <w:rPr>
                <w:color w:val="auto"/>
              </w:rPr>
            </w:pPr>
            <w:r>
              <w:rPr>
                <w:rFonts w:hint="eastAsia"/>
                <w:color w:val="auto"/>
              </w:rPr>
              <w:t>每天</w:t>
            </w:r>
          </w:p>
        </w:tc>
        <w:tc>
          <w:tcPr>
            <w:tcW w:w="383" w:type="pct"/>
            <w:vAlign w:val="center"/>
          </w:tcPr>
          <w:p w14:paraId="3D96A530">
            <w:pPr>
              <w:pStyle w:val="276"/>
              <w:rPr>
                <w:color w:val="auto"/>
              </w:rPr>
            </w:pPr>
            <w:r>
              <w:rPr>
                <w:rFonts w:hint="eastAsia"/>
                <w:color w:val="auto"/>
              </w:rPr>
              <w:t>T/I</w:t>
            </w:r>
          </w:p>
        </w:tc>
        <w:tc>
          <w:tcPr>
            <w:tcW w:w="437" w:type="pct"/>
            <w:vMerge w:val="continue"/>
            <w:vAlign w:val="center"/>
          </w:tcPr>
          <w:p w14:paraId="6B1D90C1">
            <w:pPr>
              <w:spacing w:line="240" w:lineRule="auto"/>
              <w:ind w:firstLine="0" w:firstLineChars="0"/>
              <w:jc w:val="center"/>
              <w:rPr>
                <w:color w:val="auto"/>
                <w:sz w:val="21"/>
                <w:lang w:val="zh-CN"/>
              </w:rPr>
            </w:pPr>
          </w:p>
        </w:tc>
      </w:tr>
      <w:tr w14:paraId="2148C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269" w:type="pct"/>
            <w:vAlign w:val="center"/>
          </w:tcPr>
          <w:p w14:paraId="1F36A493">
            <w:pPr>
              <w:pStyle w:val="276"/>
              <w:rPr>
                <w:rFonts w:hint="eastAsia" w:eastAsia="宋体"/>
                <w:color w:val="auto"/>
                <w:lang w:eastAsia="zh-CN"/>
              </w:rPr>
            </w:pPr>
            <w:r>
              <w:rPr>
                <w:rFonts w:hint="eastAsia"/>
                <w:color w:val="auto"/>
                <w:lang w:val="en-US" w:eastAsia="zh-CN"/>
              </w:rPr>
              <w:t>5</w:t>
            </w:r>
          </w:p>
        </w:tc>
        <w:tc>
          <w:tcPr>
            <w:tcW w:w="585" w:type="pct"/>
            <w:vAlign w:val="center"/>
          </w:tcPr>
          <w:p w14:paraId="70C6FCF0">
            <w:pPr>
              <w:pStyle w:val="276"/>
              <w:rPr>
                <w:bCs/>
                <w:color w:val="auto"/>
                <w:sz w:val="24"/>
              </w:rPr>
            </w:pPr>
            <w:r>
              <w:rPr>
                <w:rFonts w:hint="eastAsia"/>
                <w:color w:val="auto"/>
              </w:rPr>
              <w:t>废膜</w:t>
            </w:r>
          </w:p>
        </w:tc>
        <w:tc>
          <w:tcPr>
            <w:tcW w:w="374" w:type="pct"/>
            <w:vAlign w:val="center"/>
          </w:tcPr>
          <w:p w14:paraId="27E9F66F">
            <w:pPr>
              <w:widowControl/>
              <w:spacing w:line="240" w:lineRule="auto"/>
              <w:ind w:firstLine="0" w:firstLineChars="0"/>
              <w:jc w:val="center"/>
              <w:rPr>
                <w:color w:val="auto"/>
              </w:rPr>
            </w:pPr>
            <w:r>
              <w:rPr>
                <w:rFonts w:hint="eastAsia"/>
                <w:color w:val="auto"/>
                <w:sz w:val="21"/>
                <w:lang w:val="zh-CN"/>
              </w:rPr>
              <w:t>HW49</w:t>
            </w:r>
          </w:p>
        </w:tc>
        <w:tc>
          <w:tcPr>
            <w:tcW w:w="661" w:type="pct"/>
            <w:vAlign w:val="center"/>
          </w:tcPr>
          <w:p w14:paraId="20219E62">
            <w:pPr>
              <w:pStyle w:val="276"/>
              <w:rPr>
                <w:color w:val="auto"/>
              </w:rPr>
            </w:pPr>
            <w:r>
              <w:rPr>
                <w:rFonts w:hint="eastAsia"/>
                <w:color w:val="auto"/>
              </w:rPr>
              <w:t>900-0</w:t>
            </w:r>
            <w:r>
              <w:rPr>
                <w:rFonts w:hint="eastAsia"/>
                <w:color w:val="auto"/>
                <w:lang w:val="en-US"/>
              </w:rPr>
              <w:t>41</w:t>
            </w:r>
            <w:r>
              <w:rPr>
                <w:rFonts w:hint="eastAsia"/>
                <w:color w:val="auto"/>
              </w:rPr>
              <w:t>-49</w:t>
            </w:r>
          </w:p>
        </w:tc>
        <w:tc>
          <w:tcPr>
            <w:tcW w:w="381" w:type="pct"/>
            <w:vAlign w:val="center"/>
          </w:tcPr>
          <w:p w14:paraId="3B48B75E">
            <w:pPr>
              <w:pStyle w:val="276"/>
              <w:rPr>
                <w:color w:val="auto"/>
              </w:rPr>
            </w:pPr>
            <w:r>
              <w:rPr>
                <w:rFonts w:hint="eastAsia"/>
                <w:color w:val="auto"/>
              </w:rPr>
              <w:t>1</w:t>
            </w:r>
          </w:p>
        </w:tc>
        <w:tc>
          <w:tcPr>
            <w:tcW w:w="457" w:type="pct"/>
            <w:vAlign w:val="center"/>
          </w:tcPr>
          <w:p w14:paraId="6FAA1A25">
            <w:pPr>
              <w:pStyle w:val="276"/>
              <w:rPr>
                <w:color w:val="auto"/>
              </w:rPr>
            </w:pPr>
            <w:r>
              <w:rPr>
                <w:rFonts w:hint="eastAsia"/>
                <w:color w:val="auto"/>
              </w:rPr>
              <w:t>废水处理</w:t>
            </w:r>
          </w:p>
        </w:tc>
        <w:tc>
          <w:tcPr>
            <w:tcW w:w="303" w:type="pct"/>
            <w:vAlign w:val="center"/>
          </w:tcPr>
          <w:p w14:paraId="00B28CFB">
            <w:pPr>
              <w:pStyle w:val="276"/>
              <w:rPr>
                <w:color w:val="auto"/>
              </w:rPr>
            </w:pPr>
            <w:r>
              <w:rPr>
                <w:rFonts w:hint="eastAsia"/>
                <w:color w:val="auto"/>
              </w:rPr>
              <w:t>固</w:t>
            </w:r>
          </w:p>
        </w:tc>
        <w:tc>
          <w:tcPr>
            <w:tcW w:w="380" w:type="pct"/>
            <w:vAlign w:val="center"/>
          </w:tcPr>
          <w:p w14:paraId="0BB6EC71">
            <w:pPr>
              <w:pStyle w:val="276"/>
              <w:rPr>
                <w:color w:val="auto"/>
              </w:rPr>
            </w:pPr>
            <w:r>
              <w:rPr>
                <w:rFonts w:hint="eastAsia"/>
                <w:color w:val="auto"/>
              </w:rPr>
              <w:t>反渗透膜</w:t>
            </w:r>
          </w:p>
        </w:tc>
        <w:tc>
          <w:tcPr>
            <w:tcW w:w="381" w:type="pct"/>
            <w:vAlign w:val="center"/>
          </w:tcPr>
          <w:p w14:paraId="57C7E8B0">
            <w:pPr>
              <w:pStyle w:val="276"/>
              <w:rPr>
                <w:color w:val="auto"/>
              </w:rPr>
            </w:pPr>
            <w:r>
              <w:rPr>
                <w:rFonts w:hint="eastAsia"/>
                <w:color w:val="auto"/>
              </w:rPr>
              <w:t>酸碱等</w:t>
            </w:r>
          </w:p>
        </w:tc>
        <w:tc>
          <w:tcPr>
            <w:tcW w:w="381" w:type="pct"/>
            <w:vAlign w:val="center"/>
          </w:tcPr>
          <w:p w14:paraId="7EDF61CB">
            <w:pPr>
              <w:pStyle w:val="276"/>
              <w:rPr>
                <w:color w:val="auto"/>
              </w:rPr>
            </w:pPr>
            <w:r>
              <w:rPr>
                <w:rFonts w:hint="eastAsia"/>
                <w:color w:val="auto"/>
              </w:rPr>
              <w:t>每月</w:t>
            </w:r>
          </w:p>
        </w:tc>
        <w:tc>
          <w:tcPr>
            <w:tcW w:w="383" w:type="pct"/>
            <w:vAlign w:val="center"/>
          </w:tcPr>
          <w:p w14:paraId="4FB16ED7">
            <w:pPr>
              <w:pStyle w:val="276"/>
              <w:rPr>
                <w:color w:val="auto"/>
              </w:rPr>
            </w:pPr>
            <w:r>
              <w:rPr>
                <w:rFonts w:hint="eastAsia"/>
                <w:color w:val="auto"/>
              </w:rPr>
              <w:t>T/In</w:t>
            </w:r>
          </w:p>
        </w:tc>
        <w:tc>
          <w:tcPr>
            <w:tcW w:w="437" w:type="pct"/>
            <w:vMerge w:val="continue"/>
            <w:vAlign w:val="center"/>
          </w:tcPr>
          <w:p w14:paraId="33B30596">
            <w:pPr>
              <w:spacing w:line="240" w:lineRule="auto"/>
              <w:ind w:firstLine="0" w:firstLineChars="0"/>
              <w:jc w:val="center"/>
              <w:rPr>
                <w:color w:val="auto"/>
                <w:sz w:val="21"/>
                <w:lang w:val="zh-CN"/>
              </w:rPr>
            </w:pPr>
          </w:p>
        </w:tc>
      </w:tr>
    </w:tbl>
    <w:p w14:paraId="7E0F05D7">
      <w:pPr>
        <w:pStyle w:val="185"/>
        <w:rPr>
          <w:color w:val="auto"/>
        </w:rPr>
      </w:pPr>
    </w:p>
    <w:p w14:paraId="61DB7E76">
      <w:pPr>
        <w:pStyle w:val="185"/>
        <w:rPr>
          <w:color w:val="auto"/>
        </w:rPr>
        <w:sectPr>
          <w:pgSz w:w="16838" w:h="11906" w:orient="landscape"/>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pPr>
    </w:p>
    <w:p w14:paraId="0577EFC1">
      <w:pPr>
        <w:pStyle w:val="185"/>
        <w:rPr>
          <w:color w:val="auto"/>
        </w:rPr>
      </w:pPr>
      <w:r>
        <w:rPr>
          <w:color w:val="auto"/>
        </w:rPr>
        <w:t>表3.14-5</w:t>
      </w:r>
      <w:r>
        <w:rPr>
          <w:rFonts w:hint="eastAsia"/>
          <w:color w:val="auto"/>
          <w:lang w:val="en-US"/>
        </w:rPr>
        <w:t xml:space="preserve">  </w:t>
      </w:r>
      <w:r>
        <w:rPr>
          <w:rFonts w:hint="eastAsia"/>
          <w:color w:val="auto"/>
        </w:rPr>
        <w:t>项目固体废物产生及处置情况一览表</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9"/>
        <w:gridCol w:w="2865"/>
        <w:gridCol w:w="1596"/>
        <w:gridCol w:w="1730"/>
        <w:gridCol w:w="4169"/>
        <w:gridCol w:w="1021"/>
        <w:gridCol w:w="1258"/>
      </w:tblGrid>
      <w:tr w14:paraId="5E6A9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blHeader/>
        </w:trPr>
        <w:tc>
          <w:tcPr>
            <w:tcW w:w="555" w:type="pct"/>
            <w:vMerge w:val="restart"/>
            <w:vAlign w:val="center"/>
          </w:tcPr>
          <w:p w14:paraId="5B4C03BF">
            <w:pPr>
              <w:pStyle w:val="276"/>
              <w:rPr>
                <w:color w:val="auto"/>
              </w:rPr>
            </w:pPr>
            <w:r>
              <w:rPr>
                <w:rFonts w:hint="eastAsia"/>
                <w:color w:val="auto"/>
              </w:rPr>
              <w:t>来源</w:t>
            </w:r>
          </w:p>
        </w:tc>
        <w:tc>
          <w:tcPr>
            <w:tcW w:w="1007" w:type="pct"/>
            <w:vMerge w:val="restart"/>
            <w:vAlign w:val="center"/>
          </w:tcPr>
          <w:p w14:paraId="1391AC8C">
            <w:pPr>
              <w:pStyle w:val="276"/>
              <w:rPr>
                <w:color w:val="auto"/>
              </w:rPr>
            </w:pPr>
            <w:r>
              <w:rPr>
                <w:rFonts w:hint="eastAsia"/>
                <w:color w:val="auto"/>
              </w:rPr>
              <w:t>固体废物名称</w:t>
            </w:r>
          </w:p>
        </w:tc>
        <w:tc>
          <w:tcPr>
            <w:tcW w:w="561" w:type="pct"/>
            <w:vMerge w:val="restart"/>
            <w:vAlign w:val="center"/>
          </w:tcPr>
          <w:p w14:paraId="6EFE2119">
            <w:pPr>
              <w:pStyle w:val="276"/>
              <w:rPr>
                <w:color w:val="auto"/>
              </w:rPr>
            </w:pPr>
            <w:r>
              <w:rPr>
                <w:rFonts w:hint="eastAsia"/>
                <w:color w:val="auto"/>
              </w:rPr>
              <w:t>性质</w:t>
            </w:r>
          </w:p>
        </w:tc>
        <w:tc>
          <w:tcPr>
            <w:tcW w:w="608" w:type="pct"/>
            <w:vMerge w:val="restart"/>
            <w:vAlign w:val="center"/>
          </w:tcPr>
          <w:p w14:paraId="337BC0D7">
            <w:pPr>
              <w:pStyle w:val="276"/>
              <w:rPr>
                <w:color w:val="auto"/>
              </w:rPr>
            </w:pPr>
            <w:r>
              <w:rPr>
                <w:rFonts w:hint="eastAsia"/>
                <w:color w:val="auto"/>
              </w:rPr>
              <w:t>固体废物</w:t>
            </w:r>
          </w:p>
          <w:p w14:paraId="03B284E2">
            <w:pPr>
              <w:pStyle w:val="276"/>
              <w:rPr>
                <w:color w:val="auto"/>
              </w:rPr>
            </w:pPr>
            <w:r>
              <w:rPr>
                <w:rFonts w:hint="eastAsia"/>
                <w:color w:val="auto"/>
              </w:rPr>
              <w:t>产生量（t/a）</w:t>
            </w:r>
          </w:p>
        </w:tc>
        <w:tc>
          <w:tcPr>
            <w:tcW w:w="2266" w:type="pct"/>
            <w:gridSpan w:val="3"/>
            <w:vAlign w:val="center"/>
          </w:tcPr>
          <w:p w14:paraId="1BA20031">
            <w:pPr>
              <w:pStyle w:val="276"/>
              <w:rPr>
                <w:color w:val="auto"/>
              </w:rPr>
            </w:pPr>
            <w:r>
              <w:rPr>
                <w:rFonts w:hint="eastAsia"/>
                <w:color w:val="auto"/>
              </w:rPr>
              <w:t>处置方式及数量（t/a）</w:t>
            </w:r>
          </w:p>
        </w:tc>
      </w:tr>
      <w:tr w14:paraId="4A525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blHeader/>
        </w:trPr>
        <w:tc>
          <w:tcPr>
            <w:tcW w:w="555" w:type="pct"/>
            <w:vMerge w:val="continue"/>
            <w:vAlign w:val="center"/>
          </w:tcPr>
          <w:p w14:paraId="4AD0FA3D">
            <w:pPr>
              <w:pStyle w:val="276"/>
              <w:rPr>
                <w:color w:val="auto"/>
              </w:rPr>
            </w:pPr>
          </w:p>
        </w:tc>
        <w:tc>
          <w:tcPr>
            <w:tcW w:w="1007" w:type="pct"/>
            <w:vMerge w:val="continue"/>
            <w:vAlign w:val="center"/>
          </w:tcPr>
          <w:p w14:paraId="61B4F6E7">
            <w:pPr>
              <w:pStyle w:val="276"/>
              <w:rPr>
                <w:color w:val="auto"/>
              </w:rPr>
            </w:pPr>
          </w:p>
        </w:tc>
        <w:tc>
          <w:tcPr>
            <w:tcW w:w="561" w:type="pct"/>
            <w:vMerge w:val="continue"/>
            <w:vAlign w:val="center"/>
          </w:tcPr>
          <w:p w14:paraId="3257BC1D">
            <w:pPr>
              <w:pStyle w:val="276"/>
              <w:rPr>
                <w:color w:val="auto"/>
              </w:rPr>
            </w:pPr>
          </w:p>
        </w:tc>
        <w:tc>
          <w:tcPr>
            <w:tcW w:w="608" w:type="pct"/>
            <w:vMerge w:val="continue"/>
            <w:vAlign w:val="center"/>
          </w:tcPr>
          <w:p w14:paraId="16320349">
            <w:pPr>
              <w:pStyle w:val="276"/>
              <w:rPr>
                <w:color w:val="auto"/>
              </w:rPr>
            </w:pPr>
          </w:p>
        </w:tc>
        <w:tc>
          <w:tcPr>
            <w:tcW w:w="1465" w:type="pct"/>
            <w:vAlign w:val="center"/>
          </w:tcPr>
          <w:p w14:paraId="6F73732F">
            <w:pPr>
              <w:pStyle w:val="276"/>
              <w:rPr>
                <w:color w:val="auto"/>
              </w:rPr>
            </w:pPr>
            <w:r>
              <w:rPr>
                <w:rFonts w:hint="eastAsia"/>
                <w:color w:val="auto"/>
              </w:rPr>
              <w:t>方式</w:t>
            </w:r>
          </w:p>
        </w:tc>
        <w:tc>
          <w:tcPr>
            <w:tcW w:w="359" w:type="pct"/>
            <w:vAlign w:val="center"/>
          </w:tcPr>
          <w:p w14:paraId="359D3C7E">
            <w:pPr>
              <w:pStyle w:val="276"/>
              <w:rPr>
                <w:color w:val="auto"/>
              </w:rPr>
            </w:pPr>
            <w:r>
              <w:rPr>
                <w:rFonts w:hint="eastAsia"/>
                <w:color w:val="auto"/>
              </w:rPr>
              <w:t>数量</w:t>
            </w:r>
          </w:p>
        </w:tc>
        <w:tc>
          <w:tcPr>
            <w:tcW w:w="442" w:type="pct"/>
            <w:vAlign w:val="center"/>
          </w:tcPr>
          <w:p w14:paraId="78C42E2C">
            <w:pPr>
              <w:pStyle w:val="276"/>
              <w:rPr>
                <w:color w:val="auto"/>
              </w:rPr>
            </w:pPr>
            <w:r>
              <w:rPr>
                <w:rFonts w:hint="eastAsia"/>
                <w:color w:val="auto"/>
              </w:rPr>
              <w:t>占总量%</w:t>
            </w:r>
          </w:p>
        </w:tc>
      </w:tr>
      <w:tr w14:paraId="34624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555" w:type="pct"/>
            <w:vAlign w:val="center"/>
          </w:tcPr>
          <w:p w14:paraId="489C7DA5">
            <w:pPr>
              <w:pStyle w:val="276"/>
              <w:rPr>
                <w:color w:val="auto"/>
              </w:rPr>
            </w:pPr>
            <w:r>
              <w:rPr>
                <w:rFonts w:hint="eastAsia"/>
                <w:color w:val="auto"/>
              </w:rPr>
              <w:t>原辅料使用</w:t>
            </w:r>
          </w:p>
        </w:tc>
        <w:tc>
          <w:tcPr>
            <w:tcW w:w="1007" w:type="pct"/>
            <w:vAlign w:val="center"/>
          </w:tcPr>
          <w:p w14:paraId="2F0EE5A2">
            <w:pPr>
              <w:pStyle w:val="276"/>
              <w:rPr>
                <w:color w:val="auto"/>
              </w:rPr>
            </w:pPr>
            <w:r>
              <w:rPr>
                <w:rFonts w:hint="eastAsia"/>
                <w:color w:val="auto"/>
              </w:rPr>
              <w:t>废包装材料</w:t>
            </w:r>
          </w:p>
        </w:tc>
        <w:tc>
          <w:tcPr>
            <w:tcW w:w="561" w:type="pct"/>
            <w:vAlign w:val="center"/>
          </w:tcPr>
          <w:p w14:paraId="54F37E48">
            <w:pPr>
              <w:pStyle w:val="276"/>
              <w:rPr>
                <w:color w:val="auto"/>
              </w:rPr>
            </w:pPr>
            <w:r>
              <w:rPr>
                <w:rFonts w:hint="eastAsia"/>
                <w:color w:val="auto"/>
              </w:rPr>
              <w:t>HW49</w:t>
            </w:r>
          </w:p>
        </w:tc>
        <w:tc>
          <w:tcPr>
            <w:tcW w:w="608" w:type="pct"/>
            <w:vAlign w:val="center"/>
          </w:tcPr>
          <w:p w14:paraId="7E3F4180">
            <w:pPr>
              <w:pStyle w:val="276"/>
              <w:rPr>
                <w:color w:val="auto"/>
              </w:rPr>
            </w:pPr>
            <w:r>
              <w:rPr>
                <w:rFonts w:hint="eastAsia"/>
                <w:color w:val="auto"/>
              </w:rPr>
              <w:t>1</w:t>
            </w:r>
          </w:p>
        </w:tc>
        <w:tc>
          <w:tcPr>
            <w:tcW w:w="1465" w:type="pct"/>
            <w:vAlign w:val="center"/>
          </w:tcPr>
          <w:p w14:paraId="66A8FF03">
            <w:pPr>
              <w:pStyle w:val="276"/>
              <w:rPr>
                <w:color w:val="auto"/>
              </w:rPr>
            </w:pPr>
            <w:r>
              <w:rPr>
                <w:rFonts w:hint="eastAsia"/>
                <w:color w:val="auto"/>
              </w:rPr>
              <w:t>交有资质单位收运和处置</w:t>
            </w:r>
          </w:p>
        </w:tc>
        <w:tc>
          <w:tcPr>
            <w:tcW w:w="359" w:type="pct"/>
            <w:vAlign w:val="center"/>
          </w:tcPr>
          <w:p w14:paraId="327CDA59">
            <w:pPr>
              <w:pStyle w:val="276"/>
              <w:rPr>
                <w:color w:val="auto"/>
              </w:rPr>
            </w:pPr>
            <w:r>
              <w:rPr>
                <w:rFonts w:hint="eastAsia"/>
                <w:color w:val="auto"/>
              </w:rPr>
              <w:t>1</w:t>
            </w:r>
          </w:p>
        </w:tc>
        <w:tc>
          <w:tcPr>
            <w:tcW w:w="442" w:type="pct"/>
            <w:vAlign w:val="center"/>
          </w:tcPr>
          <w:p w14:paraId="62E1C4B0">
            <w:pPr>
              <w:pStyle w:val="276"/>
              <w:rPr>
                <w:color w:val="auto"/>
              </w:rPr>
            </w:pPr>
            <w:r>
              <w:rPr>
                <w:rFonts w:hint="eastAsia"/>
                <w:color w:val="auto"/>
              </w:rPr>
              <w:t>100</w:t>
            </w:r>
          </w:p>
        </w:tc>
      </w:tr>
      <w:tr w14:paraId="2189C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555" w:type="pct"/>
            <w:vAlign w:val="center"/>
          </w:tcPr>
          <w:p w14:paraId="30FDF942">
            <w:pPr>
              <w:pStyle w:val="276"/>
              <w:rPr>
                <w:color w:val="auto"/>
              </w:rPr>
            </w:pPr>
            <w:r>
              <w:rPr>
                <w:rFonts w:hint="eastAsia"/>
                <w:color w:val="auto"/>
              </w:rPr>
              <w:t>原辅料使用</w:t>
            </w:r>
          </w:p>
        </w:tc>
        <w:tc>
          <w:tcPr>
            <w:tcW w:w="1007" w:type="pct"/>
            <w:vAlign w:val="center"/>
          </w:tcPr>
          <w:p w14:paraId="3904A212">
            <w:pPr>
              <w:pStyle w:val="276"/>
              <w:rPr>
                <w:color w:val="auto"/>
              </w:rPr>
            </w:pPr>
            <w:r>
              <w:rPr>
                <w:rFonts w:hint="eastAsia"/>
                <w:color w:val="auto"/>
              </w:rPr>
              <w:t>废包装材料</w:t>
            </w:r>
          </w:p>
        </w:tc>
        <w:tc>
          <w:tcPr>
            <w:tcW w:w="561" w:type="pct"/>
            <w:vAlign w:val="center"/>
          </w:tcPr>
          <w:p w14:paraId="24525DE2">
            <w:pPr>
              <w:pStyle w:val="276"/>
              <w:rPr>
                <w:color w:val="auto"/>
              </w:rPr>
            </w:pPr>
            <w:r>
              <w:rPr>
                <w:rFonts w:hint="eastAsia"/>
                <w:color w:val="auto"/>
              </w:rPr>
              <w:t>S17</w:t>
            </w:r>
          </w:p>
        </w:tc>
        <w:tc>
          <w:tcPr>
            <w:tcW w:w="608" w:type="pct"/>
            <w:vAlign w:val="center"/>
          </w:tcPr>
          <w:p w14:paraId="2E95C106">
            <w:pPr>
              <w:pStyle w:val="276"/>
              <w:rPr>
                <w:color w:val="auto"/>
              </w:rPr>
            </w:pPr>
            <w:r>
              <w:rPr>
                <w:rFonts w:hint="eastAsia"/>
                <w:color w:val="auto"/>
              </w:rPr>
              <w:t>5</w:t>
            </w:r>
          </w:p>
        </w:tc>
        <w:tc>
          <w:tcPr>
            <w:tcW w:w="1465" w:type="pct"/>
            <w:vAlign w:val="center"/>
          </w:tcPr>
          <w:p w14:paraId="676E20A8">
            <w:pPr>
              <w:pStyle w:val="276"/>
              <w:rPr>
                <w:color w:val="auto"/>
              </w:rPr>
            </w:pPr>
            <w:r>
              <w:rPr>
                <w:rFonts w:hint="eastAsia"/>
                <w:color w:val="auto"/>
              </w:rPr>
              <w:t>交有处置能力单位综合利用</w:t>
            </w:r>
          </w:p>
        </w:tc>
        <w:tc>
          <w:tcPr>
            <w:tcW w:w="359" w:type="pct"/>
            <w:vAlign w:val="center"/>
          </w:tcPr>
          <w:p w14:paraId="68781E89">
            <w:pPr>
              <w:pStyle w:val="276"/>
              <w:rPr>
                <w:color w:val="auto"/>
              </w:rPr>
            </w:pPr>
            <w:r>
              <w:rPr>
                <w:rFonts w:hint="eastAsia"/>
                <w:color w:val="auto"/>
              </w:rPr>
              <w:t>5</w:t>
            </w:r>
          </w:p>
        </w:tc>
        <w:tc>
          <w:tcPr>
            <w:tcW w:w="442" w:type="pct"/>
            <w:vAlign w:val="center"/>
          </w:tcPr>
          <w:p w14:paraId="2FA52799">
            <w:pPr>
              <w:pStyle w:val="276"/>
              <w:rPr>
                <w:color w:val="auto"/>
              </w:rPr>
            </w:pPr>
            <w:r>
              <w:rPr>
                <w:rFonts w:hint="eastAsia"/>
                <w:color w:val="auto"/>
              </w:rPr>
              <w:t>100</w:t>
            </w:r>
          </w:p>
        </w:tc>
      </w:tr>
      <w:tr w14:paraId="38E70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555" w:type="pct"/>
            <w:vAlign w:val="center"/>
          </w:tcPr>
          <w:p w14:paraId="6791AFE1">
            <w:pPr>
              <w:pStyle w:val="276"/>
              <w:rPr>
                <w:color w:val="auto"/>
              </w:rPr>
            </w:pPr>
            <w:r>
              <w:rPr>
                <w:rFonts w:hint="eastAsia"/>
                <w:color w:val="auto"/>
              </w:rPr>
              <w:t>废气处理</w:t>
            </w:r>
          </w:p>
        </w:tc>
        <w:tc>
          <w:tcPr>
            <w:tcW w:w="1007" w:type="pct"/>
            <w:vAlign w:val="center"/>
          </w:tcPr>
          <w:p w14:paraId="656C2C41">
            <w:pPr>
              <w:pStyle w:val="276"/>
              <w:rPr>
                <w:color w:val="auto"/>
              </w:rPr>
            </w:pPr>
            <w:r>
              <w:rPr>
                <w:rFonts w:hint="eastAsia"/>
                <w:color w:val="auto"/>
              </w:rPr>
              <w:t>废活性炭</w:t>
            </w:r>
          </w:p>
        </w:tc>
        <w:tc>
          <w:tcPr>
            <w:tcW w:w="561" w:type="pct"/>
            <w:vAlign w:val="center"/>
          </w:tcPr>
          <w:p w14:paraId="44BAD891">
            <w:pPr>
              <w:widowControl/>
              <w:spacing w:line="240" w:lineRule="auto"/>
              <w:ind w:firstLine="0" w:firstLineChars="0"/>
              <w:jc w:val="center"/>
              <w:rPr>
                <w:color w:val="auto"/>
              </w:rPr>
            </w:pPr>
            <w:r>
              <w:rPr>
                <w:rFonts w:hint="eastAsia"/>
                <w:color w:val="auto"/>
                <w:sz w:val="21"/>
                <w:lang w:val="zh-CN"/>
              </w:rPr>
              <w:t>HW49</w:t>
            </w:r>
          </w:p>
        </w:tc>
        <w:tc>
          <w:tcPr>
            <w:tcW w:w="608" w:type="pct"/>
            <w:vAlign w:val="center"/>
          </w:tcPr>
          <w:p w14:paraId="2BED9C36">
            <w:pPr>
              <w:pStyle w:val="276"/>
              <w:rPr>
                <w:color w:val="auto"/>
              </w:rPr>
            </w:pPr>
            <w:r>
              <w:rPr>
                <w:rFonts w:hint="eastAsia"/>
                <w:color w:val="auto"/>
              </w:rPr>
              <w:t>2.5</w:t>
            </w:r>
          </w:p>
        </w:tc>
        <w:tc>
          <w:tcPr>
            <w:tcW w:w="1465" w:type="pct"/>
            <w:vAlign w:val="center"/>
          </w:tcPr>
          <w:p w14:paraId="016DD74F">
            <w:pPr>
              <w:pStyle w:val="276"/>
              <w:rPr>
                <w:color w:val="auto"/>
              </w:rPr>
            </w:pPr>
            <w:r>
              <w:rPr>
                <w:rFonts w:hint="eastAsia"/>
                <w:color w:val="auto"/>
              </w:rPr>
              <w:t>交有资质单位收运和处置</w:t>
            </w:r>
          </w:p>
        </w:tc>
        <w:tc>
          <w:tcPr>
            <w:tcW w:w="359" w:type="pct"/>
            <w:vAlign w:val="center"/>
          </w:tcPr>
          <w:p w14:paraId="6749184F">
            <w:pPr>
              <w:pStyle w:val="276"/>
              <w:rPr>
                <w:color w:val="auto"/>
              </w:rPr>
            </w:pPr>
            <w:r>
              <w:rPr>
                <w:rFonts w:hint="eastAsia"/>
                <w:color w:val="auto"/>
              </w:rPr>
              <w:t>2.5</w:t>
            </w:r>
          </w:p>
        </w:tc>
        <w:tc>
          <w:tcPr>
            <w:tcW w:w="442" w:type="pct"/>
            <w:vAlign w:val="center"/>
          </w:tcPr>
          <w:p w14:paraId="650E3CE8">
            <w:pPr>
              <w:pStyle w:val="276"/>
              <w:rPr>
                <w:color w:val="auto"/>
              </w:rPr>
            </w:pPr>
            <w:r>
              <w:rPr>
                <w:rFonts w:hint="eastAsia"/>
                <w:color w:val="auto"/>
              </w:rPr>
              <w:t>100</w:t>
            </w:r>
          </w:p>
        </w:tc>
      </w:tr>
      <w:tr w14:paraId="5CDE7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555" w:type="pct"/>
            <w:vAlign w:val="center"/>
          </w:tcPr>
          <w:p w14:paraId="53773128">
            <w:pPr>
              <w:pStyle w:val="276"/>
              <w:rPr>
                <w:color w:val="auto"/>
              </w:rPr>
            </w:pPr>
            <w:r>
              <w:rPr>
                <w:rFonts w:hint="eastAsia"/>
                <w:color w:val="auto"/>
              </w:rPr>
              <w:t>实验室</w:t>
            </w:r>
          </w:p>
        </w:tc>
        <w:tc>
          <w:tcPr>
            <w:tcW w:w="1007" w:type="pct"/>
            <w:vAlign w:val="center"/>
          </w:tcPr>
          <w:p w14:paraId="60ECF113">
            <w:pPr>
              <w:pStyle w:val="276"/>
              <w:rPr>
                <w:color w:val="auto"/>
              </w:rPr>
            </w:pPr>
            <w:r>
              <w:rPr>
                <w:rFonts w:hint="eastAsia"/>
                <w:color w:val="auto"/>
              </w:rPr>
              <w:t>实验室废物</w:t>
            </w:r>
          </w:p>
        </w:tc>
        <w:tc>
          <w:tcPr>
            <w:tcW w:w="561" w:type="pct"/>
            <w:vAlign w:val="center"/>
          </w:tcPr>
          <w:p w14:paraId="379C7797">
            <w:pPr>
              <w:widowControl/>
              <w:spacing w:line="240" w:lineRule="auto"/>
              <w:ind w:firstLine="0" w:firstLineChars="0"/>
              <w:jc w:val="center"/>
              <w:rPr>
                <w:color w:val="auto"/>
              </w:rPr>
            </w:pPr>
            <w:r>
              <w:rPr>
                <w:rFonts w:hint="eastAsia"/>
                <w:color w:val="auto"/>
                <w:sz w:val="21"/>
                <w:lang w:val="zh-CN"/>
              </w:rPr>
              <w:t>HW49</w:t>
            </w:r>
          </w:p>
        </w:tc>
        <w:tc>
          <w:tcPr>
            <w:tcW w:w="608" w:type="pct"/>
            <w:vAlign w:val="center"/>
          </w:tcPr>
          <w:p w14:paraId="2F282936">
            <w:pPr>
              <w:pStyle w:val="276"/>
              <w:rPr>
                <w:color w:val="auto"/>
                <w:lang w:val="en-US"/>
              </w:rPr>
            </w:pPr>
            <w:r>
              <w:rPr>
                <w:rFonts w:hint="eastAsia"/>
                <w:color w:val="auto"/>
                <w:lang w:val="en-US"/>
              </w:rPr>
              <w:t>3.5</w:t>
            </w:r>
          </w:p>
        </w:tc>
        <w:tc>
          <w:tcPr>
            <w:tcW w:w="1465" w:type="pct"/>
            <w:vAlign w:val="center"/>
          </w:tcPr>
          <w:p w14:paraId="5F1E9B1B">
            <w:pPr>
              <w:pStyle w:val="276"/>
              <w:rPr>
                <w:color w:val="auto"/>
              </w:rPr>
            </w:pPr>
            <w:r>
              <w:rPr>
                <w:rFonts w:hint="eastAsia"/>
                <w:color w:val="auto"/>
              </w:rPr>
              <w:t>交有资质单位收运和处置</w:t>
            </w:r>
          </w:p>
        </w:tc>
        <w:tc>
          <w:tcPr>
            <w:tcW w:w="359" w:type="pct"/>
            <w:vAlign w:val="center"/>
          </w:tcPr>
          <w:p w14:paraId="6548E621">
            <w:pPr>
              <w:pStyle w:val="276"/>
              <w:rPr>
                <w:color w:val="auto"/>
                <w:lang w:val="en-US"/>
              </w:rPr>
            </w:pPr>
            <w:r>
              <w:rPr>
                <w:rFonts w:hint="eastAsia"/>
                <w:color w:val="auto"/>
                <w:lang w:val="en-US"/>
              </w:rPr>
              <w:t>3.5</w:t>
            </w:r>
          </w:p>
        </w:tc>
        <w:tc>
          <w:tcPr>
            <w:tcW w:w="442" w:type="pct"/>
            <w:vAlign w:val="center"/>
          </w:tcPr>
          <w:p w14:paraId="40AFE95C">
            <w:pPr>
              <w:pStyle w:val="276"/>
              <w:rPr>
                <w:color w:val="auto"/>
              </w:rPr>
            </w:pPr>
            <w:r>
              <w:rPr>
                <w:rFonts w:hint="eastAsia"/>
                <w:color w:val="auto"/>
              </w:rPr>
              <w:t>100</w:t>
            </w:r>
          </w:p>
        </w:tc>
      </w:tr>
      <w:tr w14:paraId="7060C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555" w:type="pct"/>
            <w:vAlign w:val="center"/>
          </w:tcPr>
          <w:p w14:paraId="1068A358">
            <w:pPr>
              <w:pStyle w:val="276"/>
              <w:rPr>
                <w:color w:val="auto"/>
              </w:rPr>
            </w:pPr>
            <w:r>
              <w:rPr>
                <w:rFonts w:hint="eastAsia"/>
                <w:color w:val="auto"/>
              </w:rPr>
              <w:t>机械设备</w:t>
            </w:r>
          </w:p>
        </w:tc>
        <w:tc>
          <w:tcPr>
            <w:tcW w:w="1007" w:type="pct"/>
            <w:vAlign w:val="center"/>
          </w:tcPr>
          <w:p w14:paraId="64C21EA6">
            <w:pPr>
              <w:pStyle w:val="276"/>
              <w:rPr>
                <w:color w:val="auto"/>
              </w:rPr>
            </w:pPr>
            <w:r>
              <w:rPr>
                <w:rFonts w:hint="eastAsia"/>
                <w:color w:val="auto"/>
              </w:rPr>
              <w:t>废油类、废油桶及含油废物</w:t>
            </w:r>
          </w:p>
        </w:tc>
        <w:tc>
          <w:tcPr>
            <w:tcW w:w="561" w:type="pct"/>
            <w:vAlign w:val="center"/>
          </w:tcPr>
          <w:p w14:paraId="7AF1C2F0">
            <w:pPr>
              <w:widowControl/>
              <w:spacing w:line="240" w:lineRule="auto"/>
              <w:ind w:firstLine="0" w:firstLineChars="0"/>
              <w:jc w:val="center"/>
              <w:rPr>
                <w:color w:val="auto"/>
                <w:sz w:val="21"/>
                <w:lang w:val="zh-CN"/>
              </w:rPr>
            </w:pPr>
            <w:r>
              <w:rPr>
                <w:rFonts w:hint="eastAsia"/>
                <w:color w:val="auto"/>
                <w:sz w:val="21"/>
                <w:lang w:val="zh-CN"/>
              </w:rPr>
              <w:t>HW08</w:t>
            </w:r>
          </w:p>
        </w:tc>
        <w:tc>
          <w:tcPr>
            <w:tcW w:w="608" w:type="pct"/>
            <w:vAlign w:val="center"/>
          </w:tcPr>
          <w:p w14:paraId="0BDBEAB3">
            <w:pPr>
              <w:pStyle w:val="276"/>
              <w:rPr>
                <w:color w:val="auto"/>
              </w:rPr>
            </w:pPr>
            <w:r>
              <w:rPr>
                <w:rFonts w:hint="eastAsia"/>
                <w:color w:val="auto"/>
              </w:rPr>
              <w:t>12</w:t>
            </w:r>
          </w:p>
        </w:tc>
        <w:tc>
          <w:tcPr>
            <w:tcW w:w="1465" w:type="pct"/>
            <w:vAlign w:val="center"/>
          </w:tcPr>
          <w:p w14:paraId="78B7BA3D">
            <w:pPr>
              <w:pStyle w:val="276"/>
              <w:rPr>
                <w:color w:val="auto"/>
              </w:rPr>
            </w:pPr>
            <w:r>
              <w:rPr>
                <w:rFonts w:hint="eastAsia"/>
                <w:color w:val="auto"/>
              </w:rPr>
              <w:t>交有资质单位收运和处置</w:t>
            </w:r>
          </w:p>
        </w:tc>
        <w:tc>
          <w:tcPr>
            <w:tcW w:w="359" w:type="pct"/>
            <w:vAlign w:val="center"/>
          </w:tcPr>
          <w:p w14:paraId="405504E7">
            <w:pPr>
              <w:pStyle w:val="276"/>
              <w:rPr>
                <w:color w:val="auto"/>
              </w:rPr>
            </w:pPr>
            <w:r>
              <w:rPr>
                <w:rFonts w:hint="eastAsia"/>
                <w:color w:val="auto"/>
              </w:rPr>
              <w:t>12</w:t>
            </w:r>
          </w:p>
        </w:tc>
        <w:tc>
          <w:tcPr>
            <w:tcW w:w="442" w:type="pct"/>
            <w:vAlign w:val="center"/>
          </w:tcPr>
          <w:p w14:paraId="102B3207">
            <w:pPr>
              <w:pStyle w:val="276"/>
              <w:rPr>
                <w:color w:val="auto"/>
              </w:rPr>
            </w:pPr>
            <w:r>
              <w:rPr>
                <w:rFonts w:hint="eastAsia"/>
                <w:color w:val="auto"/>
              </w:rPr>
              <w:t>100</w:t>
            </w:r>
          </w:p>
        </w:tc>
      </w:tr>
      <w:tr w14:paraId="075FA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555" w:type="pct"/>
            <w:vAlign w:val="center"/>
          </w:tcPr>
          <w:p w14:paraId="1B58F6EB">
            <w:pPr>
              <w:pStyle w:val="276"/>
              <w:rPr>
                <w:color w:val="auto"/>
              </w:rPr>
            </w:pPr>
            <w:r>
              <w:rPr>
                <w:rFonts w:hint="eastAsia"/>
                <w:color w:val="auto"/>
              </w:rPr>
              <w:t>废水处理</w:t>
            </w:r>
          </w:p>
        </w:tc>
        <w:tc>
          <w:tcPr>
            <w:tcW w:w="1007" w:type="pct"/>
            <w:vAlign w:val="center"/>
          </w:tcPr>
          <w:p w14:paraId="3F662EE6">
            <w:pPr>
              <w:pStyle w:val="276"/>
              <w:rPr>
                <w:bCs/>
                <w:color w:val="auto"/>
                <w:sz w:val="24"/>
              </w:rPr>
            </w:pPr>
            <w:r>
              <w:rPr>
                <w:rFonts w:hint="eastAsia"/>
                <w:color w:val="auto"/>
              </w:rPr>
              <w:t>废膜</w:t>
            </w:r>
          </w:p>
        </w:tc>
        <w:tc>
          <w:tcPr>
            <w:tcW w:w="561" w:type="pct"/>
            <w:vAlign w:val="center"/>
          </w:tcPr>
          <w:p w14:paraId="45252D19">
            <w:pPr>
              <w:widowControl/>
              <w:spacing w:line="240" w:lineRule="auto"/>
              <w:ind w:firstLine="0" w:firstLineChars="0"/>
              <w:jc w:val="center"/>
              <w:rPr>
                <w:color w:val="auto"/>
              </w:rPr>
            </w:pPr>
            <w:r>
              <w:rPr>
                <w:rFonts w:hint="eastAsia"/>
                <w:color w:val="auto"/>
                <w:sz w:val="21"/>
                <w:lang w:val="zh-CN"/>
              </w:rPr>
              <w:t>HW49</w:t>
            </w:r>
          </w:p>
        </w:tc>
        <w:tc>
          <w:tcPr>
            <w:tcW w:w="608" w:type="pct"/>
            <w:vAlign w:val="center"/>
          </w:tcPr>
          <w:p w14:paraId="342B5587">
            <w:pPr>
              <w:pStyle w:val="276"/>
              <w:rPr>
                <w:color w:val="auto"/>
              </w:rPr>
            </w:pPr>
            <w:r>
              <w:rPr>
                <w:rFonts w:hint="eastAsia"/>
                <w:color w:val="auto"/>
              </w:rPr>
              <w:t>1</w:t>
            </w:r>
          </w:p>
        </w:tc>
        <w:tc>
          <w:tcPr>
            <w:tcW w:w="1465" w:type="pct"/>
            <w:vAlign w:val="center"/>
          </w:tcPr>
          <w:p w14:paraId="77BDD740">
            <w:pPr>
              <w:pStyle w:val="276"/>
              <w:rPr>
                <w:color w:val="auto"/>
              </w:rPr>
            </w:pPr>
            <w:r>
              <w:rPr>
                <w:rFonts w:hint="eastAsia"/>
                <w:color w:val="auto"/>
              </w:rPr>
              <w:t>交有资质单位收运和处置</w:t>
            </w:r>
          </w:p>
        </w:tc>
        <w:tc>
          <w:tcPr>
            <w:tcW w:w="359" w:type="pct"/>
            <w:vAlign w:val="center"/>
          </w:tcPr>
          <w:p w14:paraId="4E75E622">
            <w:pPr>
              <w:pStyle w:val="276"/>
              <w:rPr>
                <w:color w:val="auto"/>
              </w:rPr>
            </w:pPr>
            <w:r>
              <w:rPr>
                <w:rFonts w:hint="eastAsia"/>
                <w:color w:val="auto"/>
              </w:rPr>
              <w:t>1</w:t>
            </w:r>
          </w:p>
        </w:tc>
        <w:tc>
          <w:tcPr>
            <w:tcW w:w="442" w:type="pct"/>
            <w:vAlign w:val="center"/>
          </w:tcPr>
          <w:p w14:paraId="618D0952">
            <w:pPr>
              <w:pStyle w:val="276"/>
              <w:rPr>
                <w:color w:val="auto"/>
              </w:rPr>
            </w:pPr>
            <w:r>
              <w:rPr>
                <w:rFonts w:hint="eastAsia"/>
                <w:color w:val="auto"/>
              </w:rPr>
              <w:t>100</w:t>
            </w:r>
          </w:p>
        </w:tc>
      </w:tr>
      <w:tr w14:paraId="2BD87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555" w:type="pct"/>
            <w:vAlign w:val="center"/>
          </w:tcPr>
          <w:p w14:paraId="00F130BD">
            <w:pPr>
              <w:pStyle w:val="276"/>
              <w:rPr>
                <w:color w:val="auto"/>
              </w:rPr>
            </w:pPr>
            <w:r>
              <w:rPr>
                <w:rFonts w:hint="eastAsia"/>
                <w:color w:val="auto"/>
              </w:rPr>
              <w:t>废水处理</w:t>
            </w:r>
          </w:p>
        </w:tc>
        <w:tc>
          <w:tcPr>
            <w:tcW w:w="1007" w:type="pct"/>
            <w:vAlign w:val="center"/>
          </w:tcPr>
          <w:p w14:paraId="1687541A">
            <w:pPr>
              <w:pStyle w:val="276"/>
              <w:rPr>
                <w:color w:val="auto"/>
              </w:rPr>
            </w:pPr>
            <w:r>
              <w:rPr>
                <w:rFonts w:hint="eastAsia"/>
                <w:color w:val="auto"/>
              </w:rPr>
              <w:t>污泥</w:t>
            </w:r>
          </w:p>
        </w:tc>
        <w:tc>
          <w:tcPr>
            <w:tcW w:w="561" w:type="pct"/>
            <w:vAlign w:val="center"/>
          </w:tcPr>
          <w:p w14:paraId="775FCECE">
            <w:pPr>
              <w:pStyle w:val="276"/>
              <w:rPr>
                <w:color w:val="auto"/>
              </w:rPr>
            </w:pPr>
            <w:r>
              <w:rPr>
                <w:rFonts w:hint="eastAsia"/>
                <w:color w:val="auto"/>
              </w:rPr>
              <w:t>HW49</w:t>
            </w:r>
          </w:p>
        </w:tc>
        <w:tc>
          <w:tcPr>
            <w:tcW w:w="608" w:type="pct"/>
            <w:vAlign w:val="center"/>
          </w:tcPr>
          <w:p w14:paraId="5F68CDC2">
            <w:pPr>
              <w:pStyle w:val="276"/>
              <w:rPr>
                <w:color w:val="auto"/>
              </w:rPr>
            </w:pPr>
            <w:r>
              <w:rPr>
                <w:rFonts w:hint="eastAsia"/>
                <w:color w:val="auto"/>
              </w:rPr>
              <w:t>2100</w:t>
            </w:r>
          </w:p>
        </w:tc>
        <w:tc>
          <w:tcPr>
            <w:tcW w:w="1465" w:type="pct"/>
            <w:vAlign w:val="center"/>
          </w:tcPr>
          <w:p w14:paraId="77881F2E">
            <w:pPr>
              <w:pStyle w:val="276"/>
              <w:rPr>
                <w:color w:val="auto"/>
              </w:rPr>
            </w:pPr>
            <w:r>
              <w:rPr>
                <w:rFonts w:hint="eastAsia"/>
                <w:color w:val="auto"/>
              </w:rPr>
              <w:t>进行危废鉴别，鉴别结果出来前，需按危险废物（危废代码772-006-49）管理</w:t>
            </w:r>
          </w:p>
        </w:tc>
        <w:tc>
          <w:tcPr>
            <w:tcW w:w="359" w:type="pct"/>
            <w:vAlign w:val="center"/>
          </w:tcPr>
          <w:p w14:paraId="65042964">
            <w:pPr>
              <w:pStyle w:val="276"/>
              <w:rPr>
                <w:color w:val="auto"/>
              </w:rPr>
            </w:pPr>
            <w:r>
              <w:rPr>
                <w:rFonts w:hint="eastAsia"/>
                <w:color w:val="auto"/>
              </w:rPr>
              <w:t>2100</w:t>
            </w:r>
          </w:p>
        </w:tc>
        <w:tc>
          <w:tcPr>
            <w:tcW w:w="442" w:type="pct"/>
            <w:vAlign w:val="center"/>
          </w:tcPr>
          <w:p w14:paraId="602DCAEE">
            <w:pPr>
              <w:pStyle w:val="276"/>
              <w:rPr>
                <w:color w:val="auto"/>
              </w:rPr>
            </w:pPr>
            <w:r>
              <w:rPr>
                <w:rFonts w:hint="eastAsia"/>
                <w:color w:val="auto"/>
              </w:rPr>
              <w:t>100</w:t>
            </w:r>
          </w:p>
        </w:tc>
      </w:tr>
      <w:tr w14:paraId="2C381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555" w:type="pct"/>
            <w:vAlign w:val="center"/>
          </w:tcPr>
          <w:p w14:paraId="30D755EA">
            <w:pPr>
              <w:pStyle w:val="276"/>
              <w:rPr>
                <w:color w:val="auto"/>
              </w:rPr>
            </w:pPr>
            <w:r>
              <w:rPr>
                <w:rFonts w:hint="eastAsia"/>
                <w:color w:val="auto"/>
              </w:rPr>
              <w:t>废水处理</w:t>
            </w:r>
          </w:p>
        </w:tc>
        <w:tc>
          <w:tcPr>
            <w:tcW w:w="1007" w:type="pct"/>
            <w:vAlign w:val="center"/>
          </w:tcPr>
          <w:p w14:paraId="71AE631A">
            <w:pPr>
              <w:pStyle w:val="276"/>
              <w:rPr>
                <w:color w:val="auto"/>
              </w:rPr>
            </w:pPr>
            <w:r>
              <w:rPr>
                <w:rFonts w:hint="eastAsia"/>
                <w:color w:val="auto"/>
              </w:rPr>
              <w:t>蒸发结晶盐</w:t>
            </w:r>
          </w:p>
        </w:tc>
        <w:tc>
          <w:tcPr>
            <w:tcW w:w="561" w:type="pct"/>
            <w:vAlign w:val="center"/>
          </w:tcPr>
          <w:p w14:paraId="7930B2D4">
            <w:pPr>
              <w:pStyle w:val="276"/>
              <w:rPr>
                <w:color w:val="auto"/>
              </w:rPr>
            </w:pPr>
            <w:r>
              <w:rPr>
                <w:rFonts w:hint="eastAsia"/>
                <w:color w:val="auto"/>
              </w:rPr>
              <w:t>HW49</w:t>
            </w:r>
          </w:p>
        </w:tc>
        <w:tc>
          <w:tcPr>
            <w:tcW w:w="608" w:type="pct"/>
            <w:vAlign w:val="center"/>
          </w:tcPr>
          <w:p w14:paraId="0F1545C7">
            <w:pPr>
              <w:pStyle w:val="276"/>
              <w:rPr>
                <w:color w:val="auto"/>
              </w:rPr>
            </w:pPr>
            <w:r>
              <w:rPr>
                <w:rFonts w:hint="eastAsia"/>
                <w:color w:val="auto"/>
              </w:rPr>
              <w:t>22800</w:t>
            </w:r>
          </w:p>
        </w:tc>
        <w:tc>
          <w:tcPr>
            <w:tcW w:w="1465" w:type="pct"/>
            <w:vAlign w:val="center"/>
          </w:tcPr>
          <w:p w14:paraId="5135B377">
            <w:pPr>
              <w:pStyle w:val="276"/>
              <w:rPr>
                <w:color w:val="auto"/>
              </w:rPr>
            </w:pPr>
            <w:r>
              <w:rPr>
                <w:rFonts w:hint="eastAsia"/>
                <w:color w:val="auto"/>
              </w:rPr>
              <w:t>进行危废鉴别，鉴别结果出来前，需按危险废物（危废代码772-006-49）管理</w:t>
            </w:r>
          </w:p>
        </w:tc>
        <w:tc>
          <w:tcPr>
            <w:tcW w:w="359" w:type="pct"/>
            <w:vAlign w:val="center"/>
          </w:tcPr>
          <w:p w14:paraId="4084C108">
            <w:pPr>
              <w:pStyle w:val="276"/>
              <w:rPr>
                <w:color w:val="auto"/>
              </w:rPr>
            </w:pPr>
            <w:r>
              <w:rPr>
                <w:rFonts w:hint="eastAsia"/>
                <w:color w:val="auto"/>
              </w:rPr>
              <w:t>22800</w:t>
            </w:r>
          </w:p>
        </w:tc>
        <w:tc>
          <w:tcPr>
            <w:tcW w:w="442" w:type="pct"/>
            <w:vAlign w:val="center"/>
          </w:tcPr>
          <w:p w14:paraId="38E981C3">
            <w:pPr>
              <w:pStyle w:val="276"/>
              <w:rPr>
                <w:color w:val="auto"/>
              </w:rPr>
            </w:pPr>
            <w:r>
              <w:rPr>
                <w:rFonts w:hint="eastAsia"/>
                <w:color w:val="auto"/>
              </w:rPr>
              <w:t>100</w:t>
            </w:r>
          </w:p>
        </w:tc>
      </w:tr>
      <w:tr w14:paraId="37DC6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555" w:type="pct"/>
            <w:vAlign w:val="center"/>
          </w:tcPr>
          <w:p w14:paraId="4F5B1C11">
            <w:pPr>
              <w:pStyle w:val="276"/>
              <w:rPr>
                <w:color w:val="auto"/>
              </w:rPr>
            </w:pPr>
            <w:r>
              <w:rPr>
                <w:rFonts w:hint="eastAsia"/>
                <w:color w:val="auto"/>
              </w:rPr>
              <w:t>办公、生活</w:t>
            </w:r>
          </w:p>
        </w:tc>
        <w:tc>
          <w:tcPr>
            <w:tcW w:w="1007" w:type="pct"/>
            <w:vAlign w:val="center"/>
          </w:tcPr>
          <w:p w14:paraId="4A3E6382">
            <w:pPr>
              <w:pStyle w:val="276"/>
              <w:rPr>
                <w:color w:val="auto"/>
              </w:rPr>
            </w:pPr>
            <w:r>
              <w:rPr>
                <w:rFonts w:hint="eastAsia"/>
                <w:color w:val="auto"/>
              </w:rPr>
              <w:t>生活垃圾</w:t>
            </w:r>
          </w:p>
        </w:tc>
        <w:tc>
          <w:tcPr>
            <w:tcW w:w="561" w:type="pct"/>
            <w:vAlign w:val="center"/>
          </w:tcPr>
          <w:p w14:paraId="5C6FFF99">
            <w:pPr>
              <w:pStyle w:val="276"/>
              <w:rPr>
                <w:color w:val="auto"/>
              </w:rPr>
            </w:pPr>
            <w:r>
              <w:rPr>
                <w:rFonts w:hint="eastAsia"/>
                <w:color w:val="auto"/>
              </w:rPr>
              <w:t>生活垃圾</w:t>
            </w:r>
          </w:p>
        </w:tc>
        <w:tc>
          <w:tcPr>
            <w:tcW w:w="608" w:type="pct"/>
            <w:vAlign w:val="center"/>
          </w:tcPr>
          <w:p w14:paraId="53D63BE1">
            <w:pPr>
              <w:pStyle w:val="276"/>
              <w:rPr>
                <w:color w:val="auto"/>
              </w:rPr>
            </w:pPr>
            <w:r>
              <w:rPr>
                <w:rFonts w:hint="eastAsia"/>
                <w:color w:val="auto"/>
              </w:rPr>
              <w:t>3</w:t>
            </w:r>
          </w:p>
        </w:tc>
        <w:tc>
          <w:tcPr>
            <w:tcW w:w="1465" w:type="pct"/>
            <w:vAlign w:val="center"/>
          </w:tcPr>
          <w:p w14:paraId="00D6B176">
            <w:pPr>
              <w:pStyle w:val="276"/>
              <w:rPr>
                <w:color w:val="auto"/>
              </w:rPr>
            </w:pPr>
            <w:r>
              <w:rPr>
                <w:rFonts w:hint="eastAsia"/>
                <w:color w:val="auto"/>
              </w:rPr>
              <w:t>交环卫部门统一收运处置</w:t>
            </w:r>
          </w:p>
        </w:tc>
        <w:tc>
          <w:tcPr>
            <w:tcW w:w="359" w:type="pct"/>
            <w:vAlign w:val="center"/>
          </w:tcPr>
          <w:p w14:paraId="7B7F3766">
            <w:pPr>
              <w:pStyle w:val="276"/>
              <w:rPr>
                <w:color w:val="auto"/>
              </w:rPr>
            </w:pPr>
            <w:r>
              <w:rPr>
                <w:rFonts w:hint="eastAsia"/>
                <w:color w:val="auto"/>
              </w:rPr>
              <w:t>3</w:t>
            </w:r>
          </w:p>
        </w:tc>
        <w:tc>
          <w:tcPr>
            <w:tcW w:w="442" w:type="pct"/>
            <w:vAlign w:val="center"/>
          </w:tcPr>
          <w:p w14:paraId="43BBADAC">
            <w:pPr>
              <w:pStyle w:val="276"/>
              <w:rPr>
                <w:color w:val="auto"/>
              </w:rPr>
            </w:pPr>
            <w:r>
              <w:rPr>
                <w:rFonts w:hint="eastAsia"/>
                <w:color w:val="auto"/>
              </w:rPr>
              <w:t>100</w:t>
            </w:r>
          </w:p>
        </w:tc>
      </w:tr>
    </w:tbl>
    <w:p w14:paraId="42FFB573">
      <w:pPr>
        <w:widowControl/>
        <w:adjustRightInd/>
        <w:snapToGrid/>
        <w:spacing w:line="240" w:lineRule="auto"/>
        <w:ind w:firstLine="0" w:firstLineChars="0"/>
        <w:jc w:val="left"/>
        <w:rPr>
          <w:color w:val="auto"/>
        </w:rPr>
      </w:pPr>
    </w:p>
    <w:p w14:paraId="33F060F8">
      <w:pPr>
        <w:widowControl/>
        <w:adjustRightInd/>
        <w:snapToGrid/>
        <w:spacing w:line="240" w:lineRule="auto"/>
        <w:ind w:firstLine="0" w:firstLineChars="0"/>
        <w:jc w:val="left"/>
        <w:rPr>
          <w:color w:val="auto"/>
        </w:rPr>
      </w:pPr>
    </w:p>
    <w:p w14:paraId="379E4837">
      <w:pPr>
        <w:ind w:firstLine="482"/>
        <w:jc w:val="center"/>
        <w:rPr>
          <w:rFonts w:cs="宋体"/>
          <w:b/>
          <w:color w:val="auto"/>
          <w:lang w:val="zh-CN" w:bidi="ar"/>
        </w:rPr>
        <w:sectPr>
          <w:pgSz w:w="16838" w:h="11906" w:orient="landscape"/>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pPr>
    </w:p>
    <w:p w14:paraId="15CE7ED2">
      <w:pPr>
        <w:ind w:firstLine="482"/>
        <w:jc w:val="center"/>
        <w:rPr>
          <w:b/>
          <w:color w:val="auto"/>
          <w:kern w:val="0"/>
        </w:rPr>
      </w:pPr>
      <w:r>
        <w:rPr>
          <w:rFonts w:hint="eastAsia" w:cs="宋体"/>
          <w:b/>
          <w:color w:val="auto"/>
          <w:lang w:val="zh-CN" w:bidi="ar"/>
        </w:rPr>
        <w:t>表</w:t>
      </w:r>
      <w:r>
        <w:rPr>
          <w:b/>
          <w:color w:val="auto"/>
          <w:lang w:val="zh-CN" w:bidi="ar"/>
        </w:rPr>
        <w:t>3</w:t>
      </w:r>
      <w:r>
        <w:rPr>
          <w:rFonts w:hint="eastAsia"/>
          <w:b/>
          <w:color w:val="auto"/>
          <w:lang w:bidi="ar"/>
        </w:rPr>
        <w:t>.14</w:t>
      </w:r>
      <w:r>
        <w:rPr>
          <w:b/>
          <w:color w:val="auto"/>
          <w:lang w:val="zh-CN" w:bidi="ar"/>
        </w:rPr>
        <w:t>-</w:t>
      </w:r>
      <w:r>
        <w:rPr>
          <w:rFonts w:hint="eastAsia"/>
          <w:b/>
          <w:color w:val="auto"/>
          <w:lang w:bidi="ar"/>
        </w:rPr>
        <w:t>6</w:t>
      </w:r>
      <w:r>
        <w:rPr>
          <w:b/>
          <w:color w:val="auto"/>
          <w:kern w:val="0"/>
          <w:lang w:bidi="ar"/>
        </w:rPr>
        <w:t xml:space="preserve">   </w:t>
      </w:r>
      <w:r>
        <w:rPr>
          <w:rFonts w:hint="eastAsia" w:cs="宋体"/>
          <w:b/>
          <w:color w:val="auto"/>
          <w:kern w:val="0"/>
          <w:lang w:bidi="ar"/>
        </w:rPr>
        <w:t>危险废物贮存场所（设施）基本情况</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5"/>
        <w:gridCol w:w="1691"/>
        <w:gridCol w:w="1419"/>
        <w:gridCol w:w="1419"/>
        <w:gridCol w:w="1421"/>
        <w:gridCol w:w="1421"/>
        <w:gridCol w:w="2122"/>
        <w:gridCol w:w="1186"/>
        <w:gridCol w:w="1187"/>
        <w:gridCol w:w="1207"/>
      </w:tblGrid>
      <w:tr w14:paraId="3AB96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45" w:type="dxa"/>
            <w:tcBorders>
              <w:top w:val="single" w:color="auto" w:sz="4" w:space="0"/>
              <w:left w:val="single" w:color="auto" w:sz="4" w:space="0"/>
              <w:bottom w:val="single" w:color="auto" w:sz="4" w:space="0"/>
              <w:right w:val="single" w:color="auto" w:sz="4" w:space="0"/>
            </w:tcBorders>
            <w:shd w:val="clear" w:color="auto" w:fill="auto"/>
            <w:vAlign w:val="center"/>
          </w:tcPr>
          <w:p w14:paraId="37A98E17">
            <w:pPr>
              <w:pStyle w:val="81"/>
              <w:widowControl w:val="0"/>
              <w:autoSpaceDE w:val="0"/>
              <w:autoSpaceDN w:val="0"/>
              <w:spacing w:before="0" w:beforeAutospacing="0" w:after="0" w:afterAutospacing="0"/>
              <w:jc w:val="center"/>
              <w:rPr>
                <w:color w:val="auto"/>
                <w:lang w:val="en-US"/>
              </w:rPr>
            </w:pPr>
            <w:r>
              <w:rPr>
                <w:rFonts w:hint="eastAsia" w:hAnsi="Times New Roman" w:cs="宋体"/>
                <w:color w:val="auto"/>
                <w:kern w:val="2"/>
                <w:sz w:val="21"/>
                <w:szCs w:val="20"/>
                <w:lang w:val="en-US" w:bidi="ar"/>
              </w:rPr>
              <w:t>序号</w:t>
            </w:r>
          </w:p>
        </w:tc>
        <w:tc>
          <w:tcPr>
            <w:tcW w:w="1691" w:type="dxa"/>
            <w:tcBorders>
              <w:top w:val="single" w:color="auto" w:sz="4" w:space="0"/>
              <w:left w:val="single" w:color="auto" w:sz="4" w:space="0"/>
              <w:bottom w:val="single" w:color="auto" w:sz="4" w:space="0"/>
              <w:right w:val="single" w:color="auto" w:sz="4" w:space="0"/>
            </w:tcBorders>
            <w:shd w:val="clear" w:color="auto" w:fill="auto"/>
            <w:vAlign w:val="center"/>
          </w:tcPr>
          <w:p w14:paraId="1420671D">
            <w:pPr>
              <w:pStyle w:val="81"/>
              <w:widowControl w:val="0"/>
              <w:autoSpaceDE w:val="0"/>
              <w:autoSpaceDN w:val="0"/>
              <w:spacing w:before="0" w:beforeAutospacing="0" w:after="0" w:afterAutospacing="0"/>
              <w:jc w:val="center"/>
              <w:rPr>
                <w:color w:val="auto"/>
                <w:lang w:val="en-US"/>
              </w:rPr>
            </w:pPr>
            <w:r>
              <w:rPr>
                <w:rFonts w:hint="eastAsia" w:hAnsi="Times New Roman" w:cs="宋体"/>
                <w:color w:val="auto"/>
                <w:kern w:val="2"/>
                <w:sz w:val="21"/>
                <w:szCs w:val="20"/>
                <w:lang w:val="en-US" w:bidi="ar"/>
              </w:rPr>
              <w:t>贮存场所名称</w:t>
            </w:r>
          </w:p>
        </w:tc>
        <w:tc>
          <w:tcPr>
            <w:tcW w:w="1419" w:type="dxa"/>
            <w:tcBorders>
              <w:top w:val="single" w:color="auto" w:sz="4" w:space="0"/>
              <w:left w:val="single" w:color="auto" w:sz="4" w:space="0"/>
              <w:bottom w:val="single" w:color="auto" w:sz="4" w:space="0"/>
              <w:right w:val="single" w:color="auto" w:sz="4" w:space="0"/>
            </w:tcBorders>
            <w:shd w:val="clear" w:color="auto" w:fill="auto"/>
            <w:vAlign w:val="center"/>
          </w:tcPr>
          <w:p w14:paraId="510B0F13">
            <w:pPr>
              <w:pStyle w:val="81"/>
              <w:widowControl w:val="0"/>
              <w:autoSpaceDE w:val="0"/>
              <w:autoSpaceDN w:val="0"/>
              <w:spacing w:before="0" w:beforeAutospacing="0" w:after="0" w:afterAutospacing="0"/>
              <w:jc w:val="center"/>
              <w:rPr>
                <w:color w:val="auto"/>
                <w:lang w:val="en-US"/>
              </w:rPr>
            </w:pPr>
            <w:r>
              <w:rPr>
                <w:rFonts w:hint="eastAsia" w:hAnsi="Times New Roman" w:cs="宋体"/>
                <w:color w:val="auto"/>
                <w:kern w:val="2"/>
                <w:sz w:val="21"/>
                <w:szCs w:val="20"/>
                <w:lang w:val="en-US" w:bidi="ar"/>
              </w:rPr>
              <w:t>危废名称</w:t>
            </w:r>
          </w:p>
        </w:tc>
        <w:tc>
          <w:tcPr>
            <w:tcW w:w="1419" w:type="dxa"/>
            <w:tcBorders>
              <w:top w:val="single" w:color="auto" w:sz="4" w:space="0"/>
              <w:left w:val="single" w:color="auto" w:sz="4" w:space="0"/>
              <w:bottom w:val="single" w:color="auto" w:sz="4" w:space="0"/>
              <w:right w:val="single" w:color="auto" w:sz="4" w:space="0"/>
            </w:tcBorders>
            <w:shd w:val="clear" w:color="auto" w:fill="auto"/>
            <w:vAlign w:val="center"/>
          </w:tcPr>
          <w:p w14:paraId="05B3A5F9">
            <w:pPr>
              <w:pStyle w:val="81"/>
              <w:widowControl w:val="0"/>
              <w:autoSpaceDE w:val="0"/>
              <w:autoSpaceDN w:val="0"/>
              <w:spacing w:before="0" w:beforeAutospacing="0" w:after="0" w:afterAutospacing="0"/>
              <w:jc w:val="center"/>
              <w:rPr>
                <w:color w:val="auto"/>
                <w:lang w:val="en-US"/>
              </w:rPr>
            </w:pPr>
            <w:r>
              <w:rPr>
                <w:rFonts w:hint="eastAsia" w:hAnsi="Times New Roman" w:cs="宋体"/>
                <w:color w:val="auto"/>
                <w:kern w:val="2"/>
                <w:sz w:val="21"/>
                <w:szCs w:val="20"/>
                <w:lang w:val="en-US" w:bidi="ar"/>
              </w:rPr>
              <w:t>危废类别</w:t>
            </w:r>
          </w:p>
        </w:tc>
        <w:tc>
          <w:tcPr>
            <w:tcW w:w="1421" w:type="dxa"/>
            <w:tcBorders>
              <w:top w:val="single" w:color="auto" w:sz="4" w:space="0"/>
              <w:left w:val="single" w:color="auto" w:sz="4" w:space="0"/>
              <w:bottom w:val="single" w:color="auto" w:sz="4" w:space="0"/>
              <w:right w:val="single" w:color="auto" w:sz="4" w:space="0"/>
            </w:tcBorders>
            <w:shd w:val="clear" w:color="auto" w:fill="auto"/>
            <w:vAlign w:val="center"/>
          </w:tcPr>
          <w:p w14:paraId="040D6279">
            <w:pPr>
              <w:pStyle w:val="81"/>
              <w:widowControl w:val="0"/>
              <w:autoSpaceDE w:val="0"/>
              <w:autoSpaceDN w:val="0"/>
              <w:spacing w:before="0" w:beforeAutospacing="0" w:after="0" w:afterAutospacing="0"/>
              <w:jc w:val="center"/>
              <w:rPr>
                <w:color w:val="auto"/>
                <w:lang w:val="en-US"/>
              </w:rPr>
            </w:pPr>
            <w:r>
              <w:rPr>
                <w:rFonts w:hint="eastAsia" w:hAnsi="Times New Roman" w:cs="宋体"/>
                <w:color w:val="auto"/>
                <w:kern w:val="2"/>
                <w:sz w:val="21"/>
                <w:szCs w:val="20"/>
                <w:lang w:val="en-US" w:bidi="ar"/>
              </w:rPr>
              <w:t>危废代码</w:t>
            </w:r>
          </w:p>
        </w:tc>
        <w:tc>
          <w:tcPr>
            <w:tcW w:w="1421" w:type="dxa"/>
            <w:tcBorders>
              <w:top w:val="single" w:color="auto" w:sz="4" w:space="0"/>
              <w:left w:val="single" w:color="auto" w:sz="4" w:space="0"/>
              <w:bottom w:val="single" w:color="auto" w:sz="4" w:space="0"/>
              <w:right w:val="single" w:color="auto" w:sz="4" w:space="0"/>
            </w:tcBorders>
            <w:shd w:val="clear" w:color="auto" w:fill="auto"/>
            <w:vAlign w:val="center"/>
          </w:tcPr>
          <w:p w14:paraId="4942176B">
            <w:pPr>
              <w:pStyle w:val="81"/>
              <w:widowControl w:val="0"/>
              <w:autoSpaceDE w:val="0"/>
              <w:autoSpaceDN w:val="0"/>
              <w:spacing w:before="0" w:beforeAutospacing="0" w:after="0" w:afterAutospacing="0"/>
              <w:jc w:val="center"/>
              <w:rPr>
                <w:color w:val="auto"/>
                <w:lang w:val="en-US"/>
              </w:rPr>
            </w:pPr>
            <w:r>
              <w:rPr>
                <w:rFonts w:hint="eastAsia" w:hAnsi="Times New Roman" w:cs="宋体"/>
                <w:color w:val="auto"/>
                <w:kern w:val="2"/>
                <w:sz w:val="21"/>
                <w:szCs w:val="20"/>
                <w:lang w:val="en-US" w:bidi="ar"/>
              </w:rPr>
              <w:t>位置</w:t>
            </w:r>
          </w:p>
        </w:tc>
        <w:tc>
          <w:tcPr>
            <w:tcW w:w="2122" w:type="dxa"/>
            <w:tcBorders>
              <w:top w:val="single" w:color="auto" w:sz="4" w:space="0"/>
              <w:left w:val="single" w:color="auto" w:sz="4" w:space="0"/>
              <w:bottom w:val="single" w:color="auto" w:sz="4" w:space="0"/>
              <w:right w:val="single" w:color="auto" w:sz="4" w:space="0"/>
            </w:tcBorders>
            <w:shd w:val="clear" w:color="auto" w:fill="auto"/>
            <w:vAlign w:val="center"/>
          </w:tcPr>
          <w:p w14:paraId="2294D87B">
            <w:pPr>
              <w:pStyle w:val="81"/>
              <w:widowControl w:val="0"/>
              <w:autoSpaceDE w:val="0"/>
              <w:autoSpaceDN w:val="0"/>
              <w:spacing w:before="0" w:beforeAutospacing="0" w:after="0" w:afterAutospacing="0"/>
              <w:jc w:val="center"/>
              <w:rPr>
                <w:color w:val="auto"/>
                <w:lang w:val="en-US"/>
              </w:rPr>
            </w:pPr>
            <w:r>
              <w:rPr>
                <w:rFonts w:hint="eastAsia" w:hAnsi="Times New Roman" w:cs="宋体"/>
                <w:color w:val="auto"/>
                <w:kern w:val="2"/>
                <w:sz w:val="21"/>
                <w:szCs w:val="20"/>
                <w:lang w:val="en-US" w:bidi="ar"/>
              </w:rPr>
              <w:t>占地面积（</w:t>
            </w:r>
            <w:r>
              <w:rPr>
                <w:rFonts w:hAnsi="Times New Roman"/>
                <w:color w:val="auto"/>
                <w:kern w:val="2"/>
                <w:sz w:val="21"/>
                <w:szCs w:val="20"/>
                <w:lang w:val="en-US" w:bidi="ar"/>
              </w:rPr>
              <w:t>m</w:t>
            </w:r>
            <w:r>
              <w:rPr>
                <w:rFonts w:hAnsi="Times New Roman"/>
                <w:color w:val="auto"/>
                <w:kern w:val="2"/>
                <w:sz w:val="21"/>
                <w:szCs w:val="20"/>
                <w:vertAlign w:val="superscript"/>
                <w:lang w:val="en-US" w:bidi="ar"/>
              </w:rPr>
              <w:t>2</w:t>
            </w:r>
            <w:r>
              <w:rPr>
                <w:rFonts w:hint="eastAsia" w:hAnsi="Times New Roman" w:cs="宋体"/>
                <w:color w:val="auto"/>
                <w:kern w:val="2"/>
                <w:sz w:val="21"/>
                <w:szCs w:val="20"/>
                <w:lang w:val="en-US" w:bidi="ar"/>
              </w:rPr>
              <w:t>）</w:t>
            </w:r>
          </w:p>
        </w:tc>
        <w:tc>
          <w:tcPr>
            <w:tcW w:w="1186" w:type="dxa"/>
            <w:tcBorders>
              <w:top w:val="single" w:color="auto" w:sz="4" w:space="0"/>
              <w:left w:val="single" w:color="auto" w:sz="4" w:space="0"/>
              <w:bottom w:val="single" w:color="auto" w:sz="4" w:space="0"/>
              <w:right w:val="single" w:color="auto" w:sz="4" w:space="0"/>
            </w:tcBorders>
            <w:shd w:val="clear" w:color="auto" w:fill="auto"/>
            <w:vAlign w:val="center"/>
          </w:tcPr>
          <w:p w14:paraId="20571D5F">
            <w:pPr>
              <w:pStyle w:val="81"/>
              <w:widowControl w:val="0"/>
              <w:autoSpaceDE w:val="0"/>
              <w:autoSpaceDN w:val="0"/>
              <w:spacing w:before="0" w:beforeAutospacing="0" w:after="0" w:afterAutospacing="0"/>
              <w:jc w:val="center"/>
              <w:rPr>
                <w:color w:val="auto"/>
                <w:lang w:val="en-US"/>
              </w:rPr>
            </w:pPr>
            <w:r>
              <w:rPr>
                <w:rFonts w:hint="eastAsia" w:hAnsi="Times New Roman" w:cs="宋体"/>
                <w:color w:val="auto"/>
                <w:kern w:val="2"/>
                <w:sz w:val="21"/>
                <w:szCs w:val="20"/>
                <w:lang w:val="en-US" w:bidi="ar"/>
              </w:rPr>
              <w:t>贮存方式</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14:paraId="75F7AA2C">
            <w:pPr>
              <w:pStyle w:val="81"/>
              <w:widowControl w:val="0"/>
              <w:autoSpaceDE w:val="0"/>
              <w:autoSpaceDN w:val="0"/>
              <w:spacing w:before="0" w:beforeAutospacing="0" w:after="0" w:afterAutospacing="0"/>
              <w:jc w:val="center"/>
              <w:rPr>
                <w:color w:val="auto"/>
                <w:lang w:val="en-US"/>
              </w:rPr>
            </w:pPr>
            <w:r>
              <w:rPr>
                <w:rFonts w:hint="eastAsia" w:hAnsi="Times New Roman" w:cs="宋体"/>
                <w:color w:val="auto"/>
                <w:kern w:val="2"/>
                <w:sz w:val="21"/>
                <w:szCs w:val="20"/>
                <w:lang w:val="en-US" w:bidi="ar"/>
              </w:rPr>
              <w:t>贮存能力</w:t>
            </w:r>
          </w:p>
        </w:tc>
        <w:tc>
          <w:tcPr>
            <w:tcW w:w="1207" w:type="dxa"/>
            <w:tcBorders>
              <w:top w:val="single" w:color="auto" w:sz="4" w:space="0"/>
              <w:left w:val="single" w:color="auto" w:sz="4" w:space="0"/>
              <w:bottom w:val="single" w:color="auto" w:sz="4" w:space="0"/>
              <w:right w:val="single" w:color="auto" w:sz="4" w:space="0"/>
            </w:tcBorders>
            <w:shd w:val="clear" w:color="auto" w:fill="auto"/>
            <w:vAlign w:val="center"/>
          </w:tcPr>
          <w:p w14:paraId="7B2C95E0">
            <w:pPr>
              <w:pStyle w:val="81"/>
              <w:widowControl w:val="0"/>
              <w:autoSpaceDE w:val="0"/>
              <w:autoSpaceDN w:val="0"/>
              <w:spacing w:before="0" w:beforeAutospacing="0" w:after="0" w:afterAutospacing="0"/>
              <w:jc w:val="center"/>
              <w:rPr>
                <w:color w:val="auto"/>
                <w:lang w:val="en-US"/>
              </w:rPr>
            </w:pPr>
            <w:r>
              <w:rPr>
                <w:rFonts w:hint="eastAsia" w:hAnsi="Times New Roman" w:cs="宋体"/>
                <w:color w:val="auto"/>
                <w:kern w:val="2"/>
                <w:sz w:val="21"/>
                <w:szCs w:val="20"/>
                <w:lang w:val="en-US" w:bidi="ar"/>
              </w:rPr>
              <w:t>贮存周期</w:t>
            </w:r>
          </w:p>
        </w:tc>
      </w:tr>
      <w:tr w14:paraId="045F0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E2E8459">
            <w:pPr>
              <w:pStyle w:val="81"/>
              <w:widowControl w:val="0"/>
              <w:autoSpaceDE w:val="0"/>
              <w:autoSpaceDN w:val="0"/>
              <w:spacing w:before="0" w:beforeAutospacing="0" w:after="0" w:afterAutospacing="0"/>
              <w:jc w:val="center"/>
              <w:rPr>
                <w:color w:val="auto"/>
                <w:lang w:val="en-US"/>
              </w:rPr>
            </w:pPr>
            <w:r>
              <w:rPr>
                <w:rFonts w:hAnsi="Times New Roman"/>
                <w:color w:val="auto"/>
                <w:kern w:val="2"/>
                <w:sz w:val="21"/>
                <w:szCs w:val="20"/>
                <w:lang w:val="en-US" w:bidi="ar"/>
              </w:rPr>
              <w:t>1</w:t>
            </w:r>
          </w:p>
        </w:tc>
        <w:tc>
          <w:tcPr>
            <w:tcW w:w="169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C0F1FBF">
            <w:pPr>
              <w:pStyle w:val="81"/>
              <w:widowControl w:val="0"/>
              <w:autoSpaceDE w:val="0"/>
              <w:autoSpaceDN w:val="0"/>
              <w:spacing w:before="0" w:beforeAutospacing="0" w:after="0" w:afterAutospacing="0"/>
              <w:jc w:val="center"/>
              <w:rPr>
                <w:color w:val="auto"/>
                <w:lang w:val="en-US"/>
              </w:rPr>
            </w:pPr>
            <w:r>
              <w:rPr>
                <w:rFonts w:hint="eastAsia" w:hAnsi="Times New Roman" w:cs="宋体"/>
                <w:color w:val="auto"/>
                <w:kern w:val="2"/>
                <w:sz w:val="21"/>
                <w:szCs w:val="20"/>
                <w:lang w:val="en-US" w:bidi="ar"/>
              </w:rPr>
              <w:t>危废贮存库</w:t>
            </w:r>
          </w:p>
        </w:tc>
        <w:tc>
          <w:tcPr>
            <w:tcW w:w="1419" w:type="dxa"/>
            <w:tcBorders>
              <w:top w:val="single" w:color="auto" w:sz="4" w:space="0"/>
              <w:left w:val="single" w:color="auto" w:sz="4" w:space="0"/>
              <w:bottom w:val="single" w:color="auto" w:sz="4" w:space="0"/>
              <w:right w:val="single" w:color="auto" w:sz="4" w:space="0"/>
            </w:tcBorders>
            <w:shd w:val="clear" w:color="auto" w:fill="auto"/>
            <w:vAlign w:val="center"/>
          </w:tcPr>
          <w:p w14:paraId="15BAE271">
            <w:pPr>
              <w:pStyle w:val="276"/>
              <w:rPr>
                <w:color w:val="auto"/>
                <w:kern w:val="0"/>
                <w:lang w:val="en-US"/>
              </w:rPr>
            </w:pPr>
            <w:r>
              <w:rPr>
                <w:rFonts w:hint="eastAsia"/>
                <w:color w:val="auto"/>
              </w:rPr>
              <w:t>废包装材料</w:t>
            </w:r>
          </w:p>
        </w:tc>
        <w:tc>
          <w:tcPr>
            <w:tcW w:w="1419" w:type="dxa"/>
            <w:tcBorders>
              <w:top w:val="single" w:color="auto" w:sz="4" w:space="0"/>
              <w:left w:val="single" w:color="auto" w:sz="4" w:space="0"/>
              <w:bottom w:val="single" w:color="auto" w:sz="4" w:space="0"/>
              <w:right w:val="single" w:color="auto" w:sz="4" w:space="0"/>
            </w:tcBorders>
            <w:shd w:val="clear" w:color="auto" w:fill="auto"/>
            <w:vAlign w:val="center"/>
          </w:tcPr>
          <w:p w14:paraId="74E67F93">
            <w:pPr>
              <w:pStyle w:val="276"/>
              <w:rPr>
                <w:color w:val="auto"/>
                <w:lang w:val="en-US"/>
              </w:rPr>
            </w:pPr>
            <w:r>
              <w:rPr>
                <w:rFonts w:hint="eastAsia"/>
                <w:color w:val="auto"/>
              </w:rPr>
              <w:t>HW49</w:t>
            </w:r>
          </w:p>
        </w:tc>
        <w:tc>
          <w:tcPr>
            <w:tcW w:w="1421" w:type="dxa"/>
            <w:tcBorders>
              <w:top w:val="single" w:color="auto" w:sz="4" w:space="0"/>
              <w:left w:val="single" w:color="auto" w:sz="4" w:space="0"/>
              <w:bottom w:val="single" w:color="auto" w:sz="4" w:space="0"/>
              <w:right w:val="single" w:color="auto" w:sz="4" w:space="0"/>
            </w:tcBorders>
            <w:shd w:val="clear" w:color="auto" w:fill="auto"/>
            <w:vAlign w:val="center"/>
          </w:tcPr>
          <w:p w14:paraId="67EB0E4C">
            <w:pPr>
              <w:pStyle w:val="276"/>
              <w:rPr>
                <w:color w:val="auto"/>
                <w:lang w:val="en-US"/>
              </w:rPr>
            </w:pPr>
            <w:r>
              <w:rPr>
                <w:rFonts w:hint="eastAsia"/>
                <w:color w:val="auto"/>
              </w:rPr>
              <w:t>900-0</w:t>
            </w:r>
            <w:r>
              <w:rPr>
                <w:rFonts w:hint="eastAsia"/>
                <w:color w:val="auto"/>
                <w:lang w:val="en-US"/>
              </w:rPr>
              <w:t>41</w:t>
            </w:r>
            <w:r>
              <w:rPr>
                <w:rFonts w:hint="eastAsia"/>
                <w:color w:val="auto"/>
              </w:rPr>
              <w:t>-49</w:t>
            </w:r>
          </w:p>
        </w:tc>
        <w:tc>
          <w:tcPr>
            <w:tcW w:w="142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148F28D">
            <w:pPr>
              <w:pStyle w:val="81"/>
              <w:widowControl w:val="0"/>
              <w:autoSpaceDE w:val="0"/>
              <w:autoSpaceDN w:val="0"/>
              <w:spacing w:before="0" w:beforeAutospacing="0" w:after="0" w:afterAutospacing="0"/>
              <w:jc w:val="center"/>
              <w:rPr>
                <w:color w:val="auto"/>
                <w:lang w:val="en-US"/>
              </w:rPr>
            </w:pPr>
            <w:r>
              <w:rPr>
                <w:rFonts w:hint="eastAsia" w:hAnsi="Times New Roman" w:cs="宋体"/>
                <w:color w:val="auto"/>
                <w:kern w:val="2"/>
                <w:sz w:val="21"/>
                <w:szCs w:val="20"/>
                <w:lang w:val="en-US" w:bidi="ar"/>
              </w:rPr>
              <w:t>车间东南侧</w:t>
            </w:r>
          </w:p>
        </w:tc>
        <w:tc>
          <w:tcPr>
            <w:tcW w:w="212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2DF16EF">
            <w:pPr>
              <w:pStyle w:val="81"/>
              <w:widowControl w:val="0"/>
              <w:autoSpaceDE w:val="0"/>
              <w:autoSpaceDN w:val="0"/>
              <w:spacing w:before="0" w:beforeAutospacing="0" w:after="0" w:afterAutospacing="0"/>
              <w:jc w:val="center"/>
              <w:rPr>
                <w:rFonts w:hint="default" w:eastAsia="宋体"/>
                <w:color w:val="auto"/>
                <w:lang w:val="en-US" w:eastAsia="zh-CN"/>
              </w:rPr>
            </w:pPr>
            <w:r>
              <w:rPr>
                <w:rFonts w:hint="eastAsia" w:hAnsi="Times New Roman"/>
                <w:color w:val="auto"/>
                <w:kern w:val="2"/>
                <w:sz w:val="21"/>
                <w:szCs w:val="20"/>
                <w:lang w:val="en-US" w:eastAsia="zh-CN" w:bidi="ar"/>
              </w:rPr>
              <w:t>15</w:t>
            </w:r>
          </w:p>
        </w:tc>
        <w:tc>
          <w:tcPr>
            <w:tcW w:w="118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B725282">
            <w:pPr>
              <w:pStyle w:val="81"/>
              <w:widowControl w:val="0"/>
              <w:autoSpaceDE w:val="0"/>
              <w:autoSpaceDN w:val="0"/>
              <w:spacing w:before="0" w:beforeAutospacing="0" w:after="0" w:afterAutospacing="0"/>
              <w:jc w:val="center"/>
              <w:rPr>
                <w:color w:val="auto"/>
                <w:lang w:val="en-US"/>
              </w:rPr>
            </w:pPr>
            <w:r>
              <w:rPr>
                <w:rFonts w:hint="eastAsia" w:hAnsi="Times New Roman" w:cs="宋体"/>
                <w:color w:val="auto"/>
                <w:kern w:val="2"/>
                <w:sz w:val="21"/>
                <w:szCs w:val="20"/>
                <w:lang w:val="en-US" w:bidi="ar"/>
              </w:rPr>
              <w:t>固体危废袋装，液态危废桶装</w:t>
            </w:r>
          </w:p>
        </w:tc>
        <w:tc>
          <w:tcPr>
            <w:tcW w:w="11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A16E9D1">
            <w:pPr>
              <w:pStyle w:val="81"/>
              <w:widowControl w:val="0"/>
              <w:autoSpaceDE w:val="0"/>
              <w:autoSpaceDN w:val="0"/>
              <w:spacing w:before="0" w:beforeAutospacing="0" w:after="0" w:afterAutospacing="0"/>
              <w:jc w:val="center"/>
              <w:rPr>
                <w:color w:val="auto"/>
                <w:lang w:val="en-US"/>
              </w:rPr>
            </w:pPr>
            <w:r>
              <w:rPr>
                <w:rFonts w:hint="eastAsia" w:hAnsi="Times New Roman"/>
                <w:color w:val="auto"/>
                <w:kern w:val="2"/>
                <w:sz w:val="21"/>
                <w:szCs w:val="20"/>
                <w:lang w:val="en-US" w:eastAsia="zh-CN" w:bidi="ar"/>
              </w:rPr>
              <w:t>60</w:t>
            </w:r>
            <w:r>
              <w:rPr>
                <w:rFonts w:hAnsi="Times New Roman"/>
                <w:color w:val="auto"/>
                <w:kern w:val="2"/>
                <w:sz w:val="21"/>
                <w:szCs w:val="20"/>
                <w:lang w:val="en-US" w:bidi="ar"/>
              </w:rPr>
              <w:t>t</w:t>
            </w:r>
          </w:p>
        </w:tc>
        <w:tc>
          <w:tcPr>
            <w:tcW w:w="120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65DF870">
            <w:pPr>
              <w:pStyle w:val="81"/>
              <w:widowControl w:val="0"/>
              <w:autoSpaceDE w:val="0"/>
              <w:autoSpaceDN w:val="0"/>
              <w:spacing w:before="0" w:beforeAutospacing="0" w:after="0" w:afterAutospacing="0"/>
              <w:jc w:val="center"/>
              <w:rPr>
                <w:color w:val="auto"/>
                <w:lang w:val="en-US"/>
              </w:rPr>
            </w:pPr>
            <w:r>
              <w:rPr>
                <w:rFonts w:hint="eastAsia" w:hAnsi="Times New Roman"/>
                <w:color w:val="auto"/>
                <w:kern w:val="2"/>
                <w:sz w:val="21"/>
                <w:szCs w:val="20"/>
                <w:lang w:val="en-US" w:bidi="ar"/>
              </w:rPr>
              <w:t>180</w:t>
            </w:r>
            <w:r>
              <w:rPr>
                <w:rFonts w:hint="eastAsia" w:hAnsi="Times New Roman" w:cs="宋体"/>
                <w:color w:val="auto"/>
                <w:kern w:val="2"/>
                <w:sz w:val="21"/>
                <w:szCs w:val="20"/>
                <w:lang w:val="en-US" w:bidi="ar"/>
              </w:rPr>
              <w:t>天</w:t>
            </w:r>
          </w:p>
        </w:tc>
      </w:tr>
      <w:tr w14:paraId="4ED74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48DF0FF">
            <w:pPr>
              <w:ind w:firstLine="400"/>
              <w:rPr>
                <w:rFonts w:ascii="等线" w:hAnsi="等线" w:eastAsia="等线" w:cs="等线"/>
                <w:color w:val="auto"/>
                <w:sz w:val="20"/>
              </w:rPr>
            </w:pPr>
          </w:p>
        </w:tc>
        <w:tc>
          <w:tcPr>
            <w:tcW w:w="169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66F179A">
            <w:pPr>
              <w:ind w:firstLine="400"/>
              <w:rPr>
                <w:rFonts w:ascii="等线" w:hAnsi="等线" w:eastAsia="等线" w:cs="等线"/>
                <w:color w:val="auto"/>
                <w:sz w:val="20"/>
              </w:rPr>
            </w:pPr>
          </w:p>
        </w:tc>
        <w:tc>
          <w:tcPr>
            <w:tcW w:w="1419" w:type="dxa"/>
            <w:tcBorders>
              <w:top w:val="single" w:color="auto" w:sz="4" w:space="0"/>
              <w:left w:val="single" w:color="auto" w:sz="4" w:space="0"/>
              <w:bottom w:val="single" w:color="auto" w:sz="4" w:space="0"/>
              <w:right w:val="single" w:color="auto" w:sz="4" w:space="0"/>
            </w:tcBorders>
            <w:shd w:val="clear" w:color="auto" w:fill="auto"/>
            <w:vAlign w:val="center"/>
          </w:tcPr>
          <w:p w14:paraId="11823D37">
            <w:pPr>
              <w:pStyle w:val="276"/>
              <w:rPr>
                <w:color w:val="auto"/>
                <w:lang w:val="en-US"/>
              </w:rPr>
            </w:pPr>
            <w:r>
              <w:rPr>
                <w:rFonts w:hint="eastAsia"/>
                <w:color w:val="auto"/>
              </w:rPr>
              <w:t>废活性炭</w:t>
            </w:r>
          </w:p>
        </w:tc>
        <w:tc>
          <w:tcPr>
            <w:tcW w:w="1419" w:type="dxa"/>
            <w:tcBorders>
              <w:top w:val="single" w:color="auto" w:sz="4" w:space="0"/>
              <w:left w:val="single" w:color="auto" w:sz="4" w:space="0"/>
              <w:bottom w:val="single" w:color="auto" w:sz="4" w:space="0"/>
              <w:right w:val="single" w:color="auto" w:sz="4" w:space="0"/>
            </w:tcBorders>
            <w:shd w:val="clear" w:color="auto" w:fill="auto"/>
            <w:vAlign w:val="center"/>
          </w:tcPr>
          <w:p w14:paraId="094BF8A8">
            <w:pPr>
              <w:widowControl/>
              <w:spacing w:line="240" w:lineRule="auto"/>
              <w:ind w:firstLine="0" w:firstLineChars="0"/>
              <w:jc w:val="center"/>
              <w:rPr>
                <w:color w:val="auto"/>
              </w:rPr>
            </w:pPr>
            <w:r>
              <w:rPr>
                <w:rFonts w:hint="eastAsia"/>
                <w:color w:val="auto"/>
                <w:sz w:val="21"/>
                <w:lang w:val="zh-CN"/>
              </w:rPr>
              <w:t>HW49</w:t>
            </w:r>
          </w:p>
        </w:tc>
        <w:tc>
          <w:tcPr>
            <w:tcW w:w="1421" w:type="dxa"/>
            <w:tcBorders>
              <w:top w:val="single" w:color="auto" w:sz="4" w:space="0"/>
              <w:left w:val="single" w:color="auto" w:sz="4" w:space="0"/>
              <w:bottom w:val="single" w:color="auto" w:sz="4" w:space="0"/>
              <w:right w:val="single" w:color="auto" w:sz="4" w:space="0"/>
            </w:tcBorders>
            <w:shd w:val="clear" w:color="auto" w:fill="auto"/>
            <w:vAlign w:val="center"/>
          </w:tcPr>
          <w:p w14:paraId="1A0D5DD8">
            <w:pPr>
              <w:pStyle w:val="276"/>
              <w:rPr>
                <w:color w:val="auto"/>
                <w:lang w:val="en-US"/>
              </w:rPr>
            </w:pPr>
            <w:r>
              <w:rPr>
                <w:rFonts w:hint="eastAsia"/>
                <w:color w:val="auto"/>
              </w:rPr>
              <w:t>900-039-49</w:t>
            </w:r>
          </w:p>
        </w:tc>
        <w:tc>
          <w:tcPr>
            <w:tcW w:w="142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E23A66F">
            <w:pPr>
              <w:ind w:firstLine="400"/>
              <w:rPr>
                <w:rFonts w:ascii="等线" w:hAnsi="等线" w:eastAsia="等线" w:cs="等线"/>
                <w:color w:val="auto"/>
                <w:sz w:val="20"/>
              </w:rPr>
            </w:pPr>
          </w:p>
        </w:tc>
        <w:tc>
          <w:tcPr>
            <w:tcW w:w="212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83AD927">
            <w:pPr>
              <w:ind w:firstLine="400"/>
              <w:rPr>
                <w:rFonts w:ascii="等线" w:hAnsi="等线" w:eastAsia="等线" w:cs="等线"/>
                <w:color w:val="auto"/>
                <w:sz w:val="20"/>
              </w:rPr>
            </w:pPr>
          </w:p>
        </w:tc>
        <w:tc>
          <w:tcPr>
            <w:tcW w:w="118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D9CC811">
            <w:pPr>
              <w:ind w:firstLine="400"/>
              <w:rPr>
                <w:rFonts w:ascii="等线" w:hAnsi="等线" w:eastAsia="等线" w:cs="等线"/>
                <w:color w:val="auto"/>
                <w:sz w:val="20"/>
              </w:rPr>
            </w:pPr>
          </w:p>
        </w:tc>
        <w:tc>
          <w:tcPr>
            <w:tcW w:w="11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F9844EB">
            <w:pPr>
              <w:ind w:firstLine="400"/>
              <w:rPr>
                <w:rFonts w:ascii="等线" w:hAnsi="等线" w:eastAsia="等线" w:cs="等线"/>
                <w:color w:val="auto"/>
                <w:sz w:val="20"/>
              </w:rPr>
            </w:pPr>
          </w:p>
        </w:tc>
        <w:tc>
          <w:tcPr>
            <w:tcW w:w="120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0AA190C">
            <w:pPr>
              <w:ind w:firstLine="400"/>
              <w:rPr>
                <w:rFonts w:ascii="等线" w:hAnsi="等线" w:eastAsia="等线" w:cs="等线"/>
                <w:color w:val="auto"/>
                <w:sz w:val="20"/>
              </w:rPr>
            </w:pPr>
          </w:p>
        </w:tc>
      </w:tr>
      <w:tr w14:paraId="63CC0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A169F8E">
            <w:pPr>
              <w:ind w:firstLine="400"/>
              <w:rPr>
                <w:rFonts w:ascii="等线" w:hAnsi="等线" w:eastAsia="等线" w:cs="等线"/>
                <w:color w:val="auto"/>
                <w:sz w:val="20"/>
              </w:rPr>
            </w:pPr>
          </w:p>
        </w:tc>
        <w:tc>
          <w:tcPr>
            <w:tcW w:w="169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B3E6845">
            <w:pPr>
              <w:ind w:firstLine="400"/>
              <w:rPr>
                <w:rFonts w:ascii="等线" w:hAnsi="等线" w:eastAsia="等线" w:cs="等线"/>
                <w:color w:val="auto"/>
                <w:sz w:val="20"/>
              </w:rPr>
            </w:pPr>
          </w:p>
        </w:tc>
        <w:tc>
          <w:tcPr>
            <w:tcW w:w="1419" w:type="dxa"/>
            <w:tcBorders>
              <w:top w:val="single" w:color="auto" w:sz="4" w:space="0"/>
              <w:left w:val="single" w:color="auto" w:sz="4" w:space="0"/>
              <w:bottom w:val="single" w:color="auto" w:sz="4" w:space="0"/>
              <w:right w:val="single" w:color="auto" w:sz="4" w:space="0"/>
            </w:tcBorders>
            <w:shd w:val="clear" w:color="auto" w:fill="auto"/>
            <w:vAlign w:val="center"/>
          </w:tcPr>
          <w:p w14:paraId="025E2CAC">
            <w:pPr>
              <w:pStyle w:val="276"/>
              <w:rPr>
                <w:color w:val="auto"/>
                <w:lang w:val="en-US"/>
              </w:rPr>
            </w:pPr>
            <w:r>
              <w:rPr>
                <w:rFonts w:hint="eastAsia"/>
                <w:color w:val="auto"/>
              </w:rPr>
              <w:t>实验室废物</w:t>
            </w:r>
          </w:p>
        </w:tc>
        <w:tc>
          <w:tcPr>
            <w:tcW w:w="1419" w:type="dxa"/>
            <w:tcBorders>
              <w:top w:val="single" w:color="auto" w:sz="4" w:space="0"/>
              <w:left w:val="single" w:color="auto" w:sz="4" w:space="0"/>
              <w:bottom w:val="single" w:color="auto" w:sz="4" w:space="0"/>
              <w:right w:val="single" w:color="auto" w:sz="4" w:space="0"/>
            </w:tcBorders>
            <w:shd w:val="clear" w:color="auto" w:fill="auto"/>
            <w:vAlign w:val="center"/>
          </w:tcPr>
          <w:p w14:paraId="6EB144B8">
            <w:pPr>
              <w:widowControl/>
              <w:spacing w:line="240" w:lineRule="auto"/>
              <w:ind w:firstLine="0" w:firstLineChars="0"/>
              <w:jc w:val="center"/>
              <w:rPr>
                <w:color w:val="auto"/>
              </w:rPr>
            </w:pPr>
            <w:r>
              <w:rPr>
                <w:rFonts w:hint="eastAsia"/>
                <w:color w:val="auto"/>
                <w:sz w:val="21"/>
                <w:lang w:val="zh-CN"/>
              </w:rPr>
              <w:t>HW49</w:t>
            </w:r>
          </w:p>
        </w:tc>
        <w:tc>
          <w:tcPr>
            <w:tcW w:w="1421" w:type="dxa"/>
            <w:tcBorders>
              <w:top w:val="single" w:color="auto" w:sz="4" w:space="0"/>
              <w:left w:val="single" w:color="auto" w:sz="4" w:space="0"/>
              <w:bottom w:val="single" w:color="auto" w:sz="4" w:space="0"/>
              <w:right w:val="single" w:color="auto" w:sz="4" w:space="0"/>
            </w:tcBorders>
            <w:shd w:val="clear" w:color="auto" w:fill="auto"/>
            <w:vAlign w:val="center"/>
          </w:tcPr>
          <w:p w14:paraId="2CC5D61B">
            <w:pPr>
              <w:pStyle w:val="276"/>
              <w:rPr>
                <w:color w:val="auto"/>
                <w:lang w:val="en-US"/>
              </w:rPr>
            </w:pPr>
            <w:r>
              <w:rPr>
                <w:rFonts w:hint="eastAsia"/>
                <w:color w:val="auto"/>
              </w:rPr>
              <w:t>900-047-49</w:t>
            </w:r>
          </w:p>
        </w:tc>
        <w:tc>
          <w:tcPr>
            <w:tcW w:w="142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5EB2C45">
            <w:pPr>
              <w:ind w:firstLine="400"/>
              <w:rPr>
                <w:rFonts w:ascii="等线" w:hAnsi="等线" w:eastAsia="等线" w:cs="等线"/>
                <w:color w:val="auto"/>
                <w:sz w:val="20"/>
              </w:rPr>
            </w:pPr>
          </w:p>
        </w:tc>
        <w:tc>
          <w:tcPr>
            <w:tcW w:w="212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BBB23BF">
            <w:pPr>
              <w:ind w:firstLine="400"/>
              <w:rPr>
                <w:rFonts w:ascii="等线" w:hAnsi="等线" w:eastAsia="等线" w:cs="等线"/>
                <w:color w:val="auto"/>
                <w:sz w:val="20"/>
              </w:rPr>
            </w:pPr>
          </w:p>
        </w:tc>
        <w:tc>
          <w:tcPr>
            <w:tcW w:w="118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04A4F5B">
            <w:pPr>
              <w:ind w:firstLine="400"/>
              <w:rPr>
                <w:rFonts w:ascii="等线" w:hAnsi="等线" w:eastAsia="等线" w:cs="等线"/>
                <w:color w:val="auto"/>
                <w:sz w:val="20"/>
              </w:rPr>
            </w:pPr>
          </w:p>
        </w:tc>
        <w:tc>
          <w:tcPr>
            <w:tcW w:w="11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26EA995">
            <w:pPr>
              <w:ind w:firstLine="400"/>
              <w:rPr>
                <w:rFonts w:ascii="等线" w:hAnsi="等线" w:eastAsia="等线" w:cs="等线"/>
                <w:color w:val="auto"/>
                <w:sz w:val="20"/>
              </w:rPr>
            </w:pPr>
          </w:p>
        </w:tc>
        <w:tc>
          <w:tcPr>
            <w:tcW w:w="120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CE9E966">
            <w:pPr>
              <w:ind w:firstLine="400"/>
              <w:rPr>
                <w:rFonts w:ascii="等线" w:hAnsi="等线" w:eastAsia="等线" w:cs="等线"/>
                <w:color w:val="auto"/>
                <w:sz w:val="20"/>
              </w:rPr>
            </w:pPr>
          </w:p>
        </w:tc>
      </w:tr>
      <w:tr w14:paraId="6BFCF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9A0DEDF">
            <w:pPr>
              <w:ind w:firstLine="400"/>
              <w:rPr>
                <w:rFonts w:ascii="等线" w:hAnsi="等线" w:eastAsia="等线" w:cs="等线"/>
                <w:color w:val="auto"/>
                <w:sz w:val="20"/>
              </w:rPr>
            </w:pPr>
          </w:p>
        </w:tc>
        <w:tc>
          <w:tcPr>
            <w:tcW w:w="169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E64D809">
            <w:pPr>
              <w:ind w:firstLine="400"/>
              <w:rPr>
                <w:rFonts w:ascii="等线" w:hAnsi="等线" w:eastAsia="等线" w:cs="等线"/>
                <w:color w:val="auto"/>
                <w:sz w:val="20"/>
              </w:rPr>
            </w:pPr>
          </w:p>
        </w:tc>
        <w:tc>
          <w:tcPr>
            <w:tcW w:w="1419" w:type="dxa"/>
            <w:tcBorders>
              <w:top w:val="single" w:color="auto" w:sz="4" w:space="0"/>
              <w:left w:val="single" w:color="auto" w:sz="4" w:space="0"/>
              <w:bottom w:val="single" w:color="auto" w:sz="4" w:space="0"/>
              <w:right w:val="single" w:color="auto" w:sz="4" w:space="0"/>
            </w:tcBorders>
            <w:shd w:val="clear" w:color="auto" w:fill="auto"/>
            <w:vAlign w:val="center"/>
          </w:tcPr>
          <w:p w14:paraId="0D6D76AF">
            <w:pPr>
              <w:pStyle w:val="276"/>
              <w:rPr>
                <w:color w:val="auto"/>
                <w:lang w:val="en-US"/>
              </w:rPr>
            </w:pPr>
            <w:r>
              <w:rPr>
                <w:rFonts w:hint="eastAsia"/>
                <w:color w:val="auto"/>
              </w:rPr>
              <w:t>废油类、废油桶及含油废物</w:t>
            </w:r>
          </w:p>
        </w:tc>
        <w:tc>
          <w:tcPr>
            <w:tcW w:w="1419" w:type="dxa"/>
            <w:tcBorders>
              <w:top w:val="single" w:color="auto" w:sz="4" w:space="0"/>
              <w:left w:val="single" w:color="auto" w:sz="4" w:space="0"/>
              <w:bottom w:val="single" w:color="auto" w:sz="4" w:space="0"/>
              <w:right w:val="single" w:color="auto" w:sz="4" w:space="0"/>
            </w:tcBorders>
            <w:shd w:val="clear" w:color="auto" w:fill="auto"/>
            <w:vAlign w:val="center"/>
          </w:tcPr>
          <w:p w14:paraId="79BDE94D">
            <w:pPr>
              <w:widowControl/>
              <w:spacing w:line="240" w:lineRule="auto"/>
              <w:ind w:firstLine="0" w:firstLineChars="0"/>
              <w:jc w:val="center"/>
              <w:rPr>
                <w:color w:val="auto"/>
              </w:rPr>
            </w:pPr>
            <w:r>
              <w:rPr>
                <w:rFonts w:hint="eastAsia"/>
                <w:color w:val="auto"/>
                <w:sz w:val="21"/>
                <w:lang w:val="zh-CN"/>
              </w:rPr>
              <w:t>HW08</w:t>
            </w:r>
          </w:p>
        </w:tc>
        <w:tc>
          <w:tcPr>
            <w:tcW w:w="1421" w:type="dxa"/>
            <w:tcBorders>
              <w:top w:val="single" w:color="auto" w:sz="4" w:space="0"/>
              <w:left w:val="single" w:color="auto" w:sz="4" w:space="0"/>
              <w:bottom w:val="single" w:color="auto" w:sz="4" w:space="0"/>
              <w:right w:val="single" w:color="auto" w:sz="4" w:space="0"/>
            </w:tcBorders>
            <w:shd w:val="clear" w:color="auto" w:fill="auto"/>
            <w:vAlign w:val="center"/>
          </w:tcPr>
          <w:p w14:paraId="757FCE51">
            <w:pPr>
              <w:pStyle w:val="276"/>
              <w:rPr>
                <w:color w:val="auto"/>
                <w:lang w:val="en-US"/>
              </w:rPr>
            </w:pPr>
            <w:r>
              <w:rPr>
                <w:rFonts w:hint="eastAsia"/>
                <w:color w:val="auto"/>
              </w:rPr>
              <w:t>900-249-08</w:t>
            </w:r>
          </w:p>
        </w:tc>
        <w:tc>
          <w:tcPr>
            <w:tcW w:w="142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9435D29">
            <w:pPr>
              <w:ind w:firstLine="400"/>
              <w:rPr>
                <w:rFonts w:ascii="等线" w:hAnsi="等线" w:eastAsia="等线" w:cs="等线"/>
                <w:color w:val="auto"/>
                <w:sz w:val="20"/>
              </w:rPr>
            </w:pPr>
          </w:p>
        </w:tc>
        <w:tc>
          <w:tcPr>
            <w:tcW w:w="212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D60D854">
            <w:pPr>
              <w:ind w:firstLine="400"/>
              <w:rPr>
                <w:rFonts w:ascii="等线" w:hAnsi="等线" w:eastAsia="等线" w:cs="等线"/>
                <w:color w:val="auto"/>
                <w:sz w:val="20"/>
              </w:rPr>
            </w:pPr>
          </w:p>
        </w:tc>
        <w:tc>
          <w:tcPr>
            <w:tcW w:w="118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F3C803C">
            <w:pPr>
              <w:ind w:firstLine="400"/>
              <w:rPr>
                <w:rFonts w:ascii="等线" w:hAnsi="等线" w:eastAsia="等线" w:cs="等线"/>
                <w:color w:val="auto"/>
                <w:sz w:val="20"/>
              </w:rPr>
            </w:pPr>
          </w:p>
        </w:tc>
        <w:tc>
          <w:tcPr>
            <w:tcW w:w="11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12B8185">
            <w:pPr>
              <w:ind w:firstLine="400"/>
              <w:rPr>
                <w:rFonts w:ascii="等线" w:hAnsi="等线" w:eastAsia="等线" w:cs="等线"/>
                <w:color w:val="auto"/>
                <w:sz w:val="20"/>
              </w:rPr>
            </w:pPr>
          </w:p>
        </w:tc>
        <w:tc>
          <w:tcPr>
            <w:tcW w:w="120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71F74F4">
            <w:pPr>
              <w:ind w:firstLine="400"/>
              <w:rPr>
                <w:rFonts w:ascii="等线" w:hAnsi="等线" w:eastAsia="等线" w:cs="等线"/>
                <w:color w:val="auto"/>
                <w:sz w:val="20"/>
              </w:rPr>
            </w:pPr>
          </w:p>
        </w:tc>
      </w:tr>
      <w:tr w14:paraId="330F8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05B40AF">
            <w:pPr>
              <w:ind w:firstLine="400"/>
              <w:rPr>
                <w:rFonts w:ascii="等线" w:hAnsi="等线" w:eastAsia="等线" w:cs="等线"/>
                <w:color w:val="auto"/>
                <w:sz w:val="20"/>
              </w:rPr>
            </w:pPr>
          </w:p>
        </w:tc>
        <w:tc>
          <w:tcPr>
            <w:tcW w:w="169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F75AC66">
            <w:pPr>
              <w:ind w:firstLine="400"/>
              <w:rPr>
                <w:rFonts w:ascii="等线" w:hAnsi="等线" w:eastAsia="等线" w:cs="等线"/>
                <w:color w:val="auto"/>
                <w:sz w:val="20"/>
              </w:rPr>
            </w:pPr>
          </w:p>
        </w:tc>
        <w:tc>
          <w:tcPr>
            <w:tcW w:w="1419" w:type="dxa"/>
            <w:tcBorders>
              <w:top w:val="single" w:color="auto" w:sz="4" w:space="0"/>
              <w:left w:val="single" w:color="auto" w:sz="4" w:space="0"/>
              <w:bottom w:val="single" w:color="auto" w:sz="4" w:space="0"/>
              <w:right w:val="single" w:color="auto" w:sz="4" w:space="0"/>
            </w:tcBorders>
            <w:shd w:val="clear" w:color="auto" w:fill="auto"/>
            <w:vAlign w:val="center"/>
          </w:tcPr>
          <w:p w14:paraId="56721035">
            <w:pPr>
              <w:pStyle w:val="276"/>
              <w:rPr>
                <w:color w:val="auto"/>
                <w:lang w:val="en-US"/>
              </w:rPr>
            </w:pPr>
            <w:r>
              <w:rPr>
                <w:rFonts w:hint="eastAsia"/>
                <w:color w:val="auto"/>
              </w:rPr>
              <w:t>废膜</w:t>
            </w:r>
          </w:p>
        </w:tc>
        <w:tc>
          <w:tcPr>
            <w:tcW w:w="1419" w:type="dxa"/>
            <w:tcBorders>
              <w:top w:val="single" w:color="auto" w:sz="4" w:space="0"/>
              <w:left w:val="single" w:color="auto" w:sz="4" w:space="0"/>
              <w:bottom w:val="single" w:color="auto" w:sz="4" w:space="0"/>
              <w:right w:val="single" w:color="auto" w:sz="4" w:space="0"/>
            </w:tcBorders>
            <w:shd w:val="clear" w:color="auto" w:fill="auto"/>
            <w:vAlign w:val="center"/>
          </w:tcPr>
          <w:p w14:paraId="6EBB5D51">
            <w:pPr>
              <w:widowControl/>
              <w:spacing w:line="240" w:lineRule="auto"/>
              <w:ind w:firstLine="0" w:firstLineChars="0"/>
              <w:jc w:val="center"/>
              <w:rPr>
                <w:color w:val="auto"/>
              </w:rPr>
            </w:pPr>
            <w:r>
              <w:rPr>
                <w:rFonts w:hint="eastAsia"/>
                <w:color w:val="auto"/>
                <w:sz w:val="21"/>
                <w:lang w:val="zh-CN"/>
              </w:rPr>
              <w:t>HW49</w:t>
            </w:r>
          </w:p>
        </w:tc>
        <w:tc>
          <w:tcPr>
            <w:tcW w:w="1421" w:type="dxa"/>
            <w:tcBorders>
              <w:top w:val="single" w:color="auto" w:sz="4" w:space="0"/>
              <w:left w:val="single" w:color="auto" w:sz="4" w:space="0"/>
              <w:bottom w:val="single" w:color="auto" w:sz="4" w:space="0"/>
              <w:right w:val="single" w:color="auto" w:sz="4" w:space="0"/>
            </w:tcBorders>
            <w:shd w:val="clear" w:color="auto" w:fill="auto"/>
            <w:vAlign w:val="center"/>
          </w:tcPr>
          <w:p w14:paraId="16945A14">
            <w:pPr>
              <w:pStyle w:val="276"/>
              <w:rPr>
                <w:color w:val="auto"/>
                <w:lang w:val="en-US"/>
              </w:rPr>
            </w:pPr>
            <w:r>
              <w:rPr>
                <w:rFonts w:hint="eastAsia"/>
                <w:color w:val="auto"/>
              </w:rPr>
              <w:t>900-0</w:t>
            </w:r>
            <w:r>
              <w:rPr>
                <w:rFonts w:hint="eastAsia"/>
                <w:color w:val="auto"/>
                <w:lang w:val="en-US"/>
              </w:rPr>
              <w:t>41</w:t>
            </w:r>
            <w:r>
              <w:rPr>
                <w:rFonts w:hint="eastAsia"/>
                <w:color w:val="auto"/>
              </w:rPr>
              <w:t>-49</w:t>
            </w:r>
          </w:p>
        </w:tc>
        <w:tc>
          <w:tcPr>
            <w:tcW w:w="142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2610BD4">
            <w:pPr>
              <w:ind w:firstLine="400"/>
              <w:rPr>
                <w:rFonts w:ascii="等线" w:hAnsi="等线" w:eastAsia="等线" w:cs="等线"/>
                <w:color w:val="auto"/>
                <w:sz w:val="20"/>
              </w:rPr>
            </w:pPr>
          </w:p>
        </w:tc>
        <w:tc>
          <w:tcPr>
            <w:tcW w:w="212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00AEBA8">
            <w:pPr>
              <w:ind w:firstLine="400"/>
              <w:rPr>
                <w:rFonts w:ascii="等线" w:hAnsi="等线" w:eastAsia="等线" w:cs="等线"/>
                <w:color w:val="auto"/>
                <w:sz w:val="20"/>
              </w:rPr>
            </w:pPr>
          </w:p>
        </w:tc>
        <w:tc>
          <w:tcPr>
            <w:tcW w:w="118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2BCEE6F">
            <w:pPr>
              <w:ind w:firstLine="400"/>
              <w:rPr>
                <w:rFonts w:ascii="等线" w:hAnsi="等线" w:eastAsia="等线" w:cs="等线"/>
                <w:color w:val="auto"/>
                <w:sz w:val="20"/>
              </w:rPr>
            </w:pPr>
          </w:p>
        </w:tc>
        <w:tc>
          <w:tcPr>
            <w:tcW w:w="11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4A82C8C">
            <w:pPr>
              <w:ind w:firstLine="400"/>
              <w:rPr>
                <w:rFonts w:ascii="等线" w:hAnsi="等线" w:eastAsia="等线" w:cs="等线"/>
                <w:color w:val="auto"/>
                <w:sz w:val="20"/>
              </w:rPr>
            </w:pPr>
          </w:p>
        </w:tc>
        <w:tc>
          <w:tcPr>
            <w:tcW w:w="120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05E430A">
            <w:pPr>
              <w:ind w:firstLine="400"/>
              <w:rPr>
                <w:rFonts w:ascii="等线" w:hAnsi="等线" w:eastAsia="等线" w:cs="等线"/>
                <w:color w:val="auto"/>
                <w:sz w:val="20"/>
              </w:rPr>
            </w:pPr>
          </w:p>
        </w:tc>
      </w:tr>
      <w:tr w14:paraId="353FD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45" w:type="dxa"/>
            <w:tcBorders>
              <w:top w:val="single" w:color="auto" w:sz="4" w:space="0"/>
              <w:left w:val="single" w:color="auto" w:sz="4" w:space="0"/>
              <w:bottom w:val="single" w:color="auto" w:sz="4" w:space="0"/>
              <w:right w:val="single" w:color="auto" w:sz="4" w:space="0"/>
            </w:tcBorders>
            <w:shd w:val="clear" w:color="auto" w:fill="auto"/>
            <w:vAlign w:val="center"/>
          </w:tcPr>
          <w:p w14:paraId="0409C8FC">
            <w:pPr>
              <w:pStyle w:val="81"/>
              <w:widowControl w:val="0"/>
              <w:autoSpaceDE w:val="0"/>
              <w:autoSpaceDN w:val="0"/>
              <w:spacing w:before="0" w:beforeAutospacing="0" w:after="0" w:afterAutospacing="0"/>
              <w:jc w:val="center"/>
              <w:rPr>
                <w:color w:val="auto"/>
                <w:lang w:val="en-US"/>
              </w:rPr>
            </w:pPr>
            <w:r>
              <w:rPr>
                <w:rFonts w:hAnsi="Times New Roman"/>
                <w:color w:val="auto"/>
                <w:kern w:val="2"/>
                <w:sz w:val="21"/>
                <w:szCs w:val="20"/>
                <w:lang w:val="en-US" w:bidi="ar"/>
              </w:rPr>
              <w:t>2</w:t>
            </w:r>
          </w:p>
        </w:tc>
        <w:tc>
          <w:tcPr>
            <w:tcW w:w="1691" w:type="dxa"/>
            <w:tcBorders>
              <w:top w:val="single" w:color="auto" w:sz="4" w:space="0"/>
              <w:left w:val="single" w:color="auto" w:sz="4" w:space="0"/>
              <w:bottom w:val="single" w:color="auto" w:sz="4" w:space="0"/>
              <w:right w:val="single" w:color="auto" w:sz="4" w:space="0"/>
            </w:tcBorders>
            <w:shd w:val="clear" w:color="auto" w:fill="auto"/>
            <w:vAlign w:val="center"/>
          </w:tcPr>
          <w:p w14:paraId="578C0F90">
            <w:pPr>
              <w:pStyle w:val="3361"/>
              <w:rPr>
                <w:color w:val="auto"/>
                <w:lang w:val="en-US"/>
              </w:rPr>
            </w:pPr>
            <w:r>
              <w:rPr>
                <w:rFonts w:hint="eastAsia"/>
                <w:color w:val="auto"/>
              </w:rPr>
              <w:t>污泥贮存库</w:t>
            </w:r>
          </w:p>
        </w:tc>
        <w:tc>
          <w:tcPr>
            <w:tcW w:w="1419" w:type="dxa"/>
            <w:tcBorders>
              <w:top w:val="single" w:color="auto" w:sz="4" w:space="0"/>
              <w:left w:val="single" w:color="auto" w:sz="4" w:space="0"/>
              <w:bottom w:val="single" w:color="auto" w:sz="4" w:space="0"/>
              <w:right w:val="single" w:color="auto" w:sz="4" w:space="0"/>
            </w:tcBorders>
            <w:shd w:val="clear" w:color="auto" w:fill="auto"/>
            <w:vAlign w:val="center"/>
          </w:tcPr>
          <w:p w14:paraId="0C5FDACB">
            <w:pPr>
              <w:pStyle w:val="276"/>
              <w:rPr>
                <w:color w:val="auto"/>
                <w:lang w:val="en-US"/>
              </w:rPr>
            </w:pPr>
            <w:r>
              <w:rPr>
                <w:rFonts w:hint="eastAsia"/>
                <w:color w:val="auto"/>
              </w:rPr>
              <w:t>污泥</w:t>
            </w:r>
          </w:p>
        </w:tc>
        <w:tc>
          <w:tcPr>
            <w:tcW w:w="1419" w:type="dxa"/>
            <w:tcBorders>
              <w:top w:val="single" w:color="auto" w:sz="4" w:space="0"/>
              <w:left w:val="single" w:color="auto" w:sz="4" w:space="0"/>
              <w:bottom w:val="single" w:color="auto" w:sz="4" w:space="0"/>
              <w:right w:val="single" w:color="auto" w:sz="4" w:space="0"/>
            </w:tcBorders>
            <w:shd w:val="clear" w:color="auto" w:fill="auto"/>
            <w:vAlign w:val="center"/>
          </w:tcPr>
          <w:p w14:paraId="1B874568">
            <w:pPr>
              <w:pStyle w:val="81"/>
              <w:widowControl w:val="0"/>
              <w:spacing w:before="0" w:beforeAutospacing="0" w:after="0" w:afterAutospacing="0"/>
              <w:jc w:val="center"/>
              <w:rPr>
                <w:color w:val="auto"/>
                <w:lang w:val="en-US"/>
              </w:rPr>
            </w:pPr>
            <w:r>
              <w:rPr>
                <w:rFonts w:hAnsi="Times New Roman"/>
                <w:color w:val="auto"/>
                <w:kern w:val="2"/>
                <w:sz w:val="21"/>
                <w:szCs w:val="18"/>
                <w:lang w:val="en-US" w:bidi="ar"/>
              </w:rPr>
              <w:t>HW</w:t>
            </w:r>
            <w:r>
              <w:rPr>
                <w:rFonts w:hint="eastAsia" w:hAnsi="Times New Roman"/>
                <w:color w:val="auto"/>
                <w:kern w:val="2"/>
                <w:sz w:val="21"/>
                <w:szCs w:val="18"/>
                <w:lang w:val="en-US" w:bidi="ar"/>
              </w:rPr>
              <w:t>49</w:t>
            </w:r>
          </w:p>
        </w:tc>
        <w:tc>
          <w:tcPr>
            <w:tcW w:w="1421" w:type="dxa"/>
            <w:tcBorders>
              <w:top w:val="single" w:color="auto" w:sz="4" w:space="0"/>
              <w:left w:val="single" w:color="auto" w:sz="4" w:space="0"/>
              <w:bottom w:val="single" w:color="auto" w:sz="4" w:space="0"/>
              <w:right w:val="single" w:color="auto" w:sz="4" w:space="0"/>
            </w:tcBorders>
            <w:shd w:val="clear" w:color="auto" w:fill="auto"/>
            <w:vAlign w:val="center"/>
          </w:tcPr>
          <w:p w14:paraId="625C9034">
            <w:pPr>
              <w:pStyle w:val="81"/>
              <w:widowControl w:val="0"/>
              <w:spacing w:before="0" w:beforeAutospacing="0" w:after="0" w:afterAutospacing="0"/>
              <w:jc w:val="center"/>
              <w:rPr>
                <w:color w:val="auto"/>
                <w:lang w:val="en-US"/>
              </w:rPr>
            </w:pPr>
            <w:r>
              <w:rPr>
                <w:rFonts w:hint="eastAsia"/>
                <w:color w:val="auto"/>
              </w:rPr>
              <w:t>772-006-49</w:t>
            </w:r>
          </w:p>
        </w:tc>
        <w:tc>
          <w:tcPr>
            <w:tcW w:w="1421" w:type="dxa"/>
            <w:tcBorders>
              <w:top w:val="single" w:color="auto" w:sz="4" w:space="0"/>
              <w:left w:val="single" w:color="auto" w:sz="4" w:space="0"/>
              <w:bottom w:val="single" w:color="auto" w:sz="4" w:space="0"/>
              <w:right w:val="single" w:color="auto" w:sz="4" w:space="0"/>
            </w:tcBorders>
            <w:shd w:val="clear" w:color="auto" w:fill="auto"/>
            <w:vAlign w:val="center"/>
          </w:tcPr>
          <w:p w14:paraId="75496CEB">
            <w:pPr>
              <w:pStyle w:val="81"/>
              <w:widowControl w:val="0"/>
              <w:autoSpaceDE w:val="0"/>
              <w:autoSpaceDN w:val="0"/>
              <w:spacing w:before="0" w:beforeAutospacing="0" w:after="0" w:afterAutospacing="0"/>
              <w:jc w:val="center"/>
              <w:rPr>
                <w:color w:val="auto"/>
                <w:lang w:val="en-US"/>
              </w:rPr>
            </w:pPr>
            <w:r>
              <w:rPr>
                <w:rFonts w:hint="eastAsia" w:hAnsi="Times New Roman" w:cs="宋体"/>
                <w:color w:val="auto"/>
                <w:kern w:val="2"/>
                <w:sz w:val="21"/>
                <w:szCs w:val="20"/>
                <w:lang w:val="en-US" w:bidi="ar"/>
              </w:rPr>
              <w:t>厂区西南角</w:t>
            </w:r>
          </w:p>
        </w:tc>
        <w:tc>
          <w:tcPr>
            <w:tcW w:w="2122" w:type="dxa"/>
            <w:tcBorders>
              <w:top w:val="single" w:color="auto" w:sz="4" w:space="0"/>
              <w:left w:val="single" w:color="auto" w:sz="4" w:space="0"/>
              <w:bottom w:val="single" w:color="auto" w:sz="4" w:space="0"/>
              <w:right w:val="single" w:color="auto" w:sz="4" w:space="0"/>
            </w:tcBorders>
            <w:shd w:val="clear" w:color="auto" w:fill="auto"/>
            <w:vAlign w:val="center"/>
          </w:tcPr>
          <w:p w14:paraId="656DD528">
            <w:pPr>
              <w:pStyle w:val="81"/>
              <w:widowControl w:val="0"/>
              <w:autoSpaceDE w:val="0"/>
              <w:autoSpaceDN w:val="0"/>
              <w:spacing w:before="0" w:beforeAutospacing="0" w:after="0" w:afterAutospacing="0"/>
              <w:jc w:val="center"/>
              <w:rPr>
                <w:rFonts w:hint="default" w:eastAsia="宋体"/>
                <w:color w:val="auto"/>
                <w:lang w:val="en-US" w:eastAsia="zh-CN"/>
              </w:rPr>
            </w:pPr>
            <w:r>
              <w:rPr>
                <w:rFonts w:hint="eastAsia" w:hAnsi="Times New Roman"/>
                <w:color w:val="auto"/>
                <w:kern w:val="2"/>
                <w:sz w:val="18"/>
                <w:szCs w:val="20"/>
                <w:lang w:val="en-US" w:eastAsia="zh-CN" w:bidi="ar"/>
              </w:rPr>
              <w:t>35</w:t>
            </w:r>
          </w:p>
        </w:tc>
        <w:tc>
          <w:tcPr>
            <w:tcW w:w="1186" w:type="dxa"/>
            <w:tcBorders>
              <w:top w:val="single" w:color="auto" w:sz="4" w:space="0"/>
              <w:left w:val="single" w:color="auto" w:sz="4" w:space="0"/>
              <w:bottom w:val="single" w:color="auto" w:sz="4" w:space="0"/>
              <w:right w:val="single" w:color="auto" w:sz="4" w:space="0"/>
            </w:tcBorders>
            <w:shd w:val="clear" w:color="auto" w:fill="auto"/>
            <w:vAlign w:val="center"/>
          </w:tcPr>
          <w:p w14:paraId="2B51B02C">
            <w:pPr>
              <w:pStyle w:val="81"/>
              <w:widowControl w:val="0"/>
              <w:autoSpaceDE w:val="0"/>
              <w:autoSpaceDN w:val="0"/>
              <w:spacing w:before="0" w:beforeAutospacing="0" w:after="0" w:afterAutospacing="0"/>
              <w:jc w:val="center"/>
              <w:rPr>
                <w:color w:val="auto"/>
                <w:lang w:val="en-US"/>
              </w:rPr>
            </w:pPr>
            <w:r>
              <w:rPr>
                <w:rFonts w:hint="eastAsia" w:hAnsi="Times New Roman" w:cs="宋体"/>
                <w:color w:val="auto"/>
                <w:kern w:val="2"/>
                <w:sz w:val="21"/>
                <w:szCs w:val="20"/>
                <w:lang w:val="en-US" w:bidi="ar"/>
              </w:rPr>
              <w:t>固体危废袋装</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14:paraId="0EDB136E">
            <w:pPr>
              <w:pStyle w:val="81"/>
              <w:widowControl w:val="0"/>
              <w:autoSpaceDE w:val="0"/>
              <w:autoSpaceDN w:val="0"/>
              <w:spacing w:before="0" w:beforeAutospacing="0" w:after="0" w:afterAutospacing="0"/>
              <w:jc w:val="center"/>
              <w:rPr>
                <w:rFonts w:hint="default" w:eastAsia="宋体"/>
                <w:color w:val="auto"/>
                <w:lang w:val="en-US" w:eastAsia="zh-CN"/>
              </w:rPr>
            </w:pPr>
            <w:r>
              <w:rPr>
                <w:rFonts w:hint="eastAsia" w:hAnsi="Times New Roman"/>
                <w:color w:val="auto"/>
                <w:kern w:val="2"/>
                <w:sz w:val="21"/>
                <w:szCs w:val="20"/>
                <w:lang w:val="en-US" w:eastAsia="zh-CN" w:bidi="ar"/>
              </w:rPr>
              <w:t>140</w:t>
            </w:r>
          </w:p>
        </w:tc>
        <w:tc>
          <w:tcPr>
            <w:tcW w:w="1207" w:type="dxa"/>
            <w:tcBorders>
              <w:top w:val="single" w:color="auto" w:sz="4" w:space="0"/>
              <w:left w:val="single" w:color="auto" w:sz="4" w:space="0"/>
              <w:bottom w:val="single" w:color="auto" w:sz="4" w:space="0"/>
              <w:right w:val="single" w:color="auto" w:sz="4" w:space="0"/>
            </w:tcBorders>
            <w:shd w:val="clear" w:color="auto" w:fill="auto"/>
            <w:vAlign w:val="center"/>
          </w:tcPr>
          <w:p w14:paraId="491D283E">
            <w:pPr>
              <w:pStyle w:val="81"/>
              <w:widowControl w:val="0"/>
              <w:autoSpaceDE w:val="0"/>
              <w:autoSpaceDN w:val="0"/>
              <w:spacing w:before="0" w:beforeAutospacing="0" w:after="0" w:afterAutospacing="0"/>
              <w:jc w:val="center"/>
              <w:rPr>
                <w:color w:val="auto"/>
                <w:lang w:val="en-US"/>
              </w:rPr>
            </w:pPr>
            <w:r>
              <w:rPr>
                <w:rFonts w:hint="eastAsia" w:hAnsi="Times New Roman"/>
                <w:color w:val="auto"/>
                <w:kern w:val="2"/>
                <w:sz w:val="21"/>
                <w:szCs w:val="20"/>
                <w:lang w:val="en-US" w:bidi="ar"/>
              </w:rPr>
              <w:t>11</w:t>
            </w:r>
            <w:r>
              <w:rPr>
                <w:rFonts w:hint="eastAsia" w:hAnsi="Times New Roman" w:cs="宋体"/>
                <w:color w:val="auto"/>
                <w:kern w:val="2"/>
                <w:sz w:val="21"/>
                <w:szCs w:val="20"/>
                <w:lang w:val="en-US" w:bidi="ar"/>
              </w:rPr>
              <w:t>天</w:t>
            </w:r>
          </w:p>
        </w:tc>
      </w:tr>
      <w:tr w14:paraId="4FDFA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45" w:type="dxa"/>
            <w:tcBorders>
              <w:top w:val="single" w:color="auto" w:sz="4" w:space="0"/>
              <w:left w:val="single" w:color="auto" w:sz="4" w:space="0"/>
              <w:bottom w:val="single" w:color="auto" w:sz="4" w:space="0"/>
              <w:right w:val="single" w:color="auto" w:sz="4" w:space="0"/>
            </w:tcBorders>
            <w:shd w:val="clear" w:color="auto" w:fill="auto"/>
            <w:vAlign w:val="center"/>
          </w:tcPr>
          <w:p w14:paraId="6C5B505D">
            <w:pPr>
              <w:pStyle w:val="81"/>
              <w:widowControl w:val="0"/>
              <w:autoSpaceDE w:val="0"/>
              <w:autoSpaceDN w:val="0"/>
              <w:spacing w:before="0" w:beforeAutospacing="0" w:after="0" w:afterAutospacing="0"/>
              <w:jc w:val="center"/>
              <w:rPr>
                <w:rFonts w:hAnsi="Times New Roman"/>
                <w:color w:val="auto"/>
                <w:kern w:val="2"/>
                <w:sz w:val="21"/>
                <w:szCs w:val="20"/>
                <w:lang w:val="en-US" w:bidi="ar"/>
              </w:rPr>
            </w:pPr>
            <w:r>
              <w:rPr>
                <w:rFonts w:hint="eastAsia" w:hAnsi="Times New Roman"/>
                <w:color w:val="auto"/>
                <w:kern w:val="2"/>
                <w:sz w:val="21"/>
                <w:szCs w:val="20"/>
                <w:lang w:val="en-US" w:bidi="ar"/>
              </w:rPr>
              <w:t>3</w:t>
            </w:r>
          </w:p>
        </w:tc>
        <w:tc>
          <w:tcPr>
            <w:tcW w:w="1691" w:type="dxa"/>
            <w:tcBorders>
              <w:top w:val="single" w:color="auto" w:sz="4" w:space="0"/>
              <w:left w:val="single" w:color="auto" w:sz="4" w:space="0"/>
              <w:bottom w:val="single" w:color="auto" w:sz="4" w:space="0"/>
              <w:right w:val="single" w:color="auto" w:sz="4" w:space="0"/>
            </w:tcBorders>
            <w:shd w:val="clear" w:color="auto" w:fill="auto"/>
            <w:vAlign w:val="center"/>
          </w:tcPr>
          <w:p w14:paraId="6F59E0A5">
            <w:pPr>
              <w:pStyle w:val="3361"/>
              <w:rPr>
                <w:rFonts w:cs="宋体"/>
                <w:color w:val="auto"/>
                <w:szCs w:val="20"/>
                <w:lang w:val="en-US" w:bidi="ar"/>
              </w:rPr>
            </w:pPr>
            <w:r>
              <w:rPr>
                <w:rFonts w:hint="eastAsia"/>
                <w:color w:val="auto"/>
              </w:rPr>
              <w:t>盐贮存库</w:t>
            </w:r>
          </w:p>
        </w:tc>
        <w:tc>
          <w:tcPr>
            <w:tcW w:w="1419" w:type="dxa"/>
            <w:tcBorders>
              <w:top w:val="single" w:color="auto" w:sz="4" w:space="0"/>
              <w:left w:val="single" w:color="auto" w:sz="4" w:space="0"/>
              <w:bottom w:val="single" w:color="auto" w:sz="4" w:space="0"/>
              <w:right w:val="single" w:color="auto" w:sz="4" w:space="0"/>
            </w:tcBorders>
            <w:shd w:val="clear" w:color="auto" w:fill="auto"/>
            <w:vAlign w:val="center"/>
          </w:tcPr>
          <w:p w14:paraId="1DB0871E">
            <w:pPr>
              <w:pStyle w:val="276"/>
              <w:rPr>
                <w:rFonts w:cs="宋体"/>
                <w:color w:val="auto"/>
                <w:szCs w:val="20"/>
                <w:lang w:val="en-US" w:bidi="ar"/>
              </w:rPr>
            </w:pPr>
            <w:r>
              <w:rPr>
                <w:rFonts w:hint="eastAsia"/>
                <w:color w:val="auto"/>
              </w:rPr>
              <w:t>蒸发结晶盐</w:t>
            </w:r>
          </w:p>
        </w:tc>
        <w:tc>
          <w:tcPr>
            <w:tcW w:w="1419" w:type="dxa"/>
            <w:tcBorders>
              <w:top w:val="single" w:color="auto" w:sz="4" w:space="0"/>
              <w:left w:val="single" w:color="auto" w:sz="4" w:space="0"/>
              <w:bottom w:val="single" w:color="auto" w:sz="4" w:space="0"/>
              <w:right w:val="single" w:color="auto" w:sz="4" w:space="0"/>
            </w:tcBorders>
            <w:shd w:val="clear" w:color="auto" w:fill="auto"/>
            <w:vAlign w:val="center"/>
          </w:tcPr>
          <w:p w14:paraId="1B2C559C">
            <w:pPr>
              <w:pStyle w:val="81"/>
              <w:widowControl w:val="0"/>
              <w:spacing w:before="0" w:beforeAutospacing="0" w:after="0" w:afterAutospacing="0"/>
              <w:jc w:val="center"/>
              <w:rPr>
                <w:rFonts w:hAnsi="Times New Roman"/>
                <w:color w:val="auto"/>
                <w:kern w:val="2"/>
                <w:sz w:val="21"/>
                <w:szCs w:val="18"/>
                <w:lang w:val="en-US" w:bidi="ar"/>
              </w:rPr>
            </w:pPr>
            <w:r>
              <w:rPr>
                <w:rFonts w:hAnsi="Times New Roman"/>
                <w:color w:val="auto"/>
                <w:kern w:val="2"/>
                <w:sz w:val="21"/>
                <w:szCs w:val="18"/>
                <w:lang w:val="en-US" w:bidi="ar"/>
              </w:rPr>
              <w:t>HW</w:t>
            </w:r>
            <w:r>
              <w:rPr>
                <w:rFonts w:hint="eastAsia" w:hAnsi="Times New Roman"/>
                <w:color w:val="auto"/>
                <w:kern w:val="2"/>
                <w:sz w:val="21"/>
                <w:szCs w:val="18"/>
                <w:lang w:val="en-US" w:bidi="ar"/>
              </w:rPr>
              <w:t>49</w:t>
            </w:r>
          </w:p>
        </w:tc>
        <w:tc>
          <w:tcPr>
            <w:tcW w:w="1421" w:type="dxa"/>
            <w:tcBorders>
              <w:top w:val="single" w:color="auto" w:sz="4" w:space="0"/>
              <w:left w:val="single" w:color="auto" w:sz="4" w:space="0"/>
              <w:bottom w:val="single" w:color="auto" w:sz="4" w:space="0"/>
              <w:right w:val="single" w:color="auto" w:sz="4" w:space="0"/>
            </w:tcBorders>
            <w:shd w:val="clear" w:color="auto" w:fill="auto"/>
            <w:vAlign w:val="center"/>
          </w:tcPr>
          <w:p w14:paraId="2A85244A">
            <w:pPr>
              <w:pStyle w:val="81"/>
              <w:widowControl w:val="0"/>
              <w:spacing w:before="0" w:beforeAutospacing="0" w:after="0" w:afterAutospacing="0"/>
              <w:jc w:val="center"/>
              <w:rPr>
                <w:rFonts w:hAnsi="Times New Roman"/>
                <w:color w:val="auto"/>
                <w:kern w:val="2"/>
                <w:sz w:val="21"/>
                <w:szCs w:val="18"/>
                <w:lang w:val="en-US" w:bidi="ar"/>
              </w:rPr>
            </w:pPr>
            <w:r>
              <w:rPr>
                <w:rFonts w:hint="eastAsia"/>
                <w:color w:val="auto"/>
              </w:rPr>
              <w:t>772-006-49</w:t>
            </w:r>
          </w:p>
        </w:tc>
        <w:tc>
          <w:tcPr>
            <w:tcW w:w="1421" w:type="dxa"/>
            <w:tcBorders>
              <w:top w:val="single" w:color="auto" w:sz="4" w:space="0"/>
              <w:left w:val="single" w:color="auto" w:sz="4" w:space="0"/>
              <w:bottom w:val="single" w:color="auto" w:sz="4" w:space="0"/>
              <w:right w:val="single" w:color="auto" w:sz="4" w:space="0"/>
            </w:tcBorders>
            <w:shd w:val="clear" w:color="auto" w:fill="auto"/>
            <w:vAlign w:val="center"/>
          </w:tcPr>
          <w:p w14:paraId="46A772D0">
            <w:pPr>
              <w:pStyle w:val="81"/>
              <w:widowControl w:val="0"/>
              <w:autoSpaceDE w:val="0"/>
              <w:autoSpaceDN w:val="0"/>
              <w:spacing w:before="0" w:beforeAutospacing="0" w:after="0" w:afterAutospacing="0"/>
              <w:jc w:val="center"/>
              <w:rPr>
                <w:rFonts w:hAnsi="Times New Roman" w:cs="宋体"/>
                <w:color w:val="auto"/>
                <w:kern w:val="2"/>
                <w:sz w:val="21"/>
                <w:szCs w:val="20"/>
                <w:lang w:val="en-US" w:bidi="ar"/>
              </w:rPr>
            </w:pPr>
            <w:r>
              <w:rPr>
                <w:rFonts w:hint="eastAsia" w:hAnsi="Times New Roman" w:cs="宋体"/>
                <w:color w:val="auto"/>
                <w:kern w:val="2"/>
                <w:sz w:val="21"/>
                <w:szCs w:val="20"/>
                <w:lang w:val="en-US" w:bidi="ar"/>
              </w:rPr>
              <w:t>厂区西南角</w:t>
            </w:r>
          </w:p>
        </w:tc>
        <w:tc>
          <w:tcPr>
            <w:tcW w:w="2122" w:type="dxa"/>
            <w:tcBorders>
              <w:top w:val="single" w:color="auto" w:sz="4" w:space="0"/>
              <w:left w:val="single" w:color="auto" w:sz="4" w:space="0"/>
              <w:bottom w:val="single" w:color="auto" w:sz="4" w:space="0"/>
              <w:right w:val="single" w:color="auto" w:sz="4" w:space="0"/>
            </w:tcBorders>
            <w:shd w:val="clear" w:color="auto" w:fill="auto"/>
            <w:vAlign w:val="center"/>
          </w:tcPr>
          <w:p w14:paraId="697779B6">
            <w:pPr>
              <w:pStyle w:val="81"/>
              <w:widowControl w:val="0"/>
              <w:autoSpaceDE w:val="0"/>
              <w:autoSpaceDN w:val="0"/>
              <w:spacing w:before="0" w:beforeAutospacing="0" w:after="0" w:afterAutospacing="0"/>
              <w:jc w:val="center"/>
              <w:rPr>
                <w:rFonts w:hAnsi="Times New Roman"/>
                <w:color w:val="auto"/>
                <w:kern w:val="2"/>
                <w:sz w:val="18"/>
                <w:szCs w:val="20"/>
                <w:lang w:val="en-US" w:bidi="ar"/>
              </w:rPr>
            </w:pPr>
            <w:r>
              <w:rPr>
                <w:rFonts w:hint="eastAsia" w:hAnsi="Times New Roman"/>
                <w:color w:val="auto"/>
                <w:kern w:val="2"/>
                <w:sz w:val="18"/>
                <w:szCs w:val="20"/>
                <w:lang w:val="en-US" w:bidi="ar"/>
              </w:rPr>
              <w:t>70</w:t>
            </w:r>
          </w:p>
        </w:tc>
        <w:tc>
          <w:tcPr>
            <w:tcW w:w="1186" w:type="dxa"/>
            <w:tcBorders>
              <w:top w:val="single" w:color="auto" w:sz="4" w:space="0"/>
              <w:left w:val="single" w:color="auto" w:sz="4" w:space="0"/>
              <w:bottom w:val="single" w:color="auto" w:sz="4" w:space="0"/>
              <w:right w:val="single" w:color="auto" w:sz="4" w:space="0"/>
            </w:tcBorders>
            <w:shd w:val="clear" w:color="auto" w:fill="auto"/>
            <w:vAlign w:val="center"/>
          </w:tcPr>
          <w:p w14:paraId="4A8BF979">
            <w:pPr>
              <w:pStyle w:val="81"/>
              <w:widowControl w:val="0"/>
              <w:autoSpaceDE w:val="0"/>
              <w:autoSpaceDN w:val="0"/>
              <w:spacing w:before="0" w:beforeAutospacing="0" w:after="0" w:afterAutospacing="0"/>
              <w:jc w:val="center"/>
              <w:rPr>
                <w:rFonts w:hAnsi="Times New Roman" w:cs="宋体"/>
                <w:color w:val="auto"/>
                <w:kern w:val="2"/>
                <w:sz w:val="21"/>
                <w:szCs w:val="20"/>
                <w:lang w:val="en-US" w:bidi="ar"/>
              </w:rPr>
            </w:pPr>
            <w:r>
              <w:rPr>
                <w:rFonts w:hint="eastAsia" w:hAnsi="Times New Roman" w:cs="宋体"/>
                <w:color w:val="auto"/>
                <w:kern w:val="2"/>
                <w:sz w:val="21"/>
                <w:szCs w:val="20"/>
                <w:lang w:val="en-US" w:bidi="ar"/>
              </w:rPr>
              <w:t>固体危废袋装</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14:paraId="46E753FC">
            <w:pPr>
              <w:pStyle w:val="81"/>
              <w:widowControl w:val="0"/>
              <w:autoSpaceDE w:val="0"/>
              <w:autoSpaceDN w:val="0"/>
              <w:spacing w:before="0" w:beforeAutospacing="0" w:after="0" w:afterAutospacing="0"/>
              <w:jc w:val="center"/>
              <w:rPr>
                <w:rFonts w:hAnsi="Times New Roman"/>
                <w:color w:val="auto"/>
                <w:kern w:val="2"/>
                <w:sz w:val="21"/>
                <w:szCs w:val="20"/>
                <w:lang w:val="en-US" w:bidi="ar"/>
              </w:rPr>
            </w:pPr>
            <w:r>
              <w:rPr>
                <w:rFonts w:hint="eastAsia" w:hAnsi="Times New Roman"/>
                <w:color w:val="auto"/>
                <w:kern w:val="2"/>
                <w:sz w:val="21"/>
                <w:szCs w:val="20"/>
                <w:lang w:val="en-US" w:bidi="ar"/>
              </w:rPr>
              <w:t>280</w:t>
            </w:r>
          </w:p>
        </w:tc>
        <w:tc>
          <w:tcPr>
            <w:tcW w:w="1207" w:type="dxa"/>
            <w:tcBorders>
              <w:top w:val="single" w:color="auto" w:sz="4" w:space="0"/>
              <w:left w:val="single" w:color="auto" w:sz="4" w:space="0"/>
              <w:bottom w:val="single" w:color="auto" w:sz="4" w:space="0"/>
              <w:right w:val="single" w:color="auto" w:sz="4" w:space="0"/>
            </w:tcBorders>
            <w:shd w:val="clear" w:color="auto" w:fill="auto"/>
            <w:vAlign w:val="center"/>
          </w:tcPr>
          <w:p w14:paraId="6BDCF4CC">
            <w:pPr>
              <w:pStyle w:val="81"/>
              <w:widowControl w:val="0"/>
              <w:autoSpaceDE w:val="0"/>
              <w:autoSpaceDN w:val="0"/>
              <w:spacing w:before="0" w:beforeAutospacing="0" w:after="0" w:afterAutospacing="0"/>
              <w:jc w:val="center"/>
              <w:rPr>
                <w:rFonts w:hAnsi="Times New Roman"/>
                <w:color w:val="auto"/>
                <w:kern w:val="2"/>
                <w:sz w:val="21"/>
                <w:szCs w:val="20"/>
                <w:lang w:val="en-US" w:bidi="ar"/>
              </w:rPr>
            </w:pPr>
            <w:r>
              <w:rPr>
                <w:rFonts w:hint="eastAsia" w:hAnsi="Times New Roman"/>
                <w:color w:val="auto"/>
                <w:kern w:val="2"/>
                <w:sz w:val="21"/>
                <w:szCs w:val="20"/>
                <w:lang w:val="en-US" w:bidi="ar"/>
              </w:rPr>
              <w:t>3.7天</w:t>
            </w:r>
          </w:p>
        </w:tc>
      </w:tr>
      <w:tr w14:paraId="3D1DA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218"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14:paraId="7F33A2B7">
            <w:pPr>
              <w:pStyle w:val="81"/>
              <w:widowControl w:val="0"/>
              <w:autoSpaceDE w:val="0"/>
              <w:autoSpaceDN w:val="0"/>
              <w:spacing w:before="0" w:beforeAutospacing="0" w:after="0" w:afterAutospacing="0"/>
              <w:rPr>
                <w:rFonts w:hAnsi="Times New Roman"/>
                <w:color w:val="auto"/>
                <w:kern w:val="2"/>
                <w:sz w:val="21"/>
                <w:szCs w:val="20"/>
                <w:lang w:val="en-US" w:bidi="ar"/>
              </w:rPr>
            </w:pPr>
            <w:r>
              <w:rPr>
                <w:rFonts w:hint="eastAsia" w:hAnsi="Times New Roman"/>
                <w:color w:val="auto"/>
                <w:kern w:val="2"/>
                <w:sz w:val="21"/>
                <w:szCs w:val="20"/>
                <w:lang w:val="en-US" w:bidi="ar"/>
              </w:rPr>
              <w:t>注：污泥和蒸发结</w:t>
            </w:r>
            <w:r>
              <w:rPr>
                <w:rFonts w:hint="eastAsia" w:hAnsi="Times New Roman"/>
                <w:color w:val="auto"/>
                <w:kern w:val="2"/>
                <w:sz w:val="21"/>
                <w:szCs w:val="21"/>
                <w:lang w:val="en-US" w:bidi="ar"/>
              </w:rPr>
              <w:t>晶盐按要求</w:t>
            </w:r>
            <w:r>
              <w:rPr>
                <w:rFonts w:hint="eastAsia"/>
                <w:color w:val="auto"/>
                <w:sz w:val="21"/>
                <w:szCs w:val="21"/>
              </w:rPr>
              <w:t>进行危废鉴别，鉴别结果出来前，需按危险废物（危废代码772-006-49）管理，交有资质单位收运处置</w:t>
            </w:r>
          </w:p>
        </w:tc>
      </w:tr>
    </w:tbl>
    <w:p w14:paraId="30F701FC">
      <w:pPr>
        <w:widowControl/>
        <w:adjustRightInd/>
        <w:snapToGrid/>
        <w:spacing w:line="240" w:lineRule="auto"/>
        <w:ind w:firstLine="0" w:firstLineChars="0"/>
        <w:jc w:val="left"/>
        <w:rPr>
          <w:color w:val="auto"/>
        </w:rPr>
        <w:sectPr>
          <w:pgSz w:w="16838" w:h="11906" w:orient="landscape"/>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pPr>
    </w:p>
    <w:p w14:paraId="207204B8">
      <w:pPr>
        <w:pStyle w:val="5"/>
        <w:numPr>
          <w:ilvl w:val="0"/>
          <w:numId w:val="0"/>
        </w:numPr>
        <w:spacing w:line="360" w:lineRule="auto"/>
        <w:rPr>
          <w:color w:val="auto"/>
        </w:rPr>
      </w:pPr>
      <w:bookmarkStart w:id="158" w:name="_Toc385832584"/>
      <w:bookmarkStart w:id="159" w:name="_Toc251224821"/>
      <w:bookmarkStart w:id="160" w:name="_Toc314229636"/>
      <w:r>
        <w:rPr>
          <w:rFonts w:hint="eastAsia"/>
          <w:color w:val="auto"/>
        </w:rPr>
        <w:t>3</w:t>
      </w:r>
      <w:r>
        <w:rPr>
          <w:color w:val="auto"/>
        </w:rPr>
        <w:t>.14.5</w:t>
      </w:r>
      <w:r>
        <w:rPr>
          <w:rFonts w:hint="eastAsia"/>
          <w:color w:val="auto"/>
        </w:rPr>
        <w:t>项目“三废”产生量、削减量、排放量汇总</w:t>
      </w:r>
    </w:p>
    <w:p w14:paraId="5A32016A">
      <w:pPr>
        <w:ind w:firstLine="480"/>
        <w:rPr>
          <w:color w:val="auto"/>
        </w:rPr>
      </w:pPr>
      <w:r>
        <w:rPr>
          <w:rFonts w:hint="eastAsia"/>
          <w:color w:val="auto"/>
        </w:rPr>
        <w:t>项目污染物产生量、削减量、排放量汇总见表3.14-6。</w:t>
      </w:r>
    </w:p>
    <w:p w14:paraId="7F5747D5">
      <w:pPr>
        <w:pStyle w:val="185"/>
        <w:rPr>
          <w:color w:val="auto"/>
        </w:rPr>
      </w:pPr>
      <w:r>
        <w:rPr>
          <w:rFonts w:hint="eastAsia"/>
          <w:color w:val="auto"/>
        </w:rPr>
        <w:t>表</w:t>
      </w:r>
      <w:r>
        <w:rPr>
          <w:color w:val="auto"/>
        </w:rPr>
        <w:t>3.14-6</w:t>
      </w:r>
      <w:r>
        <w:rPr>
          <w:rFonts w:hint="eastAsia"/>
          <w:color w:val="auto"/>
        </w:rPr>
        <w:t xml:space="preserve">  项目污染物产生量、削减量、排放量一览表</w:t>
      </w:r>
    </w:p>
    <w:tbl>
      <w:tblPr>
        <w:tblStyle w:val="88"/>
        <w:tblW w:w="5000" w:type="pct"/>
        <w:tblInd w:w="0" w:type="dxa"/>
        <w:tblLayout w:type="autofit"/>
        <w:tblCellMar>
          <w:top w:w="0" w:type="dxa"/>
          <w:left w:w="108" w:type="dxa"/>
          <w:bottom w:w="0" w:type="dxa"/>
          <w:right w:w="108" w:type="dxa"/>
        </w:tblCellMar>
      </w:tblPr>
      <w:tblGrid>
        <w:gridCol w:w="1516"/>
        <w:gridCol w:w="1371"/>
        <w:gridCol w:w="886"/>
        <w:gridCol w:w="1193"/>
        <w:gridCol w:w="1202"/>
        <w:gridCol w:w="1202"/>
        <w:gridCol w:w="1916"/>
      </w:tblGrid>
      <w:tr w14:paraId="22E5DEA6">
        <w:tblPrEx>
          <w:tblCellMar>
            <w:top w:w="0" w:type="dxa"/>
            <w:left w:w="108" w:type="dxa"/>
            <w:bottom w:w="0" w:type="dxa"/>
            <w:right w:w="108" w:type="dxa"/>
          </w:tblCellMar>
        </w:tblPrEx>
        <w:trPr>
          <w:trHeight w:val="340" w:hRule="atLeast"/>
          <w:tblHeader/>
        </w:trPr>
        <w:tc>
          <w:tcPr>
            <w:tcW w:w="816" w:type="pct"/>
            <w:tcBorders>
              <w:top w:val="single" w:color="auto" w:sz="4" w:space="0"/>
              <w:left w:val="single" w:color="auto" w:sz="4" w:space="0"/>
              <w:bottom w:val="single" w:color="auto" w:sz="4" w:space="0"/>
              <w:right w:val="single" w:color="auto" w:sz="4" w:space="0"/>
            </w:tcBorders>
            <w:shd w:val="clear" w:color="auto" w:fill="auto"/>
            <w:vAlign w:val="center"/>
          </w:tcPr>
          <w:p w14:paraId="66EDA0CB">
            <w:pPr>
              <w:pStyle w:val="3127"/>
              <w:rPr>
                <w:color w:val="auto"/>
              </w:rPr>
            </w:pPr>
            <w:r>
              <w:rPr>
                <w:rFonts w:hint="eastAsia"/>
                <w:color w:val="auto"/>
              </w:rPr>
              <w:t>类别</w:t>
            </w:r>
          </w:p>
        </w:tc>
        <w:tc>
          <w:tcPr>
            <w:tcW w:w="738" w:type="pct"/>
            <w:tcBorders>
              <w:top w:val="single" w:color="auto" w:sz="4" w:space="0"/>
              <w:left w:val="nil"/>
              <w:bottom w:val="single" w:color="auto" w:sz="4" w:space="0"/>
              <w:right w:val="single" w:color="auto" w:sz="4" w:space="0"/>
            </w:tcBorders>
            <w:shd w:val="clear" w:color="auto" w:fill="auto"/>
            <w:vAlign w:val="center"/>
          </w:tcPr>
          <w:p w14:paraId="182A28D0">
            <w:pPr>
              <w:pStyle w:val="3127"/>
              <w:rPr>
                <w:color w:val="auto"/>
              </w:rPr>
            </w:pPr>
            <w:r>
              <w:rPr>
                <w:rFonts w:hint="eastAsia"/>
                <w:color w:val="auto"/>
              </w:rPr>
              <w:t>项目</w:t>
            </w:r>
          </w:p>
        </w:tc>
        <w:tc>
          <w:tcPr>
            <w:tcW w:w="477" w:type="pct"/>
            <w:tcBorders>
              <w:top w:val="single" w:color="auto" w:sz="4" w:space="0"/>
              <w:left w:val="nil"/>
              <w:bottom w:val="single" w:color="auto" w:sz="4" w:space="0"/>
              <w:right w:val="single" w:color="auto" w:sz="4" w:space="0"/>
            </w:tcBorders>
            <w:shd w:val="clear" w:color="auto" w:fill="auto"/>
            <w:vAlign w:val="center"/>
          </w:tcPr>
          <w:p w14:paraId="4EB7DBBF">
            <w:pPr>
              <w:pStyle w:val="3127"/>
              <w:rPr>
                <w:color w:val="auto"/>
              </w:rPr>
            </w:pPr>
            <w:r>
              <w:rPr>
                <w:rFonts w:hint="eastAsia"/>
                <w:color w:val="auto"/>
              </w:rPr>
              <w:t>单位</w:t>
            </w:r>
          </w:p>
        </w:tc>
        <w:tc>
          <w:tcPr>
            <w:tcW w:w="642" w:type="pct"/>
            <w:tcBorders>
              <w:top w:val="single" w:color="auto" w:sz="4" w:space="0"/>
              <w:left w:val="nil"/>
              <w:bottom w:val="single" w:color="auto" w:sz="4" w:space="0"/>
              <w:right w:val="single" w:color="auto" w:sz="4" w:space="0"/>
            </w:tcBorders>
            <w:shd w:val="clear" w:color="auto" w:fill="auto"/>
            <w:vAlign w:val="center"/>
          </w:tcPr>
          <w:p w14:paraId="473B0AE6">
            <w:pPr>
              <w:pStyle w:val="3127"/>
              <w:rPr>
                <w:color w:val="auto"/>
              </w:rPr>
            </w:pPr>
            <w:r>
              <w:rPr>
                <w:rFonts w:hint="eastAsia"/>
                <w:color w:val="auto"/>
              </w:rPr>
              <w:t>产生量</w:t>
            </w:r>
          </w:p>
        </w:tc>
        <w:tc>
          <w:tcPr>
            <w:tcW w:w="647" w:type="pct"/>
            <w:tcBorders>
              <w:top w:val="single" w:color="auto" w:sz="4" w:space="0"/>
              <w:left w:val="nil"/>
              <w:bottom w:val="single" w:color="auto" w:sz="4" w:space="0"/>
              <w:right w:val="single" w:color="auto" w:sz="4" w:space="0"/>
            </w:tcBorders>
            <w:shd w:val="clear" w:color="auto" w:fill="auto"/>
            <w:vAlign w:val="center"/>
          </w:tcPr>
          <w:p w14:paraId="5B3D7AF6">
            <w:pPr>
              <w:pStyle w:val="3127"/>
              <w:rPr>
                <w:color w:val="auto"/>
              </w:rPr>
            </w:pPr>
            <w:r>
              <w:rPr>
                <w:rFonts w:hint="eastAsia"/>
                <w:color w:val="auto"/>
              </w:rPr>
              <w:t>削减量</w:t>
            </w:r>
          </w:p>
        </w:tc>
        <w:tc>
          <w:tcPr>
            <w:tcW w:w="647" w:type="pct"/>
            <w:tcBorders>
              <w:top w:val="single" w:color="auto" w:sz="4" w:space="0"/>
              <w:left w:val="nil"/>
              <w:bottom w:val="single" w:color="auto" w:sz="4" w:space="0"/>
              <w:right w:val="single" w:color="auto" w:sz="4" w:space="0"/>
            </w:tcBorders>
            <w:shd w:val="clear" w:color="auto" w:fill="auto"/>
            <w:vAlign w:val="center"/>
          </w:tcPr>
          <w:p w14:paraId="47D8A0E8">
            <w:pPr>
              <w:pStyle w:val="3127"/>
              <w:rPr>
                <w:color w:val="auto"/>
              </w:rPr>
            </w:pPr>
            <w:r>
              <w:rPr>
                <w:rFonts w:hint="eastAsia"/>
                <w:color w:val="auto"/>
              </w:rPr>
              <w:t>排放量</w:t>
            </w:r>
          </w:p>
        </w:tc>
        <w:tc>
          <w:tcPr>
            <w:tcW w:w="1031" w:type="pct"/>
            <w:tcBorders>
              <w:top w:val="single" w:color="auto" w:sz="4" w:space="0"/>
              <w:left w:val="nil"/>
              <w:bottom w:val="single" w:color="auto" w:sz="4" w:space="0"/>
              <w:right w:val="single" w:color="auto" w:sz="4" w:space="0"/>
            </w:tcBorders>
            <w:shd w:val="clear" w:color="auto" w:fill="auto"/>
            <w:vAlign w:val="center"/>
          </w:tcPr>
          <w:p w14:paraId="0C54E569">
            <w:pPr>
              <w:pStyle w:val="3127"/>
              <w:rPr>
                <w:color w:val="auto"/>
              </w:rPr>
            </w:pPr>
            <w:r>
              <w:rPr>
                <w:rFonts w:hint="eastAsia"/>
                <w:color w:val="auto"/>
              </w:rPr>
              <w:t>排放去向</w:t>
            </w:r>
          </w:p>
        </w:tc>
      </w:tr>
      <w:tr w14:paraId="1F661ED7">
        <w:tblPrEx>
          <w:tblCellMar>
            <w:top w:w="0" w:type="dxa"/>
            <w:left w:w="108" w:type="dxa"/>
            <w:bottom w:w="0" w:type="dxa"/>
            <w:right w:w="108" w:type="dxa"/>
          </w:tblCellMar>
        </w:tblPrEx>
        <w:trPr>
          <w:trHeight w:val="340" w:hRule="atLeast"/>
        </w:trPr>
        <w:tc>
          <w:tcPr>
            <w:tcW w:w="816" w:type="pct"/>
            <w:vMerge w:val="restart"/>
            <w:tcBorders>
              <w:top w:val="nil"/>
              <w:left w:val="single" w:color="auto" w:sz="4" w:space="0"/>
              <w:bottom w:val="single" w:color="auto" w:sz="4" w:space="0"/>
              <w:right w:val="single" w:color="auto" w:sz="4" w:space="0"/>
            </w:tcBorders>
            <w:shd w:val="clear" w:color="auto" w:fill="auto"/>
            <w:vAlign w:val="center"/>
          </w:tcPr>
          <w:p w14:paraId="35AFCD6C">
            <w:pPr>
              <w:pStyle w:val="3127"/>
              <w:rPr>
                <w:color w:val="auto"/>
              </w:rPr>
            </w:pPr>
            <w:r>
              <w:rPr>
                <w:rFonts w:hint="eastAsia"/>
                <w:color w:val="auto"/>
              </w:rPr>
              <w:t>废气（有组织）</w:t>
            </w:r>
          </w:p>
        </w:tc>
        <w:tc>
          <w:tcPr>
            <w:tcW w:w="738" w:type="pct"/>
            <w:tcBorders>
              <w:top w:val="nil"/>
              <w:left w:val="nil"/>
              <w:bottom w:val="single" w:color="auto" w:sz="4" w:space="0"/>
              <w:right w:val="single" w:color="auto" w:sz="4" w:space="0"/>
            </w:tcBorders>
            <w:shd w:val="clear" w:color="auto" w:fill="auto"/>
            <w:vAlign w:val="center"/>
          </w:tcPr>
          <w:p w14:paraId="372E6E0F">
            <w:pPr>
              <w:pStyle w:val="3127"/>
              <w:rPr>
                <w:color w:val="auto"/>
              </w:rPr>
            </w:pPr>
            <w:r>
              <w:rPr>
                <w:rFonts w:hint="eastAsia"/>
                <w:color w:val="auto"/>
              </w:rPr>
              <w:t>废气量</w:t>
            </w:r>
          </w:p>
        </w:tc>
        <w:tc>
          <w:tcPr>
            <w:tcW w:w="477" w:type="pct"/>
            <w:tcBorders>
              <w:top w:val="nil"/>
              <w:left w:val="nil"/>
              <w:bottom w:val="single" w:color="auto" w:sz="4" w:space="0"/>
              <w:right w:val="single" w:color="auto" w:sz="4" w:space="0"/>
            </w:tcBorders>
            <w:shd w:val="clear" w:color="auto" w:fill="auto"/>
            <w:vAlign w:val="center"/>
          </w:tcPr>
          <w:p w14:paraId="29ECEA15">
            <w:pPr>
              <w:pStyle w:val="3127"/>
              <w:rPr>
                <w:color w:val="auto"/>
              </w:rPr>
            </w:pPr>
            <w:r>
              <w:rPr>
                <w:rFonts w:hint="eastAsia"/>
                <w:color w:val="auto"/>
              </w:rPr>
              <w:t>万m</w:t>
            </w:r>
            <w:r>
              <w:rPr>
                <w:rFonts w:hint="eastAsia"/>
                <w:color w:val="auto"/>
                <w:vertAlign w:val="superscript"/>
              </w:rPr>
              <w:t>3</w:t>
            </w:r>
            <w:r>
              <w:rPr>
                <w:rFonts w:hint="eastAsia"/>
                <w:color w:val="auto"/>
              </w:rPr>
              <w:t>/a</w:t>
            </w:r>
          </w:p>
        </w:tc>
        <w:tc>
          <w:tcPr>
            <w:tcW w:w="642" w:type="pct"/>
            <w:tcBorders>
              <w:top w:val="nil"/>
              <w:left w:val="nil"/>
              <w:bottom w:val="single" w:color="auto" w:sz="4" w:space="0"/>
              <w:right w:val="single" w:color="auto" w:sz="4" w:space="0"/>
            </w:tcBorders>
            <w:shd w:val="clear" w:color="auto" w:fill="auto"/>
            <w:vAlign w:val="center"/>
          </w:tcPr>
          <w:p w14:paraId="1F2AB21B">
            <w:pPr>
              <w:pStyle w:val="3127"/>
              <w:rPr>
                <w:color w:val="auto"/>
              </w:rPr>
            </w:pPr>
            <w:r>
              <w:rPr>
                <w:rFonts w:hint="eastAsia"/>
                <w:color w:val="auto"/>
              </w:rPr>
              <w:t>14400</w:t>
            </w:r>
          </w:p>
        </w:tc>
        <w:tc>
          <w:tcPr>
            <w:tcW w:w="647" w:type="pct"/>
            <w:tcBorders>
              <w:top w:val="nil"/>
              <w:left w:val="nil"/>
              <w:bottom w:val="single" w:color="auto" w:sz="4" w:space="0"/>
              <w:right w:val="single" w:color="auto" w:sz="4" w:space="0"/>
            </w:tcBorders>
            <w:shd w:val="clear" w:color="auto" w:fill="auto"/>
            <w:vAlign w:val="center"/>
          </w:tcPr>
          <w:p w14:paraId="27B1E186">
            <w:pPr>
              <w:pStyle w:val="3127"/>
              <w:rPr>
                <w:color w:val="auto"/>
              </w:rPr>
            </w:pPr>
            <w:r>
              <w:rPr>
                <w:rFonts w:hint="eastAsia"/>
                <w:color w:val="auto"/>
              </w:rPr>
              <w:t>0</w:t>
            </w:r>
          </w:p>
        </w:tc>
        <w:tc>
          <w:tcPr>
            <w:tcW w:w="647" w:type="pct"/>
            <w:tcBorders>
              <w:top w:val="nil"/>
              <w:left w:val="nil"/>
              <w:bottom w:val="single" w:color="auto" w:sz="4" w:space="0"/>
              <w:right w:val="single" w:color="auto" w:sz="4" w:space="0"/>
            </w:tcBorders>
            <w:shd w:val="clear" w:color="auto" w:fill="auto"/>
            <w:vAlign w:val="center"/>
          </w:tcPr>
          <w:p w14:paraId="5C02CF79">
            <w:pPr>
              <w:pStyle w:val="3127"/>
              <w:rPr>
                <w:color w:val="auto"/>
              </w:rPr>
            </w:pPr>
            <w:r>
              <w:rPr>
                <w:rFonts w:hint="eastAsia"/>
                <w:color w:val="auto"/>
              </w:rPr>
              <w:t>14400</w:t>
            </w:r>
          </w:p>
        </w:tc>
        <w:tc>
          <w:tcPr>
            <w:tcW w:w="1031" w:type="pct"/>
            <w:vMerge w:val="restart"/>
            <w:tcBorders>
              <w:top w:val="nil"/>
              <w:left w:val="single" w:color="auto" w:sz="4" w:space="0"/>
              <w:bottom w:val="single" w:color="auto" w:sz="4" w:space="0"/>
              <w:right w:val="single" w:color="auto" w:sz="4" w:space="0"/>
            </w:tcBorders>
            <w:shd w:val="clear" w:color="auto" w:fill="auto"/>
            <w:vAlign w:val="center"/>
          </w:tcPr>
          <w:p w14:paraId="51BDA03D">
            <w:pPr>
              <w:pStyle w:val="3127"/>
              <w:rPr>
                <w:color w:val="auto"/>
              </w:rPr>
            </w:pPr>
            <w:r>
              <w:rPr>
                <w:rFonts w:hint="eastAsia"/>
                <w:color w:val="auto"/>
              </w:rPr>
              <w:t>大气　</w:t>
            </w:r>
          </w:p>
        </w:tc>
      </w:tr>
      <w:tr w14:paraId="6261E3A9">
        <w:tblPrEx>
          <w:tblCellMar>
            <w:top w:w="0" w:type="dxa"/>
            <w:left w:w="108" w:type="dxa"/>
            <w:bottom w:w="0" w:type="dxa"/>
            <w:right w:w="108" w:type="dxa"/>
          </w:tblCellMar>
        </w:tblPrEx>
        <w:trPr>
          <w:trHeight w:val="340" w:hRule="atLeast"/>
        </w:trPr>
        <w:tc>
          <w:tcPr>
            <w:tcW w:w="816" w:type="pct"/>
            <w:vMerge w:val="continue"/>
            <w:tcBorders>
              <w:top w:val="nil"/>
              <w:left w:val="single" w:color="auto" w:sz="4" w:space="0"/>
              <w:bottom w:val="single" w:color="auto" w:sz="4" w:space="0"/>
              <w:right w:val="single" w:color="auto" w:sz="4" w:space="0"/>
            </w:tcBorders>
            <w:vAlign w:val="center"/>
          </w:tcPr>
          <w:p w14:paraId="02D4E2DD">
            <w:pPr>
              <w:pStyle w:val="3127"/>
              <w:rPr>
                <w:color w:val="auto"/>
              </w:rPr>
            </w:pPr>
          </w:p>
        </w:tc>
        <w:tc>
          <w:tcPr>
            <w:tcW w:w="738" w:type="pct"/>
            <w:tcBorders>
              <w:top w:val="nil"/>
              <w:left w:val="nil"/>
              <w:bottom w:val="single" w:color="auto" w:sz="4" w:space="0"/>
              <w:right w:val="single" w:color="auto" w:sz="4" w:space="0"/>
            </w:tcBorders>
            <w:shd w:val="clear" w:color="auto" w:fill="auto"/>
            <w:vAlign w:val="center"/>
          </w:tcPr>
          <w:p w14:paraId="4BB8597B">
            <w:pPr>
              <w:pStyle w:val="3127"/>
              <w:rPr>
                <w:color w:val="auto"/>
              </w:rPr>
            </w:pPr>
            <w:r>
              <w:rPr>
                <w:rFonts w:hint="eastAsia"/>
                <w:color w:val="auto"/>
              </w:rPr>
              <w:t>氨</w:t>
            </w:r>
          </w:p>
        </w:tc>
        <w:tc>
          <w:tcPr>
            <w:tcW w:w="477" w:type="pct"/>
            <w:tcBorders>
              <w:top w:val="nil"/>
              <w:left w:val="nil"/>
              <w:bottom w:val="single" w:color="auto" w:sz="4" w:space="0"/>
              <w:right w:val="single" w:color="auto" w:sz="4" w:space="0"/>
            </w:tcBorders>
            <w:shd w:val="clear" w:color="auto" w:fill="auto"/>
            <w:noWrap/>
            <w:vAlign w:val="center"/>
          </w:tcPr>
          <w:p w14:paraId="6E6F95D1">
            <w:pPr>
              <w:pStyle w:val="3127"/>
              <w:rPr>
                <w:color w:val="auto"/>
              </w:rPr>
            </w:pPr>
            <w:r>
              <w:rPr>
                <w:rFonts w:hint="eastAsia"/>
                <w:color w:val="auto"/>
              </w:rPr>
              <w:t>t/a</w:t>
            </w:r>
          </w:p>
        </w:tc>
        <w:tc>
          <w:tcPr>
            <w:tcW w:w="642" w:type="pct"/>
            <w:tcBorders>
              <w:top w:val="nil"/>
              <w:left w:val="nil"/>
              <w:bottom w:val="single" w:color="auto" w:sz="4" w:space="0"/>
              <w:right w:val="single" w:color="auto" w:sz="4" w:space="0"/>
            </w:tcBorders>
            <w:shd w:val="clear" w:color="auto" w:fill="auto"/>
          </w:tcPr>
          <w:p w14:paraId="617FD7FB">
            <w:pPr>
              <w:pStyle w:val="3127"/>
              <w:rPr>
                <w:rFonts w:eastAsia="等线"/>
                <w:color w:val="auto"/>
              </w:rPr>
            </w:pPr>
            <w:r>
              <w:rPr>
                <w:rFonts w:hint="eastAsia" w:eastAsia="等线"/>
                <w:color w:val="auto"/>
              </w:rPr>
              <w:t>0.103</w:t>
            </w:r>
          </w:p>
        </w:tc>
        <w:tc>
          <w:tcPr>
            <w:tcW w:w="647" w:type="pct"/>
            <w:tcBorders>
              <w:top w:val="nil"/>
              <w:left w:val="nil"/>
              <w:bottom w:val="single" w:color="auto" w:sz="4" w:space="0"/>
              <w:right w:val="single" w:color="auto" w:sz="4" w:space="0"/>
            </w:tcBorders>
            <w:shd w:val="clear" w:color="auto" w:fill="auto"/>
          </w:tcPr>
          <w:p w14:paraId="739BB7E3">
            <w:pPr>
              <w:pStyle w:val="3127"/>
              <w:rPr>
                <w:rFonts w:eastAsia="等线"/>
                <w:color w:val="auto"/>
              </w:rPr>
            </w:pPr>
            <w:r>
              <w:rPr>
                <w:rFonts w:hint="eastAsia" w:eastAsia="等线"/>
                <w:color w:val="auto"/>
              </w:rPr>
              <w:t>0.066</w:t>
            </w:r>
          </w:p>
        </w:tc>
        <w:tc>
          <w:tcPr>
            <w:tcW w:w="647" w:type="pct"/>
            <w:tcBorders>
              <w:top w:val="nil"/>
              <w:left w:val="nil"/>
              <w:bottom w:val="single" w:color="auto" w:sz="4" w:space="0"/>
              <w:right w:val="single" w:color="auto" w:sz="4" w:space="0"/>
            </w:tcBorders>
            <w:shd w:val="clear" w:color="auto" w:fill="auto"/>
          </w:tcPr>
          <w:p w14:paraId="70BF605D">
            <w:pPr>
              <w:pStyle w:val="3127"/>
              <w:rPr>
                <w:rFonts w:eastAsia="等线"/>
                <w:color w:val="auto"/>
              </w:rPr>
            </w:pPr>
            <w:r>
              <w:rPr>
                <w:rFonts w:hint="eastAsia" w:eastAsia="等线"/>
                <w:color w:val="auto"/>
              </w:rPr>
              <w:t>0.037</w:t>
            </w:r>
          </w:p>
        </w:tc>
        <w:tc>
          <w:tcPr>
            <w:tcW w:w="1031" w:type="pct"/>
            <w:vMerge w:val="continue"/>
            <w:tcBorders>
              <w:top w:val="nil"/>
              <w:left w:val="single" w:color="auto" w:sz="4" w:space="0"/>
              <w:bottom w:val="single" w:color="auto" w:sz="4" w:space="0"/>
              <w:right w:val="single" w:color="auto" w:sz="4" w:space="0"/>
            </w:tcBorders>
            <w:vAlign w:val="center"/>
          </w:tcPr>
          <w:p w14:paraId="571D179A">
            <w:pPr>
              <w:pStyle w:val="3127"/>
              <w:rPr>
                <w:color w:val="auto"/>
              </w:rPr>
            </w:pPr>
          </w:p>
        </w:tc>
      </w:tr>
      <w:tr w14:paraId="5BB21B43">
        <w:tblPrEx>
          <w:tblCellMar>
            <w:top w:w="0" w:type="dxa"/>
            <w:left w:w="108" w:type="dxa"/>
            <w:bottom w:w="0" w:type="dxa"/>
            <w:right w:w="108" w:type="dxa"/>
          </w:tblCellMar>
        </w:tblPrEx>
        <w:trPr>
          <w:trHeight w:val="340" w:hRule="atLeast"/>
        </w:trPr>
        <w:tc>
          <w:tcPr>
            <w:tcW w:w="816" w:type="pct"/>
            <w:vMerge w:val="continue"/>
            <w:tcBorders>
              <w:top w:val="nil"/>
              <w:left w:val="single" w:color="auto" w:sz="4" w:space="0"/>
              <w:bottom w:val="single" w:color="auto" w:sz="4" w:space="0"/>
              <w:right w:val="single" w:color="auto" w:sz="4" w:space="0"/>
            </w:tcBorders>
            <w:vAlign w:val="center"/>
          </w:tcPr>
          <w:p w14:paraId="267C2E27">
            <w:pPr>
              <w:pStyle w:val="3127"/>
              <w:rPr>
                <w:color w:val="auto"/>
              </w:rPr>
            </w:pPr>
          </w:p>
        </w:tc>
        <w:tc>
          <w:tcPr>
            <w:tcW w:w="738" w:type="pct"/>
            <w:tcBorders>
              <w:top w:val="nil"/>
              <w:left w:val="nil"/>
              <w:bottom w:val="single" w:color="auto" w:sz="4" w:space="0"/>
              <w:right w:val="single" w:color="auto" w:sz="4" w:space="0"/>
            </w:tcBorders>
            <w:shd w:val="clear" w:color="auto" w:fill="auto"/>
            <w:vAlign w:val="center"/>
          </w:tcPr>
          <w:p w14:paraId="372BC9E0">
            <w:pPr>
              <w:pStyle w:val="3127"/>
              <w:rPr>
                <w:color w:val="auto"/>
              </w:rPr>
            </w:pPr>
            <w:r>
              <w:rPr>
                <w:rFonts w:hint="eastAsia"/>
                <w:color w:val="auto"/>
              </w:rPr>
              <w:t>硫化氢</w:t>
            </w:r>
          </w:p>
        </w:tc>
        <w:tc>
          <w:tcPr>
            <w:tcW w:w="477" w:type="pct"/>
            <w:tcBorders>
              <w:top w:val="nil"/>
              <w:left w:val="nil"/>
              <w:bottom w:val="single" w:color="auto" w:sz="4" w:space="0"/>
              <w:right w:val="single" w:color="auto" w:sz="4" w:space="0"/>
            </w:tcBorders>
            <w:shd w:val="clear" w:color="auto" w:fill="auto"/>
            <w:noWrap/>
            <w:vAlign w:val="center"/>
          </w:tcPr>
          <w:p w14:paraId="46C64E6F">
            <w:pPr>
              <w:pStyle w:val="3127"/>
              <w:rPr>
                <w:color w:val="auto"/>
              </w:rPr>
            </w:pPr>
            <w:r>
              <w:rPr>
                <w:rFonts w:hint="eastAsia"/>
                <w:color w:val="auto"/>
              </w:rPr>
              <w:t>t/a</w:t>
            </w:r>
          </w:p>
        </w:tc>
        <w:tc>
          <w:tcPr>
            <w:tcW w:w="642" w:type="pct"/>
            <w:tcBorders>
              <w:top w:val="nil"/>
              <w:left w:val="nil"/>
              <w:bottom w:val="single" w:color="auto" w:sz="4" w:space="0"/>
              <w:right w:val="single" w:color="auto" w:sz="4" w:space="0"/>
            </w:tcBorders>
            <w:shd w:val="clear" w:color="auto" w:fill="auto"/>
          </w:tcPr>
          <w:p w14:paraId="16CBFEFA">
            <w:pPr>
              <w:pStyle w:val="3127"/>
              <w:rPr>
                <w:rFonts w:eastAsia="等线"/>
                <w:color w:val="auto"/>
              </w:rPr>
            </w:pPr>
            <w:r>
              <w:rPr>
                <w:rFonts w:hint="eastAsia" w:eastAsia="等线"/>
                <w:color w:val="auto"/>
              </w:rPr>
              <w:t>0.012</w:t>
            </w:r>
          </w:p>
        </w:tc>
        <w:tc>
          <w:tcPr>
            <w:tcW w:w="647" w:type="pct"/>
            <w:tcBorders>
              <w:top w:val="nil"/>
              <w:left w:val="nil"/>
              <w:bottom w:val="single" w:color="auto" w:sz="4" w:space="0"/>
              <w:right w:val="single" w:color="auto" w:sz="4" w:space="0"/>
            </w:tcBorders>
            <w:shd w:val="clear" w:color="auto" w:fill="auto"/>
          </w:tcPr>
          <w:p w14:paraId="440EB6B2">
            <w:pPr>
              <w:pStyle w:val="3127"/>
              <w:rPr>
                <w:rFonts w:eastAsia="等线"/>
                <w:color w:val="auto"/>
              </w:rPr>
            </w:pPr>
            <w:r>
              <w:rPr>
                <w:rFonts w:hint="eastAsia" w:eastAsia="等线"/>
                <w:color w:val="auto"/>
              </w:rPr>
              <w:t>0.008</w:t>
            </w:r>
          </w:p>
        </w:tc>
        <w:tc>
          <w:tcPr>
            <w:tcW w:w="647" w:type="pct"/>
            <w:tcBorders>
              <w:top w:val="nil"/>
              <w:left w:val="nil"/>
              <w:bottom w:val="single" w:color="auto" w:sz="4" w:space="0"/>
              <w:right w:val="single" w:color="auto" w:sz="4" w:space="0"/>
            </w:tcBorders>
            <w:shd w:val="clear" w:color="auto" w:fill="auto"/>
          </w:tcPr>
          <w:p w14:paraId="6C300BE7">
            <w:pPr>
              <w:pStyle w:val="3127"/>
              <w:rPr>
                <w:rFonts w:eastAsia="等线"/>
                <w:color w:val="auto"/>
              </w:rPr>
            </w:pPr>
            <w:r>
              <w:rPr>
                <w:rFonts w:hint="eastAsia" w:eastAsia="等线"/>
                <w:color w:val="auto"/>
              </w:rPr>
              <w:t>0.004</w:t>
            </w:r>
          </w:p>
        </w:tc>
        <w:tc>
          <w:tcPr>
            <w:tcW w:w="1031" w:type="pct"/>
            <w:vMerge w:val="continue"/>
            <w:tcBorders>
              <w:top w:val="nil"/>
              <w:left w:val="single" w:color="auto" w:sz="4" w:space="0"/>
              <w:bottom w:val="single" w:color="auto" w:sz="4" w:space="0"/>
              <w:right w:val="single" w:color="auto" w:sz="4" w:space="0"/>
            </w:tcBorders>
            <w:vAlign w:val="center"/>
          </w:tcPr>
          <w:p w14:paraId="16889537">
            <w:pPr>
              <w:pStyle w:val="3127"/>
              <w:rPr>
                <w:color w:val="auto"/>
              </w:rPr>
            </w:pPr>
          </w:p>
        </w:tc>
      </w:tr>
      <w:tr w14:paraId="6D15AD58">
        <w:tblPrEx>
          <w:tblCellMar>
            <w:top w:w="0" w:type="dxa"/>
            <w:left w:w="108" w:type="dxa"/>
            <w:bottom w:w="0" w:type="dxa"/>
            <w:right w:w="108" w:type="dxa"/>
          </w:tblCellMar>
        </w:tblPrEx>
        <w:trPr>
          <w:trHeight w:val="340" w:hRule="atLeast"/>
        </w:trPr>
        <w:tc>
          <w:tcPr>
            <w:tcW w:w="816" w:type="pct"/>
            <w:vMerge w:val="continue"/>
            <w:tcBorders>
              <w:top w:val="nil"/>
              <w:left w:val="single" w:color="auto" w:sz="4" w:space="0"/>
              <w:bottom w:val="single" w:color="auto" w:sz="4" w:space="0"/>
              <w:right w:val="single" w:color="auto" w:sz="4" w:space="0"/>
            </w:tcBorders>
            <w:vAlign w:val="center"/>
          </w:tcPr>
          <w:p w14:paraId="23526ED9">
            <w:pPr>
              <w:pStyle w:val="3127"/>
              <w:rPr>
                <w:color w:val="auto"/>
              </w:rPr>
            </w:pPr>
          </w:p>
        </w:tc>
        <w:tc>
          <w:tcPr>
            <w:tcW w:w="738" w:type="pct"/>
            <w:tcBorders>
              <w:top w:val="nil"/>
              <w:left w:val="nil"/>
              <w:bottom w:val="single" w:color="auto" w:sz="4" w:space="0"/>
              <w:right w:val="single" w:color="auto" w:sz="4" w:space="0"/>
            </w:tcBorders>
            <w:shd w:val="clear" w:color="auto" w:fill="auto"/>
            <w:vAlign w:val="center"/>
          </w:tcPr>
          <w:p w14:paraId="0F295F10">
            <w:pPr>
              <w:pStyle w:val="3127"/>
              <w:rPr>
                <w:color w:val="auto"/>
              </w:rPr>
            </w:pPr>
            <w:r>
              <w:rPr>
                <w:rFonts w:hint="eastAsia"/>
                <w:color w:val="auto"/>
              </w:rPr>
              <w:t>非甲烷总烃</w:t>
            </w:r>
          </w:p>
        </w:tc>
        <w:tc>
          <w:tcPr>
            <w:tcW w:w="477" w:type="pct"/>
            <w:tcBorders>
              <w:top w:val="nil"/>
              <w:left w:val="nil"/>
              <w:bottom w:val="single" w:color="auto" w:sz="4" w:space="0"/>
              <w:right w:val="single" w:color="auto" w:sz="4" w:space="0"/>
            </w:tcBorders>
            <w:shd w:val="clear" w:color="auto" w:fill="auto"/>
            <w:noWrap/>
            <w:vAlign w:val="center"/>
          </w:tcPr>
          <w:p w14:paraId="7299DE0F">
            <w:pPr>
              <w:pStyle w:val="3127"/>
              <w:rPr>
                <w:color w:val="auto"/>
              </w:rPr>
            </w:pPr>
            <w:r>
              <w:rPr>
                <w:rFonts w:hint="eastAsia"/>
                <w:color w:val="auto"/>
              </w:rPr>
              <w:t>t/a</w:t>
            </w:r>
          </w:p>
        </w:tc>
        <w:tc>
          <w:tcPr>
            <w:tcW w:w="642" w:type="pct"/>
            <w:tcBorders>
              <w:top w:val="nil"/>
              <w:left w:val="nil"/>
              <w:bottom w:val="single" w:color="auto" w:sz="4" w:space="0"/>
              <w:right w:val="single" w:color="auto" w:sz="4" w:space="0"/>
            </w:tcBorders>
            <w:shd w:val="clear" w:color="auto" w:fill="auto"/>
          </w:tcPr>
          <w:p w14:paraId="3B5E5933">
            <w:pPr>
              <w:pStyle w:val="3127"/>
              <w:rPr>
                <w:rFonts w:eastAsia="等线"/>
                <w:color w:val="auto"/>
              </w:rPr>
            </w:pPr>
            <w:r>
              <w:rPr>
                <w:rFonts w:hint="eastAsia" w:eastAsia="等线"/>
                <w:color w:val="auto"/>
              </w:rPr>
              <w:t>0.66</w:t>
            </w:r>
          </w:p>
        </w:tc>
        <w:tc>
          <w:tcPr>
            <w:tcW w:w="647" w:type="pct"/>
            <w:tcBorders>
              <w:top w:val="nil"/>
              <w:left w:val="nil"/>
              <w:bottom w:val="single" w:color="auto" w:sz="4" w:space="0"/>
              <w:right w:val="single" w:color="auto" w:sz="4" w:space="0"/>
            </w:tcBorders>
            <w:shd w:val="clear" w:color="auto" w:fill="auto"/>
          </w:tcPr>
          <w:p w14:paraId="11BAFE67">
            <w:pPr>
              <w:pStyle w:val="3127"/>
              <w:rPr>
                <w:rFonts w:eastAsia="等线"/>
                <w:color w:val="auto"/>
              </w:rPr>
            </w:pPr>
            <w:r>
              <w:rPr>
                <w:rFonts w:hint="eastAsia" w:eastAsia="等线"/>
                <w:color w:val="auto"/>
              </w:rPr>
              <w:t>0.422</w:t>
            </w:r>
          </w:p>
        </w:tc>
        <w:tc>
          <w:tcPr>
            <w:tcW w:w="647" w:type="pct"/>
            <w:tcBorders>
              <w:top w:val="nil"/>
              <w:left w:val="nil"/>
              <w:bottom w:val="single" w:color="auto" w:sz="4" w:space="0"/>
              <w:right w:val="single" w:color="auto" w:sz="4" w:space="0"/>
            </w:tcBorders>
            <w:shd w:val="clear" w:color="auto" w:fill="auto"/>
          </w:tcPr>
          <w:p w14:paraId="18C98C09">
            <w:pPr>
              <w:pStyle w:val="3127"/>
              <w:rPr>
                <w:rFonts w:eastAsia="等线"/>
                <w:color w:val="auto"/>
              </w:rPr>
            </w:pPr>
            <w:r>
              <w:rPr>
                <w:rFonts w:hint="eastAsia" w:eastAsia="等线"/>
                <w:color w:val="auto"/>
              </w:rPr>
              <w:t>0.238</w:t>
            </w:r>
          </w:p>
        </w:tc>
        <w:tc>
          <w:tcPr>
            <w:tcW w:w="1031" w:type="pct"/>
            <w:vMerge w:val="continue"/>
            <w:tcBorders>
              <w:top w:val="nil"/>
              <w:left w:val="single" w:color="auto" w:sz="4" w:space="0"/>
              <w:bottom w:val="single" w:color="auto" w:sz="4" w:space="0"/>
              <w:right w:val="single" w:color="auto" w:sz="4" w:space="0"/>
            </w:tcBorders>
            <w:vAlign w:val="center"/>
          </w:tcPr>
          <w:p w14:paraId="732724A4">
            <w:pPr>
              <w:pStyle w:val="3127"/>
              <w:rPr>
                <w:color w:val="auto"/>
              </w:rPr>
            </w:pPr>
          </w:p>
        </w:tc>
      </w:tr>
      <w:tr w14:paraId="5FDA9FE4">
        <w:tblPrEx>
          <w:tblCellMar>
            <w:top w:w="0" w:type="dxa"/>
            <w:left w:w="108" w:type="dxa"/>
            <w:bottom w:w="0" w:type="dxa"/>
            <w:right w:w="108" w:type="dxa"/>
          </w:tblCellMar>
        </w:tblPrEx>
        <w:trPr>
          <w:trHeight w:val="340" w:hRule="atLeast"/>
        </w:trPr>
        <w:tc>
          <w:tcPr>
            <w:tcW w:w="816" w:type="pct"/>
            <w:vMerge w:val="restart"/>
            <w:tcBorders>
              <w:top w:val="nil"/>
              <w:left w:val="single" w:color="auto" w:sz="4" w:space="0"/>
              <w:bottom w:val="single" w:color="auto" w:sz="4" w:space="0"/>
              <w:right w:val="single" w:color="auto" w:sz="4" w:space="0"/>
            </w:tcBorders>
            <w:shd w:val="clear" w:color="auto" w:fill="auto"/>
            <w:vAlign w:val="center"/>
          </w:tcPr>
          <w:p w14:paraId="4AE44819">
            <w:pPr>
              <w:pStyle w:val="3127"/>
              <w:rPr>
                <w:color w:val="auto"/>
              </w:rPr>
            </w:pPr>
            <w:r>
              <w:rPr>
                <w:rFonts w:hint="eastAsia"/>
                <w:color w:val="auto"/>
              </w:rPr>
              <w:t>废气（无组织）</w:t>
            </w:r>
          </w:p>
        </w:tc>
        <w:tc>
          <w:tcPr>
            <w:tcW w:w="738" w:type="pct"/>
            <w:tcBorders>
              <w:top w:val="nil"/>
              <w:left w:val="nil"/>
              <w:bottom w:val="single" w:color="auto" w:sz="4" w:space="0"/>
              <w:right w:val="single" w:color="auto" w:sz="4" w:space="0"/>
            </w:tcBorders>
            <w:shd w:val="clear" w:color="auto" w:fill="auto"/>
            <w:vAlign w:val="center"/>
          </w:tcPr>
          <w:p w14:paraId="5412DFB5">
            <w:pPr>
              <w:pStyle w:val="3127"/>
              <w:rPr>
                <w:color w:val="auto"/>
              </w:rPr>
            </w:pPr>
            <w:r>
              <w:rPr>
                <w:rFonts w:hint="eastAsia"/>
                <w:color w:val="auto"/>
              </w:rPr>
              <w:t>氨</w:t>
            </w:r>
          </w:p>
        </w:tc>
        <w:tc>
          <w:tcPr>
            <w:tcW w:w="477" w:type="pct"/>
            <w:tcBorders>
              <w:top w:val="nil"/>
              <w:left w:val="nil"/>
              <w:bottom w:val="single" w:color="auto" w:sz="4" w:space="0"/>
              <w:right w:val="single" w:color="auto" w:sz="4" w:space="0"/>
            </w:tcBorders>
            <w:shd w:val="clear" w:color="auto" w:fill="auto"/>
            <w:noWrap/>
            <w:vAlign w:val="center"/>
          </w:tcPr>
          <w:p w14:paraId="3426535F">
            <w:pPr>
              <w:pStyle w:val="3127"/>
              <w:rPr>
                <w:color w:val="auto"/>
              </w:rPr>
            </w:pPr>
            <w:r>
              <w:rPr>
                <w:rFonts w:hint="eastAsia"/>
                <w:color w:val="auto"/>
              </w:rPr>
              <w:t>t/a</w:t>
            </w:r>
          </w:p>
        </w:tc>
        <w:tc>
          <w:tcPr>
            <w:tcW w:w="642" w:type="pct"/>
            <w:tcBorders>
              <w:top w:val="nil"/>
              <w:left w:val="nil"/>
              <w:bottom w:val="single" w:color="auto" w:sz="4" w:space="0"/>
              <w:right w:val="single" w:color="auto" w:sz="4" w:space="0"/>
            </w:tcBorders>
            <w:shd w:val="clear" w:color="auto" w:fill="auto"/>
            <w:noWrap/>
          </w:tcPr>
          <w:p w14:paraId="4579C50E">
            <w:pPr>
              <w:pStyle w:val="3127"/>
              <w:rPr>
                <w:rFonts w:eastAsia="等线"/>
                <w:color w:val="auto"/>
              </w:rPr>
            </w:pPr>
            <w:r>
              <w:rPr>
                <w:rFonts w:hint="eastAsia" w:eastAsia="等线"/>
                <w:color w:val="auto"/>
              </w:rPr>
              <w:t>0.01</w:t>
            </w:r>
          </w:p>
        </w:tc>
        <w:tc>
          <w:tcPr>
            <w:tcW w:w="647" w:type="pct"/>
            <w:tcBorders>
              <w:top w:val="nil"/>
              <w:left w:val="nil"/>
              <w:bottom w:val="single" w:color="auto" w:sz="4" w:space="0"/>
              <w:right w:val="single" w:color="auto" w:sz="4" w:space="0"/>
            </w:tcBorders>
            <w:shd w:val="clear" w:color="auto" w:fill="auto"/>
            <w:vAlign w:val="center"/>
          </w:tcPr>
          <w:p w14:paraId="6266ABC3">
            <w:pPr>
              <w:pStyle w:val="3127"/>
              <w:rPr>
                <w:rFonts w:eastAsia="等线"/>
                <w:color w:val="auto"/>
              </w:rPr>
            </w:pPr>
            <w:r>
              <w:rPr>
                <w:rFonts w:hint="eastAsia" w:eastAsia="等线"/>
                <w:color w:val="auto"/>
              </w:rPr>
              <w:t>0</w:t>
            </w:r>
          </w:p>
        </w:tc>
        <w:tc>
          <w:tcPr>
            <w:tcW w:w="647" w:type="pct"/>
            <w:tcBorders>
              <w:top w:val="nil"/>
              <w:left w:val="nil"/>
              <w:bottom w:val="single" w:color="auto" w:sz="4" w:space="0"/>
              <w:right w:val="single" w:color="auto" w:sz="4" w:space="0"/>
            </w:tcBorders>
            <w:shd w:val="clear" w:color="auto" w:fill="auto"/>
            <w:noWrap/>
          </w:tcPr>
          <w:p w14:paraId="053767D6">
            <w:pPr>
              <w:pStyle w:val="3127"/>
              <w:rPr>
                <w:rFonts w:eastAsia="等线"/>
                <w:color w:val="auto"/>
              </w:rPr>
            </w:pPr>
            <w:r>
              <w:rPr>
                <w:rFonts w:hint="eastAsia" w:eastAsia="等线"/>
                <w:color w:val="auto"/>
              </w:rPr>
              <w:t>0.01</w:t>
            </w:r>
          </w:p>
        </w:tc>
        <w:tc>
          <w:tcPr>
            <w:tcW w:w="1031" w:type="pct"/>
            <w:vMerge w:val="restart"/>
            <w:tcBorders>
              <w:top w:val="nil"/>
              <w:left w:val="single" w:color="auto" w:sz="4" w:space="0"/>
              <w:bottom w:val="single" w:color="auto" w:sz="4" w:space="0"/>
              <w:right w:val="single" w:color="auto" w:sz="4" w:space="0"/>
            </w:tcBorders>
            <w:shd w:val="clear" w:color="auto" w:fill="auto"/>
            <w:vAlign w:val="center"/>
          </w:tcPr>
          <w:p w14:paraId="2F879568">
            <w:pPr>
              <w:pStyle w:val="3127"/>
              <w:rPr>
                <w:color w:val="auto"/>
              </w:rPr>
            </w:pPr>
            <w:r>
              <w:rPr>
                <w:rFonts w:hint="eastAsia"/>
                <w:color w:val="auto"/>
              </w:rPr>
              <w:t>大气　</w:t>
            </w:r>
          </w:p>
        </w:tc>
      </w:tr>
      <w:tr w14:paraId="3C2364E8">
        <w:tblPrEx>
          <w:tblCellMar>
            <w:top w:w="0" w:type="dxa"/>
            <w:left w:w="108" w:type="dxa"/>
            <w:bottom w:w="0" w:type="dxa"/>
            <w:right w:w="108" w:type="dxa"/>
          </w:tblCellMar>
        </w:tblPrEx>
        <w:trPr>
          <w:trHeight w:val="340" w:hRule="atLeast"/>
        </w:trPr>
        <w:tc>
          <w:tcPr>
            <w:tcW w:w="816" w:type="pct"/>
            <w:vMerge w:val="continue"/>
            <w:tcBorders>
              <w:top w:val="nil"/>
              <w:left w:val="single" w:color="auto" w:sz="4" w:space="0"/>
              <w:bottom w:val="single" w:color="auto" w:sz="4" w:space="0"/>
              <w:right w:val="single" w:color="auto" w:sz="4" w:space="0"/>
            </w:tcBorders>
            <w:shd w:val="clear" w:color="auto" w:fill="auto"/>
            <w:vAlign w:val="center"/>
          </w:tcPr>
          <w:p w14:paraId="1B7EA5A4">
            <w:pPr>
              <w:pStyle w:val="3127"/>
              <w:rPr>
                <w:color w:val="auto"/>
              </w:rPr>
            </w:pPr>
          </w:p>
        </w:tc>
        <w:tc>
          <w:tcPr>
            <w:tcW w:w="738" w:type="pct"/>
            <w:tcBorders>
              <w:top w:val="nil"/>
              <w:left w:val="nil"/>
              <w:bottom w:val="single" w:color="auto" w:sz="4" w:space="0"/>
              <w:right w:val="single" w:color="auto" w:sz="4" w:space="0"/>
            </w:tcBorders>
            <w:shd w:val="clear" w:color="auto" w:fill="auto"/>
            <w:vAlign w:val="center"/>
          </w:tcPr>
          <w:p w14:paraId="2980641C">
            <w:pPr>
              <w:pStyle w:val="3127"/>
              <w:rPr>
                <w:color w:val="auto"/>
              </w:rPr>
            </w:pPr>
            <w:r>
              <w:rPr>
                <w:rFonts w:hint="eastAsia"/>
                <w:color w:val="auto"/>
              </w:rPr>
              <w:t>硫化氢</w:t>
            </w:r>
          </w:p>
        </w:tc>
        <w:tc>
          <w:tcPr>
            <w:tcW w:w="477" w:type="pct"/>
            <w:tcBorders>
              <w:top w:val="nil"/>
              <w:left w:val="nil"/>
              <w:bottom w:val="single" w:color="auto" w:sz="4" w:space="0"/>
              <w:right w:val="single" w:color="auto" w:sz="4" w:space="0"/>
            </w:tcBorders>
            <w:shd w:val="clear" w:color="auto" w:fill="auto"/>
            <w:noWrap/>
            <w:vAlign w:val="center"/>
          </w:tcPr>
          <w:p w14:paraId="3489355B">
            <w:pPr>
              <w:pStyle w:val="3127"/>
              <w:rPr>
                <w:color w:val="auto"/>
              </w:rPr>
            </w:pPr>
            <w:r>
              <w:rPr>
                <w:rFonts w:hint="eastAsia"/>
                <w:color w:val="auto"/>
              </w:rPr>
              <w:t>t/a</w:t>
            </w:r>
          </w:p>
        </w:tc>
        <w:tc>
          <w:tcPr>
            <w:tcW w:w="642" w:type="pct"/>
            <w:tcBorders>
              <w:top w:val="nil"/>
              <w:left w:val="nil"/>
              <w:bottom w:val="single" w:color="auto" w:sz="4" w:space="0"/>
              <w:right w:val="single" w:color="auto" w:sz="4" w:space="0"/>
            </w:tcBorders>
            <w:shd w:val="clear" w:color="auto" w:fill="auto"/>
            <w:noWrap/>
          </w:tcPr>
          <w:p w14:paraId="0B36A6A5">
            <w:pPr>
              <w:pStyle w:val="3127"/>
              <w:rPr>
                <w:rFonts w:eastAsia="等线"/>
                <w:color w:val="auto"/>
              </w:rPr>
            </w:pPr>
            <w:r>
              <w:rPr>
                <w:rFonts w:hint="eastAsia" w:eastAsia="等线"/>
                <w:color w:val="auto"/>
              </w:rPr>
              <w:t>0.001</w:t>
            </w:r>
          </w:p>
        </w:tc>
        <w:tc>
          <w:tcPr>
            <w:tcW w:w="647" w:type="pct"/>
            <w:tcBorders>
              <w:top w:val="nil"/>
              <w:left w:val="nil"/>
              <w:bottom w:val="single" w:color="auto" w:sz="4" w:space="0"/>
              <w:right w:val="single" w:color="auto" w:sz="4" w:space="0"/>
            </w:tcBorders>
            <w:shd w:val="clear" w:color="auto" w:fill="auto"/>
            <w:vAlign w:val="center"/>
          </w:tcPr>
          <w:p w14:paraId="52CB7895">
            <w:pPr>
              <w:pStyle w:val="3127"/>
              <w:rPr>
                <w:rFonts w:eastAsia="等线"/>
                <w:color w:val="auto"/>
              </w:rPr>
            </w:pPr>
            <w:r>
              <w:rPr>
                <w:rFonts w:hint="eastAsia" w:eastAsia="等线"/>
                <w:color w:val="auto"/>
              </w:rPr>
              <w:t>0</w:t>
            </w:r>
          </w:p>
        </w:tc>
        <w:tc>
          <w:tcPr>
            <w:tcW w:w="647" w:type="pct"/>
            <w:tcBorders>
              <w:top w:val="nil"/>
              <w:left w:val="nil"/>
              <w:bottom w:val="single" w:color="auto" w:sz="4" w:space="0"/>
              <w:right w:val="single" w:color="auto" w:sz="4" w:space="0"/>
            </w:tcBorders>
            <w:shd w:val="clear" w:color="auto" w:fill="auto"/>
            <w:noWrap/>
          </w:tcPr>
          <w:p w14:paraId="2CDEE768">
            <w:pPr>
              <w:pStyle w:val="3127"/>
              <w:rPr>
                <w:rFonts w:eastAsia="等线"/>
                <w:color w:val="auto"/>
              </w:rPr>
            </w:pPr>
            <w:r>
              <w:rPr>
                <w:rFonts w:hint="eastAsia" w:eastAsia="等线"/>
                <w:color w:val="auto"/>
              </w:rPr>
              <w:t>0.001</w:t>
            </w:r>
          </w:p>
        </w:tc>
        <w:tc>
          <w:tcPr>
            <w:tcW w:w="1031" w:type="pct"/>
            <w:vMerge w:val="continue"/>
            <w:tcBorders>
              <w:top w:val="nil"/>
              <w:left w:val="single" w:color="auto" w:sz="4" w:space="0"/>
              <w:bottom w:val="single" w:color="auto" w:sz="4" w:space="0"/>
              <w:right w:val="single" w:color="auto" w:sz="4" w:space="0"/>
            </w:tcBorders>
            <w:shd w:val="clear" w:color="auto" w:fill="auto"/>
            <w:vAlign w:val="center"/>
          </w:tcPr>
          <w:p w14:paraId="1A41E524">
            <w:pPr>
              <w:pStyle w:val="3127"/>
              <w:rPr>
                <w:color w:val="auto"/>
              </w:rPr>
            </w:pPr>
          </w:p>
        </w:tc>
      </w:tr>
      <w:tr w14:paraId="68D4CA03">
        <w:tblPrEx>
          <w:tblCellMar>
            <w:top w:w="0" w:type="dxa"/>
            <w:left w:w="108" w:type="dxa"/>
            <w:bottom w:w="0" w:type="dxa"/>
            <w:right w:w="108" w:type="dxa"/>
          </w:tblCellMar>
        </w:tblPrEx>
        <w:trPr>
          <w:trHeight w:val="340" w:hRule="atLeast"/>
        </w:trPr>
        <w:tc>
          <w:tcPr>
            <w:tcW w:w="816" w:type="pct"/>
            <w:vMerge w:val="continue"/>
            <w:tcBorders>
              <w:top w:val="nil"/>
              <w:left w:val="single" w:color="auto" w:sz="4" w:space="0"/>
              <w:bottom w:val="single" w:color="auto" w:sz="4" w:space="0"/>
              <w:right w:val="single" w:color="auto" w:sz="4" w:space="0"/>
            </w:tcBorders>
            <w:vAlign w:val="center"/>
          </w:tcPr>
          <w:p w14:paraId="018BBEE5">
            <w:pPr>
              <w:pStyle w:val="3127"/>
              <w:rPr>
                <w:color w:val="auto"/>
              </w:rPr>
            </w:pPr>
          </w:p>
        </w:tc>
        <w:tc>
          <w:tcPr>
            <w:tcW w:w="738" w:type="pct"/>
            <w:tcBorders>
              <w:top w:val="nil"/>
              <w:left w:val="nil"/>
              <w:bottom w:val="single" w:color="auto" w:sz="4" w:space="0"/>
              <w:right w:val="single" w:color="auto" w:sz="4" w:space="0"/>
            </w:tcBorders>
            <w:shd w:val="clear" w:color="auto" w:fill="auto"/>
            <w:vAlign w:val="center"/>
          </w:tcPr>
          <w:p w14:paraId="666A9676">
            <w:pPr>
              <w:pStyle w:val="3127"/>
              <w:rPr>
                <w:color w:val="auto"/>
              </w:rPr>
            </w:pPr>
            <w:r>
              <w:rPr>
                <w:rFonts w:hint="eastAsia"/>
                <w:color w:val="auto"/>
              </w:rPr>
              <w:t>非甲烷总烃</w:t>
            </w:r>
          </w:p>
        </w:tc>
        <w:tc>
          <w:tcPr>
            <w:tcW w:w="477" w:type="pct"/>
            <w:tcBorders>
              <w:top w:val="nil"/>
              <w:left w:val="nil"/>
              <w:bottom w:val="single" w:color="auto" w:sz="4" w:space="0"/>
              <w:right w:val="single" w:color="auto" w:sz="4" w:space="0"/>
            </w:tcBorders>
            <w:shd w:val="clear" w:color="auto" w:fill="auto"/>
            <w:noWrap/>
            <w:vAlign w:val="center"/>
          </w:tcPr>
          <w:p w14:paraId="487D2E9F">
            <w:pPr>
              <w:pStyle w:val="3127"/>
              <w:rPr>
                <w:color w:val="auto"/>
              </w:rPr>
            </w:pPr>
            <w:r>
              <w:rPr>
                <w:rFonts w:hint="eastAsia"/>
                <w:color w:val="auto"/>
              </w:rPr>
              <w:t>t/a</w:t>
            </w:r>
          </w:p>
        </w:tc>
        <w:tc>
          <w:tcPr>
            <w:tcW w:w="642" w:type="pct"/>
            <w:tcBorders>
              <w:top w:val="nil"/>
              <w:left w:val="nil"/>
              <w:bottom w:val="single" w:color="auto" w:sz="4" w:space="0"/>
              <w:right w:val="single" w:color="auto" w:sz="4" w:space="0"/>
            </w:tcBorders>
            <w:shd w:val="clear" w:color="auto" w:fill="auto"/>
            <w:noWrap/>
          </w:tcPr>
          <w:p w14:paraId="44490A27">
            <w:pPr>
              <w:pStyle w:val="3127"/>
              <w:rPr>
                <w:rFonts w:eastAsia="等线"/>
                <w:color w:val="auto"/>
              </w:rPr>
            </w:pPr>
            <w:r>
              <w:rPr>
                <w:rFonts w:hint="eastAsia" w:eastAsia="等线"/>
                <w:color w:val="auto"/>
              </w:rPr>
              <w:t>0.066</w:t>
            </w:r>
          </w:p>
        </w:tc>
        <w:tc>
          <w:tcPr>
            <w:tcW w:w="647" w:type="pct"/>
            <w:tcBorders>
              <w:top w:val="nil"/>
              <w:left w:val="nil"/>
              <w:bottom w:val="single" w:color="auto" w:sz="4" w:space="0"/>
              <w:right w:val="single" w:color="auto" w:sz="4" w:space="0"/>
            </w:tcBorders>
            <w:shd w:val="clear" w:color="auto" w:fill="auto"/>
            <w:vAlign w:val="center"/>
          </w:tcPr>
          <w:p w14:paraId="6044E337">
            <w:pPr>
              <w:pStyle w:val="3127"/>
              <w:rPr>
                <w:rFonts w:eastAsia="等线"/>
                <w:color w:val="auto"/>
              </w:rPr>
            </w:pPr>
            <w:r>
              <w:rPr>
                <w:rFonts w:hint="eastAsia" w:eastAsia="等线"/>
                <w:color w:val="auto"/>
              </w:rPr>
              <w:t xml:space="preserve">0 </w:t>
            </w:r>
          </w:p>
        </w:tc>
        <w:tc>
          <w:tcPr>
            <w:tcW w:w="647" w:type="pct"/>
            <w:tcBorders>
              <w:top w:val="nil"/>
              <w:left w:val="nil"/>
              <w:bottom w:val="single" w:color="auto" w:sz="4" w:space="0"/>
              <w:right w:val="single" w:color="auto" w:sz="4" w:space="0"/>
            </w:tcBorders>
            <w:shd w:val="clear" w:color="auto" w:fill="auto"/>
            <w:noWrap/>
          </w:tcPr>
          <w:p w14:paraId="0F2CD8FD">
            <w:pPr>
              <w:pStyle w:val="3127"/>
              <w:rPr>
                <w:rFonts w:eastAsia="等线"/>
                <w:color w:val="auto"/>
              </w:rPr>
            </w:pPr>
            <w:r>
              <w:rPr>
                <w:rFonts w:hint="eastAsia" w:eastAsia="等线"/>
                <w:color w:val="auto"/>
              </w:rPr>
              <w:t>0.066</w:t>
            </w:r>
          </w:p>
        </w:tc>
        <w:tc>
          <w:tcPr>
            <w:tcW w:w="1031" w:type="pct"/>
            <w:vMerge w:val="continue"/>
            <w:tcBorders>
              <w:top w:val="nil"/>
              <w:left w:val="single" w:color="auto" w:sz="4" w:space="0"/>
              <w:bottom w:val="single" w:color="auto" w:sz="4" w:space="0"/>
              <w:right w:val="single" w:color="auto" w:sz="4" w:space="0"/>
            </w:tcBorders>
            <w:vAlign w:val="center"/>
          </w:tcPr>
          <w:p w14:paraId="1AB46BC1">
            <w:pPr>
              <w:pStyle w:val="3127"/>
              <w:rPr>
                <w:color w:val="auto"/>
              </w:rPr>
            </w:pPr>
          </w:p>
        </w:tc>
      </w:tr>
      <w:tr w14:paraId="59C5A6B8">
        <w:tblPrEx>
          <w:tblCellMar>
            <w:top w:w="0" w:type="dxa"/>
            <w:left w:w="108" w:type="dxa"/>
            <w:bottom w:w="0" w:type="dxa"/>
            <w:right w:w="108" w:type="dxa"/>
          </w:tblCellMar>
        </w:tblPrEx>
        <w:trPr>
          <w:trHeight w:val="340" w:hRule="atLeast"/>
        </w:trPr>
        <w:tc>
          <w:tcPr>
            <w:tcW w:w="816" w:type="pct"/>
            <w:vMerge w:val="restart"/>
            <w:tcBorders>
              <w:top w:val="nil"/>
              <w:left w:val="single" w:color="auto" w:sz="4" w:space="0"/>
              <w:right w:val="single" w:color="auto" w:sz="4" w:space="0"/>
            </w:tcBorders>
            <w:vAlign w:val="center"/>
          </w:tcPr>
          <w:p w14:paraId="4A4A0737">
            <w:pPr>
              <w:pStyle w:val="3127"/>
              <w:rPr>
                <w:color w:val="auto"/>
              </w:rPr>
            </w:pPr>
            <w:r>
              <w:rPr>
                <w:rFonts w:hint="eastAsia"/>
                <w:color w:val="auto"/>
              </w:rPr>
              <w:t>生产废水和</w:t>
            </w:r>
          </w:p>
          <w:p w14:paraId="3B1EE450">
            <w:pPr>
              <w:pStyle w:val="3127"/>
              <w:rPr>
                <w:color w:val="auto"/>
              </w:rPr>
            </w:pPr>
            <w:r>
              <w:rPr>
                <w:rFonts w:hint="eastAsia"/>
                <w:color w:val="auto"/>
              </w:rPr>
              <w:t>生活污水</w:t>
            </w:r>
          </w:p>
        </w:tc>
        <w:tc>
          <w:tcPr>
            <w:tcW w:w="738" w:type="pct"/>
            <w:tcBorders>
              <w:top w:val="nil"/>
              <w:left w:val="nil"/>
              <w:bottom w:val="single" w:color="auto" w:sz="4" w:space="0"/>
              <w:right w:val="single" w:color="auto" w:sz="4" w:space="0"/>
            </w:tcBorders>
            <w:shd w:val="clear" w:color="auto" w:fill="auto"/>
            <w:vAlign w:val="center"/>
          </w:tcPr>
          <w:p w14:paraId="6478B4F3">
            <w:pPr>
              <w:pStyle w:val="3127"/>
              <w:rPr>
                <w:color w:val="auto"/>
              </w:rPr>
            </w:pPr>
            <w:r>
              <w:rPr>
                <w:rFonts w:hint="eastAsia"/>
                <w:color w:val="auto"/>
              </w:rPr>
              <w:t>废水量</w:t>
            </w:r>
          </w:p>
        </w:tc>
        <w:tc>
          <w:tcPr>
            <w:tcW w:w="477" w:type="pct"/>
            <w:tcBorders>
              <w:top w:val="nil"/>
              <w:left w:val="nil"/>
              <w:bottom w:val="single" w:color="auto" w:sz="4" w:space="0"/>
              <w:right w:val="single" w:color="auto" w:sz="4" w:space="0"/>
            </w:tcBorders>
            <w:shd w:val="clear" w:color="auto" w:fill="auto"/>
            <w:noWrap/>
            <w:vAlign w:val="center"/>
          </w:tcPr>
          <w:p w14:paraId="7FBD57BE">
            <w:pPr>
              <w:pStyle w:val="3127"/>
              <w:rPr>
                <w:color w:val="auto"/>
              </w:rPr>
            </w:pPr>
            <w:r>
              <w:rPr>
                <w:rFonts w:hint="eastAsia"/>
                <w:color w:val="auto"/>
              </w:rPr>
              <w:t>万m</w:t>
            </w:r>
            <w:r>
              <w:rPr>
                <w:rFonts w:hint="eastAsia"/>
                <w:color w:val="auto"/>
                <w:vertAlign w:val="superscript"/>
              </w:rPr>
              <w:t>3</w:t>
            </w:r>
            <w:r>
              <w:rPr>
                <w:rFonts w:hint="eastAsia"/>
                <w:color w:val="auto"/>
              </w:rPr>
              <w:t>/a</w:t>
            </w:r>
          </w:p>
        </w:tc>
        <w:tc>
          <w:tcPr>
            <w:tcW w:w="642" w:type="pct"/>
            <w:tcBorders>
              <w:top w:val="nil"/>
              <w:left w:val="nil"/>
              <w:bottom w:val="single" w:color="auto" w:sz="4" w:space="0"/>
              <w:right w:val="single" w:color="auto" w:sz="4" w:space="0"/>
            </w:tcBorders>
            <w:shd w:val="clear" w:color="auto" w:fill="auto"/>
            <w:vAlign w:val="center"/>
          </w:tcPr>
          <w:p w14:paraId="18B3F3CF">
            <w:pPr>
              <w:pStyle w:val="3127"/>
              <w:rPr>
                <w:rFonts w:hint="default" w:eastAsia="宋体"/>
                <w:color w:val="auto"/>
                <w:lang w:val="en-US" w:eastAsia="zh-CN"/>
              </w:rPr>
            </w:pPr>
            <w:r>
              <w:rPr>
                <w:rFonts w:hint="eastAsia"/>
                <w:color w:val="auto"/>
                <w:lang w:val="en-US" w:eastAsia="zh-CN"/>
              </w:rPr>
              <w:t>60.05</w:t>
            </w:r>
          </w:p>
        </w:tc>
        <w:tc>
          <w:tcPr>
            <w:tcW w:w="647" w:type="pct"/>
            <w:tcBorders>
              <w:top w:val="nil"/>
              <w:left w:val="nil"/>
              <w:bottom w:val="single" w:color="auto" w:sz="4" w:space="0"/>
              <w:right w:val="single" w:color="auto" w:sz="4" w:space="0"/>
            </w:tcBorders>
            <w:shd w:val="clear" w:color="auto" w:fill="auto"/>
            <w:vAlign w:val="center"/>
          </w:tcPr>
          <w:p w14:paraId="1681FB1B">
            <w:pPr>
              <w:pStyle w:val="3127"/>
              <w:rPr>
                <w:rFonts w:hint="default" w:eastAsia="宋体"/>
                <w:color w:val="auto"/>
                <w:lang w:val="en-US" w:eastAsia="zh-CN"/>
              </w:rPr>
            </w:pPr>
            <w:r>
              <w:rPr>
                <w:rFonts w:hint="eastAsia"/>
                <w:color w:val="auto"/>
              </w:rPr>
              <w:t>1.</w:t>
            </w:r>
            <w:r>
              <w:rPr>
                <w:rFonts w:hint="eastAsia"/>
                <w:color w:val="auto"/>
                <w:lang w:val="en-US" w:eastAsia="zh-CN"/>
              </w:rPr>
              <w:t>32</w:t>
            </w:r>
          </w:p>
        </w:tc>
        <w:tc>
          <w:tcPr>
            <w:tcW w:w="647" w:type="pct"/>
            <w:tcBorders>
              <w:top w:val="nil"/>
              <w:left w:val="nil"/>
              <w:bottom w:val="single" w:color="auto" w:sz="4" w:space="0"/>
              <w:right w:val="single" w:color="auto" w:sz="4" w:space="0"/>
            </w:tcBorders>
            <w:shd w:val="clear" w:color="auto" w:fill="auto"/>
            <w:vAlign w:val="center"/>
          </w:tcPr>
          <w:p w14:paraId="7FB9DB27">
            <w:pPr>
              <w:pStyle w:val="3127"/>
              <w:rPr>
                <w:rFonts w:hint="default" w:eastAsia="宋体"/>
                <w:color w:val="auto"/>
                <w:lang w:val="en-US" w:eastAsia="zh-CN"/>
              </w:rPr>
            </w:pPr>
            <w:r>
              <w:rPr>
                <w:rFonts w:hint="eastAsia"/>
                <w:color w:val="auto"/>
                <w:lang w:val="en-US" w:eastAsia="zh-CN"/>
              </w:rPr>
              <w:t>58.73</w:t>
            </w:r>
          </w:p>
        </w:tc>
        <w:tc>
          <w:tcPr>
            <w:tcW w:w="1031" w:type="pct"/>
            <w:vMerge w:val="restart"/>
            <w:tcBorders>
              <w:top w:val="nil"/>
              <w:left w:val="single" w:color="auto" w:sz="4" w:space="0"/>
              <w:right w:val="single" w:color="auto" w:sz="4" w:space="0"/>
            </w:tcBorders>
            <w:vAlign w:val="center"/>
          </w:tcPr>
          <w:p w14:paraId="6C384A20">
            <w:pPr>
              <w:pStyle w:val="3127"/>
              <w:rPr>
                <w:rFonts w:hint="eastAsia" w:eastAsia="宋体"/>
                <w:color w:val="auto"/>
                <w:lang w:eastAsia="zh-CN"/>
              </w:rPr>
            </w:pPr>
            <w:r>
              <w:rPr>
                <w:rFonts w:hint="eastAsia"/>
                <w:color w:val="auto"/>
              </w:rPr>
              <w:t>通过园区污水处理厂深度处理达标后排入</w:t>
            </w:r>
            <w:r>
              <w:rPr>
                <w:rFonts w:hint="eastAsia"/>
                <w:color w:val="auto"/>
                <w:lang w:eastAsia="zh-CN"/>
              </w:rPr>
              <w:t>长江</w:t>
            </w:r>
          </w:p>
        </w:tc>
      </w:tr>
      <w:tr w14:paraId="57B5C17C">
        <w:tblPrEx>
          <w:tblCellMar>
            <w:top w:w="0" w:type="dxa"/>
            <w:left w:w="108" w:type="dxa"/>
            <w:bottom w:w="0" w:type="dxa"/>
            <w:right w:w="108" w:type="dxa"/>
          </w:tblCellMar>
        </w:tblPrEx>
        <w:trPr>
          <w:trHeight w:val="340" w:hRule="atLeast"/>
        </w:trPr>
        <w:tc>
          <w:tcPr>
            <w:tcW w:w="816" w:type="pct"/>
            <w:vMerge w:val="continue"/>
            <w:tcBorders>
              <w:left w:val="single" w:color="auto" w:sz="4" w:space="0"/>
              <w:right w:val="single" w:color="auto" w:sz="4" w:space="0"/>
            </w:tcBorders>
            <w:vAlign w:val="center"/>
          </w:tcPr>
          <w:p w14:paraId="5ABB4E56">
            <w:pPr>
              <w:pStyle w:val="3127"/>
              <w:rPr>
                <w:color w:val="auto"/>
              </w:rPr>
            </w:pPr>
          </w:p>
        </w:tc>
        <w:tc>
          <w:tcPr>
            <w:tcW w:w="738" w:type="pct"/>
            <w:tcBorders>
              <w:top w:val="nil"/>
              <w:left w:val="nil"/>
              <w:bottom w:val="single" w:color="auto" w:sz="4" w:space="0"/>
              <w:right w:val="single" w:color="auto" w:sz="4" w:space="0"/>
            </w:tcBorders>
            <w:shd w:val="clear" w:color="auto" w:fill="auto"/>
          </w:tcPr>
          <w:p w14:paraId="544EE58A">
            <w:pPr>
              <w:pStyle w:val="3361"/>
              <w:rPr>
                <w:color w:val="auto"/>
              </w:rPr>
            </w:pPr>
            <w:r>
              <w:rPr>
                <w:rFonts w:hint="eastAsia"/>
                <w:color w:val="auto"/>
              </w:rPr>
              <w:t>悬浮物</w:t>
            </w:r>
          </w:p>
        </w:tc>
        <w:tc>
          <w:tcPr>
            <w:tcW w:w="477" w:type="pct"/>
            <w:tcBorders>
              <w:top w:val="nil"/>
              <w:left w:val="nil"/>
              <w:bottom w:val="single" w:color="auto" w:sz="4" w:space="0"/>
              <w:right w:val="single" w:color="auto" w:sz="4" w:space="0"/>
            </w:tcBorders>
            <w:shd w:val="clear" w:color="auto" w:fill="auto"/>
            <w:noWrap/>
            <w:vAlign w:val="center"/>
          </w:tcPr>
          <w:p w14:paraId="5EF0BA8B">
            <w:pPr>
              <w:pStyle w:val="3127"/>
              <w:rPr>
                <w:color w:val="auto"/>
              </w:rPr>
            </w:pPr>
            <w:r>
              <w:rPr>
                <w:rFonts w:hint="eastAsia"/>
                <w:color w:val="auto"/>
              </w:rPr>
              <w:t>t/a</w:t>
            </w:r>
          </w:p>
        </w:tc>
        <w:tc>
          <w:tcPr>
            <w:tcW w:w="642" w:type="pct"/>
            <w:tcBorders>
              <w:top w:val="nil"/>
              <w:left w:val="nil"/>
              <w:bottom w:val="single" w:color="auto" w:sz="4" w:space="0"/>
              <w:right w:val="single" w:color="auto" w:sz="4" w:space="0"/>
            </w:tcBorders>
            <w:shd w:val="clear" w:color="auto" w:fill="auto"/>
            <w:vAlign w:val="center"/>
          </w:tcPr>
          <w:p w14:paraId="5AA02EF8">
            <w:pPr>
              <w:widowControl/>
              <w:adjustRightInd/>
              <w:snapToGrid/>
              <w:spacing w:line="240" w:lineRule="auto"/>
              <w:ind w:firstLine="0" w:firstLineChars="0"/>
              <w:jc w:val="center"/>
              <w:rPr>
                <w:rFonts w:hint="eastAsia"/>
                <w:color w:val="auto"/>
                <w:kern w:val="0"/>
                <w:sz w:val="21"/>
                <w:szCs w:val="21"/>
              </w:rPr>
            </w:pPr>
            <w:r>
              <w:rPr>
                <w:rFonts w:hint="default"/>
                <w:color w:val="auto"/>
                <w:kern w:val="0"/>
                <w:sz w:val="21"/>
                <w:szCs w:val="21"/>
                <w:lang w:val="en-US" w:eastAsia="zh-CN"/>
              </w:rPr>
              <w:t>293.4</w:t>
            </w:r>
          </w:p>
        </w:tc>
        <w:tc>
          <w:tcPr>
            <w:tcW w:w="647" w:type="pct"/>
            <w:tcBorders>
              <w:top w:val="nil"/>
              <w:left w:val="nil"/>
              <w:bottom w:val="single" w:color="auto" w:sz="4" w:space="0"/>
              <w:right w:val="single" w:color="auto" w:sz="4" w:space="0"/>
            </w:tcBorders>
            <w:shd w:val="clear" w:color="auto" w:fill="auto"/>
            <w:vAlign w:val="center"/>
          </w:tcPr>
          <w:p w14:paraId="23B0786E">
            <w:pPr>
              <w:widowControl/>
              <w:adjustRightInd/>
              <w:snapToGrid/>
              <w:spacing w:line="240" w:lineRule="auto"/>
              <w:ind w:firstLine="0" w:firstLineChars="0"/>
              <w:jc w:val="center"/>
              <w:rPr>
                <w:rFonts w:hint="eastAsia"/>
                <w:color w:val="auto"/>
                <w:kern w:val="0"/>
                <w:sz w:val="21"/>
                <w:szCs w:val="21"/>
                <w:lang w:val="en-US" w:eastAsia="zh-CN"/>
              </w:rPr>
            </w:pPr>
            <w:r>
              <w:rPr>
                <w:rFonts w:hint="default"/>
                <w:color w:val="auto"/>
                <w:kern w:val="0"/>
                <w:sz w:val="21"/>
                <w:szCs w:val="21"/>
                <w:lang w:val="en-US" w:eastAsia="zh-CN"/>
              </w:rPr>
              <w:t>287.53</w:t>
            </w:r>
          </w:p>
        </w:tc>
        <w:tc>
          <w:tcPr>
            <w:tcW w:w="647" w:type="pct"/>
            <w:tcBorders>
              <w:top w:val="nil"/>
              <w:left w:val="nil"/>
              <w:bottom w:val="single" w:color="auto" w:sz="4" w:space="0"/>
              <w:right w:val="single" w:color="auto" w:sz="4" w:space="0"/>
            </w:tcBorders>
            <w:shd w:val="clear" w:color="auto" w:fill="auto"/>
            <w:vAlign w:val="center"/>
          </w:tcPr>
          <w:p w14:paraId="69327D5C">
            <w:pPr>
              <w:widowControl/>
              <w:adjustRightInd/>
              <w:snapToGrid/>
              <w:spacing w:line="240" w:lineRule="auto"/>
              <w:ind w:firstLine="0" w:firstLineChars="0"/>
              <w:jc w:val="center"/>
              <w:rPr>
                <w:rFonts w:hint="eastAsia"/>
                <w:color w:val="auto"/>
                <w:kern w:val="0"/>
                <w:sz w:val="21"/>
                <w:szCs w:val="21"/>
              </w:rPr>
            </w:pPr>
            <w:r>
              <w:rPr>
                <w:rFonts w:hint="default"/>
                <w:color w:val="auto"/>
                <w:kern w:val="0"/>
                <w:sz w:val="21"/>
                <w:szCs w:val="21"/>
                <w:lang w:val="en-US" w:eastAsia="zh-CN"/>
              </w:rPr>
              <w:t>5.87</w:t>
            </w:r>
          </w:p>
        </w:tc>
        <w:tc>
          <w:tcPr>
            <w:tcW w:w="1031" w:type="pct"/>
            <w:vMerge w:val="continue"/>
            <w:tcBorders>
              <w:left w:val="single" w:color="auto" w:sz="4" w:space="0"/>
              <w:right w:val="single" w:color="auto" w:sz="4" w:space="0"/>
            </w:tcBorders>
            <w:vAlign w:val="center"/>
          </w:tcPr>
          <w:p w14:paraId="01237C06">
            <w:pPr>
              <w:pStyle w:val="3127"/>
              <w:rPr>
                <w:color w:val="auto"/>
              </w:rPr>
            </w:pPr>
          </w:p>
        </w:tc>
      </w:tr>
      <w:tr w14:paraId="71CFBB2A">
        <w:tblPrEx>
          <w:tblCellMar>
            <w:top w:w="0" w:type="dxa"/>
            <w:left w:w="108" w:type="dxa"/>
            <w:bottom w:w="0" w:type="dxa"/>
            <w:right w:w="108" w:type="dxa"/>
          </w:tblCellMar>
        </w:tblPrEx>
        <w:trPr>
          <w:trHeight w:val="340" w:hRule="atLeast"/>
        </w:trPr>
        <w:tc>
          <w:tcPr>
            <w:tcW w:w="816" w:type="pct"/>
            <w:vMerge w:val="continue"/>
            <w:tcBorders>
              <w:left w:val="single" w:color="auto" w:sz="4" w:space="0"/>
              <w:right w:val="single" w:color="auto" w:sz="4" w:space="0"/>
            </w:tcBorders>
            <w:vAlign w:val="center"/>
          </w:tcPr>
          <w:p w14:paraId="70B95CF5">
            <w:pPr>
              <w:pStyle w:val="3127"/>
              <w:rPr>
                <w:color w:val="auto"/>
              </w:rPr>
            </w:pPr>
          </w:p>
        </w:tc>
        <w:tc>
          <w:tcPr>
            <w:tcW w:w="738" w:type="pct"/>
            <w:tcBorders>
              <w:top w:val="nil"/>
              <w:left w:val="nil"/>
              <w:bottom w:val="single" w:color="auto" w:sz="4" w:space="0"/>
              <w:right w:val="single" w:color="auto" w:sz="4" w:space="0"/>
            </w:tcBorders>
            <w:shd w:val="clear" w:color="auto" w:fill="auto"/>
          </w:tcPr>
          <w:p w14:paraId="5955BB20">
            <w:pPr>
              <w:pStyle w:val="3361"/>
              <w:rPr>
                <w:color w:val="auto"/>
              </w:rPr>
            </w:pPr>
            <w:r>
              <w:rPr>
                <w:rFonts w:hint="eastAsia"/>
                <w:color w:val="auto"/>
              </w:rPr>
              <w:t>化学需氧量</w:t>
            </w:r>
          </w:p>
        </w:tc>
        <w:tc>
          <w:tcPr>
            <w:tcW w:w="477" w:type="pct"/>
            <w:tcBorders>
              <w:top w:val="nil"/>
              <w:left w:val="nil"/>
              <w:bottom w:val="single" w:color="auto" w:sz="4" w:space="0"/>
              <w:right w:val="single" w:color="auto" w:sz="4" w:space="0"/>
            </w:tcBorders>
            <w:shd w:val="clear" w:color="auto" w:fill="auto"/>
            <w:noWrap/>
            <w:vAlign w:val="center"/>
          </w:tcPr>
          <w:p w14:paraId="466173C1">
            <w:pPr>
              <w:pStyle w:val="3127"/>
              <w:rPr>
                <w:color w:val="auto"/>
              </w:rPr>
            </w:pPr>
            <w:r>
              <w:rPr>
                <w:rFonts w:hint="eastAsia"/>
                <w:color w:val="auto"/>
              </w:rPr>
              <w:t>t/a</w:t>
            </w:r>
          </w:p>
        </w:tc>
        <w:tc>
          <w:tcPr>
            <w:tcW w:w="642" w:type="pct"/>
            <w:tcBorders>
              <w:top w:val="nil"/>
              <w:left w:val="nil"/>
              <w:bottom w:val="single" w:color="auto" w:sz="4" w:space="0"/>
              <w:right w:val="single" w:color="auto" w:sz="4" w:space="0"/>
            </w:tcBorders>
            <w:shd w:val="clear" w:color="auto" w:fill="auto"/>
            <w:vAlign w:val="center"/>
          </w:tcPr>
          <w:p w14:paraId="65A30A4A">
            <w:pPr>
              <w:widowControl/>
              <w:adjustRightInd/>
              <w:snapToGrid/>
              <w:spacing w:line="240" w:lineRule="auto"/>
              <w:ind w:firstLine="0" w:firstLineChars="0"/>
              <w:jc w:val="center"/>
              <w:rPr>
                <w:rFonts w:hint="eastAsia"/>
                <w:color w:val="auto"/>
                <w:kern w:val="0"/>
                <w:sz w:val="21"/>
                <w:szCs w:val="21"/>
              </w:rPr>
            </w:pPr>
            <w:r>
              <w:rPr>
                <w:rFonts w:hint="default"/>
                <w:color w:val="auto"/>
                <w:kern w:val="0"/>
                <w:sz w:val="21"/>
                <w:szCs w:val="21"/>
                <w:lang w:val="en-US" w:eastAsia="zh-CN"/>
              </w:rPr>
              <w:t>1173.6</w:t>
            </w:r>
          </w:p>
        </w:tc>
        <w:tc>
          <w:tcPr>
            <w:tcW w:w="647" w:type="pct"/>
            <w:tcBorders>
              <w:top w:val="nil"/>
              <w:left w:val="nil"/>
              <w:bottom w:val="single" w:color="auto" w:sz="4" w:space="0"/>
              <w:right w:val="single" w:color="auto" w:sz="4" w:space="0"/>
            </w:tcBorders>
            <w:shd w:val="clear" w:color="auto" w:fill="auto"/>
            <w:vAlign w:val="center"/>
          </w:tcPr>
          <w:p w14:paraId="21F8C765">
            <w:pPr>
              <w:widowControl/>
              <w:adjustRightInd/>
              <w:snapToGrid/>
              <w:spacing w:line="240" w:lineRule="auto"/>
              <w:ind w:firstLine="0" w:firstLineChars="0"/>
              <w:jc w:val="center"/>
              <w:rPr>
                <w:rFonts w:hint="eastAsia"/>
                <w:color w:val="auto"/>
                <w:kern w:val="0"/>
                <w:sz w:val="21"/>
                <w:szCs w:val="21"/>
                <w:lang w:val="en-US" w:eastAsia="zh-CN"/>
              </w:rPr>
            </w:pPr>
            <w:r>
              <w:rPr>
                <w:rFonts w:hint="default"/>
                <w:color w:val="auto"/>
                <w:kern w:val="0"/>
                <w:sz w:val="21"/>
                <w:szCs w:val="21"/>
                <w:lang w:val="en-US" w:eastAsia="zh-CN"/>
              </w:rPr>
              <w:t>1144.23</w:t>
            </w:r>
          </w:p>
        </w:tc>
        <w:tc>
          <w:tcPr>
            <w:tcW w:w="647" w:type="pct"/>
            <w:tcBorders>
              <w:top w:val="nil"/>
              <w:left w:val="nil"/>
              <w:bottom w:val="single" w:color="auto" w:sz="4" w:space="0"/>
              <w:right w:val="single" w:color="auto" w:sz="4" w:space="0"/>
            </w:tcBorders>
            <w:shd w:val="clear" w:color="auto" w:fill="auto"/>
            <w:vAlign w:val="center"/>
          </w:tcPr>
          <w:p w14:paraId="377C6024">
            <w:pPr>
              <w:widowControl/>
              <w:adjustRightInd/>
              <w:snapToGrid/>
              <w:spacing w:line="240" w:lineRule="auto"/>
              <w:ind w:firstLine="0" w:firstLineChars="0"/>
              <w:jc w:val="center"/>
              <w:rPr>
                <w:rFonts w:hint="eastAsia"/>
                <w:color w:val="auto"/>
                <w:kern w:val="0"/>
                <w:sz w:val="21"/>
                <w:szCs w:val="21"/>
              </w:rPr>
            </w:pPr>
            <w:r>
              <w:rPr>
                <w:rFonts w:hint="default"/>
                <w:color w:val="auto"/>
                <w:kern w:val="0"/>
                <w:sz w:val="21"/>
                <w:szCs w:val="21"/>
                <w:lang w:val="en-US" w:eastAsia="zh-CN"/>
              </w:rPr>
              <w:t>29.37</w:t>
            </w:r>
          </w:p>
        </w:tc>
        <w:tc>
          <w:tcPr>
            <w:tcW w:w="1031" w:type="pct"/>
            <w:vMerge w:val="continue"/>
            <w:tcBorders>
              <w:left w:val="single" w:color="auto" w:sz="4" w:space="0"/>
              <w:right w:val="single" w:color="auto" w:sz="4" w:space="0"/>
            </w:tcBorders>
            <w:vAlign w:val="center"/>
          </w:tcPr>
          <w:p w14:paraId="3B2296B5">
            <w:pPr>
              <w:pStyle w:val="3127"/>
              <w:rPr>
                <w:color w:val="auto"/>
              </w:rPr>
            </w:pPr>
          </w:p>
        </w:tc>
      </w:tr>
      <w:tr w14:paraId="49AFD703">
        <w:tblPrEx>
          <w:tblCellMar>
            <w:top w:w="0" w:type="dxa"/>
            <w:left w:w="108" w:type="dxa"/>
            <w:bottom w:w="0" w:type="dxa"/>
            <w:right w:w="108" w:type="dxa"/>
          </w:tblCellMar>
        </w:tblPrEx>
        <w:trPr>
          <w:trHeight w:val="340" w:hRule="atLeast"/>
        </w:trPr>
        <w:tc>
          <w:tcPr>
            <w:tcW w:w="816" w:type="pct"/>
            <w:vMerge w:val="continue"/>
            <w:tcBorders>
              <w:left w:val="single" w:color="auto" w:sz="4" w:space="0"/>
              <w:right w:val="single" w:color="auto" w:sz="4" w:space="0"/>
            </w:tcBorders>
            <w:vAlign w:val="center"/>
          </w:tcPr>
          <w:p w14:paraId="51CCF421">
            <w:pPr>
              <w:pStyle w:val="3127"/>
              <w:rPr>
                <w:color w:val="auto"/>
              </w:rPr>
            </w:pPr>
          </w:p>
        </w:tc>
        <w:tc>
          <w:tcPr>
            <w:tcW w:w="738" w:type="pct"/>
            <w:tcBorders>
              <w:top w:val="nil"/>
              <w:left w:val="nil"/>
              <w:bottom w:val="single" w:color="auto" w:sz="4" w:space="0"/>
              <w:right w:val="single" w:color="auto" w:sz="4" w:space="0"/>
            </w:tcBorders>
            <w:shd w:val="clear" w:color="auto" w:fill="auto"/>
          </w:tcPr>
          <w:p w14:paraId="21468426">
            <w:pPr>
              <w:pStyle w:val="3361"/>
              <w:rPr>
                <w:color w:val="auto"/>
              </w:rPr>
            </w:pPr>
            <w:r>
              <w:rPr>
                <w:rFonts w:hint="eastAsia"/>
                <w:color w:val="auto"/>
              </w:rPr>
              <w:t>五日生化需氧量</w:t>
            </w:r>
          </w:p>
        </w:tc>
        <w:tc>
          <w:tcPr>
            <w:tcW w:w="477" w:type="pct"/>
            <w:tcBorders>
              <w:top w:val="nil"/>
              <w:left w:val="nil"/>
              <w:bottom w:val="single" w:color="auto" w:sz="4" w:space="0"/>
              <w:right w:val="single" w:color="auto" w:sz="4" w:space="0"/>
            </w:tcBorders>
            <w:shd w:val="clear" w:color="auto" w:fill="auto"/>
            <w:noWrap/>
            <w:vAlign w:val="center"/>
          </w:tcPr>
          <w:p w14:paraId="4E6C0215">
            <w:pPr>
              <w:pStyle w:val="3127"/>
              <w:rPr>
                <w:color w:val="auto"/>
              </w:rPr>
            </w:pPr>
            <w:r>
              <w:rPr>
                <w:rFonts w:hint="eastAsia"/>
                <w:color w:val="auto"/>
              </w:rPr>
              <w:t>t/a</w:t>
            </w:r>
          </w:p>
        </w:tc>
        <w:tc>
          <w:tcPr>
            <w:tcW w:w="642" w:type="pct"/>
            <w:tcBorders>
              <w:top w:val="nil"/>
              <w:left w:val="nil"/>
              <w:bottom w:val="single" w:color="auto" w:sz="4" w:space="0"/>
              <w:right w:val="single" w:color="auto" w:sz="4" w:space="0"/>
            </w:tcBorders>
            <w:shd w:val="clear" w:color="auto" w:fill="auto"/>
            <w:vAlign w:val="center"/>
          </w:tcPr>
          <w:p w14:paraId="04F3D4F0">
            <w:pPr>
              <w:widowControl/>
              <w:adjustRightInd/>
              <w:snapToGrid/>
              <w:spacing w:line="240" w:lineRule="auto"/>
              <w:ind w:firstLine="0" w:firstLineChars="0"/>
              <w:jc w:val="center"/>
              <w:rPr>
                <w:rFonts w:hint="eastAsia"/>
                <w:color w:val="auto"/>
                <w:kern w:val="0"/>
                <w:sz w:val="21"/>
                <w:szCs w:val="21"/>
              </w:rPr>
            </w:pPr>
            <w:r>
              <w:rPr>
                <w:rFonts w:hint="default"/>
                <w:color w:val="auto"/>
                <w:kern w:val="0"/>
                <w:sz w:val="21"/>
                <w:szCs w:val="21"/>
                <w:lang w:val="en-US" w:eastAsia="zh-CN"/>
              </w:rPr>
              <w:t>176.04</w:t>
            </w:r>
          </w:p>
        </w:tc>
        <w:tc>
          <w:tcPr>
            <w:tcW w:w="647" w:type="pct"/>
            <w:tcBorders>
              <w:top w:val="nil"/>
              <w:left w:val="nil"/>
              <w:bottom w:val="single" w:color="auto" w:sz="4" w:space="0"/>
              <w:right w:val="single" w:color="auto" w:sz="4" w:space="0"/>
            </w:tcBorders>
            <w:shd w:val="clear" w:color="auto" w:fill="auto"/>
            <w:vAlign w:val="center"/>
          </w:tcPr>
          <w:p w14:paraId="0DDEECB7">
            <w:pPr>
              <w:widowControl/>
              <w:adjustRightInd/>
              <w:snapToGrid/>
              <w:spacing w:line="240" w:lineRule="auto"/>
              <w:ind w:firstLine="0" w:firstLineChars="0"/>
              <w:jc w:val="center"/>
              <w:rPr>
                <w:rFonts w:hint="eastAsia"/>
                <w:color w:val="auto"/>
                <w:kern w:val="0"/>
                <w:sz w:val="21"/>
                <w:szCs w:val="21"/>
                <w:lang w:val="en-US" w:eastAsia="zh-CN"/>
              </w:rPr>
            </w:pPr>
            <w:r>
              <w:rPr>
                <w:rFonts w:hint="default"/>
                <w:color w:val="auto"/>
                <w:kern w:val="0"/>
                <w:sz w:val="21"/>
                <w:szCs w:val="21"/>
                <w:lang w:val="en-US" w:eastAsia="zh-CN"/>
              </w:rPr>
              <w:t>170.17</w:t>
            </w:r>
          </w:p>
        </w:tc>
        <w:tc>
          <w:tcPr>
            <w:tcW w:w="647" w:type="pct"/>
            <w:tcBorders>
              <w:top w:val="nil"/>
              <w:left w:val="nil"/>
              <w:bottom w:val="single" w:color="auto" w:sz="4" w:space="0"/>
              <w:right w:val="single" w:color="auto" w:sz="4" w:space="0"/>
            </w:tcBorders>
            <w:shd w:val="clear" w:color="auto" w:fill="auto"/>
            <w:vAlign w:val="center"/>
          </w:tcPr>
          <w:p w14:paraId="30A3B6C0">
            <w:pPr>
              <w:widowControl/>
              <w:adjustRightInd/>
              <w:snapToGrid/>
              <w:spacing w:line="240" w:lineRule="auto"/>
              <w:ind w:firstLine="0" w:firstLineChars="0"/>
              <w:jc w:val="center"/>
              <w:rPr>
                <w:rFonts w:hint="eastAsia"/>
                <w:color w:val="auto"/>
                <w:kern w:val="0"/>
                <w:sz w:val="21"/>
                <w:szCs w:val="21"/>
              </w:rPr>
            </w:pPr>
            <w:r>
              <w:rPr>
                <w:rFonts w:hint="default"/>
                <w:color w:val="auto"/>
                <w:kern w:val="0"/>
                <w:sz w:val="21"/>
                <w:szCs w:val="21"/>
                <w:lang w:val="en-US" w:eastAsia="zh-CN"/>
              </w:rPr>
              <w:t>5.87</w:t>
            </w:r>
          </w:p>
        </w:tc>
        <w:tc>
          <w:tcPr>
            <w:tcW w:w="1031" w:type="pct"/>
            <w:vMerge w:val="continue"/>
            <w:tcBorders>
              <w:left w:val="single" w:color="auto" w:sz="4" w:space="0"/>
              <w:right w:val="single" w:color="auto" w:sz="4" w:space="0"/>
            </w:tcBorders>
            <w:vAlign w:val="center"/>
          </w:tcPr>
          <w:p w14:paraId="779BD621">
            <w:pPr>
              <w:pStyle w:val="3127"/>
              <w:rPr>
                <w:color w:val="auto"/>
              </w:rPr>
            </w:pPr>
          </w:p>
        </w:tc>
      </w:tr>
      <w:tr w14:paraId="02A15500">
        <w:tblPrEx>
          <w:tblCellMar>
            <w:top w:w="0" w:type="dxa"/>
            <w:left w:w="108" w:type="dxa"/>
            <w:bottom w:w="0" w:type="dxa"/>
            <w:right w:w="108" w:type="dxa"/>
          </w:tblCellMar>
        </w:tblPrEx>
        <w:trPr>
          <w:trHeight w:val="340" w:hRule="atLeast"/>
        </w:trPr>
        <w:tc>
          <w:tcPr>
            <w:tcW w:w="816" w:type="pct"/>
            <w:vMerge w:val="continue"/>
            <w:tcBorders>
              <w:left w:val="single" w:color="auto" w:sz="4" w:space="0"/>
              <w:right w:val="single" w:color="auto" w:sz="4" w:space="0"/>
            </w:tcBorders>
            <w:vAlign w:val="center"/>
          </w:tcPr>
          <w:p w14:paraId="639644B1">
            <w:pPr>
              <w:pStyle w:val="3127"/>
              <w:rPr>
                <w:color w:val="auto"/>
              </w:rPr>
            </w:pPr>
          </w:p>
        </w:tc>
        <w:tc>
          <w:tcPr>
            <w:tcW w:w="738" w:type="pct"/>
            <w:tcBorders>
              <w:top w:val="nil"/>
              <w:left w:val="nil"/>
              <w:bottom w:val="single" w:color="auto" w:sz="4" w:space="0"/>
              <w:right w:val="single" w:color="auto" w:sz="4" w:space="0"/>
            </w:tcBorders>
            <w:shd w:val="clear" w:color="auto" w:fill="auto"/>
          </w:tcPr>
          <w:p w14:paraId="7D91E766">
            <w:pPr>
              <w:pStyle w:val="3361"/>
              <w:rPr>
                <w:color w:val="auto"/>
              </w:rPr>
            </w:pPr>
            <w:r>
              <w:rPr>
                <w:rFonts w:hint="eastAsia"/>
                <w:color w:val="auto"/>
              </w:rPr>
              <w:t>氨氮</w:t>
            </w:r>
          </w:p>
        </w:tc>
        <w:tc>
          <w:tcPr>
            <w:tcW w:w="477" w:type="pct"/>
            <w:tcBorders>
              <w:top w:val="nil"/>
              <w:left w:val="nil"/>
              <w:bottom w:val="single" w:color="auto" w:sz="4" w:space="0"/>
              <w:right w:val="single" w:color="auto" w:sz="4" w:space="0"/>
            </w:tcBorders>
            <w:shd w:val="clear" w:color="auto" w:fill="auto"/>
            <w:noWrap/>
            <w:vAlign w:val="center"/>
          </w:tcPr>
          <w:p w14:paraId="0E768137">
            <w:pPr>
              <w:pStyle w:val="3127"/>
              <w:rPr>
                <w:color w:val="auto"/>
              </w:rPr>
            </w:pPr>
            <w:r>
              <w:rPr>
                <w:rFonts w:hint="eastAsia"/>
                <w:color w:val="auto"/>
              </w:rPr>
              <w:t>t/a</w:t>
            </w:r>
          </w:p>
        </w:tc>
        <w:tc>
          <w:tcPr>
            <w:tcW w:w="642" w:type="pct"/>
            <w:tcBorders>
              <w:top w:val="nil"/>
              <w:left w:val="nil"/>
              <w:bottom w:val="single" w:color="auto" w:sz="4" w:space="0"/>
              <w:right w:val="single" w:color="auto" w:sz="4" w:space="0"/>
            </w:tcBorders>
            <w:shd w:val="clear" w:color="auto" w:fill="auto"/>
            <w:vAlign w:val="center"/>
          </w:tcPr>
          <w:p w14:paraId="72E47454">
            <w:pPr>
              <w:widowControl/>
              <w:adjustRightInd/>
              <w:snapToGrid/>
              <w:spacing w:line="240" w:lineRule="auto"/>
              <w:ind w:firstLine="0" w:firstLineChars="0"/>
              <w:jc w:val="center"/>
              <w:rPr>
                <w:rFonts w:hint="eastAsia"/>
                <w:color w:val="auto"/>
                <w:kern w:val="0"/>
                <w:sz w:val="21"/>
                <w:szCs w:val="21"/>
              </w:rPr>
            </w:pPr>
            <w:r>
              <w:rPr>
                <w:rFonts w:hint="default"/>
                <w:color w:val="auto"/>
                <w:kern w:val="0"/>
                <w:sz w:val="21"/>
                <w:szCs w:val="21"/>
                <w:lang w:val="en-US" w:eastAsia="zh-CN"/>
              </w:rPr>
              <w:t>58.68</w:t>
            </w:r>
          </w:p>
        </w:tc>
        <w:tc>
          <w:tcPr>
            <w:tcW w:w="647" w:type="pct"/>
            <w:tcBorders>
              <w:top w:val="nil"/>
              <w:left w:val="nil"/>
              <w:bottom w:val="single" w:color="auto" w:sz="4" w:space="0"/>
              <w:right w:val="single" w:color="auto" w:sz="4" w:space="0"/>
            </w:tcBorders>
            <w:shd w:val="clear" w:color="auto" w:fill="auto"/>
            <w:vAlign w:val="center"/>
          </w:tcPr>
          <w:p w14:paraId="73734F1A">
            <w:pPr>
              <w:widowControl/>
              <w:adjustRightInd/>
              <w:snapToGrid/>
              <w:spacing w:line="240" w:lineRule="auto"/>
              <w:ind w:firstLine="0" w:firstLineChars="0"/>
              <w:jc w:val="center"/>
              <w:rPr>
                <w:rFonts w:hint="eastAsia"/>
                <w:color w:val="auto"/>
                <w:kern w:val="0"/>
                <w:sz w:val="21"/>
                <w:szCs w:val="21"/>
                <w:lang w:val="en-US" w:eastAsia="zh-CN"/>
              </w:rPr>
            </w:pPr>
            <w:r>
              <w:rPr>
                <w:rFonts w:hint="default"/>
                <w:color w:val="auto"/>
                <w:kern w:val="0"/>
                <w:sz w:val="21"/>
                <w:szCs w:val="21"/>
                <w:lang w:val="en-US" w:eastAsia="zh-CN"/>
              </w:rPr>
              <w:t>53.98</w:t>
            </w:r>
          </w:p>
        </w:tc>
        <w:tc>
          <w:tcPr>
            <w:tcW w:w="647" w:type="pct"/>
            <w:tcBorders>
              <w:top w:val="nil"/>
              <w:left w:val="nil"/>
              <w:bottom w:val="single" w:color="auto" w:sz="4" w:space="0"/>
              <w:right w:val="single" w:color="auto" w:sz="4" w:space="0"/>
            </w:tcBorders>
            <w:shd w:val="clear" w:color="auto" w:fill="auto"/>
            <w:vAlign w:val="center"/>
          </w:tcPr>
          <w:p w14:paraId="11195DE2">
            <w:pPr>
              <w:widowControl/>
              <w:adjustRightInd/>
              <w:snapToGrid/>
              <w:spacing w:line="240" w:lineRule="auto"/>
              <w:ind w:firstLine="0" w:firstLineChars="0"/>
              <w:jc w:val="center"/>
              <w:rPr>
                <w:rFonts w:hint="eastAsia"/>
                <w:color w:val="auto"/>
                <w:kern w:val="0"/>
                <w:sz w:val="21"/>
                <w:szCs w:val="21"/>
              </w:rPr>
            </w:pPr>
            <w:r>
              <w:rPr>
                <w:rFonts w:hint="default"/>
                <w:color w:val="auto"/>
                <w:kern w:val="0"/>
                <w:sz w:val="21"/>
                <w:szCs w:val="21"/>
                <w:lang w:val="en-US" w:eastAsia="zh-CN"/>
              </w:rPr>
              <w:t>4.7</w:t>
            </w:r>
          </w:p>
        </w:tc>
        <w:tc>
          <w:tcPr>
            <w:tcW w:w="1031" w:type="pct"/>
            <w:vMerge w:val="continue"/>
            <w:tcBorders>
              <w:left w:val="single" w:color="auto" w:sz="4" w:space="0"/>
              <w:right w:val="single" w:color="auto" w:sz="4" w:space="0"/>
            </w:tcBorders>
            <w:vAlign w:val="center"/>
          </w:tcPr>
          <w:p w14:paraId="267A59BC">
            <w:pPr>
              <w:pStyle w:val="3127"/>
              <w:rPr>
                <w:color w:val="auto"/>
              </w:rPr>
            </w:pPr>
          </w:p>
        </w:tc>
      </w:tr>
      <w:tr w14:paraId="3DE36B24">
        <w:tblPrEx>
          <w:tblCellMar>
            <w:top w:w="0" w:type="dxa"/>
            <w:left w:w="108" w:type="dxa"/>
            <w:bottom w:w="0" w:type="dxa"/>
            <w:right w:w="108" w:type="dxa"/>
          </w:tblCellMar>
        </w:tblPrEx>
        <w:trPr>
          <w:trHeight w:val="340" w:hRule="atLeast"/>
        </w:trPr>
        <w:tc>
          <w:tcPr>
            <w:tcW w:w="816" w:type="pct"/>
            <w:vMerge w:val="continue"/>
            <w:tcBorders>
              <w:left w:val="single" w:color="auto" w:sz="4" w:space="0"/>
              <w:right w:val="single" w:color="auto" w:sz="4" w:space="0"/>
            </w:tcBorders>
            <w:vAlign w:val="center"/>
          </w:tcPr>
          <w:p w14:paraId="72F5DC2A">
            <w:pPr>
              <w:pStyle w:val="3127"/>
              <w:rPr>
                <w:color w:val="auto"/>
              </w:rPr>
            </w:pPr>
          </w:p>
        </w:tc>
        <w:tc>
          <w:tcPr>
            <w:tcW w:w="738" w:type="pct"/>
            <w:tcBorders>
              <w:top w:val="nil"/>
              <w:left w:val="nil"/>
              <w:bottom w:val="single" w:color="auto" w:sz="4" w:space="0"/>
              <w:right w:val="single" w:color="auto" w:sz="4" w:space="0"/>
            </w:tcBorders>
            <w:shd w:val="clear" w:color="auto" w:fill="auto"/>
          </w:tcPr>
          <w:p w14:paraId="61454F03">
            <w:pPr>
              <w:pStyle w:val="3361"/>
              <w:rPr>
                <w:color w:val="auto"/>
              </w:rPr>
            </w:pPr>
            <w:r>
              <w:rPr>
                <w:rFonts w:hint="eastAsia"/>
                <w:color w:val="auto"/>
              </w:rPr>
              <w:t>总氮</w:t>
            </w:r>
          </w:p>
        </w:tc>
        <w:tc>
          <w:tcPr>
            <w:tcW w:w="477" w:type="pct"/>
            <w:tcBorders>
              <w:top w:val="nil"/>
              <w:left w:val="nil"/>
              <w:bottom w:val="single" w:color="auto" w:sz="4" w:space="0"/>
              <w:right w:val="single" w:color="auto" w:sz="4" w:space="0"/>
            </w:tcBorders>
            <w:shd w:val="clear" w:color="auto" w:fill="auto"/>
            <w:noWrap/>
            <w:vAlign w:val="center"/>
          </w:tcPr>
          <w:p w14:paraId="6D4BA8E3">
            <w:pPr>
              <w:pStyle w:val="3127"/>
              <w:rPr>
                <w:color w:val="auto"/>
              </w:rPr>
            </w:pPr>
            <w:r>
              <w:rPr>
                <w:rFonts w:hint="eastAsia"/>
                <w:color w:val="auto"/>
              </w:rPr>
              <w:t>t/a</w:t>
            </w:r>
          </w:p>
        </w:tc>
        <w:tc>
          <w:tcPr>
            <w:tcW w:w="642" w:type="pct"/>
            <w:tcBorders>
              <w:top w:val="nil"/>
              <w:left w:val="nil"/>
              <w:bottom w:val="single" w:color="auto" w:sz="4" w:space="0"/>
              <w:right w:val="single" w:color="auto" w:sz="4" w:space="0"/>
            </w:tcBorders>
            <w:shd w:val="clear" w:color="auto" w:fill="auto"/>
            <w:vAlign w:val="center"/>
          </w:tcPr>
          <w:p w14:paraId="09454B10">
            <w:pPr>
              <w:widowControl/>
              <w:adjustRightInd/>
              <w:snapToGrid/>
              <w:spacing w:line="240" w:lineRule="auto"/>
              <w:ind w:firstLine="0" w:firstLineChars="0"/>
              <w:jc w:val="center"/>
              <w:rPr>
                <w:rFonts w:hint="eastAsia"/>
                <w:color w:val="auto"/>
                <w:kern w:val="0"/>
                <w:sz w:val="21"/>
                <w:szCs w:val="21"/>
              </w:rPr>
            </w:pPr>
            <w:r>
              <w:rPr>
                <w:rFonts w:hint="default"/>
                <w:color w:val="auto"/>
                <w:kern w:val="0"/>
                <w:sz w:val="21"/>
                <w:szCs w:val="21"/>
                <w:lang w:val="en-US" w:eastAsia="zh-CN"/>
              </w:rPr>
              <w:t>117.36</w:t>
            </w:r>
          </w:p>
        </w:tc>
        <w:tc>
          <w:tcPr>
            <w:tcW w:w="647" w:type="pct"/>
            <w:tcBorders>
              <w:top w:val="nil"/>
              <w:left w:val="nil"/>
              <w:bottom w:val="single" w:color="auto" w:sz="4" w:space="0"/>
              <w:right w:val="single" w:color="auto" w:sz="4" w:space="0"/>
            </w:tcBorders>
            <w:shd w:val="clear" w:color="auto" w:fill="auto"/>
            <w:vAlign w:val="center"/>
          </w:tcPr>
          <w:p w14:paraId="393C6831">
            <w:pPr>
              <w:widowControl/>
              <w:adjustRightInd/>
              <w:snapToGrid/>
              <w:spacing w:line="240" w:lineRule="auto"/>
              <w:ind w:firstLine="0" w:firstLineChars="0"/>
              <w:jc w:val="center"/>
              <w:rPr>
                <w:rFonts w:hint="eastAsia"/>
                <w:color w:val="auto"/>
                <w:kern w:val="0"/>
                <w:sz w:val="21"/>
                <w:szCs w:val="21"/>
                <w:lang w:val="en-US" w:eastAsia="zh-CN"/>
              </w:rPr>
            </w:pPr>
            <w:r>
              <w:rPr>
                <w:rFonts w:hint="default"/>
                <w:color w:val="auto"/>
                <w:kern w:val="0"/>
                <w:sz w:val="21"/>
                <w:szCs w:val="21"/>
                <w:lang w:val="en-US" w:eastAsia="zh-CN"/>
              </w:rPr>
              <w:t>108.55</w:t>
            </w:r>
          </w:p>
        </w:tc>
        <w:tc>
          <w:tcPr>
            <w:tcW w:w="647" w:type="pct"/>
            <w:tcBorders>
              <w:top w:val="nil"/>
              <w:left w:val="nil"/>
              <w:bottom w:val="single" w:color="auto" w:sz="4" w:space="0"/>
              <w:right w:val="single" w:color="auto" w:sz="4" w:space="0"/>
            </w:tcBorders>
            <w:shd w:val="clear" w:color="auto" w:fill="auto"/>
            <w:vAlign w:val="center"/>
          </w:tcPr>
          <w:p w14:paraId="4D5516A6">
            <w:pPr>
              <w:widowControl/>
              <w:adjustRightInd/>
              <w:snapToGrid/>
              <w:spacing w:line="240" w:lineRule="auto"/>
              <w:ind w:firstLine="0" w:firstLineChars="0"/>
              <w:jc w:val="center"/>
              <w:rPr>
                <w:rFonts w:hint="eastAsia"/>
                <w:color w:val="auto"/>
                <w:kern w:val="0"/>
                <w:sz w:val="21"/>
                <w:szCs w:val="21"/>
              </w:rPr>
            </w:pPr>
            <w:r>
              <w:rPr>
                <w:rFonts w:hint="default"/>
                <w:color w:val="auto"/>
                <w:kern w:val="0"/>
                <w:sz w:val="21"/>
                <w:szCs w:val="21"/>
                <w:lang w:val="en-US" w:eastAsia="zh-CN"/>
              </w:rPr>
              <w:t>8.81</w:t>
            </w:r>
          </w:p>
        </w:tc>
        <w:tc>
          <w:tcPr>
            <w:tcW w:w="1031" w:type="pct"/>
            <w:vMerge w:val="continue"/>
            <w:tcBorders>
              <w:left w:val="single" w:color="auto" w:sz="4" w:space="0"/>
              <w:right w:val="single" w:color="auto" w:sz="4" w:space="0"/>
            </w:tcBorders>
            <w:vAlign w:val="center"/>
          </w:tcPr>
          <w:p w14:paraId="690FB4AA">
            <w:pPr>
              <w:pStyle w:val="3127"/>
              <w:rPr>
                <w:color w:val="auto"/>
              </w:rPr>
            </w:pPr>
          </w:p>
        </w:tc>
      </w:tr>
      <w:tr w14:paraId="33B2DC45">
        <w:tblPrEx>
          <w:tblCellMar>
            <w:top w:w="0" w:type="dxa"/>
            <w:left w:w="108" w:type="dxa"/>
            <w:bottom w:w="0" w:type="dxa"/>
            <w:right w:w="108" w:type="dxa"/>
          </w:tblCellMar>
        </w:tblPrEx>
        <w:trPr>
          <w:trHeight w:val="340" w:hRule="atLeast"/>
        </w:trPr>
        <w:tc>
          <w:tcPr>
            <w:tcW w:w="816" w:type="pct"/>
            <w:vMerge w:val="continue"/>
            <w:tcBorders>
              <w:left w:val="single" w:color="auto" w:sz="4" w:space="0"/>
              <w:right w:val="single" w:color="auto" w:sz="4" w:space="0"/>
            </w:tcBorders>
            <w:vAlign w:val="center"/>
          </w:tcPr>
          <w:p w14:paraId="48136BC5">
            <w:pPr>
              <w:pStyle w:val="3127"/>
              <w:rPr>
                <w:color w:val="auto"/>
              </w:rPr>
            </w:pPr>
          </w:p>
        </w:tc>
        <w:tc>
          <w:tcPr>
            <w:tcW w:w="738" w:type="pct"/>
            <w:tcBorders>
              <w:top w:val="nil"/>
              <w:left w:val="nil"/>
              <w:bottom w:val="single" w:color="auto" w:sz="4" w:space="0"/>
              <w:right w:val="single" w:color="auto" w:sz="4" w:space="0"/>
            </w:tcBorders>
            <w:shd w:val="clear" w:color="auto" w:fill="auto"/>
          </w:tcPr>
          <w:p w14:paraId="35ACE751">
            <w:pPr>
              <w:pStyle w:val="3361"/>
              <w:rPr>
                <w:color w:val="auto"/>
              </w:rPr>
            </w:pPr>
            <w:r>
              <w:rPr>
                <w:rFonts w:hint="eastAsia"/>
                <w:color w:val="auto"/>
              </w:rPr>
              <w:t>总磷</w:t>
            </w:r>
          </w:p>
        </w:tc>
        <w:tc>
          <w:tcPr>
            <w:tcW w:w="477" w:type="pct"/>
            <w:tcBorders>
              <w:top w:val="nil"/>
              <w:left w:val="nil"/>
              <w:bottom w:val="single" w:color="auto" w:sz="4" w:space="0"/>
              <w:right w:val="single" w:color="auto" w:sz="4" w:space="0"/>
            </w:tcBorders>
            <w:shd w:val="clear" w:color="auto" w:fill="auto"/>
            <w:noWrap/>
            <w:vAlign w:val="center"/>
          </w:tcPr>
          <w:p w14:paraId="38744651">
            <w:pPr>
              <w:pStyle w:val="3127"/>
              <w:rPr>
                <w:color w:val="auto"/>
              </w:rPr>
            </w:pPr>
            <w:r>
              <w:rPr>
                <w:rFonts w:hint="eastAsia"/>
                <w:color w:val="auto"/>
              </w:rPr>
              <w:t>t/a</w:t>
            </w:r>
          </w:p>
        </w:tc>
        <w:tc>
          <w:tcPr>
            <w:tcW w:w="642" w:type="pct"/>
            <w:tcBorders>
              <w:top w:val="nil"/>
              <w:left w:val="nil"/>
              <w:bottom w:val="single" w:color="auto" w:sz="4" w:space="0"/>
              <w:right w:val="single" w:color="auto" w:sz="4" w:space="0"/>
            </w:tcBorders>
            <w:shd w:val="clear" w:color="auto" w:fill="auto"/>
            <w:vAlign w:val="center"/>
          </w:tcPr>
          <w:p w14:paraId="0EF9D831">
            <w:pPr>
              <w:widowControl/>
              <w:adjustRightInd/>
              <w:snapToGrid/>
              <w:spacing w:line="240" w:lineRule="auto"/>
              <w:ind w:firstLine="0" w:firstLineChars="0"/>
              <w:jc w:val="center"/>
              <w:rPr>
                <w:rFonts w:hint="eastAsia"/>
                <w:color w:val="auto"/>
                <w:kern w:val="0"/>
                <w:sz w:val="21"/>
                <w:szCs w:val="21"/>
              </w:rPr>
            </w:pPr>
            <w:r>
              <w:rPr>
                <w:rFonts w:hint="default"/>
                <w:color w:val="auto"/>
                <w:kern w:val="0"/>
                <w:sz w:val="21"/>
                <w:szCs w:val="21"/>
                <w:lang w:val="en-US" w:eastAsia="zh-CN"/>
              </w:rPr>
              <w:t>11.74</w:t>
            </w:r>
          </w:p>
        </w:tc>
        <w:tc>
          <w:tcPr>
            <w:tcW w:w="647" w:type="pct"/>
            <w:tcBorders>
              <w:top w:val="nil"/>
              <w:left w:val="nil"/>
              <w:bottom w:val="single" w:color="auto" w:sz="4" w:space="0"/>
              <w:right w:val="single" w:color="auto" w:sz="4" w:space="0"/>
            </w:tcBorders>
            <w:shd w:val="clear" w:color="auto" w:fill="auto"/>
            <w:vAlign w:val="center"/>
          </w:tcPr>
          <w:p w14:paraId="61B7D86C">
            <w:pPr>
              <w:widowControl/>
              <w:adjustRightInd/>
              <w:snapToGrid/>
              <w:spacing w:line="240" w:lineRule="auto"/>
              <w:ind w:firstLine="0" w:firstLineChars="0"/>
              <w:jc w:val="center"/>
              <w:rPr>
                <w:rFonts w:hint="eastAsia"/>
                <w:color w:val="auto"/>
                <w:kern w:val="0"/>
                <w:sz w:val="21"/>
                <w:szCs w:val="21"/>
                <w:lang w:val="en-US" w:eastAsia="zh-CN"/>
              </w:rPr>
            </w:pPr>
            <w:r>
              <w:rPr>
                <w:rFonts w:hint="default"/>
                <w:color w:val="auto"/>
                <w:kern w:val="0"/>
                <w:sz w:val="21"/>
                <w:szCs w:val="21"/>
                <w:lang w:val="en-US" w:eastAsia="zh-CN"/>
              </w:rPr>
              <w:t>11.45</w:t>
            </w:r>
          </w:p>
        </w:tc>
        <w:tc>
          <w:tcPr>
            <w:tcW w:w="647" w:type="pct"/>
            <w:tcBorders>
              <w:top w:val="nil"/>
              <w:left w:val="nil"/>
              <w:bottom w:val="single" w:color="auto" w:sz="4" w:space="0"/>
              <w:right w:val="single" w:color="auto" w:sz="4" w:space="0"/>
            </w:tcBorders>
            <w:shd w:val="clear" w:color="auto" w:fill="auto"/>
            <w:vAlign w:val="center"/>
          </w:tcPr>
          <w:p w14:paraId="2EF32962">
            <w:pPr>
              <w:widowControl/>
              <w:adjustRightInd/>
              <w:snapToGrid/>
              <w:spacing w:line="240" w:lineRule="auto"/>
              <w:ind w:firstLine="0" w:firstLineChars="0"/>
              <w:jc w:val="center"/>
              <w:rPr>
                <w:rFonts w:hint="eastAsia"/>
                <w:color w:val="auto"/>
                <w:kern w:val="0"/>
                <w:sz w:val="21"/>
                <w:szCs w:val="21"/>
              </w:rPr>
            </w:pPr>
            <w:r>
              <w:rPr>
                <w:rFonts w:hint="default"/>
                <w:color w:val="auto"/>
                <w:kern w:val="0"/>
                <w:sz w:val="21"/>
                <w:szCs w:val="21"/>
                <w:lang w:val="en-US" w:eastAsia="zh-CN"/>
              </w:rPr>
              <w:t>0.29</w:t>
            </w:r>
          </w:p>
        </w:tc>
        <w:tc>
          <w:tcPr>
            <w:tcW w:w="1031" w:type="pct"/>
            <w:vMerge w:val="continue"/>
            <w:tcBorders>
              <w:left w:val="single" w:color="auto" w:sz="4" w:space="0"/>
              <w:right w:val="single" w:color="auto" w:sz="4" w:space="0"/>
            </w:tcBorders>
            <w:vAlign w:val="center"/>
          </w:tcPr>
          <w:p w14:paraId="39593248">
            <w:pPr>
              <w:pStyle w:val="3127"/>
              <w:rPr>
                <w:color w:val="auto"/>
              </w:rPr>
            </w:pPr>
          </w:p>
        </w:tc>
      </w:tr>
      <w:tr w14:paraId="6490DBA8">
        <w:tblPrEx>
          <w:tblCellMar>
            <w:top w:w="0" w:type="dxa"/>
            <w:left w:w="108" w:type="dxa"/>
            <w:bottom w:w="0" w:type="dxa"/>
            <w:right w:w="108" w:type="dxa"/>
          </w:tblCellMar>
        </w:tblPrEx>
        <w:trPr>
          <w:trHeight w:val="340" w:hRule="atLeast"/>
        </w:trPr>
        <w:tc>
          <w:tcPr>
            <w:tcW w:w="816" w:type="pct"/>
            <w:vMerge w:val="continue"/>
            <w:tcBorders>
              <w:left w:val="single" w:color="auto" w:sz="4" w:space="0"/>
              <w:right w:val="single" w:color="auto" w:sz="4" w:space="0"/>
            </w:tcBorders>
            <w:vAlign w:val="center"/>
          </w:tcPr>
          <w:p w14:paraId="5E8AEE8E">
            <w:pPr>
              <w:pStyle w:val="3127"/>
              <w:rPr>
                <w:color w:val="auto"/>
              </w:rPr>
            </w:pPr>
          </w:p>
        </w:tc>
        <w:tc>
          <w:tcPr>
            <w:tcW w:w="738" w:type="pct"/>
            <w:tcBorders>
              <w:top w:val="nil"/>
              <w:left w:val="nil"/>
              <w:bottom w:val="single" w:color="auto" w:sz="4" w:space="0"/>
              <w:right w:val="single" w:color="auto" w:sz="4" w:space="0"/>
            </w:tcBorders>
            <w:shd w:val="clear" w:color="auto" w:fill="auto"/>
          </w:tcPr>
          <w:p w14:paraId="79C80F7D">
            <w:pPr>
              <w:pStyle w:val="3361"/>
              <w:rPr>
                <w:color w:val="auto"/>
              </w:rPr>
            </w:pPr>
            <w:r>
              <w:rPr>
                <w:rFonts w:hint="eastAsia"/>
                <w:color w:val="auto"/>
              </w:rPr>
              <w:t>总有机碳</w:t>
            </w:r>
          </w:p>
        </w:tc>
        <w:tc>
          <w:tcPr>
            <w:tcW w:w="477" w:type="pct"/>
            <w:tcBorders>
              <w:top w:val="nil"/>
              <w:left w:val="nil"/>
              <w:bottom w:val="single" w:color="auto" w:sz="4" w:space="0"/>
              <w:right w:val="single" w:color="auto" w:sz="4" w:space="0"/>
            </w:tcBorders>
            <w:shd w:val="clear" w:color="auto" w:fill="auto"/>
            <w:noWrap/>
            <w:vAlign w:val="center"/>
          </w:tcPr>
          <w:p w14:paraId="70608103">
            <w:pPr>
              <w:pStyle w:val="3127"/>
              <w:rPr>
                <w:color w:val="auto"/>
              </w:rPr>
            </w:pPr>
            <w:r>
              <w:rPr>
                <w:rFonts w:hint="eastAsia"/>
                <w:color w:val="auto"/>
              </w:rPr>
              <w:t>t/a</w:t>
            </w:r>
          </w:p>
        </w:tc>
        <w:tc>
          <w:tcPr>
            <w:tcW w:w="642" w:type="pct"/>
            <w:tcBorders>
              <w:top w:val="nil"/>
              <w:left w:val="nil"/>
              <w:bottom w:val="single" w:color="auto" w:sz="4" w:space="0"/>
              <w:right w:val="single" w:color="auto" w:sz="4" w:space="0"/>
            </w:tcBorders>
            <w:shd w:val="clear" w:color="auto" w:fill="auto"/>
            <w:vAlign w:val="center"/>
          </w:tcPr>
          <w:p w14:paraId="347FA807">
            <w:pPr>
              <w:widowControl/>
              <w:adjustRightInd/>
              <w:snapToGrid/>
              <w:spacing w:line="240" w:lineRule="auto"/>
              <w:ind w:firstLine="0" w:firstLineChars="0"/>
              <w:jc w:val="center"/>
              <w:rPr>
                <w:rFonts w:hint="eastAsia"/>
                <w:color w:val="auto"/>
                <w:kern w:val="0"/>
                <w:sz w:val="21"/>
                <w:szCs w:val="21"/>
              </w:rPr>
            </w:pPr>
            <w:r>
              <w:rPr>
                <w:rFonts w:hint="default"/>
                <w:color w:val="auto"/>
                <w:kern w:val="0"/>
                <w:sz w:val="21"/>
                <w:szCs w:val="21"/>
                <w:lang w:val="en-US" w:eastAsia="zh-CN"/>
              </w:rPr>
              <w:t>234.72</w:t>
            </w:r>
          </w:p>
        </w:tc>
        <w:tc>
          <w:tcPr>
            <w:tcW w:w="647" w:type="pct"/>
            <w:tcBorders>
              <w:top w:val="nil"/>
              <w:left w:val="nil"/>
              <w:bottom w:val="single" w:color="auto" w:sz="4" w:space="0"/>
              <w:right w:val="single" w:color="auto" w:sz="4" w:space="0"/>
            </w:tcBorders>
            <w:shd w:val="clear" w:color="auto" w:fill="auto"/>
            <w:vAlign w:val="center"/>
          </w:tcPr>
          <w:p w14:paraId="56DAB3AD">
            <w:pPr>
              <w:widowControl/>
              <w:adjustRightInd/>
              <w:snapToGrid/>
              <w:spacing w:line="240" w:lineRule="auto"/>
              <w:ind w:firstLine="0" w:firstLineChars="0"/>
              <w:jc w:val="center"/>
              <w:rPr>
                <w:rFonts w:hint="eastAsia"/>
                <w:color w:val="auto"/>
                <w:kern w:val="0"/>
                <w:sz w:val="21"/>
                <w:szCs w:val="21"/>
                <w:lang w:val="en-US" w:eastAsia="zh-CN"/>
              </w:rPr>
            </w:pPr>
            <w:r>
              <w:rPr>
                <w:rFonts w:hint="default"/>
                <w:color w:val="auto"/>
                <w:kern w:val="0"/>
                <w:sz w:val="21"/>
                <w:szCs w:val="21"/>
                <w:lang w:val="en-US" w:eastAsia="zh-CN"/>
              </w:rPr>
              <w:t>146.7</w:t>
            </w:r>
          </w:p>
        </w:tc>
        <w:tc>
          <w:tcPr>
            <w:tcW w:w="647" w:type="pct"/>
            <w:tcBorders>
              <w:top w:val="nil"/>
              <w:left w:val="nil"/>
              <w:bottom w:val="single" w:color="auto" w:sz="4" w:space="0"/>
              <w:right w:val="single" w:color="auto" w:sz="4" w:space="0"/>
            </w:tcBorders>
            <w:shd w:val="clear" w:color="auto" w:fill="auto"/>
            <w:vAlign w:val="center"/>
          </w:tcPr>
          <w:p w14:paraId="54866AFD">
            <w:pPr>
              <w:widowControl/>
              <w:adjustRightInd/>
              <w:snapToGrid/>
              <w:spacing w:line="240" w:lineRule="auto"/>
              <w:ind w:firstLine="0" w:firstLineChars="0"/>
              <w:jc w:val="center"/>
              <w:rPr>
                <w:rFonts w:hint="eastAsia"/>
                <w:color w:val="auto"/>
                <w:kern w:val="0"/>
                <w:sz w:val="21"/>
                <w:szCs w:val="21"/>
              </w:rPr>
            </w:pPr>
            <w:r>
              <w:rPr>
                <w:rFonts w:hint="default"/>
                <w:color w:val="auto"/>
                <w:kern w:val="0"/>
                <w:sz w:val="21"/>
                <w:szCs w:val="21"/>
                <w:lang w:val="en-US" w:eastAsia="zh-CN"/>
              </w:rPr>
              <w:t>88.02</w:t>
            </w:r>
          </w:p>
        </w:tc>
        <w:tc>
          <w:tcPr>
            <w:tcW w:w="1031" w:type="pct"/>
            <w:vMerge w:val="continue"/>
            <w:tcBorders>
              <w:left w:val="single" w:color="auto" w:sz="4" w:space="0"/>
              <w:right w:val="single" w:color="auto" w:sz="4" w:space="0"/>
            </w:tcBorders>
            <w:vAlign w:val="center"/>
          </w:tcPr>
          <w:p w14:paraId="5E6EBF07">
            <w:pPr>
              <w:pStyle w:val="3127"/>
              <w:rPr>
                <w:color w:val="auto"/>
              </w:rPr>
            </w:pPr>
          </w:p>
        </w:tc>
      </w:tr>
      <w:tr w14:paraId="01538C6A">
        <w:tblPrEx>
          <w:tblCellMar>
            <w:top w:w="0" w:type="dxa"/>
            <w:left w:w="108" w:type="dxa"/>
            <w:bottom w:w="0" w:type="dxa"/>
            <w:right w:w="108" w:type="dxa"/>
          </w:tblCellMar>
        </w:tblPrEx>
        <w:trPr>
          <w:trHeight w:val="340" w:hRule="atLeast"/>
        </w:trPr>
        <w:tc>
          <w:tcPr>
            <w:tcW w:w="816" w:type="pct"/>
            <w:vMerge w:val="continue"/>
            <w:tcBorders>
              <w:left w:val="single" w:color="auto" w:sz="4" w:space="0"/>
              <w:right w:val="single" w:color="auto" w:sz="4" w:space="0"/>
            </w:tcBorders>
            <w:vAlign w:val="center"/>
          </w:tcPr>
          <w:p w14:paraId="204DAF31">
            <w:pPr>
              <w:pStyle w:val="3127"/>
              <w:rPr>
                <w:color w:val="auto"/>
              </w:rPr>
            </w:pPr>
          </w:p>
        </w:tc>
        <w:tc>
          <w:tcPr>
            <w:tcW w:w="738" w:type="pct"/>
            <w:tcBorders>
              <w:top w:val="nil"/>
              <w:left w:val="nil"/>
              <w:bottom w:val="single" w:color="auto" w:sz="4" w:space="0"/>
              <w:right w:val="single" w:color="auto" w:sz="4" w:space="0"/>
            </w:tcBorders>
            <w:shd w:val="clear" w:color="auto" w:fill="auto"/>
          </w:tcPr>
          <w:p w14:paraId="0BF31549">
            <w:pPr>
              <w:pStyle w:val="3361"/>
              <w:rPr>
                <w:color w:val="auto"/>
              </w:rPr>
            </w:pPr>
            <w:r>
              <w:rPr>
                <w:rFonts w:hint="eastAsia"/>
                <w:color w:val="auto"/>
              </w:rPr>
              <w:t>石油类</w:t>
            </w:r>
          </w:p>
        </w:tc>
        <w:tc>
          <w:tcPr>
            <w:tcW w:w="477" w:type="pct"/>
            <w:tcBorders>
              <w:top w:val="nil"/>
              <w:left w:val="nil"/>
              <w:bottom w:val="single" w:color="auto" w:sz="4" w:space="0"/>
              <w:right w:val="single" w:color="auto" w:sz="4" w:space="0"/>
            </w:tcBorders>
            <w:shd w:val="clear" w:color="auto" w:fill="auto"/>
            <w:noWrap/>
            <w:vAlign w:val="center"/>
          </w:tcPr>
          <w:p w14:paraId="5EED9F12">
            <w:pPr>
              <w:pStyle w:val="3127"/>
              <w:rPr>
                <w:color w:val="auto"/>
              </w:rPr>
            </w:pPr>
            <w:r>
              <w:rPr>
                <w:rFonts w:hint="eastAsia"/>
                <w:color w:val="auto"/>
              </w:rPr>
              <w:t>t/a</w:t>
            </w:r>
          </w:p>
        </w:tc>
        <w:tc>
          <w:tcPr>
            <w:tcW w:w="642" w:type="pct"/>
            <w:tcBorders>
              <w:top w:val="nil"/>
              <w:left w:val="nil"/>
              <w:bottom w:val="single" w:color="auto" w:sz="4" w:space="0"/>
              <w:right w:val="single" w:color="auto" w:sz="4" w:space="0"/>
            </w:tcBorders>
            <w:shd w:val="clear" w:color="auto" w:fill="auto"/>
            <w:vAlign w:val="center"/>
          </w:tcPr>
          <w:p w14:paraId="41B020D7">
            <w:pPr>
              <w:widowControl/>
              <w:adjustRightInd/>
              <w:snapToGrid/>
              <w:spacing w:line="240" w:lineRule="auto"/>
              <w:ind w:firstLine="0" w:firstLineChars="0"/>
              <w:jc w:val="center"/>
              <w:rPr>
                <w:rFonts w:hint="eastAsia"/>
                <w:color w:val="auto"/>
                <w:kern w:val="0"/>
                <w:sz w:val="21"/>
                <w:szCs w:val="21"/>
              </w:rPr>
            </w:pPr>
            <w:r>
              <w:rPr>
                <w:rFonts w:hint="default"/>
                <w:color w:val="auto"/>
                <w:kern w:val="0"/>
                <w:sz w:val="21"/>
                <w:szCs w:val="21"/>
                <w:lang w:val="en-US" w:eastAsia="zh-CN"/>
              </w:rPr>
              <w:t>58.68</w:t>
            </w:r>
          </w:p>
        </w:tc>
        <w:tc>
          <w:tcPr>
            <w:tcW w:w="647" w:type="pct"/>
            <w:tcBorders>
              <w:top w:val="nil"/>
              <w:left w:val="nil"/>
              <w:bottom w:val="single" w:color="auto" w:sz="4" w:space="0"/>
              <w:right w:val="single" w:color="auto" w:sz="4" w:space="0"/>
            </w:tcBorders>
            <w:shd w:val="clear" w:color="auto" w:fill="auto"/>
            <w:vAlign w:val="center"/>
          </w:tcPr>
          <w:p w14:paraId="09BF8D78">
            <w:pPr>
              <w:widowControl/>
              <w:adjustRightInd/>
              <w:snapToGrid/>
              <w:spacing w:line="240" w:lineRule="auto"/>
              <w:ind w:firstLine="0" w:firstLineChars="0"/>
              <w:jc w:val="center"/>
              <w:rPr>
                <w:rFonts w:hint="eastAsia"/>
                <w:color w:val="auto"/>
                <w:kern w:val="0"/>
                <w:sz w:val="21"/>
                <w:szCs w:val="21"/>
                <w:lang w:val="en-US" w:eastAsia="zh-CN"/>
              </w:rPr>
            </w:pPr>
            <w:r>
              <w:rPr>
                <w:rFonts w:hint="default"/>
                <w:color w:val="auto"/>
                <w:kern w:val="0"/>
                <w:sz w:val="21"/>
                <w:szCs w:val="21"/>
                <w:lang w:val="en-US" w:eastAsia="zh-CN"/>
              </w:rPr>
              <w:t>58.09</w:t>
            </w:r>
          </w:p>
        </w:tc>
        <w:tc>
          <w:tcPr>
            <w:tcW w:w="647" w:type="pct"/>
            <w:tcBorders>
              <w:top w:val="nil"/>
              <w:left w:val="nil"/>
              <w:bottom w:val="single" w:color="auto" w:sz="4" w:space="0"/>
              <w:right w:val="single" w:color="auto" w:sz="4" w:space="0"/>
            </w:tcBorders>
            <w:shd w:val="clear" w:color="auto" w:fill="auto"/>
            <w:vAlign w:val="center"/>
          </w:tcPr>
          <w:p w14:paraId="00420AA0">
            <w:pPr>
              <w:widowControl/>
              <w:adjustRightInd/>
              <w:snapToGrid/>
              <w:spacing w:line="240" w:lineRule="auto"/>
              <w:ind w:firstLine="0" w:firstLineChars="0"/>
              <w:jc w:val="center"/>
              <w:rPr>
                <w:rFonts w:hint="eastAsia"/>
                <w:color w:val="auto"/>
                <w:kern w:val="0"/>
                <w:sz w:val="21"/>
                <w:szCs w:val="21"/>
              </w:rPr>
            </w:pPr>
            <w:r>
              <w:rPr>
                <w:rFonts w:hint="default"/>
                <w:color w:val="auto"/>
                <w:kern w:val="0"/>
                <w:sz w:val="21"/>
                <w:szCs w:val="21"/>
                <w:lang w:val="en-US" w:eastAsia="zh-CN"/>
              </w:rPr>
              <w:t>0.59</w:t>
            </w:r>
          </w:p>
        </w:tc>
        <w:tc>
          <w:tcPr>
            <w:tcW w:w="1031" w:type="pct"/>
            <w:vMerge w:val="continue"/>
            <w:tcBorders>
              <w:left w:val="single" w:color="auto" w:sz="4" w:space="0"/>
              <w:right w:val="single" w:color="auto" w:sz="4" w:space="0"/>
            </w:tcBorders>
            <w:vAlign w:val="center"/>
          </w:tcPr>
          <w:p w14:paraId="0FC074BB">
            <w:pPr>
              <w:pStyle w:val="3127"/>
              <w:rPr>
                <w:color w:val="auto"/>
              </w:rPr>
            </w:pPr>
          </w:p>
        </w:tc>
      </w:tr>
      <w:tr w14:paraId="57CAC7F5">
        <w:tblPrEx>
          <w:tblCellMar>
            <w:top w:w="0" w:type="dxa"/>
            <w:left w:w="108" w:type="dxa"/>
            <w:bottom w:w="0" w:type="dxa"/>
            <w:right w:w="108" w:type="dxa"/>
          </w:tblCellMar>
        </w:tblPrEx>
        <w:trPr>
          <w:trHeight w:val="340" w:hRule="atLeast"/>
        </w:trPr>
        <w:tc>
          <w:tcPr>
            <w:tcW w:w="816" w:type="pct"/>
            <w:vMerge w:val="continue"/>
            <w:tcBorders>
              <w:left w:val="single" w:color="auto" w:sz="4" w:space="0"/>
              <w:right w:val="single" w:color="auto" w:sz="4" w:space="0"/>
            </w:tcBorders>
            <w:vAlign w:val="center"/>
          </w:tcPr>
          <w:p w14:paraId="39C88AC5">
            <w:pPr>
              <w:pStyle w:val="3127"/>
              <w:rPr>
                <w:color w:val="auto"/>
              </w:rPr>
            </w:pPr>
          </w:p>
        </w:tc>
        <w:tc>
          <w:tcPr>
            <w:tcW w:w="738" w:type="pct"/>
            <w:tcBorders>
              <w:top w:val="nil"/>
              <w:left w:val="nil"/>
              <w:bottom w:val="single" w:color="auto" w:sz="4" w:space="0"/>
              <w:right w:val="single" w:color="auto" w:sz="4" w:space="0"/>
            </w:tcBorders>
            <w:shd w:val="clear" w:color="auto" w:fill="auto"/>
          </w:tcPr>
          <w:p w14:paraId="56A27C62">
            <w:pPr>
              <w:pStyle w:val="3361"/>
              <w:rPr>
                <w:color w:val="auto"/>
              </w:rPr>
            </w:pPr>
            <w:r>
              <w:rPr>
                <w:rFonts w:hint="eastAsia"/>
                <w:color w:val="auto"/>
              </w:rPr>
              <w:t>硫化物</w:t>
            </w:r>
          </w:p>
        </w:tc>
        <w:tc>
          <w:tcPr>
            <w:tcW w:w="477" w:type="pct"/>
            <w:tcBorders>
              <w:top w:val="nil"/>
              <w:left w:val="nil"/>
              <w:bottom w:val="single" w:color="auto" w:sz="4" w:space="0"/>
              <w:right w:val="single" w:color="auto" w:sz="4" w:space="0"/>
            </w:tcBorders>
            <w:shd w:val="clear" w:color="auto" w:fill="auto"/>
            <w:noWrap/>
            <w:vAlign w:val="center"/>
          </w:tcPr>
          <w:p w14:paraId="1519D9D8">
            <w:pPr>
              <w:pStyle w:val="3127"/>
              <w:rPr>
                <w:color w:val="auto"/>
              </w:rPr>
            </w:pPr>
            <w:r>
              <w:rPr>
                <w:rFonts w:hint="eastAsia"/>
                <w:color w:val="auto"/>
              </w:rPr>
              <w:t>t/a</w:t>
            </w:r>
          </w:p>
        </w:tc>
        <w:tc>
          <w:tcPr>
            <w:tcW w:w="642" w:type="pct"/>
            <w:tcBorders>
              <w:top w:val="nil"/>
              <w:left w:val="nil"/>
              <w:bottom w:val="single" w:color="auto" w:sz="4" w:space="0"/>
              <w:right w:val="single" w:color="auto" w:sz="4" w:space="0"/>
            </w:tcBorders>
            <w:shd w:val="clear" w:color="auto" w:fill="auto"/>
            <w:vAlign w:val="center"/>
          </w:tcPr>
          <w:p w14:paraId="5FB8DD97">
            <w:pPr>
              <w:widowControl/>
              <w:adjustRightInd/>
              <w:snapToGrid/>
              <w:spacing w:line="240" w:lineRule="auto"/>
              <w:ind w:firstLine="0" w:firstLineChars="0"/>
              <w:jc w:val="center"/>
              <w:rPr>
                <w:rFonts w:hint="eastAsia"/>
                <w:color w:val="auto"/>
                <w:kern w:val="0"/>
                <w:sz w:val="21"/>
                <w:szCs w:val="21"/>
              </w:rPr>
            </w:pPr>
            <w:r>
              <w:rPr>
                <w:rFonts w:hint="default"/>
                <w:color w:val="auto"/>
                <w:kern w:val="0"/>
                <w:sz w:val="21"/>
                <w:szCs w:val="21"/>
                <w:lang w:val="en-US" w:eastAsia="zh-CN"/>
              </w:rPr>
              <w:t>2.93</w:t>
            </w:r>
          </w:p>
        </w:tc>
        <w:tc>
          <w:tcPr>
            <w:tcW w:w="647" w:type="pct"/>
            <w:tcBorders>
              <w:top w:val="nil"/>
              <w:left w:val="nil"/>
              <w:bottom w:val="single" w:color="auto" w:sz="4" w:space="0"/>
              <w:right w:val="single" w:color="auto" w:sz="4" w:space="0"/>
            </w:tcBorders>
            <w:shd w:val="clear" w:color="auto" w:fill="auto"/>
            <w:vAlign w:val="center"/>
          </w:tcPr>
          <w:p w14:paraId="40D3BF34">
            <w:pPr>
              <w:widowControl/>
              <w:adjustRightInd/>
              <w:snapToGrid/>
              <w:spacing w:line="240" w:lineRule="auto"/>
              <w:ind w:firstLine="0" w:firstLineChars="0"/>
              <w:jc w:val="center"/>
              <w:rPr>
                <w:rFonts w:hint="eastAsia"/>
                <w:color w:val="auto"/>
                <w:kern w:val="0"/>
                <w:sz w:val="21"/>
                <w:szCs w:val="21"/>
                <w:lang w:val="en-US" w:eastAsia="zh-CN"/>
              </w:rPr>
            </w:pPr>
            <w:r>
              <w:rPr>
                <w:rFonts w:hint="default"/>
                <w:color w:val="auto"/>
                <w:kern w:val="0"/>
                <w:sz w:val="21"/>
                <w:szCs w:val="21"/>
                <w:lang w:val="en-US" w:eastAsia="zh-CN"/>
              </w:rPr>
              <w:t>2.34</w:t>
            </w:r>
          </w:p>
        </w:tc>
        <w:tc>
          <w:tcPr>
            <w:tcW w:w="647" w:type="pct"/>
            <w:tcBorders>
              <w:top w:val="nil"/>
              <w:left w:val="nil"/>
              <w:bottom w:val="single" w:color="auto" w:sz="4" w:space="0"/>
              <w:right w:val="single" w:color="auto" w:sz="4" w:space="0"/>
            </w:tcBorders>
            <w:shd w:val="clear" w:color="auto" w:fill="auto"/>
            <w:vAlign w:val="center"/>
          </w:tcPr>
          <w:p w14:paraId="76817004">
            <w:pPr>
              <w:widowControl/>
              <w:adjustRightInd/>
              <w:snapToGrid/>
              <w:spacing w:line="240" w:lineRule="auto"/>
              <w:ind w:firstLine="0" w:firstLineChars="0"/>
              <w:jc w:val="center"/>
              <w:rPr>
                <w:rFonts w:hint="eastAsia"/>
                <w:color w:val="auto"/>
                <w:kern w:val="0"/>
                <w:sz w:val="21"/>
                <w:szCs w:val="21"/>
              </w:rPr>
            </w:pPr>
            <w:r>
              <w:rPr>
                <w:rFonts w:hint="default"/>
                <w:color w:val="auto"/>
                <w:kern w:val="0"/>
                <w:sz w:val="21"/>
                <w:szCs w:val="21"/>
                <w:lang w:val="en-US" w:eastAsia="zh-CN"/>
              </w:rPr>
              <w:t>0.59</w:t>
            </w:r>
          </w:p>
        </w:tc>
        <w:tc>
          <w:tcPr>
            <w:tcW w:w="1031" w:type="pct"/>
            <w:vMerge w:val="continue"/>
            <w:tcBorders>
              <w:left w:val="single" w:color="auto" w:sz="4" w:space="0"/>
              <w:right w:val="single" w:color="auto" w:sz="4" w:space="0"/>
            </w:tcBorders>
            <w:vAlign w:val="center"/>
          </w:tcPr>
          <w:p w14:paraId="08B4A2FD">
            <w:pPr>
              <w:pStyle w:val="3127"/>
              <w:rPr>
                <w:color w:val="auto"/>
              </w:rPr>
            </w:pPr>
          </w:p>
        </w:tc>
      </w:tr>
      <w:tr w14:paraId="3B279AF1">
        <w:tblPrEx>
          <w:tblCellMar>
            <w:top w:w="0" w:type="dxa"/>
            <w:left w:w="108" w:type="dxa"/>
            <w:bottom w:w="0" w:type="dxa"/>
            <w:right w:w="108" w:type="dxa"/>
          </w:tblCellMar>
        </w:tblPrEx>
        <w:trPr>
          <w:trHeight w:val="340" w:hRule="atLeast"/>
        </w:trPr>
        <w:tc>
          <w:tcPr>
            <w:tcW w:w="816" w:type="pct"/>
            <w:vMerge w:val="continue"/>
            <w:tcBorders>
              <w:left w:val="single" w:color="auto" w:sz="4" w:space="0"/>
              <w:right w:val="single" w:color="auto" w:sz="4" w:space="0"/>
            </w:tcBorders>
            <w:vAlign w:val="center"/>
          </w:tcPr>
          <w:p w14:paraId="07E637E8">
            <w:pPr>
              <w:pStyle w:val="3127"/>
              <w:rPr>
                <w:color w:val="auto"/>
              </w:rPr>
            </w:pPr>
          </w:p>
        </w:tc>
        <w:tc>
          <w:tcPr>
            <w:tcW w:w="738" w:type="pct"/>
            <w:tcBorders>
              <w:top w:val="nil"/>
              <w:left w:val="nil"/>
              <w:bottom w:val="single" w:color="auto" w:sz="4" w:space="0"/>
              <w:right w:val="single" w:color="auto" w:sz="4" w:space="0"/>
            </w:tcBorders>
            <w:shd w:val="clear" w:color="auto" w:fill="auto"/>
          </w:tcPr>
          <w:p w14:paraId="10EF8284">
            <w:pPr>
              <w:pStyle w:val="3361"/>
              <w:rPr>
                <w:color w:val="auto"/>
              </w:rPr>
            </w:pPr>
            <w:r>
              <w:rPr>
                <w:rFonts w:hint="eastAsia"/>
                <w:color w:val="auto"/>
              </w:rPr>
              <w:t>氟化物</w:t>
            </w:r>
          </w:p>
        </w:tc>
        <w:tc>
          <w:tcPr>
            <w:tcW w:w="477" w:type="pct"/>
            <w:tcBorders>
              <w:top w:val="nil"/>
              <w:left w:val="nil"/>
              <w:bottom w:val="single" w:color="auto" w:sz="4" w:space="0"/>
              <w:right w:val="single" w:color="auto" w:sz="4" w:space="0"/>
            </w:tcBorders>
            <w:shd w:val="clear" w:color="auto" w:fill="auto"/>
            <w:noWrap/>
            <w:vAlign w:val="center"/>
          </w:tcPr>
          <w:p w14:paraId="79FCE28C">
            <w:pPr>
              <w:pStyle w:val="3127"/>
              <w:rPr>
                <w:color w:val="auto"/>
              </w:rPr>
            </w:pPr>
            <w:r>
              <w:rPr>
                <w:rFonts w:hint="eastAsia"/>
                <w:color w:val="auto"/>
              </w:rPr>
              <w:t>t/a</w:t>
            </w:r>
          </w:p>
        </w:tc>
        <w:tc>
          <w:tcPr>
            <w:tcW w:w="642" w:type="pct"/>
            <w:tcBorders>
              <w:top w:val="nil"/>
              <w:left w:val="nil"/>
              <w:bottom w:val="single" w:color="auto" w:sz="4" w:space="0"/>
              <w:right w:val="single" w:color="auto" w:sz="4" w:space="0"/>
            </w:tcBorders>
            <w:shd w:val="clear" w:color="auto" w:fill="auto"/>
            <w:vAlign w:val="center"/>
          </w:tcPr>
          <w:p w14:paraId="315CC845">
            <w:pPr>
              <w:widowControl/>
              <w:adjustRightInd/>
              <w:snapToGrid/>
              <w:spacing w:line="240" w:lineRule="auto"/>
              <w:ind w:firstLine="0" w:firstLineChars="0"/>
              <w:jc w:val="center"/>
              <w:rPr>
                <w:rFonts w:hint="eastAsia"/>
                <w:color w:val="auto"/>
                <w:kern w:val="0"/>
                <w:sz w:val="21"/>
                <w:szCs w:val="21"/>
              </w:rPr>
            </w:pPr>
            <w:r>
              <w:rPr>
                <w:rFonts w:hint="default"/>
                <w:color w:val="auto"/>
                <w:kern w:val="0"/>
                <w:sz w:val="21"/>
                <w:szCs w:val="21"/>
                <w:lang w:val="en-US" w:eastAsia="zh-CN"/>
              </w:rPr>
              <w:t>17.6</w:t>
            </w:r>
          </w:p>
        </w:tc>
        <w:tc>
          <w:tcPr>
            <w:tcW w:w="647" w:type="pct"/>
            <w:tcBorders>
              <w:top w:val="nil"/>
              <w:left w:val="nil"/>
              <w:bottom w:val="single" w:color="auto" w:sz="4" w:space="0"/>
              <w:right w:val="single" w:color="auto" w:sz="4" w:space="0"/>
            </w:tcBorders>
            <w:shd w:val="clear" w:color="auto" w:fill="auto"/>
            <w:vAlign w:val="center"/>
          </w:tcPr>
          <w:p w14:paraId="08AAEB41">
            <w:pPr>
              <w:widowControl/>
              <w:adjustRightInd/>
              <w:snapToGrid/>
              <w:spacing w:line="240" w:lineRule="auto"/>
              <w:ind w:firstLine="0" w:firstLineChars="0"/>
              <w:jc w:val="center"/>
              <w:rPr>
                <w:rFonts w:hint="eastAsia"/>
                <w:color w:val="auto"/>
                <w:kern w:val="0"/>
                <w:sz w:val="21"/>
                <w:szCs w:val="21"/>
                <w:lang w:val="en-US" w:eastAsia="zh-CN"/>
              </w:rPr>
            </w:pPr>
            <w:r>
              <w:rPr>
                <w:rFonts w:hint="default"/>
                <w:color w:val="auto"/>
                <w:kern w:val="0"/>
                <w:sz w:val="21"/>
                <w:szCs w:val="21"/>
                <w:lang w:val="en-US" w:eastAsia="zh-CN"/>
              </w:rPr>
              <w:t>5.89</w:t>
            </w:r>
          </w:p>
        </w:tc>
        <w:tc>
          <w:tcPr>
            <w:tcW w:w="647" w:type="pct"/>
            <w:tcBorders>
              <w:top w:val="nil"/>
              <w:left w:val="nil"/>
              <w:bottom w:val="single" w:color="auto" w:sz="4" w:space="0"/>
              <w:right w:val="single" w:color="auto" w:sz="4" w:space="0"/>
            </w:tcBorders>
            <w:shd w:val="clear" w:color="auto" w:fill="auto"/>
            <w:vAlign w:val="center"/>
          </w:tcPr>
          <w:p w14:paraId="6AB73677">
            <w:pPr>
              <w:widowControl/>
              <w:adjustRightInd/>
              <w:snapToGrid/>
              <w:spacing w:line="240" w:lineRule="auto"/>
              <w:ind w:firstLine="0" w:firstLineChars="0"/>
              <w:jc w:val="center"/>
              <w:rPr>
                <w:rFonts w:hint="eastAsia"/>
                <w:color w:val="auto"/>
                <w:kern w:val="0"/>
                <w:sz w:val="21"/>
                <w:szCs w:val="21"/>
              </w:rPr>
            </w:pPr>
            <w:r>
              <w:rPr>
                <w:rFonts w:hint="default"/>
                <w:color w:val="auto"/>
                <w:kern w:val="0"/>
                <w:sz w:val="21"/>
                <w:szCs w:val="21"/>
                <w:lang w:val="en-US" w:eastAsia="zh-CN"/>
              </w:rPr>
              <w:t>11.71</w:t>
            </w:r>
          </w:p>
        </w:tc>
        <w:tc>
          <w:tcPr>
            <w:tcW w:w="1031" w:type="pct"/>
            <w:vMerge w:val="continue"/>
            <w:tcBorders>
              <w:left w:val="single" w:color="auto" w:sz="4" w:space="0"/>
              <w:right w:val="single" w:color="auto" w:sz="4" w:space="0"/>
            </w:tcBorders>
            <w:vAlign w:val="center"/>
          </w:tcPr>
          <w:p w14:paraId="2E1B7698">
            <w:pPr>
              <w:pStyle w:val="3127"/>
              <w:rPr>
                <w:color w:val="auto"/>
              </w:rPr>
            </w:pPr>
          </w:p>
        </w:tc>
      </w:tr>
      <w:tr w14:paraId="6A583A1F">
        <w:tblPrEx>
          <w:tblCellMar>
            <w:top w:w="0" w:type="dxa"/>
            <w:left w:w="108" w:type="dxa"/>
            <w:bottom w:w="0" w:type="dxa"/>
            <w:right w:w="108" w:type="dxa"/>
          </w:tblCellMar>
        </w:tblPrEx>
        <w:trPr>
          <w:trHeight w:val="340" w:hRule="atLeast"/>
        </w:trPr>
        <w:tc>
          <w:tcPr>
            <w:tcW w:w="816" w:type="pct"/>
            <w:vMerge w:val="continue"/>
            <w:tcBorders>
              <w:left w:val="single" w:color="auto" w:sz="4" w:space="0"/>
              <w:right w:val="single" w:color="auto" w:sz="4" w:space="0"/>
            </w:tcBorders>
            <w:vAlign w:val="center"/>
          </w:tcPr>
          <w:p w14:paraId="6BF0FD20">
            <w:pPr>
              <w:pStyle w:val="3127"/>
              <w:rPr>
                <w:color w:val="auto"/>
              </w:rPr>
            </w:pPr>
          </w:p>
        </w:tc>
        <w:tc>
          <w:tcPr>
            <w:tcW w:w="738" w:type="pct"/>
            <w:tcBorders>
              <w:top w:val="nil"/>
              <w:left w:val="nil"/>
              <w:bottom w:val="single" w:color="auto" w:sz="4" w:space="0"/>
              <w:right w:val="single" w:color="auto" w:sz="4" w:space="0"/>
            </w:tcBorders>
            <w:shd w:val="clear" w:color="auto" w:fill="auto"/>
          </w:tcPr>
          <w:p w14:paraId="150A4C2F">
            <w:pPr>
              <w:pStyle w:val="3361"/>
              <w:rPr>
                <w:color w:val="auto"/>
              </w:rPr>
            </w:pPr>
            <w:r>
              <w:rPr>
                <w:rFonts w:hint="eastAsia"/>
                <w:color w:val="auto"/>
              </w:rPr>
              <w:t>氯化物</w:t>
            </w:r>
          </w:p>
        </w:tc>
        <w:tc>
          <w:tcPr>
            <w:tcW w:w="477" w:type="pct"/>
            <w:tcBorders>
              <w:top w:val="nil"/>
              <w:left w:val="nil"/>
              <w:bottom w:val="single" w:color="auto" w:sz="4" w:space="0"/>
              <w:right w:val="single" w:color="auto" w:sz="4" w:space="0"/>
            </w:tcBorders>
            <w:shd w:val="clear" w:color="auto" w:fill="auto"/>
            <w:noWrap/>
            <w:vAlign w:val="center"/>
          </w:tcPr>
          <w:p w14:paraId="17E7F2CC">
            <w:pPr>
              <w:pStyle w:val="3127"/>
              <w:rPr>
                <w:color w:val="auto"/>
              </w:rPr>
            </w:pPr>
            <w:r>
              <w:rPr>
                <w:rFonts w:hint="eastAsia"/>
                <w:color w:val="auto"/>
              </w:rPr>
              <w:t>t/a</w:t>
            </w:r>
          </w:p>
        </w:tc>
        <w:tc>
          <w:tcPr>
            <w:tcW w:w="642" w:type="pct"/>
            <w:tcBorders>
              <w:top w:val="nil"/>
              <w:left w:val="nil"/>
              <w:bottom w:val="single" w:color="auto" w:sz="4" w:space="0"/>
              <w:right w:val="single" w:color="auto" w:sz="4" w:space="0"/>
            </w:tcBorders>
            <w:shd w:val="clear" w:color="auto" w:fill="auto"/>
            <w:vAlign w:val="center"/>
          </w:tcPr>
          <w:p w14:paraId="36D2735E">
            <w:pPr>
              <w:widowControl/>
              <w:adjustRightInd/>
              <w:snapToGrid/>
              <w:spacing w:line="240" w:lineRule="auto"/>
              <w:ind w:firstLine="0" w:firstLineChars="0"/>
              <w:jc w:val="center"/>
              <w:rPr>
                <w:rFonts w:hint="eastAsia"/>
                <w:color w:val="auto"/>
                <w:kern w:val="0"/>
                <w:sz w:val="21"/>
                <w:szCs w:val="21"/>
              </w:rPr>
            </w:pPr>
            <w:r>
              <w:rPr>
                <w:rFonts w:hint="default"/>
                <w:color w:val="auto"/>
                <w:kern w:val="0"/>
                <w:sz w:val="21"/>
                <w:szCs w:val="21"/>
                <w:lang w:val="en-US" w:eastAsia="zh-CN"/>
              </w:rPr>
              <w:t>11736</w:t>
            </w:r>
          </w:p>
        </w:tc>
        <w:tc>
          <w:tcPr>
            <w:tcW w:w="647" w:type="pct"/>
            <w:tcBorders>
              <w:top w:val="nil"/>
              <w:left w:val="nil"/>
              <w:bottom w:val="single" w:color="auto" w:sz="4" w:space="0"/>
              <w:right w:val="single" w:color="auto" w:sz="4" w:space="0"/>
            </w:tcBorders>
            <w:shd w:val="clear" w:color="auto" w:fill="auto"/>
            <w:vAlign w:val="center"/>
          </w:tcPr>
          <w:p w14:paraId="4137D4F1">
            <w:pPr>
              <w:widowControl/>
              <w:adjustRightInd/>
              <w:snapToGrid/>
              <w:spacing w:line="240" w:lineRule="auto"/>
              <w:ind w:firstLine="0" w:firstLineChars="0"/>
              <w:jc w:val="center"/>
              <w:rPr>
                <w:rFonts w:hint="eastAsia"/>
                <w:color w:val="auto"/>
                <w:kern w:val="0"/>
                <w:sz w:val="21"/>
                <w:szCs w:val="21"/>
                <w:lang w:val="en-US" w:eastAsia="zh-CN"/>
              </w:rPr>
            </w:pPr>
            <w:r>
              <w:rPr>
                <w:rFonts w:hint="default"/>
                <w:color w:val="auto"/>
                <w:kern w:val="0"/>
                <w:sz w:val="21"/>
                <w:szCs w:val="21"/>
                <w:lang w:val="en-US" w:eastAsia="zh-CN"/>
              </w:rPr>
              <w:t>9975.6</w:t>
            </w:r>
          </w:p>
        </w:tc>
        <w:tc>
          <w:tcPr>
            <w:tcW w:w="647" w:type="pct"/>
            <w:tcBorders>
              <w:top w:val="nil"/>
              <w:left w:val="nil"/>
              <w:bottom w:val="single" w:color="auto" w:sz="4" w:space="0"/>
              <w:right w:val="single" w:color="auto" w:sz="4" w:space="0"/>
            </w:tcBorders>
            <w:shd w:val="clear" w:color="auto" w:fill="auto"/>
            <w:vAlign w:val="center"/>
          </w:tcPr>
          <w:p w14:paraId="1A762406">
            <w:pPr>
              <w:widowControl/>
              <w:adjustRightInd/>
              <w:snapToGrid/>
              <w:spacing w:line="240" w:lineRule="auto"/>
              <w:ind w:firstLine="0" w:firstLineChars="0"/>
              <w:jc w:val="center"/>
              <w:rPr>
                <w:rFonts w:hint="eastAsia"/>
                <w:color w:val="auto"/>
                <w:kern w:val="0"/>
                <w:sz w:val="21"/>
                <w:szCs w:val="21"/>
              </w:rPr>
            </w:pPr>
            <w:r>
              <w:rPr>
                <w:rFonts w:hint="default"/>
                <w:color w:val="auto"/>
                <w:kern w:val="0"/>
                <w:sz w:val="21"/>
                <w:szCs w:val="21"/>
                <w:lang w:val="en-US" w:eastAsia="zh-CN"/>
              </w:rPr>
              <w:t>1760.4</w:t>
            </w:r>
          </w:p>
        </w:tc>
        <w:tc>
          <w:tcPr>
            <w:tcW w:w="1031" w:type="pct"/>
            <w:vMerge w:val="continue"/>
            <w:tcBorders>
              <w:left w:val="single" w:color="auto" w:sz="4" w:space="0"/>
              <w:right w:val="single" w:color="auto" w:sz="4" w:space="0"/>
            </w:tcBorders>
            <w:vAlign w:val="center"/>
          </w:tcPr>
          <w:p w14:paraId="1118CB17">
            <w:pPr>
              <w:pStyle w:val="3127"/>
              <w:rPr>
                <w:color w:val="auto"/>
              </w:rPr>
            </w:pPr>
          </w:p>
        </w:tc>
      </w:tr>
      <w:tr w14:paraId="3961CF09">
        <w:tblPrEx>
          <w:tblCellMar>
            <w:top w:w="0" w:type="dxa"/>
            <w:left w:w="108" w:type="dxa"/>
            <w:bottom w:w="0" w:type="dxa"/>
            <w:right w:w="108" w:type="dxa"/>
          </w:tblCellMar>
        </w:tblPrEx>
        <w:trPr>
          <w:trHeight w:val="340" w:hRule="atLeast"/>
        </w:trPr>
        <w:tc>
          <w:tcPr>
            <w:tcW w:w="816" w:type="pct"/>
            <w:vMerge w:val="continue"/>
            <w:tcBorders>
              <w:left w:val="single" w:color="auto" w:sz="4" w:space="0"/>
              <w:right w:val="single" w:color="auto" w:sz="4" w:space="0"/>
            </w:tcBorders>
            <w:vAlign w:val="center"/>
          </w:tcPr>
          <w:p w14:paraId="54FFEE10">
            <w:pPr>
              <w:pStyle w:val="3127"/>
              <w:rPr>
                <w:color w:val="auto"/>
              </w:rPr>
            </w:pPr>
          </w:p>
        </w:tc>
        <w:tc>
          <w:tcPr>
            <w:tcW w:w="738" w:type="pct"/>
            <w:tcBorders>
              <w:top w:val="nil"/>
              <w:left w:val="nil"/>
              <w:bottom w:val="single" w:color="auto" w:sz="4" w:space="0"/>
              <w:right w:val="single" w:color="auto" w:sz="4" w:space="0"/>
            </w:tcBorders>
            <w:shd w:val="clear" w:color="auto" w:fill="auto"/>
          </w:tcPr>
          <w:p w14:paraId="00AB6194">
            <w:pPr>
              <w:pStyle w:val="3361"/>
              <w:rPr>
                <w:color w:val="auto"/>
              </w:rPr>
            </w:pPr>
            <w:r>
              <w:rPr>
                <w:rFonts w:hint="eastAsia"/>
                <w:color w:val="auto"/>
              </w:rPr>
              <w:t>溶解性总固体</w:t>
            </w:r>
          </w:p>
        </w:tc>
        <w:tc>
          <w:tcPr>
            <w:tcW w:w="477" w:type="pct"/>
            <w:tcBorders>
              <w:top w:val="nil"/>
              <w:left w:val="nil"/>
              <w:bottom w:val="single" w:color="auto" w:sz="4" w:space="0"/>
              <w:right w:val="single" w:color="auto" w:sz="4" w:space="0"/>
            </w:tcBorders>
            <w:shd w:val="clear" w:color="auto" w:fill="auto"/>
            <w:noWrap/>
            <w:vAlign w:val="center"/>
          </w:tcPr>
          <w:p w14:paraId="12022711">
            <w:pPr>
              <w:pStyle w:val="3127"/>
              <w:rPr>
                <w:color w:val="auto"/>
              </w:rPr>
            </w:pPr>
            <w:r>
              <w:rPr>
                <w:rFonts w:hint="eastAsia"/>
                <w:color w:val="auto"/>
              </w:rPr>
              <w:t>t/a</w:t>
            </w:r>
          </w:p>
        </w:tc>
        <w:tc>
          <w:tcPr>
            <w:tcW w:w="642" w:type="pct"/>
            <w:tcBorders>
              <w:top w:val="nil"/>
              <w:left w:val="nil"/>
              <w:bottom w:val="single" w:color="auto" w:sz="4" w:space="0"/>
              <w:right w:val="single" w:color="auto" w:sz="4" w:space="0"/>
            </w:tcBorders>
            <w:shd w:val="clear" w:color="auto" w:fill="auto"/>
            <w:vAlign w:val="center"/>
          </w:tcPr>
          <w:p w14:paraId="3C9CB27A">
            <w:pPr>
              <w:widowControl/>
              <w:adjustRightInd/>
              <w:snapToGrid/>
              <w:spacing w:line="240" w:lineRule="auto"/>
              <w:ind w:firstLine="0" w:firstLineChars="0"/>
              <w:jc w:val="center"/>
              <w:rPr>
                <w:rFonts w:hint="eastAsia"/>
                <w:color w:val="auto"/>
                <w:kern w:val="0"/>
                <w:sz w:val="21"/>
                <w:szCs w:val="21"/>
              </w:rPr>
            </w:pPr>
            <w:r>
              <w:rPr>
                <w:rFonts w:hint="default"/>
                <w:color w:val="auto"/>
                <w:kern w:val="0"/>
                <w:sz w:val="21"/>
                <w:szCs w:val="21"/>
                <w:lang w:val="en-US" w:eastAsia="zh-CN"/>
              </w:rPr>
              <w:t>20538</w:t>
            </w:r>
          </w:p>
        </w:tc>
        <w:tc>
          <w:tcPr>
            <w:tcW w:w="647" w:type="pct"/>
            <w:tcBorders>
              <w:top w:val="nil"/>
              <w:left w:val="nil"/>
              <w:bottom w:val="single" w:color="auto" w:sz="4" w:space="0"/>
              <w:right w:val="single" w:color="auto" w:sz="4" w:space="0"/>
            </w:tcBorders>
            <w:shd w:val="clear" w:color="auto" w:fill="auto"/>
            <w:vAlign w:val="center"/>
          </w:tcPr>
          <w:p w14:paraId="42111B9C">
            <w:pPr>
              <w:widowControl/>
              <w:adjustRightInd/>
              <w:snapToGrid/>
              <w:spacing w:line="240" w:lineRule="auto"/>
              <w:ind w:firstLine="0" w:firstLineChars="0"/>
              <w:jc w:val="center"/>
              <w:rPr>
                <w:rFonts w:hint="eastAsia"/>
                <w:color w:val="auto"/>
                <w:kern w:val="0"/>
                <w:sz w:val="21"/>
                <w:szCs w:val="21"/>
                <w:lang w:val="en-US" w:eastAsia="zh-CN"/>
              </w:rPr>
            </w:pPr>
            <w:r>
              <w:rPr>
                <w:rFonts w:hint="default"/>
                <w:color w:val="auto"/>
                <w:kern w:val="0"/>
                <w:sz w:val="21"/>
                <w:szCs w:val="21"/>
                <w:lang w:val="en-US" w:eastAsia="zh-CN"/>
              </w:rPr>
              <w:t>18190.8</w:t>
            </w:r>
          </w:p>
        </w:tc>
        <w:tc>
          <w:tcPr>
            <w:tcW w:w="647" w:type="pct"/>
            <w:tcBorders>
              <w:top w:val="nil"/>
              <w:left w:val="nil"/>
              <w:bottom w:val="single" w:color="auto" w:sz="4" w:space="0"/>
              <w:right w:val="single" w:color="auto" w:sz="4" w:space="0"/>
            </w:tcBorders>
            <w:shd w:val="clear" w:color="auto" w:fill="auto"/>
            <w:vAlign w:val="center"/>
          </w:tcPr>
          <w:p w14:paraId="31804C13">
            <w:pPr>
              <w:widowControl/>
              <w:adjustRightInd/>
              <w:snapToGrid/>
              <w:spacing w:line="240" w:lineRule="auto"/>
              <w:ind w:firstLine="0" w:firstLineChars="0"/>
              <w:jc w:val="center"/>
              <w:rPr>
                <w:rFonts w:hint="eastAsia"/>
                <w:color w:val="auto"/>
                <w:kern w:val="0"/>
                <w:sz w:val="21"/>
                <w:szCs w:val="21"/>
              </w:rPr>
            </w:pPr>
            <w:r>
              <w:rPr>
                <w:rFonts w:hint="default"/>
                <w:color w:val="auto"/>
                <w:kern w:val="0"/>
                <w:sz w:val="21"/>
                <w:szCs w:val="21"/>
                <w:lang w:val="en-US" w:eastAsia="zh-CN"/>
              </w:rPr>
              <w:t>2347.2</w:t>
            </w:r>
          </w:p>
        </w:tc>
        <w:tc>
          <w:tcPr>
            <w:tcW w:w="1031" w:type="pct"/>
            <w:vMerge w:val="continue"/>
            <w:tcBorders>
              <w:left w:val="single" w:color="auto" w:sz="4" w:space="0"/>
              <w:right w:val="single" w:color="auto" w:sz="4" w:space="0"/>
            </w:tcBorders>
            <w:vAlign w:val="center"/>
          </w:tcPr>
          <w:p w14:paraId="7191007C">
            <w:pPr>
              <w:pStyle w:val="3127"/>
              <w:rPr>
                <w:color w:val="auto"/>
              </w:rPr>
            </w:pPr>
          </w:p>
        </w:tc>
      </w:tr>
      <w:tr w14:paraId="64E15D1B">
        <w:tblPrEx>
          <w:tblCellMar>
            <w:top w:w="0" w:type="dxa"/>
            <w:left w:w="108" w:type="dxa"/>
            <w:bottom w:w="0" w:type="dxa"/>
            <w:right w:w="108" w:type="dxa"/>
          </w:tblCellMar>
        </w:tblPrEx>
        <w:trPr>
          <w:trHeight w:val="340" w:hRule="atLeast"/>
        </w:trPr>
        <w:tc>
          <w:tcPr>
            <w:tcW w:w="816" w:type="pct"/>
            <w:vMerge w:val="continue"/>
            <w:tcBorders>
              <w:left w:val="single" w:color="auto" w:sz="4" w:space="0"/>
              <w:right w:val="single" w:color="auto" w:sz="4" w:space="0"/>
            </w:tcBorders>
            <w:vAlign w:val="center"/>
          </w:tcPr>
          <w:p w14:paraId="3277248F">
            <w:pPr>
              <w:pStyle w:val="3127"/>
              <w:rPr>
                <w:color w:val="auto"/>
              </w:rPr>
            </w:pPr>
          </w:p>
        </w:tc>
        <w:tc>
          <w:tcPr>
            <w:tcW w:w="738" w:type="pct"/>
            <w:tcBorders>
              <w:top w:val="nil"/>
              <w:left w:val="nil"/>
              <w:bottom w:val="single" w:color="auto" w:sz="4" w:space="0"/>
              <w:right w:val="single" w:color="auto" w:sz="4" w:space="0"/>
            </w:tcBorders>
            <w:shd w:val="clear" w:color="auto" w:fill="auto"/>
          </w:tcPr>
          <w:p w14:paraId="75CDAE81">
            <w:pPr>
              <w:pStyle w:val="3361"/>
              <w:rPr>
                <w:color w:val="auto"/>
              </w:rPr>
            </w:pPr>
            <w:r>
              <w:rPr>
                <w:rFonts w:hint="eastAsia"/>
                <w:color w:val="auto"/>
              </w:rPr>
              <w:t>阴离子表面活性剂</w:t>
            </w:r>
          </w:p>
        </w:tc>
        <w:tc>
          <w:tcPr>
            <w:tcW w:w="477" w:type="pct"/>
            <w:tcBorders>
              <w:top w:val="nil"/>
              <w:left w:val="nil"/>
              <w:bottom w:val="single" w:color="auto" w:sz="4" w:space="0"/>
              <w:right w:val="single" w:color="auto" w:sz="4" w:space="0"/>
            </w:tcBorders>
            <w:shd w:val="clear" w:color="auto" w:fill="auto"/>
            <w:noWrap/>
            <w:vAlign w:val="center"/>
          </w:tcPr>
          <w:p w14:paraId="16F51B12">
            <w:pPr>
              <w:pStyle w:val="3127"/>
              <w:rPr>
                <w:color w:val="auto"/>
              </w:rPr>
            </w:pPr>
            <w:r>
              <w:rPr>
                <w:rFonts w:hint="eastAsia"/>
                <w:color w:val="auto"/>
              </w:rPr>
              <w:t>t/a</w:t>
            </w:r>
          </w:p>
        </w:tc>
        <w:tc>
          <w:tcPr>
            <w:tcW w:w="642" w:type="pct"/>
            <w:tcBorders>
              <w:top w:val="nil"/>
              <w:left w:val="nil"/>
              <w:bottom w:val="single" w:color="auto" w:sz="4" w:space="0"/>
              <w:right w:val="single" w:color="auto" w:sz="4" w:space="0"/>
            </w:tcBorders>
            <w:shd w:val="clear" w:color="auto" w:fill="auto"/>
            <w:vAlign w:val="center"/>
          </w:tcPr>
          <w:p w14:paraId="424AB31E">
            <w:pPr>
              <w:widowControl/>
              <w:adjustRightInd/>
              <w:snapToGrid/>
              <w:spacing w:line="240" w:lineRule="auto"/>
              <w:ind w:firstLine="0" w:firstLineChars="0"/>
              <w:jc w:val="center"/>
              <w:rPr>
                <w:rFonts w:hint="eastAsia"/>
                <w:color w:val="auto"/>
                <w:kern w:val="0"/>
                <w:sz w:val="21"/>
                <w:szCs w:val="21"/>
              </w:rPr>
            </w:pPr>
            <w:r>
              <w:rPr>
                <w:rFonts w:hint="default"/>
                <w:color w:val="auto"/>
                <w:kern w:val="0"/>
                <w:sz w:val="21"/>
                <w:szCs w:val="21"/>
                <w:lang w:val="en-US" w:eastAsia="zh-CN"/>
              </w:rPr>
              <w:t>17.6</w:t>
            </w:r>
          </w:p>
        </w:tc>
        <w:tc>
          <w:tcPr>
            <w:tcW w:w="647" w:type="pct"/>
            <w:tcBorders>
              <w:top w:val="nil"/>
              <w:left w:val="nil"/>
              <w:bottom w:val="single" w:color="auto" w:sz="4" w:space="0"/>
              <w:right w:val="single" w:color="auto" w:sz="4" w:space="0"/>
            </w:tcBorders>
            <w:shd w:val="clear" w:color="auto" w:fill="auto"/>
            <w:vAlign w:val="center"/>
          </w:tcPr>
          <w:p w14:paraId="2BE59577">
            <w:pPr>
              <w:widowControl/>
              <w:adjustRightInd/>
              <w:snapToGrid/>
              <w:spacing w:line="240" w:lineRule="auto"/>
              <w:ind w:firstLine="0" w:firstLineChars="0"/>
              <w:jc w:val="center"/>
              <w:rPr>
                <w:rFonts w:hint="eastAsia"/>
                <w:color w:val="auto"/>
                <w:kern w:val="0"/>
                <w:sz w:val="21"/>
                <w:szCs w:val="21"/>
                <w:lang w:val="en-US" w:eastAsia="zh-CN"/>
              </w:rPr>
            </w:pPr>
            <w:r>
              <w:rPr>
                <w:rFonts w:hint="default"/>
                <w:color w:val="auto"/>
                <w:kern w:val="0"/>
                <w:sz w:val="21"/>
                <w:szCs w:val="21"/>
                <w:lang w:val="en-US" w:eastAsia="zh-CN"/>
              </w:rPr>
              <w:t>17.31</w:t>
            </w:r>
          </w:p>
        </w:tc>
        <w:tc>
          <w:tcPr>
            <w:tcW w:w="647" w:type="pct"/>
            <w:tcBorders>
              <w:top w:val="nil"/>
              <w:left w:val="nil"/>
              <w:bottom w:val="single" w:color="auto" w:sz="4" w:space="0"/>
              <w:right w:val="single" w:color="auto" w:sz="4" w:space="0"/>
            </w:tcBorders>
            <w:shd w:val="clear" w:color="auto" w:fill="auto"/>
            <w:vAlign w:val="center"/>
          </w:tcPr>
          <w:p w14:paraId="08AA3A15">
            <w:pPr>
              <w:widowControl/>
              <w:adjustRightInd/>
              <w:snapToGrid/>
              <w:spacing w:line="240" w:lineRule="auto"/>
              <w:ind w:firstLine="0" w:firstLineChars="0"/>
              <w:jc w:val="center"/>
              <w:rPr>
                <w:rFonts w:hint="eastAsia"/>
                <w:color w:val="auto"/>
                <w:kern w:val="0"/>
                <w:sz w:val="21"/>
                <w:szCs w:val="21"/>
              </w:rPr>
            </w:pPr>
            <w:r>
              <w:rPr>
                <w:rFonts w:hint="default"/>
                <w:color w:val="auto"/>
                <w:kern w:val="0"/>
                <w:sz w:val="21"/>
                <w:szCs w:val="21"/>
                <w:lang w:val="en-US" w:eastAsia="zh-CN"/>
              </w:rPr>
              <w:t>0.29</w:t>
            </w:r>
          </w:p>
        </w:tc>
        <w:tc>
          <w:tcPr>
            <w:tcW w:w="1031" w:type="pct"/>
            <w:vMerge w:val="continue"/>
            <w:tcBorders>
              <w:left w:val="single" w:color="auto" w:sz="4" w:space="0"/>
              <w:right w:val="single" w:color="auto" w:sz="4" w:space="0"/>
            </w:tcBorders>
            <w:vAlign w:val="center"/>
          </w:tcPr>
          <w:p w14:paraId="1ACD3DA2">
            <w:pPr>
              <w:pStyle w:val="3127"/>
              <w:rPr>
                <w:color w:val="auto"/>
              </w:rPr>
            </w:pPr>
          </w:p>
        </w:tc>
      </w:tr>
      <w:tr w14:paraId="31B308F9">
        <w:tblPrEx>
          <w:tblCellMar>
            <w:top w:w="0" w:type="dxa"/>
            <w:left w:w="108" w:type="dxa"/>
            <w:bottom w:w="0" w:type="dxa"/>
            <w:right w:w="108" w:type="dxa"/>
          </w:tblCellMar>
        </w:tblPrEx>
        <w:trPr>
          <w:trHeight w:val="340" w:hRule="atLeast"/>
        </w:trPr>
        <w:tc>
          <w:tcPr>
            <w:tcW w:w="816" w:type="pct"/>
            <w:vMerge w:val="continue"/>
            <w:tcBorders>
              <w:left w:val="single" w:color="auto" w:sz="4" w:space="0"/>
              <w:right w:val="single" w:color="auto" w:sz="4" w:space="0"/>
            </w:tcBorders>
            <w:vAlign w:val="center"/>
          </w:tcPr>
          <w:p w14:paraId="3B3542AB">
            <w:pPr>
              <w:pStyle w:val="3127"/>
              <w:rPr>
                <w:color w:val="auto"/>
              </w:rPr>
            </w:pPr>
          </w:p>
        </w:tc>
        <w:tc>
          <w:tcPr>
            <w:tcW w:w="738" w:type="pct"/>
            <w:tcBorders>
              <w:top w:val="nil"/>
              <w:left w:val="nil"/>
              <w:bottom w:val="single" w:color="auto" w:sz="4" w:space="0"/>
              <w:right w:val="single" w:color="auto" w:sz="4" w:space="0"/>
            </w:tcBorders>
            <w:shd w:val="clear" w:color="auto" w:fill="auto"/>
          </w:tcPr>
          <w:p w14:paraId="77EB74A0">
            <w:pPr>
              <w:pStyle w:val="3361"/>
              <w:rPr>
                <w:color w:val="auto"/>
              </w:rPr>
            </w:pPr>
            <w:r>
              <w:rPr>
                <w:rFonts w:hint="eastAsia"/>
                <w:color w:val="auto"/>
              </w:rPr>
              <w:t>挥发酚</w:t>
            </w:r>
          </w:p>
        </w:tc>
        <w:tc>
          <w:tcPr>
            <w:tcW w:w="477" w:type="pct"/>
            <w:tcBorders>
              <w:top w:val="nil"/>
              <w:left w:val="nil"/>
              <w:bottom w:val="single" w:color="auto" w:sz="4" w:space="0"/>
              <w:right w:val="single" w:color="auto" w:sz="4" w:space="0"/>
            </w:tcBorders>
            <w:shd w:val="clear" w:color="auto" w:fill="auto"/>
            <w:noWrap/>
            <w:vAlign w:val="center"/>
          </w:tcPr>
          <w:p w14:paraId="2AFE8BC1">
            <w:pPr>
              <w:pStyle w:val="3127"/>
              <w:rPr>
                <w:color w:val="auto"/>
              </w:rPr>
            </w:pPr>
            <w:r>
              <w:rPr>
                <w:rFonts w:hint="eastAsia"/>
                <w:color w:val="auto"/>
              </w:rPr>
              <w:t>t/a</w:t>
            </w:r>
          </w:p>
        </w:tc>
        <w:tc>
          <w:tcPr>
            <w:tcW w:w="642" w:type="pct"/>
            <w:tcBorders>
              <w:top w:val="nil"/>
              <w:left w:val="nil"/>
              <w:bottom w:val="single" w:color="auto" w:sz="4" w:space="0"/>
              <w:right w:val="single" w:color="auto" w:sz="4" w:space="0"/>
            </w:tcBorders>
            <w:shd w:val="clear" w:color="auto" w:fill="auto"/>
            <w:vAlign w:val="center"/>
          </w:tcPr>
          <w:p w14:paraId="1FB7D2A4">
            <w:pPr>
              <w:widowControl/>
              <w:adjustRightInd/>
              <w:snapToGrid/>
              <w:spacing w:line="240" w:lineRule="auto"/>
              <w:ind w:firstLine="0" w:firstLineChars="0"/>
              <w:jc w:val="center"/>
              <w:rPr>
                <w:rFonts w:hint="eastAsia"/>
                <w:color w:val="auto"/>
                <w:kern w:val="0"/>
                <w:sz w:val="21"/>
                <w:szCs w:val="21"/>
              </w:rPr>
            </w:pPr>
            <w:r>
              <w:rPr>
                <w:rFonts w:hint="default"/>
                <w:color w:val="auto"/>
                <w:kern w:val="0"/>
                <w:sz w:val="21"/>
                <w:szCs w:val="21"/>
                <w:lang w:val="en-US" w:eastAsia="zh-CN"/>
              </w:rPr>
              <w:t>2.93</w:t>
            </w:r>
          </w:p>
        </w:tc>
        <w:tc>
          <w:tcPr>
            <w:tcW w:w="647" w:type="pct"/>
            <w:tcBorders>
              <w:top w:val="nil"/>
              <w:left w:val="nil"/>
              <w:bottom w:val="single" w:color="auto" w:sz="4" w:space="0"/>
              <w:right w:val="single" w:color="auto" w:sz="4" w:space="0"/>
            </w:tcBorders>
            <w:shd w:val="clear" w:color="auto" w:fill="auto"/>
            <w:vAlign w:val="center"/>
          </w:tcPr>
          <w:p w14:paraId="7D6FAFBE">
            <w:pPr>
              <w:widowControl/>
              <w:adjustRightInd/>
              <w:snapToGrid/>
              <w:spacing w:line="240" w:lineRule="auto"/>
              <w:ind w:firstLine="0" w:firstLineChars="0"/>
              <w:jc w:val="center"/>
              <w:rPr>
                <w:rFonts w:hint="eastAsia"/>
                <w:color w:val="auto"/>
                <w:kern w:val="0"/>
                <w:sz w:val="21"/>
                <w:szCs w:val="21"/>
                <w:lang w:val="en-US" w:eastAsia="zh-CN"/>
              </w:rPr>
            </w:pPr>
            <w:r>
              <w:rPr>
                <w:rFonts w:hint="default"/>
                <w:color w:val="auto"/>
                <w:kern w:val="0"/>
                <w:sz w:val="21"/>
                <w:szCs w:val="21"/>
                <w:lang w:val="en-US" w:eastAsia="zh-CN"/>
              </w:rPr>
              <w:t>2.64</w:t>
            </w:r>
          </w:p>
        </w:tc>
        <w:tc>
          <w:tcPr>
            <w:tcW w:w="647" w:type="pct"/>
            <w:tcBorders>
              <w:top w:val="nil"/>
              <w:left w:val="nil"/>
              <w:bottom w:val="single" w:color="auto" w:sz="4" w:space="0"/>
              <w:right w:val="single" w:color="auto" w:sz="4" w:space="0"/>
            </w:tcBorders>
            <w:shd w:val="clear" w:color="auto" w:fill="auto"/>
            <w:vAlign w:val="center"/>
          </w:tcPr>
          <w:p w14:paraId="5AD4E571">
            <w:pPr>
              <w:widowControl/>
              <w:adjustRightInd/>
              <w:snapToGrid/>
              <w:spacing w:line="240" w:lineRule="auto"/>
              <w:ind w:firstLine="0" w:firstLineChars="0"/>
              <w:jc w:val="center"/>
              <w:rPr>
                <w:rFonts w:hint="eastAsia"/>
                <w:color w:val="auto"/>
                <w:kern w:val="0"/>
                <w:sz w:val="21"/>
                <w:szCs w:val="21"/>
              </w:rPr>
            </w:pPr>
            <w:r>
              <w:rPr>
                <w:rFonts w:hint="default"/>
                <w:color w:val="auto"/>
                <w:kern w:val="0"/>
                <w:sz w:val="21"/>
                <w:szCs w:val="21"/>
                <w:lang w:val="en-US" w:eastAsia="zh-CN"/>
              </w:rPr>
              <w:t>0.29</w:t>
            </w:r>
          </w:p>
        </w:tc>
        <w:tc>
          <w:tcPr>
            <w:tcW w:w="1031" w:type="pct"/>
            <w:vMerge w:val="continue"/>
            <w:tcBorders>
              <w:left w:val="single" w:color="auto" w:sz="4" w:space="0"/>
              <w:right w:val="single" w:color="auto" w:sz="4" w:space="0"/>
            </w:tcBorders>
            <w:vAlign w:val="center"/>
          </w:tcPr>
          <w:p w14:paraId="242C0386">
            <w:pPr>
              <w:pStyle w:val="3127"/>
              <w:rPr>
                <w:color w:val="auto"/>
              </w:rPr>
            </w:pPr>
          </w:p>
        </w:tc>
      </w:tr>
      <w:tr w14:paraId="17181277">
        <w:tblPrEx>
          <w:tblCellMar>
            <w:top w:w="0" w:type="dxa"/>
            <w:left w:w="108" w:type="dxa"/>
            <w:bottom w:w="0" w:type="dxa"/>
            <w:right w:w="108" w:type="dxa"/>
          </w:tblCellMar>
        </w:tblPrEx>
        <w:trPr>
          <w:trHeight w:val="340" w:hRule="atLeast"/>
        </w:trPr>
        <w:tc>
          <w:tcPr>
            <w:tcW w:w="816" w:type="pct"/>
            <w:vMerge w:val="continue"/>
            <w:tcBorders>
              <w:left w:val="single" w:color="auto" w:sz="4" w:space="0"/>
              <w:right w:val="single" w:color="auto" w:sz="4" w:space="0"/>
            </w:tcBorders>
            <w:vAlign w:val="center"/>
          </w:tcPr>
          <w:p w14:paraId="1414FFFF">
            <w:pPr>
              <w:pStyle w:val="3127"/>
              <w:rPr>
                <w:color w:val="auto"/>
              </w:rPr>
            </w:pPr>
          </w:p>
        </w:tc>
        <w:tc>
          <w:tcPr>
            <w:tcW w:w="738" w:type="pct"/>
            <w:tcBorders>
              <w:top w:val="nil"/>
              <w:left w:val="nil"/>
              <w:bottom w:val="single" w:color="auto" w:sz="4" w:space="0"/>
              <w:right w:val="single" w:color="auto" w:sz="4" w:space="0"/>
            </w:tcBorders>
            <w:shd w:val="clear" w:color="auto" w:fill="auto"/>
          </w:tcPr>
          <w:p w14:paraId="779FB0FD">
            <w:pPr>
              <w:pStyle w:val="3361"/>
              <w:rPr>
                <w:color w:val="auto"/>
              </w:rPr>
            </w:pPr>
            <w:r>
              <w:rPr>
                <w:rFonts w:hint="eastAsia"/>
                <w:color w:val="auto"/>
              </w:rPr>
              <w:t>硼</w:t>
            </w:r>
          </w:p>
        </w:tc>
        <w:tc>
          <w:tcPr>
            <w:tcW w:w="477" w:type="pct"/>
            <w:tcBorders>
              <w:top w:val="nil"/>
              <w:left w:val="nil"/>
              <w:bottom w:val="single" w:color="auto" w:sz="4" w:space="0"/>
              <w:right w:val="single" w:color="auto" w:sz="4" w:space="0"/>
            </w:tcBorders>
            <w:shd w:val="clear" w:color="auto" w:fill="auto"/>
            <w:noWrap/>
            <w:vAlign w:val="center"/>
          </w:tcPr>
          <w:p w14:paraId="2AC23C35">
            <w:pPr>
              <w:pStyle w:val="3127"/>
              <w:rPr>
                <w:color w:val="auto"/>
              </w:rPr>
            </w:pPr>
            <w:r>
              <w:rPr>
                <w:rFonts w:hint="eastAsia"/>
                <w:color w:val="auto"/>
              </w:rPr>
              <w:t>t/a</w:t>
            </w:r>
          </w:p>
        </w:tc>
        <w:tc>
          <w:tcPr>
            <w:tcW w:w="642" w:type="pct"/>
            <w:tcBorders>
              <w:top w:val="nil"/>
              <w:left w:val="nil"/>
              <w:bottom w:val="single" w:color="auto" w:sz="4" w:space="0"/>
              <w:right w:val="single" w:color="auto" w:sz="4" w:space="0"/>
            </w:tcBorders>
            <w:shd w:val="clear" w:color="auto" w:fill="auto"/>
            <w:vAlign w:val="center"/>
          </w:tcPr>
          <w:p w14:paraId="7AAA9AAC">
            <w:pPr>
              <w:widowControl/>
              <w:adjustRightInd/>
              <w:snapToGrid/>
              <w:spacing w:line="240" w:lineRule="auto"/>
              <w:ind w:firstLine="0" w:firstLineChars="0"/>
              <w:jc w:val="center"/>
              <w:rPr>
                <w:rFonts w:hint="eastAsia"/>
                <w:color w:val="auto"/>
                <w:kern w:val="0"/>
                <w:sz w:val="21"/>
                <w:szCs w:val="21"/>
              </w:rPr>
            </w:pPr>
            <w:r>
              <w:rPr>
                <w:rFonts w:hint="default"/>
                <w:color w:val="auto"/>
                <w:kern w:val="0"/>
                <w:sz w:val="21"/>
                <w:szCs w:val="21"/>
                <w:lang w:val="en-US" w:eastAsia="zh-CN"/>
              </w:rPr>
              <w:t>8.8</w:t>
            </w:r>
          </w:p>
        </w:tc>
        <w:tc>
          <w:tcPr>
            <w:tcW w:w="647" w:type="pct"/>
            <w:tcBorders>
              <w:top w:val="nil"/>
              <w:left w:val="nil"/>
              <w:bottom w:val="single" w:color="auto" w:sz="4" w:space="0"/>
              <w:right w:val="single" w:color="auto" w:sz="4" w:space="0"/>
            </w:tcBorders>
            <w:shd w:val="clear" w:color="auto" w:fill="auto"/>
            <w:vAlign w:val="center"/>
          </w:tcPr>
          <w:p w14:paraId="7D319AED">
            <w:pPr>
              <w:widowControl/>
              <w:adjustRightInd/>
              <w:snapToGrid/>
              <w:spacing w:line="240" w:lineRule="auto"/>
              <w:ind w:firstLine="0" w:firstLineChars="0"/>
              <w:jc w:val="center"/>
              <w:rPr>
                <w:rFonts w:hint="eastAsia"/>
                <w:color w:val="auto"/>
                <w:kern w:val="0"/>
                <w:sz w:val="21"/>
                <w:szCs w:val="21"/>
                <w:lang w:val="en-US" w:eastAsia="zh-CN"/>
              </w:rPr>
            </w:pPr>
            <w:r>
              <w:rPr>
                <w:rFonts w:hint="default"/>
                <w:color w:val="auto"/>
                <w:kern w:val="0"/>
                <w:sz w:val="21"/>
                <w:szCs w:val="21"/>
                <w:lang w:val="en-US" w:eastAsia="zh-CN"/>
              </w:rPr>
              <w:t>7.04</w:t>
            </w:r>
          </w:p>
        </w:tc>
        <w:tc>
          <w:tcPr>
            <w:tcW w:w="647" w:type="pct"/>
            <w:tcBorders>
              <w:top w:val="nil"/>
              <w:left w:val="nil"/>
              <w:bottom w:val="single" w:color="auto" w:sz="4" w:space="0"/>
              <w:right w:val="single" w:color="auto" w:sz="4" w:space="0"/>
            </w:tcBorders>
            <w:shd w:val="clear" w:color="auto" w:fill="auto"/>
            <w:vAlign w:val="center"/>
          </w:tcPr>
          <w:p w14:paraId="23F46015">
            <w:pPr>
              <w:widowControl/>
              <w:adjustRightInd/>
              <w:snapToGrid/>
              <w:spacing w:line="240" w:lineRule="auto"/>
              <w:ind w:firstLine="0" w:firstLineChars="0"/>
              <w:jc w:val="center"/>
              <w:rPr>
                <w:rFonts w:hint="eastAsia"/>
                <w:color w:val="auto"/>
                <w:kern w:val="0"/>
                <w:sz w:val="21"/>
                <w:szCs w:val="21"/>
              </w:rPr>
            </w:pPr>
            <w:r>
              <w:rPr>
                <w:rFonts w:hint="default"/>
                <w:color w:val="auto"/>
                <w:kern w:val="0"/>
                <w:sz w:val="21"/>
                <w:szCs w:val="21"/>
                <w:lang w:val="en-US" w:eastAsia="zh-CN"/>
              </w:rPr>
              <w:t>1.76</w:t>
            </w:r>
          </w:p>
        </w:tc>
        <w:tc>
          <w:tcPr>
            <w:tcW w:w="1031" w:type="pct"/>
            <w:vMerge w:val="continue"/>
            <w:tcBorders>
              <w:left w:val="single" w:color="auto" w:sz="4" w:space="0"/>
              <w:right w:val="single" w:color="auto" w:sz="4" w:space="0"/>
            </w:tcBorders>
            <w:vAlign w:val="center"/>
          </w:tcPr>
          <w:p w14:paraId="701B833E">
            <w:pPr>
              <w:pStyle w:val="3127"/>
              <w:rPr>
                <w:color w:val="auto"/>
              </w:rPr>
            </w:pPr>
          </w:p>
        </w:tc>
      </w:tr>
      <w:tr w14:paraId="22D18F93">
        <w:tblPrEx>
          <w:tblCellMar>
            <w:top w:w="0" w:type="dxa"/>
            <w:left w:w="108" w:type="dxa"/>
            <w:bottom w:w="0" w:type="dxa"/>
            <w:right w:w="108" w:type="dxa"/>
          </w:tblCellMar>
        </w:tblPrEx>
        <w:trPr>
          <w:trHeight w:val="340" w:hRule="atLeast"/>
        </w:trPr>
        <w:tc>
          <w:tcPr>
            <w:tcW w:w="816" w:type="pct"/>
            <w:vMerge w:val="continue"/>
            <w:tcBorders>
              <w:left w:val="single" w:color="auto" w:sz="4" w:space="0"/>
              <w:bottom w:val="single" w:color="auto" w:sz="4" w:space="0"/>
              <w:right w:val="single" w:color="auto" w:sz="4" w:space="0"/>
            </w:tcBorders>
            <w:vAlign w:val="center"/>
          </w:tcPr>
          <w:p w14:paraId="0EF418EC">
            <w:pPr>
              <w:pStyle w:val="3127"/>
              <w:rPr>
                <w:color w:val="auto"/>
              </w:rPr>
            </w:pPr>
          </w:p>
        </w:tc>
        <w:tc>
          <w:tcPr>
            <w:tcW w:w="738" w:type="pct"/>
            <w:tcBorders>
              <w:top w:val="nil"/>
              <w:left w:val="nil"/>
              <w:bottom w:val="single" w:color="auto" w:sz="4" w:space="0"/>
              <w:right w:val="single" w:color="auto" w:sz="4" w:space="0"/>
            </w:tcBorders>
            <w:shd w:val="clear" w:color="auto" w:fill="auto"/>
          </w:tcPr>
          <w:p w14:paraId="337B49F3">
            <w:pPr>
              <w:pStyle w:val="3361"/>
              <w:rPr>
                <w:color w:val="auto"/>
              </w:rPr>
            </w:pPr>
            <w:r>
              <w:rPr>
                <w:rFonts w:hint="eastAsia"/>
                <w:color w:val="auto"/>
              </w:rPr>
              <w:t>可溶性钡</w:t>
            </w:r>
          </w:p>
        </w:tc>
        <w:tc>
          <w:tcPr>
            <w:tcW w:w="477" w:type="pct"/>
            <w:tcBorders>
              <w:top w:val="nil"/>
              <w:left w:val="nil"/>
              <w:bottom w:val="single" w:color="auto" w:sz="4" w:space="0"/>
              <w:right w:val="single" w:color="auto" w:sz="4" w:space="0"/>
            </w:tcBorders>
            <w:shd w:val="clear" w:color="auto" w:fill="auto"/>
            <w:noWrap/>
            <w:vAlign w:val="center"/>
          </w:tcPr>
          <w:p w14:paraId="41733D73">
            <w:pPr>
              <w:pStyle w:val="3127"/>
              <w:rPr>
                <w:color w:val="auto"/>
              </w:rPr>
            </w:pPr>
            <w:r>
              <w:rPr>
                <w:rFonts w:hint="eastAsia"/>
                <w:color w:val="auto"/>
              </w:rPr>
              <w:t>t/a</w:t>
            </w:r>
          </w:p>
        </w:tc>
        <w:tc>
          <w:tcPr>
            <w:tcW w:w="642" w:type="pct"/>
            <w:tcBorders>
              <w:top w:val="nil"/>
              <w:left w:val="nil"/>
              <w:bottom w:val="single" w:color="auto" w:sz="4" w:space="0"/>
              <w:right w:val="single" w:color="auto" w:sz="4" w:space="0"/>
            </w:tcBorders>
            <w:shd w:val="clear" w:color="auto" w:fill="auto"/>
            <w:vAlign w:val="center"/>
          </w:tcPr>
          <w:p w14:paraId="2790FE56">
            <w:pPr>
              <w:widowControl/>
              <w:adjustRightInd/>
              <w:snapToGrid/>
              <w:spacing w:line="240" w:lineRule="auto"/>
              <w:ind w:firstLine="0" w:firstLineChars="0"/>
              <w:jc w:val="center"/>
              <w:rPr>
                <w:rFonts w:hint="eastAsia"/>
                <w:color w:val="auto"/>
                <w:kern w:val="0"/>
                <w:sz w:val="21"/>
                <w:szCs w:val="21"/>
              </w:rPr>
            </w:pPr>
            <w:r>
              <w:rPr>
                <w:rFonts w:hint="default"/>
                <w:color w:val="auto"/>
                <w:kern w:val="0"/>
                <w:sz w:val="21"/>
                <w:szCs w:val="21"/>
                <w:lang w:val="en-US" w:eastAsia="zh-CN"/>
              </w:rPr>
              <w:t>23.47</w:t>
            </w:r>
          </w:p>
        </w:tc>
        <w:tc>
          <w:tcPr>
            <w:tcW w:w="647" w:type="pct"/>
            <w:tcBorders>
              <w:top w:val="nil"/>
              <w:left w:val="nil"/>
              <w:bottom w:val="single" w:color="auto" w:sz="4" w:space="0"/>
              <w:right w:val="single" w:color="auto" w:sz="4" w:space="0"/>
            </w:tcBorders>
            <w:shd w:val="clear" w:color="auto" w:fill="auto"/>
            <w:vAlign w:val="center"/>
          </w:tcPr>
          <w:p w14:paraId="753730C5">
            <w:pPr>
              <w:widowControl/>
              <w:adjustRightInd/>
              <w:snapToGrid/>
              <w:spacing w:line="240" w:lineRule="auto"/>
              <w:ind w:firstLine="0" w:firstLineChars="0"/>
              <w:jc w:val="center"/>
              <w:rPr>
                <w:rFonts w:hint="eastAsia"/>
                <w:color w:val="auto"/>
                <w:kern w:val="0"/>
                <w:sz w:val="21"/>
                <w:szCs w:val="21"/>
                <w:lang w:val="en-US" w:eastAsia="zh-CN"/>
              </w:rPr>
            </w:pPr>
            <w:r>
              <w:rPr>
                <w:rFonts w:hint="default"/>
                <w:color w:val="auto"/>
                <w:kern w:val="0"/>
                <w:sz w:val="21"/>
                <w:szCs w:val="21"/>
                <w:lang w:val="en-US" w:eastAsia="zh-CN"/>
              </w:rPr>
              <w:t>22.3</w:t>
            </w:r>
          </w:p>
        </w:tc>
        <w:tc>
          <w:tcPr>
            <w:tcW w:w="647" w:type="pct"/>
            <w:tcBorders>
              <w:top w:val="nil"/>
              <w:left w:val="nil"/>
              <w:bottom w:val="single" w:color="auto" w:sz="4" w:space="0"/>
              <w:right w:val="single" w:color="auto" w:sz="4" w:space="0"/>
            </w:tcBorders>
            <w:shd w:val="clear" w:color="auto" w:fill="auto"/>
            <w:vAlign w:val="center"/>
          </w:tcPr>
          <w:p w14:paraId="768BC961">
            <w:pPr>
              <w:widowControl/>
              <w:adjustRightInd/>
              <w:snapToGrid/>
              <w:spacing w:line="240" w:lineRule="auto"/>
              <w:ind w:firstLine="0" w:firstLineChars="0"/>
              <w:jc w:val="center"/>
              <w:rPr>
                <w:rFonts w:hint="eastAsia"/>
                <w:color w:val="auto"/>
                <w:kern w:val="0"/>
                <w:sz w:val="21"/>
                <w:szCs w:val="21"/>
              </w:rPr>
            </w:pPr>
            <w:r>
              <w:rPr>
                <w:rFonts w:hint="default"/>
                <w:color w:val="auto"/>
                <w:kern w:val="0"/>
                <w:sz w:val="21"/>
                <w:szCs w:val="21"/>
                <w:lang w:val="en-US" w:eastAsia="zh-CN"/>
              </w:rPr>
              <w:t>1.17</w:t>
            </w:r>
          </w:p>
        </w:tc>
        <w:tc>
          <w:tcPr>
            <w:tcW w:w="1031" w:type="pct"/>
            <w:vMerge w:val="continue"/>
            <w:tcBorders>
              <w:left w:val="single" w:color="auto" w:sz="4" w:space="0"/>
              <w:bottom w:val="single" w:color="000000" w:sz="4" w:space="0"/>
              <w:right w:val="single" w:color="auto" w:sz="4" w:space="0"/>
            </w:tcBorders>
            <w:vAlign w:val="center"/>
          </w:tcPr>
          <w:p w14:paraId="7BE6B1B9">
            <w:pPr>
              <w:pStyle w:val="3127"/>
              <w:rPr>
                <w:color w:val="auto"/>
              </w:rPr>
            </w:pPr>
          </w:p>
        </w:tc>
      </w:tr>
      <w:tr w14:paraId="229F1F58">
        <w:tblPrEx>
          <w:tblCellMar>
            <w:top w:w="0" w:type="dxa"/>
            <w:left w:w="108" w:type="dxa"/>
            <w:bottom w:w="0" w:type="dxa"/>
            <w:right w:w="108" w:type="dxa"/>
          </w:tblCellMar>
        </w:tblPrEx>
        <w:trPr>
          <w:trHeight w:val="340" w:hRule="atLeast"/>
        </w:trPr>
        <w:tc>
          <w:tcPr>
            <w:tcW w:w="816" w:type="pct"/>
            <w:vMerge w:val="restart"/>
            <w:tcBorders>
              <w:top w:val="nil"/>
              <w:left w:val="single" w:color="auto" w:sz="4" w:space="0"/>
              <w:bottom w:val="single" w:color="auto" w:sz="4" w:space="0"/>
              <w:right w:val="single" w:color="auto" w:sz="4" w:space="0"/>
            </w:tcBorders>
            <w:shd w:val="clear" w:color="auto" w:fill="auto"/>
            <w:noWrap/>
            <w:vAlign w:val="center"/>
          </w:tcPr>
          <w:p w14:paraId="4E68100C">
            <w:pPr>
              <w:pStyle w:val="3127"/>
              <w:rPr>
                <w:color w:val="auto"/>
              </w:rPr>
            </w:pPr>
            <w:r>
              <w:rPr>
                <w:rFonts w:hint="eastAsia"/>
                <w:color w:val="auto"/>
              </w:rPr>
              <w:t>固体废物</w:t>
            </w:r>
          </w:p>
        </w:tc>
        <w:tc>
          <w:tcPr>
            <w:tcW w:w="738" w:type="pct"/>
            <w:tcBorders>
              <w:top w:val="nil"/>
              <w:left w:val="nil"/>
              <w:bottom w:val="single" w:color="auto" w:sz="4" w:space="0"/>
              <w:right w:val="single" w:color="auto" w:sz="4" w:space="0"/>
            </w:tcBorders>
            <w:shd w:val="clear" w:color="auto" w:fill="auto"/>
            <w:vAlign w:val="center"/>
          </w:tcPr>
          <w:p w14:paraId="5DB9CDAB">
            <w:pPr>
              <w:pStyle w:val="3127"/>
              <w:rPr>
                <w:color w:val="auto"/>
              </w:rPr>
            </w:pPr>
            <w:r>
              <w:rPr>
                <w:rFonts w:hint="eastAsia"/>
                <w:color w:val="auto"/>
              </w:rPr>
              <w:t>固废量</w:t>
            </w:r>
          </w:p>
        </w:tc>
        <w:tc>
          <w:tcPr>
            <w:tcW w:w="477" w:type="pct"/>
            <w:tcBorders>
              <w:top w:val="nil"/>
              <w:left w:val="nil"/>
              <w:bottom w:val="single" w:color="auto" w:sz="4" w:space="0"/>
              <w:right w:val="single" w:color="auto" w:sz="4" w:space="0"/>
            </w:tcBorders>
            <w:shd w:val="clear" w:color="auto" w:fill="auto"/>
            <w:noWrap/>
            <w:vAlign w:val="center"/>
          </w:tcPr>
          <w:p w14:paraId="3AE539D7">
            <w:pPr>
              <w:pStyle w:val="3127"/>
              <w:rPr>
                <w:color w:val="auto"/>
              </w:rPr>
            </w:pPr>
            <w:r>
              <w:rPr>
                <w:rFonts w:hint="eastAsia"/>
                <w:color w:val="auto"/>
              </w:rPr>
              <w:t>t/a</w:t>
            </w:r>
          </w:p>
        </w:tc>
        <w:tc>
          <w:tcPr>
            <w:tcW w:w="642" w:type="pct"/>
            <w:tcBorders>
              <w:top w:val="nil"/>
              <w:left w:val="nil"/>
              <w:bottom w:val="single" w:color="auto" w:sz="4" w:space="0"/>
              <w:right w:val="single" w:color="auto" w:sz="4" w:space="0"/>
            </w:tcBorders>
            <w:shd w:val="clear" w:color="auto" w:fill="auto"/>
            <w:noWrap/>
            <w:vAlign w:val="center"/>
          </w:tcPr>
          <w:p w14:paraId="02DD8B3A">
            <w:pPr>
              <w:pStyle w:val="3127"/>
              <w:rPr>
                <w:color w:val="auto"/>
              </w:rPr>
            </w:pPr>
            <w:r>
              <w:rPr>
                <w:rFonts w:hint="eastAsia"/>
                <w:color w:val="auto"/>
              </w:rPr>
              <w:t>24930.5</w:t>
            </w:r>
          </w:p>
        </w:tc>
        <w:tc>
          <w:tcPr>
            <w:tcW w:w="647" w:type="pct"/>
            <w:tcBorders>
              <w:top w:val="nil"/>
              <w:left w:val="nil"/>
              <w:bottom w:val="single" w:color="auto" w:sz="4" w:space="0"/>
              <w:right w:val="single" w:color="auto" w:sz="4" w:space="0"/>
            </w:tcBorders>
            <w:shd w:val="clear" w:color="auto" w:fill="auto"/>
            <w:noWrap/>
            <w:vAlign w:val="center"/>
          </w:tcPr>
          <w:p w14:paraId="774A7799">
            <w:pPr>
              <w:pStyle w:val="3127"/>
              <w:rPr>
                <w:color w:val="auto"/>
              </w:rPr>
            </w:pPr>
            <w:r>
              <w:rPr>
                <w:rFonts w:hint="eastAsia"/>
                <w:color w:val="auto"/>
              </w:rPr>
              <w:t>24930.5</w:t>
            </w:r>
          </w:p>
        </w:tc>
        <w:tc>
          <w:tcPr>
            <w:tcW w:w="647" w:type="pct"/>
            <w:tcBorders>
              <w:top w:val="nil"/>
              <w:left w:val="nil"/>
              <w:bottom w:val="single" w:color="auto" w:sz="4" w:space="0"/>
              <w:right w:val="single" w:color="auto" w:sz="4" w:space="0"/>
            </w:tcBorders>
            <w:shd w:val="clear" w:color="auto" w:fill="auto"/>
            <w:noWrap/>
            <w:vAlign w:val="center"/>
          </w:tcPr>
          <w:p w14:paraId="580D9CF1">
            <w:pPr>
              <w:pStyle w:val="3127"/>
              <w:rPr>
                <w:color w:val="auto"/>
              </w:rPr>
            </w:pPr>
            <w:r>
              <w:rPr>
                <w:rFonts w:hint="eastAsia"/>
                <w:color w:val="auto"/>
              </w:rPr>
              <w:t>0</w:t>
            </w:r>
          </w:p>
        </w:tc>
        <w:tc>
          <w:tcPr>
            <w:tcW w:w="1031" w:type="pct"/>
            <w:tcBorders>
              <w:top w:val="nil"/>
              <w:left w:val="nil"/>
              <w:bottom w:val="single" w:color="auto" w:sz="4" w:space="0"/>
              <w:right w:val="single" w:color="auto" w:sz="4" w:space="0"/>
            </w:tcBorders>
            <w:shd w:val="clear" w:color="auto" w:fill="auto"/>
            <w:noWrap/>
            <w:vAlign w:val="center"/>
          </w:tcPr>
          <w:p w14:paraId="184D6E15">
            <w:pPr>
              <w:pStyle w:val="3127"/>
              <w:rPr>
                <w:color w:val="auto"/>
              </w:rPr>
            </w:pPr>
            <w:r>
              <w:rPr>
                <w:rFonts w:hint="eastAsia"/>
                <w:color w:val="auto"/>
              </w:rPr>
              <w:t>/</w:t>
            </w:r>
          </w:p>
        </w:tc>
      </w:tr>
      <w:tr w14:paraId="2EA89A7A">
        <w:tblPrEx>
          <w:tblCellMar>
            <w:top w:w="0" w:type="dxa"/>
            <w:left w:w="108" w:type="dxa"/>
            <w:bottom w:w="0" w:type="dxa"/>
            <w:right w:w="108" w:type="dxa"/>
          </w:tblCellMar>
        </w:tblPrEx>
        <w:trPr>
          <w:trHeight w:val="340" w:hRule="atLeast"/>
        </w:trPr>
        <w:tc>
          <w:tcPr>
            <w:tcW w:w="816" w:type="pct"/>
            <w:vMerge w:val="continue"/>
            <w:tcBorders>
              <w:top w:val="nil"/>
              <w:left w:val="single" w:color="auto" w:sz="4" w:space="0"/>
              <w:bottom w:val="single" w:color="auto" w:sz="4" w:space="0"/>
              <w:right w:val="single" w:color="auto" w:sz="4" w:space="0"/>
            </w:tcBorders>
            <w:vAlign w:val="center"/>
          </w:tcPr>
          <w:p w14:paraId="2163260D">
            <w:pPr>
              <w:pStyle w:val="3127"/>
              <w:rPr>
                <w:color w:val="auto"/>
              </w:rPr>
            </w:pPr>
          </w:p>
        </w:tc>
        <w:tc>
          <w:tcPr>
            <w:tcW w:w="738" w:type="pct"/>
            <w:tcBorders>
              <w:top w:val="nil"/>
              <w:left w:val="nil"/>
              <w:bottom w:val="single" w:color="auto" w:sz="4" w:space="0"/>
              <w:right w:val="single" w:color="auto" w:sz="4" w:space="0"/>
            </w:tcBorders>
            <w:shd w:val="clear" w:color="auto" w:fill="auto"/>
            <w:vAlign w:val="center"/>
          </w:tcPr>
          <w:p w14:paraId="5EB25B0E">
            <w:pPr>
              <w:pStyle w:val="276"/>
              <w:rPr>
                <w:color w:val="auto"/>
              </w:rPr>
            </w:pPr>
            <w:r>
              <w:rPr>
                <w:rFonts w:hint="eastAsia"/>
                <w:color w:val="auto"/>
              </w:rPr>
              <w:t>废包装材料</w:t>
            </w:r>
          </w:p>
        </w:tc>
        <w:tc>
          <w:tcPr>
            <w:tcW w:w="477" w:type="pct"/>
            <w:tcBorders>
              <w:top w:val="nil"/>
              <w:left w:val="nil"/>
              <w:bottom w:val="single" w:color="auto" w:sz="4" w:space="0"/>
              <w:right w:val="single" w:color="auto" w:sz="4" w:space="0"/>
            </w:tcBorders>
            <w:shd w:val="clear" w:color="auto" w:fill="auto"/>
            <w:noWrap/>
            <w:vAlign w:val="center"/>
          </w:tcPr>
          <w:p w14:paraId="7FBCA73D">
            <w:pPr>
              <w:pStyle w:val="3127"/>
              <w:rPr>
                <w:color w:val="auto"/>
              </w:rPr>
            </w:pPr>
            <w:r>
              <w:rPr>
                <w:rFonts w:hint="eastAsia"/>
                <w:color w:val="auto"/>
              </w:rPr>
              <w:t>t/a</w:t>
            </w:r>
          </w:p>
        </w:tc>
        <w:tc>
          <w:tcPr>
            <w:tcW w:w="642" w:type="pct"/>
            <w:tcBorders>
              <w:top w:val="nil"/>
              <w:left w:val="nil"/>
              <w:bottom w:val="single" w:color="auto" w:sz="4" w:space="0"/>
              <w:right w:val="single" w:color="auto" w:sz="4" w:space="0"/>
            </w:tcBorders>
            <w:shd w:val="clear" w:color="auto" w:fill="auto"/>
            <w:vAlign w:val="center"/>
          </w:tcPr>
          <w:p w14:paraId="70977426">
            <w:pPr>
              <w:pStyle w:val="276"/>
              <w:rPr>
                <w:color w:val="auto"/>
              </w:rPr>
            </w:pPr>
            <w:r>
              <w:rPr>
                <w:rFonts w:hint="eastAsia"/>
                <w:color w:val="auto"/>
              </w:rPr>
              <w:t>1</w:t>
            </w:r>
          </w:p>
        </w:tc>
        <w:tc>
          <w:tcPr>
            <w:tcW w:w="647" w:type="pct"/>
            <w:tcBorders>
              <w:top w:val="nil"/>
              <w:left w:val="nil"/>
              <w:bottom w:val="single" w:color="auto" w:sz="4" w:space="0"/>
              <w:right w:val="single" w:color="auto" w:sz="4" w:space="0"/>
            </w:tcBorders>
            <w:shd w:val="clear" w:color="auto" w:fill="auto"/>
            <w:vAlign w:val="center"/>
          </w:tcPr>
          <w:p w14:paraId="11BD3E5E">
            <w:pPr>
              <w:pStyle w:val="276"/>
              <w:rPr>
                <w:color w:val="auto"/>
              </w:rPr>
            </w:pPr>
            <w:r>
              <w:rPr>
                <w:rFonts w:hint="eastAsia"/>
                <w:color w:val="auto"/>
              </w:rPr>
              <w:t>1</w:t>
            </w:r>
          </w:p>
        </w:tc>
        <w:tc>
          <w:tcPr>
            <w:tcW w:w="647" w:type="pct"/>
            <w:tcBorders>
              <w:top w:val="nil"/>
              <w:left w:val="nil"/>
              <w:bottom w:val="single" w:color="auto" w:sz="4" w:space="0"/>
              <w:right w:val="single" w:color="auto" w:sz="4" w:space="0"/>
            </w:tcBorders>
            <w:shd w:val="clear" w:color="auto" w:fill="auto"/>
            <w:noWrap/>
            <w:vAlign w:val="center"/>
          </w:tcPr>
          <w:p w14:paraId="600C1126">
            <w:pPr>
              <w:pStyle w:val="3127"/>
              <w:rPr>
                <w:color w:val="auto"/>
              </w:rPr>
            </w:pPr>
            <w:r>
              <w:rPr>
                <w:rFonts w:hint="eastAsia"/>
                <w:color w:val="auto"/>
              </w:rPr>
              <w:t>0</w:t>
            </w:r>
          </w:p>
        </w:tc>
        <w:tc>
          <w:tcPr>
            <w:tcW w:w="1031" w:type="pct"/>
            <w:vMerge w:val="restart"/>
            <w:tcBorders>
              <w:top w:val="nil"/>
              <w:left w:val="nil"/>
              <w:right w:val="single" w:color="auto" w:sz="4" w:space="0"/>
            </w:tcBorders>
            <w:shd w:val="clear" w:color="auto" w:fill="auto"/>
            <w:vAlign w:val="center"/>
          </w:tcPr>
          <w:p w14:paraId="4999341F">
            <w:pPr>
              <w:pStyle w:val="276"/>
              <w:rPr>
                <w:color w:val="auto"/>
              </w:rPr>
            </w:pPr>
            <w:r>
              <w:rPr>
                <w:rFonts w:hint="eastAsia"/>
                <w:color w:val="auto"/>
              </w:rPr>
              <w:t>交有资质单位收运和处置</w:t>
            </w:r>
          </w:p>
        </w:tc>
      </w:tr>
      <w:tr w14:paraId="4A7C1319">
        <w:tblPrEx>
          <w:tblCellMar>
            <w:top w:w="0" w:type="dxa"/>
            <w:left w:w="108" w:type="dxa"/>
            <w:bottom w:w="0" w:type="dxa"/>
            <w:right w:w="108" w:type="dxa"/>
          </w:tblCellMar>
        </w:tblPrEx>
        <w:trPr>
          <w:trHeight w:val="340" w:hRule="atLeast"/>
        </w:trPr>
        <w:tc>
          <w:tcPr>
            <w:tcW w:w="816" w:type="pct"/>
            <w:vMerge w:val="continue"/>
            <w:tcBorders>
              <w:top w:val="nil"/>
              <w:left w:val="single" w:color="auto" w:sz="4" w:space="0"/>
              <w:bottom w:val="single" w:color="auto" w:sz="4" w:space="0"/>
              <w:right w:val="single" w:color="auto" w:sz="4" w:space="0"/>
            </w:tcBorders>
            <w:vAlign w:val="center"/>
          </w:tcPr>
          <w:p w14:paraId="0277205F">
            <w:pPr>
              <w:pStyle w:val="3127"/>
              <w:rPr>
                <w:color w:val="auto"/>
              </w:rPr>
            </w:pPr>
          </w:p>
        </w:tc>
        <w:tc>
          <w:tcPr>
            <w:tcW w:w="738" w:type="pct"/>
            <w:tcBorders>
              <w:top w:val="nil"/>
              <w:left w:val="nil"/>
              <w:bottom w:val="single" w:color="auto" w:sz="4" w:space="0"/>
              <w:right w:val="single" w:color="auto" w:sz="4" w:space="0"/>
            </w:tcBorders>
            <w:shd w:val="clear" w:color="auto" w:fill="auto"/>
            <w:vAlign w:val="center"/>
          </w:tcPr>
          <w:p w14:paraId="4B3CC75B">
            <w:pPr>
              <w:pStyle w:val="276"/>
              <w:rPr>
                <w:color w:val="auto"/>
              </w:rPr>
            </w:pPr>
            <w:r>
              <w:rPr>
                <w:rFonts w:hint="eastAsia"/>
                <w:color w:val="auto"/>
              </w:rPr>
              <w:t>废活性炭</w:t>
            </w:r>
          </w:p>
        </w:tc>
        <w:tc>
          <w:tcPr>
            <w:tcW w:w="477" w:type="pct"/>
            <w:tcBorders>
              <w:top w:val="nil"/>
              <w:left w:val="nil"/>
              <w:bottom w:val="single" w:color="auto" w:sz="4" w:space="0"/>
              <w:right w:val="single" w:color="auto" w:sz="4" w:space="0"/>
            </w:tcBorders>
            <w:shd w:val="clear" w:color="auto" w:fill="auto"/>
            <w:noWrap/>
            <w:vAlign w:val="center"/>
          </w:tcPr>
          <w:p w14:paraId="57B1CD5A">
            <w:pPr>
              <w:pStyle w:val="3127"/>
              <w:rPr>
                <w:color w:val="auto"/>
              </w:rPr>
            </w:pPr>
            <w:r>
              <w:rPr>
                <w:rFonts w:hint="eastAsia"/>
                <w:color w:val="auto"/>
              </w:rPr>
              <w:t>t/a</w:t>
            </w:r>
          </w:p>
        </w:tc>
        <w:tc>
          <w:tcPr>
            <w:tcW w:w="642" w:type="pct"/>
            <w:tcBorders>
              <w:top w:val="nil"/>
              <w:left w:val="nil"/>
              <w:bottom w:val="single" w:color="auto" w:sz="4" w:space="0"/>
              <w:right w:val="single" w:color="auto" w:sz="4" w:space="0"/>
            </w:tcBorders>
            <w:shd w:val="clear" w:color="auto" w:fill="auto"/>
            <w:vAlign w:val="center"/>
          </w:tcPr>
          <w:p w14:paraId="13C2EF3E">
            <w:pPr>
              <w:pStyle w:val="276"/>
              <w:rPr>
                <w:color w:val="auto"/>
              </w:rPr>
            </w:pPr>
            <w:r>
              <w:rPr>
                <w:rFonts w:hint="eastAsia"/>
                <w:color w:val="auto"/>
              </w:rPr>
              <w:t>2.5</w:t>
            </w:r>
          </w:p>
        </w:tc>
        <w:tc>
          <w:tcPr>
            <w:tcW w:w="647" w:type="pct"/>
            <w:tcBorders>
              <w:top w:val="nil"/>
              <w:left w:val="nil"/>
              <w:bottom w:val="single" w:color="auto" w:sz="4" w:space="0"/>
              <w:right w:val="single" w:color="auto" w:sz="4" w:space="0"/>
            </w:tcBorders>
            <w:shd w:val="clear" w:color="auto" w:fill="auto"/>
            <w:vAlign w:val="center"/>
          </w:tcPr>
          <w:p w14:paraId="3A0B89E3">
            <w:pPr>
              <w:pStyle w:val="276"/>
              <w:rPr>
                <w:color w:val="auto"/>
              </w:rPr>
            </w:pPr>
            <w:r>
              <w:rPr>
                <w:rFonts w:hint="eastAsia"/>
                <w:color w:val="auto"/>
              </w:rPr>
              <w:t>2.5</w:t>
            </w:r>
          </w:p>
        </w:tc>
        <w:tc>
          <w:tcPr>
            <w:tcW w:w="647" w:type="pct"/>
            <w:tcBorders>
              <w:top w:val="nil"/>
              <w:left w:val="nil"/>
              <w:bottom w:val="single" w:color="auto" w:sz="4" w:space="0"/>
              <w:right w:val="single" w:color="auto" w:sz="4" w:space="0"/>
            </w:tcBorders>
            <w:shd w:val="clear" w:color="auto" w:fill="auto"/>
            <w:noWrap/>
            <w:vAlign w:val="center"/>
          </w:tcPr>
          <w:p w14:paraId="5B37EFBC">
            <w:pPr>
              <w:pStyle w:val="3127"/>
              <w:rPr>
                <w:color w:val="auto"/>
              </w:rPr>
            </w:pPr>
            <w:r>
              <w:rPr>
                <w:rFonts w:hint="eastAsia"/>
                <w:color w:val="auto"/>
              </w:rPr>
              <w:t>0</w:t>
            </w:r>
          </w:p>
        </w:tc>
        <w:tc>
          <w:tcPr>
            <w:tcW w:w="1031" w:type="pct"/>
            <w:vMerge w:val="continue"/>
            <w:tcBorders>
              <w:left w:val="nil"/>
              <w:right w:val="single" w:color="auto" w:sz="4" w:space="0"/>
            </w:tcBorders>
            <w:shd w:val="clear" w:color="auto" w:fill="auto"/>
            <w:vAlign w:val="center"/>
          </w:tcPr>
          <w:p w14:paraId="6CBDC41B">
            <w:pPr>
              <w:pStyle w:val="276"/>
              <w:rPr>
                <w:color w:val="auto"/>
              </w:rPr>
            </w:pPr>
          </w:p>
        </w:tc>
      </w:tr>
      <w:tr w14:paraId="514D5178">
        <w:tblPrEx>
          <w:tblCellMar>
            <w:top w:w="0" w:type="dxa"/>
            <w:left w:w="108" w:type="dxa"/>
            <w:bottom w:w="0" w:type="dxa"/>
            <w:right w:w="108" w:type="dxa"/>
          </w:tblCellMar>
        </w:tblPrEx>
        <w:trPr>
          <w:trHeight w:val="340" w:hRule="atLeast"/>
        </w:trPr>
        <w:tc>
          <w:tcPr>
            <w:tcW w:w="816" w:type="pct"/>
            <w:vMerge w:val="continue"/>
            <w:tcBorders>
              <w:top w:val="nil"/>
              <w:left w:val="single" w:color="auto" w:sz="4" w:space="0"/>
              <w:bottom w:val="single" w:color="auto" w:sz="4" w:space="0"/>
              <w:right w:val="single" w:color="auto" w:sz="4" w:space="0"/>
            </w:tcBorders>
            <w:vAlign w:val="center"/>
          </w:tcPr>
          <w:p w14:paraId="0700D882">
            <w:pPr>
              <w:pStyle w:val="3127"/>
              <w:rPr>
                <w:color w:val="auto"/>
              </w:rPr>
            </w:pPr>
          </w:p>
        </w:tc>
        <w:tc>
          <w:tcPr>
            <w:tcW w:w="738" w:type="pct"/>
            <w:tcBorders>
              <w:top w:val="nil"/>
              <w:left w:val="nil"/>
              <w:bottom w:val="single" w:color="auto" w:sz="4" w:space="0"/>
              <w:right w:val="single" w:color="auto" w:sz="4" w:space="0"/>
            </w:tcBorders>
            <w:shd w:val="clear" w:color="auto" w:fill="auto"/>
            <w:vAlign w:val="center"/>
          </w:tcPr>
          <w:p w14:paraId="16B52EA0">
            <w:pPr>
              <w:pStyle w:val="276"/>
              <w:rPr>
                <w:color w:val="auto"/>
              </w:rPr>
            </w:pPr>
            <w:r>
              <w:rPr>
                <w:rFonts w:hint="eastAsia"/>
                <w:color w:val="auto"/>
              </w:rPr>
              <w:t>实验室废物</w:t>
            </w:r>
          </w:p>
        </w:tc>
        <w:tc>
          <w:tcPr>
            <w:tcW w:w="477" w:type="pct"/>
            <w:tcBorders>
              <w:top w:val="nil"/>
              <w:left w:val="nil"/>
              <w:bottom w:val="single" w:color="auto" w:sz="4" w:space="0"/>
              <w:right w:val="single" w:color="auto" w:sz="4" w:space="0"/>
            </w:tcBorders>
            <w:shd w:val="clear" w:color="auto" w:fill="auto"/>
            <w:noWrap/>
            <w:vAlign w:val="center"/>
          </w:tcPr>
          <w:p w14:paraId="0D52F23F">
            <w:pPr>
              <w:pStyle w:val="3127"/>
              <w:rPr>
                <w:color w:val="auto"/>
              </w:rPr>
            </w:pPr>
            <w:r>
              <w:rPr>
                <w:rFonts w:hint="eastAsia"/>
                <w:color w:val="auto"/>
              </w:rPr>
              <w:t>t/a</w:t>
            </w:r>
          </w:p>
        </w:tc>
        <w:tc>
          <w:tcPr>
            <w:tcW w:w="642" w:type="pct"/>
            <w:tcBorders>
              <w:top w:val="nil"/>
              <w:left w:val="nil"/>
              <w:bottom w:val="single" w:color="auto" w:sz="4" w:space="0"/>
              <w:right w:val="single" w:color="auto" w:sz="4" w:space="0"/>
            </w:tcBorders>
            <w:shd w:val="clear" w:color="auto" w:fill="auto"/>
            <w:vAlign w:val="center"/>
          </w:tcPr>
          <w:p w14:paraId="2CC83FA9">
            <w:pPr>
              <w:pStyle w:val="276"/>
              <w:rPr>
                <w:color w:val="auto"/>
                <w:lang w:val="en-US"/>
              </w:rPr>
            </w:pPr>
            <w:r>
              <w:rPr>
                <w:rFonts w:hint="eastAsia"/>
                <w:color w:val="auto"/>
                <w:lang w:val="en-US"/>
              </w:rPr>
              <w:t>3.5</w:t>
            </w:r>
          </w:p>
        </w:tc>
        <w:tc>
          <w:tcPr>
            <w:tcW w:w="647" w:type="pct"/>
            <w:tcBorders>
              <w:top w:val="nil"/>
              <w:left w:val="nil"/>
              <w:bottom w:val="single" w:color="auto" w:sz="4" w:space="0"/>
              <w:right w:val="single" w:color="auto" w:sz="4" w:space="0"/>
            </w:tcBorders>
            <w:shd w:val="clear" w:color="auto" w:fill="auto"/>
            <w:vAlign w:val="center"/>
          </w:tcPr>
          <w:p w14:paraId="5FBCC3B0">
            <w:pPr>
              <w:pStyle w:val="276"/>
              <w:rPr>
                <w:color w:val="auto"/>
                <w:lang w:val="en-US"/>
              </w:rPr>
            </w:pPr>
            <w:r>
              <w:rPr>
                <w:rFonts w:hint="eastAsia"/>
                <w:color w:val="auto"/>
                <w:lang w:val="en-US"/>
              </w:rPr>
              <w:t>3.5</w:t>
            </w:r>
          </w:p>
        </w:tc>
        <w:tc>
          <w:tcPr>
            <w:tcW w:w="647" w:type="pct"/>
            <w:tcBorders>
              <w:top w:val="nil"/>
              <w:left w:val="nil"/>
              <w:bottom w:val="single" w:color="auto" w:sz="4" w:space="0"/>
              <w:right w:val="single" w:color="auto" w:sz="4" w:space="0"/>
            </w:tcBorders>
            <w:shd w:val="clear" w:color="auto" w:fill="auto"/>
            <w:noWrap/>
            <w:vAlign w:val="center"/>
          </w:tcPr>
          <w:p w14:paraId="2DD4D15E">
            <w:pPr>
              <w:pStyle w:val="3127"/>
              <w:rPr>
                <w:color w:val="auto"/>
              </w:rPr>
            </w:pPr>
            <w:r>
              <w:rPr>
                <w:rFonts w:hint="eastAsia"/>
                <w:color w:val="auto"/>
              </w:rPr>
              <w:t>0</w:t>
            </w:r>
          </w:p>
        </w:tc>
        <w:tc>
          <w:tcPr>
            <w:tcW w:w="1031" w:type="pct"/>
            <w:vMerge w:val="continue"/>
            <w:tcBorders>
              <w:left w:val="nil"/>
              <w:right w:val="single" w:color="auto" w:sz="4" w:space="0"/>
            </w:tcBorders>
            <w:shd w:val="clear" w:color="auto" w:fill="auto"/>
            <w:vAlign w:val="center"/>
          </w:tcPr>
          <w:p w14:paraId="785D25B6">
            <w:pPr>
              <w:pStyle w:val="276"/>
              <w:rPr>
                <w:color w:val="auto"/>
              </w:rPr>
            </w:pPr>
          </w:p>
        </w:tc>
      </w:tr>
      <w:tr w14:paraId="4B9416B3">
        <w:tblPrEx>
          <w:tblCellMar>
            <w:top w:w="0" w:type="dxa"/>
            <w:left w:w="108" w:type="dxa"/>
            <w:bottom w:w="0" w:type="dxa"/>
            <w:right w:w="108" w:type="dxa"/>
          </w:tblCellMar>
        </w:tblPrEx>
        <w:trPr>
          <w:trHeight w:val="340" w:hRule="atLeast"/>
        </w:trPr>
        <w:tc>
          <w:tcPr>
            <w:tcW w:w="816" w:type="pct"/>
            <w:vMerge w:val="continue"/>
            <w:tcBorders>
              <w:top w:val="nil"/>
              <w:left w:val="single" w:color="auto" w:sz="4" w:space="0"/>
              <w:bottom w:val="single" w:color="auto" w:sz="4" w:space="0"/>
              <w:right w:val="single" w:color="auto" w:sz="4" w:space="0"/>
            </w:tcBorders>
            <w:vAlign w:val="center"/>
          </w:tcPr>
          <w:p w14:paraId="30C5EBD8">
            <w:pPr>
              <w:pStyle w:val="3127"/>
              <w:rPr>
                <w:color w:val="auto"/>
              </w:rPr>
            </w:pPr>
          </w:p>
        </w:tc>
        <w:tc>
          <w:tcPr>
            <w:tcW w:w="738" w:type="pct"/>
            <w:tcBorders>
              <w:top w:val="nil"/>
              <w:left w:val="nil"/>
              <w:bottom w:val="single" w:color="auto" w:sz="4" w:space="0"/>
              <w:right w:val="single" w:color="auto" w:sz="4" w:space="0"/>
            </w:tcBorders>
            <w:shd w:val="clear" w:color="auto" w:fill="auto"/>
            <w:vAlign w:val="center"/>
          </w:tcPr>
          <w:p w14:paraId="0F62E044">
            <w:pPr>
              <w:pStyle w:val="276"/>
              <w:rPr>
                <w:color w:val="auto"/>
              </w:rPr>
            </w:pPr>
            <w:r>
              <w:rPr>
                <w:rFonts w:hint="eastAsia"/>
                <w:color w:val="auto"/>
              </w:rPr>
              <w:t>废油类、废油桶及含油废物</w:t>
            </w:r>
          </w:p>
        </w:tc>
        <w:tc>
          <w:tcPr>
            <w:tcW w:w="477" w:type="pct"/>
            <w:tcBorders>
              <w:top w:val="nil"/>
              <w:left w:val="nil"/>
              <w:bottom w:val="single" w:color="auto" w:sz="4" w:space="0"/>
              <w:right w:val="single" w:color="auto" w:sz="4" w:space="0"/>
            </w:tcBorders>
            <w:shd w:val="clear" w:color="auto" w:fill="auto"/>
            <w:noWrap/>
            <w:vAlign w:val="center"/>
          </w:tcPr>
          <w:p w14:paraId="5D0FA858">
            <w:pPr>
              <w:pStyle w:val="3127"/>
              <w:rPr>
                <w:color w:val="auto"/>
              </w:rPr>
            </w:pPr>
            <w:r>
              <w:rPr>
                <w:rFonts w:hint="eastAsia"/>
                <w:color w:val="auto"/>
              </w:rPr>
              <w:t>t/a</w:t>
            </w:r>
          </w:p>
        </w:tc>
        <w:tc>
          <w:tcPr>
            <w:tcW w:w="642" w:type="pct"/>
            <w:tcBorders>
              <w:top w:val="nil"/>
              <w:left w:val="nil"/>
              <w:bottom w:val="single" w:color="auto" w:sz="4" w:space="0"/>
              <w:right w:val="single" w:color="auto" w:sz="4" w:space="0"/>
            </w:tcBorders>
            <w:shd w:val="clear" w:color="auto" w:fill="auto"/>
            <w:vAlign w:val="center"/>
          </w:tcPr>
          <w:p w14:paraId="24B1D4FF">
            <w:pPr>
              <w:pStyle w:val="276"/>
              <w:rPr>
                <w:color w:val="auto"/>
              </w:rPr>
            </w:pPr>
            <w:r>
              <w:rPr>
                <w:rFonts w:hint="eastAsia"/>
                <w:color w:val="auto"/>
              </w:rPr>
              <w:t>12</w:t>
            </w:r>
          </w:p>
        </w:tc>
        <w:tc>
          <w:tcPr>
            <w:tcW w:w="647" w:type="pct"/>
            <w:tcBorders>
              <w:top w:val="nil"/>
              <w:left w:val="nil"/>
              <w:bottom w:val="single" w:color="auto" w:sz="4" w:space="0"/>
              <w:right w:val="single" w:color="auto" w:sz="4" w:space="0"/>
            </w:tcBorders>
            <w:shd w:val="clear" w:color="auto" w:fill="auto"/>
            <w:vAlign w:val="center"/>
          </w:tcPr>
          <w:p w14:paraId="467A634F">
            <w:pPr>
              <w:pStyle w:val="276"/>
              <w:rPr>
                <w:color w:val="auto"/>
              </w:rPr>
            </w:pPr>
            <w:r>
              <w:rPr>
                <w:rFonts w:hint="eastAsia"/>
                <w:color w:val="auto"/>
              </w:rPr>
              <w:t>12</w:t>
            </w:r>
          </w:p>
        </w:tc>
        <w:tc>
          <w:tcPr>
            <w:tcW w:w="647" w:type="pct"/>
            <w:tcBorders>
              <w:top w:val="nil"/>
              <w:left w:val="nil"/>
              <w:bottom w:val="single" w:color="auto" w:sz="4" w:space="0"/>
              <w:right w:val="single" w:color="auto" w:sz="4" w:space="0"/>
            </w:tcBorders>
            <w:shd w:val="clear" w:color="auto" w:fill="auto"/>
            <w:noWrap/>
            <w:vAlign w:val="center"/>
          </w:tcPr>
          <w:p w14:paraId="5BBDB715">
            <w:pPr>
              <w:pStyle w:val="3127"/>
              <w:rPr>
                <w:color w:val="auto"/>
              </w:rPr>
            </w:pPr>
            <w:r>
              <w:rPr>
                <w:rFonts w:hint="eastAsia"/>
                <w:color w:val="auto"/>
              </w:rPr>
              <w:t>0</w:t>
            </w:r>
          </w:p>
        </w:tc>
        <w:tc>
          <w:tcPr>
            <w:tcW w:w="1031" w:type="pct"/>
            <w:vMerge w:val="continue"/>
            <w:tcBorders>
              <w:left w:val="nil"/>
              <w:right w:val="single" w:color="auto" w:sz="4" w:space="0"/>
            </w:tcBorders>
            <w:shd w:val="clear" w:color="auto" w:fill="auto"/>
            <w:vAlign w:val="center"/>
          </w:tcPr>
          <w:p w14:paraId="682B4A37">
            <w:pPr>
              <w:pStyle w:val="276"/>
              <w:rPr>
                <w:color w:val="auto"/>
              </w:rPr>
            </w:pPr>
          </w:p>
        </w:tc>
      </w:tr>
      <w:tr w14:paraId="6516C856">
        <w:tblPrEx>
          <w:tblCellMar>
            <w:top w:w="0" w:type="dxa"/>
            <w:left w:w="108" w:type="dxa"/>
            <w:bottom w:w="0" w:type="dxa"/>
            <w:right w:w="108" w:type="dxa"/>
          </w:tblCellMar>
        </w:tblPrEx>
        <w:trPr>
          <w:trHeight w:val="340" w:hRule="atLeast"/>
        </w:trPr>
        <w:tc>
          <w:tcPr>
            <w:tcW w:w="816" w:type="pct"/>
            <w:vMerge w:val="continue"/>
            <w:tcBorders>
              <w:top w:val="nil"/>
              <w:left w:val="single" w:color="auto" w:sz="4" w:space="0"/>
              <w:bottom w:val="single" w:color="auto" w:sz="4" w:space="0"/>
              <w:right w:val="single" w:color="auto" w:sz="4" w:space="0"/>
            </w:tcBorders>
            <w:vAlign w:val="center"/>
          </w:tcPr>
          <w:p w14:paraId="5D3A3997">
            <w:pPr>
              <w:pStyle w:val="3127"/>
              <w:rPr>
                <w:color w:val="auto"/>
              </w:rPr>
            </w:pPr>
          </w:p>
        </w:tc>
        <w:tc>
          <w:tcPr>
            <w:tcW w:w="738" w:type="pct"/>
            <w:tcBorders>
              <w:top w:val="nil"/>
              <w:left w:val="nil"/>
              <w:bottom w:val="single" w:color="auto" w:sz="4" w:space="0"/>
              <w:right w:val="single" w:color="auto" w:sz="4" w:space="0"/>
            </w:tcBorders>
            <w:shd w:val="clear" w:color="auto" w:fill="auto"/>
            <w:vAlign w:val="center"/>
          </w:tcPr>
          <w:p w14:paraId="0ACD03D7">
            <w:pPr>
              <w:pStyle w:val="276"/>
              <w:rPr>
                <w:bCs/>
                <w:color w:val="auto"/>
                <w:sz w:val="24"/>
              </w:rPr>
            </w:pPr>
            <w:r>
              <w:rPr>
                <w:rFonts w:hint="eastAsia"/>
                <w:color w:val="auto"/>
              </w:rPr>
              <w:t>废膜</w:t>
            </w:r>
          </w:p>
        </w:tc>
        <w:tc>
          <w:tcPr>
            <w:tcW w:w="477" w:type="pct"/>
            <w:tcBorders>
              <w:top w:val="nil"/>
              <w:left w:val="nil"/>
              <w:bottom w:val="single" w:color="auto" w:sz="4" w:space="0"/>
              <w:right w:val="single" w:color="auto" w:sz="4" w:space="0"/>
            </w:tcBorders>
            <w:shd w:val="clear" w:color="auto" w:fill="auto"/>
            <w:noWrap/>
            <w:vAlign w:val="center"/>
          </w:tcPr>
          <w:p w14:paraId="54936588">
            <w:pPr>
              <w:pStyle w:val="3127"/>
              <w:rPr>
                <w:color w:val="auto"/>
              </w:rPr>
            </w:pPr>
            <w:r>
              <w:rPr>
                <w:rFonts w:hint="eastAsia"/>
                <w:color w:val="auto"/>
              </w:rPr>
              <w:t>t/a</w:t>
            </w:r>
          </w:p>
        </w:tc>
        <w:tc>
          <w:tcPr>
            <w:tcW w:w="642" w:type="pct"/>
            <w:tcBorders>
              <w:top w:val="nil"/>
              <w:left w:val="nil"/>
              <w:bottom w:val="single" w:color="auto" w:sz="4" w:space="0"/>
              <w:right w:val="single" w:color="auto" w:sz="4" w:space="0"/>
            </w:tcBorders>
            <w:shd w:val="clear" w:color="auto" w:fill="auto"/>
            <w:vAlign w:val="center"/>
          </w:tcPr>
          <w:p w14:paraId="027113C9">
            <w:pPr>
              <w:pStyle w:val="276"/>
              <w:rPr>
                <w:color w:val="auto"/>
              </w:rPr>
            </w:pPr>
            <w:r>
              <w:rPr>
                <w:rFonts w:hint="eastAsia"/>
                <w:color w:val="auto"/>
              </w:rPr>
              <w:t>1</w:t>
            </w:r>
          </w:p>
        </w:tc>
        <w:tc>
          <w:tcPr>
            <w:tcW w:w="647" w:type="pct"/>
            <w:tcBorders>
              <w:top w:val="nil"/>
              <w:left w:val="nil"/>
              <w:bottom w:val="single" w:color="auto" w:sz="4" w:space="0"/>
              <w:right w:val="single" w:color="auto" w:sz="4" w:space="0"/>
            </w:tcBorders>
            <w:shd w:val="clear" w:color="auto" w:fill="auto"/>
            <w:vAlign w:val="center"/>
          </w:tcPr>
          <w:p w14:paraId="14B260EC">
            <w:pPr>
              <w:pStyle w:val="276"/>
              <w:rPr>
                <w:color w:val="auto"/>
              </w:rPr>
            </w:pPr>
            <w:r>
              <w:rPr>
                <w:rFonts w:hint="eastAsia"/>
                <w:color w:val="auto"/>
              </w:rPr>
              <w:t>1</w:t>
            </w:r>
          </w:p>
        </w:tc>
        <w:tc>
          <w:tcPr>
            <w:tcW w:w="647" w:type="pct"/>
            <w:tcBorders>
              <w:top w:val="nil"/>
              <w:left w:val="nil"/>
              <w:bottom w:val="single" w:color="auto" w:sz="4" w:space="0"/>
              <w:right w:val="single" w:color="auto" w:sz="4" w:space="0"/>
            </w:tcBorders>
            <w:shd w:val="clear" w:color="auto" w:fill="auto"/>
            <w:noWrap/>
            <w:vAlign w:val="center"/>
          </w:tcPr>
          <w:p w14:paraId="1857CE46">
            <w:pPr>
              <w:pStyle w:val="3127"/>
              <w:rPr>
                <w:color w:val="auto"/>
              </w:rPr>
            </w:pPr>
            <w:r>
              <w:rPr>
                <w:rFonts w:hint="eastAsia"/>
                <w:color w:val="auto"/>
              </w:rPr>
              <w:t>0</w:t>
            </w:r>
          </w:p>
        </w:tc>
        <w:tc>
          <w:tcPr>
            <w:tcW w:w="1031" w:type="pct"/>
            <w:vMerge w:val="continue"/>
            <w:tcBorders>
              <w:left w:val="nil"/>
              <w:bottom w:val="single" w:color="auto" w:sz="4" w:space="0"/>
              <w:right w:val="single" w:color="auto" w:sz="4" w:space="0"/>
            </w:tcBorders>
            <w:shd w:val="clear" w:color="auto" w:fill="auto"/>
            <w:vAlign w:val="center"/>
          </w:tcPr>
          <w:p w14:paraId="38AB1C8D">
            <w:pPr>
              <w:pStyle w:val="276"/>
              <w:rPr>
                <w:color w:val="auto"/>
              </w:rPr>
            </w:pPr>
          </w:p>
        </w:tc>
      </w:tr>
      <w:tr w14:paraId="41FB4BA6">
        <w:tblPrEx>
          <w:tblCellMar>
            <w:top w:w="0" w:type="dxa"/>
            <w:left w:w="108" w:type="dxa"/>
            <w:bottom w:w="0" w:type="dxa"/>
            <w:right w:w="108" w:type="dxa"/>
          </w:tblCellMar>
        </w:tblPrEx>
        <w:trPr>
          <w:trHeight w:val="340" w:hRule="atLeast"/>
        </w:trPr>
        <w:tc>
          <w:tcPr>
            <w:tcW w:w="816" w:type="pct"/>
            <w:vMerge w:val="continue"/>
            <w:tcBorders>
              <w:top w:val="nil"/>
              <w:left w:val="single" w:color="auto" w:sz="4" w:space="0"/>
              <w:bottom w:val="single" w:color="auto" w:sz="4" w:space="0"/>
              <w:right w:val="single" w:color="auto" w:sz="4" w:space="0"/>
            </w:tcBorders>
            <w:vAlign w:val="center"/>
          </w:tcPr>
          <w:p w14:paraId="0F8EBA44">
            <w:pPr>
              <w:pStyle w:val="3127"/>
              <w:rPr>
                <w:color w:val="auto"/>
              </w:rPr>
            </w:pPr>
          </w:p>
        </w:tc>
        <w:tc>
          <w:tcPr>
            <w:tcW w:w="738" w:type="pct"/>
            <w:tcBorders>
              <w:top w:val="nil"/>
              <w:left w:val="nil"/>
              <w:bottom w:val="single" w:color="auto" w:sz="4" w:space="0"/>
              <w:right w:val="single" w:color="auto" w:sz="4" w:space="0"/>
            </w:tcBorders>
            <w:shd w:val="clear" w:color="auto" w:fill="auto"/>
            <w:vAlign w:val="center"/>
          </w:tcPr>
          <w:p w14:paraId="6C81B9FE">
            <w:pPr>
              <w:pStyle w:val="276"/>
              <w:rPr>
                <w:color w:val="auto"/>
              </w:rPr>
            </w:pPr>
            <w:r>
              <w:rPr>
                <w:rFonts w:hint="eastAsia"/>
                <w:color w:val="auto"/>
              </w:rPr>
              <w:t>污泥</w:t>
            </w:r>
          </w:p>
        </w:tc>
        <w:tc>
          <w:tcPr>
            <w:tcW w:w="477" w:type="pct"/>
            <w:tcBorders>
              <w:top w:val="nil"/>
              <w:left w:val="nil"/>
              <w:bottom w:val="single" w:color="auto" w:sz="4" w:space="0"/>
              <w:right w:val="single" w:color="auto" w:sz="4" w:space="0"/>
            </w:tcBorders>
            <w:shd w:val="clear" w:color="auto" w:fill="auto"/>
            <w:noWrap/>
            <w:vAlign w:val="center"/>
          </w:tcPr>
          <w:p w14:paraId="7F83E613">
            <w:pPr>
              <w:pStyle w:val="3127"/>
              <w:rPr>
                <w:color w:val="auto"/>
              </w:rPr>
            </w:pPr>
            <w:r>
              <w:rPr>
                <w:rFonts w:hint="eastAsia"/>
                <w:color w:val="auto"/>
              </w:rPr>
              <w:t>t/a</w:t>
            </w:r>
          </w:p>
        </w:tc>
        <w:tc>
          <w:tcPr>
            <w:tcW w:w="642" w:type="pct"/>
            <w:tcBorders>
              <w:top w:val="nil"/>
              <w:left w:val="nil"/>
              <w:bottom w:val="single" w:color="auto" w:sz="4" w:space="0"/>
              <w:right w:val="single" w:color="auto" w:sz="4" w:space="0"/>
            </w:tcBorders>
            <w:shd w:val="clear" w:color="auto" w:fill="auto"/>
            <w:vAlign w:val="center"/>
          </w:tcPr>
          <w:p w14:paraId="23B76015">
            <w:pPr>
              <w:pStyle w:val="276"/>
              <w:rPr>
                <w:color w:val="auto"/>
              </w:rPr>
            </w:pPr>
            <w:r>
              <w:rPr>
                <w:rFonts w:hint="eastAsia"/>
                <w:color w:val="auto"/>
              </w:rPr>
              <w:t>2100</w:t>
            </w:r>
          </w:p>
        </w:tc>
        <w:tc>
          <w:tcPr>
            <w:tcW w:w="647" w:type="pct"/>
            <w:tcBorders>
              <w:top w:val="nil"/>
              <w:left w:val="nil"/>
              <w:bottom w:val="single" w:color="auto" w:sz="4" w:space="0"/>
              <w:right w:val="single" w:color="auto" w:sz="4" w:space="0"/>
            </w:tcBorders>
            <w:shd w:val="clear" w:color="auto" w:fill="auto"/>
            <w:vAlign w:val="center"/>
          </w:tcPr>
          <w:p w14:paraId="2ED6930C">
            <w:pPr>
              <w:pStyle w:val="276"/>
              <w:rPr>
                <w:color w:val="auto"/>
              </w:rPr>
            </w:pPr>
            <w:r>
              <w:rPr>
                <w:rFonts w:hint="eastAsia"/>
                <w:color w:val="auto"/>
              </w:rPr>
              <w:t>2100</w:t>
            </w:r>
          </w:p>
        </w:tc>
        <w:tc>
          <w:tcPr>
            <w:tcW w:w="647" w:type="pct"/>
            <w:tcBorders>
              <w:top w:val="nil"/>
              <w:left w:val="nil"/>
              <w:bottom w:val="single" w:color="auto" w:sz="4" w:space="0"/>
              <w:right w:val="single" w:color="auto" w:sz="4" w:space="0"/>
            </w:tcBorders>
            <w:shd w:val="clear" w:color="auto" w:fill="auto"/>
            <w:noWrap/>
            <w:vAlign w:val="center"/>
          </w:tcPr>
          <w:p w14:paraId="1D68A3E8">
            <w:pPr>
              <w:pStyle w:val="3127"/>
              <w:rPr>
                <w:color w:val="auto"/>
              </w:rPr>
            </w:pPr>
            <w:r>
              <w:rPr>
                <w:rFonts w:hint="eastAsia"/>
                <w:color w:val="auto"/>
              </w:rPr>
              <w:t>0</w:t>
            </w:r>
          </w:p>
        </w:tc>
        <w:tc>
          <w:tcPr>
            <w:tcW w:w="1031" w:type="pct"/>
            <w:vMerge w:val="restart"/>
            <w:tcBorders>
              <w:top w:val="nil"/>
              <w:left w:val="nil"/>
              <w:right w:val="single" w:color="auto" w:sz="4" w:space="0"/>
            </w:tcBorders>
            <w:shd w:val="clear" w:color="auto" w:fill="auto"/>
            <w:vAlign w:val="center"/>
          </w:tcPr>
          <w:p w14:paraId="609D035D">
            <w:pPr>
              <w:pStyle w:val="276"/>
              <w:rPr>
                <w:color w:val="auto"/>
              </w:rPr>
            </w:pPr>
            <w:r>
              <w:rPr>
                <w:rFonts w:hint="eastAsia"/>
                <w:color w:val="auto"/>
              </w:rPr>
              <w:t>进行危废鉴别，鉴别结果出来前，需按危险废物（危废代码772-006-49）管理</w:t>
            </w:r>
          </w:p>
        </w:tc>
      </w:tr>
      <w:tr w14:paraId="5981EB5F">
        <w:tblPrEx>
          <w:tblCellMar>
            <w:top w:w="0" w:type="dxa"/>
            <w:left w:w="108" w:type="dxa"/>
            <w:bottom w:w="0" w:type="dxa"/>
            <w:right w:w="108" w:type="dxa"/>
          </w:tblCellMar>
        </w:tblPrEx>
        <w:trPr>
          <w:trHeight w:val="340" w:hRule="atLeast"/>
        </w:trPr>
        <w:tc>
          <w:tcPr>
            <w:tcW w:w="816" w:type="pct"/>
            <w:vMerge w:val="continue"/>
            <w:tcBorders>
              <w:top w:val="nil"/>
              <w:left w:val="single" w:color="auto" w:sz="4" w:space="0"/>
              <w:bottom w:val="single" w:color="auto" w:sz="4" w:space="0"/>
              <w:right w:val="single" w:color="auto" w:sz="4" w:space="0"/>
            </w:tcBorders>
            <w:vAlign w:val="center"/>
          </w:tcPr>
          <w:p w14:paraId="33226E73">
            <w:pPr>
              <w:pStyle w:val="3127"/>
              <w:rPr>
                <w:color w:val="auto"/>
              </w:rPr>
            </w:pPr>
          </w:p>
        </w:tc>
        <w:tc>
          <w:tcPr>
            <w:tcW w:w="738" w:type="pct"/>
            <w:tcBorders>
              <w:top w:val="nil"/>
              <w:left w:val="nil"/>
              <w:bottom w:val="single" w:color="auto" w:sz="4" w:space="0"/>
              <w:right w:val="single" w:color="auto" w:sz="4" w:space="0"/>
            </w:tcBorders>
            <w:shd w:val="clear" w:color="auto" w:fill="auto"/>
            <w:vAlign w:val="center"/>
          </w:tcPr>
          <w:p w14:paraId="6655E7B7">
            <w:pPr>
              <w:pStyle w:val="276"/>
              <w:rPr>
                <w:color w:val="auto"/>
              </w:rPr>
            </w:pPr>
            <w:r>
              <w:rPr>
                <w:rFonts w:hint="eastAsia"/>
                <w:color w:val="auto"/>
              </w:rPr>
              <w:t>蒸发结晶盐</w:t>
            </w:r>
          </w:p>
        </w:tc>
        <w:tc>
          <w:tcPr>
            <w:tcW w:w="477" w:type="pct"/>
            <w:tcBorders>
              <w:top w:val="nil"/>
              <w:left w:val="nil"/>
              <w:bottom w:val="single" w:color="auto" w:sz="4" w:space="0"/>
              <w:right w:val="single" w:color="auto" w:sz="4" w:space="0"/>
            </w:tcBorders>
            <w:shd w:val="clear" w:color="auto" w:fill="auto"/>
            <w:noWrap/>
            <w:vAlign w:val="center"/>
          </w:tcPr>
          <w:p w14:paraId="6C40DF3E">
            <w:pPr>
              <w:pStyle w:val="3127"/>
              <w:rPr>
                <w:color w:val="auto"/>
              </w:rPr>
            </w:pPr>
            <w:r>
              <w:rPr>
                <w:rFonts w:hint="eastAsia"/>
                <w:color w:val="auto"/>
              </w:rPr>
              <w:t>t/a</w:t>
            </w:r>
          </w:p>
        </w:tc>
        <w:tc>
          <w:tcPr>
            <w:tcW w:w="642" w:type="pct"/>
            <w:tcBorders>
              <w:top w:val="nil"/>
              <w:left w:val="nil"/>
              <w:bottom w:val="single" w:color="auto" w:sz="4" w:space="0"/>
              <w:right w:val="single" w:color="auto" w:sz="4" w:space="0"/>
            </w:tcBorders>
            <w:shd w:val="clear" w:color="auto" w:fill="auto"/>
            <w:vAlign w:val="center"/>
          </w:tcPr>
          <w:p w14:paraId="77C33C18">
            <w:pPr>
              <w:pStyle w:val="276"/>
              <w:rPr>
                <w:color w:val="auto"/>
              </w:rPr>
            </w:pPr>
            <w:r>
              <w:rPr>
                <w:rFonts w:hint="eastAsia"/>
                <w:color w:val="auto"/>
              </w:rPr>
              <w:t>22800</w:t>
            </w:r>
          </w:p>
        </w:tc>
        <w:tc>
          <w:tcPr>
            <w:tcW w:w="647" w:type="pct"/>
            <w:tcBorders>
              <w:top w:val="nil"/>
              <w:left w:val="nil"/>
              <w:bottom w:val="single" w:color="auto" w:sz="4" w:space="0"/>
              <w:right w:val="single" w:color="auto" w:sz="4" w:space="0"/>
            </w:tcBorders>
            <w:shd w:val="clear" w:color="auto" w:fill="auto"/>
            <w:vAlign w:val="center"/>
          </w:tcPr>
          <w:p w14:paraId="6CF36BD8">
            <w:pPr>
              <w:pStyle w:val="276"/>
              <w:rPr>
                <w:color w:val="auto"/>
              </w:rPr>
            </w:pPr>
            <w:r>
              <w:rPr>
                <w:rFonts w:hint="eastAsia"/>
                <w:color w:val="auto"/>
              </w:rPr>
              <w:t>22800</w:t>
            </w:r>
          </w:p>
        </w:tc>
        <w:tc>
          <w:tcPr>
            <w:tcW w:w="647" w:type="pct"/>
            <w:tcBorders>
              <w:top w:val="nil"/>
              <w:left w:val="nil"/>
              <w:bottom w:val="single" w:color="auto" w:sz="4" w:space="0"/>
              <w:right w:val="single" w:color="auto" w:sz="4" w:space="0"/>
            </w:tcBorders>
            <w:shd w:val="clear" w:color="auto" w:fill="auto"/>
            <w:noWrap/>
            <w:vAlign w:val="center"/>
          </w:tcPr>
          <w:p w14:paraId="1DF70AF2">
            <w:pPr>
              <w:pStyle w:val="3127"/>
              <w:rPr>
                <w:color w:val="auto"/>
              </w:rPr>
            </w:pPr>
            <w:r>
              <w:rPr>
                <w:rFonts w:hint="eastAsia"/>
                <w:color w:val="auto"/>
              </w:rPr>
              <w:t>0</w:t>
            </w:r>
          </w:p>
        </w:tc>
        <w:tc>
          <w:tcPr>
            <w:tcW w:w="1031" w:type="pct"/>
            <w:vMerge w:val="continue"/>
            <w:tcBorders>
              <w:left w:val="nil"/>
              <w:bottom w:val="single" w:color="auto" w:sz="4" w:space="0"/>
              <w:right w:val="single" w:color="auto" w:sz="4" w:space="0"/>
            </w:tcBorders>
            <w:shd w:val="clear" w:color="auto" w:fill="auto"/>
            <w:vAlign w:val="center"/>
          </w:tcPr>
          <w:p w14:paraId="39D5F70D">
            <w:pPr>
              <w:pStyle w:val="276"/>
              <w:rPr>
                <w:color w:val="auto"/>
              </w:rPr>
            </w:pPr>
          </w:p>
        </w:tc>
      </w:tr>
      <w:tr w14:paraId="3AE32FD5">
        <w:tblPrEx>
          <w:tblCellMar>
            <w:top w:w="0" w:type="dxa"/>
            <w:left w:w="108" w:type="dxa"/>
            <w:bottom w:w="0" w:type="dxa"/>
            <w:right w:w="108" w:type="dxa"/>
          </w:tblCellMar>
        </w:tblPrEx>
        <w:trPr>
          <w:trHeight w:val="340" w:hRule="atLeast"/>
        </w:trPr>
        <w:tc>
          <w:tcPr>
            <w:tcW w:w="816" w:type="pct"/>
            <w:vMerge w:val="continue"/>
            <w:tcBorders>
              <w:top w:val="nil"/>
              <w:left w:val="single" w:color="auto" w:sz="4" w:space="0"/>
              <w:bottom w:val="single" w:color="auto" w:sz="4" w:space="0"/>
              <w:right w:val="single" w:color="auto" w:sz="4" w:space="0"/>
            </w:tcBorders>
            <w:vAlign w:val="center"/>
          </w:tcPr>
          <w:p w14:paraId="2D184FB6">
            <w:pPr>
              <w:pStyle w:val="3127"/>
              <w:rPr>
                <w:color w:val="auto"/>
              </w:rPr>
            </w:pPr>
          </w:p>
        </w:tc>
        <w:tc>
          <w:tcPr>
            <w:tcW w:w="738" w:type="pct"/>
            <w:tcBorders>
              <w:top w:val="nil"/>
              <w:left w:val="nil"/>
              <w:bottom w:val="single" w:color="auto" w:sz="4" w:space="0"/>
              <w:right w:val="single" w:color="auto" w:sz="4" w:space="0"/>
            </w:tcBorders>
            <w:shd w:val="clear" w:color="auto" w:fill="auto"/>
            <w:vAlign w:val="center"/>
          </w:tcPr>
          <w:p w14:paraId="1A2B3138">
            <w:pPr>
              <w:pStyle w:val="276"/>
              <w:rPr>
                <w:color w:val="auto"/>
              </w:rPr>
            </w:pPr>
            <w:r>
              <w:rPr>
                <w:rFonts w:hint="eastAsia"/>
                <w:color w:val="auto"/>
              </w:rPr>
              <w:t>废包装材料</w:t>
            </w:r>
          </w:p>
        </w:tc>
        <w:tc>
          <w:tcPr>
            <w:tcW w:w="477" w:type="pct"/>
            <w:tcBorders>
              <w:top w:val="nil"/>
              <w:left w:val="nil"/>
              <w:bottom w:val="single" w:color="auto" w:sz="4" w:space="0"/>
              <w:right w:val="single" w:color="auto" w:sz="4" w:space="0"/>
            </w:tcBorders>
            <w:shd w:val="clear" w:color="auto" w:fill="auto"/>
            <w:noWrap/>
            <w:vAlign w:val="center"/>
          </w:tcPr>
          <w:p w14:paraId="7CB27FF3">
            <w:pPr>
              <w:pStyle w:val="3127"/>
              <w:rPr>
                <w:color w:val="auto"/>
              </w:rPr>
            </w:pPr>
            <w:r>
              <w:rPr>
                <w:rFonts w:hint="eastAsia"/>
                <w:color w:val="auto"/>
              </w:rPr>
              <w:t>t/a</w:t>
            </w:r>
          </w:p>
        </w:tc>
        <w:tc>
          <w:tcPr>
            <w:tcW w:w="642" w:type="pct"/>
            <w:tcBorders>
              <w:top w:val="nil"/>
              <w:left w:val="nil"/>
              <w:bottom w:val="single" w:color="auto" w:sz="4" w:space="0"/>
              <w:right w:val="single" w:color="auto" w:sz="4" w:space="0"/>
            </w:tcBorders>
            <w:shd w:val="clear" w:color="auto" w:fill="auto"/>
            <w:vAlign w:val="center"/>
          </w:tcPr>
          <w:p w14:paraId="4437772A">
            <w:pPr>
              <w:pStyle w:val="276"/>
              <w:rPr>
                <w:color w:val="auto"/>
              </w:rPr>
            </w:pPr>
            <w:r>
              <w:rPr>
                <w:rFonts w:hint="eastAsia"/>
                <w:color w:val="auto"/>
              </w:rPr>
              <w:t>5</w:t>
            </w:r>
          </w:p>
        </w:tc>
        <w:tc>
          <w:tcPr>
            <w:tcW w:w="647" w:type="pct"/>
            <w:tcBorders>
              <w:top w:val="nil"/>
              <w:left w:val="nil"/>
              <w:bottom w:val="single" w:color="auto" w:sz="4" w:space="0"/>
              <w:right w:val="single" w:color="auto" w:sz="4" w:space="0"/>
            </w:tcBorders>
            <w:shd w:val="clear" w:color="auto" w:fill="auto"/>
            <w:vAlign w:val="center"/>
          </w:tcPr>
          <w:p w14:paraId="6A95A150">
            <w:pPr>
              <w:pStyle w:val="276"/>
              <w:rPr>
                <w:color w:val="auto"/>
              </w:rPr>
            </w:pPr>
            <w:r>
              <w:rPr>
                <w:rFonts w:hint="eastAsia"/>
                <w:color w:val="auto"/>
              </w:rPr>
              <w:t>5</w:t>
            </w:r>
          </w:p>
        </w:tc>
        <w:tc>
          <w:tcPr>
            <w:tcW w:w="647" w:type="pct"/>
            <w:tcBorders>
              <w:top w:val="nil"/>
              <w:left w:val="nil"/>
              <w:bottom w:val="single" w:color="auto" w:sz="4" w:space="0"/>
              <w:right w:val="single" w:color="auto" w:sz="4" w:space="0"/>
            </w:tcBorders>
            <w:shd w:val="clear" w:color="auto" w:fill="auto"/>
            <w:noWrap/>
            <w:vAlign w:val="center"/>
          </w:tcPr>
          <w:p w14:paraId="499A3DC3">
            <w:pPr>
              <w:pStyle w:val="3127"/>
              <w:rPr>
                <w:color w:val="auto"/>
              </w:rPr>
            </w:pPr>
            <w:r>
              <w:rPr>
                <w:rFonts w:hint="eastAsia"/>
                <w:color w:val="auto"/>
              </w:rPr>
              <w:t>0</w:t>
            </w:r>
          </w:p>
        </w:tc>
        <w:tc>
          <w:tcPr>
            <w:tcW w:w="1031" w:type="pct"/>
            <w:tcBorders>
              <w:left w:val="nil"/>
              <w:bottom w:val="single" w:color="auto" w:sz="4" w:space="0"/>
              <w:right w:val="single" w:color="auto" w:sz="4" w:space="0"/>
            </w:tcBorders>
            <w:shd w:val="clear" w:color="auto" w:fill="auto"/>
            <w:vAlign w:val="center"/>
          </w:tcPr>
          <w:p w14:paraId="45D0B2E3">
            <w:pPr>
              <w:pStyle w:val="276"/>
              <w:rPr>
                <w:color w:val="auto"/>
              </w:rPr>
            </w:pPr>
            <w:r>
              <w:rPr>
                <w:rFonts w:hint="eastAsia"/>
                <w:color w:val="auto"/>
              </w:rPr>
              <w:t>交有处置能力单位综合利用</w:t>
            </w:r>
          </w:p>
        </w:tc>
      </w:tr>
      <w:tr w14:paraId="4193D72A">
        <w:tblPrEx>
          <w:tblCellMar>
            <w:top w:w="0" w:type="dxa"/>
            <w:left w:w="108" w:type="dxa"/>
            <w:bottom w:w="0" w:type="dxa"/>
            <w:right w:w="108" w:type="dxa"/>
          </w:tblCellMar>
        </w:tblPrEx>
        <w:trPr>
          <w:trHeight w:val="340" w:hRule="atLeast"/>
        </w:trPr>
        <w:tc>
          <w:tcPr>
            <w:tcW w:w="816" w:type="pct"/>
            <w:vMerge w:val="continue"/>
            <w:tcBorders>
              <w:top w:val="nil"/>
              <w:left w:val="single" w:color="auto" w:sz="4" w:space="0"/>
              <w:bottom w:val="single" w:color="auto" w:sz="4" w:space="0"/>
              <w:right w:val="single" w:color="auto" w:sz="4" w:space="0"/>
            </w:tcBorders>
            <w:vAlign w:val="center"/>
          </w:tcPr>
          <w:p w14:paraId="7A11A367">
            <w:pPr>
              <w:pStyle w:val="3127"/>
              <w:rPr>
                <w:color w:val="auto"/>
              </w:rPr>
            </w:pPr>
          </w:p>
        </w:tc>
        <w:tc>
          <w:tcPr>
            <w:tcW w:w="738" w:type="pct"/>
            <w:tcBorders>
              <w:top w:val="nil"/>
              <w:left w:val="nil"/>
              <w:bottom w:val="single" w:color="auto" w:sz="4" w:space="0"/>
              <w:right w:val="single" w:color="auto" w:sz="4" w:space="0"/>
            </w:tcBorders>
            <w:shd w:val="clear" w:color="auto" w:fill="auto"/>
            <w:vAlign w:val="center"/>
          </w:tcPr>
          <w:p w14:paraId="4F704106">
            <w:pPr>
              <w:pStyle w:val="276"/>
              <w:rPr>
                <w:color w:val="auto"/>
              </w:rPr>
            </w:pPr>
            <w:r>
              <w:rPr>
                <w:rFonts w:hint="eastAsia"/>
                <w:color w:val="auto"/>
              </w:rPr>
              <w:t>生活垃圾</w:t>
            </w:r>
          </w:p>
        </w:tc>
        <w:tc>
          <w:tcPr>
            <w:tcW w:w="477" w:type="pct"/>
            <w:tcBorders>
              <w:top w:val="nil"/>
              <w:left w:val="nil"/>
              <w:bottom w:val="single" w:color="auto" w:sz="4" w:space="0"/>
              <w:right w:val="single" w:color="auto" w:sz="4" w:space="0"/>
            </w:tcBorders>
            <w:shd w:val="clear" w:color="auto" w:fill="auto"/>
            <w:noWrap/>
            <w:vAlign w:val="center"/>
          </w:tcPr>
          <w:p w14:paraId="10974F0F">
            <w:pPr>
              <w:pStyle w:val="3127"/>
              <w:rPr>
                <w:color w:val="auto"/>
              </w:rPr>
            </w:pPr>
            <w:r>
              <w:rPr>
                <w:rFonts w:hint="eastAsia"/>
                <w:color w:val="auto"/>
              </w:rPr>
              <w:t>t/a</w:t>
            </w:r>
          </w:p>
        </w:tc>
        <w:tc>
          <w:tcPr>
            <w:tcW w:w="642" w:type="pct"/>
            <w:tcBorders>
              <w:top w:val="nil"/>
              <w:left w:val="nil"/>
              <w:bottom w:val="single" w:color="auto" w:sz="4" w:space="0"/>
              <w:right w:val="single" w:color="auto" w:sz="4" w:space="0"/>
            </w:tcBorders>
            <w:shd w:val="clear" w:color="auto" w:fill="auto"/>
            <w:vAlign w:val="center"/>
          </w:tcPr>
          <w:p w14:paraId="2F98C9D7">
            <w:pPr>
              <w:pStyle w:val="276"/>
              <w:rPr>
                <w:color w:val="auto"/>
              </w:rPr>
            </w:pPr>
            <w:r>
              <w:rPr>
                <w:rFonts w:hint="eastAsia"/>
                <w:color w:val="auto"/>
              </w:rPr>
              <w:t>3</w:t>
            </w:r>
          </w:p>
        </w:tc>
        <w:tc>
          <w:tcPr>
            <w:tcW w:w="647" w:type="pct"/>
            <w:tcBorders>
              <w:top w:val="nil"/>
              <w:left w:val="nil"/>
              <w:bottom w:val="single" w:color="auto" w:sz="4" w:space="0"/>
              <w:right w:val="single" w:color="auto" w:sz="4" w:space="0"/>
            </w:tcBorders>
            <w:shd w:val="clear" w:color="auto" w:fill="auto"/>
            <w:vAlign w:val="center"/>
          </w:tcPr>
          <w:p w14:paraId="75801523">
            <w:pPr>
              <w:pStyle w:val="276"/>
              <w:rPr>
                <w:color w:val="auto"/>
              </w:rPr>
            </w:pPr>
            <w:r>
              <w:rPr>
                <w:rFonts w:hint="eastAsia"/>
                <w:color w:val="auto"/>
              </w:rPr>
              <w:t>3</w:t>
            </w:r>
          </w:p>
        </w:tc>
        <w:tc>
          <w:tcPr>
            <w:tcW w:w="647" w:type="pct"/>
            <w:tcBorders>
              <w:top w:val="nil"/>
              <w:left w:val="nil"/>
              <w:bottom w:val="single" w:color="auto" w:sz="4" w:space="0"/>
              <w:right w:val="single" w:color="auto" w:sz="4" w:space="0"/>
            </w:tcBorders>
            <w:shd w:val="clear" w:color="auto" w:fill="auto"/>
            <w:noWrap/>
            <w:vAlign w:val="center"/>
          </w:tcPr>
          <w:p w14:paraId="197A9A81">
            <w:pPr>
              <w:pStyle w:val="3127"/>
              <w:rPr>
                <w:color w:val="auto"/>
              </w:rPr>
            </w:pPr>
            <w:r>
              <w:rPr>
                <w:rFonts w:hint="eastAsia"/>
                <w:color w:val="auto"/>
              </w:rPr>
              <w:t>0</w:t>
            </w:r>
          </w:p>
        </w:tc>
        <w:tc>
          <w:tcPr>
            <w:tcW w:w="1031" w:type="pct"/>
            <w:tcBorders>
              <w:top w:val="nil"/>
              <w:left w:val="nil"/>
              <w:bottom w:val="single" w:color="auto" w:sz="4" w:space="0"/>
              <w:right w:val="single" w:color="auto" w:sz="4" w:space="0"/>
            </w:tcBorders>
            <w:shd w:val="clear" w:color="auto" w:fill="auto"/>
            <w:vAlign w:val="center"/>
          </w:tcPr>
          <w:p w14:paraId="2C159880">
            <w:pPr>
              <w:pStyle w:val="276"/>
              <w:rPr>
                <w:color w:val="auto"/>
              </w:rPr>
            </w:pPr>
            <w:r>
              <w:rPr>
                <w:rFonts w:hint="eastAsia"/>
                <w:color w:val="auto"/>
              </w:rPr>
              <w:t>交环卫部门统一处置</w:t>
            </w:r>
          </w:p>
        </w:tc>
      </w:tr>
    </w:tbl>
    <w:p w14:paraId="3655F89E">
      <w:pPr>
        <w:ind w:firstLine="480"/>
        <w:rPr>
          <w:color w:val="auto"/>
          <w:lang w:val="zh-CN"/>
        </w:rPr>
      </w:pPr>
    </w:p>
    <w:p w14:paraId="5A87FEFF">
      <w:pPr>
        <w:pStyle w:val="4"/>
        <w:numPr>
          <w:ilvl w:val="0"/>
          <w:numId w:val="0"/>
        </w:numPr>
        <w:rPr>
          <w:color w:val="auto"/>
        </w:rPr>
      </w:pPr>
      <w:bookmarkStart w:id="161" w:name="_Toc31699"/>
      <w:r>
        <w:rPr>
          <w:rFonts w:hint="eastAsia"/>
          <w:color w:val="auto"/>
        </w:rPr>
        <w:t>3</w:t>
      </w:r>
      <w:r>
        <w:rPr>
          <w:color w:val="auto"/>
        </w:rPr>
        <w:t>.15非正常排污分析</w:t>
      </w:r>
      <w:bookmarkEnd w:id="158"/>
      <w:bookmarkEnd w:id="159"/>
      <w:bookmarkEnd w:id="160"/>
      <w:bookmarkEnd w:id="161"/>
    </w:p>
    <w:p w14:paraId="4F7DB205">
      <w:pPr>
        <w:ind w:firstLine="480"/>
        <w:rPr>
          <w:color w:val="auto"/>
        </w:rPr>
      </w:pPr>
      <w:r>
        <w:rPr>
          <w:color w:val="auto"/>
        </w:rPr>
        <w:t>污水处理厂非正常排放主要有以下几种情况：A、设备设施事故或故障，由于人为操作失误、停电或某处理单元故障导致污水超越构筑物直接排放；B、工艺处理原因，由于参数条件达不到设计指标要求，导致超标排放。</w:t>
      </w:r>
    </w:p>
    <w:p w14:paraId="1D8504AD">
      <w:pPr>
        <w:ind w:firstLine="480"/>
        <w:rPr>
          <w:color w:val="auto"/>
        </w:rPr>
      </w:pPr>
      <w:r>
        <w:rPr>
          <w:rFonts w:hint="eastAsia"/>
          <w:color w:val="auto"/>
        </w:rPr>
        <w:t>（1）废水</w:t>
      </w:r>
    </w:p>
    <w:p w14:paraId="7A5FF1AF">
      <w:pPr>
        <w:ind w:firstLine="480"/>
        <w:rPr>
          <w:color w:val="auto"/>
        </w:rPr>
      </w:pPr>
      <w:r>
        <w:rPr>
          <w:color w:val="auto"/>
        </w:rPr>
        <w:t>本评价主要</w:t>
      </w:r>
      <w:r>
        <w:rPr>
          <w:rFonts w:hint="eastAsia"/>
          <w:color w:val="auto"/>
        </w:rPr>
        <w:t>考虑极端情况，全部处理设施</w:t>
      </w:r>
      <w:r>
        <w:rPr>
          <w:color w:val="auto"/>
        </w:rPr>
        <w:t>处理效率</w:t>
      </w:r>
      <w:r>
        <w:rPr>
          <w:rFonts w:hint="eastAsia"/>
          <w:color w:val="auto"/>
        </w:rPr>
        <w:t>下降</w:t>
      </w:r>
      <w:r>
        <w:rPr>
          <w:color w:val="auto"/>
        </w:rPr>
        <w:t>为0的情况。在这种非正常排放情况下，废水非正常情况下污染物排放</w:t>
      </w:r>
      <w:r>
        <w:rPr>
          <w:rFonts w:hint="eastAsia"/>
          <w:color w:val="auto"/>
        </w:rPr>
        <w:t>情况</w:t>
      </w:r>
      <w:r>
        <w:rPr>
          <w:color w:val="auto"/>
        </w:rPr>
        <w:t>见表3.15-1。</w:t>
      </w:r>
    </w:p>
    <w:p w14:paraId="7B540DF6">
      <w:pPr>
        <w:ind w:firstLine="482"/>
        <w:jc w:val="center"/>
        <w:rPr>
          <w:b/>
          <w:color w:val="auto"/>
        </w:rPr>
      </w:pPr>
      <w:r>
        <w:rPr>
          <w:b/>
          <w:color w:val="auto"/>
        </w:rPr>
        <w:t>表3.15-1    非正常情况下污染物排放</w:t>
      </w:r>
      <w:r>
        <w:rPr>
          <w:rFonts w:hint="eastAsia"/>
          <w:b/>
          <w:color w:val="auto"/>
        </w:rPr>
        <w:t>情况</w:t>
      </w:r>
    </w:p>
    <w:tbl>
      <w:tblPr>
        <w:tblStyle w:val="88"/>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1285"/>
        <w:gridCol w:w="1657"/>
        <w:gridCol w:w="1657"/>
        <w:gridCol w:w="1655"/>
        <w:gridCol w:w="1651"/>
      </w:tblGrid>
      <w:tr w14:paraId="78FCA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381" w:type="dxa"/>
            <w:vAlign w:val="center"/>
          </w:tcPr>
          <w:p w14:paraId="4F23B21D">
            <w:pPr>
              <w:pStyle w:val="276"/>
              <w:rPr>
                <w:color w:val="auto"/>
              </w:rPr>
            </w:pPr>
            <w:r>
              <w:rPr>
                <w:rFonts w:hint="eastAsia"/>
                <w:color w:val="auto"/>
              </w:rPr>
              <w:t>项目</w:t>
            </w:r>
          </w:p>
        </w:tc>
        <w:tc>
          <w:tcPr>
            <w:tcW w:w="1285" w:type="dxa"/>
            <w:shd w:val="clear" w:color="auto" w:fill="auto"/>
            <w:vAlign w:val="center"/>
          </w:tcPr>
          <w:p w14:paraId="17B7AB4B">
            <w:pPr>
              <w:pStyle w:val="276"/>
              <w:rPr>
                <w:color w:val="auto"/>
              </w:rPr>
            </w:pPr>
            <w:r>
              <w:rPr>
                <w:rFonts w:hint="eastAsia"/>
                <w:color w:val="auto"/>
              </w:rPr>
              <w:t>污染物</w:t>
            </w:r>
          </w:p>
        </w:tc>
        <w:tc>
          <w:tcPr>
            <w:tcW w:w="1657" w:type="dxa"/>
            <w:shd w:val="clear" w:color="auto" w:fill="auto"/>
            <w:vAlign w:val="center"/>
          </w:tcPr>
          <w:p w14:paraId="1666F032">
            <w:pPr>
              <w:pStyle w:val="276"/>
              <w:rPr>
                <w:color w:val="auto"/>
              </w:rPr>
            </w:pPr>
            <w:r>
              <w:rPr>
                <w:rFonts w:hint="eastAsia"/>
                <w:color w:val="auto"/>
              </w:rPr>
              <w:t>进水浓度（mg/L）</w:t>
            </w:r>
          </w:p>
        </w:tc>
        <w:tc>
          <w:tcPr>
            <w:tcW w:w="1657" w:type="dxa"/>
            <w:vAlign w:val="center"/>
          </w:tcPr>
          <w:p w14:paraId="76F4EF16">
            <w:pPr>
              <w:pStyle w:val="276"/>
              <w:rPr>
                <w:color w:val="auto"/>
              </w:rPr>
            </w:pPr>
            <w:r>
              <w:rPr>
                <w:rFonts w:hint="eastAsia"/>
                <w:color w:val="auto"/>
              </w:rPr>
              <w:t>产生量</w:t>
            </w:r>
          </w:p>
          <w:p w14:paraId="6A127E8B">
            <w:pPr>
              <w:pStyle w:val="276"/>
              <w:rPr>
                <w:color w:val="auto"/>
              </w:rPr>
            </w:pPr>
            <w:r>
              <w:rPr>
                <w:rFonts w:hint="eastAsia"/>
                <w:color w:val="auto"/>
                <w:lang w:eastAsia="zh-CN"/>
              </w:rPr>
              <w:t>(</w:t>
            </w:r>
            <w:r>
              <w:rPr>
                <w:rFonts w:hint="eastAsia"/>
                <w:color w:val="auto"/>
                <w:lang w:val="en-US"/>
              </w:rPr>
              <w:t>kg</w:t>
            </w:r>
            <w:r>
              <w:rPr>
                <w:rFonts w:hint="eastAsia"/>
                <w:color w:val="auto"/>
              </w:rPr>
              <w:t>/</w:t>
            </w:r>
            <w:r>
              <w:rPr>
                <w:rFonts w:hint="eastAsia"/>
                <w:color w:val="auto"/>
                <w:lang w:val="en-US"/>
              </w:rPr>
              <w:t>d</w:t>
            </w:r>
            <w:r>
              <w:rPr>
                <w:rFonts w:hint="eastAsia"/>
                <w:color w:val="auto"/>
                <w:lang w:val="en-US" w:eastAsia="zh-CN"/>
              </w:rPr>
              <w:t>)</w:t>
            </w:r>
          </w:p>
        </w:tc>
        <w:tc>
          <w:tcPr>
            <w:tcW w:w="1655" w:type="dxa"/>
            <w:shd w:val="clear" w:color="auto" w:fill="auto"/>
            <w:vAlign w:val="center"/>
          </w:tcPr>
          <w:p w14:paraId="6A10255E">
            <w:pPr>
              <w:pStyle w:val="276"/>
              <w:rPr>
                <w:color w:val="auto"/>
              </w:rPr>
            </w:pPr>
            <w:r>
              <w:rPr>
                <w:rFonts w:hint="eastAsia"/>
                <w:color w:val="auto"/>
              </w:rPr>
              <w:t>出水浓度（mg/L）</w:t>
            </w:r>
          </w:p>
        </w:tc>
        <w:tc>
          <w:tcPr>
            <w:tcW w:w="1651" w:type="dxa"/>
            <w:vAlign w:val="center"/>
          </w:tcPr>
          <w:p w14:paraId="41226370">
            <w:pPr>
              <w:pStyle w:val="276"/>
              <w:rPr>
                <w:color w:val="auto"/>
              </w:rPr>
            </w:pPr>
            <w:r>
              <w:rPr>
                <w:rFonts w:hint="eastAsia"/>
                <w:color w:val="auto"/>
              </w:rPr>
              <w:t>排放量</w:t>
            </w:r>
          </w:p>
          <w:p w14:paraId="6D166173">
            <w:pPr>
              <w:pStyle w:val="276"/>
              <w:rPr>
                <w:color w:val="auto"/>
              </w:rPr>
            </w:pPr>
            <w:r>
              <w:rPr>
                <w:rFonts w:hint="eastAsia"/>
                <w:color w:val="auto"/>
                <w:lang w:eastAsia="zh-CN"/>
              </w:rPr>
              <w:t>(</w:t>
            </w:r>
            <w:r>
              <w:rPr>
                <w:rFonts w:hint="eastAsia"/>
                <w:color w:val="auto"/>
              </w:rPr>
              <w:t>t/a</w:t>
            </w:r>
            <w:r>
              <w:rPr>
                <w:rFonts w:hint="eastAsia"/>
                <w:color w:val="auto"/>
                <w:lang w:eastAsia="zh-CN"/>
              </w:rPr>
              <w:t>)</w:t>
            </w:r>
          </w:p>
        </w:tc>
      </w:tr>
      <w:tr w14:paraId="72F4E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exact"/>
          <w:jc w:val="center"/>
        </w:trPr>
        <w:tc>
          <w:tcPr>
            <w:tcW w:w="1381" w:type="dxa"/>
            <w:vMerge w:val="restart"/>
            <w:vAlign w:val="center"/>
          </w:tcPr>
          <w:p w14:paraId="1F0F977E">
            <w:pPr>
              <w:pStyle w:val="276"/>
              <w:rPr>
                <w:color w:val="auto"/>
              </w:rPr>
            </w:pPr>
            <w:r>
              <w:rPr>
                <w:rFonts w:hint="eastAsia"/>
                <w:color w:val="auto"/>
              </w:rPr>
              <w:t>全厂</w:t>
            </w:r>
            <w:r>
              <w:rPr>
                <w:rFonts w:hint="eastAsia"/>
                <w:color w:val="auto"/>
                <w:lang w:val="en-US"/>
              </w:rPr>
              <w:t>20</w:t>
            </w:r>
            <w:r>
              <w:rPr>
                <w:rFonts w:hint="eastAsia"/>
                <w:color w:val="auto"/>
              </w:rPr>
              <w:t>00m</w:t>
            </w:r>
            <w:r>
              <w:rPr>
                <w:rFonts w:hint="eastAsia"/>
                <w:color w:val="auto"/>
                <w:vertAlign w:val="superscript"/>
              </w:rPr>
              <w:t>3</w:t>
            </w:r>
            <w:r>
              <w:rPr>
                <w:rFonts w:hint="eastAsia"/>
                <w:color w:val="auto"/>
              </w:rPr>
              <w:t>/d</w:t>
            </w:r>
          </w:p>
        </w:tc>
        <w:tc>
          <w:tcPr>
            <w:tcW w:w="1285" w:type="dxa"/>
            <w:shd w:val="clear" w:color="auto" w:fill="auto"/>
            <w:vAlign w:val="center"/>
          </w:tcPr>
          <w:p w14:paraId="1B949C23">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pH</w:t>
            </w:r>
            <w:r>
              <w:rPr>
                <w:rFonts w:hint="eastAsia" w:ascii="宋体" w:hAnsi="宋体"/>
                <w:color w:val="auto"/>
                <w:kern w:val="0"/>
                <w:sz w:val="21"/>
                <w:szCs w:val="21"/>
              </w:rPr>
              <w:t>（无量纲）</w:t>
            </w:r>
          </w:p>
        </w:tc>
        <w:tc>
          <w:tcPr>
            <w:tcW w:w="1657" w:type="dxa"/>
            <w:shd w:val="clear" w:color="auto" w:fill="auto"/>
            <w:vAlign w:val="center"/>
          </w:tcPr>
          <w:p w14:paraId="3DCE505E">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6~13</w:t>
            </w:r>
          </w:p>
        </w:tc>
        <w:tc>
          <w:tcPr>
            <w:tcW w:w="1657" w:type="dxa"/>
            <w:vAlign w:val="center"/>
          </w:tcPr>
          <w:p w14:paraId="23972F9F">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w:t>
            </w:r>
          </w:p>
        </w:tc>
        <w:tc>
          <w:tcPr>
            <w:tcW w:w="1655" w:type="dxa"/>
            <w:shd w:val="clear" w:color="auto" w:fill="auto"/>
            <w:vAlign w:val="center"/>
          </w:tcPr>
          <w:p w14:paraId="1701EB85">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6~13</w:t>
            </w:r>
          </w:p>
        </w:tc>
        <w:tc>
          <w:tcPr>
            <w:tcW w:w="1651" w:type="dxa"/>
            <w:shd w:val="clear" w:color="auto" w:fill="auto"/>
            <w:vAlign w:val="center"/>
          </w:tcPr>
          <w:p w14:paraId="033A975E">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w:t>
            </w:r>
          </w:p>
        </w:tc>
      </w:tr>
      <w:tr w14:paraId="2155C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exact"/>
          <w:jc w:val="center"/>
        </w:trPr>
        <w:tc>
          <w:tcPr>
            <w:tcW w:w="1381" w:type="dxa"/>
            <w:vMerge w:val="continue"/>
            <w:vAlign w:val="center"/>
          </w:tcPr>
          <w:p w14:paraId="01EBE6BC">
            <w:pPr>
              <w:pStyle w:val="276"/>
              <w:rPr>
                <w:color w:val="auto"/>
              </w:rPr>
            </w:pPr>
          </w:p>
        </w:tc>
        <w:tc>
          <w:tcPr>
            <w:tcW w:w="1285" w:type="dxa"/>
            <w:shd w:val="clear" w:color="auto" w:fill="auto"/>
            <w:vAlign w:val="center"/>
          </w:tcPr>
          <w:p w14:paraId="626DD594">
            <w:pPr>
              <w:widowControl/>
              <w:adjustRightInd/>
              <w:snapToGrid/>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色度（稀释倍数）</w:t>
            </w:r>
          </w:p>
        </w:tc>
        <w:tc>
          <w:tcPr>
            <w:tcW w:w="1657" w:type="dxa"/>
            <w:shd w:val="clear" w:color="auto" w:fill="auto"/>
            <w:vAlign w:val="center"/>
          </w:tcPr>
          <w:p w14:paraId="10F10532">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200</w:t>
            </w:r>
          </w:p>
        </w:tc>
        <w:tc>
          <w:tcPr>
            <w:tcW w:w="1657" w:type="dxa"/>
            <w:vAlign w:val="center"/>
          </w:tcPr>
          <w:p w14:paraId="328BB46A">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w:t>
            </w:r>
          </w:p>
        </w:tc>
        <w:tc>
          <w:tcPr>
            <w:tcW w:w="1655" w:type="dxa"/>
            <w:shd w:val="clear" w:color="auto" w:fill="auto"/>
            <w:vAlign w:val="center"/>
          </w:tcPr>
          <w:p w14:paraId="75653979">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200</w:t>
            </w:r>
          </w:p>
        </w:tc>
        <w:tc>
          <w:tcPr>
            <w:tcW w:w="1651" w:type="dxa"/>
            <w:shd w:val="clear" w:color="auto" w:fill="auto"/>
            <w:vAlign w:val="center"/>
          </w:tcPr>
          <w:p w14:paraId="1D09DA1D">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w:t>
            </w:r>
          </w:p>
        </w:tc>
      </w:tr>
      <w:tr w14:paraId="5BF91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exact"/>
          <w:jc w:val="center"/>
        </w:trPr>
        <w:tc>
          <w:tcPr>
            <w:tcW w:w="1381" w:type="dxa"/>
            <w:vMerge w:val="continue"/>
            <w:vAlign w:val="center"/>
          </w:tcPr>
          <w:p w14:paraId="59343CA8">
            <w:pPr>
              <w:pStyle w:val="276"/>
              <w:rPr>
                <w:color w:val="auto"/>
              </w:rPr>
            </w:pPr>
          </w:p>
        </w:tc>
        <w:tc>
          <w:tcPr>
            <w:tcW w:w="1285" w:type="dxa"/>
            <w:shd w:val="clear" w:color="auto" w:fill="auto"/>
            <w:vAlign w:val="center"/>
          </w:tcPr>
          <w:p w14:paraId="7036A1C8">
            <w:pPr>
              <w:widowControl/>
              <w:adjustRightInd/>
              <w:snapToGrid/>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悬浮物（</w:t>
            </w:r>
            <w:r>
              <w:rPr>
                <w:rFonts w:hint="eastAsia"/>
                <w:color w:val="auto"/>
                <w:kern w:val="0"/>
                <w:sz w:val="21"/>
                <w:szCs w:val="21"/>
              </w:rPr>
              <w:t>SS</w:t>
            </w:r>
            <w:r>
              <w:rPr>
                <w:rFonts w:hint="eastAsia" w:ascii="宋体" w:hAnsi="宋体" w:cs="宋体"/>
                <w:color w:val="auto"/>
                <w:kern w:val="0"/>
                <w:sz w:val="21"/>
                <w:szCs w:val="21"/>
              </w:rPr>
              <w:t>）</w:t>
            </w:r>
          </w:p>
        </w:tc>
        <w:tc>
          <w:tcPr>
            <w:tcW w:w="1657" w:type="dxa"/>
            <w:shd w:val="clear" w:color="auto" w:fill="auto"/>
            <w:vAlign w:val="center"/>
          </w:tcPr>
          <w:p w14:paraId="335C8E42">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500</w:t>
            </w:r>
          </w:p>
        </w:tc>
        <w:tc>
          <w:tcPr>
            <w:tcW w:w="1657" w:type="dxa"/>
            <w:shd w:val="clear" w:color="auto" w:fill="auto"/>
            <w:vAlign w:val="center"/>
          </w:tcPr>
          <w:p w14:paraId="451E913A">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1000</w:t>
            </w:r>
          </w:p>
        </w:tc>
        <w:tc>
          <w:tcPr>
            <w:tcW w:w="1655" w:type="dxa"/>
            <w:shd w:val="clear" w:color="auto" w:fill="auto"/>
            <w:vAlign w:val="center"/>
          </w:tcPr>
          <w:p w14:paraId="1F32D4CF">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500</w:t>
            </w:r>
          </w:p>
        </w:tc>
        <w:tc>
          <w:tcPr>
            <w:tcW w:w="1651" w:type="dxa"/>
            <w:shd w:val="clear" w:color="auto" w:fill="auto"/>
            <w:vAlign w:val="center"/>
          </w:tcPr>
          <w:p w14:paraId="49B72C7A">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1000</w:t>
            </w:r>
          </w:p>
        </w:tc>
      </w:tr>
      <w:tr w14:paraId="713B3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exact"/>
          <w:jc w:val="center"/>
        </w:trPr>
        <w:tc>
          <w:tcPr>
            <w:tcW w:w="1381" w:type="dxa"/>
            <w:vMerge w:val="continue"/>
            <w:vAlign w:val="center"/>
          </w:tcPr>
          <w:p w14:paraId="20103216">
            <w:pPr>
              <w:pStyle w:val="276"/>
              <w:rPr>
                <w:color w:val="auto"/>
              </w:rPr>
            </w:pPr>
          </w:p>
        </w:tc>
        <w:tc>
          <w:tcPr>
            <w:tcW w:w="1285" w:type="dxa"/>
            <w:shd w:val="clear" w:color="auto" w:fill="auto"/>
            <w:vAlign w:val="center"/>
          </w:tcPr>
          <w:p w14:paraId="4A177864">
            <w:pPr>
              <w:widowControl/>
              <w:adjustRightInd/>
              <w:snapToGrid/>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化学需氧量（</w:t>
            </w:r>
            <w:r>
              <w:rPr>
                <w:rFonts w:hint="eastAsia"/>
                <w:color w:val="auto"/>
                <w:kern w:val="0"/>
                <w:sz w:val="21"/>
                <w:szCs w:val="21"/>
              </w:rPr>
              <w:t>COD</w:t>
            </w:r>
            <w:r>
              <w:rPr>
                <w:rFonts w:hint="eastAsia" w:ascii="宋体" w:hAnsi="宋体" w:cs="宋体"/>
                <w:color w:val="auto"/>
                <w:kern w:val="0"/>
                <w:sz w:val="21"/>
                <w:szCs w:val="21"/>
              </w:rPr>
              <w:t>）</w:t>
            </w:r>
          </w:p>
        </w:tc>
        <w:tc>
          <w:tcPr>
            <w:tcW w:w="1657" w:type="dxa"/>
            <w:shd w:val="clear" w:color="auto" w:fill="auto"/>
            <w:vAlign w:val="center"/>
          </w:tcPr>
          <w:p w14:paraId="480BEC80">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2000</w:t>
            </w:r>
          </w:p>
        </w:tc>
        <w:tc>
          <w:tcPr>
            <w:tcW w:w="1657" w:type="dxa"/>
            <w:shd w:val="clear" w:color="auto" w:fill="auto"/>
            <w:vAlign w:val="center"/>
          </w:tcPr>
          <w:p w14:paraId="21911671">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4000</w:t>
            </w:r>
          </w:p>
        </w:tc>
        <w:tc>
          <w:tcPr>
            <w:tcW w:w="1655" w:type="dxa"/>
            <w:shd w:val="clear" w:color="auto" w:fill="auto"/>
            <w:vAlign w:val="center"/>
          </w:tcPr>
          <w:p w14:paraId="65E652CC">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2000</w:t>
            </w:r>
          </w:p>
        </w:tc>
        <w:tc>
          <w:tcPr>
            <w:tcW w:w="1651" w:type="dxa"/>
            <w:shd w:val="clear" w:color="auto" w:fill="auto"/>
            <w:vAlign w:val="center"/>
          </w:tcPr>
          <w:p w14:paraId="3FFA9D66">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4000</w:t>
            </w:r>
          </w:p>
        </w:tc>
      </w:tr>
      <w:tr w14:paraId="44F26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exact"/>
          <w:jc w:val="center"/>
        </w:trPr>
        <w:tc>
          <w:tcPr>
            <w:tcW w:w="1381" w:type="dxa"/>
            <w:vMerge w:val="continue"/>
            <w:vAlign w:val="center"/>
          </w:tcPr>
          <w:p w14:paraId="5B3DB0F6">
            <w:pPr>
              <w:pStyle w:val="276"/>
              <w:rPr>
                <w:color w:val="auto"/>
              </w:rPr>
            </w:pPr>
          </w:p>
        </w:tc>
        <w:tc>
          <w:tcPr>
            <w:tcW w:w="1285" w:type="dxa"/>
            <w:shd w:val="clear" w:color="auto" w:fill="auto"/>
            <w:vAlign w:val="center"/>
          </w:tcPr>
          <w:p w14:paraId="43633FC9">
            <w:pPr>
              <w:widowControl/>
              <w:adjustRightInd/>
              <w:snapToGrid/>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五日生化需氧量</w:t>
            </w:r>
          </w:p>
        </w:tc>
        <w:tc>
          <w:tcPr>
            <w:tcW w:w="1657" w:type="dxa"/>
            <w:shd w:val="clear" w:color="auto" w:fill="auto"/>
            <w:vAlign w:val="center"/>
          </w:tcPr>
          <w:p w14:paraId="48DFC907">
            <w:pPr>
              <w:widowControl/>
              <w:adjustRightInd/>
              <w:snapToGrid/>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hint="eastAsia"/>
                <w:color w:val="auto"/>
                <w:kern w:val="0"/>
                <w:sz w:val="21"/>
                <w:szCs w:val="21"/>
              </w:rPr>
              <w:t>500</w:t>
            </w:r>
          </w:p>
        </w:tc>
        <w:tc>
          <w:tcPr>
            <w:tcW w:w="1657" w:type="dxa"/>
            <w:shd w:val="clear" w:color="auto" w:fill="auto"/>
            <w:vAlign w:val="center"/>
          </w:tcPr>
          <w:p w14:paraId="32DCD3C1">
            <w:pPr>
              <w:widowControl/>
              <w:adjustRightInd/>
              <w:snapToGrid/>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hint="eastAsia"/>
                <w:color w:val="auto"/>
                <w:kern w:val="0"/>
                <w:sz w:val="21"/>
                <w:szCs w:val="21"/>
              </w:rPr>
              <w:t>1000</w:t>
            </w:r>
          </w:p>
        </w:tc>
        <w:tc>
          <w:tcPr>
            <w:tcW w:w="1655" w:type="dxa"/>
            <w:shd w:val="clear" w:color="auto" w:fill="auto"/>
            <w:vAlign w:val="center"/>
          </w:tcPr>
          <w:p w14:paraId="3354A356">
            <w:pPr>
              <w:widowControl/>
              <w:adjustRightInd/>
              <w:snapToGrid/>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hint="eastAsia"/>
                <w:color w:val="auto"/>
                <w:kern w:val="0"/>
                <w:sz w:val="21"/>
                <w:szCs w:val="21"/>
              </w:rPr>
              <w:t>500</w:t>
            </w:r>
          </w:p>
        </w:tc>
        <w:tc>
          <w:tcPr>
            <w:tcW w:w="1651" w:type="dxa"/>
            <w:shd w:val="clear" w:color="auto" w:fill="auto"/>
            <w:vAlign w:val="center"/>
          </w:tcPr>
          <w:p w14:paraId="37948C48">
            <w:pPr>
              <w:widowControl/>
              <w:adjustRightInd/>
              <w:snapToGrid/>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hint="eastAsia"/>
                <w:color w:val="auto"/>
                <w:kern w:val="0"/>
                <w:sz w:val="21"/>
                <w:szCs w:val="21"/>
              </w:rPr>
              <w:t>1000</w:t>
            </w:r>
          </w:p>
        </w:tc>
      </w:tr>
      <w:tr w14:paraId="22272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exact"/>
          <w:jc w:val="center"/>
        </w:trPr>
        <w:tc>
          <w:tcPr>
            <w:tcW w:w="1381" w:type="dxa"/>
            <w:vMerge w:val="continue"/>
            <w:vAlign w:val="center"/>
          </w:tcPr>
          <w:p w14:paraId="70DFF42C">
            <w:pPr>
              <w:pStyle w:val="276"/>
              <w:rPr>
                <w:color w:val="auto"/>
              </w:rPr>
            </w:pPr>
          </w:p>
        </w:tc>
        <w:tc>
          <w:tcPr>
            <w:tcW w:w="1285" w:type="dxa"/>
            <w:shd w:val="clear" w:color="auto" w:fill="auto"/>
            <w:vAlign w:val="center"/>
          </w:tcPr>
          <w:p w14:paraId="760A81C7">
            <w:pPr>
              <w:widowControl/>
              <w:adjustRightInd/>
              <w:snapToGrid/>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氨氮（以</w:t>
            </w:r>
            <w:r>
              <w:rPr>
                <w:rFonts w:hint="eastAsia"/>
                <w:color w:val="auto"/>
                <w:kern w:val="0"/>
                <w:sz w:val="21"/>
                <w:szCs w:val="21"/>
              </w:rPr>
              <w:t>N</w:t>
            </w:r>
            <w:r>
              <w:rPr>
                <w:rFonts w:hint="eastAsia" w:ascii="宋体" w:hAnsi="宋体" w:cs="宋体"/>
                <w:color w:val="auto"/>
                <w:kern w:val="0"/>
                <w:sz w:val="21"/>
                <w:szCs w:val="21"/>
              </w:rPr>
              <w:t>计）</w:t>
            </w:r>
          </w:p>
        </w:tc>
        <w:tc>
          <w:tcPr>
            <w:tcW w:w="1657" w:type="dxa"/>
            <w:shd w:val="clear" w:color="auto" w:fill="auto"/>
            <w:vAlign w:val="center"/>
          </w:tcPr>
          <w:p w14:paraId="45723A30">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100</w:t>
            </w:r>
          </w:p>
        </w:tc>
        <w:tc>
          <w:tcPr>
            <w:tcW w:w="1657" w:type="dxa"/>
            <w:shd w:val="clear" w:color="auto" w:fill="auto"/>
            <w:vAlign w:val="center"/>
          </w:tcPr>
          <w:p w14:paraId="08294FFA">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200</w:t>
            </w:r>
          </w:p>
        </w:tc>
        <w:tc>
          <w:tcPr>
            <w:tcW w:w="1655" w:type="dxa"/>
            <w:shd w:val="clear" w:color="auto" w:fill="auto"/>
            <w:vAlign w:val="center"/>
          </w:tcPr>
          <w:p w14:paraId="1B34EBEB">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100</w:t>
            </w:r>
          </w:p>
        </w:tc>
        <w:tc>
          <w:tcPr>
            <w:tcW w:w="1651" w:type="dxa"/>
            <w:shd w:val="clear" w:color="auto" w:fill="auto"/>
            <w:vAlign w:val="center"/>
          </w:tcPr>
          <w:p w14:paraId="1BA16D95">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200</w:t>
            </w:r>
          </w:p>
        </w:tc>
      </w:tr>
      <w:tr w14:paraId="27FC7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exact"/>
          <w:jc w:val="center"/>
        </w:trPr>
        <w:tc>
          <w:tcPr>
            <w:tcW w:w="1381" w:type="dxa"/>
            <w:vMerge w:val="continue"/>
            <w:vAlign w:val="center"/>
          </w:tcPr>
          <w:p w14:paraId="7645949A">
            <w:pPr>
              <w:pStyle w:val="276"/>
              <w:rPr>
                <w:color w:val="auto"/>
              </w:rPr>
            </w:pPr>
          </w:p>
        </w:tc>
        <w:tc>
          <w:tcPr>
            <w:tcW w:w="1285" w:type="dxa"/>
            <w:shd w:val="clear" w:color="auto" w:fill="auto"/>
            <w:vAlign w:val="center"/>
          </w:tcPr>
          <w:p w14:paraId="48258DC8">
            <w:pPr>
              <w:widowControl/>
              <w:adjustRightInd/>
              <w:snapToGrid/>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总氮（以</w:t>
            </w:r>
            <w:r>
              <w:rPr>
                <w:rFonts w:hint="eastAsia"/>
                <w:color w:val="auto"/>
                <w:kern w:val="0"/>
                <w:sz w:val="21"/>
                <w:szCs w:val="21"/>
              </w:rPr>
              <w:t>N</w:t>
            </w:r>
            <w:r>
              <w:rPr>
                <w:rFonts w:hint="eastAsia" w:ascii="宋体" w:hAnsi="宋体" w:cs="宋体"/>
                <w:color w:val="auto"/>
                <w:kern w:val="0"/>
                <w:sz w:val="21"/>
                <w:szCs w:val="21"/>
              </w:rPr>
              <w:t>计）</w:t>
            </w:r>
          </w:p>
        </w:tc>
        <w:tc>
          <w:tcPr>
            <w:tcW w:w="1657" w:type="dxa"/>
            <w:shd w:val="clear" w:color="auto" w:fill="auto"/>
            <w:vAlign w:val="center"/>
          </w:tcPr>
          <w:p w14:paraId="007EF28E">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200</w:t>
            </w:r>
          </w:p>
        </w:tc>
        <w:tc>
          <w:tcPr>
            <w:tcW w:w="1657" w:type="dxa"/>
            <w:shd w:val="clear" w:color="auto" w:fill="auto"/>
            <w:vAlign w:val="center"/>
          </w:tcPr>
          <w:p w14:paraId="28734AE7">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400</w:t>
            </w:r>
          </w:p>
        </w:tc>
        <w:tc>
          <w:tcPr>
            <w:tcW w:w="1655" w:type="dxa"/>
            <w:shd w:val="clear" w:color="auto" w:fill="auto"/>
            <w:vAlign w:val="center"/>
          </w:tcPr>
          <w:p w14:paraId="41F68875">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200</w:t>
            </w:r>
          </w:p>
        </w:tc>
        <w:tc>
          <w:tcPr>
            <w:tcW w:w="1651" w:type="dxa"/>
            <w:shd w:val="clear" w:color="auto" w:fill="auto"/>
            <w:vAlign w:val="center"/>
          </w:tcPr>
          <w:p w14:paraId="2F1AF9DE">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400</w:t>
            </w:r>
          </w:p>
        </w:tc>
      </w:tr>
      <w:tr w14:paraId="452B4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exact"/>
          <w:jc w:val="center"/>
        </w:trPr>
        <w:tc>
          <w:tcPr>
            <w:tcW w:w="1381" w:type="dxa"/>
            <w:vMerge w:val="continue"/>
            <w:vAlign w:val="center"/>
          </w:tcPr>
          <w:p w14:paraId="0AF1281D">
            <w:pPr>
              <w:pStyle w:val="276"/>
              <w:rPr>
                <w:color w:val="auto"/>
              </w:rPr>
            </w:pPr>
          </w:p>
        </w:tc>
        <w:tc>
          <w:tcPr>
            <w:tcW w:w="1285" w:type="dxa"/>
            <w:shd w:val="clear" w:color="auto" w:fill="auto"/>
            <w:vAlign w:val="center"/>
          </w:tcPr>
          <w:p w14:paraId="6854B2C4">
            <w:pPr>
              <w:widowControl/>
              <w:adjustRightInd/>
              <w:snapToGrid/>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总磷（以</w:t>
            </w:r>
            <w:r>
              <w:rPr>
                <w:rFonts w:hint="eastAsia"/>
                <w:color w:val="auto"/>
                <w:kern w:val="0"/>
                <w:sz w:val="21"/>
                <w:szCs w:val="21"/>
              </w:rPr>
              <w:t>P</w:t>
            </w:r>
            <w:r>
              <w:rPr>
                <w:rFonts w:hint="eastAsia" w:ascii="宋体" w:hAnsi="宋体" w:cs="宋体"/>
                <w:color w:val="auto"/>
                <w:kern w:val="0"/>
                <w:sz w:val="21"/>
                <w:szCs w:val="21"/>
              </w:rPr>
              <w:t>计）</w:t>
            </w:r>
          </w:p>
        </w:tc>
        <w:tc>
          <w:tcPr>
            <w:tcW w:w="1657" w:type="dxa"/>
            <w:shd w:val="clear" w:color="auto" w:fill="auto"/>
            <w:vAlign w:val="center"/>
          </w:tcPr>
          <w:p w14:paraId="55C6F76C">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20</w:t>
            </w:r>
          </w:p>
        </w:tc>
        <w:tc>
          <w:tcPr>
            <w:tcW w:w="1657" w:type="dxa"/>
            <w:shd w:val="clear" w:color="auto" w:fill="auto"/>
            <w:vAlign w:val="center"/>
          </w:tcPr>
          <w:p w14:paraId="13A7BA40">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40</w:t>
            </w:r>
          </w:p>
        </w:tc>
        <w:tc>
          <w:tcPr>
            <w:tcW w:w="1655" w:type="dxa"/>
            <w:shd w:val="clear" w:color="auto" w:fill="auto"/>
            <w:vAlign w:val="center"/>
          </w:tcPr>
          <w:p w14:paraId="0437BE08">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20</w:t>
            </w:r>
          </w:p>
        </w:tc>
        <w:tc>
          <w:tcPr>
            <w:tcW w:w="1651" w:type="dxa"/>
            <w:shd w:val="clear" w:color="auto" w:fill="auto"/>
            <w:vAlign w:val="center"/>
          </w:tcPr>
          <w:p w14:paraId="4EE7D402">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40</w:t>
            </w:r>
          </w:p>
        </w:tc>
      </w:tr>
      <w:tr w14:paraId="7BC30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exact"/>
          <w:jc w:val="center"/>
        </w:trPr>
        <w:tc>
          <w:tcPr>
            <w:tcW w:w="1381" w:type="dxa"/>
            <w:vMerge w:val="continue"/>
          </w:tcPr>
          <w:p w14:paraId="2CE51DE8">
            <w:pPr>
              <w:pStyle w:val="276"/>
              <w:rPr>
                <w:color w:val="auto"/>
              </w:rPr>
            </w:pPr>
          </w:p>
        </w:tc>
        <w:tc>
          <w:tcPr>
            <w:tcW w:w="1285" w:type="dxa"/>
            <w:shd w:val="clear" w:color="auto" w:fill="auto"/>
            <w:vAlign w:val="center"/>
          </w:tcPr>
          <w:p w14:paraId="0167B3CC">
            <w:pPr>
              <w:widowControl/>
              <w:adjustRightInd/>
              <w:snapToGrid/>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总有机碳（</w:t>
            </w:r>
            <w:r>
              <w:rPr>
                <w:rFonts w:hint="eastAsia"/>
                <w:color w:val="auto"/>
                <w:kern w:val="0"/>
                <w:sz w:val="21"/>
                <w:szCs w:val="21"/>
              </w:rPr>
              <w:t>TOC</w:t>
            </w:r>
            <w:r>
              <w:rPr>
                <w:rFonts w:hint="eastAsia" w:ascii="宋体" w:hAnsi="宋体" w:cs="宋体"/>
                <w:color w:val="auto"/>
                <w:kern w:val="0"/>
                <w:sz w:val="21"/>
                <w:szCs w:val="21"/>
              </w:rPr>
              <w:t>）</w:t>
            </w:r>
          </w:p>
        </w:tc>
        <w:tc>
          <w:tcPr>
            <w:tcW w:w="1657" w:type="dxa"/>
            <w:shd w:val="clear" w:color="auto" w:fill="auto"/>
            <w:vAlign w:val="center"/>
          </w:tcPr>
          <w:p w14:paraId="066A26CB">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400</w:t>
            </w:r>
          </w:p>
        </w:tc>
        <w:tc>
          <w:tcPr>
            <w:tcW w:w="1657" w:type="dxa"/>
            <w:shd w:val="clear" w:color="auto" w:fill="auto"/>
            <w:vAlign w:val="center"/>
          </w:tcPr>
          <w:p w14:paraId="1AFF1774">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800</w:t>
            </w:r>
          </w:p>
        </w:tc>
        <w:tc>
          <w:tcPr>
            <w:tcW w:w="1655" w:type="dxa"/>
            <w:shd w:val="clear" w:color="auto" w:fill="auto"/>
            <w:vAlign w:val="center"/>
          </w:tcPr>
          <w:p w14:paraId="5CACA31F">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400</w:t>
            </w:r>
          </w:p>
        </w:tc>
        <w:tc>
          <w:tcPr>
            <w:tcW w:w="1651" w:type="dxa"/>
            <w:shd w:val="clear" w:color="auto" w:fill="auto"/>
            <w:vAlign w:val="center"/>
          </w:tcPr>
          <w:p w14:paraId="3D9E1DDA">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800</w:t>
            </w:r>
          </w:p>
        </w:tc>
      </w:tr>
      <w:tr w14:paraId="13277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exact"/>
          <w:jc w:val="center"/>
        </w:trPr>
        <w:tc>
          <w:tcPr>
            <w:tcW w:w="1381" w:type="dxa"/>
            <w:vMerge w:val="continue"/>
          </w:tcPr>
          <w:p w14:paraId="4B73E629">
            <w:pPr>
              <w:pStyle w:val="276"/>
              <w:rPr>
                <w:color w:val="auto"/>
              </w:rPr>
            </w:pPr>
          </w:p>
        </w:tc>
        <w:tc>
          <w:tcPr>
            <w:tcW w:w="1285" w:type="dxa"/>
            <w:shd w:val="clear" w:color="auto" w:fill="auto"/>
            <w:vAlign w:val="center"/>
          </w:tcPr>
          <w:p w14:paraId="48A0C631">
            <w:pPr>
              <w:widowControl/>
              <w:adjustRightInd/>
              <w:snapToGrid/>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石油类</w:t>
            </w:r>
          </w:p>
        </w:tc>
        <w:tc>
          <w:tcPr>
            <w:tcW w:w="1657" w:type="dxa"/>
            <w:shd w:val="clear" w:color="auto" w:fill="auto"/>
            <w:vAlign w:val="center"/>
          </w:tcPr>
          <w:p w14:paraId="7C890AFF">
            <w:pPr>
              <w:widowControl/>
              <w:adjustRightInd/>
              <w:snapToGrid/>
              <w:spacing w:line="240" w:lineRule="auto"/>
              <w:ind w:firstLine="0" w:firstLineChars="0"/>
              <w:jc w:val="center"/>
              <w:rPr>
                <w:rFonts w:hint="default" w:eastAsia="宋体"/>
                <w:color w:val="auto"/>
                <w:kern w:val="0"/>
                <w:sz w:val="21"/>
                <w:szCs w:val="21"/>
                <w:lang w:val="en-US" w:eastAsia="zh-CN"/>
              </w:rPr>
            </w:pPr>
            <w:r>
              <w:rPr>
                <w:rFonts w:hint="eastAsia"/>
                <w:color w:val="auto"/>
                <w:kern w:val="0"/>
                <w:sz w:val="21"/>
                <w:szCs w:val="21"/>
                <w:lang w:val="en-US" w:eastAsia="zh-CN"/>
              </w:rPr>
              <w:t>100</w:t>
            </w:r>
          </w:p>
        </w:tc>
        <w:tc>
          <w:tcPr>
            <w:tcW w:w="1657" w:type="dxa"/>
            <w:shd w:val="clear" w:color="auto" w:fill="auto"/>
            <w:vAlign w:val="center"/>
          </w:tcPr>
          <w:p w14:paraId="3CF7D41F">
            <w:pPr>
              <w:widowControl/>
              <w:adjustRightInd/>
              <w:snapToGrid/>
              <w:spacing w:line="240" w:lineRule="auto"/>
              <w:ind w:firstLine="0" w:firstLineChars="0"/>
              <w:jc w:val="center"/>
              <w:rPr>
                <w:color w:val="auto"/>
                <w:kern w:val="0"/>
                <w:sz w:val="21"/>
                <w:szCs w:val="21"/>
              </w:rPr>
            </w:pPr>
            <w:r>
              <w:rPr>
                <w:rFonts w:hint="eastAsia"/>
                <w:color w:val="auto"/>
                <w:kern w:val="0"/>
                <w:sz w:val="21"/>
                <w:szCs w:val="21"/>
                <w:lang w:val="en-US" w:eastAsia="zh-CN"/>
              </w:rPr>
              <w:t>2</w:t>
            </w:r>
            <w:r>
              <w:rPr>
                <w:rFonts w:hint="eastAsia"/>
                <w:color w:val="auto"/>
                <w:kern w:val="0"/>
                <w:sz w:val="21"/>
                <w:szCs w:val="21"/>
              </w:rPr>
              <w:t>00</w:t>
            </w:r>
          </w:p>
        </w:tc>
        <w:tc>
          <w:tcPr>
            <w:tcW w:w="1655" w:type="dxa"/>
            <w:shd w:val="clear" w:color="auto" w:fill="auto"/>
            <w:vAlign w:val="center"/>
          </w:tcPr>
          <w:p w14:paraId="427D27CF">
            <w:pPr>
              <w:widowControl/>
              <w:adjustRightInd/>
              <w:snapToGrid/>
              <w:spacing w:line="240" w:lineRule="auto"/>
              <w:ind w:firstLine="0" w:firstLineChars="0"/>
              <w:jc w:val="center"/>
              <w:rPr>
                <w:color w:val="auto"/>
                <w:kern w:val="0"/>
                <w:sz w:val="21"/>
                <w:szCs w:val="21"/>
              </w:rPr>
            </w:pPr>
            <w:r>
              <w:rPr>
                <w:rFonts w:hint="eastAsia"/>
                <w:color w:val="auto"/>
                <w:kern w:val="0"/>
                <w:sz w:val="21"/>
                <w:szCs w:val="21"/>
                <w:lang w:val="en-US" w:eastAsia="zh-CN"/>
              </w:rPr>
              <w:t>100</w:t>
            </w:r>
          </w:p>
        </w:tc>
        <w:tc>
          <w:tcPr>
            <w:tcW w:w="1651" w:type="dxa"/>
            <w:shd w:val="clear" w:color="auto" w:fill="auto"/>
            <w:vAlign w:val="center"/>
          </w:tcPr>
          <w:p w14:paraId="2C041D22">
            <w:pPr>
              <w:widowControl/>
              <w:adjustRightInd/>
              <w:snapToGrid/>
              <w:spacing w:line="240" w:lineRule="auto"/>
              <w:ind w:firstLine="0" w:firstLineChars="0"/>
              <w:jc w:val="center"/>
              <w:rPr>
                <w:color w:val="auto"/>
                <w:kern w:val="0"/>
                <w:sz w:val="21"/>
                <w:szCs w:val="21"/>
              </w:rPr>
            </w:pPr>
            <w:r>
              <w:rPr>
                <w:rFonts w:hint="eastAsia"/>
                <w:color w:val="auto"/>
                <w:kern w:val="0"/>
                <w:sz w:val="21"/>
                <w:szCs w:val="21"/>
                <w:lang w:val="en-US" w:eastAsia="zh-CN"/>
              </w:rPr>
              <w:t>2</w:t>
            </w:r>
            <w:r>
              <w:rPr>
                <w:rFonts w:hint="eastAsia"/>
                <w:color w:val="auto"/>
                <w:kern w:val="0"/>
                <w:sz w:val="21"/>
                <w:szCs w:val="21"/>
              </w:rPr>
              <w:t>00</w:t>
            </w:r>
          </w:p>
        </w:tc>
      </w:tr>
      <w:tr w14:paraId="5EF1F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exact"/>
          <w:jc w:val="center"/>
        </w:trPr>
        <w:tc>
          <w:tcPr>
            <w:tcW w:w="1381" w:type="dxa"/>
            <w:vMerge w:val="continue"/>
          </w:tcPr>
          <w:p w14:paraId="282C067B">
            <w:pPr>
              <w:pStyle w:val="276"/>
              <w:rPr>
                <w:color w:val="auto"/>
              </w:rPr>
            </w:pPr>
          </w:p>
        </w:tc>
        <w:tc>
          <w:tcPr>
            <w:tcW w:w="1285" w:type="dxa"/>
            <w:shd w:val="clear" w:color="auto" w:fill="auto"/>
            <w:vAlign w:val="center"/>
          </w:tcPr>
          <w:p w14:paraId="62E2078C">
            <w:pPr>
              <w:widowControl/>
              <w:adjustRightInd/>
              <w:snapToGrid/>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硫化物</w:t>
            </w:r>
          </w:p>
        </w:tc>
        <w:tc>
          <w:tcPr>
            <w:tcW w:w="1657" w:type="dxa"/>
            <w:shd w:val="clear" w:color="auto" w:fill="auto"/>
            <w:vAlign w:val="center"/>
          </w:tcPr>
          <w:p w14:paraId="450420CC">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5</w:t>
            </w:r>
          </w:p>
        </w:tc>
        <w:tc>
          <w:tcPr>
            <w:tcW w:w="1657" w:type="dxa"/>
            <w:shd w:val="clear" w:color="auto" w:fill="auto"/>
            <w:vAlign w:val="center"/>
          </w:tcPr>
          <w:p w14:paraId="61777652">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10</w:t>
            </w:r>
          </w:p>
        </w:tc>
        <w:tc>
          <w:tcPr>
            <w:tcW w:w="1655" w:type="dxa"/>
            <w:shd w:val="clear" w:color="auto" w:fill="auto"/>
            <w:vAlign w:val="center"/>
          </w:tcPr>
          <w:p w14:paraId="2AA02828">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5</w:t>
            </w:r>
          </w:p>
        </w:tc>
        <w:tc>
          <w:tcPr>
            <w:tcW w:w="1651" w:type="dxa"/>
            <w:shd w:val="clear" w:color="auto" w:fill="auto"/>
            <w:vAlign w:val="center"/>
          </w:tcPr>
          <w:p w14:paraId="25F2972D">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10</w:t>
            </w:r>
          </w:p>
        </w:tc>
      </w:tr>
      <w:tr w14:paraId="46039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exact"/>
          <w:jc w:val="center"/>
        </w:trPr>
        <w:tc>
          <w:tcPr>
            <w:tcW w:w="1381" w:type="dxa"/>
            <w:vMerge w:val="continue"/>
          </w:tcPr>
          <w:p w14:paraId="16C6A1D7">
            <w:pPr>
              <w:pStyle w:val="276"/>
              <w:rPr>
                <w:color w:val="auto"/>
              </w:rPr>
            </w:pPr>
          </w:p>
        </w:tc>
        <w:tc>
          <w:tcPr>
            <w:tcW w:w="1285" w:type="dxa"/>
            <w:shd w:val="clear" w:color="auto" w:fill="auto"/>
            <w:vAlign w:val="center"/>
          </w:tcPr>
          <w:p w14:paraId="06256E96">
            <w:pPr>
              <w:widowControl/>
              <w:adjustRightInd/>
              <w:snapToGrid/>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氟化物</w:t>
            </w:r>
          </w:p>
        </w:tc>
        <w:tc>
          <w:tcPr>
            <w:tcW w:w="1657" w:type="dxa"/>
            <w:shd w:val="clear" w:color="auto" w:fill="auto"/>
            <w:vAlign w:val="center"/>
          </w:tcPr>
          <w:p w14:paraId="14997575">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30</w:t>
            </w:r>
          </w:p>
        </w:tc>
        <w:tc>
          <w:tcPr>
            <w:tcW w:w="1657" w:type="dxa"/>
            <w:shd w:val="clear" w:color="auto" w:fill="auto"/>
            <w:vAlign w:val="center"/>
          </w:tcPr>
          <w:p w14:paraId="58902E69">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60</w:t>
            </w:r>
          </w:p>
        </w:tc>
        <w:tc>
          <w:tcPr>
            <w:tcW w:w="1655" w:type="dxa"/>
            <w:shd w:val="clear" w:color="auto" w:fill="auto"/>
            <w:vAlign w:val="center"/>
          </w:tcPr>
          <w:p w14:paraId="476DB59A">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30</w:t>
            </w:r>
          </w:p>
        </w:tc>
        <w:tc>
          <w:tcPr>
            <w:tcW w:w="1651" w:type="dxa"/>
            <w:shd w:val="clear" w:color="auto" w:fill="auto"/>
            <w:vAlign w:val="center"/>
          </w:tcPr>
          <w:p w14:paraId="114DF426">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60</w:t>
            </w:r>
          </w:p>
        </w:tc>
      </w:tr>
      <w:tr w14:paraId="50CF2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exact"/>
          <w:jc w:val="center"/>
        </w:trPr>
        <w:tc>
          <w:tcPr>
            <w:tcW w:w="1381" w:type="dxa"/>
            <w:vMerge w:val="continue"/>
          </w:tcPr>
          <w:p w14:paraId="462208AC">
            <w:pPr>
              <w:pStyle w:val="276"/>
              <w:rPr>
                <w:color w:val="auto"/>
              </w:rPr>
            </w:pPr>
          </w:p>
        </w:tc>
        <w:tc>
          <w:tcPr>
            <w:tcW w:w="1285" w:type="dxa"/>
            <w:shd w:val="clear" w:color="auto" w:fill="auto"/>
            <w:vAlign w:val="center"/>
          </w:tcPr>
          <w:p w14:paraId="6BC5B165">
            <w:pPr>
              <w:widowControl/>
              <w:adjustRightInd/>
              <w:snapToGrid/>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氯化物（以</w:t>
            </w:r>
            <w:r>
              <w:rPr>
                <w:rFonts w:hint="eastAsia"/>
                <w:color w:val="auto"/>
                <w:kern w:val="0"/>
                <w:sz w:val="21"/>
                <w:szCs w:val="21"/>
              </w:rPr>
              <w:t>Cl</w:t>
            </w:r>
            <w:r>
              <w:rPr>
                <w:rFonts w:hint="eastAsia" w:ascii="宋体" w:hAnsi="宋体" w:cs="宋体"/>
                <w:color w:val="auto"/>
                <w:kern w:val="0"/>
                <w:sz w:val="21"/>
                <w:szCs w:val="21"/>
              </w:rPr>
              <w:t>计）</w:t>
            </w:r>
          </w:p>
        </w:tc>
        <w:tc>
          <w:tcPr>
            <w:tcW w:w="1657" w:type="dxa"/>
            <w:shd w:val="clear" w:color="auto" w:fill="auto"/>
            <w:vAlign w:val="center"/>
          </w:tcPr>
          <w:p w14:paraId="19AD755D">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20000</w:t>
            </w:r>
          </w:p>
        </w:tc>
        <w:tc>
          <w:tcPr>
            <w:tcW w:w="1657" w:type="dxa"/>
            <w:shd w:val="clear" w:color="auto" w:fill="auto"/>
            <w:vAlign w:val="center"/>
          </w:tcPr>
          <w:p w14:paraId="5862E081">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40000</w:t>
            </w:r>
          </w:p>
        </w:tc>
        <w:tc>
          <w:tcPr>
            <w:tcW w:w="1655" w:type="dxa"/>
            <w:shd w:val="clear" w:color="auto" w:fill="auto"/>
            <w:vAlign w:val="center"/>
          </w:tcPr>
          <w:p w14:paraId="70CF7221">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20000</w:t>
            </w:r>
          </w:p>
        </w:tc>
        <w:tc>
          <w:tcPr>
            <w:tcW w:w="1651" w:type="dxa"/>
            <w:shd w:val="clear" w:color="auto" w:fill="auto"/>
            <w:vAlign w:val="center"/>
          </w:tcPr>
          <w:p w14:paraId="67EBEE35">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40000</w:t>
            </w:r>
          </w:p>
        </w:tc>
      </w:tr>
      <w:tr w14:paraId="02EEA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exact"/>
          <w:jc w:val="center"/>
        </w:trPr>
        <w:tc>
          <w:tcPr>
            <w:tcW w:w="1381" w:type="dxa"/>
            <w:vMerge w:val="continue"/>
          </w:tcPr>
          <w:p w14:paraId="4E5A900E">
            <w:pPr>
              <w:pStyle w:val="276"/>
              <w:rPr>
                <w:color w:val="auto"/>
              </w:rPr>
            </w:pPr>
          </w:p>
        </w:tc>
        <w:tc>
          <w:tcPr>
            <w:tcW w:w="1285" w:type="dxa"/>
            <w:shd w:val="clear" w:color="auto" w:fill="auto"/>
            <w:vAlign w:val="center"/>
          </w:tcPr>
          <w:p w14:paraId="507BC642">
            <w:pPr>
              <w:widowControl/>
              <w:adjustRightInd/>
              <w:snapToGrid/>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溶解性总固体</w:t>
            </w:r>
          </w:p>
        </w:tc>
        <w:tc>
          <w:tcPr>
            <w:tcW w:w="1657" w:type="dxa"/>
            <w:shd w:val="clear" w:color="auto" w:fill="auto"/>
            <w:vAlign w:val="center"/>
          </w:tcPr>
          <w:p w14:paraId="0FAE2934">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35000</w:t>
            </w:r>
          </w:p>
        </w:tc>
        <w:tc>
          <w:tcPr>
            <w:tcW w:w="1657" w:type="dxa"/>
            <w:shd w:val="clear" w:color="auto" w:fill="auto"/>
            <w:vAlign w:val="center"/>
          </w:tcPr>
          <w:p w14:paraId="69FD86F6">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70000</w:t>
            </w:r>
          </w:p>
        </w:tc>
        <w:tc>
          <w:tcPr>
            <w:tcW w:w="1655" w:type="dxa"/>
            <w:shd w:val="clear" w:color="auto" w:fill="auto"/>
            <w:vAlign w:val="center"/>
          </w:tcPr>
          <w:p w14:paraId="42FADB55">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35000</w:t>
            </w:r>
          </w:p>
        </w:tc>
        <w:tc>
          <w:tcPr>
            <w:tcW w:w="1651" w:type="dxa"/>
            <w:shd w:val="clear" w:color="auto" w:fill="auto"/>
            <w:vAlign w:val="center"/>
          </w:tcPr>
          <w:p w14:paraId="5A189FCB">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70000</w:t>
            </w:r>
          </w:p>
        </w:tc>
      </w:tr>
      <w:tr w14:paraId="6E6BC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exact"/>
          <w:jc w:val="center"/>
        </w:trPr>
        <w:tc>
          <w:tcPr>
            <w:tcW w:w="1381" w:type="dxa"/>
            <w:vMerge w:val="continue"/>
          </w:tcPr>
          <w:p w14:paraId="4EC2D7BD">
            <w:pPr>
              <w:pStyle w:val="276"/>
              <w:rPr>
                <w:color w:val="auto"/>
              </w:rPr>
            </w:pPr>
          </w:p>
        </w:tc>
        <w:tc>
          <w:tcPr>
            <w:tcW w:w="1285" w:type="dxa"/>
            <w:shd w:val="clear" w:color="auto" w:fill="auto"/>
            <w:vAlign w:val="center"/>
          </w:tcPr>
          <w:p w14:paraId="175D181D">
            <w:pPr>
              <w:widowControl/>
              <w:adjustRightInd/>
              <w:snapToGrid/>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阴离子表面活性剂</w:t>
            </w:r>
          </w:p>
        </w:tc>
        <w:tc>
          <w:tcPr>
            <w:tcW w:w="1657" w:type="dxa"/>
            <w:shd w:val="clear" w:color="auto" w:fill="auto"/>
            <w:vAlign w:val="center"/>
          </w:tcPr>
          <w:p w14:paraId="10709CF1">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30</w:t>
            </w:r>
          </w:p>
        </w:tc>
        <w:tc>
          <w:tcPr>
            <w:tcW w:w="1657" w:type="dxa"/>
            <w:shd w:val="clear" w:color="auto" w:fill="auto"/>
            <w:vAlign w:val="center"/>
          </w:tcPr>
          <w:p w14:paraId="6F64B983">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60</w:t>
            </w:r>
          </w:p>
        </w:tc>
        <w:tc>
          <w:tcPr>
            <w:tcW w:w="1655" w:type="dxa"/>
            <w:shd w:val="clear" w:color="auto" w:fill="auto"/>
            <w:vAlign w:val="center"/>
          </w:tcPr>
          <w:p w14:paraId="39A10941">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30</w:t>
            </w:r>
          </w:p>
        </w:tc>
        <w:tc>
          <w:tcPr>
            <w:tcW w:w="1651" w:type="dxa"/>
            <w:shd w:val="clear" w:color="auto" w:fill="auto"/>
            <w:vAlign w:val="center"/>
          </w:tcPr>
          <w:p w14:paraId="2043121E">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60</w:t>
            </w:r>
          </w:p>
        </w:tc>
      </w:tr>
      <w:tr w14:paraId="67EDA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exact"/>
          <w:jc w:val="center"/>
        </w:trPr>
        <w:tc>
          <w:tcPr>
            <w:tcW w:w="1381" w:type="dxa"/>
            <w:vMerge w:val="continue"/>
          </w:tcPr>
          <w:p w14:paraId="7C5614EF">
            <w:pPr>
              <w:pStyle w:val="276"/>
              <w:rPr>
                <w:color w:val="auto"/>
              </w:rPr>
            </w:pPr>
          </w:p>
        </w:tc>
        <w:tc>
          <w:tcPr>
            <w:tcW w:w="1285" w:type="dxa"/>
            <w:shd w:val="clear" w:color="auto" w:fill="auto"/>
            <w:vAlign w:val="center"/>
          </w:tcPr>
          <w:p w14:paraId="092B9C0E">
            <w:pPr>
              <w:widowControl/>
              <w:adjustRightInd/>
              <w:snapToGrid/>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挥发酚</w:t>
            </w:r>
          </w:p>
        </w:tc>
        <w:tc>
          <w:tcPr>
            <w:tcW w:w="1657" w:type="dxa"/>
            <w:shd w:val="clear" w:color="auto" w:fill="auto"/>
            <w:vAlign w:val="center"/>
          </w:tcPr>
          <w:p w14:paraId="7CA1DAFF">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5</w:t>
            </w:r>
          </w:p>
        </w:tc>
        <w:tc>
          <w:tcPr>
            <w:tcW w:w="1657" w:type="dxa"/>
            <w:shd w:val="clear" w:color="auto" w:fill="auto"/>
            <w:vAlign w:val="center"/>
          </w:tcPr>
          <w:p w14:paraId="0A6BB10C">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10</w:t>
            </w:r>
          </w:p>
        </w:tc>
        <w:tc>
          <w:tcPr>
            <w:tcW w:w="1655" w:type="dxa"/>
            <w:shd w:val="clear" w:color="auto" w:fill="auto"/>
            <w:vAlign w:val="center"/>
          </w:tcPr>
          <w:p w14:paraId="1DDD90A9">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5</w:t>
            </w:r>
          </w:p>
        </w:tc>
        <w:tc>
          <w:tcPr>
            <w:tcW w:w="1651" w:type="dxa"/>
            <w:shd w:val="clear" w:color="auto" w:fill="auto"/>
            <w:vAlign w:val="center"/>
          </w:tcPr>
          <w:p w14:paraId="694E69AE">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10</w:t>
            </w:r>
          </w:p>
        </w:tc>
      </w:tr>
      <w:tr w14:paraId="70353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exact"/>
          <w:jc w:val="center"/>
        </w:trPr>
        <w:tc>
          <w:tcPr>
            <w:tcW w:w="1381" w:type="dxa"/>
            <w:vMerge w:val="continue"/>
          </w:tcPr>
          <w:p w14:paraId="36D1D344">
            <w:pPr>
              <w:pStyle w:val="276"/>
              <w:rPr>
                <w:color w:val="auto"/>
              </w:rPr>
            </w:pPr>
          </w:p>
        </w:tc>
        <w:tc>
          <w:tcPr>
            <w:tcW w:w="1285" w:type="dxa"/>
            <w:shd w:val="clear" w:color="auto" w:fill="auto"/>
            <w:vAlign w:val="center"/>
          </w:tcPr>
          <w:p w14:paraId="465B9ADE">
            <w:pPr>
              <w:widowControl/>
              <w:adjustRightInd/>
              <w:snapToGrid/>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硼</w:t>
            </w:r>
          </w:p>
        </w:tc>
        <w:tc>
          <w:tcPr>
            <w:tcW w:w="1657" w:type="dxa"/>
            <w:shd w:val="clear" w:color="auto" w:fill="auto"/>
            <w:vAlign w:val="center"/>
          </w:tcPr>
          <w:p w14:paraId="7FC8BF4A">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15</w:t>
            </w:r>
          </w:p>
        </w:tc>
        <w:tc>
          <w:tcPr>
            <w:tcW w:w="1657" w:type="dxa"/>
            <w:shd w:val="clear" w:color="auto" w:fill="auto"/>
            <w:vAlign w:val="center"/>
          </w:tcPr>
          <w:p w14:paraId="0C127912">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30</w:t>
            </w:r>
          </w:p>
        </w:tc>
        <w:tc>
          <w:tcPr>
            <w:tcW w:w="1655" w:type="dxa"/>
            <w:shd w:val="clear" w:color="auto" w:fill="auto"/>
            <w:vAlign w:val="center"/>
          </w:tcPr>
          <w:p w14:paraId="06AD0000">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15</w:t>
            </w:r>
          </w:p>
        </w:tc>
        <w:tc>
          <w:tcPr>
            <w:tcW w:w="1651" w:type="dxa"/>
            <w:shd w:val="clear" w:color="auto" w:fill="auto"/>
            <w:vAlign w:val="center"/>
          </w:tcPr>
          <w:p w14:paraId="14708CA7">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30</w:t>
            </w:r>
          </w:p>
        </w:tc>
      </w:tr>
      <w:tr w14:paraId="71B2C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exact"/>
          <w:jc w:val="center"/>
        </w:trPr>
        <w:tc>
          <w:tcPr>
            <w:tcW w:w="1381" w:type="dxa"/>
            <w:vMerge w:val="continue"/>
          </w:tcPr>
          <w:p w14:paraId="3408A0A9">
            <w:pPr>
              <w:pStyle w:val="276"/>
              <w:rPr>
                <w:color w:val="auto"/>
              </w:rPr>
            </w:pPr>
          </w:p>
        </w:tc>
        <w:tc>
          <w:tcPr>
            <w:tcW w:w="1285" w:type="dxa"/>
            <w:shd w:val="clear" w:color="auto" w:fill="auto"/>
            <w:vAlign w:val="center"/>
          </w:tcPr>
          <w:p w14:paraId="436D0376">
            <w:pPr>
              <w:widowControl/>
              <w:adjustRightInd/>
              <w:snapToGrid/>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可溶性钡</w:t>
            </w:r>
          </w:p>
        </w:tc>
        <w:tc>
          <w:tcPr>
            <w:tcW w:w="1657" w:type="dxa"/>
            <w:shd w:val="clear" w:color="auto" w:fill="auto"/>
            <w:vAlign w:val="center"/>
          </w:tcPr>
          <w:p w14:paraId="62D97B1B">
            <w:pPr>
              <w:widowControl/>
              <w:adjustRightInd/>
              <w:snapToGrid/>
              <w:spacing w:line="240" w:lineRule="auto"/>
              <w:ind w:firstLine="0" w:firstLineChars="0"/>
              <w:jc w:val="center"/>
              <w:rPr>
                <w:rFonts w:hint="default" w:eastAsia="宋体"/>
                <w:color w:val="auto"/>
                <w:kern w:val="0"/>
                <w:sz w:val="21"/>
                <w:szCs w:val="21"/>
                <w:lang w:val="en-US" w:eastAsia="zh-CN"/>
              </w:rPr>
            </w:pPr>
            <w:r>
              <w:rPr>
                <w:rFonts w:hint="eastAsia"/>
                <w:color w:val="auto"/>
                <w:kern w:val="0"/>
                <w:sz w:val="21"/>
                <w:szCs w:val="21"/>
                <w:lang w:val="en-US" w:eastAsia="zh-CN"/>
              </w:rPr>
              <w:t>40</w:t>
            </w:r>
          </w:p>
        </w:tc>
        <w:tc>
          <w:tcPr>
            <w:tcW w:w="1657" w:type="dxa"/>
            <w:shd w:val="clear" w:color="auto" w:fill="auto"/>
            <w:vAlign w:val="center"/>
          </w:tcPr>
          <w:p w14:paraId="794EEF64">
            <w:pPr>
              <w:widowControl/>
              <w:adjustRightInd/>
              <w:snapToGrid/>
              <w:spacing w:line="240" w:lineRule="auto"/>
              <w:ind w:firstLine="0" w:firstLineChars="0"/>
              <w:jc w:val="center"/>
              <w:rPr>
                <w:color w:val="auto"/>
                <w:kern w:val="0"/>
                <w:sz w:val="21"/>
                <w:szCs w:val="21"/>
              </w:rPr>
            </w:pPr>
            <w:r>
              <w:rPr>
                <w:rFonts w:hint="eastAsia"/>
                <w:color w:val="auto"/>
                <w:kern w:val="0"/>
                <w:sz w:val="21"/>
                <w:szCs w:val="21"/>
                <w:lang w:val="en-US" w:eastAsia="zh-CN"/>
              </w:rPr>
              <w:t>8</w:t>
            </w:r>
            <w:r>
              <w:rPr>
                <w:rFonts w:hint="eastAsia"/>
                <w:color w:val="auto"/>
                <w:kern w:val="0"/>
                <w:sz w:val="21"/>
                <w:szCs w:val="21"/>
              </w:rPr>
              <w:t>0</w:t>
            </w:r>
          </w:p>
        </w:tc>
        <w:tc>
          <w:tcPr>
            <w:tcW w:w="1655" w:type="dxa"/>
            <w:shd w:val="clear" w:color="auto" w:fill="auto"/>
            <w:vAlign w:val="center"/>
          </w:tcPr>
          <w:p w14:paraId="0F984AAE">
            <w:pPr>
              <w:widowControl/>
              <w:adjustRightInd/>
              <w:snapToGrid/>
              <w:spacing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40</w:t>
            </w:r>
          </w:p>
        </w:tc>
        <w:tc>
          <w:tcPr>
            <w:tcW w:w="1651" w:type="dxa"/>
            <w:shd w:val="clear" w:color="auto" w:fill="auto"/>
            <w:vAlign w:val="center"/>
          </w:tcPr>
          <w:p w14:paraId="3A84C5FB">
            <w:pPr>
              <w:widowControl/>
              <w:adjustRightInd/>
              <w:snapToGrid/>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8</w:t>
            </w:r>
            <w:r>
              <w:rPr>
                <w:rFonts w:hint="eastAsia"/>
                <w:color w:val="auto"/>
                <w:kern w:val="0"/>
                <w:sz w:val="21"/>
                <w:szCs w:val="21"/>
              </w:rPr>
              <w:t>0</w:t>
            </w:r>
          </w:p>
        </w:tc>
      </w:tr>
      <w:tr w14:paraId="0699C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exact"/>
          <w:jc w:val="center"/>
        </w:trPr>
        <w:tc>
          <w:tcPr>
            <w:tcW w:w="1381" w:type="dxa"/>
            <w:vMerge w:val="continue"/>
          </w:tcPr>
          <w:p w14:paraId="69A948D7">
            <w:pPr>
              <w:pStyle w:val="276"/>
              <w:rPr>
                <w:color w:val="auto"/>
              </w:rPr>
            </w:pPr>
          </w:p>
        </w:tc>
        <w:tc>
          <w:tcPr>
            <w:tcW w:w="1285" w:type="dxa"/>
            <w:shd w:val="clear" w:color="auto" w:fill="auto"/>
            <w:vAlign w:val="center"/>
          </w:tcPr>
          <w:p w14:paraId="5E2DD1D0">
            <w:pPr>
              <w:pStyle w:val="181"/>
              <w:rPr>
                <w:rFonts w:ascii="宋体" w:hAnsi="宋体" w:cs="宋体"/>
                <w:color w:val="auto"/>
                <w:kern w:val="0"/>
                <w:szCs w:val="21"/>
              </w:rPr>
            </w:pPr>
            <w:r>
              <w:rPr>
                <w:rFonts w:hint="eastAsia"/>
                <w:color w:val="auto"/>
              </w:rPr>
              <w:t>总α放射性</w:t>
            </w:r>
            <w:r>
              <w:rPr>
                <w:rFonts w:hint="eastAsia"/>
                <w:color w:val="auto"/>
                <w:lang w:eastAsia="zh-CN"/>
              </w:rPr>
              <w:t>（</w:t>
            </w:r>
            <w:r>
              <w:rPr>
                <w:rFonts w:hint="eastAsia"/>
                <w:color w:val="auto"/>
              </w:rPr>
              <w:t>Bq/L</w:t>
            </w:r>
            <w:r>
              <w:rPr>
                <w:rFonts w:hint="eastAsia"/>
                <w:color w:val="auto"/>
                <w:lang w:eastAsia="zh-CN"/>
              </w:rPr>
              <w:t>）</w:t>
            </w:r>
          </w:p>
        </w:tc>
        <w:tc>
          <w:tcPr>
            <w:tcW w:w="1657" w:type="dxa"/>
            <w:shd w:val="clear" w:color="auto" w:fill="auto"/>
            <w:vAlign w:val="center"/>
          </w:tcPr>
          <w:p w14:paraId="4CC44C27">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50</w:t>
            </w:r>
          </w:p>
        </w:tc>
        <w:tc>
          <w:tcPr>
            <w:tcW w:w="1657" w:type="dxa"/>
            <w:shd w:val="clear" w:color="auto" w:fill="auto"/>
            <w:vAlign w:val="center"/>
          </w:tcPr>
          <w:p w14:paraId="72A98673">
            <w:pPr>
              <w:pStyle w:val="276"/>
              <w:rPr>
                <w:color w:val="auto"/>
              </w:rPr>
            </w:pPr>
            <w:r>
              <w:rPr>
                <w:rFonts w:hint="eastAsia"/>
                <w:color w:val="auto"/>
              </w:rPr>
              <w:t>/</w:t>
            </w:r>
          </w:p>
        </w:tc>
        <w:tc>
          <w:tcPr>
            <w:tcW w:w="1655" w:type="dxa"/>
            <w:shd w:val="clear" w:color="auto" w:fill="auto"/>
            <w:vAlign w:val="center"/>
          </w:tcPr>
          <w:p w14:paraId="676888D1">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50</w:t>
            </w:r>
          </w:p>
        </w:tc>
        <w:tc>
          <w:tcPr>
            <w:tcW w:w="1651" w:type="dxa"/>
            <w:shd w:val="clear" w:color="auto" w:fill="auto"/>
            <w:vAlign w:val="center"/>
          </w:tcPr>
          <w:p w14:paraId="2F19E292">
            <w:pPr>
              <w:pStyle w:val="276"/>
              <w:rPr>
                <w:color w:val="auto"/>
              </w:rPr>
            </w:pPr>
            <w:r>
              <w:rPr>
                <w:rFonts w:hint="eastAsia"/>
                <w:color w:val="auto"/>
              </w:rPr>
              <w:t>/</w:t>
            </w:r>
          </w:p>
        </w:tc>
      </w:tr>
      <w:tr w14:paraId="3FD05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exact"/>
          <w:jc w:val="center"/>
        </w:trPr>
        <w:tc>
          <w:tcPr>
            <w:tcW w:w="1381" w:type="dxa"/>
            <w:vMerge w:val="continue"/>
          </w:tcPr>
          <w:p w14:paraId="7E622B86">
            <w:pPr>
              <w:pStyle w:val="276"/>
              <w:rPr>
                <w:color w:val="auto"/>
              </w:rPr>
            </w:pPr>
          </w:p>
        </w:tc>
        <w:tc>
          <w:tcPr>
            <w:tcW w:w="1285" w:type="dxa"/>
            <w:shd w:val="clear" w:color="auto" w:fill="auto"/>
            <w:vAlign w:val="center"/>
          </w:tcPr>
          <w:p w14:paraId="6C632B69">
            <w:pPr>
              <w:pStyle w:val="181"/>
              <w:rPr>
                <w:rFonts w:ascii="宋体" w:hAnsi="宋体" w:cs="宋体"/>
                <w:color w:val="auto"/>
                <w:kern w:val="0"/>
                <w:szCs w:val="21"/>
              </w:rPr>
            </w:pPr>
            <w:r>
              <w:rPr>
                <w:rFonts w:hint="eastAsia"/>
                <w:color w:val="auto"/>
              </w:rPr>
              <w:t>总β放射性</w:t>
            </w:r>
            <w:r>
              <w:rPr>
                <w:rFonts w:hint="eastAsia"/>
                <w:color w:val="auto"/>
                <w:lang w:eastAsia="zh-CN"/>
              </w:rPr>
              <w:t>（</w:t>
            </w:r>
            <w:r>
              <w:rPr>
                <w:rFonts w:hint="eastAsia"/>
                <w:color w:val="auto"/>
              </w:rPr>
              <w:t>Bq/L</w:t>
            </w:r>
            <w:r>
              <w:rPr>
                <w:rFonts w:hint="eastAsia"/>
                <w:color w:val="auto"/>
                <w:lang w:eastAsia="zh-CN"/>
              </w:rPr>
              <w:t>）</w:t>
            </w:r>
          </w:p>
        </w:tc>
        <w:tc>
          <w:tcPr>
            <w:tcW w:w="1657" w:type="dxa"/>
            <w:shd w:val="clear" w:color="auto" w:fill="auto"/>
            <w:vAlign w:val="center"/>
          </w:tcPr>
          <w:p w14:paraId="18A4410E">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200</w:t>
            </w:r>
          </w:p>
        </w:tc>
        <w:tc>
          <w:tcPr>
            <w:tcW w:w="1657" w:type="dxa"/>
            <w:shd w:val="clear" w:color="auto" w:fill="auto"/>
            <w:vAlign w:val="center"/>
          </w:tcPr>
          <w:p w14:paraId="34B95A9D">
            <w:pPr>
              <w:pStyle w:val="276"/>
              <w:rPr>
                <w:color w:val="auto"/>
              </w:rPr>
            </w:pPr>
            <w:r>
              <w:rPr>
                <w:rFonts w:hint="eastAsia"/>
                <w:color w:val="auto"/>
              </w:rPr>
              <w:t>/</w:t>
            </w:r>
          </w:p>
        </w:tc>
        <w:tc>
          <w:tcPr>
            <w:tcW w:w="1655" w:type="dxa"/>
            <w:shd w:val="clear" w:color="auto" w:fill="auto"/>
            <w:vAlign w:val="center"/>
          </w:tcPr>
          <w:p w14:paraId="0E51EE73">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200</w:t>
            </w:r>
          </w:p>
        </w:tc>
        <w:tc>
          <w:tcPr>
            <w:tcW w:w="1651" w:type="dxa"/>
            <w:shd w:val="clear" w:color="auto" w:fill="auto"/>
            <w:vAlign w:val="center"/>
          </w:tcPr>
          <w:p w14:paraId="0E4CEF59">
            <w:pPr>
              <w:pStyle w:val="276"/>
              <w:rPr>
                <w:color w:val="auto"/>
              </w:rPr>
            </w:pPr>
            <w:r>
              <w:rPr>
                <w:rFonts w:hint="eastAsia"/>
                <w:color w:val="auto"/>
              </w:rPr>
              <w:t>/</w:t>
            </w:r>
          </w:p>
        </w:tc>
      </w:tr>
    </w:tbl>
    <w:p w14:paraId="757FFD4F">
      <w:pPr>
        <w:spacing w:line="360" w:lineRule="auto"/>
        <w:ind w:firstLine="480"/>
        <w:rPr>
          <w:color w:val="auto"/>
        </w:rPr>
      </w:pPr>
    </w:p>
    <w:p w14:paraId="64F79421">
      <w:pPr>
        <w:spacing w:line="360" w:lineRule="auto"/>
        <w:ind w:firstLine="480"/>
        <w:rPr>
          <w:color w:val="auto"/>
        </w:rPr>
      </w:pPr>
      <w:r>
        <w:rPr>
          <w:rFonts w:hint="eastAsia"/>
          <w:color w:val="auto"/>
        </w:rPr>
        <w:t>（</w:t>
      </w:r>
      <w:r>
        <w:rPr>
          <w:color w:val="auto"/>
        </w:rPr>
        <w:t>2</w:t>
      </w:r>
      <w:r>
        <w:rPr>
          <w:rFonts w:hint="eastAsia"/>
          <w:color w:val="auto"/>
        </w:rPr>
        <w:t>）废气</w:t>
      </w:r>
    </w:p>
    <w:p w14:paraId="75C7148B">
      <w:pPr>
        <w:pStyle w:val="959"/>
        <w:snapToGrid w:val="0"/>
        <w:ind w:firstLine="480"/>
        <w:rPr>
          <w:rFonts w:hint="default" w:ascii="Times New Roman" w:hAnsi="Times New Roman" w:cs="Times New Roman"/>
          <w:color w:val="auto"/>
        </w:rPr>
      </w:pPr>
      <w:r>
        <w:rPr>
          <w:rFonts w:hint="eastAsia" w:ascii="Times New Roman" w:hAnsi="Times New Roman"/>
          <w:bCs/>
          <w:color w:val="auto"/>
          <w:lang w:val="en-US"/>
        </w:rPr>
        <w:t>本次非正常排放分析主要针对污水处理工艺段产生的废气，</w:t>
      </w:r>
      <w:r>
        <w:rPr>
          <w:color w:val="auto"/>
        </w:rPr>
        <w:t>主要</w:t>
      </w:r>
      <w:r>
        <w:rPr>
          <w:rFonts w:hint="eastAsia"/>
          <w:color w:val="auto"/>
        </w:rPr>
        <w:t>考虑极端情况，废气处理设施故障，废气处理效率为</w:t>
      </w:r>
      <w:r>
        <w:rPr>
          <w:rFonts w:hint="eastAsia"/>
          <w:color w:val="auto"/>
          <w:lang w:val="en-US"/>
        </w:rPr>
        <w:t>0</w:t>
      </w:r>
      <w:r>
        <w:rPr>
          <w:color w:val="auto"/>
        </w:rPr>
        <w:t>。在这种非正常排放情况下</w:t>
      </w:r>
      <w:r>
        <w:rPr>
          <w:rFonts w:hint="default" w:ascii="Times New Roman" w:hAnsi="Times New Roman" w:cs="Times New Roman"/>
          <w:color w:val="auto"/>
        </w:rPr>
        <w:t>，废气排放情况见表3.15-2。</w:t>
      </w:r>
    </w:p>
    <w:p w14:paraId="7575136D">
      <w:pPr>
        <w:ind w:firstLineChars="83"/>
        <w:jc w:val="center"/>
        <w:rPr>
          <w:b/>
          <w:bCs/>
          <w:color w:val="auto"/>
          <w:sz w:val="21"/>
          <w:szCs w:val="21"/>
        </w:rPr>
      </w:pPr>
      <w:r>
        <w:rPr>
          <w:b/>
          <w:bCs/>
          <w:color w:val="auto"/>
          <w:szCs w:val="24"/>
        </w:rPr>
        <w:t xml:space="preserve">表3.15-2    </w:t>
      </w:r>
      <w:r>
        <w:rPr>
          <w:rFonts w:hint="eastAsia"/>
          <w:b/>
          <w:bCs/>
          <w:color w:val="auto"/>
          <w:szCs w:val="24"/>
        </w:rPr>
        <w:t>非正常工况</w:t>
      </w:r>
      <w:r>
        <w:rPr>
          <w:b/>
          <w:bCs/>
          <w:color w:val="auto"/>
          <w:szCs w:val="24"/>
        </w:rPr>
        <w:t>废气</w:t>
      </w:r>
      <w:r>
        <w:rPr>
          <w:rFonts w:hint="eastAsia"/>
          <w:b/>
          <w:bCs/>
          <w:color w:val="auto"/>
          <w:szCs w:val="24"/>
        </w:rPr>
        <w:t>排放情况</w:t>
      </w:r>
      <w:r>
        <w:rPr>
          <w:b/>
          <w:bCs/>
          <w:color w:val="auto"/>
          <w:szCs w:val="24"/>
        </w:rPr>
        <w:t>统计表</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3"/>
        <w:gridCol w:w="1669"/>
        <w:gridCol w:w="1112"/>
        <w:gridCol w:w="1349"/>
        <w:gridCol w:w="1339"/>
        <w:gridCol w:w="1633"/>
      </w:tblGrid>
      <w:tr w14:paraId="5C088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4" w:type="dxa"/>
            <w:vAlign w:val="center"/>
          </w:tcPr>
          <w:p w14:paraId="0451D332">
            <w:pPr>
              <w:adjustRightInd/>
              <w:snapToGrid/>
              <w:spacing w:line="240" w:lineRule="auto"/>
              <w:ind w:firstLine="0" w:firstLineChars="0"/>
              <w:jc w:val="center"/>
              <w:rPr>
                <w:color w:val="auto"/>
                <w:sz w:val="21"/>
                <w:szCs w:val="21"/>
              </w:rPr>
            </w:pPr>
            <w:r>
              <w:rPr>
                <w:rFonts w:hint="eastAsia"/>
                <w:color w:val="auto"/>
                <w:sz w:val="21"/>
                <w:szCs w:val="21"/>
              </w:rPr>
              <w:t>污染源</w:t>
            </w:r>
          </w:p>
        </w:tc>
        <w:tc>
          <w:tcPr>
            <w:tcW w:w="1631" w:type="dxa"/>
            <w:vAlign w:val="center"/>
          </w:tcPr>
          <w:p w14:paraId="0B185558">
            <w:pPr>
              <w:adjustRightInd/>
              <w:snapToGrid/>
              <w:spacing w:line="240" w:lineRule="auto"/>
              <w:ind w:firstLine="0" w:firstLineChars="0"/>
              <w:jc w:val="center"/>
              <w:rPr>
                <w:color w:val="auto"/>
                <w:sz w:val="21"/>
                <w:szCs w:val="21"/>
              </w:rPr>
            </w:pPr>
            <w:r>
              <w:rPr>
                <w:rFonts w:hint="eastAsia" w:eastAsiaTheme="minorEastAsia"/>
                <w:color w:val="auto"/>
                <w:sz w:val="21"/>
                <w:szCs w:val="21"/>
              </w:rPr>
              <w:t>风量（Nm</w:t>
            </w:r>
            <w:r>
              <w:rPr>
                <w:rFonts w:hint="eastAsia" w:eastAsiaTheme="minorEastAsia"/>
                <w:color w:val="auto"/>
                <w:sz w:val="21"/>
                <w:szCs w:val="21"/>
                <w:vertAlign w:val="superscript"/>
              </w:rPr>
              <w:t>3</w:t>
            </w:r>
            <w:r>
              <w:rPr>
                <w:rFonts w:hint="eastAsia" w:eastAsiaTheme="minorEastAsia"/>
                <w:color w:val="auto"/>
                <w:sz w:val="21"/>
                <w:szCs w:val="21"/>
              </w:rPr>
              <w:t>/h）</w:t>
            </w:r>
          </w:p>
        </w:tc>
        <w:tc>
          <w:tcPr>
            <w:tcW w:w="1087" w:type="dxa"/>
            <w:vAlign w:val="center"/>
          </w:tcPr>
          <w:p w14:paraId="31E60A22">
            <w:pPr>
              <w:adjustRightInd/>
              <w:snapToGrid/>
              <w:spacing w:line="240" w:lineRule="auto"/>
              <w:ind w:firstLine="0" w:firstLineChars="0"/>
              <w:jc w:val="center"/>
              <w:rPr>
                <w:color w:val="auto"/>
                <w:sz w:val="21"/>
                <w:szCs w:val="21"/>
              </w:rPr>
            </w:pPr>
            <w:r>
              <w:rPr>
                <w:rFonts w:hint="eastAsia" w:eastAsiaTheme="minorEastAsia"/>
                <w:color w:val="auto"/>
                <w:sz w:val="21"/>
                <w:szCs w:val="21"/>
              </w:rPr>
              <w:t>污染物</w:t>
            </w:r>
          </w:p>
        </w:tc>
        <w:tc>
          <w:tcPr>
            <w:tcW w:w="1319" w:type="dxa"/>
            <w:vAlign w:val="center"/>
          </w:tcPr>
          <w:p w14:paraId="29A37FA9">
            <w:pPr>
              <w:adjustRightInd/>
              <w:snapToGrid/>
              <w:spacing w:line="240" w:lineRule="auto"/>
              <w:ind w:firstLine="0" w:firstLineChars="0"/>
              <w:jc w:val="center"/>
              <w:rPr>
                <w:color w:val="auto"/>
                <w:sz w:val="21"/>
                <w:szCs w:val="21"/>
              </w:rPr>
            </w:pPr>
            <w:r>
              <w:rPr>
                <w:rFonts w:hint="eastAsia" w:eastAsiaTheme="minorEastAsia"/>
                <w:color w:val="auto"/>
                <w:sz w:val="21"/>
                <w:szCs w:val="21"/>
              </w:rPr>
              <w:t>排放浓度（mg/m</w:t>
            </w:r>
            <w:r>
              <w:rPr>
                <w:rFonts w:hint="eastAsia" w:eastAsiaTheme="minorEastAsia"/>
                <w:color w:val="auto"/>
                <w:sz w:val="21"/>
                <w:szCs w:val="21"/>
                <w:vertAlign w:val="superscript"/>
              </w:rPr>
              <w:t>3</w:t>
            </w:r>
            <w:r>
              <w:rPr>
                <w:rFonts w:hint="eastAsia" w:eastAsiaTheme="minorEastAsia"/>
                <w:color w:val="auto"/>
                <w:sz w:val="21"/>
                <w:szCs w:val="21"/>
              </w:rPr>
              <w:t>）</w:t>
            </w:r>
          </w:p>
        </w:tc>
        <w:tc>
          <w:tcPr>
            <w:tcW w:w="1308" w:type="dxa"/>
            <w:vAlign w:val="center"/>
          </w:tcPr>
          <w:p w14:paraId="4A388C0B">
            <w:pPr>
              <w:adjustRightInd/>
              <w:snapToGrid/>
              <w:spacing w:line="240" w:lineRule="auto"/>
              <w:ind w:firstLine="0" w:firstLineChars="0"/>
              <w:jc w:val="center"/>
              <w:rPr>
                <w:color w:val="auto"/>
                <w:sz w:val="21"/>
                <w:szCs w:val="21"/>
              </w:rPr>
            </w:pPr>
            <w:r>
              <w:rPr>
                <w:rFonts w:hint="eastAsia" w:eastAsiaTheme="minorEastAsia"/>
                <w:color w:val="auto"/>
                <w:sz w:val="21"/>
                <w:szCs w:val="21"/>
              </w:rPr>
              <w:t>排放速率（kg/h）</w:t>
            </w:r>
          </w:p>
        </w:tc>
        <w:tc>
          <w:tcPr>
            <w:tcW w:w="1595" w:type="dxa"/>
            <w:vAlign w:val="center"/>
          </w:tcPr>
          <w:p w14:paraId="7F510C66">
            <w:pPr>
              <w:adjustRightInd/>
              <w:snapToGrid/>
              <w:spacing w:line="240" w:lineRule="auto"/>
              <w:ind w:firstLine="0" w:firstLineChars="0"/>
              <w:jc w:val="center"/>
              <w:rPr>
                <w:rFonts w:eastAsiaTheme="minorEastAsia"/>
                <w:color w:val="auto"/>
                <w:sz w:val="21"/>
                <w:szCs w:val="21"/>
              </w:rPr>
            </w:pPr>
            <w:r>
              <w:rPr>
                <w:rFonts w:hint="eastAsia" w:eastAsiaTheme="minorEastAsia"/>
                <w:color w:val="auto"/>
                <w:sz w:val="21"/>
                <w:szCs w:val="21"/>
              </w:rPr>
              <w:t>排放时间（h）</w:t>
            </w:r>
          </w:p>
        </w:tc>
      </w:tr>
      <w:tr w14:paraId="0E9B8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4" w:type="dxa"/>
            <w:vMerge w:val="restart"/>
            <w:vAlign w:val="center"/>
          </w:tcPr>
          <w:p w14:paraId="394EF57E">
            <w:pPr>
              <w:pStyle w:val="276"/>
              <w:rPr>
                <w:color w:val="auto"/>
              </w:rPr>
            </w:pPr>
            <w:r>
              <w:rPr>
                <w:rFonts w:hint="eastAsia"/>
                <w:color w:val="auto"/>
              </w:rPr>
              <w:t>废水处理站</w:t>
            </w:r>
          </w:p>
        </w:tc>
        <w:tc>
          <w:tcPr>
            <w:tcW w:w="1631" w:type="dxa"/>
            <w:vMerge w:val="restart"/>
            <w:vAlign w:val="center"/>
          </w:tcPr>
          <w:p w14:paraId="3F1DAEFB">
            <w:pPr>
              <w:adjustRightInd/>
              <w:snapToGrid/>
              <w:spacing w:line="240" w:lineRule="auto"/>
              <w:ind w:firstLine="0" w:firstLineChars="0"/>
              <w:jc w:val="center"/>
              <w:rPr>
                <w:rFonts w:eastAsiaTheme="minorEastAsia"/>
                <w:color w:val="auto"/>
                <w:sz w:val="21"/>
                <w:szCs w:val="21"/>
              </w:rPr>
            </w:pPr>
            <w:r>
              <w:rPr>
                <w:rFonts w:hint="eastAsia" w:eastAsiaTheme="minorEastAsia"/>
                <w:color w:val="auto"/>
                <w:sz w:val="21"/>
                <w:szCs w:val="21"/>
              </w:rPr>
              <w:t>20000</w:t>
            </w:r>
          </w:p>
        </w:tc>
        <w:tc>
          <w:tcPr>
            <w:tcW w:w="1087" w:type="dxa"/>
            <w:vAlign w:val="center"/>
          </w:tcPr>
          <w:p w14:paraId="0D2DD55B">
            <w:pPr>
              <w:spacing w:line="240" w:lineRule="auto"/>
              <w:ind w:firstLine="0" w:firstLineChars="0"/>
              <w:jc w:val="center"/>
              <w:rPr>
                <w:rFonts w:eastAsiaTheme="minorEastAsia"/>
                <w:color w:val="auto"/>
                <w:sz w:val="21"/>
                <w:szCs w:val="21"/>
              </w:rPr>
            </w:pPr>
            <w:r>
              <w:rPr>
                <w:rFonts w:hint="eastAsia"/>
                <w:color w:val="auto"/>
                <w:sz w:val="21"/>
                <w:szCs w:val="21"/>
              </w:rPr>
              <w:t>NH</w:t>
            </w:r>
            <w:r>
              <w:rPr>
                <w:rFonts w:hint="eastAsia"/>
                <w:color w:val="auto"/>
                <w:sz w:val="21"/>
                <w:szCs w:val="21"/>
                <w:vertAlign w:val="subscript"/>
              </w:rPr>
              <w:t>3</w:t>
            </w:r>
          </w:p>
        </w:tc>
        <w:tc>
          <w:tcPr>
            <w:tcW w:w="1319" w:type="dxa"/>
            <w:shd w:val="clear" w:color="auto" w:fill="auto"/>
            <w:vAlign w:val="center"/>
          </w:tcPr>
          <w:p w14:paraId="091613F8">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0.72</w:t>
            </w:r>
          </w:p>
        </w:tc>
        <w:tc>
          <w:tcPr>
            <w:tcW w:w="1308" w:type="dxa"/>
            <w:shd w:val="clear" w:color="auto" w:fill="auto"/>
            <w:vAlign w:val="center"/>
          </w:tcPr>
          <w:p w14:paraId="7076A554">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0.0143</w:t>
            </w:r>
          </w:p>
        </w:tc>
        <w:tc>
          <w:tcPr>
            <w:tcW w:w="1595" w:type="dxa"/>
            <w:vAlign w:val="center"/>
          </w:tcPr>
          <w:p w14:paraId="4569D79C">
            <w:pPr>
              <w:widowControl/>
              <w:spacing w:line="240" w:lineRule="auto"/>
              <w:ind w:firstLine="0" w:firstLineChars="0"/>
              <w:jc w:val="center"/>
              <w:rPr>
                <w:color w:val="auto"/>
                <w:sz w:val="21"/>
                <w:szCs w:val="21"/>
              </w:rPr>
            </w:pPr>
            <w:r>
              <w:rPr>
                <w:rFonts w:hint="eastAsia"/>
                <w:color w:val="auto"/>
                <w:sz w:val="21"/>
                <w:szCs w:val="21"/>
              </w:rPr>
              <w:t>1</w:t>
            </w:r>
          </w:p>
        </w:tc>
      </w:tr>
      <w:tr w14:paraId="02085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4" w:type="dxa"/>
            <w:vMerge w:val="continue"/>
            <w:vAlign w:val="center"/>
          </w:tcPr>
          <w:p w14:paraId="3E106DAB">
            <w:pPr>
              <w:pStyle w:val="276"/>
              <w:rPr>
                <w:color w:val="auto"/>
              </w:rPr>
            </w:pPr>
          </w:p>
        </w:tc>
        <w:tc>
          <w:tcPr>
            <w:tcW w:w="1631" w:type="dxa"/>
            <w:vMerge w:val="continue"/>
            <w:vAlign w:val="center"/>
          </w:tcPr>
          <w:p w14:paraId="77352AC2">
            <w:pPr>
              <w:adjustRightInd/>
              <w:snapToGrid/>
              <w:spacing w:line="240" w:lineRule="auto"/>
              <w:ind w:firstLine="0" w:firstLineChars="0"/>
              <w:jc w:val="center"/>
              <w:rPr>
                <w:rFonts w:eastAsiaTheme="minorEastAsia"/>
                <w:color w:val="auto"/>
                <w:sz w:val="21"/>
                <w:szCs w:val="21"/>
              </w:rPr>
            </w:pPr>
          </w:p>
        </w:tc>
        <w:tc>
          <w:tcPr>
            <w:tcW w:w="1087" w:type="dxa"/>
            <w:vAlign w:val="center"/>
          </w:tcPr>
          <w:p w14:paraId="77C80555">
            <w:pPr>
              <w:spacing w:line="240" w:lineRule="auto"/>
              <w:ind w:firstLine="0" w:firstLineChars="0"/>
              <w:jc w:val="center"/>
              <w:rPr>
                <w:bCs/>
                <w:color w:val="auto"/>
                <w:sz w:val="21"/>
                <w:szCs w:val="21"/>
              </w:rPr>
            </w:pPr>
            <w:r>
              <w:rPr>
                <w:rFonts w:hint="eastAsia"/>
                <w:color w:val="auto"/>
                <w:sz w:val="21"/>
                <w:szCs w:val="21"/>
              </w:rPr>
              <w:t>H</w:t>
            </w:r>
            <w:r>
              <w:rPr>
                <w:rFonts w:hint="eastAsia"/>
                <w:color w:val="auto"/>
                <w:sz w:val="21"/>
                <w:szCs w:val="21"/>
                <w:vertAlign w:val="subscript"/>
              </w:rPr>
              <w:t>2</w:t>
            </w:r>
            <w:r>
              <w:rPr>
                <w:rFonts w:hint="eastAsia"/>
                <w:color w:val="auto"/>
                <w:sz w:val="21"/>
                <w:szCs w:val="21"/>
              </w:rPr>
              <w:t>S</w:t>
            </w:r>
          </w:p>
        </w:tc>
        <w:tc>
          <w:tcPr>
            <w:tcW w:w="1319" w:type="dxa"/>
            <w:shd w:val="clear" w:color="auto" w:fill="auto"/>
            <w:vAlign w:val="center"/>
          </w:tcPr>
          <w:p w14:paraId="1A7ECA7B">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0.09</w:t>
            </w:r>
          </w:p>
        </w:tc>
        <w:tc>
          <w:tcPr>
            <w:tcW w:w="1308" w:type="dxa"/>
            <w:shd w:val="clear" w:color="auto" w:fill="auto"/>
            <w:vAlign w:val="center"/>
          </w:tcPr>
          <w:p w14:paraId="183036BB">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 xml:space="preserve">0.0017 </w:t>
            </w:r>
          </w:p>
        </w:tc>
        <w:tc>
          <w:tcPr>
            <w:tcW w:w="1595" w:type="dxa"/>
            <w:vAlign w:val="center"/>
          </w:tcPr>
          <w:p w14:paraId="5EF991B7">
            <w:pPr>
              <w:widowControl/>
              <w:adjustRightInd/>
              <w:snapToGrid/>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1</w:t>
            </w:r>
          </w:p>
        </w:tc>
      </w:tr>
      <w:tr w14:paraId="6F8B1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4" w:type="dxa"/>
            <w:vMerge w:val="continue"/>
            <w:vAlign w:val="center"/>
          </w:tcPr>
          <w:p w14:paraId="72F419D2">
            <w:pPr>
              <w:pStyle w:val="276"/>
              <w:rPr>
                <w:color w:val="auto"/>
              </w:rPr>
            </w:pPr>
          </w:p>
        </w:tc>
        <w:tc>
          <w:tcPr>
            <w:tcW w:w="1631" w:type="dxa"/>
            <w:vMerge w:val="continue"/>
            <w:vAlign w:val="center"/>
          </w:tcPr>
          <w:p w14:paraId="3E456AA8">
            <w:pPr>
              <w:adjustRightInd/>
              <w:snapToGrid/>
              <w:spacing w:line="240" w:lineRule="auto"/>
              <w:ind w:firstLine="0" w:firstLineChars="0"/>
              <w:jc w:val="center"/>
              <w:rPr>
                <w:rFonts w:eastAsiaTheme="minorEastAsia"/>
                <w:color w:val="auto"/>
                <w:sz w:val="21"/>
                <w:szCs w:val="21"/>
              </w:rPr>
            </w:pPr>
          </w:p>
        </w:tc>
        <w:tc>
          <w:tcPr>
            <w:tcW w:w="1087" w:type="dxa"/>
            <w:vAlign w:val="center"/>
          </w:tcPr>
          <w:p w14:paraId="1730ADF8">
            <w:pPr>
              <w:spacing w:line="240" w:lineRule="auto"/>
              <w:ind w:firstLine="0" w:firstLineChars="0"/>
              <w:jc w:val="center"/>
              <w:rPr>
                <w:bCs/>
                <w:color w:val="auto"/>
                <w:sz w:val="21"/>
                <w:szCs w:val="21"/>
              </w:rPr>
            </w:pPr>
            <w:r>
              <w:rPr>
                <w:rFonts w:hint="eastAsia"/>
                <w:color w:val="auto"/>
                <w:kern w:val="0"/>
                <w:sz w:val="21"/>
                <w:szCs w:val="21"/>
                <w:lang w:bidi="ar"/>
              </w:rPr>
              <w:t>非甲烷总烃</w:t>
            </w:r>
          </w:p>
        </w:tc>
        <w:tc>
          <w:tcPr>
            <w:tcW w:w="1319" w:type="dxa"/>
            <w:vAlign w:val="center"/>
          </w:tcPr>
          <w:p w14:paraId="5BE9924C">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4.6</w:t>
            </w:r>
          </w:p>
        </w:tc>
        <w:tc>
          <w:tcPr>
            <w:tcW w:w="1308" w:type="dxa"/>
            <w:vAlign w:val="center"/>
          </w:tcPr>
          <w:p w14:paraId="6099BD7F">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 xml:space="preserve">0.092 </w:t>
            </w:r>
          </w:p>
        </w:tc>
        <w:tc>
          <w:tcPr>
            <w:tcW w:w="1595" w:type="dxa"/>
            <w:vAlign w:val="center"/>
          </w:tcPr>
          <w:p w14:paraId="76A29DDB">
            <w:pPr>
              <w:widowControl/>
              <w:adjustRightInd/>
              <w:snapToGrid/>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1</w:t>
            </w:r>
          </w:p>
        </w:tc>
      </w:tr>
    </w:tbl>
    <w:p w14:paraId="47169F36">
      <w:pPr>
        <w:ind w:firstLineChars="83"/>
        <w:jc w:val="center"/>
        <w:rPr>
          <w:b/>
          <w:bCs/>
          <w:color w:val="auto"/>
          <w:szCs w:val="24"/>
        </w:rPr>
      </w:pPr>
    </w:p>
    <w:p w14:paraId="2729F058">
      <w:pPr>
        <w:pStyle w:val="4"/>
        <w:numPr>
          <w:ilvl w:val="0"/>
          <w:numId w:val="0"/>
        </w:numPr>
        <w:spacing w:line="360" w:lineRule="auto"/>
        <w:rPr>
          <w:color w:val="auto"/>
        </w:rPr>
      </w:pPr>
      <w:bookmarkStart w:id="162" w:name="_Toc28240"/>
      <w:r>
        <w:rPr>
          <w:color w:val="auto"/>
        </w:rPr>
        <w:t>3.16</w:t>
      </w:r>
      <w:r>
        <w:rPr>
          <w:rFonts w:hint="eastAsia"/>
          <w:color w:val="auto"/>
        </w:rPr>
        <w:t>总量控制</w:t>
      </w:r>
      <w:bookmarkEnd w:id="162"/>
    </w:p>
    <w:p w14:paraId="100DAA36">
      <w:pPr>
        <w:pStyle w:val="35"/>
        <w:spacing w:line="360" w:lineRule="auto"/>
        <w:ind w:left="0" w:leftChars="0" w:firstLine="480"/>
        <w:rPr>
          <w:color w:val="auto"/>
          <w:szCs w:val="24"/>
        </w:rPr>
      </w:pPr>
      <w:r>
        <w:rPr>
          <w:color w:val="auto"/>
          <w:szCs w:val="24"/>
        </w:rPr>
        <w:t>拟建项目完成后污染物排放总量如下：</w:t>
      </w:r>
    </w:p>
    <w:p w14:paraId="0A976B99">
      <w:pPr>
        <w:pStyle w:val="35"/>
        <w:spacing w:line="360" w:lineRule="auto"/>
        <w:ind w:left="0" w:leftChars="0" w:firstLine="480"/>
        <w:rPr>
          <w:color w:val="auto"/>
          <w:szCs w:val="24"/>
        </w:rPr>
      </w:pPr>
      <w:r>
        <w:rPr>
          <w:color w:val="auto"/>
          <w:szCs w:val="24"/>
        </w:rPr>
        <w:t>（1）废水</w:t>
      </w:r>
    </w:p>
    <w:p w14:paraId="6A898824">
      <w:pPr>
        <w:spacing w:line="360" w:lineRule="auto"/>
        <w:ind w:firstLine="480"/>
        <w:rPr>
          <w:color w:val="auto"/>
        </w:rPr>
      </w:pPr>
      <w:r>
        <w:rPr>
          <w:rFonts w:hint="eastAsia"/>
          <w:color w:val="auto"/>
        </w:rPr>
        <w:t>拟建项目废水排放执行</w:t>
      </w:r>
      <w:r>
        <w:rPr>
          <w:rFonts w:hint="eastAsia"/>
          <w:color w:val="auto"/>
          <w:lang w:eastAsia="zh-CN"/>
        </w:rPr>
        <w:t>《页岩气开采水污染物排放标准》（DB50/1806-2025）间接排放标准限值后直接接入乌杨组团园区污水处理厂</w:t>
      </w:r>
      <w:r>
        <w:rPr>
          <w:rFonts w:hint="eastAsia"/>
          <w:color w:val="auto"/>
        </w:rPr>
        <w:t>进行深度处理达《城镇污水处理厂污染物排放标准》（GB18918-2002）一级 A 标准后排入</w:t>
      </w:r>
      <w:r>
        <w:rPr>
          <w:rFonts w:hint="eastAsia"/>
          <w:color w:val="auto"/>
          <w:lang w:eastAsia="zh-CN"/>
        </w:rPr>
        <w:t>长江</w:t>
      </w:r>
      <w:r>
        <w:rPr>
          <w:rFonts w:hint="eastAsia"/>
          <w:color w:val="auto"/>
        </w:rPr>
        <w:t>。</w:t>
      </w:r>
    </w:p>
    <w:p w14:paraId="5A39CBCC">
      <w:pPr>
        <w:spacing w:line="360" w:lineRule="auto"/>
        <w:ind w:firstLine="480"/>
        <w:rPr>
          <w:color w:val="auto"/>
        </w:rPr>
      </w:pPr>
      <w:r>
        <w:rPr>
          <w:rFonts w:hint="eastAsia"/>
          <w:color w:val="auto"/>
          <w:lang w:eastAsia="zh-CN"/>
        </w:rPr>
        <w:t>水污染物排放总量</w:t>
      </w:r>
      <w:r>
        <w:rPr>
          <w:rFonts w:hint="eastAsia"/>
          <w:color w:val="auto"/>
        </w:rPr>
        <w:t>：</w:t>
      </w:r>
      <w:r>
        <w:rPr>
          <w:color w:val="auto"/>
        </w:rPr>
        <w:t>COD</w:t>
      </w:r>
      <w:r>
        <w:rPr>
          <w:rFonts w:hint="eastAsia"/>
          <w:color w:val="auto"/>
        </w:rPr>
        <w:t>：</w:t>
      </w:r>
      <w:r>
        <w:rPr>
          <w:rFonts w:hint="eastAsia"/>
          <w:color w:val="auto"/>
          <w:lang w:eastAsia="zh-CN"/>
        </w:rPr>
        <w:t>29.37t/a</w:t>
      </w:r>
      <w:r>
        <w:rPr>
          <w:color w:val="auto"/>
        </w:rPr>
        <w:t>；NH</w:t>
      </w:r>
      <w:r>
        <w:rPr>
          <w:color w:val="auto"/>
          <w:vertAlign w:val="subscript"/>
        </w:rPr>
        <w:t>3</w:t>
      </w:r>
      <w:r>
        <w:rPr>
          <w:color w:val="auto"/>
        </w:rPr>
        <w:t>-N</w:t>
      </w:r>
      <w:r>
        <w:rPr>
          <w:rFonts w:hint="eastAsia"/>
          <w:color w:val="auto"/>
        </w:rPr>
        <w:t>：</w:t>
      </w:r>
      <w:r>
        <w:rPr>
          <w:rFonts w:eastAsia="等线"/>
          <w:color w:val="auto"/>
          <w:szCs w:val="21"/>
        </w:rPr>
        <w:t>4.7</w:t>
      </w:r>
      <w:r>
        <w:rPr>
          <w:rFonts w:hint="eastAsia" w:eastAsia="等线"/>
          <w:color w:val="auto"/>
          <w:szCs w:val="21"/>
          <w:lang w:val="en-US" w:eastAsia="zh-CN"/>
        </w:rPr>
        <w:t>0</w:t>
      </w:r>
      <w:r>
        <w:rPr>
          <w:color w:val="auto"/>
        </w:rPr>
        <w:t>t/a。</w:t>
      </w:r>
    </w:p>
    <w:p w14:paraId="40962744">
      <w:pPr>
        <w:pStyle w:val="35"/>
        <w:spacing w:line="360" w:lineRule="auto"/>
        <w:ind w:left="0" w:leftChars="0" w:firstLine="480"/>
        <w:rPr>
          <w:color w:val="auto"/>
          <w:szCs w:val="24"/>
          <w:lang w:val="en-US"/>
        </w:rPr>
      </w:pPr>
      <w:r>
        <w:rPr>
          <w:rFonts w:hint="eastAsia"/>
          <w:color w:val="auto"/>
          <w:szCs w:val="24"/>
          <w:lang w:val="en-US"/>
        </w:rPr>
        <w:t>（2）</w:t>
      </w:r>
      <w:r>
        <w:rPr>
          <w:rFonts w:hint="eastAsia"/>
          <w:color w:val="auto"/>
          <w:szCs w:val="24"/>
        </w:rPr>
        <w:t>废气</w:t>
      </w:r>
    </w:p>
    <w:p w14:paraId="05513971">
      <w:pPr>
        <w:spacing w:line="360" w:lineRule="auto"/>
        <w:ind w:firstLine="480"/>
        <w:rPr>
          <w:color w:val="auto"/>
          <w:szCs w:val="24"/>
        </w:rPr>
      </w:pPr>
      <w:r>
        <w:rPr>
          <w:rFonts w:hint="eastAsia"/>
          <w:color w:val="auto"/>
          <w:szCs w:val="24"/>
          <w:lang w:eastAsia="zh-CN"/>
        </w:rPr>
        <w:t>大气污染物排放总量：</w:t>
      </w:r>
      <w:r>
        <w:rPr>
          <w:rFonts w:hint="eastAsia"/>
          <w:color w:val="auto"/>
          <w:szCs w:val="24"/>
        </w:rPr>
        <w:t>氨：0</w:t>
      </w:r>
      <w:r>
        <w:rPr>
          <w:color w:val="auto"/>
          <w:szCs w:val="24"/>
        </w:rPr>
        <w:t>.037</w:t>
      </w:r>
      <w:r>
        <w:rPr>
          <w:rFonts w:hint="eastAsia"/>
          <w:color w:val="auto"/>
          <w:szCs w:val="24"/>
        </w:rPr>
        <w:t>t/a；硫化氢：0</w:t>
      </w:r>
      <w:r>
        <w:rPr>
          <w:color w:val="auto"/>
          <w:szCs w:val="24"/>
        </w:rPr>
        <w:t>.004</w:t>
      </w:r>
      <w:r>
        <w:rPr>
          <w:rFonts w:hint="eastAsia"/>
          <w:color w:val="auto"/>
          <w:szCs w:val="24"/>
        </w:rPr>
        <w:t>t/a；</w:t>
      </w:r>
      <w:r>
        <w:rPr>
          <w:rFonts w:hint="eastAsia"/>
          <w:color w:val="auto"/>
          <w:kern w:val="0"/>
          <w:szCs w:val="24"/>
          <w:lang w:bidi="ar"/>
        </w:rPr>
        <w:t>非甲烷总烃</w:t>
      </w:r>
      <w:r>
        <w:rPr>
          <w:rFonts w:hint="eastAsia"/>
          <w:color w:val="auto"/>
          <w:szCs w:val="24"/>
        </w:rPr>
        <w:t>：0.238t/a。</w:t>
      </w:r>
    </w:p>
    <w:p w14:paraId="25679878">
      <w:pPr>
        <w:pStyle w:val="35"/>
        <w:spacing w:line="360" w:lineRule="auto"/>
        <w:ind w:left="0" w:leftChars="0" w:firstLine="480"/>
        <w:rPr>
          <w:color w:val="auto"/>
          <w:szCs w:val="24"/>
          <w:lang w:val="en-US"/>
        </w:rPr>
      </w:pPr>
      <w:r>
        <w:rPr>
          <w:color w:val="auto"/>
          <w:szCs w:val="24"/>
          <w:lang w:val="en-US"/>
        </w:rPr>
        <w:br w:type="page"/>
      </w:r>
    </w:p>
    <w:p w14:paraId="6D391C6A">
      <w:pPr>
        <w:pStyle w:val="3"/>
        <w:numPr>
          <w:ilvl w:val="0"/>
          <w:numId w:val="0"/>
        </w:numPr>
        <w:spacing w:line="360" w:lineRule="auto"/>
        <w:rPr>
          <w:color w:val="auto"/>
          <w:szCs w:val="24"/>
        </w:rPr>
      </w:pPr>
      <w:bookmarkStart w:id="163" w:name="_Toc17419"/>
      <w:r>
        <w:rPr>
          <w:rFonts w:hint="eastAsia"/>
          <w:color w:val="auto"/>
          <w:sz w:val="24"/>
          <w:szCs w:val="24"/>
        </w:rPr>
        <w:t>4</w:t>
      </w:r>
      <w:r>
        <w:rPr>
          <w:color w:val="auto"/>
          <w:sz w:val="24"/>
          <w:szCs w:val="24"/>
        </w:rPr>
        <w:t>环境现状调查与评价</w:t>
      </w:r>
      <w:bookmarkEnd w:id="127"/>
      <w:bookmarkEnd w:id="128"/>
      <w:bookmarkEnd w:id="163"/>
    </w:p>
    <w:p w14:paraId="5734DBBC">
      <w:pPr>
        <w:pStyle w:val="4"/>
        <w:numPr>
          <w:ilvl w:val="0"/>
          <w:numId w:val="0"/>
        </w:numPr>
        <w:spacing w:line="360" w:lineRule="auto"/>
        <w:rPr>
          <w:color w:val="auto"/>
        </w:rPr>
      </w:pPr>
      <w:bookmarkStart w:id="164" w:name="_Toc436048373"/>
      <w:bookmarkStart w:id="165" w:name="_Toc432775522"/>
      <w:bookmarkStart w:id="166" w:name="_Toc430877181"/>
      <w:bookmarkStart w:id="167" w:name="_Toc430877372"/>
      <w:bookmarkStart w:id="168" w:name="_Toc462350291"/>
      <w:bookmarkStart w:id="169" w:name="_Toc432775354"/>
      <w:bookmarkStart w:id="170" w:name="_Toc472509310"/>
      <w:bookmarkStart w:id="171" w:name="_Toc396234204"/>
      <w:bookmarkStart w:id="172" w:name="_Toc4151"/>
      <w:r>
        <w:rPr>
          <w:rFonts w:hint="eastAsia"/>
          <w:color w:val="auto"/>
        </w:rPr>
        <w:t>4</w:t>
      </w:r>
      <w:r>
        <w:rPr>
          <w:color w:val="auto"/>
        </w:rPr>
        <w:t>.1自然环境</w:t>
      </w:r>
      <w:bookmarkEnd w:id="164"/>
      <w:bookmarkEnd w:id="165"/>
      <w:bookmarkEnd w:id="166"/>
      <w:bookmarkEnd w:id="167"/>
      <w:bookmarkEnd w:id="168"/>
      <w:bookmarkEnd w:id="169"/>
      <w:bookmarkEnd w:id="170"/>
      <w:bookmarkEnd w:id="171"/>
      <w:r>
        <w:rPr>
          <w:color w:val="auto"/>
        </w:rPr>
        <w:t>概况</w:t>
      </w:r>
      <w:bookmarkEnd w:id="172"/>
    </w:p>
    <w:p w14:paraId="6409F46A">
      <w:pPr>
        <w:pStyle w:val="5"/>
        <w:numPr>
          <w:ilvl w:val="0"/>
          <w:numId w:val="0"/>
        </w:numPr>
        <w:spacing w:line="360" w:lineRule="auto"/>
        <w:rPr>
          <w:color w:val="auto"/>
        </w:rPr>
      </w:pPr>
      <w:bookmarkStart w:id="173" w:name="_Toc460424231"/>
      <w:r>
        <w:rPr>
          <w:rFonts w:hint="eastAsia"/>
          <w:color w:val="auto"/>
        </w:rPr>
        <w:t>4</w:t>
      </w:r>
      <w:r>
        <w:rPr>
          <w:color w:val="auto"/>
        </w:rPr>
        <w:t>.1.1地理位置</w:t>
      </w:r>
      <w:bookmarkEnd w:id="173"/>
    </w:p>
    <w:p w14:paraId="061DCC28">
      <w:pPr>
        <w:spacing w:before="24" w:after="24"/>
        <w:ind w:firstLine="480"/>
        <w:rPr>
          <w:color w:val="auto"/>
        </w:rPr>
      </w:pPr>
      <w:r>
        <w:rPr>
          <w:color w:val="auto"/>
        </w:rPr>
        <w:t>忠县位于重庆市中部</w:t>
      </w:r>
      <w:r>
        <w:rPr>
          <w:rFonts w:hint="eastAsia"/>
          <w:color w:val="auto"/>
        </w:rPr>
        <w:t>，地跨</w:t>
      </w:r>
      <w:r>
        <w:rPr>
          <w:color w:val="auto"/>
        </w:rPr>
        <w:t>东经</w:t>
      </w:r>
      <w:r>
        <w:rPr>
          <w:rFonts w:cs="Times New Roman"/>
          <w:color w:val="auto"/>
        </w:rPr>
        <w:t>107°32′~108°14′，北纬30°03′~30°53′</w:t>
      </w:r>
      <w:r>
        <w:rPr>
          <w:rFonts w:hint="eastAsia"/>
          <w:color w:val="auto"/>
        </w:rPr>
        <w:t>之间，地处三峡库区腹心地带。东临万州区，南连石柱县，西接垫江县、丰都县，北壤梁平</w:t>
      </w:r>
      <w:r>
        <w:rPr>
          <w:rFonts w:hint="eastAsia"/>
          <w:color w:val="auto"/>
          <w:lang w:eastAsia="zh-CN"/>
        </w:rPr>
        <w:t>区</w:t>
      </w:r>
      <w:r>
        <w:rPr>
          <w:rFonts w:hint="eastAsia"/>
          <w:color w:val="auto"/>
        </w:rPr>
        <w:t>。距重庆市主城区160 km，“沪蓉”高速公路穿越县境。</w:t>
      </w:r>
      <w:r>
        <w:rPr>
          <w:rFonts w:hint="eastAsia"/>
          <w:color w:val="auto"/>
          <w:lang w:eastAsia="zh-CN"/>
        </w:rPr>
        <w:t>辖区面积</w:t>
      </w:r>
      <w:r>
        <w:rPr>
          <w:rFonts w:hint="eastAsia"/>
          <w:color w:val="auto"/>
        </w:rPr>
        <w:t>2187 km</w:t>
      </w:r>
      <w:r>
        <w:rPr>
          <w:rFonts w:hint="eastAsia"/>
          <w:color w:val="auto"/>
          <w:vertAlign w:val="superscript"/>
        </w:rPr>
        <w:t>2</w:t>
      </w:r>
      <w:r>
        <w:rPr>
          <w:rFonts w:hint="eastAsia"/>
          <w:color w:val="auto"/>
        </w:rPr>
        <w:t>，东西长66.45 km，南北宽60.15 km。全县有28个乡镇，318个行政村和47个社区居委会。忠县境内呈“三山两槽”地形，系深丘浅丘夹山脉地貌，海拔117 m至1680 m。长江“黄精水道”横贯县境88 km，汇合溪流28条。</w:t>
      </w:r>
    </w:p>
    <w:p w14:paraId="482E7E51">
      <w:pPr>
        <w:spacing w:line="360" w:lineRule="auto"/>
        <w:ind w:firstLine="480"/>
        <w:rPr>
          <w:bCs/>
          <w:color w:val="auto"/>
        </w:rPr>
      </w:pPr>
      <w:r>
        <w:rPr>
          <w:rFonts w:hint="eastAsia"/>
          <w:color w:val="auto"/>
        </w:rPr>
        <w:t>乌杨镇地处长江南岸，距忠县县城19 km，东邻东溪镇、磨子土家族自治乡，南与石柱县万朝乡、石子乡接壤，西与洋渡镇相邻，北与新生镇隔江相望。全镇</w:t>
      </w:r>
      <w:r>
        <w:rPr>
          <w:rFonts w:hint="eastAsia"/>
          <w:color w:val="auto"/>
          <w:lang w:eastAsia="zh-CN"/>
        </w:rPr>
        <w:t>辖区面积</w:t>
      </w:r>
      <w:r>
        <w:rPr>
          <w:rFonts w:hint="eastAsia"/>
          <w:color w:val="auto"/>
        </w:rPr>
        <w:t>103 km</w:t>
      </w:r>
      <w:r>
        <w:rPr>
          <w:rFonts w:hint="eastAsia"/>
          <w:color w:val="auto"/>
          <w:vertAlign w:val="superscript"/>
        </w:rPr>
        <w:t>2</w:t>
      </w:r>
      <w:r>
        <w:rPr>
          <w:rFonts w:hint="eastAsia"/>
          <w:color w:val="auto"/>
        </w:rPr>
        <w:t>，</w:t>
      </w:r>
      <w:r>
        <w:rPr>
          <w:color w:val="auto"/>
        </w:rPr>
        <w:t>距沪蓉高速路长江大桥2</w:t>
      </w:r>
      <w:r>
        <w:rPr>
          <w:rFonts w:hint="eastAsia"/>
          <w:color w:val="auto"/>
        </w:rPr>
        <w:t xml:space="preserve"> km</w:t>
      </w:r>
      <w:r>
        <w:rPr>
          <w:color w:val="auto"/>
        </w:rPr>
        <w:t>，</w:t>
      </w:r>
      <w:r>
        <w:rPr>
          <w:rFonts w:hint="eastAsia"/>
          <w:color w:val="auto"/>
        </w:rPr>
        <w:t>交通条件十分便利</w:t>
      </w:r>
      <w:r>
        <w:rPr>
          <w:rFonts w:hint="eastAsia"/>
          <w:bCs/>
          <w:color w:val="auto"/>
        </w:rPr>
        <w:t>。</w:t>
      </w:r>
    </w:p>
    <w:p w14:paraId="739DC9C9">
      <w:pPr>
        <w:spacing w:line="360" w:lineRule="auto"/>
        <w:ind w:firstLine="480"/>
        <w:rPr>
          <w:color w:val="auto"/>
          <w:szCs w:val="24"/>
        </w:rPr>
      </w:pPr>
      <w:r>
        <w:rPr>
          <w:rFonts w:hint="eastAsia"/>
          <w:bCs/>
          <w:color w:val="auto"/>
        </w:rPr>
        <w:t>拟建项目位于</w:t>
      </w:r>
      <w:r>
        <w:rPr>
          <w:rFonts w:hint="eastAsia"/>
          <w:bCs/>
          <w:color w:val="auto"/>
          <w:lang w:eastAsia="zh-CN"/>
        </w:rPr>
        <w:t>忠县工业园乌杨组团园区污水处理厂二期预留用地范围内</w:t>
      </w:r>
      <w:r>
        <w:rPr>
          <w:rFonts w:hint="eastAsia"/>
          <w:color w:val="auto"/>
          <w:szCs w:val="24"/>
        </w:rPr>
        <w:t>，</w:t>
      </w:r>
      <w:r>
        <w:rPr>
          <w:color w:val="auto"/>
          <w:szCs w:val="24"/>
        </w:rPr>
        <w:t>具体位置见附图</w:t>
      </w:r>
      <w:r>
        <w:rPr>
          <w:rFonts w:hint="eastAsia"/>
          <w:color w:val="auto"/>
          <w:szCs w:val="24"/>
        </w:rPr>
        <w:t>1。</w:t>
      </w:r>
    </w:p>
    <w:p w14:paraId="3CE311DC">
      <w:pPr>
        <w:pStyle w:val="5"/>
        <w:numPr>
          <w:ilvl w:val="0"/>
          <w:numId w:val="0"/>
        </w:numPr>
        <w:spacing w:line="360" w:lineRule="auto"/>
        <w:rPr>
          <w:color w:val="auto"/>
        </w:rPr>
      </w:pPr>
      <w:r>
        <w:rPr>
          <w:rFonts w:hint="eastAsia"/>
          <w:color w:val="auto"/>
        </w:rPr>
        <w:t>4</w:t>
      </w:r>
      <w:r>
        <w:rPr>
          <w:color w:val="auto"/>
        </w:rPr>
        <w:t>.1.2地形</w:t>
      </w:r>
      <w:r>
        <w:rPr>
          <w:rFonts w:hint="eastAsia"/>
          <w:color w:val="auto"/>
        </w:rPr>
        <w:t>、</w:t>
      </w:r>
      <w:r>
        <w:rPr>
          <w:color w:val="auto"/>
        </w:rPr>
        <w:t>地貌</w:t>
      </w:r>
      <w:r>
        <w:rPr>
          <w:rFonts w:hint="eastAsia"/>
          <w:color w:val="auto"/>
        </w:rPr>
        <w:t>、地质</w:t>
      </w:r>
    </w:p>
    <w:p w14:paraId="73340AC2">
      <w:pPr>
        <w:spacing w:before="24" w:after="24"/>
        <w:ind w:firstLine="480"/>
        <w:rPr>
          <w:color w:val="auto"/>
        </w:rPr>
      </w:pPr>
      <w:r>
        <w:rPr>
          <w:rFonts w:hint="eastAsia"/>
          <w:color w:val="auto"/>
        </w:rPr>
        <w:t>忠县属川东褶皱带平行岭谷区，是典型的丘陵县。全境由金华山、猫耳山、方斗山三个背斜和拔山、忠州两个向斜构成，整个地形地貌为“三山两槽”，呈“W”状。背斜低山面积占全县总面积的9%，向斜槽谷丘陵面积占全县总面积的91%。金华山与猫耳山之间相距22 km，其间是较开阔的浅丘地带；猫耳山与方斗山之间相距13 km，多为深丘地带。全境由河谷到山峰，高低悬殊较大，最低海拔117.5 m，最高海拔1680.3 m，约70%的地区</w:t>
      </w:r>
      <w:r>
        <w:rPr>
          <w:rFonts w:hint="eastAsia"/>
          <w:color w:val="auto"/>
          <w:lang w:eastAsia="zh-CN"/>
        </w:rPr>
        <w:t>海拔</w:t>
      </w:r>
      <w:r>
        <w:rPr>
          <w:rFonts w:hint="eastAsia"/>
          <w:color w:val="auto"/>
        </w:rPr>
        <w:t>为300～600 m之间。</w:t>
      </w:r>
    </w:p>
    <w:p w14:paraId="06C23DD1">
      <w:pPr>
        <w:spacing w:before="24" w:after="24"/>
        <w:ind w:firstLine="480"/>
        <w:rPr>
          <w:color w:val="auto"/>
        </w:rPr>
      </w:pPr>
      <w:r>
        <w:rPr>
          <w:rFonts w:hint="eastAsia"/>
          <w:color w:val="auto"/>
        </w:rPr>
        <w:t>全境从西北至东南依次由金华山、猫耳山、方斗山三个背斜和拔山、忠州两个向斜构成。背斜与向斜相间排列，形成隔挡式构造。</w:t>
      </w:r>
    </w:p>
    <w:p w14:paraId="57F9B724">
      <w:pPr>
        <w:spacing w:before="24" w:after="24"/>
        <w:ind w:firstLine="480"/>
        <w:rPr>
          <w:color w:val="auto"/>
        </w:rPr>
      </w:pPr>
      <w:r>
        <w:rPr>
          <w:rFonts w:hint="eastAsia"/>
          <w:color w:val="auto"/>
        </w:rPr>
        <w:t>忠县地层简单，仅有新生代第四纪全新统至古生代二迭系茅口组，共13个地层。其中以中生代侏罗系地层</w:t>
      </w:r>
      <w:r>
        <w:rPr>
          <w:rFonts w:hint="eastAsia"/>
          <w:color w:val="auto"/>
          <w:lang w:eastAsia="zh-CN"/>
        </w:rPr>
        <w:t>分布</w:t>
      </w:r>
      <w:r>
        <w:rPr>
          <w:rFonts w:hint="eastAsia"/>
          <w:color w:val="auto"/>
        </w:rPr>
        <w:t>最广。全县岩层均为西南至东北走向。以背斜轴为中心线呈对称长状分布，背斜南东翼倾角较大，出露地层狭长。北西翼倾角略小，北南东翼相同地层出露宽；背斜轴部到向斜轴部地层由老到新依次出露。</w:t>
      </w:r>
    </w:p>
    <w:p w14:paraId="78FF57E5">
      <w:pPr>
        <w:spacing w:before="24" w:after="24"/>
        <w:ind w:firstLine="480"/>
        <w:rPr>
          <w:color w:val="auto"/>
        </w:rPr>
      </w:pPr>
      <w:r>
        <w:rPr>
          <w:rFonts w:hint="eastAsia"/>
          <w:color w:val="auto"/>
        </w:rPr>
        <w:t>忠县地层出露不多，成土母质简单。按岩性和风化物属性地层大致可分为9种类型。即：第四纪新冲积紫色冲积物；第四纪灰棕色冲积物；第四纪老冲积黄色冲积物；侏罗系蓬莱镇组棕紫色砂、泥岩风化物；侏罗系遂宁组红棕紫色泥页岩风化物；三迭系须家河组黄色长石、石英砂岩、石英粉砂岩；侏罗系自流井组珍珠冲段黄色酸性风化物；三迭系、二迭系、石灰岩风化物。</w:t>
      </w:r>
    </w:p>
    <w:p w14:paraId="0ABDDA8C">
      <w:pPr>
        <w:spacing w:before="24" w:after="24"/>
        <w:ind w:firstLine="480"/>
        <w:rPr>
          <w:color w:val="auto"/>
        </w:rPr>
      </w:pPr>
      <w:r>
        <w:rPr>
          <w:rFonts w:hint="eastAsia"/>
          <w:color w:val="auto"/>
        </w:rPr>
        <w:t>据“中国地震烈度区划图（1990）”和重庆建委发</w:t>
      </w:r>
      <w:r>
        <w:rPr>
          <w:rFonts w:hint="eastAsia"/>
          <w:color w:val="auto"/>
          <w:lang w:eastAsia="zh-CN"/>
        </w:rPr>
        <w:t>〔1993〕223号</w:t>
      </w:r>
      <w:r>
        <w:rPr>
          <w:rFonts w:hint="eastAsia"/>
          <w:color w:val="auto"/>
        </w:rPr>
        <w:t>文，重庆忠县地震基本烈度为6度。</w:t>
      </w:r>
    </w:p>
    <w:p w14:paraId="3C34CFF7">
      <w:pPr>
        <w:spacing w:line="360" w:lineRule="auto"/>
        <w:ind w:firstLine="480"/>
        <w:rPr>
          <w:rFonts w:hint="eastAsia"/>
          <w:color w:val="auto"/>
        </w:rPr>
      </w:pPr>
      <w:r>
        <w:rPr>
          <w:rFonts w:hint="eastAsia"/>
          <w:color w:val="auto"/>
        </w:rPr>
        <w:t>乌杨镇属渝东北平行弧褶皱带平行岭谷，主要为单斜中丘，河谷中丘地貌。全镇从河谷至山峰</w:t>
      </w:r>
      <w:r>
        <w:rPr>
          <w:rFonts w:hint="eastAsia"/>
          <w:color w:val="auto"/>
          <w:lang w:eastAsia="zh-CN"/>
        </w:rPr>
        <w:t>高低</w:t>
      </w:r>
      <w:r>
        <w:rPr>
          <w:rFonts w:hint="eastAsia"/>
          <w:color w:val="auto"/>
        </w:rPr>
        <w:t>差变化大，最低海拔为125 m，最高海拔为723 m，最低点为塘土，最高点为高寨村，80%的地区</w:t>
      </w:r>
      <w:r>
        <w:rPr>
          <w:rFonts w:hint="eastAsia"/>
          <w:color w:val="auto"/>
          <w:lang w:eastAsia="zh-CN"/>
        </w:rPr>
        <w:t>海拔</w:t>
      </w:r>
      <w:r>
        <w:rPr>
          <w:rFonts w:hint="eastAsia"/>
          <w:color w:val="auto"/>
        </w:rPr>
        <w:t>在175 m至700 m之间。东溪镇为典型丘陵地形，最低海拔为126 m，最高海拔为531 m。</w:t>
      </w:r>
    </w:p>
    <w:p w14:paraId="1ED68D77">
      <w:pPr>
        <w:pStyle w:val="399"/>
        <w:ind w:firstLine="480"/>
        <w:rPr>
          <w:color w:val="auto"/>
        </w:rPr>
      </w:pPr>
      <w:r>
        <w:rPr>
          <w:color w:val="auto"/>
        </w:rPr>
        <w:t>场地</w:t>
      </w:r>
      <w:r>
        <w:rPr>
          <w:rFonts w:hint="eastAsia"/>
          <w:color w:val="auto"/>
        </w:rPr>
        <w:t>处于忠县向斜近轴部</w:t>
      </w:r>
      <w:r>
        <w:rPr>
          <w:color w:val="auto"/>
        </w:rPr>
        <w:t>，岩层产状</w:t>
      </w:r>
      <w:r>
        <w:rPr>
          <w:rFonts w:hint="eastAsia"/>
          <w:color w:val="auto"/>
        </w:rPr>
        <w:t>310～320</w:t>
      </w:r>
      <w:r>
        <w:rPr>
          <w:color w:val="auto"/>
        </w:rPr>
        <w:sym w:font="Symbol" w:char="F0B0"/>
      </w:r>
      <w:r>
        <w:rPr>
          <w:color w:val="auto"/>
        </w:rPr>
        <w:sym w:font="Symbol" w:char="F0D0"/>
      </w:r>
      <w:r>
        <w:rPr>
          <w:rFonts w:hint="eastAsia"/>
          <w:color w:val="auto"/>
        </w:rPr>
        <w:t>5～10</w:t>
      </w:r>
      <w:r>
        <w:rPr>
          <w:color w:val="auto"/>
        </w:rPr>
        <w:sym w:font="Symbol" w:char="F0B0"/>
      </w:r>
      <w:r>
        <w:rPr>
          <w:rFonts w:hint="eastAsia"/>
          <w:color w:val="auto"/>
        </w:rPr>
        <w:t>，呈单斜状产出。区域地层主要为侏罗系上统蓬莱镇组砂岩、泥岩互层。区内无大型活动断层，从附近基岸露头点测得两组构造裂隙，发育程度为不发育～较发育。裂隙情况描述如下：</w:t>
      </w:r>
    </w:p>
    <w:p w14:paraId="7A52B99B">
      <w:pPr>
        <w:pStyle w:val="399"/>
        <w:ind w:firstLine="480"/>
        <w:rPr>
          <w:color w:val="auto"/>
        </w:rPr>
      </w:pPr>
      <w:r>
        <w:rPr>
          <w:rFonts w:hint="eastAsia"/>
          <w:color w:val="auto"/>
        </w:rPr>
        <w:t>J1：197°∠72°，裂面平直～微弯，延伸长度3～15m，裂隙间距1.5～4m，张开度2～35mm，多为无充填；局部受卸荷作用影响，张开度达150mm，有粘土充填。</w:t>
      </w:r>
    </w:p>
    <w:p w14:paraId="49A76C26">
      <w:pPr>
        <w:spacing w:line="360" w:lineRule="auto"/>
        <w:ind w:firstLine="480"/>
        <w:rPr>
          <w:rFonts w:hint="eastAsia"/>
          <w:color w:val="auto"/>
        </w:rPr>
      </w:pPr>
      <w:r>
        <w:rPr>
          <w:rFonts w:hint="eastAsia"/>
          <w:color w:val="auto"/>
        </w:rPr>
        <w:t>J2：301°∠69°，裂面平直，延伸长度2～8m，裂隙间距2～6m，闭合～微张，无充填。</w:t>
      </w:r>
    </w:p>
    <w:p w14:paraId="3D46CCF9">
      <w:pPr>
        <w:pStyle w:val="5"/>
        <w:numPr>
          <w:ilvl w:val="0"/>
          <w:numId w:val="0"/>
        </w:numPr>
        <w:spacing w:line="360" w:lineRule="auto"/>
        <w:rPr>
          <w:color w:val="auto"/>
        </w:rPr>
      </w:pPr>
      <w:r>
        <w:rPr>
          <w:rFonts w:hint="eastAsia"/>
          <w:color w:val="auto"/>
        </w:rPr>
        <w:t>4</w:t>
      </w:r>
      <w:r>
        <w:rPr>
          <w:color w:val="auto"/>
        </w:rPr>
        <w:t>.1.</w:t>
      </w:r>
      <w:r>
        <w:rPr>
          <w:rFonts w:hint="eastAsia"/>
          <w:color w:val="auto"/>
          <w:lang w:val="en-US"/>
        </w:rPr>
        <w:t>3</w:t>
      </w:r>
      <w:r>
        <w:rPr>
          <w:color w:val="auto"/>
        </w:rPr>
        <w:t>气候气象</w:t>
      </w:r>
    </w:p>
    <w:p w14:paraId="381F7FC6">
      <w:pPr>
        <w:spacing w:before="24" w:after="24"/>
        <w:ind w:firstLine="480"/>
        <w:rPr>
          <w:color w:val="auto"/>
        </w:rPr>
      </w:pPr>
      <w:r>
        <w:rPr>
          <w:rFonts w:hint="eastAsia"/>
          <w:color w:val="auto"/>
        </w:rPr>
        <w:t>忠县地处暖湿亚热带东南季风区，属亚热带东南季风区山地气候。气候温热凉寒，四季分明；降雨充沛，夏丰冬欠；日照充足，夏多冬少。</w:t>
      </w:r>
    </w:p>
    <w:p w14:paraId="48945A87">
      <w:pPr>
        <w:spacing w:line="360" w:lineRule="auto"/>
        <w:ind w:firstLine="480"/>
        <w:rPr>
          <w:color w:val="auto"/>
          <w:szCs w:val="24"/>
        </w:rPr>
      </w:pPr>
      <w:r>
        <w:rPr>
          <w:rFonts w:hint="eastAsia"/>
          <w:color w:val="auto"/>
        </w:rPr>
        <w:t>忠县多年月平均温度1月最低，为7.24℃，7月份平均温度最高，为28.59℃，多年平均温度为18.1℃，极端最低气温-3.1℃，极端最高气温42.7℃。多平均年降雨量1234.8 mm，最丰年雨量1556.50 mm，最枯年雨量828.90 mm，多年平均相对湿度79.9%。多年主导风向为东北风，年平均风速1.3 m/s，最大极限风速大于28.3 m/s，静风频率16.29%</w:t>
      </w:r>
      <w:r>
        <w:rPr>
          <w:color w:val="auto"/>
          <w:u w:color="000000"/>
        </w:rPr>
        <w:t>。</w:t>
      </w:r>
    </w:p>
    <w:p w14:paraId="657AE49B">
      <w:pPr>
        <w:pStyle w:val="5"/>
        <w:numPr>
          <w:ilvl w:val="0"/>
          <w:numId w:val="0"/>
        </w:numPr>
        <w:spacing w:line="360" w:lineRule="auto"/>
        <w:jc w:val="left"/>
        <w:rPr>
          <w:color w:val="auto"/>
        </w:rPr>
      </w:pPr>
      <w:r>
        <w:rPr>
          <w:rFonts w:hint="eastAsia"/>
          <w:color w:val="auto"/>
        </w:rPr>
        <w:t>4</w:t>
      </w:r>
      <w:r>
        <w:rPr>
          <w:color w:val="auto"/>
        </w:rPr>
        <w:t>.1.</w:t>
      </w:r>
      <w:r>
        <w:rPr>
          <w:rFonts w:hint="eastAsia"/>
          <w:color w:val="auto"/>
          <w:lang w:val="en-US"/>
        </w:rPr>
        <w:t>4</w:t>
      </w:r>
      <w:r>
        <w:rPr>
          <w:color w:val="auto"/>
        </w:rPr>
        <w:t>地表水</w:t>
      </w:r>
    </w:p>
    <w:p w14:paraId="536B79CD">
      <w:pPr>
        <w:spacing w:before="24" w:after="24"/>
        <w:ind w:firstLine="480"/>
        <w:rPr>
          <w:color w:val="auto"/>
        </w:rPr>
      </w:pPr>
      <w:r>
        <w:rPr>
          <w:rFonts w:hint="eastAsia"/>
          <w:color w:val="auto"/>
        </w:rPr>
        <w:t>忠县境内有大小溪河28条，均属长江水系，长江由西向东横贯全县10个乡镇，过境流程88 km。出长江外，流域面积大于50 km</w:t>
      </w:r>
      <w:r>
        <w:rPr>
          <w:rFonts w:hint="eastAsia"/>
          <w:color w:val="auto"/>
          <w:vertAlign w:val="superscript"/>
        </w:rPr>
        <w:t>2</w:t>
      </w:r>
      <w:r>
        <w:rPr>
          <w:rFonts w:hint="eastAsia"/>
          <w:color w:val="auto"/>
        </w:rPr>
        <w:t>的溪河有8条，即：汝溪河、黄金河、渠溪河、大沙河、香水河、大山溪、乌杨溪、东溪河。县内流域面积为1552 km，占全县</w:t>
      </w:r>
      <w:r>
        <w:rPr>
          <w:rFonts w:hint="eastAsia"/>
          <w:color w:val="auto"/>
          <w:lang w:eastAsia="zh-CN"/>
        </w:rPr>
        <w:t>辖区面积</w:t>
      </w:r>
      <w:r>
        <w:rPr>
          <w:rFonts w:hint="eastAsia"/>
          <w:color w:val="auto"/>
        </w:rPr>
        <w:t>的71.3%，总流程379.5 km。其中最大的溪河是黄金河，忠县境内流域面积272.9 km</w:t>
      </w:r>
      <w:r>
        <w:rPr>
          <w:rFonts w:hint="eastAsia"/>
          <w:color w:val="auto"/>
          <w:vertAlign w:val="superscript"/>
        </w:rPr>
        <w:t>2</w:t>
      </w:r>
      <w:r>
        <w:rPr>
          <w:rFonts w:hint="eastAsia"/>
          <w:color w:val="auto"/>
        </w:rPr>
        <w:t>，主河道长25.4 km。</w:t>
      </w:r>
    </w:p>
    <w:p w14:paraId="320F3DC9">
      <w:pPr>
        <w:spacing w:before="24" w:after="24"/>
        <w:ind w:firstLine="480"/>
        <w:rPr>
          <w:color w:val="auto"/>
        </w:rPr>
      </w:pPr>
      <w:r>
        <w:rPr>
          <w:rFonts w:hint="eastAsia"/>
          <w:color w:val="auto"/>
        </w:rPr>
        <w:t>长江从西南向东北穿过县境，全长88 km，多年平均流量约为1.24万m</w:t>
      </w:r>
      <w:r>
        <w:rPr>
          <w:rFonts w:hint="eastAsia"/>
          <w:color w:val="auto"/>
          <w:vertAlign w:val="superscript"/>
        </w:rPr>
        <w:t>3</w:t>
      </w:r>
      <w:r>
        <w:rPr>
          <w:rFonts w:hint="eastAsia"/>
          <w:color w:val="auto"/>
        </w:rPr>
        <w:t>/s，是全县重要的水上通道。天然河道最高洪水位（忠县水位站址）149.78 m，最枯水位118.30 m，三峡工程蓄水后水库运行水位如下：</w:t>
      </w:r>
    </w:p>
    <w:p w14:paraId="799FA95D">
      <w:pPr>
        <w:spacing w:before="24" w:after="24"/>
        <w:ind w:firstLine="480"/>
        <w:rPr>
          <w:color w:val="auto"/>
        </w:rPr>
      </w:pPr>
      <w:r>
        <w:rPr>
          <w:rFonts w:hint="eastAsia"/>
          <w:color w:val="auto"/>
        </w:rPr>
        <w:t>三峡水库正常蓄水位175.00 m（吴淞高程），防洪限制水位145.00 m（吴淞高程），枯季消落水位155.00 m（吴淞高程）。</w:t>
      </w:r>
    </w:p>
    <w:p w14:paraId="49AAF33D">
      <w:pPr>
        <w:spacing w:line="360" w:lineRule="auto"/>
        <w:ind w:firstLine="480"/>
        <w:rPr>
          <w:color w:val="auto"/>
        </w:rPr>
      </w:pPr>
      <w:r>
        <w:rPr>
          <w:rFonts w:hint="eastAsia"/>
          <w:color w:val="auto"/>
        </w:rPr>
        <w:t>三峡工程正常蓄水运行后，每年五月末至六月初，水库水位降至汛期限制水位145.00 m（吴淞高程），整个汛期6~9月，水库一般维持此低水位运行。超过电站过流能力的水量，通过泄洪坝段的底孔排至下游。当入库流量较大时，根据下游防洪要求，水库拦洪蓄水，库区水位提高；洪峰过后，库区水位仍降至145.00 m（吴淞高程）运行。</w:t>
      </w:r>
      <w:r>
        <w:rPr>
          <w:rFonts w:hint="eastAsia"/>
          <w:color w:val="auto"/>
          <w:lang w:eastAsia="zh-CN"/>
        </w:rPr>
        <w:t>汛</w:t>
      </w:r>
      <w:r>
        <w:rPr>
          <w:rFonts w:hint="eastAsia"/>
          <w:color w:val="auto"/>
        </w:rPr>
        <w:t>末10月份，水库开始蓄水，库区水位逐渐提高到175.00 m（吴淞高程）运行，少数年份，这一蓄水过程将延至到11月份。12月至次年4月底，水库应尽量维持在较高水位，水电站按调峰要求运行。当入库流量低于水电站保证出水对流量的要求时，动用调节库容，水库水位开始降低，但4月末以前水库水位不低于155.00 m（吴淞高程），以保证上游航道的水深要求。</w:t>
      </w:r>
    </w:p>
    <w:p w14:paraId="0ABDCD3E">
      <w:pPr>
        <w:pStyle w:val="5"/>
        <w:numPr>
          <w:ilvl w:val="0"/>
          <w:numId w:val="0"/>
        </w:numPr>
        <w:spacing w:line="360" w:lineRule="auto"/>
        <w:jc w:val="left"/>
        <w:rPr>
          <w:color w:val="auto"/>
        </w:rPr>
      </w:pPr>
      <w:bookmarkStart w:id="174" w:name="_Hlk17280165"/>
      <w:r>
        <w:rPr>
          <w:rFonts w:hint="eastAsia"/>
          <w:color w:val="auto"/>
        </w:rPr>
        <w:t>4</w:t>
      </w:r>
      <w:r>
        <w:rPr>
          <w:color w:val="auto"/>
        </w:rPr>
        <w:t>.1.</w:t>
      </w:r>
      <w:r>
        <w:rPr>
          <w:rFonts w:hint="eastAsia"/>
          <w:color w:val="auto"/>
          <w:lang w:val="en-US"/>
        </w:rPr>
        <w:t>5</w:t>
      </w:r>
      <w:r>
        <w:rPr>
          <w:rFonts w:hint="eastAsia"/>
          <w:color w:val="auto"/>
        </w:rPr>
        <w:t>区域地下水</w:t>
      </w:r>
    </w:p>
    <w:bookmarkEnd w:id="174"/>
    <w:p w14:paraId="3F21A9BE">
      <w:pPr>
        <w:keepNext/>
        <w:keepLines/>
        <w:pageBreakBefore w:val="0"/>
        <w:widowControl w:val="0"/>
        <w:kinsoku/>
        <w:wordWrap/>
        <w:overflowPunct/>
        <w:topLinePunct w:val="0"/>
        <w:autoSpaceDE/>
        <w:autoSpaceDN/>
        <w:bidi w:val="0"/>
        <w:adjustRightInd/>
        <w:snapToGrid/>
        <w:spacing w:before="164" w:beforeLines="50" w:line="360" w:lineRule="auto"/>
        <w:ind w:firstLine="0" w:firstLineChars="0"/>
        <w:jc w:val="left"/>
        <w:textAlignment w:val="auto"/>
        <w:outlineLvl w:val="3"/>
        <w:rPr>
          <w:rFonts w:hint="eastAsia" w:eastAsia="宋体"/>
          <w:b/>
          <w:bCs/>
          <w:color w:val="auto"/>
          <w:szCs w:val="28"/>
          <w:lang w:eastAsia="zh-CN"/>
        </w:rPr>
      </w:pPr>
      <w:r>
        <w:rPr>
          <w:b/>
          <w:bCs/>
          <w:color w:val="auto"/>
          <w:szCs w:val="28"/>
        </w:rPr>
        <w:t>4.</w:t>
      </w:r>
      <w:r>
        <w:rPr>
          <w:rFonts w:hint="eastAsia"/>
          <w:b/>
          <w:bCs/>
          <w:color w:val="auto"/>
          <w:szCs w:val="28"/>
          <w:lang w:val="en-US" w:eastAsia="zh-CN"/>
        </w:rPr>
        <w:t>1</w:t>
      </w:r>
      <w:r>
        <w:rPr>
          <w:b/>
          <w:bCs/>
          <w:color w:val="auto"/>
          <w:szCs w:val="28"/>
        </w:rPr>
        <w:t>.</w:t>
      </w:r>
      <w:r>
        <w:rPr>
          <w:rFonts w:hint="eastAsia"/>
          <w:b/>
          <w:bCs/>
          <w:color w:val="auto"/>
          <w:szCs w:val="28"/>
          <w:lang w:val="en-US" w:eastAsia="zh-CN"/>
        </w:rPr>
        <w:t>5</w:t>
      </w:r>
      <w:r>
        <w:rPr>
          <w:b/>
          <w:bCs/>
          <w:color w:val="auto"/>
          <w:szCs w:val="28"/>
        </w:rPr>
        <w:t>.</w:t>
      </w:r>
      <w:r>
        <w:rPr>
          <w:rFonts w:hint="eastAsia"/>
          <w:b/>
          <w:bCs/>
          <w:color w:val="auto"/>
          <w:szCs w:val="28"/>
          <w:lang w:val="en-US" w:eastAsia="zh-CN"/>
        </w:rPr>
        <w:t>1</w:t>
      </w:r>
      <w:r>
        <w:rPr>
          <w:rFonts w:hint="eastAsia"/>
          <w:b/>
          <w:bCs/>
          <w:color w:val="auto"/>
          <w:szCs w:val="28"/>
          <w:lang w:eastAsia="zh-CN"/>
        </w:rPr>
        <w:t>地质特征</w:t>
      </w:r>
    </w:p>
    <w:p w14:paraId="5A39DC7A">
      <w:pPr>
        <w:spacing w:before="24" w:after="24"/>
        <w:ind w:firstLine="480"/>
        <w:rPr>
          <w:color w:val="auto"/>
        </w:rPr>
      </w:pPr>
      <w:r>
        <w:rPr>
          <w:rFonts w:hint="eastAsia"/>
          <w:color w:val="auto"/>
        </w:rPr>
        <w:t>（一）地层岩性</w:t>
      </w:r>
    </w:p>
    <w:p w14:paraId="6E93773E">
      <w:pPr>
        <w:spacing w:before="24" w:after="24"/>
        <w:ind w:firstLine="480"/>
        <w:rPr>
          <w:color w:val="auto"/>
        </w:rPr>
      </w:pPr>
      <w:r>
        <w:rPr>
          <w:rFonts w:hint="eastAsia"/>
          <w:color w:val="auto"/>
        </w:rPr>
        <w:t>据现场调查和资料收集，评价区出露地层主要为第四系全新冲洪积层（Q</w:t>
      </w:r>
      <w:r>
        <w:rPr>
          <w:rFonts w:hint="eastAsia"/>
          <w:color w:val="auto"/>
          <w:vertAlign w:val="subscript"/>
        </w:rPr>
        <w:t>4</w:t>
      </w:r>
      <w:r>
        <w:rPr>
          <w:rFonts w:hint="eastAsia"/>
          <w:color w:val="auto"/>
          <w:vertAlign w:val="superscript"/>
        </w:rPr>
        <w:t>al+pl</w:t>
      </w:r>
      <w:r>
        <w:rPr>
          <w:rFonts w:hint="eastAsia"/>
          <w:color w:val="auto"/>
        </w:rPr>
        <w:t>）、侏罗系上统蓬莱镇组（J</w:t>
      </w:r>
      <w:r>
        <w:rPr>
          <w:rFonts w:hint="eastAsia"/>
          <w:color w:val="auto"/>
          <w:vertAlign w:val="subscript"/>
        </w:rPr>
        <w:t>3p</w:t>
      </w:r>
      <w:r>
        <w:rPr>
          <w:rFonts w:hint="eastAsia"/>
          <w:color w:val="auto"/>
        </w:rPr>
        <w:t>）地层，现由新到老分述如下：</w:t>
      </w:r>
    </w:p>
    <w:p w14:paraId="076C4E07">
      <w:pPr>
        <w:spacing w:before="24" w:after="24"/>
        <w:ind w:firstLine="480"/>
        <w:rPr>
          <w:color w:val="auto"/>
        </w:rPr>
      </w:pPr>
      <w:r>
        <w:rPr>
          <w:rFonts w:hint="eastAsia"/>
          <w:color w:val="auto"/>
        </w:rPr>
        <w:t>（1）第四系全新冲洪积层（Q</w:t>
      </w:r>
      <w:r>
        <w:rPr>
          <w:rFonts w:hint="eastAsia"/>
          <w:color w:val="auto"/>
          <w:vertAlign w:val="subscript"/>
        </w:rPr>
        <w:t>4</w:t>
      </w:r>
      <w:r>
        <w:rPr>
          <w:rFonts w:hint="eastAsia"/>
          <w:color w:val="auto"/>
          <w:vertAlign w:val="superscript"/>
        </w:rPr>
        <w:t>al+pl</w:t>
      </w:r>
      <w:r>
        <w:rPr>
          <w:rFonts w:hint="eastAsia"/>
          <w:color w:val="auto"/>
        </w:rPr>
        <w:t>）</w:t>
      </w:r>
    </w:p>
    <w:p w14:paraId="58FEA5C5">
      <w:pPr>
        <w:spacing w:before="24" w:after="24"/>
        <w:ind w:firstLine="480"/>
        <w:rPr>
          <w:color w:val="auto"/>
        </w:rPr>
      </w:pPr>
      <w:r>
        <w:rPr>
          <w:rFonts w:hint="eastAsia"/>
          <w:color w:val="auto"/>
        </w:rPr>
        <w:t>在评价范围内广泛分布，岩性为褐红、褐黄色粉砂土、砂土、砂、卵砾石及粉质粘土，结构松散。卵石含量约5~10%，粒径约2~5 cm，磨圆度较好，呈椭圆状，其顶部一般有0.5～1.0 m的耕植土，该层厚度相对较小。</w:t>
      </w:r>
    </w:p>
    <w:p w14:paraId="60E122F6">
      <w:pPr>
        <w:spacing w:before="24" w:after="24"/>
        <w:ind w:firstLine="480"/>
        <w:rPr>
          <w:color w:val="auto"/>
        </w:rPr>
      </w:pPr>
      <w:r>
        <w:rPr>
          <w:rFonts w:hint="eastAsia"/>
          <w:color w:val="auto"/>
        </w:rPr>
        <w:t>（2）侏罗系上统蓬莱镇组（J</w:t>
      </w:r>
      <w:r>
        <w:rPr>
          <w:rFonts w:hint="eastAsia"/>
          <w:color w:val="auto"/>
          <w:vertAlign w:val="subscript"/>
        </w:rPr>
        <w:t>3p</w:t>
      </w:r>
      <w:r>
        <w:rPr>
          <w:rFonts w:hint="eastAsia"/>
          <w:color w:val="auto"/>
        </w:rPr>
        <w:t>）</w:t>
      </w:r>
    </w:p>
    <w:p w14:paraId="0299E2AE">
      <w:pPr>
        <w:spacing w:before="24" w:after="24"/>
        <w:ind w:firstLine="480"/>
        <w:rPr>
          <w:color w:val="auto"/>
        </w:rPr>
      </w:pPr>
      <w:r>
        <w:rPr>
          <w:rFonts w:hint="eastAsia"/>
          <w:color w:val="auto"/>
        </w:rPr>
        <w:t>该地层在评价区全区下段以紫红色泥岩、钙质粉砂质泥岩、泥岩为主，夹灰白色细—中粒长石石英砂岩及岩屑长石砂岩；上段以浅灰、灰白色厚层细粒岩屑长石石英砂岩及长石砂岩为主，夹紫红色含钙质及钙质结核的泥岩及粉砂岩。与下伏遂宁组整合接触。该层出露在评价区全区。</w:t>
      </w:r>
    </w:p>
    <w:p w14:paraId="4ED9F5A9">
      <w:pPr>
        <w:spacing w:before="24" w:after="24"/>
        <w:ind w:firstLine="480"/>
        <w:rPr>
          <w:color w:val="auto"/>
        </w:rPr>
      </w:pPr>
      <w:r>
        <w:rPr>
          <w:rFonts w:hint="eastAsia"/>
          <w:color w:val="auto"/>
        </w:rPr>
        <w:t>通过评价区及附近地带的大面积调查，并参考《1：20万区域地质调查报告》文献资料得知：区域内的地层由新到老主要分布有第四系土层，侏罗系上统蓬莱镇组（J</w:t>
      </w:r>
      <w:r>
        <w:rPr>
          <w:rFonts w:hint="eastAsia"/>
          <w:color w:val="auto"/>
          <w:vertAlign w:val="subscript"/>
        </w:rPr>
        <w:t>3p</w:t>
      </w:r>
      <w:r>
        <w:rPr>
          <w:rFonts w:hint="eastAsia"/>
          <w:color w:val="auto"/>
        </w:rPr>
        <w:t>）、侏罗系上统遂宁组（J</w:t>
      </w:r>
      <w:r>
        <w:rPr>
          <w:rFonts w:hint="eastAsia"/>
          <w:color w:val="auto"/>
          <w:vertAlign w:val="subscript"/>
        </w:rPr>
        <w:t>3s</w:t>
      </w:r>
      <w:r>
        <w:rPr>
          <w:rFonts w:hint="eastAsia"/>
          <w:color w:val="auto"/>
        </w:rPr>
        <w:t>）、侏罗系中统上沙溪庙组（J</w:t>
      </w:r>
      <w:r>
        <w:rPr>
          <w:rFonts w:hint="eastAsia"/>
          <w:color w:val="auto"/>
          <w:vertAlign w:val="subscript"/>
        </w:rPr>
        <w:t>2s</w:t>
      </w:r>
      <w:r>
        <w:rPr>
          <w:rFonts w:hint="eastAsia"/>
          <w:color w:val="auto"/>
        </w:rPr>
        <w:t>）等，详见区域地层简表</w:t>
      </w:r>
      <w:r>
        <w:rPr>
          <w:rFonts w:hint="eastAsia"/>
          <w:color w:val="auto"/>
          <w:lang w:val="en-US" w:eastAsia="zh-CN"/>
        </w:rPr>
        <w:t>4</w:t>
      </w:r>
      <w:r>
        <w:rPr>
          <w:rFonts w:hint="eastAsia"/>
          <w:color w:val="auto"/>
        </w:rPr>
        <w:t>.1-1。</w:t>
      </w:r>
    </w:p>
    <w:p w14:paraId="22B91CFD">
      <w:pPr>
        <w:pStyle w:val="684"/>
        <w:spacing w:before="72" w:after="24"/>
        <w:rPr>
          <w:color w:val="auto"/>
        </w:rPr>
      </w:pPr>
      <w:r>
        <w:rPr>
          <w:rFonts w:hint="eastAsia"/>
          <w:color w:val="auto"/>
        </w:rPr>
        <w:t>表</w:t>
      </w:r>
      <w:r>
        <w:rPr>
          <w:rFonts w:hint="eastAsia"/>
          <w:color w:val="auto"/>
          <w:lang w:val="en-US" w:eastAsia="zh-CN"/>
        </w:rPr>
        <w:t>4.1</w:t>
      </w:r>
      <w:r>
        <w:rPr>
          <w:rFonts w:hint="eastAsia"/>
          <w:color w:val="auto"/>
        </w:rPr>
        <w:t>-1  区域地层简表</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416"/>
        <w:gridCol w:w="418"/>
        <w:gridCol w:w="532"/>
        <w:gridCol w:w="679"/>
        <w:gridCol w:w="706"/>
        <w:gridCol w:w="1068"/>
        <w:gridCol w:w="3135"/>
        <w:gridCol w:w="2230"/>
      </w:tblGrid>
      <w:tr w14:paraId="3A0AC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66" w:hRule="atLeast"/>
          <w:tblHeader/>
          <w:jc w:val="center"/>
        </w:trPr>
        <w:tc>
          <w:tcPr>
            <w:tcW w:w="232" w:type="pct"/>
            <w:vAlign w:val="center"/>
          </w:tcPr>
          <w:p w14:paraId="27755D66">
            <w:pPr>
              <w:pStyle w:val="691"/>
              <w:rPr>
                <w:color w:val="auto"/>
              </w:rPr>
            </w:pPr>
            <w:r>
              <w:rPr>
                <w:color w:val="auto"/>
              </w:rPr>
              <w:t>界</w:t>
            </w:r>
          </w:p>
        </w:tc>
        <w:tc>
          <w:tcPr>
            <w:tcW w:w="233" w:type="pct"/>
            <w:vAlign w:val="center"/>
          </w:tcPr>
          <w:p w14:paraId="62CA5E74">
            <w:pPr>
              <w:pStyle w:val="691"/>
              <w:rPr>
                <w:color w:val="auto"/>
              </w:rPr>
            </w:pPr>
            <w:r>
              <w:rPr>
                <w:color w:val="auto"/>
              </w:rPr>
              <w:t>系</w:t>
            </w:r>
          </w:p>
        </w:tc>
        <w:tc>
          <w:tcPr>
            <w:tcW w:w="295" w:type="pct"/>
            <w:vAlign w:val="center"/>
          </w:tcPr>
          <w:p w14:paraId="2B8E4ABD">
            <w:pPr>
              <w:pStyle w:val="691"/>
              <w:rPr>
                <w:color w:val="auto"/>
              </w:rPr>
            </w:pPr>
            <w:r>
              <w:rPr>
                <w:color w:val="auto"/>
              </w:rPr>
              <w:t>统</w:t>
            </w:r>
          </w:p>
        </w:tc>
        <w:tc>
          <w:tcPr>
            <w:tcW w:w="375" w:type="pct"/>
            <w:vAlign w:val="center"/>
          </w:tcPr>
          <w:p w14:paraId="31AF7814">
            <w:pPr>
              <w:pStyle w:val="691"/>
              <w:rPr>
                <w:color w:val="auto"/>
              </w:rPr>
            </w:pPr>
            <w:r>
              <w:rPr>
                <w:color w:val="auto"/>
              </w:rPr>
              <w:t>组</w:t>
            </w:r>
          </w:p>
        </w:tc>
        <w:tc>
          <w:tcPr>
            <w:tcW w:w="390" w:type="pct"/>
            <w:vAlign w:val="center"/>
          </w:tcPr>
          <w:p w14:paraId="4A11EF55">
            <w:pPr>
              <w:pStyle w:val="691"/>
              <w:rPr>
                <w:color w:val="auto"/>
              </w:rPr>
            </w:pPr>
            <w:r>
              <w:rPr>
                <w:color w:val="auto"/>
              </w:rPr>
              <w:t>地层代号</w:t>
            </w:r>
          </w:p>
        </w:tc>
        <w:tc>
          <w:tcPr>
            <w:tcW w:w="544" w:type="pct"/>
            <w:vAlign w:val="center"/>
          </w:tcPr>
          <w:p w14:paraId="4AB0FE5F">
            <w:pPr>
              <w:pStyle w:val="691"/>
              <w:rPr>
                <w:color w:val="auto"/>
              </w:rPr>
            </w:pPr>
            <w:r>
              <w:rPr>
                <w:color w:val="auto"/>
              </w:rPr>
              <w:t>分布厚度（m）</w:t>
            </w:r>
          </w:p>
        </w:tc>
        <w:tc>
          <w:tcPr>
            <w:tcW w:w="1712" w:type="pct"/>
            <w:vAlign w:val="center"/>
          </w:tcPr>
          <w:p w14:paraId="5DD6E7A3">
            <w:pPr>
              <w:pStyle w:val="691"/>
              <w:rPr>
                <w:color w:val="auto"/>
              </w:rPr>
            </w:pPr>
            <w:r>
              <w:rPr>
                <w:color w:val="auto"/>
              </w:rPr>
              <w:t>岩性特征</w:t>
            </w:r>
          </w:p>
        </w:tc>
        <w:tc>
          <w:tcPr>
            <w:tcW w:w="1219" w:type="pct"/>
            <w:vAlign w:val="center"/>
          </w:tcPr>
          <w:p w14:paraId="7B2879D8">
            <w:pPr>
              <w:pStyle w:val="691"/>
              <w:rPr>
                <w:color w:val="auto"/>
              </w:rPr>
            </w:pPr>
            <w:r>
              <w:rPr>
                <w:color w:val="auto"/>
              </w:rPr>
              <w:t>分布位置</w:t>
            </w:r>
          </w:p>
        </w:tc>
      </w:tr>
      <w:tr w14:paraId="3264F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28" w:hRule="atLeast"/>
          <w:jc w:val="center"/>
        </w:trPr>
        <w:tc>
          <w:tcPr>
            <w:tcW w:w="232" w:type="pct"/>
            <w:vAlign w:val="center"/>
          </w:tcPr>
          <w:p w14:paraId="4BDAA03A">
            <w:pPr>
              <w:pStyle w:val="691"/>
              <w:rPr>
                <w:color w:val="auto"/>
              </w:rPr>
            </w:pPr>
            <w:r>
              <w:rPr>
                <w:color w:val="auto"/>
              </w:rPr>
              <w:t>新生界</w:t>
            </w:r>
          </w:p>
        </w:tc>
        <w:tc>
          <w:tcPr>
            <w:tcW w:w="233" w:type="pct"/>
            <w:vAlign w:val="center"/>
          </w:tcPr>
          <w:p w14:paraId="3AE11864">
            <w:pPr>
              <w:pStyle w:val="691"/>
              <w:rPr>
                <w:color w:val="auto"/>
              </w:rPr>
            </w:pPr>
            <w:r>
              <w:rPr>
                <w:color w:val="auto"/>
              </w:rPr>
              <w:t>第四系</w:t>
            </w:r>
          </w:p>
        </w:tc>
        <w:tc>
          <w:tcPr>
            <w:tcW w:w="295" w:type="pct"/>
            <w:vAlign w:val="center"/>
          </w:tcPr>
          <w:p w14:paraId="38C0ECEB">
            <w:pPr>
              <w:pStyle w:val="691"/>
              <w:rPr>
                <w:color w:val="auto"/>
              </w:rPr>
            </w:pPr>
            <w:r>
              <w:rPr>
                <w:color w:val="auto"/>
              </w:rPr>
              <w:t>全新统</w:t>
            </w:r>
          </w:p>
        </w:tc>
        <w:tc>
          <w:tcPr>
            <w:tcW w:w="375" w:type="pct"/>
            <w:vAlign w:val="center"/>
          </w:tcPr>
          <w:p w14:paraId="5B890E92">
            <w:pPr>
              <w:pStyle w:val="691"/>
              <w:rPr>
                <w:color w:val="auto"/>
              </w:rPr>
            </w:pPr>
          </w:p>
        </w:tc>
        <w:tc>
          <w:tcPr>
            <w:tcW w:w="390" w:type="pct"/>
            <w:vAlign w:val="center"/>
          </w:tcPr>
          <w:p w14:paraId="3C95C83C">
            <w:pPr>
              <w:pStyle w:val="691"/>
              <w:rPr>
                <w:color w:val="auto"/>
              </w:rPr>
            </w:pPr>
            <w:r>
              <w:rPr>
                <w:color w:val="auto"/>
              </w:rPr>
              <w:t>Q</w:t>
            </w:r>
            <w:r>
              <w:rPr>
                <w:color w:val="auto"/>
                <w:vertAlign w:val="subscript"/>
              </w:rPr>
              <w:t>4</w:t>
            </w:r>
            <w:r>
              <w:rPr>
                <w:color w:val="auto"/>
                <w:vertAlign w:val="superscript"/>
              </w:rPr>
              <w:t>al+pl</w:t>
            </w:r>
          </w:p>
        </w:tc>
        <w:tc>
          <w:tcPr>
            <w:tcW w:w="544" w:type="pct"/>
            <w:vAlign w:val="center"/>
          </w:tcPr>
          <w:p w14:paraId="6F52FCDE">
            <w:pPr>
              <w:pStyle w:val="691"/>
              <w:rPr>
                <w:color w:val="auto"/>
              </w:rPr>
            </w:pPr>
            <w:r>
              <w:rPr>
                <w:color w:val="auto"/>
              </w:rPr>
              <w:t>0~15</w:t>
            </w:r>
          </w:p>
        </w:tc>
        <w:tc>
          <w:tcPr>
            <w:tcW w:w="1712" w:type="pct"/>
            <w:vAlign w:val="center"/>
          </w:tcPr>
          <w:p w14:paraId="5C5B80EF">
            <w:pPr>
              <w:pStyle w:val="691"/>
              <w:rPr>
                <w:color w:val="auto"/>
              </w:rPr>
            </w:pPr>
            <w:r>
              <w:rPr>
                <w:color w:val="auto"/>
              </w:rPr>
              <w:t>分布于河漫滩、河床及</w:t>
            </w:r>
            <w:r>
              <w:rPr>
                <w:rFonts w:hint="eastAsia" w:ascii="宋体" w:hAnsi="宋体" w:cs="宋体"/>
                <w:color w:val="auto"/>
              </w:rPr>
              <w:t>Ⅰ</w:t>
            </w:r>
            <w:r>
              <w:rPr>
                <w:color w:val="auto"/>
              </w:rPr>
              <w:t>、</w:t>
            </w:r>
            <w:r>
              <w:rPr>
                <w:rFonts w:hint="eastAsia" w:ascii="宋体" w:hAnsi="宋体" w:cs="宋体"/>
                <w:color w:val="auto"/>
              </w:rPr>
              <w:t>Ⅱ</w:t>
            </w:r>
            <w:r>
              <w:rPr>
                <w:color w:val="auto"/>
              </w:rPr>
              <w:t>、</w:t>
            </w:r>
            <w:r>
              <w:rPr>
                <w:rFonts w:hint="eastAsia" w:ascii="宋体" w:hAnsi="宋体" w:cs="宋体"/>
                <w:color w:val="auto"/>
              </w:rPr>
              <w:t>Ⅲ</w:t>
            </w:r>
            <w:r>
              <w:rPr>
                <w:color w:val="auto"/>
              </w:rPr>
              <w:t>、</w:t>
            </w:r>
            <w:r>
              <w:rPr>
                <w:rFonts w:hint="eastAsia" w:ascii="宋体" w:hAnsi="宋体" w:cs="宋体"/>
                <w:color w:val="auto"/>
              </w:rPr>
              <w:t>Ⅳ</w:t>
            </w:r>
            <w:r>
              <w:rPr>
                <w:color w:val="auto"/>
              </w:rPr>
              <w:t>、</w:t>
            </w:r>
            <w:r>
              <w:rPr>
                <w:rFonts w:hint="eastAsia" w:ascii="宋体" w:hAnsi="宋体" w:cs="宋体"/>
                <w:color w:val="auto"/>
              </w:rPr>
              <w:t>Ⅴ</w:t>
            </w:r>
            <w:r>
              <w:rPr>
                <w:color w:val="auto"/>
              </w:rPr>
              <w:t>级阶地上，岩性为褐红、褐黄色粉砂土、砂土、砂、卵砾石及粉质粘土，结构松散。</w:t>
            </w:r>
          </w:p>
        </w:tc>
        <w:tc>
          <w:tcPr>
            <w:tcW w:w="1219" w:type="pct"/>
            <w:vAlign w:val="center"/>
          </w:tcPr>
          <w:p w14:paraId="03D70A19">
            <w:pPr>
              <w:pStyle w:val="691"/>
              <w:rPr>
                <w:color w:val="auto"/>
              </w:rPr>
            </w:pPr>
            <w:r>
              <w:rPr>
                <w:color w:val="auto"/>
              </w:rPr>
              <w:t>沿长江及其支流两侧分布</w:t>
            </w:r>
          </w:p>
        </w:tc>
      </w:tr>
      <w:tr w14:paraId="5EDB1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182" w:hRule="atLeast"/>
          <w:jc w:val="center"/>
        </w:trPr>
        <w:tc>
          <w:tcPr>
            <w:tcW w:w="232" w:type="pct"/>
            <w:vMerge w:val="restart"/>
            <w:vAlign w:val="center"/>
          </w:tcPr>
          <w:p w14:paraId="1790F738">
            <w:pPr>
              <w:pStyle w:val="691"/>
              <w:rPr>
                <w:color w:val="auto"/>
              </w:rPr>
            </w:pPr>
            <w:r>
              <w:rPr>
                <w:color w:val="auto"/>
              </w:rPr>
              <w:t>中生界</w:t>
            </w:r>
          </w:p>
        </w:tc>
        <w:tc>
          <w:tcPr>
            <w:tcW w:w="233" w:type="pct"/>
            <w:vMerge w:val="restart"/>
            <w:vAlign w:val="center"/>
          </w:tcPr>
          <w:p w14:paraId="45CFBD95">
            <w:pPr>
              <w:pStyle w:val="691"/>
              <w:rPr>
                <w:color w:val="auto"/>
              </w:rPr>
            </w:pPr>
            <w:r>
              <w:rPr>
                <w:color w:val="auto"/>
              </w:rPr>
              <w:t>侏罗系</w:t>
            </w:r>
          </w:p>
        </w:tc>
        <w:tc>
          <w:tcPr>
            <w:tcW w:w="295" w:type="pct"/>
            <w:vMerge w:val="restart"/>
            <w:vAlign w:val="center"/>
          </w:tcPr>
          <w:p w14:paraId="2997CA8E">
            <w:pPr>
              <w:pStyle w:val="691"/>
              <w:rPr>
                <w:color w:val="auto"/>
              </w:rPr>
            </w:pPr>
            <w:r>
              <w:rPr>
                <w:color w:val="auto"/>
              </w:rPr>
              <w:t>上统</w:t>
            </w:r>
          </w:p>
        </w:tc>
        <w:tc>
          <w:tcPr>
            <w:tcW w:w="375" w:type="pct"/>
            <w:vAlign w:val="center"/>
          </w:tcPr>
          <w:p w14:paraId="490A862A">
            <w:pPr>
              <w:pStyle w:val="691"/>
              <w:rPr>
                <w:color w:val="auto"/>
              </w:rPr>
            </w:pPr>
            <w:r>
              <w:rPr>
                <w:color w:val="auto"/>
              </w:rPr>
              <w:t>蓬莱镇组</w:t>
            </w:r>
          </w:p>
        </w:tc>
        <w:tc>
          <w:tcPr>
            <w:tcW w:w="390" w:type="pct"/>
            <w:vAlign w:val="center"/>
          </w:tcPr>
          <w:p w14:paraId="479337CD">
            <w:pPr>
              <w:pStyle w:val="691"/>
              <w:rPr>
                <w:color w:val="auto"/>
              </w:rPr>
            </w:pPr>
            <w:r>
              <w:rPr>
                <w:color w:val="auto"/>
              </w:rPr>
              <w:t>J</w:t>
            </w:r>
            <w:r>
              <w:rPr>
                <w:color w:val="auto"/>
                <w:vertAlign w:val="subscript"/>
              </w:rPr>
              <w:t>3</w:t>
            </w:r>
            <w:r>
              <w:rPr>
                <w:color w:val="auto"/>
              </w:rPr>
              <w:t>p</w:t>
            </w:r>
          </w:p>
        </w:tc>
        <w:tc>
          <w:tcPr>
            <w:tcW w:w="544" w:type="pct"/>
            <w:vAlign w:val="center"/>
          </w:tcPr>
          <w:p w14:paraId="397D0794">
            <w:pPr>
              <w:pStyle w:val="691"/>
              <w:rPr>
                <w:color w:val="auto"/>
              </w:rPr>
            </w:pPr>
            <w:r>
              <w:rPr>
                <w:color w:val="auto"/>
              </w:rPr>
              <w:t>124~180</w:t>
            </w:r>
          </w:p>
        </w:tc>
        <w:tc>
          <w:tcPr>
            <w:tcW w:w="1712" w:type="pct"/>
            <w:vAlign w:val="center"/>
          </w:tcPr>
          <w:p w14:paraId="66F3D7EE">
            <w:pPr>
              <w:pStyle w:val="691"/>
              <w:rPr>
                <w:color w:val="auto"/>
              </w:rPr>
            </w:pPr>
            <w:r>
              <w:rPr>
                <w:color w:val="auto"/>
              </w:rPr>
              <w:t>紫红色泥岩、粉砂质泥岩，中――厚层状钙质长石石英砂岩、长石砂岩，底部为瓠红色中厚层状细料长石石英砂岩。</w:t>
            </w:r>
          </w:p>
        </w:tc>
        <w:tc>
          <w:tcPr>
            <w:tcW w:w="1219" w:type="pct"/>
            <w:vAlign w:val="center"/>
          </w:tcPr>
          <w:p w14:paraId="1DBAC61D">
            <w:pPr>
              <w:pStyle w:val="691"/>
              <w:rPr>
                <w:color w:val="auto"/>
              </w:rPr>
            </w:pPr>
            <w:r>
              <w:rPr>
                <w:color w:val="auto"/>
              </w:rPr>
              <w:t>主要集中分布在项目区乌杨镇一带（长江两侧）</w:t>
            </w:r>
          </w:p>
        </w:tc>
      </w:tr>
      <w:tr w14:paraId="397DF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907" w:hRule="atLeast"/>
          <w:jc w:val="center"/>
        </w:trPr>
        <w:tc>
          <w:tcPr>
            <w:tcW w:w="232" w:type="pct"/>
            <w:vMerge w:val="continue"/>
            <w:vAlign w:val="center"/>
          </w:tcPr>
          <w:p w14:paraId="3831B5D7">
            <w:pPr>
              <w:pStyle w:val="691"/>
              <w:rPr>
                <w:color w:val="auto"/>
              </w:rPr>
            </w:pPr>
          </w:p>
        </w:tc>
        <w:tc>
          <w:tcPr>
            <w:tcW w:w="233" w:type="pct"/>
            <w:vMerge w:val="continue"/>
            <w:vAlign w:val="center"/>
          </w:tcPr>
          <w:p w14:paraId="3494798A">
            <w:pPr>
              <w:pStyle w:val="691"/>
              <w:rPr>
                <w:color w:val="auto"/>
              </w:rPr>
            </w:pPr>
          </w:p>
        </w:tc>
        <w:tc>
          <w:tcPr>
            <w:tcW w:w="295" w:type="pct"/>
            <w:vMerge w:val="continue"/>
            <w:vAlign w:val="center"/>
          </w:tcPr>
          <w:p w14:paraId="0214DE25">
            <w:pPr>
              <w:pStyle w:val="691"/>
              <w:rPr>
                <w:color w:val="auto"/>
              </w:rPr>
            </w:pPr>
          </w:p>
        </w:tc>
        <w:tc>
          <w:tcPr>
            <w:tcW w:w="375" w:type="pct"/>
            <w:vAlign w:val="center"/>
          </w:tcPr>
          <w:p w14:paraId="252D00D6">
            <w:pPr>
              <w:pStyle w:val="691"/>
              <w:rPr>
                <w:color w:val="auto"/>
              </w:rPr>
            </w:pPr>
            <w:r>
              <w:rPr>
                <w:color w:val="auto"/>
              </w:rPr>
              <w:t>遂宁组</w:t>
            </w:r>
          </w:p>
        </w:tc>
        <w:tc>
          <w:tcPr>
            <w:tcW w:w="390" w:type="pct"/>
            <w:vAlign w:val="center"/>
          </w:tcPr>
          <w:p w14:paraId="3D4208D5">
            <w:pPr>
              <w:pStyle w:val="691"/>
              <w:rPr>
                <w:color w:val="auto"/>
              </w:rPr>
            </w:pPr>
            <w:r>
              <w:rPr>
                <w:color w:val="auto"/>
              </w:rPr>
              <w:t>J</w:t>
            </w:r>
            <w:r>
              <w:rPr>
                <w:color w:val="auto"/>
                <w:vertAlign w:val="subscript"/>
              </w:rPr>
              <w:t>3</w:t>
            </w:r>
            <w:r>
              <w:rPr>
                <w:color w:val="auto"/>
              </w:rPr>
              <w:t>s</w:t>
            </w:r>
          </w:p>
        </w:tc>
        <w:tc>
          <w:tcPr>
            <w:tcW w:w="544" w:type="pct"/>
            <w:vAlign w:val="center"/>
          </w:tcPr>
          <w:p w14:paraId="1C8D2C49">
            <w:pPr>
              <w:pStyle w:val="691"/>
              <w:rPr>
                <w:color w:val="auto"/>
              </w:rPr>
            </w:pPr>
            <w:r>
              <w:rPr>
                <w:color w:val="auto"/>
              </w:rPr>
              <w:t>126~279</w:t>
            </w:r>
          </w:p>
        </w:tc>
        <w:tc>
          <w:tcPr>
            <w:tcW w:w="1712" w:type="pct"/>
            <w:vAlign w:val="center"/>
          </w:tcPr>
          <w:p w14:paraId="2D46193B">
            <w:pPr>
              <w:pStyle w:val="691"/>
              <w:rPr>
                <w:color w:val="auto"/>
              </w:rPr>
            </w:pPr>
            <w:r>
              <w:rPr>
                <w:color w:val="auto"/>
              </w:rPr>
              <w:t>砖红色、鲜红色、紫红色泥岩，钙质泥岩，粉砂质泥岩夹细粒钙质长石石英砂岩</w:t>
            </w:r>
          </w:p>
        </w:tc>
        <w:tc>
          <w:tcPr>
            <w:tcW w:w="1219" w:type="pct"/>
            <w:vAlign w:val="center"/>
          </w:tcPr>
          <w:p w14:paraId="21D6BE37">
            <w:pPr>
              <w:pStyle w:val="691"/>
              <w:rPr>
                <w:color w:val="auto"/>
              </w:rPr>
            </w:pPr>
            <w:r>
              <w:rPr>
                <w:color w:val="auto"/>
              </w:rPr>
              <w:t>紧邻蓬莱镇组，零星分布于项目区较外侧的磨子乡、新生等一带</w:t>
            </w:r>
          </w:p>
        </w:tc>
      </w:tr>
      <w:tr w14:paraId="3CD88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850" w:hRule="atLeast"/>
          <w:jc w:val="center"/>
        </w:trPr>
        <w:tc>
          <w:tcPr>
            <w:tcW w:w="232" w:type="pct"/>
            <w:vMerge w:val="continue"/>
            <w:vAlign w:val="center"/>
          </w:tcPr>
          <w:p w14:paraId="69321839">
            <w:pPr>
              <w:pStyle w:val="691"/>
              <w:rPr>
                <w:color w:val="auto"/>
              </w:rPr>
            </w:pPr>
          </w:p>
        </w:tc>
        <w:tc>
          <w:tcPr>
            <w:tcW w:w="233" w:type="pct"/>
            <w:vMerge w:val="continue"/>
            <w:vAlign w:val="center"/>
          </w:tcPr>
          <w:p w14:paraId="60C40FE1">
            <w:pPr>
              <w:pStyle w:val="691"/>
              <w:rPr>
                <w:color w:val="auto"/>
              </w:rPr>
            </w:pPr>
          </w:p>
        </w:tc>
        <w:tc>
          <w:tcPr>
            <w:tcW w:w="295" w:type="pct"/>
            <w:vMerge w:val="restart"/>
            <w:vAlign w:val="center"/>
          </w:tcPr>
          <w:p w14:paraId="64E7FA1A">
            <w:pPr>
              <w:pStyle w:val="691"/>
              <w:rPr>
                <w:color w:val="auto"/>
              </w:rPr>
            </w:pPr>
            <w:r>
              <w:rPr>
                <w:color w:val="auto"/>
              </w:rPr>
              <w:t>中统</w:t>
            </w:r>
          </w:p>
        </w:tc>
        <w:tc>
          <w:tcPr>
            <w:tcW w:w="375" w:type="pct"/>
            <w:vAlign w:val="center"/>
          </w:tcPr>
          <w:p w14:paraId="3156C275">
            <w:pPr>
              <w:pStyle w:val="691"/>
              <w:rPr>
                <w:color w:val="auto"/>
              </w:rPr>
            </w:pPr>
            <w:r>
              <w:rPr>
                <w:color w:val="auto"/>
              </w:rPr>
              <w:t>上沙溪庙组</w:t>
            </w:r>
          </w:p>
        </w:tc>
        <w:tc>
          <w:tcPr>
            <w:tcW w:w="390" w:type="pct"/>
            <w:vAlign w:val="center"/>
          </w:tcPr>
          <w:p w14:paraId="71FDE1FC">
            <w:pPr>
              <w:pStyle w:val="691"/>
              <w:rPr>
                <w:color w:val="auto"/>
              </w:rPr>
            </w:pPr>
            <w:r>
              <w:rPr>
                <w:color w:val="auto"/>
              </w:rPr>
              <w:t>J</w:t>
            </w:r>
            <w:r>
              <w:rPr>
                <w:color w:val="auto"/>
                <w:vertAlign w:val="subscript"/>
              </w:rPr>
              <w:t>2</w:t>
            </w:r>
            <w:r>
              <w:rPr>
                <w:color w:val="auto"/>
              </w:rPr>
              <w:t>s</w:t>
            </w:r>
          </w:p>
        </w:tc>
        <w:tc>
          <w:tcPr>
            <w:tcW w:w="544" w:type="pct"/>
            <w:vAlign w:val="center"/>
          </w:tcPr>
          <w:p w14:paraId="1A153E9E">
            <w:pPr>
              <w:pStyle w:val="691"/>
              <w:rPr>
                <w:color w:val="auto"/>
              </w:rPr>
            </w:pPr>
            <w:r>
              <w:rPr>
                <w:color w:val="auto"/>
              </w:rPr>
              <w:t>1482~1719</w:t>
            </w:r>
          </w:p>
        </w:tc>
        <w:tc>
          <w:tcPr>
            <w:tcW w:w="1712" w:type="pct"/>
            <w:vAlign w:val="center"/>
          </w:tcPr>
          <w:p w14:paraId="6F998759">
            <w:pPr>
              <w:pStyle w:val="691"/>
              <w:rPr>
                <w:color w:val="auto"/>
              </w:rPr>
            </w:pPr>
            <w:r>
              <w:rPr>
                <w:color w:val="auto"/>
              </w:rPr>
              <w:t>灰色、紫灰色中――厚层状泥岩、岩屑长石砂岩、长石砂岩</w:t>
            </w:r>
          </w:p>
        </w:tc>
        <w:tc>
          <w:tcPr>
            <w:tcW w:w="1219" w:type="pct"/>
            <w:vAlign w:val="center"/>
          </w:tcPr>
          <w:p w14:paraId="53765164">
            <w:pPr>
              <w:pStyle w:val="691"/>
              <w:rPr>
                <w:color w:val="auto"/>
              </w:rPr>
            </w:pPr>
            <w:r>
              <w:rPr>
                <w:color w:val="auto"/>
              </w:rPr>
              <w:t>紧邻遂宁组，零星分布于区域较外侧的曹家等一带</w:t>
            </w:r>
          </w:p>
        </w:tc>
      </w:tr>
      <w:tr w14:paraId="2107F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794" w:hRule="atLeast"/>
          <w:jc w:val="center"/>
        </w:trPr>
        <w:tc>
          <w:tcPr>
            <w:tcW w:w="232" w:type="pct"/>
            <w:vMerge w:val="continue"/>
            <w:vAlign w:val="center"/>
          </w:tcPr>
          <w:p w14:paraId="30FCE3CE">
            <w:pPr>
              <w:pStyle w:val="691"/>
              <w:rPr>
                <w:color w:val="auto"/>
              </w:rPr>
            </w:pPr>
          </w:p>
        </w:tc>
        <w:tc>
          <w:tcPr>
            <w:tcW w:w="233" w:type="pct"/>
            <w:vMerge w:val="continue"/>
            <w:vAlign w:val="center"/>
          </w:tcPr>
          <w:p w14:paraId="5D23472A">
            <w:pPr>
              <w:pStyle w:val="691"/>
              <w:rPr>
                <w:color w:val="auto"/>
              </w:rPr>
            </w:pPr>
          </w:p>
        </w:tc>
        <w:tc>
          <w:tcPr>
            <w:tcW w:w="295" w:type="pct"/>
            <w:vMerge w:val="continue"/>
            <w:vAlign w:val="center"/>
          </w:tcPr>
          <w:p w14:paraId="4DECEEB5">
            <w:pPr>
              <w:pStyle w:val="691"/>
              <w:rPr>
                <w:color w:val="auto"/>
              </w:rPr>
            </w:pPr>
          </w:p>
        </w:tc>
        <w:tc>
          <w:tcPr>
            <w:tcW w:w="375" w:type="pct"/>
            <w:vAlign w:val="center"/>
          </w:tcPr>
          <w:p w14:paraId="7B04E3E7">
            <w:pPr>
              <w:pStyle w:val="691"/>
              <w:rPr>
                <w:color w:val="auto"/>
              </w:rPr>
            </w:pPr>
            <w:r>
              <w:rPr>
                <w:color w:val="auto"/>
              </w:rPr>
              <w:t>下沙溪庙组</w:t>
            </w:r>
          </w:p>
        </w:tc>
        <w:tc>
          <w:tcPr>
            <w:tcW w:w="390" w:type="pct"/>
            <w:vAlign w:val="center"/>
          </w:tcPr>
          <w:p w14:paraId="695E5203">
            <w:pPr>
              <w:pStyle w:val="691"/>
              <w:rPr>
                <w:color w:val="auto"/>
              </w:rPr>
            </w:pPr>
            <w:r>
              <w:rPr>
                <w:color w:val="auto"/>
              </w:rPr>
              <w:t>J</w:t>
            </w:r>
            <w:r>
              <w:rPr>
                <w:color w:val="auto"/>
                <w:vertAlign w:val="subscript"/>
              </w:rPr>
              <w:t>2</w:t>
            </w:r>
            <w:r>
              <w:rPr>
                <w:color w:val="auto"/>
              </w:rPr>
              <w:t>xs</w:t>
            </w:r>
          </w:p>
        </w:tc>
        <w:tc>
          <w:tcPr>
            <w:tcW w:w="544" w:type="pct"/>
            <w:vAlign w:val="center"/>
          </w:tcPr>
          <w:p w14:paraId="5602F676">
            <w:pPr>
              <w:pStyle w:val="691"/>
              <w:rPr>
                <w:color w:val="auto"/>
              </w:rPr>
            </w:pPr>
            <w:r>
              <w:rPr>
                <w:color w:val="auto"/>
              </w:rPr>
              <w:t>269~465</w:t>
            </w:r>
          </w:p>
        </w:tc>
        <w:tc>
          <w:tcPr>
            <w:tcW w:w="1712" w:type="pct"/>
            <w:vAlign w:val="center"/>
          </w:tcPr>
          <w:p w14:paraId="6D1D8D34">
            <w:pPr>
              <w:pStyle w:val="691"/>
              <w:rPr>
                <w:color w:val="auto"/>
              </w:rPr>
            </w:pPr>
            <w:r>
              <w:rPr>
                <w:color w:val="auto"/>
              </w:rPr>
              <w:t>紫红色泥岩、灰绿色厚层岩屑亚长石砂岩、顶为叶肢介页岩</w:t>
            </w:r>
          </w:p>
        </w:tc>
        <w:tc>
          <w:tcPr>
            <w:tcW w:w="1219" w:type="pct"/>
            <w:vAlign w:val="center"/>
          </w:tcPr>
          <w:p w14:paraId="6A4D4EFD">
            <w:pPr>
              <w:pStyle w:val="691"/>
              <w:rPr>
                <w:color w:val="auto"/>
              </w:rPr>
            </w:pPr>
            <w:r>
              <w:rPr>
                <w:color w:val="auto"/>
              </w:rPr>
              <w:t>紧邻上沙溪庙组，零星分布于区域较外侧</w:t>
            </w:r>
          </w:p>
        </w:tc>
      </w:tr>
      <w:tr w14:paraId="7340A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182" w:hRule="atLeast"/>
          <w:jc w:val="center"/>
        </w:trPr>
        <w:tc>
          <w:tcPr>
            <w:tcW w:w="232" w:type="pct"/>
            <w:vMerge w:val="continue"/>
            <w:vAlign w:val="center"/>
          </w:tcPr>
          <w:p w14:paraId="3236D525">
            <w:pPr>
              <w:pStyle w:val="691"/>
              <w:rPr>
                <w:color w:val="auto"/>
              </w:rPr>
            </w:pPr>
          </w:p>
        </w:tc>
        <w:tc>
          <w:tcPr>
            <w:tcW w:w="233" w:type="pct"/>
            <w:vMerge w:val="continue"/>
            <w:vAlign w:val="center"/>
          </w:tcPr>
          <w:p w14:paraId="3AB1B612">
            <w:pPr>
              <w:pStyle w:val="691"/>
              <w:rPr>
                <w:color w:val="auto"/>
              </w:rPr>
            </w:pPr>
          </w:p>
        </w:tc>
        <w:tc>
          <w:tcPr>
            <w:tcW w:w="295" w:type="pct"/>
            <w:vMerge w:val="continue"/>
            <w:vAlign w:val="center"/>
          </w:tcPr>
          <w:p w14:paraId="0B46D626">
            <w:pPr>
              <w:pStyle w:val="691"/>
              <w:rPr>
                <w:color w:val="auto"/>
              </w:rPr>
            </w:pPr>
          </w:p>
        </w:tc>
        <w:tc>
          <w:tcPr>
            <w:tcW w:w="375" w:type="pct"/>
            <w:vAlign w:val="center"/>
          </w:tcPr>
          <w:p w14:paraId="4EA28688">
            <w:pPr>
              <w:pStyle w:val="691"/>
              <w:rPr>
                <w:color w:val="auto"/>
              </w:rPr>
            </w:pPr>
            <w:r>
              <w:rPr>
                <w:color w:val="auto"/>
              </w:rPr>
              <w:t>新田沟组</w:t>
            </w:r>
          </w:p>
        </w:tc>
        <w:tc>
          <w:tcPr>
            <w:tcW w:w="390" w:type="pct"/>
            <w:vAlign w:val="center"/>
          </w:tcPr>
          <w:p w14:paraId="0DD8D8AF">
            <w:pPr>
              <w:pStyle w:val="691"/>
              <w:rPr>
                <w:color w:val="auto"/>
              </w:rPr>
            </w:pPr>
            <w:r>
              <w:rPr>
                <w:color w:val="auto"/>
              </w:rPr>
              <w:t>J</w:t>
            </w:r>
            <w:r>
              <w:rPr>
                <w:color w:val="auto"/>
                <w:vertAlign w:val="subscript"/>
              </w:rPr>
              <w:t>2</w:t>
            </w:r>
            <w:r>
              <w:rPr>
                <w:color w:val="auto"/>
              </w:rPr>
              <w:t>x</w:t>
            </w:r>
          </w:p>
        </w:tc>
        <w:tc>
          <w:tcPr>
            <w:tcW w:w="544" w:type="pct"/>
            <w:vAlign w:val="center"/>
          </w:tcPr>
          <w:p w14:paraId="58D7556A">
            <w:pPr>
              <w:pStyle w:val="691"/>
              <w:rPr>
                <w:color w:val="auto"/>
              </w:rPr>
            </w:pPr>
            <w:r>
              <w:rPr>
                <w:color w:val="auto"/>
              </w:rPr>
              <w:t>56~155</w:t>
            </w:r>
          </w:p>
        </w:tc>
        <w:tc>
          <w:tcPr>
            <w:tcW w:w="1712" w:type="pct"/>
            <w:vAlign w:val="center"/>
          </w:tcPr>
          <w:p w14:paraId="699D234B">
            <w:pPr>
              <w:pStyle w:val="691"/>
              <w:rPr>
                <w:color w:val="auto"/>
              </w:rPr>
            </w:pPr>
            <w:r>
              <w:rPr>
                <w:color w:val="auto"/>
              </w:rPr>
              <w:t>长石岩屑石英砂岩夹页岩、泥岩及介壳砂岩</w:t>
            </w:r>
          </w:p>
        </w:tc>
        <w:tc>
          <w:tcPr>
            <w:tcW w:w="1219" w:type="pct"/>
            <w:vAlign w:val="center"/>
          </w:tcPr>
          <w:p w14:paraId="6A7DA596">
            <w:pPr>
              <w:pStyle w:val="691"/>
              <w:rPr>
                <w:color w:val="auto"/>
              </w:rPr>
            </w:pPr>
            <w:r>
              <w:rPr>
                <w:color w:val="auto"/>
              </w:rPr>
              <w:t>紧邻下沙溪庙组，零星分布于区域较外侧</w:t>
            </w:r>
          </w:p>
        </w:tc>
      </w:tr>
      <w:tr w14:paraId="6D62B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966" w:hRule="atLeast"/>
          <w:jc w:val="center"/>
        </w:trPr>
        <w:tc>
          <w:tcPr>
            <w:tcW w:w="232" w:type="pct"/>
            <w:vMerge w:val="continue"/>
            <w:vAlign w:val="center"/>
          </w:tcPr>
          <w:p w14:paraId="6232FBE0">
            <w:pPr>
              <w:pStyle w:val="691"/>
              <w:rPr>
                <w:color w:val="auto"/>
              </w:rPr>
            </w:pPr>
          </w:p>
        </w:tc>
        <w:tc>
          <w:tcPr>
            <w:tcW w:w="233" w:type="pct"/>
            <w:vMerge w:val="continue"/>
            <w:vAlign w:val="center"/>
          </w:tcPr>
          <w:p w14:paraId="6F14E738">
            <w:pPr>
              <w:pStyle w:val="691"/>
              <w:rPr>
                <w:color w:val="auto"/>
              </w:rPr>
            </w:pPr>
          </w:p>
        </w:tc>
        <w:tc>
          <w:tcPr>
            <w:tcW w:w="295" w:type="pct"/>
            <w:vAlign w:val="center"/>
          </w:tcPr>
          <w:p w14:paraId="1BA324A5">
            <w:pPr>
              <w:pStyle w:val="691"/>
              <w:rPr>
                <w:color w:val="auto"/>
              </w:rPr>
            </w:pPr>
            <w:r>
              <w:rPr>
                <w:color w:val="auto"/>
              </w:rPr>
              <w:t>中-下统</w:t>
            </w:r>
          </w:p>
        </w:tc>
        <w:tc>
          <w:tcPr>
            <w:tcW w:w="375" w:type="pct"/>
            <w:vAlign w:val="center"/>
          </w:tcPr>
          <w:p w14:paraId="796EC42B">
            <w:pPr>
              <w:pStyle w:val="691"/>
              <w:rPr>
                <w:color w:val="auto"/>
              </w:rPr>
            </w:pPr>
            <w:r>
              <w:rPr>
                <w:color w:val="auto"/>
              </w:rPr>
              <w:t>自流井组</w:t>
            </w:r>
          </w:p>
        </w:tc>
        <w:tc>
          <w:tcPr>
            <w:tcW w:w="390" w:type="pct"/>
            <w:vAlign w:val="center"/>
          </w:tcPr>
          <w:p w14:paraId="07BC8A65">
            <w:pPr>
              <w:pStyle w:val="691"/>
              <w:rPr>
                <w:color w:val="auto"/>
              </w:rPr>
            </w:pPr>
            <w:r>
              <w:rPr>
                <w:color w:val="auto"/>
              </w:rPr>
              <w:t>J</w:t>
            </w:r>
            <w:r>
              <w:rPr>
                <w:color w:val="auto"/>
                <w:vertAlign w:val="subscript"/>
              </w:rPr>
              <w:t>1-2</w:t>
            </w:r>
            <w:r>
              <w:rPr>
                <w:color w:val="auto"/>
              </w:rPr>
              <w:t>z</w:t>
            </w:r>
          </w:p>
        </w:tc>
        <w:tc>
          <w:tcPr>
            <w:tcW w:w="544" w:type="pct"/>
            <w:vAlign w:val="center"/>
          </w:tcPr>
          <w:p w14:paraId="43A0AD70">
            <w:pPr>
              <w:pStyle w:val="691"/>
              <w:rPr>
                <w:color w:val="auto"/>
              </w:rPr>
            </w:pPr>
            <w:r>
              <w:rPr>
                <w:color w:val="auto"/>
              </w:rPr>
              <w:t>32~204</w:t>
            </w:r>
          </w:p>
        </w:tc>
        <w:tc>
          <w:tcPr>
            <w:tcW w:w="1712" w:type="pct"/>
            <w:vAlign w:val="center"/>
          </w:tcPr>
          <w:p w14:paraId="4F14B8AD">
            <w:pPr>
              <w:pStyle w:val="691"/>
              <w:rPr>
                <w:color w:val="auto"/>
              </w:rPr>
            </w:pPr>
            <w:r>
              <w:rPr>
                <w:color w:val="auto"/>
              </w:rPr>
              <w:t>深灰色页岩夹薄-中厚层灰岩，泥质粉砂岩、粘土岩，含介壳丰富</w:t>
            </w:r>
          </w:p>
        </w:tc>
        <w:tc>
          <w:tcPr>
            <w:tcW w:w="1219" w:type="pct"/>
            <w:vAlign w:val="center"/>
          </w:tcPr>
          <w:p w14:paraId="29DD7BC8">
            <w:pPr>
              <w:pStyle w:val="691"/>
              <w:rPr>
                <w:color w:val="auto"/>
              </w:rPr>
            </w:pPr>
            <w:r>
              <w:rPr>
                <w:color w:val="auto"/>
              </w:rPr>
              <w:t>紧邻新田沟组，零星分布于区域较外侧</w:t>
            </w:r>
          </w:p>
        </w:tc>
      </w:tr>
      <w:tr w14:paraId="092C1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966" w:hRule="atLeast"/>
          <w:jc w:val="center"/>
        </w:trPr>
        <w:tc>
          <w:tcPr>
            <w:tcW w:w="232" w:type="pct"/>
            <w:vMerge w:val="continue"/>
            <w:vAlign w:val="center"/>
          </w:tcPr>
          <w:p w14:paraId="5EB2BBFF">
            <w:pPr>
              <w:pStyle w:val="691"/>
              <w:rPr>
                <w:color w:val="auto"/>
              </w:rPr>
            </w:pPr>
          </w:p>
        </w:tc>
        <w:tc>
          <w:tcPr>
            <w:tcW w:w="233" w:type="pct"/>
            <w:vMerge w:val="continue"/>
            <w:vAlign w:val="center"/>
          </w:tcPr>
          <w:p w14:paraId="48CED527">
            <w:pPr>
              <w:pStyle w:val="691"/>
              <w:rPr>
                <w:color w:val="auto"/>
              </w:rPr>
            </w:pPr>
          </w:p>
        </w:tc>
        <w:tc>
          <w:tcPr>
            <w:tcW w:w="295" w:type="pct"/>
            <w:vAlign w:val="center"/>
          </w:tcPr>
          <w:p w14:paraId="562266F4">
            <w:pPr>
              <w:pStyle w:val="691"/>
              <w:rPr>
                <w:color w:val="auto"/>
              </w:rPr>
            </w:pPr>
            <w:r>
              <w:rPr>
                <w:color w:val="auto"/>
              </w:rPr>
              <w:t>下统</w:t>
            </w:r>
          </w:p>
        </w:tc>
        <w:tc>
          <w:tcPr>
            <w:tcW w:w="375" w:type="pct"/>
            <w:vAlign w:val="center"/>
          </w:tcPr>
          <w:p w14:paraId="1A1DEA99">
            <w:pPr>
              <w:pStyle w:val="691"/>
              <w:rPr>
                <w:color w:val="auto"/>
              </w:rPr>
            </w:pPr>
            <w:r>
              <w:rPr>
                <w:color w:val="auto"/>
              </w:rPr>
              <w:t>珍珠冲组</w:t>
            </w:r>
          </w:p>
        </w:tc>
        <w:tc>
          <w:tcPr>
            <w:tcW w:w="390" w:type="pct"/>
            <w:vAlign w:val="center"/>
          </w:tcPr>
          <w:p w14:paraId="144CBFEF">
            <w:pPr>
              <w:pStyle w:val="691"/>
              <w:rPr>
                <w:color w:val="auto"/>
              </w:rPr>
            </w:pPr>
            <w:r>
              <w:rPr>
                <w:color w:val="auto"/>
              </w:rPr>
              <w:t>J</w:t>
            </w:r>
            <w:r>
              <w:rPr>
                <w:color w:val="auto"/>
                <w:vertAlign w:val="subscript"/>
              </w:rPr>
              <w:t>1</w:t>
            </w:r>
            <w:r>
              <w:rPr>
                <w:color w:val="auto"/>
              </w:rPr>
              <w:t>z</w:t>
            </w:r>
          </w:p>
        </w:tc>
        <w:tc>
          <w:tcPr>
            <w:tcW w:w="544" w:type="pct"/>
            <w:vAlign w:val="center"/>
          </w:tcPr>
          <w:p w14:paraId="7E0D8043">
            <w:pPr>
              <w:pStyle w:val="691"/>
              <w:rPr>
                <w:color w:val="auto"/>
              </w:rPr>
            </w:pPr>
            <w:r>
              <w:rPr>
                <w:color w:val="auto"/>
              </w:rPr>
              <w:t>188~232</w:t>
            </w:r>
          </w:p>
        </w:tc>
        <w:tc>
          <w:tcPr>
            <w:tcW w:w="1712" w:type="pct"/>
            <w:vAlign w:val="center"/>
          </w:tcPr>
          <w:p w14:paraId="75C03357">
            <w:pPr>
              <w:pStyle w:val="691"/>
              <w:rPr>
                <w:color w:val="auto"/>
              </w:rPr>
            </w:pPr>
            <w:r>
              <w:rPr>
                <w:color w:val="auto"/>
              </w:rPr>
              <w:t>灰色薄-中厚层亚岩屑石英砂岩夹泥岩、砂质页岩及薄层</w:t>
            </w:r>
          </w:p>
        </w:tc>
        <w:tc>
          <w:tcPr>
            <w:tcW w:w="1219" w:type="pct"/>
            <w:vAlign w:val="center"/>
          </w:tcPr>
          <w:p w14:paraId="5707061A">
            <w:pPr>
              <w:pStyle w:val="691"/>
              <w:rPr>
                <w:color w:val="auto"/>
              </w:rPr>
            </w:pPr>
            <w:r>
              <w:rPr>
                <w:color w:val="auto"/>
              </w:rPr>
              <w:t>紧邻自流井组，零星分布于区域较外侧</w:t>
            </w:r>
          </w:p>
        </w:tc>
      </w:tr>
      <w:tr w14:paraId="525C5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966" w:hRule="atLeast"/>
          <w:jc w:val="center"/>
        </w:trPr>
        <w:tc>
          <w:tcPr>
            <w:tcW w:w="232" w:type="pct"/>
            <w:vMerge w:val="continue"/>
            <w:vAlign w:val="center"/>
          </w:tcPr>
          <w:p w14:paraId="67613D4B">
            <w:pPr>
              <w:pStyle w:val="691"/>
              <w:rPr>
                <w:color w:val="auto"/>
              </w:rPr>
            </w:pPr>
          </w:p>
        </w:tc>
        <w:tc>
          <w:tcPr>
            <w:tcW w:w="233" w:type="pct"/>
            <w:vMerge w:val="restart"/>
            <w:vAlign w:val="center"/>
          </w:tcPr>
          <w:p w14:paraId="4A7EFD21">
            <w:pPr>
              <w:pStyle w:val="691"/>
              <w:rPr>
                <w:color w:val="auto"/>
              </w:rPr>
            </w:pPr>
            <w:r>
              <w:rPr>
                <w:color w:val="auto"/>
              </w:rPr>
              <w:t>三叠系</w:t>
            </w:r>
          </w:p>
        </w:tc>
        <w:tc>
          <w:tcPr>
            <w:tcW w:w="295" w:type="pct"/>
            <w:vAlign w:val="center"/>
          </w:tcPr>
          <w:p w14:paraId="7A7226EA">
            <w:pPr>
              <w:pStyle w:val="691"/>
              <w:rPr>
                <w:color w:val="auto"/>
              </w:rPr>
            </w:pPr>
            <w:r>
              <w:rPr>
                <w:color w:val="auto"/>
              </w:rPr>
              <w:t>上统</w:t>
            </w:r>
          </w:p>
        </w:tc>
        <w:tc>
          <w:tcPr>
            <w:tcW w:w="375" w:type="pct"/>
            <w:vAlign w:val="center"/>
          </w:tcPr>
          <w:p w14:paraId="43D2D5B0">
            <w:pPr>
              <w:pStyle w:val="691"/>
              <w:rPr>
                <w:color w:val="auto"/>
              </w:rPr>
            </w:pPr>
            <w:r>
              <w:rPr>
                <w:color w:val="auto"/>
              </w:rPr>
              <w:t>须家河组</w:t>
            </w:r>
          </w:p>
        </w:tc>
        <w:tc>
          <w:tcPr>
            <w:tcW w:w="390" w:type="pct"/>
            <w:vAlign w:val="center"/>
          </w:tcPr>
          <w:p w14:paraId="252ED2B6">
            <w:pPr>
              <w:pStyle w:val="691"/>
              <w:rPr>
                <w:color w:val="auto"/>
              </w:rPr>
            </w:pPr>
            <w:r>
              <w:rPr>
                <w:color w:val="auto"/>
              </w:rPr>
              <w:t>T</w:t>
            </w:r>
            <w:r>
              <w:rPr>
                <w:color w:val="auto"/>
                <w:vertAlign w:val="subscript"/>
              </w:rPr>
              <w:t>3</w:t>
            </w:r>
            <w:r>
              <w:rPr>
                <w:color w:val="auto"/>
              </w:rPr>
              <w:t>xj</w:t>
            </w:r>
          </w:p>
        </w:tc>
        <w:tc>
          <w:tcPr>
            <w:tcW w:w="544" w:type="pct"/>
            <w:vAlign w:val="center"/>
          </w:tcPr>
          <w:p w14:paraId="18028337">
            <w:pPr>
              <w:pStyle w:val="691"/>
              <w:rPr>
                <w:color w:val="auto"/>
              </w:rPr>
            </w:pPr>
            <w:r>
              <w:rPr>
                <w:color w:val="auto"/>
              </w:rPr>
              <w:t>34~337</w:t>
            </w:r>
          </w:p>
        </w:tc>
        <w:tc>
          <w:tcPr>
            <w:tcW w:w="1712" w:type="pct"/>
            <w:vAlign w:val="center"/>
          </w:tcPr>
          <w:p w14:paraId="65CB949C">
            <w:pPr>
              <w:pStyle w:val="691"/>
              <w:rPr>
                <w:color w:val="auto"/>
              </w:rPr>
            </w:pPr>
            <w:r>
              <w:rPr>
                <w:color w:val="auto"/>
              </w:rPr>
              <w:t>灰色厚层岩屑砂岩、底为页岩夹煤</w:t>
            </w:r>
          </w:p>
        </w:tc>
        <w:tc>
          <w:tcPr>
            <w:tcW w:w="1219" w:type="pct"/>
            <w:vAlign w:val="center"/>
          </w:tcPr>
          <w:p w14:paraId="638753B1">
            <w:pPr>
              <w:pStyle w:val="691"/>
              <w:rPr>
                <w:color w:val="auto"/>
              </w:rPr>
            </w:pPr>
            <w:r>
              <w:rPr>
                <w:color w:val="auto"/>
              </w:rPr>
              <w:t>紧邻珍珠冲组，零星分布于区域较外侧</w:t>
            </w:r>
          </w:p>
        </w:tc>
      </w:tr>
      <w:tr w14:paraId="04EA0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966" w:hRule="atLeast"/>
          <w:jc w:val="center"/>
        </w:trPr>
        <w:tc>
          <w:tcPr>
            <w:tcW w:w="232" w:type="pct"/>
            <w:vMerge w:val="continue"/>
            <w:vAlign w:val="center"/>
          </w:tcPr>
          <w:p w14:paraId="22470CBC">
            <w:pPr>
              <w:pStyle w:val="691"/>
              <w:rPr>
                <w:color w:val="auto"/>
              </w:rPr>
            </w:pPr>
          </w:p>
        </w:tc>
        <w:tc>
          <w:tcPr>
            <w:tcW w:w="233" w:type="pct"/>
            <w:vMerge w:val="continue"/>
            <w:vAlign w:val="center"/>
          </w:tcPr>
          <w:p w14:paraId="444512F4">
            <w:pPr>
              <w:pStyle w:val="691"/>
              <w:rPr>
                <w:color w:val="auto"/>
              </w:rPr>
            </w:pPr>
          </w:p>
        </w:tc>
        <w:tc>
          <w:tcPr>
            <w:tcW w:w="295" w:type="pct"/>
            <w:vMerge w:val="restart"/>
            <w:vAlign w:val="center"/>
          </w:tcPr>
          <w:p w14:paraId="7F2F644E">
            <w:pPr>
              <w:pStyle w:val="691"/>
              <w:rPr>
                <w:color w:val="auto"/>
              </w:rPr>
            </w:pPr>
            <w:r>
              <w:rPr>
                <w:color w:val="auto"/>
              </w:rPr>
              <w:t>中统</w:t>
            </w:r>
          </w:p>
        </w:tc>
        <w:tc>
          <w:tcPr>
            <w:tcW w:w="375" w:type="pct"/>
            <w:vAlign w:val="center"/>
          </w:tcPr>
          <w:p w14:paraId="12F43F23">
            <w:pPr>
              <w:pStyle w:val="691"/>
              <w:rPr>
                <w:color w:val="auto"/>
              </w:rPr>
            </w:pPr>
            <w:r>
              <w:rPr>
                <w:color w:val="auto"/>
              </w:rPr>
              <w:t>巴东组</w:t>
            </w:r>
          </w:p>
        </w:tc>
        <w:tc>
          <w:tcPr>
            <w:tcW w:w="390" w:type="pct"/>
            <w:vAlign w:val="center"/>
          </w:tcPr>
          <w:p w14:paraId="5FC05DA9">
            <w:pPr>
              <w:pStyle w:val="691"/>
              <w:rPr>
                <w:color w:val="auto"/>
              </w:rPr>
            </w:pPr>
            <w:r>
              <w:rPr>
                <w:color w:val="auto"/>
              </w:rPr>
              <w:t>T</w:t>
            </w:r>
            <w:r>
              <w:rPr>
                <w:color w:val="auto"/>
                <w:vertAlign w:val="subscript"/>
              </w:rPr>
              <w:t>2</w:t>
            </w:r>
            <w:r>
              <w:rPr>
                <w:color w:val="auto"/>
              </w:rPr>
              <w:t>b</w:t>
            </w:r>
          </w:p>
        </w:tc>
        <w:tc>
          <w:tcPr>
            <w:tcW w:w="544" w:type="pct"/>
            <w:vAlign w:val="center"/>
          </w:tcPr>
          <w:p w14:paraId="1C6B2827">
            <w:pPr>
              <w:pStyle w:val="691"/>
              <w:rPr>
                <w:color w:val="auto"/>
              </w:rPr>
            </w:pPr>
            <w:r>
              <w:rPr>
                <w:color w:val="auto"/>
              </w:rPr>
              <w:t>54~296</w:t>
            </w:r>
          </w:p>
        </w:tc>
        <w:tc>
          <w:tcPr>
            <w:tcW w:w="1712" w:type="pct"/>
            <w:vAlign w:val="center"/>
          </w:tcPr>
          <w:p w14:paraId="381EB3F2">
            <w:pPr>
              <w:pStyle w:val="691"/>
              <w:rPr>
                <w:color w:val="auto"/>
              </w:rPr>
            </w:pPr>
            <w:r>
              <w:rPr>
                <w:color w:val="auto"/>
              </w:rPr>
              <w:t>灰色薄-中厚层泥质灰岩夹黄灰色页岩、中部夹石膏</w:t>
            </w:r>
          </w:p>
        </w:tc>
        <w:tc>
          <w:tcPr>
            <w:tcW w:w="1219" w:type="pct"/>
            <w:vAlign w:val="center"/>
          </w:tcPr>
          <w:p w14:paraId="3206C71C">
            <w:pPr>
              <w:pStyle w:val="691"/>
              <w:rPr>
                <w:color w:val="auto"/>
              </w:rPr>
            </w:pPr>
            <w:r>
              <w:rPr>
                <w:color w:val="auto"/>
              </w:rPr>
              <w:t>紧邻须家河组，零星分布于区域东南侧</w:t>
            </w:r>
          </w:p>
        </w:tc>
      </w:tr>
      <w:tr w14:paraId="26098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966" w:hRule="atLeast"/>
          <w:jc w:val="center"/>
        </w:trPr>
        <w:tc>
          <w:tcPr>
            <w:tcW w:w="232" w:type="pct"/>
            <w:vMerge w:val="continue"/>
            <w:vAlign w:val="center"/>
          </w:tcPr>
          <w:p w14:paraId="57ED701E">
            <w:pPr>
              <w:pStyle w:val="691"/>
              <w:rPr>
                <w:color w:val="auto"/>
              </w:rPr>
            </w:pPr>
          </w:p>
        </w:tc>
        <w:tc>
          <w:tcPr>
            <w:tcW w:w="233" w:type="pct"/>
            <w:vMerge w:val="continue"/>
            <w:vAlign w:val="center"/>
          </w:tcPr>
          <w:p w14:paraId="780B61C4">
            <w:pPr>
              <w:pStyle w:val="691"/>
              <w:rPr>
                <w:color w:val="auto"/>
              </w:rPr>
            </w:pPr>
          </w:p>
        </w:tc>
        <w:tc>
          <w:tcPr>
            <w:tcW w:w="295" w:type="pct"/>
            <w:vMerge w:val="continue"/>
            <w:vAlign w:val="center"/>
          </w:tcPr>
          <w:p w14:paraId="20008AD3">
            <w:pPr>
              <w:pStyle w:val="691"/>
              <w:rPr>
                <w:color w:val="auto"/>
              </w:rPr>
            </w:pPr>
          </w:p>
        </w:tc>
        <w:tc>
          <w:tcPr>
            <w:tcW w:w="375" w:type="pct"/>
            <w:vAlign w:val="center"/>
          </w:tcPr>
          <w:p w14:paraId="17531877">
            <w:pPr>
              <w:pStyle w:val="691"/>
              <w:rPr>
                <w:color w:val="auto"/>
              </w:rPr>
            </w:pPr>
            <w:r>
              <w:rPr>
                <w:color w:val="auto"/>
              </w:rPr>
              <w:t>雷口坡组</w:t>
            </w:r>
          </w:p>
        </w:tc>
        <w:tc>
          <w:tcPr>
            <w:tcW w:w="390" w:type="pct"/>
            <w:vAlign w:val="center"/>
          </w:tcPr>
          <w:p w14:paraId="1AF41190">
            <w:pPr>
              <w:pStyle w:val="691"/>
              <w:rPr>
                <w:color w:val="auto"/>
              </w:rPr>
            </w:pPr>
            <w:r>
              <w:rPr>
                <w:color w:val="auto"/>
              </w:rPr>
              <w:t>T</w:t>
            </w:r>
            <w:r>
              <w:rPr>
                <w:color w:val="auto"/>
                <w:vertAlign w:val="subscript"/>
              </w:rPr>
              <w:t>2</w:t>
            </w:r>
            <w:r>
              <w:rPr>
                <w:color w:val="auto"/>
              </w:rPr>
              <w:t>l</w:t>
            </w:r>
          </w:p>
        </w:tc>
        <w:tc>
          <w:tcPr>
            <w:tcW w:w="544" w:type="pct"/>
            <w:vAlign w:val="center"/>
          </w:tcPr>
          <w:p w14:paraId="3C94880C">
            <w:pPr>
              <w:pStyle w:val="691"/>
              <w:rPr>
                <w:color w:val="auto"/>
              </w:rPr>
            </w:pPr>
            <w:r>
              <w:rPr>
                <w:color w:val="auto"/>
              </w:rPr>
              <w:t>60~185</w:t>
            </w:r>
          </w:p>
        </w:tc>
        <w:tc>
          <w:tcPr>
            <w:tcW w:w="1712" w:type="pct"/>
            <w:vAlign w:val="center"/>
          </w:tcPr>
          <w:p w14:paraId="5CFF4595">
            <w:pPr>
              <w:pStyle w:val="691"/>
              <w:rPr>
                <w:color w:val="auto"/>
              </w:rPr>
            </w:pPr>
            <w:r>
              <w:rPr>
                <w:color w:val="auto"/>
              </w:rPr>
              <w:t>紫红色灰绿、灰黄色钙质页岩、粉砂质水云母页岩夹薄层状含泥质灰岩</w:t>
            </w:r>
          </w:p>
        </w:tc>
        <w:tc>
          <w:tcPr>
            <w:tcW w:w="1219" w:type="pct"/>
            <w:vAlign w:val="center"/>
          </w:tcPr>
          <w:p w14:paraId="09133F3A">
            <w:pPr>
              <w:pStyle w:val="691"/>
              <w:rPr>
                <w:color w:val="auto"/>
              </w:rPr>
            </w:pPr>
            <w:r>
              <w:rPr>
                <w:color w:val="auto"/>
              </w:rPr>
              <w:t>紧邻须家河组，零星分布于区域较外侧</w:t>
            </w:r>
          </w:p>
        </w:tc>
      </w:tr>
      <w:tr w14:paraId="4FC6C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794" w:hRule="atLeast"/>
          <w:jc w:val="center"/>
        </w:trPr>
        <w:tc>
          <w:tcPr>
            <w:tcW w:w="232" w:type="pct"/>
            <w:vMerge w:val="continue"/>
            <w:vAlign w:val="center"/>
          </w:tcPr>
          <w:p w14:paraId="2B322194">
            <w:pPr>
              <w:pStyle w:val="691"/>
              <w:rPr>
                <w:color w:val="auto"/>
              </w:rPr>
            </w:pPr>
          </w:p>
        </w:tc>
        <w:tc>
          <w:tcPr>
            <w:tcW w:w="233" w:type="pct"/>
            <w:vMerge w:val="continue"/>
            <w:vAlign w:val="center"/>
          </w:tcPr>
          <w:p w14:paraId="194A0B31">
            <w:pPr>
              <w:pStyle w:val="691"/>
              <w:rPr>
                <w:color w:val="auto"/>
              </w:rPr>
            </w:pPr>
          </w:p>
        </w:tc>
        <w:tc>
          <w:tcPr>
            <w:tcW w:w="295" w:type="pct"/>
            <w:vMerge w:val="restart"/>
            <w:vAlign w:val="center"/>
          </w:tcPr>
          <w:p w14:paraId="055F1E5C">
            <w:pPr>
              <w:pStyle w:val="691"/>
              <w:rPr>
                <w:color w:val="auto"/>
              </w:rPr>
            </w:pPr>
            <w:r>
              <w:rPr>
                <w:color w:val="auto"/>
              </w:rPr>
              <w:t>下统</w:t>
            </w:r>
          </w:p>
        </w:tc>
        <w:tc>
          <w:tcPr>
            <w:tcW w:w="375" w:type="pct"/>
            <w:vAlign w:val="center"/>
          </w:tcPr>
          <w:p w14:paraId="24FFE9FB">
            <w:pPr>
              <w:pStyle w:val="691"/>
              <w:rPr>
                <w:color w:val="auto"/>
              </w:rPr>
            </w:pPr>
            <w:r>
              <w:rPr>
                <w:color w:val="auto"/>
              </w:rPr>
              <w:t>嘉陵江组</w:t>
            </w:r>
          </w:p>
        </w:tc>
        <w:tc>
          <w:tcPr>
            <w:tcW w:w="390" w:type="pct"/>
            <w:vAlign w:val="center"/>
          </w:tcPr>
          <w:p w14:paraId="22588EFA">
            <w:pPr>
              <w:pStyle w:val="691"/>
              <w:rPr>
                <w:color w:val="auto"/>
              </w:rPr>
            </w:pPr>
            <w:r>
              <w:rPr>
                <w:color w:val="auto"/>
              </w:rPr>
              <w:t>T</w:t>
            </w:r>
            <w:r>
              <w:rPr>
                <w:color w:val="auto"/>
                <w:vertAlign w:val="subscript"/>
              </w:rPr>
              <w:t>1</w:t>
            </w:r>
            <w:r>
              <w:rPr>
                <w:color w:val="auto"/>
              </w:rPr>
              <w:t>j</w:t>
            </w:r>
          </w:p>
        </w:tc>
        <w:tc>
          <w:tcPr>
            <w:tcW w:w="544" w:type="pct"/>
            <w:vAlign w:val="center"/>
          </w:tcPr>
          <w:p w14:paraId="70301B48">
            <w:pPr>
              <w:pStyle w:val="691"/>
              <w:rPr>
                <w:color w:val="auto"/>
              </w:rPr>
            </w:pPr>
            <w:r>
              <w:rPr>
                <w:color w:val="auto"/>
              </w:rPr>
              <w:t>82~237</w:t>
            </w:r>
          </w:p>
        </w:tc>
        <w:tc>
          <w:tcPr>
            <w:tcW w:w="1712" w:type="pct"/>
            <w:vAlign w:val="center"/>
          </w:tcPr>
          <w:p w14:paraId="5CF94A37">
            <w:pPr>
              <w:pStyle w:val="691"/>
              <w:rPr>
                <w:color w:val="auto"/>
              </w:rPr>
            </w:pPr>
            <w:r>
              <w:rPr>
                <w:color w:val="auto"/>
              </w:rPr>
              <w:t>灰、浅灰色厚层岩溶角砾岩夹钙质水云母页岩</w:t>
            </w:r>
          </w:p>
        </w:tc>
        <w:tc>
          <w:tcPr>
            <w:tcW w:w="1219" w:type="pct"/>
            <w:vAlign w:val="center"/>
          </w:tcPr>
          <w:p w14:paraId="66FE2AFF">
            <w:pPr>
              <w:pStyle w:val="691"/>
              <w:rPr>
                <w:color w:val="auto"/>
              </w:rPr>
            </w:pPr>
            <w:r>
              <w:rPr>
                <w:color w:val="auto"/>
              </w:rPr>
              <w:t>紧邻巴东组，零星分布于区域东南侧</w:t>
            </w:r>
          </w:p>
        </w:tc>
      </w:tr>
      <w:tr w14:paraId="3161F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966" w:hRule="atLeast"/>
          <w:jc w:val="center"/>
        </w:trPr>
        <w:tc>
          <w:tcPr>
            <w:tcW w:w="232" w:type="pct"/>
            <w:vMerge w:val="continue"/>
            <w:vAlign w:val="center"/>
          </w:tcPr>
          <w:p w14:paraId="51B6755E">
            <w:pPr>
              <w:pStyle w:val="691"/>
              <w:rPr>
                <w:color w:val="auto"/>
              </w:rPr>
            </w:pPr>
          </w:p>
        </w:tc>
        <w:tc>
          <w:tcPr>
            <w:tcW w:w="233" w:type="pct"/>
            <w:vMerge w:val="continue"/>
            <w:vAlign w:val="center"/>
          </w:tcPr>
          <w:p w14:paraId="55F4B9B2">
            <w:pPr>
              <w:pStyle w:val="691"/>
              <w:rPr>
                <w:color w:val="auto"/>
              </w:rPr>
            </w:pPr>
          </w:p>
        </w:tc>
        <w:tc>
          <w:tcPr>
            <w:tcW w:w="295" w:type="pct"/>
            <w:vMerge w:val="continue"/>
            <w:vAlign w:val="center"/>
          </w:tcPr>
          <w:p w14:paraId="3B5C9EF8">
            <w:pPr>
              <w:pStyle w:val="691"/>
              <w:rPr>
                <w:color w:val="auto"/>
              </w:rPr>
            </w:pPr>
          </w:p>
        </w:tc>
        <w:tc>
          <w:tcPr>
            <w:tcW w:w="375" w:type="pct"/>
            <w:vAlign w:val="center"/>
          </w:tcPr>
          <w:p w14:paraId="7B459786">
            <w:pPr>
              <w:pStyle w:val="691"/>
              <w:rPr>
                <w:color w:val="auto"/>
              </w:rPr>
            </w:pPr>
            <w:r>
              <w:rPr>
                <w:color w:val="auto"/>
              </w:rPr>
              <w:t>大冶组</w:t>
            </w:r>
          </w:p>
        </w:tc>
        <w:tc>
          <w:tcPr>
            <w:tcW w:w="390" w:type="pct"/>
            <w:vAlign w:val="center"/>
          </w:tcPr>
          <w:p w14:paraId="34339B86">
            <w:pPr>
              <w:pStyle w:val="691"/>
              <w:rPr>
                <w:color w:val="auto"/>
              </w:rPr>
            </w:pPr>
            <w:r>
              <w:rPr>
                <w:color w:val="auto"/>
              </w:rPr>
              <w:t>T</w:t>
            </w:r>
            <w:r>
              <w:rPr>
                <w:color w:val="auto"/>
                <w:vertAlign w:val="subscript"/>
              </w:rPr>
              <w:t>1</w:t>
            </w:r>
            <w:r>
              <w:rPr>
                <w:color w:val="auto"/>
              </w:rPr>
              <w:t>d</w:t>
            </w:r>
          </w:p>
        </w:tc>
        <w:tc>
          <w:tcPr>
            <w:tcW w:w="544" w:type="pct"/>
            <w:vAlign w:val="center"/>
          </w:tcPr>
          <w:p w14:paraId="1CB37B14">
            <w:pPr>
              <w:pStyle w:val="691"/>
              <w:rPr>
                <w:color w:val="auto"/>
              </w:rPr>
            </w:pPr>
            <w:r>
              <w:rPr>
                <w:color w:val="auto"/>
              </w:rPr>
              <w:t>35~230</w:t>
            </w:r>
          </w:p>
        </w:tc>
        <w:tc>
          <w:tcPr>
            <w:tcW w:w="1712" w:type="pct"/>
            <w:vAlign w:val="center"/>
          </w:tcPr>
          <w:p w14:paraId="4F08E5DB">
            <w:pPr>
              <w:pStyle w:val="691"/>
              <w:rPr>
                <w:color w:val="auto"/>
              </w:rPr>
            </w:pPr>
            <w:r>
              <w:rPr>
                <w:color w:val="auto"/>
              </w:rPr>
              <w:t>紫红色白云质钙质页岩及中厚层泥质白云质灰岩</w:t>
            </w:r>
          </w:p>
        </w:tc>
        <w:tc>
          <w:tcPr>
            <w:tcW w:w="1219" w:type="pct"/>
            <w:vAlign w:val="center"/>
          </w:tcPr>
          <w:p w14:paraId="6E9B2243">
            <w:pPr>
              <w:pStyle w:val="691"/>
              <w:rPr>
                <w:color w:val="auto"/>
              </w:rPr>
            </w:pPr>
            <w:r>
              <w:rPr>
                <w:color w:val="auto"/>
              </w:rPr>
              <w:t>紧邻嘉陵江组，零星分布于区域最东南侧</w:t>
            </w:r>
          </w:p>
        </w:tc>
      </w:tr>
    </w:tbl>
    <w:p w14:paraId="2D1BF112">
      <w:pPr>
        <w:spacing w:before="240" w:beforeLines="100" w:after="24"/>
        <w:ind w:firstLine="480"/>
        <w:rPr>
          <w:rFonts w:cs="Times New Roman"/>
          <w:color w:val="auto"/>
        </w:rPr>
      </w:pPr>
      <w:bookmarkStart w:id="175" w:name="_Toc470188752"/>
      <w:bookmarkStart w:id="176" w:name="_Toc451155990"/>
      <w:bookmarkStart w:id="177" w:name="_Toc470188844"/>
      <w:r>
        <w:rPr>
          <w:rFonts w:cs="Times New Roman"/>
          <w:color w:val="auto"/>
        </w:rPr>
        <w:t>（二）地质构造</w:t>
      </w:r>
      <w:bookmarkEnd w:id="175"/>
      <w:bookmarkEnd w:id="176"/>
      <w:bookmarkEnd w:id="177"/>
    </w:p>
    <w:p w14:paraId="2BC5E6E2">
      <w:pPr>
        <w:spacing w:before="24" w:after="24"/>
        <w:ind w:firstLine="480"/>
        <w:rPr>
          <w:rFonts w:cs="Times New Roman"/>
          <w:color w:val="auto"/>
        </w:rPr>
      </w:pPr>
      <w:r>
        <w:rPr>
          <w:rFonts w:cs="Times New Roman"/>
          <w:color w:val="auto"/>
        </w:rPr>
        <w:t>评估区位处扬子准地台重庆台坳重庆陷褶束（</w:t>
      </w:r>
      <w:r>
        <w:rPr>
          <w:rFonts w:hint="eastAsia" w:ascii="宋体" w:hAnsi="宋体" w:eastAsia="宋体" w:cs="宋体"/>
          <w:color w:val="auto"/>
        </w:rPr>
        <w:t>Ⅲ</w:t>
      </w:r>
      <w:r>
        <w:rPr>
          <w:rFonts w:cs="Times New Roman"/>
          <w:color w:val="auto"/>
        </w:rPr>
        <w:t>1）级构造单元内，主要分布中生代地层，其内侏罗系红层广泛分布。据收集资料，侏罗系为红色复陆屑建造。</w:t>
      </w:r>
    </w:p>
    <w:p w14:paraId="35821BD1">
      <w:pPr>
        <w:spacing w:before="24" w:after="24"/>
        <w:ind w:firstLine="480"/>
        <w:rPr>
          <w:color w:val="auto"/>
        </w:rPr>
      </w:pPr>
      <w:r>
        <w:rPr>
          <w:rFonts w:cs="Times New Roman"/>
          <w:color w:val="auto"/>
        </w:rPr>
        <w:t>区域内发育的地质构造主要为背斜和向斜。由东至西分别为：石柱向斜（67）、方斗山冲断背斜（64）、丰都-忠县向斜（68）、忠县背斜（69）、珍溪场向斜（70）、箐口背斜（71）、万州向斜（63）（构造纲要图见图5</w:t>
      </w:r>
      <w:r>
        <w:rPr>
          <w:rFonts w:hint="eastAsia" w:cs="Times New Roman"/>
          <w:color w:val="auto"/>
        </w:rPr>
        <w:t>.1</w:t>
      </w:r>
      <w:r>
        <w:rPr>
          <w:rFonts w:cs="Times New Roman"/>
          <w:color w:val="auto"/>
        </w:rPr>
        <w:t>-</w:t>
      </w:r>
      <w:r>
        <w:rPr>
          <w:rFonts w:hint="eastAsia" w:cs="Times New Roman"/>
          <w:color w:val="auto"/>
        </w:rPr>
        <w:t>1</w:t>
      </w:r>
      <w:r>
        <w:rPr>
          <w:rFonts w:cs="Times New Roman"/>
          <w:color w:val="auto"/>
        </w:rPr>
        <w:t>）。项目位置主要地处丰都-忠县向斜轴部，走向约为NE50°。评价区附近岩性产状约340°</w:t>
      </w:r>
      <w:r>
        <w:rPr>
          <w:rFonts w:hint="eastAsia" w:ascii="宋体" w:hAnsi="宋体" w:eastAsia="宋体" w:cs="宋体"/>
          <w:color w:val="auto"/>
        </w:rPr>
        <w:t>∠</w:t>
      </w:r>
      <w:r>
        <w:rPr>
          <w:rFonts w:cs="Times New Roman"/>
          <w:color w:val="auto"/>
        </w:rPr>
        <w:t>10~15°。</w:t>
      </w:r>
    </w:p>
    <w:p w14:paraId="2EBBF6C6">
      <w:pPr>
        <w:keepNext/>
        <w:keepLines/>
        <w:pageBreakBefore w:val="0"/>
        <w:widowControl w:val="0"/>
        <w:kinsoku/>
        <w:wordWrap/>
        <w:overflowPunct/>
        <w:topLinePunct w:val="0"/>
        <w:autoSpaceDE/>
        <w:autoSpaceDN/>
        <w:bidi w:val="0"/>
        <w:adjustRightInd/>
        <w:snapToGrid/>
        <w:spacing w:before="164" w:beforeLines="50" w:line="360" w:lineRule="auto"/>
        <w:ind w:firstLine="0" w:firstLineChars="0"/>
        <w:jc w:val="left"/>
        <w:textAlignment w:val="auto"/>
        <w:outlineLvl w:val="3"/>
        <w:rPr>
          <w:rFonts w:hint="eastAsia"/>
          <w:b/>
          <w:bCs/>
          <w:color w:val="auto"/>
          <w:szCs w:val="28"/>
          <w:lang w:eastAsia="zh-CN"/>
        </w:rPr>
      </w:pPr>
      <w:r>
        <w:rPr>
          <w:b/>
          <w:bCs/>
          <w:color w:val="auto"/>
          <w:szCs w:val="28"/>
        </w:rPr>
        <w:t>4.</w:t>
      </w:r>
      <w:r>
        <w:rPr>
          <w:rFonts w:hint="eastAsia"/>
          <w:b/>
          <w:bCs/>
          <w:color w:val="auto"/>
          <w:szCs w:val="28"/>
          <w:lang w:val="en-US" w:eastAsia="zh-CN"/>
        </w:rPr>
        <w:t>1</w:t>
      </w:r>
      <w:r>
        <w:rPr>
          <w:b/>
          <w:bCs/>
          <w:color w:val="auto"/>
          <w:szCs w:val="28"/>
        </w:rPr>
        <w:t>.</w:t>
      </w:r>
      <w:r>
        <w:rPr>
          <w:rFonts w:hint="eastAsia"/>
          <w:b/>
          <w:bCs/>
          <w:color w:val="auto"/>
          <w:szCs w:val="28"/>
          <w:lang w:val="en-US" w:eastAsia="zh-CN"/>
        </w:rPr>
        <w:t>5</w:t>
      </w:r>
      <w:r>
        <w:rPr>
          <w:b/>
          <w:bCs/>
          <w:color w:val="auto"/>
          <w:szCs w:val="28"/>
        </w:rPr>
        <w:t>.</w:t>
      </w:r>
      <w:r>
        <w:rPr>
          <w:rFonts w:hint="eastAsia"/>
          <w:b/>
          <w:bCs/>
          <w:color w:val="auto"/>
          <w:szCs w:val="28"/>
          <w:lang w:val="en-US" w:eastAsia="zh-CN"/>
        </w:rPr>
        <w:t>2</w:t>
      </w:r>
      <w:r>
        <w:rPr>
          <w:rFonts w:hint="eastAsia"/>
          <w:b/>
          <w:bCs/>
          <w:color w:val="auto"/>
          <w:szCs w:val="28"/>
          <w:lang w:eastAsia="zh-CN"/>
        </w:rPr>
        <w:t>地下水类型及富水性</w:t>
      </w:r>
    </w:p>
    <w:p w14:paraId="2D997749">
      <w:pPr>
        <w:spacing w:before="24" w:after="24"/>
        <w:ind w:firstLine="480"/>
        <w:rPr>
          <w:color w:val="auto"/>
        </w:rPr>
      </w:pPr>
      <w:r>
        <w:rPr>
          <w:rFonts w:hint="eastAsia"/>
          <w:color w:val="auto"/>
        </w:rPr>
        <w:t>根据评价区岩石出露和钻探的地层岩性及地下水在含水介质中的赋存特征，地表水主要为冲沟水汇聚到长江；地下水类型按含水介质分为松散岩类孔隙水、基岩裂隙水、碎屑岩类裂隙孔隙水和碳酸盐岩类岩溶水，评价区主要为松散岩类孔隙水、基岩（红层）裂隙水。</w:t>
      </w:r>
    </w:p>
    <w:p w14:paraId="576F559B">
      <w:pPr>
        <w:spacing w:before="24" w:after="24"/>
        <w:ind w:firstLine="480"/>
        <w:rPr>
          <w:color w:val="auto"/>
          <w:kern w:val="0"/>
          <w:szCs w:val="24"/>
        </w:rPr>
      </w:pPr>
      <w:r>
        <w:rPr>
          <w:rFonts w:hint="eastAsia"/>
          <w:color w:val="auto"/>
          <w:kern w:val="0"/>
          <w:szCs w:val="24"/>
        </w:rPr>
        <w:t>（1）松散岩类孔隙水</w:t>
      </w:r>
    </w:p>
    <w:p w14:paraId="33417CD8">
      <w:pPr>
        <w:spacing w:before="24" w:after="24"/>
        <w:ind w:firstLine="480"/>
        <w:rPr>
          <w:color w:val="auto"/>
        </w:rPr>
      </w:pPr>
      <w:r>
        <w:rPr>
          <w:rFonts w:hint="eastAsia"/>
          <w:color w:val="auto"/>
        </w:rPr>
        <w:t>松散岩类孔隙水</w:t>
      </w:r>
      <w:r>
        <w:rPr>
          <w:rFonts w:hint="eastAsia" w:hAnsi="宋体"/>
          <w:color w:val="auto"/>
        </w:rPr>
        <w:t>含水岩组为第四系全新统冲</w:t>
      </w:r>
      <w:r>
        <w:rPr>
          <w:rFonts w:hint="eastAsia" w:hAnsi="宋体"/>
          <w:color w:val="auto"/>
          <w:spacing w:val="-10"/>
        </w:rPr>
        <w:t>洪积层（Q</w:t>
      </w:r>
      <w:r>
        <w:rPr>
          <w:rFonts w:hint="eastAsia" w:hAnsi="宋体"/>
          <w:color w:val="auto"/>
          <w:spacing w:val="-10"/>
          <w:vertAlign w:val="subscript"/>
        </w:rPr>
        <w:t>4</w:t>
      </w:r>
      <w:r>
        <w:rPr>
          <w:rFonts w:hint="eastAsia" w:hAnsi="宋体"/>
          <w:color w:val="auto"/>
          <w:spacing w:val="-10"/>
          <w:vertAlign w:val="superscript"/>
        </w:rPr>
        <w:t>al+pl</w:t>
      </w:r>
      <w:r>
        <w:rPr>
          <w:rFonts w:hint="eastAsia" w:hAnsi="宋体"/>
          <w:color w:val="auto"/>
          <w:spacing w:val="-10"/>
        </w:rPr>
        <w:t>），</w:t>
      </w:r>
      <w:r>
        <w:rPr>
          <w:rFonts w:hint="eastAsia"/>
          <w:color w:val="auto"/>
        </w:rPr>
        <w:t>主要分布于相对低洼地带，沿长江及其支流两侧分布。含水介质主要为第四系未胶结或半胶结的松散沉积物。透水性强。地下水埋藏深度不均匀，主要接收大气降水及地表水的渗漏补给，水位、水量随季节和地势变化。单井涌水量小于100 t/d，泉流量小于0.3 L/s，水量贫乏。</w:t>
      </w:r>
    </w:p>
    <w:p w14:paraId="1A57F5C1">
      <w:pPr>
        <w:spacing w:before="24" w:after="24"/>
        <w:ind w:firstLine="480"/>
        <w:rPr>
          <w:color w:val="auto"/>
          <w:kern w:val="0"/>
          <w:szCs w:val="24"/>
        </w:rPr>
      </w:pPr>
      <w:r>
        <w:rPr>
          <w:rFonts w:hint="eastAsia"/>
          <w:color w:val="auto"/>
          <w:kern w:val="0"/>
          <w:szCs w:val="24"/>
        </w:rPr>
        <w:t>（2）</w:t>
      </w:r>
      <w:r>
        <w:rPr>
          <w:rFonts w:hint="eastAsia"/>
          <w:color w:val="auto"/>
        </w:rPr>
        <w:t>基岩裂隙水</w:t>
      </w:r>
    </w:p>
    <w:p w14:paraId="578B9BDF">
      <w:pPr>
        <w:spacing w:before="24" w:after="24"/>
        <w:ind w:firstLine="480"/>
        <w:rPr>
          <w:rFonts w:cs="Times New Roman"/>
          <w:snapToGrid w:val="0"/>
          <w:color w:val="auto"/>
        </w:rPr>
      </w:pPr>
      <w:r>
        <w:rPr>
          <w:rFonts w:hint="eastAsia"/>
          <w:color w:val="auto"/>
        </w:rPr>
        <w:t>基岩（红层）裂隙水主要赋存于风化裂隙及构造裂隙中，含水岩组为侏罗系上统蓬莱镇组（J</w:t>
      </w:r>
      <w:r>
        <w:rPr>
          <w:rFonts w:hint="eastAsia"/>
          <w:color w:val="auto"/>
          <w:vertAlign w:val="subscript"/>
        </w:rPr>
        <w:t>3</w:t>
      </w:r>
      <w:r>
        <w:rPr>
          <w:rFonts w:hint="eastAsia"/>
          <w:color w:val="auto"/>
        </w:rPr>
        <w:t>p）和侏罗系上统遂宁组（J</w:t>
      </w:r>
      <w:r>
        <w:rPr>
          <w:rFonts w:hint="eastAsia"/>
          <w:color w:val="auto"/>
          <w:vertAlign w:val="subscript"/>
        </w:rPr>
        <w:t>3</w:t>
      </w:r>
      <w:r>
        <w:rPr>
          <w:rFonts w:hint="eastAsia"/>
          <w:color w:val="auto"/>
        </w:rPr>
        <w:t>s），主要分布在长江两侧，含水介质主要砂质泥岩、泥岩互层，风化裂隙在浅层近地表较发育，随着向地下延伸，风化裂隙逐渐不发育。主要接收大气降水及地表水的渗漏补给，泉流量小于0.1 L/s，富水性弱。规划区砂岩虽有一定厚度，但所处地势较高，不利于地下水汇集，地下水总体贫乏。</w:t>
      </w:r>
    </w:p>
    <w:p w14:paraId="7D927809">
      <w:pPr>
        <w:keepNext/>
        <w:keepLines/>
        <w:adjustRightInd/>
        <w:snapToGrid/>
        <w:spacing w:line="360" w:lineRule="auto"/>
        <w:ind w:firstLine="0" w:firstLineChars="0"/>
        <w:jc w:val="left"/>
        <w:outlineLvl w:val="3"/>
        <w:rPr>
          <w:rFonts w:hint="eastAsia" w:eastAsia="宋体"/>
          <w:b/>
          <w:bCs/>
          <w:color w:val="auto"/>
          <w:szCs w:val="28"/>
          <w:lang w:eastAsia="zh-CN"/>
        </w:rPr>
      </w:pPr>
      <w:r>
        <w:rPr>
          <w:b/>
          <w:bCs/>
          <w:color w:val="auto"/>
          <w:szCs w:val="28"/>
        </w:rPr>
        <w:t>4.</w:t>
      </w:r>
      <w:r>
        <w:rPr>
          <w:rFonts w:hint="eastAsia"/>
          <w:b/>
          <w:bCs/>
          <w:color w:val="auto"/>
          <w:szCs w:val="28"/>
          <w:lang w:val="en-US" w:eastAsia="zh-CN"/>
        </w:rPr>
        <w:t>1</w:t>
      </w:r>
      <w:r>
        <w:rPr>
          <w:b/>
          <w:bCs/>
          <w:color w:val="auto"/>
          <w:szCs w:val="28"/>
        </w:rPr>
        <w:t>.</w:t>
      </w:r>
      <w:r>
        <w:rPr>
          <w:rFonts w:hint="eastAsia"/>
          <w:b/>
          <w:bCs/>
          <w:color w:val="auto"/>
          <w:szCs w:val="28"/>
          <w:lang w:val="en-US" w:eastAsia="zh-CN"/>
        </w:rPr>
        <w:t>5</w:t>
      </w:r>
      <w:r>
        <w:rPr>
          <w:b/>
          <w:bCs/>
          <w:color w:val="auto"/>
          <w:szCs w:val="28"/>
        </w:rPr>
        <w:t>.</w:t>
      </w:r>
      <w:r>
        <w:rPr>
          <w:rFonts w:hint="eastAsia"/>
          <w:b/>
          <w:bCs/>
          <w:color w:val="auto"/>
          <w:szCs w:val="28"/>
          <w:lang w:val="en-US" w:eastAsia="zh-CN"/>
        </w:rPr>
        <w:t>3</w:t>
      </w:r>
      <w:r>
        <w:rPr>
          <w:rFonts w:hint="eastAsia"/>
          <w:b/>
          <w:bCs/>
          <w:color w:val="auto"/>
          <w:szCs w:val="28"/>
          <w:lang w:eastAsia="zh-CN"/>
        </w:rPr>
        <w:t>地下水补径排特征</w:t>
      </w:r>
    </w:p>
    <w:p w14:paraId="16282D71">
      <w:pPr>
        <w:spacing w:before="24" w:after="24"/>
        <w:ind w:firstLine="480"/>
        <w:rPr>
          <w:color w:val="auto"/>
        </w:rPr>
      </w:pPr>
      <w:r>
        <w:rPr>
          <w:rFonts w:hint="eastAsia"/>
          <w:color w:val="auto"/>
        </w:rPr>
        <w:t>评价区地下水主要接受大气降水补给，局部地方还接受地表水体（库、塘、堰、稻田、河流等）的补给，其</w:t>
      </w:r>
      <w:r>
        <w:rPr>
          <w:rFonts w:hint="eastAsia"/>
          <w:color w:val="auto"/>
          <w:lang w:eastAsia="zh-CN"/>
        </w:rPr>
        <w:t>径流</w:t>
      </w:r>
      <w:r>
        <w:rPr>
          <w:rFonts w:hint="eastAsia"/>
          <w:color w:val="auto"/>
        </w:rPr>
        <w:t>受控当地地形地貌，一般是在丘顶、斜坡地带接受降水补给后，一部分沿浅部风化带裂隙及构造裂隙运移，在沟谷、河谷等地形低洼处，以泉水的形式排泄，未排泄出地表的部分，则蓄集于风化带裂隙或构造裂隙中。而有一部分则在静水压力驱使下，沿裂隙系统顺含水层（砂岩）倾斜方向</w:t>
      </w:r>
      <w:r>
        <w:rPr>
          <w:rFonts w:hint="eastAsia"/>
          <w:color w:val="auto"/>
          <w:lang w:eastAsia="zh-CN"/>
        </w:rPr>
        <w:t>径流</w:t>
      </w:r>
      <w:r>
        <w:rPr>
          <w:rFonts w:hint="eastAsia"/>
          <w:color w:val="auto"/>
        </w:rPr>
        <w:t>，储集于砂岩裂隙中。当地下水在一定深度由于裂隙不发育或砂岩尖灭而遇阻上升时，则沿含水层顶界面，在沟谷切割低洼处以泉的形式流出。其地下水的补、迳、排总的特征是：就近补给，沿风化带裂隙短程</w:t>
      </w:r>
      <w:r>
        <w:rPr>
          <w:rFonts w:hint="eastAsia"/>
          <w:color w:val="auto"/>
          <w:lang w:eastAsia="zh-CN"/>
        </w:rPr>
        <w:t>径流</w:t>
      </w:r>
      <w:r>
        <w:rPr>
          <w:rFonts w:hint="eastAsia"/>
          <w:color w:val="auto"/>
        </w:rPr>
        <w:t>，于低洼处分散排泄或蓄集，在水文地质条件较好的地段形成多个小型水文地质单元，各水文地质单元具独立的补、迳、排特征。浅层基岩风化裂隙水的动态变化主要受控于大气降水，随季节变化。</w:t>
      </w:r>
    </w:p>
    <w:p w14:paraId="6285741F">
      <w:pPr>
        <w:keepNext/>
        <w:keepLines/>
        <w:pageBreakBefore w:val="0"/>
        <w:widowControl w:val="0"/>
        <w:kinsoku/>
        <w:wordWrap/>
        <w:overflowPunct/>
        <w:topLinePunct w:val="0"/>
        <w:autoSpaceDE/>
        <w:autoSpaceDN/>
        <w:bidi w:val="0"/>
        <w:adjustRightInd/>
        <w:snapToGrid/>
        <w:spacing w:before="164" w:beforeLines="50" w:line="360" w:lineRule="auto"/>
        <w:ind w:firstLine="0" w:firstLineChars="0"/>
        <w:jc w:val="left"/>
        <w:textAlignment w:val="auto"/>
        <w:outlineLvl w:val="3"/>
        <w:rPr>
          <w:rFonts w:hint="eastAsia"/>
          <w:b/>
          <w:bCs/>
          <w:color w:val="auto"/>
          <w:szCs w:val="28"/>
          <w:lang w:eastAsia="zh-CN"/>
        </w:rPr>
      </w:pPr>
      <w:r>
        <w:rPr>
          <w:b/>
          <w:bCs/>
          <w:color w:val="auto"/>
          <w:szCs w:val="28"/>
        </w:rPr>
        <w:t>4.</w:t>
      </w:r>
      <w:r>
        <w:rPr>
          <w:rFonts w:hint="eastAsia"/>
          <w:b/>
          <w:bCs/>
          <w:color w:val="auto"/>
          <w:szCs w:val="28"/>
          <w:lang w:val="en-US" w:eastAsia="zh-CN"/>
        </w:rPr>
        <w:t>1</w:t>
      </w:r>
      <w:r>
        <w:rPr>
          <w:b/>
          <w:bCs/>
          <w:color w:val="auto"/>
          <w:szCs w:val="28"/>
        </w:rPr>
        <w:t>.</w:t>
      </w:r>
      <w:r>
        <w:rPr>
          <w:rFonts w:hint="eastAsia"/>
          <w:b/>
          <w:bCs/>
          <w:color w:val="auto"/>
          <w:szCs w:val="28"/>
          <w:lang w:val="en-US" w:eastAsia="zh-CN"/>
        </w:rPr>
        <w:t>5</w:t>
      </w:r>
      <w:r>
        <w:rPr>
          <w:b/>
          <w:bCs/>
          <w:color w:val="auto"/>
          <w:szCs w:val="28"/>
        </w:rPr>
        <w:t>.</w:t>
      </w:r>
      <w:r>
        <w:rPr>
          <w:rFonts w:hint="eastAsia"/>
          <w:b/>
          <w:bCs/>
          <w:color w:val="auto"/>
          <w:szCs w:val="28"/>
          <w:lang w:val="en-US" w:eastAsia="zh-CN"/>
        </w:rPr>
        <w:t>4</w:t>
      </w:r>
      <w:r>
        <w:rPr>
          <w:rFonts w:hint="eastAsia"/>
          <w:b/>
          <w:bCs/>
          <w:color w:val="auto"/>
          <w:szCs w:val="28"/>
          <w:lang w:eastAsia="zh-CN"/>
        </w:rPr>
        <w:t>地下水动态变化特征</w:t>
      </w:r>
    </w:p>
    <w:p w14:paraId="1B2286CC">
      <w:pPr>
        <w:spacing w:before="24" w:after="24"/>
        <w:ind w:firstLine="480"/>
        <w:rPr>
          <w:color w:val="auto"/>
        </w:rPr>
      </w:pPr>
      <w:r>
        <w:rPr>
          <w:rFonts w:hint="eastAsia"/>
          <w:color w:val="auto"/>
        </w:rPr>
        <w:t>根据影响地下水动态的主导因素进行的分类，评价区地下水的动态类型为降水补给型。地下水动态受气候、水文、地质和人类活动等因素的影响。通过野外民井、机井、泉点的调查，对地下水水位和水量统计分析得出其变化特征</w:t>
      </w:r>
      <w:r>
        <w:rPr>
          <w:rFonts w:hint="eastAsia"/>
          <w:color w:val="auto"/>
          <w:lang w:eastAsia="zh-CN"/>
        </w:rPr>
        <w:t>具有</w:t>
      </w:r>
      <w:r>
        <w:rPr>
          <w:rFonts w:hint="eastAsia"/>
          <w:color w:val="auto"/>
        </w:rPr>
        <w:t>以下特点：在评价区大范围场地地势较平缓，年水位变幅相对较小，水质随季节变化相对不明显，同时由于地势平坦，地下水径流更新相对缓慢。在厂址区下游靠近长江的局部地区稍陡，地形坡度较大，地下水以径流运动为主，受气候降水量影响，年水位变幅较大而不均，水质优良。</w:t>
      </w:r>
    </w:p>
    <w:p w14:paraId="077DCF32">
      <w:pPr>
        <w:keepNext/>
        <w:keepLines/>
        <w:pageBreakBefore w:val="0"/>
        <w:widowControl w:val="0"/>
        <w:kinsoku/>
        <w:wordWrap/>
        <w:overflowPunct/>
        <w:topLinePunct w:val="0"/>
        <w:autoSpaceDE/>
        <w:autoSpaceDN/>
        <w:bidi w:val="0"/>
        <w:adjustRightInd/>
        <w:snapToGrid/>
        <w:spacing w:before="164" w:beforeLines="50" w:line="360" w:lineRule="auto"/>
        <w:ind w:firstLine="0" w:firstLineChars="0"/>
        <w:jc w:val="left"/>
        <w:textAlignment w:val="auto"/>
        <w:outlineLvl w:val="3"/>
        <w:rPr>
          <w:rFonts w:hint="eastAsia"/>
          <w:b/>
          <w:bCs/>
          <w:color w:val="auto"/>
          <w:szCs w:val="28"/>
          <w:lang w:eastAsia="zh-CN"/>
        </w:rPr>
      </w:pPr>
      <w:r>
        <w:rPr>
          <w:b/>
          <w:bCs/>
          <w:color w:val="auto"/>
          <w:szCs w:val="28"/>
        </w:rPr>
        <w:t>4.</w:t>
      </w:r>
      <w:r>
        <w:rPr>
          <w:rFonts w:hint="eastAsia"/>
          <w:b/>
          <w:bCs/>
          <w:color w:val="auto"/>
          <w:szCs w:val="28"/>
          <w:lang w:val="en-US" w:eastAsia="zh-CN"/>
        </w:rPr>
        <w:t>1</w:t>
      </w:r>
      <w:r>
        <w:rPr>
          <w:b/>
          <w:bCs/>
          <w:color w:val="auto"/>
          <w:szCs w:val="28"/>
        </w:rPr>
        <w:t>.</w:t>
      </w:r>
      <w:r>
        <w:rPr>
          <w:rFonts w:hint="eastAsia"/>
          <w:b/>
          <w:bCs/>
          <w:color w:val="auto"/>
          <w:szCs w:val="28"/>
          <w:lang w:val="en-US" w:eastAsia="zh-CN"/>
        </w:rPr>
        <w:t>5</w:t>
      </w:r>
      <w:r>
        <w:rPr>
          <w:b/>
          <w:bCs/>
          <w:color w:val="auto"/>
          <w:szCs w:val="28"/>
        </w:rPr>
        <w:t>.</w:t>
      </w:r>
      <w:r>
        <w:rPr>
          <w:rFonts w:hint="eastAsia"/>
          <w:b/>
          <w:bCs/>
          <w:color w:val="auto"/>
          <w:szCs w:val="28"/>
          <w:lang w:val="en-US" w:eastAsia="zh-CN"/>
        </w:rPr>
        <w:t>5</w:t>
      </w:r>
      <w:r>
        <w:rPr>
          <w:rFonts w:hint="eastAsia"/>
          <w:b/>
          <w:bCs/>
          <w:color w:val="auto"/>
          <w:szCs w:val="28"/>
          <w:lang w:eastAsia="zh-CN"/>
        </w:rPr>
        <w:t>地下水地球化学特征</w:t>
      </w:r>
    </w:p>
    <w:p w14:paraId="40B9D5A9">
      <w:pPr>
        <w:keepNext w:val="0"/>
        <w:keepLines w:val="0"/>
        <w:pageBreakBefore w:val="0"/>
        <w:widowControl w:val="0"/>
        <w:kinsoku/>
        <w:wordWrap/>
        <w:overflowPunct/>
        <w:topLinePunct w:val="0"/>
        <w:autoSpaceDE/>
        <w:autoSpaceDN/>
        <w:bidi w:val="0"/>
        <w:adjustRightInd w:val="0"/>
        <w:snapToGrid w:val="0"/>
        <w:spacing w:before="24" w:after="164" w:afterLines="50"/>
        <w:ind w:firstLine="480"/>
        <w:textAlignment w:val="auto"/>
        <w:rPr>
          <w:color w:val="auto"/>
        </w:rPr>
      </w:pPr>
      <w:r>
        <w:rPr>
          <w:rFonts w:hint="eastAsia"/>
          <w:color w:val="auto"/>
        </w:rPr>
        <w:t>根据本次对区内地下水进行监测分析可知，区内地下水主要阳离子为钙离子，主要阴离子为重碳酸根离子，区内地下水类型主要为重碳酸盐钙型水。</w:t>
      </w:r>
    </w:p>
    <w:p w14:paraId="58CA1234">
      <w:pPr>
        <w:pStyle w:val="5"/>
        <w:numPr>
          <w:ilvl w:val="0"/>
          <w:numId w:val="0"/>
        </w:numPr>
        <w:spacing w:line="360" w:lineRule="auto"/>
        <w:jc w:val="left"/>
        <w:rPr>
          <w:rFonts w:hint="eastAsia" w:eastAsia="宋体"/>
          <w:color w:val="auto"/>
          <w:lang w:eastAsia="zh-CN"/>
        </w:rPr>
      </w:pPr>
      <w:r>
        <w:rPr>
          <w:rFonts w:hint="eastAsia"/>
          <w:color w:val="auto"/>
        </w:rPr>
        <w:t>4</w:t>
      </w:r>
      <w:r>
        <w:rPr>
          <w:color w:val="auto"/>
        </w:rPr>
        <w:t>.1.</w:t>
      </w:r>
      <w:r>
        <w:rPr>
          <w:rFonts w:hint="eastAsia"/>
          <w:color w:val="auto"/>
          <w:lang w:val="en-US"/>
        </w:rPr>
        <w:t>6</w:t>
      </w:r>
      <w:r>
        <w:rPr>
          <w:rFonts w:hint="eastAsia"/>
          <w:color w:val="auto"/>
        </w:rPr>
        <w:t>自然</w:t>
      </w:r>
      <w:r>
        <w:rPr>
          <w:rFonts w:hint="eastAsia"/>
          <w:color w:val="auto"/>
          <w:lang w:eastAsia="zh-CN"/>
        </w:rPr>
        <w:t>资源</w:t>
      </w:r>
    </w:p>
    <w:p w14:paraId="1ED27FA4">
      <w:pPr>
        <w:spacing w:before="24" w:after="24"/>
        <w:ind w:firstLine="480"/>
        <w:rPr>
          <w:color w:val="auto"/>
        </w:rPr>
      </w:pPr>
      <w:bookmarkStart w:id="178" w:name="_Toc472509312"/>
      <w:r>
        <w:rPr>
          <w:rFonts w:hint="eastAsia"/>
          <w:color w:val="auto"/>
        </w:rPr>
        <w:t>（1）土地资源</w:t>
      </w:r>
    </w:p>
    <w:p w14:paraId="111EF565">
      <w:pPr>
        <w:spacing w:before="24" w:after="24"/>
        <w:ind w:firstLine="480"/>
        <w:rPr>
          <w:color w:val="auto"/>
        </w:rPr>
      </w:pPr>
      <w:r>
        <w:rPr>
          <w:rFonts w:hint="eastAsia"/>
          <w:color w:val="auto"/>
        </w:rPr>
        <w:t>全县土地总面积218280公顷，其中农用地168929.22公顷，占87.72%；建设用地32131.3公顷，占14.72%；未利用地17219.78公顷，占7.89%。全县共有4个土类，7个亚类，19个土属、66个土种、78个变种，常见的有水稻土、冲积土、紫色土、黄壤土。</w:t>
      </w:r>
    </w:p>
    <w:p w14:paraId="634F6AC6">
      <w:pPr>
        <w:spacing w:before="24" w:after="24"/>
        <w:ind w:firstLine="480"/>
        <w:rPr>
          <w:color w:val="auto"/>
        </w:rPr>
      </w:pPr>
      <w:r>
        <w:rPr>
          <w:rFonts w:hint="eastAsia"/>
          <w:color w:val="auto"/>
        </w:rPr>
        <w:t>（2）水资源</w:t>
      </w:r>
    </w:p>
    <w:p w14:paraId="10AB1C9E">
      <w:pPr>
        <w:spacing w:before="24" w:after="24"/>
        <w:ind w:firstLine="480"/>
        <w:rPr>
          <w:color w:val="auto"/>
        </w:rPr>
      </w:pPr>
      <w:r>
        <w:rPr>
          <w:rFonts w:hint="eastAsia"/>
          <w:color w:val="auto"/>
        </w:rPr>
        <w:t>长江多年平均流量1.24万m</w:t>
      </w:r>
      <w:r>
        <w:rPr>
          <w:rFonts w:hint="eastAsia"/>
          <w:color w:val="auto"/>
          <w:vertAlign w:val="superscript"/>
        </w:rPr>
        <w:t>3</w:t>
      </w:r>
      <w:r>
        <w:rPr>
          <w:rFonts w:hint="eastAsia"/>
          <w:color w:val="auto"/>
        </w:rPr>
        <w:t>/s，水流平缓，基本无落差，是忠县水上运输的黄金水道，全县除长江外有溪河28条，河流干流总长380 km。多年平均径流总量达14亿多m</w:t>
      </w:r>
      <w:r>
        <w:rPr>
          <w:rFonts w:hint="eastAsia"/>
          <w:color w:val="auto"/>
          <w:vertAlign w:val="superscript"/>
        </w:rPr>
        <w:t>3</w:t>
      </w:r>
      <w:r>
        <w:rPr>
          <w:rFonts w:hint="eastAsia"/>
          <w:color w:val="auto"/>
        </w:rPr>
        <w:t>。平均年径流模数为63.2万m</w:t>
      </w:r>
      <w:r>
        <w:rPr>
          <w:rFonts w:hint="eastAsia"/>
          <w:color w:val="auto"/>
          <w:vertAlign w:val="superscript"/>
        </w:rPr>
        <w:t>3</w:t>
      </w:r>
      <w:r>
        <w:rPr>
          <w:rFonts w:hint="eastAsia"/>
          <w:color w:val="auto"/>
        </w:rPr>
        <w:t>/km</w:t>
      </w:r>
      <w:r>
        <w:rPr>
          <w:rFonts w:hint="eastAsia"/>
          <w:color w:val="auto"/>
          <w:vertAlign w:val="superscript"/>
        </w:rPr>
        <w:t>2</w:t>
      </w:r>
      <w:r>
        <w:rPr>
          <w:rFonts w:hint="eastAsia"/>
          <w:color w:val="auto"/>
        </w:rPr>
        <w:t>。全境年降水量达1.46亿m</w:t>
      </w:r>
      <w:r>
        <w:rPr>
          <w:rFonts w:hint="eastAsia"/>
          <w:color w:val="auto"/>
          <w:vertAlign w:val="superscript"/>
        </w:rPr>
        <w:t>3</w:t>
      </w:r>
      <w:r>
        <w:rPr>
          <w:rFonts w:hint="eastAsia"/>
          <w:color w:val="auto"/>
        </w:rPr>
        <w:t>，可利用量0.18亿m</w:t>
      </w:r>
      <w:r>
        <w:rPr>
          <w:rFonts w:hint="eastAsia"/>
          <w:color w:val="auto"/>
          <w:vertAlign w:val="superscript"/>
        </w:rPr>
        <w:t>3</w:t>
      </w:r>
      <w:r>
        <w:rPr>
          <w:rFonts w:hint="eastAsia"/>
          <w:color w:val="auto"/>
        </w:rPr>
        <w:t>，另有过境径流（含长江）3911亿m</w:t>
      </w:r>
      <w:r>
        <w:rPr>
          <w:rFonts w:hint="eastAsia"/>
          <w:color w:val="auto"/>
          <w:vertAlign w:val="superscript"/>
        </w:rPr>
        <w:t>3</w:t>
      </w:r>
      <w:r>
        <w:rPr>
          <w:rFonts w:hint="eastAsia"/>
          <w:color w:val="auto"/>
        </w:rPr>
        <w:t>。水能理论蕴藏量约6万kW，可供开发利用的水能为3万多kW，已建成水电站72处，安装发电机组120台，装机容量2.2万kW，全县已建成电灌站95处，小一型水库7座，小二型水库91座，中型水库1座，总库容6809万m</w:t>
      </w:r>
      <w:r>
        <w:rPr>
          <w:rFonts w:hint="eastAsia"/>
          <w:color w:val="auto"/>
          <w:vertAlign w:val="superscript"/>
        </w:rPr>
        <w:t>3</w:t>
      </w:r>
      <w:r>
        <w:rPr>
          <w:rFonts w:hint="eastAsia"/>
          <w:color w:val="auto"/>
        </w:rPr>
        <w:t>。</w:t>
      </w:r>
    </w:p>
    <w:p w14:paraId="49B16B95">
      <w:pPr>
        <w:spacing w:before="24" w:after="24"/>
        <w:ind w:firstLine="480"/>
        <w:rPr>
          <w:color w:val="auto"/>
        </w:rPr>
      </w:pPr>
      <w:r>
        <w:rPr>
          <w:rFonts w:hint="eastAsia"/>
          <w:color w:val="auto"/>
        </w:rPr>
        <w:t>（3）矿产资源</w:t>
      </w:r>
    </w:p>
    <w:p w14:paraId="04277330">
      <w:pPr>
        <w:spacing w:before="24" w:after="24"/>
        <w:ind w:firstLine="480"/>
        <w:rPr>
          <w:color w:val="auto"/>
        </w:rPr>
      </w:pPr>
      <w:r>
        <w:rPr>
          <w:rFonts w:hint="eastAsia"/>
          <w:color w:val="auto"/>
        </w:rPr>
        <w:t>忠县矿产资源有天然气、煤、石膏、岩盐、石灰岩、砂岩、高岭土、页岩、地热等23种，已开发利用的矿产资源有天然气、煤、石灰岩、石膏、岩盐、页岩、砂岩等12种。天然气资源蕴藏在猫儿山背斜与忠州向斜构造中，主要分布于新生、黄金、石宝、汝溪等乡镇，探明储量278亿立方米，剩余储量约250亿立方米。煤炭资源蕴藏在方斗山、猫儿山、精华山两翼，主要分布于石子、新生、金鸡等乡镇，探明储量880.3万吨，保有储量约550万吨，预测资源储量9268万吨。岩盐资源储存于三叠系中统巴东组及嘉陵江中，主要分布于石宝、涂井等乡镇，探明资源储量3.36亿吨，预测资源储量7.4亿吨，尚未开发利用。石灰岩资源蕴藏在方斗山、猫耳山、精华山两翼，主要分布于石子、新生、忠州、黄金、新立等乡镇，探明储量12.26亿吨，预测储量可达150亿吨。石膏资源蕴藏在猫耳山背斜，主要分布于新生等乡镇，探明资源储量545.3万吨，预测储量3100万吨。水泥配料用砂泥岩资源分布在全县各乡镇，探明资源储量10426万吨。</w:t>
      </w:r>
    </w:p>
    <w:p w14:paraId="0921CB57">
      <w:pPr>
        <w:keepNext w:val="0"/>
        <w:keepLines w:val="0"/>
        <w:pageBreakBefore w:val="0"/>
        <w:widowControl w:val="0"/>
        <w:kinsoku/>
        <w:wordWrap/>
        <w:overflowPunct/>
        <w:topLinePunct w:val="0"/>
        <w:autoSpaceDE/>
        <w:autoSpaceDN/>
        <w:bidi w:val="0"/>
        <w:adjustRightInd w:val="0"/>
        <w:snapToGrid w:val="0"/>
        <w:spacing w:before="24" w:after="164" w:afterLines="50"/>
        <w:ind w:firstLine="480"/>
        <w:textAlignment w:val="auto"/>
        <w:rPr>
          <w:rFonts w:hint="eastAsia"/>
          <w:color w:val="auto"/>
        </w:rPr>
      </w:pPr>
      <w:r>
        <w:rPr>
          <w:rFonts w:hint="eastAsia"/>
          <w:color w:val="auto"/>
        </w:rPr>
        <w:t>根据园区规划及业主提供的资料，园区所在区域不涉及压覆矿。</w:t>
      </w:r>
    </w:p>
    <w:p w14:paraId="049879D5">
      <w:pPr>
        <w:pStyle w:val="5"/>
        <w:numPr>
          <w:ilvl w:val="0"/>
          <w:numId w:val="0"/>
        </w:numPr>
        <w:spacing w:line="360" w:lineRule="auto"/>
        <w:jc w:val="left"/>
        <w:rPr>
          <w:rFonts w:hint="eastAsia" w:eastAsia="宋体"/>
          <w:color w:val="auto"/>
          <w:lang w:eastAsia="zh-CN"/>
        </w:rPr>
      </w:pPr>
      <w:r>
        <w:rPr>
          <w:rFonts w:hint="eastAsia"/>
          <w:color w:val="auto"/>
        </w:rPr>
        <w:t>4</w:t>
      </w:r>
      <w:r>
        <w:rPr>
          <w:color w:val="auto"/>
        </w:rPr>
        <w:t>.1.</w:t>
      </w:r>
      <w:r>
        <w:rPr>
          <w:rFonts w:hint="eastAsia"/>
          <w:color w:val="auto"/>
          <w:lang w:val="en-US" w:eastAsia="zh-CN"/>
        </w:rPr>
        <w:t>7生态环境概况</w:t>
      </w:r>
    </w:p>
    <w:p w14:paraId="4BF9EAD5">
      <w:pPr>
        <w:spacing w:before="24" w:after="24"/>
        <w:ind w:firstLine="480"/>
        <w:rPr>
          <w:color w:val="auto"/>
        </w:rPr>
      </w:pPr>
      <w:r>
        <w:rPr>
          <w:rFonts w:hint="eastAsia"/>
          <w:color w:val="auto"/>
        </w:rPr>
        <w:t>（1）土壤</w:t>
      </w:r>
    </w:p>
    <w:p w14:paraId="6BA2AA42">
      <w:pPr>
        <w:spacing w:before="24" w:after="24"/>
        <w:ind w:firstLine="480"/>
        <w:rPr>
          <w:color w:val="auto"/>
        </w:rPr>
      </w:pPr>
      <w:r>
        <w:rPr>
          <w:rFonts w:hint="eastAsia"/>
          <w:color w:val="auto"/>
        </w:rPr>
        <w:t>忠县地层出露不多，成土母质简单。地层按岩性和风化物属性大致可分为9种类型。即：第四纪新冲积紫色冲积物；第四纪灰棕色冲积物；第四纪老冲积黄色冲积物；侏罗系蓬莱镇组棕紫色砂、泥岩风化物；侏罗系遂宁组红棕紫色泥页岩风化物；三迭系须家河组黄色长石、石英砂岩、石英粉砂岩；侏罗系自流井组珍珠冲段黄色酸性风化物；三迭系、二迭系、石灰岩风化物。</w:t>
      </w:r>
    </w:p>
    <w:p w14:paraId="350DB7E9">
      <w:pPr>
        <w:spacing w:before="24" w:after="24"/>
        <w:ind w:firstLine="480"/>
        <w:rPr>
          <w:color w:val="auto"/>
        </w:rPr>
      </w:pPr>
      <w:r>
        <w:rPr>
          <w:rFonts w:hint="eastAsia"/>
          <w:color w:val="auto"/>
        </w:rPr>
        <w:t>全县共有4个土类，分为水稻土、冲积土、紫色土、黄壤土，7个亚类，19个土属，66个土种，78个变种。境内土壤以紫色土、黄壤土为主，其中紫色土占88%，黄壤土占9%。冲积土占土地总面积的3%，水稻土较零散，所占比重较小。土壤质地多为中壤和轻壤，一般呈中性、微酸性反应。</w:t>
      </w:r>
    </w:p>
    <w:p w14:paraId="07A6034C">
      <w:pPr>
        <w:spacing w:before="24" w:after="24"/>
        <w:ind w:firstLine="480"/>
        <w:rPr>
          <w:color w:val="auto"/>
        </w:rPr>
      </w:pPr>
      <w:r>
        <w:rPr>
          <w:rFonts w:hint="eastAsia"/>
          <w:color w:val="auto"/>
        </w:rPr>
        <w:t>乌杨组团范围内土壤主要有水稻土，紫色土，冲积土三种土类，以紫色土为主。</w:t>
      </w:r>
    </w:p>
    <w:p w14:paraId="194C1FEE">
      <w:pPr>
        <w:spacing w:before="24" w:after="24"/>
        <w:ind w:firstLine="480"/>
        <w:rPr>
          <w:color w:val="auto"/>
        </w:rPr>
      </w:pPr>
      <w:r>
        <w:rPr>
          <w:rFonts w:hint="eastAsia"/>
          <w:color w:val="auto"/>
        </w:rPr>
        <w:t>（2）植被</w:t>
      </w:r>
    </w:p>
    <w:p w14:paraId="0E73C34C">
      <w:pPr>
        <w:spacing w:before="24" w:after="24"/>
        <w:ind w:firstLine="480"/>
        <w:rPr>
          <w:color w:val="auto"/>
        </w:rPr>
      </w:pPr>
      <w:r>
        <w:rPr>
          <w:rFonts w:hint="eastAsia"/>
          <w:color w:val="auto"/>
        </w:rPr>
        <w:t>忠县属亚热带湿润季风区，土地肥沃、水热条件充足、气候温和、适宜多种林木生长。2007年全县森林面积69900 ha，森林覆盖率32.0%。</w:t>
      </w:r>
    </w:p>
    <w:p w14:paraId="493FB67C">
      <w:pPr>
        <w:spacing w:before="24" w:after="24"/>
        <w:ind w:firstLine="480"/>
        <w:rPr>
          <w:color w:val="auto"/>
        </w:rPr>
      </w:pPr>
      <w:r>
        <w:rPr>
          <w:rFonts w:hint="eastAsia"/>
          <w:color w:val="auto"/>
        </w:rPr>
        <w:t>据调查，忠县内已定名的植物有718种，隶属161科、427属。其中蕨类植物28种，裸子植物28种，被子植物662种；按生物学特性分，有乔木127种，灌木129种，草本、藤本植物462种；按经济用途分，木材树种92种，药用植物475种，食品类植物111种，化工原料植物55种，农药植物6种，</w:t>
      </w:r>
      <w:r>
        <w:rPr>
          <w:rFonts w:hint="eastAsia"/>
          <w:color w:val="auto"/>
          <w:lang w:eastAsia="zh-CN"/>
        </w:rPr>
        <w:t>其他</w:t>
      </w:r>
      <w:r>
        <w:rPr>
          <w:rFonts w:hint="eastAsia"/>
          <w:color w:val="auto"/>
        </w:rPr>
        <w:t>79种。全县有珍稀古树30种、1800余株，隶属19科、28属、28种。其中属国家重点保护的珍稀树种8种、550余株，隶属7科7属，如红豆杉、三尖杉、鹅掌楸、桢楠、水杉、银杏、杜仲、罗汉松；有100年以上的古树1250余株，如黄葛树、柏木、桂花、马尾松、皂树等。</w:t>
      </w:r>
    </w:p>
    <w:p w14:paraId="05DA25D8">
      <w:pPr>
        <w:spacing w:before="24" w:after="24"/>
        <w:ind w:firstLine="480"/>
        <w:rPr>
          <w:color w:val="auto"/>
        </w:rPr>
      </w:pPr>
      <w:r>
        <w:rPr>
          <w:rFonts w:hint="eastAsia"/>
          <w:color w:val="auto"/>
        </w:rPr>
        <w:t>乌杨镇自然条件优越，植物种类较多，镇内有植物645种，仅森林植物达到240种，用材林，薪炭林、主要以柏、松、杉、青冈树种为主，经济林主要以茶叶、</w:t>
      </w:r>
      <w:r>
        <w:rPr>
          <w:rFonts w:hint="eastAsia"/>
          <w:color w:val="auto"/>
          <w:lang w:eastAsia="zh-CN"/>
        </w:rPr>
        <w:t>柑橘</w:t>
      </w:r>
      <w:r>
        <w:rPr>
          <w:rFonts w:hint="eastAsia"/>
          <w:color w:val="auto"/>
        </w:rPr>
        <w:t>、油桐、桑树为主，“四旁”树以麻柳，竹林、桉树、泡桐、白杨树为主，用材林主要以天然林为主，人工林比较少，但大多属低产林，经济林产量较低。农作物主要以水稻、小麦、玉米、红苕，洋芋、高粱、豆类为主，经济作物有油菜、花生、茶叶、</w:t>
      </w:r>
      <w:r>
        <w:rPr>
          <w:rFonts w:hint="eastAsia"/>
          <w:color w:val="auto"/>
          <w:lang w:eastAsia="zh-CN"/>
        </w:rPr>
        <w:t>柑橘</w:t>
      </w:r>
      <w:r>
        <w:rPr>
          <w:rFonts w:hint="eastAsia"/>
          <w:color w:val="auto"/>
        </w:rPr>
        <w:t>、油桐、蚕桑等。</w:t>
      </w:r>
    </w:p>
    <w:p w14:paraId="0A0DB190">
      <w:pPr>
        <w:spacing w:before="24" w:after="24"/>
        <w:ind w:firstLine="480"/>
        <w:rPr>
          <w:color w:val="auto"/>
        </w:rPr>
      </w:pPr>
      <w:r>
        <w:rPr>
          <w:rFonts w:hint="eastAsia"/>
          <w:color w:val="auto"/>
        </w:rPr>
        <w:t>乌杨组团范围内以农田为主（不涉及基本农田），分布少量林地及草地，植被主要为水稻、小麦、红苕，豆类、油菜、薯类、柑橘、毛竹、马尾松等。</w:t>
      </w:r>
    </w:p>
    <w:p w14:paraId="61CA1515">
      <w:pPr>
        <w:spacing w:before="24" w:after="24"/>
        <w:ind w:firstLine="480"/>
        <w:rPr>
          <w:color w:val="auto"/>
        </w:rPr>
      </w:pPr>
      <w:r>
        <w:rPr>
          <w:rFonts w:hint="eastAsia"/>
          <w:color w:val="auto"/>
        </w:rPr>
        <w:t>（3）动物</w:t>
      </w:r>
    </w:p>
    <w:p w14:paraId="55B8D78F">
      <w:pPr>
        <w:spacing w:before="24" w:after="24"/>
        <w:ind w:firstLine="480"/>
        <w:rPr>
          <w:color w:val="auto"/>
        </w:rPr>
      </w:pPr>
      <w:r>
        <w:rPr>
          <w:rFonts w:hint="eastAsia"/>
          <w:color w:val="auto"/>
        </w:rPr>
        <w:t>乌杨组团范围内有少量野兔、鼠、蛙类、麻雀等。主要家畜家禽有猪、牛、羊、狗、兔、鸡、鸭、鹅等，未发现受保护的物种。</w:t>
      </w:r>
    </w:p>
    <w:p w14:paraId="5A19753B">
      <w:pPr>
        <w:pStyle w:val="4"/>
        <w:numPr>
          <w:ilvl w:val="0"/>
          <w:numId w:val="0"/>
        </w:numPr>
        <w:spacing w:line="360" w:lineRule="auto"/>
        <w:rPr>
          <w:color w:val="auto"/>
        </w:rPr>
      </w:pPr>
      <w:bookmarkStart w:id="179" w:name="_Toc1225"/>
      <w:r>
        <w:rPr>
          <w:rFonts w:hint="eastAsia"/>
          <w:color w:val="auto"/>
        </w:rPr>
        <w:t>4</w:t>
      </w:r>
      <w:r>
        <w:rPr>
          <w:color w:val="auto"/>
        </w:rPr>
        <w:t>.2环境质量现状调查与评价</w:t>
      </w:r>
      <w:bookmarkEnd w:id="178"/>
      <w:bookmarkEnd w:id="179"/>
    </w:p>
    <w:p w14:paraId="2FAF0569">
      <w:pPr>
        <w:pStyle w:val="5"/>
        <w:numPr>
          <w:ilvl w:val="0"/>
          <w:numId w:val="0"/>
        </w:numPr>
        <w:spacing w:line="360" w:lineRule="auto"/>
        <w:jc w:val="left"/>
        <w:rPr>
          <w:color w:val="auto"/>
        </w:rPr>
      </w:pPr>
      <w:bookmarkStart w:id="180" w:name="_Toc428215542"/>
      <w:bookmarkStart w:id="181" w:name="_Toc432775366"/>
      <w:bookmarkStart w:id="182" w:name="_Toc309112968"/>
      <w:bookmarkStart w:id="183" w:name="_Toc417984136"/>
      <w:bookmarkStart w:id="184" w:name="_Toc430877195"/>
      <w:bookmarkStart w:id="185" w:name="_Toc436048377"/>
      <w:bookmarkStart w:id="186" w:name="_Toc430877375"/>
      <w:bookmarkStart w:id="187" w:name="_Toc432775525"/>
      <w:r>
        <w:rPr>
          <w:rFonts w:hint="eastAsia"/>
          <w:color w:val="auto"/>
        </w:rPr>
        <w:t>4</w:t>
      </w:r>
      <w:r>
        <w:rPr>
          <w:color w:val="auto"/>
        </w:rPr>
        <w:t>.2.1环境空气质量现状评价</w:t>
      </w:r>
      <w:bookmarkEnd w:id="180"/>
      <w:bookmarkEnd w:id="181"/>
      <w:bookmarkEnd w:id="182"/>
      <w:bookmarkEnd w:id="183"/>
      <w:bookmarkEnd w:id="184"/>
      <w:bookmarkEnd w:id="185"/>
      <w:bookmarkEnd w:id="186"/>
      <w:bookmarkEnd w:id="187"/>
    </w:p>
    <w:p w14:paraId="2F396EE8">
      <w:pPr>
        <w:keepNext/>
        <w:keepLines/>
        <w:adjustRightInd/>
        <w:snapToGrid/>
        <w:spacing w:line="360" w:lineRule="auto"/>
        <w:ind w:firstLine="0" w:firstLineChars="0"/>
        <w:jc w:val="left"/>
        <w:outlineLvl w:val="3"/>
        <w:rPr>
          <w:b/>
          <w:bCs/>
          <w:color w:val="auto"/>
          <w:szCs w:val="28"/>
        </w:rPr>
      </w:pPr>
      <w:r>
        <w:rPr>
          <w:b/>
          <w:bCs/>
          <w:color w:val="auto"/>
          <w:szCs w:val="28"/>
        </w:rPr>
        <w:t>4.2.</w:t>
      </w:r>
      <w:r>
        <w:rPr>
          <w:rFonts w:hint="eastAsia"/>
          <w:b/>
          <w:bCs/>
          <w:color w:val="auto"/>
          <w:szCs w:val="28"/>
        </w:rPr>
        <w:t>1</w:t>
      </w:r>
      <w:r>
        <w:rPr>
          <w:b/>
          <w:bCs/>
          <w:color w:val="auto"/>
          <w:szCs w:val="28"/>
        </w:rPr>
        <w:t>.</w:t>
      </w:r>
      <w:r>
        <w:rPr>
          <w:rFonts w:hint="eastAsia"/>
          <w:b/>
          <w:bCs/>
          <w:color w:val="auto"/>
          <w:szCs w:val="28"/>
        </w:rPr>
        <w:t>1达标情况判定</w:t>
      </w:r>
    </w:p>
    <w:p w14:paraId="347C8E7D">
      <w:pPr>
        <w:spacing w:line="360" w:lineRule="auto"/>
        <w:ind w:firstLine="480"/>
        <w:rPr>
          <w:color w:val="auto"/>
          <w:szCs w:val="24"/>
        </w:rPr>
      </w:pPr>
      <w:r>
        <w:rPr>
          <w:color w:val="auto"/>
          <w:szCs w:val="24"/>
        </w:rPr>
        <w:t>根据</w:t>
      </w:r>
      <w:r>
        <w:rPr>
          <w:rFonts w:hint="eastAsia"/>
          <w:color w:val="auto"/>
          <w:szCs w:val="24"/>
        </w:rPr>
        <w:t>《202</w:t>
      </w:r>
      <w:r>
        <w:rPr>
          <w:rFonts w:hint="eastAsia"/>
          <w:color w:val="auto"/>
          <w:szCs w:val="24"/>
          <w:lang w:val="en-US" w:eastAsia="zh-CN"/>
        </w:rPr>
        <w:t>4</w:t>
      </w:r>
      <w:r>
        <w:rPr>
          <w:rFonts w:hint="eastAsia"/>
          <w:color w:val="auto"/>
          <w:szCs w:val="24"/>
        </w:rPr>
        <w:t>年重庆市生态环境状况公报》</w:t>
      </w:r>
      <w:r>
        <w:rPr>
          <w:color w:val="auto"/>
          <w:szCs w:val="24"/>
        </w:rPr>
        <w:t>对</w:t>
      </w:r>
      <w:r>
        <w:rPr>
          <w:rFonts w:hint="eastAsia"/>
          <w:color w:val="auto"/>
          <w:szCs w:val="24"/>
          <w:lang w:eastAsia="zh-CN"/>
        </w:rPr>
        <w:t>忠县</w:t>
      </w:r>
      <w:r>
        <w:rPr>
          <w:color w:val="auto"/>
          <w:szCs w:val="24"/>
        </w:rPr>
        <w:t>环境质量公示结果对</w:t>
      </w:r>
      <w:r>
        <w:rPr>
          <w:rFonts w:hint="eastAsia"/>
          <w:color w:val="auto"/>
          <w:szCs w:val="24"/>
        </w:rPr>
        <w:t>区域</w:t>
      </w:r>
      <w:r>
        <w:rPr>
          <w:color w:val="auto"/>
          <w:szCs w:val="24"/>
        </w:rPr>
        <w:t>环境质量进行达标判定，区域空气质量现状评价见表 4.2-</w:t>
      </w:r>
      <w:r>
        <w:rPr>
          <w:rFonts w:hint="eastAsia"/>
          <w:color w:val="auto"/>
          <w:szCs w:val="24"/>
        </w:rPr>
        <w:t>1</w:t>
      </w:r>
      <w:r>
        <w:rPr>
          <w:color w:val="auto"/>
          <w:szCs w:val="24"/>
        </w:rPr>
        <w:t>。</w:t>
      </w:r>
    </w:p>
    <w:p w14:paraId="55CFB148">
      <w:pPr>
        <w:spacing w:line="360" w:lineRule="auto"/>
        <w:ind w:firstLine="482"/>
        <w:jc w:val="center"/>
        <w:rPr>
          <w:b/>
          <w:color w:val="auto"/>
          <w:szCs w:val="24"/>
        </w:rPr>
      </w:pPr>
      <w:r>
        <w:rPr>
          <w:b/>
          <w:color w:val="auto"/>
          <w:szCs w:val="24"/>
        </w:rPr>
        <w:t>表4.2-</w:t>
      </w:r>
      <w:r>
        <w:rPr>
          <w:rFonts w:hint="eastAsia"/>
          <w:b/>
          <w:color w:val="auto"/>
          <w:szCs w:val="24"/>
        </w:rPr>
        <w:t>1</w:t>
      </w:r>
      <w:r>
        <w:rPr>
          <w:b/>
          <w:color w:val="auto"/>
          <w:szCs w:val="24"/>
        </w:rPr>
        <w:t xml:space="preserve">   环境空气质量现状监测及评价结果</w:t>
      </w:r>
      <w:r>
        <w:rPr>
          <w:rFonts w:hint="eastAsia"/>
          <w:b/>
          <w:color w:val="auto"/>
          <w:szCs w:val="24"/>
        </w:rPr>
        <w:t xml:space="preserve">  单位：</w:t>
      </w:r>
      <w:r>
        <w:rPr>
          <w:rFonts w:hint="eastAsia"/>
          <w:b/>
          <w:color w:val="auto"/>
          <w:szCs w:val="24"/>
          <w:lang w:eastAsia="zh-CN"/>
        </w:rPr>
        <w:t>μg/m3</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5"/>
        <w:gridCol w:w="2218"/>
        <w:gridCol w:w="1406"/>
        <w:gridCol w:w="1495"/>
        <w:gridCol w:w="1445"/>
        <w:gridCol w:w="960"/>
        <w:gridCol w:w="757"/>
      </w:tblGrid>
      <w:tr w14:paraId="71E8A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2" w:type="pct"/>
            <w:vAlign w:val="center"/>
          </w:tcPr>
          <w:p w14:paraId="37D3825E">
            <w:pPr>
              <w:pStyle w:val="405"/>
              <w:spacing w:beforeAutospacing="0" w:afterLines="0"/>
              <w:rPr>
                <w:color w:val="auto"/>
                <w:szCs w:val="21"/>
              </w:rPr>
            </w:pPr>
            <w:r>
              <w:rPr>
                <w:rFonts w:hint="eastAsia"/>
                <w:color w:val="auto"/>
                <w:szCs w:val="21"/>
              </w:rPr>
              <w:t>评价因子</w:t>
            </w:r>
          </w:p>
        </w:tc>
        <w:tc>
          <w:tcPr>
            <w:tcW w:w="1193" w:type="pct"/>
            <w:vAlign w:val="center"/>
          </w:tcPr>
          <w:p w14:paraId="3965998E">
            <w:pPr>
              <w:pStyle w:val="405"/>
              <w:spacing w:beforeAutospacing="0" w:afterLines="0"/>
              <w:rPr>
                <w:color w:val="auto"/>
                <w:szCs w:val="21"/>
              </w:rPr>
            </w:pPr>
            <w:r>
              <w:rPr>
                <w:rFonts w:hint="eastAsia"/>
                <w:color w:val="auto"/>
                <w:szCs w:val="21"/>
              </w:rPr>
              <w:t>平均时段</w:t>
            </w:r>
          </w:p>
        </w:tc>
        <w:tc>
          <w:tcPr>
            <w:tcW w:w="757" w:type="pct"/>
            <w:vAlign w:val="center"/>
          </w:tcPr>
          <w:p w14:paraId="59CCAF08">
            <w:pPr>
              <w:pStyle w:val="405"/>
              <w:spacing w:beforeAutospacing="0" w:afterLines="0"/>
              <w:rPr>
                <w:color w:val="auto"/>
                <w:szCs w:val="21"/>
              </w:rPr>
            </w:pPr>
            <w:r>
              <w:rPr>
                <w:rFonts w:hint="eastAsia"/>
                <w:color w:val="auto"/>
                <w:szCs w:val="21"/>
              </w:rPr>
              <w:t>百分位</w:t>
            </w:r>
          </w:p>
        </w:tc>
        <w:tc>
          <w:tcPr>
            <w:tcW w:w="805" w:type="pct"/>
            <w:vAlign w:val="center"/>
          </w:tcPr>
          <w:p w14:paraId="5A7B9827">
            <w:pPr>
              <w:pStyle w:val="405"/>
              <w:spacing w:beforeAutospacing="0" w:afterLines="0"/>
              <w:rPr>
                <w:color w:val="auto"/>
                <w:szCs w:val="21"/>
              </w:rPr>
            </w:pPr>
            <w:r>
              <w:rPr>
                <w:rFonts w:hint="eastAsia"/>
                <w:color w:val="auto"/>
                <w:szCs w:val="21"/>
              </w:rPr>
              <w:t>现状浓度</w:t>
            </w:r>
          </w:p>
        </w:tc>
        <w:tc>
          <w:tcPr>
            <w:tcW w:w="778" w:type="pct"/>
            <w:vAlign w:val="center"/>
          </w:tcPr>
          <w:p w14:paraId="11DA13D2">
            <w:pPr>
              <w:pStyle w:val="405"/>
              <w:spacing w:beforeAutospacing="0" w:afterLines="0"/>
              <w:rPr>
                <w:color w:val="auto"/>
                <w:szCs w:val="21"/>
              </w:rPr>
            </w:pPr>
            <w:r>
              <w:rPr>
                <w:rFonts w:hint="eastAsia"/>
                <w:color w:val="auto"/>
                <w:szCs w:val="21"/>
              </w:rPr>
              <w:t>标准限值</w:t>
            </w:r>
          </w:p>
        </w:tc>
        <w:tc>
          <w:tcPr>
            <w:tcW w:w="517" w:type="pct"/>
            <w:vAlign w:val="center"/>
          </w:tcPr>
          <w:p w14:paraId="518C542C">
            <w:pPr>
              <w:pStyle w:val="405"/>
              <w:spacing w:beforeAutospacing="0" w:afterLines="0"/>
              <w:rPr>
                <w:color w:val="auto"/>
                <w:szCs w:val="21"/>
              </w:rPr>
            </w:pPr>
            <w:r>
              <w:rPr>
                <w:rFonts w:hint="eastAsia"/>
                <w:color w:val="auto"/>
                <w:szCs w:val="21"/>
              </w:rPr>
              <w:t>占标率/%</w:t>
            </w:r>
          </w:p>
        </w:tc>
        <w:tc>
          <w:tcPr>
            <w:tcW w:w="409" w:type="pct"/>
            <w:vAlign w:val="center"/>
          </w:tcPr>
          <w:p w14:paraId="6DAA245A">
            <w:pPr>
              <w:pStyle w:val="405"/>
              <w:spacing w:beforeAutospacing="0" w:afterLines="0"/>
              <w:rPr>
                <w:color w:val="auto"/>
                <w:szCs w:val="21"/>
              </w:rPr>
            </w:pPr>
            <w:r>
              <w:rPr>
                <w:rFonts w:hint="eastAsia"/>
                <w:color w:val="auto"/>
                <w:szCs w:val="21"/>
              </w:rPr>
              <w:t>达标情况</w:t>
            </w:r>
          </w:p>
        </w:tc>
      </w:tr>
      <w:tr w14:paraId="7A0BB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2" w:type="pct"/>
            <w:noWrap/>
            <w:vAlign w:val="center"/>
          </w:tcPr>
          <w:p w14:paraId="34FDFC0D">
            <w:pPr>
              <w:pStyle w:val="405"/>
              <w:spacing w:beforeAutospacing="0" w:afterLines="0"/>
              <w:rPr>
                <w:color w:val="auto"/>
                <w:szCs w:val="21"/>
              </w:rPr>
            </w:pPr>
            <w:r>
              <w:rPr>
                <w:rFonts w:hint="eastAsia"/>
                <w:color w:val="auto"/>
                <w:szCs w:val="21"/>
              </w:rPr>
              <w:t>SO</w:t>
            </w:r>
            <w:r>
              <w:rPr>
                <w:rFonts w:hint="eastAsia"/>
                <w:color w:val="auto"/>
                <w:szCs w:val="21"/>
                <w:vertAlign w:val="subscript"/>
              </w:rPr>
              <w:t>2</w:t>
            </w:r>
          </w:p>
        </w:tc>
        <w:tc>
          <w:tcPr>
            <w:tcW w:w="1193" w:type="pct"/>
            <w:vAlign w:val="center"/>
          </w:tcPr>
          <w:p w14:paraId="7CFB4056">
            <w:pPr>
              <w:pStyle w:val="405"/>
              <w:spacing w:beforeAutospacing="0" w:afterLines="0"/>
              <w:rPr>
                <w:color w:val="auto"/>
                <w:szCs w:val="21"/>
              </w:rPr>
            </w:pPr>
            <w:r>
              <w:rPr>
                <w:rFonts w:hint="eastAsia"/>
                <w:color w:val="auto"/>
                <w:szCs w:val="21"/>
              </w:rPr>
              <w:t>年平均浓度</w:t>
            </w:r>
          </w:p>
        </w:tc>
        <w:tc>
          <w:tcPr>
            <w:tcW w:w="757" w:type="pct"/>
            <w:noWrap/>
            <w:vAlign w:val="center"/>
          </w:tcPr>
          <w:p w14:paraId="34E56699">
            <w:pPr>
              <w:pStyle w:val="405"/>
              <w:spacing w:beforeAutospacing="0" w:afterLines="0"/>
              <w:rPr>
                <w:color w:val="auto"/>
                <w:szCs w:val="21"/>
              </w:rPr>
            </w:pPr>
            <w:r>
              <w:rPr>
                <w:rFonts w:hint="eastAsia"/>
                <w:color w:val="auto"/>
                <w:szCs w:val="21"/>
              </w:rPr>
              <w:t>/</w:t>
            </w:r>
          </w:p>
        </w:tc>
        <w:tc>
          <w:tcPr>
            <w:tcW w:w="805" w:type="pct"/>
            <w:vAlign w:val="center"/>
          </w:tcPr>
          <w:p w14:paraId="48844EF8">
            <w:pPr>
              <w:pStyle w:val="405"/>
              <w:spacing w:beforeAutospacing="0" w:afterLines="0"/>
              <w:rPr>
                <w:rFonts w:hint="default" w:eastAsia="宋体"/>
                <w:color w:val="auto"/>
                <w:szCs w:val="21"/>
                <w:lang w:val="en-US" w:eastAsia="zh-CN"/>
              </w:rPr>
            </w:pPr>
            <w:r>
              <w:rPr>
                <w:rFonts w:hint="eastAsia"/>
                <w:color w:val="auto"/>
                <w:szCs w:val="21"/>
                <w:lang w:val="en-US" w:eastAsia="zh-CN"/>
              </w:rPr>
              <w:t>10</w:t>
            </w:r>
          </w:p>
        </w:tc>
        <w:tc>
          <w:tcPr>
            <w:tcW w:w="778" w:type="pct"/>
            <w:noWrap/>
            <w:vAlign w:val="center"/>
          </w:tcPr>
          <w:p w14:paraId="04EAA1CD">
            <w:pPr>
              <w:pStyle w:val="405"/>
              <w:spacing w:beforeAutospacing="0" w:afterLines="0"/>
              <w:rPr>
                <w:color w:val="auto"/>
                <w:szCs w:val="21"/>
              </w:rPr>
            </w:pPr>
            <w:r>
              <w:rPr>
                <w:rFonts w:hint="eastAsia"/>
                <w:color w:val="auto"/>
                <w:szCs w:val="21"/>
              </w:rPr>
              <w:t>60</w:t>
            </w:r>
          </w:p>
        </w:tc>
        <w:tc>
          <w:tcPr>
            <w:tcW w:w="960" w:type="dxa"/>
            <w:noWrap/>
            <w:vAlign w:val="top"/>
          </w:tcPr>
          <w:p w14:paraId="31DE3DDC">
            <w:pPr>
              <w:pStyle w:val="405"/>
              <w:spacing w:beforeAutospacing="0" w:afterLines="0"/>
              <w:rPr>
                <w:rFonts w:hint="eastAsia"/>
                <w:color w:val="auto"/>
                <w:szCs w:val="21"/>
                <w:lang w:val="en-US" w:eastAsia="zh-CN"/>
              </w:rPr>
            </w:pPr>
            <w:r>
              <w:rPr>
                <w:rFonts w:hint="default"/>
                <w:color w:val="auto"/>
                <w:szCs w:val="21"/>
                <w:lang w:val="en-US" w:eastAsia="zh-CN"/>
              </w:rPr>
              <w:t>16.67</w:t>
            </w:r>
          </w:p>
        </w:tc>
        <w:tc>
          <w:tcPr>
            <w:tcW w:w="409" w:type="pct"/>
            <w:noWrap/>
            <w:vAlign w:val="center"/>
          </w:tcPr>
          <w:p w14:paraId="1737300F">
            <w:pPr>
              <w:pStyle w:val="405"/>
              <w:spacing w:beforeAutospacing="0" w:afterLines="0"/>
              <w:rPr>
                <w:color w:val="auto"/>
                <w:szCs w:val="21"/>
              </w:rPr>
            </w:pPr>
            <w:r>
              <w:rPr>
                <w:rFonts w:hint="eastAsia"/>
                <w:color w:val="auto"/>
                <w:szCs w:val="21"/>
              </w:rPr>
              <w:t>达标</w:t>
            </w:r>
          </w:p>
        </w:tc>
      </w:tr>
      <w:tr w14:paraId="1DF09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2" w:type="pct"/>
            <w:noWrap/>
            <w:vAlign w:val="center"/>
          </w:tcPr>
          <w:p w14:paraId="6542E6EB">
            <w:pPr>
              <w:pStyle w:val="405"/>
              <w:spacing w:beforeAutospacing="0" w:afterLines="0"/>
              <w:rPr>
                <w:color w:val="auto"/>
                <w:szCs w:val="21"/>
              </w:rPr>
            </w:pPr>
            <w:r>
              <w:rPr>
                <w:rFonts w:hint="eastAsia"/>
                <w:color w:val="auto"/>
                <w:szCs w:val="21"/>
              </w:rPr>
              <w:t>NO</w:t>
            </w:r>
            <w:r>
              <w:rPr>
                <w:rFonts w:hint="eastAsia"/>
                <w:color w:val="auto"/>
                <w:szCs w:val="21"/>
                <w:vertAlign w:val="subscript"/>
              </w:rPr>
              <w:t>2</w:t>
            </w:r>
          </w:p>
        </w:tc>
        <w:tc>
          <w:tcPr>
            <w:tcW w:w="1193" w:type="pct"/>
            <w:vAlign w:val="center"/>
          </w:tcPr>
          <w:p w14:paraId="4A336AA0">
            <w:pPr>
              <w:pStyle w:val="405"/>
              <w:spacing w:beforeAutospacing="0" w:afterLines="0"/>
              <w:rPr>
                <w:color w:val="auto"/>
                <w:szCs w:val="21"/>
              </w:rPr>
            </w:pPr>
            <w:r>
              <w:rPr>
                <w:rFonts w:hint="eastAsia"/>
                <w:color w:val="auto"/>
                <w:szCs w:val="21"/>
              </w:rPr>
              <w:t>年平均浓度</w:t>
            </w:r>
          </w:p>
        </w:tc>
        <w:tc>
          <w:tcPr>
            <w:tcW w:w="757" w:type="pct"/>
            <w:noWrap/>
            <w:vAlign w:val="center"/>
          </w:tcPr>
          <w:p w14:paraId="0292DDD6">
            <w:pPr>
              <w:pStyle w:val="405"/>
              <w:spacing w:beforeAutospacing="0" w:afterLines="0"/>
              <w:rPr>
                <w:color w:val="auto"/>
                <w:szCs w:val="21"/>
              </w:rPr>
            </w:pPr>
            <w:r>
              <w:rPr>
                <w:rFonts w:hint="eastAsia"/>
                <w:color w:val="auto"/>
                <w:szCs w:val="21"/>
              </w:rPr>
              <w:t>/</w:t>
            </w:r>
          </w:p>
        </w:tc>
        <w:tc>
          <w:tcPr>
            <w:tcW w:w="805" w:type="pct"/>
            <w:vAlign w:val="center"/>
          </w:tcPr>
          <w:p w14:paraId="337A7BF8">
            <w:pPr>
              <w:pStyle w:val="405"/>
              <w:spacing w:beforeAutospacing="0" w:afterLines="0"/>
              <w:rPr>
                <w:rFonts w:hint="default" w:eastAsia="宋体"/>
                <w:color w:val="auto"/>
                <w:szCs w:val="21"/>
                <w:lang w:val="en-US" w:eastAsia="zh-CN"/>
              </w:rPr>
            </w:pPr>
            <w:r>
              <w:rPr>
                <w:rFonts w:hint="eastAsia"/>
                <w:color w:val="auto"/>
                <w:szCs w:val="21"/>
                <w:lang w:val="en-US" w:eastAsia="zh-CN"/>
              </w:rPr>
              <w:t>18</w:t>
            </w:r>
          </w:p>
        </w:tc>
        <w:tc>
          <w:tcPr>
            <w:tcW w:w="778" w:type="pct"/>
            <w:noWrap/>
            <w:vAlign w:val="center"/>
          </w:tcPr>
          <w:p w14:paraId="7FD0CE93">
            <w:pPr>
              <w:pStyle w:val="405"/>
              <w:spacing w:beforeAutospacing="0" w:afterLines="0"/>
              <w:rPr>
                <w:color w:val="auto"/>
                <w:szCs w:val="21"/>
              </w:rPr>
            </w:pPr>
            <w:r>
              <w:rPr>
                <w:rFonts w:hint="eastAsia"/>
                <w:color w:val="auto"/>
                <w:szCs w:val="21"/>
              </w:rPr>
              <w:t>40</w:t>
            </w:r>
          </w:p>
        </w:tc>
        <w:tc>
          <w:tcPr>
            <w:tcW w:w="960" w:type="dxa"/>
            <w:noWrap/>
            <w:vAlign w:val="top"/>
          </w:tcPr>
          <w:p w14:paraId="4618E06C">
            <w:pPr>
              <w:pStyle w:val="405"/>
              <w:spacing w:beforeAutospacing="0" w:afterLines="0"/>
              <w:rPr>
                <w:rFonts w:hint="eastAsia"/>
                <w:color w:val="auto"/>
                <w:szCs w:val="21"/>
                <w:lang w:val="en-US" w:eastAsia="zh-CN"/>
              </w:rPr>
            </w:pPr>
            <w:r>
              <w:rPr>
                <w:rFonts w:hint="default"/>
                <w:color w:val="auto"/>
                <w:szCs w:val="21"/>
                <w:lang w:val="en-US" w:eastAsia="zh-CN"/>
              </w:rPr>
              <w:t>45</w:t>
            </w:r>
          </w:p>
        </w:tc>
        <w:tc>
          <w:tcPr>
            <w:tcW w:w="409" w:type="pct"/>
            <w:noWrap/>
            <w:vAlign w:val="center"/>
          </w:tcPr>
          <w:p w14:paraId="441772B6">
            <w:pPr>
              <w:pStyle w:val="405"/>
              <w:spacing w:beforeAutospacing="0" w:afterLines="0"/>
              <w:rPr>
                <w:color w:val="auto"/>
                <w:szCs w:val="21"/>
              </w:rPr>
            </w:pPr>
            <w:r>
              <w:rPr>
                <w:rFonts w:hint="eastAsia"/>
                <w:color w:val="auto"/>
                <w:szCs w:val="21"/>
              </w:rPr>
              <w:t>达标</w:t>
            </w:r>
          </w:p>
        </w:tc>
      </w:tr>
      <w:tr w14:paraId="77659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2" w:type="pct"/>
            <w:noWrap/>
            <w:vAlign w:val="center"/>
          </w:tcPr>
          <w:p w14:paraId="1EAA7A8C">
            <w:pPr>
              <w:pStyle w:val="405"/>
              <w:spacing w:beforeAutospacing="0" w:afterLines="0"/>
              <w:rPr>
                <w:color w:val="auto"/>
                <w:szCs w:val="21"/>
              </w:rPr>
            </w:pPr>
            <w:r>
              <w:rPr>
                <w:rFonts w:hint="eastAsia"/>
                <w:color w:val="auto"/>
                <w:szCs w:val="21"/>
              </w:rPr>
              <w:t>PM</w:t>
            </w:r>
            <w:r>
              <w:rPr>
                <w:rFonts w:hint="eastAsia"/>
                <w:color w:val="auto"/>
                <w:szCs w:val="21"/>
                <w:vertAlign w:val="subscript"/>
              </w:rPr>
              <w:t>10</w:t>
            </w:r>
          </w:p>
        </w:tc>
        <w:tc>
          <w:tcPr>
            <w:tcW w:w="1193" w:type="pct"/>
            <w:vAlign w:val="center"/>
          </w:tcPr>
          <w:p w14:paraId="70BD4CD2">
            <w:pPr>
              <w:pStyle w:val="405"/>
              <w:spacing w:beforeAutospacing="0" w:afterLines="0"/>
              <w:rPr>
                <w:color w:val="auto"/>
                <w:szCs w:val="21"/>
              </w:rPr>
            </w:pPr>
            <w:r>
              <w:rPr>
                <w:rFonts w:hint="eastAsia"/>
                <w:color w:val="auto"/>
                <w:szCs w:val="21"/>
              </w:rPr>
              <w:t>年平均浓度</w:t>
            </w:r>
          </w:p>
        </w:tc>
        <w:tc>
          <w:tcPr>
            <w:tcW w:w="757" w:type="pct"/>
            <w:noWrap/>
            <w:vAlign w:val="center"/>
          </w:tcPr>
          <w:p w14:paraId="1CCC2FE6">
            <w:pPr>
              <w:pStyle w:val="405"/>
              <w:spacing w:beforeAutospacing="0" w:afterLines="0"/>
              <w:rPr>
                <w:color w:val="auto"/>
                <w:szCs w:val="21"/>
              </w:rPr>
            </w:pPr>
            <w:r>
              <w:rPr>
                <w:rFonts w:hint="eastAsia"/>
                <w:color w:val="auto"/>
                <w:szCs w:val="21"/>
              </w:rPr>
              <w:t>/</w:t>
            </w:r>
          </w:p>
        </w:tc>
        <w:tc>
          <w:tcPr>
            <w:tcW w:w="805" w:type="pct"/>
            <w:vAlign w:val="center"/>
          </w:tcPr>
          <w:p w14:paraId="7B27F7DB">
            <w:pPr>
              <w:pStyle w:val="405"/>
              <w:spacing w:beforeAutospacing="0" w:afterLines="0"/>
              <w:rPr>
                <w:rFonts w:hint="default" w:eastAsia="宋体"/>
                <w:color w:val="auto"/>
                <w:szCs w:val="21"/>
                <w:lang w:val="en-US" w:eastAsia="zh-CN"/>
              </w:rPr>
            </w:pPr>
            <w:r>
              <w:rPr>
                <w:rFonts w:hint="eastAsia"/>
                <w:color w:val="auto"/>
                <w:szCs w:val="21"/>
                <w:lang w:val="en-US" w:eastAsia="zh-CN"/>
              </w:rPr>
              <w:t>41</w:t>
            </w:r>
          </w:p>
        </w:tc>
        <w:tc>
          <w:tcPr>
            <w:tcW w:w="778" w:type="pct"/>
            <w:noWrap/>
            <w:vAlign w:val="center"/>
          </w:tcPr>
          <w:p w14:paraId="68F8CC5D">
            <w:pPr>
              <w:pStyle w:val="405"/>
              <w:spacing w:beforeAutospacing="0" w:afterLines="0"/>
              <w:rPr>
                <w:color w:val="auto"/>
                <w:szCs w:val="21"/>
              </w:rPr>
            </w:pPr>
            <w:r>
              <w:rPr>
                <w:rFonts w:hint="eastAsia"/>
                <w:color w:val="auto"/>
                <w:szCs w:val="21"/>
              </w:rPr>
              <w:t>70</w:t>
            </w:r>
          </w:p>
        </w:tc>
        <w:tc>
          <w:tcPr>
            <w:tcW w:w="960" w:type="dxa"/>
            <w:noWrap/>
            <w:vAlign w:val="top"/>
          </w:tcPr>
          <w:p w14:paraId="015EEABA">
            <w:pPr>
              <w:pStyle w:val="405"/>
              <w:spacing w:beforeAutospacing="0" w:afterLines="0"/>
              <w:rPr>
                <w:rFonts w:hint="eastAsia"/>
                <w:color w:val="auto"/>
                <w:szCs w:val="21"/>
                <w:lang w:val="en-US" w:eastAsia="zh-CN"/>
              </w:rPr>
            </w:pPr>
            <w:r>
              <w:rPr>
                <w:rFonts w:hint="default"/>
                <w:color w:val="auto"/>
                <w:szCs w:val="21"/>
                <w:lang w:val="en-US" w:eastAsia="zh-CN"/>
              </w:rPr>
              <w:t>58.57</w:t>
            </w:r>
          </w:p>
        </w:tc>
        <w:tc>
          <w:tcPr>
            <w:tcW w:w="409" w:type="pct"/>
            <w:noWrap/>
            <w:vAlign w:val="center"/>
          </w:tcPr>
          <w:p w14:paraId="10C1B54A">
            <w:pPr>
              <w:pStyle w:val="405"/>
              <w:spacing w:beforeAutospacing="0" w:afterLines="0"/>
              <w:rPr>
                <w:color w:val="auto"/>
                <w:szCs w:val="21"/>
              </w:rPr>
            </w:pPr>
            <w:r>
              <w:rPr>
                <w:rFonts w:hint="eastAsia"/>
                <w:color w:val="auto"/>
                <w:szCs w:val="21"/>
              </w:rPr>
              <w:t>达标</w:t>
            </w:r>
          </w:p>
        </w:tc>
      </w:tr>
      <w:tr w14:paraId="29E48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2" w:type="pct"/>
            <w:noWrap/>
            <w:vAlign w:val="center"/>
          </w:tcPr>
          <w:p w14:paraId="37205F41">
            <w:pPr>
              <w:pStyle w:val="405"/>
              <w:spacing w:beforeAutospacing="0" w:afterLines="0"/>
              <w:rPr>
                <w:color w:val="auto"/>
                <w:szCs w:val="21"/>
              </w:rPr>
            </w:pPr>
            <w:r>
              <w:rPr>
                <w:rFonts w:hint="eastAsia"/>
                <w:color w:val="auto"/>
                <w:szCs w:val="21"/>
              </w:rPr>
              <w:t>PM</w:t>
            </w:r>
            <w:r>
              <w:rPr>
                <w:rFonts w:hint="eastAsia"/>
                <w:color w:val="auto"/>
                <w:szCs w:val="21"/>
                <w:vertAlign w:val="subscript"/>
              </w:rPr>
              <w:t>2.5</w:t>
            </w:r>
          </w:p>
        </w:tc>
        <w:tc>
          <w:tcPr>
            <w:tcW w:w="1193" w:type="pct"/>
            <w:vAlign w:val="center"/>
          </w:tcPr>
          <w:p w14:paraId="2540E55D">
            <w:pPr>
              <w:pStyle w:val="405"/>
              <w:spacing w:beforeAutospacing="0" w:afterLines="0"/>
              <w:rPr>
                <w:color w:val="auto"/>
                <w:szCs w:val="21"/>
              </w:rPr>
            </w:pPr>
            <w:r>
              <w:rPr>
                <w:rFonts w:hint="eastAsia"/>
                <w:color w:val="auto"/>
                <w:szCs w:val="21"/>
              </w:rPr>
              <w:t>年平均浓度</w:t>
            </w:r>
          </w:p>
        </w:tc>
        <w:tc>
          <w:tcPr>
            <w:tcW w:w="757" w:type="pct"/>
            <w:noWrap/>
            <w:vAlign w:val="center"/>
          </w:tcPr>
          <w:p w14:paraId="7D05C0B7">
            <w:pPr>
              <w:pStyle w:val="405"/>
              <w:spacing w:beforeAutospacing="0" w:afterLines="0"/>
              <w:rPr>
                <w:color w:val="auto"/>
                <w:szCs w:val="21"/>
              </w:rPr>
            </w:pPr>
            <w:r>
              <w:rPr>
                <w:rFonts w:hint="eastAsia"/>
                <w:color w:val="auto"/>
                <w:szCs w:val="21"/>
              </w:rPr>
              <w:t>/</w:t>
            </w:r>
          </w:p>
        </w:tc>
        <w:tc>
          <w:tcPr>
            <w:tcW w:w="805" w:type="pct"/>
            <w:vAlign w:val="center"/>
          </w:tcPr>
          <w:p w14:paraId="1CC25886">
            <w:pPr>
              <w:pStyle w:val="405"/>
              <w:spacing w:beforeAutospacing="0" w:afterLines="0"/>
              <w:rPr>
                <w:rFonts w:hint="default" w:eastAsia="宋体"/>
                <w:color w:val="auto"/>
                <w:szCs w:val="21"/>
                <w:lang w:val="en-US" w:eastAsia="zh-CN"/>
              </w:rPr>
            </w:pPr>
            <w:r>
              <w:rPr>
                <w:rFonts w:hint="eastAsia"/>
                <w:color w:val="auto"/>
                <w:szCs w:val="21"/>
                <w:lang w:val="en-US" w:eastAsia="zh-CN"/>
              </w:rPr>
              <w:t>24.5</w:t>
            </w:r>
          </w:p>
        </w:tc>
        <w:tc>
          <w:tcPr>
            <w:tcW w:w="778" w:type="pct"/>
            <w:noWrap/>
            <w:vAlign w:val="center"/>
          </w:tcPr>
          <w:p w14:paraId="0D34BCBD">
            <w:pPr>
              <w:pStyle w:val="405"/>
              <w:spacing w:beforeAutospacing="0" w:afterLines="0"/>
              <w:rPr>
                <w:color w:val="auto"/>
                <w:szCs w:val="21"/>
              </w:rPr>
            </w:pPr>
            <w:r>
              <w:rPr>
                <w:rFonts w:hint="eastAsia"/>
                <w:color w:val="auto"/>
                <w:szCs w:val="21"/>
              </w:rPr>
              <w:t>35</w:t>
            </w:r>
          </w:p>
        </w:tc>
        <w:tc>
          <w:tcPr>
            <w:tcW w:w="960" w:type="dxa"/>
            <w:noWrap/>
            <w:vAlign w:val="top"/>
          </w:tcPr>
          <w:p w14:paraId="0B24D445">
            <w:pPr>
              <w:pStyle w:val="405"/>
              <w:spacing w:beforeAutospacing="0" w:afterLines="0"/>
              <w:rPr>
                <w:rFonts w:hint="eastAsia"/>
                <w:color w:val="auto"/>
                <w:szCs w:val="21"/>
                <w:lang w:val="en-US" w:eastAsia="zh-CN"/>
              </w:rPr>
            </w:pPr>
            <w:r>
              <w:rPr>
                <w:rFonts w:hint="default"/>
                <w:color w:val="auto"/>
                <w:szCs w:val="21"/>
                <w:lang w:val="en-US" w:eastAsia="zh-CN"/>
              </w:rPr>
              <w:t>70</w:t>
            </w:r>
          </w:p>
        </w:tc>
        <w:tc>
          <w:tcPr>
            <w:tcW w:w="409" w:type="pct"/>
            <w:noWrap/>
            <w:vAlign w:val="center"/>
          </w:tcPr>
          <w:p w14:paraId="5209FD6C">
            <w:pPr>
              <w:pStyle w:val="405"/>
              <w:spacing w:beforeAutospacing="0" w:afterLines="0"/>
              <w:rPr>
                <w:b/>
                <w:bCs/>
                <w:color w:val="auto"/>
                <w:szCs w:val="21"/>
              </w:rPr>
            </w:pPr>
            <w:r>
              <w:rPr>
                <w:rFonts w:hint="eastAsia"/>
                <w:color w:val="auto"/>
                <w:szCs w:val="21"/>
              </w:rPr>
              <w:t>达标</w:t>
            </w:r>
          </w:p>
        </w:tc>
      </w:tr>
      <w:tr w14:paraId="3D104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2" w:type="pct"/>
            <w:noWrap/>
            <w:vAlign w:val="center"/>
          </w:tcPr>
          <w:p w14:paraId="1D2C8D7D">
            <w:pPr>
              <w:pStyle w:val="405"/>
              <w:spacing w:beforeAutospacing="0" w:afterLines="0"/>
              <w:rPr>
                <w:color w:val="auto"/>
                <w:szCs w:val="21"/>
              </w:rPr>
            </w:pPr>
            <w:r>
              <w:rPr>
                <w:rFonts w:hint="eastAsia"/>
                <w:color w:val="auto"/>
                <w:szCs w:val="21"/>
              </w:rPr>
              <w:t>O</w:t>
            </w:r>
            <w:r>
              <w:rPr>
                <w:rFonts w:hint="eastAsia"/>
                <w:color w:val="auto"/>
                <w:szCs w:val="21"/>
                <w:vertAlign w:val="subscript"/>
              </w:rPr>
              <w:t>3</w:t>
            </w:r>
          </w:p>
        </w:tc>
        <w:tc>
          <w:tcPr>
            <w:tcW w:w="1193" w:type="pct"/>
            <w:vAlign w:val="center"/>
          </w:tcPr>
          <w:p w14:paraId="7B64EB98">
            <w:pPr>
              <w:pStyle w:val="405"/>
              <w:spacing w:beforeAutospacing="0" w:afterLines="0"/>
              <w:rPr>
                <w:color w:val="auto"/>
                <w:szCs w:val="21"/>
              </w:rPr>
            </w:pPr>
            <w:r>
              <w:rPr>
                <w:rFonts w:hint="eastAsia"/>
                <w:color w:val="auto"/>
                <w:szCs w:val="21"/>
              </w:rPr>
              <w:t>最大8小时平均浓度</w:t>
            </w:r>
          </w:p>
        </w:tc>
        <w:tc>
          <w:tcPr>
            <w:tcW w:w="757" w:type="pct"/>
            <w:noWrap/>
            <w:vAlign w:val="center"/>
          </w:tcPr>
          <w:p w14:paraId="3E8E446B">
            <w:pPr>
              <w:pStyle w:val="405"/>
              <w:spacing w:beforeAutospacing="0" w:afterLines="0"/>
              <w:rPr>
                <w:color w:val="auto"/>
                <w:szCs w:val="21"/>
              </w:rPr>
            </w:pPr>
            <w:r>
              <w:rPr>
                <w:rFonts w:hint="eastAsia"/>
                <w:color w:val="auto"/>
                <w:szCs w:val="21"/>
              </w:rPr>
              <w:t>第90百分位</w:t>
            </w:r>
          </w:p>
        </w:tc>
        <w:tc>
          <w:tcPr>
            <w:tcW w:w="805" w:type="pct"/>
            <w:vAlign w:val="center"/>
          </w:tcPr>
          <w:p w14:paraId="7BD39F6C">
            <w:pPr>
              <w:pStyle w:val="405"/>
              <w:spacing w:beforeAutospacing="0" w:afterLines="0"/>
              <w:rPr>
                <w:rFonts w:hint="default" w:eastAsia="宋体"/>
                <w:color w:val="auto"/>
                <w:szCs w:val="21"/>
                <w:lang w:val="en-US" w:eastAsia="zh-CN"/>
              </w:rPr>
            </w:pPr>
            <w:r>
              <w:rPr>
                <w:rFonts w:hint="eastAsia"/>
                <w:color w:val="auto"/>
                <w:szCs w:val="21"/>
                <w:lang w:val="en-US" w:eastAsia="zh-CN"/>
              </w:rPr>
              <w:t>132</w:t>
            </w:r>
          </w:p>
        </w:tc>
        <w:tc>
          <w:tcPr>
            <w:tcW w:w="778" w:type="pct"/>
            <w:noWrap/>
            <w:vAlign w:val="center"/>
          </w:tcPr>
          <w:p w14:paraId="31665BC4">
            <w:pPr>
              <w:pStyle w:val="405"/>
              <w:spacing w:beforeAutospacing="0" w:afterLines="0"/>
              <w:rPr>
                <w:color w:val="auto"/>
                <w:szCs w:val="21"/>
              </w:rPr>
            </w:pPr>
            <w:r>
              <w:rPr>
                <w:rFonts w:hint="eastAsia"/>
                <w:color w:val="auto"/>
                <w:szCs w:val="21"/>
              </w:rPr>
              <w:t>160</w:t>
            </w:r>
          </w:p>
        </w:tc>
        <w:tc>
          <w:tcPr>
            <w:tcW w:w="960" w:type="dxa"/>
            <w:noWrap/>
            <w:vAlign w:val="top"/>
          </w:tcPr>
          <w:p w14:paraId="36365488">
            <w:pPr>
              <w:pStyle w:val="405"/>
              <w:spacing w:beforeAutospacing="0" w:afterLines="0"/>
              <w:rPr>
                <w:rFonts w:hint="eastAsia"/>
                <w:color w:val="auto"/>
                <w:szCs w:val="21"/>
                <w:lang w:val="en-US" w:eastAsia="zh-CN"/>
              </w:rPr>
            </w:pPr>
            <w:r>
              <w:rPr>
                <w:rFonts w:hint="default"/>
                <w:color w:val="auto"/>
                <w:szCs w:val="21"/>
                <w:lang w:val="en-US" w:eastAsia="zh-CN"/>
              </w:rPr>
              <w:t>82.5</w:t>
            </w:r>
          </w:p>
        </w:tc>
        <w:tc>
          <w:tcPr>
            <w:tcW w:w="409" w:type="pct"/>
            <w:noWrap/>
            <w:vAlign w:val="center"/>
          </w:tcPr>
          <w:p w14:paraId="08D69031">
            <w:pPr>
              <w:pStyle w:val="405"/>
              <w:spacing w:beforeAutospacing="0" w:afterLines="0"/>
              <w:rPr>
                <w:color w:val="auto"/>
                <w:szCs w:val="21"/>
              </w:rPr>
            </w:pPr>
            <w:r>
              <w:rPr>
                <w:rFonts w:hint="eastAsia"/>
                <w:color w:val="auto"/>
                <w:szCs w:val="21"/>
              </w:rPr>
              <w:t>达标</w:t>
            </w:r>
          </w:p>
        </w:tc>
      </w:tr>
      <w:tr w14:paraId="173D8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2" w:type="pct"/>
            <w:noWrap/>
            <w:vAlign w:val="center"/>
          </w:tcPr>
          <w:p w14:paraId="27F310C2">
            <w:pPr>
              <w:pStyle w:val="405"/>
              <w:spacing w:beforeAutospacing="0" w:afterLines="0"/>
              <w:rPr>
                <w:color w:val="auto"/>
                <w:szCs w:val="21"/>
              </w:rPr>
            </w:pPr>
            <w:r>
              <w:rPr>
                <w:rFonts w:hint="eastAsia"/>
                <w:color w:val="auto"/>
                <w:szCs w:val="21"/>
              </w:rPr>
              <w:t>CO</w:t>
            </w:r>
          </w:p>
        </w:tc>
        <w:tc>
          <w:tcPr>
            <w:tcW w:w="1193" w:type="pct"/>
            <w:vAlign w:val="center"/>
          </w:tcPr>
          <w:p w14:paraId="2545741E">
            <w:pPr>
              <w:pStyle w:val="405"/>
              <w:spacing w:beforeAutospacing="0" w:afterLines="0"/>
              <w:rPr>
                <w:color w:val="auto"/>
                <w:szCs w:val="21"/>
              </w:rPr>
            </w:pPr>
            <w:r>
              <w:rPr>
                <w:rFonts w:hint="eastAsia"/>
                <w:color w:val="auto"/>
                <w:szCs w:val="21"/>
              </w:rPr>
              <w:t>日均浓度</w:t>
            </w:r>
          </w:p>
        </w:tc>
        <w:tc>
          <w:tcPr>
            <w:tcW w:w="757" w:type="pct"/>
            <w:noWrap/>
            <w:vAlign w:val="center"/>
          </w:tcPr>
          <w:p w14:paraId="5A232231">
            <w:pPr>
              <w:pStyle w:val="405"/>
              <w:spacing w:beforeAutospacing="0" w:afterLines="0"/>
              <w:rPr>
                <w:color w:val="auto"/>
                <w:szCs w:val="21"/>
              </w:rPr>
            </w:pPr>
            <w:r>
              <w:rPr>
                <w:rFonts w:hint="eastAsia"/>
                <w:color w:val="auto"/>
                <w:szCs w:val="21"/>
              </w:rPr>
              <w:t>第95百分位</w:t>
            </w:r>
          </w:p>
        </w:tc>
        <w:tc>
          <w:tcPr>
            <w:tcW w:w="805" w:type="pct"/>
            <w:vAlign w:val="center"/>
          </w:tcPr>
          <w:p w14:paraId="0B353124">
            <w:pPr>
              <w:pStyle w:val="405"/>
              <w:spacing w:beforeAutospacing="0" w:afterLines="0"/>
              <w:rPr>
                <w:color w:val="auto"/>
                <w:szCs w:val="21"/>
              </w:rPr>
            </w:pPr>
            <w:r>
              <w:rPr>
                <w:rFonts w:hint="eastAsia"/>
                <w:color w:val="auto"/>
                <w:szCs w:val="21"/>
                <w:lang w:val="en-US" w:eastAsia="zh-CN"/>
              </w:rPr>
              <w:t>0.7</w:t>
            </w:r>
            <w:r>
              <w:rPr>
                <w:rFonts w:hint="eastAsia"/>
                <w:color w:val="auto"/>
                <w:szCs w:val="21"/>
              </w:rPr>
              <w:t>m</w:t>
            </w:r>
            <w:r>
              <w:rPr>
                <w:rFonts w:hint="eastAsia"/>
                <w:color w:val="auto"/>
                <w:kern w:val="0"/>
                <w:szCs w:val="21"/>
              </w:rPr>
              <w:t>g/m</w:t>
            </w:r>
            <w:r>
              <w:rPr>
                <w:rFonts w:hint="eastAsia"/>
                <w:color w:val="auto"/>
                <w:kern w:val="0"/>
                <w:szCs w:val="21"/>
                <w:vertAlign w:val="superscript"/>
              </w:rPr>
              <w:t>3</w:t>
            </w:r>
          </w:p>
        </w:tc>
        <w:tc>
          <w:tcPr>
            <w:tcW w:w="778" w:type="pct"/>
            <w:noWrap/>
            <w:vAlign w:val="center"/>
          </w:tcPr>
          <w:p w14:paraId="12E9CBE8">
            <w:pPr>
              <w:pStyle w:val="405"/>
              <w:spacing w:beforeAutospacing="0" w:afterLines="0"/>
              <w:rPr>
                <w:color w:val="auto"/>
                <w:szCs w:val="21"/>
              </w:rPr>
            </w:pPr>
            <w:r>
              <w:rPr>
                <w:rFonts w:hint="eastAsia"/>
                <w:color w:val="auto"/>
                <w:szCs w:val="21"/>
              </w:rPr>
              <w:t>4m</w:t>
            </w:r>
            <w:r>
              <w:rPr>
                <w:rFonts w:hint="eastAsia"/>
                <w:color w:val="auto"/>
                <w:kern w:val="0"/>
                <w:szCs w:val="21"/>
              </w:rPr>
              <w:t>g/m</w:t>
            </w:r>
            <w:r>
              <w:rPr>
                <w:rFonts w:hint="eastAsia"/>
                <w:color w:val="auto"/>
                <w:kern w:val="0"/>
                <w:szCs w:val="21"/>
                <w:vertAlign w:val="superscript"/>
              </w:rPr>
              <w:t>3</w:t>
            </w:r>
          </w:p>
        </w:tc>
        <w:tc>
          <w:tcPr>
            <w:tcW w:w="960" w:type="dxa"/>
            <w:noWrap/>
            <w:vAlign w:val="top"/>
          </w:tcPr>
          <w:p w14:paraId="7C785A69">
            <w:pPr>
              <w:pStyle w:val="405"/>
              <w:spacing w:beforeAutospacing="0" w:afterLines="0"/>
              <w:rPr>
                <w:rFonts w:hint="eastAsia"/>
                <w:color w:val="auto"/>
                <w:szCs w:val="21"/>
                <w:lang w:val="en-US" w:eastAsia="zh-CN"/>
              </w:rPr>
            </w:pPr>
            <w:r>
              <w:rPr>
                <w:rFonts w:hint="default"/>
                <w:color w:val="auto"/>
                <w:szCs w:val="21"/>
                <w:lang w:val="en-US" w:eastAsia="zh-CN"/>
              </w:rPr>
              <w:t>17.5</w:t>
            </w:r>
          </w:p>
        </w:tc>
        <w:tc>
          <w:tcPr>
            <w:tcW w:w="409" w:type="pct"/>
            <w:noWrap/>
            <w:vAlign w:val="center"/>
          </w:tcPr>
          <w:p w14:paraId="567227B6">
            <w:pPr>
              <w:pStyle w:val="405"/>
              <w:spacing w:beforeAutospacing="0" w:afterLines="0"/>
              <w:rPr>
                <w:color w:val="auto"/>
                <w:szCs w:val="21"/>
              </w:rPr>
            </w:pPr>
            <w:r>
              <w:rPr>
                <w:rFonts w:hint="eastAsia"/>
                <w:color w:val="auto"/>
                <w:szCs w:val="21"/>
              </w:rPr>
              <w:t>达标</w:t>
            </w:r>
          </w:p>
        </w:tc>
      </w:tr>
    </w:tbl>
    <w:p w14:paraId="5DD6343B">
      <w:pPr>
        <w:spacing w:line="360" w:lineRule="auto"/>
        <w:ind w:firstLine="480"/>
        <w:rPr>
          <w:color w:val="auto"/>
          <w:szCs w:val="24"/>
        </w:rPr>
      </w:pPr>
    </w:p>
    <w:p w14:paraId="191A27E6">
      <w:pPr>
        <w:spacing w:line="360" w:lineRule="auto"/>
        <w:ind w:firstLine="480"/>
        <w:rPr>
          <w:color w:val="auto"/>
          <w:kern w:val="0"/>
          <w:szCs w:val="24"/>
        </w:rPr>
      </w:pPr>
      <w:r>
        <w:rPr>
          <w:rFonts w:hint="eastAsia"/>
          <w:color w:val="auto"/>
          <w:szCs w:val="24"/>
        </w:rPr>
        <w:t>由上表可知，</w:t>
      </w:r>
      <w:r>
        <w:rPr>
          <w:color w:val="auto"/>
          <w:szCs w:val="24"/>
        </w:rPr>
        <w:t>202</w:t>
      </w:r>
      <w:r>
        <w:rPr>
          <w:rFonts w:hint="eastAsia"/>
          <w:color w:val="auto"/>
          <w:szCs w:val="24"/>
          <w:lang w:val="en-US" w:eastAsia="zh-CN"/>
        </w:rPr>
        <w:t>4</w:t>
      </w:r>
      <w:r>
        <w:rPr>
          <w:color w:val="auto"/>
          <w:szCs w:val="24"/>
        </w:rPr>
        <w:t>年</w:t>
      </w:r>
      <w:r>
        <w:rPr>
          <w:rFonts w:hint="eastAsia"/>
          <w:color w:val="auto"/>
          <w:szCs w:val="24"/>
          <w:lang w:eastAsia="zh-CN"/>
        </w:rPr>
        <w:t>忠县</w:t>
      </w:r>
      <w:r>
        <w:rPr>
          <w:color w:val="auto"/>
          <w:szCs w:val="24"/>
        </w:rPr>
        <w:t>空气中</w:t>
      </w:r>
      <w:r>
        <w:rPr>
          <w:color w:val="auto"/>
          <w:kern w:val="0"/>
          <w:szCs w:val="24"/>
        </w:rPr>
        <w:t>SO</w:t>
      </w:r>
      <w:r>
        <w:rPr>
          <w:color w:val="auto"/>
          <w:kern w:val="0"/>
          <w:szCs w:val="24"/>
          <w:vertAlign w:val="subscript"/>
        </w:rPr>
        <w:t>2</w:t>
      </w:r>
      <w:r>
        <w:rPr>
          <w:color w:val="auto"/>
          <w:kern w:val="0"/>
          <w:szCs w:val="24"/>
        </w:rPr>
        <w:t>、NO</w:t>
      </w:r>
      <w:r>
        <w:rPr>
          <w:color w:val="auto"/>
          <w:kern w:val="0"/>
          <w:szCs w:val="24"/>
          <w:vertAlign w:val="subscript"/>
        </w:rPr>
        <w:t>2</w:t>
      </w:r>
      <w:r>
        <w:rPr>
          <w:color w:val="auto"/>
          <w:kern w:val="0"/>
          <w:szCs w:val="24"/>
        </w:rPr>
        <w:t>、PM</w:t>
      </w:r>
      <w:r>
        <w:rPr>
          <w:color w:val="auto"/>
          <w:kern w:val="0"/>
          <w:szCs w:val="24"/>
          <w:vertAlign w:val="subscript"/>
        </w:rPr>
        <w:t>10</w:t>
      </w:r>
      <w:r>
        <w:rPr>
          <w:color w:val="auto"/>
          <w:kern w:val="0"/>
          <w:szCs w:val="24"/>
        </w:rPr>
        <w:t>、</w:t>
      </w:r>
      <w:r>
        <w:rPr>
          <w:rFonts w:hint="eastAsia"/>
          <w:color w:val="auto"/>
          <w:szCs w:val="24"/>
        </w:rPr>
        <w:t>PM</w:t>
      </w:r>
      <w:r>
        <w:rPr>
          <w:rFonts w:hint="eastAsia"/>
          <w:color w:val="auto"/>
          <w:szCs w:val="24"/>
          <w:vertAlign w:val="subscript"/>
        </w:rPr>
        <w:t>2.5</w:t>
      </w:r>
      <w:r>
        <w:rPr>
          <w:rFonts w:hint="eastAsia"/>
          <w:color w:val="auto"/>
          <w:kern w:val="0"/>
          <w:szCs w:val="24"/>
          <w:lang w:eastAsia="zh-CN"/>
        </w:rPr>
        <w:t>、</w:t>
      </w:r>
      <w:r>
        <w:rPr>
          <w:color w:val="auto"/>
          <w:kern w:val="0"/>
          <w:szCs w:val="24"/>
        </w:rPr>
        <w:t>O</w:t>
      </w:r>
      <w:r>
        <w:rPr>
          <w:color w:val="auto"/>
          <w:kern w:val="0"/>
          <w:szCs w:val="24"/>
          <w:vertAlign w:val="subscript"/>
        </w:rPr>
        <w:t>3</w:t>
      </w:r>
      <w:r>
        <w:rPr>
          <w:color w:val="auto"/>
          <w:kern w:val="0"/>
          <w:szCs w:val="24"/>
        </w:rPr>
        <w:t>、CO均满足《环境空气质量标准》（GB3095-2012）中二级标准要求</w:t>
      </w:r>
      <w:r>
        <w:rPr>
          <w:rFonts w:hint="eastAsia"/>
          <w:color w:val="auto"/>
          <w:kern w:val="0"/>
          <w:szCs w:val="24"/>
        </w:rPr>
        <w:t>，据此判断</w:t>
      </w:r>
      <w:r>
        <w:rPr>
          <w:rFonts w:hint="eastAsia"/>
          <w:color w:val="auto"/>
          <w:lang w:eastAsia="zh-CN"/>
        </w:rPr>
        <w:t>忠县</w:t>
      </w:r>
      <w:r>
        <w:rPr>
          <w:rFonts w:hint="eastAsia"/>
          <w:color w:val="auto"/>
        </w:rPr>
        <w:t>2</w:t>
      </w:r>
      <w:r>
        <w:rPr>
          <w:color w:val="auto"/>
        </w:rPr>
        <w:t>02</w:t>
      </w:r>
      <w:r>
        <w:rPr>
          <w:rFonts w:hint="eastAsia"/>
          <w:color w:val="auto"/>
          <w:lang w:val="en-US" w:eastAsia="zh-CN"/>
        </w:rPr>
        <w:t>4</w:t>
      </w:r>
      <w:r>
        <w:rPr>
          <w:rFonts w:hint="eastAsia"/>
          <w:color w:val="auto"/>
        </w:rPr>
        <w:t>年</w:t>
      </w:r>
      <w:r>
        <w:rPr>
          <w:color w:val="auto"/>
          <w:kern w:val="0"/>
          <w:szCs w:val="24"/>
        </w:rPr>
        <w:t>属于</w:t>
      </w:r>
      <w:r>
        <w:rPr>
          <w:rFonts w:hint="eastAsia"/>
          <w:color w:val="auto"/>
          <w:kern w:val="0"/>
          <w:szCs w:val="24"/>
        </w:rPr>
        <w:t>环境空气</w:t>
      </w:r>
      <w:r>
        <w:rPr>
          <w:rFonts w:hint="eastAsia"/>
          <w:color w:val="auto"/>
          <w:kern w:val="0"/>
          <w:szCs w:val="24"/>
          <w:lang w:eastAsia="zh-CN"/>
        </w:rPr>
        <w:t>质量</w:t>
      </w:r>
      <w:r>
        <w:rPr>
          <w:color w:val="auto"/>
          <w:kern w:val="0"/>
          <w:szCs w:val="24"/>
        </w:rPr>
        <w:t>达标区</w:t>
      </w:r>
      <w:r>
        <w:rPr>
          <w:rFonts w:hint="eastAsia"/>
          <w:color w:val="auto"/>
          <w:kern w:val="0"/>
          <w:szCs w:val="24"/>
        </w:rPr>
        <w:t>。</w:t>
      </w:r>
    </w:p>
    <w:p w14:paraId="73ED132C">
      <w:pPr>
        <w:pStyle w:val="6"/>
        <w:numPr>
          <w:ilvl w:val="0"/>
          <w:numId w:val="0"/>
        </w:numPr>
        <w:spacing w:line="360" w:lineRule="auto"/>
        <w:rPr>
          <w:color w:val="auto"/>
        </w:rPr>
      </w:pPr>
      <w:r>
        <w:rPr>
          <w:color w:val="auto"/>
        </w:rPr>
        <w:t>4.2.</w:t>
      </w:r>
      <w:r>
        <w:rPr>
          <w:rFonts w:hint="eastAsia"/>
          <w:color w:val="auto"/>
        </w:rPr>
        <w:t>1</w:t>
      </w:r>
      <w:r>
        <w:rPr>
          <w:color w:val="auto"/>
        </w:rPr>
        <w:t>.</w:t>
      </w:r>
      <w:r>
        <w:rPr>
          <w:color w:val="auto"/>
          <w:lang w:val="en-US"/>
        </w:rPr>
        <w:t>2</w:t>
      </w:r>
      <w:r>
        <w:rPr>
          <w:rFonts w:hint="eastAsia"/>
          <w:color w:val="auto"/>
        </w:rPr>
        <w:t>环境</w:t>
      </w:r>
      <w:r>
        <w:rPr>
          <w:color w:val="auto"/>
        </w:rPr>
        <w:t>空气质量现状</w:t>
      </w:r>
      <w:r>
        <w:rPr>
          <w:rFonts w:hint="eastAsia"/>
          <w:color w:val="auto"/>
        </w:rPr>
        <w:t>补充监测</w:t>
      </w:r>
    </w:p>
    <w:p w14:paraId="099F89E3">
      <w:pPr>
        <w:pStyle w:val="1985"/>
        <w:spacing w:line="360" w:lineRule="auto"/>
        <w:ind w:firstLine="480"/>
        <w:rPr>
          <w:color w:val="auto"/>
        </w:rPr>
      </w:pPr>
      <w:r>
        <w:rPr>
          <w:rFonts w:hint="eastAsia"/>
          <w:color w:val="auto"/>
        </w:rPr>
        <w:t>为了解项目所在区域环境空气质量现状，</w:t>
      </w:r>
      <w:r>
        <w:rPr>
          <w:color w:val="auto"/>
        </w:rPr>
        <w:t>本次评价引用</w:t>
      </w:r>
      <w:r>
        <w:rPr>
          <w:rFonts w:hint="eastAsia"/>
          <w:color w:val="auto"/>
          <w:lang w:eastAsia="zh-CN"/>
        </w:rPr>
        <w:t>忠</w:t>
      </w:r>
      <w:r>
        <w:rPr>
          <w:rFonts w:hint="eastAsia"/>
          <w:color w:val="auto"/>
        </w:rPr>
        <w:t>县田野环境监测有限公司</w:t>
      </w:r>
      <w:r>
        <w:rPr>
          <w:rFonts w:hint="eastAsia"/>
          <w:color w:val="auto"/>
          <w:lang w:eastAsia="zh-CN"/>
        </w:rPr>
        <w:t>对</w:t>
      </w:r>
      <w:r>
        <w:rPr>
          <w:rFonts w:hint="eastAsia"/>
          <w:color w:val="auto"/>
        </w:rPr>
        <w:t>重庆市忠县乌杨工业园区</w:t>
      </w:r>
      <w:r>
        <w:rPr>
          <w:rFonts w:hint="eastAsia"/>
          <w:color w:val="auto"/>
          <w:lang w:eastAsia="zh-CN"/>
        </w:rPr>
        <w:t>（特瑞新能源 KQ6）和</w:t>
      </w:r>
      <w:r>
        <w:rPr>
          <w:rFonts w:hint="eastAsia"/>
          <w:color w:val="auto"/>
        </w:rPr>
        <w:t>重庆港庆测控技术有限公司对利用3#窑协同处置危险废物项目</w:t>
      </w:r>
      <w:r>
        <w:rPr>
          <w:rFonts w:hint="eastAsia"/>
          <w:color w:val="auto"/>
          <w:lang w:eastAsia="zh-CN"/>
        </w:rPr>
        <w:t>（上坝村</w:t>
      </w:r>
      <w:r>
        <w:rPr>
          <w:rFonts w:hint="eastAsia"/>
          <w:color w:val="auto"/>
          <w:lang w:val="en-US" w:eastAsia="zh-CN"/>
        </w:rPr>
        <w:t>G2</w:t>
      </w:r>
      <w:r>
        <w:rPr>
          <w:rFonts w:hint="eastAsia"/>
          <w:color w:val="auto"/>
          <w:szCs w:val="24"/>
          <w:shd w:val="clear" w:color="auto" w:fill="FFFFFF"/>
          <w:lang w:eastAsia="zh-CN"/>
        </w:rPr>
        <w:t>）</w:t>
      </w:r>
      <w:r>
        <w:rPr>
          <w:rFonts w:hint="eastAsia"/>
          <w:color w:val="auto"/>
        </w:rPr>
        <w:t>的硫化氢、氨、非甲烷总烃、TVOC</w:t>
      </w:r>
      <w:r>
        <w:rPr>
          <w:rFonts w:hint="eastAsia"/>
          <w:color w:val="auto"/>
          <w:lang w:eastAsia="zh-CN"/>
        </w:rPr>
        <w:t>环境质量现状监测数据</w:t>
      </w:r>
      <w:r>
        <w:rPr>
          <w:rFonts w:hint="eastAsia"/>
          <w:color w:val="auto"/>
        </w:rPr>
        <w:t>。</w:t>
      </w:r>
    </w:p>
    <w:p w14:paraId="1F8C4BE8">
      <w:pPr>
        <w:pStyle w:val="1985"/>
        <w:spacing w:line="360" w:lineRule="auto"/>
        <w:ind w:firstLine="480"/>
        <w:rPr>
          <w:color w:val="auto"/>
        </w:rPr>
      </w:pPr>
      <w:r>
        <w:rPr>
          <w:color w:val="auto"/>
        </w:rPr>
        <w:t>（1）</w:t>
      </w:r>
      <w:r>
        <w:rPr>
          <w:rFonts w:hint="eastAsia"/>
          <w:color w:val="auto"/>
        </w:rPr>
        <w:t>监测点位：</w:t>
      </w:r>
      <w:r>
        <w:rPr>
          <w:rFonts w:hint="eastAsia"/>
          <w:color w:val="auto"/>
          <w:lang w:val="en-US" w:eastAsia="zh-CN"/>
        </w:rPr>
        <w:t>G1</w:t>
      </w:r>
      <w:r>
        <w:rPr>
          <w:rFonts w:hint="eastAsia"/>
          <w:color w:val="auto"/>
          <w:lang w:eastAsia="zh-CN"/>
        </w:rPr>
        <w:t>特瑞新能源</w:t>
      </w:r>
      <w:r>
        <w:rPr>
          <w:rFonts w:hint="eastAsia"/>
          <w:color w:val="auto"/>
          <w:szCs w:val="24"/>
          <w:shd w:val="clear" w:color="auto" w:fill="FFFFFF"/>
          <w:lang w:eastAsia="zh-CN"/>
        </w:rPr>
        <w:t>（</w:t>
      </w:r>
      <w:r>
        <w:rPr>
          <w:rFonts w:hint="eastAsia"/>
          <w:color w:val="auto"/>
        </w:rPr>
        <w:t>拟建项目</w:t>
      </w:r>
      <w:r>
        <w:rPr>
          <w:rFonts w:hint="eastAsia"/>
          <w:color w:val="auto"/>
          <w:lang w:eastAsia="zh-CN"/>
        </w:rPr>
        <w:t>东</w:t>
      </w:r>
      <w:r>
        <w:rPr>
          <w:rFonts w:hint="eastAsia"/>
          <w:color w:val="auto"/>
        </w:rPr>
        <w:t>侧约</w:t>
      </w:r>
      <w:r>
        <w:rPr>
          <w:rFonts w:hint="eastAsia"/>
          <w:color w:val="auto"/>
          <w:lang w:val="en-US" w:eastAsia="zh-CN"/>
        </w:rPr>
        <w:t>23</w:t>
      </w:r>
      <w:r>
        <w:rPr>
          <w:color w:val="auto"/>
        </w:rPr>
        <w:t>00m</w:t>
      </w:r>
      <w:r>
        <w:rPr>
          <w:rFonts w:hint="eastAsia"/>
          <w:color w:val="auto"/>
          <w:szCs w:val="24"/>
          <w:shd w:val="clear" w:color="auto" w:fill="FFFFFF"/>
          <w:lang w:eastAsia="zh-CN"/>
        </w:rPr>
        <w:t>）</w:t>
      </w:r>
      <w:r>
        <w:rPr>
          <w:rFonts w:hint="eastAsia"/>
          <w:color w:val="auto"/>
          <w:lang w:eastAsia="zh-CN"/>
        </w:rPr>
        <w:t>和</w:t>
      </w:r>
      <w:r>
        <w:rPr>
          <w:rFonts w:hint="eastAsia"/>
          <w:color w:val="auto"/>
          <w:szCs w:val="24"/>
          <w:shd w:val="clear" w:color="auto" w:fill="FFFFFF"/>
        </w:rPr>
        <w:t>G</w:t>
      </w:r>
      <w:r>
        <w:rPr>
          <w:rFonts w:hint="eastAsia"/>
          <w:color w:val="auto"/>
          <w:szCs w:val="24"/>
          <w:shd w:val="clear" w:color="auto" w:fill="FFFFFF"/>
          <w:lang w:val="en-US" w:eastAsia="zh-CN"/>
        </w:rPr>
        <w:t>2</w:t>
      </w:r>
      <w:r>
        <w:rPr>
          <w:rFonts w:hint="eastAsia"/>
          <w:color w:val="auto"/>
          <w:szCs w:val="24"/>
          <w:shd w:val="clear" w:color="auto" w:fill="FFFFFF"/>
          <w:lang w:eastAsia="zh-CN"/>
        </w:rPr>
        <w:t>上坝村（</w:t>
      </w:r>
      <w:r>
        <w:rPr>
          <w:rFonts w:hint="eastAsia"/>
          <w:color w:val="auto"/>
        </w:rPr>
        <w:t>拟建项目</w:t>
      </w:r>
      <w:r>
        <w:rPr>
          <w:rFonts w:hint="eastAsia"/>
          <w:color w:val="auto"/>
          <w:lang w:eastAsia="zh-CN"/>
        </w:rPr>
        <w:t>西南</w:t>
      </w:r>
      <w:r>
        <w:rPr>
          <w:rFonts w:hint="eastAsia"/>
          <w:color w:val="auto"/>
        </w:rPr>
        <w:t>侧约</w:t>
      </w:r>
      <w:r>
        <w:rPr>
          <w:rFonts w:hint="eastAsia"/>
          <w:color w:val="auto"/>
          <w:lang w:val="en-US" w:eastAsia="zh-CN"/>
        </w:rPr>
        <w:t>25</w:t>
      </w:r>
      <w:r>
        <w:rPr>
          <w:color w:val="auto"/>
        </w:rPr>
        <w:t>00m</w:t>
      </w:r>
      <w:r>
        <w:rPr>
          <w:rFonts w:hint="eastAsia"/>
          <w:color w:val="auto"/>
          <w:szCs w:val="24"/>
          <w:shd w:val="clear" w:color="auto" w:fill="FFFFFF"/>
          <w:lang w:eastAsia="zh-CN"/>
        </w:rPr>
        <w:t>）</w:t>
      </w:r>
      <w:r>
        <w:rPr>
          <w:rFonts w:hint="eastAsia"/>
          <w:color w:val="auto"/>
        </w:rPr>
        <w:t>。</w:t>
      </w:r>
    </w:p>
    <w:p w14:paraId="5DC7BBC3">
      <w:pPr>
        <w:pStyle w:val="1985"/>
        <w:spacing w:line="360" w:lineRule="auto"/>
        <w:ind w:firstLine="480"/>
        <w:rPr>
          <w:color w:val="auto"/>
        </w:rPr>
      </w:pPr>
      <w:r>
        <w:rPr>
          <w:color w:val="auto"/>
        </w:rPr>
        <w:t>（2）监测项目</w:t>
      </w:r>
      <w:r>
        <w:rPr>
          <w:rFonts w:hint="eastAsia"/>
          <w:color w:val="auto"/>
        </w:rPr>
        <w:t>：氨、硫化氢、非甲烷总烃</w:t>
      </w:r>
      <w:r>
        <w:rPr>
          <w:color w:val="auto"/>
        </w:rPr>
        <w:t>。</w:t>
      </w:r>
    </w:p>
    <w:p w14:paraId="178ED079">
      <w:pPr>
        <w:pStyle w:val="1985"/>
        <w:spacing w:line="360" w:lineRule="auto"/>
        <w:ind w:firstLine="480"/>
        <w:rPr>
          <w:rFonts w:hAnsi="宋体"/>
          <w:color w:val="auto"/>
        </w:rPr>
      </w:pPr>
      <w:r>
        <w:rPr>
          <w:color w:val="auto"/>
        </w:rPr>
        <w:t>（3）监测时间与频次</w:t>
      </w:r>
      <w:r>
        <w:rPr>
          <w:rFonts w:hint="eastAsia"/>
          <w:color w:val="auto"/>
        </w:rPr>
        <w:t>：202</w:t>
      </w:r>
      <w:r>
        <w:rPr>
          <w:rFonts w:hint="eastAsia"/>
          <w:color w:val="auto"/>
          <w:lang w:val="en-US" w:eastAsia="zh-CN"/>
        </w:rPr>
        <w:t>3</w:t>
      </w:r>
      <w:r>
        <w:rPr>
          <w:rFonts w:hint="eastAsia"/>
          <w:color w:val="auto"/>
        </w:rPr>
        <w:t>年</w:t>
      </w:r>
      <w:r>
        <w:rPr>
          <w:rFonts w:hint="eastAsia"/>
          <w:color w:val="auto"/>
          <w:lang w:val="en-US" w:eastAsia="zh-CN"/>
        </w:rPr>
        <w:t>6</w:t>
      </w:r>
      <w:r>
        <w:rPr>
          <w:rFonts w:hint="eastAsia"/>
          <w:color w:val="auto"/>
        </w:rPr>
        <w:t>月</w:t>
      </w:r>
      <w:r>
        <w:rPr>
          <w:rFonts w:hint="eastAsia"/>
          <w:color w:val="auto"/>
          <w:lang w:val="en-US" w:eastAsia="zh-CN"/>
        </w:rPr>
        <w:t>12</w:t>
      </w:r>
      <w:r>
        <w:rPr>
          <w:rFonts w:hint="eastAsia"/>
          <w:color w:val="auto"/>
        </w:rPr>
        <w:t>日</w:t>
      </w:r>
      <w:r>
        <w:rPr>
          <w:rFonts w:hint="eastAsia"/>
          <w:color w:val="auto"/>
          <w:lang w:eastAsia="zh-CN"/>
        </w:rPr>
        <w:t>—</w:t>
      </w:r>
      <w:r>
        <w:rPr>
          <w:rFonts w:hint="eastAsia"/>
          <w:color w:val="auto"/>
        </w:rPr>
        <w:t>202</w:t>
      </w:r>
      <w:r>
        <w:rPr>
          <w:rFonts w:hint="eastAsia"/>
          <w:color w:val="auto"/>
          <w:lang w:val="en-US" w:eastAsia="zh-CN"/>
        </w:rPr>
        <w:t>3</w:t>
      </w:r>
      <w:r>
        <w:rPr>
          <w:rFonts w:hint="eastAsia"/>
          <w:color w:val="auto"/>
        </w:rPr>
        <w:t>年</w:t>
      </w:r>
      <w:r>
        <w:rPr>
          <w:rFonts w:hint="eastAsia"/>
          <w:color w:val="auto"/>
          <w:lang w:val="en-US" w:eastAsia="zh-CN"/>
        </w:rPr>
        <w:t>6</w:t>
      </w:r>
      <w:r>
        <w:rPr>
          <w:rFonts w:hint="eastAsia"/>
          <w:color w:val="auto"/>
        </w:rPr>
        <w:t>月</w:t>
      </w:r>
      <w:r>
        <w:rPr>
          <w:rFonts w:hint="eastAsia"/>
          <w:color w:val="auto"/>
          <w:lang w:val="en-US" w:eastAsia="zh-CN"/>
        </w:rPr>
        <w:t>18日</w:t>
      </w:r>
      <w:r>
        <w:rPr>
          <w:rFonts w:hint="eastAsia"/>
          <w:color w:val="auto"/>
          <w:lang w:eastAsia="zh-CN"/>
        </w:rPr>
        <w:t>，</w:t>
      </w:r>
      <w:r>
        <w:rPr>
          <w:rFonts w:hint="eastAsia"/>
          <w:color w:val="auto"/>
        </w:rPr>
        <w:t>2024年1月16日</w:t>
      </w:r>
      <w:r>
        <w:rPr>
          <w:rFonts w:hint="eastAsia"/>
          <w:color w:val="auto"/>
          <w:lang w:eastAsia="zh-CN"/>
        </w:rPr>
        <w:t>—</w:t>
      </w:r>
      <w:r>
        <w:rPr>
          <w:rFonts w:hint="eastAsia"/>
          <w:color w:val="auto"/>
        </w:rPr>
        <w:t>2024年1月23</w:t>
      </w:r>
      <w:r>
        <w:rPr>
          <w:rFonts w:hint="eastAsia"/>
          <w:color w:val="auto"/>
          <w:lang w:eastAsia="zh-CN"/>
        </w:rPr>
        <w:t>日</w:t>
      </w:r>
      <w:r>
        <w:rPr>
          <w:rFonts w:hint="eastAsia"/>
          <w:color w:val="auto"/>
        </w:rPr>
        <w:t>，</w:t>
      </w:r>
      <w:r>
        <w:rPr>
          <w:rFonts w:hint="eastAsia" w:hAnsi="宋体"/>
          <w:color w:val="auto"/>
        </w:rPr>
        <w:t>连续7天</w:t>
      </w:r>
      <w:r>
        <w:rPr>
          <w:rFonts w:hint="eastAsia"/>
          <w:color w:val="auto"/>
        </w:rPr>
        <w:t>，氨、硫化氢、非甲烷总烃每天采样4次取平均值，TVOC每天采样8次取平均值</w:t>
      </w:r>
      <w:r>
        <w:rPr>
          <w:rFonts w:hint="eastAsia" w:hAnsi="宋体"/>
          <w:color w:val="auto"/>
        </w:rPr>
        <w:t>。</w:t>
      </w:r>
    </w:p>
    <w:p w14:paraId="4AB71534">
      <w:pPr>
        <w:pStyle w:val="1985"/>
        <w:spacing w:line="360" w:lineRule="auto"/>
        <w:ind w:firstLine="480"/>
        <w:rPr>
          <w:color w:val="auto"/>
        </w:rPr>
      </w:pPr>
      <w:r>
        <w:rPr>
          <w:color w:val="auto"/>
        </w:rPr>
        <w:t>（4）监测结果</w:t>
      </w:r>
    </w:p>
    <w:p w14:paraId="4B357300">
      <w:pPr>
        <w:pStyle w:val="1985"/>
        <w:spacing w:line="360" w:lineRule="auto"/>
        <w:ind w:firstLine="480"/>
        <w:rPr>
          <w:color w:val="auto"/>
        </w:rPr>
      </w:pPr>
      <w:r>
        <w:rPr>
          <w:color w:val="auto"/>
        </w:rPr>
        <w:t>环境空气质量监测结果见表4.2-2。</w:t>
      </w:r>
    </w:p>
    <w:p w14:paraId="62DA45FD">
      <w:pPr>
        <w:pStyle w:val="1985"/>
        <w:spacing w:line="360" w:lineRule="auto"/>
        <w:ind w:firstLine="480"/>
        <w:rPr>
          <w:color w:val="auto"/>
        </w:rPr>
      </w:pPr>
      <w:r>
        <w:rPr>
          <w:color w:val="auto"/>
        </w:rPr>
        <w:t>（5）监测分析方法</w:t>
      </w:r>
    </w:p>
    <w:p w14:paraId="6433FE09">
      <w:pPr>
        <w:pStyle w:val="1985"/>
        <w:spacing w:line="360" w:lineRule="auto"/>
        <w:ind w:firstLine="480"/>
        <w:rPr>
          <w:color w:val="auto"/>
        </w:rPr>
      </w:pPr>
      <w:r>
        <w:rPr>
          <w:color w:val="auto"/>
        </w:rPr>
        <w:t>按现行环境监测分析方法进行。</w:t>
      </w:r>
    </w:p>
    <w:p w14:paraId="1E2D459D">
      <w:pPr>
        <w:pStyle w:val="1985"/>
        <w:spacing w:line="360" w:lineRule="auto"/>
        <w:ind w:firstLine="480"/>
        <w:rPr>
          <w:color w:val="auto"/>
        </w:rPr>
      </w:pPr>
      <w:r>
        <w:rPr>
          <w:color w:val="auto"/>
        </w:rPr>
        <w:t>（6）评价方法</w:t>
      </w:r>
    </w:p>
    <w:p w14:paraId="35A88807">
      <w:pPr>
        <w:spacing w:line="360" w:lineRule="auto"/>
        <w:ind w:firstLine="480"/>
        <w:rPr>
          <w:color w:val="auto"/>
          <w:szCs w:val="24"/>
        </w:rPr>
      </w:pPr>
      <w:r>
        <w:rPr>
          <w:color w:val="auto"/>
          <w:szCs w:val="24"/>
        </w:rPr>
        <w:t>采用最大地面浓度占标率对环境空气质量进行现状评价。</w:t>
      </w:r>
    </w:p>
    <w:p w14:paraId="22A477C7">
      <w:pPr>
        <w:spacing w:line="360" w:lineRule="auto"/>
        <w:ind w:firstLine="480"/>
        <w:rPr>
          <w:color w:val="auto"/>
          <w:szCs w:val="24"/>
        </w:rPr>
      </w:pPr>
      <w:r>
        <w:rPr>
          <w:color w:val="auto"/>
          <w:szCs w:val="24"/>
        </w:rPr>
        <w:t>其计算公式为：</w:t>
      </w:r>
    </w:p>
    <w:p w14:paraId="69F7AD05">
      <w:pPr>
        <w:spacing w:line="360" w:lineRule="auto"/>
        <w:ind w:firstLine="480"/>
        <w:jc w:val="center"/>
        <w:rPr>
          <w:color w:val="auto"/>
          <w:szCs w:val="24"/>
        </w:rPr>
      </w:pPr>
      <w:r>
        <w:rPr>
          <w:color w:val="auto"/>
          <w:szCs w:val="24"/>
        </w:rPr>
        <w:t>P</w:t>
      </w:r>
      <w:r>
        <w:rPr>
          <w:color w:val="auto"/>
          <w:szCs w:val="24"/>
          <w:vertAlign w:val="subscript"/>
        </w:rPr>
        <w:t>i</w:t>
      </w:r>
      <w:r>
        <w:rPr>
          <w:color w:val="auto"/>
          <w:szCs w:val="24"/>
        </w:rPr>
        <w:t>=C</w:t>
      </w:r>
      <w:r>
        <w:rPr>
          <w:color w:val="auto"/>
          <w:szCs w:val="24"/>
          <w:vertAlign w:val="subscript"/>
        </w:rPr>
        <w:t>i</w:t>
      </w:r>
      <w:r>
        <w:rPr>
          <w:color w:val="auto"/>
          <w:szCs w:val="24"/>
        </w:rPr>
        <w:t>÷C</w:t>
      </w:r>
      <w:r>
        <w:rPr>
          <w:color w:val="auto"/>
          <w:szCs w:val="24"/>
          <w:vertAlign w:val="subscript"/>
        </w:rPr>
        <w:t>oi</w:t>
      </w:r>
      <w:r>
        <w:rPr>
          <w:color w:val="auto"/>
          <w:szCs w:val="24"/>
        </w:rPr>
        <w:t>×100%</w:t>
      </w:r>
    </w:p>
    <w:p w14:paraId="2C14FE2D">
      <w:pPr>
        <w:spacing w:line="360" w:lineRule="auto"/>
        <w:ind w:firstLine="480"/>
        <w:rPr>
          <w:color w:val="auto"/>
          <w:szCs w:val="24"/>
        </w:rPr>
      </w:pPr>
      <w:r>
        <w:rPr>
          <w:color w:val="auto"/>
          <w:szCs w:val="24"/>
        </w:rPr>
        <w:t>式中：P</w:t>
      </w:r>
      <w:r>
        <w:rPr>
          <w:color w:val="auto"/>
          <w:szCs w:val="24"/>
          <w:vertAlign w:val="subscript"/>
        </w:rPr>
        <w:t>i</w:t>
      </w:r>
      <w:r>
        <w:rPr>
          <w:color w:val="auto"/>
          <w:szCs w:val="24"/>
        </w:rPr>
        <w:t>—最大地面浓度占标率，%；</w:t>
      </w:r>
    </w:p>
    <w:p w14:paraId="020546F6">
      <w:pPr>
        <w:spacing w:line="360" w:lineRule="auto"/>
        <w:ind w:firstLine="480"/>
        <w:rPr>
          <w:color w:val="auto"/>
          <w:szCs w:val="24"/>
        </w:rPr>
      </w:pPr>
      <w:r>
        <w:rPr>
          <w:color w:val="auto"/>
          <w:szCs w:val="24"/>
        </w:rPr>
        <w:t xml:space="preserve">      C</w:t>
      </w:r>
      <w:r>
        <w:rPr>
          <w:color w:val="auto"/>
          <w:szCs w:val="24"/>
          <w:vertAlign w:val="subscript"/>
        </w:rPr>
        <w:t>i</w:t>
      </w:r>
      <w:r>
        <w:rPr>
          <w:color w:val="auto"/>
          <w:szCs w:val="24"/>
        </w:rPr>
        <w:t>—污染物最大地面浓度，mg/m</w:t>
      </w:r>
      <w:r>
        <w:rPr>
          <w:color w:val="auto"/>
          <w:szCs w:val="24"/>
          <w:vertAlign w:val="superscript"/>
        </w:rPr>
        <w:t>3</w:t>
      </w:r>
      <w:r>
        <w:rPr>
          <w:color w:val="auto"/>
          <w:szCs w:val="24"/>
        </w:rPr>
        <w:t>；</w:t>
      </w:r>
    </w:p>
    <w:p w14:paraId="0B35D825">
      <w:pPr>
        <w:spacing w:line="360" w:lineRule="auto"/>
        <w:ind w:firstLine="1200" w:firstLineChars="500"/>
        <w:rPr>
          <w:color w:val="auto"/>
          <w:szCs w:val="24"/>
        </w:rPr>
      </w:pPr>
      <w:r>
        <w:rPr>
          <w:color w:val="auto"/>
          <w:szCs w:val="24"/>
        </w:rPr>
        <w:t>C</w:t>
      </w:r>
      <w:r>
        <w:rPr>
          <w:color w:val="auto"/>
          <w:szCs w:val="24"/>
          <w:vertAlign w:val="subscript"/>
        </w:rPr>
        <w:t>oi</w:t>
      </w:r>
      <w:r>
        <w:rPr>
          <w:color w:val="auto"/>
          <w:szCs w:val="24"/>
        </w:rPr>
        <w:t>—环境空气质量标准，mg/m</w:t>
      </w:r>
      <w:r>
        <w:rPr>
          <w:color w:val="auto"/>
          <w:szCs w:val="24"/>
          <w:vertAlign w:val="superscript"/>
        </w:rPr>
        <w:t>3</w:t>
      </w:r>
      <w:r>
        <w:rPr>
          <w:color w:val="auto"/>
          <w:szCs w:val="24"/>
        </w:rPr>
        <w:t>。</w:t>
      </w:r>
    </w:p>
    <w:p w14:paraId="4D96E5B2">
      <w:pPr>
        <w:pStyle w:val="183"/>
        <w:rPr>
          <w:color w:val="auto"/>
          <w:vertAlign w:val="superscript"/>
        </w:rPr>
      </w:pPr>
      <w:r>
        <w:rPr>
          <w:rFonts w:hint="eastAsia"/>
          <w:color w:val="auto"/>
        </w:rPr>
        <w:t>表</w:t>
      </w:r>
      <w:r>
        <w:rPr>
          <w:color w:val="auto"/>
        </w:rPr>
        <w:t>4.2-2   环境空气监测统计一览表  mg/m</w:t>
      </w:r>
      <w:r>
        <w:rPr>
          <w:color w:val="auto"/>
          <w:vertAlign w:val="superscript"/>
        </w:rPr>
        <w:t>3</w:t>
      </w:r>
    </w:p>
    <w:tbl>
      <w:tblPr>
        <w:tblStyle w:val="88"/>
        <w:tblW w:w="499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38"/>
        <w:gridCol w:w="2166"/>
        <w:gridCol w:w="1374"/>
        <w:gridCol w:w="2"/>
        <w:gridCol w:w="1470"/>
        <w:gridCol w:w="2"/>
        <w:gridCol w:w="1517"/>
        <w:gridCol w:w="1810"/>
      </w:tblGrid>
      <w:tr w14:paraId="13E22A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jc w:val="center"/>
        </w:trPr>
        <w:tc>
          <w:tcPr>
            <w:tcW w:w="1673" w:type="pct"/>
            <w:gridSpan w:val="2"/>
            <w:vMerge w:val="restart"/>
            <w:vAlign w:val="center"/>
          </w:tcPr>
          <w:p w14:paraId="7A852B3D">
            <w:pPr>
              <w:widowControl/>
              <w:spacing w:line="320" w:lineRule="exact"/>
              <w:ind w:firstLine="0" w:firstLineChars="0"/>
              <w:jc w:val="center"/>
              <w:rPr>
                <w:color w:val="auto"/>
                <w:sz w:val="21"/>
                <w:szCs w:val="21"/>
              </w:rPr>
            </w:pPr>
            <w:r>
              <w:rPr>
                <w:rFonts w:hint="eastAsia" w:hAnsi="宋体"/>
                <w:color w:val="auto"/>
                <w:sz w:val="21"/>
                <w:szCs w:val="21"/>
              </w:rPr>
              <w:t>监测项目</w:t>
            </w:r>
          </w:p>
        </w:tc>
        <w:tc>
          <w:tcPr>
            <w:tcW w:w="2351" w:type="pct"/>
            <w:gridSpan w:val="5"/>
            <w:vAlign w:val="center"/>
          </w:tcPr>
          <w:p w14:paraId="64873692">
            <w:pPr>
              <w:spacing w:line="320" w:lineRule="exact"/>
              <w:ind w:firstLine="0" w:firstLineChars="0"/>
              <w:jc w:val="center"/>
              <w:rPr>
                <w:color w:val="auto"/>
                <w:sz w:val="21"/>
                <w:szCs w:val="21"/>
              </w:rPr>
            </w:pPr>
            <w:r>
              <w:rPr>
                <w:rFonts w:hint="eastAsia"/>
                <w:color w:val="auto"/>
                <w:sz w:val="21"/>
                <w:szCs w:val="21"/>
              </w:rPr>
              <w:t>1</w:t>
            </w:r>
            <w:r>
              <w:rPr>
                <w:rFonts w:hint="eastAsia" w:hAnsi="宋体"/>
                <w:color w:val="auto"/>
                <w:sz w:val="21"/>
                <w:szCs w:val="21"/>
              </w:rPr>
              <w:t>小时平均浓度</w:t>
            </w:r>
          </w:p>
        </w:tc>
        <w:tc>
          <w:tcPr>
            <w:tcW w:w="975" w:type="pct"/>
            <w:vAlign w:val="center"/>
          </w:tcPr>
          <w:p w14:paraId="1AB95F10">
            <w:pPr>
              <w:spacing w:line="320" w:lineRule="exact"/>
              <w:ind w:firstLine="0" w:firstLineChars="0"/>
              <w:jc w:val="center"/>
              <w:rPr>
                <w:color w:val="auto"/>
                <w:sz w:val="21"/>
                <w:szCs w:val="21"/>
              </w:rPr>
            </w:pPr>
            <w:r>
              <w:rPr>
                <w:rFonts w:hint="eastAsia"/>
                <w:color w:val="auto"/>
                <w:sz w:val="21"/>
                <w:szCs w:val="21"/>
              </w:rPr>
              <w:t>8小时平均浓度</w:t>
            </w:r>
          </w:p>
        </w:tc>
      </w:tr>
      <w:tr w14:paraId="2AEADD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jc w:val="center"/>
        </w:trPr>
        <w:tc>
          <w:tcPr>
            <w:tcW w:w="1673" w:type="pct"/>
            <w:gridSpan w:val="2"/>
            <w:vMerge w:val="continue"/>
            <w:vAlign w:val="center"/>
          </w:tcPr>
          <w:p w14:paraId="70C33EE7">
            <w:pPr>
              <w:widowControl/>
              <w:spacing w:line="320" w:lineRule="exact"/>
              <w:ind w:firstLine="0" w:firstLineChars="0"/>
              <w:jc w:val="center"/>
              <w:rPr>
                <w:color w:val="auto"/>
                <w:sz w:val="21"/>
                <w:szCs w:val="21"/>
              </w:rPr>
            </w:pPr>
          </w:p>
        </w:tc>
        <w:tc>
          <w:tcPr>
            <w:tcW w:w="740" w:type="pct"/>
            <w:vAlign w:val="center"/>
          </w:tcPr>
          <w:p w14:paraId="41AE411C">
            <w:pPr>
              <w:spacing w:line="320" w:lineRule="exact"/>
              <w:ind w:firstLine="0" w:firstLineChars="0"/>
              <w:jc w:val="center"/>
              <w:rPr>
                <w:color w:val="auto"/>
                <w:sz w:val="21"/>
                <w:szCs w:val="21"/>
              </w:rPr>
            </w:pPr>
            <w:r>
              <w:rPr>
                <w:rFonts w:hint="eastAsia"/>
                <w:color w:val="auto"/>
                <w:sz w:val="21"/>
                <w:szCs w:val="21"/>
              </w:rPr>
              <w:t>NH</w:t>
            </w:r>
            <w:r>
              <w:rPr>
                <w:rFonts w:hint="eastAsia"/>
                <w:color w:val="auto"/>
                <w:sz w:val="21"/>
                <w:szCs w:val="21"/>
                <w:vertAlign w:val="subscript"/>
              </w:rPr>
              <w:t>3</w:t>
            </w:r>
          </w:p>
        </w:tc>
        <w:tc>
          <w:tcPr>
            <w:tcW w:w="793" w:type="pct"/>
            <w:gridSpan w:val="2"/>
            <w:vAlign w:val="center"/>
          </w:tcPr>
          <w:p w14:paraId="76A62169">
            <w:pPr>
              <w:spacing w:line="320" w:lineRule="exact"/>
              <w:ind w:firstLine="0" w:firstLineChars="0"/>
              <w:jc w:val="center"/>
              <w:rPr>
                <w:color w:val="auto"/>
                <w:sz w:val="21"/>
                <w:szCs w:val="21"/>
              </w:rPr>
            </w:pPr>
            <w:r>
              <w:rPr>
                <w:rFonts w:hint="eastAsia"/>
                <w:color w:val="auto"/>
                <w:sz w:val="21"/>
                <w:szCs w:val="21"/>
              </w:rPr>
              <w:t>H</w:t>
            </w:r>
            <w:r>
              <w:rPr>
                <w:rFonts w:hint="eastAsia"/>
                <w:color w:val="auto"/>
                <w:sz w:val="21"/>
                <w:szCs w:val="21"/>
                <w:vertAlign w:val="subscript"/>
              </w:rPr>
              <w:t>2</w:t>
            </w:r>
            <w:r>
              <w:rPr>
                <w:rFonts w:hint="eastAsia"/>
                <w:color w:val="auto"/>
                <w:sz w:val="21"/>
                <w:szCs w:val="21"/>
              </w:rPr>
              <w:t>S</w:t>
            </w:r>
          </w:p>
        </w:tc>
        <w:tc>
          <w:tcPr>
            <w:tcW w:w="817" w:type="pct"/>
            <w:gridSpan w:val="2"/>
            <w:vAlign w:val="center"/>
          </w:tcPr>
          <w:p w14:paraId="5ECA4706">
            <w:pPr>
              <w:spacing w:line="320" w:lineRule="exact"/>
              <w:ind w:firstLine="0" w:firstLineChars="0"/>
              <w:jc w:val="center"/>
              <w:rPr>
                <w:color w:val="auto"/>
                <w:sz w:val="21"/>
                <w:szCs w:val="21"/>
              </w:rPr>
            </w:pPr>
            <w:r>
              <w:rPr>
                <w:rFonts w:hint="eastAsia"/>
                <w:color w:val="auto"/>
                <w:sz w:val="21"/>
                <w:szCs w:val="21"/>
              </w:rPr>
              <w:t>非甲烷总烃</w:t>
            </w:r>
          </w:p>
        </w:tc>
        <w:tc>
          <w:tcPr>
            <w:tcW w:w="975" w:type="pct"/>
            <w:vAlign w:val="center"/>
          </w:tcPr>
          <w:p w14:paraId="606DD633">
            <w:pPr>
              <w:spacing w:line="320" w:lineRule="exact"/>
              <w:ind w:firstLine="0" w:firstLineChars="0"/>
              <w:jc w:val="center"/>
              <w:rPr>
                <w:color w:val="auto"/>
                <w:sz w:val="21"/>
                <w:szCs w:val="21"/>
              </w:rPr>
            </w:pPr>
            <w:r>
              <w:rPr>
                <w:rFonts w:hint="eastAsia"/>
                <w:color w:val="auto"/>
                <w:sz w:val="21"/>
                <w:szCs w:val="21"/>
              </w:rPr>
              <w:t>TVOC</w:t>
            </w:r>
          </w:p>
        </w:tc>
      </w:tr>
      <w:tr w14:paraId="4CBA90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jc w:val="center"/>
        </w:trPr>
        <w:tc>
          <w:tcPr>
            <w:tcW w:w="506" w:type="pct"/>
            <w:vMerge w:val="restart"/>
            <w:vAlign w:val="center"/>
          </w:tcPr>
          <w:p w14:paraId="50140507">
            <w:pPr>
              <w:spacing w:line="320" w:lineRule="exact"/>
              <w:ind w:firstLine="0" w:firstLineChars="0"/>
              <w:jc w:val="center"/>
              <w:rPr>
                <w:rFonts w:hint="eastAsia" w:eastAsia="宋体"/>
                <w:color w:val="auto"/>
                <w:sz w:val="21"/>
                <w:szCs w:val="21"/>
                <w:lang w:eastAsia="zh-CN"/>
              </w:rPr>
            </w:pPr>
            <w:r>
              <w:rPr>
                <w:rFonts w:hint="eastAsia"/>
                <w:color w:val="auto"/>
                <w:sz w:val="21"/>
                <w:szCs w:val="21"/>
              </w:rPr>
              <w:t>G</w:t>
            </w:r>
            <w:r>
              <w:rPr>
                <w:rFonts w:hint="eastAsia"/>
                <w:color w:val="auto"/>
                <w:sz w:val="21"/>
                <w:szCs w:val="21"/>
                <w:lang w:val="en-US" w:eastAsia="zh-CN"/>
              </w:rPr>
              <w:t>1</w:t>
            </w:r>
            <w:r>
              <w:rPr>
                <w:rFonts w:hint="eastAsia"/>
                <w:color w:val="auto"/>
                <w:sz w:val="21"/>
                <w:szCs w:val="21"/>
                <w:lang w:eastAsia="zh-CN"/>
              </w:rPr>
              <w:t>特瑞新能源</w:t>
            </w:r>
          </w:p>
        </w:tc>
        <w:tc>
          <w:tcPr>
            <w:tcW w:w="1167" w:type="pct"/>
            <w:vAlign w:val="center"/>
          </w:tcPr>
          <w:p w14:paraId="0A733DA6">
            <w:pPr>
              <w:spacing w:line="320" w:lineRule="exact"/>
              <w:ind w:firstLine="0" w:firstLineChars="0"/>
              <w:jc w:val="center"/>
              <w:rPr>
                <w:color w:val="auto"/>
                <w:sz w:val="21"/>
                <w:szCs w:val="21"/>
              </w:rPr>
            </w:pPr>
            <w:r>
              <w:rPr>
                <w:rFonts w:hint="eastAsia" w:hAnsi="宋体"/>
                <w:color w:val="auto"/>
                <w:sz w:val="21"/>
                <w:szCs w:val="21"/>
              </w:rPr>
              <w:t>监测值，</w:t>
            </w:r>
            <w:r>
              <w:rPr>
                <w:rFonts w:hint="eastAsia"/>
                <w:color w:val="auto"/>
                <w:sz w:val="21"/>
                <w:szCs w:val="21"/>
              </w:rPr>
              <w:t>mg/m</w:t>
            </w:r>
            <w:r>
              <w:rPr>
                <w:rFonts w:hint="eastAsia"/>
                <w:color w:val="auto"/>
                <w:sz w:val="21"/>
                <w:szCs w:val="21"/>
                <w:vertAlign w:val="superscript"/>
              </w:rPr>
              <w:t>3</w:t>
            </w:r>
          </w:p>
        </w:tc>
        <w:tc>
          <w:tcPr>
            <w:tcW w:w="740" w:type="pct"/>
            <w:vAlign w:val="center"/>
          </w:tcPr>
          <w:p w14:paraId="70710F1D">
            <w:pPr>
              <w:spacing w:line="320" w:lineRule="exact"/>
              <w:ind w:firstLine="0" w:firstLineChars="0"/>
              <w:jc w:val="center"/>
              <w:rPr>
                <w:rFonts w:hint="default" w:eastAsia="宋体"/>
                <w:color w:val="auto"/>
                <w:sz w:val="21"/>
                <w:szCs w:val="21"/>
                <w:lang w:val="en-US" w:eastAsia="zh-CN"/>
              </w:rPr>
            </w:pPr>
            <w:r>
              <w:rPr>
                <w:rFonts w:hint="eastAsia"/>
                <w:color w:val="auto"/>
                <w:sz w:val="21"/>
                <w:szCs w:val="21"/>
              </w:rPr>
              <w:t>0.</w:t>
            </w:r>
            <w:r>
              <w:rPr>
                <w:rFonts w:hint="eastAsia"/>
                <w:color w:val="auto"/>
                <w:sz w:val="21"/>
                <w:szCs w:val="21"/>
                <w:lang w:val="en-US" w:eastAsia="zh-CN"/>
              </w:rPr>
              <w:t>14</w:t>
            </w:r>
            <w:r>
              <w:rPr>
                <w:rFonts w:hint="eastAsia"/>
                <w:color w:val="auto"/>
                <w:sz w:val="21"/>
                <w:szCs w:val="21"/>
              </w:rPr>
              <w:t>~0.</w:t>
            </w:r>
            <w:r>
              <w:rPr>
                <w:rFonts w:hint="eastAsia"/>
                <w:color w:val="auto"/>
                <w:sz w:val="21"/>
                <w:szCs w:val="21"/>
                <w:lang w:val="en-US" w:eastAsia="zh-CN"/>
              </w:rPr>
              <w:t>15</w:t>
            </w:r>
          </w:p>
        </w:tc>
        <w:tc>
          <w:tcPr>
            <w:tcW w:w="793" w:type="pct"/>
            <w:gridSpan w:val="2"/>
            <w:vAlign w:val="center"/>
          </w:tcPr>
          <w:p w14:paraId="75CD8777">
            <w:pPr>
              <w:spacing w:line="320" w:lineRule="exact"/>
              <w:ind w:firstLine="0" w:firstLineChars="0"/>
              <w:jc w:val="center"/>
              <w:rPr>
                <w:color w:val="auto"/>
                <w:sz w:val="21"/>
                <w:szCs w:val="21"/>
              </w:rPr>
            </w:pPr>
            <w:r>
              <w:rPr>
                <w:rFonts w:hint="eastAsia"/>
                <w:color w:val="auto"/>
                <w:sz w:val="21"/>
                <w:szCs w:val="21"/>
              </w:rPr>
              <w:t>/</w:t>
            </w:r>
          </w:p>
        </w:tc>
        <w:tc>
          <w:tcPr>
            <w:tcW w:w="817" w:type="pct"/>
            <w:gridSpan w:val="2"/>
            <w:vAlign w:val="center"/>
          </w:tcPr>
          <w:p w14:paraId="3F83B3CE">
            <w:pPr>
              <w:spacing w:line="320" w:lineRule="exact"/>
              <w:ind w:firstLine="0" w:firstLineChars="0"/>
              <w:jc w:val="center"/>
              <w:rPr>
                <w:rFonts w:hint="default" w:eastAsia="宋体"/>
                <w:color w:val="auto"/>
                <w:sz w:val="21"/>
                <w:szCs w:val="21"/>
                <w:lang w:val="en-US" w:eastAsia="zh-CN"/>
              </w:rPr>
            </w:pPr>
            <w:r>
              <w:rPr>
                <w:rFonts w:hint="eastAsia"/>
                <w:color w:val="auto"/>
                <w:sz w:val="21"/>
                <w:szCs w:val="21"/>
              </w:rPr>
              <w:t>0.2</w:t>
            </w:r>
            <w:r>
              <w:rPr>
                <w:rFonts w:hint="eastAsia"/>
                <w:color w:val="auto"/>
                <w:sz w:val="21"/>
                <w:szCs w:val="21"/>
                <w:lang w:val="en-US" w:eastAsia="zh-CN"/>
              </w:rPr>
              <w:t>7</w:t>
            </w:r>
            <w:r>
              <w:rPr>
                <w:rFonts w:hint="eastAsia"/>
                <w:color w:val="auto"/>
                <w:sz w:val="21"/>
                <w:szCs w:val="21"/>
              </w:rPr>
              <w:t>~0.</w:t>
            </w:r>
            <w:r>
              <w:rPr>
                <w:rFonts w:hint="eastAsia"/>
                <w:color w:val="auto"/>
                <w:sz w:val="21"/>
                <w:szCs w:val="21"/>
                <w:lang w:val="en-US" w:eastAsia="zh-CN"/>
              </w:rPr>
              <w:t>55</w:t>
            </w:r>
          </w:p>
        </w:tc>
        <w:tc>
          <w:tcPr>
            <w:tcW w:w="975" w:type="pct"/>
            <w:vAlign w:val="center"/>
          </w:tcPr>
          <w:p w14:paraId="1D944F17">
            <w:pPr>
              <w:spacing w:line="320" w:lineRule="exact"/>
              <w:ind w:firstLine="0" w:firstLineChars="0"/>
              <w:jc w:val="center"/>
              <w:rPr>
                <w:color w:val="auto"/>
                <w:sz w:val="21"/>
                <w:szCs w:val="21"/>
              </w:rPr>
            </w:pPr>
            <w:r>
              <w:rPr>
                <w:rFonts w:hint="eastAsia"/>
                <w:color w:val="auto"/>
                <w:sz w:val="21"/>
                <w:szCs w:val="21"/>
              </w:rPr>
              <w:t>/</w:t>
            </w:r>
          </w:p>
        </w:tc>
      </w:tr>
      <w:tr w14:paraId="0E7B5D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jc w:val="center"/>
        </w:trPr>
        <w:tc>
          <w:tcPr>
            <w:tcW w:w="506" w:type="pct"/>
            <w:vMerge w:val="continue"/>
            <w:vAlign w:val="center"/>
          </w:tcPr>
          <w:p w14:paraId="0FDA835B">
            <w:pPr>
              <w:widowControl/>
              <w:spacing w:line="320" w:lineRule="exact"/>
              <w:ind w:firstLine="0" w:firstLineChars="0"/>
              <w:jc w:val="center"/>
              <w:rPr>
                <w:color w:val="auto"/>
                <w:sz w:val="21"/>
                <w:szCs w:val="21"/>
              </w:rPr>
            </w:pPr>
          </w:p>
        </w:tc>
        <w:tc>
          <w:tcPr>
            <w:tcW w:w="1167" w:type="pct"/>
            <w:vAlign w:val="center"/>
          </w:tcPr>
          <w:p w14:paraId="3C634B96">
            <w:pPr>
              <w:spacing w:line="320" w:lineRule="exact"/>
              <w:ind w:firstLine="0" w:firstLineChars="0"/>
              <w:jc w:val="center"/>
              <w:rPr>
                <w:color w:val="auto"/>
                <w:sz w:val="21"/>
                <w:szCs w:val="21"/>
              </w:rPr>
            </w:pPr>
            <w:r>
              <w:rPr>
                <w:rFonts w:hint="eastAsia" w:hAnsi="宋体"/>
                <w:color w:val="auto"/>
                <w:sz w:val="21"/>
                <w:szCs w:val="21"/>
              </w:rPr>
              <w:t>最大占标率，</w:t>
            </w:r>
            <w:r>
              <w:rPr>
                <w:rFonts w:hint="eastAsia"/>
                <w:color w:val="auto"/>
                <w:sz w:val="21"/>
                <w:szCs w:val="21"/>
              </w:rPr>
              <w:t>%</w:t>
            </w:r>
          </w:p>
        </w:tc>
        <w:tc>
          <w:tcPr>
            <w:tcW w:w="740" w:type="pct"/>
            <w:vAlign w:val="center"/>
          </w:tcPr>
          <w:p w14:paraId="2F9DE3E1">
            <w:pPr>
              <w:spacing w:line="32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75.0</w:t>
            </w:r>
          </w:p>
        </w:tc>
        <w:tc>
          <w:tcPr>
            <w:tcW w:w="793" w:type="pct"/>
            <w:gridSpan w:val="2"/>
            <w:vAlign w:val="center"/>
          </w:tcPr>
          <w:p w14:paraId="0BCB598C">
            <w:pPr>
              <w:spacing w:line="320" w:lineRule="exact"/>
              <w:ind w:firstLine="0" w:firstLineChars="0"/>
              <w:jc w:val="center"/>
              <w:rPr>
                <w:color w:val="auto"/>
                <w:sz w:val="21"/>
                <w:szCs w:val="21"/>
              </w:rPr>
            </w:pPr>
            <w:r>
              <w:rPr>
                <w:rFonts w:hint="eastAsia"/>
                <w:color w:val="auto"/>
                <w:sz w:val="21"/>
                <w:szCs w:val="21"/>
              </w:rPr>
              <w:t>/</w:t>
            </w:r>
          </w:p>
        </w:tc>
        <w:tc>
          <w:tcPr>
            <w:tcW w:w="817" w:type="pct"/>
            <w:gridSpan w:val="2"/>
            <w:vAlign w:val="center"/>
          </w:tcPr>
          <w:p w14:paraId="02D58597">
            <w:pPr>
              <w:spacing w:line="32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27.5</w:t>
            </w:r>
          </w:p>
        </w:tc>
        <w:tc>
          <w:tcPr>
            <w:tcW w:w="975" w:type="pct"/>
            <w:vAlign w:val="center"/>
          </w:tcPr>
          <w:p w14:paraId="7C1C277A">
            <w:pPr>
              <w:spacing w:line="320" w:lineRule="exact"/>
              <w:ind w:firstLine="0" w:firstLineChars="0"/>
              <w:jc w:val="center"/>
              <w:rPr>
                <w:rFonts w:hint="default" w:eastAsia="宋体"/>
                <w:color w:val="auto"/>
                <w:sz w:val="21"/>
                <w:szCs w:val="21"/>
                <w:lang w:val="en-US" w:eastAsia="zh-CN"/>
              </w:rPr>
            </w:pPr>
            <w:r>
              <w:rPr>
                <w:rFonts w:hint="eastAsia"/>
                <w:color w:val="auto"/>
                <w:sz w:val="21"/>
                <w:szCs w:val="21"/>
              </w:rPr>
              <w:t>/</w:t>
            </w:r>
          </w:p>
        </w:tc>
      </w:tr>
      <w:tr w14:paraId="02389E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jc w:val="center"/>
        </w:trPr>
        <w:tc>
          <w:tcPr>
            <w:tcW w:w="506" w:type="pct"/>
            <w:vMerge w:val="restart"/>
            <w:vAlign w:val="center"/>
          </w:tcPr>
          <w:p w14:paraId="0A2B807F">
            <w:pPr>
              <w:spacing w:line="320" w:lineRule="exact"/>
              <w:ind w:firstLine="0" w:firstLineChars="0"/>
              <w:jc w:val="center"/>
              <w:rPr>
                <w:rFonts w:hint="eastAsia" w:eastAsia="宋体"/>
                <w:color w:val="auto"/>
                <w:sz w:val="21"/>
                <w:szCs w:val="21"/>
                <w:lang w:eastAsia="zh-CN"/>
              </w:rPr>
            </w:pPr>
            <w:r>
              <w:rPr>
                <w:rFonts w:hint="eastAsia"/>
                <w:color w:val="auto"/>
                <w:sz w:val="21"/>
                <w:szCs w:val="21"/>
              </w:rPr>
              <w:t>G</w:t>
            </w:r>
            <w:r>
              <w:rPr>
                <w:rFonts w:hint="eastAsia"/>
                <w:color w:val="auto"/>
                <w:sz w:val="21"/>
                <w:szCs w:val="21"/>
                <w:lang w:val="en-US" w:eastAsia="zh-CN"/>
              </w:rPr>
              <w:t>2</w:t>
            </w:r>
            <w:r>
              <w:rPr>
                <w:rFonts w:hint="eastAsia"/>
                <w:color w:val="auto"/>
                <w:sz w:val="21"/>
                <w:szCs w:val="21"/>
                <w:lang w:eastAsia="zh-CN"/>
              </w:rPr>
              <w:t>上坝村</w:t>
            </w:r>
          </w:p>
        </w:tc>
        <w:tc>
          <w:tcPr>
            <w:tcW w:w="1167" w:type="pct"/>
            <w:vAlign w:val="center"/>
          </w:tcPr>
          <w:p w14:paraId="64B16ACB">
            <w:pPr>
              <w:spacing w:line="320" w:lineRule="exact"/>
              <w:ind w:firstLine="0" w:firstLineChars="0"/>
              <w:jc w:val="center"/>
              <w:rPr>
                <w:color w:val="auto"/>
                <w:sz w:val="21"/>
                <w:szCs w:val="21"/>
              </w:rPr>
            </w:pPr>
            <w:r>
              <w:rPr>
                <w:rFonts w:hint="eastAsia" w:hAnsi="宋体"/>
                <w:color w:val="auto"/>
                <w:sz w:val="21"/>
                <w:szCs w:val="21"/>
              </w:rPr>
              <w:t>监测值，</w:t>
            </w:r>
            <w:r>
              <w:rPr>
                <w:rFonts w:hint="eastAsia"/>
                <w:color w:val="auto"/>
                <w:sz w:val="21"/>
                <w:szCs w:val="21"/>
              </w:rPr>
              <w:t>mg/m</w:t>
            </w:r>
            <w:r>
              <w:rPr>
                <w:rFonts w:hint="eastAsia"/>
                <w:color w:val="auto"/>
                <w:sz w:val="21"/>
                <w:szCs w:val="21"/>
                <w:vertAlign w:val="superscript"/>
              </w:rPr>
              <w:t>3</w:t>
            </w:r>
          </w:p>
        </w:tc>
        <w:tc>
          <w:tcPr>
            <w:tcW w:w="741" w:type="pct"/>
            <w:gridSpan w:val="2"/>
            <w:vAlign w:val="center"/>
          </w:tcPr>
          <w:p w14:paraId="7033E6F9">
            <w:pPr>
              <w:spacing w:line="320" w:lineRule="exact"/>
              <w:ind w:firstLine="0" w:firstLineChars="0"/>
              <w:jc w:val="center"/>
              <w:rPr>
                <w:color w:val="auto"/>
                <w:sz w:val="21"/>
                <w:szCs w:val="21"/>
              </w:rPr>
            </w:pPr>
            <w:r>
              <w:rPr>
                <w:rFonts w:hint="eastAsia"/>
                <w:color w:val="auto"/>
                <w:sz w:val="21"/>
                <w:szCs w:val="21"/>
              </w:rPr>
              <w:t>0.0</w:t>
            </w:r>
            <w:r>
              <w:rPr>
                <w:rFonts w:hint="eastAsia"/>
                <w:color w:val="auto"/>
                <w:sz w:val="21"/>
                <w:szCs w:val="21"/>
                <w:lang w:val="en-US" w:eastAsia="zh-CN"/>
              </w:rPr>
              <w:t>4</w:t>
            </w:r>
            <w:r>
              <w:rPr>
                <w:rFonts w:hint="eastAsia"/>
                <w:color w:val="auto"/>
                <w:sz w:val="21"/>
                <w:szCs w:val="21"/>
              </w:rPr>
              <w:t>~0.06</w:t>
            </w:r>
          </w:p>
        </w:tc>
        <w:tc>
          <w:tcPr>
            <w:tcW w:w="793" w:type="pct"/>
            <w:gridSpan w:val="2"/>
            <w:vAlign w:val="center"/>
          </w:tcPr>
          <w:p w14:paraId="286E0DE0">
            <w:pPr>
              <w:spacing w:line="320" w:lineRule="exact"/>
              <w:ind w:firstLine="0" w:firstLineChars="0"/>
              <w:jc w:val="center"/>
              <w:rPr>
                <w:color w:val="auto"/>
                <w:sz w:val="21"/>
                <w:szCs w:val="21"/>
              </w:rPr>
            </w:pPr>
            <w:r>
              <w:rPr>
                <w:rFonts w:hint="eastAsia"/>
                <w:color w:val="auto"/>
                <w:sz w:val="21"/>
                <w:szCs w:val="21"/>
              </w:rPr>
              <w:t>0.001L</w:t>
            </w:r>
          </w:p>
        </w:tc>
        <w:tc>
          <w:tcPr>
            <w:tcW w:w="816" w:type="pct"/>
            <w:vAlign w:val="center"/>
          </w:tcPr>
          <w:p w14:paraId="628E70A5">
            <w:pPr>
              <w:spacing w:line="320" w:lineRule="exact"/>
              <w:ind w:firstLine="0" w:firstLineChars="0"/>
              <w:jc w:val="center"/>
              <w:rPr>
                <w:color w:val="auto"/>
                <w:sz w:val="21"/>
                <w:szCs w:val="21"/>
              </w:rPr>
            </w:pPr>
            <w:r>
              <w:rPr>
                <w:rFonts w:hint="eastAsia"/>
                <w:color w:val="auto"/>
                <w:sz w:val="21"/>
                <w:szCs w:val="21"/>
              </w:rPr>
              <w:t>0.26~0.45</w:t>
            </w:r>
          </w:p>
        </w:tc>
        <w:tc>
          <w:tcPr>
            <w:tcW w:w="975" w:type="pct"/>
            <w:vAlign w:val="center"/>
          </w:tcPr>
          <w:p w14:paraId="445F7341">
            <w:pPr>
              <w:spacing w:line="320" w:lineRule="exact"/>
              <w:ind w:firstLine="0" w:firstLineChars="0"/>
              <w:jc w:val="center"/>
              <w:rPr>
                <w:color w:val="auto"/>
                <w:sz w:val="21"/>
                <w:szCs w:val="21"/>
              </w:rPr>
            </w:pPr>
            <w:r>
              <w:rPr>
                <w:rFonts w:hint="eastAsia"/>
                <w:color w:val="auto"/>
                <w:sz w:val="21"/>
                <w:szCs w:val="21"/>
              </w:rPr>
              <w:t>0.004~0.0467</w:t>
            </w:r>
          </w:p>
        </w:tc>
      </w:tr>
      <w:tr w14:paraId="467CDF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jc w:val="center"/>
        </w:trPr>
        <w:tc>
          <w:tcPr>
            <w:tcW w:w="506" w:type="pct"/>
            <w:vMerge w:val="continue"/>
            <w:vAlign w:val="center"/>
          </w:tcPr>
          <w:p w14:paraId="23B334E4">
            <w:pPr>
              <w:widowControl/>
              <w:spacing w:line="320" w:lineRule="exact"/>
              <w:ind w:firstLine="0" w:firstLineChars="0"/>
              <w:jc w:val="center"/>
              <w:rPr>
                <w:color w:val="auto"/>
                <w:sz w:val="21"/>
                <w:szCs w:val="21"/>
              </w:rPr>
            </w:pPr>
          </w:p>
        </w:tc>
        <w:tc>
          <w:tcPr>
            <w:tcW w:w="1167" w:type="pct"/>
            <w:vAlign w:val="center"/>
          </w:tcPr>
          <w:p w14:paraId="35740382">
            <w:pPr>
              <w:spacing w:line="320" w:lineRule="exact"/>
              <w:ind w:firstLine="0" w:firstLineChars="0"/>
              <w:jc w:val="center"/>
              <w:rPr>
                <w:color w:val="auto"/>
                <w:sz w:val="21"/>
                <w:szCs w:val="21"/>
              </w:rPr>
            </w:pPr>
            <w:r>
              <w:rPr>
                <w:rFonts w:hint="eastAsia" w:hAnsi="宋体"/>
                <w:color w:val="auto"/>
                <w:sz w:val="21"/>
                <w:szCs w:val="21"/>
              </w:rPr>
              <w:t>最大占标率，</w:t>
            </w:r>
            <w:r>
              <w:rPr>
                <w:rFonts w:hint="eastAsia"/>
                <w:color w:val="auto"/>
                <w:sz w:val="21"/>
                <w:szCs w:val="21"/>
              </w:rPr>
              <w:t>%</w:t>
            </w:r>
          </w:p>
        </w:tc>
        <w:tc>
          <w:tcPr>
            <w:tcW w:w="741" w:type="pct"/>
            <w:gridSpan w:val="2"/>
            <w:vAlign w:val="center"/>
          </w:tcPr>
          <w:p w14:paraId="1F47725F">
            <w:pPr>
              <w:spacing w:line="320" w:lineRule="exact"/>
              <w:ind w:firstLine="0" w:firstLineChars="0"/>
              <w:jc w:val="center"/>
              <w:rPr>
                <w:color w:val="auto"/>
                <w:sz w:val="21"/>
                <w:szCs w:val="21"/>
              </w:rPr>
            </w:pPr>
            <w:r>
              <w:rPr>
                <w:rFonts w:hint="eastAsia"/>
                <w:color w:val="auto"/>
                <w:sz w:val="21"/>
                <w:szCs w:val="21"/>
              </w:rPr>
              <w:t>30.0</w:t>
            </w:r>
          </w:p>
        </w:tc>
        <w:tc>
          <w:tcPr>
            <w:tcW w:w="793" w:type="pct"/>
            <w:gridSpan w:val="2"/>
            <w:vAlign w:val="center"/>
          </w:tcPr>
          <w:p w14:paraId="71FE6F20">
            <w:pPr>
              <w:spacing w:line="320" w:lineRule="exact"/>
              <w:ind w:firstLine="0" w:firstLineChars="0"/>
              <w:jc w:val="center"/>
              <w:rPr>
                <w:color w:val="auto"/>
                <w:sz w:val="21"/>
                <w:szCs w:val="21"/>
              </w:rPr>
            </w:pPr>
            <w:r>
              <w:rPr>
                <w:rFonts w:hint="eastAsia"/>
                <w:color w:val="auto"/>
                <w:sz w:val="21"/>
                <w:szCs w:val="21"/>
              </w:rPr>
              <w:t>/</w:t>
            </w:r>
          </w:p>
        </w:tc>
        <w:tc>
          <w:tcPr>
            <w:tcW w:w="816" w:type="pct"/>
            <w:vAlign w:val="center"/>
          </w:tcPr>
          <w:p w14:paraId="6F220C32">
            <w:pPr>
              <w:spacing w:line="32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22.5</w:t>
            </w:r>
          </w:p>
        </w:tc>
        <w:tc>
          <w:tcPr>
            <w:tcW w:w="975" w:type="pct"/>
            <w:vAlign w:val="center"/>
          </w:tcPr>
          <w:p w14:paraId="1D34E549">
            <w:pPr>
              <w:spacing w:line="32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7.8</w:t>
            </w:r>
          </w:p>
        </w:tc>
      </w:tr>
      <w:tr w14:paraId="6BBA7F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jc w:val="center"/>
        </w:trPr>
        <w:tc>
          <w:tcPr>
            <w:tcW w:w="1673" w:type="pct"/>
            <w:gridSpan w:val="2"/>
            <w:vAlign w:val="center"/>
          </w:tcPr>
          <w:p w14:paraId="256A2B93">
            <w:pPr>
              <w:spacing w:line="320" w:lineRule="exact"/>
              <w:ind w:firstLine="0" w:firstLineChars="0"/>
              <w:jc w:val="center"/>
              <w:rPr>
                <w:color w:val="auto"/>
                <w:sz w:val="21"/>
                <w:szCs w:val="21"/>
              </w:rPr>
            </w:pPr>
            <w:r>
              <w:rPr>
                <w:rFonts w:hint="eastAsia" w:hAnsi="宋体"/>
                <w:color w:val="auto"/>
                <w:sz w:val="21"/>
                <w:szCs w:val="21"/>
              </w:rPr>
              <w:t>标准值（</w:t>
            </w:r>
            <w:r>
              <w:rPr>
                <w:rFonts w:hint="eastAsia"/>
                <w:color w:val="auto"/>
                <w:sz w:val="21"/>
                <w:szCs w:val="21"/>
              </w:rPr>
              <w:t>mg/m</w:t>
            </w:r>
            <w:r>
              <w:rPr>
                <w:rFonts w:hint="eastAsia"/>
                <w:color w:val="auto"/>
                <w:sz w:val="21"/>
                <w:szCs w:val="21"/>
                <w:vertAlign w:val="superscript"/>
              </w:rPr>
              <w:t>3</w:t>
            </w:r>
            <w:r>
              <w:rPr>
                <w:rFonts w:hint="eastAsia" w:hAnsi="宋体"/>
                <w:color w:val="auto"/>
                <w:sz w:val="21"/>
                <w:szCs w:val="21"/>
              </w:rPr>
              <w:t>）</w:t>
            </w:r>
          </w:p>
        </w:tc>
        <w:tc>
          <w:tcPr>
            <w:tcW w:w="741" w:type="pct"/>
            <w:gridSpan w:val="2"/>
            <w:vAlign w:val="center"/>
          </w:tcPr>
          <w:p w14:paraId="0038F910">
            <w:pPr>
              <w:spacing w:line="320" w:lineRule="exact"/>
              <w:ind w:firstLine="0" w:firstLineChars="0"/>
              <w:jc w:val="center"/>
              <w:rPr>
                <w:color w:val="auto"/>
                <w:sz w:val="21"/>
                <w:szCs w:val="21"/>
              </w:rPr>
            </w:pPr>
            <w:r>
              <w:rPr>
                <w:rFonts w:hint="eastAsia"/>
                <w:color w:val="auto"/>
                <w:sz w:val="21"/>
                <w:szCs w:val="21"/>
              </w:rPr>
              <w:t>0.2</w:t>
            </w:r>
          </w:p>
        </w:tc>
        <w:tc>
          <w:tcPr>
            <w:tcW w:w="793" w:type="pct"/>
            <w:gridSpan w:val="2"/>
            <w:vAlign w:val="center"/>
          </w:tcPr>
          <w:p w14:paraId="5574438B">
            <w:pPr>
              <w:spacing w:line="320" w:lineRule="exact"/>
              <w:ind w:firstLine="0" w:firstLineChars="0"/>
              <w:jc w:val="center"/>
              <w:rPr>
                <w:color w:val="auto"/>
                <w:sz w:val="21"/>
                <w:szCs w:val="21"/>
              </w:rPr>
            </w:pPr>
            <w:r>
              <w:rPr>
                <w:rFonts w:hint="eastAsia"/>
                <w:color w:val="auto"/>
                <w:sz w:val="21"/>
                <w:szCs w:val="21"/>
              </w:rPr>
              <w:t>0.01</w:t>
            </w:r>
          </w:p>
        </w:tc>
        <w:tc>
          <w:tcPr>
            <w:tcW w:w="816" w:type="pct"/>
            <w:vAlign w:val="center"/>
          </w:tcPr>
          <w:p w14:paraId="140C04BD">
            <w:pPr>
              <w:spacing w:line="320" w:lineRule="exact"/>
              <w:ind w:firstLine="0" w:firstLineChars="0"/>
              <w:jc w:val="center"/>
              <w:rPr>
                <w:color w:val="auto"/>
                <w:sz w:val="21"/>
                <w:szCs w:val="21"/>
              </w:rPr>
            </w:pPr>
            <w:r>
              <w:rPr>
                <w:rFonts w:hint="eastAsia"/>
                <w:color w:val="auto"/>
                <w:sz w:val="21"/>
                <w:szCs w:val="21"/>
              </w:rPr>
              <w:t>2.0</w:t>
            </w:r>
          </w:p>
        </w:tc>
        <w:tc>
          <w:tcPr>
            <w:tcW w:w="975" w:type="pct"/>
            <w:vAlign w:val="center"/>
          </w:tcPr>
          <w:p w14:paraId="4A67E97F">
            <w:pPr>
              <w:spacing w:line="320" w:lineRule="exact"/>
              <w:ind w:firstLine="0" w:firstLineChars="0"/>
              <w:jc w:val="center"/>
              <w:rPr>
                <w:color w:val="auto"/>
                <w:sz w:val="21"/>
                <w:szCs w:val="21"/>
              </w:rPr>
            </w:pPr>
            <w:r>
              <w:rPr>
                <w:rFonts w:hint="eastAsia"/>
                <w:color w:val="auto"/>
                <w:sz w:val="21"/>
                <w:szCs w:val="21"/>
              </w:rPr>
              <w:t>0.6</w:t>
            </w:r>
          </w:p>
        </w:tc>
      </w:tr>
    </w:tbl>
    <w:p w14:paraId="1916CFF9">
      <w:pPr>
        <w:rPr>
          <w:color w:val="auto"/>
        </w:rPr>
      </w:pPr>
    </w:p>
    <w:p w14:paraId="62A5F284">
      <w:pPr>
        <w:spacing w:line="360" w:lineRule="auto"/>
        <w:ind w:firstLine="480"/>
        <w:rPr>
          <w:color w:val="auto"/>
        </w:rPr>
      </w:pPr>
      <w:r>
        <w:rPr>
          <w:rFonts w:hint="eastAsia"/>
          <w:color w:val="auto"/>
          <w:szCs w:val="24"/>
        </w:rPr>
        <w:t>根据上表可知，</w:t>
      </w:r>
      <w:r>
        <w:rPr>
          <w:rFonts w:hint="eastAsia"/>
          <w:color w:val="auto"/>
          <w:szCs w:val="24"/>
          <w:lang w:eastAsia="zh-CN"/>
        </w:rPr>
        <w:t>各监测点</w:t>
      </w:r>
      <w:r>
        <w:rPr>
          <w:rFonts w:hint="eastAsia"/>
          <w:color w:val="auto"/>
          <w:szCs w:val="24"/>
        </w:rPr>
        <w:t>TVOC</w:t>
      </w:r>
      <w:r>
        <w:rPr>
          <w:rFonts w:hint="eastAsia"/>
          <w:color w:val="auto"/>
          <w:szCs w:val="24"/>
          <w:lang w:val="en-US" w:eastAsia="zh-CN"/>
        </w:rPr>
        <w:t xml:space="preserve"> </w:t>
      </w:r>
      <w:r>
        <w:rPr>
          <w:rFonts w:hint="eastAsia"/>
          <w:color w:val="auto"/>
          <w:szCs w:val="24"/>
        </w:rPr>
        <w:t>8小时平均浓度、氨、硫化氢小时平均浓度均</w:t>
      </w:r>
      <w:r>
        <w:rPr>
          <w:color w:val="auto"/>
          <w:szCs w:val="24"/>
        </w:rPr>
        <w:t>满足</w:t>
      </w:r>
      <w:r>
        <w:rPr>
          <w:rFonts w:hint="eastAsia"/>
          <w:color w:val="auto"/>
          <w:szCs w:val="24"/>
        </w:rPr>
        <w:t>《环境影响评价技术导则</w:t>
      </w:r>
      <w:r>
        <w:rPr>
          <w:color w:val="auto"/>
          <w:szCs w:val="24"/>
        </w:rPr>
        <w:t>大气环境</w:t>
      </w:r>
      <w:r>
        <w:rPr>
          <w:rFonts w:hint="eastAsia"/>
          <w:color w:val="auto"/>
          <w:szCs w:val="24"/>
        </w:rPr>
        <w:t>》</w:t>
      </w:r>
      <w:r>
        <w:rPr>
          <w:color w:val="auto"/>
          <w:szCs w:val="24"/>
        </w:rPr>
        <w:t>（HJ2.2-2018）</w:t>
      </w:r>
      <w:r>
        <w:rPr>
          <w:color w:val="auto"/>
        </w:rPr>
        <w:t>中</w:t>
      </w:r>
      <w:r>
        <w:rPr>
          <w:rFonts w:hint="eastAsia"/>
          <w:color w:val="auto"/>
        </w:rPr>
        <w:t>附录D中其他污染物空气质量浓度参考限值</w:t>
      </w:r>
      <w:r>
        <w:rPr>
          <w:color w:val="auto"/>
        </w:rPr>
        <w:t>要求</w:t>
      </w:r>
      <w:r>
        <w:rPr>
          <w:rFonts w:hint="eastAsia"/>
          <w:color w:val="auto"/>
        </w:rPr>
        <w:t>，</w:t>
      </w:r>
      <w:r>
        <w:rPr>
          <w:color w:val="auto"/>
        </w:rPr>
        <w:t>非甲烷总烃</w:t>
      </w:r>
      <w:r>
        <w:rPr>
          <w:rFonts w:hint="eastAsia"/>
          <w:color w:val="auto"/>
          <w:szCs w:val="24"/>
        </w:rPr>
        <w:t>小时平均浓度</w:t>
      </w:r>
      <w:r>
        <w:rPr>
          <w:color w:val="auto"/>
        </w:rPr>
        <w:t>满足</w:t>
      </w:r>
      <w:r>
        <w:rPr>
          <w:rFonts w:hint="eastAsia"/>
          <w:color w:val="auto"/>
          <w:lang w:eastAsia="zh-CN"/>
        </w:rPr>
        <w:t>参照的</w:t>
      </w:r>
      <w:r>
        <w:rPr>
          <w:color w:val="auto"/>
        </w:rPr>
        <w:t>《河北省地方标准 环境空气质量 非甲烷总烃限值》（DB13/1577-2012），</w:t>
      </w:r>
      <w:r>
        <w:rPr>
          <w:rFonts w:hint="eastAsia"/>
          <w:color w:val="auto"/>
          <w:lang w:eastAsia="zh-CN"/>
        </w:rPr>
        <w:t>区域</w:t>
      </w:r>
      <w:r>
        <w:rPr>
          <w:rFonts w:hint="eastAsia"/>
          <w:color w:val="auto"/>
        </w:rPr>
        <w:t>环境空气质量良好，不会制约项目的建设</w:t>
      </w:r>
      <w:r>
        <w:rPr>
          <w:color w:val="auto"/>
        </w:rPr>
        <w:t>。</w:t>
      </w:r>
    </w:p>
    <w:p w14:paraId="139F750F">
      <w:pPr>
        <w:spacing w:line="360" w:lineRule="auto"/>
        <w:ind w:firstLine="480"/>
        <w:rPr>
          <w:color w:val="auto"/>
        </w:rPr>
      </w:pPr>
    </w:p>
    <w:p w14:paraId="094AB869">
      <w:pPr>
        <w:pStyle w:val="5"/>
        <w:numPr>
          <w:ilvl w:val="0"/>
          <w:numId w:val="0"/>
        </w:numPr>
        <w:spacing w:line="360" w:lineRule="auto"/>
        <w:jc w:val="left"/>
        <w:rPr>
          <w:color w:val="auto"/>
        </w:rPr>
      </w:pPr>
      <w:bookmarkStart w:id="188" w:name="_Toc430877198"/>
      <w:bookmarkStart w:id="189" w:name="_Toc430877376"/>
      <w:bookmarkStart w:id="190" w:name="_Toc432775526"/>
      <w:bookmarkStart w:id="191" w:name="_Toc436048378"/>
      <w:bookmarkStart w:id="192" w:name="_Toc417984137"/>
      <w:bookmarkStart w:id="193" w:name="_Toc335901996"/>
      <w:bookmarkStart w:id="194" w:name="_Toc428215543"/>
      <w:bookmarkStart w:id="195" w:name="_Toc432775369"/>
      <w:r>
        <w:rPr>
          <w:rFonts w:hint="eastAsia"/>
          <w:color w:val="auto"/>
        </w:rPr>
        <w:t>4</w:t>
      </w:r>
      <w:r>
        <w:rPr>
          <w:color w:val="auto"/>
        </w:rPr>
        <w:t>.2.2地表水环境质量现状评价</w:t>
      </w:r>
      <w:bookmarkEnd w:id="188"/>
      <w:bookmarkEnd w:id="189"/>
      <w:bookmarkEnd w:id="190"/>
      <w:bookmarkEnd w:id="191"/>
      <w:bookmarkEnd w:id="192"/>
      <w:bookmarkEnd w:id="193"/>
      <w:bookmarkEnd w:id="194"/>
      <w:bookmarkEnd w:id="195"/>
    </w:p>
    <w:p w14:paraId="40D8D644">
      <w:pPr>
        <w:spacing w:line="360" w:lineRule="auto"/>
        <w:ind w:firstLine="480"/>
        <w:rPr>
          <w:color w:val="auto"/>
        </w:rPr>
      </w:pPr>
      <w:r>
        <w:rPr>
          <w:rFonts w:hint="eastAsia"/>
          <w:color w:val="auto"/>
        </w:rPr>
        <w:t>拟建项目</w:t>
      </w:r>
      <w:r>
        <w:rPr>
          <w:rFonts w:hint="eastAsia"/>
          <w:color w:val="auto"/>
          <w:lang w:eastAsia="zh-CN"/>
        </w:rPr>
        <w:t>所在忠县工业园区乌杨组团园区污水处理厂</w:t>
      </w:r>
      <w:r>
        <w:rPr>
          <w:rFonts w:hint="eastAsia"/>
          <w:color w:val="auto"/>
        </w:rPr>
        <w:t>受纳水体为</w:t>
      </w:r>
      <w:r>
        <w:rPr>
          <w:rFonts w:hint="eastAsia"/>
          <w:color w:val="auto"/>
          <w:lang w:eastAsia="zh-CN"/>
        </w:rPr>
        <w:t>长江</w:t>
      </w:r>
      <w:r>
        <w:rPr>
          <w:rFonts w:hint="eastAsia"/>
          <w:color w:val="auto"/>
        </w:rPr>
        <w:t>，</w:t>
      </w:r>
      <w:r>
        <w:rPr>
          <w:rFonts w:hint="eastAsia"/>
          <w:color w:val="auto"/>
          <w:lang w:eastAsia="zh-CN"/>
        </w:rPr>
        <w:t>长江</w:t>
      </w:r>
      <w:r>
        <w:rPr>
          <w:rFonts w:hint="eastAsia"/>
          <w:color w:val="auto"/>
        </w:rPr>
        <w:t>水环境功能区划分别为Ⅲ类，</w:t>
      </w:r>
      <w:r>
        <w:rPr>
          <w:color w:val="auto"/>
        </w:rPr>
        <w:t>执行《地表水环境质量标准》（GB 3838-2002）中</w:t>
      </w:r>
      <w:r>
        <w:rPr>
          <w:rFonts w:hint="eastAsia"/>
          <w:color w:val="auto"/>
        </w:rPr>
        <w:t>Ⅲ类</w:t>
      </w:r>
      <w:r>
        <w:rPr>
          <w:color w:val="auto"/>
        </w:rPr>
        <w:t>水质标准</w:t>
      </w:r>
      <w:r>
        <w:rPr>
          <w:rFonts w:hint="eastAsia"/>
          <w:color w:val="auto"/>
        </w:rPr>
        <w:t>。</w:t>
      </w:r>
    </w:p>
    <w:p w14:paraId="7773808C">
      <w:pPr>
        <w:spacing w:line="360" w:lineRule="auto"/>
        <w:ind w:firstLine="480"/>
        <w:rPr>
          <w:color w:val="auto"/>
        </w:rPr>
      </w:pPr>
      <w:r>
        <w:rPr>
          <w:color w:val="auto"/>
        </w:rPr>
        <w:t>本次评价引用</w:t>
      </w:r>
      <w:r>
        <w:rPr>
          <w:rFonts w:hint="eastAsia"/>
          <w:color w:val="auto"/>
          <w:lang w:eastAsia="zh-CN"/>
        </w:rPr>
        <w:t>忠县长江</w:t>
      </w:r>
      <w:r>
        <w:rPr>
          <w:rFonts w:hint="eastAsia"/>
          <w:color w:val="auto"/>
        </w:rPr>
        <w:t>2</w:t>
      </w:r>
      <w:r>
        <w:rPr>
          <w:color w:val="auto"/>
        </w:rPr>
        <w:t>02</w:t>
      </w:r>
      <w:r>
        <w:rPr>
          <w:rFonts w:hint="eastAsia"/>
          <w:color w:val="auto"/>
          <w:lang w:val="en-US" w:eastAsia="zh-CN"/>
        </w:rPr>
        <w:t>4</w:t>
      </w:r>
      <w:r>
        <w:rPr>
          <w:rFonts w:hint="eastAsia"/>
          <w:color w:val="auto"/>
        </w:rPr>
        <w:t>年例行</w:t>
      </w:r>
      <w:r>
        <w:rPr>
          <w:color w:val="auto"/>
        </w:rPr>
        <w:t>监测数据</w:t>
      </w:r>
      <w:r>
        <w:rPr>
          <w:rFonts w:hint="eastAsia"/>
          <w:color w:val="auto"/>
        </w:rPr>
        <w:t>进行地表水环境质量现状评价</w:t>
      </w:r>
      <w:r>
        <w:rPr>
          <w:color w:val="auto"/>
        </w:rPr>
        <w:t>。</w:t>
      </w:r>
    </w:p>
    <w:p w14:paraId="1F77BB72">
      <w:pPr>
        <w:spacing w:line="360" w:lineRule="auto"/>
        <w:ind w:firstLine="480"/>
        <w:rPr>
          <w:color w:val="auto"/>
        </w:rPr>
      </w:pPr>
      <w:r>
        <w:rPr>
          <w:color w:val="auto"/>
        </w:rPr>
        <w:t>（1）监测断面</w:t>
      </w:r>
    </w:p>
    <w:p w14:paraId="32D784E8">
      <w:pPr>
        <w:spacing w:line="360" w:lineRule="auto"/>
        <w:ind w:firstLine="480"/>
        <w:rPr>
          <w:color w:val="auto"/>
        </w:rPr>
      </w:pPr>
      <w:r>
        <w:rPr>
          <w:rFonts w:hint="eastAsia"/>
          <w:color w:val="auto"/>
          <w:kern w:val="0"/>
          <w:szCs w:val="24"/>
        </w:rPr>
        <w:t>在</w:t>
      </w:r>
      <w:r>
        <w:rPr>
          <w:rFonts w:hint="eastAsia"/>
          <w:color w:val="auto"/>
          <w:kern w:val="0"/>
          <w:szCs w:val="24"/>
          <w:lang w:eastAsia="zh-CN"/>
        </w:rPr>
        <w:t>长江</w:t>
      </w:r>
      <w:r>
        <w:rPr>
          <w:rFonts w:hint="eastAsia"/>
          <w:color w:val="auto"/>
          <w:kern w:val="0"/>
          <w:szCs w:val="24"/>
        </w:rPr>
        <w:t>设置2个监测断面。项目所在地上游断面——洋渡断面和下游断面——苏家断面。</w:t>
      </w:r>
    </w:p>
    <w:p w14:paraId="72635094">
      <w:pPr>
        <w:ind w:firstLine="480"/>
        <w:rPr>
          <w:color w:val="auto"/>
        </w:rPr>
      </w:pPr>
      <w:r>
        <w:rPr>
          <w:color w:val="auto"/>
        </w:rPr>
        <w:t>（2）监测因子</w:t>
      </w:r>
    </w:p>
    <w:p w14:paraId="6E6A58F0">
      <w:pPr>
        <w:ind w:firstLine="480"/>
        <w:rPr>
          <w:color w:val="auto"/>
        </w:rPr>
      </w:pPr>
      <w:r>
        <w:rPr>
          <w:rFonts w:hint="eastAsia"/>
          <w:color w:val="auto"/>
        </w:rPr>
        <w:t>水温、pH、DO、高锰酸盐指数、COD、BOD5、NH3-N、总磷、铜、锌、氟化物、硒、砷、汞、镉、六价铬、铅、氰化物、挥发酚、石油类、阴离子表面活性剂、硫化物。</w:t>
      </w:r>
    </w:p>
    <w:p w14:paraId="02C33192">
      <w:pPr>
        <w:pStyle w:val="577"/>
        <w:spacing w:line="480" w:lineRule="exact"/>
        <w:ind w:firstLine="480"/>
        <w:jc w:val="both"/>
        <w:rPr>
          <w:color w:val="auto"/>
        </w:rPr>
      </w:pPr>
      <w:r>
        <w:rPr>
          <w:rFonts w:hint="eastAsia"/>
          <w:color w:val="auto"/>
          <w:kern w:val="2"/>
          <w:szCs w:val="20"/>
          <w:lang w:val="en-US"/>
        </w:rPr>
        <w:t>（</w:t>
      </w:r>
      <w:r>
        <w:rPr>
          <w:color w:val="auto"/>
          <w:kern w:val="2"/>
          <w:szCs w:val="20"/>
          <w:lang w:val="en-US"/>
        </w:rPr>
        <w:t>3</w:t>
      </w:r>
      <w:r>
        <w:rPr>
          <w:rFonts w:hint="eastAsia"/>
          <w:color w:val="auto"/>
          <w:kern w:val="2"/>
          <w:szCs w:val="20"/>
          <w:lang w:val="en-US"/>
        </w:rPr>
        <w:t>）监测时间：</w:t>
      </w:r>
      <w:r>
        <w:rPr>
          <w:color w:val="auto"/>
        </w:rPr>
        <w:t>202</w:t>
      </w:r>
      <w:r>
        <w:rPr>
          <w:rFonts w:hint="eastAsia"/>
          <w:color w:val="auto"/>
          <w:lang w:val="en-US" w:eastAsia="zh-CN"/>
        </w:rPr>
        <w:t>4</w:t>
      </w:r>
      <w:r>
        <w:rPr>
          <w:rFonts w:hint="eastAsia"/>
          <w:color w:val="auto"/>
        </w:rPr>
        <w:t>年</w:t>
      </w:r>
      <w:r>
        <w:rPr>
          <w:color w:val="auto"/>
          <w:lang w:val="en-US"/>
        </w:rPr>
        <w:t>1</w:t>
      </w:r>
      <w:r>
        <w:rPr>
          <w:rFonts w:hint="eastAsia"/>
          <w:color w:val="auto"/>
        </w:rPr>
        <w:t>月～</w:t>
      </w:r>
      <w:r>
        <w:rPr>
          <w:color w:val="auto"/>
          <w:lang w:val="en-US"/>
        </w:rPr>
        <w:t>12</w:t>
      </w:r>
      <w:r>
        <w:rPr>
          <w:rFonts w:hint="eastAsia"/>
          <w:color w:val="auto"/>
        </w:rPr>
        <w:t>月</w:t>
      </w:r>
      <w:r>
        <w:rPr>
          <w:color w:val="auto"/>
          <w:kern w:val="2"/>
          <w:szCs w:val="20"/>
          <w:lang w:val="en-US"/>
        </w:rPr>
        <w:t>。</w:t>
      </w:r>
    </w:p>
    <w:p w14:paraId="6AADB7B2">
      <w:pPr>
        <w:ind w:firstLine="480"/>
        <w:rPr>
          <w:color w:val="auto"/>
        </w:rPr>
      </w:pPr>
      <w:r>
        <w:rPr>
          <w:color w:val="auto"/>
        </w:rPr>
        <w:t>（4）评价方法</w:t>
      </w:r>
    </w:p>
    <w:p w14:paraId="561006BE">
      <w:pPr>
        <w:ind w:firstLine="480"/>
        <w:rPr>
          <w:color w:val="auto"/>
        </w:rPr>
      </w:pPr>
      <w:r>
        <w:rPr>
          <w:color w:val="auto"/>
        </w:rPr>
        <w:t>采用标准指数法对地表水质进行现状评价，计算公式如下：</w:t>
      </w:r>
    </w:p>
    <w:p w14:paraId="33DFC849">
      <w:pPr>
        <w:spacing w:line="360" w:lineRule="auto"/>
        <w:ind w:firstLine="1866" w:firstLineChars="718"/>
        <w:rPr>
          <w:color w:val="auto"/>
          <w:sz w:val="26"/>
        </w:rPr>
      </w:pPr>
      <w:r>
        <w:rPr>
          <w:color w:val="auto"/>
          <w:position w:val="-30"/>
          <w:sz w:val="26"/>
        </w:rPr>
        <w:object>
          <v:shape id="_x0000_i1026" o:spt="75" type="#_x0000_t75" style="height:36pt;width:51pt;" o:ole="t" filled="f" o:preferrelative="t" stroked="f" coordsize="21600,21600">
            <v:path/>
            <v:fill on="f" focussize="0,0"/>
            <v:stroke on="f" joinstyle="miter"/>
            <v:imagedata r:id="rId23" o:title=""/>
            <o:lock v:ext="edit" aspectratio="t"/>
            <w10:wrap type="none"/>
            <w10:anchorlock/>
          </v:shape>
          <o:OLEObject Type="Embed" ProgID="Equation.3" ShapeID="_x0000_i1026" DrawAspect="Content" ObjectID="_1468075726" r:id="rId22">
            <o:LockedField>false</o:LockedField>
          </o:OLEObject>
        </w:object>
      </w:r>
    </w:p>
    <w:p w14:paraId="44FD9804">
      <w:pPr>
        <w:spacing w:line="360" w:lineRule="auto"/>
        <w:ind w:firstLine="480"/>
        <w:rPr>
          <w:color w:val="auto"/>
        </w:rPr>
      </w:pPr>
      <w:r>
        <w:rPr>
          <w:color w:val="auto"/>
        </w:rPr>
        <w:t>pH评价模式：</w:t>
      </w:r>
    </w:p>
    <w:p w14:paraId="13DFE463">
      <w:pPr>
        <w:spacing w:line="360" w:lineRule="auto"/>
        <w:ind w:firstLine="1723" w:firstLineChars="718"/>
        <w:rPr>
          <w:color w:val="auto"/>
          <w:sz w:val="26"/>
        </w:rPr>
      </w:pPr>
      <w:r>
        <w:rPr>
          <w:color w:val="auto"/>
        </w:rPr>
        <w:drawing>
          <wp:inline distT="0" distB="0" distL="0" distR="0">
            <wp:extent cx="2434590" cy="915035"/>
            <wp:effectExtent l="0" t="0" r="3810" b="18415"/>
            <wp:docPr id="527" name="图片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图片 527"/>
                    <pic:cNvPicPr>
                      <a:picLocks noChangeAspect="1"/>
                    </pic:cNvPicPr>
                  </pic:nvPicPr>
                  <pic:blipFill>
                    <a:blip r:embed="rId24"/>
                    <a:stretch>
                      <a:fillRect/>
                    </a:stretch>
                  </pic:blipFill>
                  <pic:spPr>
                    <a:xfrm>
                      <a:off x="0" y="0"/>
                      <a:ext cx="2434590" cy="915035"/>
                    </a:xfrm>
                    <a:prstGeom prst="rect">
                      <a:avLst/>
                    </a:prstGeom>
                  </pic:spPr>
                </pic:pic>
              </a:graphicData>
            </a:graphic>
          </wp:inline>
        </w:drawing>
      </w:r>
      <w:r>
        <w:rPr>
          <w:color w:val="auto"/>
          <w:sz w:val="26"/>
        </w:rPr>
        <w:t xml:space="preserve">           </w:t>
      </w:r>
    </w:p>
    <w:p w14:paraId="4DBD3A66">
      <w:pPr>
        <w:spacing w:line="360" w:lineRule="auto"/>
        <w:ind w:firstLine="480"/>
        <w:rPr>
          <w:color w:val="auto"/>
        </w:rPr>
      </w:pPr>
      <w:r>
        <w:rPr>
          <w:color w:val="auto"/>
        </w:rPr>
        <w:t>DO评价模式：</w:t>
      </w:r>
    </w:p>
    <w:p w14:paraId="082AB198">
      <w:pPr>
        <w:spacing w:line="360" w:lineRule="auto"/>
        <w:ind w:firstLine="480"/>
        <w:rPr>
          <w:color w:val="auto"/>
        </w:rPr>
      </w:pPr>
      <w:r>
        <w:rPr>
          <w:rFonts w:hint="eastAsia"/>
          <w:color w:val="auto"/>
          <w:lang w:val="en-US" w:eastAsia="zh-CN"/>
        </w:rPr>
        <w:t xml:space="preserve">         </w:t>
      </w:r>
      <w:r>
        <w:rPr>
          <w:color w:val="auto"/>
        </w:rPr>
        <w:drawing>
          <wp:inline distT="0" distB="0" distL="0" distR="0">
            <wp:extent cx="2534285" cy="854075"/>
            <wp:effectExtent l="0" t="0" r="18415" b="3175"/>
            <wp:docPr id="528" name="图片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图片 528"/>
                    <pic:cNvPicPr>
                      <a:picLocks noChangeAspect="1"/>
                    </pic:cNvPicPr>
                  </pic:nvPicPr>
                  <pic:blipFill>
                    <a:blip r:embed="rId25"/>
                    <a:stretch>
                      <a:fillRect/>
                    </a:stretch>
                  </pic:blipFill>
                  <pic:spPr>
                    <a:xfrm>
                      <a:off x="0" y="0"/>
                      <a:ext cx="2534285" cy="854075"/>
                    </a:xfrm>
                    <a:prstGeom prst="rect">
                      <a:avLst/>
                    </a:prstGeom>
                  </pic:spPr>
                </pic:pic>
              </a:graphicData>
            </a:graphic>
          </wp:inline>
        </w:drawing>
      </w:r>
    </w:p>
    <w:p w14:paraId="6813EEC2">
      <w:pPr>
        <w:ind w:firstLine="480"/>
        <w:rPr>
          <w:color w:val="auto"/>
        </w:rPr>
      </w:pPr>
      <w:r>
        <w:rPr>
          <w:color w:val="auto"/>
        </w:rPr>
        <w:t>式中：S</w:t>
      </w:r>
      <w:r>
        <w:rPr>
          <w:color w:val="auto"/>
          <w:vertAlign w:val="subscript"/>
        </w:rPr>
        <w:t>I,j</w:t>
      </w:r>
      <w:r>
        <w:rPr>
          <w:color w:val="auto"/>
        </w:rPr>
        <w:t xml:space="preserve"> — 为 i污染物在j监测点处的单项污染指数；C</w:t>
      </w:r>
      <w:r>
        <w:rPr>
          <w:color w:val="auto"/>
          <w:vertAlign w:val="subscript"/>
        </w:rPr>
        <w:t>I,j</w:t>
      </w:r>
      <w:r>
        <w:rPr>
          <w:color w:val="auto"/>
        </w:rPr>
        <w:t xml:space="preserve"> — 为i污染物在j监测点处的实测浓度（mg/l）；C</w:t>
      </w:r>
      <w:r>
        <w:rPr>
          <w:color w:val="auto"/>
          <w:vertAlign w:val="subscript"/>
        </w:rPr>
        <w:t>si</w:t>
      </w:r>
      <w:r>
        <w:rPr>
          <w:color w:val="auto"/>
        </w:rPr>
        <w:t xml:space="preserve"> — 为i污染物的评价标准（mg/l）；P</w:t>
      </w:r>
      <w:r>
        <w:rPr>
          <w:color w:val="auto"/>
          <w:vertAlign w:val="subscript"/>
        </w:rPr>
        <w:t>pH</w:t>
      </w:r>
      <w:r>
        <w:rPr>
          <w:color w:val="auto"/>
        </w:rPr>
        <w:t xml:space="preserve"> — pH的单项污染指数；P</w:t>
      </w:r>
      <w:r>
        <w:rPr>
          <w:color w:val="auto"/>
          <w:vertAlign w:val="subscript"/>
        </w:rPr>
        <w:t>sd</w:t>
      </w:r>
      <w:r>
        <w:rPr>
          <w:color w:val="auto"/>
        </w:rPr>
        <w:t xml:space="preserve"> — 地表水水质标准中规定的pH值下限；P</w:t>
      </w:r>
      <w:r>
        <w:rPr>
          <w:color w:val="auto"/>
          <w:vertAlign w:val="subscript"/>
        </w:rPr>
        <w:t>su</w:t>
      </w:r>
      <w:r>
        <w:rPr>
          <w:color w:val="auto"/>
        </w:rPr>
        <w:t xml:space="preserve"> — 地表水水质标准中规定的pH值上限；pH</w:t>
      </w:r>
      <w:r>
        <w:rPr>
          <w:color w:val="auto"/>
          <w:vertAlign w:val="subscript"/>
        </w:rPr>
        <w:t>j</w:t>
      </w:r>
      <w:r>
        <w:rPr>
          <w:color w:val="auto"/>
        </w:rPr>
        <w:t xml:space="preserve"> — 在j监测点处实测pH值；DO</w:t>
      </w:r>
      <w:r>
        <w:rPr>
          <w:color w:val="auto"/>
          <w:vertAlign w:val="subscript"/>
        </w:rPr>
        <w:t>f</w:t>
      </w:r>
      <w:r>
        <w:rPr>
          <w:color w:val="auto"/>
        </w:rPr>
        <w:t>— 饱和溶解氧</w:t>
      </w:r>
      <w:r>
        <w:rPr>
          <w:rFonts w:hint="eastAsia"/>
          <w:color w:val="auto"/>
        </w:rPr>
        <w:t>，</w:t>
      </w:r>
      <w:r>
        <w:rPr>
          <w:color w:val="auto"/>
        </w:rPr>
        <w:drawing>
          <wp:inline distT="0" distB="0" distL="0" distR="0">
            <wp:extent cx="1295400" cy="25908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cstate="print"/>
                    <a:stretch>
                      <a:fillRect/>
                    </a:stretch>
                  </pic:blipFill>
                  <pic:spPr>
                    <a:xfrm>
                      <a:off x="0" y="0"/>
                      <a:ext cx="1296000" cy="259200"/>
                    </a:xfrm>
                    <a:prstGeom prst="rect">
                      <a:avLst/>
                    </a:prstGeom>
                  </pic:spPr>
                </pic:pic>
              </a:graphicData>
            </a:graphic>
          </wp:inline>
        </w:drawing>
      </w:r>
      <w:r>
        <w:rPr>
          <w:color w:val="auto"/>
        </w:rPr>
        <w:t>；DO</w:t>
      </w:r>
      <w:r>
        <w:rPr>
          <w:color w:val="auto"/>
          <w:vertAlign w:val="subscript"/>
        </w:rPr>
        <w:t>j</w:t>
      </w:r>
      <w:r>
        <w:rPr>
          <w:color w:val="auto"/>
        </w:rPr>
        <w:t>— 溶解氧在j监测点处的实测浓度（mg/L）；DO</w:t>
      </w:r>
      <w:r>
        <w:rPr>
          <w:color w:val="auto"/>
          <w:vertAlign w:val="subscript"/>
        </w:rPr>
        <w:t>s</w:t>
      </w:r>
      <w:r>
        <w:rPr>
          <w:color w:val="auto"/>
        </w:rPr>
        <w:t>— 溶解氧标准值（mg/L）</w:t>
      </w:r>
      <w:r>
        <w:rPr>
          <w:rFonts w:hint="eastAsia"/>
          <w:color w:val="auto"/>
        </w:rPr>
        <w:t>。</w:t>
      </w:r>
    </w:p>
    <w:p w14:paraId="0BC76BC9">
      <w:pPr>
        <w:ind w:firstLine="480"/>
        <w:rPr>
          <w:color w:val="auto"/>
        </w:rPr>
      </w:pPr>
      <w:r>
        <w:rPr>
          <w:color w:val="auto"/>
        </w:rPr>
        <w:t>（5）环境质量现状分析及评价</w:t>
      </w:r>
    </w:p>
    <w:p w14:paraId="1B3982F2">
      <w:pPr>
        <w:ind w:firstLine="480"/>
        <w:rPr>
          <w:color w:val="auto"/>
        </w:rPr>
      </w:pPr>
      <w:r>
        <w:rPr>
          <w:color w:val="auto"/>
        </w:rPr>
        <w:t>监测及评价结果统计见表</w:t>
      </w:r>
      <w:r>
        <w:rPr>
          <w:rFonts w:hint="eastAsia"/>
          <w:color w:val="auto"/>
        </w:rPr>
        <w:t>4</w:t>
      </w:r>
      <w:r>
        <w:rPr>
          <w:color w:val="auto"/>
        </w:rPr>
        <w:t>.2-</w:t>
      </w:r>
      <w:r>
        <w:rPr>
          <w:rFonts w:hint="eastAsia"/>
          <w:color w:val="auto"/>
        </w:rPr>
        <w:t>3。</w:t>
      </w:r>
    </w:p>
    <w:p w14:paraId="4A4F9660">
      <w:pPr>
        <w:pStyle w:val="183"/>
        <w:rPr>
          <w:color w:val="auto"/>
        </w:rPr>
      </w:pPr>
      <w:r>
        <w:rPr>
          <w:color w:val="auto"/>
        </w:rPr>
        <w:t>表4.2-</w:t>
      </w:r>
      <w:r>
        <w:rPr>
          <w:rFonts w:hint="eastAsia"/>
          <w:color w:val="auto"/>
          <w:lang w:val="en-US"/>
        </w:rPr>
        <w:t>3</w:t>
      </w:r>
      <w:r>
        <w:rPr>
          <w:color w:val="auto"/>
        </w:rPr>
        <w:t xml:space="preserve">   地表水环境质量现状监测及评价结果统计（</w:t>
      </w:r>
      <w:r>
        <w:rPr>
          <w:rFonts w:hint="eastAsia"/>
          <w:color w:val="auto"/>
          <w:lang w:eastAsia="zh-CN"/>
        </w:rPr>
        <w:t>长江</w:t>
      </w:r>
      <w:r>
        <w:rPr>
          <w:color w:val="auto"/>
        </w:rPr>
        <w:t>）  mg/L</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138"/>
        <w:gridCol w:w="794"/>
        <w:gridCol w:w="1824"/>
        <w:gridCol w:w="601"/>
        <w:gridCol w:w="934"/>
        <w:gridCol w:w="1824"/>
        <w:gridCol w:w="602"/>
        <w:gridCol w:w="1143"/>
      </w:tblGrid>
      <w:tr w14:paraId="4CC1C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blHeader/>
        </w:trPr>
        <w:tc>
          <w:tcPr>
            <w:tcW w:w="229" w:type="pct"/>
            <w:vMerge w:val="restart"/>
            <w:vAlign w:val="center"/>
          </w:tcPr>
          <w:p w14:paraId="078CE1E4">
            <w:pPr>
              <w:pStyle w:val="184"/>
              <w:rPr>
                <w:b w:val="0"/>
                <w:bCs/>
                <w:color w:val="auto"/>
              </w:rPr>
            </w:pPr>
            <w:r>
              <w:rPr>
                <w:rFonts w:hint="eastAsia"/>
                <w:b w:val="0"/>
                <w:bCs/>
                <w:color w:val="auto"/>
              </w:rPr>
              <w:t>序号</w:t>
            </w:r>
          </w:p>
        </w:tc>
        <w:tc>
          <w:tcPr>
            <w:tcW w:w="612" w:type="pct"/>
            <w:vMerge w:val="restart"/>
            <w:vAlign w:val="center"/>
          </w:tcPr>
          <w:p w14:paraId="7ED2807F">
            <w:pPr>
              <w:pStyle w:val="184"/>
              <w:rPr>
                <w:b w:val="0"/>
                <w:bCs/>
                <w:color w:val="auto"/>
              </w:rPr>
            </w:pPr>
            <w:r>
              <w:rPr>
                <w:rFonts w:hint="eastAsia"/>
                <w:b w:val="0"/>
                <w:bCs/>
                <w:color w:val="auto"/>
              </w:rPr>
              <w:t>监测项目</w:t>
            </w:r>
          </w:p>
        </w:tc>
        <w:tc>
          <w:tcPr>
            <w:tcW w:w="427" w:type="pct"/>
            <w:vMerge w:val="restart"/>
            <w:vAlign w:val="center"/>
          </w:tcPr>
          <w:p w14:paraId="3F024056">
            <w:pPr>
              <w:pStyle w:val="184"/>
              <w:rPr>
                <w:b w:val="0"/>
                <w:bCs/>
                <w:color w:val="auto"/>
              </w:rPr>
            </w:pPr>
            <w:r>
              <w:rPr>
                <w:rFonts w:hint="eastAsia"/>
                <w:b w:val="0"/>
                <w:bCs/>
                <w:color w:val="auto"/>
              </w:rPr>
              <w:t>标准限值</w:t>
            </w:r>
          </w:p>
        </w:tc>
        <w:tc>
          <w:tcPr>
            <w:tcW w:w="1808" w:type="pct"/>
            <w:gridSpan w:val="3"/>
            <w:vAlign w:val="center"/>
          </w:tcPr>
          <w:p w14:paraId="180C9199">
            <w:pPr>
              <w:pStyle w:val="184"/>
              <w:rPr>
                <w:b w:val="0"/>
                <w:bCs/>
                <w:color w:val="auto"/>
              </w:rPr>
            </w:pPr>
            <w:r>
              <w:rPr>
                <w:rFonts w:hint="eastAsia"/>
                <w:b w:val="0"/>
                <w:bCs/>
                <w:color w:val="auto"/>
              </w:rPr>
              <w:t>洋渡断面</w:t>
            </w:r>
          </w:p>
        </w:tc>
        <w:tc>
          <w:tcPr>
            <w:tcW w:w="1921" w:type="pct"/>
            <w:gridSpan w:val="3"/>
            <w:vAlign w:val="center"/>
          </w:tcPr>
          <w:p w14:paraId="7C674059">
            <w:pPr>
              <w:pStyle w:val="184"/>
              <w:rPr>
                <w:rFonts w:hint="eastAsia" w:eastAsia="宋体"/>
                <w:b w:val="0"/>
                <w:bCs/>
                <w:color w:val="auto"/>
                <w:lang w:eastAsia="zh-CN"/>
              </w:rPr>
            </w:pPr>
            <w:r>
              <w:rPr>
                <w:rFonts w:hint="eastAsia"/>
                <w:b w:val="0"/>
                <w:bCs/>
                <w:color w:val="auto"/>
                <w:lang w:eastAsia="zh-CN"/>
              </w:rPr>
              <w:t>苏家断面</w:t>
            </w:r>
          </w:p>
        </w:tc>
      </w:tr>
      <w:tr w14:paraId="0B07C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229" w:type="pct"/>
            <w:vMerge w:val="continue"/>
            <w:vAlign w:val="center"/>
          </w:tcPr>
          <w:p w14:paraId="04E5A577">
            <w:pPr>
              <w:pStyle w:val="184"/>
              <w:rPr>
                <w:b w:val="0"/>
                <w:bCs/>
                <w:color w:val="auto"/>
              </w:rPr>
            </w:pPr>
          </w:p>
        </w:tc>
        <w:tc>
          <w:tcPr>
            <w:tcW w:w="612" w:type="pct"/>
            <w:vMerge w:val="continue"/>
            <w:vAlign w:val="center"/>
          </w:tcPr>
          <w:p w14:paraId="1CE60B91">
            <w:pPr>
              <w:pStyle w:val="184"/>
              <w:rPr>
                <w:b w:val="0"/>
                <w:bCs/>
                <w:color w:val="auto"/>
              </w:rPr>
            </w:pPr>
          </w:p>
        </w:tc>
        <w:tc>
          <w:tcPr>
            <w:tcW w:w="427" w:type="pct"/>
            <w:vMerge w:val="continue"/>
            <w:vAlign w:val="center"/>
          </w:tcPr>
          <w:p w14:paraId="338D5D71">
            <w:pPr>
              <w:pStyle w:val="184"/>
              <w:rPr>
                <w:b w:val="0"/>
                <w:bCs/>
                <w:color w:val="auto"/>
              </w:rPr>
            </w:pPr>
          </w:p>
        </w:tc>
        <w:tc>
          <w:tcPr>
            <w:tcW w:w="982" w:type="pct"/>
            <w:vAlign w:val="center"/>
          </w:tcPr>
          <w:p w14:paraId="6BE45F2C">
            <w:pPr>
              <w:pStyle w:val="184"/>
              <w:rPr>
                <w:b w:val="0"/>
                <w:bCs/>
                <w:color w:val="auto"/>
              </w:rPr>
            </w:pPr>
            <w:r>
              <w:rPr>
                <w:rFonts w:hint="eastAsia"/>
                <w:b w:val="0"/>
                <w:bCs/>
                <w:color w:val="auto"/>
              </w:rPr>
              <w:t>浓度范围</w:t>
            </w:r>
          </w:p>
        </w:tc>
        <w:tc>
          <w:tcPr>
            <w:tcW w:w="323" w:type="pct"/>
            <w:vAlign w:val="center"/>
          </w:tcPr>
          <w:p w14:paraId="43228EDE">
            <w:pPr>
              <w:pStyle w:val="184"/>
              <w:rPr>
                <w:b w:val="0"/>
                <w:bCs/>
                <w:color w:val="auto"/>
              </w:rPr>
            </w:pPr>
            <w:r>
              <w:rPr>
                <w:rFonts w:hint="eastAsia"/>
                <w:b w:val="0"/>
                <w:bCs/>
                <w:color w:val="auto"/>
              </w:rPr>
              <w:t>超标率%</w:t>
            </w:r>
          </w:p>
        </w:tc>
        <w:tc>
          <w:tcPr>
            <w:tcW w:w="502" w:type="pct"/>
            <w:vAlign w:val="center"/>
          </w:tcPr>
          <w:p w14:paraId="774E2C61">
            <w:pPr>
              <w:pStyle w:val="184"/>
              <w:rPr>
                <w:b w:val="0"/>
                <w:bCs/>
                <w:color w:val="auto"/>
              </w:rPr>
            </w:pPr>
            <w:r>
              <w:rPr>
                <w:rFonts w:hint="eastAsia"/>
                <w:b w:val="0"/>
                <w:bCs/>
                <w:color w:val="auto"/>
              </w:rPr>
              <w:t>S</w:t>
            </w:r>
            <w:r>
              <w:rPr>
                <w:rFonts w:hint="eastAsia"/>
                <w:b w:val="0"/>
                <w:bCs/>
                <w:color w:val="auto"/>
                <w:vertAlign w:val="subscript"/>
              </w:rPr>
              <w:t>ij</w:t>
            </w:r>
            <w:r>
              <w:rPr>
                <w:rFonts w:hint="eastAsia"/>
                <w:b w:val="0"/>
                <w:bCs/>
                <w:color w:val="auto"/>
              </w:rPr>
              <w:t>值</w:t>
            </w:r>
          </w:p>
        </w:tc>
        <w:tc>
          <w:tcPr>
            <w:tcW w:w="982" w:type="pct"/>
            <w:vAlign w:val="center"/>
          </w:tcPr>
          <w:p w14:paraId="4B668AD7">
            <w:pPr>
              <w:pStyle w:val="184"/>
              <w:rPr>
                <w:b w:val="0"/>
                <w:bCs/>
                <w:color w:val="auto"/>
              </w:rPr>
            </w:pPr>
            <w:r>
              <w:rPr>
                <w:rFonts w:hint="eastAsia"/>
                <w:b w:val="0"/>
                <w:bCs/>
                <w:color w:val="auto"/>
              </w:rPr>
              <w:t>浓度范围</w:t>
            </w:r>
          </w:p>
        </w:tc>
        <w:tc>
          <w:tcPr>
            <w:tcW w:w="324" w:type="pct"/>
            <w:vAlign w:val="center"/>
          </w:tcPr>
          <w:p w14:paraId="207F0880">
            <w:pPr>
              <w:pStyle w:val="184"/>
              <w:rPr>
                <w:b w:val="0"/>
                <w:bCs/>
                <w:color w:val="auto"/>
              </w:rPr>
            </w:pPr>
            <w:r>
              <w:rPr>
                <w:rFonts w:hint="eastAsia"/>
                <w:b w:val="0"/>
                <w:bCs/>
                <w:color w:val="auto"/>
              </w:rPr>
              <w:t>超标率%</w:t>
            </w:r>
          </w:p>
        </w:tc>
        <w:tc>
          <w:tcPr>
            <w:tcW w:w="615" w:type="pct"/>
            <w:vAlign w:val="center"/>
          </w:tcPr>
          <w:p w14:paraId="3E338586">
            <w:pPr>
              <w:pStyle w:val="184"/>
              <w:rPr>
                <w:b w:val="0"/>
                <w:bCs/>
                <w:color w:val="auto"/>
              </w:rPr>
            </w:pPr>
            <w:r>
              <w:rPr>
                <w:rFonts w:hint="eastAsia"/>
                <w:b w:val="0"/>
                <w:bCs/>
                <w:color w:val="auto"/>
              </w:rPr>
              <w:t>S</w:t>
            </w:r>
            <w:r>
              <w:rPr>
                <w:rFonts w:hint="eastAsia"/>
                <w:b w:val="0"/>
                <w:bCs/>
                <w:color w:val="auto"/>
                <w:vertAlign w:val="subscript"/>
              </w:rPr>
              <w:t>ij</w:t>
            </w:r>
            <w:r>
              <w:rPr>
                <w:rFonts w:hint="eastAsia"/>
                <w:b w:val="0"/>
                <w:bCs/>
                <w:color w:val="auto"/>
              </w:rPr>
              <w:t>值</w:t>
            </w:r>
          </w:p>
        </w:tc>
      </w:tr>
      <w:tr w14:paraId="7E4C5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9" w:type="pct"/>
            <w:shd w:val="clear" w:color="auto" w:fill="auto"/>
            <w:vAlign w:val="center"/>
          </w:tcPr>
          <w:p w14:paraId="140D0D3C">
            <w:pPr>
              <w:pStyle w:val="184"/>
              <w:rPr>
                <w:b w:val="0"/>
                <w:bCs/>
                <w:color w:val="auto"/>
              </w:rPr>
            </w:pPr>
            <w:r>
              <w:rPr>
                <w:rFonts w:hint="eastAsia"/>
                <w:b w:val="0"/>
                <w:bCs/>
                <w:color w:val="auto"/>
              </w:rPr>
              <w:t>1</w:t>
            </w:r>
          </w:p>
        </w:tc>
        <w:tc>
          <w:tcPr>
            <w:tcW w:w="612" w:type="pct"/>
            <w:vAlign w:val="center"/>
          </w:tcPr>
          <w:p w14:paraId="456E61E7">
            <w:pPr>
              <w:pStyle w:val="184"/>
              <w:rPr>
                <w:b w:val="0"/>
                <w:bCs/>
                <w:color w:val="auto"/>
              </w:rPr>
            </w:pPr>
            <w:r>
              <w:rPr>
                <w:rFonts w:hint="eastAsia"/>
                <w:b w:val="0"/>
                <w:bCs/>
                <w:color w:val="auto"/>
              </w:rPr>
              <w:t>电导率（us/cm）</w:t>
            </w:r>
          </w:p>
        </w:tc>
        <w:tc>
          <w:tcPr>
            <w:tcW w:w="427" w:type="pct"/>
            <w:shd w:val="clear" w:color="auto" w:fill="auto"/>
            <w:vAlign w:val="center"/>
          </w:tcPr>
          <w:p w14:paraId="6DB7863A">
            <w:pPr>
              <w:spacing w:line="264" w:lineRule="auto"/>
              <w:ind w:firstLine="0" w:firstLineChars="0"/>
              <w:jc w:val="center"/>
              <w:rPr>
                <w:bCs/>
                <w:color w:val="auto"/>
                <w:sz w:val="21"/>
                <w:szCs w:val="21"/>
              </w:rPr>
            </w:pPr>
            <w:r>
              <w:rPr>
                <w:rFonts w:hint="eastAsia"/>
                <w:bCs/>
                <w:color w:val="auto"/>
                <w:sz w:val="21"/>
                <w:szCs w:val="21"/>
              </w:rPr>
              <w:t>/</w:t>
            </w:r>
          </w:p>
        </w:tc>
        <w:tc>
          <w:tcPr>
            <w:tcW w:w="982" w:type="pct"/>
            <w:shd w:val="clear" w:color="auto" w:fill="auto"/>
            <w:vAlign w:val="center"/>
          </w:tcPr>
          <w:p w14:paraId="027E33A3">
            <w:pPr>
              <w:spacing w:line="264" w:lineRule="auto"/>
              <w:ind w:firstLine="0" w:firstLineChars="0"/>
              <w:jc w:val="center"/>
              <w:rPr>
                <w:rFonts w:hint="default" w:eastAsia="宋体"/>
                <w:bCs/>
                <w:color w:val="auto"/>
                <w:sz w:val="21"/>
                <w:szCs w:val="21"/>
                <w:lang w:val="en-US" w:eastAsia="zh-CN"/>
              </w:rPr>
            </w:pPr>
            <w:r>
              <w:rPr>
                <w:rFonts w:hint="eastAsia"/>
                <w:bCs/>
                <w:color w:val="auto"/>
                <w:sz w:val="21"/>
                <w:szCs w:val="21"/>
                <w:lang w:val="en-US" w:eastAsia="zh-CN"/>
              </w:rPr>
              <w:t>392</w:t>
            </w:r>
            <w:r>
              <w:rPr>
                <w:rFonts w:hint="eastAsia"/>
                <w:bCs/>
                <w:color w:val="auto"/>
                <w:sz w:val="21"/>
                <w:szCs w:val="21"/>
              </w:rPr>
              <w:t>~</w:t>
            </w:r>
            <w:r>
              <w:rPr>
                <w:rFonts w:hint="eastAsia"/>
                <w:bCs/>
                <w:color w:val="auto"/>
                <w:sz w:val="21"/>
                <w:szCs w:val="21"/>
                <w:lang w:val="en-US" w:eastAsia="zh-CN"/>
              </w:rPr>
              <w:t>445</w:t>
            </w:r>
          </w:p>
        </w:tc>
        <w:tc>
          <w:tcPr>
            <w:tcW w:w="323" w:type="pct"/>
          </w:tcPr>
          <w:p w14:paraId="229FEDE9">
            <w:pPr>
              <w:spacing w:line="264" w:lineRule="auto"/>
              <w:ind w:firstLine="0" w:firstLineChars="0"/>
              <w:jc w:val="center"/>
              <w:rPr>
                <w:bCs/>
                <w:color w:val="auto"/>
                <w:sz w:val="21"/>
                <w:szCs w:val="21"/>
              </w:rPr>
            </w:pPr>
            <w:r>
              <w:rPr>
                <w:rFonts w:hint="eastAsia"/>
                <w:bCs/>
                <w:color w:val="auto"/>
                <w:sz w:val="21"/>
                <w:szCs w:val="21"/>
              </w:rPr>
              <w:t>/</w:t>
            </w:r>
          </w:p>
        </w:tc>
        <w:tc>
          <w:tcPr>
            <w:tcW w:w="502" w:type="pct"/>
          </w:tcPr>
          <w:p w14:paraId="00C51113">
            <w:pPr>
              <w:spacing w:line="264" w:lineRule="auto"/>
              <w:ind w:firstLine="0" w:firstLineChars="0"/>
              <w:jc w:val="center"/>
              <w:rPr>
                <w:bCs/>
                <w:color w:val="auto"/>
                <w:sz w:val="21"/>
                <w:szCs w:val="21"/>
              </w:rPr>
            </w:pPr>
            <w:r>
              <w:rPr>
                <w:rFonts w:hint="eastAsia"/>
                <w:bCs/>
                <w:color w:val="auto"/>
                <w:sz w:val="21"/>
                <w:szCs w:val="21"/>
              </w:rPr>
              <w:t>/</w:t>
            </w:r>
          </w:p>
        </w:tc>
        <w:tc>
          <w:tcPr>
            <w:tcW w:w="982" w:type="pct"/>
            <w:shd w:val="clear" w:color="auto" w:fill="auto"/>
            <w:vAlign w:val="center"/>
          </w:tcPr>
          <w:p w14:paraId="18F34922">
            <w:pPr>
              <w:spacing w:line="264"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bCs/>
                <w:color w:val="auto"/>
                <w:sz w:val="21"/>
                <w:szCs w:val="21"/>
                <w:lang w:val="en-US" w:eastAsia="zh-CN"/>
              </w:rPr>
              <w:t>358</w:t>
            </w:r>
            <w:r>
              <w:rPr>
                <w:rFonts w:hint="eastAsia"/>
                <w:bCs/>
                <w:color w:val="auto"/>
                <w:sz w:val="21"/>
                <w:szCs w:val="21"/>
              </w:rPr>
              <w:t>~</w:t>
            </w:r>
            <w:r>
              <w:rPr>
                <w:rFonts w:hint="eastAsia"/>
                <w:bCs/>
                <w:color w:val="auto"/>
                <w:sz w:val="21"/>
                <w:szCs w:val="21"/>
                <w:lang w:val="en-US" w:eastAsia="zh-CN"/>
              </w:rPr>
              <w:t>460</w:t>
            </w:r>
          </w:p>
        </w:tc>
        <w:tc>
          <w:tcPr>
            <w:tcW w:w="324" w:type="pct"/>
            <w:shd w:val="clear" w:color="auto" w:fill="auto"/>
            <w:vAlign w:val="center"/>
          </w:tcPr>
          <w:p w14:paraId="076D7171">
            <w:pPr>
              <w:spacing w:line="264" w:lineRule="auto"/>
              <w:ind w:firstLine="0" w:firstLineChars="0"/>
              <w:jc w:val="center"/>
              <w:rPr>
                <w:bCs/>
                <w:color w:val="auto"/>
                <w:sz w:val="21"/>
                <w:szCs w:val="21"/>
              </w:rPr>
            </w:pPr>
            <w:r>
              <w:rPr>
                <w:rFonts w:hint="eastAsia"/>
                <w:bCs/>
                <w:color w:val="auto"/>
                <w:sz w:val="21"/>
                <w:szCs w:val="21"/>
              </w:rPr>
              <w:t>/</w:t>
            </w:r>
          </w:p>
        </w:tc>
        <w:tc>
          <w:tcPr>
            <w:tcW w:w="615" w:type="pct"/>
            <w:shd w:val="clear" w:color="auto" w:fill="auto"/>
            <w:vAlign w:val="center"/>
          </w:tcPr>
          <w:p w14:paraId="4FBC2A9B">
            <w:pPr>
              <w:spacing w:line="264" w:lineRule="auto"/>
              <w:ind w:firstLine="0" w:firstLineChars="0"/>
              <w:jc w:val="center"/>
              <w:rPr>
                <w:bCs/>
                <w:color w:val="auto"/>
                <w:sz w:val="21"/>
                <w:szCs w:val="21"/>
              </w:rPr>
            </w:pPr>
            <w:r>
              <w:rPr>
                <w:rFonts w:hint="eastAsia"/>
                <w:bCs/>
                <w:color w:val="auto"/>
                <w:sz w:val="21"/>
                <w:szCs w:val="21"/>
              </w:rPr>
              <w:t>/</w:t>
            </w:r>
          </w:p>
        </w:tc>
      </w:tr>
      <w:tr w14:paraId="6AFF7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9" w:type="pct"/>
            <w:shd w:val="clear" w:color="auto" w:fill="auto"/>
            <w:vAlign w:val="center"/>
          </w:tcPr>
          <w:p w14:paraId="3C4946F8">
            <w:pPr>
              <w:pStyle w:val="184"/>
              <w:rPr>
                <w:b w:val="0"/>
                <w:bCs/>
                <w:color w:val="auto"/>
              </w:rPr>
            </w:pPr>
            <w:r>
              <w:rPr>
                <w:rFonts w:hint="eastAsia"/>
                <w:b w:val="0"/>
                <w:bCs/>
                <w:color w:val="auto"/>
              </w:rPr>
              <w:t>2</w:t>
            </w:r>
          </w:p>
        </w:tc>
        <w:tc>
          <w:tcPr>
            <w:tcW w:w="612" w:type="pct"/>
            <w:vAlign w:val="center"/>
          </w:tcPr>
          <w:p w14:paraId="2C134FE4">
            <w:pPr>
              <w:pStyle w:val="184"/>
              <w:rPr>
                <w:b w:val="0"/>
                <w:bCs/>
                <w:color w:val="auto"/>
              </w:rPr>
            </w:pPr>
            <w:r>
              <w:rPr>
                <w:rFonts w:hint="eastAsia"/>
                <w:b w:val="0"/>
                <w:bCs/>
                <w:color w:val="auto"/>
              </w:rPr>
              <w:t>水温（℃）</w:t>
            </w:r>
          </w:p>
        </w:tc>
        <w:tc>
          <w:tcPr>
            <w:tcW w:w="427" w:type="pct"/>
            <w:shd w:val="clear" w:color="auto" w:fill="auto"/>
          </w:tcPr>
          <w:p w14:paraId="49D9703F">
            <w:pPr>
              <w:spacing w:line="264" w:lineRule="auto"/>
              <w:ind w:firstLine="0" w:firstLineChars="0"/>
              <w:jc w:val="center"/>
              <w:rPr>
                <w:bCs/>
                <w:color w:val="auto"/>
                <w:sz w:val="21"/>
                <w:szCs w:val="21"/>
              </w:rPr>
            </w:pPr>
            <w:r>
              <w:rPr>
                <w:rFonts w:hint="eastAsia"/>
                <w:bCs/>
                <w:color w:val="auto"/>
                <w:sz w:val="21"/>
                <w:szCs w:val="21"/>
              </w:rPr>
              <w:t>/</w:t>
            </w:r>
          </w:p>
        </w:tc>
        <w:tc>
          <w:tcPr>
            <w:tcW w:w="982" w:type="pct"/>
            <w:shd w:val="clear" w:color="auto" w:fill="auto"/>
            <w:vAlign w:val="center"/>
          </w:tcPr>
          <w:p w14:paraId="61535757">
            <w:pPr>
              <w:spacing w:line="264" w:lineRule="auto"/>
              <w:ind w:firstLine="0" w:firstLineChars="0"/>
              <w:jc w:val="center"/>
              <w:rPr>
                <w:rFonts w:hint="default" w:eastAsia="宋体"/>
                <w:bCs/>
                <w:color w:val="auto"/>
                <w:sz w:val="21"/>
                <w:szCs w:val="21"/>
                <w:lang w:val="en-US" w:eastAsia="zh-CN"/>
              </w:rPr>
            </w:pPr>
            <w:r>
              <w:rPr>
                <w:rFonts w:hint="eastAsia"/>
                <w:bCs/>
                <w:color w:val="auto"/>
                <w:sz w:val="21"/>
                <w:szCs w:val="21"/>
                <w:lang w:val="en-US" w:eastAsia="zh-CN"/>
              </w:rPr>
              <w:t>14.9</w:t>
            </w:r>
            <w:r>
              <w:rPr>
                <w:rFonts w:hint="eastAsia"/>
                <w:bCs/>
                <w:color w:val="auto"/>
                <w:sz w:val="21"/>
                <w:szCs w:val="21"/>
              </w:rPr>
              <w:t>~</w:t>
            </w:r>
            <w:r>
              <w:rPr>
                <w:rFonts w:hint="eastAsia"/>
                <w:bCs/>
                <w:color w:val="auto"/>
                <w:sz w:val="21"/>
                <w:szCs w:val="21"/>
                <w:lang w:val="en-US" w:eastAsia="zh-CN"/>
              </w:rPr>
              <w:t>24.1</w:t>
            </w:r>
          </w:p>
        </w:tc>
        <w:tc>
          <w:tcPr>
            <w:tcW w:w="323" w:type="pct"/>
          </w:tcPr>
          <w:p w14:paraId="2A2867B5">
            <w:pPr>
              <w:spacing w:line="264" w:lineRule="auto"/>
              <w:ind w:firstLine="0" w:firstLineChars="0"/>
              <w:jc w:val="center"/>
              <w:rPr>
                <w:bCs/>
                <w:color w:val="auto"/>
                <w:sz w:val="21"/>
                <w:szCs w:val="21"/>
              </w:rPr>
            </w:pPr>
            <w:r>
              <w:rPr>
                <w:rFonts w:hint="eastAsia"/>
                <w:bCs/>
                <w:color w:val="auto"/>
                <w:sz w:val="21"/>
                <w:szCs w:val="21"/>
              </w:rPr>
              <w:t>/</w:t>
            </w:r>
          </w:p>
        </w:tc>
        <w:tc>
          <w:tcPr>
            <w:tcW w:w="502" w:type="pct"/>
          </w:tcPr>
          <w:p w14:paraId="54C189B0">
            <w:pPr>
              <w:spacing w:line="264" w:lineRule="auto"/>
              <w:ind w:firstLine="0" w:firstLineChars="0"/>
              <w:jc w:val="center"/>
              <w:rPr>
                <w:bCs/>
                <w:color w:val="auto"/>
                <w:sz w:val="21"/>
                <w:szCs w:val="21"/>
              </w:rPr>
            </w:pPr>
            <w:r>
              <w:rPr>
                <w:rFonts w:hint="eastAsia"/>
                <w:bCs/>
                <w:color w:val="auto"/>
                <w:sz w:val="21"/>
                <w:szCs w:val="21"/>
              </w:rPr>
              <w:t>/</w:t>
            </w:r>
          </w:p>
        </w:tc>
        <w:tc>
          <w:tcPr>
            <w:tcW w:w="982" w:type="pct"/>
            <w:shd w:val="clear" w:color="auto" w:fill="auto"/>
            <w:vAlign w:val="center"/>
          </w:tcPr>
          <w:p w14:paraId="42EC0E51">
            <w:pPr>
              <w:spacing w:line="264"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bCs/>
                <w:color w:val="auto"/>
                <w:sz w:val="21"/>
                <w:szCs w:val="21"/>
                <w:lang w:val="en-US" w:eastAsia="zh-CN"/>
              </w:rPr>
              <w:t>14.1</w:t>
            </w:r>
            <w:r>
              <w:rPr>
                <w:rFonts w:hint="eastAsia"/>
                <w:bCs/>
                <w:color w:val="auto"/>
                <w:sz w:val="21"/>
                <w:szCs w:val="21"/>
              </w:rPr>
              <w:t>~</w:t>
            </w:r>
            <w:r>
              <w:rPr>
                <w:rFonts w:hint="eastAsia"/>
                <w:bCs/>
                <w:color w:val="auto"/>
                <w:sz w:val="21"/>
                <w:szCs w:val="21"/>
                <w:lang w:val="en-US" w:eastAsia="zh-CN"/>
              </w:rPr>
              <w:t>27.1</w:t>
            </w:r>
          </w:p>
        </w:tc>
        <w:tc>
          <w:tcPr>
            <w:tcW w:w="324" w:type="pct"/>
            <w:shd w:val="clear" w:color="auto" w:fill="auto"/>
          </w:tcPr>
          <w:p w14:paraId="2E7B0F12">
            <w:pPr>
              <w:spacing w:line="264" w:lineRule="auto"/>
              <w:ind w:firstLine="0" w:firstLineChars="0"/>
              <w:jc w:val="center"/>
              <w:rPr>
                <w:bCs/>
                <w:color w:val="auto"/>
                <w:sz w:val="21"/>
                <w:szCs w:val="21"/>
              </w:rPr>
            </w:pPr>
            <w:r>
              <w:rPr>
                <w:rFonts w:hint="eastAsia"/>
                <w:bCs/>
                <w:color w:val="auto"/>
                <w:sz w:val="21"/>
                <w:szCs w:val="21"/>
              </w:rPr>
              <w:t>/</w:t>
            </w:r>
          </w:p>
        </w:tc>
        <w:tc>
          <w:tcPr>
            <w:tcW w:w="615" w:type="pct"/>
            <w:shd w:val="clear" w:color="auto" w:fill="auto"/>
          </w:tcPr>
          <w:p w14:paraId="30A5303C">
            <w:pPr>
              <w:spacing w:line="264" w:lineRule="auto"/>
              <w:ind w:firstLine="0" w:firstLineChars="0"/>
              <w:jc w:val="center"/>
              <w:rPr>
                <w:bCs/>
                <w:color w:val="auto"/>
                <w:sz w:val="21"/>
                <w:szCs w:val="21"/>
              </w:rPr>
            </w:pPr>
            <w:r>
              <w:rPr>
                <w:rFonts w:hint="eastAsia"/>
                <w:bCs/>
                <w:color w:val="auto"/>
                <w:sz w:val="21"/>
                <w:szCs w:val="21"/>
              </w:rPr>
              <w:t>/</w:t>
            </w:r>
          </w:p>
        </w:tc>
      </w:tr>
      <w:tr w14:paraId="4D93C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9" w:type="pct"/>
            <w:shd w:val="clear" w:color="auto" w:fill="auto"/>
            <w:vAlign w:val="center"/>
          </w:tcPr>
          <w:p w14:paraId="3588089D">
            <w:pPr>
              <w:pStyle w:val="184"/>
              <w:rPr>
                <w:b w:val="0"/>
                <w:bCs/>
                <w:color w:val="auto"/>
              </w:rPr>
            </w:pPr>
            <w:r>
              <w:rPr>
                <w:rFonts w:hint="eastAsia"/>
                <w:b w:val="0"/>
                <w:bCs/>
                <w:color w:val="auto"/>
              </w:rPr>
              <w:t>3</w:t>
            </w:r>
          </w:p>
        </w:tc>
        <w:tc>
          <w:tcPr>
            <w:tcW w:w="612" w:type="pct"/>
            <w:vAlign w:val="center"/>
          </w:tcPr>
          <w:p w14:paraId="45CA0E50">
            <w:pPr>
              <w:pStyle w:val="184"/>
              <w:rPr>
                <w:b w:val="0"/>
                <w:bCs/>
                <w:color w:val="auto"/>
              </w:rPr>
            </w:pPr>
            <w:r>
              <w:rPr>
                <w:rFonts w:hint="eastAsia"/>
                <w:b w:val="0"/>
                <w:bCs/>
                <w:color w:val="auto"/>
              </w:rPr>
              <w:t>pH（无量纲）</w:t>
            </w:r>
          </w:p>
        </w:tc>
        <w:tc>
          <w:tcPr>
            <w:tcW w:w="427" w:type="pct"/>
            <w:shd w:val="clear" w:color="auto" w:fill="auto"/>
            <w:vAlign w:val="center"/>
          </w:tcPr>
          <w:p w14:paraId="4EDC6ECB">
            <w:pPr>
              <w:pStyle w:val="184"/>
              <w:rPr>
                <w:b w:val="0"/>
                <w:bCs/>
                <w:color w:val="auto"/>
              </w:rPr>
            </w:pPr>
            <w:r>
              <w:rPr>
                <w:rFonts w:hint="eastAsia"/>
                <w:b w:val="0"/>
                <w:bCs/>
                <w:color w:val="auto"/>
              </w:rPr>
              <w:t>6~9</w:t>
            </w:r>
          </w:p>
        </w:tc>
        <w:tc>
          <w:tcPr>
            <w:tcW w:w="982" w:type="pct"/>
            <w:shd w:val="clear" w:color="auto" w:fill="auto"/>
            <w:vAlign w:val="center"/>
          </w:tcPr>
          <w:p w14:paraId="3FEC81E5">
            <w:pPr>
              <w:spacing w:line="264" w:lineRule="auto"/>
              <w:ind w:firstLine="0" w:firstLineChars="0"/>
              <w:jc w:val="center"/>
              <w:rPr>
                <w:rFonts w:hint="eastAsia" w:eastAsia="宋体"/>
                <w:bCs/>
                <w:color w:val="auto"/>
                <w:sz w:val="21"/>
                <w:szCs w:val="21"/>
                <w:lang w:eastAsia="zh-CN"/>
              </w:rPr>
            </w:pPr>
            <w:r>
              <w:rPr>
                <w:rFonts w:hint="eastAsia"/>
                <w:bCs/>
                <w:color w:val="auto"/>
                <w:sz w:val="21"/>
                <w:szCs w:val="21"/>
                <w:lang w:val="en-US" w:eastAsia="zh-CN"/>
              </w:rPr>
              <w:t>8</w:t>
            </w:r>
          </w:p>
        </w:tc>
        <w:tc>
          <w:tcPr>
            <w:tcW w:w="323" w:type="pct"/>
            <w:vAlign w:val="center"/>
          </w:tcPr>
          <w:p w14:paraId="0F060EAF">
            <w:pPr>
              <w:pStyle w:val="184"/>
              <w:rPr>
                <w:b w:val="0"/>
                <w:bCs/>
                <w:color w:val="auto"/>
              </w:rPr>
            </w:pPr>
            <w:r>
              <w:rPr>
                <w:rFonts w:hint="eastAsia"/>
                <w:b w:val="0"/>
                <w:bCs/>
                <w:color w:val="auto"/>
              </w:rPr>
              <w:t>0</w:t>
            </w:r>
          </w:p>
        </w:tc>
        <w:tc>
          <w:tcPr>
            <w:tcW w:w="502" w:type="pct"/>
            <w:shd w:val="clear" w:color="auto" w:fill="auto"/>
            <w:vAlign w:val="center"/>
          </w:tcPr>
          <w:p w14:paraId="1C487FB6">
            <w:pPr>
              <w:spacing w:line="264" w:lineRule="auto"/>
              <w:ind w:firstLine="0" w:firstLineChars="0"/>
              <w:jc w:val="center"/>
              <w:rPr>
                <w:rFonts w:hint="default" w:eastAsia="宋体"/>
                <w:bCs/>
                <w:color w:val="auto"/>
                <w:sz w:val="21"/>
                <w:szCs w:val="21"/>
                <w:lang w:val="en-US" w:eastAsia="zh-CN"/>
              </w:rPr>
            </w:pPr>
            <w:r>
              <w:rPr>
                <w:rFonts w:hint="eastAsia"/>
                <w:bCs/>
                <w:color w:val="auto"/>
                <w:sz w:val="21"/>
                <w:szCs w:val="21"/>
                <w:lang w:val="en-US" w:eastAsia="zh-CN"/>
              </w:rPr>
              <w:t>0.50</w:t>
            </w:r>
          </w:p>
        </w:tc>
        <w:tc>
          <w:tcPr>
            <w:tcW w:w="982" w:type="pct"/>
            <w:shd w:val="clear" w:color="auto" w:fill="auto"/>
            <w:vAlign w:val="center"/>
          </w:tcPr>
          <w:p w14:paraId="387E1FF0">
            <w:pPr>
              <w:spacing w:line="264" w:lineRule="auto"/>
              <w:ind w:firstLine="0" w:firstLineChars="0"/>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 w:val="21"/>
                <w:szCs w:val="21"/>
                <w:lang w:val="en-US" w:eastAsia="zh-CN"/>
              </w:rPr>
              <w:t>8</w:t>
            </w:r>
          </w:p>
        </w:tc>
        <w:tc>
          <w:tcPr>
            <w:tcW w:w="324" w:type="pct"/>
            <w:vAlign w:val="center"/>
          </w:tcPr>
          <w:p w14:paraId="3644361C">
            <w:pPr>
              <w:pStyle w:val="184"/>
              <w:rPr>
                <w:b w:val="0"/>
                <w:bCs/>
                <w:color w:val="auto"/>
              </w:rPr>
            </w:pPr>
            <w:r>
              <w:rPr>
                <w:rFonts w:hint="eastAsia"/>
                <w:b w:val="0"/>
                <w:bCs/>
                <w:color w:val="auto"/>
              </w:rPr>
              <w:t>0</w:t>
            </w:r>
          </w:p>
        </w:tc>
        <w:tc>
          <w:tcPr>
            <w:tcW w:w="615" w:type="pct"/>
            <w:shd w:val="clear" w:color="auto" w:fill="auto"/>
            <w:vAlign w:val="center"/>
          </w:tcPr>
          <w:p w14:paraId="442DB7B1">
            <w:pPr>
              <w:spacing w:line="264" w:lineRule="auto"/>
              <w:ind w:firstLine="0" w:firstLineChars="0"/>
              <w:jc w:val="center"/>
              <w:rPr>
                <w:bCs/>
                <w:color w:val="auto"/>
                <w:sz w:val="21"/>
                <w:szCs w:val="21"/>
              </w:rPr>
            </w:pPr>
            <w:r>
              <w:rPr>
                <w:rFonts w:hint="eastAsia"/>
                <w:bCs/>
                <w:color w:val="auto"/>
                <w:sz w:val="21"/>
                <w:szCs w:val="21"/>
              </w:rPr>
              <w:t>0.50</w:t>
            </w:r>
          </w:p>
        </w:tc>
      </w:tr>
      <w:tr w14:paraId="3EFE1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trPr>
        <w:tc>
          <w:tcPr>
            <w:tcW w:w="229" w:type="pct"/>
            <w:shd w:val="clear" w:color="auto" w:fill="auto"/>
            <w:vAlign w:val="center"/>
          </w:tcPr>
          <w:p w14:paraId="12D6A447">
            <w:pPr>
              <w:pStyle w:val="184"/>
              <w:rPr>
                <w:b w:val="0"/>
                <w:bCs/>
                <w:color w:val="auto"/>
              </w:rPr>
            </w:pPr>
            <w:r>
              <w:rPr>
                <w:rFonts w:hint="eastAsia"/>
                <w:b w:val="0"/>
                <w:bCs/>
                <w:color w:val="auto"/>
              </w:rPr>
              <w:t>4</w:t>
            </w:r>
          </w:p>
        </w:tc>
        <w:tc>
          <w:tcPr>
            <w:tcW w:w="612" w:type="pct"/>
            <w:vAlign w:val="center"/>
          </w:tcPr>
          <w:p w14:paraId="62DF1BB3">
            <w:pPr>
              <w:pStyle w:val="184"/>
              <w:rPr>
                <w:b w:val="0"/>
                <w:bCs/>
                <w:color w:val="auto"/>
              </w:rPr>
            </w:pPr>
            <w:r>
              <w:rPr>
                <w:rFonts w:hint="eastAsia"/>
                <w:b w:val="0"/>
                <w:bCs/>
                <w:color w:val="auto"/>
              </w:rPr>
              <w:t>DO</w:t>
            </w:r>
          </w:p>
        </w:tc>
        <w:tc>
          <w:tcPr>
            <w:tcW w:w="427" w:type="pct"/>
            <w:shd w:val="clear" w:color="auto" w:fill="auto"/>
            <w:vAlign w:val="center"/>
          </w:tcPr>
          <w:p w14:paraId="01C202AC">
            <w:pPr>
              <w:pStyle w:val="184"/>
              <w:rPr>
                <w:b w:val="0"/>
                <w:bCs/>
                <w:color w:val="auto"/>
              </w:rPr>
            </w:pPr>
            <w:r>
              <w:rPr>
                <w:rFonts w:hint="eastAsia"/>
                <w:b w:val="0"/>
                <w:bCs/>
                <w:color w:val="auto"/>
              </w:rPr>
              <w:t>5</w:t>
            </w:r>
          </w:p>
        </w:tc>
        <w:tc>
          <w:tcPr>
            <w:tcW w:w="982" w:type="pct"/>
            <w:shd w:val="clear" w:color="auto" w:fill="auto"/>
            <w:vAlign w:val="center"/>
          </w:tcPr>
          <w:p w14:paraId="1D61B774">
            <w:pPr>
              <w:spacing w:line="264" w:lineRule="auto"/>
              <w:ind w:firstLine="0" w:firstLineChars="0"/>
              <w:jc w:val="center"/>
              <w:rPr>
                <w:rFonts w:hint="default" w:eastAsia="宋体"/>
                <w:bCs/>
                <w:color w:val="auto"/>
                <w:sz w:val="21"/>
                <w:szCs w:val="21"/>
                <w:lang w:val="en-US" w:eastAsia="zh-CN"/>
              </w:rPr>
            </w:pPr>
            <w:r>
              <w:rPr>
                <w:rFonts w:hint="eastAsia"/>
                <w:bCs/>
                <w:color w:val="auto"/>
                <w:sz w:val="21"/>
                <w:szCs w:val="21"/>
                <w:lang w:val="en-US" w:eastAsia="zh-CN"/>
              </w:rPr>
              <w:t>7.0</w:t>
            </w:r>
            <w:r>
              <w:rPr>
                <w:rFonts w:hint="eastAsia"/>
                <w:bCs/>
                <w:color w:val="auto"/>
                <w:sz w:val="21"/>
                <w:szCs w:val="21"/>
              </w:rPr>
              <w:t>~</w:t>
            </w:r>
            <w:r>
              <w:rPr>
                <w:rFonts w:hint="eastAsia"/>
                <w:bCs/>
                <w:color w:val="auto"/>
                <w:sz w:val="21"/>
                <w:szCs w:val="21"/>
                <w:lang w:val="en-US" w:eastAsia="zh-CN"/>
              </w:rPr>
              <w:t>9.2</w:t>
            </w:r>
          </w:p>
        </w:tc>
        <w:tc>
          <w:tcPr>
            <w:tcW w:w="323" w:type="pct"/>
            <w:vAlign w:val="center"/>
          </w:tcPr>
          <w:p w14:paraId="025468AD">
            <w:pPr>
              <w:pStyle w:val="184"/>
              <w:rPr>
                <w:b w:val="0"/>
                <w:bCs/>
                <w:color w:val="auto"/>
              </w:rPr>
            </w:pPr>
            <w:r>
              <w:rPr>
                <w:rFonts w:hint="eastAsia"/>
                <w:b w:val="0"/>
                <w:bCs/>
                <w:color w:val="auto"/>
              </w:rPr>
              <w:t>0</w:t>
            </w:r>
          </w:p>
        </w:tc>
        <w:tc>
          <w:tcPr>
            <w:tcW w:w="502" w:type="pct"/>
            <w:shd w:val="clear" w:color="auto" w:fill="auto"/>
            <w:vAlign w:val="center"/>
          </w:tcPr>
          <w:p w14:paraId="5C991D7B">
            <w:pPr>
              <w:spacing w:line="264" w:lineRule="auto"/>
              <w:ind w:firstLine="0" w:firstLineChars="0"/>
              <w:jc w:val="center"/>
              <w:rPr>
                <w:bCs/>
                <w:color w:val="auto"/>
                <w:sz w:val="21"/>
                <w:szCs w:val="21"/>
              </w:rPr>
            </w:pPr>
          </w:p>
        </w:tc>
        <w:tc>
          <w:tcPr>
            <w:tcW w:w="982" w:type="pct"/>
            <w:shd w:val="clear" w:color="auto" w:fill="auto"/>
            <w:vAlign w:val="center"/>
          </w:tcPr>
          <w:p w14:paraId="7345D3C5">
            <w:pPr>
              <w:spacing w:line="264"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bCs/>
                <w:color w:val="auto"/>
                <w:sz w:val="21"/>
                <w:szCs w:val="21"/>
                <w:lang w:val="en-US" w:eastAsia="zh-CN"/>
              </w:rPr>
              <w:t>7.4</w:t>
            </w:r>
            <w:r>
              <w:rPr>
                <w:rFonts w:hint="eastAsia"/>
                <w:bCs/>
                <w:color w:val="auto"/>
                <w:sz w:val="21"/>
                <w:szCs w:val="21"/>
              </w:rPr>
              <w:t>~</w:t>
            </w:r>
            <w:r>
              <w:rPr>
                <w:rFonts w:hint="eastAsia"/>
                <w:bCs/>
                <w:color w:val="auto"/>
                <w:sz w:val="21"/>
                <w:szCs w:val="21"/>
                <w:lang w:val="en-US" w:eastAsia="zh-CN"/>
              </w:rPr>
              <w:t>8.8</w:t>
            </w:r>
          </w:p>
        </w:tc>
        <w:tc>
          <w:tcPr>
            <w:tcW w:w="324" w:type="pct"/>
            <w:vAlign w:val="center"/>
          </w:tcPr>
          <w:p w14:paraId="71BD6C99">
            <w:pPr>
              <w:pStyle w:val="184"/>
              <w:rPr>
                <w:b w:val="0"/>
                <w:bCs/>
                <w:color w:val="auto"/>
              </w:rPr>
            </w:pPr>
            <w:r>
              <w:rPr>
                <w:rFonts w:hint="eastAsia"/>
                <w:b w:val="0"/>
                <w:bCs/>
                <w:color w:val="auto"/>
              </w:rPr>
              <w:t>0</w:t>
            </w:r>
          </w:p>
        </w:tc>
        <w:tc>
          <w:tcPr>
            <w:tcW w:w="615" w:type="pct"/>
            <w:shd w:val="clear" w:color="auto" w:fill="auto"/>
            <w:vAlign w:val="center"/>
          </w:tcPr>
          <w:p w14:paraId="2C89D806">
            <w:pPr>
              <w:spacing w:line="264" w:lineRule="auto"/>
              <w:ind w:firstLine="0" w:firstLineChars="0"/>
              <w:jc w:val="center"/>
              <w:rPr>
                <w:bCs/>
                <w:color w:val="auto"/>
                <w:sz w:val="21"/>
                <w:szCs w:val="21"/>
              </w:rPr>
            </w:pPr>
          </w:p>
        </w:tc>
      </w:tr>
      <w:tr w14:paraId="0C041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29" w:type="pct"/>
            <w:shd w:val="clear" w:color="auto" w:fill="auto"/>
            <w:vAlign w:val="center"/>
          </w:tcPr>
          <w:p w14:paraId="6B286BA6">
            <w:pPr>
              <w:pStyle w:val="184"/>
              <w:rPr>
                <w:b w:val="0"/>
                <w:bCs/>
                <w:color w:val="auto"/>
              </w:rPr>
            </w:pPr>
            <w:r>
              <w:rPr>
                <w:rFonts w:hint="eastAsia"/>
                <w:b w:val="0"/>
                <w:bCs/>
                <w:color w:val="auto"/>
              </w:rPr>
              <w:t>5</w:t>
            </w:r>
          </w:p>
        </w:tc>
        <w:tc>
          <w:tcPr>
            <w:tcW w:w="612" w:type="pct"/>
            <w:vAlign w:val="center"/>
          </w:tcPr>
          <w:p w14:paraId="23691B6A">
            <w:pPr>
              <w:pStyle w:val="184"/>
              <w:rPr>
                <w:b w:val="0"/>
                <w:bCs/>
                <w:color w:val="auto"/>
              </w:rPr>
            </w:pPr>
            <w:r>
              <w:rPr>
                <w:rFonts w:hint="eastAsia"/>
                <w:b w:val="0"/>
                <w:bCs/>
                <w:color w:val="auto"/>
              </w:rPr>
              <w:t>NH</w:t>
            </w:r>
            <w:r>
              <w:rPr>
                <w:rFonts w:hint="eastAsia"/>
                <w:b w:val="0"/>
                <w:bCs/>
                <w:color w:val="auto"/>
                <w:vertAlign w:val="subscript"/>
              </w:rPr>
              <w:t>3</w:t>
            </w:r>
            <w:r>
              <w:rPr>
                <w:rFonts w:hint="eastAsia"/>
                <w:b w:val="0"/>
                <w:bCs/>
                <w:color w:val="auto"/>
              </w:rPr>
              <w:t>-N</w:t>
            </w:r>
          </w:p>
        </w:tc>
        <w:tc>
          <w:tcPr>
            <w:tcW w:w="427" w:type="pct"/>
            <w:shd w:val="clear" w:color="auto" w:fill="auto"/>
            <w:vAlign w:val="center"/>
          </w:tcPr>
          <w:p w14:paraId="5D2F16F3">
            <w:pPr>
              <w:pStyle w:val="184"/>
              <w:rPr>
                <w:b w:val="0"/>
                <w:bCs/>
                <w:color w:val="auto"/>
              </w:rPr>
            </w:pPr>
            <w:r>
              <w:rPr>
                <w:rFonts w:hint="eastAsia"/>
                <w:b w:val="0"/>
                <w:bCs/>
                <w:color w:val="auto"/>
              </w:rPr>
              <w:t>1.0</w:t>
            </w:r>
          </w:p>
        </w:tc>
        <w:tc>
          <w:tcPr>
            <w:tcW w:w="982" w:type="pct"/>
            <w:shd w:val="clear" w:color="auto" w:fill="auto"/>
            <w:vAlign w:val="center"/>
          </w:tcPr>
          <w:p w14:paraId="4241FC64">
            <w:pPr>
              <w:spacing w:line="264" w:lineRule="auto"/>
              <w:ind w:firstLine="0" w:firstLineChars="0"/>
              <w:jc w:val="center"/>
              <w:rPr>
                <w:rFonts w:hint="default" w:eastAsia="宋体"/>
                <w:bCs/>
                <w:color w:val="auto"/>
                <w:sz w:val="21"/>
                <w:szCs w:val="21"/>
                <w:lang w:val="en-US" w:eastAsia="zh-CN"/>
              </w:rPr>
            </w:pPr>
            <w:r>
              <w:rPr>
                <w:rFonts w:hint="eastAsia"/>
                <w:bCs/>
                <w:color w:val="auto"/>
                <w:sz w:val="21"/>
                <w:szCs w:val="21"/>
              </w:rPr>
              <w:t>0.0</w:t>
            </w:r>
            <w:r>
              <w:rPr>
                <w:rFonts w:hint="eastAsia"/>
                <w:bCs/>
                <w:color w:val="auto"/>
                <w:sz w:val="21"/>
                <w:szCs w:val="21"/>
                <w:lang w:val="en-US" w:eastAsia="zh-CN"/>
              </w:rPr>
              <w:t>6</w:t>
            </w:r>
            <w:r>
              <w:rPr>
                <w:rFonts w:hint="eastAsia"/>
                <w:bCs/>
                <w:color w:val="auto"/>
                <w:sz w:val="21"/>
                <w:szCs w:val="21"/>
              </w:rPr>
              <w:t>~0.</w:t>
            </w:r>
            <w:r>
              <w:rPr>
                <w:rFonts w:hint="eastAsia"/>
                <w:bCs/>
                <w:color w:val="auto"/>
                <w:sz w:val="21"/>
                <w:szCs w:val="21"/>
                <w:lang w:val="en-US" w:eastAsia="zh-CN"/>
              </w:rPr>
              <w:t>13</w:t>
            </w:r>
          </w:p>
        </w:tc>
        <w:tc>
          <w:tcPr>
            <w:tcW w:w="323" w:type="pct"/>
            <w:vAlign w:val="center"/>
          </w:tcPr>
          <w:p w14:paraId="526DD4ED">
            <w:pPr>
              <w:pStyle w:val="184"/>
              <w:rPr>
                <w:b w:val="0"/>
                <w:bCs/>
                <w:color w:val="auto"/>
              </w:rPr>
            </w:pPr>
            <w:r>
              <w:rPr>
                <w:rFonts w:hint="eastAsia"/>
                <w:b w:val="0"/>
                <w:bCs/>
                <w:color w:val="auto"/>
              </w:rPr>
              <w:t>0</w:t>
            </w:r>
          </w:p>
        </w:tc>
        <w:tc>
          <w:tcPr>
            <w:tcW w:w="502" w:type="pct"/>
            <w:shd w:val="clear" w:color="auto" w:fill="auto"/>
            <w:vAlign w:val="center"/>
          </w:tcPr>
          <w:p w14:paraId="037CF4EB">
            <w:pPr>
              <w:spacing w:line="264" w:lineRule="auto"/>
              <w:ind w:firstLine="0" w:firstLineChars="0"/>
              <w:jc w:val="center"/>
              <w:rPr>
                <w:rFonts w:hint="default" w:eastAsia="宋体"/>
                <w:bCs/>
                <w:color w:val="auto"/>
                <w:sz w:val="21"/>
                <w:szCs w:val="21"/>
                <w:lang w:val="en-US" w:eastAsia="zh-CN"/>
              </w:rPr>
            </w:pPr>
            <w:r>
              <w:rPr>
                <w:rFonts w:hint="eastAsia"/>
                <w:bCs/>
                <w:color w:val="auto"/>
                <w:sz w:val="21"/>
                <w:szCs w:val="21"/>
              </w:rPr>
              <w:t>0.</w:t>
            </w:r>
            <w:r>
              <w:rPr>
                <w:rFonts w:hint="eastAsia"/>
                <w:bCs/>
                <w:color w:val="auto"/>
                <w:sz w:val="21"/>
                <w:szCs w:val="21"/>
                <w:lang w:val="en-US" w:eastAsia="zh-CN"/>
              </w:rPr>
              <w:t>13</w:t>
            </w:r>
          </w:p>
        </w:tc>
        <w:tc>
          <w:tcPr>
            <w:tcW w:w="982" w:type="pct"/>
            <w:shd w:val="clear" w:color="auto" w:fill="auto"/>
            <w:vAlign w:val="center"/>
          </w:tcPr>
          <w:p w14:paraId="649109A0">
            <w:pPr>
              <w:spacing w:line="264"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bCs/>
                <w:color w:val="auto"/>
                <w:sz w:val="21"/>
                <w:szCs w:val="21"/>
              </w:rPr>
              <w:t>0.0</w:t>
            </w:r>
            <w:r>
              <w:rPr>
                <w:rFonts w:hint="eastAsia"/>
                <w:bCs/>
                <w:color w:val="auto"/>
                <w:sz w:val="21"/>
                <w:szCs w:val="21"/>
                <w:lang w:val="en-US" w:eastAsia="zh-CN"/>
              </w:rPr>
              <w:t>2</w:t>
            </w:r>
            <w:r>
              <w:rPr>
                <w:rFonts w:hint="eastAsia"/>
                <w:bCs/>
                <w:color w:val="auto"/>
                <w:sz w:val="21"/>
                <w:szCs w:val="21"/>
              </w:rPr>
              <w:t>~0.</w:t>
            </w:r>
            <w:r>
              <w:rPr>
                <w:rFonts w:hint="eastAsia"/>
                <w:bCs/>
                <w:color w:val="auto"/>
                <w:sz w:val="21"/>
                <w:szCs w:val="21"/>
                <w:lang w:val="en-US" w:eastAsia="zh-CN"/>
              </w:rPr>
              <w:t>04</w:t>
            </w:r>
          </w:p>
        </w:tc>
        <w:tc>
          <w:tcPr>
            <w:tcW w:w="324" w:type="pct"/>
            <w:vAlign w:val="center"/>
          </w:tcPr>
          <w:p w14:paraId="4DA01E20">
            <w:pPr>
              <w:pStyle w:val="184"/>
              <w:rPr>
                <w:b w:val="0"/>
                <w:bCs/>
                <w:color w:val="auto"/>
              </w:rPr>
            </w:pPr>
            <w:r>
              <w:rPr>
                <w:rFonts w:hint="eastAsia"/>
                <w:b w:val="0"/>
                <w:bCs/>
                <w:color w:val="auto"/>
              </w:rPr>
              <w:t>0</w:t>
            </w:r>
          </w:p>
        </w:tc>
        <w:tc>
          <w:tcPr>
            <w:tcW w:w="615" w:type="pct"/>
            <w:shd w:val="clear" w:color="auto" w:fill="auto"/>
            <w:vAlign w:val="center"/>
          </w:tcPr>
          <w:p w14:paraId="6D15249E">
            <w:pPr>
              <w:spacing w:line="264" w:lineRule="auto"/>
              <w:ind w:firstLine="0" w:firstLineChars="0"/>
              <w:jc w:val="center"/>
              <w:rPr>
                <w:rFonts w:hint="default" w:eastAsia="宋体"/>
                <w:bCs/>
                <w:color w:val="auto"/>
                <w:sz w:val="21"/>
                <w:szCs w:val="21"/>
                <w:lang w:val="en-US" w:eastAsia="zh-CN"/>
              </w:rPr>
            </w:pPr>
            <w:r>
              <w:rPr>
                <w:rFonts w:hint="eastAsia"/>
                <w:bCs/>
                <w:color w:val="auto"/>
                <w:sz w:val="21"/>
                <w:szCs w:val="21"/>
              </w:rPr>
              <w:t>0.</w:t>
            </w:r>
            <w:r>
              <w:rPr>
                <w:rFonts w:hint="eastAsia"/>
                <w:bCs/>
                <w:color w:val="auto"/>
                <w:sz w:val="21"/>
                <w:szCs w:val="21"/>
                <w:lang w:val="en-US" w:eastAsia="zh-CN"/>
              </w:rPr>
              <w:t>04</w:t>
            </w:r>
          </w:p>
        </w:tc>
      </w:tr>
      <w:tr w14:paraId="16075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9" w:type="pct"/>
            <w:shd w:val="clear" w:color="auto" w:fill="auto"/>
            <w:vAlign w:val="center"/>
          </w:tcPr>
          <w:p w14:paraId="694EB646">
            <w:pPr>
              <w:pStyle w:val="184"/>
              <w:rPr>
                <w:b w:val="0"/>
                <w:bCs/>
                <w:color w:val="auto"/>
              </w:rPr>
            </w:pPr>
            <w:r>
              <w:rPr>
                <w:rFonts w:hint="eastAsia"/>
                <w:b w:val="0"/>
                <w:bCs/>
                <w:color w:val="auto"/>
              </w:rPr>
              <w:t>6</w:t>
            </w:r>
          </w:p>
        </w:tc>
        <w:tc>
          <w:tcPr>
            <w:tcW w:w="612" w:type="pct"/>
            <w:vAlign w:val="center"/>
          </w:tcPr>
          <w:p w14:paraId="342B66E8">
            <w:pPr>
              <w:pStyle w:val="184"/>
              <w:rPr>
                <w:b w:val="0"/>
                <w:bCs/>
                <w:color w:val="auto"/>
              </w:rPr>
            </w:pPr>
            <w:r>
              <w:rPr>
                <w:rFonts w:hint="eastAsia"/>
                <w:b w:val="0"/>
                <w:bCs/>
                <w:color w:val="auto"/>
              </w:rPr>
              <w:t>COD</w:t>
            </w:r>
          </w:p>
        </w:tc>
        <w:tc>
          <w:tcPr>
            <w:tcW w:w="427" w:type="pct"/>
            <w:shd w:val="clear" w:color="auto" w:fill="auto"/>
            <w:vAlign w:val="center"/>
          </w:tcPr>
          <w:p w14:paraId="10447B00">
            <w:pPr>
              <w:pStyle w:val="184"/>
              <w:rPr>
                <w:b w:val="0"/>
                <w:bCs/>
                <w:color w:val="auto"/>
              </w:rPr>
            </w:pPr>
            <w:r>
              <w:rPr>
                <w:rFonts w:hint="eastAsia"/>
                <w:b w:val="0"/>
                <w:bCs/>
                <w:color w:val="auto"/>
              </w:rPr>
              <w:t>20</w:t>
            </w:r>
          </w:p>
        </w:tc>
        <w:tc>
          <w:tcPr>
            <w:tcW w:w="982" w:type="pct"/>
            <w:vAlign w:val="center"/>
          </w:tcPr>
          <w:p w14:paraId="5B7ECC04">
            <w:pPr>
              <w:spacing w:line="264" w:lineRule="auto"/>
              <w:ind w:firstLine="0" w:firstLineChars="0"/>
              <w:jc w:val="center"/>
              <w:rPr>
                <w:rFonts w:hint="default" w:eastAsia="宋体"/>
                <w:bCs/>
                <w:color w:val="auto"/>
                <w:sz w:val="21"/>
                <w:szCs w:val="21"/>
                <w:lang w:val="en-US" w:eastAsia="zh-CN"/>
              </w:rPr>
            </w:pPr>
            <w:r>
              <w:rPr>
                <w:rFonts w:hint="eastAsia"/>
                <w:bCs/>
                <w:color w:val="auto"/>
                <w:sz w:val="21"/>
                <w:szCs w:val="21"/>
                <w:lang w:val="en-US" w:eastAsia="zh-CN"/>
              </w:rPr>
              <w:t>5</w:t>
            </w:r>
            <w:r>
              <w:rPr>
                <w:rFonts w:hint="eastAsia"/>
                <w:bCs/>
                <w:color w:val="auto"/>
                <w:sz w:val="21"/>
                <w:szCs w:val="21"/>
              </w:rPr>
              <w:t>~</w:t>
            </w:r>
            <w:r>
              <w:rPr>
                <w:rFonts w:hint="eastAsia"/>
                <w:bCs/>
                <w:color w:val="auto"/>
                <w:sz w:val="21"/>
                <w:szCs w:val="21"/>
                <w:lang w:val="en-US" w:eastAsia="zh-CN"/>
              </w:rPr>
              <w:t>9.3</w:t>
            </w:r>
          </w:p>
        </w:tc>
        <w:tc>
          <w:tcPr>
            <w:tcW w:w="323" w:type="pct"/>
            <w:vAlign w:val="center"/>
          </w:tcPr>
          <w:p w14:paraId="1E1C3D1A">
            <w:pPr>
              <w:pStyle w:val="184"/>
              <w:rPr>
                <w:b w:val="0"/>
                <w:bCs/>
                <w:color w:val="auto"/>
              </w:rPr>
            </w:pPr>
            <w:r>
              <w:rPr>
                <w:rFonts w:hint="eastAsia"/>
                <w:b w:val="0"/>
                <w:bCs/>
                <w:color w:val="auto"/>
              </w:rPr>
              <w:t>0</w:t>
            </w:r>
          </w:p>
        </w:tc>
        <w:tc>
          <w:tcPr>
            <w:tcW w:w="502" w:type="pct"/>
            <w:shd w:val="clear" w:color="auto" w:fill="auto"/>
            <w:vAlign w:val="center"/>
          </w:tcPr>
          <w:p w14:paraId="03177EDB">
            <w:pPr>
              <w:spacing w:line="264" w:lineRule="auto"/>
              <w:ind w:firstLine="0" w:firstLineChars="0"/>
              <w:jc w:val="center"/>
              <w:rPr>
                <w:rFonts w:hint="default" w:eastAsia="宋体"/>
                <w:bCs/>
                <w:color w:val="auto"/>
                <w:sz w:val="21"/>
                <w:szCs w:val="21"/>
                <w:lang w:val="en-US" w:eastAsia="zh-CN"/>
              </w:rPr>
            </w:pPr>
            <w:r>
              <w:rPr>
                <w:rFonts w:hint="eastAsia"/>
                <w:bCs/>
                <w:color w:val="auto"/>
                <w:sz w:val="21"/>
                <w:szCs w:val="21"/>
              </w:rPr>
              <w:t>0.</w:t>
            </w:r>
            <w:r>
              <w:rPr>
                <w:rFonts w:hint="eastAsia"/>
                <w:bCs/>
                <w:color w:val="auto"/>
                <w:sz w:val="21"/>
                <w:szCs w:val="21"/>
                <w:lang w:val="en-US" w:eastAsia="zh-CN"/>
              </w:rPr>
              <w:t>47</w:t>
            </w:r>
          </w:p>
        </w:tc>
        <w:tc>
          <w:tcPr>
            <w:tcW w:w="982" w:type="pct"/>
            <w:shd w:val="clear" w:color="auto" w:fill="auto"/>
            <w:vAlign w:val="center"/>
          </w:tcPr>
          <w:p w14:paraId="52D40A54">
            <w:pPr>
              <w:spacing w:line="264"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bCs/>
                <w:color w:val="auto"/>
                <w:sz w:val="21"/>
                <w:szCs w:val="21"/>
                <w:lang w:val="en-US" w:eastAsia="zh-CN"/>
              </w:rPr>
              <w:t>5</w:t>
            </w:r>
            <w:r>
              <w:rPr>
                <w:rFonts w:hint="eastAsia"/>
                <w:bCs/>
                <w:color w:val="auto"/>
                <w:sz w:val="21"/>
                <w:szCs w:val="21"/>
              </w:rPr>
              <w:t>~</w:t>
            </w:r>
            <w:r>
              <w:rPr>
                <w:rFonts w:hint="eastAsia"/>
                <w:bCs/>
                <w:color w:val="auto"/>
                <w:sz w:val="21"/>
                <w:szCs w:val="21"/>
                <w:lang w:val="en-US" w:eastAsia="zh-CN"/>
              </w:rPr>
              <w:t>14</w:t>
            </w:r>
          </w:p>
        </w:tc>
        <w:tc>
          <w:tcPr>
            <w:tcW w:w="324" w:type="pct"/>
            <w:vAlign w:val="center"/>
          </w:tcPr>
          <w:p w14:paraId="6FA50D72">
            <w:pPr>
              <w:pStyle w:val="184"/>
              <w:rPr>
                <w:b w:val="0"/>
                <w:bCs/>
                <w:color w:val="auto"/>
              </w:rPr>
            </w:pPr>
            <w:r>
              <w:rPr>
                <w:rFonts w:hint="eastAsia"/>
                <w:b w:val="0"/>
                <w:bCs/>
                <w:color w:val="auto"/>
              </w:rPr>
              <w:t>0</w:t>
            </w:r>
          </w:p>
        </w:tc>
        <w:tc>
          <w:tcPr>
            <w:tcW w:w="615" w:type="pct"/>
            <w:shd w:val="clear" w:color="auto" w:fill="auto"/>
            <w:vAlign w:val="center"/>
          </w:tcPr>
          <w:p w14:paraId="2E05889F">
            <w:pPr>
              <w:spacing w:line="264" w:lineRule="auto"/>
              <w:ind w:firstLine="0" w:firstLineChars="0"/>
              <w:jc w:val="center"/>
              <w:rPr>
                <w:rFonts w:hint="default" w:eastAsia="宋体"/>
                <w:bCs/>
                <w:color w:val="auto"/>
                <w:sz w:val="21"/>
                <w:szCs w:val="21"/>
                <w:lang w:val="en-US" w:eastAsia="zh-CN"/>
              </w:rPr>
            </w:pPr>
            <w:r>
              <w:rPr>
                <w:rFonts w:hint="eastAsia"/>
                <w:bCs/>
                <w:color w:val="auto"/>
                <w:sz w:val="21"/>
                <w:szCs w:val="21"/>
              </w:rPr>
              <w:t>0.</w:t>
            </w:r>
            <w:r>
              <w:rPr>
                <w:rFonts w:hint="eastAsia"/>
                <w:bCs/>
                <w:color w:val="auto"/>
                <w:sz w:val="21"/>
                <w:szCs w:val="21"/>
                <w:lang w:val="en-US" w:eastAsia="zh-CN"/>
              </w:rPr>
              <w:t>70</w:t>
            </w:r>
          </w:p>
        </w:tc>
      </w:tr>
      <w:tr w14:paraId="0D95B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29" w:type="pct"/>
            <w:shd w:val="clear" w:color="auto" w:fill="auto"/>
            <w:vAlign w:val="center"/>
          </w:tcPr>
          <w:p w14:paraId="174697A2">
            <w:pPr>
              <w:pStyle w:val="184"/>
              <w:rPr>
                <w:b w:val="0"/>
                <w:bCs/>
                <w:color w:val="auto"/>
              </w:rPr>
            </w:pPr>
            <w:r>
              <w:rPr>
                <w:rFonts w:hint="eastAsia"/>
                <w:b w:val="0"/>
                <w:bCs/>
                <w:color w:val="auto"/>
              </w:rPr>
              <w:t>7</w:t>
            </w:r>
          </w:p>
        </w:tc>
        <w:tc>
          <w:tcPr>
            <w:tcW w:w="612" w:type="pct"/>
            <w:vAlign w:val="center"/>
          </w:tcPr>
          <w:p w14:paraId="3278292C">
            <w:pPr>
              <w:pStyle w:val="184"/>
              <w:rPr>
                <w:b w:val="0"/>
                <w:bCs/>
                <w:color w:val="auto"/>
              </w:rPr>
            </w:pPr>
            <w:r>
              <w:rPr>
                <w:rFonts w:hint="eastAsia"/>
                <w:b w:val="0"/>
                <w:bCs/>
                <w:color w:val="auto"/>
              </w:rPr>
              <w:t>总磷</w:t>
            </w:r>
          </w:p>
        </w:tc>
        <w:tc>
          <w:tcPr>
            <w:tcW w:w="427" w:type="pct"/>
            <w:shd w:val="clear" w:color="auto" w:fill="auto"/>
            <w:vAlign w:val="center"/>
          </w:tcPr>
          <w:p w14:paraId="5FD7F69C">
            <w:pPr>
              <w:pStyle w:val="184"/>
              <w:rPr>
                <w:b w:val="0"/>
                <w:bCs/>
                <w:color w:val="auto"/>
              </w:rPr>
            </w:pPr>
            <w:r>
              <w:rPr>
                <w:rFonts w:hint="eastAsia"/>
                <w:b w:val="0"/>
                <w:bCs/>
                <w:color w:val="auto"/>
              </w:rPr>
              <w:t>0.2</w:t>
            </w:r>
          </w:p>
        </w:tc>
        <w:tc>
          <w:tcPr>
            <w:tcW w:w="982" w:type="pct"/>
            <w:shd w:val="clear" w:color="auto" w:fill="auto"/>
            <w:vAlign w:val="center"/>
          </w:tcPr>
          <w:p w14:paraId="76CF88FB">
            <w:pPr>
              <w:spacing w:line="264" w:lineRule="auto"/>
              <w:ind w:firstLine="0" w:firstLineChars="0"/>
              <w:jc w:val="center"/>
              <w:rPr>
                <w:rFonts w:hint="default" w:eastAsia="宋体"/>
                <w:bCs/>
                <w:color w:val="auto"/>
                <w:sz w:val="21"/>
                <w:szCs w:val="21"/>
                <w:lang w:val="en-US" w:eastAsia="zh-CN"/>
              </w:rPr>
            </w:pPr>
            <w:r>
              <w:rPr>
                <w:rFonts w:hint="eastAsia"/>
                <w:bCs/>
                <w:color w:val="auto"/>
                <w:sz w:val="21"/>
                <w:szCs w:val="21"/>
              </w:rPr>
              <w:t>0.04</w:t>
            </w:r>
            <w:r>
              <w:rPr>
                <w:rFonts w:hint="eastAsia"/>
                <w:bCs/>
                <w:color w:val="auto"/>
                <w:sz w:val="21"/>
                <w:szCs w:val="21"/>
                <w:lang w:val="en-US" w:eastAsia="zh-CN"/>
              </w:rPr>
              <w:t>0</w:t>
            </w:r>
            <w:r>
              <w:rPr>
                <w:rFonts w:hint="eastAsia"/>
                <w:bCs/>
                <w:color w:val="auto"/>
                <w:sz w:val="21"/>
                <w:szCs w:val="21"/>
              </w:rPr>
              <w:t>~0.</w:t>
            </w:r>
            <w:r>
              <w:rPr>
                <w:rFonts w:hint="eastAsia"/>
                <w:bCs/>
                <w:color w:val="auto"/>
                <w:sz w:val="21"/>
                <w:szCs w:val="21"/>
                <w:lang w:val="en-US" w:eastAsia="zh-CN"/>
              </w:rPr>
              <w:t>080</w:t>
            </w:r>
          </w:p>
        </w:tc>
        <w:tc>
          <w:tcPr>
            <w:tcW w:w="323" w:type="pct"/>
            <w:vAlign w:val="center"/>
          </w:tcPr>
          <w:p w14:paraId="11CBA8D8">
            <w:pPr>
              <w:pStyle w:val="184"/>
              <w:rPr>
                <w:b w:val="0"/>
                <w:bCs/>
                <w:color w:val="auto"/>
              </w:rPr>
            </w:pPr>
            <w:r>
              <w:rPr>
                <w:rFonts w:hint="eastAsia"/>
                <w:b w:val="0"/>
                <w:bCs/>
                <w:color w:val="auto"/>
              </w:rPr>
              <w:t>0</w:t>
            </w:r>
          </w:p>
        </w:tc>
        <w:tc>
          <w:tcPr>
            <w:tcW w:w="502" w:type="pct"/>
            <w:shd w:val="clear" w:color="auto" w:fill="auto"/>
            <w:vAlign w:val="center"/>
          </w:tcPr>
          <w:p w14:paraId="0FA7EFC3">
            <w:pPr>
              <w:spacing w:line="264" w:lineRule="auto"/>
              <w:ind w:firstLine="0" w:firstLineChars="0"/>
              <w:jc w:val="center"/>
              <w:rPr>
                <w:bCs/>
                <w:color w:val="auto"/>
                <w:sz w:val="21"/>
                <w:szCs w:val="21"/>
              </w:rPr>
            </w:pPr>
            <w:r>
              <w:rPr>
                <w:rFonts w:hint="eastAsia"/>
                <w:bCs/>
                <w:color w:val="auto"/>
                <w:sz w:val="21"/>
                <w:szCs w:val="21"/>
              </w:rPr>
              <w:t>0.</w:t>
            </w:r>
            <w:r>
              <w:rPr>
                <w:rFonts w:hint="eastAsia"/>
                <w:bCs/>
                <w:color w:val="auto"/>
                <w:sz w:val="21"/>
                <w:szCs w:val="21"/>
                <w:lang w:val="en-US" w:eastAsia="zh-CN"/>
              </w:rPr>
              <w:t>4</w:t>
            </w:r>
            <w:r>
              <w:rPr>
                <w:rFonts w:hint="eastAsia"/>
                <w:bCs/>
                <w:color w:val="auto"/>
                <w:sz w:val="21"/>
                <w:szCs w:val="21"/>
              </w:rPr>
              <w:t>0</w:t>
            </w:r>
          </w:p>
        </w:tc>
        <w:tc>
          <w:tcPr>
            <w:tcW w:w="982" w:type="pct"/>
            <w:shd w:val="clear" w:color="auto" w:fill="auto"/>
            <w:vAlign w:val="center"/>
          </w:tcPr>
          <w:p w14:paraId="66F41FDF">
            <w:pPr>
              <w:spacing w:line="264"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bCs/>
                <w:color w:val="auto"/>
                <w:sz w:val="21"/>
                <w:szCs w:val="21"/>
              </w:rPr>
              <w:t>0.04</w:t>
            </w:r>
            <w:r>
              <w:rPr>
                <w:rFonts w:hint="eastAsia"/>
                <w:bCs/>
                <w:color w:val="auto"/>
                <w:sz w:val="21"/>
                <w:szCs w:val="21"/>
                <w:lang w:val="en-US" w:eastAsia="zh-CN"/>
              </w:rPr>
              <w:t>1</w:t>
            </w:r>
            <w:r>
              <w:rPr>
                <w:rFonts w:hint="eastAsia"/>
                <w:bCs/>
                <w:color w:val="auto"/>
                <w:sz w:val="21"/>
                <w:szCs w:val="21"/>
              </w:rPr>
              <w:t>~0.</w:t>
            </w:r>
            <w:r>
              <w:rPr>
                <w:rFonts w:hint="eastAsia"/>
                <w:bCs/>
                <w:color w:val="auto"/>
                <w:sz w:val="21"/>
                <w:szCs w:val="21"/>
                <w:lang w:val="en-US" w:eastAsia="zh-CN"/>
              </w:rPr>
              <w:t>117</w:t>
            </w:r>
          </w:p>
        </w:tc>
        <w:tc>
          <w:tcPr>
            <w:tcW w:w="324" w:type="pct"/>
            <w:vAlign w:val="center"/>
          </w:tcPr>
          <w:p w14:paraId="7DC40F9C">
            <w:pPr>
              <w:pStyle w:val="184"/>
              <w:rPr>
                <w:b w:val="0"/>
                <w:bCs/>
                <w:color w:val="auto"/>
              </w:rPr>
            </w:pPr>
            <w:r>
              <w:rPr>
                <w:rFonts w:hint="eastAsia"/>
                <w:b w:val="0"/>
                <w:bCs/>
                <w:color w:val="auto"/>
              </w:rPr>
              <w:t>0</w:t>
            </w:r>
          </w:p>
        </w:tc>
        <w:tc>
          <w:tcPr>
            <w:tcW w:w="615" w:type="pct"/>
            <w:shd w:val="clear" w:color="auto" w:fill="auto"/>
            <w:vAlign w:val="center"/>
          </w:tcPr>
          <w:p w14:paraId="05E25A70">
            <w:pPr>
              <w:spacing w:line="264" w:lineRule="auto"/>
              <w:ind w:firstLine="0" w:firstLineChars="0"/>
              <w:jc w:val="center"/>
              <w:rPr>
                <w:rFonts w:hint="default" w:eastAsia="宋体"/>
                <w:bCs/>
                <w:color w:val="auto"/>
                <w:sz w:val="21"/>
                <w:szCs w:val="21"/>
                <w:lang w:val="en-US" w:eastAsia="zh-CN"/>
              </w:rPr>
            </w:pPr>
            <w:r>
              <w:rPr>
                <w:rFonts w:hint="eastAsia"/>
                <w:bCs/>
                <w:color w:val="auto"/>
                <w:sz w:val="21"/>
                <w:szCs w:val="21"/>
              </w:rPr>
              <w:t>0.</w:t>
            </w:r>
            <w:r>
              <w:rPr>
                <w:rFonts w:hint="eastAsia"/>
                <w:bCs/>
                <w:color w:val="auto"/>
                <w:sz w:val="21"/>
                <w:szCs w:val="21"/>
                <w:lang w:val="en-US" w:eastAsia="zh-CN"/>
              </w:rPr>
              <w:t>59</w:t>
            </w:r>
          </w:p>
        </w:tc>
      </w:tr>
      <w:tr w14:paraId="384B2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29" w:type="pct"/>
            <w:shd w:val="clear" w:color="auto" w:fill="auto"/>
            <w:vAlign w:val="center"/>
          </w:tcPr>
          <w:p w14:paraId="74596126">
            <w:pPr>
              <w:pStyle w:val="184"/>
              <w:rPr>
                <w:b w:val="0"/>
                <w:bCs/>
                <w:color w:val="auto"/>
              </w:rPr>
            </w:pPr>
            <w:r>
              <w:rPr>
                <w:rFonts w:hint="eastAsia"/>
                <w:b w:val="0"/>
                <w:bCs/>
                <w:color w:val="auto"/>
              </w:rPr>
              <w:t>8</w:t>
            </w:r>
          </w:p>
        </w:tc>
        <w:tc>
          <w:tcPr>
            <w:tcW w:w="612" w:type="pct"/>
            <w:vAlign w:val="center"/>
          </w:tcPr>
          <w:p w14:paraId="70DFD556">
            <w:pPr>
              <w:pStyle w:val="184"/>
              <w:rPr>
                <w:b w:val="0"/>
                <w:bCs/>
                <w:color w:val="auto"/>
              </w:rPr>
            </w:pPr>
            <w:r>
              <w:rPr>
                <w:rFonts w:hint="eastAsia"/>
                <w:b w:val="0"/>
                <w:bCs/>
                <w:color w:val="auto"/>
              </w:rPr>
              <w:t>总氮</w:t>
            </w:r>
          </w:p>
        </w:tc>
        <w:tc>
          <w:tcPr>
            <w:tcW w:w="427" w:type="pct"/>
            <w:shd w:val="clear" w:color="auto" w:fill="auto"/>
            <w:vAlign w:val="center"/>
          </w:tcPr>
          <w:p w14:paraId="728F5EAA">
            <w:pPr>
              <w:pStyle w:val="184"/>
              <w:rPr>
                <w:b w:val="0"/>
                <w:bCs/>
                <w:color w:val="auto"/>
              </w:rPr>
            </w:pPr>
            <w:r>
              <w:rPr>
                <w:rFonts w:hint="eastAsia"/>
                <w:b w:val="0"/>
                <w:bCs/>
                <w:color w:val="auto"/>
              </w:rPr>
              <w:t>/</w:t>
            </w:r>
          </w:p>
        </w:tc>
        <w:tc>
          <w:tcPr>
            <w:tcW w:w="982" w:type="pct"/>
            <w:shd w:val="clear" w:color="auto" w:fill="auto"/>
            <w:vAlign w:val="center"/>
          </w:tcPr>
          <w:p w14:paraId="0DC970E5">
            <w:pPr>
              <w:spacing w:line="264" w:lineRule="auto"/>
              <w:ind w:firstLine="0" w:firstLineChars="0"/>
              <w:jc w:val="center"/>
              <w:rPr>
                <w:rFonts w:hint="default" w:eastAsia="宋体"/>
                <w:bCs/>
                <w:color w:val="auto"/>
                <w:sz w:val="21"/>
                <w:szCs w:val="21"/>
                <w:lang w:val="en-US" w:eastAsia="zh-CN"/>
              </w:rPr>
            </w:pPr>
            <w:r>
              <w:rPr>
                <w:rFonts w:hint="eastAsia"/>
                <w:bCs/>
                <w:color w:val="auto"/>
                <w:sz w:val="21"/>
                <w:szCs w:val="21"/>
                <w:lang w:val="en-US" w:eastAsia="zh-CN"/>
              </w:rPr>
              <w:t>1.30</w:t>
            </w:r>
            <w:r>
              <w:rPr>
                <w:rFonts w:hint="eastAsia"/>
                <w:bCs/>
                <w:color w:val="auto"/>
                <w:sz w:val="21"/>
                <w:szCs w:val="21"/>
              </w:rPr>
              <w:t>~</w:t>
            </w:r>
            <w:r>
              <w:rPr>
                <w:rFonts w:hint="eastAsia"/>
                <w:bCs/>
                <w:color w:val="auto"/>
                <w:sz w:val="21"/>
                <w:szCs w:val="21"/>
                <w:lang w:val="en-US" w:eastAsia="zh-CN"/>
              </w:rPr>
              <w:t>1.63</w:t>
            </w:r>
          </w:p>
        </w:tc>
        <w:tc>
          <w:tcPr>
            <w:tcW w:w="323" w:type="pct"/>
            <w:vAlign w:val="center"/>
          </w:tcPr>
          <w:p w14:paraId="28DF2703">
            <w:pPr>
              <w:pStyle w:val="184"/>
              <w:rPr>
                <w:b w:val="0"/>
                <w:bCs/>
                <w:color w:val="auto"/>
              </w:rPr>
            </w:pPr>
            <w:r>
              <w:rPr>
                <w:rFonts w:hint="eastAsia"/>
                <w:b w:val="0"/>
                <w:bCs/>
                <w:color w:val="auto"/>
              </w:rPr>
              <w:t>/</w:t>
            </w:r>
          </w:p>
        </w:tc>
        <w:tc>
          <w:tcPr>
            <w:tcW w:w="502" w:type="pct"/>
            <w:shd w:val="clear" w:color="auto" w:fill="auto"/>
            <w:vAlign w:val="center"/>
          </w:tcPr>
          <w:p w14:paraId="1694A9EA">
            <w:pPr>
              <w:spacing w:line="264" w:lineRule="auto"/>
              <w:ind w:firstLine="0" w:firstLineChars="0"/>
              <w:jc w:val="center"/>
              <w:rPr>
                <w:bCs/>
                <w:color w:val="auto"/>
                <w:sz w:val="21"/>
                <w:szCs w:val="21"/>
              </w:rPr>
            </w:pPr>
            <w:r>
              <w:rPr>
                <w:rFonts w:hint="eastAsia"/>
                <w:bCs/>
                <w:color w:val="auto"/>
              </w:rPr>
              <w:t>/</w:t>
            </w:r>
          </w:p>
        </w:tc>
        <w:tc>
          <w:tcPr>
            <w:tcW w:w="982" w:type="pct"/>
            <w:shd w:val="clear" w:color="auto" w:fill="auto"/>
            <w:vAlign w:val="center"/>
          </w:tcPr>
          <w:p w14:paraId="73332DEC">
            <w:pPr>
              <w:spacing w:line="264"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bCs/>
                <w:color w:val="auto"/>
                <w:sz w:val="21"/>
                <w:szCs w:val="21"/>
                <w:lang w:val="en-US" w:eastAsia="zh-CN"/>
              </w:rPr>
              <w:t>1.15</w:t>
            </w:r>
            <w:r>
              <w:rPr>
                <w:rFonts w:hint="eastAsia"/>
                <w:bCs/>
                <w:color w:val="auto"/>
                <w:sz w:val="21"/>
                <w:szCs w:val="21"/>
              </w:rPr>
              <w:t>~</w:t>
            </w:r>
            <w:r>
              <w:rPr>
                <w:rFonts w:hint="eastAsia"/>
                <w:bCs/>
                <w:color w:val="auto"/>
                <w:sz w:val="21"/>
                <w:szCs w:val="21"/>
                <w:lang w:val="en-US" w:eastAsia="zh-CN"/>
              </w:rPr>
              <w:t>2.20</w:t>
            </w:r>
          </w:p>
        </w:tc>
        <w:tc>
          <w:tcPr>
            <w:tcW w:w="324" w:type="pct"/>
            <w:vAlign w:val="center"/>
          </w:tcPr>
          <w:p w14:paraId="6F64FB7C">
            <w:pPr>
              <w:pStyle w:val="184"/>
              <w:rPr>
                <w:b w:val="0"/>
                <w:bCs/>
                <w:color w:val="auto"/>
              </w:rPr>
            </w:pPr>
            <w:r>
              <w:rPr>
                <w:rFonts w:hint="eastAsia"/>
                <w:b w:val="0"/>
                <w:bCs/>
                <w:color w:val="auto"/>
              </w:rPr>
              <w:t>/</w:t>
            </w:r>
          </w:p>
        </w:tc>
        <w:tc>
          <w:tcPr>
            <w:tcW w:w="615" w:type="pct"/>
            <w:shd w:val="clear" w:color="auto" w:fill="auto"/>
            <w:vAlign w:val="center"/>
          </w:tcPr>
          <w:p w14:paraId="297D103D">
            <w:pPr>
              <w:spacing w:line="264" w:lineRule="auto"/>
              <w:ind w:firstLine="0" w:firstLineChars="0"/>
              <w:jc w:val="center"/>
              <w:rPr>
                <w:bCs/>
                <w:color w:val="auto"/>
                <w:sz w:val="21"/>
                <w:szCs w:val="21"/>
              </w:rPr>
            </w:pPr>
            <w:r>
              <w:rPr>
                <w:rFonts w:hint="eastAsia"/>
                <w:bCs/>
                <w:color w:val="auto"/>
              </w:rPr>
              <w:t>/</w:t>
            </w:r>
          </w:p>
        </w:tc>
      </w:tr>
      <w:tr w14:paraId="045B7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29" w:type="pct"/>
            <w:shd w:val="clear" w:color="auto" w:fill="auto"/>
            <w:vAlign w:val="center"/>
          </w:tcPr>
          <w:p w14:paraId="3ECA1587">
            <w:pPr>
              <w:pStyle w:val="184"/>
              <w:rPr>
                <w:b w:val="0"/>
                <w:bCs/>
                <w:color w:val="auto"/>
              </w:rPr>
            </w:pPr>
            <w:r>
              <w:rPr>
                <w:rFonts w:hint="eastAsia"/>
                <w:b w:val="0"/>
                <w:bCs/>
                <w:color w:val="auto"/>
              </w:rPr>
              <w:t>9</w:t>
            </w:r>
          </w:p>
        </w:tc>
        <w:tc>
          <w:tcPr>
            <w:tcW w:w="612" w:type="pct"/>
            <w:vAlign w:val="center"/>
          </w:tcPr>
          <w:p w14:paraId="0465EF29">
            <w:pPr>
              <w:pStyle w:val="184"/>
              <w:rPr>
                <w:b w:val="0"/>
                <w:bCs/>
                <w:color w:val="auto"/>
              </w:rPr>
            </w:pPr>
            <w:r>
              <w:rPr>
                <w:rFonts w:hint="eastAsia"/>
                <w:b w:val="0"/>
                <w:bCs/>
                <w:color w:val="auto"/>
              </w:rPr>
              <w:t>BOD</w:t>
            </w:r>
            <w:r>
              <w:rPr>
                <w:rFonts w:hint="eastAsia"/>
                <w:b w:val="0"/>
                <w:bCs/>
                <w:color w:val="auto"/>
                <w:vertAlign w:val="subscript"/>
              </w:rPr>
              <w:t>5</w:t>
            </w:r>
          </w:p>
        </w:tc>
        <w:tc>
          <w:tcPr>
            <w:tcW w:w="427" w:type="pct"/>
            <w:shd w:val="clear" w:color="auto" w:fill="auto"/>
            <w:vAlign w:val="center"/>
          </w:tcPr>
          <w:p w14:paraId="59205816">
            <w:pPr>
              <w:pStyle w:val="184"/>
              <w:rPr>
                <w:b w:val="0"/>
                <w:bCs/>
                <w:color w:val="auto"/>
              </w:rPr>
            </w:pPr>
            <w:r>
              <w:rPr>
                <w:rFonts w:hint="eastAsia"/>
                <w:b w:val="0"/>
                <w:bCs/>
                <w:color w:val="auto"/>
              </w:rPr>
              <w:t>4</w:t>
            </w:r>
          </w:p>
        </w:tc>
        <w:tc>
          <w:tcPr>
            <w:tcW w:w="982" w:type="pct"/>
            <w:shd w:val="clear" w:color="auto" w:fill="auto"/>
            <w:vAlign w:val="center"/>
          </w:tcPr>
          <w:p w14:paraId="6CD85C67">
            <w:pPr>
              <w:spacing w:line="264" w:lineRule="auto"/>
              <w:ind w:firstLine="0" w:firstLineChars="0"/>
              <w:jc w:val="center"/>
              <w:rPr>
                <w:rFonts w:hint="default" w:eastAsia="宋体"/>
                <w:bCs/>
                <w:color w:val="auto"/>
                <w:sz w:val="21"/>
                <w:szCs w:val="21"/>
                <w:lang w:val="en-US" w:eastAsia="zh-CN"/>
              </w:rPr>
            </w:pPr>
            <w:r>
              <w:rPr>
                <w:rFonts w:hint="eastAsia"/>
                <w:bCs/>
                <w:color w:val="auto"/>
                <w:sz w:val="21"/>
                <w:szCs w:val="21"/>
                <w:lang w:val="en-US" w:eastAsia="zh-CN"/>
              </w:rPr>
              <w:t>0.2</w:t>
            </w:r>
            <w:r>
              <w:rPr>
                <w:rFonts w:hint="eastAsia"/>
                <w:bCs/>
                <w:color w:val="auto"/>
                <w:sz w:val="21"/>
                <w:szCs w:val="21"/>
              </w:rPr>
              <w:t>~</w:t>
            </w:r>
            <w:r>
              <w:rPr>
                <w:rFonts w:hint="eastAsia"/>
                <w:bCs/>
                <w:color w:val="auto"/>
                <w:sz w:val="21"/>
                <w:szCs w:val="21"/>
                <w:lang w:val="en-US" w:eastAsia="zh-CN"/>
              </w:rPr>
              <w:t>1.0</w:t>
            </w:r>
          </w:p>
        </w:tc>
        <w:tc>
          <w:tcPr>
            <w:tcW w:w="323" w:type="pct"/>
            <w:vAlign w:val="center"/>
          </w:tcPr>
          <w:p w14:paraId="32675A5E">
            <w:pPr>
              <w:pStyle w:val="184"/>
              <w:rPr>
                <w:b w:val="0"/>
                <w:bCs/>
                <w:color w:val="auto"/>
              </w:rPr>
            </w:pPr>
            <w:r>
              <w:rPr>
                <w:rFonts w:hint="eastAsia"/>
                <w:b w:val="0"/>
                <w:bCs/>
                <w:color w:val="auto"/>
              </w:rPr>
              <w:t>0</w:t>
            </w:r>
          </w:p>
        </w:tc>
        <w:tc>
          <w:tcPr>
            <w:tcW w:w="502" w:type="pct"/>
            <w:shd w:val="clear" w:color="auto" w:fill="auto"/>
            <w:vAlign w:val="center"/>
          </w:tcPr>
          <w:p w14:paraId="64BFA44F">
            <w:pPr>
              <w:spacing w:line="264" w:lineRule="auto"/>
              <w:ind w:firstLine="0" w:firstLineChars="0"/>
              <w:jc w:val="center"/>
              <w:rPr>
                <w:rFonts w:hint="default" w:eastAsia="宋体"/>
                <w:bCs/>
                <w:color w:val="auto"/>
                <w:sz w:val="21"/>
                <w:szCs w:val="21"/>
                <w:lang w:val="en-US" w:eastAsia="zh-CN"/>
              </w:rPr>
            </w:pPr>
            <w:r>
              <w:rPr>
                <w:rFonts w:hint="eastAsia"/>
                <w:bCs/>
                <w:color w:val="auto"/>
                <w:sz w:val="21"/>
                <w:szCs w:val="21"/>
              </w:rPr>
              <w:t>0.</w:t>
            </w:r>
            <w:r>
              <w:rPr>
                <w:rFonts w:hint="eastAsia"/>
                <w:bCs/>
                <w:color w:val="auto"/>
                <w:sz w:val="21"/>
                <w:szCs w:val="21"/>
                <w:lang w:val="en-US" w:eastAsia="zh-CN"/>
              </w:rPr>
              <w:t>25</w:t>
            </w:r>
          </w:p>
        </w:tc>
        <w:tc>
          <w:tcPr>
            <w:tcW w:w="982" w:type="pct"/>
            <w:shd w:val="clear" w:color="auto" w:fill="auto"/>
            <w:vAlign w:val="center"/>
          </w:tcPr>
          <w:p w14:paraId="70271846">
            <w:pPr>
              <w:spacing w:line="264"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bCs/>
                <w:color w:val="auto"/>
                <w:sz w:val="21"/>
                <w:szCs w:val="21"/>
                <w:lang w:val="en-US" w:eastAsia="zh-CN"/>
              </w:rPr>
              <w:t>0.2</w:t>
            </w:r>
            <w:r>
              <w:rPr>
                <w:rFonts w:hint="eastAsia"/>
                <w:bCs/>
                <w:color w:val="auto"/>
                <w:sz w:val="21"/>
                <w:szCs w:val="21"/>
              </w:rPr>
              <w:t>~</w:t>
            </w:r>
            <w:r>
              <w:rPr>
                <w:rFonts w:hint="eastAsia"/>
                <w:bCs/>
                <w:color w:val="auto"/>
                <w:sz w:val="21"/>
                <w:szCs w:val="21"/>
                <w:lang w:val="en-US" w:eastAsia="zh-CN"/>
              </w:rPr>
              <w:t>2.1</w:t>
            </w:r>
          </w:p>
        </w:tc>
        <w:tc>
          <w:tcPr>
            <w:tcW w:w="324" w:type="pct"/>
            <w:vAlign w:val="center"/>
          </w:tcPr>
          <w:p w14:paraId="02C2EF95">
            <w:pPr>
              <w:pStyle w:val="184"/>
              <w:rPr>
                <w:b w:val="0"/>
                <w:bCs/>
                <w:color w:val="auto"/>
              </w:rPr>
            </w:pPr>
            <w:r>
              <w:rPr>
                <w:rFonts w:hint="eastAsia"/>
                <w:b w:val="0"/>
                <w:bCs/>
                <w:color w:val="auto"/>
              </w:rPr>
              <w:t>0</w:t>
            </w:r>
          </w:p>
        </w:tc>
        <w:tc>
          <w:tcPr>
            <w:tcW w:w="615" w:type="pct"/>
            <w:shd w:val="clear" w:color="auto" w:fill="auto"/>
            <w:vAlign w:val="center"/>
          </w:tcPr>
          <w:p w14:paraId="69CD6841">
            <w:pPr>
              <w:spacing w:line="264" w:lineRule="auto"/>
              <w:ind w:firstLine="0" w:firstLineChars="0"/>
              <w:jc w:val="center"/>
              <w:rPr>
                <w:rFonts w:hint="default" w:eastAsia="宋体"/>
                <w:bCs/>
                <w:color w:val="auto"/>
                <w:sz w:val="21"/>
                <w:szCs w:val="21"/>
                <w:lang w:val="en-US" w:eastAsia="zh-CN"/>
              </w:rPr>
            </w:pPr>
            <w:r>
              <w:rPr>
                <w:rFonts w:hint="eastAsia"/>
                <w:bCs/>
                <w:color w:val="auto"/>
                <w:sz w:val="21"/>
                <w:szCs w:val="21"/>
              </w:rPr>
              <w:t>0.</w:t>
            </w:r>
            <w:r>
              <w:rPr>
                <w:rFonts w:hint="eastAsia"/>
                <w:bCs/>
                <w:color w:val="auto"/>
                <w:sz w:val="21"/>
                <w:szCs w:val="21"/>
                <w:lang w:val="en-US" w:eastAsia="zh-CN"/>
              </w:rPr>
              <w:t>53</w:t>
            </w:r>
          </w:p>
        </w:tc>
      </w:tr>
      <w:tr w14:paraId="7A2CC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29" w:type="pct"/>
            <w:shd w:val="clear" w:color="auto" w:fill="auto"/>
            <w:vAlign w:val="center"/>
          </w:tcPr>
          <w:p w14:paraId="2787AF6E">
            <w:pPr>
              <w:pStyle w:val="184"/>
              <w:rPr>
                <w:b w:val="0"/>
                <w:bCs/>
                <w:color w:val="auto"/>
              </w:rPr>
            </w:pPr>
            <w:r>
              <w:rPr>
                <w:rFonts w:hint="eastAsia"/>
                <w:b w:val="0"/>
                <w:bCs/>
                <w:color w:val="auto"/>
              </w:rPr>
              <w:t>10</w:t>
            </w:r>
          </w:p>
        </w:tc>
        <w:tc>
          <w:tcPr>
            <w:tcW w:w="612" w:type="pct"/>
            <w:vAlign w:val="center"/>
          </w:tcPr>
          <w:p w14:paraId="1988C2B4">
            <w:pPr>
              <w:pStyle w:val="184"/>
              <w:rPr>
                <w:b w:val="0"/>
                <w:bCs/>
                <w:color w:val="auto"/>
              </w:rPr>
            </w:pPr>
            <w:r>
              <w:rPr>
                <w:rFonts w:hint="eastAsia"/>
                <w:b w:val="0"/>
                <w:bCs/>
                <w:color w:val="auto"/>
              </w:rPr>
              <w:t>挥发酚</w:t>
            </w:r>
          </w:p>
        </w:tc>
        <w:tc>
          <w:tcPr>
            <w:tcW w:w="427" w:type="pct"/>
            <w:shd w:val="clear" w:color="auto" w:fill="auto"/>
            <w:vAlign w:val="center"/>
          </w:tcPr>
          <w:p w14:paraId="1D841CCF">
            <w:pPr>
              <w:pStyle w:val="184"/>
              <w:rPr>
                <w:b w:val="0"/>
                <w:bCs/>
                <w:color w:val="auto"/>
              </w:rPr>
            </w:pPr>
            <w:r>
              <w:rPr>
                <w:rFonts w:hint="eastAsia"/>
                <w:b w:val="0"/>
                <w:bCs/>
                <w:color w:val="auto"/>
              </w:rPr>
              <w:t>0.005</w:t>
            </w:r>
          </w:p>
        </w:tc>
        <w:tc>
          <w:tcPr>
            <w:tcW w:w="982" w:type="pct"/>
            <w:shd w:val="clear" w:color="auto" w:fill="auto"/>
            <w:vAlign w:val="center"/>
          </w:tcPr>
          <w:p w14:paraId="053A004B">
            <w:pPr>
              <w:pStyle w:val="184"/>
              <w:rPr>
                <w:b w:val="0"/>
                <w:bCs/>
                <w:color w:val="auto"/>
              </w:rPr>
            </w:pPr>
            <w:r>
              <w:rPr>
                <w:rFonts w:hint="eastAsia"/>
                <w:b w:val="0"/>
                <w:bCs/>
                <w:color w:val="auto"/>
              </w:rPr>
              <w:t>0.000</w:t>
            </w:r>
            <w:r>
              <w:rPr>
                <w:rFonts w:hint="eastAsia"/>
                <w:b w:val="0"/>
                <w:bCs/>
                <w:color w:val="auto"/>
                <w:lang w:val="en-US" w:eastAsia="zh-CN"/>
              </w:rPr>
              <w:t>2</w:t>
            </w:r>
            <w:r>
              <w:rPr>
                <w:rFonts w:hint="eastAsia"/>
                <w:b w:val="0"/>
                <w:bCs/>
                <w:color w:val="auto"/>
              </w:rPr>
              <w:t>L</w:t>
            </w:r>
          </w:p>
        </w:tc>
        <w:tc>
          <w:tcPr>
            <w:tcW w:w="323" w:type="pct"/>
            <w:vAlign w:val="center"/>
          </w:tcPr>
          <w:p w14:paraId="61173B7D">
            <w:pPr>
              <w:pStyle w:val="184"/>
              <w:rPr>
                <w:b w:val="0"/>
                <w:bCs/>
                <w:color w:val="auto"/>
              </w:rPr>
            </w:pPr>
            <w:r>
              <w:rPr>
                <w:rFonts w:hint="eastAsia"/>
                <w:b w:val="0"/>
                <w:bCs/>
                <w:color w:val="auto"/>
              </w:rPr>
              <w:t>0</w:t>
            </w:r>
          </w:p>
        </w:tc>
        <w:tc>
          <w:tcPr>
            <w:tcW w:w="502" w:type="pct"/>
            <w:shd w:val="clear" w:color="auto" w:fill="auto"/>
            <w:vAlign w:val="center"/>
          </w:tcPr>
          <w:p w14:paraId="4E58DFC4">
            <w:pPr>
              <w:pStyle w:val="184"/>
              <w:rPr>
                <w:b w:val="0"/>
                <w:bCs/>
                <w:color w:val="auto"/>
              </w:rPr>
            </w:pPr>
            <w:r>
              <w:rPr>
                <w:rFonts w:hint="eastAsia"/>
                <w:b w:val="0"/>
                <w:bCs/>
                <w:color w:val="auto"/>
              </w:rPr>
              <w:t>/</w:t>
            </w:r>
          </w:p>
        </w:tc>
        <w:tc>
          <w:tcPr>
            <w:tcW w:w="982" w:type="pct"/>
            <w:shd w:val="clear" w:color="auto" w:fill="auto"/>
            <w:vAlign w:val="center"/>
          </w:tcPr>
          <w:p w14:paraId="10F5707A">
            <w:pPr>
              <w:pStyle w:val="184"/>
              <w:ind w:firstLine="0" w:firstLineChars="0"/>
              <w:rPr>
                <w:rFonts w:ascii="Times New Roman" w:hAnsi="Times New Roman" w:eastAsia="宋体" w:cs="Times New Roman"/>
                <w:b w:val="0"/>
                <w:bCs/>
                <w:snapToGrid w:val="0"/>
                <w:color w:val="auto"/>
                <w:kern w:val="2"/>
                <w:sz w:val="21"/>
                <w:szCs w:val="21"/>
                <w:lang w:val="zh-CN" w:eastAsia="zh-CN" w:bidi="ar-SA"/>
              </w:rPr>
            </w:pPr>
            <w:r>
              <w:rPr>
                <w:rFonts w:hint="eastAsia"/>
                <w:b w:val="0"/>
                <w:bCs/>
                <w:color w:val="auto"/>
              </w:rPr>
              <w:t>0.000</w:t>
            </w:r>
            <w:r>
              <w:rPr>
                <w:rFonts w:hint="eastAsia"/>
                <w:b w:val="0"/>
                <w:bCs/>
                <w:color w:val="auto"/>
                <w:lang w:val="en-US" w:eastAsia="zh-CN"/>
              </w:rPr>
              <w:t>2</w:t>
            </w:r>
            <w:r>
              <w:rPr>
                <w:rFonts w:hint="eastAsia"/>
                <w:b w:val="0"/>
                <w:bCs/>
                <w:color w:val="auto"/>
              </w:rPr>
              <w:t>L</w:t>
            </w:r>
          </w:p>
        </w:tc>
        <w:tc>
          <w:tcPr>
            <w:tcW w:w="324" w:type="pct"/>
            <w:vAlign w:val="center"/>
          </w:tcPr>
          <w:p w14:paraId="496E77F7">
            <w:pPr>
              <w:pStyle w:val="184"/>
              <w:rPr>
                <w:b w:val="0"/>
                <w:bCs/>
                <w:color w:val="auto"/>
              </w:rPr>
            </w:pPr>
            <w:r>
              <w:rPr>
                <w:rFonts w:hint="eastAsia"/>
                <w:b w:val="0"/>
                <w:bCs/>
                <w:color w:val="auto"/>
              </w:rPr>
              <w:t>0</w:t>
            </w:r>
          </w:p>
        </w:tc>
        <w:tc>
          <w:tcPr>
            <w:tcW w:w="615" w:type="pct"/>
            <w:shd w:val="clear" w:color="auto" w:fill="auto"/>
            <w:vAlign w:val="center"/>
          </w:tcPr>
          <w:p w14:paraId="4D8E6D4A">
            <w:pPr>
              <w:pStyle w:val="184"/>
              <w:ind w:firstLine="0" w:firstLineChars="0"/>
              <w:rPr>
                <w:b w:val="0"/>
                <w:bCs/>
                <w:color w:val="auto"/>
              </w:rPr>
            </w:pPr>
            <w:r>
              <w:rPr>
                <w:rFonts w:hint="eastAsia"/>
                <w:b w:val="0"/>
                <w:bCs/>
                <w:color w:val="auto"/>
              </w:rPr>
              <w:t>/</w:t>
            </w:r>
          </w:p>
        </w:tc>
      </w:tr>
      <w:tr w14:paraId="7D1CA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29" w:type="pct"/>
            <w:shd w:val="clear" w:color="auto" w:fill="auto"/>
            <w:vAlign w:val="center"/>
          </w:tcPr>
          <w:p w14:paraId="1AE215AD">
            <w:pPr>
              <w:pStyle w:val="184"/>
              <w:rPr>
                <w:b w:val="0"/>
                <w:bCs/>
                <w:color w:val="auto"/>
              </w:rPr>
            </w:pPr>
            <w:r>
              <w:rPr>
                <w:rFonts w:hint="eastAsia"/>
                <w:b w:val="0"/>
                <w:bCs/>
                <w:color w:val="auto"/>
              </w:rPr>
              <w:t>11</w:t>
            </w:r>
          </w:p>
        </w:tc>
        <w:tc>
          <w:tcPr>
            <w:tcW w:w="612" w:type="pct"/>
            <w:vAlign w:val="center"/>
          </w:tcPr>
          <w:p w14:paraId="111DF900">
            <w:pPr>
              <w:pStyle w:val="184"/>
              <w:rPr>
                <w:b w:val="0"/>
                <w:bCs/>
                <w:color w:val="auto"/>
              </w:rPr>
            </w:pPr>
            <w:r>
              <w:rPr>
                <w:rFonts w:hint="eastAsia"/>
                <w:b w:val="0"/>
                <w:bCs/>
                <w:color w:val="auto"/>
              </w:rPr>
              <w:t>氰化物</w:t>
            </w:r>
          </w:p>
        </w:tc>
        <w:tc>
          <w:tcPr>
            <w:tcW w:w="427" w:type="pct"/>
            <w:shd w:val="clear" w:color="auto" w:fill="auto"/>
            <w:vAlign w:val="center"/>
          </w:tcPr>
          <w:p w14:paraId="06AE9928">
            <w:pPr>
              <w:pStyle w:val="184"/>
              <w:rPr>
                <w:b w:val="0"/>
                <w:bCs/>
                <w:color w:val="auto"/>
              </w:rPr>
            </w:pPr>
            <w:r>
              <w:rPr>
                <w:rFonts w:hint="eastAsia"/>
                <w:b w:val="0"/>
                <w:bCs/>
                <w:color w:val="auto"/>
              </w:rPr>
              <w:t>0.2</w:t>
            </w:r>
          </w:p>
        </w:tc>
        <w:tc>
          <w:tcPr>
            <w:tcW w:w="982" w:type="pct"/>
            <w:shd w:val="clear" w:color="auto" w:fill="auto"/>
            <w:vAlign w:val="center"/>
          </w:tcPr>
          <w:p w14:paraId="43999405">
            <w:pPr>
              <w:pStyle w:val="184"/>
              <w:rPr>
                <w:b w:val="0"/>
                <w:bCs/>
                <w:color w:val="auto"/>
              </w:rPr>
            </w:pPr>
            <w:r>
              <w:rPr>
                <w:rFonts w:hint="eastAsia"/>
                <w:b w:val="0"/>
                <w:bCs/>
                <w:color w:val="auto"/>
              </w:rPr>
              <w:t>0.00</w:t>
            </w:r>
            <w:r>
              <w:rPr>
                <w:rFonts w:hint="eastAsia"/>
                <w:b w:val="0"/>
                <w:bCs/>
                <w:color w:val="auto"/>
                <w:lang w:val="en-US" w:eastAsia="zh-CN"/>
              </w:rPr>
              <w:t>2</w:t>
            </w:r>
            <w:r>
              <w:rPr>
                <w:rFonts w:hint="eastAsia"/>
                <w:b w:val="0"/>
                <w:bCs/>
                <w:color w:val="auto"/>
              </w:rPr>
              <w:t xml:space="preserve">L </w:t>
            </w:r>
          </w:p>
        </w:tc>
        <w:tc>
          <w:tcPr>
            <w:tcW w:w="323" w:type="pct"/>
            <w:shd w:val="clear" w:color="auto" w:fill="auto"/>
            <w:vAlign w:val="center"/>
          </w:tcPr>
          <w:p w14:paraId="020843C4">
            <w:pPr>
              <w:pStyle w:val="184"/>
              <w:rPr>
                <w:b w:val="0"/>
                <w:bCs/>
                <w:color w:val="auto"/>
              </w:rPr>
            </w:pPr>
            <w:r>
              <w:rPr>
                <w:rFonts w:hint="eastAsia"/>
                <w:b w:val="0"/>
                <w:bCs/>
                <w:color w:val="auto"/>
              </w:rPr>
              <w:t>0</w:t>
            </w:r>
          </w:p>
        </w:tc>
        <w:tc>
          <w:tcPr>
            <w:tcW w:w="502" w:type="pct"/>
            <w:shd w:val="clear" w:color="auto" w:fill="auto"/>
            <w:vAlign w:val="center"/>
          </w:tcPr>
          <w:p w14:paraId="15AEF704">
            <w:pPr>
              <w:pStyle w:val="184"/>
              <w:rPr>
                <w:b w:val="0"/>
                <w:bCs/>
                <w:color w:val="auto"/>
              </w:rPr>
            </w:pPr>
            <w:r>
              <w:rPr>
                <w:rFonts w:hint="eastAsia"/>
                <w:b w:val="0"/>
                <w:bCs/>
                <w:color w:val="auto"/>
              </w:rPr>
              <w:t>/</w:t>
            </w:r>
          </w:p>
        </w:tc>
        <w:tc>
          <w:tcPr>
            <w:tcW w:w="982" w:type="pct"/>
            <w:shd w:val="clear" w:color="auto" w:fill="auto"/>
            <w:vAlign w:val="center"/>
          </w:tcPr>
          <w:p w14:paraId="3DDF6923">
            <w:pPr>
              <w:pStyle w:val="184"/>
              <w:ind w:firstLine="0" w:firstLineChars="0"/>
              <w:rPr>
                <w:rFonts w:ascii="Times New Roman" w:hAnsi="Times New Roman" w:eastAsia="宋体" w:cs="Times New Roman"/>
                <w:b w:val="0"/>
                <w:bCs/>
                <w:snapToGrid w:val="0"/>
                <w:color w:val="auto"/>
                <w:kern w:val="2"/>
                <w:sz w:val="21"/>
                <w:szCs w:val="21"/>
                <w:lang w:val="zh-CN" w:eastAsia="zh-CN" w:bidi="ar-SA"/>
              </w:rPr>
            </w:pPr>
            <w:r>
              <w:rPr>
                <w:rFonts w:hint="eastAsia"/>
                <w:b w:val="0"/>
                <w:bCs/>
                <w:color w:val="auto"/>
              </w:rPr>
              <w:t>0.00</w:t>
            </w:r>
            <w:r>
              <w:rPr>
                <w:rFonts w:hint="eastAsia"/>
                <w:b w:val="0"/>
                <w:bCs/>
                <w:color w:val="auto"/>
                <w:lang w:val="en-US" w:eastAsia="zh-CN"/>
              </w:rPr>
              <w:t>2</w:t>
            </w:r>
            <w:r>
              <w:rPr>
                <w:rFonts w:hint="eastAsia"/>
                <w:b w:val="0"/>
                <w:bCs/>
                <w:color w:val="auto"/>
              </w:rPr>
              <w:t xml:space="preserve">L </w:t>
            </w:r>
          </w:p>
        </w:tc>
        <w:tc>
          <w:tcPr>
            <w:tcW w:w="324" w:type="pct"/>
            <w:shd w:val="clear" w:color="auto" w:fill="auto"/>
            <w:vAlign w:val="center"/>
          </w:tcPr>
          <w:p w14:paraId="36C42C40">
            <w:pPr>
              <w:pStyle w:val="184"/>
              <w:rPr>
                <w:b w:val="0"/>
                <w:bCs/>
                <w:color w:val="auto"/>
              </w:rPr>
            </w:pPr>
            <w:r>
              <w:rPr>
                <w:rFonts w:hint="eastAsia"/>
                <w:b w:val="0"/>
                <w:bCs/>
                <w:color w:val="auto"/>
              </w:rPr>
              <w:t>0</w:t>
            </w:r>
          </w:p>
        </w:tc>
        <w:tc>
          <w:tcPr>
            <w:tcW w:w="615" w:type="pct"/>
            <w:shd w:val="clear" w:color="auto" w:fill="auto"/>
            <w:vAlign w:val="center"/>
          </w:tcPr>
          <w:p w14:paraId="63CE9040">
            <w:pPr>
              <w:pStyle w:val="184"/>
              <w:ind w:firstLine="0" w:firstLineChars="0"/>
              <w:rPr>
                <w:b w:val="0"/>
                <w:bCs/>
                <w:color w:val="auto"/>
              </w:rPr>
            </w:pPr>
            <w:r>
              <w:rPr>
                <w:rFonts w:hint="eastAsia"/>
                <w:b w:val="0"/>
                <w:bCs/>
                <w:color w:val="auto"/>
              </w:rPr>
              <w:t>/</w:t>
            </w:r>
          </w:p>
        </w:tc>
      </w:tr>
      <w:tr w14:paraId="18C31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29" w:type="pct"/>
            <w:shd w:val="clear" w:color="auto" w:fill="auto"/>
            <w:vAlign w:val="center"/>
          </w:tcPr>
          <w:p w14:paraId="6E13B16F">
            <w:pPr>
              <w:pStyle w:val="184"/>
              <w:rPr>
                <w:b w:val="0"/>
                <w:bCs/>
                <w:color w:val="auto"/>
              </w:rPr>
            </w:pPr>
            <w:r>
              <w:rPr>
                <w:rFonts w:hint="eastAsia"/>
                <w:b w:val="0"/>
                <w:bCs/>
                <w:color w:val="auto"/>
              </w:rPr>
              <w:t>12</w:t>
            </w:r>
          </w:p>
        </w:tc>
        <w:tc>
          <w:tcPr>
            <w:tcW w:w="612" w:type="pct"/>
            <w:vAlign w:val="center"/>
          </w:tcPr>
          <w:p w14:paraId="64243AB6">
            <w:pPr>
              <w:pStyle w:val="184"/>
              <w:rPr>
                <w:b w:val="0"/>
                <w:bCs/>
                <w:color w:val="auto"/>
              </w:rPr>
            </w:pPr>
            <w:r>
              <w:rPr>
                <w:rFonts w:hint="eastAsia"/>
                <w:b w:val="0"/>
                <w:bCs/>
                <w:color w:val="auto"/>
              </w:rPr>
              <w:t>石油类</w:t>
            </w:r>
          </w:p>
        </w:tc>
        <w:tc>
          <w:tcPr>
            <w:tcW w:w="427" w:type="pct"/>
            <w:shd w:val="clear" w:color="auto" w:fill="auto"/>
            <w:vAlign w:val="center"/>
          </w:tcPr>
          <w:p w14:paraId="3CDF5BEB">
            <w:pPr>
              <w:pStyle w:val="184"/>
              <w:rPr>
                <w:b w:val="0"/>
                <w:bCs/>
                <w:color w:val="auto"/>
              </w:rPr>
            </w:pPr>
            <w:r>
              <w:rPr>
                <w:rFonts w:hint="eastAsia"/>
                <w:b w:val="0"/>
                <w:bCs/>
                <w:color w:val="auto"/>
              </w:rPr>
              <w:t>0.05</w:t>
            </w:r>
          </w:p>
        </w:tc>
        <w:tc>
          <w:tcPr>
            <w:tcW w:w="982" w:type="pct"/>
            <w:shd w:val="clear" w:color="auto" w:fill="auto"/>
            <w:vAlign w:val="center"/>
          </w:tcPr>
          <w:p w14:paraId="3046FBF9">
            <w:pPr>
              <w:pStyle w:val="184"/>
              <w:rPr>
                <w:b w:val="0"/>
                <w:bCs/>
                <w:color w:val="auto"/>
              </w:rPr>
            </w:pPr>
            <w:r>
              <w:rPr>
                <w:rFonts w:hint="eastAsia"/>
                <w:b w:val="0"/>
                <w:bCs/>
                <w:color w:val="auto"/>
              </w:rPr>
              <w:t>0.0</w:t>
            </w:r>
            <w:r>
              <w:rPr>
                <w:rFonts w:hint="eastAsia"/>
                <w:b w:val="0"/>
                <w:bCs/>
                <w:color w:val="auto"/>
                <w:lang w:val="en-US" w:eastAsia="zh-CN"/>
              </w:rPr>
              <w:t>05</w:t>
            </w:r>
            <w:r>
              <w:rPr>
                <w:rFonts w:hint="eastAsia"/>
                <w:b w:val="0"/>
                <w:bCs/>
                <w:color w:val="auto"/>
              </w:rPr>
              <w:t>L</w:t>
            </w:r>
          </w:p>
        </w:tc>
        <w:tc>
          <w:tcPr>
            <w:tcW w:w="323" w:type="pct"/>
            <w:shd w:val="clear" w:color="auto" w:fill="auto"/>
            <w:vAlign w:val="center"/>
          </w:tcPr>
          <w:p w14:paraId="7B147D77">
            <w:pPr>
              <w:pStyle w:val="184"/>
              <w:rPr>
                <w:b w:val="0"/>
                <w:bCs/>
                <w:color w:val="auto"/>
              </w:rPr>
            </w:pPr>
            <w:r>
              <w:rPr>
                <w:rFonts w:hint="eastAsia"/>
                <w:b w:val="0"/>
                <w:bCs/>
                <w:color w:val="auto"/>
              </w:rPr>
              <w:t>0</w:t>
            </w:r>
          </w:p>
        </w:tc>
        <w:tc>
          <w:tcPr>
            <w:tcW w:w="502" w:type="pct"/>
            <w:shd w:val="clear" w:color="auto" w:fill="auto"/>
            <w:vAlign w:val="center"/>
          </w:tcPr>
          <w:p w14:paraId="325AD33C">
            <w:pPr>
              <w:pStyle w:val="184"/>
              <w:rPr>
                <w:b w:val="0"/>
                <w:bCs/>
                <w:color w:val="auto"/>
              </w:rPr>
            </w:pPr>
            <w:r>
              <w:rPr>
                <w:rFonts w:hint="eastAsia"/>
                <w:b w:val="0"/>
                <w:bCs/>
                <w:color w:val="auto"/>
              </w:rPr>
              <w:t>/</w:t>
            </w:r>
          </w:p>
        </w:tc>
        <w:tc>
          <w:tcPr>
            <w:tcW w:w="982" w:type="pct"/>
            <w:shd w:val="clear" w:color="auto" w:fill="auto"/>
            <w:vAlign w:val="center"/>
          </w:tcPr>
          <w:p w14:paraId="1ADC5F2B">
            <w:pPr>
              <w:pStyle w:val="184"/>
              <w:ind w:firstLine="0" w:firstLineChars="0"/>
              <w:rPr>
                <w:rFonts w:ascii="Times New Roman" w:hAnsi="Times New Roman" w:eastAsia="宋体" w:cs="Times New Roman"/>
                <w:b w:val="0"/>
                <w:bCs/>
                <w:snapToGrid w:val="0"/>
                <w:color w:val="auto"/>
                <w:kern w:val="2"/>
                <w:sz w:val="21"/>
                <w:szCs w:val="21"/>
                <w:lang w:val="zh-CN" w:eastAsia="zh-CN" w:bidi="ar-SA"/>
              </w:rPr>
            </w:pPr>
            <w:r>
              <w:rPr>
                <w:rFonts w:hint="eastAsia"/>
                <w:b w:val="0"/>
                <w:bCs/>
                <w:color w:val="auto"/>
              </w:rPr>
              <w:t>0.0</w:t>
            </w:r>
            <w:r>
              <w:rPr>
                <w:rFonts w:hint="eastAsia"/>
                <w:b w:val="0"/>
                <w:bCs/>
                <w:color w:val="auto"/>
                <w:lang w:val="en-US" w:eastAsia="zh-CN"/>
              </w:rPr>
              <w:t>05</w:t>
            </w:r>
            <w:r>
              <w:rPr>
                <w:rFonts w:hint="eastAsia"/>
                <w:b w:val="0"/>
                <w:bCs/>
                <w:color w:val="auto"/>
              </w:rPr>
              <w:t>L</w:t>
            </w:r>
          </w:p>
        </w:tc>
        <w:tc>
          <w:tcPr>
            <w:tcW w:w="324" w:type="pct"/>
            <w:shd w:val="clear" w:color="auto" w:fill="auto"/>
            <w:vAlign w:val="center"/>
          </w:tcPr>
          <w:p w14:paraId="6DFAB567">
            <w:pPr>
              <w:pStyle w:val="184"/>
              <w:rPr>
                <w:b w:val="0"/>
                <w:bCs/>
                <w:color w:val="auto"/>
              </w:rPr>
            </w:pPr>
            <w:r>
              <w:rPr>
                <w:rFonts w:hint="eastAsia"/>
                <w:b w:val="0"/>
                <w:bCs/>
                <w:color w:val="auto"/>
              </w:rPr>
              <w:t>0</w:t>
            </w:r>
          </w:p>
        </w:tc>
        <w:tc>
          <w:tcPr>
            <w:tcW w:w="615" w:type="pct"/>
            <w:shd w:val="clear" w:color="auto" w:fill="auto"/>
            <w:vAlign w:val="center"/>
          </w:tcPr>
          <w:p w14:paraId="410922A5">
            <w:pPr>
              <w:pStyle w:val="184"/>
              <w:ind w:firstLine="0" w:firstLineChars="0"/>
              <w:rPr>
                <w:b w:val="0"/>
                <w:bCs/>
                <w:color w:val="auto"/>
              </w:rPr>
            </w:pPr>
            <w:r>
              <w:rPr>
                <w:rFonts w:hint="eastAsia"/>
                <w:b w:val="0"/>
                <w:bCs/>
                <w:color w:val="auto"/>
              </w:rPr>
              <w:t>/</w:t>
            </w:r>
          </w:p>
        </w:tc>
      </w:tr>
      <w:tr w14:paraId="1068B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29" w:type="pct"/>
            <w:shd w:val="clear" w:color="auto" w:fill="auto"/>
            <w:vAlign w:val="center"/>
          </w:tcPr>
          <w:p w14:paraId="176502DA">
            <w:pPr>
              <w:pStyle w:val="184"/>
              <w:rPr>
                <w:b w:val="0"/>
                <w:bCs/>
                <w:color w:val="auto"/>
              </w:rPr>
            </w:pPr>
            <w:r>
              <w:rPr>
                <w:rFonts w:hint="eastAsia"/>
                <w:b w:val="0"/>
                <w:bCs/>
                <w:color w:val="auto"/>
              </w:rPr>
              <w:t>13</w:t>
            </w:r>
          </w:p>
        </w:tc>
        <w:tc>
          <w:tcPr>
            <w:tcW w:w="612" w:type="pct"/>
            <w:vAlign w:val="center"/>
          </w:tcPr>
          <w:p w14:paraId="74625F91">
            <w:pPr>
              <w:pStyle w:val="184"/>
              <w:rPr>
                <w:b w:val="0"/>
                <w:bCs/>
                <w:color w:val="auto"/>
              </w:rPr>
            </w:pPr>
            <w:r>
              <w:rPr>
                <w:rFonts w:hint="eastAsia"/>
                <w:b w:val="0"/>
                <w:bCs/>
                <w:color w:val="auto"/>
              </w:rPr>
              <w:t>硫化物</w:t>
            </w:r>
          </w:p>
        </w:tc>
        <w:tc>
          <w:tcPr>
            <w:tcW w:w="427" w:type="pct"/>
            <w:shd w:val="clear" w:color="auto" w:fill="auto"/>
            <w:vAlign w:val="center"/>
          </w:tcPr>
          <w:p w14:paraId="4CB88C4B">
            <w:pPr>
              <w:pStyle w:val="184"/>
              <w:rPr>
                <w:b w:val="0"/>
                <w:bCs/>
                <w:color w:val="auto"/>
              </w:rPr>
            </w:pPr>
            <w:r>
              <w:rPr>
                <w:rFonts w:hint="eastAsia"/>
                <w:b w:val="0"/>
                <w:bCs/>
                <w:color w:val="auto"/>
              </w:rPr>
              <w:t>0.2</w:t>
            </w:r>
          </w:p>
        </w:tc>
        <w:tc>
          <w:tcPr>
            <w:tcW w:w="982" w:type="pct"/>
            <w:vAlign w:val="center"/>
          </w:tcPr>
          <w:p w14:paraId="1537CECF">
            <w:pPr>
              <w:pStyle w:val="184"/>
              <w:rPr>
                <w:b w:val="0"/>
                <w:bCs/>
                <w:color w:val="auto"/>
              </w:rPr>
            </w:pPr>
            <w:r>
              <w:rPr>
                <w:rFonts w:hint="eastAsia"/>
                <w:b w:val="0"/>
                <w:bCs/>
                <w:color w:val="auto"/>
              </w:rPr>
              <w:t>0.0</w:t>
            </w:r>
            <w:r>
              <w:rPr>
                <w:rFonts w:hint="eastAsia"/>
                <w:b w:val="0"/>
                <w:bCs/>
                <w:color w:val="auto"/>
                <w:lang w:val="en-US" w:eastAsia="zh-CN"/>
              </w:rPr>
              <w:t>05</w:t>
            </w:r>
            <w:r>
              <w:rPr>
                <w:rFonts w:hint="eastAsia"/>
                <w:b w:val="0"/>
                <w:bCs/>
                <w:color w:val="auto"/>
              </w:rPr>
              <w:t>L</w:t>
            </w:r>
          </w:p>
        </w:tc>
        <w:tc>
          <w:tcPr>
            <w:tcW w:w="323" w:type="pct"/>
            <w:vAlign w:val="center"/>
          </w:tcPr>
          <w:p w14:paraId="24235B1B">
            <w:pPr>
              <w:pStyle w:val="184"/>
              <w:rPr>
                <w:b w:val="0"/>
                <w:bCs/>
                <w:color w:val="auto"/>
              </w:rPr>
            </w:pPr>
            <w:r>
              <w:rPr>
                <w:rFonts w:hint="eastAsia"/>
                <w:b w:val="0"/>
                <w:bCs/>
                <w:color w:val="auto"/>
              </w:rPr>
              <w:t>0</w:t>
            </w:r>
          </w:p>
        </w:tc>
        <w:tc>
          <w:tcPr>
            <w:tcW w:w="502" w:type="pct"/>
            <w:vAlign w:val="center"/>
          </w:tcPr>
          <w:p w14:paraId="6D22F793">
            <w:pPr>
              <w:pStyle w:val="184"/>
              <w:rPr>
                <w:b w:val="0"/>
                <w:bCs/>
                <w:color w:val="auto"/>
              </w:rPr>
            </w:pPr>
            <w:r>
              <w:rPr>
                <w:rFonts w:hint="eastAsia"/>
                <w:b w:val="0"/>
                <w:bCs/>
                <w:color w:val="auto"/>
              </w:rPr>
              <w:t>/</w:t>
            </w:r>
          </w:p>
        </w:tc>
        <w:tc>
          <w:tcPr>
            <w:tcW w:w="982" w:type="pct"/>
            <w:shd w:val="clear" w:color="auto" w:fill="auto"/>
            <w:vAlign w:val="center"/>
          </w:tcPr>
          <w:p w14:paraId="64A2F08B">
            <w:pPr>
              <w:pStyle w:val="184"/>
              <w:ind w:firstLine="0" w:firstLineChars="0"/>
              <w:rPr>
                <w:rFonts w:ascii="Times New Roman" w:hAnsi="Times New Roman" w:eastAsia="宋体" w:cs="Times New Roman"/>
                <w:b w:val="0"/>
                <w:bCs/>
                <w:snapToGrid w:val="0"/>
                <w:color w:val="auto"/>
                <w:kern w:val="2"/>
                <w:sz w:val="21"/>
                <w:szCs w:val="21"/>
                <w:lang w:val="zh-CN" w:eastAsia="zh-CN" w:bidi="ar-SA"/>
              </w:rPr>
            </w:pPr>
            <w:r>
              <w:rPr>
                <w:rFonts w:hint="eastAsia"/>
                <w:b w:val="0"/>
                <w:bCs/>
                <w:color w:val="auto"/>
              </w:rPr>
              <w:t>0.0</w:t>
            </w:r>
            <w:r>
              <w:rPr>
                <w:rFonts w:hint="eastAsia"/>
                <w:b w:val="0"/>
                <w:bCs/>
                <w:color w:val="auto"/>
                <w:lang w:val="en-US" w:eastAsia="zh-CN"/>
              </w:rPr>
              <w:t>05</w:t>
            </w:r>
            <w:r>
              <w:rPr>
                <w:rFonts w:hint="eastAsia"/>
                <w:b w:val="0"/>
                <w:bCs/>
                <w:color w:val="auto"/>
              </w:rPr>
              <w:t>L</w:t>
            </w:r>
          </w:p>
        </w:tc>
        <w:tc>
          <w:tcPr>
            <w:tcW w:w="324" w:type="pct"/>
            <w:shd w:val="clear" w:color="auto" w:fill="auto"/>
            <w:vAlign w:val="center"/>
          </w:tcPr>
          <w:p w14:paraId="17074929">
            <w:pPr>
              <w:pStyle w:val="184"/>
              <w:rPr>
                <w:b w:val="0"/>
                <w:bCs/>
                <w:color w:val="auto"/>
              </w:rPr>
            </w:pPr>
            <w:r>
              <w:rPr>
                <w:rFonts w:hint="eastAsia"/>
                <w:b w:val="0"/>
                <w:bCs/>
                <w:color w:val="auto"/>
              </w:rPr>
              <w:t>0</w:t>
            </w:r>
          </w:p>
        </w:tc>
        <w:tc>
          <w:tcPr>
            <w:tcW w:w="615" w:type="pct"/>
            <w:shd w:val="clear" w:color="auto" w:fill="auto"/>
            <w:vAlign w:val="center"/>
          </w:tcPr>
          <w:p w14:paraId="085CFFAA">
            <w:pPr>
              <w:pStyle w:val="184"/>
              <w:ind w:firstLine="0" w:firstLineChars="0"/>
              <w:rPr>
                <w:b w:val="0"/>
                <w:bCs/>
                <w:color w:val="auto"/>
              </w:rPr>
            </w:pPr>
            <w:r>
              <w:rPr>
                <w:rFonts w:hint="eastAsia"/>
                <w:b w:val="0"/>
                <w:bCs/>
                <w:color w:val="auto"/>
              </w:rPr>
              <w:t>/</w:t>
            </w:r>
          </w:p>
        </w:tc>
      </w:tr>
      <w:tr w14:paraId="57476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29" w:type="pct"/>
            <w:shd w:val="clear" w:color="auto" w:fill="auto"/>
            <w:vAlign w:val="center"/>
          </w:tcPr>
          <w:p w14:paraId="09C4EAB7">
            <w:pPr>
              <w:pStyle w:val="184"/>
              <w:rPr>
                <w:b w:val="0"/>
                <w:bCs/>
                <w:color w:val="auto"/>
              </w:rPr>
            </w:pPr>
            <w:r>
              <w:rPr>
                <w:rFonts w:hint="eastAsia"/>
                <w:b w:val="0"/>
                <w:bCs/>
                <w:color w:val="auto"/>
              </w:rPr>
              <w:t>14</w:t>
            </w:r>
          </w:p>
        </w:tc>
        <w:tc>
          <w:tcPr>
            <w:tcW w:w="612" w:type="pct"/>
            <w:vAlign w:val="center"/>
          </w:tcPr>
          <w:p w14:paraId="3125234E">
            <w:pPr>
              <w:pStyle w:val="184"/>
              <w:rPr>
                <w:b w:val="0"/>
                <w:bCs/>
                <w:color w:val="auto"/>
              </w:rPr>
            </w:pPr>
            <w:r>
              <w:rPr>
                <w:rFonts w:hint="eastAsia"/>
                <w:b w:val="0"/>
                <w:bCs/>
                <w:color w:val="auto"/>
              </w:rPr>
              <w:t>阴离子表面活性剂</w:t>
            </w:r>
          </w:p>
        </w:tc>
        <w:tc>
          <w:tcPr>
            <w:tcW w:w="427" w:type="pct"/>
            <w:shd w:val="clear" w:color="auto" w:fill="auto"/>
            <w:vAlign w:val="center"/>
          </w:tcPr>
          <w:p w14:paraId="5EBF159D">
            <w:pPr>
              <w:pStyle w:val="184"/>
              <w:rPr>
                <w:b w:val="0"/>
                <w:bCs/>
                <w:color w:val="auto"/>
              </w:rPr>
            </w:pPr>
            <w:r>
              <w:rPr>
                <w:rFonts w:hint="eastAsia"/>
                <w:b w:val="0"/>
                <w:bCs/>
                <w:color w:val="auto"/>
              </w:rPr>
              <w:t>0.2</w:t>
            </w:r>
          </w:p>
        </w:tc>
        <w:tc>
          <w:tcPr>
            <w:tcW w:w="982" w:type="pct"/>
            <w:shd w:val="clear" w:color="auto" w:fill="auto"/>
            <w:vAlign w:val="center"/>
          </w:tcPr>
          <w:p w14:paraId="0E0036A6">
            <w:pPr>
              <w:pStyle w:val="184"/>
              <w:rPr>
                <w:b w:val="0"/>
                <w:bCs/>
                <w:color w:val="auto"/>
              </w:rPr>
            </w:pPr>
            <w:r>
              <w:rPr>
                <w:rFonts w:hint="eastAsia"/>
                <w:b w:val="0"/>
                <w:bCs/>
                <w:color w:val="auto"/>
              </w:rPr>
              <w:t>0.0</w:t>
            </w:r>
            <w:r>
              <w:rPr>
                <w:rFonts w:hint="eastAsia"/>
                <w:b w:val="0"/>
                <w:bCs/>
                <w:color w:val="auto"/>
                <w:lang w:val="en-US" w:eastAsia="zh-CN"/>
              </w:rPr>
              <w:t>2</w:t>
            </w:r>
            <w:r>
              <w:rPr>
                <w:rFonts w:hint="eastAsia"/>
                <w:b w:val="0"/>
                <w:bCs/>
                <w:color w:val="auto"/>
              </w:rPr>
              <w:t>L</w:t>
            </w:r>
          </w:p>
        </w:tc>
        <w:tc>
          <w:tcPr>
            <w:tcW w:w="323" w:type="pct"/>
            <w:vAlign w:val="center"/>
          </w:tcPr>
          <w:p w14:paraId="75A4C10D">
            <w:pPr>
              <w:pStyle w:val="184"/>
              <w:rPr>
                <w:b w:val="0"/>
                <w:bCs/>
                <w:color w:val="auto"/>
              </w:rPr>
            </w:pPr>
            <w:r>
              <w:rPr>
                <w:rFonts w:hint="eastAsia"/>
                <w:b w:val="0"/>
                <w:bCs/>
                <w:color w:val="auto"/>
              </w:rPr>
              <w:t>0</w:t>
            </w:r>
          </w:p>
        </w:tc>
        <w:tc>
          <w:tcPr>
            <w:tcW w:w="502" w:type="pct"/>
            <w:shd w:val="clear" w:color="auto" w:fill="auto"/>
            <w:vAlign w:val="center"/>
          </w:tcPr>
          <w:p w14:paraId="31701CB3">
            <w:pPr>
              <w:pStyle w:val="184"/>
              <w:rPr>
                <w:b w:val="0"/>
                <w:bCs/>
                <w:color w:val="auto"/>
              </w:rPr>
            </w:pPr>
            <w:r>
              <w:rPr>
                <w:rFonts w:hint="eastAsia"/>
                <w:b w:val="0"/>
                <w:bCs/>
                <w:color w:val="auto"/>
              </w:rPr>
              <w:t>/</w:t>
            </w:r>
          </w:p>
        </w:tc>
        <w:tc>
          <w:tcPr>
            <w:tcW w:w="982" w:type="pct"/>
            <w:shd w:val="clear" w:color="auto" w:fill="auto"/>
            <w:vAlign w:val="center"/>
          </w:tcPr>
          <w:p w14:paraId="0EFC9BA3">
            <w:pPr>
              <w:pStyle w:val="184"/>
              <w:ind w:firstLine="0" w:firstLineChars="0"/>
              <w:rPr>
                <w:rFonts w:ascii="Times New Roman" w:hAnsi="Times New Roman" w:eastAsia="宋体" w:cs="Times New Roman"/>
                <w:b w:val="0"/>
                <w:bCs/>
                <w:snapToGrid w:val="0"/>
                <w:color w:val="auto"/>
                <w:kern w:val="2"/>
                <w:sz w:val="21"/>
                <w:szCs w:val="21"/>
                <w:lang w:val="zh-CN" w:eastAsia="zh-CN" w:bidi="ar-SA"/>
              </w:rPr>
            </w:pPr>
            <w:r>
              <w:rPr>
                <w:rFonts w:hint="eastAsia"/>
                <w:b w:val="0"/>
                <w:bCs/>
                <w:color w:val="auto"/>
              </w:rPr>
              <w:t>0.0</w:t>
            </w:r>
            <w:r>
              <w:rPr>
                <w:rFonts w:hint="eastAsia"/>
                <w:b w:val="0"/>
                <w:bCs/>
                <w:color w:val="auto"/>
                <w:lang w:val="en-US" w:eastAsia="zh-CN"/>
              </w:rPr>
              <w:t>2</w:t>
            </w:r>
            <w:r>
              <w:rPr>
                <w:rFonts w:hint="eastAsia"/>
                <w:b w:val="0"/>
                <w:bCs/>
                <w:color w:val="auto"/>
              </w:rPr>
              <w:t>L</w:t>
            </w:r>
          </w:p>
        </w:tc>
        <w:tc>
          <w:tcPr>
            <w:tcW w:w="324" w:type="pct"/>
            <w:vAlign w:val="center"/>
          </w:tcPr>
          <w:p w14:paraId="1FC6439F">
            <w:pPr>
              <w:pStyle w:val="184"/>
              <w:rPr>
                <w:b w:val="0"/>
                <w:bCs/>
                <w:color w:val="auto"/>
              </w:rPr>
            </w:pPr>
            <w:r>
              <w:rPr>
                <w:rFonts w:hint="eastAsia"/>
                <w:b w:val="0"/>
                <w:bCs/>
                <w:color w:val="auto"/>
              </w:rPr>
              <w:t>0</w:t>
            </w:r>
          </w:p>
        </w:tc>
        <w:tc>
          <w:tcPr>
            <w:tcW w:w="615" w:type="pct"/>
            <w:shd w:val="clear" w:color="auto" w:fill="auto"/>
            <w:vAlign w:val="center"/>
          </w:tcPr>
          <w:p w14:paraId="601B3DB1">
            <w:pPr>
              <w:pStyle w:val="184"/>
              <w:ind w:firstLine="0" w:firstLineChars="0"/>
              <w:rPr>
                <w:b w:val="0"/>
                <w:bCs/>
                <w:color w:val="auto"/>
              </w:rPr>
            </w:pPr>
            <w:r>
              <w:rPr>
                <w:rFonts w:hint="eastAsia"/>
                <w:b w:val="0"/>
                <w:bCs/>
                <w:color w:val="auto"/>
              </w:rPr>
              <w:t>/</w:t>
            </w:r>
          </w:p>
        </w:tc>
      </w:tr>
      <w:tr w14:paraId="66A22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9" w:type="pct"/>
            <w:shd w:val="clear" w:color="auto" w:fill="auto"/>
            <w:vAlign w:val="center"/>
          </w:tcPr>
          <w:p w14:paraId="53154560">
            <w:pPr>
              <w:pStyle w:val="184"/>
              <w:rPr>
                <w:b w:val="0"/>
                <w:bCs/>
                <w:color w:val="auto"/>
              </w:rPr>
            </w:pPr>
            <w:r>
              <w:rPr>
                <w:rFonts w:hint="eastAsia"/>
                <w:b w:val="0"/>
                <w:bCs/>
                <w:color w:val="auto"/>
              </w:rPr>
              <w:t>15</w:t>
            </w:r>
          </w:p>
        </w:tc>
        <w:tc>
          <w:tcPr>
            <w:tcW w:w="612" w:type="pct"/>
            <w:vAlign w:val="center"/>
          </w:tcPr>
          <w:p w14:paraId="0FCBC4F4">
            <w:pPr>
              <w:pStyle w:val="184"/>
              <w:rPr>
                <w:b w:val="0"/>
                <w:bCs/>
                <w:color w:val="auto"/>
              </w:rPr>
            </w:pPr>
            <w:r>
              <w:rPr>
                <w:rFonts w:hint="eastAsia"/>
                <w:b w:val="0"/>
                <w:bCs/>
                <w:color w:val="auto"/>
              </w:rPr>
              <w:t>氟化物</w:t>
            </w:r>
          </w:p>
        </w:tc>
        <w:tc>
          <w:tcPr>
            <w:tcW w:w="427" w:type="pct"/>
            <w:shd w:val="clear" w:color="auto" w:fill="auto"/>
            <w:vAlign w:val="center"/>
          </w:tcPr>
          <w:p w14:paraId="32BB3004">
            <w:pPr>
              <w:pStyle w:val="184"/>
              <w:rPr>
                <w:b w:val="0"/>
                <w:bCs/>
                <w:color w:val="auto"/>
              </w:rPr>
            </w:pPr>
            <w:r>
              <w:rPr>
                <w:rFonts w:hint="eastAsia"/>
                <w:b w:val="0"/>
                <w:bCs/>
                <w:color w:val="auto"/>
              </w:rPr>
              <w:t>1.0</w:t>
            </w:r>
          </w:p>
        </w:tc>
        <w:tc>
          <w:tcPr>
            <w:tcW w:w="982" w:type="pct"/>
            <w:shd w:val="clear" w:color="auto" w:fill="auto"/>
            <w:vAlign w:val="center"/>
          </w:tcPr>
          <w:p w14:paraId="713E5CCB">
            <w:pPr>
              <w:spacing w:line="264" w:lineRule="auto"/>
              <w:ind w:firstLine="0" w:firstLineChars="0"/>
              <w:jc w:val="center"/>
              <w:rPr>
                <w:rFonts w:hint="default" w:eastAsia="宋体"/>
                <w:bCs/>
                <w:color w:val="auto"/>
                <w:sz w:val="21"/>
                <w:szCs w:val="21"/>
                <w:lang w:val="en-US" w:eastAsia="zh-CN"/>
              </w:rPr>
            </w:pPr>
            <w:r>
              <w:rPr>
                <w:rFonts w:hint="eastAsia"/>
                <w:bCs/>
                <w:color w:val="auto"/>
                <w:sz w:val="21"/>
                <w:szCs w:val="21"/>
              </w:rPr>
              <w:t>0.</w:t>
            </w:r>
            <w:r>
              <w:rPr>
                <w:rFonts w:hint="eastAsia"/>
                <w:bCs/>
                <w:color w:val="auto"/>
                <w:sz w:val="21"/>
                <w:szCs w:val="21"/>
                <w:lang w:val="en-US" w:eastAsia="zh-CN"/>
              </w:rPr>
              <w:t>155</w:t>
            </w:r>
            <w:r>
              <w:rPr>
                <w:rFonts w:hint="eastAsia"/>
                <w:bCs/>
                <w:color w:val="auto"/>
                <w:sz w:val="21"/>
                <w:szCs w:val="21"/>
              </w:rPr>
              <w:t>~0.</w:t>
            </w:r>
            <w:r>
              <w:rPr>
                <w:rFonts w:hint="eastAsia"/>
                <w:bCs/>
                <w:color w:val="auto"/>
                <w:sz w:val="21"/>
                <w:szCs w:val="21"/>
                <w:lang w:val="en-US" w:eastAsia="zh-CN"/>
              </w:rPr>
              <w:t>206</w:t>
            </w:r>
          </w:p>
        </w:tc>
        <w:tc>
          <w:tcPr>
            <w:tcW w:w="323" w:type="pct"/>
            <w:shd w:val="clear" w:color="auto" w:fill="auto"/>
            <w:vAlign w:val="center"/>
          </w:tcPr>
          <w:p w14:paraId="6574C75D">
            <w:pPr>
              <w:pStyle w:val="184"/>
              <w:rPr>
                <w:b w:val="0"/>
                <w:bCs/>
                <w:color w:val="auto"/>
              </w:rPr>
            </w:pPr>
            <w:r>
              <w:rPr>
                <w:rFonts w:hint="eastAsia"/>
                <w:b w:val="0"/>
                <w:bCs/>
                <w:color w:val="auto"/>
              </w:rPr>
              <w:t>0</w:t>
            </w:r>
          </w:p>
        </w:tc>
        <w:tc>
          <w:tcPr>
            <w:tcW w:w="502" w:type="pct"/>
            <w:shd w:val="clear" w:color="auto" w:fill="auto"/>
            <w:vAlign w:val="center"/>
          </w:tcPr>
          <w:p w14:paraId="5AE28241">
            <w:pPr>
              <w:spacing w:line="264" w:lineRule="auto"/>
              <w:ind w:firstLine="0" w:firstLineChars="0"/>
              <w:jc w:val="center"/>
              <w:rPr>
                <w:rFonts w:hint="default" w:eastAsia="宋体"/>
                <w:bCs/>
                <w:color w:val="auto"/>
                <w:sz w:val="21"/>
                <w:szCs w:val="21"/>
                <w:lang w:val="en-US" w:eastAsia="zh-CN"/>
              </w:rPr>
            </w:pPr>
            <w:r>
              <w:rPr>
                <w:rFonts w:hint="eastAsia"/>
                <w:bCs/>
                <w:color w:val="auto"/>
                <w:sz w:val="21"/>
                <w:szCs w:val="21"/>
              </w:rPr>
              <w:t>0.</w:t>
            </w:r>
            <w:r>
              <w:rPr>
                <w:rFonts w:hint="eastAsia"/>
                <w:bCs/>
                <w:color w:val="auto"/>
                <w:sz w:val="21"/>
                <w:szCs w:val="21"/>
                <w:lang w:val="en-US" w:eastAsia="zh-CN"/>
              </w:rPr>
              <w:t>206</w:t>
            </w:r>
          </w:p>
        </w:tc>
        <w:tc>
          <w:tcPr>
            <w:tcW w:w="982" w:type="pct"/>
            <w:shd w:val="clear" w:color="auto" w:fill="auto"/>
            <w:vAlign w:val="center"/>
          </w:tcPr>
          <w:p w14:paraId="1AB094F1">
            <w:pPr>
              <w:spacing w:line="264" w:lineRule="auto"/>
              <w:ind w:firstLine="0" w:firstLineChars="0"/>
              <w:jc w:val="center"/>
              <w:rPr>
                <w:rFonts w:hint="default" w:ascii="Times New Roman" w:hAnsi="Times New Roman" w:eastAsia="宋体" w:cs="Times New Roman"/>
                <w:bCs/>
                <w:color w:val="auto"/>
                <w:kern w:val="2"/>
                <w:sz w:val="21"/>
                <w:szCs w:val="21"/>
                <w:lang w:val="zh-CN" w:eastAsia="zh-CN" w:bidi="ar-SA"/>
              </w:rPr>
            </w:pPr>
            <w:r>
              <w:rPr>
                <w:rFonts w:hint="eastAsia"/>
                <w:bCs/>
                <w:color w:val="auto"/>
                <w:sz w:val="21"/>
                <w:szCs w:val="21"/>
              </w:rPr>
              <w:t>0.</w:t>
            </w:r>
            <w:r>
              <w:rPr>
                <w:rFonts w:hint="eastAsia"/>
                <w:bCs/>
                <w:color w:val="auto"/>
                <w:sz w:val="21"/>
                <w:szCs w:val="21"/>
                <w:lang w:val="en-US" w:eastAsia="zh-CN"/>
              </w:rPr>
              <w:t>158</w:t>
            </w:r>
            <w:r>
              <w:rPr>
                <w:rFonts w:hint="eastAsia"/>
                <w:bCs/>
                <w:color w:val="auto"/>
                <w:sz w:val="21"/>
                <w:szCs w:val="21"/>
              </w:rPr>
              <w:t>~0.</w:t>
            </w:r>
            <w:r>
              <w:rPr>
                <w:rFonts w:hint="eastAsia"/>
                <w:bCs/>
                <w:color w:val="auto"/>
                <w:sz w:val="21"/>
                <w:szCs w:val="21"/>
                <w:lang w:val="en-US" w:eastAsia="zh-CN"/>
              </w:rPr>
              <w:t>206</w:t>
            </w:r>
          </w:p>
        </w:tc>
        <w:tc>
          <w:tcPr>
            <w:tcW w:w="324" w:type="pct"/>
            <w:shd w:val="clear" w:color="auto" w:fill="auto"/>
            <w:vAlign w:val="center"/>
          </w:tcPr>
          <w:p w14:paraId="3BF4647B">
            <w:pPr>
              <w:pStyle w:val="184"/>
              <w:rPr>
                <w:b w:val="0"/>
                <w:bCs/>
                <w:color w:val="auto"/>
              </w:rPr>
            </w:pPr>
            <w:r>
              <w:rPr>
                <w:rFonts w:hint="eastAsia"/>
                <w:b w:val="0"/>
                <w:bCs/>
                <w:color w:val="auto"/>
              </w:rPr>
              <w:t>0</w:t>
            </w:r>
          </w:p>
        </w:tc>
        <w:tc>
          <w:tcPr>
            <w:tcW w:w="615" w:type="pct"/>
            <w:shd w:val="clear" w:color="auto" w:fill="auto"/>
            <w:vAlign w:val="center"/>
          </w:tcPr>
          <w:p w14:paraId="6BD208BC">
            <w:pPr>
              <w:pStyle w:val="184"/>
              <w:rPr>
                <w:rFonts w:hint="default" w:eastAsia="宋体"/>
                <w:b w:val="0"/>
                <w:bCs/>
                <w:color w:val="auto"/>
                <w:lang w:val="en-US" w:eastAsia="zh-CN"/>
              </w:rPr>
            </w:pPr>
            <w:r>
              <w:rPr>
                <w:rFonts w:hint="eastAsia"/>
                <w:b w:val="0"/>
                <w:bCs/>
                <w:color w:val="auto"/>
              </w:rPr>
              <w:t>0.</w:t>
            </w:r>
            <w:r>
              <w:rPr>
                <w:rFonts w:hint="eastAsia"/>
                <w:b w:val="0"/>
                <w:bCs/>
                <w:color w:val="auto"/>
                <w:lang w:val="en-US" w:eastAsia="zh-CN"/>
              </w:rPr>
              <w:t>206</w:t>
            </w:r>
          </w:p>
        </w:tc>
      </w:tr>
      <w:tr w14:paraId="12065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29" w:type="pct"/>
            <w:shd w:val="clear" w:color="auto" w:fill="auto"/>
            <w:vAlign w:val="center"/>
          </w:tcPr>
          <w:p w14:paraId="4A1C52E0">
            <w:pPr>
              <w:pStyle w:val="184"/>
              <w:rPr>
                <w:b w:val="0"/>
                <w:bCs/>
                <w:color w:val="auto"/>
              </w:rPr>
            </w:pPr>
            <w:r>
              <w:rPr>
                <w:rFonts w:hint="eastAsia"/>
                <w:b w:val="0"/>
                <w:bCs/>
                <w:color w:val="auto"/>
              </w:rPr>
              <w:t>16</w:t>
            </w:r>
          </w:p>
        </w:tc>
        <w:tc>
          <w:tcPr>
            <w:tcW w:w="612" w:type="pct"/>
            <w:shd w:val="clear" w:color="auto" w:fill="auto"/>
            <w:vAlign w:val="center"/>
          </w:tcPr>
          <w:p w14:paraId="117E5B5B">
            <w:pPr>
              <w:pStyle w:val="184"/>
              <w:rPr>
                <w:b w:val="0"/>
                <w:bCs/>
                <w:color w:val="auto"/>
              </w:rPr>
            </w:pPr>
            <w:r>
              <w:rPr>
                <w:rFonts w:hint="eastAsia"/>
                <w:b w:val="0"/>
                <w:bCs/>
                <w:color w:val="auto"/>
              </w:rPr>
              <w:t>砷</w:t>
            </w:r>
          </w:p>
        </w:tc>
        <w:tc>
          <w:tcPr>
            <w:tcW w:w="427" w:type="pct"/>
            <w:shd w:val="clear" w:color="auto" w:fill="auto"/>
            <w:vAlign w:val="center"/>
          </w:tcPr>
          <w:p w14:paraId="14730908">
            <w:pPr>
              <w:pStyle w:val="184"/>
              <w:rPr>
                <w:b w:val="0"/>
                <w:bCs/>
                <w:color w:val="auto"/>
              </w:rPr>
            </w:pPr>
            <w:r>
              <w:rPr>
                <w:rFonts w:hint="eastAsia"/>
                <w:b w:val="0"/>
                <w:bCs/>
                <w:color w:val="auto"/>
              </w:rPr>
              <w:t>0.05</w:t>
            </w:r>
          </w:p>
        </w:tc>
        <w:tc>
          <w:tcPr>
            <w:tcW w:w="982" w:type="pct"/>
            <w:shd w:val="clear" w:color="auto" w:fill="auto"/>
            <w:vAlign w:val="center"/>
          </w:tcPr>
          <w:p w14:paraId="0D213A4C">
            <w:pPr>
              <w:pStyle w:val="184"/>
              <w:rPr>
                <w:rFonts w:hint="default" w:eastAsia="宋体"/>
                <w:b w:val="0"/>
                <w:bCs/>
                <w:color w:val="auto"/>
                <w:lang w:val="en-US" w:eastAsia="zh-CN"/>
              </w:rPr>
            </w:pPr>
            <w:r>
              <w:rPr>
                <w:rFonts w:hint="eastAsia"/>
                <w:b w:val="0"/>
                <w:bCs/>
                <w:color w:val="auto"/>
              </w:rPr>
              <w:t>0.000</w:t>
            </w:r>
            <w:r>
              <w:rPr>
                <w:rFonts w:hint="eastAsia"/>
                <w:b w:val="0"/>
                <w:bCs/>
                <w:color w:val="auto"/>
                <w:lang w:val="en-US" w:eastAsia="zh-CN"/>
              </w:rPr>
              <w:t>2L</w:t>
            </w:r>
            <w:r>
              <w:rPr>
                <w:rFonts w:hint="eastAsia"/>
                <w:b w:val="0"/>
                <w:bCs/>
                <w:color w:val="auto"/>
              </w:rPr>
              <w:t>~0.00</w:t>
            </w:r>
            <w:r>
              <w:rPr>
                <w:rFonts w:hint="eastAsia"/>
                <w:b w:val="0"/>
                <w:bCs/>
                <w:color w:val="auto"/>
                <w:lang w:val="en-US" w:eastAsia="zh-CN"/>
              </w:rPr>
              <w:t>42</w:t>
            </w:r>
          </w:p>
        </w:tc>
        <w:tc>
          <w:tcPr>
            <w:tcW w:w="323" w:type="pct"/>
            <w:shd w:val="clear" w:color="auto" w:fill="auto"/>
            <w:vAlign w:val="center"/>
          </w:tcPr>
          <w:p w14:paraId="79DFF7E4">
            <w:pPr>
              <w:pStyle w:val="184"/>
              <w:rPr>
                <w:b w:val="0"/>
                <w:bCs/>
                <w:color w:val="auto"/>
              </w:rPr>
            </w:pPr>
            <w:r>
              <w:rPr>
                <w:rFonts w:hint="eastAsia"/>
                <w:b w:val="0"/>
                <w:bCs/>
                <w:color w:val="auto"/>
              </w:rPr>
              <w:t>0</w:t>
            </w:r>
          </w:p>
        </w:tc>
        <w:tc>
          <w:tcPr>
            <w:tcW w:w="502" w:type="pct"/>
            <w:shd w:val="clear" w:color="auto" w:fill="auto"/>
            <w:vAlign w:val="center"/>
          </w:tcPr>
          <w:p w14:paraId="3B1395D4">
            <w:pPr>
              <w:pStyle w:val="184"/>
              <w:rPr>
                <w:rFonts w:hint="default" w:eastAsia="宋体"/>
                <w:b w:val="0"/>
                <w:bCs/>
                <w:color w:val="auto"/>
                <w:lang w:val="en-US" w:eastAsia="zh-CN"/>
              </w:rPr>
            </w:pPr>
            <w:r>
              <w:rPr>
                <w:rFonts w:hint="eastAsia"/>
                <w:b w:val="0"/>
                <w:bCs/>
                <w:color w:val="auto"/>
              </w:rPr>
              <w:t>0.0</w:t>
            </w:r>
            <w:r>
              <w:rPr>
                <w:rFonts w:hint="eastAsia"/>
                <w:b w:val="0"/>
                <w:bCs/>
                <w:color w:val="auto"/>
                <w:lang w:val="en-US" w:eastAsia="zh-CN"/>
              </w:rPr>
              <w:t>84</w:t>
            </w:r>
          </w:p>
        </w:tc>
        <w:tc>
          <w:tcPr>
            <w:tcW w:w="982" w:type="pct"/>
            <w:shd w:val="clear" w:color="auto" w:fill="auto"/>
            <w:vAlign w:val="center"/>
          </w:tcPr>
          <w:p w14:paraId="585C7B1F">
            <w:pPr>
              <w:pStyle w:val="184"/>
              <w:ind w:firstLine="0" w:firstLineChars="0"/>
              <w:rPr>
                <w:rFonts w:hint="default" w:ascii="Times New Roman" w:hAnsi="Times New Roman" w:eastAsia="宋体" w:cs="Times New Roman"/>
                <w:b w:val="0"/>
                <w:bCs/>
                <w:snapToGrid w:val="0"/>
                <w:color w:val="auto"/>
                <w:kern w:val="2"/>
                <w:sz w:val="21"/>
                <w:szCs w:val="21"/>
                <w:lang w:val="en-US" w:eastAsia="zh-CN" w:bidi="ar-SA"/>
              </w:rPr>
            </w:pPr>
            <w:r>
              <w:rPr>
                <w:rFonts w:hint="eastAsia"/>
                <w:b w:val="0"/>
                <w:bCs/>
                <w:color w:val="auto"/>
              </w:rPr>
              <w:t>0.000</w:t>
            </w:r>
            <w:r>
              <w:rPr>
                <w:rFonts w:hint="eastAsia"/>
                <w:b w:val="0"/>
                <w:bCs/>
                <w:color w:val="auto"/>
                <w:lang w:val="en-US" w:eastAsia="zh-CN"/>
              </w:rPr>
              <w:t>2L</w:t>
            </w:r>
            <w:r>
              <w:rPr>
                <w:rFonts w:hint="eastAsia"/>
                <w:b w:val="0"/>
                <w:bCs/>
                <w:color w:val="auto"/>
              </w:rPr>
              <w:t>~0.00</w:t>
            </w:r>
            <w:r>
              <w:rPr>
                <w:rFonts w:hint="eastAsia"/>
                <w:b w:val="0"/>
                <w:bCs/>
                <w:color w:val="auto"/>
                <w:lang w:val="en-US" w:eastAsia="zh-CN"/>
              </w:rPr>
              <w:t>42</w:t>
            </w:r>
          </w:p>
        </w:tc>
        <w:tc>
          <w:tcPr>
            <w:tcW w:w="324" w:type="pct"/>
            <w:shd w:val="clear" w:color="auto" w:fill="auto"/>
            <w:vAlign w:val="center"/>
          </w:tcPr>
          <w:p w14:paraId="4767723E">
            <w:pPr>
              <w:pStyle w:val="184"/>
              <w:rPr>
                <w:b w:val="0"/>
                <w:bCs/>
                <w:color w:val="auto"/>
              </w:rPr>
            </w:pPr>
            <w:r>
              <w:rPr>
                <w:rFonts w:hint="eastAsia"/>
                <w:b w:val="0"/>
                <w:bCs/>
                <w:color w:val="auto"/>
              </w:rPr>
              <w:t>0</w:t>
            </w:r>
          </w:p>
        </w:tc>
        <w:tc>
          <w:tcPr>
            <w:tcW w:w="615" w:type="pct"/>
            <w:shd w:val="clear" w:color="auto" w:fill="auto"/>
            <w:vAlign w:val="center"/>
          </w:tcPr>
          <w:p w14:paraId="40DEE873">
            <w:pPr>
              <w:pStyle w:val="184"/>
              <w:rPr>
                <w:rFonts w:hint="default" w:eastAsia="宋体"/>
                <w:b w:val="0"/>
                <w:bCs/>
                <w:color w:val="auto"/>
                <w:lang w:val="en-US" w:eastAsia="zh-CN"/>
              </w:rPr>
            </w:pPr>
            <w:r>
              <w:rPr>
                <w:rFonts w:hint="eastAsia"/>
                <w:b w:val="0"/>
                <w:bCs/>
                <w:color w:val="auto"/>
              </w:rPr>
              <w:t>0.0</w:t>
            </w:r>
            <w:r>
              <w:rPr>
                <w:rFonts w:hint="eastAsia"/>
                <w:b w:val="0"/>
                <w:bCs/>
                <w:color w:val="auto"/>
                <w:lang w:val="en-US" w:eastAsia="zh-CN"/>
              </w:rPr>
              <w:t>84</w:t>
            </w:r>
          </w:p>
        </w:tc>
      </w:tr>
      <w:tr w14:paraId="21050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29" w:type="pct"/>
            <w:shd w:val="clear" w:color="auto" w:fill="auto"/>
            <w:vAlign w:val="center"/>
          </w:tcPr>
          <w:p w14:paraId="71E3AC1D">
            <w:pPr>
              <w:pStyle w:val="184"/>
              <w:rPr>
                <w:b w:val="0"/>
                <w:bCs/>
                <w:color w:val="auto"/>
              </w:rPr>
            </w:pPr>
            <w:r>
              <w:rPr>
                <w:rFonts w:hint="eastAsia"/>
                <w:b w:val="0"/>
                <w:bCs/>
                <w:color w:val="auto"/>
              </w:rPr>
              <w:t>17</w:t>
            </w:r>
          </w:p>
        </w:tc>
        <w:tc>
          <w:tcPr>
            <w:tcW w:w="612" w:type="pct"/>
            <w:shd w:val="clear" w:color="auto" w:fill="auto"/>
            <w:vAlign w:val="center"/>
          </w:tcPr>
          <w:p w14:paraId="1F669019">
            <w:pPr>
              <w:pStyle w:val="184"/>
              <w:rPr>
                <w:b w:val="0"/>
                <w:bCs/>
                <w:color w:val="auto"/>
              </w:rPr>
            </w:pPr>
            <w:r>
              <w:rPr>
                <w:rFonts w:hint="eastAsia"/>
                <w:b w:val="0"/>
                <w:bCs/>
                <w:color w:val="auto"/>
              </w:rPr>
              <w:t>硒</w:t>
            </w:r>
          </w:p>
        </w:tc>
        <w:tc>
          <w:tcPr>
            <w:tcW w:w="427" w:type="pct"/>
            <w:shd w:val="clear" w:color="auto" w:fill="auto"/>
            <w:vAlign w:val="center"/>
          </w:tcPr>
          <w:p w14:paraId="5A3CC123">
            <w:pPr>
              <w:pStyle w:val="184"/>
              <w:rPr>
                <w:b w:val="0"/>
                <w:bCs/>
                <w:color w:val="auto"/>
              </w:rPr>
            </w:pPr>
            <w:r>
              <w:rPr>
                <w:rFonts w:hint="eastAsia"/>
                <w:b w:val="0"/>
                <w:bCs/>
                <w:color w:val="auto"/>
              </w:rPr>
              <w:t>0.01</w:t>
            </w:r>
          </w:p>
        </w:tc>
        <w:tc>
          <w:tcPr>
            <w:tcW w:w="982" w:type="pct"/>
            <w:shd w:val="clear" w:color="auto" w:fill="auto"/>
            <w:vAlign w:val="center"/>
          </w:tcPr>
          <w:p w14:paraId="6CBF3403">
            <w:pPr>
              <w:pStyle w:val="184"/>
              <w:rPr>
                <w:b w:val="0"/>
                <w:bCs/>
                <w:color w:val="auto"/>
              </w:rPr>
            </w:pPr>
            <w:r>
              <w:rPr>
                <w:rFonts w:hint="eastAsia"/>
                <w:b w:val="0"/>
                <w:bCs/>
                <w:color w:val="auto"/>
              </w:rPr>
              <w:t>0.000</w:t>
            </w:r>
            <w:r>
              <w:rPr>
                <w:rFonts w:hint="eastAsia"/>
                <w:b w:val="0"/>
                <w:bCs/>
                <w:color w:val="auto"/>
                <w:lang w:val="en-US" w:eastAsia="zh-CN"/>
              </w:rPr>
              <w:t>2</w:t>
            </w:r>
            <w:r>
              <w:rPr>
                <w:rFonts w:hint="eastAsia"/>
                <w:b w:val="0"/>
                <w:bCs/>
                <w:color w:val="auto"/>
              </w:rPr>
              <w:t>L~0.00</w:t>
            </w:r>
            <w:r>
              <w:rPr>
                <w:rFonts w:hint="eastAsia"/>
                <w:b w:val="0"/>
                <w:bCs/>
                <w:color w:val="auto"/>
                <w:lang w:val="en-US" w:eastAsia="zh-CN"/>
              </w:rPr>
              <w:t>0</w:t>
            </w:r>
            <w:r>
              <w:rPr>
                <w:rFonts w:hint="eastAsia"/>
                <w:b w:val="0"/>
                <w:bCs/>
                <w:color w:val="auto"/>
              </w:rPr>
              <w:t>5</w:t>
            </w:r>
          </w:p>
        </w:tc>
        <w:tc>
          <w:tcPr>
            <w:tcW w:w="323" w:type="pct"/>
            <w:shd w:val="clear" w:color="auto" w:fill="auto"/>
            <w:vAlign w:val="center"/>
          </w:tcPr>
          <w:p w14:paraId="7F2CCD1D">
            <w:pPr>
              <w:pStyle w:val="184"/>
              <w:rPr>
                <w:b w:val="0"/>
                <w:bCs/>
                <w:color w:val="auto"/>
              </w:rPr>
            </w:pPr>
            <w:r>
              <w:rPr>
                <w:rFonts w:hint="eastAsia"/>
                <w:b w:val="0"/>
                <w:bCs/>
                <w:color w:val="auto"/>
              </w:rPr>
              <w:t>0</w:t>
            </w:r>
          </w:p>
        </w:tc>
        <w:tc>
          <w:tcPr>
            <w:tcW w:w="502" w:type="pct"/>
            <w:shd w:val="clear" w:color="auto" w:fill="auto"/>
            <w:vAlign w:val="center"/>
          </w:tcPr>
          <w:p w14:paraId="0B12C57B">
            <w:pPr>
              <w:pStyle w:val="184"/>
              <w:rPr>
                <w:rFonts w:hint="default" w:eastAsia="宋体"/>
                <w:b w:val="0"/>
                <w:bCs/>
                <w:color w:val="auto"/>
                <w:lang w:val="en-US" w:eastAsia="zh-CN"/>
              </w:rPr>
            </w:pPr>
            <w:r>
              <w:rPr>
                <w:rFonts w:hint="eastAsia"/>
                <w:b w:val="0"/>
                <w:bCs/>
                <w:color w:val="auto"/>
              </w:rPr>
              <w:t>0.</w:t>
            </w:r>
            <w:r>
              <w:rPr>
                <w:rFonts w:hint="eastAsia"/>
                <w:b w:val="0"/>
                <w:bCs/>
                <w:color w:val="auto"/>
                <w:lang w:val="en-US" w:eastAsia="zh-CN"/>
              </w:rPr>
              <w:t>05</w:t>
            </w:r>
          </w:p>
        </w:tc>
        <w:tc>
          <w:tcPr>
            <w:tcW w:w="982" w:type="pct"/>
            <w:shd w:val="clear" w:color="auto" w:fill="auto"/>
            <w:vAlign w:val="center"/>
          </w:tcPr>
          <w:p w14:paraId="7C484353">
            <w:pPr>
              <w:pStyle w:val="184"/>
              <w:ind w:firstLine="0" w:firstLineChars="0"/>
              <w:rPr>
                <w:rFonts w:ascii="Times New Roman" w:hAnsi="Times New Roman" w:eastAsia="宋体" w:cs="Times New Roman"/>
                <w:b w:val="0"/>
                <w:bCs/>
                <w:snapToGrid w:val="0"/>
                <w:color w:val="auto"/>
                <w:kern w:val="2"/>
                <w:sz w:val="21"/>
                <w:szCs w:val="21"/>
                <w:lang w:val="zh-CN" w:eastAsia="zh-CN" w:bidi="ar-SA"/>
              </w:rPr>
            </w:pPr>
            <w:r>
              <w:rPr>
                <w:rFonts w:hint="eastAsia"/>
                <w:b w:val="0"/>
                <w:bCs/>
                <w:color w:val="auto"/>
              </w:rPr>
              <w:t>0.000</w:t>
            </w:r>
            <w:r>
              <w:rPr>
                <w:rFonts w:hint="eastAsia"/>
                <w:b w:val="0"/>
                <w:bCs/>
                <w:color w:val="auto"/>
                <w:lang w:val="en-US" w:eastAsia="zh-CN"/>
              </w:rPr>
              <w:t>2</w:t>
            </w:r>
            <w:r>
              <w:rPr>
                <w:rFonts w:hint="eastAsia"/>
                <w:b w:val="0"/>
                <w:bCs/>
                <w:color w:val="auto"/>
              </w:rPr>
              <w:t>L~0.00</w:t>
            </w:r>
            <w:r>
              <w:rPr>
                <w:rFonts w:hint="eastAsia"/>
                <w:b w:val="0"/>
                <w:bCs/>
                <w:color w:val="auto"/>
                <w:lang w:val="en-US" w:eastAsia="zh-CN"/>
              </w:rPr>
              <w:t>0</w:t>
            </w:r>
            <w:r>
              <w:rPr>
                <w:rFonts w:hint="eastAsia"/>
                <w:b w:val="0"/>
                <w:bCs/>
                <w:color w:val="auto"/>
              </w:rPr>
              <w:t>5</w:t>
            </w:r>
          </w:p>
        </w:tc>
        <w:tc>
          <w:tcPr>
            <w:tcW w:w="324" w:type="pct"/>
            <w:shd w:val="clear" w:color="auto" w:fill="auto"/>
            <w:vAlign w:val="center"/>
          </w:tcPr>
          <w:p w14:paraId="1FCF5DE0">
            <w:pPr>
              <w:pStyle w:val="184"/>
              <w:rPr>
                <w:b w:val="0"/>
                <w:bCs/>
                <w:color w:val="auto"/>
              </w:rPr>
            </w:pPr>
            <w:r>
              <w:rPr>
                <w:rFonts w:hint="eastAsia"/>
                <w:b w:val="0"/>
                <w:bCs/>
                <w:color w:val="auto"/>
              </w:rPr>
              <w:t>0</w:t>
            </w:r>
          </w:p>
        </w:tc>
        <w:tc>
          <w:tcPr>
            <w:tcW w:w="615" w:type="pct"/>
            <w:shd w:val="clear" w:color="auto" w:fill="auto"/>
            <w:vAlign w:val="center"/>
          </w:tcPr>
          <w:p w14:paraId="3D516E14">
            <w:pPr>
              <w:pStyle w:val="184"/>
              <w:rPr>
                <w:rFonts w:hint="default" w:eastAsia="宋体"/>
                <w:b w:val="0"/>
                <w:bCs/>
                <w:color w:val="auto"/>
                <w:lang w:val="en-US" w:eastAsia="zh-CN"/>
              </w:rPr>
            </w:pPr>
            <w:r>
              <w:rPr>
                <w:rFonts w:hint="eastAsia"/>
                <w:b w:val="0"/>
                <w:bCs/>
                <w:color w:val="auto"/>
                <w:lang w:val="en-US" w:eastAsia="zh-CN"/>
              </w:rPr>
              <w:t>0.05</w:t>
            </w:r>
          </w:p>
        </w:tc>
      </w:tr>
      <w:tr w14:paraId="6018A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29" w:type="pct"/>
            <w:shd w:val="clear" w:color="auto" w:fill="auto"/>
            <w:vAlign w:val="center"/>
          </w:tcPr>
          <w:p w14:paraId="77ADEC5F">
            <w:pPr>
              <w:pStyle w:val="184"/>
              <w:rPr>
                <w:b w:val="0"/>
                <w:bCs/>
                <w:color w:val="auto"/>
              </w:rPr>
            </w:pPr>
            <w:r>
              <w:rPr>
                <w:rFonts w:hint="eastAsia"/>
                <w:b w:val="0"/>
                <w:bCs/>
                <w:color w:val="auto"/>
              </w:rPr>
              <w:t>18</w:t>
            </w:r>
          </w:p>
        </w:tc>
        <w:tc>
          <w:tcPr>
            <w:tcW w:w="612" w:type="pct"/>
            <w:shd w:val="clear" w:color="auto" w:fill="auto"/>
            <w:vAlign w:val="center"/>
          </w:tcPr>
          <w:p w14:paraId="3CE3C2CB">
            <w:pPr>
              <w:pStyle w:val="184"/>
              <w:rPr>
                <w:b w:val="0"/>
                <w:bCs/>
                <w:color w:val="auto"/>
              </w:rPr>
            </w:pPr>
            <w:r>
              <w:rPr>
                <w:rFonts w:hint="eastAsia"/>
                <w:b w:val="0"/>
                <w:bCs/>
                <w:color w:val="auto"/>
              </w:rPr>
              <w:t>汞</w:t>
            </w:r>
          </w:p>
        </w:tc>
        <w:tc>
          <w:tcPr>
            <w:tcW w:w="427" w:type="pct"/>
            <w:shd w:val="clear" w:color="auto" w:fill="auto"/>
            <w:vAlign w:val="center"/>
          </w:tcPr>
          <w:p w14:paraId="3E046274">
            <w:pPr>
              <w:pStyle w:val="184"/>
              <w:rPr>
                <w:b w:val="0"/>
                <w:bCs/>
                <w:color w:val="auto"/>
              </w:rPr>
            </w:pPr>
            <w:r>
              <w:rPr>
                <w:rFonts w:hint="eastAsia"/>
                <w:b w:val="0"/>
                <w:bCs/>
                <w:color w:val="auto"/>
              </w:rPr>
              <w:t>0.0001</w:t>
            </w:r>
          </w:p>
        </w:tc>
        <w:tc>
          <w:tcPr>
            <w:tcW w:w="982" w:type="pct"/>
            <w:shd w:val="clear" w:color="auto" w:fill="auto"/>
            <w:vAlign w:val="center"/>
          </w:tcPr>
          <w:p w14:paraId="5BB5E97F">
            <w:pPr>
              <w:pStyle w:val="184"/>
              <w:rPr>
                <w:b w:val="0"/>
                <w:bCs/>
                <w:color w:val="auto"/>
              </w:rPr>
            </w:pPr>
            <w:r>
              <w:rPr>
                <w:rFonts w:hint="eastAsia"/>
                <w:b w:val="0"/>
                <w:bCs/>
                <w:color w:val="auto"/>
              </w:rPr>
              <w:t>0.0000</w:t>
            </w:r>
            <w:r>
              <w:rPr>
                <w:rFonts w:hint="eastAsia"/>
                <w:b w:val="0"/>
                <w:bCs/>
                <w:color w:val="auto"/>
                <w:lang w:val="en-US" w:eastAsia="zh-CN"/>
              </w:rPr>
              <w:t>2</w:t>
            </w:r>
            <w:r>
              <w:rPr>
                <w:rFonts w:hint="eastAsia"/>
                <w:b w:val="0"/>
                <w:bCs/>
                <w:color w:val="auto"/>
              </w:rPr>
              <w:t>L</w:t>
            </w:r>
          </w:p>
        </w:tc>
        <w:tc>
          <w:tcPr>
            <w:tcW w:w="323" w:type="pct"/>
            <w:shd w:val="clear" w:color="auto" w:fill="auto"/>
            <w:vAlign w:val="center"/>
          </w:tcPr>
          <w:p w14:paraId="23C9BC8D">
            <w:pPr>
              <w:pStyle w:val="184"/>
              <w:rPr>
                <w:rFonts w:hint="eastAsia" w:eastAsia="宋体"/>
                <w:b w:val="0"/>
                <w:bCs/>
                <w:color w:val="auto"/>
                <w:lang w:val="en-US" w:eastAsia="zh-CN"/>
              </w:rPr>
            </w:pPr>
            <w:r>
              <w:rPr>
                <w:rFonts w:hint="eastAsia"/>
                <w:b w:val="0"/>
                <w:bCs/>
                <w:color w:val="auto"/>
                <w:lang w:val="en-US" w:eastAsia="zh-CN"/>
              </w:rPr>
              <w:t>0</w:t>
            </w:r>
          </w:p>
        </w:tc>
        <w:tc>
          <w:tcPr>
            <w:tcW w:w="502" w:type="pct"/>
            <w:shd w:val="clear" w:color="auto" w:fill="auto"/>
            <w:vAlign w:val="center"/>
          </w:tcPr>
          <w:p w14:paraId="2B584072">
            <w:pPr>
              <w:pStyle w:val="184"/>
              <w:ind w:firstLine="0" w:firstLineChars="0"/>
              <w:rPr>
                <w:rFonts w:ascii="Times New Roman" w:hAnsi="Times New Roman" w:eastAsia="宋体" w:cs="Times New Roman"/>
                <w:b w:val="0"/>
                <w:bCs/>
                <w:snapToGrid w:val="0"/>
                <w:color w:val="auto"/>
                <w:kern w:val="2"/>
                <w:sz w:val="21"/>
                <w:szCs w:val="21"/>
                <w:lang w:val="zh-CN" w:eastAsia="zh-CN" w:bidi="ar-SA"/>
              </w:rPr>
            </w:pPr>
            <w:r>
              <w:rPr>
                <w:rFonts w:hint="eastAsia"/>
                <w:b w:val="0"/>
                <w:bCs/>
                <w:color w:val="auto"/>
              </w:rPr>
              <w:t>/</w:t>
            </w:r>
          </w:p>
        </w:tc>
        <w:tc>
          <w:tcPr>
            <w:tcW w:w="982" w:type="pct"/>
            <w:shd w:val="clear" w:color="auto" w:fill="auto"/>
            <w:vAlign w:val="center"/>
          </w:tcPr>
          <w:p w14:paraId="4F6114B9">
            <w:pPr>
              <w:pStyle w:val="184"/>
              <w:ind w:firstLine="0" w:firstLineChars="0"/>
              <w:rPr>
                <w:rFonts w:ascii="Times New Roman" w:hAnsi="Times New Roman" w:eastAsia="宋体" w:cs="Times New Roman"/>
                <w:b w:val="0"/>
                <w:bCs/>
                <w:snapToGrid w:val="0"/>
                <w:color w:val="auto"/>
                <w:kern w:val="2"/>
                <w:sz w:val="21"/>
                <w:szCs w:val="21"/>
                <w:lang w:val="zh-CN" w:eastAsia="zh-CN" w:bidi="ar-SA"/>
              </w:rPr>
            </w:pPr>
            <w:r>
              <w:rPr>
                <w:rFonts w:hint="eastAsia"/>
                <w:b w:val="0"/>
                <w:bCs/>
                <w:color w:val="auto"/>
              </w:rPr>
              <w:t>0.0000</w:t>
            </w:r>
            <w:r>
              <w:rPr>
                <w:rFonts w:hint="eastAsia"/>
                <w:b w:val="0"/>
                <w:bCs/>
                <w:color w:val="auto"/>
                <w:lang w:val="en-US" w:eastAsia="zh-CN"/>
              </w:rPr>
              <w:t>2</w:t>
            </w:r>
            <w:r>
              <w:rPr>
                <w:rFonts w:hint="eastAsia"/>
                <w:b w:val="0"/>
                <w:bCs/>
                <w:color w:val="auto"/>
              </w:rPr>
              <w:t>L</w:t>
            </w:r>
          </w:p>
        </w:tc>
        <w:tc>
          <w:tcPr>
            <w:tcW w:w="324" w:type="pct"/>
            <w:shd w:val="clear" w:color="auto" w:fill="auto"/>
            <w:vAlign w:val="center"/>
          </w:tcPr>
          <w:p w14:paraId="6214BC11">
            <w:pPr>
              <w:pStyle w:val="184"/>
              <w:rPr>
                <w:b w:val="0"/>
                <w:bCs/>
                <w:color w:val="auto"/>
              </w:rPr>
            </w:pPr>
            <w:r>
              <w:rPr>
                <w:rFonts w:hint="eastAsia"/>
                <w:b w:val="0"/>
                <w:bCs/>
                <w:color w:val="auto"/>
              </w:rPr>
              <w:t>0</w:t>
            </w:r>
          </w:p>
        </w:tc>
        <w:tc>
          <w:tcPr>
            <w:tcW w:w="615" w:type="pct"/>
            <w:shd w:val="clear" w:color="auto" w:fill="auto"/>
            <w:vAlign w:val="center"/>
          </w:tcPr>
          <w:p w14:paraId="3516D668">
            <w:pPr>
              <w:pStyle w:val="184"/>
              <w:ind w:firstLine="0" w:firstLineChars="0"/>
              <w:rPr>
                <w:rFonts w:ascii="Times New Roman" w:hAnsi="Times New Roman" w:eastAsia="宋体" w:cs="Times New Roman"/>
                <w:b w:val="0"/>
                <w:bCs/>
                <w:snapToGrid w:val="0"/>
                <w:color w:val="auto"/>
                <w:kern w:val="2"/>
                <w:sz w:val="21"/>
                <w:szCs w:val="21"/>
                <w:lang w:val="zh-CN" w:eastAsia="zh-CN" w:bidi="ar-SA"/>
              </w:rPr>
            </w:pPr>
            <w:r>
              <w:rPr>
                <w:rFonts w:hint="eastAsia"/>
                <w:b w:val="0"/>
                <w:bCs/>
                <w:color w:val="auto"/>
              </w:rPr>
              <w:t>/</w:t>
            </w:r>
          </w:p>
        </w:tc>
      </w:tr>
      <w:tr w14:paraId="1ABD3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29" w:type="pct"/>
            <w:shd w:val="clear" w:color="auto" w:fill="auto"/>
            <w:vAlign w:val="center"/>
          </w:tcPr>
          <w:p w14:paraId="32E1FD60">
            <w:pPr>
              <w:pStyle w:val="184"/>
              <w:rPr>
                <w:b w:val="0"/>
                <w:bCs/>
                <w:color w:val="auto"/>
              </w:rPr>
            </w:pPr>
            <w:r>
              <w:rPr>
                <w:rFonts w:hint="eastAsia"/>
                <w:b w:val="0"/>
                <w:bCs/>
                <w:color w:val="auto"/>
              </w:rPr>
              <w:t>19</w:t>
            </w:r>
          </w:p>
        </w:tc>
        <w:tc>
          <w:tcPr>
            <w:tcW w:w="612" w:type="pct"/>
            <w:shd w:val="clear" w:color="auto" w:fill="auto"/>
            <w:vAlign w:val="center"/>
          </w:tcPr>
          <w:p w14:paraId="4BEA28A1">
            <w:pPr>
              <w:pStyle w:val="184"/>
              <w:rPr>
                <w:b w:val="0"/>
                <w:bCs/>
                <w:color w:val="auto"/>
              </w:rPr>
            </w:pPr>
            <w:r>
              <w:rPr>
                <w:rFonts w:hint="eastAsia"/>
                <w:b w:val="0"/>
                <w:bCs/>
                <w:color w:val="auto"/>
              </w:rPr>
              <w:t>铜</w:t>
            </w:r>
          </w:p>
        </w:tc>
        <w:tc>
          <w:tcPr>
            <w:tcW w:w="427" w:type="pct"/>
            <w:shd w:val="clear" w:color="auto" w:fill="auto"/>
            <w:vAlign w:val="center"/>
          </w:tcPr>
          <w:p w14:paraId="2EFDDCAC">
            <w:pPr>
              <w:pStyle w:val="184"/>
              <w:rPr>
                <w:b w:val="0"/>
                <w:bCs/>
                <w:color w:val="auto"/>
              </w:rPr>
            </w:pPr>
            <w:r>
              <w:rPr>
                <w:rFonts w:hint="eastAsia"/>
                <w:b w:val="0"/>
                <w:bCs/>
                <w:color w:val="auto"/>
              </w:rPr>
              <w:t>1.0</w:t>
            </w:r>
          </w:p>
        </w:tc>
        <w:tc>
          <w:tcPr>
            <w:tcW w:w="982" w:type="pct"/>
            <w:shd w:val="clear" w:color="auto" w:fill="auto"/>
            <w:vAlign w:val="center"/>
          </w:tcPr>
          <w:p w14:paraId="14690779">
            <w:pPr>
              <w:pStyle w:val="184"/>
              <w:rPr>
                <w:rFonts w:hint="default" w:eastAsia="宋体"/>
                <w:b w:val="0"/>
                <w:bCs/>
                <w:color w:val="auto"/>
                <w:lang w:val="en-US" w:eastAsia="zh-CN"/>
              </w:rPr>
            </w:pPr>
            <w:r>
              <w:rPr>
                <w:rFonts w:hint="eastAsia"/>
                <w:b w:val="0"/>
                <w:bCs/>
                <w:color w:val="auto"/>
              </w:rPr>
              <w:t>0.001L</w:t>
            </w:r>
            <w:r>
              <w:rPr>
                <w:rFonts w:hint="eastAsia"/>
                <w:b w:val="0"/>
                <w:bCs/>
                <w:color w:val="auto"/>
                <w:lang w:val="en-US" w:eastAsia="zh-CN"/>
              </w:rPr>
              <w:t>~0.002</w:t>
            </w:r>
          </w:p>
        </w:tc>
        <w:tc>
          <w:tcPr>
            <w:tcW w:w="323" w:type="pct"/>
            <w:shd w:val="clear" w:color="auto" w:fill="auto"/>
            <w:vAlign w:val="center"/>
          </w:tcPr>
          <w:p w14:paraId="15F8A0FE">
            <w:pPr>
              <w:pStyle w:val="184"/>
              <w:rPr>
                <w:b w:val="0"/>
                <w:bCs/>
                <w:color w:val="auto"/>
              </w:rPr>
            </w:pPr>
            <w:r>
              <w:rPr>
                <w:rFonts w:hint="eastAsia"/>
                <w:b w:val="0"/>
                <w:bCs/>
                <w:color w:val="auto"/>
              </w:rPr>
              <w:t>0</w:t>
            </w:r>
          </w:p>
        </w:tc>
        <w:tc>
          <w:tcPr>
            <w:tcW w:w="502" w:type="pct"/>
            <w:shd w:val="clear" w:color="auto" w:fill="auto"/>
            <w:vAlign w:val="center"/>
          </w:tcPr>
          <w:p w14:paraId="551CA89E">
            <w:pPr>
              <w:pStyle w:val="184"/>
              <w:ind w:firstLine="0" w:firstLineChars="0"/>
              <w:rPr>
                <w:rFonts w:hint="default" w:ascii="Times New Roman" w:hAnsi="Times New Roman" w:eastAsia="宋体" w:cs="Times New Roman"/>
                <w:b w:val="0"/>
                <w:bCs/>
                <w:snapToGrid w:val="0"/>
                <w:color w:val="auto"/>
                <w:kern w:val="2"/>
                <w:sz w:val="21"/>
                <w:szCs w:val="21"/>
                <w:lang w:val="en-US" w:eastAsia="zh-CN" w:bidi="ar-SA"/>
              </w:rPr>
            </w:pPr>
            <w:r>
              <w:rPr>
                <w:rFonts w:hint="eastAsia"/>
                <w:b w:val="0"/>
                <w:bCs/>
                <w:color w:val="auto"/>
                <w:lang w:val="en-US" w:eastAsia="zh-CN"/>
              </w:rPr>
              <w:t>0.002</w:t>
            </w:r>
          </w:p>
        </w:tc>
        <w:tc>
          <w:tcPr>
            <w:tcW w:w="982" w:type="pct"/>
            <w:shd w:val="clear" w:color="auto" w:fill="auto"/>
            <w:vAlign w:val="center"/>
          </w:tcPr>
          <w:p w14:paraId="5EEBE193">
            <w:pPr>
              <w:pStyle w:val="184"/>
              <w:ind w:firstLine="0" w:firstLineChars="0"/>
              <w:rPr>
                <w:rFonts w:ascii="Times New Roman" w:hAnsi="Times New Roman" w:eastAsia="宋体" w:cs="Times New Roman"/>
                <w:b w:val="0"/>
                <w:bCs/>
                <w:snapToGrid w:val="0"/>
                <w:color w:val="auto"/>
                <w:kern w:val="2"/>
                <w:sz w:val="21"/>
                <w:szCs w:val="21"/>
                <w:lang w:val="zh-CN" w:eastAsia="zh-CN" w:bidi="ar-SA"/>
              </w:rPr>
            </w:pPr>
            <w:r>
              <w:rPr>
                <w:rFonts w:hint="eastAsia"/>
                <w:b w:val="0"/>
                <w:bCs/>
                <w:color w:val="auto"/>
              </w:rPr>
              <w:t>0.001L</w:t>
            </w:r>
          </w:p>
        </w:tc>
        <w:tc>
          <w:tcPr>
            <w:tcW w:w="324" w:type="pct"/>
            <w:shd w:val="clear" w:color="auto" w:fill="auto"/>
            <w:vAlign w:val="center"/>
          </w:tcPr>
          <w:p w14:paraId="412CD267">
            <w:pPr>
              <w:pStyle w:val="184"/>
              <w:rPr>
                <w:b w:val="0"/>
                <w:bCs/>
                <w:color w:val="auto"/>
              </w:rPr>
            </w:pPr>
            <w:r>
              <w:rPr>
                <w:rFonts w:hint="eastAsia"/>
                <w:b w:val="0"/>
                <w:bCs/>
                <w:color w:val="auto"/>
              </w:rPr>
              <w:t>0</w:t>
            </w:r>
          </w:p>
        </w:tc>
        <w:tc>
          <w:tcPr>
            <w:tcW w:w="615" w:type="pct"/>
            <w:shd w:val="clear" w:color="auto" w:fill="auto"/>
            <w:vAlign w:val="center"/>
          </w:tcPr>
          <w:p w14:paraId="1F447099">
            <w:pPr>
              <w:pStyle w:val="184"/>
              <w:ind w:firstLine="0" w:firstLineChars="0"/>
              <w:rPr>
                <w:rFonts w:ascii="Times New Roman" w:hAnsi="Times New Roman" w:eastAsia="宋体" w:cs="Times New Roman"/>
                <w:b w:val="0"/>
                <w:bCs/>
                <w:snapToGrid w:val="0"/>
                <w:color w:val="auto"/>
                <w:kern w:val="2"/>
                <w:sz w:val="21"/>
                <w:szCs w:val="21"/>
                <w:lang w:val="zh-CN" w:eastAsia="zh-CN" w:bidi="ar-SA"/>
              </w:rPr>
            </w:pPr>
            <w:r>
              <w:rPr>
                <w:rFonts w:hint="eastAsia"/>
                <w:b w:val="0"/>
                <w:bCs/>
                <w:color w:val="auto"/>
              </w:rPr>
              <w:t>/</w:t>
            </w:r>
          </w:p>
        </w:tc>
      </w:tr>
      <w:tr w14:paraId="54A37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29" w:type="pct"/>
            <w:shd w:val="clear" w:color="auto" w:fill="auto"/>
            <w:vAlign w:val="center"/>
          </w:tcPr>
          <w:p w14:paraId="7E439660">
            <w:pPr>
              <w:pStyle w:val="184"/>
              <w:rPr>
                <w:b w:val="0"/>
                <w:bCs/>
                <w:color w:val="auto"/>
              </w:rPr>
            </w:pPr>
            <w:r>
              <w:rPr>
                <w:rFonts w:hint="eastAsia"/>
                <w:b w:val="0"/>
                <w:bCs/>
                <w:color w:val="auto"/>
              </w:rPr>
              <w:t>20</w:t>
            </w:r>
          </w:p>
        </w:tc>
        <w:tc>
          <w:tcPr>
            <w:tcW w:w="612" w:type="pct"/>
            <w:shd w:val="clear" w:color="auto" w:fill="auto"/>
            <w:vAlign w:val="center"/>
          </w:tcPr>
          <w:p w14:paraId="78AF6DF0">
            <w:pPr>
              <w:pStyle w:val="184"/>
              <w:rPr>
                <w:b w:val="0"/>
                <w:bCs/>
                <w:color w:val="auto"/>
              </w:rPr>
            </w:pPr>
            <w:r>
              <w:rPr>
                <w:rFonts w:hint="eastAsia"/>
                <w:b w:val="0"/>
                <w:bCs/>
                <w:color w:val="auto"/>
              </w:rPr>
              <w:t>锌</w:t>
            </w:r>
          </w:p>
        </w:tc>
        <w:tc>
          <w:tcPr>
            <w:tcW w:w="427" w:type="pct"/>
            <w:shd w:val="clear" w:color="auto" w:fill="auto"/>
            <w:vAlign w:val="center"/>
          </w:tcPr>
          <w:p w14:paraId="6E0877AB">
            <w:pPr>
              <w:pStyle w:val="184"/>
              <w:rPr>
                <w:b w:val="0"/>
                <w:bCs/>
                <w:color w:val="auto"/>
              </w:rPr>
            </w:pPr>
            <w:r>
              <w:rPr>
                <w:rFonts w:hint="eastAsia"/>
                <w:b w:val="0"/>
                <w:bCs/>
                <w:color w:val="auto"/>
              </w:rPr>
              <w:t>1.0</w:t>
            </w:r>
          </w:p>
        </w:tc>
        <w:tc>
          <w:tcPr>
            <w:tcW w:w="982" w:type="pct"/>
            <w:shd w:val="clear" w:color="auto" w:fill="auto"/>
            <w:vAlign w:val="center"/>
          </w:tcPr>
          <w:p w14:paraId="7E697821">
            <w:pPr>
              <w:pStyle w:val="184"/>
              <w:rPr>
                <w:rFonts w:hint="default" w:eastAsia="宋体"/>
                <w:b w:val="0"/>
                <w:bCs/>
                <w:color w:val="auto"/>
                <w:lang w:val="en-US" w:eastAsia="zh-CN"/>
              </w:rPr>
            </w:pPr>
            <w:r>
              <w:rPr>
                <w:rFonts w:hint="eastAsia"/>
                <w:b w:val="0"/>
                <w:bCs/>
                <w:color w:val="auto"/>
              </w:rPr>
              <w:t>0.0</w:t>
            </w:r>
            <w:r>
              <w:rPr>
                <w:rFonts w:hint="eastAsia"/>
                <w:b w:val="0"/>
                <w:bCs/>
                <w:color w:val="auto"/>
                <w:lang w:val="en-US" w:eastAsia="zh-CN"/>
              </w:rPr>
              <w:t>02~0.007</w:t>
            </w:r>
          </w:p>
        </w:tc>
        <w:tc>
          <w:tcPr>
            <w:tcW w:w="323" w:type="pct"/>
            <w:shd w:val="clear" w:color="auto" w:fill="auto"/>
            <w:vAlign w:val="center"/>
          </w:tcPr>
          <w:p w14:paraId="53B812C3">
            <w:pPr>
              <w:pStyle w:val="184"/>
              <w:rPr>
                <w:b w:val="0"/>
                <w:bCs/>
                <w:color w:val="auto"/>
              </w:rPr>
            </w:pPr>
            <w:r>
              <w:rPr>
                <w:rFonts w:hint="eastAsia"/>
                <w:b w:val="0"/>
                <w:bCs/>
                <w:color w:val="auto"/>
              </w:rPr>
              <w:t>0</w:t>
            </w:r>
          </w:p>
        </w:tc>
        <w:tc>
          <w:tcPr>
            <w:tcW w:w="502" w:type="pct"/>
            <w:shd w:val="clear" w:color="auto" w:fill="auto"/>
            <w:vAlign w:val="center"/>
          </w:tcPr>
          <w:p w14:paraId="2E454071">
            <w:pPr>
              <w:pStyle w:val="184"/>
              <w:rPr>
                <w:rFonts w:hint="default" w:eastAsia="宋体"/>
                <w:b w:val="0"/>
                <w:bCs/>
                <w:color w:val="auto"/>
                <w:lang w:val="en-US" w:eastAsia="zh-CN"/>
              </w:rPr>
            </w:pPr>
            <w:r>
              <w:rPr>
                <w:rFonts w:hint="eastAsia"/>
                <w:b w:val="0"/>
                <w:bCs/>
                <w:color w:val="auto"/>
                <w:lang w:val="en-US" w:eastAsia="zh-CN"/>
              </w:rPr>
              <w:t>0.007</w:t>
            </w:r>
          </w:p>
        </w:tc>
        <w:tc>
          <w:tcPr>
            <w:tcW w:w="982" w:type="pct"/>
            <w:shd w:val="clear" w:color="auto" w:fill="auto"/>
            <w:vAlign w:val="center"/>
          </w:tcPr>
          <w:p w14:paraId="587542DA">
            <w:pPr>
              <w:pStyle w:val="184"/>
              <w:ind w:firstLine="0" w:firstLineChars="0"/>
              <w:rPr>
                <w:rFonts w:hint="default" w:ascii="Times New Roman" w:hAnsi="Times New Roman" w:eastAsia="宋体" w:cs="Times New Roman"/>
                <w:b w:val="0"/>
                <w:bCs/>
                <w:snapToGrid w:val="0"/>
                <w:color w:val="auto"/>
                <w:kern w:val="2"/>
                <w:sz w:val="21"/>
                <w:szCs w:val="21"/>
                <w:lang w:val="en-US" w:eastAsia="zh-CN" w:bidi="ar-SA"/>
              </w:rPr>
            </w:pPr>
            <w:r>
              <w:rPr>
                <w:rFonts w:hint="eastAsia"/>
                <w:b w:val="0"/>
                <w:bCs/>
                <w:color w:val="auto"/>
              </w:rPr>
              <w:t>0.0</w:t>
            </w:r>
            <w:r>
              <w:rPr>
                <w:rFonts w:hint="eastAsia"/>
                <w:b w:val="0"/>
                <w:bCs/>
                <w:color w:val="auto"/>
                <w:lang w:val="en-US" w:eastAsia="zh-CN"/>
              </w:rPr>
              <w:t>004~0.002</w:t>
            </w:r>
          </w:p>
        </w:tc>
        <w:tc>
          <w:tcPr>
            <w:tcW w:w="324" w:type="pct"/>
            <w:shd w:val="clear" w:color="auto" w:fill="auto"/>
            <w:vAlign w:val="center"/>
          </w:tcPr>
          <w:p w14:paraId="3E0AB314">
            <w:pPr>
              <w:pStyle w:val="184"/>
              <w:rPr>
                <w:b w:val="0"/>
                <w:bCs/>
                <w:color w:val="auto"/>
              </w:rPr>
            </w:pPr>
            <w:r>
              <w:rPr>
                <w:rFonts w:hint="eastAsia"/>
                <w:b w:val="0"/>
                <w:bCs/>
                <w:color w:val="auto"/>
              </w:rPr>
              <w:t>0</w:t>
            </w:r>
          </w:p>
        </w:tc>
        <w:tc>
          <w:tcPr>
            <w:tcW w:w="615" w:type="pct"/>
            <w:shd w:val="clear" w:color="auto" w:fill="auto"/>
            <w:vAlign w:val="center"/>
          </w:tcPr>
          <w:p w14:paraId="4A8197BA">
            <w:pPr>
              <w:pStyle w:val="184"/>
              <w:rPr>
                <w:rFonts w:hint="default" w:eastAsia="宋体"/>
                <w:b w:val="0"/>
                <w:bCs/>
                <w:color w:val="auto"/>
                <w:lang w:val="en-US" w:eastAsia="zh-CN"/>
              </w:rPr>
            </w:pPr>
            <w:r>
              <w:rPr>
                <w:rFonts w:hint="eastAsia"/>
                <w:b w:val="0"/>
                <w:bCs/>
                <w:color w:val="auto"/>
                <w:lang w:val="en-US" w:eastAsia="zh-CN"/>
              </w:rPr>
              <w:t>0.002</w:t>
            </w:r>
          </w:p>
        </w:tc>
      </w:tr>
      <w:tr w14:paraId="15210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29" w:type="pct"/>
            <w:shd w:val="clear" w:color="auto" w:fill="auto"/>
            <w:vAlign w:val="center"/>
          </w:tcPr>
          <w:p w14:paraId="2FEF5635">
            <w:pPr>
              <w:pStyle w:val="184"/>
              <w:rPr>
                <w:b w:val="0"/>
                <w:bCs/>
                <w:color w:val="auto"/>
              </w:rPr>
            </w:pPr>
            <w:r>
              <w:rPr>
                <w:rFonts w:hint="eastAsia"/>
                <w:b w:val="0"/>
                <w:bCs/>
                <w:color w:val="auto"/>
              </w:rPr>
              <w:t>21</w:t>
            </w:r>
          </w:p>
        </w:tc>
        <w:tc>
          <w:tcPr>
            <w:tcW w:w="612" w:type="pct"/>
            <w:shd w:val="clear" w:color="auto" w:fill="auto"/>
            <w:vAlign w:val="center"/>
          </w:tcPr>
          <w:p w14:paraId="4FBFFF64">
            <w:pPr>
              <w:pStyle w:val="184"/>
              <w:rPr>
                <w:b w:val="0"/>
                <w:bCs/>
                <w:color w:val="auto"/>
              </w:rPr>
            </w:pPr>
            <w:r>
              <w:rPr>
                <w:rFonts w:hint="eastAsia"/>
                <w:b w:val="0"/>
                <w:bCs/>
                <w:color w:val="auto"/>
              </w:rPr>
              <w:t>铅</w:t>
            </w:r>
          </w:p>
        </w:tc>
        <w:tc>
          <w:tcPr>
            <w:tcW w:w="427" w:type="pct"/>
            <w:shd w:val="clear" w:color="auto" w:fill="auto"/>
            <w:vAlign w:val="center"/>
          </w:tcPr>
          <w:p w14:paraId="41AE32A7">
            <w:pPr>
              <w:pStyle w:val="184"/>
              <w:rPr>
                <w:b w:val="0"/>
                <w:bCs/>
                <w:color w:val="auto"/>
              </w:rPr>
            </w:pPr>
            <w:r>
              <w:rPr>
                <w:rFonts w:hint="eastAsia"/>
                <w:b w:val="0"/>
                <w:bCs/>
                <w:color w:val="auto"/>
              </w:rPr>
              <w:t>0.05</w:t>
            </w:r>
          </w:p>
        </w:tc>
        <w:tc>
          <w:tcPr>
            <w:tcW w:w="982" w:type="pct"/>
            <w:shd w:val="clear" w:color="auto" w:fill="auto"/>
            <w:vAlign w:val="center"/>
          </w:tcPr>
          <w:p w14:paraId="662DADCA">
            <w:pPr>
              <w:pStyle w:val="184"/>
              <w:rPr>
                <w:rFonts w:hint="default" w:eastAsia="宋体"/>
                <w:b w:val="0"/>
                <w:bCs/>
                <w:color w:val="auto"/>
                <w:lang w:val="en-US" w:eastAsia="zh-CN"/>
              </w:rPr>
            </w:pPr>
            <w:r>
              <w:rPr>
                <w:rFonts w:hint="eastAsia"/>
                <w:b w:val="0"/>
                <w:bCs/>
                <w:color w:val="auto"/>
              </w:rPr>
              <w:t>0.00</w:t>
            </w:r>
            <w:r>
              <w:rPr>
                <w:rFonts w:hint="eastAsia"/>
                <w:b w:val="0"/>
                <w:bCs/>
                <w:color w:val="auto"/>
                <w:lang w:val="en-US" w:eastAsia="zh-CN"/>
              </w:rPr>
              <w:t>004~0.001</w:t>
            </w:r>
          </w:p>
        </w:tc>
        <w:tc>
          <w:tcPr>
            <w:tcW w:w="323" w:type="pct"/>
            <w:shd w:val="clear" w:color="auto" w:fill="auto"/>
            <w:vAlign w:val="center"/>
          </w:tcPr>
          <w:p w14:paraId="0438DC75">
            <w:pPr>
              <w:pStyle w:val="184"/>
              <w:rPr>
                <w:b w:val="0"/>
                <w:bCs/>
                <w:color w:val="auto"/>
              </w:rPr>
            </w:pPr>
            <w:r>
              <w:rPr>
                <w:rFonts w:hint="eastAsia"/>
                <w:b w:val="0"/>
                <w:bCs/>
                <w:color w:val="auto"/>
              </w:rPr>
              <w:t>0</w:t>
            </w:r>
          </w:p>
        </w:tc>
        <w:tc>
          <w:tcPr>
            <w:tcW w:w="502" w:type="pct"/>
            <w:shd w:val="clear" w:color="auto" w:fill="auto"/>
            <w:vAlign w:val="center"/>
          </w:tcPr>
          <w:p w14:paraId="79E85F61">
            <w:pPr>
              <w:pStyle w:val="184"/>
              <w:rPr>
                <w:rFonts w:hint="default" w:eastAsia="宋体"/>
                <w:b w:val="0"/>
                <w:bCs/>
                <w:color w:val="auto"/>
                <w:lang w:val="en-US" w:eastAsia="zh-CN"/>
              </w:rPr>
            </w:pPr>
            <w:r>
              <w:rPr>
                <w:rFonts w:hint="eastAsia"/>
                <w:b w:val="0"/>
                <w:bCs/>
                <w:color w:val="auto"/>
                <w:lang w:val="en-US" w:eastAsia="zh-CN"/>
              </w:rPr>
              <w:t>0.02</w:t>
            </w:r>
          </w:p>
        </w:tc>
        <w:tc>
          <w:tcPr>
            <w:tcW w:w="982" w:type="pct"/>
            <w:shd w:val="clear" w:color="auto" w:fill="auto"/>
            <w:vAlign w:val="center"/>
          </w:tcPr>
          <w:p w14:paraId="1B9F61E2">
            <w:pPr>
              <w:pStyle w:val="184"/>
              <w:ind w:firstLine="0" w:firstLineChars="0"/>
              <w:rPr>
                <w:rFonts w:hint="default" w:ascii="Times New Roman" w:hAnsi="Times New Roman" w:eastAsia="宋体" w:cs="Times New Roman"/>
                <w:b w:val="0"/>
                <w:bCs/>
                <w:snapToGrid w:val="0"/>
                <w:color w:val="auto"/>
                <w:kern w:val="2"/>
                <w:sz w:val="21"/>
                <w:szCs w:val="21"/>
                <w:lang w:val="en-US" w:eastAsia="zh-CN" w:bidi="ar-SA"/>
              </w:rPr>
            </w:pPr>
            <w:r>
              <w:rPr>
                <w:rFonts w:hint="eastAsia"/>
                <w:b w:val="0"/>
                <w:bCs/>
                <w:color w:val="auto"/>
              </w:rPr>
              <w:t>0.00</w:t>
            </w:r>
            <w:r>
              <w:rPr>
                <w:rFonts w:hint="eastAsia"/>
                <w:b w:val="0"/>
                <w:bCs/>
                <w:color w:val="auto"/>
                <w:lang w:val="en-US" w:eastAsia="zh-CN"/>
              </w:rPr>
              <w:t>004~0.001</w:t>
            </w:r>
          </w:p>
        </w:tc>
        <w:tc>
          <w:tcPr>
            <w:tcW w:w="324" w:type="pct"/>
            <w:shd w:val="clear" w:color="auto" w:fill="auto"/>
            <w:vAlign w:val="center"/>
          </w:tcPr>
          <w:p w14:paraId="27FB6F69">
            <w:pPr>
              <w:pStyle w:val="184"/>
              <w:rPr>
                <w:b w:val="0"/>
                <w:bCs/>
                <w:color w:val="auto"/>
              </w:rPr>
            </w:pPr>
            <w:r>
              <w:rPr>
                <w:rFonts w:hint="eastAsia"/>
                <w:b w:val="0"/>
                <w:bCs/>
                <w:color w:val="auto"/>
              </w:rPr>
              <w:t>0</w:t>
            </w:r>
          </w:p>
        </w:tc>
        <w:tc>
          <w:tcPr>
            <w:tcW w:w="615" w:type="pct"/>
            <w:shd w:val="clear" w:color="auto" w:fill="auto"/>
            <w:vAlign w:val="center"/>
          </w:tcPr>
          <w:p w14:paraId="2315FA7D">
            <w:pPr>
              <w:pStyle w:val="184"/>
              <w:rPr>
                <w:rFonts w:hint="default" w:eastAsia="宋体"/>
                <w:b w:val="0"/>
                <w:bCs/>
                <w:color w:val="auto"/>
                <w:lang w:val="en-US" w:eastAsia="zh-CN"/>
              </w:rPr>
            </w:pPr>
            <w:r>
              <w:rPr>
                <w:rFonts w:hint="eastAsia"/>
                <w:b w:val="0"/>
                <w:bCs/>
                <w:color w:val="auto"/>
                <w:lang w:val="en-US" w:eastAsia="zh-CN"/>
              </w:rPr>
              <w:t>0.02</w:t>
            </w:r>
          </w:p>
        </w:tc>
      </w:tr>
      <w:tr w14:paraId="1D3B9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29" w:type="pct"/>
            <w:shd w:val="clear" w:color="auto" w:fill="auto"/>
            <w:vAlign w:val="center"/>
          </w:tcPr>
          <w:p w14:paraId="11B43C7F">
            <w:pPr>
              <w:pStyle w:val="184"/>
              <w:rPr>
                <w:b w:val="0"/>
                <w:bCs/>
                <w:color w:val="auto"/>
              </w:rPr>
            </w:pPr>
            <w:r>
              <w:rPr>
                <w:rFonts w:hint="eastAsia"/>
                <w:b w:val="0"/>
                <w:bCs/>
                <w:color w:val="auto"/>
              </w:rPr>
              <w:t>22</w:t>
            </w:r>
          </w:p>
        </w:tc>
        <w:tc>
          <w:tcPr>
            <w:tcW w:w="612" w:type="pct"/>
            <w:shd w:val="clear" w:color="auto" w:fill="auto"/>
            <w:vAlign w:val="center"/>
          </w:tcPr>
          <w:p w14:paraId="244A4303">
            <w:pPr>
              <w:pStyle w:val="184"/>
              <w:rPr>
                <w:b w:val="0"/>
                <w:bCs/>
                <w:color w:val="auto"/>
              </w:rPr>
            </w:pPr>
            <w:r>
              <w:rPr>
                <w:rFonts w:hint="eastAsia"/>
                <w:b w:val="0"/>
                <w:bCs/>
                <w:color w:val="auto"/>
              </w:rPr>
              <w:t>镉</w:t>
            </w:r>
          </w:p>
        </w:tc>
        <w:tc>
          <w:tcPr>
            <w:tcW w:w="427" w:type="pct"/>
            <w:shd w:val="clear" w:color="auto" w:fill="auto"/>
            <w:vAlign w:val="center"/>
          </w:tcPr>
          <w:p w14:paraId="20A38DA8">
            <w:pPr>
              <w:pStyle w:val="184"/>
              <w:rPr>
                <w:b w:val="0"/>
                <w:bCs/>
                <w:color w:val="auto"/>
              </w:rPr>
            </w:pPr>
            <w:r>
              <w:rPr>
                <w:rFonts w:hint="eastAsia"/>
                <w:b w:val="0"/>
                <w:bCs/>
                <w:color w:val="auto"/>
              </w:rPr>
              <w:t>0.005</w:t>
            </w:r>
          </w:p>
        </w:tc>
        <w:tc>
          <w:tcPr>
            <w:tcW w:w="982" w:type="pct"/>
            <w:shd w:val="clear" w:color="auto" w:fill="auto"/>
            <w:vAlign w:val="center"/>
          </w:tcPr>
          <w:p w14:paraId="25474B95">
            <w:pPr>
              <w:pStyle w:val="184"/>
              <w:rPr>
                <w:rFonts w:hint="default" w:eastAsia="宋体"/>
                <w:b w:val="0"/>
                <w:bCs/>
                <w:color w:val="auto"/>
                <w:lang w:val="en-US" w:eastAsia="zh-CN"/>
              </w:rPr>
            </w:pPr>
            <w:r>
              <w:rPr>
                <w:rFonts w:hint="eastAsia"/>
                <w:b w:val="0"/>
                <w:bCs/>
                <w:color w:val="auto"/>
              </w:rPr>
              <w:t>0.00</w:t>
            </w:r>
            <w:r>
              <w:rPr>
                <w:rFonts w:hint="eastAsia"/>
                <w:b w:val="0"/>
                <w:bCs/>
                <w:color w:val="auto"/>
                <w:lang w:val="en-US" w:eastAsia="zh-CN"/>
              </w:rPr>
              <w:t>0</w:t>
            </w:r>
            <w:r>
              <w:rPr>
                <w:rFonts w:hint="eastAsia"/>
                <w:b w:val="0"/>
                <w:bCs/>
                <w:color w:val="auto"/>
              </w:rPr>
              <w:t>0</w:t>
            </w:r>
            <w:r>
              <w:rPr>
                <w:rFonts w:hint="eastAsia"/>
                <w:b w:val="0"/>
                <w:bCs/>
                <w:color w:val="auto"/>
                <w:lang w:val="en-US" w:eastAsia="zh-CN"/>
              </w:rPr>
              <w:t>2</w:t>
            </w:r>
            <w:r>
              <w:rPr>
                <w:rFonts w:hint="eastAsia"/>
                <w:b w:val="0"/>
                <w:bCs/>
                <w:color w:val="auto"/>
              </w:rPr>
              <w:t>L</w:t>
            </w:r>
            <w:r>
              <w:rPr>
                <w:rFonts w:hint="eastAsia"/>
                <w:b w:val="0"/>
                <w:bCs/>
                <w:color w:val="auto"/>
                <w:lang w:val="en-US" w:eastAsia="zh-CN"/>
              </w:rPr>
              <w:t>~0.00005</w:t>
            </w:r>
          </w:p>
        </w:tc>
        <w:tc>
          <w:tcPr>
            <w:tcW w:w="323" w:type="pct"/>
            <w:shd w:val="clear" w:color="auto" w:fill="auto"/>
            <w:vAlign w:val="center"/>
          </w:tcPr>
          <w:p w14:paraId="44CF0302">
            <w:pPr>
              <w:pStyle w:val="184"/>
              <w:rPr>
                <w:b w:val="0"/>
                <w:bCs/>
                <w:color w:val="auto"/>
              </w:rPr>
            </w:pPr>
            <w:r>
              <w:rPr>
                <w:rFonts w:hint="eastAsia"/>
                <w:b w:val="0"/>
                <w:bCs/>
                <w:color w:val="auto"/>
              </w:rPr>
              <w:t>0</w:t>
            </w:r>
          </w:p>
        </w:tc>
        <w:tc>
          <w:tcPr>
            <w:tcW w:w="502" w:type="pct"/>
            <w:shd w:val="clear" w:color="auto" w:fill="auto"/>
            <w:vAlign w:val="center"/>
          </w:tcPr>
          <w:p w14:paraId="31FD589B">
            <w:pPr>
              <w:pStyle w:val="184"/>
              <w:rPr>
                <w:rFonts w:hint="default" w:eastAsia="宋体"/>
                <w:b w:val="0"/>
                <w:bCs/>
                <w:color w:val="auto"/>
                <w:lang w:val="en-US" w:eastAsia="zh-CN"/>
              </w:rPr>
            </w:pPr>
            <w:r>
              <w:rPr>
                <w:rFonts w:hint="eastAsia"/>
                <w:b w:val="0"/>
                <w:bCs/>
                <w:color w:val="auto"/>
                <w:lang w:val="en-US" w:eastAsia="zh-CN"/>
              </w:rPr>
              <w:t>0.01</w:t>
            </w:r>
          </w:p>
        </w:tc>
        <w:tc>
          <w:tcPr>
            <w:tcW w:w="982" w:type="pct"/>
            <w:shd w:val="clear" w:color="auto" w:fill="auto"/>
            <w:vAlign w:val="center"/>
          </w:tcPr>
          <w:p w14:paraId="198CA9C3">
            <w:pPr>
              <w:pStyle w:val="184"/>
              <w:ind w:firstLine="0" w:firstLineChars="0"/>
              <w:rPr>
                <w:rFonts w:hint="default" w:ascii="Times New Roman" w:hAnsi="Times New Roman" w:eastAsia="宋体" w:cs="Times New Roman"/>
                <w:b w:val="0"/>
                <w:bCs/>
                <w:snapToGrid w:val="0"/>
                <w:color w:val="auto"/>
                <w:kern w:val="2"/>
                <w:sz w:val="21"/>
                <w:szCs w:val="21"/>
                <w:lang w:val="en-US" w:eastAsia="zh-CN" w:bidi="ar-SA"/>
              </w:rPr>
            </w:pPr>
            <w:r>
              <w:rPr>
                <w:rFonts w:hint="eastAsia"/>
                <w:b w:val="0"/>
                <w:bCs/>
                <w:color w:val="auto"/>
              </w:rPr>
              <w:t>0.00</w:t>
            </w:r>
            <w:r>
              <w:rPr>
                <w:rFonts w:hint="eastAsia"/>
                <w:b w:val="0"/>
                <w:bCs/>
                <w:color w:val="auto"/>
                <w:lang w:val="en-US" w:eastAsia="zh-CN"/>
              </w:rPr>
              <w:t>0</w:t>
            </w:r>
            <w:r>
              <w:rPr>
                <w:rFonts w:hint="eastAsia"/>
                <w:b w:val="0"/>
                <w:bCs/>
                <w:color w:val="auto"/>
              </w:rPr>
              <w:t>0</w:t>
            </w:r>
            <w:r>
              <w:rPr>
                <w:rFonts w:hint="eastAsia"/>
                <w:b w:val="0"/>
                <w:bCs/>
                <w:color w:val="auto"/>
                <w:lang w:val="en-US" w:eastAsia="zh-CN"/>
              </w:rPr>
              <w:t>2</w:t>
            </w:r>
            <w:r>
              <w:rPr>
                <w:rFonts w:hint="eastAsia"/>
                <w:b w:val="0"/>
                <w:bCs/>
                <w:color w:val="auto"/>
              </w:rPr>
              <w:t>L</w:t>
            </w:r>
            <w:r>
              <w:rPr>
                <w:rFonts w:hint="eastAsia"/>
                <w:b w:val="0"/>
                <w:bCs/>
                <w:color w:val="auto"/>
                <w:lang w:val="en-US" w:eastAsia="zh-CN"/>
              </w:rPr>
              <w:t>~0.00005</w:t>
            </w:r>
          </w:p>
        </w:tc>
        <w:tc>
          <w:tcPr>
            <w:tcW w:w="324" w:type="pct"/>
            <w:shd w:val="clear" w:color="auto" w:fill="auto"/>
            <w:vAlign w:val="center"/>
          </w:tcPr>
          <w:p w14:paraId="053FAD40">
            <w:pPr>
              <w:pStyle w:val="184"/>
              <w:rPr>
                <w:b w:val="0"/>
                <w:bCs/>
                <w:color w:val="auto"/>
              </w:rPr>
            </w:pPr>
            <w:r>
              <w:rPr>
                <w:rFonts w:hint="eastAsia"/>
                <w:b w:val="0"/>
                <w:bCs/>
                <w:color w:val="auto"/>
              </w:rPr>
              <w:t>0</w:t>
            </w:r>
          </w:p>
        </w:tc>
        <w:tc>
          <w:tcPr>
            <w:tcW w:w="615" w:type="pct"/>
            <w:shd w:val="clear" w:color="auto" w:fill="auto"/>
            <w:vAlign w:val="center"/>
          </w:tcPr>
          <w:p w14:paraId="6BBD51C7">
            <w:pPr>
              <w:pStyle w:val="184"/>
              <w:rPr>
                <w:rFonts w:hint="default" w:eastAsia="宋体"/>
                <w:b w:val="0"/>
                <w:bCs/>
                <w:color w:val="auto"/>
                <w:lang w:val="en-US" w:eastAsia="zh-CN"/>
              </w:rPr>
            </w:pPr>
            <w:r>
              <w:rPr>
                <w:rFonts w:hint="eastAsia"/>
                <w:b w:val="0"/>
                <w:bCs/>
                <w:color w:val="auto"/>
                <w:lang w:val="en-US" w:eastAsia="zh-CN"/>
              </w:rPr>
              <w:t>0.01</w:t>
            </w:r>
          </w:p>
        </w:tc>
      </w:tr>
      <w:tr w14:paraId="0FEB9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29" w:type="pct"/>
            <w:shd w:val="clear" w:color="auto" w:fill="auto"/>
            <w:vAlign w:val="center"/>
          </w:tcPr>
          <w:p w14:paraId="4BD379D3">
            <w:pPr>
              <w:pStyle w:val="184"/>
              <w:rPr>
                <w:b w:val="0"/>
                <w:bCs/>
                <w:color w:val="auto"/>
              </w:rPr>
            </w:pPr>
            <w:r>
              <w:rPr>
                <w:rFonts w:hint="eastAsia"/>
                <w:b w:val="0"/>
                <w:bCs/>
                <w:color w:val="auto"/>
              </w:rPr>
              <w:t>23</w:t>
            </w:r>
          </w:p>
        </w:tc>
        <w:tc>
          <w:tcPr>
            <w:tcW w:w="612" w:type="pct"/>
            <w:shd w:val="clear" w:color="auto" w:fill="auto"/>
            <w:vAlign w:val="center"/>
          </w:tcPr>
          <w:p w14:paraId="16773321">
            <w:pPr>
              <w:pStyle w:val="184"/>
              <w:rPr>
                <w:b w:val="0"/>
                <w:bCs/>
                <w:color w:val="auto"/>
              </w:rPr>
            </w:pPr>
            <w:r>
              <w:rPr>
                <w:rFonts w:hint="eastAsia"/>
                <w:b w:val="0"/>
                <w:bCs/>
                <w:color w:val="auto"/>
              </w:rPr>
              <w:t>铬（六价）</w:t>
            </w:r>
          </w:p>
        </w:tc>
        <w:tc>
          <w:tcPr>
            <w:tcW w:w="427" w:type="pct"/>
            <w:shd w:val="clear" w:color="auto" w:fill="auto"/>
            <w:vAlign w:val="center"/>
          </w:tcPr>
          <w:p w14:paraId="5DAE27B3">
            <w:pPr>
              <w:pStyle w:val="184"/>
              <w:rPr>
                <w:b w:val="0"/>
                <w:bCs/>
                <w:color w:val="auto"/>
              </w:rPr>
            </w:pPr>
            <w:r>
              <w:rPr>
                <w:rFonts w:hint="eastAsia"/>
                <w:b w:val="0"/>
                <w:bCs/>
                <w:color w:val="auto"/>
              </w:rPr>
              <w:t>0.05</w:t>
            </w:r>
          </w:p>
        </w:tc>
        <w:tc>
          <w:tcPr>
            <w:tcW w:w="982" w:type="pct"/>
            <w:shd w:val="clear" w:color="auto" w:fill="auto"/>
            <w:vAlign w:val="center"/>
          </w:tcPr>
          <w:p w14:paraId="43F82278">
            <w:pPr>
              <w:pStyle w:val="184"/>
              <w:rPr>
                <w:b w:val="0"/>
                <w:bCs/>
                <w:color w:val="auto"/>
              </w:rPr>
            </w:pPr>
            <w:r>
              <w:rPr>
                <w:rFonts w:hint="eastAsia"/>
                <w:b w:val="0"/>
                <w:bCs/>
                <w:color w:val="auto"/>
              </w:rPr>
              <w:t>0.00</w:t>
            </w:r>
            <w:r>
              <w:rPr>
                <w:rFonts w:hint="eastAsia"/>
                <w:b w:val="0"/>
                <w:bCs/>
                <w:color w:val="auto"/>
                <w:lang w:val="en-US" w:eastAsia="zh-CN"/>
              </w:rPr>
              <w:t>2</w:t>
            </w:r>
            <w:r>
              <w:rPr>
                <w:rFonts w:hint="eastAsia"/>
                <w:b w:val="0"/>
                <w:bCs/>
                <w:color w:val="auto"/>
              </w:rPr>
              <w:t>L</w:t>
            </w:r>
          </w:p>
        </w:tc>
        <w:tc>
          <w:tcPr>
            <w:tcW w:w="323" w:type="pct"/>
            <w:shd w:val="clear" w:color="auto" w:fill="auto"/>
            <w:vAlign w:val="center"/>
          </w:tcPr>
          <w:p w14:paraId="6C4EE147">
            <w:pPr>
              <w:pStyle w:val="184"/>
              <w:rPr>
                <w:b w:val="0"/>
                <w:bCs/>
                <w:color w:val="auto"/>
              </w:rPr>
            </w:pPr>
            <w:r>
              <w:rPr>
                <w:rFonts w:hint="eastAsia"/>
                <w:b w:val="0"/>
                <w:bCs/>
                <w:color w:val="auto"/>
              </w:rPr>
              <w:t>0</w:t>
            </w:r>
          </w:p>
        </w:tc>
        <w:tc>
          <w:tcPr>
            <w:tcW w:w="502" w:type="pct"/>
            <w:shd w:val="clear" w:color="auto" w:fill="auto"/>
            <w:vAlign w:val="center"/>
          </w:tcPr>
          <w:p w14:paraId="140C95BF">
            <w:pPr>
              <w:pStyle w:val="184"/>
              <w:rPr>
                <w:b w:val="0"/>
                <w:bCs/>
                <w:color w:val="auto"/>
              </w:rPr>
            </w:pPr>
            <w:r>
              <w:rPr>
                <w:rFonts w:hint="eastAsia"/>
                <w:b w:val="0"/>
                <w:bCs/>
                <w:color w:val="auto"/>
              </w:rPr>
              <w:t>/</w:t>
            </w:r>
          </w:p>
        </w:tc>
        <w:tc>
          <w:tcPr>
            <w:tcW w:w="982" w:type="pct"/>
            <w:shd w:val="clear" w:color="auto" w:fill="auto"/>
            <w:vAlign w:val="center"/>
          </w:tcPr>
          <w:p w14:paraId="561C504A">
            <w:pPr>
              <w:pStyle w:val="184"/>
              <w:ind w:firstLine="0" w:firstLineChars="0"/>
              <w:rPr>
                <w:rFonts w:ascii="Times New Roman" w:hAnsi="Times New Roman" w:eastAsia="宋体" w:cs="Times New Roman"/>
                <w:b w:val="0"/>
                <w:bCs/>
                <w:snapToGrid w:val="0"/>
                <w:color w:val="auto"/>
                <w:kern w:val="2"/>
                <w:sz w:val="21"/>
                <w:szCs w:val="21"/>
                <w:lang w:val="zh-CN" w:eastAsia="zh-CN" w:bidi="ar-SA"/>
              </w:rPr>
            </w:pPr>
            <w:r>
              <w:rPr>
                <w:rFonts w:hint="eastAsia"/>
                <w:b w:val="0"/>
                <w:bCs/>
                <w:color w:val="auto"/>
              </w:rPr>
              <w:t>0.00</w:t>
            </w:r>
            <w:r>
              <w:rPr>
                <w:rFonts w:hint="eastAsia"/>
                <w:b w:val="0"/>
                <w:bCs/>
                <w:color w:val="auto"/>
                <w:lang w:val="en-US" w:eastAsia="zh-CN"/>
              </w:rPr>
              <w:t>2</w:t>
            </w:r>
            <w:r>
              <w:rPr>
                <w:rFonts w:hint="eastAsia"/>
                <w:b w:val="0"/>
                <w:bCs/>
                <w:color w:val="auto"/>
              </w:rPr>
              <w:t>L</w:t>
            </w:r>
          </w:p>
        </w:tc>
        <w:tc>
          <w:tcPr>
            <w:tcW w:w="324" w:type="pct"/>
            <w:shd w:val="clear" w:color="auto" w:fill="auto"/>
            <w:vAlign w:val="center"/>
          </w:tcPr>
          <w:p w14:paraId="5AA23392">
            <w:pPr>
              <w:pStyle w:val="184"/>
              <w:rPr>
                <w:b w:val="0"/>
                <w:bCs/>
                <w:color w:val="auto"/>
              </w:rPr>
            </w:pPr>
            <w:r>
              <w:rPr>
                <w:rFonts w:hint="eastAsia"/>
                <w:b w:val="0"/>
                <w:bCs/>
                <w:color w:val="auto"/>
              </w:rPr>
              <w:t>0</w:t>
            </w:r>
          </w:p>
        </w:tc>
        <w:tc>
          <w:tcPr>
            <w:tcW w:w="615" w:type="pct"/>
            <w:shd w:val="clear" w:color="auto" w:fill="auto"/>
            <w:vAlign w:val="center"/>
          </w:tcPr>
          <w:p w14:paraId="0BB840D5">
            <w:pPr>
              <w:pStyle w:val="184"/>
              <w:rPr>
                <w:b w:val="0"/>
                <w:bCs/>
                <w:color w:val="auto"/>
              </w:rPr>
            </w:pPr>
            <w:r>
              <w:rPr>
                <w:rFonts w:hint="eastAsia"/>
                <w:b w:val="0"/>
                <w:bCs/>
                <w:color w:val="auto"/>
              </w:rPr>
              <w:t>/</w:t>
            </w:r>
          </w:p>
        </w:tc>
      </w:tr>
      <w:tr w14:paraId="23A7C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29" w:type="pct"/>
            <w:vAlign w:val="center"/>
          </w:tcPr>
          <w:p w14:paraId="3C205FBE">
            <w:pPr>
              <w:pStyle w:val="184"/>
              <w:rPr>
                <w:b w:val="0"/>
                <w:bCs/>
                <w:color w:val="auto"/>
              </w:rPr>
            </w:pPr>
            <w:r>
              <w:rPr>
                <w:rFonts w:hint="eastAsia"/>
                <w:b w:val="0"/>
                <w:bCs/>
                <w:color w:val="auto"/>
              </w:rPr>
              <w:t>24</w:t>
            </w:r>
          </w:p>
        </w:tc>
        <w:tc>
          <w:tcPr>
            <w:tcW w:w="612" w:type="pct"/>
            <w:shd w:val="clear" w:color="auto" w:fill="auto"/>
            <w:vAlign w:val="center"/>
          </w:tcPr>
          <w:p w14:paraId="49B51B9C">
            <w:pPr>
              <w:pStyle w:val="184"/>
              <w:rPr>
                <w:rFonts w:hint="eastAsia" w:eastAsia="宋体"/>
                <w:b w:val="0"/>
                <w:bCs/>
                <w:color w:val="auto"/>
                <w:lang w:eastAsia="zh-CN"/>
              </w:rPr>
            </w:pPr>
            <w:r>
              <w:rPr>
                <w:rFonts w:hint="eastAsia"/>
                <w:b w:val="0"/>
                <w:bCs/>
                <w:color w:val="auto"/>
                <w:lang w:eastAsia="zh-CN"/>
              </w:rPr>
              <w:t>高锰酸盐指数</w:t>
            </w:r>
          </w:p>
        </w:tc>
        <w:tc>
          <w:tcPr>
            <w:tcW w:w="427" w:type="pct"/>
            <w:shd w:val="clear" w:color="auto" w:fill="auto"/>
            <w:vAlign w:val="center"/>
          </w:tcPr>
          <w:p w14:paraId="2391F13D">
            <w:pPr>
              <w:pStyle w:val="184"/>
              <w:rPr>
                <w:rFonts w:hint="eastAsia" w:eastAsia="宋体"/>
                <w:b w:val="0"/>
                <w:bCs/>
                <w:color w:val="auto"/>
                <w:lang w:eastAsia="zh-CN"/>
              </w:rPr>
            </w:pPr>
            <w:r>
              <w:rPr>
                <w:rFonts w:hint="eastAsia"/>
                <w:b w:val="0"/>
                <w:bCs/>
                <w:color w:val="auto"/>
                <w:lang w:val="en-US" w:eastAsia="zh-CN"/>
              </w:rPr>
              <w:t>6</w:t>
            </w:r>
          </w:p>
        </w:tc>
        <w:tc>
          <w:tcPr>
            <w:tcW w:w="982" w:type="pct"/>
            <w:shd w:val="clear" w:color="auto" w:fill="auto"/>
            <w:vAlign w:val="center"/>
          </w:tcPr>
          <w:p w14:paraId="0A7D4632">
            <w:pPr>
              <w:pStyle w:val="184"/>
              <w:rPr>
                <w:rFonts w:hint="default" w:eastAsia="宋体"/>
                <w:b w:val="0"/>
                <w:bCs/>
                <w:color w:val="auto"/>
                <w:lang w:val="en-US" w:eastAsia="zh-CN"/>
              </w:rPr>
            </w:pPr>
            <w:r>
              <w:rPr>
                <w:rFonts w:hint="eastAsia"/>
                <w:b w:val="0"/>
                <w:bCs/>
                <w:color w:val="auto"/>
                <w:lang w:val="en-US" w:eastAsia="zh-CN"/>
              </w:rPr>
              <w:t>1.0~1.6</w:t>
            </w:r>
          </w:p>
        </w:tc>
        <w:tc>
          <w:tcPr>
            <w:tcW w:w="323" w:type="pct"/>
            <w:shd w:val="clear" w:color="auto" w:fill="auto"/>
            <w:vAlign w:val="center"/>
          </w:tcPr>
          <w:p w14:paraId="77BE63C1">
            <w:pPr>
              <w:pStyle w:val="184"/>
              <w:rPr>
                <w:b w:val="0"/>
                <w:bCs/>
                <w:color w:val="auto"/>
              </w:rPr>
            </w:pPr>
            <w:r>
              <w:rPr>
                <w:rFonts w:hint="eastAsia"/>
                <w:b w:val="0"/>
                <w:bCs/>
                <w:color w:val="auto"/>
              </w:rPr>
              <w:t>0</w:t>
            </w:r>
          </w:p>
        </w:tc>
        <w:tc>
          <w:tcPr>
            <w:tcW w:w="502" w:type="pct"/>
            <w:shd w:val="clear" w:color="auto" w:fill="auto"/>
            <w:vAlign w:val="center"/>
          </w:tcPr>
          <w:p w14:paraId="6773329F">
            <w:pPr>
              <w:pStyle w:val="184"/>
              <w:rPr>
                <w:rFonts w:hint="default" w:eastAsia="宋体"/>
                <w:b w:val="0"/>
                <w:bCs/>
                <w:color w:val="auto"/>
                <w:lang w:val="en-US" w:eastAsia="zh-CN"/>
              </w:rPr>
            </w:pPr>
            <w:r>
              <w:rPr>
                <w:rFonts w:hint="eastAsia"/>
                <w:b w:val="0"/>
                <w:bCs/>
                <w:color w:val="auto"/>
                <w:lang w:val="en-US" w:eastAsia="zh-CN"/>
              </w:rPr>
              <w:t>0.27</w:t>
            </w:r>
          </w:p>
        </w:tc>
        <w:tc>
          <w:tcPr>
            <w:tcW w:w="982" w:type="pct"/>
            <w:shd w:val="clear" w:color="auto" w:fill="auto"/>
            <w:vAlign w:val="center"/>
          </w:tcPr>
          <w:p w14:paraId="38CC1B10">
            <w:pPr>
              <w:pStyle w:val="184"/>
              <w:ind w:firstLine="0" w:firstLineChars="0"/>
              <w:rPr>
                <w:rFonts w:hint="default" w:ascii="Times New Roman" w:hAnsi="Times New Roman" w:eastAsia="宋体" w:cs="Times New Roman"/>
                <w:b w:val="0"/>
                <w:bCs/>
                <w:snapToGrid w:val="0"/>
                <w:color w:val="auto"/>
                <w:kern w:val="2"/>
                <w:sz w:val="21"/>
                <w:szCs w:val="21"/>
                <w:lang w:val="en-US" w:eastAsia="zh-CN" w:bidi="ar-SA"/>
              </w:rPr>
            </w:pPr>
            <w:r>
              <w:rPr>
                <w:rFonts w:hint="eastAsia"/>
                <w:b w:val="0"/>
                <w:bCs/>
                <w:color w:val="auto"/>
                <w:lang w:val="en-US" w:eastAsia="zh-CN"/>
              </w:rPr>
              <w:t>0.9~2.9</w:t>
            </w:r>
          </w:p>
        </w:tc>
        <w:tc>
          <w:tcPr>
            <w:tcW w:w="324" w:type="pct"/>
            <w:shd w:val="clear" w:color="auto" w:fill="auto"/>
            <w:vAlign w:val="center"/>
          </w:tcPr>
          <w:p w14:paraId="583D1E0B">
            <w:pPr>
              <w:pStyle w:val="184"/>
              <w:rPr>
                <w:b w:val="0"/>
                <w:bCs/>
                <w:color w:val="auto"/>
              </w:rPr>
            </w:pPr>
            <w:r>
              <w:rPr>
                <w:rFonts w:hint="eastAsia"/>
                <w:b w:val="0"/>
                <w:bCs/>
                <w:color w:val="auto"/>
              </w:rPr>
              <w:t>/</w:t>
            </w:r>
          </w:p>
        </w:tc>
        <w:tc>
          <w:tcPr>
            <w:tcW w:w="615" w:type="pct"/>
            <w:shd w:val="clear" w:color="auto" w:fill="auto"/>
            <w:vAlign w:val="center"/>
          </w:tcPr>
          <w:p w14:paraId="64A24EB3">
            <w:pPr>
              <w:pStyle w:val="184"/>
              <w:rPr>
                <w:rFonts w:hint="default" w:eastAsia="宋体"/>
                <w:b w:val="0"/>
                <w:bCs/>
                <w:color w:val="auto"/>
                <w:lang w:val="en-US" w:eastAsia="zh-CN"/>
              </w:rPr>
            </w:pPr>
            <w:r>
              <w:rPr>
                <w:rFonts w:hint="eastAsia"/>
                <w:b w:val="0"/>
                <w:bCs/>
                <w:color w:val="auto"/>
                <w:lang w:val="en-US" w:eastAsia="zh-CN"/>
              </w:rPr>
              <w:t>0.48</w:t>
            </w:r>
          </w:p>
        </w:tc>
      </w:tr>
    </w:tbl>
    <w:p w14:paraId="3CDBCE66">
      <w:pPr>
        <w:spacing w:line="360" w:lineRule="auto"/>
        <w:ind w:firstLine="480"/>
        <w:rPr>
          <w:color w:val="auto"/>
        </w:rPr>
      </w:pPr>
    </w:p>
    <w:p w14:paraId="61402171">
      <w:pPr>
        <w:spacing w:line="360" w:lineRule="auto"/>
        <w:ind w:firstLine="480"/>
        <w:rPr>
          <w:color w:val="auto"/>
        </w:rPr>
      </w:pPr>
      <w:r>
        <w:rPr>
          <w:rFonts w:hint="eastAsia"/>
          <w:color w:val="auto"/>
        </w:rPr>
        <w:t>根据上述监测数据可知，</w:t>
      </w:r>
      <w:r>
        <w:rPr>
          <w:rFonts w:hint="eastAsia"/>
          <w:color w:val="auto"/>
          <w:lang w:eastAsia="zh-CN"/>
        </w:rPr>
        <w:t>长江</w:t>
      </w:r>
      <w:r>
        <w:rPr>
          <w:rFonts w:hint="eastAsia"/>
          <w:color w:val="auto"/>
        </w:rPr>
        <w:t>监测断面各监测指标主要包括pH、DO、高锰酸盐指数、COD、BOD</w:t>
      </w:r>
      <w:r>
        <w:rPr>
          <w:rFonts w:hint="eastAsia"/>
          <w:color w:val="auto"/>
          <w:vertAlign w:val="subscript"/>
        </w:rPr>
        <w:t>5</w:t>
      </w:r>
      <w:r>
        <w:rPr>
          <w:rFonts w:hint="eastAsia"/>
          <w:color w:val="auto"/>
        </w:rPr>
        <w:t>、NH</w:t>
      </w:r>
      <w:r>
        <w:rPr>
          <w:rFonts w:hint="eastAsia"/>
          <w:color w:val="auto"/>
          <w:vertAlign w:val="subscript"/>
        </w:rPr>
        <w:t>3</w:t>
      </w:r>
      <w:r>
        <w:rPr>
          <w:rFonts w:hint="eastAsia"/>
          <w:color w:val="auto"/>
        </w:rPr>
        <w:t>-N、总磷、铜、锌、氟化物、硒、砷、汞、镉、六价铬、铅、氰化物、挥发酚、石油类、阴离子表面活性剂、硫化物等均满足《地表水环境质量标准》（GB3838-2002）Ⅲ类标准的要求。</w:t>
      </w:r>
    </w:p>
    <w:p w14:paraId="328A46AC">
      <w:pPr>
        <w:spacing w:line="360" w:lineRule="auto"/>
        <w:ind w:firstLine="480"/>
        <w:rPr>
          <w:color w:val="auto"/>
        </w:rPr>
      </w:pPr>
    </w:p>
    <w:p w14:paraId="5984DC91">
      <w:pPr>
        <w:spacing w:line="360" w:lineRule="auto"/>
        <w:ind w:firstLine="0" w:firstLineChars="0"/>
        <w:outlineLvl w:val="2"/>
        <w:rPr>
          <w:b/>
          <w:bCs/>
          <w:color w:val="auto"/>
          <w:szCs w:val="32"/>
          <w:lang w:val="zh-CN"/>
        </w:rPr>
      </w:pPr>
      <w:bookmarkStart w:id="196" w:name="_Toc436048379"/>
      <w:bookmarkStart w:id="197" w:name="_Toc432775527"/>
      <w:bookmarkStart w:id="198" w:name="_Toc432775372"/>
      <w:bookmarkStart w:id="199" w:name="_Toc430877377"/>
      <w:bookmarkStart w:id="200" w:name="_Toc430877201"/>
      <w:bookmarkStart w:id="201" w:name="_Toc417984138"/>
      <w:bookmarkStart w:id="202" w:name="_Toc428215544"/>
      <w:bookmarkStart w:id="203" w:name="_Toc335901998"/>
      <w:r>
        <w:rPr>
          <w:rFonts w:hint="eastAsia"/>
          <w:b/>
          <w:bCs/>
          <w:color w:val="auto"/>
          <w:szCs w:val="32"/>
          <w:lang w:val="zh-CN"/>
        </w:rPr>
        <w:t>4.2.3地下水环境质量现状评价</w:t>
      </w:r>
      <w:bookmarkEnd w:id="196"/>
      <w:bookmarkEnd w:id="197"/>
      <w:bookmarkEnd w:id="198"/>
      <w:bookmarkEnd w:id="199"/>
      <w:bookmarkEnd w:id="200"/>
    </w:p>
    <w:p w14:paraId="020A983E">
      <w:pPr>
        <w:keepNext/>
        <w:keepLines/>
        <w:adjustRightInd/>
        <w:snapToGrid/>
        <w:spacing w:line="360" w:lineRule="auto"/>
        <w:ind w:firstLine="0" w:firstLineChars="0"/>
        <w:jc w:val="left"/>
        <w:outlineLvl w:val="3"/>
        <w:rPr>
          <w:b/>
          <w:bCs/>
          <w:color w:val="auto"/>
          <w:szCs w:val="28"/>
        </w:rPr>
      </w:pPr>
      <w:r>
        <w:rPr>
          <w:b/>
          <w:bCs/>
          <w:color w:val="auto"/>
          <w:szCs w:val="28"/>
        </w:rPr>
        <w:t>4.2.3.</w:t>
      </w:r>
      <w:r>
        <w:rPr>
          <w:rFonts w:hint="eastAsia"/>
          <w:b/>
          <w:bCs/>
          <w:color w:val="auto"/>
          <w:szCs w:val="28"/>
          <w:lang w:val="en-US" w:eastAsia="zh-CN"/>
        </w:rPr>
        <w:t>1</w:t>
      </w:r>
      <w:r>
        <w:rPr>
          <w:rFonts w:hint="eastAsia"/>
          <w:b/>
          <w:bCs/>
          <w:color w:val="auto"/>
          <w:szCs w:val="28"/>
        </w:rPr>
        <w:t>项目地下水环境质量现状评价</w:t>
      </w:r>
    </w:p>
    <w:p w14:paraId="6EFF42A4">
      <w:pPr>
        <w:spacing w:line="360" w:lineRule="auto"/>
        <w:ind w:firstLine="480"/>
        <w:rPr>
          <w:color w:val="auto"/>
        </w:rPr>
      </w:pPr>
      <w:r>
        <w:rPr>
          <w:rFonts w:hint="eastAsia"/>
          <w:color w:val="auto"/>
        </w:rPr>
        <w:t>本次评价</w:t>
      </w:r>
      <w:r>
        <w:rPr>
          <w:rFonts w:hint="eastAsia"/>
          <w:color w:val="auto"/>
          <w:lang w:eastAsia="zh-CN"/>
        </w:rPr>
        <w:t>通过引用园区有效地下水环境质量现状监测数据和</w:t>
      </w:r>
      <w:r>
        <w:rPr>
          <w:rFonts w:hint="eastAsia" w:ascii="宋体" w:cs="宋体"/>
          <w:color w:val="auto"/>
          <w:kern w:val="0"/>
          <w:szCs w:val="24"/>
        </w:rPr>
        <w:t>委托</w:t>
      </w:r>
      <w:r>
        <w:rPr>
          <w:rFonts w:hint="eastAsia"/>
          <w:color w:val="auto"/>
          <w:szCs w:val="24"/>
        </w:rPr>
        <w:t>重庆国环环境监测有限公司</w:t>
      </w:r>
      <w:r>
        <w:rPr>
          <w:rFonts w:hint="eastAsia" w:ascii="宋体" w:cs="宋体"/>
          <w:color w:val="auto"/>
          <w:kern w:val="0"/>
          <w:szCs w:val="24"/>
        </w:rPr>
        <w:t>对拟建项目所在区域地下水环境质量现状进行</w:t>
      </w:r>
      <w:r>
        <w:rPr>
          <w:rFonts w:hint="eastAsia" w:ascii="宋体" w:cs="宋体"/>
          <w:color w:val="auto"/>
          <w:kern w:val="0"/>
          <w:szCs w:val="24"/>
          <w:lang w:eastAsia="zh-CN"/>
        </w:rPr>
        <w:t>实测的方式综合评价区域地下水环境质量现状</w:t>
      </w:r>
      <w:r>
        <w:rPr>
          <w:rFonts w:hint="eastAsia" w:ascii="宋体" w:cs="宋体"/>
          <w:color w:val="auto"/>
          <w:kern w:val="0"/>
          <w:szCs w:val="24"/>
        </w:rPr>
        <w:t>。</w:t>
      </w:r>
    </w:p>
    <w:p w14:paraId="47877A9B">
      <w:pPr>
        <w:adjustRightInd/>
        <w:snapToGrid/>
        <w:spacing w:line="360" w:lineRule="auto"/>
        <w:ind w:firstLine="471" w:firstLineChars="0"/>
        <w:rPr>
          <w:rFonts w:eastAsiaTheme="minorEastAsia"/>
          <w:snapToGrid w:val="0"/>
          <w:color w:val="auto"/>
          <w:kern w:val="0"/>
          <w:szCs w:val="22"/>
        </w:rPr>
      </w:pPr>
      <w:r>
        <w:rPr>
          <w:rFonts w:eastAsiaTheme="minorEastAsia"/>
          <w:snapToGrid w:val="0"/>
          <w:color w:val="auto"/>
          <w:kern w:val="0"/>
          <w:szCs w:val="22"/>
        </w:rPr>
        <w:t>（1）监测点位</w:t>
      </w:r>
    </w:p>
    <w:p w14:paraId="40CB9B12">
      <w:pPr>
        <w:spacing w:line="360" w:lineRule="auto"/>
        <w:ind w:firstLine="480"/>
        <w:rPr>
          <w:color w:val="auto"/>
        </w:rPr>
      </w:pPr>
      <w:r>
        <w:rPr>
          <w:rFonts w:hint="eastAsia"/>
          <w:color w:val="auto"/>
        </w:rPr>
        <w:t>水质监测点：布设5个水质监测点（DS</w:t>
      </w:r>
      <w:r>
        <w:rPr>
          <w:color w:val="auto"/>
        </w:rPr>
        <w:t>1~</w:t>
      </w:r>
      <w:r>
        <w:rPr>
          <w:rFonts w:hint="eastAsia"/>
          <w:color w:val="auto"/>
        </w:rPr>
        <w:t>DS</w:t>
      </w:r>
      <w:r>
        <w:rPr>
          <w:color w:val="auto"/>
        </w:rPr>
        <w:t>5</w:t>
      </w:r>
      <w:r>
        <w:rPr>
          <w:rFonts w:hint="eastAsia"/>
          <w:color w:val="auto"/>
        </w:rPr>
        <w:t>）</w:t>
      </w:r>
      <w:r>
        <w:rPr>
          <w:rFonts w:hint="eastAsia" w:eastAsiaTheme="minorEastAsia"/>
          <w:snapToGrid w:val="0"/>
          <w:color w:val="auto"/>
          <w:kern w:val="0"/>
          <w:szCs w:val="22"/>
        </w:rPr>
        <w:t>，10个水位监测点（DS1~DS10），以上监测点位与拟建项目同在一个水文地质单元。</w:t>
      </w:r>
    </w:p>
    <w:p w14:paraId="0EA95996">
      <w:pPr>
        <w:spacing w:line="360" w:lineRule="auto"/>
        <w:ind w:firstLine="480"/>
        <w:rPr>
          <w:color w:val="auto"/>
        </w:rPr>
      </w:pPr>
      <w:r>
        <w:rPr>
          <w:rFonts w:hint="eastAsia"/>
          <w:color w:val="auto"/>
        </w:rPr>
        <w:t>（2）监测因子和监测时间</w:t>
      </w:r>
    </w:p>
    <w:p w14:paraId="64172B06">
      <w:pPr>
        <w:spacing w:line="360" w:lineRule="auto"/>
        <w:ind w:firstLine="480"/>
        <w:rPr>
          <w:rFonts w:hAnsi="宋体"/>
          <w:color w:val="auto"/>
          <w:szCs w:val="24"/>
        </w:rPr>
      </w:pPr>
      <w:r>
        <w:rPr>
          <w:rFonts w:hint="eastAsia"/>
          <w:color w:val="auto"/>
        </w:rPr>
        <w:t>DS</w:t>
      </w:r>
      <w:r>
        <w:rPr>
          <w:color w:val="auto"/>
        </w:rPr>
        <w:t>1</w:t>
      </w:r>
      <w:r>
        <w:rPr>
          <w:rFonts w:hint="eastAsia"/>
          <w:color w:val="auto"/>
        </w:rPr>
        <w:t>、DS</w:t>
      </w:r>
      <w:r>
        <w:rPr>
          <w:color w:val="auto"/>
        </w:rPr>
        <w:t>2</w:t>
      </w:r>
      <w:r>
        <w:rPr>
          <w:rFonts w:hint="eastAsia"/>
          <w:color w:val="auto"/>
        </w:rPr>
        <w:t>、DS</w:t>
      </w:r>
      <w:r>
        <w:rPr>
          <w:color w:val="auto"/>
        </w:rPr>
        <w:t>3</w:t>
      </w:r>
      <w:r>
        <w:rPr>
          <w:rFonts w:hAnsi="宋体"/>
          <w:color w:val="auto"/>
          <w:szCs w:val="24"/>
        </w:rPr>
        <w:t>监测因子：</w:t>
      </w:r>
      <w:r>
        <w:rPr>
          <w:rFonts w:hint="eastAsia"/>
          <w:color w:val="auto"/>
        </w:rPr>
        <w:t>八大离子（K</w:t>
      </w:r>
      <w:r>
        <w:rPr>
          <w:rFonts w:hint="eastAsia"/>
          <w:color w:val="auto"/>
          <w:vertAlign w:val="superscript"/>
        </w:rPr>
        <w:t>+</w:t>
      </w:r>
      <w:r>
        <w:rPr>
          <w:rFonts w:hint="eastAsia"/>
          <w:color w:val="auto"/>
        </w:rPr>
        <w:t>、Na</w:t>
      </w:r>
      <w:r>
        <w:rPr>
          <w:rFonts w:hint="eastAsia"/>
          <w:color w:val="auto"/>
          <w:vertAlign w:val="superscript"/>
        </w:rPr>
        <w:t>+</w:t>
      </w:r>
      <w:r>
        <w:rPr>
          <w:rFonts w:hint="eastAsia"/>
          <w:color w:val="auto"/>
        </w:rPr>
        <w:t>、Ca</w:t>
      </w:r>
      <w:r>
        <w:rPr>
          <w:rFonts w:hint="eastAsia"/>
          <w:color w:val="auto"/>
          <w:vertAlign w:val="superscript"/>
        </w:rPr>
        <w:t>2+</w:t>
      </w:r>
      <w:r>
        <w:rPr>
          <w:rFonts w:hint="eastAsia"/>
          <w:color w:val="auto"/>
        </w:rPr>
        <w:t>、Mg</w:t>
      </w:r>
      <w:r>
        <w:rPr>
          <w:rFonts w:hint="eastAsia"/>
          <w:color w:val="auto"/>
          <w:vertAlign w:val="superscript"/>
        </w:rPr>
        <w:t>2+</w:t>
      </w:r>
      <w:r>
        <w:rPr>
          <w:rFonts w:hint="eastAsia"/>
          <w:color w:val="auto"/>
        </w:rPr>
        <w:t>、CO</w:t>
      </w:r>
      <w:r>
        <w:rPr>
          <w:rFonts w:hint="eastAsia"/>
          <w:color w:val="auto"/>
          <w:vertAlign w:val="subscript"/>
        </w:rPr>
        <w:t>3</w:t>
      </w:r>
      <w:r>
        <w:rPr>
          <w:rFonts w:hint="eastAsia"/>
          <w:color w:val="auto"/>
          <w:vertAlign w:val="superscript"/>
        </w:rPr>
        <w:t>2-</w:t>
      </w:r>
      <w:r>
        <w:rPr>
          <w:rFonts w:hint="eastAsia"/>
          <w:color w:val="auto"/>
        </w:rPr>
        <w:t>、HCO</w:t>
      </w:r>
      <w:r>
        <w:rPr>
          <w:rFonts w:hint="eastAsia"/>
          <w:color w:val="auto"/>
          <w:vertAlign w:val="subscript"/>
        </w:rPr>
        <w:t>3</w:t>
      </w:r>
      <w:r>
        <w:rPr>
          <w:rFonts w:hint="eastAsia"/>
          <w:color w:val="auto"/>
          <w:vertAlign w:val="superscript"/>
        </w:rPr>
        <w:t>-</w:t>
      </w:r>
      <w:r>
        <w:rPr>
          <w:rFonts w:hint="eastAsia"/>
          <w:color w:val="auto"/>
        </w:rPr>
        <w:t>、Cl</w:t>
      </w:r>
      <w:r>
        <w:rPr>
          <w:rFonts w:hint="eastAsia"/>
          <w:color w:val="auto"/>
          <w:vertAlign w:val="superscript"/>
        </w:rPr>
        <w:t>-</w:t>
      </w:r>
      <w:r>
        <w:rPr>
          <w:rFonts w:hint="eastAsia"/>
          <w:color w:val="auto"/>
        </w:rPr>
        <w:t xml:space="preserve"> 、SO</w:t>
      </w:r>
      <w:r>
        <w:rPr>
          <w:rFonts w:hint="eastAsia"/>
          <w:color w:val="auto"/>
          <w:vertAlign w:val="subscript"/>
        </w:rPr>
        <w:t>4</w:t>
      </w:r>
      <w:r>
        <w:rPr>
          <w:rFonts w:hint="eastAsia"/>
          <w:color w:val="auto"/>
          <w:vertAlign w:val="superscript"/>
        </w:rPr>
        <w:t>2-</w:t>
      </w:r>
      <w:r>
        <w:rPr>
          <w:rFonts w:hint="eastAsia"/>
          <w:color w:val="auto"/>
        </w:rPr>
        <w:t>）、</w:t>
      </w:r>
      <w:r>
        <w:rPr>
          <w:rFonts w:hint="eastAsia" w:hAnsi="宋体"/>
          <w:color w:val="auto"/>
          <w:szCs w:val="24"/>
        </w:rPr>
        <w:t>pH、氨氮、硝酸盐、亚硝酸盐、挥发性酚类、氰化物、砷、汞、铬（六价）、总硬度、铅、氟化物、镉、铁、锰、溶解性总固体、耗氧量、硫酸盐、氯化物、总大肠菌群、细菌总数、石油类、硼、钡、硫化物、总a放射性、总β放射性。</w:t>
      </w:r>
    </w:p>
    <w:p w14:paraId="72043E56">
      <w:pPr>
        <w:spacing w:line="360" w:lineRule="auto"/>
        <w:ind w:firstLine="480"/>
        <w:jc w:val="left"/>
        <w:rPr>
          <w:color w:val="auto"/>
        </w:rPr>
      </w:pPr>
      <w:r>
        <w:rPr>
          <w:rFonts w:hint="eastAsia"/>
          <w:color w:val="auto"/>
        </w:rPr>
        <w:t>DS</w:t>
      </w:r>
      <w:r>
        <w:rPr>
          <w:color w:val="auto"/>
        </w:rPr>
        <w:t>4</w:t>
      </w:r>
      <w:r>
        <w:rPr>
          <w:rFonts w:hint="eastAsia"/>
          <w:color w:val="auto"/>
        </w:rPr>
        <w:t>、DS5监测因子</w:t>
      </w:r>
      <w:r>
        <w:rPr>
          <w:rFonts w:hAnsi="宋体"/>
          <w:color w:val="auto"/>
          <w:szCs w:val="24"/>
        </w:rPr>
        <w:t>：</w:t>
      </w:r>
      <w:r>
        <w:rPr>
          <w:rFonts w:hint="eastAsia"/>
          <w:color w:val="auto"/>
        </w:rPr>
        <w:t>八大离子（K</w:t>
      </w:r>
      <w:r>
        <w:rPr>
          <w:rFonts w:hint="eastAsia"/>
          <w:color w:val="auto"/>
          <w:vertAlign w:val="superscript"/>
        </w:rPr>
        <w:t>+</w:t>
      </w:r>
      <w:r>
        <w:rPr>
          <w:rFonts w:hint="eastAsia"/>
          <w:color w:val="auto"/>
        </w:rPr>
        <w:t>、Na</w:t>
      </w:r>
      <w:r>
        <w:rPr>
          <w:rFonts w:hint="eastAsia"/>
          <w:color w:val="auto"/>
          <w:vertAlign w:val="superscript"/>
        </w:rPr>
        <w:t>+</w:t>
      </w:r>
      <w:r>
        <w:rPr>
          <w:rFonts w:hint="eastAsia"/>
          <w:color w:val="auto"/>
        </w:rPr>
        <w:t>、Ca</w:t>
      </w:r>
      <w:r>
        <w:rPr>
          <w:rFonts w:hint="eastAsia"/>
          <w:color w:val="auto"/>
          <w:vertAlign w:val="superscript"/>
        </w:rPr>
        <w:t>2+</w:t>
      </w:r>
      <w:r>
        <w:rPr>
          <w:rFonts w:hint="eastAsia"/>
          <w:color w:val="auto"/>
        </w:rPr>
        <w:t>、Mg</w:t>
      </w:r>
      <w:r>
        <w:rPr>
          <w:rFonts w:hint="eastAsia"/>
          <w:color w:val="auto"/>
          <w:vertAlign w:val="superscript"/>
        </w:rPr>
        <w:t>2+</w:t>
      </w:r>
      <w:r>
        <w:rPr>
          <w:rFonts w:hint="eastAsia"/>
          <w:color w:val="auto"/>
        </w:rPr>
        <w:t>、CO</w:t>
      </w:r>
      <w:r>
        <w:rPr>
          <w:rFonts w:hint="eastAsia"/>
          <w:color w:val="auto"/>
          <w:vertAlign w:val="subscript"/>
        </w:rPr>
        <w:t>3</w:t>
      </w:r>
      <w:r>
        <w:rPr>
          <w:rFonts w:hint="eastAsia"/>
          <w:color w:val="auto"/>
          <w:vertAlign w:val="superscript"/>
        </w:rPr>
        <w:t>2-</w:t>
      </w:r>
      <w:r>
        <w:rPr>
          <w:rFonts w:hint="eastAsia"/>
          <w:color w:val="auto"/>
        </w:rPr>
        <w:t>、HCO</w:t>
      </w:r>
      <w:r>
        <w:rPr>
          <w:rFonts w:hint="eastAsia"/>
          <w:color w:val="auto"/>
          <w:vertAlign w:val="subscript"/>
        </w:rPr>
        <w:t>3</w:t>
      </w:r>
      <w:r>
        <w:rPr>
          <w:rFonts w:hint="eastAsia"/>
          <w:color w:val="auto"/>
          <w:vertAlign w:val="superscript"/>
        </w:rPr>
        <w:t>-</w:t>
      </w:r>
      <w:r>
        <w:rPr>
          <w:rFonts w:hint="eastAsia"/>
          <w:color w:val="auto"/>
        </w:rPr>
        <w:t>、Cl</w:t>
      </w:r>
      <w:r>
        <w:rPr>
          <w:rFonts w:hint="eastAsia"/>
          <w:color w:val="auto"/>
          <w:vertAlign w:val="superscript"/>
        </w:rPr>
        <w:t>-</w:t>
      </w:r>
      <w:r>
        <w:rPr>
          <w:rFonts w:hint="eastAsia"/>
          <w:color w:val="auto"/>
        </w:rPr>
        <w:t xml:space="preserve"> 、SO</w:t>
      </w:r>
      <w:r>
        <w:rPr>
          <w:rFonts w:hint="eastAsia"/>
          <w:color w:val="auto"/>
          <w:vertAlign w:val="subscript"/>
        </w:rPr>
        <w:t>4</w:t>
      </w:r>
      <w:r>
        <w:rPr>
          <w:rFonts w:hint="eastAsia"/>
          <w:color w:val="auto"/>
          <w:vertAlign w:val="superscript"/>
        </w:rPr>
        <w:t>2-</w:t>
      </w:r>
      <w:r>
        <w:rPr>
          <w:rFonts w:hint="eastAsia"/>
          <w:color w:val="auto"/>
        </w:rPr>
        <w:t>）、</w:t>
      </w:r>
      <w:r>
        <w:rPr>
          <w:rFonts w:hint="eastAsia" w:hAnsi="宋体"/>
          <w:color w:val="auto"/>
          <w:szCs w:val="24"/>
        </w:rPr>
        <w:t>pH、氨氮、硝酸盐、亚硝酸盐、挥发性酚类、氰化物、砷、汞、铬（六价）、总硬度、铅、氟化物、镉、铁、锰、溶解性总固体、耗氧量、硫酸盐、氯化物、总大肠菌群、细菌总数</w:t>
      </w:r>
      <w:r>
        <w:rPr>
          <w:rFonts w:hint="eastAsia"/>
          <w:color w:val="auto"/>
        </w:rPr>
        <w:t>。</w:t>
      </w:r>
    </w:p>
    <w:p w14:paraId="40A3BC09">
      <w:pPr>
        <w:spacing w:line="360" w:lineRule="auto"/>
        <w:ind w:firstLine="480"/>
        <w:rPr>
          <w:rFonts w:hAnsi="宋体"/>
          <w:color w:val="auto"/>
          <w:szCs w:val="24"/>
        </w:rPr>
      </w:pPr>
      <w:r>
        <w:rPr>
          <w:rFonts w:hAnsi="宋体"/>
          <w:color w:val="auto"/>
          <w:szCs w:val="24"/>
        </w:rPr>
        <w:t>监测时间：</w:t>
      </w:r>
      <w:r>
        <w:rPr>
          <w:rFonts w:hint="eastAsia"/>
          <w:color w:val="auto"/>
        </w:rPr>
        <w:t>DS</w:t>
      </w:r>
      <w:r>
        <w:rPr>
          <w:color w:val="auto"/>
        </w:rPr>
        <w:t>1~</w:t>
      </w:r>
      <w:r>
        <w:rPr>
          <w:rFonts w:hint="eastAsia"/>
          <w:color w:val="auto"/>
        </w:rPr>
        <w:t>DS</w:t>
      </w:r>
      <w:r>
        <w:rPr>
          <w:rFonts w:hint="eastAsia"/>
          <w:color w:val="auto"/>
          <w:lang w:val="en-US" w:eastAsia="zh-CN"/>
        </w:rPr>
        <w:t>3</w:t>
      </w:r>
      <w:r>
        <w:rPr>
          <w:rFonts w:hint="eastAsia"/>
          <w:color w:val="auto"/>
        </w:rPr>
        <w:t>监测时间为</w:t>
      </w:r>
      <w:r>
        <w:rPr>
          <w:rFonts w:hAnsi="宋体"/>
          <w:color w:val="auto"/>
          <w:szCs w:val="24"/>
        </w:rPr>
        <w:t>2025年</w:t>
      </w:r>
      <w:r>
        <w:rPr>
          <w:rFonts w:hint="eastAsia" w:hAnsi="宋体"/>
          <w:color w:val="auto"/>
          <w:szCs w:val="24"/>
          <w:lang w:val="en-US" w:eastAsia="zh-CN"/>
        </w:rPr>
        <w:t>8</w:t>
      </w:r>
      <w:r>
        <w:rPr>
          <w:rFonts w:hAnsi="宋体"/>
          <w:color w:val="auto"/>
          <w:szCs w:val="24"/>
        </w:rPr>
        <w:t>月</w:t>
      </w:r>
      <w:r>
        <w:rPr>
          <w:rFonts w:hint="eastAsia" w:hAnsi="宋体"/>
          <w:color w:val="auto"/>
          <w:szCs w:val="24"/>
          <w:lang w:val="en-US" w:eastAsia="zh-CN"/>
        </w:rPr>
        <w:t>30</w:t>
      </w:r>
      <w:r>
        <w:rPr>
          <w:rFonts w:hAnsi="宋体"/>
          <w:color w:val="auto"/>
          <w:szCs w:val="24"/>
        </w:rPr>
        <w:t>日</w:t>
      </w:r>
      <w:r>
        <w:rPr>
          <w:rFonts w:hint="eastAsia" w:hAnsi="宋体"/>
          <w:color w:val="auto"/>
          <w:szCs w:val="24"/>
        </w:rPr>
        <w:t>，</w:t>
      </w:r>
      <w:r>
        <w:rPr>
          <w:color w:val="auto"/>
        </w:rPr>
        <w:t>每天采样一次</w:t>
      </w:r>
      <w:r>
        <w:rPr>
          <w:rFonts w:hint="eastAsia"/>
          <w:color w:val="auto"/>
          <w:lang w:eastAsia="zh-CN"/>
        </w:rPr>
        <w:t>；</w:t>
      </w:r>
      <w:r>
        <w:rPr>
          <w:rFonts w:hint="eastAsia"/>
          <w:color w:val="auto"/>
        </w:rPr>
        <w:t>DS</w:t>
      </w:r>
      <w:r>
        <w:rPr>
          <w:rFonts w:hint="eastAsia"/>
          <w:color w:val="auto"/>
          <w:lang w:val="en-US" w:eastAsia="zh-CN"/>
        </w:rPr>
        <w:t>4</w:t>
      </w:r>
      <w:r>
        <w:rPr>
          <w:color w:val="auto"/>
        </w:rPr>
        <w:t>~</w:t>
      </w:r>
      <w:r>
        <w:rPr>
          <w:rFonts w:hint="eastAsia"/>
          <w:color w:val="auto"/>
        </w:rPr>
        <w:t>DS</w:t>
      </w:r>
      <w:r>
        <w:rPr>
          <w:rFonts w:hint="eastAsia"/>
          <w:color w:val="auto"/>
          <w:lang w:val="en-US" w:eastAsia="zh-CN"/>
        </w:rPr>
        <w:t>5</w:t>
      </w:r>
      <w:r>
        <w:rPr>
          <w:rFonts w:hint="eastAsia"/>
          <w:color w:val="auto"/>
        </w:rPr>
        <w:t>监测时间为</w:t>
      </w:r>
      <w:r>
        <w:rPr>
          <w:rFonts w:hAnsi="宋体"/>
          <w:color w:val="auto"/>
          <w:szCs w:val="24"/>
        </w:rPr>
        <w:t>202</w:t>
      </w:r>
      <w:r>
        <w:rPr>
          <w:rFonts w:hint="eastAsia" w:hAnsi="宋体"/>
          <w:color w:val="auto"/>
          <w:szCs w:val="24"/>
          <w:lang w:val="en-US" w:eastAsia="zh-CN"/>
        </w:rPr>
        <w:t>3</w:t>
      </w:r>
      <w:r>
        <w:rPr>
          <w:rFonts w:hAnsi="宋体"/>
          <w:color w:val="auto"/>
          <w:szCs w:val="24"/>
        </w:rPr>
        <w:t>年</w:t>
      </w:r>
      <w:r>
        <w:rPr>
          <w:rFonts w:hint="eastAsia" w:hAnsi="宋体"/>
          <w:color w:val="auto"/>
          <w:szCs w:val="24"/>
          <w:lang w:val="en-US" w:eastAsia="zh-CN"/>
        </w:rPr>
        <w:t>6</w:t>
      </w:r>
      <w:r>
        <w:rPr>
          <w:rFonts w:hAnsi="宋体"/>
          <w:color w:val="auto"/>
          <w:szCs w:val="24"/>
        </w:rPr>
        <w:t>月</w:t>
      </w:r>
      <w:r>
        <w:rPr>
          <w:rFonts w:hint="eastAsia" w:hAnsi="宋体"/>
          <w:color w:val="auto"/>
          <w:szCs w:val="24"/>
          <w:lang w:val="en-US" w:eastAsia="zh-CN"/>
        </w:rPr>
        <w:t>12</w:t>
      </w:r>
      <w:r>
        <w:rPr>
          <w:rFonts w:hAnsi="宋体"/>
          <w:color w:val="auto"/>
          <w:szCs w:val="24"/>
        </w:rPr>
        <w:t>日</w:t>
      </w:r>
      <w:r>
        <w:rPr>
          <w:rFonts w:hint="eastAsia" w:hAnsi="宋体"/>
          <w:color w:val="auto"/>
          <w:szCs w:val="24"/>
        </w:rPr>
        <w:t>，</w:t>
      </w:r>
      <w:r>
        <w:rPr>
          <w:color w:val="auto"/>
        </w:rPr>
        <w:t>每天采样一次</w:t>
      </w:r>
      <w:r>
        <w:rPr>
          <w:rFonts w:hAnsi="宋体"/>
          <w:color w:val="auto"/>
          <w:szCs w:val="24"/>
        </w:rPr>
        <w:t>。</w:t>
      </w:r>
    </w:p>
    <w:p w14:paraId="2223A635">
      <w:pPr>
        <w:spacing w:line="360" w:lineRule="auto"/>
        <w:ind w:firstLine="480"/>
        <w:rPr>
          <w:color w:val="auto"/>
        </w:rPr>
      </w:pPr>
      <w:r>
        <w:rPr>
          <w:rFonts w:hint="eastAsia"/>
          <w:color w:val="auto"/>
        </w:rPr>
        <w:t>（3）评价方法</w:t>
      </w:r>
    </w:p>
    <w:p w14:paraId="029F0589">
      <w:pPr>
        <w:spacing w:line="360" w:lineRule="auto"/>
        <w:ind w:firstLine="480"/>
        <w:rPr>
          <w:color w:val="auto"/>
        </w:rPr>
      </w:pPr>
      <w:r>
        <w:rPr>
          <w:rFonts w:hint="eastAsia"/>
          <w:color w:val="auto"/>
        </w:rPr>
        <w:t>采用单因子污染指数法评价。</w:t>
      </w:r>
    </w:p>
    <w:p w14:paraId="082092CB">
      <w:pPr>
        <w:spacing w:line="360" w:lineRule="auto"/>
        <w:ind w:firstLine="480"/>
        <w:rPr>
          <w:color w:val="auto"/>
        </w:rPr>
      </w:pPr>
      <w:r>
        <w:rPr>
          <w:rFonts w:hint="eastAsia"/>
          <w:color w:val="auto"/>
        </w:rPr>
        <w:t>（4）评价标准</w:t>
      </w:r>
    </w:p>
    <w:p w14:paraId="37486E82">
      <w:pPr>
        <w:spacing w:line="360" w:lineRule="auto"/>
        <w:ind w:firstLine="480"/>
        <w:rPr>
          <w:color w:val="auto"/>
        </w:rPr>
      </w:pPr>
      <w:r>
        <w:rPr>
          <w:rFonts w:hint="eastAsia"/>
          <w:color w:val="auto"/>
        </w:rPr>
        <w:t>《地下水质量标准》（GB/T14848-2017）Ⅲ类标准作为评价标准。</w:t>
      </w:r>
    </w:p>
    <w:p w14:paraId="0275BE58">
      <w:pPr>
        <w:spacing w:line="360" w:lineRule="auto"/>
        <w:ind w:firstLine="480"/>
        <w:rPr>
          <w:color w:val="auto"/>
        </w:rPr>
      </w:pPr>
      <w:r>
        <w:rPr>
          <w:rFonts w:hint="eastAsia"/>
          <w:color w:val="auto"/>
        </w:rPr>
        <w:t>（5）监测结果</w:t>
      </w:r>
    </w:p>
    <w:p w14:paraId="3CAAAC08">
      <w:pPr>
        <w:spacing w:line="360" w:lineRule="auto"/>
        <w:ind w:firstLine="480"/>
        <w:rPr>
          <w:color w:val="auto"/>
        </w:rPr>
      </w:pPr>
      <w:r>
        <w:rPr>
          <w:rFonts w:hint="eastAsia"/>
          <w:color w:val="auto"/>
        </w:rPr>
        <w:t>地下水八大离子监测结果见表</w:t>
      </w:r>
      <w:r>
        <w:rPr>
          <w:color w:val="auto"/>
        </w:rPr>
        <w:t>4.2</w:t>
      </w:r>
      <w:r>
        <w:rPr>
          <w:rFonts w:hint="eastAsia"/>
          <w:color w:val="auto"/>
        </w:rPr>
        <w:t>-</w:t>
      </w:r>
      <w:r>
        <w:rPr>
          <w:color w:val="auto"/>
        </w:rPr>
        <w:t>5</w:t>
      </w:r>
      <w:r>
        <w:rPr>
          <w:rFonts w:hint="eastAsia"/>
          <w:color w:val="auto"/>
        </w:rPr>
        <w:t>，水位监测结果见表4.2-</w:t>
      </w:r>
      <w:r>
        <w:rPr>
          <w:color w:val="auto"/>
        </w:rPr>
        <w:t>4</w:t>
      </w:r>
      <w:r>
        <w:rPr>
          <w:rFonts w:hint="eastAsia"/>
          <w:color w:val="auto"/>
        </w:rPr>
        <w:t>。水质因子监测及评价结果见表</w:t>
      </w:r>
      <w:r>
        <w:rPr>
          <w:color w:val="auto"/>
        </w:rPr>
        <w:t>4.2</w:t>
      </w:r>
      <w:r>
        <w:rPr>
          <w:rFonts w:hint="eastAsia"/>
          <w:color w:val="auto"/>
        </w:rPr>
        <w:t>-</w:t>
      </w:r>
      <w:r>
        <w:rPr>
          <w:color w:val="auto"/>
        </w:rPr>
        <w:t>7</w:t>
      </w:r>
      <w:r>
        <w:rPr>
          <w:rFonts w:hint="eastAsia"/>
          <w:color w:val="auto"/>
        </w:rPr>
        <w:t>。</w:t>
      </w:r>
    </w:p>
    <w:p w14:paraId="7EBC5CA4">
      <w:pPr>
        <w:spacing w:line="360" w:lineRule="auto"/>
        <w:ind w:firstLineChars="83"/>
        <w:jc w:val="center"/>
        <w:rPr>
          <w:b/>
          <w:bCs/>
          <w:color w:val="auto"/>
        </w:rPr>
      </w:pPr>
      <w:r>
        <w:rPr>
          <w:rFonts w:hint="eastAsia"/>
          <w:b/>
          <w:bCs/>
          <w:color w:val="auto"/>
        </w:rPr>
        <w:t>表4.2-4  水位监测结果统计表</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6"/>
        <w:gridCol w:w="823"/>
        <w:gridCol w:w="1632"/>
        <w:gridCol w:w="1535"/>
        <w:gridCol w:w="2070"/>
        <w:gridCol w:w="2070"/>
      </w:tblGrid>
      <w:tr w14:paraId="5558E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tcBorders>
              <w:top w:val="single" w:color="auto" w:sz="4" w:space="0"/>
              <w:left w:val="single" w:color="auto" w:sz="4" w:space="0"/>
              <w:bottom w:val="single" w:color="auto" w:sz="4" w:space="0"/>
              <w:right w:val="single" w:color="auto" w:sz="4" w:space="0"/>
            </w:tcBorders>
            <w:noWrap/>
            <w:vAlign w:val="center"/>
          </w:tcPr>
          <w:p w14:paraId="5AB309CD">
            <w:pPr>
              <w:pStyle w:val="276"/>
              <w:rPr>
                <w:color w:val="auto"/>
              </w:rPr>
            </w:pPr>
            <w:r>
              <w:rPr>
                <w:rFonts w:hint="eastAsia"/>
                <w:color w:val="auto"/>
              </w:rPr>
              <w:t>编号</w:t>
            </w:r>
          </w:p>
        </w:tc>
        <w:tc>
          <w:tcPr>
            <w:tcW w:w="443" w:type="pct"/>
            <w:tcBorders>
              <w:top w:val="single" w:color="auto" w:sz="4" w:space="0"/>
              <w:left w:val="single" w:color="auto" w:sz="4" w:space="0"/>
              <w:bottom w:val="single" w:color="auto" w:sz="4" w:space="0"/>
              <w:right w:val="single" w:color="auto" w:sz="4" w:space="0"/>
            </w:tcBorders>
            <w:vAlign w:val="center"/>
          </w:tcPr>
          <w:p w14:paraId="42D11B33">
            <w:pPr>
              <w:pStyle w:val="276"/>
              <w:rPr>
                <w:color w:val="auto"/>
              </w:rPr>
            </w:pPr>
            <w:r>
              <w:rPr>
                <w:rFonts w:hint="eastAsia"/>
                <w:color w:val="auto"/>
              </w:rPr>
              <w:t>类型</w:t>
            </w:r>
          </w:p>
        </w:tc>
        <w:tc>
          <w:tcPr>
            <w:tcW w:w="878" w:type="pct"/>
            <w:tcBorders>
              <w:top w:val="single" w:color="auto" w:sz="4" w:space="0"/>
              <w:left w:val="single" w:color="auto" w:sz="4" w:space="0"/>
              <w:bottom w:val="single" w:color="auto" w:sz="4" w:space="0"/>
              <w:right w:val="single" w:color="auto" w:sz="4" w:space="0"/>
            </w:tcBorders>
            <w:noWrap/>
            <w:vAlign w:val="center"/>
          </w:tcPr>
          <w:p w14:paraId="28985D33">
            <w:pPr>
              <w:pStyle w:val="276"/>
              <w:rPr>
                <w:color w:val="auto"/>
              </w:rPr>
            </w:pPr>
            <w:r>
              <w:rPr>
                <w:rFonts w:hint="eastAsia"/>
                <w:color w:val="auto"/>
              </w:rPr>
              <w:t>经度</w:t>
            </w:r>
          </w:p>
        </w:tc>
        <w:tc>
          <w:tcPr>
            <w:tcW w:w="826" w:type="pct"/>
            <w:tcBorders>
              <w:top w:val="single" w:color="auto" w:sz="4" w:space="0"/>
              <w:left w:val="single" w:color="auto" w:sz="4" w:space="0"/>
              <w:bottom w:val="single" w:color="auto" w:sz="4" w:space="0"/>
              <w:right w:val="single" w:color="auto" w:sz="4" w:space="0"/>
            </w:tcBorders>
            <w:vAlign w:val="center"/>
          </w:tcPr>
          <w:p w14:paraId="4287A1C7">
            <w:pPr>
              <w:pStyle w:val="276"/>
              <w:rPr>
                <w:color w:val="auto"/>
              </w:rPr>
            </w:pPr>
            <w:r>
              <w:rPr>
                <w:rFonts w:hint="eastAsia"/>
                <w:color w:val="auto"/>
              </w:rPr>
              <w:t>纬度</w:t>
            </w:r>
          </w:p>
        </w:tc>
        <w:tc>
          <w:tcPr>
            <w:tcW w:w="1114" w:type="pct"/>
            <w:tcBorders>
              <w:top w:val="single" w:color="auto" w:sz="4" w:space="0"/>
              <w:left w:val="single" w:color="auto" w:sz="4" w:space="0"/>
              <w:bottom w:val="single" w:color="auto" w:sz="4" w:space="0"/>
              <w:right w:val="single" w:color="auto" w:sz="4" w:space="0"/>
            </w:tcBorders>
            <w:noWrap/>
            <w:vAlign w:val="center"/>
          </w:tcPr>
          <w:p w14:paraId="0C61D912">
            <w:pPr>
              <w:pStyle w:val="276"/>
              <w:rPr>
                <w:rFonts w:hint="eastAsia" w:eastAsia="宋体"/>
                <w:color w:val="auto"/>
                <w:lang w:eastAsia="zh-CN"/>
              </w:rPr>
            </w:pPr>
            <w:r>
              <w:rPr>
                <w:rFonts w:hint="eastAsia"/>
                <w:color w:val="auto"/>
                <w:lang w:eastAsia="zh-CN"/>
              </w:rPr>
              <w:t>地面高程（</w:t>
            </w:r>
            <w:r>
              <w:rPr>
                <w:rFonts w:hint="eastAsia"/>
                <w:color w:val="auto"/>
                <w:lang w:val="en-US" w:eastAsia="zh-CN"/>
              </w:rPr>
              <w:t>m</w:t>
            </w:r>
            <w:r>
              <w:rPr>
                <w:rFonts w:hint="eastAsia"/>
                <w:color w:val="auto"/>
                <w:lang w:eastAsia="zh-CN"/>
              </w:rPr>
              <w:t>）</w:t>
            </w:r>
          </w:p>
        </w:tc>
        <w:tc>
          <w:tcPr>
            <w:tcW w:w="1114" w:type="pct"/>
            <w:tcBorders>
              <w:top w:val="single" w:color="auto" w:sz="4" w:space="0"/>
              <w:left w:val="single" w:color="auto" w:sz="4" w:space="0"/>
              <w:bottom w:val="single" w:color="auto" w:sz="4" w:space="0"/>
              <w:right w:val="single" w:color="auto" w:sz="4" w:space="0"/>
            </w:tcBorders>
            <w:noWrap/>
            <w:vAlign w:val="center"/>
          </w:tcPr>
          <w:p w14:paraId="202DFE98">
            <w:pPr>
              <w:pStyle w:val="276"/>
              <w:rPr>
                <w:color w:val="auto"/>
              </w:rPr>
            </w:pPr>
            <w:r>
              <w:rPr>
                <w:rFonts w:hint="eastAsia"/>
                <w:color w:val="auto"/>
              </w:rPr>
              <w:t>水位（m）</w:t>
            </w:r>
          </w:p>
        </w:tc>
      </w:tr>
      <w:tr w14:paraId="1C348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BCACBFB">
            <w:pPr>
              <w:pStyle w:val="276"/>
              <w:rPr>
                <w:color w:val="auto"/>
              </w:rPr>
            </w:pPr>
            <w:r>
              <w:rPr>
                <w:rFonts w:hint="eastAsia"/>
                <w:color w:val="auto"/>
              </w:rPr>
              <w:t>DS1</w:t>
            </w:r>
          </w:p>
        </w:tc>
        <w:tc>
          <w:tcPr>
            <w:tcW w:w="443" w:type="pct"/>
            <w:tcBorders>
              <w:top w:val="single" w:color="auto" w:sz="4" w:space="0"/>
              <w:left w:val="single" w:color="auto" w:sz="4" w:space="0"/>
              <w:bottom w:val="single" w:color="auto" w:sz="4" w:space="0"/>
              <w:right w:val="single" w:color="auto" w:sz="4" w:space="0"/>
            </w:tcBorders>
            <w:shd w:val="clear" w:color="auto" w:fill="auto"/>
            <w:vAlign w:val="center"/>
          </w:tcPr>
          <w:p w14:paraId="1E2EE823">
            <w:pPr>
              <w:pStyle w:val="276"/>
              <w:rPr>
                <w:color w:val="auto"/>
              </w:rPr>
            </w:pPr>
            <w:r>
              <w:rPr>
                <w:rFonts w:hint="eastAsia"/>
                <w:color w:val="auto"/>
              </w:rPr>
              <w:t>机井</w:t>
            </w:r>
          </w:p>
        </w:tc>
        <w:tc>
          <w:tcPr>
            <w:tcW w:w="87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78A4A06">
            <w:pPr>
              <w:pStyle w:val="276"/>
              <w:rPr>
                <w:color w:val="auto"/>
                <w:lang w:val="en-US"/>
              </w:rPr>
            </w:pPr>
            <w:r>
              <w:rPr>
                <w:rFonts w:hint="eastAsia"/>
                <w:color w:val="auto"/>
                <w:lang w:val="en-US"/>
              </w:rPr>
              <w:t>108.011382</w:t>
            </w:r>
          </w:p>
        </w:tc>
        <w:tc>
          <w:tcPr>
            <w:tcW w:w="826" w:type="pct"/>
            <w:tcBorders>
              <w:top w:val="single" w:color="auto" w:sz="4" w:space="0"/>
              <w:left w:val="single" w:color="auto" w:sz="4" w:space="0"/>
              <w:bottom w:val="single" w:color="auto" w:sz="4" w:space="0"/>
              <w:right w:val="single" w:color="auto" w:sz="4" w:space="0"/>
            </w:tcBorders>
            <w:shd w:val="clear" w:color="auto" w:fill="auto"/>
            <w:vAlign w:val="center"/>
          </w:tcPr>
          <w:p w14:paraId="28252C90">
            <w:pPr>
              <w:pStyle w:val="276"/>
              <w:rPr>
                <w:color w:val="auto"/>
                <w:lang w:val="en-US"/>
              </w:rPr>
            </w:pPr>
            <w:r>
              <w:rPr>
                <w:rFonts w:hint="eastAsia"/>
                <w:color w:val="auto"/>
                <w:lang w:val="en-US"/>
              </w:rPr>
              <w:t>30.216929</w:t>
            </w:r>
          </w:p>
        </w:tc>
        <w:tc>
          <w:tcPr>
            <w:tcW w:w="1114" w:type="pct"/>
            <w:tcBorders>
              <w:top w:val="single" w:color="auto" w:sz="4" w:space="0"/>
              <w:left w:val="single" w:color="auto" w:sz="4" w:space="0"/>
              <w:bottom w:val="single" w:color="auto" w:sz="4" w:space="0"/>
              <w:right w:val="single" w:color="auto" w:sz="4" w:space="0"/>
            </w:tcBorders>
            <w:shd w:val="clear" w:color="auto" w:fill="auto"/>
            <w:noWrap/>
          </w:tcPr>
          <w:p w14:paraId="5C3E751D">
            <w:pPr>
              <w:pStyle w:val="276"/>
              <w:rPr>
                <w:rFonts w:hint="default"/>
                <w:color w:val="auto"/>
                <w:lang w:val="en-US" w:eastAsia="zh-CN"/>
              </w:rPr>
            </w:pPr>
            <w:r>
              <w:rPr>
                <w:rFonts w:hint="eastAsia"/>
                <w:color w:val="auto"/>
                <w:lang w:val="en-US" w:eastAsia="zh-CN"/>
              </w:rPr>
              <w:t>180.42</w:t>
            </w:r>
          </w:p>
        </w:tc>
        <w:tc>
          <w:tcPr>
            <w:tcW w:w="1114" w:type="pct"/>
            <w:tcBorders>
              <w:top w:val="single" w:color="auto" w:sz="4" w:space="0"/>
              <w:left w:val="single" w:color="auto" w:sz="4" w:space="0"/>
              <w:bottom w:val="single" w:color="auto" w:sz="4" w:space="0"/>
              <w:right w:val="single" w:color="auto" w:sz="4" w:space="0"/>
            </w:tcBorders>
            <w:shd w:val="clear" w:color="auto" w:fill="auto"/>
            <w:noWrap/>
          </w:tcPr>
          <w:p w14:paraId="50871F53">
            <w:pPr>
              <w:pStyle w:val="276"/>
              <w:rPr>
                <w:rFonts w:hint="default"/>
                <w:color w:val="auto"/>
                <w:lang w:val="en-US" w:eastAsia="zh-CN"/>
              </w:rPr>
            </w:pPr>
            <w:r>
              <w:rPr>
                <w:rFonts w:hint="eastAsia"/>
                <w:color w:val="auto"/>
                <w:lang w:val="en-US" w:eastAsia="zh-CN"/>
              </w:rPr>
              <w:t>7.0</w:t>
            </w:r>
          </w:p>
        </w:tc>
      </w:tr>
      <w:tr w14:paraId="5FF04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CD99359">
            <w:pPr>
              <w:pStyle w:val="276"/>
              <w:rPr>
                <w:color w:val="auto"/>
              </w:rPr>
            </w:pPr>
            <w:r>
              <w:rPr>
                <w:rFonts w:hint="eastAsia"/>
                <w:color w:val="auto"/>
              </w:rPr>
              <w:t>DS2</w:t>
            </w:r>
          </w:p>
        </w:tc>
        <w:tc>
          <w:tcPr>
            <w:tcW w:w="443" w:type="pct"/>
            <w:tcBorders>
              <w:top w:val="single" w:color="auto" w:sz="4" w:space="0"/>
              <w:left w:val="single" w:color="auto" w:sz="4" w:space="0"/>
              <w:bottom w:val="single" w:color="auto" w:sz="4" w:space="0"/>
              <w:right w:val="single" w:color="auto" w:sz="4" w:space="0"/>
            </w:tcBorders>
            <w:shd w:val="clear" w:color="auto" w:fill="auto"/>
            <w:vAlign w:val="center"/>
          </w:tcPr>
          <w:p w14:paraId="74FD3603">
            <w:pPr>
              <w:pStyle w:val="276"/>
              <w:rPr>
                <w:color w:val="auto"/>
              </w:rPr>
            </w:pPr>
            <w:r>
              <w:rPr>
                <w:rFonts w:hint="eastAsia"/>
                <w:color w:val="auto"/>
              </w:rPr>
              <w:t>机井</w:t>
            </w:r>
          </w:p>
        </w:tc>
        <w:tc>
          <w:tcPr>
            <w:tcW w:w="87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3AC46CB">
            <w:pPr>
              <w:pStyle w:val="276"/>
              <w:rPr>
                <w:color w:val="auto"/>
              </w:rPr>
            </w:pPr>
            <w:r>
              <w:rPr>
                <w:rFonts w:hint="eastAsia"/>
                <w:color w:val="auto"/>
              </w:rPr>
              <w:t>108.010888</w:t>
            </w:r>
          </w:p>
        </w:tc>
        <w:tc>
          <w:tcPr>
            <w:tcW w:w="826" w:type="pct"/>
            <w:tcBorders>
              <w:top w:val="single" w:color="auto" w:sz="4" w:space="0"/>
              <w:left w:val="single" w:color="auto" w:sz="4" w:space="0"/>
              <w:bottom w:val="single" w:color="auto" w:sz="4" w:space="0"/>
              <w:right w:val="single" w:color="auto" w:sz="4" w:space="0"/>
            </w:tcBorders>
            <w:shd w:val="clear" w:color="auto" w:fill="auto"/>
            <w:vAlign w:val="center"/>
          </w:tcPr>
          <w:p w14:paraId="191BAB42">
            <w:pPr>
              <w:pStyle w:val="276"/>
              <w:rPr>
                <w:color w:val="auto"/>
              </w:rPr>
            </w:pPr>
            <w:r>
              <w:rPr>
                <w:rFonts w:hint="eastAsia"/>
                <w:color w:val="auto"/>
              </w:rPr>
              <w:t>30.217969</w:t>
            </w:r>
          </w:p>
        </w:tc>
        <w:tc>
          <w:tcPr>
            <w:tcW w:w="1114" w:type="pct"/>
            <w:tcBorders>
              <w:top w:val="single" w:color="auto" w:sz="4" w:space="0"/>
              <w:left w:val="single" w:color="auto" w:sz="4" w:space="0"/>
              <w:bottom w:val="single" w:color="auto" w:sz="4" w:space="0"/>
              <w:right w:val="single" w:color="auto" w:sz="4" w:space="0"/>
            </w:tcBorders>
            <w:shd w:val="clear" w:color="auto" w:fill="auto"/>
            <w:noWrap/>
          </w:tcPr>
          <w:p w14:paraId="12F3AA0D">
            <w:pPr>
              <w:pStyle w:val="276"/>
              <w:rPr>
                <w:rFonts w:hint="default"/>
                <w:color w:val="auto"/>
                <w:lang w:val="en-US" w:eastAsia="zh-CN"/>
              </w:rPr>
            </w:pPr>
            <w:r>
              <w:rPr>
                <w:rFonts w:hint="eastAsia"/>
                <w:color w:val="auto"/>
                <w:lang w:val="en-US" w:eastAsia="zh-CN"/>
              </w:rPr>
              <w:t>180.58</w:t>
            </w:r>
          </w:p>
        </w:tc>
        <w:tc>
          <w:tcPr>
            <w:tcW w:w="1114" w:type="pct"/>
            <w:tcBorders>
              <w:top w:val="single" w:color="auto" w:sz="4" w:space="0"/>
              <w:left w:val="single" w:color="auto" w:sz="4" w:space="0"/>
              <w:bottom w:val="single" w:color="auto" w:sz="4" w:space="0"/>
              <w:right w:val="single" w:color="auto" w:sz="4" w:space="0"/>
            </w:tcBorders>
            <w:shd w:val="clear" w:color="auto" w:fill="auto"/>
            <w:noWrap/>
          </w:tcPr>
          <w:p w14:paraId="260EB98A">
            <w:pPr>
              <w:pStyle w:val="276"/>
              <w:rPr>
                <w:rFonts w:hint="default"/>
                <w:color w:val="auto"/>
                <w:lang w:val="en-US" w:eastAsia="zh-CN"/>
              </w:rPr>
            </w:pPr>
            <w:r>
              <w:rPr>
                <w:rFonts w:hint="eastAsia"/>
                <w:color w:val="auto"/>
                <w:lang w:val="en-US" w:eastAsia="zh-CN"/>
              </w:rPr>
              <w:t>9.8</w:t>
            </w:r>
          </w:p>
        </w:tc>
      </w:tr>
      <w:tr w14:paraId="73566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A591FF6">
            <w:pPr>
              <w:pStyle w:val="276"/>
              <w:rPr>
                <w:color w:val="auto"/>
              </w:rPr>
            </w:pPr>
            <w:r>
              <w:rPr>
                <w:rFonts w:hint="eastAsia"/>
                <w:color w:val="auto"/>
              </w:rPr>
              <w:t>DS3</w:t>
            </w:r>
          </w:p>
        </w:tc>
        <w:tc>
          <w:tcPr>
            <w:tcW w:w="443" w:type="pct"/>
            <w:tcBorders>
              <w:top w:val="single" w:color="auto" w:sz="4" w:space="0"/>
              <w:left w:val="single" w:color="auto" w:sz="4" w:space="0"/>
              <w:bottom w:val="single" w:color="auto" w:sz="4" w:space="0"/>
              <w:right w:val="single" w:color="auto" w:sz="4" w:space="0"/>
            </w:tcBorders>
            <w:shd w:val="clear" w:color="auto" w:fill="auto"/>
            <w:vAlign w:val="center"/>
          </w:tcPr>
          <w:p w14:paraId="0BC73ED5">
            <w:pPr>
              <w:pStyle w:val="276"/>
              <w:rPr>
                <w:color w:val="auto"/>
              </w:rPr>
            </w:pPr>
            <w:r>
              <w:rPr>
                <w:rFonts w:hint="eastAsia"/>
                <w:color w:val="auto"/>
              </w:rPr>
              <w:t>机井</w:t>
            </w:r>
          </w:p>
        </w:tc>
        <w:tc>
          <w:tcPr>
            <w:tcW w:w="87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9EB2232">
            <w:pPr>
              <w:pStyle w:val="276"/>
              <w:rPr>
                <w:color w:val="auto"/>
                <w:lang w:val="en-US"/>
              </w:rPr>
            </w:pPr>
            <w:r>
              <w:rPr>
                <w:rFonts w:hint="eastAsia"/>
                <w:color w:val="auto"/>
                <w:lang w:val="en-US"/>
              </w:rPr>
              <w:t>108.010352</w:t>
            </w:r>
          </w:p>
        </w:tc>
        <w:tc>
          <w:tcPr>
            <w:tcW w:w="826" w:type="pct"/>
            <w:tcBorders>
              <w:top w:val="single" w:color="auto" w:sz="4" w:space="0"/>
              <w:left w:val="single" w:color="auto" w:sz="4" w:space="0"/>
              <w:bottom w:val="single" w:color="auto" w:sz="4" w:space="0"/>
              <w:right w:val="single" w:color="auto" w:sz="4" w:space="0"/>
            </w:tcBorders>
            <w:shd w:val="clear" w:color="auto" w:fill="auto"/>
            <w:vAlign w:val="center"/>
          </w:tcPr>
          <w:p w14:paraId="685FAA4C">
            <w:pPr>
              <w:pStyle w:val="276"/>
              <w:rPr>
                <w:color w:val="auto"/>
                <w:lang w:val="en-US"/>
              </w:rPr>
            </w:pPr>
            <w:r>
              <w:rPr>
                <w:rFonts w:hint="eastAsia"/>
                <w:color w:val="auto"/>
                <w:lang w:val="en-US"/>
              </w:rPr>
              <w:t>30.217647</w:t>
            </w:r>
          </w:p>
        </w:tc>
        <w:tc>
          <w:tcPr>
            <w:tcW w:w="1114" w:type="pct"/>
            <w:tcBorders>
              <w:top w:val="single" w:color="auto" w:sz="4" w:space="0"/>
              <w:left w:val="single" w:color="auto" w:sz="4" w:space="0"/>
              <w:bottom w:val="single" w:color="auto" w:sz="4" w:space="0"/>
              <w:right w:val="single" w:color="auto" w:sz="4" w:space="0"/>
            </w:tcBorders>
            <w:shd w:val="clear" w:color="auto" w:fill="auto"/>
            <w:noWrap/>
          </w:tcPr>
          <w:p w14:paraId="042DA04A">
            <w:pPr>
              <w:pStyle w:val="276"/>
              <w:rPr>
                <w:rFonts w:hint="default"/>
                <w:color w:val="auto"/>
                <w:lang w:val="en-US" w:eastAsia="zh-CN"/>
              </w:rPr>
            </w:pPr>
            <w:r>
              <w:rPr>
                <w:rFonts w:hint="eastAsia"/>
                <w:color w:val="auto"/>
                <w:lang w:val="en-US" w:eastAsia="zh-CN"/>
              </w:rPr>
              <w:t>180.35</w:t>
            </w:r>
          </w:p>
        </w:tc>
        <w:tc>
          <w:tcPr>
            <w:tcW w:w="1114" w:type="pct"/>
            <w:tcBorders>
              <w:top w:val="single" w:color="auto" w:sz="4" w:space="0"/>
              <w:left w:val="single" w:color="auto" w:sz="4" w:space="0"/>
              <w:bottom w:val="single" w:color="auto" w:sz="4" w:space="0"/>
              <w:right w:val="single" w:color="auto" w:sz="4" w:space="0"/>
            </w:tcBorders>
            <w:shd w:val="clear" w:color="auto" w:fill="auto"/>
            <w:noWrap/>
          </w:tcPr>
          <w:p w14:paraId="221ABF1D">
            <w:pPr>
              <w:pStyle w:val="276"/>
              <w:rPr>
                <w:rFonts w:hint="default"/>
                <w:color w:val="auto"/>
                <w:lang w:val="en-US" w:eastAsia="zh-CN"/>
              </w:rPr>
            </w:pPr>
            <w:r>
              <w:rPr>
                <w:rFonts w:hint="eastAsia"/>
                <w:color w:val="auto"/>
                <w:lang w:val="en-US" w:eastAsia="zh-CN"/>
              </w:rPr>
              <w:t>6.8</w:t>
            </w:r>
          </w:p>
        </w:tc>
      </w:tr>
      <w:tr w14:paraId="28DA6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716C733">
            <w:pPr>
              <w:pStyle w:val="276"/>
              <w:rPr>
                <w:color w:val="auto"/>
              </w:rPr>
            </w:pPr>
            <w:r>
              <w:rPr>
                <w:rFonts w:hint="eastAsia"/>
                <w:color w:val="auto"/>
              </w:rPr>
              <w:t>DS4</w:t>
            </w:r>
          </w:p>
        </w:tc>
        <w:tc>
          <w:tcPr>
            <w:tcW w:w="443" w:type="pct"/>
            <w:tcBorders>
              <w:top w:val="single" w:color="auto" w:sz="4" w:space="0"/>
              <w:left w:val="single" w:color="auto" w:sz="4" w:space="0"/>
              <w:bottom w:val="single" w:color="auto" w:sz="4" w:space="0"/>
              <w:right w:val="single" w:color="auto" w:sz="4" w:space="0"/>
            </w:tcBorders>
            <w:shd w:val="clear" w:color="auto" w:fill="auto"/>
            <w:vAlign w:val="center"/>
          </w:tcPr>
          <w:p w14:paraId="2D9B14F2">
            <w:pPr>
              <w:pStyle w:val="276"/>
              <w:rPr>
                <w:color w:val="auto"/>
              </w:rPr>
            </w:pPr>
            <w:r>
              <w:rPr>
                <w:rFonts w:hint="eastAsia"/>
                <w:color w:val="auto"/>
              </w:rPr>
              <w:t>机井</w:t>
            </w:r>
          </w:p>
        </w:tc>
        <w:tc>
          <w:tcPr>
            <w:tcW w:w="87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8D0D8A7">
            <w:pPr>
              <w:pStyle w:val="276"/>
              <w:rPr>
                <w:color w:val="auto"/>
                <w:lang w:val="en-US"/>
              </w:rPr>
            </w:pPr>
            <w:r>
              <w:rPr>
                <w:rFonts w:hint="eastAsia"/>
                <w:color w:val="auto"/>
                <w:lang w:val="en-US"/>
              </w:rPr>
              <w:t>108.046787</w:t>
            </w:r>
          </w:p>
        </w:tc>
        <w:tc>
          <w:tcPr>
            <w:tcW w:w="826" w:type="pct"/>
            <w:tcBorders>
              <w:top w:val="single" w:color="auto" w:sz="4" w:space="0"/>
              <w:left w:val="single" w:color="auto" w:sz="4" w:space="0"/>
              <w:bottom w:val="single" w:color="auto" w:sz="4" w:space="0"/>
              <w:right w:val="single" w:color="auto" w:sz="4" w:space="0"/>
            </w:tcBorders>
            <w:shd w:val="clear" w:color="auto" w:fill="auto"/>
            <w:vAlign w:val="center"/>
          </w:tcPr>
          <w:p w14:paraId="42A1D69C">
            <w:pPr>
              <w:pStyle w:val="276"/>
              <w:rPr>
                <w:color w:val="auto"/>
                <w:lang w:val="en-US"/>
              </w:rPr>
            </w:pPr>
            <w:r>
              <w:rPr>
                <w:rFonts w:hint="eastAsia"/>
                <w:color w:val="auto"/>
                <w:lang w:val="en-US"/>
              </w:rPr>
              <w:t>30.226338</w:t>
            </w:r>
          </w:p>
        </w:tc>
        <w:tc>
          <w:tcPr>
            <w:tcW w:w="1114" w:type="pct"/>
            <w:tcBorders>
              <w:top w:val="single" w:color="auto" w:sz="4" w:space="0"/>
              <w:left w:val="single" w:color="auto" w:sz="4" w:space="0"/>
              <w:bottom w:val="single" w:color="auto" w:sz="4" w:space="0"/>
              <w:right w:val="single" w:color="auto" w:sz="4" w:space="0"/>
            </w:tcBorders>
            <w:shd w:val="clear" w:color="auto" w:fill="auto"/>
            <w:noWrap/>
          </w:tcPr>
          <w:p w14:paraId="5575D217">
            <w:pPr>
              <w:pStyle w:val="276"/>
              <w:rPr>
                <w:rFonts w:hint="eastAsia"/>
                <w:color w:val="auto"/>
                <w:lang w:val="en-US"/>
              </w:rPr>
            </w:pPr>
            <w:r>
              <w:rPr>
                <w:rFonts w:hint="eastAsia"/>
                <w:color w:val="auto"/>
                <w:lang w:val="en-US"/>
              </w:rPr>
              <w:t>318.85</w:t>
            </w:r>
          </w:p>
        </w:tc>
        <w:tc>
          <w:tcPr>
            <w:tcW w:w="1114" w:type="pct"/>
            <w:tcBorders>
              <w:top w:val="single" w:color="auto" w:sz="4" w:space="0"/>
              <w:left w:val="single" w:color="auto" w:sz="4" w:space="0"/>
              <w:bottom w:val="single" w:color="auto" w:sz="4" w:space="0"/>
              <w:right w:val="single" w:color="auto" w:sz="4" w:space="0"/>
            </w:tcBorders>
            <w:shd w:val="clear" w:color="auto" w:fill="auto"/>
            <w:noWrap/>
          </w:tcPr>
          <w:p w14:paraId="0D600330">
            <w:pPr>
              <w:pStyle w:val="276"/>
              <w:rPr>
                <w:rFonts w:hint="default" w:eastAsia="宋体"/>
                <w:color w:val="auto"/>
                <w:lang w:val="en-US" w:eastAsia="zh-CN"/>
              </w:rPr>
            </w:pPr>
            <w:r>
              <w:rPr>
                <w:rFonts w:hint="eastAsia"/>
                <w:color w:val="auto"/>
                <w:lang w:val="en-US" w:eastAsia="zh-CN"/>
              </w:rPr>
              <w:t>15.3</w:t>
            </w:r>
          </w:p>
        </w:tc>
      </w:tr>
      <w:tr w14:paraId="53E52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4B505A1">
            <w:pPr>
              <w:pStyle w:val="276"/>
              <w:rPr>
                <w:color w:val="auto"/>
              </w:rPr>
            </w:pPr>
            <w:r>
              <w:rPr>
                <w:rFonts w:hint="eastAsia"/>
                <w:color w:val="auto"/>
              </w:rPr>
              <w:t>DS5</w:t>
            </w:r>
          </w:p>
        </w:tc>
        <w:tc>
          <w:tcPr>
            <w:tcW w:w="443" w:type="pct"/>
            <w:tcBorders>
              <w:top w:val="single" w:color="auto" w:sz="4" w:space="0"/>
              <w:left w:val="single" w:color="auto" w:sz="4" w:space="0"/>
              <w:bottom w:val="single" w:color="auto" w:sz="4" w:space="0"/>
              <w:right w:val="single" w:color="auto" w:sz="4" w:space="0"/>
            </w:tcBorders>
            <w:shd w:val="clear" w:color="auto" w:fill="auto"/>
            <w:vAlign w:val="center"/>
          </w:tcPr>
          <w:p w14:paraId="2F04BEE3">
            <w:pPr>
              <w:pStyle w:val="276"/>
              <w:rPr>
                <w:color w:val="auto"/>
              </w:rPr>
            </w:pPr>
            <w:r>
              <w:rPr>
                <w:rFonts w:hint="eastAsia"/>
                <w:color w:val="auto"/>
              </w:rPr>
              <w:t>机井</w:t>
            </w:r>
          </w:p>
        </w:tc>
        <w:tc>
          <w:tcPr>
            <w:tcW w:w="87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512F65C">
            <w:pPr>
              <w:pStyle w:val="276"/>
              <w:rPr>
                <w:color w:val="auto"/>
                <w:lang w:val="en-US"/>
              </w:rPr>
            </w:pPr>
            <w:r>
              <w:rPr>
                <w:rFonts w:hint="eastAsia"/>
                <w:color w:val="auto"/>
                <w:lang w:val="en-US"/>
              </w:rPr>
              <w:t>108.027400</w:t>
            </w:r>
          </w:p>
        </w:tc>
        <w:tc>
          <w:tcPr>
            <w:tcW w:w="826" w:type="pct"/>
            <w:tcBorders>
              <w:top w:val="single" w:color="auto" w:sz="4" w:space="0"/>
              <w:left w:val="single" w:color="auto" w:sz="4" w:space="0"/>
              <w:bottom w:val="single" w:color="auto" w:sz="4" w:space="0"/>
              <w:right w:val="single" w:color="auto" w:sz="4" w:space="0"/>
            </w:tcBorders>
            <w:shd w:val="clear" w:color="auto" w:fill="auto"/>
            <w:vAlign w:val="center"/>
          </w:tcPr>
          <w:p w14:paraId="4157AF3C">
            <w:pPr>
              <w:pStyle w:val="276"/>
              <w:rPr>
                <w:color w:val="auto"/>
                <w:lang w:val="en-US"/>
              </w:rPr>
            </w:pPr>
            <w:r>
              <w:rPr>
                <w:rFonts w:hint="eastAsia"/>
                <w:color w:val="auto"/>
                <w:lang w:val="en-US"/>
              </w:rPr>
              <w:t>30.206114</w:t>
            </w:r>
          </w:p>
        </w:tc>
        <w:tc>
          <w:tcPr>
            <w:tcW w:w="1114" w:type="pct"/>
            <w:tcBorders>
              <w:top w:val="single" w:color="auto" w:sz="4" w:space="0"/>
              <w:left w:val="single" w:color="auto" w:sz="4" w:space="0"/>
              <w:bottom w:val="single" w:color="auto" w:sz="4" w:space="0"/>
              <w:right w:val="single" w:color="auto" w:sz="4" w:space="0"/>
            </w:tcBorders>
            <w:shd w:val="clear" w:color="auto" w:fill="auto"/>
            <w:noWrap/>
          </w:tcPr>
          <w:p w14:paraId="34D299BF">
            <w:pPr>
              <w:pStyle w:val="276"/>
              <w:rPr>
                <w:rFonts w:hint="eastAsia"/>
                <w:color w:val="auto"/>
                <w:lang w:val="en-US"/>
              </w:rPr>
            </w:pPr>
            <w:r>
              <w:rPr>
                <w:rFonts w:hint="eastAsia"/>
                <w:color w:val="auto"/>
                <w:lang w:val="en-US" w:eastAsia="zh-CN"/>
              </w:rPr>
              <w:t>3</w:t>
            </w:r>
            <w:r>
              <w:rPr>
                <w:rFonts w:hint="eastAsia"/>
                <w:color w:val="auto"/>
                <w:lang w:val="en-US"/>
              </w:rPr>
              <w:t>39.06</w:t>
            </w:r>
          </w:p>
        </w:tc>
        <w:tc>
          <w:tcPr>
            <w:tcW w:w="1114" w:type="pct"/>
            <w:tcBorders>
              <w:top w:val="single" w:color="auto" w:sz="4" w:space="0"/>
              <w:left w:val="single" w:color="auto" w:sz="4" w:space="0"/>
              <w:bottom w:val="single" w:color="auto" w:sz="4" w:space="0"/>
              <w:right w:val="single" w:color="auto" w:sz="4" w:space="0"/>
            </w:tcBorders>
            <w:shd w:val="clear" w:color="auto" w:fill="auto"/>
            <w:noWrap/>
          </w:tcPr>
          <w:p w14:paraId="72F22F45">
            <w:pPr>
              <w:pStyle w:val="276"/>
              <w:rPr>
                <w:rFonts w:hint="default" w:eastAsia="宋体"/>
                <w:color w:val="auto"/>
                <w:lang w:val="en-US" w:eastAsia="zh-CN"/>
              </w:rPr>
            </w:pPr>
            <w:r>
              <w:rPr>
                <w:rFonts w:hint="eastAsia"/>
                <w:color w:val="auto"/>
                <w:lang w:val="en-US" w:eastAsia="zh-CN"/>
              </w:rPr>
              <w:t>21.0</w:t>
            </w:r>
          </w:p>
        </w:tc>
      </w:tr>
      <w:tr w14:paraId="4C0B8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5A00E23">
            <w:pPr>
              <w:pStyle w:val="276"/>
              <w:rPr>
                <w:color w:val="auto"/>
              </w:rPr>
            </w:pPr>
            <w:r>
              <w:rPr>
                <w:rFonts w:hint="eastAsia"/>
                <w:color w:val="auto"/>
              </w:rPr>
              <w:t>DS6</w:t>
            </w:r>
          </w:p>
        </w:tc>
        <w:tc>
          <w:tcPr>
            <w:tcW w:w="443" w:type="pct"/>
            <w:tcBorders>
              <w:top w:val="single" w:color="auto" w:sz="4" w:space="0"/>
              <w:left w:val="single" w:color="auto" w:sz="4" w:space="0"/>
              <w:bottom w:val="single" w:color="auto" w:sz="4" w:space="0"/>
              <w:right w:val="single" w:color="auto" w:sz="4" w:space="0"/>
            </w:tcBorders>
            <w:shd w:val="clear" w:color="auto" w:fill="auto"/>
            <w:vAlign w:val="center"/>
          </w:tcPr>
          <w:p w14:paraId="2523A2FF">
            <w:pPr>
              <w:pStyle w:val="276"/>
              <w:rPr>
                <w:color w:val="auto"/>
              </w:rPr>
            </w:pPr>
            <w:r>
              <w:rPr>
                <w:rFonts w:hint="eastAsia"/>
                <w:color w:val="auto"/>
              </w:rPr>
              <w:t>机井</w:t>
            </w:r>
          </w:p>
        </w:tc>
        <w:tc>
          <w:tcPr>
            <w:tcW w:w="87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E52F541">
            <w:pPr>
              <w:pStyle w:val="276"/>
              <w:rPr>
                <w:color w:val="auto"/>
              </w:rPr>
            </w:pPr>
            <w:r>
              <w:rPr>
                <w:rFonts w:hint="eastAsia"/>
                <w:color w:val="auto"/>
              </w:rPr>
              <w:t>108.043000</w:t>
            </w:r>
          </w:p>
        </w:tc>
        <w:tc>
          <w:tcPr>
            <w:tcW w:w="826" w:type="pct"/>
            <w:tcBorders>
              <w:top w:val="single" w:color="auto" w:sz="4" w:space="0"/>
              <w:left w:val="single" w:color="auto" w:sz="4" w:space="0"/>
              <w:bottom w:val="single" w:color="auto" w:sz="4" w:space="0"/>
              <w:right w:val="single" w:color="auto" w:sz="4" w:space="0"/>
            </w:tcBorders>
            <w:shd w:val="clear" w:color="auto" w:fill="auto"/>
            <w:vAlign w:val="center"/>
          </w:tcPr>
          <w:p w14:paraId="27B6BE24">
            <w:pPr>
              <w:pStyle w:val="276"/>
              <w:rPr>
                <w:color w:val="auto"/>
              </w:rPr>
            </w:pPr>
            <w:r>
              <w:rPr>
                <w:rFonts w:hint="eastAsia"/>
                <w:color w:val="auto"/>
              </w:rPr>
              <w:t>30.228087</w:t>
            </w:r>
          </w:p>
        </w:tc>
        <w:tc>
          <w:tcPr>
            <w:tcW w:w="1114" w:type="pct"/>
            <w:tcBorders>
              <w:top w:val="single" w:color="auto" w:sz="4" w:space="0"/>
              <w:left w:val="single" w:color="auto" w:sz="4" w:space="0"/>
              <w:bottom w:val="single" w:color="auto" w:sz="4" w:space="0"/>
              <w:right w:val="single" w:color="auto" w:sz="4" w:space="0"/>
            </w:tcBorders>
            <w:shd w:val="clear" w:color="auto" w:fill="auto"/>
            <w:noWrap/>
          </w:tcPr>
          <w:p w14:paraId="68CE634E">
            <w:pPr>
              <w:pStyle w:val="276"/>
              <w:rPr>
                <w:rFonts w:hint="eastAsia"/>
                <w:color w:val="auto"/>
                <w:lang w:val="en-US"/>
              </w:rPr>
            </w:pPr>
            <w:r>
              <w:rPr>
                <w:rFonts w:hint="eastAsia"/>
                <w:color w:val="auto"/>
                <w:lang w:val="en-US"/>
              </w:rPr>
              <w:t>328.92</w:t>
            </w:r>
          </w:p>
        </w:tc>
        <w:tc>
          <w:tcPr>
            <w:tcW w:w="1114" w:type="pct"/>
            <w:tcBorders>
              <w:top w:val="single" w:color="auto" w:sz="4" w:space="0"/>
              <w:left w:val="single" w:color="auto" w:sz="4" w:space="0"/>
              <w:bottom w:val="single" w:color="auto" w:sz="4" w:space="0"/>
              <w:right w:val="single" w:color="auto" w:sz="4" w:space="0"/>
            </w:tcBorders>
            <w:shd w:val="clear" w:color="auto" w:fill="auto"/>
            <w:noWrap/>
          </w:tcPr>
          <w:p w14:paraId="3F300C0F">
            <w:pPr>
              <w:pStyle w:val="276"/>
              <w:rPr>
                <w:rFonts w:hint="default" w:eastAsia="宋体"/>
                <w:color w:val="auto"/>
                <w:lang w:val="en-US" w:eastAsia="zh-CN"/>
              </w:rPr>
            </w:pPr>
            <w:r>
              <w:rPr>
                <w:rFonts w:hint="eastAsia"/>
                <w:color w:val="auto"/>
                <w:lang w:val="en-US" w:eastAsia="zh-CN"/>
              </w:rPr>
              <w:t>14.8</w:t>
            </w:r>
          </w:p>
        </w:tc>
      </w:tr>
      <w:tr w14:paraId="74C50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BFA2274">
            <w:pPr>
              <w:pStyle w:val="276"/>
              <w:rPr>
                <w:color w:val="auto"/>
              </w:rPr>
            </w:pPr>
            <w:r>
              <w:rPr>
                <w:rFonts w:hint="eastAsia"/>
                <w:color w:val="auto"/>
              </w:rPr>
              <w:t>DS7</w:t>
            </w:r>
          </w:p>
        </w:tc>
        <w:tc>
          <w:tcPr>
            <w:tcW w:w="443" w:type="pct"/>
            <w:tcBorders>
              <w:top w:val="single" w:color="auto" w:sz="4" w:space="0"/>
              <w:left w:val="single" w:color="auto" w:sz="4" w:space="0"/>
              <w:bottom w:val="single" w:color="auto" w:sz="4" w:space="0"/>
              <w:right w:val="single" w:color="auto" w:sz="4" w:space="0"/>
            </w:tcBorders>
            <w:shd w:val="clear" w:color="auto" w:fill="auto"/>
            <w:vAlign w:val="center"/>
          </w:tcPr>
          <w:p w14:paraId="0589339B">
            <w:pPr>
              <w:pStyle w:val="276"/>
              <w:rPr>
                <w:color w:val="auto"/>
              </w:rPr>
            </w:pPr>
            <w:r>
              <w:rPr>
                <w:rFonts w:hint="eastAsia"/>
                <w:color w:val="auto"/>
              </w:rPr>
              <w:t>民井</w:t>
            </w:r>
          </w:p>
        </w:tc>
        <w:tc>
          <w:tcPr>
            <w:tcW w:w="87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13D5E60">
            <w:pPr>
              <w:pStyle w:val="276"/>
              <w:rPr>
                <w:color w:val="auto"/>
              </w:rPr>
            </w:pPr>
            <w:r>
              <w:rPr>
                <w:rFonts w:hint="eastAsia"/>
                <w:color w:val="auto"/>
              </w:rPr>
              <w:t>108.045875</w:t>
            </w:r>
          </w:p>
        </w:tc>
        <w:tc>
          <w:tcPr>
            <w:tcW w:w="826" w:type="pct"/>
            <w:tcBorders>
              <w:top w:val="single" w:color="auto" w:sz="4" w:space="0"/>
              <w:left w:val="single" w:color="auto" w:sz="4" w:space="0"/>
              <w:bottom w:val="single" w:color="auto" w:sz="4" w:space="0"/>
              <w:right w:val="single" w:color="auto" w:sz="4" w:space="0"/>
            </w:tcBorders>
            <w:shd w:val="clear" w:color="auto" w:fill="auto"/>
            <w:vAlign w:val="center"/>
          </w:tcPr>
          <w:p w14:paraId="40326A8A">
            <w:pPr>
              <w:pStyle w:val="276"/>
              <w:rPr>
                <w:color w:val="auto"/>
              </w:rPr>
            </w:pPr>
            <w:r>
              <w:rPr>
                <w:rFonts w:hint="eastAsia"/>
                <w:color w:val="auto"/>
              </w:rPr>
              <w:t>30.231649</w:t>
            </w:r>
          </w:p>
        </w:tc>
        <w:tc>
          <w:tcPr>
            <w:tcW w:w="1114" w:type="pct"/>
            <w:tcBorders>
              <w:top w:val="single" w:color="auto" w:sz="4" w:space="0"/>
              <w:left w:val="single" w:color="auto" w:sz="4" w:space="0"/>
              <w:bottom w:val="single" w:color="auto" w:sz="4" w:space="0"/>
              <w:right w:val="single" w:color="auto" w:sz="4" w:space="0"/>
            </w:tcBorders>
            <w:shd w:val="clear" w:color="auto" w:fill="auto"/>
            <w:noWrap/>
          </w:tcPr>
          <w:p w14:paraId="1C82BFE2">
            <w:pPr>
              <w:pStyle w:val="276"/>
              <w:rPr>
                <w:rFonts w:hint="eastAsia"/>
                <w:color w:val="auto"/>
                <w:lang w:val="en-US" w:eastAsia="zh-CN"/>
              </w:rPr>
            </w:pPr>
            <w:r>
              <w:rPr>
                <w:rFonts w:hint="eastAsia"/>
                <w:color w:val="auto"/>
                <w:lang w:val="en-US"/>
              </w:rPr>
              <w:t>298.5</w:t>
            </w:r>
            <w:r>
              <w:rPr>
                <w:rFonts w:hint="eastAsia"/>
                <w:color w:val="auto"/>
                <w:lang w:val="en-US" w:eastAsia="zh-CN"/>
              </w:rPr>
              <w:t>8</w:t>
            </w:r>
          </w:p>
        </w:tc>
        <w:tc>
          <w:tcPr>
            <w:tcW w:w="1114" w:type="pct"/>
            <w:tcBorders>
              <w:top w:val="single" w:color="auto" w:sz="4" w:space="0"/>
              <w:left w:val="single" w:color="auto" w:sz="4" w:space="0"/>
              <w:bottom w:val="single" w:color="auto" w:sz="4" w:space="0"/>
              <w:right w:val="single" w:color="auto" w:sz="4" w:space="0"/>
            </w:tcBorders>
            <w:shd w:val="clear" w:color="auto" w:fill="auto"/>
            <w:noWrap/>
          </w:tcPr>
          <w:p w14:paraId="0F74F457">
            <w:pPr>
              <w:pStyle w:val="276"/>
              <w:rPr>
                <w:rFonts w:hint="default" w:eastAsia="宋体"/>
                <w:color w:val="auto"/>
                <w:lang w:val="en-US" w:eastAsia="zh-CN"/>
              </w:rPr>
            </w:pPr>
            <w:r>
              <w:rPr>
                <w:rFonts w:hint="eastAsia"/>
                <w:color w:val="auto"/>
                <w:lang w:val="en-US" w:eastAsia="zh-CN"/>
              </w:rPr>
              <w:t>13.2</w:t>
            </w:r>
          </w:p>
        </w:tc>
      </w:tr>
      <w:tr w14:paraId="35350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4056D0B">
            <w:pPr>
              <w:pStyle w:val="276"/>
              <w:rPr>
                <w:color w:val="auto"/>
              </w:rPr>
            </w:pPr>
            <w:r>
              <w:rPr>
                <w:rFonts w:hint="eastAsia"/>
                <w:color w:val="auto"/>
              </w:rPr>
              <w:t>DS8</w:t>
            </w:r>
          </w:p>
        </w:tc>
        <w:tc>
          <w:tcPr>
            <w:tcW w:w="443" w:type="pct"/>
            <w:tcBorders>
              <w:top w:val="single" w:color="auto" w:sz="4" w:space="0"/>
              <w:left w:val="single" w:color="auto" w:sz="4" w:space="0"/>
              <w:bottom w:val="single" w:color="auto" w:sz="4" w:space="0"/>
              <w:right w:val="single" w:color="auto" w:sz="4" w:space="0"/>
            </w:tcBorders>
            <w:shd w:val="clear" w:color="auto" w:fill="auto"/>
            <w:vAlign w:val="center"/>
          </w:tcPr>
          <w:p w14:paraId="7CEEF991">
            <w:pPr>
              <w:pStyle w:val="276"/>
              <w:rPr>
                <w:color w:val="auto"/>
              </w:rPr>
            </w:pPr>
            <w:r>
              <w:rPr>
                <w:rFonts w:hint="eastAsia"/>
                <w:color w:val="auto"/>
              </w:rPr>
              <w:t>民井</w:t>
            </w:r>
          </w:p>
        </w:tc>
        <w:tc>
          <w:tcPr>
            <w:tcW w:w="87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36D875F">
            <w:pPr>
              <w:pStyle w:val="276"/>
              <w:rPr>
                <w:rFonts w:hint="eastAsia" w:eastAsia="宋体"/>
                <w:color w:val="auto"/>
                <w:lang w:val="en-US" w:eastAsia="zh-CN"/>
              </w:rPr>
            </w:pPr>
            <w:r>
              <w:rPr>
                <w:rFonts w:hint="eastAsia"/>
                <w:color w:val="auto"/>
              </w:rPr>
              <w:t>108.04999</w:t>
            </w:r>
            <w:r>
              <w:rPr>
                <w:rFonts w:hint="eastAsia"/>
                <w:color w:val="auto"/>
                <w:lang w:val="en-US" w:eastAsia="zh-CN"/>
              </w:rPr>
              <w:t>5</w:t>
            </w:r>
          </w:p>
        </w:tc>
        <w:tc>
          <w:tcPr>
            <w:tcW w:w="826" w:type="pct"/>
            <w:tcBorders>
              <w:top w:val="single" w:color="auto" w:sz="4" w:space="0"/>
              <w:left w:val="single" w:color="auto" w:sz="4" w:space="0"/>
              <w:bottom w:val="single" w:color="auto" w:sz="4" w:space="0"/>
              <w:right w:val="single" w:color="auto" w:sz="4" w:space="0"/>
            </w:tcBorders>
            <w:shd w:val="clear" w:color="auto" w:fill="auto"/>
            <w:vAlign w:val="center"/>
          </w:tcPr>
          <w:p w14:paraId="079CC307">
            <w:pPr>
              <w:pStyle w:val="276"/>
              <w:rPr>
                <w:color w:val="auto"/>
              </w:rPr>
            </w:pPr>
            <w:r>
              <w:rPr>
                <w:rFonts w:hint="eastAsia"/>
                <w:color w:val="auto"/>
              </w:rPr>
              <w:t>30.227765</w:t>
            </w:r>
          </w:p>
        </w:tc>
        <w:tc>
          <w:tcPr>
            <w:tcW w:w="1114" w:type="pct"/>
            <w:tcBorders>
              <w:top w:val="single" w:color="auto" w:sz="4" w:space="0"/>
              <w:left w:val="single" w:color="auto" w:sz="4" w:space="0"/>
              <w:bottom w:val="single" w:color="auto" w:sz="4" w:space="0"/>
              <w:right w:val="single" w:color="auto" w:sz="4" w:space="0"/>
            </w:tcBorders>
            <w:shd w:val="clear" w:color="auto" w:fill="auto"/>
            <w:noWrap/>
          </w:tcPr>
          <w:p w14:paraId="5D819BE4">
            <w:pPr>
              <w:pStyle w:val="276"/>
              <w:rPr>
                <w:rFonts w:hint="eastAsia"/>
                <w:color w:val="auto"/>
                <w:lang w:val="en-US" w:eastAsia="zh-CN"/>
              </w:rPr>
            </w:pPr>
            <w:r>
              <w:rPr>
                <w:rFonts w:hint="eastAsia"/>
                <w:color w:val="auto"/>
                <w:lang w:val="en-US"/>
              </w:rPr>
              <w:t>319.0</w:t>
            </w:r>
            <w:r>
              <w:rPr>
                <w:rFonts w:hint="eastAsia"/>
                <w:color w:val="auto"/>
                <w:lang w:val="en-US" w:eastAsia="zh-CN"/>
              </w:rPr>
              <w:t>1</w:t>
            </w:r>
          </w:p>
        </w:tc>
        <w:tc>
          <w:tcPr>
            <w:tcW w:w="1114" w:type="pct"/>
            <w:tcBorders>
              <w:top w:val="single" w:color="auto" w:sz="4" w:space="0"/>
              <w:left w:val="single" w:color="auto" w:sz="4" w:space="0"/>
              <w:bottom w:val="single" w:color="auto" w:sz="4" w:space="0"/>
              <w:right w:val="single" w:color="auto" w:sz="4" w:space="0"/>
            </w:tcBorders>
            <w:shd w:val="clear" w:color="auto" w:fill="auto"/>
            <w:noWrap/>
          </w:tcPr>
          <w:p w14:paraId="52198799">
            <w:pPr>
              <w:pStyle w:val="276"/>
              <w:rPr>
                <w:rFonts w:hint="default" w:eastAsia="宋体"/>
                <w:color w:val="auto"/>
                <w:lang w:val="en-US" w:eastAsia="zh-CN"/>
              </w:rPr>
            </w:pPr>
            <w:r>
              <w:rPr>
                <w:rFonts w:hint="eastAsia"/>
                <w:color w:val="auto"/>
                <w:lang w:val="en-US" w:eastAsia="zh-CN"/>
              </w:rPr>
              <w:t>16.2</w:t>
            </w:r>
          </w:p>
        </w:tc>
      </w:tr>
      <w:tr w14:paraId="13EF4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E21F81D">
            <w:pPr>
              <w:pStyle w:val="276"/>
              <w:rPr>
                <w:color w:val="auto"/>
              </w:rPr>
            </w:pPr>
            <w:r>
              <w:rPr>
                <w:rFonts w:hint="eastAsia"/>
                <w:color w:val="auto"/>
              </w:rPr>
              <w:t>DS9</w:t>
            </w:r>
          </w:p>
        </w:tc>
        <w:tc>
          <w:tcPr>
            <w:tcW w:w="443" w:type="pct"/>
            <w:tcBorders>
              <w:top w:val="single" w:color="auto" w:sz="4" w:space="0"/>
              <w:left w:val="single" w:color="auto" w:sz="4" w:space="0"/>
              <w:bottom w:val="single" w:color="auto" w:sz="4" w:space="0"/>
              <w:right w:val="single" w:color="auto" w:sz="4" w:space="0"/>
            </w:tcBorders>
            <w:shd w:val="clear" w:color="auto" w:fill="auto"/>
            <w:vAlign w:val="center"/>
          </w:tcPr>
          <w:p w14:paraId="690FBB09">
            <w:pPr>
              <w:pStyle w:val="276"/>
              <w:rPr>
                <w:color w:val="auto"/>
              </w:rPr>
            </w:pPr>
            <w:r>
              <w:rPr>
                <w:rFonts w:hint="eastAsia"/>
                <w:color w:val="auto"/>
              </w:rPr>
              <w:t>民井</w:t>
            </w:r>
          </w:p>
        </w:tc>
        <w:tc>
          <w:tcPr>
            <w:tcW w:w="87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87152FC">
            <w:pPr>
              <w:pStyle w:val="276"/>
              <w:rPr>
                <w:color w:val="auto"/>
              </w:rPr>
            </w:pPr>
            <w:r>
              <w:rPr>
                <w:rFonts w:hint="eastAsia"/>
                <w:color w:val="auto"/>
              </w:rPr>
              <w:t>107.999655</w:t>
            </w:r>
          </w:p>
        </w:tc>
        <w:tc>
          <w:tcPr>
            <w:tcW w:w="826" w:type="pct"/>
            <w:tcBorders>
              <w:top w:val="single" w:color="auto" w:sz="4" w:space="0"/>
              <w:left w:val="single" w:color="auto" w:sz="4" w:space="0"/>
              <w:bottom w:val="single" w:color="auto" w:sz="4" w:space="0"/>
              <w:right w:val="single" w:color="auto" w:sz="4" w:space="0"/>
            </w:tcBorders>
            <w:shd w:val="clear" w:color="auto" w:fill="auto"/>
            <w:vAlign w:val="center"/>
          </w:tcPr>
          <w:p w14:paraId="2BB45924">
            <w:pPr>
              <w:pStyle w:val="276"/>
              <w:rPr>
                <w:color w:val="auto"/>
              </w:rPr>
            </w:pPr>
            <w:r>
              <w:rPr>
                <w:rFonts w:hint="eastAsia"/>
                <w:color w:val="auto"/>
              </w:rPr>
              <w:t>30.191973</w:t>
            </w:r>
          </w:p>
        </w:tc>
        <w:tc>
          <w:tcPr>
            <w:tcW w:w="1114" w:type="pct"/>
            <w:tcBorders>
              <w:top w:val="single" w:color="auto" w:sz="4" w:space="0"/>
              <w:left w:val="single" w:color="auto" w:sz="4" w:space="0"/>
              <w:bottom w:val="single" w:color="auto" w:sz="4" w:space="0"/>
              <w:right w:val="single" w:color="auto" w:sz="4" w:space="0"/>
            </w:tcBorders>
            <w:shd w:val="clear" w:color="auto" w:fill="auto"/>
            <w:noWrap/>
          </w:tcPr>
          <w:p w14:paraId="30F52DE0">
            <w:pPr>
              <w:pStyle w:val="276"/>
              <w:rPr>
                <w:rFonts w:hint="eastAsia"/>
                <w:color w:val="auto"/>
                <w:lang w:val="en-US"/>
              </w:rPr>
            </w:pPr>
            <w:r>
              <w:rPr>
                <w:rFonts w:hint="eastAsia"/>
                <w:color w:val="auto"/>
                <w:lang w:val="en-US"/>
              </w:rPr>
              <w:t>266.98</w:t>
            </w:r>
          </w:p>
        </w:tc>
        <w:tc>
          <w:tcPr>
            <w:tcW w:w="1114" w:type="pct"/>
            <w:tcBorders>
              <w:top w:val="single" w:color="auto" w:sz="4" w:space="0"/>
              <w:left w:val="single" w:color="auto" w:sz="4" w:space="0"/>
              <w:bottom w:val="single" w:color="auto" w:sz="4" w:space="0"/>
              <w:right w:val="single" w:color="auto" w:sz="4" w:space="0"/>
            </w:tcBorders>
            <w:shd w:val="clear" w:color="auto" w:fill="auto"/>
            <w:noWrap/>
          </w:tcPr>
          <w:p w14:paraId="574E10AE">
            <w:pPr>
              <w:pStyle w:val="276"/>
              <w:rPr>
                <w:rFonts w:hint="default" w:eastAsia="宋体"/>
                <w:color w:val="auto"/>
                <w:lang w:val="en-US" w:eastAsia="zh-CN"/>
              </w:rPr>
            </w:pPr>
            <w:r>
              <w:rPr>
                <w:rFonts w:hint="eastAsia"/>
                <w:color w:val="auto"/>
                <w:lang w:val="en-US" w:eastAsia="zh-CN"/>
              </w:rPr>
              <w:t>12.0</w:t>
            </w:r>
          </w:p>
        </w:tc>
      </w:tr>
      <w:tr w14:paraId="76511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29F36CA">
            <w:pPr>
              <w:pStyle w:val="276"/>
              <w:rPr>
                <w:color w:val="auto"/>
              </w:rPr>
            </w:pPr>
            <w:r>
              <w:rPr>
                <w:rFonts w:hint="eastAsia"/>
                <w:color w:val="auto"/>
              </w:rPr>
              <w:t>DS10</w:t>
            </w:r>
          </w:p>
        </w:tc>
        <w:tc>
          <w:tcPr>
            <w:tcW w:w="443" w:type="pct"/>
            <w:tcBorders>
              <w:top w:val="single" w:color="auto" w:sz="4" w:space="0"/>
              <w:left w:val="single" w:color="auto" w:sz="4" w:space="0"/>
              <w:bottom w:val="single" w:color="auto" w:sz="4" w:space="0"/>
              <w:right w:val="single" w:color="auto" w:sz="4" w:space="0"/>
            </w:tcBorders>
            <w:shd w:val="clear" w:color="auto" w:fill="auto"/>
            <w:vAlign w:val="center"/>
          </w:tcPr>
          <w:p w14:paraId="42FAA1FA">
            <w:pPr>
              <w:pStyle w:val="276"/>
              <w:rPr>
                <w:color w:val="auto"/>
              </w:rPr>
            </w:pPr>
            <w:r>
              <w:rPr>
                <w:rFonts w:hint="eastAsia"/>
                <w:color w:val="auto"/>
              </w:rPr>
              <w:t>民井</w:t>
            </w:r>
          </w:p>
        </w:tc>
        <w:tc>
          <w:tcPr>
            <w:tcW w:w="87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47AE540">
            <w:pPr>
              <w:pStyle w:val="276"/>
              <w:rPr>
                <w:color w:val="auto"/>
              </w:rPr>
            </w:pPr>
            <w:r>
              <w:rPr>
                <w:rFonts w:hint="eastAsia"/>
                <w:color w:val="auto"/>
              </w:rPr>
              <w:t>107.984882</w:t>
            </w:r>
          </w:p>
        </w:tc>
        <w:tc>
          <w:tcPr>
            <w:tcW w:w="826" w:type="pct"/>
            <w:tcBorders>
              <w:top w:val="single" w:color="auto" w:sz="4" w:space="0"/>
              <w:left w:val="single" w:color="auto" w:sz="4" w:space="0"/>
              <w:bottom w:val="single" w:color="auto" w:sz="4" w:space="0"/>
              <w:right w:val="single" w:color="auto" w:sz="4" w:space="0"/>
            </w:tcBorders>
            <w:shd w:val="clear" w:color="auto" w:fill="auto"/>
            <w:vAlign w:val="center"/>
          </w:tcPr>
          <w:p w14:paraId="670654CF">
            <w:pPr>
              <w:pStyle w:val="276"/>
              <w:rPr>
                <w:color w:val="auto"/>
              </w:rPr>
            </w:pPr>
            <w:r>
              <w:rPr>
                <w:rFonts w:hint="eastAsia"/>
                <w:color w:val="auto"/>
              </w:rPr>
              <w:t>30.182908</w:t>
            </w:r>
          </w:p>
        </w:tc>
        <w:tc>
          <w:tcPr>
            <w:tcW w:w="1114" w:type="pct"/>
            <w:tcBorders>
              <w:top w:val="single" w:color="auto" w:sz="4" w:space="0"/>
              <w:left w:val="single" w:color="auto" w:sz="4" w:space="0"/>
              <w:bottom w:val="single" w:color="auto" w:sz="4" w:space="0"/>
              <w:right w:val="single" w:color="auto" w:sz="4" w:space="0"/>
            </w:tcBorders>
            <w:shd w:val="clear" w:color="auto" w:fill="auto"/>
            <w:noWrap/>
          </w:tcPr>
          <w:p w14:paraId="79F3F718">
            <w:pPr>
              <w:pStyle w:val="276"/>
              <w:rPr>
                <w:rFonts w:hint="eastAsia"/>
                <w:color w:val="auto"/>
                <w:lang w:val="en-US"/>
              </w:rPr>
            </w:pPr>
            <w:r>
              <w:rPr>
                <w:rFonts w:hint="eastAsia"/>
                <w:color w:val="auto"/>
                <w:lang w:val="en-US"/>
              </w:rPr>
              <w:t>317.03</w:t>
            </w:r>
          </w:p>
        </w:tc>
        <w:tc>
          <w:tcPr>
            <w:tcW w:w="1114" w:type="pct"/>
            <w:tcBorders>
              <w:top w:val="single" w:color="auto" w:sz="4" w:space="0"/>
              <w:left w:val="single" w:color="auto" w:sz="4" w:space="0"/>
              <w:bottom w:val="single" w:color="auto" w:sz="4" w:space="0"/>
              <w:right w:val="single" w:color="auto" w:sz="4" w:space="0"/>
            </w:tcBorders>
            <w:shd w:val="clear" w:color="auto" w:fill="auto"/>
            <w:noWrap/>
          </w:tcPr>
          <w:p w14:paraId="48DE8CA7">
            <w:pPr>
              <w:pStyle w:val="276"/>
              <w:rPr>
                <w:rFonts w:hint="default" w:eastAsia="宋体"/>
                <w:color w:val="auto"/>
                <w:lang w:val="en-US" w:eastAsia="zh-CN"/>
              </w:rPr>
            </w:pPr>
            <w:r>
              <w:rPr>
                <w:rFonts w:hint="eastAsia"/>
                <w:color w:val="auto"/>
                <w:lang w:val="en-US" w:eastAsia="zh-CN"/>
              </w:rPr>
              <w:t>18.5</w:t>
            </w:r>
          </w:p>
        </w:tc>
      </w:tr>
    </w:tbl>
    <w:p w14:paraId="6C650D13">
      <w:pPr>
        <w:widowControl/>
        <w:spacing w:line="360" w:lineRule="auto"/>
        <w:ind w:firstLine="482" w:firstLineChars="0"/>
        <w:jc w:val="center"/>
        <w:rPr>
          <w:rFonts w:hAnsi="宋体"/>
          <w:b/>
          <w:color w:val="auto"/>
          <w:szCs w:val="24"/>
        </w:rPr>
      </w:pPr>
    </w:p>
    <w:p w14:paraId="1CF046D5">
      <w:pPr>
        <w:widowControl/>
        <w:spacing w:line="360" w:lineRule="auto"/>
        <w:ind w:firstLine="482" w:firstLineChars="0"/>
        <w:jc w:val="center"/>
        <w:rPr>
          <w:rFonts w:hAnsi="宋体"/>
          <w:b/>
          <w:color w:val="auto"/>
          <w:szCs w:val="24"/>
        </w:rPr>
      </w:pPr>
    </w:p>
    <w:p w14:paraId="50B0DCAF">
      <w:pPr>
        <w:widowControl/>
        <w:spacing w:line="360" w:lineRule="auto"/>
        <w:ind w:firstLine="482" w:firstLineChars="0"/>
        <w:jc w:val="center"/>
        <w:rPr>
          <w:rFonts w:hAnsi="宋体"/>
          <w:b/>
          <w:color w:val="auto"/>
          <w:szCs w:val="24"/>
        </w:rPr>
      </w:pPr>
    </w:p>
    <w:p w14:paraId="7DBE6903">
      <w:pPr>
        <w:widowControl/>
        <w:spacing w:line="360" w:lineRule="auto"/>
        <w:ind w:firstLine="482" w:firstLineChars="0"/>
        <w:jc w:val="center"/>
        <w:rPr>
          <w:b/>
          <w:color w:val="auto"/>
          <w:szCs w:val="24"/>
        </w:rPr>
      </w:pPr>
      <w:r>
        <w:rPr>
          <w:rFonts w:hAnsi="宋体"/>
          <w:b/>
          <w:color w:val="auto"/>
          <w:szCs w:val="24"/>
        </w:rPr>
        <w:t>表</w:t>
      </w:r>
      <w:r>
        <w:rPr>
          <w:b/>
          <w:color w:val="auto"/>
        </w:rPr>
        <w:t>4.2</w:t>
      </w:r>
      <w:r>
        <w:rPr>
          <w:rFonts w:hAnsi="宋体"/>
          <w:b/>
          <w:color w:val="auto"/>
          <w:szCs w:val="24"/>
        </w:rPr>
        <w:t>-</w:t>
      </w:r>
      <w:r>
        <w:rPr>
          <w:b/>
          <w:color w:val="auto"/>
          <w:szCs w:val="24"/>
        </w:rPr>
        <w:t xml:space="preserve">5  </w:t>
      </w:r>
      <w:r>
        <w:rPr>
          <w:rFonts w:hAnsi="宋体"/>
          <w:b/>
          <w:color w:val="auto"/>
          <w:szCs w:val="24"/>
        </w:rPr>
        <w:t>地下水环境现状监测数据统计结果表（八大离子）</w:t>
      </w:r>
      <w:r>
        <w:rPr>
          <w:b/>
          <w:color w:val="auto"/>
          <w:szCs w:val="24"/>
        </w:rPr>
        <w:t xml:space="preserve">  </w:t>
      </w:r>
      <w:r>
        <w:rPr>
          <w:rFonts w:hAnsi="宋体"/>
          <w:b/>
          <w:color w:val="auto"/>
          <w:szCs w:val="24"/>
        </w:rPr>
        <w:t>单位：</w:t>
      </w:r>
      <w:r>
        <w:rPr>
          <w:b/>
          <w:color w:val="auto"/>
          <w:szCs w:val="24"/>
        </w:rPr>
        <w:t>mg/L</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9"/>
        <w:gridCol w:w="1031"/>
        <w:gridCol w:w="1031"/>
        <w:gridCol w:w="1033"/>
        <w:gridCol w:w="1031"/>
        <w:gridCol w:w="1033"/>
        <w:gridCol w:w="1033"/>
        <w:gridCol w:w="1033"/>
        <w:gridCol w:w="1032"/>
      </w:tblGrid>
      <w:tr w14:paraId="6BB05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4" w:type="pct"/>
            <w:tcBorders>
              <w:tl2br w:val="single" w:color="auto" w:sz="4" w:space="0"/>
            </w:tcBorders>
            <w:vAlign w:val="center"/>
          </w:tcPr>
          <w:p w14:paraId="326EAB7A">
            <w:pPr>
              <w:spacing w:line="230" w:lineRule="exact"/>
              <w:ind w:firstLine="0" w:firstLineChars="0"/>
              <w:jc w:val="right"/>
              <w:rPr>
                <w:color w:val="auto"/>
                <w:sz w:val="21"/>
                <w:szCs w:val="21"/>
              </w:rPr>
            </w:pPr>
            <w:r>
              <w:rPr>
                <w:rFonts w:hint="eastAsia" w:hAnsi="宋体"/>
                <w:color w:val="auto"/>
                <w:sz w:val="21"/>
                <w:szCs w:val="21"/>
              </w:rPr>
              <w:t>监测因子</w:t>
            </w:r>
          </w:p>
          <w:p w14:paraId="71B9696F">
            <w:pPr>
              <w:spacing w:line="230" w:lineRule="exact"/>
              <w:ind w:firstLine="0" w:firstLineChars="0"/>
              <w:jc w:val="left"/>
              <w:rPr>
                <w:color w:val="auto"/>
                <w:sz w:val="21"/>
                <w:szCs w:val="21"/>
              </w:rPr>
            </w:pPr>
            <w:r>
              <w:rPr>
                <w:rFonts w:hint="eastAsia" w:hAnsi="宋体"/>
                <w:color w:val="auto"/>
                <w:sz w:val="21"/>
                <w:szCs w:val="21"/>
              </w:rPr>
              <w:t>监测点</w:t>
            </w:r>
          </w:p>
        </w:tc>
        <w:tc>
          <w:tcPr>
            <w:tcW w:w="555" w:type="pct"/>
            <w:vAlign w:val="center"/>
          </w:tcPr>
          <w:p w14:paraId="4417DD84">
            <w:pPr>
              <w:spacing w:line="230" w:lineRule="exact"/>
              <w:ind w:firstLine="0" w:firstLineChars="0"/>
              <w:jc w:val="center"/>
              <w:rPr>
                <w:color w:val="auto"/>
                <w:sz w:val="21"/>
                <w:szCs w:val="21"/>
              </w:rPr>
            </w:pPr>
            <w:r>
              <w:rPr>
                <w:rFonts w:hint="eastAsia"/>
                <w:color w:val="auto"/>
                <w:sz w:val="21"/>
                <w:szCs w:val="21"/>
              </w:rPr>
              <w:t>K</w:t>
            </w:r>
            <w:r>
              <w:rPr>
                <w:rFonts w:hint="eastAsia"/>
                <w:color w:val="auto"/>
                <w:sz w:val="21"/>
                <w:szCs w:val="21"/>
                <w:vertAlign w:val="superscript"/>
              </w:rPr>
              <w:t>+</w:t>
            </w:r>
          </w:p>
        </w:tc>
        <w:tc>
          <w:tcPr>
            <w:tcW w:w="555" w:type="pct"/>
            <w:vAlign w:val="center"/>
          </w:tcPr>
          <w:p w14:paraId="23429ED7">
            <w:pPr>
              <w:spacing w:line="230" w:lineRule="exact"/>
              <w:ind w:firstLine="0" w:firstLineChars="0"/>
              <w:jc w:val="center"/>
              <w:rPr>
                <w:color w:val="auto"/>
                <w:sz w:val="21"/>
                <w:szCs w:val="21"/>
              </w:rPr>
            </w:pPr>
            <w:r>
              <w:rPr>
                <w:rFonts w:hint="eastAsia"/>
                <w:color w:val="auto"/>
                <w:sz w:val="21"/>
                <w:szCs w:val="21"/>
              </w:rPr>
              <w:t>Na</w:t>
            </w:r>
            <w:r>
              <w:rPr>
                <w:rFonts w:hint="eastAsia"/>
                <w:color w:val="auto"/>
                <w:sz w:val="21"/>
                <w:szCs w:val="21"/>
                <w:vertAlign w:val="superscript"/>
              </w:rPr>
              <w:t>+</w:t>
            </w:r>
          </w:p>
        </w:tc>
        <w:tc>
          <w:tcPr>
            <w:tcW w:w="556" w:type="pct"/>
            <w:vAlign w:val="center"/>
          </w:tcPr>
          <w:p w14:paraId="25263A44">
            <w:pPr>
              <w:spacing w:line="230" w:lineRule="exact"/>
              <w:ind w:firstLine="0" w:firstLineChars="0"/>
              <w:jc w:val="center"/>
              <w:rPr>
                <w:color w:val="auto"/>
                <w:sz w:val="21"/>
                <w:szCs w:val="21"/>
              </w:rPr>
            </w:pPr>
            <w:r>
              <w:rPr>
                <w:rFonts w:hint="eastAsia"/>
                <w:color w:val="auto"/>
                <w:sz w:val="21"/>
                <w:szCs w:val="21"/>
              </w:rPr>
              <w:t>Ca</w:t>
            </w:r>
            <w:r>
              <w:rPr>
                <w:rFonts w:hint="eastAsia"/>
                <w:color w:val="auto"/>
                <w:sz w:val="21"/>
                <w:szCs w:val="21"/>
                <w:vertAlign w:val="superscript"/>
              </w:rPr>
              <w:t>2+</w:t>
            </w:r>
          </w:p>
        </w:tc>
        <w:tc>
          <w:tcPr>
            <w:tcW w:w="555" w:type="pct"/>
            <w:vAlign w:val="center"/>
          </w:tcPr>
          <w:p w14:paraId="15A4DF0B">
            <w:pPr>
              <w:spacing w:line="230" w:lineRule="exact"/>
              <w:ind w:firstLine="0" w:firstLineChars="0"/>
              <w:jc w:val="center"/>
              <w:rPr>
                <w:color w:val="auto"/>
                <w:sz w:val="21"/>
                <w:szCs w:val="21"/>
              </w:rPr>
            </w:pPr>
            <w:r>
              <w:rPr>
                <w:rFonts w:hint="eastAsia"/>
                <w:color w:val="auto"/>
                <w:sz w:val="21"/>
                <w:szCs w:val="21"/>
              </w:rPr>
              <w:t>Mg</w:t>
            </w:r>
            <w:r>
              <w:rPr>
                <w:rFonts w:hint="eastAsia"/>
                <w:color w:val="auto"/>
                <w:sz w:val="21"/>
                <w:szCs w:val="21"/>
                <w:vertAlign w:val="superscript"/>
              </w:rPr>
              <w:t>2+</w:t>
            </w:r>
          </w:p>
        </w:tc>
        <w:tc>
          <w:tcPr>
            <w:tcW w:w="556" w:type="pct"/>
            <w:vAlign w:val="center"/>
          </w:tcPr>
          <w:p w14:paraId="57814057">
            <w:pPr>
              <w:spacing w:line="230" w:lineRule="exact"/>
              <w:ind w:firstLine="0" w:firstLineChars="0"/>
              <w:jc w:val="center"/>
              <w:rPr>
                <w:color w:val="auto"/>
                <w:sz w:val="21"/>
                <w:szCs w:val="21"/>
              </w:rPr>
            </w:pPr>
            <w:r>
              <w:rPr>
                <w:rFonts w:hint="eastAsia"/>
                <w:color w:val="auto"/>
                <w:sz w:val="21"/>
                <w:szCs w:val="21"/>
              </w:rPr>
              <w:t>CO</w:t>
            </w:r>
            <w:r>
              <w:rPr>
                <w:rFonts w:hint="eastAsia"/>
                <w:color w:val="auto"/>
                <w:sz w:val="21"/>
                <w:szCs w:val="21"/>
                <w:vertAlign w:val="subscript"/>
              </w:rPr>
              <w:t>3</w:t>
            </w:r>
            <w:r>
              <w:rPr>
                <w:rFonts w:hint="eastAsia"/>
                <w:color w:val="auto"/>
                <w:sz w:val="21"/>
                <w:szCs w:val="21"/>
                <w:vertAlign w:val="superscript"/>
              </w:rPr>
              <w:t>2-</w:t>
            </w:r>
          </w:p>
        </w:tc>
        <w:tc>
          <w:tcPr>
            <w:tcW w:w="556" w:type="pct"/>
            <w:vAlign w:val="center"/>
          </w:tcPr>
          <w:p w14:paraId="095A9463">
            <w:pPr>
              <w:spacing w:line="230" w:lineRule="exact"/>
              <w:ind w:firstLine="0" w:firstLineChars="0"/>
              <w:jc w:val="center"/>
              <w:rPr>
                <w:color w:val="auto"/>
                <w:sz w:val="21"/>
                <w:szCs w:val="21"/>
              </w:rPr>
            </w:pPr>
            <w:r>
              <w:rPr>
                <w:rFonts w:hint="eastAsia"/>
                <w:color w:val="auto"/>
                <w:sz w:val="21"/>
                <w:szCs w:val="21"/>
              </w:rPr>
              <w:t>HCO</w:t>
            </w:r>
            <w:r>
              <w:rPr>
                <w:rFonts w:hint="eastAsia"/>
                <w:color w:val="auto"/>
                <w:sz w:val="21"/>
                <w:szCs w:val="21"/>
                <w:vertAlign w:val="superscript"/>
              </w:rPr>
              <w:t>3-</w:t>
            </w:r>
          </w:p>
        </w:tc>
        <w:tc>
          <w:tcPr>
            <w:tcW w:w="556" w:type="pct"/>
            <w:vAlign w:val="center"/>
          </w:tcPr>
          <w:p w14:paraId="6206314A">
            <w:pPr>
              <w:spacing w:line="230" w:lineRule="exact"/>
              <w:ind w:firstLine="0" w:firstLineChars="0"/>
              <w:jc w:val="center"/>
              <w:rPr>
                <w:color w:val="auto"/>
                <w:sz w:val="21"/>
                <w:szCs w:val="21"/>
              </w:rPr>
            </w:pPr>
            <w:r>
              <w:rPr>
                <w:rFonts w:hint="eastAsia"/>
                <w:color w:val="auto"/>
                <w:sz w:val="21"/>
                <w:szCs w:val="21"/>
              </w:rPr>
              <w:t>Cl</w:t>
            </w:r>
            <w:r>
              <w:rPr>
                <w:rFonts w:hint="eastAsia"/>
                <w:color w:val="auto"/>
                <w:sz w:val="21"/>
                <w:szCs w:val="21"/>
                <w:vertAlign w:val="superscript"/>
              </w:rPr>
              <w:t>-</w:t>
            </w:r>
          </w:p>
        </w:tc>
        <w:tc>
          <w:tcPr>
            <w:tcW w:w="555" w:type="pct"/>
            <w:vAlign w:val="center"/>
          </w:tcPr>
          <w:p w14:paraId="6CEEE64B">
            <w:pPr>
              <w:spacing w:line="230" w:lineRule="exact"/>
              <w:ind w:firstLine="0" w:firstLineChars="0"/>
              <w:jc w:val="center"/>
              <w:rPr>
                <w:color w:val="auto"/>
                <w:sz w:val="21"/>
                <w:szCs w:val="21"/>
              </w:rPr>
            </w:pPr>
            <w:r>
              <w:rPr>
                <w:rFonts w:hint="eastAsia"/>
                <w:color w:val="auto"/>
                <w:sz w:val="21"/>
                <w:szCs w:val="21"/>
              </w:rPr>
              <w:t>SO</w:t>
            </w:r>
            <w:r>
              <w:rPr>
                <w:rFonts w:hint="eastAsia"/>
                <w:color w:val="auto"/>
                <w:sz w:val="21"/>
                <w:szCs w:val="21"/>
                <w:vertAlign w:val="subscript"/>
              </w:rPr>
              <w:t>4</w:t>
            </w:r>
            <w:r>
              <w:rPr>
                <w:rFonts w:hint="eastAsia"/>
                <w:color w:val="auto"/>
                <w:sz w:val="21"/>
                <w:szCs w:val="21"/>
                <w:vertAlign w:val="superscript"/>
              </w:rPr>
              <w:t>2-</w:t>
            </w:r>
          </w:p>
        </w:tc>
      </w:tr>
      <w:tr w14:paraId="15FA3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4" w:type="pct"/>
            <w:vAlign w:val="center"/>
          </w:tcPr>
          <w:p w14:paraId="72A777BD">
            <w:pPr>
              <w:pStyle w:val="276"/>
              <w:rPr>
                <w:color w:val="auto"/>
              </w:rPr>
            </w:pPr>
            <w:r>
              <w:rPr>
                <w:rFonts w:hint="eastAsia"/>
                <w:color w:val="auto"/>
              </w:rPr>
              <w:t>DS1</w:t>
            </w:r>
          </w:p>
        </w:tc>
        <w:tc>
          <w:tcPr>
            <w:tcW w:w="1031" w:type="dxa"/>
            <w:vAlign w:val="center"/>
          </w:tcPr>
          <w:p w14:paraId="2531A79D">
            <w:pPr>
              <w:pStyle w:val="276"/>
              <w:rPr>
                <w:rFonts w:hint="eastAsia"/>
                <w:color w:val="auto"/>
              </w:rPr>
            </w:pPr>
            <w:r>
              <w:rPr>
                <w:rFonts w:hint="default"/>
                <w:color w:val="auto"/>
                <w:lang w:val="en-US" w:eastAsia="zh-CN"/>
              </w:rPr>
              <w:t>2.17</w:t>
            </w:r>
          </w:p>
        </w:tc>
        <w:tc>
          <w:tcPr>
            <w:tcW w:w="1031" w:type="dxa"/>
            <w:vAlign w:val="center"/>
          </w:tcPr>
          <w:p w14:paraId="49E6C80F">
            <w:pPr>
              <w:pStyle w:val="276"/>
              <w:rPr>
                <w:rFonts w:hint="eastAsia"/>
                <w:color w:val="auto"/>
              </w:rPr>
            </w:pPr>
            <w:r>
              <w:rPr>
                <w:rFonts w:hint="default"/>
                <w:color w:val="auto"/>
                <w:lang w:val="en-US" w:eastAsia="zh-CN"/>
              </w:rPr>
              <w:t>7.18</w:t>
            </w:r>
          </w:p>
        </w:tc>
        <w:tc>
          <w:tcPr>
            <w:tcW w:w="1033" w:type="dxa"/>
            <w:vAlign w:val="center"/>
          </w:tcPr>
          <w:p w14:paraId="58116C82">
            <w:pPr>
              <w:pStyle w:val="276"/>
              <w:rPr>
                <w:rFonts w:hint="eastAsia"/>
                <w:color w:val="auto"/>
              </w:rPr>
            </w:pPr>
            <w:r>
              <w:rPr>
                <w:rFonts w:hint="default"/>
                <w:color w:val="auto"/>
                <w:lang w:val="en-US" w:eastAsia="zh-CN"/>
              </w:rPr>
              <w:t>38.1</w:t>
            </w:r>
          </w:p>
        </w:tc>
        <w:tc>
          <w:tcPr>
            <w:tcW w:w="1031" w:type="dxa"/>
            <w:vAlign w:val="center"/>
          </w:tcPr>
          <w:p w14:paraId="2B3519B0">
            <w:pPr>
              <w:pStyle w:val="276"/>
              <w:rPr>
                <w:rFonts w:hint="eastAsia"/>
                <w:color w:val="auto"/>
              </w:rPr>
            </w:pPr>
            <w:r>
              <w:rPr>
                <w:rFonts w:hint="default"/>
                <w:color w:val="auto"/>
                <w:lang w:val="en-US" w:eastAsia="zh-CN"/>
              </w:rPr>
              <w:t>7.7</w:t>
            </w:r>
          </w:p>
        </w:tc>
        <w:tc>
          <w:tcPr>
            <w:tcW w:w="1033" w:type="dxa"/>
            <w:vAlign w:val="center"/>
          </w:tcPr>
          <w:p w14:paraId="18A26087">
            <w:pPr>
              <w:pStyle w:val="276"/>
              <w:rPr>
                <w:rFonts w:hint="eastAsia"/>
                <w:color w:val="auto"/>
              </w:rPr>
            </w:pPr>
            <w:r>
              <w:rPr>
                <w:rFonts w:hint="default"/>
                <w:color w:val="auto"/>
                <w:lang w:val="en-US" w:eastAsia="zh-CN"/>
              </w:rPr>
              <w:t>0</w:t>
            </w:r>
          </w:p>
        </w:tc>
        <w:tc>
          <w:tcPr>
            <w:tcW w:w="1033" w:type="dxa"/>
            <w:vAlign w:val="center"/>
          </w:tcPr>
          <w:p w14:paraId="11D71CA0">
            <w:pPr>
              <w:pStyle w:val="276"/>
              <w:rPr>
                <w:rFonts w:hint="eastAsia"/>
                <w:color w:val="auto"/>
              </w:rPr>
            </w:pPr>
            <w:r>
              <w:rPr>
                <w:rFonts w:hint="default"/>
                <w:color w:val="auto"/>
                <w:lang w:val="en-US" w:eastAsia="zh-CN"/>
              </w:rPr>
              <w:t>105</w:t>
            </w:r>
          </w:p>
        </w:tc>
        <w:tc>
          <w:tcPr>
            <w:tcW w:w="1033" w:type="dxa"/>
            <w:vAlign w:val="center"/>
          </w:tcPr>
          <w:p w14:paraId="01618811">
            <w:pPr>
              <w:pStyle w:val="276"/>
              <w:rPr>
                <w:rFonts w:hint="eastAsia"/>
                <w:color w:val="auto"/>
              </w:rPr>
            </w:pPr>
            <w:r>
              <w:rPr>
                <w:rFonts w:hint="default"/>
                <w:color w:val="auto"/>
                <w:lang w:val="en-US" w:eastAsia="zh-CN"/>
              </w:rPr>
              <w:t>15.8</w:t>
            </w:r>
          </w:p>
        </w:tc>
        <w:tc>
          <w:tcPr>
            <w:tcW w:w="1031" w:type="dxa"/>
            <w:vAlign w:val="center"/>
          </w:tcPr>
          <w:p w14:paraId="7C0DBC78">
            <w:pPr>
              <w:pStyle w:val="276"/>
              <w:rPr>
                <w:rFonts w:hint="eastAsia"/>
                <w:color w:val="auto"/>
              </w:rPr>
            </w:pPr>
            <w:r>
              <w:rPr>
                <w:rFonts w:hint="default"/>
                <w:color w:val="auto"/>
                <w:lang w:val="en-US" w:eastAsia="zh-CN"/>
              </w:rPr>
              <w:t>46.1</w:t>
            </w:r>
          </w:p>
        </w:tc>
      </w:tr>
      <w:tr w14:paraId="6ECD9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4" w:type="pct"/>
            <w:vAlign w:val="center"/>
          </w:tcPr>
          <w:p w14:paraId="01D16A4F">
            <w:pPr>
              <w:pStyle w:val="276"/>
              <w:rPr>
                <w:color w:val="auto"/>
              </w:rPr>
            </w:pPr>
            <w:r>
              <w:rPr>
                <w:rFonts w:hint="eastAsia"/>
                <w:color w:val="auto"/>
              </w:rPr>
              <w:t>DS2</w:t>
            </w:r>
          </w:p>
        </w:tc>
        <w:tc>
          <w:tcPr>
            <w:tcW w:w="1031" w:type="dxa"/>
            <w:vAlign w:val="center"/>
          </w:tcPr>
          <w:p w14:paraId="74BAFC25">
            <w:pPr>
              <w:pStyle w:val="276"/>
              <w:rPr>
                <w:rFonts w:hint="eastAsia"/>
                <w:color w:val="auto"/>
              </w:rPr>
            </w:pPr>
            <w:r>
              <w:rPr>
                <w:rFonts w:hint="default"/>
                <w:color w:val="auto"/>
                <w:lang w:val="en-US" w:eastAsia="zh-CN"/>
              </w:rPr>
              <w:t>0.16</w:t>
            </w:r>
          </w:p>
        </w:tc>
        <w:tc>
          <w:tcPr>
            <w:tcW w:w="1031" w:type="dxa"/>
            <w:vAlign w:val="center"/>
          </w:tcPr>
          <w:p w14:paraId="44565056">
            <w:pPr>
              <w:pStyle w:val="276"/>
              <w:rPr>
                <w:rFonts w:hint="eastAsia"/>
                <w:color w:val="auto"/>
              </w:rPr>
            </w:pPr>
            <w:r>
              <w:rPr>
                <w:rFonts w:hint="default"/>
                <w:color w:val="auto"/>
                <w:lang w:val="en-US" w:eastAsia="zh-CN"/>
              </w:rPr>
              <w:t>10.2</w:t>
            </w:r>
          </w:p>
        </w:tc>
        <w:tc>
          <w:tcPr>
            <w:tcW w:w="1033" w:type="dxa"/>
            <w:vAlign w:val="center"/>
          </w:tcPr>
          <w:p w14:paraId="07E9A25B">
            <w:pPr>
              <w:pStyle w:val="276"/>
              <w:rPr>
                <w:rFonts w:hint="eastAsia"/>
                <w:color w:val="auto"/>
              </w:rPr>
            </w:pPr>
            <w:r>
              <w:rPr>
                <w:rFonts w:hint="default"/>
                <w:color w:val="auto"/>
                <w:lang w:val="en-US" w:eastAsia="zh-CN"/>
              </w:rPr>
              <w:t>49.3</w:t>
            </w:r>
          </w:p>
        </w:tc>
        <w:tc>
          <w:tcPr>
            <w:tcW w:w="1031" w:type="dxa"/>
            <w:vAlign w:val="center"/>
          </w:tcPr>
          <w:p w14:paraId="03BE6395">
            <w:pPr>
              <w:pStyle w:val="276"/>
              <w:rPr>
                <w:rFonts w:hint="eastAsia"/>
                <w:color w:val="auto"/>
              </w:rPr>
            </w:pPr>
            <w:r>
              <w:rPr>
                <w:rFonts w:hint="default"/>
                <w:color w:val="auto"/>
                <w:lang w:val="en-US" w:eastAsia="zh-CN"/>
              </w:rPr>
              <w:t>10</w:t>
            </w:r>
          </w:p>
        </w:tc>
        <w:tc>
          <w:tcPr>
            <w:tcW w:w="1033" w:type="dxa"/>
            <w:vAlign w:val="center"/>
          </w:tcPr>
          <w:p w14:paraId="1ECC95E6">
            <w:pPr>
              <w:pStyle w:val="276"/>
              <w:rPr>
                <w:rFonts w:hint="eastAsia"/>
                <w:color w:val="auto"/>
              </w:rPr>
            </w:pPr>
            <w:r>
              <w:rPr>
                <w:rFonts w:hint="default"/>
                <w:color w:val="auto"/>
                <w:lang w:val="en-US" w:eastAsia="zh-CN"/>
              </w:rPr>
              <w:t>0</w:t>
            </w:r>
          </w:p>
        </w:tc>
        <w:tc>
          <w:tcPr>
            <w:tcW w:w="1033" w:type="dxa"/>
            <w:vAlign w:val="center"/>
          </w:tcPr>
          <w:p w14:paraId="176FDE8B">
            <w:pPr>
              <w:pStyle w:val="276"/>
              <w:rPr>
                <w:rFonts w:hint="eastAsia"/>
                <w:color w:val="auto"/>
              </w:rPr>
            </w:pPr>
            <w:r>
              <w:rPr>
                <w:rFonts w:hint="default"/>
                <w:color w:val="auto"/>
                <w:lang w:val="en-US" w:eastAsia="zh-CN"/>
              </w:rPr>
              <w:t>191</w:t>
            </w:r>
          </w:p>
        </w:tc>
        <w:tc>
          <w:tcPr>
            <w:tcW w:w="1033" w:type="dxa"/>
            <w:vAlign w:val="center"/>
          </w:tcPr>
          <w:p w14:paraId="234F31F6">
            <w:pPr>
              <w:pStyle w:val="276"/>
              <w:rPr>
                <w:rFonts w:hint="eastAsia"/>
                <w:color w:val="auto"/>
              </w:rPr>
            </w:pPr>
            <w:r>
              <w:rPr>
                <w:rFonts w:hint="default"/>
                <w:color w:val="auto"/>
                <w:lang w:val="en-US" w:eastAsia="zh-CN"/>
              </w:rPr>
              <w:t>11.9</w:t>
            </w:r>
          </w:p>
        </w:tc>
        <w:tc>
          <w:tcPr>
            <w:tcW w:w="1031" w:type="dxa"/>
            <w:vAlign w:val="center"/>
          </w:tcPr>
          <w:p w14:paraId="699994FD">
            <w:pPr>
              <w:pStyle w:val="276"/>
              <w:rPr>
                <w:rFonts w:hint="eastAsia"/>
                <w:color w:val="auto"/>
              </w:rPr>
            </w:pPr>
            <w:r>
              <w:rPr>
                <w:rFonts w:hint="default"/>
                <w:color w:val="auto"/>
                <w:lang w:val="en-US" w:eastAsia="zh-CN"/>
              </w:rPr>
              <w:t>25.4</w:t>
            </w:r>
          </w:p>
        </w:tc>
      </w:tr>
      <w:tr w14:paraId="4BF0D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4" w:type="pct"/>
            <w:vAlign w:val="center"/>
          </w:tcPr>
          <w:p w14:paraId="20C20762">
            <w:pPr>
              <w:pStyle w:val="276"/>
              <w:rPr>
                <w:rFonts w:hint="eastAsia" w:eastAsia="宋体"/>
                <w:color w:val="auto"/>
                <w:lang w:eastAsia="zh-CN"/>
              </w:rPr>
            </w:pPr>
            <w:r>
              <w:rPr>
                <w:rFonts w:hint="eastAsia"/>
                <w:color w:val="auto"/>
              </w:rPr>
              <w:t>DS</w:t>
            </w:r>
            <w:r>
              <w:rPr>
                <w:rFonts w:hint="eastAsia"/>
                <w:color w:val="auto"/>
                <w:lang w:val="en-US" w:eastAsia="zh-CN"/>
              </w:rPr>
              <w:t>3</w:t>
            </w:r>
          </w:p>
        </w:tc>
        <w:tc>
          <w:tcPr>
            <w:tcW w:w="1031" w:type="dxa"/>
            <w:vAlign w:val="center"/>
          </w:tcPr>
          <w:p w14:paraId="62493840">
            <w:pPr>
              <w:pStyle w:val="276"/>
              <w:rPr>
                <w:rFonts w:hint="eastAsia"/>
                <w:color w:val="auto"/>
              </w:rPr>
            </w:pPr>
            <w:r>
              <w:rPr>
                <w:rFonts w:hint="default"/>
                <w:color w:val="auto"/>
                <w:lang w:val="en-US" w:eastAsia="zh-CN"/>
              </w:rPr>
              <w:t>7.26</w:t>
            </w:r>
          </w:p>
        </w:tc>
        <w:tc>
          <w:tcPr>
            <w:tcW w:w="1031" w:type="dxa"/>
            <w:vAlign w:val="center"/>
          </w:tcPr>
          <w:p w14:paraId="599C85CB">
            <w:pPr>
              <w:pStyle w:val="276"/>
              <w:rPr>
                <w:rFonts w:hint="eastAsia"/>
                <w:color w:val="auto"/>
              </w:rPr>
            </w:pPr>
            <w:r>
              <w:rPr>
                <w:rFonts w:hint="default"/>
                <w:color w:val="auto"/>
                <w:lang w:val="en-US" w:eastAsia="zh-CN"/>
              </w:rPr>
              <w:t>46.7</w:t>
            </w:r>
          </w:p>
        </w:tc>
        <w:tc>
          <w:tcPr>
            <w:tcW w:w="1033" w:type="dxa"/>
            <w:vAlign w:val="center"/>
          </w:tcPr>
          <w:p w14:paraId="777A4698">
            <w:pPr>
              <w:pStyle w:val="276"/>
              <w:rPr>
                <w:rFonts w:hint="eastAsia"/>
                <w:color w:val="auto"/>
              </w:rPr>
            </w:pPr>
            <w:r>
              <w:rPr>
                <w:rFonts w:hint="default"/>
                <w:color w:val="auto"/>
                <w:lang w:val="en-US" w:eastAsia="zh-CN"/>
              </w:rPr>
              <w:t>92.6</w:t>
            </w:r>
          </w:p>
        </w:tc>
        <w:tc>
          <w:tcPr>
            <w:tcW w:w="1031" w:type="dxa"/>
            <w:vAlign w:val="center"/>
          </w:tcPr>
          <w:p w14:paraId="26DDAAD1">
            <w:pPr>
              <w:pStyle w:val="276"/>
              <w:rPr>
                <w:rFonts w:hint="eastAsia"/>
                <w:color w:val="auto"/>
              </w:rPr>
            </w:pPr>
            <w:r>
              <w:rPr>
                <w:rFonts w:hint="default"/>
                <w:color w:val="auto"/>
                <w:lang w:val="en-US" w:eastAsia="zh-CN"/>
              </w:rPr>
              <w:t>12</w:t>
            </w:r>
          </w:p>
        </w:tc>
        <w:tc>
          <w:tcPr>
            <w:tcW w:w="1033" w:type="dxa"/>
            <w:vAlign w:val="center"/>
          </w:tcPr>
          <w:p w14:paraId="5ABD70A0">
            <w:pPr>
              <w:pStyle w:val="276"/>
              <w:rPr>
                <w:rFonts w:hint="eastAsia"/>
                <w:color w:val="auto"/>
              </w:rPr>
            </w:pPr>
            <w:r>
              <w:rPr>
                <w:rFonts w:hint="default"/>
                <w:color w:val="auto"/>
                <w:lang w:val="en-US" w:eastAsia="zh-CN"/>
              </w:rPr>
              <w:t>0</w:t>
            </w:r>
          </w:p>
        </w:tc>
        <w:tc>
          <w:tcPr>
            <w:tcW w:w="1033" w:type="dxa"/>
            <w:vAlign w:val="center"/>
          </w:tcPr>
          <w:p w14:paraId="39CA1F10">
            <w:pPr>
              <w:pStyle w:val="276"/>
              <w:rPr>
                <w:rFonts w:hint="eastAsia"/>
                <w:color w:val="auto"/>
              </w:rPr>
            </w:pPr>
            <w:r>
              <w:rPr>
                <w:rFonts w:hint="default"/>
                <w:color w:val="auto"/>
                <w:lang w:val="en-US" w:eastAsia="zh-CN"/>
              </w:rPr>
              <w:t>207</w:t>
            </w:r>
          </w:p>
        </w:tc>
        <w:tc>
          <w:tcPr>
            <w:tcW w:w="1033" w:type="dxa"/>
            <w:vAlign w:val="center"/>
          </w:tcPr>
          <w:p w14:paraId="6D1089E0">
            <w:pPr>
              <w:pStyle w:val="276"/>
              <w:rPr>
                <w:rFonts w:hint="eastAsia"/>
                <w:color w:val="auto"/>
              </w:rPr>
            </w:pPr>
            <w:r>
              <w:rPr>
                <w:rFonts w:hint="default"/>
                <w:color w:val="auto"/>
                <w:lang w:val="en-US" w:eastAsia="zh-CN"/>
              </w:rPr>
              <w:t>98.2</w:t>
            </w:r>
          </w:p>
        </w:tc>
        <w:tc>
          <w:tcPr>
            <w:tcW w:w="1031" w:type="dxa"/>
            <w:vAlign w:val="center"/>
          </w:tcPr>
          <w:p w14:paraId="1E6CB581">
            <w:pPr>
              <w:pStyle w:val="276"/>
              <w:rPr>
                <w:rFonts w:hint="eastAsia"/>
                <w:color w:val="auto"/>
              </w:rPr>
            </w:pPr>
            <w:r>
              <w:rPr>
                <w:rFonts w:hint="default"/>
                <w:color w:val="auto"/>
                <w:lang w:val="en-US" w:eastAsia="zh-CN"/>
              </w:rPr>
              <w:t>107</w:t>
            </w:r>
          </w:p>
        </w:tc>
      </w:tr>
      <w:tr w14:paraId="1DDB6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9" w:type="dxa"/>
            <w:vAlign w:val="center"/>
          </w:tcPr>
          <w:p w14:paraId="6831923D">
            <w:pPr>
              <w:pStyle w:val="276"/>
              <w:rPr>
                <w:rFonts w:hint="eastAsia"/>
                <w:color w:val="auto"/>
              </w:rPr>
            </w:pPr>
            <w:r>
              <w:rPr>
                <w:rFonts w:hint="default"/>
                <w:color w:val="auto"/>
                <w:lang w:val="en-US" w:eastAsia="zh-CN"/>
              </w:rPr>
              <w:t>DS4</w:t>
            </w:r>
          </w:p>
        </w:tc>
        <w:tc>
          <w:tcPr>
            <w:tcW w:w="1031" w:type="dxa"/>
            <w:vAlign w:val="center"/>
          </w:tcPr>
          <w:p w14:paraId="1770C382">
            <w:pPr>
              <w:pStyle w:val="276"/>
              <w:rPr>
                <w:rFonts w:hint="default"/>
                <w:color w:val="auto"/>
                <w:lang w:val="en-US" w:eastAsia="zh-CN"/>
              </w:rPr>
            </w:pPr>
            <w:r>
              <w:rPr>
                <w:rFonts w:hint="default"/>
                <w:color w:val="auto"/>
                <w:lang w:val="en-US" w:eastAsia="zh-CN"/>
              </w:rPr>
              <w:t>5.08</w:t>
            </w:r>
          </w:p>
        </w:tc>
        <w:tc>
          <w:tcPr>
            <w:tcW w:w="1031" w:type="dxa"/>
            <w:vAlign w:val="center"/>
          </w:tcPr>
          <w:p w14:paraId="0D084436">
            <w:pPr>
              <w:pStyle w:val="276"/>
              <w:rPr>
                <w:rFonts w:hint="default"/>
                <w:color w:val="auto"/>
                <w:lang w:val="en-US" w:eastAsia="zh-CN"/>
              </w:rPr>
            </w:pPr>
            <w:r>
              <w:rPr>
                <w:rFonts w:hint="default"/>
                <w:color w:val="auto"/>
                <w:lang w:val="en-US" w:eastAsia="zh-CN"/>
              </w:rPr>
              <w:t>9.74</w:t>
            </w:r>
          </w:p>
        </w:tc>
        <w:tc>
          <w:tcPr>
            <w:tcW w:w="1033" w:type="dxa"/>
            <w:vAlign w:val="center"/>
          </w:tcPr>
          <w:p w14:paraId="773EE9CF">
            <w:pPr>
              <w:pStyle w:val="276"/>
              <w:rPr>
                <w:rFonts w:hint="default"/>
                <w:color w:val="auto"/>
                <w:lang w:val="en-US" w:eastAsia="zh-CN"/>
              </w:rPr>
            </w:pPr>
            <w:r>
              <w:rPr>
                <w:rFonts w:hint="default"/>
                <w:color w:val="auto"/>
                <w:lang w:val="en-US" w:eastAsia="zh-CN"/>
              </w:rPr>
              <w:t>85.6</w:t>
            </w:r>
          </w:p>
        </w:tc>
        <w:tc>
          <w:tcPr>
            <w:tcW w:w="1031" w:type="dxa"/>
            <w:vAlign w:val="center"/>
          </w:tcPr>
          <w:p w14:paraId="6E7B0943">
            <w:pPr>
              <w:pStyle w:val="276"/>
              <w:rPr>
                <w:rFonts w:hint="default"/>
                <w:color w:val="auto"/>
                <w:lang w:val="en-US" w:eastAsia="zh-CN"/>
              </w:rPr>
            </w:pPr>
            <w:r>
              <w:rPr>
                <w:rFonts w:hint="default"/>
                <w:color w:val="auto"/>
                <w:lang w:val="en-US" w:eastAsia="zh-CN"/>
              </w:rPr>
              <w:t>7.19</w:t>
            </w:r>
          </w:p>
        </w:tc>
        <w:tc>
          <w:tcPr>
            <w:tcW w:w="1033" w:type="dxa"/>
            <w:vAlign w:val="center"/>
          </w:tcPr>
          <w:p w14:paraId="6F84009E">
            <w:pPr>
              <w:pStyle w:val="276"/>
              <w:rPr>
                <w:rFonts w:hint="default"/>
                <w:color w:val="auto"/>
                <w:lang w:val="en-US" w:eastAsia="zh-CN"/>
              </w:rPr>
            </w:pPr>
            <w:r>
              <w:rPr>
                <w:rFonts w:hint="default"/>
                <w:color w:val="auto"/>
                <w:lang w:val="en-US" w:eastAsia="zh-CN"/>
              </w:rPr>
              <w:t>0</w:t>
            </w:r>
          </w:p>
        </w:tc>
        <w:tc>
          <w:tcPr>
            <w:tcW w:w="1033" w:type="dxa"/>
            <w:vAlign w:val="center"/>
          </w:tcPr>
          <w:p w14:paraId="085896A3">
            <w:pPr>
              <w:pStyle w:val="276"/>
              <w:rPr>
                <w:rFonts w:hint="default"/>
                <w:color w:val="auto"/>
                <w:lang w:val="en-US" w:eastAsia="zh-CN"/>
              </w:rPr>
            </w:pPr>
            <w:r>
              <w:rPr>
                <w:rFonts w:hint="default"/>
                <w:color w:val="auto"/>
                <w:lang w:val="en-US" w:eastAsia="zh-CN"/>
              </w:rPr>
              <w:t>221</w:t>
            </w:r>
          </w:p>
        </w:tc>
        <w:tc>
          <w:tcPr>
            <w:tcW w:w="1033" w:type="dxa"/>
            <w:vAlign w:val="center"/>
          </w:tcPr>
          <w:p w14:paraId="753B464D">
            <w:pPr>
              <w:pStyle w:val="276"/>
              <w:rPr>
                <w:rFonts w:hint="default"/>
                <w:color w:val="auto"/>
                <w:lang w:val="en-US" w:eastAsia="zh-CN"/>
              </w:rPr>
            </w:pPr>
            <w:r>
              <w:rPr>
                <w:rFonts w:hint="default"/>
                <w:color w:val="auto"/>
                <w:lang w:val="en-US" w:eastAsia="zh-CN"/>
              </w:rPr>
              <w:t>6.33</w:t>
            </w:r>
          </w:p>
        </w:tc>
        <w:tc>
          <w:tcPr>
            <w:tcW w:w="1031" w:type="dxa"/>
            <w:vAlign w:val="center"/>
          </w:tcPr>
          <w:p w14:paraId="6046DCC6">
            <w:pPr>
              <w:pStyle w:val="276"/>
              <w:rPr>
                <w:rFonts w:hint="default"/>
                <w:color w:val="auto"/>
                <w:lang w:val="en-US" w:eastAsia="zh-CN"/>
              </w:rPr>
            </w:pPr>
            <w:r>
              <w:rPr>
                <w:rFonts w:hint="default"/>
                <w:color w:val="auto"/>
                <w:lang w:val="en-US" w:eastAsia="zh-CN"/>
              </w:rPr>
              <w:t>46.4</w:t>
            </w:r>
          </w:p>
        </w:tc>
      </w:tr>
      <w:tr w14:paraId="1BF61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9" w:type="dxa"/>
            <w:vAlign w:val="center"/>
          </w:tcPr>
          <w:p w14:paraId="22A7A23E">
            <w:pPr>
              <w:pStyle w:val="276"/>
              <w:rPr>
                <w:rFonts w:hint="eastAsia"/>
                <w:color w:val="auto"/>
              </w:rPr>
            </w:pPr>
            <w:r>
              <w:rPr>
                <w:rFonts w:hint="default"/>
                <w:color w:val="auto"/>
                <w:lang w:val="en-US" w:eastAsia="zh-CN"/>
              </w:rPr>
              <w:t>DS5</w:t>
            </w:r>
          </w:p>
        </w:tc>
        <w:tc>
          <w:tcPr>
            <w:tcW w:w="1031" w:type="dxa"/>
            <w:vAlign w:val="center"/>
          </w:tcPr>
          <w:p w14:paraId="5A8A83A1">
            <w:pPr>
              <w:pStyle w:val="276"/>
              <w:rPr>
                <w:rFonts w:hint="default"/>
                <w:color w:val="auto"/>
                <w:lang w:val="en-US" w:eastAsia="zh-CN"/>
              </w:rPr>
            </w:pPr>
            <w:r>
              <w:rPr>
                <w:rFonts w:hint="default"/>
                <w:color w:val="auto"/>
                <w:lang w:val="en-US" w:eastAsia="zh-CN"/>
              </w:rPr>
              <w:t>0.84</w:t>
            </w:r>
          </w:p>
        </w:tc>
        <w:tc>
          <w:tcPr>
            <w:tcW w:w="1031" w:type="dxa"/>
            <w:vAlign w:val="center"/>
          </w:tcPr>
          <w:p w14:paraId="1494786F">
            <w:pPr>
              <w:pStyle w:val="276"/>
              <w:rPr>
                <w:rFonts w:hint="default"/>
                <w:color w:val="auto"/>
                <w:lang w:val="en-US" w:eastAsia="zh-CN"/>
              </w:rPr>
            </w:pPr>
            <w:r>
              <w:rPr>
                <w:rFonts w:hint="default"/>
                <w:color w:val="auto"/>
                <w:lang w:val="en-US" w:eastAsia="zh-CN"/>
              </w:rPr>
              <w:t>8.6</w:t>
            </w:r>
          </w:p>
        </w:tc>
        <w:tc>
          <w:tcPr>
            <w:tcW w:w="1033" w:type="dxa"/>
            <w:vAlign w:val="center"/>
          </w:tcPr>
          <w:p w14:paraId="51C8862A">
            <w:pPr>
              <w:pStyle w:val="276"/>
              <w:rPr>
                <w:rFonts w:hint="default"/>
                <w:color w:val="auto"/>
                <w:lang w:val="en-US" w:eastAsia="zh-CN"/>
              </w:rPr>
            </w:pPr>
            <w:r>
              <w:rPr>
                <w:rFonts w:hint="default"/>
                <w:color w:val="auto"/>
                <w:lang w:val="en-US" w:eastAsia="zh-CN"/>
              </w:rPr>
              <w:t>172</w:t>
            </w:r>
          </w:p>
        </w:tc>
        <w:tc>
          <w:tcPr>
            <w:tcW w:w="1031" w:type="dxa"/>
            <w:vAlign w:val="center"/>
          </w:tcPr>
          <w:p w14:paraId="277967E4">
            <w:pPr>
              <w:pStyle w:val="276"/>
              <w:rPr>
                <w:rFonts w:hint="default"/>
                <w:color w:val="auto"/>
                <w:lang w:val="en-US" w:eastAsia="zh-CN"/>
              </w:rPr>
            </w:pPr>
            <w:r>
              <w:rPr>
                <w:rFonts w:hint="default"/>
                <w:color w:val="auto"/>
                <w:lang w:val="en-US" w:eastAsia="zh-CN"/>
              </w:rPr>
              <w:t>10.4</w:t>
            </w:r>
          </w:p>
        </w:tc>
        <w:tc>
          <w:tcPr>
            <w:tcW w:w="1033" w:type="dxa"/>
            <w:vAlign w:val="center"/>
          </w:tcPr>
          <w:p w14:paraId="4C5D3B6B">
            <w:pPr>
              <w:pStyle w:val="276"/>
              <w:rPr>
                <w:rFonts w:hint="default"/>
                <w:color w:val="auto"/>
                <w:lang w:val="en-US" w:eastAsia="zh-CN"/>
              </w:rPr>
            </w:pPr>
            <w:r>
              <w:rPr>
                <w:rFonts w:hint="default"/>
                <w:color w:val="auto"/>
                <w:lang w:val="en-US" w:eastAsia="zh-CN"/>
              </w:rPr>
              <w:t>0</w:t>
            </w:r>
          </w:p>
        </w:tc>
        <w:tc>
          <w:tcPr>
            <w:tcW w:w="1033" w:type="dxa"/>
            <w:vAlign w:val="center"/>
          </w:tcPr>
          <w:p w14:paraId="67D78F78">
            <w:pPr>
              <w:pStyle w:val="276"/>
              <w:rPr>
                <w:rFonts w:hint="default"/>
                <w:color w:val="auto"/>
                <w:lang w:val="en-US" w:eastAsia="zh-CN"/>
              </w:rPr>
            </w:pPr>
            <w:r>
              <w:rPr>
                <w:rFonts w:hint="default"/>
                <w:color w:val="auto"/>
                <w:lang w:val="en-US" w:eastAsia="zh-CN"/>
              </w:rPr>
              <w:t>442</w:t>
            </w:r>
          </w:p>
        </w:tc>
        <w:tc>
          <w:tcPr>
            <w:tcW w:w="1033" w:type="dxa"/>
            <w:vAlign w:val="center"/>
          </w:tcPr>
          <w:p w14:paraId="67BB6192">
            <w:pPr>
              <w:pStyle w:val="276"/>
              <w:rPr>
                <w:rFonts w:hint="default"/>
                <w:color w:val="auto"/>
                <w:lang w:val="en-US" w:eastAsia="zh-CN"/>
              </w:rPr>
            </w:pPr>
            <w:r>
              <w:rPr>
                <w:rFonts w:hint="default"/>
                <w:color w:val="auto"/>
                <w:lang w:val="en-US" w:eastAsia="zh-CN"/>
              </w:rPr>
              <w:t>6.14</w:t>
            </w:r>
          </w:p>
        </w:tc>
        <w:tc>
          <w:tcPr>
            <w:tcW w:w="1031" w:type="dxa"/>
            <w:vAlign w:val="center"/>
          </w:tcPr>
          <w:p w14:paraId="0D17F723">
            <w:pPr>
              <w:pStyle w:val="276"/>
              <w:rPr>
                <w:rFonts w:hint="default"/>
                <w:color w:val="auto"/>
                <w:lang w:val="en-US" w:eastAsia="zh-CN"/>
              </w:rPr>
            </w:pPr>
            <w:r>
              <w:rPr>
                <w:rFonts w:hint="default"/>
                <w:color w:val="auto"/>
                <w:lang w:val="en-US" w:eastAsia="zh-CN"/>
              </w:rPr>
              <w:t>45.5</w:t>
            </w:r>
          </w:p>
        </w:tc>
      </w:tr>
    </w:tbl>
    <w:p w14:paraId="4DD21409">
      <w:pPr>
        <w:spacing w:line="360" w:lineRule="auto"/>
        <w:ind w:firstLine="0" w:firstLineChars="0"/>
        <w:rPr>
          <w:rFonts w:hAnsi="宋体"/>
          <w:b/>
          <w:color w:val="auto"/>
          <w:szCs w:val="24"/>
        </w:rPr>
      </w:pPr>
    </w:p>
    <w:p w14:paraId="67362408">
      <w:pPr>
        <w:pStyle w:val="3931"/>
        <w:ind w:firstLine="480"/>
        <w:rPr>
          <w:color w:val="auto"/>
        </w:rPr>
      </w:pPr>
      <w:r>
        <w:rPr>
          <w:color w:val="auto"/>
        </w:rPr>
        <w:t>根据八大离子监测结果，区域水样中阴离子以HCO</w:t>
      </w:r>
      <w:r>
        <w:rPr>
          <w:color w:val="auto"/>
          <w:vertAlign w:val="subscript"/>
        </w:rPr>
        <w:t>3</w:t>
      </w:r>
      <w:r>
        <w:rPr>
          <w:color w:val="auto"/>
          <w:vertAlign w:val="superscript"/>
        </w:rPr>
        <w:t>-</w:t>
      </w:r>
      <w:r>
        <w:rPr>
          <w:color w:val="auto"/>
        </w:rPr>
        <w:t>为主；阳离子以Ca</w:t>
      </w:r>
      <w:r>
        <w:rPr>
          <w:color w:val="auto"/>
          <w:vertAlign w:val="superscript"/>
        </w:rPr>
        <w:t>2+</w:t>
      </w:r>
      <w:r>
        <w:rPr>
          <w:color w:val="auto"/>
        </w:rPr>
        <w:t>为主。依据舒卡列夫分类，区域地下水类型以HCO</w:t>
      </w:r>
      <w:r>
        <w:rPr>
          <w:color w:val="auto"/>
          <w:vertAlign w:val="subscript"/>
        </w:rPr>
        <w:t>3</w:t>
      </w:r>
      <w:r>
        <w:rPr>
          <w:color w:val="auto"/>
          <w:vertAlign w:val="superscript"/>
        </w:rPr>
        <w:t xml:space="preserve"> -</w:t>
      </w:r>
      <w:r>
        <w:rPr>
          <w:color w:val="auto"/>
        </w:rPr>
        <w:t>Ca</w:t>
      </w:r>
      <w:r>
        <w:rPr>
          <w:color w:val="auto"/>
          <w:vertAlign w:val="superscript"/>
        </w:rPr>
        <w:t>2+</w:t>
      </w:r>
      <w:r>
        <w:rPr>
          <w:color w:val="auto"/>
        </w:rPr>
        <w:t>型水为主。</w:t>
      </w:r>
    </w:p>
    <w:p w14:paraId="1A162C55">
      <w:pPr>
        <w:spacing w:line="460" w:lineRule="exact"/>
        <w:ind w:firstLine="480" w:firstLineChars="0"/>
        <w:rPr>
          <w:bCs/>
          <w:color w:val="auto"/>
          <w:kern w:val="0"/>
        </w:rPr>
      </w:pPr>
      <w:r>
        <w:rPr>
          <w:color w:val="auto"/>
          <w:kern w:val="0"/>
        </w:rPr>
        <w:t>八大离子校核</w:t>
      </w:r>
      <w:r>
        <w:rPr>
          <w:rFonts w:hint="eastAsia"/>
          <w:color w:val="auto"/>
          <w:kern w:val="0"/>
        </w:rPr>
        <w:t>：</w:t>
      </w:r>
    </w:p>
    <w:p w14:paraId="221B4107">
      <w:pPr>
        <w:spacing w:line="460" w:lineRule="exact"/>
        <w:ind w:firstLine="480" w:firstLineChars="0"/>
        <w:rPr>
          <w:bCs/>
          <w:color w:val="auto"/>
          <w:kern w:val="0"/>
        </w:rPr>
      </w:pPr>
      <w:r>
        <w:rPr>
          <w:color w:val="auto"/>
          <w:kern w:val="0"/>
        </w:rPr>
        <w:t>根据八大离子监测数据对</w:t>
      </w:r>
      <w:r>
        <w:rPr>
          <w:rFonts w:hint="eastAsia"/>
          <w:color w:val="auto"/>
          <w:kern w:val="0"/>
        </w:rPr>
        <w:t>规划周边</w:t>
      </w:r>
      <w:r>
        <w:rPr>
          <w:color w:val="auto"/>
          <w:kern w:val="0"/>
        </w:rPr>
        <w:t>地下水化学成分阴阳离子平衡性进行检查，进而印证监测数据可靠性。</w:t>
      </w:r>
    </w:p>
    <w:p w14:paraId="320A885E">
      <w:pPr>
        <w:spacing w:line="460" w:lineRule="exact"/>
        <w:ind w:firstLine="480" w:firstLineChars="0"/>
        <w:rPr>
          <w:color w:val="auto"/>
          <w:kern w:val="0"/>
        </w:rPr>
      </w:pPr>
      <w:r>
        <w:rPr>
          <w:color w:val="auto"/>
          <w:kern w:val="0"/>
        </w:rPr>
        <w:t>阴阳离子平衡检查主要方法为：首先将所有的阴阳离子的单位由mg/L换算为当量浓度（meq/l=（离子毫克数/升）×离子化合价/离子原子量），再通过计算阴阳离子的相对误差来判断水分析数据的可靠性。</w:t>
      </w:r>
    </w:p>
    <w:p w14:paraId="1A1A8F17">
      <w:pPr>
        <w:spacing w:line="460" w:lineRule="exact"/>
        <w:ind w:firstLine="480" w:firstLineChars="0"/>
        <w:rPr>
          <w:bCs/>
          <w:color w:val="auto"/>
          <w:kern w:val="0"/>
        </w:rPr>
      </w:pPr>
    </w:p>
    <w:p w14:paraId="5907D090">
      <w:pPr>
        <w:spacing w:line="240" w:lineRule="auto"/>
        <w:ind w:firstLine="482" w:firstLineChars="0"/>
        <w:rPr>
          <w:bCs/>
          <w:color w:val="auto"/>
          <w:kern w:val="0"/>
        </w:rPr>
      </w:pPr>
      <w:r>
        <w:rPr>
          <w:color w:val="auto"/>
          <w:kern w:val="0"/>
        </w:rPr>
        <w:t>离子平衡的检查公式为：</w:t>
      </w:r>
      <w:r>
        <w:rPr>
          <w:color w:val="auto"/>
        </w:rPr>
        <w:drawing>
          <wp:inline distT="0" distB="0" distL="114300" distR="114300">
            <wp:extent cx="2411095" cy="396240"/>
            <wp:effectExtent l="0" t="0" r="8255" b="3810"/>
            <wp:docPr id="1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7"/>
                    <pic:cNvPicPr>
                      <a:picLocks noChangeAspect="1"/>
                    </pic:cNvPicPr>
                  </pic:nvPicPr>
                  <pic:blipFill>
                    <a:blip r:embed="rId27"/>
                    <a:stretch>
                      <a:fillRect/>
                    </a:stretch>
                  </pic:blipFill>
                  <pic:spPr>
                    <a:xfrm>
                      <a:off x="0" y="0"/>
                      <a:ext cx="2411095" cy="396240"/>
                    </a:xfrm>
                    <a:prstGeom prst="rect">
                      <a:avLst/>
                    </a:prstGeom>
                    <a:noFill/>
                    <a:ln>
                      <a:noFill/>
                    </a:ln>
                  </pic:spPr>
                </pic:pic>
              </a:graphicData>
            </a:graphic>
          </wp:inline>
        </w:drawing>
      </w:r>
    </w:p>
    <w:p w14:paraId="54B5D1C2">
      <w:pPr>
        <w:ind w:firstLine="480" w:firstLineChars="0"/>
        <w:rPr>
          <w:bCs/>
          <w:color w:val="auto"/>
          <w:kern w:val="0"/>
        </w:rPr>
      </w:pPr>
      <w:r>
        <w:rPr>
          <w:color w:val="auto"/>
          <w:kern w:val="0"/>
        </w:rPr>
        <w:t>误差</w:t>
      </w:r>
      <w:r>
        <w:rPr>
          <w:rFonts w:hint="eastAsia"/>
          <w:color w:val="auto"/>
          <w:kern w:val="0"/>
        </w:rPr>
        <w:t>评价标准为-10%~10%</w:t>
      </w:r>
      <w:r>
        <w:rPr>
          <w:color w:val="auto"/>
          <w:kern w:val="0"/>
        </w:rPr>
        <w:t>。</w:t>
      </w:r>
    </w:p>
    <w:p w14:paraId="0BBBF79B">
      <w:pPr>
        <w:spacing w:line="460" w:lineRule="exact"/>
        <w:ind w:firstLine="480" w:firstLineChars="0"/>
        <w:rPr>
          <w:bCs/>
          <w:color w:val="auto"/>
          <w:kern w:val="0"/>
        </w:rPr>
      </w:pPr>
      <w:r>
        <w:rPr>
          <w:color w:val="auto"/>
          <w:kern w:val="0"/>
        </w:rPr>
        <w:t>经核算4个点位的八大离子监测数据校核结果</w:t>
      </w:r>
      <w:r>
        <w:rPr>
          <w:rFonts w:hint="eastAsia"/>
          <w:color w:val="auto"/>
          <w:kern w:val="0"/>
          <w:lang w:eastAsia="zh-CN"/>
        </w:rPr>
        <w:t>如下</w:t>
      </w:r>
      <w:r>
        <w:rPr>
          <w:color w:val="auto"/>
          <w:kern w:val="0"/>
        </w:rPr>
        <w:t>表4.2</w:t>
      </w:r>
      <w:r>
        <w:rPr>
          <w:rFonts w:hint="eastAsia"/>
          <w:color w:val="auto"/>
          <w:kern w:val="0"/>
        </w:rPr>
        <w:t>-</w:t>
      </w:r>
      <w:r>
        <w:rPr>
          <w:color w:val="auto"/>
          <w:kern w:val="0"/>
        </w:rPr>
        <w:t>6。</w:t>
      </w:r>
    </w:p>
    <w:p w14:paraId="3B2E342C">
      <w:pPr>
        <w:spacing w:line="460" w:lineRule="exact"/>
        <w:ind w:firstLine="0" w:firstLineChars="0"/>
        <w:jc w:val="center"/>
        <w:rPr>
          <w:b/>
          <w:bCs/>
          <w:color w:val="auto"/>
          <w:kern w:val="0"/>
        </w:rPr>
      </w:pPr>
      <w:r>
        <w:rPr>
          <w:b/>
          <w:color w:val="auto"/>
          <w:kern w:val="0"/>
        </w:rPr>
        <w:t>表</w:t>
      </w:r>
      <w:r>
        <w:rPr>
          <w:b/>
          <w:color w:val="auto"/>
        </w:rPr>
        <w:t xml:space="preserve"> </w:t>
      </w:r>
      <w:r>
        <w:rPr>
          <w:b/>
          <w:bCs/>
          <w:color w:val="auto"/>
        </w:rPr>
        <w:t>4.2</w:t>
      </w:r>
      <w:r>
        <w:rPr>
          <w:b/>
          <w:color w:val="auto"/>
        </w:rPr>
        <w:noBreakHyphen/>
      </w:r>
      <w:r>
        <w:rPr>
          <w:b/>
          <w:bCs/>
          <w:color w:val="auto"/>
        </w:rPr>
        <w:t>6</w:t>
      </w:r>
      <w:r>
        <w:rPr>
          <w:b/>
          <w:color w:val="auto"/>
          <w:kern w:val="0"/>
        </w:rPr>
        <w:t xml:space="preserve">   八大离子校核结果</w:t>
      </w:r>
    </w:p>
    <w:tbl>
      <w:tblPr>
        <w:tblStyle w:val="88"/>
        <w:tblW w:w="92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7"/>
        <w:gridCol w:w="2148"/>
        <w:gridCol w:w="2086"/>
        <w:gridCol w:w="2086"/>
        <w:gridCol w:w="2086"/>
      </w:tblGrid>
      <w:tr w14:paraId="5923C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7" w:type="dxa"/>
            <w:shd w:val="clear" w:color="auto" w:fill="auto"/>
            <w:vAlign w:val="center"/>
          </w:tcPr>
          <w:p w14:paraId="25116D2D">
            <w:pPr>
              <w:pStyle w:val="276"/>
              <w:rPr>
                <w:rFonts w:hint="eastAsia"/>
                <w:color w:val="auto"/>
                <w:lang w:val="en-US" w:eastAsia="zh-CN"/>
              </w:rPr>
            </w:pPr>
            <w:r>
              <w:rPr>
                <w:rFonts w:hint="eastAsia"/>
                <w:color w:val="auto"/>
                <w:lang w:val="en-US" w:eastAsia="zh-CN"/>
              </w:rPr>
              <w:t xml:space="preserve">  序号</w:t>
            </w:r>
          </w:p>
        </w:tc>
        <w:tc>
          <w:tcPr>
            <w:tcW w:w="2148" w:type="dxa"/>
            <w:shd w:val="clear" w:color="auto" w:fill="auto"/>
            <w:vAlign w:val="center"/>
          </w:tcPr>
          <w:p w14:paraId="6F0F107F">
            <w:pPr>
              <w:pStyle w:val="276"/>
              <w:rPr>
                <w:rFonts w:hint="eastAsia"/>
                <w:color w:val="auto"/>
                <w:lang w:val="en-US" w:eastAsia="zh-CN"/>
              </w:rPr>
            </w:pPr>
            <w:r>
              <w:rPr>
                <w:rFonts w:hint="eastAsia"/>
                <w:color w:val="auto"/>
                <w:lang w:val="en-US" w:eastAsia="zh-CN"/>
              </w:rPr>
              <w:t>监测点位</w:t>
            </w:r>
          </w:p>
        </w:tc>
        <w:tc>
          <w:tcPr>
            <w:tcW w:w="2086" w:type="dxa"/>
            <w:shd w:val="clear" w:color="auto" w:fill="auto"/>
            <w:vAlign w:val="center"/>
          </w:tcPr>
          <w:p w14:paraId="1EF859D1">
            <w:pPr>
              <w:pStyle w:val="276"/>
              <w:rPr>
                <w:rFonts w:hint="eastAsia"/>
                <w:color w:val="auto"/>
                <w:lang w:val="en-US" w:eastAsia="zh-CN"/>
              </w:rPr>
            </w:pPr>
            <w:r>
              <w:rPr>
                <w:rFonts w:hint="eastAsia"/>
                <w:color w:val="auto"/>
                <w:lang w:val="en-US" w:eastAsia="zh-CN"/>
              </w:rPr>
              <w:t>阴离子当量浓度</w:t>
            </w:r>
          </w:p>
        </w:tc>
        <w:tc>
          <w:tcPr>
            <w:tcW w:w="2086" w:type="dxa"/>
            <w:shd w:val="clear" w:color="auto" w:fill="auto"/>
            <w:vAlign w:val="center"/>
          </w:tcPr>
          <w:p w14:paraId="218EE279">
            <w:pPr>
              <w:pStyle w:val="276"/>
              <w:rPr>
                <w:rFonts w:hint="eastAsia"/>
                <w:color w:val="auto"/>
                <w:lang w:val="en-US" w:eastAsia="zh-CN"/>
              </w:rPr>
            </w:pPr>
            <w:r>
              <w:rPr>
                <w:rFonts w:hint="eastAsia"/>
                <w:color w:val="auto"/>
                <w:lang w:val="en-US" w:eastAsia="zh-CN"/>
              </w:rPr>
              <w:t>阳离子当量浓度</w:t>
            </w:r>
          </w:p>
        </w:tc>
        <w:tc>
          <w:tcPr>
            <w:tcW w:w="2086" w:type="dxa"/>
            <w:shd w:val="clear" w:color="auto" w:fill="auto"/>
            <w:vAlign w:val="center"/>
          </w:tcPr>
          <w:p w14:paraId="765D73AF">
            <w:pPr>
              <w:pStyle w:val="276"/>
              <w:rPr>
                <w:rFonts w:hint="default"/>
                <w:color w:val="auto"/>
                <w:lang w:val="en-US" w:eastAsia="zh-CN"/>
              </w:rPr>
            </w:pPr>
            <w:r>
              <w:rPr>
                <w:rFonts w:hint="eastAsia"/>
                <w:color w:val="auto"/>
                <w:lang w:val="en-US" w:eastAsia="zh-CN"/>
              </w:rPr>
              <w:t>离子平衡检查结果，相对误差值E%</w:t>
            </w:r>
          </w:p>
        </w:tc>
      </w:tr>
      <w:tr w14:paraId="67105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7" w:type="dxa"/>
            <w:shd w:val="clear" w:color="auto" w:fill="auto"/>
            <w:vAlign w:val="center"/>
          </w:tcPr>
          <w:p w14:paraId="260C0815">
            <w:pPr>
              <w:pStyle w:val="276"/>
              <w:rPr>
                <w:rFonts w:hint="eastAsia"/>
                <w:color w:val="auto"/>
                <w:lang w:val="en-US" w:eastAsia="zh-CN"/>
              </w:rPr>
            </w:pPr>
            <w:r>
              <w:rPr>
                <w:rFonts w:hint="eastAsia"/>
                <w:color w:val="auto"/>
                <w:lang w:val="en-US" w:eastAsia="zh-CN"/>
              </w:rPr>
              <w:t>1</w:t>
            </w:r>
          </w:p>
        </w:tc>
        <w:tc>
          <w:tcPr>
            <w:tcW w:w="2148" w:type="dxa"/>
            <w:shd w:val="clear" w:color="auto" w:fill="auto"/>
            <w:vAlign w:val="center"/>
          </w:tcPr>
          <w:p w14:paraId="13BA2C35">
            <w:pPr>
              <w:pStyle w:val="276"/>
              <w:rPr>
                <w:rFonts w:hint="eastAsia"/>
                <w:color w:val="auto"/>
                <w:lang w:val="en-US" w:eastAsia="zh-CN"/>
              </w:rPr>
            </w:pPr>
            <w:r>
              <w:rPr>
                <w:rFonts w:hint="eastAsia"/>
                <w:color w:val="auto"/>
                <w:lang w:val="en-US" w:eastAsia="zh-CN"/>
              </w:rPr>
              <w:t>DS1</w:t>
            </w:r>
          </w:p>
        </w:tc>
        <w:tc>
          <w:tcPr>
            <w:tcW w:w="2086" w:type="dxa"/>
            <w:shd w:val="clear" w:color="auto" w:fill="auto"/>
            <w:vAlign w:val="bottom"/>
          </w:tcPr>
          <w:p w14:paraId="294BAC5C">
            <w:pPr>
              <w:pStyle w:val="276"/>
              <w:rPr>
                <w:rFonts w:hint="eastAsia"/>
                <w:color w:val="auto"/>
              </w:rPr>
            </w:pPr>
            <w:r>
              <w:rPr>
                <w:rFonts w:hint="default"/>
                <w:color w:val="auto"/>
                <w:lang w:val="en-US" w:eastAsia="zh-CN"/>
              </w:rPr>
              <w:t>3.13</w:t>
            </w:r>
          </w:p>
        </w:tc>
        <w:tc>
          <w:tcPr>
            <w:tcW w:w="2086" w:type="dxa"/>
            <w:shd w:val="clear" w:color="auto" w:fill="auto"/>
            <w:vAlign w:val="bottom"/>
          </w:tcPr>
          <w:p w14:paraId="2A072467">
            <w:pPr>
              <w:pStyle w:val="276"/>
              <w:rPr>
                <w:rFonts w:hint="eastAsia"/>
                <w:color w:val="auto"/>
              </w:rPr>
            </w:pPr>
            <w:r>
              <w:rPr>
                <w:rFonts w:hint="default"/>
                <w:color w:val="auto"/>
                <w:lang w:val="en-US" w:eastAsia="zh-CN"/>
              </w:rPr>
              <w:t>2.91</w:t>
            </w:r>
          </w:p>
        </w:tc>
        <w:tc>
          <w:tcPr>
            <w:tcW w:w="2086" w:type="dxa"/>
            <w:shd w:val="clear" w:color="auto" w:fill="auto"/>
            <w:vAlign w:val="bottom"/>
          </w:tcPr>
          <w:p w14:paraId="33F1366F">
            <w:pPr>
              <w:pStyle w:val="276"/>
              <w:rPr>
                <w:rFonts w:hint="eastAsia"/>
                <w:color w:val="auto"/>
                <w:lang w:val="en-US"/>
              </w:rPr>
            </w:pPr>
            <w:r>
              <w:rPr>
                <w:rFonts w:hint="default"/>
                <w:color w:val="auto"/>
                <w:lang w:val="en-US" w:eastAsia="zh-CN"/>
              </w:rPr>
              <w:t>3.51</w:t>
            </w:r>
          </w:p>
        </w:tc>
      </w:tr>
      <w:tr w14:paraId="69565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7" w:type="dxa"/>
            <w:shd w:val="clear" w:color="auto" w:fill="auto"/>
            <w:vAlign w:val="center"/>
          </w:tcPr>
          <w:p w14:paraId="752863AD">
            <w:pPr>
              <w:pStyle w:val="276"/>
              <w:rPr>
                <w:rFonts w:hint="eastAsia"/>
                <w:color w:val="auto"/>
                <w:lang w:val="en-US" w:eastAsia="zh-CN"/>
              </w:rPr>
            </w:pPr>
            <w:r>
              <w:rPr>
                <w:rFonts w:hint="eastAsia"/>
                <w:color w:val="auto"/>
                <w:lang w:val="en-US" w:eastAsia="zh-CN"/>
              </w:rPr>
              <w:t>2</w:t>
            </w:r>
          </w:p>
        </w:tc>
        <w:tc>
          <w:tcPr>
            <w:tcW w:w="2148" w:type="dxa"/>
            <w:shd w:val="clear" w:color="auto" w:fill="auto"/>
            <w:vAlign w:val="center"/>
          </w:tcPr>
          <w:p w14:paraId="15406F85">
            <w:pPr>
              <w:pStyle w:val="276"/>
              <w:rPr>
                <w:rFonts w:hint="eastAsia"/>
                <w:color w:val="auto"/>
                <w:lang w:val="en-US" w:eastAsia="zh-CN"/>
              </w:rPr>
            </w:pPr>
            <w:r>
              <w:rPr>
                <w:rFonts w:hint="eastAsia"/>
                <w:color w:val="auto"/>
                <w:lang w:val="en-US" w:eastAsia="zh-CN"/>
              </w:rPr>
              <w:t>DS2</w:t>
            </w:r>
          </w:p>
        </w:tc>
        <w:tc>
          <w:tcPr>
            <w:tcW w:w="2086" w:type="dxa"/>
            <w:shd w:val="clear" w:color="auto" w:fill="auto"/>
            <w:vAlign w:val="bottom"/>
          </w:tcPr>
          <w:p w14:paraId="0F5B820B">
            <w:pPr>
              <w:pStyle w:val="276"/>
              <w:rPr>
                <w:rFonts w:hint="eastAsia"/>
                <w:color w:val="auto"/>
              </w:rPr>
            </w:pPr>
            <w:r>
              <w:rPr>
                <w:rFonts w:hint="default"/>
                <w:color w:val="auto"/>
                <w:lang w:val="en-US" w:eastAsia="zh-CN"/>
              </w:rPr>
              <w:t>4.00</w:t>
            </w:r>
          </w:p>
        </w:tc>
        <w:tc>
          <w:tcPr>
            <w:tcW w:w="2086" w:type="dxa"/>
            <w:shd w:val="clear" w:color="auto" w:fill="auto"/>
            <w:vAlign w:val="bottom"/>
          </w:tcPr>
          <w:p w14:paraId="75E87384">
            <w:pPr>
              <w:pStyle w:val="276"/>
              <w:rPr>
                <w:rFonts w:hint="eastAsia"/>
                <w:color w:val="auto"/>
              </w:rPr>
            </w:pPr>
            <w:r>
              <w:rPr>
                <w:rFonts w:hint="default"/>
                <w:color w:val="auto"/>
                <w:lang w:val="en-US" w:eastAsia="zh-CN"/>
              </w:rPr>
              <w:t>3.75</w:t>
            </w:r>
          </w:p>
        </w:tc>
        <w:tc>
          <w:tcPr>
            <w:tcW w:w="2086" w:type="dxa"/>
            <w:shd w:val="clear" w:color="auto" w:fill="auto"/>
            <w:vAlign w:val="bottom"/>
          </w:tcPr>
          <w:p w14:paraId="2B3CEDFC">
            <w:pPr>
              <w:pStyle w:val="276"/>
              <w:rPr>
                <w:rFonts w:hint="eastAsia"/>
                <w:color w:val="auto"/>
              </w:rPr>
            </w:pPr>
            <w:r>
              <w:rPr>
                <w:rFonts w:hint="default"/>
                <w:color w:val="auto"/>
                <w:lang w:val="en-US" w:eastAsia="zh-CN"/>
              </w:rPr>
              <w:t>3.22</w:t>
            </w:r>
          </w:p>
        </w:tc>
      </w:tr>
      <w:tr w14:paraId="009F2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7" w:type="dxa"/>
            <w:shd w:val="clear" w:color="auto" w:fill="auto"/>
            <w:vAlign w:val="center"/>
          </w:tcPr>
          <w:p w14:paraId="46E7A6CA">
            <w:pPr>
              <w:pStyle w:val="276"/>
              <w:rPr>
                <w:rFonts w:hint="eastAsia"/>
                <w:color w:val="auto"/>
                <w:lang w:val="en-US" w:eastAsia="zh-CN"/>
              </w:rPr>
            </w:pPr>
            <w:r>
              <w:rPr>
                <w:rFonts w:hint="eastAsia"/>
                <w:color w:val="auto"/>
                <w:lang w:val="en-US" w:eastAsia="zh-CN"/>
              </w:rPr>
              <w:t>3</w:t>
            </w:r>
          </w:p>
        </w:tc>
        <w:tc>
          <w:tcPr>
            <w:tcW w:w="2148" w:type="dxa"/>
            <w:shd w:val="clear" w:color="auto" w:fill="auto"/>
            <w:vAlign w:val="center"/>
          </w:tcPr>
          <w:p w14:paraId="6E90D9AB">
            <w:pPr>
              <w:pStyle w:val="276"/>
              <w:rPr>
                <w:rFonts w:hint="eastAsia"/>
                <w:color w:val="auto"/>
                <w:lang w:val="en-US" w:eastAsia="zh-CN"/>
              </w:rPr>
            </w:pPr>
            <w:r>
              <w:rPr>
                <w:rFonts w:hint="eastAsia"/>
                <w:color w:val="auto"/>
                <w:lang w:val="en-US" w:eastAsia="zh-CN"/>
              </w:rPr>
              <w:t>DS3</w:t>
            </w:r>
          </w:p>
        </w:tc>
        <w:tc>
          <w:tcPr>
            <w:tcW w:w="2086" w:type="dxa"/>
            <w:shd w:val="clear" w:color="auto" w:fill="auto"/>
            <w:vAlign w:val="bottom"/>
          </w:tcPr>
          <w:p w14:paraId="0966C529">
            <w:pPr>
              <w:pStyle w:val="276"/>
              <w:rPr>
                <w:rFonts w:hint="eastAsia"/>
                <w:color w:val="auto"/>
              </w:rPr>
            </w:pPr>
            <w:r>
              <w:rPr>
                <w:rFonts w:hint="default"/>
                <w:color w:val="auto"/>
                <w:lang w:val="en-US" w:eastAsia="zh-CN"/>
              </w:rPr>
              <w:t>8.39</w:t>
            </w:r>
          </w:p>
        </w:tc>
        <w:tc>
          <w:tcPr>
            <w:tcW w:w="2086" w:type="dxa"/>
            <w:shd w:val="clear" w:color="auto" w:fill="auto"/>
            <w:vAlign w:val="bottom"/>
          </w:tcPr>
          <w:p w14:paraId="68E55AD9">
            <w:pPr>
              <w:pStyle w:val="276"/>
              <w:rPr>
                <w:rFonts w:hint="eastAsia"/>
                <w:color w:val="auto"/>
              </w:rPr>
            </w:pPr>
            <w:r>
              <w:rPr>
                <w:rFonts w:hint="default"/>
                <w:color w:val="auto"/>
                <w:lang w:val="en-US" w:eastAsia="zh-CN"/>
              </w:rPr>
              <w:t>7.85</w:t>
            </w:r>
          </w:p>
        </w:tc>
        <w:tc>
          <w:tcPr>
            <w:tcW w:w="2086" w:type="dxa"/>
            <w:shd w:val="clear" w:color="auto" w:fill="auto"/>
            <w:vAlign w:val="bottom"/>
          </w:tcPr>
          <w:p w14:paraId="395E73E9">
            <w:pPr>
              <w:pStyle w:val="276"/>
              <w:rPr>
                <w:rFonts w:hint="eastAsia"/>
                <w:color w:val="auto"/>
              </w:rPr>
            </w:pPr>
            <w:r>
              <w:rPr>
                <w:rFonts w:hint="default"/>
                <w:color w:val="auto"/>
                <w:lang w:val="en-US" w:eastAsia="zh-CN"/>
              </w:rPr>
              <w:t>3.34</w:t>
            </w:r>
          </w:p>
        </w:tc>
      </w:tr>
      <w:tr w14:paraId="52D73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7" w:type="dxa"/>
            <w:shd w:val="clear" w:color="auto" w:fill="auto"/>
            <w:vAlign w:val="center"/>
          </w:tcPr>
          <w:p w14:paraId="08D6D785">
            <w:pPr>
              <w:pStyle w:val="276"/>
              <w:rPr>
                <w:rFonts w:hint="default"/>
                <w:color w:val="auto"/>
                <w:lang w:val="en-US" w:eastAsia="zh-CN"/>
              </w:rPr>
            </w:pPr>
            <w:r>
              <w:rPr>
                <w:rFonts w:hint="eastAsia"/>
                <w:color w:val="auto"/>
                <w:lang w:val="en-US" w:eastAsia="zh-CN"/>
              </w:rPr>
              <w:t>4</w:t>
            </w:r>
          </w:p>
        </w:tc>
        <w:tc>
          <w:tcPr>
            <w:tcW w:w="2148" w:type="dxa"/>
            <w:shd w:val="clear" w:color="auto" w:fill="auto"/>
            <w:vAlign w:val="center"/>
          </w:tcPr>
          <w:p w14:paraId="3C3088C4">
            <w:pPr>
              <w:pStyle w:val="276"/>
              <w:rPr>
                <w:rFonts w:hint="eastAsia"/>
                <w:color w:val="auto"/>
                <w:lang w:val="en-US" w:eastAsia="zh-CN"/>
              </w:rPr>
            </w:pPr>
            <w:r>
              <w:rPr>
                <w:rFonts w:hint="default"/>
                <w:color w:val="auto"/>
                <w:lang w:val="en-US" w:eastAsia="zh-CN"/>
              </w:rPr>
              <w:t>DS4</w:t>
            </w:r>
          </w:p>
        </w:tc>
        <w:tc>
          <w:tcPr>
            <w:tcW w:w="2086" w:type="dxa"/>
            <w:shd w:val="clear" w:color="auto" w:fill="auto"/>
            <w:vAlign w:val="bottom"/>
          </w:tcPr>
          <w:p w14:paraId="70AB17EC">
            <w:pPr>
              <w:pStyle w:val="276"/>
              <w:rPr>
                <w:rFonts w:hint="default"/>
                <w:color w:val="auto"/>
                <w:lang w:val="en-US" w:eastAsia="zh-CN"/>
              </w:rPr>
            </w:pPr>
            <w:r>
              <w:rPr>
                <w:rFonts w:hint="default"/>
                <w:color w:val="auto"/>
                <w:lang w:val="en-US" w:eastAsia="zh-CN"/>
              </w:rPr>
              <w:t>4.77</w:t>
            </w:r>
          </w:p>
        </w:tc>
        <w:tc>
          <w:tcPr>
            <w:tcW w:w="2086" w:type="dxa"/>
            <w:shd w:val="clear" w:color="auto" w:fill="auto"/>
            <w:vAlign w:val="bottom"/>
          </w:tcPr>
          <w:p w14:paraId="74E0B3CE">
            <w:pPr>
              <w:pStyle w:val="276"/>
              <w:rPr>
                <w:rFonts w:hint="default"/>
                <w:color w:val="auto"/>
                <w:lang w:val="en-US" w:eastAsia="zh-CN"/>
              </w:rPr>
            </w:pPr>
            <w:r>
              <w:rPr>
                <w:rFonts w:hint="default"/>
                <w:color w:val="auto"/>
                <w:lang w:val="en-US" w:eastAsia="zh-CN"/>
              </w:rPr>
              <w:t>5.43</w:t>
            </w:r>
          </w:p>
        </w:tc>
        <w:tc>
          <w:tcPr>
            <w:tcW w:w="2086" w:type="dxa"/>
            <w:shd w:val="clear" w:color="auto" w:fill="auto"/>
            <w:vAlign w:val="bottom"/>
          </w:tcPr>
          <w:p w14:paraId="20A95B38">
            <w:pPr>
              <w:pStyle w:val="276"/>
              <w:rPr>
                <w:rFonts w:hint="default"/>
                <w:color w:val="auto"/>
                <w:lang w:val="en-US" w:eastAsia="zh-CN"/>
              </w:rPr>
            </w:pPr>
            <w:r>
              <w:rPr>
                <w:rFonts w:hint="default"/>
                <w:color w:val="auto"/>
                <w:lang w:val="en-US" w:eastAsia="zh-CN"/>
              </w:rPr>
              <w:t>-6.52</w:t>
            </w:r>
          </w:p>
        </w:tc>
      </w:tr>
      <w:tr w14:paraId="33A8E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7" w:type="dxa"/>
            <w:shd w:val="clear" w:color="auto" w:fill="auto"/>
            <w:vAlign w:val="center"/>
          </w:tcPr>
          <w:p w14:paraId="0A8D053A">
            <w:pPr>
              <w:pStyle w:val="276"/>
              <w:rPr>
                <w:rFonts w:hint="default"/>
                <w:color w:val="auto"/>
                <w:lang w:val="en-US" w:eastAsia="zh-CN"/>
              </w:rPr>
            </w:pPr>
            <w:r>
              <w:rPr>
                <w:rFonts w:hint="eastAsia"/>
                <w:color w:val="auto"/>
                <w:lang w:val="en-US" w:eastAsia="zh-CN"/>
              </w:rPr>
              <w:t>5</w:t>
            </w:r>
          </w:p>
        </w:tc>
        <w:tc>
          <w:tcPr>
            <w:tcW w:w="2148" w:type="dxa"/>
            <w:shd w:val="clear" w:color="auto" w:fill="auto"/>
            <w:vAlign w:val="center"/>
          </w:tcPr>
          <w:p w14:paraId="60EA9371">
            <w:pPr>
              <w:pStyle w:val="276"/>
              <w:rPr>
                <w:rFonts w:hint="eastAsia"/>
                <w:color w:val="auto"/>
                <w:lang w:val="en-US" w:eastAsia="zh-CN"/>
              </w:rPr>
            </w:pPr>
            <w:r>
              <w:rPr>
                <w:rFonts w:hint="default"/>
                <w:color w:val="auto"/>
                <w:lang w:val="en-US" w:eastAsia="zh-CN"/>
              </w:rPr>
              <w:t>DS5</w:t>
            </w:r>
          </w:p>
        </w:tc>
        <w:tc>
          <w:tcPr>
            <w:tcW w:w="2086" w:type="dxa"/>
            <w:shd w:val="clear" w:color="auto" w:fill="auto"/>
            <w:vAlign w:val="bottom"/>
          </w:tcPr>
          <w:p w14:paraId="23BA3888">
            <w:pPr>
              <w:pStyle w:val="276"/>
              <w:rPr>
                <w:rFonts w:hint="default"/>
                <w:color w:val="auto"/>
                <w:lang w:val="en-US" w:eastAsia="zh-CN"/>
              </w:rPr>
            </w:pPr>
            <w:r>
              <w:rPr>
                <w:rFonts w:hint="default"/>
                <w:color w:val="auto"/>
                <w:lang w:val="en-US" w:eastAsia="zh-CN"/>
              </w:rPr>
              <w:t>8.37</w:t>
            </w:r>
          </w:p>
        </w:tc>
        <w:tc>
          <w:tcPr>
            <w:tcW w:w="2086" w:type="dxa"/>
            <w:shd w:val="clear" w:color="auto" w:fill="auto"/>
            <w:vAlign w:val="bottom"/>
          </w:tcPr>
          <w:p w14:paraId="0EB5D9CE">
            <w:pPr>
              <w:pStyle w:val="276"/>
              <w:rPr>
                <w:rFonts w:hint="default"/>
                <w:color w:val="auto"/>
                <w:lang w:val="en-US" w:eastAsia="zh-CN"/>
              </w:rPr>
            </w:pPr>
            <w:r>
              <w:rPr>
                <w:rFonts w:hint="default"/>
                <w:color w:val="auto"/>
                <w:lang w:val="en-US" w:eastAsia="zh-CN"/>
              </w:rPr>
              <w:t>9.86</w:t>
            </w:r>
          </w:p>
        </w:tc>
        <w:tc>
          <w:tcPr>
            <w:tcW w:w="2086" w:type="dxa"/>
            <w:shd w:val="clear" w:color="auto" w:fill="auto"/>
            <w:vAlign w:val="bottom"/>
          </w:tcPr>
          <w:p w14:paraId="55501B00">
            <w:pPr>
              <w:pStyle w:val="276"/>
              <w:rPr>
                <w:rFonts w:hint="default"/>
                <w:color w:val="auto"/>
                <w:lang w:val="en-US" w:eastAsia="zh-CN"/>
              </w:rPr>
            </w:pPr>
            <w:r>
              <w:rPr>
                <w:rFonts w:hint="default"/>
                <w:color w:val="auto"/>
                <w:lang w:val="en-US" w:eastAsia="zh-CN"/>
              </w:rPr>
              <w:t>-8.20</w:t>
            </w:r>
          </w:p>
        </w:tc>
      </w:tr>
    </w:tbl>
    <w:p w14:paraId="76501177">
      <w:pPr>
        <w:ind w:firstLine="480"/>
        <w:rPr>
          <w:color w:val="auto"/>
          <w:kern w:val="0"/>
        </w:rPr>
      </w:pPr>
      <w:r>
        <w:rPr>
          <w:color w:val="auto"/>
          <w:kern w:val="0"/>
        </w:rPr>
        <w:t>根据</w:t>
      </w:r>
      <w:r>
        <w:rPr>
          <w:rFonts w:hint="eastAsia"/>
          <w:color w:val="auto"/>
          <w:kern w:val="0"/>
        </w:rPr>
        <w:t>上</w:t>
      </w:r>
      <w:r>
        <w:rPr>
          <w:color w:val="auto"/>
          <w:kern w:val="0"/>
        </w:rPr>
        <w:t>表监测数据离子平衡校核结果可知，相对误差值</w:t>
      </w:r>
      <w:r>
        <w:rPr>
          <w:rFonts w:hint="eastAsia"/>
          <w:color w:val="auto"/>
          <w:kern w:val="0"/>
        </w:rPr>
        <w:t>均</w:t>
      </w:r>
      <w:r>
        <w:rPr>
          <w:color w:val="auto"/>
          <w:kern w:val="0"/>
        </w:rPr>
        <w:t>在±</w:t>
      </w:r>
      <w:r>
        <w:rPr>
          <w:rFonts w:hint="eastAsia"/>
          <w:color w:val="auto"/>
          <w:kern w:val="0"/>
        </w:rPr>
        <w:t>10</w:t>
      </w:r>
      <w:r>
        <w:rPr>
          <w:color w:val="auto"/>
          <w:kern w:val="0"/>
        </w:rPr>
        <w:t>%以内，监测数据可靠。</w:t>
      </w:r>
    </w:p>
    <w:p w14:paraId="376B45BE">
      <w:pPr>
        <w:ind w:firstLine="480"/>
        <w:rPr>
          <w:color w:val="auto"/>
          <w:kern w:val="0"/>
        </w:rPr>
      </w:pPr>
      <w:r>
        <w:rPr>
          <w:rFonts w:hint="eastAsia"/>
          <w:color w:val="auto"/>
        </w:rPr>
        <w:t>通过对项目所在区域地下水水质监测和分析可知，区域</w:t>
      </w:r>
      <w:r>
        <w:rPr>
          <w:rFonts w:hint="eastAsia"/>
          <w:color w:val="auto"/>
          <w:u w:color="000000"/>
        </w:rPr>
        <w:t>地下水</w:t>
      </w:r>
      <w:r>
        <w:rPr>
          <w:rFonts w:hint="eastAsia"/>
          <w:color w:val="auto"/>
        </w:rPr>
        <w:t>各监测点位各监测因子均满足《地下水质量标准》</w:t>
      </w:r>
      <w:r>
        <w:rPr>
          <w:rFonts w:hint="eastAsia"/>
          <w:color w:val="auto"/>
          <w:lang w:eastAsia="zh-CN"/>
        </w:rPr>
        <w:t>（</w:t>
      </w:r>
      <w:r>
        <w:rPr>
          <w:rFonts w:hint="eastAsia"/>
          <w:color w:val="auto"/>
        </w:rPr>
        <w:t>GB/T14848-2017</w:t>
      </w:r>
      <w:r>
        <w:rPr>
          <w:rFonts w:hint="eastAsia"/>
          <w:color w:val="auto"/>
          <w:lang w:eastAsia="zh-CN"/>
        </w:rPr>
        <w:t>）</w:t>
      </w:r>
      <w:r>
        <w:rPr>
          <w:rFonts w:hint="eastAsia"/>
          <w:color w:val="auto"/>
        </w:rPr>
        <w:t>中Ⅲ类标准限值要求。</w:t>
      </w:r>
    </w:p>
    <w:p w14:paraId="2573F52D">
      <w:pPr>
        <w:ind w:firstLine="480"/>
        <w:rPr>
          <w:color w:val="auto"/>
          <w:kern w:val="0"/>
        </w:rPr>
      </w:pPr>
    </w:p>
    <w:p w14:paraId="6C2F1F42">
      <w:pPr>
        <w:keepNext/>
        <w:keepLines/>
        <w:adjustRightInd/>
        <w:snapToGrid/>
        <w:spacing w:line="360" w:lineRule="auto"/>
        <w:ind w:firstLine="0" w:firstLineChars="0"/>
        <w:jc w:val="left"/>
        <w:outlineLvl w:val="3"/>
        <w:rPr>
          <w:b/>
          <w:bCs/>
          <w:color w:val="auto"/>
          <w:szCs w:val="28"/>
        </w:rPr>
      </w:pPr>
      <w:r>
        <w:rPr>
          <w:b/>
          <w:bCs/>
          <w:color w:val="auto"/>
          <w:szCs w:val="28"/>
        </w:rPr>
        <w:t>4.2.3.</w:t>
      </w:r>
      <w:r>
        <w:rPr>
          <w:rFonts w:hint="eastAsia"/>
          <w:b/>
          <w:bCs/>
          <w:color w:val="auto"/>
          <w:szCs w:val="28"/>
        </w:rPr>
        <w:t>3小结</w:t>
      </w:r>
    </w:p>
    <w:p w14:paraId="2EA262CB">
      <w:pPr>
        <w:ind w:firstLine="480"/>
        <w:rPr>
          <w:color w:val="auto"/>
          <w:kern w:val="0"/>
        </w:rPr>
      </w:pPr>
      <w:r>
        <w:rPr>
          <w:rFonts w:hint="eastAsia"/>
          <w:color w:val="auto"/>
          <w:lang w:eastAsia="zh-CN"/>
        </w:rPr>
        <w:t>拟建项目所在</w:t>
      </w:r>
      <w:r>
        <w:rPr>
          <w:rFonts w:hint="eastAsia"/>
          <w:color w:val="auto"/>
        </w:rPr>
        <w:t>区域</w:t>
      </w:r>
      <w:r>
        <w:rPr>
          <w:rFonts w:hint="eastAsia"/>
          <w:color w:val="auto"/>
          <w:u w:color="000000"/>
        </w:rPr>
        <w:t>地下水</w:t>
      </w:r>
      <w:r>
        <w:rPr>
          <w:rFonts w:hint="eastAsia"/>
          <w:color w:val="auto"/>
        </w:rPr>
        <w:t>各监测点位各监测因子满足《地下水质量标准》</w:t>
      </w:r>
      <w:r>
        <w:rPr>
          <w:rFonts w:hint="eastAsia"/>
          <w:color w:val="auto"/>
          <w:lang w:eastAsia="zh-CN"/>
        </w:rPr>
        <w:t>（</w:t>
      </w:r>
      <w:r>
        <w:rPr>
          <w:rFonts w:hint="eastAsia"/>
          <w:color w:val="auto"/>
        </w:rPr>
        <w:t>GB/T14848-2017</w:t>
      </w:r>
      <w:r>
        <w:rPr>
          <w:rFonts w:hint="eastAsia"/>
          <w:color w:val="auto"/>
          <w:lang w:eastAsia="zh-CN"/>
        </w:rPr>
        <w:t>）</w:t>
      </w:r>
      <w:r>
        <w:rPr>
          <w:rFonts w:hint="eastAsia"/>
          <w:color w:val="auto"/>
        </w:rPr>
        <w:t>中Ⅲ类标准限值要求。</w:t>
      </w:r>
    </w:p>
    <w:p w14:paraId="5010FCE3">
      <w:pPr>
        <w:widowControl/>
        <w:spacing w:line="360" w:lineRule="auto"/>
        <w:ind w:firstLine="482" w:firstLineChars="0"/>
        <w:jc w:val="center"/>
        <w:rPr>
          <w:color w:val="auto"/>
        </w:rPr>
      </w:pPr>
    </w:p>
    <w:p w14:paraId="3E22CB81">
      <w:pPr>
        <w:widowControl/>
        <w:spacing w:line="360" w:lineRule="auto"/>
        <w:ind w:firstLine="482" w:firstLineChars="0"/>
        <w:jc w:val="center"/>
        <w:rPr>
          <w:color w:val="auto"/>
        </w:rPr>
        <w:sectPr>
          <w:pgSz w:w="11906" w:h="16838"/>
          <w:pgMar w:top="1418" w:right="1418" w:bottom="1418" w:left="1418" w:header="851" w:footer="992" w:gutter="0"/>
          <w:pgBorders>
            <w:top w:val="none" w:sz="0" w:space="0"/>
            <w:left w:val="none" w:sz="0" w:space="0"/>
            <w:bottom w:val="none" w:sz="0" w:space="0"/>
            <w:right w:val="none" w:sz="0" w:space="0"/>
          </w:pgBorders>
          <w:cols w:space="425" w:num="1"/>
          <w:docGrid w:linePitch="326" w:charSpace="0"/>
        </w:sectPr>
      </w:pPr>
    </w:p>
    <w:p w14:paraId="7E0F618D">
      <w:pPr>
        <w:widowControl/>
        <w:adjustRightInd/>
        <w:snapToGrid/>
        <w:spacing w:line="348" w:lineRule="auto"/>
        <w:ind w:firstLine="482" w:firstLineChars="0"/>
        <w:jc w:val="center"/>
        <w:rPr>
          <w:b/>
          <w:bCs/>
          <w:color w:val="auto"/>
        </w:rPr>
      </w:pPr>
      <w:bookmarkStart w:id="204" w:name="_Ref454910637"/>
      <w:r>
        <w:rPr>
          <w:rFonts w:hAnsi="宋体"/>
          <w:b/>
          <w:color w:val="auto"/>
          <w:szCs w:val="24"/>
        </w:rPr>
        <w:t>表</w:t>
      </w:r>
      <w:bookmarkEnd w:id="204"/>
      <w:r>
        <w:rPr>
          <w:b/>
          <w:color w:val="auto"/>
          <w:szCs w:val="24"/>
        </w:rPr>
        <w:t>4.2</w:t>
      </w:r>
      <w:r>
        <w:rPr>
          <w:rFonts w:hAnsi="宋体"/>
          <w:b/>
          <w:color w:val="auto"/>
          <w:szCs w:val="24"/>
        </w:rPr>
        <w:t>-</w:t>
      </w:r>
      <w:bookmarkStart w:id="205" w:name="_Ref449619146"/>
      <w:r>
        <w:rPr>
          <w:b/>
          <w:color w:val="auto"/>
          <w:szCs w:val="24"/>
        </w:rPr>
        <w:t>7</w:t>
      </w:r>
      <w:r>
        <w:rPr>
          <w:rFonts w:hint="eastAsia"/>
          <w:b/>
          <w:color w:val="auto"/>
          <w:szCs w:val="24"/>
        </w:rPr>
        <w:t xml:space="preserve">  </w:t>
      </w:r>
      <w:r>
        <w:rPr>
          <w:rFonts w:hAnsi="宋体"/>
          <w:b/>
          <w:color w:val="auto"/>
          <w:szCs w:val="24"/>
        </w:rPr>
        <w:t>地下水水质因子监测及评价结果一览表</w:t>
      </w:r>
      <w:bookmarkEnd w:id="205"/>
    </w:p>
    <w:tbl>
      <w:tblPr>
        <w:tblStyle w:val="88"/>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57" w:type="dxa"/>
          <w:bottom w:w="0" w:type="dxa"/>
          <w:right w:w="57" w:type="dxa"/>
        </w:tblCellMar>
      </w:tblPr>
      <w:tblGrid>
        <w:gridCol w:w="1655"/>
        <w:gridCol w:w="1323"/>
        <w:gridCol w:w="1216"/>
        <w:gridCol w:w="1310"/>
        <w:gridCol w:w="1192"/>
        <w:gridCol w:w="1305"/>
        <w:gridCol w:w="1141"/>
        <w:gridCol w:w="1093"/>
        <w:gridCol w:w="1042"/>
        <w:gridCol w:w="1093"/>
        <w:gridCol w:w="921"/>
        <w:gridCol w:w="825"/>
      </w:tblGrid>
      <w:tr w14:paraId="53C0A6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84" w:hRule="atLeast"/>
          <w:jc w:val="center"/>
        </w:trPr>
        <w:tc>
          <w:tcPr>
            <w:tcW w:w="586" w:type="pct"/>
            <w:vMerge w:val="restart"/>
            <w:vAlign w:val="center"/>
          </w:tcPr>
          <w:p w14:paraId="13371197">
            <w:pPr>
              <w:spacing w:line="230" w:lineRule="exact"/>
              <w:ind w:firstLine="0" w:firstLineChars="0"/>
              <w:jc w:val="center"/>
              <w:rPr>
                <w:color w:val="auto"/>
                <w:sz w:val="21"/>
                <w:szCs w:val="21"/>
              </w:rPr>
            </w:pPr>
            <w:r>
              <w:rPr>
                <w:rFonts w:hint="eastAsia" w:hAnsi="宋体"/>
                <w:color w:val="auto"/>
                <w:sz w:val="21"/>
                <w:szCs w:val="21"/>
              </w:rPr>
              <w:t>项目</w:t>
            </w:r>
          </w:p>
        </w:tc>
        <w:tc>
          <w:tcPr>
            <w:tcW w:w="4121" w:type="pct"/>
            <w:gridSpan w:val="10"/>
            <w:vAlign w:val="center"/>
          </w:tcPr>
          <w:p w14:paraId="0C1F7A5B">
            <w:pPr>
              <w:spacing w:line="230" w:lineRule="exact"/>
              <w:ind w:firstLine="0" w:firstLineChars="0"/>
              <w:jc w:val="center"/>
              <w:rPr>
                <w:color w:val="auto"/>
                <w:sz w:val="21"/>
                <w:szCs w:val="21"/>
              </w:rPr>
            </w:pPr>
            <w:r>
              <w:rPr>
                <w:rFonts w:hint="eastAsia" w:hAnsi="宋体"/>
                <w:color w:val="auto"/>
                <w:sz w:val="21"/>
                <w:szCs w:val="21"/>
              </w:rPr>
              <w:t>监测点位、监测结果</w:t>
            </w:r>
          </w:p>
        </w:tc>
        <w:tc>
          <w:tcPr>
            <w:tcW w:w="292" w:type="pct"/>
            <w:vMerge w:val="restart"/>
            <w:vAlign w:val="center"/>
          </w:tcPr>
          <w:p w14:paraId="0868701F">
            <w:pPr>
              <w:spacing w:line="230" w:lineRule="exact"/>
              <w:ind w:firstLine="0" w:firstLineChars="0"/>
              <w:jc w:val="center"/>
              <w:rPr>
                <w:color w:val="auto"/>
                <w:sz w:val="21"/>
                <w:szCs w:val="21"/>
              </w:rPr>
            </w:pPr>
            <w:r>
              <w:rPr>
                <w:rFonts w:hint="eastAsia" w:ascii="宋体" w:hAnsi="宋体" w:cs="宋体"/>
                <w:color w:val="auto"/>
                <w:sz w:val="21"/>
                <w:szCs w:val="21"/>
              </w:rPr>
              <w:t>Ⅲ</w:t>
            </w:r>
            <w:r>
              <w:rPr>
                <w:rFonts w:hint="eastAsia" w:hAnsi="宋体"/>
                <w:color w:val="auto"/>
                <w:sz w:val="21"/>
                <w:szCs w:val="21"/>
              </w:rPr>
              <w:t>类标准</w:t>
            </w:r>
          </w:p>
          <w:p w14:paraId="20D27A7E">
            <w:pPr>
              <w:spacing w:line="230" w:lineRule="exact"/>
              <w:ind w:firstLine="0" w:firstLineChars="0"/>
              <w:jc w:val="center"/>
              <w:rPr>
                <w:color w:val="auto"/>
                <w:sz w:val="21"/>
                <w:szCs w:val="21"/>
              </w:rPr>
            </w:pPr>
            <w:r>
              <w:rPr>
                <w:rFonts w:hint="eastAsia"/>
                <w:color w:val="auto"/>
                <w:sz w:val="21"/>
                <w:szCs w:val="21"/>
              </w:rPr>
              <w:t>mg/L</w:t>
            </w:r>
          </w:p>
        </w:tc>
      </w:tr>
      <w:tr w14:paraId="2289C4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84" w:hRule="atLeast"/>
          <w:jc w:val="center"/>
        </w:trPr>
        <w:tc>
          <w:tcPr>
            <w:tcW w:w="586" w:type="pct"/>
            <w:vMerge w:val="continue"/>
            <w:vAlign w:val="center"/>
          </w:tcPr>
          <w:p w14:paraId="001F783F">
            <w:pPr>
              <w:widowControl/>
              <w:adjustRightInd/>
              <w:snapToGrid/>
              <w:spacing w:line="240" w:lineRule="auto"/>
              <w:ind w:firstLine="0" w:firstLineChars="0"/>
              <w:jc w:val="left"/>
              <w:rPr>
                <w:color w:val="auto"/>
                <w:sz w:val="21"/>
                <w:szCs w:val="21"/>
              </w:rPr>
            </w:pPr>
          </w:p>
        </w:tc>
        <w:tc>
          <w:tcPr>
            <w:tcW w:w="900" w:type="pct"/>
            <w:gridSpan w:val="2"/>
            <w:vAlign w:val="center"/>
          </w:tcPr>
          <w:p w14:paraId="0E0E4C64">
            <w:pPr>
              <w:pStyle w:val="276"/>
              <w:rPr>
                <w:color w:val="auto"/>
              </w:rPr>
            </w:pPr>
            <w:r>
              <w:rPr>
                <w:rFonts w:hint="eastAsia"/>
                <w:color w:val="auto"/>
              </w:rPr>
              <w:t>DS</w:t>
            </w:r>
            <w:r>
              <w:rPr>
                <w:rFonts w:hint="eastAsia"/>
                <w:color w:val="auto"/>
                <w:lang w:val="en-US"/>
              </w:rPr>
              <w:t>1</w:t>
            </w:r>
          </w:p>
        </w:tc>
        <w:tc>
          <w:tcPr>
            <w:tcW w:w="886" w:type="pct"/>
            <w:gridSpan w:val="2"/>
            <w:vAlign w:val="center"/>
          </w:tcPr>
          <w:p w14:paraId="2DAAA3FF">
            <w:pPr>
              <w:pStyle w:val="276"/>
              <w:rPr>
                <w:color w:val="auto"/>
              </w:rPr>
            </w:pPr>
            <w:r>
              <w:rPr>
                <w:rFonts w:hint="eastAsia"/>
                <w:color w:val="auto"/>
              </w:rPr>
              <w:t>DS</w:t>
            </w:r>
            <w:r>
              <w:rPr>
                <w:rFonts w:hint="eastAsia"/>
                <w:color w:val="auto"/>
                <w:lang w:val="en-US"/>
              </w:rPr>
              <w:t>2</w:t>
            </w:r>
          </w:p>
        </w:tc>
        <w:tc>
          <w:tcPr>
            <w:tcW w:w="866" w:type="pct"/>
            <w:gridSpan w:val="2"/>
            <w:vAlign w:val="center"/>
          </w:tcPr>
          <w:p w14:paraId="6BBF8F64">
            <w:pPr>
              <w:pStyle w:val="276"/>
              <w:rPr>
                <w:color w:val="auto"/>
              </w:rPr>
            </w:pPr>
            <w:r>
              <w:rPr>
                <w:rFonts w:hint="eastAsia"/>
                <w:color w:val="auto"/>
              </w:rPr>
              <w:t>DS</w:t>
            </w:r>
            <w:r>
              <w:rPr>
                <w:rFonts w:hint="eastAsia"/>
                <w:color w:val="auto"/>
                <w:lang w:val="en-US"/>
              </w:rPr>
              <w:t>3</w:t>
            </w:r>
          </w:p>
        </w:tc>
        <w:tc>
          <w:tcPr>
            <w:tcW w:w="756" w:type="pct"/>
            <w:gridSpan w:val="2"/>
            <w:vAlign w:val="center"/>
          </w:tcPr>
          <w:p w14:paraId="6248FDC9">
            <w:pPr>
              <w:pStyle w:val="276"/>
              <w:rPr>
                <w:color w:val="auto"/>
              </w:rPr>
            </w:pPr>
            <w:r>
              <w:rPr>
                <w:rFonts w:hint="eastAsia"/>
                <w:color w:val="auto"/>
              </w:rPr>
              <w:t>DS</w:t>
            </w:r>
            <w:r>
              <w:rPr>
                <w:rFonts w:hint="eastAsia"/>
                <w:color w:val="auto"/>
                <w:lang w:val="en-US"/>
              </w:rPr>
              <w:t>4</w:t>
            </w:r>
          </w:p>
        </w:tc>
        <w:tc>
          <w:tcPr>
            <w:tcW w:w="712" w:type="pct"/>
            <w:gridSpan w:val="2"/>
            <w:vAlign w:val="center"/>
          </w:tcPr>
          <w:p w14:paraId="4C8BEE1E">
            <w:pPr>
              <w:pStyle w:val="276"/>
              <w:rPr>
                <w:color w:val="auto"/>
              </w:rPr>
            </w:pPr>
            <w:r>
              <w:rPr>
                <w:rFonts w:hint="eastAsia"/>
                <w:color w:val="auto"/>
              </w:rPr>
              <w:t>DS</w:t>
            </w:r>
            <w:r>
              <w:rPr>
                <w:rFonts w:hint="eastAsia"/>
                <w:color w:val="auto"/>
                <w:lang w:val="en-US"/>
              </w:rPr>
              <w:t>5</w:t>
            </w:r>
          </w:p>
        </w:tc>
        <w:tc>
          <w:tcPr>
            <w:tcW w:w="292" w:type="pct"/>
            <w:vMerge w:val="continue"/>
            <w:vAlign w:val="center"/>
          </w:tcPr>
          <w:p w14:paraId="571E4878">
            <w:pPr>
              <w:widowControl/>
              <w:adjustRightInd/>
              <w:snapToGrid/>
              <w:spacing w:line="240" w:lineRule="auto"/>
              <w:ind w:firstLine="0" w:firstLineChars="0"/>
              <w:jc w:val="left"/>
              <w:rPr>
                <w:color w:val="auto"/>
                <w:sz w:val="21"/>
                <w:szCs w:val="21"/>
              </w:rPr>
            </w:pPr>
          </w:p>
        </w:tc>
      </w:tr>
      <w:tr w14:paraId="2FDF71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84" w:hRule="atLeast"/>
          <w:jc w:val="center"/>
        </w:trPr>
        <w:tc>
          <w:tcPr>
            <w:tcW w:w="586" w:type="pct"/>
            <w:vMerge w:val="continue"/>
            <w:vAlign w:val="center"/>
          </w:tcPr>
          <w:p w14:paraId="12A45EAF">
            <w:pPr>
              <w:widowControl/>
              <w:adjustRightInd/>
              <w:snapToGrid/>
              <w:spacing w:line="240" w:lineRule="auto"/>
              <w:ind w:firstLine="0" w:firstLineChars="0"/>
              <w:jc w:val="left"/>
              <w:rPr>
                <w:color w:val="auto"/>
                <w:sz w:val="21"/>
                <w:szCs w:val="21"/>
              </w:rPr>
            </w:pPr>
          </w:p>
        </w:tc>
        <w:tc>
          <w:tcPr>
            <w:tcW w:w="469" w:type="pct"/>
            <w:vAlign w:val="center"/>
          </w:tcPr>
          <w:p w14:paraId="620D1C0F">
            <w:pPr>
              <w:pStyle w:val="276"/>
              <w:rPr>
                <w:color w:val="auto"/>
              </w:rPr>
            </w:pPr>
            <w:r>
              <w:rPr>
                <w:rFonts w:hint="eastAsia"/>
                <w:color w:val="auto"/>
              </w:rPr>
              <w:t>浓度mg/L</w:t>
            </w:r>
          </w:p>
        </w:tc>
        <w:tc>
          <w:tcPr>
            <w:tcW w:w="430" w:type="pct"/>
            <w:vAlign w:val="center"/>
          </w:tcPr>
          <w:p w14:paraId="2848EFD3">
            <w:pPr>
              <w:pStyle w:val="276"/>
              <w:rPr>
                <w:color w:val="auto"/>
              </w:rPr>
            </w:pPr>
            <w:r>
              <w:rPr>
                <w:rFonts w:hint="eastAsia"/>
                <w:color w:val="auto"/>
              </w:rPr>
              <w:t>最大标准指数</w:t>
            </w:r>
          </w:p>
        </w:tc>
        <w:tc>
          <w:tcPr>
            <w:tcW w:w="464" w:type="pct"/>
            <w:vAlign w:val="center"/>
          </w:tcPr>
          <w:p w14:paraId="494F3B66">
            <w:pPr>
              <w:pStyle w:val="276"/>
              <w:rPr>
                <w:color w:val="auto"/>
              </w:rPr>
            </w:pPr>
            <w:r>
              <w:rPr>
                <w:rFonts w:hint="eastAsia"/>
                <w:color w:val="auto"/>
              </w:rPr>
              <w:t>浓度mg/L</w:t>
            </w:r>
          </w:p>
        </w:tc>
        <w:tc>
          <w:tcPr>
            <w:tcW w:w="422" w:type="pct"/>
            <w:vAlign w:val="center"/>
          </w:tcPr>
          <w:p w14:paraId="0CAB1814">
            <w:pPr>
              <w:pStyle w:val="276"/>
              <w:rPr>
                <w:color w:val="auto"/>
              </w:rPr>
            </w:pPr>
            <w:r>
              <w:rPr>
                <w:rFonts w:hint="eastAsia"/>
                <w:color w:val="auto"/>
              </w:rPr>
              <w:t>最大标准指数</w:t>
            </w:r>
          </w:p>
        </w:tc>
        <w:tc>
          <w:tcPr>
            <w:tcW w:w="462" w:type="pct"/>
            <w:vAlign w:val="center"/>
          </w:tcPr>
          <w:p w14:paraId="27FCB82B">
            <w:pPr>
              <w:pStyle w:val="276"/>
              <w:rPr>
                <w:color w:val="auto"/>
              </w:rPr>
            </w:pPr>
            <w:r>
              <w:rPr>
                <w:rFonts w:hint="eastAsia"/>
                <w:color w:val="auto"/>
              </w:rPr>
              <w:t>浓度mg/L</w:t>
            </w:r>
          </w:p>
        </w:tc>
        <w:tc>
          <w:tcPr>
            <w:tcW w:w="404" w:type="pct"/>
            <w:vAlign w:val="center"/>
          </w:tcPr>
          <w:p w14:paraId="5D69E1B0">
            <w:pPr>
              <w:pStyle w:val="276"/>
              <w:rPr>
                <w:color w:val="auto"/>
              </w:rPr>
            </w:pPr>
            <w:r>
              <w:rPr>
                <w:rFonts w:hint="eastAsia"/>
                <w:color w:val="auto"/>
              </w:rPr>
              <w:t>最大标准指数</w:t>
            </w:r>
          </w:p>
        </w:tc>
        <w:tc>
          <w:tcPr>
            <w:tcW w:w="387" w:type="pct"/>
            <w:vAlign w:val="center"/>
          </w:tcPr>
          <w:p w14:paraId="0D559D23">
            <w:pPr>
              <w:pStyle w:val="276"/>
              <w:rPr>
                <w:color w:val="auto"/>
              </w:rPr>
            </w:pPr>
            <w:r>
              <w:rPr>
                <w:rFonts w:hint="eastAsia"/>
                <w:color w:val="auto"/>
              </w:rPr>
              <w:t>浓度mg/L</w:t>
            </w:r>
          </w:p>
        </w:tc>
        <w:tc>
          <w:tcPr>
            <w:tcW w:w="369" w:type="pct"/>
            <w:vAlign w:val="center"/>
          </w:tcPr>
          <w:p w14:paraId="034BB141">
            <w:pPr>
              <w:pStyle w:val="276"/>
              <w:rPr>
                <w:color w:val="auto"/>
              </w:rPr>
            </w:pPr>
            <w:r>
              <w:rPr>
                <w:rFonts w:hint="eastAsia"/>
                <w:color w:val="auto"/>
              </w:rPr>
              <w:t>最大标准指数</w:t>
            </w:r>
          </w:p>
        </w:tc>
        <w:tc>
          <w:tcPr>
            <w:tcW w:w="387" w:type="pct"/>
            <w:vAlign w:val="center"/>
          </w:tcPr>
          <w:p w14:paraId="2D5A85F2">
            <w:pPr>
              <w:pStyle w:val="276"/>
              <w:rPr>
                <w:color w:val="auto"/>
              </w:rPr>
            </w:pPr>
            <w:r>
              <w:rPr>
                <w:rFonts w:hint="eastAsia"/>
                <w:color w:val="auto"/>
              </w:rPr>
              <w:t>浓度mg/L</w:t>
            </w:r>
          </w:p>
        </w:tc>
        <w:tc>
          <w:tcPr>
            <w:tcW w:w="325" w:type="pct"/>
            <w:vAlign w:val="center"/>
          </w:tcPr>
          <w:p w14:paraId="0C88E8FA">
            <w:pPr>
              <w:pStyle w:val="276"/>
              <w:rPr>
                <w:color w:val="auto"/>
              </w:rPr>
            </w:pPr>
            <w:r>
              <w:rPr>
                <w:rFonts w:hint="eastAsia"/>
                <w:color w:val="auto"/>
              </w:rPr>
              <w:t>最大标准指数</w:t>
            </w:r>
          </w:p>
        </w:tc>
        <w:tc>
          <w:tcPr>
            <w:tcW w:w="292" w:type="pct"/>
            <w:vMerge w:val="continue"/>
            <w:vAlign w:val="center"/>
          </w:tcPr>
          <w:p w14:paraId="472665F9">
            <w:pPr>
              <w:widowControl/>
              <w:adjustRightInd/>
              <w:snapToGrid/>
              <w:spacing w:line="240" w:lineRule="auto"/>
              <w:ind w:firstLine="0" w:firstLineChars="0"/>
              <w:jc w:val="left"/>
              <w:rPr>
                <w:color w:val="auto"/>
                <w:sz w:val="21"/>
                <w:szCs w:val="21"/>
              </w:rPr>
            </w:pPr>
          </w:p>
        </w:tc>
      </w:tr>
      <w:tr w14:paraId="6BC511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83" w:hRule="atLeast"/>
          <w:jc w:val="center"/>
        </w:trPr>
        <w:tc>
          <w:tcPr>
            <w:tcW w:w="586" w:type="pct"/>
            <w:shd w:val="clear" w:color="auto" w:fill="auto"/>
            <w:vAlign w:val="center"/>
          </w:tcPr>
          <w:p w14:paraId="5879E11E">
            <w:pPr>
              <w:pStyle w:val="276"/>
              <w:rPr>
                <w:color w:val="auto"/>
              </w:rPr>
            </w:pPr>
            <w:r>
              <w:rPr>
                <w:rFonts w:hint="eastAsia"/>
                <w:color w:val="auto"/>
              </w:rPr>
              <w:t>pH（无量纲）</w:t>
            </w:r>
          </w:p>
        </w:tc>
        <w:tc>
          <w:tcPr>
            <w:tcW w:w="469" w:type="pct"/>
            <w:shd w:val="clear" w:color="auto" w:fill="auto"/>
            <w:vAlign w:val="center"/>
          </w:tcPr>
          <w:p w14:paraId="42731C47">
            <w:pPr>
              <w:pStyle w:val="276"/>
              <w:rPr>
                <w:color w:val="auto"/>
                <w:lang w:val="en-US"/>
              </w:rPr>
            </w:pPr>
            <w:r>
              <w:rPr>
                <w:rFonts w:hint="eastAsia"/>
                <w:color w:val="auto"/>
                <w:lang w:val="en-US" w:eastAsia="zh-CN"/>
              </w:rPr>
              <w:t>7.4</w:t>
            </w:r>
          </w:p>
        </w:tc>
        <w:tc>
          <w:tcPr>
            <w:tcW w:w="430" w:type="pct"/>
            <w:shd w:val="clear" w:color="auto" w:fill="auto"/>
            <w:vAlign w:val="center"/>
          </w:tcPr>
          <w:p w14:paraId="4B56D859">
            <w:pPr>
              <w:pStyle w:val="276"/>
              <w:rPr>
                <w:color w:val="auto"/>
                <w:lang w:val="en-US"/>
              </w:rPr>
            </w:pPr>
            <w:r>
              <w:rPr>
                <w:rFonts w:hint="eastAsia"/>
                <w:color w:val="auto"/>
                <w:lang w:val="en-US" w:eastAsia="zh-CN"/>
              </w:rPr>
              <w:t>0.267</w:t>
            </w:r>
          </w:p>
        </w:tc>
        <w:tc>
          <w:tcPr>
            <w:tcW w:w="464" w:type="pct"/>
            <w:shd w:val="clear" w:color="auto" w:fill="auto"/>
            <w:vAlign w:val="center"/>
          </w:tcPr>
          <w:p w14:paraId="0FDC034C">
            <w:pPr>
              <w:pStyle w:val="276"/>
              <w:rPr>
                <w:color w:val="auto"/>
                <w:lang w:val="en-US"/>
              </w:rPr>
            </w:pPr>
            <w:r>
              <w:rPr>
                <w:rFonts w:hint="eastAsia"/>
                <w:color w:val="auto"/>
                <w:lang w:val="en-US" w:eastAsia="zh-CN"/>
              </w:rPr>
              <w:t>7.2</w:t>
            </w:r>
          </w:p>
        </w:tc>
        <w:tc>
          <w:tcPr>
            <w:tcW w:w="422" w:type="pct"/>
            <w:shd w:val="clear" w:color="auto" w:fill="auto"/>
            <w:vAlign w:val="center"/>
          </w:tcPr>
          <w:p w14:paraId="0C7E6063">
            <w:pPr>
              <w:pStyle w:val="276"/>
              <w:rPr>
                <w:color w:val="auto"/>
                <w:lang w:val="en-US"/>
              </w:rPr>
            </w:pPr>
            <w:r>
              <w:rPr>
                <w:rFonts w:hint="eastAsia"/>
                <w:color w:val="auto"/>
                <w:lang w:val="en-US" w:eastAsia="zh-CN"/>
              </w:rPr>
              <w:t>0.133</w:t>
            </w:r>
          </w:p>
        </w:tc>
        <w:tc>
          <w:tcPr>
            <w:tcW w:w="462" w:type="pct"/>
            <w:shd w:val="clear" w:color="auto" w:fill="auto"/>
            <w:vAlign w:val="center"/>
          </w:tcPr>
          <w:p w14:paraId="30711A1D">
            <w:pPr>
              <w:pStyle w:val="276"/>
              <w:rPr>
                <w:color w:val="auto"/>
                <w:lang w:val="en-US"/>
              </w:rPr>
            </w:pPr>
            <w:r>
              <w:rPr>
                <w:rFonts w:hint="eastAsia"/>
                <w:color w:val="auto"/>
                <w:lang w:val="en-US" w:eastAsia="zh-CN"/>
              </w:rPr>
              <w:t>7.1</w:t>
            </w:r>
          </w:p>
        </w:tc>
        <w:tc>
          <w:tcPr>
            <w:tcW w:w="404" w:type="pct"/>
            <w:shd w:val="clear" w:color="auto" w:fill="auto"/>
            <w:vAlign w:val="center"/>
          </w:tcPr>
          <w:p w14:paraId="19DDBA05">
            <w:pPr>
              <w:pStyle w:val="276"/>
              <w:rPr>
                <w:color w:val="auto"/>
                <w:lang w:val="en-US"/>
              </w:rPr>
            </w:pPr>
            <w:r>
              <w:rPr>
                <w:rFonts w:hint="eastAsia"/>
                <w:color w:val="auto"/>
                <w:lang w:val="en-US" w:eastAsia="zh-CN"/>
              </w:rPr>
              <w:t>0.067</w:t>
            </w:r>
          </w:p>
        </w:tc>
        <w:tc>
          <w:tcPr>
            <w:tcW w:w="387" w:type="pct"/>
            <w:shd w:val="clear" w:color="auto" w:fill="auto"/>
            <w:vAlign w:val="center"/>
          </w:tcPr>
          <w:p w14:paraId="71E2E5A9">
            <w:pPr>
              <w:pStyle w:val="276"/>
              <w:ind w:firstLine="0" w:firstLineChars="0"/>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8.0</w:t>
            </w:r>
          </w:p>
        </w:tc>
        <w:tc>
          <w:tcPr>
            <w:tcW w:w="1042" w:type="dxa"/>
            <w:shd w:val="clear" w:color="auto" w:fill="auto"/>
            <w:vAlign w:val="center"/>
          </w:tcPr>
          <w:p w14:paraId="62223B05">
            <w:pPr>
              <w:pStyle w:val="276"/>
              <w:ind w:firstLine="0" w:firstLineChars="0"/>
              <w:rPr>
                <w:rFonts w:hint="eastAsia"/>
                <w:color w:val="auto"/>
                <w:lang w:val="en-US" w:eastAsia="zh-CN"/>
              </w:rPr>
            </w:pPr>
            <w:r>
              <w:rPr>
                <w:rFonts w:hint="eastAsia"/>
                <w:color w:val="auto"/>
                <w:lang w:val="en-US" w:eastAsia="zh-CN"/>
              </w:rPr>
              <w:t>0.667</w:t>
            </w:r>
          </w:p>
        </w:tc>
        <w:tc>
          <w:tcPr>
            <w:tcW w:w="1093" w:type="dxa"/>
            <w:shd w:val="clear" w:color="auto" w:fill="auto"/>
            <w:vAlign w:val="center"/>
          </w:tcPr>
          <w:p w14:paraId="1EE9A00D">
            <w:pPr>
              <w:pStyle w:val="276"/>
              <w:ind w:firstLine="0" w:firstLineChars="0"/>
              <w:rPr>
                <w:rFonts w:hint="default"/>
                <w:color w:val="auto"/>
                <w:lang w:val="en-US" w:eastAsia="zh-CN"/>
              </w:rPr>
            </w:pPr>
            <w:r>
              <w:rPr>
                <w:rFonts w:hint="default"/>
                <w:color w:val="auto"/>
                <w:lang w:val="en-US" w:eastAsia="zh-CN"/>
              </w:rPr>
              <w:t>8.2</w:t>
            </w:r>
          </w:p>
        </w:tc>
        <w:tc>
          <w:tcPr>
            <w:tcW w:w="921" w:type="dxa"/>
            <w:shd w:val="clear" w:color="auto" w:fill="auto"/>
            <w:vAlign w:val="center"/>
          </w:tcPr>
          <w:p w14:paraId="0A0BF07C">
            <w:pPr>
              <w:pStyle w:val="276"/>
              <w:ind w:firstLine="0" w:firstLineChars="0"/>
              <w:rPr>
                <w:rFonts w:hint="eastAsia"/>
                <w:color w:val="auto"/>
                <w:lang w:val="en-US" w:eastAsia="zh-CN"/>
              </w:rPr>
            </w:pPr>
            <w:r>
              <w:rPr>
                <w:rFonts w:hint="eastAsia"/>
                <w:color w:val="auto"/>
                <w:lang w:val="en-US" w:eastAsia="zh-CN"/>
              </w:rPr>
              <w:t>0.8</w:t>
            </w:r>
          </w:p>
        </w:tc>
        <w:tc>
          <w:tcPr>
            <w:tcW w:w="292" w:type="pct"/>
            <w:shd w:val="clear" w:color="auto" w:fill="auto"/>
            <w:vAlign w:val="center"/>
          </w:tcPr>
          <w:p w14:paraId="65057CAE">
            <w:pPr>
              <w:pStyle w:val="276"/>
              <w:rPr>
                <w:color w:val="auto"/>
              </w:rPr>
            </w:pPr>
            <w:r>
              <w:rPr>
                <w:rFonts w:hint="eastAsia"/>
                <w:color w:val="auto"/>
              </w:rPr>
              <w:t>6.5~8.5</w:t>
            </w:r>
          </w:p>
        </w:tc>
      </w:tr>
      <w:tr w14:paraId="6961FF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84" w:hRule="atLeast"/>
          <w:jc w:val="center"/>
        </w:trPr>
        <w:tc>
          <w:tcPr>
            <w:tcW w:w="586" w:type="pct"/>
            <w:shd w:val="clear" w:color="auto" w:fill="auto"/>
            <w:vAlign w:val="center"/>
          </w:tcPr>
          <w:p w14:paraId="13B7049D">
            <w:pPr>
              <w:pStyle w:val="276"/>
              <w:rPr>
                <w:color w:val="auto"/>
              </w:rPr>
            </w:pPr>
            <w:r>
              <w:rPr>
                <w:rFonts w:hint="eastAsia"/>
                <w:color w:val="auto"/>
              </w:rPr>
              <w:t>硝酸盐（以N计）</w:t>
            </w:r>
          </w:p>
        </w:tc>
        <w:tc>
          <w:tcPr>
            <w:tcW w:w="469" w:type="pct"/>
            <w:shd w:val="clear" w:color="auto" w:fill="auto"/>
            <w:vAlign w:val="center"/>
          </w:tcPr>
          <w:p w14:paraId="6093AFFC">
            <w:pPr>
              <w:pStyle w:val="276"/>
              <w:rPr>
                <w:color w:val="auto"/>
                <w:lang w:val="en-US"/>
              </w:rPr>
            </w:pPr>
            <w:r>
              <w:rPr>
                <w:rFonts w:hint="eastAsia"/>
                <w:color w:val="auto"/>
                <w:lang w:val="en-US" w:eastAsia="zh-CN"/>
              </w:rPr>
              <w:t>0.121</w:t>
            </w:r>
          </w:p>
        </w:tc>
        <w:tc>
          <w:tcPr>
            <w:tcW w:w="430" w:type="pct"/>
            <w:shd w:val="clear" w:color="auto" w:fill="auto"/>
            <w:vAlign w:val="center"/>
          </w:tcPr>
          <w:p w14:paraId="05371AF4">
            <w:pPr>
              <w:pStyle w:val="276"/>
              <w:rPr>
                <w:color w:val="auto"/>
                <w:lang w:val="en-US"/>
              </w:rPr>
            </w:pPr>
            <w:r>
              <w:rPr>
                <w:rFonts w:hint="eastAsia"/>
                <w:color w:val="auto"/>
                <w:lang w:val="en-US" w:eastAsia="zh-CN"/>
              </w:rPr>
              <w:t>0.006</w:t>
            </w:r>
          </w:p>
        </w:tc>
        <w:tc>
          <w:tcPr>
            <w:tcW w:w="464" w:type="pct"/>
            <w:shd w:val="clear" w:color="auto" w:fill="auto"/>
            <w:vAlign w:val="center"/>
          </w:tcPr>
          <w:p w14:paraId="1C83E4D9">
            <w:pPr>
              <w:pStyle w:val="276"/>
              <w:rPr>
                <w:color w:val="auto"/>
                <w:lang w:val="en-US"/>
              </w:rPr>
            </w:pPr>
            <w:r>
              <w:rPr>
                <w:rFonts w:hint="eastAsia"/>
                <w:color w:val="auto"/>
                <w:lang w:val="en-US" w:eastAsia="zh-CN"/>
              </w:rPr>
              <w:t>2.54</w:t>
            </w:r>
          </w:p>
        </w:tc>
        <w:tc>
          <w:tcPr>
            <w:tcW w:w="422" w:type="pct"/>
            <w:shd w:val="clear" w:color="auto" w:fill="auto"/>
            <w:vAlign w:val="center"/>
          </w:tcPr>
          <w:p w14:paraId="300A5780">
            <w:pPr>
              <w:pStyle w:val="276"/>
              <w:rPr>
                <w:color w:val="auto"/>
                <w:lang w:val="en-US"/>
              </w:rPr>
            </w:pPr>
            <w:r>
              <w:rPr>
                <w:rFonts w:hint="eastAsia"/>
                <w:color w:val="auto"/>
                <w:lang w:val="en-US" w:eastAsia="zh-CN"/>
              </w:rPr>
              <w:t>0.127</w:t>
            </w:r>
          </w:p>
        </w:tc>
        <w:tc>
          <w:tcPr>
            <w:tcW w:w="462" w:type="pct"/>
            <w:shd w:val="clear" w:color="auto" w:fill="auto"/>
            <w:vAlign w:val="center"/>
          </w:tcPr>
          <w:p w14:paraId="48AB4E73">
            <w:pPr>
              <w:pStyle w:val="276"/>
              <w:rPr>
                <w:color w:val="auto"/>
                <w:lang w:val="en-US"/>
              </w:rPr>
            </w:pPr>
            <w:r>
              <w:rPr>
                <w:rFonts w:hint="eastAsia"/>
                <w:color w:val="auto"/>
                <w:lang w:val="en-US" w:eastAsia="zh-CN"/>
              </w:rPr>
              <w:t>5.73</w:t>
            </w:r>
          </w:p>
        </w:tc>
        <w:tc>
          <w:tcPr>
            <w:tcW w:w="404" w:type="pct"/>
            <w:shd w:val="clear" w:color="auto" w:fill="auto"/>
            <w:vAlign w:val="center"/>
          </w:tcPr>
          <w:p w14:paraId="138772FD">
            <w:pPr>
              <w:pStyle w:val="276"/>
              <w:rPr>
                <w:color w:val="auto"/>
                <w:lang w:val="en-US"/>
              </w:rPr>
            </w:pPr>
            <w:r>
              <w:rPr>
                <w:rFonts w:hint="eastAsia"/>
                <w:color w:val="auto"/>
                <w:lang w:val="en-US" w:eastAsia="zh-CN"/>
              </w:rPr>
              <w:t>0.287</w:t>
            </w:r>
          </w:p>
        </w:tc>
        <w:tc>
          <w:tcPr>
            <w:tcW w:w="387" w:type="pct"/>
            <w:shd w:val="clear" w:color="auto" w:fill="auto"/>
            <w:vAlign w:val="center"/>
          </w:tcPr>
          <w:p w14:paraId="37CD122B">
            <w:pPr>
              <w:pStyle w:val="276"/>
              <w:ind w:firstLine="0" w:firstLineChars="0"/>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0.43</w:t>
            </w:r>
          </w:p>
        </w:tc>
        <w:tc>
          <w:tcPr>
            <w:tcW w:w="1042" w:type="dxa"/>
            <w:shd w:val="clear" w:color="auto" w:fill="auto"/>
            <w:vAlign w:val="center"/>
          </w:tcPr>
          <w:p w14:paraId="7E0434F0">
            <w:pPr>
              <w:pStyle w:val="276"/>
              <w:ind w:firstLine="0" w:firstLineChars="0"/>
              <w:rPr>
                <w:rFonts w:hint="eastAsia"/>
                <w:color w:val="auto"/>
                <w:lang w:val="en-US" w:eastAsia="zh-CN"/>
              </w:rPr>
            </w:pPr>
            <w:r>
              <w:rPr>
                <w:rFonts w:hint="eastAsia"/>
                <w:color w:val="auto"/>
                <w:lang w:val="en-US" w:eastAsia="zh-CN"/>
              </w:rPr>
              <w:t>0.022</w:t>
            </w:r>
          </w:p>
        </w:tc>
        <w:tc>
          <w:tcPr>
            <w:tcW w:w="1093" w:type="dxa"/>
            <w:shd w:val="clear" w:color="auto" w:fill="auto"/>
            <w:vAlign w:val="center"/>
          </w:tcPr>
          <w:p w14:paraId="3F74DDEE">
            <w:pPr>
              <w:pStyle w:val="276"/>
              <w:ind w:firstLine="0" w:firstLineChars="0"/>
              <w:rPr>
                <w:rFonts w:hint="default"/>
                <w:color w:val="auto"/>
                <w:lang w:val="en-US" w:eastAsia="zh-CN"/>
              </w:rPr>
            </w:pPr>
            <w:r>
              <w:rPr>
                <w:rFonts w:hint="default"/>
                <w:color w:val="auto"/>
                <w:lang w:val="en-US" w:eastAsia="zh-CN"/>
              </w:rPr>
              <w:t>0.56</w:t>
            </w:r>
          </w:p>
        </w:tc>
        <w:tc>
          <w:tcPr>
            <w:tcW w:w="921" w:type="dxa"/>
            <w:shd w:val="clear" w:color="auto" w:fill="auto"/>
            <w:vAlign w:val="center"/>
          </w:tcPr>
          <w:p w14:paraId="1A476E79">
            <w:pPr>
              <w:pStyle w:val="276"/>
              <w:ind w:firstLine="0" w:firstLineChars="0"/>
              <w:rPr>
                <w:rFonts w:hint="eastAsia"/>
                <w:color w:val="auto"/>
                <w:lang w:val="en-US" w:eastAsia="zh-CN"/>
              </w:rPr>
            </w:pPr>
            <w:r>
              <w:rPr>
                <w:rFonts w:hint="eastAsia"/>
                <w:color w:val="auto"/>
                <w:lang w:val="en-US" w:eastAsia="zh-CN"/>
              </w:rPr>
              <w:t>0.028</w:t>
            </w:r>
          </w:p>
        </w:tc>
        <w:tc>
          <w:tcPr>
            <w:tcW w:w="292" w:type="pct"/>
            <w:shd w:val="clear" w:color="auto" w:fill="auto"/>
            <w:vAlign w:val="center"/>
          </w:tcPr>
          <w:p w14:paraId="36159AE8">
            <w:pPr>
              <w:pStyle w:val="276"/>
              <w:rPr>
                <w:color w:val="auto"/>
                <w:lang w:val="en-US"/>
              </w:rPr>
            </w:pPr>
            <w:r>
              <w:rPr>
                <w:rFonts w:hint="eastAsia"/>
                <w:color w:val="auto"/>
                <w:lang w:val="en-US"/>
              </w:rPr>
              <w:t>20</w:t>
            </w:r>
          </w:p>
        </w:tc>
      </w:tr>
      <w:tr w14:paraId="104C8B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84" w:hRule="atLeast"/>
          <w:jc w:val="center"/>
        </w:trPr>
        <w:tc>
          <w:tcPr>
            <w:tcW w:w="586" w:type="pct"/>
            <w:shd w:val="clear" w:color="auto" w:fill="auto"/>
            <w:vAlign w:val="center"/>
          </w:tcPr>
          <w:p w14:paraId="7CDD8067">
            <w:pPr>
              <w:pStyle w:val="276"/>
              <w:rPr>
                <w:color w:val="auto"/>
              </w:rPr>
            </w:pPr>
            <w:r>
              <w:rPr>
                <w:rFonts w:hint="eastAsia"/>
                <w:color w:val="auto"/>
              </w:rPr>
              <w:t>亚硝酸盐（以N计）</w:t>
            </w:r>
          </w:p>
        </w:tc>
        <w:tc>
          <w:tcPr>
            <w:tcW w:w="469" w:type="pct"/>
            <w:shd w:val="clear" w:color="auto" w:fill="auto"/>
            <w:vAlign w:val="center"/>
          </w:tcPr>
          <w:p w14:paraId="72E09F81">
            <w:pPr>
              <w:pStyle w:val="276"/>
              <w:rPr>
                <w:color w:val="auto"/>
                <w:lang w:val="en-US"/>
              </w:rPr>
            </w:pPr>
            <w:r>
              <w:rPr>
                <w:rFonts w:hint="eastAsia"/>
                <w:color w:val="auto"/>
                <w:lang w:val="en-US" w:eastAsia="zh-CN"/>
              </w:rPr>
              <w:t>0.005L</w:t>
            </w:r>
          </w:p>
        </w:tc>
        <w:tc>
          <w:tcPr>
            <w:tcW w:w="430" w:type="pct"/>
            <w:shd w:val="clear" w:color="auto" w:fill="auto"/>
            <w:vAlign w:val="center"/>
          </w:tcPr>
          <w:p w14:paraId="3228D531">
            <w:pPr>
              <w:pStyle w:val="276"/>
              <w:rPr>
                <w:color w:val="auto"/>
                <w:lang w:val="en-US"/>
              </w:rPr>
            </w:pPr>
            <w:r>
              <w:rPr>
                <w:rFonts w:hint="eastAsia"/>
                <w:color w:val="auto"/>
                <w:lang w:val="en-US" w:eastAsia="zh-CN"/>
              </w:rPr>
              <w:t>/</w:t>
            </w:r>
          </w:p>
        </w:tc>
        <w:tc>
          <w:tcPr>
            <w:tcW w:w="464" w:type="pct"/>
            <w:shd w:val="clear" w:color="auto" w:fill="auto"/>
            <w:vAlign w:val="center"/>
          </w:tcPr>
          <w:p w14:paraId="375A8699">
            <w:pPr>
              <w:pStyle w:val="276"/>
              <w:rPr>
                <w:color w:val="auto"/>
                <w:lang w:val="en-US"/>
              </w:rPr>
            </w:pPr>
            <w:r>
              <w:rPr>
                <w:rFonts w:hint="eastAsia"/>
                <w:color w:val="auto"/>
                <w:lang w:val="en-US" w:eastAsia="zh-CN"/>
              </w:rPr>
              <w:t>0.005L</w:t>
            </w:r>
          </w:p>
        </w:tc>
        <w:tc>
          <w:tcPr>
            <w:tcW w:w="422" w:type="pct"/>
            <w:shd w:val="clear" w:color="auto" w:fill="auto"/>
            <w:vAlign w:val="center"/>
          </w:tcPr>
          <w:p w14:paraId="0B5DF136">
            <w:pPr>
              <w:pStyle w:val="276"/>
              <w:rPr>
                <w:color w:val="auto"/>
                <w:lang w:val="en-US"/>
              </w:rPr>
            </w:pPr>
            <w:r>
              <w:rPr>
                <w:rFonts w:hint="eastAsia"/>
                <w:color w:val="auto"/>
                <w:lang w:val="en-US" w:eastAsia="zh-CN"/>
              </w:rPr>
              <w:t>/</w:t>
            </w:r>
          </w:p>
        </w:tc>
        <w:tc>
          <w:tcPr>
            <w:tcW w:w="462" w:type="pct"/>
            <w:shd w:val="clear" w:color="auto" w:fill="auto"/>
            <w:vAlign w:val="center"/>
          </w:tcPr>
          <w:p w14:paraId="11311ADD">
            <w:pPr>
              <w:pStyle w:val="276"/>
              <w:rPr>
                <w:color w:val="auto"/>
                <w:lang w:val="en-US"/>
              </w:rPr>
            </w:pPr>
            <w:r>
              <w:rPr>
                <w:rFonts w:hint="eastAsia"/>
                <w:color w:val="auto"/>
                <w:lang w:val="en-US" w:eastAsia="zh-CN"/>
              </w:rPr>
              <w:t>0.005L</w:t>
            </w:r>
          </w:p>
        </w:tc>
        <w:tc>
          <w:tcPr>
            <w:tcW w:w="404" w:type="pct"/>
            <w:shd w:val="clear" w:color="auto" w:fill="auto"/>
            <w:vAlign w:val="center"/>
          </w:tcPr>
          <w:p w14:paraId="4CAF7C36">
            <w:pPr>
              <w:pStyle w:val="276"/>
              <w:rPr>
                <w:color w:val="auto"/>
                <w:lang w:val="en-US"/>
              </w:rPr>
            </w:pPr>
            <w:r>
              <w:rPr>
                <w:rFonts w:hint="eastAsia"/>
                <w:color w:val="auto"/>
                <w:lang w:val="en-US" w:eastAsia="zh-CN"/>
              </w:rPr>
              <w:t>/</w:t>
            </w:r>
          </w:p>
        </w:tc>
        <w:tc>
          <w:tcPr>
            <w:tcW w:w="387" w:type="pct"/>
            <w:shd w:val="clear" w:color="auto" w:fill="auto"/>
            <w:vAlign w:val="center"/>
          </w:tcPr>
          <w:p w14:paraId="7A65652B">
            <w:pPr>
              <w:pStyle w:val="276"/>
              <w:ind w:firstLine="0" w:firstLineChars="0"/>
              <w:rPr>
                <w:rFonts w:ascii="Times New Roman" w:hAnsi="Times New Roman" w:eastAsia="宋体" w:cs="Times New Roman"/>
                <w:color w:val="auto"/>
                <w:kern w:val="2"/>
                <w:sz w:val="21"/>
                <w:szCs w:val="21"/>
                <w:lang w:val="en-US" w:eastAsia="zh-CN" w:bidi="ar-SA"/>
              </w:rPr>
            </w:pPr>
            <w:r>
              <w:rPr>
                <w:rFonts w:hint="eastAsia"/>
                <w:color w:val="auto"/>
                <w:lang w:val="en-US" w:eastAsia="zh-CN"/>
              </w:rPr>
              <w:t>0.003L</w:t>
            </w:r>
          </w:p>
        </w:tc>
        <w:tc>
          <w:tcPr>
            <w:tcW w:w="1042" w:type="dxa"/>
            <w:shd w:val="clear" w:color="auto" w:fill="auto"/>
            <w:vAlign w:val="center"/>
          </w:tcPr>
          <w:p w14:paraId="17F60DA1">
            <w:pPr>
              <w:pStyle w:val="276"/>
              <w:ind w:firstLine="0" w:firstLineChars="0"/>
              <w:rPr>
                <w:rFonts w:hint="eastAsia"/>
                <w:color w:val="auto"/>
                <w:lang w:val="en-US" w:eastAsia="zh-CN"/>
              </w:rPr>
            </w:pPr>
            <w:r>
              <w:rPr>
                <w:rFonts w:hint="default"/>
                <w:color w:val="auto"/>
                <w:lang w:val="en-US" w:eastAsia="zh-CN"/>
              </w:rPr>
              <w:t>/</w:t>
            </w:r>
          </w:p>
        </w:tc>
        <w:tc>
          <w:tcPr>
            <w:tcW w:w="1093" w:type="dxa"/>
            <w:shd w:val="clear" w:color="auto" w:fill="auto"/>
            <w:vAlign w:val="center"/>
          </w:tcPr>
          <w:p w14:paraId="56D17808">
            <w:pPr>
              <w:pStyle w:val="276"/>
              <w:ind w:firstLine="0" w:firstLineChars="0"/>
              <w:rPr>
                <w:rFonts w:hint="eastAsia"/>
                <w:color w:val="auto"/>
                <w:lang w:val="en-US" w:eastAsia="zh-CN"/>
              </w:rPr>
            </w:pPr>
            <w:r>
              <w:rPr>
                <w:rFonts w:hint="default"/>
                <w:color w:val="auto"/>
                <w:lang w:val="en-US" w:eastAsia="zh-CN"/>
              </w:rPr>
              <w:t>0.003L</w:t>
            </w:r>
          </w:p>
        </w:tc>
        <w:tc>
          <w:tcPr>
            <w:tcW w:w="921" w:type="dxa"/>
            <w:shd w:val="clear" w:color="auto" w:fill="auto"/>
            <w:vAlign w:val="center"/>
          </w:tcPr>
          <w:p w14:paraId="78D20F0F">
            <w:pPr>
              <w:pStyle w:val="276"/>
              <w:ind w:firstLine="0" w:firstLineChars="0"/>
              <w:rPr>
                <w:rFonts w:hint="eastAsia"/>
                <w:color w:val="auto"/>
                <w:lang w:val="en-US" w:eastAsia="zh-CN"/>
              </w:rPr>
            </w:pPr>
            <w:r>
              <w:rPr>
                <w:rFonts w:hint="default"/>
                <w:color w:val="auto"/>
                <w:lang w:val="en-US" w:eastAsia="zh-CN"/>
              </w:rPr>
              <w:t>/</w:t>
            </w:r>
          </w:p>
        </w:tc>
        <w:tc>
          <w:tcPr>
            <w:tcW w:w="292" w:type="pct"/>
            <w:shd w:val="clear" w:color="auto" w:fill="auto"/>
            <w:vAlign w:val="center"/>
          </w:tcPr>
          <w:p w14:paraId="4FB3D383">
            <w:pPr>
              <w:pStyle w:val="276"/>
              <w:rPr>
                <w:color w:val="auto"/>
              </w:rPr>
            </w:pPr>
            <w:r>
              <w:rPr>
                <w:rFonts w:hint="eastAsia"/>
                <w:color w:val="auto"/>
              </w:rPr>
              <w:t>1</w:t>
            </w:r>
          </w:p>
        </w:tc>
      </w:tr>
      <w:tr w14:paraId="6024C7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84" w:hRule="atLeast"/>
          <w:jc w:val="center"/>
        </w:trPr>
        <w:tc>
          <w:tcPr>
            <w:tcW w:w="586" w:type="pct"/>
            <w:shd w:val="clear" w:color="auto" w:fill="auto"/>
            <w:vAlign w:val="center"/>
          </w:tcPr>
          <w:p w14:paraId="7E56E654">
            <w:pPr>
              <w:pStyle w:val="276"/>
              <w:rPr>
                <w:color w:val="auto"/>
              </w:rPr>
            </w:pPr>
            <w:r>
              <w:rPr>
                <w:rFonts w:hint="eastAsia"/>
                <w:color w:val="auto"/>
                <w:lang w:val="en-US"/>
              </w:rPr>
              <w:t>铁</w:t>
            </w:r>
          </w:p>
        </w:tc>
        <w:tc>
          <w:tcPr>
            <w:tcW w:w="469" w:type="pct"/>
            <w:shd w:val="clear" w:color="auto" w:fill="auto"/>
            <w:vAlign w:val="center"/>
          </w:tcPr>
          <w:p w14:paraId="3E5E4DCC">
            <w:pPr>
              <w:pStyle w:val="276"/>
              <w:rPr>
                <w:color w:val="auto"/>
                <w:lang w:val="en-US"/>
              </w:rPr>
            </w:pPr>
            <w:r>
              <w:rPr>
                <w:rFonts w:hint="eastAsia"/>
                <w:color w:val="auto"/>
                <w:lang w:val="en-US" w:eastAsia="zh-CN"/>
              </w:rPr>
              <w:t>0.01L</w:t>
            </w:r>
          </w:p>
        </w:tc>
        <w:tc>
          <w:tcPr>
            <w:tcW w:w="430" w:type="pct"/>
            <w:shd w:val="clear" w:color="auto" w:fill="auto"/>
            <w:vAlign w:val="center"/>
          </w:tcPr>
          <w:p w14:paraId="24FC05A9">
            <w:pPr>
              <w:pStyle w:val="276"/>
              <w:rPr>
                <w:color w:val="auto"/>
                <w:lang w:val="en-US"/>
              </w:rPr>
            </w:pPr>
            <w:r>
              <w:rPr>
                <w:rFonts w:hint="eastAsia"/>
                <w:color w:val="auto"/>
                <w:lang w:val="en-US" w:eastAsia="zh-CN"/>
              </w:rPr>
              <w:t>/</w:t>
            </w:r>
          </w:p>
        </w:tc>
        <w:tc>
          <w:tcPr>
            <w:tcW w:w="464" w:type="pct"/>
            <w:shd w:val="clear" w:color="auto" w:fill="auto"/>
            <w:vAlign w:val="center"/>
          </w:tcPr>
          <w:p w14:paraId="3E5E7236">
            <w:pPr>
              <w:pStyle w:val="276"/>
              <w:rPr>
                <w:color w:val="auto"/>
                <w:lang w:val="en-US"/>
              </w:rPr>
            </w:pPr>
            <w:r>
              <w:rPr>
                <w:rFonts w:hint="eastAsia"/>
                <w:color w:val="auto"/>
                <w:lang w:val="en-US" w:eastAsia="zh-CN"/>
              </w:rPr>
              <w:t>0.01L</w:t>
            </w:r>
          </w:p>
        </w:tc>
        <w:tc>
          <w:tcPr>
            <w:tcW w:w="422" w:type="pct"/>
            <w:shd w:val="clear" w:color="auto" w:fill="auto"/>
            <w:vAlign w:val="center"/>
          </w:tcPr>
          <w:p w14:paraId="03D2FF4C">
            <w:pPr>
              <w:pStyle w:val="276"/>
              <w:rPr>
                <w:color w:val="auto"/>
                <w:lang w:val="en-US"/>
              </w:rPr>
            </w:pPr>
            <w:r>
              <w:rPr>
                <w:rFonts w:hint="eastAsia"/>
                <w:color w:val="auto"/>
                <w:lang w:val="en-US" w:eastAsia="zh-CN"/>
              </w:rPr>
              <w:t>/</w:t>
            </w:r>
          </w:p>
        </w:tc>
        <w:tc>
          <w:tcPr>
            <w:tcW w:w="462" w:type="pct"/>
            <w:shd w:val="clear" w:color="auto" w:fill="auto"/>
            <w:vAlign w:val="center"/>
          </w:tcPr>
          <w:p w14:paraId="084A89E4">
            <w:pPr>
              <w:pStyle w:val="276"/>
              <w:rPr>
                <w:color w:val="auto"/>
                <w:lang w:val="en-US"/>
              </w:rPr>
            </w:pPr>
            <w:r>
              <w:rPr>
                <w:rFonts w:hint="eastAsia"/>
                <w:color w:val="auto"/>
                <w:lang w:val="en-US" w:eastAsia="zh-CN"/>
              </w:rPr>
              <w:t>0.01L</w:t>
            </w:r>
          </w:p>
        </w:tc>
        <w:tc>
          <w:tcPr>
            <w:tcW w:w="404" w:type="pct"/>
            <w:shd w:val="clear" w:color="auto" w:fill="auto"/>
            <w:vAlign w:val="center"/>
          </w:tcPr>
          <w:p w14:paraId="5E6168B7">
            <w:pPr>
              <w:pStyle w:val="276"/>
              <w:rPr>
                <w:color w:val="auto"/>
                <w:lang w:val="en-US"/>
              </w:rPr>
            </w:pPr>
            <w:r>
              <w:rPr>
                <w:rFonts w:hint="eastAsia"/>
                <w:color w:val="auto"/>
                <w:lang w:val="en-US" w:eastAsia="zh-CN"/>
              </w:rPr>
              <w:t>/</w:t>
            </w:r>
          </w:p>
        </w:tc>
        <w:tc>
          <w:tcPr>
            <w:tcW w:w="387" w:type="pct"/>
            <w:shd w:val="clear" w:color="auto" w:fill="auto"/>
            <w:vAlign w:val="center"/>
          </w:tcPr>
          <w:p w14:paraId="777FD264">
            <w:pPr>
              <w:pStyle w:val="276"/>
              <w:ind w:firstLine="0" w:firstLineChars="0"/>
              <w:rPr>
                <w:rFonts w:ascii="Times New Roman" w:hAnsi="Times New Roman" w:eastAsia="宋体" w:cs="Times New Roman"/>
                <w:color w:val="auto"/>
                <w:kern w:val="2"/>
                <w:sz w:val="21"/>
                <w:szCs w:val="21"/>
                <w:lang w:val="en-US" w:eastAsia="zh-CN" w:bidi="ar-SA"/>
              </w:rPr>
            </w:pPr>
            <w:r>
              <w:rPr>
                <w:rFonts w:hint="eastAsia"/>
                <w:color w:val="auto"/>
                <w:lang w:val="en-US" w:eastAsia="zh-CN"/>
              </w:rPr>
              <w:t>0.017L</w:t>
            </w:r>
          </w:p>
        </w:tc>
        <w:tc>
          <w:tcPr>
            <w:tcW w:w="1042" w:type="dxa"/>
            <w:shd w:val="clear" w:color="auto" w:fill="auto"/>
            <w:vAlign w:val="center"/>
          </w:tcPr>
          <w:p w14:paraId="20127AA0">
            <w:pPr>
              <w:pStyle w:val="276"/>
              <w:ind w:firstLine="0" w:firstLineChars="0"/>
              <w:rPr>
                <w:rFonts w:hint="eastAsia"/>
                <w:color w:val="auto"/>
                <w:lang w:val="en-US" w:eastAsia="zh-CN"/>
              </w:rPr>
            </w:pPr>
            <w:r>
              <w:rPr>
                <w:rFonts w:hint="default"/>
                <w:color w:val="auto"/>
                <w:lang w:val="en-US" w:eastAsia="zh-CN"/>
              </w:rPr>
              <w:t>/</w:t>
            </w:r>
          </w:p>
        </w:tc>
        <w:tc>
          <w:tcPr>
            <w:tcW w:w="1093" w:type="dxa"/>
            <w:shd w:val="clear" w:color="auto" w:fill="auto"/>
            <w:vAlign w:val="center"/>
          </w:tcPr>
          <w:p w14:paraId="60A9AD47">
            <w:pPr>
              <w:pStyle w:val="276"/>
              <w:ind w:firstLine="0" w:firstLineChars="0"/>
              <w:rPr>
                <w:rFonts w:hint="eastAsia"/>
                <w:color w:val="auto"/>
                <w:lang w:val="en-US" w:eastAsia="zh-CN"/>
              </w:rPr>
            </w:pPr>
            <w:r>
              <w:rPr>
                <w:rFonts w:hint="default"/>
                <w:color w:val="auto"/>
                <w:lang w:val="en-US" w:eastAsia="zh-CN"/>
              </w:rPr>
              <w:t>0.017L</w:t>
            </w:r>
          </w:p>
        </w:tc>
        <w:tc>
          <w:tcPr>
            <w:tcW w:w="921" w:type="dxa"/>
            <w:shd w:val="clear" w:color="auto" w:fill="auto"/>
            <w:vAlign w:val="center"/>
          </w:tcPr>
          <w:p w14:paraId="184D7931">
            <w:pPr>
              <w:pStyle w:val="276"/>
              <w:ind w:firstLine="0" w:firstLineChars="0"/>
              <w:rPr>
                <w:rFonts w:hint="eastAsia"/>
                <w:color w:val="auto"/>
                <w:lang w:val="en-US" w:eastAsia="zh-CN"/>
              </w:rPr>
            </w:pPr>
            <w:r>
              <w:rPr>
                <w:rFonts w:hint="default"/>
                <w:color w:val="auto"/>
                <w:lang w:val="en-US" w:eastAsia="zh-CN"/>
              </w:rPr>
              <w:t>/</w:t>
            </w:r>
          </w:p>
        </w:tc>
        <w:tc>
          <w:tcPr>
            <w:tcW w:w="292" w:type="pct"/>
            <w:shd w:val="clear" w:color="auto" w:fill="auto"/>
            <w:vAlign w:val="center"/>
          </w:tcPr>
          <w:p w14:paraId="2601623C">
            <w:pPr>
              <w:pStyle w:val="276"/>
              <w:rPr>
                <w:color w:val="auto"/>
              </w:rPr>
            </w:pPr>
            <w:r>
              <w:rPr>
                <w:color w:val="auto"/>
                <w:lang w:val="en-US"/>
              </w:rPr>
              <w:t>0.3</w:t>
            </w:r>
          </w:p>
        </w:tc>
      </w:tr>
      <w:tr w14:paraId="3A8698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84" w:hRule="atLeast"/>
          <w:jc w:val="center"/>
        </w:trPr>
        <w:tc>
          <w:tcPr>
            <w:tcW w:w="586" w:type="pct"/>
            <w:shd w:val="clear" w:color="auto" w:fill="auto"/>
            <w:vAlign w:val="center"/>
          </w:tcPr>
          <w:p w14:paraId="17829C8A">
            <w:pPr>
              <w:pStyle w:val="276"/>
              <w:rPr>
                <w:color w:val="auto"/>
              </w:rPr>
            </w:pPr>
            <w:r>
              <w:rPr>
                <w:rFonts w:hint="eastAsia"/>
                <w:color w:val="auto"/>
                <w:lang w:val="en-US"/>
              </w:rPr>
              <w:t>锰</w:t>
            </w:r>
          </w:p>
        </w:tc>
        <w:tc>
          <w:tcPr>
            <w:tcW w:w="469" w:type="pct"/>
            <w:shd w:val="clear" w:color="auto" w:fill="auto"/>
            <w:vAlign w:val="center"/>
          </w:tcPr>
          <w:p w14:paraId="59E8D4CA">
            <w:pPr>
              <w:pStyle w:val="276"/>
              <w:ind w:firstLine="0" w:firstLineChars="0"/>
              <w:rPr>
                <w:rFonts w:ascii="Times New Roman" w:hAnsi="Times New Roman" w:eastAsia="宋体" w:cs="Times New Roman"/>
                <w:color w:val="auto"/>
                <w:kern w:val="2"/>
                <w:sz w:val="21"/>
                <w:szCs w:val="21"/>
                <w:lang w:val="en-US" w:eastAsia="zh-CN" w:bidi="ar-SA"/>
              </w:rPr>
            </w:pPr>
            <w:r>
              <w:rPr>
                <w:rFonts w:hint="eastAsia"/>
                <w:color w:val="auto"/>
                <w:lang w:val="en-US" w:eastAsia="zh-CN"/>
              </w:rPr>
              <w:t>0.01L</w:t>
            </w:r>
          </w:p>
        </w:tc>
        <w:tc>
          <w:tcPr>
            <w:tcW w:w="430" w:type="pct"/>
            <w:shd w:val="clear" w:color="auto" w:fill="auto"/>
            <w:vAlign w:val="center"/>
          </w:tcPr>
          <w:p w14:paraId="49CECBEB">
            <w:pPr>
              <w:pStyle w:val="276"/>
              <w:ind w:firstLine="0" w:firstLineChars="0"/>
              <w:rPr>
                <w:rFonts w:ascii="Times New Roman" w:hAnsi="Times New Roman" w:eastAsia="宋体" w:cs="Times New Roman"/>
                <w:color w:val="auto"/>
                <w:kern w:val="2"/>
                <w:sz w:val="21"/>
                <w:szCs w:val="21"/>
                <w:lang w:val="en-US" w:eastAsia="zh-CN" w:bidi="ar-SA"/>
              </w:rPr>
            </w:pPr>
            <w:r>
              <w:rPr>
                <w:rFonts w:hint="eastAsia"/>
                <w:color w:val="auto"/>
                <w:lang w:val="en-US" w:eastAsia="zh-CN"/>
              </w:rPr>
              <w:t>/</w:t>
            </w:r>
          </w:p>
        </w:tc>
        <w:tc>
          <w:tcPr>
            <w:tcW w:w="464" w:type="pct"/>
            <w:shd w:val="clear" w:color="auto" w:fill="auto"/>
            <w:vAlign w:val="center"/>
          </w:tcPr>
          <w:p w14:paraId="2D8788EB">
            <w:pPr>
              <w:pStyle w:val="276"/>
              <w:ind w:firstLine="0" w:firstLineChars="0"/>
              <w:rPr>
                <w:rFonts w:ascii="Times New Roman" w:hAnsi="Times New Roman" w:eastAsia="宋体" w:cs="Times New Roman"/>
                <w:color w:val="auto"/>
                <w:kern w:val="2"/>
                <w:sz w:val="21"/>
                <w:szCs w:val="21"/>
                <w:lang w:val="en-US" w:eastAsia="zh-CN" w:bidi="ar-SA"/>
              </w:rPr>
            </w:pPr>
            <w:r>
              <w:rPr>
                <w:rFonts w:hint="eastAsia"/>
                <w:color w:val="auto"/>
                <w:lang w:val="en-US" w:eastAsia="zh-CN"/>
              </w:rPr>
              <w:t>0.01L</w:t>
            </w:r>
          </w:p>
        </w:tc>
        <w:tc>
          <w:tcPr>
            <w:tcW w:w="422" w:type="pct"/>
            <w:shd w:val="clear" w:color="auto" w:fill="auto"/>
            <w:vAlign w:val="center"/>
          </w:tcPr>
          <w:p w14:paraId="48B2A79D">
            <w:pPr>
              <w:pStyle w:val="276"/>
              <w:ind w:firstLine="0" w:firstLineChars="0"/>
              <w:rPr>
                <w:rFonts w:ascii="Times New Roman" w:hAnsi="Times New Roman" w:eastAsia="宋体" w:cs="Times New Roman"/>
                <w:color w:val="auto"/>
                <w:kern w:val="2"/>
                <w:sz w:val="21"/>
                <w:szCs w:val="21"/>
                <w:lang w:val="en-US" w:eastAsia="zh-CN" w:bidi="ar-SA"/>
              </w:rPr>
            </w:pPr>
            <w:r>
              <w:rPr>
                <w:rFonts w:hint="eastAsia"/>
                <w:color w:val="auto"/>
                <w:lang w:val="en-US" w:eastAsia="zh-CN"/>
              </w:rPr>
              <w:t>/</w:t>
            </w:r>
          </w:p>
        </w:tc>
        <w:tc>
          <w:tcPr>
            <w:tcW w:w="462" w:type="pct"/>
            <w:shd w:val="clear" w:color="auto" w:fill="auto"/>
            <w:vAlign w:val="center"/>
          </w:tcPr>
          <w:p w14:paraId="2BA5D424">
            <w:pPr>
              <w:pStyle w:val="276"/>
              <w:rPr>
                <w:color w:val="auto"/>
                <w:lang w:val="en-US"/>
              </w:rPr>
            </w:pPr>
            <w:r>
              <w:rPr>
                <w:rFonts w:hint="eastAsia"/>
                <w:color w:val="auto"/>
                <w:lang w:val="en-US" w:eastAsia="zh-CN"/>
              </w:rPr>
              <w:t>0.01L</w:t>
            </w:r>
          </w:p>
        </w:tc>
        <w:tc>
          <w:tcPr>
            <w:tcW w:w="404" w:type="pct"/>
            <w:shd w:val="clear" w:color="auto" w:fill="auto"/>
            <w:vAlign w:val="center"/>
          </w:tcPr>
          <w:p w14:paraId="7ADEB48A">
            <w:pPr>
              <w:pStyle w:val="276"/>
              <w:rPr>
                <w:color w:val="auto"/>
                <w:lang w:val="en-US"/>
              </w:rPr>
            </w:pPr>
            <w:r>
              <w:rPr>
                <w:rFonts w:hint="eastAsia"/>
                <w:color w:val="auto"/>
                <w:lang w:val="en-US" w:eastAsia="zh-CN"/>
              </w:rPr>
              <w:t>/</w:t>
            </w:r>
          </w:p>
        </w:tc>
        <w:tc>
          <w:tcPr>
            <w:tcW w:w="387" w:type="pct"/>
            <w:shd w:val="clear" w:color="auto" w:fill="auto"/>
            <w:vAlign w:val="center"/>
          </w:tcPr>
          <w:p w14:paraId="202FF640">
            <w:pPr>
              <w:pStyle w:val="276"/>
              <w:ind w:firstLine="0" w:firstLineChars="0"/>
              <w:rPr>
                <w:rFonts w:ascii="Times New Roman" w:hAnsi="Times New Roman" w:eastAsia="宋体" w:cs="Times New Roman"/>
                <w:color w:val="auto"/>
                <w:kern w:val="2"/>
                <w:sz w:val="21"/>
                <w:szCs w:val="21"/>
                <w:lang w:val="en-US" w:eastAsia="zh-CN" w:bidi="ar-SA"/>
              </w:rPr>
            </w:pPr>
            <w:r>
              <w:rPr>
                <w:rFonts w:hint="eastAsia"/>
                <w:color w:val="auto"/>
                <w:lang w:val="en-US" w:eastAsia="zh-CN"/>
              </w:rPr>
              <w:t>0.005L</w:t>
            </w:r>
          </w:p>
        </w:tc>
        <w:tc>
          <w:tcPr>
            <w:tcW w:w="1042" w:type="dxa"/>
            <w:shd w:val="clear" w:color="auto" w:fill="auto"/>
            <w:vAlign w:val="center"/>
          </w:tcPr>
          <w:p w14:paraId="46982F30">
            <w:pPr>
              <w:pStyle w:val="276"/>
              <w:ind w:firstLine="0" w:firstLineChars="0"/>
              <w:rPr>
                <w:rFonts w:hint="eastAsia"/>
                <w:color w:val="auto"/>
                <w:lang w:val="en-US" w:eastAsia="zh-CN"/>
              </w:rPr>
            </w:pPr>
            <w:r>
              <w:rPr>
                <w:rFonts w:hint="default"/>
                <w:color w:val="auto"/>
                <w:lang w:val="en-US" w:eastAsia="zh-CN"/>
              </w:rPr>
              <w:t>/</w:t>
            </w:r>
          </w:p>
        </w:tc>
        <w:tc>
          <w:tcPr>
            <w:tcW w:w="1093" w:type="dxa"/>
            <w:shd w:val="clear" w:color="auto" w:fill="auto"/>
            <w:vAlign w:val="center"/>
          </w:tcPr>
          <w:p w14:paraId="21AA1DA4">
            <w:pPr>
              <w:pStyle w:val="276"/>
              <w:ind w:firstLine="0" w:firstLineChars="0"/>
              <w:rPr>
                <w:rFonts w:hint="eastAsia"/>
                <w:color w:val="auto"/>
                <w:lang w:val="en-US" w:eastAsia="zh-CN"/>
              </w:rPr>
            </w:pPr>
            <w:r>
              <w:rPr>
                <w:rFonts w:hint="default"/>
                <w:color w:val="auto"/>
                <w:lang w:val="en-US" w:eastAsia="zh-CN"/>
              </w:rPr>
              <w:t>0.005L</w:t>
            </w:r>
          </w:p>
        </w:tc>
        <w:tc>
          <w:tcPr>
            <w:tcW w:w="921" w:type="dxa"/>
            <w:shd w:val="clear" w:color="auto" w:fill="auto"/>
            <w:vAlign w:val="center"/>
          </w:tcPr>
          <w:p w14:paraId="6BD50DF2">
            <w:pPr>
              <w:pStyle w:val="276"/>
              <w:ind w:firstLine="0" w:firstLineChars="0"/>
              <w:rPr>
                <w:rFonts w:hint="eastAsia"/>
                <w:color w:val="auto"/>
                <w:lang w:val="en-US" w:eastAsia="zh-CN"/>
              </w:rPr>
            </w:pPr>
            <w:r>
              <w:rPr>
                <w:rFonts w:hint="default"/>
                <w:color w:val="auto"/>
                <w:lang w:val="en-US" w:eastAsia="zh-CN"/>
              </w:rPr>
              <w:t>/</w:t>
            </w:r>
          </w:p>
        </w:tc>
        <w:tc>
          <w:tcPr>
            <w:tcW w:w="292" w:type="pct"/>
            <w:shd w:val="clear" w:color="auto" w:fill="auto"/>
            <w:vAlign w:val="center"/>
          </w:tcPr>
          <w:p w14:paraId="5CB33C67">
            <w:pPr>
              <w:pStyle w:val="276"/>
              <w:rPr>
                <w:color w:val="auto"/>
              </w:rPr>
            </w:pPr>
            <w:r>
              <w:rPr>
                <w:color w:val="auto"/>
                <w:lang w:val="en-US"/>
              </w:rPr>
              <w:t>0.1</w:t>
            </w:r>
          </w:p>
        </w:tc>
      </w:tr>
      <w:tr w14:paraId="146741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84" w:hRule="atLeast"/>
          <w:jc w:val="center"/>
        </w:trPr>
        <w:tc>
          <w:tcPr>
            <w:tcW w:w="586" w:type="pct"/>
            <w:shd w:val="clear" w:color="auto" w:fill="auto"/>
            <w:vAlign w:val="center"/>
          </w:tcPr>
          <w:p w14:paraId="3634C5BF">
            <w:pPr>
              <w:pStyle w:val="276"/>
              <w:rPr>
                <w:color w:val="auto"/>
              </w:rPr>
            </w:pPr>
            <w:r>
              <w:rPr>
                <w:rFonts w:hint="eastAsia"/>
                <w:color w:val="auto"/>
                <w:lang w:val="en-US"/>
              </w:rPr>
              <w:t>耗氧量</w:t>
            </w:r>
          </w:p>
        </w:tc>
        <w:tc>
          <w:tcPr>
            <w:tcW w:w="469" w:type="pct"/>
            <w:shd w:val="clear" w:color="auto" w:fill="auto"/>
            <w:vAlign w:val="center"/>
          </w:tcPr>
          <w:p w14:paraId="0482027C">
            <w:pPr>
              <w:pStyle w:val="276"/>
              <w:rPr>
                <w:color w:val="auto"/>
                <w:lang w:val="en-US"/>
              </w:rPr>
            </w:pPr>
            <w:r>
              <w:rPr>
                <w:rFonts w:hint="eastAsia"/>
                <w:color w:val="auto"/>
                <w:lang w:val="en-US" w:eastAsia="zh-CN"/>
              </w:rPr>
              <w:t>1.34</w:t>
            </w:r>
          </w:p>
        </w:tc>
        <w:tc>
          <w:tcPr>
            <w:tcW w:w="430" w:type="pct"/>
            <w:shd w:val="clear" w:color="auto" w:fill="auto"/>
            <w:vAlign w:val="center"/>
          </w:tcPr>
          <w:p w14:paraId="64892E49">
            <w:pPr>
              <w:pStyle w:val="276"/>
              <w:rPr>
                <w:color w:val="auto"/>
                <w:lang w:val="en-US"/>
              </w:rPr>
            </w:pPr>
            <w:r>
              <w:rPr>
                <w:rFonts w:hint="eastAsia"/>
                <w:color w:val="auto"/>
                <w:lang w:val="en-US" w:eastAsia="zh-CN"/>
              </w:rPr>
              <w:t>0.447</w:t>
            </w:r>
          </w:p>
        </w:tc>
        <w:tc>
          <w:tcPr>
            <w:tcW w:w="464" w:type="pct"/>
            <w:shd w:val="clear" w:color="auto" w:fill="auto"/>
            <w:vAlign w:val="center"/>
          </w:tcPr>
          <w:p w14:paraId="5FD390E2">
            <w:pPr>
              <w:pStyle w:val="276"/>
              <w:rPr>
                <w:color w:val="auto"/>
                <w:lang w:val="en-US"/>
              </w:rPr>
            </w:pPr>
            <w:r>
              <w:rPr>
                <w:rFonts w:hint="eastAsia"/>
                <w:color w:val="auto"/>
                <w:lang w:val="en-US" w:eastAsia="zh-CN"/>
              </w:rPr>
              <w:t>2.1</w:t>
            </w:r>
          </w:p>
        </w:tc>
        <w:tc>
          <w:tcPr>
            <w:tcW w:w="422" w:type="pct"/>
            <w:shd w:val="clear" w:color="auto" w:fill="auto"/>
            <w:vAlign w:val="center"/>
          </w:tcPr>
          <w:p w14:paraId="7D98D770">
            <w:pPr>
              <w:pStyle w:val="276"/>
              <w:rPr>
                <w:color w:val="auto"/>
                <w:lang w:val="en-US"/>
              </w:rPr>
            </w:pPr>
            <w:r>
              <w:rPr>
                <w:rFonts w:hint="eastAsia"/>
                <w:color w:val="auto"/>
                <w:lang w:val="en-US" w:eastAsia="zh-CN"/>
              </w:rPr>
              <w:t>0.7</w:t>
            </w:r>
          </w:p>
        </w:tc>
        <w:tc>
          <w:tcPr>
            <w:tcW w:w="462" w:type="pct"/>
            <w:shd w:val="clear" w:color="auto" w:fill="auto"/>
            <w:vAlign w:val="center"/>
          </w:tcPr>
          <w:p w14:paraId="07D634D9">
            <w:pPr>
              <w:pStyle w:val="276"/>
              <w:rPr>
                <w:color w:val="auto"/>
                <w:lang w:val="en-US"/>
              </w:rPr>
            </w:pPr>
            <w:r>
              <w:rPr>
                <w:rFonts w:hint="eastAsia"/>
                <w:color w:val="auto"/>
                <w:lang w:val="en-US" w:eastAsia="zh-CN"/>
              </w:rPr>
              <w:t>2.66</w:t>
            </w:r>
          </w:p>
        </w:tc>
        <w:tc>
          <w:tcPr>
            <w:tcW w:w="404" w:type="pct"/>
            <w:shd w:val="clear" w:color="auto" w:fill="auto"/>
            <w:vAlign w:val="center"/>
          </w:tcPr>
          <w:p w14:paraId="706B4C1D">
            <w:pPr>
              <w:pStyle w:val="276"/>
              <w:rPr>
                <w:color w:val="auto"/>
                <w:lang w:val="en-US"/>
              </w:rPr>
            </w:pPr>
            <w:r>
              <w:rPr>
                <w:rFonts w:hint="eastAsia"/>
                <w:color w:val="auto"/>
                <w:lang w:val="en-US" w:eastAsia="zh-CN"/>
              </w:rPr>
              <w:t>0.887</w:t>
            </w:r>
          </w:p>
        </w:tc>
        <w:tc>
          <w:tcPr>
            <w:tcW w:w="387" w:type="pct"/>
            <w:shd w:val="clear" w:color="auto" w:fill="auto"/>
            <w:vAlign w:val="center"/>
          </w:tcPr>
          <w:p w14:paraId="3EA7DFA1">
            <w:pPr>
              <w:pStyle w:val="276"/>
              <w:ind w:firstLine="0" w:firstLineChars="0"/>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2.5</w:t>
            </w:r>
          </w:p>
        </w:tc>
        <w:tc>
          <w:tcPr>
            <w:tcW w:w="1042" w:type="dxa"/>
            <w:shd w:val="clear" w:color="auto" w:fill="auto"/>
            <w:vAlign w:val="center"/>
          </w:tcPr>
          <w:p w14:paraId="71CDCC76">
            <w:pPr>
              <w:pStyle w:val="276"/>
              <w:ind w:firstLine="0" w:firstLineChars="0"/>
              <w:rPr>
                <w:rFonts w:hint="eastAsia"/>
                <w:color w:val="auto"/>
                <w:lang w:val="en-US" w:eastAsia="zh-CN"/>
              </w:rPr>
            </w:pPr>
            <w:r>
              <w:rPr>
                <w:rFonts w:hint="eastAsia"/>
                <w:color w:val="auto"/>
                <w:lang w:val="en-US" w:eastAsia="zh-CN"/>
              </w:rPr>
              <w:t>0.833</w:t>
            </w:r>
          </w:p>
        </w:tc>
        <w:tc>
          <w:tcPr>
            <w:tcW w:w="1093" w:type="dxa"/>
            <w:shd w:val="clear" w:color="auto" w:fill="auto"/>
            <w:vAlign w:val="center"/>
          </w:tcPr>
          <w:p w14:paraId="0893089D">
            <w:pPr>
              <w:pStyle w:val="276"/>
              <w:ind w:firstLine="0" w:firstLineChars="0"/>
              <w:rPr>
                <w:rFonts w:hint="default"/>
                <w:color w:val="auto"/>
                <w:lang w:val="en-US" w:eastAsia="zh-CN"/>
              </w:rPr>
            </w:pPr>
            <w:r>
              <w:rPr>
                <w:rFonts w:hint="default"/>
                <w:color w:val="auto"/>
                <w:lang w:val="en-US" w:eastAsia="zh-CN"/>
              </w:rPr>
              <w:t>1.4</w:t>
            </w:r>
          </w:p>
        </w:tc>
        <w:tc>
          <w:tcPr>
            <w:tcW w:w="921" w:type="dxa"/>
            <w:shd w:val="clear" w:color="auto" w:fill="auto"/>
            <w:vAlign w:val="center"/>
          </w:tcPr>
          <w:p w14:paraId="49C97503">
            <w:pPr>
              <w:pStyle w:val="276"/>
              <w:ind w:firstLine="0" w:firstLineChars="0"/>
              <w:rPr>
                <w:rFonts w:hint="eastAsia"/>
                <w:color w:val="auto"/>
                <w:lang w:val="en-US" w:eastAsia="zh-CN"/>
              </w:rPr>
            </w:pPr>
            <w:r>
              <w:rPr>
                <w:rFonts w:hint="eastAsia"/>
                <w:color w:val="auto"/>
                <w:lang w:val="en-US" w:eastAsia="zh-CN"/>
              </w:rPr>
              <w:t>0.467</w:t>
            </w:r>
          </w:p>
        </w:tc>
        <w:tc>
          <w:tcPr>
            <w:tcW w:w="292" w:type="pct"/>
            <w:shd w:val="clear" w:color="auto" w:fill="auto"/>
            <w:vAlign w:val="center"/>
          </w:tcPr>
          <w:p w14:paraId="7200B6A8">
            <w:pPr>
              <w:pStyle w:val="276"/>
              <w:rPr>
                <w:color w:val="auto"/>
              </w:rPr>
            </w:pPr>
            <w:r>
              <w:rPr>
                <w:color w:val="auto"/>
                <w:lang w:val="en-US"/>
              </w:rPr>
              <w:t>3</w:t>
            </w:r>
          </w:p>
        </w:tc>
      </w:tr>
      <w:tr w14:paraId="4BEC98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84" w:hRule="atLeast"/>
          <w:jc w:val="center"/>
        </w:trPr>
        <w:tc>
          <w:tcPr>
            <w:tcW w:w="586" w:type="pct"/>
            <w:shd w:val="clear" w:color="auto" w:fill="auto"/>
            <w:vAlign w:val="center"/>
          </w:tcPr>
          <w:p w14:paraId="09EC358B">
            <w:pPr>
              <w:pStyle w:val="276"/>
              <w:rPr>
                <w:color w:val="auto"/>
              </w:rPr>
            </w:pPr>
            <w:r>
              <w:rPr>
                <w:rFonts w:hint="eastAsia"/>
                <w:color w:val="auto"/>
                <w:lang w:val="en-US"/>
              </w:rPr>
              <w:t>氨氮</w:t>
            </w:r>
          </w:p>
        </w:tc>
        <w:tc>
          <w:tcPr>
            <w:tcW w:w="469" w:type="pct"/>
            <w:shd w:val="clear" w:color="auto" w:fill="auto"/>
            <w:vAlign w:val="center"/>
          </w:tcPr>
          <w:p w14:paraId="6389AE4C">
            <w:pPr>
              <w:pStyle w:val="276"/>
              <w:rPr>
                <w:color w:val="auto"/>
                <w:lang w:val="en-US"/>
              </w:rPr>
            </w:pPr>
            <w:r>
              <w:rPr>
                <w:rFonts w:hint="eastAsia"/>
                <w:color w:val="auto"/>
                <w:lang w:val="en-US" w:eastAsia="zh-CN"/>
              </w:rPr>
              <w:t>0.155</w:t>
            </w:r>
          </w:p>
        </w:tc>
        <w:tc>
          <w:tcPr>
            <w:tcW w:w="430" w:type="pct"/>
            <w:shd w:val="clear" w:color="auto" w:fill="auto"/>
            <w:vAlign w:val="center"/>
          </w:tcPr>
          <w:p w14:paraId="260BDD11">
            <w:pPr>
              <w:pStyle w:val="276"/>
              <w:rPr>
                <w:color w:val="auto"/>
                <w:lang w:val="en-US"/>
              </w:rPr>
            </w:pPr>
            <w:r>
              <w:rPr>
                <w:rFonts w:hint="eastAsia"/>
                <w:color w:val="auto"/>
                <w:lang w:val="en-US" w:eastAsia="zh-CN"/>
              </w:rPr>
              <w:t>0.31</w:t>
            </w:r>
          </w:p>
        </w:tc>
        <w:tc>
          <w:tcPr>
            <w:tcW w:w="464" w:type="pct"/>
            <w:shd w:val="clear" w:color="auto" w:fill="auto"/>
            <w:vAlign w:val="center"/>
          </w:tcPr>
          <w:p w14:paraId="2DC08EC0">
            <w:pPr>
              <w:pStyle w:val="276"/>
              <w:rPr>
                <w:color w:val="auto"/>
                <w:lang w:val="en-US"/>
              </w:rPr>
            </w:pPr>
            <w:r>
              <w:rPr>
                <w:rFonts w:hint="eastAsia"/>
                <w:color w:val="auto"/>
                <w:lang w:val="en-US" w:eastAsia="zh-CN"/>
              </w:rPr>
              <w:t>0.171</w:t>
            </w:r>
          </w:p>
        </w:tc>
        <w:tc>
          <w:tcPr>
            <w:tcW w:w="422" w:type="pct"/>
            <w:shd w:val="clear" w:color="auto" w:fill="auto"/>
            <w:vAlign w:val="center"/>
          </w:tcPr>
          <w:p w14:paraId="379209FA">
            <w:pPr>
              <w:pStyle w:val="276"/>
              <w:rPr>
                <w:color w:val="auto"/>
                <w:lang w:val="en-US"/>
              </w:rPr>
            </w:pPr>
            <w:r>
              <w:rPr>
                <w:rFonts w:hint="eastAsia"/>
                <w:color w:val="auto"/>
                <w:lang w:val="en-US" w:eastAsia="zh-CN"/>
              </w:rPr>
              <w:t>0.342</w:t>
            </w:r>
          </w:p>
        </w:tc>
        <w:tc>
          <w:tcPr>
            <w:tcW w:w="462" w:type="pct"/>
            <w:shd w:val="clear" w:color="auto" w:fill="auto"/>
            <w:vAlign w:val="center"/>
          </w:tcPr>
          <w:p w14:paraId="4EABC858">
            <w:pPr>
              <w:pStyle w:val="276"/>
              <w:rPr>
                <w:color w:val="auto"/>
                <w:lang w:val="en-US"/>
              </w:rPr>
            </w:pPr>
            <w:r>
              <w:rPr>
                <w:rFonts w:hint="eastAsia"/>
                <w:color w:val="auto"/>
                <w:lang w:val="en-US" w:eastAsia="zh-CN"/>
              </w:rPr>
              <w:t>0.044</w:t>
            </w:r>
          </w:p>
        </w:tc>
        <w:tc>
          <w:tcPr>
            <w:tcW w:w="404" w:type="pct"/>
            <w:shd w:val="clear" w:color="auto" w:fill="auto"/>
            <w:vAlign w:val="center"/>
          </w:tcPr>
          <w:p w14:paraId="4BE5B060">
            <w:pPr>
              <w:pStyle w:val="276"/>
              <w:rPr>
                <w:color w:val="auto"/>
                <w:lang w:val="en-US"/>
              </w:rPr>
            </w:pPr>
            <w:r>
              <w:rPr>
                <w:rFonts w:hint="eastAsia"/>
                <w:color w:val="auto"/>
                <w:lang w:val="en-US" w:eastAsia="zh-CN"/>
              </w:rPr>
              <w:t>0.088</w:t>
            </w:r>
          </w:p>
        </w:tc>
        <w:tc>
          <w:tcPr>
            <w:tcW w:w="387" w:type="pct"/>
            <w:shd w:val="clear" w:color="auto" w:fill="auto"/>
            <w:vAlign w:val="center"/>
          </w:tcPr>
          <w:p w14:paraId="145E96BA">
            <w:pPr>
              <w:pStyle w:val="276"/>
              <w:ind w:firstLine="0" w:firstLineChars="0"/>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0.137</w:t>
            </w:r>
          </w:p>
        </w:tc>
        <w:tc>
          <w:tcPr>
            <w:tcW w:w="1042" w:type="dxa"/>
            <w:shd w:val="clear" w:color="auto" w:fill="auto"/>
            <w:vAlign w:val="center"/>
          </w:tcPr>
          <w:p w14:paraId="6A5D34B8">
            <w:pPr>
              <w:pStyle w:val="276"/>
              <w:ind w:firstLine="0" w:firstLineChars="0"/>
              <w:rPr>
                <w:rFonts w:hint="eastAsia"/>
                <w:color w:val="auto"/>
                <w:lang w:val="en-US" w:eastAsia="zh-CN"/>
              </w:rPr>
            </w:pPr>
            <w:r>
              <w:rPr>
                <w:rFonts w:hint="eastAsia"/>
                <w:color w:val="auto"/>
                <w:lang w:val="en-US" w:eastAsia="zh-CN"/>
              </w:rPr>
              <w:t>0.274</w:t>
            </w:r>
          </w:p>
        </w:tc>
        <w:tc>
          <w:tcPr>
            <w:tcW w:w="1093" w:type="dxa"/>
            <w:shd w:val="clear" w:color="auto" w:fill="auto"/>
            <w:vAlign w:val="center"/>
          </w:tcPr>
          <w:p w14:paraId="2F392DA9">
            <w:pPr>
              <w:pStyle w:val="276"/>
              <w:ind w:firstLine="0" w:firstLineChars="0"/>
              <w:rPr>
                <w:rFonts w:hint="default"/>
                <w:color w:val="auto"/>
                <w:lang w:val="en-US" w:eastAsia="zh-CN"/>
              </w:rPr>
            </w:pPr>
            <w:r>
              <w:rPr>
                <w:rFonts w:hint="default"/>
                <w:color w:val="auto"/>
                <w:lang w:val="en-US" w:eastAsia="zh-CN"/>
              </w:rPr>
              <w:t>0.171</w:t>
            </w:r>
          </w:p>
        </w:tc>
        <w:tc>
          <w:tcPr>
            <w:tcW w:w="921" w:type="dxa"/>
            <w:shd w:val="clear" w:color="auto" w:fill="auto"/>
            <w:vAlign w:val="center"/>
          </w:tcPr>
          <w:p w14:paraId="1B11D8A3">
            <w:pPr>
              <w:pStyle w:val="276"/>
              <w:ind w:firstLine="0" w:firstLineChars="0"/>
              <w:rPr>
                <w:rFonts w:hint="eastAsia"/>
                <w:color w:val="auto"/>
                <w:lang w:val="en-US" w:eastAsia="zh-CN"/>
              </w:rPr>
            </w:pPr>
            <w:r>
              <w:rPr>
                <w:rFonts w:hint="eastAsia"/>
                <w:color w:val="auto"/>
                <w:lang w:val="en-US" w:eastAsia="zh-CN"/>
              </w:rPr>
              <w:t>0.342</w:t>
            </w:r>
          </w:p>
        </w:tc>
        <w:tc>
          <w:tcPr>
            <w:tcW w:w="292" w:type="pct"/>
            <w:shd w:val="clear" w:color="auto" w:fill="auto"/>
            <w:vAlign w:val="center"/>
          </w:tcPr>
          <w:p w14:paraId="1FC5153B">
            <w:pPr>
              <w:pStyle w:val="276"/>
              <w:rPr>
                <w:color w:val="auto"/>
              </w:rPr>
            </w:pPr>
            <w:r>
              <w:rPr>
                <w:color w:val="auto"/>
                <w:lang w:val="en-US"/>
              </w:rPr>
              <w:t>0.5</w:t>
            </w:r>
          </w:p>
        </w:tc>
      </w:tr>
      <w:tr w14:paraId="36C87E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84" w:hRule="atLeast"/>
          <w:jc w:val="center"/>
        </w:trPr>
        <w:tc>
          <w:tcPr>
            <w:tcW w:w="586" w:type="pct"/>
            <w:shd w:val="clear" w:color="auto" w:fill="auto"/>
            <w:vAlign w:val="center"/>
          </w:tcPr>
          <w:p w14:paraId="5F232C3E">
            <w:pPr>
              <w:pStyle w:val="276"/>
              <w:rPr>
                <w:color w:val="auto"/>
              </w:rPr>
            </w:pPr>
            <w:r>
              <w:rPr>
                <w:rFonts w:hint="eastAsia"/>
                <w:color w:val="auto"/>
                <w:lang w:val="en-US"/>
              </w:rPr>
              <w:t>铅（μg/L）</w:t>
            </w:r>
          </w:p>
        </w:tc>
        <w:tc>
          <w:tcPr>
            <w:tcW w:w="469" w:type="pct"/>
            <w:shd w:val="clear" w:color="auto" w:fill="auto"/>
            <w:vAlign w:val="center"/>
          </w:tcPr>
          <w:p w14:paraId="1B771987">
            <w:pPr>
              <w:pStyle w:val="276"/>
              <w:rPr>
                <w:color w:val="auto"/>
                <w:lang w:val="en-US"/>
              </w:rPr>
            </w:pPr>
            <w:r>
              <w:rPr>
                <w:rFonts w:hint="eastAsia"/>
                <w:color w:val="auto"/>
                <w:lang w:val="en-US" w:eastAsia="zh-CN"/>
              </w:rPr>
              <w:t>1.0L</w:t>
            </w:r>
          </w:p>
        </w:tc>
        <w:tc>
          <w:tcPr>
            <w:tcW w:w="430" w:type="pct"/>
            <w:shd w:val="clear" w:color="auto" w:fill="auto"/>
            <w:vAlign w:val="center"/>
          </w:tcPr>
          <w:p w14:paraId="67A5B700">
            <w:pPr>
              <w:pStyle w:val="276"/>
              <w:rPr>
                <w:color w:val="auto"/>
                <w:lang w:val="en-US"/>
              </w:rPr>
            </w:pPr>
            <w:r>
              <w:rPr>
                <w:rFonts w:hint="eastAsia"/>
                <w:color w:val="auto"/>
                <w:lang w:val="en-US" w:eastAsia="zh-CN"/>
              </w:rPr>
              <w:t>/</w:t>
            </w:r>
          </w:p>
        </w:tc>
        <w:tc>
          <w:tcPr>
            <w:tcW w:w="464" w:type="pct"/>
            <w:shd w:val="clear" w:color="auto" w:fill="auto"/>
            <w:vAlign w:val="center"/>
          </w:tcPr>
          <w:p w14:paraId="0AE50846">
            <w:pPr>
              <w:pStyle w:val="276"/>
              <w:rPr>
                <w:color w:val="auto"/>
                <w:lang w:val="en-US"/>
              </w:rPr>
            </w:pPr>
            <w:r>
              <w:rPr>
                <w:rFonts w:hint="eastAsia"/>
                <w:color w:val="auto"/>
                <w:lang w:val="en-US" w:eastAsia="zh-CN"/>
              </w:rPr>
              <w:t>1.0L</w:t>
            </w:r>
          </w:p>
        </w:tc>
        <w:tc>
          <w:tcPr>
            <w:tcW w:w="422" w:type="pct"/>
            <w:shd w:val="clear" w:color="auto" w:fill="auto"/>
            <w:vAlign w:val="center"/>
          </w:tcPr>
          <w:p w14:paraId="2894A2DA">
            <w:pPr>
              <w:pStyle w:val="276"/>
              <w:rPr>
                <w:color w:val="auto"/>
                <w:lang w:val="en-US"/>
              </w:rPr>
            </w:pPr>
            <w:r>
              <w:rPr>
                <w:rFonts w:hint="eastAsia"/>
                <w:color w:val="auto"/>
                <w:lang w:val="en-US" w:eastAsia="zh-CN"/>
              </w:rPr>
              <w:t>/</w:t>
            </w:r>
          </w:p>
        </w:tc>
        <w:tc>
          <w:tcPr>
            <w:tcW w:w="462" w:type="pct"/>
            <w:shd w:val="clear" w:color="auto" w:fill="auto"/>
            <w:vAlign w:val="center"/>
          </w:tcPr>
          <w:p w14:paraId="34C7D11B">
            <w:pPr>
              <w:pStyle w:val="276"/>
              <w:rPr>
                <w:color w:val="auto"/>
                <w:lang w:val="en-US"/>
              </w:rPr>
            </w:pPr>
            <w:r>
              <w:rPr>
                <w:rFonts w:hint="eastAsia"/>
                <w:color w:val="auto"/>
                <w:lang w:val="en-US" w:eastAsia="zh-CN"/>
              </w:rPr>
              <w:t>1.0L</w:t>
            </w:r>
          </w:p>
        </w:tc>
        <w:tc>
          <w:tcPr>
            <w:tcW w:w="404" w:type="pct"/>
            <w:shd w:val="clear" w:color="auto" w:fill="auto"/>
            <w:vAlign w:val="center"/>
          </w:tcPr>
          <w:p w14:paraId="777D1EA2">
            <w:pPr>
              <w:pStyle w:val="276"/>
              <w:rPr>
                <w:color w:val="auto"/>
                <w:lang w:val="en-US"/>
              </w:rPr>
            </w:pPr>
            <w:r>
              <w:rPr>
                <w:rFonts w:hint="eastAsia"/>
                <w:color w:val="auto"/>
                <w:lang w:val="en-US" w:eastAsia="zh-CN"/>
              </w:rPr>
              <w:t>/</w:t>
            </w:r>
          </w:p>
        </w:tc>
        <w:tc>
          <w:tcPr>
            <w:tcW w:w="387" w:type="pct"/>
            <w:shd w:val="clear" w:color="auto" w:fill="auto"/>
            <w:vAlign w:val="center"/>
          </w:tcPr>
          <w:p w14:paraId="2278B52A">
            <w:pPr>
              <w:pStyle w:val="276"/>
              <w:ind w:firstLine="0" w:firstLineChars="0"/>
              <w:rPr>
                <w:rFonts w:ascii="Times New Roman" w:hAnsi="Times New Roman" w:eastAsia="宋体" w:cs="Times New Roman"/>
                <w:color w:val="auto"/>
                <w:kern w:val="2"/>
                <w:sz w:val="21"/>
                <w:szCs w:val="21"/>
                <w:lang w:val="en-US" w:eastAsia="zh-CN" w:bidi="ar-SA"/>
              </w:rPr>
            </w:pPr>
            <w:r>
              <w:rPr>
                <w:rFonts w:hint="eastAsia"/>
                <w:color w:val="auto"/>
                <w:lang w:val="en-US" w:eastAsia="zh-CN"/>
              </w:rPr>
              <w:t>2.5L</w:t>
            </w:r>
          </w:p>
        </w:tc>
        <w:tc>
          <w:tcPr>
            <w:tcW w:w="1042" w:type="dxa"/>
            <w:shd w:val="clear" w:color="auto" w:fill="auto"/>
            <w:vAlign w:val="center"/>
          </w:tcPr>
          <w:p w14:paraId="4F26C233">
            <w:pPr>
              <w:pStyle w:val="276"/>
              <w:ind w:firstLine="0" w:firstLineChars="0"/>
              <w:rPr>
                <w:rFonts w:hint="eastAsia"/>
                <w:color w:val="auto"/>
                <w:lang w:val="en-US" w:eastAsia="zh-CN"/>
              </w:rPr>
            </w:pPr>
            <w:r>
              <w:rPr>
                <w:rFonts w:hint="default"/>
                <w:color w:val="auto"/>
                <w:lang w:val="en-US" w:eastAsia="zh-CN"/>
              </w:rPr>
              <w:t>/</w:t>
            </w:r>
          </w:p>
        </w:tc>
        <w:tc>
          <w:tcPr>
            <w:tcW w:w="1093" w:type="dxa"/>
            <w:shd w:val="clear" w:color="auto" w:fill="auto"/>
            <w:vAlign w:val="center"/>
          </w:tcPr>
          <w:p w14:paraId="27785D10">
            <w:pPr>
              <w:pStyle w:val="276"/>
              <w:ind w:firstLine="0" w:firstLineChars="0"/>
              <w:rPr>
                <w:rFonts w:hint="eastAsia"/>
                <w:color w:val="auto"/>
                <w:lang w:val="en-US" w:eastAsia="zh-CN"/>
              </w:rPr>
            </w:pPr>
            <w:r>
              <w:rPr>
                <w:rFonts w:hint="default"/>
                <w:color w:val="auto"/>
                <w:lang w:val="en-US" w:eastAsia="zh-CN"/>
              </w:rPr>
              <w:t>2.5L</w:t>
            </w:r>
          </w:p>
        </w:tc>
        <w:tc>
          <w:tcPr>
            <w:tcW w:w="921" w:type="dxa"/>
            <w:shd w:val="clear" w:color="auto" w:fill="auto"/>
            <w:vAlign w:val="center"/>
          </w:tcPr>
          <w:p w14:paraId="66E50ECC">
            <w:pPr>
              <w:pStyle w:val="276"/>
              <w:ind w:firstLine="0" w:firstLineChars="0"/>
              <w:rPr>
                <w:rFonts w:hint="eastAsia"/>
                <w:color w:val="auto"/>
                <w:lang w:val="en-US" w:eastAsia="zh-CN"/>
              </w:rPr>
            </w:pPr>
            <w:r>
              <w:rPr>
                <w:rFonts w:hint="default"/>
                <w:color w:val="auto"/>
                <w:lang w:val="en-US" w:eastAsia="zh-CN"/>
              </w:rPr>
              <w:t>/</w:t>
            </w:r>
          </w:p>
        </w:tc>
        <w:tc>
          <w:tcPr>
            <w:tcW w:w="292" w:type="pct"/>
            <w:shd w:val="clear" w:color="auto" w:fill="auto"/>
            <w:vAlign w:val="center"/>
          </w:tcPr>
          <w:p w14:paraId="02BE023B">
            <w:pPr>
              <w:pStyle w:val="276"/>
              <w:rPr>
                <w:color w:val="auto"/>
              </w:rPr>
            </w:pPr>
            <w:r>
              <w:rPr>
                <w:color w:val="auto"/>
                <w:lang w:val="en-US"/>
              </w:rPr>
              <w:t>10</w:t>
            </w:r>
          </w:p>
        </w:tc>
      </w:tr>
      <w:tr w14:paraId="062512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84" w:hRule="atLeast"/>
          <w:jc w:val="center"/>
        </w:trPr>
        <w:tc>
          <w:tcPr>
            <w:tcW w:w="586" w:type="pct"/>
            <w:shd w:val="clear" w:color="auto" w:fill="auto"/>
            <w:vAlign w:val="center"/>
          </w:tcPr>
          <w:p w14:paraId="09AD44B9">
            <w:pPr>
              <w:pStyle w:val="276"/>
              <w:rPr>
                <w:color w:val="auto"/>
              </w:rPr>
            </w:pPr>
            <w:r>
              <w:rPr>
                <w:rFonts w:hint="eastAsia"/>
                <w:color w:val="auto"/>
                <w:lang w:val="en-US"/>
              </w:rPr>
              <w:t>镉（μg/L）</w:t>
            </w:r>
          </w:p>
        </w:tc>
        <w:tc>
          <w:tcPr>
            <w:tcW w:w="469" w:type="pct"/>
            <w:shd w:val="clear" w:color="auto" w:fill="auto"/>
            <w:vAlign w:val="center"/>
          </w:tcPr>
          <w:p w14:paraId="40EC29F5">
            <w:pPr>
              <w:pStyle w:val="276"/>
              <w:rPr>
                <w:color w:val="auto"/>
                <w:lang w:val="en-US"/>
              </w:rPr>
            </w:pPr>
            <w:r>
              <w:rPr>
                <w:rFonts w:hint="eastAsia"/>
                <w:color w:val="auto"/>
                <w:lang w:val="en-US" w:eastAsia="zh-CN"/>
              </w:rPr>
              <w:t>0.4</w:t>
            </w:r>
          </w:p>
        </w:tc>
        <w:tc>
          <w:tcPr>
            <w:tcW w:w="430" w:type="pct"/>
            <w:shd w:val="clear" w:color="auto" w:fill="auto"/>
            <w:vAlign w:val="center"/>
          </w:tcPr>
          <w:p w14:paraId="04061465">
            <w:pPr>
              <w:pStyle w:val="276"/>
              <w:rPr>
                <w:color w:val="auto"/>
                <w:lang w:val="en-US"/>
              </w:rPr>
            </w:pPr>
            <w:r>
              <w:rPr>
                <w:rFonts w:hint="eastAsia"/>
                <w:color w:val="auto"/>
                <w:lang w:val="en-US" w:eastAsia="zh-CN"/>
              </w:rPr>
              <w:t>0.08</w:t>
            </w:r>
          </w:p>
        </w:tc>
        <w:tc>
          <w:tcPr>
            <w:tcW w:w="464" w:type="pct"/>
            <w:shd w:val="clear" w:color="auto" w:fill="auto"/>
            <w:vAlign w:val="center"/>
          </w:tcPr>
          <w:p w14:paraId="7A3792F8">
            <w:pPr>
              <w:pStyle w:val="276"/>
              <w:rPr>
                <w:color w:val="auto"/>
                <w:lang w:val="en-US"/>
              </w:rPr>
            </w:pPr>
            <w:r>
              <w:rPr>
                <w:rFonts w:hint="eastAsia"/>
                <w:color w:val="auto"/>
                <w:lang w:val="en-US" w:eastAsia="zh-CN"/>
              </w:rPr>
              <w:t>0.4</w:t>
            </w:r>
          </w:p>
        </w:tc>
        <w:tc>
          <w:tcPr>
            <w:tcW w:w="422" w:type="pct"/>
            <w:shd w:val="clear" w:color="auto" w:fill="auto"/>
            <w:vAlign w:val="center"/>
          </w:tcPr>
          <w:p w14:paraId="40FDA268">
            <w:pPr>
              <w:pStyle w:val="276"/>
              <w:rPr>
                <w:color w:val="auto"/>
                <w:lang w:val="en-US"/>
              </w:rPr>
            </w:pPr>
            <w:r>
              <w:rPr>
                <w:rFonts w:hint="eastAsia"/>
                <w:color w:val="auto"/>
                <w:lang w:val="en-US" w:eastAsia="zh-CN"/>
              </w:rPr>
              <w:t>0.08</w:t>
            </w:r>
          </w:p>
        </w:tc>
        <w:tc>
          <w:tcPr>
            <w:tcW w:w="462" w:type="pct"/>
            <w:shd w:val="clear" w:color="auto" w:fill="auto"/>
            <w:vAlign w:val="center"/>
          </w:tcPr>
          <w:p w14:paraId="21C9F8A7">
            <w:pPr>
              <w:pStyle w:val="276"/>
              <w:rPr>
                <w:color w:val="auto"/>
                <w:lang w:val="en-US"/>
              </w:rPr>
            </w:pPr>
            <w:r>
              <w:rPr>
                <w:rFonts w:hint="eastAsia"/>
                <w:color w:val="auto"/>
                <w:lang w:val="en-US" w:eastAsia="zh-CN"/>
              </w:rPr>
              <w:t>0.7</w:t>
            </w:r>
          </w:p>
        </w:tc>
        <w:tc>
          <w:tcPr>
            <w:tcW w:w="404" w:type="pct"/>
            <w:shd w:val="clear" w:color="auto" w:fill="auto"/>
            <w:vAlign w:val="center"/>
          </w:tcPr>
          <w:p w14:paraId="47CCB579">
            <w:pPr>
              <w:pStyle w:val="276"/>
              <w:rPr>
                <w:color w:val="auto"/>
                <w:lang w:val="en-US"/>
              </w:rPr>
            </w:pPr>
            <w:r>
              <w:rPr>
                <w:rFonts w:hint="eastAsia"/>
                <w:color w:val="auto"/>
                <w:lang w:val="en-US" w:eastAsia="zh-CN"/>
              </w:rPr>
              <w:t>0.14</w:t>
            </w:r>
          </w:p>
        </w:tc>
        <w:tc>
          <w:tcPr>
            <w:tcW w:w="387" w:type="pct"/>
            <w:shd w:val="clear" w:color="auto" w:fill="auto"/>
            <w:vAlign w:val="center"/>
          </w:tcPr>
          <w:p w14:paraId="2B67CFC2">
            <w:pPr>
              <w:pStyle w:val="276"/>
              <w:ind w:firstLine="0" w:firstLineChars="0"/>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2L</w:t>
            </w:r>
          </w:p>
        </w:tc>
        <w:tc>
          <w:tcPr>
            <w:tcW w:w="1042" w:type="dxa"/>
            <w:shd w:val="clear" w:color="auto" w:fill="auto"/>
            <w:vAlign w:val="center"/>
          </w:tcPr>
          <w:p w14:paraId="268F4687">
            <w:pPr>
              <w:pStyle w:val="276"/>
              <w:ind w:firstLine="0" w:firstLineChars="0"/>
              <w:rPr>
                <w:rFonts w:hint="eastAsia"/>
                <w:color w:val="auto"/>
                <w:lang w:val="en-US" w:eastAsia="zh-CN"/>
              </w:rPr>
            </w:pPr>
            <w:r>
              <w:rPr>
                <w:rFonts w:hint="default"/>
                <w:color w:val="auto"/>
                <w:lang w:val="en-US" w:eastAsia="zh-CN"/>
              </w:rPr>
              <w:t>/</w:t>
            </w:r>
          </w:p>
        </w:tc>
        <w:tc>
          <w:tcPr>
            <w:tcW w:w="1093" w:type="dxa"/>
            <w:shd w:val="clear" w:color="auto" w:fill="auto"/>
            <w:vAlign w:val="center"/>
          </w:tcPr>
          <w:p w14:paraId="0883E657">
            <w:pPr>
              <w:pStyle w:val="276"/>
              <w:ind w:firstLine="0" w:firstLineChars="0"/>
              <w:rPr>
                <w:rFonts w:hint="default"/>
                <w:color w:val="auto"/>
                <w:lang w:val="en-US" w:eastAsia="zh-CN"/>
              </w:rPr>
            </w:pPr>
            <w:r>
              <w:rPr>
                <w:rFonts w:hint="default"/>
                <w:color w:val="auto"/>
                <w:lang w:val="en-US" w:eastAsia="zh-CN"/>
              </w:rPr>
              <w:t>2L</w:t>
            </w:r>
          </w:p>
        </w:tc>
        <w:tc>
          <w:tcPr>
            <w:tcW w:w="921" w:type="dxa"/>
            <w:shd w:val="clear" w:color="auto" w:fill="auto"/>
            <w:vAlign w:val="center"/>
          </w:tcPr>
          <w:p w14:paraId="707B32D7">
            <w:pPr>
              <w:pStyle w:val="276"/>
              <w:ind w:firstLine="0" w:firstLineChars="0"/>
              <w:rPr>
                <w:rFonts w:hint="eastAsia"/>
                <w:color w:val="auto"/>
                <w:lang w:val="en-US" w:eastAsia="zh-CN"/>
              </w:rPr>
            </w:pPr>
            <w:r>
              <w:rPr>
                <w:rFonts w:hint="default"/>
                <w:color w:val="auto"/>
                <w:lang w:val="en-US" w:eastAsia="zh-CN"/>
              </w:rPr>
              <w:t>/</w:t>
            </w:r>
          </w:p>
        </w:tc>
        <w:tc>
          <w:tcPr>
            <w:tcW w:w="292" w:type="pct"/>
            <w:shd w:val="clear" w:color="auto" w:fill="auto"/>
            <w:vAlign w:val="center"/>
          </w:tcPr>
          <w:p w14:paraId="6D6CA40D">
            <w:pPr>
              <w:pStyle w:val="276"/>
              <w:rPr>
                <w:color w:val="auto"/>
              </w:rPr>
            </w:pPr>
            <w:r>
              <w:rPr>
                <w:color w:val="auto"/>
                <w:lang w:val="en-US"/>
              </w:rPr>
              <w:t>5</w:t>
            </w:r>
          </w:p>
        </w:tc>
      </w:tr>
      <w:tr w14:paraId="3D9D49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84" w:hRule="atLeast"/>
          <w:jc w:val="center"/>
        </w:trPr>
        <w:tc>
          <w:tcPr>
            <w:tcW w:w="586" w:type="pct"/>
            <w:shd w:val="clear" w:color="auto" w:fill="auto"/>
            <w:vAlign w:val="center"/>
          </w:tcPr>
          <w:p w14:paraId="42160C87">
            <w:pPr>
              <w:pStyle w:val="276"/>
              <w:rPr>
                <w:color w:val="auto"/>
              </w:rPr>
            </w:pPr>
            <w:r>
              <w:rPr>
                <w:rFonts w:hint="eastAsia"/>
                <w:color w:val="auto"/>
                <w:lang w:val="en-US"/>
              </w:rPr>
              <w:t>挥发酚</w:t>
            </w:r>
          </w:p>
        </w:tc>
        <w:tc>
          <w:tcPr>
            <w:tcW w:w="469" w:type="pct"/>
            <w:shd w:val="clear" w:color="auto" w:fill="auto"/>
            <w:vAlign w:val="center"/>
          </w:tcPr>
          <w:p w14:paraId="67A2581B">
            <w:pPr>
              <w:pStyle w:val="276"/>
              <w:rPr>
                <w:color w:val="auto"/>
                <w:lang w:val="en-US"/>
              </w:rPr>
            </w:pPr>
            <w:r>
              <w:rPr>
                <w:rFonts w:hint="eastAsia"/>
                <w:color w:val="auto"/>
                <w:lang w:val="en-US" w:eastAsia="zh-CN"/>
              </w:rPr>
              <w:t>0.0003L</w:t>
            </w:r>
          </w:p>
        </w:tc>
        <w:tc>
          <w:tcPr>
            <w:tcW w:w="430" w:type="pct"/>
            <w:shd w:val="clear" w:color="auto" w:fill="auto"/>
            <w:vAlign w:val="center"/>
          </w:tcPr>
          <w:p w14:paraId="348DE371">
            <w:pPr>
              <w:pStyle w:val="276"/>
              <w:rPr>
                <w:color w:val="auto"/>
                <w:lang w:val="en-US"/>
              </w:rPr>
            </w:pPr>
            <w:r>
              <w:rPr>
                <w:rFonts w:hint="eastAsia"/>
                <w:color w:val="auto"/>
                <w:lang w:val="en-US" w:eastAsia="zh-CN"/>
              </w:rPr>
              <w:t>/</w:t>
            </w:r>
          </w:p>
        </w:tc>
        <w:tc>
          <w:tcPr>
            <w:tcW w:w="464" w:type="pct"/>
            <w:shd w:val="clear" w:color="auto" w:fill="auto"/>
            <w:vAlign w:val="center"/>
          </w:tcPr>
          <w:p w14:paraId="5C9EC141">
            <w:pPr>
              <w:pStyle w:val="276"/>
              <w:rPr>
                <w:color w:val="auto"/>
                <w:lang w:val="en-US"/>
              </w:rPr>
            </w:pPr>
            <w:r>
              <w:rPr>
                <w:rFonts w:hint="eastAsia"/>
                <w:color w:val="auto"/>
                <w:lang w:val="en-US" w:eastAsia="zh-CN"/>
              </w:rPr>
              <w:t>0.0003</w:t>
            </w:r>
          </w:p>
        </w:tc>
        <w:tc>
          <w:tcPr>
            <w:tcW w:w="422" w:type="pct"/>
            <w:shd w:val="clear" w:color="auto" w:fill="auto"/>
            <w:vAlign w:val="center"/>
          </w:tcPr>
          <w:p w14:paraId="4B5B1118">
            <w:pPr>
              <w:pStyle w:val="276"/>
              <w:rPr>
                <w:color w:val="auto"/>
                <w:lang w:val="en-US"/>
              </w:rPr>
            </w:pPr>
            <w:r>
              <w:rPr>
                <w:rFonts w:hint="eastAsia"/>
                <w:color w:val="auto"/>
                <w:lang w:val="en-US" w:eastAsia="zh-CN"/>
              </w:rPr>
              <w:t>0.15</w:t>
            </w:r>
          </w:p>
        </w:tc>
        <w:tc>
          <w:tcPr>
            <w:tcW w:w="462" w:type="pct"/>
            <w:shd w:val="clear" w:color="auto" w:fill="auto"/>
            <w:vAlign w:val="center"/>
          </w:tcPr>
          <w:p w14:paraId="7525DF23">
            <w:pPr>
              <w:pStyle w:val="276"/>
              <w:rPr>
                <w:color w:val="auto"/>
                <w:lang w:val="en-US"/>
              </w:rPr>
            </w:pPr>
            <w:r>
              <w:rPr>
                <w:rFonts w:hint="eastAsia"/>
                <w:color w:val="auto"/>
                <w:lang w:val="en-US" w:eastAsia="zh-CN"/>
              </w:rPr>
              <w:t>0.0009</w:t>
            </w:r>
          </w:p>
        </w:tc>
        <w:tc>
          <w:tcPr>
            <w:tcW w:w="404" w:type="pct"/>
            <w:shd w:val="clear" w:color="auto" w:fill="auto"/>
            <w:vAlign w:val="center"/>
          </w:tcPr>
          <w:p w14:paraId="478CFFAA">
            <w:pPr>
              <w:pStyle w:val="276"/>
              <w:rPr>
                <w:color w:val="auto"/>
                <w:lang w:val="en-US"/>
              </w:rPr>
            </w:pPr>
            <w:r>
              <w:rPr>
                <w:rFonts w:hint="eastAsia"/>
                <w:color w:val="auto"/>
                <w:lang w:val="en-US" w:eastAsia="zh-CN"/>
              </w:rPr>
              <w:t>0.45</w:t>
            </w:r>
          </w:p>
        </w:tc>
        <w:tc>
          <w:tcPr>
            <w:tcW w:w="387" w:type="pct"/>
            <w:shd w:val="clear" w:color="auto" w:fill="auto"/>
            <w:vAlign w:val="center"/>
          </w:tcPr>
          <w:p w14:paraId="35BF9BA0">
            <w:pPr>
              <w:pStyle w:val="276"/>
              <w:ind w:firstLine="0" w:firstLineChars="0"/>
              <w:rPr>
                <w:rFonts w:ascii="Times New Roman" w:hAnsi="Times New Roman" w:eastAsia="宋体" w:cs="Times New Roman"/>
                <w:color w:val="auto"/>
                <w:kern w:val="2"/>
                <w:sz w:val="21"/>
                <w:szCs w:val="21"/>
                <w:lang w:val="en-US" w:eastAsia="zh-CN" w:bidi="ar-SA"/>
              </w:rPr>
            </w:pPr>
            <w:r>
              <w:rPr>
                <w:rFonts w:hint="eastAsia"/>
                <w:color w:val="auto"/>
                <w:lang w:val="en-US" w:eastAsia="zh-CN"/>
              </w:rPr>
              <w:t>0.0003L</w:t>
            </w:r>
          </w:p>
        </w:tc>
        <w:tc>
          <w:tcPr>
            <w:tcW w:w="1042" w:type="dxa"/>
            <w:shd w:val="clear" w:color="auto" w:fill="auto"/>
            <w:vAlign w:val="center"/>
          </w:tcPr>
          <w:p w14:paraId="06653990">
            <w:pPr>
              <w:pStyle w:val="276"/>
              <w:ind w:firstLine="0" w:firstLineChars="0"/>
              <w:rPr>
                <w:rFonts w:hint="eastAsia"/>
                <w:color w:val="auto"/>
                <w:lang w:val="en-US" w:eastAsia="zh-CN"/>
              </w:rPr>
            </w:pPr>
            <w:r>
              <w:rPr>
                <w:rFonts w:hint="default"/>
                <w:color w:val="auto"/>
                <w:lang w:val="en-US" w:eastAsia="zh-CN"/>
              </w:rPr>
              <w:t>/</w:t>
            </w:r>
          </w:p>
        </w:tc>
        <w:tc>
          <w:tcPr>
            <w:tcW w:w="1093" w:type="dxa"/>
            <w:shd w:val="clear" w:color="auto" w:fill="auto"/>
            <w:vAlign w:val="center"/>
          </w:tcPr>
          <w:p w14:paraId="7F51B3CB">
            <w:pPr>
              <w:pStyle w:val="276"/>
              <w:ind w:firstLine="0" w:firstLineChars="0"/>
              <w:rPr>
                <w:rFonts w:hint="default"/>
                <w:color w:val="auto"/>
                <w:lang w:val="en-US" w:eastAsia="zh-CN"/>
              </w:rPr>
            </w:pPr>
            <w:r>
              <w:rPr>
                <w:rFonts w:hint="default"/>
                <w:color w:val="auto"/>
                <w:lang w:val="en-US" w:eastAsia="zh-CN"/>
              </w:rPr>
              <w:t>0.0003L</w:t>
            </w:r>
          </w:p>
        </w:tc>
        <w:tc>
          <w:tcPr>
            <w:tcW w:w="921" w:type="dxa"/>
            <w:shd w:val="clear" w:color="auto" w:fill="auto"/>
            <w:vAlign w:val="center"/>
          </w:tcPr>
          <w:p w14:paraId="14985DB9">
            <w:pPr>
              <w:pStyle w:val="276"/>
              <w:ind w:firstLine="0" w:firstLineChars="0"/>
              <w:rPr>
                <w:rFonts w:hint="eastAsia"/>
                <w:color w:val="auto"/>
                <w:lang w:val="en-US" w:eastAsia="zh-CN"/>
              </w:rPr>
            </w:pPr>
            <w:r>
              <w:rPr>
                <w:rFonts w:hint="default"/>
                <w:color w:val="auto"/>
                <w:lang w:val="en-US" w:eastAsia="zh-CN"/>
              </w:rPr>
              <w:t>/</w:t>
            </w:r>
          </w:p>
        </w:tc>
        <w:tc>
          <w:tcPr>
            <w:tcW w:w="292" w:type="pct"/>
            <w:shd w:val="clear" w:color="auto" w:fill="auto"/>
            <w:vAlign w:val="center"/>
          </w:tcPr>
          <w:p w14:paraId="4576D4F8">
            <w:pPr>
              <w:pStyle w:val="276"/>
              <w:rPr>
                <w:color w:val="auto"/>
              </w:rPr>
            </w:pPr>
            <w:r>
              <w:rPr>
                <w:color w:val="auto"/>
                <w:lang w:val="en-US"/>
              </w:rPr>
              <w:t>0.002</w:t>
            </w:r>
          </w:p>
        </w:tc>
      </w:tr>
      <w:tr w14:paraId="468710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84" w:hRule="atLeast"/>
          <w:jc w:val="center"/>
        </w:trPr>
        <w:tc>
          <w:tcPr>
            <w:tcW w:w="586" w:type="pct"/>
            <w:shd w:val="clear" w:color="auto" w:fill="auto"/>
            <w:vAlign w:val="center"/>
          </w:tcPr>
          <w:p w14:paraId="68607933">
            <w:pPr>
              <w:pStyle w:val="276"/>
              <w:rPr>
                <w:color w:val="auto"/>
              </w:rPr>
            </w:pPr>
            <w:r>
              <w:rPr>
                <w:rFonts w:hint="eastAsia"/>
                <w:color w:val="auto"/>
                <w:lang w:val="en-US"/>
              </w:rPr>
              <w:t>六价铬</w:t>
            </w:r>
          </w:p>
        </w:tc>
        <w:tc>
          <w:tcPr>
            <w:tcW w:w="469" w:type="pct"/>
            <w:shd w:val="clear" w:color="auto" w:fill="auto"/>
            <w:vAlign w:val="center"/>
          </w:tcPr>
          <w:p w14:paraId="01761FC3">
            <w:pPr>
              <w:pStyle w:val="276"/>
              <w:rPr>
                <w:color w:val="auto"/>
                <w:lang w:val="en-US"/>
              </w:rPr>
            </w:pPr>
            <w:r>
              <w:rPr>
                <w:rFonts w:hint="eastAsia"/>
                <w:color w:val="auto"/>
                <w:lang w:val="en-US" w:eastAsia="zh-CN"/>
              </w:rPr>
              <w:t>0.004L</w:t>
            </w:r>
          </w:p>
        </w:tc>
        <w:tc>
          <w:tcPr>
            <w:tcW w:w="430" w:type="pct"/>
            <w:shd w:val="clear" w:color="auto" w:fill="auto"/>
            <w:vAlign w:val="center"/>
          </w:tcPr>
          <w:p w14:paraId="5387AA96">
            <w:pPr>
              <w:pStyle w:val="276"/>
              <w:rPr>
                <w:color w:val="auto"/>
                <w:lang w:val="en-US"/>
              </w:rPr>
            </w:pPr>
            <w:r>
              <w:rPr>
                <w:rFonts w:hint="eastAsia"/>
                <w:color w:val="auto"/>
                <w:lang w:val="en-US" w:eastAsia="zh-CN"/>
              </w:rPr>
              <w:t>/</w:t>
            </w:r>
          </w:p>
        </w:tc>
        <w:tc>
          <w:tcPr>
            <w:tcW w:w="464" w:type="pct"/>
            <w:shd w:val="clear" w:color="auto" w:fill="auto"/>
            <w:vAlign w:val="center"/>
          </w:tcPr>
          <w:p w14:paraId="3E2E0A14">
            <w:pPr>
              <w:pStyle w:val="276"/>
              <w:rPr>
                <w:color w:val="auto"/>
                <w:lang w:val="en-US"/>
              </w:rPr>
            </w:pPr>
            <w:r>
              <w:rPr>
                <w:rFonts w:hint="eastAsia"/>
                <w:color w:val="auto"/>
                <w:lang w:val="en-US" w:eastAsia="zh-CN"/>
              </w:rPr>
              <w:t>0.004L</w:t>
            </w:r>
          </w:p>
        </w:tc>
        <w:tc>
          <w:tcPr>
            <w:tcW w:w="422" w:type="pct"/>
            <w:shd w:val="clear" w:color="auto" w:fill="auto"/>
            <w:vAlign w:val="center"/>
          </w:tcPr>
          <w:p w14:paraId="4348D8DE">
            <w:pPr>
              <w:pStyle w:val="276"/>
              <w:rPr>
                <w:color w:val="auto"/>
                <w:lang w:val="en-US"/>
              </w:rPr>
            </w:pPr>
            <w:r>
              <w:rPr>
                <w:rFonts w:hint="eastAsia"/>
                <w:color w:val="auto"/>
                <w:lang w:val="en-US" w:eastAsia="zh-CN"/>
              </w:rPr>
              <w:t>/</w:t>
            </w:r>
          </w:p>
        </w:tc>
        <w:tc>
          <w:tcPr>
            <w:tcW w:w="462" w:type="pct"/>
            <w:shd w:val="clear" w:color="auto" w:fill="auto"/>
            <w:vAlign w:val="center"/>
          </w:tcPr>
          <w:p w14:paraId="1CAAB04C">
            <w:pPr>
              <w:pStyle w:val="276"/>
              <w:rPr>
                <w:color w:val="auto"/>
                <w:lang w:val="en-US"/>
              </w:rPr>
            </w:pPr>
            <w:r>
              <w:rPr>
                <w:rFonts w:hint="eastAsia"/>
                <w:color w:val="auto"/>
                <w:lang w:val="en-US" w:eastAsia="zh-CN"/>
              </w:rPr>
              <w:t>0.004L</w:t>
            </w:r>
          </w:p>
        </w:tc>
        <w:tc>
          <w:tcPr>
            <w:tcW w:w="404" w:type="pct"/>
            <w:shd w:val="clear" w:color="auto" w:fill="auto"/>
            <w:vAlign w:val="center"/>
          </w:tcPr>
          <w:p w14:paraId="64A17624">
            <w:pPr>
              <w:pStyle w:val="276"/>
              <w:rPr>
                <w:color w:val="auto"/>
                <w:lang w:val="en-US"/>
              </w:rPr>
            </w:pPr>
            <w:r>
              <w:rPr>
                <w:rFonts w:hint="eastAsia"/>
                <w:color w:val="auto"/>
                <w:lang w:val="en-US" w:eastAsia="zh-CN"/>
              </w:rPr>
              <w:t>/</w:t>
            </w:r>
          </w:p>
        </w:tc>
        <w:tc>
          <w:tcPr>
            <w:tcW w:w="387" w:type="pct"/>
            <w:shd w:val="clear" w:color="auto" w:fill="auto"/>
            <w:vAlign w:val="center"/>
          </w:tcPr>
          <w:p w14:paraId="430701E4">
            <w:pPr>
              <w:pStyle w:val="276"/>
              <w:ind w:firstLine="0" w:firstLineChars="0"/>
              <w:rPr>
                <w:rFonts w:ascii="Times New Roman" w:hAnsi="Times New Roman" w:eastAsia="宋体" w:cs="Times New Roman"/>
                <w:color w:val="auto"/>
                <w:kern w:val="2"/>
                <w:sz w:val="21"/>
                <w:szCs w:val="21"/>
                <w:lang w:val="en-US" w:eastAsia="zh-CN" w:bidi="ar-SA"/>
              </w:rPr>
            </w:pPr>
            <w:r>
              <w:rPr>
                <w:rFonts w:hint="eastAsia"/>
                <w:color w:val="auto"/>
                <w:lang w:val="en-US" w:eastAsia="zh-CN"/>
              </w:rPr>
              <w:t>0.004L</w:t>
            </w:r>
          </w:p>
        </w:tc>
        <w:tc>
          <w:tcPr>
            <w:tcW w:w="1042" w:type="dxa"/>
            <w:shd w:val="clear" w:color="auto" w:fill="auto"/>
            <w:vAlign w:val="center"/>
          </w:tcPr>
          <w:p w14:paraId="7D1BED89">
            <w:pPr>
              <w:pStyle w:val="276"/>
              <w:ind w:firstLine="0" w:firstLineChars="0"/>
              <w:rPr>
                <w:rFonts w:hint="eastAsia"/>
                <w:color w:val="auto"/>
                <w:lang w:val="en-US" w:eastAsia="zh-CN"/>
              </w:rPr>
            </w:pPr>
            <w:r>
              <w:rPr>
                <w:rFonts w:hint="default"/>
                <w:color w:val="auto"/>
                <w:lang w:val="en-US" w:eastAsia="zh-CN"/>
              </w:rPr>
              <w:t>/</w:t>
            </w:r>
          </w:p>
        </w:tc>
        <w:tc>
          <w:tcPr>
            <w:tcW w:w="1093" w:type="dxa"/>
            <w:shd w:val="clear" w:color="auto" w:fill="auto"/>
            <w:vAlign w:val="center"/>
          </w:tcPr>
          <w:p w14:paraId="6334FE1A">
            <w:pPr>
              <w:pStyle w:val="276"/>
              <w:ind w:firstLine="0" w:firstLineChars="0"/>
              <w:rPr>
                <w:rFonts w:hint="eastAsia"/>
                <w:color w:val="auto"/>
                <w:lang w:val="en-US" w:eastAsia="zh-CN"/>
              </w:rPr>
            </w:pPr>
            <w:r>
              <w:rPr>
                <w:rFonts w:hint="default"/>
                <w:color w:val="auto"/>
                <w:lang w:val="en-US" w:eastAsia="zh-CN"/>
              </w:rPr>
              <w:t>0.004L</w:t>
            </w:r>
          </w:p>
        </w:tc>
        <w:tc>
          <w:tcPr>
            <w:tcW w:w="921" w:type="dxa"/>
            <w:shd w:val="clear" w:color="auto" w:fill="auto"/>
            <w:vAlign w:val="center"/>
          </w:tcPr>
          <w:p w14:paraId="513005D6">
            <w:pPr>
              <w:pStyle w:val="276"/>
              <w:ind w:firstLine="0" w:firstLineChars="0"/>
              <w:rPr>
                <w:rFonts w:hint="eastAsia"/>
                <w:color w:val="auto"/>
                <w:lang w:val="en-US" w:eastAsia="zh-CN"/>
              </w:rPr>
            </w:pPr>
            <w:r>
              <w:rPr>
                <w:rFonts w:hint="default"/>
                <w:color w:val="auto"/>
                <w:lang w:val="en-US" w:eastAsia="zh-CN"/>
              </w:rPr>
              <w:t>/</w:t>
            </w:r>
          </w:p>
        </w:tc>
        <w:tc>
          <w:tcPr>
            <w:tcW w:w="292" w:type="pct"/>
            <w:shd w:val="clear" w:color="auto" w:fill="auto"/>
            <w:vAlign w:val="center"/>
          </w:tcPr>
          <w:p w14:paraId="2409E040">
            <w:pPr>
              <w:pStyle w:val="276"/>
              <w:rPr>
                <w:color w:val="auto"/>
              </w:rPr>
            </w:pPr>
            <w:r>
              <w:rPr>
                <w:color w:val="auto"/>
                <w:lang w:val="en-US"/>
              </w:rPr>
              <w:t>0.05</w:t>
            </w:r>
          </w:p>
        </w:tc>
      </w:tr>
      <w:tr w14:paraId="7BB50E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84" w:hRule="atLeast"/>
          <w:jc w:val="center"/>
        </w:trPr>
        <w:tc>
          <w:tcPr>
            <w:tcW w:w="586" w:type="pct"/>
            <w:shd w:val="clear" w:color="auto" w:fill="auto"/>
            <w:vAlign w:val="center"/>
          </w:tcPr>
          <w:p w14:paraId="25ECE9E8">
            <w:pPr>
              <w:pStyle w:val="276"/>
              <w:rPr>
                <w:color w:val="auto"/>
              </w:rPr>
            </w:pPr>
            <w:r>
              <w:rPr>
                <w:rFonts w:hint="eastAsia"/>
                <w:color w:val="auto"/>
                <w:lang w:val="en-US"/>
              </w:rPr>
              <w:t>氟化物</w:t>
            </w:r>
          </w:p>
        </w:tc>
        <w:tc>
          <w:tcPr>
            <w:tcW w:w="469" w:type="pct"/>
            <w:shd w:val="clear" w:color="auto" w:fill="auto"/>
            <w:vAlign w:val="center"/>
          </w:tcPr>
          <w:p w14:paraId="298131FA">
            <w:pPr>
              <w:pStyle w:val="276"/>
              <w:rPr>
                <w:color w:val="auto"/>
                <w:lang w:val="en-US"/>
              </w:rPr>
            </w:pPr>
            <w:r>
              <w:rPr>
                <w:rFonts w:hint="eastAsia"/>
                <w:color w:val="auto"/>
                <w:lang w:val="en-US" w:eastAsia="zh-CN"/>
              </w:rPr>
              <w:t>0.4</w:t>
            </w:r>
          </w:p>
        </w:tc>
        <w:tc>
          <w:tcPr>
            <w:tcW w:w="430" w:type="pct"/>
            <w:shd w:val="clear" w:color="auto" w:fill="auto"/>
            <w:vAlign w:val="center"/>
          </w:tcPr>
          <w:p w14:paraId="67C62D11">
            <w:pPr>
              <w:pStyle w:val="276"/>
              <w:rPr>
                <w:color w:val="auto"/>
                <w:lang w:val="en-US"/>
              </w:rPr>
            </w:pPr>
            <w:r>
              <w:rPr>
                <w:rFonts w:hint="eastAsia"/>
                <w:color w:val="auto"/>
                <w:lang w:val="en-US" w:eastAsia="zh-CN"/>
              </w:rPr>
              <w:t>0.4</w:t>
            </w:r>
          </w:p>
        </w:tc>
        <w:tc>
          <w:tcPr>
            <w:tcW w:w="464" w:type="pct"/>
            <w:shd w:val="clear" w:color="auto" w:fill="auto"/>
            <w:vAlign w:val="center"/>
          </w:tcPr>
          <w:p w14:paraId="3A0941FA">
            <w:pPr>
              <w:pStyle w:val="276"/>
              <w:rPr>
                <w:color w:val="auto"/>
                <w:lang w:val="en-US"/>
              </w:rPr>
            </w:pPr>
            <w:r>
              <w:rPr>
                <w:rFonts w:hint="eastAsia"/>
                <w:color w:val="auto"/>
                <w:lang w:val="en-US" w:eastAsia="zh-CN"/>
              </w:rPr>
              <w:t>0.693</w:t>
            </w:r>
          </w:p>
        </w:tc>
        <w:tc>
          <w:tcPr>
            <w:tcW w:w="422" w:type="pct"/>
            <w:shd w:val="clear" w:color="auto" w:fill="auto"/>
            <w:vAlign w:val="center"/>
          </w:tcPr>
          <w:p w14:paraId="7159C442">
            <w:pPr>
              <w:pStyle w:val="276"/>
              <w:rPr>
                <w:color w:val="auto"/>
                <w:lang w:val="en-US"/>
              </w:rPr>
            </w:pPr>
            <w:r>
              <w:rPr>
                <w:rFonts w:hint="eastAsia"/>
                <w:color w:val="auto"/>
                <w:lang w:val="en-US" w:eastAsia="zh-CN"/>
              </w:rPr>
              <w:t>0.693</w:t>
            </w:r>
          </w:p>
        </w:tc>
        <w:tc>
          <w:tcPr>
            <w:tcW w:w="462" w:type="pct"/>
            <w:shd w:val="clear" w:color="auto" w:fill="auto"/>
            <w:vAlign w:val="center"/>
          </w:tcPr>
          <w:p w14:paraId="44AEB540">
            <w:pPr>
              <w:pStyle w:val="276"/>
              <w:rPr>
                <w:color w:val="auto"/>
                <w:lang w:val="en-US"/>
              </w:rPr>
            </w:pPr>
            <w:r>
              <w:rPr>
                <w:rFonts w:hint="eastAsia"/>
                <w:color w:val="auto"/>
                <w:lang w:val="en-US" w:eastAsia="zh-CN"/>
              </w:rPr>
              <w:t>0.376</w:t>
            </w:r>
          </w:p>
        </w:tc>
        <w:tc>
          <w:tcPr>
            <w:tcW w:w="404" w:type="pct"/>
            <w:shd w:val="clear" w:color="auto" w:fill="auto"/>
            <w:vAlign w:val="center"/>
          </w:tcPr>
          <w:p w14:paraId="0C6A4CCE">
            <w:pPr>
              <w:pStyle w:val="276"/>
              <w:rPr>
                <w:color w:val="auto"/>
                <w:lang w:val="en-US"/>
              </w:rPr>
            </w:pPr>
            <w:r>
              <w:rPr>
                <w:rFonts w:hint="eastAsia"/>
                <w:color w:val="auto"/>
                <w:lang w:val="en-US" w:eastAsia="zh-CN"/>
              </w:rPr>
              <w:t>0.376</w:t>
            </w:r>
          </w:p>
        </w:tc>
        <w:tc>
          <w:tcPr>
            <w:tcW w:w="387" w:type="pct"/>
            <w:shd w:val="clear" w:color="auto" w:fill="auto"/>
            <w:vAlign w:val="center"/>
          </w:tcPr>
          <w:p w14:paraId="07D4D113">
            <w:pPr>
              <w:pStyle w:val="276"/>
              <w:ind w:firstLine="0" w:firstLineChars="0"/>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0.17</w:t>
            </w:r>
          </w:p>
        </w:tc>
        <w:tc>
          <w:tcPr>
            <w:tcW w:w="1042" w:type="dxa"/>
            <w:shd w:val="clear" w:color="auto" w:fill="auto"/>
            <w:vAlign w:val="center"/>
          </w:tcPr>
          <w:p w14:paraId="4CA463A4">
            <w:pPr>
              <w:pStyle w:val="276"/>
              <w:ind w:firstLine="0" w:firstLineChars="0"/>
              <w:rPr>
                <w:rFonts w:hint="default"/>
                <w:color w:val="auto"/>
                <w:lang w:val="en-US" w:eastAsia="zh-CN"/>
              </w:rPr>
            </w:pPr>
            <w:r>
              <w:rPr>
                <w:rFonts w:hint="default"/>
                <w:color w:val="auto"/>
                <w:lang w:val="en-US" w:eastAsia="zh-CN"/>
              </w:rPr>
              <w:t>0.17</w:t>
            </w:r>
          </w:p>
        </w:tc>
        <w:tc>
          <w:tcPr>
            <w:tcW w:w="1093" w:type="dxa"/>
            <w:shd w:val="clear" w:color="auto" w:fill="auto"/>
            <w:vAlign w:val="center"/>
          </w:tcPr>
          <w:p w14:paraId="6A0A8FD7">
            <w:pPr>
              <w:pStyle w:val="276"/>
              <w:ind w:firstLine="0" w:firstLineChars="0"/>
              <w:rPr>
                <w:rFonts w:hint="default"/>
                <w:color w:val="auto"/>
                <w:lang w:val="en-US" w:eastAsia="zh-CN"/>
              </w:rPr>
            </w:pPr>
            <w:r>
              <w:rPr>
                <w:rFonts w:hint="default"/>
                <w:color w:val="auto"/>
                <w:lang w:val="en-US" w:eastAsia="zh-CN"/>
              </w:rPr>
              <w:t>0.18</w:t>
            </w:r>
          </w:p>
        </w:tc>
        <w:tc>
          <w:tcPr>
            <w:tcW w:w="921" w:type="dxa"/>
            <w:shd w:val="clear" w:color="auto" w:fill="auto"/>
            <w:vAlign w:val="center"/>
          </w:tcPr>
          <w:p w14:paraId="3D07487F">
            <w:pPr>
              <w:pStyle w:val="276"/>
              <w:ind w:firstLine="0" w:firstLineChars="0"/>
              <w:rPr>
                <w:rFonts w:hint="default"/>
                <w:color w:val="auto"/>
                <w:lang w:val="en-US" w:eastAsia="zh-CN"/>
              </w:rPr>
            </w:pPr>
            <w:r>
              <w:rPr>
                <w:rFonts w:hint="default"/>
                <w:color w:val="auto"/>
                <w:lang w:val="en-US" w:eastAsia="zh-CN"/>
              </w:rPr>
              <w:t>0.18</w:t>
            </w:r>
          </w:p>
        </w:tc>
        <w:tc>
          <w:tcPr>
            <w:tcW w:w="292" w:type="pct"/>
            <w:shd w:val="clear" w:color="auto" w:fill="auto"/>
            <w:vAlign w:val="center"/>
          </w:tcPr>
          <w:p w14:paraId="1896E2CA">
            <w:pPr>
              <w:pStyle w:val="276"/>
              <w:rPr>
                <w:color w:val="auto"/>
              </w:rPr>
            </w:pPr>
            <w:r>
              <w:rPr>
                <w:color w:val="auto"/>
                <w:lang w:val="en-US"/>
              </w:rPr>
              <w:t>1</w:t>
            </w:r>
          </w:p>
        </w:tc>
      </w:tr>
      <w:tr w14:paraId="3E73B6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84" w:hRule="atLeast"/>
          <w:jc w:val="center"/>
        </w:trPr>
        <w:tc>
          <w:tcPr>
            <w:tcW w:w="586" w:type="pct"/>
            <w:shd w:val="clear" w:color="auto" w:fill="auto"/>
            <w:vAlign w:val="center"/>
          </w:tcPr>
          <w:p w14:paraId="29951AD6">
            <w:pPr>
              <w:pStyle w:val="276"/>
              <w:rPr>
                <w:color w:val="auto"/>
              </w:rPr>
            </w:pPr>
            <w:r>
              <w:rPr>
                <w:rFonts w:hint="eastAsia"/>
                <w:color w:val="auto"/>
                <w:lang w:val="en-US"/>
              </w:rPr>
              <w:t>总硬度</w:t>
            </w:r>
          </w:p>
        </w:tc>
        <w:tc>
          <w:tcPr>
            <w:tcW w:w="469" w:type="pct"/>
            <w:shd w:val="clear" w:color="auto" w:fill="auto"/>
            <w:vAlign w:val="center"/>
          </w:tcPr>
          <w:p w14:paraId="21DB45BD">
            <w:pPr>
              <w:pStyle w:val="276"/>
              <w:rPr>
                <w:color w:val="auto"/>
                <w:lang w:val="en-US"/>
              </w:rPr>
            </w:pPr>
            <w:r>
              <w:rPr>
                <w:rFonts w:hint="eastAsia"/>
                <w:color w:val="auto"/>
                <w:lang w:val="en-US" w:eastAsia="zh-CN"/>
              </w:rPr>
              <w:t>348</w:t>
            </w:r>
          </w:p>
        </w:tc>
        <w:tc>
          <w:tcPr>
            <w:tcW w:w="430" w:type="pct"/>
            <w:shd w:val="clear" w:color="auto" w:fill="auto"/>
            <w:vAlign w:val="center"/>
          </w:tcPr>
          <w:p w14:paraId="0993145A">
            <w:pPr>
              <w:pStyle w:val="276"/>
              <w:rPr>
                <w:color w:val="auto"/>
                <w:lang w:val="en-US"/>
              </w:rPr>
            </w:pPr>
            <w:r>
              <w:rPr>
                <w:rFonts w:hint="eastAsia"/>
                <w:color w:val="auto"/>
                <w:lang w:val="en-US" w:eastAsia="zh-CN"/>
              </w:rPr>
              <w:t>0.773</w:t>
            </w:r>
          </w:p>
        </w:tc>
        <w:tc>
          <w:tcPr>
            <w:tcW w:w="464" w:type="pct"/>
            <w:shd w:val="clear" w:color="auto" w:fill="auto"/>
            <w:vAlign w:val="center"/>
          </w:tcPr>
          <w:p w14:paraId="64829275">
            <w:pPr>
              <w:pStyle w:val="276"/>
              <w:rPr>
                <w:color w:val="auto"/>
                <w:lang w:val="en-US"/>
              </w:rPr>
            </w:pPr>
            <w:r>
              <w:rPr>
                <w:rFonts w:hint="eastAsia"/>
                <w:color w:val="auto"/>
                <w:lang w:val="en-US" w:eastAsia="zh-CN"/>
              </w:rPr>
              <w:t>212</w:t>
            </w:r>
          </w:p>
        </w:tc>
        <w:tc>
          <w:tcPr>
            <w:tcW w:w="422" w:type="pct"/>
            <w:shd w:val="clear" w:color="auto" w:fill="auto"/>
            <w:vAlign w:val="center"/>
          </w:tcPr>
          <w:p w14:paraId="18FFF3D9">
            <w:pPr>
              <w:pStyle w:val="276"/>
              <w:rPr>
                <w:color w:val="auto"/>
                <w:lang w:val="en-US"/>
              </w:rPr>
            </w:pPr>
            <w:r>
              <w:rPr>
                <w:rFonts w:hint="eastAsia"/>
                <w:color w:val="auto"/>
                <w:lang w:val="en-US" w:eastAsia="zh-CN"/>
              </w:rPr>
              <w:t>0.471</w:t>
            </w:r>
          </w:p>
        </w:tc>
        <w:tc>
          <w:tcPr>
            <w:tcW w:w="462" w:type="pct"/>
            <w:shd w:val="clear" w:color="auto" w:fill="auto"/>
            <w:vAlign w:val="center"/>
          </w:tcPr>
          <w:p w14:paraId="17236883">
            <w:pPr>
              <w:pStyle w:val="276"/>
              <w:rPr>
                <w:color w:val="auto"/>
                <w:lang w:val="en-US"/>
              </w:rPr>
            </w:pPr>
            <w:r>
              <w:rPr>
                <w:rFonts w:hint="eastAsia"/>
                <w:color w:val="auto"/>
                <w:lang w:val="en-US" w:eastAsia="zh-CN"/>
              </w:rPr>
              <w:t>347</w:t>
            </w:r>
          </w:p>
        </w:tc>
        <w:tc>
          <w:tcPr>
            <w:tcW w:w="404" w:type="pct"/>
            <w:shd w:val="clear" w:color="auto" w:fill="auto"/>
            <w:vAlign w:val="center"/>
          </w:tcPr>
          <w:p w14:paraId="60E0EE9E">
            <w:pPr>
              <w:pStyle w:val="276"/>
              <w:rPr>
                <w:color w:val="auto"/>
                <w:lang w:val="en-US"/>
              </w:rPr>
            </w:pPr>
            <w:r>
              <w:rPr>
                <w:rFonts w:hint="eastAsia"/>
                <w:color w:val="auto"/>
                <w:lang w:val="en-US" w:eastAsia="zh-CN"/>
              </w:rPr>
              <w:t>0.771</w:t>
            </w:r>
          </w:p>
        </w:tc>
        <w:tc>
          <w:tcPr>
            <w:tcW w:w="387" w:type="pct"/>
            <w:shd w:val="clear" w:color="auto" w:fill="auto"/>
            <w:vAlign w:val="center"/>
          </w:tcPr>
          <w:p w14:paraId="26C92709">
            <w:pPr>
              <w:pStyle w:val="276"/>
              <w:ind w:firstLine="0" w:firstLineChars="0"/>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234</w:t>
            </w:r>
          </w:p>
        </w:tc>
        <w:tc>
          <w:tcPr>
            <w:tcW w:w="1042" w:type="dxa"/>
            <w:shd w:val="clear" w:color="auto" w:fill="auto"/>
            <w:vAlign w:val="center"/>
          </w:tcPr>
          <w:p w14:paraId="77FA6A8E">
            <w:pPr>
              <w:pStyle w:val="276"/>
              <w:ind w:firstLine="0" w:firstLineChars="0"/>
              <w:rPr>
                <w:rFonts w:hint="eastAsia"/>
                <w:color w:val="auto"/>
                <w:lang w:val="en-US" w:eastAsia="zh-CN"/>
              </w:rPr>
            </w:pPr>
            <w:r>
              <w:rPr>
                <w:rFonts w:hint="eastAsia"/>
                <w:color w:val="auto"/>
                <w:lang w:val="en-US" w:eastAsia="zh-CN"/>
              </w:rPr>
              <w:t>0.52</w:t>
            </w:r>
          </w:p>
        </w:tc>
        <w:tc>
          <w:tcPr>
            <w:tcW w:w="1093" w:type="dxa"/>
            <w:shd w:val="clear" w:color="auto" w:fill="auto"/>
            <w:vAlign w:val="center"/>
          </w:tcPr>
          <w:p w14:paraId="0B2D14F4">
            <w:pPr>
              <w:pStyle w:val="276"/>
              <w:ind w:firstLine="0" w:firstLineChars="0"/>
              <w:rPr>
                <w:rFonts w:hint="default"/>
                <w:color w:val="auto"/>
                <w:lang w:val="en-US" w:eastAsia="zh-CN"/>
              </w:rPr>
            </w:pPr>
            <w:r>
              <w:rPr>
                <w:rFonts w:hint="default"/>
                <w:color w:val="auto"/>
                <w:lang w:val="en-US" w:eastAsia="zh-CN"/>
              </w:rPr>
              <w:t>222</w:t>
            </w:r>
          </w:p>
        </w:tc>
        <w:tc>
          <w:tcPr>
            <w:tcW w:w="921" w:type="dxa"/>
            <w:shd w:val="clear" w:color="auto" w:fill="auto"/>
            <w:vAlign w:val="center"/>
          </w:tcPr>
          <w:p w14:paraId="75C08928">
            <w:pPr>
              <w:pStyle w:val="276"/>
              <w:ind w:firstLine="0" w:firstLineChars="0"/>
              <w:rPr>
                <w:rFonts w:hint="eastAsia"/>
                <w:color w:val="auto"/>
                <w:lang w:val="en-US" w:eastAsia="zh-CN"/>
              </w:rPr>
            </w:pPr>
            <w:r>
              <w:rPr>
                <w:rFonts w:hint="eastAsia"/>
                <w:color w:val="auto"/>
                <w:lang w:val="en-US" w:eastAsia="zh-CN"/>
              </w:rPr>
              <w:t>0.493</w:t>
            </w:r>
          </w:p>
        </w:tc>
        <w:tc>
          <w:tcPr>
            <w:tcW w:w="292" w:type="pct"/>
            <w:shd w:val="clear" w:color="auto" w:fill="auto"/>
            <w:vAlign w:val="center"/>
          </w:tcPr>
          <w:p w14:paraId="3491FDED">
            <w:pPr>
              <w:pStyle w:val="276"/>
              <w:rPr>
                <w:color w:val="auto"/>
              </w:rPr>
            </w:pPr>
            <w:r>
              <w:rPr>
                <w:color w:val="auto"/>
                <w:lang w:val="en-US"/>
              </w:rPr>
              <w:t>450</w:t>
            </w:r>
          </w:p>
        </w:tc>
      </w:tr>
      <w:tr w14:paraId="5C0A97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84" w:hRule="atLeast"/>
          <w:jc w:val="center"/>
        </w:trPr>
        <w:tc>
          <w:tcPr>
            <w:tcW w:w="586" w:type="pct"/>
            <w:shd w:val="clear" w:color="auto" w:fill="auto"/>
            <w:vAlign w:val="center"/>
          </w:tcPr>
          <w:p w14:paraId="1C809BB0">
            <w:pPr>
              <w:pStyle w:val="276"/>
              <w:rPr>
                <w:color w:val="auto"/>
              </w:rPr>
            </w:pPr>
            <w:r>
              <w:rPr>
                <w:rFonts w:hint="eastAsia"/>
                <w:color w:val="auto"/>
                <w:lang w:val="en-US"/>
              </w:rPr>
              <w:t>砷（μg/L）</w:t>
            </w:r>
          </w:p>
        </w:tc>
        <w:tc>
          <w:tcPr>
            <w:tcW w:w="469" w:type="pct"/>
            <w:shd w:val="clear" w:color="auto" w:fill="auto"/>
            <w:vAlign w:val="center"/>
          </w:tcPr>
          <w:p w14:paraId="571127FC">
            <w:pPr>
              <w:pStyle w:val="276"/>
              <w:rPr>
                <w:color w:val="auto"/>
                <w:lang w:val="en-US"/>
              </w:rPr>
            </w:pPr>
            <w:r>
              <w:rPr>
                <w:rFonts w:hint="eastAsia"/>
                <w:color w:val="auto"/>
                <w:lang w:val="en-US" w:eastAsia="zh-CN"/>
              </w:rPr>
              <w:t>0.3L</w:t>
            </w:r>
          </w:p>
        </w:tc>
        <w:tc>
          <w:tcPr>
            <w:tcW w:w="430" w:type="pct"/>
            <w:shd w:val="clear" w:color="auto" w:fill="auto"/>
            <w:vAlign w:val="center"/>
          </w:tcPr>
          <w:p w14:paraId="0921C178">
            <w:pPr>
              <w:pStyle w:val="276"/>
              <w:rPr>
                <w:color w:val="auto"/>
                <w:lang w:val="en-US"/>
              </w:rPr>
            </w:pPr>
            <w:r>
              <w:rPr>
                <w:rFonts w:hint="eastAsia"/>
                <w:color w:val="auto"/>
                <w:lang w:val="en-US" w:eastAsia="zh-CN"/>
              </w:rPr>
              <w:t>/</w:t>
            </w:r>
          </w:p>
        </w:tc>
        <w:tc>
          <w:tcPr>
            <w:tcW w:w="464" w:type="pct"/>
            <w:shd w:val="clear" w:color="auto" w:fill="auto"/>
            <w:vAlign w:val="center"/>
          </w:tcPr>
          <w:p w14:paraId="3EA34A38">
            <w:pPr>
              <w:pStyle w:val="276"/>
              <w:rPr>
                <w:color w:val="auto"/>
                <w:lang w:val="en-US"/>
              </w:rPr>
            </w:pPr>
            <w:r>
              <w:rPr>
                <w:rFonts w:hint="eastAsia"/>
                <w:color w:val="auto"/>
                <w:lang w:val="en-US" w:eastAsia="zh-CN"/>
              </w:rPr>
              <w:t>0.3L</w:t>
            </w:r>
          </w:p>
        </w:tc>
        <w:tc>
          <w:tcPr>
            <w:tcW w:w="422" w:type="pct"/>
            <w:shd w:val="clear" w:color="auto" w:fill="auto"/>
            <w:vAlign w:val="center"/>
          </w:tcPr>
          <w:p w14:paraId="110D8B2C">
            <w:pPr>
              <w:pStyle w:val="276"/>
              <w:rPr>
                <w:color w:val="auto"/>
                <w:lang w:val="en-US"/>
              </w:rPr>
            </w:pPr>
            <w:r>
              <w:rPr>
                <w:rFonts w:hint="eastAsia"/>
                <w:color w:val="auto"/>
                <w:lang w:val="en-US" w:eastAsia="zh-CN"/>
              </w:rPr>
              <w:t>/</w:t>
            </w:r>
          </w:p>
        </w:tc>
        <w:tc>
          <w:tcPr>
            <w:tcW w:w="462" w:type="pct"/>
            <w:shd w:val="clear" w:color="auto" w:fill="auto"/>
            <w:vAlign w:val="center"/>
          </w:tcPr>
          <w:p w14:paraId="32749CF8">
            <w:pPr>
              <w:pStyle w:val="276"/>
              <w:rPr>
                <w:color w:val="auto"/>
                <w:lang w:val="en-US"/>
              </w:rPr>
            </w:pPr>
            <w:r>
              <w:rPr>
                <w:rFonts w:hint="eastAsia"/>
                <w:color w:val="auto"/>
                <w:lang w:val="en-US" w:eastAsia="zh-CN"/>
              </w:rPr>
              <w:t>0.4</w:t>
            </w:r>
          </w:p>
        </w:tc>
        <w:tc>
          <w:tcPr>
            <w:tcW w:w="404" w:type="pct"/>
            <w:shd w:val="clear" w:color="auto" w:fill="auto"/>
            <w:vAlign w:val="center"/>
          </w:tcPr>
          <w:p w14:paraId="673FFDD6">
            <w:pPr>
              <w:pStyle w:val="276"/>
              <w:rPr>
                <w:color w:val="auto"/>
                <w:lang w:val="en-US"/>
              </w:rPr>
            </w:pPr>
            <w:r>
              <w:rPr>
                <w:rFonts w:hint="eastAsia"/>
                <w:color w:val="auto"/>
                <w:lang w:val="en-US" w:eastAsia="zh-CN"/>
              </w:rPr>
              <w:t>0.04</w:t>
            </w:r>
          </w:p>
        </w:tc>
        <w:tc>
          <w:tcPr>
            <w:tcW w:w="387" w:type="pct"/>
            <w:shd w:val="clear" w:color="auto" w:fill="auto"/>
            <w:vAlign w:val="center"/>
          </w:tcPr>
          <w:p w14:paraId="61FA57B7">
            <w:pPr>
              <w:pStyle w:val="276"/>
              <w:ind w:firstLine="0" w:firstLineChars="0"/>
              <w:rPr>
                <w:rFonts w:ascii="Times New Roman" w:hAnsi="Times New Roman" w:eastAsia="宋体" w:cs="Times New Roman"/>
                <w:color w:val="auto"/>
                <w:kern w:val="2"/>
                <w:sz w:val="21"/>
                <w:szCs w:val="21"/>
                <w:lang w:val="en-US" w:eastAsia="zh-CN" w:bidi="ar-SA"/>
              </w:rPr>
            </w:pPr>
            <w:r>
              <w:rPr>
                <w:rFonts w:hint="eastAsia"/>
                <w:color w:val="auto"/>
                <w:lang w:val="en-US" w:eastAsia="zh-CN"/>
              </w:rPr>
              <w:t>0.3L</w:t>
            </w:r>
          </w:p>
        </w:tc>
        <w:tc>
          <w:tcPr>
            <w:tcW w:w="1042" w:type="dxa"/>
            <w:shd w:val="clear" w:color="auto" w:fill="auto"/>
            <w:vAlign w:val="center"/>
          </w:tcPr>
          <w:p w14:paraId="17CB6C3E">
            <w:pPr>
              <w:pStyle w:val="276"/>
              <w:ind w:firstLine="0" w:firstLineChars="0"/>
              <w:rPr>
                <w:rFonts w:hint="eastAsia"/>
                <w:color w:val="auto"/>
                <w:lang w:val="en-US" w:eastAsia="zh-CN"/>
              </w:rPr>
            </w:pPr>
            <w:r>
              <w:rPr>
                <w:rFonts w:hint="default"/>
                <w:color w:val="auto"/>
                <w:lang w:val="en-US" w:eastAsia="zh-CN"/>
              </w:rPr>
              <w:t>/</w:t>
            </w:r>
          </w:p>
        </w:tc>
        <w:tc>
          <w:tcPr>
            <w:tcW w:w="1093" w:type="dxa"/>
            <w:shd w:val="clear" w:color="auto" w:fill="auto"/>
            <w:vAlign w:val="center"/>
          </w:tcPr>
          <w:p w14:paraId="6BDB3098">
            <w:pPr>
              <w:pStyle w:val="276"/>
              <w:ind w:firstLine="0" w:firstLineChars="0"/>
              <w:rPr>
                <w:rFonts w:hint="eastAsia"/>
                <w:color w:val="auto"/>
                <w:lang w:val="en-US" w:eastAsia="zh-CN"/>
              </w:rPr>
            </w:pPr>
            <w:r>
              <w:rPr>
                <w:rFonts w:hint="default"/>
                <w:color w:val="auto"/>
                <w:lang w:val="en-US" w:eastAsia="zh-CN"/>
              </w:rPr>
              <w:t>0.3L</w:t>
            </w:r>
          </w:p>
        </w:tc>
        <w:tc>
          <w:tcPr>
            <w:tcW w:w="921" w:type="dxa"/>
            <w:shd w:val="clear" w:color="auto" w:fill="auto"/>
            <w:vAlign w:val="center"/>
          </w:tcPr>
          <w:p w14:paraId="0113EBA7">
            <w:pPr>
              <w:pStyle w:val="276"/>
              <w:ind w:firstLine="0" w:firstLineChars="0"/>
              <w:rPr>
                <w:rFonts w:hint="eastAsia"/>
                <w:color w:val="auto"/>
                <w:lang w:val="en-US" w:eastAsia="zh-CN"/>
              </w:rPr>
            </w:pPr>
            <w:r>
              <w:rPr>
                <w:rFonts w:hint="default"/>
                <w:color w:val="auto"/>
                <w:lang w:val="en-US" w:eastAsia="zh-CN"/>
              </w:rPr>
              <w:t>/</w:t>
            </w:r>
          </w:p>
        </w:tc>
        <w:tc>
          <w:tcPr>
            <w:tcW w:w="292" w:type="pct"/>
            <w:shd w:val="clear" w:color="auto" w:fill="auto"/>
            <w:vAlign w:val="center"/>
          </w:tcPr>
          <w:p w14:paraId="75FF9998">
            <w:pPr>
              <w:pStyle w:val="276"/>
              <w:rPr>
                <w:color w:val="auto"/>
              </w:rPr>
            </w:pPr>
            <w:r>
              <w:rPr>
                <w:color w:val="auto"/>
                <w:lang w:val="en-US"/>
              </w:rPr>
              <w:t>10</w:t>
            </w:r>
          </w:p>
        </w:tc>
      </w:tr>
      <w:tr w14:paraId="5405E7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84" w:hRule="atLeast"/>
          <w:jc w:val="center"/>
        </w:trPr>
        <w:tc>
          <w:tcPr>
            <w:tcW w:w="586" w:type="pct"/>
            <w:shd w:val="clear" w:color="auto" w:fill="auto"/>
            <w:vAlign w:val="center"/>
          </w:tcPr>
          <w:p w14:paraId="62434032">
            <w:pPr>
              <w:pStyle w:val="276"/>
              <w:rPr>
                <w:color w:val="auto"/>
              </w:rPr>
            </w:pPr>
            <w:r>
              <w:rPr>
                <w:rFonts w:hint="eastAsia"/>
                <w:color w:val="auto"/>
                <w:lang w:val="en-US"/>
              </w:rPr>
              <w:t>汞（μg/L）</w:t>
            </w:r>
          </w:p>
        </w:tc>
        <w:tc>
          <w:tcPr>
            <w:tcW w:w="469" w:type="pct"/>
            <w:shd w:val="clear" w:color="auto" w:fill="auto"/>
            <w:vAlign w:val="center"/>
          </w:tcPr>
          <w:p w14:paraId="7645396B">
            <w:pPr>
              <w:pStyle w:val="276"/>
              <w:rPr>
                <w:color w:val="auto"/>
                <w:lang w:val="en-US"/>
              </w:rPr>
            </w:pPr>
            <w:r>
              <w:rPr>
                <w:rFonts w:hint="eastAsia"/>
                <w:color w:val="auto"/>
                <w:lang w:val="en-US" w:eastAsia="zh-CN"/>
              </w:rPr>
              <w:t>0.04L</w:t>
            </w:r>
          </w:p>
        </w:tc>
        <w:tc>
          <w:tcPr>
            <w:tcW w:w="430" w:type="pct"/>
            <w:shd w:val="clear" w:color="auto" w:fill="auto"/>
            <w:vAlign w:val="center"/>
          </w:tcPr>
          <w:p w14:paraId="02712A8C">
            <w:pPr>
              <w:pStyle w:val="276"/>
              <w:rPr>
                <w:color w:val="auto"/>
                <w:lang w:val="en-US"/>
              </w:rPr>
            </w:pPr>
            <w:r>
              <w:rPr>
                <w:rFonts w:hint="eastAsia"/>
                <w:color w:val="auto"/>
                <w:lang w:val="en-US" w:eastAsia="zh-CN"/>
              </w:rPr>
              <w:t>/</w:t>
            </w:r>
          </w:p>
        </w:tc>
        <w:tc>
          <w:tcPr>
            <w:tcW w:w="464" w:type="pct"/>
            <w:shd w:val="clear" w:color="auto" w:fill="auto"/>
            <w:vAlign w:val="center"/>
          </w:tcPr>
          <w:p w14:paraId="2E076606">
            <w:pPr>
              <w:pStyle w:val="276"/>
              <w:rPr>
                <w:color w:val="auto"/>
                <w:lang w:val="en-US"/>
              </w:rPr>
            </w:pPr>
            <w:r>
              <w:rPr>
                <w:rFonts w:hint="eastAsia"/>
                <w:color w:val="auto"/>
                <w:lang w:val="en-US" w:eastAsia="zh-CN"/>
              </w:rPr>
              <w:t>0.04L</w:t>
            </w:r>
          </w:p>
        </w:tc>
        <w:tc>
          <w:tcPr>
            <w:tcW w:w="422" w:type="pct"/>
            <w:shd w:val="clear" w:color="auto" w:fill="auto"/>
            <w:vAlign w:val="center"/>
          </w:tcPr>
          <w:p w14:paraId="473E0BF3">
            <w:pPr>
              <w:pStyle w:val="276"/>
              <w:rPr>
                <w:color w:val="auto"/>
                <w:lang w:val="en-US"/>
              </w:rPr>
            </w:pPr>
            <w:r>
              <w:rPr>
                <w:rFonts w:hint="eastAsia"/>
                <w:color w:val="auto"/>
                <w:lang w:val="en-US" w:eastAsia="zh-CN"/>
              </w:rPr>
              <w:t>/</w:t>
            </w:r>
          </w:p>
        </w:tc>
        <w:tc>
          <w:tcPr>
            <w:tcW w:w="462" w:type="pct"/>
            <w:shd w:val="clear" w:color="auto" w:fill="auto"/>
            <w:vAlign w:val="center"/>
          </w:tcPr>
          <w:p w14:paraId="1ABBBFD0">
            <w:pPr>
              <w:pStyle w:val="276"/>
              <w:rPr>
                <w:color w:val="auto"/>
                <w:lang w:val="en-US"/>
              </w:rPr>
            </w:pPr>
            <w:r>
              <w:rPr>
                <w:rFonts w:hint="eastAsia"/>
                <w:color w:val="auto"/>
                <w:lang w:val="en-US" w:eastAsia="zh-CN"/>
              </w:rPr>
              <w:t>0.04L</w:t>
            </w:r>
          </w:p>
        </w:tc>
        <w:tc>
          <w:tcPr>
            <w:tcW w:w="404" w:type="pct"/>
            <w:shd w:val="clear" w:color="auto" w:fill="auto"/>
            <w:vAlign w:val="center"/>
          </w:tcPr>
          <w:p w14:paraId="4C8C8DF0">
            <w:pPr>
              <w:pStyle w:val="276"/>
              <w:rPr>
                <w:color w:val="auto"/>
                <w:lang w:val="en-US"/>
              </w:rPr>
            </w:pPr>
            <w:r>
              <w:rPr>
                <w:rFonts w:hint="eastAsia"/>
                <w:color w:val="auto"/>
                <w:lang w:val="en-US" w:eastAsia="zh-CN"/>
              </w:rPr>
              <w:t>/</w:t>
            </w:r>
          </w:p>
        </w:tc>
        <w:tc>
          <w:tcPr>
            <w:tcW w:w="387" w:type="pct"/>
            <w:shd w:val="clear" w:color="auto" w:fill="auto"/>
            <w:vAlign w:val="center"/>
          </w:tcPr>
          <w:p w14:paraId="5E0B481D">
            <w:pPr>
              <w:pStyle w:val="276"/>
              <w:ind w:firstLine="0" w:firstLineChars="0"/>
              <w:rPr>
                <w:rFonts w:ascii="Times New Roman" w:hAnsi="Times New Roman" w:eastAsia="宋体" w:cs="Times New Roman"/>
                <w:color w:val="auto"/>
                <w:kern w:val="2"/>
                <w:sz w:val="21"/>
                <w:szCs w:val="21"/>
                <w:lang w:val="en-US" w:eastAsia="zh-CN" w:bidi="ar-SA"/>
              </w:rPr>
            </w:pPr>
            <w:r>
              <w:rPr>
                <w:rFonts w:hint="eastAsia"/>
                <w:color w:val="auto"/>
                <w:lang w:val="en-US" w:eastAsia="zh-CN"/>
              </w:rPr>
              <w:t>0.04L</w:t>
            </w:r>
          </w:p>
        </w:tc>
        <w:tc>
          <w:tcPr>
            <w:tcW w:w="1042" w:type="dxa"/>
            <w:shd w:val="clear" w:color="auto" w:fill="auto"/>
            <w:vAlign w:val="center"/>
          </w:tcPr>
          <w:p w14:paraId="1EC973E9">
            <w:pPr>
              <w:pStyle w:val="276"/>
              <w:ind w:firstLine="0" w:firstLineChars="0"/>
              <w:rPr>
                <w:rFonts w:hint="eastAsia"/>
                <w:color w:val="auto"/>
                <w:lang w:val="en-US" w:eastAsia="zh-CN"/>
              </w:rPr>
            </w:pPr>
            <w:r>
              <w:rPr>
                <w:rFonts w:hint="default"/>
                <w:color w:val="auto"/>
                <w:lang w:val="en-US" w:eastAsia="zh-CN"/>
              </w:rPr>
              <w:t>/</w:t>
            </w:r>
          </w:p>
        </w:tc>
        <w:tc>
          <w:tcPr>
            <w:tcW w:w="1093" w:type="dxa"/>
            <w:shd w:val="clear" w:color="auto" w:fill="auto"/>
            <w:vAlign w:val="center"/>
          </w:tcPr>
          <w:p w14:paraId="011BC8A6">
            <w:pPr>
              <w:pStyle w:val="276"/>
              <w:ind w:firstLine="0" w:firstLineChars="0"/>
              <w:rPr>
                <w:rFonts w:hint="eastAsia"/>
                <w:color w:val="auto"/>
                <w:lang w:val="en-US" w:eastAsia="zh-CN"/>
              </w:rPr>
            </w:pPr>
            <w:r>
              <w:rPr>
                <w:rFonts w:hint="default"/>
                <w:color w:val="auto"/>
                <w:lang w:val="en-US" w:eastAsia="zh-CN"/>
              </w:rPr>
              <w:t>0.04L</w:t>
            </w:r>
          </w:p>
        </w:tc>
        <w:tc>
          <w:tcPr>
            <w:tcW w:w="921" w:type="dxa"/>
            <w:shd w:val="clear" w:color="auto" w:fill="auto"/>
            <w:vAlign w:val="center"/>
          </w:tcPr>
          <w:p w14:paraId="751964F3">
            <w:pPr>
              <w:pStyle w:val="276"/>
              <w:ind w:firstLine="0" w:firstLineChars="0"/>
              <w:rPr>
                <w:rFonts w:hint="eastAsia"/>
                <w:color w:val="auto"/>
                <w:lang w:val="en-US" w:eastAsia="zh-CN"/>
              </w:rPr>
            </w:pPr>
            <w:r>
              <w:rPr>
                <w:rFonts w:hint="default"/>
                <w:color w:val="auto"/>
                <w:lang w:val="en-US" w:eastAsia="zh-CN"/>
              </w:rPr>
              <w:t>/</w:t>
            </w:r>
          </w:p>
        </w:tc>
        <w:tc>
          <w:tcPr>
            <w:tcW w:w="292" w:type="pct"/>
            <w:shd w:val="clear" w:color="auto" w:fill="auto"/>
            <w:vAlign w:val="center"/>
          </w:tcPr>
          <w:p w14:paraId="20C3C638">
            <w:pPr>
              <w:pStyle w:val="276"/>
              <w:rPr>
                <w:color w:val="auto"/>
              </w:rPr>
            </w:pPr>
            <w:r>
              <w:rPr>
                <w:color w:val="auto"/>
                <w:lang w:val="en-US"/>
              </w:rPr>
              <w:t>1</w:t>
            </w:r>
          </w:p>
        </w:tc>
      </w:tr>
      <w:tr w14:paraId="2EE808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84" w:hRule="atLeast"/>
          <w:jc w:val="center"/>
        </w:trPr>
        <w:tc>
          <w:tcPr>
            <w:tcW w:w="586" w:type="pct"/>
            <w:shd w:val="clear" w:color="auto" w:fill="auto"/>
            <w:vAlign w:val="center"/>
          </w:tcPr>
          <w:p w14:paraId="6B684D35">
            <w:pPr>
              <w:pStyle w:val="276"/>
              <w:rPr>
                <w:color w:val="auto"/>
              </w:rPr>
            </w:pPr>
            <w:r>
              <w:rPr>
                <w:rFonts w:hint="eastAsia"/>
                <w:color w:val="auto"/>
                <w:lang w:val="en-US"/>
              </w:rPr>
              <w:t>溶解性总固体</w:t>
            </w:r>
          </w:p>
        </w:tc>
        <w:tc>
          <w:tcPr>
            <w:tcW w:w="469" w:type="pct"/>
            <w:shd w:val="clear" w:color="auto" w:fill="auto"/>
            <w:vAlign w:val="center"/>
          </w:tcPr>
          <w:p w14:paraId="61E580D7">
            <w:pPr>
              <w:pStyle w:val="276"/>
              <w:rPr>
                <w:color w:val="auto"/>
                <w:lang w:val="en-US"/>
              </w:rPr>
            </w:pPr>
            <w:r>
              <w:rPr>
                <w:rFonts w:hint="eastAsia"/>
                <w:color w:val="auto"/>
                <w:lang w:val="en-US" w:eastAsia="zh-CN"/>
              </w:rPr>
              <w:t>442</w:t>
            </w:r>
          </w:p>
        </w:tc>
        <w:tc>
          <w:tcPr>
            <w:tcW w:w="430" w:type="pct"/>
            <w:shd w:val="clear" w:color="auto" w:fill="auto"/>
            <w:vAlign w:val="center"/>
          </w:tcPr>
          <w:p w14:paraId="1486227C">
            <w:pPr>
              <w:pStyle w:val="276"/>
              <w:rPr>
                <w:color w:val="auto"/>
                <w:lang w:val="en-US"/>
              </w:rPr>
            </w:pPr>
            <w:r>
              <w:rPr>
                <w:rFonts w:hint="eastAsia"/>
                <w:color w:val="auto"/>
                <w:lang w:val="en-US" w:eastAsia="zh-CN"/>
              </w:rPr>
              <w:t>0.442</w:t>
            </w:r>
          </w:p>
        </w:tc>
        <w:tc>
          <w:tcPr>
            <w:tcW w:w="464" w:type="pct"/>
            <w:shd w:val="clear" w:color="auto" w:fill="auto"/>
            <w:vAlign w:val="center"/>
          </w:tcPr>
          <w:p w14:paraId="0F39FCA0">
            <w:pPr>
              <w:pStyle w:val="276"/>
              <w:rPr>
                <w:color w:val="auto"/>
                <w:lang w:val="en-US"/>
              </w:rPr>
            </w:pPr>
            <w:r>
              <w:rPr>
                <w:rFonts w:hint="eastAsia"/>
                <w:color w:val="auto"/>
                <w:lang w:val="en-US" w:eastAsia="zh-CN"/>
              </w:rPr>
              <w:t>358</w:t>
            </w:r>
          </w:p>
        </w:tc>
        <w:tc>
          <w:tcPr>
            <w:tcW w:w="422" w:type="pct"/>
            <w:shd w:val="clear" w:color="auto" w:fill="auto"/>
            <w:vAlign w:val="center"/>
          </w:tcPr>
          <w:p w14:paraId="0DBC51BA">
            <w:pPr>
              <w:pStyle w:val="276"/>
              <w:rPr>
                <w:color w:val="auto"/>
                <w:lang w:val="en-US"/>
              </w:rPr>
            </w:pPr>
            <w:r>
              <w:rPr>
                <w:rFonts w:hint="eastAsia"/>
                <w:color w:val="auto"/>
                <w:lang w:val="en-US" w:eastAsia="zh-CN"/>
              </w:rPr>
              <w:t>0.358</w:t>
            </w:r>
          </w:p>
        </w:tc>
        <w:tc>
          <w:tcPr>
            <w:tcW w:w="462" w:type="pct"/>
            <w:shd w:val="clear" w:color="auto" w:fill="auto"/>
            <w:vAlign w:val="center"/>
          </w:tcPr>
          <w:p w14:paraId="1CBB46F5">
            <w:pPr>
              <w:pStyle w:val="276"/>
              <w:rPr>
                <w:color w:val="auto"/>
                <w:lang w:val="en-US"/>
              </w:rPr>
            </w:pPr>
            <w:r>
              <w:rPr>
                <w:rFonts w:hint="eastAsia"/>
                <w:color w:val="auto"/>
                <w:lang w:val="en-US" w:eastAsia="zh-CN"/>
              </w:rPr>
              <w:t>424</w:t>
            </w:r>
          </w:p>
        </w:tc>
        <w:tc>
          <w:tcPr>
            <w:tcW w:w="404" w:type="pct"/>
            <w:shd w:val="clear" w:color="auto" w:fill="auto"/>
            <w:vAlign w:val="center"/>
          </w:tcPr>
          <w:p w14:paraId="7137DFE5">
            <w:pPr>
              <w:pStyle w:val="276"/>
              <w:rPr>
                <w:color w:val="auto"/>
                <w:lang w:val="en-US"/>
              </w:rPr>
            </w:pPr>
            <w:r>
              <w:rPr>
                <w:rFonts w:hint="eastAsia"/>
                <w:color w:val="auto"/>
                <w:lang w:val="en-US" w:eastAsia="zh-CN"/>
              </w:rPr>
              <w:t>0.424</w:t>
            </w:r>
          </w:p>
        </w:tc>
        <w:tc>
          <w:tcPr>
            <w:tcW w:w="387" w:type="pct"/>
            <w:shd w:val="clear" w:color="auto" w:fill="auto"/>
            <w:vAlign w:val="center"/>
          </w:tcPr>
          <w:p w14:paraId="5104DAF1">
            <w:pPr>
              <w:pStyle w:val="276"/>
              <w:ind w:firstLine="0" w:firstLineChars="0"/>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473</w:t>
            </w:r>
          </w:p>
        </w:tc>
        <w:tc>
          <w:tcPr>
            <w:tcW w:w="1042" w:type="dxa"/>
            <w:shd w:val="clear" w:color="auto" w:fill="auto"/>
            <w:vAlign w:val="center"/>
          </w:tcPr>
          <w:p w14:paraId="7632C7D9">
            <w:pPr>
              <w:pStyle w:val="276"/>
              <w:ind w:firstLine="0" w:firstLineChars="0"/>
              <w:rPr>
                <w:rFonts w:hint="eastAsia"/>
                <w:color w:val="auto"/>
                <w:lang w:val="en-US" w:eastAsia="zh-CN"/>
              </w:rPr>
            </w:pPr>
            <w:r>
              <w:rPr>
                <w:rFonts w:hint="eastAsia"/>
                <w:color w:val="auto"/>
                <w:lang w:val="en-US" w:eastAsia="zh-CN"/>
              </w:rPr>
              <w:t>0.473</w:t>
            </w:r>
          </w:p>
        </w:tc>
        <w:tc>
          <w:tcPr>
            <w:tcW w:w="1093" w:type="dxa"/>
            <w:shd w:val="clear" w:color="auto" w:fill="auto"/>
            <w:vAlign w:val="center"/>
          </w:tcPr>
          <w:p w14:paraId="1977BF2E">
            <w:pPr>
              <w:pStyle w:val="276"/>
              <w:ind w:firstLine="0" w:firstLineChars="0"/>
              <w:rPr>
                <w:rFonts w:hint="default"/>
                <w:color w:val="auto"/>
                <w:lang w:val="en-US" w:eastAsia="zh-CN"/>
              </w:rPr>
            </w:pPr>
            <w:r>
              <w:rPr>
                <w:rFonts w:hint="default"/>
                <w:color w:val="auto"/>
                <w:lang w:val="en-US" w:eastAsia="zh-CN"/>
              </w:rPr>
              <w:t>452</w:t>
            </w:r>
          </w:p>
        </w:tc>
        <w:tc>
          <w:tcPr>
            <w:tcW w:w="921" w:type="dxa"/>
            <w:shd w:val="clear" w:color="auto" w:fill="auto"/>
            <w:vAlign w:val="center"/>
          </w:tcPr>
          <w:p w14:paraId="5D178BFD">
            <w:pPr>
              <w:pStyle w:val="276"/>
              <w:ind w:firstLine="0" w:firstLineChars="0"/>
              <w:rPr>
                <w:rFonts w:hint="eastAsia"/>
                <w:color w:val="auto"/>
                <w:lang w:val="en-US" w:eastAsia="zh-CN"/>
              </w:rPr>
            </w:pPr>
            <w:r>
              <w:rPr>
                <w:rFonts w:hint="eastAsia"/>
                <w:color w:val="auto"/>
                <w:lang w:val="en-US" w:eastAsia="zh-CN"/>
              </w:rPr>
              <w:t>0.452</w:t>
            </w:r>
          </w:p>
        </w:tc>
        <w:tc>
          <w:tcPr>
            <w:tcW w:w="292" w:type="pct"/>
            <w:shd w:val="clear" w:color="auto" w:fill="auto"/>
            <w:vAlign w:val="center"/>
          </w:tcPr>
          <w:p w14:paraId="3329D8A8">
            <w:pPr>
              <w:pStyle w:val="276"/>
              <w:rPr>
                <w:color w:val="auto"/>
              </w:rPr>
            </w:pPr>
            <w:r>
              <w:rPr>
                <w:color w:val="auto"/>
                <w:lang w:val="en-US"/>
              </w:rPr>
              <w:t>1000</w:t>
            </w:r>
          </w:p>
        </w:tc>
      </w:tr>
      <w:tr w14:paraId="53AD0D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84" w:hRule="atLeast"/>
          <w:jc w:val="center"/>
        </w:trPr>
        <w:tc>
          <w:tcPr>
            <w:tcW w:w="586" w:type="pct"/>
            <w:shd w:val="clear" w:color="auto" w:fill="auto"/>
            <w:vAlign w:val="center"/>
          </w:tcPr>
          <w:p w14:paraId="2FA9BF0E">
            <w:pPr>
              <w:pStyle w:val="276"/>
              <w:rPr>
                <w:color w:val="auto"/>
                <w:lang w:val="en-US"/>
              </w:rPr>
            </w:pPr>
            <w:r>
              <w:rPr>
                <w:rFonts w:hint="eastAsia"/>
                <w:color w:val="auto"/>
                <w:lang w:val="en-US"/>
              </w:rPr>
              <w:t>总大肠菌群</w:t>
            </w:r>
            <w:r>
              <w:rPr>
                <w:rFonts w:hint="eastAsia"/>
                <w:color w:val="auto"/>
              </w:rPr>
              <w:t>（MPN/100mL）</w:t>
            </w:r>
          </w:p>
        </w:tc>
        <w:tc>
          <w:tcPr>
            <w:tcW w:w="469" w:type="pct"/>
            <w:shd w:val="clear" w:color="auto" w:fill="auto"/>
            <w:vAlign w:val="center"/>
          </w:tcPr>
          <w:p w14:paraId="2DEC8D6B">
            <w:pPr>
              <w:pStyle w:val="276"/>
              <w:rPr>
                <w:color w:val="auto"/>
                <w:lang w:val="en-US"/>
              </w:rPr>
            </w:pPr>
            <w:r>
              <w:rPr>
                <w:rFonts w:hint="eastAsia"/>
                <w:color w:val="auto"/>
                <w:lang w:val="en-US" w:eastAsia="zh-CN"/>
              </w:rPr>
              <w:t>&lt;2</w:t>
            </w:r>
          </w:p>
        </w:tc>
        <w:tc>
          <w:tcPr>
            <w:tcW w:w="430" w:type="pct"/>
            <w:shd w:val="clear" w:color="auto" w:fill="auto"/>
            <w:vAlign w:val="center"/>
          </w:tcPr>
          <w:p w14:paraId="3229723D">
            <w:pPr>
              <w:pStyle w:val="276"/>
              <w:rPr>
                <w:color w:val="auto"/>
                <w:lang w:val="en-US"/>
              </w:rPr>
            </w:pPr>
            <w:r>
              <w:rPr>
                <w:rFonts w:hint="eastAsia"/>
                <w:color w:val="auto"/>
                <w:lang w:val="en-US" w:eastAsia="zh-CN"/>
              </w:rPr>
              <w:t>/</w:t>
            </w:r>
          </w:p>
        </w:tc>
        <w:tc>
          <w:tcPr>
            <w:tcW w:w="464" w:type="pct"/>
            <w:shd w:val="clear" w:color="auto" w:fill="auto"/>
            <w:vAlign w:val="center"/>
          </w:tcPr>
          <w:p w14:paraId="0FCE96EA">
            <w:pPr>
              <w:pStyle w:val="276"/>
              <w:rPr>
                <w:color w:val="auto"/>
                <w:lang w:val="en-US"/>
              </w:rPr>
            </w:pPr>
            <w:r>
              <w:rPr>
                <w:rFonts w:hint="eastAsia"/>
                <w:color w:val="auto"/>
                <w:lang w:val="en-US" w:eastAsia="zh-CN"/>
              </w:rPr>
              <w:t>&lt;2</w:t>
            </w:r>
          </w:p>
        </w:tc>
        <w:tc>
          <w:tcPr>
            <w:tcW w:w="422" w:type="pct"/>
            <w:shd w:val="clear" w:color="auto" w:fill="auto"/>
            <w:vAlign w:val="center"/>
          </w:tcPr>
          <w:p w14:paraId="7C20EF0A">
            <w:pPr>
              <w:pStyle w:val="276"/>
              <w:rPr>
                <w:color w:val="auto"/>
                <w:lang w:val="en-US"/>
              </w:rPr>
            </w:pPr>
            <w:r>
              <w:rPr>
                <w:rFonts w:hint="eastAsia"/>
                <w:color w:val="auto"/>
                <w:lang w:val="en-US" w:eastAsia="zh-CN"/>
              </w:rPr>
              <w:t>/</w:t>
            </w:r>
          </w:p>
        </w:tc>
        <w:tc>
          <w:tcPr>
            <w:tcW w:w="462" w:type="pct"/>
            <w:shd w:val="clear" w:color="auto" w:fill="auto"/>
            <w:vAlign w:val="center"/>
          </w:tcPr>
          <w:p w14:paraId="28F30E6B">
            <w:pPr>
              <w:pStyle w:val="276"/>
              <w:rPr>
                <w:color w:val="auto"/>
                <w:lang w:val="en-US"/>
              </w:rPr>
            </w:pPr>
            <w:r>
              <w:rPr>
                <w:rFonts w:hint="eastAsia"/>
                <w:color w:val="auto"/>
                <w:lang w:val="en-US" w:eastAsia="zh-CN"/>
              </w:rPr>
              <w:t>&lt;2</w:t>
            </w:r>
          </w:p>
        </w:tc>
        <w:tc>
          <w:tcPr>
            <w:tcW w:w="404" w:type="pct"/>
            <w:shd w:val="clear" w:color="auto" w:fill="auto"/>
            <w:vAlign w:val="center"/>
          </w:tcPr>
          <w:p w14:paraId="795B18CD">
            <w:pPr>
              <w:pStyle w:val="276"/>
              <w:rPr>
                <w:color w:val="auto"/>
                <w:lang w:val="en-US"/>
              </w:rPr>
            </w:pPr>
            <w:r>
              <w:rPr>
                <w:rFonts w:hint="eastAsia"/>
                <w:color w:val="auto"/>
                <w:lang w:val="en-US" w:eastAsia="zh-CN"/>
              </w:rPr>
              <w:t>/</w:t>
            </w:r>
          </w:p>
        </w:tc>
        <w:tc>
          <w:tcPr>
            <w:tcW w:w="387" w:type="pct"/>
            <w:shd w:val="clear" w:color="auto" w:fill="auto"/>
            <w:vAlign w:val="center"/>
          </w:tcPr>
          <w:p w14:paraId="6BC33B7C">
            <w:pPr>
              <w:pStyle w:val="276"/>
              <w:ind w:firstLine="0" w:firstLineChars="0"/>
              <w:rPr>
                <w:rFonts w:ascii="Times New Roman" w:hAnsi="Times New Roman" w:eastAsia="宋体" w:cs="Times New Roman"/>
                <w:color w:val="auto"/>
                <w:kern w:val="2"/>
                <w:sz w:val="21"/>
                <w:szCs w:val="21"/>
                <w:lang w:val="en-US" w:eastAsia="zh-CN" w:bidi="ar-SA"/>
              </w:rPr>
            </w:pPr>
            <w:r>
              <w:rPr>
                <w:rFonts w:hint="eastAsia"/>
                <w:color w:val="auto"/>
                <w:lang w:val="en-US" w:eastAsia="zh-CN"/>
              </w:rPr>
              <w:t>&lt;2</w:t>
            </w:r>
          </w:p>
        </w:tc>
        <w:tc>
          <w:tcPr>
            <w:tcW w:w="1042" w:type="dxa"/>
            <w:shd w:val="clear" w:color="auto" w:fill="auto"/>
            <w:vAlign w:val="center"/>
          </w:tcPr>
          <w:p w14:paraId="3BE12CCD">
            <w:pPr>
              <w:pStyle w:val="276"/>
              <w:ind w:firstLine="0" w:firstLineChars="0"/>
              <w:rPr>
                <w:rFonts w:hint="eastAsia"/>
                <w:color w:val="auto"/>
                <w:lang w:val="en-US" w:eastAsia="zh-CN"/>
              </w:rPr>
            </w:pPr>
            <w:r>
              <w:rPr>
                <w:rFonts w:hint="default"/>
                <w:color w:val="auto"/>
                <w:lang w:val="en-US" w:eastAsia="zh-CN"/>
              </w:rPr>
              <w:t>/</w:t>
            </w:r>
          </w:p>
        </w:tc>
        <w:tc>
          <w:tcPr>
            <w:tcW w:w="1093" w:type="dxa"/>
            <w:shd w:val="clear" w:color="auto" w:fill="auto"/>
            <w:vAlign w:val="center"/>
          </w:tcPr>
          <w:p w14:paraId="552421DA">
            <w:pPr>
              <w:pStyle w:val="276"/>
              <w:ind w:firstLine="0" w:firstLineChars="0"/>
              <w:rPr>
                <w:rFonts w:hint="eastAsia"/>
                <w:color w:val="auto"/>
                <w:lang w:val="en-US" w:eastAsia="zh-CN"/>
              </w:rPr>
            </w:pPr>
            <w:r>
              <w:rPr>
                <w:rFonts w:hint="default"/>
                <w:color w:val="auto"/>
                <w:lang w:val="en-US" w:eastAsia="zh-CN"/>
              </w:rPr>
              <w:t>&lt;2</w:t>
            </w:r>
          </w:p>
        </w:tc>
        <w:tc>
          <w:tcPr>
            <w:tcW w:w="921" w:type="dxa"/>
            <w:shd w:val="clear" w:color="auto" w:fill="auto"/>
            <w:vAlign w:val="center"/>
          </w:tcPr>
          <w:p w14:paraId="18470C00">
            <w:pPr>
              <w:pStyle w:val="276"/>
              <w:ind w:firstLine="0" w:firstLineChars="0"/>
              <w:rPr>
                <w:rFonts w:hint="eastAsia"/>
                <w:color w:val="auto"/>
                <w:lang w:val="en-US" w:eastAsia="zh-CN"/>
              </w:rPr>
            </w:pPr>
            <w:r>
              <w:rPr>
                <w:rFonts w:hint="default"/>
                <w:color w:val="auto"/>
                <w:lang w:val="en-US" w:eastAsia="zh-CN"/>
              </w:rPr>
              <w:t>/</w:t>
            </w:r>
          </w:p>
        </w:tc>
        <w:tc>
          <w:tcPr>
            <w:tcW w:w="292" w:type="pct"/>
            <w:shd w:val="clear" w:color="auto" w:fill="auto"/>
            <w:vAlign w:val="center"/>
          </w:tcPr>
          <w:p w14:paraId="3A5D924B">
            <w:pPr>
              <w:pStyle w:val="276"/>
              <w:rPr>
                <w:color w:val="auto"/>
              </w:rPr>
            </w:pPr>
            <w:r>
              <w:rPr>
                <w:color w:val="auto"/>
                <w:lang w:val="en-US"/>
              </w:rPr>
              <w:t>3</w:t>
            </w:r>
          </w:p>
        </w:tc>
      </w:tr>
      <w:tr w14:paraId="71D5CB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84" w:hRule="atLeast"/>
          <w:jc w:val="center"/>
        </w:trPr>
        <w:tc>
          <w:tcPr>
            <w:tcW w:w="586" w:type="pct"/>
            <w:shd w:val="clear" w:color="auto" w:fill="auto"/>
            <w:vAlign w:val="center"/>
          </w:tcPr>
          <w:p w14:paraId="1DD5313D">
            <w:pPr>
              <w:pStyle w:val="276"/>
              <w:rPr>
                <w:color w:val="auto"/>
              </w:rPr>
            </w:pPr>
            <w:r>
              <w:rPr>
                <w:rFonts w:hint="eastAsia"/>
                <w:color w:val="auto"/>
                <w:lang w:val="en-US"/>
              </w:rPr>
              <w:t>石油类</w:t>
            </w:r>
          </w:p>
        </w:tc>
        <w:tc>
          <w:tcPr>
            <w:tcW w:w="469" w:type="pct"/>
            <w:shd w:val="clear" w:color="auto" w:fill="auto"/>
            <w:vAlign w:val="center"/>
          </w:tcPr>
          <w:p w14:paraId="54D7E92D">
            <w:pPr>
              <w:pStyle w:val="276"/>
              <w:rPr>
                <w:color w:val="auto"/>
                <w:lang w:val="en-US"/>
              </w:rPr>
            </w:pPr>
            <w:r>
              <w:rPr>
                <w:rFonts w:hint="eastAsia"/>
                <w:color w:val="auto"/>
                <w:lang w:val="en-US" w:eastAsia="zh-CN"/>
              </w:rPr>
              <w:t>0.01L</w:t>
            </w:r>
          </w:p>
        </w:tc>
        <w:tc>
          <w:tcPr>
            <w:tcW w:w="430" w:type="pct"/>
            <w:shd w:val="clear" w:color="auto" w:fill="auto"/>
            <w:vAlign w:val="center"/>
          </w:tcPr>
          <w:p w14:paraId="07BEF917">
            <w:pPr>
              <w:pStyle w:val="276"/>
              <w:rPr>
                <w:color w:val="auto"/>
                <w:lang w:val="en-US"/>
              </w:rPr>
            </w:pPr>
            <w:r>
              <w:rPr>
                <w:rFonts w:hint="eastAsia"/>
                <w:color w:val="auto"/>
                <w:lang w:val="en-US" w:eastAsia="zh-CN"/>
              </w:rPr>
              <w:t>/</w:t>
            </w:r>
          </w:p>
        </w:tc>
        <w:tc>
          <w:tcPr>
            <w:tcW w:w="464" w:type="pct"/>
            <w:shd w:val="clear" w:color="auto" w:fill="auto"/>
            <w:vAlign w:val="center"/>
          </w:tcPr>
          <w:p w14:paraId="76433BCB">
            <w:pPr>
              <w:pStyle w:val="276"/>
              <w:rPr>
                <w:color w:val="auto"/>
                <w:lang w:val="en-US"/>
              </w:rPr>
            </w:pPr>
            <w:r>
              <w:rPr>
                <w:rFonts w:hint="eastAsia"/>
                <w:color w:val="auto"/>
                <w:lang w:val="en-US" w:eastAsia="zh-CN"/>
              </w:rPr>
              <w:t>0.01L</w:t>
            </w:r>
          </w:p>
        </w:tc>
        <w:tc>
          <w:tcPr>
            <w:tcW w:w="422" w:type="pct"/>
            <w:shd w:val="clear" w:color="auto" w:fill="auto"/>
            <w:vAlign w:val="center"/>
          </w:tcPr>
          <w:p w14:paraId="46E8C8F0">
            <w:pPr>
              <w:pStyle w:val="276"/>
              <w:rPr>
                <w:color w:val="auto"/>
                <w:lang w:val="en-US"/>
              </w:rPr>
            </w:pPr>
            <w:r>
              <w:rPr>
                <w:rFonts w:hint="eastAsia"/>
                <w:color w:val="auto"/>
                <w:lang w:val="en-US" w:eastAsia="zh-CN"/>
              </w:rPr>
              <w:t>/</w:t>
            </w:r>
          </w:p>
        </w:tc>
        <w:tc>
          <w:tcPr>
            <w:tcW w:w="462" w:type="pct"/>
            <w:shd w:val="clear" w:color="auto" w:fill="auto"/>
            <w:vAlign w:val="center"/>
          </w:tcPr>
          <w:p w14:paraId="2FFED931">
            <w:pPr>
              <w:pStyle w:val="276"/>
              <w:rPr>
                <w:color w:val="auto"/>
                <w:lang w:val="en-US"/>
              </w:rPr>
            </w:pPr>
            <w:r>
              <w:rPr>
                <w:rFonts w:hint="eastAsia"/>
                <w:color w:val="auto"/>
                <w:lang w:val="en-US" w:eastAsia="zh-CN"/>
              </w:rPr>
              <w:t>0.01L</w:t>
            </w:r>
          </w:p>
        </w:tc>
        <w:tc>
          <w:tcPr>
            <w:tcW w:w="404" w:type="pct"/>
            <w:shd w:val="clear" w:color="auto" w:fill="auto"/>
            <w:vAlign w:val="center"/>
          </w:tcPr>
          <w:p w14:paraId="0F475335">
            <w:pPr>
              <w:pStyle w:val="276"/>
              <w:rPr>
                <w:color w:val="auto"/>
                <w:lang w:val="en-US"/>
              </w:rPr>
            </w:pPr>
            <w:r>
              <w:rPr>
                <w:rFonts w:hint="eastAsia"/>
                <w:color w:val="auto"/>
                <w:lang w:val="en-US" w:eastAsia="zh-CN"/>
              </w:rPr>
              <w:t>/</w:t>
            </w:r>
          </w:p>
        </w:tc>
        <w:tc>
          <w:tcPr>
            <w:tcW w:w="387" w:type="pct"/>
            <w:shd w:val="clear" w:color="auto" w:fill="auto"/>
            <w:vAlign w:val="center"/>
          </w:tcPr>
          <w:p w14:paraId="2FD56A8F">
            <w:pPr>
              <w:pStyle w:val="276"/>
              <w:ind w:firstLine="0" w:firstLineChars="0"/>
              <w:rPr>
                <w:rFonts w:ascii="Times New Roman" w:hAnsi="Times New Roman" w:eastAsia="宋体" w:cs="Times New Roman"/>
                <w:color w:val="auto"/>
                <w:kern w:val="2"/>
                <w:sz w:val="21"/>
                <w:szCs w:val="21"/>
                <w:lang w:val="en-US" w:eastAsia="zh-CN" w:bidi="ar-SA"/>
              </w:rPr>
            </w:pPr>
            <w:r>
              <w:rPr>
                <w:rFonts w:hint="eastAsia"/>
                <w:color w:val="auto"/>
                <w:lang w:val="en-US" w:eastAsia="zh-CN"/>
              </w:rPr>
              <w:t>/</w:t>
            </w:r>
          </w:p>
        </w:tc>
        <w:tc>
          <w:tcPr>
            <w:tcW w:w="1042" w:type="dxa"/>
            <w:shd w:val="clear" w:color="auto" w:fill="auto"/>
            <w:vAlign w:val="center"/>
          </w:tcPr>
          <w:p w14:paraId="06C0E2FC">
            <w:pPr>
              <w:pStyle w:val="276"/>
              <w:ind w:firstLine="0" w:firstLineChars="0"/>
              <w:rPr>
                <w:rFonts w:hint="eastAsia"/>
                <w:color w:val="auto"/>
                <w:lang w:val="en-US" w:eastAsia="zh-CN"/>
              </w:rPr>
            </w:pPr>
            <w:r>
              <w:rPr>
                <w:rFonts w:hint="default"/>
                <w:color w:val="auto"/>
                <w:lang w:val="en-US" w:eastAsia="zh-CN"/>
              </w:rPr>
              <w:t>/</w:t>
            </w:r>
          </w:p>
        </w:tc>
        <w:tc>
          <w:tcPr>
            <w:tcW w:w="1093" w:type="dxa"/>
            <w:shd w:val="clear" w:color="auto" w:fill="auto"/>
            <w:vAlign w:val="center"/>
          </w:tcPr>
          <w:p w14:paraId="4BDF86A2">
            <w:pPr>
              <w:pStyle w:val="276"/>
              <w:ind w:firstLine="0" w:firstLineChars="0"/>
              <w:rPr>
                <w:rFonts w:hint="eastAsia"/>
                <w:color w:val="auto"/>
                <w:lang w:val="en-US" w:eastAsia="zh-CN"/>
              </w:rPr>
            </w:pPr>
            <w:r>
              <w:rPr>
                <w:rFonts w:hint="default"/>
                <w:color w:val="auto"/>
                <w:lang w:val="en-US" w:eastAsia="zh-CN"/>
              </w:rPr>
              <w:t>/</w:t>
            </w:r>
          </w:p>
        </w:tc>
        <w:tc>
          <w:tcPr>
            <w:tcW w:w="921" w:type="dxa"/>
            <w:shd w:val="clear" w:color="auto" w:fill="auto"/>
            <w:vAlign w:val="center"/>
          </w:tcPr>
          <w:p w14:paraId="6D3E1B4C">
            <w:pPr>
              <w:pStyle w:val="276"/>
              <w:ind w:firstLine="0" w:firstLineChars="0"/>
              <w:rPr>
                <w:rFonts w:hint="eastAsia"/>
                <w:color w:val="auto"/>
                <w:lang w:val="en-US" w:eastAsia="zh-CN"/>
              </w:rPr>
            </w:pPr>
            <w:r>
              <w:rPr>
                <w:rFonts w:hint="default"/>
                <w:color w:val="auto"/>
                <w:lang w:val="en-US" w:eastAsia="zh-CN"/>
              </w:rPr>
              <w:t>/</w:t>
            </w:r>
          </w:p>
        </w:tc>
        <w:tc>
          <w:tcPr>
            <w:tcW w:w="292" w:type="pct"/>
            <w:shd w:val="clear" w:color="auto" w:fill="auto"/>
            <w:vAlign w:val="center"/>
          </w:tcPr>
          <w:p w14:paraId="4555A1FC">
            <w:pPr>
              <w:pStyle w:val="276"/>
              <w:rPr>
                <w:color w:val="auto"/>
              </w:rPr>
            </w:pPr>
            <w:r>
              <w:rPr>
                <w:color w:val="auto"/>
                <w:lang w:val="en-US"/>
              </w:rPr>
              <w:t>/</w:t>
            </w:r>
          </w:p>
        </w:tc>
      </w:tr>
      <w:tr w14:paraId="1702D9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84" w:hRule="atLeast"/>
          <w:jc w:val="center"/>
        </w:trPr>
        <w:tc>
          <w:tcPr>
            <w:tcW w:w="586" w:type="pct"/>
            <w:shd w:val="clear" w:color="auto" w:fill="auto"/>
            <w:vAlign w:val="center"/>
          </w:tcPr>
          <w:p w14:paraId="27D485AE">
            <w:pPr>
              <w:pStyle w:val="276"/>
              <w:rPr>
                <w:color w:val="auto"/>
              </w:rPr>
            </w:pPr>
            <w:r>
              <w:rPr>
                <w:rFonts w:hint="eastAsia"/>
                <w:color w:val="auto"/>
                <w:lang w:val="en-US"/>
              </w:rPr>
              <w:t>硫酸盐</w:t>
            </w:r>
          </w:p>
        </w:tc>
        <w:tc>
          <w:tcPr>
            <w:tcW w:w="469" w:type="pct"/>
            <w:shd w:val="clear" w:color="auto" w:fill="auto"/>
            <w:vAlign w:val="center"/>
          </w:tcPr>
          <w:p w14:paraId="79E03800">
            <w:pPr>
              <w:pStyle w:val="276"/>
              <w:rPr>
                <w:color w:val="auto"/>
                <w:lang w:val="en-US"/>
              </w:rPr>
            </w:pPr>
            <w:r>
              <w:rPr>
                <w:rFonts w:hint="eastAsia"/>
                <w:color w:val="auto"/>
                <w:lang w:val="en-US" w:eastAsia="zh-CN"/>
              </w:rPr>
              <w:t>46.1</w:t>
            </w:r>
          </w:p>
        </w:tc>
        <w:tc>
          <w:tcPr>
            <w:tcW w:w="430" w:type="pct"/>
            <w:shd w:val="clear" w:color="auto" w:fill="auto"/>
            <w:vAlign w:val="center"/>
          </w:tcPr>
          <w:p w14:paraId="64381D42">
            <w:pPr>
              <w:pStyle w:val="276"/>
              <w:rPr>
                <w:color w:val="auto"/>
                <w:lang w:val="en-US"/>
              </w:rPr>
            </w:pPr>
            <w:r>
              <w:rPr>
                <w:rFonts w:hint="eastAsia"/>
                <w:color w:val="auto"/>
                <w:lang w:val="en-US" w:eastAsia="zh-CN"/>
              </w:rPr>
              <w:t>0.184</w:t>
            </w:r>
          </w:p>
        </w:tc>
        <w:tc>
          <w:tcPr>
            <w:tcW w:w="464" w:type="pct"/>
            <w:shd w:val="clear" w:color="auto" w:fill="auto"/>
            <w:vAlign w:val="center"/>
          </w:tcPr>
          <w:p w14:paraId="5EACD8F5">
            <w:pPr>
              <w:pStyle w:val="276"/>
              <w:rPr>
                <w:color w:val="auto"/>
                <w:lang w:val="en-US"/>
              </w:rPr>
            </w:pPr>
            <w:r>
              <w:rPr>
                <w:rFonts w:hint="eastAsia"/>
                <w:color w:val="auto"/>
                <w:lang w:val="en-US" w:eastAsia="zh-CN"/>
              </w:rPr>
              <w:t>25.4</w:t>
            </w:r>
          </w:p>
        </w:tc>
        <w:tc>
          <w:tcPr>
            <w:tcW w:w="422" w:type="pct"/>
            <w:shd w:val="clear" w:color="auto" w:fill="auto"/>
            <w:vAlign w:val="center"/>
          </w:tcPr>
          <w:p w14:paraId="2AF6F956">
            <w:pPr>
              <w:pStyle w:val="276"/>
              <w:rPr>
                <w:color w:val="auto"/>
                <w:lang w:val="en-US"/>
              </w:rPr>
            </w:pPr>
            <w:r>
              <w:rPr>
                <w:rFonts w:hint="eastAsia"/>
                <w:color w:val="auto"/>
                <w:lang w:val="en-US" w:eastAsia="zh-CN"/>
              </w:rPr>
              <w:t>0.102</w:t>
            </w:r>
          </w:p>
        </w:tc>
        <w:tc>
          <w:tcPr>
            <w:tcW w:w="462" w:type="pct"/>
            <w:shd w:val="clear" w:color="auto" w:fill="auto"/>
            <w:vAlign w:val="center"/>
          </w:tcPr>
          <w:p w14:paraId="42F26522">
            <w:pPr>
              <w:pStyle w:val="276"/>
              <w:rPr>
                <w:color w:val="auto"/>
                <w:lang w:val="en-US"/>
              </w:rPr>
            </w:pPr>
            <w:r>
              <w:rPr>
                <w:rFonts w:hint="eastAsia"/>
                <w:color w:val="auto"/>
                <w:lang w:val="en-US" w:eastAsia="zh-CN"/>
              </w:rPr>
              <w:t>107</w:t>
            </w:r>
          </w:p>
        </w:tc>
        <w:tc>
          <w:tcPr>
            <w:tcW w:w="404" w:type="pct"/>
            <w:shd w:val="clear" w:color="auto" w:fill="auto"/>
            <w:vAlign w:val="center"/>
          </w:tcPr>
          <w:p w14:paraId="20C53288">
            <w:pPr>
              <w:pStyle w:val="276"/>
              <w:rPr>
                <w:color w:val="auto"/>
                <w:lang w:val="en-US"/>
              </w:rPr>
            </w:pPr>
            <w:r>
              <w:rPr>
                <w:rFonts w:hint="eastAsia"/>
                <w:color w:val="auto"/>
                <w:lang w:val="en-US" w:eastAsia="zh-CN"/>
              </w:rPr>
              <w:t>0.428</w:t>
            </w:r>
          </w:p>
        </w:tc>
        <w:tc>
          <w:tcPr>
            <w:tcW w:w="387" w:type="pct"/>
            <w:shd w:val="clear" w:color="auto" w:fill="auto"/>
            <w:vAlign w:val="center"/>
          </w:tcPr>
          <w:p w14:paraId="734F0502">
            <w:pPr>
              <w:pStyle w:val="276"/>
              <w:ind w:firstLine="0" w:firstLineChars="0"/>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20</w:t>
            </w:r>
          </w:p>
        </w:tc>
        <w:tc>
          <w:tcPr>
            <w:tcW w:w="1042" w:type="dxa"/>
            <w:shd w:val="clear" w:color="auto" w:fill="auto"/>
            <w:vAlign w:val="center"/>
          </w:tcPr>
          <w:p w14:paraId="1B960453">
            <w:pPr>
              <w:pStyle w:val="276"/>
              <w:ind w:firstLine="0" w:firstLineChars="0"/>
              <w:rPr>
                <w:rFonts w:hint="eastAsia"/>
                <w:color w:val="auto"/>
                <w:lang w:val="en-US" w:eastAsia="zh-CN"/>
              </w:rPr>
            </w:pPr>
            <w:r>
              <w:rPr>
                <w:rFonts w:hint="eastAsia"/>
                <w:color w:val="auto"/>
                <w:lang w:val="en-US" w:eastAsia="zh-CN"/>
              </w:rPr>
              <w:t>0.08</w:t>
            </w:r>
          </w:p>
        </w:tc>
        <w:tc>
          <w:tcPr>
            <w:tcW w:w="1093" w:type="dxa"/>
            <w:shd w:val="clear" w:color="auto" w:fill="auto"/>
            <w:vAlign w:val="center"/>
          </w:tcPr>
          <w:p w14:paraId="665D3255">
            <w:pPr>
              <w:pStyle w:val="276"/>
              <w:ind w:firstLine="0" w:firstLineChars="0"/>
              <w:rPr>
                <w:rFonts w:hint="default"/>
                <w:color w:val="auto"/>
                <w:lang w:val="en-US" w:eastAsia="zh-CN"/>
              </w:rPr>
            </w:pPr>
            <w:r>
              <w:rPr>
                <w:rFonts w:hint="default"/>
                <w:color w:val="auto"/>
                <w:lang w:val="en-US" w:eastAsia="zh-CN"/>
              </w:rPr>
              <w:t>31</w:t>
            </w:r>
          </w:p>
        </w:tc>
        <w:tc>
          <w:tcPr>
            <w:tcW w:w="921" w:type="dxa"/>
            <w:shd w:val="clear" w:color="auto" w:fill="auto"/>
            <w:vAlign w:val="center"/>
          </w:tcPr>
          <w:p w14:paraId="647EE9FC">
            <w:pPr>
              <w:pStyle w:val="276"/>
              <w:ind w:firstLine="0" w:firstLineChars="0"/>
              <w:rPr>
                <w:rFonts w:hint="eastAsia"/>
                <w:color w:val="auto"/>
                <w:lang w:val="en-US" w:eastAsia="zh-CN"/>
              </w:rPr>
            </w:pPr>
            <w:r>
              <w:rPr>
                <w:rFonts w:hint="eastAsia"/>
                <w:color w:val="auto"/>
                <w:lang w:val="en-US" w:eastAsia="zh-CN"/>
              </w:rPr>
              <w:t>0.124</w:t>
            </w:r>
          </w:p>
        </w:tc>
        <w:tc>
          <w:tcPr>
            <w:tcW w:w="292" w:type="pct"/>
            <w:shd w:val="clear" w:color="auto" w:fill="auto"/>
            <w:vAlign w:val="center"/>
          </w:tcPr>
          <w:p w14:paraId="1FEAE9E9">
            <w:pPr>
              <w:pStyle w:val="276"/>
              <w:rPr>
                <w:color w:val="auto"/>
              </w:rPr>
            </w:pPr>
            <w:r>
              <w:rPr>
                <w:color w:val="auto"/>
                <w:lang w:val="en-US"/>
              </w:rPr>
              <w:t>250</w:t>
            </w:r>
          </w:p>
        </w:tc>
      </w:tr>
      <w:tr w14:paraId="359EC3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84" w:hRule="atLeast"/>
          <w:jc w:val="center"/>
        </w:trPr>
        <w:tc>
          <w:tcPr>
            <w:tcW w:w="586" w:type="pct"/>
            <w:shd w:val="clear" w:color="auto" w:fill="auto"/>
            <w:vAlign w:val="center"/>
          </w:tcPr>
          <w:p w14:paraId="77EEF6B6">
            <w:pPr>
              <w:pStyle w:val="276"/>
              <w:rPr>
                <w:color w:val="auto"/>
              </w:rPr>
            </w:pPr>
            <w:r>
              <w:rPr>
                <w:rFonts w:hint="eastAsia"/>
                <w:color w:val="auto"/>
                <w:lang w:val="en-US"/>
              </w:rPr>
              <w:t>细菌总数</w:t>
            </w:r>
            <w:r>
              <w:rPr>
                <w:rFonts w:hint="eastAsia"/>
                <w:color w:val="auto"/>
              </w:rPr>
              <w:t>（CFU/mL）</w:t>
            </w:r>
          </w:p>
        </w:tc>
        <w:tc>
          <w:tcPr>
            <w:tcW w:w="469" w:type="pct"/>
            <w:shd w:val="clear" w:color="auto" w:fill="auto"/>
            <w:vAlign w:val="center"/>
          </w:tcPr>
          <w:p w14:paraId="4402B7C6">
            <w:pPr>
              <w:pStyle w:val="276"/>
              <w:rPr>
                <w:color w:val="auto"/>
                <w:lang w:val="en-US"/>
              </w:rPr>
            </w:pPr>
            <w:r>
              <w:rPr>
                <w:rFonts w:hint="eastAsia"/>
                <w:color w:val="auto"/>
                <w:lang w:val="en-US" w:eastAsia="zh-CN"/>
              </w:rPr>
              <w:t>75</w:t>
            </w:r>
          </w:p>
        </w:tc>
        <w:tc>
          <w:tcPr>
            <w:tcW w:w="430" w:type="pct"/>
            <w:shd w:val="clear" w:color="auto" w:fill="auto"/>
            <w:vAlign w:val="center"/>
          </w:tcPr>
          <w:p w14:paraId="495066F4">
            <w:pPr>
              <w:pStyle w:val="276"/>
              <w:rPr>
                <w:color w:val="auto"/>
                <w:lang w:val="en-US"/>
              </w:rPr>
            </w:pPr>
            <w:r>
              <w:rPr>
                <w:rFonts w:hint="eastAsia"/>
                <w:color w:val="auto"/>
                <w:lang w:val="en-US" w:eastAsia="zh-CN"/>
              </w:rPr>
              <w:t>0.75</w:t>
            </w:r>
          </w:p>
        </w:tc>
        <w:tc>
          <w:tcPr>
            <w:tcW w:w="464" w:type="pct"/>
            <w:shd w:val="clear" w:color="auto" w:fill="auto"/>
            <w:vAlign w:val="center"/>
          </w:tcPr>
          <w:p w14:paraId="09CF51A7">
            <w:pPr>
              <w:pStyle w:val="276"/>
              <w:rPr>
                <w:color w:val="auto"/>
                <w:lang w:val="en-US"/>
              </w:rPr>
            </w:pPr>
            <w:r>
              <w:rPr>
                <w:rFonts w:hint="eastAsia"/>
                <w:color w:val="auto"/>
                <w:lang w:val="en-US" w:eastAsia="zh-CN"/>
              </w:rPr>
              <w:t>85</w:t>
            </w:r>
          </w:p>
        </w:tc>
        <w:tc>
          <w:tcPr>
            <w:tcW w:w="422" w:type="pct"/>
            <w:shd w:val="clear" w:color="auto" w:fill="auto"/>
            <w:vAlign w:val="center"/>
          </w:tcPr>
          <w:p w14:paraId="0C8F82D9">
            <w:pPr>
              <w:pStyle w:val="276"/>
              <w:rPr>
                <w:color w:val="auto"/>
                <w:lang w:val="en-US"/>
              </w:rPr>
            </w:pPr>
            <w:r>
              <w:rPr>
                <w:rFonts w:hint="eastAsia"/>
                <w:color w:val="auto"/>
                <w:lang w:val="en-US" w:eastAsia="zh-CN"/>
              </w:rPr>
              <w:t>0.85</w:t>
            </w:r>
          </w:p>
        </w:tc>
        <w:tc>
          <w:tcPr>
            <w:tcW w:w="462" w:type="pct"/>
            <w:shd w:val="clear" w:color="auto" w:fill="auto"/>
            <w:vAlign w:val="center"/>
          </w:tcPr>
          <w:p w14:paraId="0DD56FC3">
            <w:pPr>
              <w:pStyle w:val="276"/>
              <w:rPr>
                <w:color w:val="auto"/>
                <w:lang w:val="en-US"/>
              </w:rPr>
            </w:pPr>
            <w:r>
              <w:rPr>
                <w:rFonts w:hint="eastAsia"/>
                <w:color w:val="auto"/>
                <w:lang w:val="en-US" w:eastAsia="zh-CN"/>
              </w:rPr>
              <w:t>70</w:t>
            </w:r>
          </w:p>
        </w:tc>
        <w:tc>
          <w:tcPr>
            <w:tcW w:w="404" w:type="pct"/>
            <w:shd w:val="clear" w:color="auto" w:fill="auto"/>
            <w:vAlign w:val="center"/>
          </w:tcPr>
          <w:p w14:paraId="4B07DF67">
            <w:pPr>
              <w:pStyle w:val="276"/>
              <w:rPr>
                <w:color w:val="auto"/>
                <w:lang w:val="en-US"/>
              </w:rPr>
            </w:pPr>
            <w:r>
              <w:rPr>
                <w:rFonts w:hint="eastAsia"/>
                <w:color w:val="auto"/>
                <w:lang w:val="en-US" w:eastAsia="zh-CN"/>
              </w:rPr>
              <w:t>0.7</w:t>
            </w:r>
          </w:p>
        </w:tc>
        <w:tc>
          <w:tcPr>
            <w:tcW w:w="387" w:type="pct"/>
            <w:shd w:val="clear" w:color="auto" w:fill="auto"/>
            <w:vAlign w:val="center"/>
          </w:tcPr>
          <w:p w14:paraId="23BDA53B">
            <w:pPr>
              <w:pStyle w:val="276"/>
              <w:ind w:firstLine="0" w:firstLineChars="0"/>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38</w:t>
            </w:r>
          </w:p>
        </w:tc>
        <w:tc>
          <w:tcPr>
            <w:tcW w:w="1042" w:type="dxa"/>
            <w:shd w:val="clear" w:color="auto" w:fill="auto"/>
            <w:vAlign w:val="center"/>
          </w:tcPr>
          <w:p w14:paraId="0FFEF4A4">
            <w:pPr>
              <w:pStyle w:val="276"/>
              <w:ind w:firstLine="0" w:firstLineChars="0"/>
              <w:rPr>
                <w:rFonts w:hint="default"/>
                <w:color w:val="auto"/>
                <w:lang w:val="en-US" w:eastAsia="zh-CN"/>
              </w:rPr>
            </w:pPr>
            <w:r>
              <w:rPr>
                <w:rFonts w:hint="default"/>
                <w:color w:val="auto"/>
                <w:lang w:val="en-US" w:eastAsia="zh-CN"/>
              </w:rPr>
              <w:t>0.38</w:t>
            </w:r>
          </w:p>
        </w:tc>
        <w:tc>
          <w:tcPr>
            <w:tcW w:w="1093" w:type="dxa"/>
            <w:shd w:val="clear" w:color="auto" w:fill="auto"/>
            <w:vAlign w:val="center"/>
          </w:tcPr>
          <w:p w14:paraId="7E32EAB7">
            <w:pPr>
              <w:pStyle w:val="276"/>
              <w:ind w:firstLine="0" w:firstLineChars="0"/>
              <w:rPr>
                <w:rFonts w:hint="default"/>
                <w:color w:val="auto"/>
                <w:lang w:val="en-US" w:eastAsia="zh-CN"/>
              </w:rPr>
            </w:pPr>
            <w:r>
              <w:rPr>
                <w:rFonts w:hint="default"/>
                <w:color w:val="auto"/>
                <w:lang w:val="en-US" w:eastAsia="zh-CN"/>
              </w:rPr>
              <w:t>75</w:t>
            </w:r>
          </w:p>
        </w:tc>
        <w:tc>
          <w:tcPr>
            <w:tcW w:w="921" w:type="dxa"/>
            <w:shd w:val="clear" w:color="auto" w:fill="auto"/>
            <w:vAlign w:val="center"/>
          </w:tcPr>
          <w:p w14:paraId="4037EBE3">
            <w:pPr>
              <w:pStyle w:val="276"/>
              <w:ind w:firstLine="0" w:firstLineChars="0"/>
              <w:rPr>
                <w:rFonts w:hint="default"/>
                <w:color w:val="auto"/>
                <w:lang w:val="en-US" w:eastAsia="zh-CN"/>
              </w:rPr>
            </w:pPr>
            <w:r>
              <w:rPr>
                <w:rFonts w:hint="default"/>
                <w:color w:val="auto"/>
                <w:lang w:val="en-US" w:eastAsia="zh-CN"/>
              </w:rPr>
              <w:t>0.75</w:t>
            </w:r>
          </w:p>
        </w:tc>
        <w:tc>
          <w:tcPr>
            <w:tcW w:w="292" w:type="pct"/>
            <w:shd w:val="clear" w:color="auto" w:fill="auto"/>
            <w:vAlign w:val="center"/>
          </w:tcPr>
          <w:p w14:paraId="1FB497A7">
            <w:pPr>
              <w:pStyle w:val="276"/>
              <w:rPr>
                <w:color w:val="auto"/>
              </w:rPr>
            </w:pPr>
            <w:r>
              <w:rPr>
                <w:color w:val="auto"/>
                <w:lang w:val="en-US"/>
              </w:rPr>
              <w:t>100</w:t>
            </w:r>
          </w:p>
        </w:tc>
      </w:tr>
      <w:tr w14:paraId="5D5E6C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84" w:hRule="atLeast"/>
          <w:jc w:val="center"/>
        </w:trPr>
        <w:tc>
          <w:tcPr>
            <w:tcW w:w="586" w:type="pct"/>
            <w:shd w:val="clear" w:color="auto" w:fill="auto"/>
            <w:vAlign w:val="center"/>
          </w:tcPr>
          <w:p w14:paraId="3DFF5067">
            <w:pPr>
              <w:pStyle w:val="276"/>
              <w:rPr>
                <w:color w:val="auto"/>
              </w:rPr>
            </w:pPr>
            <w:r>
              <w:rPr>
                <w:rFonts w:hint="eastAsia"/>
                <w:color w:val="auto"/>
                <w:lang w:val="en-US"/>
              </w:rPr>
              <w:t>硼</w:t>
            </w:r>
          </w:p>
        </w:tc>
        <w:tc>
          <w:tcPr>
            <w:tcW w:w="469" w:type="pct"/>
            <w:shd w:val="clear" w:color="auto" w:fill="auto"/>
            <w:vAlign w:val="center"/>
          </w:tcPr>
          <w:p w14:paraId="1DD57DFE">
            <w:pPr>
              <w:pStyle w:val="276"/>
              <w:rPr>
                <w:color w:val="auto"/>
                <w:lang w:val="en-US"/>
              </w:rPr>
            </w:pPr>
            <w:r>
              <w:rPr>
                <w:rFonts w:hint="eastAsia"/>
                <w:color w:val="auto"/>
                <w:lang w:val="en-US" w:eastAsia="zh-CN"/>
              </w:rPr>
              <w:t>0.01L</w:t>
            </w:r>
          </w:p>
        </w:tc>
        <w:tc>
          <w:tcPr>
            <w:tcW w:w="430" w:type="pct"/>
            <w:shd w:val="clear" w:color="auto" w:fill="auto"/>
            <w:vAlign w:val="center"/>
          </w:tcPr>
          <w:p w14:paraId="76FFB7A7">
            <w:pPr>
              <w:pStyle w:val="276"/>
              <w:rPr>
                <w:color w:val="auto"/>
                <w:lang w:val="en-US"/>
              </w:rPr>
            </w:pPr>
            <w:r>
              <w:rPr>
                <w:rFonts w:hint="eastAsia"/>
                <w:color w:val="auto"/>
                <w:lang w:val="en-US" w:eastAsia="zh-CN"/>
              </w:rPr>
              <w:t>/</w:t>
            </w:r>
          </w:p>
        </w:tc>
        <w:tc>
          <w:tcPr>
            <w:tcW w:w="464" w:type="pct"/>
            <w:shd w:val="clear" w:color="auto" w:fill="auto"/>
            <w:vAlign w:val="center"/>
          </w:tcPr>
          <w:p w14:paraId="7F5F3E35">
            <w:pPr>
              <w:pStyle w:val="276"/>
              <w:rPr>
                <w:color w:val="auto"/>
                <w:lang w:val="en-US"/>
              </w:rPr>
            </w:pPr>
            <w:r>
              <w:rPr>
                <w:rFonts w:hint="eastAsia"/>
                <w:color w:val="auto"/>
                <w:lang w:val="en-US" w:eastAsia="zh-CN"/>
              </w:rPr>
              <w:t>0.01L</w:t>
            </w:r>
          </w:p>
        </w:tc>
        <w:tc>
          <w:tcPr>
            <w:tcW w:w="422" w:type="pct"/>
            <w:shd w:val="clear" w:color="auto" w:fill="auto"/>
            <w:vAlign w:val="center"/>
          </w:tcPr>
          <w:p w14:paraId="6D06FD30">
            <w:pPr>
              <w:pStyle w:val="276"/>
              <w:rPr>
                <w:color w:val="auto"/>
                <w:lang w:val="en-US"/>
              </w:rPr>
            </w:pPr>
            <w:r>
              <w:rPr>
                <w:rFonts w:hint="eastAsia"/>
                <w:color w:val="auto"/>
                <w:lang w:val="en-US" w:eastAsia="zh-CN"/>
              </w:rPr>
              <w:t>/</w:t>
            </w:r>
          </w:p>
        </w:tc>
        <w:tc>
          <w:tcPr>
            <w:tcW w:w="462" w:type="pct"/>
            <w:shd w:val="clear" w:color="auto" w:fill="auto"/>
            <w:vAlign w:val="center"/>
          </w:tcPr>
          <w:p w14:paraId="5CCDD58F">
            <w:pPr>
              <w:pStyle w:val="276"/>
              <w:rPr>
                <w:color w:val="auto"/>
                <w:lang w:val="en-US"/>
              </w:rPr>
            </w:pPr>
            <w:r>
              <w:rPr>
                <w:rFonts w:hint="eastAsia"/>
                <w:color w:val="auto"/>
                <w:lang w:val="en-US" w:eastAsia="zh-CN"/>
              </w:rPr>
              <w:t>0.07</w:t>
            </w:r>
          </w:p>
        </w:tc>
        <w:tc>
          <w:tcPr>
            <w:tcW w:w="404" w:type="pct"/>
            <w:shd w:val="clear" w:color="auto" w:fill="auto"/>
            <w:vAlign w:val="center"/>
          </w:tcPr>
          <w:p w14:paraId="6AA21DD2">
            <w:pPr>
              <w:pStyle w:val="276"/>
              <w:rPr>
                <w:color w:val="auto"/>
                <w:lang w:val="en-US"/>
              </w:rPr>
            </w:pPr>
            <w:r>
              <w:rPr>
                <w:rFonts w:hint="eastAsia"/>
                <w:color w:val="auto"/>
                <w:lang w:val="en-US" w:eastAsia="zh-CN"/>
              </w:rPr>
              <w:t>0.14</w:t>
            </w:r>
          </w:p>
        </w:tc>
        <w:tc>
          <w:tcPr>
            <w:tcW w:w="387" w:type="pct"/>
            <w:shd w:val="clear" w:color="auto" w:fill="auto"/>
            <w:vAlign w:val="center"/>
          </w:tcPr>
          <w:p w14:paraId="6C45BD42">
            <w:pPr>
              <w:pStyle w:val="276"/>
              <w:ind w:firstLine="0" w:firstLineChars="0"/>
              <w:rPr>
                <w:rFonts w:ascii="Times New Roman" w:hAnsi="Times New Roman" w:eastAsia="宋体" w:cs="Times New Roman"/>
                <w:color w:val="auto"/>
                <w:kern w:val="2"/>
                <w:sz w:val="21"/>
                <w:szCs w:val="21"/>
                <w:lang w:val="en-US" w:eastAsia="zh-CN" w:bidi="ar-SA"/>
              </w:rPr>
            </w:pPr>
            <w:r>
              <w:rPr>
                <w:rFonts w:hint="eastAsia"/>
                <w:color w:val="auto"/>
                <w:lang w:val="en-US" w:eastAsia="zh-CN"/>
              </w:rPr>
              <w:t>/</w:t>
            </w:r>
          </w:p>
        </w:tc>
        <w:tc>
          <w:tcPr>
            <w:tcW w:w="369" w:type="pct"/>
            <w:shd w:val="clear" w:color="auto" w:fill="auto"/>
            <w:vAlign w:val="center"/>
          </w:tcPr>
          <w:p w14:paraId="5DD8A343">
            <w:pPr>
              <w:pStyle w:val="276"/>
              <w:ind w:firstLine="0" w:firstLineChars="0"/>
              <w:rPr>
                <w:rFonts w:ascii="Times New Roman" w:hAnsi="Times New Roman" w:eastAsia="宋体" w:cs="Times New Roman"/>
                <w:color w:val="auto"/>
                <w:kern w:val="2"/>
                <w:sz w:val="21"/>
                <w:szCs w:val="21"/>
                <w:lang w:val="en-US" w:eastAsia="zh-CN" w:bidi="ar-SA"/>
              </w:rPr>
            </w:pPr>
            <w:r>
              <w:rPr>
                <w:rFonts w:hint="eastAsia"/>
                <w:color w:val="auto"/>
                <w:lang w:val="en-US" w:eastAsia="zh-CN"/>
              </w:rPr>
              <w:t>/</w:t>
            </w:r>
          </w:p>
        </w:tc>
        <w:tc>
          <w:tcPr>
            <w:tcW w:w="387" w:type="pct"/>
            <w:shd w:val="clear" w:color="auto" w:fill="auto"/>
            <w:vAlign w:val="center"/>
          </w:tcPr>
          <w:p w14:paraId="42593A85">
            <w:pPr>
              <w:pStyle w:val="276"/>
              <w:ind w:firstLine="0" w:firstLineChars="0"/>
              <w:rPr>
                <w:rFonts w:ascii="Times New Roman" w:hAnsi="Times New Roman" w:eastAsia="宋体" w:cs="Times New Roman"/>
                <w:color w:val="auto"/>
                <w:kern w:val="2"/>
                <w:sz w:val="21"/>
                <w:szCs w:val="21"/>
                <w:lang w:val="en-US" w:eastAsia="zh-CN" w:bidi="ar-SA"/>
              </w:rPr>
            </w:pPr>
            <w:r>
              <w:rPr>
                <w:rFonts w:hint="eastAsia"/>
                <w:color w:val="auto"/>
                <w:lang w:val="en-US" w:eastAsia="zh-CN"/>
              </w:rPr>
              <w:t>/</w:t>
            </w:r>
          </w:p>
        </w:tc>
        <w:tc>
          <w:tcPr>
            <w:tcW w:w="325" w:type="pct"/>
            <w:shd w:val="clear" w:color="auto" w:fill="auto"/>
            <w:vAlign w:val="center"/>
          </w:tcPr>
          <w:p w14:paraId="42409011">
            <w:pPr>
              <w:pStyle w:val="276"/>
              <w:ind w:firstLine="0" w:firstLineChars="0"/>
              <w:rPr>
                <w:rFonts w:ascii="Times New Roman" w:hAnsi="Times New Roman" w:eastAsia="宋体" w:cs="Times New Roman"/>
                <w:color w:val="auto"/>
                <w:kern w:val="2"/>
                <w:sz w:val="21"/>
                <w:szCs w:val="21"/>
                <w:lang w:val="en-US" w:eastAsia="zh-CN" w:bidi="ar-SA"/>
              </w:rPr>
            </w:pPr>
            <w:r>
              <w:rPr>
                <w:rFonts w:hint="eastAsia"/>
                <w:color w:val="auto"/>
                <w:lang w:val="en-US" w:eastAsia="zh-CN"/>
              </w:rPr>
              <w:t>/</w:t>
            </w:r>
          </w:p>
        </w:tc>
        <w:tc>
          <w:tcPr>
            <w:tcW w:w="292" w:type="pct"/>
            <w:shd w:val="clear" w:color="auto" w:fill="auto"/>
            <w:vAlign w:val="center"/>
          </w:tcPr>
          <w:p w14:paraId="36BB2E55">
            <w:pPr>
              <w:pStyle w:val="276"/>
              <w:rPr>
                <w:color w:val="auto"/>
              </w:rPr>
            </w:pPr>
            <w:r>
              <w:rPr>
                <w:color w:val="auto"/>
                <w:lang w:val="en-US"/>
              </w:rPr>
              <w:t>0.5</w:t>
            </w:r>
          </w:p>
        </w:tc>
      </w:tr>
      <w:tr w14:paraId="5ADC44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84" w:hRule="atLeast"/>
          <w:jc w:val="center"/>
        </w:trPr>
        <w:tc>
          <w:tcPr>
            <w:tcW w:w="586" w:type="pct"/>
            <w:shd w:val="clear" w:color="auto" w:fill="auto"/>
            <w:vAlign w:val="center"/>
          </w:tcPr>
          <w:p w14:paraId="72526092">
            <w:pPr>
              <w:pStyle w:val="276"/>
              <w:rPr>
                <w:color w:val="auto"/>
              </w:rPr>
            </w:pPr>
            <w:r>
              <w:rPr>
                <w:rFonts w:hint="eastAsia"/>
                <w:color w:val="auto"/>
                <w:lang w:val="en-US"/>
              </w:rPr>
              <w:t>钡</w:t>
            </w:r>
          </w:p>
        </w:tc>
        <w:tc>
          <w:tcPr>
            <w:tcW w:w="469" w:type="pct"/>
            <w:shd w:val="clear" w:color="auto" w:fill="auto"/>
            <w:vAlign w:val="center"/>
          </w:tcPr>
          <w:p w14:paraId="7AA5BE13">
            <w:pPr>
              <w:pStyle w:val="276"/>
              <w:rPr>
                <w:color w:val="auto"/>
                <w:lang w:val="en-US"/>
              </w:rPr>
            </w:pPr>
            <w:r>
              <w:rPr>
                <w:rFonts w:hint="eastAsia"/>
                <w:color w:val="auto"/>
                <w:lang w:val="en-US" w:eastAsia="zh-CN"/>
              </w:rPr>
              <w:t>0.05</w:t>
            </w:r>
          </w:p>
        </w:tc>
        <w:tc>
          <w:tcPr>
            <w:tcW w:w="430" w:type="pct"/>
            <w:shd w:val="clear" w:color="auto" w:fill="auto"/>
            <w:vAlign w:val="center"/>
          </w:tcPr>
          <w:p w14:paraId="01974C4F">
            <w:pPr>
              <w:pStyle w:val="276"/>
              <w:rPr>
                <w:color w:val="auto"/>
                <w:lang w:val="en-US"/>
              </w:rPr>
            </w:pPr>
            <w:r>
              <w:rPr>
                <w:rFonts w:hint="eastAsia"/>
                <w:color w:val="auto"/>
                <w:lang w:val="en-US" w:eastAsia="zh-CN"/>
              </w:rPr>
              <w:t>0.071</w:t>
            </w:r>
          </w:p>
        </w:tc>
        <w:tc>
          <w:tcPr>
            <w:tcW w:w="464" w:type="pct"/>
            <w:shd w:val="clear" w:color="auto" w:fill="auto"/>
            <w:vAlign w:val="center"/>
          </w:tcPr>
          <w:p w14:paraId="63EE1EE8">
            <w:pPr>
              <w:pStyle w:val="276"/>
              <w:rPr>
                <w:color w:val="auto"/>
                <w:lang w:val="en-US"/>
              </w:rPr>
            </w:pPr>
            <w:r>
              <w:rPr>
                <w:rFonts w:hint="eastAsia"/>
                <w:color w:val="auto"/>
                <w:lang w:val="en-US" w:eastAsia="zh-CN"/>
              </w:rPr>
              <w:t>0.04</w:t>
            </w:r>
          </w:p>
        </w:tc>
        <w:tc>
          <w:tcPr>
            <w:tcW w:w="422" w:type="pct"/>
            <w:shd w:val="clear" w:color="auto" w:fill="auto"/>
            <w:vAlign w:val="center"/>
          </w:tcPr>
          <w:p w14:paraId="5B5D26B7">
            <w:pPr>
              <w:pStyle w:val="276"/>
              <w:rPr>
                <w:color w:val="auto"/>
                <w:lang w:val="en-US"/>
              </w:rPr>
            </w:pPr>
            <w:r>
              <w:rPr>
                <w:rFonts w:hint="eastAsia"/>
                <w:color w:val="auto"/>
                <w:lang w:val="en-US" w:eastAsia="zh-CN"/>
              </w:rPr>
              <w:t>0.057</w:t>
            </w:r>
          </w:p>
        </w:tc>
        <w:tc>
          <w:tcPr>
            <w:tcW w:w="462" w:type="pct"/>
            <w:shd w:val="clear" w:color="auto" w:fill="auto"/>
            <w:vAlign w:val="center"/>
          </w:tcPr>
          <w:p w14:paraId="7EF7B1AF">
            <w:pPr>
              <w:pStyle w:val="276"/>
              <w:rPr>
                <w:color w:val="auto"/>
                <w:lang w:val="en-US"/>
              </w:rPr>
            </w:pPr>
            <w:r>
              <w:rPr>
                <w:rFonts w:hint="eastAsia"/>
                <w:color w:val="auto"/>
                <w:lang w:val="en-US" w:eastAsia="zh-CN"/>
              </w:rPr>
              <w:t>0.17</w:t>
            </w:r>
          </w:p>
        </w:tc>
        <w:tc>
          <w:tcPr>
            <w:tcW w:w="404" w:type="pct"/>
            <w:shd w:val="clear" w:color="auto" w:fill="auto"/>
            <w:vAlign w:val="center"/>
          </w:tcPr>
          <w:p w14:paraId="277F9BD8">
            <w:pPr>
              <w:pStyle w:val="276"/>
              <w:rPr>
                <w:color w:val="auto"/>
                <w:lang w:val="en-US"/>
              </w:rPr>
            </w:pPr>
            <w:r>
              <w:rPr>
                <w:rFonts w:hint="eastAsia"/>
                <w:color w:val="auto"/>
                <w:lang w:val="en-US" w:eastAsia="zh-CN"/>
              </w:rPr>
              <w:t>0.243</w:t>
            </w:r>
          </w:p>
        </w:tc>
        <w:tc>
          <w:tcPr>
            <w:tcW w:w="387" w:type="pct"/>
            <w:shd w:val="clear" w:color="auto" w:fill="auto"/>
            <w:vAlign w:val="center"/>
          </w:tcPr>
          <w:p w14:paraId="56627B43">
            <w:pPr>
              <w:pStyle w:val="276"/>
              <w:ind w:firstLine="0" w:firstLineChars="0"/>
              <w:rPr>
                <w:rFonts w:ascii="Times New Roman" w:hAnsi="Times New Roman" w:eastAsia="宋体" w:cs="Times New Roman"/>
                <w:color w:val="auto"/>
                <w:kern w:val="2"/>
                <w:sz w:val="21"/>
                <w:szCs w:val="21"/>
                <w:lang w:val="en-US" w:eastAsia="zh-CN" w:bidi="ar-SA"/>
              </w:rPr>
            </w:pPr>
            <w:r>
              <w:rPr>
                <w:rFonts w:hint="eastAsia"/>
                <w:color w:val="auto"/>
                <w:lang w:val="en-US" w:eastAsia="zh-CN"/>
              </w:rPr>
              <w:t>/</w:t>
            </w:r>
          </w:p>
        </w:tc>
        <w:tc>
          <w:tcPr>
            <w:tcW w:w="369" w:type="pct"/>
            <w:shd w:val="clear" w:color="auto" w:fill="auto"/>
            <w:vAlign w:val="center"/>
          </w:tcPr>
          <w:p w14:paraId="645F10E7">
            <w:pPr>
              <w:pStyle w:val="276"/>
              <w:ind w:firstLine="0" w:firstLineChars="0"/>
              <w:rPr>
                <w:rFonts w:ascii="Times New Roman" w:hAnsi="Times New Roman" w:eastAsia="宋体" w:cs="Times New Roman"/>
                <w:color w:val="auto"/>
                <w:kern w:val="2"/>
                <w:sz w:val="21"/>
                <w:szCs w:val="21"/>
                <w:lang w:val="en-US" w:eastAsia="zh-CN" w:bidi="ar-SA"/>
              </w:rPr>
            </w:pPr>
            <w:r>
              <w:rPr>
                <w:rFonts w:hint="eastAsia"/>
                <w:color w:val="auto"/>
                <w:lang w:val="en-US" w:eastAsia="zh-CN"/>
              </w:rPr>
              <w:t>/</w:t>
            </w:r>
          </w:p>
        </w:tc>
        <w:tc>
          <w:tcPr>
            <w:tcW w:w="387" w:type="pct"/>
            <w:shd w:val="clear" w:color="auto" w:fill="auto"/>
            <w:vAlign w:val="center"/>
          </w:tcPr>
          <w:p w14:paraId="43B4AD5D">
            <w:pPr>
              <w:pStyle w:val="276"/>
              <w:ind w:firstLine="0" w:firstLineChars="0"/>
              <w:rPr>
                <w:rFonts w:ascii="Times New Roman" w:hAnsi="Times New Roman" w:eastAsia="宋体" w:cs="Times New Roman"/>
                <w:color w:val="auto"/>
                <w:kern w:val="2"/>
                <w:sz w:val="21"/>
                <w:szCs w:val="21"/>
                <w:lang w:val="en-US" w:eastAsia="zh-CN" w:bidi="ar-SA"/>
              </w:rPr>
            </w:pPr>
            <w:r>
              <w:rPr>
                <w:rFonts w:hint="eastAsia"/>
                <w:color w:val="auto"/>
                <w:lang w:val="en-US" w:eastAsia="zh-CN"/>
              </w:rPr>
              <w:t>/</w:t>
            </w:r>
          </w:p>
        </w:tc>
        <w:tc>
          <w:tcPr>
            <w:tcW w:w="325" w:type="pct"/>
            <w:shd w:val="clear" w:color="auto" w:fill="auto"/>
            <w:vAlign w:val="center"/>
          </w:tcPr>
          <w:p w14:paraId="480AF829">
            <w:pPr>
              <w:pStyle w:val="276"/>
              <w:ind w:firstLine="0" w:firstLineChars="0"/>
              <w:rPr>
                <w:rFonts w:ascii="Times New Roman" w:hAnsi="Times New Roman" w:eastAsia="宋体" w:cs="Times New Roman"/>
                <w:color w:val="auto"/>
                <w:kern w:val="2"/>
                <w:sz w:val="21"/>
                <w:szCs w:val="21"/>
                <w:lang w:val="en-US" w:eastAsia="zh-CN" w:bidi="ar-SA"/>
              </w:rPr>
            </w:pPr>
            <w:r>
              <w:rPr>
                <w:rFonts w:hint="eastAsia"/>
                <w:color w:val="auto"/>
                <w:lang w:val="en-US" w:eastAsia="zh-CN"/>
              </w:rPr>
              <w:t>/</w:t>
            </w:r>
          </w:p>
        </w:tc>
        <w:tc>
          <w:tcPr>
            <w:tcW w:w="292" w:type="pct"/>
            <w:shd w:val="clear" w:color="auto" w:fill="auto"/>
            <w:vAlign w:val="center"/>
          </w:tcPr>
          <w:p w14:paraId="254C974C">
            <w:pPr>
              <w:pStyle w:val="276"/>
              <w:rPr>
                <w:color w:val="auto"/>
              </w:rPr>
            </w:pPr>
            <w:r>
              <w:rPr>
                <w:color w:val="auto"/>
                <w:lang w:val="en-US"/>
              </w:rPr>
              <w:t>0.7</w:t>
            </w:r>
          </w:p>
        </w:tc>
      </w:tr>
      <w:tr w14:paraId="129D29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84" w:hRule="atLeast"/>
          <w:jc w:val="center"/>
        </w:trPr>
        <w:tc>
          <w:tcPr>
            <w:tcW w:w="586" w:type="pct"/>
            <w:shd w:val="clear" w:color="auto" w:fill="auto"/>
            <w:vAlign w:val="center"/>
          </w:tcPr>
          <w:p w14:paraId="4D8C1BF4">
            <w:pPr>
              <w:pStyle w:val="276"/>
              <w:rPr>
                <w:color w:val="auto"/>
              </w:rPr>
            </w:pPr>
            <w:r>
              <w:rPr>
                <w:rFonts w:hint="eastAsia"/>
                <w:color w:val="auto"/>
                <w:lang w:val="en-US"/>
              </w:rPr>
              <w:t>氰化物</w:t>
            </w:r>
          </w:p>
        </w:tc>
        <w:tc>
          <w:tcPr>
            <w:tcW w:w="469" w:type="pct"/>
            <w:shd w:val="clear" w:color="auto" w:fill="auto"/>
            <w:vAlign w:val="center"/>
          </w:tcPr>
          <w:p w14:paraId="0E02CDFC">
            <w:pPr>
              <w:pStyle w:val="276"/>
              <w:rPr>
                <w:color w:val="auto"/>
                <w:lang w:val="en-US"/>
              </w:rPr>
            </w:pPr>
            <w:r>
              <w:rPr>
                <w:rFonts w:hint="eastAsia"/>
                <w:color w:val="auto"/>
                <w:lang w:val="en-US" w:eastAsia="zh-CN"/>
              </w:rPr>
              <w:t>0.002L</w:t>
            </w:r>
          </w:p>
        </w:tc>
        <w:tc>
          <w:tcPr>
            <w:tcW w:w="430" w:type="pct"/>
            <w:shd w:val="clear" w:color="auto" w:fill="auto"/>
            <w:vAlign w:val="center"/>
          </w:tcPr>
          <w:p w14:paraId="09C0262F">
            <w:pPr>
              <w:pStyle w:val="276"/>
              <w:rPr>
                <w:color w:val="auto"/>
                <w:lang w:val="en-US"/>
              </w:rPr>
            </w:pPr>
            <w:r>
              <w:rPr>
                <w:rFonts w:hint="eastAsia"/>
                <w:color w:val="auto"/>
                <w:lang w:val="en-US" w:eastAsia="zh-CN"/>
              </w:rPr>
              <w:t>/</w:t>
            </w:r>
          </w:p>
        </w:tc>
        <w:tc>
          <w:tcPr>
            <w:tcW w:w="464" w:type="pct"/>
            <w:shd w:val="clear" w:color="auto" w:fill="auto"/>
            <w:vAlign w:val="center"/>
          </w:tcPr>
          <w:p w14:paraId="32F125E2">
            <w:pPr>
              <w:pStyle w:val="276"/>
              <w:rPr>
                <w:color w:val="auto"/>
                <w:lang w:val="en-US"/>
              </w:rPr>
            </w:pPr>
            <w:r>
              <w:rPr>
                <w:rFonts w:hint="eastAsia"/>
                <w:color w:val="auto"/>
                <w:lang w:val="en-US" w:eastAsia="zh-CN"/>
              </w:rPr>
              <w:t>0.002L</w:t>
            </w:r>
          </w:p>
        </w:tc>
        <w:tc>
          <w:tcPr>
            <w:tcW w:w="422" w:type="pct"/>
            <w:shd w:val="clear" w:color="auto" w:fill="auto"/>
            <w:vAlign w:val="center"/>
          </w:tcPr>
          <w:p w14:paraId="20FC3621">
            <w:pPr>
              <w:pStyle w:val="276"/>
              <w:rPr>
                <w:color w:val="auto"/>
                <w:lang w:val="en-US"/>
              </w:rPr>
            </w:pPr>
            <w:r>
              <w:rPr>
                <w:rFonts w:hint="eastAsia"/>
                <w:color w:val="auto"/>
                <w:lang w:val="en-US" w:eastAsia="zh-CN"/>
              </w:rPr>
              <w:t>/</w:t>
            </w:r>
          </w:p>
        </w:tc>
        <w:tc>
          <w:tcPr>
            <w:tcW w:w="462" w:type="pct"/>
            <w:shd w:val="clear" w:color="auto" w:fill="auto"/>
            <w:vAlign w:val="center"/>
          </w:tcPr>
          <w:p w14:paraId="543D2C2A">
            <w:pPr>
              <w:pStyle w:val="276"/>
              <w:rPr>
                <w:color w:val="auto"/>
                <w:lang w:val="en-US"/>
              </w:rPr>
            </w:pPr>
            <w:r>
              <w:rPr>
                <w:rFonts w:hint="eastAsia"/>
                <w:color w:val="auto"/>
                <w:lang w:val="en-US" w:eastAsia="zh-CN"/>
              </w:rPr>
              <w:t>0.002L</w:t>
            </w:r>
          </w:p>
        </w:tc>
        <w:tc>
          <w:tcPr>
            <w:tcW w:w="404" w:type="pct"/>
            <w:shd w:val="clear" w:color="auto" w:fill="auto"/>
            <w:vAlign w:val="center"/>
          </w:tcPr>
          <w:p w14:paraId="56032088">
            <w:pPr>
              <w:pStyle w:val="276"/>
              <w:rPr>
                <w:color w:val="auto"/>
                <w:lang w:val="en-US"/>
              </w:rPr>
            </w:pPr>
            <w:r>
              <w:rPr>
                <w:rFonts w:hint="eastAsia"/>
                <w:color w:val="auto"/>
                <w:lang w:val="en-US" w:eastAsia="zh-CN"/>
              </w:rPr>
              <w:t>/</w:t>
            </w:r>
          </w:p>
        </w:tc>
        <w:tc>
          <w:tcPr>
            <w:tcW w:w="387" w:type="pct"/>
            <w:shd w:val="clear" w:color="auto" w:fill="auto"/>
            <w:vAlign w:val="center"/>
          </w:tcPr>
          <w:p w14:paraId="1B6EB2DC">
            <w:pPr>
              <w:pStyle w:val="276"/>
              <w:ind w:firstLine="0" w:firstLineChars="0"/>
              <w:rPr>
                <w:rFonts w:ascii="Times New Roman" w:hAnsi="Times New Roman" w:eastAsia="宋体" w:cs="Times New Roman"/>
                <w:color w:val="auto"/>
                <w:kern w:val="2"/>
                <w:sz w:val="21"/>
                <w:szCs w:val="21"/>
                <w:lang w:val="en-US" w:eastAsia="zh-CN" w:bidi="ar-SA"/>
              </w:rPr>
            </w:pPr>
            <w:r>
              <w:rPr>
                <w:rFonts w:hint="eastAsia"/>
                <w:color w:val="auto"/>
                <w:lang w:val="en-US" w:eastAsia="zh-CN"/>
              </w:rPr>
              <w:t>0.004L</w:t>
            </w:r>
          </w:p>
        </w:tc>
        <w:tc>
          <w:tcPr>
            <w:tcW w:w="369" w:type="pct"/>
            <w:shd w:val="clear" w:color="auto" w:fill="auto"/>
            <w:vAlign w:val="center"/>
          </w:tcPr>
          <w:p w14:paraId="1547ED23">
            <w:pPr>
              <w:pStyle w:val="276"/>
              <w:ind w:firstLine="0" w:firstLineChars="0"/>
              <w:rPr>
                <w:rFonts w:ascii="Times New Roman" w:hAnsi="Times New Roman" w:eastAsia="宋体" w:cs="Times New Roman"/>
                <w:color w:val="auto"/>
                <w:kern w:val="2"/>
                <w:sz w:val="21"/>
                <w:szCs w:val="21"/>
                <w:lang w:val="en-US" w:eastAsia="zh-CN" w:bidi="ar-SA"/>
              </w:rPr>
            </w:pPr>
            <w:r>
              <w:rPr>
                <w:rFonts w:hint="eastAsia"/>
                <w:color w:val="auto"/>
                <w:lang w:val="en-US" w:eastAsia="zh-CN"/>
              </w:rPr>
              <w:t>/</w:t>
            </w:r>
          </w:p>
        </w:tc>
        <w:tc>
          <w:tcPr>
            <w:tcW w:w="387" w:type="pct"/>
            <w:shd w:val="clear" w:color="auto" w:fill="auto"/>
            <w:vAlign w:val="center"/>
          </w:tcPr>
          <w:p w14:paraId="735B3942">
            <w:pPr>
              <w:pStyle w:val="276"/>
              <w:ind w:firstLine="0" w:firstLineChars="0"/>
              <w:rPr>
                <w:rFonts w:ascii="Times New Roman" w:hAnsi="Times New Roman" w:eastAsia="宋体" w:cs="Times New Roman"/>
                <w:color w:val="auto"/>
                <w:kern w:val="2"/>
                <w:sz w:val="21"/>
                <w:szCs w:val="21"/>
                <w:lang w:val="en-US" w:eastAsia="zh-CN" w:bidi="ar-SA"/>
              </w:rPr>
            </w:pPr>
            <w:r>
              <w:rPr>
                <w:rFonts w:hint="eastAsia"/>
                <w:color w:val="auto"/>
                <w:lang w:val="en-US" w:eastAsia="zh-CN"/>
              </w:rPr>
              <w:t>0.004L</w:t>
            </w:r>
          </w:p>
        </w:tc>
        <w:tc>
          <w:tcPr>
            <w:tcW w:w="325" w:type="pct"/>
            <w:shd w:val="clear" w:color="auto" w:fill="auto"/>
            <w:vAlign w:val="center"/>
          </w:tcPr>
          <w:p w14:paraId="0D058C28">
            <w:pPr>
              <w:pStyle w:val="276"/>
              <w:ind w:firstLine="0" w:firstLineChars="0"/>
              <w:rPr>
                <w:rFonts w:ascii="Times New Roman" w:hAnsi="Times New Roman" w:eastAsia="宋体" w:cs="Times New Roman"/>
                <w:color w:val="auto"/>
                <w:kern w:val="2"/>
                <w:sz w:val="21"/>
                <w:szCs w:val="21"/>
                <w:lang w:val="en-US" w:eastAsia="zh-CN" w:bidi="ar-SA"/>
              </w:rPr>
            </w:pPr>
            <w:r>
              <w:rPr>
                <w:rFonts w:hint="eastAsia"/>
                <w:color w:val="auto"/>
                <w:lang w:val="en-US" w:eastAsia="zh-CN"/>
              </w:rPr>
              <w:t>/</w:t>
            </w:r>
          </w:p>
        </w:tc>
        <w:tc>
          <w:tcPr>
            <w:tcW w:w="292" w:type="pct"/>
            <w:shd w:val="clear" w:color="auto" w:fill="auto"/>
            <w:vAlign w:val="center"/>
          </w:tcPr>
          <w:p w14:paraId="2FF0609C">
            <w:pPr>
              <w:pStyle w:val="276"/>
              <w:rPr>
                <w:color w:val="auto"/>
              </w:rPr>
            </w:pPr>
            <w:r>
              <w:rPr>
                <w:color w:val="auto"/>
                <w:lang w:val="en-US"/>
              </w:rPr>
              <w:t>0.05</w:t>
            </w:r>
          </w:p>
        </w:tc>
      </w:tr>
      <w:tr w14:paraId="3B27B1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84" w:hRule="atLeast"/>
          <w:jc w:val="center"/>
        </w:trPr>
        <w:tc>
          <w:tcPr>
            <w:tcW w:w="586" w:type="pct"/>
            <w:shd w:val="clear" w:color="auto" w:fill="auto"/>
            <w:vAlign w:val="center"/>
          </w:tcPr>
          <w:p w14:paraId="3459CD47">
            <w:pPr>
              <w:pStyle w:val="276"/>
              <w:rPr>
                <w:color w:val="auto"/>
              </w:rPr>
            </w:pPr>
            <w:r>
              <w:rPr>
                <w:rFonts w:hint="eastAsia"/>
                <w:color w:val="auto"/>
                <w:lang w:val="en-US"/>
              </w:rPr>
              <w:t>硫化物</w:t>
            </w:r>
          </w:p>
        </w:tc>
        <w:tc>
          <w:tcPr>
            <w:tcW w:w="469" w:type="pct"/>
            <w:shd w:val="clear" w:color="auto" w:fill="auto"/>
            <w:vAlign w:val="center"/>
          </w:tcPr>
          <w:p w14:paraId="31BD1F74">
            <w:pPr>
              <w:pStyle w:val="276"/>
              <w:rPr>
                <w:color w:val="auto"/>
                <w:lang w:val="en-US"/>
              </w:rPr>
            </w:pPr>
            <w:r>
              <w:rPr>
                <w:rFonts w:hint="eastAsia"/>
                <w:color w:val="auto"/>
                <w:lang w:val="en-US" w:eastAsia="zh-CN"/>
              </w:rPr>
              <w:t>0.003L</w:t>
            </w:r>
          </w:p>
        </w:tc>
        <w:tc>
          <w:tcPr>
            <w:tcW w:w="430" w:type="pct"/>
            <w:shd w:val="clear" w:color="auto" w:fill="auto"/>
            <w:vAlign w:val="center"/>
          </w:tcPr>
          <w:p w14:paraId="442D18B7">
            <w:pPr>
              <w:pStyle w:val="276"/>
              <w:rPr>
                <w:color w:val="auto"/>
                <w:lang w:val="en-US"/>
              </w:rPr>
            </w:pPr>
            <w:r>
              <w:rPr>
                <w:rFonts w:hint="eastAsia"/>
                <w:color w:val="auto"/>
                <w:lang w:val="en-US" w:eastAsia="zh-CN"/>
              </w:rPr>
              <w:t>/</w:t>
            </w:r>
          </w:p>
        </w:tc>
        <w:tc>
          <w:tcPr>
            <w:tcW w:w="464" w:type="pct"/>
            <w:shd w:val="clear" w:color="auto" w:fill="auto"/>
            <w:vAlign w:val="center"/>
          </w:tcPr>
          <w:p w14:paraId="09DBD515">
            <w:pPr>
              <w:pStyle w:val="276"/>
              <w:rPr>
                <w:color w:val="auto"/>
                <w:lang w:val="en-US"/>
              </w:rPr>
            </w:pPr>
            <w:r>
              <w:rPr>
                <w:rFonts w:hint="eastAsia"/>
                <w:color w:val="auto"/>
                <w:lang w:val="en-US" w:eastAsia="zh-CN"/>
              </w:rPr>
              <w:t>0.004</w:t>
            </w:r>
          </w:p>
        </w:tc>
        <w:tc>
          <w:tcPr>
            <w:tcW w:w="422" w:type="pct"/>
            <w:shd w:val="clear" w:color="auto" w:fill="auto"/>
            <w:vAlign w:val="center"/>
          </w:tcPr>
          <w:p w14:paraId="4724E79F">
            <w:pPr>
              <w:pStyle w:val="276"/>
              <w:rPr>
                <w:color w:val="auto"/>
                <w:lang w:val="en-US"/>
              </w:rPr>
            </w:pPr>
            <w:r>
              <w:rPr>
                <w:rFonts w:hint="eastAsia"/>
                <w:color w:val="auto"/>
                <w:lang w:val="en-US" w:eastAsia="zh-CN"/>
              </w:rPr>
              <w:t>0.2</w:t>
            </w:r>
          </w:p>
        </w:tc>
        <w:tc>
          <w:tcPr>
            <w:tcW w:w="462" w:type="pct"/>
            <w:shd w:val="clear" w:color="auto" w:fill="auto"/>
            <w:vAlign w:val="center"/>
          </w:tcPr>
          <w:p w14:paraId="1B5F683B">
            <w:pPr>
              <w:pStyle w:val="276"/>
              <w:rPr>
                <w:color w:val="auto"/>
                <w:lang w:val="en-US"/>
              </w:rPr>
            </w:pPr>
            <w:r>
              <w:rPr>
                <w:rFonts w:hint="eastAsia"/>
                <w:color w:val="auto"/>
                <w:lang w:val="en-US" w:eastAsia="zh-CN"/>
              </w:rPr>
              <w:t>/</w:t>
            </w:r>
          </w:p>
        </w:tc>
        <w:tc>
          <w:tcPr>
            <w:tcW w:w="404" w:type="pct"/>
            <w:shd w:val="clear" w:color="auto" w:fill="auto"/>
            <w:vAlign w:val="center"/>
          </w:tcPr>
          <w:p w14:paraId="50C03B74">
            <w:pPr>
              <w:pStyle w:val="276"/>
              <w:rPr>
                <w:color w:val="auto"/>
                <w:lang w:val="en-US"/>
              </w:rPr>
            </w:pPr>
            <w:r>
              <w:rPr>
                <w:rFonts w:hint="eastAsia"/>
                <w:color w:val="auto"/>
                <w:lang w:val="en-US" w:eastAsia="zh-CN"/>
              </w:rPr>
              <w:t>/</w:t>
            </w:r>
          </w:p>
        </w:tc>
        <w:tc>
          <w:tcPr>
            <w:tcW w:w="387" w:type="pct"/>
            <w:shd w:val="clear" w:color="auto" w:fill="auto"/>
            <w:vAlign w:val="center"/>
          </w:tcPr>
          <w:p w14:paraId="661C2B51">
            <w:pPr>
              <w:pStyle w:val="276"/>
              <w:ind w:firstLine="0" w:firstLineChars="0"/>
              <w:rPr>
                <w:rFonts w:ascii="Times New Roman" w:hAnsi="Times New Roman" w:eastAsia="宋体" w:cs="Times New Roman"/>
                <w:color w:val="auto"/>
                <w:kern w:val="2"/>
                <w:sz w:val="21"/>
                <w:szCs w:val="21"/>
                <w:lang w:val="en-US" w:eastAsia="zh-CN" w:bidi="ar-SA"/>
              </w:rPr>
            </w:pPr>
            <w:r>
              <w:rPr>
                <w:rFonts w:hint="eastAsia"/>
                <w:color w:val="auto"/>
                <w:lang w:val="en-US" w:eastAsia="zh-CN"/>
              </w:rPr>
              <w:t>/</w:t>
            </w:r>
          </w:p>
        </w:tc>
        <w:tc>
          <w:tcPr>
            <w:tcW w:w="369" w:type="pct"/>
            <w:shd w:val="clear" w:color="auto" w:fill="auto"/>
            <w:vAlign w:val="center"/>
          </w:tcPr>
          <w:p w14:paraId="1DE11855">
            <w:pPr>
              <w:pStyle w:val="276"/>
              <w:ind w:firstLine="0" w:firstLineChars="0"/>
              <w:rPr>
                <w:rFonts w:ascii="Times New Roman" w:hAnsi="Times New Roman" w:eastAsia="宋体" w:cs="Times New Roman"/>
                <w:color w:val="auto"/>
                <w:kern w:val="2"/>
                <w:sz w:val="21"/>
                <w:szCs w:val="21"/>
                <w:lang w:val="en-US" w:eastAsia="zh-CN" w:bidi="ar-SA"/>
              </w:rPr>
            </w:pPr>
            <w:r>
              <w:rPr>
                <w:rFonts w:hint="eastAsia"/>
                <w:color w:val="auto"/>
                <w:lang w:val="en-US" w:eastAsia="zh-CN"/>
              </w:rPr>
              <w:t>/</w:t>
            </w:r>
          </w:p>
        </w:tc>
        <w:tc>
          <w:tcPr>
            <w:tcW w:w="387" w:type="pct"/>
            <w:shd w:val="clear" w:color="auto" w:fill="auto"/>
            <w:vAlign w:val="center"/>
          </w:tcPr>
          <w:p w14:paraId="1F7C8D17">
            <w:pPr>
              <w:pStyle w:val="276"/>
              <w:ind w:firstLine="0" w:firstLineChars="0"/>
              <w:rPr>
                <w:rFonts w:ascii="Times New Roman" w:hAnsi="Times New Roman" w:eastAsia="宋体" w:cs="Times New Roman"/>
                <w:color w:val="auto"/>
                <w:kern w:val="2"/>
                <w:sz w:val="21"/>
                <w:szCs w:val="21"/>
                <w:lang w:val="en-US" w:eastAsia="zh-CN" w:bidi="ar-SA"/>
              </w:rPr>
            </w:pPr>
            <w:r>
              <w:rPr>
                <w:rFonts w:hint="eastAsia"/>
                <w:color w:val="auto"/>
                <w:lang w:val="en-US" w:eastAsia="zh-CN"/>
              </w:rPr>
              <w:t>/</w:t>
            </w:r>
          </w:p>
        </w:tc>
        <w:tc>
          <w:tcPr>
            <w:tcW w:w="325" w:type="pct"/>
            <w:shd w:val="clear" w:color="auto" w:fill="auto"/>
            <w:vAlign w:val="center"/>
          </w:tcPr>
          <w:p w14:paraId="43BFA233">
            <w:pPr>
              <w:pStyle w:val="276"/>
              <w:ind w:firstLine="0" w:firstLineChars="0"/>
              <w:rPr>
                <w:rFonts w:ascii="Times New Roman" w:hAnsi="Times New Roman" w:eastAsia="宋体" w:cs="Times New Roman"/>
                <w:color w:val="auto"/>
                <w:kern w:val="2"/>
                <w:sz w:val="21"/>
                <w:szCs w:val="21"/>
                <w:lang w:val="en-US" w:eastAsia="zh-CN" w:bidi="ar-SA"/>
              </w:rPr>
            </w:pPr>
            <w:r>
              <w:rPr>
                <w:rFonts w:hint="eastAsia"/>
                <w:color w:val="auto"/>
                <w:lang w:val="en-US" w:eastAsia="zh-CN"/>
              </w:rPr>
              <w:t>/</w:t>
            </w:r>
          </w:p>
        </w:tc>
        <w:tc>
          <w:tcPr>
            <w:tcW w:w="292" w:type="pct"/>
            <w:shd w:val="clear" w:color="auto" w:fill="auto"/>
            <w:vAlign w:val="center"/>
          </w:tcPr>
          <w:p w14:paraId="255E273F">
            <w:pPr>
              <w:pStyle w:val="276"/>
              <w:rPr>
                <w:color w:val="auto"/>
              </w:rPr>
            </w:pPr>
            <w:r>
              <w:rPr>
                <w:color w:val="auto"/>
                <w:lang w:val="en-US"/>
              </w:rPr>
              <w:t>0.02</w:t>
            </w:r>
          </w:p>
        </w:tc>
      </w:tr>
      <w:tr w14:paraId="5A30FA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84" w:hRule="atLeast"/>
          <w:jc w:val="center"/>
        </w:trPr>
        <w:tc>
          <w:tcPr>
            <w:tcW w:w="586" w:type="pct"/>
            <w:shd w:val="clear" w:color="auto" w:fill="auto"/>
            <w:vAlign w:val="center"/>
          </w:tcPr>
          <w:p w14:paraId="3A6FCEB5">
            <w:pPr>
              <w:pStyle w:val="276"/>
              <w:rPr>
                <w:color w:val="auto"/>
              </w:rPr>
            </w:pPr>
            <w:r>
              <w:rPr>
                <w:rFonts w:hint="eastAsia"/>
                <w:color w:val="auto"/>
                <w:lang w:val="en-US"/>
              </w:rPr>
              <w:t>氯化物</w:t>
            </w:r>
          </w:p>
        </w:tc>
        <w:tc>
          <w:tcPr>
            <w:tcW w:w="469" w:type="pct"/>
            <w:shd w:val="clear" w:color="auto" w:fill="auto"/>
            <w:vAlign w:val="center"/>
          </w:tcPr>
          <w:p w14:paraId="4720AF90">
            <w:pPr>
              <w:pStyle w:val="276"/>
              <w:rPr>
                <w:color w:val="auto"/>
                <w:lang w:val="en-US"/>
              </w:rPr>
            </w:pPr>
            <w:r>
              <w:rPr>
                <w:rFonts w:hint="eastAsia"/>
                <w:color w:val="auto"/>
                <w:lang w:val="en-US" w:eastAsia="zh-CN"/>
              </w:rPr>
              <w:t>15.8</w:t>
            </w:r>
          </w:p>
        </w:tc>
        <w:tc>
          <w:tcPr>
            <w:tcW w:w="430" w:type="pct"/>
            <w:shd w:val="clear" w:color="auto" w:fill="auto"/>
            <w:vAlign w:val="center"/>
          </w:tcPr>
          <w:p w14:paraId="6539FB26">
            <w:pPr>
              <w:pStyle w:val="276"/>
              <w:rPr>
                <w:color w:val="auto"/>
                <w:lang w:val="en-US"/>
              </w:rPr>
            </w:pPr>
            <w:r>
              <w:rPr>
                <w:rFonts w:hint="eastAsia"/>
                <w:color w:val="auto"/>
                <w:lang w:val="en-US" w:eastAsia="zh-CN"/>
              </w:rPr>
              <w:t>0.063</w:t>
            </w:r>
          </w:p>
        </w:tc>
        <w:tc>
          <w:tcPr>
            <w:tcW w:w="464" w:type="pct"/>
            <w:shd w:val="clear" w:color="auto" w:fill="auto"/>
            <w:vAlign w:val="center"/>
          </w:tcPr>
          <w:p w14:paraId="71323B95">
            <w:pPr>
              <w:pStyle w:val="276"/>
              <w:rPr>
                <w:color w:val="auto"/>
                <w:lang w:val="en-US"/>
              </w:rPr>
            </w:pPr>
            <w:r>
              <w:rPr>
                <w:rFonts w:hint="eastAsia"/>
                <w:color w:val="auto"/>
                <w:lang w:val="en-US" w:eastAsia="zh-CN"/>
              </w:rPr>
              <w:t>11.9</w:t>
            </w:r>
          </w:p>
        </w:tc>
        <w:tc>
          <w:tcPr>
            <w:tcW w:w="422" w:type="pct"/>
            <w:shd w:val="clear" w:color="auto" w:fill="auto"/>
            <w:vAlign w:val="center"/>
          </w:tcPr>
          <w:p w14:paraId="77DFBF72">
            <w:pPr>
              <w:pStyle w:val="276"/>
              <w:rPr>
                <w:color w:val="auto"/>
                <w:lang w:val="en-US"/>
              </w:rPr>
            </w:pPr>
            <w:r>
              <w:rPr>
                <w:rFonts w:hint="eastAsia"/>
                <w:color w:val="auto"/>
                <w:lang w:val="en-US" w:eastAsia="zh-CN"/>
              </w:rPr>
              <w:t>0.048</w:t>
            </w:r>
          </w:p>
        </w:tc>
        <w:tc>
          <w:tcPr>
            <w:tcW w:w="462" w:type="pct"/>
            <w:shd w:val="clear" w:color="auto" w:fill="auto"/>
            <w:vAlign w:val="center"/>
          </w:tcPr>
          <w:p w14:paraId="262364E6">
            <w:pPr>
              <w:pStyle w:val="276"/>
              <w:rPr>
                <w:color w:val="auto"/>
                <w:lang w:val="en-US"/>
              </w:rPr>
            </w:pPr>
            <w:r>
              <w:rPr>
                <w:rFonts w:hint="eastAsia"/>
                <w:color w:val="auto"/>
                <w:lang w:val="en-US" w:eastAsia="zh-CN"/>
              </w:rPr>
              <w:t>98.2</w:t>
            </w:r>
          </w:p>
        </w:tc>
        <w:tc>
          <w:tcPr>
            <w:tcW w:w="404" w:type="pct"/>
            <w:shd w:val="clear" w:color="auto" w:fill="auto"/>
            <w:vAlign w:val="center"/>
          </w:tcPr>
          <w:p w14:paraId="4EAFEF5B">
            <w:pPr>
              <w:pStyle w:val="276"/>
              <w:rPr>
                <w:color w:val="auto"/>
                <w:lang w:val="en-US"/>
              </w:rPr>
            </w:pPr>
            <w:r>
              <w:rPr>
                <w:rFonts w:hint="eastAsia"/>
                <w:color w:val="auto"/>
                <w:lang w:val="en-US" w:eastAsia="zh-CN"/>
              </w:rPr>
              <w:t>0.393</w:t>
            </w:r>
          </w:p>
        </w:tc>
        <w:tc>
          <w:tcPr>
            <w:tcW w:w="387" w:type="pct"/>
            <w:shd w:val="clear" w:color="auto" w:fill="auto"/>
            <w:vAlign w:val="center"/>
          </w:tcPr>
          <w:p w14:paraId="12878D13">
            <w:pPr>
              <w:pStyle w:val="276"/>
              <w:ind w:firstLine="0" w:firstLineChars="0"/>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10L</w:t>
            </w:r>
          </w:p>
        </w:tc>
        <w:tc>
          <w:tcPr>
            <w:tcW w:w="369" w:type="pct"/>
            <w:shd w:val="clear" w:color="auto" w:fill="auto"/>
            <w:vAlign w:val="center"/>
          </w:tcPr>
          <w:p w14:paraId="2B4ECA0D">
            <w:pPr>
              <w:pStyle w:val="276"/>
              <w:ind w:firstLine="0" w:firstLineChars="0"/>
              <w:rPr>
                <w:rFonts w:ascii="Times New Roman" w:hAnsi="Times New Roman" w:eastAsia="宋体" w:cs="Times New Roman"/>
                <w:color w:val="auto"/>
                <w:kern w:val="2"/>
                <w:sz w:val="21"/>
                <w:szCs w:val="21"/>
                <w:lang w:val="en-US" w:eastAsia="zh-CN" w:bidi="ar-SA"/>
              </w:rPr>
            </w:pPr>
            <w:r>
              <w:rPr>
                <w:rFonts w:hint="eastAsia"/>
                <w:color w:val="auto"/>
                <w:lang w:val="en-US" w:eastAsia="zh-CN"/>
              </w:rPr>
              <w:t>/</w:t>
            </w:r>
          </w:p>
        </w:tc>
        <w:tc>
          <w:tcPr>
            <w:tcW w:w="387" w:type="pct"/>
            <w:shd w:val="clear" w:color="auto" w:fill="auto"/>
            <w:vAlign w:val="center"/>
          </w:tcPr>
          <w:p w14:paraId="45EACDCB">
            <w:pPr>
              <w:pStyle w:val="276"/>
              <w:ind w:firstLine="0" w:firstLineChars="0"/>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10L</w:t>
            </w:r>
          </w:p>
        </w:tc>
        <w:tc>
          <w:tcPr>
            <w:tcW w:w="325" w:type="pct"/>
            <w:shd w:val="clear" w:color="auto" w:fill="auto"/>
            <w:vAlign w:val="center"/>
          </w:tcPr>
          <w:p w14:paraId="626AB199">
            <w:pPr>
              <w:pStyle w:val="276"/>
              <w:ind w:firstLine="0" w:firstLineChars="0"/>
              <w:rPr>
                <w:rFonts w:ascii="Times New Roman" w:hAnsi="Times New Roman" w:eastAsia="宋体" w:cs="Times New Roman"/>
                <w:color w:val="auto"/>
                <w:kern w:val="2"/>
                <w:sz w:val="21"/>
                <w:szCs w:val="21"/>
                <w:lang w:val="en-US" w:eastAsia="zh-CN" w:bidi="ar-SA"/>
              </w:rPr>
            </w:pPr>
            <w:r>
              <w:rPr>
                <w:rFonts w:hint="eastAsia"/>
                <w:color w:val="auto"/>
                <w:lang w:val="en-US" w:eastAsia="zh-CN"/>
              </w:rPr>
              <w:t>/</w:t>
            </w:r>
          </w:p>
        </w:tc>
        <w:tc>
          <w:tcPr>
            <w:tcW w:w="292" w:type="pct"/>
            <w:shd w:val="clear" w:color="auto" w:fill="auto"/>
            <w:vAlign w:val="center"/>
          </w:tcPr>
          <w:p w14:paraId="295EA6BF">
            <w:pPr>
              <w:pStyle w:val="276"/>
              <w:rPr>
                <w:color w:val="auto"/>
              </w:rPr>
            </w:pPr>
            <w:r>
              <w:rPr>
                <w:color w:val="auto"/>
                <w:lang w:val="en-US"/>
              </w:rPr>
              <w:t>250</w:t>
            </w:r>
          </w:p>
        </w:tc>
      </w:tr>
      <w:tr w14:paraId="2E8C60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84" w:hRule="atLeast"/>
          <w:jc w:val="center"/>
        </w:trPr>
        <w:tc>
          <w:tcPr>
            <w:tcW w:w="586" w:type="pct"/>
            <w:shd w:val="clear" w:color="auto" w:fill="auto"/>
            <w:vAlign w:val="center"/>
          </w:tcPr>
          <w:p w14:paraId="2107F049">
            <w:pPr>
              <w:pStyle w:val="276"/>
              <w:rPr>
                <w:color w:val="auto"/>
              </w:rPr>
            </w:pPr>
            <w:r>
              <w:rPr>
                <w:rFonts w:hint="eastAsia"/>
                <w:color w:val="auto"/>
              </w:rPr>
              <w:t>总α放射性（Bq/L）</w:t>
            </w:r>
          </w:p>
        </w:tc>
        <w:tc>
          <w:tcPr>
            <w:tcW w:w="469" w:type="pct"/>
            <w:shd w:val="clear" w:color="auto" w:fill="auto"/>
            <w:vAlign w:val="center"/>
          </w:tcPr>
          <w:p w14:paraId="7BD166AA">
            <w:pPr>
              <w:pStyle w:val="276"/>
              <w:rPr>
                <w:color w:val="auto"/>
                <w:lang w:val="en-US"/>
              </w:rPr>
            </w:pPr>
            <w:r>
              <w:rPr>
                <w:rFonts w:hint="eastAsia"/>
                <w:color w:val="auto"/>
                <w:lang w:val="en-US" w:eastAsia="zh-CN"/>
              </w:rPr>
              <w:t>0.043L</w:t>
            </w:r>
          </w:p>
        </w:tc>
        <w:tc>
          <w:tcPr>
            <w:tcW w:w="430" w:type="pct"/>
            <w:shd w:val="clear" w:color="auto" w:fill="auto"/>
            <w:vAlign w:val="center"/>
          </w:tcPr>
          <w:p w14:paraId="43409C26">
            <w:pPr>
              <w:pStyle w:val="276"/>
              <w:rPr>
                <w:color w:val="auto"/>
                <w:lang w:val="en-US"/>
              </w:rPr>
            </w:pPr>
            <w:r>
              <w:rPr>
                <w:rFonts w:hint="eastAsia"/>
                <w:color w:val="auto"/>
                <w:lang w:val="en-US" w:eastAsia="zh-CN"/>
              </w:rPr>
              <w:t>/</w:t>
            </w:r>
          </w:p>
        </w:tc>
        <w:tc>
          <w:tcPr>
            <w:tcW w:w="464" w:type="pct"/>
            <w:shd w:val="clear" w:color="auto" w:fill="auto"/>
            <w:vAlign w:val="center"/>
          </w:tcPr>
          <w:p w14:paraId="60EB4BF7">
            <w:pPr>
              <w:pStyle w:val="276"/>
              <w:rPr>
                <w:color w:val="auto"/>
                <w:lang w:val="en-US"/>
              </w:rPr>
            </w:pPr>
            <w:r>
              <w:rPr>
                <w:rFonts w:hint="eastAsia"/>
                <w:color w:val="auto"/>
                <w:lang w:val="en-US" w:eastAsia="zh-CN"/>
              </w:rPr>
              <w:t>0.043L</w:t>
            </w:r>
          </w:p>
        </w:tc>
        <w:tc>
          <w:tcPr>
            <w:tcW w:w="422" w:type="pct"/>
            <w:shd w:val="clear" w:color="auto" w:fill="auto"/>
            <w:vAlign w:val="center"/>
          </w:tcPr>
          <w:p w14:paraId="34041290">
            <w:pPr>
              <w:pStyle w:val="276"/>
              <w:rPr>
                <w:color w:val="auto"/>
                <w:lang w:val="en-US"/>
              </w:rPr>
            </w:pPr>
            <w:r>
              <w:rPr>
                <w:rFonts w:hint="eastAsia"/>
                <w:color w:val="auto"/>
                <w:lang w:val="en-US" w:eastAsia="zh-CN"/>
              </w:rPr>
              <w:t>/</w:t>
            </w:r>
          </w:p>
        </w:tc>
        <w:tc>
          <w:tcPr>
            <w:tcW w:w="462" w:type="pct"/>
            <w:shd w:val="clear" w:color="auto" w:fill="auto"/>
            <w:vAlign w:val="center"/>
          </w:tcPr>
          <w:p w14:paraId="55155CA7">
            <w:pPr>
              <w:pStyle w:val="276"/>
              <w:rPr>
                <w:color w:val="auto"/>
                <w:lang w:val="en-US"/>
              </w:rPr>
            </w:pPr>
            <w:r>
              <w:rPr>
                <w:rFonts w:hint="eastAsia"/>
                <w:color w:val="auto"/>
                <w:lang w:val="en-US" w:eastAsia="zh-CN"/>
              </w:rPr>
              <w:t>0.043L</w:t>
            </w:r>
          </w:p>
        </w:tc>
        <w:tc>
          <w:tcPr>
            <w:tcW w:w="404" w:type="pct"/>
            <w:shd w:val="clear" w:color="auto" w:fill="auto"/>
            <w:vAlign w:val="center"/>
          </w:tcPr>
          <w:p w14:paraId="3DA96979">
            <w:pPr>
              <w:pStyle w:val="276"/>
              <w:rPr>
                <w:color w:val="auto"/>
                <w:lang w:val="en-US"/>
              </w:rPr>
            </w:pPr>
            <w:r>
              <w:rPr>
                <w:rFonts w:hint="eastAsia"/>
                <w:color w:val="auto"/>
                <w:lang w:val="en-US" w:eastAsia="zh-CN"/>
              </w:rPr>
              <w:t>/</w:t>
            </w:r>
          </w:p>
        </w:tc>
        <w:tc>
          <w:tcPr>
            <w:tcW w:w="387" w:type="pct"/>
            <w:shd w:val="clear" w:color="auto" w:fill="auto"/>
            <w:vAlign w:val="center"/>
          </w:tcPr>
          <w:p w14:paraId="18ACA9FD">
            <w:pPr>
              <w:pStyle w:val="276"/>
              <w:ind w:firstLine="0" w:firstLineChars="0"/>
              <w:rPr>
                <w:rFonts w:ascii="Times New Roman" w:hAnsi="Times New Roman" w:eastAsia="宋体" w:cs="Times New Roman"/>
                <w:color w:val="auto"/>
                <w:kern w:val="2"/>
                <w:sz w:val="21"/>
                <w:szCs w:val="21"/>
                <w:lang w:val="en-US" w:eastAsia="zh-CN" w:bidi="ar-SA"/>
              </w:rPr>
            </w:pPr>
            <w:r>
              <w:rPr>
                <w:rFonts w:hint="eastAsia"/>
                <w:color w:val="auto"/>
                <w:lang w:val="en-US" w:eastAsia="zh-CN"/>
              </w:rPr>
              <w:t>/</w:t>
            </w:r>
          </w:p>
        </w:tc>
        <w:tc>
          <w:tcPr>
            <w:tcW w:w="369" w:type="pct"/>
            <w:shd w:val="clear" w:color="auto" w:fill="auto"/>
            <w:vAlign w:val="center"/>
          </w:tcPr>
          <w:p w14:paraId="756C5F6B">
            <w:pPr>
              <w:pStyle w:val="276"/>
              <w:ind w:firstLine="0" w:firstLineChars="0"/>
              <w:rPr>
                <w:rFonts w:ascii="Times New Roman" w:hAnsi="Times New Roman" w:eastAsia="宋体" w:cs="Times New Roman"/>
                <w:color w:val="auto"/>
                <w:kern w:val="2"/>
                <w:sz w:val="21"/>
                <w:szCs w:val="21"/>
                <w:lang w:val="en-US" w:eastAsia="zh-CN" w:bidi="ar-SA"/>
              </w:rPr>
            </w:pPr>
            <w:r>
              <w:rPr>
                <w:rFonts w:hint="eastAsia"/>
                <w:color w:val="auto"/>
                <w:lang w:val="en-US" w:eastAsia="zh-CN"/>
              </w:rPr>
              <w:t>/</w:t>
            </w:r>
          </w:p>
        </w:tc>
        <w:tc>
          <w:tcPr>
            <w:tcW w:w="387" w:type="pct"/>
            <w:shd w:val="clear" w:color="auto" w:fill="auto"/>
            <w:vAlign w:val="center"/>
          </w:tcPr>
          <w:p w14:paraId="62EEEF31">
            <w:pPr>
              <w:pStyle w:val="276"/>
              <w:ind w:firstLine="0" w:firstLineChars="0"/>
              <w:rPr>
                <w:rFonts w:ascii="Times New Roman" w:hAnsi="Times New Roman" w:eastAsia="宋体" w:cs="Times New Roman"/>
                <w:color w:val="auto"/>
                <w:kern w:val="2"/>
                <w:sz w:val="21"/>
                <w:szCs w:val="21"/>
                <w:lang w:val="en-US" w:eastAsia="zh-CN" w:bidi="ar-SA"/>
              </w:rPr>
            </w:pPr>
            <w:r>
              <w:rPr>
                <w:rFonts w:hint="eastAsia"/>
                <w:color w:val="auto"/>
                <w:lang w:val="en-US" w:eastAsia="zh-CN"/>
              </w:rPr>
              <w:t>/</w:t>
            </w:r>
          </w:p>
        </w:tc>
        <w:tc>
          <w:tcPr>
            <w:tcW w:w="325" w:type="pct"/>
            <w:shd w:val="clear" w:color="auto" w:fill="auto"/>
            <w:vAlign w:val="center"/>
          </w:tcPr>
          <w:p w14:paraId="43534293">
            <w:pPr>
              <w:pStyle w:val="276"/>
              <w:ind w:firstLine="0" w:firstLineChars="0"/>
              <w:rPr>
                <w:rFonts w:ascii="Times New Roman" w:hAnsi="Times New Roman" w:eastAsia="宋体" w:cs="Times New Roman"/>
                <w:color w:val="auto"/>
                <w:kern w:val="2"/>
                <w:sz w:val="21"/>
                <w:szCs w:val="21"/>
                <w:lang w:val="en-US" w:eastAsia="zh-CN" w:bidi="ar-SA"/>
              </w:rPr>
            </w:pPr>
            <w:r>
              <w:rPr>
                <w:rFonts w:hint="eastAsia"/>
                <w:color w:val="auto"/>
                <w:lang w:val="en-US" w:eastAsia="zh-CN"/>
              </w:rPr>
              <w:t>/</w:t>
            </w:r>
          </w:p>
        </w:tc>
        <w:tc>
          <w:tcPr>
            <w:tcW w:w="292" w:type="pct"/>
            <w:shd w:val="clear" w:color="auto" w:fill="auto"/>
            <w:vAlign w:val="center"/>
          </w:tcPr>
          <w:p w14:paraId="5A11C41E">
            <w:pPr>
              <w:pStyle w:val="276"/>
              <w:rPr>
                <w:color w:val="auto"/>
              </w:rPr>
            </w:pPr>
            <w:r>
              <w:rPr>
                <w:rFonts w:hint="eastAsia"/>
                <w:color w:val="auto"/>
              </w:rPr>
              <w:t>0.5</w:t>
            </w:r>
          </w:p>
        </w:tc>
      </w:tr>
      <w:tr w14:paraId="1F1594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84" w:hRule="atLeast"/>
          <w:jc w:val="center"/>
        </w:trPr>
        <w:tc>
          <w:tcPr>
            <w:tcW w:w="586" w:type="pct"/>
            <w:shd w:val="clear" w:color="auto" w:fill="auto"/>
            <w:vAlign w:val="center"/>
          </w:tcPr>
          <w:p w14:paraId="5A94750C">
            <w:pPr>
              <w:pStyle w:val="276"/>
              <w:rPr>
                <w:color w:val="auto"/>
              </w:rPr>
            </w:pPr>
            <w:r>
              <w:rPr>
                <w:rFonts w:hint="eastAsia"/>
                <w:color w:val="auto"/>
              </w:rPr>
              <w:t>总β放射性（Bq/L）</w:t>
            </w:r>
          </w:p>
        </w:tc>
        <w:tc>
          <w:tcPr>
            <w:tcW w:w="469" w:type="pct"/>
            <w:shd w:val="clear" w:color="auto" w:fill="auto"/>
            <w:vAlign w:val="center"/>
          </w:tcPr>
          <w:p w14:paraId="1AC12802">
            <w:pPr>
              <w:pStyle w:val="276"/>
              <w:rPr>
                <w:color w:val="auto"/>
                <w:lang w:val="en-US"/>
              </w:rPr>
            </w:pPr>
            <w:r>
              <w:rPr>
                <w:rFonts w:hint="eastAsia"/>
                <w:color w:val="auto"/>
                <w:lang w:val="en-US" w:eastAsia="zh-CN"/>
              </w:rPr>
              <w:t>0.18</w:t>
            </w:r>
          </w:p>
        </w:tc>
        <w:tc>
          <w:tcPr>
            <w:tcW w:w="430" w:type="pct"/>
            <w:shd w:val="clear" w:color="auto" w:fill="auto"/>
            <w:vAlign w:val="center"/>
          </w:tcPr>
          <w:p w14:paraId="6DDF88B1">
            <w:pPr>
              <w:pStyle w:val="276"/>
              <w:rPr>
                <w:color w:val="auto"/>
                <w:lang w:val="en-US"/>
              </w:rPr>
            </w:pPr>
            <w:r>
              <w:rPr>
                <w:rFonts w:hint="eastAsia"/>
                <w:color w:val="auto"/>
                <w:lang w:val="en-US" w:eastAsia="zh-CN"/>
              </w:rPr>
              <w:t>0.18</w:t>
            </w:r>
          </w:p>
        </w:tc>
        <w:tc>
          <w:tcPr>
            <w:tcW w:w="464" w:type="pct"/>
            <w:shd w:val="clear" w:color="auto" w:fill="auto"/>
            <w:vAlign w:val="center"/>
          </w:tcPr>
          <w:p w14:paraId="3D2000E7">
            <w:pPr>
              <w:pStyle w:val="276"/>
              <w:rPr>
                <w:color w:val="auto"/>
                <w:lang w:val="en-US"/>
              </w:rPr>
            </w:pPr>
            <w:r>
              <w:rPr>
                <w:rFonts w:hint="eastAsia"/>
                <w:color w:val="auto"/>
                <w:lang w:val="en-US" w:eastAsia="zh-CN"/>
              </w:rPr>
              <w:t>0.06</w:t>
            </w:r>
          </w:p>
        </w:tc>
        <w:tc>
          <w:tcPr>
            <w:tcW w:w="422" w:type="pct"/>
            <w:shd w:val="clear" w:color="auto" w:fill="auto"/>
            <w:vAlign w:val="center"/>
          </w:tcPr>
          <w:p w14:paraId="16E83B86">
            <w:pPr>
              <w:pStyle w:val="276"/>
              <w:rPr>
                <w:color w:val="auto"/>
                <w:lang w:val="en-US"/>
              </w:rPr>
            </w:pPr>
            <w:r>
              <w:rPr>
                <w:rFonts w:hint="eastAsia"/>
                <w:color w:val="auto"/>
                <w:lang w:val="en-US" w:eastAsia="zh-CN"/>
              </w:rPr>
              <w:t>0.06</w:t>
            </w:r>
          </w:p>
        </w:tc>
        <w:tc>
          <w:tcPr>
            <w:tcW w:w="462" w:type="pct"/>
            <w:shd w:val="clear" w:color="auto" w:fill="auto"/>
            <w:vAlign w:val="center"/>
          </w:tcPr>
          <w:p w14:paraId="70FF65B4">
            <w:pPr>
              <w:pStyle w:val="276"/>
              <w:rPr>
                <w:color w:val="auto"/>
                <w:lang w:val="en-US"/>
              </w:rPr>
            </w:pPr>
            <w:r>
              <w:rPr>
                <w:rFonts w:hint="eastAsia"/>
                <w:color w:val="auto"/>
                <w:lang w:val="en-US" w:eastAsia="zh-CN"/>
              </w:rPr>
              <w:t>0.431</w:t>
            </w:r>
          </w:p>
        </w:tc>
        <w:tc>
          <w:tcPr>
            <w:tcW w:w="404" w:type="pct"/>
            <w:shd w:val="clear" w:color="auto" w:fill="auto"/>
            <w:vAlign w:val="center"/>
          </w:tcPr>
          <w:p w14:paraId="66FB4695">
            <w:pPr>
              <w:pStyle w:val="276"/>
              <w:rPr>
                <w:color w:val="auto"/>
                <w:lang w:val="en-US"/>
              </w:rPr>
            </w:pPr>
            <w:r>
              <w:rPr>
                <w:rFonts w:hint="eastAsia"/>
                <w:color w:val="auto"/>
                <w:lang w:val="en-US" w:eastAsia="zh-CN"/>
              </w:rPr>
              <w:t>0.431</w:t>
            </w:r>
          </w:p>
        </w:tc>
        <w:tc>
          <w:tcPr>
            <w:tcW w:w="387" w:type="pct"/>
            <w:shd w:val="clear" w:color="auto" w:fill="auto"/>
            <w:vAlign w:val="center"/>
          </w:tcPr>
          <w:p w14:paraId="4D6F5AB8">
            <w:pPr>
              <w:pStyle w:val="276"/>
              <w:ind w:firstLine="0" w:firstLineChars="0"/>
              <w:rPr>
                <w:rFonts w:ascii="Times New Roman" w:hAnsi="Times New Roman" w:eastAsia="宋体" w:cs="Times New Roman"/>
                <w:color w:val="auto"/>
                <w:kern w:val="2"/>
                <w:sz w:val="21"/>
                <w:szCs w:val="21"/>
                <w:lang w:val="en-US" w:eastAsia="zh-CN" w:bidi="ar-SA"/>
              </w:rPr>
            </w:pPr>
            <w:r>
              <w:rPr>
                <w:rFonts w:hint="eastAsia"/>
                <w:color w:val="auto"/>
                <w:lang w:val="en-US" w:eastAsia="zh-CN"/>
              </w:rPr>
              <w:t>/</w:t>
            </w:r>
          </w:p>
        </w:tc>
        <w:tc>
          <w:tcPr>
            <w:tcW w:w="369" w:type="pct"/>
            <w:shd w:val="clear" w:color="auto" w:fill="auto"/>
            <w:vAlign w:val="center"/>
          </w:tcPr>
          <w:p w14:paraId="75328834">
            <w:pPr>
              <w:pStyle w:val="276"/>
              <w:ind w:firstLine="0" w:firstLineChars="0"/>
              <w:rPr>
                <w:rFonts w:ascii="Times New Roman" w:hAnsi="Times New Roman" w:eastAsia="宋体" w:cs="Times New Roman"/>
                <w:color w:val="auto"/>
                <w:kern w:val="2"/>
                <w:sz w:val="21"/>
                <w:szCs w:val="21"/>
                <w:lang w:val="en-US" w:eastAsia="zh-CN" w:bidi="ar-SA"/>
              </w:rPr>
            </w:pPr>
            <w:r>
              <w:rPr>
                <w:rFonts w:hint="eastAsia"/>
                <w:color w:val="auto"/>
                <w:lang w:val="en-US" w:eastAsia="zh-CN"/>
              </w:rPr>
              <w:t>/</w:t>
            </w:r>
          </w:p>
        </w:tc>
        <w:tc>
          <w:tcPr>
            <w:tcW w:w="387" w:type="pct"/>
            <w:shd w:val="clear" w:color="auto" w:fill="auto"/>
            <w:vAlign w:val="center"/>
          </w:tcPr>
          <w:p w14:paraId="64C0A61F">
            <w:pPr>
              <w:pStyle w:val="276"/>
              <w:ind w:firstLine="0" w:firstLineChars="0"/>
              <w:rPr>
                <w:rFonts w:ascii="Times New Roman" w:hAnsi="Times New Roman" w:eastAsia="宋体" w:cs="Times New Roman"/>
                <w:color w:val="auto"/>
                <w:kern w:val="2"/>
                <w:sz w:val="21"/>
                <w:szCs w:val="21"/>
                <w:lang w:val="en-US" w:eastAsia="zh-CN" w:bidi="ar-SA"/>
              </w:rPr>
            </w:pPr>
            <w:r>
              <w:rPr>
                <w:rFonts w:hint="eastAsia"/>
                <w:color w:val="auto"/>
                <w:lang w:val="en-US" w:eastAsia="zh-CN"/>
              </w:rPr>
              <w:t>/</w:t>
            </w:r>
          </w:p>
        </w:tc>
        <w:tc>
          <w:tcPr>
            <w:tcW w:w="325" w:type="pct"/>
            <w:shd w:val="clear" w:color="auto" w:fill="auto"/>
            <w:vAlign w:val="center"/>
          </w:tcPr>
          <w:p w14:paraId="43E3B1F8">
            <w:pPr>
              <w:pStyle w:val="276"/>
              <w:ind w:firstLine="0" w:firstLineChars="0"/>
              <w:rPr>
                <w:rFonts w:ascii="Times New Roman" w:hAnsi="Times New Roman" w:eastAsia="宋体" w:cs="Times New Roman"/>
                <w:color w:val="auto"/>
                <w:kern w:val="2"/>
                <w:sz w:val="21"/>
                <w:szCs w:val="21"/>
                <w:lang w:val="en-US" w:eastAsia="zh-CN" w:bidi="ar-SA"/>
              </w:rPr>
            </w:pPr>
            <w:r>
              <w:rPr>
                <w:rFonts w:hint="eastAsia"/>
                <w:color w:val="auto"/>
                <w:lang w:val="en-US" w:eastAsia="zh-CN"/>
              </w:rPr>
              <w:t>/</w:t>
            </w:r>
          </w:p>
        </w:tc>
        <w:tc>
          <w:tcPr>
            <w:tcW w:w="292" w:type="pct"/>
            <w:shd w:val="clear" w:color="auto" w:fill="auto"/>
            <w:vAlign w:val="center"/>
          </w:tcPr>
          <w:p w14:paraId="2F8F1627">
            <w:pPr>
              <w:pStyle w:val="276"/>
              <w:rPr>
                <w:color w:val="auto"/>
              </w:rPr>
            </w:pPr>
            <w:r>
              <w:rPr>
                <w:rFonts w:hint="eastAsia"/>
                <w:color w:val="auto"/>
              </w:rPr>
              <w:t>1</w:t>
            </w:r>
          </w:p>
        </w:tc>
      </w:tr>
    </w:tbl>
    <w:p w14:paraId="0AFAC3A7">
      <w:pPr>
        <w:widowControl/>
        <w:adjustRightInd/>
        <w:snapToGrid/>
        <w:spacing w:line="348" w:lineRule="auto"/>
        <w:ind w:firstLine="482" w:firstLineChars="0"/>
        <w:rPr>
          <w:b/>
          <w:color w:val="auto"/>
          <w:sz w:val="21"/>
          <w:szCs w:val="21"/>
        </w:rPr>
      </w:pPr>
      <w:r>
        <w:rPr>
          <w:rFonts w:hAnsi="宋体"/>
          <w:bCs/>
          <w:color w:val="auto"/>
          <w:sz w:val="18"/>
          <w:szCs w:val="18"/>
        </w:rPr>
        <w:t>注：</w:t>
      </w:r>
      <w:r>
        <w:rPr>
          <w:bCs/>
          <w:color w:val="auto"/>
          <w:sz w:val="18"/>
          <w:szCs w:val="18"/>
        </w:rPr>
        <w:t>“L”</w:t>
      </w:r>
      <w:r>
        <w:rPr>
          <w:rFonts w:hAnsi="宋体"/>
          <w:bCs/>
          <w:color w:val="auto"/>
          <w:sz w:val="18"/>
          <w:szCs w:val="18"/>
        </w:rPr>
        <w:t>表示检测值低于方法检出限值，报出值为检出限值。</w:t>
      </w:r>
    </w:p>
    <w:p w14:paraId="7B304A3E">
      <w:pPr>
        <w:spacing w:line="360" w:lineRule="auto"/>
        <w:ind w:firstLine="480"/>
        <w:rPr>
          <w:color w:val="auto"/>
        </w:rPr>
      </w:pPr>
    </w:p>
    <w:p w14:paraId="0AD45EA0">
      <w:pPr>
        <w:spacing w:line="360" w:lineRule="auto"/>
        <w:ind w:firstLine="480"/>
        <w:rPr>
          <w:color w:val="auto"/>
        </w:rPr>
      </w:pPr>
      <w:r>
        <w:rPr>
          <w:color w:val="auto"/>
        </w:rPr>
        <w:br w:type="page"/>
      </w:r>
    </w:p>
    <w:p w14:paraId="594AB464">
      <w:pPr>
        <w:ind w:firstLine="480"/>
        <w:rPr>
          <w:color w:val="auto"/>
        </w:rPr>
        <w:sectPr>
          <w:pgSz w:w="16838" w:h="11906" w:orient="landscape"/>
          <w:pgMar w:top="1418" w:right="1418" w:bottom="1418" w:left="1418" w:header="851" w:footer="992" w:gutter="0"/>
          <w:pgBorders>
            <w:top w:val="none" w:sz="0" w:space="0"/>
            <w:left w:val="none" w:sz="0" w:space="0"/>
            <w:bottom w:val="none" w:sz="0" w:space="0"/>
            <w:right w:val="none" w:sz="0" w:space="0"/>
          </w:pgBorders>
          <w:cols w:space="425" w:num="1"/>
          <w:docGrid w:linePitch="326" w:charSpace="0"/>
        </w:sectPr>
      </w:pPr>
    </w:p>
    <w:p w14:paraId="05598307">
      <w:pPr>
        <w:pStyle w:val="5"/>
        <w:numPr>
          <w:ilvl w:val="0"/>
          <w:numId w:val="0"/>
        </w:numPr>
        <w:spacing w:line="360" w:lineRule="auto"/>
        <w:jc w:val="left"/>
        <w:rPr>
          <w:color w:val="auto"/>
        </w:rPr>
      </w:pPr>
      <w:bookmarkStart w:id="206" w:name="_Toc432775375"/>
      <w:bookmarkStart w:id="207" w:name="_Toc432775528"/>
      <w:bookmarkStart w:id="208" w:name="_Toc436048380"/>
      <w:bookmarkStart w:id="209" w:name="_Toc430877378"/>
      <w:bookmarkStart w:id="210" w:name="_Toc430877204"/>
      <w:r>
        <w:rPr>
          <w:rFonts w:hint="eastAsia"/>
          <w:color w:val="auto"/>
        </w:rPr>
        <w:t>4</w:t>
      </w:r>
      <w:r>
        <w:rPr>
          <w:color w:val="auto"/>
        </w:rPr>
        <w:t>.2.4声环境质量现状评价</w:t>
      </w:r>
      <w:bookmarkEnd w:id="201"/>
      <w:bookmarkEnd w:id="202"/>
      <w:bookmarkEnd w:id="203"/>
      <w:bookmarkEnd w:id="206"/>
      <w:bookmarkEnd w:id="207"/>
      <w:bookmarkEnd w:id="208"/>
      <w:bookmarkEnd w:id="209"/>
      <w:bookmarkEnd w:id="210"/>
    </w:p>
    <w:p w14:paraId="00AD3133">
      <w:pPr>
        <w:spacing w:line="360" w:lineRule="auto"/>
        <w:ind w:firstLine="480"/>
        <w:rPr>
          <w:color w:val="auto"/>
        </w:rPr>
      </w:pPr>
      <w:bookmarkStart w:id="211" w:name="_Toc432775376"/>
      <w:bookmarkStart w:id="212" w:name="_Toc430877205"/>
      <w:r>
        <w:rPr>
          <w:rFonts w:hint="eastAsia"/>
          <w:color w:val="auto"/>
        </w:rPr>
        <w:t>本次评价委托</w:t>
      </w:r>
      <w:r>
        <w:rPr>
          <w:rFonts w:hint="eastAsia"/>
          <w:color w:val="auto"/>
          <w:szCs w:val="24"/>
        </w:rPr>
        <w:t>重庆国环环境监测有限公司</w:t>
      </w:r>
      <w:r>
        <w:rPr>
          <w:color w:val="auto"/>
        </w:rPr>
        <w:t>对</w:t>
      </w:r>
      <w:r>
        <w:rPr>
          <w:rFonts w:hint="eastAsia"/>
          <w:color w:val="auto"/>
        </w:rPr>
        <w:t>拟建项目场界进行声环境质量现状监测。</w:t>
      </w:r>
    </w:p>
    <w:p w14:paraId="2EABE8F6">
      <w:pPr>
        <w:spacing w:line="360" w:lineRule="auto"/>
        <w:ind w:firstLine="480"/>
        <w:rPr>
          <w:color w:val="auto"/>
        </w:rPr>
      </w:pPr>
      <w:r>
        <w:rPr>
          <w:rFonts w:hint="eastAsia"/>
          <w:color w:val="auto"/>
        </w:rPr>
        <w:t>（1）监测点位：设</w:t>
      </w:r>
      <w:r>
        <w:rPr>
          <w:color w:val="auto"/>
        </w:rPr>
        <w:t>2</w:t>
      </w:r>
      <w:r>
        <w:rPr>
          <w:rFonts w:hint="eastAsia"/>
          <w:color w:val="auto"/>
        </w:rPr>
        <w:t>个监测点位，东南侧、西侧、北侧等厂界。</w:t>
      </w:r>
    </w:p>
    <w:p w14:paraId="5F620B7D">
      <w:pPr>
        <w:spacing w:line="360" w:lineRule="auto"/>
        <w:ind w:firstLine="480"/>
        <w:rPr>
          <w:color w:val="auto"/>
        </w:rPr>
      </w:pPr>
      <w:r>
        <w:rPr>
          <w:rFonts w:hint="eastAsia"/>
          <w:color w:val="auto"/>
        </w:rPr>
        <w:t>（2）监测因子：昼、夜等效A声级。</w:t>
      </w:r>
    </w:p>
    <w:p w14:paraId="1BFD1645">
      <w:pPr>
        <w:spacing w:line="360" w:lineRule="auto"/>
        <w:ind w:firstLine="480"/>
        <w:rPr>
          <w:color w:val="auto"/>
        </w:rPr>
      </w:pPr>
      <w:r>
        <w:rPr>
          <w:rFonts w:hint="eastAsia"/>
          <w:color w:val="auto"/>
        </w:rPr>
        <w:t>（3）监测时间：202</w:t>
      </w:r>
      <w:r>
        <w:rPr>
          <w:rFonts w:hint="eastAsia"/>
          <w:color w:val="auto"/>
          <w:lang w:val="en-US" w:eastAsia="zh-CN"/>
        </w:rPr>
        <w:t>5</w:t>
      </w:r>
      <w:r>
        <w:rPr>
          <w:rFonts w:hint="eastAsia"/>
          <w:color w:val="auto"/>
        </w:rPr>
        <w:t>年</w:t>
      </w:r>
      <w:r>
        <w:rPr>
          <w:rFonts w:hint="eastAsia"/>
          <w:color w:val="auto"/>
          <w:lang w:val="en-US" w:eastAsia="zh-CN"/>
        </w:rPr>
        <w:t>8</w:t>
      </w:r>
      <w:r>
        <w:rPr>
          <w:rFonts w:hint="eastAsia"/>
          <w:color w:val="auto"/>
        </w:rPr>
        <w:t>月</w:t>
      </w:r>
      <w:r>
        <w:rPr>
          <w:rFonts w:hint="eastAsia"/>
          <w:color w:val="auto"/>
          <w:lang w:val="en-US" w:eastAsia="zh-CN"/>
        </w:rPr>
        <w:t>29</w:t>
      </w:r>
      <w:r>
        <w:rPr>
          <w:rFonts w:hint="eastAsia"/>
          <w:color w:val="auto"/>
        </w:rPr>
        <w:t>日</w:t>
      </w:r>
      <w:r>
        <w:rPr>
          <w:rFonts w:hint="eastAsia"/>
          <w:color w:val="auto"/>
          <w:lang w:eastAsia="zh-CN"/>
        </w:rPr>
        <w:t>—</w:t>
      </w:r>
      <w:r>
        <w:rPr>
          <w:rFonts w:hint="eastAsia"/>
          <w:color w:val="auto"/>
          <w:lang w:val="en-US" w:eastAsia="zh-CN"/>
        </w:rPr>
        <w:t>8</w:t>
      </w:r>
      <w:r>
        <w:rPr>
          <w:rFonts w:hint="eastAsia"/>
          <w:color w:val="auto"/>
        </w:rPr>
        <w:t>月</w:t>
      </w:r>
      <w:r>
        <w:rPr>
          <w:color w:val="auto"/>
        </w:rPr>
        <w:t>3</w:t>
      </w:r>
      <w:r>
        <w:rPr>
          <w:rFonts w:hint="eastAsia"/>
          <w:color w:val="auto"/>
          <w:lang w:val="en-US" w:eastAsia="zh-CN"/>
        </w:rPr>
        <w:t>0</w:t>
      </w:r>
      <w:r>
        <w:rPr>
          <w:rFonts w:hint="eastAsia"/>
          <w:color w:val="auto"/>
        </w:rPr>
        <w:t>日。</w:t>
      </w:r>
    </w:p>
    <w:p w14:paraId="738E7416">
      <w:pPr>
        <w:spacing w:line="360" w:lineRule="auto"/>
        <w:ind w:firstLine="480"/>
        <w:rPr>
          <w:color w:val="auto"/>
        </w:rPr>
      </w:pPr>
      <w:r>
        <w:rPr>
          <w:rFonts w:hint="eastAsia"/>
          <w:color w:val="auto"/>
        </w:rPr>
        <w:t>（4）采样频率：连续监测2天，每天昼、夜各监测1次。</w:t>
      </w:r>
    </w:p>
    <w:p w14:paraId="1D139961">
      <w:pPr>
        <w:spacing w:line="360" w:lineRule="auto"/>
        <w:ind w:firstLine="480"/>
        <w:rPr>
          <w:color w:val="auto"/>
        </w:rPr>
      </w:pPr>
      <w:r>
        <w:rPr>
          <w:rFonts w:hint="eastAsia"/>
          <w:color w:val="auto"/>
        </w:rPr>
        <w:t>（5）监测分析方法：根据GB 3036-2008进行监测分析。</w:t>
      </w:r>
    </w:p>
    <w:p w14:paraId="5C7BD637">
      <w:pPr>
        <w:spacing w:line="360" w:lineRule="auto"/>
        <w:ind w:firstLine="480"/>
        <w:rPr>
          <w:color w:val="auto"/>
        </w:rPr>
      </w:pPr>
      <w:r>
        <w:rPr>
          <w:rFonts w:hint="eastAsia"/>
          <w:color w:val="auto"/>
        </w:rPr>
        <w:t>（6）评价方法</w:t>
      </w:r>
    </w:p>
    <w:p w14:paraId="0ED921B8">
      <w:pPr>
        <w:spacing w:line="360" w:lineRule="auto"/>
        <w:ind w:firstLine="480"/>
        <w:rPr>
          <w:color w:val="auto"/>
        </w:rPr>
      </w:pPr>
      <w:r>
        <w:rPr>
          <w:rFonts w:hint="eastAsia"/>
          <w:color w:val="auto"/>
        </w:rPr>
        <w:t>根据《</w:t>
      </w:r>
      <w:r>
        <w:rPr>
          <w:color w:val="auto"/>
          <w:szCs w:val="24"/>
        </w:rPr>
        <w:t>环境影响评价技术导则 声环境》（HJ2.4-2021）</w:t>
      </w:r>
      <w:r>
        <w:rPr>
          <w:rFonts w:hint="eastAsia"/>
          <w:color w:val="auto"/>
        </w:rPr>
        <w:t>进行评价。</w:t>
      </w:r>
    </w:p>
    <w:p w14:paraId="3A482A7E">
      <w:pPr>
        <w:spacing w:line="360" w:lineRule="auto"/>
        <w:ind w:firstLine="480"/>
        <w:rPr>
          <w:color w:val="auto"/>
        </w:rPr>
      </w:pPr>
      <w:r>
        <w:rPr>
          <w:rFonts w:hint="eastAsia"/>
          <w:color w:val="auto"/>
        </w:rPr>
        <w:t>（7）评价标准</w:t>
      </w:r>
    </w:p>
    <w:p w14:paraId="10F9C9E5">
      <w:pPr>
        <w:spacing w:line="360" w:lineRule="auto"/>
        <w:ind w:firstLine="480"/>
        <w:rPr>
          <w:color w:val="auto"/>
        </w:rPr>
      </w:pPr>
      <w:r>
        <w:rPr>
          <w:rFonts w:hint="eastAsia"/>
          <w:color w:val="auto"/>
          <w:lang w:eastAsia="zh-CN"/>
        </w:rPr>
        <w:t>场界处</w:t>
      </w:r>
      <w:r>
        <w:rPr>
          <w:rFonts w:hint="eastAsia"/>
          <w:color w:val="auto"/>
        </w:rPr>
        <w:t>执行《声环境质量标准》（GB 3096-2008）</w:t>
      </w:r>
      <w:r>
        <w:rPr>
          <w:color w:val="auto"/>
        </w:rPr>
        <w:t>中的</w:t>
      </w:r>
      <w:r>
        <w:rPr>
          <w:rFonts w:hint="eastAsia"/>
          <w:color w:val="auto"/>
        </w:rPr>
        <w:t>3</w:t>
      </w:r>
      <w:r>
        <w:rPr>
          <w:color w:val="auto"/>
        </w:rPr>
        <w:t>类标准</w:t>
      </w:r>
      <w:r>
        <w:rPr>
          <w:rFonts w:hint="eastAsia"/>
          <w:color w:val="auto"/>
          <w:lang w:eastAsia="zh-CN"/>
        </w:rPr>
        <w:t>，声环境保护目标处执行</w:t>
      </w:r>
      <w:r>
        <w:rPr>
          <w:rFonts w:hint="eastAsia"/>
          <w:color w:val="auto"/>
        </w:rPr>
        <w:t>《声环境质量标准》（GB 3096-2008）</w:t>
      </w:r>
      <w:r>
        <w:rPr>
          <w:color w:val="auto"/>
        </w:rPr>
        <w:t>中的</w:t>
      </w:r>
      <w:r>
        <w:rPr>
          <w:rFonts w:hint="eastAsia"/>
          <w:color w:val="auto"/>
          <w:lang w:val="en-US" w:eastAsia="zh-CN"/>
        </w:rPr>
        <w:t>2</w:t>
      </w:r>
      <w:r>
        <w:rPr>
          <w:color w:val="auto"/>
        </w:rPr>
        <w:t>类标准</w:t>
      </w:r>
      <w:r>
        <w:rPr>
          <w:rFonts w:hint="eastAsia"/>
          <w:color w:val="auto"/>
        </w:rPr>
        <w:t>。</w:t>
      </w:r>
    </w:p>
    <w:p w14:paraId="44CFD833">
      <w:pPr>
        <w:spacing w:line="360" w:lineRule="auto"/>
        <w:ind w:firstLine="480"/>
        <w:rPr>
          <w:color w:val="auto"/>
        </w:rPr>
      </w:pPr>
      <w:r>
        <w:rPr>
          <w:rFonts w:hint="eastAsia"/>
          <w:color w:val="auto"/>
        </w:rPr>
        <w:t>（8）评价结果</w:t>
      </w:r>
    </w:p>
    <w:p w14:paraId="69EEDA20">
      <w:pPr>
        <w:spacing w:line="360" w:lineRule="auto"/>
        <w:ind w:firstLine="480"/>
        <w:rPr>
          <w:color w:val="auto"/>
        </w:rPr>
      </w:pPr>
      <w:r>
        <w:rPr>
          <w:rFonts w:hint="eastAsia"/>
          <w:color w:val="auto"/>
        </w:rPr>
        <w:t>项目声环境质量现状统计及评价详见表</w:t>
      </w:r>
      <w:r>
        <w:rPr>
          <w:color w:val="auto"/>
        </w:rPr>
        <w:t>4.2-</w:t>
      </w:r>
      <w:r>
        <w:rPr>
          <w:rFonts w:hint="eastAsia"/>
          <w:color w:val="auto"/>
        </w:rPr>
        <w:t>8。</w:t>
      </w:r>
    </w:p>
    <w:p w14:paraId="2E2ECC67">
      <w:pPr>
        <w:adjustRightInd/>
        <w:snapToGrid/>
        <w:spacing w:line="240" w:lineRule="auto"/>
        <w:ind w:firstLine="0" w:firstLineChars="0"/>
        <w:jc w:val="center"/>
        <w:rPr>
          <w:rFonts w:eastAsiaTheme="minorEastAsia"/>
          <w:b/>
          <w:color w:val="auto"/>
          <w:szCs w:val="24"/>
        </w:rPr>
      </w:pPr>
      <w:r>
        <w:rPr>
          <w:rFonts w:eastAsiaTheme="minorEastAsia"/>
          <w:b/>
          <w:color w:val="auto"/>
          <w:szCs w:val="24"/>
        </w:rPr>
        <w:t>表4.2-</w:t>
      </w:r>
      <w:r>
        <w:rPr>
          <w:rFonts w:hint="eastAsia" w:eastAsiaTheme="minorEastAsia"/>
          <w:b/>
          <w:color w:val="auto"/>
          <w:szCs w:val="24"/>
        </w:rPr>
        <w:t xml:space="preserve">8  </w:t>
      </w:r>
      <w:r>
        <w:rPr>
          <w:rFonts w:eastAsiaTheme="minorEastAsia"/>
          <w:b/>
          <w:color w:val="auto"/>
          <w:szCs w:val="24"/>
        </w:rPr>
        <w:t>项目声环境质量现状统计及评价单位：dB（A）</w:t>
      </w:r>
    </w:p>
    <w:tbl>
      <w:tblPr>
        <w:tblStyle w:val="88"/>
        <w:tblW w:w="9286"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28"/>
        <w:gridCol w:w="2711"/>
        <w:gridCol w:w="1134"/>
        <w:gridCol w:w="1134"/>
        <w:gridCol w:w="1276"/>
        <w:gridCol w:w="1134"/>
        <w:gridCol w:w="1069"/>
      </w:tblGrid>
      <w:tr w14:paraId="3F53BE1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3539" w:type="dxa"/>
            <w:gridSpan w:val="2"/>
            <w:vMerge w:val="restart"/>
            <w:vAlign w:val="center"/>
          </w:tcPr>
          <w:p w14:paraId="0107547D">
            <w:pPr>
              <w:adjustRightInd/>
              <w:snapToGrid/>
              <w:spacing w:line="320" w:lineRule="exact"/>
              <w:ind w:firstLine="0" w:firstLineChars="0"/>
              <w:jc w:val="center"/>
              <w:textAlignment w:val="center"/>
              <w:rPr>
                <w:rFonts w:eastAsiaTheme="minorEastAsia"/>
                <w:color w:val="auto"/>
                <w:sz w:val="21"/>
                <w:szCs w:val="21"/>
              </w:rPr>
            </w:pPr>
            <w:r>
              <w:rPr>
                <w:rFonts w:hint="eastAsia" w:eastAsiaTheme="minorEastAsia"/>
                <w:color w:val="auto"/>
                <w:sz w:val="21"/>
                <w:szCs w:val="21"/>
              </w:rPr>
              <w:t>监测点位</w:t>
            </w:r>
          </w:p>
        </w:tc>
        <w:tc>
          <w:tcPr>
            <w:tcW w:w="2268" w:type="dxa"/>
            <w:gridSpan w:val="2"/>
            <w:vAlign w:val="center"/>
          </w:tcPr>
          <w:p w14:paraId="7947FC6A">
            <w:pPr>
              <w:adjustRightInd/>
              <w:snapToGrid/>
              <w:spacing w:line="320" w:lineRule="exact"/>
              <w:ind w:firstLine="0" w:firstLineChars="0"/>
              <w:jc w:val="center"/>
              <w:textAlignment w:val="center"/>
              <w:rPr>
                <w:rFonts w:eastAsiaTheme="minorEastAsia"/>
                <w:color w:val="auto"/>
                <w:sz w:val="21"/>
                <w:szCs w:val="21"/>
              </w:rPr>
            </w:pPr>
            <w:r>
              <w:rPr>
                <w:rFonts w:hint="eastAsia" w:eastAsiaTheme="minorEastAsia"/>
                <w:color w:val="auto"/>
                <w:sz w:val="21"/>
                <w:szCs w:val="21"/>
              </w:rPr>
              <w:t>监测结果</w:t>
            </w:r>
          </w:p>
        </w:tc>
        <w:tc>
          <w:tcPr>
            <w:tcW w:w="2410" w:type="dxa"/>
            <w:gridSpan w:val="2"/>
            <w:vAlign w:val="center"/>
          </w:tcPr>
          <w:p w14:paraId="62B9AC93">
            <w:pPr>
              <w:adjustRightInd/>
              <w:snapToGrid/>
              <w:spacing w:line="320" w:lineRule="exact"/>
              <w:ind w:firstLine="0" w:firstLineChars="0"/>
              <w:jc w:val="center"/>
              <w:textAlignment w:val="center"/>
              <w:rPr>
                <w:rFonts w:eastAsiaTheme="minorEastAsia"/>
                <w:color w:val="auto"/>
                <w:sz w:val="21"/>
                <w:szCs w:val="21"/>
              </w:rPr>
            </w:pPr>
            <w:r>
              <w:rPr>
                <w:rFonts w:hint="eastAsia" w:eastAsiaTheme="minorEastAsia"/>
                <w:color w:val="auto"/>
                <w:sz w:val="21"/>
                <w:szCs w:val="21"/>
              </w:rPr>
              <w:t>评价标准</w:t>
            </w:r>
          </w:p>
        </w:tc>
        <w:tc>
          <w:tcPr>
            <w:tcW w:w="1069" w:type="dxa"/>
            <w:vMerge w:val="restart"/>
            <w:vAlign w:val="center"/>
          </w:tcPr>
          <w:p w14:paraId="1B46D268">
            <w:pPr>
              <w:adjustRightInd/>
              <w:snapToGrid/>
              <w:spacing w:line="320" w:lineRule="exact"/>
              <w:ind w:firstLine="0" w:firstLineChars="0"/>
              <w:jc w:val="center"/>
              <w:textAlignment w:val="center"/>
              <w:rPr>
                <w:rFonts w:eastAsiaTheme="minorEastAsia"/>
                <w:color w:val="auto"/>
                <w:sz w:val="21"/>
                <w:szCs w:val="21"/>
              </w:rPr>
            </w:pPr>
            <w:r>
              <w:rPr>
                <w:rFonts w:hint="eastAsia" w:eastAsiaTheme="minorEastAsia"/>
                <w:color w:val="auto"/>
                <w:sz w:val="21"/>
                <w:szCs w:val="21"/>
              </w:rPr>
              <w:t>达标情况</w:t>
            </w:r>
          </w:p>
        </w:tc>
      </w:tr>
      <w:tr w14:paraId="7983345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3539" w:type="dxa"/>
            <w:gridSpan w:val="2"/>
            <w:vMerge w:val="continue"/>
            <w:vAlign w:val="center"/>
          </w:tcPr>
          <w:p w14:paraId="590C89CF">
            <w:pPr>
              <w:adjustRightInd/>
              <w:snapToGrid/>
              <w:spacing w:line="320" w:lineRule="exact"/>
              <w:ind w:firstLine="0" w:firstLineChars="0"/>
              <w:jc w:val="center"/>
              <w:textAlignment w:val="center"/>
              <w:rPr>
                <w:rFonts w:eastAsiaTheme="minorEastAsia"/>
                <w:color w:val="auto"/>
                <w:sz w:val="21"/>
                <w:szCs w:val="21"/>
              </w:rPr>
            </w:pPr>
          </w:p>
        </w:tc>
        <w:tc>
          <w:tcPr>
            <w:tcW w:w="1134" w:type="dxa"/>
            <w:vAlign w:val="center"/>
          </w:tcPr>
          <w:p w14:paraId="4DB85173">
            <w:pPr>
              <w:adjustRightInd/>
              <w:snapToGrid/>
              <w:spacing w:line="320" w:lineRule="exact"/>
              <w:ind w:firstLine="0" w:firstLineChars="0"/>
              <w:jc w:val="center"/>
              <w:textAlignment w:val="center"/>
              <w:rPr>
                <w:rFonts w:eastAsiaTheme="minorEastAsia"/>
                <w:color w:val="auto"/>
                <w:sz w:val="21"/>
                <w:szCs w:val="21"/>
              </w:rPr>
            </w:pPr>
            <w:r>
              <w:rPr>
                <w:rFonts w:hint="eastAsia" w:eastAsiaTheme="minorEastAsia"/>
                <w:color w:val="auto"/>
                <w:sz w:val="21"/>
                <w:szCs w:val="21"/>
              </w:rPr>
              <w:t>昼间</w:t>
            </w:r>
          </w:p>
        </w:tc>
        <w:tc>
          <w:tcPr>
            <w:tcW w:w="1134" w:type="dxa"/>
            <w:vAlign w:val="center"/>
          </w:tcPr>
          <w:p w14:paraId="43407605">
            <w:pPr>
              <w:adjustRightInd/>
              <w:snapToGrid/>
              <w:spacing w:line="320" w:lineRule="exact"/>
              <w:ind w:firstLine="0" w:firstLineChars="0"/>
              <w:jc w:val="center"/>
              <w:textAlignment w:val="center"/>
              <w:rPr>
                <w:rFonts w:eastAsiaTheme="minorEastAsia"/>
                <w:color w:val="auto"/>
                <w:sz w:val="21"/>
                <w:szCs w:val="21"/>
              </w:rPr>
            </w:pPr>
            <w:r>
              <w:rPr>
                <w:rFonts w:hint="eastAsia" w:eastAsiaTheme="minorEastAsia"/>
                <w:color w:val="auto"/>
                <w:sz w:val="21"/>
                <w:szCs w:val="21"/>
              </w:rPr>
              <w:t>夜间</w:t>
            </w:r>
          </w:p>
        </w:tc>
        <w:tc>
          <w:tcPr>
            <w:tcW w:w="1276" w:type="dxa"/>
            <w:vAlign w:val="center"/>
          </w:tcPr>
          <w:p w14:paraId="07371F40">
            <w:pPr>
              <w:adjustRightInd/>
              <w:snapToGrid/>
              <w:spacing w:line="320" w:lineRule="exact"/>
              <w:ind w:firstLine="0" w:firstLineChars="0"/>
              <w:jc w:val="center"/>
              <w:textAlignment w:val="center"/>
              <w:rPr>
                <w:rFonts w:eastAsiaTheme="minorEastAsia"/>
                <w:color w:val="auto"/>
                <w:sz w:val="21"/>
                <w:szCs w:val="21"/>
              </w:rPr>
            </w:pPr>
            <w:r>
              <w:rPr>
                <w:rFonts w:hint="eastAsia" w:eastAsiaTheme="minorEastAsia"/>
                <w:color w:val="auto"/>
                <w:sz w:val="21"/>
                <w:szCs w:val="21"/>
              </w:rPr>
              <w:t>昼间</w:t>
            </w:r>
          </w:p>
        </w:tc>
        <w:tc>
          <w:tcPr>
            <w:tcW w:w="1134" w:type="dxa"/>
            <w:vAlign w:val="center"/>
          </w:tcPr>
          <w:p w14:paraId="0D3AF1F8">
            <w:pPr>
              <w:adjustRightInd/>
              <w:snapToGrid/>
              <w:spacing w:line="320" w:lineRule="exact"/>
              <w:ind w:firstLine="0" w:firstLineChars="0"/>
              <w:jc w:val="center"/>
              <w:textAlignment w:val="center"/>
              <w:rPr>
                <w:rFonts w:eastAsiaTheme="minorEastAsia"/>
                <w:color w:val="auto"/>
                <w:sz w:val="21"/>
                <w:szCs w:val="21"/>
              </w:rPr>
            </w:pPr>
            <w:r>
              <w:rPr>
                <w:rFonts w:hint="eastAsia" w:eastAsiaTheme="minorEastAsia"/>
                <w:color w:val="auto"/>
                <w:sz w:val="21"/>
                <w:szCs w:val="21"/>
              </w:rPr>
              <w:t>夜间</w:t>
            </w:r>
          </w:p>
        </w:tc>
        <w:tc>
          <w:tcPr>
            <w:tcW w:w="1069" w:type="dxa"/>
            <w:vMerge w:val="continue"/>
            <w:vAlign w:val="center"/>
          </w:tcPr>
          <w:p w14:paraId="7FD29A08">
            <w:pPr>
              <w:adjustRightInd/>
              <w:snapToGrid/>
              <w:spacing w:line="320" w:lineRule="exact"/>
              <w:ind w:firstLine="0" w:firstLineChars="0"/>
              <w:jc w:val="center"/>
              <w:textAlignment w:val="center"/>
              <w:rPr>
                <w:rFonts w:eastAsiaTheme="minorEastAsia"/>
                <w:color w:val="auto"/>
                <w:sz w:val="21"/>
                <w:szCs w:val="21"/>
              </w:rPr>
            </w:pPr>
          </w:p>
        </w:tc>
      </w:tr>
      <w:tr w14:paraId="061B470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28" w:type="dxa"/>
            <w:vMerge w:val="restart"/>
            <w:vAlign w:val="center"/>
          </w:tcPr>
          <w:p w14:paraId="5169418D">
            <w:pPr>
              <w:adjustRightInd/>
              <w:snapToGrid/>
              <w:spacing w:line="320" w:lineRule="exact"/>
              <w:ind w:firstLine="0" w:firstLineChars="0"/>
              <w:jc w:val="center"/>
              <w:textAlignment w:val="center"/>
              <w:rPr>
                <w:rFonts w:hint="default" w:eastAsiaTheme="minorEastAsia"/>
                <w:color w:val="auto"/>
                <w:sz w:val="21"/>
                <w:szCs w:val="21"/>
                <w:lang w:val="en-US" w:eastAsia="zh-CN"/>
              </w:rPr>
            </w:pPr>
            <w:r>
              <w:rPr>
                <w:rFonts w:hint="eastAsia" w:eastAsiaTheme="minorEastAsia"/>
                <w:color w:val="auto"/>
                <w:sz w:val="21"/>
                <w:szCs w:val="21"/>
              </w:rPr>
              <w:t>202</w:t>
            </w:r>
            <w:r>
              <w:rPr>
                <w:rFonts w:hint="eastAsia" w:eastAsiaTheme="minorEastAsia"/>
                <w:color w:val="auto"/>
                <w:sz w:val="21"/>
                <w:szCs w:val="21"/>
                <w:lang w:val="en-US" w:eastAsia="zh-CN"/>
              </w:rPr>
              <w:t>5</w:t>
            </w:r>
            <w:r>
              <w:rPr>
                <w:rFonts w:hint="eastAsia" w:eastAsiaTheme="minorEastAsia"/>
                <w:color w:val="auto"/>
                <w:sz w:val="21"/>
                <w:szCs w:val="21"/>
              </w:rPr>
              <w:t>.</w:t>
            </w:r>
            <w:r>
              <w:rPr>
                <w:rFonts w:hint="eastAsia" w:eastAsiaTheme="minorEastAsia"/>
                <w:color w:val="auto"/>
                <w:sz w:val="21"/>
                <w:szCs w:val="21"/>
                <w:lang w:val="en-US" w:eastAsia="zh-CN"/>
              </w:rPr>
              <w:t>8</w:t>
            </w:r>
            <w:r>
              <w:rPr>
                <w:rFonts w:hint="eastAsia" w:eastAsiaTheme="minorEastAsia"/>
                <w:color w:val="auto"/>
                <w:sz w:val="21"/>
                <w:szCs w:val="21"/>
              </w:rPr>
              <w:t>.</w:t>
            </w:r>
            <w:r>
              <w:rPr>
                <w:rFonts w:hint="eastAsia" w:eastAsiaTheme="minorEastAsia"/>
                <w:color w:val="auto"/>
                <w:sz w:val="21"/>
                <w:szCs w:val="21"/>
                <w:lang w:val="en-US" w:eastAsia="zh-CN"/>
              </w:rPr>
              <w:t>29</w:t>
            </w:r>
          </w:p>
        </w:tc>
        <w:tc>
          <w:tcPr>
            <w:tcW w:w="2711" w:type="dxa"/>
            <w:vAlign w:val="center"/>
          </w:tcPr>
          <w:p w14:paraId="6537C23A">
            <w:pPr>
              <w:adjustRightInd/>
              <w:snapToGrid/>
              <w:spacing w:line="320" w:lineRule="exact"/>
              <w:ind w:firstLine="0" w:firstLineChars="0"/>
              <w:jc w:val="center"/>
              <w:textAlignment w:val="center"/>
              <w:rPr>
                <w:rFonts w:eastAsiaTheme="minorEastAsia"/>
                <w:color w:val="auto"/>
                <w:sz w:val="21"/>
                <w:szCs w:val="21"/>
              </w:rPr>
            </w:pPr>
            <w:r>
              <w:rPr>
                <w:rFonts w:hint="eastAsia" w:eastAsiaTheme="minorEastAsia"/>
                <w:color w:val="auto"/>
                <w:sz w:val="21"/>
                <w:szCs w:val="21"/>
              </w:rPr>
              <w:t>东侧场界C1</w:t>
            </w:r>
          </w:p>
        </w:tc>
        <w:tc>
          <w:tcPr>
            <w:tcW w:w="1134" w:type="dxa"/>
            <w:vAlign w:val="center"/>
          </w:tcPr>
          <w:p w14:paraId="7EF1168D">
            <w:pPr>
              <w:adjustRightInd/>
              <w:snapToGrid/>
              <w:spacing w:line="320" w:lineRule="exact"/>
              <w:ind w:firstLine="0" w:firstLineChars="0"/>
              <w:jc w:val="center"/>
              <w:textAlignment w:val="center"/>
              <w:rPr>
                <w:rFonts w:eastAsiaTheme="minorEastAsia"/>
                <w:color w:val="auto"/>
                <w:sz w:val="21"/>
                <w:szCs w:val="21"/>
              </w:rPr>
            </w:pPr>
            <w:r>
              <w:rPr>
                <w:rFonts w:hint="eastAsia" w:eastAsiaTheme="minorEastAsia"/>
                <w:color w:val="auto"/>
                <w:sz w:val="21"/>
                <w:szCs w:val="21"/>
              </w:rPr>
              <w:t>54</w:t>
            </w:r>
          </w:p>
        </w:tc>
        <w:tc>
          <w:tcPr>
            <w:tcW w:w="1134" w:type="dxa"/>
            <w:vAlign w:val="center"/>
          </w:tcPr>
          <w:p w14:paraId="698B02E1">
            <w:pPr>
              <w:adjustRightInd/>
              <w:snapToGrid/>
              <w:spacing w:line="320" w:lineRule="exact"/>
              <w:ind w:firstLine="0" w:firstLineChars="0"/>
              <w:jc w:val="center"/>
              <w:textAlignment w:val="center"/>
              <w:rPr>
                <w:rFonts w:hint="default" w:eastAsiaTheme="minorEastAsia"/>
                <w:color w:val="auto"/>
                <w:sz w:val="21"/>
                <w:szCs w:val="21"/>
                <w:lang w:val="en-US" w:eastAsia="zh-CN"/>
              </w:rPr>
            </w:pPr>
            <w:r>
              <w:rPr>
                <w:rFonts w:hint="eastAsia" w:eastAsiaTheme="minorEastAsia"/>
                <w:color w:val="auto"/>
                <w:sz w:val="21"/>
                <w:szCs w:val="21"/>
                <w:lang w:val="en-US" w:eastAsia="zh-CN"/>
              </w:rPr>
              <w:t>49</w:t>
            </w:r>
          </w:p>
        </w:tc>
        <w:tc>
          <w:tcPr>
            <w:tcW w:w="1276" w:type="dxa"/>
            <w:vAlign w:val="center"/>
          </w:tcPr>
          <w:p w14:paraId="447E7B60">
            <w:pPr>
              <w:adjustRightInd/>
              <w:snapToGrid/>
              <w:spacing w:line="320" w:lineRule="exact"/>
              <w:ind w:firstLine="0" w:firstLineChars="0"/>
              <w:jc w:val="center"/>
              <w:textAlignment w:val="center"/>
              <w:rPr>
                <w:rFonts w:eastAsiaTheme="minorEastAsia"/>
                <w:color w:val="auto"/>
                <w:sz w:val="21"/>
                <w:szCs w:val="21"/>
              </w:rPr>
            </w:pPr>
            <w:r>
              <w:rPr>
                <w:rFonts w:hint="eastAsia" w:eastAsiaTheme="minorEastAsia"/>
                <w:color w:val="auto"/>
                <w:sz w:val="21"/>
                <w:szCs w:val="21"/>
              </w:rPr>
              <w:t>65</w:t>
            </w:r>
          </w:p>
        </w:tc>
        <w:tc>
          <w:tcPr>
            <w:tcW w:w="1134" w:type="dxa"/>
            <w:vAlign w:val="center"/>
          </w:tcPr>
          <w:p w14:paraId="4ACCCB26">
            <w:pPr>
              <w:adjustRightInd/>
              <w:snapToGrid/>
              <w:spacing w:line="320" w:lineRule="exact"/>
              <w:ind w:firstLine="0" w:firstLineChars="0"/>
              <w:jc w:val="center"/>
              <w:textAlignment w:val="center"/>
              <w:rPr>
                <w:rFonts w:eastAsiaTheme="minorEastAsia"/>
                <w:color w:val="auto"/>
                <w:sz w:val="21"/>
                <w:szCs w:val="21"/>
              </w:rPr>
            </w:pPr>
            <w:r>
              <w:rPr>
                <w:rFonts w:hint="eastAsia" w:eastAsiaTheme="minorEastAsia"/>
                <w:color w:val="auto"/>
                <w:sz w:val="21"/>
                <w:szCs w:val="21"/>
              </w:rPr>
              <w:t>55</w:t>
            </w:r>
          </w:p>
        </w:tc>
        <w:tc>
          <w:tcPr>
            <w:tcW w:w="1069" w:type="dxa"/>
            <w:vMerge w:val="restart"/>
            <w:vAlign w:val="center"/>
          </w:tcPr>
          <w:p w14:paraId="0A3EF445">
            <w:pPr>
              <w:adjustRightInd/>
              <w:snapToGrid/>
              <w:spacing w:line="320" w:lineRule="exact"/>
              <w:ind w:firstLine="0" w:firstLineChars="0"/>
              <w:jc w:val="center"/>
              <w:textAlignment w:val="center"/>
              <w:rPr>
                <w:rFonts w:eastAsiaTheme="minorEastAsia"/>
                <w:color w:val="auto"/>
                <w:sz w:val="21"/>
                <w:szCs w:val="21"/>
              </w:rPr>
            </w:pPr>
            <w:r>
              <w:rPr>
                <w:rFonts w:hint="eastAsia" w:eastAsiaTheme="minorEastAsia"/>
                <w:color w:val="auto"/>
                <w:sz w:val="21"/>
                <w:szCs w:val="21"/>
              </w:rPr>
              <w:t>达标</w:t>
            </w:r>
          </w:p>
        </w:tc>
      </w:tr>
      <w:tr w14:paraId="71862A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28" w:type="dxa"/>
            <w:vMerge w:val="continue"/>
            <w:vAlign w:val="center"/>
          </w:tcPr>
          <w:p w14:paraId="3663019F">
            <w:pPr>
              <w:adjustRightInd/>
              <w:snapToGrid/>
              <w:spacing w:line="320" w:lineRule="exact"/>
              <w:ind w:firstLine="0" w:firstLineChars="0"/>
              <w:jc w:val="center"/>
              <w:textAlignment w:val="center"/>
              <w:rPr>
                <w:rFonts w:hint="eastAsia" w:eastAsiaTheme="minorEastAsia"/>
                <w:color w:val="auto"/>
                <w:sz w:val="21"/>
                <w:szCs w:val="21"/>
              </w:rPr>
            </w:pPr>
          </w:p>
        </w:tc>
        <w:tc>
          <w:tcPr>
            <w:tcW w:w="2711" w:type="dxa"/>
            <w:vAlign w:val="center"/>
          </w:tcPr>
          <w:p w14:paraId="31532919">
            <w:pPr>
              <w:adjustRightInd/>
              <w:snapToGrid/>
              <w:spacing w:line="320" w:lineRule="exact"/>
              <w:ind w:firstLine="0" w:firstLineChars="0"/>
              <w:jc w:val="center"/>
              <w:textAlignment w:val="center"/>
              <w:rPr>
                <w:rFonts w:hint="eastAsia" w:eastAsiaTheme="minorEastAsia"/>
                <w:color w:val="auto"/>
                <w:sz w:val="21"/>
                <w:szCs w:val="21"/>
                <w:lang w:eastAsia="zh-CN"/>
              </w:rPr>
            </w:pPr>
            <w:r>
              <w:rPr>
                <w:rFonts w:hint="eastAsia" w:eastAsiaTheme="minorEastAsia"/>
                <w:color w:val="auto"/>
                <w:sz w:val="21"/>
                <w:szCs w:val="21"/>
              </w:rPr>
              <w:t>东侧场界C</w:t>
            </w:r>
            <w:r>
              <w:rPr>
                <w:rFonts w:hint="eastAsia" w:eastAsiaTheme="minorEastAsia"/>
                <w:color w:val="auto"/>
                <w:sz w:val="21"/>
                <w:szCs w:val="21"/>
                <w:lang w:val="en-US" w:eastAsia="zh-CN"/>
              </w:rPr>
              <w:t>2</w:t>
            </w:r>
          </w:p>
        </w:tc>
        <w:tc>
          <w:tcPr>
            <w:tcW w:w="1134" w:type="dxa"/>
            <w:vAlign w:val="center"/>
          </w:tcPr>
          <w:p w14:paraId="4FA98097">
            <w:pPr>
              <w:adjustRightInd/>
              <w:snapToGrid/>
              <w:spacing w:line="320" w:lineRule="exact"/>
              <w:ind w:firstLine="0" w:firstLineChars="0"/>
              <w:jc w:val="center"/>
              <w:textAlignment w:val="center"/>
              <w:rPr>
                <w:rFonts w:hint="default" w:eastAsiaTheme="minorEastAsia"/>
                <w:color w:val="auto"/>
                <w:sz w:val="21"/>
                <w:szCs w:val="21"/>
                <w:lang w:val="en-US" w:eastAsia="zh-CN"/>
              </w:rPr>
            </w:pPr>
            <w:r>
              <w:rPr>
                <w:rFonts w:hint="eastAsia" w:eastAsiaTheme="minorEastAsia"/>
                <w:color w:val="auto"/>
                <w:sz w:val="21"/>
                <w:szCs w:val="21"/>
                <w:lang w:val="en-US" w:eastAsia="zh-CN"/>
              </w:rPr>
              <w:t>55</w:t>
            </w:r>
          </w:p>
        </w:tc>
        <w:tc>
          <w:tcPr>
            <w:tcW w:w="1134" w:type="dxa"/>
            <w:vAlign w:val="center"/>
          </w:tcPr>
          <w:p w14:paraId="56605B6E">
            <w:pPr>
              <w:adjustRightInd/>
              <w:snapToGrid/>
              <w:spacing w:line="320" w:lineRule="exact"/>
              <w:ind w:firstLine="0" w:firstLineChars="0"/>
              <w:jc w:val="center"/>
              <w:textAlignment w:val="center"/>
              <w:rPr>
                <w:rFonts w:hint="default" w:eastAsiaTheme="minorEastAsia"/>
                <w:color w:val="auto"/>
                <w:sz w:val="21"/>
                <w:szCs w:val="21"/>
                <w:lang w:val="en-US" w:eastAsia="zh-CN"/>
              </w:rPr>
            </w:pPr>
            <w:r>
              <w:rPr>
                <w:rFonts w:hint="eastAsia" w:eastAsiaTheme="minorEastAsia"/>
                <w:color w:val="auto"/>
                <w:sz w:val="21"/>
                <w:szCs w:val="21"/>
                <w:lang w:val="en-US" w:eastAsia="zh-CN"/>
              </w:rPr>
              <w:t>47</w:t>
            </w:r>
          </w:p>
        </w:tc>
        <w:tc>
          <w:tcPr>
            <w:tcW w:w="1276" w:type="dxa"/>
            <w:shd w:val="clear" w:color="auto" w:fill="auto"/>
            <w:vAlign w:val="center"/>
          </w:tcPr>
          <w:p w14:paraId="34ACD865">
            <w:pPr>
              <w:adjustRightInd/>
              <w:snapToGrid/>
              <w:spacing w:line="320" w:lineRule="exact"/>
              <w:ind w:firstLine="0" w:firstLineChars="0"/>
              <w:jc w:val="center"/>
              <w:textAlignment w:val="center"/>
              <w:rPr>
                <w:rFonts w:hint="eastAsia" w:ascii="Times New Roman" w:hAnsi="Times New Roman" w:cs="Times New Roman" w:eastAsiaTheme="minorEastAsia"/>
                <w:color w:val="auto"/>
                <w:kern w:val="2"/>
                <w:sz w:val="21"/>
                <w:szCs w:val="21"/>
                <w:lang w:val="en-US" w:eastAsia="zh-CN" w:bidi="ar-SA"/>
              </w:rPr>
            </w:pPr>
            <w:r>
              <w:rPr>
                <w:rFonts w:hint="eastAsia" w:eastAsiaTheme="minorEastAsia"/>
                <w:color w:val="auto"/>
                <w:sz w:val="21"/>
                <w:szCs w:val="21"/>
              </w:rPr>
              <w:t>65</w:t>
            </w:r>
          </w:p>
        </w:tc>
        <w:tc>
          <w:tcPr>
            <w:tcW w:w="1134" w:type="dxa"/>
            <w:shd w:val="clear" w:color="auto" w:fill="auto"/>
            <w:vAlign w:val="center"/>
          </w:tcPr>
          <w:p w14:paraId="281B9CAB">
            <w:pPr>
              <w:adjustRightInd/>
              <w:snapToGrid/>
              <w:spacing w:line="320" w:lineRule="exact"/>
              <w:ind w:firstLine="0" w:firstLineChars="0"/>
              <w:jc w:val="center"/>
              <w:textAlignment w:val="center"/>
              <w:rPr>
                <w:rFonts w:hint="eastAsia" w:ascii="Times New Roman" w:hAnsi="Times New Roman" w:cs="Times New Roman" w:eastAsiaTheme="minorEastAsia"/>
                <w:color w:val="auto"/>
                <w:kern w:val="2"/>
                <w:sz w:val="21"/>
                <w:szCs w:val="21"/>
                <w:lang w:val="en-US" w:eastAsia="zh-CN" w:bidi="ar-SA"/>
              </w:rPr>
            </w:pPr>
            <w:r>
              <w:rPr>
                <w:rFonts w:hint="eastAsia" w:eastAsiaTheme="minorEastAsia"/>
                <w:color w:val="auto"/>
                <w:sz w:val="21"/>
                <w:szCs w:val="21"/>
              </w:rPr>
              <w:t>55</w:t>
            </w:r>
          </w:p>
        </w:tc>
        <w:tc>
          <w:tcPr>
            <w:tcW w:w="1069" w:type="dxa"/>
            <w:vMerge w:val="continue"/>
            <w:vAlign w:val="center"/>
          </w:tcPr>
          <w:p w14:paraId="3F70B964">
            <w:pPr>
              <w:adjustRightInd/>
              <w:snapToGrid/>
              <w:spacing w:line="320" w:lineRule="exact"/>
              <w:ind w:firstLine="0" w:firstLineChars="0"/>
              <w:jc w:val="center"/>
              <w:textAlignment w:val="center"/>
              <w:rPr>
                <w:rFonts w:hint="eastAsia" w:eastAsiaTheme="minorEastAsia"/>
                <w:color w:val="auto"/>
                <w:sz w:val="21"/>
                <w:szCs w:val="21"/>
              </w:rPr>
            </w:pPr>
          </w:p>
        </w:tc>
      </w:tr>
      <w:tr w14:paraId="473626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28" w:type="dxa"/>
            <w:vMerge w:val="continue"/>
            <w:vAlign w:val="center"/>
          </w:tcPr>
          <w:p w14:paraId="3AF33652">
            <w:pPr>
              <w:adjustRightInd/>
              <w:snapToGrid/>
              <w:spacing w:line="320" w:lineRule="exact"/>
              <w:ind w:firstLine="0" w:firstLineChars="0"/>
              <w:jc w:val="center"/>
              <w:textAlignment w:val="center"/>
              <w:rPr>
                <w:rFonts w:hint="eastAsia" w:eastAsiaTheme="minorEastAsia"/>
                <w:color w:val="auto"/>
                <w:sz w:val="21"/>
                <w:szCs w:val="21"/>
              </w:rPr>
            </w:pPr>
          </w:p>
        </w:tc>
        <w:tc>
          <w:tcPr>
            <w:tcW w:w="2711" w:type="dxa"/>
            <w:vAlign w:val="center"/>
          </w:tcPr>
          <w:p w14:paraId="31D0A5A4">
            <w:pPr>
              <w:adjustRightInd/>
              <w:snapToGrid/>
              <w:spacing w:line="320" w:lineRule="exact"/>
              <w:ind w:firstLine="0" w:firstLineChars="0"/>
              <w:jc w:val="center"/>
              <w:textAlignment w:val="center"/>
              <w:rPr>
                <w:rFonts w:hint="eastAsia" w:eastAsiaTheme="minorEastAsia"/>
                <w:color w:val="auto"/>
                <w:sz w:val="21"/>
                <w:szCs w:val="21"/>
                <w:lang w:eastAsia="zh-CN"/>
              </w:rPr>
            </w:pPr>
            <w:r>
              <w:rPr>
                <w:rFonts w:hint="eastAsia" w:eastAsiaTheme="minorEastAsia"/>
                <w:color w:val="auto"/>
                <w:sz w:val="21"/>
                <w:szCs w:val="21"/>
              </w:rPr>
              <w:t>东侧场界C</w:t>
            </w:r>
            <w:r>
              <w:rPr>
                <w:rFonts w:hint="eastAsia" w:eastAsiaTheme="minorEastAsia"/>
                <w:color w:val="auto"/>
                <w:sz w:val="21"/>
                <w:szCs w:val="21"/>
                <w:lang w:val="en-US" w:eastAsia="zh-CN"/>
              </w:rPr>
              <w:t>3</w:t>
            </w:r>
          </w:p>
        </w:tc>
        <w:tc>
          <w:tcPr>
            <w:tcW w:w="1134" w:type="dxa"/>
            <w:vAlign w:val="center"/>
          </w:tcPr>
          <w:p w14:paraId="40ECDEF3">
            <w:pPr>
              <w:adjustRightInd/>
              <w:snapToGrid/>
              <w:spacing w:line="320" w:lineRule="exact"/>
              <w:ind w:firstLine="0" w:firstLineChars="0"/>
              <w:jc w:val="center"/>
              <w:textAlignment w:val="center"/>
              <w:rPr>
                <w:rFonts w:hint="default" w:eastAsiaTheme="minorEastAsia"/>
                <w:color w:val="auto"/>
                <w:sz w:val="21"/>
                <w:szCs w:val="21"/>
                <w:lang w:val="en-US" w:eastAsia="zh-CN"/>
              </w:rPr>
            </w:pPr>
            <w:r>
              <w:rPr>
                <w:rFonts w:hint="eastAsia" w:eastAsiaTheme="minorEastAsia"/>
                <w:color w:val="auto"/>
                <w:sz w:val="21"/>
                <w:szCs w:val="21"/>
                <w:lang w:val="en-US" w:eastAsia="zh-CN"/>
              </w:rPr>
              <w:t>52</w:t>
            </w:r>
          </w:p>
        </w:tc>
        <w:tc>
          <w:tcPr>
            <w:tcW w:w="1134" w:type="dxa"/>
            <w:vAlign w:val="center"/>
          </w:tcPr>
          <w:p w14:paraId="6A54565D">
            <w:pPr>
              <w:adjustRightInd/>
              <w:snapToGrid/>
              <w:spacing w:line="320" w:lineRule="exact"/>
              <w:ind w:firstLine="0" w:firstLineChars="0"/>
              <w:jc w:val="center"/>
              <w:textAlignment w:val="center"/>
              <w:rPr>
                <w:rFonts w:hint="default" w:eastAsiaTheme="minorEastAsia"/>
                <w:color w:val="auto"/>
                <w:sz w:val="21"/>
                <w:szCs w:val="21"/>
                <w:lang w:val="en-US" w:eastAsia="zh-CN"/>
              </w:rPr>
            </w:pPr>
            <w:r>
              <w:rPr>
                <w:rFonts w:hint="eastAsia" w:eastAsiaTheme="minorEastAsia"/>
                <w:color w:val="auto"/>
                <w:sz w:val="21"/>
                <w:szCs w:val="21"/>
                <w:lang w:val="en-US" w:eastAsia="zh-CN"/>
              </w:rPr>
              <w:t>49</w:t>
            </w:r>
          </w:p>
        </w:tc>
        <w:tc>
          <w:tcPr>
            <w:tcW w:w="1276" w:type="dxa"/>
            <w:shd w:val="clear" w:color="auto" w:fill="auto"/>
            <w:vAlign w:val="center"/>
          </w:tcPr>
          <w:p w14:paraId="52767690">
            <w:pPr>
              <w:adjustRightInd/>
              <w:snapToGrid/>
              <w:spacing w:line="320" w:lineRule="exact"/>
              <w:ind w:firstLine="0" w:firstLineChars="0"/>
              <w:jc w:val="center"/>
              <w:textAlignment w:val="center"/>
              <w:rPr>
                <w:rFonts w:hint="eastAsia" w:ascii="Times New Roman" w:hAnsi="Times New Roman" w:cs="Times New Roman" w:eastAsiaTheme="minorEastAsia"/>
                <w:color w:val="auto"/>
                <w:kern w:val="2"/>
                <w:sz w:val="21"/>
                <w:szCs w:val="21"/>
                <w:lang w:val="en-US" w:eastAsia="zh-CN" w:bidi="ar-SA"/>
              </w:rPr>
            </w:pPr>
            <w:r>
              <w:rPr>
                <w:rFonts w:hint="eastAsia" w:eastAsiaTheme="minorEastAsia"/>
                <w:color w:val="auto"/>
                <w:sz w:val="21"/>
                <w:szCs w:val="21"/>
              </w:rPr>
              <w:t>65</w:t>
            </w:r>
          </w:p>
        </w:tc>
        <w:tc>
          <w:tcPr>
            <w:tcW w:w="1134" w:type="dxa"/>
            <w:shd w:val="clear" w:color="auto" w:fill="auto"/>
            <w:vAlign w:val="center"/>
          </w:tcPr>
          <w:p w14:paraId="20D76CE4">
            <w:pPr>
              <w:adjustRightInd/>
              <w:snapToGrid/>
              <w:spacing w:line="320" w:lineRule="exact"/>
              <w:ind w:firstLine="0" w:firstLineChars="0"/>
              <w:jc w:val="center"/>
              <w:textAlignment w:val="center"/>
              <w:rPr>
                <w:rFonts w:hint="eastAsia" w:ascii="Times New Roman" w:hAnsi="Times New Roman" w:cs="Times New Roman" w:eastAsiaTheme="minorEastAsia"/>
                <w:color w:val="auto"/>
                <w:kern w:val="2"/>
                <w:sz w:val="21"/>
                <w:szCs w:val="21"/>
                <w:lang w:val="en-US" w:eastAsia="zh-CN" w:bidi="ar-SA"/>
              </w:rPr>
            </w:pPr>
            <w:r>
              <w:rPr>
                <w:rFonts w:hint="eastAsia" w:eastAsiaTheme="minorEastAsia"/>
                <w:color w:val="auto"/>
                <w:sz w:val="21"/>
                <w:szCs w:val="21"/>
              </w:rPr>
              <w:t>55</w:t>
            </w:r>
          </w:p>
        </w:tc>
        <w:tc>
          <w:tcPr>
            <w:tcW w:w="1069" w:type="dxa"/>
            <w:vMerge w:val="continue"/>
            <w:vAlign w:val="center"/>
          </w:tcPr>
          <w:p w14:paraId="000294A4">
            <w:pPr>
              <w:adjustRightInd/>
              <w:snapToGrid/>
              <w:spacing w:line="320" w:lineRule="exact"/>
              <w:ind w:firstLine="0" w:firstLineChars="0"/>
              <w:jc w:val="center"/>
              <w:textAlignment w:val="center"/>
              <w:rPr>
                <w:rFonts w:hint="eastAsia" w:eastAsiaTheme="minorEastAsia"/>
                <w:color w:val="auto"/>
                <w:sz w:val="21"/>
                <w:szCs w:val="21"/>
              </w:rPr>
            </w:pPr>
          </w:p>
        </w:tc>
      </w:tr>
      <w:tr w14:paraId="4EACF7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3" w:hRule="atLeast"/>
          <w:jc w:val="center"/>
        </w:trPr>
        <w:tc>
          <w:tcPr>
            <w:tcW w:w="828" w:type="dxa"/>
            <w:vMerge w:val="continue"/>
            <w:vAlign w:val="center"/>
          </w:tcPr>
          <w:p w14:paraId="22FEFD38">
            <w:pPr>
              <w:adjustRightInd/>
              <w:snapToGrid/>
              <w:spacing w:line="320" w:lineRule="exact"/>
              <w:ind w:firstLine="0" w:firstLineChars="0"/>
              <w:jc w:val="center"/>
              <w:textAlignment w:val="center"/>
              <w:rPr>
                <w:rFonts w:eastAsiaTheme="minorEastAsia"/>
                <w:color w:val="auto"/>
                <w:sz w:val="21"/>
                <w:szCs w:val="21"/>
              </w:rPr>
            </w:pPr>
          </w:p>
        </w:tc>
        <w:tc>
          <w:tcPr>
            <w:tcW w:w="2711" w:type="dxa"/>
            <w:vAlign w:val="center"/>
          </w:tcPr>
          <w:p w14:paraId="1DDCA03B">
            <w:pPr>
              <w:adjustRightInd/>
              <w:snapToGrid/>
              <w:spacing w:line="320" w:lineRule="exact"/>
              <w:ind w:firstLine="0" w:firstLineChars="0"/>
              <w:jc w:val="center"/>
              <w:textAlignment w:val="center"/>
              <w:rPr>
                <w:rFonts w:hint="eastAsia" w:eastAsiaTheme="minorEastAsia"/>
                <w:color w:val="auto"/>
                <w:sz w:val="21"/>
                <w:szCs w:val="21"/>
                <w:lang w:eastAsia="zh-CN"/>
              </w:rPr>
            </w:pPr>
            <w:r>
              <w:rPr>
                <w:rFonts w:hint="eastAsia" w:eastAsiaTheme="minorEastAsia"/>
                <w:color w:val="auto"/>
                <w:sz w:val="21"/>
                <w:szCs w:val="21"/>
                <w:lang w:eastAsia="zh-CN"/>
              </w:rPr>
              <w:t>将军社区</w:t>
            </w:r>
            <w:r>
              <w:rPr>
                <w:rFonts w:hint="eastAsia" w:eastAsiaTheme="minorEastAsia"/>
                <w:color w:val="auto"/>
                <w:sz w:val="21"/>
                <w:szCs w:val="21"/>
              </w:rPr>
              <w:t>C</w:t>
            </w:r>
            <w:r>
              <w:rPr>
                <w:rFonts w:hint="eastAsia" w:eastAsiaTheme="minorEastAsia"/>
                <w:color w:val="auto"/>
                <w:sz w:val="21"/>
                <w:szCs w:val="21"/>
                <w:lang w:val="en-US" w:eastAsia="zh-CN"/>
              </w:rPr>
              <w:t>4</w:t>
            </w:r>
          </w:p>
        </w:tc>
        <w:tc>
          <w:tcPr>
            <w:tcW w:w="1134" w:type="dxa"/>
            <w:vAlign w:val="center"/>
          </w:tcPr>
          <w:p w14:paraId="7F885CD5">
            <w:pPr>
              <w:adjustRightInd/>
              <w:snapToGrid/>
              <w:spacing w:line="320" w:lineRule="exact"/>
              <w:ind w:firstLine="0" w:firstLineChars="0"/>
              <w:jc w:val="center"/>
              <w:textAlignment w:val="center"/>
              <w:rPr>
                <w:rFonts w:hint="default" w:eastAsiaTheme="minorEastAsia"/>
                <w:color w:val="auto"/>
                <w:sz w:val="21"/>
                <w:szCs w:val="21"/>
                <w:lang w:val="en-US" w:eastAsia="zh-CN"/>
              </w:rPr>
            </w:pPr>
            <w:r>
              <w:rPr>
                <w:rFonts w:hint="eastAsia" w:eastAsiaTheme="minorEastAsia"/>
                <w:color w:val="auto"/>
                <w:sz w:val="21"/>
                <w:szCs w:val="21"/>
                <w:lang w:val="en-US" w:eastAsia="zh-CN"/>
              </w:rPr>
              <w:t>53</w:t>
            </w:r>
          </w:p>
        </w:tc>
        <w:tc>
          <w:tcPr>
            <w:tcW w:w="1134" w:type="dxa"/>
            <w:vAlign w:val="center"/>
          </w:tcPr>
          <w:p w14:paraId="0855EB41">
            <w:pPr>
              <w:adjustRightInd/>
              <w:snapToGrid/>
              <w:spacing w:line="320" w:lineRule="exact"/>
              <w:ind w:firstLine="0" w:firstLineChars="0"/>
              <w:jc w:val="center"/>
              <w:textAlignment w:val="center"/>
              <w:rPr>
                <w:rFonts w:hint="default" w:eastAsiaTheme="minorEastAsia"/>
                <w:color w:val="auto"/>
                <w:sz w:val="21"/>
                <w:szCs w:val="21"/>
                <w:lang w:val="en-US" w:eastAsia="zh-CN"/>
              </w:rPr>
            </w:pPr>
            <w:r>
              <w:rPr>
                <w:rFonts w:hint="eastAsia" w:eastAsiaTheme="minorEastAsia"/>
                <w:color w:val="auto"/>
                <w:sz w:val="21"/>
                <w:szCs w:val="21"/>
                <w:lang w:val="en-US" w:eastAsia="zh-CN"/>
              </w:rPr>
              <w:t>48</w:t>
            </w:r>
          </w:p>
        </w:tc>
        <w:tc>
          <w:tcPr>
            <w:tcW w:w="1276" w:type="dxa"/>
            <w:vAlign w:val="center"/>
          </w:tcPr>
          <w:p w14:paraId="6A6F3218">
            <w:pPr>
              <w:adjustRightInd/>
              <w:snapToGrid/>
              <w:spacing w:line="320" w:lineRule="exact"/>
              <w:ind w:firstLine="0" w:firstLineChars="0"/>
              <w:jc w:val="center"/>
              <w:textAlignment w:val="center"/>
              <w:rPr>
                <w:rFonts w:hint="eastAsia" w:eastAsiaTheme="minorEastAsia"/>
                <w:color w:val="auto"/>
                <w:sz w:val="21"/>
                <w:szCs w:val="21"/>
                <w:lang w:eastAsia="zh-CN"/>
              </w:rPr>
            </w:pPr>
            <w:r>
              <w:rPr>
                <w:rFonts w:hint="eastAsia" w:eastAsiaTheme="minorEastAsia"/>
                <w:color w:val="auto"/>
                <w:sz w:val="21"/>
                <w:szCs w:val="21"/>
              </w:rPr>
              <w:t>6</w:t>
            </w:r>
            <w:r>
              <w:rPr>
                <w:rFonts w:hint="eastAsia" w:eastAsiaTheme="minorEastAsia"/>
                <w:color w:val="auto"/>
                <w:sz w:val="21"/>
                <w:szCs w:val="21"/>
                <w:lang w:val="en-US" w:eastAsia="zh-CN"/>
              </w:rPr>
              <w:t>0</w:t>
            </w:r>
          </w:p>
        </w:tc>
        <w:tc>
          <w:tcPr>
            <w:tcW w:w="1134" w:type="dxa"/>
            <w:vAlign w:val="center"/>
          </w:tcPr>
          <w:p w14:paraId="76D0E892">
            <w:pPr>
              <w:adjustRightInd/>
              <w:snapToGrid/>
              <w:spacing w:line="320" w:lineRule="exact"/>
              <w:ind w:firstLine="0" w:firstLineChars="0"/>
              <w:jc w:val="center"/>
              <w:textAlignment w:val="center"/>
              <w:rPr>
                <w:rFonts w:hint="eastAsia" w:eastAsiaTheme="minorEastAsia"/>
                <w:color w:val="auto"/>
                <w:sz w:val="21"/>
                <w:szCs w:val="21"/>
                <w:lang w:eastAsia="zh-CN"/>
              </w:rPr>
            </w:pPr>
            <w:r>
              <w:rPr>
                <w:rFonts w:hint="eastAsia" w:eastAsiaTheme="minorEastAsia"/>
                <w:color w:val="auto"/>
                <w:sz w:val="21"/>
                <w:szCs w:val="21"/>
              </w:rPr>
              <w:t>5</w:t>
            </w:r>
            <w:r>
              <w:rPr>
                <w:rFonts w:hint="eastAsia" w:eastAsiaTheme="minorEastAsia"/>
                <w:color w:val="auto"/>
                <w:sz w:val="21"/>
                <w:szCs w:val="21"/>
                <w:lang w:val="en-US" w:eastAsia="zh-CN"/>
              </w:rPr>
              <w:t>0</w:t>
            </w:r>
          </w:p>
        </w:tc>
        <w:tc>
          <w:tcPr>
            <w:tcW w:w="1069" w:type="dxa"/>
            <w:vMerge w:val="continue"/>
            <w:vAlign w:val="center"/>
          </w:tcPr>
          <w:p w14:paraId="60820305">
            <w:pPr>
              <w:adjustRightInd/>
              <w:snapToGrid/>
              <w:spacing w:line="320" w:lineRule="exact"/>
              <w:ind w:firstLine="0" w:firstLineChars="0"/>
              <w:jc w:val="center"/>
              <w:textAlignment w:val="center"/>
              <w:rPr>
                <w:rFonts w:eastAsiaTheme="minorEastAsia"/>
                <w:color w:val="auto"/>
                <w:sz w:val="21"/>
                <w:szCs w:val="21"/>
              </w:rPr>
            </w:pPr>
          </w:p>
        </w:tc>
      </w:tr>
      <w:tr w14:paraId="2AC6A8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28" w:type="dxa"/>
            <w:vMerge w:val="restart"/>
            <w:vAlign w:val="center"/>
          </w:tcPr>
          <w:p w14:paraId="36FB895E">
            <w:pPr>
              <w:adjustRightInd/>
              <w:snapToGrid/>
              <w:spacing w:line="320" w:lineRule="exact"/>
              <w:ind w:firstLine="0" w:firstLineChars="0"/>
              <w:jc w:val="center"/>
              <w:textAlignment w:val="center"/>
              <w:rPr>
                <w:rFonts w:hint="default" w:eastAsiaTheme="minorEastAsia"/>
                <w:color w:val="auto"/>
                <w:sz w:val="21"/>
                <w:szCs w:val="21"/>
                <w:lang w:val="en-US" w:eastAsia="zh-CN"/>
              </w:rPr>
            </w:pPr>
            <w:r>
              <w:rPr>
                <w:rFonts w:hint="eastAsia" w:eastAsiaTheme="minorEastAsia"/>
                <w:color w:val="auto"/>
                <w:sz w:val="21"/>
                <w:szCs w:val="21"/>
              </w:rPr>
              <w:t>202</w:t>
            </w:r>
            <w:r>
              <w:rPr>
                <w:rFonts w:hint="eastAsia" w:eastAsiaTheme="minorEastAsia"/>
                <w:color w:val="auto"/>
                <w:sz w:val="21"/>
                <w:szCs w:val="21"/>
                <w:lang w:val="en-US" w:eastAsia="zh-CN"/>
              </w:rPr>
              <w:t>5</w:t>
            </w:r>
            <w:r>
              <w:rPr>
                <w:rFonts w:hint="eastAsia" w:eastAsiaTheme="minorEastAsia"/>
                <w:color w:val="auto"/>
                <w:sz w:val="21"/>
                <w:szCs w:val="21"/>
              </w:rPr>
              <w:t>.</w:t>
            </w:r>
            <w:r>
              <w:rPr>
                <w:rFonts w:hint="eastAsia" w:eastAsiaTheme="minorEastAsia"/>
                <w:color w:val="auto"/>
                <w:sz w:val="21"/>
                <w:szCs w:val="21"/>
                <w:lang w:val="en-US" w:eastAsia="zh-CN"/>
              </w:rPr>
              <w:t>8</w:t>
            </w:r>
            <w:r>
              <w:rPr>
                <w:rFonts w:hint="eastAsia" w:eastAsiaTheme="minorEastAsia"/>
                <w:color w:val="auto"/>
                <w:sz w:val="21"/>
                <w:szCs w:val="21"/>
              </w:rPr>
              <w:t>.</w:t>
            </w:r>
            <w:r>
              <w:rPr>
                <w:rFonts w:hint="eastAsia" w:eastAsiaTheme="minorEastAsia"/>
                <w:color w:val="auto"/>
                <w:sz w:val="21"/>
                <w:szCs w:val="21"/>
                <w:lang w:val="en-US" w:eastAsia="zh-CN"/>
              </w:rPr>
              <w:t>30</w:t>
            </w:r>
          </w:p>
        </w:tc>
        <w:tc>
          <w:tcPr>
            <w:tcW w:w="2711" w:type="dxa"/>
            <w:shd w:val="clear" w:color="auto" w:fill="auto"/>
            <w:vAlign w:val="center"/>
          </w:tcPr>
          <w:p w14:paraId="2C29FD55">
            <w:pPr>
              <w:adjustRightInd/>
              <w:snapToGrid/>
              <w:spacing w:line="320" w:lineRule="exact"/>
              <w:ind w:firstLine="0" w:firstLineChars="0"/>
              <w:jc w:val="center"/>
              <w:textAlignment w:val="center"/>
              <w:rPr>
                <w:rFonts w:eastAsiaTheme="minorEastAsia"/>
                <w:color w:val="auto"/>
                <w:sz w:val="21"/>
                <w:szCs w:val="21"/>
              </w:rPr>
            </w:pPr>
            <w:r>
              <w:rPr>
                <w:rFonts w:hint="eastAsia" w:eastAsiaTheme="minorEastAsia"/>
                <w:color w:val="auto"/>
                <w:sz w:val="21"/>
                <w:szCs w:val="21"/>
              </w:rPr>
              <w:t>东侧场界C1</w:t>
            </w:r>
          </w:p>
        </w:tc>
        <w:tc>
          <w:tcPr>
            <w:tcW w:w="1134" w:type="dxa"/>
            <w:vAlign w:val="center"/>
          </w:tcPr>
          <w:p w14:paraId="76C93996">
            <w:pPr>
              <w:adjustRightInd/>
              <w:snapToGrid/>
              <w:spacing w:line="320" w:lineRule="exact"/>
              <w:ind w:firstLine="0" w:firstLineChars="0"/>
              <w:jc w:val="center"/>
              <w:textAlignment w:val="center"/>
              <w:rPr>
                <w:rFonts w:hint="default" w:eastAsiaTheme="minorEastAsia"/>
                <w:color w:val="auto"/>
                <w:sz w:val="21"/>
                <w:szCs w:val="21"/>
                <w:lang w:val="en-US" w:eastAsia="zh-CN"/>
              </w:rPr>
            </w:pPr>
            <w:r>
              <w:rPr>
                <w:rFonts w:hint="eastAsia" w:eastAsiaTheme="minorEastAsia"/>
                <w:color w:val="auto"/>
                <w:sz w:val="21"/>
                <w:szCs w:val="21"/>
                <w:lang w:val="en-US" w:eastAsia="zh-CN"/>
              </w:rPr>
              <w:t>53</w:t>
            </w:r>
          </w:p>
        </w:tc>
        <w:tc>
          <w:tcPr>
            <w:tcW w:w="1134" w:type="dxa"/>
            <w:vAlign w:val="center"/>
          </w:tcPr>
          <w:p w14:paraId="60A782D9">
            <w:pPr>
              <w:adjustRightInd/>
              <w:snapToGrid/>
              <w:spacing w:line="320" w:lineRule="exact"/>
              <w:ind w:firstLine="0" w:firstLineChars="0"/>
              <w:jc w:val="center"/>
              <w:textAlignment w:val="center"/>
              <w:rPr>
                <w:rFonts w:hint="default" w:eastAsiaTheme="minorEastAsia"/>
                <w:color w:val="auto"/>
                <w:sz w:val="21"/>
                <w:szCs w:val="21"/>
                <w:lang w:val="en-US" w:eastAsia="zh-CN"/>
              </w:rPr>
            </w:pPr>
            <w:r>
              <w:rPr>
                <w:rFonts w:hint="eastAsia" w:eastAsiaTheme="minorEastAsia"/>
                <w:color w:val="auto"/>
                <w:sz w:val="21"/>
                <w:szCs w:val="21"/>
                <w:lang w:val="en-US" w:eastAsia="zh-CN"/>
              </w:rPr>
              <w:t>50</w:t>
            </w:r>
          </w:p>
        </w:tc>
        <w:tc>
          <w:tcPr>
            <w:tcW w:w="1276" w:type="dxa"/>
            <w:vAlign w:val="center"/>
          </w:tcPr>
          <w:p w14:paraId="69022A35">
            <w:pPr>
              <w:adjustRightInd/>
              <w:snapToGrid/>
              <w:spacing w:line="320" w:lineRule="exact"/>
              <w:ind w:firstLine="0" w:firstLineChars="0"/>
              <w:jc w:val="center"/>
              <w:textAlignment w:val="center"/>
              <w:rPr>
                <w:rFonts w:eastAsiaTheme="minorEastAsia"/>
                <w:color w:val="auto"/>
                <w:sz w:val="21"/>
                <w:szCs w:val="21"/>
              </w:rPr>
            </w:pPr>
            <w:r>
              <w:rPr>
                <w:rFonts w:hint="eastAsia" w:eastAsiaTheme="minorEastAsia"/>
                <w:color w:val="auto"/>
                <w:sz w:val="21"/>
                <w:szCs w:val="21"/>
              </w:rPr>
              <w:t>65</w:t>
            </w:r>
          </w:p>
        </w:tc>
        <w:tc>
          <w:tcPr>
            <w:tcW w:w="1134" w:type="dxa"/>
            <w:vAlign w:val="center"/>
          </w:tcPr>
          <w:p w14:paraId="5DF16677">
            <w:pPr>
              <w:adjustRightInd/>
              <w:snapToGrid/>
              <w:spacing w:line="320" w:lineRule="exact"/>
              <w:ind w:firstLine="0" w:firstLineChars="0"/>
              <w:jc w:val="center"/>
              <w:textAlignment w:val="center"/>
              <w:rPr>
                <w:rFonts w:eastAsiaTheme="minorEastAsia"/>
                <w:color w:val="auto"/>
                <w:sz w:val="21"/>
                <w:szCs w:val="21"/>
              </w:rPr>
            </w:pPr>
            <w:r>
              <w:rPr>
                <w:rFonts w:hint="eastAsia" w:eastAsiaTheme="minorEastAsia"/>
                <w:color w:val="auto"/>
                <w:sz w:val="21"/>
                <w:szCs w:val="21"/>
              </w:rPr>
              <w:t>55</w:t>
            </w:r>
          </w:p>
        </w:tc>
        <w:tc>
          <w:tcPr>
            <w:tcW w:w="1069" w:type="dxa"/>
            <w:vMerge w:val="restart"/>
            <w:vAlign w:val="center"/>
          </w:tcPr>
          <w:p w14:paraId="4E5B38AA">
            <w:pPr>
              <w:adjustRightInd/>
              <w:snapToGrid/>
              <w:spacing w:line="320" w:lineRule="exact"/>
              <w:ind w:firstLine="0" w:firstLineChars="0"/>
              <w:jc w:val="center"/>
              <w:textAlignment w:val="center"/>
              <w:rPr>
                <w:rFonts w:eastAsiaTheme="minorEastAsia"/>
                <w:color w:val="auto"/>
                <w:sz w:val="21"/>
                <w:szCs w:val="21"/>
              </w:rPr>
            </w:pPr>
            <w:r>
              <w:rPr>
                <w:rFonts w:hint="eastAsia" w:eastAsiaTheme="minorEastAsia"/>
                <w:color w:val="auto"/>
                <w:sz w:val="21"/>
                <w:szCs w:val="21"/>
              </w:rPr>
              <w:t>达标</w:t>
            </w:r>
          </w:p>
        </w:tc>
      </w:tr>
      <w:tr w14:paraId="55DC5E2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28" w:type="dxa"/>
            <w:vMerge w:val="continue"/>
            <w:vAlign w:val="center"/>
          </w:tcPr>
          <w:p w14:paraId="5DF8B894">
            <w:pPr>
              <w:adjustRightInd/>
              <w:snapToGrid/>
              <w:spacing w:line="320" w:lineRule="exact"/>
              <w:ind w:firstLine="0" w:firstLineChars="0"/>
              <w:jc w:val="center"/>
              <w:textAlignment w:val="center"/>
              <w:rPr>
                <w:rFonts w:hint="eastAsia" w:eastAsiaTheme="minorEastAsia"/>
                <w:color w:val="auto"/>
                <w:sz w:val="21"/>
                <w:szCs w:val="21"/>
              </w:rPr>
            </w:pPr>
          </w:p>
        </w:tc>
        <w:tc>
          <w:tcPr>
            <w:tcW w:w="2711" w:type="dxa"/>
            <w:shd w:val="clear" w:color="auto" w:fill="auto"/>
            <w:vAlign w:val="center"/>
          </w:tcPr>
          <w:p w14:paraId="1A9C7EE4">
            <w:pPr>
              <w:adjustRightInd/>
              <w:snapToGrid/>
              <w:spacing w:line="320" w:lineRule="exact"/>
              <w:ind w:firstLine="0" w:firstLineChars="0"/>
              <w:jc w:val="center"/>
              <w:textAlignment w:val="center"/>
              <w:rPr>
                <w:rFonts w:hint="eastAsia" w:eastAsiaTheme="minorEastAsia"/>
                <w:color w:val="auto"/>
                <w:sz w:val="21"/>
                <w:szCs w:val="21"/>
              </w:rPr>
            </w:pPr>
            <w:r>
              <w:rPr>
                <w:rFonts w:hint="eastAsia" w:eastAsiaTheme="minorEastAsia"/>
                <w:color w:val="auto"/>
                <w:sz w:val="21"/>
                <w:szCs w:val="21"/>
              </w:rPr>
              <w:t>东侧场界C</w:t>
            </w:r>
            <w:r>
              <w:rPr>
                <w:rFonts w:hint="eastAsia" w:eastAsiaTheme="minorEastAsia"/>
                <w:color w:val="auto"/>
                <w:sz w:val="21"/>
                <w:szCs w:val="21"/>
                <w:lang w:val="en-US" w:eastAsia="zh-CN"/>
              </w:rPr>
              <w:t>2</w:t>
            </w:r>
          </w:p>
        </w:tc>
        <w:tc>
          <w:tcPr>
            <w:tcW w:w="1134" w:type="dxa"/>
            <w:shd w:val="clear" w:color="auto" w:fill="auto"/>
            <w:vAlign w:val="center"/>
          </w:tcPr>
          <w:p w14:paraId="40428801">
            <w:pPr>
              <w:adjustRightInd/>
              <w:snapToGrid/>
              <w:spacing w:line="320" w:lineRule="exact"/>
              <w:ind w:firstLine="0" w:firstLineChars="0"/>
              <w:jc w:val="center"/>
              <w:textAlignment w:val="center"/>
              <w:rPr>
                <w:rFonts w:hint="eastAsia" w:ascii="Times New Roman" w:hAnsi="Times New Roman" w:cs="Times New Roman" w:eastAsiaTheme="minorEastAsia"/>
                <w:color w:val="auto"/>
                <w:kern w:val="2"/>
                <w:sz w:val="21"/>
                <w:szCs w:val="21"/>
                <w:lang w:val="en-US" w:eastAsia="zh-CN" w:bidi="ar-SA"/>
              </w:rPr>
            </w:pPr>
            <w:r>
              <w:rPr>
                <w:rFonts w:hint="eastAsia" w:eastAsiaTheme="minorEastAsia"/>
                <w:color w:val="auto"/>
                <w:sz w:val="21"/>
                <w:szCs w:val="21"/>
                <w:lang w:val="en-US" w:eastAsia="zh-CN"/>
              </w:rPr>
              <w:t>55</w:t>
            </w:r>
          </w:p>
        </w:tc>
        <w:tc>
          <w:tcPr>
            <w:tcW w:w="1134" w:type="dxa"/>
            <w:shd w:val="clear" w:color="auto" w:fill="auto"/>
            <w:vAlign w:val="center"/>
          </w:tcPr>
          <w:p w14:paraId="2DFF15D1">
            <w:pPr>
              <w:adjustRightInd/>
              <w:snapToGrid/>
              <w:spacing w:line="320" w:lineRule="exact"/>
              <w:ind w:firstLine="0" w:firstLineChars="0"/>
              <w:jc w:val="center"/>
              <w:textAlignment w:val="center"/>
              <w:rPr>
                <w:rFonts w:hint="eastAsia" w:ascii="Times New Roman" w:hAnsi="Times New Roman" w:cs="Times New Roman" w:eastAsiaTheme="minorEastAsia"/>
                <w:color w:val="auto"/>
                <w:kern w:val="2"/>
                <w:sz w:val="21"/>
                <w:szCs w:val="21"/>
                <w:lang w:val="en-US" w:eastAsia="zh-CN" w:bidi="ar-SA"/>
              </w:rPr>
            </w:pPr>
            <w:r>
              <w:rPr>
                <w:rFonts w:hint="eastAsia" w:eastAsiaTheme="minorEastAsia"/>
                <w:color w:val="auto"/>
                <w:sz w:val="21"/>
                <w:szCs w:val="21"/>
                <w:lang w:val="en-US" w:eastAsia="zh-CN"/>
              </w:rPr>
              <w:t>48</w:t>
            </w:r>
          </w:p>
        </w:tc>
        <w:tc>
          <w:tcPr>
            <w:tcW w:w="1276" w:type="dxa"/>
            <w:shd w:val="clear" w:color="auto" w:fill="auto"/>
            <w:vAlign w:val="center"/>
          </w:tcPr>
          <w:p w14:paraId="05C0C48A">
            <w:pPr>
              <w:adjustRightInd/>
              <w:snapToGrid/>
              <w:spacing w:line="320" w:lineRule="exact"/>
              <w:ind w:firstLine="0" w:firstLineChars="0"/>
              <w:jc w:val="center"/>
              <w:textAlignment w:val="center"/>
              <w:rPr>
                <w:rFonts w:hint="eastAsia" w:ascii="Times New Roman" w:hAnsi="Times New Roman" w:cs="Times New Roman" w:eastAsiaTheme="minorEastAsia"/>
                <w:color w:val="auto"/>
                <w:kern w:val="2"/>
                <w:sz w:val="21"/>
                <w:szCs w:val="21"/>
                <w:lang w:val="en-US" w:eastAsia="zh-CN" w:bidi="ar-SA"/>
              </w:rPr>
            </w:pPr>
            <w:r>
              <w:rPr>
                <w:rFonts w:hint="eastAsia" w:eastAsiaTheme="minorEastAsia"/>
                <w:color w:val="auto"/>
                <w:sz w:val="21"/>
                <w:szCs w:val="21"/>
              </w:rPr>
              <w:t>65</w:t>
            </w:r>
          </w:p>
        </w:tc>
        <w:tc>
          <w:tcPr>
            <w:tcW w:w="1134" w:type="dxa"/>
            <w:shd w:val="clear" w:color="auto" w:fill="auto"/>
            <w:vAlign w:val="center"/>
          </w:tcPr>
          <w:p w14:paraId="3479E080">
            <w:pPr>
              <w:adjustRightInd/>
              <w:snapToGrid/>
              <w:spacing w:line="320" w:lineRule="exact"/>
              <w:ind w:firstLine="0" w:firstLineChars="0"/>
              <w:jc w:val="center"/>
              <w:textAlignment w:val="center"/>
              <w:rPr>
                <w:rFonts w:hint="eastAsia" w:ascii="Times New Roman" w:hAnsi="Times New Roman" w:cs="Times New Roman" w:eastAsiaTheme="minorEastAsia"/>
                <w:color w:val="auto"/>
                <w:kern w:val="2"/>
                <w:sz w:val="21"/>
                <w:szCs w:val="21"/>
                <w:lang w:val="en-US" w:eastAsia="zh-CN" w:bidi="ar-SA"/>
              </w:rPr>
            </w:pPr>
            <w:r>
              <w:rPr>
                <w:rFonts w:hint="eastAsia" w:eastAsiaTheme="minorEastAsia"/>
                <w:color w:val="auto"/>
                <w:sz w:val="21"/>
                <w:szCs w:val="21"/>
              </w:rPr>
              <w:t>55</w:t>
            </w:r>
          </w:p>
        </w:tc>
        <w:tc>
          <w:tcPr>
            <w:tcW w:w="1069" w:type="dxa"/>
            <w:vMerge w:val="continue"/>
            <w:vAlign w:val="center"/>
          </w:tcPr>
          <w:p w14:paraId="5954C39C">
            <w:pPr>
              <w:adjustRightInd/>
              <w:snapToGrid/>
              <w:spacing w:line="320" w:lineRule="exact"/>
              <w:ind w:firstLine="0" w:firstLineChars="0"/>
              <w:jc w:val="center"/>
              <w:textAlignment w:val="center"/>
              <w:rPr>
                <w:rFonts w:hint="eastAsia" w:eastAsiaTheme="minorEastAsia"/>
                <w:color w:val="auto"/>
                <w:sz w:val="21"/>
                <w:szCs w:val="21"/>
              </w:rPr>
            </w:pPr>
          </w:p>
        </w:tc>
      </w:tr>
      <w:tr w14:paraId="01CCFC5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28" w:type="dxa"/>
            <w:vMerge w:val="continue"/>
            <w:vAlign w:val="center"/>
          </w:tcPr>
          <w:p w14:paraId="73529E4A">
            <w:pPr>
              <w:adjustRightInd/>
              <w:snapToGrid/>
              <w:spacing w:line="320" w:lineRule="exact"/>
              <w:ind w:firstLine="0" w:firstLineChars="0"/>
              <w:jc w:val="center"/>
              <w:textAlignment w:val="center"/>
              <w:rPr>
                <w:rFonts w:hint="eastAsia" w:eastAsiaTheme="minorEastAsia"/>
                <w:color w:val="auto"/>
                <w:sz w:val="21"/>
                <w:szCs w:val="21"/>
              </w:rPr>
            </w:pPr>
          </w:p>
        </w:tc>
        <w:tc>
          <w:tcPr>
            <w:tcW w:w="2711" w:type="dxa"/>
            <w:shd w:val="clear" w:color="auto" w:fill="auto"/>
            <w:vAlign w:val="center"/>
          </w:tcPr>
          <w:p w14:paraId="164D3138">
            <w:pPr>
              <w:adjustRightInd/>
              <w:snapToGrid/>
              <w:spacing w:line="320" w:lineRule="exact"/>
              <w:ind w:firstLine="0" w:firstLineChars="0"/>
              <w:jc w:val="center"/>
              <w:textAlignment w:val="center"/>
              <w:rPr>
                <w:rFonts w:hint="eastAsia" w:eastAsiaTheme="minorEastAsia"/>
                <w:color w:val="auto"/>
                <w:sz w:val="21"/>
                <w:szCs w:val="21"/>
              </w:rPr>
            </w:pPr>
            <w:r>
              <w:rPr>
                <w:rFonts w:hint="eastAsia" w:eastAsiaTheme="minorEastAsia"/>
                <w:color w:val="auto"/>
                <w:sz w:val="21"/>
                <w:szCs w:val="21"/>
              </w:rPr>
              <w:t>东侧场界C</w:t>
            </w:r>
            <w:r>
              <w:rPr>
                <w:rFonts w:hint="eastAsia" w:eastAsiaTheme="minorEastAsia"/>
                <w:color w:val="auto"/>
                <w:sz w:val="21"/>
                <w:szCs w:val="21"/>
                <w:lang w:val="en-US" w:eastAsia="zh-CN"/>
              </w:rPr>
              <w:t>3</w:t>
            </w:r>
          </w:p>
        </w:tc>
        <w:tc>
          <w:tcPr>
            <w:tcW w:w="1134" w:type="dxa"/>
            <w:vAlign w:val="center"/>
          </w:tcPr>
          <w:p w14:paraId="59943902">
            <w:pPr>
              <w:adjustRightInd/>
              <w:snapToGrid/>
              <w:spacing w:line="320" w:lineRule="exact"/>
              <w:ind w:firstLine="0" w:firstLineChars="0"/>
              <w:jc w:val="center"/>
              <w:textAlignment w:val="center"/>
              <w:rPr>
                <w:rFonts w:hint="default" w:eastAsiaTheme="minorEastAsia"/>
                <w:color w:val="auto"/>
                <w:sz w:val="21"/>
                <w:szCs w:val="21"/>
                <w:lang w:val="en-US" w:eastAsia="zh-CN"/>
              </w:rPr>
            </w:pPr>
            <w:r>
              <w:rPr>
                <w:rFonts w:hint="eastAsia" w:eastAsiaTheme="minorEastAsia"/>
                <w:color w:val="auto"/>
                <w:sz w:val="21"/>
                <w:szCs w:val="21"/>
                <w:lang w:val="en-US" w:eastAsia="zh-CN"/>
              </w:rPr>
              <w:t>52</w:t>
            </w:r>
          </w:p>
        </w:tc>
        <w:tc>
          <w:tcPr>
            <w:tcW w:w="1134" w:type="dxa"/>
            <w:vAlign w:val="center"/>
          </w:tcPr>
          <w:p w14:paraId="0F96CDF7">
            <w:pPr>
              <w:adjustRightInd/>
              <w:snapToGrid/>
              <w:spacing w:line="320" w:lineRule="exact"/>
              <w:ind w:firstLine="0" w:firstLineChars="0"/>
              <w:jc w:val="center"/>
              <w:textAlignment w:val="center"/>
              <w:rPr>
                <w:rFonts w:hint="default" w:eastAsiaTheme="minorEastAsia"/>
                <w:color w:val="auto"/>
                <w:sz w:val="21"/>
                <w:szCs w:val="21"/>
                <w:lang w:val="en-US" w:eastAsia="zh-CN"/>
              </w:rPr>
            </w:pPr>
            <w:r>
              <w:rPr>
                <w:rFonts w:hint="eastAsia" w:eastAsiaTheme="minorEastAsia"/>
                <w:color w:val="auto"/>
                <w:sz w:val="21"/>
                <w:szCs w:val="21"/>
                <w:lang w:val="en-US" w:eastAsia="zh-CN"/>
              </w:rPr>
              <w:t>48</w:t>
            </w:r>
          </w:p>
        </w:tc>
        <w:tc>
          <w:tcPr>
            <w:tcW w:w="1276" w:type="dxa"/>
            <w:shd w:val="clear" w:color="auto" w:fill="auto"/>
            <w:vAlign w:val="center"/>
          </w:tcPr>
          <w:p w14:paraId="405A84C1">
            <w:pPr>
              <w:adjustRightInd/>
              <w:snapToGrid/>
              <w:spacing w:line="320" w:lineRule="exact"/>
              <w:ind w:firstLine="0" w:firstLineChars="0"/>
              <w:jc w:val="center"/>
              <w:textAlignment w:val="center"/>
              <w:rPr>
                <w:rFonts w:hint="eastAsia" w:ascii="Times New Roman" w:hAnsi="Times New Roman" w:cs="Times New Roman" w:eastAsiaTheme="minorEastAsia"/>
                <w:color w:val="auto"/>
                <w:kern w:val="2"/>
                <w:sz w:val="21"/>
                <w:szCs w:val="21"/>
                <w:lang w:val="en-US" w:eastAsia="zh-CN" w:bidi="ar-SA"/>
              </w:rPr>
            </w:pPr>
            <w:r>
              <w:rPr>
                <w:rFonts w:hint="eastAsia" w:eastAsiaTheme="minorEastAsia"/>
                <w:color w:val="auto"/>
                <w:sz w:val="21"/>
                <w:szCs w:val="21"/>
              </w:rPr>
              <w:t>65</w:t>
            </w:r>
          </w:p>
        </w:tc>
        <w:tc>
          <w:tcPr>
            <w:tcW w:w="1134" w:type="dxa"/>
            <w:shd w:val="clear" w:color="auto" w:fill="auto"/>
            <w:vAlign w:val="center"/>
          </w:tcPr>
          <w:p w14:paraId="5BC611E2">
            <w:pPr>
              <w:adjustRightInd/>
              <w:snapToGrid/>
              <w:spacing w:line="320" w:lineRule="exact"/>
              <w:ind w:firstLine="0" w:firstLineChars="0"/>
              <w:jc w:val="center"/>
              <w:textAlignment w:val="center"/>
              <w:rPr>
                <w:rFonts w:hint="eastAsia" w:ascii="Times New Roman" w:hAnsi="Times New Roman" w:cs="Times New Roman" w:eastAsiaTheme="minorEastAsia"/>
                <w:color w:val="auto"/>
                <w:kern w:val="2"/>
                <w:sz w:val="21"/>
                <w:szCs w:val="21"/>
                <w:lang w:val="en-US" w:eastAsia="zh-CN" w:bidi="ar-SA"/>
              </w:rPr>
            </w:pPr>
            <w:r>
              <w:rPr>
                <w:rFonts w:hint="eastAsia" w:eastAsiaTheme="minorEastAsia"/>
                <w:color w:val="auto"/>
                <w:sz w:val="21"/>
                <w:szCs w:val="21"/>
              </w:rPr>
              <w:t>55</w:t>
            </w:r>
          </w:p>
        </w:tc>
        <w:tc>
          <w:tcPr>
            <w:tcW w:w="1069" w:type="dxa"/>
            <w:vMerge w:val="continue"/>
            <w:vAlign w:val="center"/>
          </w:tcPr>
          <w:p w14:paraId="3E46E009">
            <w:pPr>
              <w:adjustRightInd/>
              <w:snapToGrid/>
              <w:spacing w:line="320" w:lineRule="exact"/>
              <w:ind w:firstLine="0" w:firstLineChars="0"/>
              <w:jc w:val="center"/>
              <w:textAlignment w:val="center"/>
              <w:rPr>
                <w:rFonts w:hint="eastAsia" w:eastAsiaTheme="minorEastAsia"/>
                <w:color w:val="auto"/>
                <w:sz w:val="21"/>
                <w:szCs w:val="21"/>
              </w:rPr>
            </w:pPr>
          </w:p>
        </w:tc>
      </w:tr>
      <w:tr w14:paraId="05B263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28" w:type="dxa"/>
            <w:vMerge w:val="continue"/>
            <w:vAlign w:val="center"/>
          </w:tcPr>
          <w:p w14:paraId="7881B89B">
            <w:pPr>
              <w:adjustRightInd/>
              <w:snapToGrid/>
              <w:spacing w:line="320" w:lineRule="exact"/>
              <w:ind w:firstLine="0" w:firstLineChars="0"/>
              <w:jc w:val="center"/>
              <w:textAlignment w:val="center"/>
              <w:rPr>
                <w:rFonts w:eastAsiaTheme="minorEastAsia"/>
                <w:color w:val="auto"/>
                <w:sz w:val="21"/>
                <w:szCs w:val="21"/>
              </w:rPr>
            </w:pPr>
          </w:p>
        </w:tc>
        <w:tc>
          <w:tcPr>
            <w:tcW w:w="2711" w:type="dxa"/>
            <w:shd w:val="clear" w:color="auto" w:fill="auto"/>
            <w:vAlign w:val="center"/>
          </w:tcPr>
          <w:p w14:paraId="3E39D689">
            <w:pPr>
              <w:adjustRightInd/>
              <w:snapToGrid/>
              <w:spacing w:line="320" w:lineRule="exact"/>
              <w:ind w:firstLine="0" w:firstLineChars="0"/>
              <w:jc w:val="center"/>
              <w:textAlignment w:val="center"/>
              <w:rPr>
                <w:rFonts w:eastAsiaTheme="minorEastAsia"/>
                <w:color w:val="auto"/>
                <w:sz w:val="21"/>
                <w:szCs w:val="21"/>
              </w:rPr>
            </w:pPr>
            <w:r>
              <w:rPr>
                <w:rFonts w:hint="eastAsia" w:eastAsiaTheme="minorEastAsia"/>
                <w:color w:val="auto"/>
                <w:sz w:val="21"/>
                <w:szCs w:val="21"/>
                <w:lang w:eastAsia="zh-CN"/>
              </w:rPr>
              <w:t>将军社区</w:t>
            </w:r>
            <w:r>
              <w:rPr>
                <w:rFonts w:hint="eastAsia" w:eastAsiaTheme="minorEastAsia"/>
                <w:color w:val="auto"/>
                <w:sz w:val="21"/>
                <w:szCs w:val="21"/>
              </w:rPr>
              <w:t>C</w:t>
            </w:r>
            <w:r>
              <w:rPr>
                <w:rFonts w:hint="eastAsia" w:eastAsiaTheme="minorEastAsia"/>
                <w:color w:val="auto"/>
                <w:sz w:val="21"/>
                <w:szCs w:val="21"/>
                <w:lang w:val="en-US" w:eastAsia="zh-CN"/>
              </w:rPr>
              <w:t>4</w:t>
            </w:r>
          </w:p>
        </w:tc>
        <w:tc>
          <w:tcPr>
            <w:tcW w:w="1134" w:type="dxa"/>
            <w:vAlign w:val="center"/>
          </w:tcPr>
          <w:p w14:paraId="4505B711">
            <w:pPr>
              <w:adjustRightInd/>
              <w:snapToGrid/>
              <w:spacing w:line="320" w:lineRule="exact"/>
              <w:ind w:firstLine="0" w:firstLineChars="0"/>
              <w:jc w:val="center"/>
              <w:textAlignment w:val="center"/>
              <w:rPr>
                <w:rFonts w:hint="default" w:eastAsiaTheme="minorEastAsia"/>
                <w:color w:val="auto"/>
                <w:sz w:val="21"/>
                <w:szCs w:val="21"/>
                <w:lang w:val="en-US" w:eastAsia="zh-CN"/>
              </w:rPr>
            </w:pPr>
            <w:r>
              <w:rPr>
                <w:rFonts w:hint="eastAsia" w:eastAsiaTheme="minorEastAsia"/>
                <w:color w:val="auto"/>
                <w:sz w:val="21"/>
                <w:szCs w:val="21"/>
                <w:lang w:val="en-US" w:eastAsia="zh-CN"/>
              </w:rPr>
              <w:t>54</w:t>
            </w:r>
          </w:p>
        </w:tc>
        <w:tc>
          <w:tcPr>
            <w:tcW w:w="1134" w:type="dxa"/>
            <w:vAlign w:val="center"/>
          </w:tcPr>
          <w:p w14:paraId="7B511FF9">
            <w:pPr>
              <w:adjustRightInd/>
              <w:snapToGrid/>
              <w:spacing w:line="320" w:lineRule="exact"/>
              <w:ind w:firstLine="0" w:firstLineChars="0"/>
              <w:jc w:val="center"/>
              <w:textAlignment w:val="center"/>
              <w:rPr>
                <w:rFonts w:hint="default" w:eastAsiaTheme="minorEastAsia"/>
                <w:color w:val="auto"/>
                <w:sz w:val="21"/>
                <w:szCs w:val="21"/>
                <w:lang w:val="en-US" w:eastAsia="zh-CN"/>
              </w:rPr>
            </w:pPr>
            <w:r>
              <w:rPr>
                <w:rFonts w:hint="eastAsia" w:eastAsiaTheme="minorEastAsia"/>
                <w:color w:val="auto"/>
                <w:sz w:val="21"/>
                <w:szCs w:val="21"/>
                <w:lang w:val="en-US" w:eastAsia="zh-CN"/>
              </w:rPr>
              <w:t>47</w:t>
            </w:r>
          </w:p>
        </w:tc>
        <w:tc>
          <w:tcPr>
            <w:tcW w:w="1276" w:type="dxa"/>
            <w:vAlign w:val="center"/>
          </w:tcPr>
          <w:p w14:paraId="3D8595B1">
            <w:pPr>
              <w:adjustRightInd/>
              <w:snapToGrid/>
              <w:spacing w:line="320" w:lineRule="exact"/>
              <w:ind w:firstLine="0" w:firstLineChars="0"/>
              <w:jc w:val="center"/>
              <w:textAlignment w:val="center"/>
              <w:rPr>
                <w:rFonts w:eastAsiaTheme="minorEastAsia"/>
                <w:color w:val="auto"/>
                <w:sz w:val="21"/>
                <w:szCs w:val="21"/>
              </w:rPr>
            </w:pPr>
            <w:r>
              <w:rPr>
                <w:rFonts w:hint="eastAsia" w:eastAsiaTheme="minorEastAsia"/>
                <w:color w:val="auto"/>
                <w:sz w:val="21"/>
                <w:szCs w:val="21"/>
              </w:rPr>
              <w:t>6</w:t>
            </w:r>
            <w:r>
              <w:rPr>
                <w:rFonts w:hint="eastAsia" w:eastAsiaTheme="minorEastAsia"/>
                <w:color w:val="auto"/>
                <w:sz w:val="21"/>
                <w:szCs w:val="21"/>
                <w:lang w:val="en-US" w:eastAsia="zh-CN"/>
              </w:rPr>
              <w:t>0</w:t>
            </w:r>
          </w:p>
        </w:tc>
        <w:tc>
          <w:tcPr>
            <w:tcW w:w="1134" w:type="dxa"/>
            <w:vAlign w:val="center"/>
          </w:tcPr>
          <w:p w14:paraId="37620B4A">
            <w:pPr>
              <w:adjustRightInd/>
              <w:snapToGrid/>
              <w:spacing w:line="320" w:lineRule="exact"/>
              <w:ind w:firstLine="0" w:firstLineChars="0"/>
              <w:jc w:val="center"/>
              <w:textAlignment w:val="center"/>
              <w:rPr>
                <w:rFonts w:eastAsiaTheme="minorEastAsia"/>
                <w:color w:val="auto"/>
                <w:sz w:val="21"/>
                <w:szCs w:val="21"/>
              </w:rPr>
            </w:pPr>
            <w:r>
              <w:rPr>
                <w:rFonts w:hint="eastAsia" w:eastAsiaTheme="minorEastAsia"/>
                <w:color w:val="auto"/>
                <w:sz w:val="21"/>
                <w:szCs w:val="21"/>
              </w:rPr>
              <w:t>5</w:t>
            </w:r>
            <w:r>
              <w:rPr>
                <w:rFonts w:hint="eastAsia" w:eastAsiaTheme="minorEastAsia"/>
                <w:color w:val="auto"/>
                <w:sz w:val="21"/>
                <w:szCs w:val="21"/>
                <w:lang w:val="en-US" w:eastAsia="zh-CN"/>
              </w:rPr>
              <w:t>0</w:t>
            </w:r>
          </w:p>
        </w:tc>
        <w:tc>
          <w:tcPr>
            <w:tcW w:w="1069" w:type="dxa"/>
            <w:vMerge w:val="continue"/>
            <w:vAlign w:val="center"/>
          </w:tcPr>
          <w:p w14:paraId="7877F5AF">
            <w:pPr>
              <w:adjustRightInd/>
              <w:snapToGrid/>
              <w:spacing w:line="320" w:lineRule="exact"/>
              <w:ind w:firstLine="0" w:firstLineChars="0"/>
              <w:jc w:val="center"/>
              <w:textAlignment w:val="center"/>
              <w:rPr>
                <w:rFonts w:eastAsiaTheme="minorEastAsia"/>
                <w:color w:val="auto"/>
                <w:sz w:val="21"/>
                <w:szCs w:val="21"/>
              </w:rPr>
            </w:pPr>
          </w:p>
        </w:tc>
      </w:tr>
    </w:tbl>
    <w:p w14:paraId="09FCF343">
      <w:pPr>
        <w:spacing w:line="360" w:lineRule="auto"/>
        <w:ind w:firstLine="480"/>
        <w:rPr>
          <w:color w:val="auto"/>
        </w:rPr>
      </w:pPr>
    </w:p>
    <w:p w14:paraId="2C233DEC">
      <w:pPr>
        <w:spacing w:line="360" w:lineRule="auto"/>
        <w:ind w:firstLine="480"/>
        <w:rPr>
          <w:color w:val="auto"/>
        </w:rPr>
      </w:pPr>
      <w:r>
        <w:rPr>
          <w:rFonts w:hint="eastAsia"/>
          <w:color w:val="auto"/>
        </w:rPr>
        <w:t>由表4</w:t>
      </w:r>
      <w:r>
        <w:rPr>
          <w:color w:val="auto"/>
        </w:rPr>
        <w:t>.2-</w:t>
      </w:r>
      <w:r>
        <w:rPr>
          <w:rFonts w:hint="eastAsia"/>
          <w:color w:val="auto"/>
        </w:rPr>
        <w:t>8可知，项目各场界声环境质量均满足《声环境质量标准》（GB 3096-2008）中3类声环境功能区噪声限值，</w:t>
      </w:r>
      <w:r>
        <w:rPr>
          <w:rFonts w:hint="eastAsia"/>
          <w:color w:val="auto"/>
          <w:lang w:eastAsia="zh-CN"/>
        </w:rPr>
        <w:t>声环境保护目标处</w:t>
      </w:r>
      <w:r>
        <w:rPr>
          <w:rFonts w:hint="eastAsia"/>
          <w:color w:val="auto"/>
        </w:rPr>
        <w:t>声环境质量均满足《声环境质量标准》（GB 3096-2008）中</w:t>
      </w:r>
      <w:r>
        <w:rPr>
          <w:rFonts w:hint="eastAsia"/>
          <w:color w:val="auto"/>
          <w:lang w:val="en-US" w:eastAsia="zh-CN"/>
        </w:rPr>
        <w:t>2</w:t>
      </w:r>
      <w:r>
        <w:rPr>
          <w:rFonts w:hint="eastAsia"/>
          <w:color w:val="auto"/>
        </w:rPr>
        <w:t>类声环境功能区噪声限值</w:t>
      </w:r>
      <w:r>
        <w:rPr>
          <w:rFonts w:hint="eastAsia"/>
          <w:color w:val="auto"/>
          <w:lang w:eastAsia="zh-CN"/>
        </w:rPr>
        <w:t>，</w:t>
      </w:r>
      <w:r>
        <w:rPr>
          <w:rFonts w:hint="eastAsia"/>
          <w:color w:val="auto"/>
        </w:rPr>
        <w:t>评价区域声环境质量现状较好。</w:t>
      </w:r>
      <w:bookmarkEnd w:id="211"/>
      <w:bookmarkEnd w:id="212"/>
    </w:p>
    <w:p w14:paraId="2419081F">
      <w:pPr>
        <w:pStyle w:val="5"/>
        <w:numPr>
          <w:ilvl w:val="0"/>
          <w:numId w:val="0"/>
        </w:numPr>
        <w:spacing w:line="360" w:lineRule="auto"/>
        <w:jc w:val="left"/>
        <w:rPr>
          <w:color w:val="auto"/>
        </w:rPr>
      </w:pPr>
      <w:r>
        <w:rPr>
          <w:rFonts w:hint="eastAsia"/>
          <w:color w:val="auto"/>
        </w:rPr>
        <w:t>4</w:t>
      </w:r>
      <w:r>
        <w:rPr>
          <w:color w:val="auto"/>
        </w:rPr>
        <w:t>.2.5</w:t>
      </w:r>
      <w:r>
        <w:rPr>
          <w:rFonts w:hint="eastAsia"/>
          <w:color w:val="auto"/>
        </w:rPr>
        <w:t>土壤环境</w:t>
      </w:r>
      <w:r>
        <w:rPr>
          <w:color w:val="auto"/>
        </w:rPr>
        <w:t>质量现状评价</w:t>
      </w:r>
    </w:p>
    <w:p w14:paraId="4B349D08">
      <w:pPr>
        <w:spacing w:line="360" w:lineRule="auto"/>
        <w:ind w:firstLine="480"/>
        <w:rPr>
          <w:color w:val="auto"/>
        </w:rPr>
      </w:pPr>
      <w:r>
        <w:rPr>
          <w:rFonts w:hint="eastAsia"/>
          <w:color w:val="auto"/>
        </w:rPr>
        <w:t>本次评价委托</w:t>
      </w:r>
      <w:r>
        <w:rPr>
          <w:rFonts w:hint="eastAsia"/>
          <w:color w:val="auto"/>
          <w:szCs w:val="24"/>
        </w:rPr>
        <w:t>重庆国环环境监测有限公司</w:t>
      </w:r>
      <w:r>
        <w:rPr>
          <w:rFonts w:hint="eastAsia"/>
          <w:color w:val="auto"/>
        </w:rPr>
        <w:t>对拟建项目场地土壤进行环境质量现状监测。</w:t>
      </w:r>
    </w:p>
    <w:p w14:paraId="217FD339">
      <w:pPr>
        <w:spacing w:line="360" w:lineRule="auto"/>
        <w:ind w:firstLine="480"/>
        <w:rPr>
          <w:color w:val="auto"/>
        </w:rPr>
      </w:pPr>
      <w:r>
        <w:rPr>
          <w:rFonts w:hint="eastAsia"/>
          <w:color w:val="auto"/>
        </w:rPr>
        <w:t>（1）监测点位</w:t>
      </w:r>
    </w:p>
    <w:p w14:paraId="743D793D">
      <w:pPr>
        <w:spacing w:line="360" w:lineRule="auto"/>
        <w:ind w:firstLine="480"/>
        <w:rPr>
          <w:color w:val="auto"/>
        </w:rPr>
      </w:pPr>
      <w:r>
        <w:rPr>
          <w:rFonts w:hint="eastAsia"/>
          <w:color w:val="auto"/>
        </w:rPr>
        <w:t>设3个监测点位，3个监测点在用地范围内，</w:t>
      </w:r>
      <w:r>
        <w:rPr>
          <w:rFonts w:hint="eastAsia"/>
          <w:bCs/>
          <w:color w:val="auto"/>
        </w:rPr>
        <w:t>表层采样：0~0.2 m</w:t>
      </w:r>
      <w:r>
        <w:rPr>
          <w:color w:val="auto"/>
        </w:rPr>
        <w:t>。</w:t>
      </w:r>
    </w:p>
    <w:p w14:paraId="794E270E">
      <w:pPr>
        <w:spacing w:line="360" w:lineRule="auto"/>
        <w:ind w:firstLine="480"/>
        <w:rPr>
          <w:color w:val="auto"/>
        </w:rPr>
      </w:pPr>
      <w:r>
        <w:rPr>
          <w:rFonts w:hint="eastAsia"/>
          <w:color w:val="auto"/>
        </w:rPr>
        <w:t>（2）监测因子</w:t>
      </w:r>
    </w:p>
    <w:p w14:paraId="4D806A09">
      <w:pPr>
        <w:pStyle w:val="399"/>
        <w:ind w:firstLine="480"/>
        <w:rPr>
          <w:color w:val="auto"/>
        </w:rPr>
      </w:pPr>
      <w:r>
        <w:rPr>
          <w:rFonts w:hint="eastAsia"/>
          <w:color w:val="auto"/>
        </w:rPr>
        <w:t>基本项目：《土壤环境质量建设用地土壤污染风险管控标准（试行）》（GB 36600-2018）表1中的45项；其他项目：</w:t>
      </w:r>
      <w:r>
        <w:rPr>
          <w:rFonts w:hint="eastAsia" w:hAnsi="宋体"/>
          <w:bCs/>
          <w:color w:val="auto"/>
        </w:rPr>
        <w:t xml:space="preserve"> pH、石油烃（C10-40）、硼、钡</w:t>
      </w:r>
      <w:r>
        <w:rPr>
          <w:rFonts w:hint="eastAsia"/>
          <w:color w:val="auto"/>
        </w:rPr>
        <w:t>。</w:t>
      </w:r>
    </w:p>
    <w:p w14:paraId="6EE5FBAF">
      <w:pPr>
        <w:spacing w:line="360" w:lineRule="auto"/>
        <w:ind w:firstLine="480"/>
        <w:rPr>
          <w:color w:val="auto"/>
          <w:szCs w:val="24"/>
        </w:rPr>
      </w:pPr>
      <w:r>
        <w:rPr>
          <w:rFonts w:hint="eastAsia"/>
          <w:color w:val="auto"/>
          <w:szCs w:val="24"/>
        </w:rPr>
        <w:t>（3）监测</w:t>
      </w:r>
      <w:r>
        <w:rPr>
          <w:color w:val="auto"/>
          <w:szCs w:val="24"/>
        </w:rPr>
        <w:t>时间</w:t>
      </w:r>
      <w:r>
        <w:rPr>
          <w:rFonts w:hint="eastAsia"/>
          <w:color w:val="auto"/>
          <w:szCs w:val="24"/>
        </w:rPr>
        <w:t>及</w:t>
      </w:r>
      <w:r>
        <w:rPr>
          <w:color w:val="auto"/>
          <w:szCs w:val="24"/>
        </w:rPr>
        <w:t>频率</w:t>
      </w:r>
    </w:p>
    <w:p w14:paraId="568BDAB3">
      <w:pPr>
        <w:spacing w:line="360" w:lineRule="auto"/>
        <w:ind w:firstLine="480"/>
        <w:rPr>
          <w:color w:val="auto"/>
          <w:szCs w:val="24"/>
        </w:rPr>
      </w:pPr>
      <w:r>
        <w:rPr>
          <w:rFonts w:hint="eastAsia"/>
          <w:color w:val="auto"/>
          <w:szCs w:val="24"/>
        </w:rPr>
        <w:t>监测</w:t>
      </w:r>
      <w:r>
        <w:rPr>
          <w:color w:val="auto"/>
          <w:szCs w:val="24"/>
        </w:rPr>
        <w:t>时间为</w:t>
      </w:r>
      <w:r>
        <w:rPr>
          <w:rFonts w:hint="eastAsia"/>
          <w:color w:val="auto"/>
          <w:szCs w:val="24"/>
        </w:rPr>
        <w:t>20</w:t>
      </w:r>
      <w:r>
        <w:rPr>
          <w:color w:val="auto"/>
          <w:szCs w:val="24"/>
        </w:rPr>
        <w:t>2</w:t>
      </w:r>
      <w:r>
        <w:rPr>
          <w:rFonts w:hint="eastAsia"/>
          <w:color w:val="auto"/>
          <w:szCs w:val="24"/>
          <w:lang w:val="en-US" w:eastAsia="zh-CN"/>
        </w:rPr>
        <w:t>5</w:t>
      </w:r>
      <w:r>
        <w:rPr>
          <w:rFonts w:hint="eastAsia"/>
          <w:color w:val="auto"/>
          <w:szCs w:val="24"/>
        </w:rPr>
        <w:t>年</w:t>
      </w:r>
      <w:r>
        <w:rPr>
          <w:rFonts w:hint="eastAsia"/>
          <w:color w:val="auto"/>
          <w:szCs w:val="24"/>
          <w:lang w:val="en-US" w:eastAsia="zh-CN"/>
        </w:rPr>
        <w:t>8</w:t>
      </w:r>
      <w:r>
        <w:rPr>
          <w:rFonts w:hint="eastAsia"/>
          <w:color w:val="auto"/>
          <w:szCs w:val="24"/>
        </w:rPr>
        <w:t>月</w:t>
      </w:r>
      <w:r>
        <w:rPr>
          <w:rFonts w:hint="eastAsia"/>
          <w:color w:val="auto"/>
          <w:szCs w:val="24"/>
          <w:lang w:val="en-US" w:eastAsia="zh-CN"/>
        </w:rPr>
        <w:t>30</w:t>
      </w:r>
      <w:r>
        <w:rPr>
          <w:rFonts w:hint="eastAsia"/>
          <w:color w:val="auto"/>
          <w:szCs w:val="24"/>
        </w:rPr>
        <w:t>日；监测1天</w:t>
      </w:r>
      <w:r>
        <w:rPr>
          <w:color w:val="auto"/>
          <w:szCs w:val="24"/>
        </w:rPr>
        <w:t>，每天监测</w:t>
      </w:r>
      <w:r>
        <w:rPr>
          <w:rFonts w:hint="eastAsia"/>
          <w:color w:val="auto"/>
          <w:szCs w:val="24"/>
        </w:rPr>
        <w:t>1次</w:t>
      </w:r>
      <w:r>
        <w:rPr>
          <w:color w:val="auto"/>
          <w:szCs w:val="24"/>
        </w:rPr>
        <w:t>。</w:t>
      </w:r>
    </w:p>
    <w:p w14:paraId="1BF74BA6">
      <w:pPr>
        <w:spacing w:line="360" w:lineRule="auto"/>
        <w:ind w:firstLine="480"/>
        <w:rPr>
          <w:color w:val="auto"/>
        </w:rPr>
      </w:pPr>
      <w:r>
        <w:rPr>
          <w:rFonts w:hint="eastAsia"/>
          <w:color w:val="auto"/>
        </w:rPr>
        <w:t>（4）监测方法及评价方法</w:t>
      </w:r>
    </w:p>
    <w:p w14:paraId="5E6DAE6B">
      <w:pPr>
        <w:spacing w:line="360" w:lineRule="auto"/>
        <w:ind w:firstLine="480"/>
        <w:rPr>
          <w:color w:val="auto"/>
        </w:rPr>
      </w:pPr>
      <w:r>
        <w:rPr>
          <w:rFonts w:hint="eastAsia"/>
          <w:color w:val="auto"/>
        </w:rPr>
        <w:t>监测方法：</w:t>
      </w:r>
    </w:p>
    <w:p w14:paraId="77FCB2E9">
      <w:pPr>
        <w:spacing w:line="360" w:lineRule="auto"/>
        <w:ind w:firstLine="480"/>
        <w:rPr>
          <w:color w:val="auto"/>
        </w:rPr>
      </w:pPr>
      <w:r>
        <w:rPr>
          <w:rFonts w:hint="eastAsia"/>
          <w:color w:val="auto"/>
        </w:rPr>
        <w:t>监测取样按国家标准土壤监测分析方法进行。</w:t>
      </w:r>
    </w:p>
    <w:p w14:paraId="6BABE30D">
      <w:pPr>
        <w:spacing w:line="360" w:lineRule="auto"/>
        <w:ind w:firstLine="480"/>
        <w:rPr>
          <w:color w:val="auto"/>
        </w:rPr>
      </w:pPr>
      <w:r>
        <w:rPr>
          <w:rFonts w:hint="eastAsia"/>
          <w:color w:val="auto"/>
        </w:rPr>
        <w:t>评价方法：</w:t>
      </w:r>
    </w:p>
    <w:p w14:paraId="2F48CC73">
      <w:pPr>
        <w:spacing w:line="360" w:lineRule="auto"/>
        <w:ind w:firstLine="480"/>
        <w:rPr>
          <w:color w:val="auto"/>
        </w:rPr>
      </w:pPr>
      <w:r>
        <w:rPr>
          <w:rFonts w:hint="eastAsia"/>
          <w:color w:val="auto"/>
        </w:rPr>
        <w:t>评价采用单项污染指数法进行现状评价，计算公式为：</w:t>
      </w:r>
    </w:p>
    <w:p w14:paraId="4EB07FE6">
      <w:pPr>
        <w:spacing w:line="360" w:lineRule="auto"/>
        <w:ind w:firstLine="480"/>
        <w:rPr>
          <w:color w:val="auto"/>
        </w:rPr>
      </w:pPr>
      <w:r>
        <w:rPr>
          <w:color w:val="auto"/>
        </w:rPr>
        <w:t>Pi=Ci/Si</w:t>
      </w:r>
    </w:p>
    <w:p w14:paraId="7D5A84C8">
      <w:pPr>
        <w:spacing w:line="360" w:lineRule="auto"/>
        <w:ind w:firstLine="480"/>
        <w:rPr>
          <w:color w:val="auto"/>
        </w:rPr>
      </w:pPr>
      <w:r>
        <w:rPr>
          <w:rFonts w:hint="eastAsia"/>
          <w:color w:val="auto"/>
        </w:rPr>
        <w:t>式中：Pi——单项污染指数（无量纲）；</w:t>
      </w:r>
    </w:p>
    <w:p w14:paraId="113DFE33">
      <w:pPr>
        <w:spacing w:line="360" w:lineRule="auto"/>
        <w:ind w:firstLine="480"/>
        <w:rPr>
          <w:color w:val="auto"/>
        </w:rPr>
      </w:pPr>
      <w:r>
        <w:rPr>
          <w:rFonts w:hint="eastAsia"/>
          <w:color w:val="auto"/>
        </w:rPr>
        <w:t>Ci——i污染物在采样点的实测浓度（mg/kg）；</w:t>
      </w:r>
    </w:p>
    <w:p w14:paraId="1472D2C7">
      <w:pPr>
        <w:spacing w:line="360" w:lineRule="auto"/>
        <w:ind w:firstLine="480"/>
        <w:rPr>
          <w:color w:val="auto"/>
        </w:rPr>
      </w:pPr>
      <w:r>
        <w:rPr>
          <w:rFonts w:hint="eastAsia"/>
          <w:color w:val="auto"/>
        </w:rPr>
        <w:t>Si——i污染物的环境质量标准（mg/kg）。</w:t>
      </w:r>
    </w:p>
    <w:p w14:paraId="0031235D">
      <w:pPr>
        <w:spacing w:line="360" w:lineRule="auto"/>
        <w:ind w:firstLine="480"/>
        <w:rPr>
          <w:color w:val="auto"/>
        </w:rPr>
      </w:pPr>
      <w:r>
        <w:rPr>
          <w:rFonts w:hint="eastAsia"/>
          <w:color w:val="auto"/>
        </w:rPr>
        <w:t>（</w:t>
      </w:r>
      <w:r>
        <w:rPr>
          <w:color w:val="auto"/>
        </w:rPr>
        <w:t>5</w:t>
      </w:r>
      <w:r>
        <w:rPr>
          <w:rFonts w:hint="eastAsia"/>
          <w:color w:val="auto"/>
        </w:rPr>
        <w:t>）理化特性调查</w:t>
      </w:r>
    </w:p>
    <w:p w14:paraId="07DA2FD2">
      <w:pPr>
        <w:spacing w:line="360" w:lineRule="auto"/>
        <w:ind w:firstLine="480"/>
        <w:rPr>
          <w:color w:val="auto"/>
        </w:rPr>
      </w:pPr>
      <w:r>
        <w:rPr>
          <w:rFonts w:hint="eastAsia"/>
          <w:color w:val="auto"/>
        </w:rPr>
        <w:t>拟建项目为污水集中处理项目，土壤环境影响类型为污染影响型，建设项目对土壤的影响途径以地面漫流为主。因此，本次评价选择土地颜色、土壤结构、土体构型、土壤质地、砂砾含量、其他异物、pH、容重、孔隙度、饱和导水率、阳离子交换量、氧化还原电位等进行土壤理化特性调查。具体见表</w:t>
      </w:r>
      <w:r>
        <w:rPr>
          <w:color w:val="auto"/>
        </w:rPr>
        <w:t>4.2-</w:t>
      </w:r>
      <w:r>
        <w:rPr>
          <w:rFonts w:hint="eastAsia"/>
          <w:color w:val="auto"/>
        </w:rPr>
        <w:t>9。</w:t>
      </w:r>
    </w:p>
    <w:p w14:paraId="0EC6E808">
      <w:pPr>
        <w:spacing w:line="360" w:lineRule="auto"/>
        <w:ind w:firstLine="480"/>
        <w:rPr>
          <w:color w:val="auto"/>
        </w:rPr>
      </w:pPr>
      <w:r>
        <w:rPr>
          <w:rFonts w:hint="eastAsia"/>
          <w:color w:val="auto"/>
        </w:rPr>
        <w:t>（</w:t>
      </w:r>
      <w:r>
        <w:rPr>
          <w:color w:val="auto"/>
        </w:rPr>
        <w:t>6</w:t>
      </w:r>
      <w:r>
        <w:rPr>
          <w:rFonts w:hint="eastAsia"/>
          <w:color w:val="auto"/>
        </w:rPr>
        <w:t>）监测结果</w:t>
      </w:r>
    </w:p>
    <w:p w14:paraId="5FAB8292">
      <w:pPr>
        <w:spacing w:line="360" w:lineRule="auto"/>
        <w:ind w:firstLine="480"/>
        <w:rPr>
          <w:color w:val="auto"/>
        </w:rPr>
        <w:sectPr>
          <w:footerReference r:id="rId14" w:type="default"/>
          <w:pgSz w:w="11906" w:h="16838"/>
          <w:pgMar w:top="1418" w:right="1440" w:bottom="1418" w:left="1418" w:header="794" w:footer="851" w:gutter="0"/>
          <w:pgBorders>
            <w:top w:val="none" w:sz="0" w:space="0"/>
            <w:left w:val="none" w:sz="0" w:space="0"/>
            <w:bottom w:val="none" w:sz="0" w:space="0"/>
            <w:right w:val="none" w:sz="0" w:space="0"/>
          </w:pgBorders>
          <w:cols w:space="425" w:num="1"/>
          <w:docGrid w:linePitch="326" w:charSpace="0"/>
        </w:sectPr>
      </w:pPr>
      <w:r>
        <w:rPr>
          <w:rFonts w:hint="eastAsia"/>
          <w:color w:val="auto"/>
        </w:rPr>
        <w:t>拟建项目监测结果见表4.2-10。</w:t>
      </w:r>
    </w:p>
    <w:p w14:paraId="4835115A">
      <w:pPr>
        <w:pStyle w:val="684"/>
        <w:spacing w:beforeLines="0" w:line="360" w:lineRule="auto"/>
        <w:rPr>
          <w:color w:val="auto"/>
        </w:rPr>
      </w:pPr>
      <w:r>
        <w:rPr>
          <w:rFonts w:hint="eastAsia"/>
          <w:color w:val="auto"/>
        </w:rPr>
        <w:t>表</w:t>
      </w:r>
      <w:r>
        <w:rPr>
          <w:color w:val="auto"/>
        </w:rPr>
        <w:t>4.2-</w:t>
      </w:r>
      <w:r>
        <w:rPr>
          <w:rFonts w:hint="eastAsia"/>
          <w:color w:val="auto"/>
        </w:rPr>
        <w:t>9  土壤理化特性调查表</w:t>
      </w:r>
    </w:p>
    <w:tbl>
      <w:tblPr>
        <w:tblStyle w:val="88"/>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2"/>
        <w:gridCol w:w="2281"/>
        <w:gridCol w:w="875"/>
        <w:gridCol w:w="650"/>
        <w:gridCol w:w="787"/>
        <w:gridCol w:w="795"/>
        <w:gridCol w:w="741"/>
        <w:gridCol w:w="900"/>
        <w:gridCol w:w="594"/>
        <w:gridCol w:w="719"/>
        <w:gridCol w:w="835"/>
        <w:gridCol w:w="1250"/>
        <w:gridCol w:w="1088"/>
        <w:gridCol w:w="1454"/>
      </w:tblGrid>
      <w:tr w14:paraId="479D3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blHeader/>
          <w:jc w:val="center"/>
        </w:trPr>
        <w:tc>
          <w:tcPr>
            <w:tcW w:w="434" w:type="pct"/>
            <w:vMerge w:val="restart"/>
            <w:vAlign w:val="center"/>
          </w:tcPr>
          <w:p w14:paraId="47B5A666">
            <w:pPr>
              <w:spacing w:line="240" w:lineRule="auto"/>
              <w:ind w:firstLine="0" w:firstLineChars="0"/>
              <w:jc w:val="center"/>
              <w:rPr>
                <w:color w:val="auto"/>
                <w:kern w:val="18"/>
                <w:sz w:val="21"/>
                <w:szCs w:val="21"/>
              </w:rPr>
            </w:pPr>
            <w:r>
              <w:rPr>
                <w:rFonts w:hint="eastAsia"/>
                <w:color w:val="auto"/>
                <w:kern w:val="18"/>
                <w:sz w:val="21"/>
                <w:szCs w:val="21"/>
              </w:rPr>
              <w:t>采样</w:t>
            </w:r>
          </w:p>
          <w:p w14:paraId="5FC14667">
            <w:pPr>
              <w:spacing w:line="240" w:lineRule="auto"/>
              <w:ind w:firstLine="0" w:firstLineChars="0"/>
              <w:jc w:val="center"/>
              <w:rPr>
                <w:color w:val="auto"/>
                <w:kern w:val="18"/>
                <w:sz w:val="21"/>
                <w:szCs w:val="21"/>
              </w:rPr>
            </w:pPr>
            <w:r>
              <w:rPr>
                <w:rFonts w:hint="eastAsia"/>
                <w:color w:val="auto"/>
                <w:kern w:val="18"/>
                <w:sz w:val="21"/>
                <w:szCs w:val="21"/>
              </w:rPr>
              <w:t>区域</w:t>
            </w:r>
          </w:p>
        </w:tc>
        <w:tc>
          <w:tcPr>
            <w:tcW w:w="803" w:type="pct"/>
            <w:vMerge w:val="restart"/>
            <w:shd w:val="clear" w:color="auto" w:fill="auto"/>
            <w:vAlign w:val="center"/>
          </w:tcPr>
          <w:p w14:paraId="6C824C3F">
            <w:pPr>
              <w:spacing w:line="240" w:lineRule="auto"/>
              <w:ind w:firstLine="0" w:firstLineChars="0"/>
              <w:jc w:val="center"/>
              <w:rPr>
                <w:color w:val="auto"/>
                <w:kern w:val="18"/>
                <w:sz w:val="21"/>
                <w:szCs w:val="21"/>
              </w:rPr>
            </w:pPr>
            <w:r>
              <w:rPr>
                <w:rFonts w:hint="eastAsia"/>
                <w:color w:val="auto"/>
                <w:kern w:val="18"/>
                <w:sz w:val="21"/>
                <w:szCs w:val="21"/>
              </w:rPr>
              <w:t>监测点名称</w:t>
            </w:r>
          </w:p>
        </w:tc>
        <w:tc>
          <w:tcPr>
            <w:tcW w:w="308" w:type="pct"/>
            <w:vMerge w:val="restart"/>
            <w:vAlign w:val="center"/>
          </w:tcPr>
          <w:p w14:paraId="194F67F8">
            <w:pPr>
              <w:spacing w:line="240" w:lineRule="auto"/>
              <w:ind w:firstLine="0" w:firstLineChars="0"/>
              <w:jc w:val="center"/>
              <w:rPr>
                <w:color w:val="auto"/>
                <w:kern w:val="18"/>
                <w:sz w:val="21"/>
                <w:szCs w:val="21"/>
              </w:rPr>
            </w:pPr>
            <w:r>
              <w:rPr>
                <w:rFonts w:hint="eastAsia"/>
                <w:color w:val="auto"/>
                <w:kern w:val="18"/>
                <w:sz w:val="21"/>
                <w:szCs w:val="21"/>
              </w:rPr>
              <w:t>层次</w:t>
            </w:r>
          </w:p>
        </w:tc>
        <w:tc>
          <w:tcPr>
            <w:tcW w:w="229" w:type="pct"/>
            <w:vMerge w:val="restart"/>
            <w:vAlign w:val="center"/>
          </w:tcPr>
          <w:p w14:paraId="272C6BB7">
            <w:pPr>
              <w:pStyle w:val="691"/>
              <w:rPr>
                <w:snapToGrid/>
                <w:color w:val="auto"/>
                <w:kern w:val="18"/>
                <w:szCs w:val="21"/>
                <w:lang w:val="en-US"/>
              </w:rPr>
            </w:pPr>
            <w:r>
              <w:rPr>
                <w:rFonts w:hint="eastAsia"/>
                <w:snapToGrid/>
                <w:color w:val="auto"/>
                <w:kern w:val="18"/>
                <w:szCs w:val="21"/>
                <w:lang w:val="en-US"/>
              </w:rPr>
              <w:t>颜色</w:t>
            </w:r>
          </w:p>
        </w:tc>
        <w:tc>
          <w:tcPr>
            <w:tcW w:w="277" w:type="pct"/>
            <w:vMerge w:val="restart"/>
            <w:vAlign w:val="center"/>
          </w:tcPr>
          <w:p w14:paraId="7E54CAD5">
            <w:pPr>
              <w:spacing w:line="240" w:lineRule="auto"/>
              <w:ind w:firstLine="0" w:firstLineChars="0"/>
              <w:jc w:val="center"/>
              <w:rPr>
                <w:color w:val="auto"/>
                <w:kern w:val="18"/>
                <w:sz w:val="21"/>
                <w:szCs w:val="21"/>
              </w:rPr>
            </w:pPr>
            <w:r>
              <w:rPr>
                <w:rFonts w:hint="eastAsia"/>
                <w:color w:val="auto"/>
                <w:kern w:val="18"/>
                <w:sz w:val="21"/>
                <w:szCs w:val="21"/>
              </w:rPr>
              <w:t>其他</w:t>
            </w:r>
          </w:p>
          <w:p w14:paraId="7768273D">
            <w:pPr>
              <w:spacing w:line="240" w:lineRule="auto"/>
              <w:ind w:firstLine="0" w:firstLineChars="0"/>
              <w:jc w:val="center"/>
              <w:rPr>
                <w:color w:val="auto"/>
                <w:kern w:val="18"/>
                <w:sz w:val="21"/>
                <w:szCs w:val="21"/>
              </w:rPr>
            </w:pPr>
            <w:r>
              <w:rPr>
                <w:rFonts w:hint="eastAsia"/>
                <w:color w:val="auto"/>
                <w:kern w:val="18"/>
                <w:sz w:val="21"/>
                <w:szCs w:val="21"/>
              </w:rPr>
              <w:t>异物</w:t>
            </w:r>
          </w:p>
        </w:tc>
        <w:tc>
          <w:tcPr>
            <w:tcW w:w="280" w:type="pct"/>
            <w:vMerge w:val="restart"/>
            <w:vAlign w:val="center"/>
          </w:tcPr>
          <w:p w14:paraId="213066FA">
            <w:pPr>
              <w:pStyle w:val="691"/>
              <w:rPr>
                <w:snapToGrid/>
                <w:color w:val="auto"/>
                <w:kern w:val="18"/>
                <w:szCs w:val="21"/>
                <w:lang w:val="en-US"/>
              </w:rPr>
            </w:pPr>
            <w:r>
              <w:rPr>
                <w:rFonts w:hint="eastAsia"/>
                <w:snapToGrid/>
                <w:color w:val="auto"/>
                <w:kern w:val="18"/>
                <w:szCs w:val="21"/>
                <w:lang w:val="en-US"/>
              </w:rPr>
              <w:t>土壤</w:t>
            </w:r>
          </w:p>
          <w:p w14:paraId="14D2EFDF">
            <w:pPr>
              <w:pStyle w:val="691"/>
              <w:rPr>
                <w:snapToGrid/>
                <w:color w:val="auto"/>
                <w:kern w:val="18"/>
                <w:szCs w:val="21"/>
                <w:lang w:val="en-US"/>
              </w:rPr>
            </w:pPr>
            <w:r>
              <w:rPr>
                <w:rFonts w:hint="eastAsia"/>
                <w:snapToGrid/>
                <w:color w:val="auto"/>
                <w:kern w:val="18"/>
                <w:szCs w:val="21"/>
                <w:lang w:val="en-US"/>
              </w:rPr>
              <w:t>结构</w:t>
            </w:r>
          </w:p>
        </w:tc>
        <w:tc>
          <w:tcPr>
            <w:tcW w:w="261" w:type="pct"/>
            <w:vMerge w:val="restart"/>
            <w:vAlign w:val="center"/>
          </w:tcPr>
          <w:p w14:paraId="675B2DF7">
            <w:pPr>
              <w:pStyle w:val="691"/>
              <w:rPr>
                <w:snapToGrid/>
                <w:color w:val="auto"/>
                <w:kern w:val="18"/>
                <w:szCs w:val="21"/>
                <w:lang w:val="en-US"/>
              </w:rPr>
            </w:pPr>
            <w:r>
              <w:rPr>
                <w:rFonts w:hint="eastAsia"/>
                <w:snapToGrid/>
                <w:color w:val="auto"/>
                <w:kern w:val="18"/>
                <w:szCs w:val="21"/>
                <w:lang w:val="en-US"/>
              </w:rPr>
              <w:t>质地</w:t>
            </w:r>
          </w:p>
        </w:tc>
        <w:tc>
          <w:tcPr>
            <w:tcW w:w="317" w:type="pct"/>
            <w:vMerge w:val="restart"/>
            <w:shd w:val="clear" w:color="auto" w:fill="auto"/>
            <w:vAlign w:val="center"/>
          </w:tcPr>
          <w:p w14:paraId="53347C5C">
            <w:pPr>
              <w:spacing w:line="240" w:lineRule="auto"/>
              <w:ind w:firstLine="0" w:firstLineChars="0"/>
              <w:jc w:val="center"/>
              <w:rPr>
                <w:color w:val="auto"/>
                <w:kern w:val="18"/>
                <w:sz w:val="21"/>
                <w:szCs w:val="21"/>
              </w:rPr>
            </w:pPr>
            <w:r>
              <w:rPr>
                <w:rFonts w:hint="eastAsia"/>
                <w:color w:val="auto"/>
                <w:kern w:val="18"/>
                <w:sz w:val="21"/>
                <w:szCs w:val="21"/>
              </w:rPr>
              <w:t>砂砾</w:t>
            </w:r>
          </w:p>
          <w:p w14:paraId="3ACF36D9">
            <w:pPr>
              <w:spacing w:line="240" w:lineRule="auto"/>
              <w:ind w:firstLine="0" w:firstLineChars="0"/>
              <w:jc w:val="center"/>
              <w:rPr>
                <w:color w:val="auto"/>
                <w:kern w:val="18"/>
                <w:sz w:val="21"/>
                <w:szCs w:val="21"/>
              </w:rPr>
            </w:pPr>
            <w:r>
              <w:rPr>
                <w:rFonts w:hint="eastAsia"/>
                <w:color w:val="auto"/>
                <w:kern w:val="18"/>
                <w:sz w:val="21"/>
                <w:szCs w:val="21"/>
              </w:rPr>
              <w:t>含量%</w:t>
            </w:r>
          </w:p>
        </w:tc>
        <w:tc>
          <w:tcPr>
            <w:tcW w:w="209" w:type="pct"/>
            <w:vMerge w:val="restart"/>
            <w:shd w:val="clear" w:color="auto" w:fill="auto"/>
            <w:vAlign w:val="center"/>
          </w:tcPr>
          <w:p w14:paraId="430D16EE">
            <w:pPr>
              <w:pStyle w:val="691"/>
              <w:rPr>
                <w:snapToGrid/>
                <w:color w:val="auto"/>
                <w:kern w:val="18"/>
                <w:szCs w:val="21"/>
                <w:lang w:val="en-US"/>
              </w:rPr>
            </w:pPr>
            <w:r>
              <w:rPr>
                <w:rFonts w:hint="eastAsia"/>
                <w:snapToGrid/>
                <w:color w:val="auto"/>
                <w:kern w:val="18"/>
                <w:szCs w:val="21"/>
                <w:lang w:val="en-US"/>
              </w:rPr>
              <w:t>pH</w:t>
            </w:r>
          </w:p>
        </w:tc>
        <w:tc>
          <w:tcPr>
            <w:tcW w:w="253" w:type="pct"/>
            <w:vAlign w:val="center"/>
          </w:tcPr>
          <w:p w14:paraId="66A9AA6A">
            <w:pPr>
              <w:pStyle w:val="691"/>
              <w:rPr>
                <w:snapToGrid/>
                <w:color w:val="auto"/>
                <w:kern w:val="18"/>
                <w:szCs w:val="21"/>
                <w:lang w:val="en-US"/>
              </w:rPr>
            </w:pPr>
            <w:r>
              <w:rPr>
                <w:rFonts w:hint="eastAsia"/>
                <w:snapToGrid/>
                <w:color w:val="auto"/>
                <w:kern w:val="18"/>
                <w:szCs w:val="21"/>
                <w:lang w:val="en-US"/>
              </w:rPr>
              <w:t>容重</w:t>
            </w:r>
          </w:p>
        </w:tc>
        <w:tc>
          <w:tcPr>
            <w:tcW w:w="294" w:type="pct"/>
            <w:vAlign w:val="center"/>
          </w:tcPr>
          <w:p w14:paraId="0148783C">
            <w:pPr>
              <w:pStyle w:val="691"/>
              <w:rPr>
                <w:snapToGrid/>
                <w:color w:val="auto"/>
                <w:kern w:val="18"/>
                <w:szCs w:val="21"/>
                <w:lang w:val="en-US"/>
              </w:rPr>
            </w:pPr>
            <w:r>
              <w:rPr>
                <w:rFonts w:hint="eastAsia"/>
                <w:snapToGrid/>
                <w:color w:val="auto"/>
                <w:kern w:val="18"/>
                <w:szCs w:val="21"/>
                <w:lang w:val="en-US"/>
              </w:rPr>
              <w:t>孔隙度</w:t>
            </w:r>
          </w:p>
        </w:tc>
        <w:tc>
          <w:tcPr>
            <w:tcW w:w="440" w:type="pct"/>
            <w:vAlign w:val="center"/>
          </w:tcPr>
          <w:p w14:paraId="58F6D855">
            <w:pPr>
              <w:pStyle w:val="691"/>
              <w:rPr>
                <w:snapToGrid/>
                <w:color w:val="auto"/>
                <w:kern w:val="18"/>
                <w:szCs w:val="21"/>
                <w:lang w:val="en-US"/>
              </w:rPr>
            </w:pPr>
            <w:r>
              <w:rPr>
                <w:rFonts w:hint="eastAsia"/>
                <w:snapToGrid/>
                <w:color w:val="auto"/>
                <w:kern w:val="18"/>
                <w:szCs w:val="21"/>
                <w:lang w:val="en-US"/>
              </w:rPr>
              <w:t>饱和导水率</w:t>
            </w:r>
          </w:p>
        </w:tc>
        <w:tc>
          <w:tcPr>
            <w:tcW w:w="383" w:type="pct"/>
            <w:vAlign w:val="center"/>
          </w:tcPr>
          <w:p w14:paraId="1ED5565B">
            <w:pPr>
              <w:pStyle w:val="691"/>
              <w:rPr>
                <w:snapToGrid/>
                <w:color w:val="auto"/>
                <w:kern w:val="18"/>
                <w:szCs w:val="21"/>
                <w:lang w:val="en-US"/>
              </w:rPr>
            </w:pPr>
            <w:r>
              <w:rPr>
                <w:rFonts w:hint="eastAsia"/>
                <w:snapToGrid/>
                <w:color w:val="auto"/>
                <w:kern w:val="18"/>
                <w:szCs w:val="21"/>
                <w:lang w:val="en-US"/>
              </w:rPr>
              <w:t>阳离子</w:t>
            </w:r>
          </w:p>
          <w:p w14:paraId="241F0298">
            <w:pPr>
              <w:pStyle w:val="691"/>
              <w:rPr>
                <w:snapToGrid/>
                <w:color w:val="auto"/>
                <w:kern w:val="18"/>
                <w:szCs w:val="21"/>
                <w:lang w:val="en-US"/>
              </w:rPr>
            </w:pPr>
            <w:r>
              <w:rPr>
                <w:rFonts w:hint="eastAsia"/>
                <w:snapToGrid/>
                <w:color w:val="auto"/>
                <w:kern w:val="18"/>
                <w:szCs w:val="21"/>
                <w:lang w:val="en-US"/>
              </w:rPr>
              <w:t>交换量</w:t>
            </w:r>
          </w:p>
        </w:tc>
        <w:tc>
          <w:tcPr>
            <w:tcW w:w="512" w:type="pct"/>
            <w:vAlign w:val="center"/>
          </w:tcPr>
          <w:p w14:paraId="0CBD6A5F">
            <w:pPr>
              <w:pStyle w:val="691"/>
              <w:rPr>
                <w:snapToGrid/>
                <w:color w:val="auto"/>
                <w:kern w:val="18"/>
                <w:szCs w:val="21"/>
                <w:lang w:val="en-US"/>
              </w:rPr>
            </w:pPr>
            <w:r>
              <w:rPr>
                <w:rFonts w:hint="eastAsia"/>
                <w:snapToGrid/>
                <w:color w:val="auto"/>
                <w:kern w:val="18"/>
                <w:szCs w:val="21"/>
                <w:lang w:val="en-US"/>
              </w:rPr>
              <w:t>氧化还原电位</w:t>
            </w:r>
          </w:p>
        </w:tc>
      </w:tr>
      <w:tr w14:paraId="2E9FD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34" w:type="pct"/>
            <w:vMerge w:val="continue"/>
            <w:vAlign w:val="center"/>
          </w:tcPr>
          <w:p w14:paraId="23C7D2E3">
            <w:pPr>
              <w:spacing w:line="240" w:lineRule="auto"/>
              <w:ind w:firstLine="0" w:firstLineChars="0"/>
              <w:jc w:val="center"/>
              <w:rPr>
                <w:color w:val="auto"/>
                <w:kern w:val="18"/>
                <w:sz w:val="21"/>
                <w:szCs w:val="21"/>
              </w:rPr>
            </w:pPr>
          </w:p>
        </w:tc>
        <w:tc>
          <w:tcPr>
            <w:tcW w:w="803" w:type="pct"/>
            <w:vMerge w:val="continue"/>
            <w:shd w:val="clear" w:color="auto" w:fill="auto"/>
            <w:vAlign w:val="center"/>
          </w:tcPr>
          <w:p w14:paraId="3DC5BD44">
            <w:pPr>
              <w:spacing w:line="240" w:lineRule="auto"/>
              <w:ind w:firstLine="0" w:firstLineChars="0"/>
              <w:jc w:val="center"/>
              <w:rPr>
                <w:color w:val="auto"/>
                <w:kern w:val="18"/>
                <w:sz w:val="21"/>
                <w:szCs w:val="21"/>
              </w:rPr>
            </w:pPr>
          </w:p>
        </w:tc>
        <w:tc>
          <w:tcPr>
            <w:tcW w:w="308" w:type="pct"/>
            <w:vMerge w:val="continue"/>
            <w:vAlign w:val="center"/>
          </w:tcPr>
          <w:p w14:paraId="1AD66A15">
            <w:pPr>
              <w:spacing w:line="240" w:lineRule="auto"/>
              <w:ind w:firstLine="0" w:firstLineChars="0"/>
              <w:jc w:val="center"/>
              <w:rPr>
                <w:color w:val="auto"/>
                <w:kern w:val="18"/>
                <w:sz w:val="21"/>
                <w:szCs w:val="21"/>
              </w:rPr>
            </w:pPr>
          </w:p>
        </w:tc>
        <w:tc>
          <w:tcPr>
            <w:tcW w:w="229" w:type="pct"/>
            <w:vMerge w:val="continue"/>
            <w:vAlign w:val="center"/>
          </w:tcPr>
          <w:p w14:paraId="27801C7C">
            <w:pPr>
              <w:pStyle w:val="691"/>
              <w:rPr>
                <w:snapToGrid/>
                <w:color w:val="auto"/>
                <w:kern w:val="18"/>
                <w:szCs w:val="21"/>
                <w:lang w:val="en-US"/>
              </w:rPr>
            </w:pPr>
          </w:p>
        </w:tc>
        <w:tc>
          <w:tcPr>
            <w:tcW w:w="277" w:type="pct"/>
            <w:vMerge w:val="continue"/>
            <w:vAlign w:val="center"/>
          </w:tcPr>
          <w:p w14:paraId="09DF8AF5">
            <w:pPr>
              <w:spacing w:line="240" w:lineRule="auto"/>
              <w:ind w:firstLine="0" w:firstLineChars="0"/>
              <w:jc w:val="center"/>
              <w:rPr>
                <w:color w:val="auto"/>
                <w:kern w:val="18"/>
                <w:sz w:val="21"/>
                <w:szCs w:val="21"/>
              </w:rPr>
            </w:pPr>
          </w:p>
        </w:tc>
        <w:tc>
          <w:tcPr>
            <w:tcW w:w="280" w:type="pct"/>
            <w:vMerge w:val="continue"/>
            <w:vAlign w:val="center"/>
          </w:tcPr>
          <w:p w14:paraId="2F8FFAE3">
            <w:pPr>
              <w:pStyle w:val="691"/>
              <w:rPr>
                <w:snapToGrid/>
                <w:color w:val="auto"/>
                <w:kern w:val="18"/>
                <w:szCs w:val="21"/>
                <w:lang w:val="en-US"/>
              </w:rPr>
            </w:pPr>
          </w:p>
        </w:tc>
        <w:tc>
          <w:tcPr>
            <w:tcW w:w="261" w:type="pct"/>
            <w:vMerge w:val="continue"/>
            <w:vAlign w:val="center"/>
          </w:tcPr>
          <w:p w14:paraId="2D939BDB">
            <w:pPr>
              <w:pStyle w:val="691"/>
              <w:rPr>
                <w:snapToGrid/>
                <w:color w:val="auto"/>
                <w:kern w:val="18"/>
                <w:szCs w:val="21"/>
                <w:lang w:val="en-US"/>
              </w:rPr>
            </w:pPr>
          </w:p>
        </w:tc>
        <w:tc>
          <w:tcPr>
            <w:tcW w:w="317" w:type="pct"/>
            <w:vMerge w:val="continue"/>
            <w:shd w:val="clear" w:color="auto" w:fill="auto"/>
            <w:vAlign w:val="center"/>
          </w:tcPr>
          <w:p w14:paraId="75C8E2AC">
            <w:pPr>
              <w:spacing w:line="240" w:lineRule="auto"/>
              <w:ind w:firstLine="0" w:firstLineChars="0"/>
              <w:jc w:val="center"/>
              <w:rPr>
                <w:color w:val="auto"/>
                <w:kern w:val="18"/>
                <w:sz w:val="21"/>
                <w:szCs w:val="21"/>
              </w:rPr>
            </w:pPr>
          </w:p>
        </w:tc>
        <w:tc>
          <w:tcPr>
            <w:tcW w:w="209" w:type="pct"/>
            <w:vMerge w:val="continue"/>
            <w:shd w:val="clear" w:color="auto" w:fill="auto"/>
            <w:vAlign w:val="center"/>
          </w:tcPr>
          <w:p w14:paraId="18AC2F91">
            <w:pPr>
              <w:pStyle w:val="691"/>
              <w:rPr>
                <w:snapToGrid/>
                <w:color w:val="auto"/>
                <w:kern w:val="18"/>
                <w:szCs w:val="21"/>
                <w:lang w:val="en-US"/>
              </w:rPr>
            </w:pPr>
          </w:p>
        </w:tc>
        <w:tc>
          <w:tcPr>
            <w:tcW w:w="253" w:type="pct"/>
            <w:vAlign w:val="center"/>
          </w:tcPr>
          <w:p w14:paraId="08A5621C">
            <w:pPr>
              <w:pStyle w:val="691"/>
              <w:rPr>
                <w:snapToGrid/>
                <w:color w:val="auto"/>
                <w:kern w:val="18"/>
                <w:szCs w:val="21"/>
                <w:lang w:val="en-US"/>
              </w:rPr>
            </w:pPr>
            <w:r>
              <w:rPr>
                <w:rFonts w:hint="eastAsia"/>
                <w:snapToGrid/>
                <w:color w:val="auto"/>
                <w:kern w:val="18"/>
                <w:szCs w:val="21"/>
                <w:lang w:val="en-US"/>
              </w:rPr>
              <w:t>g/cm</w:t>
            </w:r>
            <w:r>
              <w:rPr>
                <w:rFonts w:hint="eastAsia"/>
                <w:snapToGrid/>
                <w:color w:val="auto"/>
                <w:kern w:val="18"/>
                <w:szCs w:val="21"/>
                <w:vertAlign w:val="superscript"/>
                <w:lang w:val="en-US"/>
              </w:rPr>
              <w:t>3</w:t>
            </w:r>
          </w:p>
        </w:tc>
        <w:tc>
          <w:tcPr>
            <w:tcW w:w="294" w:type="pct"/>
            <w:vAlign w:val="center"/>
          </w:tcPr>
          <w:p w14:paraId="34FB6101">
            <w:pPr>
              <w:pStyle w:val="691"/>
              <w:rPr>
                <w:snapToGrid/>
                <w:color w:val="auto"/>
                <w:kern w:val="18"/>
                <w:szCs w:val="21"/>
                <w:lang w:val="en-US"/>
              </w:rPr>
            </w:pPr>
            <w:r>
              <w:rPr>
                <w:rFonts w:hint="eastAsia"/>
                <w:snapToGrid/>
                <w:color w:val="auto"/>
                <w:kern w:val="18"/>
                <w:szCs w:val="21"/>
                <w:lang w:val="en-US"/>
              </w:rPr>
              <w:t>%</w:t>
            </w:r>
          </w:p>
        </w:tc>
        <w:tc>
          <w:tcPr>
            <w:tcW w:w="440" w:type="pct"/>
            <w:vAlign w:val="center"/>
          </w:tcPr>
          <w:p w14:paraId="2F5D0006">
            <w:pPr>
              <w:pStyle w:val="691"/>
              <w:rPr>
                <w:snapToGrid/>
                <w:color w:val="auto"/>
                <w:kern w:val="18"/>
                <w:szCs w:val="21"/>
                <w:lang w:val="en-US"/>
              </w:rPr>
            </w:pPr>
            <w:r>
              <w:rPr>
                <w:rFonts w:hint="eastAsia"/>
                <w:snapToGrid/>
                <w:color w:val="auto"/>
                <w:kern w:val="18"/>
                <w:szCs w:val="21"/>
                <w:lang w:val="en-US"/>
              </w:rPr>
              <w:t>mm/min</w:t>
            </w:r>
          </w:p>
        </w:tc>
        <w:tc>
          <w:tcPr>
            <w:tcW w:w="383" w:type="pct"/>
            <w:vAlign w:val="center"/>
          </w:tcPr>
          <w:p w14:paraId="725172DF">
            <w:pPr>
              <w:pStyle w:val="691"/>
              <w:rPr>
                <w:snapToGrid/>
                <w:color w:val="auto"/>
                <w:kern w:val="18"/>
                <w:szCs w:val="21"/>
                <w:lang w:val="en-US"/>
              </w:rPr>
            </w:pPr>
            <w:r>
              <w:rPr>
                <w:rFonts w:hint="eastAsia"/>
                <w:snapToGrid/>
                <w:color w:val="auto"/>
                <w:kern w:val="18"/>
                <w:szCs w:val="21"/>
                <w:lang w:val="en-US"/>
              </w:rPr>
              <w:t>Cmol+/kg</w:t>
            </w:r>
          </w:p>
        </w:tc>
        <w:tc>
          <w:tcPr>
            <w:tcW w:w="512" w:type="pct"/>
            <w:vAlign w:val="center"/>
          </w:tcPr>
          <w:p w14:paraId="02AB6C9E">
            <w:pPr>
              <w:pStyle w:val="691"/>
              <w:rPr>
                <w:snapToGrid/>
                <w:color w:val="auto"/>
                <w:kern w:val="18"/>
                <w:szCs w:val="21"/>
                <w:lang w:val="en-US"/>
              </w:rPr>
            </w:pPr>
            <w:r>
              <w:rPr>
                <w:rFonts w:hint="eastAsia"/>
                <w:snapToGrid/>
                <w:color w:val="auto"/>
                <w:kern w:val="18"/>
                <w:szCs w:val="21"/>
                <w:lang w:val="en-US"/>
              </w:rPr>
              <w:t>mV</w:t>
            </w:r>
          </w:p>
        </w:tc>
      </w:tr>
      <w:tr w14:paraId="3B8F5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Align w:val="center"/>
          </w:tcPr>
          <w:p w14:paraId="3CB64571">
            <w:pPr>
              <w:spacing w:line="240" w:lineRule="auto"/>
              <w:ind w:firstLine="0" w:firstLineChars="0"/>
              <w:jc w:val="center"/>
              <w:rPr>
                <w:color w:val="auto"/>
                <w:kern w:val="18"/>
                <w:sz w:val="21"/>
                <w:szCs w:val="21"/>
              </w:rPr>
            </w:pPr>
            <w:r>
              <w:rPr>
                <w:rFonts w:hint="eastAsia"/>
                <w:color w:val="auto"/>
                <w:kern w:val="18"/>
                <w:sz w:val="21"/>
                <w:szCs w:val="21"/>
              </w:rPr>
              <w:t>场地内</w:t>
            </w:r>
          </w:p>
        </w:tc>
        <w:tc>
          <w:tcPr>
            <w:tcW w:w="803" w:type="pct"/>
            <w:shd w:val="clear" w:color="auto" w:fill="auto"/>
            <w:vAlign w:val="center"/>
          </w:tcPr>
          <w:p w14:paraId="3D41D217">
            <w:pPr>
              <w:spacing w:line="240" w:lineRule="auto"/>
              <w:ind w:firstLine="0" w:firstLineChars="0"/>
              <w:jc w:val="center"/>
              <w:rPr>
                <w:rFonts w:hint="eastAsia"/>
                <w:color w:val="auto"/>
                <w:kern w:val="18"/>
                <w:sz w:val="21"/>
                <w:szCs w:val="21"/>
              </w:rPr>
            </w:pPr>
            <w:r>
              <w:rPr>
                <w:rFonts w:hint="eastAsia"/>
                <w:color w:val="auto"/>
                <w:kern w:val="18"/>
                <w:sz w:val="21"/>
                <w:szCs w:val="21"/>
              </w:rPr>
              <w:t>项目场地中部（</w:t>
            </w:r>
            <w:r>
              <w:rPr>
                <w:rFonts w:hint="eastAsia"/>
                <w:color w:val="auto"/>
                <w:kern w:val="18"/>
                <w:sz w:val="21"/>
                <w:szCs w:val="21"/>
                <w:lang w:val="en-US" w:eastAsia="zh-CN"/>
              </w:rPr>
              <w:t>东经</w:t>
            </w:r>
            <w:r>
              <w:rPr>
                <w:rFonts w:hint="eastAsia"/>
                <w:color w:val="auto"/>
                <w:kern w:val="18"/>
                <w:sz w:val="21"/>
                <w:szCs w:val="21"/>
              </w:rPr>
              <w:t>108°0'39"</w:t>
            </w:r>
            <w:r>
              <w:rPr>
                <w:rFonts w:hint="eastAsia"/>
                <w:color w:val="auto"/>
                <w:kern w:val="18"/>
                <w:sz w:val="21"/>
                <w:szCs w:val="21"/>
                <w:lang w:eastAsia="zh-CN"/>
              </w:rPr>
              <w:t>，</w:t>
            </w:r>
            <w:r>
              <w:rPr>
                <w:rFonts w:hint="eastAsia"/>
                <w:color w:val="auto"/>
                <w:kern w:val="18"/>
                <w:sz w:val="21"/>
                <w:szCs w:val="21"/>
              </w:rPr>
              <w:t>北纬</w:t>
            </w:r>
          </w:p>
          <w:p w14:paraId="44D9240C">
            <w:pPr>
              <w:spacing w:line="240" w:lineRule="auto"/>
              <w:ind w:firstLine="0" w:firstLineChars="0"/>
              <w:jc w:val="center"/>
              <w:rPr>
                <w:color w:val="auto"/>
                <w:kern w:val="18"/>
                <w:sz w:val="21"/>
                <w:szCs w:val="21"/>
              </w:rPr>
            </w:pPr>
            <w:r>
              <w:rPr>
                <w:rFonts w:hint="eastAsia"/>
                <w:color w:val="auto"/>
                <w:kern w:val="18"/>
                <w:sz w:val="21"/>
                <w:szCs w:val="21"/>
              </w:rPr>
              <w:t>30°13'2"</w:t>
            </w:r>
            <w:r>
              <w:rPr>
                <w:rFonts w:hint="eastAsia"/>
                <w:color w:val="auto"/>
                <w:kern w:val="18"/>
                <w:sz w:val="21"/>
                <w:szCs w:val="21"/>
                <w:lang w:eastAsia="zh-CN"/>
              </w:rPr>
              <w:t>)</w:t>
            </w:r>
            <w:r>
              <w:rPr>
                <w:rFonts w:hint="eastAsia"/>
                <w:color w:val="auto"/>
                <w:kern w:val="18"/>
                <w:sz w:val="21"/>
                <w:szCs w:val="21"/>
                <w:lang w:val="en-US" w:eastAsia="zh-CN"/>
              </w:rPr>
              <w:t>S</w:t>
            </w:r>
            <w:r>
              <w:rPr>
                <w:rFonts w:hint="eastAsia"/>
                <w:color w:val="auto"/>
                <w:kern w:val="18"/>
                <w:sz w:val="21"/>
                <w:szCs w:val="21"/>
              </w:rPr>
              <w:t>2</w:t>
            </w:r>
          </w:p>
        </w:tc>
        <w:tc>
          <w:tcPr>
            <w:tcW w:w="308" w:type="pct"/>
            <w:vAlign w:val="center"/>
          </w:tcPr>
          <w:p w14:paraId="1BB18F9C">
            <w:pPr>
              <w:pStyle w:val="691"/>
              <w:rPr>
                <w:snapToGrid/>
                <w:color w:val="auto"/>
                <w:kern w:val="18"/>
                <w:szCs w:val="21"/>
                <w:lang w:val="en-US"/>
              </w:rPr>
            </w:pPr>
            <w:r>
              <w:rPr>
                <w:rFonts w:hint="eastAsia"/>
                <w:snapToGrid/>
                <w:color w:val="auto"/>
                <w:kern w:val="18"/>
                <w:szCs w:val="21"/>
                <w:lang w:val="en-US"/>
              </w:rPr>
              <w:t>0~0.2m</w:t>
            </w:r>
          </w:p>
        </w:tc>
        <w:tc>
          <w:tcPr>
            <w:tcW w:w="229" w:type="pct"/>
            <w:vAlign w:val="center"/>
          </w:tcPr>
          <w:p w14:paraId="194CF14C">
            <w:pPr>
              <w:pStyle w:val="691"/>
              <w:rPr>
                <w:snapToGrid/>
                <w:color w:val="auto"/>
                <w:kern w:val="18"/>
                <w:szCs w:val="21"/>
                <w:lang w:val="en-US"/>
              </w:rPr>
            </w:pPr>
            <w:r>
              <w:rPr>
                <w:rFonts w:hint="eastAsia"/>
                <w:snapToGrid/>
                <w:color w:val="auto"/>
                <w:kern w:val="18"/>
                <w:szCs w:val="21"/>
                <w:lang w:val="en-US"/>
              </w:rPr>
              <w:t>红棕色</w:t>
            </w:r>
          </w:p>
        </w:tc>
        <w:tc>
          <w:tcPr>
            <w:tcW w:w="277" w:type="pct"/>
            <w:vAlign w:val="center"/>
          </w:tcPr>
          <w:p w14:paraId="37A8DCB0">
            <w:pPr>
              <w:spacing w:line="240" w:lineRule="auto"/>
              <w:ind w:firstLine="0" w:firstLineChars="0"/>
              <w:jc w:val="center"/>
              <w:rPr>
                <w:color w:val="auto"/>
                <w:kern w:val="18"/>
                <w:sz w:val="21"/>
                <w:szCs w:val="21"/>
              </w:rPr>
            </w:pPr>
            <w:r>
              <w:rPr>
                <w:rFonts w:hint="eastAsia"/>
                <w:color w:val="auto"/>
                <w:kern w:val="18"/>
                <w:sz w:val="21"/>
                <w:szCs w:val="21"/>
              </w:rPr>
              <w:t>少量根系</w:t>
            </w:r>
          </w:p>
        </w:tc>
        <w:tc>
          <w:tcPr>
            <w:tcW w:w="280" w:type="pct"/>
            <w:vAlign w:val="center"/>
          </w:tcPr>
          <w:p w14:paraId="2B12861D">
            <w:pPr>
              <w:spacing w:line="240" w:lineRule="auto"/>
              <w:ind w:firstLine="0" w:firstLineChars="0"/>
              <w:jc w:val="center"/>
              <w:rPr>
                <w:rFonts w:hint="default" w:eastAsia="宋体"/>
                <w:color w:val="auto"/>
                <w:kern w:val="18"/>
                <w:sz w:val="21"/>
                <w:szCs w:val="21"/>
                <w:lang w:val="en-US" w:eastAsia="zh-CN"/>
              </w:rPr>
            </w:pPr>
            <w:r>
              <w:rPr>
                <w:rFonts w:hint="eastAsia"/>
                <w:color w:val="auto"/>
                <w:kern w:val="18"/>
                <w:sz w:val="21"/>
                <w:szCs w:val="21"/>
                <w:lang w:val="en-US" w:eastAsia="zh-CN"/>
              </w:rPr>
              <w:t>团砾结构</w:t>
            </w:r>
          </w:p>
        </w:tc>
        <w:tc>
          <w:tcPr>
            <w:tcW w:w="261" w:type="pct"/>
            <w:vAlign w:val="center"/>
          </w:tcPr>
          <w:p w14:paraId="20AB85E0">
            <w:pPr>
              <w:pStyle w:val="691"/>
              <w:rPr>
                <w:snapToGrid/>
                <w:color w:val="auto"/>
                <w:kern w:val="18"/>
                <w:szCs w:val="21"/>
                <w:lang w:val="en-US"/>
              </w:rPr>
            </w:pPr>
            <w:r>
              <w:rPr>
                <w:rFonts w:hint="eastAsia"/>
                <w:snapToGrid/>
                <w:color w:val="auto"/>
                <w:kern w:val="18"/>
                <w:szCs w:val="21"/>
                <w:lang w:val="en-US"/>
              </w:rPr>
              <w:t>砂土</w:t>
            </w:r>
          </w:p>
        </w:tc>
        <w:tc>
          <w:tcPr>
            <w:tcW w:w="317" w:type="pct"/>
            <w:shd w:val="clear" w:color="auto" w:fill="auto"/>
            <w:vAlign w:val="center"/>
          </w:tcPr>
          <w:p w14:paraId="45A6F04D">
            <w:pPr>
              <w:spacing w:line="240" w:lineRule="auto"/>
              <w:ind w:firstLine="0" w:firstLineChars="0"/>
              <w:jc w:val="center"/>
              <w:rPr>
                <w:rFonts w:hint="default" w:eastAsia="宋体"/>
                <w:color w:val="auto"/>
                <w:kern w:val="18"/>
                <w:sz w:val="21"/>
                <w:szCs w:val="21"/>
                <w:lang w:val="en-US" w:eastAsia="zh-CN"/>
              </w:rPr>
            </w:pPr>
            <w:r>
              <w:rPr>
                <w:rFonts w:hint="eastAsia"/>
                <w:color w:val="auto"/>
                <w:kern w:val="18"/>
                <w:sz w:val="21"/>
                <w:szCs w:val="21"/>
                <w:lang w:val="en-US" w:eastAsia="zh-CN"/>
              </w:rPr>
              <w:t>17</w:t>
            </w:r>
          </w:p>
        </w:tc>
        <w:tc>
          <w:tcPr>
            <w:tcW w:w="209" w:type="pct"/>
            <w:shd w:val="clear" w:color="auto" w:fill="auto"/>
            <w:vAlign w:val="center"/>
          </w:tcPr>
          <w:p w14:paraId="3910E9F4">
            <w:pPr>
              <w:spacing w:line="240" w:lineRule="auto"/>
              <w:ind w:firstLine="0" w:firstLineChars="0"/>
              <w:jc w:val="center"/>
              <w:rPr>
                <w:rFonts w:hint="default" w:eastAsia="宋体"/>
                <w:color w:val="auto"/>
                <w:kern w:val="18"/>
                <w:sz w:val="21"/>
                <w:szCs w:val="21"/>
                <w:lang w:val="en-US" w:eastAsia="zh-CN"/>
              </w:rPr>
            </w:pPr>
            <w:r>
              <w:rPr>
                <w:rFonts w:hint="eastAsia"/>
                <w:color w:val="auto"/>
                <w:kern w:val="18"/>
                <w:sz w:val="21"/>
                <w:szCs w:val="21"/>
                <w:lang w:val="en-US" w:eastAsia="zh-CN"/>
              </w:rPr>
              <w:t>7.52</w:t>
            </w:r>
          </w:p>
        </w:tc>
        <w:tc>
          <w:tcPr>
            <w:tcW w:w="253" w:type="pct"/>
            <w:vAlign w:val="center"/>
          </w:tcPr>
          <w:p w14:paraId="3601018B">
            <w:pPr>
              <w:spacing w:line="240" w:lineRule="auto"/>
              <w:ind w:firstLine="0" w:firstLineChars="0"/>
              <w:jc w:val="center"/>
              <w:rPr>
                <w:rFonts w:hint="default" w:eastAsia="宋体"/>
                <w:color w:val="auto"/>
                <w:kern w:val="18"/>
                <w:sz w:val="21"/>
                <w:szCs w:val="21"/>
                <w:lang w:val="en-US" w:eastAsia="zh-CN"/>
              </w:rPr>
            </w:pPr>
            <w:r>
              <w:rPr>
                <w:rFonts w:hint="eastAsia"/>
                <w:color w:val="auto"/>
                <w:kern w:val="18"/>
                <w:sz w:val="21"/>
                <w:szCs w:val="21"/>
                <w:lang w:val="en-US" w:eastAsia="zh-CN"/>
              </w:rPr>
              <w:t>0.97</w:t>
            </w:r>
          </w:p>
        </w:tc>
        <w:tc>
          <w:tcPr>
            <w:tcW w:w="294" w:type="pct"/>
            <w:vAlign w:val="center"/>
          </w:tcPr>
          <w:p w14:paraId="343360E1">
            <w:pPr>
              <w:spacing w:line="240" w:lineRule="auto"/>
              <w:ind w:firstLine="0" w:firstLineChars="0"/>
              <w:jc w:val="center"/>
              <w:rPr>
                <w:rFonts w:hint="default" w:eastAsia="宋体"/>
                <w:color w:val="auto"/>
                <w:kern w:val="18"/>
                <w:sz w:val="21"/>
                <w:szCs w:val="21"/>
                <w:lang w:val="en-US" w:eastAsia="zh-CN"/>
              </w:rPr>
            </w:pPr>
            <w:r>
              <w:rPr>
                <w:rFonts w:hint="eastAsia"/>
                <w:color w:val="auto"/>
                <w:kern w:val="18"/>
                <w:sz w:val="21"/>
                <w:szCs w:val="21"/>
                <w:lang w:val="en-US" w:eastAsia="zh-CN"/>
              </w:rPr>
              <w:t>43.26</w:t>
            </w:r>
          </w:p>
        </w:tc>
        <w:tc>
          <w:tcPr>
            <w:tcW w:w="440" w:type="pct"/>
            <w:vAlign w:val="center"/>
          </w:tcPr>
          <w:p w14:paraId="626643E4">
            <w:pPr>
              <w:spacing w:line="240" w:lineRule="auto"/>
              <w:ind w:firstLine="0" w:firstLineChars="0"/>
              <w:jc w:val="center"/>
              <w:rPr>
                <w:rFonts w:hint="default" w:eastAsia="宋体"/>
                <w:color w:val="auto"/>
                <w:kern w:val="18"/>
                <w:sz w:val="21"/>
                <w:szCs w:val="21"/>
                <w:lang w:val="en-US" w:eastAsia="zh-CN"/>
              </w:rPr>
            </w:pPr>
            <w:r>
              <w:rPr>
                <w:rFonts w:hint="eastAsia"/>
                <w:color w:val="auto"/>
                <w:kern w:val="18"/>
                <w:sz w:val="21"/>
                <w:szCs w:val="21"/>
                <w:lang w:val="en-US" w:eastAsia="zh-CN"/>
              </w:rPr>
              <w:t>1.03</w:t>
            </w:r>
          </w:p>
        </w:tc>
        <w:tc>
          <w:tcPr>
            <w:tcW w:w="383" w:type="pct"/>
            <w:vAlign w:val="center"/>
          </w:tcPr>
          <w:p w14:paraId="45B7A77A">
            <w:pPr>
              <w:spacing w:line="240" w:lineRule="auto"/>
              <w:ind w:firstLine="0" w:firstLineChars="0"/>
              <w:jc w:val="center"/>
              <w:rPr>
                <w:rFonts w:hint="default" w:eastAsia="宋体"/>
                <w:color w:val="auto"/>
                <w:kern w:val="18"/>
                <w:sz w:val="21"/>
                <w:szCs w:val="21"/>
                <w:lang w:val="en-US" w:eastAsia="zh-CN"/>
              </w:rPr>
            </w:pPr>
            <w:r>
              <w:rPr>
                <w:rFonts w:hint="eastAsia"/>
                <w:color w:val="auto"/>
                <w:kern w:val="18"/>
                <w:sz w:val="21"/>
                <w:szCs w:val="21"/>
                <w:lang w:val="en-US" w:eastAsia="zh-CN"/>
              </w:rPr>
              <w:t>21.4</w:t>
            </w:r>
          </w:p>
        </w:tc>
        <w:tc>
          <w:tcPr>
            <w:tcW w:w="512" w:type="pct"/>
            <w:vAlign w:val="center"/>
          </w:tcPr>
          <w:p w14:paraId="3CE311CB">
            <w:pPr>
              <w:spacing w:line="240" w:lineRule="auto"/>
              <w:ind w:firstLine="0" w:firstLineChars="0"/>
              <w:jc w:val="center"/>
              <w:rPr>
                <w:rFonts w:hint="default" w:eastAsia="宋体"/>
                <w:color w:val="auto"/>
                <w:kern w:val="18"/>
                <w:sz w:val="21"/>
                <w:szCs w:val="21"/>
                <w:lang w:val="en-US" w:eastAsia="zh-CN"/>
              </w:rPr>
            </w:pPr>
            <w:r>
              <w:rPr>
                <w:rFonts w:hint="eastAsia"/>
                <w:color w:val="auto"/>
                <w:kern w:val="18"/>
                <w:sz w:val="21"/>
                <w:szCs w:val="21"/>
                <w:lang w:val="en-US" w:eastAsia="zh-CN"/>
              </w:rPr>
              <w:t>217</w:t>
            </w:r>
          </w:p>
        </w:tc>
      </w:tr>
    </w:tbl>
    <w:p w14:paraId="6A377A07">
      <w:pPr>
        <w:pStyle w:val="684"/>
        <w:spacing w:before="72" w:after="120"/>
        <w:rPr>
          <w:color w:val="auto"/>
        </w:rPr>
      </w:pPr>
      <w:r>
        <w:rPr>
          <w:rFonts w:hint="eastAsia"/>
          <w:color w:val="auto"/>
        </w:rPr>
        <w:t>表</w:t>
      </w:r>
      <w:r>
        <w:rPr>
          <w:color w:val="auto"/>
        </w:rPr>
        <w:t>4.2-</w:t>
      </w:r>
      <w:r>
        <w:rPr>
          <w:rFonts w:hint="eastAsia"/>
          <w:color w:val="auto"/>
        </w:rPr>
        <w:t>10  建设用地土壤环境质量现状监测结果一览表</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8"/>
        <w:gridCol w:w="3154"/>
        <w:gridCol w:w="2073"/>
        <w:gridCol w:w="1843"/>
        <w:gridCol w:w="2312"/>
        <w:gridCol w:w="1919"/>
        <w:gridCol w:w="1689"/>
      </w:tblGrid>
      <w:tr w14:paraId="4D4F2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blHeader/>
          <w:jc w:val="center"/>
        </w:trPr>
        <w:tc>
          <w:tcPr>
            <w:tcW w:w="432" w:type="pct"/>
            <w:vMerge w:val="restart"/>
            <w:shd w:val="clear" w:color="auto" w:fill="auto"/>
            <w:vAlign w:val="center"/>
          </w:tcPr>
          <w:p w14:paraId="6A90D136">
            <w:pPr>
              <w:pStyle w:val="3280"/>
              <w:rPr>
                <w:color w:val="auto"/>
              </w:rPr>
            </w:pPr>
            <w:r>
              <w:rPr>
                <w:rFonts w:hint="eastAsia"/>
                <w:color w:val="auto"/>
              </w:rPr>
              <w:t>序号</w:t>
            </w:r>
          </w:p>
        </w:tc>
        <w:tc>
          <w:tcPr>
            <w:tcW w:w="1109" w:type="pct"/>
            <w:vMerge w:val="restart"/>
            <w:shd w:val="clear" w:color="auto" w:fill="auto"/>
            <w:vAlign w:val="center"/>
          </w:tcPr>
          <w:p w14:paraId="619CEDCD">
            <w:pPr>
              <w:pStyle w:val="3280"/>
              <w:rPr>
                <w:color w:val="auto"/>
              </w:rPr>
            </w:pPr>
            <w:r>
              <w:rPr>
                <w:rFonts w:hint="eastAsia"/>
                <w:color w:val="auto"/>
              </w:rPr>
              <w:t>污染物项目</w:t>
            </w:r>
          </w:p>
        </w:tc>
        <w:tc>
          <w:tcPr>
            <w:tcW w:w="2190" w:type="pct"/>
            <w:gridSpan w:val="3"/>
            <w:shd w:val="clear" w:color="auto" w:fill="auto"/>
            <w:vAlign w:val="center"/>
          </w:tcPr>
          <w:p w14:paraId="19F75461">
            <w:pPr>
              <w:pStyle w:val="3280"/>
              <w:rPr>
                <w:color w:val="auto"/>
              </w:rPr>
            </w:pPr>
            <w:r>
              <w:rPr>
                <w:rFonts w:hint="eastAsia"/>
                <w:color w:val="auto"/>
              </w:rPr>
              <w:t>监测值</w:t>
            </w:r>
            <w:r>
              <w:rPr>
                <w:rFonts w:hint="eastAsia"/>
                <w:color w:val="auto"/>
                <w:lang w:eastAsia="zh-CN"/>
              </w:rPr>
              <w:t>（</w:t>
            </w:r>
            <w:r>
              <w:rPr>
                <w:rFonts w:hint="eastAsia"/>
                <w:color w:val="auto"/>
                <w:lang w:val="en-US" w:eastAsia="zh-CN"/>
              </w:rPr>
              <w:t>mg/kg</w:t>
            </w:r>
            <w:r>
              <w:rPr>
                <w:rFonts w:hint="eastAsia"/>
                <w:color w:val="auto"/>
                <w:lang w:eastAsia="zh-CN"/>
              </w:rPr>
              <w:t>）</w:t>
            </w:r>
          </w:p>
        </w:tc>
        <w:tc>
          <w:tcPr>
            <w:tcW w:w="675" w:type="pct"/>
            <w:vMerge w:val="restart"/>
            <w:shd w:val="clear" w:color="auto" w:fill="auto"/>
            <w:vAlign w:val="center"/>
          </w:tcPr>
          <w:p w14:paraId="7999637D">
            <w:pPr>
              <w:pStyle w:val="3280"/>
              <w:rPr>
                <w:color w:val="auto"/>
              </w:rPr>
            </w:pPr>
            <w:r>
              <w:rPr>
                <w:rFonts w:hint="eastAsia"/>
                <w:color w:val="auto"/>
              </w:rPr>
              <w:t>第二类用地</w:t>
            </w:r>
          </w:p>
          <w:p w14:paraId="1B73A9C8">
            <w:pPr>
              <w:pStyle w:val="3280"/>
              <w:rPr>
                <w:color w:val="auto"/>
              </w:rPr>
            </w:pPr>
            <w:r>
              <w:rPr>
                <w:rFonts w:hint="eastAsia"/>
                <w:color w:val="auto"/>
              </w:rPr>
              <w:t>筛选值</w:t>
            </w:r>
            <w:r>
              <w:rPr>
                <w:rFonts w:hint="eastAsia"/>
                <w:color w:val="auto"/>
                <w:lang w:eastAsia="zh-CN"/>
              </w:rPr>
              <w:t>（</w:t>
            </w:r>
            <w:r>
              <w:rPr>
                <w:rFonts w:hint="eastAsia"/>
                <w:color w:val="auto"/>
                <w:lang w:val="en-US" w:eastAsia="zh-CN"/>
              </w:rPr>
              <w:t>mg/kg</w:t>
            </w:r>
            <w:r>
              <w:rPr>
                <w:rFonts w:hint="eastAsia"/>
                <w:color w:val="auto"/>
                <w:lang w:eastAsia="zh-CN"/>
              </w:rPr>
              <w:t>）</w:t>
            </w:r>
          </w:p>
        </w:tc>
        <w:tc>
          <w:tcPr>
            <w:tcW w:w="591" w:type="pct"/>
            <w:vMerge w:val="restart"/>
            <w:shd w:val="clear" w:color="auto" w:fill="auto"/>
            <w:vAlign w:val="center"/>
          </w:tcPr>
          <w:p w14:paraId="40384846">
            <w:pPr>
              <w:pStyle w:val="3280"/>
              <w:rPr>
                <w:color w:val="auto"/>
              </w:rPr>
            </w:pPr>
            <w:r>
              <w:rPr>
                <w:rFonts w:hint="eastAsia"/>
                <w:color w:val="auto"/>
              </w:rPr>
              <w:t>Sij值</w:t>
            </w:r>
          </w:p>
        </w:tc>
      </w:tr>
      <w:tr w14:paraId="3E07E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32" w:type="pct"/>
            <w:vMerge w:val="continue"/>
            <w:shd w:val="clear" w:color="auto" w:fill="auto"/>
            <w:vAlign w:val="center"/>
          </w:tcPr>
          <w:p w14:paraId="561AD383">
            <w:pPr>
              <w:pStyle w:val="3280"/>
              <w:rPr>
                <w:color w:val="auto"/>
              </w:rPr>
            </w:pPr>
          </w:p>
        </w:tc>
        <w:tc>
          <w:tcPr>
            <w:tcW w:w="1109" w:type="pct"/>
            <w:vMerge w:val="continue"/>
            <w:shd w:val="clear" w:color="auto" w:fill="auto"/>
            <w:vAlign w:val="center"/>
          </w:tcPr>
          <w:p w14:paraId="34A719CE">
            <w:pPr>
              <w:pStyle w:val="3280"/>
              <w:rPr>
                <w:color w:val="auto"/>
              </w:rPr>
            </w:pPr>
          </w:p>
        </w:tc>
        <w:tc>
          <w:tcPr>
            <w:tcW w:w="729" w:type="pct"/>
            <w:shd w:val="clear" w:color="auto" w:fill="auto"/>
            <w:vAlign w:val="center"/>
          </w:tcPr>
          <w:p w14:paraId="38A60E23">
            <w:pPr>
              <w:pStyle w:val="3280"/>
              <w:rPr>
                <w:rFonts w:hint="eastAsia" w:eastAsia="宋体"/>
                <w:color w:val="auto"/>
                <w:lang w:eastAsia="zh-CN"/>
              </w:rPr>
            </w:pPr>
            <w:r>
              <w:rPr>
                <w:rFonts w:hint="eastAsia"/>
                <w:color w:val="auto"/>
              </w:rPr>
              <w:t>□T1</w:t>
            </w:r>
          </w:p>
        </w:tc>
        <w:tc>
          <w:tcPr>
            <w:tcW w:w="648" w:type="pct"/>
            <w:shd w:val="clear" w:color="auto" w:fill="auto"/>
            <w:vAlign w:val="center"/>
          </w:tcPr>
          <w:p w14:paraId="7B291638">
            <w:pPr>
              <w:pStyle w:val="3280"/>
              <w:rPr>
                <w:color w:val="auto"/>
              </w:rPr>
            </w:pPr>
            <w:r>
              <w:rPr>
                <w:rFonts w:hint="eastAsia"/>
                <w:color w:val="auto"/>
              </w:rPr>
              <w:t>□T2</w:t>
            </w:r>
          </w:p>
        </w:tc>
        <w:tc>
          <w:tcPr>
            <w:tcW w:w="813" w:type="pct"/>
            <w:shd w:val="clear" w:color="auto" w:fill="auto"/>
            <w:vAlign w:val="center"/>
          </w:tcPr>
          <w:p w14:paraId="008FF0A4">
            <w:pPr>
              <w:pStyle w:val="3280"/>
              <w:rPr>
                <w:color w:val="auto"/>
              </w:rPr>
            </w:pPr>
            <w:r>
              <w:rPr>
                <w:rFonts w:hint="eastAsia"/>
                <w:color w:val="auto"/>
              </w:rPr>
              <w:t>□T3</w:t>
            </w:r>
          </w:p>
        </w:tc>
        <w:tc>
          <w:tcPr>
            <w:tcW w:w="675" w:type="pct"/>
            <w:vMerge w:val="continue"/>
            <w:shd w:val="clear" w:color="auto" w:fill="auto"/>
            <w:vAlign w:val="center"/>
          </w:tcPr>
          <w:p w14:paraId="4BF9C54D">
            <w:pPr>
              <w:pStyle w:val="3280"/>
              <w:rPr>
                <w:color w:val="auto"/>
              </w:rPr>
            </w:pPr>
          </w:p>
        </w:tc>
        <w:tc>
          <w:tcPr>
            <w:tcW w:w="591" w:type="pct"/>
            <w:vMerge w:val="continue"/>
            <w:shd w:val="clear" w:color="auto" w:fill="auto"/>
            <w:vAlign w:val="center"/>
          </w:tcPr>
          <w:p w14:paraId="787C2B75">
            <w:pPr>
              <w:pStyle w:val="3280"/>
              <w:rPr>
                <w:color w:val="auto"/>
              </w:rPr>
            </w:pPr>
          </w:p>
        </w:tc>
      </w:tr>
      <w:tr w14:paraId="52E48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7"/>
            <w:vAlign w:val="center"/>
          </w:tcPr>
          <w:p w14:paraId="73E10696">
            <w:pPr>
              <w:pStyle w:val="3280"/>
              <w:rPr>
                <w:color w:val="auto"/>
              </w:rPr>
            </w:pPr>
            <w:r>
              <w:rPr>
                <w:rFonts w:hint="eastAsia"/>
                <w:color w:val="auto"/>
              </w:rPr>
              <w:t>重金属和无机物</w:t>
            </w:r>
          </w:p>
        </w:tc>
      </w:tr>
      <w:tr w14:paraId="68E3B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shd w:val="clear" w:color="auto" w:fill="auto"/>
            <w:vAlign w:val="center"/>
          </w:tcPr>
          <w:p w14:paraId="6058E10C">
            <w:pPr>
              <w:pStyle w:val="3280"/>
              <w:rPr>
                <w:color w:val="auto"/>
              </w:rPr>
            </w:pPr>
            <w:r>
              <w:rPr>
                <w:rFonts w:hint="eastAsia"/>
                <w:color w:val="auto"/>
              </w:rPr>
              <w:t>1</w:t>
            </w:r>
          </w:p>
        </w:tc>
        <w:tc>
          <w:tcPr>
            <w:tcW w:w="1109" w:type="pct"/>
            <w:shd w:val="clear" w:color="auto" w:fill="auto"/>
            <w:vAlign w:val="center"/>
          </w:tcPr>
          <w:p w14:paraId="702C8235">
            <w:pPr>
              <w:pStyle w:val="3280"/>
              <w:rPr>
                <w:color w:val="auto"/>
              </w:rPr>
            </w:pPr>
            <w:r>
              <w:rPr>
                <w:rFonts w:hint="eastAsia"/>
                <w:color w:val="auto"/>
              </w:rPr>
              <w:t>砷</w:t>
            </w:r>
          </w:p>
        </w:tc>
        <w:tc>
          <w:tcPr>
            <w:tcW w:w="729" w:type="pct"/>
            <w:shd w:val="clear" w:color="auto" w:fill="auto"/>
            <w:vAlign w:val="center"/>
          </w:tcPr>
          <w:p w14:paraId="5B2E4564">
            <w:pPr>
              <w:pStyle w:val="3280"/>
              <w:rPr>
                <w:rFonts w:hint="default" w:eastAsia="宋体"/>
                <w:color w:val="auto"/>
                <w:lang w:val="en-US" w:eastAsia="zh-CN"/>
              </w:rPr>
            </w:pPr>
            <w:r>
              <w:rPr>
                <w:rFonts w:hint="eastAsia"/>
                <w:color w:val="auto"/>
                <w:lang w:val="en-US" w:eastAsia="zh-CN"/>
              </w:rPr>
              <w:t>31.0</w:t>
            </w:r>
          </w:p>
        </w:tc>
        <w:tc>
          <w:tcPr>
            <w:tcW w:w="648" w:type="pct"/>
            <w:shd w:val="clear" w:color="auto" w:fill="auto"/>
            <w:vAlign w:val="center"/>
          </w:tcPr>
          <w:p w14:paraId="3D87CA5D">
            <w:pPr>
              <w:pStyle w:val="3280"/>
              <w:rPr>
                <w:rFonts w:hint="default" w:eastAsia="宋体"/>
                <w:color w:val="auto"/>
                <w:lang w:val="en-US" w:eastAsia="zh-CN"/>
              </w:rPr>
            </w:pPr>
            <w:r>
              <w:rPr>
                <w:rFonts w:hint="eastAsia"/>
                <w:color w:val="auto"/>
                <w:lang w:val="en-US" w:eastAsia="zh-CN"/>
              </w:rPr>
              <w:t>16.3</w:t>
            </w:r>
          </w:p>
        </w:tc>
        <w:tc>
          <w:tcPr>
            <w:tcW w:w="813" w:type="pct"/>
            <w:shd w:val="clear" w:color="auto" w:fill="auto"/>
            <w:vAlign w:val="center"/>
          </w:tcPr>
          <w:p w14:paraId="144FFAB0">
            <w:pPr>
              <w:pStyle w:val="3280"/>
              <w:rPr>
                <w:rFonts w:hint="default" w:eastAsia="宋体"/>
                <w:color w:val="auto"/>
                <w:lang w:val="en-US" w:eastAsia="zh-CN"/>
              </w:rPr>
            </w:pPr>
            <w:r>
              <w:rPr>
                <w:rFonts w:hint="eastAsia"/>
                <w:color w:val="auto"/>
                <w:lang w:val="en-US" w:eastAsia="zh-CN"/>
              </w:rPr>
              <w:t>15.7</w:t>
            </w:r>
          </w:p>
        </w:tc>
        <w:tc>
          <w:tcPr>
            <w:tcW w:w="675" w:type="pct"/>
            <w:shd w:val="clear" w:color="auto" w:fill="auto"/>
            <w:vAlign w:val="center"/>
          </w:tcPr>
          <w:p w14:paraId="4158E03C">
            <w:pPr>
              <w:pStyle w:val="3280"/>
              <w:rPr>
                <w:color w:val="auto"/>
              </w:rPr>
            </w:pPr>
            <w:r>
              <w:rPr>
                <w:rFonts w:hint="eastAsia"/>
                <w:color w:val="auto"/>
              </w:rPr>
              <w:t>60</w:t>
            </w:r>
          </w:p>
        </w:tc>
        <w:tc>
          <w:tcPr>
            <w:tcW w:w="591" w:type="pct"/>
            <w:shd w:val="clear" w:color="auto" w:fill="auto"/>
            <w:vAlign w:val="center"/>
          </w:tcPr>
          <w:p w14:paraId="15EBA697">
            <w:pPr>
              <w:pStyle w:val="3280"/>
              <w:rPr>
                <w:color w:val="auto"/>
              </w:rPr>
            </w:pPr>
            <w:r>
              <w:rPr>
                <w:rFonts w:hint="eastAsia"/>
                <w:color w:val="auto"/>
              </w:rPr>
              <w:t>＜1</w:t>
            </w:r>
          </w:p>
        </w:tc>
      </w:tr>
      <w:tr w14:paraId="5A0E7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shd w:val="clear" w:color="auto" w:fill="auto"/>
            <w:vAlign w:val="center"/>
          </w:tcPr>
          <w:p w14:paraId="0728FCA2">
            <w:pPr>
              <w:pStyle w:val="3280"/>
              <w:rPr>
                <w:color w:val="auto"/>
              </w:rPr>
            </w:pPr>
            <w:r>
              <w:rPr>
                <w:rFonts w:hint="eastAsia"/>
                <w:color w:val="auto"/>
              </w:rPr>
              <w:t>2</w:t>
            </w:r>
          </w:p>
        </w:tc>
        <w:tc>
          <w:tcPr>
            <w:tcW w:w="1109" w:type="pct"/>
            <w:shd w:val="clear" w:color="auto" w:fill="auto"/>
            <w:vAlign w:val="center"/>
          </w:tcPr>
          <w:p w14:paraId="32814F46">
            <w:pPr>
              <w:pStyle w:val="3280"/>
              <w:rPr>
                <w:color w:val="auto"/>
              </w:rPr>
            </w:pPr>
            <w:r>
              <w:rPr>
                <w:rFonts w:hint="eastAsia"/>
                <w:color w:val="auto"/>
              </w:rPr>
              <w:t>镉</w:t>
            </w:r>
          </w:p>
        </w:tc>
        <w:tc>
          <w:tcPr>
            <w:tcW w:w="729" w:type="pct"/>
            <w:shd w:val="clear" w:color="auto" w:fill="auto"/>
            <w:vAlign w:val="center"/>
          </w:tcPr>
          <w:p w14:paraId="512277B3">
            <w:pPr>
              <w:pStyle w:val="3280"/>
              <w:rPr>
                <w:rFonts w:hint="default" w:eastAsia="宋体"/>
                <w:color w:val="auto"/>
                <w:lang w:val="en-US" w:eastAsia="zh-CN"/>
              </w:rPr>
            </w:pPr>
            <w:r>
              <w:rPr>
                <w:rFonts w:hint="eastAsia"/>
                <w:color w:val="auto"/>
                <w:lang w:val="en-US" w:eastAsia="zh-CN"/>
              </w:rPr>
              <w:t>0.28</w:t>
            </w:r>
          </w:p>
        </w:tc>
        <w:tc>
          <w:tcPr>
            <w:tcW w:w="648" w:type="pct"/>
            <w:shd w:val="clear" w:color="auto" w:fill="auto"/>
            <w:vAlign w:val="center"/>
          </w:tcPr>
          <w:p w14:paraId="54C200DC">
            <w:pPr>
              <w:pStyle w:val="3280"/>
              <w:rPr>
                <w:rFonts w:hint="default" w:eastAsia="宋体"/>
                <w:color w:val="auto"/>
                <w:lang w:val="en-US" w:eastAsia="zh-CN"/>
              </w:rPr>
            </w:pPr>
            <w:r>
              <w:rPr>
                <w:rFonts w:hint="eastAsia"/>
                <w:color w:val="auto"/>
                <w:lang w:val="en-US" w:eastAsia="zh-CN"/>
              </w:rPr>
              <w:t>0.24</w:t>
            </w:r>
          </w:p>
        </w:tc>
        <w:tc>
          <w:tcPr>
            <w:tcW w:w="813" w:type="pct"/>
            <w:shd w:val="clear" w:color="auto" w:fill="auto"/>
            <w:vAlign w:val="center"/>
          </w:tcPr>
          <w:p w14:paraId="085BA765">
            <w:pPr>
              <w:pStyle w:val="3280"/>
              <w:rPr>
                <w:rFonts w:hint="default" w:eastAsia="宋体"/>
                <w:color w:val="auto"/>
                <w:lang w:val="en-US" w:eastAsia="zh-CN"/>
              </w:rPr>
            </w:pPr>
            <w:r>
              <w:rPr>
                <w:rFonts w:hint="eastAsia"/>
                <w:color w:val="auto"/>
                <w:lang w:val="en-US" w:eastAsia="zh-CN"/>
              </w:rPr>
              <w:t>0.27</w:t>
            </w:r>
          </w:p>
        </w:tc>
        <w:tc>
          <w:tcPr>
            <w:tcW w:w="675" w:type="pct"/>
            <w:shd w:val="clear" w:color="auto" w:fill="auto"/>
            <w:vAlign w:val="center"/>
          </w:tcPr>
          <w:p w14:paraId="66547D5D">
            <w:pPr>
              <w:pStyle w:val="3280"/>
              <w:rPr>
                <w:color w:val="auto"/>
              </w:rPr>
            </w:pPr>
            <w:r>
              <w:rPr>
                <w:rFonts w:hint="eastAsia"/>
                <w:color w:val="auto"/>
              </w:rPr>
              <w:t>65</w:t>
            </w:r>
          </w:p>
        </w:tc>
        <w:tc>
          <w:tcPr>
            <w:tcW w:w="591" w:type="pct"/>
            <w:shd w:val="clear" w:color="auto" w:fill="auto"/>
            <w:vAlign w:val="center"/>
          </w:tcPr>
          <w:p w14:paraId="70634F46">
            <w:pPr>
              <w:pStyle w:val="3280"/>
              <w:rPr>
                <w:color w:val="auto"/>
              </w:rPr>
            </w:pPr>
            <w:r>
              <w:rPr>
                <w:rFonts w:hint="eastAsia"/>
                <w:color w:val="auto"/>
              </w:rPr>
              <w:t>＜1</w:t>
            </w:r>
          </w:p>
        </w:tc>
      </w:tr>
      <w:tr w14:paraId="299D5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shd w:val="clear" w:color="auto" w:fill="auto"/>
            <w:vAlign w:val="center"/>
          </w:tcPr>
          <w:p w14:paraId="0642B586">
            <w:pPr>
              <w:pStyle w:val="3280"/>
              <w:rPr>
                <w:color w:val="auto"/>
              </w:rPr>
            </w:pPr>
            <w:r>
              <w:rPr>
                <w:rFonts w:hint="eastAsia"/>
                <w:color w:val="auto"/>
              </w:rPr>
              <w:t>3</w:t>
            </w:r>
          </w:p>
        </w:tc>
        <w:tc>
          <w:tcPr>
            <w:tcW w:w="1109" w:type="pct"/>
            <w:shd w:val="clear" w:color="auto" w:fill="auto"/>
            <w:vAlign w:val="center"/>
          </w:tcPr>
          <w:p w14:paraId="0F52DBCF">
            <w:pPr>
              <w:pStyle w:val="3280"/>
              <w:rPr>
                <w:color w:val="auto"/>
              </w:rPr>
            </w:pPr>
            <w:r>
              <w:rPr>
                <w:rFonts w:hint="eastAsia"/>
                <w:color w:val="auto"/>
              </w:rPr>
              <w:t>六价铬</w:t>
            </w:r>
          </w:p>
        </w:tc>
        <w:tc>
          <w:tcPr>
            <w:tcW w:w="729" w:type="pct"/>
            <w:shd w:val="clear" w:color="auto" w:fill="auto"/>
            <w:vAlign w:val="center"/>
          </w:tcPr>
          <w:p w14:paraId="64C58281">
            <w:pPr>
              <w:pStyle w:val="3280"/>
              <w:rPr>
                <w:color w:val="auto"/>
              </w:rPr>
            </w:pPr>
            <w:r>
              <w:rPr>
                <w:rFonts w:hint="eastAsia"/>
                <w:color w:val="auto"/>
              </w:rPr>
              <w:t>0.5L</w:t>
            </w:r>
          </w:p>
        </w:tc>
        <w:tc>
          <w:tcPr>
            <w:tcW w:w="648" w:type="pct"/>
            <w:shd w:val="clear" w:color="auto" w:fill="auto"/>
            <w:vAlign w:val="center"/>
          </w:tcPr>
          <w:p w14:paraId="4CDBCD4E">
            <w:pPr>
              <w:pStyle w:val="3280"/>
              <w:rPr>
                <w:color w:val="auto"/>
              </w:rPr>
            </w:pPr>
            <w:r>
              <w:rPr>
                <w:rFonts w:hint="eastAsia"/>
                <w:color w:val="auto"/>
              </w:rPr>
              <w:t>0.5L</w:t>
            </w:r>
          </w:p>
        </w:tc>
        <w:tc>
          <w:tcPr>
            <w:tcW w:w="813" w:type="pct"/>
            <w:shd w:val="clear" w:color="auto" w:fill="auto"/>
            <w:vAlign w:val="center"/>
          </w:tcPr>
          <w:p w14:paraId="629F8A59">
            <w:pPr>
              <w:pStyle w:val="3280"/>
              <w:rPr>
                <w:color w:val="auto"/>
              </w:rPr>
            </w:pPr>
            <w:r>
              <w:rPr>
                <w:rFonts w:hint="eastAsia"/>
                <w:color w:val="auto"/>
              </w:rPr>
              <w:t>0.5L</w:t>
            </w:r>
          </w:p>
        </w:tc>
        <w:tc>
          <w:tcPr>
            <w:tcW w:w="675" w:type="pct"/>
            <w:shd w:val="clear" w:color="auto" w:fill="auto"/>
            <w:vAlign w:val="center"/>
          </w:tcPr>
          <w:p w14:paraId="3D433827">
            <w:pPr>
              <w:pStyle w:val="3280"/>
              <w:rPr>
                <w:color w:val="auto"/>
              </w:rPr>
            </w:pPr>
            <w:r>
              <w:rPr>
                <w:rFonts w:hint="eastAsia"/>
                <w:color w:val="auto"/>
              </w:rPr>
              <w:t>5.7</w:t>
            </w:r>
          </w:p>
        </w:tc>
        <w:tc>
          <w:tcPr>
            <w:tcW w:w="591" w:type="pct"/>
            <w:shd w:val="clear" w:color="auto" w:fill="auto"/>
            <w:vAlign w:val="center"/>
          </w:tcPr>
          <w:p w14:paraId="534394EB">
            <w:pPr>
              <w:pStyle w:val="3280"/>
              <w:rPr>
                <w:color w:val="auto"/>
              </w:rPr>
            </w:pPr>
            <w:r>
              <w:rPr>
                <w:rFonts w:hint="eastAsia"/>
                <w:color w:val="auto"/>
              </w:rPr>
              <w:t>＜1</w:t>
            </w:r>
          </w:p>
        </w:tc>
      </w:tr>
      <w:tr w14:paraId="04835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shd w:val="clear" w:color="auto" w:fill="auto"/>
            <w:vAlign w:val="center"/>
          </w:tcPr>
          <w:p w14:paraId="78D965D4">
            <w:pPr>
              <w:pStyle w:val="3280"/>
              <w:rPr>
                <w:color w:val="auto"/>
              </w:rPr>
            </w:pPr>
            <w:r>
              <w:rPr>
                <w:rFonts w:hint="eastAsia"/>
                <w:color w:val="auto"/>
              </w:rPr>
              <w:t>4</w:t>
            </w:r>
          </w:p>
        </w:tc>
        <w:tc>
          <w:tcPr>
            <w:tcW w:w="1109" w:type="pct"/>
            <w:shd w:val="clear" w:color="auto" w:fill="auto"/>
            <w:vAlign w:val="center"/>
          </w:tcPr>
          <w:p w14:paraId="73E92BA6">
            <w:pPr>
              <w:pStyle w:val="3280"/>
              <w:rPr>
                <w:color w:val="auto"/>
              </w:rPr>
            </w:pPr>
            <w:r>
              <w:rPr>
                <w:rFonts w:hint="eastAsia"/>
                <w:color w:val="auto"/>
              </w:rPr>
              <w:t>铅</w:t>
            </w:r>
          </w:p>
        </w:tc>
        <w:tc>
          <w:tcPr>
            <w:tcW w:w="729" w:type="pct"/>
            <w:shd w:val="clear" w:color="auto" w:fill="auto"/>
            <w:vAlign w:val="center"/>
          </w:tcPr>
          <w:p w14:paraId="17ABEF8B">
            <w:pPr>
              <w:pStyle w:val="3280"/>
              <w:rPr>
                <w:rFonts w:hint="default" w:eastAsia="宋体"/>
                <w:color w:val="auto"/>
                <w:lang w:val="en-US" w:eastAsia="zh-CN"/>
              </w:rPr>
            </w:pPr>
            <w:r>
              <w:rPr>
                <w:rFonts w:hint="eastAsia"/>
                <w:color w:val="auto"/>
                <w:lang w:val="en-US" w:eastAsia="zh-CN"/>
              </w:rPr>
              <w:t>26</w:t>
            </w:r>
          </w:p>
        </w:tc>
        <w:tc>
          <w:tcPr>
            <w:tcW w:w="648" w:type="pct"/>
            <w:shd w:val="clear" w:color="auto" w:fill="auto"/>
            <w:vAlign w:val="center"/>
          </w:tcPr>
          <w:p w14:paraId="35B08167">
            <w:pPr>
              <w:pStyle w:val="3280"/>
              <w:rPr>
                <w:rFonts w:hint="default" w:eastAsia="宋体"/>
                <w:color w:val="auto"/>
                <w:lang w:val="en-US" w:eastAsia="zh-CN"/>
              </w:rPr>
            </w:pPr>
            <w:r>
              <w:rPr>
                <w:rFonts w:hint="eastAsia"/>
                <w:color w:val="auto"/>
                <w:lang w:val="en-US" w:eastAsia="zh-CN"/>
              </w:rPr>
              <w:t>25</w:t>
            </w:r>
          </w:p>
        </w:tc>
        <w:tc>
          <w:tcPr>
            <w:tcW w:w="813" w:type="pct"/>
            <w:shd w:val="clear" w:color="auto" w:fill="auto"/>
            <w:vAlign w:val="center"/>
          </w:tcPr>
          <w:p w14:paraId="326CA588">
            <w:pPr>
              <w:pStyle w:val="3280"/>
              <w:rPr>
                <w:rFonts w:hint="default" w:eastAsia="宋体"/>
                <w:color w:val="auto"/>
                <w:lang w:val="en-US" w:eastAsia="zh-CN"/>
              </w:rPr>
            </w:pPr>
            <w:r>
              <w:rPr>
                <w:rFonts w:hint="eastAsia"/>
                <w:color w:val="auto"/>
                <w:lang w:val="en-US" w:eastAsia="zh-CN"/>
              </w:rPr>
              <w:t>26</w:t>
            </w:r>
          </w:p>
        </w:tc>
        <w:tc>
          <w:tcPr>
            <w:tcW w:w="675" w:type="pct"/>
            <w:shd w:val="clear" w:color="auto" w:fill="auto"/>
            <w:vAlign w:val="center"/>
          </w:tcPr>
          <w:p w14:paraId="6890311A">
            <w:pPr>
              <w:pStyle w:val="3280"/>
              <w:rPr>
                <w:color w:val="auto"/>
              </w:rPr>
            </w:pPr>
            <w:r>
              <w:rPr>
                <w:rFonts w:hint="eastAsia"/>
                <w:color w:val="auto"/>
              </w:rPr>
              <w:t>800</w:t>
            </w:r>
          </w:p>
        </w:tc>
        <w:tc>
          <w:tcPr>
            <w:tcW w:w="591" w:type="pct"/>
            <w:shd w:val="clear" w:color="auto" w:fill="auto"/>
            <w:vAlign w:val="center"/>
          </w:tcPr>
          <w:p w14:paraId="69F408CF">
            <w:pPr>
              <w:pStyle w:val="3280"/>
              <w:rPr>
                <w:color w:val="auto"/>
              </w:rPr>
            </w:pPr>
            <w:r>
              <w:rPr>
                <w:rFonts w:hint="eastAsia"/>
                <w:color w:val="auto"/>
              </w:rPr>
              <w:t>＜1</w:t>
            </w:r>
          </w:p>
        </w:tc>
      </w:tr>
      <w:tr w14:paraId="0BAE2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shd w:val="clear" w:color="auto" w:fill="auto"/>
            <w:vAlign w:val="center"/>
          </w:tcPr>
          <w:p w14:paraId="368A11E2">
            <w:pPr>
              <w:pStyle w:val="3280"/>
              <w:rPr>
                <w:color w:val="auto"/>
              </w:rPr>
            </w:pPr>
            <w:r>
              <w:rPr>
                <w:rFonts w:hint="eastAsia"/>
                <w:color w:val="auto"/>
              </w:rPr>
              <w:t>5</w:t>
            </w:r>
          </w:p>
        </w:tc>
        <w:tc>
          <w:tcPr>
            <w:tcW w:w="1109" w:type="pct"/>
            <w:shd w:val="clear" w:color="auto" w:fill="auto"/>
            <w:vAlign w:val="center"/>
          </w:tcPr>
          <w:p w14:paraId="0F245B92">
            <w:pPr>
              <w:pStyle w:val="3280"/>
              <w:rPr>
                <w:color w:val="auto"/>
              </w:rPr>
            </w:pPr>
            <w:r>
              <w:rPr>
                <w:rFonts w:hint="eastAsia"/>
                <w:color w:val="auto"/>
              </w:rPr>
              <w:t>铜</w:t>
            </w:r>
          </w:p>
        </w:tc>
        <w:tc>
          <w:tcPr>
            <w:tcW w:w="729" w:type="pct"/>
            <w:shd w:val="clear" w:color="auto" w:fill="auto"/>
            <w:vAlign w:val="center"/>
          </w:tcPr>
          <w:p w14:paraId="02494834">
            <w:pPr>
              <w:pStyle w:val="3280"/>
              <w:rPr>
                <w:rFonts w:hint="default" w:eastAsia="宋体"/>
                <w:color w:val="auto"/>
                <w:lang w:val="en-US" w:eastAsia="zh-CN"/>
              </w:rPr>
            </w:pPr>
            <w:r>
              <w:rPr>
                <w:rFonts w:hint="eastAsia"/>
                <w:color w:val="auto"/>
                <w:lang w:val="en-US" w:eastAsia="zh-CN"/>
              </w:rPr>
              <w:t>25.7</w:t>
            </w:r>
          </w:p>
        </w:tc>
        <w:tc>
          <w:tcPr>
            <w:tcW w:w="648" w:type="pct"/>
            <w:shd w:val="clear" w:color="auto" w:fill="auto"/>
            <w:vAlign w:val="center"/>
          </w:tcPr>
          <w:p w14:paraId="79A9DFE4">
            <w:pPr>
              <w:pStyle w:val="3280"/>
              <w:rPr>
                <w:rFonts w:hint="default" w:eastAsia="宋体"/>
                <w:color w:val="auto"/>
                <w:lang w:val="en-US" w:eastAsia="zh-CN"/>
              </w:rPr>
            </w:pPr>
            <w:r>
              <w:rPr>
                <w:rFonts w:hint="eastAsia"/>
                <w:color w:val="auto"/>
                <w:lang w:val="en-US" w:eastAsia="zh-CN"/>
              </w:rPr>
              <w:t>26.1</w:t>
            </w:r>
          </w:p>
        </w:tc>
        <w:tc>
          <w:tcPr>
            <w:tcW w:w="813" w:type="pct"/>
            <w:shd w:val="clear" w:color="auto" w:fill="auto"/>
            <w:vAlign w:val="center"/>
          </w:tcPr>
          <w:p w14:paraId="119AC702">
            <w:pPr>
              <w:pStyle w:val="3280"/>
              <w:rPr>
                <w:rFonts w:hint="default" w:eastAsia="宋体"/>
                <w:color w:val="auto"/>
                <w:lang w:val="en-US" w:eastAsia="zh-CN"/>
              </w:rPr>
            </w:pPr>
            <w:r>
              <w:rPr>
                <w:rFonts w:hint="eastAsia"/>
                <w:color w:val="auto"/>
                <w:lang w:val="en-US" w:eastAsia="zh-CN"/>
              </w:rPr>
              <w:t>26.5</w:t>
            </w:r>
          </w:p>
        </w:tc>
        <w:tc>
          <w:tcPr>
            <w:tcW w:w="675" w:type="pct"/>
            <w:shd w:val="clear" w:color="auto" w:fill="auto"/>
            <w:vAlign w:val="center"/>
          </w:tcPr>
          <w:p w14:paraId="7D0E1488">
            <w:pPr>
              <w:pStyle w:val="3280"/>
              <w:rPr>
                <w:color w:val="auto"/>
              </w:rPr>
            </w:pPr>
            <w:r>
              <w:rPr>
                <w:rFonts w:hint="eastAsia"/>
                <w:color w:val="auto"/>
              </w:rPr>
              <w:t>18000</w:t>
            </w:r>
          </w:p>
        </w:tc>
        <w:tc>
          <w:tcPr>
            <w:tcW w:w="591" w:type="pct"/>
            <w:shd w:val="clear" w:color="auto" w:fill="auto"/>
            <w:vAlign w:val="center"/>
          </w:tcPr>
          <w:p w14:paraId="6C92222C">
            <w:pPr>
              <w:pStyle w:val="3280"/>
              <w:rPr>
                <w:color w:val="auto"/>
              </w:rPr>
            </w:pPr>
            <w:r>
              <w:rPr>
                <w:rFonts w:hint="eastAsia"/>
                <w:color w:val="auto"/>
              </w:rPr>
              <w:t>＜1</w:t>
            </w:r>
          </w:p>
        </w:tc>
      </w:tr>
      <w:tr w14:paraId="6CD0B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shd w:val="clear" w:color="auto" w:fill="auto"/>
            <w:vAlign w:val="center"/>
          </w:tcPr>
          <w:p w14:paraId="70692FBC">
            <w:pPr>
              <w:pStyle w:val="3280"/>
              <w:rPr>
                <w:color w:val="auto"/>
              </w:rPr>
            </w:pPr>
            <w:r>
              <w:rPr>
                <w:rFonts w:hint="eastAsia"/>
                <w:color w:val="auto"/>
              </w:rPr>
              <w:t>6</w:t>
            </w:r>
          </w:p>
        </w:tc>
        <w:tc>
          <w:tcPr>
            <w:tcW w:w="1109" w:type="pct"/>
            <w:shd w:val="clear" w:color="auto" w:fill="auto"/>
            <w:vAlign w:val="center"/>
          </w:tcPr>
          <w:p w14:paraId="7A205F6B">
            <w:pPr>
              <w:pStyle w:val="3280"/>
              <w:rPr>
                <w:color w:val="auto"/>
              </w:rPr>
            </w:pPr>
            <w:r>
              <w:rPr>
                <w:rFonts w:hint="eastAsia"/>
                <w:color w:val="auto"/>
              </w:rPr>
              <w:t>镍</w:t>
            </w:r>
          </w:p>
        </w:tc>
        <w:tc>
          <w:tcPr>
            <w:tcW w:w="729" w:type="pct"/>
            <w:shd w:val="clear" w:color="auto" w:fill="auto"/>
            <w:vAlign w:val="center"/>
          </w:tcPr>
          <w:p w14:paraId="54FE0D72">
            <w:pPr>
              <w:pStyle w:val="3280"/>
              <w:rPr>
                <w:rFonts w:hint="default" w:eastAsia="宋体"/>
                <w:color w:val="auto"/>
                <w:lang w:val="en-US" w:eastAsia="zh-CN"/>
              </w:rPr>
            </w:pPr>
            <w:r>
              <w:rPr>
                <w:rFonts w:hint="eastAsia"/>
                <w:color w:val="auto"/>
                <w:lang w:val="en-US" w:eastAsia="zh-CN"/>
              </w:rPr>
              <w:t>36</w:t>
            </w:r>
          </w:p>
        </w:tc>
        <w:tc>
          <w:tcPr>
            <w:tcW w:w="648" w:type="pct"/>
            <w:shd w:val="clear" w:color="auto" w:fill="auto"/>
            <w:vAlign w:val="center"/>
          </w:tcPr>
          <w:p w14:paraId="7D306E90">
            <w:pPr>
              <w:pStyle w:val="3280"/>
              <w:rPr>
                <w:rFonts w:hint="default" w:eastAsia="宋体"/>
                <w:color w:val="auto"/>
                <w:lang w:val="en-US" w:eastAsia="zh-CN"/>
              </w:rPr>
            </w:pPr>
            <w:r>
              <w:rPr>
                <w:rFonts w:hint="eastAsia"/>
                <w:color w:val="auto"/>
                <w:lang w:val="en-US" w:eastAsia="zh-CN"/>
              </w:rPr>
              <w:t>36</w:t>
            </w:r>
          </w:p>
        </w:tc>
        <w:tc>
          <w:tcPr>
            <w:tcW w:w="813" w:type="pct"/>
            <w:shd w:val="clear" w:color="auto" w:fill="auto"/>
            <w:vAlign w:val="center"/>
          </w:tcPr>
          <w:p w14:paraId="56850F9D">
            <w:pPr>
              <w:pStyle w:val="3280"/>
              <w:rPr>
                <w:rFonts w:hint="default" w:eastAsia="宋体"/>
                <w:color w:val="auto"/>
                <w:lang w:val="en-US" w:eastAsia="zh-CN"/>
              </w:rPr>
            </w:pPr>
            <w:r>
              <w:rPr>
                <w:rFonts w:hint="eastAsia"/>
                <w:color w:val="auto"/>
                <w:lang w:val="en-US" w:eastAsia="zh-CN"/>
              </w:rPr>
              <w:t>39</w:t>
            </w:r>
          </w:p>
        </w:tc>
        <w:tc>
          <w:tcPr>
            <w:tcW w:w="675" w:type="pct"/>
            <w:shd w:val="clear" w:color="auto" w:fill="auto"/>
            <w:vAlign w:val="center"/>
          </w:tcPr>
          <w:p w14:paraId="01CF4DE8">
            <w:pPr>
              <w:pStyle w:val="3280"/>
              <w:rPr>
                <w:color w:val="auto"/>
              </w:rPr>
            </w:pPr>
            <w:r>
              <w:rPr>
                <w:rFonts w:hint="eastAsia"/>
                <w:color w:val="auto"/>
              </w:rPr>
              <w:t>900</w:t>
            </w:r>
          </w:p>
        </w:tc>
        <w:tc>
          <w:tcPr>
            <w:tcW w:w="591" w:type="pct"/>
            <w:shd w:val="clear" w:color="auto" w:fill="auto"/>
            <w:vAlign w:val="center"/>
          </w:tcPr>
          <w:p w14:paraId="2C6C65F1">
            <w:pPr>
              <w:pStyle w:val="3280"/>
              <w:rPr>
                <w:color w:val="auto"/>
              </w:rPr>
            </w:pPr>
            <w:r>
              <w:rPr>
                <w:rFonts w:hint="eastAsia"/>
                <w:color w:val="auto"/>
              </w:rPr>
              <w:t>＜1</w:t>
            </w:r>
          </w:p>
        </w:tc>
      </w:tr>
      <w:tr w14:paraId="47500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shd w:val="clear" w:color="auto" w:fill="auto"/>
            <w:vAlign w:val="center"/>
          </w:tcPr>
          <w:p w14:paraId="3C92F359">
            <w:pPr>
              <w:pStyle w:val="3280"/>
              <w:rPr>
                <w:color w:val="auto"/>
              </w:rPr>
            </w:pPr>
            <w:r>
              <w:rPr>
                <w:rFonts w:hint="eastAsia"/>
                <w:color w:val="auto"/>
              </w:rPr>
              <w:t>7</w:t>
            </w:r>
          </w:p>
        </w:tc>
        <w:tc>
          <w:tcPr>
            <w:tcW w:w="1109" w:type="pct"/>
            <w:shd w:val="clear" w:color="auto" w:fill="auto"/>
            <w:vAlign w:val="center"/>
          </w:tcPr>
          <w:p w14:paraId="16D95D8E">
            <w:pPr>
              <w:pStyle w:val="3280"/>
              <w:rPr>
                <w:color w:val="auto"/>
              </w:rPr>
            </w:pPr>
            <w:r>
              <w:rPr>
                <w:rFonts w:hint="eastAsia"/>
                <w:color w:val="auto"/>
              </w:rPr>
              <w:t>汞</w:t>
            </w:r>
          </w:p>
        </w:tc>
        <w:tc>
          <w:tcPr>
            <w:tcW w:w="729" w:type="pct"/>
            <w:shd w:val="clear" w:color="auto" w:fill="auto"/>
            <w:vAlign w:val="center"/>
          </w:tcPr>
          <w:p w14:paraId="046553C0">
            <w:pPr>
              <w:pStyle w:val="3280"/>
              <w:rPr>
                <w:rFonts w:hint="default" w:eastAsia="宋体"/>
                <w:color w:val="auto"/>
                <w:lang w:val="en-US" w:eastAsia="zh-CN"/>
              </w:rPr>
            </w:pPr>
            <w:r>
              <w:rPr>
                <w:rFonts w:hint="eastAsia"/>
                <w:color w:val="auto"/>
                <w:lang w:val="en-US" w:eastAsia="zh-CN"/>
              </w:rPr>
              <w:t>0.075</w:t>
            </w:r>
          </w:p>
        </w:tc>
        <w:tc>
          <w:tcPr>
            <w:tcW w:w="648" w:type="pct"/>
            <w:shd w:val="clear" w:color="auto" w:fill="auto"/>
            <w:vAlign w:val="center"/>
          </w:tcPr>
          <w:p w14:paraId="728B2F7B">
            <w:pPr>
              <w:pStyle w:val="3280"/>
              <w:rPr>
                <w:rFonts w:hint="default" w:eastAsia="宋体"/>
                <w:color w:val="auto"/>
                <w:lang w:val="en-US" w:eastAsia="zh-CN"/>
              </w:rPr>
            </w:pPr>
            <w:r>
              <w:rPr>
                <w:rFonts w:hint="eastAsia"/>
                <w:color w:val="auto"/>
                <w:lang w:val="en-US" w:eastAsia="zh-CN"/>
              </w:rPr>
              <w:t>0.059</w:t>
            </w:r>
          </w:p>
        </w:tc>
        <w:tc>
          <w:tcPr>
            <w:tcW w:w="813" w:type="pct"/>
            <w:shd w:val="clear" w:color="auto" w:fill="auto"/>
            <w:vAlign w:val="center"/>
          </w:tcPr>
          <w:p w14:paraId="1486A731">
            <w:pPr>
              <w:pStyle w:val="3280"/>
              <w:rPr>
                <w:rFonts w:hint="default" w:eastAsia="宋体"/>
                <w:color w:val="auto"/>
                <w:lang w:val="en-US" w:eastAsia="zh-CN"/>
              </w:rPr>
            </w:pPr>
            <w:r>
              <w:rPr>
                <w:rFonts w:hint="eastAsia"/>
                <w:color w:val="auto"/>
                <w:lang w:val="en-US" w:eastAsia="zh-CN"/>
              </w:rPr>
              <w:t>0.080</w:t>
            </w:r>
          </w:p>
        </w:tc>
        <w:tc>
          <w:tcPr>
            <w:tcW w:w="675" w:type="pct"/>
            <w:shd w:val="clear" w:color="auto" w:fill="auto"/>
            <w:vAlign w:val="center"/>
          </w:tcPr>
          <w:p w14:paraId="1C7C529F">
            <w:pPr>
              <w:pStyle w:val="3280"/>
              <w:rPr>
                <w:color w:val="auto"/>
              </w:rPr>
            </w:pPr>
            <w:r>
              <w:rPr>
                <w:rFonts w:hint="eastAsia"/>
                <w:color w:val="auto"/>
              </w:rPr>
              <w:t>38</w:t>
            </w:r>
          </w:p>
        </w:tc>
        <w:tc>
          <w:tcPr>
            <w:tcW w:w="591" w:type="pct"/>
            <w:shd w:val="clear" w:color="auto" w:fill="auto"/>
            <w:vAlign w:val="center"/>
          </w:tcPr>
          <w:p w14:paraId="52C5C1AA">
            <w:pPr>
              <w:pStyle w:val="3280"/>
              <w:rPr>
                <w:color w:val="auto"/>
              </w:rPr>
            </w:pPr>
            <w:r>
              <w:rPr>
                <w:rFonts w:hint="eastAsia"/>
                <w:color w:val="auto"/>
              </w:rPr>
              <w:t>＜1</w:t>
            </w:r>
          </w:p>
        </w:tc>
      </w:tr>
      <w:tr w14:paraId="40CDC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7"/>
            <w:vAlign w:val="center"/>
          </w:tcPr>
          <w:p w14:paraId="5595E778">
            <w:pPr>
              <w:pStyle w:val="3280"/>
              <w:rPr>
                <w:color w:val="auto"/>
              </w:rPr>
            </w:pPr>
            <w:r>
              <w:rPr>
                <w:rFonts w:hint="eastAsia"/>
                <w:color w:val="auto"/>
              </w:rPr>
              <w:t>挥发性有机物</w:t>
            </w:r>
          </w:p>
        </w:tc>
      </w:tr>
      <w:tr w14:paraId="26C14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shd w:val="clear" w:color="auto" w:fill="auto"/>
            <w:vAlign w:val="center"/>
          </w:tcPr>
          <w:p w14:paraId="6547592A">
            <w:pPr>
              <w:pStyle w:val="3280"/>
              <w:rPr>
                <w:color w:val="auto"/>
              </w:rPr>
            </w:pPr>
            <w:r>
              <w:rPr>
                <w:rFonts w:hint="eastAsia"/>
                <w:color w:val="auto"/>
              </w:rPr>
              <w:t>8</w:t>
            </w:r>
          </w:p>
        </w:tc>
        <w:tc>
          <w:tcPr>
            <w:tcW w:w="1109" w:type="pct"/>
            <w:shd w:val="clear" w:color="auto" w:fill="auto"/>
            <w:vAlign w:val="center"/>
          </w:tcPr>
          <w:p w14:paraId="54B2214A">
            <w:pPr>
              <w:pStyle w:val="3280"/>
              <w:rPr>
                <w:color w:val="auto"/>
              </w:rPr>
            </w:pPr>
            <w:r>
              <w:rPr>
                <w:rFonts w:hint="eastAsia"/>
                <w:color w:val="auto"/>
              </w:rPr>
              <w:t>四氯化碳</w:t>
            </w:r>
          </w:p>
        </w:tc>
        <w:tc>
          <w:tcPr>
            <w:tcW w:w="729" w:type="pct"/>
            <w:shd w:val="clear" w:color="auto" w:fill="auto"/>
            <w:vAlign w:val="center"/>
          </w:tcPr>
          <w:p w14:paraId="35A06BD5">
            <w:pPr>
              <w:pStyle w:val="3280"/>
              <w:rPr>
                <w:color w:val="auto"/>
              </w:rPr>
            </w:pPr>
            <w:r>
              <w:rPr>
                <w:rFonts w:hint="eastAsia"/>
                <w:color w:val="auto"/>
              </w:rPr>
              <w:t>0.0013L</w:t>
            </w:r>
          </w:p>
        </w:tc>
        <w:tc>
          <w:tcPr>
            <w:tcW w:w="648" w:type="pct"/>
            <w:shd w:val="clear" w:color="auto" w:fill="auto"/>
            <w:vAlign w:val="center"/>
          </w:tcPr>
          <w:p w14:paraId="469D3D38">
            <w:pPr>
              <w:pStyle w:val="3280"/>
              <w:rPr>
                <w:color w:val="auto"/>
              </w:rPr>
            </w:pPr>
            <w:r>
              <w:rPr>
                <w:rFonts w:hint="eastAsia"/>
                <w:color w:val="auto"/>
              </w:rPr>
              <w:t>0.0013L</w:t>
            </w:r>
          </w:p>
        </w:tc>
        <w:tc>
          <w:tcPr>
            <w:tcW w:w="813" w:type="pct"/>
            <w:shd w:val="clear" w:color="auto" w:fill="auto"/>
            <w:vAlign w:val="center"/>
          </w:tcPr>
          <w:p w14:paraId="16280632">
            <w:pPr>
              <w:pStyle w:val="3280"/>
              <w:rPr>
                <w:color w:val="auto"/>
              </w:rPr>
            </w:pPr>
            <w:r>
              <w:rPr>
                <w:rFonts w:hint="eastAsia"/>
                <w:color w:val="auto"/>
              </w:rPr>
              <w:t>0.0013L</w:t>
            </w:r>
          </w:p>
        </w:tc>
        <w:tc>
          <w:tcPr>
            <w:tcW w:w="675" w:type="pct"/>
            <w:shd w:val="clear" w:color="auto" w:fill="auto"/>
            <w:vAlign w:val="center"/>
          </w:tcPr>
          <w:p w14:paraId="22593DE1">
            <w:pPr>
              <w:pStyle w:val="3280"/>
              <w:rPr>
                <w:color w:val="auto"/>
              </w:rPr>
            </w:pPr>
            <w:r>
              <w:rPr>
                <w:rFonts w:hint="eastAsia"/>
                <w:color w:val="auto"/>
              </w:rPr>
              <w:t>2.8</w:t>
            </w:r>
          </w:p>
        </w:tc>
        <w:tc>
          <w:tcPr>
            <w:tcW w:w="591" w:type="pct"/>
            <w:shd w:val="clear" w:color="auto" w:fill="auto"/>
            <w:vAlign w:val="center"/>
          </w:tcPr>
          <w:p w14:paraId="33FBD68A">
            <w:pPr>
              <w:pStyle w:val="3280"/>
              <w:rPr>
                <w:color w:val="auto"/>
              </w:rPr>
            </w:pPr>
            <w:r>
              <w:rPr>
                <w:rFonts w:hint="eastAsia"/>
                <w:color w:val="auto"/>
              </w:rPr>
              <w:t>＜1</w:t>
            </w:r>
          </w:p>
        </w:tc>
      </w:tr>
      <w:tr w14:paraId="34FDC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shd w:val="clear" w:color="auto" w:fill="auto"/>
            <w:vAlign w:val="center"/>
          </w:tcPr>
          <w:p w14:paraId="427A852D">
            <w:pPr>
              <w:pStyle w:val="3280"/>
              <w:rPr>
                <w:color w:val="auto"/>
              </w:rPr>
            </w:pPr>
            <w:r>
              <w:rPr>
                <w:rFonts w:hint="eastAsia"/>
                <w:color w:val="auto"/>
              </w:rPr>
              <w:t>9</w:t>
            </w:r>
          </w:p>
        </w:tc>
        <w:tc>
          <w:tcPr>
            <w:tcW w:w="1109" w:type="pct"/>
            <w:shd w:val="clear" w:color="auto" w:fill="auto"/>
            <w:vAlign w:val="center"/>
          </w:tcPr>
          <w:p w14:paraId="7504DE24">
            <w:pPr>
              <w:pStyle w:val="3280"/>
              <w:rPr>
                <w:color w:val="auto"/>
              </w:rPr>
            </w:pPr>
            <w:r>
              <w:rPr>
                <w:rFonts w:hint="eastAsia"/>
                <w:color w:val="auto"/>
              </w:rPr>
              <w:t>氯仿</w:t>
            </w:r>
          </w:p>
        </w:tc>
        <w:tc>
          <w:tcPr>
            <w:tcW w:w="729" w:type="pct"/>
            <w:shd w:val="clear" w:color="auto" w:fill="auto"/>
            <w:vAlign w:val="center"/>
          </w:tcPr>
          <w:p w14:paraId="205C5150">
            <w:pPr>
              <w:pStyle w:val="3280"/>
              <w:rPr>
                <w:color w:val="auto"/>
              </w:rPr>
            </w:pPr>
            <w:r>
              <w:rPr>
                <w:rFonts w:hint="eastAsia"/>
                <w:color w:val="auto"/>
              </w:rPr>
              <w:t>0.0011L</w:t>
            </w:r>
          </w:p>
        </w:tc>
        <w:tc>
          <w:tcPr>
            <w:tcW w:w="648" w:type="pct"/>
            <w:shd w:val="clear" w:color="auto" w:fill="auto"/>
            <w:vAlign w:val="center"/>
          </w:tcPr>
          <w:p w14:paraId="45847F28">
            <w:pPr>
              <w:pStyle w:val="3280"/>
              <w:rPr>
                <w:color w:val="auto"/>
              </w:rPr>
            </w:pPr>
            <w:r>
              <w:rPr>
                <w:rFonts w:hint="eastAsia"/>
                <w:color w:val="auto"/>
              </w:rPr>
              <w:t>0.0011L</w:t>
            </w:r>
          </w:p>
        </w:tc>
        <w:tc>
          <w:tcPr>
            <w:tcW w:w="813" w:type="pct"/>
            <w:shd w:val="clear" w:color="auto" w:fill="auto"/>
            <w:vAlign w:val="center"/>
          </w:tcPr>
          <w:p w14:paraId="2A1E7A22">
            <w:pPr>
              <w:pStyle w:val="3280"/>
              <w:rPr>
                <w:color w:val="auto"/>
              </w:rPr>
            </w:pPr>
            <w:r>
              <w:rPr>
                <w:rFonts w:hint="eastAsia"/>
                <w:color w:val="auto"/>
              </w:rPr>
              <w:t>0.0011L</w:t>
            </w:r>
          </w:p>
        </w:tc>
        <w:tc>
          <w:tcPr>
            <w:tcW w:w="675" w:type="pct"/>
            <w:shd w:val="clear" w:color="auto" w:fill="auto"/>
            <w:vAlign w:val="center"/>
          </w:tcPr>
          <w:p w14:paraId="72EBE9A7">
            <w:pPr>
              <w:pStyle w:val="3280"/>
              <w:rPr>
                <w:color w:val="auto"/>
              </w:rPr>
            </w:pPr>
            <w:r>
              <w:rPr>
                <w:rFonts w:hint="eastAsia"/>
                <w:color w:val="auto"/>
              </w:rPr>
              <w:t>0.9</w:t>
            </w:r>
          </w:p>
        </w:tc>
        <w:tc>
          <w:tcPr>
            <w:tcW w:w="591" w:type="pct"/>
            <w:shd w:val="clear" w:color="auto" w:fill="auto"/>
            <w:vAlign w:val="center"/>
          </w:tcPr>
          <w:p w14:paraId="4A78A23B">
            <w:pPr>
              <w:pStyle w:val="3280"/>
              <w:rPr>
                <w:color w:val="auto"/>
              </w:rPr>
            </w:pPr>
            <w:r>
              <w:rPr>
                <w:rFonts w:hint="eastAsia"/>
                <w:color w:val="auto"/>
              </w:rPr>
              <w:t>＜1</w:t>
            </w:r>
          </w:p>
        </w:tc>
      </w:tr>
      <w:tr w14:paraId="72E04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shd w:val="clear" w:color="auto" w:fill="auto"/>
            <w:vAlign w:val="center"/>
          </w:tcPr>
          <w:p w14:paraId="4C3A6EBA">
            <w:pPr>
              <w:pStyle w:val="3280"/>
              <w:rPr>
                <w:color w:val="auto"/>
              </w:rPr>
            </w:pPr>
            <w:r>
              <w:rPr>
                <w:rFonts w:hint="eastAsia"/>
                <w:color w:val="auto"/>
              </w:rPr>
              <w:t>10</w:t>
            </w:r>
          </w:p>
        </w:tc>
        <w:tc>
          <w:tcPr>
            <w:tcW w:w="1109" w:type="pct"/>
            <w:shd w:val="clear" w:color="auto" w:fill="auto"/>
            <w:vAlign w:val="center"/>
          </w:tcPr>
          <w:p w14:paraId="7997BA57">
            <w:pPr>
              <w:pStyle w:val="3280"/>
              <w:rPr>
                <w:color w:val="auto"/>
              </w:rPr>
            </w:pPr>
            <w:r>
              <w:rPr>
                <w:rFonts w:hint="eastAsia"/>
                <w:color w:val="auto"/>
              </w:rPr>
              <w:t>1,1-二氯乙烷</w:t>
            </w:r>
          </w:p>
        </w:tc>
        <w:tc>
          <w:tcPr>
            <w:tcW w:w="729" w:type="pct"/>
            <w:shd w:val="clear" w:color="auto" w:fill="auto"/>
            <w:vAlign w:val="center"/>
          </w:tcPr>
          <w:p w14:paraId="7CA91B0B">
            <w:pPr>
              <w:pStyle w:val="3280"/>
              <w:rPr>
                <w:color w:val="auto"/>
              </w:rPr>
            </w:pPr>
            <w:r>
              <w:rPr>
                <w:rFonts w:hint="eastAsia"/>
                <w:color w:val="auto"/>
              </w:rPr>
              <w:t>0.0012L</w:t>
            </w:r>
          </w:p>
        </w:tc>
        <w:tc>
          <w:tcPr>
            <w:tcW w:w="648" w:type="pct"/>
            <w:shd w:val="clear" w:color="auto" w:fill="auto"/>
            <w:vAlign w:val="center"/>
          </w:tcPr>
          <w:p w14:paraId="7172A9A9">
            <w:pPr>
              <w:pStyle w:val="3280"/>
              <w:rPr>
                <w:color w:val="auto"/>
              </w:rPr>
            </w:pPr>
            <w:r>
              <w:rPr>
                <w:rFonts w:hint="eastAsia"/>
                <w:color w:val="auto"/>
              </w:rPr>
              <w:t>0.0012L</w:t>
            </w:r>
          </w:p>
        </w:tc>
        <w:tc>
          <w:tcPr>
            <w:tcW w:w="813" w:type="pct"/>
            <w:shd w:val="clear" w:color="auto" w:fill="auto"/>
            <w:vAlign w:val="center"/>
          </w:tcPr>
          <w:p w14:paraId="05F2BF35">
            <w:pPr>
              <w:pStyle w:val="3280"/>
              <w:rPr>
                <w:color w:val="auto"/>
              </w:rPr>
            </w:pPr>
            <w:r>
              <w:rPr>
                <w:rFonts w:hint="eastAsia"/>
                <w:color w:val="auto"/>
              </w:rPr>
              <w:t>0.0012L</w:t>
            </w:r>
          </w:p>
        </w:tc>
        <w:tc>
          <w:tcPr>
            <w:tcW w:w="675" w:type="pct"/>
            <w:shd w:val="clear" w:color="auto" w:fill="auto"/>
            <w:vAlign w:val="center"/>
          </w:tcPr>
          <w:p w14:paraId="3BF4D4A5">
            <w:pPr>
              <w:pStyle w:val="3280"/>
              <w:rPr>
                <w:color w:val="auto"/>
              </w:rPr>
            </w:pPr>
            <w:r>
              <w:rPr>
                <w:rFonts w:hint="eastAsia"/>
                <w:color w:val="auto"/>
              </w:rPr>
              <w:t>9</w:t>
            </w:r>
          </w:p>
        </w:tc>
        <w:tc>
          <w:tcPr>
            <w:tcW w:w="591" w:type="pct"/>
            <w:shd w:val="clear" w:color="auto" w:fill="auto"/>
            <w:vAlign w:val="center"/>
          </w:tcPr>
          <w:p w14:paraId="1A2315BB">
            <w:pPr>
              <w:pStyle w:val="3280"/>
              <w:rPr>
                <w:color w:val="auto"/>
              </w:rPr>
            </w:pPr>
            <w:r>
              <w:rPr>
                <w:rFonts w:hint="eastAsia"/>
                <w:color w:val="auto"/>
              </w:rPr>
              <w:t>＜1</w:t>
            </w:r>
          </w:p>
        </w:tc>
      </w:tr>
      <w:tr w14:paraId="5F23E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shd w:val="clear" w:color="auto" w:fill="auto"/>
            <w:vAlign w:val="center"/>
          </w:tcPr>
          <w:p w14:paraId="535B5C4A">
            <w:pPr>
              <w:pStyle w:val="3280"/>
              <w:rPr>
                <w:color w:val="auto"/>
              </w:rPr>
            </w:pPr>
            <w:r>
              <w:rPr>
                <w:rFonts w:hint="eastAsia"/>
                <w:color w:val="auto"/>
              </w:rPr>
              <w:t>11</w:t>
            </w:r>
          </w:p>
        </w:tc>
        <w:tc>
          <w:tcPr>
            <w:tcW w:w="1109" w:type="pct"/>
            <w:shd w:val="clear" w:color="auto" w:fill="auto"/>
            <w:vAlign w:val="center"/>
          </w:tcPr>
          <w:p w14:paraId="7091DB79">
            <w:pPr>
              <w:pStyle w:val="3280"/>
              <w:rPr>
                <w:color w:val="auto"/>
              </w:rPr>
            </w:pPr>
            <w:r>
              <w:rPr>
                <w:rFonts w:hint="eastAsia"/>
                <w:color w:val="auto"/>
              </w:rPr>
              <w:t>1,2-二氯乙烷</w:t>
            </w:r>
          </w:p>
        </w:tc>
        <w:tc>
          <w:tcPr>
            <w:tcW w:w="729" w:type="pct"/>
            <w:shd w:val="clear" w:color="auto" w:fill="auto"/>
            <w:vAlign w:val="center"/>
          </w:tcPr>
          <w:p w14:paraId="04F6C651">
            <w:pPr>
              <w:pStyle w:val="3280"/>
              <w:rPr>
                <w:color w:val="auto"/>
              </w:rPr>
            </w:pPr>
            <w:r>
              <w:rPr>
                <w:rFonts w:hint="eastAsia"/>
                <w:color w:val="auto"/>
              </w:rPr>
              <w:t>0.0013L</w:t>
            </w:r>
          </w:p>
        </w:tc>
        <w:tc>
          <w:tcPr>
            <w:tcW w:w="648" w:type="pct"/>
            <w:shd w:val="clear" w:color="auto" w:fill="auto"/>
            <w:vAlign w:val="center"/>
          </w:tcPr>
          <w:p w14:paraId="0B8E8DCC">
            <w:pPr>
              <w:pStyle w:val="3280"/>
              <w:rPr>
                <w:color w:val="auto"/>
              </w:rPr>
            </w:pPr>
            <w:r>
              <w:rPr>
                <w:rFonts w:hint="eastAsia"/>
                <w:color w:val="auto"/>
              </w:rPr>
              <w:t>0.0013L</w:t>
            </w:r>
          </w:p>
        </w:tc>
        <w:tc>
          <w:tcPr>
            <w:tcW w:w="813" w:type="pct"/>
            <w:shd w:val="clear" w:color="auto" w:fill="auto"/>
            <w:vAlign w:val="center"/>
          </w:tcPr>
          <w:p w14:paraId="0ABE6053">
            <w:pPr>
              <w:pStyle w:val="3280"/>
              <w:rPr>
                <w:color w:val="auto"/>
              </w:rPr>
            </w:pPr>
            <w:r>
              <w:rPr>
                <w:rFonts w:hint="eastAsia"/>
                <w:color w:val="auto"/>
              </w:rPr>
              <w:t>0.0013L</w:t>
            </w:r>
          </w:p>
        </w:tc>
        <w:tc>
          <w:tcPr>
            <w:tcW w:w="675" w:type="pct"/>
            <w:shd w:val="clear" w:color="auto" w:fill="auto"/>
            <w:vAlign w:val="center"/>
          </w:tcPr>
          <w:p w14:paraId="5AB46E87">
            <w:pPr>
              <w:pStyle w:val="3280"/>
              <w:rPr>
                <w:color w:val="auto"/>
              </w:rPr>
            </w:pPr>
            <w:r>
              <w:rPr>
                <w:rFonts w:hint="eastAsia"/>
                <w:color w:val="auto"/>
              </w:rPr>
              <w:t>5</w:t>
            </w:r>
          </w:p>
        </w:tc>
        <w:tc>
          <w:tcPr>
            <w:tcW w:w="591" w:type="pct"/>
            <w:shd w:val="clear" w:color="auto" w:fill="auto"/>
            <w:vAlign w:val="center"/>
          </w:tcPr>
          <w:p w14:paraId="6D87E762">
            <w:pPr>
              <w:pStyle w:val="3280"/>
              <w:rPr>
                <w:color w:val="auto"/>
              </w:rPr>
            </w:pPr>
            <w:r>
              <w:rPr>
                <w:rFonts w:hint="eastAsia"/>
                <w:color w:val="auto"/>
              </w:rPr>
              <w:t>＜1</w:t>
            </w:r>
          </w:p>
        </w:tc>
      </w:tr>
      <w:tr w14:paraId="57F54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shd w:val="clear" w:color="auto" w:fill="auto"/>
            <w:vAlign w:val="center"/>
          </w:tcPr>
          <w:p w14:paraId="0A1FC8E5">
            <w:pPr>
              <w:pStyle w:val="3280"/>
              <w:rPr>
                <w:color w:val="auto"/>
              </w:rPr>
            </w:pPr>
            <w:r>
              <w:rPr>
                <w:rFonts w:hint="eastAsia"/>
                <w:color w:val="auto"/>
              </w:rPr>
              <w:t>12</w:t>
            </w:r>
          </w:p>
        </w:tc>
        <w:tc>
          <w:tcPr>
            <w:tcW w:w="1109" w:type="pct"/>
            <w:shd w:val="clear" w:color="auto" w:fill="auto"/>
            <w:vAlign w:val="center"/>
          </w:tcPr>
          <w:p w14:paraId="2EC60B18">
            <w:pPr>
              <w:pStyle w:val="3280"/>
              <w:rPr>
                <w:color w:val="auto"/>
              </w:rPr>
            </w:pPr>
            <w:r>
              <w:rPr>
                <w:rFonts w:hint="eastAsia"/>
                <w:color w:val="auto"/>
              </w:rPr>
              <w:t>1,1-二氯乙烯</w:t>
            </w:r>
          </w:p>
        </w:tc>
        <w:tc>
          <w:tcPr>
            <w:tcW w:w="729" w:type="pct"/>
            <w:shd w:val="clear" w:color="auto" w:fill="auto"/>
            <w:vAlign w:val="center"/>
          </w:tcPr>
          <w:p w14:paraId="0FF7F6CA">
            <w:pPr>
              <w:pStyle w:val="3280"/>
              <w:rPr>
                <w:color w:val="auto"/>
              </w:rPr>
            </w:pPr>
            <w:r>
              <w:rPr>
                <w:rFonts w:hint="eastAsia"/>
                <w:color w:val="auto"/>
              </w:rPr>
              <w:t>0.001L</w:t>
            </w:r>
          </w:p>
        </w:tc>
        <w:tc>
          <w:tcPr>
            <w:tcW w:w="648" w:type="pct"/>
            <w:shd w:val="clear" w:color="auto" w:fill="auto"/>
            <w:vAlign w:val="center"/>
          </w:tcPr>
          <w:p w14:paraId="5FA9FBFE">
            <w:pPr>
              <w:pStyle w:val="3280"/>
              <w:rPr>
                <w:color w:val="auto"/>
              </w:rPr>
            </w:pPr>
            <w:r>
              <w:rPr>
                <w:rFonts w:hint="eastAsia"/>
                <w:color w:val="auto"/>
              </w:rPr>
              <w:t>0.001L</w:t>
            </w:r>
          </w:p>
        </w:tc>
        <w:tc>
          <w:tcPr>
            <w:tcW w:w="813" w:type="pct"/>
            <w:shd w:val="clear" w:color="auto" w:fill="auto"/>
            <w:vAlign w:val="center"/>
          </w:tcPr>
          <w:p w14:paraId="74AB910A">
            <w:pPr>
              <w:pStyle w:val="3280"/>
              <w:rPr>
                <w:color w:val="auto"/>
              </w:rPr>
            </w:pPr>
            <w:r>
              <w:rPr>
                <w:rFonts w:hint="eastAsia"/>
                <w:color w:val="auto"/>
              </w:rPr>
              <w:t>0.001L</w:t>
            </w:r>
          </w:p>
        </w:tc>
        <w:tc>
          <w:tcPr>
            <w:tcW w:w="675" w:type="pct"/>
            <w:shd w:val="clear" w:color="auto" w:fill="auto"/>
            <w:vAlign w:val="center"/>
          </w:tcPr>
          <w:p w14:paraId="3AFF5F0F">
            <w:pPr>
              <w:pStyle w:val="3280"/>
              <w:rPr>
                <w:color w:val="auto"/>
              </w:rPr>
            </w:pPr>
            <w:r>
              <w:rPr>
                <w:rFonts w:hint="eastAsia"/>
                <w:color w:val="auto"/>
              </w:rPr>
              <w:t>66</w:t>
            </w:r>
          </w:p>
        </w:tc>
        <w:tc>
          <w:tcPr>
            <w:tcW w:w="591" w:type="pct"/>
            <w:shd w:val="clear" w:color="auto" w:fill="auto"/>
            <w:vAlign w:val="center"/>
          </w:tcPr>
          <w:p w14:paraId="366EE9DF">
            <w:pPr>
              <w:pStyle w:val="3280"/>
              <w:rPr>
                <w:color w:val="auto"/>
              </w:rPr>
            </w:pPr>
            <w:r>
              <w:rPr>
                <w:rFonts w:hint="eastAsia"/>
                <w:color w:val="auto"/>
              </w:rPr>
              <w:t>＜1</w:t>
            </w:r>
          </w:p>
        </w:tc>
      </w:tr>
      <w:tr w14:paraId="0EC70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shd w:val="clear" w:color="auto" w:fill="auto"/>
            <w:vAlign w:val="center"/>
          </w:tcPr>
          <w:p w14:paraId="3C82F1DF">
            <w:pPr>
              <w:pStyle w:val="3280"/>
              <w:rPr>
                <w:color w:val="auto"/>
              </w:rPr>
            </w:pPr>
            <w:r>
              <w:rPr>
                <w:rFonts w:hint="eastAsia"/>
                <w:color w:val="auto"/>
              </w:rPr>
              <w:t>13</w:t>
            </w:r>
          </w:p>
        </w:tc>
        <w:tc>
          <w:tcPr>
            <w:tcW w:w="1109" w:type="pct"/>
            <w:shd w:val="clear" w:color="auto" w:fill="auto"/>
            <w:vAlign w:val="center"/>
          </w:tcPr>
          <w:p w14:paraId="74660551">
            <w:pPr>
              <w:pStyle w:val="3280"/>
              <w:rPr>
                <w:color w:val="auto"/>
              </w:rPr>
            </w:pPr>
            <w:r>
              <w:rPr>
                <w:rFonts w:hint="eastAsia"/>
                <w:color w:val="auto"/>
              </w:rPr>
              <w:t>顺-1,2-二氯乙烯</w:t>
            </w:r>
          </w:p>
        </w:tc>
        <w:tc>
          <w:tcPr>
            <w:tcW w:w="729" w:type="pct"/>
            <w:shd w:val="clear" w:color="auto" w:fill="auto"/>
            <w:vAlign w:val="center"/>
          </w:tcPr>
          <w:p w14:paraId="2F5C4BBA">
            <w:pPr>
              <w:pStyle w:val="3280"/>
              <w:rPr>
                <w:color w:val="auto"/>
              </w:rPr>
            </w:pPr>
            <w:r>
              <w:rPr>
                <w:rFonts w:hint="eastAsia"/>
                <w:color w:val="auto"/>
              </w:rPr>
              <w:t>0.0013L</w:t>
            </w:r>
          </w:p>
        </w:tc>
        <w:tc>
          <w:tcPr>
            <w:tcW w:w="648" w:type="pct"/>
            <w:shd w:val="clear" w:color="auto" w:fill="auto"/>
            <w:vAlign w:val="center"/>
          </w:tcPr>
          <w:p w14:paraId="1AE8B36E">
            <w:pPr>
              <w:pStyle w:val="3280"/>
              <w:rPr>
                <w:color w:val="auto"/>
              </w:rPr>
            </w:pPr>
            <w:r>
              <w:rPr>
                <w:rFonts w:hint="eastAsia"/>
                <w:color w:val="auto"/>
              </w:rPr>
              <w:t>0.0013L</w:t>
            </w:r>
          </w:p>
        </w:tc>
        <w:tc>
          <w:tcPr>
            <w:tcW w:w="813" w:type="pct"/>
            <w:shd w:val="clear" w:color="auto" w:fill="auto"/>
            <w:vAlign w:val="center"/>
          </w:tcPr>
          <w:p w14:paraId="116F2F0F">
            <w:pPr>
              <w:pStyle w:val="3280"/>
              <w:rPr>
                <w:color w:val="auto"/>
              </w:rPr>
            </w:pPr>
            <w:r>
              <w:rPr>
                <w:rFonts w:hint="eastAsia"/>
                <w:color w:val="auto"/>
              </w:rPr>
              <w:t>0.0013L</w:t>
            </w:r>
          </w:p>
        </w:tc>
        <w:tc>
          <w:tcPr>
            <w:tcW w:w="675" w:type="pct"/>
            <w:shd w:val="clear" w:color="auto" w:fill="auto"/>
            <w:vAlign w:val="center"/>
          </w:tcPr>
          <w:p w14:paraId="41A5D675">
            <w:pPr>
              <w:pStyle w:val="3280"/>
              <w:rPr>
                <w:color w:val="auto"/>
              </w:rPr>
            </w:pPr>
            <w:r>
              <w:rPr>
                <w:rFonts w:hint="eastAsia"/>
                <w:color w:val="auto"/>
              </w:rPr>
              <w:t>596</w:t>
            </w:r>
          </w:p>
        </w:tc>
        <w:tc>
          <w:tcPr>
            <w:tcW w:w="591" w:type="pct"/>
            <w:shd w:val="clear" w:color="auto" w:fill="auto"/>
            <w:vAlign w:val="center"/>
          </w:tcPr>
          <w:p w14:paraId="3ECC8826">
            <w:pPr>
              <w:pStyle w:val="3280"/>
              <w:rPr>
                <w:color w:val="auto"/>
              </w:rPr>
            </w:pPr>
            <w:r>
              <w:rPr>
                <w:rFonts w:hint="eastAsia"/>
                <w:color w:val="auto"/>
              </w:rPr>
              <w:t>＜1</w:t>
            </w:r>
          </w:p>
        </w:tc>
      </w:tr>
      <w:tr w14:paraId="3981F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shd w:val="clear" w:color="auto" w:fill="auto"/>
            <w:vAlign w:val="center"/>
          </w:tcPr>
          <w:p w14:paraId="547596BB">
            <w:pPr>
              <w:pStyle w:val="3280"/>
              <w:rPr>
                <w:color w:val="auto"/>
              </w:rPr>
            </w:pPr>
            <w:r>
              <w:rPr>
                <w:rFonts w:hint="eastAsia"/>
                <w:color w:val="auto"/>
              </w:rPr>
              <w:t>14</w:t>
            </w:r>
          </w:p>
        </w:tc>
        <w:tc>
          <w:tcPr>
            <w:tcW w:w="1109" w:type="pct"/>
            <w:shd w:val="clear" w:color="auto" w:fill="auto"/>
            <w:vAlign w:val="center"/>
          </w:tcPr>
          <w:p w14:paraId="1C5E6B2A">
            <w:pPr>
              <w:pStyle w:val="3280"/>
              <w:rPr>
                <w:color w:val="auto"/>
              </w:rPr>
            </w:pPr>
            <w:r>
              <w:rPr>
                <w:rFonts w:hint="eastAsia"/>
                <w:color w:val="auto"/>
              </w:rPr>
              <w:t>反-1,2-二氯乙烯</w:t>
            </w:r>
          </w:p>
        </w:tc>
        <w:tc>
          <w:tcPr>
            <w:tcW w:w="729" w:type="pct"/>
            <w:shd w:val="clear" w:color="auto" w:fill="auto"/>
            <w:vAlign w:val="center"/>
          </w:tcPr>
          <w:p w14:paraId="1BBB06A8">
            <w:pPr>
              <w:pStyle w:val="3280"/>
              <w:rPr>
                <w:color w:val="auto"/>
              </w:rPr>
            </w:pPr>
            <w:r>
              <w:rPr>
                <w:rFonts w:hint="eastAsia"/>
                <w:color w:val="auto"/>
              </w:rPr>
              <w:t>0.0014L</w:t>
            </w:r>
          </w:p>
        </w:tc>
        <w:tc>
          <w:tcPr>
            <w:tcW w:w="648" w:type="pct"/>
            <w:shd w:val="clear" w:color="auto" w:fill="auto"/>
            <w:vAlign w:val="center"/>
          </w:tcPr>
          <w:p w14:paraId="5DB8B2A9">
            <w:pPr>
              <w:pStyle w:val="3280"/>
              <w:rPr>
                <w:color w:val="auto"/>
              </w:rPr>
            </w:pPr>
            <w:r>
              <w:rPr>
                <w:rFonts w:hint="eastAsia"/>
                <w:color w:val="auto"/>
              </w:rPr>
              <w:t>0.0014L</w:t>
            </w:r>
          </w:p>
        </w:tc>
        <w:tc>
          <w:tcPr>
            <w:tcW w:w="813" w:type="pct"/>
            <w:shd w:val="clear" w:color="auto" w:fill="auto"/>
            <w:vAlign w:val="center"/>
          </w:tcPr>
          <w:p w14:paraId="48E5CB06">
            <w:pPr>
              <w:pStyle w:val="3280"/>
              <w:rPr>
                <w:color w:val="auto"/>
              </w:rPr>
            </w:pPr>
            <w:r>
              <w:rPr>
                <w:rFonts w:hint="eastAsia"/>
                <w:color w:val="auto"/>
              </w:rPr>
              <w:t>0.0014L</w:t>
            </w:r>
          </w:p>
        </w:tc>
        <w:tc>
          <w:tcPr>
            <w:tcW w:w="675" w:type="pct"/>
            <w:shd w:val="clear" w:color="auto" w:fill="auto"/>
            <w:vAlign w:val="center"/>
          </w:tcPr>
          <w:p w14:paraId="4816C537">
            <w:pPr>
              <w:pStyle w:val="3280"/>
              <w:rPr>
                <w:color w:val="auto"/>
              </w:rPr>
            </w:pPr>
            <w:r>
              <w:rPr>
                <w:rFonts w:hint="eastAsia"/>
                <w:color w:val="auto"/>
              </w:rPr>
              <w:t>54</w:t>
            </w:r>
          </w:p>
        </w:tc>
        <w:tc>
          <w:tcPr>
            <w:tcW w:w="591" w:type="pct"/>
            <w:shd w:val="clear" w:color="auto" w:fill="auto"/>
            <w:vAlign w:val="center"/>
          </w:tcPr>
          <w:p w14:paraId="4B845AC3">
            <w:pPr>
              <w:pStyle w:val="3280"/>
              <w:rPr>
                <w:color w:val="auto"/>
              </w:rPr>
            </w:pPr>
            <w:r>
              <w:rPr>
                <w:rFonts w:hint="eastAsia"/>
                <w:color w:val="auto"/>
              </w:rPr>
              <w:t>＜1</w:t>
            </w:r>
          </w:p>
        </w:tc>
      </w:tr>
      <w:tr w14:paraId="2B43B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shd w:val="clear" w:color="auto" w:fill="auto"/>
            <w:vAlign w:val="center"/>
          </w:tcPr>
          <w:p w14:paraId="26A96298">
            <w:pPr>
              <w:pStyle w:val="3280"/>
              <w:rPr>
                <w:color w:val="auto"/>
              </w:rPr>
            </w:pPr>
            <w:r>
              <w:rPr>
                <w:rFonts w:hint="eastAsia"/>
                <w:color w:val="auto"/>
              </w:rPr>
              <w:t>15</w:t>
            </w:r>
          </w:p>
        </w:tc>
        <w:tc>
          <w:tcPr>
            <w:tcW w:w="1109" w:type="pct"/>
            <w:shd w:val="clear" w:color="auto" w:fill="auto"/>
            <w:vAlign w:val="center"/>
          </w:tcPr>
          <w:p w14:paraId="5ADB1487">
            <w:pPr>
              <w:pStyle w:val="3280"/>
              <w:rPr>
                <w:color w:val="auto"/>
              </w:rPr>
            </w:pPr>
            <w:r>
              <w:rPr>
                <w:rFonts w:hint="eastAsia"/>
                <w:color w:val="auto"/>
              </w:rPr>
              <w:t>二氯甲烷</w:t>
            </w:r>
          </w:p>
        </w:tc>
        <w:tc>
          <w:tcPr>
            <w:tcW w:w="729" w:type="pct"/>
            <w:shd w:val="clear" w:color="auto" w:fill="auto"/>
            <w:vAlign w:val="center"/>
          </w:tcPr>
          <w:p w14:paraId="428B5A6B">
            <w:pPr>
              <w:pStyle w:val="3280"/>
              <w:rPr>
                <w:color w:val="auto"/>
              </w:rPr>
            </w:pPr>
            <w:r>
              <w:rPr>
                <w:rFonts w:hint="eastAsia"/>
                <w:color w:val="auto"/>
              </w:rPr>
              <w:t>0.0015L</w:t>
            </w:r>
          </w:p>
        </w:tc>
        <w:tc>
          <w:tcPr>
            <w:tcW w:w="648" w:type="pct"/>
            <w:shd w:val="clear" w:color="auto" w:fill="auto"/>
            <w:vAlign w:val="center"/>
          </w:tcPr>
          <w:p w14:paraId="4CF4FDAD">
            <w:pPr>
              <w:pStyle w:val="3280"/>
              <w:rPr>
                <w:color w:val="auto"/>
              </w:rPr>
            </w:pPr>
            <w:r>
              <w:rPr>
                <w:rFonts w:hint="eastAsia"/>
                <w:color w:val="auto"/>
              </w:rPr>
              <w:t>0.0015L</w:t>
            </w:r>
          </w:p>
        </w:tc>
        <w:tc>
          <w:tcPr>
            <w:tcW w:w="813" w:type="pct"/>
            <w:shd w:val="clear" w:color="auto" w:fill="auto"/>
            <w:vAlign w:val="center"/>
          </w:tcPr>
          <w:p w14:paraId="63C82231">
            <w:pPr>
              <w:pStyle w:val="3280"/>
              <w:rPr>
                <w:color w:val="auto"/>
              </w:rPr>
            </w:pPr>
            <w:r>
              <w:rPr>
                <w:rFonts w:hint="eastAsia"/>
                <w:color w:val="auto"/>
              </w:rPr>
              <w:t>0.0015L</w:t>
            </w:r>
          </w:p>
        </w:tc>
        <w:tc>
          <w:tcPr>
            <w:tcW w:w="675" w:type="pct"/>
            <w:shd w:val="clear" w:color="auto" w:fill="auto"/>
            <w:vAlign w:val="center"/>
          </w:tcPr>
          <w:p w14:paraId="3D76F081">
            <w:pPr>
              <w:pStyle w:val="3280"/>
              <w:rPr>
                <w:color w:val="auto"/>
              </w:rPr>
            </w:pPr>
            <w:r>
              <w:rPr>
                <w:rFonts w:hint="eastAsia"/>
                <w:color w:val="auto"/>
              </w:rPr>
              <w:t>616</w:t>
            </w:r>
          </w:p>
        </w:tc>
        <w:tc>
          <w:tcPr>
            <w:tcW w:w="591" w:type="pct"/>
            <w:shd w:val="clear" w:color="auto" w:fill="auto"/>
            <w:vAlign w:val="center"/>
          </w:tcPr>
          <w:p w14:paraId="4E1A68DB">
            <w:pPr>
              <w:pStyle w:val="3280"/>
              <w:rPr>
                <w:color w:val="auto"/>
              </w:rPr>
            </w:pPr>
            <w:r>
              <w:rPr>
                <w:rFonts w:hint="eastAsia"/>
                <w:color w:val="auto"/>
              </w:rPr>
              <w:t>＜1</w:t>
            </w:r>
          </w:p>
        </w:tc>
      </w:tr>
      <w:tr w14:paraId="05716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shd w:val="clear" w:color="auto" w:fill="auto"/>
            <w:vAlign w:val="center"/>
          </w:tcPr>
          <w:p w14:paraId="53A2944F">
            <w:pPr>
              <w:pStyle w:val="3280"/>
              <w:rPr>
                <w:color w:val="auto"/>
              </w:rPr>
            </w:pPr>
            <w:r>
              <w:rPr>
                <w:rFonts w:hint="eastAsia"/>
                <w:color w:val="auto"/>
              </w:rPr>
              <w:t>16</w:t>
            </w:r>
          </w:p>
        </w:tc>
        <w:tc>
          <w:tcPr>
            <w:tcW w:w="1109" w:type="pct"/>
            <w:shd w:val="clear" w:color="auto" w:fill="auto"/>
            <w:vAlign w:val="center"/>
          </w:tcPr>
          <w:p w14:paraId="76649247">
            <w:pPr>
              <w:pStyle w:val="3280"/>
              <w:rPr>
                <w:color w:val="auto"/>
              </w:rPr>
            </w:pPr>
            <w:r>
              <w:rPr>
                <w:rFonts w:hint="eastAsia"/>
                <w:color w:val="auto"/>
              </w:rPr>
              <w:t>1,2-二氯丙烷</w:t>
            </w:r>
          </w:p>
        </w:tc>
        <w:tc>
          <w:tcPr>
            <w:tcW w:w="729" w:type="pct"/>
            <w:shd w:val="clear" w:color="auto" w:fill="auto"/>
            <w:vAlign w:val="center"/>
          </w:tcPr>
          <w:p w14:paraId="0609DFFF">
            <w:pPr>
              <w:pStyle w:val="3280"/>
              <w:rPr>
                <w:color w:val="auto"/>
              </w:rPr>
            </w:pPr>
            <w:r>
              <w:rPr>
                <w:rFonts w:hint="eastAsia"/>
                <w:color w:val="auto"/>
              </w:rPr>
              <w:t>0.0011L</w:t>
            </w:r>
          </w:p>
        </w:tc>
        <w:tc>
          <w:tcPr>
            <w:tcW w:w="648" w:type="pct"/>
            <w:shd w:val="clear" w:color="auto" w:fill="auto"/>
            <w:vAlign w:val="center"/>
          </w:tcPr>
          <w:p w14:paraId="6E5844C6">
            <w:pPr>
              <w:pStyle w:val="3280"/>
              <w:rPr>
                <w:color w:val="auto"/>
              </w:rPr>
            </w:pPr>
            <w:r>
              <w:rPr>
                <w:rFonts w:hint="eastAsia"/>
                <w:color w:val="auto"/>
              </w:rPr>
              <w:t>0.0011L</w:t>
            </w:r>
          </w:p>
        </w:tc>
        <w:tc>
          <w:tcPr>
            <w:tcW w:w="813" w:type="pct"/>
            <w:shd w:val="clear" w:color="auto" w:fill="auto"/>
            <w:vAlign w:val="center"/>
          </w:tcPr>
          <w:p w14:paraId="10B51325">
            <w:pPr>
              <w:pStyle w:val="3280"/>
              <w:rPr>
                <w:color w:val="auto"/>
              </w:rPr>
            </w:pPr>
            <w:r>
              <w:rPr>
                <w:rFonts w:hint="eastAsia"/>
                <w:color w:val="auto"/>
              </w:rPr>
              <w:t>0.0011L</w:t>
            </w:r>
          </w:p>
        </w:tc>
        <w:tc>
          <w:tcPr>
            <w:tcW w:w="675" w:type="pct"/>
            <w:shd w:val="clear" w:color="auto" w:fill="auto"/>
            <w:vAlign w:val="center"/>
          </w:tcPr>
          <w:p w14:paraId="169ED44C">
            <w:pPr>
              <w:pStyle w:val="3280"/>
              <w:rPr>
                <w:color w:val="auto"/>
              </w:rPr>
            </w:pPr>
            <w:r>
              <w:rPr>
                <w:rFonts w:hint="eastAsia"/>
                <w:color w:val="auto"/>
              </w:rPr>
              <w:t>5</w:t>
            </w:r>
          </w:p>
        </w:tc>
        <w:tc>
          <w:tcPr>
            <w:tcW w:w="591" w:type="pct"/>
            <w:shd w:val="clear" w:color="auto" w:fill="auto"/>
            <w:vAlign w:val="center"/>
          </w:tcPr>
          <w:p w14:paraId="269B07BE">
            <w:pPr>
              <w:pStyle w:val="3280"/>
              <w:rPr>
                <w:color w:val="auto"/>
              </w:rPr>
            </w:pPr>
            <w:r>
              <w:rPr>
                <w:rFonts w:hint="eastAsia"/>
                <w:color w:val="auto"/>
              </w:rPr>
              <w:t>＜1</w:t>
            </w:r>
          </w:p>
        </w:tc>
      </w:tr>
      <w:tr w14:paraId="6089A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shd w:val="clear" w:color="auto" w:fill="auto"/>
            <w:vAlign w:val="center"/>
          </w:tcPr>
          <w:p w14:paraId="6CF8EBE7">
            <w:pPr>
              <w:pStyle w:val="3280"/>
              <w:rPr>
                <w:color w:val="auto"/>
              </w:rPr>
            </w:pPr>
            <w:r>
              <w:rPr>
                <w:rFonts w:hint="eastAsia"/>
                <w:color w:val="auto"/>
              </w:rPr>
              <w:t>17</w:t>
            </w:r>
          </w:p>
        </w:tc>
        <w:tc>
          <w:tcPr>
            <w:tcW w:w="1109" w:type="pct"/>
            <w:shd w:val="clear" w:color="auto" w:fill="auto"/>
            <w:vAlign w:val="center"/>
          </w:tcPr>
          <w:p w14:paraId="2908DBF4">
            <w:pPr>
              <w:pStyle w:val="3280"/>
              <w:rPr>
                <w:color w:val="auto"/>
              </w:rPr>
            </w:pPr>
            <w:r>
              <w:rPr>
                <w:rFonts w:hint="eastAsia"/>
                <w:color w:val="auto"/>
              </w:rPr>
              <w:t>1,1,1,2-四氯乙烷</w:t>
            </w:r>
          </w:p>
        </w:tc>
        <w:tc>
          <w:tcPr>
            <w:tcW w:w="729" w:type="pct"/>
            <w:shd w:val="clear" w:color="auto" w:fill="auto"/>
            <w:vAlign w:val="center"/>
          </w:tcPr>
          <w:p w14:paraId="22F6A46A">
            <w:pPr>
              <w:pStyle w:val="3280"/>
              <w:rPr>
                <w:color w:val="auto"/>
              </w:rPr>
            </w:pPr>
            <w:r>
              <w:rPr>
                <w:rFonts w:hint="eastAsia"/>
                <w:color w:val="auto"/>
              </w:rPr>
              <w:t>0.0012L</w:t>
            </w:r>
          </w:p>
        </w:tc>
        <w:tc>
          <w:tcPr>
            <w:tcW w:w="648" w:type="pct"/>
            <w:shd w:val="clear" w:color="auto" w:fill="auto"/>
            <w:vAlign w:val="center"/>
          </w:tcPr>
          <w:p w14:paraId="403B5218">
            <w:pPr>
              <w:pStyle w:val="3280"/>
              <w:rPr>
                <w:color w:val="auto"/>
              </w:rPr>
            </w:pPr>
            <w:r>
              <w:rPr>
                <w:rFonts w:hint="eastAsia"/>
                <w:color w:val="auto"/>
              </w:rPr>
              <w:t>0.0012L</w:t>
            </w:r>
          </w:p>
        </w:tc>
        <w:tc>
          <w:tcPr>
            <w:tcW w:w="813" w:type="pct"/>
            <w:shd w:val="clear" w:color="auto" w:fill="auto"/>
            <w:vAlign w:val="center"/>
          </w:tcPr>
          <w:p w14:paraId="2A45A68A">
            <w:pPr>
              <w:pStyle w:val="3280"/>
              <w:rPr>
                <w:color w:val="auto"/>
              </w:rPr>
            </w:pPr>
            <w:r>
              <w:rPr>
                <w:rFonts w:hint="eastAsia"/>
                <w:color w:val="auto"/>
              </w:rPr>
              <w:t>0.0012L</w:t>
            </w:r>
          </w:p>
        </w:tc>
        <w:tc>
          <w:tcPr>
            <w:tcW w:w="675" w:type="pct"/>
            <w:shd w:val="clear" w:color="auto" w:fill="auto"/>
            <w:vAlign w:val="center"/>
          </w:tcPr>
          <w:p w14:paraId="13081EC8">
            <w:pPr>
              <w:pStyle w:val="3280"/>
              <w:rPr>
                <w:color w:val="auto"/>
              </w:rPr>
            </w:pPr>
            <w:r>
              <w:rPr>
                <w:rFonts w:hint="eastAsia"/>
                <w:color w:val="auto"/>
              </w:rPr>
              <w:t>10</w:t>
            </w:r>
          </w:p>
        </w:tc>
        <w:tc>
          <w:tcPr>
            <w:tcW w:w="591" w:type="pct"/>
            <w:shd w:val="clear" w:color="auto" w:fill="auto"/>
            <w:vAlign w:val="center"/>
          </w:tcPr>
          <w:p w14:paraId="5EA15924">
            <w:pPr>
              <w:pStyle w:val="3280"/>
              <w:rPr>
                <w:color w:val="auto"/>
              </w:rPr>
            </w:pPr>
            <w:r>
              <w:rPr>
                <w:rFonts w:hint="eastAsia"/>
                <w:color w:val="auto"/>
              </w:rPr>
              <w:t>＜1</w:t>
            </w:r>
          </w:p>
        </w:tc>
      </w:tr>
      <w:tr w14:paraId="379D7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shd w:val="clear" w:color="auto" w:fill="auto"/>
            <w:vAlign w:val="center"/>
          </w:tcPr>
          <w:p w14:paraId="0856D0DC">
            <w:pPr>
              <w:pStyle w:val="3280"/>
              <w:rPr>
                <w:color w:val="auto"/>
              </w:rPr>
            </w:pPr>
            <w:r>
              <w:rPr>
                <w:rFonts w:hint="eastAsia"/>
                <w:color w:val="auto"/>
              </w:rPr>
              <w:t>18</w:t>
            </w:r>
          </w:p>
        </w:tc>
        <w:tc>
          <w:tcPr>
            <w:tcW w:w="1109" w:type="pct"/>
            <w:shd w:val="clear" w:color="auto" w:fill="auto"/>
            <w:vAlign w:val="center"/>
          </w:tcPr>
          <w:p w14:paraId="409B4E85">
            <w:pPr>
              <w:pStyle w:val="3280"/>
              <w:rPr>
                <w:color w:val="auto"/>
              </w:rPr>
            </w:pPr>
            <w:r>
              <w:rPr>
                <w:rFonts w:hint="eastAsia"/>
                <w:color w:val="auto"/>
              </w:rPr>
              <w:t>1,1,2,2-四氯乙烷</w:t>
            </w:r>
          </w:p>
        </w:tc>
        <w:tc>
          <w:tcPr>
            <w:tcW w:w="729" w:type="pct"/>
            <w:shd w:val="clear" w:color="auto" w:fill="auto"/>
            <w:vAlign w:val="center"/>
          </w:tcPr>
          <w:p w14:paraId="67597EEF">
            <w:pPr>
              <w:pStyle w:val="3280"/>
              <w:rPr>
                <w:color w:val="auto"/>
              </w:rPr>
            </w:pPr>
            <w:r>
              <w:rPr>
                <w:rFonts w:hint="eastAsia"/>
                <w:color w:val="auto"/>
              </w:rPr>
              <w:t>0.0012L</w:t>
            </w:r>
          </w:p>
        </w:tc>
        <w:tc>
          <w:tcPr>
            <w:tcW w:w="648" w:type="pct"/>
            <w:shd w:val="clear" w:color="auto" w:fill="auto"/>
            <w:vAlign w:val="center"/>
          </w:tcPr>
          <w:p w14:paraId="7C86AA65">
            <w:pPr>
              <w:pStyle w:val="3280"/>
              <w:rPr>
                <w:color w:val="auto"/>
              </w:rPr>
            </w:pPr>
            <w:r>
              <w:rPr>
                <w:rFonts w:hint="eastAsia"/>
                <w:color w:val="auto"/>
              </w:rPr>
              <w:t>0.0012L</w:t>
            </w:r>
          </w:p>
        </w:tc>
        <w:tc>
          <w:tcPr>
            <w:tcW w:w="813" w:type="pct"/>
            <w:shd w:val="clear" w:color="auto" w:fill="auto"/>
            <w:vAlign w:val="center"/>
          </w:tcPr>
          <w:p w14:paraId="26426047">
            <w:pPr>
              <w:pStyle w:val="3280"/>
              <w:rPr>
                <w:color w:val="auto"/>
              </w:rPr>
            </w:pPr>
            <w:r>
              <w:rPr>
                <w:rFonts w:hint="eastAsia"/>
                <w:color w:val="auto"/>
              </w:rPr>
              <w:t>0.0012L</w:t>
            </w:r>
          </w:p>
        </w:tc>
        <w:tc>
          <w:tcPr>
            <w:tcW w:w="675" w:type="pct"/>
            <w:shd w:val="clear" w:color="auto" w:fill="auto"/>
            <w:vAlign w:val="center"/>
          </w:tcPr>
          <w:p w14:paraId="45BBEEE0">
            <w:pPr>
              <w:pStyle w:val="3280"/>
              <w:rPr>
                <w:color w:val="auto"/>
              </w:rPr>
            </w:pPr>
            <w:r>
              <w:rPr>
                <w:rFonts w:hint="eastAsia"/>
                <w:color w:val="auto"/>
              </w:rPr>
              <w:t>6.8</w:t>
            </w:r>
          </w:p>
        </w:tc>
        <w:tc>
          <w:tcPr>
            <w:tcW w:w="591" w:type="pct"/>
            <w:shd w:val="clear" w:color="auto" w:fill="auto"/>
            <w:vAlign w:val="center"/>
          </w:tcPr>
          <w:p w14:paraId="78FEFC4F">
            <w:pPr>
              <w:pStyle w:val="3280"/>
              <w:rPr>
                <w:color w:val="auto"/>
              </w:rPr>
            </w:pPr>
            <w:r>
              <w:rPr>
                <w:rFonts w:hint="eastAsia"/>
                <w:color w:val="auto"/>
              </w:rPr>
              <w:t>＜1</w:t>
            </w:r>
          </w:p>
        </w:tc>
      </w:tr>
      <w:tr w14:paraId="1DF35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shd w:val="clear" w:color="auto" w:fill="auto"/>
            <w:vAlign w:val="center"/>
          </w:tcPr>
          <w:p w14:paraId="55949FD7">
            <w:pPr>
              <w:pStyle w:val="3280"/>
              <w:rPr>
                <w:color w:val="auto"/>
              </w:rPr>
            </w:pPr>
            <w:r>
              <w:rPr>
                <w:rFonts w:hint="eastAsia"/>
                <w:color w:val="auto"/>
              </w:rPr>
              <w:t>19</w:t>
            </w:r>
          </w:p>
        </w:tc>
        <w:tc>
          <w:tcPr>
            <w:tcW w:w="1109" w:type="pct"/>
            <w:shd w:val="clear" w:color="auto" w:fill="auto"/>
            <w:vAlign w:val="center"/>
          </w:tcPr>
          <w:p w14:paraId="68F958DE">
            <w:pPr>
              <w:pStyle w:val="3280"/>
              <w:rPr>
                <w:color w:val="auto"/>
              </w:rPr>
            </w:pPr>
            <w:r>
              <w:rPr>
                <w:rFonts w:hint="eastAsia"/>
                <w:color w:val="auto"/>
              </w:rPr>
              <w:t>四氯乙烯</w:t>
            </w:r>
          </w:p>
        </w:tc>
        <w:tc>
          <w:tcPr>
            <w:tcW w:w="729" w:type="pct"/>
            <w:shd w:val="clear" w:color="auto" w:fill="auto"/>
            <w:vAlign w:val="center"/>
          </w:tcPr>
          <w:p w14:paraId="536E3D27">
            <w:pPr>
              <w:pStyle w:val="3280"/>
              <w:rPr>
                <w:color w:val="auto"/>
              </w:rPr>
            </w:pPr>
            <w:r>
              <w:rPr>
                <w:rFonts w:hint="eastAsia"/>
                <w:color w:val="auto"/>
              </w:rPr>
              <w:t>0.0014L</w:t>
            </w:r>
          </w:p>
        </w:tc>
        <w:tc>
          <w:tcPr>
            <w:tcW w:w="648" w:type="pct"/>
            <w:shd w:val="clear" w:color="auto" w:fill="auto"/>
            <w:vAlign w:val="center"/>
          </w:tcPr>
          <w:p w14:paraId="5F28AC25">
            <w:pPr>
              <w:pStyle w:val="3280"/>
              <w:rPr>
                <w:color w:val="auto"/>
              </w:rPr>
            </w:pPr>
            <w:r>
              <w:rPr>
                <w:rFonts w:hint="eastAsia"/>
                <w:color w:val="auto"/>
              </w:rPr>
              <w:t>0.0014L</w:t>
            </w:r>
          </w:p>
        </w:tc>
        <w:tc>
          <w:tcPr>
            <w:tcW w:w="813" w:type="pct"/>
            <w:shd w:val="clear" w:color="auto" w:fill="auto"/>
            <w:vAlign w:val="center"/>
          </w:tcPr>
          <w:p w14:paraId="2269FEAC">
            <w:pPr>
              <w:pStyle w:val="3280"/>
              <w:rPr>
                <w:color w:val="auto"/>
              </w:rPr>
            </w:pPr>
            <w:r>
              <w:rPr>
                <w:rFonts w:hint="eastAsia"/>
                <w:color w:val="auto"/>
              </w:rPr>
              <w:t>0.0014L</w:t>
            </w:r>
          </w:p>
        </w:tc>
        <w:tc>
          <w:tcPr>
            <w:tcW w:w="675" w:type="pct"/>
            <w:shd w:val="clear" w:color="auto" w:fill="auto"/>
            <w:vAlign w:val="center"/>
          </w:tcPr>
          <w:p w14:paraId="3B393D77">
            <w:pPr>
              <w:pStyle w:val="3280"/>
              <w:rPr>
                <w:color w:val="auto"/>
              </w:rPr>
            </w:pPr>
            <w:r>
              <w:rPr>
                <w:rFonts w:hint="eastAsia"/>
                <w:color w:val="auto"/>
              </w:rPr>
              <w:t>53</w:t>
            </w:r>
          </w:p>
        </w:tc>
        <w:tc>
          <w:tcPr>
            <w:tcW w:w="591" w:type="pct"/>
            <w:shd w:val="clear" w:color="auto" w:fill="auto"/>
            <w:vAlign w:val="center"/>
          </w:tcPr>
          <w:p w14:paraId="7E09A56B">
            <w:pPr>
              <w:pStyle w:val="3280"/>
              <w:rPr>
                <w:color w:val="auto"/>
              </w:rPr>
            </w:pPr>
            <w:r>
              <w:rPr>
                <w:rFonts w:hint="eastAsia"/>
                <w:color w:val="auto"/>
              </w:rPr>
              <w:t>＜1</w:t>
            </w:r>
          </w:p>
        </w:tc>
      </w:tr>
      <w:tr w14:paraId="429B1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shd w:val="clear" w:color="auto" w:fill="auto"/>
            <w:vAlign w:val="center"/>
          </w:tcPr>
          <w:p w14:paraId="04B802AF">
            <w:pPr>
              <w:pStyle w:val="3280"/>
              <w:rPr>
                <w:color w:val="auto"/>
              </w:rPr>
            </w:pPr>
            <w:r>
              <w:rPr>
                <w:rFonts w:hint="eastAsia"/>
                <w:color w:val="auto"/>
              </w:rPr>
              <w:t>20</w:t>
            </w:r>
          </w:p>
        </w:tc>
        <w:tc>
          <w:tcPr>
            <w:tcW w:w="1109" w:type="pct"/>
            <w:shd w:val="clear" w:color="auto" w:fill="auto"/>
            <w:vAlign w:val="center"/>
          </w:tcPr>
          <w:p w14:paraId="559017FF">
            <w:pPr>
              <w:pStyle w:val="3280"/>
              <w:rPr>
                <w:color w:val="auto"/>
              </w:rPr>
            </w:pPr>
            <w:r>
              <w:rPr>
                <w:rFonts w:hint="eastAsia"/>
                <w:color w:val="auto"/>
              </w:rPr>
              <w:t>1,1,1-三氯乙烷</w:t>
            </w:r>
          </w:p>
        </w:tc>
        <w:tc>
          <w:tcPr>
            <w:tcW w:w="729" w:type="pct"/>
            <w:shd w:val="clear" w:color="auto" w:fill="auto"/>
            <w:vAlign w:val="center"/>
          </w:tcPr>
          <w:p w14:paraId="033B72D1">
            <w:pPr>
              <w:pStyle w:val="3280"/>
              <w:rPr>
                <w:color w:val="auto"/>
              </w:rPr>
            </w:pPr>
            <w:r>
              <w:rPr>
                <w:rFonts w:hint="eastAsia"/>
                <w:color w:val="auto"/>
              </w:rPr>
              <w:t>0.0013L</w:t>
            </w:r>
          </w:p>
        </w:tc>
        <w:tc>
          <w:tcPr>
            <w:tcW w:w="648" w:type="pct"/>
            <w:shd w:val="clear" w:color="auto" w:fill="auto"/>
            <w:vAlign w:val="center"/>
          </w:tcPr>
          <w:p w14:paraId="3BB567C6">
            <w:pPr>
              <w:pStyle w:val="3280"/>
              <w:rPr>
                <w:color w:val="auto"/>
              </w:rPr>
            </w:pPr>
            <w:r>
              <w:rPr>
                <w:rFonts w:hint="eastAsia"/>
                <w:color w:val="auto"/>
              </w:rPr>
              <w:t>0.0013L</w:t>
            </w:r>
          </w:p>
        </w:tc>
        <w:tc>
          <w:tcPr>
            <w:tcW w:w="813" w:type="pct"/>
            <w:shd w:val="clear" w:color="auto" w:fill="auto"/>
            <w:vAlign w:val="center"/>
          </w:tcPr>
          <w:p w14:paraId="623819CB">
            <w:pPr>
              <w:pStyle w:val="3280"/>
              <w:rPr>
                <w:color w:val="auto"/>
              </w:rPr>
            </w:pPr>
            <w:r>
              <w:rPr>
                <w:rFonts w:hint="eastAsia"/>
                <w:color w:val="auto"/>
              </w:rPr>
              <w:t>0.0013L</w:t>
            </w:r>
          </w:p>
        </w:tc>
        <w:tc>
          <w:tcPr>
            <w:tcW w:w="675" w:type="pct"/>
            <w:shd w:val="clear" w:color="auto" w:fill="auto"/>
            <w:vAlign w:val="center"/>
          </w:tcPr>
          <w:p w14:paraId="18E1ADAC">
            <w:pPr>
              <w:pStyle w:val="3280"/>
              <w:rPr>
                <w:color w:val="auto"/>
              </w:rPr>
            </w:pPr>
            <w:r>
              <w:rPr>
                <w:rFonts w:hint="eastAsia"/>
                <w:color w:val="auto"/>
              </w:rPr>
              <w:t>840</w:t>
            </w:r>
          </w:p>
        </w:tc>
        <w:tc>
          <w:tcPr>
            <w:tcW w:w="591" w:type="pct"/>
            <w:shd w:val="clear" w:color="auto" w:fill="auto"/>
            <w:vAlign w:val="center"/>
          </w:tcPr>
          <w:p w14:paraId="4DB46C15">
            <w:pPr>
              <w:pStyle w:val="3280"/>
              <w:rPr>
                <w:color w:val="auto"/>
              </w:rPr>
            </w:pPr>
            <w:r>
              <w:rPr>
                <w:rFonts w:hint="eastAsia"/>
                <w:color w:val="auto"/>
              </w:rPr>
              <w:t>＜1</w:t>
            </w:r>
          </w:p>
        </w:tc>
      </w:tr>
      <w:tr w14:paraId="29418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shd w:val="clear" w:color="auto" w:fill="auto"/>
            <w:vAlign w:val="center"/>
          </w:tcPr>
          <w:p w14:paraId="1273E353">
            <w:pPr>
              <w:pStyle w:val="3280"/>
              <w:rPr>
                <w:color w:val="auto"/>
              </w:rPr>
            </w:pPr>
            <w:r>
              <w:rPr>
                <w:rFonts w:hint="eastAsia"/>
                <w:color w:val="auto"/>
              </w:rPr>
              <w:t>21</w:t>
            </w:r>
          </w:p>
        </w:tc>
        <w:tc>
          <w:tcPr>
            <w:tcW w:w="1109" w:type="pct"/>
            <w:shd w:val="clear" w:color="auto" w:fill="auto"/>
            <w:vAlign w:val="center"/>
          </w:tcPr>
          <w:p w14:paraId="2376F8F6">
            <w:pPr>
              <w:pStyle w:val="3280"/>
              <w:rPr>
                <w:color w:val="auto"/>
              </w:rPr>
            </w:pPr>
            <w:r>
              <w:rPr>
                <w:rFonts w:hint="eastAsia"/>
                <w:color w:val="auto"/>
              </w:rPr>
              <w:t>1,1,2-三氯乙烷</w:t>
            </w:r>
          </w:p>
        </w:tc>
        <w:tc>
          <w:tcPr>
            <w:tcW w:w="729" w:type="pct"/>
            <w:shd w:val="clear" w:color="auto" w:fill="auto"/>
            <w:vAlign w:val="center"/>
          </w:tcPr>
          <w:p w14:paraId="70AAC1B3">
            <w:pPr>
              <w:pStyle w:val="3280"/>
              <w:rPr>
                <w:color w:val="auto"/>
              </w:rPr>
            </w:pPr>
            <w:r>
              <w:rPr>
                <w:rFonts w:hint="eastAsia"/>
                <w:color w:val="auto"/>
              </w:rPr>
              <w:t>0.0012L</w:t>
            </w:r>
          </w:p>
        </w:tc>
        <w:tc>
          <w:tcPr>
            <w:tcW w:w="648" w:type="pct"/>
            <w:shd w:val="clear" w:color="auto" w:fill="auto"/>
            <w:vAlign w:val="center"/>
          </w:tcPr>
          <w:p w14:paraId="31A047CA">
            <w:pPr>
              <w:pStyle w:val="3280"/>
              <w:rPr>
                <w:color w:val="auto"/>
              </w:rPr>
            </w:pPr>
            <w:r>
              <w:rPr>
                <w:rFonts w:hint="eastAsia"/>
                <w:color w:val="auto"/>
              </w:rPr>
              <w:t>0.0012L</w:t>
            </w:r>
          </w:p>
        </w:tc>
        <w:tc>
          <w:tcPr>
            <w:tcW w:w="813" w:type="pct"/>
            <w:shd w:val="clear" w:color="auto" w:fill="auto"/>
            <w:vAlign w:val="center"/>
          </w:tcPr>
          <w:p w14:paraId="2A11E09E">
            <w:pPr>
              <w:pStyle w:val="3280"/>
              <w:rPr>
                <w:color w:val="auto"/>
              </w:rPr>
            </w:pPr>
            <w:r>
              <w:rPr>
                <w:rFonts w:hint="eastAsia"/>
                <w:color w:val="auto"/>
              </w:rPr>
              <w:t>0.0012L</w:t>
            </w:r>
          </w:p>
        </w:tc>
        <w:tc>
          <w:tcPr>
            <w:tcW w:w="675" w:type="pct"/>
            <w:shd w:val="clear" w:color="auto" w:fill="auto"/>
            <w:vAlign w:val="center"/>
          </w:tcPr>
          <w:p w14:paraId="6546E334">
            <w:pPr>
              <w:pStyle w:val="3280"/>
              <w:rPr>
                <w:color w:val="auto"/>
              </w:rPr>
            </w:pPr>
            <w:r>
              <w:rPr>
                <w:rFonts w:hint="eastAsia"/>
                <w:color w:val="auto"/>
              </w:rPr>
              <w:t>2.8</w:t>
            </w:r>
          </w:p>
        </w:tc>
        <w:tc>
          <w:tcPr>
            <w:tcW w:w="591" w:type="pct"/>
            <w:shd w:val="clear" w:color="auto" w:fill="auto"/>
            <w:vAlign w:val="center"/>
          </w:tcPr>
          <w:p w14:paraId="4A8615C2">
            <w:pPr>
              <w:pStyle w:val="3280"/>
              <w:rPr>
                <w:color w:val="auto"/>
              </w:rPr>
            </w:pPr>
            <w:r>
              <w:rPr>
                <w:rFonts w:hint="eastAsia"/>
                <w:color w:val="auto"/>
              </w:rPr>
              <w:t>＜1</w:t>
            </w:r>
          </w:p>
        </w:tc>
      </w:tr>
      <w:tr w14:paraId="6F7CD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shd w:val="clear" w:color="auto" w:fill="auto"/>
            <w:vAlign w:val="center"/>
          </w:tcPr>
          <w:p w14:paraId="4BC4CAB1">
            <w:pPr>
              <w:pStyle w:val="3280"/>
              <w:rPr>
                <w:color w:val="auto"/>
              </w:rPr>
            </w:pPr>
            <w:r>
              <w:rPr>
                <w:rFonts w:hint="eastAsia"/>
                <w:color w:val="auto"/>
              </w:rPr>
              <w:t>22</w:t>
            </w:r>
          </w:p>
        </w:tc>
        <w:tc>
          <w:tcPr>
            <w:tcW w:w="1109" w:type="pct"/>
            <w:shd w:val="clear" w:color="auto" w:fill="auto"/>
            <w:vAlign w:val="center"/>
          </w:tcPr>
          <w:p w14:paraId="1F57885E">
            <w:pPr>
              <w:pStyle w:val="3280"/>
              <w:rPr>
                <w:color w:val="auto"/>
              </w:rPr>
            </w:pPr>
            <w:r>
              <w:rPr>
                <w:rFonts w:hint="eastAsia"/>
                <w:color w:val="auto"/>
              </w:rPr>
              <w:t>三氯乙烯</w:t>
            </w:r>
          </w:p>
        </w:tc>
        <w:tc>
          <w:tcPr>
            <w:tcW w:w="729" w:type="pct"/>
            <w:shd w:val="clear" w:color="auto" w:fill="auto"/>
            <w:vAlign w:val="center"/>
          </w:tcPr>
          <w:p w14:paraId="64CC9682">
            <w:pPr>
              <w:pStyle w:val="3280"/>
              <w:rPr>
                <w:color w:val="auto"/>
              </w:rPr>
            </w:pPr>
            <w:r>
              <w:rPr>
                <w:rFonts w:hint="eastAsia"/>
                <w:color w:val="auto"/>
              </w:rPr>
              <w:t>0.0012L</w:t>
            </w:r>
          </w:p>
        </w:tc>
        <w:tc>
          <w:tcPr>
            <w:tcW w:w="648" w:type="pct"/>
            <w:shd w:val="clear" w:color="auto" w:fill="auto"/>
            <w:vAlign w:val="center"/>
          </w:tcPr>
          <w:p w14:paraId="7B41AC4A">
            <w:pPr>
              <w:pStyle w:val="3280"/>
              <w:rPr>
                <w:color w:val="auto"/>
              </w:rPr>
            </w:pPr>
            <w:r>
              <w:rPr>
                <w:rFonts w:hint="eastAsia"/>
                <w:color w:val="auto"/>
              </w:rPr>
              <w:t>0.0012L</w:t>
            </w:r>
          </w:p>
        </w:tc>
        <w:tc>
          <w:tcPr>
            <w:tcW w:w="813" w:type="pct"/>
            <w:shd w:val="clear" w:color="auto" w:fill="auto"/>
            <w:vAlign w:val="center"/>
          </w:tcPr>
          <w:p w14:paraId="75A7FD98">
            <w:pPr>
              <w:pStyle w:val="3280"/>
              <w:rPr>
                <w:color w:val="auto"/>
              </w:rPr>
            </w:pPr>
            <w:r>
              <w:rPr>
                <w:rFonts w:hint="eastAsia"/>
                <w:color w:val="auto"/>
              </w:rPr>
              <w:t>0.0012L</w:t>
            </w:r>
          </w:p>
        </w:tc>
        <w:tc>
          <w:tcPr>
            <w:tcW w:w="675" w:type="pct"/>
            <w:shd w:val="clear" w:color="auto" w:fill="auto"/>
            <w:vAlign w:val="center"/>
          </w:tcPr>
          <w:p w14:paraId="33733199">
            <w:pPr>
              <w:pStyle w:val="3280"/>
              <w:rPr>
                <w:color w:val="auto"/>
              </w:rPr>
            </w:pPr>
            <w:r>
              <w:rPr>
                <w:rFonts w:hint="eastAsia"/>
                <w:color w:val="auto"/>
              </w:rPr>
              <w:t>2.8</w:t>
            </w:r>
          </w:p>
        </w:tc>
        <w:tc>
          <w:tcPr>
            <w:tcW w:w="591" w:type="pct"/>
            <w:shd w:val="clear" w:color="auto" w:fill="auto"/>
            <w:vAlign w:val="center"/>
          </w:tcPr>
          <w:p w14:paraId="00E9F9C3">
            <w:pPr>
              <w:pStyle w:val="3280"/>
              <w:rPr>
                <w:color w:val="auto"/>
              </w:rPr>
            </w:pPr>
            <w:r>
              <w:rPr>
                <w:rFonts w:hint="eastAsia"/>
                <w:color w:val="auto"/>
              </w:rPr>
              <w:t>＜1</w:t>
            </w:r>
          </w:p>
        </w:tc>
      </w:tr>
      <w:tr w14:paraId="32A77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shd w:val="clear" w:color="auto" w:fill="auto"/>
            <w:vAlign w:val="center"/>
          </w:tcPr>
          <w:p w14:paraId="2809F739">
            <w:pPr>
              <w:pStyle w:val="3280"/>
              <w:rPr>
                <w:color w:val="auto"/>
              </w:rPr>
            </w:pPr>
            <w:r>
              <w:rPr>
                <w:rFonts w:hint="eastAsia"/>
                <w:color w:val="auto"/>
              </w:rPr>
              <w:t>23</w:t>
            </w:r>
          </w:p>
        </w:tc>
        <w:tc>
          <w:tcPr>
            <w:tcW w:w="1109" w:type="pct"/>
            <w:shd w:val="clear" w:color="auto" w:fill="auto"/>
            <w:vAlign w:val="center"/>
          </w:tcPr>
          <w:p w14:paraId="20E9BC00">
            <w:pPr>
              <w:pStyle w:val="3280"/>
              <w:rPr>
                <w:color w:val="auto"/>
              </w:rPr>
            </w:pPr>
            <w:r>
              <w:rPr>
                <w:rFonts w:hint="eastAsia"/>
                <w:color w:val="auto"/>
              </w:rPr>
              <w:t>1,2,3-三氯丙烷</w:t>
            </w:r>
          </w:p>
        </w:tc>
        <w:tc>
          <w:tcPr>
            <w:tcW w:w="729" w:type="pct"/>
            <w:shd w:val="clear" w:color="auto" w:fill="auto"/>
            <w:vAlign w:val="center"/>
          </w:tcPr>
          <w:p w14:paraId="336A78AF">
            <w:pPr>
              <w:pStyle w:val="3280"/>
              <w:rPr>
                <w:color w:val="auto"/>
              </w:rPr>
            </w:pPr>
            <w:r>
              <w:rPr>
                <w:rFonts w:hint="eastAsia"/>
                <w:color w:val="auto"/>
              </w:rPr>
              <w:t>0.0012L</w:t>
            </w:r>
          </w:p>
        </w:tc>
        <w:tc>
          <w:tcPr>
            <w:tcW w:w="648" w:type="pct"/>
            <w:shd w:val="clear" w:color="auto" w:fill="auto"/>
            <w:vAlign w:val="center"/>
          </w:tcPr>
          <w:p w14:paraId="77E4F5D2">
            <w:pPr>
              <w:pStyle w:val="3280"/>
              <w:rPr>
                <w:color w:val="auto"/>
              </w:rPr>
            </w:pPr>
            <w:r>
              <w:rPr>
                <w:rFonts w:hint="eastAsia"/>
                <w:color w:val="auto"/>
              </w:rPr>
              <w:t>0.0012L</w:t>
            </w:r>
          </w:p>
        </w:tc>
        <w:tc>
          <w:tcPr>
            <w:tcW w:w="813" w:type="pct"/>
            <w:shd w:val="clear" w:color="auto" w:fill="auto"/>
            <w:vAlign w:val="center"/>
          </w:tcPr>
          <w:p w14:paraId="6AC92035">
            <w:pPr>
              <w:pStyle w:val="3280"/>
              <w:rPr>
                <w:color w:val="auto"/>
              </w:rPr>
            </w:pPr>
            <w:r>
              <w:rPr>
                <w:rFonts w:hint="eastAsia"/>
                <w:color w:val="auto"/>
              </w:rPr>
              <w:t>0.0012L</w:t>
            </w:r>
          </w:p>
        </w:tc>
        <w:tc>
          <w:tcPr>
            <w:tcW w:w="675" w:type="pct"/>
            <w:shd w:val="clear" w:color="auto" w:fill="auto"/>
            <w:vAlign w:val="center"/>
          </w:tcPr>
          <w:p w14:paraId="45837806">
            <w:pPr>
              <w:pStyle w:val="3280"/>
              <w:rPr>
                <w:color w:val="auto"/>
              </w:rPr>
            </w:pPr>
            <w:r>
              <w:rPr>
                <w:rFonts w:hint="eastAsia"/>
                <w:color w:val="auto"/>
              </w:rPr>
              <w:t>0.5</w:t>
            </w:r>
          </w:p>
        </w:tc>
        <w:tc>
          <w:tcPr>
            <w:tcW w:w="591" w:type="pct"/>
            <w:shd w:val="clear" w:color="auto" w:fill="auto"/>
            <w:vAlign w:val="center"/>
          </w:tcPr>
          <w:p w14:paraId="09B5AAB6">
            <w:pPr>
              <w:pStyle w:val="3280"/>
              <w:rPr>
                <w:color w:val="auto"/>
              </w:rPr>
            </w:pPr>
            <w:r>
              <w:rPr>
                <w:rFonts w:hint="eastAsia"/>
                <w:color w:val="auto"/>
              </w:rPr>
              <w:t>＜1</w:t>
            </w:r>
          </w:p>
        </w:tc>
      </w:tr>
      <w:tr w14:paraId="6E614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shd w:val="clear" w:color="auto" w:fill="auto"/>
            <w:vAlign w:val="center"/>
          </w:tcPr>
          <w:p w14:paraId="7DAD956C">
            <w:pPr>
              <w:pStyle w:val="3280"/>
              <w:rPr>
                <w:color w:val="auto"/>
              </w:rPr>
            </w:pPr>
            <w:r>
              <w:rPr>
                <w:rFonts w:hint="eastAsia"/>
                <w:color w:val="auto"/>
              </w:rPr>
              <w:t>24</w:t>
            </w:r>
          </w:p>
        </w:tc>
        <w:tc>
          <w:tcPr>
            <w:tcW w:w="1109" w:type="pct"/>
            <w:shd w:val="clear" w:color="auto" w:fill="auto"/>
            <w:vAlign w:val="center"/>
          </w:tcPr>
          <w:p w14:paraId="48A6958F">
            <w:pPr>
              <w:pStyle w:val="3280"/>
              <w:rPr>
                <w:color w:val="auto"/>
              </w:rPr>
            </w:pPr>
            <w:r>
              <w:rPr>
                <w:rFonts w:hint="eastAsia"/>
                <w:color w:val="auto"/>
              </w:rPr>
              <w:t>氯乙烯</w:t>
            </w:r>
          </w:p>
        </w:tc>
        <w:tc>
          <w:tcPr>
            <w:tcW w:w="729" w:type="pct"/>
            <w:shd w:val="clear" w:color="auto" w:fill="auto"/>
            <w:vAlign w:val="center"/>
          </w:tcPr>
          <w:p w14:paraId="118C95EA">
            <w:pPr>
              <w:pStyle w:val="3280"/>
              <w:rPr>
                <w:color w:val="auto"/>
              </w:rPr>
            </w:pPr>
            <w:r>
              <w:rPr>
                <w:rFonts w:hint="eastAsia"/>
                <w:color w:val="auto"/>
              </w:rPr>
              <w:t>0.001L</w:t>
            </w:r>
          </w:p>
        </w:tc>
        <w:tc>
          <w:tcPr>
            <w:tcW w:w="648" w:type="pct"/>
            <w:shd w:val="clear" w:color="auto" w:fill="auto"/>
            <w:vAlign w:val="center"/>
          </w:tcPr>
          <w:p w14:paraId="4FBFA436">
            <w:pPr>
              <w:pStyle w:val="3280"/>
              <w:rPr>
                <w:color w:val="auto"/>
              </w:rPr>
            </w:pPr>
            <w:r>
              <w:rPr>
                <w:rFonts w:hint="eastAsia"/>
                <w:color w:val="auto"/>
              </w:rPr>
              <w:t>0.001L</w:t>
            </w:r>
          </w:p>
        </w:tc>
        <w:tc>
          <w:tcPr>
            <w:tcW w:w="813" w:type="pct"/>
            <w:shd w:val="clear" w:color="auto" w:fill="auto"/>
            <w:vAlign w:val="center"/>
          </w:tcPr>
          <w:p w14:paraId="506A63BF">
            <w:pPr>
              <w:pStyle w:val="3280"/>
              <w:rPr>
                <w:color w:val="auto"/>
              </w:rPr>
            </w:pPr>
            <w:r>
              <w:rPr>
                <w:rFonts w:hint="eastAsia"/>
                <w:color w:val="auto"/>
              </w:rPr>
              <w:t>0.001L</w:t>
            </w:r>
          </w:p>
        </w:tc>
        <w:tc>
          <w:tcPr>
            <w:tcW w:w="675" w:type="pct"/>
            <w:shd w:val="clear" w:color="auto" w:fill="auto"/>
            <w:vAlign w:val="center"/>
          </w:tcPr>
          <w:p w14:paraId="4132AEB0">
            <w:pPr>
              <w:pStyle w:val="3280"/>
              <w:rPr>
                <w:color w:val="auto"/>
              </w:rPr>
            </w:pPr>
            <w:r>
              <w:rPr>
                <w:rFonts w:hint="eastAsia"/>
                <w:color w:val="auto"/>
              </w:rPr>
              <w:t>0.43</w:t>
            </w:r>
          </w:p>
        </w:tc>
        <w:tc>
          <w:tcPr>
            <w:tcW w:w="591" w:type="pct"/>
            <w:shd w:val="clear" w:color="auto" w:fill="auto"/>
            <w:vAlign w:val="center"/>
          </w:tcPr>
          <w:p w14:paraId="6CB4483F">
            <w:pPr>
              <w:pStyle w:val="3280"/>
              <w:rPr>
                <w:color w:val="auto"/>
              </w:rPr>
            </w:pPr>
            <w:r>
              <w:rPr>
                <w:rFonts w:hint="eastAsia"/>
                <w:color w:val="auto"/>
              </w:rPr>
              <w:t>＜1</w:t>
            </w:r>
          </w:p>
        </w:tc>
      </w:tr>
      <w:tr w14:paraId="5200C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shd w:val="clear" w:color="auto" w:fill="auto"/>
            <w:vAlign w:val="center"/>
          </w:tcPr>
          <w:p w14:paraId="0730EC7B">
            <w:pPr>
              <w:pStyle w:val="3280"/>
              <w:rPr>
                <w:color w:val="auto"/>
              </w:rPr>
            </w:pPr>
            <w:r>
              <w:rPr>
                <w:rFonts w:hint="eastAsia"/>
                <w:color w:val="auto"/>
              </w:rPr>
              <w:t>25</w:t>
            </w:r>
          </w:p>
        </w:tc>
        <w:tc>
          <w:tcPr>
            <w:tcW w:w="1109" w:type="pct"/>
            <w:shd w:val="clear" w:color="auto" w:fill="auto"/>
            <w:vAlign w:val="center"/>
          </w:tcPr>
          <w:p w14:paraId="2526B46A">
            <w:pPr>
              <w:pStyle w:val="3280"/>
              <w:rPr>
                <w:color w:val="auto"/>
              </w:rPr>
            </w:pPr>
            <w:r>
              <w:rPr>
                <w:rFonts w:hint="eastAsia"/>
                <w:color w:val="auto"/>
              </w:rPr>
              <w:t>苯</w:t>
            </w:r>
          </w:p>
        </w:tc>
        <w:tc>
          <w:tcPr>
            <w:tcW w:w="729" w:type="pct"/>
            <w:shd w:val="clear" w:color="auto" w:fill="auto"/>
            <w:vAlign w:val="center"/>
          </w:tcPr>
          <w:p w14:paraId="431EFA88">
            <w:pPr>
              <w:pStyle w:val="3280"/>
              <w:rPr>
                <w:color w:val="auto"/>
              </w:rPr>
            </w:pPr>
            <w:r>
              <w:rPr>
                <w:rFonts w:hint="eastAsia"/>
                <w:color w:val="auto"/>
              </w:rPr>
              <w:t>0.0019L</w:t>
            </w:r>
          </w:p>
        </w:tc>
        <w:tc>
          <w:tcPr>
            <w:tcW w:w="648" w:type="pct"/>
            <w:shd w:val="clear" w:color="auto" w:fill="auto"/>
            <w:vAlign w:val="center"/>
          </w:tcPr>
          <w:p w14:paraId="48BF896E">
            <w:pPr>
              <w:pStyle w:val="3280"/>
              <w:rPr>
                <w:color w:val="auto"/>
              </w:rPr>
            </w:pPr>
            <w:r>
              <w:rPr>
                <w:rFonts w:hint="eastAsia"/>
                <w:color w:val="auto"/>
              </w:rPr>
              <w:t>0.0019L</w:t>
            </w:r>
          </w:p>
        </w:tc>
        <w:tc>
          <w:tcPr>
            <w:tcW w:w="813" w:type="pct"/>
            <w:shd w:val="clear" w:color="auto" w:fill="auto"/>
            <w:vAlign w:val="center"/>
          </w:tcPr>
          <w:p w14:paraId="07F68940">
            <w:pPr>
              <w:pStyle w:val="3280"/>
              <w:rPr>
                <w:color w:val="auto"/>
              </w:rPr>
            </w:pPr>
            <w:r>
              <w:rPr>
                <w:rFonts w:hint="eastAsia"/>
                <w:color w:val="auto"/>
              </w:rPr>
              <w:t>0.0019L</w:t>
            </w:r>
          </w:p>
        </w:tc>
        <w:tc>
          <w:tcPr>
            <w:tcW w:w="675" w:type="pct"/>
            <w:shd w:val="clear" w:color="auto" w:fill="auto"/>
            <w:vAlign w:val="center"/>
          </w:tcPr>
          <w:p w14:paraId="5DCD1200">
            <w:pPr>
              <w:pStyle w:val="3280"/>
              <w:rPr>
                <w:color w:val="auto"/>
              </w:rPr>
            </w:pPr>
            <w:r>
              <w:rPr>
                <w:rFonts w:hint="eastAsia"/>
                <w:color w:val="auto"/>
              </w:rPr>
              <w:t>4</w:t>
            </w:r>
          </w:p>
        </w:tc>
        <w:tc>
          <w:tcPr>
            <w:tcW w:w="591" w:type="pct"/>
            <w:shd w:val="clear" w:color="auto" w:fill="auto"/>
            <w:vAlign w:val="center"/>
          </w:tcPr>
          <w:p w14:paraId="5DB38806">
            <w:pPr>
              <w:pStyle w:val="3280"/>
              <w:rPr>
                <w:color w:val="auto"/>
              </w:rPr>
            </w:pPr>
            <w:r>
              <w:rPr>
                <w:rFonts w:hint="eastAsia"/>
                <w:color w:val="auto"/>
              </w:rPr>
              <w:t>＜1</w:t>
            </w:r>
          </w:p>
        </w:tc>
      </w:tr>
      <w:tr w14:paraId="0D657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shd w:val="clear" w:color="auto" w:fill="auto"/>
            <w:vAlign w:val="center"/>
          </w:tcPr>
          <w:p w14:paraId="3D7B326B">
            <w:pPr>
              <w:pStyle w:val="3280"/>
              <w:rPr>
                <w:color w:val="auto"/>
              </w:rPr>
            </w:pPr>
            <w:r>
              <w:rPr>
                <w:rFonts w:hint="eastAsia"/>
                <w:color w:val="auto"/>
              </w:rPr>
              <w:t>26</w:t>
            </w:r>
          </w:p>
        </w:tc>
        <w:tc>
          <w:tcPr>
            <w:tcW w:w="1109" w:type="pct"/>
            <w:shd w:val="clear" w:color="auto" w:fill="auto"/>
            <w:vAlign w:val="center"/>
          </w:tcPr>
          <w:p w14:paraId="615A3BF2">
            <w:pPr>
              <w:pStyle w:val="3280"/>
              <w:rPr>
                <w:color w:val="auto"/>
              </w:rPr>
            </w:pPr>
            <w:r>
              <w:rPr>
                <w:rFonts w:hint="eastAsia"/>
                <w:color w:val="auto"/>
              </w:rPr>
              <w:t>氯苯</w:t>
            </w:r>
          </w:p>
        </w:tc>
        <w:tc>
          <w:tcPr>
            <w:tcW w:w="729" w:type="pct"/>
            <w:shd w:val="clear" w:color="auto" w:fill="auto"/>
            <w:vAlign w:val="center"/>
          </w:tcPr>
          <w:p w14:paraId="6F1F9FB4">
            <w:pPr>
              <w:pStyle w:val="3280"/>
              <w:rPr>
                <w:color w:val="auto"/>
              </w:rPr>
            </w:pPr>
            <w:r>
              <w:rPr>
                <w:rFonts w:hint="eastAsia"/>
                <w:color w:val="auto"/>
              </w:rPr>
              <w:t>0.0012L</w:t>
            </w:r>
          </w:p>
        </w:tc>
        <w:tc>
          <w:tcPr>
            <w:tcW w:w="648" w:type="pct"/>
            <w:shd w:val="clear" w:color="auto" w:fill="auto"/>
            <w:vAlign w:val="center"/>
          </w:tcPr>
          <w:p w14:paraId="29D6C975">
            <w:pPr>
              <w:pStyle w:val="3280"/>
              <w:rPr>
                <w:color w:val="auto"/>
              </w:rPr>
            </w:pPr>
            <w:r>
              <w:rPr>
                <w:rFonts w:hint="eastAsia"/>
                <w:color w:val="auto"/>
              </w:rPr>
              <w:t>0.0012L</w:t>
            </w:r>
          </w:p>
        </w:tc>
        <w:tc>
          <w:tcPr>
            <w:tcW w:w="813" w:type="pct"/>
            <w:shd w:val="clear" w:color="auto" w:fill="auto"/>
            <w:vAlign w:val="center"/>
          </w:tcPr>
          <w:p w14:paraId="05A17A0B">
            <w:pPr>
              <w:pStyle w:val="3280"/>
              <w:rPr>
                <w:color w:val="auto"/>
              </w:rPr>
            </w:pPr>
            <w:r>
              <w:rPr>
                <w:rFonts w:hint="eastAsia"/>
                <w:color w:val="auto"/>
              </w:rPr>
              <w:t>0.0012L</w:t>
            </w:r>
          </w:p>
        </w:tc>
        <w:tc>
          <w:tcPr>
            <w:tcW w:w="675" w:type="pct"/>
            <w:shd w:val="clear" w:color="auto" w:fill="auto"/>
            <w:vAlign w:val="center"/>
          </w:tcPr>
          <w:p w14:paraId="34CD3489">
            <w:pPr>
              <w:pStyle w:val="3280"/>
              <w:rPr>
                <w:color w:val="auto"/>
              </w:rPr>
            </w:pPr>
            <w:r>
              <w:rPr>
                <w:rFonts w:hint="eastAsia"/>
                <w:color w:val="auto"/>
              </w:rPr>
              <w:t>270</w:t>
            </w:r>
          </w:p>
        </w:tc>
        <w:tc>
          <w:tcPr>
            <w:tcW w:w="591" w:type="pct"/>
            <w:shd w:val="clear" w:color="auto" w:fill="auto"/>
            <w:vAlign w:val="center"/>
          </w:tcPr>
          <w:p w14:paraId="48D64255">
            <w:pPr>
              <w:pStyle w:val="3280"/>
              <w:rPr>
                <w:color w:val="auto"/>
              </w:rPr>
            </w:pPr>
            <w:r>
              <w:rPr>
                <w:rFonts w:hint="eastAsia"/>
                <w:color w:val="auto"/>
              </w:rPr>
              <w:t>＜1</w:t>
            </w:r>
          </w:p>
        </w:tc>
      </w:tr>
      <w:tr w14:paraId="6E5C8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shd w:val="clear" w:color="auto" w:fill="auto"/>
            <w:vAlign w:val="center"/>
          </w:tcPr>
          <w:p w14:paraId="53489A28">
            <w:pPr>
              <w:pStyle w:val="3280"/>
              <w:rPr>
                <w:color w:val="auto"/>
              </w:rPr>
            </w:pPr>
            <w:r>
              <w:rPr>
                <w:rFonts w:hint="eastAsia"/>
                <w:color w:val="auto"/>
              </w:rPr>
              <w:t>27</w:t>
            </w:r>
          </w:p>
        </w:tc>
        <w:tc>
          <w:tcPr>
            <w:tcW w:w="1109" w:type="pct"/>
            <w:shd w:val="clear" w:color="auto" w:fill="auto"/>
            <w:vAlign w:val="center"/>
          </w:tcPr>
          <w:p w14:paraId="313C503E">
            <w:pPr>
              <w:pStyle w:val="3280"/>
              <w:rPr>
                <w:color w:val="auto"/>
              </w:rPr>
            </w:pPr>
            <w:r>
              <w:rPr>
                <w:rFonts w:hint="eastAsia"/>
                <w:color w:val="auto"/>
              </w:rPr>
              <w:t>1,2-二氯苯</w:t>
            </w:r>
          </w:p>
        </w:tc>
        <w:tc>
          <w:tcPr>
            <w:tcW w:w="729" w:type="pct"/>
            <w:shd w:val="clear" w:color="auto" w:fill="auto"/>
            <w:vAlign w:val="center"/>
          </w:tcPr>
          <w:p w14:paraId="35FEDE21">
            <w:pPr>
              <w:pStyle w:val="3280"/>
              <w:rPr>
                <w:color w:val="auto"/>
              </w:rPr>
            </w:pPr>
            <w:r>
              <w:rPr>
                <w:rFonts w:hint="eastAsia"/>
                <w:color w:val="auto"/>
              </w:rPr>
              <w:t>0.0015L</w:t>
            </w:r>
          </w:p>
        </w:tc>
        <w:tc>
          <w:tcPr>
            <w:tcW w:w="648" w:type="pct"/>
            <w:shd w:val="clear" w:color="auto" w:fill="auto"/>
            <w:vAlign w:val="center"/>
          </w:tcPr>
          <w:p w14:paraId="481A55C7">
            <w:pPr>
              <w:pStyle w:val="3280"/>
              <w:rPr>
                <w:color w:val="auto"/>
              </w:rPr>
            </w:pPr>
            <w:r>
              <w:rPr>
                <w:rFonts w:hint="eastAsia"/>
                <w:color w:val="auto"/>
              </w:rPr>
              <w:t>0.0015L</w:t>
            </w:r>
          </w:p>
        </w:tc>
        <w:tc>
          <w:tcPr>
            <w:tcW w:w="813" w:type="pct"/>
            <w:shd w:val="clear" w:color="auto" w:fill="auto"/>
            <w:vAlign w:val="center"/>
          </w:tcPr>
          <w:p w14:paraId="65B9F577">
            <w:pPr>
              <w:pStyle w:val="3280"/>
              <w:rPr>
                <w:color w:val="auto"/>
              </w:rPr>
            </w:pPr>
            <w:r>
              <w:rPr>
                <w:rFonts w:hint="eastAsia"/>
                <w:color w:val="auto"/>
              </w:rPr>
              <w:t>0.0015L</w:t>
            </w:r>
          </w:p>
        </w:tc>
        <w:tc>
          <w:tcPr>
            <w:tcW w:w="675" w:type="pct"/>
            <w:shd w:val="clear" w:color="auto" w:fill="auto"/>
            <w:vAlign w:val="center"/>
          </w:tcPr>
          <w:p w14:paraId="12ECDE06">
            <w:pPr>
              <w:pStyle w:val="3280"/>
              <w:rPr>
                <w:color w:val="auto"/>
              </w:rPr>
            </w:pPr>
            <w:r>
              <w:rPr>
                <w:rFonts w:hint="eastAsia"/>
                <w:color w:val="auto"/>
              </w:rPr>
              <w:t>560</w:t>
            </w:r>
          </w:p>
        </w:tc>
        <w:tc>
          <w:tcPr>
            <w:tcW w:w="591" w:type="pct"/>
            <w:shd w:val="clear" w:color="auto" w:fill="auto"/>
            <w:vAlign w:val="center"/>
          </w:tcPr>
          <w:p w14:paraId="177D9938">
            <w:pPr>
              <w:pStyle w:val="3280"/>
              <w:rPr>
                <w:color w:val="auto"/>
              </w:rPr>
            </w:pPr>
            <w:r>
              <w:rPr>
                <w:rFonts w:hint="eastAsia"/>
                <w:color w:val="auto"/>
              </w:rPr>
              <w:t>＜1</w:t>
            </w:r>
          </w:p>
        </w:tc>
      </w:tr>
      <w:tr w14:paraId="0BD67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shd w:val="clear" w:color="auto" w:fill="auto"/>
            <w:vAlign w:val="center"/>
          </w:tcPr>
          <w:p w14:paraId="540F2ED9">
            <w:pPr>
              <w:pStyle w:val="3280"/>
              <w:rPr>
                <w:color w:val="auto"/>
              </w:rPr>
            </w:pPr>
            <w:r>
              <w:rPr>
                <w:rFonts w:hint="eastAsia"/>
                <w:color w:val="auto"/>
              </w:rPr>
              <w:t>28</w:t>
            </w:r>
          </w:p>
        </w:tc>
        <w:tc>
          <w:tcPr>
            <w:tcW w:w="1109" w:type="pct"/>
            <w:shd w:val="clear" w:color="auto" w:fill="auto"/>
            <w:vAlign w:val="center"/>
          </w:tcPr>
          <w:p w14:paraId="149B4116">
            <w:pPr>
              <w:pStyle w:val="3280"/>
              <w:rPr>
                <w:color w:val="auto"/>
              </w:rPr>
            </w:pPr>
            <w:r>
              <w:rPr>
                <w:rFonts w:hint="eastAsia"/>
                <w:color w:val="auto"/>
              </w:rPr>
              <w:t>1,4-二氯苯</w:t>
            </w:r>
          </w:p>
        </w:tc>
        <w:tc>
          <w:tcPr>
            <w:tcW w:w="729" w:type="pct"/>
            <w:shd w:val="clear" w:color="auto" w:fill="auto"/>
            <w:vAlign w:val="center"/>
          </w:tcPr>
          <w:p w14:paraId="29FC9D86">
            <w:pPr>
              <w:pStyle w:val="3280"/>
              <w:rPr>
                <w:color w:val="auto"/>
              </w:rPr>
            </w:pPr>
            <w:r>
              <w:rPr>
                <w:rFonts w:hint="eastAsia"/>
                <w:color w:val="auto"/>
              </w:rPr>
              <w:t>0.0015L</w:t>
            </w:r>
          </w:p>
        </w:tc>
        <w:tc>
          <w:tcPr>
            <w:tcW w:w="648" w:type="pct"/>
            <w:shd w:val="clear" w:color="auto" w:fill="auto"/>
            <w:vAlign w:val="center"/>
          </w:tcPr>
          <w:p w14:paraId="7E7464E2">
            <w:pPr>
              <w:pStyle w:val="3280"/>
              <w:rPr>
                <w:color w:val="auto"/>
              </w:rPr>
            </w:pPr>
            <w:r>
              <w:rPr>
                <w:rFonts w:hint="eastAsia"/>
                <w:color w:val="auto"/>
              </w:rPr>
              <w:t>0.0015L</w:t>
            </w:r>
          </w:p>
        </w:tc>
        <w:tc>
          <w:tcPr>
            <w:tcW w:w="813" w:type="pct"/>
            <w:shd w:val="clear" w:color="auto" w:fill="auto"/>
            <w:vAlign w:val="center"/>
          </w:tcPr>
          <w:p w14:paraId="096631EA">
            <w:pPr>
              <w:pStyle w:val="3280"/>
              <w:rPr>
                <w:color w:val="auto"/>
              </w:rPr>
            </w:pPr>
            <w:r>
              <w:rPr>
                <w:rFonts w:hint="eastAsia"/>
                <w:color w:val="auto"/>
              </w:rPr>
              <w:t>0.0015L</w:t>
            </w:r>
          </w:p>
        </w:tc>
        <w:tc>
          <w:tcPr>
            <w:tcW w:w="675" w:type="pct"/>
            <w:shd w:val="clear" w:color="auto" w:fill="auto"/>
            <w:vAlign w:val="center"/>
          </w:tcPr>
          <w:p w14:paraId="56AFAD29">
            <w:pPr>
              <w:pStyle w:val="3280"/>
              <w:rPr>
                <w:color w:val="auto"/>
              </w:rPr>
            </w:pPr>
            <w:r>
              <w:rPr>
                <w:rFonts w:hint="eastAsia"/>
                <w:color w:val="auto"/>
              </w:rPr>
              <w:t>20</w:t>
            </w:r>
          </w:p>
        </w:tc>
        <w:tc>
          <w:tcPr>
            <w:tcW w:w="591" w:type="pct"/>
            <w:shd w:val="clear" w:color="auto" w:fill="auto"/>
            <w:vAlign w:val="center"/>
          </w:tcPr>
          <w:p w14:paraId="7DDE5578">
            <w:pPr>
              <w:pStyle w:val="3280"/>
              <w:rPr>
                <w:color w:val="auto"/>
              </w:rPr>
            </w:pPr>
            <w:r>
              <w:rPr>
                <w:rFonts w:hint="eastAsia"/>
                <w:color w:val="auto"/>
              </w:rPr>
              <w:t>＜1</w:t>
            </w:r>
          </w:p>
        </w:tc>
      </w:tr>
      <w:tr w14:paraId="02A44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shd w:val="clear" w:color="auto" w:fill="auto"/>
            <w:vAlign w:val="center"/>
          </w:tcPr>
          <w:p w14:paraId="49EE5484">
            <w:pPr>
              <w:pStyle w:val="3280"/>
              <w:rPr>
                <w:color w:val="auto"/>
              </w:rPr>
            </w:pPr>
            <w:r>
              <w:rPr>
                <w:rFonts w:hint="eastAsia"/>
                <w:color w:val="auto"/>
              </w:rPr>
              <w:t>29</w:t>
            </w:r>
          </w:p>
        </w:tc>
        <w:tc>
          <w:tcPr>
            <w:tcW w:w="1109" w:type="pct"/>
            <w:shd w:val="clear" w:color="auto" w:fill="auto"/>
            <w:vAlign w:val="center"/>
          </w:tcPr>
          <w:p w14:paraId="0C5D0FF0">
            <w:pPr>
              <w:pStyle w:val="3280"/>
              <w:rPr>
                <w:color w:val="auto"/>
              </w:rPr>
            </w:pPr>
            <w:r>
              <w:rPr>
                <w:rFonts w:hint="eastAsia"/>
                <w:color w:val="auto"/>
              </w:rPr>
              <w:t>乙苯</w:t>
            </w:r>
          </w:p>
        </w:tc>
        <w:tc>
          <w:tcPr>
            <w:tcW w:w="729" w:type="pct"/>
            <w:shd w:val="clear" w:color="auto" w:fill="auto"/>
            <w:vAlign w:val="center"/>
          </w:tcPr>
          <w:p w14:paraId="7E3552C0">
            <w:pPr>
              <w:pStyle w:val="3280"/>
              <w:rPr>
                <w:color w:val="auto"/>
              </w:rPr>
            </w:pPr>
            <w:r>
              <w:rPr>
                <w:rFonts w:hint="eastAsia"/>
                <w:color w:val="auto"/>
              </w:rPr>
              <w:t>0.0012L</w:t>
            </w:r>
          </w:p>
        </w:tc>
        <w:tc>
          <w:tcPr>
            <w:tcW w:w="648" w:type="pct"/>
            <w:shd w:val="clear" w:color="auto" w:fill="auto"/>
            <w:vAlign w:val="center"/>
          </w:tcPr>
          <w:p w14:paraId="6E9D1C7C">
            <w:pPr>
              <w:pStyle w:val="3280"/>
              <w:rPr>
                <w:color w:val="auto"/>
              </w:rPr>
            </w:pPr>
            <w:r>
              <w:rPr>
                <w:rFonts w:hint="eastAsia"/>
                <w:color w:val="auto"/>
              </w:rPr>
              <w:t>0.0012L</w:t>
            </w:r>
          </w:p>
        </w:tc>
        <w:tc>
          <w:tcPr>
            <w:tcW w:w="813" w:type="pct"/>
            <w:shd w:val="clear" w:color="auto" w:fill="auto"/>
            <w:vAlign w:val="center"/>
          </w:tcPr>
          <w:p w14:paraId="1D38E439">
            <w:pPr>
              <w:pStyle w:val="3280"/>
              <w:rPr>
                <w:color w:val="auto"/>
              </w:rPr>
            </w:pPr>
            <w:r>
              <w:rPr>
                <w:rFonts w:hint="eastAsia"/>
                <w:color w:val="auto"/>
              </w:rPr>
              <w:t>0.0012L</w:t>
            </w:r>
          </w:p>
        </w:tc>
        <w:tc>
          <w:tcPr>
            <w:tcW w:w="675" w:type="pct"/>
            <w:shd w:val="clear" w:color="auto" w:fill="auto"/>
            <w:vAlign w:val="center"/>
          </w:tcPr>
          <w:p w14:paraId="77D9F153">
            <w:pPr>
              <w:pStyle w:val="3280"/>
              <w:rPr>
                <w:color w:val="auto"/>
              </w:rPr>
            </w:pPr>
            <w:r>
              <w:rPr>
                <w:rFonts w:hint="eastAsia"/>
                <w:color w:val="auto"/>
              </w:rPr>
              <w:t>28</w:t>
            </w:r>
          </w:p>
        </w:tc>
        <w:tc>
          <w:tcPr>
            <w:tcW w:w="591" w:type="pct"/>
            <w:shd w:val="clear" w:color="auto" w:fill="auto"/>
            <w:vAlign w:val="center"/>
          </w:tcPr>
          <w:p w14:paraId="4CF24D81">
            <w:pPr>
              <w:pStyle w:val="3280"/>
              <w:rPr>
                <w:color w:val="auto"/>
              </w:rPr>
            </w:pPr>
            <w:r>
              <w:rPr>
                <w:rFonts w:hint="eastAsia"/>
                <w:color w:val="auto"/>
              </w:rPr>
              <w:t>＜1</w:t>
            </w:r>
          </w:p>
        </w:tc>
      </w:tr>
      <w:tr w14:paraId="075CC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shd w:val="clear" w:color="auto" w:fill="auto"/>
            <w:vAlign w:val="center"/>
          </w:tcPr>
          <w:p w14:paraId="07F9F5A4">
            <w:pPr>
              <w:pStyle w:val="3280"/>
              <w:rPr>
                <w:color w:val="auto"/>
              </w:rPr>
            </w:pPr>
            <w:r>
              <w:rPr>
                <w:rFonts w:hint="eastAsia"/>
                <w:color w:val="auto"/>
              </w:rPr>
              <w:t>30</w:t>
            </w:r>
          </w:p>
        </w:tc>
        <w:tc>
          <w:tcPr>
            <w:tcW w:w="1109" w:type="pct"/>
            <w:shd w:val="clear" w:color="auto" w:fill="auto"/>
            <w:vAlign w:val="center"/>
          </w:tcPr>
          <w:p w14:paraId="50A8B5E1">
            <w:pPr>
              <w:pStyle w:val="3280"/>
              <w:rPr>
                <w:color w:val="auto"/>
              </w:rPr>
            </w:pPr>
            <w:r>
              <w:rPr>
                <w:rFonts w:hint="eastAsia"/>
                <w:color w:val="auto"/>
              </w:rPr>
              <w:t>苯乙烯</w:t>
            </w:r>
          </w:p>
        </w:tc>
        <w:tc>
          <w:tcPr>
            <w:tcW w:w="729" w:type="pct"/>
            <w:shd w:val="clear" w:color="auto" w:fill="auto"/>
            <w:vAlign w:val="center"/>
          </w:tcPr>
          <w:p w14:paraId="44BF7795">
            <w:pPr>
              <w:pStyle w:val="3280"/>
              <w:rPr>
                <w:color w:val="auto"/>
              </w:rPr>
            </w:pPr>
            <w:r>
              <w:rPr>
                <w:rFonts w:hint="eastAsia"/>
                <w:color w:val="auto"/>
              </w:rPr>
              <w:t>0.0011L</w:t>
            </w:r>
          </w:p>
        </w:tc>
        <w:tc>
          <w:tcPr>
            <w:tcW w:w="648" w:type="pct"/>
            <w:shd w:val="clear" w:color="auto" w:fill="auto"/>
            <w:vAlign w:val="center"/>
          </w:tcPr>
          <w:p w14:paraId="07F96FF6">
            <w:pPr>
              <w:pStyle w:val="3280"/>
              <w:rPr>
                <w:color w:val="auto"/>
              </w:rPr>
            </w:pPr>
            <w:r>
              <w:rPr>
                <w:rFonts w:hint="eastAsia"/>
                <w:color w:val="auto"/>
              </w:rPr>
              <w:t>0.0011L</w:t>
            </w:r>
          </w:p>
        </w:tc>
        <w:tc>
          <w:tcPr>
            <w:tcW w:w="813" w:type="pct"/>
            <w:shd w:val="clear" w:color="auto" w:fill="auto"/>
            <w:vAlign w:val="center"/>
          </w:tcPr>
          <w:p w14:paraId="14710EE0">
            <w:pPr>
              <w:pStyle w:val="3280"/>
              <w:rPr>
                <w:color w:val="auto"/>
              </w:rPr>
            </w:pPr>
            <w:r>
              <w:rPr>
                <w:rFonts w:hint="eastAsia"/>
                <w:color w:val="auto"/>
              </w:rPr>
              <w:t>0.0011L</w:t>
            </w:r>
          </w:p>
        </w:tc>
        <w:tc>
          <w:tcPr>
            <w:tcW w:w="675" w:type="pct"/>
            <w:shd w:val="clear" w:color="auto" w:fill="auto"/>
            <w:vAlign w:val="center"/>
          </w:tcPr>
          <w:p w14:paraId="2311F927">
            <w:pPr>
              <w:pStyle w:val="3280"/>
              <w:rPr>
                <w:color w:val="auto"/>
              </w:rPr>
            </w:pPr>
            <w:r>
              <w:rPr>
                <w:rFonts w:hint="eastAsia"/>
                <w:color w:val="auto"/>
              </w:rPr>
              <w:t>1290</w:t>
            </w:r>
          </w:p>
        </w:tc>
        <w:tc>
          <w:tcPr>
            <w:tcW w:w="591" w:type="pct"/>
            <w:shd w:val="clear" w:color="auto" w:fill="auto"/>
            <w:vAlign w:val="center"/>
          </w:tcPr>
          <w:p w14:paraId="1FFE7E07">
            <w:pPr>
              <w:pStyle w:val="3280"/>
              <w:rPr>
                <w:color w:val="auto"/>
              </w:rPr>
            </w:pPr>
            <w:r>
              <w:rPr>
                <w:rFonts w:hint="eastAsia"/>
                <w:color w:val="auto"/>
              </w:rPr>
              <w:t>＜1</w:t>
            </w:r>
          </w:p>
        </w:tc>
      </w:tr>
      <w:tr w14:paraId="49125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shd w:val="clear" w:color="auto" w:fill="auto"/>
            <w:vAlign w:val="center"/>
          </w:tcPr>
          <w:p w14:paraId="78E86CA5">
            <w:pPr>
              <w:pStyle w:val="3280"/>
              <w:rPr>
                <w:color w:val="auto"/>
              </w:rPr>
            </w:pPr>
            <w:r>
              <w:rPr>
                <w:rFonts w:hint="eastAsia"/>
                <w:color w:val="auto"/>
              </w:rPr>
              <w:t>31</w:t>
            </w:r>
          </w:p>
        </w:tc>
        <w:tc>
          <w:tcPr>
            <w:tcW w:w="1109" w:type="pct"/>
            <w:shd w:val="clear" w:color="auto" w:fill="auto"/>
            <w:vAlign w:val="center"/>
          </w:tcPr>
          <w:p w14:paraId="4DF5F996">
            <w:pPr>
              <w:pStyle w:val="3280"/>
              <w:rPr>
                <w:color w:val="auto"/>
              </w:rPr>
            </w:pPr>
            <w:r>
              <w:rPr>
                <w:rFonts w:hint="eastAsia"/>
                <w:color w:val="auto"/>
              </w:rPr>
              <w:t>甲苯</w:t>
            </w:r>
          </w:p>
        </w:tc>
        <w:tc>
          <w:tcPr>
            <w:tcW w:w="729" w:type="pct"/>
            <w:shd w:val="clear" w:color="auto" w:fill="auto"/>
            <w:vAlign w:val="center"/>
          </w:tcPr>
          <w:p w14:paraId="0CC366AD">
            <w:pPr>
              <w:pStyle w:val="3280"/>
              <w:rPr>
                <w:color w:val="auto"/>
              </w:rPr>
            </w:pPr>
            <w:r>
              <w:rPr>
                <w:rFonts w:hint="eastAsia"/>
                <w:color w:val="auto"/>
              </w:rPr>
              <w:t>0.0013L</w:t>
            </w:r>
          </w:p>
        </w:tc>
        <w:tc>
          <w:tcPr>
            <w:tcW w:w="648" w:type="pct"/>
            <w:shd w:val="clear" w:color="auto" w:fill="auto"/>
            <w:vAlign w:val="center"/>
          </w:tcPr>
          <w:p w14:paraId="47C6CE67">
            <w:pPr>
              <w:pStyle w:val="3280"/>
              <w:rPr>
                <w:color w:val="auto"/>
              </w:rPr>
            </w:pPr>
            <w:r>
              <w:rPr>
                <w:rFonts w:hint="eastAsia"/>
                <w:color w:val="auto"/>
              </w:rPr>
              <w:t>0.0013L</w:t>
            </w:r>
          </w:p>
        </w:tc>
        <w:tc>
          <w:tcPr>
            <w:tcW w:w="813" w:type="pct"/>
            <w:shd w:val="clear" w:color="auto" w:fill="auto"/>
            <w:vAlign w:val="center"/>
          </w:tcPr>
          <w:p w14:paraId="3D055C2B">
            <w:pPr>
              <w:pStyle w:val="3280"/>
              <w:rPr>
                <w:color w:val="auto"/>
              </w:rPr>
            </w:pPr>
            <w:r>
              <w:rPr>
                <w:rFonts w:hint="eastAsia"/>
                <w:color w:val="auto"/>
              </w:rPr>
              <w:t>0.0013L</w:t>
            </w:r>
          </w:p>
        </w:tc>
        <w:tc>
          <w:tcPr>
            <w:tcW w:w="675" w:type="pct"/>
            <w:shd w:val="clear" w:color="auto" w:fill="auto"/>
            <w:vAlign w:val="center"/>
          </w:tcPr>
          <w:p w14:paraId="3B794CB7">
            <w:pPr>
              <w:pStyle w:val="3280"/>
              <w:rPr>
                <w:color w:val="auto"/>
              </w:rPr>
            </w:pPr>
            <w:r>
              <w:rPr>
                <w:rFonts w:hint="eastAsia"/>
                <w:color w:val="auto"/>
              </w:rPr>
              <w:t>1200</w:t>
            </w:r>
          </w:p>
        </w:tc>
        <w:tc>
          <w:tcPr>
            <w:tcW w:w="591" w:type="pct"/>
            <w:shd w:val="clear" w:color="auto" w:fill="auto"/>
            <w:vAlign w:val="center"/>
          </w:tcPr>
          <w:p w14:paraId="01065C37">
            <w:pPr>
              <w:pStyle w:val="3280"/>
              <w:rPr>
                <w:color w:val="auto"/>
              </w:rPr>
            </w:pPr>
            <w:r>
              <w:rPr>
                <w:rFonts w:hint="eastAsia"/>
                <w:color w:val="auto"/>
              </w:rPr>
              <w:t>＜1</w:t>
            </w:r>
          </w:p>
        </w:tc>
      </w:tr>
      <w:tr w14:paraId="05316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shd w:val="clear" w:color="auto" w:fill="auto"/>
            <w:vAlign w:val="center"/>
          </w:tcPr>
          <w:p w14:paraId="0B5696B7">
            <w:pPr>
              <w:pStyle w:val="3280"/>
              <w:rPr>
                <w:color w:val="auto"/>
              </w:rPr>
            </w:pPr>
            <w:r>
              <w:rPr>
                <w:rFonts w:hint="eastAsia"/>
                <w:color w:val="auto"/>
              </w:rPr>
              <w:t>32</w:t>
            </w:r>
          </w:p>
        </w:tc>
        <w:tc>
          <w:tcPr>
            <w:tcW w:w="1109" w:type="pct"/>
            <w:shd w:val="clear" w:color="auto" w:fill="auto"/>
            <w:vAlign w:val="center"/>
          </w:tcPr>
          <w:p w14:paraId="6E96256A">
            <w:pPr>
              <w:pStyle w:val="3280"/>
              <w:rPr>
                <w:color w:val="auto"/>
              </w:rPr>
            </w:pPr>
            <w:r>
              <w:rPr>
                <w:rFonts w:hint="eastAsia"/>
                <w:color w:val="auto"/>
              </w:rPr>
              <w:t>间二甲苯+对二甲苯</w:t>
            </w:r>
          </w:p>
        </w:tc>
        <w:tc>
          <w:tcPr>
            <w:tcW w:w="729" w:type="pct"/>
            <w:shd w:val="clear" w:color="auto" w:fill="auto"/>
            <w:vAlign w:val="center"/>
          </w:tcPr>
          <w:p w14:paraId="459BBF73">
            <w:pPr>
              <w:pStyle w:val="3280"/>
              <w:rPr>
                <w:color w:val="auto"/>
              </w:rPr>
            </w:pPr>
            <w:r>
              <w:rPr>
                <w:rFonts w:hint="eastAsia"/>
                <w:color w:val="auto"/>
              </w:rPr>
              <w:t>0.0012L</w:t>
            </w:r>
          </w:p>
        </w:tc>
        <w:tc>
          <w:tcPr>
            <w:tcW w:w="648" w:type="pct"/>
            <w:shd w:val="clear" w:color="auto" w:fill="auto"/>
            <w:vAlign w:val="center"/>
          </w:tcPr>
          <w:p w14:paraId="5196387A">
            <w:pPr>
              <w:pStyle w:val="3280"/>
              <w:rPr>
                <w:color w:val="auto"/>
              </w:rPr>
            </w:pPr>
            <w:r>
              <w:rPr>
                <w:rFonts w:hint="eastAsia"/>
                <w:color w:val="auto"/>
              </w:rPr>
              <w:t>0.0012L</w:t>
            </w:r>
          </w:p>
        </w:tc>
        <w:tc>
          <w:tcPr>
            <w:tcW w:w="813" w:type="pct"/>
            <w:shd w:val="clear" w:color="auto" w:fill="auto"/>
            <w:vAlign w:val="center"/>
          </w:tcPr>
          <w:p w14:paraId="2D01F7FE">
            <w:pPr>
              <w:pStyle w:val="3280"/>
              <w:rPr>
                <w:color w:val="auto"/>
              </w:rPr>
            </w:pPr>
            <w:r>
              <w:rPr>
                <w:rFonts w:hint="eastAsia"/>
                <w:color w:val="auto"/>
              </w:rPr>
              <w:t>0.0012L</w:t>
            </w:r>
          </w:p>
        </w:tc>
        <w:tc>
          <w:tcPr>
            <w:tcW w:w="675" w:type="pct"/>
            <w:shd w:val="clear" w:color="auto" w:fill="auto"/>
            <w:vAlign w:val="center"/>
          </w:tcPr>
          <w:p w14:paraId="2FC9ED2D">
            <w:pPr>
              <w:pStyle w:val="3280"/>
              <w:rPr>
                <w:color w:val="auto"/>
              </w:rPr>
            </w:pPr>
            <w:r>
              <w:rPr>
                <w:rFonts w:hint="eastAsia"/>
                <w:color w:val="auto"/>
              </w:rPr>
              <w:t>570</w:t>
            </w:r>
          </w:p>
        </w:tc>
        <w:tc>
          <w:tcPr>
            <w:tcW w:w="591" w:type="pct"/>
            <w:shd w:val="clear" w:color="auto" w:fill="auto"/>
            <w:vAlign w:val="center"/>
          </w:tcPr>
          <w:p w14:paraId="1F4CF473">
            <w:pPr>
              <w:pStyle w:val="3280"/>
              <w:rPr>
                <w:color w:val="auto"/>
              </w:rPr>
            </w:pPr>
            <w:r>
              <w:rPr>
                <w:rFonts w:hint="eastAsia"/>
                <w:color w:val="auto"/>
              </w:rPr>
              <w:t>＜1</w:t>
            </w:r>
          </w:p>
        </w:tc>
      </w:tr>
      <w:tr w14:paraId="0F008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shd w:val="clear" w:color="auto" w:fill="auto"/>
            <w:vAlign w:val="center"/>
          </w:tcPr>
          <w:p w14:paraId="270C2A2A">
            <w:pPr>
              <w:pStyle w:val="3280"/>
              <w:rPr>
                <w:color w:val="auto"/>
              </w:rPr>
            </w:pPr>
            <w:r>
              <w:rPr>
                <w:rFonts w:hint="eastAsia"/>
                <w:color w:val="auto"/>
              </w:rPr>
              <w:t>33</w:t>
            </w:r>
          </w:p>
        </w:tc>
        <w:tc>
          <w:tcPr>
            <w:tcW w:w="1109" w:type="pct"/>
            <w:shd w:val="clear" w:color="auto" w:fill="auto"/>
            <w:vAlign w:val="center"/>
          </w:tcPr>
          <w:p w14:paraId="56AA39C3">
            <w:pPr>
              <w:pStyle w:val="3280"/>
              <w:rPr>
                <w:color w:val="auto"/>
              </w:rPr>
            </w:pPr>
            <w:r>
              <w:rPr>
                <w:rFonts w:hint="eastAsia"/>
                <w:color w:val="auto"/>
              </w:rPr>
              <w:t>邻二甲苯</w:t>
            </w:r>
          </w:p>
        </w:tc>
        <w:tc>
          <w:tcPr>
            <w:tcW w:w="729" w:type="pct"/>
            <w:shd w:val="clear" w:color="auto" w:fill="auto"/>
            <w:vAlign w:val="center"/>
          </w:tcPr>
          <w:p w14:paraId="74BDF638">
            <w:pPr>
              <w:pStyle w:val="3280"/>
              <w:rPr>
                <w:color w:val="auto"/>
              </w:rPr>
            </w:pPr>
            <w:r>
              <w:rPr>
                <w:rFonts w:hint="eastAsia"/>
                <w:color w:val="auto"/>
              </w:rPr>
              <w:t>0.0012L</w:t>
            </w:r>
          </w:p>
        </w:tc>
        <w:tc>
          <w:tcPr>
            <w:tcW w:w="648" w:type="pct"/>
            <w:shd w:val="clear" w:color="auto" w:fill="auto"/>
            <w:vAlign w:val="center"/>
          </w:tcPr>
          <w:p w14:paraId="205C23A4">
            <w:pPr>
              <w:pStyle w:val="3280"/>
              <w:rPr>
                <w:color w:val="auto"/>
              </w:rPr>
            </w:pPr>
            <w:r>
              <w:rPr>
                <w:rFonts w:hint="eastAsia"/>
                <w:color w:val="auto"/>
              </w:rPr>
              <w:t>0.0012L</w:t>
            </w:r>
          </w:p>
        </w:tc>
        <w:tc>
          <w:tcPr>
            <w:tcW w:w="813" w:type="pct"/>
            <w:shd w:val="clear" w:color="auto" w:fill="auto"/>
            <w:vAlign w:val="center"/>
          </w:tcPr>
          <w:p w14:paraId="5B7E34F8">
            <w:pPr>
              <w:pStyle w:val="3280"/>
              <w:rPr>
                <w:color w:val="auto"/>
              </w:rPr>
            </w:pPr>
            <w:r>
              <w:rPr>
                <w:rFonts w:hint="eastAsia"/>
                <w:color w:val="auto"/>
              </w:rPr>
              <w:t>0.0012L</w:t>
            </w:r>
          </w:p>
        </w:tc>
        <w:tc>
          <w:tcPr>
            <w:tcW w:w="675" w:type="pct"/>
            <w:shd w:val="clear" w:color="auto" w:fill="auto"/>
            <w:vAlign w:val="center"/>
          </w:tcPr>
          <w:p w14:paraId="10C55BD6">
            <w:pPr>
              <w:pStyle w:val="3280"/>
              <w:rPr>
                <w:color w:val="auto"/>
              </w:rPr>
            </w:pPr>
            <w:r>
              <w:rPr>
                <w:rFonts w:hint="eastAsia"/>
                <w:color w:val="auto"/>
              </w:rPr>
              <w:t>640</w:t>
            </w:r>
          </w:p>
        </w:tc>
        <w:tc>
          <w:tcPr>
            <w:tcW w:w="591" w:type="pct"/>
            <w:shd w:val="clear" w:color="auto" w:fill="auto"/>
            <w:vAlign w:val="center"/>
          </w:tcPr>
          <w:p w14:paraId="48788B1F">
            <w:pPr>
              <w:pStyle w:val="3280"/>
              <w:rPr>
                <w:color w:val="auto"/>
              </w:rPr>
            </w:pPr>
            <w:r>
              <w:rPr>
                <w:rFonts w:hint="eastAsia"/>
                <w:color w:val="auto"/>
              </w:rPr>
              <w:t>＜1</w:t>
            </w:r>
          </w:p>
        </w:tc>
      </w:tr>
      <w:tr w14:paraId="4C133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shd w:val="clear" w:color="auto" w:fill="auto"/>
            <w:vAlign w:val="center"/>
          </w:tcPr>
          <w:p w14:paraId="2915298E">
            <w:pPr>
              <w:pStyle w:val="3280"/>
              <w:rPr>
                <w:color w:val="auto"/>
              </w:rPr>
            </w:pPr>
            <w:r>
              <w:rPr>
                <w:rFonts w:hint="eastAsia"/>
                <w:color w:val="auto"/>
              </w:rPr>
              <w:t>34</w:t>
            </w:r>
          </w:p>
        </w:tc>
        <w:tc>
          <w:tcPr>
            <w:tcW w:w="1109" w:type="pct"/>
            <w:shd w:val="clear" w:color="auto" w:fill="auto"/>
            <w:vAlign w:val="center"/>
          </w:tcPr>
          <w:p w14:paraId="54EB34CD">
            <w:pPr>
              <w:pStyle w:val="3280"/>
              <w:rPr>
                <w:color w:val="auto"/>
              </w:rPr>
            </w:pPr>
            <w:r>
              <w:rPr>
                <w:rFonts w:hint="eastAsia"/>
                <w:color w:val="auto"/>
              </w:rPr>
              <w:t>氯甲烷</w:t>
            </w:r>
          </w:p>
        </w:tc>
        <w:tc>
          <w:tcPr>
            <w:tcW w:w="729" w:type="pct"/>
            <w:shd w:val="clear" w:color="auto" w:fill="auto"/>
            <w:vAlign w:val="center"/>
          </w:tcPr>
          <w:p w14:paraId="0E95F606">
            <w:pPr>
              <w:pStyle w:val="3280"/>
              <w:rPr>
                <w:color w:val="auto"/>
              </w:rPr>
            </w:pPr>
            <w:r>
              <w:rPr>
                <w:rFonts w:hint="eastAsia"/>
                <w:color w:val="auto"/>
              </w:rPr>
              <w:t>0.001L</w:t>
            </w:r>
          </w:p>
        </w:tc>
        <w:tc>
          <w:tcPr>
            <w:tcW w:w="648" w:type="pct"/>
            <w:shd w:val="clear" w:color="auto" w:fill="auto"/>
            <w:vAlign w:val="center"/>
          </w:tcPr>
          <w:p w14:paraId="4F0547FC">
            <w:pPr>
              <w:pStyle w:val="3280"/>
              <w:rPr>
                <w:color w:val="auto"/>
              </w:rPr>
            </w:pPr>
            <w:r>
              <w:rPr>
                <w:rFonts w:hint="eastAsia"/>
                <w:color w:val="auto"/>
              </w:rPr>
              <w:t>0.001L</w:t>
            </w:r>
          </w:p>
        </w:tc>
        <w:tc>
          <w:tcPr>
            <w:tcW w:w="813" w:type="pct"/>
            <w:shd w:val="clear" w:color="auto" w:fill="auto"/>
            <w:vAlign w:val="center"/>
          </w:tcPr>
          <w:p w14:paraId="67DFF990">
            <w:pPr>
              <w:pStyle w:val="3280"/>
              <w:rPr>
                <w:color w:val="auto"/>
              </w:rPr>
            </w:pPr>
            <w:r>
              <w:rPr>
                <w:rFonts w:hint="eastAsia"/>
                <w:color w:val="auto"/>
              </w:rPr>
              <w:t>0.001L</w:t>
            </w:r>
          </w:p>
        </w:tc>
        <w:tc>
          <w:tcPr>
            <w:tcW w:w="675" w:type="pct"/>
            <w:shd w:val="clear" w:color="auto" w:fill="auto"/>
            <w:vAlign w:val="center"/>
          </w:tcPr>
          <w:p w14:paraId="5F1CC594">
            <w:pPr>
              <w:pStyle w:val="3280"/>
              <w:rPr>
                <w:color w:val="auto"/>
              </w:rPr>
            </w:pPr>
            <w:r>
              <w:rPr>
                <w:rFonts w:hint="eastAsia"/>
                <w:color w:val="auto"/>
              </w:rPr>
              <w:t>37</w:t>
            </w:r>
          </w:p>
        </w:tc>
        <w:tc>
          <w:tcPr>
            <w:tcW w:w="591" w:type="pct"/>
            <w:shd w:val="clear" w:color="auto" w:fill="auto"/>
            <w:vAlign w:val="center"/>
          </w:tcPr>
          <w:p w14:paraId="60FEEC2D">
            <w:pPr>
              <w:pStyle w:val="3280"/>
              <w:rPr>
                <w:color w:val="auto"/>
              </w:rPr>
            </w:pPr>
            <w:r>
              <w:rPr>
                <w:rFonts w:hint="eastAsia"/>
                <w:color w:val="auto"/>
              </w:rPr>
              <w:t>＜1</w:t>
            </w:r>
          </w:p>
        </w:tc>
      </w:tr>
      <w:tr w14:paraId="649A9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7"/>
            <w:shd w:val="clear" w:color="auto" w:fill="auto"/>
            <w:vAlign w:val="center"/>
          </w:tcPr>
          <w:p w14:paraId="1E586F89">
            <w:pPr>
              <w:pStyle w:val="3280"/>
              <w:rPr>
                <w:color w:val="auto"/>
              </w:rPr>
            </w:pPr>
            <w:r>
              <w:rPr>
                <w:rFonts w:hint="eastAsia"/>
                <w:color w:val="auto"/>
              </w:rPr>
              <w:t>半挥发性有机物</w:t>
            </w:r>
          </w:p>
        </w:tc>
      </w:tr>
      <w:tr w14:paraId="4643D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shd w:val="clear" w:color="auto" w:fill="auto"/>
            <w:vAlign w:val="center"/>
          </w:tcPr>
          <w:p w14:paraId="6598D93C">
            <w:pPr>
              <w:pStyle w:val="3280"/>
              <w:rPr>
                <w:color w:val="auto"/>
              </w:rPr>
            </w:pPr>
            <w:r>
              <w:rPr>
                <w:rFonts w:hint="eastAsia"/>
                <w:color w:val="auto"/>
              </w:rPr>
              <w:t>35</w:t>
            </w:r>
          </w:p>
        </w:tc>
        <w:tc>
          <w:tcPr>
            <w:tcW w:w="1109" w:type="pct"/>
            <w:shd w:val="clear" w:color="auto" w:fill="auto"/>
            <w:vAlign w:val="center"/>
          </w:tcPr>
          <w:p w14:paraId="2E29EA50">
            <w:pPr>
              <w:pStyle w:val="3280"/>
              <w:rPr>
                <w:color w:val="auto"/>
              </w:rPr>
            </w:pPr>
            <w:r>
              <w:rPr>
                <w:rFonts w:hint="eastAsia"/>
                <w:color w:val="auto"/>
              </w:rPr>
              <w:t>硝基苯</w:t>
            </w:r>
          </w:p>
        </w:tc>
        <w:tc>
          <w:tcPr>
            <w:tcW w:w="729" w:type="pct"/>
            <w:shd w:val="clear" w:color="auto" w:fill="auto"/>
            <w:vAlign w:val="center"/>
          </w:tcPr>
          <w:p w14:paraId="1FE2D145">
            <w:pPr>
              <w:pStyle w:val="3280"/>
              <w:rPr>
                <w:color w:val="auto"/>
              </w:rPr>
            </w:pPr>
            <w:r>
              <w:rPr>
                <w:rFonts w:hint="eastAsia"/>
                <w:color w:val="auto"/>
              </w:rPr>
              <w:t>0.09L</w:t>
            </w:r>
          </w:p>
        </w:tc>
        <w:tc>
          <w:tcPr>
            <w:tcW w:w="648" w:type="pct"/>
            <w:shd w:val="clear" w:color="auto" w:fill="auto"/>
            <w:vAlign w:val="center"/>
          </w:tcPr>
          <w:p w14:paraId="449D53BB">
            <w:pPr>
              <w:pStyle w:val="3280"/>
              <w:ind w:firstLine="0" w:firstLineChars="0"/>
              <w:rPr>
                <w:rFonts w:ascii="Times New Roman" w:hAnsi="Times New Roman" w:eastAsia="宋体" w:cs="Times New Roman"/>
                <w:color w:val="auto"/>
                <w:kern w:val="2"/>
                <w:sz w:val="21"/>
                <w:lang w:val="en-US" w:eastAsia="zh-CN" w:bidi="ar-SA"/>
              </w:rPr>
            </w:pPr>
            <w:r>
              <w:rPr>
                <w:rFonts w:hint="eastAsia"/>
                <w:color w:val="auto"/>
              </w:rPr>
              <w:t>0.09L</w:t>
            </w:r>
          </w:p>
        </w:tc>
        <w:tc>
          <w:tcPr>
            <w:tcW w:w="813" w:type="pct"/>
            <w:shd w:val="clear" w:color="auto" w:fill="auto"/>
            <w:vAlign w:val="center"/>
          </w:tcPr>
          <w:p w14:paraId="63863BA9">
            <w:pPr>
              <w:pStyle w:val="3280"/>
              <w:ind w:firstLine="0" w:firstLineChars="0"/>
              <w:rPr>
                <w:rFonts w:ascii="Times New Roman" w:hAnsi="Times New Roman" w:eastAsia="宋体" w:cs="Times New Roman"/>
                <w:color w:val="auto"/>
                <w:kern w:val="2"/>
                <w:sz w:val="21"/>
                <w:lang w:val="en-US" w:eastAsia="zh-CN" w:bidi="ar-SA"/>
              </w:rPr>
            </w:pPr>
            <w:r>
              <w:rPr>
                <w:rFonts w:hint="eastAsia"/>
                <w:color w:val="auto"/>
              </w:rPr>
              <w:t>0.09L</w:t>
            </w:r>
          </w:p>
        </w:tc>
        <w:tc>
          <w:tcPr>
            <w:tcW w:w="675" w:type="pct"/>
            <w:shd w:val="clear" w:color="auto" w:fill="auto"/>
            <w:vAlign w:val="center"/>
          </w:tcPr>
          <w:p w14:paraId="06AC3F8E">
            <w:pPr>
              <w:pStyle w:val="3280"/>
              <w:rPr>
                <w:color w:val="auto"/>
              </w:rPr>
            </w:pPr>
            <w:r>
              <w:rPr>
                <w:rFonts w:hint="eastAsia"/>
                <w:color w:val="auto"/>
              </w:rPr>
              <w:t>76</w:t>
            </w:r>
          </w:p>
        </w:tc>
        <w:tc>
          <w:tcPr>
            <w:tcW w:w="591" w:type="pct"/>
            <w:shd w:val="clear" w:color="auto" w:fill="auto"/>
            <w:vAlign w:val="center"/>
          </w:tcPr>
          <w:p w14:paraId="371CC7F1">
            <w:pPr>
              <w:pStyle w:val="3280"/>
              <w:rPr>
                <w:color w:val="auto"/>
              </w:rPr>
            </w:pPr>
            <w:r>
              <w:rPr>
                <w:rFonts w:hint="eastAsia"/>
                <w:color w:val="auto"/>
              </w:rPr>
              <w:t>＜1</w:t>
            </w:r>
          </w:p>
        </w:tc>
      </w:tr>
      <w:tr w14:paraId="54B05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shd w:val="clear" w:color="auto" w:fill="auto"/>
            <w:vAlign w:val="center"/>
          </w:tcPr>
          <w:p w14:paraId="71AFF423">
            <w:pPr>
              <w:pStyle w:val="3280"/>
              <w:rPr>
                <w:color w:val="auto"/>
              </w:rPr>
            </w:pPr>
            <w:r>
              <w:rPr>
                <w:rFonts w:hint="eastAsia"/>
                <w:color w:val="auto"/>
              </w:rPr>
              <w:t>36</w:t>
            </w:r>
          </w:p>
        </w:tc>
        <w:tc>
          <w:tcPr>
            <w:tcW w:w="1109" w:type="pct"/>
            <w:shd w:val="clear" w:color="auto" w:fill="auto"/>
            <w:vAlign w:val="center"/>
          </w:tcPr>
          <w:p w14:paraId="74A2250A">
            <w:pPr>
              <w:pStyle w:val="3280"/>
              <w:rPr>
                <w:b/>
                <w:bCs/>
                <w:color w:val="auto"/>
              </w:rPr>
            </w:pPr>
            <w:r>
              <w:rPr>
                <w:rFonts w:hint="eastAsia"/>
                <w:color w:val="auto"/>
              </w:rPr>
              <w:t>苯并〔a〕蒽</w:t>
            </w:r>
          </w:p>
        </w:tc>
        <w:tc>
          <w:tcPr>
            <w:tcW w:w="729" w:type="pct"/>
            <w:shd w:val="clear" w:color="auto" w:fill="auto"/>
            <w:vAlign w:val="center"/>
          </w:tcPr>
          <w:p w14:paraId="36751311">
            <w:pPr>
              <w:pStyle w:val="3280"/>
              <w:rPr>
                <w:color w:val="auto"/>
              </w:rPr>
            </w:pPr>
            <w:r>
              <w:rPr>
                <w:rFonts w:hint="eastAsia"/>
                <w:color w:val="auto"/>
              </w:rPr>
              <w:t>0.1L</w:t>
            </w:r>
          </w:p>
        </w:tc>
        <w:tc>
          <w:tcPr>
            <w:tcW w:w="648" w:type="pct"/>
            <w:shd w:val="clear" w:color="auto" w:fill="auto"/>
            <w:vAlign w:val="center"/>
          </w:tcPr>
          <w:p w14:paraId="66FDCF92">
            <w:pPr>
              <w:pStyle w:val="3280"/>
              <w:ind w:firstLine="0" w:firstLineChars="0"/>
              <w:rPr>
                <w:rFonts w:ascii="Times New Roman" w:hAnsi="Times New Roman" w:eastAsia="宋体" w:cs="Times New Roman"/>
                <w:color w:val="auto"/>
                <w:kern w:val="2"/>
                <w:sz w:val="21"/>
                <w:lang w:val="en-US" w:eastAsia="zh-CN" w:bidi="ar-SA"/>
              </w:rPr>
            </w:pPr>
            <w:r>
              <w:rPr>
                <w:rFonts w:hint="eastAsia"/>
                <w:color w:val="auto"/>
              </w:rPr>
              <w:t>0.1L</w:t>
            </w:r>
          </w:p>
        </w:tc>
        <w:tc>
          <w:tcPr>
            <w:tcW w:w="813" w:type="pct"/>
            <w:shd w:val="clear" w:color="auto" w:fill="auto"/>
            <w:vAlign w:val="center"/>
          </w:tcPr>
          <w:p w14:paraId="0F5DCBD4">
            <w:pPr>
              <w:pStyle w:val="3280"/>
              <w:ind w:firstLine="0" w:firstLineChars="0"/>
              <w:rPr>
                <w:rFonts w:ascii="Times New Roman" w:hAnsi="Times New Roman" w:eastAsia="宋体" w:cs="Times New Roman"/>
                <w:color w:val="auto"/>
                <w:kern w:val="2"/>
                <w:sz w:val="21"/>
                <w:lang w:val="en-US" w:eastAsia="zh-CN" w:bidi="ar-SA"/>
              </w:rPr>
            </w:pPr>
            <w:r>
              <w:rPr>
                <w:rFonts w:hint="eastAsia"/>
                <w:color w:val="auto"/>
              </w:rPr>
              <w:t>0.1L</w:t>
            </w:r>
          </w:p>
        </w:tc>
        <w:tc>
          <w:tcPr>
            <w:tcW w:w="675" w:type="pct"/>
            <w:shd w:val="clear" w:color="auto" w:fill="auto"/>
            <w:vAlign w:val="center"/>
          </w:tcPr>
          <w:p w14:paraId="22EC2447">
            <w:pPr>
              <w:pStyle w:val="3280"/>
              <w:rPr>
                <w:color w:val="auto"/>
              </w:rPr>
            </w:pPr>
            <w:r>
              <w:rPr>
                <w:rFonts w:hint="eastAsia"/>
                <w:color w:val="auto"/>
              </w:rPr>
              <w:t>15</w:t>
            </w:r>
          </w:p>
        </w:tc>
        <w:tc>
          <w:tcPr>
            <w:tcW w:w="591" w:type="pct"/>
            <w:shd w:val="clear" w:color="auto" w:fill="auto"/>
            <w:vAlign w:val="center"/>
          </w:tcPr>
          <w:p w14:paraId="58D86D0B">
            <w:pPr>
              <w:pStyle w:val="3280"/>
              <w:rPr>
                <w:color w:val="auto"/>
              </w:rPr>
            </w:pPr>
            <w:r>
              <w:rPr>
                <w:rFonts w:hint="eastAsia"/>
                <w:color w:val="auto"/>
              </w:rPr>
              <w:t>＜1</w:t>
            </w:r>
          </w:p>
        </w:tc>
      </w:tr>
      <w:tr w14:paraId="07B2D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shd w:val="clear" w:color="auto" w:fill="auto"/>
            <w:vAlign w:val="center"/>
          </w:tcPr>
          <w:p w14:paraId="2E62C2A3">
            <w:pPr>
              <w:pStyle w:val="3280"/>
              <w:rPr>
                <w:color w:val="auto"/>
              </w:rPr>
            </w:pPr>
            <w:r>
              <w:rPr>
                <w:rFonts w:hint="eastAsia"/>
                <w:color w:val="auto"/>
              </w:rPr>
              <w:t>37</w:t>
            </w:r>
          </w:p>
        </w:tc>
        <w:tc>
          <w:tcPr>
            <w:tcW w:w="1109" w:type="pct"/>
            <w:shd w:val="clear" w:color="auto" w:fill="auto"/>
            <w:vAlign w:val="center"/>
          </w:tcPr>
          <w:p w14:paraId="10A0802A">
            <w:pPr>
              <w:pStyle w:val="3280"/>
              <w:rPr>
                <w:b/>
                <w:bCs/>
                <w:color w:val="auto"/>
              </w:rPr>
            </w:pPr>
            <w:r>
              <w:rPr>
                <w:rFonts w:hint="eastAsia"/>
                <w:color w:val="auto"/>
              </w:rPr>
              <w:t>苯并〔a〕芘</w:t>
            </w:r>
          </w:p>
        </w:tc>
        <w:tc>
          <w:tcPr>
            <w:tcW w:w="729" w:type="pct"/>
            <w:shd w:val="clear" w:color="auto" w:fill="auto"/>
            <w:vAlign w:val="center"/>
          </w:tcPr>
          <w:p w14:paraId="6D16D8C1">
            <w:pPr>
              <w:pStyle w:val="3280"/>
              <w:rPr>
                <w:color w:val="auto"/>
              </w:rPr>
            </w:pPr>
            <w:r>
              <w:rPr>
                <w:rFonts w:hint="eastAsia"/>
                <w:color w:val="auto"/>
              </w:rPr>
              <w:t>0.1L</w:t>
            </w:r>
          </w:p>
        </w:tc>
        <w:tc>
          <w:tcPr>
            <w:tcW w:w="648" w:type="pct"/>
            <w:shd w:val="clear" w:color="auto" w:fill="auto"/>
            <w:vAlign w:val="center"/>
          </w:tcPr>
          <w:p w14:paraId="1DDB474F">
            <w:pPr>
              <w:pStyle w:val="3280"/>
              <w:ind w:firstLine="0" w:firstLineChars="0"/>
              <w:rPr>
                <w:rFonts w:ascii="Times New Roman" w:hAnsi="Times New Roman" w:eastAsia="宋体" w:cs="Times New Roman"/>
                <w:color w:val="auto"/>
                <w:kern w:val="2"/>
                <w:sz w:val="21"/>
                <w:lang w:val="en-US" w:eastAsia="zh-CN" w:bidi="ar-SA"/>
              </w:rPr>
            </w:pPr>
            <w:r>
              <w:rPr>
                <w:rFonts w:hint="eastAsia"/>
                <w:color w:val="auto"/>
              </w:rPr>
              <w:t>0.1L</w:t>
            </w:r>
          </w:p>
        </w:tc>
        <w:tc>
          <w:tcPr>
            <w:tcW w:w="813" w:type="pct"/>
            <w:shd w:val="clear" w:color="auto" w:fill="auto"/>
            <w:vAlign w:val="center"/>
          </w:tcPr>
          <w:p w14:paraId="1A5028DA">
            <w:pPr>
              <w:pStyle w:val="3280"/>
              <w:ind w:firstLine="0" w:firstLineChars="0"/>
              <w:rPr>
                <w:rFonts w:ascii="Times New Roman" w:hAnsi="Times New Roman" w:eastAsia="宋体" w:cs="Times New Roman"/>
                <w:color w:val="auto"/>
                <w:kern w:val="2"/>
                <w:sz w:val="21"/>
                <w:lang w:val="en-US" w:eastAsia="zh-CN" w:bidi="ar-SA"/>
              </w:rPr>
            </w:pPr>
            <w:r>
              <w:rPr>
                <w:rFonts w:hint="eastAsia"/>
                <w:color w:val="auto"/>
              </w:rPr>
              <w:t>0.1L</w:t>
            </w:r>
          </w:p>
        </w:tc>
        <w:tc>
          <w:tcPr>
            <w:tcW w:w="675" w:type="pct"/>
            <w:shd w:val="clear" w:color="auto" w:fill="auto"/>
            <w:vAlign w:val="center"/>
          </w:tcPr>
          <w:p w14:paraId="6ED714C6">
            <w:pPr>
              <w:pStyle w:val="3280"/>
              <w:rPr>
                <w:color w:val="auto"/>
              </w:rPr>
            </w:pPr>
            <w:r>
              <w:rPr>
                <w:rFonts w:hint="eastAsia"/>
                <w:color w:val="auto"/>
              </w:rPr>
              <w:t>1.5</w:t>
            </w:r>
          </w:p>
        </w:tc>
        <w:tc>
          <w:tcPr>
            <w:tcW w:w="591" w:type="pct"/>
            <w:shd w:val="clear" w:color="auto" w:fill="auto"/>
            <w:vAlign w:val="center"/>
          </w:tcPr>
          <w:p w14:paraId="635CCA4A">
            <w:pPr>
              <w:pStyle w:val="3280"/>
              <w:rPr>
                <w:color w:val="auto"/>
              </w:rPr>
            </w:pPr>
            <w:r>
              <w:rPr>
                <w:rFonts w:hint="eastAsia"/>
                <w:color w:val="auto"/>
              </w:rPr>
              <w:t>＜1</w:t>
            </w:r>
          </w:p>
        </w:tc>
      </w:tr>
      <w:tr w14:paraId="5CF0A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shd w:val="clear" w:color="auto" w:fill="auto"/>
            <w:vAlign w:val="center"/>
          </w:tcPr>
          <w:p w14:paraId="02234052">
            <w:pPr>
              <w:pStyle w:val="3280"/>
              <w:rPr>
                <w:color w:val="auto"/>
              </w:rPr>
            </w:pPr>
            <w:r>
              <w:rPr>
                <w:rFonts w:hint="eastAsia"/>
                <w:color w:val="auto"/>
              </w:rPr>
              <w:t>38</w:t>
            </w:r>
          </w:p>
        </w:tc>
        <w:tc>
          <w:tcPr>
            <w:tcW w:w="1109" w:type="pct"/>
            <w:shd w:val="clear" w:color="auto" w:fill="auto"/>
            <w:vAlign w:val="center"/>
          </w:tcPr>
          <w:p w14:paraId="69A81BAC">
            <w:pPr>
              <w:pStyle w:val="3280"/>
              <w:rPr>
                <w:color w:val="auto"/>
              </w:rPr>
            </w:pPr>
            <w:r>
              <w:rPr>
                <w:rFonts w:hint="eastAsia"/>
                <w:color w:val="auto"/>
              </w:rPr>
              <w:t>苯并〔b〕荧蒽</w:t>
            </w:r>
          </w:p>
        </w:tc>
        <w:tc>
          <w:tcPr>
            <w:tcW w:w="729" w:type="pct"/>
            <w:shd w:val="clear" w:color="auto" w:fill="auto"/>
            <w:vAlign w:val="center"/>
          </w:tcPr>
          <w:p w14:paraId="23591658">
            <w:pPr>
              <w:pStyle w:val="3280"/>
              <w:rPr>
                <w:color w:val="auto"/>
              </w:rPr>
            </w:pPr>
            <w:r>
              <w:rPr>
                <w:rFonts w:hint="eastAsia"/>
                <w:color w:val="auto"/>
              </w:rPr>
              <w:t>0.2L</w:t>
            </w:r>
          </w:p>
        </w:tc>
        <w:tc>
          <w:tcPr>
            <w:tcW w:w="648" w:type="pct"/>
            <w:shd w:val="clear" w:color="auto" w:fill="auto"/>
            <w:vAlign w:val="center"/>
          </w:tcPr>
          <w:p w14:paraId="5AF5B427">
            <w:pPr>
              <w:pStyle w:val="3280"/>
              <w:ind w:firstLine="0" w:firstLineChars="0"/>
              <w:rPr>
                <w:rFonts w:ascii="Times New Roman" w:hAnsi="Times New Roman" w:eastAsia="宋体" w:cs="Times New Roman"/>
                <w:color w:val="auto"/>
                <w:kern w:val="2"/>
                <w:sz w:val="21"/>
                <w:lang w:val="en-US" w:eastAsia="zh-CN" w:bidi="ar-SA"/>
              </w:rPr>
            </w:pPr>
            <w:r>
              <w:rPr>
                <w:rFonts w:hint="eastAsia"/>
                <w:color w:val="auto"/>
              </w:rPr>
              <w:t>0.2L</w:t>
            </w:r>
          </w:p>
        </w:tc>
        <w:tc>
          <w:tcPr>
            <w:tcW w:w="813" w:type="pct"/>
            <w:shd w:val="clear" w:color="auto" w:fill="auto"/>
            <w:vAlign w:val="center"/>
          </w:tcPr>
          <w:p w14:paraId="26181F19">
            <w:pPr>
              <w:pStyle w:val="3280"/>
              <w:ind w:firstLine="0" w:firstLineChars="0"/>
              <w:rPr>
                <w:rFonts w:ascii="Times New Roman" w:hAnsi="Times New Roman" w:eastAsia="宋体" w:cs="Times New Roman"/>
                <w:color w:val="auto"/>
                <w:kern w:val="2"/>
                <w:sz w:val="21"/>
                <w:lang w:val="en-US" w:eastAsia="zh-CN" w:bidi="ar-SA"/>
              </w:rPr>
            </w:pPr>
            <w:r>
              <w:rPr>
                <w:rFonts w:hint="eastAsia"/>
                <w:color w:val="auto"/>
              </w:rPr>
              <w:t>0.2L</w:t>
            </w:r>
          </w:p>
        </w:tc>
        <w:tc>
          <w:tcPr>
            <w:tcW w:w="675" w:type="pct"/>
            <w:shd w:val="clear" w:color="auto" w:fill="auto"/>
            <w:vAlign w:val="center"/>
          </w:tcPr>
          <w:p w14:paraId="6C2153DA">
            <w:pPr>
              <w:pStyle w:val="3280"/>
              <w:rPr>
                <w:color w:val="auto"/>
              </w:rPr>
            </w:pPr>
            <w:r>
              <w:rPr>
                <w:rFonts w:hint="eastAsia"/>
                <w:color w:val="auto"/>
              </w:rPr>
              <w:t>15</w:t>
            </w:r>
          </w:p>
        </w:tc>
        <w:tc>
          <w:tcPr>
            <w:tcW w:w="591" w:type="pct"/>
            <w:shd w:val="clear" w:color="auto" w:fill="auto"/>
            <w:vAlign w:val="center"/>
          </w:tcPr>
          <w:p w14:paraId="5736AF55">
            <w:pPr>
              <w:pStyle w:val="3280"/>
              <w:rPr>
                <w:color w:val="auto"/>
              </w:rPr>
            </w:pPr>
            <w:r>
              <w:rPr>
                <w:rFonts w:hint="eastAsia"/>
                <w:color w:val="auto"/>
              </w:rPr>
              <w:t>＜1</w:t>
            </w:r>
          </w:p>
        </w:tc>
      </w:tr>
      <w:tr w14:paraId="270D4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shd w:val="clear" w:color="auto" w:fill="auto"/>
            <w:vAlign w:val="center"/>
          </w:tcPr>
          <w:p w14:paraId="33E7F047">
            <w:pPr>
              <w:pStyle w:val="3280"/>
              <w:rPr>
                <w:color w:val="auto"/>
              </w:rPr>
            </w:pPr>
            <w:r>
              <w:rPr>
                <w:rFonts w:hint="eastAsia"/>
                <w:color w:val="auto"/>
              </w:rPr>
              <w:t>39</w:t>
            </w:r>
          </w:p>
        </w:tc>
        <w:tc>
          <w:tcPr>
            <w:tcW w:w="1109" w:type="pct"/>
            <w:shd w:val="clear" w:color="auto" w:fill="auto"/>
            <w:vAlign w:val="center"/>
          </w:tcPr>
          <w:p w14:paraId="5C74F074">
            <w:pPr>
              <w:pStyle w:val="3280"/>
              <w:rPr>
                <w:color w:val="auto"/>
              </w:rPr>
            </w:pPr>
            <w:r>
              <w:rPr>
                <w:rFonts w:hint="eastAsia"/>
                <w:color w:val="auto"/>
              </w:rPr>
              <w:t>苯并〔k〕荧蒽</w:t>
            </w:r>
          </w:p>
        </w:tc>
        <w:tc>
          <w:tcPr>
            <w:tcW w:w="729" w:type="pct"/>
            <w:shd w:val="clear" w:color="auto" w:fill="auto"/>
            <w:vAlign w:val="center"/>
          </w:tcPr>
          <w:p w14:paraId="4A8E739D">
            <w:pPr>
              <w:pStyle w:val="3280"/>
              <w:rPr>
                <w:color w:val="auto"/>
              </w:rPr>
            </w:pPr>
            <w:r>
              <w:rPr>
                <w:rFonts w:hint="eastAsia"/>
                <w:color w:val="auto"/>
              </w:rPr>
              <w:t>0.1L</w:t>
            </w:r>
          </w:p>
        </w:tc>
        <w:tc>
          <w:tcPr>
            <w:tcW w:w="648" w:type="pct"/>
            <w:shd w:val="clear" w:color="auto" w:fill="auto"/>
            <w:vAlign w:val="center"/>
          </w:tcPr>
          <w:p w14:paraId="25199EDB">
            <w:pPr>
              <w:pStyle w:val="3280"/>
              <w:ind w:firstLine="0" w:firstLineChars="0"/>
              <w:rPr>
                <w:rFonts w:ascii="Times New Roman" w:hAnsi="Times New Roman" w:eastAsia="宋体" w:cs="Times New Roman"/>
                <w:color w:val="auto"/>
                <w:kern w:val="2"/>
                <w:sz w:val="21"/>
                <w:lang w:val="en-US" w:eastAsia="zh-CN" w:bidi="ar-SA"/>
              </w:rPr>
            </w:pPr>
            <w:r>
              <w:rPr>
                <w:rFonts w:hint="eastAsia"/>
                <w:color w:val="auto"/>
              </w:rPr>
              <w:t>0.1L</w:t>
            </w:r>
          </w:p>
        </w:tc>
        <w:tc>
          <w:tcPr>
            <w:tcW w:w="813" w:type="pct"/>
            <w:shd w:val="clear" w:color="auto" w:fill="auto"/>
            <w:vAlign w:val="center"/>
          </w:tcPr>
          <w:p w14:paraId="39ED01DD">
            <w:pPr>
              <w:pStyle w:val="3280"/>
              <w:ind w:firstLine="0" w:firstLineChars="0"/>
              <w:rPr>
                <w:rFonts w:ascii="Times New Roman" w:hAnsi="Times New Roman" w:eastAsia="宋体" w:cs="Times New Roman"/>
                <w:color w:val="auto"/>
                <w:kern w:val="2"/>
                <w:sz w:val="21"/>
                <w:lang w:val="en-US" w:eastAsia="zh-CN" w:bidi="ar-SA"/>
              </w:rPr>
            </w:pPr>
            <w:r>
              <w:rPr>
                <w:rFonts w:hint="eastAsia"/>
                <w:color w:val="auto"/>
              </w:rPr>
              <w:t>0.1L</w:t>
            </w:r>
          </w:p>
        </w:tc>
        <w:tc>
          <w:tcPr>
            <w:tcW w:w="675" w:type="pct"/>
            <w:shd w:val="clear" w:color="auto" w:fill="auto"/>
            <w:vAlign w:val="center"/>
          </w:tcPr>
          <w:p w14:paraId="2AC15686">
            <w:pPr>
              <w:pStyle w:val="3280"/>
              <w:rPr>
                <w:color w:val="auto"/>
              </w:rPr>
            </w:pPr>
            <w:r>
              <w:rPr>
                <w:rFonts w:hint="eastAsia"/>
                <w:color w:val="auto"/>
              </w:rPr>
              <w:t>151</w:t>
            </w:r>
          </w:p>
        </w:tc>
        <w:tc>
          <w:tcPr>
            <w:tcW w:w="591" w:type="pct"/>
            <w:shd w:val="clear" w:color="auto" w:fill="auto"/>
            <w:vAlign w:val="center"/>
          </w:tcPr>
          <w:p w14:paraId="31F0124D">
            <w:pPr>
              <w:pStyle w:val="3280"/>
              <w:rPr>
                <w:color w:val="auto"/>
              </w:rPr>
            </w:pPr>
            <w:r>
              <w:rPr>
                <w:rFonts w:hint="eastAsia"/>
                <w:color w:val="auto"/>
              </w:rPr>
              <w:t>＜1</w:t>
            </w:r>
          </w:p>
        </w:tc>
      </w:tr>
      <w:tr w14:paraId="23148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shd w:val="clear" w:color="auto" w:fill="auto"/>
            <w:vAlign w:val="center"/>
          </w:tcPr>
          <w:p w14:paraId="01F30392">
            <w:pPr>
              <w:pStyle w:val="3280"/>
              <w:rPr>
                <w:color w:val="auto"/>
              </w:rPr>
            </w:pPr>
            <w:r>
              <w:rPr>
                <w:rFonts w:hint="eastAsia"/>
                <w:color w:val="auto"/>
              </w:rPr>
              <w:t>40</w:t>
            </w:r>
          </w:p>
        </w:tc>
        <w:tc>
          <w:tcPr>
            <w:tcW w:w="1109" w:type="pct"/>
            <w:shd w:val="clear" w:color="auto" w:fill="auto"/>
            <w:vAlign w:val="center"/>
          </w:tcPr>
          <w:p w14:paraId="0F7F763B">
            <w:pPr>
              <w:pStyle w:val="3280"/>
              <w:rPr>
                <w:color w:val="auto"/>
              </w:rPr>
            </w:pPr>
            <w:r>
              <w:rPr>
                <w:rFonts w:hint="eastAsia"/>
                <w:color w:val="auto"/>
              </w:rPr>
              <w:t>䓛</w:t>
            </w:r>
          </w:p>
        </w:tc>
        <w:tc>
          <w:tcPr>
            <w:tcW w:w="729" w:type="pct"/>
            <w:shd w:val="clear" w:color="auto" w:fill="auto"/>
            <w:vAlign w:val="center"/>
          </w:tcPr>
          <w:p w14:paraId="3C4EC956">
            <w:pPr>
              <w:pStyle w:val="3280"/>
              <w:rPr>
                <w:color w:val="auto"/>
              </w:rPr>
            </w:pPr>
            <w:r>
              <w:rPr>
                <w:rFonts w:hint="eastAsia"/>
                <w:color w:val="auto"/>
              </w:rPr>
              <w:t>0.1L</w:t>
            </w:r>
          </w:p>
        </w:tc>
        <w:tc>
          <w:tcPr>
            <w:tcW w:w="648" w:type="pct"/>
            <w:shd w:val="clear" w:color="auto" w:fill="auto"/>
            <w:vAlign w:val="center"/>
          </w:tcPr>
          <w:p w14:paraId="5A9198E9">
            <w:pPr>
              <w:pStyle w:val="3280"/>
              <w:ind w:firstLine="0" w:firstLineChars="0"/>
              <w:rPr>
                <w:rFonts w:ascii="Times New Roman" w:hAnsi="Times New Roman" w:eastAsia="宋体" w:cs="Times New Roman"/>
                <w:color w:val="auto"/>
                <w:kern w:val="2"/>
                <w:sz w:val="21"/>
                <w:lang w:val="en-US" w:eastAsia="zh-CN" w:bidi="ar-SA"/>
              </w:rPr>
            </w:pPr>
            <w:r>
              <w:rPr>
                <w:rFonts w:hint="eastAsia"/>
                <w:color w:val="auto"/>
              </w:rPr>
              <w:t>0.1L</w:t>
            </w:r>
          </w:p>
        </w:tc>
        <w:tc>
          <w:tcPr>
            <w:tcW w:w="813" w:type="pct"/>
            <w:shd w:val="clear" w:color="auto" w:fill="auto"/>
            <w:vAlign w:val="center"/>
          </w:tcPr>
          <w:p w14:paraId="08F2C068">
            <w:pPr>
              <w:pStyle w:val="3280"/>
              <w:ind w:firstLine="0" w:firstLineChars="0"/>
              <w:rPr>
                <w:rFonts w:ascii="Times New Roman" w:hAnsi="Times New Roman" w:eastAsia="宋体" w:cs="Times New Roman"/>
                <w:color w:val="auto"/>
                <w:kern w:val="2"/>
                <w:sz w:val="21"/>
                <w:lang w:val="en-US" w:eastAsia="zh-CN" w:bidi="ar-SA"/>
              </w:rPr>
            </w:pPr>
            <w:r>
              <w:rPr>
                <w:rFonts w:hint="eastAsia"/>
                <w:color w:val="auto"/>
              </w:rPr>
              <w:t>0.1L</w:t>
            </w:r>
          </w:p>
        </w:tc>
        <w:tc>
          <w:tcPr>
            <w:tcW w:w="675" w:type="pct"/>
            <w:shd w:val="clear" w:color="auto" w:fill="auto"/>
            <w:vAlign w:val="center"/>
          </w:tcPr>
          <w:p w14:paraId="263E212D">
            <w:pPr>
              <w:pStyle w:val="3280"/>
              <w:rPr>
                <w:color w:val="auto"/>
              </w:rPr>
            </w:pPr>
            <w:r>
              <w:rPr>
                <w:rFonts w:hint="eastAsia"/>
                <w:color w:val="auto"/>
              </w:rPr>
              <w:t>1293</w:t>
            </w:r>
          </w:p>
        </w:tc>
        <w:tc>
          <w:tcPr>
            <w:tcW w:w="591" w:type="pct"/>
            <w:shd w:val="clear" w:color="auto" w:fill="auto"/>
            <w:vAlign w:val="center"/>
          </w:tcPr>
          <w:p w14:paraId="3561C224">
            <w:pPr>
              <w:pStyle w:val="3280"/>
              <w:rPr>
                <w:color w:val="auto"/>
              </w:rPr>
            </w:pPr>
            <w:r>
              <w:rPr>
                <w:rFonts w:hint="eastAsia"/>
                <w:color w:val="auto"/>
              </w:rPr>
              <w:t>＜1</w:t>
            </w:r>
          </w:p>
        </w:tc>
      </w:tr>
      <w:tr w14:paraId="38040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shd w:val="clear" w:color="auto" w:fill="auto"/>
            <w:vAlign w:val="center"/>
          </w:tcPr>
          <w:p w14:paraId="75ABCEC3">
            <w:pPr>
              <w:pStyle w:val="3280"/>
              <w:rPr>
                <w:color w:val="auto"/>
              </w:rPr>
            </w:pPr>
            <w:r>
              <w:rPr>
                <w:rFonts w:hint="eastAsia"/>
                <w:color w:val="auto"/>
              </w:rPr>
              <w:t>41</w:t>
            </w:r>
          </w:p>
        </w:tc>
        <w:tc>
          <w:tcPr>
            <w:tcW w:w="1109" w:type="pct"/>
            <w:shd w:val="clear" w:color="auto" w:fill="auto"/>
            <w:vAlign w:val="center"/>
          </w:tcPr>
          <w:p w14:paraId="24559E11">
            <w:pPr>
              <w:pStyle w:val="3280"/>
              <w:rPr>
                <w:color w:val="auto"/>
              </w:rPr>
            </w:pPr>
            <w:r>
              <w:rPr>
                <w:rFonts w:hint="eastAsia"/>
                <w:color w:val="auto"/>
              </w:rPr>
              <w:t>二苯并〔a, h〕蒽</w:t>
            </w:r>
          </w:p>
        </w:tc>
        <w:tc>
          <w:tcPr>
            <w:tcW w:w="729" w:type="pct"/>
            <w:shd w:val="clear" w:color="auto" w:fill="auto"/>
            <w:vAlign w:val="center"/>
          </w:tcPr>
          <w:p w14:paraId="546B0315">
            <w:pPr>
              <w:pStyle w:val="3280"/>
              <w:rPr>
                <w:color w:val="auto"/>
              </w:rPr>
            </w:pPr>
            <w:r>
              <w:rPr>
                <w:rFonts w:hint="eastAsia"/>
                <w:color w:val="auto"/>
              </w:rPr>
              <w:t>0.1L</w:t>
            </w:r>
          </w:p>
        </w:tc>
        <w:tc>
          <w:tcPr>
            <w:tcW w:w="648" w:type="pct"/>
            <w:shd w:val="clear" w:color="auto" w:fill="auto"/>
            <w:vAlign w:val="center"/>
          </w:tcPr>
          <w:p w14:paraId="73C8D651">
            <w:pPr>
              <w:pStyle w:val="3280"/>
              <w:ind w:firstLine="0" w:firstLineChars="0"/>
              <w:rPr>
                <w:rFonts w:ascii="Times New Roman" w:hAnsi="Times New Roman" w:eastAsia="宋体" w:cs="Times New Roman"/>
                <w:color w:val="auto"/>
                <w:kern w:val="2"/>
                <w:sz w:val="21"/>
                <w:lang w:val="en-US" w:eastAsia="zh-CN" w:bidi="ar-SA"/>
              </w:rPr>
            </w:pPr>
            <w:r>
              <w:rPr>
                <w:rFonts w:hint="eastAsia"/>
                <w:color w:val="auto"/>
              </w:rPr>
              <w:t>0.1L</w:t>
            </w:r>
          </w:p>
        </w:tc>
        <w:tc>
          <w:tcPr>
            <w:tcW w:w="813" w:type="pct"/>
            <w:shd w:val="clear" w:color="auto" w:fill="auto"/>
            <w:vAlign w:val="center"/>
          </w:tcPr>
          <w:p w14:paraId="4E7B7BCE">
            <w:pPr>
              <w:pStyle w:val="3280"/>
              <w:ind w:firstLine="0" w:firstLineChars="0"/>
              <w:rPr>
                <w:rFonts w:ascii="Times New Roman" w:hAnsi="Times New Roman" w:eastAsia="宋体" w:cs="Times New Roman"/>
                <w:color w:val="auto"/>
                <w:kern w:val="2"/>
                <w:sz w:val="21"/>
                <w:lang w:val="en-US" w:eastAsia="zh-CN" w:bidi="ar-SA"/>
              </w:rPr>
            </w:pPr>
            <w:r>
              <w:rPr>
                <w:rFonts w:hint="eastAsia"/>
                <w:color w:val="auto"/>
              </w:rPr>
              <w:t>0.1L</w:t>
            </w:r>
          </w:p>
        </w:tc>
        <w:tc>
          <w:tcPr>
            <w:tcW w:w="675" w:type="pct"/>
            <w:shd w:val="clear" w:color="auto" w:fill="auto"/>
            <w:vAlign w:val="center"/>
          </w:tcPr>
          <w:p w14:paraId="63D1BF96">
            <w:pPr>
              <w:pStyle w:val="3280"/>
              <w:rPr>
                <w:color w:val="auto"/>
              </w:rPr>
            </w:pPr>
            <w:r>
              <w:rPr>
                <w:rFonts w:hint="eastAsia"/>
                <w:color w:val="auto"/>
              </w:rPr>
              <w:t>1.5</w:t>
            </w:r>
          </w:p>
        </w:tc>
        <w:tc>
          <w:tcPr>
            <w:tcW w:w="591" w:type="pct"/>
            <w:shd w:val="clear" w:color="auto" w:fill="auto"/>
            <w:vAlign w:val="center"/>
          </w:tcPr>
          <w:p w14:paraId="021ECD56">
            <w:pPr>
              <w:pStyle w:val="3280"/>
              <w:rPr>
                <w:color w:val="auto"/>
              </w:rPr>
            </w:pPr>
            <w:r>
              <w:rPr>
                <w:rFonts w:hint="eastAsia"/>
                <w:color w:val="auto"/>
              </w:rPr>
              <w:t>＜1</w:t>
            </w:r>
          </w:p>
        </w:tc>
      </w:tr>
      <w:tr w14:paraId="41082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shd w:val="clear" w:color="auto" w:fill="auto"/>
            <w:vAlign w:val="center"/>
          </w:tcPr>
          <w:p w14:paraId="1649157D">
            <w:pPr>
              <w:pStyle w:val="3280"/>
              <w:rPr>
                <w:color w:val="auto"/>
              </w:rPr>
            </w:pPr>
            <w:r>
              <w:rPr>
                <w:rFonts w:hint="eastAsia"/>
                <w:color w:val="auto"/>
              </w:rPr>
              <w:t>42</w:t>
            </w:r>
          </w:p>
        </w:tc>
        <w:tc>
          <w:tcPr>
            <w:tcW w:w="1109" w:type="pct"/>
            <w:shd w:val="clear" w:color="auto" w:fill="auto"/>
            <w:vAlign w:val="center"/>
          </w:tcPr>
          <w:p w14:paraId="3ECE9E25">
            <w:pPr>
              <w:pStyle w:val="3280"/>
              <w:rPr>
                <w:color w:val="auto"/>
              </w:rPr>
            </w:pPr>
            <w:r>
              <w:rPr>
                <w:rFonts w:hint="eastAsia"/>
                <w:color w:val="auto"/>
              </w:rPr>
              <w:t>茚并〔1,2,3-cd〕芘</w:t>
            </w:r>
          </w:p>
        </w:tc>
        <w:tc>
          <w:tcPr>
            <w:tcW w:w="729" w:type="pct"/>
            <w:shd w:val="clear" w:color="auto" w:fill="auto"/>
            <w:vAlign w:val="center"/>
          </w:tcPr>
          <w:p w14:paraId="7BA67716">
            <w:pPr>
              <w:pStyle w:val="3280"/>
              <w:rPr>
                <w:color w:val="auto"/>
              </w:rPr>
            </w:pPr>
            <w:r>
              <w:rPr>
                <w:rFonts w:hint="eastAsia"/>
                <w:color w:val="auto"/>
              </w:rPr>
              <w:t>0.1L</w:t>
            </w:r>
          </w:p>
        </w:tc>
        <w:tc>
          <w:tcPr>
            <w:tcW w:w="648" w:type="pct"/>
            <w:shd w:val="clear" w:color="auto" w:fill="auto"/>
            <w:vAlign w:val="center"/>
          </w:tcPr>
          <w:p w14:paraId="3D7E8DF9">
            <w:pPr>
              <w:pStyle w:val="3280"/>
              <w:ind w:firstLine="0" w:firstLineChars="0"/>
              <w:rPr>
                <w:rFonts w:ascii="Times New Roman" w:hAnsi="Times New Roman" w:eastAsia="宋体" w:cs="Times New Roman"/>
                <w:color w:val="auto"/>
                <w:kern w:val="2"/>
                <w:sz w:val="21"/>
                <w:lang w:val="en-US" w:eastAsia="zh-CN" w:bidi="ar-SA"/>
              </w:rPr>
            </w:pPr>
            <w:r>
              <w:rPr>
                <w:rFonts w:hint="eastAsia"/>
                <w:color w:val="auto"/>
              </w:rPr>
              <w:t>0.1L</w:t>
            </w:r>
          </w:p>
        </w:tc>
        <w:tc>
          <w:tcPr>
            <w:tcW w:w="813" w:type="pct"/>
            <w:shd w:val="clear" w:color="auto" w:fill="auto"/>
            <w:vAlign w:val="center"/>
          </w:tcPr>
          <w:p w14:paraId="5C426BE3">
            <w:pPr>
              <w:pStyle w:val="3280"/>
              <w:ind w:firstLine="0" w:firstLineChars="0"/>
              <w:rPr>
                <w:rFonts w:ascii="Times New Roman" w:hAnsi="Times New Roman" w:eastAsia="宋体" w:cs="Times New Roman"/>
                <w:color w:val="auto"/>
                <w:kern w:val="2"/>
                <w:sz w:val="21"/>
                <w:lang w:val="en-US" w:eastAsia="zh-CN" w:bidi="ar-SA"/>
              </w:rPr>
            </w:pPr>
            <w:r>
              <w:rPr>
                <w:rFonts w:hint="eastAsia"/>
                <w:color w:val="auto"/>
              </w:rPr>
              <w:t>0.1L</w:t>
            </w:r>
          </w:p>
        </w:tc>
        <w:tc>
          <w:tcPr>
            <w:tcW w:w="675" w:type="pct"/>
            <w:shd w:val="clear" w:color="auto" w:fill="auto"/>
            <w:vAlign w:val="center"/>
          </w:tcPr>
          <w:p w14:paraId="658F1939">
            <w:pPr>
              <w:pStyle w:val="3280"/>
              <w:rPr>
                <w:color w:val="auto"/>
              </w:rPr>
            </w:pPr>
            <w:r>
              <w:rPr>
                <w:rFonts w:hint="eastAsia"/>
                <w:color w:val="auto"/>
              </w:rPr>
              <w:t>15</w:t>
            </w:r>
          </w:p>
        </w:tc>
        <w:tc>
          <w:tcPr>
            <w:tcW w:w="591" w:type="pct"/>
            <w:shd w:val="clear" w:color="auto" w:fill="auto"/>
            <w:vAlign w:val="center"/>
          </w:tcPr>
          <w:p w14:paraId="42C3A4D3">
            <w:pPr>
              <w:pStyle w:val="3280"/>
              <w:rPr>
                <w:color w:val="auto"/>
              </w:rPr>
            </w:pPr>
            <w:r>
              <w:rPr>
                <w:rFonts w:hint="eastAsia"/>
                <w:color w:val="auto"/>
              </w:rPr>
              <w:t>＜1</w:t>
            </w:r>
          </w:p>
        </w:tc>
      </w:tr>
      <w:tr w14:paraId="78A6F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shd w:val="clear" w:color="auto" w:fill="auto"/>
            <w:vAlign w:val="center"/>
          </w:tcPr>
          <w:p w14:paraId="50F4AB83">
            <w:pPr>
              <w:pStyle w:val="3280"/>
              <w:rPr>
                <w:color w:val="auto"/>
              </w:rPr>
            </w:pPr>
            <w:r>
              <w:rPr>
                <w:rFonts w:hint="eastAsia"/>
                <w:color w:val="auto"/>
              </w:rPr>
              <w:t>43</w:t>
            </w:r>
          </w:p>
        </w:tc>
        <w:tc>
          <w:tcPr>
            <w:tcW w:w="1109" w:type="pct"/>
            <w:shd w:val="clear" w:color="auto" w:fill="auto"/>
            <w:vAlign w:val="center"/>
          </w:tcPr>
          <w:p w14:paraId="473A62AE">
            <w:pPr>
              <w:pStyle w:val="3280"/>
              <w:rPr>
                <w:color w:val="auto"/>
              </w:rPr>
            </w:pPr>
            <w:r>
              <w:rPr>
                <w:rFonts w:hint="eastAsia"/>
                <w:color w:val="auto"/>
              </w:rPr>
              <w:t>萘</w:t>
            </w:r>
          </w:p>
        </w:tc>
        <w:tc>
          <w:tcPr>
            <w:tcW w:w="729" w:type="pct"/>
            <w:shd w:val="clear" w:color="auto" w:fill="auto"/>
            <w:vAlign w:val="center"/>
          </w:tcPr>
          <w:p w14:paraId="19F08C6C">
            <w:pPr>
              <w:pStyle w:val="3280"/>
              <w:rPr>
                <w:color w:val="auto"/>
              </w:rPr>
            </w:pPr>
            <w:r>
              <w:rPr>
                <w:rFonts w:hint="eastAsia"/>
                <w:color w:val="auto"/>
              </w:rPr>
              <w:t>0.</w:t>
            </w:r>
            <w:r>
              <w:rPr>
                <w:rFonts w:hint="eastAsia"/>
                <w:color w:val="auto"/>
                <w:lang w:val="en-US" w:eastAsia="zh-CN"/>
              </w:rPr>
              <w:t>09</w:t>
            </w:r>
            <w:r>
              <w:rPr>
                <w:rFonts w:hint="eastAsia"/>
                <w:color w:val="auto"/>
              </w:rPr>
              <w:t>L</w:t>
            </w:r>
          </w:p>
        </w:tc>
        <w:tc>
          <w:tcPr>
            <w:tcW w:w="648" w:type="pct"/>
            <w:shd w:val="clear" w:color="auto" w:fill="auto"/>
            <w:vAlign w:val="center"/>
          </w:tcPr>
          <w:p w14:paraId="75E7B630">
            <w:pPr>
              <w:pStyle w:val="3280"/>
              <w:ind w:firstLine="0" w:firstLineChars="0"/>
              <w:rPr>
                <w:rFonts w:ascii="Times New Roman" w:hAnsi="Times New Roman" w:eastAsia="宋体" w:cs="Times New Roman"/>
                <w:color w:val="auto"/>
                <w:kern w:val="2"/>
                <w:sz w:val="21"/>
                <w:lang w:val="en-US" w:eastAsia="zh-CN" w:bidi="ar-SA"/>
              </w:rPr>
            </w:pPr>
            <w:r>
              <w:rPr>
                <w:rFonts w:hint="eastAsia"/>
                <w:color w:val="auto"/>
              </w:rPr>
              <w:t>0.</w:t>
            </w:r>
            <w:r>
              <w:rPr>
                <w:rFonts w:hint="eastAsia"/>
                <w:color w:val="auto"/>
                <w:lang w:val="en-US" w:eastAsia="zh-CN"/>
              </w:rPr>
              <w:t>09</w:t>
            </w:r>
            <w:r>
              <w:rPr>
                <w:rFonts w:hint="eastAsia"/>
                <w:color w:val="auto"/>
              </w:rPr>
              <w:t>L</w:t>
            </w:r>
          </w:p>
        </w:tc>
        <w:tc>
          <w:tcPr>
            <w:tcW w:w="813" w:type="pct"/>
            <w:shd w:val="clear" w:color="auto" w:fill="auto"/>
            <w:vAlign w:val="center"/>
          </w:tcPr>
          <w:p w14:paraId="5F6E1451">
            <w:pPr>
              <w:pStyle w:val="3280"/>
              <w:ind w:firstLine="0" w:firstLineChars="0"/>
              <w:rPr>
                <w:rFonts w:ascii="Times New Roman" w:hAnsi="Times New Roman" w:eastAsia="宋体" w:cs="Times New Roman"/>
                <w:color w:val="auto"/>
                <w:kern w:val="2"/>
                <w:sz w:val="21"/>
                <w:lang w:val="en-US" w:eastAsia="zh-CN" w:bidi="ar-SA"/>
              </w:rPr>
            </w:pPr>
            <w:r>
              <w:rPr>
                <w:rFonts w:hint="eastAsia"/>
                <w:color w:val="auto"/>
              </w:rPr>
              <w:t>0.</w:t>
            </w:r>
            <w:r>
              <w:rPr>
                <w:rFonts w:hint="eastAsia"/>
                <w:color w:val="auto"/>
                <w:lang w:val="en-US" w:eastAsia="zh-CN"/>
              </w:rPr>
              <w:t>09</w:t>
            </w:r>
            <w:r>
              <w:rPr>
                <w:rFonts w:hint="eastAsia"/>
                <w:color w:val="auto"/>
              </w:rPr>
              <w:t>L</w:t>
            </w:r>
          </w:p>
        </w:tc>
        <w:tc>
          <w:tcPr>
            <w:tcW w:w="675" w:type="pct"/>
            <w:shd w:val="clear" w:color="auto" w:fill="auto"/>
            <w:vAlign w:val="center"/>
          </w:tcPr>
          <w:p w14:paraId="77D9591A">
            <w:pPr>
              <w:pStyle w:val="3280"/>
              <w:rPr>
                <w:color w:val="auto"/>
              </w:rPr>
            </w:pPr>
            <w:r>
              <w:rPr>
                <w:rFonts w:hint="eastAsia"/>
                <w:color w:val="auto"/>
              </w:rPr>
              <w:t>70</w:t>
            </w:r>
          </w:p>
        </w:tc>
        <w:tc>
          <w:tcPr>
            <w:tcW w:w="591" w:type="pct"/>
            <w:shd w:val="clear" w:color="auto" w:fill="auto"/>
            <w:vAlign w:val="center"/>
          </w:tcPr>
          <w:p w14:paraId="3F08DF1C">
            <w:pPr>
              <w:pStyle w:val="3280"/>
              <w:rPr>
                <w:color w:val="auto"/>
              </w:rPr>
            </w:pPr>
            <w:r>
              <w:rPr>
                <w:rFonts w:hint="eastAsia"/>
                <w:color w:val="auto"/>
              </w:rPr>
              <w:t>＜1</w:t>
            </w:r>
          </w:p>
        </w:tc>
      </w:tr>
      <w:tr w14:paraId="215AE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shd w:val="clear" w:color="auto" w:fill="auto"/>
            <w:vAlign w:val="center"/>
          </w:tcPr>
          <w:p w14:paraId="58896A41">
            <w:pPr>
              <w:pStyle w:val="3280"/>
              <w:rPr>
                <w:color w:val="auto"/>
              </w:rPr>
            </w:pPr>
            <w:r>
              <w:rPr>
                <w:rFonts w:hint="eastAsia"/>
                <w:color w:val="auto"/>
              </w:rPr>
              <w:t>44</w:t>
            </w:r>
          </w:p>
        </w:tc>
        <w:tc>
          <w:tcPr>
            <w:tcW w:w="1109" w:type="pct"/>
            <w:shd w:val="clear" w:color="auto" w:fill="auto"/>
            <w:vAlign w:val="center"/>
          </w:tcPr>
          <w:p w14:paraId="573120DD">
            <w:pPr>
              <w:pStyle w:val="3280"/>
              <w:rPr>
                <w:color w:val="auto"/>
              </w:rPr>
            </w:pPr>
            <w:r>
              <w:rPr>
                <w:rFonts w:hint="eastAsia"/>
                <w:color w:val="auto"/>
              </w:rPr>
              <w:t>2-氯酚</w:t>
            </w:r>
          </w:p>
        </w:tc>
        <w:tc>
          <w:tcPr>
            <w:tcW w:w="729" w:type="pct"/>
            <w:shd w:val="clear" w:color="auto" w:fill="auto"/>
            <w:vAlign w:val="center"/>
          </w:tcPr>
          <w:p w14:paraId="5C53EFB0">
            <w:pPr>
              <w:pStyle w:val="3280"/>
              <w:rPr>
                <w:color w:val="auto"/>
              </w:rPr>
            </w:pPr>
            <w:r>
              <w:rPr>
                <w:rFonts w:hint="eastAsia"/>
                <w:color w:val="auto"/>
              </w:rPr>
              <w:t>0.0</w:t>
            </w:r>
            <w:r>
              <w:rPr>
                <w:rFonts w:hint="eastAsia"/>
                <w:color w:val="auto"/>
                <w:lang w:val="en-US" w:eastAsia="zh-CN"/>
              </w:rPr>
              <w:t>6</w:t>
            </w:r>
            <w:r>
              <w:rPr>
                <w:rFonts w:hint="eastAsia"/>
                <w:color w:val="auto"/>
              </w:rPr>
              <w:t>L</w:t>
            </w:r>
          </w:p>
        </w:tc>
        <w:tc>
          <w:tcPr>
            <w:tcW w:w="648" w:type="pct"/>
            <w:shd w:val="clear" w:color="auto" w:fill="auto"/>
            <w:vAlign w:val="center"/>
          </w:tcPr>
          <w:p w14:paraId="06408EC5">
            <w:pPr>
              <w:pStyle w:val="3280"/>
              <w:ind w:firstLine="0" w:firstLineChars="0"/>
              <w:rPr>
                <w:rFonts w:ascii="Times New Roman" w:hAnsi="Times New Roman" w:eastAsia="宋体" w:cs="Times New Roman"/>
                <w:color w:val="auto"/>
                <w:kern w:val="2"/>
                <w:sz w:val="21"/>
                <w:lang w:val="en-US" w:eastAsia="zh-CN" w:bidi="ar-SA"/>
              </w:rPr>
            </w:pPr>
            <w:r>
              <w:rPr>
                <w:rFonts w:hint="eastAsia"/>
                <w:color w:val="auto"/>
              </w:rPr>
              <w:t>0.0</w:t>
            </w:r>
            <w:r>
              <w:rPr>
                <w:rFonts w:hint="eastAsia"/>
                <w:color w:val="auto"/>
                <w:lang w:val="en-US" w:eastAsia="zh-CN"/>
              </w:rPr>
              <w:t>6</w:t>
            </w:r>
            <w:r>
              <w:rPr>
                <w:rFonts w:hint="eastAsia"/>
                <w:color w:val="auto"/>
              </w:rPr>
              <w:t>L</w:t>
            </w:r>
          </w:p>
        </w:tc>
        <w:tc>
          <w:tcPr>
            <w:tcW w:w="813" w:type="pct"/>
            <w:shd w:val="clear" w:color="auto" w:fill="auto"/>
            <w:vAlign w:val="center"/>
          </w:tcPr>
          <w:p w14:paraId="0000E4CF">
            <w:pPr>
              <w:pStyle w:val="3280"/>
              <w:ind w:firstLine="0" w:firstLineChars="0"/>
              <w:rPr>
                <w:rFonts w:ascii="Times New Roman" w:hAnsi="Times New Roman" w:eastAsia="宋体" w:cs="Times New Roman"/>
                <w:color w:val="auto"/>
                <w:kern w:val="2"/>
                <w:sz w:val="21"/>
                <w:lang w:val="en-US" w:eastAsia="zh-CN" w:bidi="ar-SA"/>
              </w:rPr>
            </w:pPr>
            <w:r>
              <w:rPr>
                <w:rFonts w:hint="eastAsia"/>
                <w:color w:val="auto"/>
              </w:rPr>
              <w:t>0.0</w:t>
            </w:r>
            <w:r>
              <w:rPr>
                <w:rFonts w:hint="eastAsia"/>
                <w:color w:val="auto"/>
                <w:lang w:val="en-US" w:eastAsia="zh-CN"/>
              </w:rPr>
              <w:t>6</w:t>
            </w:r>
            <w:r>
              <w:rPr>
                <w:rFonts w:hint="eastAsia"/>
                <w:color w:val="auto"/>
              </w:rPr>
              <w:t>L</w:t>
            </w:r>
          </w:p>
        </w:tc>
        <w:tc>
          <w:tcPr>
            <w:tcW w:w="675" w:type="pct"/>
            <w:shd w:val="clear" w:color="auto" w:fill="auto"/>
            <w:vAlign w:val="center"/>
          </w:tcPr>
          <w:p w14:paraId="00ABCC59">
            <w:pPr>
              <w:pStyle w:val="3280"/>
              <w:rPr>
                <w:color w:val="auto"/>
              </w:rPr>
            </w:pPr>
            <w:r>
              <w:rPr>
                <w:rFonts w:hint="eastAsia"/>
                <w:color w:val="auto"/>
              </w:rPr>
              <w:t>2256</w:t>
            </w:r>
          </w:p>
        </w:tc>
        <w:tc>
          <w:tcPr>
            <w:tcW w:w="591" w:type="pct"/>
            <w:shd w:val="clear" w:color="auto" w:fill="auto"/>
            <w:vAlign w:val="center"/>
          </w:tcPr>
          <w:p w14:paraId="615B9FCB">
            <w:pPr>
              <w:pStyle w:val="3280"/>
              <w:rPr>
                <w:color w:val="auto"/>
              </w:rPr>
            </w:pPr>
            <w:r>
              <w:rPr>
                <w:rFonts w:hint="eastAsia"/>
                <w:color w:val="auto"/>
              </w:rPr>
              <w:t>＜1</w:t>
            </w:r>
          </w:p>
        </w:tc>
      </w:tr>
      <w:tr w14:paraId="6E31F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shd w:val="clear" w:color="auto" w:fill="auto"/>
            <w:vAlign w:val="center"/>
          </w:tcPr>
          <w:p w14:paraId="47AFAC96">
            <w:pPr>
              <w:pStyle w:val="3280"/>
              <w:rPr>
                <w:color w:val="auto"/>
              </w:rPr>
            </w:pPr>
            <w:r>
              <w:rPr>
                <w:rFonts w:hint="eastAsia"/>
                <w:color w:val="auto"/>
              </w:rPr>
              <w:t>45</w:t>
            </w:r>
          </w:p>
        </w:tc>
        <w:tc>
          <w:tcPr>
            <w:tcW w:w="1109" w:type="pct"/>
            <w:shd w:val="clear" w:color="auto" w:fill="auto"/>
            <w:vAlign w:val="center"/>
          </w:tcPr>
          <w:p w14:paraId="7A85B7EA">
            <w:pPr>
              <w:pStyle w:val="3280"/>
              <w:rPr>
                <w:color w:val="auto"/>
              </w:rPr>
            </w:pPr>
            <w:r>
              <w:rPr>
                <w:rFonts w:hint="eastAsia"/>
                <w:color w:val="auto"/>
              </w:rPr>
              <w:t>苯胺</w:t>
            </w:r>
          </w:p>
        </w:tc>
        <w:tc>
          <w:tcPr>
            <w:tcW w:w="729" w:type="pct"/>
            <w:shd w:val="clear" w:color="auto" w:fill="auto"/>
            <w:vAlign w:val="center"/>
          </w:tcPr>
          <w:p w14:paraId="3DA5F07E">
            <w:pPr>
              <w:pStyle w:val="3280"/>
              <w:rPr>
                <w:color w:val="auto"/>
              </w:rPr>
            </w:pPr>
            <w:r>
              <w:rPr>
                <w:rFonts w:hint="eastAsia"/>
                <w:color w:val="auto"/>
              </w:rPr>
              <w:t>0.0</w:t>
            </w:r>
            <w:r>
              <w:rPr>
                <w:rFonts w:hint="eastAsia"/>
                <w:color w:val="auto"/>
                <w:lang w:val="en-US" w:eastAsia="zh-CN"/>
              </w:rPr>
              <w:t>18</w:t>
            </w:r>
            <w:r>
              <w:rPr>
                <w:rFonts w:hint="eastAsia"/>
                <w:color w:val="auto"/>
              </w:rPr>
              <w:t>L</w:t>
            </w:r>
          </w:p>
        </w:tc>
        <w:tc>
          <w:tcPr>
            <w:tcW w:w="648" w:type="pct"/>
            <w:shd w:val="clear" w:color="auto" w:fill="auto"/>
            <w:vAlign w:val="center"/>
          </w:tcPr>
          <w:p w14:paraId="4327F516">
            <w:pPr>
              <w:pStyle w:val="3280"/>
              <w:ind w:firstLine="0" w:firstLineChars="0"/>
              <w:rPr>
                <w:rFonts w:ascii="Times New Roman" w:hAnsi="Times New Roman" w:eastAsia="宋体" w:cs="Times New Roman"/>
                <w:color w:val="auto"/>
                <w:kern w:val="2"/>
                <w:sz w:val="21"/>
                <w:lang w:val="en-US" w:eastAsia="zh-CN" w:bidi="ar-SA"/>
              </w:rPr>
            </w:pPr>
            <w:r>
              <w:rPr>
                <w:rFonts w:hint="eastAsia"/>
                <w:color w:val="auto"/>
              </w:rPr>
              <w:t>0.0</w:t>
            </w:r>
            <w:r>
              <w:rPr>
                <w:rFonts w:hint="eastAsia"/>
                <w:color w:val="auto"/>
                <w:lang w:val="en-US" w:eastAsia="zh-CN"/>
              </w:rPr>
              <w:t>18</w:t>
            </w:r>
            <w:r>
              <w:rPr>
                <w:rFonts w:hint="eastAsia"/>
                <w:color w:val="auto"/>
              </w:rPr>
              <w:t>L</w:t>
            </w:r>
          </w:p>
        </w:tc>
        <w:tc>
          <w:tcPr>
            <w:tcW w:w="813" w:type="pct"/>
            <w:shd w:val="clear" w:color="auto" w:fill="auto"/>
            <w:vAlign w:val="center"/>
          </w:tcPr>
          <w:p w14:paraId="209F0405">
            <w:pPr>
              <w:pStyle w:val="3280"/>
              <w:ind w:firstLine="0" w:firstLineChars="0"/>
              <w:rPr>
                <w:rFonts w:ascii="Times New Roman" w:hAnsi="Times New Roman" w:eastAsia="宋体" w:cs="Times New Roman"/>
                <w:color w:val="auto"/>
                <w:kern w:val="2"/>
                <w:sz w:val="21"/>
                <w:lang w:val="en-US" w:eastAsia="zh-CN" w:bidi="ar-SA"/>
              </w:rPr>
            </w:pPr>
            <w:r>
              <w:rPr>
                <w:rFonts w:hint="eastAsia"/>
                <w:color w:val="auto"/>
              </w:rPr>
              <w:t>0.0</w:t>
            </w:r>
            <w:r>
              <w:rPr>
                <w:rFonts w:hint="eastAsia"/>
                <w:color w:val="auto"/>
                <w:lang w:val="en-US" w:eastAsia="zh-CN"/>
              </w:rPr>
              <w:t>18</w:t>
            </w:r>
            <w:r>
              <w:rPr>
                <w:rFonts w:hint="eastAsia"/>
                <w:color w:val="auto"/>
              </w:rPr>
              <w:t>L</w:t>
            </w:r>
          </w:p>
        </w:tc>
        <w:tc>
          <w:tcPr>
            <w:tcW w:w="675" w:type="pct"/>
            <w:shd w:val="clear" w:color="auto" w:fill="auto"/>
            <w:vAlign w:val="center"/>
          </w:tcPr>
          <w:p w14:paraId="3ABDDBF6">
            <w:pPr>
              <w:pStyle w:val="3280"/>
              <w:rPr>
                <w:color w:val="auto"/>
              </w:rPr>
            </w:pPr>
            <w:r>
              <w:rPr>
                <w:rFonts w:hint="eastAsia"/>
                <w:color w:val="auto"/>
              </w:rPr>
              <w:t>260</w:t>
            </w:r>
          </w:p>
        </w:tc>
        <w:tc>
          <w:tcPr>
            <w:tcW w:w="591" w:type="pct"/>
            <w:shd w:val="clear" w:color="auto" w:fill="auto"/>
            <w:vAlign w:val="center"/>
          </w:tcPr>
          <w:p w14:paraId="6EE04EB0">
            <w:pPr>
              <w:pStyle w:val="3280"/>
              <w:rPr>
                <w:color w:val="auto"/>
              </w:rPr>
            </w:pPr>
            <w:r>
              <w:rPr>
                <w:rFonts w:hint="eastAsia"/>
                <w:color w:val="auto"/>
              </w:rPr>
              <w:t>＜1</w:t>
            </w:r>
          </w:p>
        </w:tc>
      </w:tr>
      <w:tr w14:paraId="633BB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7"/>
            <w:shd w:val="clear" w:color="auto" w:fill="auto"/>
            <w:vAlign w:val="center"/>
          </w:tcPr>
          <w:p w14:paraId="3BC8E657">
            <w:pPr>
              <w:pStyle w:val="3280"/>
              <w:rPr>
                <w:color w:val="auto"/>
              </w:rPr>
            </w:pPr>
            <w:r>
              <w:rPr>
                <w:rFonts w:hint="eastAsia"/>
                <w:color w:val="auto"/>
              </w:rPr>
              <w:t>其他</w:t>
            </w:r>
          </w:p>
        </w:tc>
      </w:tr>
      <w:tr w14:paraId="4F58F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shd w:val="clear" w:color="auto" w:fill="auto"/>
            <w:vAlign w:val="center"/>
          </w:tcPr>
          <w:p w14:paraId="7CB653B2">
            <w:pPr>
              <w:pStyle w:val="3280"/>
              <w:rPr>
                <w:color w:val="auto"/>
              </w:rPr>
            </w:pPr>
            <w:r>
              <w:rPr>
                <w:rFonts w:hint="eastAsia"/>
                <w:color w:val="auto"/>
              </w:rPr>
              <w:t>46</w:t>
            </w:r>
          </w:p>
        </w:tc>
        <w:tc>
          <w:tcPr>
            <w:tcW w:w="1109" w:type="pct"/>
            <w:shd w:val="clear" w:color="auto" w:fill="auto"/>
            <w:vAlign w:val="center"/>
          </w:tcPr>
          <w:p w14:paraId="47F9B8B0">
            <w:pPr>
              <w:pStyle w:val="3280"/>
              <w:rPr>
                <w:color w:val="auto"/>
              </w:rPr>
            </w:pPr>
            <w:r>
              <w:rPr>
                <w:rFonts w:hint="eastAsia"/>
                <w:color w:val="auto"/>
              </w:rPr>
              <w:t>pH</w:t>
            </w:r>
          </w:p>
        </w:tc>
        <w:tc>
          <w:tcPr>
            <w:tcW w:w="729" w:type="pct"/>
            <w:shd w:val="clear" w:color="auto" w:fill="auto"/>
          </w:tcPr>
          <w:p w14:paraId="76D98AEA">
            <w:pPr>
              <w:pStyle w:val="3280"/>
              <w:rPr>
                <w:rFonts w:hint="default" w:eastAsia="宋体"/>
                <w:color w:val="auto"/>
                <w:lang w:val="en-US" w:eastAsia="zh-CN"/>
              </w:rPr>
            </w:pPr>
            <w:r>
              <w:rPr>
                <w:rFonts w:hint="eastAsia"/>
                <w:color w:val="auto"/>
                <w:lang w:val="en-US" w:eastAsia="zh-CN"/>
              </w:rPr>
              <w:t>7.68</w:t>
            </w:r>
          </w:p>
        </w:tc>
        <w:tc>
          <w:tcPr>
            <w:tcW w:w="648" w:type="pct"/>
            <w:shd w:val="clear" w:color="auto" w:fill="auto"/>
          </w:tcPr>
          <w:p w14:paraId="3E5B7367">
            <w:pPr>
              <w:pStyle w:val="3280"/>
              <w:rPr>
                <w:rFonts w:hint="default" w:eastAsia="宋体"/>
                <w:color w:val="auto"/>
                <w:lang w:val="en-US" w:eastAsia="zh-CN"/>
              </w:rPr>
            </w:pPr>
            <w:r>
              <w:rPr>
                <w:rFonts w:hint="eastAsia"/>
                <w:color w:val="auto"/>
                <w:lang w:val="en-US" w:eastAsia="zh-CN"/>
              </w:rPr>
              <w:t>7.52</w:t>
            </w:r>
          </w:p>
        </w:tc>
        <w:tc>
          <w:tcPr>
            <w:tcW w:w="813" w:type="pct"/>
            <w:shd w:val="clear" w:color="auto" w:fill="auto"/>
          </w:tcPr>
          <w:p w14:paraId="0C6D2334">
            <w:pPr>
              <w:pStyle w:val="3280"/>
              <w:rPr>
                <w:rFonts w:hint="default" w:eastAsia="宋体"/>
                <w:color w:val="auto"/>
                <w:lang w:val="en-US" w:eastAsia="zh-CN"/>
              </w:rPr>
            </w:pPr>
            <w:r>
              <w:rPr>
                <w:rFonts w:hint="eastAsia"/>
                <w:color w:val="auto"/>
                <w:lang w:val="en-US" w:eastAsia="zh-CN"/>
              </w:rPr>
              <w:t>7.62</w:t>
            </w:r>
          </w:p>
        </w:tc>
        <w:tc>
          <w:tcPr>
            <w:tcW w:w="675" w:type="pct"/>
            <w:shd w:val="clear" w:color="auto" w:fill="auto"/>
            <w:vAlign w:val="center"/>
          </w:tcPr>
          <w:p w14:paraId="603D7200">
            <w:pPr>
              <w:pStyle w:val="3280"/>
              <w:rPr>
                <w:color w:val="auto"/>
              </w:rPr>
            </w:pPr>
            <w:r>
              <w:rPr>
                <w:rFonts w:hint="eastAsia"/>
                <w:color w:val="auto"/>
              </w:rPr>
              <w:t>/</w:t>
            </w:r>
          </w:p>
        </w:tc>
        <w:tc>
          <w:tcPr>
            <w:tcW w:w="591" w:type="pct"/>
            <w:shd w:val="clear" w:color="auto" w:fill="auto"/>
            <w:vAlign w:val="center"/>
          </w:tcPr>
          <w:p w14:paraId="2980B85B">
            <w:pPr>
              <w:pStyle w:val="3280"/>
              <w:rPr>
                <w:color w:val="auto"/>
              </w:rPr>
            </w:pPr>
            <w:r>
              <w:rPr>
                <w:rFonts w:hint="eastAsia"/>
                <w:color w:val="auto"/>
              </w:rPr>
              <w:t>/</w:t>
            </w:r>
          </w:p>
        </w:tc>
      </w:tr>
      <w:tr w14:paraId="6C5CD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shd w:val="clear" w:color="auto" w:fill="auto"/>
            <w:vAlign w:val="center"/>
          </w:tcPr>
          <w:p w14:paraId="683791FC">
            <w:pPr>
              <w:pStyle w:val="3280"/>
              <w:rPr>
                <w:color w:val="auto"/>
              </w:rPr>
            </w:pPr>
            <w:r>
              <w:rPr>
                <w:rFonts w:hint="eastAsia"/>
                <w:color w:val="auto"/>
              </w:rPr>
              <w:t>47</w:t>
            </w:r>
          </w:p>
        </w:tc>
        <w:tc>
          <w:tcPr>
            <w:tcW w:w="1109" w:type="pct"/>
            <w:shd w:val="clear" w:color="auto" w:fill="auto"/>
            <w:vAlign w:val="center"/>
          </w:tcPr>
          <w:p w14:paraId="4CF46F07">
            <w:pPr>
              <w:pStyle w:val="3280"/>
              <w:rPr>
                <w:color w:val="auto"/>
              </w:rPr>
            </w:pPr>
            <w:r>
              <w:rPr>
                <w:rFonts w:hint="eastAsia"/>
                <w:color w:val="auto"/>
              </w:rPr>
              <w:t>石油烃</w:t>
            </w:r>
          </w:p>
          <w:p w14:paraId="787876C9">
            <w:pPr>
              <w:pStyle w:val="3280"/>
              <w:rPr>
                <w:color w:val="auto"/>
              </w:rPr>
            </w:pPr>
            <w:r>
              <w:rPr>
                <w:rFonts w:hint="eastAsia"/>
                <w:color w:val="auto"/>
                <w:lang w:eastAsia="zh-CN"/>
              </w:rPr>
              <w:t>(</w:t>
            </w:r>
            <w:r>
              <w:rPr>
                <w:rFonts w:hint="eastAsia"/>
                <w:color w:val="auto"/>
              </w:rPr>
              <w:t>C10-C40</w:t>
            </w:r>
            <w:r>
              <w:rPr>
                <w:rFonts w:hint="eastAsia"/>
                <w:color w:val="auto"/>
                <w:lang w:eastAsia="zh-CN"/>
              </w:rPr>
              <w:t>)</w:t>
            </w:r>
          </w:p>
        </w:tc>
        <w:tc>
          <w:tcPr>
            <w:tcW w:w="729" w:type="pct"/>
            <w:shd w:val="clear" w:color="auto" w:fill="auto"/>
            <w:vAlign w:val="center"/>
          </w:tcPr>
          <w:p w14:paraId="0BF06BE3">
            <w:pPr>
              <w:pStyle w:val="3280"/>
              <w:rPr>
                <w:rFonts w:hint="default" w:eastAsia="宋体"/>
                <w:color w:val="auto"/>
                <w:lang w:val="en-US" w:eastAsia="zh-CN"/>
              </w:rPr>
            </w:pPr>
            <w:r>
              <w:rPr>
                <w:rFonts w:hint="eastAsia"/>
                <w:color w:val="auto"/>
                <w:lang w:val="en-US" w:eastAsia="zh-CN"/>
              </w:rPr>
              <w:t>184</w:t>
            </w:r>
          </w:p>
        </w:tc>
        <w:tc>
          <w:tcPr>
            <w:tcW w:w="648" w:type="pct"/>
            <w:shd w:val="clear" w:color="auto" w:fill="auto"/>
            <w:vAlign w:val="center"/>
          </w:tcPr>
          <w:p w14:paraId="53968A79">
            <w:pPr>
              <w:pStyle w:val="3280"/>
              <w:rPr>
                <w:rFonts w:hint="default" w:eastAsia="宋体"/>
                <w:color w:val="auto"/>
                <w:lang w:val="en-US" w:eastAsia="zh-CN"/>
              </w:rPr>
            </w:pPr>
            <w:r>
              <w:rPr>
                <w:rFonts w:hint="eastAsia"/>
                <w:color w:val="auto"/>
                <w:lang w:val="en-US" w:eastAsia="zh-CN"/>
              </w:rPr>
              <w:t>191</w:t>
            </w:r>
          </w:p>
        </w:tc>
        <w:tc>
          <w:tcPr>
            <w:tcW w:w="813" w:type="pct"/>
            <w:shd w:val="clear" w:color="auto" w:fill="auto"/>
            <w:vAlign w:val="center"/>
          </w:tcPr>
          <w:p w14:paraId="34E4CB2C">
            <w:pPr>
              <w:pStyle w:val="3280"/>
              <w:rPr>
                <w:rFonts w:hint="default" w:eastAsia="宋体"/>
                <w:color w:val="auto"/>
                <w:lang w:val="en-US" w:eastAsia="zh-CN"/>
              </w:rPr>
            </w:pPr>
            <w:r>
              <w:rPr>
                <w:rFonts w:hint="eastAsia"/>
                <w:color w:val="auto"/>
                <w:lang w:val="en-US" w:eastAsia="zh-CN"/>
              </w:rPr>
              <w:t>139</w:t>
            </w:r>
          </w:p>
        </w:tc>
        <w:tc>
          <w:tcPr>
            <w:tcW w:w="675" w:type="pct"/>
            <w:shd w:val="clear" w:color="auto" w:fill="auto"/>
            <w:vAlign w:val="center"/>
          </w:tcPr>
          <w:p w14:paraId="3BB07FD5">
            <w:pPr>
              <w:pStyle w:val="3280"/>
              <w:rPr>
                <w:color w:val="auto"/>
              </w:rPr>
            </w:pPr>
            <w:r>
              <w:rPr>
                <w:rFonts w:hint="eastAsia"/>
                <w:color w:val="auto"/>
              </w:rPr>
              <w:t>4500</w:t>
            </w:r>
          </w:p>
        </w:tc>
        <w:tc>
          <w:tcPr>
            <w:tcW w:w="591" w:type="pct"/>
            <w:shd w:val="clear" w:color="auto" w:fill="auto"/>
            <w:vAlign w:val="center"/>
          </w:tcPr>
          <w:p w14:paraId="189EDBEB">
            <w:pPr>
              <w:pStyle w:val="3280"/>
              <w:rPr>
                <w:color w:val="auto"/>
              </w:rPr>
            </w:pPr>
            <w:r>
              <w:rPr>
                <w:rFonts w:hint="eastAsia"/>
                <w:color w:val="auto"/>
              </w:rPr>
              <w:t>＜1</w:t>
            </w:r>
          </w:p>
        </w:tc>
      </w:tr>
      <w:tr w14:paraId="57070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shd w:val="clear" w:color="auto" w:fill="auto"/>
            <w:vAlign w:val="center"/>
          </w:tcPr>
          <w:p w14:paraId="568D72EF">
            <w:pPr>
              <w:pStyle w:val="3280"/>
              <w:rPr>
                <w:color w:val="auto"/>
              </w:rPr>
            </w:pPr>
            <w:r>
              <w:rPr>
                <w:rFonts w:hint="eastAsia"/>
                <w:color w:val="auto"/>
              </w:rPr>
              <w:t>48</w:t>
            </w:r>
          </w:p>
        </w:tc>
        <w:tc>
          <w:tcPr>
            <w:tcW w:w="1109" w:type="pct"/>
            <w:shd w:val="clear" w:color="auto" w:fill="auto"/>
            <w:vAlign w:val="center"/>
          </w:tcPr>
          <w:p w14:paraId="29F3F64F">
            <w:pPr>
              <w:pStyle w:val="3280"/>
              <w:rPr>
                <w:color w:val="auto"/>
              </w:rPr>
            </w:pPr>
            <w:r>
              <w:rPr>
                <w:rFonts w:hint="eastAsia"/>
                <w:color w:val="auto"/>
              </w:rPr>
              <w:t>钡</w:t>
            </w:r>
          </w:p>
        </w:tc>
        <w:tc>
          <w:tcPr>
            <w:tcW w:w="729" w:type="pct"/>
            <w:shd w:val="clear" w:color="auto" w:fill="auto"/>
            <w:vAlign w:val="center"/>
          </w:tcPr>
          <w:p w14:paraId="52AB16E0">
            <w:pPr>
              <w:pStyle w:val="3280"/>
              <w:rPr>
                <w:rFonts w:hint="default" w:eastAsia="宋体"/>
                <w:color w:val="auto"/>
                <w:lang w:val="en-US" w:eastAsia="zh-CN"/>
              </w:rPr>
            </w:pPr>
            <w:r>
              <w:rPr>
                <w:rFonts w:hint="eastAsia"/>
                <w:color w:val="auto"/>
                <w:lang w:val="en-US" w:eastAsia="zh-CN"/>
              </w:rPr>
              <w:t>432</w:t>
            </w:r>
          </w:p>
        </w:tc>
        <w:tc>
          <w:tcPr>
            <w:tcW w:w="648" w:type="pct"/>
            <w:shd w:val="clear" w:color="auto" w:fill="auto"/>
            <w:vAlign w:val="center"/>
          </w:tcPr>
          <w:p w14:paraId="24BB286D">
            <w:pPr>
              <w:pStyle w:val="3280"/>
              <w:rPr>
                <w:rFonts w:hint="default" w:eastAsia="宋体"/>
                <w:color w:val="auto"/>
                <w:lang w:val="en-US" w:eastAsia="zh-CN"/>
              </w:rPr>
            </w:pPr>
            <w:r>
              <w:rPr>
                <w:rFonts w:hint="eastAsia"/>
                <w:color w:val="auto"/>
                <w:lang w:val="en-US" w:eastAsia="zh-CN"/>
              </w:rPr>
              <w:t>383</w:t>
            </w:r>
          </w:p>
        </w:tc>
        <w:tc>
          <w:tcPr>
            <w:tcW w:w="813" w:type="pct"/>
            <w:shd w:val="clear" w:color="auto" w:fill="auto"/>
            <w:vAlign w:val="center"/>
          </w:tcPr>
          <w:p w14:paraId="50348D83">
            <w:pPr>
              <w:pStyle w:val="3280"/>
              <w:rPr>
                <w:rFonts w:hint="default" w:eastAsia="宋体"/>
                <w:color w:val="auto"/>
                <w:lang w:val="en-US" w:eastAsia="zh-CN"/>
              </w:rPr>
            </w:pPr>
            <w:r>
              <w:rPr>
                <w:rFonts w:hint="eastAsia"/>
                <w:color w:val="auto"/>
                <w:lang w:val="en-US" w:eastAsia="zh-CN"/>
              </w:rPr>
              <w:t>460</w:t>
            </w:r>
          </w:p>
        </w:tc>
        <w:tc>
          <w:tcPr>
            <w:tcW w:w="675" w:type="pct"/>
            <w:shd w:val="clear" w:color="auto" w:fill="auto"/>
            <w:vAlign w:val="center"/>
          </w:tcPr>
          <w:p w14:paraId="7BB62B33">
            <w:pPr>
              <w:pStyle w:val="3280"/>
              <w:rPr>
                <w:color w:val="auto"/>
              </w:rPr>
            </w:pPr>
            <w:r>
              <w:rPr>
                <w:rFonts w:hint="eastAsia"/>
                <w:color w:val="auto"/>
              </w:rPr>
              <w:t>/</w:t>
            </w:r>
          </w:p>
        </w:tc>
        <w:tc>
          <w:tcPr>
            <w:tcW w:w="591" w:type="pct"/>
            <w:shd w:val="clear" w:color="auto" w:fill="auto"/>
            <w:vAlign w:val="center"/>
          </w:tcPr>
          <w:p w14:paraId="13DD6F9F">
            <w:pPr>
              <w:pStyle w:val="3280"/>
              <w:rPr>
                <w:color w:val="auto"/>
              </w:rPr>
            </w:pPr>
            <w:r>
              <w:rPr>
                <w:rFonts w:hint="eastAsia"/>
                <w:color w:val="auto"/>
              </w:rPr>
              <w:t>/</w:t>
            </w:r>
          </w:p>
        </w:tc>
      </w:tr>
      <w:tr w14:paraId="66D43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shd w:val="clear" w:color="auto" w:fill="auto"/>
            <w:vAlign w:val="center"/>
          </w:tcPr>
          <w:p w14:paraId="6B37EA1B">
            <w:pPr>
              <w:pStyle w:val="3280"/>
              <w:rPr>
                <w:color w:val="auto"/>
              </w:rPr>
            </w:pPr>
            <w:r>
              <w:rPr>
                <w:rFonts w:hint="eastAsia"/>
                <w:color w:val="auto"/>
              </w:rPr>
              <w:t>49</w:t>
            </w:r>
          </w:p>
        </w:tc>
        <w:tc>
          <w:tcPr>
            <w:tcW w:w="1109" w:type="pct"/>
            <w:shd w:val="clear" w:color="auto" w:fill="auto"/>
            <w:vAlign w:val="center"/>
          </w:tcPr>
          <w:p w14:paraId="23B53DBB">
            <w:pPr>
              <w:pStyle w:val="3280"/>
              <w:rPr>
                <w:color w:val="auto"/>
              </w:rPr>
            </w:pPr>
            <w:r>
              <w:rPr>
                <w:rFonts w:hint="eastAsia"/>
                <w:color w:val="auto"/>
              </w:rPr>
              <w:t>硼</w:t>
            </w:r>
          </w:p>
        </w:tc>
        <w:tc>
          <w:tcPr>
            <w:tcW w:w="729" w:type="pct"/>
            <w:shd w:val="clear" w:color="auto" w:fill="auto"/>
            <w:vAlign w:val="center"/>
          </w:tcPr>
          <w:p w14:paraId="73993081">
            <w:pPr>
              <w:pStyle w:val="3280"/>
              <w:rPr>
                <w:rFonts w:hint="default" w:eastAsia="宋体"/>
                <w:color w:val="auto"/>
                <w:lang w:val="en-US" w:eastAsia="zh-CN"/>
              </w:rPr>
            </w:pPr>
            <w:r>
              <w:rPr>
                <w:rFonts w:hint="eastAsia"/>
                <w:color w:val="auto"/>
                <w:lang w:val="en-US" w:eastAsia="zh-CN"/>
              </w:rPr>
              <w:t>0.23</w:t>
            </w:r>
          </w:p>
        </w:tc>
        <w:tc>
          <w:tcPr>
            <w:tcW w:w="648" w:type="pct"/>
            <w:shd w:val="clear" w:color="auto" w:fill="auto"/>
            <w:vAlign w:val="center"/>
          </w:tcPr>
          <w:p w14:paraId="0C9D4920">
            <w:pPr>
              <w:pStyle w:val="3280"/>
              <w:rPr>
                <w:rFonts w:hint="default" w:eastAsia="宋体"/>
                <w:color w:val="auto"/>
                <w:lang w:val="en-US" w:eastAsia="zh-CN"/>
              </w:rPr>
            </w:pPr>
            <w:r>
              <w:rPr>
                <w:rFonts w:hint="eastAsia"/>
                <w:color w:val="auto"/>
                <w:lang w:val="en-US" w:eastAsia="zh-CN"/>
              </w:rPr>
              <w:t>0.29</w:t>
            </w:r>
          </w:p>
        </w:tc>
        <w:tc>
          <w:tcPr>
            <w:tcW w:w="813" w:type="pct"/>
            <w:shd w:val="clear" w:color="auto" w:fill="auto"/>
            <w:vAlign w:val="center"/>
          </w:tcPr>
          <w:p w14:paraId="127DCA63">
            <w:pPr>
              <w:pStyle w:val="3280"/>
              <w:rPr>
                <w:rFonts w:hint="default" w:eastAsia="宋体"/>
                <w:color w:val="auto"/>
                <w:lang w:val="en-US" w:eastAsia="zh-CN"/>
              </w:rPr>
            </w:pPr>
            <w:r>
              <w:rPr>
                <w:rFonts w:hint="eastAsia"/>
                <w:color w:val="auto"/>
                <w:lang w:val="en-US" w:eastAsia="zh-CN"/>
              </w:rPr>
              <w:t>0.22</w:t>
            </w:r>
          </w:p>
        </w:tc>
        <w:tc>
          <w:tcPr>
            <w:tcW w:w="675" w:type="pct"/>
            <w:shd w:val="clear" w:color="auto" w:fill="auto"/>
            <w:vAlign w:val="center"/>
          </w:tcPr>
          <w:p w14:paraId="27F206A8">
            <w:pPr>
              <w:pStyle w:val="3280"/>
              <w:rPr>
                <w:color w:val="auto"/>
              </w:rPr>
            </w:pPr>
            <w:r>
              <w:rPr>
                <w:rFonts w:hint="eastAsia"/>
                <w:color w:val="auto"/>
              </w:rPr>
              <w:t>/</w:t>
            </w:r>
          </w:p>
        </w:tc>
        <w:tc>
          <w:tcPr>
            <w:tcW w:w="591" w:type="pct"/>
            <w:shd w:val="clear" w:color="auto" w:fill="auto"/>
            <w:vAlign w:val="center"/>
          </w:tcPr>
          <w:p w14:paraId="1BBE0AD3">
            <w:pPr>
              <w:pStyle w:val="3280"/>
              <w:rPr>
                <w:color w:val="auto"/>
              </w:rPr>
            </w:pPr>
            <w:r>
              <w:rPr>
                <w:rFonts w:hint="eastAsia"/>
                <w:color w:val="auto"/>
              </w:rPr>
              <w:t>/</w:t>
            </w:r>
          </w:p>
        </w:tc>
      </w:tr>
      <w:tr w14:paraId="08BE2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7"/>
            <w:shd w:val="clear" w:color="auto" w:fill="auto"/>
            <w:vAlign w:val="center"/>
          </w:tcPr>
          <w:p w14:paraId="09465DE7">
            <w:pPr>
              <w:pStyle w:val="3280"/>
              <w:jc w:val="left"/>
              <w:rPr>
                <w:color w:val="auto"/>
              </w:rPr>
            </w:pPr>
            <w:r>
              <w:rPr>
                <w:rFonts w:hint="eastAsia"/>
                <w:color w:val="auto"/>
              </w:rPr>
              <w:t>注：1.T1、T2、T3土壤监测点采表层样；2.L表示未检出。</w:t>
            </w:r>
          </w:p>
        </w:tc>
      </w:tr>
    </w:tbl>
    <w:p w14:paraId="44AA2A02">
      <w:pPr>
        <w:spacing w:line="360" w:lineRule="auto"/>
        <w:ind w:firstLine="480"/>
        <w:rPr>
          <w:color w:val="auto"/>
        </w:rPr>
      </w:pPr>
    </w:p>
    <w:p w14:paraId="43A809F4">
      <w:pPr>
        <w:spacing w:line="360" w:lineRule="auto"/>
        <w:ind w:firstLine="480"/>
        <w:rPr>
          <w:color w:val="auto"/>
        </w:rPr>
        <w:sectPr>
          <w:pgSz w:w="16838" w:h="11906" w:orient="landscape"/>
          <w:pgMar w:top="1418" w:right="1418" w:bottom="1418" w:left="1418" w:header="794" w:footer="851" w:gutter="0"/>
          <w:pgBorders>
            <w:top w:val="none" w:sz="0" w:space="0"/>
            <w:left w:val="none" w:sz="0" w:space="0"/>
            <w:bottom w:val="none" w:sz="0" w:space="0"/>
            <w:right w:val="none" w:sz="0" w:space="0"/>
          </w:pgBorders>
          <w:cols w:space="425" w:num="1"/>
          <w:docGrid w:linePitch="326" w:charSpace="0"/>
        </w:sectPr>
      </w:pPr>
    </w:p>
    <w:p w14:paraId="4C65BD76">
      <w:pPr>
        <w:spacing w:line="360" w:lineRule="auto"/>
        <w:ind w:firstLine="480"/>
        <w:rPr>
          <w:color w:val="auto"/>
        </w:rPr>
      </w:pPr>
      <w:r>
        <w:rPr>
          <w:rFonts w:hint="eastAsia"/>
          <w:color w:val="auto"/>
        </w:rPr>
        <w:t>由上表可知，项目地块内各</w:t>
      </w:r>
      <w:r>
        <w:rPr>
          <w:color w:val="auto"/>
        </w:rPr>
        <w:t>土壤环境质量现状监测点的各监测因子浓度均低于</w:t>
      </w:r>
      <w:r>
        <w:rPr>
          <w:rFonts w:hint="eastAsia"/>
          <w:color w:val="auto"/>
        </w:rPr>
        <w:t>《土壤环境质量建设用地土壤污染风险管控标准（试行）》（GB36600-2018）第二类用地筛选值。</w:t>
      </w:r>
    </w:p>
    <w:p w14:paraId="69CA74A9">
      <w:pPr>
        <w:pStyle w:val="5"/>
        <w:numPr>
          <w:ilvl w:val="0"/>
          <w:numId w:val="0"/>
        </w:numPr>
        <w:spacing w:line="360" w:lineRule="auto"/>
        <w:jc w:val="left"/>
        <w:rPr>
          <w:color w:val="auto"/>
        </w:rPr>
      </w:pPr>
      <w:r>
        <w:rPr>
          <w:rFonts w:hint="eastAsia"/>
          <w:color w:val="auto"/>
        </w:rPr>
        <w:t>4</w:t>
      </w:r>
      <w:r>
        <w:rPr>
          <w:color w:val="auto"/>
        </w:rPr>
        <w:t>.2.</w:t>
      </w:r>
      <w:r>
        <w:rPr>
          <w:rFonts w:hint="eastAsia"/>
          <w:color w:val="auto"/>
          <w:lang w:val="en-US" w:eastAsia="zh-CN"/>
        </w:rPr>
        <w:t>6</w:t>
      </w:r>
      <w:r>
        <w:rPr>
          <w:rFonts w:hint="eastAsia"/>
          <w:color w:val="auto"/>
        </w:rPr>
        <w:t>小结</w:t>
      </w:r>
    </w:p>
    <w:p w14:paraId="30E66B57">
      <w:pPr>
        <w:spacing w:line="360" w:lineRule="auto"/>
        <w:ind w:firstLine="480"/>
        <w:rPr>
          <w:color w:val="auto"/>
          <w:lang w:val="zh-CN"/>
        </w:rPr>
      </w:pPr>
      <w:r>
        <w:rPr>
          <w:rFonts w:hint="eastAsia"/>
          <w:color w:val="auto"/>
          <w:lang w:val="zh-CN"/>
        </w:rPr>
        <w:t>监测</w:t>
      </w:r>
      <w:r>
        <w:rPr>
          <w:color w:val="auto"/>
          <w:lang w:val="zh-CN"/>
        </w:rPr>
        <w:t>结果表明</w:t>
      </w:r>
      <w:r>
        <w:rPr>
          <w:rFonts w:hint="eastAsia"/>
          <w:color w:val="auto"/>
          <w:lang w:val="zh-CN"/>
        </w:rPr>
        <w:t>，</w:t>
      </w:r>
      <w:r>
        <w:rPr>
          <w:color w:val="auto"/>
          <w:lang w:val="zh-CN"/>
        </w:rPr>
        <w:t>项目所在区域环境空气</w:t>
      </w:r>
      <w:r>
        <w:rPr>
          <w:rFonts w:hint="eastAsia"/>
          <w:color w:val="auto"/>
          <w:lang w:val="zh-CN"/>
        </w:rPr>
        <w:t>、</w:t>
      </w:r>
      <w:r>
        <w:rPr>
          <w:color w:val="auto"/>
          <w:lang w:val="zh-CN"/>
        </w:rPr>
        <w:t>地表水</w:t>
      </w:r>
      <w:r>
        <w:rPr>
          <w:rFonts w:hint="eastAsia"/>
          <w:color w:val="auto"/>
          <w:lang w:val="zh-CN"/>
        </w:rPr>
        <w:t>、</w:t>
      </w:r>
      <w:r>
        <w:rPr>
          <w:color w:val="auto"/>
          <w:lang w:val="zh-CN"/>
        </w:rPr>
        <w:t>地下水</w:t>
      </w:r>
      <w:r>
        <w:rPr>
          <w:rFonts w:hint="eastAsia"/>
          <w:color w:val="auto"/>
          <w:lang w:val="zh-CN"/>
        </w:rPr>
        <w:t>、</w:t>
      </w:r>
      <w:r>
        <w:rPr>
          <w:color w:val="auto"/>
          <w:lang w:val="zh-CN"/>
        </w:rPr>
        <w:t>土壤及声环境质量现状良好</w:t>
      </w:r>
      <w:r>
        <w:rPr>
          <w:rFonts w:hint="eastAsia"/>
          <w:color w:val="auto"/>
          <w:lang w:val="zh-CN"/>
        </w:rPr>
        <w:t>，具</w:t>
      </w:r>
      <w:r>
        <w:rPr>
          <w:color w:val="auto"/>
          <w:lang w:val="zh-CN"/>
        </w:rPr>
        <w:t>有一定环境容量</w:t>
      </w:r>
      <w:r>
        <w:rPr>
          <w:rFonts w:hint="eastAsia"/>
          <w:color w:val="auto"/>
          <w:lang w:val="zh-CN"/>
        </w:rPr>
        <w:t>，不会制约拟建项目</w:t>
      </w:r>
      <w:r>
        <w:rPr>
          <w:color w:val="auto"/>
          <w:lang w:val="zh-CN"/>
        </w:rPr>
        <w:t>的建设</w:t>
      </w:r>
      <w:r>
        <w:rPr>
          <w:rFonts w:hint="eastAsia"/>
          <w:color w:val="auto"/>
          <w:lang w:val="zh-CN"/>
        </w:rPr>
        <w:t>。</w:t>
      </w:r>
    </w:p>
    <w:p w14:paraId="1CF280D1">
      <w:pPr>
        <w:pStyle w:val="4"/>
        <w:numPr>
          <w:ilvl w:val="0"/>
          <w:numId w:val="0"/>
        </w:numPr>
        <w:spacing w:line="360" w:lineRule="auto"/>
        <w:rPr>
          <w:color w:val="auto"/>
        </w:rPr>
        <w:sectPr>
          <w:pgSz w:w="11906" w:h="16838"/>
          <w:pgMar w:top="1418" w:right="1418" w:bottom="1418" w:left="1418" w:header="851" w:footer="992" w:gutter="0"/>
          <w:pgBorders>
            <w:top w:val="none" w:sz="0" w:space="0"/>
            <w:left w:val="none" w:sz="0" w:space="0"/>
            <w:bottom w:val="none" w:sz="0" w:space="0"/>
            <w:right w:val="none" w:sz="0" w:space="0"/>
          </w:pgBorders>
          <w:cols w:space="425" w:num="1"/>
          <w:docGrid w:linePitch="312" w:charSpace="0"/>
        </w:sectPr>
      </w:pPr>
    </w:p>
    <w:p w14:paraId="38202FB0">
      <w:pPr>
        <w:pStyle w:val="3"/>
        <w:numPr>
          <w:ilvl w:val="0"/>
          <w:numId w:val="0"/>
        </w:numPr>
        <w:spacing w:line="360" w:lineRule="auto"/>
        <w:rPr>
          <w:color w:val="auto"/>
          <w:sz w:val="24"/>
          <w:szCs w:val="24"/>
        </w:rPr>
      </w:pPr>
      <w:bookmarkStart w:id="213" w:name="_Toc467144816"/>
      <w:bookmarkStart w:id="214" w:name="_Toc6212"/>
      <w:r>
        <w:rPr>
          <w:color w:val="auto"/>
          <w:sz w:val="24"/>
          <w:szCs w:val="24"/>
        </w:rPr>
        <w:t>5 施工期环境影响分析</w:t>
      </w:r>
      <w:bookmarkEnd w:id="213"/>
      <w:bookmarkEnd w:id="214"/>
    </w:p>
    <w:p w14:paraId="6C592B52">
      <w:pPr>
        <w:pStyle w:val="4"/>
        <w:numPr>
          <w:ilvl w:val="0"/>
          <w:numId w:val="0"/>
        </w:numPr>
        <w:spacing w:line="360" w:lineRule="auto"/>
        <w:rPr>
          <w:color w:val="auto"/>
          <w:szCs w:val="24"/>
        </w:rPr>
      </w:pPr>
      <w:bookmarkStart w:id="215" w:name="_Toc461633288"/>
      <w:bookmarkStart w:id="216" w:name="_Toc398080750"/>
      <w:bookmarkStart w:id="217" w:name="_Toc351555078"/>
      <w:bookmarkStart w:id="218" w:name="_Toc21741"/>
      <w:r>
        <w:rPr>
          <w:color w:val="auto"/>
          <w:szCs w:val="24"/>
        </w:rPr>
        <w:t>5.1</w:t>
      </w:r>
      <w:r>
        <w:rPr>
          <w:rFonts w:hint="eastAsia"/>
          <w:color w:val="auto"/>
          <w:szCs w:val="24"/>
        </w:rPr>
        <w:t>地表</w:t>
      </w:r>
      <w:r>
        <w:rPr>
          <w:color w:val="auto"/>
          <w:szCs w:val="24"/>
        </w:rPr>
        <w:t>水环境影响分析</w:t>
      </w:r>
      <w:bookmarkEnd w:id="215"/>
      <w:bookmarkEnd w:id="216"/>
      <w:bookmarkEnd w:id="217"/>
      <w:bookmarkEnd w:id="218"/>
    </w:p>
    <w:p w14:paraId="2E83A73E">
      <w:pPr>
        <w:spacing w:line="360" w:lineRule="auto"/>
        <w:ind w:firstLine="480"/>
        <w:rPr>
          <w:color w:val="auto"/>
          <w:szCs w:val="24"/>
        </w:rPr>
      </w:pPr>
      <w:r>
        <w:rPr>
          <w:color w:val="auto"/>
          <w:szCs w:val="24"/>
        </w:rPr>
        <w:t>由工程分析可知，施工期的污水主要是施工人员少量的生活污水和少量施工废水。</w:t>
      </w:r>
    </w:p>
    <w:p w14:paraId="78709D1A">
      <w:pPr>
        <w:spacing w:line="360" w:lineRule="auto"/>
        <w:ind w:firstLine="480"/>
        <w:rPr>
          <w:color w:val="auto"/>
          <w:szCs w:val="24"/>
        </w:rPr>
      </w:pPr>
      <w:r>
        <w:rPr>
          <w:color w:val="auto"/>
          <w:szCs w:val="24"/>
        </w:rPr>
        <w:t>（1）生活污水</w:t>
      </w:r>
    </w:p>
    <w:p w14:paraId="2AC0D5A4">
      <w:pPr>
        <w:spacing w:line="360" w:lineRule="auto"/>
        <w:ind w:firstLine="480"/>
        <w:rPr>
          <w:color w:val="auto"/>
          <w:szCs w:val="24"/>
        </w:rPr>
      </w:pPr>
      <w:r>
        <w:rPr>
          <w:rFonts w:hint="eastAsia"/>
          <w:color w:val="auto"/>
          <w:szCs w:val="24"/>
          <w:lang w:eastAsia="zh-CN"/>
        </w:rPr>
        <w:t>污水处理厂</w:t>
      </w:r>
      <w:r>
        <w:rPr>
          <w:color w:val="auto"/>
          <w:szCs w:val="24"/>
        </w:rPr>
        <w:t>场地内</w:t>
      </w:r>
      <w:r>
        <w:rPr>
          <w:rFonts w:hint="eastAsia"/>
          <w:color w:val="auto"/>
          <w:szCs w:val="24"/>
        </w:rPr>
        <w:t>不</w:t>
      </w:r>
      <w:r>
        <w:rPr>
          <w:color w:val="auto"/>
          <w:szCs w:val="24"/>
        </w:rPr>
        <w:t>设置施工营地，</w:t>
      </w:r>
      <w:r>
        <w:rPr>
          <w:rFonts w:hint="eastAsia"/>
          <w:color w:val="auto"/>
          <w:szCs w:val="24"/>
        </w:rPr>
        <w:t>工人生活污水依托</w:t>
      </w:r>
      <w:r>
        <w:rPr>
          <w:rFonts w:hint="eastAsia"/>
          <w:color w:val="auto"/>
          <w:szCs w:val="24"/>
          <w:lang w:eastAsia="zh-CN"/>
        </w:rPr>
        <w:t>海宇环保</w:t>
      </w:r>
      <w:r>
        <w:rPr>
          <w:rFonts w:hint="eastAsia"/>
          <w:color w:val="auto"/>
          <w:szCs w:val="24"/>
        </w:rPr>
        <w:t>及园区周边现有生活设施收集处理，产生的生活污水经处理后对外环境影响可接受。</w:t>
      </w:r>
    </w:p>
    <w:p w14:paraId="45C272AF">
      <w:pPr>
        <w:spacing w:line="360" w:lineRule="auto"/>
        <w:ind w:firstLine="480"/>
        <w:rPr>
          <w:color w:val="auto"/>
          <w:szCs w:val="24"/>
        </w:rPr>
      </w:pPr>
      <w:r>
        <w:rPr>
          <w:color w:val="auto"/>
          <w:szCs w:val="24"/>
        </w:rPr>
        <w:t>（2）施工废水</w:t>
      </w:r>
    </w:p>
    <w:p w14:paraId="1F3E00DE">
      <w:pPr>
        <w:spacing w:line="360" w:lineRule="auto"/>
        <w:ind w:firstLine="480"/>
        <w:rPr>
          <w:color w:val="auto"/>
          <w:szCs w:val="24"/>
        </w:rPr>
      </w:pPr>
      <w:r>
        <w:rPr>
          <w:rFonts w:hint="eastAsia"/>
          <w:color w:val="auto"/>
          <w:szCs w:val="24"/>
        </w:rPr>
        <w:t>拟建项目施工使用的</w:t>
      </w:r>
      <w:r>
        <w:rPr>
          <w:color w:val="auto"/>
          <w:szCs w:val="24"/>
        </w:rPr>
        <w:t>混凝土采用商品混凝土，不在现场设混凝土搅拌站</w:t>
      </w:r>
      <w:r>
        <w:rPr>
          <w:rFonts w:hint="eastAsia"/>
          <w:color w:val="auto"/>
          <w:szCs w:val="24"/>
        </w:rPr>
        <w:t>，施工废水主要为施工场地的施工机械、进出运输车辆冲洗废水、场地混凝土养护废水等，施工场地设置车辆冲洗装置，对驶出施工场地的施工机械或车辆进行冲洗，采取沉淀处理后，回</w:t>
      </w:r>
      <w:r>
        <w:rPr>
          <w:rFonts w:hint="eastAsia"/>
          <w:color w:val="auto"/>
          <w:szCs w:val="24"/>
          <w:lang w:eastAsia="zh-CN"/>
        </w:rPr>
        <w:t>用作</w:t>
      </w:r>
      <w:r>
        <w:rPr>
          <w:rFonts w:hint="eastAsia"/>
          <w:color w:val="auto"/>
          <w:szCs w:val="24"/>
        </w:rPr>
        <w:t>场地防尘洒水。</w:t>
      </w:r>
    </w:p>
    <w:p w14:paraId="68425983">
      <w:pPr>
        <w:spacing w:line="360" w:lineRule="auto"/>
        <w:ind w:firstLine="480"/>
        <w:rPr>
          <w:color w:val="auto"/>
          <w:szCs w:val="24"/>
        </w:rPr>
      </w:pPr>
      <w:r>
        <w:rPr>
          <w:color w:val="auto"/>
          <w:szCs w:val="24"/>
        </w:rPr>
        <w:t>施工期做好土石方的临时堆放和及时处置</w:t>
      </w:r>
      <w:bookmarkStart w:id="219" w:name="_Hlt262806084"/>
      <w:bookmarkEnd w:id="219"/>
      <w:r>
        <w:rPr>
          <w:color w:val="auto"/>
          <w:szCs w:val="24"/>
        </w:rPr>
        <w:t>，在低洼处设置</w:t>
      </w:r>
      <w:r>
        <w:rPr>
          <w:rFonts w:hint="eastAsia"/>
          <w:color w:val="auto"/>
          <w:szCs w:val="24"/>
          <w:lang w:eastAsia="zh-CN"/>
        </w:rPr>
        <w:t>沉砂池</w:t>
      </w:r>
      <w:r>
        <w:rPr>
          <w:color w:val="auto"/>
          <w:szCs w:val="24"/>
        </w:rPr>
        <w:t>，施工废水经处理后回用。采取上述措施后，</w:t>
      </w:r>
      <w:r>
        <w:rPr>
          <w:rFonts w:hint="eastAsia"/>
          <w:color w:val="auto"/>
          <w:szCs w:val="24"/>
        </w:rPr>
        <w:t>废水</w:t>
      </w:r>
      <w:r>
        <w:rPr>
          <w:color w:val="auto"/>
          <w:szCs w:val="24"/>
        </w:rPr>
        <w:t>对环境的影响较小</w:t>
      </w:r>
      <w:r>
        <w:rPr>
          <w:rFonts w:hint="eastAsia"/>
          <w:color w:val="auto"/>
          <w:szCs w:val="24"/>
        </w:rPr>
        <w:t>。</w:t>
      </w:r>
    </w:p>
    <w:p w14:paraId="2289985C">
      <w:pPr>
        <w:pStyle w:val="4"/>
        <w:numPr>
          <w:ilvl w:val="0"/>
          <w:numId w:val="0"/>
        </w:numPr>
        <w:spacing w:line="360" w:lineRule="auto"/>
        <w:jc w:val="left"/>
        <w:rPr>
          <w:color w:val="auto"/>
          <w:szCs w:val="24"/>
        </w:rPr>
      </w:pPr>
      <w:bookmarkStart w:id="220" w:name="_Toc461633287"/>
      <w:bookmarkStart w:id="221" w:name="_Toc398080749"/>
      <w:bookmarkStart w:id="222" w:name="_Toc351555077"/>
      <w:bookmarkStart w:id="223" w:name="_Toc6555"/>
      <w:r>
        <w:rPr>
          <w:rFonts w:hint="eastAsia"/>
          <w:color w:val="auto"/>
          <w:szCs w:val="24"/>
        </w:rPr>
        <w:t>5</w:t>
      </w:r>
      <w:r>
        <w:rPr>
          <w:color w:val="auto"/>
          <w:szCs w:val="24"/>
        </w:rPr>
        <w:t>.2环境空气影响分析</w:t>
      </w:r>
      <w:bookmarkEnd w:id="220"/>
      <w:bookmarkEnd w:id="221"/>
      <w:bookmarkEnd w:id="222"/>
      <w:bookmarkEnd w:id="223"/>
    </w:p>
    <w:p w14:paraId="7177A61E">
      <w:pPr>
        <w:spacing w:line="360" w:lineRule="auto"/>
        <w:ind w:firstLine="480"/>
        <w:rPr>
          <w:color w:val="auto"/>
          <w:szCs w:val="24"/>
        </w:rPr>
      </w:pPr>
      <w:bookmarkStart w:id="224" w:name="_Toc461633286"/>
      <w:bookmarkStart w:id="225" w:name="_Toc398080748"/>
      <w:bookmarkStart w:id="226" w:name="_Toc351555076"/>
      <w:r>
        <w:rPr>
          <w:rFonts w:hint="eastAsia"/>
          <w:color w:val="auto"/>
          <w:szCs w:val="24"/>
        </w:rPr>
        <w:t>拟建项目在施工期涉及场地平整、主体工程的建设以及厂内管网铺设等内容。</w:t>
      </w:r>
      <w:r>
        <w:rPr>
          <w:color w:val="auto"/>
          <w:szCs w:val="24"/>
        </w:rPr>
        <w:t>施工过程大气污染源主要为施工机械和运输车辆运行时产生的扬尘、燃油尾气。施工期的大气污染物主要有TSP、</w:t>
      </w:r>
      <w:r>
        <w:rPr>
          <w:color w:val="auto"/>
          <w:lang w:val="zh-CN"/>
        </w:rPr>
        <w:t>CO、</w:t>
      </w:r>
      <w:r>
        <w:rPr>
          <w:color w:val="auto"/>
          <w:szCs w:val="24"/>
        </w:rPr>
        <w:t>NO</w:t>
      </w:r>
      <w:r>
        <w:rPr>
          <w:rFonts w:hint="eastAsia"/>
          <w:color w:val="auto"/>
          <w:szCs w:val="24"/>
          <w:vertAlign w:val="subscript"/>
        </w:rPr>
        <w:t>X</w:t>
      </w:r>
      <w:r>
        <w:rPr>
          <w:color w:val="auto"/>
          <w:szCs w:val="24"/>
        </w:rPr>
        <w:t>、HC等，排放方式为无组织排放。</w:t>
      </w:r>
    </w:p>
    <w:p w14:paraId="2472D497">
      <w:pPr>
        <w:spacing w:line="360" w:lineRule="auto"/>
        <w:ind w:firstLine="480"/>
        <w:rPr>
          <w:color w:val="auto"/>
          <w:szCs w:val="24"/>
        </w:rPr>
      </w:pPr>
      <w:r>
        <w:rPr>
          <w:color w:val="auto"/>
          <w:szCs w:val="24"/>
        </w:rPr>
        <w:t>（1）施工扬尘</w:t>
      </w:r>
    </w:p>
    <w:p w14:paraId="1A7C1D0F">
      <w:pPr>
        <w:spacing w:line="360" w:lineRule="auto"/>
        <w:ind w:firstLine="480"/>
        <w:rPr>
          <w:color w:val="auto"/>
          <w:szCs w:val="24"/>
        </w:rPr>
      </w:pPr>
      <w:r>
        <w:rPr>
          <w:color w:val="auto"/>
          <w:szCs w:val="24"/>
        </w:rPr>
        <w:t>在施工期，扬尘是环境空气的主要污染源。施工期扬尘影响包括以下方面：黄沙、水泥等建筑材料运输装卸过程中产生扬尘；混凝土搅拌作业时产生的扬尘；建材堆场的风力扬尘；建筑材料运输产生的交通道路扬尘。</w:t>
      </w:r>
    </w:p>
    <w:p w14:paraId="4DD0B9BD">
      <w:pPr>
        <w:spacing w:line="360" w:lineRule="auto"/>
        <w:ind w:firstLine="480"/>
        <w:rPr>
          <w:color w:val="auto"/>
          <w:szCs w:val="24"/>
        </w:rPr>
      </w:pPr>
      <w:r>
        <w:rPr>
          <w:color w:val="auto"/>
          <w:szCs w:val="24"/>
        </w:rPr>
        <w:t>对整个施工期而言，施工产生的扬尘主要集中在土建施工阶段，按起尘的原因可分为风力起尘和动力起尘。露天堆放的建材（如黄沙、水泥等）及裸露的施工区表层浮尘由于天气干燥及大风，产生风力扬尘；而动力起尘，主要是在建材的装卸、搅拌的过程中，由于外力而产生的尘粒再悬浮而造成，其中施工及装卸车辆造成的扬尘最为严重。</w:t>
      </w:r>
    </w:p>
    <w:p w14:paraId="4D9931E7">
      <w:pPr>
        <w:spacing w:line="360" w:lineRule="auto"/>
        <w:ind w:firstLine="480"/>
        <w:rPr>
          <w:color w:val="auto"/>
          <w:szCs w:val="24"/>
        </w:rPr>
      </w:pPr>
      <w:r>
        <w:rPr>
          <w:color w:val="auto"/>
          <w:szCs w:val="24"/>
        </w:rPr>
        <w:t>施工期产生的施工扬尘粉尘浓度随风力和物料、土壤干燥程度不同而有所变化，一般在1.5～30mg/m</w:t>
      </w:r>
      <w:r>
        <w:rPr>
          <w:color w:val="auto"/>
          <w:szCs w:val="24"/>
          <w:vertAlign w:val="superscript"/>
        </w:rPr>
        <w:t>3</w:t>
      </w:r>
      <w:r>
        <w:rPr>
          <w:color w:val="auto"/>
          <w:szCs w:val="24"/>
        </w:rPr>
        <w:t>之间。施工扬尘影响范围主要是施工场地周围50m，下风向影响范围约100～150m。</w:t>
      </w:r>
      <w:r>
        <w:rPr>
          <w:rFonts w:hint="eastAsia"/>
          <w:color w:val="auto"/>
          <w:szCs w:val="24"/>
        </w:rPr>
        <w:t>针对施工期的扬尘影响，应采取如下针对性环保措施：</w:t>
      </w:r>
    </w:p>
    <w:p w14:paraId="766B4BDE">
      <w:pPr>
        <w:spacing w:line="360" w:lineRule="auto"/>
        <w:ind w:firstLine="480"/>
        <w:rPr>
          <w:color w:val="auto"/>
          <w:szCs w:val="24"/>
        </w:rPr>
      </w:pPr>
      <w:r>
        <w:rPr>
          <w:rFonts w:hint="eastAsia"/>
          <w:color w:val="auto"/>
          <w:szCs w:val="24"/>
        </w:rPr>
        <w:t>①</w:t>
      </w:r>
      <w:r>
        <w:rPr>
          <w:color w:val="auto"/>
          <w:szCs w:val="24"/>
        </w:rPr>
        <w:t>施工过程中，每天对运输道路和积尘较多的施工区进行4～5次的洒水措施，可使施工工地周围环境空气中的扬尘量减少70%以上，有效</w:t>
      </w:r>
      <w:r>
        <w:rPr>
          <w:rFonts w:hint="eastAsia"/>
          <w:color w:val="auto"/>
          <w:szCs w:val="24"/>
          <w:lang w:eastAsia="zh-CN"/>
        </w:rPr>
        <w:t>减少</w:t>
      </w:r>
      <w:r>
        <w:rPr>
          <w:color w:val="auto"/>
          <w:szCs w:val="24"/>
        </w:rPr>
        <w:t>扬尘对项目附近环境空气的影响。</w:t>
      </w:r>
    </w:p>
    <w:p w14:paraId="0DAA9670">
      <w:pPr>
        <w:spacing w:line="360" w:lineRule="auto"/>
        <w:ind w:firstLine="480"/>
        <w:rPr>
          <w:color w:val="auto"/>
          <w:szCs w:val="24"/>
        </w:rPr>
      </w:pPr>
      <w:r>
        <w:rPr>
          <w:rFonts w:hint="eastAsia"/>
          <w:color w:val="auto"/>
          <w:szCs w:val="24"/>
        </w:rPr>
        <w:t>②对施工场地四周进行围挡，加强环境空气的保护工作，加大洒水抑尘力度。</w:t>
      </w:r>
    </w:p>
    <w:p w14:paraId="3564A6C3">
      <w:pPr>
        <w:spacing w:line="360" w:lineRule="auto"/>
        <w:ind w:firstLine="480"/>
        <w:rPr>
          <w:color w:val="auto"/>
          <w:szCs w:val="24"/>
        </w:rPr>
      </w:pPr>
      <w:r>
        <w:rPr>
          <w:rFonts w:hint="eastAsia"/>
          <w:color w:val="auto"/>
          <w:szCs w:val="24"/>
        </w:rPr>
        <w:t>③土石方开挖、调运、装卸等极易产生扬尘的施工环节尽量避免在大风干燥季节实施；车辆装卸应尽量降低操作高度，粉粒物料严禁抛洒；细颗粒散装建筑材料应储存于库房内或密闭存放，运输采用密闭式罐车运输。</w:t>
      </w:r>
    </w:p>
    <w:p w14:paraId="52BF781B">
      <w:pPr>
        <w:spacing w:line="360" w:lineRule="auto"/>
        <w:ind w:firstLine="480"/>
        <w:rPr>
          <w:color w:val="auto"/>
          <w:szCs w:val="24"/>
        </w:rPr>
      </w:pPr>
      <w:r>
        <w:rPr>
          <w:rFonts w:hint="eastAsia"/>
          <w:color w:val="auto"/>
          <w:szCs w:val="24"/>
        </w:rPr>
        <w:t>④土石方运输车辆的车斗应进行覆盖，避免沿途尘土</w:t>
      </w:r>
      <w:r>
        <w:rPr>
          <w:rFonts w:hint="eastAsia"/>
          <w:color w:val="auto"/>
          <w:szCs w:val="24"/>
          <w:lang w:eastAsia="zh-CN"/>
        </w:rPr>
        <w:t>撒落</w:t>
      </w:r>
      <w:r>
        <w:rPr>
          <w:rFonts w:hint="eastAsia"/>
          <w:color w:val="auto"/>
          <w:szCs w:val="24"/>
        </w:rPr>
        <w:t>；严禁车辆超速行驶，以防止运输中的二次扬尘产生。</w:t>
      </w:r>
    </w:p>
    <w:p w14:paraId="5DE6E5D8">
      <w:pPr>
        <w:spacing w:line="360" w:lineRule="auto"/>
        <w:ind w:firstLine="480"/>
        <w:rPr>
          <w:color w:val="auto"/>
          <w:szCs w:val="24"/>
        </w:rPr>
      </w:pPr>
      <w:r>
        <w:rPr>
          <w:rFonts w:hint="eastAsia"/>
          <w:color w:val="auto"/>
          <w:szCs w:val="24"/>
        </w:rPr>
        <w:t>⑤对进出施工场区的道路进行清扫和洒水抑尘；并加强进出场区道路的维护，避免运输道路的损坏造成运输车辆颠簸，从而产生扬尘。</w:t>
      </w:r>
    </w:p>
    <w:p w14:paraId="77E3BFB2">
      <w:pPr>
        <w:spacing w:line="360" w:lineRule="auto"/>
        <w:ind w:firstLine="480"/>
        <w:rPr>
          <w:color w:val="auto"/>
          <w:szCs w:val="24"/>
        </w:rPr>
      </w:pPr>
      <w:r>
        <w:rPr>
          <w:rFonts w:hint="eastAsia"/>
          <w:color w:val="auto"/>
          <w:szCs w:val="24"/>
        </w:rPr>
        <w:t>⑥土石方开挖时应及时送至填方处，并压实，以减少粉尘产生量；并尽快完成厂区地面的硬化与绿化工程。</w:t>
      </w:r>
    </w:p>
    <w:p w14:paraId="60B07154">
      <w:pPr>
        <w:spacing w:line="360" w:lineRule="auto"/>
        <w:ind w:firstLine="480"/>
        <w:rPr>
          <w:color w:val="auto"/>
          <w:szCs w:val="24"/>
        </w:rPr>
      </w:pPr>
      <w:r>
        <w:rPr>
          <w:color w:val="auto"/>
          <w:szCs w:val="24"/>
        </w:rPr>
        <w:t>（2）施工机具尾气</w:t>
      </w:r>
    </w:p>
    <w:p w14:paraId="05C86F45">
      <w:pPr>
        <w:spacing w:line="360" w:lineRule="auto"/>
        <w:ind w:firstLine="480"/>
        <w:rPr>
          <w:color w:val="auto"/>
          <w:szCs w:val="24"/>
        </w:rPr>
      </w:pPr>
      <w:r>
        <w:rPr>
          <w:bCs/>
          <w:color w:val="auto"/>
          <w:kern w:val="0"/>
          <w:szCs w:val="19"/>
        </w:rPr>
        <w:t>燃油动力机械为间断作业，且数量不多，</w:t>
      </w:r>
      <w:r>
        <w:rPr>
          <w:color w:val="auto"/>
          <w:szCs w:val="24"/>
        </w:rPr>
        <w:t>施工机械尾气中污染物主要为NO</w:t>
      </w:r>
      <w:r>
        <w:rPr>
          <w:rFonts w:hint="eastAsia"/>
          <w:color w:val="auto"/>
          <w:szCs w:val="24"/>
          <w:vertAlign w:val="subscript"/>
        </w:rPr>
        <w:t>x</w:t>
      </w:r>
      <w:r>
        <w:rPr>
          <w:color w:val="auto"/>
          <w:szCs w:val="24"/>
        </w:rPr>
        <w:t>、HC等。</w:t>
      </w:r>
      <w:r>
        <w:rPr>
          <w:rFonts w:hint="eastAsia"/>
          <w:color w:val="auto"/>
          <w:szCs w:val="24"/>
        </w:rPr>
        <w:t>拟建项目</w:t>
      </w:r>
      <w:r>
        <w:rPr>
          <w:color w:val="auto"/>
          <w:szCs w:val="24"/>
        </w:rPr>
        <w:t>施工过程所使用机械的尾气污染物排放量</w:t>
      </w:r>
      <w:r>
        <w:rPr>
          <w:rFonts w:hint="eastAsia"/>
          <w:color w:val="auto"/>
          <w:szCs w:val="24"/>
        </w:rPr>
        <w:t>较小</w:t>
      </w:r>
      <w:r>
        <w:rPr>
          <w:color w:val="auto"/>
          <w:szCs w:val="24"/>
        </w:rPr>
        <w:t>，且由于施工区地势较为空旷，有利于污染物的扩散，预计施工机械尾气对周围环境空气质量影响</w:t>
      </w:r>
      <w:r>
        <w:rPr>
          <w:rFonts w:hint="eastAsia"/>
          <w:color w:val="auto"/>
          <w:szCs w:val="24"/>
        </w:rPr>
        <w:t>较小</w:t>
      </w:r>
      <w:r>
        <w:rPr>
          <w:color w:val="auto"/>
          <w:szCs w:val="24"/>
        </w:rPr>
        <w:t>。</w:t>
      </w:r>
    </w:p>
    <w:p w14:paraId="324FBA2D">
      <w:pPr>
        <w:pStyle w:val="4"/>
        <w:numPr>
          <w:ilvl w:val="0"/>
          <w:numId w:val="0"/>
        </w:numPr>
        <w:spacing w:line="360" w:lineRule="auto"/>
        <w:rPr>
          <w:color w:val="auto"/>
          <w:szCs w:val="24"/>
        </w:rPr>
      </w:pPr>
      <w:bookmarkStart w:id="227" w:name="_Toc31680"/>
      <w:r>
        <w:rPr>
          <w:rFonts w:hint="eastAsia"/>
          <w:color w:val="auto"/>
          <w:szCs w:val="24"/>
        </w:rPr>
        <w:t>5</w:t>
      </w:r>
      <w:r>
        <w:rPr>
          <w:color w:val="auto"/>
          <w:szCs w:val="24"/>
        </w:rPr>
        <w:t>.3声环境影响分析</w:t>
      </w:r>
      <w:bookmarkEnd w:id="224"/>
      <w:bookmarkEnd w:id="225"/>
      <w:bookmarkEnd w:id="226"/>
      <w:bookmarkEnd w:id="227"/>
    </w:p>
    <w:p w14:paraId="2BB3369A">
      <w:pPr>
        <w:spacing w:line="360" w:lineRule="auto"/>
        <w:ind w:firstLine="480"/>
        <w:rPr>
          <w:color w:val="auto"/>
          <w:szCs w:val="24"/>
        </w:rPr>
      </w:pPr>
      <w:r>
        <w:rPr>
          <w:rFonts w:hint="eastAsia"/>
          <w:color w:val="auto"/>
          <w:szCs w:val="24"/>
        </w:rPr>
        <w:t>（1）</w:t>
      </w:r>
      <w:r>
        <w:rPr>
          <w:color w:val="auto"/>
          <w:szCs w:val="24"/>
        </w:rPr>
        <w:t>预测模式</w:t>
      </w:r>
    </w:p>
    <w:p w14:paraId="18FF0873">
      <w:pPr>
        <w:spacing w:line="360" w:lineRule="auto"/>
        <w:ind w:firstLine="480"/>
        <w:rPr>
          <w:color w:val="auto"/>
          <w:szCs w:val="24"/>
        </w:rPr>
      </w:pPr>
      <w:r>
        <w:rPr>
          <w:color w:val="auto"/>
          <w:szCs w:val="24"/>
        </w:rPr>
        <w:t>选用《环境影响评价技术导则—声环境》（HJ2.4-20</w:t>
      </w:r>
      <w:r>
        <w:rPr>
          <w:rFonts w:hint="eastAsia"/>
          <w:color w:val="auto"/>
          <w:szCs w:val="24"/>
        </w:rPr>
        <w:t>21</w:t>
      </w:r>
      <w:r>
        <w:rPr>
          <w:color w:val="auto"/>
          <w:szCs w:val="24"/>
        </w:rPr>
        <w:t>）中推荐的模式，并对照评价标准对预测结果进行评价。</w:t>
      </w:r>
    </w:p>
    <w:p w14:paraId="6DD2934C">
      <w:pPr>
        <w:spacing w:line="360" w:lineRule="auto"/>
        <w:ind w:firstLine="480"/>
        <w:rPr>
          <w:color w:val="auto"/>
          <w:szCs w:val="24"/>
        </w:rPr>
      </w:pPr>
      <w:r>
        <w:rPr>
          <w:color w:val="auto"/>
          <w:szCs w:val="24"/>
        </w:rPr>
        <w:t>1）声源衰减的基本公式</w:t>
      </w:r>
    </w:p>
    <w:p w14:paraId="3A236321">
      <w:pPr>
        <w:spacing w:line="360" w:lineRule="auto"/>
        <w:ind w:firstLine="480"/>
        <w:rPr>
          <w:color w:val="auto"/>
          <w:szCs w:val="24"/>
        </w:rPr>
      </w:pPr>
      <w:r>
        <w:rPr>
          <w:color w:val="auto"/>
          <w:szCs w:val="24"/>
        </w:rPr>
        <w:t>采用声环境评价导则（HJ2.4-20</w:t>
      </w:r>
      <w:r>
        <w:rPr>
          <w:rFonts w:hint="eastAsia"/>
          <w:color w:val="auto"/>
          <w:szCs w:val="24"/>
        </w:rPr>
        <w:t>21</w:t>
      </w:r>
      <w:r>
        <w:rPr>
          <w:color w:val="auto"/>
          <w:szCs w:val="24"/>
        </w:rPr>
        <w:t>）中推荐的噪声户外传播声级衰减基本计算方法：</w:t>
      </w:r>
    </w:p>
    <w:p w14:paraId="4B7F2CA5">
      <w:pPr>
        <w:spacing w:line="360" w:lineRule="auto"/>
        <w:ind w:firstLine="480"/>
        <w:rPr>
          <w:color w:val="auto"/>
          <w:szCs w:val="24"/>
        </w:rPr>
      </w:pPr>
      <w:r>
        <w:rPr>
          <w:color w:val="auto"/>
          <w:szCs w:val="24"/>
        </w:rPr>
        <w:t>A、计算点的声级</w:t>
      </w:r>
    </w:p>
    <w:p w14:paraId="36B508AF">
      <w:pPr>
        <w:spacing w:line="360" w:lineRule="auto"/>
        <w:ind w:firstLine="480"/>
        <w:rPr>
          <w:color w:val="auto"/>
          <w:szCs w:val="24"/>
        </w:rPr>
      </w:pPr>
      <w:r>
        <w:rPr>
          <w:rFonts w:hint="eastAsia"/>
          <w:color w:val="auto"/>
          <w:szCs w:val="24"/>
        </w:rPr>
        <w:t>Lp(r)＝Lp(r0)+DC－</w:t>
      </w:r>
      <w:r>
        <w:rPr>
          <w:rFonts w:hint="eastAsia"/>
          <w:color w:val="auto"/>
          <w:szCs w:val="24"/>
          <w:lang w:eastAsia="zh-CN"/>
        </w:rPr>
        <w:t>（</w:t>
      </w:r>
      <w:r>
        <w:rPr>
          <w:rFonts w:hint="eastAsia"/>
          <w:color w:val="auto"/>
          <w:szCs w:val="24"/>
        </w:rPr>
        <w:t>Adiv＋Aatm＋Agr＋Abar＋Amisc</w:t>
      </w:r>
      <w:r>
        <w:rPr>
          <w:rFonts w:hint="eastAsia"/>
          <w:color w:val="auto"/>
          <w:szCs w:val="24"/>
          <w:lang w:eastAsia="zh-CN"/>
        </w:rPr>
        <w:t>）</w:t>
      </w:r>
    </w:p>
    <w:p w14:paraId="10CE6C0C">
      <w:pPr>
        <w:spacing w:line="360" w:lineRule="auto"/>
        <w:ind w:firstLine="480"/>
        <w:rPr>
          <w:color w:val="auto"/>
          <w:szCs w:val="24"/>
        </w:rPr>
      </w:pPr>
      <w:r>
        <w:rPr>
          <w:color w:val="auto"/>
          <w:szCs w:val="24"/>
        </w:rPr>
        <w:t>式中：Lp(r)—</w:t>
      </w:r>
      <w:r>
        <w:rPr>
          <w:rFonts w:hint="eastAsia"/>
          <w:color w:val="auto"/>
          <w:szCs w:val="24"/>
        </w:rPr>
        <w:t>预测点处</w:t>
      </w:r>
      <w:r>
        <w:rPr>
          <w:color w:val="auto"/>
          <w:szCs w:val="24"/>
        </w:rPr>
        <w:t>声压级</w:t>
      </w:r>
      <w:r>
        <w:rPr>
          <w:rFonts w:hint="eastAsia"/>
          <w:color w:val="auto"/>
          <w:szCs w:val="24"/>
        </w:rPr>
        <w:t>dB</w:t>
      </w:r>
      <w:r>
        <w:rPr>
          <w:color w:val="auto"/>
          <w:szCs w:val="24"/>
        </w:rPr>
        <w:t>；</w:t>
      </w:r>
    </w:p>
    <w:p w14:paraId="3E1225E7">
      <w:pPr>
        <w:spacing w:line="360" w:lineRule="auto"/>
        <w:ind w:firstLine="480"/>
        <w:rPr>
          <w:color w:val="auto"/>
          <w:szCs w:val="24"/>
        </w:rPr>
      </w:pPr>
      <w:r>
        <w:rPr>
          <w:color w:val="auto"/>
          <w:szCs w:val="24"/>
        </w:rPr>
        <w:t xml:space="preserve">     </w:t>
      </w:r>
      <w:r>
        <w:rPr>
          <w:rFonts w:hint="eastAsia"/>
          <w:color w:val="auto"/>
          <w:szCs w:val="24"/>
        </w:rPr>
        <w:t xml:space="preserve">Lp(r0) ——参考位置r0处的声压级，dB；  </w:t>
      </w:r>
    </w:p>
    <w:p w14:paraId="13A5F979">
      <w:pPr>
        <w:spacing w:line="360" w:lineRule="auto"/>
        <w:ind w:firstLine="1200" w:firstLineChars="500"/>
        <w:rPr>
          <w:color w:val="auto"/>
          <w:szCs w:val="24"/>
        </w:rPr>
      </w:pPr>
      <w:r>
        <w:rPr>
          <w:rFonts w:hint="eastAsia"/>
          <w:color w:val="auto"/>
          <w:szCs w:val="24"/>
        </w:rPr>
        <w:t>DC ——指向性校正，它描述点声源的等效连续声压级与产生声功率级Lw的全向点声源在规定方向的声级的偏差程度，dB；</w:t>
      </w:r>
    </w:p>
    <w:p w14:paraId="15939247">
      <w:pPr>
        <w:spacing w:line="360" w:lineRule="auto"/>
        <w:ind w:firstLine="480"/>
        <w:rPr>
          <w:color w:val="auto"/>
          <w:szCs w:val="24"/>
        </w:rPr>
      </w:pPr>
      <w:r>
        <w:rPr>
          <w:color w:val="auto"/>
          <w:szCs w:val="24"/>
        </w:rPr>
        <w:t xml:space="preserve">      Adiv—几何发散引起的衰减；</w:t>
      </w:r>
    </w:p>
    <w:p w14:paraId="4BE9B180">
      <w:pPr>
        <w:spacing w:line="360" w:lineRule="auto"/>
        <w:ind w:firstLine="480"/>
        <w:rPr>
          <w:color w:val="auto"/>
          <w:szCs w:val="24"/>
        </w:rPr>
      </w:pPr>
      <w:r>
        <w:rPr>
          <w:color w:val="auto"/>
          <w:szCs w:val="24"/>
        </w:rPr>
        <w:t xml:space="preserve">      Aatm—</w:t>
      </w:r>
      <w:r>
        <w:rPr>
          <w:rFonts w:hint="eastAsia"/>
          <w:color w:val="auto"/>
          <w:szCs w:val="24"/>
        </w:rPr>
        <w:t>大气</w:t>
      </w:r>
      <w:r>
        <w:rPr>
          <w:color w:val="auto"/>
          <w:szCs w:val="24"/>
        </w:rPr>
        <w:t>吸收引起的衰减；</w:t>
      </w:r>
    </w:p>
    <w:p w14:paraId="45C98AA8">
      <w:pPr>
        <w:spacing w:line="360" w:lineRule="auto"/>
        <w:ind w:firstLine="480"/>
        <w:rPr>
          <w:color w:val="auto"/>
          <w:szCs w:val="24"/>
        </w:rPr>
      </w:pPr>
      <w:r>
        <w:rPr>
          <w:color w:val="auto"/>
          <w:szCs w:val="24"/>
        </w:rPr>
        <w:t xml:space="preserve">      Abar—</w:t>
      </w:r>
      <w:r>
        <w:rPr>
          <w:rFonts w:hint="eastAsia"/>
          <w:color w:val="auto"/>
          <w:szCs w:val="24"/>
        </w:rPr>
        <w:t>障碍物屏蔽</w:t>
      </w:r>
      <w:r>
        <w:rPr>
          <w:color w:val="auto"/>
          <w:szCs w:val="24"/>
        </w:rPr>
        <w:t>引起的衰减；</w:t>
      </w:r>
    </w:p>
    <w:p w14:paraId="2C0DE46F">
      <w:pPr>
        <w:spacing w:line="360" w:lineRule="auto"/>
        <w:ind w:firstLine="480"/>
        <w:rPr>
          <w:color w:val="auto"/>
          <w:szCs w:val="24"/>
        </w:rPr>
      </w:pPr>
      <w:r>
        <w:rPr>
          <w:color w:val="auto"/>
          <w:szCs w:val="24"/>
        </w:rPr>
        <w:t xml:space="preserve">      Agr—地面效应引起的衰减；</w:t>
      </w:r>
    </w:p>
    <w:p w14:paraId="23042CB3">
      <w:pPr>
        <w:spacing w:line="360" w:lineRule="auto"/>
        <w:ind w:firstLine="1200" w:firstLineChars="500"/>
        <w:rPr>
          <w:color w:val="auto"/>
          <w:szCs w:val="24"/>
        </w:rPr>
      </w:pPr>
      <w:r>
        <w:rPr>
          <w:color w:val="auto"/>
          <w:szCs w:val="24"/>
        </w:rPr>
        <w:t>Amisc—</w:t>
      </w:r>
      <w:r>
        <w:rPr>
          <w:rFonts w:hint="eastAsia"/>
          <w:color w:val="auto"/>
          <w:szCs w:val="24"/>
          <w:lang w:eastAsia="zh-CN"/>
        </w:rPr>
        <w:t>其他</w:t>
      </w:r>
      <w:r>
        <w:rPr>
          <w:color w:val="auto"/>
          <w:szCs w:val="24"/>
        </w:rPr>
        <w:t>多方面效应引起的衰减。</w:t>
      </w:r>
    </w:p>
    <w:p w14:paraId="2ECE2B4D">
      <w:pPr>
        <w:spacing w:line="360" w:lineRule="auto"/>
        <w:ind w:firstLine="480"/>
        <w:rPr>
          <w:color w:val="auto"/>
          <w:szCs w:val="24"/>
        </w:rPr>
      </w:pPr>
      <w:r>
        <w:rPr>
          <w:color w:val="auto"/>
          <w:szCs w:val="24"/>
        </w:rPr>
        <w:t>B、几何发散衰减</w:t>
      </w:r>
      <w:r>
        <w:rPr>
          <w:rFonts w:hint="eastAsia"/>
          <w:color w:val="auto"/>
          <w:szCs w:val="24"/>
          <w:lang w:eastAsia="zh-CN"/>
        </w:rPr>
        <w:t>（</w:t>
      </w:r>
      <w:r>
        <w:rPr>
          <w:color w:val="auto"/>
          <w:szCs w:val="24"/>
        </w:rPr>
        <w:t>Adiv</w:t>
      </w:r>
      <w:r>
        <w:rPr>
          <w:rFonts w:hint="eastAsia"/>
          <w:color w:val="auto"/>
          <w:szCs w:val="24"/>
          <w:lang w:eastAsia="zh-CN"/>
        </w:rPr>
        <w:t>）</w:t>
      </w:r>
    </w:p>
    <w:p w14:paraId="5810DDA1">
      <w:pPr>
        <w:spacing w:line="360" w:lineRule="auto"/>
        <w:ind w:firstLine="480"/>
        <w:rPr>
          <w:color w:val="auto"/>
          <w:szCs w:val="24"/>
        </w:rPr>
      </w:pPr>
      <w:r>
        <w:rPr>
          <w:rFonts w:hint="eastAsia"/>
          <w:color w:val="auto"/>
          <w:szCs w:val="24"/>
        </w:rPr>
        <w:t>①</w:t>
      </w:r>
      <w:r>
        <w:rPr>
          <w:color w:val="auto"/>
          <w:szCs w:val="24"/>
        </w:rPr>
        <w:t>点声源的几何发散衰减：</w:t>
      </w:r>
    </w:p>
    <w:p w14:paraId="559C553D">
      <w:pPr>
        <w:spacing w:line="360" w:lineRule="auto"/>
        <w:ind w:firstLine="480"/>
        <w:rPr>
          <w:color w:val="auto"/>
          <w:szCs w:val="24"/>
        </w:rPr>
      </w:pPr>
      <w:r>
        <w:rPr>
          <w:color w:val="auto"/>
          <w:szCs w:val="24"/>
        </w:rPr>
        <w:t xml:space="preserve">             LP</w:t>
      </w:r>
      <w:r>
        <w:rPr>
          <w:rFonts w:hint="eastAsia"/>
          <w:color w:val="auto"/>
          <w:szCs w:val="24"/>
          <w:lang w:eastAsia="zh-CN"/>
        </w:rPr>
        <w:t>(</w:t>
      </w:r>
      <w:r>
        <w:rPr>
          <w:color w:val="auto"/>
          <w:szCs w:val="24"/>
        </w:rPr>
        <w:t>r</w:t>
      </w:r>
      <w:r>
        <w:rPr>
          <w:rFonts w:hint="eastAsia"/>
          <w:color w:val="auto"/>
          <w:szCs w:val="24"/>
          <w:lang w:eastAsia="zh-CN"/>
        </w:rPr>
        <w:t>)</w:t>
      </w:r>
      <w:r>
        <w:rPr>
          <w:color w:val="auto"/>
          <w:szCs w:val="24"/>
        </w:rPr>
        <w:t>=LP(r0)-201g(r/r0)</w:t>
      </w:r>
    </w:p>
    <w:p w14:paraId="1157CC14">
      <w:pPr>
        <w:spacing w:line="360" w:lineRule="auto"/>
        <w:ind w:firstLine="480"/>
        <w:rPr>
          <w:color w:val="auto"/>
          <w:szCs w:val="24"/>
        </w:rPr>
      </w:pPr>
      <w:r>
        <w:rPr>
          <w:color w:val="auto"/>
          <w:szCs w:val="24"/>
        </w:rPr>
        <w:t>式中：LP（r）、L(r0</w:t>
      </w:r>
      <w:r>
        <w:rPr>
          <w:rFonts w:hint="eastAsia"/>
          <w:color w:val="auto"/>
          <w:szCs w:val="24"/>
          <w:lang w:eastAsia="zh-CN"/>
        </w:rPr>
        <w:t>）</w:t>
      </w:r>
      <w:r>
        <w:rPr>
          <w:color w:val="auto"/>
          <w:szCs w:val="24"/>
        </w:rPr>
        <w:t>分别是r，r0处的</w:t>
      </w:r>
      <w:r>
        <w:rPr>
          <w:rFonts w:hint="eastAsia"/>
          <w:color w:val="auto"/>
          <w:szCs w:val="24"/>
        </w:rPr>
        <w:t>声压级</w:t>
      </w:r>
      <w:r>
        <w:rPr>
          <w:color w:val="auto"/>
          <w:szCs w:val="24"/>
        </w:rPr>
        <w:t>。</w:t>
      </w:r>
    </w:p>
    <w:p w14:paraId="1C0805BE">
      <w:pPr>
        <w:spacing w:line="360" w:lineRule="auto"/>
        <w:ind w:firstLine="480"/>
        <w:rPr>
          <w:color w:val="auto"/>
          <w:szCs w:val="24"/>
        </w:rPr>
      </w:pPr>
      <w:r>
        <w:rPr>
          <w:color w:val="auto"/>
          <w:szCs w:val="24"/>
        </w:rPr>
        <w:t>声源处于自由空间：  LP（r）=LW(r0)-201g(r)-11</w:t>
      </w:r>
    </w:p>
    <w:p w14:paraId="36287DAA">
      <w:pPr>
        <w:spacing w:line="360" w:lineRule="auto"/>
        <w:ind w:firstLine="480"/>
        <w:rPr>
          <w:color w:val="auto"/>
          <w:szCs w:val="24"/>
        </w:rPr>
      </w:pPr>
      <w:r>
        <w:rPr>
          <w:color w:val="auto"/>
          <w:szCs w:val="24"/>
        </w:rPr>
        <w:t>声源处于半自由空间：LP（r）=LW-201g(r)-8</w:t>
      </w:r>
    </w:p>
    <w:p w14:paraId="2A6A8AD9">
      <w:pPr>
        <w:spacing w:line="360" w:lineRule="auto"/>
        <w:ind w:firstLine="480"/>
        <w:rPr>
          <w:color w:val="auto"/>
          <w:szCs w:val="24"/>
        </w:rPr>
      </w:pPr>
      <w:r>
        <w:rPr>
          <w:rFonts w:hint="eastAsia"/>
          <w:color w:val="auto"/>
          <w:szCs w:val="24"/>
        </w:rPr>
        <w:t>②</w:t>
      </w:r>
      <w:r>
        <w:rPr>
          <w:color w:val="auto"/>
          <w:szCs w:val="24"/>
        </w:rPr>
        <w:t>面声源的几何发散衰减：</w:t>
      </w:r>
    </w:p>
    <w:p w14:paraId="176E8F93">
      <w:pPr>
        <w:spacing w:line="360" w:lineRule="auto"/>
        <w:ind w:firstLine="480"/>
        <w:rPr>
          <w:color w:val="auto"/>
          <w:szCs w:val="24"/>
        </w:rPr>
      </w:pPr>
      <w:r>
        <w:rPr>
          <w:color w:val="auto"/>
          <w:szCs w:val="24"/>
        </w:rPr>
        <w:t>面声源短边为a，长边为b，随着距离的增加，引起其衰减值与距离的关系为：</w:t>
      </w:r>
    </w:p>
    <w:p w14:paraId="5DCFA3FB">
      <w:pPr>
        <w:spacing w:line="360" w:lineRule="auto"/>
        <w:ind w:firstLine="480"/>
        <w:rPr>
          <w:color w:val="auto"/>
          <w:szCs w:val="24"/>
        </w:rPr>
      </w:pPr>
      <w:r>
        <w:rPr>
          <w:color w:val="auto"/>
          <w:szCs w:val="24"/>
        </w:rPr>
        <w:drawing>
          <wp:inline distT="0" distB="0" distL="0" distR="0">
            <wp:extent cx="640080" cy="3657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640080" cy="365760"/>
                    </a:xfrm>
                    <a:prstGeom prst="rect">
                      <a:avLst/>
                    </a:prstGeom>
                    <a:noFill/>
                    <a:ln>
                      <a:noFill/>
                    </a:ln>
                  </pic:spPr>
                </pic:pic>
              </a:graphicData>
            </a:graphic>
          </wp:inline>
        </w:drawing>
      </w:r>
      <w:r>
        <w:rPr>
          <w:color w:val="auto"/>
          <w:szCs w:val="24"/>
        </w:rPr>
        <w:t>时，在r处Adiv≈0</w:t>
      </w:r>
    </w:p>
    <w:p w14:paraId="66484B39">
      <w:pPr>
        <w:spacing w:line="360" w:lineRule="auto"/>
        <w:ind w:firstLine="480"/>
        <w:rPr>
          <w:color w:val="auto"/>
          <w:szCs w:val="24"/>
        </w:rPr>
      </w:pPr>
      <w:r>
        <w:rPr>
          <w:color w:val="auto"/>
          <w:szCs w:val="24"/>
        </w:rPr>
        <w:drawing>
          <wp:inline distT="0" distB="0" distL="0" distR="0">
            <wp:extent cx="731520" cy="36576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731520" cy="365760"/>
                    </a:xfrm>
                    <a:prstGeom prst="rect">
                      <a:avLst/>
                    </a:prstGeom>
                    <a:noFill/>
                    <a:ln>
                      <a:noFill/>
                    </a:ln>
                  </pic:spPr>
                </pic:pic>
              </a:graphicData>
            </a:graphic>
          </wp:inline>
        </w:drawing>
      </w:r>
      <w:r>
        <w:rPr>
          <w:color w:val="auto"/>
          <w:szCs w:val="24"/>
        </w:rPr>
        <w:t>时，在r处距离r每增加1倍，Adiv≈3</w:t>
      </w:r>
    </w:p>
    <w:p w14:paraId="359C9A6B">
      <w:pPr>
        <w:spacing w:line="360" w:lineRule="auto"/>
        <w:ind w:firstLine="480"/>
        <w:rPr>
          <w:color w:val="auto"/>
          <w:szCs w:val="24"/>
        </w:rPr>
      </w:pPr>
      <w:r>
        <w:rPr>
          <w:color w:val="auto"/>
          <w:szCs w:val="24"/>
        </w:rPr>
        <w:drawing>
          <wp:inline distT="0" distB="0" distL="0" distR="0">
            <wp:extent cx="457200" cy="36576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57200" cy="365760"/>
                    </a:xfrm>
                    <a:prstGeom prst="rect">
                      <a:avLst/>
                    </a:prstGeom>
                    <a:noFill/>
                    <a:ln>
                      <a:noFill/>
                    </a:ln>
                  </pic:spPr>
                </pic:pic>
              </a:graphicData>
            </a:graphic>
          </wp:inline>
        </w:drawing>
      </w:r>
      <w:r>
        <w:rPr>
          <w:color w:val="auto"/>
          <w:szCs w:val="24"/>
        </w:rPr>
        <w:t>时，在r处距离r每增加1倍，Adiv≈6</w:t>
      </w:r>
    </w:p>
    <w:p w14:paraId="3CB4DFE6">
      <w:pPr>
        <w:spacing w:line="360" w:lineRule="auto"/>
        <w:ind w:firstLine="480"/>
        <w:rPr>
          <w:color w:val="auto"/>
          <w:szCs w:val="24"/>
        </w:rPr>
      </w:pPr>
      <w:r>
        <w:rPr>
          <w:color w:val="auto"/>
          <w:szCs w:val="24"/>
        </w:rPr>
        <w:t>C、地面效应衰减</w:t>
      </w:r>
      <w:r>
        <w:rPr>
          <w:rFonts w:hint="eastAsia"/>
          <w:color w:val="auto"/>
          <w:szCs w:val="24"/>
          <w:lang w:eastAsia="zh-CN"/>
        </w:rPr>
        <w:t>（</w:t>
      </w:r>
      <w:r>
        <w:rPr>
          <w:color w:val="auto"/>
          <w:szCs w:val="24"/>
        </w:rPr>
        <w:t>Agr</w:t>
      </w:r>
      <w:r>
        <w:rPr>
          <w:rFonts w:hint="eastAsia"/>
          <w:color w:val="auto"/>
          <w:szCs w:val="24"/>
          <w:lang w:eastAsia="zh-CN"/>
        </w:rPr>
        <w:t>）</w:t>
      </w:r>
    </w:p>
    <w:p w14:paraId="0DC8C6E2">
      <w:pPr>
        <w:spacing w:line="360" w:lineRule="auto"/>
        <w:ind w:firstLine="480"/>
        <w:rPr>
          <w:color w:val="auto"/>
          <w:szCs w:val="24"/>
        </w:rPr>
      </w:pPr>
      <w:r>
        <w:rPr>
          <w:color w:val="auto"/>
          <w:szCs w:val="24"/>
        </w:rPr>
        <w:t>地面类型可分为：坚实地面，包括铺筑过的路面、水面、冰面以及夯实地面；疏松地面，包括被草或其他植物覆盖的地面，以及农田等适合于植物生长的地面；混合地面，由坚实地面和疏松地面组成。</w:t>
      </w:r>
    </w:p>
    <w:p w14:paraId="5BAEF25B">
      <w:pPr>
        <w:spacing w:line="360" w:lineRule="auto"/>
        <w:ind w:firstLine="480"/>
        <w:rPr>
          <w:color w:val="auto"/>
          <w:szCs w:val="24"/>
        </w:rPr>
      </w:pPr>
      <w:r>
        <w:rPr>
          <w:color w:val="auto"/>
          <w:szCs w:val="24"/>
        </w:rPr>
        <w:drawing>
          <wp:anchor distT="0" distB="0" distL="114300" distR="114300" simplePos="0" relativeHeight="251659264" behindDoc="0" locked="0" layoutInCell="1" allowOverlap="1">
            <wp:simplePos x="0" y="0"/>
            <wp:positionH relativeFrom="column">
              <wp:posOffset>2125345</wp:posOffset>
            </wp:positionH>
            <wp:positionV relativeFrom="paragraph">
              <wp:posOffset>584835</wp:posOffset>
            </wp:positionV>
            <wp:extent cx="1627505" cy="414655"/>
            <wp:effectExtent l="0" t="0" r="0" b="4445"/>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627505" cy="414655"/>
                    </a:xfrm>
                    <a:prstGeom prst="rect">
                      <a:avLst/>
                    </a:prstGeom>
                    <a:noFill/>
                  </pic:spPr>
                </pic:pic>
              </a:graphicData>
            </a:graphic>
          </wp:anchor>
        </w:drawing>
      </w:r>
      <w:r>
        <w:rPr>
          <w:color w:val="auto"/>
          <w:szCs w:val="24"/>
        </w:rPr>
        <w:t>声波越过疏松地面传播时，或大部分为疏松地面的混合地面，在预测点仅计算A声级前提下，地面效应引起的倍频带衰减公式：</w:t>
      </w:r>
    </w:p>
    <w:p w14:paraId="5BB73BAF">
      <w:pPr>
        <w:spacing w:line="360" w:lineRule="auto"/>
        <w:ind w:firstLine="480"/>
        <w:rPr>
          <w:color w:val="auto"/>
          <w:szCs w:val="24"/>
        </w:rPr>
      </w:pPr>
    </w:p>
    <w:p w14:paraId="0CD06292">
      <w:pPr>
        <w:spacing w:line="360" w:lineRule="auto"/>
        <w:ind w:firstLine="480"/>
        <w:rPr>
          <w:color w:val="auto"/>
          <w:szCs w:val="24"/>
        </w:rPr>
      </w:pPr>
    </w:p>
    <w:p w14:paraId="3A72EB6A">
      <w:pPr>
        <w:spacing w:line="360" w:lineRule="auto"/>
        <w:ind w:firstLine="480"/>
        <w:rPr>
          <w:color w:val="auto"/>
          <w:szCs w:val="24"/>
        </w:rPr>
      </w:pPr>
      <w:r>
        <w:rPr>
          <w:color w:val="auto"/>
          <w:szCs w:val="24"/>
        </w:rPr>
        <w:t>项目的噪声预测，只考虑几何发散衰减</w:t>
      </w:r>
      <w:r>
        <w:rPr>
          <w:rFonts w:hint="eastAsia"/>
          <w:color w:val="auto"/>
          <w:szCs w:val="24"/>
          <w:lang w:eastAsia="zh-CN"/>
        </w:rPr>
        <w:t>（</w:t>
      </w:r>
      <w:r>
        <w:rPr>
          <w:color w:val="auto"/>
          <w:szCs w:val="24"/>
        </w:rPr>
        <w:t>Adiv</w:t>
      </w:r>
      <w:r>
        <w:rPr>
          <w:rFonts w:hint="eastAsia"/>
          <w:color w:val="auto"/>
          <w:szCs w:val="24"/>
          <w:lang w:eastAsia="zh-CN"/>
        </w:rPr>
        <w:t>）</w:t>
      </w:r>
      <w:r>
        <w:rPr>
          <w:color w:val="auto"/>
          <w:szCs w:val="24"/>
        </w:rPr>
        <w:t>、地面效应衰减</w:t>
      </w:r>
      <w:r>
        <w:rPr>
          <w:rFonts w:hint="eastAsia"/>
          <w:color w:val="auto"/>
          <w:szCs w:val="24"/>
          <w:lang w:eastAsia="zh-CN"/>
        </w:rPr>
        <w:t>（</w:t>
      </w:r>
      <w:r>
        <w:rPr>
          <w:color w:val="auto"/>
          <w:szCs w:val="24"/>
        </w:rPr>
        <w:t>Agr</w:t>
      </w:r>
      <w:r>
        <w:rPr>
          <w:rFonts w:hint="eastAsia"/>
          <w:color w:val="auto"/>
          <w:szCs w:val="24"/>
          <w:lang w:eastAsia="zh-CN"/>
        </w:rPr>
        <w:t>）</w:t>
      </w:r>
      <w:r>
        <w:rPr>
          <w:color w:val="auto"/>
          <w:szCs w:val="24"/>
        </w:rPr>
        <w:t>，</w:t>
      </w:r>
      <w:r>
        <w:rPr>
          <w:rFonts w:hint="eastAsia"/>
          <w:color w:val="auto"/>
          <w:szCs w:val="24"/>
          <w:lang w:eastAsia="zh-CN"/>
        </w:rPr>
        <w:t>其他</w:t>
      </w:r>
      <w:r>
        <w:rPr>
          <w:color w:val="auto"/>
          <w:szCs w:val="24"/>
        </w:rPr>
        <w:t>项目衰减作为预测计算的安全系数而忽略不计。</w:t>
      </w:r>
    </w:p>
    <w:p w14:paraId="5ABDC756">
      <w:pPr>
        <w:spacing w:line="360" w:lineRule="auto"/>
        <w:ind w:firstLine="480"/>
        <w:rPr>
          <w:color w:val="auto"/>
          <w:szCs w:val="24"/>
        </w:rPr>
      </w:pPr>
      <w:r>
        <w:rPr>
          <w:rFonts w:hint="eastAsia"/>
          <w:color w:val="auto"/>
          <w:szCs w:val="24"/>
        </w:rPr>
        <w:t>D、有限长薄屏障在点声源声场中引起的衰减</w:t>
      </w:r>
    </w:p>
    <w:p w14:paraId="2F484E79">
      <w:pPr>
        <w:spacing w:line="360" w:lineRule="auto"/>
        <w:ind w:firstLine="480"/>
        <w:rPr>
          <w:color w:val="auto"/>
          <w:szCs w:val="24"/>
        </w:rPr>
      </w:pPr>
      <w:r>
        <w:rPr>
          <w:rFonts w:hint="eastAsia"/>
          <w:color w:val="auto"/>
          <w:szCs w:val="24"/>
        </w:rPr>
        <w:t>a）</w:t>
      </w:r>
      <w:r>
        <w:rPr>
          <w:rFonts w:hint="eastAsia"/>
          <w:color w:val="auto"/>
          <w:szCs w:val="24"/>
        </w:rPr>
        <w:tab/>
      </w:r>
      <w:r>
        <w:rPr>
          <w:rFonts w:hint="eastAsia"/>
          <w:color w:val="auto"/>
          <w:szCs w:val="24"/>
        </w:rPr>
        <w:t>三个传播途径的声程差 δ1，δ2，δ3 和相应的菲涅尔数 N1、N2、N3。</w:t>
      </w:r>
    </w:p>
    <w:p w14:paraId="1E9303B6">
      <w:pPr>
        <w:spacing w:line="360" w:lineRule="auto"/>
        <w:ind w:firstLine="480"/>
        <w:rPr>
          <w:color w:val="auto"/>
          <w:szCs w:val="24"/>
        </w:rPr>
      </w:pPr>
      <w:r>
        <w:rPr>
          <w:rFonts w:hint="eastAsia"/>
          <w:color w:val="auto"/>
          <w:szCs w:val="24"/>
        </w:rPr>
        <w:t>b）声屏障引起的衰减按下式计算：</w:t>
      </w:r>
    </w:p>
    <w:p w14:paraId="597F0970">
      <w:pPr>
        <w:spacing w:line="360" w:lineRule="auto"/>
        <w:ind w:firstLine="199" w:firstLineChars="83"/>
        <w:jc w:val="center"/>
        <w:rPr>
          <w:color w:val="auto"/>
          <w:szCs w:val="24"/>
        </w:rPr>
      </w:pPr>
      <w:r>
        <w:rPr>
          <w:color w:val="auto"/>
        </w:rPr>
        <w:drawing>
          <wp:inline distT="0" distB="0" distL="0" distR="0">
            <wp:extent cx="3810635" cy="63944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2"/>
                    <a:stretch>
                      <a:fillRect/>
                    </a:stretch>
                  </pic:blipFill>
                  <pic:spPr>
                    <a:xfrm>
                      <a:off x="0" y="0"/>
                      <a:ext cx="3819119" cy="641166"/>
                    </a:xfrm>
                    <a:prstGeom prst="rect">
                      <a:avLst/>
                    </a:prstGeom>
                  </pic:spPr>
                </pic:pic>
              </a:graphicData>
            </a:graphic>
          </wp:inline>
        </w:drawing>
      </w:r>
    </w:p>
    <w:p w14:paraId="339E53CA">
      <w:pPr>
        <w:spacing w:line="360" w:lineRule="auto"/>
        <w:ind w:firstLine="480"/>
        <w:rPr>
          <w:color w:val="auto"/>
          <w:szCs w:val="24"/>
        </w:rPr>
      </w:pPr>
      <w:r>
        <w:rPr>
          <w:rFonts w:hint="eastAsia"/>
          <w:color w:val="auto"/>
          <w:szCs w:val="24"/>
        </w:rPr>
        <w:t>式中：Abar ——障碍物屏蔽引起的衰减，dB；</w:t>
      </w:r>
    </w:p>
    <w:p w14:paraId="30FB7A62">
      <w:pPr>
        <w:spacing w:line="360" w:lineRule="auto"/>
        <w:ind w:firstLine="1080" w:firstLineChars="450"/>
        <w:rPr>
          <w:color w:val="auto"/>
          <w:szCs w:val="24"/>
        </w:rPr>
      </w:pPr>
      <w:r>
        <w:rPr>
          <w:rFonts w:hint="eastAsia"/>
          <w:color w:val="auto"/>
          <w:szCs w:val="24"/>
        </w:rPr>
        <w:t>N1、N2、N3——图 A.6 所示三个传播途径的声程差 δ1，δ2，δ3 相应的菲涅尔数。</w:t>
      </w:r>
    </w:p>
    <w:p w14:paraId="58701AE7">
      <w:pPr>
        <w:spacing w:line="360" w:lineRule="auto"/>
        <w:ind w:firstLine="480"/>
        <w:rPr>
          <w:color w:val="auto"/>
          <w:szCs w:val="24"/>
        </w:rPr>
      </w:pPr>
      <w:r>
        <w:rPr>
          <w:rFonts w:hint="eastAsia"/>
          <w:color w:val="auto"/>
          <w:szCs w:val="24"/>
        </w:rPr>
        <w:t>E、其他方面效应引起的衰减（Amisc）</w:t>
      </w:r>
    </w:p>
    <w:p w14:paraId="2A2722E2">
      <w:pPr>
        <w:spacing w:line="360" w:lineRule="auto"/>
        <w:ind w:firstLine="480"/>
        <w:rPr>
          <w:color w:val="auto"/>
          <w:szCs w:val="24"/>
        </w:rPr>
      </w:pPr>
      <w:r>
        <w:rPr>
          <w:rFonts w:hint="eastAsia"/>
          <w:color w:val="auto"/>
          <w:szCs w:val="24"/>
        </w:rPr>
        <w:t>其他衰减包括通过工业场所的衰减；通过建筑群的衰减等。在声环境影响评价中，一般情况下，不考虑自然条件（如风、温度梯度、雾）变化引起的附加修正。</w:t>
      </w:r>
    </w:p>
    <w:p w14:paraId="4FB42556">
      <w:pPr>
        <w:spacing w:line="360" w:lineRule="auto"/>
        <w:ind w:firstLine="480"/>
        <w:rPr>
          <w:color w:val="auto"/>
          <w:szCs w:val="24"/>
        </w:rPr>
      </w:pPr>
      <w:r>
        <w:rPr>
          <w:color w:val="auto"/>
          <w:szCs w:val="24"/>
        </w:rPr>
        <w:t>（2）预测结果</w:t>
      </w:r>
    </w:p>
    <w:p w14:paraId="17FDCFBA">
      <w:pPr>
        <w:spacing w:line="360" w:lineRule="auto"/>
        <w:ind w:firstLine="480"/>
        <w:rPr>
          <w:color w:val="auto"/>
          <w:szCs w:val="24"/>
        </w:rPr>
      </w:pPr>
      <w:r>
        <w:rPr>
          <w:color w:val="auto"/>
          <w:szCs w:val="24"/>
        </w:rPr>
        <w:t>利用上述模式预测施工场界外不同距离的噪声值（不考虑任何隔声措施），见表5.3-1。</w:t>
      </w:r>
    </w:p>
    <w:p w14:paraId="3271AA5D">
      <w:pPr>
        <w:spacing w:line="360" w:lineRule="auto"/>
        <w:ind w:firstLine="482"/>
        <w:jc w:val="center"/>
        <w:rPr>
          <w:b/>
          <w:snapToGrid w:val="0"/>
          <w:color w:val="auto"/>
          <w:kern w:val="0"/>
          <w:szCs w:val="24"/>
        </w:rPr>
      </w:pPr>
      <w:r>
        <w:rPr>
          <w:b/>
          <w:snapToGrid w:val="0"/>
          <w:color w:val="auto"/>
          <w:kern w:val="0"/>
          <w:szCs w:val="24"/>
        </w:rPr>
        <w:t>表5.3-1  施工噪声影响预测结果及分析单位：dB（A）</w:t>
      </w:r>
    </w:p>
    <w:tbl>
      <w:tblPr>
        <w:tblStyle w:val="88"/>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1174"/>
        <w:gridCol w:w="1094"/>
        <w:gridCol w:w="1094"/>
        <w:gridCol w:w="1367"/>
        <w:gridCol w:w="894"/>
        <w:gridCol w:w="1418"/>
        <w:gridCol w:w="956"/>
      </w:tblGrid>
      <w:tr w14:paraId="6876A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289" w:type="dxa"/>
            <w:tcBorders>
              <w:tl2br w:val="single" w:color="auto" w:sz="4" w:space="0"/>
            </w:tcBorders>
            <w:vAlign w:val="center"/>
          </w:tcPr>
          <w:p w14:paraId="78DC299C">
            <w:pPr>
              <w:spacing w:line="240" w:lineRule="auto"/>
              <w:ind w:firstLine="0" w:firstLineChars="0"/>
              <w:jc w:val="center"/>
              <w:rPr>
                <w:bCs/>
                <w:color w:val="auto"/>
                <w:sz w:val="21"/>
                <w:szCs w:val="21"/>
              </w:rPr>
            </w:pPr>
            <w:r>
              <w:rPr>
                <w:rFonts w:hint="eastAsia"/>
                <w:bCs/>
                <w:color w:val="auto"/>
                <w:sz w:val="21"/>
                <w:szCs w:val="21"/>
              </w:rPr>
              <w:t>噪声源</w:t>
            </w:r>
          </w:p>
          <w:p w14:paraId="1E439F1F">
            <w:pPr>
              <w:spacing w:line="240" w:lineRule="auto"/>
              <w:ind w:firstLine="0" w:firstLineChars="0"/>
              <w:rPr>
                <w:bCs/>
                <w:color w:val="auto"/>
                <w:sz w:val="21"/>
                <w:szCs w:val="21"/>
              </w:rPr>
            </w:pPr>
            <w:r>
              <w:rPr>
                <w:rFonts w:hint="eastAsia"/>
                <w:bCs/>
                <w:color w:val="auto"/>
                <w:sz w:val="21"/>
                <w:szCs w:val="21"/>
              </w:rPr>
              <w:t>距离（m）</w:t>
            </w:r>
          </w:p>
        </w:tc>
        <w:tc>
          <w:tcPr>
            <w:tcW w:w="1174" w:type="dxa"/>
            <w:vAlign w:val="center"/>
          </w:tcPr>
          <w:p w14:paraId="15EDB54A">
            <w:pPr>
              <w:keepNext/>
              <w:widowControl/>
              <w:spacing w:line="240" w:lineRule="auto"/>
              <w:ind w:firstLine="0" w:firstLineChars="0"/>
              <w:jc w:val="center"/>
              <w:rPr>
                <w:color w:val="auto"/>
                <w:sz w:val="21"/>
                <w:szCs w:val="21"/>
              </w:rPr>
            </w:pPr>
            <w:r>
              <w:rPr>
                <w:rFonts w:hint="eastAsia"/>
                <w:color w:val="auto"/>
                <w:sz w:val="21"/>
                <w:szCs w:val="21"/>
              </w:rPr>
              <w:t>混凝土振捣器</w:t>
            </w:r>
          </w:p>
        </w:tc>
        <w:tc>
          <w:tcPr>
            <w:tcW w:w="1094" w:type="dxa"/>
            <w:vAlign w:val="center"/>
          </w:tcPr>
          <w:p w14:paraId="1C751F7F">
            <w:pPr>
              <w:keepNext/>
              <w:widowControl/>
              <w:spacing w:line="240" w:lineRule="auto"/>
              <w:ind w:firstLine="0" w:firstLineChars="0"/>
              <w:jc w:val="center"/>
              <w:rPr>
                <w:color w:val="auto"/>
                <w:sz w:val="21"/>
                <w:szCs w:val="21"/>
              </w:rPr>
            </w:pPr>
            <w:r>
              <w:rPr>
                <w:rFonts w:hint="eastAsia"/>
                <w:color w:val="auto"/>
                <w:sz w:val="21"/>
                <w:szCs w:val="21"/>
              </w:rPr>
              <w:t>空压机</w:t>
            </w:r>
          </w:p>
        </w:tc>
        <w:tc>
          <w:tcPr>
            <w:tcW w:w="1094" w:type="dxa"/>
            <w:vAlign w:val="center"/>
          </w:tcPr>
          <w:p w14:paraId="71AEE6B7">
            <w:pPr>
              <w:keepNext/>
              <w:widowControl/>
              <w:spacing w:line="240" w:lineRule="auto"/>
              <w:ind w:firstLine="0" w:firstLineChars="0"/>
              <w:jc w:val="center"/>
              <w:rPr>
                <w:color w:val="auto"/>
                <w:sz w:val="21"/>
                <w:szCs w:val="21"/>
              </w:rPr>
            </w:pPr>
            <w:r>
              <w:rPr>
                <w:rFonts w:hint="eastAsia"/>
                <w:color w:val="auto"/>
                <w:sz w:val="21"/>
                <w:szCs w:val="21"/>
              </w:rPr>
              <w:t>装载机</w:t>
            </w:r>
          </w:p>
        </w:tc>
        <w:tc>
          <w:tcPr>
            <w:tcW w:w="1367" w:type="dxa"/>
            <w:vAlign w:val="center"/>
          </w:tcPr>
          <w:p w14:paraId="1A92DF32">
            <w:pPr>
              <w:keepNext/>
              <w:widowControl/>
              <w:spacing w:line="240" w:lineRule="auto"/>
              <w:ind w:firstLine="0" w:firstLineChars="0"/>
              <w:jc w:val="center"/>
              <w:rPr>
                <w:color w:val="auto"/>
                <w:sz w:val="21"/>
                <w:szCs w:val="21"/>
              </w:rPr>
            </w:pPr>
            <w:r>
              <w:rPr>
                <w:rFonts w:hint="eastAsia"/>
                <w:color w:val="auto"/>
                <w:sz w:val="21"/>
                <w:szCs w:val="21"/>
              </w:rPr>
              <w:t>打桩机</w:t>
            </w:r>
          </w:p>
        </w:tc>
        <w:tc>
          <w:tcPr>
            <w:tcW w:w="894" w:type="dxa"/>
            <w:vAlign w:val="center"/>
          </w:tcPr>
          <w:p w14:paraId="601B8907">
            <w:pPr>
              <w:keepNext/>
              <w:widowControl/>
              <w:spacing w:line="240" w:lineRule="auto"/>
              <w:ind w:firstLine="0" w:firstLineChars="0"/>
              <w:jc w:val="center"/>
              <w:rPr>
                <w:color w:val="auto"/>
                <w:sz w:val="21"/>
                <w:szCs w:val="21"/>
              </w:rPr>
            </w:pPr>
            <w:r>
              <w:rPr>
                <w:rFonts w:hint="eastAsia"/>
                <w:color w:val="auto"/>
                <w:sz w:val="21"/>
                <w:szCs w:val="21"/>
              </w:rPr>
              <w:t>挖掘机</w:t>
            </w:r>
          </w:p>
        </w:tc>
        <w:tc>
          <w:tcPr>
            <w:tcW w:w="1418" w:type="dxa"/>
            <w:vAlign w:val="center"/>
          </w:tcPr>
          <w:p w14:paraId="0049938F">
            <w:pPr>
              <w:keepNext/>
              <w:widowControl/>
              <w:spacing w:line="240" w:lineRule="auto"/>
              <w:ind w:firstLine="0" w:firstLineChars="0"/>
              <w:jc w:val="center"/>
              <w:rPr>
                <w:color w:val="auto"/>
                <w:sz w:val="21"/>
                <w:szCs w:val="21"/>
              </w:rPr>
            </w:pPr>
            <w:r>
              <w:rPr>
                <w:rFonts w:hint="eastAsia"/>
                <w:color w:val="auto"/>
                <w:sz w:val="21"/>
                <w:szCs w:val="21"/>
              </w:rPr>
              <w:t>重型运输车</w:t>
            </w:r>
          </w:p>
        </w:tc>
        <w:tc>
          <w:tcPr>
            <w:tcW w:w="956" w:type="dxa"/>
            <w:vAlign w:val="center"/>
          </w:tcPr>
          <w:p w14:paraId="199E9455">
            <w:pPr>
              <w:keepNext/>
              <w:widowControl/>
              <w:spacing w:line="240" w:lineRule="auto"/>
              <w:ind w:firstLine="0" w:firstLineChars="0"/>
              <w:jc w:val="center"/>
              <w:rPr>
                <w:color w:val="auto"/>
                <w:sz w:val="21"/>
                <w:szCs w:val="21"/>
              </w:rPr>
            </w:pPr>
            <w:r>
              <w:rPr>
                <w:rFonts w:hint="eastAsia"/>
                <w:color w:val="auto"/>
                <w:sz w:val="21"/>
                <w:szCs w:val="21"/>
              </w:rPr>
              <w:t>推土机</w:t>
            </w:r>
          </w:p>
        </w:tc>
      </w:tr>
      <w:tr w14:paraId="4E63B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dxa"/>
            <w:vAlign w:val="center"/>
          </w:tcPr>
          <w:p w14:paraId="61D6C87C">
            <w:pPr>
              <w:spacing w:line="240" w:lineRule="auto"/>
              <w:ind w:firstLine="0" w:firstLineChars="0"/>
              <w:jc w:val="center"/>
              <w:rPr>
                <w:bCs/>
                <w:color w:val="auto"/>
                <w:sz w:val="21"/>
                <w:szCs w:val="21"/>
              </w:rPr>
            </w:pPr>
            <w:r>
              <w:rPr>
                <w:rFonts w:hint="eastAsia"/>
                <w:color w:val="auto"/>
                <w:sz w:val="21"/>
                <w:szCs w:val="21"/>
              </w:rPr>
              <w:t>10</w:t>
            </w:r>
          </w:p>
        </w:tc>
        <w:tc>
          <w:tcPr>
            <w:tcW w:w="1174" w:type="dxa"/>
            <w:vAlign w:val="center"/>
          </w:tcPr>
          <w:p w14:paraId="6362461F">
            <w:pPr>
              <w:spacing w:line="240" w:lineRule="auto"/>
              <w:ind w:firstLine="0" w:firstLineChars="0"/>
              <w:jc w:val="center"/>
              <w:rPr>
                <w:color w:val="auto"/>
                <w:sz w:val="21"/>
                <w:szCs w:val="21"/>
              </w:rPr>
            </w:pPr>
            <w:r>
              <w:rPr>
                <w:rFonts w:hint="eastAsia"/>
                <w:color w:val="auto"/>
                <w:sz w:val="21"/>
                <w:szCs w:val="21"/>
              </w:rPr>
              <w:t>84</w:t>
            </w:r>
          </w:p>
        </w:tc>
        <w:tc>
          <w:tcPr>
            <w:tcW w:w="1094" w:type="dxa"/>
            <w:vAlign w:val="center"/>
          </w:tcPr>
          <w:p w14:paraId="4E2BB5A5">
            <w:pPr>
              <w:keepNext/>
              <w:widowControl/>
              <w:spacing w:line="240" w:lineRule="auto"/>
              <w:ind w:firstLine="0" w:firstLineChars="0"/>
              <w:jc w:val="center"/>
              <w:rPr>
                <w:color w:val="auto"/>
                <w:sz w:val="21"/>
                <w:szCs w:val="21"/>
              </w:rPr>
            </w:pPr>
            <w:r>
              <w:rPr>
                <w:rFonts w:hint="eastAsia"/>
                <w:color w:val="auto"/>
                <w:sz w:val="21"/>
                <w:szCs w:val="21"/>
              </w:rPr>
              <w:t>88</w:t>
            </w:r>
          </w:p>
        </w:tc>
        <w:tc>
          <w:tcPr>
            <w:tcW w:w="1094" w:type="dxa"/>
            <w:vAlign w:val="center"/>
          </w:tcPr>
          <w:p w14:paraId="08F316CE">
            <w:pPr>
              <w:keepNext/>
              <w:widowControl/>
              <w:spacing w:line="240" w:lineRule="auto"/>
              <w:ind w:firstLine="0" w:firstLineChars="0"/>
              <w:jc w:val="center"/>
              <w:rPr>
                <w:color w:val="auto"/>
                <w:sz w:val="21"/>
                <w:szCs w:val="21"/>
              </w:rPr>
            </w:pPr>
            <w:r>
              <w:rPr>
                <w:rFonts w:hint="eastAsia"/>
                <w:color w:val="auto"/>
                <w:sz w:val="21"/>
                <w:szCs w:val="21"/>
              </w:rPr>
              <w:t>91</w:t>
            </w:r>
          </w:p>
        </w:tc>
        <w:tc>
          <w:tcPr>
            <w:tcW w:w="1367" w:type="dxa"/>
            <w:vAlign w:val="center"/>
          </w:tcPr>
          <w:p w14:paraId="066FFCAC">
            <w:pPr>
              <w:keepNext/>
              <w:widowControl/>
              <w:spacing w:line="240" w:lineRule="auto"/>
              <w:ind w:firstLine="0" w:firstLineChars="0"/>
              <w:jc w:val="center"/>
              <w:rPr>
                <w:color w:val="auto"/>
                <w:sz w:val="21"/>
                <w:szCs w:val="21"/>
              </w:rPr>
            </w:pPr>
            <w:r>
              <w:rPr>
                <w:rFonts w:hint="eastAsia"/>
                <w:color w:val="auto"/>
                <w:sz w:val="21"/>
                <w:szCs w:val="21"/>
              </w:rPr>
              <w:t>105</w:t>
            </w:r>
          </w:p>
        </w:tc>
        <w:tc>
          <w:tcPr>
            <w:tcW w:w="894" w:type="dxa"/>
            <w:vAlign w:val="center"/>
          </w:tcPr>
          <w:p w14:paraId="43B9D2BA">
            <w:pPr>
              <w:keepNext/>
              <w:widowControl/>
              <w:spacing w:line="240" w:lineRule="auto"/>
              <w:ind w:firstLine="0" w:firstLineChars="0"/>
              <w:jc w:val="center"/>
              <w:rPr>
                <w:color w:val="auto"/>
                <w:sz w:val="21"/>
                <w:szCs w:val="21"/>
              </w:rPr>
            </w:pPr>
            <w:r>
              <w:rPr>
                <w:rFonts w:hint="eastAsia"/>
                <w:color w:val="auto"/>
                <w:sz w:val="21"/>
                <w:szCs w:val="21"/>
              </w:rPr>
              <w:t>86</w:t>
            </w:r>
          </w:p>
        </w:tc>
        <w:tc>
          <w:tcPr>
            <w:tcW w:w="1418" w:type="dxa"/>
            <w:vAlign w:val="center"/>
          </w:tcPr>
          <w:p w14:paraId="3B73EF03">
            <w:pPr>
              <w:keepNext/>
              <w:widowControl/>
              <w:spacing w:line="240" w:lineRule="auto"/>
              <w:ind w:firstLine="0" w:firstLineChars="0"/>
              <w:jc w:val="center"/>
              <w:rPr>
                <w:color w:val="auto"/>
                <w:sz w:val="21"/>
                <w:szCs w:val="21"/>
              </w:rPr>
            </w:pPr>
            <w:r>
              <w:rPr>
                <w:rFonts w:hint="eastAsia"/>
                <w:color w:val="auto"/>
                <w:sz w:val="21"/>
                <w:szCs w:val="21"/>
              </w:rPr>
              <w:t>86</w:t>
            </w:r>
          </w:p>
        </w:tc>
        <w:tc>
          <w:tcPr>
            <w:tcW w:w="956" w:type="dxa"/>
            <w:vAlign w:val="center"/>
          </w:tcPr>
          <w:p w14:paraId="63C7F97C">
            <w:pPr>
              <w:keepNext/>
              <w:widowControl/>
              <w:spacing w:line="240" w:lineRule="auto"/>
              <w:ind w:firstLine="0" w:firstLineChars="0"/>
              <w:jc w:val="center"/>
              <w:rPr>
                <w:color w:val="auto"/>
                <w:sz w:val="21"/>
                <w:szCs w:val="21"/>
              </w:rPr>
            </w:pPr>
            <w:r>
              <w:rPr>
                <w:rFonts w:hint="eastAsia"/>
                <w:color w:val="auto"/>
                <w:sz w:val="21"/>
                <w:szCs w:val="21"/>
              </w:rPr>
              <w:t>85</w:t>
            </w:r>
          </w:p>
        </w:tc>
      </w:tr>
      <w:tr w14:paraId="5187A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dxa"/>
            <w:vAlign w:val="center"/>
          </w:tcPr>
          <w:p w14:paraId="2A22F532">
            <w:pPr>
              <w:spacing w:line="240" w:lineRule="auto"/>
              <w:ind w:firstLine="0" w:firstLineChars="0"/>
              <w:jc w:val="center"/>
              <w:rPr>
                <w:bCs/>
                <w:color w:val="auto"/>
                <w:sz w:val="21"/>
                <w:szCs w:val="21"/>
              </w:rPr>
            </w:pPr>
            <w:r>
              <w:rPr>
                <w:rFonts w:hint="eastAsia"/>
                <w:color w:val="auto"/>
                <w:sz w:val="21"/>
                <w:szCs w:val="21"/>
              </w:rPr>
              <w:t>20</w:t>
            </w:r>
          </w:p>
        </w:tc>
        <w:tc>
          <w:tcPr>
            <w:tcW w:w="1174" w:type="dxa"/>
            <w:vAlign w:val="center"/>
          </w:tcPr>
          <w:p w14:paraId="7278515B">
            <w:pPr>
              <w:spacing w:line="240" w:lineRule="auto"/>
              <w:ind w:firstLine="0" w:firstLineChars="0"/>
              <w:jc w:val="center"/>
              <w:rPr>
                <w:color w:val="auto"/>
                <w:sz w:val="21"/>
                <w:szCs w:val="21"/>
              </w:rPr>
            </w:pPr>
            <w:r>
              <w:rPr>
                <w:rFonts w:hint="eastAsia"/>
                <w:color w:val="auto"/>
                <w:sz w:val="21"/>
                <w:szCs w:val="21"/>
              </w:rPr>
              <w:t>78</w:t>
            </w:r>
          </w:p>
        </w:tc>
        <w:tc>
          <w:tcPr>
            <w:tcW w:w="1094" w:type="dxa"/>
            <w:vAlign w:val="center"/>
          </w:tcPr>
          <w:p w14:paraId="7D989496">
            <w:pPr>
              <w:keepNext/>
              <w:widowControl/>
              <w:spacing w:line="240" w:lineRule="auto"/>
              <w:ind w:firstLine="0" w:firstLineChars="0"/>
              <w:jc w:val="center"/>
              <w:rPr>
                <w:color w:val="auto"/>
                <w:sz w:val="21"/>
                <w:szCs w:val="21"/>
              </w:rPr>
            </w:pPr>
            <w:r>
              <w:rPr>
                <w:rFonts w:hint="eastAsia"/>
                <w:color w:val="auto"/>
                <w:sz w:val="21"/>
                <w:szCs w:val="21"/>
              </w:rPr>
              <w:t>82</w:t>
            </w:r>
          </w:p>
        </w:tc>
        <w:tc>
          <w:tcPr>
            <w:tcW w:w="1094" w:type="dxa"/>
            <w:vAlign w:val="center"/>
          </w:tcPr>
          <w:p w14:paraId="0935F533">
            <w:pPr>
              <w:keepNext/>
              <w:widowControl/>
              <w:spacing w:line="240" w:lineRule="auto"/>
              <w:ind w:firstLine="0" w:firstLineChars="0"/>
              <w:jc w:val="center"/>
              <w:rPr>
                <w:color w:val="auto"/>
                <w:sz w:val="21"/>
                <w:szCs w:val="21"/>
              </w:rPr>
            </w:pPr>
            <w:r>
              <w:rPr>
                <w:rFonts w:hint="eastAsia"/>
                <w:color w:val="auto"/>
                <w:sz w:val="21"/>
                <w:szCs w:val="21"/>
              </w:rPr>
              <w:t>85</w:t>
            </w:r>
          </w:p>
        </w:tc>
        <w:tc>
          <w:tcPr>
            <w:tcW w:w="1367" w:type="dxa"/>
            <w:vAlign w:val="center"/>
          </w:tcPr>
          <w:p w14:paraId="184F8B67">
            <w:pPr>
              <w:keepNext/>
              <w:widowControl/>
              <w:spacing w:line="240" w:lineRule="auto"/>
              <w:ind w:firstLine="0" w:firstLineChars="0"/>
              <w:jc w:val="center"/>
              <w:rPr>
                <w:color w:val="auto"/>
                <w:sz w:val="21"/>
                <w:szCs w:val="21"/>
              </w:rPr>
            </w:pPr>
            <w:r>
              <w:rPr>
                <w:rFonts w:hint="eastAsia"/>
                <w:color w:val="auto"/>
                <w:sz w:val="21"/>
                <w:szCs w:val="21"/>
              </w:rPr>
              <w:t>99</w:t>
            </w:r>
          </w:p>
        </w:tc>
        <w:tc>
          <w:tcPr>
            <w:tcW w:w="894" w:type="dxa"/>
            <w:vAlign w:val="center"/>
          </w:tcPr>
          <w:p w14:paraId="08DE7FE3">
            <w:pPr>
              <w:keepNext/>
              <w:widowControl/>
              <w:spacing w:line="240" w:lineRule="auto"/>
              <w:ind w:firstLine="0" w:firstLineChars="0"/>
              <w:jc w:val="center"/>
              <w:rPr>
                <w:color w:val="auto"/>
                <w:sz w:val="21"/>
                <w:szCs w:val="21"/>
              </w:rPr>
            </w:pPr>
            <w:r>
              <w:rPr>
                <w:rFonts w:hint="eastAsia"/>
                <w:color w:val="auto"/>
                <w:sz w:val="21"/>
                <w:szCs w:val="21"/>
              </w:rPr>
              <w:t>80</w:t>
            </w:r>
          </w:p>
        </w:tc>
        <w:tc>
          <w:tcPr>
            <w:tcW w:w="1418" w:type="dxa"/>
            <w:vAlign w:val="center"/>
          </w:tcPr>
          <w:p w14:paraId="4460A570">
            <w:pPr>
              <w:keepNext/>
              <w:widowControl/>
              <w:spacing w:line="240" w:lineRule="auto"/>
              <w:ind w:firstLine="0" w:firstLineChars="0"/>
              <w:jc w:val="center"/>
              <w:rPr>
                <w:color w:val="auto"/>
                <w:sz w:val="21"/>
                <w:szCs w:val="21"/>
              </w:rPr>
            </w:pPr>
            <w:r>
              <w:rPr>
                <w:rFonts w:hint="eastAsia"/>
                <w:color w:val="auto"/>
                <w:sz w:val="21"/>
                <w:szCs w:val="21"/>
              </w:rPr>
              <w:t>80</w:t>
            </w:r>
          </w:p>
        </w:tc>
        <w:tc>
          <w:tcPr>
            <w:tcW w:w="956" w:type="dxa"/>
            <w:vAlign w:val="center"/>
          </w:tcPr>
          <w:p w14:paraId="0DEE9A67">
            <w:pPr>
              <w:keepNext/>
              <w:widowControl/>
              <w:spacing w:line="240" w:lineRule="auto"/>
              <w:ind w:firstLine="0" w:firstLineChars="0"/>
              <w:jc w:val="center"/>
              <w:rPr>
                <w:color w:val="auto"/>
                <w:sz w:val="21"/>
                <w:szCs w:val="21"/>
              </w:rPr>
            </w:pPr>
            <w:r>
              <w:rPr>
                <w:rFonts w:hint="eastAsia"/>
                <w:color w:val="auto"/>
                <w:sz w:val="21"/>
                <w:szCs w:val="21"/>
              </w:rPr>
              <w:t>79</w:t>
            </w:r>
          </w:p>
        </w:tc>
      </w:tr>
      <w:tr w14:paraId="34AFF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dxa"/>
            <w:vAlign w:val="center"/>
          </w:tcPr>
          <w:p w14:paraId="3A532B92">
            <w:pPr>
              <w:spacing w:line="240" w:lineRule="auto"/>
              <w:ind w:firstLine="0" w:firstLineChars="0"/>
              <w:jc w:val="center"/>
              <w:rPr>
                <w:bCs/>
                <w:color w:val="auto"/>
                <w:sz w:val="21"/>
                <w:szCs w:val="21"/>
              </w:rPr>
            </w:pPr>
            <w:r>
              <w:rPr>
                <w:rFonts w:hint="eastAsia"/>
                <w:color w:val="auto"/>
                <w:sz w:val="21"/>
                <w:szCs w:val="21"/>
              </w:rPr>
              <w:t>30</w:t>
            </w:r>
          </w:p>
        </w:tc>
        <w:tc>
          <w:tcPr>
            <w:tcW w:w="1174" w:type="dxa"/>
            <w:vAlign w:val="center"/>
          </w:tcPr>
          <w:p w14:paraId="2FB87969">
            <w:pPr>
              <w:spacing w:line="240" w:lineRule="auto"/>
              <w:ind w:firstLine="0" w:firstLineChars="0"/>
              <w:jc w:val="center"/>
              <w:rPr>
                <w:color w:val="auto"/>
                <w:sz w:val="21"/>
                <w:szCs w:val="21"/>
              </w:rPr>
            </w:pPr>
            <w:r>
              <w:rPr>
                <w:rFonts w:hint="eastAsia"/>
                <w:color w:val="auto"/>
                <w:sz w:val="21"/>
                <w:szCs w:val="21"/>
              </w:rPr>
              <w:t>74</w:t>
            </w:r>
          </w:p>
        </w:tc>
        <w:tc>
          <w:tcPr>
            <w:tcW w:w="1094" w:type="dxa"/>
            <w:vAlign w:val="center"/>
          </w:tcPr>
          <w:p w14:paraId="0DE7CEE1">
            <w:pPr>
              <w:keepNext/>
              <w:widowControl/>
              <w:spacing w:line="240" w:lineRule="auto"/>
              <w:ind w:firstLine="0" w:firstLineChars="0"/>
              <w:jc w:val="center"/>
              <w:rPr>
                <w:color w:val="auto"/>
                <w:sz w:val="21"/>
                <w:szCs w:val="21"/>
              </w:rPr>
            </w:pPr>
            <w:r>
              <w:rPr>
                <w:rFonts w:hint="eastAsia"/>
                <w:color w:val="auto"/>
                <w:sz w:val="21"/>
                <w:szCs w:val="21"/>
              </w:rPr>
              <w:t>78</w:t>
            </w:r>
          </w:p>
        </w:tc>
        <w:tc>
          <w:tcPr>
            <w:tcW w:w="1094" w:type="dxa"/>
            <w:vAlign w:val="center"/>
          </w:tcPr>
          <w:p w14:paraId="6DF1C13F">
            <w:pPr>
              <w:keepNext/>
              <w:widowControl/>
              <w:spacing w:line="240" w:lineRule="auto"/>
              <w:ind w:firstLine="0" w:firstLineChars="0"/>
              <w:jc w:val="center"/>
              <w:rPr>
                <w:color w:val="auto"/>
                <w:sz w:val="21"/>
                <w:szCs w:val="21"/>
              </w:rPr>
            </w:pPr>
            <w:r>
              <w:rPr>
                <w:rFonts w:hint="eastAsia"/>
                <w:color w:val="auto"/>
                <w:sz w:val="21"/>
                <w:szCs w:val="21"/>
              </w:rPr>
              <w:t>81</w:t>
            </w:r>
          </w:p>
        </w:tc>
        <w:tc>
          <w:tcPr>
            <w:tcW w:w="1367" w:type="dxa"/>
            <w:vAlign w:val="center"/>
          </w:tcPr>
          <w:p w14:paraId="103587E2">
            <w:pPr>
              <w:keepNext/>
              <w:widowControl/>
              <w:spacing w:line="240" w:lineRule="auto"/>
              <w:ind w:firstLine="0" w:firstLineChars="0"/>
              <w:jc w:val="center"/>
              <w:rPr>
                <w:color w:val="auto"/>
                <w:sz w:val="21"/>
                <w:szCs w:val="21"/>
              </w:rPr>
            </w:pPr>
            <w:r>
              <w:rPr>
                <w:rFonts w:hint="eastAsia"/>
                <w:color w:val="auto"/>
                <w:sz w:val="21"/>
                <w:szCs w:val="21"/>
              </w:rPr>
              <w:t>95</w:t>
            </w:r>
          </w:p>
        </w:tc>
        <w:tc>
          <w:tcPr>
            <w:tcW w:w="894" w:type="dxa"/>
            <w:vAlign w:val="center"/>
          </w:tcPr>
          <w:p w14:paraId="1EBA4115">
            <w:pPr>
              <w:keepNext/>
              <w:widowControl/>
              <w:spacing w:line="240" w:lineRule="auto"/>
              <w:ind w:firstLine="0" w:firstLineChars="0"/>
              <w:jc w:val="center"/>
              <w:rPr>
                <w:color w:val="auto"/>
                <w:sz w:val="21"/>
                <w:szCs w:val="21"/>
              </w:rPr>
            </w:pPr>
            <w:r>
              <w:rPr>
                <w:rFonts w:hint="eastAsia"/>
                <w:color w:val="auto"/>
                <w:sz w:val="21"/>
                <w:szCs w:val="21"/>
              </w:rPr>
              <w:t>76</w:t>
            </w:r>
          </w:p>
        </w:tc>
        <w:tc>
          <w:tcPr>
            <w:tcW w:w="1418" w:type="dxa"/>
            <w:vAlign w:val="center"/>
          </w:tcPr>
          <w:p w14:paraId="2C520D99">
            <w:pPr>
              <w:keepNext/>
              <w:widowControl/>
              <w:spacing w:line="240" w:lineRule="auto"/>
              <w:ind w:firstLine="0" w:firstLineChars="0"/>
              <w:jc w:val="center"/>
              <w:rPr>
                <w:color w:val="auto"/>
                <w:sz w:val="21"/>
                <w:szCs w:val="21"/>
              </w:rPr>
            </w:pPr>
            <w:r>
              <w:rPr>
                <w:rFonts w:hint="eastAsia"/>
                <w:color w:val="auto"/>
                <w:sz w:val="21"/>
                <w:szCs w:val="21"/>
              </w:rPr>
              <w:t>76</w:t>
            </w:r>
          </w:p>
        </w:tc>
        <w:tc>
          <w:tcPr>
            <w:tcW w:w="956" w:type="dxa"/>
            <w:vAlign w:val="center"/>
          </w:tcPr>
          <w:p w14:paraId="4E2E7F1A">
            <w:pPr>
              <w:keepNext/>
              <w:widowControl/>
              <w:spacing w:line="240" w:lineRule="auto"/>
              <w:ind w:firstLine="0" w:firstLineChars="0"/>
              <w:jc w:val="center"/>
              <w:rPr>
                <w:color w:val="auto"/>
                <w:sz w:val="21"/>
                <w:szCs w:val="21"/>
              </w:rPr>
            </w:pPr>
            <w:r>
              <w:rPr>
                <w:rFonts w:hint="eastAsia"/>
                <w:color w:val="auto"/>
                <w:sz w:val="21"/>
                <w:szCs w:val="21"/>
              </w:rPr>
              <w:t>73</w:t>
            </w:r>
          </w:p>
        </w:tc>
      </w:tr>
      <w:tr w14:paraId="620F0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dxa"/>
            <w:vAlign w:val="center"/>
          </w:tcPr>
          <w:p w14:paraId="1789F2E7">
            <w:pPr>
              <w:spacing w:line="240" w:lineRule="auto"/>
              <w:ind w:firstLine="0" w:firstLineChars="0"/>
              <w:jc w:val="center"/>
              <w:rPr>
                <w:bCs/>
                <w:color w:val="auto"/>
                <w:sz w:val="21"/>
                <w:szCs w:val="21"/>
              </w:rPr>
            </w:pPr>
            <w:r>
              <w:rPr>
                <w:rFonts w:hint="eastAsia"/>
                <w:color w:val="auto"/>
                <w:sz w:val="21"/>
                <w:szCs w:val="21"/>
              </w:rPr>
              <w:t>40</w:t>
            </w:r>
          </w:p>
        </w:tc>
        <w:tc>
          <w:tcPr>
            <w:tcW w:w="1174" w:type="dxa"/>
            <w:vAlign w:val="center"/>
          </w:tcPr>
          <w:p w14:paraId="6CB35484">
            <w:pPr>
              <w:spacing w:line="240" w:lineRule="auto"/>
              <w:ind w:firstLine="0" w:firstLineChars="0"/>
              <w:jc w:val="center"/>
              <w:rPr>
                <w:color w:val="auto"/>
                <w:sz w:val="21"/>
                <w:szCs w:val="21"/>
              </w:rPr>
            </w:pPr>
            <w:r>
              <w:rPr>
                <w:rFonts w:hint="eastAsia"/>
                <w:color w:val="auto"/>
                <w:sz w:val="21"/>
                <w:szCs w:val="21"/>
              </w:rPr>
              <w:t>72</w:t>
            </w:r>
          </w:p>
        </w:tc>
        <w:tc>
          <w:tcPr>
            <w:tcW w:w="1094" w:type="dxa"/>
            <w:vAlign w:val="center"/>
          </w:tcPr>
          <w:p w14:paraId="5F88B786">
            <w:pPr>
              <w:keepNext/>
              <w:widowControl/>
              <w:spacing w:line="240" w:lineRule="auto"/>
              <w:ind w:firstLine="0" w:firstLineChars="0"/>
              <w:jc w:val="center"/>
              <w:rPr>
                <w:color w:val="auto"/>
                <w:sz w:val="21"/>
                <w:szCs w:val="21"/>
              </w:rPr>
            </w:pPr>
            <w:r>
              <w:rPr>
                <w:rFonts w:hint="eastAsia"/>
                <w:color w:val="auto"/>
                <w:sz w:val="21"/>
                <w:szCs w:val="21"/>
              </w:rPr>
              <w:t>76</w:t>
            </w:r>
          </w:p>
        </w:tc>
        <w:tc>
          <w:tcPr>
            <w:tcW w:w="1094" w:type="dxa"/>
            <w:vAlign w:val="center"/>
          </w:tcPr>
          <w:p w14:paraId="2652AE6E">
            <w:pPr>
              <w:keepNext/>
              <w:widowControl/>
              <w:spacing w:line="240" w:lineRule="auto"/>
              <w:ind w:firstLine="0" w:firstLineChars="0"/>
              <w:jc w:val="center"/>
              <w:rPr>
                <w:color w:val="auto"/>
                <w:sz w:val="21"/>
                <w:szCs w:val="21"/>
              </w:rPr>
            </w:pPr>
            <w:r>
              <w:rPr>
                <w:rFonts w:hint="eastAsia"/>
                <w:color w:val="auto"/>
                <w:sz w:val="21"/>
                <w:szCs w:val="21"/>
              </w:rPr>
              <w:t>79</w:t>
            </w:r>
          </w:p>
        </w:tc>
        <w:tc>
          <w:tcPr>
            <w:tcW w:w="1367" w:type="dxa"/>
            <w:vAlign w:val="center"/>
          </w:tcPr>
          <w:p w14:paraId="652D6052">
            <w:pPr>
              <w:keepNext/>
              <w:widowControl/>
              <w:spacing w:line="240" w:lineRule="auto"/>
              <w:ind w:firstLine="0" w:firstLineChars="0"/>
              <w:jc w:val="center"/>
              <w:rPr>
                <w:color w:val="auto"/>
                <w:sz w:val="21"/>
                <w:szCs w:val="21"/>
              </w:rPr>
            </w:pPr>
            <w:r>
              <w:rPr>
                <w:rFonts w:hint="eastAsia"/>
                <w:color w:val="auto"/>
                <w:sz w:val="21"/>
                <w:szCs w:val="21"/>
              </w:rPr>
              <w:t>93</w:t>
            </w:r>
          </w:p>
        </w:tc>
        <w:tc>
          <w:tcPr>
            <w:tcW w:w="894" w:type="dxa"/>
            <w:vAlign w:val="center"/>
          </w:tcPr>
          <w:p w14:paraId="20559567">
            <w:pPr>
              <w:keepNext/>
              <w:widowControl/>
              <w:spacing w:line="240" w:lineRule="auto"/>
              <w:ind w:firstLine="0" w:firstLineChars="0"/>
              <w:jc w:val="center"/>
              <w:rPr>
                <w:color w:val="auto"/>
                <w:sz w:val="21"/>
                <w:szCs w:val="21"/>
              </w:rPr>
            </w:pPr>
            <w:r>
              <w:rPr>
                <w:rFonts w:hint="eastAsia"/>
                <w:color w:val="auto"/>
                <w:sz w:val="21"/>
                <w:szCs w:val="21"/>
              </w:rPr>
              <w:t>74</w:t>
            </w:r>
          </w:p>
        </w:tc>
        <w:tc>
          <w:tcPr>
            <w:tcW w:w="1418" w:type="dxa"/>
            <w:vAlign w:val="center"/>
          </w:tcPr>
          <w:p w14:paraId="57B51CAC">
            <w:pPr>
              <w:keepNext/>
              <w:widowControl/>
              <w:spacing w:line="240" w:lineRule="auto"/>
              <w:ind w:firstLine="0" w:firstLineChars="0"/>
              <w:jc w:val="center"/>
              <w:rPr>
                <w:color w:val="auto"/>
                <w:sz w:val="21"/>
                <w:szCs w:val="21"/>
              </w:rPr>
            </w:pPr>
            <w:r>
              <w:rPr>
                <w:rFonts w:hint="eastAsia"/>
                <w:color w:val="auto"/>
                <w:sz w:val="21"/>
                <w:szCs w:val="21"/>
              </w:rPr>
              <w:t>74</w:t>
            </w:r>
          </w:p>
        </w:tc>
        <w:tc>
          <w:tcPr>
            <w:tcW w:w="956" w:type="dxa"/>
            <w:vAlign w:val="center"/>
          </w:tcPr>
          <w:p w14:paraId="66153F9B">
            <w:pPr>
              <w:keepNext/>
              <w:widowControl/>
              <w:spacing w:line="240" w:lineRule="auto"/>
              <w:ind w:firstLine="0" w:firstLineChars="0"/>
              <w:jc w:val="center"/>
              <w:rPr>
                <w:color w:val="auto"/>
                <w:sz w:val="21"/>
                <w:szCs w:val="21"/>
              </w:rPr>
            </w:pPr>
            <w:r>
              <w:rPr>
                <w:rFonts w:hint="eastAsia"/>
                <w:color w:val="auto"/>
                <w:sz w:val="21"/>
                <w:szCs w:val="21"/>
              </w:rPr>
              <w:t>71</w:t>
            </w:r>
          </w:p>
        </w:tc>
      </w:tr>
      <w:tr w14:paraId="5A5A4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dxa"/>
            <w:vAlign w:val="center"/>
          </w:tcPr>
          <w:p w14:paraId="1BD146E2">
            <w:pPr>
              <w:spacing w:line="240" w:lineRule="auto"/>
              <w:ind w:firstLine="0" w:firstLineChars="0"/>
              <w:jc w:val="center"/>
              <w:rPr>
                <w:bCs/>
                <w:color w:val="auto"/>
                <w:sz w:val="21"/>
                <w:szCs w:val="21"/>
              </w:rPr>
            </w:pPr>
            <w:r>
              <w:rPr>
                <w:rFonts w:hint="eastAsia"/>
                <w:color w:val="auto"/>
                <w:sz w:val="21"/>
                <w:szCs w:val="21"/>
              </w:rPr>
              <w:t>50</w:t>
            </w:r>
          </w:p>
        </w:tc>
        <w:tc>
          <w:tcPr>
            <w:tcW w:w="1174" w:type="dxa"/>
            <w:vAlign w:val="center"/>
          </w:tcPr>
          <w:p w14:paraId="45C5BF62">
            <w:pPr>
              <w:spacing w:line="240" w:lineRule="auto"/>
              <w:ind w:firstLine="0" w:firstLineChars="0"/>
              <w:jc w:val="center"/>
              <w:rPr>
                <w:color w:val="auto"/>
                <w:sz w:val="21"/>
                <w:szCs w:val="21"/>
              </w:rPr>
            </w:pPr>
            <w:r>
              <w:rPr>
                <w:rFonts w:hint="eastAsia"/>
                <w:color w:val="auto"/>
                <w:sz w:val="21"/>
                <w:szCs w:val="21"/>
              </w:rPr>
              <w:t>70</w:t>
            </w:r>
          </w:p>
        </w:tc>
        <w:tc>
          <w:tcPr>
            <w:tcW w:w="1094" w:type="dxa"/>
            <w:vAlign w:val="center"/>
          </w:tcPr>
          <w:p w14:paraId="3249F89F">
            <w:pPr>
              <w:keepNext/>
              <w:widowControl/>
              <w:spacing w:line="240" w:lineRule="auto"/>
              <w:ind w:firstLine="0" w:firstLineChars="0"/>
              <w:jc w:val="center"/>
              <w:rPr>
                <w:color w:val="auto"/>
                <w:sz w:val="21"/>
                <w:szCs w:val="21"/>
              </w:rPr>
            </w:pPr>
            <w:r>
              <w:rPr>
                <w:rFonts w:hint="eastAsia"/>
                <w:color w:val="auto"/>
                <w:sz w:val="21"/>
                <w:szCs w:val="21"/>
              </w:rPr>
              <w:t>74</w:t>
            </w:r>
          </w:p>
        </w:tc>
        <w:tc>
          <w:tcPr>
            <w:tcW w:w="1094" w:type="dxa"/>
            <w:vAlign w:val="center"/>
          </w:tcPr>
          <w:p w14:paraId="447F721A">
            <w:pPr>
              <w:keepNext/>
              <w:widowControl/>
              <w:spacing w:line="240" w:lineRule="auto"/>
              <w:ind w:firstLine="0" w:firstLineChars="0"/>
              <w:jc w:val="center"/>
              <w:rPr>
                <w:color w:val="auto"/>
                <w:sz w:val="21"/>
                <w:szCs w:val="21"/>
              </w:rPr>
            </w:pPr>
            <w:r>
              <w:rPr>
                <w:rFonts w:hint="eastAsia"/>
                <w:color w:val="auto"/>
                <w:sz w:val="21"/>
                <w:szCs w:val="21"/>
              </w:rPr>
              <w:t>77</w:t>
            </w:r>
          </w:p>
        </w:tc>
        <w:tc>
          <w:tcPr>
            <w:tcW w:w="1367" w:type="dxa"/>
            <w:vAlign w:val="center"/>
          </w:tcPr>
          <w:p w14:paraId="6B643B62">
            <w:pPr>
              <w:keepNext/>
              <w:widowControl/>
              <w:spacing w:line="240" w:lineRule="auto"/>
              <w:ind w:firstLine="0" w:firstLineChars="0"/>
              <w:jc w:val="center"/>
              <w:rPr>
                <w:color w:val="auto"/>
                <w:sz w:val="21"/>
                <w:szCs w:val="21"/>
              </w:rPr>
            </w:pPr>
            <w:r>
              <w:rPr>
                <w:rFonts w:hint="eastAsia"/>
                <w:color w:val="auto"/>
                <w:sz w:val="21"/>
                <w:szCs w:val="21"/>
              </w:rPr>
              <w:t>91</w:t>
            </w:r>
          </w:p>
        </w:tc>
        <w:tc>
          <w:tcPr>
            <w:tcW w:w="894" w:type="dxa"/>
            <w:vAlign w:val="center"/>
          </w:tcPr>
          <w:p w14:paraId="6A0BB076">
            <w:pPr>
              <w:keepNext/>
              <w:widowControl/>
              <w:spacing w:line="240" w:lineRule="auto"/>
              <w:ind w:firstLine="0" w:firstLineChars="0"/>
              <w:jc w:val="center"/>
              <w:rPr>
                <w:color w:val="auto"/>
                <w:sz w:val="21"/>
                <w:szCs w:val="21"/>
              </w:rPr>
            </w:pPr>
            <w:r>
              <w:rPr>
                <w:rFonts w:hint="eastAsia"/>
                <w:color w:val="auto"/>
                <w:sz w:val="21"/>
                <w:szCs w:val="21"/>
              </w:rPr>
              <w:t>72</w:t>
            </w:r>
          </w:p>
        </w:tc>
        <w:tc>
          <w:tcPr>
            <w:tcW w:w="1418" w:type="dxa"/>
            <w:vAlign w:val="center"/>
          </w:tcPr>
          <w:p w14:paraId="1855D926">
            <w:pPr>
              <w:keepNext/>
              <w:widowControl/>
              <w:spacing w:line="240" w:lineRule="auto"/>
              <w:ind w:firstLine="0" w:firstLineChars="0"/>
              <w:jc w:val="center"/>
              <w:rPr>
                <w:color w:val="auto"/>
                <w:sz w:val="21"/>
                <w:szCs w:val="21"/>
              </w:rPr>
            </w:pPr>
            <w:r>
              <w:rPr>
                <w:rFonts w:hint="eastAsia"/>
                <w:color w:val="auto"/>
                <w:sz w:val="21"/>
                <w:szCs w:val="21"/>
              </w:rPr>
              <w:t>72</w:t>
            </w:r>
          </w:p>
        </w:tc>
        <w:tc>
          <w:tcPr>
            <w:tcW w:w="956" w:type="dxa"/>
            <w:vAlign w:val="center"/>
          </w:tcPr>
          <w:p w14:paraId="0048CF57">
            <w:pPr>
              <w:keepNext/>
              <w:widowControl/>
              <w:spacing w:line="240" w:lineRule="auto"/>
              <w:ind w:firstLine="0" w:firstLineChars="0"/>
              <w:jc w:val="center"/>
              <w:rPr>
                <w:color w:val="auto"/>
                <w:sz w:val="21"/>
                <w:szCs w:val="21"/>
              </w:rPr>
            </w:pPr>
            <w:r>
              <w:rPr>
                <w:rFonts w:hint="eastAsia"/>
                <w:color w:val="auto"/>
                <w:sz w:val="21"/>
                <w:szCs w:val="21"/>
              </w:rPr>
              <w:t>69</w:t>
            </w:r>
          </w:p>
        </w:tc>
      </w:tr>
      <w:tr w14:paraId="12233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dxa"/>
            <w:vAlign w:val="center"/>
          </w:tcPr>
          <w:p w14:paraId="0A35D4B6">
            <w:pPr>
              <w:spacing w:line="240" w:lineRule="auto"/>
              <w:ind w:firstLine="0" w:firstLineChars="0"/>
              <w:jc w:val="center"/>
              <w:rPr>
                <w:bCs/>
                <w:color w:val="auto"/>
                <w:sz w:val="21"/>
                <w:szCs w:val="21"/>
              </w:rPr>
            </w:pPr>
            <w:r>
              <w:rPr>
                <w:rFonts w:hint="eastAsia"/>
                <w:color w:val="auto"/>
                <w:sz w:val="21"/>
                <w:szCs w:val="21"/>
              </w:rPr>
              <w:t>100</w:t>
            </w:r>
          </w:p>
        </w:tc>
        <w:tc>
          <w:tcPr>
            <w:tcW w:w="1174" w:type="dxa"/>
            <w:vAlign w:val="center"/>
          </w:tcPr>
          <w:p w14:paraId="056DA1E7">
            <w:pPr>
              <w:spacing w:line="240" w:lineRule="auto"/>
              <w:ind w:firstLine="0" w:firstLineChars="0"/>
              <w:jc w:val="center"/>
              <w:rPr>
                <w:color w:val="auto"/>
                <w:sz w:val="21"/>
                <w:szCs w:val="21"/>
              </w:rPr>
            </w:pPr>
            <w:r>
              <w:rPr>
                <w:rFonts w:hint="eastAsia"/>
                <w:color w:val="auto"/>
                <w:sz w:val="21"/>
                <w:szCs w:val="21"/>
              </w:rPr>
              <w:t>64</w:t>
            </w:r>
          </w:p>
        </w:tc>
        <w:tc>
          <w:tcPr>
            <w:tcW w:w="1094" w:type="dxa"/>
            <w:vAlign w:val="center"/>
          </w:tcPr>
          <w:p w14:paraId="0643B0A1">
            <w:pPr>
              <w:keepNext/>
              <w:widowControl/>
              <w:spacing w:line="240" w:lineRule="auto"/>
              <w:ind w:firstLine="0" w:firstLineChars="0"/>
              <w:jc w:val="center"/>
              <w:rPr>
                <w:color w:val="auto"/>
                <w:sz w:val="21"/>
                <w:szCs w:val="21"/>
              </w:rPr>
            </w:pPr>
            <w:r>
              <w:rPr>
                <w:rFonts w:hint="eastAsia"/>
                <w:color w:val="auto"/>
                <w:sz w:val="21"/>
                <w:szCs w:val="21"/>
              </w:rPr>
              <w:t>68</w:t>
            </w:r>
          </w:p>
        </w:tc>
        <w:tc>
          <w:tcPr>
            <w:tcW w:w="1094" w:type="dxa"/>
            <w:vAlign w:val="center"/>
          </w:tcPr>
          <w:p w14:paraId="516AA6EB">
            <w:pPr>
              <w:keepNext/>
              <w:widowControl/>
              <w:spacing w:line="240" w:lineRule="auto"/>
              <w:ind w:firstLine="0" w:firstLineChars="0"/>
              <w:jc w:val="center"/>
              <w:rPr>
                <w:color w:val="auto"/>
                <w:sz w:val="21"/>
                <w:szCs w:val="21"/>
              </w:rPr>
            </w:pPr>
            <w:r>
              <w:rPr>
                <w:rFonts w:hint="eastAsia"/>
                <w:color w:val="auto"/>
                <w:sz w:val="21"/>
                <w:szCs w:val="21"/>
              </w:rPr>
              <w:t>71</w:t>
            </w:r>
          </w:p>
        </w:tc>
        <w:tc>
          <w:tcPr>
            <w:tcW w:w="1367" w:type="dxa"/>
            <w:vAlign w:val="center"/>
          </w:tcPr>
          <w:p w14:paraId="0547995D">
            <w:pPr>
              <w:keepNext/>
              <w:widowControl/>
              <w:spacing w:line="240" w:lineRule="auto"/>
              <w:ind w:firstLine="0" w:firstLineChars="0"/>
              <w:jc w:val="center"/>
              <w:rPr>
                <w:color w:val="auto"/>
                <w:sz w:val="21"/>
                <w:szCs w:val="21"/>
              </w:rPr>
            </w:pPr>
            <w:r>
              <w:rPr>
                <w:rFonts w:hint="eastAsia"/>
                <w:color w:val="auto"/>
                <w:sz w:val="21"/>
                <w:szCs w:val="21"/>
              </w:rPr>
              <w:t>85</w:t>
            </w:r>
          </w:p>
        </w:tc>
        <w:tc>
          <w:tcPr>
            <w:tcW w:w="894" w:type="dxa"/>
            <w:vAlign w:val="center"/>
          </w:tcPr>
          <w:p w14:paraId="025273F6">
            <w:pPr>
              <w:keepNext/>
              <w:widowControl/>
              <w:spacing w:line="240" w:lineRule="auto"/>
              <w:ind w:firstLine="0" w:firstLineChars="0"/>
              <w:jc w:val="center"/>
              <w:rPr>
                <w:color w:val="auto"/>
                <w:sz w:val="21"/>
                <w:szCs w:val="21"/>
              </w:rPr>
            </w:pPr>
            <w:r>
              <w:rPr>
                <w:rFonts w:hint="eastAsia"/>
                <w:color w:val="auto"/>
                <w:sz w:val="21"/>
                <w:szCs w:val="21"/>
              </w:rPr>
              <w:t>66</w:t>
            </w:r>
          </w:p>
        </w:tc>
        <w:tc>
          <w:tcPr>
            <w:tcW w:w="1418" w:type="dxa"/>
            <w:vAlign w:val="center"/>
          </w:tcPr>
          <w:p w14:paraId="50F75EBC">
            <w:pPr>
              <w:keepNext/>
              <w:widowControl/>
              <w:spacing w:line="240" w:lineRule="auto"/>
              <w:ind w:firstLine="0" w:firstLineChars="0"/>
              <w:jc w:val="center"/>
              <w:rPr>
                <w:color w:val="auto"/>
                <w:sz w:val="21"/>
                <w:szCs w:val="21"/>
              </w:rPr>
            </w:pPr>
            <w:r>
              <w:rPr>
                <w:rFonts w:hint="eastAsia"/>
                <w:color w:val="auto"/>
                <w:sz w:val="21"/>
                <w:szCs w:val="21"/>
              </w:rPr>
              <w:t>66</w:t>
            </w:r>
          </w:p>
        </w:tc>
        <w:tc>
          <w:tcPr>
            <w:tcW w:w="956" w:type="dxa"/>
            <w:vAlign w:val="center"/>
          </w:tcPr>
          <w:p w14:paraId="2C6356D1">
            <w:pPr>
              <w:keepNext/>
              <w:widowControl/>
              <w:spacing w:line="240" w:lineRule="auto"/>
              <w:ind w:firstLine="0" w:firstLineChars="0"/>
              <w:jc w:val="center"/>
              <w:rPr>
                <w:color w:val="auto"/>
                <w:sz w:val="21"/>
                <w:szCs w:val="21"/>
              </w:rPr>
            </w:pPr>
            <w:r>
              <w:rPr>
                <w:rFonts w:hint="eastAsia"/>
                <w:color w:val="auto"/>
                <w:sz w:val="21"/>
                <w:szCs w:val="21"/>
              </w:rPr>
              <w:t>63</w:t>
            </w:r>
          </w:p>
        </w:tc>
      </w:tr>
      <w:tr w14:paraId="76C89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dxa"/>
            <w:vAlign w:val="center"/>
          </w:tcPr>
          <w:p w14:paraId="663E87D6">
            <w:pPr>
              <w:spacing w:line="240" w:lineRule="auto"/>
              <w:ind w:firstLine="0" w:firstLineChars="0"/>
              <w:jc w:val="center"/>
              <w:rPr>
                <w:bCs/>
                <w:color w:val="auto"/>
                <w:sz w:val="21"/>
                <w:szCs w:val="21"/>
              </w:rPr>
            </w:pPr>
            <w:r>
              <w:rPr>
                <w:rFonts w:hint="eastAsia"/>
                <w:bCs/>
                <w:color w:val="auto"/>
                <w:sz w:val="21"/>
                <w:szCs w:val="21"/>
              </w:rPr>
              <w:t>150</w:t>
            </w:r>
          </w:p>
        </w:tc>
        <w:tc>
          <w:tcPr>
            <w:tcW w:w="1174" w:type="dxa"/>
            <w:vAlign w:val="center"/>
          </w:tcPr>
          <w:p w14:paraId="6572265C">
            <w:pPr>
              <w:spacing w:line="240" w:lineRule="auto"/>
              <w:ind w:firstLine="0" w:firstLineChars="0"/>
              <w:jc w:val="center"/>
              <w:rPr>
                <w:color w:val="auto"/>
                <w:sz w:val="21"/>
                <w:szCs w:val="21"/>
              </w:rPr>
            </w:pPr>
            <w:r>
              <w:rPr>
                <w:rFonts w:hint="eastAsia"/>
                <w:color w:val="auto"/>
                <w:sz w:val="21"/>
                <w:szCs w:val="21"/>
              </w:rPr>
              <w:t>60</w:t>
            </w:r>
          </w:p>
        </w:tc>
        <w:tc>
          <w:tcPr>
            <w:tcW w:w="1094" w:type="dxa"/>
            <w:vAlign w:val="center"/>
          </w:tcPr>
          <w:p w14:paraId="08CE8B9D">
            <w:pPr>
              <w:keepNext/>
              <w:widowControl/>
              <w:spacing w:line="240" w:lineRule="auto"/>
              <w:ind w:firstLine="0" w:firstLineChars="0"/>
              <w:jc w:val="center"/>
              <w:rPr>
                <w:color w:val="auto"/>
                <w:sz w:val="21"/>
                <w:szCs w:val="21"/>
              </w:rPr>
            </w:pPr>
            <w:r>
              <w:rPr>
                <w:rFonts w:hint="eastAsia"/>
                <w:color w:val="auto"/>
                <w:sz w:val="21"/>
                <w:szCs w:val="21"/>
              </w:rPr>
              <w:t>64</w:t>
            </w:r>
          </w:p>
        </w:tc>
        <w:tc>
          <w:tcPr>
            <w:tcW w:w="1094" w:type="dxa"/>
            <w:vAlign w:val="center"/>
          </w:tcPr>
          <w:p w14:paraId="6AF95C77">
            <w:pPr>
              <w:keepNext/>
              <w:widowControl/>
              <w:spacing w:line="240" w:lineRule="auto"/>
              <w:ind w:firstLine="0" w:firstLineChars="0"/>
              <w:jc w:val="center"/>
              <w:rPr>
                <w:color w:val="auto"/>
                <w:sz w:val="21"/>
                <w:szCs w:val="21"/>
              </w:rPr>
            </w:pPr>
            <w:r>
              <w:rPr>
                <w:rFonts w:hint="eastAsia"/>
                <w:color w:val="auto"/>
                <w:sz w:val="21"/>
                <w:szCs w:val="21"/>
              </w:rPr>
              <w:t>67</w:t>
            </w:r>
          </w:p>
        </w:tc>
        <w:tc>
          <w:tcPr>
            <w:tcW w:w="1367" w:type="dxa"/>
            <w:vAlign w:val="center"/>
          </w:tcPr>
          <w:p w14:paraId="57792FA3">
            <w:pPr>
              <w:keepNext/>
              <w:widowControl/>
              <w:spacing w:line="240" w:lineRule="auto"/>
              <w:ind w:firstLine="0" w:firstLineChars="0"/>
              <w:jc w:val="center"/>
              <w:rPr>
                <w:color w:val="auto"/>
                <w:sz w:val="21"/>
                <w:szCs w:val="21"/>
              </w:rPr>
            </w:pPr>
            <w:r>
              <w:rPr>
                <w:rFonts w:hint="eastAsia"/>
                <w:color w:val="auto"/>
                <w:sz w:val="21"/>
                <w:szCs w:val="21"/>
              </w:rPr>
              <w:t>81</w:t>
            </w:r>
          </w:p>
        </w:tc>
        <w:tc>
          <w:tcPr>
            <w:tcW w:w="894" w:type="dxa"/>
            <w:vAlign w:val="center"/>
          </w:tcPr>
          <w:p w14:paraId="2158DB4B">
            <w:pPr>
              <w:keepNext/>
              <w:widowControl/>
              <w:spacing w:line="240" w:lineRule="auto"/>
              <w:ind w:firstLine="0" w:firstLineChars="0"/>
              <w:jc w:val="center"/>
              <w:rPr>
                <w:color w:val="auto"/>
                <w:sz w:val="21"/>
                <w:szCs w:val="21"/>
              </w:rPr>
            </w:pPr>
            <w:r>
              <w:rPr>
                <w:rFonts w:hint="eastAsia"/>
                <w:color w:val="auto"/>
                <w:sz w:val="21"/>
                <w:szCs w:val="21"/>
              </w:rPr>
              <w:t>62</w:t>
            </w:r>
          </w:p>
        </w:tc>
        <w:tc>
          <w:tcPr>
            <w:tcW w:w="1418" w:type="dxa"/>
            <w:vAlign w:val="center"/>
          </w:tcPr>
          <w:p w14:paraId="3A1AB010">
            <w:pPr>
              <w:keepNext/>
              <w:widowControl/>
              <w:spacing w:line="240" w:lineRule="auto"/>
              <w:ind w:firstLine="0" w:firstLineChars="0"/>
              <w:jc w:val="center"/>
              <w:rPr>
                <w:color w:val="auto"/>
                <w:sz w:val="21"/>
                <w:szCs w:val="21"/>
              </w:rPr>
            </w:pPr>
            <w:r>
              <w:rPr>
                <w:rFonts w:hint="eastAsia"/>
                <w:color w:val="auto"/>
                <w:sz w:val="21"/>
                <w:szCs w:val="21"/>
              </w:rPr>
              <w:t>62</w:t>
            </w:r>
          </w:p>
        </w:tc>
        <w:tc>
          <w:tcPr>
            <w:tcW w:w="956" w:type="dxa"/>
            <w:vAlign w:val="center"/>
          </w:tcPr>
          <w:p w14:paraId="59E25917">
            <w:pPr>
              <w:keepNext/>
              <w:widowControl/>
              <w:spacing w:line="240" w:lineRule="auto"/>
              <w:ind w:firstLine="0" w:firstLineChars="0"/>
              <w:jc w:val="center"/>
              <w:rPr>
                <w:color w:val="auto"/>
                <w:sz w:val="21"/>
                <w:szCs w:val="21"/>
              </w:rPr>
            </w:pPr>
            <w:r>
              <w:rPr>
                <w:rFonts w:hint="eastAsia"/>
                <w:color w:val="auto"/>
                <w:sz w:val="21"/>
                <w:szCs w:val="21"/>
              </w:rPr>
              <w:t>59</w:t>
            </w:r>
          </w:p>
        </w:tc>
      </w:tr>
      <w:tr w14:paraId="60551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dxa"/>
            <w:vAlign w:val="center"/>
          </w:tcPr>
          <w:p w14:paraId="07E4E60C">
            <w:pPr>
              <w:spacing w:line="240" w:lineRule="auto"/>
              <w:ind w:firstLine="0" w:firstLineChars="0"/>
              <w:jc w:val="center"/>
              <w:rPr>
                <w:bCs/>
                <w:color w:val="auto"/>
                <w:sz w:val="21"/>
                <w:szCs w:val="21"/>
              </w:rPr>
            </w:pPr>
            <w:r>
              <w:rPr>
                <w:rFonts w:hint="eastAsia"/>
                <w:bCs/>
                <w:color w:val="auto"/>
                <w:sz w:val="21"/>
                <w:szCs w:val="21"/>
              </w:rPr>
              <w:t>200</w:t>
            </w:r>
          </w:p>
        </w:tc>
        <w:tc>
          <w:tcPr>
            <w:tcW w:w="1174" w:type="dxa"/>
            <w:vAlign w:val="center"/>
          </w:tcPr>
          <w:p w14:paraId="259A3891">
            <w:pPr>
              <w:spacing w:line="240" w:lineRule="auto"/>
              <w:ind w:firstLine="0" w:firstLineChars="0"/>
              <w:jc w:val="center"/>
              <w:rPr>
                <w:color w:val="auto"/>
                <w:sz w:val="21"/>
                <w:szCs w:val="21"/>
              </w:rPr>
            </w:pPr>
            <w:r>
              <w:rPr>
                <w:rFonts w:hint="eastAsia"/>
                <w:color w:val="auto"/>
                <w:sz w:val="21"/>
                <w:szCs w:val="21"/>
              </w:rPr>
              <w:t>58</w:t>
            </w:r>
          </w:p>
        </w:tc>
        <w:tc>
          <w:tcPr>
            <w:tcW w:w="1094" w:type="dxa"/>
            <w:vAlign w:val="center"/>
          </w:tcPr>
          <w:p w14:paraId="162BFB23">
            <w:pPr>
              <w:keepNext/>
              <w:widowControl/>
              <w:spacing w:line="240" w:lineRule="auto"/>
              <w:ind w:firstLine="0" w:firstLineChars="0"/>
              <w:jc w:val="center"/>
              <w:rPr>
                <w:color w:val="auto"/>
                <w:sz w:val="21"/>
                <w:szCs w:val="21"/>
              </w:rPr>
            </w:pPr>
            <w:r>
              <w:rPr>
                <w:rFonts w:hint="eastAsia"/>
                <w:color w:val="auto"/>
                <w:sz w:val="21"/>
                <w:szCs w:val="21"/>
              </w:rPr>
              <w:t>62</w:t>
            </w:r>
          </w:p>
        </w:tc>
        <w:tc>
          <w:tcPr>
            <w:tcW w:w="1094" w:type="dxa"/>
            <w:vAlign w:val="center"/>
          </w:tcPr>
          <w:p w14:paraId="0AFAA497">
            <w:pPr>
              <w:keepNext/>
              <w:widowControl/>
              <w:spacing w:line="240" w:lineRule="auto"/>
              <w:ind w:firstLine="0" w:firstLineChars="0"/>
              <w:jc w:val="center"/>
              <w:rPr>
                <w:color w:val="auto"/>
                <w:sz w:val="21"/>
                <w:szCs w:val="21"/>
              </w:rPr>
            </w:pPr>
            <w:r>
              <w:rPr>
                <w:rFonts w:hint="eastAsia"/>
                <w:color w:val="auto"/>
                <w:sz w:val="21"/>
                <w:szCs w:val="21"/>
              </w:rPr>
              <w:t>65</w:t>
            </w:r>
          </w:p>
        </w:tc>
        <w:tc>
          <w:tcPr>
            <w:tcW w:w="1367" w:type="dxa"/>
            <w:vAlign w:val="center"/>
          </w:tcPr>
          <w:p w14:paraId="6E08BCF6">
            <w:pPr>
              <w:keepNext/>
              <w:widowControl/>
              <w:spacing w:line="240" w:lineRule="auto"/>
              <w:ind w:firstLine="0" w:firstLineChars="0"/>
              <w:jc w:val="center"/>
              <w:rPr>
                <w:color w:val="auto"/>
                <w:sz w:val="21"/>
                <w:szCs w:val="21"/>
              </w:rPr>
            </w:pPr>
            <w:r>
              <w:rPr>
                <w:rFonts w:hint="eastAsia"/>
                <w:color w:val="auto"/>
                <w:sz w:val="21"/>
                <w:szCs w:val="21"/>
              </w:rPr>
              <w:t>79</w:t>
            </w:r>
          </w:p>
        </w:tc>
        <w:tc>
          <w:tcPr>
            <w:tcW w:w="894" w:type="dxa"/>
            <w:vAlign w:val="center"/>
          </w:tcPr>
          <w:p w14:paraId="11D981E7">
            <w:pPr>
              <w:keepNext/>
              <w:widowControl/>
              <w:spacing w:line="240" w:lineRule="auto"/>
              <w:ind w:firstLine="0" w:firstLineChars="0"/>
              <w:jc w:val="center"/>
              <w:rPr>
                <w:color w:val="auto"/>
                <w:sz w:val="21"/>
                <w:szCs w:val="21"/>
              </w:rPr>
            </w:pPr>
            <w:r>
              <w:rPr>
                <w:rFonts w:hint="eastAsia"/>
                <w:color w:val="auto"/>
                <w:sz w:val="21"/>
                <w:szCs w:val="21"/>
              </w:rPr>
              <w:t>60</w:t>
            </w:r>
          </w:p>
        </w:tc>
        <w:tc>
          <w:tcPr>
            <w:tcW w:w="1418" w:type="dxa"/>
            <w:vAlign w:val="center"/>
          </w:tcPr>
          <w:p w14:paraId="5E1FB385">
            <w:pPr>
              <w:keepNext/>
              <w:widowControl/>
              <w:spacing w:line="240" w:lineRule="auto"/>
              <w:ind w:firstLine="0" w:firstLineChars="0"/>
              <w:jc w:val="center"/>
              <w:rPr>
                <w:color w:val="auto"/>
                <w:sz w:val="21"/>
                <w:szCs w:val="21"/>
              </w:rPr>
            </w:pPr>
            <w:r>
              <w:rPr>
                <w:rFonts w:hint="eastAsia"/>
                <w:color w:val="auto"/>
                <w:sz w:val="21"/>
                <w:szCs w:val="21"/>
              </w:rPr>
              <w:t>60</w:t>
            </w:r>
          </w:p>
        </w:tc>
        <w:tc>
          <w:tcPr>
            <w:tcW w:w="956" w:type="dxa"/>
            <w:vAlign w:val="center"/>
          </w:tcPr>
          <w:p w14:paraId="42C393EF">
            <w:pPr>
              <w:keepNext/>
              <w:widowControl/>
              <w:spacing w:line="240" w:lineRule="auto"/>
              <w:ind w:firstLine="0" w:firstLineChars="0"/>
              <w:jc w:val="center"/>
              <w:rPr>
                <w:color w:val="auto"/>
                <w:sz w:val="21"/>
                <w:szCs w:val="21"/>
              </w:rPr>
            </w:pPr>
            <w:r>
              <w:rPr>
                <w:rFonts w:hint="eastAsia"/>
                <w:color w:val="auto"/>
                <w:sz w:val="21"/>
                <w:szCs w:val="21"/>
              </w:rPr>
              <w:t>57</w:t>
            </w:r>
          </w:p>
        </w:tc>
      </w:tr>
      <w:tr w14:paraId="3EF69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1289" w:type="dxa"/>
            <w:vAlign w:val="center"/>
          </w:tcPr>
          <w:p w14:paraId="00D24331">
            <w:pPr>
              <w:spacing w:line="240" w:lineRule="auto"/>
              <w:ind w:firstLine="0" w:firstLineChars="0"/>
              <w:jc w:val="center"/>
              <w:rPr>
                <w:bCs/>
                <w:color w:val="auto"/>
                <w:sz w:val="21"/>
                <w:szCs w:val="21"/>
              </w:rPr>
            </w:pPr>
            <w:r>
              <w:rPr>
                <w:rFonts w:hint="eastAsia"/>
                <w:bCs/>
                <w:color w:val="auto"/>
                <w:sz w:val="21"/>
                <w:szCs w:val="21"/>
              </w:rPr>
              <w:t>250</w:t>
            </w:r>
          </w:p>
        </w:tc>
        <w:tc>
          <w:tcPr>
            <w:tcW w:w="1174" w:type="dxa"/>
            <w:vAlign w:val="center"/>
          </w:tcPr>
          <w:p w14:paraId="089A0B5D">
            <w:pPr>
              <w:spacing w:line="240" w:lineRule="auto"/>
              <w:ind w:firstLine="0" w:firstLineChars="0"/>
              <w:jc w:val="center"/>
              <w:rPr>
                <w:color w:val="auto"/>
                <w:sz w:val="21"/>
                <w:szCs w:val="21"/>
              </w:rPr>
            </w:pPr>
            <w:r>
              <w:rPr>
                <w:rFonts w:hint="eastAsia"/>
                <w:color w:val="auto"/>
                <w:sz w:val="21"/>
                <w:szCs w:val="21"/>
              </w:rPr>
              <w:t>56</w:t>
            </w:r>
          </w:p>
        </w:tc>
        <w:tc>
          <w:tcPr>
            <w:tcW w:w="1094" w:type="dxa"/>
            <w:vAlign w:val="center"/>
          </w:tcPr>
          <w:p w14:paraId="553CA19C">
            <w:pPr>
              <w:keepNext/>
              <w:widowControl/>
              <w:spacing w:line="240" w:lineRule="auto"/>
              <w:ind w:firstLine="0" w:firstLineChars="0"/>
              <w:jc w:val="center"/>
              <w:rPr>
                <w:color w:val="auto"/>
                <w:sz w:val="21"/>
                <w:szCs w:val="21"/>
              </w:rPr>
            </w:pPr>
            <w:r>
              <w:rPr>
                <w:rFonts w:hint="eastAsia"/>
                <w:color w:val="auto"/>
                <w:sz w:val="21"/>
                <w:szCs w:val="21"/>
              </w:rPr>
              <w:t>60</w:t>
            </w:r>
          </w:p>
        </w:tc>
        <w:tc>
          <w:tcPr>
            <w:tcW w:w="1094" w:type="dxa"/>
            <w:vAlign w:val="center"/>
          </w:tcPr>
          <w:p w14:paraId="6522362E">
            <w:pPr>
              <w:keepNext/>
              <w:widowControl/>
              <w:spacing w:line="240" w:lineRule="auto"/>
              <w:ind w:firstLine="0" w:firstLineChars="0"/>
              <w:jc w:val="center"/>
              <w:rPr>
                <w:color w:val="auto"/>
                <w:sz w:val="21"/>
                <w:szCs w:val="21"/>
              </w:rPr>
            </w:pPr>
            <w:r>
              <w:rPr>
                <w:rFonts w:hint="eastAsia"/>
                <w:color w:val="auto"/>
                <w:sz w:val="21"/>
                <w:szCs w:val="21"/>
              </w:rPr>
              <w:t>63</w:t>
            </w:r>
          </w:p>
        </w:tc>
        <w:tc>
          <w:tcPr>
            <w:tcW w:w="1367" w:type="dxa"/>
            <w:vAlign w:val="center"/>
          </w:tcPr>
          <w:p w14:paraId="47C5834D">
            <w:pPr>
              <w:keepNext/>
              <w:widowControl/>
              <w:spacing w:line="240" w:lineRule="auto"/>
              <w:ind w:firstLine="0" w:firstLineChars="0"/>
              <w:jc w:val="center"/>
              <w:rPr>
                <w:color w:val="auto"/>
                <w:sz w:val="21"/>
                <w:szCs w:val="21"/>
              </w:rPr>
            </w:pPr>
            <w:r>
              <w:rPr>
                <w:rFonts w:hint="eastAsia"/>
                <w:color w:val="auto"/>
                <w:sz w:val="21"/>
                <w:szCs w:val="21"/>
              </w:rPr>
              <w:t>77</w:t>
            </w:r>
          </w:p>
        </w:tc>
        <w:tc>
          <w:tcPr>
            <w:tcW w:w="894" w:type="dxa"/>
            <w:vAlign w:val="center"/>
          </w:tcPr>
          <w:p w14:paraId="28E30E42">
            <w:pPr>
              <w:keepNext/>
              <w:widowControl/>
              <w:spacing w:line="240" w:lineRule="auto"/>
              <w:ind w:firstLine="0" w:firstLineChars="0"/>
              <w:jc w:val="center"/>
              <w:rPr>
                <w:color w:val="auto"/>
                <w:sz w:val="21"/>
                <w:szCs w:val="21"/>
              </w:rPr>
            </w:pPr>
            <w:r>
              <w:rPr>
                <w:rFonts w:hint="eastAsia"/>
                <w:color w:val="auto"/>
                <w:sz w:val="21"/>
                <w:szCs w:val="21"/>
              </w:rPr>
              <w:t>58</w:t>
            </w:r>
          </w:p>
        </w:tc>
        <w:tc>
          <w:tcPr>
            <w:tcW w:w="1418" w:type="dxa"/>
            <w:vAlign w:val="center"/>
          </w:tcPr>
          <w:p w14:paraId="45AB0469">
            <w:pPr>
              <w:keepNext/>
              <w:widowControl/>
              <w:spacing w:line="240" w:lineRule="auto"/>
              <w:ind w:firstLine="0" w:firstLineChars="0"/>
              <w:jc w:val="center"/>
              <w:rPr>
                <w:color w:val="auto"/>
                <w:sz w:val="21"/>
                <w:szCs w:val="21"/>
              </w:rPr>
            </w:pPr>
            <w:r>
              <w:rPr>
                <w:rFonts w:hint="eastAsia"/>
                <w:color w:val="auto"/>
                <w:sz w:val="21"/>
                <w:szCs w:val="21"/>
              </w:rPr>
              <w:t>58</w:t>
            </w:r>
          </w:p>
        </w:tc>
        <w:tc>
          <w:tcPr>
            <w:tcW w:w="956" w:type="dxa"/>
            <w:vAlign w:val="center"/>
          </w:tcPr>
          <w:p w14:paraId="3726D1AC">
            <w:pPr>
              <w:keepNext/>
              <w:widowControl/>
              <w:spacing w:line="240" w:lineRule="auto"/>
              <w:ind w:firstLine="0" w:firstLineChars="0"/>
              <w:jc w:val="center"/>
              <w:rPr>
                <w:color w:val="auto"/>
                <w:sz w:val="21"/>
                <w:szCs w:val="21"/>
              </w:rPr>
            </w:pPr>
            <w:r>
              <w:rPr>
                <w:rFonts w:hint="eastAsia"/>
                <w:color w:val="auto"/>
                <w:sz w:val="21"/>
                <w:szCs w:val="21"/>
              </w:rPr>
              <w:t>55</w:t>
            </w:r>
          </w:p>
        </w:tc>
      </w:tr>
      <w:tr w14:paraId="109B5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dxa"/>
            <w:vAlign w:val="center"/>
          </w:tcPr>
          <w:p w14:paraId="5F967FE6">
            <w:pPr>
              <w:spacing w:line="240" w:lineRule="auto"/>
              <w:ind w:firstLine="0" w:firstLineChars="0"/>
              <w:jc w:val="center"/>
              <w:rPr>
                <w:bCs/>
                <w:color w:val="auto"/>
                <w:sz w:val="21"/>
                <w:szCs w:val="21"/>
              </w:rPr>
            </w:pPr>
            <w:r>
              <w:rPr>
                <w:rFonts w:hint="eastAsia"/>
                <w:bCs/>
                <w:color w:val="auto"/>
                <w:sz w:val="21"/>
                <w:szCs w:val="21"/>
              </w:rPr>
              <w:t>300</w:t>
            </w:r>
          </w:p>
        </w:tc>
        <w:tc>
          <w:tcPr>
            <w:tcW w:w="1174" w:type="dxa"/>
            <w:vAlign w:val="center"/>
          </w:tcPr>
          <w:p w14:paraId="3E800E6F">
            <w:pPr>
              <w:spacing w:line="240" w:lineRule="auto"/>
              <w:ind w:firstLine="0" w:firstLineChars="0"/>
              <w:jc w:val="center"/>
              <w:rPr>
                <w:color w:val="auto"/>
                <w:sz w:val="21"/>
                <w:szCs w:val="21"/>
              </w:rPr>
            </w:pPr>
            <w:r>
              <w:rPr>
                <w:rFonts w:hint="eastAsia"/>
                <w:color w:val="auto"/>
                <w:sz w:val="21"/>
                <w:szCs w:val="21"/>
              </w:rPr>
              <w:t>54</w:t>
            </w:r>
          </w:p>
        </w:tc>
        <w:tc>
          <w:tcPr>
            <w:tcW w:w="1094" w:type="dxa"/>
            <w:vAlign w:val="center"/>
          </w:tcPr>
          <w:p w14:paraId="1AB27B09">
            <w:pPr>
              <w:keepNext/>
              <w:widowControl/>
              <w:spacing w:line="240" w:lineRule="auto"/>
              <w:ind w:firstLine="0" w:firstLineChars="0"/>
              <w:jc w:val="center"/>
              <w:rPr>
                <w:color w:val="auto"/>
                <w:sz w:val="21"/>
                <w:szCs w:val="21"/>
              </w:rPr>
            </w:pPr>
            <w:r>
              <w:rPr>
                <w:rFonts w:hint="eastAsia"/>
                <w:color w:val="auto"/>
                <w:sz w:val="21"/>
                <w:szCs w:val="21"/>
              </w:rPr>
              <w:t>58</w:t>
            </w:r>
          </w:p>
        </w:tc>
        <w:tc>
          <w:tcPr>
            <w:tcW w:w="1094" w:type="dxa"/>
            <w:vAlign w:val="center"/>
          </w:tcPr>
          <w:p w14:paraId="3B7E645D">
            <w:pPr>
              <w:keepNext/>
              <w:widowControl/>
              <w:spacing w:line="240" w:lineRule="auto"/>
              <w:ind w:firstLine="0" w:firstLineChars="0"/>
              <w:jc w:val="center"/>
              <w:rPr>
                <w:color w:val="auto"/>
                <w:sz w:val="21"/>
                <w:szCs w:val="21"/>
              </w:rPr>
            </w:pPr>
            <w:r>
              <w:rPr>
                <w:rFonts w:hint="eastAsia"/>
                <w:color w:val="auto"/>
                <w:sz w:val="21"/>
                <w:szCs w:val="21"/>
              </w:rPr>
              <w:t>61</w:t>
            </w:r>
          </w:p>
        </w:tc>
        <w:tc>
          <w:tcPr>
            <w:tcW w:w="1367" w:type="dxa"/>
            <w:vAlign w:val="center"/>
          </w:tcPr>
          <w:p w14:paraId="22FDEBD3">
            <w:pPr>
              <w:keepNext/>
              <w:widowControl/>
              <w:spacing w:line="240" w:lineRule="auto"/>
              <w:ind w:firstLine="0" w:firstLineChars="0"/>
              <w:jc w:val="center"/>
              <w:rPr>
                <w:color w:val="auto"/>
                <w:sz w:val="21"/>
                <w:szCs w:val="21"/>
              </w:rPr>
            </w:pPr>
            <w:r>
              <w:rPr>
                <w:rFonts w:hint="eastAsia"/>
                <w:color w:val="auto"/>
                <w:sz w:val="21"/>
                <w:szCs w:val="21"/>
              </w:rPr>
              <w:t>75</w:t>
            </w:r>
          </w:p>
        </w:tc>
        <w:tc>
          <w:tcPr>
            <w:tcW w:w="894" w:type="dxa"/>
            <w:vAlign w:val="center"/>
          </w:tcPr>
          <w:p w14:paraId="6C056A3D">
            <w:pPr>
              <w:keepNext/>
              <w:widowControl/>
              <w:spacing w:line="240" w:lineRule="auto"/>
              <w:ind w:firstLine="0" w:firstLineChars="0"/>
              <w:jc w:val="center"/>
              <w:rPr>
                <w:color w:val="auto"/>
                <w:sz w:val="21"/>
                <w:szCs w:val="21"/>
              </w:rPr>
            </w:pPr>
            <w:r>
              <w:rPr>
                <w:rFonts w:hint="eastAsia"/>
                <w:color w:val="auto"/>
                <w:sz w:val="21"/>
                <w:szCs w:val="21"/>
              </w:rPr>
              <w:t>56</w:t>
            </w:r>
          </w:p>
        </w:tc>
        <w:tc>
          <w:tcPr>
            <w:tcW w:w="1418" w:type="dxa"/>
            <w:vAlign w:val="center"/>
          </w:tcPr>
          <w:p w14:paraId="0C54693A">
            <w:pPr>
              <w:keepNext/>
              <w:widowControl/>
              <w:spacing w:line="240" w:lineRule="auto"/>
              <w:ind w:firstLine="0" w:firstLineChars="0"/>
              <w:jc w:val="center"/>
              <w:rPr>
                <w:color w:val="auto"/>
                <w:sz w:val="21"/>
                <w:szCs w:val="21"/>
              </w:rPr>
            </w:pPr>
            <w:r>
              <w:rPr>
                <w:rFonts w:hint="eastAsia"/>
                <w:color w:val="auto"/>
                <w:sz w:val="21"/>
                <w:szCs w:val="21"/>
              </w:rPr>
              <w:t>56</w:t>
            </w:r>
          </w:p>
        </w:tc>
        <w:tc>
          <w:tcPr>
            <w:tcW w:w="956" w:type="dxa"/>
            <w:vAlign w:val="center"/>
          </w:tcPr>
          <w:p w14:paraId="5C828E34">
            <w:pPr>
              <w:keepNext/>
              <w:widowControl/>
              <w:spacing w:line="240" w:lineRule="auto"/>
              <w:ind w:firstLine="0" w:firstLineChars="0"/>
              <w:jc w:val="center"/>
              <w:rPr>
                <w:color w:val="auto"/>
                <w:sz w:val="21"/>
                <w:szCs w:val="21"/>
              </w:rPr>
            </w:pPr>
            <w:r>
              <w:rPr>
                <w:rFonts w:hint="eastAsia"/>
                <w:color w:val="auto"/>
                <w:sz w:val="21"/>
                <w:szCs w:val="21"/>
              </w:rPr>
              <w:t>53</w:t>
            </w:r>
          </w:p>
        </w:tc>
      </w:tr>
      <w:tr w14:paraId="4576C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8"/>
            <w:vAlign w:val="center"/>
          </w:tcPr>
          <w:p w14:paraId="4F99EB9D">
            <w:pPr>
              <w:spacing w:line="240" w:lineRule="auto"/>
              <w:ind w:firstLine="420"/>
              <w:rPr>
                <w:color w:val="auto"/>
                <w:sz w:val="21"/>
                <w:szCs w:val="21"/>
              </w:rPr>
            </w:pPr>
            <w:r>
              <w:rPr>
                <w:rFonts w:hint="eastAsia"/>
                <w:color w:val="auto"/>
                <w:sz w:val="21"/>
                <w:szCs w:val="21"/>
              </w:rPr>
              <w:t>注：表中距离指与声源的距离。以上预测值均为瞬时声值。</w:t>
            </w:r>
          </w:p>
        </w:tc>
      </w:tr>
    </w:tbl>
    <w:p w14:paraId="4DA208B8">
      <w:pPr>
        <w:spacing w:line="360" w:lineRule="auto"/>
        <w:ind w:firstLine="480"/>
        <w:rPr>
          <w:color w:val="auto"/>
          <w:szCs w:val="24"/>
        </w:rPr>
      </w:pPr>
    </w:p>
    <w:p w14:paraId="53E0AF0E">
      <w:pPr>
        <w:spacing w:line="360" w:lineRule="auto"/>
        <w:ind w:firstLine="480"/>
        <w:rPr>
          <w:color w:val="auto"/>
          <w:szCs w:val="24"/>
        </w:rPr>
      </w:pPr>
      <w:r>
        <w:rPr>
          <w:color w:val="auto"/>
          <w:szCs w:val="24"/>
        </w:rPr>
        <w:t>根据重庆市环境监测中心多年对各类建筑施工工地的噪声监测结果统计，施工工地场界外5m处的噪声声级峰值为87dB（A），一般情况为78dB（A）。</w:t>
      </w:r>
    </w:p>
    <w:p w14:paraId="5D51529C">
      <w:pPr>
        <w:spacing w:line="360" w:lineRule="auto"/>
        <w:ind w:firstLine="480"/>
        <w:rPr>
          <w:color w:val="auto"/>
          <w:szCs w:val="24"/>
        </w:rPr>
      </w:pPr>
      <w:r>
        <w:rPr>
          <w:color w:val="auto"/>
          <w:szCs w:val="24"/>
        </w:rPr>
        <w:t>施工场界外不同距离的噪声值（不考虑任何隔声措施）预测结果</w:t>
      </w:r>
      <w:r>
        <w:rPr>
          <w:rFonts w:hint="eastAsia"/>
          <w:color w:val="auto"/>
          <w:szCs w:val="24"/>
        </w:rPr>
        <w:t>表5</w:t>
      </w:r>
      <w:r>
        <w:rPr>
          <w:color w:val="auto"/>
          <w:szCs w:val="24"/>
        </w:rPr>
        <w:t>.3-2。</w:t>
      </w:r>
    </w:p>
    <w:p w14:paraId="0A718AA7">
      <w:pPr>
        <w:spacing w:line="360" w:lineRule="auto"/>
        <w:ind w:firstLine="482"/>
        <w:jc w:val="center"/>
        <w:rPr>
          <w:b/>
          <w:snapToGrid w:val="0"/>
          <w:color w:val="auto"/>
          <w:kern w:val="0"/>
          <w:szCs w:val="24"/>
        </w:rPr>
      </w:pPr>
      <w:bookmarkStart w:id="228" w:name="_Ref485113638"/>
      <w:r>
        <w:rPr>
          <w:b/>
          <w:snapToGrid w:val="0"/>
          <w:color w:val="auto"/>
          <w:kern w:val="0"/>
          <w:szCs w:val="24"/>
        </w:rPr>
        <w:t>表 5.3</w:t>
      </w:r>
      <w:r>
        <w:rPr>
          <w:b/>
          <w:snapToGrid w:val="0"/>
          <w:color w:val="auto"/>
          <w:kern w:val="0"/>
          <w:szCs w:val="24"/>
        </w:rPr>
        <w:noBreakHyphen/>
      </w:r>
      <w:bookmarkEnd w:id="228"/>
      <w:r>
        <w:rPr>
          <w:b/>
          <w:snapToGrid w:val="0"/>
          <w:color w:val="auto"/>
          <w:kern w:val="0"/>
          <w:szCs w:val="24"/>
        </w:rPr>
        <w:t>2   施工噪声影响预测结果单位：dB（A）</w:t>
      </w:r>
    </w:p>
    <w:tbl>
      <w:tblPr>
        <w:tblStyle w:val="88"/>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2"/>
        <w:gridCol w:w="468"/>
        <w:gridCol w:w="626"/>
        <w:gridCol w:w="626"/>
        <w:gridCol w:w="626"/>
        <w:gridCol w:w="626"/>
        <w:gridCol w:w="626"/>
        <w:gridCol w:w="628"/>
        <w:gridCol w:w="626"/>
        <w:gridCol w:w="626"/>
        <w:gridCol w:w="626"/>
        <w:gridCol w:w="626"/>
        <w:gridCol w:w="626"/>
        <w:gridCol w:w="628"/>
      </w:tblGrid>
      <w:tr w14:paraId="01DE0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302" w:type="dxa"/>
            <w:vAlign w:val="center"/>
          </w:tcPr>
          <w:p w14:paraId="61B42DE5">
            <w:pPr>
              <w:pStyle w:val="276"/>
              <w:rPr>
                <w:color w:val="auto"/>
              </w:rPr>
            </w:pPr>
            <w:r>
              <w:rPr>
                <w:rFonts w:hint="eastAsia"/>
                <w:color w:val="auto"/>
              </w:rPr>
              <w:t>距离（m）</w:t>
            </w:r>
          </w:p>
        </w:tc>
        <w:tc>
          <w:tcPr>
            <w:tcW w:w="468" w:type="dxa"/>
            <w:vAlign w:val="center"/>
          </w:tcPr>
          <w:p w14:paraId="7D083536">
            <w:pPr>
              <w:pStyle w:val="276"/>
              <w:rPr>
                <w:color w:val="auto"/>
              </w:rPr>
            </w:pPr>
            <w:r>
              <w:rPr>
                <w:rFonts w:hint="eastAsia"/>
                <w:color w:val="auto"/>
              </w:rPr>
              <w:t>5</w:t>
            </w:r>
          </w:p>
        </w:tc>
        <w:tc>
          <w:tcPr>
            <w:tcW w:w="626" w:type="dxa"/>
            <w:vAlign w:val="center"/>
          </w:tcPr>
          <w:p w14:paraId="7F0C28F3">
            <w:pPr>
              <w:pStyle w:val="276"/>
              <w:rPr>
                <w:color w:val="auto"/>
              </w:rPr>
            </w:pPr>
            <w:r>
              <w:rPr>
                <w:rFonts w:hint="eastAsia"/>
                <w:color w:val="auto"/>
              </w:rPr>
              <w:t>10</w:t>
            </w:r>
          </w:p>
        </w:tc>
        <w:tc>
          <w:tcPr>
            <w:tcW w:w="626" w:type="dxa"/>
            <w:vAlign w:val="center"/>
          </w:tcPr>
          <w:p w14:paraId="0CAE577D">
            <w:pPr>
              <w:pStyle w:val="276"/>
              <w:rPr>
                <w:color w:val="auto"/>
              </w:rPr>
            </w:pPr>
            <w:r>
              <w:rPr>
                <w:rFonts w:hint="eastAsia"/>
                <w:color w:val="auto"/>
              </w:rPr>
              <w:t>20</w:t>
            </w:r>
          </w:p>
        </w:tc>
        <w:tc>
          <w:tcPr>
            <w:tcW w:w="626" w:type="dxa"/>
            <w:vAlign w:val="center"/>
          </w:tcPr>
          <w:p w14:paraId="0D9D6D1F">
            <w:pPr>
              <w:pStyle w:val="276"/>
              <w:rPr>
                <w:color w:val="auto"/>
              </w:rPr>
            </w:pPr>
            <w:r>
              <w:rPr>
                <w:rFonts w:hint="eastAsia"/>
                <w:color w:val="auto"/>
              </w:rPr>
              <w:t>30</w:t>
            </w:r>
          </w:p>
        </w:tc>
        <w:tc>
          <w:tcPr>
            <w:tcW w:w="626" w:type="dxa"/>
            <w:vAlign w:val="center"/>
          </w:tcPr>
          <w:p w14:paraId="79F87090">
            <w:pPr>
              <w:pStyle w:val="276"/>
              <w:rPr>
                <w:color w:val="auto"/>
              </w:rPr>
            </w:pPr>
            <w:r>
              <w:rPr>
                <w:rFonts w:hint="eastAsia"/>
                <w:color w:val="auto"/>
              </w:rPr>
              <w:t>40</w:t>
            </w:r>
          </w:p>
        </w:tc>
        <w:tc>
          <w:tcPr>
            <w:tcW w:w="626" w:type="dxa"/>
            <w:vAlign w:val="center"/>
          </w:tcPr>
          <w:p w14:paraId="7E63A154">
            <w:pPr>
              <w:pStyle w:val="276"/>
              <w:rPr>
                <w:color w:val="auto"/>
              </w:rPr>
            </w:pPr>
            <w:r>
              <w:rPr>
                <w:rFonts w:hint="eastAsia"/>
                <w:color w:val="auto"/>
              </w:rPr>
              <w:t>50</w:t>
            </w:r>
          </w:p>
        </w:tc>
        <w:tc>
          <w:tcPr>
            <w:tcW w:w="628" w:type="dxa"/>
            <w:vAlign w:val="center"/>
          </w:tcPr>
          <w:p w14:paraId="761948FF">
            <w:pPr>
              <w:pStyle w:val="276"/>
              <w:rPr>
                <w:color w:val="auto"/>
              </w:rPr>
            </w:pPr>
            <w:r>
              <w:rPr>
                <w:rFonts w:hint="eastAsia"/>
                <w:color w:val="auto"/>
              </w:rPr>
              <w:t>80</w:t>
            </w:r>
          </w:p>
        </w:tc>
        <w:tc>
          <w:tcPr>
            <w:tcW w:w="626" w:type="dxa"/>
            <w:vAlign w:val="center"/>
          </w:tcPr>
          <w:p w14:paraId="1ED0925B">
            <w:pPr>
              <w:pStyle w:val="276"/>
              <w:rPr>
                <w:color w:val="auto"/>
              </w:rPr>
            </w:pPr>
            <w:r>
              <w:rPr>
                <w:rFonts w:hint="eastAsia"/>
                <w:color w:val="auto"/>
              </w:rPr>
              <w:t>100</w:t>
            </w:r>
          </w:p>
        </w:tc>
        <w:tc>
          <w:tcPr>
            <w:tcW w:w="626" w:type="dxa"/>
            <w:vAlign w:val="center"/>
          </w:tcPr>
          <w:p w14:paraId="279DE794">
            <w:pPr>
              <w:pStyle w:val="276"/>
              <w:rPr>
                <w:color w:val="auto"/>
              </w:rPr>
            </w:pPr>
            <w:r>
              <w:rPr>
                <w:rFonts w:hint="eastAsia"/>
                <w:color w:val="auto"/>
              </w:rPr>
              <w:t>110</w:t>
            </w:r>
          </w:p>
        </w:tc>
        <w:tc>
          <w:tcPr>
            <w:tcW w:w="626" w:type="dxa"/>
            <w:vAlign w:val="center"/>
          </w:tcPr>
          <w:p w14:paraId="595E61CE">
            <w:pPr>
              <w:pStyle w:val="276"/>
              <w:rPr>
                <w:color w:val="auto"/>
              </w:rPr>
            </w:pPr>
            <w:r>
              <w:rPr>
                <w:rFonts w:hint="eastAsia"/>
                <w:color w:val="auto"/>
              </w:rPr>
              <w:t>130</w:t>
            </w:r>
          </w:p>
        </w:tc>
        <w:tc>
          <w:tcPr>
            <w:tcW w:w="626" w:type="dxa"/>
            <w:vAlign w:val="center"/>
          </w:tcPr>
          <w:p w14:paraId="1CC87899">
            <w:pPr>
              <w:pStyle w:val="276"/>
              <w:rPr>
                <w:color w:val="auto"/>
              </w:rPr>
            </w:pPr>
            <w:r>
              <w:rPr>
                <w:rFonts w:hint="eastAsia"/>
                <w:color w:val="auto"/>
              </w:rPr>
              <w:t>150</w:t>
            </w:r>
          </w:p>
        </w:tc>
        <w:tc>
          <w:tcPr>
            <w:tcW w:w="626" w:type="dxa"/>
            <w:vAlign w:val="center"/>
          </w:tcPr>
          <w:p w14:paraId="6E063E1A">
            <w:pPr>
              <w:pStyle w:val="276"/>
              <w:rPr>
                <w:color w:val="auto"/>
              </w:rPr>
            </w:pPr>
            <w:r>
              <w:rPr>
                <w:rFonts w:hint="eastAsia"/>
                <w:color w:val="auto"/>
              </w:rPr>
              <w:t>200</w:t>
            </w:r>
          </w:p>
        </w:tc>
        <w:tc>
          <w:tcPr>
            <w:tcW w:w="628" w:type="dxa"/>
            <w:vAlign w:val="center"/>
          </w:tcPr>
          <w:p w14:paraId="319D101B">
            <w:pPr>
              <w:pStyle w:val="276"/>
              <w:rPr>
                <w:color w:val="auto"/>
              </w:rPr>
            </w:pPr>
            <w:r>
              <w:rPr>
                <w:rFonts w:hint="eastAsia"/>
                <w:color w:val="auto"/>
              </w:rPr>
              <w:t>220</w:t>
            </w:r>
          </w:p>
        </w:tc>
      </w:tr>
      <w:tr w14:paraId="5E481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302" w:type="dxa"/>
            <w:vAlign w:val="center"/>
          </w:tcPr>
          <w:p w14:paraId="6C4CA0EE">
            <w:pPr>
              <w:pStyle w:val="276"/>
              <w:rPr>
                <w:color w:val="auto"/>
              </w:rPr>
            </w:pPr>
            <w:r>
              <w:rPr>
                <w:rFonts w:hint="eastAsia"/>
                <w:color w:val="auto"/>
              </w:rPr>
              <w:t>峰值</w:t>
            </w:r>
          </w:p>
        </w:tc>
        <w:tc>
          <w:tcPr>
            <w:tcW w:w="468" w:type="dxa"/>
            <w:vAlign w:val="center"/>
          </w:tcPr>
          <w:p w14:paraId="4D9D4348">
            <w:pPr>
              <w:pStyle w:val="276"/>
              <w:rPr>
                <w:color w:val="auto"/>
              </w:rPr>
            </w:pPr>
            <w:r>
              <w:rPr>
                <w:rFonts w:hint="eastAsia"/>
                <w:color w:val="auto"/>
              </w:rPr>
              <w:t>87</w:t>
            </w:r>
          </w:p>
        </w:tc>
        <w:tc>
          <w:tcPr>
            <w:tcW w:w="626" w:type="dxa"/>
            <w:vAlign w:val="center"/>
          </w:tcPr>
          <w:p w14:paraId="7F7ED818">
            <w:pPr>
              <w:pStyle w:val="276"/>
              <w:rPr>
                <w:color w:val="auto"/>
              </w:rPr>
            </w:pPr>
            <w:r>
              <w:rPr>
                <w:rFonts w:hint="eastAsia"/>
                <w:color w:val="auto"/>
              </w:rPr>
              <w:t>81</w:t>
            </w:r>
          </w:p>
        </w:tc>
        <w:tc>
          <w:tcPr>
            <w:tcW w:w="626" w:type="dxa"/>
            <w:vAlign w:val="center"/>
          </w:tcPr>
          <w:p w14:paraId="7AAEA6AC">
            <w:pPr>
              <w:pStyle w:val="276"/>
              <w:rPr>
                <w:color w:val="auto"/>
              </w:rPr>
            </w:pPr>
            <w:r>
              <w:rPr>
                <w:rFonts w:hint="eastAsia"/>
                <w:color w:val="auto"/>
              </w:rPr>
              <w:t>75</w:t>
            </w:r>
          </w:p>
        </w:tc>
        <w:tc>
          <w:tcPr>
            <w:tcW w:w="626" w:type="dxa"/>
            <w:vAlign w:val="center"/>
          </w:tcPr>
          <w:p w14:paraId="074E6594">
            <w:pPr>
              <w:pStyle w:val="276"/>
              <w:rPr>
                <w:color w:val="auto"/>
              </w:rPr>
            </w:pPr>
            <w:r>
              <w:rPr>
                <w:rFonts w:hint="eastAsia"/>
                <w:color w:val="auto"/>
              </w:rPr>
              <w:t>71</w:t>
            </w:r>
          </w:p>
        </w:tc>
        <w:tc>
          <w:tcPr>
            <w:tcW w:w="626" w:type="dxa"/>
            <w:vAlign w:val="center"/>
          </w:tcPr>
          <w:p w14:paraId="406F17FC">
            <w:pPr>
              <w:pStyle w:val="276"/>
              <w:rPr>
                <w:color w:val="auto"/>
              </w:rPr>
            </w:pPr>
            <w:r>
              <w:rPr>
                <w:rFonts w:hint="eastAsia"/>
                <w:color w:val="auto"/>
              </w:rPr>
              <w:t>69</w:t>
            </w:r>
          </w:p>
        </w:tc>
        <w:tc>
          <w:tcPr>
            <w:tcW w:w="626" w:type="dxa"/>
            <w:vAlign w:val="center"/>
          </w:tcPr>
          <w:p w14:paraId="10A93CE1">
            <w:pPr>
              <w:pStyle w:val="276"/>
              <w:rPr>
                <w:color w:val="auto"/>
              </w:rPr>
            </w:pPr>
            <w:r>
              <w:rPr>
                <w:rFonts w:hint="eastAsia"/>
                <w:color w:val="auto"/>
              </w:rPr>
              <w:t>67</w:t>
            </w:r>
          </w:p>
        </w:tc>
        <w:tc>
          <w:tcPr>
            <w:tcW w:w="628" w:type="dxa"/>
            <w:vAlign w:val="center"/>
          </w:tcPr>
          <w:p w14:paraId="4B063BC0">
            <w:pPr>
              <w:pStyle w:val="276"/>
              <w:rPr>
                <w:color w:val="auto"/>
              </w:rPr>
            </w:pPr>
            <w:r>
              <w:rPr>
                <w:rFonts w:hint="eastAsia"/>
                <w:color w:val="auto"/>
              </w:rPr>
              <w:t>63</w:t>
            </w:r>
          </w:p>
        </w:tc>
        <w:tc>
          <w:tcPr>
            <w:tcW w:w="626" w:type="dxa"/>
            <w:vAlign w:val="center"/>
          </w:tcPr>
          <w:p w14:paraId="2C4612D0">
            <w:pPr>
              <w:pStyle w:val="276"/>
              <w:rPr>
                <w:color w:val="auto"/>
              </w:rPr>
            </w:pPr>
            <w:r>
              <w:rPr>
                <w:rFonts w:hint="eastAsia"/>
                <w:color w:val="auto"/>
              </w:rPr>
              <w:t>61</w:t>
            </w:r>
          </w:p>
        </w:tc>
        <w:tc>
          <w:tcPr>
            <w:tcW w:w="626" w:type="dxa"/>
            <w:vAlign w:val="center"/>
          </w:tcPr>
          <w:p w14:paraId="21D957A3">
            <w:pPr>
              <w:pStyle w:val="276"/>
              <w:rPr>
                <w:color w:val="auto"/>
              </w:rPr>
            </w:pPr>
            <w:r>
              <w:rPr>
                <w:rFonts w:hint="eastAsia"/>
                <w:color w:val="auto"/>
              </w:rPr>
              <w:t>60</w:t>
            </w:r>
          </w:p>
        </w:tc>
        <w:tc>
          <w:tcPr>
            <w:tcW w:w="626" w:type="dxa"/>
            <w:vAlign w:val="center"/>
          </w:tcPr>
          <w:p w14:paraId="1F91A52C">
            <w:pPr>
              <w:pStyle w:val="276"/>
              <w:rPr>
                <w:color w:val="auto"/>
              </w:rPr>
            </w:pPr>
            <w:r>
              <w:rPr>
                <w:rFonts w:hint="eastAsia"/>
                <w:color w:val="auto"/>
              </w:rPr>
              <w:t>59</w:t>
            </w:r>
          </w:p>
        </w:tc>
        <w:tc>
          <w:tcPr>
            <w:tcW w:w="626" w:type="dxa"/>
            <w:vAlign w:val="center"/>
          </w:tcPr>
          <w:p w14:paraId="45911503">
            <w:pPr>
              <w:pStyle w:val="276"/>
              <w:rPr>
                <w:color w:val="auto"/>
              </w:rPr>
            </w:pPr>
            <w:r>
              <w:rPr>
                <w:rFonts w:hint="eastAsia"/>
                <w:color w:val="auto"/>
              </w:rPr>
              <w:t>57</w:t>
            </w:r>
          </w:p>
        </w:tc>
        <w:tc>
          <w:tcPr>
            <w:tcW w:w="626" w:type="dxa"/>
            <w:vAlign w:val="center"/>
          </w:tcPr>
          <w:p w14:paraId="501C2176">
            <w:pPr>
              <w:pStyle w:val="276"/>
              <w:rPr>
                <w:color w:val="auto"/>
              </w:rPr>
            </w:pPr>
            <w:r>
              <w:rPr>
                <w:rFonts w:hint="eastAsia"/>
                <w:color w:val="auto"/>
              </w:rPr>
              <w:t>55</w:t>
            </w:r>
          </w:p>
        </w:tc>
        <w:tc>
          <w:tcPr>
            <w:tcW w:w="628" w:type="dxa"/>
            <w:vAlign w:val="center"/>
          </w:tcPr>
          <w:p w14:paraId="1F25D0F5">
            <w:pPr>
              <w:pStyle w:val="276"/>
              <w:rPr>
                <w:color w:val="auto"/>
              </w:rPr>
            </w:pPr>
            <w:r>
              <w:rPr>
                <w:rFonts w:hint="eastAsia"/>
                <w:color w:val="auto"/>
              </w:rPr>
              <w:t>54</w:t>
            </w:r>
          </w:p>
        </w:tc>
      </w:tr>
      <w:tr w14:paraId="59F2C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 w:hRule="atLeast"/>
          <w:jc w:val="center"/>
        </w:trPr>
        <w:tc>
          <w:tcPr>
            <w:tcW w:w="1302" w:type="dxa"/>
            <w:vAlign w:val="center"/>
          </w:tcPr>
          <w:p w14:paraId="2CF03022">
            <w:pPr>
              <w:pStyle w:val="276"/>
              <w:rPr>
                <w:color w:val="auto"/>
              </w:rPr>
            </w:pPr>
            <w:r>
              <w:rPr>
                <w:rFonts w:hint="eastAsia"/>
                <w:color w:val="auto"/>
              </w:rPr>
              <w:t>一般情况</w:t>
            </w:r>
          </w:p>
        </w:tc>
        <w:tc>
          <w:tcPr>
            <w:tcW w:w="468" w:type="dxa"/>
            <w:vAlign w:val="center"/>
          </w:tcPr>
          <w:p w14:paraId="143576AB">
            <w:pPr>
              <w:pStyle w:val="276"/>
              <w:rPr>
                <w:color w:val="auto"/>
              </w:rPr>
            </w:pPr>
            <w:r>
              <w:rPr>
                <w:rFonts w:hint="eastAsia"/>
                <w:color w:val="auto"/>
              </w:rPr>
              <w:t>78</w:t>
            </w:r>
          </w:p>
        </w:tc>
        <w:tc>
          <w:tcPr>
            <w:tcW w:w="626" w:type="dxa"/>
            <w:vAlign w:val="center"/>
          </w:tcPr>
          <w:p w14:paraId="07087EC8">
            <w:pPr>
              <w:pStyle w:val="276"/>
              <w:rPr>
                <w:color w:val="auto"/>
              </w:rPr>
            </w:pPr>
            <w:r>
              <w:rPr>
                <w:rFonts w:hint="eastAsia"/>
                <w:color w:val="auto"/>
              </w:rPr>
              <w:t>72</w:t>
            </w:r>
          </w:p>
        </w:tc>
        <w:tc>
          <w:tcPr>
            <w:tcW w:w="626" w:type="dxa"/>
            <w:vAlign w:val="center"/>
          </w:tcPr>
          <w:p w14:paraId="22F23FE8">
            <w:pPr>
              <w:pStyle w:val="276"/>
              <w:rPr>
                <w:color w:val="auto"/>
              </w:rPr>
            </w:pPr>
            <w:r>
              <w:rPr>
                <w:rFonts w:hint="eastAsia"/>
                <w:color w:val="auto"/>
              </w:rPr>
              <w:t>66</w:t>
            </w:r>
          </w:p>
        </w:tc>
        <w:tc>
          <w:tcPr>
            <w:tcW w:w="626" w:type="dxa"/>
            <w:vAlign w:val="center"/>
          </w:tcPr>
          <w:p w14:paraId="4A10F3E9">
            <w:pPr>
              <w:pStyle w:val="276"/>
              <w:rPr>
                <w:color w:val="auto"/>
              </w:rPr>
            </w:pPr>
            <w:r>
              <w:rPr>
                <w:rFonts w:hint="eastAsia"/>
                <w:color w:val="auto"/>
              </w:rPr>
              <w:t>62</w:t>
            </w:r>
          </w:p>
        </w:tc>
        <w:tc>
          <w:tcPr>
            <w:tcW w:w="626" w:type="dxa"/>
            <w:vAlign w:val="center"/>
          </w:tcPr>
          <w:p w14:paraId="4F8D75A7">
            <w:pPr>
              <w:pStyle w:val="276"/>
              <w:rPr>
                <w:color w:val="auto"/>
              </w:rPr>
            </w:pPr>
            <w:r>
              <w:rPr>
                <w:rFonts w:hint="eastAsia"/>
                <w:color w:val="auto"/>
              </w:rPr>
              <w:t>60</w:t>
            </w:r>
          </w:p>
        </w:tc>
        <w:tc>
          <w:tcPr>
            <w:tcW w:w="626" w:type="dxa"/>
            <w:vAlign w:val="center"/>
          </w:tcPr>
          <w:p w14:paraId="48E9E21A">
            <w:pPr>
              <w:pStyle w:val="276"/>
              <w:rPr>
                <w:color w:val="auto"/>
              </w:rPr>
            </w:pPr>
            <w:r>
              <w:rPr>
                <w:rFonts w:hint="eastAsia"/>
                <w:color w:val="auto"/>
              </w:rPr>
              <w:t>58</w:t>
            </w:r>
          </w:p>
        </w:tc>
        <w:tc>
          <w:tcPr>
            <w:tcW w:w="628" w:type="dxa"/>
            <w:vAlign w:val="center"/>
          </w:tcPr>
          <w:p w14:paraId="32565D22">
            <w:pPr>
              <w:pStyle w:val="276"/>
              <w:rPr>
                <w:color w:val="auto"/>
              </w:rPr>
            </w:pPr>
            <w:r>
              <w:rPr>
                <w:rFonts w:hint="eastAsia"/>
                <w:color w:val="auto"/>
              </w:rPr>
              <w:t>54</w:t>
            </w:r>
          </w:p>
        </w:tc>
        <w:tc>
          <w:tcPr>
            <w:tcW w:w="626" w:type="dxa"/>
            <w:vAlign w:val="center"/>
          </w:tcPr>
          <w:p w14:paraId="78899A77">
            <w:pPr>
              <w:pStyle w:val="276"/>
              <w:rPr>
                <w:color w:val="auto"/>
              </w:rPr>
            </w:pPr>
            <w:r>
              <w:rPr>
                <w:rFonts w:hint="eastAsia"/>
                <w:color w:val="auto"/>
              </w:rPr>
              <w:t>52</w:t>
            </w:r>
          </w:p>
        </w:tc>
        <w:tc>
          <w:tcPr>
            <w:tcW w:w="626" w:type="dxa"/>
            <w:vAlign w:val="center"/>
          </w:tcPr>
          <w:p w14:paraId="575A8099">
            <w:pPr>
              <w:pStyle w:val="276"/>
              <w:rPr>
                <w:color w:val="auto"/>
              </w:rPr>
            </w:pPr>
            <w:r>
              <w:rPr>
                <w:rFonts w:hint="eastAsia"/>
                <w:color w:val="auto"/>
              </w:rPr>
              <w:t>51</w:t>
            </w:r>
          </w:p>
        </w:tc>
        <w:tc>
          <w:tcPr>
            <w:tcW w:w="626" w:type="dxa"/>
            <w:vAlign w:val="center"/>
          </w:tcPr>
          <w:p w14:paraId="522E2607">
            <w:pPr>
              <w:pStyle w:val="276"/>
              <w:rPr>
                <w:color w:val="auto"/>
              </w:rPr>
            </w:pPr>
            <w:r>
              <w:rPr>
                <w:rFonts w:hint="eastAsia"/>
                <w:color w:val="auto"/>
              </w:rPr>
              <w:t>50</w:t>
            </w:r>
          </w:p>
        </w:tc>
        <w:tc>
          <w:tcPr>
            <w:tcW w:w="626" w:type="dxa"/>
            <w:vAlign w:val="center"/>
          </w:tcPr>
          <w:p w14:paraId="3FEEEA0B">
            <w:pPr>
              <w:pStyle w:val="276"/>
              <w:rPr>
                <w:color w:val="auto"/>
              </w:rPr>
            </w:pPr>
            <w:r>
              <w:rPr>
                <w:rFonts w:hint="eastAsia"/>
                <w:color w:val="auto"/>
              </w:rPr>
              <w:t>48</w:t>
            </w:r>
          </w:p>
        </w:tc>
        <w:tc>
          <w:tcPr>
            <w:tcW w:w="626" w:type="dxa"/>
            <w:vAlign w:val="center"/>
          </w:tcPr>
          <w:p w14:paraId="055E6F09">
            <w:pPr>
              <w:pStyle w:val="276"/>
              <w:rPr>
                <w:color w:val="auto"/>
              </w:rPr>
            </w:pPr>
            <w:r>
              <w:rPr>
                <w:rFonts w:hint="eastAsia"/>
                <w:color w:val="auto"/>
              </w:rPr>
              <w:t>46</w:t>
            </w:r>
          </w:p>
        </w:tc>
        <w:tc>
          <w:tcPr>
            <w:tcW w:w="628" w:type="dxa"/>
            <w:vAlign w:val="center"/>
          </w:tcPr>
          <w:p w14:paraId="2979A9EE">
            <w:pPr>
              <w:pStyle w:val="276"/>
              <w:rPr>
                <w:color w:val="auto"/>
              </w:rPr>
            </w:pPr>
            <w:r>
              <w:rPr>
                <w:rFonts w:hint="eastAsia"/>
                <w:color w:val="auto"/>
              </w:rPr>
              <w:t>45</w:t>
            </w:r>
          </w:p>
        </w:tc>
      </w:tr>
    </w:tbl>
    <w:p w14:paraId="0EFE1EE4">
      <w:pPr>
        <w:ind w:firstLine="480"/>
        <w:rPr>
          <w:color w:val="auto"/>
        </w:rPr>
      </w:pPr>
    </w:p>
    <w:p w14:paraId="05B24FB3">
      <w:pPr>
        <w:spacing w:line="360" w:lineRule="auto"/>
        <w:ind w:firstLine="480"/>
        <w:rPr>
          <w:color w:val="auto"/>
          <w:szCs w:val="24"/>
        </w:rPr>
      </w:pPr>
      <w:r>
        <w:rPr>
          <w:color w:val="auto"/>
          <w:szCs w:val="24"/>
        </w:rPr>
        <w:t>由表5.3-2可知：考虑到施工场地噪声分布的不均匀性（施工场地噪声峰值的出现），施工噪声昼间在施工场界外40m处、夜间在施工场界外200m处将不满足《建筑施工场界环境噪声排放标准》（GB12523-2011）标准限值要求（昼间70dB（A），夜间55dB（A））。</w:t>
      </w:r>
      <w:r>
        <w:rPr>
          <w:rFonts w:hint="eastAsia"/>
          <w:color w:val="auto"/>
          <w:szCs w:val="24"/>
        </w:rPr>
        <w:t>建设单位应按</w:t>
      </w:r>
      <w:r>
        <w:rPr>
          <w:color w:val="auto"/>
          <w:szCs w:val="24"/>
        </w:rPr>
        <w:t>要求加强施工管理，文明施工，若因工艺等夜间需求施工的</w:t>
      </w:r>
      <w:r>
        <w:rPr>
          <w:rFonts w:hint="eastAsia"/>
          <w:color w:val="auto"/>
          <w:szCs w:val="24"/>
        </w:rPr>
        <w:t>，</w:t>
      </w:r>
      <w:r>
        <w:rPr>
          <w:color w:val="auto"/>
          <w:szCs w:val="24"/>
        </w:rPr>
        <w:t>需向当地环保管理部门办理夜间施工相关手续</w:t>
      </w:r>
      <w:r>
        <w:rPr>
          <w:rFonts w:hint="eastAsia"/>
          <w:color w:val="auto"/>
          <w:szCs w:val="24"/>
        </w:rPr>
        <w:t>。</w:t>
      </w:r>
    </w:p>
    <w:p w14:paraId="657CF0CA">
      <w:pPr>
        <w:pStyle w:val="4"/>
        <w:numPr>
          <w:ilvl w:val="0"/>
          <w:numId w:val="0"/>
        </w:numPr>
        <w:spacing w:line="360" w:lineRule="auto"/>
        <w:rPr>
          <w:color w:val="auto"/>
          <w:szCs w:val="24"/>
        </w:rPr>
      </w:pPr>
      <w:bookmarkStart w:id="229" w:name="_Toc351555079"/>
      <w:bookmarkStart w:id="230" w:name="_Toc9262"/>
      <w:bookmarkStart w:id="231" w:name="_Toc398080751"/>
      <w:bookmarkStart w:id="232" w:name="_Toc461633289"/>
      <w:r>
        <w:rPr>
          <w:rFonts w:hint="eastAsia"/>
          <w:color w:val="auto"/>
          <w:szCs w:val="24"/>
        </w:rPr>
        <w:t>5</w:t>
      </w:r>
      <w:r>
        <w:rPr>
          <w:color w:val="auto"/>
          <w:szCs w:val="24"/>
        </w:rPr>
        <w:t>.4固体废物影响分析</w:t>
      </w:r>
      <w:bookmarkEnd w:id="229"/>
      <w:bookmarkEnd w:id="230"/>
      <w:bookmarkEnd w:id="231"/>
      <w:bookmarkEnd w:id="232"/>
    </w:p>
    <w:p w14:paraId="3BE2F5F2">
      <w:pPr>
        <w:spacing w:line="360" w:lineRule="auto"/>
        <w:ind w:firstLine="480"/>
        <w:rPr>
          <w:color w:val="auto"/>
          <w:szCs w:val="24"/>
        </w:rPr>
      </w:pPr>
      <w:r>
        <w:rPr>
          <w:color w:val="auto"/>
          <w:szCs w:val="24"/>
        </w:rPr>
        <w:t>工程施工期固体废物主要包括施工挖出的土石方</w:t>
      </w:r>
      <w:r>
        <w:rPr>
          <w:rFonts w:hint="eastAsia"/>
          <w:color w:val="auto"/>
          <w:szCs w:val="24"/>
        </w:rPr>
        <w:t>、</w:t>
      </w:r>
      <w:r>
        <w:rPr>
          <w:color w:val="auto"/>
          <w:szCs w:val="24"/>
        </w:rPr>
        <w:t>铺路修整阶段石料、灰渣、建材等。此外，施工人员的进驻也会产生一定量的生活垃圾。由于施工过程中将产生一定量的土石方临时堆置，如不及时处理不仅有碍观瞻，影响城市景观，而且在遇大风及干燥天气时将产生扬尘。</w:t>
      </w:r>
      <w:r>
        <w:rPr>
          <w:rFonts w:hint="eastAsia"/>
          <w:color w:val="auto"/>
        </w:rPr>
        <w:t>拟建项目施工期产生的废弃土石方用于周边园区建设回填使用，拟建项目不设置弃土场和渣场</w:t>
      </w:r>
      <w:r>
        <w:rPr>
          <w:color w:val="auto"/>
          <w:szCs w:val="24"/>
        </w:rPr>
        <w:t>，未能及时回填的土方应采取临时水土保持措施</w:t>
      </w:r>
      <w:r>
        <w:rPr>
          <w:rFonts w:hint="eastAsia"/>
          <w:color w:val="auto"/>
          <w:szCs w:val="24"/>
        </w:rPr>
        <w:t>；施工期产生的建筑垃圾送至建筑垃圾填埋场填埋处置；施工人员生活垃圾委托环卫部门清运处置。</w:t>
      </w:r>
    </w:p>
    <w:p w14:paraId="7CED3275">
      <w:pPr>
        <w:pStyle w:val="4"/>
        <w:numPr>
          <w:ilvl w:val="0"/>
          <w:numId w:val="0"/>
        </w:numPr>
        <w:spacing w:line="360" w:lineRule="auto"/>
        <w:rPr>
          <w:color w:val="auto"/>
          <w:szCs w:val="24"/>
        </w:rPr>
      </w:pPr>
      <w:bookmarkStart w:id="233" w:name="_Toc24574"/>
      <w:r>
        <w:rPr>
          <w:rFonts w:hint="eastAsia"/>
          <w:color w:val="auto"/>
          <w:szCs w:val="24"/>
        </w:rPr>
        <w:t>5</w:t>
      </w:r>
      <w:r>
        <w:rPr>
          <w:color w:val="auto"/>
          <w:szCs w:val="24"/>
        </w:rPr>
        <w:t>.5</w:t>
      </w:r>
      <w:r>
        <w:rPr>
          <w:rFonts w:hint="eastAsia"/>
          <w:color w:val="auto"/>
          <w:szCs w:val="24"/>
        </w:rPr>
        <w:t>地下水环境</w:t>
      </w:r>
      <w:r>
        <w:rPr>
          <w:color w:val="auto"/>
          <w:szCs w:val="24"/>
        </w:rPr>
        <w:t>影响分析</w:t>
      </w:r>
      <w:bookmarkEnd w:id="233"/>
    </w:p>
    <w:p w14:paraId="5131FAD2">
      <w:pPr>
        <w:spacing w:line="360" w:lineRule="auto"/>
        <w:ind w:firstLine="480"/>
        <w:rPr>
          <w:color w:val="auto"/>
          <w:szCs w:val="24"/>
        </w:rPr>
      </w:pPr>
      <w:r>
        <w:rPr>
          <w:rFonts w:hint="eastAsia"/>
          <w:color w:val="auto"/>
          <w:szCs w:val="24"/>
        </w:rPr>
        <w:t>施工过程中的废水通常来源于以下几个途径：施工人员产生的生活污水，主要含COD、BOD5、氨氮、SS等污染物质；工程施工中产生的生产废水，主要来源于混凝搅拌和搅拌机械的冲洗废水，并带有少量油污；施工机械设备如钻机等产生的废水；基坑开挖过程中渗出的高浊度含泥沙废水等。</w:t>
      </w:r>
    </w:p>
    <w:p w14:paraId="5F11ACB7">
      <w:pPr>
        <w:spacing w:line="360" w:lineRule="auto"/>
        <w:ind w:firstLine="480"/>
        <w:rPr>
          <w:color w:val="auto"/>
          <w:szCs w:val="24"/>
        </w:rPr>
      </w:pPr>
      <w:r>
        <w:rPr>
          <w:rFonts w:hint="eastAsia"/>
          <w:color w:val="auto"/>
          <w:szCs w:val="24"/>
        </w:rPr>
        <w:t>经调查分析，施工废水主要污染物为泥沙、悬浮固体（SS）、化学需氧量（COD）、氨氮、石油类等 。施工废水的pH值一般在8～9之间，偏碱性，这是由于注浆主体材料水解产生的硅酸三钙、硅酸二钙、氢氧化钙等均呈碱性，这些物质溶解在水中造成pH升高。石油类也略有超标，主要来源是施工机械的滴油、漏油。施工废水中SS主要来自开挖过程中产生的粉尘、土灰、岩粉、裂隙中夹杂的泥沙等。</w:t>
      </w:r>
    </w:p>
    <w:p w14:paraId="0EFE8DF4">
      <w:pPr>
        <w:spacing w:line="360" w:lineRule="auto"/>
        <w:ind w:firstLine="480"/>
        <w:rPr>
          <w:color w:val="auto"/>
          <w:szCs w:val="24"/>
        </w:rPr>
      </w:pPr>
      <w:r>
        <w:rPr>
          <w:rFonts w:hint="eastAsia"/>
          <w:color w:val="auto"/>
          <w:szCs w:val="24"/>
        </w:rPr>
        <w:t>施工期只要加强管理，做到报告提出的污染防治措施后，拟建项目建设期的生活、施工废水对地下水的影响很小。</w:t>
      </w:r>
    </w:p>
    <w:p w14:paraId="5F0EBDA9">
      <w:pPr>
        <w:pStyle w:val="4"/>
        <w:numPr>
          <w:ilvl w:val="0"/>
          <w:numId w:val="0"/>
        </w:numPr>
        <w:spacing w:line="360" w:lineRule="auto"/>
        <w:rPr>
          <w:color w:val="auto"/>
          <w:szCs w:val="24"/>
        </w:rPr>
      </w:pPr>
      <w:bookmarkStart w:id="234" w:name="_Toc26673"/>
      <w:r>
        <w:rPr>
          <w:rFonts w:hint="eastAsia"/>
          <w:color w:val="auto"/>
          <w:szCs w:val="24"/>
        </w:rPr>
        <w:t>5</w:t>
      </w:r>
      <w:r>
        <w:rPr>
          <w:color w:val="auto"/>
          <w:szCs w:val="24"/>
        </w:rPr>
        <w:t>.5生态环境影响分析</w:t>
      </w:r>
      <w:bookmarkEnd w:id="234"/>
    </w:p>
    <w:p w14:paraId="303C3C6D">
      <w:pPr>
        <w:spacing w:line="360" w:lineRule="auto"/>
        <w:ind w:firstLine="480"/>
        <w:rPr>
          <w:color w:val="auto"/>
          <w:szCs w:val="24"/>
        </w:rPr>
      </w:pPr>
      <w:bookmarkStart w:id="235" w:name="_Hlk184931739"/>
      <w:r>
        <w:rPr>
          <w:rFonts w:hint="eastAsia"/>
          <w:color w:val="auto"/>
          <w:szCs w:val="24"/>
        </w:rPr>
        <w:t>项目的选址符合生态环境分区管控要求且位于已批准规划环评的产业园区（</w:t>
      </w:r>
      <w:r>
        <w:rPr>
          <w:rFonts w:hint="eastAsia"/>
          <w:color w:val="auto"/>
          <w:szCs w:val="24"/>
          <w:lang w:eastAsia="zh-CN"/>
        </w:rPr>
        <w:t>重庆忠县工业园乌杨组团</w:t>
      </w:r>
      <w:r>
        <w:rPr>
          <w:rFonts w:hint="eastAsia"/>
          <w:color w:val="auto"/>
          <w:szCs w:val="24"/>
        </w:rPr>
        <w:t>）内且符合规划环评要求、不涉及生态敏感区。项目主要设施设备均位于</w:t>
      </w:r>
      <w:r>
        <w:rPr>
          <w:rFonts w:hint="eastAsia"/>
          <w:color w:val="auto"/>
          <w:lang w:eastAsia="zh-CN"/>
        </w:rPr>
        <w:t>园区污水处理厂二期预留用地</w:t>
      </w:r>
      <w:r>
        <w:rPr>
          <w:rFonts w:hint="eastAsia"/>
          <w:color w:val="auto"/>
        </w:rPr>
        <w:t>范围</w:t>
      </w:r>
      <w:r>
        <w:rPr>
          <w:rFonts w:hint="eastAsia"/>
          <w:color w:val="auto"/>
          <w:szCs w:val="24"/>
        </w:rPr>
        <w:t>内，施工期均为厂界范围内，施工过程对生态环境影响较小</w:t>
      </w:r>
      <w:bookmarkEnd w:id="235"/>
      <w:r>
        <w:rPr>
          <w:rFonts w:hint="eastAsia"/>
          <w:color w:val="auto"/>
          <w:szCs w:val="24"/>
        </w:rPr>
        <w:t>。</w:t>
      </w:r>
    </w:p>
    <w:p w14:paraId="052BC56D">
      <w:pPr>
        <w:spacing w:line="360" w:lineRule="auto"/>
        <w:ind w:firstLine="480"/>
        <w:rPr>
          <w:color w:val="auto"/>
          <w:szCs w:val="24"/>
        </w:rPr>
      </w:pPr>
      <w:r>
        <w:rPr>
          <w:color w:val="auto"/>
          <w:szCs w:val="24"/>
        </w:rPr>
        <w:br w:type="page"/>
      </w:r>
    </w:p>
    <w:p w14:paraId="6F094600">
      <w:pPr>
        <w:pStyle w:val="3"/>
        <w:numPr>
          <w:ilvl w:val="0"/>
          <w:numId w:val="0"/>
        </w:numPr>
        <w:spacing w:line="360" w:lineRule="auto"/>
        <w:rPr>
          <w:color w:val="auto"/>
          <w:sz w:val="24"/>
          <w:szCs w:val="24"/>
        </w:rPr>
      </w:pPr>
      <w:bookmarkStart w:id="236" w:name="_Toc19425"/>
      <w:r>
        <w:rPr>
          <w:color w:val="auto"/>
          <w:sz w:val="24"/>
          <w:szCs w:val="24"/>
        </w:rPr>
        <w:t xml:space="preserve">6 </w:t>
      </w:r>
      <w:r>
        <w:rPr>
          <w:rFonts w:hint="eastAsia"/>
          <w:color w:val="auto"/>
          <w:sz w:val="24"/>
          <w:szCs w:val="24"/>
        </w:rPr>
        <w:t>运营期环境影响预测与评价</w:t>
      </w:r>
      <w:bookmarkEnd w:id="236"/>
    </w:p>
    <w:p w14:paraId="73041CF7">
      <w:pPr>
        <w:pStyle w:val="4"/>
        <w:numPr>
          <w:ilvl w:val="0"/>
          <w:numId w:val="0"/>
        </w:numPr>
        <w:spacing w:line="360" w:lineRule="auto"/>
        <w:rPr>
          <w:color w:val="auto"/>
          <w:szCs w:val="24"/>
        </w:rPr>
      </w:pPr>
      <w:bookmarkStart w:id="237" w:name="_Toc439249529"/>
      <w:bookmarkStart w:id="238" w:name="_Toc396234221"/>
      <w:bookmarkStart w:id="239" w:name="_Toc472509315"/>
      <w:bookmarkStart w:id="240" w:name="_Toc462350304"/>
      <w:bookmarkStart w:id="241" w:name="_Toc24165"/>
      <w:r>
        <w:rPr>
          <w:color w:val="auto"/>
          <w:szCs w:val="24"/>
        </w:rPr>
        <w:t>6.1</w:t>
      </w:r>
      <w:r>
        <w:rPr>
          <w:rFonts w:hint="eastAsia"/>
          <w:color w:val="auto"/>
          <w:szCs w:val="24"/>
        </w:rPr>
        <w:t>地表水环境</w:t>
      </w:r>
      <w:r>
        <w:rPr>
          <w:rFonts w:hint="eastAsia"/>
          <w:color w:val="auto"/>
          <w:szCs w:val="24"/>
          <w:lang w:eastAsia="zh-CN"/>
        </w:rPr>
        <w:t>影响</w:t>
      </w:r>
      <w:r>
        <w:rPr>
          <w:rFonts w:hint="eastAsia"/>
          <w:color w:val="auto"/>
          <w:szCs w:val="24"/>
        </w:rPr>
        <w:t>分析</w:t>
      </w:r>
      <w:bookmarkEnd w:id="237"/>
      <w:bookmarkEnd w:id="238"/>
      <w:bookmarkEnd w:id="239"/>
      <w:bookmarkEnd w:id="240"/>
      <w:bookmarkEnd w:id="241"/>
    </w:p>
    <w:p w14:paraId="4088D6EA">
      <w:pPr>
        <w:spacing w:line="360" w:lineRule="auto"/>
        <w:ind w:firstLine="480"/>
        <w:rPr>
          <w:color w:val="auto"/>
          <w:szCs w:val="24"/>
        </w:rPr>
      </w:pPr>
      <w:r>
        <w:rPr>
          <w:rFonts w:hint="eastAsia"/>
          <w:color w:val="auto"/>
          <w:szCs w:val="24"/>
        </w:rPr>
        <w:t>根据《环境影响评价技术导则地表水环境》（</w:t>
      </w:r>
      <w:r>
        <w:rPr>
          <w:color w:val="auto"/>
          <w:szCs w:val="24"/>
        </w:rPr>
        <w:t>HJ2.3-2018</w:t>
      </w:r>
      <w:r>
        <w:rPr>
          <w:rFonts w:hint="eastAsia"/>
          <w:color w:val="auto"/>
          <w:szCs w:val="24"/>
        </w:rPr>
        <w:t>），拟建项目地表水环境影响评价等级为三级B，可不进行水环境影响预测。</w:t>
      </w:r>
    </w:p>
    <w:p w14:paraId="0FC53100">
      <w:pPr>
        <w:spacing w:line="360" w:lineRule="auto"/>
        <w:ind w:firstLine="480"/>
        <w:rPr>
          <w:color w:val="auto"/>
          <w:szCs w:val="24"/>
        </w:rPr>
      </w:pPr>
      <w:r>
        <w:rPr>
          <w:color w:val="auto"/>
          <w:szCs w:val="24"/>
        </w:rPr>
        <w:t>项目排水采用雨污分流制，</w:t>
      </w:r>
      <w:r>
        <w:rPr>
          <w:color w:val="auto"/>
          <w:lang w:val="zh-CN"/>
        </w:rPr>
        <w:t>雨水</w:t>
      </w:r>
      <w:r>
        <w:rPr>
          <w:rFonts w:hint="eastAsia"/>
          <w:color w:val="auto"/>
          <w:lang w:val="zh-CN"/>
        </w:rPr>
        <w:t>经雨水管网收集后排入市政雨水管网；拟建项目废水处理达到</w:t>
      </w:r>
      <w:r>
        <w:rPr>
          <w:rFonts w:hint="eastAsia"/>
          <w:color w:val="auto"/>
          <w:lang w:eastAsia="zh-CN"/>
        </w:rPr>
        <w:t>《页岩气开采水污染物排放标准》（DB50/1806-2025）间接排放标准限值</w:t>
      </w:r>
      <w:r>
        <w:rPr>
          <w:rFonts w:hint="eastAsia"/>
          <w:color w:val="auto"/>
          <w:lang w:val="zh-CN"/>
        </w:rPr>
        <w:t>后直接接入乌杨组团园区污水处理厂进行深度处理达《城镇污水处理厂污染物排放标准》（GB18918-2002）一级 A 标准后排入长江。</w:t>
      </w:r>
    </w:p>
    <w:p w14:paraId="03A5EB5D">
      <w:pPr>
        <w:spacing w:line="360" w:lineRule="auto"/>
        <w:ind w:firstLine="480"/>
        <w:rPr>
          <w:color w:val="auto"/>
        </w:rPr>
      </w:pPr>
      <w:r>
        <w:rPr>
          <w:rFonts w:hint="eastAsia"/>
          <w:color w:val="auto"/>
        </w:rPr>
        <w:t>（1）依托园区污水处理厂可行性分析</w:t>
      </w:r>
    </w:p>
    <w:p w14:paraId="159C7262">
      <w:pPr>
        <w:spacing w:line="360" w:lineRule="auto"/>
        <w:ind w:firstLine="480"/>
        <w:rPr>
          <w:color w:val="auto"/>
          <w:szCs w:val="24"/>
        </w:rPr>
      </w:pPr>
      <w:r>
        <w:rPr>
          <w:rFonts w:hint="eastAsia"/>
          <w:color w:val="auto"/>
        </w:rPr>
        <w:t>根据调查，</w:t>
      </w:r>
      <w:r>
        <w:rPr>
          <w:rFonts w:hint="eastAsia"/>
          <w:color w:val="auto"/>
          <w:lang w:eastAsia="zh-CN"/>
        </w:rPr>
        <w:t>乌杨组团园区污水处理厂</w:t>
      </w:r>
      <w:r>
        <w:rPr>
          <w:rFonts w:hint="eastAsia"/>
          <w:color w:val="auto"/>
        </w:rPr>
        <w:t>于</w:t>
      </w:r>
      <w:r>
        <w:rPr>
          <w:rFonts w:hint="eastAsia"/>
          <w:color w:val="auto"/>
          <w:lang w:val="en-US" w:eastAsia="zh-CN"/>
        </w:rPr>
        <w:t>2019年12月建成并通过竣工环保验收</w:t>
      </w:r>
      <w:r>
        <w:rPr>
          <w:rFonts w:hint="eastAsia"/>
          <w:color w:val="auto"/>
        </w:rPr>
        <w:t>，采用“</w:t>
      </w:r>
      <w:r>
        <w:rPr>
          <w:rFonts w:hint="eastAsia"/>
          <w:color w:val="auto"/>
          <w:lang w:eastAsia="zh-CN"/>
        </w:rPr>
        <w:t>调节</w:t>
      </w:r>
      <w:r>
        <w:rPr>
          <w:rFonts w:hint="eastAsia"/>
          <w:color w:val="auto"/>
          <w:lang w:val="en-US" w:eastAsia="zh-CN"/>
        </w:rPr>
        <w:t>+中和+三段A/O+化学除磷+沉淀+消毒</w:t>
      </w:r>
      <w:r>
        <w:rPr>
          <w:rFonts w:hint="eastAsia"/>
          <w:color w:val="auto"/>
        </w:rPr>
        <w:t>”处理工艺；</w:t>
      </w:r>
      <w:r>
        <w:rPr>
          <w:rFonts w:hint="eastAsia"/>
          <w:color w:val="auto"/>
          <w:lang w:eastAsia="zh-CN"/>
        </w:rPr>
        <w:t>一期</w:t>
      </w:r>
      <w:r>
        <w:rPr>
          <w:rFonts w:hint="eastAsia"/>
          <w:color w:val="auto"/>
        </w:rPr>
        <w:t>建设规模达到</w:t>
      </w:r>
      <w:r>
        <w:rPr>
          <w:rFonts w:hint="eastAsia"/>
          <w:color w:val="auto"/>
          <w:lang w:val="en-US" w:eastAsia="zh-CN"/>
        </w:rPr>
        <w:t>7500</w:t>
      </w:r>
      <w:r>
        <w:rPr>
          <w:rFonts w:hint="eastAsia"/>
          <w:color w:val="auto"/>
        </w:rPr>
        <w:t>m</w:t>
      </w:r>
      <w:r>
        <w:rPr>
          <w:rFonts w:hint="eastAsia"/>
          <w:color w:val="auto"/>
          <w:vertAlign w:val="superscript"/>
        </w:rPr>
        <w:t>3</w:t>
      </w:r>
      <w:r>
        <w:rPr>
          <w:rFonts w:hint="eastAsia"/>
          <w:color w:val="auto"/>
        </w:rPr>
        <w:t>/d 。目前已正式投入运营， 该污水处理厂现状污水处理量约为</w:t>
      </w:r>
      <w:r>
        <w:rPr>
          <w:rFonts w:hint="eastAsia"/>
          <w:color w:val="auto"/>
          <w:lang w:val="en-US" w:eastAsia="zh-CN"/>
        </w:rPr>
        <w:t>15</w:t>
      </w:r>
      <w:r>
        <w:rPr>
          <w:rFonts w:hint="eastAsia"/>
          <w:color w:val="auto"/>
        </w:rPr>
        <w:t>00m</w:t>
      </w:r>
      <w:r>
        <w:rPr>
          <w:rFonts w:hint="eastAsia"/>
          <w:color w:val="auto"/>
          <w:vertAlign w:val="superscript"/>
        </w:rPr>
        <w:t>3</w:t>
      </w:r>
      <w:r>
        <w:rPr>
          <w:rFonts w:hint="eastAsia"/>
          <w:color w:val="auto"/>
        </w:rPr>
        <w:t xml:space="preserve">/d ，剩余处理量约为 </w:t>
      </w:r>
      <w:r>
        <w:rPr>
          <w:rFonts w:hint="eastAsia"/>
          <w:color w:val="auto"/>
          <w:lang w:val="en-US" w:eastAsia="zh-CN"/>
        </w:rPr>
        <w:t>6</w:t>
      </w:r>
      <w:r>
        <w:rPr>
          <w:rFonts w:hint="eastAsia"/>
          <w:color w:val="auto"/>
        </w:rPr>
        <w:t>000m</w:t>
      </w:r>
      <w:r>
        <w:rPr>
          <w:rFonts w:hint="eastAsia"/>
          <w:color w:val="auto"/>
          <w:vertAlign w:val="superscript"/>
        </w:rPr>
        <w:t>3</w:t>
      </w:r>
      <w:r>
        <w:rPr>
          <w:rFonts w:hint="eastAsia"/>
          <w:color w:val="auto"/>
        </w:rPr>
        <w:t>/d ，出水达到《城镇污水处理厂污染物排放标准》 (GB18918-2002)  一级 A 标准后排入</w:t>
      </w:r>
      <w:r>
        <w:rPr>
          <w:rFonts w:hint="eastAsia"/>
          <w:color w:val="auto"/>
          <w:lang w:eastAsia="zh-CN"/>
        </w:rPr>
        <w:t>长江</w:t>
      </w:r>
      <w:r>
        <w:rPr>
          <w:rFonts w:hint="eastAsia"/>
          <w:color w:val="auto"/>
        </w:rPr>
        <w:t>。</w:t>
      </w:r>
    </w:p>
    <w:p w14:paraId="510E7455">
      <w:pPr>
        <w:spacing w:line="360" w:lineRule="auto"/>
        <w:ind w:firstLine="480"/>
        <w:rPr>
          <w:color w:val="auto"/>
          <w:szCs w:val="24"/>
        </w:rPr>
      </w:pPr>
      <w:r>
        <w:rPr>
          <w:rFonts w:hint="eastAsia"/>
          <w:color w:val="auto"/>
          <w:szCs w:val="24"/>
        </w:rPr>
        <w:t>拟建项目位于</w:t>
      </w:r>
      <w:r>
        <w:rPr>
          <w:rFonts w:hint="eastAsia"/>
          <w:color w:val="auto"/>
          <w:kern w:val="0"/>
          <w:lang w:eastAsia="zh-CN"/>
        </w:rPr>
        <w:t>乌杨组团园区污水处理厂</w:t>
      </w:r>
      <w:r>
        <w:rPr>
          <w:rFonts w:hint="eastAsia"/>
          <w:color w:val="auto"/>
          <w:szCs w:val="24"/>
        </w:rPr>
        <w:t>服务范围内，</w:t>
      </w:r>
      <w:r>
        <w:rPr>
          <w:rFonts w:hint="eastAsia"/>
          <w:color w:val="auto"/>
          <w:szCs w:val="24"/>
          <w:lang w:eastAsia="zh-CN"/>
        </w:rPr>
        <w:t>项目</w:t>
      </w:r>
      <w:r>
        <w:rPr>
          <w:rFonts w:hint="eastAsia"/>
          <w:color w:val="auto"/>
          <w:szCs w:val="24"/>
        </w:rPr>
        <w:t>建成后全厂最大外排</w:t>
      </w:r>
      <w:r>
        <w:rPr>
          <w:color w:val="auto"/>
          <w:szCs w:val="24"/>
        </w:rPr>
        <w:t>废水量</w:t>
      </w:r>
      <w:r>
        <w:rPr>
          <w:rFonts w:hint="eastAsia"/>
          <w:color w:val="auto"/>
          <w:szCs w:val="24"/>
        </w:rPr>
        <w:t>约</w:t>
      </w:r>
      <w:r>
        <w:rPr>
          <w:color w:val="auto"/>
          <w:szCs w:val="24"/>
        </w:rPr>
        <w:t>为1957.8</w:t>
      </w:r>
      <w:r>
        <w:rPr>
          <w:color w:val="auto"/>
          <w:kern w:val="0"/>
        </w:rPr>
        <w:t>m</w:t>
      </w:r>
      <w:r>
        <w:rPr>
          <w:color w:val="auto"/>
          <w:kern w:val="0"/>
          <w:vertAlign w:val="superscript"/>
        </w:rPr>
        <w:t>3</w:t>
      </w:r>
      <w:r>
        <w:rPr>
          <w:color w:val="auto"/>
          <w:kern w:val="0"/>
        </w:rPr>
        <w:t>/d</w:t>
      </w:r>
      <w:r>
        <w:rPr>
          <w:rFonts w:hint="eastAsia"/>
          <w:color w:val="auto"/>
          <w:kern w:val="0"/>
        </w:rPr>
        <w:t>，</w:t>
      </w:r>
      <w:r>
        <w:rPr>
          <w:rFonts w:hint="eastAsia"/>
          <w:color w:val="auto"/>
          <w:kern w:val="0"/>
          <w:lang w:eastAsia="zh-CN"/>
        </w:rPr>
        <w:t>乌杨组团园区污水处理厂</w:t>
      </w:r>
      <w:r>
        <w:rPr>
          <w:rFonts w:hint="eastAsia"/>
          <w:color w:val="auto"/>
          <w:szCs w:val="24"/>
        </w:rPr>
        <w:t>剩余处理规模能满足项目废水处理量要求。同时，项目外排废水水质能达到</w:t>
      </w:r>
      <w:r>
        <w:rPr>
          <w:rFonts w:hint="eastAsia"/>
          <w:color w:val="auto"/>
          <w:lang w:eastAsia="zh-CN"/>
        </w:rPr>
        <w:t>《页岩气开采水污染物排放标准》（DB50/1806-2025）间接排放标准限值</w:t>
      </w:r>
      <w:r>
        <w:rPr>
          <w:rFonts w:hint="eastAsia"/>
          <w:color w:val="auto"/>
        </w:rPr>
        <w:t>要求，达标排放废水排放不会对</w:t>
      </w:r>
      <w:r>
        <w:rPr>
          <w:rFonts w:hint="eastAsia"/>
          <w:color w:val="auto"/>
          <w:kern w:val="0"/>
          <w:lang w:eastAsia="zh-CN"/>
        </w:rPr>
        <w:t>乌杨组团园区污水处理厂</w:t>
      </w:r>
      <w:r>
        <w:rPr>
          <w:rFonts w:hint="eastAsia"/>
          <w:color w:val="auto"/>
          <w:kern w:val="0"/>
        </w:rPr>
        <w:t>造成影响</w:t>
      </w:r>
      <w:r>
        <w:rPr>
          <w:rFonts w:hint="eastAsia"/>
          <w:color w:val="auto"/>
          <w:szCs w:val="24"/>
        </w:rPr>
        <w:t>，因此，</w:t>
      </w:r>
      <w:r>
        <w:rPr>
          <w:color w:val="auto"/>
          <w:szCs w:val="24"/>
        </w:rPr>
        <w:t>拟建项目</w:t>
      </w:r>
      <w:r>
        <w:rPr>
          <w:rFonts w:hint="eastAsia"/>
          <w:color w:val="auto"/>
          <w:szCs w:val="24"/>
        </w:rPr>
        <w:t>依托</w:t>
      </w:r>
      <w:r>
        <w:rPr>
          <w:rFonts w:hint="eastAsia"/>
          <w:color w:val="auto"/>
          <w:kern w:val="0"/>
          <w:lang w:eastAsia="zh-CN"/>
        </w:rPr>
        <w:t>乌杨组团园区污水处理厂</w:t>
      </w:r>
      <w:r>
        <w:rPr>
          <w:rFonts w:hint="eastAsia"/>
          <w:color w:val="auto"/>
          <w:szCs w:val="24"/>
        </w:rPr>
        <w:t>处理可行</w:t>
      </w:r>
      <w:r>
        <w:rPr>
          <w:color w:val="auto"/>
          <w:szCs w:val="24"/>
        </w:rPr>
        <w:t>。</w:t>
      </w:r>
    </w:p>
    <w:p w14:paraId="17A874E7">
      <w:pPr>
        <w:spacing w:line="360" w:lineRule="auto"/>
        <w:ind w:firstLine="480"/>
        <w:rPr>
          <w:color w:val="auto"/>
          <w:szCs w:val="24"/>
        </w:rPr>
      </w:pPr>
      <w:r>
        <w:rPr>
          <w:rFonts w:hint="eastAsia"/>
          <w:color w:val="auto"/>
        </w:rPr>
        <w:t>拟建项目位于</w:t>
      </w:r>
      <w:r>
        <w:rPr>
          <w:rFonts w:hint="eastAsia"/>
          <w:color w:val="auto"/>
          <w:lang w:eastAsia="zh-CN"/>
        </w:rPr>
        <w:t>乌杨组团园区污水处理厂</w:t>
      </w:r>
      <w:r>
        <w:rPr>
          <w:rFonts w:hint="eastAsia"/>
          <w:color w:val="auto"/>
        </w:rPr>
        <w:t>接纳范围，同时</w:t>
      </w:r>
      <w:r>
        <w:rPr>
          <w:rFonts w:hint="eastAsia"/>
          <w:color w:val="auto"/>
          <w:lang w:eastAsia="zh-CN"/>
        </w:rPr>
        <w:t>海宇环保</w:t>
      </w:r>
      <w:r>
        <w:rPr>
          <w:rFonts w:hint="eastAsia"/>
          <w:color w:val="auto"/>
        </w:rPr>
        <w:t>与</w:t>
      </w:r>
      <w:r>
        <w:rPr>
          <w:rFonts w:hint="eastAsia"/>
          <w:color w:val="auto"/>
          <w:lang w:eastAsia="zh-CN"/>
        </w:rPr>
        <w:t>乌杨组团园区污水处理厂</w:t>
      </w:r>
      <w:r>
        <w:rPr>
          <w:rFonts w:hint="eastAsia"/>
          <w:color w:val="auto"/>
        </w:rPr>
        <w:t>签订了</w:t>
      </w:r>
      <w:r>
        <w:rPr>
          <w:rFonts w:hint="eastAsia"/>
          <w:color w:val="auto"/>
          <w:lang w:eastAsia="zh-CN"/>
        </w:rPr>
        <w:t>合作协议，利用园区污水处理厂二期预留用地建设拟建项目，同时拟建项目处理达标后的废水进入园区污水处理厂深度处理达标排放</w:t>
      </w:r>
      <w:r>
        <w:rPr>
          <w:rFonts w:hint="eastAsia"/>
          <w:color w:val="auto"/>
        </w:rPr>
        <w:t>。</w:t>
      </w:r>
      <w:r>
        <w:rPr>
          <w:rFonts w:hint="eastAsia"/>
          <w:color w:val="auto"/>
          <w:lang w:eastAsia="zh-CN"/>
        </w:rPr>
        <w:t>海宇环保</w:t>
      </w:r>
      <w:r>
        <w:rPr>
          <w:rFonts w:hint="eastAsia"/>
          <w:color w:val="auto"/>
        </w:rPr>
        <w:t>对外排废水进行抽样检测，采用间歇排水方式，不得短时间大量排水。同时</w:t>
      </w:r>
      <w:r>
        <w:rPr>
          <w:rFonts w:hint="eastAsia"/>
          <w:color w:val="auto"/>
          <w:lang w:eastAsia="zh-CN"/>
        </w:rPr>
        <w:t>海宇环保</w:t>
      </w:r>
      <w:r>
        <w:rPr>
          <w:rFonts w:hint="eastAsia"/>
          <w:color w:val="auto"/>
        </w:rPr>
        <w:t>根据《排污单位自行监测技术指南总则》</w:t>
      </w:r>
      <w:r>
        <w:rPr>
          <w:rFonts w:hint="eastAsia"/>
          <w:color w:val="auto"/>
          <w:lang w:eastAsia="zh-CN"/>
        </w:rPr>
        <w:t>（</w:t>
      </w:r>
      <w:r>
        <w:rPr>
          <w:rFonts w:hint="eastAsia"/>
          <w:color w:val="auto"/>
        </w:rPr>
        <w:t>HJ819-2017</w:t>
      </w:r>
      <w:r>
        <w:rPr>
          <w:rFonts w:hint="eastAsia"/>
          <w:color w:val="auto"/>
          <w:lang w:eastAsia="zh-CN"/>
        </w:rPr>
        <w:t>）</w:t>
      </w:r>
      <w:r>
        <w:rPr>
          <w:rFonts w:hint="eastAsia"/>
          <w:color w:val="auto"/>
        </w:rPr>
        <w:t>、《排污许可证申请与核发技术规范水处理（试行）》（HJ978-2018）、《排污单位自行监测技术指南 水处理》（HJ 1083—2020）相关技术要求设置流量、pH、水温、COD、氨氮、TP、TN自动监测设施，同时为加强对氯化物（以Cl计）的相关管控，自愿设置氯化物（以Cl计）自动监测设施，通过自行监测和其他水质因子的例行监测，可确保外排废水稳定达标排放。</w:t>
      </w:r>
    </w:p>
    <w:p w14:paraId="4CA9D605">
      <w:pPr>
        <w:spacing w:line="360" w:lineRule="auto"/>
        <w:ind w:firstLine="480"/>
        <w:rPr>
          <w:color w:val="auto"/>
          <w:szCs w:val="24"/>
        </w:rPr>
      </w:pPr>
      <w:r>
        <w:rPr>
          <w:rFonts w:hint="eastAsia"/>
          <w:color w:val="auto"/>
          <w:szCs w:val="24"/>
        </w:rPr>
        <w:t>根据</w:t>
      </w:r>
      <w:r>
        <w:rPr>
          <w:rFonts w:hint="eastAsia"/>
          <w:color w:val="auto"/>
          <w:szCs w:val="24"/>
          <w:lang w:eastAsia="zh-CN"/>
        </w:rPr>
        <w:t>乌杨组团园区污水处理厂</w:t>
      </w:r>
      <w:r>
        <w:rPr>
          <w:rFonts w:hint="eastAsia"/>
          <w:color w:val="auto"/>
          <w:szCs w:val="24"/>
        </w:rPr>
        <w:t>项目环境影响报告书地表水预测结果可知：</w:t>
      </w:r>
    </w:p>
    <w:p w14:paraId="596F5EE4">
      <w:pPr>
        <w:spacing w:line="360" w:lineRule="auto"/>
        <w:ind w:firstLine="480"/>
        <w:rPr>
          <w:color w:val="auto"/>
          <w:szCs w:val="24"/>
        </w:rPr>
      </w:pPr>
      <w:r>
        <w:rPr>
          <w:color w:val="auto"/>
          <w:szCs w:val="24"/>
        </w:rPr>
        <w:t>园区污水处理厂建成运营后，在污水正常排放情况下，</w:t>
      </w:r>
      <w:r>
        <w:rPr>
          <w:rFonts w:hint="eastAsia"/>
          <w:color w:val="auto"/>
          <w:szCs w:val="24"/>
          <w:lang w:eastAsia="zh-CN"/>
        </w:rPr>
        <w:t>长江评价段在</w:t>
      </w:r>
      <w:r>
        <w:rPr>
          <w:rFonts w:hint="eastAsia"/>
          <w:color w:val="auto"/>
          <w:szCs w:val="24"/>
          <w:lang w:val="en-US" w:eastAsia="zh-CN"/>
        </w:rPr>
        <w:t>145和175水位下，</w:t>
      </w:r>
      <w:r>
        <w:rPr>
          <w:rFonts w:hint="eastAsia"/>
          <w:color w:val="auto"/>
          <w:szCs w:val="24"/>
        </w:rPr>
        <w:t>排放口下游江段水体各污染物浓度在现有背景值基础上有增加，但增幅较小，长江水体仍满足《地表水环境质量标准》（GB3838-2002</w:t>
      </w:r>
      <w:r>
        <w:rPr>
          <w:rFonts w:hint="eastAsia"/>
          <w:color w:val="auto"/>
          <w:szCs w:val="24"/>
          <w:lang w:eastAsia="zh-CN"/>
        </w:rPr>
        <w:t>）</w:t>
      </w:r>
      <w:r>
        <w:rPr>
          <w:rFonts w:hint="eastAsia"/>
          <w:color w:val="auto"/>
          <w:szCs w:val="24"/>
        </w:rPr>
        <w:t>中III类标准要求；苏家取水口长江水体仍满足《地表水环境质量标准》（GB3838-2002</w:t>
      </w:r>
      <w:r>
        <w:rPr>
          <w:rFonts w:hint="eastAsia"/>
          <w:color w:val="auto"/>
          <w:szCs w:val="24"/>
          <w:lang w:eastAsia="zh-CN"/>
        </w:rPr>
        <w:t>）</w:t>
      </w:r>
      <w:r>
        <w:rPr>
          <w:rFonts w:hint="eastAsia"/>
          <w:color w:val="auto"/>
          <w:szCs w:val="24"/>
        </w:rPr>
        <w:t>中II类标准要求</w:t>
      </w:r>
      <w:r>
        <w:rPr>
          <w:color w:val="auto"/>
          <w:szCs w:val="24"/>
        </w:rPr>
        <w:t>。</w:t>
      </w:r>
    </w:p>
    <w:p w14:paraId="1EB4E010">
      <w:pPr>
        <w:spacing w:line="360" w:lineRule="auto"/>
        <w:ind w:firstLine="480"/>
        <w:rPr>
          <w:color w:val="auto"/>
          <w:szCs w:val="24"/>
        </w:rPr>
      </w:pPr>
      <w:r>
        <w:rPr>
          <w:rFonts w:hint="eastAsia"/>
          <w:color w:val="auto"/>
          <w:szCs w:val="24"/>
        </w:rPr>
        <w:t>综上所述，拟建项目未突破</w:t>
      </w:r>
      <w:r>
        <w:rPr>
          <w:rFonts w:hint="eastAsia"/>
          <w:color w:val="auto"/>
          <w:szCs w:val="24"/>
          <w:lang w:eastAsia="zh-CN"/>
        </w:rPr>
        <w:t>乌杨组团园区污水处理厂</w:t>
      </w:r>
      <w:r>
        <w:rPr>
          <w:rFonts w:hint="eastAsia"/>
          <w:color w:val="auto"/>
          <w:szCs w:val="24"/>
        </w:rPr>
        <w:t>收集范围、处理能力、进水水质等分析，达到</w:t>
      </w:r>
      <w:r>
        <w:rPr>
          <w:rFonts w:hint="eastAsia"/>
          <w:color w:val="auto"/>
          <w:lang w:eastAsia="zh-CN"/>
        </w:rPr>
        <w:t>《页岩气开采水污染物排放标准》（DB50/1806-2025）间接排放标准限值</w:t>
      </w:r>
      <w:r>
        <w:rPr>
          <w:rFonts w:hint="eastAsia"/>
          <w:color w:val="auto"/>
        </w:rPr>
        <w:t>要求的废水不会对</w:t>
      </w:r>
      <w:r>
        <w:rPr>
          <w:rFonts w:hint="eastAsia"/>
          <w:color w:val="auto"/>
          <w:kern w:val="0"/>
          <w:lang w:eastAsia="zh-CN"/>
        </w:rPr>
        <w:t>乌杨组团园区污水处理厂</w:t>
      </w:r>
      <w:r>
        <w:rPr>
          <w:rFonts w:hint="eastAsia"/>
          <w:color w:val="auto"/>
          <w:kern w:val="0"/>
        </w:rPr>
        <w:t>造成冲击影响</w:t>
      </w:r>
      <w:r>
        <w:rPr>
          <w:rFonts w:hint="eastAsia"/>
          <w:color w:val="auto"/>
          <w:szCs w:val="24"/>
        </w:rPr>
        <w:t>，因此，</w:t>
      </w:r>
      <w:r>
        <w:rPr>
          <w:color w:val="auto"/>
          <w:szCs w:val="24"/>
        </w:rPr>
        <w:t>拟建项目</w:t>
      </w:r>
      <w:r>
        <w:rPr>
          <w:rFonts w:hint="eastAsia"/>
          <w:color w:val="auto"/>
          <w:szCs w:val="24"/>
        </w:rPr>
        <w:t>依托</w:t>
      </w:r>
      <w:r>
        <w:rPr>
          <w:rFonts w:hint="eastAsia"/>
          <w:color w:val="auto"/>
          <w:kern w:val="0"/>
          <w:lang w:eastAsia="zh-CN"/>
        </w:rPr>
        <w:t>乌杨组团园区污水处理厂</w:t>
      </w:r>
      <w:r>
        <w:rPr>
          <w:rFonts w:hint="eastAsia"/>
          <w:color w:val="auto"/>
          <w:szCs w:val="24"/>
        </w:rPr>
        <w:t>处理可行，地表水环境影响可接受。</w:t>
      </w:r>
    </w:p>
    <w:p w14:paraId="2689DD9E">
      <w:pPr>
        <w:ind w:firstLine="480"/>
        <w:rPr>
          <w:color w:val="auto"/>
        </w:rPr>
      </w:pPr>
      <w:r>
        <w:rPr>
          <w:rFonts w:hint="eastAsia"/>
          <w:color w:val="auto"/>
        </w:rPr>
        <w:t>建设项目地表水环境影响评价自查表见表</w:t>
      </w:r>
      <w:r>
        <w:rPr>
          <w:color w:val="auto"/>
        </w:rPr>
        <w:t>6.1-11</w:t>
      </w:r>
      <w:r>
        <w:rPr>
          <w:rFonts w:hint="eastAsia"/>
          <w:color w:val="auto"/>
        </w:rPr>
        <w:t>。</w:t>
      </w:r>
    </w:p>
    <w:p w14:paraId="6552FCD5">
      <w:pPr>
        <w:pStyle w:val="151"/>
        <w:ind w:firstLine="482"/>
        <w:jc w:val="center"/>
        <w:rPr>
          <w:b/>
          <w:bCs/>
          <w:color w:val="auto"/>
        </w:rPr>
      </w:pPr>
      <w:r>
        <w:rPr>
          <w:rFonts w:hint="eastAsia"/>
          <w:b/>
          <w:snapToGrid w:val="0"/>
          <w:color w:val="auto"/>
        </w:rPr>
        <w:t>表</w:t>
      </w:r>
      <w:r>
        <w:rPr>
          <w:b/>
          <w:snapToGrid w:val="0"/>
          <w:color w:val="auto"/>
        </w:rPr>
        <w:t xml:space="preserve">6.1-11  </w:t>
      </w:r>
      <w:r>
        <w:rPr>
          <w:rFonts w:hint="eastAsia"/>
          <w:b/>
          <w:snapToGrid w:val="0"/>
          <w:color w:val="auto"/>
        </w:rPr>
        <w:t>建设项目地表水环境影响评价自查表</w:t>
      </w:r>
    </w:p>
    <w:tbl>
      <w:tblPr>
        <w:tblStyle w:val="88"/>
        <w:tblW w:w="9285"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358"/>
        <w:gridCol w:w="1106"/>
        <w:gridCol w:w="1861"/>
        <w:gridCol w:w="324"/>
        <w:gridCol w:w="916"/>
        <w:gridCol w:w="456"/>
        <w:gridCol w:w="692"/>
        <w:gridCol w:w="183"/>
        <w:gridCol w:w="502"/>
        <w:gridCol w:w="459"/>
        <w:gridCol w:w="955"/>
        <w:gridCol w:w="383"/>
        <w:gridCol w:w="1090"/>
      </w:tblGrid>
      <w:tr w14:paraId="117901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9" w:hRule="atLeast"/>
        </w:trPr>
        <w:tc>
          <w:tcPr>
            <w:tcW w:w="1464" w:type="dxa"/>
            <w:gridSpan w:val="2"/>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31D23198">
            <w:pPr>
              <w:pStyle w:val="348"/>
              <w:rPr>
                <w:color w:val="auto"/>
              </w:rPr>
            </w:pPr>
            <w:r>
              <w:rPr>
                <w:rFonts w:hint="eastAsia"/>
                <w:color w:val="auto"/>
              </w:rPr>
              <w:t>工作内容</w:t>
            </w:r>
          </w:p>
        </w:tc>
        <w:tc>
          <w:tcPr>
            <w:tcW w:w="7821" w:type="dxa"/>
            <w:gridSpan w:val="11"/>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7973F5B6">
            <w:pPr>
              <w:pStyle w:val="348"/>
              <w:rPr>
                <w:color w:val="auto"/>
              </w:rPr>
            </w:pPr>
            <w:r>
              <w:rPr>
                <w:rFonts w:hint="eastAsia"/>
                <w:color w:val="auto"/>
              </w:rPr>
              <w:t>自查项目</w:t>
            </w:r>
          </w:p>
        </w:tc>
      </w:tr>
      <w:tr w14:paraId="5109A0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9" w:hRule="atLeast"/>
        </w:trPr>
        <w:tc>
          <w:tcPr>
            <w:tcW w:w="358" w:type="dxa"/>
            <w:vMerge w:val="restart"/>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4F02093A">
            <w:pPr>
              <w:pStyle w:val="348"/>
              <w:rPr>
                <w:color w:val="auto"/>
              </w:rPr>
            </w:pPr>
            <w:r>
              <w:rPr>
                <w:rFonts w:hint="eastAsia"/>
                <w:color w:val="auto"/>
              </w:rPr>
              <w:t>影</w:t>
            </w:r>
          </w:p>
          <w:p w14:paraId="488FC74B">
            <w:pPr>
              <w:pStyle w:val="348"/>
              <w:rPr>
                <w:color w:val="auto"/>
              </w:rPr>
            </w:pPr>
            <w:r>
              <w:rPr>
                <w:rFonts w:hint="eastAsia"/>
                <w:color w:val="auto"/>
              </w:rPr>
              <w:t>响</w:t>
            </w:r>
          </w:p>
          <w:p w14:paraId="3A03018A">
            <w:pPr>
              <w:pStyle w:val="348"/>
              <w:rPr>
                <w:color w:val="auto"/>
              </w:rPr>
            </w:pPr>
            <w:r>
              <w:rPr>
                <w:rFonts w:hint="eastAsia"/>
                <w:color w:val="auto"/>
              </w:rPr>
              <w:t>识</w:t>
            </w:r>
          </w:p>
          <w:p w14:paraId="5AD9555C">
            <w:pPr>
              <w:pStyle w:val="348"/>
              <w:rPr>
                <w:color w:val="auto"/>
              </w:rPr>
            </w:pPr>
            <w:r>
              <w:rPr>
                <w:rFonts w:hint="eastAsia"/>
                <w:color w:val="auto"/>
              </w:rPr>
              <w:t>别</w:t>
            </w:r>
          </w:p>
        </w:tc>
        <w:tc>
          <w:tcPr>
            <w:tcW w:w="1106"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54C9B988">
            <w:pPr>
              <w:pStyle w:val="348"/>
              <w:rPr>
                <w:color w:val="auto"/>
              </w:rPr>
            </w:pPr>
            <w:r>
              <w:rPr>
                <w:rFonts w:hint="eastAsia"/>
                <w:color w:val="auto"/>
              </w:rPr>
              <w:t>影响类型</w:t>
            </w:r>
          </w:p>
        </w:tc>
        <w:tc>
          <w:tcPr>
            <w:tcW w:w="7821" w:type="dxa"/>
            <w:gridSpan w:val="11"/>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0172AFD7">
            <w:pPr>
              <w:pStyle w:val="348"/>
              <w:rPr>
                <w:color w:val="auto"/>
              </w:rPr>
            </w:pPr>
            <w:r>
              <w:rPr>
                <w:rFonts w:hint="eastAsia"/>
                <w:color w:val="auto"/>
              </w:rPr>
              <w:t>水污染影响型 </w:t>
            </w:r>
            <w:r>
              <w:rPr>
                <w:rFonts w:hint="eastAsia"/>
                <w:color w:val="auto"/>
              </w:rPr>
              <w:sym w:font="Wingdings 2" w:char="F052"/>
            </w:r>
            <w:r>
              <w:rPr>
                <w:rFonts w:hint="eastAsia"/>
                <w:color w:val="auto"/>
              </w:rPr>
              <w:t>；水文要素影响型 □</w:t>
            </w:r>
          </w:p>
        </w:tc>
      </w:tr>
      <w:tr w14:paraId="5B2C88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9" w:hRule="atLeast"/>
        </w:trPr>
        <w:tc>
          <w:tcPr>
            <w:tcW w:w="358" w:type="dxa"/>
            <w:vMerge w:val="continue"/>
            <w:tcBorders>
              <w:top w:val="single" w:color="000000" w:sz="6" w:space="0"/>
              <w:left w:val="single" w:color="000000" w:sz="6" w:space="0"/>
              <w:bottom w:val="single" w:color="000000" w:sz="6" w:space="0"/>
              <w:right w:val="single" w:color="000000" w:sz="6" w:space="0"/>
            </w:tcBorders>
            <w:vAlign w:val="center"/>
          </w:tcPr>
          <w:p w14:paraId="47E4DDE6">
            <w:pPr>
              <w:pStyle w:val="348"/>
              <w:rPr>
                <w:color w:val="auto"/>
              </w:rPr>
            </w:pPr>
          </w:p>
        </w:tc>
        <w:tc>
          <w:tcPr>
            <w:tcW w:w="1106"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7BDE12EA">
            <w:pPr>
              <w:pStyle w:val="348"/>
              <w:rPr>
                <w:color w:val="auto"/>
              </w:rPr>
            </w:pPr>
            <w:r>
              <w:rPr>
                <w:rFonts w:hint="eastAsia"/>
                <w:color w:val="auto"/>
              </w:rPr>
              <w:t>水环境保护目标</w:t>
            </w:r>
          </w:p>
        </w:tc>
        <w:tc>
          <w:tcPr>
            <w:tcW w:w="7821" w:type="dxa"/>
            <w:gridSpan w:val="11"/>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7D9871EA">
            <w:pPr>
              <w:pStyle w:val="348"/>
              <w:rPr>
                <w:color w:val="auto"/>
              </w:rPr>
            </w:pPr>
            <w:r>
              <w:rPr>
                <w:rFonts w:hint="eastAsia"/>
                <w:color w:val="auto"/>
              </w:rPr>
              <w:t>饮用水水源保护区 □；饮用水取水口 □；涉水的自然保护区 □；重要湿地 □；重点保护与珍稀水生生物的栖息地 □；重要水生生物的自然产卵场及索饵场、越冬场和洄游通道、天然渔场等渔业水体 □；涉水的风景名胜区 □；其他 </w:t>
            </w:r>
            <w:r>
              <w:rPr>
                <w:rFonts w:hint="eastAsia"/>
                <w:color w:val="auto"/>
              </w:rPr>
              <w:sym w:font="Wingdings 2" w:char="F052"/>
            </w:r>
          </w:p>
        </w:tc>
      </w:tr>
      <w:tr w14:paraId="702ADD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9" w:hRule="atLeast"/>
        </w:trPr>
        <w:tc>
          <w:tcPr>
            <w:tcW w:w="358" w:type="dxa"/>
            <w:vMerge w:val="continue"/>
            <w:tcBorders>
              <w:top w:val="single" w:color="000000" w:sz="6" w:space="0"/>
              <w:left w:val="single" w:color="000000" w:sz="6" w:space="0"/>
              <w:bottom w:val="single" w:color="000000" w:sz="6" w:space="0"/>
              <w:right w:val="single" w:color="000000" w:sz="6" w:space="0"/>
            </w:tcBorders>
            <w:vAlign w:val="center"/>
          </w:tcPr>
          <w:p w14:paraId="2A327FDA">
            <w:pPr>
              <w:pStyle w:val="348"/>
              <w:rPr>
                <w:color w:val="auto"/>
              </w:rPr>
            </w:pPr>
          </w:p>
        </w:tc>
        <w:tc>
          <w:tcPr>
            <w:tcW w:w="1106" w:type="dxa"/>
            <w:vMerge w:val="restart"/>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55F32453">
            <w:pPr>
              <w:pStyle w:val="348"/>
              <w:rPr>
                <w:color w:val="auto"/>
              </w:rPr>
            </w:pPr>
            <w:r>
              <w:rPr>
                <w:rFonts w:hint="eastAsia"/>
                <w:color w:val="auto"/>
              </w:rPr>
              <w:t>影响途径</w:t>
            </w:r>
          </w:p>
        </w:tc>
        <w:tc>
          <w:tcPr>
            <w:tcW w:w="4249" w:type="dxa"/>
            <w:gridSpan w:val="5"/>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0474E80D">
            <w:pPr>
              <w:pStyle w:val="348"/>
              <w:rPr>
                <w:color w:val="auto"/>
              </w:rPr>
            </w:pPr>
            <w:r>
              <w:rPr>
                <w:rFonts w:hint="eastAsia"/>
                <w:color w:val="auto"/>
              </w:rPr>
              <w:t>水污染影响型</w:t>
            </w:r>
          </w:p>
        </w:tc>
        <w:tc>
          <w:tcPr>
            <w:tcW w:w="3572" w:type="dxa"/>
            <w:gridSpan w:val="6"/>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2983C5B5">
            <w:pPr>
              <w:pStyle w:val="348"/>
              <w:rPr>
                <w:color w:val="auto"/>
              </w:rPr>
            </w:pPr>
            <w:r>
              <w:rPr>
                <w:rFonts w:hint="eastAsia"/>
                <w:color w:val="auto"/>
              </w:rPr>
              <w:t>水文要素影响型</w:t>
            </w:r>
          </w:p>
        </w:tc>
      </w:tr>
      <w:tr w14:paraId="2B30BF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9" w:hRule="atLeast"/>
        </w:trPr>
        <w:tc>
          <w:tcPr>
            <w:tcW w:w="358" w:type="dxa"/>
            <w:vMerge w:val="continue"/>
            <w:tcBorders>
              <w:top w:val="single" w:color="000000" w:sz="6" w:space="0"/>
              <w:left w:val="single" w:color="000000" w:sz="6" w:space="0"/>
              <w:bottom w:val="single" w:color="000000" w:sz="6" w:space="0"/>
              <w:right w:val="single" w:color="000000" w:sz="6" w:space="0"/>
            </w:tcBorders>
            <w:vAlign w:val="center"/>
          </w:tcPr>
          <w:p w14:paraId="01565C32">
            <w:pPr>
              <w:pStyle w:val="348"/>
              <w:rPr>
                <w:color w:val="auto"/>
              </w:rPr>
            </w:pPr>
          </w:p>
        </w:tc>
        <w:tc>
          <w:tcPr>
            <w:tcW w:w="1106" w:type="dxa"/>
            <w:vMerge w:val="continue"/>
            <w:tcBorders>
              <w:top w:val="single" w:color="000000" w:sz="6" w:space="0"/>
              <w:left w:val="single" w:color="000000" w:sz="6" w:space="0"/>
              <w:bottom w:val="single" w:color="000000" w:sz="6" w:space="0"/>
              <w:right w:val="single" w:color="000000" w:sz="6" w:space="0"/>
            </w:tcBorders>
            <w:vAlign w:val="center"/>
          </w:tcPr>
          <w:p w14:paraId="08A9BF2C">
            <w:pPr>
              <w:pStyle w:val="348"/>
              <w:rPr>
                <w:color w:val="auto"/>
              </w:rPr>
            </w:pPr>
          </w:p>
        </w:tc>
        <w:tc>
          <w:tcPr>
            <w:tcW w:w="4249" w:type="dxa"/>
            <w:gridSpan w:val="5"/>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3F5ED09D">
            <w:pPr>
              <w:pStyle w:val="348"/>
              <w:rPr>
                <w:color w:val="auto"/>
              </w:rPr>
            </w:pPr>
            <w:r>
              <w:rPr>
                <w:rFonts w:hint="eastAsia"/>
                <w:color w:val="auto"/>
              </w:rPr>
              <w:t>直接排放 </w:t>
            </w:r>
            <w:r>
              <w:rPr>
                <w:rFonts w:hint="eastAsia"/>
                <w:color w:val="auto"/>
              </w:rPr>
              <w:sym w:font="Wingdings 2" w:char="00A3"/>
            </w:r>
            <w:r>
              <w:rPr>
                <w:rFonts w:hint="eastAsia"/>
                <w:color w:val="auto"/>
              </w:rPr>
              <w:t>；间接排放 </w:t>
            </w:r>
            <w:r>
              <w:rPr>
                <w:rFonts w:hint="eastAsia"/>
                <w:color w:val="auto"/>
              </w:rPr>
              <w:sym w:font="Wingdings 2" w:char="0052"/>
            </w:r>
            <w:r>
              <w:rPr>
                <w:rFonts w:hint="eastAsia"/>
                <w:color w:val="auto"/>
              </w:rPr>
              <w:t>□；其他 □</w:t>
            </w:r>
          </w:p>
        </w:tc>
        <w:tc>
          <w:tcPr>
            <w:tcW w:w="3572" w:type="dxa"/>
            <w:gridSpan w:val="6"/>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2C856EA8">
            <w:pPr>
              <w:pStyle w:val="348"/>
              <w:rPr>
                <w:color w:val="auto"/>
              </w:rPr>
            </w:pPr>
            <w:r>
              <w:rPr>
                <w:rFonts w:hint="eastAsia"/>
                <w:color w:val="auto"/>
              </w:rPr>
              <w:t>水温 □；径流 □；水域面积 □</w:t>
            </w:r>
          </w:p>
        </w:tc>
      </w:tr>
      <w:tr w14:paraId="5778E5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9" w:hRule="atLeast"/>
        </w:trPr>
        <w:tc>
          <w:tcPr>
            <w:tcW w:w="358" w:type="dxa"/>
            <w:vMerge w:val="continue"/>
            <w:tcBorders>
              <w:top w:val="single" w:color="000000" w:sz="6" w:space="0"/>
              <w:left w:val="single" w:color="000000" w:sz="6" w:space="0"/>
              <w:bottom w:val="single" w:color="000000" w:sz="6" w:space="0"/>
              <w:right w:val="single" w:color="000000" w:sz="6" w:space="0"/>
            </w:tcBorders>
            <w:vAlign w:val="center"/>
          </w:tcPr>
          <w:p w14:paraId="79270A62">
            <w:pPr>
              <w:pStyle w:val="348"/>
              <w:rPr>
                <w:color w:val="auto"/>
              </w:rPr>
            </w:pPr>
          </w:p>
        </w:tc>
        <w:tc>
          <w:tcPr>
            <w:tcW w:w="1106"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36CBE93D">
            <w:pPr>
              <w:pStyle w:val="348"/>
              <w:rPr>
                <w:color w:val="auto"/>
              </w:rPr>
            </w:pPr>
            <w:r>
              <w:rPr>
                <w:rFonts w:hint="eastAsia"/>
                <w:color w:val="auto"/>
              </w:rPr>
              <w:t>影响因子</w:t>
            </w:r>
          </w:p>
        </w:tc>
        <w:tc>
          <w:tcPr>
            <w:tcW w:w="4249" w:type="dxa"/>
            <w:gridSpan w:val="5"/>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10010EED">
            <w:pPr>
              <w:pStyle w:val="348"/>
              <w:rPr>
                <w:color w:val="auto"/>
              </w:rPr>
            </w:pPr>
            <w:r>
              <w:rPr>
                <w:rFonts w:hint="eastAsia"/>
                <w:color w:val="auto"/>
              </w:rPr>
              <w:t>持久性污染物 □；有毒有害污染物□；</w:t>
            </w:r>
          </w:p>
          <w:p w14:paraId="534F354F">
            <w:pPr>
              <w:pStyle w:val="348"/>
              <w:rPr>
                <w:color w:val="auto"/>
              </w:rPr>
            </w:pPr>
            <w:r>
              <w:rPr>
                <w:rFonts w:hint="eastAsia"/>
                <w:color w:val="auto"/>
              </w:rPr>
              <w:t>非持久性污染物</w:t>
            </w:r>
            <w:r>
              <w:rPr>
                <w:rFonts w:hint="eastAsia"/>
                <w:color w:val="auto"/>
              </w:rPr>
              <w:sym w:font="Wingdings 2" w:char="F052"/>
            </w:r>
            <w:r>
              <w:rPr>
                <w:rFonts w:hint="eastAsia"/>
                <w:color w:val="auto"/>
              </w:rPr>
              <w:t>；pH 值 □；热污染 □；富营养化 □；其他 □</w:t>
            </w:r>
          </w:p>
        </w:tc>
        <w:tc>
          <w:tcPr>
            <w:tcW w:w="3572" w:type="dxa"/>
            <w:gridSpan w:val="6"/>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614BE3FF">
            <w:pPr>
              <w:pStyle w:val="348"/>
              <w:rPr>
                <w:color w:val="auto"/>
              </w:rPr>
            </w:pPr>
            <w:r>
              <w:rPr>
                <w:rFonts w:hint="eastAsia"/>
                <w:color w:val="auto"/>
              </w:rPr>
              <w:t>水温 □；水位（水深） □；流速 □；流量 □；其他 □</w:t>
            </w:r>
          </w:p>
        </w:tc>
      </w:tr>
      <w:tr w14:paraId="38ACF0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9" w:hRule="atLeast"/>
        </w:trPr>
        <w:tc>
          <w:tcPr>
            <w:tcW w:w="1464" w:type="dxa"/>
            <w:gridSpan w:val="2"/>
            <w:vMerge w:val="restart"/>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079DDC1F">
            <w:pPr>
              <w:pStyle w:val="348"/>
              <w:rPr>
                <w:color w:val="auto"/>
              </w:rPr>
            </w:pPr>
            <w:r>
              <w:rPr>
                <w:rFonts w:hint="eastAsia"/>
                <w:color w:val="auto"/>
              </w:rPr>
              <w:t>评价等级</w:t>
            </w:r>
          </w:p>
        </w:tc>
        <w:tc>
          <w:tcPr>
            <w:tcW w:w="4249" w:type="dxa"/>
            <w:gridSpan w:val="5"/>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03935592">
            <w:pPr>
              <w:pStyle w:val="348"/>
              <w:rPr>
                <w:color w:val="auto"/>
              </w:rPr>
            </w:pPr>
            <w:r>
              <w:rPr>
                <w:rFonts w:hint="eastAsia"/>
                <w:color w:val="auto"/>
              </w:rPr>
              <w:t>水污染影响型</w:t>
            </w:r>
          </w:p>
        </w:tc>
        <w:tc>
          <w:tcPr>
            <w:tcW w:w="3572" w:type="dxa"/>
            <w:gridSpan w:val="6"/>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772ACCE1">
            <w:pPr>
              <w:pStyle w:val="348"/>
              <w:rPr>
                <w:color w:val="auto"/>
              </w:rPr>
            </w:pPr>
            <w:r>
              <w:rPr>
                <w:rFonts w:hint="eastAsia"/>
                <w:color w:val="auto"/>
              </w:rPr>
              <w:t>水文要素影响型</w:t>
            </w:r>
          </w:p>
        </w:tc>
      </w:tr>
      <w:tr w14:paraId="30AD8B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9" w:hRule="atLeast"/>
        </w:trPr>
        <w:tc>
          <w:tcPr>
            <w:tcW w:w="1464" w:type="dxa"/>
            <w:gridSpan w:val="2"/>
            <w:vMerge w:val="continue"/>
            <w:tcBorders>
              <w:top w:val="single" w:color="000000" w:sz="6" w:space="0"/>
              <w:left w:val="single" w:color="000000" w:sz="6" w:space="0"/>
              <w:bottom w:val="single" w:color="000000" w:sz="6" w:space="0"/>
              <w:right w:val="single" w:color="000000" w:sz="6" w:space="0"/>
            </w:tcBorders>
            <w:vAlign w:val="center"/>
          </w:tcPr>
          <w:p w14:paraId="6959B9D0">
            <w:pPr>
              <w:pStyle w:val="348"/>
              <w:rPr>
                <w:color w:val="auto"/>
              </w:rPr>
            </w:pPr>
          </w:p>
        </w:tc>
        <w:tc>
          <w:tcPr>
            <w:tcW w:w="4249" w:type="dxa"/>
            <w:gridSpan w:val="5"/>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45D52E23">
            <w:pPr>
              <w:pStyle w:val="348"/>
              <w:rPr>
                <w:color w:val="auto"/>
              </w:rPr>
            </w:pPr>
            <w:r>
              <w:rPr>
                <w:rFonts w:hint="eastAsia"/>
                <w:color w:val="auto"/>
              </w:rPr>
              <w:t>一级□；二级</w:t>
            </w:r>
            <w:r>
              <w:rPr>
                <w:rFonts w:hint="eastAsia"/>
                <w:color w:val="auto"/>
              </w:rPr>
              <w:sym w:font="Wingdings 2" w:char="00A3"/>
            </w:r>
            <w:r>
              <w:rPr>
                <w:rFonts w:hint="eastAsia"/>
                <w:color w:val="auto"/>
              </w:rPr>
              <w:t> ；三级 A □；三级 B </w:t>
            </w:r>
            <w:r>
              <w:rPr>
                <w:rFonts w:hint="eastAsia"/>
                <w:color w:val="auto"/>
              </w:rPr>
              <w:sym w:font="Wingdings 2" w:char="0052"/>
            </w:r>
          </w:p>
        </w:tc>
        <w:tc>
          <w:tcPr>
            <w:tcW w:w="3572" w:type="dxa"/>
            <w:gridSpan w:val="6"/>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5E56AC06">
            <w:pPr>
              <w:pStyle w:val="348"/>
              <w:rPr>
                <w:color w:val="auto"/>
              </w:rPr>
            </w:pPr>
            <w:r>
              <w:rPr>
                <w:rFonts w:hint="eastAsia"/>
                <w:color w:val="auto"/>
              </w:rPr>
              <w:t>一级 □；二级 □；三级 □</w:t>
            </w:r>
          </w:p>
        </w:tc>
      </w:tr>
      <w:tr w14:paraId="5D81E9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9" w:hRule="atLeast"/>
        </w:trPr>
        <w:tc>
          <w:tcPr>
            <w:tcW w:w="358" w:type="dxa"/>
            <w:vMerge w:val="restart"/>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682F6405">
            <w:pPr>
              <w:pStyle w:val="348"/>
              <w:rPr>
                <w:color w:val="auto"/>
              </w:rPr>
            </w:pPr>
            <w:r>
              <w:rPr>
                <w:rFonts w:hint="eastAsia"/>
                <w:color w:val="auto"/>
              </w:rPr>
              <w:t>现</w:t>
            </w:r>
          </w:p>
          <w:p w14:paraId="18F1ED7F">
            <w:pPr>
              <w:pStyle w:val="348"/>
              <w:rPr>
                <w:color w:val="auto"/>
              </w:rPr>
            </w:pPr>
            <w:r>
              <w:rPr>
                <w:rFonts w:hint="eastAsia"/>
                <w:color w:val="auto"/>
              </w:rPr>
              <w:t>状</w:t>
            </w:r>
          </w:p>
          <w:p w14:paraId="344D57EC">
            <w:pPr>
              <w:pStyle w:val="348"/>
              <w:rPr>
                <w:color w:val="auto"/>
              </w:rPr>
            </w:pPr>
            <w:r>
              <w:rPr>
                <w:rFonts w:hint="eastAsia"/>
                <w:color w:val="auto"/>
              </w:rPr>
              <w:t>调</w:t>
            </w:r>
          </w:p>
          <w:p w14:paraId="0E05B081">
            <w:pPr>
              <w:pStyle w:val="348"/>
              <w:rPr>
                <w:color w:val="auto"/>
              </w:rPr>
            </w:pPr>
            <w:r>
              <w:rPr>
                <w:rFonts w:hint="eastAsia"/>
                <w:color w:val="auto"/>
              </w:rPr>
              <w:t>查</w:t>
            </w:r>
          </w:p>
        </w:tc>
        <w:tc>
          <w:tcPr>
            <w:tcW w:w="1106" w:type="dxa"/>
            <w:vMerge w:val="restart"/>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34409B89">
            <w:pPr>
              <w:pStyle w:val="348"/>
              <w:rPr>
                <w:color w:val="auto"/>
              </w:rPr>
            </w:pPr>
            <w:r>
              <w:rPr>
                <w:rFonts w:hint="eastAsia"/>
                <w:color w:val="auto"/>
              </w:rPr>
              <w:t>区域污染源</w:t>
            </w:r>
          </w:p>
        </w:tc>
        <w:tc>
          <w:tcPr>
            <w:tcW w:w="4249" w:type="dxa"/>
            <w:gridSpan w:val="5"/>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48956180">
            <w:pPr>
              <w:pStyle w:val="348"/>
              <w:rPr>
                <w:color w:val="auto"/>
              </w:rPr>
            </w:pPr>
            <w:r>
              <w:rPr>
                <w:rFonts w:hint="eastAsia"/>
                <w:color w:val="auto"/>
              </w:rPr>
              <w:t>调查项目</w:t>
            </w:r>
          </w:p>
        </w:tc>
        <w:tc>
          <w:tcPr>
            <w:tcW w:w="3572" w:type="dxa"/>
            <w:gridSpan w:val="6"/>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035C2630">
            <w:pPr>
              <w:pStyle w:val="348"/>
              <w:rPr>
                <w:color w:val="auto"/>
              </w:rPr>
            </w:pPr>
            <w:r>
              <w:rPr>
                <w:rFonts w:hint="eastAsia"/>
                <w:color w:val="auto"/>
              </w:rPr>
              <w:t>数据来源</w:t>
            </w:r>
          </w:p>
        </w:tc>
      </w:tr>
      <w:tr w14:paraId="0019DE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9" w:hRule="atLeast"/>
        </w:trPr>
        <w:tc>
          <w:tcPr>
            <w:tcW w:w="358" w:type="dxa"/>
            <w:vMerge w:val="continue"/>
            <w:tcBorders>
              <w:top w:val="single" w:color="000000" w:sz="6" w:space="0"/>
              <w:left w:val="single" w:color="000000" w:sz="6" w:space="0"/>
              <w:bottom w:val="single" w:color="000000" w:sz="6" w:space="0"/>
              <w:right w:val="single" w:color="000000" w:sz="6" w:space="0"/>
            </w:tcBorders>
            <w:vAlign w:val="center"/>
          </w:tcPr>
          <w:p w14:paraId="4AD0058D">
            <w:pPr>
              <w:pStyle w:val="348"/>
              <w:rPr>
                <w:color w:val="auto"/>
              </w:rPr>
            </w:pPr>
          </w:p>
        </w:tc>
        <w:tc>
          <w:tcPr>
            <w:tcW w:w="1106" w:type="dxa"/>
            <w:vMerge w:val="continue"/>
            <w:tcBorders>
              <w:top w:val="single" w:color="000000" w:sz="6" w:space="0"/>
              <w:left w:val="single" w:color="000000" w:sz="6" w:space="0"/>
              <w:bottom w:val="single" w:color="000000" w:sz="6" w:space="0"/>
              <w:right w:val="single" w:color="000000" w:sz="6" w:space="0"/>
            </w:tcBorders>
            <w:vAlign w:val="center"/>
          </w:tcPr>
          <w:p w14:paraId="7362F025">
            <w:pPr>
              <w:pStyle w:val="348"/>
              <w:rPr>
                <w:color w:val="auto"/>
              </w:rPr>
            </w:pPr>
          </w:p>
        </w:tc>
        <w:tc>
          <w:tcPr>
            <w:tcW w:w="1861"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36D80F16">
            <w:pPr>
              <w:pStyle w:val="348"/>
              <w:rPr>
                <w:color w:val="auto"/>
              </w:rPr>
            </w:pPr>
            <w:r>
              <w:rPr>
                <w:rFonts w:hint="eastAsia"/>
                <w:color w:val="auto"/>
              </w:rPr>
              <w:t>已建</w:t>
            </w:r>
            <w:r>
              <w:rPr>
                <w:rFonts w:hint="eastAsia"/>
                <w:color w:val="auto"/>
              </w:rPr>
              <w:sym w:font="Wingdings 2" w:char="0052"/>
            </w:r>
            <w:r>
              <w:rPr>
                <w:rFonts w:hint="eastAsia"/>
                <w:color w:val="auto"/>
              </w:rPr>
              <w:t> ；在建</w:t>
            </w:r>
            <w:r>
              <w:rPr>
                <w:rFonts w:hint="eastAsia"/>
                <w:color w:val="auto"/>
              </w:rPr>
              <w:sym w:font="Wingdings 2" w:char="0052"/>
            </w:r>
            <w:r>
              <w:rPr>
                <w:rFonts w:hint="eastAsia"/>
                <w:color w:val="auto"/>
              </w:rPr>
              <w:t> ；</w:t>
            </w:r>
          </w:p>
          <w:p w14:paraId="6C6AE76F">
            <w:pPr>
              <w:pStyle w:val="348"/>
              <w:rPr>
                <w:color w:val="auto"/>
              </w:rPr>
            </w:pPr>
            <w:r>
              <w:rPr>
                <w:rFonts w:hint="eastAsia"/>
                <w:color w:val="auto"/>
              </w:rPr>
              <w:t>拟建</w:t>
            </w:r>
            <w:r>
              <w:rPr>
                <w:rFonts w:hint="eastAsia"/>
                <w:color w:val="auto"/>
              </w:rPr>
              <w:sym w:font="Wingdings 2" w:char="0052"/>
            </w:r>
            <w:r>
              <w:rPr>
                <w:rFonts w:hint="eastAsia"/>
                <w:color w:val="auto"/>
              </w:rPr>
              <w:t>；其他 □</w:t>
            </w:r>
          </w:p>
        </w:tc>
        <w:tc>
          <w:tcPr>
            <w:tcW w:w="2388" w:type="dxa"/>
            <w:gridSpan w:val="4"/>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63D25CA2">
            <w:pPr>
              <w:pStyle w:val="348"/>
              <w:rPr>
                <w:color w:val="auto"/>
              </w:rPr>
            </w:pPr>
            <w:r>
              <w:rPr>
                <w:rFonts w:hint="eastAsia"/>
                <w:color w:val="auto"/>
              </w:rPr>
              <w:t>拟替代的污染源 □</w:t>
            </w:r>
          </w:p>
        </w:tc>
        <w:tc>
          <w:tcPr>
            <w:tcW w:w="3572" w:type="dxa"/>
            <w:gridSpan w:val="6"/>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76F5A154">
            <w:pPr>
              <w:pStyle w:val="348"/>
              <w:rPr>
                <w:color w:val="auto"/>
              </w:rPr>
            </w:pPr>
            <w:r>
              <w:rPr>
                <w:rFonts w:hint="eastAsia"/>
                <w:color w:val="auto"/>
              </w:rPr>
              <w:t>排污许可证 □；环评 □；环保验收 □；既有实测 □；现场监测 □；入河排放口数据 □；其他 □</w:t>
            </w:r>
          </w:p>
        </w:tc>
      </w:tr>
      <w:tr w14:paraId="4E5C71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9" w:hRule="atLeast"/>
        </w:trPr>
        <w:tc>
          <w:tcPr>
            <w:tcW w:w="358" w:type="dxa"/>
            <w:vMerge w:val="continue"/>
            <w:tcBorders>
              <w:top w:val="single" w:color="000000" w:sz="6" w:space="0"/>
              <w:left w:val="single" w:color="000000" w:sz="6" w:space="0"/>
              <w:bottom w:val="single" w:color="000000" w:sz="6" w:space="0"/>
              <w:right w:val="single" w:color="000000" w:sz="6" w:space="0"/>
            </w:tcBorders>
            <w:vAlign w:val="center"/>
          </w:tcPr>
          <w:p w14:paraId="2EB6C6A3">
            <w:pPr>
              <w:pStyle w:val="348"/>
              <w:rPr>
                <w:color w:val="auto"/>
              </w:rPr>
            </w:pPr>
          </w:p>
        </w:tc>
        <w:tc>
          <w:tcPr>
            <w:tcW w:w="1106" w:type="dxa"/>
            <w:vMerge w:val="restart"/>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3885782E">
            <w:pPr>
              <w:pStyle w:val="348"/>
              <w:rPr>
                <w:color w:val="auto"/>
              </w:rPr>
            </w:pPr>
            <w:r>
              <w:rPr>
                <w:rFonts w:hint="eastAsia"/>
                <w:color w:val="auto"/>
              </w:rPr>
              <w:t>受影响水体水环境质量</w:t>
            </w:r>
          </w:p>
        </w:tc>
        <w:tc>
          <w:tcPr>
            <w:tcW w:w="4249" w:type="dxa"/>
            <w:gridSpan w:val="5"/>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3EC9258A">
            <w:pPr>
              <w:pStyle w:val="348"/>
              <w:rPr>
                <w:color w:val="auto"/>
              </w:rPr>
            </w:pPr>
            <w:r>
              <w:rPr>
                <w:rFonts w:hint="eastAsia"/>
                <w:color w:val="auto"/>
              </w:rPr>
              <w:t>调查时期</w:t>
            </w:r>
          </w:p>
        </w:tc>
        <w:tc>
          <w:tcPr>
            <w:tcW w:w="3572" w:type="dxa"/>
            <w:gridSpan w:val="6"/>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7B79B286">
            <w:pPr>
              <w:pStyle w:val="348"/>
              <w:rPr>
                <w:color w:val="auto"/>
              </w:rPr>
            </w:pPr>
            <w:r>
              <w:rPr>
                <w:rFonts w:hint="eastAsia"/>
                <w:color w:val="auto"/>
              </w:rPr>
              <w:t>数据来源</w:t>
            </w:r>
          </w:p>
        </w:tc>
      </w:tr>
      <w:tr w14:paraId="61ACE6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9" w:hRule="atLeast"/>
        </w:trPr>
        <w:tc>
          <w:tcPr>
            <w:tcW w:w="358" w:type="dxa"/>
            <w:vMerge w:val="continue"/>
            <w:tcBorders>
              <w:top w:val="single" w:color="000000" w:sz="6" w:space="0"/>
              <w:left w:val="single" w:color="000000" w:sz="6" w:space="0"/>
              <w:bottom w:val="single" w:color="000000" w:sz="6" w:space="0"/>
              <w:right w:val="single" w:color="000000" w:sz="6" w:space="0"/>
            </w:tcBorders>
            <w:vAlign w:val="center"/>
          </w:tcPr>
          <w:p w14:paraId="201941C1">
            <w:pPr>
              <w:pStyle w:val="348"/>
              <w:rPr>
                <w:color w:val="auto"/>
              </w:rPr>
            </w:pPr>
          </w:p>
        </w:tc>
        <w:tc>
          <w:tcPr>
            <w:tcW w:w="1106" w:type="dxa"/>
            <w:vMerge w:val="continue"/>
            <w:tcBorders>
              <w:top w:val="single" w:color="000000" w:sz="6" w:space="0"/>
              <w:left w:val="single" w:color="000000" w:sz="6" w:space="0"/>
              <w:bottom w:val="single" w:color="000000" w:sz="6" w:space="0"/>
              <w:right w:val="single" w:color="000000" w:sz="6" w:space="0"/>
            </w:tcBorders>
            <w:vAlign w:val="center"/>
          </w:tcPr>
          <w:p w14:paraId="640A2ABD">
            <w:pPr>
              <w:pStyle w:val="348"/>
              <w:rPr>
                <w:color w:val="auto"/>
              </w:rPr>
            </w:pPr>
          </w:p>
        </w:tc>
        <w:tc>
          <w:tcPr>
            <w:tcW w:w="4249" w:type="dxa"/>
            <w:gridSpan w:val="5"/>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7E12CBD3">
            <w:pPr>
              <w:pStyle w:val="348"/>
              <w:rPr>
                <w:color w:val="auto"/>
              </w:rPr>
            </w:pPr>
            <w:r>
              <w:rPr>
                <w:rFonts w:hint="eastAsia"/>
                <w:color w:val="auto"/>
              </w:rPr>
              <w:t>丰水期 </w:t>
            </w:r>
            <w:r>
              <w:rPr>
                <w:rFonts w:hint="eastAsia"/>
                <w:color w:val="auto"/>
              </w:rPr>
              <w:sym w:font="Wingdings 2" w:char="F052"/>
            </w:r>
            <w:r>
              <w:rPr>
                <w:rFonts w:hint="eastAsia"/>
                <w:color w:val="auto"/>
              </w:rPr>
              <w:t>；平水期  </w:t>
            </w:r>
            <w:r>
              <w:rPr>
                <w:rFonts w:hint="eastAsia"/>
                <w:color w:val="auto"/>
              </w:rPr>
              <w:sym w:font="Wingdings 2" w:char="F052"/>
            </w:r>
            <w:r>
              <w:rPr>
                <w:rFonts w:hint="eastAsia"/>
                <w:color w:val="auto"/>
              </w:rPr>
              <w:t>；枯水期 </w:t>
            </w:r>
            <w:r>
              <w:rPr>
                <w:rFonts w:hint="eastAsia"/>
                <w:color w:val="auto"/>
              </w:rPr>
              <w:sym w:font="Wingdings 2" w:char="F052"/>
            </w:r>
            <w:r>
              <w:rPr>
                <w:rFonts w:hint="eastAsia"/>
                <w:color w:val="auto"/>
              </w:rPr>
              <w:t>；冰封期 □</w:t>
            </w:r>
          </w:p>
          <w:p w14:paraId="6DB15119">
            <w:pPr>
              <w:pStyle w:val="348"/>
              <w:rPr>
                <w:color w:val="auto"/>
              </w:rPr>
            </w:pPr>
            <w:r>
              <w:rPr>
                <w:rFonts w:hint="eastAsia"/>
                <w:color w:val="auto"/>
              </w:rPr>
              <w:t>春季 □；夏季 □；秋季 □；冬季 □</w:t>
            </w:r>
          </w:p>
        </w:tc>
        <w:tc>
          <w:tcPr>
            <w:tcW w:w="3572" w:type="dxa"/>
            <w:gridSpan w:val="6"/>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5EB7AF2E">
            <w:pPr>
              <w:pStyle w:val="348"/>
              <w:rPr>
                <w:color w:val="auto"/>
              </w:rPr>
            </w:pPr>
            <w:r>
              <w:rPr>
                <w:rFonts w:hint="eastAsia"/>
                <w:color w:val="auto"/>
              </w:rPr>
              <w:t>生态环境保护主管部门 </w:t>
            </w:r>
            <w:r>
              <w:rPr>
                <w:rFonts w:hint="eastAsia"/>
                <w:color w:val="auto"/>
              </w:rPr>
              <w:sym w:font="Wingdings 2" w:char="F052"/>
            </w:r>
            <w:r>
              <w:rPr>
                <w:rFonts w:hint="eastAsia"/>
                <w:color w:val="auto"/>
              </w:rPr>
              <w:t>；补充监测 □；其他 □</w:t>
            </w:r>
          </w:p>
        </w:tc>
      </w:tr>
      <w:tr w14:paraId="7881DD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9" w:hRule="atLeast"/>
        </w:trPr>
        <w:tc>
          <w:tcPr>
            <w:tcW w:w="358" w:type="dxa"/>
            <w:vMerge w:val="continue"/>
            <w:tcBorders>
              <w:top w:val="single" w:color="000000" w:sz="6" w:space="0"/>
              <w:left w:val="single" w:color="000000" w:sz="6" w:space="0"/>
              <w:bottom w:val="single" w:color="000000" w:sz="6" w:space="0"/>
              <w:right w:val="single" w:color="000000" w:sz="6" w:space="0"/>
            </w:tcBorders>
            <w:vAlign w:val="center"/>
          </w:tcPr>
          <w:p w14:paraId="2F076ABC">
            <w:pPr>
              <w:pStyle w:val="348"/>
              <w:rPr>
                <w:color w:val="auto"/>
              </w:rPr>
            </w:pPr>
          </w:p>
        </w:tc>
        <w:tc>
          <w:tcPr>
            <w:tcW w:w="1106"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28F55FB4">
            <w:pPr>
              <w:pStyle w:val="348"/>
              <w:rPr>
                <w:color w:val="auto"/>
              </w:rPr>
            </w:pPr>
            <w:r>
              <w:rPr>
                <w:rFonts w:hint="eastAsia"/>
                <w:color w:val="auto"/>
              </w:rPr>
              <w:t>区域水资源开发利用状况</w:t>
            </w:r>
          </w:p>
        </w:tc>
        <w:tc>
          <w:tcPr>
            <w:tcW w:w="7821" w:type="dxa"/>
            <w:gridSpan w:val="11"/>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4778E01F">
            <w:pPr>
              <w:pStyle w:val="348"/>
              <w:rPr>
                <w:color w:val="auto"/>
              </w:rPr>
            </w:pPr>
            <w:r>
              <w:rPr>
                <w:rFonts w:hint="eastAsia"/>
                <w:color w:val="auto"/>
              </w:rPr>
              <w:t>未开发 □；开发量 40%以下 □；开发量 40%以上 □</w:t>
            </w:r>
          </w:p>
        </w:tc>
      </w:tr>
      <w:tr w14:paraId="530F0F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9" w:hRule="atLeast"/>
        </w:trPr>
        <w:tc>
          <w:tcPr>
            <w:tcW w:w="358" w:type="dxa"/>
            <w:vMerge w:val="continue"/>
            <w:tcBorders>
              <w:top w:val="single" w:color="000000" w:sz="6" w:space="0"/>
              <w:left w:val="single" w:color="000000" w:sz="6" w:space="0"/>
              <w:bottom w:val="single" w:color="000000" w:sz="6" w:space="0"/>
              <w:right w:val="single" w:color="000000" w:sz="6" w:space="0"/>
            </w:tcBorders>
            <w:vAlign w:val="center"/>
          </w:tcPr>
          <w:p w14:paraId="3860F055">
            <w:pPr>
              <w:pStyle w:val="348"/>
              <w:rPr>
                <w:color w:val="auto"/>
              </w:rPr>
            </w:pPr>
          </w:p>
        </w:tc>
        <w:tc>
          <w:tcPr>
            <w:tcW w:w="1106" w:type="dxa"/>
            <w:vMerge w:val="restart"/>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3886BB76">
            <w:pPr>
              <w:pStyle w:val="348"/>
              <w:rPr>
                <w:color w:val="auto"/>
              </w:rPr>
            </w:pPr>
            <w:r>
              <w:rPr>
                <w:rFonts w:hint="eastAsia"/>
                <w:color w:val="auto"/>
              </w:rPr>
              <w:t>水文情势调查</w:t>
            </w:r>
          </w:p>
        </w:tc>
        <w:tc>
          <w:tcPr>
            <w:tcW w:w="4249" w:type="dxa"/>
            <w:gridSpan w:val="5"/>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01561E33">
            <w:pPr>
              <w:pStyle w:val="348"/>
              <w:rPr>
                <w:color w:val="auto"/>
              </w:rPr>
            </w:pPr>
            <w:r>
              <w:rPr>
                <w:rFonts w:hint="eastAsia"/>
                <w:color w:val="auto"/>
              </w:rPr>
              <w:t>调查时期</w:t>
            </w:r>
          </w:p>
        </w:tc>
        <w:tc>
          <w:tcPr>
            <w:tcW w:w="3572" w:type="dxa"/>
            <w:gridSpan w:val="6"/>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57CB7A2E">
            <w:pPr>
              <w:pStyle w:val="348"/>
              <w:rPr>
                <w:color w:val="auto"/>
              </w:rPr>
            </w:pPr>
            <w:r>
              <w:rPr>
                <w:rFonts w:hint="eastAsia"/>
                <w:color w:val="auto"/>
              </w:rPr>
              <w:t>数据来源</w:t>
            </w:r>
          </w:p>
        </w:tc>
      </w:tr>
      <w:tr w14:paraId="4D2E42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9" w:hRule="atLeast"/>
        </w:trPr>
        <w:tc>
          <w:tcPr>
            <w:tcW w:w="358" w:type="dxa"/>
            <w:vMerge w:val="continue"/>
            <w:tcBorders>
              <w:top w:val="single" w:color="000000" w:sz="6" w:space="0"/>
              <w:left w:val="single" w:color="000000" w:sz="6" w:space="0"/>
              <w:bottom w:val="single" w:color="000000" w:sz="6" w:space="0"/>
              <w:right w:val="single" w:color="000000" w:sz="6" w:space="0"/>
            </w:tcBorders>
            <w:vAlign w:val="center"/>
          </w:tcPr>
          <w:p w14:paraId="57E629EC">
            <w:pPr>
              <w:pStyle w:val="348"/>
              <w:rPr>
                <w:color w:val="auto"/>
              </w:rPr>
            </w:pPr>
          </w:p>
        </w:tc>
        <w:tc>
          <w:tcPr>
            <w:tcW w:w="1106" w:type="dxa"/>
            <w:vMerge w:val="continue"/>
            <w:tcBorders>
              <w:top w:val="single" w:color="000000" w:sz="6" w:space="0"/>
              <w:left w:val="single" w:color="000000" w:sz="6" w:space="0"/>
              <w:bottom w:val="single" w:color="000000" w:sz="6" w:space="0"/>
              <w:right w:val="single" w:color="000000" w:sz="6" w:space="0"/>
            </w:tcBorders>
            <w:vAlign w:val="center"/>
          </w:tcPr>
          <w:p w14:paraId="36FEC0FE">
            <w:pPr>
              <w:pStyle w:val="348"/>
              <w:rPr>
                <w:color w:val="auto"/>
              </w:rPr>
            </w:pPr>
          </w:p>
        </w:tc>
        <w:tc>
          <w:tcPr>
            <w:tcW w:w="4249" w:type="dxa"/>
            <w:gridSpan w:val="5"/>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7AAD3A16">
            <w:pPr>
              <w:pStyle w:val="348"/>
              <w:rPr>
                <w:color w:val="auto"/>
              </w:rPr>
            </w:pPr>
            <w:r>
              <w:rPr>
                <w:rFonts w:hint="eastAsia"/>
                <w:color w:val="auto"/>
              </w:rPr>
              <w:t>丰水期 □；平水期 □；枯水期 □；冰封期 □</w:t>
            </w:r>
          </w:p>
          <w:p w14:paraId="0E23FA8B">
            <w:pPr>
              <w:pStyle w:val="348"/>
              <w:rPr>
                <w:color w:val="auto"/>
              </w:rPr>
            </w:pPr>
            <w:r>
              <w:rPr>
                <w:rFonts w:hint="eastAsia"/>
                <w:color w:val="auto"/>
              </w:rPr>
              <w:t>春季 □；夏季 □；秋季 □；冬季 □</w:t>
            </w:r>
          </w:p>
        </w:tc>
        <w:tc>
          <w:tcPr>
            <w:tcW w:w="3572" w:type="dxa"/>
            <w:gridSpan w:val="6"/>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23A89E16">
            <w:pPr>
              <w:pStyle w:val="348"/>
              <w:rPr>
                <w:color w:val="auto"/>
              </w:rPr>
            </w:pPr>
            <w:r>
              <w:rPr>
                <w:rFonts w:hint="eastAsia"/>
                <w:color w:val="auto"/>
              </w:rPr>
              <w:t>水行政主管部门 </w:t>
            </w:r>
            <w:r>
              <w:rPr>
                <w:rFonts w:hint="eastAsia"/>
                <w:color w:val="auto"/>
              </w:rPr>
              <w:sym w:font="Wingdings 2" w:char="F052"/>
            </w:r>
            <w:r>
              <w:rPr>
                <w:rFonts w:hint="eastAsia"/>
                <w:color w:val="auto"/>
              </w:rPr>
              <w:t>；补充监测 □；其他 □</w:t>
            </w:r>
          </w:p>
        </w:tc>
      </w:tr>
      <w:tr w14:paraId="7ADE7B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9" w:hRule="atLeast"/>
        </w:trPr>
        <w:tc>
          <w:tcPr>
            <w:tcW w:w="358" w:type="dxa"/>
            <w:vMerge w:val="continue"/>
            <w:tcBorders>
              <w:top w:val="single" w:color="000000" w:sz="6" w:space="0"/>
              <w:left w:val="single" w:color="000000" w:sz="6" w:space="0"/>
              <w:bottom w:val="single" w:color="000000" w:sz="6" w:space="0"/>
              <w:right w:val="single" w:color="000000" w:sz="6" w:space="0"/>
            </w:tcBorders>
            <w:vAlign w:val="center"/>
          </w:tcPr>
          <w:p w14:paraId="2B913ABE">
            <w:pPr>
              <w:pStyle w:val="348"/>
              <w:rPr>
                <w:color w:val="auto"/>
              </w:rPr>
            </w:pPr>
          </w:p>
        </w:tc>
        <w:tc>
          <w:tcPr>
            <w:tcW w:w="1106" w:type="dxa"/>
            <w:vMerge w:val="restart"/>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1519ED4A">
            <w:pPr>
              <w:pStyle w:val="348"/>
              <w:rPr>
                <w:color w:val="auto"/>
              </w:rPr>
            </w:pPr>
            <w:r>
              <w:rPr>
                <w:rFonts w:hint="eastAsia"/>
                <w:color w:val="auto"/>
              </w:rPr>
              <w:t>补充监测</w:t>
            </w:r>
          </w:p>
        </w:tc>
        <w:tc>
          <w:tcPr>
            <w:tcW w:w="4249" w:type="dxa"/>
            <w:gridSpan w:val="5"/>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337420FE">
            <w:pPr>
              <w:pStyle w:val="348"/>
              <w:rPr>
                <w:color w:val="auto"/>
              </w:rPr>
            </w:pPr>
            <w:r>
              <w:rPr>
                <w:rFonts w:hint="eastAsia"/>
                <w:color w:val="auto"/>
              </w:rPr>
              <w:t>监测时期</w:t>
            </w:r>
          </w:p>
        </w:tc>
        <w:tc>
          <w:tcPr>
            <w:tcW w:w="2099" w:type="dxa"/>
            <w:gridSpan w:val="4"/>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3005C3D2">
            <w:pPr>
              <w:pStyle w:val="348"/>
              <w:rPr>
                <w:color w:val="auto"/>
              </w:rPr>
            </w:pPr>
            <w:r>
              <w:rPr>
                <w:rFonts w:hint="eastAsia"/>
                <w:color w:val="auto"/>
              </w:rPr>
              <w:t>监测因子</w:t>
            </w:r>
          </w:p>
        </w:tc>
        <w:tc>
          <w:tcPr>
            <w:tcW w:w="1473" w:type="dxa"/>
            <w:gridSpan w:val="2"/>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4E5283A8">
            <w:pPr>
              <w:pStyle w:val="348"/>
              <w:rPr>
                <w:color w:val="auto"/>
              </w:rPr>
            </w:pPr>
            <w:r>
              <w:rPr>
                <w:rFonts w:hint="eastAsia"/>
                <w:color w:val="auto"/>
              </w:rPr>
              <w:t>监测断面或点位</w:t>
            </w:r>
          </w:p>
        </w:tc>
      </w:tr>
      <w:tr w14:paraId="5C14D3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9" w:hRule="atLeast"/>
        </w:trPr>
        <w:tc>
          <w:tcPr>
            <w:tcW w:w="358" w:type="dxa"/>
            <w:vMerge w:val="continue"/>
            <w:tcBorders>
              <w:top w:val="single" w:color="000000" w:sz="6" w:space="0"/>
              <w:left w:val="single" w:color="000000" w:sz="6" w:space="0"/>
              <w:bottom w:val="single" w:color="000000" w:sz="6" w:space="0"/>
              <w:right w:val="single" w:color="000000" w:sz="6" w:space="0"/>
            </w:tcBorders>
            <w:vAlign w:val="center"/>
          </w:tcPr>
          <w:p w14:paraId="5485D6BB">
            <w:pPr>
              <w:pStyle w:val="348"/>
              <w:rPr>
                <w:color w:val="auto"/>
              </w:rPr>
            </w:pPr>
          </w:p>
        </w:tc>
        <w:tc>
          <w:tcPr>
            <w:tcW w:w="1106" w:type="dxa"/>
            <w:vMerge w:val="continue"/>
            <w:tcBorders>
              <w:top w:val="single" w:color="000000" w:sz="6" w:space="0"/>
              <w:left w:val="single" w:color="000000" w:sz="6" w:space="0"/>
              <w:bottom w:val="single" w:color="000000" w:sz="6" w:space="0"/>
              <w:right w:val="single" w:color="000000" w:sz="6" w:space="0"/>
            </w:tcBorders>
            <w:vAlign w:val="center"/>
          </w:tcPr>
          <w:p w14:paraId="5EFA402D">
            <w:pPr>
              <w:pStyle w:val="348"/>
              <w:rPr>
                <w:color w:val="auto"/>
              </w:rPr>
            </w:pPr>
          </w:p>
        </w:tc>
        <w:tc>
          <w:tcPr>
            <w:tcW w:w="4249" w:type="dxa"/>
            <w:gridSpan w:val="5"/>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61DBCE0E">
            <w:pPr>
              <w:pStyle w:val="348"/>
              <w:rPr>
                <w:color w:val="auto"/>
              </w:rPr>
            </w:pPr>
            <w:r>
              <w:rPr>
                <w:rFonts w:hint="eastAsia"/>
                <w:color w:val="auto"/>
              </w:rPr>
              <w:t>丰水期 □；平水期 □；枯水期□；冰封期 □</w:t>
            </w:r>
          </w:p>
          <w:p w14:paraId="5B3F9ECA">
            <w:pPr>
              <w:pStyle w:val="348"/>
              <w:rPr>
                <w:color w:val="auto"/>
              </w:rPr>
            </w:pPr>
            <w:r>
              <w:rPr>
                <w:rFonts w:hint="eastAsia"/>
                <w:color w:val="auto"/>
              </w:rPr>
              <w:t>春季 □；夏季 □；秋季 □；冬季 □</w:t>
            </w:r>
          </w:p>
        </w:tc>
        <w:tc>
          <w:tcPr>
            <w:tcW w:w="2099" w:type="dxa"/>
            <w:gridSpan w:val="4"/>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3354759C">
            <w:pPr>
              <w:pStyle w:val="348"/>
              <w:rPr>
                <w:color w:val="auto"/>
              </w:rPr>
            </w:pPr>
            <w:r>
              <w:rPr>
                <w:rFonts w:hint="eastAsia"/>
                <w:color w:val="auto"/>
              </w:rPr>
              <w:t>（）</w:t>
            </w:r>
          </w:p>
        </w:tc>
        <w:tc>
          <w:tcPr>
            <w:tcW w:w="1473" w:type="dxa"/>
            <w:gridSpan w:val="2"/>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1048D8E2">
            <w:pPr>
              <w:pStyle w:val="348"/>
              <w:rPr>
                <w:color w:val="auto"/>
              </w:rPr>
            </w:pPr>
            <w:r>
              <w:rPr>
                <w:rFonts w:hint="eastAsia"/>
                <w:color w:val="auto"/>
              </w:rPr>
              <w:t>监测断面或点位个数</w:t>
            </w:r>
          </w:p>
          <w:p w14:paraId="34DE0826">
            <w:pPr>
              <w:pStyle w:val="348"/>
              <w:rPr>
                <w:color w:val="auto"/>
              </w:rPr>
            </w:pPr>
            <w:r>
              <w:rPr>
                <w:rFonts w:hint="eastAsia"/>
                <w:color w:val="auto"/>
              </w:rPr>
              <w:t>（2）个</w:t>
            </w:r>
          </w:p>
        </w:tc>
      </w:tr>
      <w:tr w14:paraId="1C72CE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9" w:hRule="atLeast"/>
        </w:trPr>
        <w:tc>
          <w:tcPr>
            <w:tcW w:w="358" w:type="dxa"/>
            <w:vMerge w:val="restart"/>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10588CD9">
            <w:pPr>
              <w:pStyle w:val="348"/>
              <w:rPr>
                <w:color w:val="auto"/>
              </w:rPr>
            </w:pPr>
            <w:r>
              <w:rPr>
                <w:rFonts w:hint="eastAsia"/>
                <w:color w:val="auto"/>
              </w:rPr>
              <w:t>现</w:t>
            </w:r>
          </w:p>
          <w:p w14:paraId="451A162C">
            <w:pPr>
              <w:pStyle w:val="348"/>
              <w:rPr>
                <w:color w:val="auto"/>
              </w:rPr>
            </w:pPr>
            <w:r>
              <w:rPr>
                <w:rFonts w:hint="eastAsia"/>
                <w:color w:val="auto"/>
              </w:rPr>
              <w:t>状</w:t>
            </w:r>
          </w:p>
          <w:p w14:paraId="556FC260">
            <w:pPr>
              <w:pStyle w:val="348"/>
              <w:rPr>
                <w:color w:val="auto"/>
              </w:rPr>
            </w:pPr>
            <w:r>
              <w:rPr>
                <w:rFonts w:hint="eastAsia"/>
                <w:color w:val="auto"/>
              </w:rPr>
              <w:t>评</w:t>
            </w:r>
          </w:p>
          <w:p w14:paraId="1C82EBE9">
            <w:pPr>
              <w:pStyle w:val="348"/>
              <w:rPr>
                <w:color w:val="auto"/>
              </w:rPr>
            </w:pPr>
            <w:r>
              <w:rPr>
                <w:rFonts w:hint="eastAsia"/>
                <w:color w:val="auto"/>
              </w:rPr>
              <w:t>价</w:t>
            </w:r>
          </w:p>
        </w:tc>
        <w:tc>
          <w:tcPr>
            <w:tcW w:w="1106"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7D91F90C">
            <w:pPr>
              <w:pStyle w:val="348"/>
              <w:rPr>
                <w:color w:val="auto"/>
              </w:rPr>
            </w:pPr>
            <w:r>
              <w:rPr>
                <w:rFonts w:hint="eastAsia"/>
                <w:color w:val="auto"/>
              </w:rPr>
              <w:t>评价范围</w:t>
            </w:r>
          </w:p>
        </w:tc>
        <w:tc>
          <w:tcPr>
            <w:tcW w:w="7821" w:type="dxa"/>
            <w:gridSpan w:val="11"/>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5D713A12">
            <w:pPr>
              <w:pStyle w:val="348"/>
              <w:rPr>
                <w:color w:val="auto"/>
              </w:rPr>
            </w:pPr>
            <w:r>
              <w:rPr>
                <w:rFonts w:hint="eastAsia"/>
                <w:color w:val="auto"/>
              </w:rPr>
              <w:t>河流：长度（</w:t>
            </w:r>
            <w:r>
              <w:rPr>
                <w:rFonts w:hint="eastAsia"/>
                <w:color w:val="auto"/>
                <w:lang w:val="en-US"/>
              </w:rPr>
              <w:t xml:space="preserve"> </w:t>
            </w:r>
            <w:r>
              <w:rPr>
                <w:rFonts w:hint="eastAsia"/>
                <w:color w:val="auto"/>
              </w:rPr>
              <w:t>）km；湖库、河口及近岸海域：面积（）km</w:t>
            </w:r>
            <w:r>
              <w:rPr>
                <w:rFonts w:hint="eastAsia"/>
                <w:color w:val="auto"/>
                <w:vertAlign w:val="superscript"/>
              </w:rPr>
              <w:t>2</w:t>
            </w:r>
          </w:p>
        </w:tc>
      </w:tr>
      <w:tr w14:paraId="2ADDBE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9" w:hRule="atLeast"/>
        </w:trPr>
        <w:tc>
          <w:tcPr>
            <w:tcW w:w="358" w:type="dxa"/>
            <w:vMerge w:val="continue"/>
            <w:tcBorders>
              <w:top w:val="single" w:color="000000" w:sz="6" w:space="0"/>
              <w:left w:val="single" w:color="000000" w:sz="6" w:space="0"/>
              <w:bottom w:val="single" w:color="000000" w:sz="6" w:space="0"/>
              <w:right w:val="single" w:color="000000" w:sz="6" w:space="0"/>
            </w:tcBorders>
            <w:vAlign w:val="center"/>
          </w:tcPr>
          <w:p w14:paraId="42214891">
            <w:pPr>
              <w:pStyle w:val="348"/>
              <w:rPr>
                <w:color w:val="auto"/>
              </w:rPr>
            </w:pPr>
          </w:p>
        </w:tc>
        <w:tc>
          <w:tcPr>
            <w:tcW w:w="1106"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0F5338B5">
            <w:pPr>
              <w:pStyle w:val="348"/>
              <w:rPr>
                <w:color w:val="auto"/>
              </w:rPr>
            </w:pPr>
            <w:r>
              <w:rPr>
                <w:rFonts w:hint="eastAsia"/>
                <w:color w:val="auto"/>
              </w:rPr>
              <w:t>评价因子</w:t>
            </w:r>
          </w:p>
        </w:tc>
        <w:tc>
          <w:tcPr>
            <w:tcW w:w="7821" w:type="dxa"/>
            <w:gridSpan w:val="11"/>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40C63570">
            <w:pPr>
              <w:pStyle w:val="348"/>
              <w:rPr>
                <w:color w:val="auto"/>
              </w:rPr>
            </w:pPr>
            <w:r>
              <w:rPr>
                <w:rFonts w:hint="eastAsia"/>
                <w:color w:val="auto"/>
              </w:rPr>
              <w:t>（电导率、水温、pH、溶解氧、化学需氧量、五日生化需氧量、氨氮、总磷、总氮、铜、锌、氟化物、硒、砷、汞、镉、铬（六价）、铅、氰化物、挥发酚、石油类、阴离子表面活性剂、硫化物、粪大肠菌群）</w:t>
            </w:r>
          </w:p>
        </w:tc>
      </w:tr>
      <w:tr w14:paraId="32FD4A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9" w:hRule="atLeast"/>
        </w:trPr>
        <w:tc>
          <w:tcPr>
            <w:tcW w:w="358" w:type="dxa"/>
            <w:vMerge w:val="continue"/>
            <w:tcBorders>
              <w:top w:val="single" w:color="000000" w:sz="6" w:space="0"/>
              <w:left w:val="single" w:color="000000" w:sz="6" w:space="0"/>
              <w:bottom w:val="single" w:color="000000" w:sz="6" w:space="0"/>
              <w:right w:val="single" w:color="000000" w:sz="6" w:space="0"/>
            </w:tcBorders>
            <w:vAlign w:val="center"/>
          </w:tcPr>
          <w:p w14:paraId="5C49CBE5">
            <w:pPr>
              <w:pStyle w:val="348"/>
              <w:rPr>
                <w:color w:val="auto"/>
              </w:rPr>
            </w:pPr>
          </w:p>
        </w:tc>
        <w:tc>
          <w:tcPr>
            <w:tcW w:w="1106"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6539878E">
            <w:pPr>
              <w:pStyle w:val="348"/>
              <w:rPr>
                <w:color w:val="auto"/>
              </w:rPr>
            </w:pPr>
            <w:r>
              <w:rPr>
                <w:rFonts w:hint="eastAsia"/>
                <w:color w:val="auto"/>
              </w:rPr>
              <w:t>评价标准</w:t>
            </w:r>
          </w:p>
        </w:tc>
        <w:tc>
          <w:tcPr>
            <w:tcW w:w="7821" w:type="dxa"/>
            <w:gridSpan w:val="11"/>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tcPr>
          <w:p w14:paraId="6FEBC125">
            <w:pPr>
              <w:pStyle w:val="348"/>
              <w:rPr>
                <w:color w:val="auto"/>
              </w:rPr>
            </w:pPr>
            <w:r>
              <w:rPr>
                <w:rFonts w:hint="eastAsia"/>
                <w:color w:val="auto"/>
              </w:rPr>
              <w:t>河流、湖库、河口：Ⅰ类 □；Ⅱ类□ ；Ⅲ类</w:t>
            </w:r>
            <w:r>
              <w:rPr>
                <w:rFonts w:hint="eastAsia"/>
                <w:color w:val="auto"/>
              </w:rPr>
              <w:sym w:font="Wingdings 2" w:char="F052"/>
            </w:r>
            <w:r>
              <w:rPr>
                <w:rFonts w:hint="eastAsia"/>
                <w:color w:val="auto"/>
              </w:rPr>
              <w:t> ；Ⅳ类</w:t>
            </w:r>
            <w:r>
              <w:rPr>
                <w:rFonts w:hint="eastAsia"/>
                <w:color w:val="auto"/>
              </w:rPr>
              <w:sym w:font="Wingdings 2" w:char="00A3"/>
            </w:r>
            <w:r>
              <w:rPr>
                <w:rFonts w:hint="eastAsia"/>
                <w:color w:val="auto"/>
              </w:rPr>
              <w:t>  ；Ⅴ类</w:t>
            </w:r>
            <w:r>
              <w:rPr>
                <w:rFonts w:hint="eastAsia"/>
                <w:color w:val="auto"/>
              </w:rPr>
              <w:sym w:font="Wingdings 2" w:char="00A3"/>
            </w:r>
            <w:r>
              <w:rPr>
                <w:rFonts w:hint="eastAsia"/>
                <w:color w:val="auto"/>
              </w:rPr>
              <w:t> </w:t>
            </w:r>
          </w:p>
          <w:p w14:paraId="33C65DC6">
            <w:pPr>
              <w:pStyle w:val="348"/>
              <w:rPr>
                <w:color w:val="auto"/>
              </w:rPr>
            </w:pPr>
            <w:r>
              <w:rPr>
                <w:rFonts w:hint="eastAsia"/>
                <w:color w:val="auto"/>
              </w:rPr>
              <w:t>近岸海域：第一类 □；第二类 □；第三类 □；第四类 □</w:t>
            </w:r>
          </w:p>
          <w:p w14:paraId="5ED1BB19">
            <w:pPr>
              <w:pStyle w:val="348"/>
              <w:rPr>
                <w:color w:val="auto"/>
              </w:rPr>
            </w:pPr>
            <w:r>
              <w:rPr>
                <w:rFonts w:hint="eastAsia"/>
                <w:color w:val="auto"/>
              </w:rPr>
              <w:t>规划年评价标准（《地表水环境质量标准》（GB3838-2002）Ⅴ类）</w:t>
            </w:r>
          </w:p>
        </w:tc>
      </w:tr>
      <w:tr w14:paraId="3ACCFA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9" w:hRule="atLeast"/>
        </w:trPr>
        <w:tc>
          <w:tcPr>
            <w:tcW w:w="358" w:type="dxa"/>
            <w:vMerge w:val="continue"/>
            <w:tcBorders>
              <w:top w:val="single" w:color="000000" w:sz="6" w:space="0"/>
              <w:left w:val="single" w:color="000000" w:sz="6" w:space="0"/>
              <w:bottom w:val="single" w:color="000000" w:sz="6" w:space="0"/>
              <w:right w:val="single" w:color="000000" w:sz="6" w:space="0"/>
            </w:tcBorders>
            <w:vAlign w:val="center"/>
          </w:tcPr>
          <w:p w14:paraId="0F60A18C">
            <w:pPr>
              <w:pStyle w:val="348"/>
              <w:rPr>
                <w:color w:val="auto"/>
              </w:rPr>
            </w:pPr>
          </w:p>
        </w:tc>
        <w:tc>
          <w:tcPr>
            <w:tcW w:w="1106"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3004493D">
            <w:pPr>
              <w:pStyle w:val="348"/>
              <w:rPr>
                <w:color w:val="auto"/>
              </w:rPr>
            </w:pPr>
            <w:r>
              <w:rPr>
                <w:rFonts w:hint="eastAsia"/>
                <w:color w:val="auto"/>
              </w:rPr>
              <w:t>评价时期</w:t>
            </w:r>
          </w:p>
        </w:tc>
        <w:tc>
          <w:tcPr>
            <w:tcW w:w="7821" w:type="dxa"/>
            <w:gridSpan w:val="11"/>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tcPr>
          <w:p w14:paraId="78BD699E">
            <w:pPr>
              <w:pStyle w:val="348"/>
              <w:rPr>
                <w:color w:val="auto"/>
              </w:rPr>
            </w:pPr>
            <w:r>
              <w:rPr>
                <w:rFonts w:hint="eastAsia"/>
                <w:color w:val="auto"/>
              </w:rPr>
              <w:t>丰水期 </w:t>
            </w:r>
            <w:r>
              <w:rPr>
                <w:rFonts w:hint="eastAsia"/>
                <w:color w:val="auto"/>
              </w:rPr>
              <w:sym w:font="Wingdings 2" w:char="F052"/>
            </w:r>
            <w:r>
              <w:rPr>
                <w:rFonts w:hint="eastAsia"/>
                <w:color w:val="auto"/>
              </w:rPr>
              <w:t>；平水期  </w:t>
            </w:r>
            <w:r>
              <w:rPr>
                <w:rFonts w:hint="eastAsia"/>
                <w:color w:val="auto"/>
              </w:rPr>
              <w:sym w:font="Wingdings 2" w:char="F052"/>
            </w:r>
            <w:r>
              <w:rPr>
                <w:rFonts w:hint="eastAsia"/>
                <w:color w:val="auto"/>
              </w:rPr>
              <w:t>；枯水期 </w:t>
            </w:r>
            <w:r>
              <w:rPr>
                <w:rFonts w:hint="eastAsia"/>
                <w:color w:val="auto"/>
              </w:rPr>
              <w:sym w:font="Wingdings 2" w:char="F052"/>
            </w:r>
            <w:r>
              <w:rPr>
                <w:rFonts w:hint="eastAsia"/>
                <w:color w:val="auto"/>
              </w:rPr>
              <w:t>；冰封期 □</w:t>
            </w:r>
          </w:p>
          <w:p w14:paraId="2D31145B">
            <w:pPr>
              <w:pStyle w:val="348"/>
              <w:rPr>
                <w:color w:val="auto"/>
              </w:rPr>
            </w:pPr>
            <w:r>
              <w:rPr>
                <w:rFonts w:hint="eastAsia"/>
                <w:color w:val="auto"/>
              </w:rPr>
              <w:t>春季 □；夏季 □；秋季 □；冬季 □</w:t>
            </w:r>
          </w:p>
        </w:tc>
      </w:tr>
      <w:tr w14:paraId="066AB2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9" w:hRule="atLeast"/>
        </w:trPr>
        <w:tc>
          <w:tcPr>
            <w:tcW w:w="358" w:type="dxa"/>
            <w:vMerge w:val="continue"/>
            <w:tcBorders>
              <w:top w:val="single" w:color="000000" w:sz="6" w:space="0"/>
              <w:left w:val="single" w:color="000000" w:sz="6" w:space="0"/>
              <w:bottom w:val="single" w:color="000000" w:sz="6" w:space="0"/>
              <w:right w:val="single" w:color="000000" w:sz="6" w:space="0"/>
            </w:tcBorders>
            <w:vAlign w:val="center"/>
          </w:tcPr>
          <w:p w14:paraId="60C20B43">
            <w:pPr>
              <w:pStyle w:val="348"/>
              <w:rPr>
                <w:color w:val="auto"/>
              </w:rPr>
            </w:pPr>
          </w:p>
        </w:tc>
        <w:tc>
          <w:tcPr>
            <w:tcW w:w="1106"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38B0DA56">
            <w:pPr>
              <w:pStyle w:val="348"/>
              <w:rPr>
                <w:color w:val="auto"/>
              </w:rPr>
            </w:pPr>
            <w:r>
              <w:rPr>
                <w:rFonts w:hint="eastAsia"/>
                <w:color w:val="auto"/>
              </w:rPr>
              <w:t>评价结论</w:t>
            </w:r>
          </w:p>
        </w:tc>
        <w:tc>
          <w:tcPr>
            <w:tcW w:w="6731" w:type="dxa"/>
            <w:gridSpan w:val="10"/>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tcPr>
          <w:p w14:paraId="2D3FC43E">
            <w:pPr>
              <w:pStyle w:val="348"/>
              <w:rPr>
                <w:color w:val="auto"/>
              </w:rPr>
            </w:pPr>
            <w:r>
              <w:rPr>
                <w:rFonts w:hint="eastAsia"/>
                <w:color w:val="auto"/>
              </w:rPr>
              <w:t>水环境功能区或水功能区、近岸海域环境功能区水质达标状况 □：达标□；不达标 □</w:t>
            </w:r>
          </w:p>
          <w:p w14:paraId="0B841CCE">
            <w:pPr>
              <w:pStyle w:val="348"/>
              <w:rPr>
                <w:color w:val="auto"/>
              </w:rPr>
            </w:pPr>
            <w:r>
              <w:rPr>
                <w:rFonts w:hint="eastAsia"/>
                <w:color w:val="auto"/>
              </w:rPr>
              <w:t>水环境控制单元或断面水质达标状况 □：达标 □；不达标 □</w:t>
            </w:r>
          </w:p>
          <w:p w14:paraId="080A43C6">
            <w:pPr>
              <w:pStyle w:val="348"/>
              <w:rPr>
                <w:color w:val="auto"/>
              </w:rPr>
            </w:pPr>
            <w:r>
              <w:rPr>
                <w:rFonts w:hint="eastAsia"/>
                <w:color w:val="auto"/>
              </w:rPr>
              <w:t>水环境保护目标质量状况 □：达标 □；不达标 □</w:t>
            </w:r>
          </w:p>
          <w:p w14:paraId="34C27463">
            <w:pPr>
              <w:pStyle w:val="348"/>
              <w:rPr>
                <w:color w:val="auto"/>
              </w:rPr>
            </w:pPr>
            <w:r>
              <w:rPr>
                <w:rFonts w:hint="eastAsia"/>
                <w:color w:val="auto"/>
              </w:rPr>
              <w:t>对照断面、控制断面等代表性断面的水质状况 □：达标 □；不达标 □</w:t>
            </w:r>
          </w:p>
          <w:p w14:paraId="14A52E10">
            <w:pPr>
              <w:pStyle w:val="348"/>
              <w:rPr>
                <w:color w:val="auto"/>
              </w:rPr>
            </w:pPr>
            <w:r>
              <w:rPr>
                <w:rFonts w:hint="eastAsia"/>
                <w:color w:val="auto"/>
              </w:rPr>
              <w:t>底泥污染评价 □</w:t>
            </w:r>
          </w:p>
          <w:p w14:paraId="0DE38F53">
            <w:pPr>
              <w:pStyle w:val="348"/>
              <w:rPr>
                <w:color w:val="auto"/>
              </w:rPr>
            </w:pPr>
            <w:r>
              <w:rPr>
                <w:rFonts w:hint="eastAsia"/>
                <w:color w:val="auto"/>
              </w:rPr>
              <w:t>水资源与开发利用程度及其水文情势评价 □</w:t>
            </w:r>
          </w:p>
          <w:p w14:paraId="1A32637D">
            <w:pPr>
              <w:pStyle w:val="348"/>
              <w:rPr>
                <w:color w:val="auto"/>
              </w:rPr>
            </w:pPr>
            <w:r>
              <w:rPr>
                <w:rFonts w:hint="eastAsia"/>
                <w:color w:val="auto"/>
              </w:rPr>
              <w:t>水环境质量回顾评价 □</w:t>
            </w:r>
          </w:p>
          <w:p w14:paraId="60F9ED53">
            <w:pPr>
              <w:pStyle w:val="348"/>
              <w:rPr>
                <w:color w:val="auto"/>
              </w:rPr>
            </w:pPr>
            <w:r>
              <w:rPr>
                <w:rFonts w:hint="eastAsia"/>
                <w:color w:val="auto"/>
              </w:rPr>
              <w:t>流域（区域）水资源（包括水能资源）与开发利用总体状况、生态流量管理要求与现状满足程度、建设项目占用水域空间的水流状况与河湖演变状况 □</w:t>
            </w:r>
          </w:p>
        </w:tc>
        <w:tc>
          <w:tcPr>
            <w:tcW w:w="109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5B4D10E1">
            <w:pPr>
              <w:pStyle w:val="348"/>
              <w:rPr>
                <w:color w:val="auto"/>
              </w:rPr>
            </w:pPr>
          </w:p>
          <w:p w14:paraId="60D7B0DE">
            <w:pPr>
              <w:pStyle w:val="348"/>
              <w:rPr>
                <w:color w:val="auto"/>
              </w:rPr>
            </w:pPr>
            <w:r>
              <w:rPr>
                <w:rFonts w:hint="eastAsia"/>
                <w:color w:val="auto"/>
              </w:rPr>
              <w:t>达标区 </w:t>
            </w:r>
            <w:r>
              <w:rPr>
                <w:rFonts w:hint="eastAsia"/>
                <w:color w:val="auto"/>
              </w:rPr>
              <w:sym w:font="Wingdings 2" w:char="F052"/>
            </w:r>
          </w:p>
          <w:p w14:paraId="7496042D">
            <w:pPr>
              <w:pStyle w:val="348"/>
              <w:rPr>
                <w:color w:val="auto"/>
              </w:rPr>
            </w:pPr>
            <w:r>
              <w:rPr>
                <w:rFonts w:hint="eastAsia"/>
                <w:color w:val="auto"/>
              </w:rPr>
              <w:t>不达标区□</w:t>
            </w:r>
          </w:p>
        </w:tc>
      </w:tr>
      <w:tr w14:paraId="2243EC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9" w:hRule="atLeast"/>
        </w:trPr>
        <w:tc>
          <w:tcPr>
            <w:tcW w:w="358" w:type="dxa"/>
            <w:vMerge w:val="restart"/>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7FD0D4A8">
            <w:pPr>
              <w:pStyle w:val="348"/>
              <w:rPr>
                <w:color w:val="auto"/>
              </w:rPr>
            </w:pPr>
            <w:r>
              <w:rPr>
                <w:rFonts w:hint="eastAsia"/>
                <w:color w:val="auto"/>
              </w:rPr>
              <w:t>影</w:t>
            </w:r>
          </w:p>
          <w:p w14:paraId="012647ED">
            <w:pPr>
              <w:pStyle w:val="348"/>
              <w:rPr>
                <w:color w:val="auto"/>
              </w:rPr>
            </w:pPr>
            <w:r>
              <w:rPr>
                <w:rFonts w:hint="eastAsia"/>
                <w:color w:val="auto"/>
              </w:rPr>
              <w:t>响</w:t>
            </w:r>
          </w:p>
          <w:p w14:paraId="02367892">
            <w:pPr>
              <w:pStyle w:val="348"/>
              <w:rPr>
                <w:color w:val="auto"/>
              </w:rPr>
            </w:pPr>
            <w:r>
              <w:rPr>
                <w:rFonts w:hint="eastAsia"/>
                <w:color w:val="auto"/>
              </w:rPr>
              <w:t>预</w:t>
            </w:r>
          </w:p>
          <w:p w14:paraId="295A5038">
            <w:pPr>
              <w:pStyle w:val="348"/>
              <w:rPr>
                <w:color w:val="auto"/>
              </w:rPr>
            </w:pPr>
            <w:r>
              <w:rPr>
                <w:rFonts w:hint="eastAsia"/>
                <w:color w:val="auto"/>
              </w:rPr>
              <w:t>测</w:t>
            </w:r>
          </w:p>
        </w:tc>
        <w:tc>
          <w:tcPr>
            <w:tcW w:w="1106"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1FAD0FAA">
            <w:pPr>
              <w:pStyle w:val="348"/>
              <w:rPr>
                <w:color w:val="auto"/>
              </w:rPr>
            </w:pPr>
            <w:r>
              <w:rPr>
                <w:rFonts w:hint="eastAsia"/>
                <w:color w:val="auto"/>
              </w:rPr>
              <w:t>预测范围</w:t>
            </w:r>
          </w:p>
        </w:tc>
        <w:tc>
          <w:tcPr>
            <w:tcW w:w="7821" w:type="dxa"/>
            <w:gridSpan w:val="11"/>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tcPr>
          <w:p w14:paraId="4358C1D5">
            <w:pPr>
              <w:pStyle w:val="348"/>
              <w:rPr>
                <w:color w:val="auto"/>
              </w:rPr>
            </w:pPr>
            <w:r>
              <w:rPr>
                <w:rFonts w:hint="eastAsia"/>
                <w:color w:val="auto"/>
              </w:rPr>
              <w:t>河流：长度（</w:t>
            </w:r>
            <w:r>
              <w:rPr>
                <w:rFonts w:hint="eastAsia"/>
                <w:color w:val="auto"/>
                <w:lang w:val="en-US"/>
              </w:rPr>
              <w:t xml:space="preserve">  </w:t>
            </w:r>
            <w:r>
              <w:rPr>
                <w:rFonts w:hint="eastAsia"/>
                <w:color w:val="auto"/>
              </w:rPr>
              <w:t>）km；湖库、河口及近岸海域：面积（）km</w:t>
            </w:r>
            <w:r>
              <w:rPr>
                <w:rFonts w:hint="eastAsia"/>
                <w:color w:val="auto"/>
                <w:vertAlign w:val="superscript"/>
              </w:rPr>
              <w:t>2</w:t>
            </w:r>
          </w:p>
        </w:tc>
      </w:tr>
      <w:tr w14:paraId="448639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9" w:hRule="atLeast"/>
        </w:trPr>
        <w:tc>
          <w:tcPr>
            <w:tcW w:w="358" w:type="dxa"/>
            <w:vMerge w:val="continue"/>
            <w:tcBorders>
              <w:top w:val="single" w:color="000000" w:sz="6" w:space="0"/>
              <w:left w:val="single" w:color="000000" w:sz="6" w:space="0"/>
              <w:bottom w:val="single" w:color="000000" w:sz="6" w:space="0"/>
              <w:right w:val="single" w:color="000000" w:sz="6" w:space="0"/>
            </w:tcBorders>
            <w:vAlign w:val="center"/>
          </w:tcPr>
          <w:p w14:paraId="5D0F1C2F">
            <w:pPr>
              <w:pStyle w:val="348"/>
              <w:rPr>
                <w:color w:val="auto"/>
              </w:rPr>
            </w:pPr>
          </w:p>
        </w:tc>
        <w:tc>
          <w:tcPr>
            <w:tcW w:w="1106"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5BDC68F1">
            <w:pPr>
              <w:pStyle w:val="348"/>
              <w:rPr>
                <w:color w:val="auto"/>
              </w:rPr>
            </w:pPr>
            <w:r>
              <w:rPr>
                <w:rFonts w:hint="eastAsia"/>
                <w:color w:val="auto"/>
              </w:rPr>
              <w:t>预测因子</w:t>
            </w:r>
          </w:p>
        </w:tc>
        <w:tc>
          <w:tcPr>
            <w:tcW w:w="7821" w:type="dxa"/>
            <w:gridSpan w:val="11"/>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tcPr>
          <w:p w14:paraId="5A183AC9">
            <w:pPr>
              <w:pStyle w:val="348"/>
              <w:rPr>
                <w:color w:val="auto"/>
              </w:rPr>
            </w:pPr>
            <w:r>
              <w:rPr>
                <w:rFonts w:hint="eastAsia"/>
                <w:color w:val="auto"/>
              </w:rPr>
              <w:t xml:space="preserve"> /</w:t>
            </w:r>
          </w:p>
        </w:tc>
      </w:tr>
      <w:tr w14:paraId="057283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9" w:hRule="atLeast"/>
        </w:trPr>
        <w:tc>
          <w:tcPr>
            <w:tcW w:w="358" w:type="dxa"/>
            <w:vMerge w:val="continue"/>
            <w:tcBorders>
              <w:top w:val="single" w:color="000000" w:sz="6" w:space="0"/>
              <w:left w:val="single" w:color="000000" w:sz="6" w:space="0"/>
              <w:bottom w:val="single" w:color="000000" w:sz="6" w:space="0"/>
              <w:right w:val="single" w:color="000000" w:sz="6" w:space="0"/>
            </w:tcBorders>
            <w:vAlign w:val="center"/>
          </w:tcPr>
          <w:p w14:paraId="4627BDF0">
            <w:pPr>
              <w:pStyle w:val="348"/>
              <w:rPr>
                <w:color w:val="auto"/>
              </w:rPr>
            </w:pPr>
          </w:p>
        </w:tc>
        <w:tc>
          <w:tcPr>
            <w:tcW w:w="1106"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490F8E88">
            <w:pPr>
              <w:pStyle w:val="348"/>
              <w:rPr>
                <w:color w:val="auto"/>
              </w:rPr>
            </w:pPr>
            <w:r>
              <w:rPr>
                <w:rFonts w:hint="eastAsia"/>
                <w:color w:val="auto"/>
              </w:rPr>
              <w:t>预测时期</w:t>
            </w:r>
          </w:p>
        </w:tc>
        <w:tc>
          <w:tcPr>
            <w:tcW w:w="7821" w:type="dxa"/>
            <w:gridSpan w:val="11"/>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tcPr>
          <w:p w14:paraId="40253986">
            <w:pPr>
              <w:pStyle w:val="348"/>
              <w:rPr>
                <w:color w:val="auto"/>
              </w:rPr>
            </w:pPr>
            <w:r>
              <w:rPr>
                <w:rFonts w:hint="eastAsia"/>
                <w:color w:val="auto"/>
              </w:rPr>
              <w:t>丰水期 □；平水期 □；枯水期 </w:t>
            </w:r>
            <w:r>
              <w:rPr>
                <w:rFonts w:hint="eastAsia"/>
                <w:color w:val="auto"/>
              </w:rPr>
              <w:sym w:font="Wingdings 2" w:char="00A3"/>
            </w:r>
            <w:r>
              <w:rPr>
                <w:rFonts w:hint="eastAsia"/>
                <w:color w:val="auto"/>
              </w:rPr>
              <w:t>；冰封期 □；春季 □；夏季 □；秋季 □；冬季 □</w:t>
            </w:r>
          </w:p>
          <w:p w14:paraId="00BB484C">
            <w:pPr>
              <w:pStyle w:val="348"/>
              <w:rPr>
                <w:color w:val="auto"/>
              </w:rPr>
            </w:pPr>
            <w:r>
              <w:rPr>
                <w:rFonts w:hint="eastAsia"/>
                <w:color w:val="auto"/>
              </w:rPr>
              <w:t>设计水文条件 □</w:t>
            </w:r>
          </w:p>
        </w:tc>
      </w:tr>
      <w:tr w14:paraId="57B9C3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9" w:hRule="atLeast"/>
        </w:trPr>
        <w:tc>
          <w:tcPr>
            <w:tcW w:w="358" w:type="dxa"/>
            <w:vMerge w:val="continue"/>
            <w:tcBorders>
              <w:top w:val="single" w:color="000000" w:sz="6" w:space="0"/>
              <w:left w:val="single" w:color="000000" w:sz="6" w:space="0"/>
              <w:bottom w:val="single" w:color="000000" w:sz="6" w:space="0"/>
              <w:right w:val="single" w:color="000000" w:sz="6" w:space="0"/>
            </w:tcBorders>
            <w:vAlign w:val="center"/>
          </w:tcPr>
          <w:p w14:paraId="0103B02A">
            <w:pPr>
              <w:pStyle w:val="348"/>
              <w:rPr>
                <w:color w:val="auto"/>
              </w:rPr>
            </w:pPr>
          </w:p>
        </w:tc>
        <w:tc>
          <w:tcPr>
            <w:tcW w:w="1106"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3594DDAB">
            <w:pPr>
              <w:pStyle w:val="348"/>
              <w:rPr>
                <w:color w:val="auto"/>
              </w:rPr>
            </w:pPr>
            <w:r>
              <w:rPr>
                <w:rFonts w:hint="eastAsia"/>
                <w:color w:val="auto"/>
              </w:rPr>
              <w:t>预测情景</w:t>
            </w:r>
          </w:p>
        </w:tc>
        <w:tc>
          <w:tcPr>
            <w:tcW w:w="7821" w:type="dxa"/>
            <w:gridSpan w:val="11"/>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66EDDD96">
            <w:pPr>
              <w:pStyle w:val="348"/>
              <w:rPr>
                <w:color w:val="auto"/>
              </w:rPr>
            </w:pPr>
            <w:r>
              <w:rPr>
                <w:rFonts w:hint="eastAsia"/>
                <w:color w:val="auto"/>
              </w:rPr>
              <w:t>建设期 □；生产运行期 </w:t>
            </w:r>
            <w:r>
              <w:rPr>
                <w:rFonts w:hint="eastAsia"/>
                <w:color w:val="auto"/>
              </w:rPr>
              <w:sym w:font="Wingdings 2" w:char="00A3"/>
            </w:r>
            <w:r>
              <w:rPr>
                <w:rFonts w:hint="eastAsia"/>
                <w:color w:val="auto"/>
              </w:rPr>
              <w:t>；服务期满后 □；正常工况 </w:t>
            </w:r>
            <w:r>
              <w:rPr>
                <w:rFonts w:hint="eastAsia"/>
                <w:color w:val="auto"/>
              </w:rPr>
              <w:sym w:font="Wingdings 2" w:char="00A3"/>
            </w:r>
            <w:r>
              <w:rPr>
                <w:rFonts w:hint="eastAsia"/>
                <w:color w:val="auto"/>
              </w:rPr>
              <w:t>；非正常工况 </w:t>
            </w:r>
            <w:r>
              <w:rPr>
                <w:rFonts w:hint="eastAsia"/>
                <w:color w:val="auto"/>
              </w:rPr>
              <w:sym w:font="Wingdings 2" w:char="00A3"/>
            </w:r>
            <w:r>
              <w:rPr>
                <w:rFonts w:hint="eastAsia"/>
                <w:color w:val="auto"/>
              </w:rPr>
              <w:t>；</w:t>
            </w:r>
          </w:p>
          <w:p w14:paraId="328FCDBC">
            <w:pPr>
              <w:pStyle w:val="348"/>
              <w:rPr>
                <w:color w:val="auto"/>
              </w:rPr>
            </w:pPr>
            <w:r>
              <w:rPr>
                <w:rFonts w:hint="eastAsia"/>
                <w:color w:val="auto"/>
              </w:rPr>
              <w:t>污染控制和减缓措施方案 □；区（流）域环境质量改善目标要求情景 □</w:t>
            </w:r>
          </w:p>
        </w:tc>
      </w:tr>
      <w:tr w14:paraId="259BF9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9" w:hRule="atLeast"/>
        </w:trPr>
        <w:tc>
          <w:tcPr>
            <w:tcW w:w="358" w:type="dxa"/>
            <w:vMerge w:val="continue"/>
            <w:tcBorders>
              <w:top w:val="single" w:color="000000" w:sz="6" w:space="0"/>
              <w:left w:val="single" w:color="000000" w:sz="6" w:space="0"/>
              <w:bottom w:val="single" w:color="000000" w:sz="6" w:space="0"/>
              <w:right w:val="single" w:color="000000" w:sz="6" w:space="0"/>
            </w:tcBorders>
            <w:vAlign w:val="center"/>
          </w:tcPr>
          <w:p w14:paraId="622E453F">
            <w:pPr>
              <w:pStyle w:val="348"/>
              <w:rPr>
                <w:color w:val="auto"/>
              </w:rPr>
            </w:pPr>
          </w:p>
        </w:tc>
        <w:tc>
          <w:tcPr>
            <w:tcW w:w="1106"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68DA95C4">
            <w:pPr>
              <w:pStyle w:val="348"/>
              <w:rPr>
                <w:color w:val="auto"/>
              </w:rPr>
            </w:pPr>
            <w:r>
              <w:rPr>
                <w:rFonts w:hint="eastAsia"/>
                <w:color w:val="auto"/>
              </w:rPr>
              <w:t>预测方法</w:t>
            </w:r>
          </w:p>
        </w:tc>
        <w:tc>
          <w:tcPr>
            <w:tcW w:w="7821" w:type="dxa"/>
            <w:gridSpan w:val="11"/>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tcPr>
          <w:p w14:paraId="3A40FBD1">
            <w:pPr>
              <w:pStyle w:val="348"/>
              <w:rPr>
                <w:color w:val="auto"/>
              </w:rPr>
            </w:pPr>
            <w:r>
              <w:rPr>
                <w:rFonts w:hint="eastAsia"/>
                <w:color w:val="auto"/>
              </w:rPr>
              <w:t>数值解 □；解析解 □；其他 □；导则推荐模式 </w:t>
            </w:r>
            <w:r>
              <w:rPr>
                <w:rFonts w:hint="eastAsia"/>
                <w:color w:val="auto"/>
              </w:rPr>
              <w:sym w:font="Wingdings 2" w:char="F052"/>
            </w:r>
            <w:r>
              <w:rPr>
                <w:rFonts w:hint="eastAsia"/>
                <w:color w:val="auto"/>
              </w:rPr>
              <w:t>；其他 □</w:t>
            </w:r>
          </w:p>
        </w:tc>
      </w:tr>
      <w:tr w14:paraId="012B26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9" w:hRule="atLeast"/>
        </w:trPr>
        <w:tc>
          <w:tcPr>
            <w:tcW w:w="358" w:type="dxa"/>
            <w:vMerge w:val="restart"/>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12EBA8A7">
            <w:pPr>
              <w:pStyle w:val="348"/>
              <w:rPr>
                <w:color w:val="auto"/>
              </w:rPr>
            </w:pPr>
            <w:r>
              <w:rPr>
                <w:rFonts w:hint="eastAsia"/>
                <w:color w:val="auto"/>
              </w:rPr>
              <w:t>影</w:t>
            </w:r>
          </w:p>
          <w:p w14:paraId="59FDFF96">
            <w:pPr>
              <w:pStyle w:val="348"/>
              <w:rPr>
                <w:color w:val="auto"/>
              </w:rPr>
            </w:pPr>
            <w:r>
              <w:rPr>
                <w:rFonts w:hint="eastAsia"/>
                <w:color w:val="auto"/>
              </w:rPr>
              <w:t>响</w:t>
            </w:r>
          </w:p>
          <w:p w14:paraId="22991E07">
            <w:pPr>
              <w:pStyle w:val="348"/>
              <w:rPr>
                <w:color w:val="auto"/>
              </w:rPr>
            </w:pPr>
            <w:r>
              <w:rPr>
                <w:rFonts w:hint="eastAsia"/>
                <w:color w:val="auto"/>
              </w:rPr>
              <w:t>评</w:t>
            </w:r>
          </w:p>
          <w:p w14:paraId="50CC4513">
            <w:pPr>
              <w:pStyle w:val="348"/>
              <w:rPr>
                <w:color w:val="auto"/>
              </w:rPr>
            </w:pPr>
            <w:r>
              <w:rPr>
                <w:rFonts w:hint="eastAsia"/>
                <w:color w:val="auto"/>
              </w:rPr>
              <w:t>价</w:t>
            </w:r>
          </w:p>
        </w:tc>
        <w:tc>
          <w:tcPr>
            <w:tcW w:w="1106"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4A477DFB">
            <w:pPr>
              <w:pStyle w:val="348"/>
              <w:rPr>
                <w:color w:val="auto"/>
              </w:rPr>
            </w:pPr>
            <w:r>
              <w:rPr>
                <w:rFonts w:hint="eastAsia"/>
                <w:color w:val="auto"/>
              </w:rPr>
              <w:t>水污染控制和水环境影响减缓措施有效性评价</w:t>
            </w:r>
          </w:p>
        </w:tc>
        <w:tc>
          <w:tcPr>
            <w:tcW w:w="7821" w:type="dxa"/>
            <w:gridSpan w:val="11"/>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09668709">
            <w:pPr>
              <w:pStyle w:val="348"/>
              <w:rPr>
                <w:color w:val="auto"/>
              </w:rPr>
            </w:pPr>
            <w:r>
              <w:rPr>
                <w:rFonts w:hint="eastAsia"/>
                <w:color w:val="auto"/>
              </w:rPr>
              <w:t>区（流）域水环境质量改善目标 □；替代削减源 □</w:t>
            </w:r>
          </w:p>
        </w:tc>
      </w:tr>
      <w:tr w14:paraId="19C9EE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9" w:hRule="atLeast"/>
        </w:trPr>
        <w:tc>
          <w:tcPr>
            <w:tcW w:w="358" w:type="dxa"/>
            <w:vMerge w:val="continue"/>
            <w:tcBorders>
              <w:top w:val="single" w:color="000000" w:sz="6" w:space="0"/>
              <w:left w:val="single" w:color="000000" w:sz="6" w:space="0"/>
              <w:bottom w:val="single" w:color="000000" w:sz="6" w:space="0"/>
              <w:right w:val="single" w:color="000000" w:sz="6" w:space="0"/>
            </w:tcBorders>
            <w:vAlign w:val="center"/>
          </w:tcPr>
          <w:p w14:paraId="220CFC78">
            <w:pPr>
              <w:pStyle w:val="348"/>
              <w:rPr>
                <w:color w:val="auto"/>
              </w:rPr>
            </w:pPr>
          </w:p>
        </w:tc>
        <w:tc>
          <w:tcPr>
            <w:tcW w:w="1106"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7DDA8254">
            <w:pPr>
              <w:pStyle w:val="348"/>
              <w:rPr>
                <w:color w:val="auto"/>
              </w:rPr>
            </w:pPr>
            <w:r>
              <w:rPr>
                <w:rFonts w:hint="eastAsia"/>
                <w:color w:val="auto"/>
              </w:rPr>
              <w:t>水环境影响评价</w:t>
            </w:r>
          </w:p>
        </w:tc>
        <w:tc>
          <w:tcPr>
            <w:tcW w:w="7821" w:type="dxa"/>
            <w:gridSpan w:val="11"/>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tcPr>
          <w:p w14:paraId="69E10952">
            <w:pPr>
              <w:pStyle w:val="348"/>
              <w:rPr>
                <w:color w:val="auto"/>
              </w:rPr>
            </w:pPr>
            <w:r>
              <w:rPr>
                <w:rFonts w:hint="eastAsia"/>
                <w:color w:val="auto"/>
              </w:rPr>
              <w:t>排放口混合区外满足水环境管理要求 □</w:t>
            </w:r>
          </w:p>
          <w:p w14:paraId="6FE43D23">
            <w:pPr>
              <w:pStyle w:val="348"/>
              <w:rPr>
                <w:color w:val="auto"/>
              </w:rPr>
            </w:pPr>
            <w:r>
              <w:rPr>
                <w:rFonts w:hint="eastAsia"/>
                <w:color w:val="auto"/>
              </w:rPr>
              <w:t>水环境功能区或水功能区、近岸海域环境功能区水质达标 □</w:t>
            </w:r>
          </w:p>
          <w:p w14:paraId="068B9482">
            <w:pPr>
              <w:pStyle w:val="348"/>
              <w:rPr>
                <w:color w:val="auto"/>
              </w:rPr>
            </w:pPr>
            <w:r>
              <w:rPr>
                <w:rFonts w:hint="eastAsia"/>
                <w:color w:val="auto"/>
              </w:rPr>
              <w:t>满足水环境保护目标水域水环境质量要求 □</w:t>
            </w:r>
          </w:p>
          <w:p w14:paraId="015726EB">
            <w:pPr>
              <w:pStyle w:val="348"/>
              <w:rPr>
                <w:color w:val="auto"/>
              </w:rPr>
            </w:pPr>
            <w:r>
              <w:rPr>
                <w:rFonts w:hint="eastAsia"/>
                <w:color w:val="auto"/>
              </w:rPr>
              <w:t>水环境控制单元或断面水质达标 □</w:t>
            </w:r>
          </w:p>
          <w:p w14:paraId="758C6B82">
            <w:pPr>
              <w:pStyle w:val="348"/>
              <w:rPr>
                <w:color w:val="auto"/>
              </w:rPr>
            </w:pPr>
            <w:r>
              <w:rPr>
                <w:rFonts w:hint="eastAsia"/>
                <w:color w:val="auto"/>
              </w:rPr>
              <w:t>满足重点水污染物排放总量控制指标要求，重点行业建设项目， 主要污染物排放满足等量或减量替代要求 □</w:t>
            </w:r>
          </w:p>
          <w:p w14:paraId="51C3BB39">
            <w:pPr>
              <w:pStyle w:val="348"/>
              <w:rPr>
                <w:color w:val="auto"/>
              </w:rPr>
            </w:pPr>
            <w:r>
              <w:rPr>
                <w:rFonts w:hint="eastAsia"/>
                <w:color w:val="auto"/>
              </w:rPr>
              <w:t>满足区（流）域水环境质量改善目标要求 □</w:t>
            </w:r>
          </w:p>
          <w:p w14:paraId="164C8FD5">
            <w:pPr>
              <w:pStyle w:val="348"/>
              <w:rPr>
                <w:color w:val="auto"/>
              </w:rPr>
            </w:pPr>
            <w:r>
              <w:rPr>
                <w:rFonts w:hint="eastAsia"/>
                <w:color w:val="auto"/>
              </w:rPr>
              <w:t>水文要素影响型建设项目同时应包括水文情势变化评价、主要水文特征值影响评价、生态流量符合性评价 □</w:t>
            </w:r>
          </w:p>
          <w:p w14:paraId="05667172">
            <w:pPr>
              <w:pStyle w:val="348"/>
              <w:rPr>
                <w:color w:val="auto"/>
              </w:rPr>
            </w:pPr>
            <w:r>
              <w:rPr>
                <w:rFonts w:hint="eastAsia"/>
                <w:color w:val="auto"/>
              </w:rPr>
              <w:t>对于新设或调整入河（湖库、近岸海域）排放口的建设项目，应包括排放口设置的环境合理性评价 </w:t>
            </w:r>
            <w:r>
              <w:rPr>
                <w:rFonts w:hint="eastAsia"/>
                <w:color w:val="auto"/>
              </w:rPr>
              <w:sym w:font="Wingdings 2" w:char="00A3"/>
            </w:r>
          </w:p>
          <w:p w14:paraId="5DA5682B">
            <w:pPr>
              <w:pStyle w:val="348"/>
              <w:rPr>
                <w:color w:val="auto"/>
              </w:rPr>
            </w:pPr>
            <w:r>
              <w:rPr>
                <w:rFonts w:hint="eastAsia"/>
                <w:color w:val="auto"/>
              </w:rPr>
              <w:t>满足生态保护红线、水环境质量底线、资源利用</w:t>
            </w:r>
            <w:r>
              <w:rPr>
                <w:rFonts w:hint="eastAsia"/>
                <w:color w:val="auto"/>
                <w:lang w:eastAsia="zh-CN"/>
              </w:rPr>
              <w:t>上限</w:t>
            </w:r>
            <w:r>
              <w:rPr>
                <w:rFonts w:hint="eastAsia"/>
                <w:color w:val="auto"/>
              </w:rPr>
              <w:t>和环境准入清单管理要求 </w:t>
            </w:r>
            <w:r>
              <w:rPr>
                <w:rFonts w:hint="eastAsia"/>
                <w:color w:val="auto"/>
              </w:rPr>
              <w:sym w:font="Wingdings 2" w:char="F052"/>
            </w:r>
          </w:p>
        </w:tc>
      </w:tr>
      <w:tr w14:paraId="556622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9" w:hRule="atLeast"/>
        </w:trPr>
        <w:tc>
          <w:tcPr>
            <w:tcW w:w="358" w:type="dxa"/>
            <w:vMerge w:val="continue"/>
            <w:tcBorders>
              <w:top w:val="single" w:color="000000" w:sz="6" w:space="0"/>
              <w:left w:val="single" w:color="000000" w:sz="6" w:space="0"/>
              <w:bottom w:val="single" w:color="000000" w:sz="6" w:space="0"/>
              <w:right w:val="single" w:color="000000" w:sz="6" w:space="0"/>
            </w:tcBorders>
            <w:vAlign w:val="center"/>
          </w:tcPr>
          <w:p w14:paraId="6D6BCA2F">
            <w:pPr>
              <w:pStyle w:val="348"/>
              <w:rPr>
                <w:color w:val="auto"/>
              </w:rPr>
            </w:pPr>
          </w:p>
        </w:tc>
        <w:tc>
          <w:tcPr>
            <w:tcW w:w="1106" w:type="dxa"/>
            <w:vMerge w:val="restart"/>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7B665F35">
            <w:pPr>
              <w:pStyle w:val="348"/>
              <w:rPr>
                <w:color w:val="auto"/>
              </w:rPr>
            </w:pPr>
            <w:r>
              <w:rPr>
                <w:rFonts w:hint="eastAsia"/>
                <w:color w:val="auto"/>
              </w:rPr>
              <w:t>污染源排放量核算</w:t>
            </w:r>
          </w:p>
        </w:tc>
        <w:tc>
          <w:tcPr>
            <w:tcW w:w="3101" w:type="dxa"/>
            <w:gridSpan w:val="3"/>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04977DEF">
            <w:pPr>
              <w:pStyle w:val="348"/>
              <w:rPr>
                <w:color w:val="auto"/>
              </w:rPr>
            </w:pPr>
            <w:r>
              <w:rPr>
                <w:rFonts w:hint="eastAsia"/>
                <w:color w:val="auto"/>
              </w:rPr>
              <w:t>污染物名称</w:t>
            </w:r>
          </w:p>
        </w:tc>
        <w:tc>
          <w:tcPr>
            <w:tcW w:w="2292" w:type="dxa"/>
            <w:gridSpan w:val="5"/>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6CCF6140">
            <w:pPr>
              <w:pStyle w:val="348"/>
              <w:rPr>
                <w:color w:val="auto"/>
              </w:rPr>
            </w:pPr>
            <w:r>
              <w:rPr>
                <w:rFonts w:hint="eastAsia"/>
                <w:color w:val="auto"/>
              </w:rPr>
              <w:t>排放量/（t/a）</w:t>
            </w:r>
          </w:p>
        </w:tc>
        <w:tc>
          <w:tcPr>
            <w:tcW w:w="2428" w:type="dxa"/>
            <w:gridSpan w:val="3"/>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224077AE">
            <w:pPr>
              <w:pStyle w:val="348"/>
              <w:rPr>
                <w:color w:val="auto"/>
              </w:rPr>
            </w:pPr>
            <w:r>
              <w:rPr>
                <w:rFonts w:hint="eastAsia"/>
                <w:color w:val="auto"/>
              </w:rPr>
              <w:t>排放浓度/（mg/L）</w:t>
            </w:r>
          </w:p>
        </w:tc>
      </w:tr>
      <w:tr w14:paraId="6F2D1E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6" w:hRule="atLeast"/>
        </w:trPr>
        <w:tc>
          <w:tcPr>
            <w:tcW w:w="358" w:type="dxa"/>
            <w:vMerge w:val="continue"/>
            <w:tcBorders>
              <w:top w:val="single" w:color="000000" w:sz="6" w:space="0"/>
              <w:left w:val="single" w:color="000000" w:sz="6" w:space="0"/>
              <w:bottom w:val="single" w:color="000000" w:sz="6" w:space="0"/>
              <w:right w:val="single" w:color="000000" w:sz="6" w:space="0"/>
            </w:tcBorders>
            <w:vAlign w:val="center"/>
          </w:tcPr>
          <w:p w14:paraId="52743F4E">
            <w:pPr>
              <w:pStyle w:val="348"/>
              <w:rPr>
                <w:color w:val="auto"/>
              </w:rPr>
            </w:pPr>
          </w:p>
        </w:tc>
        <w:tc>
          <w:tcPr>
            <w:tcW w:w="1106" w:type="dxa"/>
            <w:vMerge w:val="continue"/>
            <w:tcBorders>
              <w:top w:val="single" w:color="000000" w:sz="6" w:space="0"/>
              <w:left w:val="single" w:color="000000" w:sz="6" w:space="0"/>
              <w:bottom w:val="single" w:color="000000" w:sz="6" w:space="0"/>
              <w:right w:val="single" w:color="000000" w:sz="6" w:space="0"/>
            </w:tcBorders>
            <w:vAlign w:val="center"/>
          </w:tcPr>
          <w:p w14:paraId="0EDE76C9">
            <w:pPr>
              <w:pStyle w:val="348"/>
              <w:rPr>
                <w:color w:val="auto"/>
              </w:rPr>
            </w:pPr>
          </w:p>
        </w:tc>
        <w:tc>
          <w:tcPr>
            <w:tcW w:w="3101" w:type="dxa"/>
            <w:gridSpan w:val="3"/>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vAlign w:val="center"/>
          </w:tcPr>
          <w:p w14:paraId="0C88D296">
            <w:pPr>
              <w:widowControl/>
              <w:adjustRightInd/>
              <w:snapToGrid/>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悬浮物（</w:t>
            </w:r>
            <w:r>
              <w:rPr>
                <w:rFonts w:hint="eastAsia"/>
                <w:color w:val="auto"/>
                <w:kern w:val="0"/>
                <w:sz w:val="21"/>
                <w:szCs w:val="21"/>
              </w:rPr>
              <w:t>SS</w:t>
            </w:r>
            <w:r>
              <w:rPr>
                <w:rFonts w:hint="eastAsia" w:ascii="宋体" w:hAnsi="宋体" w:cs="宋体"/>
                <w:color w:val="auto"/>
                <w:kern w:val="0"/>
                <w:sz w:val="21"/>
                <w:szCs w:val="21"/>
              </w:rPr>
              <w:t>）</w:t>
            </w:r>
          </w:p>
        </w:tc>
        <w:tc>
          <w:tcPr>
            <w:tcW w:w="2292" w:type="dxa"/>
            <w:gridSpan w:val="5"/>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vAlign w:val="center"/>
          </w:tcPr>
          <w:p w14:paraId="758CEE99">
            <w:pPr>
              <w:widowControl/>
              <w:adjustRightInd/>
              <w:snapToGrid/>
              <w:spacing w:line="240" w:lineRule="auto"/>
              <w:ind w:firstLine="0" w:firstLineChars="0"/>
              <w:jc w:val="center"/>
              <w:rPr>
                <w:rFonts w:hint="eastAsia"/>
                <w:color w:val="auto"/>
                <w:kern w:val="0"/>
                <w:sz w:val="21"/>
                <w:szCs w:val="21"/>
              </w:rPr>
            </w:pPr>
            <w:r>
              <w:rPr>
                <w:rFonts w:hint="default"/>
                <w:color w:val="auto"/>
                <w:kern w:val="0"/>
                <w:sz w:val="21"/>
                <w:szCs w:val="21"/>
                <w:lang w:val="en-US" w:eastAsia="zh-CN"/>
              </w:rPr>
              <w:t>5.87</w:t>
            </w:r>
          </w:p>
        </w:tc>
        <w:tc>
          <w:tcPr>
            <w:tcW w:w="2428" w:type="dxa"/>
            <w:gridSpan w:val="3"/>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vAlign w:val="center"/>
          </w:tcPr>
          <w:p w14:paraId="6175B2D8">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10</w:t>
            </w:r>
          </w:p>
        </w:tc>
      </w:tr>
      <w:tr w14:paraId="7A3DB9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6" w:hRule="atLeast"/>
        </w:trPr>
        <w:tc>
          <w:tcPr>
            <w:tcW w:w="358" w:type="dxa"/>
            <w:vMerge w:val="continue"/>
            <w:tcBorders>
              <w:top w:val="single" w:color="000000" w:sz="6" w:space="0"/>
              <w:left w:val="single" w:color="000000" w:sz="6" w:space="0"/>
              <w:bottom w:val="single" w:color="000000" w:sz="6" w:space="0"/>
              <w:right w:val="single" w:color="000000" w:sz="6" w:space="0"/>
            </w:tcBorders>
            <w:vAlign w:val="center"/>
          </w:tcPr>
          <w:p w14:paraId="1DB77540">
            <w:pPr>
              <w:pStyle w:val="348"/>
              <w:rPr>
                <w:color w:val="auto"/>
              </w:rPr>
            </w:pPr>
          </w:p>
        </w:tc>
        <w:tc>
          <w:tcPr>
            <w:tcW w:w="1106" w:type="dxa"/>
            <w:vMerge w:val="continue"/>
            <w:tcBorders>
              <w:top w:val="single" w:color="000000" w:sz="6" w:space="0"/>
              <w:left w:val="single" w:color="000000" w:sz="6" w:space="0"/>
              <w:bottom w:val="single" w:color="000000" w:sz="6" w:space="0"/>
              <w:right w:val="single" w:color="000000" w:sz="6" w:space="0"/>
            </w:tcBorders>
            <w:vAlign w:val="center"/>
          </w:tcPr>
          <w:p w14:paraId="74505BF1">
            <w:pPr>
              <w:pStyle w:val="348"/>
              <w:rPr>
                <w:color w:val="auto"/>
              </w:rPr>
            </w:pPr>
          </w:p>
        </w:tc>
        <w:tc>
          <w:tcPr>
            <w:tcW w:w="3101" w:type="dxa"/>
            <w:gridSpan w:val="3"/>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vAlign w:val="center"/>
          </w:tcPr>
          <w:p w14:paraId="048A34AF">
            <w:pPr>
              <w:widowControl/>
              <w:adjustRightInd/>
              <w:snapToGrid/>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化学需氧量（</w:t>
            </w:r>
            <w:r>
              <w:rPr>
                <w:rFonts w:hint="eastAsia"/>
                <w:color w:val="auto"/>
                <w:kern w:val="0"/>
                <w:sz w:val="21"/>
                <w:szCs w:val="21"/>
              </w:rPr>
              <w:t>COD</w:t>
            </w:r>
            <w:r>
              <w:rPr>
                <w:rFonts w:hint="eastAsia" w:ascii="宋体" w:hAnsi="宋体" w:cs="宋体"/>
                <w:color w:val="auto"/>
                <w:kern w:val="0"/>
                <w:sz w:val="21"/>
                <w:szCs w:val="21"/>
              </w:rPr>
              <w:t>）</w:t>
            </w:r>
          </w:p>
        </w:tc>
        <w:tc>
          <w:tcPr>
            <w:tcW w:w="2292" w:type="dxa"/>
            <w:gridSpan w:val="5"/>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vAlign w:val="center"/>
          </w:tcPr>
          <w:p w14:paraId="31639912">
            <w:pPr>
              <w:widowControl/>
              <w:adjustRightInd/>
              <w:snapToGrid/>
              <w:spacing w:line="240" w:lineRule="auto"/>
              <w:ind w:firstLine="0" w:firstLineChars="0"/>
              <w:jc w:val="center"/>
              <w:rPr>
                <w:rFonts w:hint="eastAsia"/>
                <w:color w:val="auto"/>
                <w:kern w:val="0"/>
                <w:sz w:val="21"/>
                <w:szCs w:val="21"/>
              </w:rPr>
            </w:pPr>
            <w:r>
              <w:rPr>
                <w:rFonts w:hint="default"/>
                <w:color w:val="auto"/>
                <w:kern w:val="0"/>
                <w:sz w:val="21"/>
                <w:szCs w:val="21"/>
                <w:lang w:val="en-US" w:eastAsia="zh-CN"/>
              </w:rPr>
              <w:t>29.37</w:t>
            </w:r>
          </w:p>
        </w:tc>
        <w:tc>
          <w:tcPr>
            <w:tcW w:w="2428" w:type="dxa"/>
            <w:gridSpan w:val="3"/>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vAlign w:val="center"/>
          </w:tcPr>
          <w:p w14:paraId="539DA865">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50</w:t>
            </w:r>
          </w:p>
        </w:tc>
      </w:tr>
      <w:tr w14:paraId="277DF9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6" w:hRule="atLeast"/>
        </w:trPr>
        <w:tc>
          <w:tcPr>
            <w:tcW w:w="358" w:type="dxa"/>
            <w:vMerge w:val="continue"/>
            <w:tcBorders>
              <w:top w:val="single" w:color="000000" w:sz="6" w:space="0"/>
              <w:left w:val="single" w:color="000000" w:sz="6" w:space="0"/>
              <w:bottom w:val="single" w:color="000000" w:sz="6" w:space="0"/>
              <w:right w:val="single" w:color="000000" w:sz="6" w:space="0"/>
            </w:tcBorders>
            <w:vAlign w:val="center"/>
          </w:tcPr>
          <w:p w14:paraId="3F2191FA">
            <w:pPr>
              <w:pStyle w:val="348"/>
              <w:rPr>
                <w:color w:val="auto"/>
              </w:rPr>
            </w:pPr>
          </w:p>
        </w:tc>
        <w:tc>
          <w:tcPr>
            <w:tcW w:w="1106" w:type="dxa"/>
            <w:vMerge w:val="continue"/>
            <w:tcBorders>
              <w:top w:val="single" w:color="000000" w:sz="6" w:space="0"/>
              <w:left w:val="single" w:color="000000" w:sz="6" w:space="0"/>
              <w:bottom w:val="single" w:color="000000" w:sz="6" w:space="0"/>
              <w:right w:val="single" w:color="000000" w:sz="6" w:space="0"/>
            </w:tcBorders>
            <w:vAlign w:val="center"/>
          </w:tcPr>
          <w:p w14:paraId="4A279F2F">
            <w:pPr>
              <w:pStyle w:val="348"/>
              <w:rPr>
                <w:color w:val="auto"/>
              </w:rPr>
            </w:pPr>
          </w:p>
        </w:tc>
        <w:tc>
          <w:tcPr>
            <w:tcW w:w="3101" w:type="dxa"/>
            <w:gridSpan w:val="3"/>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vAlign w:val="center"/>
          </w:tcPr>
          <w:p w14:paraId="475A22D7">
            <w:pPr>
              <w:widowControl/>
              <w:adjustRightInd/>
              <w:snapToGrid/>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五日生化需氧量（</w:t>
            </w:r>
            <w:r>
              <w:rPr>
                <w:rFonts w:hint="eastAsia"/>
                <w:color w:val="auto"/>
                <w:kern w:val="0"/>
                <w:sz w:val="21"/>
                <w:szCs w:val="21"/>
              </w:rPr>
              <w:t>BOD</w:t>
            </w:r>
            <w:r>
              <w:rPr>
                <w:rFonts w:hint="eastAsia"/>
                <w:color w:val="auto"/>
                <w:kern w:val="0"/>
                <w:sz w:val="21"/>
                <w:szCs w:val="21"/>
                <w:vertAlign w:val="subscript"/>
              </w:rPr>
              <w:t>5</w:t>
            </w:r>
            <w:r>
              <w:rPr>
                <w:rFonts w:hint="eastAsia" w:ascii="宋体" w:hAnsi="宋体" w:cs="宋体"/>
                <w:color w:val="auto"/>
                <w:kern w:val="0"/>
                <w:sz w:val="21"/>
                <w:szCs w:val="21"/>
              </w:rPr>
              <w:t>）</w:t>
            </w:r>
          </w:p>
        </w:tc>
        <w:tc>
          <w:tcPr>
            <w:tcW w:w="2292" w:type="dxa"/>
            <w:gridSpan w:val="5"/>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vAlign w:val="center"/>
          </w:tcPr>
          <w:p w14:paraId="59943505">
            <w:pPr>
              <w:widowControl/>
              <w:adjustRightInd/>
              <w:snapToGrid/>
              <w:spacing w:line="240" w:lineRule="auto"/>
              <w:ind w:firstLine="0" w:firstLineChars="0"/>
              <w:jc w:val="center"/>
              <w:rPr>
                <w:rFonts w:hint="eastAsia"/>
                <w:color w:val="auto"/>
                <w:kern w:val="0"/>
                <w:sz w:val="21"/>
                <w:szCs w:val="21"/>
              </w:rPr>
            </w:pPr>
            <w:r>
              <w:rPr>
                <w:rFonts w:hint="default"/>
                <w:color w:val="auto"/>
                <w:kern w:val="0"/>
                <w:sz w:val="21"/>
                <w:szCs w:val="21"/>
                <w:lang w:val="en-US" w:eastAsia="zh-CN"/>
              </w:rPr>
              <w:t>5.87</w:t>
            </w:r>
          </w:p>
        </w:tc>
        <w:tc>
          <w:tcPr>
            <w:tcW w:w="2428" w:type="dxa"/>
            <w:gridSpan w:val="3"/>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vAlign w:val="center"/>
          </w:tcPr>
          <w:p w14:paraId="3741926F">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10</w:t>
            </w:r>
          </w:p>
        </w:tc>
      </w:tr>
      <w:tr w14:paraId="687D99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31" w:hRule="atLeast"/>
        </w:trPr>
        <w:tc>
          <w:tcPr>
            <w:tcW w:w="358" w:type="dxa"/>
            <w:vMerge w:val="continue"/>
            <w:tcBorders>
              <w:top w:val="single" w:color="000000" w:sz="6" w:space="0"/>
              <w:left w:val="single" w:color="000000" w:sz="6" w:space="0"/>
              <w:bottom w:val="single" w:color="000000" w:sz="6" w:space="0"/>
              <w:right w:val="single" w:color="000000" w:sz="6" w:space="0"/>
            </w:tcBorders>
            <w:vAlign w:val="center"/>
          </w:tcPr>
          <w:p w14:paraId="501F1C83">
            <w:pPr>
              <w:pStyle w:val="348"/>
              <w:rPr>
                <w:color w:val="auto"/>
              </w:rPr>
            </w:pPr>
          </w:p>
        </w:tc>
        <w:tc>
          <w:tcPr>
            <w:tcW w:w="1106" w:type="dxa"/>
            <w:vMerge w:val="continue"/>
            <w:tcBorders>
              <w:top w:val="single" w:color="000000" w:sz="6" w:space="0"/>
              <w:left w:val="single" w:color="000000" w:sz="6" w:space="0"/>
              <w:bottom w:val="single" w:color="000000" w:sz="6" w:space="0"/>
              <w:right w:val="single" w:color="000000" w:sz="6" w:space="0"/>
            </w:tcBorders>
            <w:vAlign w:val="center"/>
          </w:tcPr>
          <w:p w14:paraId="4657692F">
            <w:pPr>
              <w:pStyle w:val="348"/>
              <w:rPr>
                <w:color w:val="auto"/>
              </w:rPr>
            </w:pPr>
          </w:p>
        </w:tc>
        <w:tc>
          <w:tcPr>
            <w:tcW w:w="3101" w:type="dxa"/>
            <w:gridSpan w:val="3"/>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vAlign w:val="center"/>
          </w:tcPr>
          <w:p w14:paraId="585B4087">
            <w:pPr>
              <w:widowControl/>
              <w:adjustRightInd/>
              <w:snapToGrid/>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氨氮（以</w:t>
            </w:r>
            <w:r>
              <w:rPr>
                <w:rFonts w:hint="eastAsia"/>
                <w:color w:val="auto"/>
                <w:kern w:val="0"/>
                <w:sz w:val="21"/>
                <w:szCs w:val="21"/>
              </w:rPr>
              <w:t>N</w:t>
            </w:r>
            <w:r>
              <w:rPr>
                <w:rFonts w:hint="eastAsia" w:ascii="宋体" w:hAnsi="宋体" w:cs="宋体"/>
                <w:color w:val="auto"/>
                <w:kern w:val="0"/>
                <w:sz w:val="21"/>
                <w:szCs w:val="21"/>
              </w:rPr>
              <w:t>计）</w:t>
            </w:r>
          </w:p>
        </w:tc>
        <w:tc>
          <w:tcPr>
            <w:tcW w:w="2292" w:type="dxa"/>
            <w:gridSpan w:val="5"/>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vAlign w:val="center"/>
          </w:tcPr>
          <w:p w14:paraId="05DB00C8">
            <w:pPr>
              <w:widowControl/>
              <w:adjustRightInd/>
              <w:snapToGrid/>
              <w:spacing w:line="240" w:lineRule="auto"/>
              <w:ind w:firstLine="0" w:firstLineChars="0"/>
              <w:jc w:val="center"/>
              <w:rPr>
                <w:rFonts w:hint="default"/>
                <w:color w:val="auto"/>
                <w:kern w:val="0"/>
                <w:sz w:val="21"/>
                <w:szCs w:val="21"/>
                <w:lang w:val="en-US"/>
              </w:rPr>
            </w:pPr>
            <w:r>
              <w:rPr>
                <w:rFonts w:hint="default"/>
                <w:color w:val="auto"/>
                <w:kern w:val="0"/>
                <w:sz w:val="21"/>
                <w:szCs w:val="21"/>
                <w:lang w:val="en-US" w:eastAsia="zh-CN"/>
              </w:rPr>
              <w:t>4.7</w:t>
            </w:r>
            <w:r>
              <w:rPr>
                <w:rFonts w:hint="eastAsia"/>
                <w:color w:val="auto"/>
                <w:kern w:val="0"/>
                <w:sz w:val="21"/>
                <w:szCs w:val="21"/>
                <w:lang w:val="en-US" w:eastAsia="zh-CN"/>
              </w:rPr>
              <w:t>0</w:t>
            </w:r>
          </w:p>
        </w:tc>
        <w:tc>
          <w:tcPr>
            <w:tcW w:w="2428" w:type="dxa"/>
            <w:gridSpan w:val="3"/>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vAlign w:val="center"/>
          </w:tcPr>
          <w:p w14:paraId="38C5C83F">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8</w:t>
            </w:r>
          </w:p>
        </w:tc>
      </w:tr>
      <w:tr w14:paraId="102F32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6" w:hRule="atLeast"/>
        </w:trPr>
        <w:tc>
          <w:tcPr>
            <w:tcW w:w="358" w:type="dxa"/>
            <w:vMerge w:val="continue"/>
            <w:tcBorders>
              <w:top w:val="single" w:color="000000" w:sz="6" w:space="0"/>
              <w:left w:val="single" w:color="000000" w:sz="6" w:space="0"/>
              <w:bottom w:val="single" w:color="000000" w:sz="6" w:space="0"/>
              <w:right w:val="single" w:color="000000" w:sz="6" w:space="0"/>
            </w:tcBorders>
            <w:vAlign w:val="center"/>
          </w:tcPr>
          <w:p w14:paraId="3931AB26">
            <w:pPr>
              <w:pStyle w:val="348"/>
              <w:rPr>
                <w:color w:val="auto"/>
              </w:rPr>
            </w:pPr>
          </w:p>
        </w:tc>
        <w:tc>
          <w:tcPr>
            <w:tcW w:w="1106" w:type="dxa"/>
            <w:vMerge w:val="continue"/>
            <w:tcBorders>
              <w:top w:val="single" w:color="000000" w:sz="6" w:space="0"/>
              <w:left w:val="single" w:color="000000" w:sz="6" w:space="0"/>
              <w:bottom w:val="single" w:color="000000" w:sz="6" w:space="0"/>
              <w:right w:val="single" w:color="000000" w:sz="6" w:space="0"/>
            </w:tcBorders>
            <w:vAlign w:val="center"/>
          </w:tcPr>
          <w:p w14:paraId="1441A1FA">
            <w:pPr>
              <w:pStyle w:val="348"/>
              <w:rPr>
                <w:color w:val="auto"/>
              </w:rPr>
            </w:pPr>
          </w:p>
        </w:tc>
        <w:tc>
          <w:tcPr>
            <w:tcW w:w="3101" w:type="dxa"/>
            <w:gridSpan w:val="3"/>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vAlign w:val="center"/>
          </w:tcPr>
          <w:p w14:paraId="2B665DD3">
            <w:pPr>
              <w:widowControl/>
              <w:adjustRightInd/>
              <w:snapToGrid/>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总氮（以</w:t>
            </w:r>
            <w:r>
              <w:rPr>
                <w:rFonts w:hint="eastAsia"/>
                <w:color w:val="auto"/>
                <w:kern w:val="0"/>
                <w:sz w:val="21"/>
                <w:szCs w:val="21"/>
              </w:rPr>
              <w:t>N</w:t>
            </w:r>
            <w:r>
              <w:rPr>
                <w:rFonts w:hint="eastAsia" w:ascii="宋体" w:hAnsi="宋体" w:cs="宋体"/>
                <w:color w:val="auto"/>
                <w:kern w:val="0"/>
                <w:sz w:val="21"/>
                <w:szCs w:val="21"/>
              </w:rPr>
              <w:t>计）</w:t>
            </w:r>
          </w:p>
        </w:tc>
        <w:tc>
          <w:tcPr>
            <w:tcW w:w="2292" w:type="dxa"/>
            <w:gridSpan w:val="5"/>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vAlign w:val="center"/>
          </w:tcPr>
          <w:p w14:paraId="5A579BD0">
            <w:pPr>
              <w:widowControl/>
              <w:adjustRightInd/>
              <w:snapToGrid/>
              <w:spacing w:line="240" w:lineRule="auto"/>
              <w:ind w:firstLine="0" w:firstLineChars="0"/>
              <w:jc w:val="center"/>
              <w:rPr>
                <w:rFonts w:hint="eastAsia"/>
                <w:color w:val="auto"/>
                <w:kern w:val="0"/>
                <w:sz w:val="21"/>
                <w:szCs w:val="21"/>
              </w:rPr>
            </w:pPr>
            <w:r>
              <w:rPr>
                <w:rFonts w:hint="default"/>
                <w:color w:val="auto"/>
                <w:kern w:val="0"/>
                <w:sz w:val="21"/>
                <w:szCs w:val="21"/>
                <w:lang w:val="en-US" w:eastAsia="zh-CN"/>
              </w:rPr>
              <w:t>8.81</w:t>
            </w:r>
          </w:p>
        </w:tc>
        <w:tc>
          <w:tcPr>
            <w:tcW w:w="2428" w:type="dxa"/>
            <w:gridSpan w:val="3"/>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vAlign w:val="center"/>
          </w:tcPr>
          <w:p w14:paraId="44B37E20">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15</w:t>
            </w:r>
          </w:p>
        </w:tc>
      </w:tr>
      <w:tr w14:paraId="01030C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6" w:hRule="atLeast"/>
        </w:trPr>
        <w:tc>
          <w:tcPr>
            <w:tcW w:w="358" w:type="dxa"/>
            <w:vMerge w:val="continue"/>
            <w:tcBorders>
              <w:top w:val="single" w:color="000000" w:sz="6" w:space="0"/>
              <w:left w:val="single" w:color="000000" w:sz="6" w:space="0"/>
              <w:bottom w:val="single" w:color="000000" w:sz="6" w:space="0"/>
              <w:right w:val="single" w:color="000000" w:sz="6" w:space="0"/>
            </w:tcBorders>
            <w:vAlign w:val="center"/>
          </w:tcPr>
          <w:p w14:paraId="096405FE">
            <w:pPr>
              <w:pStyle w:val="348"/>
              <w:rPr>
                <w:color w:val="auto"/>
              </w:rPr>
            </w:pPr>
          </w:p>
        </w:tc>
        <w:tc>
          <w:tcPr>
            <w:tcW w:w="1106" w:type="dxa"/>
            <w:vMerge w:val="continue"/>
            <w:tcBorders>
              <w:top w:val="single" w:color="000000" w:sz="6" w:space="0"/>
              <w:left w:val="single" w:color="000000" w:sz="6" w:space="0"/>
              <w:bottom w:val="single" w:color="000000" w:sz="6" w:space="0"/>
              <w:right w:val="single" w:color="000000" w:sz="6" w:space="0"/>
            </w:tcBorders>
            <w:vAlign w:val="center"/>
          </w:tcPr>
          <w:p w14:paraId="6C6B5480">
            <w:pPr>
              <w:pStyle w:val="348"/>
              <w:rPr>
                <w:color w:val="auto"/>
              </w:rPr>
            </w:pPr>
          </w:p>
        </w:tc>
        <w:tc>
          <w:tcPr>
            <w:tcW w:w="3101" w:type="dxa"/>
            <w:gridSpan w:val="3"/>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vAlign w:val="center"/>
          </w:tcPr>
          <w:p w14:paraId="11B7847D">
            <w:pPr>
              <w:widowControl/>
              <w:adjustRightInd/>
              <w:snapToGrid/>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总磷（以</w:t>
            </w:r>
            <w:r>
              <w:rPr>
                <w:rFonts w:hint="eastAsia"/>
                <w:color w:val="auto"/>
                <w:kern w:val="0"/>
                <w:sz w:val="21"/>
                <w:szCs w:val="21"/>
              </w:rPr>
              <w:t>P</w:t>
            </w:r>
            <w:r>
              <w:rPr>
                <w:rFonts w:hint="eastAsia" w:ascii="宋体" w:hAnsi="宋体" w:cs="宋体"/>
                <w:color w:val="auto"/>
                <w:kern w:val="0"/>
                <w:sz w:val="21"/>
                <w:szCs w:val="21"/>
              </w:rPr>
              <w:t>计）</w:t>
            </w:r>
          </w:p>
        </w:tc>
        <w:tc>
          <w:tcPr>
            <w:tcW w:w="2292" w:type="dxa"/>
            <w:gridSpan w:val="5"/>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vAlign w:val="center"/>
          </w:tcPr>
          <w:p w14:paraId="28B8F053">
            <w:pPr>
              <w:widowControl/>
              <w:adjustRightInd/>
              <w:snapToGrid/>
              <w:spacing w:line="240" w:lineRule="auto"/>
              <w:ind w:firstLine="0" w:firstLineChars="0"/>
              <w:jc w:val="center"/>
              <w:rPr>
                <w:rFonts w:hint="eastAsia"/>
                <w:color w:val="auto"/>
                <w:kern w:val="0"/>
                <w:sz w:val="21"/>
                <w:szCs w:val="21"/>
              </w:rPr>
            </w:pPr>
            <w:r>
              <w:rPr>
                <w:rFonts w:hint="default"/>
                <w:color w:val="auto"/>
                <w:kern w:val="0"/>
                <w:sz w:val="21"/>
                <w:szCs w:val="21"/>
                <w:lang w:val="en-US" w:eastAsia="zh-CN"/>
              </w:rPr>
              <w:t>0.29</w:t>
            </w:r>
          </w:p>
        </w:tc>
        <w:tc>
          <w:tcPr>
            <w:tcW w:w="2428" w:type="dxa"/>
            <w:gridSpan w:val="3"/>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vAlign w:val="center"/>
          </w:tcPr>
          <w:p w14:paraId="18E6483D">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0.5</w:t>
            </w:r>
          </w:p>
        </w:tc>
      </w:tr>
      <w:tr w14:paraId="140D77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9" w:hRule="atLeast"/>
        </w:trPr>
        <w:tc>
          <w:tcPr>
            <w:tcW w:w="358" w:type="dxa"/>
            <w:vMerge w:val="continue"/>
            <w:tcBorders>
              <w:top w:val="single" w:color="000000" w:sz="6" w:space="0"/>
              <w:left w:val="single" w:color="000000" w:sz="6" w:space="0"/>
              <w:bottom w:val="single" w:color="000000" w:sz="6" w:space="0"/>
              <w:right w:val="single" w:color="000000" w:sz="6" w:space="0"/>
            </w:tcBorders>
            <w:vAlign w:val="center"/>
          </w:tcPr>
          <w:p w14:paraId="25F0F0A2">
            <w:pPr>
              <w:pStyle w:val="348"/>
              <w:rPr>
                <w:color w:val="auto"/>
              </w:rPr>
            </w:pPr>
          </w:p>
        </w:tc>
        <w:tc>
          <w:tcPr>
            <w:tcW w:w="1106" w:type="dxa"/>
            <w:vMerge w:val="restart"/>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7133B907">
            <w:pPr>
              <w:pStyle w:val="348"/>
              <w:rPr>
                <w:color w:val="auto"/>
              </w:rPr>
            </w:pPr>
            <w:r>
              <w:rPr>
                <w:rFonts w:hint="eastAsia"/>
                <w:color w:val="auto"/>
              </w:rPr>
              <w:t>替代源排放情况</w:t>
            </w:r>
          </w:p>
        </w:tc>
        <w:tc>
          <w:tcPr>
            <w:tcW w:w="2185" w:type="dxa"/>
            <w:gridSpan w:val="2"/>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628F1972">
            <w:pPr>
              <w:pStyle w:val="348"/>
              <w:rPr>
                <w:color w:val="auto"/>
              </w:rPr>
            </w:pPr>
            <w:r>
              <w:rPr>
                <w:rFonts w:hint="eastAsia"/>
                <w:color w:val="auto"/>
              </w:rPr>
              <w:t>污染源名称</w:t>
            </w:r>
          </w:p>
        </w:tc>
        <w:tc>
          <w:tcPr>
            <w:tcW w:w="1372" w:type="dxa"/>
            <w:gridSpan w:val="2"/>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1B6ABE10">
            <w:pPr>
              <w:pStyle w:val="348"/>
              <w:rPr>
                <w:color w:val="auto"/>
              </w:rPr>
            </w:pPr>
            <w:r>
              <w:rPr>
                <w:rFonts w:hint="eastAsia"/>
                <w:color w:val="auto"/>
              </w:rPr>
              <w:t>排污许可证编号</w:t>
            </w:r>
          </w:p>
        </w:tc>
        <w:tc>
          <w:tcPr>
            <w:tcW w:w="1377" w:type="dxa"/>
            <w:gridSpan w:val="3"/>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5D210250">
            <w:pPr>
              <w:pStyle w:val="348"/>
              <w:rPr>
                <w:color w:val="auto"/>
              </w:rPr>
            </w:pPr>
            <w:r>
              <w:rPr>
                <w:rFonts w:hint="eastAsia"/>
                <w:color w:val="auto"/>
              </w:rPr>
              <w:t>污染物名称</w:t>
            </w:r>
          </w:p>
        </w:tc>
        <w:tc>
          <w:tcPr>
            <w:tcW w:w="1414" w:type="dxa"/>
            <w:gridSpan w:val="2"/>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3CB1E06D">
            <w:pPr>
              <w:pStyle w:val="348"/>
              <w:rPr>
                <w:color w:val="auto"/>
              </w:rPr>
            </w:pPr>
            <w:r>
              <w:rPr>
                <w:rFonts w:hint="eastAsia"/>
                <w:color w:val="auto"/>
              </w:rPr>
              <w:t>排放量/（t/a）</w:t>
            </w:r>
          </w:p>
        </w:tc>
        <w:tc>
          <w:tcPr>
            <w:tcW w:w="1473" w:type="dxa"/>
            <w:gridSpan w:val="2"/>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5283BBF2">
            <w:pPr>
              <w:pStyle w:val="348"/>
              <w:rPr>
                <w:color w:val="auto"/>
              </w:rPr>
            </w:pPr>
            <w:r>
              <w:rPr>
                <w:rFonts w:hint="eastAsia"/>
                <w:color w:val="auto"/>
              </w:rPr>
              <w:t>排放浓度/（mg/L）</w:t>
            </w:r>
          </w:p>
        </w:tc>
      </w:tr>
      <w:tr w14:paraId="6C7FDC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9" w:hRule="atLeast"/>
        </w:trPr>
        <w:tc>
          <w:tcPr>
            <w:tcW w:w="358" w:type="dxa"/>
            <w:vMerge w:val="continue"/>
            <w:tcBorders>
              <w:top w:val="single" w:color="000000" w:sz="6" w:space="0"/>
              <w:left w:val="single" w:color="000000" w:sz="6" w:space="0"/>
              <w:bottom w:val="single" w:color="000000" w:sz="6" w:space="0"/>
              <w:right w:val="single" w:color="000000" w:sz="6" w:space="0"/>
            </w:tcBorders>
            <w:vAlign w:val="center"/>
          </w:tcPr>
          <w:p w14:paraId="1A7A79F3">
            <w:pPr>
              <w:pStyle w:val="348"/>
              <w:rPr>
                <w:color w:val="auto"/>
              </w:rPr>
            </w:pPr>
          </w:p>
        </w:tc>
        <w:tc>
          <w:tcPr>
            <w:tcW w:w="1106" w:type="dxa"/>
            <w:vMerge w:val="continue"/>
            <w:tcBorders>
              <w:top w:val="single" w:color="000000" w:sz="6" w:space="0"/>
              <w:left w:val="single" w:color="000000" w:sz="6" w:space="0"/>
              <w:bottom w:val="single" w:color="000000" w:sz="6" w:space="0"/>
              <w:right w:val="single" w:color="000000" w:sz="6" w:space="0"/>
            </w:tcBorders>
            <w:vAlign w:val="center"/>
          </w:tcPr>
          <w:p w14:paraId="04707990">
            <w:pPr>
              <w:pStyle w:val="348"/>
              <w:rPr>
                <w:color w:val="auto"/>
              </w:rPr>
            </w:pPr>
          </w:p>
        </w:tc>
        <w:tc>
          <w:tcPr>
            <w:tcW w:w="2185" w:type="dxa"/>
            <w:gridSpan w:val="2"/>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55C1FF3C">
            <w:pPr>
              <w:pStyle w:val="348"/>
              <w:rPr>
                <w:color w:val="auto"/>
              </w:rPr>
            </w:pPr>
            <w:r>
              <w:rPr>
                <w:rFonts w:hint="eastAsia"/>
                <w:color w:val="auto"/>
              </w:rPr>
              <w:t>（      ）</w:t>
            </w:r>
          </w:p>
        </w:tc>
        <w:tc>
          <w:tcPr>
            <w:tcW w:w="1372" w:type="dxa"/>
            <w:gridSpan w:val="2"/>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249EEA24">
            <w:pPr>
              <w:pStyle w:val="348"/>
              <w:rPr>
                <w:color w:val="auto"/>
              </w:rPr>
            </w:pPr>
            <w:r>
              <w:rPr>
                <w:rFonts w:hint="eastAsia"/>
                <w:color w:val="auto"/>
              </w:rPr>
              <w:t>（      ）</w:t>
            </w:r>
          </w:p>
        </w:tc>
        <w:tc>
          <w:tcPr>
            <w:tcW w:w="1377" w:type="dxa"/>
            <w:gridSpan w:val="3"/>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063F5DCC">
            <w:pPr>
              <w:pStyle w:val="348"/>
              <w:rPr>
                <w:color w:val="auto"/>
              </w:rPr>
            </w:pPr>
            <w:r>
              <w:rPr>
                <w:rFonts w:hint="eastAsia"/>
                <w:color w:val="auto"/>
              </w:rPr>
              <w:t>（      ）</w:t>
            </w:r>
          </w:p>
        </w:tc>
        <w:tc>
          <w:tcPr>
            <w:tcW w:w="1414" w:type="dxa"/>
            <w:gridSpan w:val="2"/>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6CDC3FEB">
            <w:pPr>
              <w:pStyle w:val="348"/>
              <w:rPr>
                <w:color w:val="auto"/>
              </w:rPr>
            </w:pPr>
            <w:r>
              <w:rPr>
                <w:rFonts w:hint="eastAsia"/>
                <w:color w:val="auto"/>
              </w:rPr>
              <w:t>（      ）</w:t>
            </w:r>
          </w:p>
        </w:tc>
        <w:tc>
          <w:tcPr>
            <w:tcW w:w="1473" w:type="dxa"/>
            <w:gridSpan w:val="2"/>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45A26C3F">
            <w:pPr>
              <w:pStyle w:val="348"/>
              <w:rPr>
                <w:color w:val="auto"/>
              </w:rPr>
            </w:pPr>
            <w:r>
              <w:rPr>
                <w:rFonts w:hint="eastAsia"/>
                <w:color w:val="auto"/>
              </w:rPr>
              <w:t>（      ）</w:t>
            </w:r>
          </w:p>
        </w:tc>
      </w:tr>
      <w:tr w14:paraId="41BA56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9" w:hRule="atLeast"/>
        </w:trPr>
        <w:tc>
          <w:tcPr>
            <w:tcW w:w="358" w:type="dxa"/>
            <w:vMerge w:val="continue"/>
            <w:tcBorders>
              <w:top w:val="single" w:color="000000" w:sz="6" w:space="0"/>
              <w:left w:val="single" w:color="000000" w:sz="6" w:space="0"/>
              <w:bottom w:val="single" w:color="000000" w:sz="6" w:space="0"/>
              <w:right w:val="single" w:color="000000" w:sz="6" w:space="0"/>
            </w:tcBorders>
            <w:vAlign w:val="center"/>
          </w:tcPr>
          <w:p w14:paraId="240EC96D">
            <w:pPr>
              <w:pStyle w:val="348"/>
              <w:rPr>
                <w:color w:val="auto"/>
              </w:rPr>
            </w:pPr>
          </w:p>
        </w:tc>
        <w:tc>
          <w:tcPr>
            <w:tcW w:w="1106"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2FF2B347">
            <w:pPr>
              <w:pStyle w:val="348"/>
              <w:rPr>
                <w:color w:val="auto"/>
              </w:rPr>
            </w:pPr>
            <w:r>
              <w:rPr>
                <w:rFonts w:hint="eastAsia"/>
                <w:color w:val="auto"/>
              </w:rPr>
              <w:t>生态流量确定</w:t>
            </w:r>
          </w:p>
        </w:tc>
        <w:tc>
          <w:tcPr>
            <w:tcW w:w="7821" w:type="dxa"/>
            <w:gridSpan w:val="11"/>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tcPr>
          <w:p w14:paraId="4676CC1A">
            <w:pPr>
              <w:pStyle w:val="348"/>
              <w:rPr>
                <w:color w:val="auto"/>
              </w:rPr>
            </w:pPr>
            <w:r>
              <w:rPr>
                <w:rFonts w:hint="eastAsia"/>
                <w:color w:val="auto"/>
              </w:rPr>
              <w:t>生态流量：一般水期（      ）m</w:t>
            </w:r>
            <w:r>
              <w:rPr>
                <w:rFonts w:hint="eastAsia"/>
                <w:color w:val="auto"/>
                <w:vertAlign w:val="superscript"/>
              </w:rPr>
              <w:t>3</w:t>
            </w:r>
            <w:r>
              <w:rPr>
                <w:rFonts w:hint="eastAsia"/>
                <w:color w:val="auto"/>
              </w:rPr>
              <w:t>/s；鱼类繁殖期（      ）m</w:t>
            </w:r>
            <w:r>
              <w:rPr>
                <w:rFonts w:hint="eastAsia"/>
                <w:color w:val="auto"/>
                <w:vertAlign w:val="superscript"/>
              </w:rPr>
              <w:t>3</w:t>
            </w:r>
            <w:r>
              <w:rPr>
                <w:rFonts w:hint="eastAsia"/>
                <w:color w:val="auto"/>
              </w:rPr>
              <w:t>/s；其他（      ）m</w:t>
            </w:r>
            <w:r>
              <w:rPr>
                <w:rFonts w:hint="eastAsia"/>
                <w:color w:val="auto"/>
                <w:vertAlign w:val="superscript"/>
              </w:rPr>
              <w:t>3</w:t>
            </w:r>
            <w:r>
              <w:rPr>
                <w:rFonts w:hint="eastAsia"/>
                <w:color w:val="auto"/>
              </w:rPr>
              <w:t>/s</w:t>
            </w:r>
          </w:p>
          <w:p w14:paraId="685D2D7B">
            <w:pPr>
              <w:pStyle w:val="348"/>
              <w:rPr>
                <w:color w:val="auto"/>
              </w:rPr>
            </w:pPr>
            <w:r>
              <w:rPr>
                <w:rFonts w:hint="eastAsia"/>
                <w:color w:val="auto"/>
              </w:rPr>
              <w:t>生态水位：一般水期（      ）m；鱼类繁殖期（      ）m；其他（      ）m</w:t>
            </w:r>
          </w:p>
        </w:tc>
      </w:tr>
      <w:tr w14:paraId="0D5B5A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9" w:hRule="atLeast"/>
        </w:trPr>
        <w:tc>
          <w:tcPr>
            <w:tcW w:w="358" w:type="dxa"/>
            <w:vMerge w:val="restart"/>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2A8375DF">
            <w:pPr>
              <w:pStyle w:val="348"/>
              <w:rPr>
                <w:color w:val="auto"/>
              </w:rPr>
            </w:pPr>
            <w:r>
              <w:rPr>
                <w:rFonts w:hint="eastAsia"/>
                <w:color w:val="auto"/>
              </w:rPr>
              <w:t>防</w:t>
            </w:r>
          </w:p>
          <w:p w14:paraId="5C0FBFEB">
            <w:pPr>
              <w:pStyle w:val="348"/>
              <w:rPr>
                <w:color w:val="auto"/>
              </w:rPr>
            </w:pPr>
            <w:r>
              <w:rPr>
                <w:rFonts w:hint="eastAsia"/>
                <w:color w:val="auto"/>
              </w:rPr>
              <w:t>治</w:t>
            </w:r>
          </w:p>
          <w:p w14:paraId="58724E29">
            <w:pPr>
              <w:pStyle w:val="348"/>
              <w:rPr>
                <w:color w:val="auto"/>
              </w:rPr>
            </w:pPr>
            <w:r>
              <w:rPr>
                <w:rFonts w:hint="eastAsia"/>
                <w:color w:val="auto"/>
              </w:rPr>
              <w:t>措</w:t>
            </w:r>
          </w:p>
          <w:p w14:paraId="0E8FBB8D">
            <w:pPr>
              <w:pStyle w:val="348"/>
              <w:rPr>
                <w:color w:val="auto"/>
              </w:rPr>
            </w:pPr>
            <w:r>
              <w:rPr>
                <w:rFonts w:hint="eastAsia"/>
                <w:color w:val="auto"/>
              </w:rPr>
              <w:t>施</w:t>
            </w:r>
          </w:p>
        </w:tc>
        <w:tc>
          <w:tcPr>
            <w:tcW w:w="1106"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58EA0E24">
            <w:pPr>
              <w:pStyle w:val="348"/>
              <w:rPr>
                <w:color w:val="auto"/>
              </w:rPr>
            </w:pPr>
            <w:r>
              <w:rPr>
                <w:rFonts w:hint="eastAsia"/>
                <w:color w:val="auto"/>
              </w:rPr>
              <w:t>环保措施</w:t>
            </w:r>
          </w:p>
        </w:tc>
        <w:tc>
          <w:tcPr>
            <w:tcW w:w="7821" w:type="dxa"/>
            <w:gridSpan w:val="11"/>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tcPr>
          <w:p w14:paraId="6D5EECFF">
            <w:pPr>
              <w:pStyle w:val="348"/>
              <w:rPr>
                <w:color w:val="auto"/>
              </w:rPr>
            </w:pPr>
            <w:r>
              <w:rPr>
                <w:rFonts w:hint="eastAsia"/>
                <w:color w:val="auto"/>
              </w:rPr>
              <w:t>污水处理设施 </w:t>
            </w:r>
            <w:r>
              <w:rPr>
                <w:rFonts w:hint="eastAsia"/>
                <w:color w:val="auto"/>
              </w:rPr>
              <w:sym w:font="Wingdings 2" w:char="F052"/>
            </w:r>
            <w:r>
              <w:rPr>
                <w:rFonts w:hint="eastAsia"/>
                <w:color w:val="auto"/>
              </w:rPr>
              <w:t>；水文减缓设施 □；生态流量保障设施 □；区域削减 □；依托其他工程措施 □；其他 □</w:t>
            </w:r>
          </w:p>
        </w:tc>
      </w:tr>
      <w:tr w14:paraId="30E692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9" w:hRule="atLeast"/>
        </w:trPr>
        <w:tc>
          <w:tcPr>
            <w:tcW w:w="358" w:type="dxa"/>
            <w:vMerge w:val="continue"/>
            <w:tcBorders>
              <w:top w:val="single" w:color="000000" w:sz="6" w:space="0"/>
              <w:left w:val="single" w:color="000000" w:sz="6" w:space="0"/>
              <w:bottom w:val="single" w:color="000000" w:sz="6" w:space="0"/>
              <w:right w:val="single" w:color="000000" w:sz="6" w:space="0"/>
            </w:tcBorders>
            <w:vAlign w:val="center"/>
          </w:tcPr>
          <w:p w14:paraId="1C5594E2">
            <w:pPr>
              <w:pStyle w:val="348"/>
              <w:rPr>
                <w:color w:val="auto"/>
              </w:rPr>
            </w:pPr>
          </w:p>
        </w:tc>
        <w:tc>
          <w:tcPr>
            <w:tcW w:w="1106" w:type="dxa"/>
            <w:vMerge w:val="restart"/>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53F62672">
            <w:pPr>
              <w:pStyle w:val="348"/>
              <w:rPr>
                <w:color w:val="auto"/>
              </w:rPr>
            </w:pPr>
            <w:r>
              <w:rPr>
                <w:rFonts w:hint="eastAsia"/>
                <w:color w:val="auto"/>
              </w:rPr>
              <w:t>监测计划</w:t>
            </w:r>
          </w:p>
        </w:tc>
        <w:tc>
          <w:tcPr>
            <w:tcW w:w="1861"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tcPr>
          <w:p w14:paraId="12C2CA50">
            <w:pPr>
              <w:pStyle w:val="348"/>
              <w:rPr>
                <w:color w:val="auto"/>
              </w:rPr>
            </w:pPr>
          </w:p>
        </w:tc>
        <w:tc>
          <w:tcPr>
            <w:tcW w:w="2571" w:type="dxa"/>
            <w:gridSpan w:val="5"/>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tcPr>
          <w:p w14:paraId="2FCA6CE3">
            <w:pPr>
              <w:pStyle w:val="348"/>
              <w:rPr>
                <w:color w:val="auto"/>
              </w:rPr>
            </w:pPr>
            <w:r>
              <w:rPr>
                <w:rFonts w:hint="eastAsia"/>
                <w:color w:val="auto"/>
              </w:rPr>
              <w:t>环境质量</w:t>
            </w:r>
          </w:p>
        </w:tc>
        <w:tc>
          <w:tcPr>
            <w:tcW w:w="3389" w:type="dxa"/>
            <w:gridSpan w:val="5"/>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tcPr>
          <w:p w14:paraId="712B7532">
            <w:pPr>
              <w:pStyle w:val="348"/>
              <w:rPr>
                <w:color w:val="auto"/>
              </w:rPr>
            </w:pPr>
            <w:r>
              <w:rPr>
                <w:rFonts w:hint="eastAsia"/>
                <w:color w:val="auto"/>
              </w:rPr>
              <w:t>污染源</w:t>
            </w:r>
          </w:p>
        </w:tc>
      </w:tr>
      <w:tr w14:paraId="5BBB7E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9" w:hRule="atLeast"/>
        </w:trPr>
        <w:tc>
          <w:tcPr>
            <w:tcW w:w="358" w:type="dxa"/>
            <w:vMerge w:val="continue"/>
            <w:tcBorders>
              <w:top w:val="single" w:color="000000" w:sz="6" w:space="0"/>
              <w:left w:val="single" w:color="000000" w:sz="6" w:space="0"/>
              <w:bottom w:val="single" w:color="000000" w:sz="6" w:space="0"/>
              <w:right w:val="single" w:color="000000" w:sz="6" w:space="0"/>
            </w:tcBorders>
            <w:vAlign w:val="center"/>
          </w:tcPr>
          <w:p w14:paraId="11A7EBA2">
            <w:pPr>
              <w:pStyle w:val="348"/>
              <w:rPr>
                <w:color w:val="auto"/>
              </w:rPr>
            </w:pPr>
          </w:p>
        </w:tc>
        <w:tc>
          <w:tcPr>
            <w:tcW w:w="1106" w:type="dxa"/>
            <w:vMerge w:val="continue"/>
            <w:tcBorders>
              <w:top w:val="single" w:color="000000" w:sz="6" w:space="0"/>
              <w:left w:val="single" w:color="000000" w:sz="6" w:space="0"/>
              <w:bottom w:val="single" w:color="000000" w:sz="6" w:space="0"/>
              <w:right w:val="single" w:color="000000" w:sz="6" w:space="0"/>
            </w:tcBorders>
            <w:vAlign w:val="center"/>
          </w:tcPr>
          <w:p w14:paraId="2A0A2CDB">
            <w:pPr>
              <w:pStyle w:val="348"/>
              <w:rPr>
                <w:color w:val="auto"/>
              </w:rPr>
            </w:pPr>
          </w:p>
        </w:tc>
        <w:tc>
          <w:tcPr>
            <w:tcW w:w="1861"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20B8D78D">
            <w:pPr>
              <w:pStyle w:val="348"/>
              <w:rPr>
                <w:color w:val="auto"/>
              </w:rPr>
            </w:pPr>
            <w:r>
              <w:rPr>
                <w:rFonts w:hint="eastAsia"/>
                <w:color w:val="auto"/>
              </w:rPr>
              <w:t>监测方式</w:t>
            </w:r>
          </w:p>
        </w:tc>
        <w:tc>
          <w:tcPr>
            <w:tcW w:w="2571" w:type="dxa"/>
            <w:gridSpan w:val="5"/>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tcPr>
          <w:p w14:paraId="45CB2FC0">
            <w:pPr>
              <w:pStyle w:val="348"/>
              <w:rPr>
                <w:color w:val="auto"/>
              </w:rPr>
            </w:pPr>
            <w:r>
              <w:rPr>
                <w:rFonts w:hint="eastAsia"/>
                <w:color w:val="auto"/>
              </w:rPr>
              <w:t>手动 □；自动 □；无监测 □</w:t>
            </w:r>
          </w:p>
        </w:tc>
        <w:tc>
          <w:tcPr>
            <w:tcW w:w="3389" w:type="dxa"/>
            <w:gridSpan w:val="5"/>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tcPr>
          <w:p w14:paraId="6B291828">
            <w:pPr>
              <w:pStyle w:val="348"/>
              <w:rPr>
                <w:color w:val="auto"/>
              </w:rPr>
            </w:pPr>
            <w:r>
              <w:rPr>
                <w:rFonts w:hint="eastAsia"/>
                <w:color w:val="auto"/>
              </w:rPr>
              <w:t>手动 </w:t>
            </w:r>
            <w:r>
              <w:rPr>
                <w:rFonts w:hint="eastAsia"/>
                <w:color w:val="auto"/>
              </w:rPr>
              <w:sym w:font="Wingdings 2" w:char="F052"/>
            </w:r>
            <w:r>
              <w:rPr>
                <w:rFonts w:hint="eastAsia"/>
                <w:color w:val="auto"/>
              </w:rPr>
              <w:t>；自动 </w:t>
            </w:r>
            <w:r>
              <w:rPr>
                <w:rFonts w:hint="eastAsia"/>
                <w:color w:val="auto"/>
              </w:rPr>
              <w:sym w:font="Wingdings 2" w:char="F052"/>
            </w:r>
            <w:r>
              <w:rPr>
                <w:rFonts w:hint="eastAsia"/>
                <w:color w:val="auto"/>
              </w:rPr>
              <w:t>；无监测 □</w:t>
            </w:r>
          </w:p>
        </w:tc>
      </w:tr>
      <w:tr w14:paraId="56E8CC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9" w:hRule="atLeast"/>
        </w:trPr>
        <w:tc>
          <w:tcPr>
            <w:tcW w:w="358" w:type="dxa"/>
            <w:vMerge w:val="continue"/>
            <w:tcBorders>
              <w:top w:val="single" w:color="000000" w:sz="6" w:space="0"/>
              <w:left w:val="single" w:color="000000" w:sz="6" w:space="0"/>
              <w:bottom w:val="single" w:color="000000" w:sz="6" w:space="0"/>
              <w:right w:val="single" w:color="000000" w:sz="6" w:space="0"/>
            </w:tcBorders>
            <w:vAlign w:val="center"/>
          </w:tcPr>
          <w:p w14:paraId="3F90B100">
            <w:pPr>
              <w:pStyle w:val="348"/>
              <w:rPr>
                <w:color w:val="auto"/>
              </w:rPr>
            </w:pPr>
          </w:p>
        </w:tc>
        <w:tc>
          <w:tcPr>
            <w:tcW w:w="1106" w:type="dxa"/>
            <w:vMerge w:val="continue"/>
            <w:tcBorders>
              <w:top w:val="single" w:color="000000" w:sz="6" w:space="0"/>
              <w:left w:val="single" w:color="000000" w:sz="6" w:space="0"/>
              <w:bottom w:val="single" w:color="000000" w:sz="6" w:space="0"/>
              <w:right w:val="single" w:color="000000" w:sz="6" w:space="0"/>
            </w:tcBorders>
            <w:vAlign w:val="center"/>
          </w:tcPr>
          <w:p w14:paraId="04EC2FBF">
            <w:pPr>
              <w:pStyle w:val="348"/>
              <w:rPr>
                <w:color w:val="auto"/>
              </w:rPr>
            </w:pPr>
          </w:p>
        </w:tc>
        <w:tc>
          <w:tcPr>
            <w:tcW w:w="1861"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6CB257F8">
            <w:pPr>
              <w:pStyle w:val="348"/>
              <w:rPr>
                <w:color w:val="auto"/>
              </w:rPr>
            </w:pPr>
            <w:r>
              <w:rPr>
                <w:rFonts w:hint="eastAsia"/>
                <w:color w:val="auto"/>
              </w:rPr>
              <w:t>监测点位</w:t>
            </w:r>
          </w:p>
        </w:tc>
        <w:tc>
          <w:tcPr>
            <w:tcW w:w="2571" w:type="dxa"/>
            <w:gridSpan w:val="5"/>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526C547B">
            <w:pPr>
              <w:pStyle w:val="348"/>
              <w:rPr>
                <w:color w:val="auto"/>
              </w:rPr>
            </w:pPr>
            <w:r>
              <w:rPr>
                <w:rFonts w:hint="eastAsia"/>
                <w:color w:val="auto"/>
              </w:rPr>
              <w:t>（）</w:t>
            </w:r>
          </w:p>
        </w:tc>
        <w:tc>
          <w:tcPr>
            <w:tcW w:w="3389" w:type="dxa"/>
            <w:gridSpan w:val="5"/>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11D42A69">
            <w:pPr>
              <w:pStyle w:val="348"/>
              <w:rPr>
                <w:color w:val="auto"/>
              </w:rPr>
            </w:pPr>
            <w:r>
              <w:rPr>
                <w:rFonts w:hint="eastAsia"/>
                <w:color w:val="auto"/>
              </w:rPr>
              <w:t>（拟建项目</w:t>
            </w:r>
            <w:r>
              <w:rPr>
                <w:rFonts w:hint="eastAsia"/>
                <w:color w:val="auto"/>
                <w:lang w:eastAsia="zh-CN"/>
              </w:rPr>
              <w:t>排放水</w:t>
            </w:r>
            <w:r>
              <w:rPr>
                <w:rFonts w:hint="eastAsia"/>
                <w:color w:val="auto"/>
              </w:rPr>
              <w:t>池）</w:t>
            </w:r>
          </w:p>
        </w:tc>
      </w:tr>
      <w:tr w14:paraId="3AA4F7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9" w:hRule="atLeast"/>
        </w:trPr>
        <w:tc>
          <w:tcPr>
            <w:tcW w:w="358" w:type="dxa"/>
            <w:vMerge w:val="continue"/>
            <w:tcBorders>
              <w:top w:val="single" w:color="000000" w:sz="6" w:space="0"/>
              <w:left w:val="single" w:color="000000" w:sz="6" w:space="0"/>
              <w:bottom w:val="single" w:color="000000" w:sz="6" w:space="0"/>
              <w:right w:val="single" w:color="000000" w:sz="6" w:space="0"/>
            </w:tcBorders>
            <w:vAlign w:val="center"/>
          </w:tcPr>
          <w:p w14:paraId="6D788D9F">
            <w:pPr>
              <w:pStyle w:val="348"/>
              <w:rPr>
                <w:color w:val="auto"/>
              </w:rPr>
            </w:pPr>
          </w:p>
        </w:tc>
        <w:tc>
          <w:tcPr>
            <w:tcW w:w="1106" w:type="dxa"/>
            <w:vMerge w:val="continue"/>
            <w:tcBorders>
              <w:top w:val="single" w:color="000000" w:sz="6" w:space="0"/>
              <w:left w:val="single" w:color="000000" w:sz="6" w:space="0"/>
              <w:bottom w:val="single" w:color="000000" w:sz="6" w:space="0"/>
              <w:right w:val="single" w:color="000000" w:sz="6" w:space="0"/>
            </w:tcBorders>
            <w:vAlign w:val="center"/>
          </w:tcPr>
          <w:p w14:paraId="754C2592">
            <w:pPr>
              <w:pStyle w:val="348"/>
              <w:rPr>
                <w:color w:val="auto"/>
              </w:rPr>
            </w:pPr>
          </w:p>
        </w:tc>
        <w:tc>
          <w:tcPr>
            <w:tcW w:w="1861"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1D7BAF3E">
            <w:pPr>
              <w:pStyle w:val="348"/>
              <w:rPr>
                <w:color w:val="auto"/>
              </w:rPr>
            </w:pPr>
            <w:r>
              <w:rPr>
                <w:rFonts w:hint="eastAsia"/>
                <w:color w:val="auto"/>
              </w:rPr>
              <w:t>监测因子</w:t>
            </w:r>
          </w:p>
        </w:tc>
        <w:tc>
          <w:tcPr>
            <w:tcW w:w="2571" w:type="dxa"/>
            <w:gridSpan w:val="5"/>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5E88AA4B">
            <w:pPr>
              <w:pStyle w:val="348"/>
              <w:rPr>
                <w:color w:val="auto"/>
              </w:rPr>
            </w:pPr>
            <w:r>
              <w:rPr>
                <w:rFonts w:hint="eastAsia"/>
                <w:color w:val="auto"/>
              </w:rPr>
              <w:t>（）</w:t>
            </w:r>
          </w:p>
        </w:tc>
        <w:tc>
          <w:tcPr>
            <w:tcW w:w="3389" w:type="dxa"/>
            <w:gridSpan w:val="5"/>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4CF9ACE6">
            <w:pPr>
              <w:pStyle w:val="348"/>
              <w:rPr>
                <w:color w:val="auto"/>
              </w:rPr>
            </w:pPr>
            <w:r>
              <w:rPr>
                <w:rFonts w:hint="eastAsia"/>
                <w:color w:val="auto"/>
              </w:rPr>
              <w:t>（流量、pH、水温、COD、NH</w:t>
            </w:r>
            <w:r>
              <w:rPr>
                <w:rFonts w:hint="eastAsia"/>
                <w:color w:val="auto"/>
                <w:vertAlign w:val="subscript"/>
              </w:rPr>
              <w:t>3</w:t>
            </w:r>
            <w:r>
              <w:rPr>
                <w:rFonts w:hint="eastAsia"/>
                <w:color w:val="auto"/>
              </w:rPr>
              <w:t>-N、TP、TN、BOD</w:t>
            </w:r>
            <w:r>
              <w:rPr>
                <w:rFonts w:hint="eastAsia"/>
                <w:color w:val="auto"/>
                <w:vertAlign w:val="subscript"/>
              </w:rPr>
              <w:t>5</w:t>
            </w:r>
            <w:r>
              <w:rPr>
                <w:rFonts w:hint="eastAsia"/>
                <w:color w:val="auto"/>
              </w:rPr>
              <w:t>、石油类、总有机碳（TOC）、硫化物、氟化物、氯化物（以Cl计）、溶解性总固体（TDS）、阴离子表面活性剂（LAS）、挥发酚、硼、可溶性钡、总α放射性(Bq/L)、总β放射性(Bq/L)）</w:t>
            </w:r>
          </w:p>
        </w:tc>
      </w:tr>
      <w:tr w14:paraId="2C6852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9" w:hRule="atLeast"/>
        </w:trPr>
        <w:tc>
          <w:tcPr>
            <w:tcW w:w="358" w:type="dxa"/>
            <w:vMerge w:val="continue"/>
            <w:tcBorders>
              <w:top w:val="single" w:color="000000" w:sz="6" w:space="0"/>
              <w:left w:val="single" w:color="000000" w:sz="6" w:space="0"/>
              <w:bottom w:val="single" w:color="000000" w:sz="6" w:space="0"/>
              <w:right w:val="single" w:color="000000" w:sz="6" w:space="0"/>
            </w:tcBorders>
            <w:vAlign w:val="center"/>
          </w:tcPr>
          <w:p w14:paraId="6F473644">
            <w:pPr>
              <w:pStyle w:val="348"/>
              <w:rPr>
                <w:color w:val="auto"/>
              </w:rPr>
            </w:pPr>
          </w:p>
        </w:tc>
        <w:tc>
          <w:tcPr>
            <w:tcW w:w="1106"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07785CAE">
            <w:pPr>
              <w:pStyle w:val="348"/>
              <w:rPr>
                <w:color w:val="auto"/>
              </w:rPr>
            </w:pPr>
            <w:r>
              <w:rPr>
                <w:rFonts w:hint="eastAsia"/>
                <w:color w:val="auto"/>
              </w:rPr>
              <w:t>污染物排放清单</w:t>
            </w:r>
          </w:p>
        </w:tc>
        <w:tc>
          <w:tcPr>
            <w:tcW w:w="7821" w:type="dxa"/>
            <w:gridSpan w:val="11"/>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79509107">
            <w:pPr>
              <w:pStyle w:val="348"/>
              <w:rPr>
                <w:color w:val="auto"/>
              </w:rPr>
            </w:pPr>
            <w:r>
              <w:rPr>
                <w:rFonts w:hint="eastAsia"/>
                <w:color w:val="auto"/>
              </w:rPr>
              <w:sym w:font="Wingdings 2" w:char="F052"/>
            </w:r>
          </w:p>
        </w:tc>
      </w:tr>
      <w:tr w14:paraId="2B96CE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9" w:hRule="atLeast"/>
        </w:trPr>
        <w:tc>
          <w:tcPr>
            <w:tcW w:w="1464" w:type="dxa"/>
            <w:gridSpan w:val="2"/>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5F7231C5">
            <w:pPr>
              <w:pStyle w:val="348"/>
              <w:rPr>
                <w:color w:val="auto"/>
              </w:rPr>
            </w:pPr>
            <w:r>
              <w:rPr>
                <w:rFonts w:hint="eastAsia"/>
                <w:color w:val="auto"/>
              </w:rPr>
              <w:t>评价结论</w:t>
            </w:r>
          </w:p>
        </w:tc>
        <w:tc>
          <w:tcPr>
            <w:tcW w:w="7821" w:type="dxa"/>
            <w:gridSpan w:val="11"/>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tcPr>
          <w:p w14:paraId="6FBC5D0E">
            <w:pPr>
              <w:pStyle w:val="348"/>
              <w:rPr>
                <w:color w:val="auto"/>
              </w:rPr>
            </w:pPr>
            <w:r>
              <w:rPr>
                <w:rFonts w:hint="eastAsia"/>
                <w:color w:val="auto"/>
              </w:rPr>
              <w:t>可以接受 </w:t>
            </w:r>
            <w:r>
              <w:rPr>
                <w:rFonts w:hint="eastAsia"/>
                <w:color w:val="auto"/>
              </w:rPr>
              <w:sym w:font="Wingdings 2" w:char="F052"/>
            </w:r>
            <w:r>
              <w:rPr>
                <w:rFonts w:hint="eastAsia"/>
                <w:color w:val="auto"/>
              </w:rPr>
              <w:t>；不可以接受 □</w:t>
            </w:r>
          </w:p>
        </w:tc>
      </w:tr>
      <w:tr w14:paraId="72A9F0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9" w:hRule="atLeast"/>
        </w:trPr>
        <w:tc>
          <w:tcPr>
            <w:tcW w:w="9285" w:type="dxa"/>
            <w:gridSpan w:val="13"/>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tcPr>
          <w:p w14:paraId="3D133C30">
            <w:pPr>
              <w:pStyle w:val="348"/>
              <w:rPr>
                <w:color w:val="auto"/>
              </w:rPr>
            </w:pPr>
            <w:r>
              <w:rPr>
                <w:rFonts w:hint="eastAsia"/>
                <w:color w:val="auto"/>
              </w:rPr>
              <w:t>注：“□”为勾选项，可√；“（      ）”为内容填写项；“备注”为其他补充内容。</w:t>
            </w:r>
          </w:p>
        </w:tc>
      </w:tr>
    </w:tbl>
    <w:p w14:paraId="3C38CB00">
      <w:pPr>
        <w:spacing w:line="360" w:lineRule="auto"/>
        <w:ind w:firstLine="480"/>
        <w:jc w:val="left"/>
        <w:rPr>
          <w:rFonts w:hAnsi="宋体"/>
          <w:color w:val="auto"/>
          <w:szCs w:val="24"/>
        </w:rPr>
      </w:pPr>
    </w:p>
    <w:p w14:paraId="4B83E7DC">
      <w:pPr>
        <w:pStyle w:val="4"/>
        <w:numPr>
          <w:ilvl w:val="0"/>
          <w:numId w:val="0"/>
        </w:numPr>
        <w:spacing w:line="360" w:lineRule="auto"/>
        <w:rPr>
          <w:color w:val="auto"/>
          <w:szCs w:val="24"/>
        </w:rPr>
        <w:sectPr>
          <w:pgSz w:w="11906" w:h="16838"/>
          <w:pgMar w:top="1418" w:right="1418" w:bottom="1418" w:left="1418" w:header="851" w:footer="992" w:gutter="0"/>
          <w:pgBorders>
            <w:top w:val="none" w:sz="0" w:space="0"/>
            <w:left w:val="none" w:sz="0" w:space="0"/>
            <w:bottom w:val="none" w:sz="0" w:space="0"/>
            <w:right w:val="none" w:sz="0" w:space="0"/>
          </w:pgBorders>
          <w:cols w:space="425" w:num="1"/>
          <w:docGrid w:linePitch="312" w:charSpace="0"/>
        </w:sectPr>
      </w:pPr>
      <w:bookmarkStart w:id="242" w:name="_Toc11681"/>
      <w:bookmarkStart w:id="243" w:name="_Toc297897676"/>
      <w:bookmarkStart w:id="244" w:name="_Toc308551021"/>
      <w:bookmarkStart w:id="245" w:name="_Toc476668576"/>
    </w:p>
    <w:p w14:paraId="39F935AF">
      <w:pPr>
        <w:pStyle w:val="4"/>
        <w:numPr>
          <w:ilvl w:val="0"/>
          <w:numId w:val="0"/>
        </w:numPr>
        <w:spacing w:line="360" w:lineRule="auto"/>
        <w:rPr>
          <w:color w:val="auto"/>
          <w:szCs w:val="24"/>
        </w:rPr>
      </w:pPr>
      <w:bookmarkStart w:id="246" w:name="_Toc5842"/>
      <w:r>
        <w:rPr>
          <w:color w:val="auto"/>
          <w:szCs w:val="24"/>
        </w:rPr>
        <w:t>6.2</w:t>
      </w:r>
      <w:r>
        <w:rPr>
          <w:rFonts w:hint="eastAsia"/>
          <w:color w:val="auto"/>
          <w:szCs w:val="24"/>
        </w:rPr>
        <w:t>环境空气环境影响预测评价</w:t>
      </w:r>
      <w:bookmarkEnd w:id="242"/>
      <w:bookmarkEnd w:id="243"/>
      <w:bookmarkEnd w:id="244"/>
      <w:bookmarkEnd w:id="245"/>
      <w:bookmarkEnd w:id="246"/>
    </w:p>
    <w:p w14:paraId="0CCBBE91">
      <w:pPr>
        <w:spacing w:line="360" w:lineRule="auto"/>
        <w:ind w:firstLine="480"/>
        <w:rPr>
          <w:color w:val="auto"/>
          <w:kern w:val="0"/>
          <w:szCs w:val="24"/>
        </w:rPr>
      </w:pPr>
      <w:r>
        <w:rPr>
          <w:rFonts w:hint="eastAsia"/>
          <w:color w:val="auto"/>
          <w:kern w:val="0"/>
          <w:szCs w:val="24"/>
        </w:rPr>
        <w:t>（1）大气污染物源强</w:t>
      </w:r>
    </w:p>
    <w:p w14:paraId="00240624">
      <w:pPr>
        <w:pStyle w:val="840"/>
        <w:spacing w:line="360" w:lineRule="auto"/>
        <w:ind w:firstLine="480"/>
        <w:rPr>
          <w:rFonts w:ascii="Times New Roman" w:hAnsi="Times New Roman"/>
          <w:color w:val="auto"/>
        </w:rPr>
      </w:pPr>
      <w:r>
        <w:rPr>
          <w:rFonts w:hint="eastAsia" w:ascii="Times New Roman" w:hAnsi="Times New Roman"/>
          <w:color w:val="auto"/>
        </w:rPr>
        <w:t>根据工程分析，拟建项目营运期废气主要是各污水处理单元产生的臭气，主要污染因子为硫化氢和氨气，正常工况源强参数见表</w:t>
      </w:r>
      <w:r>
        <w:rPr>
          <w:rFonts w:ascii="Times New Roman" w:hAnsi="Times New Roman"/>
          <w:color w:val="auto"/>
        </w:rPr>
        <w:t>6.2-1</w:t>
      </w:r>
      <w:r>
        <w:rPr>
          <w:rFonts w:hint="eastAsia" w:ascii="Times New Roman" w:hAnsi="Times New Roman"/>
          <w:color w:val="auto"/>
        </w:rPr>
        <w:t>和</w:t>
      </w:r>
      <w:r>
        <w:rPr>
          <w:rFonts w:ascii="Times New Roman" w:hAnsi="Times New Roman"/>
          <w:color w:val="auto"/>
        </w:rPr>
        <w:t>6.2-2</w:t>
      </w:r>
      <w:r>
        <w:rPr>
          <w:rFonts w:hint="eastAsia" w:ascii="Times New Roman" w:hAnsi="Times New Roman"/>
          <w:color w:val="auto"/>
        </w:rPr>
        <w:t>。</w:t>
      </w:r>
    </w:p>
    <w:p w14:paraId="623A3901">
      <w:pPr>
        <w:pStyle w:val="840"/>
        <w:spacing w:line="360" w:lineRule="auto"/>
        <w:ind w:firstLine="0" w:firstLineChars="0"/>
        <w:jc w:val="center"/>
        <w:rPr>
          <w:rFonts w:ascii="Times New Roman" w:hAnsi="Times New Roman"/>
          <w:b/>
          <w:bCs/>
          <w:color w:val="auto"/>
        </w:rPr>
      </w:pPr>
      <w:r>
        <w:rPr>
          <w:rFonts w:hint="eastAsia" w:ascii="Times New Roman" w:hAnsi="Times New Roman"/>
          <w:b/>
          <w:bCs/>
          <w:color w:val="auto"/>
        </w:rPr>
        <w:t>表6</w:t>
      </w:r>
      <w:r>
        <w:rPr>
          <w:rFonts w:ascii="Times New Roman" w:hAnsi="Times New Roman"/>
          <w:b/>
          <w:bCs/>
          <w:color w:val="auto"/>
        </w:rPr>
        <w:t xml:space="preserve">.2-1   </w:t>
      </w:r>
      <w:r>
        <w:rPr>
          <w:rFonts w:hint="eastAsia" w:ascii="Times New Roman" w:hAnsi="Times New Roman"/>
          <w:b/>
          <w:color w:val="auto"/>
        </w:rPr>
        <w:t>正常工况</w:t>
      </w:r>
      <w:r>
        <w:rPr>
          <w:rFonts w:hint="eastAsia" w:ascii="Times New Roman" w:hAnsi="Times New Roman"/>
          <w:b/>
          <w:bCs/>
          <w:color w:val="auto"/>
        </w:rPr>
        <w:t>点源源强及污染物排放参数</w:t>
      </w:r>
    </w:p>
    <w:tbl>
      <w:tblPr>
        <w:tblStyle w:val="88"/>
        <w:tblW w:w="933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67"/>
        <w:gridCol w:w="904"/>
        <w:gridCol w:w="964"/>
        <w:gridCol w:w="1085"/>
        <w:gridCol w:w="1148"/>
        <w:gridCol w:w="994"/>
        <w:gridCol w:w="975"/>
        <w:gridCol w:w="735"/>
        <w:gridCol w:w="912"/>
        <w:gridCol w:w="752"/>
      </w:tblGrid>
      <w:tr w14:paraId="087650E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47" w:hRule="atLeast"/>
          <w:jc w:val="center"/>
        </w:trPr>
        <w:tc>
          <w:tcPr>
            <w:tcW w:w="867" w:type="dxa"/>
            <w:vMerge w:val="restart"/>
            <w:tcBorders>
              <w:top w:val="single" w:color="auto" w:sz="4" w:space="0"/>
              <w:left w:val="single" w:color="auto" w:sz="6" w:space="0"/>
              <w:bottom w:val="single" w:color="auto" w:sz="6" w:space="0"/>
              <w:right w:val="single" w:color="auto" w:sz="6" w:space="0"/>
            </w:tcBorders>
            <w:vAlign w:val="center"/>
          </w:tcPr>
          <w:p w14:paraId="4F611887">
            <w:pPr>
              <w:pStyle w:val="348"/>
              <w:rPr>
                <w:color w:val="auto"/>
              </w:rPr>
            </w:pPr>
            <w:r>
              <w:rPr>
                <w:rFonts w:hint="eastAsia"/>
                <w:color w:val="auto"/>
              </w:rPr>
              <w:t>污染源</w:t>
            </w:r>
          </w:p>
        </w:tc>
        <w:tc>
          <w:tcPr>
            <w:tcW w:w="904" w:type="dxa"/>
            <w:vMerge w:val="restart"/>
            <w:tcBorders>
              <w:top w:val="single" w:color="auto" w:sz="4" w:space="0"/>
              <w:left w:val="single" w:color="auto" w:sz="6" w:space="0"/>
              <w:bottom w:val="single" w:color="auto" w:sz="6" w:space="0"/>
              <w:right w:val="single" w:color="auto" w:sz="6" w:space="0"/>
            </w:tcBorders>
            <w:vAlign w:val="center"/>
          </w:tcPr>
          <w:p w14:paraId="280425DC">
            <w:pPr>
              <w:pStyle w:val="348"/>
              <w:rPr>
                <w:color w:val="auto"/>
              </w:rPr>
            </w:pPr>
            <w:r>
              <w:rPr>
                <w:rFonts w:hint="eastAsia"/>
                <w:color w:val="auto"/>
              </w:rPr>
              <w:t>坐标</w:t>
            </w:r>
          </w:p>
        </w:tc>
        <w:tc>
          <w:tcPr>
            <w:tcW w:w="964" w:type="dxa"/>
            <w:vMerge w:val="restart"/>
            <w:tcBorders>
              <w:top w:val="single" w:color="auto" w:sz="4" w:space="0"/>
              <w:left w:val="single" w:color="auto" w:sz="6" w:space="0"/>
              <w:bottom w:val="single" w:color="auto" w:sz="6" w:space="0"/>
              <w:right w:val="single" w:color="auto" w:sz="6" w:space="0"/>
            </w:tcBorders>
            <w:vAlign w:val="center"/>
          </w:tcPr>
          <w:p w14:paraId="4EFE8DBA">
            <w:pPr>
              <w:pStyle w:val="348"/>
              <w:rPr>
                <w:color w:val="auto"/>
              </w:rPr>
            </w:pPr>
            <w:r>
              <w:rPr>
                <w:rFonts w:hint="eastAsia"/>
                <w:color w:val="auto"/>
              </w:rPr>
              <w:t>污染物</w:t>
            </w:r>
          </w:p>
        </w:tc>
        <w:tc>
          <w:tcPr>
            <w:tcW w:w="1085" w:type="dxa"/>
            <w:vMerge w:val="restart"/>
            <w:tcBorders>
              <w:top w:val="single" w:color="auto" w:sz="4" w:space="0"/>
              <w:left w:val="single" w:color="auto" w:sz="6" w:space="0"/>
              <w:bottom w:val="single" w:color="auto" w:sz="6" w:space="0"/>
              <w:right w:val="single" w:color="auto" w:sz="6" w:space="0"/>
            </w:tcBorders>
            <w:vAlign w:val="center"/>
          </w:tcPr>
          <w:p w14:paraId="1ECCFBB0">
            <w:pPr>
              <w:pStyle w:val="348"/>
              <w:rPr>
                <w:color w:val="auto"/>
              </w:rPr>
            </w:pPr>
            <w:r>
              <w:rPr>
                <w:rFonts w:hint="eastAsia"/>
                <w:color w:val="auto"/>
              </w:rPr>
              <w:t>源强</w:t>
            </w:r>
          </w:p>
          <w:p w14:paraId="667439CD">
            <w:pPr>
              <w:pStyle w:val="348"/>
              <w:rPr>
                <w:color w:val="auto"/>
              </w:rPr>
            </w:pPr>
            <w:r>
              <w:rPr>
                <w:rFonts w:hint="eastAsia"/>
                <w:color w:val="auto"/>
                <w:lang w:eastAsia="zh-CN"/>
              </w:rPr>
              <w:t>(</w:t>
            </w:r>
            <w:r>
              <w:rPr>
                <w:rFonts w:hint="eastAsia"/>
                <w:color w:val="auto"/>
              </w:rPr>
              <w:t>kg/h</w:t>
            </w:r>
            <w:r>
              <w:rPr>
                <w:rFonts w:hint="eastAsia"/>
                <w:color w:val="auto"/>
                <w:lang w:eastAsia="zh-CN"/>
              </w:rPr>
              <w:t>)</w:t>
            </w:r>
          </w:p>
        </w:tc>
        <w:tc>
          <w:tcPr>
            <w:tcW w:w="1148" w:type="dxa"/>
            <w:vMerge w:val="restart"/>
            <w:tcBorders>
              <w:top w:val="single" w:color="auto" w:sz="4" w:space="0"/>
              <w:left w:val="single" w:color="auto" w:sz="6" w:space="0"/>
              <w:bottom w:val="single" w:color="auto" w:sz="6" w:space="0"/>
              <w:right w:val="single" w:color="auto" w:sz="6" w:space="0"/>
            </w:tcBorders>
            <w:vAlign w:val="center"/>
          </w:tcPr>
          <w:p w14:paraId="39727223">
            <w:pPr>
              <w:pStyle w:val="348"/>
              <w:rPr>
                <w:color w:val="auto"/>
              </w:rPr>
            </w:pPr>
            <w:r>
              <w:rPr>
                <w:rFonts w:hint="eastAsia"/>
                <w:color w:val="auto"/>
              </w:rPr>
              <w:t>排气量</w:t>
            </w:r>
          </w:p>
          <w:p w14:paraId="1D4CA75A">
            <w:pPr>
              <w:pStyle w:val="348"/>
              <w:rPr>
                <w:color w:val="auto"/>
              </w:rPr>
            </w:pPr>
            <w:r>
              <w:rPr>
                <w:rFonts w:hint="eastAsia"/>
                <w:color w:val="auto"/>
                <w:lang w:eastAsia="zh-CN"/>
              </w:rPr>
              <w:t>(</w:t>
            </w:r>
            <w:r>
              <w:rPr>
                <w:rFonts w:hint="eastAsia"/>
                <w:color w:val="auto"/>
              </w:rPr>
              <w:t>m</w:t>
            </w:r>
            <w:r>
              <w:rPr>
                <w:rFonts w:hint="eastAsia"/>
                <w:color w:val="auto"/>
                <w:vertAlign w:val="superscript"/>
              </w:rPr>
              <w:t>3</w:t>
            </w:r>
            <w:r>
              <w:rPr>
                <w:rFonts w:hint="eastAsia"/>
                <w:color w:val="auto"/>
              </w:rPr>
              <w:t>/h</w:t>
            </w:r>
            <w:r>
              <w:rPr>
                <w:rFonts w:hint="eastAsia"/>
                <w:color w:val="auto"/>
                <w:lang w:eastAsia="zh-CN"/>
              </w:rPr>
              <w:t>)</w:t>
            </w:r>
          </w:p>
        </w:tc>
        <w:tc>
          <w:tcPr>
            <w:tcW w:w="4368" w:type="dxa"/>
            <w:gridSpan w:val="5"/>
            <w:tcBorders>
              <w:top w:val="single" w:color="auto" w:sz="4" w:space="0"/>
              <w:left w:val="single" w:color="auto" w:sz="6" w:space="0"/>
              <w:bottom w:val="single" w:color="auto" w:sz="6" w:space="0"/>
              <w:right w:val="single" w:color="auto" w:sz="4" w:space="0"/>
            </w:tcBorders>
            <w:vAlign w:val="center"/>
          </w:tcPr>
          <w:p w14:paraId="36A08A51">
            <w:pPr>
              <w:pStyle w:val="348"/>
              <w:rPr>
                <w:color w:val="auto"/>
              </w:rPr>
            </w:pPr>
            <w:r>
              <w:rPr>
                <w:rFonts w:hint="eastAsia"/>
                <w:color w:val="auto"/>
              </w:rPr>
              <w:t>排气筒参数</w:t>
            </w:r>
          </w:p>
        </w:tc>
      </w:tr>
      <w:tr w14:paraId="285C8B5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867" w:type="dxa"/>
            <w:vMerge w:val="continue"/>
            <w:tcBorders>
              <w:top w:val="single" w:color="auto" w:sz="4" w:space="0"/>
              <w:left w:val="single" w:color="auto" w:sz="6" w:space="0"/>
              <w:bottom w:val="single" w:color="auto" w:sz="6" w:space="0"/>
              <w:right w:val="single" w:color="auto" w:sz="6" w:space="0"/>
            </w:tcBorders>
            <w:vAlign w:val="center"/>
          </w:tcPr>
          <w:p w14:paraId="1A660FC7">
            <w:pPr>
              <w:pStyle w:val="348"/>
              <w:rPr>
                <w:color w:val="auto"/>
              </w:rPr>
            </w:pPr>
          </w:p>
        </w:tc>
        <w:tc>
          <w:tcPr>
            <w:tcW w:w="904" w:type="dxa"/>
            <w:vMerge w:val="continue"/>
            <w:tcBorders>
              <w:top w:val="single" w:color="auto" w:sz="4" w:space="0"/>
              <w:left w:val="single" w:color="auto" w:sz="6" w:space="0"/>
              <w:bottom w:val="single" w:color="auto" w:sz="6" w:space="0"/>
              <w:right w:val="single" w:color="auto" w:sz="6" w:space="0"/>
            </w:tcBorders>
            <w:vAlign w:val="center"/>
          </w:tcPr>
          <w:p w14:paraId="4CEE2370">
            <w:pPr>
              <w:pStyle w:val="348"/>
              <w:rPr>
                <w:color w:val="auto"/>
              </w:rPr>
            </w:pPr>
          </w:p>
        </w:tc>
        <w:tc>
          <w:tcPr>
            <w:tcW w:w="964" w:type="dxa"/>
            <w:vMerge w:val="continue"/>
            <w:tcBorders>
              <w:top w:val="single" w:color="auto" w:sz="4" w:space="0"/>
              <w:left w:val="single" w:color="auto" w:sz="6" w:space="0"/>
              <w:bottom w:val="single" w:color="auto" w:sz="6" w:space="0"/>
              <w:right w:val="single" w:color="auto" w:sz="6" w:space="0"/>
            </w:tcBorders>
            <w:vAlign w:val="center"/>
          </w:tcPr>
          <w:p w14:paraId="43051905">
            <w:pPr>
              <w:pStyle w:val="348"/>
              <w:rPr>
                <w:color w:val="auto"/>
              </w:rPr>
            </w:pPr>
          </w:p>
        </w:tc>
        <w:tc>
          <w:tcPr>
            <w:tcW w:w="1085" w:type="dxa"/>
            <w:vMerge w:val="continue"/>
            <w:tcBorders>
              <w:top w:val="single" w:color="auto" w:sz="4" w:space="0"/>
              <w:left w:val="single" w:color="auto" w:sz="6" w:space="0"/>
              <w:bottom w:val="single" w:color="auto" w:sz="6" w:space="0"/>
              <w:right w:val="single" w:color="auto" w:sz="6" w:space="0"/>
            </w:tcBorders>
            <w:vAlign w:val="center"/>
          </w:tcPr>
          <w:p w14:paraId="523D15A0">
            <w:pPr>
              <w:pStyle w:val="348"/>
              <w:rPr>
                <w:color w:val="auto"/>
              </w:rPr>
            </w:pPr>
          </w:p>
        </w:tc>
        <w:tc>
          <w:tcPr>
            <w:tcW w:w="1148" w:type="dxa"/>
            <w:vMerge w:val="continue"/>
            <w:tcBorders>
              <w:top w:val="single" w:color="auto" w:sz="4" w:space="0"/>
              <w:left w:val="single" w:color="auto" w:sz="6" w:space="0"/>
              <w:bottom w:val="single" w:color="auto" w:sz="6" w:space="0"/>
              <w:right w:val="single" w:color="auto" w:sz="6" w:space="0"/>
            </w:tcBorders>
            <w:vAlign w:val="center"/>
          </w:tcPr>
          <w:p w14:paraId="2655DA37">
            <w:pPr>
              <w:pStyle w:val="348"/>
              <w:rPr>
                <w:color w:val="auto"/>
              </w:rPr>
            </w:pPr>
          </w:p>
        </w:tc>
        <w:tc>
          <w:tcPr>
            <w:tcW w:w="994" w:type="dxa"/>
            <w:tcBorders>
              <w:top w:val="single" w:color="auto" w:sz="6" w:space="0"/>
              <w:left w:val="single" w:color="auto" w:sz="6" w:space="0"/>
              <w:bottom w:val="single" w:color="auto" w:sz="6" w:space="0"/>
              <w:right w:val="single" w:color="auto" w:sz="6" w:space="0"/>
            </w:tcBorders>
            <w:vAlign w:val="center"/>
          </w:tcPr>
          <w:p w14:paraId="42B9E6F7">
            <w:pPr>
              <w:pStyle w:val="348"/>
              <w:rPr>
                <w:color w:val="auto"/>
              </w:rPr>
            </w:pPr>
            <w:r>
              <w:rPr>
                <w:rFonts w:hint="eastAsia"/>
                <w:color w:val="auto"/>
              </w:rPr>
              <w:t>高度（m）</w:t>
            </w:r>
          </w:p>
        </w:tc>
        <w:tc>
          <w:tcPr>
            <w:tcW w:w="975" w:type="dxa"/>
            <w:tcBorders>
              <w:top w:val="single" w:color="auto" w:sz="6" w:space="0"/>
              <w:left w:val="single" w:color="auto" w:sz="4" w:space="0"/>
              <w:bottom w:val="single" w:color="auto" w:sz="6" w:space="0"/>
              <w:right w:val="single" w:color="auto" w:sz="6" w:space="0"/>
            </w:tcBorders>
            <w:vAlign w:val="center"/>
          </w:tcPr>
          <w:p w14:paraId="46282F85">
            <w:pPr>
              <w:pStyle w:val="348"/>
              <w:rPr>
                <w:color w:val="auto"/>
              </w:rPr>
            </w:pPr>
            <w:r>
              <w:rPr>
                <w:rFonts w:hint="eastAsia"/>
                <w:color w:val="auto"/>
              </w:rPr>
              <w:t>年排放小时数</w:t>
            </w:r>
          </w:p>
        </w:tc>
        <w:tc>
          <w:tcPr>
            <w:tcW w:w="735" w:type="dxa"/>
            <w:tcBorders>
              <w:top w:val="single" w:color="auto" w:sz="6" w:space="0"/>
              <w:left w:val="single" w:color="auto" w:sz="6" w:space="0"/>
              <w:bottom w:val="single" w:color="auto" w:sz="6" w:space="0"/>
              <w:right w:val="single" w:color="auto" w:sz="6" w:space="0"/>
            </w:tcBorders>
            <w:vAlign w:val="center"/>
          </w:tcPr>
          <w:p w14:paraId="52891DDF">
            <w:pPr>
              <w:pStyle w:val="348"/>
              <w:rPr>
                <w:color w:val="auto"/>
              </w:rPr>
            </w:pPr>
            <w:r>
              <w:rPr>
                <w:rFonts w:hint="eastAsia"/>
                <w:color w:val="auto"/>
              </w:rPr>
              <w:t>温度℃</w:t>
            </w:r>
          </w:p>
        </w:tc>
        <w:tc>
          <w:tcPr>
            <w:tcW w:w="912" w:type="dxa"/>
            <w:tcBorders>
              <w:top w:val="single" w:color="auto" w:sz="6" w:space="0"/>
              <w:left w:val="single" w:color="auto" w:sz="6" w:space="0"/>
              <w:bottom w:val="single" w:color="auto" w:sz="6" w:space="0"/>
              <w:right w:val="single" w:color="auto" w:sz="6" w:space="0"/>
            </w:tcBorders>
            <w:vAlign w:val="center"/>
          </w:tcPr>
          <w:p w14:paraId="777136FF">
            <w:pPr>
              <w:pStyle w:val="348"/>
              <w:rPr>
                <w:color w:val="auto"/>
              </w:rPr>
            </w:pPr>
            <w:r>
              <w:rPr>
                <w:rFonts w:hint="eastAsia"/>
                <w:color w:val="auto"/>
              </w:rPr>
              <w:t>内径（m）</w:t>
            </w:r>
          </w:p>
        </w:tc>
        <w:tc>
          <w:tcPr>
            <w:tcW w:w="752" w:type="dxa"/>
            <w:tcBorders>
              <w:top w:val="single" w:color="auto" w:sz="6" w:space="0"/>
              <w:left w:val="single" w:color="auto" w:sz="6" w:space="0"/>
              <w:bottom w:val="single" w:color="auto" w:sz="6" w:space="0"/>
              <w:right w:val="single" w:color="auto" w:sz="4" w:space="0"/>
            </w:tcBorders>
            <w:vAlign w:val="center"/>
          </w:tcPr>
          <w:p w14:paraId="622E12A2">
            <w:pPr>
              <w:pStyle w:val="348"/>
              <w:rPr>
                <w:color w:val="auto"/>
              </w:rPr>
            </w:pPr>
            <w:r>
              <w:rPr>
                <w:rFonts w:hint="eastAsia"/>
                <w:color w:val="auto"/>
              </w:rPr>
              <w:t>排放工况</w:t>
            </w:r>
          </w:p>
        </w:tc>
      </w:tr>
      <w:tr w14:paraId="3239D2E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79" w:hRule="atLeast"/>
          <w:jc w:val="center"/>
        </w:trPr>
        <w:tc>
          <w:tcPr>
            <w:tcW w:w="867" w:type="dxa"/>
            <w:vMerge w:val="restart"/>
            <w:tcBorders>
              <w:top w:val="single" w:color="auto" w:sz="6" w:space="0"/>
              <w:left w:val="single" w:color="auto" w:sz="6" w:space="0"/>
              <w:right w:val="single" w:color="auto" w:sz="6" w:space="0"/>
            </w:tcBorders>
            <w:vAlign w:val="center"/>
          </w:tcPr>
          <w:p w14:paraId="3AE5DFD0">
            <w:pPr>
              <w:pStyle w:val="348"/>
              <w:rPr>
                <w:color w:val="auto"/>
              </w:rPr>
            </w:pPr>
            <w:r>
              <w:rPr>
                <w:rFonts w:hint="eastAsia"/>
                <w:color w:val="auto"/>
              </w:rPr>
              <w:t>DA001排气筒</w:t>
            </w:r>
          </w:p>
        </w:tc>
        <w:tc>
          <w:tcPr>
            <w:tcW w:w="904" w:type="dxa"/>
            <w:vMerge w:val="restart"/>
            <w:tcBorders>
              <w:top w:val="single" w:color="auto" w:sz="6" w:space="0"/>
              <w:left w:val="single" w:color="auto" w:sz="6" w:space="0"/>
              <w:right w:val="single" w:color="auto" w:sz="6" w:space="0"/>
            </w:tcBorders>
            <w:vAlign w:val="center"/>
          </w:tcPr>
          <w:p w14:paraId="330CFDCC">
            <w:pPr>
              <w:pStyle w:val="348"/>
              <w:rPr>
                <w:rFonts w:hint="default" w:eastAsia="宋体"/>
                <w:color w:val="auto"/>
                <w:lang w:val="en-US" w:eastAsia="zh-CN"/>
              </w:rPr>
            </w:pPr>
            <w:r>
              <w:rPr>
                <w:rFonts w:hint="eastAsia"/>
                <w:color w:val="auto"/>
              </w:rPr>
              <w:t>X=</w:t>
            </w:r>
            <w:r>
              <w:rPr>
                <w:rFonts w:hint="eastAsia"/>
                <w:color w:val="auto"/>
                <w:lang w:val="en-US" w:eastAsia="zh-CN"/>
              </w:rPr>
              <w:t>15</w:t>
            </w:r>
          </w:p>
          <w:p w14:paraId="13DF1D09">
            <w:pPr>
              <w:pStyle w:val="348"/>
              <w:rPr>
                <w:rFonts w:hint="eastAsia" w:eastAsia="宋体"/>
                <w:color w:val="auto"/>
                <w:lang w:val="en-US" w:eastAsia="zh-CN"/>
              </w:rPr>
            </w:pPr>
            <w:r>
              <w:rPr>
                <w:rFonts w:hint="eastAsia"/>
                <w:color w:val="auto"/>
              </w:rPr>
              <w:t>Y=</w:t>
            </w:r>
            <w:r>
              <w:rPr>
                <w:rFonts w:hint="eastAsia"/>
                <w:color w:val="auto"/>
                <w:lang w:val="en-US" w:eastAsia="zh-CN"/>
              </w:rPr>
              <w:t>1</w:t>
            </w:r>
          </w:p>
        </w:tc>
        <w:tc>
          <w:tcPr>
            <w:tcW w:w="964" w:type="dxa"/>
            <w:tcBorders>
              <w:top w:val="single" w:color="auto" w:sz="6" w:space="0"/>
              <w:left w:val="single" w:color="auto" w:sz="6" w:space="0"/>
              <w:bottom w:val="single" w:color="auto" w:sz="6" w:space="0"/>
              <w:right w:val="single" w:color="auto" w:sz="6" w:space="0"/>
            </w:tcBorders>
            <w:vAlign w:val="center"/>
          </w:tcPr>
          <w:p w14:paraId="3D60F947">
            <w:pPr>
              <w:pStyle w:val="348"/>
              <w:rPr>
                <w:color w:val="auto"/>
              </w:rPr>
            </w:pPr>
            <w:r>
              <w:rPr>
                <w:rFonts w:hint="eastAsia"/>
                <w:color w:val="auto"/>
              </w:rPr>
              <w:t>NH</w:t>
            </w:r>
            <w:r>
              <w:rPr>
                <w:rFonts w:hint="eastAsia"/>
                <w:color w:val="auto"/>
                <w:vertAlign w:val="subscript"/>
              </w:rPr>
              <w:t>3</w:t>
            </w:r>
          </w:p>
        </w:tc>
        <w:tc>
          <w:tcPr>
            <w:tcW w:w="1085" w:type="dxa"/>
            <w:tcBorders>
              <w:top w:val="single" w:color="auto" w:sz="6" w:space="0"/>
              <w:left w:val="single" w:color="auto" w:sz="6" w:space="0"/>
              <w:bottom w:val="single" w:color="auto" w:sz="6" w:space="0"/>
              <w:right w:val="single" w:color="auto" w:sz="6" w:space="0"/>
            </w:tcBorders>
            <w:vAlign w:val="center"/>
          </w:tcPr>
          <w:p w14:paraId="64D30C01">
            <w:pPr>
              <w:pStyle w:val="348"/>
              <w:rPr>
                <w:color w:val="auto"/>
              </w:rPr>
            </w:pPr>
            <w:r>
              <w:rPr>
                <w:rFonts w:hint="eastAsia"/>
                <w:color w:val="auto"/>
                <w:lang w:bidi="ar"/>
              </w:rPr>
              <w:t>0.0051</w:t>
            </w:r>
          </w:p>
        </w:tc>
        <w:tc>
          <w:tcPr>
            <w:tcW w:w="1148" w:type="dxa"/>
            <w:vMerge w:val="restart"/>
            <w:tcBorders>
              <w:top w:val="single" w:color="auto" w:sz="6" w:space="0"/>
              <w:left w:val="single" w:color="auto" w:sz="6" w:space="0"/>
              <w:right w:val="single" w:color="auto" w:sz="6" w:space="0"/>
            </w:tcBorders>
            <w:vAlign w:val="center"/>
          </w:tcPr>
          <w:p w14:paraId="615091C2">
            <w:pPr>
              <w:pStyle w:val="348"/>
              <w:rPr>
                <w:color w:val="auto"/>
              </w:rPr>
            </w:pPr>
            <w:r>
              <w:rPr>
                <w:rFonts w:hint="eastAsia"/>
                <w:color w:val="auto"/>
                <w:lang w:val="en-US"/>
              </w:rPr>
              <w:t>2</w:t>
            </w:r>
            <w:r>
              <w:rPr>
                <w:rFonts w:hint="eastAsia"/>
                <w:color w:val="auto"/>
              </w:rPr>
              <w:t>0000</w:t>
            </w:r>
          </w:p>
        </w:tc>
        <w:tc>
          <w:tcPr>
            <w:tcW w:w="994" w:type="dxa"/>
            <w:vMerge w:val="restart"/>
            <w:tcBorders>
              <w:top w:val="single" w:color="auto" w:sz="6" w:space="0"/>
              <w:left w:val="single" w:color="auto" w:sz="6" w:space="0"/>
              <w:right w:val="single" w:color="auto" w:sz="6" w:space="0"/>
            </w:tcBorders>
            <w:vAlign w:val="center"/>
          </w:tcPr>
          <w:p w14:paraId="263F7C29">
            <w:pPr>
              <w:pStyle w:val="348"/>
              <w:rPr>
                <w:color w:val="auto"/>
              </w:rPr>
            </w:pPr>
            <w:r>
              <w:rPr>
                <w:rFonts w:hint="eastAsia"/>
                <w:color w:val="auto"/>
              </w:rPr>
              <w:t>15</w:t>
            </w:r>
          </w:p>
        </w:tc>
        <w:tc>
          <w:tcPr>
            <w:tcW w:w="975" w:type="dxa"/>
            <w:vMerge w:val="restart"/>
            <w:tcBorders>
              <w:top w:val="single" w:color="auto" w:sz="6" w:space="0"/>
              <w:left w:val="single" w:color="auto" w:sz="6" w:space="0"/>
              <w:right w:val="single" w:color="auto" w:sz="6" w:space="0"/>
            </w:tcBorders>
            <w:vAlign w:val="center"/>
          </w:tcPr>
          <w:p w14:paraId="120F3F24">
            <w:pPr>
              <w:pStyle w:val="348"/>
              <w:rPr>
                <w:color w:val="auto"/>
              </w:rPr>
            </w:pPr>
            <w:r>
              <w:rPr>
                <w:rFonts w:hint="eastAsia"/>
                <w:color w:val="auto"/>
              </w:rPr>
              <w:t>7200</w:t>
            </w:r>
          </w:p>
        </w:tc>
        <w:tc>
          <w:tcPr>
            <w:tcW w:w="735" w:type="dxa"/>
            <w:vMerge w:val="restart"/>
            <w:tcBorders>
              <w:top w:val="single" w:color="auto" w:sz="6" w:space="0"/>
              <w:left w:val="single" w:color="auto" w:sz="6" w:space="0"/>
              <w:right w:val="single" w:color="auto" w:sz="6" w:space="0"/>
            </w:tcBorders>
            <w:vAlign w:val="center"/>
          </w:tcPr>
          <w:p w14:paraId="1292CACC">
            <w:pPr>
              <w:pStyle w:val="348"/>
              <w:rPr>
                <w:rFonts w:hint="default" w:eastAsia="宋体"/>
                <w:color w:val="auto"/>
                <w:lang w:val="en-US" w:eastAsia="zh-CN"/>
              </w:rPr>
            </w:pPr>
            <w:r>
              <w:rPr>
                <w:rFonts w:hint="eastAsia"/>
                <w:color w:val="auto"/>
                <w:lang w:val="en-US" w:eastAsia="zh-CN"/>
              </w:rPr>
              <w:t>25</w:t>
            </w:r>
          </w:p>
        </w:tc>
        <w:tc>
          <w:tcPr>
            <w:tcW w:w="912" w:type="dxa"/>
            <w:vMerge w:val="restart"/>
            <w:tcBorders>
              <w:top w:val="single" w:color="auto" w:sz="6" w:space="0"/>
              <w:left w:val="single" w:color="auto" w:sz="6" w:space="0"/>
              <w:right w:val="single" w:color="auto" w:sz="6" w:space="0"/>
            </w:tcBorders>
            <w:vAlign w:val="center"/>
          </w:tcPr>
          <w:p w14:paraId="570F755D">
            <w:pPr>
              <w:pStyle w:val="348"/>
              <w:rPr>
                <w:color w:val="auto"/>
              </w:rPr>
            </w:pPr>
            <w:r>
              <w:rPr>
                <w:rFonts w:hint="eastAsia"/>
                <w:color w:val="auto"/>
              </w:rPr>
              <w:t>0.7</w:t>
            </w:r>
          </w:p>
        </w:tc>
        <w:tc>
          <w:tcPr>
            <w:tcW w:w="752" w:type="dxa"/>
            <w:vMerge w:val="restart"/>
            <w:tcBorders>
              <w:top w:val="single" w:color="auto" w:sz="6" w:space="0"/>
              <w:left w:val="single" w:color="auto" w:sz="6" w:space="0"/>
              <w:right w:val="single" w:color="auto" w:sz="4" w:space="0"/>
            </w:tcBorders>
            <w:vAlign w:val="center"/>
          </w:tcPr>
          <w:p w14:paraId="3080BC14">
            <w:pPr>
              <w:pStyle w:val="348"/>
              <w:rPr>
                <w:color w:val="auto"/>
              </w:rPr>
            </w:pPr>
            <w:r>
              <w:rPr>
                <w:rFonts w:hint="eastAsia"/>
                <w:color w:val="auto"/>
              </w:rPr>
              <w:t>正常排放</w:t>
            </w:r>
          </w:p>
        </w:tc>
      </w:tr>
      <w:tr w14:paraId="29A8F2B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79" w:hRule="atLeast"/>
          <w:jc w:val="center"/>
        </w:trPr>
        <w:tc>
          <w:tcPr>
            <w:tcW w:w="867" w:type="dxa"/>
            <w:vMerge w:val="continue"/>
            <w:tcBorders>
              <w:left w:val="single" w:color="auto" w:sz="6" w:space="0"/>
              <w:right w:val="single" w:color="auto" w:sz="6" w:space="0"/>
            </w:tcBorders>
            <w:vAlign w:val="center"/>
          </w:tcPr>
          <w:p w14:paraId="221FF0C7">
            <w:pPr>
              <w:pStyle w:val="348"/>
              <w:rPr>
                <w:color w:val="auto"/>
              </w:rPr>
            </w:pPr>
          </w:p>
        </w:tc>
        <w:tc>
          <w:tcPr>
            <w:tcW w:w="904" w:type="dxa"/>
            <w:vMerge w:val="continue"/>
            <w:tcBorders>
              <w:left w:val="single" w:color="auto" w:sz="6" w:space="0"/>
              <w:right w:val="single" w:color="auto" w:sz="6" w:space="0"/>
            </w:tcBorders>
            <w:vAlign w:val="center"/>
          </w:tcPr>
          <w:p w14:paraId="715D7439">
            <w:pPr>
              <w:pStyle w:val="348"/>
              <w:rPr>
                <w:color w:val="auto"/>
              </w:rPr>
            </w:pPr>
          </w:p>
        </w:tc>
        <w:tc>
          <w:tcPr>
            <w:tcW w:w="964" w:type="dxa"/>
            <w:tcBorders>
              <w:top w:val="single" w:color="auto" w:sz="6" w:space="0"/>
              <w:left w:val="single" w:color="auto" w:sz="6" w:space="0"/>
              <w:bottom w:val="single" w:color="auto" w:sz="6" w:space="0"/>
              <w:right w:val="single" w:color="auto" w:sz="6" w:space="0"/>
            </w:tcBorders>
            <w:vAlign w:val="center"/>
          </w:tcPr>
          <w:p w14:paraId="4E73A65A">
            <w:pPr>
              <w:pStyle w:val="348"/>
              <w:rPr>
                <w:color w:val="auto"/>
              </w:rPr>
            </w:pPr>
            <w:r>
              <w:rPr>
                <w:rFonts w:hint="eastAsia"/>
                <w:color w:val="auto"/>
              </w:rPr>
              <w:t>H</w:t>
            </w:r>
            <w:r>
              <w:rPr>
                <w:rFonts w:hint="eastAsia"/>
                <w:color w:val="auto"/>
                <w:vertAlign w:val="subscript"/>
              </w:rPr>
              <w:t>2</w:t>
            </w:r>
            <w:r>
              <w:rPr>
                <w:rFonts w:hint="eastAsia"/>
                <w:color w:val="auto"/>
              </w:rPr>
              <w:t>S</w:t>
            </w:r>
          </w:p>
        </w:tc>
        <w:tc>
          <w:tcPr>
            <w:tcW w:w="1085" w:type="dxa"/>
            <w:tcBorders>
              <w:top w:val="single" w:color="auto" w:sz="6" w:space="0"/>
              <w:left w:val="single" w:color="auto" w:sz="6" w:space="0"/>
              <w:bottom w:val="single" w:color="auto" w:sz="6" w:space="0"/>
              <w:right w:val="single" w:color="auto" w:sz="6" w:space="0"/>
            </w:tcBorders>
            <w:vAlign w:val="center"/>
          </w:tcPr>
          <w:p w14:paraId="27A5A050">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 xml:space="preserve">0.0006 </w:t>
            </w:r>
          </w:p>
        </w:tc>
        <w:tc>
          <w:tcPr>
            <w:tcW w:w="1148" w:type="dxa"/>
            <w:vMerge w:val="continue"/>
            <w:tcBorders>
              <w:left w:val="single" w:color="auto" w:sz="6" w:space="0"/>
              <w:right w:val="single" w:color="auto" w:sz="6" w:space="0"/>
            </w:tcBorders>
            <w:vAlign w:val="center"/>
          </w:tcPr>
          <w:p w14:paraId="1ABE0329">
            <w:pPr>
              <w:pStyle w:val="348"/>
              <w:rPr>
                <w:color w:val="auto"/>
              </w:rPr>
            </w:pPr>
          </w:p>
        </w:tc>
        <w:tc>
          <w:tcPr>
            <w:tcW w:w="994" w:type="dxa"/>
            <w:vMerge w:val="continue"/>
            <w:tcBorders>
              <w:left w:val="single" w:color="auto" w:sz="6" w:space="0"/>
              <w:right w:val="single" w:color="auto" w:sz="6" w:space="0"/>
            </w:tcBorders>
            <w:vAlign w:val="center"/>
          </w:tcPr>
          <w:p w14:paraId="4938CF29">
            <w:pPr>
              <w:pStyle w:val="348"/>
              <w:rPr>
                <w:color w:val="auto"/>
              </w:rPr>
            </w:pPr>
          </w:p>
        </w:tc>
        <w:tc>
          <w:tcPr>
            <w:tcW w:w="975" w:type="dxa"/>
            <w:vMerge w:val="continue"/>
            <w:tcBorders>
              <w:left w:val="single" w:color="auto" w:sz="6" w:space="0"/>
              <w:right w:val="single" w:color="auto" w:sz="6" w:space="0"/>
            </w:tcBorders>
            <w:vAlign w:val="center"/>
          </w:tcPr>
          <w:p w14:paraId="6205A016">
            <w:pPr>
              <w:pStyle w:val="348"/>
              <w:rPr>
                <w:color w:val="auto"/>
              </w:rPr>
            </w:pPr>
          </w:p>
        </w:tc>
        <w:tc>
          <w:tcPr>
            <w:tcW w:w="735" w:type="dxa"/>
            <w:vMerge w:val="continue"/>
            <w:tcBorders>
              <w:left w:val="single" w:color="auto" w:sz="6" w:space="0"/>
              <w:right w:val="single" w:color="auto" w:sz="6" w:space="0"/>
            </w:tcBorders>
            <w:vAlign w:val="center"/>
          </w:tcPr>
          <w:p w14:paraId="53CE27BF">
            <w:pPr>
              <w:pStyle w:val="348"/>
              <w:rPr>
                <w:color w:val="auto"/>
              </w:rPr>
            </w:pPr>
          </w:p>
        </w:tc>
        <w:tc>
          <w:tcPr>
            <w:tcW w:w="912" w:type="dxa"/>
            <w:vMerge w:val="continue"/>
            <w:tcBorders>
              <w:left w:val="single" w:color="auto" w:sz="6" w:space="0"/>
              <w:right w:val="single" w:color="auto" w:sz="6" w:space="0"/>
            </w:tcBorders>
            <w:vAlign w:val="center"/>
          </w:tcPr>
          <w:p w14:paraId="35ADE7EB">
            <w:pPr>
              <w:pStyle w:val="348"/>
              <w:rPr>
                <w:color w:val="auto"/>
              </w:rPr>
            </w:pPr>
          </w:p>
        </w:tc>
        <w:tc>
          <w:tcPr>
            <w:tcW w:w="752" w:type="dxa"/>
            <w:vMerge w:val="continue"/>
            <w:tcBorders>
              <w:left w:val="single" w:color="auto" w:sz="6" w:space="0"/>
              <w:right w:val="single" w:color="auto" w:sz="4" w:space="0"/>
            </w:tcBorders>
            <w:vAlign w:val="center"/>
          </w:tcPr>
          <w:p w14:paraId="138F8A9F">
            <w:pPr>
              <w:pStyle w:val="348"/>
              <w:rPr>
                <w:color w:val="auto"/>
              </w:rPr>
            </w:pPr>
          </w:p>
        </w:tc>
      </w:tr>
      <w:tr w14:paraId="08EA141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79" w:hRule="atLeast"/>
          <w:jc w:val="center"/>
        </w:trPr>
        <w:tc>
          <w:tcPr>
            <w:tcW w:w="867" w:type="dxa"/>
            <w:vMerge w:val="continue"/>
            <w:tcBorders>
              <w:left w:val="single" w:color="auto" w:sz="6" w:space="0"/>
              <w:bottom w:val="single" w:color="auto" w:sz="6" w:space="0"/>
              <w:right w:val="single" w:color="auto" w:sz="6" w:space="0"/>
            </w:tcBorders>
            <w:vAlign w:val="center"/>
          </w:tcPr>
          <w:p w14:paraId="4988F3D8">
            <w:pPr>
              <w:pStyle w:val="348"/>
              <w:rPr>
                <w:color w:val="auto"/>
              </w:rPr>
            </w:pPr>
          </w:p>
        </w:tc>
        <w:tc>
          <w:tcPr>
            <w:tcW w:w="904" w:type="dxa"/>
            <w:vMerge w:val="continue"/>
            <w:tcBorders>
              <w:left w:val="single" w:color="auto" w:sz="6" w:space="0"/>
              <w:bottom w:val="single" w:color="auto" w:sz="6" w:space="0"/>
              <w:right w:val="single" w:color="auto" w:sz="6" w:space="0"/>
            </w:tcBorders>
            <w:vAlign w:val="center"/>
          </w:tcPr>
          <w:p w14:paraId="1BB39147">
            <w:pPr>
              <w:pStyle w:val="348"/>
              <w:rPr>
                <w:color w:val="auto"/>
              </w:rPr>
            </w:pPr>
          </w:p>
        </w:tc>
        <w:tc>
          <w:tcPr>
            <w:tcW w:w="964" w:type="dxa"/>
            <w:tcBorders>
              <w:top w:val="single" w:color="auto" w:sz="6" w:space="0"/>
              <w:left w:val="single" w:color="auto" w:sz="6" w:space="0"/>
              <w:bottom w:val="single" w:color="auto" w:sz="6" w:space="0"/>
              <w:right w:val="single" w:color="auto" w:sz="6" w:space="0"/>
            </w:tcBorders>
            <w:vAlign w:val="center"/>
          </w:tcPr>
          <w:p w14:paraId="2205965A">
            <w:pPr>
              <w:pStyle w:val="348"/>
              <w:rPr>
                <w:color w:val="auto"/>
              </w:rPr>
            </w:pPr>
            <w:r>
              <w:rPr>
                <w:rFonts w:hint="eastAsia"/>
                <w:color w:val="auto"/>
                <w:lang w:bidi="ar"/>
              </w:rPr>
              <w:t>非甲烷总烃</w:t>
            </w:r>
          </w:p>
        </w:tc>
        <w:tc>
          <w:tcPr>
            <w:tcW w:w="1085" w:type="dxa"/>
            <w:tcBorders>
              <w:top w:val="single" w:color="auto" w:sz="6" w:space="0"/>
              <w:left w:val="single" w:color="auto" w:sz="6" w:space="0"/>
              <w:bottom w:val="single" w:color="auto" w:sz="6" w:space="0"/>
              <w:right w:val="single" w:color="auto" w:sz="6" w:space="0"/>
            </w:tcBorders>
            <w:vAlign w:val="center"/>
          </w:tcPr>
          <w:p w14:paraId="0A383213">
            <w:pPr>
              <w:pStyle w:val="348"/>
              <w:rPr>
                <w:color w:val="auto"/>
              </w:rPr>
            </w:pPr>
            <w:r>
              <w:rPr>
                <w:rFonts w:hint="eastAsia"/>
                <w:color w:val="auto"/>
                <w:lang w:bidi="ar"/>
              </w:rPr>
              <w:t xml:space="preserve">0.0331 </w:t>
            </w:r>
          </w:p>
        </w:tc>
        <w:tc>
          <w:tcPr>
            <w:tcW w:w="1148" w:type="dxa"/>
            <w:vMerge w:val="continue"/>
            <w:tcBorders>
              <w:left w:val="single" w:color="auto" w:sz="6" w:space="0"/>
              <w:bottom w:val="single" w:color="auto" w:sz="6" w:space="0"/>
              <w:right w:val="single" w:color="auto" w:sz="6" w:space="0"/>
            </w:tcBorders>
            <w:vAlign w:val="center"/>
          </w:tcPr>
          <w:p w14:paraId="2DCAED0D">
            <w:pPr>
              <w:pStyle w:val="348"/>
              <w:rPr>
                <w:color w:val="auto"/>
              </w:rPr>
            </w:pPr>
          </w:p>
        </w:tc>
        <w:tc>
          <w:tcPr>
            <w:tcW w:w="994" w:type="dxa"/>
            <w:vMerge w:val="continue"/>
            <w:tcBorders>
              <w:left w:val="single" w:color="auto" w:sz="6" w:space="0"/>
              <w:bottom w:val="single" w:color="auto" w:sz="6" w:space="0"/>
              <w:right w:val="single" w:color="auto" w:sz="6" w:space="0"/>
            </w:tcBorders>
            <w:vAlign w:val="center"/>
          </w:tcPr>
          <w:p w14:paraId="2DBC0E31">
            <w:pPr>
              <w:pStyle w:val="348"/>
              <w:rPr>
                <w:color w:val="auto"/>
              </w:rPr>
            </w:pPr>
          </w:p>
        </w:tc>
        <w:tc>
          <w:tcPr>
            <w:tcW w:w="975" w:type="dxa"/>
            <w:vMerge w:val="continue"/>
            <w:tcBorders>
              <w:left w:val="single" w:color="auto" w:sz="6" w:space="0"/>
              <w:bottom w:val="single" w:color="auto" w:sz="6" w:space="0"/>
              <w:right w:val="single" w:color="auto" w:sz="6" w:space="0"/>
            </w:tcBorders>
            <w:vAlign w:val="center"/>
          </w:tcPr>
          <w:p w14:paraId="163777B3">
            <w:pPr>
              <w:pStyle w:val="348"/>
              <w:rPr>
                <w:color w:val="auto"/>
              </w:rPr>
            </w:pPr>
          </w:p>
        </w:tc>
        <w:tc>
          <w:tcPr>
            <w:tcW w:w="735" w:type="dxa"/>
            <w:vMerge w:val="continue"/>
            <w:tcBorders>
              <w:left w:val="single" w:color="auto" w:sz="6" w:space="0"/>
              <w:bottom w:val="single" w:color="auto" w:sz="6" w:space="0"/>
              <w:right w:val="single" w:color="auto" w:sz="6" w:space="0"/>
            </w:tcBorders>
            <w:vAlign w:val="center"/>
          </w:tcPr>
          <w:p w14:paraId="7403C687">
            <w:pPr>
              <w:pStyle w:val="348"/>
              <w:rPr>
                <w:color w:val="auto"/>
              </w:rPr>
            </w:pPr>
          </w:p>
        </w:tc>
        <w:tc>
          <w:tcPr>
            <w:tcW w:w="912" w:type="dxa"/>
            <w:vMerge w:val="continue"/>
            <w:tcBorders>
              <w:left w:val="single" w:color="auto" w:sz="6" w:space="0"/>
              <w:bottom w:val="single" w:color="auto" w:sz="6" w:space="0"/>
              <w:right w:val="single" w:color="auto" w:sz="6" w:space="0"/>
            </w:tcBorders>
            <w:vAlign w:val="center"/>
          </w:tcPr>
          <w:p w14:paraId="3B015D7F">
            <w:pPr>
              <w:pStyle w:val="348"/>
              <w:rPr>
                <w:color w:val="auto"/>
              </w:rPr>
            </w:pPr>
          </w:p>
        </w:tc>
        <w:tc>
          <w:tcPr>
            <w:tcW w:w="752" w:type="dxa"/>
            <w:vMerge w:val="continue"/>
            <w:tcBorders>
              <w:left w:val="single" w:color="auto" w:sz="6" w:space="0"/>
              <w:bottom w:val="single" w:color="auto" w:sz="6" w:space="0"/>
              <w:right w:val="single" w:color="auto" w:sz="4" w:space="0"/>
            </w:tcBorders>
            <w:vAlign w:val="center"/>
          </w:tcPr>
          <w:p w14:paraId="7F945F9B">
            <w:pPr>
              <w:pStyle w:val="348"/>
              <w:rPr>
                <w:color w:val="auto"/>
              </w:rPr>
            </w:pPr>
          </w:p>
        </w:tc>
      </w:tr>
    </w:tbl>
    <w:p w14:paraId="0CEABF62">
      <w:pPr>
        <w:pStyle w:val="684"/>
        <w:spacing w:before="72" w:line="360" w:lineRule="auto"/>
        <w:ind w:firstLine="480"/>
        <w:rPr>
          <w:bCs/>
          <w:color w:val="auto"/>
        </w:rPr>
      </w:pPr>
      <w:r>
        <w:rPr>
          <w:rFonts w:hint="eastAsia"/>
          <w:bCs/>
          <w:color w:val="auto"/>
        </w:rPr>
        <w:t>表</w:t>
      </w:r>
      <w:r>
        <w:rPr>
          <w:bCs/>
          <w:color w:val="auto"/>
        </w:rPr>
        <w:t xml:space="preserve">6.2-2   </w:t>
      </w:r>
      <w:r>
        <w:rPr>
          <w:rFonts w:hint="eastAsia"/>
          <w:color w:val="auto"/>
        </w:rPr>
        <w:t>正常工况</w:t>
      </w:r>
      <w:r>
        <w:rPr>
          <w:rFonts w:hint="eastAsia"/>
          <w:bCs/>
          <w:color w:val="auto"/>
        </w:rPr>
        <w:t>无组织排放的废气源强参数</w:t>
      </w:r>
    </w:p>
    <w:tbl>
      <w:tblPr>
        <w:tblStyle w:val="88"/>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1800"/>
        <w:gridCol w:w="2017"/>
        <w:gridCol w:w="1711"/>
        <w:gridCol w:w="1523"/>
      </w:tblGrid>
      <w:tr w14:paraId="63F4C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5" w:type="dxa"/>
            <w:vMerge w:val="restart"/>
            <w:vAlign w:val="center"/>
          </w:tcPr>
          <w:p w14:paraId="327C95B9">
            <w:pPr>
              <w:pStyle w:val="348"/>
              <w:rPr>
                <w:color w:val="auto"/>
              </w:rPr>
            </w:pPr>
            <w:r>
              <w:rPr>
                <w:rFonts w:hint="eastAsia"/>
                <w:color w:val="auto"/>
              </w:rPr>
              <w:t>污染源</w:t>
            </w:r>
          </w:p>
        </w:tc>
        <w:tc>
          <w:tcPr>
            <w:tcW w:w="1800" w:type="dxa"/>
            <w:vMerge w:val="restart"/>
            <w:vAlign w:val="center"/>
          </w:tcPr>
          <w:p w14:paraId="2A62E87F">
            <w:pPr>
              <w:pStyle w:val="348"/>
              <w:rPr>
                <w:color w:val="auto"/>
              </w:rPr>
            </w:pPr>
            <w:r>
              <w:rPr>
                <w:rFonts w:hint="eastAsia"/>
                <w:color w:val="auto"/>
              </w:rPr>
              <w:t>污染物</w:t>
            </w:r>
          </w:p>
        </w:tc>
        <w:tc>
          <w:tcPr>
            <w:tcW w:w="2017" w:type="dxa"/>
            <w:vMerge w:val="restart"/>
            <w:vAlign w:val="center"/>
          </w:tcPr>
          <w:p w14:paraId="01D5B471">
            <w:pPr>
              <w:pStyle w:val="348"/>
              <w:rPr>
                <w:color w:val="auto"/>
              </w:rPr>
            </w:pPr>
            <w:r>
              <w:rPr>
                <w:rFonts w:hint="eastAsia"/>
                <w:color w:val="auto"/>
              </w:rPr>
              <w:t>源强（kg/h）</w:t>
            </w:r>
          </w:p>
        </w:tc>
        <w:tc>
          <w:tcPr>
            <w:tcW w:w="1711" w:type="dxa"/>
            <w:vAlign w:val="center"/>
          </w:tcPr>
          <w:p w14:paraId="02696E52">
            <w:pPr>
              <w:pStyle w:val="348"/>
              <w:rPr>
                <w:color w:val="auto"/>
              </w:rPr>
            </w:pPr>
            <w:r>
              <w:rPr>
                <w:rFonts w:hint="eastAsia"/>
                <w:color w:val="auto"/>
              </w:rPr>
              <w:t>面源参数（m</w:t>
            </w:r>
            <w:r>
              <w:rPr>
                <w:rFonts w:hint="eastAsia"/>
                <w:color w:val="auto"/>
                <w:vertAlign w:val="superscript"/>
              </w:rPr>
              <w:t>2</w:t>
            </w:r>
            <w:r>
              <w:rPr>
                <w:rFonts w:hint="eastAsia"/>
                <w:color w:val="auto"/>
              </w:rPr>
              <w:t>）</w:t>
            </w:r>
          </w:p>
        </w:tc>
        <w:tc>
          <w:tcPr>
            <w:tcW w:w="1523" w:type="dxa"/>
            <w:vAlign w:val="center"/>
          </w:tcPr>
          <w:p w14:paraId="00EE3958">
            <w:pPr>
              <w:pStyle w:val="348"/>
              <w:rPr>
                <w:color w:val="auto"/>
              </w:rPr>
            </w:pPr>
            <w:r>
              <w:rPr>
                <w:rFonts w:hint="eastAsia"/>
                <w:color w:val="auto"/>
              </w:rPr>
              <w:t>面源参数（m）</w:t>
            </w:r>
          </w:p>
        </w:tc>
      </w:tr>
      <w:tr w14:paraId="27285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5" w:type="dxa"/>
            <w:vMerge w:val="continue"/>
            <w:vAlign w:val="center"/>
          </w:tcPr>
          <w:p w14:paraId="239EB300">
            <w:pPr>
              <w:pStyle w:val="348"/>
              <w:rPr>
                <w:color w:val="auto"/>
              </w:rPr>
            </w:pPr>
          </w:p>
        </w:tc>
        <w:tc>
          <w:tcPr>
            <w:tcW w:w="1800" w:type="dxa"/>
            <w:vMerge w:val="continue"/>
            <w:vAlign w:val="center"/>
          </w:tcPr>
          <w:p w14:paraId="01B1D18E">
            <w:pPr>
              <w:pStyle w:val="348"/>
              <w:rPr>
                <w:color w:val="auto"/>
              </w:rPr>
            </w:pPr>
          </w:p>
        </w:tc>
        <w:tc>
          <w:tcPr>
            <w:tcW w:w="2017" w:type="dxa"/>
            <w:vMerge w:val="continue"/>
            <w:vAlign w:val="center"/>
          </w:tcPr>
          <w:p w14:paraId="0F2BC888">
            <w:pPr>
              <w:pStyle w:val="348"/>
              <w:rPr>
                <w:color w:val="auto"/>
              </w:rPr>
            </w:pPr>
          </w:p>
        </w:tc>
        <w:tc>
          <w:tcPr>
            <w:tcW w:w="1711" w:type="dxa"/>
            <w:vAlign w:val="center"/>
          </w:tcPr>
          <w:p w14:paraId="36C296AC">
            <w:pPr>
              <w:pStyle w:val="348"/>
              <w:rPr>
                <w:color w:val="auto"/>
              </w:rPr>
            </w:pPr>
            <w:r>
              <w:rPr>
                <w:rFonts w:hint="eastAsia"/>
                <w:color w:val="auto"/>
              </w:rPr>
              <w:t>面积</w:t>
            </w:r>
          </w:p>
        </w:tc>
        <w:tc>
          <w:tcPr>
            <w:tcW w:w="1523" w:type="dxa"/>
            <w:vAlign w:val="center"/>
          </w:tcPr>
          <w:p w14:paraId="295B8B96">
            <w:pPr>
              <w:pStyle w:val="348"/>
              <w:rPr>
                <w:color w:val="auto"/>
              </w:rPr>
            </w:pPr>
            <w:r>
              <w:rPr>
                <w:rFonts w:hint="eastAsia"/>
                <w:color w:val="auto"/>
              </w:rPr>
              <w:t>高</w:t>
            </w:r>
          </w:p>
        </w:tc>
      </w:tr>
      <w:tr w14:paraId="27E46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2235" w:type="dxa"/>
            <w:vMerge w:val="restart"/>
            <w:vAlign w:val="center"/>
          </w:tcPr>
          <w:p w14:paraId="53889AEE">
            <w:pPr>
              <w:pStyle w:val="348"/>
              <w:rPr>
                <w:color w:val="auto"/>
              </w:rPr>
            </w:pPr>
            <w:r>
              <w:rPr>
                <w:rFonts w:hint="eastAsia"/>
                <w:color w:val="auto"/>
              </w:rPr>
              <w:t>项目无组织排放源</w:t>
            </w:r>
          </w:p>
        </w:tc>
        <w:tc>
          <w:tcPr>
            <w:tcW w:w="1800" w:type="dxa"/>
            <w:vAlign w:val="center"/>
          </w:tcPr>
          <w:p w14:paraId="469F54CB">
            <w:pPr>
              <w:pStyle w:val="348"/>
              <w:rPr>
                <w:color w:val="auto"/>
              </w:rPr>
            </w:pPr>
            <w:r>
              <w:rPr>
                <w:rFonts w:hint="eastAsia"/>
                <w:color w:val="auto"/>
              </w:rPr>
              <w:t>NH</w:t>
            </w:r>
            <w:r>
              <w:rPr>
                <w:rFonts w:hint="eastAsia"/>
                <w:color w:val="auto"/>
                <w:vertAlign w:val="subscript"/>
              </w:rPr>
              <w:t>3</w:t>
            </w:r>
          </w:p>
        </w:tc>
        <w:tc>
          <w:tcPr>
            <w:tcW w:w="2017" w:type="dxa"/>
            <w:vAlign w:val="center"/>
          </w:tcPr>
          <w:p w14:paraId="68A08C1F">
            <w:pPr>
              <w:pStyle w:val="348"/>
              <w:rPr>
                <w:color w:val="auto"/>
              </w:rPr>
            </w:pPr>
            <w:r>
              <w:rPr>
                <w:rFonts w:hint="eastAsia"/>
                <w:color w:val="auto"/>
              </w:rPr>
              <w:t>0.00</w:t>
            </w:r>
            <w:r>
              <w:rPr>
                <w:rFonts w:hint="eastAsia"/>
                <w:color w:val="auto"/>
                <w:lang w:val="en-US"/>
              </w:rPr>
              <w:t>1</w:t>
            </w:r>
          </w:p>
        </w:tc>
        <w:tc>
          <w:tcPr>
            <w:tcW w:w="1711" w:type="dxa"/>
            <w:vMerge w:val="restart"/>
            <w:vAlign w:val="center"/>
          </w:tcPr>
          <w:p w14:paraId="2AF03614">
            <w:pPr>
              <w:pStyle w:val="348"/>
              <w:rPr>
                <w:color w:val="auto"/>
              </w:rPr>
            </w:pPr>
            <w:r>
              <w:rPr>
                <w:rFonts w:hint="eastAsia"/>
                <w:color w:val="auto"/>
                <w:lang w:val="en-US" w:eastAsia="zh-CN"/>
              </w:rPr>
              <w:t>2790(90</w:t>
            </w:r>
            <w:r>
              <w:rPr>
                <w:rFonts w:hint="eastAsia"/>
                <w:color w:val="auto"/>
              </w:rPr>
              <w:t>×</w:t>
            </w:r>
            <w:r>
              <w:rPr>
                <w:rFonts w:hint="eastAsia"/>
                <w:color w:val="auto"/>
                <w:lang w:val="en-US" w:eastAsia="zh-CN"/>
              </w:rPr>
              <w:t>31)</w:t>
            </w:r>
          </w:p>
        </w:tc>
        <w:tc>
          <w:tcPr>
            <w:tcW w:w="1523" w:type="dxa"/>
            <w:vMerge w:val="restart"/>
            <w:vAlign w:val="center"/>
          </w:tcPr>
          <w:p w14:paraId="2E6F9C97">
            <w:pPr>
              <w:pStyle w:val="348"/>
              <w:rPr>
                <w:rFonts w:hint="default" w:eastAsia="宋体"/>
                <w:color w:val="auto"/>
                <w:lang w:val="en-US" w:eastAsia="zh-CN"/>
              </w:rPr>
            </w:pPr>
            <w:r>
              <w:rPr>
                <w:rFonts w:hint="eastAsia"/>
                <w:color w:val="auto"/>
              </w:rPr>
              <w:t>5</w:t>
            </w:r>
            <w:r>
              <w:rPr>
                <w:rFonts w:hint="eastAsia"/>
                <w:color w:val="auto"/>
                <w:lang w:val="en-US" w:eastAsia="zh-CN"/>
              </w:rPr>
              <w:t>.5</w:t>
            </w:r>
          </w:p>
        </w:tc>
      </w:tr>
      <w:tr w14:paraId="2BBEB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2235" w:type="dxa"/>
            <w:vMerge w:val="continue"/>
            <w:vAlign w:val="center"/>
          </w:tcPr>
          <w:p w14:paraId="0EA808D8">
            <w:pPr>
              <w:pStyle w:val="348"/>
              <w:rPr>
                <w:color w:val="auto"/>
              </w:rPr>
            </w:pPr>
          </w:p>
        </w:tc>
        <w:tc>
          <w:tcPr>
            <w:tcW w:w="1800" w:type="dxa"/>
            <w:vAlign w:val="center"/>
          </w:tcPr>
          <w:p w14:paraId="2FD85C6D">
            <w:pPr>
              <w:pStyle w:val="348"/>
              <w:rPr>
                <w:color w:val="auto"/>
              </w:rPr>
            </w:pPr>
            <w:r>
              <w:rPr>
                <w:rFonts w:hint="eastAsia"/>
                <w:color w:val="auto"/>
              </w:rPr>
              <w:t>H</w:t>
            </w:r>
            <w:r>
              <w:rPr>
                <w:rFonts w:hint="eastAsia"/>
                <w:color w:val="auto"/>
                <w:vertAlign w:val="subscript"/>
              </w:rPr>
              <w:t>2</w:t>
            </w:r>
            <w:r>
              <w:rPr>
                <w:rFonts w:hint="eastAsia"/>
                <w:color w:val="auto"/>
              </w:rPr>
              <w:t>S</w:t>
            </w:r>
          </w:p>
        </w:tc>
        <w:tc>
          <w:tcPr>
            <w:tcW w:w="2017" w:type="dxa"/>
            <w:vAlign w:val="center"/>
          </w:tcPr>
          <w:p w14:paraId="142C6518">
            <w:pPr>
              <w:pStyle w:val="348"/>
              <w:rPr>
                <w:color w:val="auto"/>
              </w:rPr>
            </w:pPr>
            <w:r>
              <w:rPr>
                <w:rFonts w:hint="eastAsia"/>
                <w:color w:val="auto"/>
              </w:rPr>
              <w:t>0.000</w:t>
            </w:r>
            <w:r>
              <w:rPr>
                <w:rFonts w:hint="eastAsia"/>
                <w:color w:val="auto"/>
                <w:lang w:val="en-US"/>
              </w:rPr>
              <w:t>2</w:t>
            </w:r>
          </w:p>
        </w:tc>
        <w:tc>
          <w:tcPr>
            <w:tcW w:w="1711" w:type="dxa"/>
            <w:vMerge w:val="continue"/>
            <w:vAlign w:val="center"/>
          </w:tcPr>
          <w:p w14:paraId="62A598D8">
            <w:pPr>
              <w:widowControl/>
              <w:adjustRightInd/>
              <w:snapToGrid/>
              <w:spacing w:line="240" w:lineRule="auto"/>
              <w:ind w:firstLine="0" w:firstLineChars="0"/>
              <w:jc w:val="left"/>
              <w:rPr>
                <w:color w:val="auto"/>
                <w:kern w:val="0"/>
                <w:sz w:val="21"/>
                <w:szCs w:val="21"/>
                <w:lang w:val="zh-CN"/>
              </w:rPr>
            </w:pPr>
          </w:p>
        </w:tc>
        <w:tc>
          <w:tcPr>
            <w:tcW w:w="1523" w:type="dxa"/>
            <w:vMerge w:val="continue"/>
            <w:vAlign w:val="center"/>
          </w:tcPr>
          <w:p w14:paraId="27117530">
            <w:pPr>
              <w:widowControl/>
              <w:adjustRightInd/>
              <w:snapToGrid/>
              <w:spacing w:line="240" w:lineRule="auto"/>
              <w:ind w:firstLine="0" w:firstLineChars="0"/>
              <w:jc w:val="left"/>
              <w:rPr>
                <w:color w:val="auto"/>
                <w:kern w:val="0"/>
                <w:sz w:val="21"/>
                <w:szCs w:val="21"/>
                <w:lang w:val="zh-CN"/>
              </w:rPr>
            </w:pPr>
          </w:p>
        </w:tc>
      </w:tr>
      <w:tr w14:paraId="2EE3F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2235" w:type="dxa"/>
            <w:vMerge w:val="continue"/>
            <w:vAlign w:val="center"/>
          </w:tcPr>
          <w:p w14:paraId="62DBBBB9">
            <w:pPr>
              <w:pStyle w:val="348"/>
              <w:rPr>
                <w:color w:val="auto"/>
              </w:rPr>
            </w:pPr>
          </w:p>
        </w:tc>
        <w:tc>
          <w:tcPr>
            <w:tcW w:w="1800" w:type="dxa"/>
            <w:vAlign w:val="center"/>
          </w:tcPr>
          <w:p w14:paraId="476A6BD1">
            <w:pPr>
              <w:pStyle w:val="348"/>
              <w:rPr>
                <w:color w:val="auto"/>
              </w:rPr>
            </w:pPr>
            <w:r>
              <w:rPr>
                <w:rFonts w:hint="eastAsia"/>
                <w:color w:val="auto"/>
                <w:lang w:bidi="ar"/>
              </w:rPr>
              <w:t>非甲烷总烃</w:t>
            </w:r>
          </w:p>
        </w:tc>
        <w:tc>
          <w:tcPr>
            <w:tcW w:w="2017" w:type="dxa"/>
            <w:vAlign w:val="center"/>
          </w:tcPr>
          <w:p w14:paraId="73FA9A6A">
            <w:pPr>
              <w:pStyle w:val="348"/>
              <w:rPr>
                <w:color w:val="auto"/>
              </w:rPr>
            </w:pPr>
            <w:r>
              <w:rPr>
                <w:rFonts w:hint="eastAsia"/>
                <w:color w:val="auto"/>
              </w:rPr>
              <w:t>0.009</w:t>
            </w:r>
          </w:p>
        </w:tc>
        <w:tc>
          <w:tcPr>
            <w:tcW w:w="1711" w:type="dxa"/>
            <w:vMerge w:val="continue"/>
            <w:vAlign w:val="center"/>
          </w:tcPr>
          <w:p w14:paraId="295D329D">
            <w:pPr>
              <w:widowControl/>
              <w:adjustRightInd/>
              <w:snapToGrid/>
              <w:spacing w:line="240" w:lineRule="auto"/>
              <w:ind w:firstLine="0" w:firstLineChars="0"/>
              <w:jc w:val="left"/>
              <w:rPr>
                <w:color w:val="auto"/>
                <w:kern w:val="0"/>
                <w:sz w:val="21"/>
                <w:szCs w:val="21"/>
                <w:lang w:val="zh-CN"/>
              </w:rPr>
            </w:pPr>
          </w:p>
        </w:tc>
        <w:tc>
          <w:tcPr>
            <w:tcW w:w="1523" w:type="dxa"/>
            <w:vMerge w:val="continue"/>
            <w:vAlign w:val="center"/>
          </w:tcPr>
          <w:p w14:paraId="1B59A4AD">
            <w:pPr>
              <w:widowControl/>
              <w:adjustRightInd/>
              <w:snapToGrid/>
              <w:spacing w:line="240" w:lineRule="auto"/>
              <w:ind w:firstLine="0" w:firstLineChars="0"/>
              <w:jc w:val="left"/>
              <w:rPr>
                <w:color w:val="auto"/>
                <w:kern w:val="0"/>
                <w:sz w:val="21"/>
                <w:szCs w:val="21"/>
                <w:lang w:val="zh-CN"/>
              </w:rPr>
            </w:pPr>
          </w:p>
        </w:tc>
      </w:tr>
    </w:tbl>
    <w:p w14:paraId="2E88C3AD">
      <w:pPr>
        <w:spacing w:line="360" w:lineRule="auto"/>
        <w:ind w:firstLine="480"/>
        <w:rPr>
          <w:color w:val="auto"/>
        </w:rPr>
      </w:pPr>
    </w:p>
    <w:p w14:paraId="621BD515">
      <w:pPr>
        <w:spacing w:line="360" w:lineRule="auto"/>
        <w:ind w:firstLine="480"/>
        <w:rPr>
          <w:color w:val="auto"/>
        </w:rPr>
      </w:pPr>
      <w:r>
        <w:rPr>
          <w:rFonts w:hint="eastAsia"/>
          <w:color w:val="auto"/>
        </w:rPr>
        <w:t>（2）估算结果</w:t>
      </w:r>
    </w:p>
    <w:p w14:paraId="1F2B1043">
      <w:pPr>
        <w:pStyle w:val="151"/>
        <w:spacing w:line="360" w:lineRule="auto"/>
        <w:ind w:firstLine="480"/>
        <w:rPr>
          <w:color w:val="auto"/>
        </w:rPr>
      </w:pPr>
      <w:r>
        <w:rPr>
          <w:rFonts w:hint="eastAsia"/>
          <w:color w:val="auto"/>
        </w:rPr>
        <w:t>项目主要污染源估算模型计算结果详见下表</w:t>
      </w:r>
      <w:r>
        <w:rPr>
          <w:color w:val="auto"/>
        </w:rPr>
        <w:t>6.2-3</w:t>
      </w:r>
      <w:r>
        <w:rPr>
          <w:rFonts w:hint="eastAsia"/>
          <w:color w:val="auto"/>
        </w:rPr>
        <w:t>。</w:t>
      </w:r>
    </w:p>
    <w:p w14:paraId="5B5AED35">
      <w:pPr>
        <w:pStyle w:val="684"/>
        <w:spacing w:before="72" w:line="360" w:lineRule="auto"/>
        <w:ind w:firstLine="480"/>
        <w:rPr>
          <w:color w:val="auto"/>
        </w:rPr>
      </w:pPr>
      <w:r>
        <w:rPr>
          <w:rFonts w:hint="eastAsia"/>
          <w:bCs/>
          <w:color w:val="auto"/>
        </w:rPr>
        <w:t>表</w:t>
      </w:r>
      <w:r>
        <w:rPr>
          <w:bCs/>
          <w:color w:val="auto"/>
        </w:rPr>
        <w:t xml:space="preserve">6.2-3  </w:t>
      </w:r>
      <w:r>
        <w:rPr>
          <w:rFonts w:hint="eastAsia"/>
          <w:bCs/>
          <w:color w:val="auto"/>
        </w:rPr>
        <w:t>主要污染源估算模型计算结果表</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0"/>
        <w:gridCol w:w="1349"/>
        <w:gridCol w:w="1858"/>
        <w:gridCol w:w="2027"/>
        <w:gridCol w:w="1852"/>
      </w:tblGrid>
      <w:tr w14:paraId="1F9D8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pct"/>
            <w:tcBorders>
              <w:top w:val="single" w:color="auto" w:sz="4" w:space="0"/>
              <w:left w:val="single" w:color="auto" w:sz="4" w:space="0"/>
              <w:bottom w:val="single" w:color="auto" w:sz="4" w:space="0"/>
              <w:right w:val="single" w:color="auto" w:sz="4" w:space="0"/>
            </w:tcBorders>
            <w:vAlign w:val="center"/>
          </w:tcPr>
          <w:p w14:paraId="58482CB6">
            <w:pPr>
              <w:pStyle w:val="348"/>
              <w:rPr>
                <w:color w:val="auto"/>
              </w:rPr>
            </w:pPr>
            <w:r>
              <w:rPr>
                <w:rFonts w:hint="eastAsia"/>
                <w:color w:val="auto"/>
              </w:rPr>
              <w:t>污染源</w:t>
            </w:r>
          </w:p>
        </w:tc>
        <w:tc>
          <w:tcPr>
            <w:tcW w:w="726" w:type="pct"/>
            <w:tcBorders>
              <w:top w:val="single" w:color="auto" w:sz="4" w:space="0"/>
              <w:left w:val="single" w:color="auto" w:sz="4" w:space="0"/>
              <w:bottom w:val="single" w:color="auto" w:sz="4" w:space="0"/>
              <w:right w:val="single" w:color="auto" w:sz="4" w:space="0"/>
            </w:tcBorders>
            <w:vAlign w:val="center"/>
          </w:tcPr>
          <w:p w14:paraId="4CF157ED">
            <w:pPr>
              <w:pStyle w:val="348"/>
              <w:rPr>
                <w:color w:val="auto"/>
              </w:rPr>
            </w:pPr>
            <w:r>
              <w:rPr>
                <w:rFonts w:hint="eastAsia"/>
                <w:color w:val="auto"/>
              </w:rPr>
              <w:t>污染物</w:t>
            </w:r>
          </w:p>
        </w:tc>
        <w:tc>
          <w:tcPr>
            <w:tcW w:w="1000" w:type="pct"/>
            <w:tcBorders>
              <w:top w:val="single" w:color="auto" w:sz="4" w:space="0"/>
              <w:left w:val="single" w:color="auto" w:sz="4" w:space="0"/>
              <w:bottom w:val="single" w:color="auto" w:sz="4" w:space="0"/>
              <w:right w:val="single" w:color="auto" w:sz="4" w:space="0"/>
            </w:tcBorders>
            <w:vAlign w:val="center"/>
          </w:tcPr>
          <w:p w14:paraId="05F2F1F6">
            <w:pPr>
              <w:pStyle w:val="348"/>
              <w:rPr>
                <w:color w:val="auto"/>
              </w:rPr>
            </w:pPr>
            <w:r>
              <w:rPr>
                <w:rFonts w:hint="eastAsia"/>
                <w:color w:val="auto"/>
              </w:rPr>
              <w:t>最大占标率%</w:t>
            </w:r>
          </w:p>
        </w:tc>
        <w:tc>
          <w:tcPr>
            <w:tcW w:w="1091" w:type="pct"/>
            <w:tcBorders>
              <w:top w:val="single" w:color="auto" w:sz="4" w:space="0"/>
              <w:left w:val="single" w:color="auto" w:sz="4" w:space="0"/>
              <w:bottom w:val="single" w:color="auto" w:sz="4" w:space="0"/>
              <w:right w:val="single" w:color="auto" w:sz="4" w:space="0"/>
            </w:tcBorders>
            <w:vAlign w:val="center"/>
          </w:tcPr>
          <w:p w14:paraId="1CEC3D50">
            <w:pPr>
              <w:pStyle w:val="348"/>
              <w:rPr>
                <w:color w:val="auto"/>
              </w:rPr>
            </w:pPr>
            <w:r>
              <w:rPr>
                <w:rFonts w:hint="eastAsia"/>
                <w:color w:val="auto"/>
              </w:rPr>
              <w:t>最大落地浓度mg/m</w:t>
            </w:r>
            <w:r>
              <w:rPr>
                <w:rFonts w:hint="eastAsia"/>
                <w:color w:val="auto"/>
                <w:vertAlign w:val="superscript"/>
              </w:rPr>
              <w:t>3</w:t>
            </w:r>
          </w:p>
        </w:tc>
        <w:tc>
          <w:tcPr>
            <w:tcW w:w="997" w:type="pct"/>
            <w:tcBorders>
              <w:top w:val="single" w:color="auto" w:sz="4" w:space="0"/>
              <w:left w:val="single" w:color="auto" w:sz="4" w:space="0"/>
              <w:bottom w:val="single" w:color="auto" w:sz="4" w:space="0"/>
              <w:right w:val="single" w:color="auto" w:sz="4" w:space="0"/>
            </w:tcBorders>
            <w:vAlign w:val="center"/>
          </w:tcPr>
          <w:p w14:paraId="387D5384">
            <w:pPr>
              <w:pStyle w:val="348"/>
              <w:rPr>
                <w:color w:val="auto"/>
              </w:rPr>
            </w:pPr>
            <w:r>
              <w:rPr>
                <w:rFonts w:hint="eastAsia"/>
                <w:color w:val="auto"/>
              </w:rPr>
              <w:t>D</w:t>
            </w:r>
            <w:r>
              <w:rPr>
                <w:rFonts w:hint="eastAsia"/>
                <w:color w:val="auto"/>
                <w:vertAlign w:val="subscript"/>
              </w:rPr>
              <w:t>10%</w:t>
            </w:r>
            <w:r>
              <w:rPr>
                <w:rFonts w:hint="eastAsia"/>
                <w:color w:val="auto"/>
                <w:vertAlign w:val="subscript"/>
                <w:lang w:eastAsia="zh-CN"/>
              </w:rPr>
              <w:t>(</w:t>
            </w:r>
            <w:r>
              <w:rPr>
                <w:rFonts w:hint="eastAsia"/>
                <w:color w:val="auto"/>
              </w:rPr>
              <w:t>m</w:t>
            </w:r>
            <w:r>
              <w:rPr>
                <w:rFonts w:hint="eastAsia"/>
                <w:color w:val="auto"/>
                <w:lang w:eastAsia="zh-CN"/>
              </w:rPr>
              <w:t>)</w:t>
            </w:r>
          </w:p>
        </w:tc>
      </w:tr>
      <w:tr w14:paraId="0C0E0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185" w:type="pct"/>
            <w:vMerge w:val="restart"/>
            <w:tcBorders>
              <w:top w:val="single" w:color="auto" w:sz="4" w:space="0"/>
              <w:left w:val="single" w:color="auto" w:sz="4" w:space="0"/>
              <w:right w:val="single" w:color="auto" w:sz="4" w:space="0"/>
            </w:tcBorders>
            <w:vAlign w:val="center"/>
          </w:tcPr>
          <w:p w14:paraId="4E950865">
            <w:pPr>
              <w:pStyle w:val="348"/>
              <w:rPr>
                <w:color w:val="auto"/>
              </w:rPr>
            </w:pPr>
            <w:r>
              <w:rPr>
                <w:rFonts w:hint="eastAsia"/>
                <w:color w:val="auto"/>
              </w:rPr>
              <w:t>DA001排气筒</w:t>
            </w:r>
          </w:p>
        </w:tc>
        <w:tc>
          <w:tcPr>
            <w:tcW w:w="726" w:type="pct"/>
            <w:tcBorders>
              <w:top w:val="single" w:color="auto" w:sz="4" w:space="0"/>
              <w:left w:val="single" w:color="auto" w:sz="4" w:space="0"/>
              <w:bottom w:val="single" w:color="auto" w:sz="4" w:space="0"/>
              <w:right w:val="single" w:color="auto" w:sz="4" w:space="0"/>
            </w:tcBorders>
            <w:vAlign w:val="center"/>
          </w:tcPr>
          <w:p w14:paraId="7D9F7206">
            <w:pPr>
              <w:pStyle w:val="348"/>
              <w:rPr>
                <w:color w:val="auto"/>
              </w:rPr>
            </w:pPr>
            <w:r>
              <w:rPr>
                <w:rFonts w:hint="eastAsia"/>
                <w:color w:val="auto"/>
              </w:rPr>
              <w:t>NH</w:t>
            </w:r>
            <w:r>
              <w:rPr>
                <w:rFonts w:hint="eastAsia"/>
                <w:color w:val="auto"/>
                <w:vertAlign w:val="subscript"/>
              </w:rPr>
              <w:t>3</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14:paraId="16941654">
            <w:pPr>
              <w:pStyle w:val="348"/>
              <w:rPr>
                <w:color w:val="auto"/>
              </w:rPr>
            </w:pPr>
            <w:r>
              <w:rPr>
                <w:rFonts w:hint="eastAsia"/>
                <w:color w:val="auto"/>
              </w:rPr>
              <w:t>0.74</w:t>
            </w:r>
          </w:p>
        </w:tc>
        <w:tc>
          <w:tcPr>
            <w:tcW w:w="1091" w:type="pct"/>
            <w:tcBorders>
              <w:top w:val="single" w:color="auto" w:sz="4" w:space="0"/>
              <w:left w:val="single" w:color="auto" w:sz="4" w:space="0"/>
              <w:bottom w:val="single" w:color="auto" w:sz="4" w:space="0"/>
              <w:right w:val="single" w:color="auto" w:sz="4" w:space="0"/>
            </w:tcBorders>
            <w:shd w:val="clear" w:color="auto" w:fill="auto"/>
            <w:vAlign w:val="center"/>
          </w:tcPr>
          <w:p w14:paraId="66234A70">
            <w:pPr>
              <w:pStyle w:val="348"/>
              <w:rPr>
                <w:color w:val="auto"/>
              </w:rPr>
            </w:pPr>
            <w:r>
              <w:rPr>
                <w:rFonts w:hint="eastAsia"/>
                <w:color w:val="auto"/>
              </w:rPr>
              <w:t>6.29E-04</w:t>
            </w:r>
          </w:p>
        </w:tc>
        <w:tc>
          <w:tcPr>
            <w:tcW w:w="997" w:type="pct"/>
            <w:vMerge w:val="restart"/>
            <w:tcBorders>
              <w:top w:val="single" w:color="auto" w:sz="4" w:space="0"/>
              <w:left w:val="single" w:color="auto" w:sz="4" w:space="0"/>
              <w:right w:val="single" w:color="auto" w:sz="4" w:space="0"/>
            </w:tcBorders>
            <w:vAlign w:val="center"/>
          </w:tcPr>
          <w:p w14:paraId="357F6E66">
            <w:pPr>
              <w:pStyle w:val="348"/>
              <w:rPr>
                <w:color w:val="auto"/>
              </w:rPr>
            </w:pPr>
            <w:r>
              <w:rPr>
                <w:rFonts w:hint="eastAsia"/>
                <w:color w:val="auto"/>
              </w:rPr>
              <w:t>0</w:t>
            </w:r>
          </w:p>
        </w:tc>
      </w:tr>
      <w:tr w14:paraId="1904F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pct"/>
            <w:vMerge w:val="continue"/>
            <w:tcBorders>
              <w:left w:val="single" w:color="auto" w:sz="4" w:space="0"/>
              <w:right w:val="single" w:color="auto" w:sz="4" w:space="0"/>
            </w:tcBorders>
            <w:vAlign w:val="center"/>
          </w:tcPr>
          <w:p w14:paraId="7E14237C">
            <w:pPr>
              <w:pStyle w:val="348"/>
              <w:rPr>
                <w:color w:val="auto"/>
              </w:rPr>
            </w:pPr>
          </w:p>
        </w:tc>
        <w:tc>
          <w:tcPr>
            <w:tcW w:w="726" w:type="pct"/>
            <w:tcBorders>
              <w:top w:val="single" w:color="auto" w:sz="4" w:space="0"/>
              <w:left w:val="single" w:color="auto" w:sz="4" w:space="0"/>
              <w:bottom w:val="single" w:color="auto" w:sz="4" w:space="0"/>
              <w:right w:val="single" w:color="auto" w:sz="4" w:space="0"/>
            </w:tcBorders>
            <w:vAlign w:val="center"/>
          </w:tcPr>
          <w:p w14:paraId="6EB5CA74">
            <w:pPr>
              <w:pStyle w:val="348"/>
              <w:rPr>
                <w:color w:val="auto"/>
              </w:rPr>
            </w:pPr>
            <w:r>
              <w:rPr>
                <w:rFonts w:hint="eastAsia"/>
                <w:color w:val="auto"/>
              </w:rPr>
              <w:t>H</w:t>
            </w:r>
            <w:r>
              <w:rPr>
                <w:rFonts w:hint="eastAsia"/>
                <w:color w:val="auto"/>
                <w:vertAlign w:val="subscript"/>
              </w:rPr>
              <w:t>2</w:t>
            </w:r>
            <w:r>
              <w:rPr>
                <w:rFonts w:hint="eastAsia"/>
                <w:color w:val="auto"/>
              </w:rPr>
              <w:t>S</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14:paraId="223A3BBD">
            <w:pPr>
              <w:pStyle w:val="348"/>
              <w:rPr>
                <w:color w:val="auto"/>
              </w:rPr>
            </w:pPr>
            <w:r>
              <w:rPr>
                <w:rFonts w:hint="eastAsia"/>
                <w:color w:val="auto"/>
              </w:rPr>
              <w:t>0.08</w:t>
            </w:r>
          </w:p>
        </w:tc>
        <w:tc>
          <w:tcPr>
            <w:tcW w:w="1091" w:type="pct"/>
            <w:tcBorders>
              <w:top w:val="single" w:color="auto" w:sz="4" w:space="0"/>
              <w:left w:val="single" w:color="auto" w:sz="4" w:space="0"/>
              <w:bottom w:val="single" w:color="auto" w:sz="4" w:space="0"/>
              <w:right w:val="single" w:color="auto" w:sz="4" w:space="0"/>
            </w:tcBorders>
            <w:shd w:val="clear" w:color="auto" w:fill="auto"/>
            <w:vAlign w:val="center"/>
          </w:tcPr>
          <w:p w14:paraId="32CC65F4">
            <w:pPr>
              <w:pStyle w:val="348"/>
              <w:rPr>
                <w:color w:val="auto"/>
              </w:rPr>
            </w:pPr>
            <w:r>
              <w:rPr>
                <w:rFonts w:hint="eastAsia"/>
                <w:color w:val="auto"/>
              </w:rPr>
              <w:t>7.40E-05</w:t>
            </w:r>
          </w:p>
        </w:tc>
        <w:tc>
          <w:tcPr>
            <w:tcW w:w="997" w:type="pct"/>
            <w:vMerge w:val="continue"/>
            <w:tcBorders>
              <w:left w:val="single" w:color="auto" w:sz="4" w:space="0"/>
              <w:right w:val="single" w:color="auto" w:sz="4" w:space="0"/>
            </w:tcBorders>
            <w:vAlign w:val="center"/>
          </w:tcPr>
          <w:p w14:paraId="275E8AA5">
            <w:pPr>
              <w:pStyle w:val="348"/>
              <w:rPr>
                <w:color w:val="auto"/>
              </w:rPr>
            </w:pPr>
          </w:p>
        </w:tc>
      </w:tr>
      <w:tr w14:paraId="71B7F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pct"/>
            <w:vMerge w:val="continue"/>
            <w:tcBorders>
              <w:left w:val="single" w:color="auto" w:sz="4" w:space="0"/>
              <w:bottom w:val="single" w:color="auto" w:sz="4" w:space="0"/>
              <w:right w:val="single" w:color="auto" w:sz="4" w:space="0"/>
            </w:tcBorders>
            <w:vAlign w:val="center"/>
          </w:tcPr>
          <w:p w14:paraId="4EA4F8EE">
            <w:pPr>
              <w:pStyle w:val="348"/>
              <w:rPr>
                <w:color w:val="auto"/>
              </w:rPr>
            </w:pPr>
          </w:p>
        </w:tc>
        <w:tc>
          <w:tcPr>
            <w:tcW w:w="726" w:type="pct"/>
            <w:tcBorders>
              <w:top w:val="single" w:color="auto" w:sz="4" w:space="0"/>
              <w:left w:val="single" w:color="auto" w:sz="4" w:space="0"/>
              <w:bottom w:val="single" w:color="auto" w:sz="4" w:space="0"/>
              <w:right w:val="single" w:color="auto" w:sz="4" w:space="0"/>
            </w:tcBorders>
            <w:vAlign w:val="center"/>
          </w:tcPr>
          <w:p w14:paraId="3D029AD2">
            <w:pPr>
              <w:pStyle w:val="348"/>
              <w:rPr>
                <w:color w:val="auto"/>
              </w:rPr>
            </w:pPr>
            <w:r>
              <w:rPr>
                <w:rFonts w:hint="eastAsia"/>
                <w:color w:val="auto"/>
              </w:rPr>
              <w:t>非甲烷总烃</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14:paraId="39D98F70">
            <w:pPr>
              <w:pStyle w:val="348"/>
              <w:rPr>
                <w:color w:val="auto"/>
              </w:rPr>
            </w:pPr>
            <w:r>
              <w:rPr>
                <w:rFonts w:hint="eastAsia"/>
                <w:color w:val="auto"/>
              </w:rPr>
              <w:t>0.20</w:t>
            </w:r>
          </w:p>
        </w:tc>
        <w:tc>
          <w:tcPr>
            <w:tcW w:w="1091" w:type="pct"/>
            <w:tcBorders>
              <w:top w:val="single" w:color="auto" w:sz="4" w:space="0"/>
              <w:left w:val="single" w:color="auto" w:sz="4" w:space="0"/>
              <w:bottom w:val="single" w:color="auto" w:sz="4" w:space="0"/>
              <w:right w:val="single" w:color="auto" w:sz="4" w:space="0"/>
            </w:tcBorders>
            <w:shd w:val="clear" w:color="auto" w:fill="auto"/>
            <w:vAlign w:val="center"/>
          </w:tcPr>
          <w:p w14:paraId="28A38409">
            <w:pPr>
              <w:pStyle w:val="348"/>
              <w:rPr>
                <w:color w:val="auto"/>
              </w:rPr>
            </w:pPr>
            <w:r>
              <w:rPr>
                <w:rFonts w:hint="eastAsia"/>
                <w:color w:val="auto"/>
              </w:rPr>
              <w:t>4.07E-03</w:t>
            </w:r>
          </w:p>
        </w:tc>
        <w:tc>
          <w:tcPr>
            <w:tcW w:w="997" w:type="pct"/>
            <w:vMerge w:val="continue"/>
            <w:tcBorders>
              <w:left w:val="single" w:color="auto" w:sz="4" w:space="0"/>
              <w:bottom w:val="single" w:color="auto" w:sz="4" w:space="0"/>
              <w:right w:val="single" w:color="auto" w:sz="4" w:space="0"/>
            </w:tcBorders>
            <w:vAlign w:val="center"/>
          </w:tcPr>
          <w:p w14:paraId="4B4706E2">
            <w:pPr>
              <w:pStyle w:val="348"/>
              <w:rPr>
                <w:color w:val="auto"/>
              </w:rPr>
            </w:pPr>
          </w:p>
        </w:tc>
      </w:tr>
      <w:tr w14:paraId="5B3E8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pct"/>
            <w:vMerge w:val="restart"/>
            <w:tcBorders>
              <w:top w:val="single" w:color="auto" w:sz="4" w:space="0"/>
              <w:left w:val="single" w:color="auto" w:sz="4" w:space="0"/>
              <w:right w:val="single" w:color="auto" w:sz="4" w:space="0"/>
            </w:tcBorders>
            <w:vAlign w:val="center"/>
          </w:tcPr>
          <w:p w14:paraId="40BF82A3">
            <w:pPr>
              <w:pStyle w:val="348"/>
              <w:rPr>
                <w:color w:val="auto"/>
              </w:rPr>
            </w:pPr>
            <w:r>
              <w:rPr>
                <w:rFonts w:hint="eastAsia"/>
                <w:color w:val="auto"/>
              </w:rPr>
              <w:t>废水处理站无组织</w:t>
            </w:r>
          </w:p>
        </w:tc>
        <w:tc>
          <w:tcPr>
            <w:tcW w:w="726" w:type="pct"/>
            <w:tcBorders>
              <w:top w:val="single" w:color="auto" w:sz="4" w:space="0"/>
              <w:left w:val="single" w:color="auto" w:sz="4" w:space="0"/>
              <w:bottom w:val="single" w:color="auto" w:sz="4" w:space="0"/>
              <w:right w:val="single" w:color="auto" w:sz="4" w:space="0"/>
            </w:tcBorders>
            <w:vAlign w:val="center"/>
          </w:tcPr>
          <w:p w14:paraId="3ADD4647">
            <w:pPr>
              <w:pStyle w:val="348"/>
              <w:rPr>
                <w:color w:val="auto"/>
              </w:rPr>
            </w:pPr>
            <w:r>
              <w:rPr>
                <w:rFonts w:hint="eastAsia"/>
                <w:color w:val="auto"/>
              </w:rPr>
              <w:t>NH</w:t>
            </w:r>
            <w:r>
              <w:rPr>
                <w:rFonts w:hint="eastAsia"/>
                <w:color w:val="auto"/>
                <w:vertAlign w:val="subscript"/>
              </w:rPr>
              <w:t>3</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14:paraId="259074B1">
            <w:pPr>
              <w:pStyle w:val="348"/>
              <w:rPr>
                <w:color w:val="auto"/>
              </w:rPr>
            </w:pPr>
            <w:r>
              <w:rPr>
                <w:rFonts w:hint="eastAsia"/>
                <w:color w:val="auto"/>
              </w:rPr>
              <w:t>0.68</w:t>
            </w:r>
          </w:p>
        </w:tc>
        <w:tc>
          <w:tcPr>
            <w:tcW w:w="1091" w:type="pct"/>
            <w:tcBorders>
              <w:top w:val="single" w:color="auto" w:sz="4" w:space="0"/>
              <w:left w:val="single" w:color="auto" w:sz="4" w:space="0"/>
              <w:bottom w:val="single" w:color="auto" w:sz="4" w:space="0"/>
              <w:right w:val="single" w:color="auto" w:sz="4" w:space="0"/>
            </w:tcBorders>
            <w:shd w:val="clear" w:color="auto" w:fill="auto"/>
            <w:vAlign w:val="center"/>
          </w:tcPr>
          <w:p w14:paraId="46F089E3">
            <w:pPr>
              <w:pStyle w:val="348"/>
              <w:rPr>
                <w:color w:val="auto"/>
              </w:rPr>
            </w:pPr>
            <w:r>
              <w:rPr>
                <w:rFonts w:hint="eastAsia"/>
                <w:color w:val="auto"/>
              </w:rPr>
              <w:t>1.36E-03</w:t>
            </w:r>
          </w:p>
        </w:tc>
        <w:tc>
          <w:tcPr>
            <w:tcW w:w="997" w:type="pct"/>
            <w:vMerge w:val="restart"/>
            <w:tcBorders>
              <w:top w:val="single" w:color="auto" w:sz="4" w:space="0"/>
              <w:left w:val="single" w:color="auto" w:sz="4" w:space="0"/>
              <w:right w:val="single" w:color="auto" w:sz="4" w:space="0"/>
            </w:tcBorders>
            <w:vAlign w:val="center"/>
          </w:tcPr>
          <w:p w14:paraId="525AD3B3">
            <w:pPr>
              <w:pStyle w:val="348"/>
              <w:rPr>
                <w:color w:val="auto"/>
              </w:rPr>
            </w:pPr>
            <w:r>
              <w:rPr>
                <w:rFonts w:hint="eastAsia"/>
                <w:color w:val="auto"/>
              </w:rPr>
              <w:t>0</w:t>
            </w:r>
          </w:p>
        </w:tc>
      </w:tr>
      <w:tr w14:paraId="42D96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pct"/>
            <w:vMerge w:val="continue"/>
            <w:tcBorders>
              <w:left w:val="single" w:color="auto" w:sz="4" w:space="0"/>
              <w:right w:val="single" w:color="auto" w:sz="4" w:space="0"/>
            </w:tcBorders>
            <w:vAlign w:val="center"/>
          </w:tcPr>
          <w:p w14:paraId="218B7DDE">
            <w:pPr>
              <w:pStyle w:val="348"/>
              <w:rPr>
                <w:color w:val="auto"/>
              </w:rPr>
            </w:pPr>
          </w:p>
        </w:tc>
        <w:tc>
          <w:tcPr>
            <w:tcW w:w="726" w:type="pct"/>
            <w:tcBorders>
              <w:top w:val="single" w:color="auto" w:sz="4" w:space="0"/>
              <w:left w:val="single" w:color="auto" w:sz="4" w:space="0"/>
              <w:bottom w:val="single" w:color="auto" w:sz="4" w:space="0"/>
              <w:right w:val="single" w:color="auto" w:sz="4" w:space="0"/>
            </w:tcBorders>
            <w:vAlign w:val="center"/>
          </w:tcPr>
          <w:p w14:paraId="70DDBEAE">
            <w:pPr>
              <w:pStyle w:val="348"/>
              <w:rPr>
                <w:color w:val="auto"/>
              </w:rPr>
            </w:pPr>
            <w:r>
              <w:rPr>
                <w:rFonts w:hint="eastAsia"/>
                <w:color w:val="auto"/>
              </w:rPr>
              <w:t>H</w:t>
            </w:r>
            <w:r>
              <w:rPr>
                <w:rFonts w:hint="eastAsia"/>
                <w:color w:val="auto"/>
                <w:vertAlign w:val="subscript"/>
              </w:rPr>
              <w:t>2</w:t>
            </w:r>
            <w:r>
              <w:rPr>
                <w:rFonts w:hint="eastAsia"/>
                <w:color w:val="auto"/>
              </w:rPr>
              <w:t>S</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14:paraId="50CCABD7">
            <w:pPr>
              <w:pStyle w:val="348"/>
              <w:rPr>
                <w:color w:val="auto"/>
              </w:rPr>
            </w:pPr>
            <w:r>
              <w:rPr>
                <w:rFonts w:hint="eastAsia"/>
                <w:color w:val="auto"/>
              </w:rPr>
              <w:t>2.71</w:t>
            </w:r>
          </w:p>
        </w:tc>
        <w:tc>
          <w:tcPr>
            <w:tcW w:w="1091" w:type="pct"/>
            <w:tcBorders>
              <w:top w:val="single" w:color="auto" w:sz="4" w:space="0"/>
              <w:left w:val="single" w:color="auto" w:sz="4" w:space="0"/>
              <w:bottom w:val="single" w:color="auto" w:sz="4" w:space="0"/>
              <w:right w:val="single" w:color="auto" w:sz="4" w:space="0"/>
            </w:tcBorders>
            <w:shd w:val="clear" w:color="auto" w:fill="auto"/>
            <w:vAlign w:val="center"/>
          </w:tcPr>
          <w:p w14:paraId="37C952E9">
            <w:pPr>
              <w:pStyle w:val="348"/>
              <w:rPr>
                <w:color w:val="auto"/>
              </w:rPr>
            </w:pPr>
            <w:r>
              <w:rPr>
                <w:rFonts w:hint="eastAsia"/>
                <w:color w:val="auto"/>
              </w:rPr>
              <w:t>2.71E-04</w:t>
            </w:r>
          </w:p>
        </w:tc>
        <w:tc>
          <w:tcPr>
            <w:tcW w:w="997" w:type="pct"/>
            <w:vMerge w:val="continue"/>
            <w:tcBorders>
              <w:left w:val="single" w:color="auto" w:sz="4" w:space="0"/>
              <w:right w:val="single" w:color="auto" w:sz="4" w:space="0"/>
            </w:tcBorders>
            <w:vAlign w:val="center"/>
          </w:tcPr>
          <w:p w14:paraId="155368D9">
            <w:pPr>
              <w:pStyle w:val="348"/>
              <w:rPr>
                <w:color w:val="auto"/>
              </w:rPr>
            </w:pPr>
          </w:p>
        </w:tc>
      </w:tr>
      <w:tr w14:paraId="64CB1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pct"/>
            <w:vMerge w:val="continue"/>
            <w:tcBorders>
              <w:left w:val="single" w:color="auto" w:sz="4" w:space="0"/>
              <w:bottom w:val="single" w:color="auto" w:sz="4" w:space="0"/>
              <w:right w:val="single" w:color="auto" w:sz="4" w:space="0"/>
            </w:tcBorders>
            <w:vAlign w:val="center"/>
          </w:tcPr>
          <w:p w14:paraId="42797F04">
            <w:pPr>
              <w:pStyle w:val="348"/>
              <w:rPr>
                <w:color w:val="auto"/>
              </w:rPr>
            </w:pPr>
          </w:p>
        </w:tc>
        <w:tc>
          <w:tcPr>
            <w:tcW w:w="726" w:type="pct"/>
            <w:tcBorders>
              <w:top w:val="single" w:color="auto" w:sz="4" w:space="0"/>
              <w:left w:val="single" w:color="auto" w:sz="4" w:space="0"/>
              <w:bottom w:val="single" w:color="auto" w:sz="4" w:space="0"/>
              <w:right w:val="single" w:color="auto" w:sz="4" w:space="0"/>
            </w:tcBorders>
            <w:vAlign w:val="center"/>
          </w:tcPr>
          <w:p w14:paraId="3D3F0418">
            <w:pPr>
              <w:pStyle w:val="348"/>
              <w:rPr>
                <w:color w:val="auto"/>
              </w:rPr>
            </w:pPr>
            <w:r>
              <w:rPr>
                <w:rFonts w:hint="eastAsia"/>
                <w:color w:val="auto"/>
              </w:rPr>
              <w:t>非甲烷总烃</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14:paraId="5F640C06">
            <w:pPr>
              <w:pStyle w:val="348"/>
              <w:rPr>
                <w:color w:val="auto"/>
              </w:rPr>
            </w:pPr>
            <w:r>
              <w:rPr>
                <w:rFonts w:hint="eastAsia"/>
                <w:color w:val="auto"/>
              </w:rPr>
              <w:t>0.61</w:t>
            </w:r>
          </w:p>
        </w:tc>
        <w:tc>
          <w:tcPr>
            <w:tcW w:w="1091" w:type="pct"/>
            <w:tcBorders>
              <w:top w:val="single" w:color="auto" w:sz="4" w:space="0"/>
              <w:left w:val="single" w:color="auto" w:sz="4" w:space="0"/>
              <w:bottom w:val="single" w:color="auto" w:sz="4" w:space="0"/>
              <w:right w:val="single" w:color="auto" w:sz="4" w:space="0"/>
            </w:tcBorders>
            <w:shd w:val="clear" w:color="auto" w:fill="auto"/>
            <w:vAlign w:val="center"/>
          </w:tcPr>
          <w:p w14:paraId="7A95AB3E">
            <w:pPr>
              <w:pStyle w:val="348"/>
              <w:rPr>
                <w:color w:val="auto"/>
              </w:rPr>
            </w:pPr>
            <w:r>
              <w:rPr>
                <w:rFonts w:hint="eastAsia"/>
                <w:color w:val="auto"/>
              </w:rPr>
              <w:t>1.22E-02</w:t>
            </w:r>
          </w:p>
        </w:tc>
        <w:tc>
          <w:tcPr>
            <w:tcW w:w="997" w:type="pct"/>
            <w:vMerge w:val="continue"/>
            <w:tcBorders>
              <w:left w:val="single" w:color="auto" w:sz="4" w:space="0"/>
              <w:bottom w:val="single" w:color="auto" w:sz="4" w:space="0"/>
              <w:right w:val="single" w:color="auto" w:sz="4" w:space="0"/>
            </w:tcBorders>
            <w:vAlign w:val="center"/>
          </w:tcPr>
          <w:p w14:paraId="6E3F5281">
            <w:pPr>
              <w:pStyle w:val="348"/>
              <w:rPr>
                <w:color w:val="auto"/>
              </w:rPr>
            </w:pPr>
          </w:p>
        </w:tc>
      </w:tr>
    </w:tbl>
    <w:p w14:paraId="05A64BF0">
      <w:pPr>
        <w:pStyle w:val="684"/>
        <w:spacing w:before="72" w:line="360" w:lineRule="auto"/>
        <w:ind w:firstLine="480"/>
        <w:rPr>
          <w:color w:val="auto"/>
          <w:lang w:val="en-US"/>
        </w:rPr>
      </w:pPr>
    </w:p>
    <w:p w14:paraId="77287B6A">
      <w:pPr>
        <w:spacing w:line="360" w:lineRule="auto"/>
        <w:ind w:firstLine="480"/>
        <w:rPr>
          <w:color w:val="auto"/>
          <w:szCs w:val="24"/>
        </w:rPr>
      </w:pPr>
      <w:r>
        <w:rPr>
          <w:color w:val="auto"/>
          <w:szCs w:val="24"/>
        </w:rPr>
        <w:t>根据估算结果可知，</w:t>
      </w:r>
      <w:r>
        <w:rPr>
          <w:rFonts w:hint="eastAsia"/>
          <w:color w:val="auto"/>
          <w:szCs w:val="24"/>
        </w:rPr>
        <w:t>项目</w:t>
      </w:r>
      <w:r>
        <w:rPr>
          <w:color w:val="auto"/>
          <w:szCs w:val="24"/>
        </w:rPr>
        <w:t>主要大气污染物最大地面空气质量浓度占标率</w:t>
      </w:r>
      <w:r>
        <w:rPr>
          <w:rFonts w:hint="eastAsia"/>
          <w:color w:val="auto"/>
          <w:szCs w:val="24"/>
        </w:rPr>
        <w:t>为</w:t>
      </w:r>
      <w:r>
        <w:rPr>
          <w:color w:val="auto"/>
        </w:rPr>
        <w:t>2.71</w:t>
      </w:r>
      <w:r>
        <w:rPr>
          <w:rFonts w:hint="eastAsia"/>
          <w:color w:val="auto"/>
          <w:szCs w:val="24"/>
        </w:rPr>
        <w:t>%</w:t>
      </w:r>
      <w:r>
        <w:rPr>
          <w:color w:val="auto"/>
          <w:szCs w:val="24"/>
        </w:rPr>
        <w:t>，最大地面空气质量浓度占标率</w:t>
      </w:r>
      <w:r>
        <w:rPr>
          <w:rFonts w:hint="eastAsia"/>
          <w:color w:val="auto"/>
          <w:szCs w:val="24"/>
        </w:rPr>
        <w:t>均介于1%~</w:t>
      </w:r>
      <w:r>
        <w:rPr>
          <w:color w:val="auto"/>
          <w:szCs w:val="24"/>
        </w:rPr>
        <w:t>10%，因此依据《环境影响评价技术导则大气环境》</w:t>
      </w:r>
      <w:r>
        <w:rPr>
          <w:rFonts w:hint="eastAsia"/>
          <w:color w:val="auto"/>
          <w:szCs w:val="24"/>
        </w:rPr>
        <w:t>评价等级为二级，不需要进一步预测评价，</w:t>
      </w:r>
      <w:r>
        <w:rPr>
          <w:color w:val="auto"/>
          <w:szCs w:val="24"/>
        </w:rPr>
        <w:t>大气环境影响评价范围为边长为5km的</w:t>
      </w:r>
      <w:r>
        <w:rPr>
          <w:rFonts w:hint="eastAsia"/>
          <w:bCs/>
          <w:color w:val="auto"/>
          <w:szCs w:val="24"/>
        </w:rPr>
        <w:t>矩形</w:t>
      </w:r>
      <w:r>
        <w:rPr>
          <w:bCs/>
          <w:color w:val="auto"/>
          <w:szCs w:val="24"/>
        </w:rPr>
        <w:t>区域</w:t>
      </w:r>
      <w:r>
        <w:rPr>
          <w:color w:val="auto"/>
          <w:szCs w:val="24"/>
        </w:rPr>
        <w:t>。</w:t>
      </w:r>
    </w:p>
    <w:p w14:paraId="103EC7E9">
      <w:pPr>
        <w:spacing w:line="360" w:lineRule="auto"/>
        <w:ind w:firstLine="480"/>
        <w:rPr>
          <w:color w:val="auto"/>
          <w:szCs w:val="24"/>
        </w:rPr>
      </w:pPr>
      <w:r>
        <w:rPr>
          <w:rFonts w:hint="eastAsia"/>
          <w:color w:val="auto"/>
        </w:rPr>
        <w:t>（3）</w:t>
      </w:r>
      <w:r>
        <w:rPr>
          <w:color w:val="auto"/>
          <w:szCs w:val="24"/>
        </w:rPr>
        <w:t>大气环境防护距离</w:t>
      </w:r>
    </w:p>
    <w:p w14:paraId="6D7436A8">
      <w:pPr>
        <w:spacing w:line="360" w:lineRule="auto"/>
        <w:ind w:firstLine="480"/>
        <w:rPr>
          <w:color w:val="auto"/>
          <w:szCs w:val="24"/>
        </w:rPr>
      </w:pPr>
      <w:r>
        <w:rPr>
          <w:rFonts w:hint="eastAsia"/>
          <w:color w:val="auto"/>
        </w:rPr>
        <w:t>根据</w:t>
      </w:r>
      <w:r>
        <w:rPr>
          <w:color w:val="auto"/>
        </w:rPr>
        <w:t>《环境影响评价技术导则-大气环境》（HJ2.2-2018）</w:t>
      </w:r>
      <w:r>
        <w:rPr>
          <w:rFonts w:hint="eastAsia"/>
          <w:color w:val="auto"/>
        </w:rPr>
        <w:t>拟建项目评价等级为二级，不需</w:t>
      </w:r>
      <w:r>
        <w:rPr>
          <w:rFonts w:hint="eastAsia"/>
          <w:color w:val="auto"/>
          <w:szCs w:val="24"/>
        </w:rPr>
        <w:t>要进一步预测，因此，拟建项目不需要设置大气环境防护距离。</w:t>
      </w:r>
    </w:p>
    <w:p w14:paraId="4673B987">
      <w:pPr>
        <w:spacing w:line="360" w:lineRule="auto"/>
        <w:ind w:firstLine="480"/>
        <w:rPr>
          <w:color w:val="auto"/>
          <w:szCs w:val="24"/>
        </w:rPr>
      </w:pPr>
      <w:r>
        <w:rPr>
          <w:rFonts w:hint="eastAsia"/>
          <w:color w:val="auto"/>
        </w:rPr>
        <w:t>（4）</w:t>
      </w:r>
      <w:r>
        <w:rPr>
          <w:color w:val="auto"/>
          <w:szCs w:val="24"/>
        </w:rPr>
        <w:t>卫生防护距离</w:t>
      </w:r>
    </w:p>
    <w:p w14:paraId="07AE3BF5">
      <w:pPr>
        <w:spacing w:line="360" w:lineRule="auto"/>
        <w:ind w:firstLine="480"/>
        <w:rPr>
          <w:color w:val="auto"/>
          <w:szCs w:val="24"/>
        </w:rPr>
      </w:pPr>
      <w:r>
        <w:rPr>
          <w:color w:val="auto"/>
          <w:szCs w:val="24"/>
        </w:rPr>
        <w:t>根据《大气有害物质无组织排放卫生防护距离推导技术导则》（GB/T39499-2020）中规定：当目标企业无组织排放存在多种有毒有害污染物时，基于单个污染物的等标排放量计算结果，优先选择等标排放量最大的污染物为企业无组织排放的主要特征大气有害物质。当前两种污染物的等标排放量相差在10％以内时，需要同时选择这两种特征大气有害物质分别计算卫生防护距离初值。</w:t>
      </w:r>
    </w:p>
    <w:p w14:paraId="0C978AAB">
      <w:pPr>
        <w:pStyle w:val="640"/>
        <w:spacing w:line="360" w:lineRule="auto"/>
        <w:ind w:firstLine="480"/>
        <w:rPr>
          <w:color w:val="auto"/>
          <w:lang w:val="en-US"/>
        </w:rPr>
      </w:pPr>
      <w:r>
        <w:rPr>
          <w:color w:val="auto"/>
          <w:lang w:val="en-US"/>
        </w:rPr>
        <w:t>项目</w:t>
      </w:r>
      <w:r>
        <w:rPr>
          <w:color w:val="auto"/>
          <w:szCs w:val="24"/>
        </w:rPr>
        <w:t>无组织</w:t>
      </w:r>
      <w:r>
        <w:rPr>
          <w:color w:val="auto"/>
          <w:lang w:val="en-US"/>
        </w:rPr>
        <w:t>排放</w:t>
      </w:r>
      <w:r>
        <w:rPr>
          <w:color w:val="auto"/>
          <w:szCs w:val="24"/>
          <w:lang w:val="en-US"/>
        </w:rPr>
        <w:t>大气有害物质为VOC</w:t>
      </w:r>
      <w:r>
        <w:rPr>
          <w:rFonts w:hint="eastAsia"/>
          <w:color w:val="auto"/>
          <w:szCs w:val="24"/>
          <w:vertAlign w:val="subscript"/>
          <w:lang w:val="en-US"/>
        </w:rPr>
        <w:t>S</w:t>
      </w:r>
      <w:r>
        <w:rPr>
          <w:color w:val="auto"/>
          <w:szCs w:val="24"/>
          <w:lang w:val="en-US"/>
        </w:rPr>
        <w:t>、NH</w:t>
      </w:r>
      <w:r>
        <w:rPr>
          <w:color w:val="auto"/>
          <w:szCs w:val="24"/>
          <w:vertAlign w:val="subscript"/>
          <w:lang w:val="en-US"/>
        </w:rPr>
        <w:t>3</w:t>
      </w:r>
      <w:r>
        <w:rPr>
          <w:color w:val="auto"/>
          <w:szCs w:val="24"/>
          <w:lang w:val="en-US"/>
        </w:rPr>
        <w:t>、H</w:t>
      </w:r>
      <w:r>
        <w:rPr>
          <w:color w:val="auto"/>
          <w:szCs w:val="24"/>
          <w:vertAlign w:val="subscript"/>
          <w:lang w:val="en-US"/>
        </w:rPr>
        <w:t>2</w:t>
      </w:r>
      <w:r>
        <w:rPr>
          <w:color w:val="auto"/>
          <w:szCs w:val="24"/>
          <w:lang w:val="en-US"/>
        </w:rPr>
        <w:t>S，等标排放量计算结果为0.0045、0.005、0.02，</w:t>
      </w:r>
      <w:r>
        <w:rPr>
          <w:rFonts w:hint="eastAsia"/>
          <w:color w:val="auto"/>
          <w:szCs w:val="24"/>
          <w:lang w:val="en-US"/>
        </w:rPr>
        <w:t>最大</w:t>
      </w:r>
      <w:r>
        <w:rPr>
          <w:color w:val="auto"/>
          <w:szCs w:val="24"/>
          <w:lang w:val="en-US"/>
        </w:rPr>
        <w:t>等标排放量</w:t>
      </w:r>
      <w:r>
        <w:rPr>
          <w:rFonts w:hint="eastAsia"/>
          <w:color w:val="auto"/>
          <w:szCs w:val="24"/>
          <w:lang w:val="en-US"/>
        </w:rPr>
        <w:t>与其他</w:t>
      </w:r>
      <w:r>
        <w:rPr>
          <w:color w:val="auto"/>
          <w:szCs w:val="24"/>
          <w:lang w:val="en-US"/>
        </w:rPr>
        <w:t>相差在10％以上，最大等标排放量为H</w:t>
      </w:r>
      <w:r>
        <w:rPr>
          <w:color w:val="auto"/>
          <w:szCs w:val="24"/>
          <w:vertAlign w:val="subscript"/>
          <w:lang w:val="en-US"/>
        </w:rPr>
        <w:t>2</w:t>
      </w:r>
      <w:r>
        <w:rPr>
          <w:color w:val="auto"/>
          <w:szCs w:val="24"/>
          <w:lang w:val="en-US"/>
        </w:rPr>
        <w:t>S。故最终选取H</w:t>
      </w:r>
      <w:r>
        <w:rPr>
          <w:color w:val="auto"/>
          <w:szCs w:val="24"/>
          <w:vertAlign w:val="subscript"/>
          <w:lang w:val="en-US"/>
        </w:rPr>
        <w:t>2</w:t>
      </w:r>
      <w:r>
        <w:rPr>
          <w:color w:val="auto"/>
          <w:szCs w:val="24"/>
          <w:lang w:val="en-US"/>
        </w:rPr>
        <w:t>S作为主要特征大气有害物质进行卫生防护距离计算。</w:t>
      </w:r>
    </w:p>
    <w:p w14:paraId="7965F7B1">
      <w:pPr>
        <w:pStyle w:val="640"/>
        <w:spacing w:line="360" w:lineRule="auto"/>
        <w:ind w:firstLine="480"/>
        <w:rPr>
          <w:color w:val="auto"/>
        </w:rPr>
      </w:pPr>
      <w:r>
        <w:rPr>
          <w:color w:val="auto"/>
        </w:rPr>
        <w:t>项目卫生防护距离根据</w:t>
      </w:r>
      <w:r>
        <w:rPr>
          <w:color w:val="auto"/>
          <w:szCs w:val="24"/>
        </w:rPr>
        <w:t>《大气有害物质无组织排放卫生防护距离推导技术导则》（GB/T39499-2020）</w:t>
      </w:r>
      <w:r>
        <w:rPr>
          <w:color w:val="auto"/>
        </w:rPr>
        <w:t>计算模式，同时考虑风向频率及地形等因素计算确定。</w:t>
      </w:r>
    </w:p>
    <w:p w14:paraId="359302BF">
      <w:pPr>
        <w:pStyle w:val="640"/>
        <w:spacing w:line="360" w:lineRule="auto"/>
        <w:ind w:firstLine="480"/>
        <w:rPr>
          <w:color w:val="auto"/>
        </w:rPr>
      </w:pPr>
      <w:r>
        <w:rPr>
          <w:color w:val="auto"/>
        </w:rPr>
        <w:t>计算模式如下：</w:t>
      </w:r>
    </w:p>
    <w:p w14:paraId="38DEC485">
      <w:pPr>
        <w:pStyle w:val="640"/>
        <w:spacing w:line="360" w:lineRule="auto"/>
        <w:ind w:firstLine="0" w:firstLineChars="0"/>
        <w:jc w:val="center"/>
        <w:rPr>
          <w:bCs/>
          <w:color w:val="auto"/>
        </w:rPr>
      </w:pPr>
      <w:r>
        <w:rPr>
          <w:color w:val="auto"/>
          <w:position w:val="-30"/>
        </w:rPr>
        <w:object>
          <v:shape id="_x0000_i1027" o:spt="75" type="#_x0000_t75" style="height:28.5pt;width:114pt;" o:ole="t" filled="f" o:preferrelative="t" stroked="f" coordsize="21600,21600">
            <v:path/>
            <v:fill on="f" focussize="0,0"/>
            <v:stroke on="f" joinstyle="miter"/>
            <v:imagedata r:id="rId34" o:title=""/>
            <o:lock v:ext="edit" aspectratio="t"/>
            <w10:wrap type="none"/>
            <w10:anchorlock/>
          </v:shape>
          <o:OLEObject Type="Embed" ProgID="Equation.3" ShapeID="_x0000_i1027" DrawAspect="Content" ObjectID="_1468075727" r:id="rId33">
            <o:LockedField>false</o:LockedField>
          </o:OLEObject>
        </w:object>
      </w:r>
    </w:p>
    <w:p w14:paraId="7452E787">
      <w:pPr>
        <w:pStyle w:val="640"/>
        <w:spacing w:line="360" w:lineRule="auto"/>
        <w:ind w:firstLine="480"/>
        <w:rPr>
          <w:color w:val="auto"/>
        </w:rPr>
      </w:pPr>
      <w:r>
        <w:rPr>
          <w:color w:val="auto"/>
        </w:rPr>
        <w:t>式中：C</w:t>
      </w:r>
      <w:r>
        <w:rPr>
          <w:color w:val="auto"/>
          <w:vertAlign w:val="subscript"/>
        </w:rPr>
        <w:t>m</w:t>
      </w:r>
      <w:r>
        <w:rPr>
          <w:color w:val="auto"/>
        </w:rPr>
        <w:t>—排放标准浓度限值（mg/m</w:t>
      </w:r>
      <w:r>
        <w:rPr>
          <w:color w:val="auto"/>
          <w:vertAlign w:val="superscript"/>
        </w:rPr>
        <w:t>3</w:t>
      </w:r>
      <w:r>
        <w:rPr>
          <w:color w:val="auto"/>
        </w:rPr>
        <w:t>）；</w:t>
      </w:r>
    </w:p>
    <w:p w14:paraId="0543D029">
      <w:pPr>
        <w:pStyle w:val="640"/>
        <w:spacing w:line="360" w:lineRule="auto"/>
        <w:ind w:firstLine="1200" w:firstLineChars="500"/>
        <w:rPr>
          <w:color w:val="auto"/>
        </w:rPr>
      </w:pPr>
      <w:r>
        <w:rPr>
          <w:color w:val="auto"/>
        </w:rPr>
        <w:t>Q</w:t>
      </w:r>
      <w:r>
        <w:rPr>
          <w:color w:val="auto"/>
          <w:vertAlign w:val="subscript"/>
        </w:rPr>
        <w:t>c</w:t>
      </w:r>
      <w:r>
        <w:rPr>
          <w:color w:val="auto"/>
        </w:rPr>
        <w:t>—工业企业有害气体无组织排放量可以达到的控制水平（kg/h）；</w:t>
      </w:r>
    </w:p>
    <w:p w14:paraId="60E2BE51">
      <w:pPr>
        <w:pStyle w:val="640"/>
        <w:spacing w:line="360" w:lineRule="auto"/>
        <w:ind w:firstLine="1200" w:firstLineChars="500"/>
        <w:rPr>
          <w:color w:val="auto"/>
        </w:rPr>
      </w:pPr>
      <w:r>
        <w:rPr>
          <w:color w:val="auto"/>
        </w:rPr>
        <w:t>L—工业企业所需的卫生防护距离（m）；</w:t>
      </w:r>
    </w:p>
    <w:p w14:paraId="6BC716C0">
      <w:pPr>
        <w:pStyle w:val="640"/>
        <w:spacing w:line="360" w:lineRule="auto"/>
        <w:ind w:firstLine="1200" w:firstLineChars="500"/>
        <w:rPr>
          <w:color w:val="auto"/>
        </w:rPr>
      </w:pPr>
      <w:r>
        <w:rPr>
          <w:color w:val="auto"/>
        </w:rPr>
        <w:t>r—有害气体无组织排放浓度所产生单位的等效半径（m）；</w:t>
      </w:r>
    </w:p>
    <w:p w14:paraId="6F9FD527">
      <w:pPr>
        <w:pStyle w:val="640"/>
        <w:spacing w:line="360" w:lineRule="auto"/>
        <w:ind w:firstLine="1200" w:firstLineChars="500"/>
        <w:rPr>
          <w:color w:val="auto"/>
        </w:rPr>
      </w:pPr>
      <w:r>
        <w:rPr>
          <w:color w:val="auto"/>
        </w:rPr>
        <w:t>A、B、C、D—卫生防护距离计算系数</w:t>
      </w:r>
      <w:r>
        <w:rPr>
          <w:rFonts w:hint="eastAsia"/>
          <w:color w:val="auto"/>
        </w:rPr>
        <w:t>，拟建项目</w:t>
      </w:r>
      <w:r>
        <w:rPr>
          <w:rFonts w:hint="eastAsia"/>
          <w:color w:val="auto"/>
          <w:lang w:val="en-US"/>
        </w:rPr>
        <w:t>A=400，B=0.01，C=1.85，D=0.78</w:t>
      </w:r>
      <w:r>
        <w:rPr>
          <w:color w:val="auto"/>
        </w:rPr>
        <w:t>。</w:t>
      </w:r>
    </w:p>
    <w:p w14:paraId="3882ABDD">
      <w:pPr>
        <w:spacing w:line="360" w:lineRule="auto"/>
        <w:ind w:firstLine="0" w:firstLineChars="0"/>
        <w:jc w:val="center"/>
        <w:rPr>
          <w:b/>
          <w:color w:val="auto"/>
          <w:szCs w:val="21"/>
        </w:rPr>
      </w:pPr>
      <w:r>
        <w:rPr>
          <w:b/>
          <w:color w:val="auto"/>
          <w:szCs w:val="21"/>
        </w:rPr>
        <w:t>表</w:t>
      </w:r>
      <w:r>
        <w:rPr>
          <w:rFonts w:hint="eastAsia"/>
          <w:b/>
          <w:color w:val="auto"/>
        </w:rPr>
        <w:t>6</w:t>
      </w:r>
      <w:r>
        <w:rPr>
          <w:b/>
          <w:color w:val="auto"/>
        </w:rPr>
        <w:t>.2-</w:t>
      </w:r>
      <w:r>
        <w:rPr>
          <w:rFonts w:hint="eastAsia"/>
          <w:b/>
          <w:color w:val="auto"/>
        </w:rPr>
        <w:t xml:space="preserve">4  </w:t>
      </w:r>
      <w:r>
        <w:rPr>
          <w:b/>
          <w:color w:val="auto"/>
          <w:szCs w:val="21"/>
        </w:rPr>
        <w:t>卫生防护距离计算系数</w:t>
      </w:r>
    </w:p>
    <w:tbl>
      <w:tblPr>
        <w:tblStyle w:val="88"/>
        <w:tblW w:w="5000"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0" w:type="dxa"/>
          <w:bottom w:w="0" w:type="dxa"/>
          <w:right w:w="0" w:type="dxa"/>
        </w:tblCellMar>
      </w:tblPr>
      <w:tblGrid>
        <w:gridCol w:w="1117"/>
        <w:gridCol w:w="1566"/>
        <w:gridCol w:w="710"/>
        <w:gridCol w:w="709"/>
        <w:gridCol w:w="712"/>
        <w:gridCol w:w="710"/>
        <w:gridCol w:w="712"/>
        <w:gridCol w:w="710"/>
        <w:gridCol w:w="710"/>
        <w:gridCol w:w="710"/>
        <w:gridCol w:w="710"/>
      </w:tblGrid>
      <w:tr w14:paraId="123B877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cantSplit/>
          <w:jc w:val="center"/>
        </w:trPr>
        <w:tc>
          <w:tcPr>
            <w:tcW w:w="1118" w:type="dxa"/>
            <w:vMerge w:val="restart"/>
            <w:tcBorders>
              <w:tl2br w:val="nil"/>
              <w:tr2bl w:val="nil"/>
            </w:tcBorders>
            <w:vAlign w:val="center"/>
          </w:tcPr>
          <w:p w14:paraId="48317D9F">
            <w:pPr>
              <w:spacing w:line="240" w:lineRule="auto"/>
              <w:ind w:firstLine="0" w:firstLineChars="0"/>
              <w:jc w:val="center"/>
              <w:rPr>
                <w:color w:val="auto"/>
                <w:sz w:val="21"/>
                <w:szCs w:val="21"/>
              </w:rPr>
            </w:pPr>
            <w:r>
              <w:rPr>
                <w:rFonts w:hint="eastAsia"/>
                <w:color w:val="auto"/>
                <w:sz w:val="21"/>
                <w:szCs w:val="21"/>
              </w:rPr>
              <w:t>计算系数</w:t>
            </w:r>
          </w:p>
        </w:tc>
        <w:tc>
          <w:tcPr>
            <w:tcW w:w="1566" w:type="dxa"/>
            <w:vMerge w:val="restart"/>
            <w:tcBorders>
              <w:tl2br w:val="nil"/>
              <w:tr2bl w:val="nil"/>
            </w:tcBorders>
            <w:vAlign w:val="center"/>
          </w:tcPr>
          <w:p w14:paraId="2F1FEB1C">
            <w:pPr>
              <w:spacing w:line="240" w:lineRule="auto"/>
              <w:ind w:firstLine="0" w:firstLineChars="0"/>
              <w:jc w:val="center"/>
              <w:rPr>
                <w:color w:val="auto"/>
                <w:sz w:val="21"/>
                <w:szCs w:val="21"/>
              </w:rPr>
            </w:pPr>
            <w:r>
              <w:rPr>
                <w:rFonts w:hint="eastAsia"/>
                <w:color w:val="auto"/>
                <w:sz w:val="21"/>
                <w:szCs w:val="21"/>
              </w:rPr>
              <w:t>工业企业所在地区近五年平均风速m/s</w:t>
            </w:r>
          </w:p>
        </w:tc>
        <w:tc>
          <w:tcPr>
            <w:tcW w:w="6386" w:type="dxa"/>
            <w:gridSpan w:val="9"/>
            <w:tcBorders>
              <w:tl2br w:val="nil"/>
              <w:tr2bl w:val="nil"/>
            </w:tcBorders>
            <w:vAlign w:val="center"/>
          </w:tcPr>
          <w:p w14:paraId="7E92D318">
            <w:pPr>
              <w:spacing w:line="240" w:lineRule="auto"/>
              <w:ind w:firstLine="0" w:firstLineChars="0"/>
              <w:jc w:val="center"/>
              <w:rPr>
                <w:color w:val="auto"/>
                <w:sz w:val="21"/>
                <w:szCs w:val="21"/>
              </w:rPr>
            </w:pPr>
            <w:r>
              <w:rPr>
                <w:rFonts w:hint="eastAsia"/>
                <w:color w:val="auto"/>
                <w:sz w:val="21"/>
                <w:szCs w:val="21"/>
              </w:rPr>
              <w:t>卫生防护距离L，m</w:t>
            </w:r>
          </w:p>
        </w:tc>
      </w:tr>
      <w:tr w14:paraId="59774BA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cantSplit/>
          <w:jc w:val="center"/>
        </w:trPr>
        <w:tc>
          <w:tcPr>
            <w:tcW w:w="1118" w:type="dxa"/>
            <w:vMerge w:val="continue"/>
            <w:tcBorders>
              <w:tl2br w:val="nil"/>
              <w:tr2bl w:val="nil"/>
            </w:tcBorders>
            <w:vAlign w:val="center"/>
          </w:tcPr>
          <w:p w14:paraId="0503EC3D">
            <w:pPr>
              <w:spacing w:line="240" w:lineRule="auto"/>
              <w:ind w:firstLine="0" w:firstLineChars="0"/>
              <w:jc w:val="center"/>
              <w:rPr>
                <w:color w:val="auto"/>
                <w:sz w:val="21"/>
                <w:szCs w:val="21"/>
              </w:rPr>
            </w:pPr>
          </w:p>
        </w:tc>
        <w:tc>
          <w:tcPr>
            <w:tcW w:w="1566" w:type="dxa"/>
            <w:vMerge w:val="continue"/>
            <w:tcBorders>
              <w:tl2br w:val="nil"/>
              <w:tr2bl w:val="nil"/>
            </w:tcBorders>
            <w:vAlign w:val="center"/>
          </w:tcPr>
          <w:p w14:paraId="2BF84535">
            <w:pPr>
              <w:spacing w:line="240" w:lineRule="auto"/>
              <w:ind w:firstLine="0" w:firstLineChars="0"/>
              <w:jc w:val="center"/>
              <w:rPr>
                <w:color w:val="auto"/>
                <w:sz w:val="21"/>
                <w:szCs w:val="21"/>
              </w:rPr>
            </w:pPr>
          </w:p>
        </w:tc>
        <w:tc>
          <w:tcPr>
            <w:tcW w:w="2130" w:type="dxa"/>
            <w:gridSpan w:val="3"/>
            <w:tcBorders>
              <w:tl2br w:val="nil"/>
              <w:tr2bl w:val="nil"/>
            </w:tcBorders>
            <w:vAlign w:val="center"/>
          </w:tcPr>
          <w:p w14:paraId="7DC21726">
            <w:pPr>
              <w:spacing w:line="240" w:lineRule="auto"/>
              <w:ind w:firstLine="0" w:firstLineChars="0"/>
              <w:jc w:val="center"/>
              <w:rPr>
                <w:color w:val="auto"/>
                <w:sz w:val="21"/>
                <w:szCs w:val="21"/>
              </w:rPr>
            </w:pPr>
            <w:r>
              <w:rPr>
                <w:rFonts w:hint="eastAsia"/>
                <w:color w:val="auto"/>
                <w:sz w:val="21"/>
                <w:szCs w:val="21"/>
              </w:rPr>
              <w:t>L≤1000</w:t>
            </w:r>
          </w:p>
        </w:tc>
        <w:tc>
          <w:tcPr>
            <w:tcW w:w="2129" w:type="dxa"/>
            <w:gridSpan w:val="3"/>
            <w:tcBorders>
              <w:tl2br w:val="nil"/>
              <w:tr2bl w:val="nil"/>
            </w:tcBorders>
            <w:vAlign w:val="center"/>
          </w:tcPr>
          <w:p w14:paraId="33F6123E">
            <w:pPr>
              <w:spacing w:line="240" w:lineRule="auto"/>
              <w:ind w:firstLine="0" w:firstLineChars="0"/>
              <w:jc w:val="center"/>
              <w:rPr>
                <w:color w:val="auto"/>
                <w:sz w:val="21"/>
                <w:szCs w:val="21"/>
              </w:rPr>
            </w:pPr>
            <w:r>
              <w:rPr>
                <w:rFonts w:hint="eastAsia"/>
                <w:color w:val="auto"/>
                <w:sz w:val="21"/>
                <w:szCs w:val="21"/>
              </w:rPr>
              <w:t>1000＜L≤2000</w:t>
            </w:r>
          </w:p>
        </w:tc>
        <w:tc>
          <w:tcPr>
            <w:tcW w:w="2127" w:type="dxa"/>
            <w:gridSpan w:val="3"/>
            <w:tcBorders>
              <w:tl2br w:val="nil"/>
              <w:tr2bl w:val="nil"/>
            </w:tcBorders>
            <w:vAlign w:val="center"/>
          </w:tcPr>
          <w:p w14:paraId="077280CB">
            <w:pPr>
              <w:spacing w:line="240" w:lineRule="auto"/>
              <w:ind w:firstLine="0" w:firstLineChars="0"/>
              <w:jc w:val="center"/>
              <w:rPr>
                <w:color w:val="auto"/>
                <w:sz w:val="21"/>
                <w:szCs w:val="21"/>
              </w:rPr>
            </w:pPr>
            <w:r>
              <w:rPr>
                <w:rFonts w:hint="eastAsia"/>
                <w:color w:val="auto"/>
                <w:sz w:val="21"/>
                <w:szCs w:val="21"/>
              </w:rPr>
              <w:t>L＞2000</w:t>
            </w:r>
          </w:p>
        </w:tc>
      </w:tr>
      <w:tr w14:paraId="3510951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cantSplit/>
          <w:jc w:val="center"/>
        </w:trPr>
        <w:tc>
          <w:tcPr>
            <w:tcW w:w="1118" w:type="dxa"/>
            <w:vMerge w:val="continue"/>
            <w:tcBorders>
              <w:tl2br w:val="nil"/>
              <w:tr2bl w:val="nil"/>
            </w:tcBorders>
            <w:vAlign w:val="center"/>
          </w:tcPr>
          <w:p w14:paraId="537DE39D">
            <w:pPr>
              <w:spacing w:line="240" w:lineRule="auto"/>
              <w:ind w:firstLine="0" w:firstLineChars="0"/>
              <w:jc w:val="center"/>
              <w:rPr>
                <w:color w:val="auto"/>
                <w:sz w:val="21"/>
                <w:szCs w:val="21"/>
              </w:rPr>
            </w:pPr>
          </w:p>
        </w:tc>
        <w:tc>
          <w:tcPr>
            <w:tcW w:w="1566" w:type="dxa"/>
            <w:vMerge w:val="continue"/>
            <w:tcBorders>
              <w:tl2br w:val="nil"/>
              <w:tr2bl w:val="nil"/>
            </w:tcBorders>
            <w:vAlign w:val="center"/>
          </w:tcPr>
          <w:p w14:paraId="72C92CD3">
            <w:pPr>
              <w:spacing w:line="240" w:lineRule="auto"/>
              <w:ind w:firstLine="0" w:firstLineChars="0"/>
              <w:jc w:val="center"/>
              <w:rPr>
                <w:color w:val="auto"/>
                <w:sz w:val="21"/>
                <w:szCs w:val="21"/>
              </w:rPr>
            </w:pPr>
          </w:p>
        </w:tc>
        <w:tc>
          <w:tcPr>
            <w:tcW w:w="6386" w:type="dxa"/>
            <w:gridSpan w:val="9"/>
            <w:tcBorders>
              <w:tl2br w:val="nil"/>
              <w:tr2bl w:val="nil"/>
            </w:tcBorders>
            <w:vAlign w:val="center"/>
          </w:tcPr>
          <w:p w14:paraId="3111A493">
            <w:pPr>
              <w:spacing w:line="240" w:lineRule="auto"/>
              <w:ind w:firstLine="0" w:firstLineChars="0"/>
              <w:jc w:val="center"/>
              <w:rPr>
                <w:color w:val="auto"/>
                <w:sz w:val="21"/>
                <w:szCs w:val="21"/>
              </w:rPr>
            </w:pPr>
            <w:r>
              <w:rPr>
                <w:rFonts w:hint="eastAsia"/>
                <w:color w:val="auto"/>
                <w:sz w:val="21"/>
                <w:szCs w:val="21"/>
              </w:rPr>
              <w:t>工业企业大气污染源构成类别</w:t>
            </w:r>
          </w:p>
        </w:tc>
      </w:tr>
      <w:tr w14:paraId="2033768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cantSplit/>
          <w:jc w:val="center"/>
        </w:trPr>
        <w:tc>
          <w:tcPr>
            <w:tcW w:w="1118" w:type="dxa"/>
            <w:vMerge w:val="continue"/>
            <w:tcBorders>
              <w:tl2br w:val="nil"/>
              <w:tr2bl w:val="nil"/>
            </w:tcBorders>
            <w:vAlign w:val="center"/>
          </w:tcPr>
          <w:p w14:paraId="1E003DE9">
            <w:pPr>
              <w:spacing w:line="240" w:lineRule="auto"/>
              <w:ind w:firstLine="0" w:firstLineChars="0"/>
              <w:jc w:val="center"/>
              <w:rPr>
                <w:color w:val="auto"/>
                <w:sz w:val="21"/>
                <w:szCs w:val="21"/>
              </w:rPr>
            </w:pPr>
          </w:p>
        </w:tc>
        <w:tc>
          <w:tcPr>
            <w:tcW w:w="1566" w:type="dxa"/>
            <w:vMerge w:val="continue"/>
            <w:tcBorders>
              <w:tl2br w:val="nil"/>
              <w:tr2bl w:val="nil"/>
            </w:tcBorders>
            <w:vAlign w:val="center"/>
          </w:tcPr>
          <w:p w14:paraId="50072116">
            <w:pPr>
              <w:spacing w:line="240" w:lineRule="auto"/>
              <w:ind w:firstLine="0" w:firstLineChars="0"/>
              <w:jc w:val="center"/>
              <w:rPr>
                <w:color w:val="auto"/>
                <w:sz w:val="21"/>
                <w:szCs w:val="21"/>
              </w:rPr>
            </w:pPr>
          </w:p>
        </w:tc>
        <w:tc>
          <w:tcPr>
            <w:tcW w:w="710" w:type="dxa"/>
            <w:tcBorders>
              <w:tl2br w:val="nil"/>
              <w:tr2bl w:val="nil"/>
            </w:tcBorders>
            <w:vAlign w:val="center"/>
          </w:tcPr>
          <w:p w14:paraId="1FDD31B5">
            <w:pPr>
              <w:spacing w:line="240" w:lineRule="auto"/>
              <w:ind w:firstLine="0" w:firstLineChars="0"/>
              <w:jc w:val="center"/>
              <w:rPr>
                <w:color w:val="auto"/>
                <w:sz w:val="21"/>
                <w:szCs w:val="21"/>
              </w:rPr>
            </w:pPr>
            <w:r>
              <w:rPr>
                <w:rFonts w:hint="eastAsia" w:ascii="宋体" w:hAnsi="宋体" w:cs="宋体"/>
                <w:color w:val="auto"/>
                <w:sz w:val="21"/>
                <w:szCs w:val="21"/>
              </w:rPr>
              <w:t>Ⅰ</w:t>
            </w:r>
          </w:p>
        </w:tc>
        <w:tc>
          <w:tcPr>
            <w:tcW w:w="709" w:type="dxa"/>
            <w:tcBorders>
              <w:tl2br w:val="nil"/>
              <w:tr2bl w:val="nil"/>
            </w:tcBorders>
            <w:vAlign w:val="center"/>
          </w:tcPr>
          <w:p w14:paraId="71A08FBA">
            <w:pPr>
              <w:spacing w:line="240" w:lineRule="auto"/>
              <w:ind w:firstLine="0" w:firstLineChars="0"/>
              <w:jc w:val="center"/>
              <w:rPr>
                <w:color w:val="auto"/>
                <w:sz w:val="21"/>
                <w:szCs w:val="21"/>
              </w:rPr>
            </w:pPr>
            <w:r>
              <w:rPr>
                <w:rFonts w:hint="eastAsia" w:ascii="宋体" w:hAnsi="宋体" w:cs="宋体"/>
                <w:color w:val="auto"/>
                <w:sz w:val="21"/>
                <w:szCs w:val="21"/>
              </w:rPr>
              <w:t>Ⅱ</w:t>
            </w:r>
          </w:p>
        </w:tc>
        <w:tc>
          <w:tcPr>
            <w:tcW w:w="711" w:type="dxa"/>
            <w:tcBorders>
              <w:tl2br w:val="nil"/>
              <w:tr2bl w:val="nil"/>
            </w:tcBorders>
            <w:vAlign w:val="center"/>
          </w:tcPr>
          <w:p w14:paraId="405F8F90">
            <w:pPr>
              <w:spacing w:line="240" w:lineRule="auto"/>
              <w:ind w:firstLine="0" w:firstLineChars="0"/>
              <w:jc w:val="center"/>
              <w:rPr>
                <w:color w:val="auto"/>
                <w:sz w:val="21"/>
                <w:szCs w:val="21"/>
              </w:rPr>
            </w:pPr>
            <w:r>
              <w:rPr>
                <w:rFonts w:hint="eastAsia" w:ascii="宋体" w:hAnsi="宋体" w:cs="宋体"/>
                <w:color w:val="auto"/>
                <w:sz w:val="21"/>
                <w:szCs w:val="21"/>
              </w:rPr>
              <w:t>Ⅲ</w:t>
            </w:r>
          </w:p>
        </w:tc>
        <w:tc>
          <w:tcPr>
            <w:tcW w:w="709" w:type="dxa"/>
            <w:tcBorders>
              <w:tl2br w:val="nil"/>
              <w:tr2bl w:val="nil"/>
            </w:tcBorders>
            <w:vAlign w:val="center"/>
          </w:tcPr>
          <w:p w14:paraId="0A5DFA4F">
            <w:pPr>
              <w:spacing w:line="240" w:lineRule="auto"/>
              <w:ind w:firstLine="0" w:firstLineChars="0"/>
              <w:jc w:val="center"/>
              <w:rPr>
                <w:color w:val="auto"/>
                <w:sz w:val="21"/>
                <w:szCs w:val="21"/>
              </w:rPr>
            </w:pPr>
            <w:r>
              <w:rPr>
                <w:rFonts w:hint="eastAsia" w:ascii="宋体" w:hAnsi="宋体" w:cs="宋体"/>
                <w:color w:val="auto"/>
                <w:sz w:val="21"/>
                <w:szCs w:val="21"/>
              </w:rPr>
              <w:t>Ⅰ</w:t>
            </w:r>
          </w:p>
        </w:tc>
        <w:tc>
          <w:tcPr>
            <w:tcW w:w="711" w:type="dxa"/>
            <w:tcBorders>
              <w:tl2br w:val="nil"/>
              <w:tr2bl w:val="nil"/>
            </w:tcBorders>
            <w:vAlign w:val="center"/>
          </w:tcPr>
          <w:p w14:paraId="5A6F3681">
            <w:pPr>
              <w:spacing w:line="240" w:lineRule="auto"/>
              <w:ind w:firstLine="0" w:firstLineChars="0"/>
              <w:jc w:val="center"/>
              <w:rPr>
                <w:color w:val="auto"/>
                <w:sz w:val="21"/>
                <w:szCs w:val="21"/>
              </w:rPr>
            </w:pPr>
            <w:r>
              <w:rPr>
                <w:rFonts w:hint="eastAsia" w:ascii="宋体" w:hAnsi="宋体" w:cs="宋体"/>
                <w:color w:val="auto"/>
                <w:sz w:val="21"/>
                <w:szCs w:val="21"/>
              </w:rPr>
              <w:t>Ⅱ</w:t>
            </w:r>
          </w:p>
        </w:tc>
        <w:tc>
          <w:tcPr>
            <w:tcW w:w="709" w:type="dxa"/>
            <w:tcBorders>
              <w:tl2br w:val="nil"/>
              <w:tr2bl w:val="nil"/>
            </w:tcBorders>
            <w:vAlign w:val="center"/>
          </w:tcPr>
          <w:p w14:paraId="49634417">
            <w:pPr>
              <w:spacing w:line="240" w:lineRule="auto"/>
              <w:ind w:firstLine="0" w:firstLineChars="0"/>
              <w:jc w:val="center"/>
              <w:rPr>
                <w:color w:val="auto"/>
                <w:sz w:val="21"/>
                <w:szCs w:val="21"/>
              </w:rPr>
            </w:pPr>
            <w:r>
              <w:rPr>
                <w:rFonts w:hint="eastAsia" w:ascii="宋体" w:hAnsi="宋体" w:cs="宋体"/>
                <w:color w:val="auto"/>
                <w:sz w:val="21"/>
                <w:szCs w:val="21"/>
              </w:rPr>
              <w:t>Ⅲ</w:t>
            </w:r>
          </w:p>
        </w:tc>
        <w:tc>
          <w:tcPr>
            <w:tcW w:w="709" w:type="dxa"/>
            <w:tcBorders>
              <w:tl2br w:val="nil"/>
              <w:tr2bl w:val="nil"/>
            </w:tcBorders>
            <w:vAlign w:val="center"/>
          </w:tcPr>
          <w:p w14:paraId="2B108623">
            <w:pPr>
              <w:spacing w:line="240" w:lineRule="auto"/>
              <w:ind w:firstLine="0" w:firstLineChars="0"/>
              <w:jc w:val="center"/>
              <w:rPr>
                <w:color w:val="auto"/>
                <w:sz w:val="21"/>
                <w:szCs w:val="21"/>
              </w:rPr>
            </w:pPr>
            <w:r>
              <w:rPr>
                <w:rFonts w:hint="eastAsia" w:ascii="宋体" w:hAnsi="宋体" w:cs="宋体"/>
                <w:color w:val="auto"/>
                <w:sz w:val="21"/>
                <w:szCs w:val="21"/>
              </w:rPr>
              <w:t>Ⅰ</w:t>
            </w:r>
          </w:p>
        </w:tc>
        <w:tc>
          <w:tcPr>
            <w:tcW w:w="709" w:type="dxa"/>
            <w:tcBorders>
              <w:tl2br w:val="nil"/>
              <w:tr2bl w:val="nil"/>
            </w:tcBorders>
            <w:vAlign w:val="center"/>
          </w:tcPr>
          <w:p w14:paraId="76DB3C15">
            <w:pPr>
              <w:spacing w:line="240" w:lineRule="auto"/>
              <w:ind w:firstLine="0" w:firstLineChars="0"/>
              <w:jc w:val="center"/>
              <w:rPr>
                <w:color w:val="auto"/>
                <w:sz w:val="21"/>
                <w:szCs w:val="21"/>
              </w:rPr>
            </w:pPr>
            <w:r>
              <w:rPr>
                <w:rFonts w:hint="eastAsia" w:ascii="宋体" w:hAnsi="宋体" w:cs="宋体"/>
                <w:color w:val="auto"/>
                <w:sz w:val="21"/>
                <w:szCs w:val="21"/>
              </w:rPr>
              <w:t>Ⅱ</w:t>
            </w:r>
          </w:p>
        </w:tc>
        <w:tc>
          <w:tcPr>
            <w:tcW w:w="709" w:type="dxa"/>
            <w:tcBorders>
              <w:tl2br w:val="nil"/>
              <w:tr2bl w:val="nil"/>
            </w:tcBorders>
            <w:vAlign w:val="center"/>
          </w:tcPr>
          <w:p w14:paraId="017731CC">
            <w:pPr>
              <w:spacing w:line="240" w:lineRule="auto"/>
              <w:ind w:firstLine="0" w:firstLineChars="0"/>
              <w:jc w:val="center"/>
              <w:rPr>
                <w:color w:val="auto"/>
                <w:sz w:val="21"/>
                <w:szCs w:val="21"/>
              </w:rPr>
            </w:pPr>
            <w:r>
              <w:rPr>
                <w:rFonts w:hint="eastAsia" w:ascii="宋体" w:hAnsi="宋体" w:cs="宋体"/>
                <w:color w:val="auto"/>
                <w:sz w:val="21"/>
                <w:szCs w:val="21"/>
              </w:rPr>
              <w:t>Ⅲ</w:t>
            </w:r>
          </w:p>
        </w:tc>
      </w:tr>
      <w:tr w14:paraId="6236CFD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cantSplit/>
          <w:jc w:val="center"/>
        </w:trPr>
        <w:tc>
          <w:tcPr>
            <w:tcW w:w="1118" w:type="dxa"/>
            <w:vMerge w:val="restart"/>
            <w:tcBorders>
              <w:tl2br w:val="nil"/>
              <w:tr2bl w:val="nil"/>
            </w:tcBorders>
            <w:vAlign w:val="center"/>
          </w:tcPr>
          <w:p w14:paraId="22965EB1">
            <w:pPr>
              <w:spacing w:line="240" w:lineRule="auto"/>
              <w:ind w:firstLine="0" w:firstLineChars="0"/>
              <w:jc w:val="center"/>
              <w:rPr>
                <w:color w:val="auto"/>
                <w:sz w:val="21"/>
                <w:szCs w:val="21"/>
              </w:rPr>
            </w:pPr>
            <w:r>
              <w:rPr>
                <w:rFonts w:hint="eastAsia"/>
                <w:color w:val="auto"/>
                <w:sz w:val="21"/>
                <w:szCs w:val="21"/>
              </w:rPr>
              <w:t>A</w:t>
            </w:r>
          </w:p>
        </w:tc>
        <w:tc>
          <w:tcPr>
            <w:tcW w:w="1566" w:type="dxa"/>
            <w:tcBorders>
              <w:tl2br w:val="nil"/>
              <w:tr2bl w:val="nil"/>
            </w:tcBorders>
            <w:vAlign w:val="center"/>
          </w:tcPr>
          <w:p w14:paraId="603446F8">
            <w:pPr>
              <w:spacing w:line="240" w:lineRule="auto"/>
              <w:ind w:firstLine="0" w:firstLineChars="0"/>
              <w:jc w:val="center"/>
              <w:rPr>
                <w:color w:val="auto"/>
                <w:sz w:val="21"/>
                <w:szCs w:val="21"/>
              </w:rPr>
            </w:pPr>
            <w:r>
              <w:rPr>
                <w:rFonts w:hint="eastAsia"/>
                <w:color w:val="auto"/>
                <w:sz w:val="21"/>
                <w:szCs w:val="21"/>
              </w:rPr>
              <w:t>&lt;2</w:t>
            </w:r>
          </w:p>
        </w:tc>
        <w:tc>
          <w:tcPr>
            <w:tcW w:w="710" w:type="dxa"/>
            <w:tcBorders>
              <w:tl2br w:val="nil"/>
              <w:tr2bl w:val="nil"/>
            </w:tcBorders>
            <w:vAlign w:val="center"/>
          </w:tcPr>
          <w:p w14:paraId="3D152EE1">
            <w:pPr>
              <w:spacing w:line="240" w:lineRule="auto"/>
              <w:ind w:firstLine="0" w:firstLineChars="0"/>
              <w:jc w:val="center"/>
              <w:rPr>
                <w:color w:val="auto"/>
                <w:sz w:val="21"/>
                <w:szCs w:val="21"/>
              </w:rPr>
            </w:pPr>
            <w:r>
              <w:rPr>
                <w:rFonts w:hint="eastAsia"/>
                <w:color w:val="auto"/>
                <w:sz w:val="21"/>
                <w:szCs w:val="21"/>
              </w:rPr>
              <w:t>400</w:t>
            </w:r>
          </w:p>
        </w:tc>
        <w:tc>
          <w:tcPr>
            <w:tcW w:w="709" w:type="dxa"/>
            <w:tcBorders>
              <w:tl2br w:val="nil"/>
              <w:tr2bl w:val="nil"/>
            </w:tcBorders>
            <w:vAlign w:val="center"/>
          </w:tcPr>
          <w:p w14:paraId="452D5C21">
            <w:pPr>
              <w:spacing w:line="240" w:lineRule="auto"/>
              <w:ind w:firstLine="0" w:firstLineChars="0"/>
              <w:jc w:val="center"/>
              <w:rPr>
                <w:color w:val="auto"/>
                <w:sz w:val="21"/>
                <w:szCs w:val="21"/>
              </w:rPr>
            </w:pPr>
            <w:r>
              <w:rPr>
                <w:rFonts w:hint="eastAsia"/>
                <w:color w:val="auto"/>
                <w:sz w:val="21"/>
                <w:szCs w:val="21"/>
              </w:rPr>
              <w:t>400</w:t>
            </w:r>
          </w:p>
        </w:tc>
        <w:tc>
          <w:tcPr>
            <w:tcW w:w="711" w:type="dxa"/>
            <w:tcBorders>
              <w:tl2br w:val="nil"/>
              <w:tr2bl w:val="nil"/>
            </w:tcBorders>
            <w:vAlign w:val="center"/>
          </w:tcPr>
          <w:p w14:paraId="1A7B96D1">
            <w:pPr>
              <w:spacing w:line="240" w:lineRule="auto"/>
              <w:ind w:firstLine="0" w:firstLineChars="0"/>
              <w:jc w:val="center"/>
              <w:rPr>
                <w:color w:val="auto"/>
                <w:sz w:val="21"/>
                <w:szCs w:val="21"/>
              </w:rPr>
            </w:pPr>
            <w:r>
              <w:rPr>
                <w:rFonts w:hint="eastAsia"/>
                <w:color w:val="auto"/>
                <w:sz w:val="21"/>
                <w:szCs w:val="21"/>
              </w:rPr>
              <w:t>400</w:t>
            </w:r>
          </w:p>
        </w:tc>
        <w:tc>
          <w:tcPr>
            <w:tcW w:w="709" w:type="dxa"/>
            <w:tcBorders>
              <w:tl2br w:val="nil"/>
              <w:tr2bl w:val="nil"/>
            </w:tcBorders>
            <w:vAlign w:val="center"/>
          </w:tcPr>
          <w:p w14:paraId="4CCD8721">
            <w:pPr>
              <w:spacing w:line="240" w:lineRule="auto"/>
              <w:ind w:firstLine="0" w:firstLineChars="0"/>
              <w:jc w:val="center"/>
              <w:rPr>
                <w:color w:val="auto"/>
                <w:sz w:val="21"/>
                <w:szCs w:val="21"/>
              </w:rPr>
            </w:pPr>
            <w:r>
              <w:rPr>
                <w:rFonts w:hint="eastAsia"/>
                <w:color w:val="auto"/>
                <w:sz w:val="21"/>
                <w:szCs w:val="21"/>
              </w:rPr>
              <w:t>400</w:t>
            </w:r>
          </w:p>
        </w:tc>
        <w:tc>
          <w:tcPr>
            <w:tcW w:w="711" w:type="dxa"/>
            <w:tcBorders>
              <w:tl2br w:val="nil"/>
              <w:tr2bl w:val="nil"/>
            </w:tcBorders>
            <w:vAlign w:val="center"/>
          </w:tcPr>
          <w:p w14:paraId="3BDD83DF">
            <w:pPr>
              <w:spacing w:line="240" w:lineRule="auto"/>
              <w:ind w:firstLine="0" w:firstLineChars="0"/>
              <w:jc w:val="center"/>
              <w:rPr>
                <w:color w:val="auto"/>
                <w:sz w:val="21"/>
                <w:szCs w:val="21"/>
              </w:rPr>
            </w:pPr>
            <w:r>
              <w:rPr>
                <w:rFonts w:hint="eastAsia"/>
                <w:color w:val="auto"/>
                <w:sz w:val="21"/>
                <w:szCs w:val="21"/>
              </w:rPr>
              <w:t>400</w:t>
            </w:r>
          </w:p>
        </w:tc>
        <w:tc>
          <w:tcPr>
            <w:tcW w:w="709" w:type="dxa"/>
            <w:tcBorders>
              <w:tl2br w:val="nil"/>
              <w:tr2bl w:val="nil"/>
            </w:tcBorders>
            <w:vAlign w:val="center"/>
          </w:tcPr>
          <w:p w14:paraId="1DA07D48">
            <w:pPr>
              <w:spacing w:line="240" w:lineRule="auto"/>
              <w:ind w:firstLine="0" w:firstLineChars="0"/>
              <w:jc w:val="center"/>
              <w:rPr>
                <w:color w:val="auto"/>
                <w:sz w:val="21"/>
                <w:szCs w:val="21"/>
              </w:rPr>
            </w:pPr>
            <w:r>
              <w:rPr>
                <w:rFonts w:hint="eastAsia"/>
                <w:color w:val="auto"/>
                <w:sz w:val="21"/>
                <w:szCs w:val="21"/>
              </w:rPr>
              <w:t>400</w:t>
            </w:r>
          </w:p>
        </w:tc>
        <w:tc>
          <w:tcPr>
            <w:tcW w:w="709" w:type="dxa"/>
            <w:tcBorders>
              <w:tl2br w:val="nil"/>
              <w:tr2bl w:val="nil"/>
            </w:tcBorders>
            <w:vAlign w:val="center"/>
          </w:tcPr>
          <w:p w14:paraId="67A32AF8">
            <w:pPr>
              <w:spacing w:line="240" w:lineRule="auto"/>
              <w:ind w:firstLine="0" w:firstLineChars="0"/>
              <w:jc w:val="center"/>
              <w:rPr>
                <w:color w:val="auto"/>
                <w:sz w:val="21"/>
                <w:szCs w:val="21"/>
              </w:rPr>
            </w:pPr>
            <w:r>
              <w:rPr>
                <w:rFonts w:hint="eastAsia"/>
                <w:color w:val="auto"/>
                <w:sz w:val="21"/>
                <w:szCs w:val="21"/>
              </w:rPr>
              <w:t>80</w:t>
            </w:r>
          </w:p>
        </w:tc>
        <w:tc>
          <w:tcPr>
            <w:tcW w:w="709" w:type="dxa"/>
            <w:tcBorders>
              <w:tl2br w:val="nil"/>
              <w:tr2bl w:val="nil"/>
            </w:tcBorders>
            <w:vAlign w:val="center"/>
          </w:tcPr>
          <w:p w14:paraId="6100A848">
            <w:pPr>
              <w:spacing w:line="240" w:lineRule="auto"/>
              <w:ind w:firstLine="0" w:firstLineChars="0"/>
              <w:jc w:val="center"/>
              <w:rPr>
                <w:color w:val="auto"/>
                <w:sz w:val="21"/>
                <w:szCs w:val="21"/>
              </w:rPr>
            </w:pPr>
            <w:r>
              <w:rPr>
                <w:rFonts w:hint="eastAsia"/>
                <w:color w:val="auto"/>
                <w:sz w:val="21"/>
                <w:szCs w:val="21"/>
              </w:rPr>
              <w:t>80</w:t>
            </w:r>
          </w:p>
        </w:tc>
        <w:tc>
          <w:tcPr>
            <w:tcW w:w="709" w:type="dxa"/>
            <w:tcBorders>
              <w:tl2br w:val="nil"/>
              <w:tr2bl w:val="nil"/>
            </w:tcBorders>
            <w:vAlign w:val="center"/>
          </w:tcPr>
          <w:p w14:paraId="0DF4F693">
            <w:pPr>
              <w:spacing w:line="240" w:lineRule="auto"/>
              <w:ind w:firstLine="0" w:firstLineChars="0"/>
              <w:jc w:val="center"/>
              <w:rPr>
                <w:color w:val="auto"/>
                <w:sz w:val="21"/>
                <w:szCs w:val="21"/>
              </w:rPr>
            </w:pPr>
            <w:r>
              <w:rPr>
                <w:rFonts w:hint="eastAsia"/>
                <w:color w:val="auto"/>
                <w:sz w:val="21"/>
                <w:szCs w:val="21"/>
              </w:rPr>
              <w:t>80</w:t>
            </w:r>
          </w:p>
        </w:tc>
      </w:tr>
      <w:tr w14:paraId="1BFFD4F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cantSplit/>
          <w:jc w:val="center"/>
        </w:trPr>
        <w:tc>
          <w:tcPr>
            <w:tcW w:w="1118" w:type="dxa"/>
            <w:vMerge w:val="continue"/>
            <w:tcBorders>
              <w:tl2br w:val="nil"/>
              <w:tr2bl w:val="nil"/>
            </w:tcBorders>
            <w:vAlign w:val="center"/>
          </w:tcPr>
          <w:p w14:paraId="0B6D5C3B">
            <w:pPr>
              <w:spacing w:line="240" w:lineRule="auto"/>
              <w:ind w:firstLine="0" w:firstLineChars="0"/>
              <w:jc w:val="center"/>
              <w:rPr>
                <w:color w:val="auto"/>
                <w:sz w:val="21"/>
                <w:szCs w:val="21"/>
              </w:rPr>
            </w:pPr>
          </w:p>
        </w:tc>
        <w:tc>
          <w:tcPr>
            <w:tcW w:w="1566" w:type="dxa"/>
            <w:tcBorders>
              <w:tl2br w:val="nil"/>
              <w:tr2bl w:val="nil"/>
            </w:tcBorders>
            <w:vAlign w:val="center"/>
          </w:tcPr>
          <w:p w14:paraId="18239A0C">
            <w:pPr>
              <w:spacing w:line="240" w:lineRule="auto"/>
              <w:ind w:firstLine="0" w:firstLineChars="0"/>
              <w:jc w:val="center"/>
              <w:rPr>
                <w:color w:val="auto"/>
                <w:sz w:val="21"/>
                <w:szCs w:val="21"/>
              </w:rPr>
            </w:pPr>
            <w:r>
              <w:rPr>
                <w:rFonts w:hint="eastAsia"/>
                <w:color w:val="auto"/>
                <w:sz w:val="21"/>
                <w:szCs w:val="21"/>
              </w:rPr>
              <w:t>2～4</w:t>
            </w:r>
          </w:p>
        </w:tc>
        <w:tc>
          <w:tcPr>
            <w:tcW w:w="710" w:type="dxa"/>
            <w:tcBorders>
              <w:tl2br w:val="nil"/>
              <w:tr2bl w:val="nil"/>
            </w:tcBorders>
            <w:vAlign w:val="center"/>
          </w:tcPr>
          <w:p w14:paraId="6BB356B4">
            <w:pPr>
              <w:spacing w:line="240" w:lineRule="auto"/>
              <w:ind w:firstLine="0" w:firstLineChars="0"/>
              <w:jc w:val="center"/>
              <w:rPr>
                <w:color w:val="auto"/>
                <w:sz w:val="21"/>
                <w:szCs w:val="21"/>
              </w:rPr>
            </w:pPr>
            <w:r>
              <w:rPr>
                <w:rFonts w:hint="eastAsia"/>
                <w:color w:val="auto"/>
                <w:sz w:val="21"/>
                <w:szCs w:val="21"/>
              </w:rPr>
              <w:t>700</w:t>
            </w:r>
          </w:p>
        </w:tc>
        <w:tc>
          <w:tcPr>
            <w:tcW w:w="709" w:type="dxa"/>
            <w:tcBorders>
              <w:tl2br w:val="nil"/>
              <w:tr2bl w:val="nil"/>
            </w:tcBorders>
            <w:vAlign w:val="center"/>
          </w:tcPr>
          <w:p w14:paraId="3A770BC5">
            <w:pPr>
              <w:spacing w:line="240" w:lineRule="auto"/>
              <w:ind w:firstLine="0" w:firstLineChars="0"/>
              <w:jc w:val="center"/>
              <w:rPr>
                <w:color w:val="auto"/>
                <w:sz w:val="21"/>
                <w:szCs w:val="21"/>
              </w:rPr>
            </w:pPr>
            <w:r>
              <w:rPr>
                <w:rFonts w:hint="eastAsia"/>
                <w:color w:val="auto"/>
                <w:sz w:val="21"/>
                <w:szCs w:val="21"/>
              </w:rPr>
              <w:t>470</w:t>
            </w:r>
          </w:p>
        </w:tc>
        <w:tc>
          <w:tcPr>
            <w:tcW w:w="711" w:type="dxa"/>
            <w:tcBorders>
              <w:tl2br w:val="nil"/>
              <w:tr2bl w:val="nil"/>
            </w:tcBorders>
            <w:vAlign w:val="center"/>
          </w:tcPr>
          <w:p w14:paraId="6B7A8C2A">
            <w:pPr>
              <w:spacing w:line="240" w:lineRule="auto"/>
              <w:ind w:firstLine="0" w:firstLineChars="0"/>
              <w:jc w:val="center"/>
              <w:rPr>
                <w:color w:val="auto"/>
                <w:sz w:val="21"/>
                <w:szCs w:val="21"/>
              </w:rPr>
            </w:pPr>
            <w:r>
              <w:rPr>
                <w:rFonts w:hint="eastAsia"/>
                <w:color w:val="auto"/>
                <w:sz w:val="21"/>
                <w:szCs w:val="21"/>
              </w:rPr>
              <w:t>350</w:t>
            </w:r>
          </w:p>
        </w:tc>
        <w:tc>
          <w:tcPr>
            <w:tcW w:w="709" w:type="dxa"/>
            <w:tcBorders>
              <w:tl2br w:val="nil"/>
              <w:tr2bl w:val="nil"/>
            </w:tcBorders>
            <w:vAlign w:val="center"/>
          </w:tcPr>
          <w:p w14:paraId="39DA27BA">
            <w:pPr>
              <w:spacing w:line="240" w:lineRule="auto"/>
              <w:ind w:firstLine="0" w:firstLineChars="0"/>
              <w:jc w:val="center"/>
              <w:rPr>
                <w:color w:val="auto"/>
                <w:sz w:val="21"/>
                <w:szCs w:val="21"/>
              </w:rPr>
            </w:pPr>
            <w:r>
              <w:rPr>
                <w:rFonts w:hint="eastAsia"/>
                <w:color w:val="auto"/>
                <w:sz w:val="21"/>
                <w:szCs w:val="21"/>
              </w:rPr>
              <w:t>700</w:t>
            </w:r>
          </w:p>
        </w:tc>
        <w:tc>
          <w:tcPr>
            <w:tcW w:w="711" w:type="dxa"/>
            <w:tcBorders>
              <w:tl2br w:val="nil"/>
              <w:tr2bl w:val="nil"/>
            </w:tcBorders>
            <w:vAlign w:val="center"/>
          </w:tcPr>
          <w:p w14:paraId="50FE810B">
            <w:pPr>
              <w:spacing w:line="240" w:lineRule="auto"/>
              <w:ind w:firstLine="0" w:firstLineChars="0"/>
              <w:jc w:val="center"/>
              <w:rPr>
                <w:color w:val="auto"/>
                <w:sz w:val="21"/>
                <w:szCs w:val="21"/>
              </w:rPr>
            </w:pPr>
            <w:r>
              <w:rPr>
                <w:rFonts w:hint="eastAsia"/>
                <w:color w:val="auto"/>
                <w:sz w:val="21"/>
                <w:szCs w:val="21"/>
              </w:rPr>
              <w:t>470</w:t>
            </w:r>
          </w:p>
        </w:tc>
        <w:tc>
          <w:tcPr>
            <w:tcW w:w="709" w:type="dxa"/>
            <w:tcBorders>
              <w:tl2br w:val="nil"/>
              <w:tr2bl w:val="nil"/>
            </w:tcBorders>
            <w:vAlign w:val="center"/>
          </w:tcPr>
          <w:p w14:paraId="3368099D">
            <w:pPr>
              <w:spacing w:line="240" w:lineRule="auto"/>
              <w:ind w:firstLine="0" w:firstLineChars="0"/>
              <w:jc w:val="center"/>
              <w:rPr>
                <w:color w:val="auto"/>
                <w:sz w:val="21"/>
                <w:szCs w:val="21"/>
              </w:rPr>
            </w:pPr>
            <w:r>
              <w:rPr>
                <w:rFonts w:hint="eastAsia"/>
                <w:color w:val="auto"/>
                <w:sz w:val="21"/>
                <w:szCs w:val="21"/>
              </w:rPr>
              <w:t>350</w:t>
            </w:r>
          </w:p>
        </w:tc>
        <w:tc>
          <w:tcPr>
            <w:tcW w:w="709" w:type="dxa"/>
            <w:tcBorders>
              <w:tl2br w:val="nil"/>
              <w:tr2bl w:val="nil"/>
            </w:tcBorders>
            <w:vAlign w:val="center"/>
          </w:tcPr>
          <w:p w14:paraId="667B5F47">
            <w:pPr>
              <w:spacing w:line="240" w:lineRule="auto"/>
              <w:ind w:firstLine="0" w:firstLineChars="0"/>
              <w:jc w:val="center"/>
              <w:rPr>
                <w:color w:val="auto"/>
                <w:sz w:val="21"/>
                <w:szCs w:val="21"/>
              </w:rPr>
            </w:pPr>
            <w:r>
              <w:rPr>
                <w:rFonts w:hint="eastAsia"/>
                <w:color w:val="auto"/>
                <w:sz w:val="21"/>
                <w:szCs w:val="21"/>
              </w:rPr>
              <w:t>380</w:t>
            </w:r>
          </w:p>
        </w:tc>
        <w:tc>
          <w:tcPr>
            <w:tcW w:w="709" w:type="dxa"/>
            <w:tcBorders>
              <w:tl2br w:val="nil"/>
              <w:tr2bl w:val="nil"/>
            </w:tcBorders>
            <w:vAlign w:val="center"/>
          </w:tcPr>
          <w:p w14:paraId="295E9D73">
            <w:pPr>
              <w:spacing w:line="240" w:lineRule="auto"/>
              <w:ind w:firstLine="0" w:firstLineChars="0"/>
              <w:jc w:val="center"/>
              <w:rPr>
                <w:color w:val="auto"/>
                <w:sz w:val="21"/>
                <w:szCs w:val="21"/>
              </w:rPr>
            </w:pPr>
            <w:r>
              <w:rPr>
                <w:rFonts w:hint="eastAsia"/>
                <w:color w:val="auto"/>
                <w:sz w:val="21"/>
                <w:szCs w:val="21"/>
              </w:rPr>
              <w:t>250</w:t>
            </w:r>
          </w:p>
        </w:tc>
        <w:tc>
          <w:tcPr>
            <w:tcW w:w="709" w:type="dxa"/>
            <w:tcBorders>
              <w:tl2br w:val="nil"/>
              <w:tr2bl w:val="nil"/>
            </w:tcBorders>
            <w:vAlign w:val="center"/>
          </w:tcPr>
          <w:p w14:paraId="2248C3F5">
            <w:pPr>
              <w:spacing w:line="240" w:lineRule="auto"/>
              <w:ind w:firstLine="0" w:firstLineChars="0"/>
              <w:jc w:val="center"/>
              <w:rPr>
                <w:color w:val="auto"/>
                <w:sz w:val="21"/>
                <w:szCs w:val="21"/>
              </w:rPr>
            </w:pPr>
            <w:r>
              <w:rPr>
                <w:rFonts w:hint="eastAsia"/>
                <w:color w:val="auto"/>
                <w:sz w:val="21"/>
                <w:szCs w:val="21"/>
              </w:rPr>
              <w:t>190</w:t>
            </w:r>
          </w:p>
        </w:tc>
      </w:tr>
      <w:tr w14:paraId="26DB81F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cantSplit/>
          <w:jc w:val="center"/>
        </w:trPr>
        <w:tc>
          <w:tcPr>
            <w:tcW w:w="1118" w:type="dxa"/>
            <w:vMerge w:val="continue"/>
            <w:tcBorders>
              <w:tl2br w:val="nil"/>
              <w:tr2bl w:val="nil"/>
            </w:tcBorders>
            <w:vAlign w:val="center"/>
          </w:tcPr>
          <w:p w14:paraId="0367F771">
            <w:pPr>
              <w:spacing w:line="240" w:lineRule="auto"/>
              <w:ind w:firstLine="0" w:firstLineChars="0"/>
              <w:jc w:val="center"/>
              <w:rPr>
                <w:color w:val="auto"/>
                <w:sz w:val="21"/>
                <w:szCs w:val="21"/>
              </w:rPr>
            </w:pPr>
          </w:p>
        </w:tc>
        <w:tc>
          <w:tcPr>
            <w:tcW w:w="1566" w:type="dxa"/>
            <w:tcBorders>
              <w:tl2br w:val="nil"/>
              <w:tr2bl w:val="nil"/>
            </w:tcBorders>
            <w:vAlign w:val="center"/>
          </w:tcPr>
          <w:p w14:paraId="73F43922">
            <w:pPr>
              <w:spacing w:line="240" w:lineRule="auto"/>
              <w:ind w:firstLine="0" w:firstLineChars="0"/>
              <w:jc w:val="center"/>
              <w:rPr>
                <w:color w:val="auto"/>
                <w:sz w:val="21"/>
                <w:szCs w:val="21"/>
              </w:rPr>
            </w:pPr>
            <w:r>
              <w:rPr>
                <w:rFonts w:hint="eastAsia"/>
                <w:color w:val="auto"/>
                <w:sz w:val="21"/>
                <w:szCs w:val="21"/>
              </w:rPr>
              <w:t>&gt;4</w:t>
            </w:r>
          </w:p>
        </w:tc>
        <w:tc>
          <w:tcPr>
            <w:tcW w:w="710" w:type="dxa"/>
            <w:tcBorders>
              <w:tl2br w:val="nil"/>
              <w:tr2bl w:val="nil"/>
            </w:tcBorders>
            <w:vAlign w:val="center"/>
          </w:tcPr>
          <w:p w14:paraId="73779B16">
            <w:pPr>
              <w:spacing w:line="240" w:lineRule="auto"/>
              <w:ind w:firstLine="0" w:firstLineChars="0"/>
              <w:jc w:val="center"/>
              <w:rPr>
                <w:color w:val="auto"/>
                <w:sz w:val="21"/>
                <w:szCs w:val="21"/>
              </w:rPr>
            </w:pPr>
            <w:r>
              <w:rPr>
                <w:rFonts w:hint="eastAsia"/>
                <w:color w:val="auto"/>
                <w:sz w:val="21"/>
                <w:szCs w:val="21"/>
              </w:rPr>
              <w:t>530</w:t>
            </w:r>
          </w:p>
        </w:tc>
        <w:tc>
          <w:tcPr>
            <w:tcW w:w="709" w:type="dxa"/>
            <w:tcBorders>
              <w:tl2br w:val="nil"/>
              <w:tr2bl w:val="nil"/>
            </w:tcBorders>
            <w:vAlign w:val="center"/>
          </w:tcPr>
          <w:p w14:paraId="0C57DB86">
            <w:pPr>
              <w:spacing w:line="240" w:lineRule="auto"/>
              <w:ind w:firstLine="0" w:firstLineChars="0"/>
              <w:jc w:val="center"/>
              <w:rPr>
                <w:color w:val="auto"/>
                <w:sz w:val="21"/>
                <w:szCs w:val="21"/>
              </w:rPr>
            </w:pPr>
            <w:r>
              <w:rPr>
                <w:rFonts w:hint="eastAsia"/>
                <w:color w:val="auto"/>
                <w:sz w:val="21"/>
                <w:szCs w:val="21"/>
              </w:rPr>
              <w:t>350</w:t>
            </w:r>
          </w:p>
        </w:tc>
        <w:tc>
          <w:tcPr>
            <w:tcW w:w="711" w:type="dxa"/>
            <w:tcBorders>
              <w:tl2br w:val="nil"/>
              <w:tr2bl w:val="nil"/>
            </w:tcBorders>
            <w:vAlign w:val="center"/>
          </w:tcPr>
          <w:p w14:paraId="4C4A1A57">
            <w:pPr>
              <w:spacing w:line="240" w:lineRule="auto"/>
              <w:ind w:firstLine="0" w:firstLineChars="0"/>
              <w:jc w:val="center"/>
              <w:rPr>
                <w:color w:val="auto"/>
                <w:sz w:val="21"/>
                <w:szCs w:val="21"/>
              </w:rPr>
            </w:pPr>
            <w:r>
              <w:rPr>
                <w:rFonts w:hint="eastAsia"/>
                <w:color w:val="auto"/>
                <w:sz w:val="21"/>
                <w:szCs w:val="21"/>
              </w:rPr>
              <w:t>260</w:t>
            </w:r>
          </w:p>
        </w:tc>
        <w:tc>
          <w:tcPr>
            <w:tcW w:w="709" w:type="dxa"/>
            <w:tcBorders>
              <w:tl2br w:val="nil"/>
              <w:tr2bl w:val="nil"/>
            </w:tcBorders>
            <w:vAlign w:val="center"/>
          </w:tcPr>
          <w:p w14:paraId="0D3FE523">
            <w:pPr>
              <w:spacing w:line="240" w:lineRule="auto"/>
              <w:ind w:firstLine="0" w:firstLineChars="0"/>
              <w:jc w:val="center"/>
              <w:rPr>
                <w:color w:val="auto"/>
                <w:sz w:val="21"/>
                <w:szCs w:val="21"/>
              </w:rPr>
            </w:pPr>
            <w:r>
              <w:rPr>
                <w:rFonts w:hint="eastAsia"/>
                <w:color w:val="auto"/>
                <w:sz w:val="21"/>
                <w:szCs w:val="21"/>
              </w:rPr>
              <w:t>530</w:t>
            </w:r>
          </w:p>
        </w:tc>
        <w:tc>
          <w:tcPr>
            <w:tcW w:w="711" w:type="dxa"/>
            <w:tcBorders>
              <w:tl2br w:val="nil"/>
              <w:tr2bl w:val="nil"/>
            </w:tcBorders>
            <w:vAlign w:val="center"/>
          </w:tcPr>
          <w:p w14:paraId="3A6C5E0B">
            <w:pPr>
              <w:spacing w:line="240" w:lineRule="auto"/>
              <w:ind w:firstLine="0" w:firstLineChars="0"/>
              <w:jc w:val="center"/>
              <w:rPr>
                <w:color w:val="auto"/>
                <w:sz w:val="21"/>
                <w:szCs w:val="21"/>
              </w:rPr>
            </w:pPr>
            <w:r>
              <w:rPr>
                <w:rFonts w:hint="eastAsia"/>
                <w:color w:val="auto"/>
                <w:sz w:val="21"/>
                <w:szCs w:val="21"/>
              </w:rPr>
              <w:t>350</w:t>
            </w:r>
          </w:p>
        </w:tc>
        <w:tc>
          <w:tcPr>
            <w:tcW w:w="709" w:type="dxa"/>
            <w:tcBorders>
              <w:tl2br w:val="nil"/>
              <w:tr2bl w:val="nil"/>
            </w:tcBorders>
            <w:vAlign w:val="center"/>
          </w:tcPr>
          <w:p w14:paraId="57C1EA63">
            <w:pPr>
              <w:spacing w:line="240" w:lineRule="auto"/>
              <w:ind w:firstLine="0" w:firstLineChars="0"/>
              <w:jc w:val="center"/>
              <w:rPr>
                <w:color w:val="auto"/>
                <w:sz w:val="21"/>
                <w:szCs w:val="21"/>
              </w:rPr>
            </w:pPr>
            <w:r>
              <w:rPr>
                <w:rFonts w:hint="eastAsia"/>
                <w:color w:val="auto"/>
                <w:sz w:val="21"/>
                <w:szCs w:val="21"/>
              </w:rPr>
              <w:t>260</w:t>
            </w:r>
          </w:p>
        </w:tc>
        <w:tc>
          <w:tcPr>
            <w:tcW w:w="709" w:type="dxa"/>
            <w:tcBorders>
              <w:tl2br w:val="nil"/>
              <w:tr2bl w:val="nil"/>
            </w:tcBorders>
            <w:vAlign w:val="center"/>
          </w:tcPr>
          <w:p w14:paraId="7F2E5BE5">
            <w:pPr>
              <w:spacing w:line="240" w:lineRule="auto"/>
              <w:ind w:firstLine="0" w:firstLineChars="0"/>
              <w:jc w:val="center"/>
              <w:rPr>
                <w:color w:val="auto"/>
                <w:sz w:val="21"/>
                <w:szCs w:val="21"/>
              </w:rPr>
            </w:pPr>
            <w:r>
              <w:rPr>
                <w:rFonts w:hint="eastAsia"/>
                <w:color w:val="auto"/>
                <w:sz w:val="21"/>
                <w:szCs w:val="21"/>
              </w:rPr>
              <w:t>290</w:t>
            </w:r>
          </w:p>
        </w:tc>
        <w:tc>
          <w:tcPr>
            <w:tcW w:w="709" w:type="dxa"/>
            <w:tcBorders>
              <w:tl2br w:val="nil"/>
              <w:tr2bl w:val="nil"/>
            </w:tcBorders>
            <w:vAlign w:val="center"/>
          </w:tcPr>
          <w:p w14:paraId="100D3A15">
            <w:pPr>
              <w:spacing w:line="240" w:lineRule="auto"/>
              <w:ind w:firstLine="0" w:firstLineChars="0"/>
              <w:jc w:val="center"/>
              <w:rPr>
                <w:color w:val="auto"/>
                <w:sz w:val="21"/>
                <w:szCs w:val="21"/>
              </w:rPr>
            </w:pPr>
            <w:r>
              <w:rPr>
                <w:rFonts w:hint="eastAsia"/>
                <w:color w:val="auto"/>
                <w:sz w:val="21"/>
                <w:szCs w:val="21"/>
              </w:rPr>
              <w:t>190</w:t>
            </w:r>
          </w:p>
        </w:tc>
        <w:tc>
          <w:tcPr>
            <w:tcW w:w="709" w:type="dxa"/>
            <w:tcBorders>
              <w:tl2br w:val="nil"/>
              <w:tr2bl w:val="nil"/>
            </w:tcBorders>
            <w:vAlign w:val="center"/>
          </w:tcPr>
          <w:p w14:paraId="24D8C9B0">
            <w:pPr>
              <w:spacing w:line="240" w:lineRule="auto"/>
              <w:ind w:firstLine="0" w:firstLineChars="0"/>
              <w:jc w:val="center"/>
              <w:rPr>
                <w:color w:val="auto"/>
                <w:sz w:val="21"/>
                <w:szCs w:val="21"/>
              </w:rPr>
            </w:pPr>
            <w:r>
              <w:rPr>
                <w:rFonts w:hint="eastAsia"/>
                <w:color w:val="auto"/>
                <w:sz w:val="21"/>
                <w:szCs w:val="21"/>
              </w:rPr>
              <w:t>110</w:t>
            </w:r>
          </w:p>
        </w:tc>
      </w:tr>
      <w:tr w14:paraId="6751A4C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cantSplit/>
          <w:jc w:val="center"/>
        </w:trPr>
        <w:tc>
          <w:tcPr>
            <w:tcW w:w="1118" w:type="dxa"/>
            <w:vMerge w:val="restart"/>
            <w:tcBorders>
              <w:tl2br w:val="nil"/>
              <w:tr2bl w:val="nil"/>
            </w:tcBorders>
            <w:vAlign w:val="center"/>
          </w:tcPr>
          <w:p w14:paraId="3EEDB14B">
            <w:pPr>
              <w:spacing w:line="240" w:lineRule="auto"/>
              <w:ind w:firstLine="0" w:firstLineChars="0"/>
              <w:jc w:val="center"/>
              <w:rPr>
                <w:color w:val="auto"/>
                <w:sz w:val="21"/>
                <w:szCs w:val="21"/>
              </w:rPr>
            </w:pPr>
            <w:r>
              <w:rPr>
                <w:rFonts w:hint="eastAsia"/>
                <w:color w:val="auto"/>
                <w:sz w:val="21"/>
                <w:szCs w:val="21"/>
              </w:rPr>
              <w:t>B</w:t>
            </w:r>
          </w:p>
        </w:tc>
        <w:tc>
          <w:tcPr>
            <w:tcW w:w="1566" w:type="dxa"/>
            <w:tcBorders>
              <w:tl2br w:val="nil"/>
              <w:tr2bl w:val="nil"/>
            </w:tcBorders>
            <w:vAlign w:val="center"/>
          </w:tcPr>
          <w:p w14:paraId="2A8DCDAD">
            <w:pPr>
              <w:spacing w:line="240" w:lineRule="auto"/>
              <w:ind w:firstLine="0" w:firstLineChars="0"/>
              <w:jc w:val="center"/>
              <w:rPr>
                <w:color w:val="auto"/>
                <w:sz w:val="21"/>
                <w:szCs w:val="21"/>
              </w:rPr>
            </w:pPr>
            <w:r>
              <w:rPr>
                <w:rFonts w:hint="eastAsia"/>
                <w:color w:val="auto"/>
                <w:sz w:val="21"/>
                <w:szCs w:val="21"/>
              </w:rPr>
              <w:t>&lt;2</w:t>
            </w:r>
          </w:p>
        </w:tc>
        <w:tc>
          <w:tcPr>
            <w:tcW w:w="2130" w:type="dxa"/>
            <w:gridSpan w:val="3"/>
            <w:tcBorders>
              <w:tl2br w:val="nil"/>
              <w:tr2bl w:val="nil"/>
            </w:tcBorders>
            <w:vAlign w:val="center"/>
          </w:tcPr>
          <w:p w14:paraId="76C9F705">
            <w:pPr>
              <w:spacing w:line="240" w:lineRule="auto"/>
              <w:ind w:firstLine="0" w:firstLineChars="0"/>
              <w:jc w:val="center"/>
              <w:rPr>
                <w:color w:val="auto"/>
                <w:sz w:val="21"/>
                <w:szCs w:val="21"/>
              </w:rPr>
            </w:pPr>
            <w:r>
              <w:rPr>
                <w:rFonts w:hint="eastAsia"/>
                <w:color w:val="auto"/>
                <w:sz w:val="21"/>
                <w:szCs w:val="21"/>
              </w:rPr>
              <w:t>0.01</w:t>
            </w:r>
          </w:p>
        </w:tc>
        <w:tc>
          <w:tcPr>
            <w:tcW w:w="2129" w:type="dxa"/>
            <w:gridSpan w:val="3"/>
            <w:tcBorders>
              <w:tl2br w:val="nil"/>
              <w:tr2bl w:val="nil"/>
            </w:tcBorders>
            <w:vAlign w:val="center"/>
          </w:tcPr>
          <w:p w14:paraId="2D575E90">
            <w:pPr>
              <w:spacing w:line="240" w:lineRule="auto"/>
              <w:ind w:firstLine="0" w:firstLineChars="0"/>
              <w:jc w:val="center"/>
              <w:rPr>
                <w:color w:val="auto"/>
                <w:sz w:val="21"/>
                <w:szCs w:val="21"/>
              </w:rPr>
            </w:pPr>
            <w:r>
              <w:rPr>
                <w:rFonts w:hint="eastAsia"/>
                <w:color w:val="auto"/>
                <w:sz w:val="21"/>
                <w:szCs w:val="21"/>
              </w:rPr>
              <w:t>0.013</w:t>
            </w:r>
          </w:p>
        </w:tc>
        <w:tc>
          <w:tcPr>
            <w:tcW w:w="2127" w:type="dxa"/>
            <w:gridSpan w:val="3"/>
            <w:tcBorders>
              <w:tl2br w:val="nil"/>
              <w:tr2bl w:val="nil"/>
            </w:tcBorders>
            <w:vAlign w:val="center"/>
          </w:tcPr>
          <w:p w14:paraId="70B0C44B">
            <w:pPr>
              <w:spacing w:line="240" w:lineRule="auto"/>
              <w:ind w:firstLine="0" w:firstLineChars="0"/>
              <w:jc w:val="center"/>
              <w:rPr>
                <w:color w:val="auto"/>
                <w:sz w:val="21"/>
                <w:szCs w:val="21"/>
              </w:rPr>
            </w:pPr>
            <w:r>
              <w:rPr>
                <w:rFonts w:hint="eastAsia"/>
                <w:color w:val="auto"/>
                <w:sz w:val="21"/>
                <w:szCs w:val="21"/>
              </w:rPr>
              <w:t>0.013</w:t>
            </w:r>
          </w:p>
        </w:tc>
      </w:tr>
      <w:tr w14:paraId="1DFED9F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cantSplit/>
          <w:jc w:val="center"/>
        </w:trPr>
        <w:tc>
          <w:tcPr>
            <w:tcW w:w="1118" w:type="dxa"/>
            <w:vMerge w:val="continue"/>
            <w:tcBorders>
              <w:tl2br w:val="nil"/>
              <w:tr2bl w:val="nil"/>
            </w:tcBorders>
            <w:vAlign w:val="center"/>
          </w:tcPr>
          <w:p w14:paraId="178AFEAA">
            <w:pPr>
              <w:spacing w:line="240" w:lineRule="auto"/>
              <w:ind w:firstLine="0" w:firstLineChars="0"/>
              <w:jc w:val="center"/>
              <w:rPr>
                <w:color w:val="auto"/>
                <w:sz w:val="21"/>
                <w:szCs w:val="21"/>
              </w:rPr>
            </w:pPr>
          </w:p>
        </w:tc>
        <w:tc>
          <w:tcPr>
            <w:tcW w:w="1566" w:type="dxa"/>
            <w:tcBorders>
              <w:tl2br w:val="nil"/>
              <w:tr2bl w:val="nil"/>
            </w:tcBorders>
            <w:vAlign w:val="center"/>
          </w:tcPr>
          <w:p w14:paraId="2975DFA0">
            <w:pPr>
              <w:spacing w:line="240" w:lineRule="auto"/>
              <w:ind w:firstLine="0" w:firstLineChars="0"/>
              <w:jc w:val="center"/>
              <w:rPr>
                <w:color w:val="auto"/>
                <w:sz w:val="21"/>
                <w:szCs w:val="21"/>
              </w:rPr>
            </w:pPr>
            <w:r>
              <w:rPr>
                <w:rFonts w:hint="eastAsia"/>
                <w:color w:val="auto"/>
                <w:sz w:val="21"/>
                <w:szCs w:val="21"/>
              </w:rPr>
              <w:t>&gt;2</w:t>
            </w:r>
          </w:p>
        </w:tc>
        <w:tc>
          <w:tcPr>
            <w:tcW w:w="2130" w:type="dxa"/>
            <w:gridSpan w:val="3"/>
            <w:tcBorders>
              <w:tl2br w:val="nil"/>
              <w:tr2bl w:val="nil"/>
            </w:tcBorders>
            <w:vAlign w:val="center"/>
          </w:tcPr>
          <w:p w14:paraId="1418CACB">
            <w:pPr>
              <w:spacing w:line="240" w:lineRule="auto"/>
              <w:ind w:firstLine="0" w:firstLineChars="0"/>
              <w:jc w:val="center"/>
              <w:rPr>
                <w:color w:val="auto"/>
                <w:sz w:val="21"/>
                <w:szCs w:val="21"/>
              </w:rPr>
            </w:pPr>
            <w:r>
              <w:rPr>
                <w:rFonts w:hint="eastAsia"/>
                <w:color w:val="auto"/>
                <w:sz w:val="21"/>
                <w:szCs w:val="21"/>
              </w:rPr>
              <w:t>0.02</w:t>
            </w:r>
          </w:p>
        </w:tc>
        <w:tc>
          <w:tcPr>
            <w:tcW w:w="2129" w:type="dxa"/>
            <w:gridSpan w:val="3"/>
            <w:tcBorders>
              <w:tl2br w:val="nil"/>
              <w:tr2bl w:val="nil"/>
            </w:tcBorders>
            <w:vAlign w:val="center"/>
          </w:tcPr>
          <w:p w14:paraId="102C5F79">
            <w:pPr>
              <w:spacing w:line="240" w:lineRule="auto"/>
              <w:ind w:firstLine="0" w:firstLineChars="0"/>
              <w:jc w:val="center"/>
              <w:rPr>
                <w:color w:val="auto"/>
                <w:sz w:val="21"/>
                <w:szCs w:val="21"/>
              </w:rPr>
            </w:pPr>
            <w:r>
              <w:rPr>
                <w:rFonts w:hint="eastAsia"/>
                <w:color w:val="auto"/>
                <w:sz w:val="21"/>
                <w:szCs w:val="21"/>
              </w:rPr>
              <w:t>0.035</w:t>
            </w:r>
          </w:p>
        </w:tc>
        <w:tc>
          <w:tcPr>
            <w:tcW w:w="2127" w:type="dxa"/>
            <w:gridSpan w:val="3"/>
            <w:tcBorders>
              <w:tl2br w:val="nil"/>
              <w:tr2bl w:val="nil"/>
            </w:tcBorders>
            <w:vAlign w:val="center"/>
          </w:tcPr>
          <w:p w14:paraId="02B977C0">
            <w:pPr>
              <w:spacing w:line="240" w:lineRule="auto"/>
              <w:ind w:firstLine="0" w:firstLineChars="0"/>
              <w:jc w:val="center"/>
              <w:rPr>
                <w:color w:val="auto"/>
                <w:sz w:val="21"/>
                <w:szCs w:val="21"/>
              </w:rPr>
            </w:pPr>
            <w:r>
              <w:rPr>
                <w:rFonts w:hint="eastAsia"/>
                <w:color w:val="auto"/>
                <w:sz w:val="21"/>
                <w:szCs w:val="21"/>
              </w:rPr>
              <w:t>0.035</w:t>
            </w:r>
          </w:p>
        </w:tc>
      </w:tr>
      <w:tr w14:paraId="7851642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cantSplit/>
          <w:jc w:val="center"/>
        </w:trPr>
        <w:tc>
          <w:tcPr>
            <w:tcW w:w="1118" w:type="dxa"/>
            <w:vMerge w:val="restart"/>
            <w:tcBorders>
              <w:tl2br w:val="nil"/>
              <w:tr2bl w:val="nil"/>
            </w:tcBorders>
            <w:vAlign w:val="center"/>
          </w:tcPr>
          <w:p w14:paraId="1B1E942A">
            <w:pPr>
              <w:spacing w:line="240" w:lineRule="auto"/>
              <w:ind w:firstLine="0" w:firstLineChars="0"/>
              <w:jc w:val="center"/>
              <w:rPr>
                <w:color w:val="auto"/>
                <w:sz w:val="21"/>
                <w:szCs w:val="21"/>
              </w:rPr>
            </w:pPr>
            <w:r>
              <w:rPr>
                <w:rFonts w:hint="eastAsia"/>
                <w:color w:val="auto"/>
                <w:sz w:val="21"/>
                <w:szCs w:val="21"/>
              </w:rPr>
              <w:t>C</w:t>
            </w:r>
          </w:p>
        </w:tc>
        <w:tc>
          <w:tcPr>
            <w:tcW w:w="1566" w:type="dxa"/>
            <w:tcBorders>
              <w:tl2br w:val="nil"/>
              <w:tr2bl w:val="nil"/>
            </w:tcBorders>
            <w:vAlign w:val="center"/>
          </w:tcPr>
          <w:p w14:paraId="70C3ED97">
            <w:pPr>
              <w:spacing w:line="240" w:lineRule="auto"/>
              <w:ind w:firstLine="0" w:firstLineChars="0"/>
              <w:jc w:val="center"/>
              <w:rPr>
                <w:color w:val="auto"/>
                <w:sz w:val="21"/>
                <w:szCs w:val="21"/>
              </w:rPr>
            </w:pPr>
            <w:r>
              <w:rPr>
                <w:rFonts w:hint="eastAsia"/>
                <w:color w:val="auto"/>
                <w:sz w:val="21"/>
                <w:szCs w:val="21"/>
              </w:rPr>
              <w:t>&lt;2</w:t>
            </w:r>
          </w:p>
        </w:tc>
        <w:tc>
          <w:tcPr>
            <w:tcW w:w="2130" w:type="dxa"/>
            <w:gridSpan w:val="3"/>
            <w:tcBorders>
              <w:tl2br w:val="nil"/>
              <w:tr2bl w:val="nil"/>
            </w:tcBorders>
            <w:vAlign w:val="center"/>
          </w:tcPr>
          <w:p w14:paraId="26A40349">
            <w:pPr>
              <w:spacing w:line="240" w:lineRule="auto"/>
              <w:ind w:firstLine="0" w:firstLineChars="0"/>
              <w:jc w:val="center"/>
              <w:rPr>
                <w:color w:val="auto"/>
                <w:sz w:val="21"/>
                <w:szCs w:val="21"/>
              </w:rPr>
            </w:pPr>
            <w:r>
              <w:rPr>
                <w:rFonts w:hint="eastAsia"/>
                <w:color w:val="auto"/>
                <w:sz w:val="21"/>
                <w:szCs w:val="21"/>
              </w:rPr>
              <w:t>1.83</w:t>
            </w:r>
          </w:p>
        </w:tc>
        <w:tc>
          <w:tcPr>
            <w:tcW w:w="2129" w:type="dxa"/>
            <w:gridSpan w:val="3"/>
            <w:tcBorders>
              <w:tl2br w:val="nil"/>
              <w:tr2bl w:val="nil"/>
            </w:tcBorders>
            <w:vAlign w:val="center"/>
          </w:tcPr>
          <w:p w14:paraId="5F3224BD">
            <w:pPr>
              <w:spacing w:line="240" w:lineRule="auto"/>
              <w:ind w:firstLine="0" w:firstLineChars="0"/>
              <w:jc w:val="center"/>
              <w:rPr>
                <w:color w:val="auto"/>
                <w:sz w:val="21"/>
                <w:szCs w:val="21"/>
              </w:rPr>
            </w:pPr>
            <w:r>
              <w:rPr>
                <w:rFonts w:hint="eastAsia"/>
                <w:color w:val="auto"/>
                <w:sz w:val="21"/>
                <w:szCs w:val="21"/>
              </w:rPr>
              <w:t>1.76</w:t>
            </w:r>
          </w:p>
        </w:tc>
        <w:tc>
          <w:tcPr>
            <w:tcW w:w="2127" w:type="dxa"/>
            <w:gridSpan w:val="3"/>
            <w:tcBorders>
              <w:tl2br w:val="nil"/>
              <w:tr2bl w:val="nil"/>
            </w:tcBorders>
            <w:vAlign w:val="center"/>
          </w:tcPr>
          <w:p w14:paraId="630747D5">
            <w:pPr>
              <w:spacing w:line="240" w:lineRule="auto"/>
              <w:ind w:firstLine="0" w:firstLineChars="0"/>
              <w:jc w:val="center"/>
              <w:rPr>
                <w:color w:val="auto"/>
                <w:sz w:val="21"/>
                <w:szCs w:val="21"/>
              </w:rPr>
            </w:pPr>
            <w:r>
              <w:rPr>
                <w:rFonts w:hint="eastAsia"/>
                <w:color w:val="auto"/>
                <w:sz w:val="21"/>
                <w:szCs w:val="21"/>
              </w:rPr>
              <w:t>1.76</w:t>
            </w:r>
          </w:p>
        </w:tc>
      </w:tr>
      <w:tr w14:paraId="62C5FD9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cantSplit/>
          <w:jc w:val="center"/>
        </w:trPr>
        <w:tc>
          <w:tcPr>
            <w:tcW w:w="1118" w:type="dxa"/>
            <w:vMerge w:val="continue"/>
            <w:tcBorders>
              <w:tl2br w:val="nil"/>
              <w:tr2bl w:val="nil"/>
            </w:tcBorders>
            <w:vAlign w:val="center"/>
          </w:tcPr>
          <w:p w14:paraId="11D737E2">
            <w:pPr>
              <w:spacing w:line="240" w:lineRule="auto"/>
              <w:ind w:firstLine="0" w:firstLineChars="0"/>
              <w:jc w:val="center"/>
              <w:rPr>
                <w:color w:val="auto"/>
                <w:sz w:val="21"/>
                <w:szCs w:val="21"/>
              </w:rPr>
            </w:pPr>
          </w:p>
        </w:tc>
        <w:tc>
          <w:tcPr>
            <w:tcW w:w="1566" w:type="dxa"/>
            <w:tcBorders>
              <w:tl2br w:val="nil"/>
              <w:tr2bl w:val="nil"/>
            </w:tcBorders>
            <w:vAlign w:val="center"/>
          </w:tcPr>
          <w:p w14:paraId="4CCCA8CB">
            <w:pPr>
              <w:spacing w:line="240" w:lineRule="auto"/>
              <w:ind w:firstLine="0" w:firstLineChars="0"/>
              <w:jc w:val="center"/>
              <w:rPr>
                <w:color w:val="auto"/>
                <w:sz w:val="21"/>
                <w:szCs w:val="21"/>
              </w:rPr>
            </w:pPr>
            <w:r>
              <w:rPr>
                <w:rFonts w:hint="eastAsia"/>
                <w:color w:val="auto"/>
                <w:sz w:val="21"/>
                <w:szCs w:val="21"/>
              </w:rPr>
              <w:t>&gt;2</w:t>
            </w:r>
          </w:p>
        </w:tc>
        <w:tc>
          <w:tcPr>
            <w:tcW w:w="2130" w:type="dxa"/>
            <w:gridSpan w:val="3"/>
            <w:tcBorders>
              <w:tl2br w:val="nil"/>
              <w:tr2bl w:val="nil"/>
            </w:tcBorders>
            <w:vAlign w:val="center"/>
          </w:tcPr>
          <w:p w14:paraId="55C95C2B">
            <w:pPr>
              <w:spacing w:line="240" w:lineRule="auto"/>
              <w:ind w:firstLine="0" w:firstLineChars="0"/>
              <w:jc w:val="center"/>
              <w:rPr>
                <w:color w:val="auto"/>
                <w:sz w:val="21"/>
                <w:szCs w:val="21"/>
              </w:rPr>
            </w:pPr>
            <w:r>
              <w:rPr>
                <w:rFonts w:hint="eastAsia"/>
                <w:color w:val="auto"/>
                <w:sz w:val="21"/>
                <w:szCs w:val="21"/>
              </w:rPr>
              <w:t>1.83</w:t>
            </w:r>
          </w:p>
        </w:tc>
        <w:tc>
          <w:tcPr>
            <w:tcW w:w="2129" w:type="dxa"/>
            <w:gridSpan w:val="3"/>
            <w:tcBorders>
              <w:tl2br w:val="nil"/>
              <w:tr2bl w:val="nil"/>
            </w:tcBorders>
            <w:vAlign w:val="center"/>
          </w:tcPr>
          <w:p w14:paraId="262820CD">
            <w:pPr>
              <w:spacing w:line="240" w:lineRule="auto"/>
              <w:ind w:firstLine="0" w:firstLineChars="0"/>
              <w:jc w:val="center"/>
              <w:rPr>
                <w:color w:val="auto"/>
                <w:sz w:val="21"/>
                <w:szCs w:val="21"/>
              </w:rPr>
            </w:pPr>
            <w:r>
              <w:rPr>
                <w:rFonts w:hint="eastAsia"/>
                <w:color w:val="auto"/>
                <w:sz w:val="21"/>
                <w:szCs w:val="21"/>
              </w:rPr>
              <w:t>1.74</w:t>
            </w:r>
          </w:p>
        </w:tc>
        <w:tc>
          <w:tcPr>
            <w:tcW w:w="2127" w:type="dxa"/>
            <w:gridSpan w:val="3"/>
            <w:tcBorders>
              <w:tl2br w:val="nil"/>
              <w:tr2bl w:val="nil"/>
            </w:tcBorders>
            <w:vAlign w:val="center"/>
          </w:tcPr>
          <w:p w14:paraId="3A42DBD5">
            <w:pPr>
              <w:spacing w:line="240" w:lineRule="auto"/>
              <w:ind w:firstLine="0" w:firstLineChars="0"/>
              <w:jc w:val="center"/>
              <w:rPr>
                <w:color w:val="auto"/>
                <w:sz w:val="21"/>
                <w:szCs w:val="21"/>
              </w:rPr>
            </w:pPr>
            <w:r>
              <w:rPr>
                <w:rFonts w:hint="eastAsia"/>
                <w:color w:val="auto"/>
                <w:sz w:val="21"/>
                <w:szCs w:val="21"/>
              </w:rPr>
              <w:t>1.74</w:t>
            </w:r>
          </w:p>
        </w:tc>
      </w:tr>
      <w:tr w14:paraId="4257C95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cantSplit/>
          <w:jc w:val="center"/>
        </w:trPr>
        <w:tc>
          <w:tcPr>
            <w:tcW w:w="1118" w:type="dxa"/>
            <w:vMerge w:val="restart"/>
            <w:tcBorders>
              <w:tl2br w:val="nil"/>
              <w:tr2bl w:val="nil"/>
            </w:tcBorders>
            <w:vAlign w:val="center"/>
          </w:tcPr>
          <w:p w14:paraId="3949A2C3">
            <w:pPr>
              <w:spacing w:line="240" w:lineRule="auto"/>
              <w:ind w:firstLine="0" w:firstLineChars="0"/>
              <w:jc w:val="center"/>
              <w:rPr>
                <w:color w:val="auto"/>
                <w:sz w:val="21"/>
                <w:szCs w:val="21"/>
              </w:rPr>
            </w:pPr>
            <w:r>
              <w:rPr>
                <w:rFonts w:hint="eastAsia"/>
                <w:color w:val="auto"/>
                <w:sz w:val="21"/>
                <w:szCs w:val="21"/>
              </w:rPr>
              <w:t>D</w:t>
            </w:r>
          </w:p>
        </w:tc>
        <w:tc>
          <w:tcPr>
            <w:tcW w:w="1566" w:type="dxa"/>
            <w:tcBorders>
              <w:tl2br w:val="nil"/>
              <w:tr2bl w:val="nil"/>
            </w:tcBorders>
            <w:vAlign w:val="center"/>
          </w:tcPr>
          <w:p w14:paraId="77716E54">
            <w:pPr>
              <w:spacing w:line="240" w:lineRule="auto"/>
              <w:ind w:firstLine="0" w:firstLineChars="0"/>
              <w:jc w:val="center"/>
              <w:rPr>
                <w:color w:val="auto"/>
                <w:sz w:val="21"/>
                <w:szCs w:val="21"/>
              </w:rPr>
            </w:pPr>
            <w:r>
              <w:rPr>
                <w:rFonts w:hint="eastAsia"/>
                <w:color w:val="auto"/>
                <w:sz w:val="21"/>
                <w:szCs w:val="21"/>
              </w:rPr>
              <w:t>&lt;2</w:t>
            </w:r>
          </w:p>
        </w:tc>
        <w:tc>
          <w:tcPr>
            <w:tcW w:w="2130" w:type="dxa"/>
            <w:gridSpan w:val="3"/>
            <w:tcBorders>
              <w:tl2br w:val="nil"/>
              <w:tr2bl w:val="nil"/>
            </w:tcBorders>
            <w:vAlign w:val="center"/>
          </w:tcPr>
          <w:p w14:paraId="1DA807B5">
            <w:pPr>
              <w:spacing w:line="240" w:lineRule="auto"/>
              <w:ind w:firstLine="0" w:firstLineChars="0"/>
              <w:jc w:val="center"/>
              <w:rPr>
                <w:color w:val="auto"/>
                <w:sz w:val="21"/>
                <w:szCs w:val="21"/>
              </w:rPr>
            </w:pPr>
            <w:r>
              <w:rPr>
                <w:rFonts w:hint="eastAsia"/>
                <w:color w:val="auto"/>
                <w:sz w:val="21"/>
                <w:szCs w:val="21"/>
              </w:rPr>
              <w:t>0.75</w:t>
            </w:r>
          </w:p>
        </w:tc>
        <w:tc>
          <w:tcPr>
            <w:tcW w:w="2129" w:type="dxa"/>
            <w:gridSpan w:val="3"/>
            <w:tcBorders>
              <w:tl2br w:val="nil"/>
              <w:tr2bl w:val="nil"/>
            </w:tcBorders>
            <w:vAlign w:val="center"/>
          </w:tcPr>
          <w:p w14:paraId="6FD8D255">
            <w:pPr>
              <w:spacing w:line="240" w:lineRule="auto"/>
              <w:ind w:firstLine="0" w:firstLineChars="0"/>
              <w:jc w:val="center"/>
              <w:rPr>
                <w:color w:val="auto"/>
                <w:sz w:val="21"/>
                <w:szCs w:val="21"/>
              </w:rPr>
            </w:pPr>
            <w:r>
              <w:rPr>
                <w:rFonts w:hint="eastAsia"/>
                <w:color w:val="auto"/>
                <w:sz w:val="21"/>
                <w:szCs w:val="21"/>
              </w:rPr>
              <w:t>0.75</w:t>
            </w:r>
          </w:p>
        </w:tc>
        <w:tc>
          <w:tcPr>
            <w:tcW w:w="2127" w:type="dxa"/>
            <w:gridSpan w:val="3"/>
            <w:tcBorders>
              <w:tl2br w:val="nil"/>
              <w:tr2bl w:val="nil"/>
            </w:tcBorders>
            <w:vAlign w:val="center"/>
          </w:tcPr>
          <w:p w14:paraId="49FB5412">
            <w:pPr>
              <w:spacing w:line="240" w:lineRule="auto"/>
              <w:ind w:firstLine="0" w:firstLineChars="0"/>
              <w:jc w:val="center"/>
              <w:rPr>
                <w:color w:val="auto"/>
                <w:sz w:val="21"/>
                <w:szCs w:val="21"/>
              </w:rPr>
            </w:pPr>
            <w:r>
              <w:rPr>
                <w:rFonts w:hint="eastAsia"/>
                <w:color w:val="auto"/>
                <w:sz w:val="21"/>
                <w:szCs w:val="21"/>
              </w:rPr>
              <w:t>0.54</w:t>
            </w:r>
          </w:p>
        </w:tc>
      </w:tr>
      <w:tr w14:paraId="2C621C9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cantSplit/>
          <w:jc w:val="center"/>
        </w:trPr>
        <w:tc>
          <w:tcPr>
            <w:tcW w:w="1118" w:type="dxa"/>
            <w:vMerge w:val="continue"/>
            <w:tcBorders>
              <w:tl2br w:val="nil"/>
              <w:tr2bl w:val="nil"/>
            </w:tcBorders>
            <w:vAlign w:val="center"/>
          </w:tcPr>
          <w:p w14:paraId="3D53972B">
            <w:pPr>
              <w:spacing w:line="240" w:lineRule="auto"/>
              <w:ind w:firstLine="0" w:firstLineChars="0"/>
              <w:jc w:val="center"/>
              <w:rPr>
                <w:color w:val="auto"/>
                <w:sz w:val="21"/>
                <w:szCs w:val="21"/>
              </w:rPr>
            </w:pPr>
          </w:p>
        </w:tc>
        <w:tc>
          <w:tcPr>
            <w:tcW w:w="1566" w:type="dxa"/>
            <w:tcBorders>
              <w:tl2br w:val="nil"/>
              <w:tr2bl w:val="nil"/>
            </w:tcBorders>
            <w:vAlign w:val="center"/>
          </w:tcPr>
          <w:p w14:paraId="34930814">
            <w:pPr>
              <w:spacing w:line="240" w:lineRule="auto"/>
              <w:ind w:firstLine="0" w:firstLineChars="0"/>
              <w:jc w:val="center"/>
              <w:rPr>
                <w:color w:val="auto"/>
                <w:sz w:val="21"/>
                <w:szCs w:val="21"/>
              </w:rPr>
            </w:pPr>
            <w:r>
              <w:rPr>
                <w:rFonts w:hint="eastAsia"/>
                <w:color w:val="auto"/>
                <w:sz w:val="21"/>
                <w:szCs w:val="21"/>
              </w:rPr>
              <w:t>&gt;2</w:t>
            </w:r>
          </w:p>
        </w:tc>
        <w:tc>
          <w:tcPr>
            <w:tcW w:w="2130" w:type="dxa"/>
            <w:gridSpan w:val="3"/>
            <w:tcBorders>
              <w:tl2br w:val="nil"/>
              <w:tr2bl w:val="nil"/>
            </w:tcBorders>
            <w:vAlign w:val="center"/>
          </w:tcPr>
          <w:p w14:paraId="76715DAA">
            <w:pPr>
              <w:spacing w:line="240" w:lineRule="auto"/>
              <w:ind w:firstLine="0" w:firstLineChars="0"/>
              <w:jc w:val="center"/>
              <w:rPr>
                <w:color w:val="auto"/>
                <w:sz w:val="21"/>
                <w:szCs w:val="21"/>
              </w:rPr>
            </w:pPr>
            <w:r>
              <w:rPr>
                <w:rFonts w:hint="eastAsia"/>
                <w:color w:val="auto"/>
                <w:sz w:val="21"/>
                <w:szCs w:val="21"/>
              </w:rPr>
              <w:t>0.81</w:t>
            </w:r>
          </w:p>
        </w:tc>
        <w:tc>
          <w:tcPr>
            <w:tcW w:w="2129" w:type="dxa"/>
            <w:gridSpan w:val="3"/>
            <w:tcBorders>
              <w:tl2br w:val="nil"/>
              <w:tr2bl w:val="nil"/>
            </w:tcBorders>
            <w:vAlign w:val="center"/>
          </w:tcPr>
          <w:p w14:paraId="796ED488">
            <w:pPr>
              <w:spacing w:line="240" w:lineRule="auto"/>
              <w:ind w:firstLine="0" w:firstLineChars="0"/>
              <w:jc w:val="center"/>
              <w:rPr>
                <w:color w:val="auto"/>
                <w:sz w:val="21"/>
                <w:szCs w:val="21"/>
              </w:rPr>
            </w:pPr>
            <w:r>
              <w:rPr>
                <w:rFonts w:hint="eastAsia"/>
                <w:color w:val="auto"/>
                <w:sz w:val="21"/>
                <w:szCs w:val="21"/>
              </w:rPr>
              <w:t>0.81</w:t>
            </w:r>
          </w:p>
        </w:tc>
        <w:tc>
          <w:tcPr>
            <w:tcW w:w="2127" w:type="dxa"/>
            <w:gridSpan w:val="3"/>
            <w:tcBorders>
              <w:tl2br w:val="nil"/>
              <w:tr2bl w:val="nil"/>
            </w:tcBorders>
            <w:vAlign w:val="center"/>
          </w:tcPr>
          <w:p w14:paraId="3222F4EE">
            <w:pPr>
              <w:spacing w:line="240" w:lineRule="auto"/>
              <w:ind w:firstLine="0" w:firstLineChars="0"/>
              <w:jc w:val="center"/>
              <w:rPr>
                <w:color w:val="auto"/>
                <w:sz w:val="21"/>
                <w:szCs w:val="21"/>
              </w:rPr>
            </w:pPr>
            <w:r>
              <w:rPr>
                <w:rFonts w:hint="eastAsia"/>
                <w:color w:val="auto"/>
                <w:sz w:val="21"/>
                <w:szCs w:val="21"/>
              </w:rPr>
              <w:t>0.73</w:t>
            </w:r>
          </w:p>
        </w:tc>
      </w:tr>
    </w:tbl>
    <w:p w14:paraId="710F15A2">
      <w:pPr>
        <w:spacing w:before="120" w:beforeLines="50"/>
        <w:ind w:firstLine="482"/>
        <w:jc w:val="center"/>
        <w:rPr>
          <w:b/>
          <w:color w:val="auto"/>
          <w:szCs w:val="21"/>
        </w:rPr>
      </w:pPr>
      <w:r>
        <w:rPr>
          <w:b/>
          <w:color w:val="auto"/>
          <w:szCs w:val="21"/>
        </w:rPr>
        <w:t>表</w:t>
      </w:r>
      <w:r>
        <w:rPr>
          <w:rFonts w:hint="eastAsia"/>
          <w:b/>
          <w:color w:val="auto"/>
        </w:rPr>
        <w:t>6</w:t>
      </w:r>
      <w:r>
        <w:rPr>
          <w:b/>
          <w:color w:val="auto"/>
        </w:rPr>
        <w:t>.2-</w:t>
      </w:r>
      <w:r>
        <w:rPr>
          <w:rFonts w:hint="eastAsia"/>
          <w:b/>
          <w:color w:val="auto"/>
        </w:rPr>
        <w:t xml:space="preserve">5  </w:t>
      </w:r>
      <w:r>
        <w:rPr>
          <w:b/>
          <w:color w:val="auto"/>
          <w:szCs w:val="21"/>
        </w:rPr>
        <w:t>卫生防护距离计算结果</w:t>
      </w:r>
    </w:p>
    <w:tbl>
      <w:tblPr>
        <w:tblStyle w:val="88"/>
        <w:tblW w:w="9126"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28" w:type="dxa"/>
          <w:bottom w:w="0" w:type="dxa"/>
          <w:right w:w="28" w:type="dxa"/>
        </w:tblCellMar>
      </w:tblPr>
      <w:tblGrid>
        <w:gridCol w:w="1843"/>
        <w:gridCol w:w="1446"/>
        <w:gridCol w:w="708"/>
        <w:gridCol w:w="993"/>
        <w:gridCol w:w="1134"/>
        <w:gridCol w:w="992"/>
        <w:gridCol w:w="992"/>
        <w:gridCol w:w="1018"/>
      </w:tblGrid>
      <w:tr w14:paraId="7586C05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28" w:type="dxa"/>
            <w:bottom w:w="0" w:type="dxa"/>
            <w:right w:w="28" w:type="dxa"/>
          </w:tblCellMar>
        </w:tblPrEx>
        <w:trPr>
          <w:trHeight w:val="540" w:hRule="atLeast"/>
          <w:jc w:val="center"/>
        </w:trPr>
        <w:tc>
          <w:tcPr>
            <w:tcW w:w="1843" w:type="dxa"/>
            <w:tcBorders>
              <w:tl2br w:val="nil"/>
              <w:tr2bl w:val="nil"/>
            </w:tcBorders>
            <w:vAlign w:val="center"/>
          </w:tcPr>
          <w:p w14:paraId="71A2527B">
            <w:pPr>
              <w:spacing w:line="240" w:lineRule="auto"/>
              <w:ind w:firstLine="0" w:firstLineChars="0"/>
              <w:jc w:val="center"/>
              <w:rPr>
                <w:color w:val="auto"/>
                <w:sz w:val="21"/>
                <w:szCs w:val="21"/>
              </w:rPr>
            </w:pPr>
            <w:r>
              <w:rPr>
                <w:rFonts w:hint="eastAsia"/>
                <w:color w:val="auto"/>
                <w:sz w:val="21"/>
                <w:szCs w:val="21"/>
              </w:rPr>
              <w:t>生产单元</w:t>
            </w:r>
          </w:p>
        </w:tc>
        <w:tc>
          <w:tcPr>
            <w:tcW w:w="1446" w:type="dxa"/>
            <w:tcBorders>
              <w:tl2br w:val="nil"/>
              <w:tr2bl w:val="nil"/>
            </w:tcBorders>
            <w:vAlign w:val="center"/>
          </w:tcPr>
          <w:p w14:paraId="1B5C2F7B">
            <w:pPr>
              <w:spacing w:line="240" w:lineRule="auto"/>
              <w:ind w:firstLine="0" w:firstLineChars="0"/>
              <w:jc w:val="center"/>
              <w:rPr>
                <w:color w:val="auto"/>
                <w:sz w:val="21"/>
                <w:szCs w:val="21"/>
              </w:rPr>
            </w:pPr>
            <w:r>
              <w:rPr>
                <w:rFonts w:hint="eastAsia"/>
                <w:color w:val="auto"/>
                <w:sz w:val="21"/>
                <w:szCs w:val="21"/>
              </w:rPr>
              <w:t>排放源面积m</w:t>
            </w:r>
            <w:r>
              <w:rPr>
                <w:rFonts w:hint="eastAsia"/>
                <w:color w:val="auto"/>
                <w:sz w:val="21"/>
                <w:szCs w:val="21"/>
                <w:vertAlign w:val="superscript"/>
              </w:rPr>
              <w:t>2</w:t>
            </w:r>
          </w:p>
        </w:tc>
        <w:tc>
          <w:tcPr>
            <w:tcW w:w="708" w:type="dxa"/>
            <w:tcBorders>
              <w:tl2br w:val="nil"/>
              <w:tr2bl w:val="nil"/>
            </w:tcBorders>
            <w:vAlign w:val="center"/>
          </w:tcPr>
          <w:p w14:paraId="404C9AE8">
            <w:pPr>
              <w:spacing w:line="240" w:lineRule="auto"/>
              <w:ind w:firstLine="0" w:firstLineChars="0"/>
              <w:jc w:val="center"/>
              <w:rPr>
                <w:color w:val="auto"/>
                <w:sz w:val="21"/>
                <w:szCs w:val="21"/>
              </w:rPr>
            </w:pPr>
            <w:r>
              <w:rPr>
                <w:rFonts w:hint="eastAsia"/>
                <w:color w:val="auto"/>
                <w:sz w:val="21"/>
                <w:szCs w:val="21"/>
              </w:rPr>
              <w:t>污染</w:t>
            </w:r>
          </w:p>
          <w:p w14:paraId="4C1AC1F4">
            <w:pPr>
              <w:spacing w:line="240" w:lineRule="auto"/>
              <w:ind w:firstLine="0" w:firstLineChars="0"/>
              <w:jc w:val="center"/>
              <w:rPr>
                <w:color w:val="auto"/>
                <w:sz w:val="21"/>
                <w:szCs w:val="21"/>
              </w:rPr>
            </w:pPr>
            <w:r>
              <w:rPr>
                <w:rFonts w:hint="eastAsia"/>
                <w:color w:val="auto"/>
                <w:sz w:val="21"/>
                <w:szCs w:val="21"/>
              </w:rPr>
              <w:t>因子</w:t>
            </w:r>
          </w:p>
        </w:tc>
        <w:tc>
          <w:tcPr>
            <w:tcW w:w="993" w:type="dxa"/>
            <w:tcBorders>
              <w:tl2br w:val="nil"/>
              <w:tr2bl w:val="nil"/>
            </w:tcBorders>
            <w:vAlign w:val="center"/>
          </w:tcPr>
          <w:p w14:paraId="4DCF5212">
            <w:pPr>
              <w:spacing w:line="240" w:lineRule="auto"/>
              <w:ind w:firstLine="0" w:firstLineChars="0"/>
              <w:jc w:val="center"/>
              <w:rPr>
                <w:color w:val="auto"/>
                <w:sz w:val="21"/>
                <w:szCs w:val="21"/>
              </w:rPr>
            </w:pPr>
            <w:r>
              <w:rPr>
                <w:rFonts w:hint="eastAsia"/>
                <w:color w:val="auto"/>
                <w:sz w:val="21"/>
                <w:szCs w:val="21"/>
              </w:rPr>
              <w:t>平均风速m/s</w:t>
            </w:r>
          </w:p>
        </w:tc>
        <w:tc>
          <w:tcPr>
            <w:tcW w:w="1134" w:type="dxa"/>
            <w:tcBorders>
              <w:tl2br w:val="nil"/>
              <w:tr2bl w:val="nil"/>
            </w:tcBorders>
            <w:vAlign w:val="center"/>
          </w:tcPr>
          <w:p w14:paraId="1DCAA67C">
            <w:pPr>
              <w:spacing w:line="240" w:lineRule="auto"/>
              <w:ind w:firstLine="0" w:firstLineChars="0"/>
              <w:jc w:val="center"/>
              <w:rPr>
                <w:color w:val="auto"/>
                <w:sz w:val="21"/>
                <w:szCs w:val="21"/>
              </w:rPr>
            </w:pPr>
            <w:r>
              <w:rPr>
                <w:rFonts w:hint="eastAsia"/>
                <w:color w:val="auto"/>
                <w:sz w:val="21"/>
                <w:szCs w:val="21"/>
              </w:rPr>
              <w:t>标准值mg/m</w:t>
            </w:r>
            <w:r>
              <w:rPr>
                <w:rFonts w:hint="eastAsia"/>
                <w:color w:val="auto"/>
                <w:sz w:val="21"/>
                <w:szCs w:val="21"/>
                <w:vertAlign w:val="superscript"/>
              </w:rPr>
              <w:t>3</w:t>
            </w:r>
          </w:p>
        </w:tc>
        <w:tc>
          <w:tcPr>
            <w:tcW w:w="992" w:type="dxa"/>
            <w:tcBorders>
              <w:tl2br w:val="nil"/>
              <w:tr2bl w:val="nil"/>
            </w:tcBorders>
            <w:vAlign w:val="center"/>
          </w:tcPr>
          <w:p w14:paraId="232DA94A">
            <w:pPr>
              <w:spacing w:line="240" w:lineRule="auto"/>
              <w:ind w:firstLine="0" w:firstLineChars="0"/>
              <w:jc w:val="center"/>
              <w:rPr>
                <w:color w:val="auto"/>
                <w:sz w:val="21"/>
                <w:szCs w:val="21"/>
              </w:rPr>
            </w:pPr>
            <w:r>
              <w:rPr>
                <w:rFonts w:hint="eastAsia"/>
                <w:color w:val="auto"/>
                <w:sz w:val="21"/>
                <w:szCs w:val="21"/>
              </w:rPr>
              <w:t>无组织排放量kg/h</w:t>
            </w:r>
          </w:p>
        </w:tc>
        <w:tc>
          <w:tcPr>
            <w:tcW w:w="992" w:type="dxa"/>
            <w:tcBorders>
              <w:tl2br w:val="nil"/>
              <w:tr2bl w:val="nil"/>
            </w:tcBorders>
            <w:vAlign w:val="center"/>
          </w:tcPr>
          <w:p w14:paraId="26494CBE">
            <w:pPr>
              <w:spacing w:line="240" w:lineRule="auto"/>
              <w:ind w:firstLine="0" w:firstLineChars="0"/>
              <w:jc w:val="center"/>
              <w:rPr>
                <w:color w:val="auto"/>
                <w:sz w:val="21"/>
                <w:szCs w:val="21"/>
              </w:rPr>
            </w:pPr>
            <w:r>
              <w:rPr>
                <w:rFonts w:hint="eastAsia"/>
                <w:color w:val="auto"/>
                <w:sz w:val="21"/>
                <w:szCs w:val="21"/>
              </w:rPr>
              <w:t>计算结果m</w:t>
            </w:r>
          </w:p>
        </w:tc>
        <w:tc>
          <w:tcPr>
            <w:tcW w:w="1018" w:type="dxa"/>
            <w:tcBorders>
              <w:tl2br w:val="nil"/>
              <w:tr2bl w:val="nil"/>
            </w:tcBorders>
            <w:vAlign w:val="center"/>
          </w:tcPr>
          <w:p w14:paraId="5ED5F0CB">
            <w:pPr>
              <w:spacing w:line="240" w:lineRule="auto"/>
              <w:ind w:firstLine="0" w:firstLineChars="0"/>
              <w:jc w:val="center"/>
              <w:rPr>
                <w:color w:val="auto"/>
                <w:sz w:val="21"/>
                <w:szCs w:val="21"/>
              </w:rPr>
            </w:pPr>
            <w:r>
              <w:rPr>
                <w:rFonts w:hint="eastAsia"/>
                <w:color w:val="auto"/>
                <w:sz w:val="21"/>
                <w:szCs w:val="21"/>
              </w:rPr>
              <w:t>卫生防护距离m</w:t>
            </w:r>
          </w:p>
        </w:tc>
      </w:tr>
      <w:tr w14:paraId="729A16F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28" w:type="dxa"/>
            <w:bottom w:w="0" w:type="dxa"/>
            <w:right w:w="28" w:type="dxa"/>
          </w:tblCellMar>
        </w:tblPrEx>
        <w:trPr>
          <w:trHeight w:val="173" w:hRule="atLeast"/>
          <w:jc w:val="center"/>
        </w:trPr>
        <w:tc>
          <w:tcPr>
            <w:tcW w:w="1843" w:type="dxa"/>
            <w:tcBorders>
              <w:tl2br w:val="nil"/>
              <w:tr2bl w:val="nil"/>
            </w:tcBorders>
            <w:vAlign w:val="center"/>
          </w:tcPr>
          <w:p w14:paraId="29DEE50F">
            <w:pPr>
              <w:spacing w:line="240" w:lineRule="auto"/>
              <w:ind w:firstLine="0" w:firstLineChars="0"/>
              <w:jc w:val="center"/>
              <w:rPr>
                <w:rFonts w:hint="eastAsia" w:eastAsia="宋体"/>
                <w:color w:val="auto"/>
                <w:sz w:val="21"/>
                <w:szCs w:val="21"/>
                <w:lang w:eastAsia="zh-CN"/>
              </w:rPr>
            </w:pPr>
            <w:r>
              <w:rPr>
                <w:rFonts w:hint="eastAsia"/>
                <w:color w:val="auto"/>
                <w:sz w:val="21"/>
                <w:szCs w:val="21"/>
                <w:lang w:eastAsia="zh-CN"/>
              </w:rPr>
              <w:t>收集池</w:t>
            </w:r>
            <w:r>
              <w:rPr>
                <w:rFonts w:hint="eastAsia"/>
                <w:color w:val="auto"/>
                <w:sz w:val="21"/>
                <w:szCs w:val="21"/>
              </w:rPr>
              <w:t>、调节池、高密沉淀池、芬顿氧化池、沉淀池、</w:t>
            </w:r>
            <w:r>
              <w:rPr>
                <w:rFonts w:hint="eastAsia"/>
                <w:color w:val="auto"/>
                <w:sz w:val="21"/>
                <w:szCs w:val="21"/>
                <w:lang w:eastAsia="zh-CN"/>
              </w:rPr>
              <w:t>浓水罐</w:t>
            </w:r>
            <w:r>
              <w:rPr>
                <w:rFonts w:hint="eastAsia"/>
                <w:color w:val="auto"/>
                <w:sz w:val="21"/>
                <w:szCs w:val="21"/>
              </w:rPr>
              <w:t>、污泥池、污泥暂存库、</w:t>
            </w:r>
            <w:r>
              <w:rPr>
                <w:rFonts w:hint="eastAsia"/>
                <w:color w:val="auto"/>
                <w:sz w:val="21"/>
                <w:szCs w:val="21"/>
                <w:lang w:eastAsia="zh-CN"/>
              </w:rPr>
              <w:t>污泥压滤间</w:t>
            </w:r>
          </w:p>
        </w:tc>
        <w:tc>
          <w:tcPr>
            <w:tcW w:w="1446" w:type="dxa"/>
            <w:tcBorders>
              <w:tl2br w:val="nil"/>
              <w:tr2bl w:val="nil"/>
            </w:tcBorders>
            <w:vAlign w:val="center"/>
          </w:tcPr>
          <w:p w14:paraId="344E9E2C">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2790</w:t>
            </w:r>
          </w:p>
        </w:tc>
        <w:tc>
          <w:tcPr>
            <w:tcW w:w="708" w:type="dxa"/>
            <w:tcBorders>
              <w:tl2br w:val="nil"/>
              <w:tr2bl w:val="nil"/>
            </w:tcBorders>
            <w:vAlign w:val="center"/>
          </w:tcPr>
          <w:p w14:paraId="1D49F59C">
            <w:pPr>
              <w:spacing w:line="240" w:lineRule="auto"/>
              <w:ind w:firstLine="0" w:firstLineChars="0"/>
              <w:jc w:val="center"/>
              <w:rPr>
                <w:color w:val="auto"/>
                <w:sz w:val="21"/>
                <w:szCs w:val="21"/>
              </w:rPr>
            </w:pPr>
            <w:r>
              <w:rPr>
                <w:rFonts w:hint="eastAsia"/>
                <w:color w:val="auto"/>
                <w:sz w:val="21"/>
                <w:szCs w:val="21"/>
              </w:rPr>
              <w:t>H</w:t>
            </w:r>
            <w:r>
              <w:rPr>
                <w:rFonts w:hint="eastAsia"/>
                <w:color w:val="auto"/>
                <w:sz w:val="21"/>
                <w:szCs w:val="21"/>
                <w:vertAlign w:val="subscript"/>
              </w:rPr>
              <w:t>2</w:t>
            </w:r>
            <w:r>
              <w:rPr>
                <w:rFonts w:hint="eastAsia"/>
                <w:color w:val="auto"/>
                <w:sz w:val="21"/>
                <w:szCs w:val="21"/>
              </w:rPr>
              <w:t>S</w:t>
            </w:r>
          </w:p>
        </w:tc>
        <w:tc>
          <w:tcPr>
            <w:tcW w:w="993" w:type="dxa"/>
            <w:tcBorders>
              <w:tl2br w:val="nil"/>
              <w:tr2bl w:val="nil"/>
            </w:tcBorders>
            <w:vAlign w:val="center"/>
          </w:tcPr>
          <w:p w14:paraId="4D8AF313">
            <w:pPr>
              <w:spacing w:line="240" w:lineRule="auto"/>
              <w:ind w:firstLine="0" w:firstLineChars="0"/>
              <w:jc w:val="center"/>
              <w:rPr>
                <w:color w:val="auto"/>
                <w:sz w:val="21"/>
                <w:szCs w:val="21"/>
              </w:rPr>
            </w:pPr>
            <w:r>
              <w:rPr>
                <w:rFonts w:hint="eastAsia"/>
                <w:color w:val="auto"/>
                <w:sz w:val="21"/>
                <w:szCs w:val="21"/>
              </w:rPr>
              <w:t>1.3</w:t>
            </w:r>
          </w:p>
        </w:tc>
        <w:tc>
          <w:tcPr>
            <w:tcW w:w="1134" w:type="dxa"/>
            <w:tcBorders>
              <w:tl2br w:val="nil"/>
              <w:tr2bl w:val="nil"/>
            </w:tcBorders>
            <w:vAlign w:val="center"/>
          </w:tcPr>
          <w:p w14:paraId="0977319A">
            <w:pPr>
              <w:spacing w:line="240" w:lineRule="auto"/>
              <w:ind w:firstLine="0" w:firstLineChars="0"/>
              <w:jc w:val="center"/>
              <w:rPr>
                <w:color w:val="auto"/>
                <w:sz w:val="21"/>
                <w:szCs w:val="21"/>
              </w:rPr>
            </w:pPr>
            <w:r>
              <w:rPr>
                <w:rFonts w:hint="eastAsia"/>
                <w:color w:val="auto"/>
                <w:sz w:val="21"/>
                <w:szCs w:val="21"/>
              </w:rPr>
              <w:t>0.01</w:t>
            </w:r>
          </w:p>
        </w:tc>
        <w:tc>
          <w:tcPr>
            <w:tcW w:w="992" w:type="dxa"/>
            <w:tcBorders>
              <w:tl2br w:val="nil"/>
              <w:tr2bl w:val="nil"/>
            </w:tcBorders>
            <w:vAlign w:val="center"/>
          </w:tcPr>
          <w:p w14:paraId="4E647898">
            <w:pPr>
              <w:spacing w:line="240" w:lineRule="auto"/>
              <w:ind w:firstLine="0" w:firstLineChars="0"/>
              <w:jc w:val="center"/>
              <w:rPr>
                <w:color w:val="auto"/>
                <w:sz w:val="21"/>
                <w:szCs w:val="21"/>
              </w:rPr>
            </w:pPr>
            <w:r>
              <w:rPr>
                <w:rFonts w:hint="eastAsia"/>
                <w:color w:val="auto"/>
                <w:sz w:val="21"/>
                <w:szCs w:val="21"/>
              </w:rPr>
              <w:t>0.0002</w:t>
            </w:r>
          </w:p>
        </w:tc>
        <w:tc>
          <w:tcPr>
            <w:tcW w:w="992" w:type="dxa"/>
            <w:tcBorders>
              <w:tl2br w:val="nil"/>
              <w:tr2bl w:val="nil"/>
            </w:tcBorders>
            <w:vAlign w:val="center"/>
          </w:tcPr>
          <w:p w14:paraId="1C4754B3">
            <w:pPr>
              <w:spacing w:line="240" w:lineRule="auto"/>
              <w:ind w:firstLine="0" w:firstLineChars="0"/>
              <w:jc w:val="center"/>
              <w:rPr>
                <w:rFonts w:hint="default" w:eastAsia="宋体"/>
                <w:color w:val="auto"/>
                <w:sz w:val="21"/>
                <w:szCs w:val="21"/>
                <w:lang w:val="en-US" w:eastAsia="zh-CN"/>
              </w:rPr>
            </w:pPr>
            <w:r>
              <w:rPr>
                <w:rFonts w:hint="eastAsia"/>
                <w:color w:val="auto"/>
                <w:sz w:val="21"/>
                <w:szCs w:val="21"/>
              </w:rPr>
              <w:t>0.4</w:t>
            </w:r>
            <w:r>
              <w:rPr>
                <w:rFonts w:hint="eastAsia"/>
                <w:color w:val="auto"/>
                <w:sz w:val="21"/>
                <w:szCs w:val="21"/>
                <w:lang w:val="en-US" w:eastAsia="zh-CN"/>
              </w:rPr>
              <w:t>18</w:t>
            </w:r>
          </w:p>
        </w:tc>
        <w:tc>
          <w:tcPr>
            <w:tcW w:w="1018" w:type="dxa"/>
            <w:tcBorders>
              <w:tl2br w:val="nil"/>
              <w:tr2bl w:val="nil"/>
            </w:tcBorders>
            <w:vAlign w:val="center"/>
          </w:tcPr>
          <w:p w14:paraId="7599001D">
            <w:pPr>
              <w:spacing w:line="240" w:lineRule="auto"/>
              <w:ind w:firstLine="0" w:firstLineChars="0"/>
              <w:jc w:val="center"/>
              <w:rPr>
                <w:color w:val="auto"/>
                <w:sz w:val="21"/>
                <w:szCs w:val="21"/>
              </w:rPr>
            </w:pPr>
            <w:r>
              <w:rPr>
                <w:rFonts w:hint="eastAsia"/>
                <w:color w:val="auto"/>
                <w:sz w:val="21"/>
                <w:szCs w:val="21"/>
              </w:rPr>
              <w:t>50</w:t>
            </w:r>
          </w:p>
        </w:tc>
      </w:tr>
    </w:tbl>
    <w:p w14:paraId="38160730">
      <w:pPr>
        <w:spacing w:line="360" w:lineRule="auto"/>
        <w:ind w:firstLine="480"/>
        <w:rPr>
          <w:color w:val="auto"/>
          <w:szCs w:val="24"/>
        </w:rPr>
      </w:pPr>
    </w:p>
    <w:p w14:paraId="1729C9FA">
      <w:pPr>
        <w:spacing w:line="360" w:lineRule="auto"/>
        <w:ind w:firstLine="480"/>
        <w:rPr>
          <w:color w:val="auto"/>
          <w:szCs w:val="24"/>
        </w:rPr>
      </w:pPr>
      <w:r>
        <w:rPr>
          <w:color w:val="auto"/>
          <w:szCs w:val="24"/>
        </w:rPr>
        <w:t>根据《大气有害物质无组织排放卫生防护距离推导技术导则》（GB/T39499-2020）中规定：卫生防护距离在100m以内时，级差为50m；大于或者等于100m，但小于1000m时，级差为100m；大于或者等于1000m以上，级差为200m。</w:t>
      </w:r>
    </w:p>
    <w:p w14:paraId="6F29214F">
      <w:pPr>
        <w:spacing w:line="360" w:lineRule="auto"/>
        <w:ind w:firstLine="480"/>
        <w:rPr>
          <w:color w:val="auto"/>
          <w:szCs w:val="24"/>
        </w:rPr>
      </w:pPr>
      <w:r>
        <w:rPr>
          <w:color w:val="auto"/>
          <w:szCs w:val="24"/>
        </w:rPr>
        <w:t>据此，项目以</w:t>
      </w:r>
      <w:r>
        <w:rPr>
          <w:rFonts w:hint="eastAsia"/>
          <w:color w:val="auto"/>
          <w:szCs w:val="24"/>
          <w:lang w:eastAsia="zh-CN"/>
        </w:rPr>
        <w:t>收集池</w:t>
      </w:r>
      <w:r>
        <w:rPr>
          <w:rFonts w:hint="eastAsia"/>
          <w:color w:val="auto"/>
          <w:szCs w:val="24"/>
        </w:rPr>
        <w:t>、调节池、高密沉淀池、芬顿氧化池、沉淀池、</w:t>
      </w:r>
      <w:r>
        <w:rPr>
          <w:rFonts w:hint="eastAsia"/>
          <w:color w:val="auto"/>
          <w:szCs w:val="24"/>
          <w:lang w:eastAsia="zh-CN"/>
        </w:rPr>
        <w:t>浓水罐</w:t>
      </w:r>
      <w:r>
        <w:rPr>
          <w:rFonts w:hint="eastAsia"/>
          <w:color w:val="auto"/>
          <w:szCs w:val="24"/>
        </w:rPr>
        <w:t>和污泥</w:t>
      </w:r>
      <w:r>
        <w:rPr>
          <w:color w:val="auto"/>
          <w:szCs w:val="24"/>
        </w:rPr>
        <w:t>池、</w:t>
      </w:r>
      <w:r>
        <w:rPr>
          <w:rFonts w:hint="eastAsia"/>
          <w:color w:val="auto"/>
          <w:szCs w:val="24"/>
          <w:lang w:eastAsia="zh-CN"/>
        </w:rPr>
        <w:t>污泥压滤间</w:t>
      </w:r>
      <w:r>
        <w:rPr>
          <w:color w:val="auto"/>
          <w:szCs w:val="24"/>
        </w:rPr>
        <w:t>单元外50m形成的包络线划定卫生防护距离，</w:t>
      </w:r>
      <w:bookmarkStart w:id="247" w:name="_Hlk2115933"/>
      <w:r>
        <w:rPr>
          <w:color w:val="auto"/>
          <w:szCs w:val="24"/>
        </w:rPr>
        <w:t>卫生防护距离范围内</w:t>
      </w:r>
      <w:r>
        <w:rPr>
          <w:rFonts w:hint="eastAsia"/>
          <w:color w:val="auto"/>
          <w:szCs w:val="24"/>
        </w:rPr>
        <w:t>为园区现有企业、规划工业用地和园区道路，</w:t>
      </w:r>
      <w:r>
        <w:rPr>
          <w:color w:val="auto"/>
          <w:szCs w:val="24"/>
        </w:rPr>
        <w:t>无居民</w:t>
      </w:r>
      <w:bookmarkEnd w:id="247"/>
      <w:r>
        <w:rPr>
          <w:rFonts w:hint="eastAsia"/>
          <w:color w:val="auto"/>
          <w:szCs w:val="24"/>
        </w:rPr>
        <w:t>、学校和</w:t>
      </w:r>
      <w:r>
        <w:rPr>
          <w:color w:val="auto"/>
          <w:szCs w:val="24"/>
        </w:rPr>
        <w:t>医院等</w:t>
      </w:r>
      <w:r>
        <w:rPr>
          <w:rFonts w:hint="eastAsia"/>
          <w:color w:val="auto"/>
          <w:szCs w:val="24"/>
        </w:rPr>
        <w:t>环境保护</w:t>
      </w:r>
      <w:r>
        <w:rPr>
          <w:color w:val="auto"/>
          <w:szCs w:val="24"/>
        </w:rPr>
        <w:t>目标。</w:t>
      </w:r>
    </w:p>
    <w:p w14:paraId="1A6B7B0F">
      <w:pPr>
        <w:spacing w:line="360" w:lineRule="auto"/>
        <w:ind w:firstLine="480"/>
        <w:rPr>
          <w:color w:val="auto"/>
          <w:szCs w:val="24"/>
        </w:rPr>
      </w:pPr>
      <w:r>
        <w:rPr>
          <w:rFonts w:hint="eastAsia"/>
          <w:color w:val="auto"/>
        </w:rPr>
        <w:t>（5）</w:t>
      </w:r>
      <w:r>
        <w:rPr>
          <w:rFonts w:hint="eastAsia"/>
          <w:color w:val="auto"/>
          <w:szCs w:val="24"/>
        </w:rPr>
        <w:t>项目污染物排放量核算</w:t>
      </w:r>
    </w:p>
    <w:p w14:paraId="5DB8E91F">
      <w:pPr>
        <w:spacing w:line="360" w:lineRule="auto"/>
        <w:ind w:firstLine="480"/>
        <w:rPr>
          <w:color w:val="auto"/>
          <w:szCs w:val="24"/>
        </w:rPr>
      </w:pPr>
      <w:r>
        <w:rPr>
          <w:rFonts w:hint="eastAsia"/>
          <w:color w:val="auto"/>
          <w:szCs w:val="24"/>
        </w:rPr>
        <w:t>根据工程分析，项目大气污染物排放情况详见下表</w:t>
      </w:r>
      <w:r>
        <w:rPr>
          <w:color w:val="auto"/>
          <w:szCs w:val="24"/>
        </w:rPr>
        <w:t>6.2-</w:t>
      </w:r>
      <w:r>
        <w:rPr>
          <w:rFonts w:hint="eastAsia"/>
          <w:color w:val="auto"/>
          <w:szCs w:val="24"/>
        </w:rPr>
        <w:t>6及6</w:t>
      </w:r>
      <w:r>
        <w:rPr>
          <w:color w:val="auto"/>
          <w:szCs w:val="24"/>
        </w:rPr>
        <w:t>.2-</w:t>
      </w:r>
      <w:r>
        <w:rPr>
          <w:rFonts w:hint="eastAsia"/>
          <w:color w:val="auto"/>
          <w:szCs w:val="24"/>
        </w:rPr>
        <w:t>8。</w:t>
      </w:r>
    </w:p>
    <w:p w14:paraId="276994D2">
      <w:pPr>
        <w:pStyle w:val="684"/>
        <w:spacing w:before="72" w:line="360" w:lineRule="auto"/>
        <w:ind w:firstLine="480"/>
        <w:rPr>
          <w:bCs/>
          <w:color w:val="auto"/>
        </w:rPr>
      </w:pPr>
      <w:r>
        <w:rPr>
          <w:rFonts w:hint="eastAsia"/>
          <w:bCs/>
          <w:color w:val="auto"/>
        </w:rPr>
        <w:t>表</w:t>
      </w:r>
      <w:r>
        <w:rPr>
          <w:bCs/>
          <w:color w:val="auto"/>
        </w:rPr>
        <w:t>6.2-</w:t>
      </w:r>
      <w:r>
        <w:rPr>
          <w:rFonts w:hint="eastAsia"/>
          <w:bCs/>
          <w:color w:val="auto"/>
          <w:lang w:val="en-US"/>
        </w:rPr>
        <w:t>6</w:t>
      </w:r>
      <w:r>
        <w:rPr>
          <w:bCs/>
          <w:color w:val="auto"/>
        </w:rPr>
        <w:t xml:space="preserve">  </w:t>
      </w:r>
      <w:r>
        <w:rPr>
          <w:rFonts w:hint="eastAsia"/>
          <w:bCs/>
          <w:color w:val="auto"/>
        </w:rPr>
        <w:t>大气污染物有组织排放量核算表</w:t>
      </w:r>
    </w:p>
    <w:tbl>
      <w:tblPr>
        <w:tblStyle w:val="88"/>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6"/>
        <w:gridCol w:w="1398"/>
        <w:gridCol w:w="2028"/>
        <w:gridCol w:w="1898"/>
        <w:gridCol w:w="1896"/>
      </w:tblGrid>
      <w:tr w14:paraId="294AF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066" w:type="dxa"/>
            <w:tcBorders>
              <w:top w:val="single" w:color="auto" w:sz="4" w:space="0"/>
              <w:left w:val="single" w:color="auto" w:sz="4" w:space="0"/>
              <w:bottom w:val="single" w:color="auto" w:sz="4" w:space="0"/>
              <w:right w:val="single" w:color="auto" w:sz="4" w:space="0"/>
            </w:tcBorders>
            <w:vAlign w:val="center"/>
          </w:tcPr>
          <w:p w14:paraId="1CC88E68">
            <w:pPr>
              <w:pStyle w:val="348"/>
              <w:rPr>
                <w:color w:val="auto"/>
              </w:rPr>
            </w:pPr>
            <w:r>
              <w:rPr>
                <w:rFonts w:hint="eastAsia"/>
                <w:color w:val="auto"/>
              </w:rPr>
              <w:t>排放口编号</w:t>
            </w:r>
          </w:p>
        </w:tc>
        <w:tc>
          <w:tcPr>
            <w:tcW w:w="1398" w:type="dxa"/>
            <w:tcBorders>
              <w:top w:val="single" w:color="auto" w:sz="4" w:space="0"/>
              <w:left w:val="single" w:color="auto" w:sz="4" w:space="0"/>
              <w:bottom w:val="single" w:color="auto" w:sz="4" w:space="0"/>
              <w:right w:val="single" w:color="auto" w:sz="4" w:space="0"/>
            </w:tcBorders>
            <w:vAlign w:val="center"/>
          </w:tcPr>
          <w:p w14:paraId="64BF1F6E">
            <w:pPr>
              <w:pStyle w:val="348"/>
              <w:rPr>
                <w:color w:val="auto"/>
              </w:rPr>
            </w:pPr>
            <w:r>
              <w:rPr>
                <w:rFonts w:hint="eastAsia"/>
                <w:color w:val="auto"/>
              </w:rPr>
              <w:t>污染物</w:t>
            </w:r>
          </w:p>
        </w:tc>
        <w:tc>
          <w:tcPr>
            <w:tcW w:w="2028" w:type="dxa"/>
            <w:tcBorders>
              <w:top w:val="single" w:color="auto" w:sz="4" w:space="0"/>
              <w:left w:val="single" w:color="auto" w:sz="4" w:space="0"/>
              <w:bottom w:val="single" w:color="auto" w:sz="4" w:space="0"/>
              <w:right w:val="single" w:color="auto" w:sz="4" w:space="0"/>
            </w:tcBorders>
            <w:vAlign w:val="center"/>
          </w:tcPr>
          <w:p w14:paraId="2966E8D0">
            <w:pPr>
              <w:pStyle w:val="348"/>
              <w:rPr>
                <w:color w:val="auto"/>
              </w:rPr>
            </w:pPr>
            <w:r>
              <w:rPr>
                <w:rFonts w:hint="eastAsia"/>
                <w:color w:val="auto"/>
              </w:rPr>
              <w:t>核算排放浓度（mg/m</w:t>
            </w:r>
            <w:r>
              <w:rPr>
                <w:rFonts w:hint="eastAsia"/>
                <w:color w:val="auto"/>
                <w:vertAlign w:val="superscript"/>
              </w:rPr>
              <w:t>3</w:t>
            </w:r>
            <w:r>
              <w:rPr>
                <w:rFonts w:hint="eastAsia"/>
                <w:color w:val="auto"/>
              </w:rPr>
              <w:t>）</w:t>
            </w:r>
          </w:p>
        </w:tc>
        <w:tc>
          <w:tcPr>
            <w:tcW w:w="1898" w:type="dxa"/>
            <w:tcBorders>
              <w:top w:val="single" w:color="auto" w:sz="4" w:space="0"/>
              <w:left w:val="single" w:color="auto" w:sz="4" w:space="0"/>
              <w:bottom w:val="single" w:color="auto" w:sz="4" w:space="0"/>
              <w:right w:val="single" w:color="auto" w:sz="4" w:space="0"/>
            </w:tcBorders>
            <w:vAlign w:val="center"/>
          </w:tcPr>
          <w:p w14:paraId="65D398FF">
            <w:pPr>
              <w:pStyle w:val="348"/>
              <w:rPr>
                <w:color w:val="auto"/>
              </w:rPr>
            </w:pPr>
            <w:r>
              <w:rPr>
                <w:rFonts w:hint="eastAsia"/>
                <w:color w:val="auto"/>
              </w:rPr>
              <w:t>核算排放速率</w:t>
            </w:r>
          </w:p>
          <w:p w14:paraId="1E225B35">
            <w:pPr>
              <w:pStyle w:val="348"/>
              <w:rPr>
                <w:color w:val="auto"/>
              </w:rPr>
            </w:pPr>
            <w:r>
              <w:rPr>
                <w:rFonts w:hint="eastAsia"/>
                <w:color w:val="auto"/>
                <w:lang w:eastAsia="zh-CN"/>
              </w:rPr>
              <w:t>(</w:t>
            </w:r>
            <w:r>
              <w:rPr>
                <w:rFonts w:hint="eastAsia"/>
                <w:color w:val="auto"/>
              </w:rPr>
              <w:t>kg/h</w:t>
            </w:r>
            <w:r>
              <w:rPr>
                <w:rFonts w:hint="eastAsia"/>
                <w:color w:val="auto"/>
                <w:lang w:eastAsia="zh-CN"/>
              </w:rPr>
              <w:t>)</w:t>
            </w:r>
          </w:p>
        </w:tc>
        <w:tc>
          <w:tcPr>
            <w:tcW w:w="1896" w:type="dxa"/>
            <w:tcBorders>
              <w:top w:val="single" w:color="auto" w:sz="4" w:space="0"/>
              <w:left w:val="single" w:color="auto" w:sz="4" w:space="0"/>
              <w:bottom w:val="single" w:color="auto" w:sz="4" w:space="0"/>
              <w:right w:val="single" w:color="auto" w:sz="4" w:space="0"/>
            </w:tcBorders>
            <w:vAlign w:val="center"/>
          </w:tcPr>
          <w:p w14:paraId="0D6211B9">
            <w:pPr>
              <w:pStyle w:val="348"/>
              <w:rPr>
                <w:color w:val="auto"/>
              </w:rPr>
            </w:pPr>
            <w:r>
              <w:rPr>
                <w:rFonts w:hint="eastAsia"/>
                <w:color w:val="auto"/>
              </w:rPr>
              <w:t>核算年排放量</w:t>
            </w:r>
          </w:p>
          <w:p w14:paraId="089DC936">
            <w:pPr>
              <w:pStyle w:val="348"/>
              <w:rPr>
                <w:color w:val="auto"/>
              </w:rPr>
            </w:pPr>
            <w:r>
              <w:rPr>
                <w:rFonts w:hint="eastAsia"/>
                <w:color w:val="auto"/>
                <w:lang w:eastAsia="zh-CN"/>
              </w:rPr>
              <w:t>(</w:t>
            </w:r>
            <w:r>
              <w:rPr>
                <w:rFonts w:hint="eastAsia"/>
                <w:color w:val="auto"/>
              </w:rPr>
              <w:t>t/a</w:t>
            </w:r>
            <w:r>
              <w:rPr>
                <w:rFonts w:hint="eastAsia"/>
                <w:color w:val="auto"/>
                <w:lang w:eastAsia="zh-CN"/>
              </w:rPr>
              <w:t>)</w:t>
            </w:r>
          </w:p>
        </w:tc>
      </w:tr>
      <w:tr w14:paraId="06D77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066" w:type="dxa"/>
            <w:vMerge w:val="restart"/>
            <w:tcBorders>
              <w:top w:val="single" w:color="auto" w:sz="4" w:space="0"/>
              <w:left w:val="single" w:color="auto" w:sz="4" w:space="0"/>
              <w:right w:val="single" w:color="auto" w:sz="4" w:space="0"/>
            </w:tcBorders>
            <w:vAlign w:val="center"/>
          </w:tcPr>
          <w:p w14:paraId="20E35216">
            <w:pPr>
              <w:pStyle w:val="348"/>
              <w:rPr>
                <w:color w:val="auto"/>
              </w:rPr>
            </w:pPr>
            <w:r>
              <w:rPr>
                <w:rFonts w:hint="eastAsia"/>
                <w:color w:val="auto"/>
              </w:rPr>
              <w:t>DA001排气筒</w:t>
            </w:r>
          </w:p>
        </w:tc>
        <w:tc>
          <w:tcPr>
            <w:tcW w:w="1398" w:type="dxa"/>
            <w:tcBorders>
              <w:top w:val="single" w:color="auto" w:sz="4" w:space="0"/>
              <w:left w:val="single" w:color="auto" w:sz="4" w:space="0"/>
              <w:bottom w:val="single" w:color="auto" w:sz="4" w:space="0"/>
              <w:right w:val="single" w:color="auto" w:sz="4" w:space="0"/>
            </w:tcBorders>
            <w:vAlign w:val="center"/>
          </w:tcPr>
          <w:p w14:paraId="62061CFB">
            <w:pPr>
              <w:pStyle w:val="348"/>
              <w:rPr>
                <w:color w:val="auto"/>
              </w:rPr>
            </w:pPr>
            <w:r>
              <w:rPr>
                <w:rFonts w:hint="eastAsia"/>
                <w:color w:val="auto"/>
              </w:rPr>
              <w:t>NH</w:t>
            </w:r>
            <w:r>
              <w:rPr>
                <w:rFonts w:hint="eastAsia"/>
                <w:color w:val="auto"/>
                <w:vertAlign w:val="subscript"/>
              </w:rPr>
              <w:t>3</w:t>
            </w:r>
          </w:p>
        </w:tc>
        <w:tc>
          <w:tcPr>
            <w:tcW w:w="2028" w:type="dxa"/>
            <w:tcBorders>
              <w:top w:val="single" w:color="auto" w:sz="4" w:space="0"/>
              <w:left w:val="single" w:color="auto" w:sz="4" w:space="0"/>
              <w:bottom w:val="single" w:color="auto" w:sz="4" w:space="0"/>
              <w:right w:val="single" w:color="auto" w:sz="4" w:space="0"/>
            </w:tcBorders>
            <w:shd w:val="clear" w:color="auto" w:fill="auto"/>
            <w:vAlign w:val="center"/>
          </w:tcPr>
          <w:p w14:paraId="7D064E84">
            <w:pPr>
              <w:pStyle w:val="3361"/>
              <w:rPr>
                <w:color w:val="auto"/>
                <w:lang w:bidi="ar"/>
              </w:rPr>
            </w:pPr>
            <w:r>
              <w:rPr>
                <w:rFonts w:hint="eastAsia"/>
                <w:color w:val="auto"/>
                <w:lang w:bidi="ar"/>
              </w:rPr>
              <w:t>0.26</w:t>
            </w:r>
          </w:p>
        </w:tc>
        <w:tc>
          <w:tcPr>
            <w:tcW w:w="1898" w:type="dxa"/>
            <w:tcBorders>
              <w:top w:val="single" w:color="auto" w:sz="4" w:space="0"/>
              <w:left w:val="single" w:color="auto" w:sz="4" w:space="0"/>
              <w:bottom w:val="single" w:color="auto" w:sz="4" w:space="0"/>
              <w:right w:val="single" w:color="auto" w:sz="4" w:space="0"/>
            </w:tcBorders>
            <w:shd w:val="clear" w:color="auto" w:fill="auto"/>
            <w:vAlign w:val="center"/>
          </w:tcPr>
          <w:p w14:paraId="59D520D0">
            <w:pPr>
              <w:pStyle w:val="3361"/>
              <w:rPr>
                <w:color w:val="auto"/>
                <w:lang w:bidi="ar"/>
              </w:rPr>
            </w:pPr>
            <w:r>
              <w:rPr>
                <w:rFonts w:hint="eastAsia"/>
                <w:color w:val="auto"/>
                <w:lang w:bidi="ar"/>
              </w:rPr>
              <w:t>0.0051</w:t>
            </w:r>
          </w:p>
        </w:tc>
        <w:tc>
          <w:tcPr>
            <w:tcW w:w="1896" w:type="dxa"/>
            <w:tcBorders>
              <w:top w:val="single" w:color="auto" w:sz="4" w:space="0"/>
              <w:left w:val="single" w:color="auto" w:sz="4" w:space="0"/>
              <w:bottom w:val="single" w:color="auto" w:sz="4" w:space="0"/>
              <w:right w:val="single" w:color="auto" w:sz="4" w:space="0"/>
            </w:tcBorders>
            <w:shd w:val="clear" w:color="auto" w:fill="auto"/>
            <w:vAlign w:val="center"/>
          </w:tcPr>
          <w:p w14:paraId="65018C91">
            <w:pPr>
              <w:pStyle w:val="3361"/>
              <w:rPr>
                <w:color w:val="auto"/>
                <w:lang w:bidi="ar"/>
              </w:rPr>
            </w:pPr>
            <w:r>
              <w:rPr>
                <w:rFonts w:hint="eastAsia"/>
                <w:color w:val="auto"/>
                <w:lang w:bidi="ar"/>
              </w:rPr>
              <w:t>0.037</w:t>
            </w:r>
          </w:p>
        </w:tc>
      </w:tr>
      <w:tr w14:paraId="2D173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066" w:type="dxa"/>
            <w:vMerge w:val="continue"/>
            <w:tcBorders>
              <w:left w:val="single" w:color="auto" w:sz="4" w:space="0"/>
              <w:right w:val="single" w:color="auto" w:sz="4" w:space="0"/>
            </w:tcBorders>
            <w:vAlign w:val="center"/>
          </w:tcPr>
          <w:p w14:paraId="64C66370">
            <w:pPr>
              <w:pStyle w:val="348"/>
              <w:rPr>
                <w:color w:val="auto"/>
              </w:rPr>
            </w:pPr>
          </w:p>
        </w:tc>
        <w:tc>
          <w:tcPr>
            <w:tcW w:w="1398" w:type="dxa"/>
            <w:tcBorders>
              <w:top w:val="single" w:color="auto" w:sz="4" w:space="0"/>
              <w:left w:val="single" w:color="auto" w:sz="4" w:space="0"/>
              <w:bottom w:val="single" w:color="auto" w:sz="4" w:space="0"/>
              <w:right w:val="single" w:color="auto" w:sz="4" w:space="0"/>
            </w:tcBorders>
            <w:vAlign w:val="center"/>
          </w:tcPr>
          <w:p w14:paraId="691EF743">
            <w:pPr>
              <w:pStyle w:val="348"/>
              <w:rPr>
                <w:color w:val="auto"/>
              </w:rPr>
            </w:pPr>
            <w:r>
              <w:rPr>
                <w:rFonts w:hint="eastAsia"/>
                <w:color w:val="auto"/>
              </w:rPr>
              <w:t>H</w:t>
            </w:r>
            <w:r>
              <w:rPr>
                <w:rFonts w:hint="eastAsia"/>
                <w:color w:val="auto"/>
                <w:vertAlign w:val="subscript"/>
              </w:rPr>
              <w:t>2</w:t>
            </w:r>
            <w:r>
              <w:rPr>
                <w:rFonts w:hint="eastAsia"/>
                <w:color w:val="auto"/>
              </w:rPr>
              <w:t>S</w:t>
            </w:r>
          </w:p>
        </w:tc>
        <w:tc>
          <w:tcPr>
            <w:tcW w:w="2028" w:type="dxa"/>
            <w:tcBorders>
              <w:top w:val="single" w:color="auto" w:sz="4" w:space="0"/>
              <w:left w:val="single" w:color="auto" w:sz="4" w:space="0"/>
              <w:bottom w:val="single" w:color="auto" w:sz="4" w:space="0"/>
              <w:right w:val="single" w:color="auto" w:sz="4" w:space="0"/>
            </w:tcBorders>
            <w:shd w:val="clear" w:color="auto" w:fill="auto"/>
            <w:vAlign w:val="center"/>
          </w:tcPr>
          <w:p w14:paraId="4D11A80D">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0.03</w:t>
            </w:r>
          </w:p>
        </w:tc>
        <w:tc>
          <w:tcPr>
            <w:tcW w:w="1898" w:type="dxa"/>
            <w:tcBorders>
              <w:top w:val="single" w:color="auto" w:sz="4" w:space="0"/>
              <w:left w:val="single" w:color="auto" w:sz="4" w:space="0"/>
              <w:bottom w:val="single" w:color="auto" w:sz="4" w:space="0"/>
              <w:right w:val="single" w:color="auto" w:sz="4" w:space="0"/>
            </w:tcBorders>
            <w:shd w:val="clear" w:color="auto" w:fill="auto"/>
            <w:vAlign w:val="center"/>
          </w:tcPr>
          <w:p w14:paraId="0312DF7B">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0.0006</w:t>
            </w:r>
          </w:p>
        </w:tc>
        <w:tc>
          <w:tcPr>
            <w:tcW w:w="1896" w:type="dxa"/>
            <w:tcBorders>
              <w:top w:val="single" w:color="auto" w:sz="4" w:space="0"/>
              <w:left w:val="single" w:color="auto" w:sz="4" w:space="0"/>
              <w:bottom w:val="single" w:color="auto" w:sz="4" w:space="0"/>
              <w:right w:val="single" w:color="auto" w:sz="4" w:space="0"/>
            </w:tcBorders>
            <w:shd w:val="clear" w:color="auto" w:fill="auto"/>
            <w:vAlign w:val="center"/>
          </w:tcPr>
          <w:p w14:paraId="710A9FC5">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0.004</w:t>
            </w:r>
          </w:p>
        </w:tc>
      </w:tr>
      <w:tr w14:paraId="5BAF9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066" w:type="dxa"/>
            <w:vMerge w:val="continue"/>
            <w:tcBorders>
              <w:left w:val="single" w:color="auto" w:sz="4" w:space="0"/>
              <w:bottom w:val="single" w:color="auto" w:sz="4" w:space="0"/>
              <w:right w:val="single" w:color="auto" w:sz="4" w:space="0"/>
            </w:tcBorders>
            <w:vAlign w:val="center"/>
          </w:tcPr>
          <w:p w14:paraId="06B45603">
            <w:pPr>
              <w:pStyle w:val="348"/>
              <w:rPr>
                <w:color w:val="auto"/>
              </w:rPr>
            </w:pPr>
          </w:p>
        </w:tc>
        <w:tc>
          <w:tcPr>
            <w:tcW w:w="1398" w:type="dxa"/>
            <w:tcBorders>
              <w:top w:val="single" w:color="auto" w:sz="4" w:space="0"/>
              <w:left w:val="single" w:color="auto" w:sz="4" w:space="0"/>
              <w:bottom w:val="single" w:color="auto" w:sz="4" w:space="0"/>
              <w:right w:val="single" w:color="auto" w:sz="4" w:space="0"/>
            </w:tcBorders>
            <w:vAlign w:val="center"/>
          </w:tcPr>
          <w:p w14:paraId="0ABF4411">
            <w:pPr>
              <w:pStyle w:val="348"/>
              <w:rPr>
                <w:color w:val="auto"/>
              </w:rPr>
            </w:pPr>
            <w:r>
              <w:rPr>
                <w:rFonts w:hint="eastAsia"/>
                <w:color w:val="auto"/>
              </w:rPr>
              <w:t>非甲烷总烃</w:t>
            </w:r>
          </w:p>
        </w:tc>
        <w:tc>
          <w:tcPr>
            <w:tcW w:w="2028" w:type="dxa"/>
            <w:tcBorders>
              <w:top w:val="single" w:color="auto" w:sz="4" w:space="0"/>
              <w:left w:val="single" w:color="auto" w:sz="4" w:space="0"/>
              <w:bottom w:val="single" w:color="auto" w:sz="4" w:space="0"/>
              <w:right w:val="single" w:color="auto" w:sz="4" w:space="0"/>
            </w:tcBorders>
            <w:vAlign w:val="center"/>
          </w:tcPr>
          <w:p w14:paraId="4CF04142">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1.66</w:t>
            </w:r>
          </w:p>
        </w:tc>
        <w:tc>
          <w:tcPr>
            <w:tcW w:w="1898" w:type="dxa"/>
            <w:tcBorders>
              <w:top w:val="single" w:color="auto" w:sz="4" w:space="0"/>
              <w:left w:val="single" w:color="auto" w:sz="4" w:space="0"/>
              <w:bottom w:val="single" w:color="auto" w:sz="4" w:space="0"/>
              <w:right w:val="single" w:color="auto" w:sz="4" w:space="0"/>
            </w:tcBorders>
            <w:vAlign w:val="center"/>
          </w:tcPr>
          <w:p w14:paraId="71CDFB0C">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0.0331</w:t>
            </w:r>
          </w:p>
        </w:tc>
        <w:tc>
          <w:tcPr>
            <w:tcW w:w="1896" w:type="dxa"/>
            <w:tcBorders>
              <w:top w:val="single" w:color="auto" w:sz="4" w:space="0"/>
              <w:left w:val="single" w:color="auto" w:sz="4" w:space="0"/>
              <w:bottom w:val="single" w:color="auto" w:sz="4" w:space="0"/>
              <w:right w:val="single" w:color="auto" w:sz="4" w:space="0"/>
            </w:tcBorders>
            <w:vAlign w:val="center"/>
          </w:tcPr>
          <w:p w14:paraId="6E162094">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0.238</w:t>
            </w:r>
          </w:p>
        </w:tc>
      </w:tr>
      <w:tr w14:paraId="1746B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066" w:type="dxa"/>
            <w:vMerge w:val="restart"/>
            <w:tcBorders>
              <w:top w:val="single" w:color="auto" w:sz="4" w:space="0"/>
              <w:left w:val="single" w:color="auto" w:sz="4" w:space="0"/>
              <w:right w:val="single" w:color="auto" w:sz="4" w:space="0"/>
            </w:tcBorders>
            <w:vAlign w:val="center"/>
          </w:tcPr>
          <w:p w14:paraId="68F1E231">
            <w:pPr>
              <w:pStyle w:val="348"/>
              <w:rPr>
                <w:color w:val="auto"/>
              </w:rPr>
            </w:pPr>
            <w:r>
              <w:rPr>
                <w:rFonts w:hint="eastAsia"/>
                <w:color w:val="auto"/>
              </w:rPr>
              <w:t>有组织排放总计</w:t>
            </w:r>
          </w:p>
        </w:tc>
        <w:tc>
          <w:tcPr>
            <w:tcW w:w="5324" w:type="dxa"/>
            <w:gridSpan w:val="3"/>
            <w:tcBorders>
              <w:top w:val="single" w:color="auto" w:sz="4" w:space="0"/>
              <w:left w:val="single" w:color="auto" w:sz="4" w:space="0"/>
              <w:bottom w:val="single" w:color="auto" w:sz="4" w:space="0"/>
              <w:right w:val="single" w:color="auto" w:sz="4" w:space="0"/>
            </w:tcBorders>
            <w:vAlign w:val="center"/>
          </w:tcPr>
          <w:p w14:paraId="7B5B4ACC">
            <w:pPr>
              <w:pStyle w:val="348"/>
              <w:rPr>
                <w:color w:val="auto"/>
              </w:rPr>
            </w:pPr>
            <w:r>
              <w:rPr>
                <w:rFonts w:hint="eastAsia"/>
                <w:color w:val="auto"/>
              </w:rPr>
              <w:t>NH</w:t>
            </w:r>
            <w:r>
              <w:rPr>
                <w:rFonts w:hint="eastAsia"/>
                <w:color w:val="auto"/>
                <w:vertAlign w:val="subscript"/>
              </w:rPr>
              <w:t>3</w:t>
            </w:r>
          </w:p>
        </w:tc>
        <w:tc>
          <w:tcPr>
            <w:tcW w:w="1896" w:type="dxa"/>
            <w:tcBorders>
              <w:top w:val="single" w:color="auto" w:sz="4" w:space="0"/>
              <w:left w:val="single" w:color="auto" w:sz="4" w:space="0"/>
              <w:bottom w:val="single" w:color="auto" w:sz="4" w:space="0"/>
              <w:right w:val="single" w:color="auto" w:sz="4" w:space="0"/>
            </w:tcBorders>
            <w:shd w:val="clear" w:color="auto" w:fill="auto"/>
            <w:vAlign w:val="center"/>
          </w:tcPr>
          <w:p w14:paraId="2FA876C6">
            <w:pPr>
              <w:pStyle w:val="3361"/>
              <w:rPr>
                <w:color w:val="auto"/>
                <w:lang w:bidi="ar"/>
              </w:rPr>
            </w:pPr>
            <w:r>
              <w:rPr>
                <w:rFonts w:hint="eastAsia"/>
                <w:color w:val="auto"/>
                <w:lang w:bidi="ar"/>
              </w:rPr>
              <w:t>0.037</w:t>
            </w:r>
          </w:p>
        </w:tc>
      </w:tr>
      <w:tr w14:paraId="7100E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066" w:type="dxa"/>
            <w:vMerge w:val="continue"/>
            <w:tcBorders>
              <w:left w:val="single" w:color="auto" w:sz="4" w:space="0"/>
              <w:right w:val="single" w:color="auto" w:sz="4" w:space="0"/>
            </w:tcBorders>
            <w:vAlign w:val="center"/>
          </w:tcPr>
          <w:p w14:paraId="56911453">
            <w:pPr>
              <w:pStyle w:val="348"/>
              <w:rPr>
                <w:color w:val="auto"/>
              </w:rPr>
            </w:pPr>
          </w:p>
        </w:tc>
        <w:tc>
          <w:tcPr>
            <w:tcW w:w="5324" w:type="dxa"/>
            <w:gridSpan w:val="3"/>
            <w:tcBorders>
              <w:top w:val="single" w:color="auto" w:sz="4" w:space="0"/>
              <w:left w:val="single" w:color="auto" w:sz="4" w:space="0"/>
              <w:bottom w:val="single" w:color="auto" w:sz="4" w:space="0"/>
              <w:right w:val="single" w:color="auto" w:sz="4" w:space="0"/>
            </w:tcBorders>
            <w:vAlign w:val="center"/>
          </w:tcPr>
          <w:p w14:paraId="6CF05D46">
            <w:pPr>
              <w:pStyle w:val="348"/>
              <w:rPr>
                <w:color w:val="auto"/>
              </w:rPr>
            </w:pPr>
            <w:r>
              <w:rPr>
                <w:rFonts w:hint="eastAsia"/>
                <w:color w:val="auto"/>
              </w:rPr>
              <w:t>H</w:t>
            </w:r>
            <w:r>
              <w:rPr>
                <w:rFonts w:hint="eastAsia"/>
                <w:color w:val="auto"/>
                <w:vertAlign w:val="subscript"/>
              </w:rPr>
              <w:t>2</w:t>
            </w:r>
            <w:r>
              <w:rPr>
                <w:rFonts w:hint="eastAsia"/>
                <w:color w:val="auto"/>
              </w:rPr>
              <w:t>S</w:t>
            </w:r>
          </w:p>
        </w:tc>
        <w:tc>
          <w:tcPr>
            <w:tcW w:w="1896" w:type="dxa"/>
            <w:tcBorders>
              <w:top w:val="single" w:color="auto" w:sz="4" w:space="0"/>
              <w:left w:val="single" w:color="auto" w:sz="4" w:space="0"/>
              <w:bottom w:val="single" w:color="auto" w:sz="4" w:space="0"/>
              <w:right w:val="single" w:color="auto" w:sz="4" w:space="0"/>
            </w:tcBorders>
            <w:shd w:val="clear" w:color="auto" w:fill="auto"/>
            <w:vAlign w:val="center"/>
          </w:tcPr>
          <w:p w14:paraId="1CD30DD0">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0.004</w:t>
            </w:r>
          </w:p>
        </w:tc>
      </w:tr>
      <w:tr w14:paraId="5A42E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066" w:type="dxa"/>
            <w:vMerge w:val="continue"/>
            <w:tcBorders>
              <w:left w:val="single" w:color="auto" w:sz="4" w:space="0"/>
              <w:right w:val="single" w:color="auto" w:sz="4" w:space="0"/>
            </w:tcBorders>
            <w:vAlign w:val="center"/>
          </w:tcPr>
          <w:p w14:paraId="77BFECC3">
            <w:pPr>
              <w:pStyle w:val="348"/>
              <w:rPr>
                <w:color w:val="auto"/>
              </w:rPr>
            </w:pPr>
          </w:p>
        </w:tc>
        <w:tc>
          <w:tcPr>
            <w:tcW w:w="5324" w:type="dxa"/>
            <w:gridSpan w:val="3"/>
            <w:tcBorders>
              <w:top w:val="single" w:color="auto" w:sz="4" w:space="0"/>
              <w:left w:val="single" w:color="auto" w:sz="4" w:space="0"/>
              <w:bottom w:val="single" w:color="auto" w:sz="4" w:space="0"/>
              <w:right w:val="single" w:color="auto" w:sz="4" w:space="0"/>
            </w:tcBorders>
            <w:vAlign w:val="center"/>
          </w:tcPr>
          <w:p w14:paraId="5A7062E1">
            <w:pPr>
              <w:pStyle w:val="348"/>
              <w:rPr>
                <w:color w:val="auto"/>
              </w:rPr>
            </w:pPr>
            <w:r>
              <w:rPr>
                <w:rFonts w:hint="eastAsia"/>
                <w:color w:val="auto"/>
              </w:rPr>
              <w:t>非甲烷总烃</w:t>
            </w:r>
          </w:p>
        </w:tc>
        <w:tc>
          <w:tcPr>
            <w:tcW w:w="1896" w:type="dxa"/>
            <w:tcBorders>
              <w:top w:val="single" w:color="auto" w:sz="4" w:space="0"/>
              <w:left w:val="single" w:color="auto" w:sz="4" w:space="0"/>
              <w:bottom w:val="single" w:color="auto" w:sz="4" w:space="0"/>
              <w:right w:val="single" w:color="auto" w:sz="4" w:space="0"/>
            </w:tcBorders>
            <w:vAlign w:val="center"/>
          </w:tcPr>
          <w:p w14:paraId="601C3019">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0.238</w:t>
            </w:r>
          </w:p>
        </w:tc>
      </w:tr>
    </w:tbl>
    <w:p w14:paraId="3A2229A0">
      <w:pPr>
        <w:spacing w:line="360" w:lineRule="auto"/>
        <w:ind w:firstLine="480"/>
        <w:rPr>
          <w:color w:val="auto"/>
          <w:szCs w:val="24"/>
        </w:rPr>
      </w:pPr>
    </w:p>
    <w:p w14:paraId="3F52A584">
      <w:pPr>
        <w:pStyle w:val="684"/>
        <w:spacing w:before="72" w:line="360" w:lineRule="auto"/>
        <w:ind w:firstLine="480"/>
        <w:rPr>
          <w:bCs/>
          <w:color w:val="auto"/>
        </w:rPr>
      </w:pPr>
      <w:r>
        <w:rPr>
          <w:rFonts w:hint="eastAsia"/>
          <w:bCs/>
          <w:color w:val="auto"/>
        </w:rPr>
        <w:t>表</w:t>
      </w:r>
      <w:r>
        <w:rPr>
          <w:bCs/>
          <w:color w:val="auto"/>
        </w:rPr>
        <w:t>6.2-</w:t>
      </w:r>
      <w:r>
        <w:rPr>
          <w:rFonts w:hint="eastAsia"/>
          <w:bCs/>
          <w:color w:val="auto"/>
          <w:lang w:val="en-US"/>
        </w:rPr>
        <w:t>7</w:t>
      </w:r>
      <w:r>
        <w:rPr>
          <w:bCs/>
          <w:color w:val="auto"/>
        </w:rPr>
        <w:t xml:space="preserve">  </w:t>
      </w:r>
      <w:r>
        <w:rPr>
          <w:rFonts w:hint="eastAsia"/>
          <w:bCs/>
          <w:color w:val="auto"/>
        </w:rPr>
        <w:t>大气污染物无组织排放量核算表</w:t>
      </w:r>
    </w:p>
    <w:tbl>
      <w:tblPr>
        <w:tblStyle w:val="88"/>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1"/>
        <w:gridCol w:w="726"/>
        <w:gridCol w:w="814"/>
        <w:gridCol w:w="1220"/>
        <w:gridCol w:w="2677"/>
        <w:gridCol w:w="1281"/>
        <w:gridCol w:w="1099"/>
      </w:tblGrid>
      <w:tr w14:paraId="5D921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1" w:type="dxa"/>
            <w:vMerge w:val="restart"/>
            <w:tcBorders>
              <w:top w:val="single" w:color="auto" w:sz="4" w:space="0"/>
              <w:left w:val="single" w:color="auto" w:sz="4" w:space="0"/>
              <w:right w:val="single" w:color="auto" w:sz="4" w:space="0"/>
            </w:tcBorders>
            <w:vAlign w:val="center"/>
          </w:tcPr>
          <w:p w14:paraId="715F440F">
            <w:pPr>
              <w:pStyle w:val="348"/>
              <w:rPr>
                <w:color w:val="auto"/>
              </w:rPr>
            </w:pPr>
            <w:r>
              <w:rPr>
                <w:rFonts w:hint="eastAsia"/>
                <w:color w:val="auto"/>
              </w:rPr>
              <w:t>排放口编号</w:t>
            </w:r>
          </w:p>
        </w:tc>
        <w:tc>
          <w:tcPr>
            <w:tcW w:w="726" w:type="dxa"/>
            <w:vMerge w:val="restart"/>
            <w:tcBorders>
              <w:top w:val="single" w:color="auto" w:sz="4" w:space="0"/>
              <w:left w:val="single" w:color="auto" w:sz="4" w:space="0"/>
              <w:bottom w:val="single" w:color="auto" w:sz="4" w:space="0"/>
              <w:right w:val="single" w:color="auto" w:sz="4" w:space="0"/>
            </w:tcBorders>
            <w:vAlign w:val="center"/>
          </w:tcPr>
          <w:p w14:paraId="29D1F8B3">
            <w:pPr>
              <w:pStyle w:val="348"/>
              <w:rPr>
                <w:color w:val="auto"/>
              </w:rPr>
            </w:pPr>
            <w:r>
              <w:rPr>
                <w:rFonts w:hint="eastAsia"/>
                <w:color w:val="auto"/>
              </w:rPr>
              <w:t>产污环节</w:t>
            </w:r>
          </w:p>
        </w:tc>
        <w:tc>
          <w:tcPr>
            <w:tcW w:w="814" w:type="dxa"/>
            <w:vMerge w:val="restart"/>
            <w:tcBorders>
              <w:top w:val="single" w:color="auto" w:sz="4" w:space="0"/>
              <w:left w:val="single" w:color="auto" w:sz="4" w:space="0"/>
              <w:bottom w:val="single" w:color="auto" w:sz="4" w:space="0"/>
              <w:right w:val="single" w:color="auto" w:sz="4" w:space="0"/>
            </w:tcBorders>
            <w:vAlign w:val="center"/>
          </w:tcPr>
          <w:p w14:paraId="23221A37">
            <w:pPr>
              <w:pStyle w:val="348"/>
              <w:rPr>
                <w:color w:val="auto"/>
              </w:rPr>
            </w:pPr>
            <w:r>
              <w:rPr>
                <w:rFonts w:hint="eastAsia"/>
                <w:color w:val="auto"/>
              </w:rPr>
              <w:t>污染物</w:t>
            </w:r>
          </w:p>
        </w:tc>
        <w:tc>
          <w:tcPr>
            <w:tcW w:w="1220" w:type="dxa"/>
            <w:vMerge w:val="restart"/>
            <w:tcBorders>
              <w:top w:val="single" w:color="auto" w:sz="4" w:space="0"/>
              <w:left w:val="single" w:color="auto" w:sz="4" w:space="0"/>
              <w:bottom w:val="single" w:color="auto" w:sz="4" w:space="0"/>
              <w:right w:val="single" w:color="auto" w:sz="4" w:space="0"/>
            </w:tcBorders>
            <w:vAlign w:val="center"/>
          </w:tcPr>
          <w:p w14:paraId="2931678B">
            <w:pPr>
              <w:pStyle w:val="348"/>
              <w:rPr>
                <w:color w:val="auto"/>
              </w:rPr>
            </w:pPr>
            <w:r>
              <w:rPr>
                <w:rFonts w:hint="eastAsia"/>
                <w:color w:val="auto"/>
              </w:rPr>
              <w:t>主要污染防治措施</w:t>
            </w:r>
          </w:p>
        </w:tc>
        <w:tc>
          <w:tcPr>
            <w:tcW w:w="3958" w:type="dxa"/>
            <w:gridSpan w:val="2"/>
            <w:tcBorders>
              <w:top w:val="single" w:color="auto" w:sz="4" w:space="0"/>
              <w:left w:val="single" w:color="auto" w:sz="4" w:space="0"/>
              <w:bottom w:val="single" w:color="auto" w:sz="4" w:space="0"/>
              <w:right w:val="single" w:color="auto" w:sz="4" w:space="0"/>
            </w:tcBorders>
            <w:vAlign w:val="center"/>
          </w:tcPr>
          <w:p w14:paraId="3136A786">
            <w:pPr>
              <w:pStyle w:val="348"/>
              <w:rPr>
                <w:color w:val="auto"/>
              </w:rPr>
            </w:pPr>
            <w:r>
              <w:rPr>
                <w:rFonts w:hint="eastAsia"/>
                <w:color w:val="auto"/>
              </w:rPr>
              <w:t>国家或地方污染物排放标准</w:t>
            </w:r>
          </w:p>
        </w:tc>
        <w:tc>
          <w:tcPr>
            <w:tcW w:w="1099" w:type="dxa"/>
            <w:vMerge w:val="restart"/>
            <w:tcBorders>
              <w:top w:val="single" w:color="auto" w:sz="4" w:space="0"/>
              <w:left w:val="single" w:color="auto" w:sz="4" w:space="0"/>
              <w:bottom w:val="single" w:color="auto" w:sz="4" w:space="0"/>
              <w:right w:val="single" w:color="auto" w:sz="4" w:space="0"/>
            </w:tcBorders>
            <w:vAlign w:val="center"/>
          </w:tcPr>
          <w:p w14:paraId="2931FB22">
            <w:pPr>
              <w:pStyle w:val="348"/>
              <w:rPr>
                <w:color w:val="auto"/>
              </w:rPr>
            </w:pPr>
            <w:r>
              <w:rPr>
                <w:rFonts w:hint="eastAsia"/>
                <w:color w:val="auto"/>
              </w:rPr>
              <w:t>年排放量（t/a）</w:t>
            </w:r>
          </w:p>
        </w:tc>
      </w:tr>
      <w:tr w14:paraId="2E9DD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1" w:type="dxa"/>
            <w:vMerge w:val="continue"/>
            <w:tcBorders>
              <w:left w:val="single" w:color="auto" w:sz="4" w:space="0"/>
              <w:bottom w:val="single" w:color="auto" w:sz="4" w:space="0"/>
              <w:right w:val="single" w:color="auto" w:sz="4" w:space="0"/>
            </w:tcBorders>
            <w:vAlign w:val="center"/>
          </w:tcPr>
          <w:p w14:paraId="6272E2B3">
            <w:pPr>
              <w:pStyle w:val="348"/>
              <w:rPr>
                <w:color w:val="auto"/>
              </w:rPr>
            </w:pPr>
          </w:p>
        </w:tc>
        <w:tc>
          <w:tcPr>
            <w:tcW w:w="726" w:type="dxa"/>
            <w:vMerge w:val="continue"/>
            <w:tcBorders>
              <w:top w:val="single" w:color="auto" w:sz="4" w:space="0"/>
              <w:left w:val="single" w:color="auto" w:sz="4" w:space="0"/>
              <w:bottom w:val="single" w:color="auto" w:sz="4" w:space="0"/>
              <w:right w:val="single" w:color="auto" w:sz="4" w:space="0"/>
            </w:tcBorders>
            <w:vAlign w:val="center"/>
          </w:tcPr>
          <w:p w14:paraId="65510ADB">
            <w:pPr>
              <w:pStyle w:val="348"/>
              <w:rPr>
                <w:color w:val="auto"/>
              </w:rPr>
            </w:pPr>
          </w:p>
        </w:tc>
        <w:tc>
          <w:tcPr>
            <w:tcW w:w="814" w:type="dxa"/>
            <w:vMerge w:val="continue"/>
            <w:tcBorders>
              <w:top w:val="single" w:color="auto" w:sz="4" w:space="0"/>
              <w:left w:val="single" w:color="auto" w:sz="4" w:space="0"/>
              <w:bottom w:val="single" w:color="auto" w:sz="4" w:space="0"/>
              <w:right w:val="single" w:color="auto" w:sz="4" w:space="0"/>
            </w:tcBorders>
            <w:vAlign w:val="center"/>
          </w:tcPr>
          <w:p w14:paraId="405F4709">
            <w:pPr>
              <w:pStyle w:val="348"/>
              <w:rPr>
                <w:color w:val="auto"/>
              </w:rPr>
            </w:pPr>
          </w:p>
        </w:tc>
        <w:tc>
          <w:tcPr>
            <w:tcW w:w="1220" w:type="dxa"/>
            <w:vMerge w:val="continue"/>
            <w:tcBorders>
              <w:top w:val="single" w:color="auto" w:sz="4" w:space="0"/>
              <w:left w:val="single" w:color="auto" w:sz="4" w:space="0"/>
              <w:bottom w:val="single" w:color="auto" w:sz="4" w:space="0"/>
              <w:right w:val="single" w:color="auto" w:sz="4" w:space="0"/>
            </w:tcBorders>
            <w:vAlign w:val="center"/>
          </w:tcPr>
          <w:p w14:paraId="4F2D14A4">
            <w:pPr>
              <w:pStyle w:val="348"/>
              <w:rPr>
                <w:color w:val="auto"/>
              </w:rPr>
            </w:pPr>
          </w:p>
        </w:tc>
        <w:tc>
          <w:tcPr>
            <w:tcW w:w="2677" w:type="dxa"/>
            <w:tcBorders>
              <w:top w:val="single" w:color="auto" w:sz="4" w:space="0"/>
              <w:left w:val="single" w:color="auto" w:sz="4" w:space="0"/>
              <w:bottom w:val="single" w:color="auto" w:sz="4" w:space="0"/>
              <w:right w:val="single" w:color="auto" w:sz="4" w:space="0"/>
            </w:tcBorders>
            <w:vAlign w:val="center"/>
          </w:tcPr>
          <w:p w14:paraId="46743875">
            <w:pPr>
              <w:pStyle w:val="348"/>
              <w:rPr>
                <w:color w:val="auto"/>
              </w:rPr>
            </w:pPr>
            <w:r>
              <w:rPr>
                <w:rFonts w:hint="eastAsia"/>
                <w:color w:val="auto"/>
              </w:rPr>
              <w:t>标准名称</w:t>
            </w:r>
          </w:p>
        </w:tc>
        <w:tc>
          <w:tcPr>
            <w:tcW w:w="1281" w:type="dxa"/>
            <w:tcBorders>
              <w:top w:val="single" w:color="auto" w:sz="4" w:space="0"/>
              <w:left w:val="single" w:color="auto" w:sz="4" w:space="0"/>
              <w:bottom w:val="single" w:color="auto" w:sz="4" w:space="0"/>
              <w:right w:val="single" w:color="auto" w:sz="4" w:space="0"/>
            </w:tcBorders>
            <w:vAlign w:val="center"/>
          </w:tcPr>
          <w:p w14:paraId="09D894A6">
            <w:pPr>
              <w:pStyle w:val="348"/>
              <w:rPr>
                <w:color w:val="auto"/>
              </w:rPr>
            </w:pPr>
            <w:r>
              <w:rPr>
                <w:rFonts w:hint="eastAsia"/>
                <w:color w:val="auto"/>
              </w:rPr>
              <w:t>浓度限值/（mg/m</w:t>
            </w:r>
            <w:r>
              <w:rPr>
                <w:rFonts w:hint="eastAsia"/>
                <w:color w:val="auto"/>
                <w:vertAlign w:val="superscript"/>
              </w:rPr>
              <w:t>3</w:t>
            </w:r>
            <w:r>
              <w:rPr>
                <w:rFonts w:hint="eastAsia"/>
                <w:color w:val="auto"/>
              </w:rPr>
              <w:t>）</w:t>
            </w:r>
          </w:p>
        </w:tc>
        <w:tc>
          <w:tcPr>
            <w:tcW w:w="1099" w:type="dxa"/>
            <w:vMerge w:val="continue"/>
            <w:tcBorders>
              <w:top w:val="single" w:color="auto" w:sz="4" w:space="0"/>
              <w:left w:val="single" w:color="auto" w:sz="4" w:space="0"/>
              <w:bottom w:val="single" w:color="auto" w:sz="4" w:space="0"/>
              <w:right w:val="single" w:color="auto" w:sz="4" w:space="0"/>
            </w:tcBorders>
            <w:vAlign w:val="center"/>
          </w:tcPr>
          <w:p w14:paraId="12EA578E">
            <w:pPr>
              <w:pStyle w:val="348"/>
              <w:rPr>
                <w:color w:val="auto"/>
              </w:rPr>
            </w:pPr>
          </w:p>
        </w:tc>
      </w:tr>
      <w:tr w14:paraId="471A2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471" w:type="dxa"/>
            <w:vMerge w:val="restart"/>
            <w:tcBorders>
              <w:top w:val="single" w:color="auto" w:sz="4" w:space="0"/>
              <w:left w:val="single" w:color="auto" w:sz="4" w:space="0"/>
              <w:right w:val="single" w:color="auto" w:sz="4" w:space="0"/>
            </w:tcBorders>
            <w:vAlign w:val="center"/>
          </w:tcPr>
          <w:p w14:paraId="4A2AF806">
            <w:pPr>
              <w:pStyle w:val="348"/>
              <w:rPr>
                <w:color w:val="auto"/>
              </w:rPr>
            </w:pPr>
            <w:r>
              <w:rPr>
                <w:rFonts w:hint="eastAsia"/>
                <w:color w:val="auto"/>
              </w:rPr>
              <w:t>厂区</w:t>
            </w:r>
          </w:p>
          <w:p w14:paraId="0008E3B1">
            <w:pPr>
              <w:pStyle w:val="348"/>
              <w:rPr>
                <w:color w:val="auto"/>
              </w:rPr>
            </w:pPr>
            <w:r>
              <w:rPr>
                <w:rFonts w:hint="eastAsia"/>
                <w:color w:val="auto"/>
              </w:rPr>
              <w:t>边界</w:t>
            </w:r>
          </w:p>
        </w:tc>
        <w:tc>
          <w:tcPr>
            <w:tcW w:w="726" w:type="dxa"/>
            <w:vMerge w:val="restart"/>
            <w:tcBorders>
              <w:top w:val="single" w:color="auto" w:sz="4" w:space="0"/>
              <w:left w:val="single" w:color="auto" w:sz="4" w:space="0"/>
              <w:right w:val="single" w:color="auto" w:sz="4" w:space="0"/>
            </w:tcBorders>
            <w:vAlign w:val="center"/>
          </w:tcPr>
          <w:p w14:paraId="70D3DCD8">
            <w:pPr>
              <w:pStyle w:val="348"/>
              <w:rPr>
                <w:color w:val="auto"/>
              </w:rPr>
            </w:pPr>
            <w:r>
              <w:rPr>
                <w:rFonts w:hint="eastAsia"/>
                <w:color w:val="auto"/>
              </w:rPr>
              <w:t>各构筑物</w:t>
            </w:r>
          </w:p>
        </w:tc>
        <w:tc>
          <w:tcPr>
            <w:tcW w:w="814" w:type="dxa"/>
            <w:tcBorders>
              <w:top w:val="single" w:color="auto" w:sz="4" w:space="0"/>
              <w:left w:val="single" w:color="auto" w:sz="4" w:space="0"/>
              <w:bottom w:val="single" w:color="auto" w:sz="4" w:space="0"/>
              <w:right w:val="single" w:color="auto" w:sz="4" w:space="0"/>
            </w:tcBorders>
            <w:vAlign w:val="center"/>
          </w:tcPr>
          <w:p w14:paraId="3012F0E1">
            <w:pPr>
              <w:pStyle w:val="348"/>
              <w:rPr>
                <w:color w:val="auto"/>
              </w:rPr>
            </w:pPr>
            <w:r>
              <w:rPr>
                <w:rFonts w:hint="eastAsia"/>
                <w:color w:val="auto"/>
              </w:rPr>
              <w:t>NH</w:t>
            </w:r>
            <w:r>
              <w:rPr>
                <w:rFonts w:hint="eastAsia"/>
                <w:color w:val="auto"/>
                <w:vertAlign w:val="subscript"/>
              </w:rPr>
              <w:t>3</w:t>
            </w:r>
          </w:p>
        </w:tc>
        <w:tc>
          <w:tcPr>
            <w:tcW w:w="1220" w:type="dxa"/>
            <w:vMerge w:val="restart"/>
            <w:tcBorders>
              <w:top w:val="single" w:color="auto" w:sz="4" w:space="0"/>
              <w:left w:val="single" w:color="auto" w:sz="4" w:space="0"/>
              <w:right w:val="single" w:color="auto" w:sz="4" w:space="0"/>
            </w:tcBorders>
            <w:vAlign w:val="center"/>
          </w:tcPr>
          <w:p w14:paraId="46545D09">
            <w:pPr>
              <w:pStyle w:val="348"/>
              <w:rPr>
                <w:color w:val="auto"/>
              </w:rPr>
            </w:pPr>
            <w:r>
              <w:rPr>
                <w:rFonts w:hint="eastAsia"/>
                <w:color w:val="auto"/>
              </w:rPr>
              <w:t>/</w:t>
            </w:r>
          </w:p>
        </w:tc>
        <w:tc>
          <w:tcPr>
            <w:tcW w:w="2677" w:type="dxa"/>
            <w:vMerge w:val="restart"/>
            <w:tcBorders>
              <w:top w:val="single" w:color="auto" w:sz="4" w:space="0"/>
              <w:left w:val="single" w:color="auto" w:sz="4" w:space="0"/>
              <w:right w:val="single" w:color="auto" w:sz="4" w:space="0"/>
            </w:tcBorders>
            <w:vAlign w:val="center"/>
          </w:tcPr>
          <w:p w14:paraId="22C66C88">
            <w:pPr>
              <w:pStyle w:val="348"/>
              <w:rPr>
                <w:color w:val="auto"/>
              </w:rPr>
            </w:pPr>
            <w:r>
              <w:rPr>
                <w:rFonts w:hint="eastAsia"/>
                <w:color w:val="auto"/>
              </w:rPr>
              <w:t>污水处理厂运营期废气执行《恶臭污染物排放标准》（GB14554-93）和《大气污染物综合排放标准》（DB 50/418－2016）</w:t>
            </w:r>
          </w:p>
        </w:tc>
        <w:tc>
          <w:tcPr>
            <w:tcW w:w="1281" w:type="dxa"/>
            <w:tcBorders>
              <w:top w:val="single" w:color="auto" w:sz="4" w:space="0"/>
              <w:left w:val="single" w:color="auto" w:sz="4" w:space="0"/>
              <w:bottom w:val="single" w:color="auto" w:sz="4" w:space="0"/>
              <w:right w:val="single" w:color="auto" w:sz="4" w:space="0"/>
            </w:tcBorders>
            <w:vAlign w:val="center"/>
          </w:tcPr>
          <w:p w14:paraId="454112F4">
            <w:pPr>
              <w:pStyle w:val="348"/>
              <w:rPr>
                <w:color w:val="auto"/>
              </w:rPr>
            </w:pPr>
            <w:r>
              <w:rPr>
                <w:rFonts w:hint="eastAsia"/>
                <w:color w:val="auto"/>
              </w:rPr>
              <w:t>1.5</w:t>
            </w:r>
          </w:p>
        </w:tc>
        <w:tc>
          <w:tcPr>
            <w:tcW w:w="1099" w:type="dxa"/>
            <w:tcBorders>
              <w:top w:val="single" w:color="auto" w:sz="4" w:space="0"/>
              <w:left w:val="single" w:color="auto" w:sz="4" w:space="0"/>
              <w:bottom w:val="single" w:color="auto" w:sz="4" w:space="0"/>
              <w:right w:val="single" w:color="auto" w:sz="4" w:space="0"/>
            </w:tcBorders>
            <w:vAlign w:val="center"/>
          </w:tcPr>
          <w:p w14:paraId="17B147EE">
            <w:pPr>
              <w:pStyle w:val="3361"/>
              <w:rPr>
                <w:color w:val="auto"/>
                <w:lang w:bidi="ar"/>
              </w:rPr>
            </w:pPr>
            <w:r>
              <w:rPr>
                <w:rFonts w:hint="eastAsia"/>
                <w:color w:val="auto"/>
                <w:lang w:bidi="ar"/>
              </w:rPr>
              <w:t>0.01</w:t>
            </w:r>
          </w:p>
        </w:tc>
      </w:tr>
      <w:tr w14:paraId="426B6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71" w:type="dxa"/>
            <w:vMerge w:val="continue"/>
            <w:tcBorders>
              <w:left w:val="single" w:color="auto" w:sz="4" w:space="0"/>
              <w:right w:val="single" w:color="auto" w:sz="4" w:space="0"/>
            </w:tcBorders>
            <w:vAlign w:val="center"/>
          </w:tcPr>
          <w:p w14:paraId="1BB6C77A">
            <w:pPr>
              <w:pStyle w:val="348"/>
              <w:rPr>
                <w:color w:val="auto"/>
              </w:rPr>
            </w:pPr>
          </w:p>
        </w:tc>
        <w:tc>
          <w:tcPr>
            <w:tcW w:w="726" w:type="dxa"/>
            <w:vMerge w:val="continue"/>
            <w:tcBorders>
              <w:left w:val="single" w:color="auto" w:sz="4" w:space="0"/>
              <w:right w:val="single" w:color="auto" w:sz="4" w:space="0"/>
            </w:tcBorders>
            <w:vAlign w:val="center"/>
          </w:tcPr>
          <w:p w14:paraId="266F8183">
            <w:pPr>
              <w:pStyle w:val="348"/>
              <w:rPr>
                <w:color w:val="auto"/>
              </w:rPr>
            </w:pPr>
          </w:p>
        </w:tc>
        <w:tc>
          <w:tcPr>
            <w:tcW w:w="814" w:type="dxa"/>
            <w:tcBorders>
              <w:top w:val="single" w:color="auto" w:sz="4" w:space="0"/>
              <w:left w:val="single" w:color="auto" w:sz="4" w:space="0"/>
              <w:bottom w:val="single" w:color="auto" w:sz="4" w:space="0"/>
              <w:right w:val="single" w:color="auto" w:sz="4" w:space="0"/>
            </w:tcBorders>
            <w:vAlign w:val="center"/>
          </w:tcPr>
          <w:p w14:paraId="7C5B3CAD">
            <w:pPr>
              <w:pStyle w:val="348"/>
              <w:rPr>
                <w:color w:val="auto"/>
              </w:rPr>
            </w:pPr>
            <w:r>
              <w:rPr>
                <w:rFonts w:hint="eastAsia"/>
                <w:color w:val="auto"/>
              </w:rPr>
              <w:t>H</w:t>
            </w:r>
            <w:r>
              <w:rPr>
                <w:rFonts w:hint="eastAsia"/>
                <w:color w:val="auto"/>
                <w:vertAlign w:val="subscript"/>
              </w:rPr>
              <w:t>2</w:t>
            </w:r>
            <w:r>
              <w:rPr>
                <w:rFonts w:hint="eastAsia"/>
                <w:color w:val="auto"/>
              </w:rPr>
              <w:t>S</w:t>
            </w:r>
          </w:p>
        </w:tc>
        <w:tc>
          <w:tcPr>
            <w:tcW w:w="1220" w:type="dxa"/>
            <w:vMerge w:val="continue"/>
            <w:tcBorders>
              <w:left w:val="single" w:color="auto" w:sz="4" w:space="0"/>
              <w:right w:val="single" w:color="auto" w:sz="4" w:space="0"/>
            </w:tcBorders>
            <w:vAlign w:val="center"/>
          </w:tcPr>
          <w:p w14:paraId="6C2FDCC0">
            <w:pPr>
              <w:pStyle w:val="348"/>
              <w:rPr>
                <w:color w:val="auto"/>
              </w:rPr>
            </w:pPr>
          </w:p>
        </w:tc>
        <w:tc>
          <w:tcPr>
            <w:tcW w:w="2677" w:type="dxa"/>
            <w:vMerge w:val="continue"/>
            <w:tcBorders>
              <w:left w:val="single" w:color="auto" w:sz="4" w:space="0"/>
              <w:right w:val="single" w:color="auto" w:sz="4" w:space="0"/>
            </w:tcBorders>
            <w:vAlign w:val="center"/>
          </w:tcPr>
          <w:p w14:paraId="0F212990">
            <w:pPr>
              <w:pStyle w:val="348"/>
              <w:rPr>
                <w:color w:val="auto"/>
              </w:rPr>
            </w:pPr>
          </w:p>
        </w:tc>
        <w:tc>
          <w:tcPr>
            <w:tcW w:w="1281" w:type="dxa"/>
            <w:tcBorders>
              <w:top w:val="single" w:color="auto" w:sz="4" w:space="0"/>
              <w:left w:val="single" w:color="auto" w:sz="4" w:space="0"/>
              <w:bottom w:val="single" w:color="auto" w:sz="4" w:space="0"/>
              <w:right w:val="single" w:color="auto" w:sz="4" w:space="0"/>
            </w:tcBorders>
            <w:vAlign w:val="center"/>
          </w:tcPr>
          <w:p w14:paraId="7318FD04">
            <w:pPr>
              <w:pStyle w:val="348"/>
              <w:rPr>
                <w:color w:val="auto"/>
              </w:rPr>
            </w:pPr>
            <w:r>
              <w:rPr>
                <w:rFonts w:hint="eastAsia"/>
                <w:color w:val="auto"/>
              </w:rPr>
              <w:t>0.06</w:t>
            </w:r>
          </w:p>
        </w:tc>
        <w:tc>
          <w:tcPr>
            <w:tcW w:w="1099" w:type="dxa"/>
            <w:tcBorders>
              <w:top w:val="single" w:color="auto" w:sz="4" w:space="0"/>
              <w:left w:val="single" w:color="auto" w:sz="4" w:space="0"/>
              <w:bottom w:val="single" w:color="auto" w:sz="4" w:space="0"/>
              <w:right w:val="single" w:color="auto" w:sz="4" w:space="0"/>
            </w:tcBorders>
            <w:vAlign w:val="center"/>
          </w:tcPr>
          <w:p w14:paraId="11B483D8">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0.001</w:t>
            </w:r>
          </w:p>
        </w:tc>
      </w:tr>
      <w:tr w14:paraId="5A47F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71" w:type="dxa"/>
            <w:vMerge w:val="continue"/>
            <w:tcBorders>
              <w:left w:val="single" w:color="auto" w:sz="4" w:space="0"/>
              <w:bottom w:val="single" w:color="auto" w:sz="4" w:space="0"/>
              <w:right w:val="single" w:color="auto" w:sz="4" w:space="0"/>
            </w:tcBorders>
            <w:vAlign w:val="center"/>
          </w:tcPr>
          <w:p w14:paraId="15E537CB">
            <w:pPr>
              <w:pStyle w:val="348"/>
              <w:rPr>
                <w:color w:val="auto"/>
              </w:rPr>
            </w:pPr>
          </w:p>
        </w:tc>
        <w:tc>
          <w:tcPr>
            <w:tcW w:w="726" w:type="dxa"/>
            <w:vMerge w:val="continue"/>
            <w:tcBorders>
              <w:left w:val="single" w:color="auto" w:sz="4" w:space="0"/>
              <w:bottom w:val="single" w:color="auto" w:sz="4" w:space="0"/>
              <w:right w:val="single" w:color="auto" w:sz="4" w:space="0"/>
            </w:tcBorders>
            <w:vAlign w:val="center"/>
          </w:tcPr>
          <w:p w14:paraId="0DE4B27A">
            <w:pPr>
              <w:pStyle w:val="348"/>
              <w:rPr>
                <w:color w:val="auto"/>
              </w:rPr>
            </w:pPr>
          </w:p>
        </w:tc>
        <w:tc>
          <w:tcPr>
            <w:tcW w:w="814" w:type="dxa"/>
            <w:tcBorders>
              <w:top w:val="single" w:color="auto" w:sz="4" w:space="0"/>
              <w:left w:val="single" w:color="auto" w:sz="4" w:space="0"/>
              <w:bottom w:val="single" w:color="auto" w:sz="4" w:space="0"/>
              <w:right w:val="single" w:color="auto" w:sz="4" w:space="0"/>
            </w:tcBorders>
            <w:vAlign w:val="center"/>
          </w:tcPr>
          <w:p w14:paraId="2E0EAE0A">
            <w:pPr>
              <w:pStyle w:val="348"/>
              <w:rPr>
                <w:color w:val="auto"/>
              </w:rPr>
            </w:pPr>
            <w:r>
              <w:rPr>
                <w:rFonts w:hint="eastAsia"/>
                <w:color w:val="auto"/>
              </w:rPr>
              <w:t>非甲烷总烃</w:t>
            </w:r>
          </w:p>
        </w:tc>
        <w:tc>
          <w:tcPr>
            <w:tcW w:w="1220" w:type="dxa"/>
            <w:vMerge w:val="continue"/>
            <w:tcBorders>
              <w:left w:val="single" w:color="auto" w:sz="4" w:space="0"/>
              <w:bottom w:val="single" w:color="auto" w:sz="4" w:space="0"/>
              <w:right w:val="single" w:color="auto" w:sz="4" w:space="0"/>
            </w:tcBorders>
            <w:vAlign w:val="center"/>
          </w:tcPr>
          <w:p w14:paraId="02722681">
            <w:pPr>
              <w:pStyle w:val="348"/>
              <w:rPr>
                <w:color w:val="auto"/>
              </w:rPr>
            </w:pPr>
          </w:p>
        </w:tc>
        <w:tc>
          <w:tcPr>
            <w:tcW w:w="2677" w:type="dxa"/>
            <w:vMerge w:val="continue"/>
            <w:tcBorders>
              <w:left w:val="single" w:color="auto" w:sz="4" w:space="0"/>
              <w:bottom w:val="single" w:color="auto" w:sz="4" w:space="0"/>
              <w:right w:val="single" w:color="auto" w:sz="4" w:space="0"/>
            </w:tcBorders>
            <w:vAlign w:val="center"/>
          </w:tcPr>
          <w:p w14:paraId="5D40990E">
            <w:pPr>
              <w:pStyle w:val="348"/>
              <w:rPr>
                <w:color w:val="auto"/>
              </w:rPr>
            </w:pPr>
          </w:p>
        </w:tc>
        <w:tc>
          <w:tcPr>
            <w:tcW w:w="1281" w:type="dxa"/>
            <w:tcBorders>
              <w:top w:val="single" w:color="auto" w:sz="4" w:space="0"/>
              <w:left w:val="single" w:color="auto" w:sz="4" w:space="0"/>
              <w:bottom w:val="single" w:color="auto" w:sz="4" w:space="0"/>
              <w:right w:val="single" w:color="auto" w:sz="4" w:space="0"/>
            </w:tcBorders>
            <w:vAlign w:val="center"/>
          </w:tcPr>
          <w:p w14:paraId="3F859794">
            <w:pPr>
              <w:pStyle w:val="348"/>
              <w:rPr>
                <w:color w:val="auto"/>
              </w:rPr>
            </w:pPr>
            <w:r>
              <w:rPr>
                <w:rFonts w:hint="eastAsia"/>
                <w:color w:val="auto"/>
              </w:rPr>
              <w:t>4.0</w:t>
            </w:r>
          </w:p>
        </w:tc>
        <w:tc>
          <w:tcPr>
            <w:tcW w:w="1099" w:type="dxa"/>
            <w:tcBorders>
              <w:top w:val="single" w:color="auto" w:sz="4" w:space="0"/>
              <w:left w:val="single" w:color="auto" w:sz="4" w:space="0"/>
              <w:bottom w:val="single" w:color="auto" w:sz="4" w:space="0"/>
              <w:right w:val="single" w:color="auto" w:sz="4" w:space="0"/>
            </w:tcBorders>
            <w:vAlign w:val="center"/>
          </w:tcPr>
          <w:p w14:paraId="687B9288">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0.066</w:t>
            </w:r>
          </w:p>
        </w:tc>
      </w:tr>
    </w:tbl>
    <w:p w14:paraId="7895B009">
      <w:pPr>
        <w:pStyle w:val="684"/>
        <w:spacing w:before="72" w:line="360" w:lineRule="auto"/>
        <w:ind w:firstLine="480"/>
        <w:rPr>
          <w:bCs/>
          <w:color w:val="auto"/>
        </w:rPr>
      </w:pPr>
    </w:p>
    <w:p w14:paraId="75B649EF">
      <w:pPr>
        <w:pStyle w:val="684"/>
        <w:spacing w:before="72" w:line="360" w:lineRule="auto"/>
        <w:ind w:firstLine="480"/>
        <w:rPr>
          <w:bCs/>
          <w:color w:val="auto"/>
          <w:lang w:val="en-US"/>
        </w:rPr>
      </w:pPr>
      <w:r>
        <w:rPr>
          <w:rFonts w:hint="eastAsia"/>
          <w:bCs/>
          <w:color w:val="auto"/>
        </w:rPr>
        <w:t>表</w:t>
      </w:r>
      <w:r>
        <w:rPr>
          <w:bCs/>
          <w:color w:val="auto"/>
          <w:lang w:val="en-US"/>
        </w:rPr>
        <w:t>6.2-</w:t>
      </w:r>
      <w:r>
        <w:rPr>
          <w:rFonts w:hint="eastAsia"/>
          <w:bCs/>
          <w:color w:val="auto"/>
          <w:lang w:val="en-US"/>
        </w:rPr>
        <w:t xml:space="preserve">8  </w:t>
      </w:r>
      <w:r>
        <w:rPr>
          <w:rFonts w:hint="eastAsia"/>
          <w:bCs/>
          <w:color w:val="auto"/>
        </w:rPr>
        <w:t>大气污染物年排放量核算表</w:t>
      </w:r>
    </w:p>
    <w:tbl>
      <w:tblPr>
        <w:tblStyle w:val="88"/>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68"/>
        <w:gridCol w:w="4218"/>
      </w:tblGrid>
      <w:tr w14:paraId="5264B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5068" w:type="dxa"/>
            <w:tcBorders>
              <w:top w:val="single" w:color="auto" w:sz="4" w:space="0"/>
              <w:left w:val="single" w:color="auto" w:sz="4" w:space="0"/>
              <w:bottom w:val="single" w:color="auto" w:sz="4" w:space="0"/>
              <w:right w:val="single" w:color="auto" w:sz="4" w:space="0"/>
            </w:tcBorders>
            <w:vAlign w:val="center"/>
          </w:tcPr>
          <w:p w14:paraId="7AE65CB8">
            <w:pPr>
              <w:pStyle w:val="348"/>
              <w:rPr>
                <w:color w:val="auto"/>
              </w:rPr>
            </w:pPr>
            <w:r>
              <w:rPr>
                <w:rFonts w:hint="eastAsia"/>
                <w:color w:val="auto"/>
              </w:rPr>
              <w:t>污染物</w:t>
            </w:r>
          </w:p>
        </w:tc>
        <w:tc>
          <w:tcPr>
            <w:tcW w:w="4218" w:type="dxa"/>
            <w:tcBorders>
              <w:top w:val="single" w:color="auto" w:sz="4" w:space="0"/>
              <w:left w:val="single" w:color="auto" w:sz="4" w:space="0"/>
              <w:bottom w:val="single" w:color="auto" w:sz="4" w:space="0"/>
              <w:right w:val="single" w:color="auto" w:sz="4" w:space="0"/>
            </w:tcBorders>
            <w:vAlign w:val="center"/>
          </w:tcPr>
          <w:p w14:paraId="6351DA0E">
            <w:pPr>
              <w:pStyle w:val="348"/>
              <w:rPr>
                <w:color w:val="auto"/>
              </w:rPr>
            </w:pPr>
            <w:r>
              <w:rPr>
                <w:rFonts w:hint="eastAsia"/>
                <w:color w:val="auto"/>
              </w:rPr>
              <w:t>年排放量（t/a）</w:t>
            </w:r>
          </w:p>
        </w:tc>
      </w:tr>
      <w:tr w14:paraId="57538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5068" w:type="dxa"/>
            <w:tcBorders>
              <w:top w:val="single" w:color="auto" w:sz="4" w:space="0"/>
              <w:left w:val="single" w:color="auto" w:sz="4" w:space="0"/>
              <w:bottom w:val="single" w:color="auto" w:sz="4" w:space="0"/>
              <w:right w:val="single" w:color="auto" w:sz="4" w:space="0"/>
            </w:tcBorders>
            <w:vAlign w:val="center"/>
          </w:tcPr>
          <w:p w14:paraId="64FF02EC">
            <w:pPr>
              <w:pStyle w:val="348"/>
              <w:rPr>
                <w:color w:val="auto"/>
              </w:rPr>
            </w:pPr>
            <w:r>
              <w:rPr>
                <w:rFonts w:hint="eastAsia"/>
                <w:color w:val="auto"/>
              </w:rPr>
              <w:t>NH</w:t>
            </w:r>
            <w:r>
              <w:rPr>
                <w:rFonts w:hint="eastAsia"/>
                <w:color w:val="auto"/>
                <w:vertAlign w:val="subscript"/>
              </w:rPr>
              <w:t>3</w:t>
            </w:r>
          </w:p>
        </w:tc>
        <w:tc>
          <w:tcPr>
            <w:tcW w:w="4218" w:type="dxa"/>
            <w:tcBorders>
              <w:top w:val="single" w:color="auto" w:sz="4" w:space="0"/>
              <w:left w:val="single" w:color="auto" w:sz="4" w:space="0"/>
              <w:bottom w:val="single" w:color="auto" w:sz="4" w:space="0"/>
              <w:right w:val="single" w:color="auto" w:sz="4" w:space="0"/>
            </w:tcBorders>
            <w:vAlign w:val="center"/>
          </w:tcPr>
          <w:p w14:paraId="23A71684">
            <w:pPr>
              <w:pStyle w:val="3361"/>
              <w:rPr>
                <w:color w:val="auto"/>
                <w:kern w:val="0"/>
              </w:rPr>
            </w:pPr>
            <w:r>
              <w:rPr>
                <w:rFonts w:hint="eastAsia"/>
                <w:color w:val="auto"/>
              </w:rPr>
              <w:t>0.047</w:t>
            </w:r>
          </w:p>
        </w:tc>
      </w:tr>
      <w:tr w14:paraId="596FE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5068" w:type="dxa"/>
            <w:tcBorders>
              <w:top w:val="single" w:color="auto" w:sz="4" w:space="0"/>
              <w:left w:val="single" w:color="auto" w:sz="4" w:space="0"/>
              <w:bottom w:val="single" w:color="auto" w:sz="4" w:space="0"/>
              <w:right w:val="single" w:color="auto" w:sz="4" w:space="0"/>
            </w:tcBorders>
            <w:vAlign w:val="center"/>
          </w:tcPr>
          <w:p w14:paraId="17319947">
            <w:pPr>
              <w:pStyle w:val="348"/>
              <w:rPr>
                <w:color w:val="auto"/>
              </w:rPr>
            </w:pPr>
            <w:r>
              <w:rPr>
                <w:rFonts w:hint="eastAsia"/>
                <w:color w:val="auto"/>
              </w:rPr>
              <w:t>H</w:t>
            </w:r>
            <w:r>
              <w:rPr>
                <w:rFonts w:hint="eastAsia"/>
                <w:color w:val="auto"/>
                <w:vertAlign w:val="subscript"/>
              </w:rPr>
              <w:t>2</w:t>
            </w:r>
            <w:r>
              <w:rPr>
                <w:rFonts w:hint="eastAsia"/>
                <w:color w:val="auto"/>
              </w:rPr>
              <w:t>S</w:t>
            </w:r>
          </w:p>
        </w:tc>
        <w:tc>
          <w:tcPr>
            <w:tcW w:w="4218" w:type="dxa"/>
            <w:tcBorders>
              <w:top w:val="single" w:color="auto" w:sz="4" w:space="0"/>
              <w:left w:val="single" w:color="auto" w:sz="4" w:space="0"/>
              <w:bottom w:val="single" w:color="auto" w:sz="4" w:space="0"/>
              <w:right w:val="single" w:color="auto" w:sz="4" w:space="0"/>
            </w:tcBorders>
            <w:vAlign w:val="center"/>
          </w:tcPr>
          <w:p w14:paraId="4DE6CDBD">
            <w:pPr>
              <w:pStyle w:val="3361"/>
              <w:rPr>
                <w:color w:val="auto"/>
              </w:rPr>
            </w:pPr>
            <w:r>
              <w:rPr>
                <w:rFonts w:hint="eastAsia"/>
                <w:color w:val="auto"/>
              </w:rPr>
              <w:t>0.005</w:t>
            </w:r>
          </w:p>
        </w:tc>
      </w:tr>
      <w:tr w14:paraId="20D5C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5068" w:type="dxa"/>
            <w:tcBorders>
              <w:top w:val="single" w:color="auto" w:sz="4" w:space="0"/>
              <w:left w:val="single" w:color="auto" w:sz="4" w:space="0"/>
              <w:bottom w:val="single" w:color="auto" w:sz="4" w:space="0"/>
              <w:right w:val="single" w:color="auto" w:sz="4" w:space="0"/>
            </w:tcBorders>
            <w:vAlign w:val="center"/>
          </w:tcPr>
          <w:p w14:paraId="40433445">
            <w:pPr>
              <w:pStyle w:val="348"/>
              <w:rPr>
                <w:color w:val="auto"/>
              </w:rPr>
            </w:pPr>
            <w:r>
              <w:rPr>
                <w:rFonts w:hint="eastAsia"/>
                <w:color w:val="auto"/>
              </w:rPr>
              <w:t>非甲烷总烃</w:t>
            </w:r>
          </w:p>
        </w:tc>
        <w:tc>
          <w:tcPr>
            <w:tcW w:w="4218" w:type="dxa"/>
            <w:tcBorders>
              <w:top w:val="single" w:color="auto" w:sz="4" w:space="0"/>
              <w:left w:val="single" w:color="auto" w:sz="4" w:space="0"/>
              <w:bottom w:val="single" w:color="auto" w:sz="4" w:space="0"/>
              <w:right w:val="single" w:color="auto" w:sz="4" w:space="0"/>
            </w:tcBorders>
            <w:vAlign w:val="center"/>
          </w:tcPr>
          <w:p w14:paraId="7572479E">
            <w:pPr>
              <w:pStyle w:val="3361"/>
              <w:rPr>
                <w:color w:val="auto"/>
              </w:rPr>
            </w:pPr>
            <w:r>
              <w:rPr>
                <w:rFonts w:hint="eastAsia"/>
                <w:color w:val="auto"/>
              </w:rPr>
              <w:t>0.304</w:t>
            </w:r>
          </w:p>
        </w:tc>
      </w:tr>
    </w:tbl>
    <w:p w14:paraId="56101C38">
      <w:pPr>
        <w:spacing w:line="360" w:lineRule="auto"/>
        <w:ind w:firstLine="480"/>
        <w:rPr>
          <w:color w:val="auto"/>
          <w:szCs w:val="24"/>
        </w:rPr>
      </w:pPr>
      <w:r>
        <w:rPr>
          <w:rFonts w:hint="eastAsia"/>
          <w:color w:val="auto"/>
          <w:szCs w:val="24"/>
        </w:rPr>
        <w:t>建设项目大气环境影响评价自查表见表</w:t>
      </w:r>
      <w:r>
        <w:rPr>
          <w:color w:val="auto"/>
          <w:szCs w:val="24"/>
        </w:rPr>
        <w:t>6.2-</w:t>
      </w:r>
      <w:r>
        <w:rPr>
          <w:rFonts w:hint="eastAsia"/>
          <w:color w:val="auto"/>
          <w:szCs w:val="24"/>
        </w:rPr>
        <w:t>9。</w:t>
      </w:r>
    </w:p>
    <w:p w14:paraId="5BF3EF92">
      <w:pPr>
        <w:pStyle w:val="684"/>
        <w:spacing w:before="72" w:line="360" w:lineRule="auto"/>
        <w:ind w:firstLine="480"/>
        <w:rPr>
          <w:bCs/>
          <w:color w:val="auto"/>
        </w:rPr>
      </w:pPr>
      <w:r>
        <w:rPr>
          <w:rFonts w:hint="eastAsia"/>
          <w:bCs/>
          <w:color w:val="auto"/>
        </w:rPr>
        <w:t>表</w:t>
      </w:r>
      <w:r>
        <w:rPr>
          <w:bCs/>
          <w:color w:val="auto"/>
        </w:rPr>
        <w:t>6.2-</w:t>
      </w:r>
      <w:r>
        <w:rPr>
          <w:rFonts w:hint="eastAsia"/>
          <w:bCs/>
          <w:color w:val="auto"/>
          <w:lang w:val="en-US"/>
        </w:rPr>
        <w:t>9</w:t>
      </w:r>
      <w:r>
        <w:rPr>
          <w:bCs/>
          <w:color w:val="auto"/>
        </w:rPr>
        <w:t xml:space="preserve">  </w:t>
      </w:r>
      <w:r>
        <w:rPr>
          <w:rFonts w:hint="eastAsia"/>
          <w:bCs/>
          <w:color w:val="auto"/>
        </w:rPr>
        <w:t>建设项目大气环境影响评价自查表</w:t>
      </w:r>
    </w:p>
    <w:tbl>
      <w:tblPr>
        <w:tblStyle w:val="88"/>
        <w:tblW w:w="9286"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08"/>
        <w:gridCol w:w="1117"/>
        <w:gridCol w:w="1269"/>
        <w:gridCol w:w="501"/>
        <w:gridCol w:w="449"/>
        <w:gridCol w:w="361"/>
        <w:gridCol w:w="355"/>
        <w:gridCol w:w="860"/>
        <w:gridCol w:w="343"/>
        <w:gridCol w:w="434"/>
        <w:gridCol w:w="288"/>
        <w:gridCol w:w="480"/>
        <w:gridCol w:w="417"/>
        <w:gridCol w:w="680"/>
        <w:gridCol w:w="171"/>
        <w:gridCol w:w="318"/>
        <w:gridCol w:w="109"/>
        <w:gridCol w:w="426"/>
      </w:tblGrid>
      <w:tr w14:paraId="3FEBFB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825" w:type="dxa"/>
            <w:gridSpan w:val="2"/>
            <w:tcBorders>
              <w:top w:val="single" w:color="auto" w:sz="2" w:space="0"/>
              <w:left w:val="single" w:color="auto" w:sz="2" w:space="0"/>
              <w:bottom w:val="single" w:color="auto" w:sz="2" w:space="0"/>
              <w:right w:val="single" w:color="auto" w:sz="2" w:space="0"/>
            </w:tcBorders>
            <w:vAlign w:val="center"/>
          </w:tcPr>
          <w:p w14:paraId="22BA0825">
            <w:pPr>
              <w:pStyle w:val="348"/>
              <w:rPr>
                <w:color w:val="auto"/>
              </w:rPr>
            </w:pPr>
            <w:r>
              <w:rPr>
                <w:rFonts w:hint="eastAsia"/>
                <w:color w:val="auto"/>
              </w:rPr>
              <w:t>工作内容</w:t>
            </w:r>
          </w:p>
        </w:tc>
        <w:tc>
          <w:tcPr>
            <w:tcW w:w="7461" w:type="dxa"/>
            <w:gridSpan w:val="16"/>
            <w:tcBorders>
              <w:top w:val="single" w:color="auto" w:sz="2" w:space="0"/>
              <w:left w:val="single" w:color="auto" w:sz="2" w:space="0"/>
              <w:bottom w:val="single" w:color="auto" w:sz="2" w:space="0"/>
              <w:right w:val="single" w:color="auto" w:sz="2" w:space="0"/>
            </w:tcBorders>
            <w:vAlign w:val="center"/>
          </w:tcPr>
          <w:p w14:paraId="5ABBAB06">
            <w:pPr>
              <w:pStyle w:val="348"/>
              <w:rPr>
                <w:color w:val="auto"/>
              </w:rPr>
            </w:pPr>
            <w:r>
              <w:rPr>
                <w:rFonts w:hint="eastAsia"/>
                <w:color w:val="auto"/>
              </w:rPr>
              <w:t>自查项目</w:t>
            </w:r>
          </w:p>
        </w:tc>
      </w:tr>
      <w:tr w14:paraId="08C260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08" w:type="dxa"/>
            <w:vMerge w:val="restart"/>
            <w:tcBorders>
              <w:top w:val="single" w:color="auto" w:sz="2" w:space="0"/>
              <w:left w:val="single" w:color="auto" w:sz="2" w:space="0"/>
              <w:bottom w:val="single" w:color="auto" w:sz="2" w:space="0"/>
              <w:right w:val="single" w:color="auto" w:sz="2" w:space="0"/>
            </w:tcBorders>
            <w:vAlign w:val="center"/>
          </w:tcPr>
          <w:p w14:paraId="370C528D">
            <w:pPr>
              <w:pStyle w:val="348"/>
              <w:rPr>
                <w:color w:val="auto"/>
              </w:rPr>
            </w:pPr>
            <w:r>
              <w:rPr>
                <w:rFonts w:hint="eastAsia"/>
                <w:color w:val="auto"/>
              </w:rPr>
              <w:t>评价等级与范围</w:t>
            </w:r>
          </w:p>
        </w:tc>
        <w:tc>
          <w:tcPr>
            <w:tcW w:w="1117" w:type="dxa"/>
            <w:tcBorders>
              <w:top w:val="single" w:color="auto" w:sz="2" w:space="0"/>
              <w:left w:val="single" w:color="auto" w:sz="2" w:space="0"/>
              <w:bottom w:val="single" w:color="auto" w:sz="2" w:space="0"/>
              <w:right w:val="single" w:color="auto" w:sz="2" w:space="0"/>
            </w:tcBorders>
            <w:vAlign w:val="center"/>
          </w:tcPr>
          <w:p w14:paraId="1316143A">
            <w:pPr>
              <w:pStyle w:val="348"/>
              <w:rPr>
                <w:color w:val="auto"/>
              </w:rPr>
            </w:pPr>
            <w:r>
              <w:rPr>
                <w:rFonts w:hint="eastAsia"/>
                <w:color w:val="auto"/>
              </w:rPr>
              <w:t>评价等级</w:t>
            </w:r>
          </w:p>
        </w:tc>
        <w:tc>
          <w:tcPr>
            <w:tcW w:w="2935" w:type="dxa"/>
            <w:gridSpan w:val="5"/>
            <w:tcBorders>
              <w:top w:val="single" w:color="auto" w:sz="2" w:space="0"/>
              <w:left w:val="single" w:color="auto" w:sz="2" w:space="0"/>
              <w:bottom w:val="single" w:color="auto" w:sz="2" w:space="0"/>
              <w:right w:val="single" w:color="auto" w:sz="2" w:space="0"/>
            </w:tcBorders>
            <w:vAlign w:val="center"/>
          </w:tcPr>
          <w:p w14:paraId="5642E916">
            <w:pPr>
              <w:pStyle w:val="348"/>
              <w:rPr>
                <w:color w:val="auto"/>
              </w:rPr>
            </w:pPr>
            <w:r>
              <w:rPr>
                <w:rFonts w:hint="eastAsia"/>
                <w:color w:val="auto"/>
              </w:rPr>
              <w:t>一级□</w:t>
            </w:r>
          </w:p>
        </w:tc>
        <w:tc>
          <w:tcPr>
            <w:tcW w:w="3502" w:type="dxa"/>
            <w:gridSpan w:val="7"/>
            <w:tcBorders>
              <w:top w:val="single" w:color="auto" w:sz="2" w:space="0"/>
              <w:left w:val="single" w:color="auto" w:sz="2" w:space="0"/>
              <w:bottom w:val="single" w:color="auto" w:sz="2" w:space="0"/>
              <w:right w:val="single" w:color="auto" w:sz="2" w:space="0"/>
            </w:tcBorders>
            <w:vAlign w:val="center"/>
          </w:tcPr>
          <w:p w14:paraId="5DEAB947">
            <w:pPr>
              <w:pStyle w:val="348"/>
              <w:rPr>
                <w:color w:val="auto"/>
              </w:rPr>
            </w:pPr>
            <w:r>
              <w:rPr>
                <w:rFonts w:hint="eastAsia"/>
                <w:color w:val="auto"/>
              </w:rPr>
              <w:t>二级</w:t>
            </w:r>
            <w:r>
              <w:rPr>
                <w:rFonts w:hint="eastAsia" w:ascii="Segoe UI Symbol" w:hAnsi="Segoe UI Symbol" w:cs="Segoe UI Symbol"/>
                <w:color w:val="auto"/>
              </w:rPr>
              <w:t>☑</w:t>
            </w:r>
          </w:p>
        </w:tc>
        <w:tc>
          <w:tcPr>
            <w:tcW w:w="1024" w:type="dxa"/>
            <w:gridSpan w:val="4"/>
            <w:tcBorders>
              <w:top w:val="single" w:color="auto" w:sz="2" w:space="0"/>
              <w:left w:val="single" w:color="auto" w:sz="2" w:space="0"/>
              <w:bottom w:val="single" w:color="auto" w:sz="2" w:space="0"/>
              <w:right w:val="single" w:color="auto" w:sz="2" w:space="0"/>
            </w:tcBorders>
            <w:vAlign w:val="center"/>
          </w:tcPr>
          <w:p w14:paraId="5D23A3CA">
            <w:pPr>
              <w:pStyle w:val="348"/>
              <w:rPr>
                <w:color w:val="auto"/>
              </w:rPr>
            </w:pPr>
            <w:r>
              <w:rPr>
                <w:rFonts w:hint="eastAsia"/>
                <w:color w:val="auto"/>
              </w:rPr>
              <w:t>三级□</w:t>
            </w:r>
          </w:p>
        </w:tc>
      </w:tr>
      <w:tr w14:paraId="3CF05F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08" w:type="dxa"/>
            <w:vMerge w:val="continue"/>
            <w:tcBorders>
              <w:top w:val="single" w:color="auto" w:sz="2" w:space="0"/>
              <w:left w:val="single" w:color="auto" w:sz="2" w:space="0"/>
              <w:bottom w:val="single" w:color="auto" w:sz="2" w:space="0"/>
              <w:right w:val="single" w:color="auto" w:sz="2" w:space="0"/>
            </w:tcBorders>
            <w:vAlign w:val="center"/>
          </w:tcPr>
          <w:p w14:paraId="292E0D6E">
            <w:pPr>
              <w:pStyle w:val="348"/>
              <w:rPr>
                <w:color w:val="auto"/>
              </w:rPr>
            </w:pPr>
          </w:p>
        </w:tc>
        <w:tc>
          <w:tcPr>
            <w:tcW w:w="1117" w:type="dxa"/>
            <w:tcBorders>
              <w:top w:val="single" w:color="auto" w:sz="2" w:space="0"/>
              <w:left w:val="single" w:color="auto" w:sz="2" w:space="0"/>
              <w:bottom w:val="single" w:color="auto" w:sz="2" w:space="0"/>
              <w:right w:val="single" w:color="auto" w:sz="2" w:space="0"/>
            </w:tcBorders>
            <w:vAlign w:val="center"/>
          </w:tcPr>
          <w:p w14:paraId="08677CDC">
            <w:pPr>
              <w:pStyle w:val="348"/>
              <w:rPr>
                <w:color w:val="auto"/>
              </w:rPr>
            </w:pPr>
            <w:r>
              <w:rPr>
                <w:rFonts w:hint="eastAsia"/>
                <w:color w:val="auto"/>
              </w:rPr>
              <w:t>评价范围</w:t>
            </w:r>
          </w:p>
        </w:tc>
        <w:tc>
          <w:tcPr>
            <w:tcW w:w="2935" w:type="dxa"/>
            <w:gridSpan w:val="5"/>
            <w:tcBorders>
              <w:top w:val="single" w:color="auto" w:sz="2" w:space="0"/>
              <w:left w:val="single" w:color="auto" w:sz="2" w:space="0"/>
              <w:bottom w:val="single" w:color="auto" w:sz="2" w:space="0"/>
              <w:right w:val="single" w:color="auto" w:sz="2" w:space="0"/>
            </w:tcBorders>
            <w:vAlign w:val="center"/>
          </w:tcPr>
          <w:p w14:paraId="04D91F43">
            <w:pPr>
              <w:pStyle w:val="348"/>
              <w:rPr>
                <w:color w:val="auto"/>
              </w:rPr>
            </w:pPr>
            <w:r>
              <w:rPr>
                <w:rFonts w:hint="eastAsia"/>
                <w:color w:val="auto"/>
              </w:rPr>
              <w:t>边长5~50km□</w:t>
            </w:r>
          </w:p>
        </w:tc>
        <w:tc>
          <w:tcPr>
            <w:tcW w:w="3502" w:type="dxa"/>
            <w:gridSpan w:val="7"/>
            <w:tcBorders>
              <w:top w:val="single" w:color="auto" w:sz="2" w:space="0"/>
              <w:left w:val="single" w:color="auto" w:sz="2" w:space="0"/>
              <w:bottom w:val="single" w:color="auto" w:sz="2" w:space="0"/>
              <w:right w:val="single" w:color="auto" w:sz="2" w:space="0"/>
            </w:tcBorders>
            <w:vAlign w:val="center"/>
          </w:tcPr>
          <w:p w14:paraId="0A8E0000">
            <w:pPr>
              <w:pStyle w:val="348"/>
              <w:rPr>
                <w:color w:val="auto"/>
              </w:rPr>
            </w:pPr>
            <w:r>
              <w:rPr>
                <w:rFonts w:hint="eastAsia"/>
                <w:color w:val="auto"/>
              </w:rPr>
              <w:t>边长=5km</w:t>
            </w:r>
            <w:r>
              <w:rPr>
                <w:rFonts w:hint="eastAsia" w:ascii="Segoe UI Symbol" w:hAnsi="Segoe UI Symbol" w:cs="Segoe UI Symbol"/>
                <w:color w:val="auto"/>
              </w:rPr>
              <w:t>☑</w:t>
            </w:r>
          </w:p>
        </w:tc>
        <w:tc>
          <w:tcPr>
            <w:tcW w:w="1024" w:type="dxa"/>
            <w:gridSpan w:val="4"/>
            <w:tcBorders>
              <w:top w:val="single" w:color="auto" w:sz="2" w:space="0"/>
              <w:left w:val="single" w:color="auto" w:sz="2" w:space="0"/>
              <w:bottom w:val="single" w:color="auto" w:sz="2" w:space="0"/>
              <w:right w:val="single" w:color="auto" w:sz="2" w:space="0"/>
            </w:tcBorders>
            <w:vAlign w:val="center"/>
          </w:tcPr>
          <w:p w14:paraId="5EBF2239">
            <w:pPr>
              <w:pStyle w:val="348"/>
              <w:rPr>
                <w:color w:val="auto"/>
              </w:rPr>
            </w:pPr>
            <w:r>
              <w:rPr>
                <w:rFonts w:hint="eastAsia"/>
                <w:color w:val="auto"/>
              </w:rPr>
              <w:t>不设□</w:t>
            </w:r>
          </w:p>
        </w:tc>
      </w:tr>
      <w:tr w14:paraId="7B2BA1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08" w:type="dxa"/>
            <w:vMerge w:val="restart"/>
            <w:tcBorders>
              <w:top w:val="single" w:color="auto" w:sz="2" w:space="0"/>
              <w:left w:val="single" w:color="auto" w:sz="2" w:space="0"/>
              <w:bottom w:val="single" w:color="auto" w:sz="2" w:space="0"/>
              <w:right w:val="single" w:color="auto" w:sz="2" w:space="0"/>
            </w:tcBorders>
            <w:vAlign w:val="center"/>
          </w:tcPr>
          <w:p w14:paraId="52FF2F45">
            <w:pPr>
              <w:pStyle w:val="348"/>
              <w:rPr>
                <w:color w:val="auto"/>
              </w:rPr>
            </w:pPr>
            <w:r>
              <w:rPr>
                <w:rFonts w:hint="eastAsia"/>
                <w:color w:val="auto"/>
              </w:rPr>
              <w:t>评价因子</w:t>
            </w:r>
          </w:p>
        </w:tc>
        <w:tc>
          <w:tcPr>
            <w:tcW w:w="1117" w:type="dxa"/>
            <w:tcBorders>
              <w:top w:val="single" w:color="auto" w:sz="2" w:space="0"/>
              <w:left w:val="single" w:color="auto" w:sz="2" w:space="0"/>
              <w:bottom w:val="single" w:color="auto" w:sz="2" w:space="0"/>
              <w:right w:val="single" w:color="auto" w:sz="2" w:space="0"/>
            </w:tcBorders>
            <w:vAlign w:val="center"/>
          </w:tcPr>
          <w:p w14:paraId="2A4D3078">
            <w:pPr>
              <w:pStyle w:val="348"/>
              <w:rPr>
                <w:color w:val="auto"/>
              </w:rPr>
            </w:pPr>
            <w:r>
              <w:rPr>
                <w:rFonts w:hint="eastAsia"/>
                <w:color w:val="auto"/>
              </w:rPr>
              <w:t>SO</w:t>
            </w:r>
            <w:r>
              <w:rPr>
                <w:rFonts w:hint="eastAsia"/>
                <w:color w:val="auto"/>
                <w:vertAlign w:val="subscript"/>
              </w:rPr>
              <w:t>2</w:t>
            </w:r>
            <w:r>
              <w:rPr>
                <w:rFonts w:hint="eastAsia"/>
                <w:color w:val="auto"/>
              </w:rPr>
              <w:t>+NOx排放量</w:t>
            </w:r>
          </w:p>
        </w:tc>
        <w:tc>
          <w:tcPr>
            <w:tcW w:w="2935" w:type="dxa"/>
            <w:gridSpan w:val="5"/>
            <w:tcBorders>
              <w:top w:val="single" w:color="auto" w:sz="2" w:space="0"/>
              <w:left w:val="single" w:color="auto" w:sz="2" w:space="0"/>
              <w:bottom w:val="single" w:color="auto" w:sz="2" w:space="0"/>
              <w:right w:val="single" w:color="auto" w:sz="2" w:space="0"/>
            </w:tcBorders>
            <w:vAlign w:val="center"/>
          </w:tcPr>
          <w:p w14:paraId="3414756B">
            <w:pPr>
              <w:pStyle w:val="348"/>
              <w:rPr>
                <w:color w:val="auto"/>
              </w:rPr>
            </w:pPr>
            <w:r>
              <w:rPr>
                <w:rFonts w:hint="eastAsia"/>
                <w:color w:val="auto"/>
              </w:rPr>
              <w:t>≤2000t/a□</w:t>
            </w:r>
          </w:p>
        </w:tc>
        <w:tc>
          <w:tcPr>
            <w:tcW w:w="3502" w:type="dxa"/>
            <w:gridSpan w:val="7"/>
            <w:tcBorders>
              <w:top w:val="single" w:color="auto" w:sz="2" w:space="0"/>
              <w:left w:val="single" w:color="auto" w:sz="2" w:space="0"/>
              <w:bottom w:val="single" w:color="auto" w:sz="2" w:space="0"/>
              <w:right w:val="single" w:color="auto" w:sz="2" w:space="0"/>
            </w:tcBorders>
            <w:vAlign w:val="center"/>
          </w:tcPr>
          <w:p w14:paraId="013C7382">
            <w:pPr>
              <w:pStyle w:val="348"/>
              <w:rPr>
                <w:color w:val="auto"/>
              </w:rPr>
            </w:pPr>
            <w:r>
              <w:rPr>
                <w:rFonts w:hint="eastAsia"/>
                <w:color w:val="auto"/>
              </w:rPr>
              <w:t>500~2000t/a□</w:t>
            </w:r>
          </w:p>
        </w:tc>
        <w:tc>
          <w:tcPr>
            <w:tcW w:w="1024" w:type="dxa"/>
            <w:gridSpan w:val="4"/>
            <w:tcBorders>
              <w:top w:val="single" w:color="auto" w:sz="2" w:space="0"/>
              <w:left w:val="single" w:color="auto" w:sz="2" w:space="0"/>
              <w:bottom w:val="single" w:color="auto" w:sz="2" w:space="0"/>
              <w:right w:val="single" w:color="auto" w:sz="2" w:space="0"/>
            </w:tcBorders>
            <w:vAlign w:val="center"/>
          </w:tcPr>
          <w:p w14:paraId="106AAF41">
            <w:pPr>
              <w:pStyle w:val="348"/>
              <w:rPr>
                <w:color w:val="auto"/>
              </w:rPr>
            </w:pPr>
            <w:r>
              <w:rPr>
                <w:rFonts w:hint="eastAsia"/>
                <w:color w:val="auto"/>
              </w:rPr>
              <w:t>＜500t/a</w:t>
            </w:r>
            <w:r>
              <w:rPr>
                <w:rFonts w:hint="eastAsia" w:ascii="Segoe UI Symbol" w:hAnsi="Segoe UI Symbol" w:cs="Segoe UI Symbol"/>
                <w:color w:val="auto"/>
              </w:rPr>
              <w:t>☑</w:t>
            </w:r>
          </w:p>
        </w:tc>
      </w:tr>
      <w:tr w14:paraId="23D3BD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08" w:type="dxa"/>
            <w:vMerge w:val="continue"/>
            <w:tcBorders>
              <w:top w:val="single" w:color="auto" w:sz="2" w:space="0"/>
              <w:left w:val="single" w:color="auto" w:sz="2" w:space="0"/>
              <w:bottom w:val="single" w:color="auto" w:sz="2" w:space="0"/>
              <w:right w:val="single" w:color="auto" w:sz="2" w:space="0"/>
            </w:tcBorders>
            <w:vAlign w:val="center"/>
          </w:tcPr>
          <w:p w14:paraId="0D99C147">
            <w:pPr>
              <w:pStyle w:val="348"/>
              <w:rPr>
                <w:color w:val="auto"/>
              </w:rPr>
            </w:pPr>
          </w:p>
        </w:tc>
        <w:tc>
          <w:tcPr>
            <w:tcW w:w="1117" w:type="dxa"/>
            <w:tcBorders>
              <w:top w:val="single" w:color="auto" w:sz="2" w:space="0"/>
              <w:left w:val="single" w:color="auto" w:sz="2" w:space="0"/>
              <w:bottom w:val="single" w:color="auto" w:sz="2" w:space="0"/>
              <w:right w:val="single" w:color="auto" w:sz="2" w:space="0"/>
            </w:tcBorders>
            <w:vAlign w:val="center"/>
          </w:tcPr>
          <w:p w14:paraId="0C0167C2">
            <w:pPr>
              <w:pStyle w:val="348"/>
              <w:rPr>
                <w:color w:val="auto"/>
              </w:rPr>
            </w:pPr>
            <w:r>
              <w:rPr>
                <w:rFonts w:hint="eastAsia"/>
                <w:color w:val="auto"/>
              </w:rPr>
              <w:t>评价因子</w:t>
            </w:r>
          </w:p>
        </w:tc>
        <w:tc>
          <w:tcPr>
            <w:tcW w:w="4572" w:type="dxa"/>
            <w:gridSpan w:val="8"/>
            <w:tcBorders>
              <w:top w:val="single" w:color="auto" w:sz="2" w:space="0"/>
              <w:left w:val="single" w:color="auto" w:sz="2" w:space="0"/>
              <w:bottom w:val="single" w:color="auto" w:sz="2" w:space="0"/>
              <w:right w:val="single" w:color="auto" w:sz="2" w:space="0"/>
            </w:tcBorders>
            <w:vAlign w:val="center"/>
          </w:tcPr>
          <w:p w14:paraId="1437AEBD">
            <w:pPr>
              <w:pStyle w:val="348"/>
              <w:rPr>
                <w:color w:val="auto"/>
              </w:rPr>
            </w:pPr>
            <w:r>
              <w:rPr>
                <w:rFonts w:hint="eastAsia"/>
                <w:color w:val="auto"/>
              </w:rPr>
              <w:t>基本污染物()其他污染物</w:t>
            </w:r>
            <w:r>
              <w:rPr>
                <w:rFonts w:hint="eastAsia"/>
                <w:color w:val="auto"/>
                <w:lang w:eastAsia="zh-CN"/>
              </w:rPr>
              <w:t>（</w:t>
            </w:r>
            <w:r>
              <w:rPr>
                <w:rFonts w:hint="eastAsia"/>
                <w:color w:val="auto"/>
              </w:rPr>
              <w:t>硫化氢、氨气、</w:t>
            </w:r>
            <w:r>
              <w:rPr>
                <w:rFonts w:hint="eastAsia"/>
                <w:color w:val="auto"/>
                <w:lang w:val="en-US"/>
              </w:rPr>
              <w:t>VOC</w:t>
            </w:r>
            <w:r>
              <w:rPr>
                <w:rFonts w:hint="eastAsia"/>
                <w:color w:val="auto"/>
                <w:vertAlign w:val="subscript"/>
                <w:lang w:val="en-US"/>
              </w:rPr>
              <w:t>S</w:t>
            </w:r>
            <w:r>
              <w:rPr>
                <w:rFonts w:hint="eastAsia"/>
                <w:color w:val="auto"/>
                <w:vertAlign w:val="subscript"/>
                <w:lang w:val="en-US" w:eastAsia="zh-CN"/>
              </w:rPr>
              <w:t>）</w:t>
            </w:r>
          </w:p>
        </w:tc>
        <w:tc>
          <w:tcPr>
            <w:tcW w:w="2889" w:type="dxa"/>
            <w:gridSpan w:val="8"/>
            <w:tcBorders>
              <w:top w:val="single" w:color="auto" w:sz="2" w:space="0"/>
              <w:left w:val="single" w:color="auto" w:sz="2" w:space="0"/>
              <w:bottom w:val="single" w:color="auto" w:sz="2" w:space="0"/>
              <w:right w:val="single" w:color="auto" w:sz="2" w:space="0"/>
            </w:tcBorders>
            <w:vAlign w:val="center"/>
          </w:tcPr>
          <w:p w14:paraId="6F6F73D5">
            <w:pPr>
              <w:pStyle w:val="348"/>
              <w:rPr>
                <w:color w:val="auto"/>
              </w:rPr>
            </w:pPr>
            <w:r>
              <w:rPr>
                <w:rFonts w:hint="eastAsia"/>
                <w:color w:val="auto"/>
              </w:rPr>
              <w:t>包括二次PM2.5□</w:t>
            </w:r>
          </w:p>
          <w:p w14:paraId="51815268">
            <w:pPr>
              <w:pStyle w:val="348"/>
              <w:rPr>
                <w:color w:val="auto"/>
              </w:rPr>
            </w:pPr>
            <w:r>
              <w:rPr>
                <w:rFonts w:hint="eastAsia"/>
                <w:color w:val="auto"/>
              </w:rPr>
              <w:t>不包括二次PM2.5</w:t>
            </w:r>
            <w:r>
              <w:rPr>
                <w:rFonts w:hint="eastAsia" w:ascii="Segoe UI Symbol" w:hAnsi="Segoe UI Symbol" w:cs="Segoe UI Symbol"/>
                <w:color w:val="auto"/>
              </w:rPr>
              <w:t>☑</w:t>
            </w:r>
          </w:p>
        </w:tc>
      </w:tr>
      <w:tr w14:paraId="4CF2B0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08" w:type="dxa"/>
            <w:tcBorders>
              <w:top w:val="single" w:color="auto" w:sz="2" w:space="0"/>
              <w:left w:val="single" w:color="auto" w:sz="2" w:space="0"/>
              <w:bottom w:val="single" w:color="auto" w:sz="2" w:space="0"/>
              <w:right w:val="single" w:color="auto" w:sz="2" w:space="0"/>
            </w:tcBorders>
            <w:vAlign w:val="center"/>
          </w:tcPr>
          <w:p w14:paraId="77C2DCC4">
            <w:pPr>
              <w:pStyle w:val="348"/>
              <w:rPr>
                <w:color w:val="auto"/>
              </w:rPr>
            </w:pPr>
            <w:r>
              <w:rPr>
                <w:rFonts w:hint="eastAsia"/>
                <w:color w:val="auto"/>
              </w:rPr>
              <w:t>评价标准</w:t>
            </w:r>
          </w:p>
        </w:tc>
        <w:tc>
          <w:tcPr>
            <w:tcW w:w="1117" w:type="dxa"/>
            <w:tcBorders>
              <w:top w:val="single" w:color="auto" w:sz="2" w:space="0"/>
              <w:left w:val="single" w:color="auto" w:sz="2" w:space="0"/>
              <w:bottom w:val="single" w:color="auto" w:sz="2" w:space="0"/>
              <w:right w:val="single" w:color="auto" w:sz="2" w:space="0"/>
            </w:tcBorders>
            <w:vAlign w:val="center"/>
          </w:tcPr>
          <w:p w14:paraId="65B72AC9">
            <w:pPr>
              <w:pStyle w:val="348"/>
              <w:rPr>
                <w:color w:val="auto"/>
              </w:rPr>
            </w:pPr>
            <w:r>
              <w:rPr>
                <w:rFonts w:hint="eastAsia"/>
                <w:color w:val="auto"/>
              </w:rPr>
              <w:t>评价标准</w:t>
            </w:r>
          </w:p>
        </w:tc>
        <w:tc>
          <w:tcPr>
            <w:tcW w:w="1770" w:type="dxa"/>
            <w:gridSpan w:val="2"/>
            <w:tcBorders>
              <w:top w:val="single" w:color="auto" w:sz="2" w:space="0"/>
              <w:left w:val="single" w:color="auto" w:sz="2" w:space="0"/>
              <w:bottom w:val="single" w:color="auto" w:sz="2" w:space="0"/>
              <w:right w:val="single" w:color="auto" w:sz="2" w:space="0"/>
            </w:tcBorders>
            <w:vAlign w:val="center"/>
          </w:tcPr>
          <w:p w14:paraId="3A1435EF">
            <w:pPr>
              <w:pStyle w:val="348"/>
              <w:rPr>
                <w:color w:val="auto"/>
              </w:rPr>
            </w:pPr>
            <w:r>
              <w:rPr>
                <w:rFonts w:hint="eastAsia"/>
                <w:color w:val="auto"/>
              </w:rPr>
              <w:t>国家标准</w:t>
            </w:r>
            <w:r>
              <w:rPr>
                <w:rFonts w:hint="eastAsia" w:ascii="Segoe UI Symbol" w:hAnsi="Segoe UI Symbol" w:cs="Segoe UI Symbol"/>
                <w:color w:val="auto"/>
              </w:rPr>
              <w:t>☑</w:t>
            </w:r>
          </w:p>
        </w:tc>
        <w:tc>
          <w:tcPr>
            <w:tcW w:w="2802" w:type="dxa"/>
            <w:gridSpan w:val="6"/>
            <w:tcBorders>
              <w:top w:val="single" w:color="auto" w:sz="2" w:space="0"/>
              <w:left w:val="single" w:color="auto" w:sz="2" w:space="0"/>
              <w:bottom w:val="single" w:color="auto" w:sz="2" w:space="0"/>
              <w:right w:val="single" w:color="auto" w:sz="2" w:space="0"/>
            </w:tcBorders>
            <w:vAlign w:val="center"/>
          </w:tcPr>
          <w:p w14:paraId="116319FE">
            <w:pPr>
              <w:pStyle w:val="348"/>
              <w:rPr>
                <w:color w:val="auto"/>
              </w:rPr>
            </w:pPr>
            <w:r>
              <w:rPr>
                <w:rFonts w:hint="eastAsia"/>
                <w:color w:val="auto"/>
              </w:rPr>
              <w:t>地方标准</w:t>
            </w:r>
            <w:r>
              <w:rPr>
                <w:rFonts w:hint="eastAsia" w:ascii="Segoe UI Symbol" w:hAnsi="Segoe UI Symbol" w:cs="Segoe UI Symbol"/>
                <w:color w:val="auto"/>
              </w:rPr>
              <w:t>☑</w:t>
            </w:r>
          </w:p>
        </w:tc>
        <w:tc>
          <w:tcPr>
            <w:tcW w:w="1865" w:type="dxa"/>
            <w:gridSpan w:val="4"/>
            <w:tcBorders>
              <w:top w:val="single" w:color="auto" w:sz="2" w:space="0"/>
              <w:left w:val="single" w:color="auto" w:sz="2" w:space="0"/>
              <w:bottom w:val="single" w:color="auto" w:sz="2" w:space="0"/>
              <w:right w:val="single" w:color="auto" w:sz="2" w:space="0"/>
            </w:tcBorders>
            <w:vAlign w:val="center"/>
          </w:tcPr>
          <w:p w14:paraId="6B513551">
            <w:pPr>
              <w:pStyle w:val="348"/>
              <w:rPr>
                <w:color w:val="auto"/>
              </w:rPr>
            </w:pPr>
            <w:r>
              <w:rPr>
                <w:rFonts w:hint="eastAsia"/>
                <w:color w:val="auto"/>
              </w:rPr>
              <w:t>附录D</w:t>
            </w:r>
            <w:r>
              <w:rPr>
                <w:rFonts w:hint="eastAsia" w:ascii="Segoe UI Symbol" w:hAnsi="Segoe UI Symbol" w:cs="Segoe UI Symbol"/>
                <w:color w:val="auto"/>
              </w:rPr>
              <w:t>☑</w:t>
            </w:r>
          </w:p>
        </w:tc>
        <w:tc>
          <w:tcPr>
            <w:tcW w:w="1024" w:type="dxa"/>
            <w:gridSpan w:val="4"/>
            <w:tcBorders>
              <w:top w:val="single" w:color="auto" w:sz="2" w:space="0"/>
              <w:left w:val="single" w:color="auto" w:sz="2" w:space="0"/>
              <w:bottom w:val="single" w:color="auto" w:sz="2" w:space="0"/>
              <w:right w:val="single" w:color="auto" w:sz="2" w:space="0"/>
            </w:tcBorders>
            <w:vAlign w:val="center"/>
          </w:tcPr>
          <w:p w14:paraId="797C8605">
            <w:pPr>
              <w:pStyle w:val="348"/>
              <w:rPr>
                <w:color w:val="auto"/>
              </w:rPr>
            </w:pPr>
            <w:r>
              <w:rPr>
                <w:rFonts w:hint="eastAsia"/>
                <w:color w:val="auto"/>
              </w:rPr>
              <w:t>其他标准□</w:t>
            </w:r>
          </w:p>
        </w:tc>
      </w:tr>
      <w:tr w14:paraId="4F384C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08" w:type="dxa"/>
            <w:vMerge w:val="restart"/>
            <w:tcBorders>
              <w:top w:val="single" w:color="auto" w:sz="2" w:space="0"/>
              <w:left w:val="single" w:color="auto" w:sz="2" w:space="0"/>
              <w:bottom w:val="single" w:color="auto" w:sz="2" w:space="0"/>
              <w:right w:val="single" w:color="auto" w:sz="2" w:space="0"/>
            </w:tcBorders>
            <w:vAlign w:val="center"/>
          </w:tcPr>
          <w:p w14:paraId="2F036BE8">
            <w:pPr>
              <w:pStyle w:val="348"/>
              <w:rPr>
                <w:color w:val="auto"/>
              </w:rPr>
            </w:pPr>
            <w:r>
              <w:rPr>
                <w:rFonts w:hint="eastAsia"/>
                <w:color w:val="auto"/>
              </w:rPr>
              <w:t>现状评价</w:t>
            </w:r>
          </w:p>
        </w:tc>
        <w:tc>
          <w:tcPr>
            <w:tcW w:w="1117" w:type="dxa"/>
            <w:tcBorders>
              <w:top w:val="single" w:color="auto" w:sz="2" w:space="0"/>
              <w:left w:val="single" w:color="auto" w:sz="2" w:space="0"/>
              <w:bottom w:val="single" w:color="auto" w:sz="2" w:space="0"/>
              <w:right w:val="single" w:color="auto" w:sz="2" w:space="0"/>
            </w:tcBorders>
            <w:vAlign w:val="center"/>
          </w:tcPr>
          <w:p w14:paraId="748AB8B4">
            <w:pPr>
              <w:pStyle w:val="348"/>
              <w:rPr>
                <w:color w:val="auto"/>
              </w:rPr>
            </w:pPr>
            <w:r>
              <w:rPr>
                <w:rFonts w:hint="eastAsia"/>
                <w:color w:val="auto"/>
              </w:rPr>
              <w:t>环境功能区</w:t>
            </w:r>
          </w:p>
        </w:tc>
        <w:tc>
          <w:tcPr>
            <w:tcW w:w="2935" w:type="dxa"/>
            <w:gridSpan w:val="5"/>
            <w:tcBorders>
              <w:top w:val="single" w:color="auto" w:sz="2" w:space="0"/>
              <w:left w:val="single" w:color="auto" w:sz="2" w:space="0"/>
              <w:bottom w:val="single" w:color="auto" w:sz="2" w:space="0"/>
              <w:right w:val="single" w:color="auto" w:sz="2" w:space="0"/>
            </w:tcBorders>
            <w:vAlign w:val="center"/>
          </w:tcPr>
          <w:p w14:paraId="7061B828">
            <w:pPr>
              <w:pStyle w:val="348"/>
              <w:rPr>
                <w:color w:val="auto"/>
              </w:rPr>
            </w:pPr>
            <w:r>
              <w:rPr>
                <w:rFonts w:hint="eastAsia"/>
                <w:color w:val="auto"/>
              </w:rPr>
              <w:t>一类区□</w:t>
            </w:r>
          </w:p>
        </w:tc>
        <w:tc>
          <w:tcPr>
            <w:tcW w:w="3502" w:type="dxa"/>
            <w:gridSpan w:val="7"/>
            <w:tcBorders>
              <w:top w:val="single" w:color="auto" w:sz="2" w:space="0"/>
              <w:left w:val="single" w:color="auto" w:sz="2" w:space="0"/>
              <w:bottom w:val="single" w:color="auto" w:sz="2" w:space="0"/>
              <w:right w:val="single" w:color="auto" w:sz="2" w:space="0"/>
            </w:tcBorders>
            <w:vAlign w:val="center"/>
          </w:tcPr>
          <w:p w14:paraId="2247F2EC">
            <w:pPr>
              <w:pStyle w:val="348"/>
              <w:rPr>
                <w:color w:val="auto"/>
              </w:rPr>
            </w:pPr>
            <w:r>
              <w:rPr>
                <w:rFonts w:hint="eastAsia"/>
                <w:color w:val="auto"/>
              </w:rPr>
              <w:t>二类区</w:t>
            </w:r>
            <w:r>
              <w:rPr>
                <w:rFonts w:hint="eastAsia" w:ascii="Segoe UI Symbol" w:hAnsi="Segoe UI Symbol" w:cs="Segoe UI Symbol"/>
                <w:color w:val="auto"/>
              </w:rPr>
              <w:t>☑</w:t>
            </w:r>
          </w:p>
        </w:tc>
        <w:tc>
          <w:tcPr>
            <w:tcW w:w="1024" w:type="dxa"/>
            <w:gridSpan w:val="4"/>
            <w:tcBorders>
              <w:top w:val="single" w:color="auto" w:sz="2" w:space="0"/>
              <w:left w:val="single" w:color="auto" w:sz="2" w:space="0"/>
              <w:bottom w:val="single" w:color="auto" w:sz="2" w:space="0"/>
              <w:right w:val="single" w:color="auto" w:sz="2" w:space="0"/>
            </w:tcBorders>
            <w:vAlign w:val="center"/>
          </w:tcPr>
          <w:p w14:paraId="74919AC6">
            <w:pPr>
              <w:pStyle w:val="348"/>
              <w:rPr>
                <w:color w:val="auto"/>
              </w:rPr>
            </w:pPr>
            <w:r>
              <w:rPr>
                <w:rFonts w:hint="eastAsia"/>
                <w:color w:val="auto"/>
              </w:rPr>
              <w:t>三类区□</w:t>
            </w:r>
          </w:p>
        </w:tc>
      </w:tr>
      <w:tr w14:paraId="4F8043C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08" w:type="dxa"/>
            <w:vMerge w:val="continue"/>
            <w:tcBorders>
              <w:top w:val="single" w:color="auto" w:sz="2" w:space="0"/>
              <w:left w:val="single" w:color="auto" w:sz="2" w:space="0"/>
              <w:bottom w:val="single" w:color="auto" w:sz="2" w:space="0"/>
              <w:right w:val="single" w:color="auto" w:sz="2" w:space="0"/>
            </w:tcBorders>
            <w:vAlign w:val="center"/>
          </w:tcPr>
          <w:p w14:paraId="4C1F0009">
            <w:pPr>
              <w:pStyle w:val="348"/>
              <w:rPr>
                <w:color w:val="auto"/>
              </w:rPr>
            </w:pPr>
          </w:p>
        </w:tc>
        <w:tc>
          <w:tcPr>
            <w:tcW w:w="1117" w:type="dxa"/>
            <w:tcBorders>
              <w:top w:val="single" w:color="auto" w:sz="2" w:space="0"/>
              <w:left w:val="single" w:color="auto" w:sz="2" w:space="0"/>
              <w:bottom w:val="single" w:color="auto" w:sz="2" w:space="0"/>
              <w:right w:val="single" w:color="auto" w:sz="2" w:space="0"/>
            </w:tcBorders>
            <w:vAlign w:val="center"/>
          </w:tcPr>
          <w:p w14:paraId="0B12BF50">
            <w:pPr>
              <w:pStyle w:val="348"/>
              <w:rPr>
                <w:color w:val="auto"/>
              </w:rPr>
            </w:pPr>
            <w:r>
              <w:rPr>
                <w:rFonts w:hint="eastAsia"/>
                <w:color w:val="auto"/>
              </w:rPr>
              <w:t>评价基准年</w:t>
            </w:r>
          </w:p>
        </w:tc>
        <w:tc>
          <w:tcPr>
            <w:tcW w:w="7461" w:type="dxa"/>
            <w:gridSpan w:val="16"/>
            <w:tcBorders>
              <w:top w:val="single" w:color="auto" w:sz="2" w:space="0"/>
              <w:left w:val="single" w:color="auto" w:sz="2" w:space="0"/>
              <w:bottom w:val="single" w:color="auto" w:sz="2" w:space="0"/>
              <w:right w:val="single" w:color="auto" w:sz="2" w:space="0"/>
            </w:tcBorders>
            <w:vAlign w:val="center"/>
          </w:tcPr>
          <w:p w14:paraId="771530EA">
            <w:pPr>
              <w:pStyle w:val="348"/>
              <w:rPr>
                <w:color w:val="auto"/>
              </w:rPr>
            </w:pPr>
            <w:r>
              <w:rPr>
                <w:rFonts w:hint="eastAsia"/>
                <w:color w:val="auto"/>
              </w:rPr>
              <w:t>(202</w:t>
            </w:r>
            <w:r>
              <w:rPr>
                <w:rFonts w:hint="eastAsia"/>
                <w:color w:val="auto"/>
                <w:lang w:val="en-US" w:eastAsia="zh-CN"/>
              </w:rPr>
              <w:t>4</w:t>
            </w:r>
            <w:r>
              <w:rPr>
                <w:rFonts w:hint="eastAsia"/>
                <w:color w:val="auto"/>
              </w:rPr>
              <w:t>)年</w:t>
            </w:r>
          </w:p>
        </w:tc>
      </w:tr>
      <w:tr w14:paraId="01B2EF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08" w:type="dxa"/>
            <w:vMerge w:val="continue"/>
            <w:tcBorders>
              <w:top w:val="single" w:color="auto" w:sz="2" w:space="0"/>
              <w:left w:val="single" w:color="auto" w:sz="2" w:space="0"/>
              <w:bottom w:val="single" w:color="auto" w:sz="2" w:space="0"/>
              <w:right w:val="single" w:color="auto" w:sz="2" w:space="0"/>
            </w:tcBorders>
            <w:vAlign w:val="center"/>
          </w:tcPr>
          <w:p w14:paraId="3858FA4D">
            <w:pPr>
              <w:pStyle w:val="348"/>
              <w:rPr>
                <w:color w:val="auto"/>
              </w:rPr>
            </w:pPr>
          </w:p>
        </w:tc>
        <w:tc>
          <w:tcPr>
            <w:tcW w:w="1117" w:type="dxa"/>
            <w:tcBorders>
              <w:top w:val="single" w:color="auto" w:sz="2" w:space="0"/>
              <w:left w:val="single" w:color="auto" w:sz="2" w:space="0"/>
              <w:bottom w:val="single" w:color="auto" w:sz="2" w:space="0"/>
              <w:right w:val="single" w:color="auto" w:sz="2" w:space="0"/>
            </w:tcBorders>
            <w:vAlign w:val="center"/>
          </w:tcPr>
          <w:p w14:paraId="07B257EE">
            <w:pPr>
              <w:pStyle w:val="348"/>
              <w:rPr>
                <w:color w:val="auto"/>
              </w:rPr>
            </w:pPr>
            <w:r>
              <w:rPr>
                <w:rFonts w:hint="eastAsia"/>
                <w:color w:val="auto"/>
              </w:rPr>
              <w:t>环境空气质量现状调查数据来源</w:t>
            </w:r>
          </w:p>
        </w:tc>
        <w:tc>
          <w:tcPr>
            <w:tcW w:w="2935" w:type="dxa"/>
            <w:gridSpan w:val="5"/>
            <w:tcBorders>
              <w:top w:val="single" w:color="auto" w:sz="2" w:space="0"/>
              <w:left w:val="single" w:color="auto" w:sz="2" w:space="0"/>
              <w:bottom w:val="single" w:color="auto" w:sz="2" w:space="0"/>
              <w:right w:val="single" w:color="auto" w:sz="2" w:space="0"/>
            </w:tcBorders>
            <w:vAlign w:val="center"/>
          </w:tcPr>
          <w:p w14:paraId="658DE855">
            <w:pPr>
              <w:pStyle w:val="348"/>
              <w:rPr>
                <w:color w:val="auto"/>
              </w:rPr>
            </w:pPr>
            <w:r>
              <w:rPr>
                <w:rFonts w:hint="eastAsia"/>
                <w:color w:val="auto"/>
              </w:rPr>
              <w:t>长期例行监测数据</w:t>
            </w:r>
            <w:r>
              <w:rPr>
                <w:rFonts w:hint="eastAsia" w:ascii="Segoe UI Symbol" w:hAnsi="Segoe UI Symbol" w:cs="Segoe UI Symbol"/>
                <w:color w:val="auto"/>
              </w:rPr>
              <w:t>☑</w:t>
            </w:r>
          </w:p>
        </w:tc>
        <w:tc>
          <w:tcPr>
            <w:tcW w:w="3502" w:type="dxa"/>
            <w:gridSpan w:val="7"/>
            <w:tcBorders>
              <w:top w:val="single" w:color="auto" w:sz="2" w:space="0"/>
              <w:left w:val="single" w:color="auto" w:sz="2" w:space="0"/>
              <w:bottom w:val="single" w:color="auto" w:sz="2" w:space="0"/>
              <w:right w:val="single" w:color="auto" w:sz="2" w:space="0"/>
            </w:tcBorders>
            <w:vAlign w:val="center"/>
          </w:tcPr>
          <w:p w14:paraId="31A11905">
            <w:pPr>
              <w:pStyle w:val="348"/>
              <w:rPr>
                <w:color w:val="auto"/>
              </w:rPr>
            </w:pPr>
            <w:r>
              <w:rPr>
                <w:rFonts w:hint="eastAsia"/>
                <w:color w:val="auto"/>
              </w:rPr>
              <w:t>主管部门发布的数据</w:t>
            </w:r>
            <w:r>
              <w:rPr>
                <w:rFonts w:hint="eastAsia" w:ascii="Segoe UI Symbol" w:hAnsi="Segoe UI Symbol" w:cs="Segoe UI Symbol"/>
                <w:color w:val="auto"/>
              </w:rPr>
              <w:t>☑</w:t>
            </w:r>
          </w:p>
        </w:tc>
        <w:tc>
          <w:tcPr>
            <w:tcW w:w="1024" w:type="dxa"/>
            <w:gridSpan w:val="4"/>
            <w:tcBorders>
              <w:top w:val="single" w:color="auto" w:sz="2" w:space="0"/>
              <w:left w:val="single" w:color="auto" w:sz="2" w:space="0"/>
              <w:bottom w:val="single" w:color="auto" w:sz="2" w:space="0"/>
              <w:right w:val="single" w:color="auto" w:sz="2" w:space="0"/>
            </w:tcBorders>
            <w:vAlign w:val="center"/>
          </w:tcPr>
          <w:p w14:paraId="6EB0379F">
            <w:pPr>
              <w:pStyle w:val="348"/>
              <w:rPr>
                <w:color w:val="auto"/>
              </w:rPr>
            </w:pPr>
            <w:r>
              <w:rPr>
                <w:rFonts w:hint="eastAsia"/>
                <w:color w:val="auto"/>
              </w:rPr>
              <w:t>现状补充监测</w:t>
            </w:r>
            <w:r>
              <w:rPr>
                <w:rFonts w:hint="eastAsia" w:ascii="Segoe UI Symbol" w:hAnsi="Segoe UI Symbol" w:cs="Segoe UI Symbol"/>
                <w:color w:val="auto"/>
              </w:rPr>
              <w:t>☑</w:t>
            </w:r>
          </w:p>
        </w:tc>
      </w:tr>
      <w:tr w14:paraId="1A81E0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08" w:type="dxa"/>
            <w:vMerge w:val="continue"/>
            <w:tcBorders>
              <w:top w:val="single" w:color="auto" w:sz="2" w:space="0"/>
              <w:left w:val="single" w:color="auto" w:sz="2" w:space="0"/>
              <w:bottom w:val="single" w:color="auto" w:sz="2" w:space="0"/>
              <w:right w:val="single" w:color="auto" w:sz="2" w:space="0"/>
            </w:tcBorders>
            <w:vAlign w:val="center"/>
          </w:tcPr>
          <w:p w14:paraId="6F67161B">
            <w:pPr>
              <w:pStyle w:val="348"/>
              <w:rPr>
                <w:color w:val="auto"/>
              </w:rPr>
            </w:pPr>
          </w:p>
        </w:tc>
        <w:tc>
          <w:tcPr>
            <w:tcW w:w="1117" w:type="dxa"/>
            <w:tcBorders>
              <w:top w:val="single" w:color="auto" w:sz="2" w:space="0"/>
              <w:left w:val="single" w:color="auto" w:sz="2" w:space="0"/>
              <w:bottom w:val="single" w:color="auto" w:sz="2" w:space="0"/>
              <w:right w:val="single" w:color="auto" w:sz="2" w:space="0"/>
            </w:tcBorders>
            <w:vAlign w:val="center"/>
          </w:tcPr>
          <w:p w14:paraId="1D0F3499">
            <w:pPr>
              <w:pStyle w:val="348"/>
              <w:rPr>
                <w:color w:val="auto"/>
              </w:rPr>
            </w:pPr>
            <w:r>
              <w:rPr>
                <w:rFonts w:hint="eastAsia"/>
                <w:color w:val="auto"/>
              </w:rPr>
              <w:t>现状评价</w:t>
            </w:r>
          </w:p>
        </w:tc>
        <w:tc>
          <w:tcPr>
            <w:tcW w:w="4572" w:type="dxa"/>
            <w:gridSpan w:val="8"/>
            <w:tcBorders>
              <w:top w:val="single" w:color="auto" w:sz="2" w:space="0"/>
              <w:left w:val="single" w:color="auto" w:sz="2" w:space="0"/>
              <w:bottom w:val="single" w:color="auto" w:sz="2" w:space="0"/>
              <w:right w:val="single" w:color="auto" w:sz="2" w:space="0"/>
            </w:tcBorders>
            <w:vAlign w:val="center"/>
          </w:tcPr>
          <w:p w14:paraId="24729FE7">
            <w:pPr>
              <w:pStyle w:val="348"/>
              <w:rPr>
                <w:color w:val="auto"/>
              </w:rPr>
            </w:pPr>
            <w:r>
              <w:rPr>
                <w:rFonts w:hint="eastAsia"/>
                <w:color w:val="auto"/>
              </w:rPr>
              <w:t>达标区</w:t>
            </w:r>
            <w:r>
              <w:rPr>
                <w:rFonts w:hint="eastAsia" w:ascii="Segoe UI Symbol" w:hAnsi="Segoe UI Symbol" w:cs="Segoe UI Symbol"/>
                <w:color w:val="auto"/>
              </w:rPr>
              <w:t>□</w:t>
            </w:r>
          </w:p>
        </w:tc>
        <w:tc>
          <w:tcPr>
            <w:tcW w:w="2889" w:type="dxa"/>
            <w:gridSpan w:val="8"/>
            <w:tcBorders>
              <w:top w:val="single" w:color="auto" w:sz="2" w:space="0"/>
              <w:left w:val="single" w:color="auto" w:sz="2" w:space="0"/>
              <w:bottom w:val="single" w:color="auto" w:sz="2" w:space="0"/>
              <w:right w:val="single" w:color="auto" w:sz="2" w:space="0"/>
            </w:tcBorders>
            <w:vAlign w:val="center"/>
          </w:tcPr>
          <w:p w14:paraId="04BAF214">
            <w:pPr>
              <w:pStyle w:val="348"/>
              <w:rPr>
                <w:color w:val="auto"/>
              </w:rPr>
            </w:pPr>
            <w:r>
              <w:rPr>
                <w:rFonts w:hint="eastAsia"/>
                <w:color w:val="auto"/>
              </w:rPr>
              <w:t>不达标区</w:t>
            </w:r>
            <w:r>
              <w:rPr>
                <w:rFonts w:hint="eastAsia" w:ascii="Segoe UI Symbol" w:hAnsi="Segoe UI Symbol" w:cs="Segoe UI Symbol"/>
                <w:color w:val="auto"/>
              </w:rPr>
              <w:t>☑</w:t>
            </w:r>
          </w:p>
        </w:tc>
      </w:tr>
      <w:tr w14:paraId="2654FB8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08" w:type="dxa"/>
            <w:tcBorders>
              <w:top w:val="single" w:color="auto" w:sz="2" w:space="0"/>
              <w:left w:val="single" w:color="auto" w:sz="2" w:space="0"/>
              <w:bottom w:val="single" w:color="auto" w:sz="2" w:space="0"/>
              <w:right w:val="single" w:color="auto" w:sz="2" w:space="0"/>
            </w:tcBorders>
            <w:vAlign w:val="center"/>
          </w:tcPr>
          <w:p w14:paraId="2322BFC6">
            <w:pPr>
              <w:pStyle w:val="348"/>
              <w:rPr>
                <w:color w:val="auto"/>
              </w:rPr>
            </w:pPr>
            <w:r>
              <w:rPr>
                <w:rFonts w:hint="eastAsia"/>
                <w:color w:val="auto"/>
              </w:rPr>
              <w:t>污染源调查</w:t>
            </w:r>
          </w:p>
        </w:tc>
        <w:tc>
          <w:tcPr>
            <w:tcW w:w="1117" w:type="dxa"/>
            <w:tcBorders>
              <w:top w:val="single" w:color="auto" w:sz="2" w:space="0"/>
              <w:left w:val="single" w:color="auto" w:sz="2" w:space="0"/>
              <w:bottom w:val="single" w:color="auto" w:sz="2" w:space="0"/>
              <w:right w:val="single" w:color="auto" w:sz="2" w:space="0"/>
            </w:tcBorders>
            <w:vAlign w:val="center"/>
          </w:tcPr>
          <w:p w14:paraId="00689DB5">
            <w:pPr>
              <w:pStyle w:val="348"/>
              <w:rPr>
                <w:color w:val="auto"/>
              </w:rPr>
            </w:pPr>
            <w:r>
              <w:rPr>
                <w:rFonts w:hint="eastAsia"/>
                <w:color w:val="auto"/>
              </w:rPr>
              <w:t>调查内容</w:t>
            </w:r>
          </w:p>
        </w:tc>
        <w:tc>
          <w:tcPr>
            <w:tcW w:w="2935" w:type="dxa"/>
            <w:gridSpan w:val="5"/>
            <w:tcBorders>
              <w:top w:val="single" w:color="auto" w:sz="2" w:space="0"/>
              <w:left w:val="single" w:color="auto" w:sz="2" w:space="0"/>
              <w:bottom w:val="single" w:color="auto" w:sz="2" w:space="0"/>
              <w:right w:val="single" w:color="auto" w:sz="2" w:space="0"/>
            </w:tcBorders>
            <w:vAlign w:val="center"/>
          </w:tcPr>
          <w:p w14:paraId="2BD83BC3">
            <w:pPr>
              <w:pStyle w:val="348"/>
              <w:rPr>
                <w:color w:val="auto"/>
              </w:rPr>
            </w:pPr>
            <w:r>
              <w:rPr>
                <w:rFonts w:hint="eastAsia"/>
                <w:color w:val="auto"/>
              </w:rPr>
              <w:t>拟建项目正常排放源</w:t>
            </w:r>
            <w:r>
              <w:rPr>
                <w:rFonts w:hint="eastAsia" w:ascii="Segoe UI Symbol" w:hAnsi="Segoe UI Symbol" w:cs="Segoe UI Symbol"/>
                <w:color w:val="auto"/>
              </w:rPr>
              <w:t>□</w:t>
            </w:r>
          </w:p>
          <w:p w14:paraId="69304056">
            <w:pPr>
              <w:pStyle w:val="348"/>
              <w:rPr>
                <w:color w:val="auto"/>
              </w:rPr>
            </w:pPr>
            <w:r>
              <w:rPr>
                <w:rFonts w:hint="eastAsia"/>
                <w:color w:val="auto"/>
              </w:rPr>
              <w:t>拟建项目非正常排放源</w:t>
            </w:r>
            <w:r>
              <w:rPr>
                <w:rFonts w:hint="eastAsia" w:ascii="Segoe UI Symbol" w:hAnsi="Segoe UI Symbol" w:cs="Segoe UI Symbol"/>
                <w:color w:val="auto"/>
              </w:rPr>
              <w:t>☑</w:t>
            </w:r>
          </w:p>
          <w:p w14:paraId="2A40A1F3">
            <w:pPr>
              <w:pStyle w:val="348"/>
              <w:rPr>
                <w:color w:val="auto"/>
              </w:rPr>
            </w:pPr>
            <w:r>
              <w:rPr>
                <w:rFonts w:hint="eastAsia"/>
                <w:color w:val="auto"/>
              </w:rPr>
              <w:t>现有污染源□</w:t>
            </w:r>
          </w:p>
        </w:tc>
        <w:tc>
          <w:tcPr>
            <w:tcW w:w="2405" w:type="dxa"/>
            <w:gridSpan w:val="5"/>
            <w:tcBorders>
              <w:top w:val="single" w:color="auto" w:sz="2" w:space="0"/>
              <w:left w:val="single" w:color="auto" w:sz="2" w:space="0"/>
              <w:bottom w:val="single" w:color="auto" w:sz="2" w:space="0"/>
              <w:right w:val="single" w:color="auto" w:sz="2" w:space="0"/>
            </w:tcBorders>
            <w:vAlign w:val="center"/>
          </w:tcPr>
          <w:p w14:paraId="6ED931F3">
            <w:pPr>
              <w:pStyle w:val="348"/>
              <w:rPr>
                <w:color w:val="auto"/>
              </w:rPr>
            </w:pPr>
            <w:r>
              <w:rPr>
                <w:rFonts w:hint="eastAsia"/>
                <w:color w:val="auto"/>
              </w:rPr>
              <w:t>拟替代的污染源□</w:t>
            </w:r>
          </w:p>
        </w:tc>
        <w:tc>
          <w:tcPr>
            <w:tcW w:w="1586" w:type="dxa"/>
            <w:gridSpan w:val="4"/>
            <w:tcBorders>
              <w:top w:val="single" w:color="auto" w:sz="2" w:space="0"/>
              <w:left w:val="single" w:color="auto" w:sz="2" w:space="0"/>
              <w:bottom w:val="single" w:color="auto" w:sz="2" w:space="0"/>
              <w:right w:val="single" w:color="auto" w:sz="2" w:space="0"/>
            </w:tcBorders>
            <w:vAlign w:val="center"/>
          </w:tcPr>
          <w:p w14:paraId="23AD5681">
            <w:pPr>
              <w:pStyle w:val="348"/>
              <w:rPr>
                <w:color w:val="auto"/>
              </w:rPr>
            </w:pPr>
            <w:r>
              <w:rPr>
                <w:rFonts w:hint="eastAsia"/>
                <w:color w:val="auto"/>
              </w:rPr>
              <w:t>其他在建、拟建项目污染源□</w:t>
            </w:r>
          </w:p>
        </w:tc>
        <w:tc>
          <w:tcPr>
            <w:tcW w:w="535" w:type="dxa"/>
            <w:gridSpan w:val="2"/>
            <w:tcBorders>
              <w:top w:val="single" w:color="auto" w:sz="2" w:space="0"/>
              <w:left w:val="single" w:color="auto" w:sz="2" w:space="0"/>
              <w:bottom w:val="single" w:color="auto" w:sz="2" w:space="0"/>
              <w:right w:val="single" w:color="auto" w:sz="2" w:space="0"/>
            </w:tcBorders>
            <w:vAlign w:val="center"/>
          </w:tcPr>
          <w:p w14:paraId="2B7594D6">
            <w:pPr>
              <w:pStyle w:val="348"/>
              <w:rPr>
                <w:color w:val="auto"/>
              </w:rPr>
            </w:pPr>
            <w:r>
              <w:rPr>
                <w:rFonts w:hint="eastAsia"/>
                <w:color w:val="auto"/>
              </w:rPr>
              <w:t>区域污染源□</w:t>
            </w:r>
          </w:p>
        </w:tc>
      </w:tr>
      <w:tr w14:paraId="73301D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08" w:type="dxa"/>
            <w:vMerge w:val="restart"/>
            <w:tcBorders>
              <w:top w:val="single" w:color="auto" w:sz="2" w:space="0"/>
              <w:left w:val="single" w:color="auto" w:sz="2" w:space="0"/>
              <w:bottom w:val="single" w:color="auto" w:sz="2" w:space="0"/>
              <w:right w:val="single" w:color="auto" w:sz="2" w:space="0"/>
            </w:tcBorders>
            <w:vAlign w:val="center"/>
          </w:tcPr>
          <w:p w14:paraId="1846C0B0">
            <w:pPr>
              <w:pStyle w:val="348"/>
              <w:rPr>
                <w:color w:val="auto"/>
              </w:rPr>
            </w:pPr>
            <w:r>
              <w:rPr>
                <w:rFonts w:hint="eastAsia"/>
                <w:color w:val="auto"/>
              </w:rPr>
              <w:t>大气环境影响预测与评价</w:t>
            </w:r>
          </w:p>
        </w:tc>
        <w:tc>
          <w:tcPr>
            <w:tcW w:w="1117" w:type="dxa"/>
            <w:tcBorders>
              <w:top w:val="single" w:color="auto" w:sz="2" w:space="0"/>
              <w:left w:val="single" w:color="auto" w:sz="2" w:space="0"/>
              <w:bottom w:val="single" w:color="auto" w:sz="2" w:space="0"/>
              <w:right w:val="single" w:color="auto" w:sz="2" w:space="0"/>
            </w:tcBorders>
            <w:vAlign w:val="center"/>
          </w:tcPr>
          <w:p w14:paraId="167F364A">
            <w:pPr>
              <w:pStyle w:val="348"/>
              <w:rPr>
                <w:color w:val="auto"/>
              </w:rPr>
            </w:pPr>
            <w:r>
              <w:rPr>
                <w:rFonts w:hint="eastAsia"/>
                <w:color w:val="auto"/>
              </w:rPr>
              <w:t>预测模型</w:t>
            </w:r>
          </w:p>
        </w:tc>
        <w:tc>
          <w:tcPr>
            <w:tcW w:w="1269" w:type="dxa"/>
            <w:tcBorders>
              <w:top w:val="single" w:color="auto" w:sz="2" w:space="0"/>
              <w:left w:val="single" w:color="auto" w:sz="2" w:space="0"/>
              <w:bottom w:val="single" w:color="auto" w:sz="2" w:space="0"/>
              <w:right w:val="single" w:color="auto" w:sz="2" w:space="0"/>
            </w:tcBorders>
            <w:vAlign w:val="center"/>
          </w:tcPr>
          <w:p w14:paraId="6DBD76B1">
            <w:pPr>
              <w:pStyle w:val="348"/>
              <w:rPr>
                <w:color w:val="auto"/>
              </w:rPr>
            </w:pPr>
            <w:r>
              <w:rPr>
                <w:rFonts w:hint="eastAsia"/>
                <w:color w:val="auto"/>
              </w:rPr>
              <w:t>AERMOD□</w:t>
            </w:r>
          </w:p>
        </w:tc>
        <w:tc>
          <w:tcPr>
            <w:tcW w:w="950" w:type="dxa"/>
            <w:gridSpan w:val="2"/>
            <w:tcBorders>
              <w:top w:val="single" w:color="auto" w:sz="2" w:space="0"/>
              <w:left w:val="single" w:color="auto" w:sz="2" w:space="0"/>
              <w:bottom w:val="single" w:color="auto" w:sz="2" w:space="0"/>
              <w:right w:val="single" w:color="auto" w:sz="2" w:space="0"/>
            </w:tcBorders>
            <w:vAlign w:val="center"/>
          </w:tcPr>
          <w:p w14:paraId="2326D591">
            <w:pPr>
              <w:pStyle w:val="348"/>
              <w:rPr>
                <w:color w:val="auto"/>
              </w:rPr>
            </w:pPr>
            <w:r>
              <w:rPr>
                <w:rFonts w:hint="eastAsia"/>
                <w:color w:val="auto"/>
              </w:rPr>
              <w:t>ADMS□</w:t>
            </w:r>
          </w:p>
        </w:tc>
        <w:tc>
          <w:tcPr>
            <w:tcW w:w="1576" w:type="dxa"/>
            <w:gridSpan w:val="3"/>
            <w:tcBorders>
              <w:top w:val="single" w:color="auto" w:sz="2" w:space="0"/>
              <w:left w:val="single" w:color="auto" w:sz="2" w:space="0"/>
              <w:bottom w:val="single" w:color="auto" w:sz="2" w:space="0"/>
              <w:right w:val="single" w:color="auto" w:sz="2" w:space="0"/>
            </w:tcBorders>
            <w:vAlign w:val="center"/>
          </w:tcPr>
          <w:p w14:paraId="4CBD0609">
            <w:pPr>
              <w:pStyle w:val="348"/>
              <w:rPr>
                <w:color w:val="auto"/>
              </w:rPr>
            </w:pPr>
            <w:r>
              <w:rPr>
                <w:rFonts w:hint="eastAsia"/>
                <w:color w:val="auto"/>
              </w:rPr>
              <w:t>AUSTAL2000□</w:t>
            </w:r>
          </w:p>
        </w:tc>
        <w:tc>
          <w:tcPr>
            <w:tcW w:w="1545" w:type="dxa"/>
            <w:gridSpan w:val="4"/>
            <w:tcBorders>
              <w:top w:val="single" w:color="auto" w:sz="2" w:space="0"/>
              <w:left w:val="single" w:color="auto" w:sz="2" w:space="0"/>
              <w:bottom w:val="single" w:color="auto" w:sz="2" w:space="0"/>
              <w:right w:val="single" w:color="auto" w:sz="2" w:space="0"/>
            </w:tcBorders>
            <w:vAlign w:val="center"/>
          </w:tcPr>
          <w:p w14:paraId="1B15EA8C">
            <w:pPr>
              <w:pStyle w:val="348"/>
              <w:rPr>
                <w:color w:val="auto"/>
              </w:rPr>
            </w:pPr>
            <w:r>
              <w:rPr>
                <w:rFonts w:hint="eastAsia"/>
                <w:color w:val="auto"/>
              </w:rPr>
              <w:t>EDMS/AEDT□</w:t>
            </w:r>
          </w:p>
        </w:tc>
        <w:tc>
          <w:tcPr>
            <w:tcW w:w="1268" w:type="dxa"/>
            <w:gridSpan w:val="3"/>
            <w:tcBorders>
              <w:top w:val="single" w:color="auto" w:sz="2" w:space="0"/>
              <w:left w:val="single" w:color="auto" w:sz="2" w:space="0"/>
              <w:bottom w:val="single" w:color="auto" w:sz="2" w:space="0"/>
              <w:right w:val="single" w:color="auto" w:sz="2" w:space="0"/>
            </w:tcBorders>
            <w:vAlign w:val="center"/>
          </w:tcPr>
          <w:p w14:paraId="06809807">
            <w:pPr>
              <w:pStyle w:val="348"/>
              <w:rPr>
                <w:color w:val="auto"/>
              </w:rPr>
            </w:pPr>
            <w:r>
              <w:rPr>
                <w:rFonts w:hint="eastAsia"/>
                <w:color w:val="auto"/>
              </w:rPr>
              <w:t>CALPUFF□</w:t>
            </w:r>
          </w:p>
        </w:tc>
        <w:tc>
          <w:tcPr>
            <w:tcW w:w="427" w:type="dxa"/>
            <w:gridSpan w:val="2"/>
            <w:tcBorders>
              <w:top w:val="single" w:color="auto" w:sz="2" w:space="0"/>
              <w:left w:val="single" w:color="auto" w:sz="2" w:space="0"/>
              <w:bottom w:val="single" w:color="auto" w:sz="2" w:space="0"/>
              <w:right w:val="single" w:color="auto" w:sz="2" w:space="0"/>
            </w:tcBorders>
            <w:vAlign w:val="center"/>
          </w:tcPr>
          <w:p w14:paraId="17FE2E71">
            <w:pPr>
              <w:pStyle w:val="348"/>
              <w:rPr>
                <w:color w:val="auto"/>
              </w:rPr>
            </w:pPr>
            <w:r>
              <w:rPr>
                <w:rFonts w:hint="eastAsia"/>
                <w:color w:val="auto"/>
              </w:rPr>
              <w:t>网络模型□</w:t>
            </w:r>
          </w:p>
        </w:tc>
        <w:tc>
          <w:tcPr>
            <w:tcW w:w="426" w:type="dxa"/>
            <w:tcBorders>
              <w:top w:val="single" w:color="auto" w:sz="2" w:space="0"/>
              <w:left w:val="single" w:color="auto" w:sz="2" w:space="0"/>
              <w:bottom w:val="single" w:color="auto" w:sz="2" w:space="0"/>
              <w:right w:val="single" w:color="auto" w:sz="2" w:space="0"/>
            </w:tcBorders>
            <w:vAlign w:val="center"/>
          </w:tcPr>
          <w:p w14:paraId="251FAE8B">
            <w:pPr>
              <w:pStyle w:val="348"/>
              <w:rPr>
                <w:color w:val="auto"/>
              </w:rPr>
            </w:pPr>
            <w:r>
              <w:rPr>
                <w:rFonts w:hint="eastAsia"/>
                <w:color w:val="auto"/>
              </w:rPr>
              <w:t>其他□</w:t>
            </w:r>
          </w:p>
        </w:tc>
      </w:tr>
      <w:tr w14:paraId="612349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08" w:type="dxa"/>
            <w:vMerge w:val="continue"/>
            <w:tcBorders>
              <w:top w:val="single" w:color="auto" w:sz="2" w:space="0"/>
              <w:left w:val="single" w:color="auto" w:sz="2" w:space="0"/>
              <w:bottom w:val="single" w:color="auto" w:sz="2" w:space="0"/>
              <w:right w:val="single" w:color="auto" w:sz="2" w:space="0"/>
            </w:tcBorders>
            <w:vAlign w:val="center"/>
          </w:tcPr>
          <w:p w14:paraId="0AF04008">
            <w:pPr>
              <w:pStyle w:val="348"/>
              <w:rPr>
                <w:color w:val="auto"/>
              </w:rPr>
            </w:pPr>
          </w:p>
        </w:tc>
        <w:tc>
          <w:tcPr>
            <w:tcW w:w="1117" w:type="dxa"/>
            <w:tcBorders>
              <w:top w:val="single" w:color="auto" w:sz="2" w:space="0"/>
              <w:left w:val="single" w:color="auto" w:sz="2" w:space="0"/>
              <w:bottom w:val="single" w:color="auto" w:sz="2" w:space="0"/>
              <w:right w:val="single" w:color="auto" w:sz="2" w:space="0"/>
            </w:tcBorders>
            <w:vAlign w:val="center"/>
          </w:tcPr>
          <w:p w14:paraId="6369F6DF">
            <w:pPr>
              <w:pStyle w:val="348"/>
              <w:rPr>
                <w:color w:val="auto"/>
              </w:rPr>
            </w:pPr>
            <w:r>
              <w:rPr>
                <w:rFonts w:hint="eastAsia"/>
                <w:color w:val="auto"/>
              </w:rPr>
              <w:t>预测范围</w:t>
            </w:r>
          </w:p>
        </w:tc>
        <w:tc>
          <w:tcPr>
            <w:tcW w:w="2580" w:type="dxa"/>
            <w:gridSpan w:val="4"/>
            <w:tcBorders>
              <w:top w:val="single" w:color="auto" w:sz="2" w:space="0"/>
              <w:left w:val="single" w:color="auto" w:sz="2" w:space="0"/>
              <w:bottom w:val="single" w:color="auto" w:sz="2" w:space="0"/>
              <w:right w:val="single" w:color="auto" w:sz="2" w:space="0"/>
            </w:tcBorders>
            <w:vAlign w:val="center"/>
          </w:tcPr>
          <w:p w14:paraId="1EC5EAAB">
            <w:pPr>
              <w:pStyle w:val="348"/>
              <w:rPr>
                <w:color w:val="auto"/>
              </w:rPr>
            </w:pPr>
            <w:r>
              <w:rPr>
                <w:rFonts w:hint="eastAsia"/>
                <w:color w:val="auto"/>
              </w:rPr>
              <w:t>边长≥50km□</w:t>
            </w:r>
          </w:p>
        </w:tc>
        <w:tc>
          <w:tcPr>
            <w:tcW w:w="3177" w:type="dxa"/>
            <w:gridSpan w:val="7"/>
            <w:tcBorders>
              <w:top w:val="single" w:color="auto" w:sz="2" w:space="0"/>
              <w:left w:val="single" w:color="auto" w:sz="2" w:space="0"/>
              <w:bottom w:val="single" w:color="auto" w:sz="2" w:space="0"/>
              <w:right w:val="single" w:color="auto" w:sz="2" w:space="0"/>
            </w:tcBorders>
            <w:vAlign w:val="center"/>
          </w:tcPr>
          <w:p w14:paraId="44466DE3">
            <w:pPr>
              <w:pStyle w:val="348"/>
              <w:rPr>
                <w:color w:val="auto"/>
              </w:rPr>
            </w:pPr>
            <w:r>
              <w:rPr>
                <w:rFonts w:hint="eastAsia"/>
                <w:color w:val="auto"/>
              </w:rPr>
              <w:t>边长5~50km□</w:t>
            </w:r>
          </w:p>
        </w:tc>
        <w:tc>
          <w:tcPr>
            <w:tcW w:w="1704" w:type="dxa"/>
            <w:gridSpan w:val="5"/>
            <w:tcBorders>
              <w:top w:val="single" w:color="auto" w:sz="2" w:space="0"/>
              <w:left w:val="single" w:color="auto" w:sz="2" w:space="0"/>
              <w:bottom w:val="single" w:color="auto" w:sz="2" w:space="0"/>
              <w:right w:val="single" w:color="auto" w:sz="2" w:space="0"/>
            </w:tcBorders>
            <w:vAlign w:val="center"/>
          </w:tcPr>
          <w:p w14:paraId="260DBDAB">
            <w:pPr>
              <w:pStyle w:val="348"/>
              <w:rPr>
                <w:color w:val="auto"/>
              </w:rPr>
            </w:pPr>
            <w:r>
              <w:rPr>
                <w:rFonts w:hint="eastAsia"/>
                <w:color w:val="auto"/>
              </w:rPr>
              <w:t>边长=5km□</w:t>
            </w:r>
          </w:p>
        </w:tc>
      </w:tr>
      <w:tr w14:paraId="398F55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08" w:type="dxa"/>
            <w:vMerge w:val="continue"/>
            <w:tcBorders>
              <w:top w:val="single" w:color="auto" w:sz="2" w:space="0"/>
              <w:left w:val="single" w:color="auto" w:sz="2" w:space="0"/>
              <w:bottom w:val="single" w:color="auto" w:sz="2" w:space="0"/>
              <w:right w:val="single" w:color="auto" w:sz="2" w:space="0"/>
            </w:tcBorders>
            <w:vAlign w:val="center"/>
          </w:tcPr>
          <w:p w14:paraId="7A1BA998">
            <w:pPr>
              <w:pStyle w:val="348"/>
              <w:rPr>
                <w:color w:val="auto"/>
              </w:rPr>
            </w:pPr>
          </w:p>
        </w:tc>
        <w:tc>
          <w:tcPr>
            <w:tcW w:w="1117" w:type="dxa"/>
            <w:tcBorders>
              <w:top w:val="single" w:color="auto" w:sz="2" w:space="0"/>
              <w:left w:val="single" w:color="auto" w:sz="2" w:space="0"/>
              <w:bottom w:val="single" w:color="auto" w:sz="2" w:space="0"/>
              <w:right w:val="single" w:color="auto" w:sz="2" w:space="0"/>
            </w:tcBorders>
            <w:vAlign w:val="center"/>
          </w:tcPr>
          <w:p w14:paraId="3224D548">
            <w:pPr>
              <w:pStyle w:val="348"/>
              <w:rPr>
                <w:color w:val="auto"/>
              </w:rPr>
            </w:pPr>
            <w:r>
              <w:rPr>
                <w:rFonts w:hint="eastAsia"/>
                <w:color w:val="auto"/>
              </w:rPr>
              <w:t>预测因子</w:t>
            </w:r>
          </w:p>
        </w:tc>
        <w:tc>
          <w:tcPr>
            <w:tcW w:w="4572" w:type="dxa"/>
            <w:gridSpan w:val="8"/>
            <w:tcBorders>
              <w:top w:val="single" w:color="auto" w:sz="2" w:space="0"/>
              <w:left w:val="single" w:color="auto" w:sz="2" w:space="0"/>
              <w:bottom w:val="single" w:color="auto" w:sz="2" w:space="0"/>
              <w:right w:val="single" w:color="auto" w:sz="2" w:space="0"/>
            </w:tcBorders>
            <w:vAlign w:val="center"/>
          </w:tcPr>
          <w:p w14:paraId="708CE081">
            <w:pPr>
              <w:pStyle w:val="348"/>
              <w:rPr>
                <w:color w:val="auto"/>
              </w:rPr>
            </w:pPr>
            <w:r>
              <w:rPr>
                <w:rFonts w:hint="eastAsia"/>
                <w:color w:val="auto"/>
              </w:rPr>
              <w:t>预测因子</w:t>
            </w:r>
            <w:r>
              <w:rPr>
                <w:rFonts w:hint="eastAsia"/>
                <w:color w:val="auto"/>
                <w:lang w:eastAsia="zh-CN"/>
              </w:rPr>
              <w:t>（</w:t>
            </w:r>
            <w:r>
              <w:rPr>
                <w:rFonts w:hint="eastAsia"/>
                <w:color w:val="auto"/>
              </w:rPr>
              <w:t xml:space="preserve">           </w:t>
            </w:r>
            <w:r>
              <w:rPr>
                <w:rFonts w:hint="eastAsia"/>
                <w:color w:val="auto"/>
                <w:lang w:eastAsia="zh-CN"/>
              </w:rPr>
              <w:t>）</w:t>
            </w:r>
          </w:p>
        </w:tc>
        <w:tc>
          <w:tcPr>
            <w:tcW w:w="2889" w:type="dxa"/>
            <w:gridSpan w:val="8"/>
            <w:tcBorders>
              <w:top w:val="single" w:color="auto" w:sz="2" w:space="0"/>
              <w:left w:val="single" w:color="auto" w:sz="2" w:space="0"/>
              <w:bottom w:val="single" w:color="auto" w:sz="2" w:space="0"/>
              <w:right w:val="single" w:color="auto" w:sz="2" w:space="0"/>
            </w:tcBorders>
            <w:vAlign w:val="center"/>
          </w:tcPr>
          <w:p w14:paraId="2538D2FE">
            <w:pPr>
              <w:pStyle w:val="348"/>
              <w:rPr>
                <w:color w:val="auto"/>
              </w:rPr>
            </w:pPr>
            <w:r>
              <w:rPr>
                <w:rFonts w:hint="eastAsia"/>
                <w:color w:val="auto"/>
              </w:rPr>
              <w:t>包括二次PM2.5□</w:t>
            </w:r>
          </w:p>
          <w:p w14:paraId="138AA18E">
            <w:pPr>
              <w:pStyle w:val="348"/>
              <w:rPr>
                <w:color w:val="auto"/>
              </w:rPr>
            </w:pPr>
            <w:r>
              <w:rPr>
                <w:rFonts w:hint="eastAsia"/>
                <w:color w:val="auto"/>
              </w:rPr>
              <w:t>不包括二次PM2.5□</w:t>
            </w:r>
          </w:p>
        </w:tc>
      </w:tr>
      <w:tr w14:paraId="0BE8CF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08" w:type="dxa"/>
            <w:vMerge w:val="continue"/>
            <w:tcBorders>
              <w:top w:val="single" w:color="auto" w:sz="2" w:space="0"/>
              <w:left w:val="single" w:color="auto" w:sz="2" w:space="0"/>
              <w:bottom w:val="single" w:color="auto" w:sz="2" w:space="0"/>
              <w:right w:val="single" w:color="auto" w:sz="2" w:space="0"/>
            </w:tcBorders>
            <w:vAlign w:val="center"/>
          </w:tcPr>
          <w:p w14:paraId="6F4F2962">
            <w:pPr>
              <w:pStyle w:val="348"/>
              <w:rPr>
                <w:color w:val="auto"/>
              </w:rPr>
            </w:pPr>
          </w:p>
        </w:tc>
        <w:tc>
          <w:tcPr>
            <w:tcW w:w="1117" w:type="dxa"/>
            <w:tcBorders>
              <w:top w:val="single" w:color="auto" w:sz="2" w:space="0"/>
              <w:left w:val="single" w:color="auto" w:sz="2" w:space="0"/>
              <w:bottom w:val="single" w:color="auto" w:sz="2" w:space="0"/>
              <w:right w:val="single" w:color="auto" w:sz="2" w:space="0"/>
            </w:tcBorders>
            <w:vAlign w:val="center"/>
          </w:tcPr>
          <w:p w14:paraId="4211F6A9">
            <w:pPr>
              <w:pStyle w:val="348"/>
              <w:rPr>
                <w:color w:val="auto"/>
              </w:rPr>
            </w:pPr>
            <w:r>
              <w:rPr>
                <w:rFonts w:hint="eastAsia"/>
                <w:color w:val="auto"/>
              </w:rPr>
              <w:t>正常排放短期浓度贡献值</w:t>
            </w:r>
          </w:p>
        </w:tc>
        <w:tc>
          <w:tcPr>
            <w:tcW w:w="4572" w:type="dxa"/>
            <w:gridSpan w:val="8"/>
            <w:tcBorders>
              <w:top w:val="single" w:color="auto" w:sz="2" w:space="0"/>
              <w:left w:val="single" w:color="auto" w:sz="2" w:space="0"/>
              <w:bottom w:val="single" w:color="auto" w:sz="2" w:space="0"/>
              <w:right w:val="single" w:color="auto" w:sz="2" w:space="0"/>
            </w:tcBorders>
            <w:vAlign w:val="center"/>
          </w:tcPr>
          <w:p w14:paraId="16595F62">
            <w:pPr>
              <w:pStyle w:val="348"/>
              <w:rPr>
                <w:color w:val="auto"/>
              </w:rPr>
            </w:pPr>
            <w:r>
              <w:rPr>
                <w:rFonts w:hint="eastAsia"/>
                <w:color w:val="auto"/>
              </w:rPr>
              <w:t>C拟建项目最大占标率≤100%□</w:t>
            </w:r>
          </w:p>
        </w:tc>
        <w:tc>
          <w:tcPr>
            <w:tcW w:w="2889" w:type="dxa"/>
            <w:gridSpan w:val="8"/>
            <w:tcBorders>
              <w:top w:val="single" w:color="auto" w:sz="2" w:space="0"/>
              <w:left w:val="single" w:color="auto" w:sz="2" w:space="0"/>
              <w:bottom w:val="single" w:color="auto" w:sz="2" w:space="0"/>
              <w:right w:val="single" w:color="auto" w:sz="2" w:space="0"/>
            </w:tcBorders>
            <w:vAlign w:val="center"/>
          </w:tcPr>
          <w:p w14:paraId="578C3594">
            <w:pPr>
              <w:pStyle w:val="348"/>
              <w:rPr>
                <w:color w:val="auto"/>
              </w:rPr>
            </w:pPr>
            <w:r>
              <w:rPr>
                <w:rFonts w:hint="eastAsia"/>
                <w:color w:val="auto"/>
              </w:rPr>
              <w:t>C拟建项目最大占标率＞100%□</w:t>
            </w:r>
          </w:p>
        </w:tc>
      </w:tr>
      <w:tr w14:paraId="582FD5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08" w:type="dxa"/>
            <w:vMerge w:val="continue"/>
            <w:tcBorders>
              <w:top w:val="single" w:color="auto" w:sz="2" w:space="0"/>
              <w:left w:val="single" w:color="auto" w:sz="2" w:space="0"/>
              <w:bottom w:val="single" w:color="auto" w:sz="2" w:space="0"/>
              <w:right w:val="single" w:color="auto" w:sz="2" w:space="0"/>
            </w:tcBorders>
            <w:vAlign w:val="center"/>
          </w:tcPr>
          <w:p w14:paraId="7A1BE8E1">
            <w:pPr>
              <w:pStyle w:val="348"/>
              <w:rPr>
                <w:color w:val="auto"/>
              </w:rPr>
            </w:pPr>
          </w:p>
        </w:tc>
        <w:tc>
          <w:tcPr>
            <w:tcW w:w="1117" w:type="dxa"/>
            <w:vMerge w:val="restart"/>
            <w:tcBorders>
              <w:top w:val="single" w:color="auto" w:sz="2" w:space="0"/>
              <w:left w:val="single" w:color="auto" w:sz="2" w:space="0"/>
              <w:bottom w:val="single" w:color="auto" w:sz="2" w:space="0"/>
              <w:right w:val="single" w:color="auto" w:sz="2" w:space="0"/>
            </w:tcBorders>
            <w:vAlign w:val="center"/>
          </w:tcPr>
          <w:p w14:paraId="75CF4696">
            <w:pPr>
              <w:pStyle w:val="348"/>
              <w:rPr>
                <w:color w:val="auto"/>
              </w:rPr>
            </w:pPr>
            <w:r>
              <w:rPr>
                <w:rFonts w:hint="eastAsia"/>
                <w:color w:val="auto"/>
              </w:rPr>
              <w:t>正常排放年均浓度贡献值</w:t>
            </w:r>
          </w:p>
        </w:tc>
        <w:tc>
          <w:tcPr>
            <w:tcW w:w="1269" w:type="dxa"/>
            <w:tcBorders>
              <w:top w:val="single" w:color="auto" w:sz="2" w:space="0"/>
              <w:left w:val="single" w:color="auto" w:sz="2" w:space="0"/>
              <w:bottom w:val="single" w:color="auto" w:sz="2" w:space="0"/>
              <w:right w:val="single" w:color="auto" w:sz="2" w:space="0"/>
            </w:tcBorders>
            <w:vAlign w:val="center"/>
          </w:tcPr>
          <w:p w14:paraId="32423735">
            <w:pPr>
              <w:pStyle w:val="348"/>
              <w:rPr>
                <w:color w:val="auto"/>
              </w:rPr>
            </w:pPr>
            <w:r>
              <w:rPr>
                <w:rFonts w:hint="eastAsia"/>
                <w:color w:val="auto"/>
              </w:rPr>
              <w:t>一类区</w:t>
            </w:r>
          </w:p>
        </w:tc>
        <w:tc>
          <w:tcPr>
            <w:tcW w:w="3303" w:type="dxa"/>
            <w:gridSpan w:val="7"/>
            <w:tcBorders>
              <w:top w:val="single" w:color="auto" w:sz="2" w:space="0"/>
              <w:left w:val="single" w:color="auto" w:sz="2" w:space="0"/>
              <w:bottom w:val="single" w:color="auto" w:sz="2" w:space="0"/>
              <w:right w:val="single" w:color="auto" w:sz="2" w:space="0"/>
            </w:tcBorders>
            <w:vAlign w:val="center"/>
          </w:tcPr>
          <w:p w14:paraId="791C121B">
            <w:pPr>
              <w:pStyle w:val="348"/>
              <w:rPr>
                <w:color w:val="auto"/>
              </w:rPr>
            </w:pPr>
            <w:r>
              <w:rPr>
                <w:rFonts w:hint="eastAsia"/>
                <w:color w:val="auto"/>
              </w:rPr>
              <w:t>C拟建项目最大占标率≤10%□</w:t>
            </w:r>
          </w:p>
        </w:tc>
        <w:tc>
          <w:tcPr>
            <w:tcW w:w="2889" w:type="dxa"/>
            <w:gridSpan w:val="8"/>
            <w:tcBorders>
              <w:top w:val="single" w:color="auto" w:sz="2" w:space="0"/>
              <w:left w:val="single" w:color="auto" w:sz="2" w:space="0"/>
              <w:bottom w:val="single" w:color="auto" w:sz="2" w:space="0"/>
              <w:right w:val="single" w:color="auto" w:sz="2" w:space="0"/>
            </w:tcBorders>
            <w:vAlign w:val="center"/>
          </w:tcPr>
          <w:p w14:paraId="53E1848D">
            <w:pPr>
              <w:pStyle w:val="348"/>
              <w:rPr>
                <w:color w:val="auto"/>
              </w:rPr>
            </w:pPr>
            <w:r>
              <w:rPr>
                <w:rFonts w:hint="eastAsia"/>
                <w:color w:val="auto"/>
              </w:rPr>
              <w:t>C拟建项目最大占标率＞10%□</w:t>
            </w:r>
          </w:p>
        </w:tc>
      </w:tr>
      <w:tr w14:paraId="40095B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08" w:type="dxa"/>
            <w:vMerge w:val="continue"/>
            <w:tcBorders>
              <w:top w:val="single" w:color="auto" w:sz="2" w:space="0"/>
              <w:left w:val="single" w:color="auto" w:sz="2" w:space="0"/>
              <w:bottom w:val="single" w:color="auto" w:sz="2" w:space="0"/>
              <w:right w:val="single" w:color="auto" w:sz="2" w:space="0"/>
            </w:tcBorders>
            <w:vAlign w:val="center"/>
          </w:tcPr>
          <w:p w14:paraId="2B02FC69">
            <w:pPr>
              <w:pStyle w:val="348"/>
              <w:rPr>
                <w:color w:val="auto"/>
              </w:rPr>
            </w:pPr>
          </w:p>
        </w:tc>
        <w:tc>
          <w:tcPr>
            <w:tcW w:w="1117" w:type="dxa"/>
            <w:vMerge w:val="continue"/>
            <w:tcBorders>
              <w:top w:val="single" w:color="auto" w:sz="2" w:space="0"/>
              <w:left w:val="single" w:color="auto" w:sz="2" w:space="0"/>
              <w:bottom w:val="single" w:color="auto" w:sz="2" w:space="0"/>
              <w:right w:val="single" w:color="auto" w:sz="2" w:space="0"/>
            </w:tcBorders>
            <w:vAlign w:val="center"/>
          </w:tcPr>
          <w:p w14:paraId="386A4725">
            <w:pPr>
              <w:pStyle w:val="348"/>
              <w:rPr>
                <w:color w:val="auto"/>
              </w:rPr>
            </w:pPr>
          </w:p>
        </w:tc>
        <w:tc>
          <w:tcPr>
            <w:tcW w:w="1269" w:type="dxa"/>
            <w:tcBorders>
              <w:top w:val="single" w:color="auto" w:sz="2" w:space="0"/>
              <w:left w:val="single" w:color="auto" w:sz="2" w:space="0"/>
              <w:bottom w:val="single" w:color="auto" w:sz="2" w:space="0"/>
              <w:right w:val="single" w:color="auto" w:sz="2" w:space="0"/>
            </w:tcBorders>
            <w:vAlign w:val="center"/>
          </w:tcPr>
          <w:p w14:paraId="5D99C72F">
            <w:pPr>
              <w:pStyle w:val="348"/>
              <w:rPr>
                <w:color w:val="auto"/>
              </w:rPr>
            </w:pPr>
            <w:r>
              <w:rPr>
                <w:rFonts w:hint="eastAsia"/>
                <w:color w:val="auto"/>
              </w:rPr>
              <w:t>二类区</w:t>
            </w:r>
          </w:p>
        </w:tc>
        <w:tc>
          <w:tcPr>
            <w:tcW w:w="3303" w:type="dxa"/>
            <w:gridSpan w:val="7"/>
            <w:tcBorders>
              <w:top w:val="single" w:color="auto" w:sz="2" w:space="0"/>
              <w:left w:val="single" w:color="auto" w:sz="2" w:space="0"/>
              <w:bottom w:val="single" w:color="auto" w:sz="2" w:space="0"/>
              <w:right w:val="single" w:color="auto" w:sz="2" w:space="0"/>
            </w:tcBorders>
            <w:vAlign w:val="center"/>
          </w:tcPr>
          <w:p w14:paraId="39860664">
            <w:pPr>
              <w:pStyle w:val="348"/>
              <w:rPr>
                <w:color w:val="auto"/>
              </w:rPr>
            </w:pPr>
            <w:r>
              <w:rPr>
                <w:rFonts w:hint="eastAsia"/>
                <w:color w:val="auto"/>
              </w:rPr>
              <w:t>C拟建项目最大占标率≤30%□</w:t>
            </w:r>
          </w:p>
        </w:tc>
        <w:tc>
          <w:tcPr>
            <w:tcW w:w="2889" w:type="dxa"/>
            <w:gridSpan w:val="8"/>
            <w:tcBorders>
              <w:top w:val="single" w:color="auto" w:sz="2" w:space="0"/>
              <w:left w:val="single" w:color="auto" w:sz="2" w:space="0"/>
              <w:bottom w:val="single" w:color="auto" w:sz="2" w:space="0"/>
              <w:right w:val="single" w:color="auto" w:sz="2" w:space="0"/>
            </w:tcBorders>
            <w:vAlign w:val="center"/>
          </w:tcPr>
          <w:p w14:paraId="5978A246">
            <w:pPr>
              <w:pStyle w:val="348"/>
              <w:rPr>
                <w:color w:val="auto"/>
              </w:rPr>
            </w:pPr>
            <w:r>
              <w:rPr>
                <w:rFonts w:hint="eastAsia"/>
                <w:color w:val="auto"/>
              </w:rPr>
              <w:t>C拟建项目最大占标率＞30%□</w:t>
            </w:r>
          </w:p>
        </w:tc>
      </w:tr>
      <w:tr w14:paraId="6533CB7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08" w:type="dxa"/>
            <w:vMerge w:val="continue"/>
            <w:tcBorders>
              <w:top w:val="single" w:color="auto" w:sz="2" w:space="0"/>
              <w:left w:val="single" w:color="auto" w:sz="2" w:space="0"/>
              <w:bottom w:val="single" w:color="auto" w:sz="2" w:space="0"/>
              <w:right w:val="single" w:color="auto" w:sz="2" w:space="0"/>
            </w:tcBorders>
            <w:vAlign w:val="center"/>
          </w:tcPr>
          <w:p w14:paraId="38013852">
            <w:pPr>
              <w:pStyle w:val="348"/>
              <w:rPr>
                <w:color w:val="auto"/>
              </w:rPr>
            </w:pPr>
          </w:p>
        </w:tc>
        <w:tc>
          <w:tcPr>
            <w:tcW w:w="1117" w:type="dxa"/>
            <w:tcBorders>
              <w:top w:val="single" w:color="auto" w:sz="2" w:space="0"/>
              <w:left w:val="single" w:color="auto" w:sz="2" w:space="0"/>
              <w:bottom w:val="single" w:color="auto" w:sz="2" w:space="0"/>
              <w:right w:val="single" w:color="auto" w:sz="2" w:space="0"/>
            </w:tcBorders>
            <w:vAlign w:val="center"/>
          </w:tcPr>
          <w:p w14:paraId="49FAAC3D">
            <w:pPr>
              <w:pStyle w:val="348"/>
              <w:rPr>
                <w:color w:val="auto"/>
              </w:rPr>
            </w:pPr>
            <w:r>
              <w:rPr>
                <w:rFonts w:hint="eastAsia"/>
                <w:color w:val="auto"/>
              </w:rPr>
              <w:t>非正常排放1h浓度贡献值</w:t>
            </w:r>
          </w:p>
        </w:tc>
        <w:tc>
          <w:tcPr>
            <w:tcW w:w="2580" w:type="dxa"/>
            <w:gridSpan w:val="4"/>
            <w:tcBorders>
              <w:top w:val="single" w:color="auto" w:sz="2" w:space="0"/>
              <w:left w:val="single" w:color="auto" w:sz="2" w:space="0"/>
              <w:bottom w:val="single" w:color="auto" w:sz="2" w:space="0"/>
              <w:right w:val="single" w:color="auto" w:sz="2" w:space="0"/>
            </w:tcBorders>
            <w:vAlign w:val="center"/>
          </w:tcPr>
          <w:p w14:paraId="7B5A698E">
            <w:pPr>
              <w:pStyle w:val="348"/>
              <w:rPr>
                <w:color w:val="auto"/>
              </w:rPr>
            </w:pPr>
            <w:r>
              <w:rPr>
                <w:rFonts w:hint="eastAsia"/>
                <w:color w:val="auto"/>
              </w:rPr>
              <w:t>非正常持续时间</w:t>
            </w:r>
            <w:r>
              <w:rPr>
                <w:rFonts w:hint="eastAsia"/>
                <w:color w:val="auto"/>
                <w:lang w:eastAsia="zh-CN"/>
              </w:rPr>
              <w:t>（</w:t>
            </w:r>
            <w:r>
              <w:rPr>
                <w:rFonts w:hint="eastAsia"/>
                <w:color w:val="auto"/>
              </w:rPr>
              <w:t xml:space="preserve">  </w:t>
            </w:r>
            <w:r>
              <w:rPr>
                <w:rFonts w:hint="eastAsia"/>
                <w:color w:val="auto"/>
                <w:lang w:eastAsia="zh-CN"/>
              </w:rPr>
              <w:t>）</w:t>
            </w:r>
            <w:r>
              <w:rPr>
                <w:rFonts w:hint="eastAsia"/>
                <w:color w:val="auto"/>
              </w:rPr>
              <w:t>h</w:t>
            </w:r>
          </w:p>
        </w:tc>
        <w:tc>
          <w:tcPr>
            <w:tcW w:w="2280" w:type="dxa"/>
            <w:gridSpan w:val="5"/>
            <w:tcBorders>
              <w:top w:val="single" w:color="auto" w:sz="2" w:space="0"/>
              <w:left w:val="single" w:color="auto" w:sz="2" w:space="0"/>
              <w:bottom w:val="single" w:color="auto" w:sz="2" w:space="0"/>
              <w:right w:val="single" w:color="auto" w:sz="2" w:space="0"/>
            </w:tcBorders>
            <w:vAlign w:val="center"/>
          </w:tcPr>
          <w:p w14:paraId="01342ED2">
            <w:pPr>
              <w:pStyle w:val="348"/>
              <w:rPr>
                <w:color w:val="auto"/>
              </w:rPr>
            </w:pPr>
            <w:r>
              <w:rPr>
                <w:rFonts w:hint="eastAsia"/>
                <w:color w:val="auto"/>
              </w:rPr>
              <w:t>C非正常占标率≤100%□</w:t>
            </w:r>
          </w:p>
        </w:tc>
        <w:tc>
          <w:tcPr>
            <w:tcW w:w="2601" w:type="dxa"/>
            <w:gridSpan w:val="7"/>
            <w:tcBorders>
              <w:top w:val="single" w:color="auto" w:sz="2" w:space="0"/>
              <w:left w:val="single" w:color="auto" w:sz="2" w:space="0"/>
              <w:bottom w:val="single" w:color="auto" w:sz="2" w:space="0"/>
              <w:right w:val="single" w:color="auto" w:sz="2" w:space="0"/>
            </w:tcBorders>
            <w:vAlign w:val="center"/>
          </w:tcPr>
          <w:p w14:paraId="282F5F0D">
            <w:pPr>
              <w:pStyle w:val="348"/>
              <w:rPr>
                <w:color w:val="auto"/>
              </w:rPr>
            </w:pPr>
            <w:r>
              <w:rPr>
                <w:rFonts w:hint="eastAsia"/>
                <w:color w:val="auto"/>
              </w:rPr>
              <w:t>C非正常占标率＞100%□</w:t>
            </w:r>
          </w:p>
        </w:tc>
      </w:tr>
      <w:tr w14:paraId="4ECB515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08" w:type="dxa"/>
            <w:vMerge w:val="continue"/>
            <w:tcBorders>
              <w:top w:val="single" w:color="auto" w:sz="2" w:space="0"/>
              <w:left w:val="single" w:color="auto" w:sz="2" w:space="0"/>
              <w:bottom w:val="single" w:color="auto" w:sz="2" w:space="0"/>
              <w:right w:val="single" w:color="auto" w:sz="2" w:space="0"/>
            </w:tcBorders>
            <w:vAlign w:val="center"/>
          </w:tcPr>
          <w:p w14:paraId="1D6553FA">
            <w:pPr>
              <w:pStyle w:val="348"/>
              <w:rPr>
                <w:color w:val="auto"/>
              </w:rPr>
            </w:pPr>
          </w:p>
        </w:tc>
        <w:tc>
          <w:tcPr>
            <w:tcW w:w="1117" w:type="dxa"/>
            <w:tcBorders>
              <w:top w:val="single" w:color="auto" w:sz="2" w:space="0"/>
              <w:left w:val="single" w:color="auto" w:sz="2" w:space="0"/>
              <w:bottom w:val="single" w:color="auto" w:sz="2" w:space="0"/>
              <w:right w:val="single" w:color="auto" w:sz="2" w:space="0"/>
            </w:tcBorders>
            <w:vAlign w:val="center"/>
          </w:tcPr>
          <w:p w14:paraId="10288A2E">
            <w:pPr>
              <w:pStyle w:val="348"/>
              <w:rPr>
                <w:color w:val="auto"/>
              </w:rPr>
            </w:pPr>
            <w:r>
              <w:rPr>
                <w:rFonts w:hint="eastAsia"/>
                <w:color w:val="auto"/>
              </w:rPr>
              <w:t>保证率日平均浓度和年平均浓度叠加值</w:t>
            </w:r>
          </w:p>
        </w:tc>
        <w:tc>
          <w:tcPr>
            <w:tcW w:w="4138" w:type="dxa"/>
            <w:gridSpan w:val="7"/>
            <w:tcBorders>
              <w:top w:val="single" w:color="auto" w:sz="2" w:space="0"/>
              <w:left w:val="single" w:color="auto" w:sz="2" w:space="0"/>
              <w:bottom w:val="single" w:color="auto" w:sz="2" w:space="0"/>
              <w:right w:val="single" w:color="auto" w:sz="2" w:space="0"/>
            </w:tcBorders>
            <w:vAlign w:val="center"/>
          </w:tcPr>
          <w:p w14:paraId="182E76A0">
            <w:pPr>
              <w:pStyle w:val="348"/>
              <w:rPr>
                <w:color w:val="auto"/>
              </w:rPr>
            </w:pPr>
            <w:r>
              <w:rPr>
                <w:rFonts w:hint="eastAsia"/>
                <w:color w:val="auto"/>
              </w:rPr>
              <w:t>C叠加达标□</w:t>
            </w:r>
          </w:p>
        </w:tc>
        <w:tc>
          <w:tcPr>
            <w:tcW w:w="3323" w:type="dxa"/>
            <w:gridSpan w:val="9"/>
            <w:tcBorders>
              <w:top w:val="single" w:color="auto" w:sz="2" w:space="0"/>
              <w:left w:val="single" w:color="auto" w:sz="2" w:space="0"/>
              <w:bottom w:val="single" w:color="auto" w:sz="2" w:space="0"/>
              <w:right w:val="single" w:color="auto" w:sz="2" w:space="0"/>
            </w:tcBorders>
            <w:vAlign w:val="center"/>
          </w:tcPr>
          <w:p w14:paraId="28775B3E">
            <w:pPr>
              <w:pStyle w:val="348"/>
              <w:rPr>
                <w:color w:val="auto"/>
              </w:rPr>
            </w:pPr>
            <w:r>
              <w:rPr>
                <w:rFonts w:hint="eastAsia"/>
                <w:color w:val="auto"/>
              </w:rPr>
              <w:t>C叠加不达标□</w:t>
            </w:r>
          </w:p>
        </w:tc>
      </w:tr>
      <w:tr w14:paraId="1AE296B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08" w:type="dxa"/>
            <w:vMerge w:val="continue"/>
            <w:tcBorders>
              <w:top w:val="single" w:color="auto" w:sz="2" w:space="0"/>
              <w:left w:val="single" w:color="auto" w:sz="2" w:space="0"/>
              <w:bottom w:val="single" w:color="auto" w:sz="2" w:space="0"/>
              <w:right w:val="single" w:color="auto" w:sz="2" w:space="0"/>
            </w:tcBorders>
            <w:vAlign w:val="center"/>
          </w:tcPr>
          <w:p w14:paraId="19BCA713">
            <w:pPr>
              <w:pStyle w:val="348"/>
              <w:rPr>
                <w:color w:val="auto"/>
              </w:rPr>
            </w:pPr>
          </w:p>
        </w:tc>
        <w:tc>
          <w:tcPr>
            <w:tcW w:w="1117" w:type="dxa"/>
            <w:tcBorders>
              <w:top w:val="single" w:color="auto" w:sz="2" w:space="0"/>
              <w:left w:val="single" w:color="auto" w:sz="2" w:space="0"/>
              <w:bottom w:val="single" w:color="auto" w:sz="2" w:space="0"/>
              <w:right w:val="single" w:color="auto" w:sz="2" w:space="0"/>
            </w:tcBorders>
            <w:vAlign w:val="center"/>
          </w:tcPr>
          <w:p w14:paraId="4BC8EFE1">
            <w:pPr>
              <w:pStyle w:val="348"/>
              <w:rPr>
                <w:color w:val="auto"/>
              </w:rPr>
            </w:pPr>
            <w:r>
              <w:rPr>
                <w:rFonts w:hint="eastAsia"/>
                <w:color w:val="auto"/>
              </w:rPr>
              <w:t>区域环境质量的整体变化情况</w:t>
            </w:r>
          </w:p>
        </w:tc>
        <w:tc>
          <w:tcPr>
            <w:tcW w:w="4138" w:type="dxa"/>
            <w:gridSpan w:val="7"/>
            <w:tcBorders>
              <w:top w:val="single" w:color="auto" w:sz="2" w:space="0"/>
              <w:left w:val="single" w:color="auto" w:sz="2" w:space="0"/>
              <w:bottom w:val="single" w:color="auto" w:sz="2" w:space="0"/>
              <w:right w:val="single" w:color="auto" w:sz="2" w:space="0"/>
            </w:tcBorders>
            <w:vAlign w:val="center"/>
          </w:tcPr>
          <w:p w14:paraId="7AF4B4FA">
            <w:pPr>
              <w:pStyle w:val="348"/>
              <w:rPr>
                <w:color w:val="auto"/>
              </w:rPr>
            </w:pPr>
            <w:r>
              <w:rPr>
                <w:rFonts w:hint="eastAsia"/>
                <w:color w:val="auto"/>
              </w:rPr>
              <w:t>k≤—20%□</w:t>
            </w:r>
          </w:p>
        </w:tc>
        <w:tc>
          <w:tcPr>
            <w:tcW w:w="3323" w:type="dxa"/>
            <w:gridSpan w:val="9"/>
            <w:tcBorders>
              <w:top w:val="single" w:color="auto" w:sz="2" w:space="0"/>
              <w:left w:val="single" w:color="auto" w:sz="2" w:space="0"/>
              <w:bottom w:val="single" w:color="auto" w:sz="2" w:space="0"/>
              <w:right w:val="single" w:color="auto" w:sz="2" w:space="0"/>
            </w:tcBorders>
            <w:vAlign w:val="center"/>
          </w:tcPr>
          <w:p w14:paraId="738E510C">
            <w:pPr>
              <w:pStyle w:val="348"/>
              <w:rPr>
                <w:color w:val="auto"/>
              </w:rPr>
            </w:pPr>
            <w:r>
              <w:rPr>
                <w:rFonts w:hint="eastAsia"/>
                <w:color w:val="auto"/>
              </w:rPr>
              <w:t>k＞—20%□</w:t>
            </w:r>
          </w:p>
        </w:tc>
      </w:tr>
      <w:tr w14:paraId="2C6B5A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08" w:type="dxa"/>
            <w:vMerge w:val="restart"/>
            <w:tcBorders>
              <w:top w:val="single" w:color="auto" w:sz="2" w:space="0"/>
              <w:left w:val="single" w:color="auto" w:sz="2" w:space="0"/>
              <w:bottom w:val="single" w:color="auto" w:sz="2" w:space="0"/>
              <w:right w:val="single" w:color="auto" w:sz="2" w:space="0"/>
            </w:tcBorders>
            <w:vAlign w:val="center"/>
          </w:tcPr>
          <w:p w14:paraId="5EB2D8E5">
            <w:pPr>
              <w:pStyle w:val="348"/>
              <w:rPr>
                <w:color w:val="auto"/>
              </w:rPr>
            </w:pPr>
            <w:r>
              <w:rPr>
                <w:rFonts w:hint="eastAsia"/>
                <w:color w:val="auto"/>
              </w:rPr>
              <w:t>环境监测计划</w:t>
            </w:r>
          </w:p>
        </w:tc>
        <w:tc>
          <w:tcPr>
            <w:tcW w:w="1117" w:type="dxa"/>
            <w:tcBorders>
              <w:top w:val="single" w:color="auto" w:sz="2" w:space="0"/>
              <w:left w:val="single" w:color="auto" w:sz="2" w:space="0"/>
              <w:bottom w:val="single" w:color="auto" w:sz="2" w:space="0"/>
              <w:right w:val="single" w:color="auto" w:sz="2" w:space="0"/>
            </w:tcBorders>
            <w:vAlign w:val="center"/>
          </w:tcPr>
          <w:p w14:paraId="285AE21E">
            <w:pPr>
              <w:pStyle w:val="348"/>
              <w:rPr>
                <w:color w:val="auto"/>
              </w:rPr>
            </w:pPr>
            <w:r>
              <w:rPr>
                <w:rFonts w:hint="eastAsia"/>
                <w:color w:val="auto"/>
              </w:rPr>
              <w:t>污染源测</w:t>
            </w:r>
          </w:p>
        </w:tc>
        <w:tc>
          <w:tcPr>
            <w:tcW w:w="2580" w:type="dxa"/>
            <w:gridSpan w:val="4"/>
            <w:tcBorders>
              <w:top w:val="single" w:color="auto" w:sz="2" w:space="0"/>
              <w:left w:val="single" w:color="auto" w:sz="2" w:space="0"/>
              <w:bottom w:val="single" w:color="auto" w:sz="2" w:space="0"/>
              <w:right w:val="single" w:color="auto" w:sz="2" w:space="0"/>
            </w:tcBorders>
            <w:vAlign w:val="center"/>
          </w:tcPr>
          <w:p w14:paraId="45E283A7">
            <w:pPr>
              <w:pStyle w:val="348"/>
              <w:rPr>
                <w:color w:val="auto"/>
              </w:rPr>
            </w:pPr>
            <w:r>
              <w:rPr>
                <w:rFonts w:hint="eastAsia"/>
                <w:color w:val="auto"/>
              </w:rPr>
              <w:t>监测因子：</w:t>
            </w:r>
            <w:r>
              <w:rPr>
                <w:rFonts w:hint="eastAsia"/>
                <w:color w:val="auto"/>
                <w:lang w:eastAsia="zh-CN"/>
              </w:rPr>
              <w:t>（</w:t>
            </w:r>
            <w:r>
              <w:rPr>
                <w:rFonts w:hint="eastAsia"/>
                <w:color w:val="auto"/>
              </w:rPr>
              <w:t>硫化氢、氨气、臭气浓度、非甲烷总烃</w:t>
            </w:r>
            <w:r>
              <w:rPr>
                <w:rFonts w:hint="eastAsia"/>
                <w:color w:val="auto"/>
                <w:lang w:eastAsia="zh-CN"/>
              </w:rPr>
              <w:t>）</w:t>
            </w:r>
          </w:p>
        </w:tc>
        <w:tc>
          <w:tcPr>
            <w:tcW w:w="3177" w:type="dxa"/>
            <w:gridSpan w:val="7"/>
            <w:tcBorders>
              <w:top w:val="single" w:color="auto" w:sz="2" w:space="0"/>
              <w:left w:val="single" w:color="auto" w:sz="2" w:space="0"/>
              <w:bottom w:val="single" w:color="auto" w:sz="2" w:space="0"/>
              <w:right w:val="single" w:color="auto" w:sz="2" w:space="0"/>
            </w:tcBorders>
            <w:vAlign w:val="center"/>
          </w:tcPr>
          <w:p w14:paraId="0808C9DA">
            <w:pPr>
              <w:pStyle w:val="348"/>
              <w:rPr>
                <w:color w:val="auto"/>
              </w:rPr>
            </w:pPr>
            <w:r>
              <w:rPr>
                <w:rFonts w:hint="eastAsia"/>
                <w:color w:val="auto"/>
              </w:rPr>
              <w:t>有组织废气监测</w:t>
            </w:r>
            <w:r>
              <w:rPr>
                <w:rFonts w:hint="eastAsia" w:ascii="Segoe UI Symbol" w:hAnsi="Segoe UI Symbol" w:cs="Segoe UI Symbol"/>
                <w:color w:val="auto"/>
              </w:rPr>
              <w:t>☑</w:t>
            </w:r>
          </w:p>
          <w:p w14:paraId="0AECB9ED">
            <w:pPr>
              <w:pStyle w:val="348"/>
              <w:rPr>
                <w:color w:val="auto"/>
              </w:rPr>
            </w:pPr>
            <w:r>
              <w:rPr>
                <w:rFonts w:hint="eastAsia"/>
                <w:color w:val="auto"/>
              </w:rPr>
              <w:t>无组织废气监测</w:t>
            </w:r>
            <w:r>
              <w:rPr>
                <w:rFonts w:hint="eastAsia" w:ascii="Segoe UI Symbol" w:hAnsi="Segoe UI Symbol" w:cs="Segoe UI Symbol"/>
                <w:color w:val="auto"/>
              </w:rPr>
              <w:t>☑</w:t>
            </w:r>
          </w:p>
        </w:tc>
        <w:tc>
          <w:tcPr>
            <w:tcW w:w="1704" w:type="dxa"/>
            <w:gridSpan w:val="5"/>
            <w:tcBorders>
              <w:top w:val="single" w:color="auto" w:sz="2" w:space="0"/>
              <w:left w:val="single" w:color="auto" w:sz="2" w:space="0"/>
              <w:bottom w:val="single" w:color="auto" w:sz="2" w:space="0"/>
              <w:right w:val="single" w:color="auto" w:sz="2" w:space="0"/>
            </w:tcBorders>
            <w:vAlign w:val="center"/>
          </w:tcPr>
          <w:p w14:paraId="0A0BD810">
            <w:pPr>
              <w:pStyle w:val="348"/>
              <w:rPr>
                <w:color w:val="auto"/>
              </w:rPr>
            </w:pPr>
            <w:r>
              <w:rPr>
                <w:rFonts w:hint="eastAsia"/>
                <w:color w:val="auto"/>
              </w:rPr>
              <w:t>无监测□</w:t>
            </w:r>
          </w:p>
        </w:tc>
      </w:tr>
      <w:tr w14:paraId="07CC11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08" w:type="dxa"/>
            <w:vMerge w:val="continue"/>
            <w:tcBorders>
              <w:top w:val="single" w:color="auto" w:sz="2" w:space="0"/>
              <w:left w:val="single" w:color="auto" w:sz="2" w:space="0"/>
              <w:bottom w:val="single" w:color="auto" w:sz="2" w:space="0"/>
              <w:right w:val="single" w:color="auto" w:sz="2" w:space="0"/>
            </w:tcBorders>
            <w:vAlign w:val="center"/>
          </w:tcPr>
          <w:p w14:paraId="51E487A9">
            <w:pPr>
              <w:pStyle w:val="348"/>
              <w:rPr>
                <w:color w:val="auto"/>
              </w:rPr>
            </w:pPr>
          </w:p>
        </w:tc>
        <w:tc>
          <w:tcPr>
            <w:tcW w:w="1117" w:type="dxa"/>
            <w:tcBorders>
              <w:top w:val="single" w:color="auto" w:sz="2" w:space="0"/>
              <w:left w:val="single" w:color="auto" w:sz="2" w:space="0"/>
              <w:bottom w:val="single" w:color="auto" w:sz="2" w:space="0"/>
              <w:right w:val="single" w:color="auto" w:sz="2" w:space="0"/>
            </w:tcBorders>
            <w:vAlign w:val="center"/>
          </w:tcPr>
          <w:p w14:paraId="24CBB411">
            <w:pPr>
              <w:pStyle w:val="348"/>
              <w:rPr>
                <w:color w:val="auto"/>
              </w:rPr>
            </w:pPr>
            <w:r>
              <w:rPr>
                <w:rFonts w:hint="eastAsia"/>
                <w:color w:val="auto"/>
              </w:rPr>
              <w:t>环境质量监测</w:t>
            </w:r>
          </w:p>
        </w:tc>
        <w:tc>
          <w:tcPr>
            <w:tcW w:w="2580" w:type="dxa"/>
            <w:gridSpan w:val="4"/>
            <w:tcBorders>
              <w:top w:val="single" w:color="auto" w:sz="2" w:space="0"/>
              <w:left w:val="single" w:color="auto" w:sz="2" w:space="0"/>
              <w:bottom w:val="single" w:color="auto" w:sz="2" w:space="0"/>
              <w:right w:val="single" w:color="auto" w:sz="2" w:space="0"/>
            </w:tcBorders>
            <w:vAlign w:val="center"/>
          </w:tcPr>
          <w:p w14:paraId="52048077">
            <w:pPr>
              <w:pStyle w:val="348"/>
              <w:rPr>
                <w:color w:val="auto"/>
              </w:rPr>
            </w:pPr>
            <w:r>
              <w:rPr>
                <w:rFonts w:hint="eastAsia"/>
                <w:color w:val="auto"/>
              </w:rPr>
              <w:t xml:space="preserve">监测因子：(   </w:t>
            </w:r>
            <w:r>
              <w:rPr>
                <w:rFonts w:hint="eastAsia"/>
                <w:color w:val="auto"/>
                <w:lang w:eastAsia="zh-CN"/>
              </w:rPr>
              <w:t>）</w:t>
            </w:r>
          </w:p>
        </w:tc>
        <w:tc>
          <w:tcPr>
            <w:tcW w:w="3177" w:type="dxa"/>
            <w:gridSpan w:val="7"/>
            <w:tcBorders>
              <w:top w:val="single" w:color="auto" w:sz="2" w:space="0"/>
              <w:left w:val="single" w:color="auto" w:sz="2" w:space="0"/>
              <w:bottom w:val="single" w:color="auto" w:sz="2" w:space="0"/>
              <w:right w:val="single" w:color="auto" w:sz="2" w:space="0"/>
            </w:tcBorders>
            <w:vAlign w:val="center"/>
          </w:tcPr>
          <w:p w14:paraId="6D7E57E9">
            <w:pPr>
              <w:pStyle w:val="348"/>
              <w:rPr>
                <w:color w:val="auto"/>
              </w:rPr>
            </w:pPr>
            <w:r>
              <w:rPr>
                <w:rFonts w:hint="eastAsia"/>
                <w:color w:val="auto"/>
              </w:rPr>
              <w:t>监测点数</w:t>
            </w:r>
            <w:r>
              <w:rPr>
                <w:rFonts w:hint="eastAsia"/>
                <w:color w:val="auto"/>
                <w:lang w:eastAsia="zh-CN"/>
              </w:rPr>
              <w:t>（</w:t>
            </w:r>
            <w:r>
              <w:rPr>
                <w:rFonts w:hint="eastAsia"/>
                <w:color w:val="auto"/>
              </w:rPr>
              <w:t xml:space="preserve">   </w:t>
            </w:r>
            <w:r>
              <w:rPr>
                <w:rFonts w:hint="eastAsia"/>
                <w:color w:val="auto"/>
                <w:lang w:eastAsia="zh-CN"/>
              </w:rPr>
              <w:t>）</w:t>
            </w:r>
          </w:p>
        </w:tc>
        <w:tc>
          <w:tcPr>
            <w:tcW w:w="1704" w:type="dxa"/>
            <w:gridSpan w:val="5"/>
            <w:tcBorders>
              <w:top w:val="single" w:color="auto" w:sz="2" w:space="0"/>
              <w:left w:val="single" w:color="auto" w:sz="2" w:space="0"/>
              <w:bottom w:val="single" w:color="auto" w:sz="2" w:space="0"/>
              <w:right w:val="single" w:color="auto" w:sz="2" w:space="0"/>
            </w:tcBorders>
            <w:vAlign w:val="center"/>
          </w:tcPr>
          <w:p w14:paraId="3ACCDF10">
            <w:pPr>
              <w:pStyle w:val="348"/>
              <w:rPr>
                <w:color w:val="auto"/>
              </w:rPr>
            </w:pPr>
            <w:r>
              <w:rPr>
                <w:rFonts w:hint="eastAsia"/>
                <w:color w:val="auto"/>
              </w:rPr>
              <w:t>无监测</w:t>
            </w:r>
            <w:r>
              <w:rPr>
                <w:rFonts w:hint="eastAsia" w:ascii="Segoe UI Symbol" w:hAnsi="Segoe UI Symbol" w:cs="Segoe UI Symbol"/>
                <w:color w:val="auto"/>
              </w:rPr>
              <w:t>☑</w:t>
            </w:r>
          </w:p>
        </w:tc>
      </w:tr>
      <w:tr w14:paraId="365363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08" w:type="dxa"/>
            <w:vMerge w:val="restart"/>
            <w:tcBorders>
              <w:top w:val="single" w:color="auto" w:sz="2" w:space="0"/>
              <w:left w:val="single" w:color="auto" w:sz="2" w:space="0"/>
              <w:bottom w:val="single" w:color="auto" w:sz="2" w:space="0"/>
              <w:right w:val="single" w:color="auto" w:sz="2" w:space="0"/>
            </w:tcBorders>
            <w:vAlign w:val="center"/>
          </w:tcPr>
          <w:p w14:paraId="2FBE42A8">
            <w:pPr>
              <w:pStyle w:val="348"/>
              <w:rPr>
                <w:color w:val="auto"/>
              </w:rPr>
            </w:pPr>
            <w:r>
              <w:rPr>
                <w:rFonts w:hint="eastAsia"/>
                <w:color w:val="auto"/>
              </w:rPr>
              <w:t>评价结论</w:t>
            </w:r>
          </w:p>
        </w:tc>
        <w:tc>
          <w:tcPr>
            <w:tcW w:w="1117" w:type="dxa"/>
            <w:tcBorders>
              <w:top w:val="single" w:color="auto" w:sz="2" w:space="0"/>
              <w:left w:val="single" w:color="auto" w:sz="2" w:space="0"/>
              <w:bottom w:val="single" w:color="auto" w:sz="2" w:space="0"/>
              <w:right w:val="single" w:color="auto" w:sz="2" w:space="0"/>
            </w:tcBorders>
            <w:vAlign w:val="center"/>
          </w:tcPr>
          <w:p w14:paraId="5ACB3C51">
            <w:pPr>
              <w:pStyle w:val="348"/>
              <w:rPr>
                <w:color w:val="auto"/>
              </w:rPr>
            </w:pPr>
            <w:r>
              <w:rPr>
                <w:rFonts w:hint="eastAsia"/>
                <w:color w:val="auto"/>
              </w:rPr>
              <w:t>环境影响</w:t>
            </w:r>
          </w:p>
        </w:tc>
        <w:tc>
          <w:tcPr>
            <w:tcW w:w="7461" w:type="dxa"/>
            <w:gridSpan w:val="16"/>
            <w:tcBorders>
              <w:top w:val="single" w:color="auto" w:sz="2" w:space="0"/>
              <w:left w:val="single" w:color="auto" w:sz="2" w:space="0"/>
              <w:bottom w:val="single" w:color="auto" w:sz="2" w:space="0"/>
              <w:right w:val="single" w:color="auto" w:sz="2" w:space="0"/>
            </w:tcBorders>
            <w:vAlign w:val="center"/>
          </w:tcPr>
          <w:p w14:paraId="1755DA23">
            <w:pPr>
              <w:pStyle w:val="348"/>
              <w:rPr>
                <w:color w:val="auto"/>
              </w:rPr>
            </w:pPr>
            <w:r>
              <w:rPr>
                <w:rFonts w:hint="eastAsia"/>
                <w:color w:val="auto"/>
              </w:rPr>
              <w:t>可以接受</w:t>
            </w:r>
            <w:r>
              <w:rPr>
                <w:rFonts w:hint="eastAsia" w:ascii="Segoe UI Symbol" w:hAnsi="Segoe UI Symbol" w:cs="Segoe UI Symbol"/>
                <w:color w:val="auto"/>
              </w:rPr>
              <w:t>☑</w:t>
            </w:r>
            <w:r>
              <w:rPr>
                <w:rFonts w:hint="eastAsia"/>
                <w:color w:val="auto"/>
              </w:rPr>
              <w:t>不可以接受□</w:t>
            </w:r>
          </w:p>
        </w:tc>
      </w:tr>
      <w:tr w14:paraId="5703A44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08" w:type="dxa"/>
            <w:vMerge w:val="continue"/>
            <w:tcBorders>
              <w:top w:val="single" w:color="auto" w:sz="2" w:space="0"/>
              <w:left w:val="single" w:color="auto" w:sz="2" w:space="0"/>
              <w:bottom w:val="single" w:color="auto" w:sz="2" w:space="0"/>
              <w:right w:val="single" w:color="auto" w:sz="2" w:space="0"/>
            </w:tcBorders>
            <w:vAlign w:val="center"/>
          </w:tcPr>
          <w:p w14:paraId="1D2C9AC7">
            <w:pPr>
              <w:pStyle w:val="348"/>
              <w:rPr>
                <w:color w:val="auto"/>
              </w:rPr>
            </w:pPr>
          </w:p>
        </w:tc>
        <w:tc>
          <w:tcPr>
            <w:tcW w:w="1117" w:type="dxa"/>
            <w:tcBorders>
              <w:top w:val="single" w:color="auto" w:sz="2" w:space="0"/>
              <w:left w:val="single" w:color="auto" w:sz="2" w:space="0"/>
              <w:bottom w:val="single" w:color="auto" w:sz="2" w:space="0"/>
              <w:right w:val="single" w:color="auto" w:sz="2" w:space="0"/>
            </w:tcBorders>
            <w:vAlign w:val="center"/>
          </w:tcPr>
          <w:p w14:paraId="337DB592">
            <w:pPr>
              <w:pStyle w:val="348"/>
              <w:rPr>
                <w:color w:val="auto"/>
              </w:rPr>
            </w:pPr>
            <w:r>
              <w:rPr>
                <w:rFonts w:hint="eastAsia"/>
                <w:color w:val="auto"/>
              </w:rPr>
              <w:t>大气环境</w:t>
            </w:r>
          </w:p>
          <w:p w14:paraId="5C2810DC">
            <w:pPr>
              <w:pStyle w:val="348"/>
              <w:rPr>
                <w:color w:val="auto"/>
              </w:rPr>
            </w:pPr>
            <w:r>
              <w:rPr>
                <w:rFonts w:hint="eastAsia"/>
                <w:color w:val="auto"/>
              </w:rPr>
              <w:t>防护距离</w:t>
            </w:r>
          </w:p>
        </w:tc>
        <w:tc>
          <w:tcPr>
            <w:tcW w:w="7461" w:type="dxa"/>
            <w:gridSpan w:val="16"/>
            <w:tcBorders>
              <w:top w:val="single" w:color="auto" w:sz="2" w:space="0"/>
              <w:left w:val="single" w:color="auto" w:sz="2" w:space="0"/>
              <w:bottom w:val="single" w:color="auto" w:sz="2" w:space="0"/>
              <w:right w:val="single" w:color="auto" w:sz="2" w:space="0"/>
            </w:tcBorders>
            <w:vAlign w:val="center"/>
          </w:tcPr>
          <w:p w14:paraId="3A341CCF">
            <w:pPr>
              <w:pStyle w:val="348"/>
              <w:rPr>
                <w:color w:val="auto"/>
              </w:rPr>
            </w:pPr>
            <w:r>
              <w:rPr>
                <w:rFonts w:hint="eastAsia"/>
                <w:color w:val="auto"/>
              </w:rPr>
              <w:t>距</w:t>
            </w:r>
            <w:r>
              <w:rPr>
                <w:rFonts w:hint="eastAsia"/>
                <w:color w:val="auto"/>
                <w:lang w:eastAsia="zh-CN"/>
              </w:rPr>
              <w:t>（</w:t>
            </w:r>
            <w:r>
              <w:rPr>
                <w:rFonts w:hint="eastAsia"/>
                <w:color w:val="auto"/>
              </w:rPr>
              <w:t xml:space="preserve">    </w:t>
            </w:r>
            <w:r>
              <w:rPr>
                <w:rFonts w:hint="eastAsia"/>
                <w:color w:val="auto"/>
                <w:lang w:eastAsia="zh-CN"/>
              </w:rPr>
              <w:t>）</w:t>
            </w:r>
            <w:r>
              <w:rPr>
                <w:rFonts w:hint="eastAsia"/>
                <w:color w:val="auto"/>
              </w:rPr>
              <w:t>厂界最远</w:t>
            </w:r>
            <w:r>
              <w:rPr>
                <w:rFonts w:hint="eastAsia"/>
                <w:color w:val="auto"/>
                <w:lang w:eastAsia="zh-CN"/>
              </w:rPr>
              <w:t>（</w:t>
            </w:r>
            <w:r>
              <w:rPr>
                <w:rFonts w:hint="eastAsia"/>
                <w:color w:val="auto"/>
              </w:rPr>
              <w:t xml:space="preserve">    </w:t>
            </w:r>
            <w:r>
              <w:rPr>
                <w:rFonts w:hint="eastAsia"/>
                <w:color w:val="auto"/>
                <w:lang w:eastAsia="zh-CN"/>
              </w:rPr>
              <w:t>）</w:t>
            </w:r>
            <w:r>
              <w:rPr>
                <w:rFonts w:hint="eastAsia"/>
                <w:color w:val="auto"/>
              </w:rPr>
              <w:t>m</w:t>
            </w:r>
          </w:p>
        </w:tc>
      </w:tr>
      <w:tr w14:paraId="16CE163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08" w:type="dxa"/>
            <w:vMerge w:val="continue"/>
            <w:tcBorders>
              <w:top w:val="single" w:color="auto" w:sz="2" w:space="0"/>
              <w:left w:val="single" w:color="auto" w:sz="2" w:space="0"/>
              <w:bottom w:val="single" w:color="auto" w:sz="2" w:space="0"/>
              <w:right w:val="single" w:color="auto" w:sz="2" w:space="0"/>
            </w:tcBorders>
            <w:vAlign w:val="center"/>
          </w:tcPr>
          <w:p w14:paraId="70ED8751">
            <w:pPr>
              <w:pStyle w:val="348"/>
              <w:rPr>
                <w:color w:val="auto"/>
              </w:rPr>
            </w:pPr>
          </w:p>
        </w:tc>
        <w:tc>
          <w:tcPr>
            <w:tcW w:w="1117" w:type="dxa"/>
            <w:tcBorders>
              <w:top w:val="single" w:color="auto" w:sz="2" w:space="0"/>
              <w:left w:val="single" w:color="auto" w:sz="2" w:space="0"/>
              <w:bottom w:val="single" w:color="auto" w:sz="2" w:space="0"/>
              <w:right w:val="single" w:color="auto" w:sz="2" w:space="0"/>
            </w:tcBorders>
            <w:vAlign w:val="center"/>
          </w:tcPr>
          <w:p w14:paraId="40E47F29">
            <w:pPr>
              <w:pStyle w:val="348"/>
              <w:rPr>
                <w:color w:val="auto"/>
              </w:rPr>
            </w:pPr>
            <w:r>
              <w:rPr>
                <w:rFonts w:hint="eastAsia"/>
                <w:color w:val="auto"/>
              </w:rPr>
              <w:t>污染年排放量</w:t>
            </w:r>
          </w:p>
        </w:tc>
        <w:tc>
          <w:tcPr>
            <w:tcW w:w="7461" w:type="dxa"/>
            <w:gridSpan w:val="16"/>
            <w:tcBorders>
              <w:top w:val="single" w:color="auto" w:sz="2" w:space="0"/>
              <w:left w:val="single" w:color="auto" w:sz="2" w:space="0"/>
              <w:bottom w:val="single" w:color="auto" w:sz="2" w:space="0"/>
              <w:right w:val="single" w:color="auto" w:sz="2" w:space="0"/>
            </w:tcBorders>
            <w:vAlign w:val="center"/>
          </w:tcPr>
          <w:p w14:paraId="79772DB8">
            <w:pPr>
              <w:pStyle w:val="348"/>
              <w:rPr>
                <w:color w:val="auto"/>
              </w:rPr>
            </w:pPr>
            <w:r>
              <w:rPr>
                <w:rFonts w:hint="eastAsia"/>
                <w:color w:val="auto"/>
              </w:rPr>
              <w:t>氨气：0.0037t/a；硫化氢：0.004t/a；非甲烷总烃：0.238t/a</w:t>
            </w:r>
          </w:p>
        </w:tc>
      </w:tr>
      <w:tr w14:paraId="2BFE49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286" w:type="dxa"/>
            <w:gridSpan w:val="18"/>
            <w:tcBorders>
              <w:top w:val="single" w:color="auto" w:sz="2" w:space="0"/>
              <w:left w:val="single" w:color="auto" w:sz="2" w:space="0"/>
              <w:bottom w:val="single" w:color="auto" w:sz="2" w:space="0"/>
              <w:right w:val="single" w:color="auto" w:sz="2" w:space="0"/>
            </w:tcBorders>
            <w:vAlign w:val="center"/>
          </w:tcPr>
          <w:p w14:paraId="51FB533D">
            <w:pPr>
              <w:pStyle w:val="348"/>
              <w:rPr>
                <w:color w:val="auto"/>
              </w:rPr>
            </w:pPr>
            <w:r>
              <w:rPr>
                <w:rFonts w:hint="eastAsia"/>
                <w:color w:val="auto"/>
              </w:rPr>
              <w:t>注：“□”为勾选项，填“</w:t>
            </w:r>
            <w:r>
              <w:rPr>
                <w:rFonts w:hint="eastAsia" w:ascii="Segoe UI Symbol" w:hAnsi="Segoe UI Symbol" w:cs="Segoe UI Symbol"/>
                <w:color w:val="auto"/>
              </w:rPr>
              <w:t>✔</w:t>
            </w:r>
            <w:r>
              <w:rPr>
                <w:rFonts w:hint="eastAsia"/>
                <w:color w:val="auto"/>
              </w:rPr>
              <w:t>”；“</w:t>
            </w:r>
            <w:r>
              <w:rPr>
                <w:rFonts w:hint="eastAsia"/>
                <w:color w:val="auto"/>
                <w:lang w:eastAsia="zh-CN"/>
              </w:rPr>
              <w:t>（</w:t>
            </w:r>
            <w:r>
              <w:rPr>
                <w:rFonts w:hint="eastAsia"/>
                <w:color w:val="auto"/>
              </w:rPr>
              <w:t xml:space="preserve">  </w:t>
            </w:r>
            <w:r>
              <w:rPr>
                <w:rFonts w:hint="eastAsia"/>
                <w:color w:val="auto"/>
                <w:lang w:eastAsia="zh-CN"/>
              </w:rPr>
              <w:t>）</w:t>
            </w:r>
            <w:r>
              <w:rPr>
                <w:rFonts w:hint="eastAsia"/>
                <w:color w:val="auto"/>
              </w:rPr>
              <w:t>”为内容填写项。</w:t>
            </w:r>
          </w:p>
        </w:tc>
      </w:tr>
    </w:tbl>
    <w:p w14:paraId="1932592D">
      <w:pPr>
        <w:ind w:firstLine="480"/>
        <w:rPr>
          <w:color w:val="auto"/>
          <w:lang w:val="zh-CN"/>
        </w:rPr>
      </w:pPr>
      <w:bookmarkStart w:id="248" w:name="_Toc460866646"/>
    </w:p>
    <w:p w14:paraId="3A065EE3">
      <w:pPr>
        <w:pStyle w:val="4"/>
        <w:numPr>
          <w:ilvl w:val="0"/>
          <w:numId w:val="0"/>
        </w:numPr>
        <w:spacing w:line="360" w:lineRule="auto"/>
        <w:rPr>
          <w:color w:val="auto"/>
          <w:szCs w:val="24"/>
        </w:rPr>
        <w:sectPr>
          <w:pgSz w:w="11906" w:h="16838"/>
          <w:pgMar w:top="1418" w:right="1418" w:bottom="1418" w:left="1418" w:header="851" w:footer="992" w:gutter="0"/>
          <w:pgBorders>
            <w:top w:val="none" w:sz="0" w:space="0"/>
            <w:left w:val="none" w:sz="0" w:space="0"/>
            <w:bottom w:val="none" w:sz="0" w:space="0"/>
            <w:right w:val="none" w:sz="0" w:space="0"/>
          </w:pgBorders>
          <w:cols w:space="425" w:num="1"/>
          <w:docGrid w:linePitch="312" w:charSpace="0"/>
        </w:sectPr>
      </w:pPr>
    </w:p>
    <w:p w14:paraId="4046A7AE">
      <w:pPr>
        <w:pStyle w:val="4"/>
        <w:numPr>
          <w:ilvl w:val="0"/>
          <w:numId w:val="0"/>
        </w:numPr>
        <w:spacing w:line="360" w:lineRule="auto"/>
        <w:rPr>
          <w:color w:val="auto"/>
          <w:szCs w:val="24"/>
        </w:rPr>
      </w:pPr>
      <w:bookmarkStart w:id="249" w:name="_Toc25488"/>
      <w:r>
        <w:rPr>
          <w:color w:val="auto"/>
          <w:szCs w:val="24"/>
        </w:rPr>
        <w:t>6.3</w:t>
      </w:r>
      <w:r>
        <w:rPr>
          <w:rFonts w:hint="eastAsia"/>
          <w:color w:val="auto"/>
          <w:szCs w:val="24"/>
        </w:rPr>
        <w:t>地下水环境影响分析</w:t>
      </w:r>
      <w:bookmarkEnd w:id="248"/>
      <w:bookmarkEnd w:id="249"/>
    </w:p>
    <w:p w14:paraId="6CAD8A8A">
      <w:pPr>
        <w:pStyle w:val="5"/>
        <w:numPr>
          <w:ilvl w:val="0"/>
          <w:numId w:val="0"/>
        </w:numPr>
        <w:spacing w:line="360" w:lineRule="auto"/>
        <w:jc w:val="left"/>
        <w:rPr>
          <w:color w:val="auto"/>
        </w:rPr>
      </w:pPr>
      <w:r>
        <w:rPr>
          <w:color w:val="auto"/>
        </w:rPr>
        <w:t>6.3.1</w:t>
      </w:r>
      <w:bookmarkStart w:id="250" w:name="_Toc9262664"/>
      <w:r>
        <w:rPr>
          <w:rFonts w:hint="eastAsia"/>
          <w:color w:val="auto"/>
        </w:rPr>
        <w:t>区域水文地质条件</w:t>
      </w:r>
      <w:bookmarkEnd w:id="250"/>
    </w:p>
    <w:p w14:paraId="2A5E6447">
      <w:pPr>
        <w:spacing w:before="24" w:after="24"/>
        <w:ind w:firstLine="480"/>
        <w:rPr>
          <w:rFonts w:cs="Times New Roman"/>
          <w:color w:val="auto"/>
        </w:rPr>
      </w:pPr>
      <w:r>
        <w:rPr>
          <w:rFonts w:cs="Times New Roman"/>
          <w:color w:val="auto"/>
        </w:rPr>
        <w:t>评估区位处扬子准地台重庆台坳重庆陷褶束（</w:t>
      </w:r>
      <w:r>
        <w:rPr>
          <w:rFonts w:hint="eastAsia" w:ascii="宋体" w:hAnsi="宋体" w:eastAsia="宋体" w:cs="宋体"/>
          <w:color w:val="auto"/>
        </w:rPr>
        <w:t>Ⅲ</w:t>
      </w:r>
      <w:r>
        <w:rPr>
          <w:rFonts w:cs="Times New Roman"/>
          <w:color w:val="auto"/>
        </w:rPr>
        <w:t>1）级构造单元内，主要分布中生代地层，其内侏罗系红层广泛分布。据收集资料，侏罗系为红色复陆屑建造。</w:t>
      </w:r>
    </w:p>
    <w:p w14:paraId="3A6342F2">
      <w:pPr>
        <w:spacing w:before="24" w:after="24"/>
        <w:ind w:firstLine="480"/>
        <w:rPr>
          <w:color w:val="auto"/>
        </w:rPr>
      </w:pPr>
      <w:r>
        <w:rPr>
          <w:rFonts w:cs="Times New Roman"/>
          <w:color w:val="auto"/>
        </w:rPr>
        <w:t>区域内发育的地质构造主要为背斜和向斜。由东至西分别为：石柱向斜（67）、方斗山冲断背斜（64）、丰都-忠县向斜（68）、忠县背斜（69）、珍溪场向斜（70）、箐口背斜（71）、万州向斜（63）（构造纲要图见图5</w:t>
      </w:r>
      <w:r>
        <w:rPr>
          <w:rFonts w:hint="eastAsia" w:cs="Times New Roman"/>
          <w:color w:val="auto"/>
        </w:rPr>
        <w:t>.1</w:t>
      </w:r>
      <w:r>
        <w:rPr>
          <w:rFonts w:cs="Times New Roman"/>
          <w:color w:val="auto"/>
        </w:rPr>
        <w:t>-</w:t>
      </w:r>
      <w:r>
        <w:rPr>
          <w:rFonts w:hint="eastAsia" w:cs="Times New Roman"/>
          <w:color w:val="auto"/>
        </w:rPr>
        <w:t>1</w:t>
      </w:r>
      <w:r>
        <w:rPr>
          <w:rFonts w:cs="Times New Roman"/>
          <w:color w:val="auto"/>
        </w:rPr>
        <w:t>）。项目位置主要地处丰都-忠县向斜轴部，走向约为NE50°。评价区附近岩性产状约340°</w:t>
      </w:r>
      <w:r>
        <w:rPr>
          <w:rFonts w:hint="eastAsia" w:ascii="宋体" w:hAnsi="宋体" w:eastAsia="宋体" w:cs="宋体"/>
          <w:color w:val="auto"/>
        </w:rPr>
        <w:t>∠</w:t>
      </w:r>
      <w:r>
        <w:rPr>
          <w:rFonts w:cs="Times New Roman"/>
          <w:color w:val="auto"/>
        </w:rPr>
        <w:t>10~15°</w:t>
      </w:r>
      <w:r>
        <w:rPr>
          <w:rFonts w:hint="eastAsia"/>
          <w:color w:val="auto"/>
        </w:rPr>
        <w:t>。</w:t>
      </w:r>
    </w:p>
    <w:p w14:paraId="726F59C0">
      <w:pPr>
        <w:spacing w:before="24" w:after="24"/>
        <w:ind w:firstLine="480"/>
        <w:rPr>
          <w:color w:val="auto"/>
        </w:rPr>
      </w:pPr>
      <w:r>
        <w:rPr>
          <w:rFonts w:hint="eastAsia"/>
          <w:color w:val="auto"/>
        </w:rPr>
        <w:t>根据评价区岩石出露和钻探的地层岩性及地下水在含水介质中的赋存特征，地表水主要为冲沟水汇聚到长江；地下水类型按含水介质分为松散岩类孔隙水、基岩裂隙水、碎屑岩类裂隙孔隙水和碳酸盐岩类岩溶水，评价区主要为松散岩类孔隙水、基岩（红层）裂隙水。</w:t>
      </w:r>
    </w:p>
    <w:p w14:paraId="1766C2B3">
      <w:pPr>
        <w:spacing w:line="360" w:lineRule="auto"/>
        <w:ind w:firstLine="480"/>
        <w:rPr>
          <w:color w:val="auto"/>
          <w:lang w:val="zh-CN"/>
        </w:rPr>
      </w:pPr>
      <w:r>
        <w:rPr>
          <w:rFonts w:hint="eastAsia"/>
          <w:color w:val="auto"/>
        </w:rPr>
        <w:t>地下水主要接受大气降水补给，局部地方还接受地表水体（库、塘、堰、稻田、河流等）的补给，其</w:t>
      </w:r>
      <w:r>
        <w:rPr>
          <w:rFonts w:hint="eastAsia"/>
          <w:color w:val="auto"/>
          <w:lang w:eastAsia="zh-CN"/>
        </w:rPr>
        <w:t>径流</w:t>
      </w:r>
      <w:r>
        <w:rPr>
          <w:rFonts w:hint="eastAsia"/>
          <w:color w:val="auto"/>
        </w:rPr>
        <w:t>受控当地地形地貌，一般是在丘顶、斜坡地带接受降水补给后，一部分沿浅部风化带裂隙及构造裂隙运移，在沟谷、河谷等地形低洼处，以泉水的形式排泄，未排泄出地表的部分，则蓄集于风化带裂隙或构造裂隙中。而有一部分则在静水压力驱使下，沿裂隙系统顺含水层（砂岩）倾斜方向</w:t>
      </w:r>
      <w:r>
        <w:rPr>
          <w:rFonts w:hint="eastAsia"/>
          <w:color w:val="auto"/>
          <w:lang w:eastAsia="zh-CN"/>
        </w:rPr>
        <w:t>径流</w:t>
      </w:r>
      <w:r>
        <w:rPr>
          <w:rFonts w:hint="eastAsia"/>
          <w:color w:val="auto"/>
        </w:rPr>
        <w:t>，储集于砂岩裂隙中。当地下水在一定深度由于裂隙不发育或砂岩尖灭而遇阻上升时，则沿含水层顶界面，在沟谷切割低洼处以泉的形式流出。其地下水的补、迳、排总的特征是：就近补给，沿风化带裂隙短程</w:t>
      </w:r>
      <w:r>
        <w:rPr>
          <w:rFonts w:hint="eastAsia"/>
          <w:color w:val="auto"/>
          <w:lang w:eastAsia="zh-CN"/>
        </w:rPr>
        <w:t>径流</w:t>
      </w:r>
      <w:r>
        <w:rPr>
          <w:rFonts w:hint="eastAsia"/>
          <w:color w:val="auto"/>
        </w:rPr>
        <w:t>，于低洼处分散排泄或蓄集，在水文地质条件较好的地段形成多个小型水文地质单元，各水文地质单元具独立的补、迳、排特征。浅层基岩风化裂隙水的动态变化主要受控于大气降水，随季节变化。</w:t>
      </w:r>
    </w:p>
    <w:p w14:paraId="4D36EB0A">
      <w:pPr>
        <w:pStyle w:val="5"/>
        <w:numPr>
          <w:ilvl w:val="0"/>
          <w:numId w:val="0"/>
        </w:numPr>
        <w:spacing w:line="360" w:lineRule="auto"/>
        <w:jc w:val="left"/>
        <w:rPr>
          <w:color w:val="auto"/>
        </w:rPr>
      </w:pPr>
      <w:r>
        <w:rPr>
          <w:color w:val="auto"/>
        </w:rPr>
        <w:t>6.3.2</w:t>
      </w:r>
      <w:r>
        <w:rPr>
          <w:rFonts w:hint="eastAsia"/>
          <w:color w:val="auto"/>
        </w:rPr>
        <w:t>水系及水文地质单元</w:t>
      </w:r>
    </w:p>
    <w:p w14:paraId="3F21783A">
      <w:pPr>
        <w:spacing w:line="360" w:lineRule="auto"/>
        <w:ind w:firstLine="480"/>
        <w:rPr>
          <w:color w:val="auto"/>
          <w:lang w:val="zh-CN"/>
        </w:rPr>
      </w:pPr>
      <w:r>
        <w:rPr>
          <w:rFonts w:hint="eastAsia"/>
          <w:color w:val="auto"/>
          <w:lang w:val="zh-CN"/>
        </w:rPr>
        <w:t>拟建项目所在的长江流域。根据现场调查，项目西侧为长江，为区内最低排泄基准面，区域地下水水位与地形起伏相一致，地下水分水岭与地表水分水岭划分相同。</w:t>
      </w:r>
    </w:p>
    <w:p w14:paraId="7C21A257">
      <w:pPr>
        <w:spacing w:line="360" w:lineRule="auto"/>
        <w:ind w:firstLine="480"/>
        <w:rPr>
          <w:color w:val="auto"/>
          <w:lang w:val="zh-CN"/>
        </w:rPr>
      </w:pPr>
      <w:r>
        <w:rPr>
          <w:rFonts w:hint="eastAsia"/>
          <w:color w:val="auto"/>
          <w:szCs w:val="24"/>
        </w:rPr>
        <w:t>拟建</w:t>
      </w:r>
      <w:r>
        <w:rPr>
          <w:rFonts w:hint="eastAsia"/>
          <w:color w:val="auto"/>
          <w:szCs w:val="21"/>
        </w:rPr>
        <w:t>项</w:t>
      </w:r>
      <w:r>
        <w:rPr>
          <w:rFonts w:hint="eastAsia"/>
          <w:color w:val="auto"/>
          <w:szCs w:val="24"/>
        </w:rPr>
        <w:t>目所在</w:t>
      </w:r>
      <w:r>
        <w:rPr>
          <w:color w:val="auto"/>
          <w:szCs w:val="24"/>
        </w:rPr>
        <w:t>水文地质单元</w:t>
      </w:r>
      <w:r>
        <w:rPr>
          <w:rFonts w:hint="eastAsia"/>
          <w:color w:val="auto"/>
          <w:szCs w:val="24"/>
        </w:rPr>
        <w:t>：属于规划环评中的</w:t>
      </w:r>
      <w:r>
        <w:rPr>
          <w:rFonts w:hint="eastAsia"/>
          <w:color w:val="auto"/>
          <w:szCs w:val="24"/>
          <w:lang w:val="en-US" w:eastAsia="zh-CN"/>
        </w:rPr>
        <w:t>园区</w:t>
      </w:r>
      <w:r>
        <w:rPr>
          <w:rFonts w:hint="eastAsia"/>
          <w:color w:val="auto"/>
          <w:szCs w:val="24"/>
        </w:rPr>
        <w:t>水文地质单元，评价范围为工程区域以</w:t>
      </w:r>
      <w:r>
        <w:rPr>
          <w:rFonts w:hint="eastAsia"/>
          <w:color w:val="auto"/>
          <w:szCs w:val="24"/>
          <w:lang w:eastAsia="zh-CN"/>
        </w:rPr>
        <w:t>长江</w:t>
      </w:r>
      <w:r>
        <w:rPr>
          <w:rFonts w:hint="eastAsia"/>
          <w:color w:val="auto"/>
          <w:szCs w:val="24"/>
        </w:rPr>
        <w:t>、</w:t>
      </w:r>
      <w:r>
        <w:rPr>
          <w:rFonts w:hint="eastAsia"/>
          <w:color w:val="auto"/>
          <w:szCs w:val="24"/>
          <w:lang w:eastAsia="zh-CN"/>
        </w:rPr>
        <w:t>长江</w:t>
      </w:r>
      <w:r>
        <w:rPr>
          <w:rFonts w:hint="eastAsia"/>
          <w:color w:val="auto"/>
          <w:szCs w:val="24"/>
        </w:rPr>
        <w:t>支流及周边低矮丘陵形成的分水岭为界形成的面积约为</w:t>
      </w:r>
      <w:r>
        <w:rPr>
          <w:rFonts w:hint="eastAsia"/>
          <w:color w:val="auto"/>
          <w:szCs w:val="24"/>
          <w:lang w:val="en-US" w:eastAsia="zh-CN"/>
        </w:rPr>
        <w:t>15.0</w:t>
      </w:r>
      <w:r>
        <w:rPr>
          <w:rFonts w:hint="eastAsia"/>
          <w:color w:val="auto"/>
          <w:szCs w:val="24"/>
        </w:rPr>
        <w:t>k</w:t>
      </w:r>
      <w:r>
        <w:rPr>
          <w:color w:val="auto"/>
          <w:szCs w:val="24"/>
        </w:rPr>
        <w:t>m</w:t>
      </w:r>
      <w:r>
        <w:rPr>
          <w:rFonts w:hint="eastAsia"/>
          <w:color w:val="auto"/>
          <w:szCs w:val="24"/>
          <w:vertAlign w:val="superscript"/>
        </w:rPr>
        <w:t>2</w:t>
      </w:r>
      <w:r>
        <w:rPr>
          <w:rFonts w:hint="eastAsia"/>
          <w:color w:val="auto"/>
          <w:szCs w:val="24"/>
        </w:rPr>
        <w:t xml:space="preserve"> 的独立水文地质单元</w:t>
      </w:r>
      <w:r>
        <w:rPr>
          <w:rFonts w:hint="eastAsia"/>
          <w:color w:val="auto"/>
          <w:lang w:val="zh-CN"/>
        </w:rPr>
        <w:t>。</w:t>
      </w:r>
    </w:p>
    <w:p w14:paraId="26C6DB8C">
      <w:pPr>
        <w:pStyle w:val="5"/>
        <w:numPr>
          <w:ilvl w:val="0"/>
          <w:numId w:val="0"/>
        </w:numPr>
        <w:spacing w:line="360" w:lineRule="auto"/>
        <w:jc w:val="left"/>
        <w:rPr>
          <w:color w:val="auto"/>
        </w:rPr>
      </w:pPr>
      <w:r>
        <w:rPr>
          <w:color w:val="auto"/>
        </w:rPr>
        <w:t>6.3.3</w:t>
      </w:r>
      <w:r>
        <w:rPr>
          <w:rFonts w:hint="eastAsia"/>
          <w:color w:val="auto"/>
        </w:rPr>
        <w:t>地下水补径排条件</w:t>
      </w:r>
    </w:p>
    <w:p w14:paraId="7369F0A7">
      <w:pPr>
        <w:spacing w:line="360" w:lineRule="auto"/>
        <w:ind w:firstLine="480"/>
        <w:rPr>
          <w:color w:val="auto"/>
          <w:lang w:val="zh-CN"/>
        </w:rPr>
      </w:pPr>
      <w:r>
        <w:rPr>
          <w:rFonts w:hint="eastAsia"/>
          <w:color w:val="auto"/>
          <w:lang w:val="zh-CN"/>
        </w:rPr>
        <w:t>（</w:t>
      </w:r>
      <w:r>
        <w:rPr>
          <w:color w:val="auto"/>
          <w:lang w:val="zh-CN"/>
        </w:rPr>
        <w:t>1</w:t>
      </w:r>
      <w:r>
        <w:rPr>
          <w:rFonts w:hint="eastAsia"/>
          <w:color w:val="auto"/>
          <w:lang w:val="zh-CN"/>
        </w:rPr>
        <w:t>）地下水补给</w:t>
      </w:r>
    </w:p>
    <w:p w14:paraId="6AF11960">
      <w:pPr>
        <w:spacing w:line="360" w:lineRule="auto"/>
        <w:ind w:firstLine="480"/>
        <w:rPr>
          <w:color w:val="auto"/>
          <w:lang w:val="zh-CN"/>
        </w:rPr>
      </w:pPr>
      <w:r>
        <w:rPr>
          <w:rFonts w:hint="eastAsia"/>
          <w:color w:val="auto"/>
          <w:lang w:val="zh-CN"/>
        </w:rPr>
        <w:t>地下水的循环特征受岩性组合关系、地形地貌及构造条件的制约。大气降水下渗是主要补给来源，其次是地表水。补给区的范围与各含水岩的出露范围一致，大气降水属于面状补给，范围普遍且较均匀。地表水则可看作线状补给，局限于地表水体周边；从时间分布比较，大气降水持续时间有限而地表水体补给持续时间较长，但就其水源而言，地表水是由大气降水转化而来的。</w:t>
      </w:r>
    </w:p>
    <w:p w14:paraId="2E3A734F">
      <w:pPr>
        <w:spacing w:line="360" w:lineRule="auto"/>
        <w:ind w:firstLine="480"/>
        <w:rPr>
          <w:color w:val="auto"/>
          <w:lang w:val="zh-CN"/>
        </w:rPr>
      </w:pPr>
      <w:r>
        <w:rPr>
          <w:rFonts w:hint="eastAsia"/>
          <w:color w:val="auto"/>
          <w:lang w:val="zh-CN"/>
        </w:rPr>
        <w:t>（</w:t>
      </w:r>
      <w:r>
        <w:rPr>
          <w:color w:val="auto"/>
          <w:lang w:val="zh-CN"/>
        </w:rPr>
        <w:t>2</w:t>
      </w:r>
      <w:r>
        <w:rPr>
          <w:rFonts w:hint="eastAsia"/>
          <w:color w:val="auto"/>
          <w:lang w:val="zh-CN"/>
        </w:rPr>
        <w:t>）地下水径流、排泄</w:t>
      </w:r>
    </w:p>
    <w:p w14:paraId="6F66C6C5">
      <w:pPr>
        <w:spacing w:line="360" w:lineRule="auto"/>
        <w:ind w:firstLine="480"/>
        <w:rPr>
          <w:color w:val="auto"/>
          <w:lang w:val="zh-CN"/>
        </w:rPr>
      </w:pPr>
      <w:r>
        <w:rPr>
          <w:rFonts w:hint="eastAsia"/>
          <w:color w:val="auto"/>
          <w:szCs w:val="24"/>
        </w:rPr>
        <w:t>规划所在区域地下水不具大区域循环特征，地下水径流的总趋势为由</w:t>
      </w:r>
      <w:r>
        <w:rPr>
          <w:rFonts w:hint="eastAsia"/>
          <w:color w:val="auto"/>
          <w:szCs w:val="24"/>
          <w:lang w:eastAsia="zh-CN"/>
        </w:rPr>
        <w:t>长江</w:t>
      </w:r>
      <w:r>
        <w:rPr>
          <w:rFonts w:hint="eastAsia"/>
          <w:color w:val="auto"/>
          <w:szCs w:val="24"/>
        </w:rPr>
        <w:t>两岸高处向</w:t>
      </w:r>
      <w:r>
        <w:rPr>
          <w:rFonts w:hint="eastAsia"/>
          <w:color w:val="auto"/>
          <w:szCs w:val="24"/>
          <w:lang w:eastAsia="zh-CN"/>
        </w:rPr>
        <w:t>长江</w:t>
      </w:r>
      <w:r>
        <w:rPr>
          <w:rFonts w:hint="eastAsia"/>
          <w:color w:val="auto"/>
          <w:szCs w:val="24"/>
        </w:rPr>
        <w:t>缓慢运移。排泄形式分为两种，一部分消耗于蒸发和蒸腾，另一部分则排泄于</w:t>
      </w:r>
      <w:r>
        <w:rPr>
          <w:rFonts w:hint="eastAsia"/>
          <w:color w:val="auto"/>
          <w:szCs w:val="24"/>
          <w:lang w:eastAsia="zh-CN"/>
        </w:rPr>
        <w:t>长江</w:t>
      </w:r>
      <w:r>
        <w:rPr>
          <w:rFonts w:hint="eastAsia"/>
          <w:color w:val="auto"/>
          <w:szCs w:val="24"/>
        </w:rPr>
        <w:t>或地面沟渠。受季节、气候和地形地貌影响大，地势相对高的地方无稳定地下水位，地势相对较低处地下水水位相对稳定；大气降水由地表入渗，进入基岩风化裂隙、构造裂隙及土层中，形成上层滞水向场地低洼处排泄</w:t>
      </w:r>
      <w:r>
        <w:rPr>
          <w:rFonts w:hint="eastAsia"/>
          <w:color w:val="auto"/>
          <w:lang w:val="zh-CN"/>
        </w:rPr>
        <w:t>。</w:t>
      </w:r>
    </w:p>
    <w:p w14:paraId="739F8938">
      <w:pPr>
        <w:pStyle w:val="5"/>
        <w:numPr>
          <w:ilvl w:val="0"/>
          <w:numId w:val="0"/>
        </w:numPr>
        <w:spacing w:line="360" w:lineRule="auto"/>
        <w:jc w:val="left"/>
        <w:rPr>
          <w:color w:val="auto"/>
        </w:rPr>
      </w:pPr>
      <w:bookmarkStart w:id="251" w:name="_Toc9262665"/>
      <w:r>
        <w:rPr>
          <w:color w:val="auto"/>
        </w:rPr>
        <w:t>6.3.4</w:t>
      </w:r>
      <w:r>
        <w:rPr>
          <w:rFonts w:hint="eastAsia"/>
          <w:color w:val="auto"/>
        </w:rPr>
        <w:t>地下水影响预测</w:t>
      </w:r>
      <w:bookmarkEnd w:id="251"/>
    </w:p>
    <w:p w14:paraId="355F1961">
      <w:pPr>
        <w:spacing w:line="360" w:lineRule="auto"/>
        <w:ind w:firstLine="480"/>
        <w:rPr>
          <w:color w:val="auto"/>
          <w:szCs w:val="24"/>
        </w:rPr>
      </w:pPr>
      <w:r>
        <w:rPr>
          <w:rFonts w:hint="eastAsia"/>
          <w:color w:val="auto"/>
          <w:szCs w:val="24"/>
        </w:rPr>
        <w:t>（</w:t>
      </w:r>
      <w:r>
        <w:rPr>
          <w:color w:val="auto"/>
          <w:szCs w:val="24"/>
        </w:rPr>
        <w:t>1</w:t>
      </w:r>
      <w:r>
        <w:rPr>
          <w:rFonts w:hint="eastAsia"/>
          <w:color w:val="auto"/>
          <w:szCs w:val="24"/>
        </w:rPr>
        <w:t>）评价等级</w:t>
      </w:r>
    </w:p>
    <w:p w14:paraId="342D41B8">
      <w:pPr>
        <w:spacing w:line="360" w:lineRule="auto"/>
        <w:ind w:firstLine="480"/>
        <w:rPr>
          <w:color w:val="auto"/>
          <w:szCs w:val="24"/>
        </w:rPr>
      </w:pPr>
      <w:r>
        <w:rPr>
          <w:rFonts w:hint="eastAsia"/>
          <w:color w:val="auto"/>
          <w:szCs w:val="24"/>
        </w:rPr>
        <w:t>根据《环境影响评价技术导则地下水环境》（</w:t>
      </w:r>
      <w:r>
        <w:rPr>
          <w:color w:val="auto"/>
          <w:szCs w:val="24"/>
        </w:rPr>
        <w:t>HJ 610-2016</w:t>
      </w:r>
      <w:r>
        <w:rPr>
          <w:rFonts w:hint="eastAsia"/>
          <w:color w:val="auto"/>
          <w:szCs w:val="24"/>
        </w:rPr>
        <w:t>），根据建设项目对地下水环境影响的程度，结合《建设项目环境影响评价分类管理名录》，将建设项目分为四类（详见附录</w:t>
      </w:r>
      <w:r>
        <w:rPr>
          <w:color w:val="auto"/>
          <w:szCs w:val="24"/>
        </w:rPr>
        <w:t>A</w:t>
      </w:r>
      <w:r>
        <w:rPr>
          <w:rFonts w:hint="eastAsia"/>
          <w:color w:val="auto"/>
          <w:szCs w:val="24"/>
        </w:rPr>
        <w:t>），其中</w:t>
      </w:r>
      <w:r>
        <w:rPr>
          <w:color w:val="auto"/>
          <w:szCs w:val="24"/>
        </w:rPr>
        <w:fldChar w:fldCharType="begin"/>
      </w:r>
      <w:r>
        <w:rPr>
          <w:color w:val="auto"/>
          <w:szCs w:val="24"/>
        </w:rPr>
        <w:instrText xml:space="preserve"> = 1 \* ROMAN </w:instrText>
      </w:r>
      <w:r>
        <w:rPr>
          <w:color w:val="auto"/>
          <w:szCs w:val="24"/>
        </w:rPr>
        <w:fldChar w:fldCharType="separate"/>
      </w:r>
      <w:r>
        <w:rPr>
          <w:color w:val="auto"/>
          <w:szCs w:val="24"/>
        </w:rPr>
        <w:t>I</w:t>
      </w:r>
      <w:r>
        <w:rPr>
          <w:color w:val="auto"/>
          <w:szCs w:val="24"/>
        </w:rPr>
        <w:fldChar w:fldCharType="end"/>
      </w:r>
      <w:r>
        <w:rPr>
          <w:rFonts w:hint="eastAsia"/>
          <w:color w:val="auto"/>
          <w:szCs w:val="24"/>
        </w:rPr>
        <w:t>类、</w:t>
      </w:r>
      <w:r>
        <w:rPr>
          <w:color w:val="auto"/>
          <w:szCs w:val="24"/>
        </w:rPr>
        <w:fldChar w:fldCharType="begin"/>
      </w:r>
      <w:r>
        <w:rPr>
          <w:color w:val="auto"/>
          <w:szCs w:val="24"/>
        </w:rPr>
        <w:instrText xml:space="preserve"> = 2 \* ROMAN </w:instrText>
      </w:r>
      <w:r>
        <w:rPr>
          <w:color w:val="auto"/>
          <w:szCs w:val="24"/>
        </w:rPr>
        <w:fldChar w:fldCharType="separate"/>
      </w:r>
      <w:r>
        <w:rPr>
          <w:color w:val="auto"/>
          <w:szCs w:val="24"/>
        </w:rPr>
        <w:t>II</w:t>
      </w:r>
      <w:r>
        <w:rPr>
          <w:color w:val="auto"/>
          <w:szCs w:val="24"/>
        </w:rPr>
        <w:fldChar w:fldCharType="end"/>
      </w:r>
      <w:r>
        <w:rPr>
          <w:rFonts w:hint="eastAsia"/>
          <w:color w:val="auto"/>
          <w:szCs w:val="24"/>
        </w:rPr>
        <w:t>类、</w:t>
      </w:r>
      <w:r>
        <w:rPr>
          <w:color w:val="auto"/>
          <w:szCs w:val="24"/>
        </w:rPr>
        <w:fldChar w:fldCharType="begin"/>
      </w:r>
      <w:r>
        <w:rPr>
          <w:color w:val="auto"/>
          <w:szCs w:val="24"/>
        </w:rPr>
        <w:instrText xml:space="preserve"> = 3 \* ROMAN </w:instrText>
      </w:r>
      <w:r>
        <w:rPr>
          <w:color w:val="auto"/>
          <w:szCs w:val="24"/>
        </w:rPr>
        <w:fldChar w:fldCharType="separate"/>
      </w:r>
      <w:r>
        <w:rPr>
          <w:color w:val="auto"/>
          <w:szCs w:val="24"/>
        </w:rPr>
        <w:t>III</w:t>
      </w:r>
      <w:r>
        <w:rPr>
          <w:color w:val="auto"/>
          <w:szCs w:val="24"/>
        </w:rPr>
        <w:fldChar w:fldCharType="end"/>
      </w:r>
      <w:r>
        <w:rPr>
          <w:rFonts w:hint="eastAsia"/>
          <w:color w:val="auto"/>
          <w:szCs w:val="24"/>
        </w:rPr>
        <w:t>类建设项目的地下水环境影响评价应执行本导则，</w:t>
      </w:r>
      <w:r>
        <w:rPr>
          <w:color w:val="auto"/>
          <w:szCs w:val="24"/>
        </w:rPr>
        <w:fldChar w:fldCharType="begin"/>
      </w:r>
      <w:r>
        <w:rPr>
          <w:color w:val="auto"/>
          <w:szCs w:val="24"/>
        </w:rPr>
        <w:instrText xml:space="preserve"> = 4 \* ROMAN </w:instrText>
      </w:r>
      <w:r>
        <w:rPr>
          <w:color w:val="auto"/>
          <w:szCs w:val="24"/>
        </w:rPr>
        <w:fldChar w:fldCharType="separate"/>
      </w:r>
      <w:r>
        <w:rPr>
          <w:color w:val="auto"/>
          <w:szCs w:val="24"/>
        </w:rPr>
        <w:t>IV</w:t>
      </w:r>
      <w:r>
        <w:rPr>
          <w:color w:val="auto"/>
          <w:szCs w:val="24"/>
        </w:rPr>
        <w:fldChar w:fldCharType="end"/>
      </w:r>
      <w:r>
        <w:rPr>
          <w:rFonts w:hint="eastAsia"/>
          <w:color w:val="auto"/>
          <w:szCs w:val="24"/>
        </w:rPr>
        <w:t>类建设项目不开展地下水环境影响评价。评价工作等级的划分应依据建设项目行业分类和地下水环境敏感程度分级进行判定，详见表</w:t>
      </w:r>
      <w:r>
        <w:rPr>
          <w:color w:val="auto"/>
          <w:szCs w:val="24"/>
        </w:rPr>
        <w:t>6.3-1</w:t>
      </w:r>
      <w:r>
        <w:rPr>
          <w:rFonts w:hint="eastAsia"/>
          <w:color w:val="auto"/>
          <w:szCs w:val="24"/>
        </w:rPr>
        <w:t>。</w:t>
      </w:r>
    </w:p>
    <w:p w14:paraId="585D13AD">
      <w:pPr>
        <w:pStyle w:val="151"/>
        <w:ind w:firstLine="482"/>
        <w:jc w:val="center"/>
        <w:rPr>
          <w:b/>
          <w:bCs/>
          <w:snapToGrid w:val="0"/>
          <w:color w:val="auto"/>
        </w:rPr>
      </w:pPr>
      <w:r>
        <w:rPr>
          <w:rFonts w:hint="eastAsia"/>
          <w:b/>
          <w:bCs/>
          <w:snapToGrid w:val="0"/>
          <w:color w:val="auto"/>
        </w:rPr>
        <w:t>表</w:t>
      </w:r>
      <w:r>
        <w:rPr>
          <w:b/>
          <w:bCs/>
          <w:snapToGrid w:val="0"/>
          <w:color w:val="auto"/>
        </w:rPr>
        <w:t xml:space="preserve">6.3-1   </w:t>
      </w:r>
      <w:r>
        <w:rPr>
          <w:rFonts w:hint="eastAsia"/>
          <w:b/>
          <w:bCs/>
          <w:snapToGrid w:val="0"/>
          <w:color w:val="auto"/>
        </w:rPr>
        <w:t>地下水评价工作等级分级表</w:t>
      </w:r>
    </w:p>
    <w:tbl>
      <w:tblPr>
        <w:tblStyle w:val="88"/>
        <w:tblW w:w="92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9"/>
        <w:gridCol w:w="2319"/>
        <w:gridCol w:w="2320"/>
        <w:gridCol w:w="2320"/>
      </w:tblGrid>
      <w:tr w14:paraId="3F35C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319" w:type="dxa"/>
            <w:vAlign w:val="center"/>
          </w:tcPr>
          <w:p w14:paraId="49822309">
            <w:pPr>
              <w:pStyle w:val="276"/>
              <w:rPr>
                <w:color w:val="auto"/>
              </w:rPr>
            </w:pPr>
            <w:r>
              <w:rPr>
                <w:rFonts w:hint="eastAsia"/>
                <w:color w:val="auto"/>
              </w:rPr>
              <w:t>环境敏感程度</w:t>
            </w:r>
          </w:p>
        </w:tc>
        <w:tc>
          <w:tcPr>
            <w:tcW w:w="2319" w:type="dxa"/>
            <w:vAlign w:val="center"/>
          </w:tcPr>
          <w:p w14:paraId="572AA064">
            <w:pPr>
              <w:pStyle w:val="276"/>
              <w:rPr>
                <w:color w:val="auto"/>
              </w:rPr>
            </w:pPr>
            <w:r>
              <w:rPr>
                <w:rFonts w:hint="eastAsia"/>
                <w:color w:val="auto"/>
              </w:rPr>
              <w:t>Ⅰ类项目</w:t>
            </w:r>
          </w:p>
        </w:tc>
        <w:tc>
          <w:tcPr>
            <w:tcW w:w="2320" w:type="dxa"/>
            <w:vAlign w:val="center"/>
          </w:tcPr>
          <w:p w14:paraId="2DE04C58">
            <w:pPr>
              <w:pStyle w:val="276"/>
              <w:rPr>
                <w:color w:val="auto"/>
              </w:rPr>
            </w:pPr>
            <w:r>
              <w:rPr>
                <w:rFonts w:hint="eastAsia"/>
                <w:color w:val="auto"/>
              </w:rPr>
              <w:t>Ⅱ类项目</w:t>
            </w:r>
          </w:p>
        </w:tc>
        <w:tc>
          <w:tcPr>
            <w:tcW w:w="2320" w:type="dxa"/>
            <w:vAlign w:val="center"/>
          </w:tcPr>
          <w:p w14:paraId="73801F6F">
            <w:pPr>
              <w:pStyle w:val="276"/>
              <w:rPr>
                <w:color w:val="auto"/>
              </w:rPr>
            </w:pPr>
            <w:r>
              <w:rPr>
                <w:rFonts w:hint="eastAsia"/>
                <w:color w:val="auto"/>
              </w:rPr>
              <w:t>Ⅲ类项目</w:t>
            </w:r>
          </w:p>
        </w:tc>
      </w:tr>
      <w:tr w14:paraId="1C866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319" w:type="dxa"/>
            <w:vAlign w:val="center"/>
          </w:tcPr>
          <w:p w14:paraId="5E62AF38">
            <w:pPr>
              <w:pStyle w:val="276"/>
              <w:rPr>
                <w:color w:val="auto"/>
              </w:rPr>
            </w:pPr>
            <w:r>
              <w:rPr>
                <w:rFonts w:hint="eastAsia"/>
                <w:color w:val="auto"/>
              </w:rPr>
              <w:t>敏感</w:t>
            </w:r>
          </w:p>
        </w:tc>
        <w:tc>
          <w:tcPr>
            <w:tcW w:w="2319" w:type="dxa"/>
            <w:vAlign w:val="center"/>
          </w:tcPr>
          <w:p w14:paraId="78AB1E88">
            <w:pPr>
              <w:pStyle w:val="276"/>
              <w:rPr>
                <w:color w:val="auto"/>
              </w:rPr>
            </w:pPr>
            <w:r>
              <w:rPr>
                <w:rFonts w:hint="eastAsia"/>
                <w:color w:val="auto"/>
              </w:rPr>
              <w:t>一</w:t>
            </w:r>
          </w:p>
        </w:tc>
        <w:tc>
          <w:tcPr>
            <w:tcW w:w="2320" w:type="dxa"/>
            <w:vAlign w:val="center"/>
          </w:tcPr>
          <w:p w14:paraId="5BE0DBFC">
            <w:pPr>
              <w:pStyle w:val="276"/>
              <w:rPr>
                <w:color w:val="auto"/>
              </w:rPr>
            </w:pPr>
            <w:r>
              <w:rPr>
                <w:rFonts w:hint="eastAsia"/>
                <w:color w:val="auto"/>
              </w:rPr>
              <w:t>一</w:t>
            </w:r>
          </w:p>
        </w:tc>
        <w:tc>
          <w:tcPr>
            <w:tcW w:w="2320" w:type="dxa"/>
            <w:vAlign w:val="center"/>
          </w:tcPr>
          <w:p w14:paraId="0F4D6930">
            <w:pPr>
              <w:pStyle w:val="276"/>
              <w:rPr>
                <w:color w:val="auto"/>
              </w:rPr>
            </w:pPr>
            <w:r>
              <w:rPr>
                <w:rFonts w:hint="eastAsia"/>
                <w:color w:val="auto"/>
              </w:rPr>
              <w:t>二</w:t>
            </w:r>
          </w:p>
        </w:tc>
      </w:tr>
      <w:tr w14:paraId="454A8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319" w:type="dxa"/>
            <w:vAlign w:val="center"/>
          </w:tcPr>
          <w:p w14:paraId="60FFF2E1">
            <w:pPr>
              <w:pStyle w:val="276"/>
              <w:rPr>
                <w:color w:val="auto"/>
              </w:rPr>
            </w:pPr>
            <w:r>
              <w:rPr>
                <w:rFonts w:hint="eastAsia"/>
                <w:color w:val="auto"/>
              </w:rPr>
              <w:t>较敏感</w:t>
            </w:r>
          </w:p>
        </w:tc>
        <w:tc>
          <w:tcPr>
            <w:tcW w:w="2319" w:type="dxa"/>
            <w:vAlign w:val="center"/>
          </w:tcPr>
          <w:p w14:paraId="51A1BAF8">
            <w:pPr>
              <w:pStyle w:val="276"/>
              <w:rPr>
                <w:color w:val="auto"/>
              </w:rPr>
            </w:pPr>
            <w:r>
              <w:rPr>
                <w:rFonts w:hint="eastAsia"/>
                <w:color w:val="auto"/>
              </w:rPr>
              <w:t>一</w:t>
            </w:r>
          </w:p>
        </w:tc>
        <w:tc>
          <w:tcPr>
            <w:tcW w:w="2320" w:type="dxa"/>
            <w:vAlign w:val="center"/>
          </w:tcPr>
          <w:p w14:paraId="34B8EFC7">
            <w:pPr>
              <w:pStyle w:val="276"/>
              <w:rPr>
                <w:color w:val="auto"/>
              </w:rPr>
            </w:pPr>
            <w:r>
              <w:rPr>
                <w:rFonts w:hint="eastAsia"/>
                <w:color w:val="auto"/>
              </w:rPr>
              <w:t>二</w:t>
            </w:r>
          </w:p>
        </w:tc>
        <w:tc>
          <w:tcPr>
            <w:tcW w:w="2320" w:type="dxa"/>
            <w:vAlign w:val="center"/>
          </w:tcPr>
          <w:p w14:paraId="01A77DAE">
            <w:pPr>
              <w:pStyle w:val="276"/>
              <w:rPr>
                <w:color w:val="auto"/>
              </w:rPr>
            </w:pPr>
            <w:r>
              <w:rPr>
                <w:rFonts w:hint="eastAsia"/>
                <w:color w:val="auto"/>
              </w:rPr>
              <w:t>三</w:t>
            </w:r>
          </w:p>
        </w:tc>
      </w:tr>
      <w:tr w14:paraId="3D58D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319" w:type="dxa"/>
            <w:vAlign w:val="center"/>
          </w:tcPr>
          <w:p w14:paraId="43B8CA91">
            <w:pPr>
              <w:pStyle w:val="276"/>
              <w:rPr>
                <w:color w:val="auto"/>
              </w:rPr>
            </w:pPr>
            <w:r>
              <w:rPr>
                <w:rFonts w:hint="eastAsia"/>
                <w:color w:val="auto"/>
              </w:rPr>
              <w:t>不敏感</w:t>
            </w:r>
          </w:p>
        </w:tc>
        <w:tc>
          <w:tcPr>
            <w:tcW w:w="2319" w:type="dxa"/>
            <w:vAlign w:val="center"/>
          </w:tcPr>
          <w:p w14:paraId="019EFDC9">
            <w:pPr>
              <w:pStyle w:val="276"/>
              <w:rPr>
                <w:color w:val="auto"/>
              </w:rPr>
            </w:pPr>
            <w:r>
              <w:rPr>
                <w:rFonts w:hint="eastAsia"/>
                <w:color w:val="auto"/>
              </w:rPr>
              <w:t>二</w:t>
            </w:r>
          </w:p>
        </w:tc>
        <w:tc>
          <w:tcPr>
            <w:tcW w:w="2320" w:type="dxa"/>
            <w:vAlign w:val="center"/>
          </w:tcPr>
          <w:p w14:paraId="0B420C7D">
            <w:pPr>
              <w:pStyle w:val="276"/>
              <w:rPr>
                <w:color w:val="auto"/>
              </w:rPr>
            </w:pPr>
            <w:r>
              <w:rPr>
                <w:rFonts w:hint="eastAsia"/>
                <w:color w:val="auto"/>
              </w:rPr>
              <w:t>三</w:t>
            </w:r>
          </w:p>
        </w:tc>
        <w:tc>
          <w:tcPr>
            <w:tcW w:w="2320" w:type="dxa"/>
            <w:vAlign w:val="center"/>
          </w:tcPr>
          <w:p w14:paraId="45D39BD5">
            <w:pPr>
              <w:pStyle w:val="276"/>
              <w:rPr>
                <w:color w:val="auto"/>
              </w:rPr>
            </w:pPr>
            <w:r>
              <w:rPr>
                <w:rFonts w:hint="eastAsia"/>
                <w:color w:val="auto"/>
              </w:rPr>
              <w:t>三</w:t>
            </w:r>
          </w:p>
        </w:tc>
      </w:tr>
    </w:tbl>
    <w:p w14:paraId="780EE273">
      <w:pPr>
        <w:spacing w:line="360" w:lineRule="auto"/>
        <w:ind w:firstLine="480"/>
        <w:rPr>
          <w:color w:val="auto"/>
          <w:szCs w:val="24"/>
        </w:rPr>
      </w:pPr>
    </w:p>
    <w:p w14:paraId="21B04DAC">
      <w:pPr>
        <w:spacing w:line="360" w:lineRule="auto"/>
        <w:ind w:firstLine="480"/>
        <w:rPr>
          <w:color w:val="auto"/>
          <w:szCs w:val="24"/>
        </w:rPr>
      </w:pPr>
      <w:r>
        <w:rPr>
          <w:rFonts w:hint="eastAsia"/>
          <w:color w:val="auto"/>
          <w:szCs w:val="24"/>
        </w:rPr>
        <w:t>根据《环境影响评价技术导则地下水环境》（</w:t>
      </w:r>
      <w:r>
        <w:rPr>
          <w:color w:val="auto"/>
          <w:szCs w:val="24"/>
        </w:rPr>
        <w:t>HJ 610-2016</w:t>
      </w:r>
      <w:r>
        <w:rPr>
          <w:rFonts w:hint="eastAsia"/>
          <w:color w:val="auto"/>
          <w:szCs w:val="24"/>
        </w:rPr>
        <w:t>）附录</w:t>
      </w:r>
      <w:r>
        <w:rPr>
          <w:color w:val="auto"/>
          <w:szCs w:val="24"/>
        </w:rPr>
        <w:t>A</w:t>
      </w:r>
      <w:r>
        <w:rPr>
          <w:rFonts w:hint="eastAsia"/>
          <w:color w:val="auto"/>
          <w:szCs w:val="24"/>
        </w:rPr>
        <w:t>地下水环境影响评价行业分类表，拟建项目为</w:t>
      </w:r>
      <w:r>
        <w:rPr>
          <w:color w:val="auto"/>
          <w:szCs w:val="24"/>
        </w:rPr>
        <w:t>I</w:t>
      </w:r>
      <w:r>
        <w:rPr>
          <w:rFonts w:hint="eastAsia"/>
          <w:color w:val="auto"/>
          <w:szCs w:val="24"/>
        </w:rPr>
        <w:t>类项目。</w:t>
      </w:r>
    </w:p>
    <w:p w14:paraId="107EDBFF">
      <w:pPr>
        <w:spacing w:line="360" w:lineRule="auto"/>
        <w:ind w:firstLine="480"/>
        <w:rPr>
          <w:color w:val="auto"/>
          <w:szCs w:val="24"/>
        </w:rPr>
      </w:pPr>
      <w:r>
        <w:rPr>
          <w:rFonts w:hint="eastAsia"/>
          <w:color w:val="auto"/>
          <w:szCs w:val="24"/>
        </w:rPr>
        <w:t>同时，根据调查，拟建项目位于</w:t>
      </w:r>
      <w:r>
        <w:rPr>
          <w:rFonts w:hint="eastAsia"/>
          <w:color w:val="auto"/>
          <w:szCs w:val="24"/>
          <w:lang w:eastAsia="zh-CN"/>
        </w:rPr>
        <w:t>重庆忠县工业园乌杨组团</w:t>
      </w:r>
      <w:r>
        <w:rPr>
          <w:rFonts w:hint="eastAsia"/>
          <w:color w:val="auto"/>
          <w:szCs w:val="24"/>
        </w:rPr>
        <w:t>，周边区域不属于集中式饮用水源准保护区以及补给径流区，没有分散式饮用水水源地，没有特殊地下水资源，自来水管网已经覆盖周边区域，周边居民不再饮用地下水。项目地下水评价范围不涉及地下水饮用水源等环境敏感区。因此，拟建项目周边地下水环境敏感程度为不敏感。</w:t>
      </w:r>
    </w:p>
    <w:p w14:paraId="0F4A9F3C">
      <w:pPr>
        <w:spacing w:line="360" w:lineRule="auto"/>
        <w:ind w:firstLine="480"/>
        <w:rPr>
          <w:color w:val="auto"/>
          <w:szCs w:val="24"/>
        </w:rPr>
      </w:pPr>
      <w:r>
        <w:rPr>
          <w:rFonts w:hint="eastAsia"/>
          <w:color w:val="auto"/>
          <w:szCs w:val="24"/>
        </w:rPr>
        <w:t>综上，根据《环境影响评价技术导则地下水环境》（</w:t>
      </w:r>
      <w:r>
        <w:rPr>
          <w:color w:val="auto"/>
          <w:szCs w:val="24"/>
        </w:rPr>
        <w:t>HJ 610-2016</w:t>
      </w:r>
      <w:r>
        <w:rPr>
          <w:rFonts w:hint="eastAsia"/>
          <w:color w:val="auto"/>
          <w:szCs w:val="24"/>
        </w:rPr>
        <w:t>），确定项目地下水评价等级为二级。</w:t>
      </w:r>
    </w:p>
    <w:p w14:paraId="041F5CE5">
      <w:pPr>
        <w:spacing w:line="360" w:lineRule="auto"/>
        <w:ind w:firstLine="480"/>
        <w:rPr>
          <w:color w:val="auto"/>
          <w:szCs w:val="24"/>
        </w:rPr>
      </w:pPr>
      <w:r>
        <w:rPr>
          <w:rFonts w:hint="eastAsia"/>
          <w:color w:val="auto"/>
          <w:szCs w:val="24"/>
        </w:rPr>
        <w:t>（</w:t>
      </w:r>
      <w:r>
        <w:rPr>
          <w:color w:val="auto"/>
          <w:szCs w:val="24"/>
        </w:rPr>
        <w:t>2</w:t>
      </w:r>
      <w:r>
        <w:rPr>
          <w:rFonts w:hint="eastAsia"/>
          <w:color w:val="auto"/>
          <w:szCs w:val="24"/>
        </w:rPr>
        <w:t>）评价范围</w:t>
      </w:r>
    </w:p>
    <w:p w14:paraId="208D9484">
      <w:pPr>
        <w:spacing w:line="360" w:lineRule="auto"/>
        <w:ind w:firstLine="480"/>
        <w:rPr>
          <w:color w:val="auto"/>
          <w:szCs w:val="24"/>
        </w:rPr>
      </w:pPr>
      <w:r>
        <w:rPr>
          <w:rFonts w:hint="eastAsia"/>
          <w:color w:val="auto"/>
          <w:szCs w:val="24"/>
        </w:rPr>
        <w:t>项目所在独立水文地质单元，属于规划环评中的</w:t>
      </w:r>
      <w:r>
        <w:rPr>
          <w:rFonts w:hint="eastAsia"/>
          <w:color w:val="auto"/>
          <w:szCs w:val="24"/>
          <w:lang w:val="en-US" w:eastAsia="zh-CN"/>
        </w:rPr>
        <w:t>园区</w:t>
      </w:r>
      <w:r>
        <w:rPr>
          <w:rFonts w:hint="eastAsia"/>
          <w:color w:val="auto"/>
          <w:szCs w:val="24"/>
        </w:rPr>
        <w:t>水文地质单元，评价范围为工程区域以</w:t>
      </w:r>
      <w:r>
        <w:rPr>
          <w:rFonts w:hint="eastAsia"/>
          <w:color w:val="auto"/>
          <w:szCs w:val="24"/>
          <w:lang w:eastAsia="zh-CN"/>
        </w:rPr>
        <w:t>长江</w:t>
      </w:r>
      <w:r>
        <w:rPr>
          <w:rFonts w:hint="eastAsia"/>
          <w:color w:val="auto"/>
          <w:szCs w:val="24"/>
        </w:rPr>
        <w:t>及周边低矮丘陵形成的分水岭为界形成的面积约为</w:t>
      </w:r>
      <w:r>
        <w:rPr>
          <w:rFonts w:hint="eastAsia"/>
          <w:color w:val="auto"/>
          <w:szCs w:val="24"/>
          <w:lang w:val="en-US" w:eastAsia="zh-CN"/>
        </w:rPr>
        <w:t>15.0</w:t>
      </w:r>
      <w:r>
        <w:rPr>
          <w:rFonts w:hint="eastAsia"/>
          <w:color w:val="auto"/>
          <w:szCs w:val="24"/>
        </w:rPr>
        <w:t>k</w:t>
      </w:r>
      <w:r>
        <w:rPr>
          <w:color w:val="auto"/>
          <w:szCs w:val="24"/>
        </w:rPr>
        <w:t>m</w:t>
      </w:r>
      <w:r>
        <w:rPr>
          <w:rFonts w:hint="eastAsia"/>
          <w:color w:val="auto"/>
          <w:szCs w:val="24"/>
          <w:vertAlign w:val="superscript"/>
        </w:rPr>
        <w:t>2</w:t>
      </w:r>
      <w:r>
        <w:rPr>
          <w:rFonts w:hint="eastAsia"/>
          <w:color w:val="auto"/>
          <w:szCs w:val="24"/>
        </w:rPr>
        <w:t xml:space="preserve"> 的独立水文地质单元。</w:t>
      </w:r>
    </w:p>
    <w:p w14:paraId="72BF3997">
      <w:pPr>
        <w:spacing w:line="360" w:lineRule="auto"/>
        <w:ind w:firstLine="480"/>
        <w:rPr>
          <w:color w:val="auto"/>
          <w:szCs w:val="24"/>
        </w:rPr>
      </w:pPr>
      <w:r>
        <w:rPr>
          <w:rFonts w:hint="eastAsia"/>
          <w:color w:val="auto"/>
          <w:szCs w:val="24"/>
        </w:rPr>
        <w:t>（3）地下水污染预测情景设定</w:t>
      </w:r>
    </w:p>
    <w:p w14:paraId="40E042F9">
      <w:pPr>
        <w:spacing w:line="360" w:lineRule="auto"/>
        <w:ind w:firstLine="480"/>
        <w:rPr>
          <w:color w:val="auto"/>
          <w:szCs w:val="24"/>
        </w:rPr>
      </w:pPr>
      <w:r>
        <w:rPr>
          <w:rFonts w:hint="eastAsia"/>
          <w:color w:val="auto"/>
          <w:szCs w:val="24"/>
        </w:rPr>
        <w:t>正常状况下，拟建项目按照《环境影响评价技术导则</w:t>
      </w:r>
      <w:r>
        <w:rPr>
          <w:color w:val="auto"/>
          <w:szCs w:val="24"/>
        </w:rPr>
        <w:t>-</w:t>
      </w:r>
      <w:r>
        <w:rPr>
          <w:rFonts w:hint="eastAsia"/>
          <w:color w:val="auto"/>
          <w:szCs w:val="24"/>
        </w:rPr>
        <w:t>地下水环境》（</w:t>
      </w:r>
      <w:r>
        <w:rPr>
          <w:color w:val="auto"/>
          <w:szCs w:val="24"/>
        </w:rPr>
        <w:t>HJ610-2016</w:t>
      </w:r>
      <w:r>
        <w:rPr>
          <w:rFonts w:hint="eastAsia"/>
          <w:color w:val="auto"/>
          <w:szCs w:val="24"/>
        </w:rPr>
        <w:t>）进行施工操作等要求进行设计，只要项目做好相关的防渗和防护工作，各构筑物防渗区域防渗性能满足要求，项目营运期基本不会对地下水造成污染，根据《环境影响评价技术导则</w:t>
      </w:r>
      <w:r>
        <w:rPr>
          <w:color w:val="auto"/>
          <w:szCs w:val="24"/>
        </w:rPr>
        <w:t>-</w:t>
      </w:r>
      <w:r>
        <w:rPr>
          <w:rFonts w:hint="eastAsia"/>
          <w:color w:val="auto"/>
          <w:szCs w:val="24"/>
        </w:rPr>
        <w:t>地下水环境》（</w:t>
      </w:r>
      <w:r>
        <w:rPr>
          <w:color w:val="auto"/>
          <w:szCs w:val="24"/>
        </w:rPr>
        <w:t>HJ610-2016</w:t>
      </w:r>
      <w:r>
        <w:rPr>
          <w:rFonts w:hint="eastAsia"/>
          <w:color w:val="auto"/>
          <w:szCs w:val="24"/>
        </w:rPr>
        <w:t>），可不进行正常状况情景下的预测。因此本次预测主要针对非正常状况下污染物对地下水的影响。污染路径主要如下：</w:t>
      </w:r>
    </w:p>
    <w:p w14:paraId="5C606B52">
      <w:pPr>
        <w:spacing w:line="360" w:lineRule="auto"/>
        <w:ind w:firstLine="480"/>
        <w:rPr>
          <w:color w:val="auto"/>
          <w:szCs w:val="24"/>
        </w:rPr>
      </w:pPr>
      <w:r>
        <w:rPr>
          <w:color w:val="auto"/>
          <w:szCs w:val="24"/>
        </w:rPr>
        <w:t>1</w:t>
      </w:r>
      <w:r>
        <w:rPr>
          <w:rFonts w:hint="eastAsia"/>
          <w:color w:val="auto"/>
          <w:szCs w:val="24"/>
        </w:rPr>
        <w:t>）污水管网地下水环境影响分析</w:t>
      </w:r>
    </w:p>
    <w:p w14:paraId="26AD8BE7">
      <w:pPr>
        <w:spacing w:line="360" w:lineRule="auto"/>
        <w:ind w:firstLine="480"/>
        <w:rPr>
          <w:color w:val="auto"/>
          <w:szCs w:val="24"/>
        </w:rPr>
      </w:pPr>
      <w:r>
        <w:rPr>
          <w:rFonts w:hint="eastAsia"/>
          <w:color w:val="auto"/>
          <w:szCs w:val="24"/>
        </w:rPr>
        <w:t>拟建项目不涉及厂外污水管网建设，</w:t>
      </w:r>
      <w:r>
        <w:rPr>
          <w:rFonts w:hint="eastAsia"/>
          <w:color w:val="auto"/>
          <w:szCs w:val="24"/>
          <w:lang w:eastAsia="zh-CN"/>
        </w:rPr>
        <w:t>页岩气开采废水</w:t>
      </w:r>
      <w:r>
        <w:rPr>
          <w:rFonts w:hint="eastAsia"/>
          <w:color w:val="auto"/>
          <w:szCs w:val="24"/>
        </w:rPr>
        <w:t>均通过罐车运至厂区内，因此，本评价不涉及厂外污水管网地下水污染情况。</w:t>
      </w:r>
    </w:p>
    <w:p w14:paraId="475A1958">
      <w:pPr>
        <w:spacing w:line="360" w:lineRule="auto"/>
        <w:ind w:firstLine="480"/>
        <w:rPr>
          <w:color w:val="auto"/>
          <w:szCs w:val="24"/>
        </w:rPr>
      </w:pPr>
      <w:r>
        <w:rPr>
          <w:color w:val="auto"/>
          <w:szCs w:val="24"/>
        </w:rPr>
        <w:t>2</w:t>
      </w:r>
      <w:r>
        <w:rPr>
          <w:rFonts w:hint="eastAsia"/>
          <w:color w:val="auto"/>
          <w:szCs w:val="24"/>
        </w:rPr>
        <w:t>）污水处理厂地下水环境影响分析</w:t>
      </w:r>
    </w:p>
    <w:p w14:paraId="0E3A76D0">
      <w:pPr>
        <w:spacing w:line="360" w:lineRule="auto"/>
        <w:ind w:firstLine="480"/>
        <w:rPr>
          <w:color w:val="auto"/>
          <w:szCs w:val="24"/>
        </w:rPr>
      </w:pPr>
      <w:r>
        <w:rPr>
          <w:rFonts w:hint="eastAsia"/>
          <w:color w:val="auto"/>
          <w:szCs w:val="24"/>
        </w:rPr>
        <w:t>污水处理厂构筑物和设备基础采用钢筋混凝土结构，防渗效果好，发生泄漏的可能性小。</w:t>
      </w:r>
    </w:p>
    <w:p w14:paraId="0E3E192C">
      <w:pPr>
        <w:spacing w:line="360" w:lineRule="auto"/>
        <w:ind w:firstLine="480"/>
        <w:rPr>
          <w:color w:val="auto"/>
          <w:szCs w:val="24"/>
        </w:rPr>
      </w:pPr>
      <w:r>
        <w:rPr>
          <w:rFonts w:hint="eastAsia"/>
          <w:color w:val="auto"/>
          <w:szCs w:val="24"/>
        </w:rPr>
        <w:t>根据工程污染分析，拟建项目对地下水可能产生污染的途径主要包括：</w:t>
      </w:r>
    </w:p>
    <w:p w14:paraId="1392DBA5">
      <w:pPr>
        <w:spacing w:line="360" w:lineRule="auto"/>
        <w:ind w:firstLine="480"/>
        <w:rPr>
          <w:color w:val="auto"/>
          <w:szCs w:val="24"/>
        </w:rPr>
      </w:pPr>
      <w:r>
        <w:rPr>
          <w:rFonts w:hint="eastAsia"/>
          <w:color w:val="auto"/>
          <w:szCs w:val="24"/>
        </w:rPr>
        <w:t>①污水输送、贮存、处理场所发生跑、冒、滴、漏和事故性泄漏，废水泄漏后经包气带渗入含水层；</w:t>
      </w:r>
    </w:p>
    <w:p w14:paraId="0AADEF43">
      <w:pPr>
        <w:spacing w:line="360" w:lineRule="auto"/>
        <w:ind w:firstLine="480"/>
        <w:rPr>
          <w:color w:val="auto"/>
          <w:szCs w:val="24"/>
        </w:rPr>
      </w:pPr>
      <w:r>
        <w:rPr>
          <w:rFonts w:hint="eastAsia"/>
          <w:color w:val="auto"/>
          <w:szCs w:val="24"/>
        </w:rPr>
        <w:t>②池体防渗措施出现故障，废水进入地下影响地下水。</w:t>
      </w:r>
    </w:p>
    <w:p w14:paraId="7AB290E6">
      <w:pPr>
        <w:spacing w:line="360" w:lineRule="auto"/>
        <w:ind w:firstLine="480"/>
        <w:rPr>
          <w:color w:val="auto"/>
          <w:szCs w:val="24"/>
        </w:rPr>
      </w:pPr>
      <w:r>
        <w:rPr>
          <w:rFonts w:hint="eastAsia"/>
          <w:color w:val="auto"/>
          <w:szCs w:val="24"/>
        </w:rPr>
        <w:t>综上所述，模拟预测情景设定为：调节池构筑物底部地面发生破损，污水渗入地下污染地下水。</w:t>
      </w:r>
    </w:p>
    <w:p w14:paraId="73E762DF">
      <w:pPr>
        <w:spacing w:line="360" w:lineRule="auto"/>
        <w:ind w:firstLine="480"/>
        <w:rPr>
          <w:color w:val="auto"/>
          <w:szCs w:val="24"/>
        </w:rPr>
      </w:pPr>
      <w:r>
        <w:rPr>
          <w:rFonts w:hint="eastAsia"/>
          <w:color w:val="auto"/>
          <w:szCs w:val="24"/>
        </w:rPr>
        <w:t>（4）溶质运移模型</w:t>
      </w:r>
    </w:p>
    <w:p w14:paraId="2E74788F">
      <w:pPr>
        <w:spacing w:line="360" w:lineRule="auto"/>
        <w:ind w:firstLine="480"/>
        <w:rPr>
          <w:color w:val="auto"/>
          <w:szCs w:val="24"/>
        </w:rPr>
      </w:pPr>
      <w:r>
        <w:rPr>
          <w:rFonts w:hint="eastAsia"/>
          <w:color w:val="auto"/>
          <w:szCs w:val="24"/>
        </w:rPr>
        <w:t>本次地下水污染模拟过程未考虑污染物在含水层中的吸附、挥发、生物化学反应，模型中各项参数予以保守性考虑。这样选择的理由是：</w:t>
      </w:r>
    </w:p>
    <w:p w14:paraId="17EA0789">
      <w:pPr>
        <w:spacing w:line="360" w:lineRule="auto"/>
        <w:ind w:firstLine="480"/>
        <w:rPr>
          <w:color w:val="auto"/>
          <w:szCs w:val="24"/>
        </w:rPr>
      </w:pPr>
      <w:r>
        <w:rPr>
          <w:rFonts w:hint="eastAsia"/>
          <w:color w:val="auto"/>
          <w:szCs w:val="24"/>
        </w:rPr>
        <w:t>①从保守性角度考虑，假设污染质在运移中不与含水层介质发生反应，可以被认为是保守型污染质，只按保守型污染质来计算，即只考虑运移过程中的对流、弥散作用。</w:t>
      </w:r>
    </w:p>
    <w:p w14:paraId="0FEDD8E8">
      <w:pPr>
        <w:spacing w:line="360" w:lineRule="auto"/>
        <w:ind w:firstLine="480"/>
        <w:rPr>
          <w:color w:val="auto"/>
          <w:szCs w:val="24"/>
        </w:rPr>
      </w:pPr>
      <w:r>
        <w:rPr>
          <w:rFonts w:hint="eastAsia"/>
          <w:color w:val="auto"/>
          <w:szCs w:val="24"/>
        </w:rPr>
        <w:t>②有机污染物在地下水中的运移非常复杂，影响因素除对流、弥散作用以外，还存在物理、化学、微生物等作用，这些作用常常会使污染浓度衰减。目前国际上对这些作用参数的准确获取还存在着困难。</w:t>
      </w:r>
    </w:p>
    <w:p w14:paraId="1FB7A74E">
      <w:pPr>
        <w:spacing w:line="360" w:lineRule="auto"/>
        <w:ind w:firstLine="480"/>
        <w:rPr>
          <w:rFonts w:ascii="宋体" w:hAnsi="宋体"/>
          <w:color w:val="auto"/>
        </w:rPr>
      </w:pPr>
      <w:r>
        <w:rPr>
          <w:rFonts w:hint="eastAsia"/>
          <w:color w:val="auto"/>
          <w:szCs w:val="24"/>
        </w:rPr>
        <w:t>根据《建设项目环境影响评价技术导则</w:t>
      </w:r>
      <w:r>
        <w:rPr>
          <w:color w:val="auto"/>
          <w:szCs w:val="24"/>
        </w:rPr>
        <w:t>-</w:t>
      </w:r>
      <w:r>
        <w:rPr>
          <w:rFonts w:hint="eastAsia"/>
          <w:color w:val="auto"/>
          <w:szCs w:val="24"/>
        </w:rPr>
        <w:t>地下水环境》（</w:t>
      </w:r>
      <w:r>
        <w:rPr>
          <w:color w:val="auto"/>
          <w:szCs w:val="24"/>
        </w:rPr>
        <w:t>HJ610-2016</w:t>
      </w:r>
      <w:r>
        <w:rPr>
          <w:rFonts w:hint="eastAsia"/>
          <w:color w:val="auto"/>
          <w:szCs w:val="24"/>
        </w:rPr>
        <w:t>），地下水溶质运移可采用以下方程进行描述。</w:t>
      </w:r>
    </w:p>
    <w:p w14:paraId="0B8B8E83">
      <w:pPr>
        <w:spacing w:line="360" w:lineRule="auto"/>
        <w:ind w:firstLine="480"/>
        <w:rPr>
          <w:color w:val="auto"/>
          <w:szCs w:val="24"/>
        </w:rPr>
      </w:pPr>
      <w:r>
        <w:rPr>
          <w:color w:val="auto"/>
          <w:szCs w:val="24"/>
        </w:rPr>
        <w:t>本次预测采用初始浓度（背景值）不为零时定浓度注入污染物的一维解析解法（参考《多孔介质污染物迁移动力学》，王洪涛，2008年3月）进行预测，预测公式为：</w:t>
      </w:r>
    </w:p>
    <w:p w14:paraId="42C32154">
      <w:pPr>
        <w:spacing w:line="360" w:lineRule="auto"/>
        <w:ind w:firstLine="480"/>
        <w:rPr>
          <w:color w:val="auto"/>
          <w:szCs w:val="24"/>
        </w:rPr>
      </w:pPr>
      <w:r>
        <w:rPr>
          <w:color w:val="auto"/>
          <w:szCs w:val="24"/>
        </w:rPr>
        <w:t>在一维短时注入污染物条件下，注入条件可表示为：</w:t>
      </w:r>
    </w:p>
    <w:p w14:paraId="1298A8C2">
      <w:pPr>
        <w:spacing w:line="360" w:lineRule="auto"/>
        <w:ind w:firstLine="480"/>
        <w:rPr>
          <w:color w:val="auto"/>
          <w:szCs w:val="24"/>
        </w:rPr>
      </w:pPr>
      <m:oMath>
        <m:r>
          <m:rPr>
            <m:sty m:val="p"/>
          </m:rPr>
          <w:rPr>
            <w:rFonts w:ascii="Cambria Math" w:hAnsi="Cambria Math"/>
            <w:color w:val="auto"/>
            <w:szCs w:val="24"/>
          </w:rPr>
          <m:t xml:space="preserve">          </m:t>
        </m:r>
        <m:sSub>
          <m:sSubPr>
            <m:ctrlPr>
              <w:rPr>
                <w:rFonts w:ascii="Cambria Math" w:hAnsi="Cambria Math"/>
                <w:color w:val="auto"/>
                <w:szCs w:val="24"/>
              </w:rPr>
            </m:ctrlPr>
          </m:sSubPr>
          <m:e>
            <m:r>
              <m:rPr>
                <m:sty m:val="p"/>
              </m:rPr>
              <w:rPr>
                <w:rFonts w:ascii="Cambria Math" w:hAnsi="Cambria Math"/>
                <w:color w:val="auto"/>
                <w:szCs w:val="24"/>
              </w:rPr>
              <m:t>c</m:t>
            </m:r>
            <m:d>
              <m:dPr>
                <m:ctrlPr>
                  <w:rPr>
                    <w:rFonts w:ascii="Cambria Math" w:hAnsi="Cambria Math"/>
                    <w:color w:val="auto"/>
                    <w:szCs w:val="24"/>
                  </w:rPr>
                </m:ctrlPr>
              </m:dPr>
              <m:e>
                <m:r>
                  <m:rPr>
                    <m:sty m:val="p"/>
                  </m:rPr>
                  <w:rPr>
                    <w:rFonts w:ascii="Cambria Math" w:hAnsi="Cambria Math"/>
                    <w:color w:val="auto"/>
                    <w:szCs w:val="24"/>
                  </w:rPr>
                  <m:t>x,t</m:t>
                </m:r>
                <m:ctrlPr>
                  <w:rPr>
                    <w:rFonts w:ascii="Cambria Math" w:hAnsi="Cambria Math"/>
                    <w:color w:val="auto"/>
                    <w:szCs w:val="24"/>
                  </w:rPr>
                </m:ctrlPr>
              </m:e>
            </m:d>
            <m:r>
              <m:rPr>
                <m:sty m:val="p"/>
              </m:rPr>
              <w:rPr>
                <w:rFonts w:ascii="Cambria Math" w:hAnsi="Cambria Math"/>
                <w:color w:val="auto"/>
                <w:szCs w:val="24"/>
              </w:rPr>
              <m:t>|</m:t>
            </m:r>
            <m:ctrlPr>
              <w:rPr>
                <w:rFonts w:ascii="Cambria Math" w:hAnsi="Cambria Math"/>
                <w:color w:val="auto"/>
                <w:szCs w:val="24"/>
              </w:rPr>
            </m:ctrlPr>
          </m:e>
          <m:sub>
            <m:r>
              <m:rPr/>
              <w:rPr>
                <w:rFonts w:ascii="Cambria Math" w:hAnsi="Cambria Math"/>
                <w:color w:val="auto"/>
                <w:szCs w:val="24"/>
              </w:rPr>
              <m:t>x</m:t>
            </m:r>
            <m:r>
              <m:rPr>
                <m:sty m:val="p"/>
              </m:rPr>
              <w:rPr>
                <w:rFonts w:ascii="Cambria Math" w:hAnsi="Cambria Math"/>
                <w:color w:val="auto"/>
                <w:szCs w:val="24"/>
              </w:rPr>
              <m:t>=0</m:t>
            </m:r>
            <m:ctrlPr>
              <w:rPr>
                <w:rFonts w:ascii="Cambria Math" w:hAnsi="Cambria Math"/>
                <w:color w:val="auto"/>
                <w:szCs w:val="24"/>
              </w:rPr>
            </m:ctrlPr>
          </m:sub>
        </m:sSub>
        <m:r>
          <m:rPr>
            <m:sty m:val="p"/>
          </m:rPr>
          <w:rPr>
            <w:rFonts w:ascii="Cambria Math" w:hAnsi="Cambria Math"/>
            <w:color w:val="auto"/>
            <w:szCs w:val="24"/>
          </w:rPr>
          <m:t>=</m:t>
        </m:r>
        <m:d>
          <m:dPr>
            <m:begChr m:val="{"/>
            <m:endChr m:val=""/>
            <m:ctrlPr>
              <w:rPr>
                <w:rFonts w:ascii="Cambria Math" w:hAnsi="Cambria Math"/>
                <w:color w:val="auto"/>
                <w:szCs w:val="24"/>
              </w:rPr>
            </m:ctrlPr>
          </m:dPr>
          <m:e>
            <m:eqArr>
              <m:eqArrPr>
                <m:ctrlPr>
                  <w:rPr>
                    <w:rFonts w:ascii="Cambria Math" w:hAnsi="Cambria Math"/>
                    <w:color w:val="auto"/>
                    <w:szCs w:val="24"/>
                  </w:rPr>
                </m:ctrlPr>
              </m:eqArrPr>
              <m:e>
                <m:sSub>
                  <m:sSubPr>
                    <m:ctrlPr>
                      <w:rPr>
                        <w:rFonts w:ascii="Cambria Math" w:hAnsi="Cambria Math"/>
                        <w:color w:val="auto"/>
                        <w:szCs w:val="24"/>
                      </w:rPr>
                    </m:ctrlPr>
                  </m:sSubPr>
                  <m:e>
                    <m:r>
                      <m:rPr/>
                      <w:rPr>
                        <w:rFonts w:ascii="Cambria Math" w:hAnsi="Cambria Math"/>
                        <w:color w:val="auto"/>
                        <w:szCs w:val="24"/>
                      </w:rPr>
                      <m:t>c</m:t>
                    </m:r>
                    <m:ctrlPr>
                      <w:rPr>
                        <w:rFonts w:ascii="Cambria Math" w:hAnsi="Cambria Math"/>
                        <w:color w:val="auto"/>
                        <w:szCs w:val="24"/>
                      </w:rPr>
                    </m:ctrlPr>
                  </m:e>
                  <m:sub>
                    <m:r>
                      <m:rPr>
                        <m:sty m:val="p"/>
                      </m:rPr>
                      <w:rPr>
                        <w:rFonts w:ascii="Cambria Math" w:hAnsi="Cambria Math"/>
                        <w:color w:val="auto"/>
                        <w:szCs w:val="24"/>
                      </w:rPr>
                      <m:t>0</m:t>
                    </m:r>
                    <m:ctrlPr>
                      <w:rPr>
                        <w:rFonts w:ascii="Cambria Math" w:hAnsi="Cambria Math"/>
                        <w:color w:val="auto"/>
                        <w:szCs w:val="24"/>
                      </w:rPr>
                    </m:ctrlPr>
                  </m:sub>
                </m:sSub>
                <m:r>
                  <m:rPr>
                    <m:sty m:val="p"/>
                  </m:rPr>
                  <w:rPr>
                    <w:rFonts w:ascii="Cambria Math" w:hAnsi="Cambria Math"/>
                    <w:color w:val="auto"/>
                    <w:szCs w:val="24"/>
                  </w:rPr>
                  <m:t xml:space="preserve">     0&lt;</m:t>
                </m:r>
                <m:sSub>
                  <m:sSubPr>
                    <m:ctrlPr>
                      <w:rPr>
                        <w:rFonts w:ascii="Cambria Math" w:hAnsi="Cambria Math"/>
                        <w:color w:val="auto"/>
                        <w:szCs w:val="24"/>
                      </w:rPr>
                    </m:ctrlPr>
                  </m:sSubPr>
                  <m:e>
                    <m:r>
                      <m:rPr/>
                      <w:rPr>
                        <w:rFonts w:ascii="Cambria Math" w:hAnsi="Cambria Math"/>
                        <w:color w:val="auto"/>
                        <w:szCs w:val="24"/>
                      </w:rPr>
                      <m:t>t</m:t>
                    </m:r>
                    <m:r>
                      <m:rPr>
                        <m:sty m:val="p"/>
                      </m:rPr>
                      <w:rPr>
                        <w:rFonts w:ascii="Cambria Math" w:hAnsi="Cambria Math"/>
                        <w:color w:val="auto"/>
                        <w:szCs w:val="24"/>
                      </w:rPr>
                      <m:t>&lt;</m:t>
                    </m:r>
                    <m:r>
                      <m:rPr/>
                      <w:rPr>
                        <w:rFonts w:ascii="Cambria Math" w:hAnsi="Cambria Math"/>
                        <w:color w:val="auto"/>
                        <w:szCs w:val="24"/>
                      </w:rPr>
                      <m:t>t</m:t>
                    </m:r>
                    <m:ctrlPr>
                      <w:rPr>
                        <w:rFonts w:ascii="Cambria Math" w:hAnsi="Cambria Math"/>
                        <w:color w:val="auto"/>
                        <w:szCs w:val="24"/>
                      </w:rPr>
                    </m:ctrlPr>
                  </m:e>
                  <m:sub>
                    <m:r>
                      <m:rPr>
                        <m:sty m:val="p"/>
                      </m:rPr>
                      <w:rPr>
                        <w:rFonts w:ascii="Cambria Math" w:hAnsi="Cambria Math"/>
                        <w:color w:val="auto"/>
                        <w:szCs w:val="24"/>
                      </w:rPr>
                      <m:t>0</m:t>
                    </m:r>
                    <m:ctrlPr>
                      <w:rPr>
                        <w:rFonts w:ascii="Cambria Math" w:hAnsi="Cambria Math"/>
                        <w:color w:val="auto"/>
                        <w:szCs w:val="24"/>
                      </w:rPr>
                    </m:ctrlPr>
                  </m:sub>
                </m:sSub>
                <m:ctrlPr>
                  <w:rPr>
                    <w:rFonts w:ascii="Cambria Math" w:hAnsi="Cambria Math"/>
                    <w:color w:val="auto"/>
                    <w:szCs w:val="24"/>
                  </w:rPr>
                </m:ctrlPr>
              </m:e>
              <m:e>
                <m:r>
                  <m:rPr>
                    <m:sty m:val="p"/>
                  </m:rPr>
                  <w:rPr>
                    <w:rFonts w:ascii="Cambria Math" w:hAnsi="Cambria Math"/>
                    <w:color w:val="auto"/>
                    <w:szCs w:val="24"/>
                  </w:rPr>
                  <m:t xml:space="preserve">0             </m:t>
                </m:r>
                <m:r>
                  <m:rPr/>
                  <w:rPr>
                    <w:rFonts w:ascii="Cambria Math" w:hAnsi="Cambria Math"/>
                    <w:color w:val="auto"/>
                    <w:szCs w:val="24"/>
                  </w:rPr>
                  <m:t>t</m:t>
                </m:r>
                <m:r>
                  <m:rPr>
                    <m:sty m:val="p"/>
                  </m:rPr>
                  <w:rPr>
                    <w:rFonts w:ascii="Cambria Math" w:hAnsi="Cambria Math"/>
                    <w:color w:val="auto"/>
                    <w:szCs w:val="24"/>
                  </w:rPr>
                  <m:t>&gt;</m:t>
                </m:r>
                <m:sSub>
                  <m:sSubPr>
                    <m:ctrlPr>
                      <w:rPr>
                        <w:rFonts w:ascii="Cambria Math" w:hAnsi="Cambria Math"/>
                        <w:color w:val="auto"/>
                        <w:szCs w:val="24"/>
                      </w:rPr>
                    </m:ctrlPr>
                  </m:sSubPr>
                  <m:e>
                    <m:r>
                      <m:rPr/>
                      <w:rPr>
                        <w:rFonts w:ascii="Cambria Math" w:hAnsi="Cambria Math"/>
                        <w:color w:val="auto"/>
                        <w:szCs w:val="24"/>
                      </w:rPr>
                      <m:t>t</m:t>
                    </m:r>
                    <m:ctrlPr>
                      <w:rPr>
                        <w:rFonts w:ascii="Cambria Math" w:hAnsi="Cambria Math"/>
                        <w:color w:val="auto"/>
                        <w:szCs w:val="24"/>
                      </w:rPr>
                    </m:ctrlPr>
                  </m:e>
                  <m:sub>
                    <m:r>
                      <m:rPr>
                        <m:sty m:val="p"/>
                      </m:rPr>
                      <w:rPr>
                        <w:rFonts w:ascii="Cambria Math" w:hAnsi="Cambria Math"/>
                        <w:color w:val="auto"/>
                        <w:szCs w:val="24"/>
                      </w:rPr>
                      <m:t>0</m:t>
                    </m:r>
                    <m:ctrlPr>
                      <w:rPr>
                        <w:rFonts w:ascii="Cambria Math" w:hAnsi="Cambria Math"/>
                        <w:color w:val="auto"/>
                        <w:szCs w:val="24"/>
                      </w:rPr>
                    </m:ctrlPr>
                  </m:sub>
                </m:sSub>
                <m:ctrlPr>
                  <w:rPr>
                    <w:rFonts w:ascii="Cambria Math" w:hAnsi="Cambria Math"/>
                    <w:color w:val="auto"/>
                    <w:szCs w:val="24"/>
                  </w:rPr>
                </m:ctrlPr>
              </m:e>
            </m:eqArr>
            <m:ctrlPr>
              <w:rPr>
                <w:rFonts w:ascii="Cambria Math" w:hAnsi="Cambria Math"/>
                <w:color w:val="auto"/>
                <w:szCs w:val="24"/>
              </w:rPr>
            </m:ctrlPr>
          </m:e>
        </m:d>
      </m:oMath>
      <w:r>
        <w:rPr>
          <w:rFonts w:hint="eastAsia"/>
          <w:color w:val="auto"/>
          <w:szCs w:val="24"/>
        </w:rPr>
        <w:t xml:space="preserve"> </w:t>
      </w:r>
      <w:r>
        <w:rPr>
          <w:color w:val="auto"/>
          <w:szCs w:val="24"/>
        </w:rPr>
        <w:t xml:space="preserve">                        </w:t>
      </w:r>
    </w:p>
    <w:p w14:paraId="1DEEF571">
      <w:pPr>
        <w:spacing w:line="360" w:lineRule="auto"/>
        <w:ind w:firstLine="480"/>
        <w:rPr>
          <w:color w:val="auto"/>
          <w:szCs w:val="24"/>
        </w:rPr>
      </w:pPr>
      <w:r>
        <w:rPr>
          <w:rFonts w:hint="eastAsia"/>
          <w:color w:val="auto"/>
          <w:szCs w:val="24"/>
        </w:rPr>
        <w:t>式中，t</w:t>
      </w:r>
      <w:r>
        <w:rPr>
          <w:color w:val="auto"/>
          <w:szCs w:val="24"/>
        </w:rPr>
        <w:t>0</w:t>
      </w:r>
      <w:r>
        <w:rPr>
          <w:rFonts w:hint="eastAsia"/>
          <w:color w:val="auto"/>
          <w:szCs w:val="24"/>
        </w:rPr>
        <w:t>为注入污染物时间。</w:t>
      </w:r>
    </w:p>
    <w:p w14:paraId="65E2F605">
      <w:pPr>
        <w:spacing w:line="360" w:lineRule="auto"/>
        <w:ind w:firstLine="480"/>
        <w:rPr>
          <w:color w:val="auto"/>
          <w:szCs w:val="24"/>
        </w:rPr>
      </w:pPr>
      <w:r>
        <w:rPr>
          <w:rFonts w:hint="eastAsia"/>
          <w:color w:val="auto"/>
          <w:szCs w:val="24"/>
        </w:rPr>
        <w:t>此时的解为：</w:t>
      </w:r>
    </w:p>
    <w:p w14:paraId="07435BC1">
      <w:pPr>
        <w:spacing w:line="360" w:lineRule="auto"/>
        <w:ind w:firstLine="480"/>
        <w:rPr>
          <w:color w:val="auto"/>
          <w:szCs w:val="24"/>
        </w:rPr>
      </w:pPr>
      <m:oMath>
        <m:r>
          <m:rPr>
            <m:sty m:val="p"/>
          </m:rPr>
          <w:rPr>
            <w:rFonts w:ascii="Cambria Math" w:hAnsi="Cambria Math"/>
            <w:color w:val="auto"/>
            <w:szCs w:val="24"/>
          </w:rPr>
          <m:t xml:space="preserve">             c=</m:t>
        </m:r>
        <m:f>
          <m:fPr>
            <m:ctrlPr>
              <w:rPr>
                <w:rFonts w:ascii="Cambria Math" w:hAnsi="Cambria Math"/>
                <w:color w:val="auto"/>
                <w:szCs w:val="24"/>
              </w:rPr>
            </m:ctrlPr>
          </m:fPr>
          <m:num>
            <m:sSub>
              <m:sSubPr>
                <m:ctrlPr>
                  <w:rPr>
                    <w:rFonts w:ascii="Cambria Math" w:hAnsi="Cambria Math"/>
                    <w:color w:val="auto"/>
                    <w:szCs w:val="24"/>
                  </w:rPr>
                </m:ctrlPr>
              </m:sSubPr>
              <m:e>
                <m:r>
                  <m:rPr/>
                  <w:rPr>
                    <w:rFonts w:ascii="Cambria Math" w:hAnsi="Cambria Math"/>
                    <w:color w:val="auto"/>
                    <w:szCs w:val="24"/>
                  </w:rPr>
                  <m:t>c</m:t>
                </m:r>
                <m:ctrlPr>
                  <w:rPr>
                    <w:rFonts w:ascii="Cambria Math" w:hAnsi="Cambria Math"/>
                    <w:color w:val="auto"/>
                    <w:szCs w:val="24"/>
                  </w:rPr>
                </m:ctrlPr>
              </m:e>
              <m:sub>
                <m:r>
                  <m:rPr>
                    <m:sty m:val="p"/>
                  </m:rPr>
                  <w:rPr>
                    <w:rFonts w:ascii="Cambria Math" w:hAnsi="Cambria Math"/>
                    <w:color w:val="auto"/>
                    <w:szCs w:val="24"/>
                  </w:rPr>
                  <m:t>0</m:t>
                </m:r>
                <m:ctrlPr>
                  <w:rPr>
                    <w:rFonts w:ascii="Cambria Math" w:hAnsi="Cambria Math"/>
                    <w:color w:val="auto"/>
                    <w:szCs w:val="24"/>
                  </w:rPr>
                </m:ctrlPr>
              </m:sub>
            </m:sSub>
            <m:ctrlPr>
              <w:rPr>
                <w:rFonts w:ascii="Cambria Math" w:hAnsi="Cambria Math"/>
                <w:color w:val="auto"/>
                <w:szCs w:val="24"/>
              </w:rPr>
            </m:ctrlPr>
          </m:num>
          <m:den>
            <m:r>
              <m:rPr>
                <m:sty m:val="p"/>
              </m:rPr>
              <w:rPr>
                <w:rFonts w:ascii="Cambria Math" w:hAnsi="Cambria Math"/>
                <w:color w:val="auto"/>
                <w:szCs w:val="24"/>
              </w:rPr>
              <m:t>2</m:t>
            </m:r>
            <m:ctrlPr>
              <w:rPr>
                <w:rFonts w:ascii="Cambria Math" w:hAnsi="Cambria Math"/>
                <w:color w:val="auto"/>
                <w:szCs w:val="24"/>
              </w:rPr>
            </m:ctrlPr>
          </m:den>
        </m:f>
        <m:d>
          <m:dPr>
            <m:begChr m:val="["/>
            <m:endChr m:val="]"/>
            <m:ctrlPr>
              <w:rPr>
                <w:rFonts w:ascii="Cambria Math" w:hAnsi="Cambria Math"/>
                <w:color w:val="auto"/>
                <w:szCs w:val="24"/>
              </w:rPr>
            </m:ctrlPr>
          </m:dPr>
          <m:e>
            <m:r>
              <m:rPr/>
              <w:rPr>
                <w:rFonts w:ascii="Cambria Math" w:hAnsi="Cambria Math"/>
                <w:color w:val="auto"/>
                <w:szCs w:val="24"/>
              </w:rPr>
              <m:t>erfc</m:t>
            </m:r>
            <m:d>
              <m:dPr>
                <m:ctrlPr>
                  <w:rPr>
                    <w:rFonts w:ascii="Cambria Math" w:hAnsi="Cambria Math"/>
                    <w:color w:val="auto"/>
                    <w:szCs w:val="24"/>
                  </w:rPr>
                </m:ctrlPr>
              </m:dPr>
              <m:e>
                <m:f>
                  <m:fPr>
                    <m:ctrlPr>
                      <w:rPr>
                        <w:rFonts w:ascii="Cambria Math" w:hAnsi="Cambria Math"/>
                        <w:color w:val="auto"/>
                        <w:szCs w:val="24"/>
                      </w:rPr>
                    </m:ctrlPr>
                  </m:fPr>
                  <m:num>
                    <m:r>
                      <m:rPr/>
                      <w:rPr>
                        <w:rFonts w:ascii="Cambria Math" w:hAnsi="Cambria Math"/>
                        <w:color w:val="auto"/>
                        <w:szCs w:val="24"/>
                      </w:rPr>
                      <m:t>x</m:t>
                    </m:r>
                    <m:r>
                      <m:rPr>
                        <m:sty m:val="p"/>
                      </m:rPr>
                      <w:rPr>
                        <w:rFonts w:ascii="Cambria Math" w:hAnsi="Cambria Math"/>
                        <w:color w:val="auto"/>
                        <w:szCs w:val="24"/>
                      </w:rPr>
                      <m:t>−</m:t>
                    </m:r>
                    <m:r>
                      <m:rPr/>
                      <w:rPr>
                        <w:rFonts w:ascii="Cambria Math" w:hAnsi="Cambria Math"/>
                        <w:color w:val="auto"/>
                        <w:szCs w:val="24"/>
                      </w:rPr>
                      <m:t>ut</m:t>
                    </m:r>
                    <m:ctrlPr>
                      <w:rPr>
                        <w:rFonts w:ascii="Cambria Math" w:hAnsi="Cambria Math"/>
                        <w:color w:val="auto"/>
                        <w:szCs w:val="24"/>
                      </w:rPr>
                    </m:ctrlPr>
                  </m:num>
                  <m:den>
                    <m:r>
                      <m:rPr>
                        <m:sty m:val="p"/>
                      </m:rPr>
                      <w:rPr>
                        <w:rFonts w:ascii="Cambria Math" w:hAnsi="Cambria Math"/>
                        <w:color w:val="auto"/>
                        <w:szCs w:val="24"/>
                      </w:rPr>
                      <m:t>2</m:t>
                    </m:r>
                    <m:rad>
                      <m:radPr>
                        <m:degHide m:val="1"/>
                        <m:ctrlPr>
                          <w:rPr>
                            <w:rFonts w:ascii="Cambria Math" w:hAnsi="Cambria Math"/>
                            <w:color w:val="auto"/>
                            <w:szCs w:val="24"/>
                          </w:rPr>
                        </m:ctrlPr>
                      </m:radPr>
                      <m:deg>
                        <m:ctrlPr>
                          <w:rPr>
                            <w:rFonts w:ascii="Cambria Math" w:hAnsi="Cambria Math"/>
                            <w:color w:val="auto"/>
                            <w:szCs w:val="24"/>
                          </w:rPr>
                        </m:ctrlPr>
                      </m:deg>
                      <m:e>
                        <m:sSub>
                          <m:sSubPr>
                            <m:ctrlPr>
                              <w:rPr>
                                <w:rFonts w:ascii="Cambria Math" w:hAnsi="Cambria Math"/>
                                <w:color w:val="auto"/>
                                <w:szCs w:val="24"/>
                              </w:rPr>
                            </m:ctrlPr>
                          </m:sSubPr>
                          <m:e>
                            <m:r>
                              <m:rPr/>
                              <w:rPr>
                                <w:rFonts w:ascii="Cambria Math" w:hAnsi="Cambria Math"/>
                                <w:color w:val="auto"/>
                                <w:szCs w:val="24"/>
                              </w:rPr>
                              <m:t>D</m:t>
                            </m:r>
                            <m:ctrlPr>
                              <w:rPr>
                                <w:rFonts w:ascii="Cambria Math" w:hAnsi="Cambria Math"/>
                                <w:color w:val="auto"/>
                                <w:szCs w:val="24"/>
                              </w:rPr>
                            </m:ctrlPr>
                          </m:e>
                          <m:sub>
                            <m:r>
                              <m:rPr/>
                              <w:rPr>
                                <w:rFonts w:ascii="Cambria Math" w:hAnsi="Cambria Math"/>
                                <w:color w:val="auto"/>
                                <w:szCs w:val="24"/>
                              </w:rPr>
                              <m:t>L</m:t>
                            </m:r>
                            <m:ctrlPr>
                              <w:rPr>
                                <w:rFonts w:ascii="Cambria Math" w:hAnsi="Cambria Math"/>
                                <w:color w:val="auto"/>
                                <w:szCs w:val="24"/>
                              </w:rPr>
                            </m:ctrlPr>
                          </m:sub>
                        </m:sSub>
                        <m:r>
                          <m:rPr/>
                          <w:rPr>
                            <w:rFonts w:ascii="Cambria Math" w:hAnsi="Cambria Math"/>
                            <w:color w:val="auto"/>
                            <w:szCs w:val="24"/>
                          </w:rPr>
                          <m:t>t</m:t>
                        </m:r>
                        <m:ctrlPr>
                          <w:rPr>
                            <w:rFonts w:ascii="Cambria Math" w:hAnsi="Cambria Math"/>
                            <w:color w:val="auto"/>
                            <w:szCs w:val="24"/>
                          </w:rPr>
                        </m:ctrlPr>
                      </m:e>
                    </m:rad>
                    <m:ctrlPr>
                      <w:rPr>
                        <w:rFonts w:ascii="Cambria Math" w:hAnsi="Cambria Math"/>
                        <w:color w:val="auto"/>
                        <w:szCs w:val="24"/>
                      </w:rPr>
                    </m:ctrlPr>
                  </m:den>
                </m:f>
                <m:ctrlPr>
                  <w:rPr>
                    <w:rFonts w:ascii="Cambria Math" w:hAnsi="Cambria Math"/>
                    <w:color w:val="auto"/>
                    <w:szCs w:val="24"/>
                  </w:rPr>
                </m:ctrlPr>
              </m:e>
            </m:d>
            <m:r>
              <m:rPr>
                <m:sty m:val="p"/>
              </m:rPr>
              <w:rPr>
                <w:rFonts w:ascii="Cambria Math" w:hAnsi="Cambria Math"/>
                <w:color w:val="auto"/>
                <w:szCs w:val="24"/>
              </w:rPr>
              <m:t>−</m:t>
            </m:r>
            <m:r>
              <m:rPr/>
              <w:rPr>
                <w:rFonts w:ascii="Cambria Math" w:hAnsi="Cambria Math"/>
                <w:color w:val="auto"/>
                <w:szCs w:val="24"/>
              </w:rPr>
              <m:t>erfc</m:t>
            </m:r>
            <m:d>
              <m:dPr>
                <m:ctrlPr>
                  <w:rPr>
                    <w:rFonts w:ascii="Cambria Math" w:hAnsi="Cambria Math"/>
                    <w:color w:val="auto"/>
                    <w:szCs w:val="24"/>
                  </w:rPr>
                </m:ctrlPr>
              </m:dPr>
              <m:e>
                <m:f>
                  <m:fPr>
                    <m:ctrlPr>
                      <w:rPr>
                        <w:rFonts w:ascii="Cambria Math" w:hAnsi="Cambria Math"/>
                        <w:color w:val="auto"/>
                        <w:szCs w:val="24"/>
                      </w:rPr>
                    </m:ctrlPr>
                  </m:fPr>
                  <m:num>
                    <m:r>
                      <m:rPr/>
                      <w:rPr>
                        <w:rFonts w:ascii="Cambria Math" w:hAnsi="Cambria Math"/>
                        <w:color w:val="auto"/>
                        <w:szCs w:val="24"/>
                      </w:rPr>
                      <m:t>x</m:t>
                    </m:r>
                    <m:r>
                      <m:rPr>
                        <m:sty m:val="p"/>
                      </m:rPr>
                      <w:rPr>
                        <w:rFonts w:ascii="Cambria Math" w:hAnsi="Cambria Math"/>
                        <w:color w:val="auto"/>
                        <w:szCs w:val="24"/>
                      </w:rPr>
                      <m:t>−</m:t>
                    </m:r>
                    <m:r>
                      <m:rPr/>
                      <w:rPr>
                        <w:rFonts w:ascii="Cambria Math" w:hAnsi="Cambria Math"/>
                        <w:color w:val="auto"/>
                        <w:szCs w:val="24"/>
                      </w:rPr>
                      <m:t>u</m:t>
                    </m:r>
                    <m:d>
                      <m:dPr>
                        <m:ctrlPr>
                          <w:rPr>
                            <w:rFonts w:ascii="Cambria Math" w:hAnsi="Cambria Math"/>
                            <w:color w:val="auto"/>
                            <w:szCs w:val="24"/>
                          </w:rPr>
                        </m:ctrlPr>
                      </m:dPr>
                      <m:e>
                        <m:r>
                          <m:rPr/>
                          <w:rPr>
                            <w:rFonts w:ascii="Cambria Math" w:hAnsi="Cambria Math"/>
                            <w:color w:val="auto"/>
                            <w:szCs w:val="24"/>
                          </w:rPr>
                          <m:t>t</m:t>
                        </m:r>
                        <m:r>
                          <m:rPr>
                            <m:sty m:val="p"/>
                          </m:rPr>
                          <w:rPr>
                            <w:rFonts w:ascii="Cambria Math" w:hAnsi="Cambria Math"/>
                            <w:color w:val="auto"/>
                            <w:szCs w:val="24"/>
                          </w:rPr>
                          <m:t>−</m:t>
                        </m:r>
                        <m:sSub>
                          <m:sSubPr>
                            <m:ctrlPr>
                              <w:rPr>
                                <w:rFonts w:ascii="Cambria Math" w:hAnsi="Cambria Math"/>
                                <w:color w:val="auto"/>
                                <w:szCs w:val="24"/>
                              </w:rPr>
                            </m:ctrlPr>
                          </m:sSubPr>
                          <m:e>
                            <m:r>
                              <m:rPr/>
                              <w:rPr>
                                <w:rFonts w:ascii="Cambria Math" w:hAnsi="Cambria Math"/>
                                <w:color w:val="auto"/>
                                <w:szCs w:val="24"/>
                              </w:rPr>
                              <m:t>t</m:t>
                            </m:r>
                            <m:ctrlPr>
                              <w:rPr>
                                <w:rFonts w:ascii="Cambria Math" w:hAnsi="Cambria Math"/>
                                <w:color w:val="auto"/>
                                <w:szCs w:val="24"/>
                              </w:rPr>
                            </m:ctrlPr>
                          </m:e>
                          <m:sub>
                            <m:r>
                              <m:rPr>
                                <m:sty m:val="p"/>
                              </m:rPr>
                              <w:rPr>
                                <w:rFonts w:ascii="Cambria Math" w:hAnsi="Cambria Math"/>
                                <w:color w:val="auto"/>
                                <w:szCs w:val="24"/>
                              </w:rPr>
                              <m:t>0</m:t>
                            </m:r>
                            <m:ctrlPr>
                              <w:rPr>
                                <w:rFonts w:ascii="Cambria Math" w:hAnsi="Cambria Math"/>
                                <w:color w:val="auto"/>
                                <w:szCs w:val="24"/>
                              </w:rPr>
                            </m:ctrlPr>
                          </m:sub>
                        </m:sSub>
                        <m:ctrlPr>
                          <w:rPr>
                            <w:rFonts w:ascii="Cambria Math" w:hAnsi="Cambria Math"/>
                            <w:color w:val="auto"/>
                            <w:szCs w:val="24"/>
                          </w:rPr>
                        </m:ctrlPr>
                      </m:e>
                    </m:d>
                    <m:ctrlPr>
                      <w:rPr>
                        <w:rFonts w:ascii="Cambria Math" w:hAnsi="Cambria Math"/>
                        <w:color w:val="auto"/>
                        <w:szCs w:val="24"/>
                      </w:rPr>
                    </m:ctrlPr>
                  </m:num>
                  <m:den>
                    <m:r>
                      <m:rPr>
                        <m:sty m:val="p"/>
                      </m:rPr>
                      <w:rPr>
                        <w:rFonts w:ascii="Cambria Math" w:hAnsi="Cambria Math"/>
                        <w:color w:val="auto"/>
                        <w:szCs w:val="24"/>
                      </w:rPr>
                      <m:t>2</m:t>
                    </m:r>
                    <m:rad>
                      <m:radPr>
                        <m:degHide m:val="1"/>
                        <m:ctrlPr>
                          <w:rPr>
                            <w:rFonts w:ascii="Cambria Math" w:hAnsi="Cambria Math"/>
                            <w:color w:val="auto"/>
                            <w:szCs w:val="24"/>
                          </w:rPr>
                        </m:ctrlPr>
                      </m:radPr>
                      <m:deg>
                        <m:ctrlPr>
                          <w:rPr>
                            <w:rFonts w:ascii="Cambria Math" w:hAnsi="Cambria Math"/>
                            <w:color w:val="auto"/>
                            <w:szCs w:val="24"/>
                          </w:rPr>
                        </m:ctrlPr>
                      </m:deg>
                      <m:e>
                        <m:sSub>
                          <m:sSubPr>
                            <m:ctrlPr>
                              <w:rPr>
                                <w:rFonts w:ascii="Cambria Math" w:hAnsi="Cambria Math"/>
                                <w:color w:val="auto"/>
                                <w:szCs w:val="24"/>
                              </w:rPr>
                            </m:ctrlPr>
                          </m:sSubPr>
                          <m:e>
                            <m:r>
                              <m:rPr/>
                              <w:rPr>
                                <w:rFonts w:ascii="Cambria Math" w:hAnsi="Cambria Math"/>
                                <w:color w:val="auto"/>
                                <w:szCs w:val="24"/>
                              </w:rPr>
                              <m:t>D</m:t>
                            </m:r>
                            <m:ctrlPr>
                              <w:rPr>
                                <w:rFonts w:ascii="Cambria Math" w:hAnsi="Cambria Math"/>
                                <w:color w:val="auto"/>
                                <w:szCs w:val="24"/>
                              </w:rPr>
                            </m:ctrlPr>
                          </m:e>
                          <m:sub>
                            <m:r>
                              <m:rPr/>
                              <w:rPr>
                                <w:rFonts w:ascii="Cambria Math" w:hAnsi="Cambria Math"/>
                                <w:color w:val="auto"/>
                                <w:szCs w:val="24"/>
                              </w:rPr>
                              <m:t>L</m:t>
                            </m:r>
                            <m:ctrlPr>
                              <w:rPr>
                                <w:rFonts w:ascii="Cambria Math" w:hAnsi="Cambria Math"/>
                                <w:color w:val="auto"/>
                                <w:szCs w:val="24"/>
                              </w:rPr>
                            </m:ctrlPr>
                          </m:sub>
                        </m:sSub>
                        <m:r>
                          <m:rPr/>
                          <w:rPr>
                            <w:rFonts w:ascii="Cambria Math" w:hAnsi="Cambria Math"/>
                            <w:color w:val="auto"/>
                            <w:szCs w:val="24"/>
                          </w:rPr>
                          <m:t>t</m:t>
                        </m:r>
                        <m:d>
                          <m:dPr>
                            <m:ctrlPr>
                              <w:rPr>
                                <w:rFonts w:ascii="Cambria Math" w:hAnsi="Cambria Math"/>
                                <w:color w:val="auto"/>
                                <w:szCs w:val="24"/>
                              </w:rPr>
                            </m:ctrlPr>
                          </m:dPr>
                          <m:e>
                            <m:r>
                              <m:rPr>
                                <m:sty m:val="p"/>
                              </m:rPr>
                              <w:rPr>
                                <w:rFonts w:ascii="Cambria Math" w:hAnsi="Cambria Math"/>
                                <w:color w:val="auto"/>
                                <w:szCs w:val="24"/>
                              </w:rPr>
                              <m:t>−</m:t>
                            </m:r>
                            <m:sSub>
                              <m:sSubPr>
                                <m:ctrlPr>
                                  <w:rPr>
                                    <w:rFonts w:ascii="Cambria Math" w:hAnsi="Cambria Math"/>
                                    <w:color w:val="auto"/>
                                    <w:szCs w:val="24"/>
                                  </w:rPr>
                                </m:ctrlPr>
                              </m:sSubPr>
                              <m:e>
                                <m:r>
                                  <m:rPr/>
                                  <w:rPr>
                                    <w:rFonts w:ascii="Cambria Math" w:hAnsi="Cambria Math"/>
                                    <w:color w:val="auto"/>
                                    <w:szCs w:val="24"/>
                                  </w:rPr>
                                  <m:t>t</m:t>
                                </m:r>
                                <m:ctrlPr>
                                  <w:rPr>
                                    <w:rFonts w:ascii="Cambria Math" w:hAnsi="Cambria Math"/>
                                    <w:color w:val="auto"/>
                                    <w:szCs w:val="24"/>
                                  </w:rPr>
                                </m:ctrlPr>
                              </m:e>
                              <m:sub>
                                <m:r>
                                  <m:rPr>
                                    <m:sty m:val="p"/>
                                  </m:rPr>
                                  <w:rPr>
                                    <w:rFonts w:ascii="Cambria Math" w:hAnsi="Cambria Math"/>
                                    <w:color w:val="auto"/>
                                    <w:szCs w:val="24"/>
                                  </w:rPr>
                                  <m:t>0</m:t>
                                </m:r>
                                <m:ctrlPr>
                                  <w:rPr>
                                    <w:rFonts w:ascii="Cambria Math" w:hAnsi="Cambria Math"/>
                                    <w:color w:val="auto"/>
                                    <w:szCs w:val="24"/>
                                  </w:rPr>
                                </m:ctrlPr>
                              </m:sub>
                            </m:sSub>
                            <m:ctrlPr>
                              <w:rPr>
                                <w:rFonts w:ascii="Cambria Math" w:hAnsi="Cambria Math"/>
                                <w:color w:val="auto"/>
                                <w:szCs w:val="24"/>
                              </w:rPr>
                            </m:ctrlPr>
                          </m:e>
                        </m:d>
                        <m:ctrlPr>
                          <w:rPr>
                            <w:rFonts w:ascii="Cambria Math" w:hAnsi="Cambria Math"/>
                            <w:color w:val="auto"/>
                            <w:szCs w:val="24"/>
                          </w:rPr>
                        </m:ctrlPr>
                      </m:e>
                    </m:rad>
                    <m:ctrlPr>
                      <w:rPr>
                        <w:rFonts w:ascii="Cambria Math" w:hAnsi="Cambria Math"/>
                        <w:color w:val="auto"/>
                        <w:szCs w:val="24"/>
                      </w:rPr>
                    </m:ctrlPr>
                  </m:den>
                </m:f>
                <m:ctrlPr>
                  <w:rPr>
                    <w:rFonts w:ascii="Cambria Math" w:hAnsi="Cambria Math"/>
                    <w:color w:val="auto"/>
                    <w:szCs w:val="24"/>
                  </w:rPr>
                </m:ctrlPr>
              </m:e>
            </m:d>
            <m:ctrlPr>
              <w:rPr>
                <w:rFonts w:ascii="Cambria Math" w:hAnsi="Cambria Math"/>
                <w:color w:val="auto"/>
                <w:szCs w:val="24"/>
              </w:rPr>
            </m:ctrlPr>
          </m:e>
        </m:d>
      </m:oMath>
      <w:r>
        <w:rPr>
          <w:color w:val="auto"/>
          <w:szCs w:val="24"/>
        </w:rPr>
        <w:t xml:space="preserve">             </w:t>
      </w:r>
    </w:p>
    <w:p w14:paraId="2D0E7904">
      <w:pPr>
        <w:spacing w:line="360" w:lineRule="auto"/>
        <w:ind w:firstLine="480"/>
        <w:rPr>
          <w:color w:val="auto"/>
          <w:szCs w:val="24"/>
        </w:rPr>
      </w:pPr>
      <w:r>
        <w:rPr>
          <w:rFonts w:hint="eastAsia"/>
          <w:color w:val="auto"/>
          <w:szCs w:val="24"/>
        </w:rPr>
        <w:t>式中：</w:t>
      </w:r>
    </w:p>
    <w:p w14:paraId="0ADE8840">
      <w:pPr>
        <w:spacing w:line="360" w:lineRule="auto"/>
        <w:ind w:firstLine="480"/>
        <w:rPr>
          <w:color w:val="auto"/>
          <w:szCs w:val="24"/>
        </w:rPr>
      </w:pPr>
      <w:r>
        <w:rPr>
          <w:rFonts w:hint="eastAsia"/>
          <w:color w:val="auto"/>
          <w:szCs w:val="24"/>
        </w:rPr>
        <w:t>x—距注入点的距离，m；</w:t>
      </w:r>
    </w:p>
    <w:p w14:paraId="4F57543D">
      <w:pPr>
        <w:spacing w:line="360" w:lineRule="auto"/>
        <w:ind w:firstLine="480"/>
        <w:rPr>
          <w:color w:val="auto"/>
          <w:szCs w:val="24"/>
        </w:rPr>
      </w:pPr>
      <w:r>
        <w:rPr>
          <w:rFonts w:hint="eastAsia"/>
          <w:color w:val="auto"/>
          <w:szCs w:val="24"/>
        </w:rPr>
        <w:t>t—时间，d；</w:t>
      </w:r>
    </w:p>
    <w:p w14:paraId="43D88B60">
      <w:pPr>
        <w:spacing w:line="360" w:lineRule="auto"/>
        <w:ind w:firstLine="480"/>
        <w:rPr>
          <w:color w:val="auto"/>
          <w:szCs w:val="24"/>
        </w:rPr>
      </w:pPr>
      <w:r>
        <w:rPr>
          <w:rFonts w:hint="eastAsia"/>
          <w:color w:val="auto"/>
          <w:szCs w:val="24"/>
        </w:rPr>
        <w:t>t0—注入污染物时间，d；</w:t>
      </w:r>
    </w:p>
    <w:p w14:paraId="5E1EEA03">
      <w:pPr>
        <w:spacing w:line="360" w:lineRule="auto"/>
        <w:ind w:firstLine="480"/>
        <w:rPr>
          <w:color w:val="auto"/>
          <w:szCs w:val="24"/>
        </w:rPr>
      </w:pPr>
      <w:r>
        <w:rPr>
          <w:rFonts w:hint="eastAsia"/>
          <w:color w:val="auto"/>
          <w:szCs w:val="24"/>
        </w:rPr>
        <w:t>c—t时刻x处的污染物浓度，mg/L；</w:t>
      </w:r>
    </w:p>
    <w:p w14:paraId="30A40795">
      <w:pPr>
        <w:spacing w:line="360" w:lineRule="auto"/>
        <w:ind w:firstLine="480"/>
        <w:rPr>
          <w:color w:val="auto"/>
          <w:szCs w:val="24"/>
        </w:rPr>
      </w:pPr>
      <w:r>
        <w:rPr>
          <w:rFonts w:hint="eastAsia"/>
          <w:color w:val="auto"/>
          <w:szCs w:val="24"/>
        </w:rPr>
        <w:t>c0—污染物注入浓度，mg/L；</w:t>
      </w:r>
    </w:p>
    <w:p w14:paraId="00C355F0">
      <w:pPr>
        <w:spacing w:line="360" w:lineRule="auto"/>
        <w:ind w:firstLine="480"/>
        <w:rPr>
          <w:color w:val="auto"/>
          <w:szCs w:val="24"/>
        </w:rPr>
      </w:pPr>
      <w:r>
        <w:rPr>
          <w:rFonts w:hint="eastAsia"/>
          <w:color w:val="auto"/>
          <w:szCs w:val="24"/>
        </w:rPr>
        <w:t>ci—污染物背景浓度，mg/L；</w:t>
      </w:r>
    </w:p>
    <w:p w14:paraId="3CC92099">
      <w:pPr>
        <w:spacing w:line="360" w:lineRule="auto"/>
        <w:ind w:firstLine="480"/>
        <w:rPr>
          <w:color w:val="auto"/>
          <w:szCs w:val="24"/>
        </w:rPr>
      </w:pPr>
      <w:r>
        <w:rPr>
          <w:rFonts w:hint="eastAsia"/>
          <w:color w:val="auto"/>
          <w:szCs w:val="24"/>
        </w:rPr>
        <w:t>u—水流速度，m/d；</w:t>
      </w:r>
    </w:p>
    <w:p w14:paraId="65C22AC7">
      <w:pPr>
        <w:spacing w:line="360" w:lineRule="auto"/>
        <w:ind w:firstLine="480"/>
        <w:rPr>
          <w:color w:val="auto"/>
          <w:szCs w:val="24"/>
        </w:rPr>
      </w:pPr>
      <w:r>
        <w:rPr>
          <w:rFonts w:hint="eastAsia"/>
          <w:color w:val="auto"/>
          <w:szCs w:val="24"/>
        </w:rPr>
        <w:t>DL—纵向弥散系数，m</w:t>
      </w:r>
      <w:r>
        <w:rPr>
          <w:rFonts w:hint="eastAsia"/>
          <w:color w:val="auto"/>
          <w:szCs w:val="24"/>
          <w:vertAlign w:val="superscript"/>
        </w:rPr>
        <w:t>2</w:t>
      </w:r>
      <w:r>
        <w:rPr>
          <w:rFonts w:hint="eastAsia"/>
          <w:color w:val="auto"/>
          <w:szCs w:val="24"/>
        </w:rPr>
        <w:t>/d；</w:t>
      </w:r>
    </w:p>
    <w:p w14:paraId="582672E7">
      <w:pPr>
        <w:spacing w:line="360" w:lineRule="auto"/>
        <w:ind w:firstLine="480"/>
        <w:rPr>
          <w:color w:val="auto"/>
          <w:szCs w:val="24"/>
        </w:rPr>
      </w:pPr>
      <w:r>
        <w:rPr>
          <w:rFonts w:hint="eastAsia"/>
          <w:color w:val="auto"/>
          <w:szCs w:val="24"/>
        </w:rPr>
        <w:t>erfc（）—余误差函数。</w:t>
      </w:r>
    </w:p>
    <w:p w14:paraId="5FF80FB3">
      <w:pPr>
        <w:spacing w:line="360" w:lineRule="auto"/>
        <w:ind w:firstLine="480"/>
        <w:rPr>
          <w:color w:val="auto"/>
          <w:szCs w:val="24"/>
        </w:rPr>
      </w:pPr>
      <w:r>
        <w:rPr>
          <w:rFonts w:hint="eastAsia"/>
          <w:color w:val="auto"/>
          <w:szCs w:val="24"/>
        </w:rPr>
        <w:t>（5）水文地质参数初始值确定</w:t>
      </w:r>
    </w:p>
    <w:p w14:paraId="5AD7B595">
      <w:pPr>
        <w:spacing w:line="360" w:lineRule="auto"/>
        <w:ind w:firstLine="480"/>
        <w:rPr>
          <w:color w:val="auto"/>
          <w:szCs w:val="24"/>
        </w:rPr>
      </w:pPr>
      <w:r>
        <w:rPr>
          <w:color w:val="auto"/>
          <w:szCs w:val="24"/>
        </w:rPr>
        <w:t>本次数据引用地下水导则推荐水文地质参数、</w:t>
      </w:r>
      <w:r>
        <w:rPr>
          <w:rFonts w:hint="eastAsia"/>
          <w:color w:val="auto"/>
          <w:szCs w:val="24"/>
        </w:rPr>
        <w:t>《重庆忠县工业园区乌杨组团控制性详细规划修编环境影响报告书》</w:t>
      </w:r>
      <w:r>
        <w:rPr>
          <w:color w:val="auto"/>
          <w:szCs w:val="24"/>
        </w:rPr>
        <w:t>等水文地质参数。具体数值见下表6.3-2。</w:t>
      </w:r>
    </w:p>
    <w:p w14:paraId="4C85E570">
      <w:pPr>
        <w:spacing w:before="24" w:beforeLines="10" w:after="24" w:afterLines="10" w:line="360" w:lineRule="auto"/>
        <w:ind w:firstLine="482"/>
        <w:jc w:val="center"/>
        <w:rPr>
          <w:b/>
          <w:bCs/>
          <w:snapToGrid w:val="0"/>
          <w:color w:val="auto"/>
          <w:kern w:val="0"/>
        </w:rPr>
      </w:pPr>
      <w:r>
        <w:rPr>
          <w:b/>
          <w:bCs/>
          <w:snapToGrid w:val="0"/>
          <w:color w:val="auto"/>
          <w:kern w:val="0"/>
        </w:rPr>
        <w:t>表6.3-2    模型参数综合取值表</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7"/>
        <w:gridCol w:w="2062"/>
        <w:gridCol w:w="2062"/>
        <w:gridCol w:w="2065"/>
      </w:tblGrid>
      <w:tr w14:paraId="30A8A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blHeader/>
        </w:trPr>
        <w:tc>
          <w:tcPr>
            <w:tcW w:w="1667" w:type="pct"/>
            <w:vAlign w:val="center"/>
          </w:tcPr>
          <w:p w14:paraId="6BF933A4">
            <w:pPr>
              <w:pStyle w:val="3127"/>
              <w:rPr>
                <w:snapToGrid w:val="0"/>
                <w:color w:val="auto"/>
              </w:rPr>
            </w:pPr>
            <w:r>
              <w:rPr>
                <w:rFonts w:hint="eastAsia"/>
                <w:snapToGrid w:val="0"/>
                <w:color w:val="auto"/>
              </w:rPr>
              <w:t>项目</w:t>
            </w:r>
          </w:p>
        </w:tc>
        <w:tc>
          <w:tcPr>
            <w:tcW w:w="1110" w:type="pct"/>
            <w:vAlign w:val="center"/>
          </w:tcPr>
          <w:p w14:paraId="6600F461">
            <w:pPr>
              <w:pStyle w:val="3127"/>
              <w:rPr>
                <w:snapToGrid w:val="0"/>
                <w:color w:val="auto"/>
              </w:rPr>
            </w:pPr>
            <w:r>
              <w:rPr>
                <w:rFonts w:hint="eastAsia"/>
                <w:snapToGrid w:val="0"/>
                <w:color w:val="auto"/>
              </w:rPr>
              <w:t>单位</w:t>
            </w:r>
          </w:p>
        </w:tc>
        <w:tc>
          <w:tcPr>
            <w:tcW w:w="1110" w:type="pct"/>
            <w:vAlign w:val="center"/>
          </w:tcPr>
          <w:p w14:paraId="306EF279">
            <w:pPr>
              <w:pStyle w:val="3127"/>
              <w:rPr>
                <w:snapToGrid w:val="0"/>
                <w:color w:val="auto"/>
              </w:rPr>
            </w:pPr>
            <w:r>
              <w:rPr>
                <w:rFonts w:hint="eastAsia"/>
                <w:snapToGrid w:val="0"/>
                <w:color w:val="auto"/>
              </w:rPr>
              <w:t>参数取值</w:t>
            </w:r>
          </w:p>
        </w:tc>
        <w:tc>
          <w:tcPr>
            <w:tcW w:w="1111" w:type="pct"/>
            <w:vAlign w:val="center"/>
          </w:tcPr>
          <w:p w14:paraId="3CC6298F">
            <w:pPr>
              <w:pStyle w:val="3127"/>
              <w:rPr>
                <w:snapToGrid w:val="0"/>
                <w:color w:val="auto"/>
              </w:rPr>
            </w:pPr>
            <w:r>
              <w:rPr>
                <w:rFonts w:hint="eastAsia"/>
                <w:snapToGrid w:val="0"/>
                <w:color w:val="auto"/>
              </w:rPr>
              <w:t>备注</w:t>
            </w:r>
          </w:p>
        </w:tc>
      </w:tr>
      <w:tr w14:paraId="0A694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667" w:type="pct"/>
            <w:vAlign w:val="center"/>
          </w:tcPr>
          <w:p w14:paraId="1CDB2E6C">
            <w:pPr>
              <w:pStyle w:val="3127"/>
              <w:rPr>
                <w:snapToGrid w:val="0"/>
                <w:color w:val="auto"/>
              </w:rPr>
            </w:pPr>
            <w:r>
              <w:rPr>
                <w:rFonts w:hint="eastAsia"/>
                <w:snapToGrid w:val="0"/>
                <w:color w:val="auto"/>
              </w:rPr>
              <w:t>含水层渗透系数K</w:t>
            </w:r>
          </w:p>
        </w:tc>
        <w:tc>
          <w:tcPr>
            <w:tcW w:w="1110" w:type="pct"/>
            <w:vAlign w:val="center"/>
          </w:tcPr>
          <w:p w14:paraId="5D1C4973">
            <w:pPr>
              <w:pStyle w:val="3127"/>
              <w:rPr>
                <w:snapToGrid w:val="0"/>
                <w:color w:val="auto"/>
              </w:rPr>
            </w:pPr>
            <w:r>
              <w:rPr>
                <w:rFonts w:hint="eastAsia"/>
                <w:snapToGrid w:val="0"/>
                <w:color w:val="auto"/>
                <w:lang w:val="en-US" w:eastAsia="zh-CN"/>
              </w:rPr>
              <w:t>c</w:t>
            </w:r>
            <w:r>
              <w:rPr>
                <w:rFonts w:hint="eastAsia"/>
                <w:snapToGrid w:val="0"/>
                <w:color w:val="auto"/>
              </w:rPr>
              <w:t>m/s</w:t>
            </w:r>
          </w:p>
        </w:tc>
        <w:tc>
          <w:tcPr>
            <w:tcW w:w="1110" w:type="pct"/>
            <w:vAlign w:val="center"/>
          </w:tcPr>
          <w:p w14:paraId="6861CB2C">
            <w:pPr>
              <w:pStyle w:val="3127"/>
              <w:rPr>
                <w:rFonts w:hint="eastAsia" w:eastAsia="宋体"/>
                <w:snapToGrid w:val="0"/>
                <w:color w:val="auto"/>
                <w:lang w:eastAsia="zh-CN"/>
              </w:rPr>
            </w:pPr>
            <w:r>
              <w:rPr>
                <w:rFonts w:hint="eastAsia"/>
                <w:snapToGrid w:val="0"/>
                <w:color w:val="auto"/>
                <w:lang w:val="en-US" w:eastAsia="zh-CN"/>
              </w:rPr>
              <w:t>4.7</w:t>
            </w:r>
            <w:r>
              <w:rPr>
                <w:rFonts w:hint="eastAsia"/>
                <w:snapToGrid w:val="0"/>
                <w:color w:val="auto"/>
              </w:rPr>
              <w:t>×10</w:t>
            </w:r>
            <w:r>
              <w:rPr>
                <w:rFonts w:hint="eastAsia"/>
                <w:snapToGrid w:val="0"/>
                <w:color w:val="auto"/>
                <w:vertAlign w:val="superscript"/>
              </w:rPr>
              <w:t>-</w:t>
            </w:r>
            <w:r>
              <w:rPr>
                <w:rFonts w:hint="eastAsia"/>
                <w:snapToGrid w:val="0"/>
                <w:color w:val="auto"/>
                <w:vertAlign w:val="superscript"/>
                <w:lang w:val="en-US" w:eastAsia="zh-CN"/>
              </w:rPr>
              <w:t>4</w:t>
            </w:r>
          </w:p>
        </w:tc>
        <w:tc>
          <w:tcPr>
            <w:tcW w:w="1111" w:type="pct"/>
            <w:vAlign w:val="center"/>
          </w:tcPr>
          <w:p w14:paraId="53CEEE1C">
            <w:pPr>
              <w:pStyle w:val="3127"/>
              <w:rPr>
                <w:snapToGrid w:val="0"/>
                <w:color w:val="auto"/>
              </w:rPr>
            </w:pPr>
            <w:r>
              <w:rPr>
                <w:rFonts w:hint="eastAsia"/>
                <w:snapToGrid w:val="0"/>
                <w:color w:val="auto"/>
              </w:rPr>
              <w:t>地勘报告</w:t>
            </w:r>
          </w:p>
        </w:tc>
      </w:tr>
      <w:tr w14:paraId="07E34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667" w:type="pct"/>
            <w:vAlign w:val="center"/>
          </w:tcPr>
          <w:p w14:paraId="65C68A8C">
            <w:pPr>
              <w:pStyle w:val="3127"/>
              <w:rPr>
                <w:snapToGrid w:val="0"/>
                <w:color w:val="auto"/>
              </w:rPr>
            </w:pPr>
            <w:r>
              <w:rPr>
                <w:rFonts w:hint="eastAsia"/>
                <w:snapToGrid w:val="0"/>
                <w:color w:val="auto"/>
              </w:rPr>
              <w:t>隔水层渗透系数K</w:t>
            </w:r>
          </w:p>
        </w:tc>
        <w:tc>
          <w:tcPr>
            <w:tcW w:w="1110" w:type="pct"/>
            <w:vAlign w:val="center"/>
          </w:tcPr>
          <w:p w14:paraId="3A44B9B5">
            <w:pPr>
              <w:pStyle w:val="3127"/>
              <w:rPr>
                <w:snapToGrid w:val="0"/>
                <w:color w:val="auto"/>
              </w:rPr>
            </w:pPr>
            <w:r>
              <w:rPr>
                <w:rFonts w:hint="eastAsia"/>
                <w:snapToGrid w:val="0"/>
                <w:color w:val="auto"/>
              </w:rPr>
              <w:t>m/s</w:t>
            </w:r>
          </w:p>
        </w:tc>
        <w:tc>
          <w:tcPr>
            <w:tcW w:w="1110" w:type="pct"/>
            <w:vAlign w:val="center"/>
          </w:tcPr>
          <w:p w14:paraId="0818AFD0">
            <w:pPr>
              <w:pStyle w:val="3127"/>
              <w:rPr>
                <w:snapToGrid w:val="0"/>
                <w:color w:val="auto"/>
              </w:rPr>
            </w:pPr>
            <w:r>
              <w:rPr>
                <w:rFonts w:hint="eastAsia"/>
                <w:snapToGrid w:val="0"/>
                <w:color w:val="auto"/>
              </w:rPr>
              <w:t>10</w:t>
            </w:r>
            <w:r>
              <w:rPr>
                <w:rFonts w:hint="eastAsia"/>
                <w:snapToGrid w:val="0"/>
                <w:color w:val="auto"/>
                <w:vertAlign w:val="superscript"/>
              </w:rPr>
              <w:t>-8</w:t>
            </w:r>
          </w:p>
        </w:tc>
        <w:tc>
          <w:tcPr>
            <w:tcW w:w="1111" w:type="pct"/>
            <w:vAlign w:val="center"/>
          </w:tcPr>
          <w:p w14:paraId="42DB3430">
            <w:pPr>
              <w:pStyle w:val="3127"/>
              <w:rPr>
                <w:snapToGrid w:val="0"/>
                <w:color w:val="auto"/>
              </w:rPr>
            </w:pPr>
            <w:r>
              <w:rPr>
                <w:rFonts w:hint="eastAsia"/>
                <w:snapToGrid w:val="0"/>
                <w:color w:val="auto"/>
              </w:rPr>
              <w:t>经验值</w:t>
            </w:r>
          </w:p>
        </w:tc>
      </w:tr>
      <w:tr w14:paraId="31EC9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667" w:type="pct"/>
            <w:vAlign w:val="center"/>
          </w:tcPr>
          <w:p w14:paraId="709CD783">
            <w:pPr>
              <w:pStyle w:val="3127"/>
              <w:rPr>
                <w:snapToGrid w:val="0"/>
                <w:color w:val="auto"/>
              </w:rPr>
            </w:pPr>
            <w:r>
              <w:rPr>
                <w:rFonts w:hint="eastAsia"/>
                <w:snapToGrid w:val="0"/>
                <w:color w:val="auto"/>
              </w:rPr>
              <w:t>储存、给水度S</w:t>
            </w:r>
            <w:r>
              <w:rPr>
                <w:rFonts w:hint="eastAsia"/>
                <w:snapToGrid w:val="0"/>
                <w:color w:val="auto"/>
                <w:vertAlign w:val="subscript"/>
              </w:rPr>
              <w:t>s</w:t>
            </w:r>
          </w:p>
        </w:tc>
        <w:tc>
          <w:tcPr>
            <w:tcW w:w="1110" w:type="pct"/>
            <w:vAlign w:val="center"/>
          </w:tcPr>
          <w:p w14:paraId="77D9CB63">
            <w:pPr>
              <w:pStyle w:val="3127"/>
              <w:rPr>
                <w:snapToGrid w:val="0"/>
                <w:color w:val="auto"/>
              </w:rPr>
            </w:pPr>
            <w:r>
              <w:rPr>
                <w:rFonts w:hint="eastAsia"/>
                <w:snapToGrid w:val="0"/>
                <w:color w:val="auto"/>
              </w:rPr>
              <w:t>1/m</w:t>
            </w:r>
          </w:p>
        </w:tc>
        <w:tc>
          <w:tcPr>
            <w:tcW w:w="1110" w:type="pct"/>
            <w:vAlign w:val="center"/>
          </w:tcPr>
          <w:p w14:paraId="1F189EDD">
            <w:pPr>
              <w:pStyle w:val="3127"/>
              <w:rPr>
                <w:snapToGrid w:val="0"/>
                <w:color w:val="auto"/>
              </w:rPr>
            </w:pPr>
            <w:r>
              <w:rPr>
                <w:rFonts w:hint="eastAsia"/>
                <w:snapToGrid w:val="0"/>
                <w:color w:val="auto"/>
              </w:rPr>
              <w:t>0.0018</w:t>
            </w:r>
          </w:p>
        </w:tc>
        <w:tc>
          <w:tcPr>
            <w:tcW w:w="1111" w:type="pct"/>
            <w:vAlign w:val="center"/>
          </w:tcPr>
          <w:p w14:paraId="0910B930">
            <w:pPr>
              <w:pStyle w:val="3127"/>
              <w:rPr>
                <w:snapToGrid w:val="0"/>
                <w:color w:val="auto"/>
              </w:rPr>
            </w:pPr>
            <w:r>
              <w:rPr>
                <w:rFonts w:hint="eastAsia"/>
                <w:snapToGrid w:val="0"/>
                <w:color w:val="auto"/>
              </w:rPr>
              <w:t>试验值</w:t>
            </w:r>
          </w:p>
        </w:tc>
      </w:tr>
      <w:tr w14:paraId="4122C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667" w:type="pct"/>
            <w:vAlign w:val="center"/>
          </w:tcPr>
          <w:p w14:paraId="0237F6A5">
            <w:pPr>
              <w:pStyle w:val="3127"/>
              <w:rPr>
                <w:snapToGrid w:val="0"/>
                <w:color w:val="auto"/>
              </w:rPr>
            </w:pPr>
            <w:r>
              <w:rPr>
                <w:rFonts w:hint="eastAsia"/>
                <w:snapToGrid w:val="0"/>
                <w:color w:val="auto"/>
              </w:rPr>
              <w:t>重力给水度S</w:t>
            </w:r>
            <w:r>
              <w:rPr>
                <w:rFonts w:hint="eastAsia"/>
                <w:snapToGrid w:val="0"/>
                <w:color w:val="auto"/>
                <w:vertAlign w:val="subscript"/>
              </w:rPr>
              <w:t>y</w:t>
            </w:r>
          </w:p>
        </w:tc>
        <w:tc>
          <w:tcPr>
            <w:tcW w:w="1110" w:type="pct"/>
            <w:vAlign w:val="center"/>
          </w:tcPr>
          <w:p w14:paraId="35DF68FF">
            <w:pPr>
              <w:pStyle w:val="3127"/>
              <w:rPr>
                <w:snapToGrid w:val="0"/>
                <w:color w:val="auto"/>
              </w:rPr>
            </w:pPr>
          </w:p>
        </w:tc>
        <w:tc>
          <w:tcPr>
            <w:tcW w:w="1110" w:type="pct"/>
            <w:vAlign w:val="center"/>
          </w:tcPr>
          <w:p w14:paraId="310BE666">
            <w:pPr>
              <w:pStyle w:val="3127"/>
              <w:rPr>
                <w:snapToGrid w:val="0"/>
                <w:color w:val="auto"/>
              </w:rPr>
            </w:pPr>
            <w:r>
              <w:rPr>
                <w:rFonts w:hint="eastAsia"/>
                <w:snapToGrid w:val="0"/>
                <w:color w:val="auto"/>
              </w:rPr>
              <w:t>0.2</w:t>
            </w:r>
          </w:p>
        </w:tc>
        <w:tc>
          <w:tcPr>
            <w:tcW w:w="1111" w:type="pct"/>
            <w:vAlign w:val="center"/>
          </w:tcPr>
          <w:p w14:paraId="6CEB1FC1">
            <w:pPr>
              <w:pStyle w:val="3127"/>
              <w:rPr>
                <w:snapToGrid w:val="0"/>
                <w:color w:val="auto"/>
              </w:rPr>
            </w:pPr>
            <w:r>
              <w:rPr>
                <w:rFonts w:hint="eastAsia"/>
                <w:snapToGrid w:val="0"/>
                <w:color w:val="auto"/>
              </w:rPr>
              <w:t>经验值</w:t>
            </w:r>
          </w:p>
        </w:tc>
      </w:tr>
      <w:tr w14:paraId="662DA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667" w:type="pct"/>
            <w:vAlign w:val="center"/>
          </w:tcPr>
          <w:p w14:paraId="056F1B58">
            <w:pPr>
              <w:pStyle w:val="3127"/>
              <w:rPr>
                <w:rFonts w:hint="default" w:eastAsia="宋体"/>
                <w:snapToGrid w:val="0"/>
                <w:color w:val="auto"/>
                <w:lang w:val="en-US" w:eastAsia="zh-CN"/>
              </w:rPr>
            </w:pPr>
            <w:r>
              <w:rPr>
                <w:rFonts w:hint="eastAsia"/>
                <w:snapToGrid w:val="0"/>
                <w:color w:val="auto"/>
              </w:rPr>
              <w:t>有效孔隙度</w:t>
            </w:r>
            <w:r>
              <w:rPr>
                <w:rFonts w:hint="eastAsia"/>
                <w:snapToGrid w:val="0"/>
                <w:color w:val="auto"/>
                <w:lang w:val="en-US" w:eastAsia="zh-CN"/>
              </w:rPr>
              <w:t>ne</w:t>
            </w:r>
          </w:p>
        </w:tc>
        <w:tc>
          <w:tcPr>
            <w:tcW w:w="1110" w:type="pct"/>
            <w:vAlign w:val="center"/>
          </w:tcPr>
          <w:p w14:paraId="3FF634D9">
            <w:pPr>
              <w:pStyle w:val="3127"/>
              <w:rPr>
                <w:snapToGrid w:val="0"/>
                <w:color w:val="auto"/>
              </w:rPr>
            </w:pPr>
          </w:p>
        </w:tc>
        <w:tc>
          <w:tcPr>
            <w:tcW w:w="1110" w:type="pct"/>
            <w:vAlign w:val="center"/>
          </w:tcPr>
          <w:p w14:paraId="6796B4B2">
            <w:pPr>
              <w:pStyle w:val="3127"/>
              <w:rPr>
                <w:rFonts w:hint="default" w:eastAsia="宋体"/>
                <w:snapToGrid w:val="0"/>
                <w:color w:val="auto"/>
                <w:lang w:val="en-US" w:eastAsia="zh-CN"/>
              </w:rPr>
            </w:pPr>
            <w:r>
              <w:rPr>
                <w:rFonts w:hint="eastAsia"/>
                <w:snapToGrid w:val="0"/>
                <w:color w:val="auto"/>
                <w:lang w:val="en-US" w:eastAsia="zh-CN"/>
              </w:rPr>
              <w:t>0.15</w:t>
            </w:r>
          </w:p>
        </w:tc>
        <w:tc>
          <w:tcPr>
            <w:tcW w:w="1111" w:type="pct"/>
            <w:vAlign w:val="center"/>
          </w:tcPr>
          <w:p w14:paraId="0FEA9FFC">
            <w:pPr>
              <w:pStyle w:val="3127"/>
              <w:rPr>
                <w:snapToGrid w:val="0"/>
                <w:color w:val="auto"/>
              </w:rPr>
            </w:pPr>
            <w:r>
              <w:rPr>
                <w:rFonts w:hint="eastAsia"/>
                <w:snapToGrid w:val="0"/>
                <w:color w:val="auto"/>
              </w:rPr>
              <w:t>经验值</w:t>
            </w:r>
          </w:p>
        </w:tc>
      </w:tr>
      <w:tr w14:paraId="6AB75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667" w:type="pct"/>
            <w:vAlign w:val="center"/>
          </w:tcPr>
          <w:p w14:paraId="0F8F31AE">
            <w:pPr>
              <w:pStyle w:val="3127"/>
              <w:rPr>
                <w:snapToGrid w:val="0"/>
                <w:color w:val="auto"/>
              </w:rPr>
            </w:pPr>
            <w:r>
              <w:rPr>
                <w:rFonts w:hint="eastAsia"/>
                <w:snapToGrid w:val="0"/>
                <w:color w:val="auto"/>
              </w:rPr>
              <w:t>纵向弥散系数</w:t>
            </w:r>
          </w:p>
        </w:tc>
        <w:tc>
          <w:tcPr>
            <w:tcW w:w="1110" w:type="pct"/>
            <w:vAlign w:val="center"/>
          </w:tcPr>
          <w:p w14:paraId="3B68CD60">
            <w:pPr>
              <w:pStyle w:val="3127"/>
              <w:rPr>
                <w:rFonts w:hint="eastAsia" w:eastAsia="宋体"/>
                <w:snapToGrid w:val="0"/>
                <w:color w:val="auto"/>
                <w:lang w:val="en-US" w:eastAsia="zh-CN"/>
              </w:rPr>
            </w:pPr>
            <w:r>
              <w:rPr>
                <w:rFonts w:hint="eastAsia"/>
                <w:snapToGrid w:val="0"/>
                <w:color w:val="auto"/>
              </w:rPr>
              <w:t>m</w:t>
            </w:r>
            <w:r>
              <w:rPr>
                <w:rFonts w:hint="eastAsia"/>
                <w:snapToGrid w:val="0"/>
                <w:color w:val="auto"/>
                <w:vertAlign w:val="superscript"/>
              </w:rPr>
              <w:t>2</w:t>
            </w:r>
            <w:r>
              <w:rPr>
                <w:rFonts w:hint="eastAsia"/>
                <w:snapToGrid w:val="0"/>
                <w:color w:val="auto"/>
              </w:rPr>
              <w:t>/</w:t>
            </w:r>
            <w:r>
              <w:rPr>
                <w:rFonts w:hint="eastAsia"/>
                <w:snapToGrid w:val="0"/>
                <w:color w:val="auto"/>
                <w:lang w:val="en-US" w:eastAsia="zh-CN"/>
              </w:rPr>
              <w:t>d</w:t>
            </w:r>
          </w:p>
        </w:tc>
        <w:tc>
          <w:tcPr>
            <w:tcW w:w="1110" w:type="pct"/>
            <w:vAlign w:val="center"/>
          </w:tcPr>
          <w:p w14:paraId="4919D0D3">
            <w:pPr>
              <w:pStyle w:val="3127"/>
              <w:rPr>
                <w:rFonts w:hint="default" w:eastAsia="宋体"/>
                <w:snapToGrid w:val="0"/>
                <w:color w:val="auto"/>
                <w:lang w:val="en-US" w:eastAsia="zh-CN"/>
              </w:rPr>
            </w:pPr>
            <w:r>
              <w:rPr>
                <w:rFonts w:hint="eastAsia"/>
                <w:snapToGrid w:val="0"/>
                <w:color w:val="auto"/>
                <w:lang w:val="en-US" w:eastAsia="zh-CN"/>
              </w:rPr>
              <w:t>1.56</w:t>
            </w:r>
          </w:p>
        </w:tc>
        <w:tc>
          <w:tcPr>
            <w:tcW w:w="1111" w:type="pct"/>
            <w:vAlign w:val="center"/>
          </w:tcPr>
          <w:p w14:paraId="2E01B2A0">
            <w:pPr>
              <w:pStyle w:val="3127"/>
              <w:rPr>
                <w:snapToGrid w:val="0"/>
                <w:color w:val="auto"/>
              </w:rPr>
            </w:pPr>
            <w:r>
              <w:rPr>
                <w:rFonts w:hint="eastAsia"/>
                <w:snapToGrid w:val="0"/>
                <w:color w:val="auto"/>
              </w:rPr>
              <w:t>经验值</w:t>
            </w:r>
          </w:p>
        </w:tc>
      </w:tr>
      <w:tr w14:paraId="67481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667" w:type="pct"/>
            <w:vAlign w:val="center"/>
          </w:tcPr>
          <w:p w14:paraId="0C7ED05F">
            <w:pPr>
              <w:pStyle w:val="3127"/>
              <w:rPr>
                <w:snapToGrid w:val="0"/>
                <w:color w:val="auto"/>
              </w:rPr>
            </w:pPr>
            <w:r>
              <w:rPr>
                <w:rFonts w:hint="eastAsia"/>
                <w:snapToGrid w:val="0"/>
                <w:color w:val="auto"/>
              </w:rPr>
              <w:t>横向弥散系数</w:t>
            </w:r>
          </w:p>
        </w:tc>
        <w:tc>
          <w:tcPr>
            <w:tcW w:w="1110" w:type="pct"/>
            <w:vAlign w:val="center"/>
          </w:tcPr>
          <w:p w14:paraId="735180D9">
            <w:pPr>
              <w:pStyle w:val="3127"/>
              <w:rPr>
                <w:snapToGrid w:val="0"/>
                <w:color w:val="auto"/>
              </w:rPr>
            </w:pPr>
            <w:r>
              <w:rPr>
                <w:rFonts w:hint="eastAsia"/>
                <w:snapToGrid w:val="0"/>
                <w:color w:val="auto"/>
              </w:rPr>
              <w:t>m</w:t>
            </w:r>
            <w:r>
              <w:rPr>
                <w:rFonts w:hint="eastAsia"/>
                <w:snapToGrid w:val="0"/>
                <w:color w:val="auto"/>
                <w:vertAlign w:val="superscript"/>
              </w:rPr>
              <w:t>2</w:t>
            </w:r>
            <w:r>
              <w:rPr>
                <w:rFonts w:hint="eastAsia"/>
                <w:snapToGrid w:val="0"/>
                <w:color w:val="auto"/>
              </w:rPr>
              <w:t>/h</w:t>
            </w:r>
          </w:p>
        </w:tc>
        <w:tc>
          <w:tcPr>
            <w:tcW w:w="1110" w:type="pct"/>
            <w:vAlign w:val="center"/>
          </w:tcPr>
          <w:p w14:paraId="673840DD">
            <w:pPr>
              <w:pStyle w:val="3127"/>
              <w:rPr>
                <w:snapToGrid w:val="0"/>
                <w:color w:val="auto"/>
              </w:rPr>
            </w:pPr>
            <w:r>
              <w:rPr>
                <w:rFonts w:hint="eastAsia"/>
                <w:snapToGrid w:val="0"/>
                <w:color w:val="auto"/>
              </w:rPr>
              <w:t>0.13</w:t>
            </w:r>
          </w:p>
        </w:tc>
        <w:tc>
          <w:tcPr>
            <w:tcW w:w="1111" w:type="pct"/>
            <w:vAlign w:val="center"/>
          </w:tcPr>
          <w:p w14:paraId="69754838">
            <w:pPr>
              <w:pStyle w:val="3127"/>
              <w:rPr>
                <w:snapToGrid w:val="0"/>
                <w:color w:val="auto"/>
              </w:rPr>
            </w:pPr>
            <w:r>
              <w:rPr>
                <w:rFonts w:hint="eastAsia"/>
                <w:snapToGrid w:val="0"/>
                <w:color w:val="auto"/>
              </w:rPr>
              <w:t>经验值</w:t>
            </w:r>
          </w:p>
        </w:tc>
      </w:tr>
      <w:tr w14:paraId="309F6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667" w:type="pct"/>
            <w:shd w:val="clear" w:color="auto" w:fill="auto"/>
            <w:vAlign w:val="center"/>
          </w:tcPr>
          <w:p w14:paraId="3B68103D">
            <w:pPr>
              <w:pStyle w:val="3127"/>
              <w:rPr>
                <w:rFonts w:hint="eastAsia"/>
                <w:snapToGrid w:val="0"/>
                <w:color w:val="auto"/>
                <w:lang w:val="zh-CN" w:eastAsia="zh-CN"/>
              </w:rPr>
            </w:pPr>
            <w:r>
              <w:rPr>
                <w:rFonts w:hint="eastAsia"/>
                <w:snapToGrid w:val="0"/>
                <w:color w:val="auto"/>
              </w:rPr>
              <w:t>水力坡度J</w:t>
            </w:r>
          </w:p>
        </w:tc>
        <w:tc>
          <w:tcPr>
            <w:tcW w:w="1110" w:type="pct"/>
            <w:shd w:val="clear" w:color="auto" w:fill="auto"/>
            <w:vAlign w:val="center"/>
          </w:tcPr>
          <w:p w14:paraId="0167E6C4">
            <w:pPr>
              <w:pStyle w:val="3127"/>
              <w:rPr>
                <w:rFonts w:hint="eastAsia"/>
                <w:snapToGrid w:val="0"/>
                <w:color w:val="auto"/>
                <w:lang w:val="zh-CN" w:eastAsia="zh-CN"/>
              </w:rPr>
            </w:pPr>
          </w:p>
        </w:tc>
        <w:tc>
          <w:tcPr>
            <w:tcW w:w="1110" w:type="pct"/>
            <w:shd w:val="clear" w:color="auto" w:fill="auto"/>
            <w:vAlign w:val="center"/>
          </w:tcPr>
          <w:p w14:paraId="3F60449C">
            <w:pPr>
              <w:pStyle w:val="3127"/>
              <w:rPr>
                <w:rFonts w:hint="eastAsia"/>
                <w:snapToGrid w:val="0"/>
                <w:color w:val="auto"/>
                <w:lang w:val="zh-CN" w:eastAsia="zh-CN"/>
              </w:rPr>
            </w:pPr>
            <w:r>
              <w:rPr>
                <w:rFonts w:hint="eastAsia"/>
                <w:snapToGrid w:val="0"/>
                <w:color w:val="auto"/>
              </w:rPr>
              <w:t>0.015</w:t>
            </w:r>
          </w:p>
        </w:tc>
        <w:tc>
          <w:tcPr>
            <w:tcW w:w="1111" w:type="pct"/>
            <w:vAlign w:val="center"/>
          </w:tcPr>
          <w:p w14:paraId="39984833">
            <w:pPr>
              <w:pStyle w:val="3127"/>
              <w:rPr>
                <w:rFonts w:hint="eastAsia"/>
                <w:snapToGrid w:val="0"/>
                <w:color w:val="auto"/>
              </w:rPr>
            </w:pPr>
            <w:r>
              <w:rPr>
                <w:rFonts w:hint="eastAsia"/>
                <w:snapToGrid w:val="0"/>
                <w:color w:val="auto"/>
              </w:rPr>
              <w:t>试验值</w:t>
            </w:r>
          </w:p>
        </w:tc>
      </w:tr>
      <w:tr w14:paraId="015DB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667" w:type="pct"/>
            <w:vAlign w:val="center"/>
          </w:tcPr>
          <w:p w14:paraId="6674706E">
            <w:pPr>
              <w:pStyle w:val="3127"/>
              <w:rPr>
                <w:snapToGrid w:val="0"/>
                <w:color w:val="auto"/>
              </w:rPr>
            </w:pPr>
            <w:r>
              <w:rPr>
                <w:rFonts w:hint="eastAsia"/>
                <w:snapToGrid w:val="0"/>
                <w:color w:val="auto"/>
              </w:rPr>
              <w:t>地下水流速</w:t>
            </w:r>
          </w:p>
        </w:tc>
        <w:tc>
          <w:tcPr>
            <w:tcW w:w="1110" w:type="pct"/>
            <w:vAlign w:val="center"/>
          </w:tcPr>
          <w:p w14:paraId="7C375EA1">
            <w:pPr>
              <w:pStyle w:val="3127"/>
              <w:rPr>
                <w:snapToGrid w:val="0"/>
                <w:color w:val="auto"/>
              </w:rPr>
            </w:pPr>
            <w:r>
              <w:rPr>
                <w:rFonts w:hint="eastAsia"/>
                <w:snapToGrid w:val="0"/>
                <w:color w:val="auto"/>
              </w:rPr>
              <w:t>m/d</w:t>
            </w:r>
          </w:p>
        </w:tc>
        <w:tc>
          <w:tcPr>
            <w:tcW w:w="1110" w:type="pct"/>
            <w:vAlign w:val="center"/>
          </w:tcPr>
          <w:p w14:paraId="1782DF94">
            <w:pPr>
              <w:pStyle w:val="3127"/>
              <w:rPr>
                <w:rFonts w:hint="default" w:eastAsia="宋体"/>
                <w:snapToGrid w:val="0"/>
                <w:color w:val="auto"/>
                <w:lang w:val="en-US" w:eastAsia="zh-CN"/>
              </w:rPr>
            </w:pPr>
            <w:r>
              <w:rPr>
                <w:rFonts w:hint="eastAsia"/>
                <w:snapToGrid w:val="0"/>
                <w:color w:val="auto"/>
                <w:lang w:val="en-US" w:eastAsia="zh-CN"/>
              </w:rPr>
              <w:t>0.0406</w:t>
            </w:r>
          </w:p>
        </w:tc>
        <w:tc>
          <w:tcPr>
            <w:tcW w:w="1111" w:type="pct"/>
            <w:vAlign w:val="center"/>
          </w:tcPr>
          <w:p w14:paraId="443DD8D7">
            <w:pPr>
              <w:pStyle w:val="3127"/>
              <w:rPr>
                <w:rFonts w:hint="default" w:eastAsia="宋体"/>
                <w:snapToGrid w:val="0"/>
                <w:color w:val="auto"/>
                <w:lang w:val="en-US" w:eastAsia="zh-CN"/>
              </w:rPr>
            </w:pPr>
            <w:r>
              <w:rPr>
                <w:rFonts w:hint="eastAsia"/>
                <w:snapToGrid w:val="0"/>
                <w:color w:val="auto"/>
                <w:lang w:val="en-US" w:eastAsia="zh-CN"/>
              </w:rPr>
              <w:t>计算值</w:t>
            </w:r>
          </w:p>
        </w:tc>
      </w:tr>
    </w:tbl>
    <w:p w14:paraId="384892E2">
      <w:pPr>
        <w:spacing w:line="360" w:lineRule="auto"/>
        <w:ind w:firstLine="480"/>
        <w:rPr>
          <w:color w:val="auto"/>
        </w:rPr>
      </w:pPr>
    </w:p>
    <w:p w14:paraId="5EE0ACBB">
      <w:pPr>
        <w:spacing w:line="360" w:lineRule="auto"/>
        <w:ind w:firstLine="480"/>
        <w:rPr>
          <w:color w:val="auto"/>
          <w:szCs w:val="24"/>
        </w:rPr>
      </w:pPr>
      <w:r>
        <w:rPr>
          <w:rFonts w:hint="eastAsia"/>
          <w:color w:val="auto"/>
          <w:szCs w:val="24"/>
        </w:rPr>
        <w:t>（6）地下水污染预测</w:t>
      </w:r>
    </w:p>
    <w:p w14:paraId="2E80823F">
      <w:pPr>
        <w:spacing w:line="360" w:lineRule="auto"/>
        <w:ind w:firstLine="480"/>
        <w:rPr>
          <w:color w:val="auto"/>
          <w:szCs w:val="24"/>
        </w:rPr>
      </w:pPr>
      <w:r>
        <w:rPr>
          <w:color w:val="auto"/>
          <w:szCs w:val="24"/>
        </w:rPr>
        <w:t>A</w:t>
      </w:r>
      <w:r>
        <w:rPr>
          <w:rFonts w:hint="eastAsia"/>
          <w:color w:val="auto"/>
          <w:szCs w:val="24"/>
        </w:rPr>
        <w:t>、预测时段</w:t>
      </w:r>
    </w:p>
    <w:p w14:paraId="797C7A2A">
      <w:pPr>
        <w:spacing w:line="360" w:lineRule="auto"/>
        <w:ind w:firstLine="480"/>
        <w:rPr>
          <w:color w:val="auto"/>
          <w:szCs w:val="24"/>
        </w:rPr>
      </w:pPr>
      <w:r>
        <w:rPr>
          <w:rFonts w:hint="eastAsia"/>
          <w:color w:val="auto"/>
          <w:szCs w:val="24"/>
        </w:rPr>
        <w:t>根据《环境影响评价技术导则地下水环境》（</w:t>
      </w:r>
      <w:r>
        <w:rPr>
          <w:color w:val="auto"/>
          <w:szCs w:val="24"/>
        </w:rPr>
        <w:t>HJ 610-2016</w:t>
      </w:r>
      <w:r>
        <w:rPr>
          <w:rFonts w:hint="eastAsia"/>
          <w:color w:val="auto"/>
          <w:szCs w:val="24"/>
        </w:rPr>
        <w:t>），本次地下水环境影响预测时段按照污染发生后</w:t>
      </w:r>
      <w:r>
        <w:rPr>
          <w:color w:val="auto"/>
          <w:szCs w:val="24"/>
        </w:rPr>
        <w:t>100d</w:t>
      </w:r>
      <w:r>
        <w:rPr>
          <w:rFonts w:hint="eastAsia"/>
          <w:color w:val="auto"/>
          <w:szCs w:val="24"/>
        </w:rPr>
        <w:t>、1</w:t>
      </w:r>
      <w:r>
        <w:rPr>
          <w:color w:val="auto"/>
          <w:szCs w:val="24"/>
        </w:rPr>
        <w:t>000d</w:t>
      </w:r>
      <w:r>
        <w:rPr>
          <w:rFonts w:hint="eastAsia"/>
          <w:color w:val="auto"/>
          <w:szCs w:val="24"/>
        </w:rPr>
        <w:t>和</w:t>
      </w:r>
      <w:r>
        <w:rPr>
          <w:color w:val="auto"/>
          <w:szCs w:val="24"/>
        </w:rPr>
        <w:t>3650d</w:t>
      </w:r>
      <w:r>
        <w:rPr>
          <w:rFonts w:hint="eastAsia"/>
          <w:color w:val="auto"/>
          <w:szCs w:val="24"/>
        </w:rPr>
        <w:t>的时间进行预测。</w:t>
      </w:r>
    </w:p>
    <w:p w14:paraId="273942B1">
      <w:pPr>
        <w:spacing w:line="360" w:lineRule="auto"/>
        <w:ind w:firstLine="480"/>
        <w:rPr>
          <w:color w:val="auto"/>
          <w:szCs w:val="24"/>
        </w:rPr>
      </w:pPr>
      <w:r>
        <w:rPr>
          <w:color w:val="auto"/>
          <w:szCs w:val="24"/>
        </w:rPr>
        <w:t>B</w:t>
      </w:r>
      <w:r>
        <w:rPr>
          <w:rFonts w:hint="eastAsia"/>
          <w:color w:val="auto"/>
          <w:szCs w:val="24"/>
        </w:rPr>
        <w:t>、预测范围</w:t>
      </w:r>
    </w:p>
    <w:p w14:paraId="26A348A6">
      <w:pPr>
        <w:spacing w:line="360" w:lineRule="auto"/>
        <w:ind w:firstLine="480"/>
        <w:rPr>
          <w:color w:val="auto"/>
          <w:szCs w:val="24"/>
        </w:rPr>
      </w:pPr>
      <w:r>
        <w:rPr>
          <w:rFonts w:hint="eastAsia"/>
          <w:color w:val="auto"/>
          <w:szCs w:val="24"/>
        </w:rPr>
        <w:t>根据厂区地下水补迳排特征，预测重点为拟建项目厂区及其下游区域。</w:t>
      </w:r>
    </w:p>
    <w:p w14:paraId="71B21146">
      <w:pPr>
        <w:spacing w:line="360" w:lineRule="auto"/>
        <w:ind w:firstLine="480"/>
        <w:rPr>
          <w:color w:val="auto"/>
          <w:szCs w:val="24"/>
        </w:rPr>
      </w:pPr>
      <w:r>
        <w:rPr>
          <w:color w:val="auto"/>
          <w:szCs w:val="24"/>
        </w:rPr>
        <w:t>C</w:t>
      </w:r>
      <w:r>
        <w:rPr>
          <w:rFonts w:hint="eastAsia"/>
          <w:color w:val="auto"/>
          <w:szCs w:val="24"/>
        </w:rPr>
        <w:t>、非正常状况下污染源强</w:t>
      </w:r>
    </w:p>
    <w:p w14:paraId="53307FC7">
      <w:pPr>
        <w:spacing w:line="360" w:lineRule="auto"/>
        <w:ind w:firstLine="480"/>
        <w:rPr>
          <w:color w:val="auto"/>
        </w:rPr>
      </w:pPr>
      <w:r>
        <w:rPr>
          <w:rFonts w:hint="eastAsia"/>
          <w:color w:val="auto"/>
        </w:rPr>
        <w:t>参照</w:t>
      </w:r>
      <w:r>
        <w:rPr>
          <w:color w:val="auto"/>
        </w:rPr>
        <w:t>《环境影响评价技术导则</w:t>
      </w:r>
      <w:r>
        <w:rPr>
          <w:rFonts w:hint="eastAsia"/>
          <w:color w:val="auto"/>
        </w:rPr>
        <w:t xml:space="preserve"> </w:t>
      </w:r>
      <w:r>
        <w:rPr>
          <w:color w:val="auto"/>
        </w:rPr>
        <w:t xml:space="preserve"> 地下水环境》</w:t>
      </w:r>
      <w:r>
        <w:rPr>
          <w:rFonts w:hint="eastAsia"/>
          <w:color w:val="auto"/>
        </w:rPr>
        <w:t>（修订征求意见稿）</w:t>
      </w:r>
      <w:r>
        <w:rPr>
          <w:color w:val="auto"/>
        </w:rPr>
        <w:t>（HJ 610-202×）F.1池体</w:t>
      </w:r>
      <w:r>
        <w:rPr>
          <w:rFonts w:hint="eastAsia"/>
          <w:color w:val="auto"/>
        </w:rPr>
        <w:t>，</w:t>
      </w:r>
      <w:r>
        <w:rPr>
          <w:color w:val="auto"/>
        </w:rPr>
        <w:t>参照 GB 50141 池体构筑物允许渗水量的验收技术要求，池体渗漏量可按式 F.1 计算：</w:t>
      </w:r>
    </w:p>
    <w:p w14:paraId="2BF6D573">
      <w:pPr>
        <w:spacing w:line="360" w:lineRule="auto"/>
        <w:ind w:firstLine="480"/>
        <w:rPr>
          <w:color w:val="auto"/>
        </w:rPr>
      </w:pPr>
      <w:r>
        <w:rPr>
          <w:rFonts w:ascii="Segoe UI Historic" w:hAnsi="Segoe UI Historic" w:cs="Segoe UI Historic"/>
          <w:color w:val="auto"/>
        </w:rPr>
        <w:t>Q</w:t>
      </w:r>
      <w:r>
        <w:rPr>
          <w:rFonts w:hint="eastAsia" w:ascii="Segoe UI Historic" w:hAnsi="Segoe UI Historic" w:cs="Segoe UI Historic"/>
          <w:color w:val="auto"/>
        </w:rPr>
        <w:t>=</w:t>
      </w:r>
      <w:r>
        <w:rPr>
          <w:color w:val="auto"/>
        </w:rPr>
        <w:t>α·q·（S底+S侧）·10</w:t>
      </w:r>
      <w:r>
        <w:rPr>
          <w:color w:val="auto"/>
          <w:vertAlign w:val="superscript"/>
        </w:rPr>
        <w:t xml:space="preserve">-3 </w:t>
      </w:r>
      <w:r>
        <w:rPr>
          <w:color w:val="auto"/>
        </w:rPr>
        <w:t xml:space="preserve">（F.1） </w:t>
      </w:r>
    </w:p>
    <w:p w14:paraId="4D6E50FA">
      <w:pPr>
        <w:spacing w:line="360" w:lineRule="auto"/>
        <w:ind w:firstLine="480"/>
        <w:rPr>
          <w:color w:val="auto"/>
        </w:rPr>
      </w:pPr>
      <w:r>
        <w:rPr>
          <w:color w:val="auto"/>
        </w:rPr>
        <w:t>式中： Q——渗漏量，m</w:t>
      </w:r>
      <w:r>
        <w:rPr>
          <w:color w:val="auto"/>
          <w:vertAlign w:val="superscript"/>
        </w:rPr>
        <w:t>3</w:t>
      </w:r>
      <w:r>
        <w:rPr>
          <w:color w:val="auto"/>
        </w:rPr>
        <w:t xml:space="preserve"> /d；</w:t>
      </w:r>
    </w:p>
    <w:p w14:paraId="0395F6D5">
      <w:pPr>
        <w:spacing w:line="360" w:lineRule="auto"/>
        <w:ind w:firstLine="1080" w:firstLineChars="450"/>
        <w:rPr>
          <w:color w:val="auto"/>
        </w:rPr>
      </w:pPr>
      <w:r>
        <w:rPr>
          <w:color w:val="auto"/>
        </w:rPr>
        <w:t xml:space="preserve"> S 底——池底面积，m</w:t>
      </w:r>
      <w:r>
        <w:rPr>
          <w:color w:val="auto"/>
          <w:vertAlign w:val="superscript"/>
        </w:rPr>
        <w:t>2</w:t>
      </w:r>
      <w:r>
        <w:rPr>
          <w:color w:val="auto"/>
        </w:rPr>
        <w:t xml:space="preserve"> ； </w:t>
      </w:r>
    </w:p>
    <w:p w14:paraId="1D8AEB36">
      <w:pPr>
        <w:spacing w:line="360" w:lineRule="auto"/>
        <w:ind w:firstLine="1200" w:firstLineChars="500"/>
        <w:rPr>
          <w:color w:val="auto"/>
        </w:rPr>
      </w:pPr>
      <w:r>
        <w:rPr>
          <w:color w:val="auto"/>
        </w:rPr>
        <w:t>S侧——池壁浸湿面积，m</w:t>
      </w:r>
      <w:r>
        <w:rPr>
          <w:color w:val="auto"/>
          <w:vertAlign w:val="superscript"/>
        </w:rPr>
        <w:t>2</w:t>
      </w:r>
      <w:r>
        <w:rPr>
          <w:color w:val="auto"/>
        </w:rPr>
        <w:t xml:space="preserve"> ； </w:t>
      </w:r>
    </w:p>
    <w:p w14:paraId="7256F783">
      <w:pPr>
        <w:spacing w:line="360" w:lineRule="auto"/>
        <w:ind w:firstLine="1200" w:firstLineChars="500"/>
        <w:rPr>
          <w:color w:val="auto"/>
        </w:rPr>
      </w:pPr>
      <w:r>
        <w:rPr>
          <w:color w:val="auto"/>
        </w:rPr>
        <w:t>α——变差系数，一般可取 0.1~1.0，池体构筑物采取防渗涂层、防渗水泥等特殊防 渗措施时，根据防渗能力选取；</w:t>
      </w:r>
    </w:p>
    <w:p w14:paraId="71A8F4B8">
      <w:pPr>
        <w:spacing w:line="360" w:lineRule="auto"/>
        <w:ind w:firstLine="960" w:firstLineChars="400"/>
        <w:rPr>
          <w:color w:val="auto"/>
        </w:rPr>
      </w:pPr>
      <w:r>
        <w:rPr>
          <w:color w:val="auto"/>
        </w:rPr>
        <w:t xml:space="preserve"> q——单位渗漏量，指单位时间单位面积上的渗漏量，L/m</w:t>
      </w:r>
      <w:r>
        <w:rPr>
          <w:color w:val="auto"/>
          <w:vertAlign w:val="superscript"/>
        </w:rPr>
        <w:t>2</w:t>
      </w:r>
      <w:r>
        <w:rPr>
          <w:color w:val="auto"/>
        </w:rPr>
        <w:t>·d；不同材质的池体构 筑物的单位渗漏量参见表</w:t>
      </w:r>
      <w:r>
        <w:rPr>
          <w:rFonts w:hint="eastAsia"/>
          <w:color w:val="auto"/>
        </w:rPr>
        <w:t>6</w:t>
      </w:r>
      <w:r>
        <w:rPr>
          <w:color w:val="auto"/>
        </w:rPr>
        <w:t xml:space="preserve">.3-3。 </w:t>
      </w:r>
    </w:p>
    <w:p w14:paraId="7B64DEBD">
      <w:pPr>
        <w:spacing w:line="360" w:lineRule="auto"/>
        <w:ind w:firstLine="0" w:firstLineChars="0"/>
        <w:jc w:val="center"/>
        <w:rPr>
          <w:b/>
          <w:bCs/>
          <w:color w:val="auto"/>
        </w:rPr>
      </w:pPr>
      <w:r>
        <w:rPr>
          <w:color w:val="auto"/>
        </w:rPr>
        <w:t>表</w:t>
      </w:r>
      <w:r>
        <w:rPr>
          <w:b/>
          <w:bCs/>
          <w:color w:val="auto"/>
        </w:rPr>
        <w:t xml:space="preserve"> 6.3-3 不同材质池体构筑物单位渗漏</w:t>
      </w:r>
      <w:r>
        <w:rPr>
          <w:rFonts w:hint="eastAsia"/>
          <w:b/>
          <w:bCs/>
          <w:color w:val="auto"/>
        </w:rPr>
        <w:t>量</w:t>
      </w:r>
    </w:p>
    <w:tbl>
      <w:tblPr>
        <w:tblStyle w:val="89"/>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096"/>
        <w:gridCol w:w="3096"/>
        <w:gridCol w:w="3094"/>
      </w:tblGrid>
      <w:tr w14:paraId="43B8DD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67" w:type="pct"/>
            <w:vAlign w:val="center"/>
          </w:tcPr>
          <w:p w14:paraId="1C1E650A">
            <w:pPr>
              <w:spacing w:line="240" w:lineRule="auto"/>
              <w:ind w:firstLine="0" w:firstLineChars="0"/>
              <w:jc w:val="center"/>
              <w:rPr>
                <w:color w:val="auto"/>
                <w:sz w:val="21"/>
                <w:szCs w:val="21"/>
              </w:rPr>
            </w:pPr>
            <w:r>
              <w:rPr>
                <w:rFonts w:hint="eastAsia"/>
                <w:color w:val="auto"/>
                <w:sz w:val="21"/>
                <w:szCs w:val="21"/>
              </w:rPr>
              <w:t>编号</w:t>
            </w:r>
          </w:p>
        </w:tc>
        <w:tc>
          <w:tcPr>
            <w:tcW w:w="1667" w:type="pct"/>
            <w:vAlign w:val="center"/>
          </w:tcPr>
          <w:p w14:paraId="39C28FA0">
            <w:pPr>
              <w:spacing w:line="240" w:lineRule="auto"/>
              <w:ind w:firstLine="0" w:firstLineChars="0"/>
              <w:jc w:val="center"/>
              <w:rPr>
                <w:color w:val="auto"/>
                <w:sz w:val="21"/>
                <w:szCs w:val="21"/>
              </w:rPr>
            </w:pPr>
            <w:r>
              <w:rPr>
                <w:rFonts w:hint="eastAsia"/>
                <w:color w:val="auto"/>
                <w:sz w:val="21"/>
                <w:szCs w:val="21"/>
              </w:rPr>
              <w:t>材质</w:t>
            </w:r>
          </w:p>
        </w:tc>
        <w:tc>
          <w:tcPr>
            <w:tcW w:w="1666" w:type="pct"/>
            <w:vAlign w:val="center"/>
          </w:tcPr>
          <w:p w14:paraId="2AF19E75">
            <w:pPr>
              <w:spacing w:line="240" w:lineRule="auto"/>
              <w:ind w:firstLine="0" w:firstLineChars="0"/>
              <w:jc w:val="center"/>
              <w:rPr>
                <w:color w:val="auto"/>
                <w:sz w:val="21"/>
                <w:szCs w:val="21"/>
              </w:rPr>
            </w:pPr>
            <w:r>
              <w:rPr>
                <w:rFonts w:hint="eastAsia"/>
                <w:color w:val="auto"/>
                <w:sz w:val="21"/>
                <w:szCs w:val="21"/>
              </w:rPr>
              <w:t>单位泄漏量L/m</w:t>
            </w:r>
            <w:r>
              <w:rPr>
                <w:rFonts w:hint="eastAsia"/>
                <w:color w:val="auto"/>
                <w:sz w:val="21"/>
                <w:szCs w:val="21"/>
                <w:vertAlign w:val="superscript"/>
              </w:rPr>
              <w:t>2</w:t>
            </w:r>
            <w:r>
              <w:rPr>
                <w:rFonts w:hint="eastAsia"/>
                <w:color w:val="auto"/>
                <w:sz w:val="21"/>
                <w:szCs w:val="21"/>
              </w:rPr>
              <w:t>·d</w:t>
            </w:r>
          </w:p>
        </w:tc>
      </w:tr>
      <w:tr w14:paraId="14C5D9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67" w:type="pct"/>
            <w:vAlign w:val="center"/>
          </w:tcPr>
          <w:p w14:paraId="1057A734">
            <w:pPr>
              <w:spacing w:line="240" w:lineRule="auto"/>
              <w:ind w:firstLine="0" w:firstLineChars="0"/>
              <w:jc w:val="center"/>
              <w:rPr>
                <w:color w:val="auto"/>
                <w:sz w:val="21"/>
                <w:szCs w:val="21"/>
              </w:rPr>
            </w:pPr>
            <w:r>
              <w:rPr>
                <w:rFonts w:hint="eastAsia"/>
                <w:color w:val="auto"/>
                <w:sz w:val="21"/>
                <w:szCs w:val="21"/>
              </w:rPr>
              <w:t>1</w:t>
            </w:r>
          </w:p>
        </w:tc>
        <w:tc>
          <w:tcPr>
            <w:tcW w:w="1667" w:type="pct"/>
            <w:vAlign w:val="center"/>
          </w:tcPr>
          <w:p w14:paraId="42FB75AF">
            <w:pPr>
              <w:spacing w:line="240" w:lineRule="auto"/>
              <w:ind w:firstLine="0" w:firstLineChars="0"/>
              <w:jc w:val="center"/>
              <w:rPr>
                <w:color w:val="auto"/>
                <w:sz w:val="21"/>
                <w:szCs w:val="21"/>
              </w:rPr>
            </w:pPr>
            <w:r>
              <w:rPr>
                <w:rFonts w:hint="eastAsia"/>
                <w:color w:val="auto"/>
                <w:sz w:val="21"/>
                <w:szCs w:val="21"/>
              </w:rPr>
              <w:t>钢筋混凝土</w:t>
            </w:r>
          </w:p>
        </w:tc>
        <w:tc>
          <w:tcPr>
            <w:tcW w:w="1666" w:type="pct"/>
            <w:vAlign w:val="center"/>
          </w:tcPr>
          <w:p w14:paraId="5F9F1D82">
            <w:pPr>
              <w:spacing w:line="240" w:lineRule="auto"/>
              <w:ind w:firstLine="0" w:firstLineChars="0"/>
              <w:jc w:val="center"/>
              <w:rPr>
                <w:color w:val="auto"/>
                <w:sz w:val="21"/>
                <w:szCs w:val="21"/>
              </w:rPr>
            </w:pPr>
            <w:r>
              <w:rPr>
                <w:rFonts w:hint="eastAsia"/>
                <w:color w:val="auto"/>
                <w:sz w:val="21"/>
                <w:szCs w:val="21"/>
              </w:rPr>
              <w:t>2</w:t>
            </w:r>
          </w:p>
        </w:tc>
      </w:tr>
      <w:tr w14:paraId="4D5968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67" w:type="pct"/>
            <w:vAlign w:val="center"/>
          </w:tcPr>
          <w:p w14:paraId="2F82C9DA">
            <w:pPr>
              <w:spacing w:line="240" w:lineRule="auto"/>
              <w:ind w:firstLine="0" w:firstLineChars="0"/>
              <w:jc w:val="center"/>
              <w:rPr>
                <w:color w:val="auto"/>
                <w:sz w:val="21"/>
                <w:szCs w:val="21"/>
              </w:rPr>
            </w:pPr>
            <w:r>
              <w:rPr>
                <w:rFonts w:hint="eastAsia"/>
                <w:color w:val="auto"/>
                <w:sz w:val="21"/>
                <w:szCs w:val="21"/>
              </w:rPr>
              <w:t>2</w:t>
            </w:r>
          </w:p>
        </w:tc>
        <w:tc>
          <w:tcPr>
            <w:tcW w:w="1667" w:type="pct"/>
            <w:vAlign w:val="center"/>
          </w:tcPr>
          <w:p w14:paraId="4D881AE3">
            <w:pPr>
              <w:spacing w:line="240" w:lineRule="auto"/>
              <w:ind w:firstLine="0" w:firstLineChars="0"/>
              <w:jc w:val="center"/>
              <w:rPr>
                <w:color w:val="auto"/>
                <w:sz w:val="21"/>
                <w:szCs w:val="21"/>
              </w:rPr>
            </w:pPr>
            <w:r>
              <w:rPr>
                <w:rFonts w:hint="eastAsia"/>
                <w:color w:val="auto"/>
                <w:sz w:val="21"/>
                <w:szCs w:val="21"/>
              </w:rPr>
              <w:t>砌体结构</w:t>
            </w:r>
          </w:p>
        </w:tc>
        <w:tc>
          <w:tcPr>
            <w:tcW w:w="1666" w:type="pct"/>
            <w:vAlign w:val="center"/>
          </w:tcPr>
          <w:p w14:paraId="1E8ED4EC">
            <w:pPr>
              <w:spacing w:line="240" w:lineRule="auto"/>
              <w:ind w:firstLine="0" w:firstLineChars="0"/>
              <w:jc w:val="center"/>
              <w:rPr>
                <w:color w:val="auto"/>
                <w:sz w:val="21"/>
                <w:szCs w:val="21"/>
              </w:rPr>
            </w:pPr>
            <w:r>
              <w:rPr>
                <w:rFonts w:hint="eastAsia"/>
                <w:color w:val="auto"/>
                <w:sz w:val="21"/>
                <w:szCs w:val="21"/>
              </w:rPr>
              <w:t>3</w:t>
            </w:r>
          </w:p>
        </w:tc>
      </w:tr>
      <w:tr w14:paraId="730872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00" w:type="pct"/>
            <w:gridSpan w:val="3"/>
            <w:vAlign w:val="center"/>
          </w:tcPr>
          <w:p w14:paraId="28AC0C60">
            <w:pPr>
              <w:spacing w:line="240" w:lineRule="auto"/>
              <w:ind w:firstLine="0" w:firstLineChars="0"/>
              <w:jc w:val="center"/>
              <w:rPr>
                <w:color w:val="auto"/>
                <w:sz w:val="21"/>
                <w:szCs w:val="21"/>
              </w:rPr>
            </w:pPr>
            <w:r>
              <w:rPr>
                <w:rFonts w:hint="eastAsia"/>
                <w:color w:val="auto"/>
                <w:sz w:val="21"/>
                <w:szCs w:val="21"/>
              </w:rPr>
              <w:t>备注：单位渗漏量的测试和计算方法详见 GB 50141。</w:t>
            </w:r>
          </w:p>
        </w:tc>
      </w:tr>
    </w:tbl>
    <w:p w14:paraId="3883F79B">
      <w:pPr>
        <w:spacing w:line="360" w:lineRule="auto"/>
        <w:ind w:firstLine="480"/>
        <w:rPr>
          <w:color w:val="auto"/>
          <w:szCs w:val="24"/>
        </w:rPr>
      </w:pPr>
      <w:r>
        <w:rPr>
          <w:rFonts w:hint="eastAsia"/>
          <w:color w:val="auto"/>
          <w:szCs w:val="24"/>
        </w:rPr>
        <w:t>厂区泄漏量参数取值表见表6</w:t>
      </w:r>
      <w:r>
        <w:rPr>
          <w:color w:val="auto"/>
          <w:szCs w:val="24"/>
        </w:rPr>
        <w:t>.3-4。</w:t>
      </w:r>
    </w:p>
    <w:p w14:paraId="7D47CAD2">
      <w:pPr>
        <w:pStyle w:val="151"/>
        <w:spacing w:line="360" w:lineRule="auto"/>
        <w:ind w:firstLine="482"/>
        <w:jc w:val="center"/>
        <w:rPr>
          <w:b/>
          <w:bCs/>
          <w:snapToGrid w:val="0"/>
          <w:color w:val="auto"/>
        </w:rPr>
      </w:pPr>
      <w:r>
        <w:rPr>
          <w:b/>
          <w:bCs/>
          <w:snapToGrid w:val="0"/>
          <w:color w:val="auto"/>
        </w:rPr>
        <w:t>表6.3-4  厂区泄漏量计算参数取值表</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0"/>
        <w:gridCol w:w="1722"/>
        <w:gridCol w:w="2065"/>
        <w:gridCol w:w="1645"/>
        <w:gridCol w:w="2324"/>
      </w:tblGrid>
      <w:tr w14:paraId="64C6A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24" w:type="pct"/>
            <w:tcBorders>
              <w:top w:val="single" w:color="auto" w:sz="4" w:space="0"/>
              <w:left w:val="single" w:color="auto" w:sz="4" w:space="0"/>
              <w:bottom w:val="single" w:color="auto" w:sz="4" w:space="0"/>
              <w:right w:val="single" w:color="auto" w:sz="4" w:space="0"/>
            </w:tcBorders>
            <w:vAlign w:val="center"/>
          </w:tcPr>
          <w:p w14:paraId="4C19281A">
            <w:pPr>
              <w:spacing w:line="240" w:lineRule="auto"/>
              <w:ind w:firstLine="0" w:firstLineChars="0"/>
              <w:jc w:val="center"/>
              <w:rPr>
                <w:color w:val="auto"/>
                <w:sz w:val="21"/>
                <w:szCs w:val="21"/>
              </w:rPr>
            </w:pPr>
            <w:r>
              <w:rPr>
                <w:rFonts w:hint="eastAsia"/>
                <w:color w:val="auto"/>
                <w:sz w:val="21"/>
                <w:szCs w:val="21"/>
              </w:rPr>
              <w:t>区域</w:t>
            </w:r>
          </w:p>
        </w:tc>
        <w:tc>
          <w:tcPr>
            <w:tcW w:w="927" w:type="pct"/>
            <w:tcBorders>
              <w:top w:val="single" w:color="auto" w:sz="4" w:space="0"/>
              <w:left w:val="single" w:color="auto" w:sz="4" w:space="0"/>
              <w:bottom w:val="single" w:color="auto" w:sz="4" w:space="0"/>
              <w:right w:val="single" w:color="auto" w:sz="4" w:space="0"/>
            </w:tcBorders>
            <w:vAlign w:val="center"/>
          </w:tcPr>
          <w:p w14:paraId="40024468">
            <w:pPr>
              <w:spacing w:line="240" w:lineRule="auto"/>
              <w:ind w:firstLine="0" w:firstLineChars="0"/>
              <w:jc w:val="center"/>
              <w:rPr>
                <w:color w:val="auto"/>
                <w:sz w:val="21"/>
                <w:szCs w:val="21"/>
              </w:rPr>
            </w:pPr>
            <w:r>
              <w:rPr>
                <w:rFonts w:hint="eastAsia"/>
                <w:color w:val="auto"/>
                <w:sz w:val="21"/>
                <w:szCs w:val="21"/>
              </w:rPr>
              <w:t>池底面积m</w:t>
            </w:r>
            <w:r>
              <w:rPr>
                <w:rFonts w:hint="eastAsia"/>
                <w:color w:val="auto"/>
                <w:sz w:val="21"/>
                <w:szCs w:val="21"/>
                <w:vertAlign w:val="superscript"/>
              </w:rPr>
              <w:t>2</w:t>
            </w:r>
          </w:p>
        </w:tc>
        <w:tc>
          <w:tcPr>
            <w:tcW w:w="1112" w:type="pct"/>
            <w:tcBorders>
              <w:top w:val="single" w:color="auto" w:sz="4" w:space="0"/>
              <w:left w:val="single" w:color="auto" w:sz="4" w:space="0"/>
              <w:bottom w:val="single" w:color="auto" w:sz="4" w:space="0"/>
              <w:right w:val="single" w:color="auto" w:sz="4" w:space="0"/>
            </w:tcBorders>
            <w:vAlign w:val="center"/>
          </w:tcPr>
          <w:p w14:paraId="23E23ED0">
            <w:pPr>
              <w:spacing w:line="240" w:lineRule="auto"/>
              <w:ind w:firstLine="0" w:firstLineChars="0"/>
              <w:jc w:val="center"/>
              <w:rPr>
                <w:color w:val="auto"/>
                <w:sz w:val="21"/>
                <w:szCs w:val="21"/>
              </w:rPr>
            </w:pPr>
            <w:r>
              <w:rPr>
                <w:rFonts w:hint="eastAsia"/>
                <w:color w:val="auto"/>
                <w:sz w:val="21"/>
                <w:szCs w:val="21"/>
              </w:rPr>
              <w:t>池壁浸湿面积m</w:t>
            </w:r>
            <w:r>
              <w:rPr>
                <w:rFonts w:hint="eastAsia"/>
                <w:color w:val="auto"/>
                <w:sz w:val="21"/>
                <w:szCs w:val="21"/>
                <w:vertAlign w:val="superscript"/>
              </w:rPr>
              <w:t>2</w:t>
            </w:r>
          </w:p>
        </w:tc>
        <w:tc>
          <w:tcPr>
            <w:tcW w:w="886" w:type="pct"/>
            <w:tcBorders>
              <w:top w:val="single" w:color="auto" w:sz="4" w:space="0"/>
              <w:left w:val="single" w:color="auto" w:sz="4" w:space="0"/>
              <w:bottom w:val="single" w:color="auto" w:sz="4" w:space="0"/>
              <w:right w:val="single" w:color="auto" w:sz="4" w:space="0"/>
            </w:tcBorders>
            <w:vAlign w:val="center"/>
          </w:tcPr>
          <w:p w14:paraId="75570AE9">
            <w:pPr>
              <w:spacing w:line="240" w:lineRule="auto"/>
              <w:ind w:firstLine="0" w:firstLineChars="0"/>
              <w:jc w:val="center"/>
              <w:rPr>
                <w:color w:val="auto"/>
                <w:sz w:val="21"/>
                <w:szCs w:val="21"/>
              </w:rPr>
            </w:pPr>
            <w:r>
              <w:rPr>
                <w:rFonts w:hint="eastAsia"/>
                <w:color w:val="auto"/>
                <w:sz w:val="21"/>
                <w:szCs w:val="21"/>
              </w:rPr>
              <w:t>变差系数</w:t>
            </w:r>
          </w:p>
        </w:tc>
        <w:tc>
          <w:tcPr>
            <w:tcW w:w="1251" w:type="pct"/>
            <w:tcBorders>
              <w:top w:val="single" w:color="auto" w:sz="4" w:space="0"/>
              <w:left w:val="single" w:color="auto" w:sz="4" w:space="0"/>
              <w:bottom w:val="single" w:color="auto" w:sz="4" w:space="0"/>
              <w:right w:val="single" w:color="auto" w:sz="4" w:space="0"/>
            </w:tcBorders>
            <w:vAlign w:val="center"/>
          </w:tcPr>
          <w:p w14:paraId="2D4C762D">
            <w:pPr>
              <w:spacing w:line="240" w:lineRule="auto"/>
              <w:ind w:firstLine="0" w:firstLineChars="0"/>
              <w:jc w:val="center"/>
              <w:rPr>
                <w:color w:val="auto"/>
                <w:sz w:val="21"/>
                <w:szCs w:val="21"/>
              </w:rPr>
            </w:pPr>
            <w:r>
              <w:rPr>
                <w:rFonts w:hint="eastAsia"/>
                <w:color w:val="auto"/>
                <w:sz w:val="21"/>
                <w:szCs w:val="21"/>
              </w:rPr>
              <w:t>单位渗漏量L/m</w:t>
            </w:r>
            <w:r>
              <w:rPr>
                <w:rFonts w:hint="eastAsia"/>
                <w:color w:val="auto"/>
                <w:sz w:val="21"/>
                <w:szCs w:val="21"/>
                <w:vertAlign w:val="superscript"/>
              </w:rPr>
              <w:t>2</w:t>
            </w:r>
            <w:r>
              <w:rPr>
                <w:rFonts w:hint="eastAsia"/>
                <w:color w:val="auto"/>
                <w:sz w:val="21"/>
                <w:szCs w:val="21"/>
              </w:rPr>
              <w:t>·d</w:t>
            </w:r>
          </w:p>
        </w:tc>
      </w:tr>
      <w:tr w14:paraId="16922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824" w:type="pct"/>
            <w:tcBorders>
              <w:top w:val="single" w:color="auto" w:sz="4" w:space="0"/>
              <w:left w:val="single" w:color="auto" w:sz="4" w:space="0"/>
              <w:bottom w:val="single" w:color="auto" w:sz="4" w:space="0"/>
              <w:right w:val="single" w:color="auto" w:sz="4" w:space="0"/>
            </w:tcBorders>
            <w:vAlign w:val="center"/>
          </w:tcPr>
          <w:p w14:paraId="51DC530A">
            <w:pPr>
              <w:spacing w:line="240" w:lineRule="auto"/>
              <w:ind w:firstLine="0" w:firstLineChars="0"/>
              <w:jc w:val="center"/>
              <w:rPr>
                <w:color w:val="auto"/>
                <w:sz w:val="21"/>
                <w:szCs w:val="21"/>
              </w:rPr>
            </w:pPr>
            <w:r>
              <w:rPr>
                <w:rFonts w:hint="eastAsia"/>
                <w:color w:val="auto"/>
                <w:sz w:val="21"/>
                <w:szCs w:val="21"/>
              </w:rPr>
              <w:t>调节池</w:t>
            </w:r>
          </w:p>
        </w:tc>
        <w:tc>
          <w:tcPr>
            <w:tcW w:w="927" w:type="pct"/>
            <w:tcBorders>
              <w:top w:val="single" w:color="auto" w:sz="4" w:space="0"/>
              <w:left w:val="single" w:color="auto" w:sz="4" w:space="0"/>
              <w:bottom w:val="single" w:color="auto" w:sz="4" w:space="0"/>
              <w:right w:val="single" w:color="auto" w:sz="4" w:space="0"/>
            </w:tcBorders>
            <w:vAlign w:val="center"/>
          </w:tcPr>
          <w:p w14:paraId="1E072F72">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22.2</w:t>
            </w:r>
          </w:p>
        </w:tc>
        <w:tc>
          <w:tcPr>
            <w:tcW w:w="1112" w:type="pct"/>
            <w:tcBorders>
              <w:top w:val="single" w:color="auto" w:sz="4" w:space="0"/>
              <w:left w:val="single" w:color="auto" w:sz="4" w:space="0"/>
              <w:bottom w:val="single" w:color="auto" w:sz="4" w:space="0"/>
              <w:right w:val="single" w:color="auto" w:sz="4" w:space="0"/>
            </w:tcBorders>
            <w:vAlign w:val="center"/>
          </w:tcPr>
          <w:p w14:paraId="4006D83F">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48.5</w:t>
            </w:r>
          </w:p>
        </w:tc>
        <w:tc>
          <w:tcPr>
            <w:tcW w:w="886" w:type="pct"/>
            <w:tcBorders>
              <w:top w:val="single" w:color="auto" w:sz="4" w:space="0"/>
              <w:left w:val="single" w:color="auto" w:sz="4" w:space="0"/>
              <w:bottom w:val="single" w:color="auto" w:sz="4" w:space="0"/>
              <w:right w:val="single" w:color="auto" w:sz="4" w:space="0"/>
            </w:tcBorders>
            <w:vAlign w:val="center"/>
          </w:tcPr>
          <w:p w14:paraId="23E1B84D">
            <w:pPr>
              <w:spacing w:line="240" w:lineRule="auto"/>
              <w:ind w:firstLine="0" w:firstLineChars="0"/>
              <w:jc w:val="center"/>
              <w:rPr>
                <w:color w:val="auto"/>
                <w:sz w:val="21"/>
                <w:szCs w:val="21"/>
              </w:rPr>
            </w:pPr>
            <w:r>
              <w:rPr>
                <w:rFonts w:hint="eastAsia"/>
                <w:color w:val="auto"/>
                <w:sz w:val="21"/>
                <w:szCs w:val="21"/>
              </w:rPr>
              <w:t>0.5</w:t>
            </w:r>
          </w:p>
        </w:tc>
        <w:tc>
          <w:tcPr>
            <w:tcW w:w="1251" w:type="pct"/>
            <w:tcBorders>
              <w:top w:val="single" w:color="auto" w:sz="4" w:space="0"/>
              <w:left w:val="single" w:color="auto" w:sz="4" w:space="0"/>
              <w:bottom w:val="single" w:color="auto" w:sz="4" w:space="0"/>
              <w:right w:val="single" w:color="auto" w:sz="4" w:space="0"/>
            </w:tcBorders>
            <w:vAlign w:val="center"/>
          </w:tcPr>
          <w:p w14:paraId="7AAB3D62">
            <w:pPr>
              <w:spacing w:line="240" w:lineRule="auto"/>
              <w:ind w:firstLine="0" w:firstLineChars="0"/>
              <w:jc w:val="center"/>
              <w:rPr>
                <w:color w:val="auto"/>
                <w:sz w:val="21"/>
                <w:szCs w:val="21"/>
              </w:rPr>
            </w:pPr>
            <w:r>
              <w:rPr>
                <w:rFonts w:hint="eastAsia"/>
                <w:color w:val="auto"/>
                <w:sz w:val="21"/>
                <w:szCs w:val="21"/>
              </w:rPr>
              <w:t>2</w:t>
            </w:r>
          </w:p>
        </w:tc>
      </w:tr>
      <w:tr w14:paraId="29B0C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0AE082FB">
            <w:pPr>
              <w:spacing w:line="240" w:lineRule="auto"/>
              <w:ind w:firstLine="0" w:firstLineChars="0"/>
              <w:rPr>
                <w:color w:val="auto"/>
                <w:sz w:val="21"/>
                <w:szCs w:val="21"/>
              </w:rPr>
            </w:pPr>
            <w:r>
              <w:rPr>
                <w:rFonts w:hint="eastAsia"/>
                <w:color w:val="auto"/>
                <w:sz w:val="21"/>
                <w:szCs w:val="21"/>
              </w:rPr>
              <w:t>备注：拟建项目构筑物主要为混凝土材质。</w:t>
            </w:r>
          </w:p>
        </w:tc>
      </w:tr>
    </w:tbl>
    <w:p w14:paraId="023CD3E6">
      <w:pPr>
        <w:spacing w:line="360" w:lineRule="auto"/>
        <w:ind w:firstLine="480"/>
        <w:rPr>
          <w:color w:val="auto"/>
          <w:szCs w:val="24"/>
        </w:rPr>
      </w:pPr>
    </w:p>
    <w:p w14:paraId="7F3642AA">
      <w:pPr>
        <w:spacing w:line="360" w:lineRule="auto"/>
        <w:ind w:firstLine="480"/>
        <w:rPr>
          <w:color w:val="auto"/>
          <w:szCs w:val="24"/>
        </w:rPr>
      </w:pPr>
      <w:r>
        <w:rPr>
          <w:rFonts w:hint="eastAsia"/>
          <w:color w:val="auto"/>
          <w:szCs w:val="24"/>
        </w:rPr>
        <w:t>综上，正常状况下</w:t>
      </w:r>
      <w:r>
        <w:rPr>
          <w:color w:val="auto"/>
          <w:szCs w:val="24"/>
        </w:rPr>
        <w:t>调节池</w:t>
      </w:r>
      <w:r>
        <w:rPr>
          <w:rFonts w:hint="eastAsia"/>
          <w:color w:val="auto"/>
          <w:szCs w:val="24"/>
        </w:rPr>
        <w:t>泄漏源强为</w:t>
      </w:r>
      <w:r>
        <w:rPr>
          <w:color w:val="auto"/>
          <w:szCs w:val="24"/>
        </w:rPr>
        <w:t>0.</w:t>
      </w:r>
      <w:r>
        <w:rPr>
          <w:rFonts w:hint="eastAsia"/>
          <w:color w:val="auto"/>
          <w:szCs w:val="24"/>
          <w:lang w:val="en-US" w:eastAsia="zh-CN"/>
        </w:rPr>
        <w:t>071</w:t>
      </w:r>
      <w:r>
        <w:rPr>
          <w:color w:val="auto"/>
          <w:szCs w:val="24"/>
        </w:rPr>
        <w:t>m</w:t>
      </w:r>
      <w:r>
        <w:rPr>
          <w:color w:val="auto"/>
          <w:szCs w:val="24"/>
          <w:vertAlign w:val="superscript"/>
        </w:rPr>
        <w:t>3</w:t>
      </w:r>
      <w:r>
        <w:rPr>
          <w:color w:val="auto"/>
          <w:szCs w:val="24"/>
        </w:rPr>
        <w:t>/d</w:t>
      </w:r>
      <w:r>
        <w:rPr>
          <w:rFonts w:hint="eastAsia"/>
          <w:color w:val="auto"/>
          <w:szCs w:val="24"/>
        </w:rPr>
        <w:t>，</w:t>
      </w:r>
      <w:r>
        <w:rPr>
          <w:rFonts w:hint="eastAsia"/>
          <w:color w:val="auto"/>
        </w:rPr>
        <w:t>参照</w:t>
      </w:r>
      <w:r>
        <w:rPr>
          <w:color w:val="auto"/>
        </w:rPr>
        <w:t>《环境影响评价技术导则</w:t>
      </w:r>
      <w:r>
        <w:rPr>
          <w:rFonts w:hint="eastAsia"/>
          <w:color w:val="auto"/>
        </w:rPr>
        <w:t xml:space="preserve"> </w:t>
      </w:r>
      <w:r>
        <w:rPr>
          <w:color w:val="auto"/>
        </w:rPr>
        <w:t xml:space="preserve"> 地下水环境》</w:t>
      </w:r>
      <w:r>
        <w:rPr>
          <w:rFonts w:hint="eastAsia"/>
          <w:color w:val="auto"/>
        </w:rPr>
        <w:t>（修订征求意见稿）</w:t>
      </w:r>
      <w:r>
        <w:rPr>
          <w:color w:val="auto"/>
        </w:rPr>
        <w:t>（HJ 610-202×）</w:t>
      </w:r>
      <w:r>
        <w:rPr>
          <w:rFonts w:hint="eastAsia"/>
          <w:color w:val="auto"/>
        </w:rPr>
        <w:t>，</w:t>
      </w:r>
      <w:r>
        <w:rPr>
          <w:color w:val="auto"/>
        </w:rPr>
        <w:t>非正常状况下，预测源强可根据地下水环境保护设施或工艺设备的系统老化或腐蚀程度等设定，一般为正常状况下源强的 10~100倍</w:t>
      </w:r>
      <w:r>
        <w:rPr>
          <w:rFonts w:hint="eastAsia"/>
          <w:color w:val="auto"/>
        </w:rPr>
        <w:t>，拟建项目池体构筑物为混凝土结构，</w:t>
      </w:r>
      <w:r>
        <w:rPr>
          <w:rFonts w:hint="eastAsia"/>
          <w:color w:val="auto"/>
          <w:lang w:eastAsia="zh-CN"/>
        </w:rPr>
        <w:t>从最不利情况下考虑，</w:t>
      </w:r>
      <w:r>
        <w:rPr>
          <w:rFonts w:hint="eastAsia"/>
          <w:color w:val="auto"/>
        </w:rPr>
        <w:t>非正常状况取正常状况下的1</w:t>
      </w:r>
      <w:r>
        <w:rPr>
          <w:rFonts w:hint="eastAsia"/>
          <w:color w:val="auto"/>
          <w:lang w:val="en-US" w:eastAsia="zh-CN"/>
        </w:rPr>
        <w:t>0</w:t>
      </w:r>
      <w:r>
        <w:rPr>
          <w:color w:val="auto"/>
        </w:rPr>
        <w:t>0</w:t>
      </w:r>
      <w:r>
        <w:rPr>
          <w:rFonts w:hint="eastAsia"/>
          <w:color w:val="auto"/>
        </w:rPr>
        <w:t>倍，故</w:t>
      </w:r>
      <w:r>
        <w:rPr>
          <w:color w:val="auto"/>
          <w:szCs w:val="24"/>
        </w:rPr>
        <w:t>调节池</w:t>
      </w:r>
      <w:r>
        <w:rPr>
          <w:rFonts w:hint="eastAsia"/>
          <w:color w:val="auto"/>
          <w:szCs w:val="24"/>
        </w:rPr>
        <w:t>泄漏源强为</w:t>
      </w:r>
      <w:r>
        <w:rPr>
          <w:rFonts w:hint="eastAsia"/>
          <w:color w:val="auto"/>
          <w:szCs w:val="24"/>
          <w:lang w:val="en-US" w:eastAsia="zh-CN"/>
        </w:rPr>
        <w:t>7.1</w:t>
      </w:r>
      <w:r>
        <w:rPr>
          <w:color w:val="auto"/>
        </w:rPr>
        <w:t>m</w:t>
      </w:r>
      <w:r>
        <w:rPr>
          <w:color w:val="auto"/>
          <w:vertAlign w:val="superscript"/>
        </w:rPr>
        <w:t>3</w:t>
      </w:r>
      <w:r>
        <w:rPr>
          <w:color w:val="auto"/>
        </w:rPr>
        <w:t>/d。</w:t>
      </w:r>
    </w:p>
    <w:p w14:paraId="668C14DA">
      <w:pPr>
        <w:spacing w:line="360" w:lineRule="auto"/>
        <w:ind w:firstLine="480"/>
        <w:rPr>
          <w:color w:val="auto"/>
          <w:szCs w:val="24"/>
        </w:rPr>
      </w:pPr>
      <w:r>
        <w:rPr>
          <w:rFonts w:hint="eastAsia"/>
          <w:color w:val="auto"/>
          <w:szCs w:val="24"/>
        </w:rPr>
        <w:t>根据污水的成分，参照《环境影响评价技术导则地下水环境》（</w:t>
      </w:r>
      <w:r>
        <w:rPr>
          <w:color w:val="auto"/>
          <w:szCs w:val="24"/>
        </w:rPr>
        <w:t>HJ610-2016</w:t>
      </w:r>
      <w:r>
        <w:rPr>
          <w:rFonts w:hint="eastAsia"/>
          <w:color w:val="auto"/>
          <w:szCs w:val="24"/>
        </w:rPr>
        <w:t>）的选取方法，本次选定预测因子为非持久性污染物</w:t>
      </w:r>
      <w:r>
        <w:rPr>
          <w:color w:val="auto"/>
          <w:szCs w:val="24"/>
        </w:rPr>
        <w:t>COD</w:t>
      </w:r>
      <w:r>
        <w:rPr>
          <w:rFonts w:hint="eastAsia"/>
          <w:color w:val="auto"/>
          <w:szCs w:val="24"/>
          <w:lang w:eastAsia="zh-CN"/>
        </w:rPr>
        <w:t>、氯化物</w:t>
      </w:r>
      <w:r>
        <w:rPr>
          <w:rFonts w:hint="eastAsia"/>
          <w:color w:val="auto"/>
          <w:szCs w:val="24"/>
        </w:rPr>
        <w:t>和石油类作为预测因子，污染物的浓度取为</w:t>
      </w:r>
      <w:r>
        <w:rPr>
          <w:color w:val="auto"/>
          <w:szCs w:val="24"/>
        </w:rPr>
        <w:t>COD</w:t>
      </w:r>
      <w:r>
        <w:rPr>
          <w:rFonts w:hint="eastAsia"/>
          <w:color w:val="auto"/>
          <w:szCs w:val="24"/>
        </w:rPr>
        <w:t xml:space="preserve"> </w:t>
      </w:r>
      <w:r>
        <w:rPr>
          <w:color w:val="auto"/>
          <w:szCs w:val="24"/>
        </w:rPr>
        <w:t>2000mg/L</w:t>
      </w:r>
      <w:r>
        <w:rPr>
          <w:rFonts w:hint="eastAsia"/>
          <w:color w:val="auto"/>
          <w:szCs w:val="24"/>
        </w:rPr>
        <w:t>、氯化物2</w:t>
      </w:r>
      <w:r>
        <w:rPr>
          <w:color w:val="auto"/>
          <w:szCs w:val="24"/>
        </w:rPr>
        <w:t>0000mg/L</w:t>
      </w:r>
      <w:r>
        <w:rPr>
          <w:rFonts w:hint="eastAsia"/>
          <w:color w:val="auto"/>
          <w:szCs w:val="24"/>
        </w:rPr>
        <w:t>、石油类</w:t>
      </w:r>
      <w:r>
        <w:rPr>
          <w:rFonts w:hint="eastAsia"/>
          <w:color w:val="auto"/>
          <w:szCs w:val="24"/>
          <w:lang w:val="en-US" w:eastAsia="zh-CN"/>
        </w:rPr>
        <w:t>10</w:t>
      </w:r>
      <w:r>
        <w:rPr>
          <w:color w:val="auto"/>
          <w:szCs w:val="24"/>
        </w:rPr>
        <w:t>0mg/L</w:t>
      </w:r>
      <w:r>
        <w:rPr>
          <w:rFonts w:hint="eastAsia"/>
          <w:color w:val="auto"/>
          <w:szCs w:val="24"/>
        </w:rPr>
        <w:t>。由于拟建项目调节池为半地埋式，泄漏不易被发现，拟建项目跟踪监测频次为1年，因此考虑调节池泄漏后3</w:t>
      </w:r>
      <w:r>
        <w:rPr>
          <w:color w:val="auto"/>
          <w:szCs w:val="24"/>
        </w:rPr>
        <w:t>65</w:t>
      </w:r>
      <w:r>
        <w:rPr>
          <w:rFonts w:hint="eastAsia"/>
          <w:color w:val="auto"/>
          <w:szCs w:val="24"/>
        </w:rPr>
        <w:t>d被发现。</w:t>
      </w:r>
    </w:p>
    <w:p w14:paraId="085D5272">
      <w:pPr>
        <w:spacing w:line="360" w:lineRule="auto"/>
        <w:ind w:firstLine="480"/>
        <w:rPr>
          <w:color w:val="auto"/>
          <w:szCs w:val="24"/>
        </w:rPr>
      </w:pPr>
      <w:r>
        <w:rPr>
          <w:color w:val="auto"/>
          <w:szCs w:val="24"/>
        </w:rPr>
        <w:t>D</w:t>
      </w:r>
      <w:r>
        <w:rPr>
          <w:rFonts w:hint="eastAsia"/>
          <w:color w:val="auto"/>
          <w:szCs w:val="24"/>
        </w:rPr>
        <w:t>、地下水环境质量标准</w:t>
      </w:r>
    </w:p>
    <w:p w14:paraId="18A1C98F">
      <w:pPr>
        <w:spacing w:line="360" w:lineRule="auto"/>
        <w:ind w:firstLine="480"/>
        <w:rPr>
          <w:color w:val="auto"/>
          <w:szCs w:val="24"/>
        </w:rPr>
      </w:pPr>
      <w:r>
        <w:rPr>
          <w:rFonts w:hint="eastAsia"/>
          <w:color w:val="auto"/>
          <w:szCs w:val="24"/>
        </w:rPr>
        <w:t>根据非正常状况分析情景设定主要污染源的分布位置，本次模拟选定优先控制污染物，预测在非正常条件有防渗情景下，污染物在地下水中迁移过程，进一步分析污染物影响范围、超标范围和迁出厂区后浓度变化。COD</w:t>
      </w:r>
      <w:r>
        <w:rPr>
          <w:rFonts w:hint="eastAsia"/>
          <w:color w:val="auto"/>
          <w:szCs w:val="24"/>
          <w:vertAlign w:val="subscript"/>
        </w:rPr>
        <w:t>Mn</w:t>
      </w:r>
      <w:r>
        <w:rPr>
          <w:rFonts w:hint="eastAsia"/>
          <w:color w:val="auto"/>
          <w:szCs w:val="24"/>
        </w:rPr>
        <w:t>采用《地下水质量标准》（GB/T14848-2017）中的耗氧量标准限值（3mg/L）。地下水背景浓度以厂区监测井DS1为准，耗氧量（COD</w:t>
      </w:r>
      <w:r>
        <w:rPr>
          <w:rFonts w:hint="eastAsia"/>
          <w:color w:val="auto"/>
          <w:szCs w:val="24"/>
          <w:vertAlign w:val="subscript"/>
        </w:rPr>
        <w:t>Mn</w:t>
      </w:r>
      <w:r>
        <w:rPr>
          <w:rFonts w:hint="eastAsia"/>
          <w:color w:val="auto"/>
          <w:szCs w:val="24"/>
        </w:rPr>
        <w:t>）浓度为</w:t>
      </w:r>
      <w:r>
        <w:rPr>
          <w:rFonts w:hint="eastAsia"/>
          <w:color w:val="auto"/>
          <w:szCs w:val="24"/>
          <w:lang w:val="en-US" w:eastAsia="zh-CN"/>
        </w:rPr>
        <w:t>1.34</w:t>
      </w:r>
      <w:r>
        <w:rPr>
          <w:rFonts w:hint="eastAsia"/>
          <w:color w:val="auto"/>
          <w:szCs w:val="24"/>
        </w:rPr>
        <w:t xml:space="preserve"> mg/L，石油类浓度为0.005mg/L（以检出限一半计），氯化物浓度为</w:t>
      </w:r>
      <w:r>
        <w:rPr>
          <w:rFonts w:hint="eastAsia"/>
          <w:color w:val="auto"/>
          <w:szCs w:val="24"/>
          <w:lang w:val="en-US" w:eastAsia="zh-CN"/>
        </w:rPr>
        <w:t>15.8</w:t>
      </w:r>
      <w:r>
        <w:rPr>
          <w:rFonts w:hint="eastAsia"/>
          <w:color w:val="auto"/>
          <w:szCs w:val="24"/>
        </w:rPr>
        <w:t>mg/L见表</w:t>
      </w:r>
      <w:r>
        <w:rPr>
          <w:color w:val="auto"/>
          <w:szCs w:val="24"/>
        </w:rPr>
        <w:t>6.3-</w:t>
      </w:r>
      <w:r>
        <w:rPr>
          <w:rFonts w:hint="eastAsia"/>
          <w:color w:val="auto"/>
          <w:szCs w:val="24"/>
        </w:rPr>
        <w:t>3。</w:t>
      </w:r>
    </w:p>
    <w:p w14:paraId="3B7BA7FA">
      <w:pPr>
        <w:spacing w:line="360" w:lineRule="auto"/>
        <w:ind w:firstLine="482"/>
        <w:jc w:val="center"/>
        <w:rPr>
          <w:b/>
          <w:bCs/>
          <w:color w:val="auto"/>
          <w:szCs w:val="24"/>
        </w:rPr>
      </w:pPr>
      <w:r>
        <w:rPr>
          <w:rFonts w:hint="eastAsia"/>
          <w:b/>
          <w:bCs/>
          <w:color w:val="auto"/>
          <w:szCs w:val="24"/>
        </w:rPr>
        <w:t>表</w:t>
      </w:r>
      <w:r>
        <w:rPr>
          <w:b/>
          <w:bCs/>
          <w:color w:val="auto"/>
          <w:szCs w:val="24"/>
        </w:rPr>
        <w:t>6.3-</w:t>
      </w:r>
      <w:r>
        <w:rPr>
          <w:rFonts w:hint="eastAsia"/>
          <w:b/>
          <w:bCs/>
          <w:color w:val="auto"/>
          <w:szCs w:val="24"/>
        </w:rPr>
        <w:t>3  拟采用地下水环境质量标准一览表</w:t>
      </w:r>
    </w:p>
    <w:tbl>
      <w:tblPr>
        <w:tblStyle w:val="88"/>
        <w:tblW w:w="48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4"/>
        <w:gridCol w:w="2659"/>
        <w:gridCol w:w="3590"/>
      </w:tblGrid>
      <w:tr w14:paraId="157CB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781" w:type="pct"/>
            <w:tcBorders>
              <w:top w:val="single" w:color="auto" w:sz="4" w:space="0"/>
              <w:left w:val="single" w:color="auto" w:sz="4" w:space="0"/>
              <w:bottom w:val="single" w:color="auto" w:sz="4" w:space="0"/>
              <w:right w:val="single" w:color="auto" w:sz="4" w:space="0"/>
            </w:tcBorders>
            <w:vAlign w:val="center"/>
          </w:tcPr>
          <w:p w14:paraId="0B66EFBB">
            <w:pPr>
              <w:pStyle w:val="3361"/>
              <w:rPr>
                <w:color w:val="auto"/>
              </w:rPr>
            </w:pPr>
            <w:r>
              <w:rPr>
                <w:rFonts w:hint="eastAsia"/>
                <w:color w:val="auto"/>
              </w:rPr>
              <w:t>环境要素</w:t>
            </w:r>
          </w:p>
        </w:tc>
        <w:tc>
          <w:tcPr>
            <w:tcW w:w="783" w:type="pct"/>
            <w:tcBorders>
              <w:top w:val="single" w:color="auto" w:sz="4" w:space="0"/>
              <w:left w:val="single" w:color="auto" w:sz="4" w:space="0"/>
              <w:bottom w:val="single" w:color="auto" w:sz="4" w:space="0"/>
              <w:right w:val="single" w:color="auto" w:sz="4" w:space="0"/>
            </w:tcBorders>
            <w:vAlign w:val="center"/>
          </w:tcPr>
          <w:p w14:paraId="6A69A7CA">
            <w:pPr>
              <w:pStyle w:val="3361"/>
              <w:rPr>
                <w:color w:val="auto"/>
              </w:rPr>
            </w:pPr>
            <w:r>
              <w:rPr>
                <w:rFonts w:hint="eastAsia"/>
                <w:color w:val="auto"/>
              </w:rPr>
              <w:t>预测因子</w:t>
            </w:r>
          </w:p>
        </w:tc>
        <w:tc>
          <w:tcPr>
            <w:tcW w:w="1462" w:type="pct"/>
            <w:tcBorders>
              <w:top w:val="single" w:color="auto" w:sz="4" w:space="0"/>
              <w:left w:val="single" w:color="auto" w:sz="4" w:space="0"/>
              <w:bottom w:val="single" w:color="auto" w:sz="4" w:space="0"/>
              <w:right w:val="single" w:color="auto" w:sz="4" w:space="0"/>
            </w:tcBorders>
            <w:vAlign w:val="center"/>
          </w:tcPr>
          <w:p w14:paraId="2F2F4406">
            <w:pPr>
              <w:pStyle w:val="3361"/>
              <w:rPr>
                <w:color w:val="auto"/>
              </w:rPr>
            </w:pPr>
            <w:r>
              <w:rPr>
                <w:rFonts w:hint="eastAsia"/>
                <w:color w:val="auto"/>
              </w:rPr>
              <w:t>标准限值，mg/L</w:t>
            </w:r>
          </w:p>
        </w:tc>
        <w:tc>
          <w:tcPr>
            <w:tcW w:w="1974" w:type="pct"/>
            <w:tcBorders>
              <w:top w:val="single" w:color="auto" w:sz="4" w:space="0"/>
              <w:left w:val="single" w:color="auto" w:sz="4" w:space="0"/>
              <w:bottom w:val="single" w:color="auto" w:sz="4" w:space="0"/>
              <w:right w:val="single" w:color="auto" w:sz="4" w:space="0"/>
            </w:tcBorders>
            <w:vAlign w:val="center"/>
          </w:tcPr>
          <w:p w14:paraId="1E6F0B58">
            <w:pPr>
              <w:pStyle w:val="3361"/>
              <w:rPr>
                <w:color w:val="auto"/>
              </w:rPr>
            </w:pPr>
            <w:r>
              <w:rPr>
                <w:rFonts w:hint="eastAsia"/>
                <w:color w:val="auto"/>
              </w:rPr>
              <w:t>依据</w:t>
            </w:r>
          </w:p>
        </w:tc>
      </w:tr>
      <w:tr w14:paraId="4FC0D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781" w:type="pct"/>
            <w:vMerge w:val="restart"/>
            <w:tcBorders>
              <w:top w:val="single" w:color="auto" w:sz="4" w:space="0"/>
              <w:left w:val="single" w:color="auto" w:sz="4" w:space="0"/>
              <w:right w:val="single" w:color="auto" w:sz="4" w:space="0"/>
            </w:tcBorders>
            <w:vAlign w:val="center"/>
          </w:tcPr>
          <w:p w14:paraId="14E1B0B8">
            <w:pPr>
              <w:pStyle w:val="3361"/>
              <w:rPr>
                <w:color w:val="auto"/>
              </w:rPr>
            </w:pPr>
            <w:r>
              <w:rPr>
                <w:rFonts w:hint="eastAsia"/>
                <w:color w:val="auto"/>
              </w:rPr>
              <w:t>地下水</w:t>
            </w:r>
          </w:p>
        </w:tc>
        <w:tc>
          <w:tcPr>
            <w:tcW w:w="783" w:type="pct"/>
            <w:tcBorders>
              <w:top w:val="single" w:color="auto" w:sz="4" w:space="0"/>
              <w:left w:val="single" w:color="auto" w:sz="4" w:space="0"/>
              <w:bottom w:val="single" w:color="auto" w:sz="4" w:space="0"/>
              <w:right w:val="single" w:color="auto" w:sz="4" w:space="0"/>
            </w:tcBorders>
            <w:vAlign w:val="center"/>
          </w:tcPr>
          <w:p w14:paraId="503AE5D9">
            <w:pPr>
              <w:pStyle w:val="3361"/>
              <w:rPr>
                <w:color w:val="auto"/>
              </w:rPr>
            </w:pPr>
            <w:r>
              <w:rPr>
                <w:rFonts w:hint="eastAsia"/>
                <w:color w:val="auto"/>
              </w:rPr>
              <w:t>COD</w:t>
            </w:r>
            <w:r>
              <w:rPr>
                <w:rFonts w:hint="eastAsia"/>
                <w:color w:val="auto"/>
                <w:vertAlign w:val="subscript"/>
              </w:rPr>
              <w:t>Mn</w:t>
            </w:r>
          </w:p>
        </w:tc>
        <w:tc>
          <w:tcPr>
            <w:tcW w:w="1462" w:type="pct"/>
            <w:tcBorders>
              <w:top w:val="single" w:color="auto" w:sz="4" w:space="0"/>
              <w:left w:val="single" w:color="auto" w:sz="4" w:space="0"/>
              <w:bottom w:val="single" w:color="auto" w:sz="4" w:space="0"/>
              <w:right w:val="single" w:color="auto" w:sz="4" w:space="0"/>
            </w:tcBorders>
            <w:vAlign w:val="center"/>
          </w:tcPr>
          <w:p w14:paraId="67580FAE">
            <w:pPr>
              <w:pStyle w:val="3361"/>
              <w:rPr>
                <w:color w:val="auto"/>
              </w:rPr>
            </w:pPr>
            <w:r>
              <w:rPr>
                <w:rFonts w:hint="eastAsia"/>
                <w:color w:val="auto"/>
              </w:rPr>
              <w:t>3（参考耗氧量）</w:t>
            </w:r>
          </w:p>
        </w:tc>
        <w:tc>
          <w:tcPr>
            <w:tcW w:w="1974" w:type="pct"/>
            <w:vMerge w:val="restart"/>
            <w:tcBorders>
              <w:top w:val="single" w:color="auto" w:sz="4" w:space="0"/>
              <w:left w:val="single" w:color="auto" w:sz="4" w:space="0"/>
              <w:right w:val="single" w:color="auto" w:sz="4" w:space="0"/>
            </w:tcBorders>
            <w:vAlign w:val="center"/>
          </w:tcPr>
          <w:p w14:paraId="23ECA8FF">
            <w:pPr>
              <w:pStyle w:val="3361"/>
              <w:rPr>
                <w:color w:val="auto"/>
              </w:rPr>
            </w:pPr>
            <w:r>
              <w:rPr>
                <w:rFonts w:hint="eastAsia"/>
                <w:color w:val="auto"/>
              </w:rPr>
              <w:t>《地下水质量标准》</w:t>
            </w:r>
            <w:bookmarkStart w:id="252" w:name="_Hlk100149084"/>
            <w:r>
              <w:rPr>
                <w:rFonts w:hint="eastAsia"/>
                <w:color w:val="auto"/>
              </w:rPr>
              <w:t>III类</w:t>
            </w:r>
            <w:bookmarkEnd w:id="252"/>
          </w:p>
        </w:tc>
      </w:tr>
      <w:tr w14:paraId="07B87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781" w:type="pct"/>
            <w:vMerge w:val="continue"/>
            <w:tcBorders>
              <w:top w:val="single" w:color="auto" w:sz="4" w:space="0"/>
              <w:left w:val="single" w:color="auto" w:sz="4" w:space="0"/>
              <w:right w:val="single" w:color="auto" w:sz="4" w:space="0"/>
            </w:tcBorders>
            <w:vAlign w:val="center"/>
          </w:tcPr>
          <w:p w14:paraId="3C5899EE">
            <w:pPr>
              <w:pStyle w:val="3361"/>
              <w:rPr>
                <w:color w:val="auto"/>
              </w:rPr>
            </w:pPr>
          </w:p>
        </w:tc>
        <w:tc>
          <w:tcPr>
            <w:tcW w:w="783" w:type="pct"/>
            <w:tcBorders>
              <w:top w:val="single" w:color="auto" w:sz="4" w:space="0"/>
              <w:left w:val="single" w:color="auto" w:sz="4" w:space="0"/>
              <w:bottom w:val="single" w:color="auto" w:sz="4" w:space="0"/>
              <w:right w:val="single" w:color="auto" w:sz="4" w:space="0"/>
            </w:tcBorders>
            <w:vAlign w:val="center"/>
          </w:tcPr>
          <w:p w14:paraId="787F4849">
            <w:pPr>
              <w:pStyle w:val="3361"/>
              <w:rPr>
                <w:color w:val="auto"/>
              </w:rPr>
            </w:pPr>
            <w:r>
              <w:rPr>
                <w:rFonts w:hint="eastAsia"/>
                <w:color w:val="auto"/>
              </w:rPr>
              <w:t>氯化物</w:t>
            </w:r>
          </w:p>
        </w:tc>
        <w:tc>
          <w:tcPr>
            <w:tcW w:w="1462" w:type="pct"/>
            <w:tcBorders>
              <w:top w:val="single" w:color="auto" w:sz="4" w:space="0"/>
              <w:left w:val="single" w:color="auto" w:sz="4" w:space="0"/>
              <w:bottom w:val="single" w:color="auto" w:sz="4" w:space="0"/>
              <w:right w:val="single" w:color="auto" w:sz="4" w:space="0"/>
            </w:tcBorders>
            <w:vAlign w:val="center"/>
          </w:tcPr>
          <w:p w14:paraId="539D26BB">
            <w:pPr>
              <w:pStyle w:val="3361"/>
              <w:rPr>
                <w:color w:val="auto"/>
              </w:rPr>
            </w:pPr>
            <w:r>
              <w:rPr>
                <w:rFonts w:hint="eastAsia"/>
                <w:color w:val="auto"/>
              </w:rPr>
              <w:t>250</w:t>
            </w:r>
          </w:p>
        </w:tc>
        <w:tc>
          <w:tcPr>
            <w:tcW w:w="1974" w:type="pct"/>
            <w:vMerge w:val="continue"/>
            <w:tcBorders>
              <w:left w:val="single" w:color="auto" w:sz="4" w:space="0"/>
              <w:right w:val="single" w:color="auto" w:sz="4" w:space="0"/>
            </w:tcBorders>
            <w:vAlign w:val="center"/>
          </w:tcPr>
          <w:p w14:paraId="19380FE7">
            <w:pPr>
              <w:pStyle w:val="3361"/>
              <w:rPr>
                <w:color w:val="auto"/>
              </w:rPr>
            </w:pPr>
          </w:p>
        </w:tc>
      </w:tr>
      <w:tr w14:paraId="3CB7F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781" w:type="pct"/>
            <w:vMerge w:val="continue"/>
            <w:tcBorders>
              <w:left w:val="single" w:color="auto" w:sz="4" w:space="0"/>
              <w:right w:val="single" w:color="auto" w:sz="4" w:space="0"/>
            </w:tcBorders>
            <w:vAlign w:val="center"/>
          </w:tcPr>
          <w:p w14:paraId="47CAB145">
            <w:pPr>
              <w:pStyle w:val="3361"/>
              <w:rPr>
                <w:color w:val="auto"/>
              </w:rPr>
            </w:pPr>
          </w:p>
        </w:tc>
        <w:tc>
          <w:tcPr>
            <w:tcW w:w="783" w:type="pct"/>
            <w:tcBorders>
              <w:top w:val="single" w:color="auto" w:sz="4" w:space="0"/>
              <w:left w:val="single" w:color="auto" w:sz="4" w:space="0"/>
              <w:bottom w:val="single" w:color="auto" w:sz="4" w:space="0"/>
              <w:right w:val="single" w:color="auto" w:sz="4" w:space="0"/>
            </w:tcBorders>
            <w:vAlign w:val="center"/>
          </w:tcPr>
          <w:p w14:paraId="0327C6EE">
            <w:pPr>
              <w:pStyle w:val="3361"/>
              <w:rPr>
                <w:color w:val="auto"/>
              </w:rPr>
            </w:pPr>
            <w:r>
              <w:rPr>
                <w:rFonts w:hint="eastAsia"/>
                <w:color w:val="auto"/>
              </w:rPr>
              <w:t>石油类</w:t>
            </w:r>
          </w:p>
        </w:tc>
        <w:tc>
          <w:tcPr>
            <w:tcW w:w="1462" w:type="pct"/>
            <w:tcBorders>
              <w:top w:val="single" w:color="auto" w:sz="4" w:space="0"/>
              <w:left w:val="single" w:color="auto" w:sz="4" w:space="0"/>
              <w:bottom w:val="single" w:color="auto" w:sz="4" w:space="0"/>
              <w:right w:val="single" w:color="auto" w:sz="4" w:space="0"/>
            </w:tcBorders>
            <w:vAlign w:val="center"/>
          </w:tcPr>
          <w:p w14:paraId="60BC95E7">
            <w:pPr>
              <w:pStyle w:val="3361"/>
              <w:rPr>
                <w:color w:val="auto"/>
              </w:rPr>
            </w:pPr>
            <w:r>
              <w:rPr>
                <w:rFonts w:hint="eastAsia"/>
                <w:color w:val="auto"/>
              </w:rPr>
              <w:t>0.05</w:t>
            </w:r>
          </w:p>
        </w:tc>
        <w:tc>
          <w:tcPr>
            <w:tcW w:w="1974" w:type="pct"/>
            <w:tcBorders>
              <w:left w:val="single" w:color="auto" w:sz="4" w:space="0"/>
              <w:right w:val="single" w:color="auto" w:sz="4" w:space="0"/>
            </w:tcBorders>
            <w:vAlign w:val="center"/>
          </w:tcPr>
          <w:p w14:paraId="6E5E8DA1">
            <w:pPr>
              <w:pStyle w:val="3361"/>
              <w:rPr>
                <w:color w:val="auto"/>
              </w:rPr>
            </w:pPr>
            <w:r>
              <w:rPr>
                <w:rFonts w:hint="eastAsia"/>
                <w:color w:val="auto"/>
              </w:rPr>
              <w:t>参照《地表水环境质量标准》（GB3838-2002）Ⅲ类</w:t>
            </w:r>
          </w:p>
        </w:tc>
      </w:tr>
    </w:tbl>
    <w:p w14:paraId="6FE89A8E">
      <w:pPr>
        <w:spacing w:line="360" w:lineRule="auto"/>
        <w:ind w:firstLine="482"/>
        <w:jc w:val="center"/>
        <w:rPr>
          <w:b/>
          <w:bCs/>
          <w:color w:val="auto"/>
          <w:szCs w:val="24"/>
        </w:rPr>
      </w:pPr>
    </w:p>
    <w:p w14:paraId="4782E691">
      <w:pPr>
        <w:spacing w:line="360" w:lineRule="auto"/>
        <w:ind w:firstLine="480"/>
        <w:rPr>
          <w:color w:val="auto"/>
          <w:szCs w:val="24"/>
        </w:rPr>
      </w:pPr>
      <w:r>
        <w:rPr>
          <w:color w:val="auto"/>
          <w:szCs w:val="24"/>
        </w:rPr>
        <w:t>F</w:t>
      </w:r>
      <w:r>
        <w:rPr>
          <w:rFonts w:hint="eastAsia"/>
          <w:color w:val="auto"/>
          <w:szCs w:val="24"/>
        </w:rPr>
        <w:t>、地下水污染预测结果</w:t>
      </w:r>
    </w:p>
    <w:p w14:paraId="38286D0B">
      <w:pPr>
        <w:pStyle w:val="3931"/>
        <w:spacing w:before="24" w:after="24"/>
        <w:ind w:firstLine="480"/>
        <w:rPr>
          <w:color w:val="auto"/>
        </w:rPr>
      </w:pPr>
      <w:r>
        <w:rPr>
          <w:rFonts w:hint="eastAsia"/>
          <w:color w:val="auto"/>
        </w:rPr>
        <w:t>项目</w:t>
      </w:r>
      <w:r>
        <w:rPr>
          <w:rFonts w:hint="eastAsia"/>
          <w:color w:val="auto"/>
          <w:lang w:eastAsia="zh-CN"/>
        </w:rPr>
        <w:t>调节池西</w:t>
      </w:r>
      <w:r>
        <w:rPr>
          <w:rFonts w:hint="eastAsia"/>
          <w:color w:val="auto"/>
        </w:rPr>
        <w:t>侧距</w:t>
      </w:r>
      <w:r>
        <w:rPr>
          <w:rFonts w:hint="eastAsia"/>
          <w:color w:val="auto"/>
          <w:lang w:eastAsia="zh-CN"/>
        </w:rPr>
        <w:t>长江</w:t>
      </w:r>
      <w:r>
        <w:rPr>
          <w:rFonts w:hint="eastAsia"/>
          <w:color w:val="auto"/>
        </w:rPr>
        <w:t>直线距离约</w:t>
      </w:r>
      <w:r>
        <w:rPr>
          <w:rFonts w:hint="eastAsia"/>
          <w:color w:val="auto"/>
          <w:lang w:val="en-US" w:eastAsia="zh-CN"/>
        </w:rPr>
        <w:t>15</w:t>
      </w:r>
      <w:r>
        <w:rPr>
          <w:rFonts w:hint="eastAsia"/>
          <w:color w:val="auto"/>
        </w:rPr>
        <w:t>0m，本次预测以</w:t>
      </w:r>
      <w:r>
        <w:rPr>
          <w:rFonts w:hint="eastAsia"/>
          <w:color w:val="auto"/>
          <w:lang w:val="en-US" w:eastAsia="zh-CN"/>
        </w:rPr>
        <w:t>15</w:t>
      </w:r>
      <w:r>
        <w:rPr>
          <w:rFonts w:hint="eastAsia"/>
          <w:color w:val="auto"/>
        </w:rPr>
        <w:t>0m作为预测最大距离。</w:t>
      </w:r>
    </w:p>
    <w:p w14:paraId="4BF64AD9">
      <w:pPr>
        <w:ind w:firstLine="480"/>
        <w:rPr>
          <w:color w:val="auto"/>
        </w:rPr>
      </w:pPr>
      <w:r>
        <w:rPr>
          <w:color w:val="auto"/>
        </w:rPr>
        <w:t>（1）事故状况下</w:t>
      </w:r>
      <w:r>
        <w:rPr>
          <w:rFonts w:hint="eastAsia"/>
          <w:color w:val="auto"/>
        </w:rPr>
        <w:t>废水处理站调节池泄</w:t>
      </w:r>
      <w:r>
        <w:rPr>
          <w:color w:val="auto"/>
        </w:rPr>
        <w:t>漏地下水</w:t>
      </w:r>
      <w:r>
        <w:rPr>
          <w:rFonts w:hint="eastAsia"/>
          <w:color w:val="auto"/>
        </w:rPr>
        <w:t>（</w:t>
      </w:r>
      <w:r>
        <w:rPr>
          <w:color w:val="auto"/>
        </w:rPr>
        <w:t>COD</w:t>
      </w:r>
      <w:r>
        <w:rPr>
          <w:color w:val="auto"/>
          <w:vertAlign w:val="subscript"/>
        </w:rPr>
        <w:t>Mn</w:t>
      </w:r>
      <w:r>
        <w:rPr>
          <w:rFonts w:hint="eastAsia"/>
          <w:color w:val="auto"/>
        </w:rPr>
        <w:t>）</w:t>
      </w:r>
      <w:r>
        <w:rPr>
          <w:color w:val="auto"/>
        </w:rPr>
        <w:t>污染预测</w:t>
      </w:r>
    </w:p>
    <w:p w14:paraId="0B47B95C">
      <w:pPr>
        <w:ind w:firstLine="480"/>
        <w:rPr>
          <w:color w:val="auto"/>
        </w:rPr>
      </w:pPr>
      <w:r>
        <w:rPr>
          <w:rFonts w:hint="eastAsia"/>
          <w:color w:val="auto"/>
        </w:rPr>
        <w:t>本次评价分别预测泄漏后100天、</w:t>
      </w:r>
      <w:r>
        <w:rPr>
          <w:color w:val="auto"/>
        </w:rPr>
        <w:t>1000</w:t>
      </w:r>
      <w:r>
        <w:rPr>
          <w:rFonts w:hint="eastAsia"/>
          <w:color w:val="auto"/>
        </w:rPr>
        <w:t>天和3</w:t>
      </w:r>
      <w:r>
        <w:rPr>
          <w:color w:val="auto"/>
        </w:rPr>
        <w:t>650</w:t>
      </w:r>
      <w:r>
        <w:rPr>
          <w:rFonts w:hint="eastAsia"/>
          <w:color w:val="auto"/>
        </w:rPr>
        <w:t>天时，废水处理站调节池泄漏的C</w:t>
      </w:r>
      <w:r>
        <w:rPr>
          <w:color w:val="auto"/>
        </w:rPr>
        <w:t>OD</w:t>
      </w:r>
      <w:r>
        <w:rPr>
          <w:rFonts w:hint="eastAsia"/>
          <w:color w:val="auto"/>
        </w:rPr>
        <w:t>在地下水环境中的影响浓度值，同时叠加背景值。非正常状况下</w:t>
      </w:r>
      <w:r>
        <w:rPr>
          <w:color w:val="auto"/>
        </w:rPr>
        <w:t>地下水污染预测结果见</w:t>
      </w:r>
      <w:r>
        <w:rPr>
          <w:rFonts w:hint="eastAsia"/>
          <w:color w:val="auto"/>
        </w:rPr>
        <w:t>表</w:t>
      </w:r>
      <w:r>
        <w:rPr>
          <w:color w:val="auto"/>
        </w:rPr>
        <w:t>6.3-3和</w:t>
      </w:r>
      <w:r>
        <w:rPr>
          <w:rFonts w:hint="eastAsia"/>
          <w:color w:val="auto"/>
        </w:rPr>
        <w:t>图</w:t>
      </w:r>
      <w:r>
        <w:rPr>
          <w:color w:val="auto"/>
        </w:rPr>
        <w:t>6.3-1。</w:t>
      </w:r>
    </w:p>
    <w:p w14:paraId="25CF079E">
      <w:pPr>
        <w:pStyle w:val="1983"/>
        <w:rPr>
          <w:color w:val="auto"/>
        </w:rPr>
      </w:pPr>
      <w:r>
        <w:rPr>
          <w:color w:val="auto"/>
        </w:rPr>
        <w:t>表6.3-3</w:t>
      </w:r>
      <w:r>
        <w:rPr>
          <w:rFonts w:hint="eastAsia"/>
          <w:color w:val="auto"/>
        </w:rPr>
        <w:t>非正常状况泄漏对地下水下游</w:t>
      </w:r>
      <w:r>
        <w:rPr>
          <w:color w:val="auto"/>
        </w:rPr>
        <w:t>影响预测结果表</w:t>
      </w:r>
      <w:r>
        <w:rPr>
          <w:rFonts w:hint="eastAsia"/>
          <w:color w:val="auto"/>
        </w:rPr>
        <w:t>（</w:t>
      </w:r>
      <w:r>
        <w:rPr>
          <w:color w:val="auto"/>
        </w:rPr>
        <w:t>COD</w:t>
      </w:r>
      <w:r>
        <w:rPr>
          <w:rFonts w:hint="eastAsia"/>
          <w:color w:val="auto"/>
        </w:rPr>
        <w:t>）</w:t>
      </w:r>
    </w:p>
    <w:tbl>
      <w:tblPr>
        <w:tblStyle w:val="88"/>
        <w:tblW w:w="5000" w:type="pct"/>
        <w:tblInd w:w="0" w:type="dxa"/>
        <w:tblLayout w:type="autofit"/>
        <w:tblCellMar>
          <w:top w:w="0" w:type="dxa"/>
          <w:left w:w="108" w:type="dxa"/>
          <w:bottom w:w="0" w:type="dxa"/>
          <w:right w:w="108" w:type="dxa"/>
        </w:tblCellMar>
      </w:tblPr>
      <w:tblGrid>
        <w:gridCol w:w="1594"/>
        <w:gridCol w:w="1412"/>
        <w:gridCol w:w="1297"/>
        <w:gridCol w:w="1974"/>
        <w:gridCol w:w="1188"/>
        <w:gridCol w:w="1821"/>
      </w:tblGrid>
      <w:tr w14:paraId="32652325">
        <w:tblPrEx>
          <w:tblCellMar>
            <w:top w:w="0" w:type="dxa"/>
            <w:left w:w="108" w:type="dxa"/>
            <w:bottom w:w="0" w:type="dxa"/>
            <w:right w:w="108" w:type="dxa"/>
          </w:tblCellMar>
        </w:tblPrEx>
        <w:trPr>
          <w:trHeight w:val="270" w:hRule="atLeast"/>
        </w:trPr>
        <w:tc>
          <w:tcPr>
            <w:tcW w:w="293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0A50220A">
            <w:pPr>
              <w:pStyle w:val="3361"/>
              <w:rPr>
                <w:color w:val="auto"/>
              </w:rPr>
            </w:pPr>
            <w:r>
              <w:rPr>
                <w:rFonts w:hint="eastAsia"/>
                <w:color w:val="auto"/>
              </w:rPr>
              <w:t>泄漏后100天</w:t>
            </w:r>
          </w:p>
        </w:tc>
        <w:tc>
          <w:tcPr>
            <w:tcW w:w="3191" w:type="dxa"/>
            <w:gridSpan w:val="2"/>
            <w:tcBorders>
              <w:top w:val="single" w:color="auto" w:sz="4" w:space="0"/>
              <w:left w:val="nil"/>
              <w:bottom w:val="single" w:color="auto" w:sz="4" w:space="0"/>
              <w:right w:val="single" w:color="auto" w:sz="4" w:space="0"/>
            </w:tcBorders>
            <w:shd w:val="clear" w:color="auto" w:fill="auto"/>
            <w:noWrap/>
            <w:vAlign w:val="center"/>
          </w:tcPr>
          <w:p w14:paraId="6157438C">
            <w:pPr>
              <w:pStyle w:val="3361"/>
              <w:rPr>
                <w:color w:val="auto"/>
              </w:rPr>
            </w:pPr>
            <w:r>
              <w:rPr>
                <w:rFonts w:hint="eastAsia"/>
                <w:color w:val="auto"/>
              </w:rPr>
              <w:t>泄漏后1000天</w:t>
            </w:r>
          </w:p>
        </w:tc>
        <w:tc>
          <w:tcPr>
            <w:tcW w:w="2936" w:type="dxa"/>
            <w:gridSpan w:val="2"/>
            <w:tcBorders>
              <w:top w:val="single" w:color="auto" w:sz="4" w:space="0"/>
              <w:left w:val="nil"/>
              <w:bottom w:val="single" w:color="auto" w:sz="4" w:space="0"/>
              <w:right w:val="single" w:color="auto" w:sz="4" w:space="0"/>
            </w:tcBorders>
            <w:shd w:val="clear" w:color="auto" w:fill="auto"/>
            <w:noWrap/>
            <w:vAlign w:val="center"/>
          </w:tcPr>
          <w:p w14:paraId="22BA1462">
            <w:pPr>
              <w:pStyle w:val="3361"/>
              <w:rPr>
                <w:color w:val="auto"/>
              </w:rPr>
            </w:pPr>
            <w:r>
              <w:rPr>
                <w:rFonts w:hint="eastAsia"/>
                <w:color w:val="auto"/>
              </w:rPr>
              <w:t>泄漏后10年</w:t>
            </w:r>
          </w:p>
        </w:tc>
      </w:tr>
      <w:tr w14:paraId="08784D4B">
        <w:tblPrEx>
          <w:tblCellMar>
            <w:top w:w="0" w:type="dxa"/>
            <w:left w:w="108" w:type="dxa"/>
            <w:bottom w:w="0" w:type="dxa"/>
            <w:right w:w="108" w:type="dxa"/>
          </w:tblCellMar>
        </w:tblPrEx>
        <w:trPr>
          <w:trHeight w:val="480" w:hRule="atLeast"/>
        </w:trPr>
        <w:tc>
          <w:tcPr>
            <w:tcW w:w="1555" w:type="dxa"/>
            <w:vMerge w:val="restart"/>
            <w:tcBorders>
              <w:top w:val="nil"/>
              <w:left w:val="single" w:color="auto" w:sz="4" w:space="0"/>
              <w:bottom w:val="single" w:color="auto" w:sz="4" w:space="0"/>
              <w:right w:val="single" w:color="auto" w:sz="4" w:space="0"/>
            </w:tcBorders>
            <w:shd w:val="clear" w:color="auto" w:fill="auto"/>
            <w:vAlign w:val="center"/>
          </w:tcPr>
          <w:p w14:paraId="057A2E4A">
            <w:pPr>
              <w:pStyle w:val="3361"/>
              <w:rPr>
                <w:color w:val="auto"/>
              </w:rPr>
            </w:pPr>
            <w:r>
              <w:rPr>
                <w:rFonts w:hint="eastAsia"/>
                <w:color w:val="auto"/>
              </w:rPr>
              <w:t>下游距离（m）</w:t>
            </w:r>
          </w:p>
        </w:tc>
        <w:tc>
          <w:tcPr>
            <w:tcW w:w="1378" w:type="dxa"/>
            <w:vMerge w:val="restart"/>
            <w:tcBorders>
              <w:top w:val="nil"/>
              <w:left w:val="single" w:color="auto" w:sz="4" w:space="0"/>
              <w:bottom w:val="single" w:color="auto" w:sz="4" w:space="0"/>
              <w:right w:val="single" w:color="auto" w:sz="4" w:space="0"/>
            </w:tcBorders>
            <w:shd w:val="clear" w:color="auto" w:fill="auto"/>
            <w:noWrap/>
            <w:vAlign w:val="center"/>
          </w:tcPr>
          <w:p w14:paraId="0BE257B2">
            <w:pPr>
              <w:pStyle w:val="3361"/>
              <w:rPr>
                <w:color w:val="auto"/>
              </w:rPr>
            </w:pPr>
            <w:r>
              <w:rPr>
                <w:rFonts w:hint="eastAsia"/>
                <w:color w:val="auto"/>
              </w:rPr>
              <w:t>浓度（mg/L）</w:t>
            </w:r>
          </w:p>
        </w:tc>
        <w:tc>
          <w:tcPr>
            <w:tcW w:w="1265" w:type="dxa"/>
            <w:vMerge w:val="restart"/>
            <w:tcBorders>
              <w:top w:val="nil"/>
              <w:left w:val="single" w:color="auto" w:sz="4" w:space="0"/>
              <w:bottom w:val="single" w:color="auto" w:sz="4" w:space="0"/>
              <w:right w:val="single" w:color="auto" w:sz="4" w:space="0"/>
            </w:tcBorders>
            <w:shd w:val="clear" w:color="auto" w:fill="auto"/>
            <w:vAlign w:val="center"/>
          </w:tcPr>
          <w:p w14:paraId="2154CD2F">
            <w:pPr>
              <w:pStyle w:val="3361"/>
              <w:rPr>
                <w:color w:val="auto"/>
              </w:rPr>
            </w:pPr>
            <w:r>
              <w:rPr>
                <w:rFonts w:hint="eastAsia"/>
                <w:color w:val="auto"/>
              </w:rPr>
              <w:t>下游距离（m）</w:t>
            </w:r>
          </w:p>
        </w:tc>
        <w:tc>
          <w:tcPr>
            <w:tcW w:w="1926" w:type="dxa"/>
            <w:vMerge w:val="restart"/>
            <w:tcBorders>
              <w:top w:val="nil"/>
              <w:left w:val="single" w:color="auto" w:sz="4" w:space="0"/>
              <w:bottom w:val="single" w:color="auto" w:sz="4" w:space="0"/>
              <w:right w:val="single" w:color="auto" w:sz="4" w:space="0"/>
            </w:tcBorders>
            <w:shd w:val="clear" w:color="auto" w:fill="auto"/>
            <w:noWrap/>
            <w:vAlign w:val="center"/>
          </w:tcPr>
          <w:p w14:paraId="6BF54852">
            <w:pPr>
              <w:pStyle w:val="3361"/>
              <w:rPr>
                <w:color w:val="auto"/>
              </w:rPr>
            </w:pPr>
            <w:r>
              <w:rPr>
                <w:rFonts w:hint="eastAsia"/>
                <w:color w:val="auto"/>
              </w:rPr>
              <w:t>浓度（mg/L）</w:t>
            </w:r>
          </w:p>
        </w:tc>
        <w:tc>
          <w:tcPr>
            <w:tcW w:w="1159" w:type="dxa"/>
            <w:vMerge w:val="restart"/>
            <w:tcBorders>
              <w:top w:val="nil"/>
              <w:left w:val="single" w:color="auto" w:sz="4" w:space="0"/>
              <w:bottom w:val="single" w:color="auto" w:sz="4" w:space="0"/>
              <w:right w:val="single" w:color="auto" w:sz="4" w:space="0"/>
            </w:tcBorders>
            <w:shd w:val="clear" w:color="auto" w:fill="auto"/>
            <w:vAlign w:val="center"/>
          </w:tcPr>
          <w:p w14:paraId="35235727">
            <w:pPr>
              <w:pStyle w:val="3361"/>
              <w:rPr>
                <w:color w:val="auto"/>
              </w:rPr>
            </w:pPr>
            <w:r>
              <w:rPr>
                <w:rFonts w:hint="eastAsia"/>
                <w:color w:val="auto"/>
              </w:rPr>
              <w:t>下游距离（m）</w:t>
            </w:r>
          </w:p>
        </w:tc>
        <w:tc>
          <w:tcPr>
            <w:tcW w:w="1777" w:type="dxa"/>
            <w:vMerge w:val="restart"/>
            <w:tcBorders>
              <w:top w:val="nil"/>
              <w:left w:val="single" w:color="auto" w:sz="4" w:space="0"/>
              <w:bottom w:val="single" w:color="auto" w:sz="4" w:space="0"/>
              <w:right w:val="single" w:color="auto" w:sz="4" w:space="0"/>
            </w:tcBorders>
            <w:shd w:val="clear" w:color="auto" w:fill="auto"/>
            <w:noWrap/>
            <w:vAlign w:val="center"/>
          </w:tcPr>
          <w:p w14:paraId="29844D8D">
            <w:pPr>
              <w:pStyle w:val="3361"/>
              <w:rPr>
                <w:color w:val="auto"/>
              </w:rPr>
            </w:pPr>
            <w:r>
              <w:rPr>
                <w:rFonts w:hint="eastAsia"/>
                <w:color w:val="auto"/>
              </w:rPr>
              <w:t>浓度（mg/L）</w:t>
            </w:r>
          </w:p>
        </w:tc>
      </w:tr>
      <w:tr w14:paraId="6DF42B4B">
        <w:tblPrEx>
          <w:tblCellMar>
            <w:top w:w="0" w:type="dxa"/>
            <w:left w:w="108" w:type="dxa"/>
            <w:bottom w:w="0" w:type="dxa"/>
            <w:right w:w="108" w:type="dxa"/>
          </w:tblCellMar>
        </w:tblPrEx>
        <w:trPr>
          <w:trHeight w:val="600" w:hRule="atLeast"/>
        </w:trPr>
        <w:tc>
          <w:tcPr>
            <w:tcW w:w="1555" w:type="dxa"/>
            <w:vMerge w:val="continue"/>
            <w:tcBorders>
              <w:top w:val="nil"/>
              <w:left w:val="single" w:color="auto" w:sz="4" w:space="0"/>
              <w:bottom w:val="single" w:color="auto" w:sz="4" w:space="0"/>
              <w:right w:val="single" w:color="auto" w:sz="4" w:space="0"/>
            </w:tcBorders>
            <w:vAlign w:val="center"/>
          </w:tcPr>
          <w:p w14:paraId="67432FAE">
            <w:pPr>
              <w:pStyle w:val="3361"/>
              <w:rPr>
                <w:color w:val="auto"/>
              </w:rPr>
            </w:pPr>
          </w:p>
        </w:tc>
        <w:tc>
          <w:tcPr>
            <w:tcW w:w="1378" w:type="dxa"/>
            <w:vMerge w:val="continue"/>
            <w:tcBorders>
              <w:top w:val="nil"/>
              <w:left w:val="single" w:color="auto" w:sz="4" w:space="0"/>
              <w:bottom w:val="single" w:color="auto" w:sz="4" w:space="0"/>
              <w:right w:val="single" w:color="auto" w:sz="4" w:space="0"/>
            </w:tcBorders>
            <w:vAlign w:val="center"/>
          </w:tcPr>
          <w:p w14:paraId="1E527772">
            <w:pPr>
              <w:pStyle w:val="3361"/>
              <w:rPr>
                <w:color w:val="auto"/>
              </w:rPr>
            </w:pPr>
          </w:p>
        </w:tc>
        <w:tc>
          <w:tcPr>
            <w:tcW w:w="1265" w:type="dxa"/>
            <w:vMerge w:val="continue"/>
            <w:tcBorders>
              <w:top w:val="nil"/>
              <w:left w:val="single" w:color="auto" w:sz="4" w:space="0"/>
              <w:bottom w:val="single" w:color="auto" w:sz="4" w:space="0"/>
              <w:right w:val="single" w:color="auto" w:sz="4" w:space="0"/>
            </w:tcBorders>
            <w:vAlign w:val="center"/>
          </w:tcPr>
          <w:p w14:paraId="67B1BC7B">
            <w:pPr>
              <w:pStyle w:val="3361"/>
              <w:rPr>
                <w:color w:val="auto"/>
              </w:rPr>
            </w:pPr>
          </w:p>
        </w:tc>
        <w:tc>
          <w:tcPr>
            <w:tcW w:w="1926" w:type="dxa"/>
            <w:vMerge w:val="continue"/>
            <w:tcBorders>
              <w:top w:val="nil"/>
              <w:left w:val="single" w:color="auto" w:sz="4" w:space="0"/>
              <w:bottom w:val="single" w:color="auto" w:sz="4" w:space="0"/>
              <w:right w:val="single" w:color="auto" w:sz="4" w:space="0"/>
            </w:tcBorders>
            <w:vAlign w:val="center"/>
          </w:tcPr>
          <w:p w14:paraId="650FF324">
            <w:pPr>
              <w:pStyle w:val="3361"/>
              <w:rPr>
                <w:color w:val="auto"/>
              </w:rPr>
            </w:pPr>
          </w:p>
        </w:tc>
        <w:tc>
          <w:tcPr>
            <w:tcW w:w="1159" w:type="dxa"/>
            <w:vMerge w:val="continue"/>
            <w:tcBorders>
              <w:top w:val="nil"/>
              <w:left w:val="single" w:color="auto" w:sz="4" w:space="0"/>
              <w:bottom w:val="single" w:color="auto" w:sz="4" w:space="0"/>
              <w:right w:val="single" w:color="auto" w:sz="4" w:space="0"/>
            </w:tcBorders>
            <w:vAlign w:val="center"/>
          </w:tcPr>
          <w:p w14:paraId="5F2F9FC4">
            <w:pPr>
              <w:pStyle w:val="3361"/>
              <w:rPr>
                <w:color w:val="auto"/>
              </w:rPr>
            </w:pPr>
          </w:p>
        </w:tc>
        <w:tc>
          <w:tcPr>
            <w:tcW w:w="1777" w:type="dxa"/>
            <w:vMerge w:val="continue"/>
            <w:tcBorders>
              <w:top w:val="nil"/>
              <w:left w:val="single" w:color="auto" w:sz="4" w:space="0"/>
              <w:bottom w:val="single" w:color="auto" w:sz="4" w:space="0"/>
              <w:right w:val="single" w:color="auto" w:sz="4" w:space="0"/>
            </w:tcBorders>
            <w:vAlign w:val="center"/>
          </w:tcPr>
          <w:p w14:paraId="69B3B639">
            <w:pPr>
              <w:pStyle w:val="3361"/>
              <w:rPr>
                <w:color w:val="auto"/>
              </w:rPr>
            </w:pPr>
          </w:p>
        </w:tc>
      </w:tr>
      <w:tr w14:paraId="7277E98F">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7C5F9B6A">
            <w:pPr>
              <w:pStyle w:val="3361"/>
              <w:rPr>
                <w:rFonts w:hint="eastAsia"/>
                <w:color w:val="auto"/>
              </w:rPr>
            </w:pPr>
            <w:r>
              <w:rPr>
                <w:rFonts w:hint="eastAsia"/>
                <w:color w:val="auto"/>
                <w:lang w:val="en-US" w:eastAsia="zh-CN"/>
              </w:rPr>
              <w:t>0</w:t>
            </w:r>
          </w:p>
        </w:tc>
        <w:tc>
          <w:tcPr>
            <w:tcW w:w="1378" w:type="dxa"/>
            <w:tcBorders>
              <w:top w:val="nil"/>
              <w:left w:val="nil"/>
              <w:bottom w:val="single" w:color="auto" w:sz="4" w:space="0"/>
              <w:right w:val="single" w:color="auto" w:sz="4" w:space="0"/>
            </w:tcBorders>
            <w:shd w:val="clear" w:color="auto" w:fill="auto"/>
            <w:noWrap/>
            <w:vAlign w:val="bottom"/>
          </w:tcPr>
          <w:p w14:paraId="2926741F">
            <w:pPr>
              <w:pStyle w:val="3361"/>
              <w:rPr>
                <w:rFonts w:hint="eastAsia"/>
                <w:color w:val="auto"/>
              </w:rPr>
            </w:pPr>
            <w:r>
              <w:rPr>
                <w:rFonts w:hint="eastAsia"/>
                <w:color w:val="auto"/>
                <w:lang w:val="en-US" w:eastAsia="zh-CN"/>
              </w:rPr>
              <w:t>2.00E+03</w:t>
            </w:r>
          </w:p>
        </w:tc>
        <w:tc>
          <w:tcPr>
            <w:tcW w:w="1265" w:type="dxa"/>
            <w:tcBorders>
              <w:top w:val="nil"/>
              <w:left w:val="nil"/>
              <w:bottom w:val="single" w:color="auto" w:sz="4" w:space="0"/>
              <w:right w:val="single" w:color="auto" w:sz="4" w:space="0"/>
            </w:tcBorders>
            <w:shd w:val="clear" w:color="auto" w:fill="auto"/>
            <w:noWrap/>
            <w:vAlign w:val="bottom"/>
          </w:tcPr>
          <w:p w14:paraId="7915255F">
            <w:pPr>
              <w:pStyle w:val="3361"/>
              <w:rPr>
                <w:rFonts w:hint="eastAsia"/>
                <w:color w:val="auto"/>
              </w:rPr>
            </w:pPr>
            <w:r>
              <w:rPr>
                <w:rFonts w:hint="eastAsia"/>
                <w:color w:val="auto"/>
                <w:lang w:val="en-US" w:eastAsia="zh-CN"/>
              </w:rPr>
              <w:t>0</w:t>
            </w:r>
          </w:p>
        </w:tc>
        <w:tc>
          <w:tcPr>
            <w:tcW w:w="1926" w:type="dxa"/>
            <w:tcBorders>
              <w:top w:val="nil"/>
              <w:left w:val="nil"/>
              <w:bottom w:val="single" w:color="auto" w:sz="4" w:space="0"/>
              <w:right w:val="single" w:color="auto" w:sz="4" w:space="0"/>
            </w:tcBorders>
            <w:shd w:val="clear" w:color="auto" w:fill="auto"/>
            <w:noWrap/>
            <w:vAlign w:val="bottom"/>
          </w:tcPr>
          <w:p w14:paraId="0CEE8977">
            <w:pPr>
              <w:pStyle w:val="3361"/>
              <w:rPr>
                <w:rFonts w:hint="eastAsia"/>
                <w:color w:val="auto"/>
              </w:rPr>
            </w:pPr>
            <w:r>
              <w:rPr>
                <w:rFonts w:hint="eastAsia"/>
                <w:color w:val="auto"/>
                <w:lang w:val="en-US" w:eastAsia="zh-CN"/>
              </w:rPr>
              <w:t>7.71E+01</w:t>
            </w:r>
          </w:p>
        </w:tc>
        <w:tc>
          <w:tcPr>
            <w:tcW w:w="1159" w:type="dxa"/>
            <w:tcBorders>
              <w:top w:val="nil"/>
              <w:left w:val="nil"/>
              <w:bottom w:val="single" w:color="auto" w:sz="4" w:space="0"/>
              <w:right w:val="single" w:color="auto" w:sz="4" w:space="0"/>
            </w:tcBorders>
            <w:shd w:val="clear" w:color="auto" w:fill="auto"/>
            <w:noWrap/>
            <w:vAlign w:val="bottom"/>
          </w:tcPr>
          <w:p w14:paraId="5908091F">
            <w:pPr>
              <w:pStyle w:val="3361"/>
              <w:rPr>
                <w:rFonts w:hint="eastAsia"/>
                <w:color w:val="auto"/>
              </w:rPr>
            </w:pPr>
            <w:r>
              <w:rPr>
                <w:rFonts w:hint="eastAsia"/>
                <w:color w:val="auto"/>
                <w:lang w:val="en-US" w:eastAsia="zh-CN"/>
              </w:rPr>
              <w:t>0</w:t>
            </w:r>
          </w:p>
        </w:tc>
        <w:tc>
          <w:tcPr>
            <w:tcW w:w="1777" w:type="dxa"/>
            <w:tcBorders>
              <w:top w:val="nil"/>
              <w:left w:val="nil"/>
              <w:bottom w:val="single" w:color="auto" w:sz="4" w:space="0"/>
              <w:right w:val="single" w:color="auto" w:sz="4" w:space="0"/>
            </w:tcBorders>
            <w:shd w:val="clear" w:color="auto" w:fill="auto"/>
            <w:noWrap/>
            <w:vAlign w:val="bottom"/>
          </w:tcPr>
          <w:p w14:paraId="07BA8A8F">
            <w:pPr>
              <w:pStyle w:val="3361"/>
              <w:rPr>
                <w:rFonts w:hint="eastAsia"/>
                <w:color w:val="auto"/>
              </w:rPr>
            </w:pPr>
            <w:r>
              <w:rPr>
                <w:rFonts w:hint="eastAsia"/>
                <w:color w:val="auto"/>
                <w:lang w:val="en-US" w:eastAsia="zh-CN"/>
              </w:rPr>
              <w:t>1.98E+01</w:t>
            </w:r>
          </w:p>
        </w:tc>
      </w:tr>
      <w:tr w14:paraId="272452C5">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45B58402">
            <w:pPr>
              <w:pStyle w:val="3361"/>
              <w:rPr>
                <w:rFonts w:hint="eastAsia"/>
                <w:color w:val="auto"/>
              </w:rPr>
            </w:pPr>
            <w:r>
              <w:rPr>
                <w:rFonts w:hint="eastAsia"/>
                <w:color w:val="auto"/>
                <w:lang w:val="en-US" w:eastAsia="zh-CN"/>
              </w:rPr>
              <w:t>5</w:t>
            </w:r>
          </w:p>
        </w:tc>
        <w:tc>
          <w:tcPr>
            <w:tcW w:w="1378" w:type="dxa"/>
            <w:tcBorders>
              <w:top w:val="nil"/>
              <w:left w:val="nil"/>
              <w:bottom w:val="single" w:color="auto" w:sz="4" w:space="0"/>
              <w:right w:val="single" w:color="auto" w:sz="4" w:space="0"/>
            </w:tcBorders>
            <w:shd w:val="clear" w:color="auto" w:fill="auto"/>
            <w:noWrap/>
            <w:vAlign w:val="bottom"/>
          </w:tcPr>
          <w:p w14:paraId="3C48F7A5">
            <w:pPr>
              <w:pStyle w:val="3361"/>
              <w:rPr>
                <w:rFonts w:hint="eastAsia"/>
                <w:color w:val="auto"/>
              </w:rPr>
            </w:pPr>
            <w:r>
              <w:rPr>
                <w:rFonts w:hint="eastAsia"/>
                <w:color w:val="auto"/>
                <w:lang w:val="en-US" w:eastAsia="zh-CN"/>
              </w:rPr>
              <w:t>1.65E+03</w:t>
            </w:r>
          </w:p>
        </w:tc>
        <w:tc>
          <w:tcPr>
            <w:tcW w:w="1265" w:type="dxa"/>
            <w:tcBorders>
              <w:top w:val="nil"/>
              <w:left w:val="nil"/>
              <w:bottom w:val="single" w:color="auto" w:sz="4" w:space="0"/>
              <w:right w:val="single" w:color="auto" w:sz="4" w:space="0"/>
            </w:tcBorders>
            <w:shd w:val="clear" w:color="auto" w:fill="auto"/>
            <w:noWrap/>
            <w:vAlign w:val="bottom"/>
          </w:tcPr>
          <w:p w14:paraId="35F71DCA">
            <w:pPr>
              <w:pStyle w:val="3361"/>
              <w:rPr>
                <w:rFonts w:hint="eastAsia"/>
                <w:color w:val="auto"/>
              </w:rPr>
            </w:pPr>
            <w:r>
              <w:rPr>
                <w:rFonts w:hint="eastAsia"/>
                <w:color w:val="auto"/>
                <w:lang w:val="en-US" w:eastAsia="zh-CN"/>
              </w:rPr>
              <w:t>5</w:t>
            </w:r>
          </w:p>
        </w:tc>
        <w:tc>
          <w:tcPr>
            <w:tcW w:w="1926" w:type="dxa"/>
            <w:tcBorders>
              <w:top w:val="nil"/>
              <w:left w:val="nil"/>
              <w:bottom w:val="single" w:color="auto" w:sz="4" w:space="0"/>
              <w:right w:val="single" w:color="auto" w:sz="4" w:space="0"/>
            </w:tcBorders>
            <w:shd w:val="clear" w:color="auto" w:fill="auto"/>
            <w:noWrap/>
            <w:vAlign w:val="bottom"/>
          </w:tcPr>
          <w:p w14:paraId="437B4378">
            <w:pPr>
              <w:pStyle w:val="3361"/>
              <w:rPr>
                <w:rFonts w:hint="eastAsia"/>
                <w:color w:val="auto"/>
              </w:rPr>
            </w:pPr>
            <w:r>
              <w:rPr>
                <w:rFonts w:hint="eastAsia"/>
                <w:color w:val="auto"/>
                <w:lang w:val="en-US" w:eastAsia="zh-CN"/>
              </w:rPr>
              <w:t>9.37E+01</w:t>
            </w:r>
          </w:p>
        </w:tc>
        <w:tc>
          <w:tcPr>
            <w:tcW w:w="1159" w:type="dxa"/>
            <w:tcBorders>
              <w:top w:val="nil"/>
              <w:left w:val="nil"/>
              <w:bottom w:val="single" w:color="auto" w:sz="4" w:space="0"/>
              <w:right w:val="single" w:color="auto" w:sz="4" w:space="0"/>
            </w:tcBorders>
            <w:shd w:val="clear" w:color="auto" w:fill="auto"/>
            <w:noWrap/>
            <w:vAlign w:val="bottom"/>
          </w:tcPr>
          <w:p w14:paraId="361D781A">
            <w:pPr>
              <w:pStyle w:val="3361"/>
              <w:rPr>
                <w:rFonts w:hint="eastAsia"/>
                <w:color w:val="auto"/>
              </w:rPr>
            </w:pPr>
            <w:r>
              <w:rPr>
                <w:rFonts w:hint="eastAsia"/>
                <w:color w:val="auto"/>
                <w:lang w:val="en-US" w:eastAsia="zh-CN"/>
              </w:rPr>
              <w:t>5</w:t>
            </w:r>
          </w:p>
        </w:tc>
        <w:tc>
          <w:tcPr>
            <w:tcW w:w="1777" w:type="dxa"/>
            <w:tcBorders>
              <w:top w:val="nil"/>
              <w:left w:val="nil"/>
              <w:bottom w:val="single" w:color="auto" w:sz="4" w:space="0"/>
              <w:right w:val="single" w:color="auto" w:sz="4" w:space="0"/>
            </w:tcBorders>
            <w:shd w:val="clear" w:color="auto" w:fill="auto"/>
            <w:noWrap/>
            <w:vAlign w:val="bottom"/>
          </w:tcPr>
          <w:p w14:paraId="14B94CA1">
            <w:pPr>
              <w:pStyle w:val="3361"/>
              <w:rPr>
                <w:rFonts w:hint="eastAsia"/>
                <w:color w:val="auto"/>
              </w:rPr>
            </w:pPr>
            <w:r>
              <w:rPr>
                <w:rFonts w:hint="eastAsia"/>
                <w:color w:val="auto"/>
                <w:lang w:val="en-US" w:eastAsia="zh-CN"/>
              </w:rPr>
              <w:t>2.17E+01</w:t>
            </w:r>
          </w:p>
        </w:tc>
      </w:tr>
      <w:tr w14:paraId="7AA9ABEB">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706D96AA">
            <w:pPr>
              <w:pStyle w:val="3361"/>
              <w:rPr>
                <w:rFonts w:hint="eastAsia"/>
                <w:color w:val="auto"/>
              </w:rPr>
            </w:pPr>
            <w:r>
              <w:rPr>
                <w:rFonts w:hint="eastAsia"/>
                <w:color w:val="auto"/>
                <w:lang w:val="en-US" w:eastAsia="zh-CN"/>
              </w:rPr>
              <w:t>10</w:t>
            </w:r>
          </w:p>
        </w:tc>
        <w:tc>
          <w:tcPr>
            <w:tcW w:w="1378" w:type="dxa"/>
            <w:tcBorders>
              <w:top w:val="nil"/>
              <w:left w:val="nil"/>
              <w:bottom w:val="single" w:color="auto" w:sz="4" w:space="0"/>
              <w:right w:val="single" w:color="auto" w:sz="4" w:space="0"/>
            </w:tcBorders>
            <w:shd w:val="clear" w:color="auto" w:fill="auto"/>
            <w:noWrap/>
            <w:vAlign w:val="bottom"/>
          </w:tcPr>
          <w:p w14:paraId="6A8DEAD0">
            <w:pPr>
              <w:pStyle w:val="3361"/>
              <w:rPr>
                <w:rFonts w:hint="eastAsia"/>
                <w:color w:val="auto"/>
              </w:rPr>
            </w:pPr>
            <w:r>
              <w:rPr>
                <w:rFonts w:hint="eastAsia"/>
                <w:color w:val="auto"/>
                <w:lang w:val="en-US" w:eastAsia="zh-CN"/>
              </w:rPr>
              <w:t>1.29E+03</w:t>
            </w:r>
          </w:p>
        </w:tc>
        <w:tc>
          <w:tcPr>
            <w:tcW w:w="1265" w:type="dxa"/>
            <w:tcBorders>
              <w:top w:val="nil"/>
              <w:left w:val="nil"/>
              <w:bottom w:val="single" w:color="auto" w:sz="4" w:space="0"/>
              <w:right w:val="single" w:color="auto" w:sz="4" w:space="0"/>
            </w:tcBorders>
            <w:shd w:val="clear" w:color="auto" w:fill="auto"/>
            <w:noWrap/>
            <w:vAlign w:val="bottom"/>
          </w:tcPr>
          <w:p w14:paraId="1B8C8670">
            <w:pPr>
              <w:pStyle w:val="3361"/>
              <w:rPr>
                <w:rFonts w:hint="eastAsia"/>
                <w:color w:val="auto"/>
              </w:rPr>
            </w:pPr>
            <w:r>
              <w:rPr>
                <w:rFonts w:hint="eastAsia"/>
                <w:color w:val="auto"/>
                <w:lang w:val="en-US" w:eastAsia="zh-CN"/>
              </w:rPr>
              <w:t>10</w:t>
            </w:r>
          </w:p>
        </w:tc>
        <w:tc>
          <w:tcPr>
            <w:tcW w:w="1926" w:type="dxa"/>
            <w:tcBorders>
              <w:top w:val="nil"/>
              <w:left w:val="nil"/>
              <w:bottom w:val="single" w:color="auto" w:sz="4" w:space="0"/>
              <w:right w:val="single" w:color="auto" w:sz="4" w:space="0"/>
            </w:tcBorders>
            <w:shd w:val="clear" w:color="auto" w:fill="auto"/>
            <w:noWrap/>
            <w:vAlign w:val="bottom"/>
          </w:tcPr>
          <w:p w14:paraId="30B73118">
            <w:pPr>
              <w:pStyle w:val="3361"/>
              <w:rPr>
                <w:rFonts w:hint="eastAsia"/>
                <w:color w:val="auto"/>
              </w:rPr>
            </w:pPr>
            <w:r>
              <w:rPr>
                <w:rFonts w:hint="eastAsia"/>
                <w:color w:val="auto"/>
                <w:lang w:val="en-US" w:eastAsia="zh-CN"/>
              </w:rPr>
              <w:t>1.11E+02</w:t>
            </w:r>
          </w:p>
        </w:tc>
        <w:tc>
          <w:tcPr>
            <w:tcW w:w="1159" w:type="dxa"/>
            <w:tcBorders>
              <w:top w:val="nil"/>
              <w:left w:val="nil"/>
              <w:bottom w:val="single" w:color="auto" w:sz="4" w:space="0"/>
              <w:right w:val="single" w:color="auto" w:sz="4" w:space="0"/>
            </w:tcBorders>
            <w:shd w:val="clear" w:color="auto" w:fill="auto"/>
            <w:noWrap/>
            <w:vAlign w:val="bottom"/>
          </w:tcPr>
          <w:p w14:paraId="53ACB579">
            <w:pPr>
              <w:pStyle w:val="3361"/>
              <w:rPr>
                <w:rFonts w:hint="eastAsia"/>
                <w:color w:val="auto"/>
              </w:rPr>
            </w:pPr>
            <w:r>
              <w:rPr>
                <w:rFonts w:hint="eastAsia"/>
                <w:color w:val="auto"/>
                <w:lang w:val="en-US" w:eastAsia="zh-CN"/>
              </w:rPr>
              <w:t>10</w:t>
            </w:r>
          </w:p>
        </w:tc>
        <w:tc>
          <w:tcPr>
            <w:tcW w:w="1777" w:type="dxa"/>
            <w:tcBorders>
              <w:top w:val="nil"/>
              <w:left w:val="nil"/>
              <w:bottom w:val="single" w:color="auto" w:sz="4" w:space="0"/>
              <w:right w:val="single" w:color="auto" w:sz="4" w:space="0"/>
            </w:tcBorders>
            <w:shd w:val="clear" w:color="auto" w:fill="auto"/>
            <w:noWrap/>
            <w:vAlign w:val="bottom"/>
          </w:tcPr>
          <w:p w14:paraId="375DBCA7">
            <w:pPr>
              <w:pStyle w:val="3361"/>
              <w:rPr>
                <w:rFonts w:hint="eastAsia"/>
                <w:color w:val="auto"/>
              </w:rPr>
            </w:pPr>
            <w:r>
              <w:rPr>
                <w:rFonts w:hint="eastAsia"/>
                <w:color w:val="auto"/>
                <w:lang w:val="en-US" w:eastAsia="zh-CN"/>
              </w:rPr>
              <w:t>2.37E+01</w:t>
            </w:r>
          </w:p>
        </w:tc>
      </w:tr>
      <w:tr w14:paraId="1968C425">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711C5EFF">
            <w:pPr>
              <w:pStyle w:val="3361"/>
              <w:rPr>
                <w:rFonts w:hint="eastAsia"/>
                <w:color w:val="auto"/>
              </w:rPr>
            </w:pPr>
            <w:r>
              <w:rPr>
                <w:rFonts w:hint="eastAsia"/>
                <w:color w:val="auto"/>
                <w:lang w:val="en-US" w:eastAsia="zh-CN"/>
              </w:rPr>
              <w:t>15</w:t>
            </w:r>
          </w:p>
        </w:tc>
        <w:tc>
          <w:tcPr>
            <w:tcW w:w="1378" w:type="dxa"/>
            <w:tcBorders>
              <w:top w:val="nil"/>
              <w:left w:val="nil"/>
              <w:bottom w:val="single" w:color="auto" w:sz="4" w:space="0"/>
              <w:right w:val="single" w:color="auto" w:sz="4" w:space="0"/>
            </w:tcBorders>
            <w:shd w:val="clear" w:color="auto" w:fill="auto"/>
            <w:noWrap/>
            <w:vAlign w:val="bottom"/>
          </w:tcPr>
          <w:p w14:paraId="22A1E83E">
            <w:pPr>
              <w:pStyle w:val="3361"/>
              <w:rPr>
                <w:rFonts w:hint="eastAsia"/>
                <w:color w:val="auto"/>
              </w:rPr>
            </w:pPr>
            <w:r>
              <w:rPr>
                <w:rFonts w:hint="eastAsia"/>
                <w:color w:val="auto"/>
                <w:lang w:val="en-US" w:eastAsia="zh-CN"/>
              </w:rPr>
              <w:t>9.51E+02</w:t>
            </w:r>
          </w:p>
        </w:tc>
        <w:tc>
          <w:tcPr>
            <w:tcW w:w="1265" w:type="dxa"/>
            <w:tcBorders>
              <w:top w:val="nil"/>
              <w:left w:val="nil"/>
              <w:bottom w:val="single" w:color="auto" w:sz="4" w:space="0"/>
              <w:right w:val="single" w:color="auto" w:sz="4" w:space="0"/>
            </w:tcBorders>
            <w:shd w:val="clear" w:color="auto" w:fill="auto"/>
            <w:noWrap/>
            <w:vAlign w:val="bottom"/>
          </w:tcPr>
          <w:p w14:paraId="4BFD4416">
            <w:pPr>
              <w:pStyle w:val="3361"/>
              <w:rPr>
                <w:rFonts w:hint="eastAsia"/>
                <w:color w:val="auto"/>
              </w:rPr>
            </w:pPr>
            <w:r>
              <w:rPr>
                <w:rFonts w:hint="eastAsia"/>
                <w:color w:val="auto"/>
                <w:lang w:val="en-US" w:eastAsia="zh-CN"/>
              </w:rPr>
              <w:t>15</w:t>
            </w:r>
          </w:p>
        </w:tc>
        <w:tc>
          <w:tcPr>
            <w:tcW w:w="1926" w:type="dxa"/>
            <w:tcBorders>
              <w:top w:val="nil"/>
              <w:left w:val="nil"/>
              <w:bottom w:val="single" w:color="auto" w:sz="4" w:space="0"/>
              <w:right w:val="single" w:color="auto" w:sz="4" w:space="0"/>
            </w:tcBorders>
            <w:shd w:val="clear" w:color="auto" w:fill="auto"/>
            <w:noWrap/>
            <w:vAlign w:val="bottom"/>
          </w:tcPr>
          <w:p w14:paraId="28AB5290">
            <w:pPr>
              <w:pStyle w:val="3361"/>
              <w:rPr>
                <w:rFonts w:hint="eastAsia"/>
                <w:color w:val="auto"/>
              </w:rPr>
            </w:pPr>
            <w:r>
              <w:rPr>
                <w:rFonts w:hint="eastAsia"/>
                <w:color w:val="auto"/>
                <w:lang w:val="en-US" w:eastAsia="zh-CN"/>
              </w:rPr>
              <w:t>1.28E+02</w:t>
            </w:r>
          </w:p>
        </w:tc>
        <w:tc>
          <w:tcPr>
            <w:tcW w:w="1159" w:type="dxa"/>
            <w:tcBorders>
              <w:top w:val="nil"/>
              <w:left w:val="nil"/>
              <w:bottom w:val="single" w:color="auto" w:sz="4" w:space="0"/>
              <w:right w:val="single" w:color="auto" w:sz="4" w:space="0"/>
            </w:tcBorders>
            <w:shd w:val="clear" w:color="auto" w:fill="auto"/>
            <w:noWrap/>
            <w:vAlign w:val="bottom"/>
          </w:tcPr>
          <w:p w14:paraId="6709BA92">
            <w:pPr>
              <w:pStyle w:val="3361"/>
              <w:rPr>
                <w:rFonts w:hint="eastAsia"/>
                <w:color w:val="auto"/>
              </w:rPr>
            </w:pPr>
            <w:r>
              <w:rPr>
                <w:rFonts w:hint="eastAsia"/>
                <w:color w:val="auto"/>
                <w:lang w:val="en-US" w:eastAsia="zh-CN"/>
              </w:rPr>
              <w:t>15</w:t>
            </w:r>
          </w:p>
        </w:tc>
        <w:tc>
          <w:tcPr>
            <w:tcW w:w="1777" w:type="dxa"/>
            <w:tcBorders>
              <w:top w:val="nil"/>
              <w:left w:val="nil"/>
              <w:bottom w:val="single" w:color="auto" w:sz="4" w:space="0"/>
              <w:right w:val="single" w:color="auto" w:sz="4" w:space="0"/>
            </w:tcBorders>
            <w:shd w:val="clear" w:color="auto" w:fill="auto"/>
            <w:noWrap/>
            <w:vAlign w:val="bottom"/>
          </w:tcPr>
          <w:p w14:paraId="355462E9">
            <w:pPr>
              <w:pStyle w:val="3361"/>
              <w:rPr>
                <w:rFonts w:hint="eastAsia"/>
                <w:color w:val="auto"/>
              </w:rPr>
            </w:pPr>
            <w:r>
              <w:rPr>
                <w:rFonts w:hint="eastAsia"/>
                <w:color w:val="auto"/>
                <w:lang w:val="en-US" w:eastAsia="zh-CN"/>
              </w:rPr>
              <w:t>2.59E+01</w:t>
            </w:r>
          </w:p>
        </w:tc>
      </w:tr>
      <w:tr w14:paraId="194D6A93">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715EE2A3">
            <w:pPr>
              <w:pStyle w:val="3361"/>
              <w:rPr>
                <w:rFonts w:hint="eastAsia"/>
                <w:color w:val="auto"/>
              </w:rPr>
            </w:pPr>
            <w:r>
              <w:rPr>
                <w:rFonts w:hint="eastAsia"/>
                <w:color w:val="auto"/>
                <w:lang w:val="en-US" w:eastAsia="zh-CN"/>
              </w:rPr>
              <w:t>20</w:t>
            </w:r>
          </w:p>
        </w:tc>
        <w:tc>
          <w:tcPr>
            <w:tcW w:w="1378" w:type="dxa"/>
            <w:tcBorders>
              <w:top w:val="nil"/>
              <w:left w:val="nil"/>
              <w:bottom w:val="single" w:color="auto" w:sz="4" w:space="0"/>
              <w:right w:val="single" w:color="auto" w:sz="4" w:space="0"/>
            </w:tcBorders>
            <w:shd w:val="clear" w:color="auto" w:fill="auto"/>
            <w:noWrap/>
            <w:vAlign w:val="bottom"/>
          </w:tcPr>
          <w:p w14:paraId="709D0C35">
            <w:pPr>
              <w:pStyle w:val="3361"/>
              <w:rPr>
                <w:rFonts w:hint="eastAsia"/>
                <w:color w:val="auto"/>
              </w:rPr>
            </w:pPr>
            <w:r>
              <w:rPr>
                <w:rFonts w:hint="eastAsia"/>
                <w:color w:val="auto"/>
                <w:lang w:val="en-US" w:eastAsia="zh-CN"/>
              </w:rPr>
              <w:t>6.59E+02</w:t>
            </w:r>
          </w:p>
        </w:tc>
        <w:tc>
          <w:tcPr>
            <w:tcW w:w="1265" w:type="dxa"/>
            <w:tcBorders>
              <w:top w:val="nil"/>
              <w:left w:val="nil"/>
              <w:bottom w:val="single" w:color="auto" w:sz="4" w:space="0"/>
              <w:right w:val="single" w:color="auto" w:sz="4" w:space="0"/>
            </w:tcBorders>
            <w:shd w:val="clear" w:color="auto" w:fill="auto"/>
            <w:noWrap/>
            <w:vAlign w:val="bottom"/>
          </w:tcPr>
          <w:p w14:paraId="61D7A210">
            <w:pPr>
              <w:pStyle w:val="3361"/>
              <w:rPr>
                <w:rFonts w:hint="eastAsia"/>
                <w:color w:val="auto"/>
              </w:rPr>
            </w:pPr>
            <w:r>
              <w:rPr>
                <w:rFonts w:hint="eastAsia"/>
                <w:color w:val="auto"/>
                <w:lang w:val="en-US" w:eastAsia="zh-CN"/>
              </w:rPr>
              <w:t>20</w:t>
            </w:r>
          </w:p>
        </w:tc>
        <w:tc>
          <w:tcPr>
            <w:tcW w:w="1926" w:type="dxa"/>
            <w:tcBorders>
              <w:top w:val="nil"/>
              <w:left w:val="nil"/>
              <w:bottom w:val="single" w:color="auto" w:sz="4" w:space="0"/>
              <w:right w:val="single" w:color="auto" w:sz="4" w:space="0"/>
            </w:tcBorders>
            <w:shd w:val="clear" w:color="auto" w:fill="auto"/>
            <w:noWrap/>
            <w:vAlign w:val="bottom"/>
          </w:tcPr>
          <w:p w14:paraId="7FBDC266">
            <w:pPr>
              <w:pStyle w:val="3361"/>
              <w:rPr>
                <w:rFonts w:hint="eastAsia"/>
                <w:color w:val="auto"/>
              </w:rPr>
            </w:pPr>
            <w:r>
              <w:rPr>
                <w:rFonts w:hint="eastAsia"/>
                <w:color w:val="auto"/>
                <w:lang w:val="en-US" w:eastAsia="zh-CN"/>
              </w:rPr>
              <w:t>1.46E+02</w:t>
            </w:r>
          </w:p>
        </w:tc>
        <w:tc>
          <w:tcPr>
            <w:tcW w:w="1159" w:type="dxa"/>
            <w:tcBorders>
              <w:top w:val="nil"/>
              <w:left w:val="nil"/>
              <w:bottom w:val="single" w:color="auto" w:sz="4" w:space="0"/>
              <w:right w:val="single" w:color="auto" w:sz="4" w:space="0"/>
            </w:tcBorders>
            <w:shd w:val="clear" w:color="auto" w:fill="auto"/>
            <w:noWrap/>
            <w:vAlign w:val="bottom"/>
          </w:tcPr>
          <w:p w14:paraId="006D245C">
            <w:pPr>
              <w:pStyle w:val="3361"/>
              <w:rPr>
                <w:rFonts w:hint="eastAsia"/>
                <w:color w:val="auto"/>
              </w:rPr>
            </w:pPr>
            <w:r>
              <w:rPr>
                <w:rFonts w:hint="eastAsia"/>
                <w:color w:val="auto"/>
                <w:lang w:val="en-US" w:eastAsia="zh-CN"/>
              </w:rPr>
              <w:t>20</w:t>
            </w:r>
          </w:p>
        </w:tc>
        <w:tc>
          <w:tcPr>
            <w:tcW w:w="1777" w:type="dxa"/>
            <w:tcBorders>
              <w:top w:val="nil"/>
              <w:left w:val="nil"/>
              <w:bottom w:val="single" w:color="auto" w:sz="4" w:space="0"/>
              <w:right w:val="single" w:color="auto" w:sz="4" w:space="0"/>
            </w:tcBorders>
            <w:shd w:val="clear" w:color="auto" w:fill="auto"/>
            <w:noWrap/>
            <w:vAlign w:val="bottom"/>
          </w:tcPr>
          <w:p w14:paraId="47438DB9">
            <w:pPr>
              <w:pStyle w:val="3361"/>
              <w:rPr>
                <w:rFonts w:hint="eastAsia"/>
                <w:color w:val="auto"/>
              </w:rPr>
            </w:pPr>
            <w:r>
              <w:rPr>
                <w:rFonts w:hint="eastAsia"/>
                <w:color w:val="auto"/>
                <w:lang w:val="en-US" w:eastAsia="zh-CN"/>
              </w:rPr>
              <w:t>2.81E+01</w:t>
            </w:r>
          </w:p>
        </w:tc>
      </w:tr>
      <w:tr w14:paraId="17DB6F6B">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0B533CFE">
            <w:pPr>
              <w:pStyle w:val="3361"/>
              <w:rPr>
                <w:rFonts w:hint="eastAsia"/>
                <w:color w:val="auto"/>
              </w:rPr>
            </w:pPr>
            <w:r>
              <w:rPr>
                <w:rFonts w:hint="eastAsia"/>
                <w:color w:val="auto"/>
                <w:lang w:val="en-US" w:eastAsia="zh-CN"/>
              </w:rPr>
              <w:t>25</w:t>
            </w:r>
          </w:p>
        </w:tc>
        <w:tc>
          <w:tcPr>
            <w:tcW w:w="1378" w:type="dxa"/>
            <w:tcBorders>
              <w:top w:val="nil"/>
              <w:left w:val="nil"/>
              <w:bottom w:val="single" w:color="auto" w:sz="4" w:space="0"/>
              <w:right w:val="single" w:color="auto" w:sz="4" w:space="0"/>
            </w:tcBorders>
            <w:shd w:val="clear" w:color="auto" w:fill="auto"/>
            <w:noWrap/>
            <w:vAlign w:val="bottom"/>
          </w:tcPr>
          <w:p w14:paraId="11BD27AE">
            <w:pPr>
              <w:pStyle w:val="3361"/>
              <w:rPr>
                <w:rFonts w:hint="eastAsia"/>
                <w:color w:val="auto"/>
              </w:rPr>
            </w:pPr>
            <w:r>
              <w:rPr>
                <w:rFonts w:hint="eastAsia"/>
                <w:color w:val="auto"/>
                <w:lang w:val="en-US" w:eastAsia="zh-CN"/>
              </w:rPr>
              <w:t>4.28E+02</w:t>
            </w:r>
          </w:p>
        </w:tc>
        <w:tc>
          <w:tcPr>
            <w:tcW w:w="1265" w:type="dxa"/>
            <w:tcBorders>
              <w:top w:val="nil"/>
              <w:left w:val="nil"/>
              <w:bottom w:val="single" w:color="auto" w:sz="4" w:space="0"/>
              <w:right w:val="single" w:color="auto" w:sz="4" w:space="0"/>
            </w:tcBorders>
            <w:shd w:val="clear" w:color="auto" w:fill="auto"/>
            <w:noWrap/>
            <w:vAlign w:val="bottom"/>
          </w:tcPr>
          <w:p w14:paraId="5F6E94E7">
            <w:pPr>
              <w:pStyle w:val="3361"/>
              <w:rPr>
                <w:rFonts w:hint="eastAsia"/>
                <w:color w:val="auto"/>
              </w:rPr>
            </w:pPr>
            <w:r>
              <w:rPr>
                <w:rFonts w:hint="eastAsia"/>
                <w:color w:val="auto"/>
                <w:lang w:val="en-US" w:eastAsia="zh-CN"/>
              </w:rPr>
              <w:t>25</w:t>
            </w:r>
          </w:p>
        </w:tc>
        <w:tc>
          <w:tcPr>
            <w:tcW w:w="1926" w:type="dxa"/>
            <w:tcBorders>
              <w:top w:val="nil"/>
              <w:left w:val="nil"/>
              <w:bottom w:val="single" w:color="auto" w:sz="4" w:space="0"/>
              <w:right w:val="single" w:color="auto" w:sz="4" w:space="0"/>
            </w:tcBorders>
            <w:shd w:val="clear" w:color="auto" w:fill="auto"/>
            <w:noWrap/>
            <w:vAlign w:val="bottom"/>
          </w:tcPr>
          <w:p w14:paraId="3E11FF59">
            <w:pPr>
              <w:pStyle w:val="3361"/>
              <w:rPr>
                <w:rFonts w:hint="eastAsia"/>
                <w:color w:val="auto"/>
              </w:rPr>
            </w:pPr>
            <w:r>
              <w:rPr>
                <w:rFonts w:hint="eastAsia"/>
                <w:color w:val="auto"/>
                <w:lang w:val="en-US" w:eastAsia="zh-CN"/>
              </w:rPr>
              <w:t>1.63E+02</w:t>
            </w:r>
          </w:p>
        </w:tc>
        <w:tc>
          <w:tcPr>
            <w:tcW w:w="1159" w:type="dxa"/>
            <w:tcBorders>
              <w:top w:val="nil"/>
              <w:left w:val="nil"/>
              <w:bottom w:val="single" w:color="auto" w:sz="4" w:space="0"/>
              <w:right w:val="single" w:color="auto" w:sz="4" w:space="0"/>
            </w:tcBorders>
            <w:shd w:val="clear" w:color="auto" w:fill="auto"/>
            <w:noWrap/>
            <w:vAlign w:val="bottom"/>
          </w:tcPr>
          <w:p w14:paraId="565E09DB">
            <w:pPr>
              <w:pStyle w:val="3361"/>
              <w:rPr>
                <w:rFonts w:hint="eastAsia"/>
                <w:color w:val="auto"/>
              </w:rPr>
            </w:pPr>
            <w:r>
              <w:rPr>
                <w:rFonts w:hint="eastAsia"/>
                <w:color w:val="auto"/>
                <w:lang w:val="en-US" w:eastAsia="zh-CN"/>
              </w:rPr>
              <w:t>25</w:t>
            </w:r>
          </w:p>
        </w:tc>
        <w:tc>
          <w:tcPr>
            <w:tcW w:w="1777" w:type="dxa"/>
            <w:tcBorders>
              <w:top w:val="nil"/>
              <w:left w:val="nil"/>
              <w:bottom w:val="single" w:color="auto" w:sz="4" w:space="0"/>
              <w:right w:val="single" w:color="auto" w:sz="4" w:space="0"/>
            </w:tcBorders>
            <w:shd w:val="clear" w:color="auto" w:fill="auto"/>
            <w:noWrap/>
            <w:vAlign w:val="bottom"/>
          </w:tcPr>
          <w:p w14:paraId="7C449FB3">
            <w:pPr>
              <w:pStyle w:val="3361"/>
              <w:rPr>
                <w:rFonts w:hint="eastAsia"/>
                <w:color w:val="auto"/>
              </w:rPr>
            </w:pPr>
            <w:r>
              <w:rPr>
                <w:rFonts w:hint="eastAsia"/>
                <w:color w:val="auto"/>
                <w:lang w:val="en-US" w:eastAsia="zh-CN"/>
              </w:rPr>
              <w:t>3.05E+01</w:t>
            </w:r>
          </w:p>
        </w:tc>
      </w:tr>
      <w:tr w14:paraId="6373682E">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25336B3D">
            <w:pPr>
              <w:pStyle w:val="3361"/>
              <w:rPr>
                <w:rFonts w:hint="eastAsia"/>
                <w:color w:val="auto"/>
              </w:rPr>
            </w:pPr>
            <w:r>
              <w:rPr>
                <w:rFonts w:hint="eastAsia"/>
                <w:color w:val="auto"/>
                <w:lang w:val="en-US" w:eastAsia="zh-CN"/>
              </w:rPr>
              <w:t>30</w:t>
            </w:r>
          </w:p>
        </w:tc>
        <w:tc>
          <w:tcPr>
            <w:tcW w:w="1378" w:type="dxa"/>
            <w:tcBorders>
              <w:top w:val="nil"/>
              <w:left w:val="nil"/>
              <w:bottom w:val="single" w:color="auto" w:sz="4" w:space="0"/>
              <w:right w:val="single" w:color="auto" w:sz="4" w:space="0"/>
            </w:tcBorders>
            <w:shd w:val="clear" w:color="auto" w:fill="auto"/>
            <w:noWrap/>
            <w:vAlign w:val="bottom"/>
          </w:tcPr>
          <w:p w14:paraId="39F852E0">
            <w:pPr>
              <w:pStyle w:val="3361"/>
              <w:rPr>
                <w:rFonts w:hint="eastAsia"/>
                <w:color w:val="auto"/>
              </w:rPr>
            </w:pPr>
            <w:r>
              <w:rPr>
                <w:rFonts w:hint="eastAsia"/>
                <w:color w:val="auto"/>
                <w:lang w:val="en-US" w:eastAsia="zh-CN"/>
              </w:rPr>
              <w:t>2.60E+02</w:t>
            </w:r>
          </w:p>
        </w:tc>
        <w:tc>
          <w:tcPr>
            <w:tcW w:w="1265" w:type="dxa"/>
            <w:tcBorders>
              <w:top w:val="nil"/>
              <w:left w:val="nil"/>
              <w:bottom w:val="single" w:color="auto" w:sz="4" w:space="0"/>
              <w:right w:val="single" w:color="auto" w:sz="4" w:space="0"/>
            </w:tcBorders>
            <w:shd w:val="clear" w:color="auto" w:fill="auto"/>
            <w:noWrap/>
            <w:vAlign w:val="bottom"/>
          </w:tcPr>
          <w:p w14:paraId="5245823E">
            <w:pPr>
              <w:pStyle w:val="3361"/>
              <w:rPr>
                <w:rFonts w:hint="eastAsia"/>
                <w:color w:val="auto"/>
              </w:rPr>
            </w:pPr>
            <w:r>
              <w:rPr>
                <w:rFonts w:hint="eastAsia"/>
                <w:color w:val="auto"/>
                <w:lang w:val="en-US" w:eastAsia="zh-CN"/>
              </w:rPr>
              <w:t>30</w:t>
            </w:r>
          </w:p>
        </w:tc>
        <w:tc>
          <w:tcPr>
            <w:tcW w:w="1926" w:type="dxa"/>
            <w:tcBorders>
              <w:top w:val="nil"/>
              <w:left w:val="nil"/>
              <w:bottom w:val="single" w:color="auto" w:sz="4" w:space="0"/>
              <w:right w:val="single" w:color="auto" w:sz="4" w:space="0"/>
            </w:tcBorders>
            <w:shd w:val="clear" w:color="auto" w:fill="auto"/>
            <w:noWrap/>
            <w:vAlign w:val="bottom"/>
          </w:tcPr>
          <w:p w14:paraId="3E553B6A">
            <w:pPr>
              <w:pStyle w:val="3361"/>
              <w:rPr>
                <w:rFonts w:hint="eastAsia"/>
                <w:color w:val="auto"/>
              </w:rPr>
            </w:pPr>
            <w:r>
              <w:rPr>
                <w:rFonts w:hint="eastAsia"/>
                <w:color w:val="auto"/>
                <w:lang w:val="en-US" w:eastAsia="zh-CN"/>
              </w:rPr>
              <w:t>1.78E+02</w:t>
            </w:r>
          </w:p>
        </w:tc>
        <w:tc>
          <w:tcPr>
            <w:tcW w:w="1159" w:type="dxa"/>
            <w:tcBorders>
              <w:top w:val="nil"/>
              <w:left w:val="nil"/>
              <w:bottom w:val="single" w:color="auto" w:sz="4" w:space="0"/>
              <w:right w:val="single" w:color="auto" w:sz="4" w:space="0"/>
            </w:tcBorders>
            <w:shd w:val="clear" w:color="auto" w:fill="auto"/>
            <w:noWrap/>
            <w:vAlign w:val="bottom"/>
          </w:tcPr>
          <w:p w14:paraId="3D35ACF1">
            <w:pPr>
              <w:pStyle w:val="3361"/>
              <w:rPr>
                <w:rFonts w:hint="eastAsia"/>
                <w:color w:val="auto"/>
              </w:rPr>
            </w:pPr>
            <w:r>
              <w:rPr>
                <w:rFonts w:hint="eastAsia"/>
                <w:color w:val="auto"/>
                <w:lang w:val="en-US" w:eastAsia="zh-CN"/>
              </w:rPr>
              <w:t>30</w:t>
            </w:r>
          </w:p>
        </w:tc>
        <w:tc>
          <w:tcPr>
            <w:tcW w:w="1777" w:type="dxa"/>
            <w:tcBorders>
              <w:top w:val="nil"/>
              <w:left w:val="nil"/>
              <w:bottom w:val="single" w:color="auto" w:sz="4" w:space="0"/>
              <w:right w:val="single" w:color="auto" w:sz="4" w:space="0"/>
            </w:tcBorders>
            <w:shd w:val="clear" w:color="auto" w:fill="auto"/>
            <w:noWrap/>
            <w:vAlign w:val="bottom"/>
          </w:tcPr>
          <w:p w14:paraId="0F76040C">
            <w:pPr>
              <w:pStyle w:val="3361"/>
              <w:rPr>
                <w:rFonts w:hint="eastAsia"/>
                <w:color w:val="auto"/>
              </w:rPr>
            </w:pPr>
            <w:r>
              <w:rPr>
                <w:rFonts w:hint="eastAsia"/>
                <w:color w:val="auto"/>
                <w:lang w:val="en-US" w:eastAsia="zh-CN"/>
              </w:rPr>
              <w:t>3.30E+01</w:t>
            </w:r>
          </w:p>
        </w:tc>
      </w:tr>
      <w:tr w14:paraId="6A377F20">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15CD6F54">
            <w:pPr>
              <w:pStyle w:val="3361"/>
              <w:rPr>
                <w:rFonts w:hint="eastAsia"/>
                <w:color w:val="auto"/>
              </w:rPr>
            </w:pPr>
            <w:r>
              <w:rPr>
                <w:rFonts w:hint="eastAsia"/>
                <w:color w:val="auto"/>
                <w:lang w:val="en-US" w:eastAsia="zh-CN"/>
              </w:rPr>
              <w:t>35</w:t>
            </w:r>
          </w:p>
        </w:tc>
        <w:tc>
          <w:tcPr>
            <w:tcW w:w="1378" w:type="dxa"/>
            <w:tcBorders>
              <w:top w:val="nil"/>
              <w:left w:val="nil"/>
              <w:bottom w:val="single" w:color="auto" w:sz="4" w:space="0"/>
              <w:right w:val="single" w:color="auto" w:sz="4" w:space="0"/>
            </w:tcBorders>
            <w:shd w:val="clear" w:color="auto" w:fill="auto"/>
            <w:noWrap/>
            <w:vAlign w:val="bottom"/>
          </w:tcPr>
          <w:p w14:paraId="4B796869">
            <w:pPr>
              <w:pStyle w:val="3361"/>
              <w:rPr>
                <w:rFonts w:hint="eastAsia"/>
                <w:color w:val="auto"/>
              </w:rPr>
            </w:pPr>
            <w:r>
              <w:rPr>
                <w:rFonts w:hint="eastAsia"/>
                <w:color w:val="auto"/>
                <w:lang w:val="en-US" w:eastAsia="zh-CN"/>
              </w:rPr>
              <w:t>1.48E+02</w:t>
            </w:r>
          </w:p>
        </w:tc>
        <w:tc>
          <w:tcPr>
            <w:tcW w:w="1265" w:type="dxa"/>
            <w:tcBorders>
              <w:top w:val="nil"/>
              <w:left w:val="nil"/>
              <w:bottom w:val="single" w:color="auto" w:sz="4" w:space="0"/>
              <w:right w:val="single" w:color="auto" w:sz="4" w:space="0"/>
            </w:tcBorders>
            <w:shd w:val="clear" w:color="auto" w:fill="auto"/>
            <w:noWrap/>
            <w:vAlign w:val="bottom"/>
          </w:tcPr>
          <w:p w14:paraId="2075DB6B">
            <w:pPr>
              <w:pStyle w:val="3361"/>
              <w:rPr>
                <w:rFonts w:hint="eastAsia"/>
                <w:color w:val="auto"/>
              </w:rPr>
            </w:pPr>
            <w:r>
              <w:rPr>
                <w:rFonts w:hint="eastAsia"/>
                <w:color w:val="auto"/>
                <w:lang w:val="en-US" w:eastAsia="zh-CN"/>
              </w:rPr>
              <w:t>35</w:t>
            </w:r>
          </w:p>
        </w:tc>
        <w:tc>
          <w:tcPr>
            <w:tcW w:w="1926" w:type="dxa"/>
            <w:tcBorders>
              <w:top w:val="nil"/>
              <w:left w:val="nil"/>
              <w:bottom w:val="single" w:color="auto" w:sz="4" w:space="0"/>
              <w:right w:val="single" w:color="auto" w:sz="4" w:space="0"/>
            </w:tcBorders>
            <w:shd w:val="clear" w:color="auto" w:fill="auto"/>
            <w:noWrap/>
            <w:vAlign w:val="bottom"/>
          </w:tcPr>
          <w:p w14:paraId="4EBFD19E">
            <w:pPr>
              <w:pStyle w:val="3361"/>
              <w:rPr>
                <w:rFonts w:hint="eastAsia"/>
                <w:color w:val="auto"/>
              </w:rPr>
            </w:pPr>
            <w:r>
              <w:rPr>
                <w:rFonts w:hint="eastAsia"/>
                <w:color w:val="auto"/>
                <w:lang w:val="en-US" w:eastAsia="zh-CN"/>
              </w:rPr>
              <w:t>1.93E+02</w:t>
            </w:r>
          </w:p>
        </w:tc>
        <w:tc>
          <w:tcPr>
            <w:tcW w:w="1159" w:type="dxa"/>
            <w:tcBorders>
              <w:top w:val="nil"/>
              <w:left w:val="nil"/>
              <w:bottom w:val="single" w:color="auto" w:sz="4" w:space="0"/>
              <w:right w:val="single" w:color="auto" w:sz="4" w:space="0"/>
            </w:tcBorders>
            <w:shd w:val="clear" w:color="auto" w:fill="auto"/>
            <w:noWrap/>
            <w:vAlign w:val="bottom"/>
          </w:tcPr>
          <w:p w14:paraId="30423909">
            <w:pPr>
              <w:pStyle w:val="3361"/>
              <w:rPr>
                <w:rFonts w:hint="eastAsia"/>
                <w:color w:val="auto"/>
              </w:rPr>
            </w:pPr>
            <w:r>
              <w:rPr>
                <w:rFonts w:hint="eastAsia"/>
                <w:color w:val="auto"/>
                <w:lang w:val="en-US" w:eastAsia="zh-CN"/>
              </w:rPr>
              <w:t>35</w:t>
            </w:r>
          </w:p>
        </w:tc>
        <w:tc>
          <w:tcPr>
            <w:tcW w:w="1777" w:type="dxa"/>
            <w:tcBorders>
              <w:top w:val="nil"/>
              <w:left w:val="nil"/>
              <w:bottom w:val="single" w:color="auto" w:sz="4" w:space="0"/>
              <w:right w:val="single" w:color="auto" w:sz="4" w:space="0"/>
            </w:tcBorders>
            <w:shd w:val="clear" w:color="auto" w:fill="auto"/>
            <w:noWrap/>
            <w:vAlign w:val="bottom"/>
          </w:tcPr>
          <w:p w14:paraId="206C4C57">
            <w:pPr>
              <w:pStyle w:val="3361"/>
              <w:rPr>
                <w:rFonts w:hint="eastAsia"/>
                <w:color w:val="auto"/>
              </w:rPr>
            </w:pPr>
            <w:r>
              <w:rPr>
                <w:rFonts w:hint="eastAsia"/>
                <w:color w:val="auto"/>
                <w:lang w:val="en-US" w:eastAsia="zh-CN"/>
              </w:rPr>
              <w:t>3.56E+01</w:t>
            </w:r>
          </w:p>
        </w:tc>
      </w:tr>
      <w:tr w14:paraId="5F993E9B">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7266AB8B">
            <w:pPr>
              <w:pStyle w:val="3361"/>
              <w:rPr>
                <w:rFonts w:hint="eastAsia"/>
                <w:color w:val="auto"/>
              </w:rPr>
            </w:pPr>
            <w:r>
              <w:rPr>
                <w:rFonts w:hint="eastAsia"/>
                <w:color w:val="auto"/>
                <w:lang w:val="en-US" w:eastAsia="zh-CN"/>
              </w:rPr>
              <w:t>40</w:t>
            </w:r>
          </w:p>
        </w:tc>
        <w:tc>
          <w:tcPr>
            <w:tcW w:w="1378" w:type="dxa"/>
            <w:tcBorders>
              <w:top w:val="nil"/>
              <w:left w:val="nil"/>
              <w:bottom w:val="single" w:color="auto" w:sz="4" w:space="0"/>
              <w:right w:val="single" w:color="auto" w:sz="4" w:space="0"/>
            </w:tcBorders>
            <w:shd w:val="clear" w:color="auto" w:fill="auto"/>
            <w:noWrap/>
            <w:vAlign w:val="bottom"/>
          </w:tcPr>
          <w:p w14:paraId="640CD3E8">
            <w:pPr>
              <w:pStyle w:val="3361"/>
              <w:rPr>
                <w:rFonts w:hint="eastAsia"/>
                <w:color w:val="auto"/>
              </w:rPr>
            </w:pPr>
            <w:r>
              <w:rPr>
                <w:rFonts w:hint="eastAsia"/>
                <w:color w:val="auto"/>
                <w:lang w:val="en-US" w:eastAsia="zh-CN"/>
              </w:rPr>
              <w:t>7.89E+01</w:t>
            </w:r>
          </w:p>
        </w:tc>
        <w:tc>
          <w:tcPr>
            <w:tcW w:w="1265" w:type="dxa"/>
            <w:tcBorders>
              <w:top w:val="nil"/>
              <w:left w:val="nil"/>
              <w:bottom w:val="single" w:color="auto" w:sz="4" w:space="0"/>
              <w:right w:val="single" w:color="auto" w:sz="4" w:space="0"/>
            </w:tcBorders>
            <w:shd w:val="clear" w:color="auto" w:fill="auto"/>
            <w:noWrap/>
            <w:vAlign w:val="bottom"/>
          </w:tcPr>
          <w:p w14:paraId="25B17DF6">
            <w:pPr>
              <w:pStyle w:val="3361"/>
              <w:rPr>
                <w:rFonts w:hint="eastAsia"/>
                <w:color w:val="auto"/>
              </w:rPr>
            </w:pPr>
            <w:r>
              <w:rPr>
                <w:rFonts w:hint="eastAsia"/>
                <w:color w:val="auto"/>
                <w:lang w:val="en-US" w:eastAsia="zh-CN"/>
              </w:rPr>
              <w:t>40</w:t>
            </w:r>
          </w:p>
        </w:tc>
        <w:tc>
          <w:tcPr>
            <w:tcW w:w="1926" w:type="dxa"/>
            <w:tcBorders>
              <w:top w:val="nil"/>
              <w:left w:val="nil"/>
              <w:bottom w:val="single" w:color="auto" w:sz="4" w:space="0"/>
              <w:right w:val="single" w:color="auto" w:sz="4" w:space="0"/>
            </w:tcBorders>
            <w:shd w:val="clear" w:color="auto" w:fill="auto"/>
            <w:noWrap/>
            <w:vAlign w:val="bottom"/>
          </w:tcPr>
          <w:p w14:paraId="2EEB4DCD">
            <w:pPr>
              <w:pStyle w:val="3361"/>
              <w:rPr>
                <w:rFonts w:hint="eastAsia"/>
                <w:color w:val="auto"/>
              </w:rPr>
            </w:pPr>
            <w:r>
              <w:rPr>
                <w:rFonts w:hint="eastAsia"/>
                <w:color w:val="auto"/>
                <w:lang w:val="en-US" w:eastAsia="zh-CN"/>
              </w:rPr>
              <w:t>2.05E+02</w:t>
            </w:r>
          </w:p>
        </w:tc>
        <w:tc>
          <w:tcPr>
            <w:tcW w:w="1159" w:type="dxa"/>
            <w:tcBorders>
              <w:top w:val="nil"/>
              <w:left w:val="nil"/>
              <w:bottom w:val="single" w:color="auto" w:sz="4" w:space="0"/>
              <w:right w:val="single" w:color="auto" w:sz="4" w:space="0"/>
            </w:tcBorders>
            <w:shd w:val="clear" w:color="auto" w:fill="auto"/>
            <w:noWrap/>
            <w:vAlign w:val="bottom"/>
          </w:tcPr>
          <w:p w14:paraId="17D7F298">
            <w:pPr>
              <w:pStyle w:val="3361"/>
              <w:rPr>
                <w:rFonts w:hint="eastAsia"/>
                <w:color w:val="auto"/>
              </w:rPr>
            </w:pPr>
            <w:r>
              <w:rPr>
                <w:rFonts w:hint="eastAsia"/>
                <w:color w:val="auto"/>
                <w:lang w:val="en-US" w:eastAsia="zh-CN"/>
              </w:rPr>
              <w:t>40</w:t>
            </w:r>
          </w:p>
        </w:tc>
        <w:tc>
          <w:tcPr>
            <w:tcW w:w="1777" w:type="dxa"/>
            <w:tcBorders>
              <w:top w:val="nil"/>
              <w:left w:val="nil"/>
              <w:bottom w:val="single" w:color="auto" w:sz="4" w:space="0"/>
              <w:right w:val="single" w:color="auto" w:sz="4" w:space="0"/>
            </w:tcBorders>
            <w:shd w:val="clear" w:color="auto" w:fill="auto"/>
            <w:noWrap/>
            <w:vAlign w:val="bottom"/>
          </w:tcPr>
          <w:p w14:paraId="12B07B14">
            <w:pPr>
              <w:pStyle w:val="3361"/>
              <w:rPr>
                <w:rFonts w:hint="eastAsia"/>
                <w:color w:val="auto"/>
              </w:rPr>
            </w:pPr>
            <w:r>
              <w:rPr>
                <w:rFonts w:hint="eastAsia"/>
                <w:color w:val="auto"/>
                <w:lang w:val="en-US" w:eastAsia="zh-CN"/>
              </w:rPr>
              <w:t>3.83E+01</w:t>
            </w:r>
          </w:p>
        </w:tc>
      </w:tr>
      <w:tr w14:paraId="10B216B4">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49F7D7FB">
            <w:pPr>
              <w:pStyle w:val="3361"/>
              <w:rPr>
                <w:rFonts w:hint="eastAsia"/>
                <w:color w:val="auto"/>
              </w:rPr>
            </w:pPr>
            <w:r>
              <w:rPr>
                <w:rFonts w:hint="eastAsia"/>
                <w:color w:val="auto"/>
                <w:lang w:val="en-US" w:eastAsia="zh-CN"/>
              </w:rPr>
              <w:t>45</w:t>
            </w:r>
          </w:p>
        </w:tc>
        <w:tc>
          <w:tcPr>
            <w:tcW w:w="1378" w:type="dxa"/>
            <w:tcBorders>
              <w:top w:val="nil"/>
              <w:left w:val="nil"/>
              <w:bottom w:val="single" w:color="auto" w:sz="4" w:space="0"/>
              <w:right w:val="single" w:color="auto" w:sz="4" w:space="0"/>
            </w:tcBorders>
            <w:shd w:val="clear" w:color="auto" w:fill="auto"/>
            <w:noWrap/>
            <w:vAlign w:val="bottom"/>
          </w:tcPr>
          <w:p w14:paraId="0EF01032">
            <w:pPr>
              <w:pStyle w:val="3361"/>
              <w:rPr>
                <w:rFonts w:hint="eastAsia"/>
                <w:color w:val="auto"/>
              </w:rPr>
            </w:pPr>
            <w:r>
              <w:rPr>
                <w:rFonts w:hint="eastAsia"/>
                <w:color w:val="auto"/>
                <w:lang w:val="en-US" w:eastAsia="zh-CN"/>
              </w:rPr>
              <w:t>3.94E+01</w:t>
            </w:r>
          </w:p>
        </w:tc>
        <w:tc>
          <w:tcPr>
            <w:tcW w:w="1265" w:type="dxa"/>
            <w:tcBorders>
              <w:top w:val="nil"/>
              <w:left w:val="nil"/>
              <w:bottom w:val="single" w:color="auto" w:sz="4" w:space="0"/>
              <w:right w:val="single" w:color="auto" w:sz="4" w:space="0"/>
            </w:tcBorders>
            <w:shd w:val="clear" w:color="auto" w:fill="auto"/>
            <w:noWrap/>
            <w:vAlign w:val="bottom"/>
          </w:tcPr>
          <w:p w14:paraId="5F738A6F">
            <w:pPr>
              <w:pStyle w:val="3361"/>
              <w:rPr>
                <w:rFonts w:hint="eastAsia"/>
                <w:color w:val="auto"/>
              </w:rPr>
            </w:pPr>
            <w:r>
              <w:rPr>
                <w:rFonts w:hint="eastAsia"/>
                <w:color w:val="auto"/>
                <w:lang w:val="en-US" w:eastAsia="zh-CN"/>
              </w:rPr>
              <w:t>45</w:t>
            </w:r>
          </w:p>
        </w:tc>
        <w:tc>
          <w:tcPr>
            <w:tcW w:w="1926" w:type="dxa"/>
            <w:tcBorders>
              <w:top w:val="nil"/>
              <w:left w:val="nil"/>
              <w:bottom w:val="single" w:color="auto" w:sz="4" w:space="0"/>
              <w:right w:val="single" w:color="auto" w:sz="4" w:space="0"/>
            </w:tcBorders>
            <w:shd w:val="clear" w:color="auto" w:fill="auto"/>
            <w:noWrap/>
            <w:vAlign w:val="bottom"/>
          </w:tcPr>
          <w:p w14:paraId="646A4F8B">
            <w:pPr>
              <w:pStyle w:val="3361"/>
              <w:rPr>
                <w:rFonts w:hint="eastAsia"/>
                <w:color w:val="auto"/>
              </w:rPr>
            </w:pPr>
            <w:r>
              <w:rPr>
                <w:rFonts w:hint="eastAsia"/>
                <w:color w:val="auto"/>
                <w:lang w:val="en-US" w:eastAsia="zh-CN"/>
              </w:rPr>
              <w:t>2.15E+02</w:t>
            </w:r>
          </w:p>
        </w:tc>
        <w:tc>
          <w:tcPr>
            <w:tcW w:w="1159" w:type="dxa"/>
            <w:tcBorders>
              <w:top w:val="nil"/>
              <w:left w:val="nil"/>
              <w:bottom w:val="single" w:color="auto" w:sz="4" w:space="0"/>
              <w:right w:val="single" w:color="auto" w:sz="4" w:space="0"/>
            </w:tcBorders>
            <w:shd w:val="clear" w:color="auto" w:fill="auto"/>
            <w:noWrap/>
            <w:vAlign w:val="bottom"/>
          </w:tcPr>
          <w:p w14:paraId="36EF6296">
            <w:pPr>
              <w:pStyle w:val="3361"/>
              <w:rPr>
                <w:rFonts w:hint="eastAsia"/>
                <w:color w:val="auto"/>
              </w:rPr>
            </w:pPr>
            <w:r>
              <w:rPr>
                <w:rFonts w:hint="eastAsia"/>
                <w:color w:val="auto"/>
                <w:lang w:val="en-US" w:eastAsia="zh-CN"/>
              </w:rPr>
              <w:t>45</w:t>
            </w:r>
          </w:p>
        </w:tc>
        <w:tc>
          <w:tcPr>
            <w:tcW w:w="1777" w:type="dxa"/>
            <w:tcBorders>
              <w:top w:val="nil"/>
              <w:left w:val="nil"/>
              <w:bottom w:val="single" w:color="auto" w:sz="4" w:space="0"/>
              <w:right w:val="single" w:color="auto" w:sz="4" w:space="0"/>
            </w:tcBorders>
            <w:shd w:val="clear" w:color="auto" w:fill="auto"/>
            <w:noWrap/>
            <w:vAlign w:val="bottom"/>
          </w:tcPr>
          <w:p w14:paraId="36B93E87">
            <w:pPr>
              <w:pStyle w:val="3361"/>
              <w:rPr>
                <w:rFonts w:hint="eastAsia"/>
                <w:color w:val="auto"/>
              </w:rPr>
            </w:pPr>
            <w:r>
              <w:rPr>
                <w:rFonts w:hint="eastAsia"/>
                <w:color w:val="auto"/>
                <w:lang w:val="en-US" w:eastAsia="zh-CN"/>
              </w:rPr>
              <w:t>4.11E+01</w:t>
            </w:r>
          </w:p>
        </w:tc>
      </w:tr>
      <w:tr w14:paraId="1FDD916C">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18D2E05B">
            <w:pPr>
              <w:pStyle w:val="3361"/>
              <w:rPr>
                <w:rFonts w:hint="eastAsia"/>
                <w:color w:val="auto"/>
              </w:rPr>
            </w:pPr>
            <w:r>
              <w:rPr>
                <w:rFonts w:hint="eastAsia"/>
                <w:color w:val="auto"/>
                <w:lang w:val="en-US" w:eastAsia="zh-CN"/>
              </w:rPr>
              <w:t>50</w:t>
            </w:r>
          </w:p>
        </w:tc>
        <w:tc>
          <w:tcPr>
            <w:tcW w:w="1378" w:type="dxa"/>
            <w:tcBorders>
              <w:top w:val="nil"/>
              <w:left w:val="nil"/>
              <w:bottom w:val="single" w:color="auto" w:sz="4" w:space="0"/>
              <w:right w:val="single" w:color="auto" w:sz="4" w:space="0"/>
            </w:tcBorders>
            <w:shd w:val="clear" w:color="auto" w:fill="auto"/>
            <w:noWrap/>
            <w:vAlign w:val="bottom"/>
          </w:tcPr>
          <w:p w14:paraId="6E65A1DE">
            <w:pPr>
              <w:pStyle w:val="3361"/>
              <w:rPr>
                <w:rFonts w:hint="eastAsia"/>
                <w:color w:val="auto"/>
              </w:rPr>
            </w:pPr>
            <w:r>
              <w:rPr>
                <w:rFonts w:hint="eastAsia"/>
                <w:color w:val="auto"/>
                <w:lang w:val="en-US" w:eastAsia="zh-CN"/>
              </w:rPr>
              <w:t>1.87E+01</w:t>
            </w:r>
          </w:p>
        </w:tc>
        <w:tc>
          <w:tcPr>
            <w:tcW w:w="1265" w:type="dxa"/>
            <w:tcBorders>
              <w:top w:val="nil"/>
              <w:left w:val="nil"/>
              <w:bottom w:val="single" w:color="auto" w:sz="4" w:space="0"/>
              <w:right w:val="single" w:color="auto" w:sz="4" w:space="0"/>
            </w:tcBorders>
            <w:shd w:val="clear" w:color="auto" w:fill="auto"/>
            <w:noWrap/>
            <w:vAlign w:val="bottom"/>
          </w:tcPr>
          <w:p w14:paraId="5ED53105">
            <w:pPr>
              <w:pStyle w:val="3361"/>
              <w:rPr>
                <w:rFonts w:hint="eastAsia"/>
                <w:color w:val="auto"/>
              </w:rPr>
            </w:pPr>
            <w:r>
              <w:rPr>
                <w:rFonts w:hint="eastAsia"/>
                <w:color w:val="auto"/>
                <w:lang w:val="en-US" w:eastAsia="zh-CN"/>
              </w:rPr>
              <w:t>50</w:t>
            </w:r>
          </w:p>
        </w:tc>
        <w:tc>
          <w:tcPr>
            <w:tcW w:w="1926" w:type="dxa"/>
            <w:tcBorders>
              <w:top w:val="nil"/>
              <w:left w:val="nil"/>
              <w:bottom w:val="single" w:color="auto" w:sz="4" w:space="0"/>
              <w:right w:val="single" w:color="auto" w:sz="4" w:space="0"/>
            </w:tcBorders>
            <w:shd w:val="clear" w:color="auto" w:fill="auto"/>
            <w:noWrap/>
            <w:vAlign w:val="bottom"/>
          </w:tcPr>
          <w:p w14:paraId="089A37C7">
            <w:pPr>
              <w:pStyle w:val="3361"/>
              <w:rPr>
                <w:rFonts w:hint="eastAsia"/>
                <w:color w:val="auto"/>
              </w:rPr>
            </w:pPr>
            <w:r>
              <w:rPr>
                <w:rFonts w:hint="eastAsia"/>
                <w:color w:val="auto"/>
                <w:lang w:val="en-US" w:eastAsia="zh-CN"/>
              </w:rPr>
              <w:t>2.23E+02</w:t>
            </w:r>
          </w:p>
        </w:tc>
        <w:tc>
          <w:tcPr>
            <w:tcW w:w="1159" w:type="dxa"/>
            <w:tcBorders>
              <w:top w:val="nil"/>
              <w:left w:val="nil"/>
              <w:bottom w:val="single" w:color="auto" w:sz="4" w:space="0"/>
              <w:right w:val="single" w:color="auto" w:sz="4" w:space="0"/>
            </w:tcBorders>
            <w:shd w:val="clear" w:color="auto" w:fill="auto"/>
            <w:noWrap/>
            <w:vAlign w:val="bottom"/>
          </w:tcPr>
          <w:p w14:paraId="498DF094">
            <w:pPr>
              <w:pStyle w:val="3361"/>
              <w:rPr>
                <w:rFonts w:hint="eastAsia"/>
                <w:color w:val="auto"/>
              </w:rPr>
            </w:pPr>
            <w:r>
              <w:rPr>
                <w:rFonts w:hint="eastAsia"/>
                <w:color w:val="auto"/>
                <w:lang w:val="en-US" w:eastAsia="zh-CN"/>
              </w:rPr>
              <w:t>50</w:t>
            </w:r>
          </w:p>
        </w:tc>
        <w:tc>
          <w:tcPr>
            <w:tcW w:w="1777" w:type="dxa"/>
            <w:tcBorders>
              <w:top w:val="nil"/>
              <w:left w:val="nil"/>
              <w:bottom w:val="single" w:color="auto" w:sz="4" w:space="0"/>
              <w:right w:val="single" w:color="auto" w:sz="4" w:space="0"/>
            </w:tcBorders>
            <w:shd w:val="clear" w:color="auto" w:fill="auto"/>
            <w:noWrap/>
            <w:vAlign w:val="bottom"/>
          </w:tcPr>
          <w:p w14:paraId="75612262">
            <w:pPr>
              <w:pStyle w:val="3361"/>
              <w:rPr>
                <w:rFonts w:hint="eastAsia"/>
                <w:color w:val="auto"/>
              </w:rPr>
            </w:pPr>
            <w:r>
              <w:rPr>
                <w:rFonts w:hint="eastAsia"/>
                <w:color w:val="auto"/>
                <w:lang w:val="en-US" w:eastAsia="zh-CN"/>
              </w:rPr>
              <w:t>4.40E+01</w:t>
            </w:r>
          </w:p>
        </w:tc>
      </w:tr>
      <w:tr w14:paraId="5545DE26">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4C1C8EEE">
            <w:pPr>
              <w:pStyle w:val="3361"/>
              <w:rPr>
                <w:rFonts w:hint="eastAsia"/>
                <w:color w:val="auto"/>
              </w:rPr>
            </w:pPr>
            <w:r>
              <w:rPr>
                <w:rFonts w:hint="eastAsia"/>
                <w:color w:val="auto"/>
                <w:lang w:val="en-US" w:eastAsia="zh-CN"/>
              </w:rPr>
              <w:t>55</w:t>
            </w:r>
          </w:p>
        </w:tc>
        <w:tc>
          <w:tcPr>
            <w:tcW w:w="1378" w:type="dxa"/>
            <w:tcBorders>
              <w:top w:val="nil"/>
              <w:left w:val="nil"/>
              <w:bottom w:val="single" w:color="auto" w:sz="4" w:space="0"/>
              <w:right w:val="single" w:color="auto" w:sz="4" w:space="0"/>
            </w:tcBorders>
            <w:shd w:val="clear" w:color="auto" w:fill="auto"/>
            <w:noWrap/>
            <w:vAlign w:val="bottom"/>
          </w:tcPr>
          <w:p w14:paraId="0ACCDD16">
            <w:pPr>
              <w:pStyle w:val="3361"/>
              <w:rPr>
                <w:rFonts w:hint="eastAsia"/>
                <w:color w:val="auto"/>
              </w:rPr>
            </w:pPr>
            <w:r>
              <w:rPr>
                <w:rFonts w:hint="eastAsia"/>
                <w:color w:val="auto"/>
                <w:lang w:val="en-US" w:eastAsia="zh-CN"/>
              </w:rPr>
              <w:t>8.73E+00</w:t>
            </w:r>
          </w:p>
        </w:tc>
        <w:tc>
          <w:tcPr>
            <w:tcW w:w="1265" w:type="dxa"/>
            <w:tcBorders>
              <w:top w:val="nil"/>
              <w:left w:val="nil"/>
              <w:bottom w:val="single" w:color="auto" w:sz="4" w:space="0"/>
              <w:right w:val="single" w:color="auto" w:sz="4" w:space="0"/>
            </w:tcBorders>
            <w:shd w:val="clear" w:color="auto" w:fill="auto"/>
            <w:noWrap/>
            <w:vAlign w:val="bottom"/>
          </w:tcPr>
          <w:p w14:paraId="57833E14">
            <w:pPr>
              <w:pStyle w:val="3361"/>
              <w:rPr>
                <w:rFonts w:hint="eastAsia"/>
                <w:color w:val="auto"/>
              </w:rPr>
            </w:pPr>
            <w:r>
              <w:rPr>
                <w:rFonts w:hint="eastAsia"/>
                <w:color w:val="auto"/>
                <w:lang w:val="en-US" w:eastAsia="zh-CN"/>
              </w:rPr>
              <w:t>55</w:t>
            </w:r>
          </w:p>
        </w:tc>
        <w:tc>
          <w:tcPr>
            <w:tcW w:w="1926" w:type="dxa"/>
            <w:tcBorders>
              <w:top w:val="nil"/>
              <w:left w:val="nil"/>
              <w:bottom w:val="single" w:color="auto" w:sz="4" w:space="0"/>
              <w:right w:val="single" w:color="auto" w:sz="4" w:space="0"/>
            </w:tcBorders>
            <w:shd w:val="clear" w:color="auto" w:fill="auto"/>
            <w:noWrap/>
            <w:vAlign w:val="bottom"/>
          </w:tcPr>
          <w:p w14:paraId="2A04F002">
            <w:pPr>
              <w:pStyle w:val="3361"/>
              <w:rPr>
                <w:rFonts w:hint="eastAsia"/>
                <w:color w:val="auto"/>
              </w:rPr>
            </w:pPr>
            <w:r>
              <w:rPr>
                <w:rFonts w:hint="eastAsia"/>
                <w:color w:val="auto"/>
                <w:lang w:val="en-US" w:eastAsia="zh-CN"/>
              </w:rPr>
              <w:t>2.28E+02</w:t>
            </w:r>
          </w:p>
        </w:tc>
        <w:tc>
          <w:tcPr>
            <w:tcW w:w="1159" w:type="dxa"/>
            <w:tcBorders>
              <w:top w:val="nil"/>
              <w:left w:val="nil"/>
              <w:bottom w:val="single" w:color="auto" w:sz="4" w:space="0"/>
              <w:right w:val="single" w:color="auto" w:sz="4" w:space="0"/>
            </w:tcBorders>
            <w:shd w:val="clear" w:color="auto" w:fill="auto"/>
            <w:noWrap/>
            <w:vAlign w:val="bottom"/>
          </w:tcPr>
          <w:p w14:paraId="6BB82620">
            <w:pPr>
              <w:pStyle w:val="3361"/>
              <w:rPr>
                <w:rFonts w:hint="eastAsia"/>
                <w:color w:val="auto"/>
              </w:rPr>
            </w:pPr>
            <w:r>
              <w:rPr>
                <w:rFonts w:hint="eastAsia"/>
                <w:color w:val="auto"/>
                <w:lang w:val="en-US" w:eastAsia="zh-CN"/>
              </w:rPr>
              <w:t>55</w:t>
            </w:r>
          </w:p>
        </w:tc>
        <w:tc>
          <w:tcPr>
            <w:tcW w:w="1777" w:type="dxa"/>
            <w:tcBorders>
              <w:top w:val="nil"/>
              <w:left w:val="nil"/>
              <w:bottom w:val="single" w:color="auto" w:sz="4" w:space="0"/>
              <w:right w:val="single" w:color="auto" w:sz="4" w:space="0"/>
            </w:tcBorders>
            <w:shd w:val="clear" w:color="auto" w:fill="auto"/>
            <w:noWrap/>
            <w:vAlign w:val="bottom"/>
          </w:tcPr>
          <w:p w14:paraId="70BAFFC5">
            <w:pPr>
              <w:pStyle w:val="3361"/>
              <w:rPr>
                <w:rFonts w:hint="eastAsia"/>
                <w:color w:val="auto"/>
              </w:rPr>
            </w:pPr>
            <w:r>
              <w:rPr>
                <w:rFonts w:hint="eastAsia"/>
                <w:color w:val="auto"/>
                <w:lang w:val="en-US" w:eastAsia="zh-CN"/>
              </w:rPr>
              <w:t>4.69E+01</w:t>
            </w:r>
          </w:p>
        </w:tc>
      </w:tr>
      <w:tr w14:paraId="3075F302">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56AC9867">
            <w:pPr>
              <w:pStyle w:val="3361"/>
              <w:rPr>
                <w:rFonts w:hint="eastAsia"/>
                <w:color w:val="auto"/>
              </w:rPr>
            </w:pPr>
            <w:r>
              <w:rPr>
                <w:rFonts w:hint="eastAsia"/>
                <w:color w:val="auto"/>
                <w:lang w:val="en-US" w:eastAsia="zh-CN"/>
              </w:rPr>
              <w:t>60</w:t>
            </w:r>
          </w:p>
        </w:tc>
        <w:tc>
          <w:tcPr>
            <w:tcW w:w="1378" w:type="dxa"/>
            <w:tcBorders>
              <w:top w:val="nil"/>
              <w:left w:val="nil"/>
              <w:bottom w:val="single" w:color="auto" w:sz="4" w:space="0"/>
              <w:right w:val="single" w:color="auto" w:sz="4" w:space="0"/>
            </w:tcBorders>
            <w:shd w:val="clear" w:color="auto" w:fill="auto"/>
            <w:noWrap/>
            <w:vAlign w:val="bottom"/>
          </w:tcPr>
          <w:p w14:paraId="5114CE78">
            <w:pPr>
              <w:pStyle w:val="3361"/>
              <w:rPr>
                <w:rFonts w:hint="eastAsia"/>
                <w:color w:val="auto"/>
              </w:rPr>
            </w:pPr>
            <w:r>
              <w:rPr>
                <w:rFonts w:hint="eastAsia"/>
                <w:color w:val="auto"/>
                <w:lang w:val="en-US" w:eastAsia="zh-CN"/>
              </w:rPr>
              <w:t>4.25E+00</w:t>
            </w:r>
          </w:p>
        </w:tc>
        <w:tc>
          <w:tcPr>
            <w:tcW w:w="1265" w:type="dxa"/>
            <w:tcBorders>
              <w:top w:val="nil"/>
              <w:left w:val="nil"/>
              <w:bottom w:val="single" w:color="auto" w:sz="4" w:space="0"/>
              <w:right w:val="single" w:color="auto" w:sz="4" w:space="0"/>
            </w:tcBorders>
            <w:shd w:val="clear" w:color="auto" w:fill="auto"/>
            <w:noWrap/>
            <w:vAlign w:val="bottom"/>
          </w:tcPr>
          <w:p w14:paraId="667B4DD1">
            <w:pPr>
              <w:pStyle w:val="3361"/>
              <w:rPr>
                <w:rFonts w:hint="eastAsia"/>
                <w:color w:val="auto"/>
              </w:rPr>
            </w:pPr>
            <w:r>
              <w:rPr>
                <w:rFonts w:hint="eastAsia"/>
                <w:color w:val="auto"/>
                <w:lang w:val="en-US" w:eastAsia="zh-CN"/>
              </w:rPr>
              <w:t>60</w:t>
            </w:r>
          </w:p>
        </w:tc>
        <w:tc>
          <w:tcPr>
            <w:tcW w:w="1926" w:type="dxa"/>
            <w:tcBorders>
              <w:top w:val="nil"/>
              <w:left w:val="nil"/>
              <w:bottom w:val="single" w:color="auto" w:sz="4" w:space="0"/>
              <w:right w:val="single" w:color="auto" w:sz="4" w:space="0"/>
            </w:tcBorders>
            <w:shd w:val="clear" w:color="auto" w:fill="auto"/>
            <w:noWrap/>
            <w:vAlign w:val="bottom"/>
          </w:tcPr>
          <w:p w14:paraId="1CE3E47A">
            <w:pPr>
              <w:pStyle w:val="3361"/>
              <w:rPr>
                <w:rFonts w:hint="eastAsia"/>
                <w:color w:val="auto"/>
              </w:rPr>
            </w:pPr>
            <w:r>
              <w:rPr>
                <w:rFonts w:hint="eastAsia"/>
                <w:color w:val="auto"/>
                <w:lang w:val="en-US" w:eastAsia="zh-CN"/>
              </w:rPr>
              <w:t>2.30E+02</w:t>
            </w:r>
          </w:p>
        </w:tc>
        <w:tc>
          <w:tcPr>
            <w:tcW w:w="1159" w:type="dxa"/>
            <w:tcBorders>
              <w:top w:val="nil"/>
              <w:left w:val="nil"/>
              <w:bottom w:val="single" w:color="auto" w:sz="4" w:space="0"/>
              <w:right w:val="single" w:color="auto" w:sz="4" w:space="0"/>
            </w:tcBorders>
            <w:shd w:val="clear" w:color="auto" w:fill="auto"/>
            <w:noWrap/>
            <w:vAlign w:val="bottom"/>
          </w:tcPr>
          <w:p w14:paraId="043CEAAD">
            <w:pPr>
              <w:pStyle w:val="3361"/>
              <w:rPr>
                <w:rFonts w:hint="eastAsia"/>
                <w:color w:val="auto"/>
              </w:rPr>
            </w:pPr>
            <w:r>
              <w:rPr>
                <w:rFonts w:hint="eastAsia"/>
                <w:color w:val="auto"/>
                <w:lang w:val="en-US" w:eastAsia="zh-CN"/>
              </w:rPr>
              <w:t>60</w:t>
            </w:r>
          </w:p>
        </w:tc>
        <w:tc>
          <w:tcPr>
            <w:tcW w:w="1777" w:type="dxa"/>
            <w:tcBorders>
              <w:top w:val="nil"/>
              <w:left w:val="nil"/>
              <w:bottom w:val="single" w:color="auto" w:sz="4" w:space="0"/>
              <w:right w:val="single" w:color="auto" w:sz="4" w:space="0"/>
            </w:tcBorders>
            <w:shd w:val="clear" w:color="auto" w:fill="auto"/>
            <w:noWrap/>
            <w:vAlign w:val="bottom"/>
          </w:tcPr>
          <w:p w14:paraId="508BAB9A">
            <w:pPr>
              <w:pStyle w:val="3361"/>
              <w:rPr>
                <w:rFonts w:hint="eastAsia"/>
                <w:color w:val="auto"/>
              </w:rPr>
            </w:pPr>
            <w:r>
              <w:rPr>
                <w:rFonts w:hint="eastAsia"/>
                <w:color w:val="auto"/>
                <w:lang w:val="en-US" w:eastAsia="zh-CN"/>
              </w:rPr>
              <w:t>4.99E+01</w:t>
            </w:r>
          </w:p>
        </w:tc>
      </w:tr>
      <w:tr w14:paraId="43602BE5">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4E749B80">
            <w:pPr>
              <w:pStyle w:val="3361"/>
              <w:rPr>
                <w:rFonts w:hint="eastAsia"/>
                <w:color w:val="auto"/>
              </w:rPr>
            </w:pPr>
            <w:r>
              <w:rPr>
                <w:rFonts w:hint="eastAsia"/>
                <w:color w:val="auto"/>
                <w:lang w:val="en-US" w:eastAsia="zh-CN"/>
              </w:rPr>
              <w:t>65</w:t>
            </w:r>
          </w:p>
        </w:tc>
        <w:tc>
          <w:tcPr>
            <w:tcW w:w="1378" w:type="dxa"/>
            <w:tcBorders>
              <w:top w:val="nil"/>
              <w:left w:val="nil"/>
              <w:bottom w:val="single" w:color="auto" w:sz="4" w:space="0"/>
              <w:right w:val="single" w:color="auto" w:sz="4" w:space="0"/>
            </w:tcBorders>
            <w:shd w:val="clear" w:color="auto" w:fill="auto"/>
            <w:noWrap/>
            <w:vAlign w:val="bottom"/>
          </w:tcPr>
          <w:p w14:paraId="466ABA27">
            <w:pPr>
              <w:pStyle w:val="3361"/>
              <w:rPr>
                <w:rFonts w:hint="eastAsia"/>
                <w:color w:val="auto"/>
              </w:rPr>
            </w:pPr>
            <w:r>
              <w:rPr>
                <w:rFonts w:hint="eastAsia"/>
                <w:color w:val="auto"/>
                <w:lang w:val="en-US" w:eastAsia="zh-CN"/>
              </w:rPr>
              <w:t>2.40E+00</w:t>
            </w:r>
          </w:p>
        </w:tc>
        <w:tc>
          <w:tcPr>
            <w:tcW w:w="1265" w:type="dxa"/>
            <w:tcBorders>
              <w:top w:val="nil"/>
              <w:left w:val="nil"/>
              <w:bottom w:val="single" w:color="auto" w:sz="4" w:space="0"/>
              <w:right w:val="single" w:color="auto" w:sz="4" w:space="0"/>
            </w:tcBorders>
            <w:shd w:val="clear" w:color="auto" w:fill="auto"/>
            <w:noWrap/>
            <w:vAlign w:val="bottom"/>
          </w:tcPr>
          <w:p w14:paraId="48AFB4FB">
            <w:pPr>
              <w:pStyle w:val="3361"/>
              <w:rPr>
                <w:rFonts w:hint="eastAsia"/>
                <w:color w:val="auto"/>
              </w:rPr>
            </w:pPr>
            <w:r>
              <w:rPr>
                <w:rFonts w:hint="eastAsia"/>
                <w:color w:val="auto"/>
                <w:lang w:val="en-US" w:eastAsia="zh-CN"/>
              </w:rPr>
              <w:t>65</w:t>
            </w:r>
          </w:p>
        </w:tc>
        <w:tc>
          <w:tcPr>
            <w:tcW w:w="1926" w:type="dxa"/>
            <w:tcBorders>
              <w:top w:val="nil"/>
              <w:left w:val="nil"/>
              <w:bottom w:val="single" w:color="auto" w:sz="4" w:space="0"/>
              <w:right w:val="single" w:color="auto" w:sz="4" w:space="0"/>
            </w:tcBorders>
            <w:shd w:val="clear" w:color="auto" w:fill="auto"/>
            <w:noWrap/>
            <w:vAlign w:val="bottom"/>
          </w:tcPr>
          <w:p w14:paraId="11E4F385">
            <w:pPr>
              <w:pStyle w:val="3361"/>
              <w:rPr>
                <w:rFonts w:hint="eastAsia"/>
                <w:color w:val="auto"/>
              </w:rPr>
            </w:pPr>
            <w:r>
              <w:rPr>
                <w:rFonts w:hint="eastAsia"/>
                <w:color w:val="auto"/>
                <w:lang w:val="en-US" w:eastAsia="zh-CN"/>
              </w:rPr>
              <w:t>2.29E+02</w:t>
            </w:r>
          </w:p>
        </w:tc>
        <w:tc>
          <w:tcPr>
            <w:tcW w:w="1159" w:type="dxa"/>
            <w:tcBorders>
              <w:top w:val="nil"/>
              <w:left w:val="nil"/>
              <w:bottom w:val="single" w:color="auto" w:sz="4" w:space="0"/>
              <w:right w:val="single" w:color="auto" w:sz="4" w:space="0"/>
            </w:tcBorders>
            <w:shd w:val="clear" w:color="auto" w:fill="auto"/>
            <w:noWrap/>
            <w:vAlign w:val="bottom"/>
          </w:tcPr>
          <w:p w14:paraId="263E0907">
            <w:pPr>
              <w:pStyle w:val="3361"/>
              <w:rPr>
                <w:rFonts w:hint="eastAsia"/>
                <w:color w:val="auto"/>
              </w:rPr>
            </w:pPr>
            <w:r>
              <w:rPr>
                <w:rFonts w:hint="eastAsia"/>
                <w:color w:val="auto"/>
                <w:lang w:val="en-US" w:eastAsia="zh-CN"/>
              </w:rPr>
              <w:t>65</w:t>
            </w:r>
          </w:p>
        </w:tc>
        <w:tc>
          <w:tcPr>
            <w:tcW w:w="1777" w:type="dxa"/>
            <w:tcBorders>
              <w:top w:val="nil"/>
              <w:left w:val="nil"/>
              <w:bottom w:val="single" w:color="auto" w:sz="4" w:space="0"/>
              <w:right w:val="single" w:color="auto" w:sz="4" w:space="0"/>
            </w:tcBorders>
            <w:shd w:val="clear" w:color="auto" w:fill="auto"/>
            <w:noWrap/>
            <w:vAlign w:val="bottom"/>
          </w:tcPr>
          <w:p w14:paraId="7286A0AE">
            <w:pPr>
              <w:pStyle w:val="3361"/>
              <w:rPr>
                <w:rFonts w:hint="eastAsia"/>
                <w:color w:val="auto"/>
              </w:rPr>
            </w:pPr>
            <w:r>
              <w:rPr>
                <w:rFonts w:hint="eastAsia"/>
                <w:color w:val="auto"/>
                <w:lang w:val="en-US" w:eastAsia="zh-CN"/>
              </w:rPr>
              <w:t>5.30E+01</w:t>
            </w:r>
          </w:p>
        </w:tc>
      </w:tr>
      <w:tr w14:paraId="30536E1B">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441CD0D8">
            <w:pPr>
              <w:pStyle w:val="3361"/>
              <w:rPr>
                <w:rFonts w:hint="eastAsia"/>
                <w:color w:val="auto"/>
              </w:rPr>
            </w:pPr>
            <w:r>
              <w:rPr>
                <w:rFonts w:hint="eastAsia"/>
                <w:color w:val="auto"/>
                <w:lang w:val="en-US" w:eastAsia="zh-CN"/>
              </w:rPr>
              <w:t>70</w:t>
            </w:r>
          </w:p>
        </w:tc>
        <w:tc>
          <w:tcPr>
            <w:tcW w:w="1378" w:type="dxa"/>
            <w:tcBorders>
              <w:top w:val="nil"/>
              <w:left w:val="nil"/>
              <w:bottom w:val="single" w:color="auto" w:sz="4" w:space="0"/>
              <w:right w:val="single" w:color="auto" w:sz="4" w:space="0"/>
            </w:tcBorders>
            <w:shd w:val="clear" w:color="auto" w:fill="auto"/>
            <w:noWrap/>
            <w:vAlign w:val="bottom"/>
          </w:tcPr>
          <w:p w14:paraId="4BD8324D">
            <w:pPr>
              <w:pStyle w:val="3361"/>
              <w:rPr>
                <w:rFonts w:hint="eastAsia"/>
                <w:color w:val="auto"/>
              </w:rPr>
            </w:pPr>
            <w:r>
              <w:rPr>
                <w:rFonts w:hint="eastAsia"/>
                <w:color w:val="auto"/>
                <w:lang w:val="en-US" w:eastAsia="zh-CN"/>
              </w:rPr>
              <w:t>1.70E+00</w:t>
            </w:r>
          </w:p>
        </w:tc>
        <w:tc>
          <w:tcPr>
            <w:tcW w:w="1265" w:type="dxa"/>
            <w:tcBorders>
              <w:top w:val="nil"/>
              <w:left w:val="nil"/>
              <w:bottom w:val="single" w:color="auto" w:sz="4" w:space="0"/>
              <w:right w:val="single" w:color="auto" w:sz="4" w:space="0"/>
            </w:tcBorders>
            <w:shd w:val="clear" w:color="auto" w:fill="auto"/>
            <w:noWrap/>
            <w:vAlign w:val="bottom"/>
          </w:tcPr>
          <w:p w14:paraId="014F478B">
            <w:pPr>
              <w:pStyle w:val="3361"/>
              <w:rPr>
                <w:rFonts w:hint="eastAsia"/>
                <w:color w:val="auto"/>
              </w:rPr>
            </w:pPr>
            <w:r>
              <w:rPr>
                <w:rFonts w:hint="eastAsia"/>
                <w:color w:val="auto"/>
                <w:lang w:val="en-US" w:eastAsia="zh-CN"/>
              </w:rPr>
              <w:t>70</w:t>
            </w:r>
          </w:p>
        </w:tc>
        <w:tc>
          <w:tcPr>
            <w:tcW w:w="1926" w:type="dxa"/>
            <w:tcBorders>
              <w:top w:val="nil"/>
              <w:left w:val="nil"/>
              <w:bottom w:val="single" w:color="auto" w:sz="4" w:space="0"/>
              <w:right w:val="single" w:color="auto" w:sz="4" w:space="0"/>
            </w:tcBorders>
            <w:shd w:val="clear" w:color="auto" w:fill="auto"/>
            <w:noWrap/>
            <w:vAlign w:val="bottom"/>
          </w:tcPr>
          <w:p w14:paraId="7A4B6B3C">
            <w:pPr>
              <w:pStyle w:val="3361"/>
              <w:rPr>
                <w:rFonts w:hint="eastAsia"/>
                <w:color w:val="auto"/>
              </w:rPr>
            </w:pPr>
            <w:r>
              <w:rPr>
                <w:rFonts w:hint="eastAsia"/>
                <w:color w:val="auto"/>
                <w:lang w:val="en-US" w:eastAsia="zh-CN"/>
              </w:rPr>
              <w:t>2.26E+02</w:t>
            </w:r>
          </w:p>
        </w:tc>
        <w:tc>
          <w:tcPr>
            <w:tcW w:w="1159" w:type="dxa"/>
            <w:tcBorders>
              <w:top w:val="nil"/>
              <w:left w:val="nil"/>
              <w:bottom w:val="single" w:color="auto" w:sz="4" w:space="0"/>
              <w:right w:val="single" w:color="auto" w:sz="4" w:space="0"/>
            </w:tcBorders>
            <w:shd w:val="clear" w:color="auto" w:fill="auto"/>
            <w:noWrap/>
            <w:vAlign w:val="bottom"/>
          </w:tcPr>
          <w:p w14:paraId="2492F5F8">
            <w:pPr>
              <w:pStyle w:val="3361"/>
              <w:rPr>
                <w:rFonts w:hint="eastAsia"/>
                <w:color w:val="auto"/>
              </w:rPr>
            </w:pPr>
            <w:r>
              <w:rPr>
                <w:rFonts w:hint="eastAsia"/>
                <w:color w:val="auto"/>
                <w:lang w:val="en-US" w:eastAsia="zh-CN"/>
              </w:rPr>
              <w:t>70</w:t>
            </w:r>
          </w:p>
        </w:tc>
        <w:tc>
          <w:tcPr>
            <w:tcW w:w="1777" w:type="dxa"/>
            <w:tcBorders>
              <w:top w:val="nil"/>
              <w:left w:val="nil"/>
              <w:bottom w:val="single" w:color="auto" w:sz="4" w:space="0"/>
              <w:right w:val="single" w:color="auto" w:sz="4" w:space="0"/>
            </w:tcBorders>
            <w:shd w:val="clear" w:color="auto" w:fill="auto"/>
            <w:noWrap/>
            <w:vAlign w:val="bottom"/>
          </w:tcPr>
          <w:p w14:paraId="71F7E698">
            <w:pPr>
              <w:pStyle w:val="3361"/>
              <w:rPr>
                <w:rFonts w:hint="eastAsia"/>
                <w:color w:val="auto"/>
              </w:rPr>
            </w:pPr>
            <w:r>
              <w:rPr>
                <w:rFonts w:hint="eastAsia"/>
                <w:color w:val="auto"/>
                <w:lang w:val="en-US" w:eastAsia="zh-CN"/>
              </w:rPr>
              <w:t>5.61E+01</w:t>
            </w:r>
          </w:p>
        </w:tc>
      </w:tr>
      <w:tr w14:paraId="7016A891">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44E18639">
            <w:pPr>
              <w:pStyle w:val="3361"/>
              <w:rPr>
                <w:rFonts w:hint="eastAsia"/>
                <w:color w:val="auto"/>
              </w:rPr>
            </w:pPr>
            <w:r>
              <w:rPr>
                <w:rFonts w:hint="eastAsia"/>
                <w:color w:val="auto"/>
                <w:lang w:val="en-US" w:eastAsia="zh-CN"/>
              </w:rPr>
              <w:t>75</w:t>
            </w:r>
          </w:p>
        </w:tc>
        <w:tc>
          <w:tcPr>
            <w:tcW w:w="1378" w:type="dxa"/>
            <w:tcBorders>
              <w:top w:val="nil"/>
              <w:left w:val="nil"/>
              <w:bottom w:val="single" w:color="auto" w:sz="4" w:space="0"/>
              <w:right w:val="single" w:color="auto" w:sz="4" w:space="0"/>
            </w:tcBorders>
            <w:shd w:val="clear" w:color="auto" w:fill="auto"/>
            <w:noWrap/>
            <w:vAlign w:val="bottom"/>
          </w:tcPr>
          <w:p w14:paraId="527E5B97">
            <w:pPr>
              <w:pStyle w:val="3361"/>
              <w:rPr>
                <w:rFonts w:hint="eastAsia"/>
                <w:color w:val="auto"/>
              </w:rPr>
            </w:pPr>
            <w:r>
              <w:rPr>
                <w:rFonts w:hint="eastAsia"/>
                <w:color w:val="auto"/>
                <w:lang w:val="en-US" w:eastAsia="zh-CN"/>
              </w:rPr>
              <w:t>1.45E+00</w:t>
            </w:r>
          </w:p>
        </w:tc>
        <w:tc>
          <w:tcPr>
            <w:tcW w:w="1265" w:type="dxa"/>
            <w:tcBorders>
              <w:top w:val="nil"/>
              <w:left w:val="nil"/>
              <w:bottom w:val="single" w:color="auto" w:sz="4" w:space="0"/>
              <w:right w:val="single" w:color="auto" w:sz="4" w:space="0"/>
            </w:tcBorders>
            <w:shd w:val="clear" w:color="auto" w:fill="auto"/>
            <w:noWrap/>
            <w:vAlign w:val="bottom"/>
          </w:tcPr>
          <w:p w14:paraId="339E9702">
            <w:pPr>
              <w:pStyle w:val="3361"/>
              <w:rPr>
                <w:rFonts w:hint="eastAsia"/>
                <w:color w:val="auto"/>
              </w:rPr>
            </w:pPr>
            <w:r>
              <w:rPr>
                <w:rFonts w:hint="eastAsia"/>
                <w:color w:val="auto"/>
                <w:lang w:val="en-US" w:eastAsia="zh-CN"/>
              </w:rPr>
              <w:t>75</w:t>
            </w:r>
          </w:p>
        </w:tc>
        <w:tc>
          <w:tcPr>
            <w:tcW w:w="1926" w:type="dxa"/>
            <w:tcBorders>
              <w:top w:val="nil"/>
              <w:left w:val="nil"/>
              <w:bottom w:val="single" w:color="auto" w:sz="4" w:space="0"/>
              <w:right w:val="single" w:color="auto" w:sz="4" w:space="0"/>
            </w:tcBorders>
            <w:shd w:val="clear" w:color="auto" w:fill="auto"/>
            <w:noWrap/>
            <w:vAlign w:val="bottom"/>
          </w:tcPr>
          <w:p w14:paraId="0389CB8E">
            <w:pPr>
              <w:pStyle w:val="3361"/>
              <w:rPr>
                <w:rFonts w:hint="eastAsia"/>
                <w:color w:val="auto"/>
              </w:rPr>
            </w:pPr>
            <w:r>
              <w:rPr>
                <w:rFonts w:hint="eastAsia"/>
                <w:color w:val="auto"/>
                <w:lang w:val="en-US" w:eastAsia="zh-CN"/>
              </w:rPr>
              <w:t>2.20E+02</w:t>
            </w:r>
          </w:p>
        </w:tc>
        <w:tc>
          <w:tcPr>
            <w:tcW w:w="1159" w:type="dxa"/>
            <w:tcBorders>
              <w:top w:val="nil"/>
              <w:left w:val="nil"/>
              <w:bottom w:val="single" w:color="auto" w:sz="4" w:space="0"/>
              <w:right w:val="single" w:color="auto" w:sz="4" w:space="0"/>
            </w:tcBorders>
            <w:shd w:val="clear" w:color="auto" w:fill="auto"/>
            <w:noWrap/>
            <w:vAlign w:val="bottom"/>
          </w:tcPr>
          <w:p w14:paraId="12779ED6">
            <w:pPr>
              <w:pStyle w:val="3361"/>
              <w:rPr>
                <w:rFonts w:hint="eastAsia"/>
                <w:color w:val="auto"/>
              </w:rPr>
            </w:pPr>
            <w:r>
              <w:rPr>
                <w:rFonts w:hint="eastAsia"/>
                <w:color w:val="auto"/>
                <w:lang w:val="en-US" w:eastAsia="zh-CN"/>
              </w:rPr>
              <w:t>75</w:t>
            </w:r>
          </w:p>
        </w:tc>
        <w:tc>
          <w:tcPr>
            <w:tcW w:w="1777" w:type="dxa"/>
            <w:tcBorders>
              <w:top w:val="nil"/>
              <w:left w:val="nil"/>
              <w:bottom w:val="single" w:color="auto" w:sz="4" w:space="0"/>
              <w:right w:val="single" w:color="auto" w:sz="4" w:space="0"/>
            </w:tcBorders>
            <w:shd w:val="clear" w:color="auto" w:fill="auto"/>
            <w:noWrap/>
            <w:vAlign w:val="bottom"/>
          </w:tcPr>
          <w:p w14:paraId="14E1779E">
            <w:pPr>
              <w:pStyle w:val="3361"/>
              <w:rPr>
                <w:rFonts w:hint="eastAsia"/>
                <w:color w:val="auto"/>
              </w:rPr>
            </w:pPr>
            <w:r>
              <w:rPr>
                <w:rFonts w:hint="eastAsia"/>
                <w:color w:val="auto"/>
                <w:lang w:val="en-US" w:eastAsia="zh-CN"/>
              </w:rPr>
              <w:t>5.92E+01</w:t>
            </w:r>
          </w:p>
        </w:tc>
      </w:tr>
      <w:tr w14:paraId="671D28A0">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034630B8">
            <w:pPr>
              <w:pStyle w:val="3361"/>
              <w:rPr>
                <w:rFonts w:hint="eastAsia"/>
                <w:color w:val="auto"/>
              </w:rPr>
            </w:pPr>
            <w:r>
              <w:rPr>
                <w:rFonts w:hint="eastAsia"/>
                <w:color w:val="auto"/>
                <w:lang w:val="en-US" w:eastAsia="zh-CN"/>
              </w:rPr>
              <w:t>80</w:t>
            </w:r>
          </w:p>
        </w:tc>
        <w:tc>
          <w:tcPr>
            <w:tcW w:w="1378" w:type="dxa"/>
            <w:tcBorders>
              <w:top w:val="nil"/>
              <w:left w:val="nil"/>
              <w:bottom w:val="single" w:color="auto" w:sz="4" w:space="0"/>
              <w:right w:val="single" w:color="auto" w:sz="4" w:space="0"/>
            </w:tcBorders>
            <w:shd w:val="clear" w:color="auto" w:fill="auto"/>
            <w:noWrap/>
            <w:vAlign w:val="bottom"/>
          </w:tcPr>
          <w:p w14:paraId="29558FBE">
            <w:pPr>
              <w:pStyle w:val="3361"/>
              <w:rPr>
                <w:rFonts w:hint="eastAsia"/>
                <w:color w:val="auto"/>
              </w:rPr>
            </w:pPr>
            <w:r>
              <w:rPr>
                <w:rFonts w:hint="eastAsia"/>
                <w:color w:val="auto"/>
                <w:lang w:val="en-US" w:eastAsia="zh-CN"/>
              </w:rPr>
              <w:t>1.37E+00</w:t>
            </w:r>
          </w:p>
        </w:tc>
        <w:tc>
          <w:tcPr>
            <w:tcW w:w="1265" w:type="dxa"/>
            <w:tcBorders>
              <w:top w:val="nil"/>
              <w:left w:val="nil"/>
              <w:bottom w:val="single" w:color="auto" w:sz="4" w:space="0"/>
              <w:right w:val="single" w:color="auto" w:sz="4" w:space="0"/>
            </w:tcBorders>
            <w:shd w:val="clear" w:color="auto" w:fill="auto"/>
            <w:noWrap/>
            <w:vAlign w:val="bottom"/>
          </w:tcPr>
          <w:p w14:paraId="1B567D64">
            <w:pPr>
              <w:pStyle w:val="3361"/>
              <w:rPr>
                <w:rFonts w:hint="eastAsia"/>
                <w:color w:val="auto"/>
              </w:rPr>
            </w:pPr>
            <w:r>
              <w:rPr>
                <w:rFonts w:hint="eastAsia"/>
                <w:color w:val="auto"/>
                <w:lang w:val="en-US" w:eastAsia="zh-CN"/>
              </w:rPr>
              <w:t>80</w:t>
            </w:r>
          </w:p>
        </w:tc>
        <w:tc>
          <w:tcPr>
            <w:tcW w:w="1926" w:type="dxa"/>
            <w:tcBorders>
              <w:top w:val="nil"/>
              <w:left w:val="nil"/>
              <w:bottom w:val="single" w:color="auto" w:sz="4" w:space="0"/>
              <w:right w:val="single" w:color="auto" w:sz="4" w:space="0"/>
            </w:tcBorders>
            <w:shd w:val="clear" w:color="auto" w:fill="auto"/>
            <w:noWrap/>
            <w:vAlign w:val="bottom"/>
          </w:tcPr>
          <w:p w14:paraId="01B2DC93">
            <w:pPr>
              <w:pStyle w:val="3361"/>
              <w:rPr>
                <w:rFonts w:hint="eastAsia"/>
                <w:color w:val="auto"/>
              </w:rPr>
            </w:pPr>
            <w:r>
              <w:rPr>
                <w:rFonts w:hint="eastAsia"/>
                <w:color w:val="auto"/>
                <w:lang w:val="en-US" w:eastAsia="zh-CN"/>
              </w:rPr>
              <w:t>2.12E+02</w:t>
            </w:r>
          </w:p>
        </w:tc>
        <w:tc>
          <w:tcPr>
            <w:tcW w:w="1159" w:type="dxa"/>
            <w:tcBorders>
              <w:top w:val="nil"/>
              <w:left w:val="nil"/>
              <w:bottom w:val="single" w:color="auto" w:sz="4" w:space="0"/>
              <w:right w:val="single" w:color="auto" w:sz="4" w:space="0"/>
            </w:tcBorders>
            <w:shd w:val="clear" w:color="auto" w:fill="auto"/>
            <w:noWrap/>
            <w:vAlign w:val="bottom"/>
          </w:tcPr>
          <w:p w14:paraId="44B54FF7">
            <w:pPr>
              <w:pStyle w:val="3361"/>
              <w:rPr>
                <w:rFonts w:hint="eastAsia"/>
                <w:color w:val="auto"/>
              </w:rPr>
            </w:pPr>
            <w:r>
              <w:rPr>
                <w:rFonts w:hint="eastAsia"/>
                <w:color w:val="auto"/>
                <w:lang w:val="en-US" w:eastAsia="zh-CN"/>
              </w:rPr>
              <w:t>80</w:t>
            </w:r>
          </w:p>
        </w:tc>
        <w:tc>
          <w:tcPr>
            <w:tcW w:w="1777" w:type="dxa"/>
            <w:tcBorders>
              <w:top w:val="nil"/>
              <w:left w:val="nil"/>
              <w:bottom w:val="single" w:color="auto" w:sz="4" w:space="0"/>
              <w:right w:val="single" w:color="auto" w:sz="4" w:space="0"/>
            </w:tcBorders>
            <w:shd w:val="clear" w:color="auto" w:fill="auto"/>
            <w:noWrap/>
            <w:vAlign w:val="bottom"/>
          </w:tcPr>
          <w:p w14:paraId="4AAA7814">
            <w:pPr>
              <w:pStyle w:val="3361"/>
              <w:rPr>
                <w:rFonts w:hint="eastAsia"/>
                <w:color w:val="auto"/>
              </w:rPr>
            </w:pPr>
            <w:r>
              <w:rPr>
                <w:rFonts w:hint="eastAsia"/>
                <w:color w:val="auto"/>
                <w:lang w:val="en-US" w:eastAsia="zh-CN"/>
              </w:rPr>
              <w:t>6.23E+01</w:t>
            </w:r>
          </w:p>
        </w:tc>
      </w:tr>
      <w:tr w14:paraId="37D19CD1">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7B7555D1">
            <w:pPr>
              <w:pStyle w:val="3361"/>
              <w:rPr>
                <w:rFonts w:hint="eastAsia"/>
                <w:color w:val="auto"/>
              </w:rPr>
            </w:pPr>
            <w:r>
              <w:rPr>
                <w:rFonts w:hint="eastAsia"/>
                <w:color w:val="auto"/>
                <w:lang w:val="en-US" w:eastAsia="zh-CN"/>
              </w:rPr>
              <w:t>85</w:t>
            </w:r>
          </w:p>
        </w:tc>
        <w:tc>
          <w:tcPr>
            <w:tcW w:w="1378" w:type="dxa"/>
            <w:tcBorders>
              <w:top w:val="nil"/>
              <w:left w:val="nil"/>
              <w:bottom w:val="single" w:color="auto" w:sz="4" w:space="0"/>
              <w:right w:val="single" w:color="auto" w:sz="4" w:space="0"/>
            </w:tcBorders>
            <w:shd w:val="clear" w:color="auto" w:fill="auto"/>
            <w:noWrap/>
            <w:vAlign w:val="bottom"/>
          </w:tcPr>
          <w:p w14:paraId="06FBA178">
            <w:pPr>
              <w:pStyle w:val="3361"/>
              <w:rPr>
                <w:rFonts w:hint="eastAsia"/>
                <w:color w:val="auto"/>
              </w:rPr>
            </w:pPr>
            <w:r>
              <w:rPr>
                <w:rFonts w:hint="eastAsia"/>
                <w:color w:val="auto"/>
                <w:lang w:val="en-US" w:eastAsia="zh-CN"/>
              </w:rPr>
              <w:t>1.35E+00</w:t>
            </w:r>
          </w:p>
        </w:tc>
        <w:tc>
          <w:tcPr>
            <w:tcW w:w="1265" w:type="dxa"/>
            <w:tcBorders>
              <w:top w:val="nil"/>
              <w:left w:val="nil"/>
              <w:bottom w:val="single" w:color="auto" w:sz="4" w:space="0"/>
              <w:right w:val="single" w:color="auto" w:sz="4" w:space="0"/>
            </w:tcBorders>
            <w:shd w:val="clear" w:color="auto" w:fill="auto"/>
            <w:noWrap/>
            <w:vAlign w:val="bottom"/>
          </w:tcPr>
          <w:p w14:paraId="56A93055">
            <w:pPr>
              <w:pStyle w:val="3361"/>
              <w:rPr>
                <w:rFonts w:hint="eastAsia"/>
                <w:color w:val="auto"/>
              </w:rPr>
            </w:pPr>
            <w:r>
              <w:rPr>
                <w:rFonts w:hint="eastAsia"/>
                <w:color w:val="auto"/>
                <w:lang w:val="en-US" w:eastAsia="zh-CN"/>
              </w:rPr>
              <w:t>85</w:t>
            </w:r>
          </w:p>
        </w:tc>
        <w:tc>
          <w:tcPr>
            <w:tcW w:w="1926" w:type="dxa"/>
            <w:tcBorders>
              <w:top w:val="nil"/>
              <w:left w:val="nil"/>
              <w:bottom w:val="single" w:color="auto" w:sz="4" w:space="0"/>
              <w:right w:val="single" w:color="auto" w:sz="4" w:space="0"/>
            </w:tcBorders>
            <w:shd w:val="clear" w:color="auto" w:fill="auto"/>
            <w:noWrap/>
            <w:vAlign w:val="bottom"/>
          </w:tcPr>
          <w:p w14:paraId="26E7033C">
            <w:pPr>
              <w:pStyle w:val="3361"/>
              <w:rPr>
                <w:rFonts w:hint="eastAsia"/>
                <w:color w:val="auto"/>
              </w:rPr>
            </w:pPr>
            <w:r>
              <w:rPr>
                <w:rFonts w:hint="eastAsia"/>
                <w:color w:val="auto"/>
                <w:lang w:val="en-US" w:eastAsia="zh-CN"/>
              </w:rPr>
              <w:t>2.02E+02</w:t>
            </w:r>
          </w:p>
        </w:tc>
        <w:tc>
          <w:tcPr>
            <w:tcW w:w="1159" w:type="dxa"/>
            <w:tcBorders>
              <w:top w:val="nil"/>
              <w:left w:val="nil"/>
              <w:bottom w:val="single" w:color="auto" w:sz="4" w:space="0"/>
              <w:right w:val="single" w:color="auto" w:sz="4" w:space="0"/>
            </w:tcBorders>
            <w:shd w:val="clear" w:color="auto" w:fill="auto"/>
            <w:noWrap/>
            <w:vAlign w:val="bottom"/>
          </w:tcPr>
          <w:p w14:paraId="7A61371C">
            <w:pPr>
              <w:pStyle w:val="3361"/>
              <w:rPr>
                <w:rFonts w:hint="eastAsia"/>
                <w:color w:val="auto"/>
              </w:rPr>
            </w:pPr>
            <w:r>
              <w:rPr>
                <w:rFonts w:hint="eastAsia"/>
                <w:color w:val="auto"/>
                <w:lang w:val="en-US" w:eastAsia="zh-CN"/>
              </w:rPr>
              <w:t>85</w:t>
            </w:r>
          </w:p>
        </w:tc>
        <w:tc>
          <w:tcPr>
            <w:tcW w:w="1777" w:type="dxa"/>
            <w:tcBorders>
              <w:top w:val="nil"/>
              <w:left w:val="nil"/>
              <w:bottom w:val="single" w:color="auto" w:sz="4" w:space="0"/>
              <w:right w:val="single" w:color="auto" w:sz="4" w:space="0"/>
            </w:tcBorders>
            <w:shd w:val="clear" w:color="auto" w:fill="auto"/>
            <w:noWrap/>
            <w:vAlign w:val="bottom"/>
          </w:tcPr>
          <w:p w14:paraId="7475348C">
            <w:pPr>
              <w:pStyle w:val="3361"/>
              <w:rPr>
                <w:rFonts w:hint="eastAsia"/>
                <w:color w:val="auto"/>
              </w:rPr>
            </w:pPr>
            <w:r>
              <w:rPr>
                <w:rFonts w:hint="eastAsia"/>
                <w:color w:val="auto"/>
                <w:lang w:val="en-US" w:eastAsia="zh-CN"/>
              </w:rPr>
              <w:t>6.54E+01</w:t>
            </w:r>
          </w:p>
        </w:tc>
      </w:tr>
      <w:tr w14:paraId="4E4F7474">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69FAAEFA">
            <w:pPr>
              <w:pStyle w:val="3361"/>
              <w:rPr>
                <w:rFonts w:hint="eastAsia"/>
                <w:color w:val="auto"/>
              </w:rPr>
            </w:pPr>
            <w:r>
              <w:rPr>
                <w:rFonts w:hint="eastAsia"/>
                <w:color w:val="auto"/>
                <w:lang w:val="en-US" w:eastAsia="zh-CN"/>
              </w:rPr>
              <w:t>90</w:t>
            </w:r>
          </w:p>
        </w:tc>
        <w:tc>
          <w:tcPr>
            <w:tcW w:w="1378" w:type="dxa"/>
            <w:tcBorders>
              <w:top w:val="nil"/>
              <w:left w:val="nil"/>
              <w:bottom w:val="single" w:color="auto" w:sz="4" w:space="0"/>
              <w:right w:val="single" w:color="auto" w:sz="4" w:space="0"/>
            </w:tcBorders>
            <w:shd w:val="clear" w:color="auto" w:fill="auto"/>
            <w:noWrap/>
            <w:vAlign w:val="bottom"/>
          </w:tcPr>
          <w:p w14:paraId="6EDF40AF">
            <w:pPr>
              <w:pStyle w:val="3361"/>
              <w:rPr>
                <w:rFonts w:hint="eastAsia"/>
                <w:color w:val="auto"/>
              </w:rPr>
            </w:pPr>
            <w:r>
              <w:rPr>
                <w:rFonts w:hint="eastAsia"/>
                <w:color w:val="auto"/>
                <w:lang w:val="en-US" w:eastAsia="zh-CN"/>
              </w:rPr>
              <w:t>1.34E+00</w:t>
            </w:r>
          </w:p>
        </w:tc>
        <w:tc>
          <w:tcPr>
            <w:tcW w:w="1265" w:type="dxa"/>
            <w:tcBorders>
              <w:top w:val="nil"/>
              <w:left w:val="nil"/>
              <w:bottom w:val="single" w:color="auto" w:sz="4" w:space="0"/>
              <w:right w:val="single" w:color="auto" w:sz="4" w:space="0"/>
            </w:tcBorders>
            <w:shd w:val="clear" w:color="auto" w:fill="auto"/>
            <w:noWrap/>
            <w:vAlign w:val="bottom"/>
          </w:tcPr>
          <w:p w14:paraId="09D93289">
            <w:pPr>
              <w:pStyle w:val="3361"/>
              <w:rPr>
                <w:rFonts w:hint="eastAsia"/>
                <w:color w:val="auto"/>
              </w:rPr>
            </w:pPr>
            <w:r>
              <w:rPr>
                <w:rFonts w:hint="eastAsia"/>
                <w:color w:val="auto"/>
                <w:lang w:val="en-US" w:eastAsia="zh-CN"/>
              </w:rPr>
              <w:t>90</w:t>
            </w:r>
          </w:p>
        </w:tc>
        <w:tc>
          <w:tcPr>
            <w:tcW w:w="1926" w:type="dxa"/>
            <w:tcBorders>
              <w:top w:val="nil"/>
              <w:left w:val="nil"/>
              <w:bottom w:val="single" w:color="auto" w:sz="4" w:space="0"/>
              <w:right w:val="single" w:color="auto" w:sz="4" w:space="0"/>
            </w:tcBorders>
            <w:shd w:val="clear" w:color="auto" w:fill="auto"/>
            <w:noWrap/>
            <w:vAlign w:val="bottom"/>
          </w:tcPr>
          <w:p w14:paraId="31D58675">
            <w:pPr>
              <w:pStyle w:val="3361"/>
              <w:rPr>
                <w:rFonts w:hint="eastAsia"/>
                <w:color w:val="auto"/>
              </w:rPr>
            </w:pPr>
            <w:r>
              <w:rPr>
                <w:rFonts w:hint="eastAsia"/>
                <w:color w:val="auto"/>
                <w:lang w:val="en-US" w:eastAsia="zh-CN"/>
              </w:rPr>
              <w:t>1.90E+02</w:t>
            </w:r>
          </w:p>
        </w:tc>
        <w:tc>
          <w:tcPr>
            <w:tcW w:w="1159" w:type="dxa"/>
            <w:tcBorders>
              <w:top w:val="nil"/>
              <w:left w:val="nil"/>
              <w:bottom w:val="single" w:color="auto" w:sz="4" w:space="0"/>
              <w:right w:val="single" w:color="auto" w:sz="4" w:space="0"/>
            </w:tcBorders>
            <w:shd w:val="clear" w:color="auto" w:fill="auto"/>
            <w:noWrap/>
            <w:vAlign w:val="bottom"/>
          </w:tcPr>
          <w:p w14:paraId="0390AE4B">
            <w:pPr>
              <w:pStyle w:val="3361"/>
              <w:rPr>
                <w:rFonts w:hint="eastAsia"/>
                <w:color w:val="auto"/>
              </w:rPr>
            </w:pPr>
            <w:r>
              <w:rPr>
                <w:rFonts w:hint="eastAsia"/>
                <w:color w:val="auto"/>
                <w:lang w:val="en-US" w:eastAsia="zh-CN"/>
              </w:rPr>
              <w:t>90</w:t>
            </w:r>
          </w:p>
        </w:tc>
        <w:tc>
          <w:tcPr>
            <w:tcW w:w="1777" w:type="dxa"/>
            <w:tcBorders>
              <w:top w:val="nil"/>
              <w:left w:val="nil"/>
              <w:bottom w:val="single" w:color="auto" w:sz="4" w:space="0"/>
              <w:right w:val="single" w:color="auto" w:sz="4" w:space="0"/>
            </w:tcBorders>
            <w:shd w:val="clear" w:color="auto" w:fill="auto"/>
            <w:noWrap/>
            <w:vAlign w:val="bottom"/>
          </w:tcPr>
          <w:p w14:paraId="181E0A9C">
            <w:pPr>
              <w:pStyle w:val="3361"/>
              <w:rPr>
                <w:rFonts w:hint="eastAsia"/>
                <w:color w:val="auto"/>
              </w:rPr>
            </w:pPr>
            <w:r>
              <w:rPr>
                <w:rFonts w:hint="eastAsia"/>
                <w:color w:val="auto"/>
                <w:lang w:val="en-US" w:eastAsia="zh-CN"/>
              </w:rPr>
              <w:t>6.84E+01</w:t>
            </w:r>
          </w:p>
        </w:tc>
      </w:tr>
      <w:tr w14:paraId="4DDD42B7">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05A3DDBE">
            <w:pPr>
              <w:pStyle w:val="3361"/>
              <w:rPr>
                <w:rFonts w:hint="eastAsia"/>
                <w:color w:val="auto"/>
              </w:rPr>
            </w:pPr>
            <w:r>
              <w:rPr>
                <w:rFonts w:hint="eastAsia"/>
                <w:color w:val="auto"/>
                <w:lang w:val="en-US" w:eastAsia="zh-CN"/>
              </w:rPr>
              <w:t>95</w:t>
            </w:r>
          </w:p>
        </w:tc>
        <w:tc>
          <w:tcPr>
            <w:tcW w:w="1378" w:type="dxa"/>
            <w:tcBorders>
              <w:top w:val="nil"/>
              <w:left w:val="nil"/>
              <w:bottom w:val="single" w:color="auto" w:sz="4" w:space="0"/>
              <w:right w:val="single" w:color="auto" w:sz="4" w:space="0"/>
            </w:tcBorders>
            <w:shd w:val="clear" w:color="auto" w:fill="auto"/>
            <w:noWrap/>
            <w:vAlign w:val="bottom"/>
          </w:tcPr>
          <w:p w14:paraId="080FB0D3">
            <w:pPr>
              <w:pStyle w:val="3361"/>
              <w:rPr>
                <w:rFonts w:hint="eastAsia"/>
                <w:color w:val="auto"/>
              </w:rPr>
            </w:pPr>
            <w:r>
              <w:rPr>
                <w:rFonts w:hint="eastAsia"/>
                <w:color w:val="auto"/>
                <w:lang w:val="en-US" w:eastAsia="zh-CN"/>
              </w:rPr>
              <w:t>1.34E+00</w:t>
            </w:r>
          </w:p>
        </w:tc>
        <w:tc>
          <w:tcPr>
            <w:tcW w:w="1265" w:type="dxa"/>
            <w:tcBorders>
              <w:top w:val="nil"/>
              <w:left w:val="nil"/>
              <w:bottom w:val="single" w:color="auto" w:sz="4" w:space="0"/>
              <w:right w:val="single" w:color="auto" w:sz="4" w:space="0"/>
            </w:tcBorders>
            <w:shd w:val="clear" w:color="auto" w:fill="auto"/>
            <w:noWrap/>
            <w:vAlign w:val="bottom"/>
          </w:tcPr>
          <w:p w14:paraId="0020B6C3">
            <w:pPr>
              <w:pStyle w:val="3361"/>
              <w:rPr>
                <w:rFonts w:hint="eastAsia"/>
                <w:color w:val="auto"/>
              </w:rPr>
            </w:pPr>
            <w:r>
              <w:rPr>
                <w:rFonts w:hint="eastAsia"/>
                <w:color w:val="auto"/>
                <w:lang w:val="en-US" w:eastAsia="zh-CN"/>
              </w:rPr>
              <w:t>95</w:t>
            </w:r>
          </w:p>
        </w:tc>
        <w:tc>
          <w:tcPr>
            <w:tcW w:w="1926" w:type="dxa"/>
            <w:tcBorders>
              <w:top w:val="nil"/>
              <w:left w:val="nil"/>
              <w:bottom w:val="single" w:color="auto" w:sz="4" w:space="0"/>
              <w:right w:val="single" w:color="auto" w:sz="4" w:space="0"/>
            </w:tcBorders>
            <w:shd w:val="clear" w:color="auto" w:fill="auto"/>
            <w:noWrap/>
            <w:vAlign w:val="bottom"/>
          </w:tcPr>
          <w:p w14:paraId="0181A707">
            <w:pPr>
              <w:pStyle w:val="3361"/>
              <w:rPr>
                <w:rFonts w:hint="eastAsia"/>
                <w:color w:val="auto"/>
              </w:rPr>
            </w:pPr>
            <w:r>
              <w:rPr>
                <w:rFonts w:hint="eastAsia"/>
                <w:color w:val="auto"/>
                <w:lang w:val="en-US" w:eastAsia="zh-CN"/>
              </w:rPr>
              <w:t>1.77E+02</w:t>
            </w:r>
          </w:p>
        </w:tc>
        <w:tc>
          <w:tcPr>
            <w:tcW w:w="1159" w:type="dxa"/>
            <w:tcBorders>
              <w:top w:val="nil"/>
              <w:left w:val="nil"/>
              <w:bottom w:val="single" w:color="auto" w:sz="4" w:space="0"/>
              <w:right w:val="single" w:color="auto" w:sz="4" w:space="0"/>
            </w:tcBorders>
            <w:shd w:val="clear" w:color="auto" w:fill="auto"/>
            <w:noWrap/>
            <w:vAlign w:val="bottom"/>
          </w:tcPr>
          <w:p w14:paraId="218D8940">
            <w:pPr>
              <w:pStyle w:val="3361"/>
              <w:rPr>
                <w:rFonts w:hint="eastAsia"/>
                <w:color w:val="auto"/>
              </w:rPr>
            </w:pPr>
            <w:r>
              <w:rPr>
                <w:rFonts w:hint="eastAsia"/>
                <w:color w:val="auto"/>
                <w:lang w:val="en-US" w:eastAsia="zh-CN"/>
              </w:rPr>
              <w:t>95</w:t>
            </w:r>
          </w:p>
        </w:tc>
        <w:tc>
          <w:tcPr>
            <w:tcW w:w="1777" w:type="dxa"/>
            <w:tcBorders>
              <w:top w:val="nil"/>
              <w:left w:val="nil"/>
              <w:bottom w:val="single" w:color="auto" w:sz="4" w:space="0"/>
              <w:right w:val="single" w:color="auto" w:sz="4" w:space="0"/>
            </w:tcBorders>
            <w:shd w:val="clear" w:color="auto" w:fill="auto"/>
            <w:noWrap/>
            <w:vAlign w:val="bottom"/>
          </w:tcPr>
          <w:p w14:paraId="2F7D7444">
            <w:pPr>
              <w:pStyle w:val="3361"/>
              <w:rPr>
                <w:rFonts w:hint="eastAsia"/>
                <w:color w:val="auto"/>
              </w:rPr>
            </w:pPr>
            <w:r>
              <w:rPr>
                <w:rFonts w:hint="eastAsia"/>
                <w:color w:val="auto"/>
                <w:lang w:val="en-US" w:eastAsia="zh-CN"/>
              </w:rPr>
              <w:t>7.14E+01</w:t>
            </w:r>
          </w:p>
        </w:tc>
      </w:tr>
      <w:tr w14:paraId="57FF0202">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5225A442">
            <w:pPr>
              <w:pStyle w:val="3361"/>
              <w:rPr>
                <w:rFonts w:hint="eastAsia"/>
                <w:color w:val="auto"/>
              </w:rPr>
            </w:pPr>
            <w:r>
              <w:rPr>
                <w:rFonts w:hint="eastAsia"/>
                <w:color w:val="auto"/>
                <w:lang w:val="en-US" w:eastAsia="zh-CN"/>
              </w:rPr>
              <w:t>100</w:t>
            </w:r>
          </w:p>
        </w:tc>
        <w:tc>
          <w:tcPr>
            <w:tcW w:w="1378" w:type="dxa"/>
            <w:tcBorders>
              <w:top w:val="nil"/>
              <w:left w:val="nil"/>
              <w:bottom w:val="single" w:color="auto" w:sz="4" w:space="0"/>
              <w:right w:val="single" w:color="auto" w:sz="4" w:space="0"/>
            </w:tcBorders>
            <w:shd w:val="clear" w:color="auto" w:fill="auto"/>
            <w:noWrap/>
            <w:vAlign w:val="bottom"/>
          </w:tcPr>
          <w:p w14:paraId="4712C49A">
            <w:pPr>
              <w:pStyle w:val="3361"/>
              <w:rPr>
                <w:rFonts w:hint="eastAsia"/>
                <w:color w:val="auto"/>
              </w:rPr>
            </w:pPr>
            <w:r>
              <w:rPr>
                <w:rFonts w:hint="eastAsia"/>
                <w:color w:val="auto"/>
                <w:lang w:val="en-US" w:eastAsia="zh-CN"/>
              </w:rPr>
              <w:t>1.34E+00</w:t>
            </w:r>
          </w:p>
        </w:tc>
        <w:tc>
          <w:tcPr>
            <w:tcW w:w="1265" w:type="dxa"/>
            <w:tcBorders>
              <w:top w:val="nil"/>
              <w:left w:val="nil"/>
              <w:bottom w:val="single" w:color="auto" w:sz="4" w:space="0"/>
              <w:right w:val="single" w:color="auto" w:sz="4" w:space="0"/>
            </w:tcBorders>
            <w:shd w:val="clear" w:color="auto" w:fill="auto"/>
            <w:noWrap/>
            <w:vAlign w:val="bottom"/>
          </w:tcPr>
          <w:p w14:paraId="51ED397E">
            <w:pPr>
              <w:pStyle w:val="3361"/>
              <w:rPr>
                <w:rFonts w:hint="eastAsia"/>
                <w:color w:val="auto"/>
              </w:rPr>
            </w:pPr>
            <w:r>
              <w:rPr>
                <w:rFonts w:hint="eastAsia"/>
                <w:color w:val="auto"/>
                <w:lang w:val="en-US" w:eastAsia="zh-CN"/>
              </w:rPr>
              <w:t>100</w:t>
            </w:r>
          </w:p>
        </w:tc>
        <w:tc>
          <w:tcPr>
            <w:tcW w:w="1926" w:type="dxa"/>
            <w:tcBorders>
              <w:top w:val="nil"/>
              <w:left w:val="nil"/>
              <w:bottom w:val="single" w:color="auto" w:sz="4" w:space="0"/>
              <w:right w:val="single" w:color="auto" w:sz="4" w:space="0"/>
            </w:tcBorders>
            <w:shd w:val="clear" w:color="auto" w:fill="auto"/>
            <w:noWrap/>
            <w:vAlign w:val="bottom"/>
          </w:tcPr>
          <w:p w14:paraId="39A16CF5">
            <w:pPr>
              <w:pStyle w:val="3361"/>
              <w:rPr>
                <w:rFonts w:hint="eastAsia"/>
                <w:color w:val="auto"/>
              </w:rPr>
            </w:pPr>
            <w:r>
              <w:rPr>
                <w:rFonts w:hint="eastAsia"/>
                <w:color w:val="auto"/>
                <w:lang w:val="en-US" w:eastAsia="zh-CN"/>
              </w:rPr>
              <w:t>1.63E+02</w:t>
            </w:r>
          </w:p>
        </w:tc>
        <w:tc>
          <w:tcPr>
            <w:tcW w:w="1159" w:type="dxa"/>
            <w:tcBorders>
              <w:top w:val="nil"/>
              <w:left w:val="nil"/>
              <w:bottom w:val="single" w:color="auto" w:sz="4" w:space="0"/>
              <w:right w:val="single" w:color="auto" w:sz="4" w:space="0"/>
            </w:tcBorders>
            <w:shd w:val="clear" w:color="auto" w:fill="auto"/>
            <w:noWrap/>
            <w:vAlign w:val="bottom"/>
          </w:tcPr>
          <w:p w14:paraId="36D06C49">
            <w:pPr>
              <w:pStyle w:val="3361"/>
              <w:rPr>
                <w:rFonts w:hint="eastAsia"/>
                <w:color w:val="auto"/>
              </w:rPr>
            </w:pPr>
            <w:r>
              <w:rPr>
                <w:rFonts w:hint="eastAsia"/>
                <w:color w:val="auto"/>
                <w:lang w:val="en-US" w:eastAsia="zh-CN"/>
              </w:rPr>
              <w:t>100</w:t>
            </w:r>
          </w:p>
        </w:tc>
        <w:tc>
          <w:tcPr>
            <w:tcW w:w="1777" w:type="dxa"/>
            <w:tcBorders>
              <w:top w:val="nil"/>
              <w:left w:val="nil"/>
              <w:bottom w:val="single" w:color="auto" w:sz="4" w:space="0"/>
              <w:right w:val="single" w:color="auto" w:sz="4" w:space="0"/>
            </w:tcBorders>
            <w:shd w:val="clear" w:color="auto" w:fill="auto"/>
            <w:noWrap/>
            <w:vAlign w:val="bottom"/>
          </w:tcPr>
          <w:p w14:paraId="4AC6A59B">
            <w:pPr>
              <w:pStyle w:val="3361"/>
              <w:rPr>
                <w:rFonts w:hint="eastAsia"/>
                <w:color w:val="auto"/>
              </w:rPr>
            </w:pPr>
            <w:r>
              <w:rPr>
                <w:rFonts w:hint="eastAsia"/>
                <w:color w:val="auto"/>
                <w:lang w:val="en-US" w:eastAsia="zh-CN"/>
              </w:rPr>
              <w:t>7.44E+01</w:t>
            </w:r>
          </w:p>
        </w:tc>
      </w:tr>
      <w:tr w14:paraId="3EEB04D5">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2EAB784D">
            <w:pPr>
              <w:pStyle w:val="3361"/>
              <w:rPr>
                <w:rFonts w:hint="eastAsia"/>
                <w:color w:val="auto"/>
              </w:rPr>
            </w:pPr>
            <w:r>
              <w:rPr>
                <w:rFonts w:hint="eastAsia"/>
                <w:color w:val="auto"/>
                <w:lang w:val="en-US" w:eastAsia="zh-CN"/>
              </w:rPr>
              <w:t>105</w:t>
            </w:r>
          </w:p>
        </w:tc>
        <w:tc>
          <w:tcPr>
            <w:tcW w:w="1378" w:type="dxa"/>
            <w:tcBorders>
              <w:top w:val="nil"/>
              <w:left w:val="nil"/>
              <w:bottom w:val="single" w:color="auto" w:sz="4" w:space="0"/>
              <w:right w:val="single" w:color="auto" w:sz="4" w:space="0"/>
            </w:tcBorders>
            <w:shd w:val="clear" w:color="auto" w:fill="auto"/>
            <w:noWrap/>
            <w:vAlign w:val="bottom"/>
          </w:tcPr>
          <w:p w14:paraId="5182A7EB">
            <w:pPr>
              <w:pStyle w:val="3361"/>
              <w:rPr>
                <w:rFonts w:hint="eastAsia"/>
                <w:color w:val="auto"/>
              </w:rPr>
            </w:pPr>
            <w:r>
              <w:rPr>
                <w:rFonts w:hint="eastAsia"/>
                <w:color w:val="auto"/>
                <w:lang w:val="en-US" w:eastAsia="zh-CN"/>
              </w:rPr>
              <w:t>1.34E+00</w:t>
            </w:r>
          </w:p>
        </w:tc>
        <w:tc>
          <w:tcPr>
            <w:tcW w:w="1265" w:type="dxa"/>
            <w:tcBorders>
              <w:top w:val="nil"/>
              <w:left w:val="nil"/>
              <w:bottom w:val="single" w:color="auto" w:sz="4" w:space="0"/>
              <w:right w:val="single" w:color="auto" w:sz="4" w:space="0"/>
            </w:tcBorders>
            <w:shd w:val="clear" w:color="auto" w:fill="auto"/>
            <w:noWrap/>
            <w:vAlign w:val="bottom"/>
          </w:tcPr>
          <w:p w14:paraId="7DD5BF66">
            <w:pPr>
              <w:pStyle w:val="3361"/>
              <w:rPr>
                <w:rFonts w:hint="eastAsia"/>
                <w:color w:val="auto"/>
              </w:rPr>
            </w:pPr>
            <w:r>
              <w:rPr>
                <w:rFonts w:hint="eastAsia"/>
                <w:color w:val="auto"/>
                <w:lang w:val="en-US" w:eastAsia="zh-CN"/>
              </w:rPr>
              <w:t>105</w:t>
            </w:r>
          </w:p>
        </w:tc>
        <w:tc>
          <w:tcPr>
            <w:tcW w:w="1926" w:type="dxa"/>
            <w:tcBorders>
              <w:top w:val="nil"/>
              <w:left w:val="nil"/>
              <w:bottom w:val="single" w:color="auto" w:sz="4" w:space="0"/>
              <w:right w:val="single" w:color="auto" w:sz="4" w:space="0"/>
            </w:tcBorders>
            <w:shd w:val="clear" w:color="auto" w:fill="auto"/>
            <w:noWrap/>
            <w:vAlign w:val="bottom"/>
          </w:tcPr>
          <w:p w14:paraId="7FD684AC">
            <w:pPr>
              <w:pStyle w:val="3361"/>
              <w:rPr>
                <w:rFonts w:hint="eastAsia"/>
                <w:color w:val="auto"/>
              </w:rPr>
            </w:pPr>
            <w:r>
              <w:rPr>
                <w:rFonts w:hint="eastAsia"/>
                <w:color w:val="auto"/>
                <w:lang w:val="en-US" w:eastAsia="zh-CN"/>
              </w:rPr>
              <w:t>1.49E+02</w:t>
            </w:r>
          </w:p>
        </w:tc>
        <w:tc>
          <w:tcPr>
            <w:tcW w:w="1159" w:type="dxa"/>
            <w:tcBorders>
              <w:top w:val="nil"/>
              <w:left w:val="nil"/>
              <w:bottom w:val="single" w:color="auto" w:sz="4" w:space="0"/>
              <w:right w:val="single" w:color="auto" w:sz="4" w:space="0"/>
            </w:tcBorders>
            <w:shd w:val="clear" w:color="auto" w:fill="auto"/>
            <w:noWrap/>
            <w:vAlign w:val="bottom"/>
          </w:tcPr>
          <w:p w14:paraId="3257E50A">
            <w:pPr>
              <w:pStyle w:val="3361"/>
              <w:rPr>
                <w:rFonts w:hint="eastAsia"/>
                <w:color w:val="auto"/>
              </w:rPr>
            </w:pPr>
            <w:r>
              <w:rPr>
                <w:rFonts w:hint="eastAsia"/>
                <w:color w:val="auto"/>
                <w:lang w:val="en-US" w:eastAsia="zh-CN"/>
              </w:rPr>
              <w:t>105</w:t>
            </w:r>
          </w:p>
        </w:tc>
        <w:tc>
          <w:tcPr>
            <w:tcW w:w="1777" w:type="dxa"/>
            <w:tcBorders>
              <w:top w:val="nil"/>
              <w:left w:val="nil"/>
              <w:bottom w:val="single" w:color="auto" w:sz="4" w:space="0"/>
              <w:right w:val="single" w:color="auto" w:sz="4" w:space="0"/>
            </w:tcBorders>
            <w:shd w:val="clear" w:color="auto" w:fill="auto"/>
            <w:noWrap/>
            <w:vAlign w:val="bottom"/>
          </w:tcPr>
          <w:p w14:paraId="0DBB7DF8">
            <w:pPr>
              <w:pStyle w:val="3361"/>
              <w:rPr>
                <w:rFonts w:hint="eastAsia"/>
                <w:color w:val="auto"/>
              </w:rPr>
            </w:pPr>
            <w:r>
              <w:rPr>
                <w:rFonts w:hint="eastAsia"/>
                <w:color w:val="auto"/>
                <w:lang w:val="en-US" w:eastAsia="zh-CN"/>
              </w:rPr>
              <w:t>7.73E+01</w:t>
            </w:r>
          </w:p>
        </w:tc>
      </w:tr>
      <w:tr w14:paraId="40CB94D2">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23C89454">
            <w:pPr>
              <w:pStyle w:val="3361"/>
              <w:rPr>
                <w:rFonts w:hint="eastAsia"/>
                <w:color w:val="auto"/>
              </w:rPr>
            </w:pPr>
            <w:r>
              <w:rPr>
                <w:rFonts w:hint="eastAsia"/>
                <w:color w:val="auto"/>
                <w:lang w:val="en-US" w:eastAsia="zh-CN"/>
              </w:rPr>
              <w:t>110</w:t>
            </w:r>
          </w:p>
        </w:tc>
        <w:tc>
          <w:tcPr>
            <w:tcW w:w="1378" w:type="dxa"/>
            <w:tcBorders>
              <w:top w:val="nil"/>
              <w:left w:val="nil"/>
              <w:bottom w:val="single" w:color="auto" w:sz="4" w:space="0"/>
              <w:right w:val="single" w:color="auto" w:sz="4" w:space="0"/>
            </w:tcBorders>
            <w:shd w:val="clear" w:color="auto" w:fill="auto"/>
            <w:noWrap/>
            <w:vAlign w:val="bottom"/>
          </w:tcPr>
          <w:p w14:paraId="4E0D856A">
            <w:pPr>
              <w:pStyle w:val="3361"/>
              <w:rPr>
                <w:rFonts w:hint="eastAsia"/>
                <w:color w:val="auto"/>
              </w:rPr>
            </w:pPr>
            <w:r>
              <w:rPr>
                <w:rFonts w:hint="eastAsia"/>
                <w:color w:val="auto"/>
                <w:lang w:val="en-US" w:eastAsia="zh-CN"/>
              </w:rPr>
              <w:t>1.34E+00</w:t>
            </w:r>
          </w:p>
        </w:tc>
        <w:tc>
          <w:tcPr>
            <w:tcW w:w="1265" w:type="dxa"/>
            <w:tcBorders>
              <w:top w:val="nil"/>
              <w:left w:val="nil"/>
              <w:bottom w:val="single" w:color="auto" w:sz="4" w:space="0"/>
              <w:right w:val="single" w:color="auto" w:sz="4" w:space="0"/>
            </w:tcBorders>
            <w:shd w:val="clear" w:color="auto" w:fill="auto"/>
            <w:noWrap/>
            <w:vAlign w:val="bottom"/>
          </w:tcPr>
          <w:p w14:paraId="43FB9677">
            <w:pPr>
              <w:pStyle w:val="3361"/>
              <w:rPr>
                <w:rFonts w:hint="eastAsia"/>
                <w:color w:val="auto"/>
              </w:rPr>
            </w:pPr>
            <w:r>
              <w:rPr>
                <w:rFonts w:hint="eastAsia"/>
                <w:color w:val="auto"/>
                <w:lang w:val="en-US" w:eastAsia="zh-CN"/>
              </w:rPr>
              <w:t>110</w:t>
            </w:r>
          </w:p>
        </w:tc>
        <w:tc>
          <w:tcPr>
            <w:tcW w:w="1926" w:type="dxa"/>
            <w:tcBorders>
              <w:top w:val="nil"/>
              <w:left w:val="nil"/>
              <w:bottom w:val="single" w:color="auto" w:sz="4" w:space="0"/>
              <w:right w:val="single" w:color="auto" w:sz="4" w:space="0"/>
            </w:tcBorders>
            <w:shd w:val="clear" w:color="auto" w:fill="auto"/>
            <w:noWrap/>
            <w:vAlign w:val="bottom"/>
          </w:tcPr>
          <w:p w14:paraId="180FFE8A">
            <w:pPr>
              <w:pStyle w:val="3361"/>
              <w:rPr>
                <w:rFonts w:hint="eastAsia"/>
                <w:color w:val="auto"/>
              </w:rPr>
            </w:pPr>
            <w:r>
              <w:rPr>
                <w:rFonts w:hint="eastAsia"/>
                <w:color w:val="auto"/>
                <w:lang w:val="en-US" w:eastAsia="zh-CN"/>
              </w:rPr>
              <w:t>1.34E+02</w:t>
            </w:r>
          </w:p>
        </w:tc>
        <w:tc>
          <w:tcPr>
            <w:tcW w:w="1159" w:type="dxa"/>
            <w:tcBorders>
              <w:top w:val="nil"/>
              <w:left w:val="nil"/>
              <w:bottom w:val="single" w:color="auto" w:sz="4" w:space="0"/>
              <w:right w:val="single" w:color="auto" w:sz="4" w:space="0"/>
            </w:tcBorders>
            <w:shd w:val="clear" w:color="auto" w:fill="auto"/>
            <w:noWrap/>
            <w:vAlign w:val="bottom"/>
          </w:tcPr>
          <w:p w14:paraId="7C60E9EC">
            <w:pPr>
              <w:pStyle w:val="3361"/>
              <w:rPr>
                <w:rFonts w:hint="eastAsia"/>
                <w:color w:val="auto"/>
              </w:rPr>
            </w:pPr>
            <w:r>
              <w:rPr>
                <w:rFonts w:hint="eastAsia"/>
                <w:color w:val="auto"/>
                <w:lang w:val="en-US" w:eastAsia="zh-CN"/>
              </w:rPr>
              <w:t>110</w:t>
            </w:r>
          </w:p>
        </w:tc>
        <w:tc>
          <w:tcPr>
            <w:tcW w:w="1777" w:type="dxa"/>
            <w:tcBorders>
              <w:top w:val="nil"/>
              <w:left w:val="nil"/>
              <w:bottom w:val="single" w:color="auto" w:sz="4" w:space="0"/>
              <w:right w:val="single" w:color="auto" w:sz="4" w:space="0"/>
            </w:tcBorders>
            <w:shd w:val="clear" w:color="auto" w:fill="auto"/>
            <w:noWrap/>
            <w:vAlign w:val="bottom"/>
          </w:tcPr>
          <w:p w14:paraId="6170376C">
            <w:pPr>
              <w:pStyle w:val="3361"/>
              <w:rPr>
                <w:rFonts w:hint="eastAsia"/>
                <w:color w:val="auto"/>
              </w:rPr>
            </w:pPr>
            <w:r>
              <w:rPr>
                <w:rFonts w:hint="eastAsia"/>
                <w:color w:val="auto"/>
                <w:lang w:val="en-US" w:eastAsia="zh-CN"/>
              </w:rPr>
              <w:t>8.00E+01</w:t>
            </w:r>
          </w:p>
        </w:tc>
      </w:tr>
      <w:tr w14:paraId="1A092FD7">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0AAB4909">
            <w:pPr>
              <w:pStyle w:val="3361"/>
              <w:rPr>
                <w:rFonts w:hint="eastAsia"/>
                <w:color w:val="auto"/>
              </w:rPr>
            </w:pPr>
            <w:r>
              <w:rPr>
                <w:rFonts w:hint="eastAsia"/>
                <w:color w:val="auto"/>
                <w:lang w:val="en-US" w:eastAsia="zh-CN"/>
              </w:rPr>
              <w:t>115</w:t>
            </w:r>
          </w:p>
        </w:tc>
        <w:tc>
          <w:tcPr>
            <w:tcW w:w="1378" w:type="dxa"/>
            <w:tcBorders>
              <w:top w:val="nil"/>
              <w:left w:val="nil"/>
              <w:bottom w:val="single" w:color="auto" w:sz="4" w:space="0"/>
              <w:right w:val="single" w:color="auto" w:sz="4" w:space="0"/>
            </w:tcBorders>
            <w:shd w:val="clear" w:color="auto" w:fill="auto"/>
            <w:noWrap/>
            <w:vAlign w:val="bottom"/>
          </w:tcPr>
          <w:p w14:paraId="707B43E7">
            <w:pPr>
              <w:pStyle w:val="3361"/>
              <w:rPr>
                <w:rFonts w:hint="eastAsia"/>
                <w:color w:val="auto"/>
              </w:rPr>
            </w:pPr>
            <w:r>
              <w:rPr>
                <w:rFonts w:hint="eastAsia"/>
                <w:color w:val="auto"/>
                <w:lang w:val="en-US" w:eastAsia="zh-CN"/>
              </w:rPr>
              <w:t>1.34E+00</w:t>
            </w:r>
          </w:p>
        </w:tc>
        <w:tc>
          <w:tcPr>
            <w:tcW w:w="1265" w:type="dxa"/>
            <w:tcBorders>
              <w:top w:val="nil"/>
              <w:left w:val="nil"/>
              <w:bottom w:val="single" w:color="auto" w:sz="4" w:space="0"/>
              <w:right w:val="single" w:color="auto" w:sz="4" w:space="0"/>
            </w:tcBorders>
            <w:shd w:val="clear" w:color="auto" w:fill="auto"/>
            <w:noWrap/>
            <w:vAlign w:val="bottom"/>
          </w:tcPr>
          <w:p w14:paraId="32CF58A0">
            <w:pPr>
              <w:pStyle w:val="3361"/>
              <w:rPr>
                <w:rFonts w:hint="eastAsia"/>
                <w:color w:val="auto"/>
              </w:rPr>
            </w:pPr>
            <w:r>
              <w:rPr>
                <w:rFonts w:hint="eastAsia"/>
                <w:color w:val="auto"/>
                <w:lang w:val="en-US" w:eastAsia="zh-CN"/>
              </w:rPr>
              <w:t>115</w:t>
            </w:r>
          </w:p>
        </w:tc>
        <w:tc>
          <w:tcPr>
            <w:tcW w:w="1926" w:type="dxa"/>
            <w:tcBorders>
              <w:top w:val="nil"/>
              <w:left w:val="nil"/>
              <w:bottom w:val="single" w:color="auto" w:sz="4" w:space="0"/>
              <w:right w:val="single" w:color="auto" w:sz="4" w:space="0"/>
            </w:tcBorders>
            <w:shd w:val="clear" w:color="auto" w:fill="auto"/>
            <w:noWrap/>
            <w:vAlign w:val="bottom"/>
          </w:tcPr>
          <w:p w14:paraId="747F0853">
            <w:pPr>
              <w:pStyle w:val="3361"/>
              <w:rPr>
                <w:rFonts w:hint="eastAsia"/>
                <w:color w:val="auto"/>
              </w:rPr>
            </w:pPr>
            <w:r>
              <w:rPr>
                <w:rFonts w:hint="eastAsia"/>
                <w:color w:val="auto"/>
                <w:lang w:val="en-US" w:eastAsia="zh-CN"/>
              </w:rPr>
              <w:t>1.20E+02</w:t>
            </w:r>
          </w:p>
        </w:tc>
        <w:tc>
          <w:tcPr>
            <w:tcW w:w="1159" w:type="dxa"/>
            <w:tcBorders>
              <w:top w:val="nil"/>
              <w:left w:val="nil"/>
              <w:bottom w:val="single" w:color="auto" w:sz="4" w:space="0"/>
              <w:right w:val="single" w:color="auto" w:sz="4" w:space="0"/>
            </w:tcBorders>
            <w:shd w:val="clear" w:color="auto" w:fill="auto"/>
            <w:noWrap/>
            <w:vAlign w:val="bottom"/>
          </w:tcPr>
          <w:p w14:paraId="02D7B81F">
            <w:pPr>
              <w:pStyle w:val="3361"/>
              <w:rPr>
                <w:rFonts w:hint="eastAsia"/>
                <w:color w:val="auto"/>
              </w:rPr>
            </w:pPr>
            <w:r>
              <w:rPr>
                <w:rFonts w:hint="eastAsia"/>
                <w:color w:val="auto"/>
                <w:lang w:val="en-US" w:eastAsia="zh-CN"/>
              </w:rPr>
              <w:t>115</w:t>
            </w:r>
          </w:p>
        </w:tc>
        <w:tc>
          <w:tcPr>
            <w:tcW w:w="1777" w:type="dxa"/>
            <w:tcBorders>
              <w:top w:val="nil"/>
              <w:left w:val="nil"/>
              <w:bottom w:val="single" w:color="auto" w:sz="4" w:space="0"/>
              <w:right w:val="single" w:color="auto" w:sz="4" w:space="0"/>
            </w:tcBorders>
            <w:shd w:val="clear" w:color="auto" w:fill="auto"/>
            <w:noWrap/>
            <w:vAlign w:val="bottom"/>
          </w:tcPr>
          <w:p w14:paraId="5DECB632">
            <w:pPr>
              <w:pStyle w:val="3361"/>
              <w:rPr>
                <w:rFonts w:hint="eastAsia"/>
                <w:color w:val="auto"/>
              </w:rPr>
            </w:pPr>
            <w:r>
              <w:rPr>
                <w:rFonts w:hint="eastAsia"/>
                <w:color w:val="auto"/>
                <w:lang w:val="en-US" w:eastAsia="zh-CN"/>
              </w:rPr>
              <w:t>8.27E+01</w:t>
            </w:r>
          </w:p>
        </w:tc>
      </w:tr>
      <w:tr w14:paraId="1B5D87EE">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7237C1A8">
            <w:pPr>
              <w:pStyle w:val="3361"/>
              <w:rPr>
                <w:rFonts w:hint="eastAsia"/>
                <w:color w:val="auto"/>
              </w:rPr>
            </w:pPr>
            <w:r>
              <w:rPr>
                <w:rFonts w:hint="eastAsia"/>
                <w:color w:val="auto"/>
                <w:lang w:val="en-US" w:eastAsia="zh-CN"/>
              </w:rPr>
              <w:t>120</w:t>
            </w:r>
          </w:p>
        </w:tc>
        <w:tc>
          <w:tcPr>
            <w:tcW w:w="1378" w:type="dxa"/>
            <w:tcBorders>
              <w:top w:val="nil"/>
              <w:left w:val="nil"/>
              <w:bottom w:val="single" w:color="auto" w:sz="4" w:space="0"/>
              <w:right w:val="single" w:color="auto" w:sz="4" w:space="0"/>
            </w:tcBorders>
            <w:shd w:val="clear" w:color="auto" w:fill="auto"/>
            <w:noWrap/>
            <w:vAlign w:val="bottom"/>
          </w:tcPr>
          <w:p w14:paraId="3B2295FA">
            <w:pPr>
              <w:pStyle w:val="3361"/>
              <w:rPr>
                <w:rFonts w:hint="eastAsia"/>
                <w:color w:val="auto"/>
              </w:rPr>
            </w:pPr>
            <w:r>
              <w:rPr>
                <w:rFonts w:hint="eastAsia"/>
                <w:color w:val="auto"/>
                <w:lang w:val="en-US" w:eastAsia="zh-CN"/>
              </w:rPr>
              <w:t>1.34E+00</w:t>
            </w:r>
          </w:p>
        </w:tc>
        <w:tc>
          <w:tcPr>
            <w:tcW w:w="1265" w:type="dxa"/>
            <w:tcBorders>
              <w:top w:val="nil"/>
              <w:left w:val="nil"/>
              <w:bottom w:val="single" w:color="auto" w:sz="4" w:space="0"/>
              <w:right w:val="single" w:color="auto" w:sz="4" w:space="0"/>
            </w:tcBorders>
            <w:shd w:val="clear" w:color="auto" w:fill="auto"/>
            <w:noWrap/>
            <w:vAlign w:val="bottom"/>
          </w:tcPr>
          <w:p w14:paraId="5757E923">
            <w:pPr>
              <w:pStyle w:val="3361"/>
              <w:rPr>
                <w:rFonts w:hint="eastAsia"/>
                <w:color w:val="auto"/>
              </w:rPr>
            </w:pPr>
            <w:r>
              <w:rPr>
                <w:rFonts w:hint="eastAsia"/>
                <w:color w:val="auto"/>
                <w:lang w:val="en-US" w:eastAsia="zh-CN"/>
              </w:rPr>
              <w:t>120</w:t>
            </w:r>
          </w:p>
        </w:tc>
        <w:tc>
          <w:tcPr>
            <w:tcW w:w="1926" w:type="dxa"/>
            <w:tcBorders>
              <w:top w:val="nil"/>
              <w:left w:val="nil"/>
              <w:bottom w:val="single" w:color="auto" w:sz="4" w:space="0"/>
              <w:right w:val="single" w:color="auto" w:sz="4" w:space="0"/>
            </w:tcBorders>
            <w:shd w:val="clear" w:color="auto" w:fill="auto"/>
            <w:noWrap/>
            <w:vAlign w:val="bottom"/>
          </w:tcPr>
          <w:p w14:paraId="6CB8DB5C">
            <w:pPr>
              <w:pStyle w:val="3361"/>
              <w:rPr>
                <w:rFonts w:hint="eastAsia"/>
                <w:color w:val="auto"/>
              </w:rPr>
            </w:pPr>
            <w:r>
              <w:rPr>
                <w:rFonts w:hint="eastAsia"/>
                <w:color w:val="auto"/>
                <w:lang w:val="en-US" w:eastAsia="zh-CN"/>
              </w:rPr>
              <w:t>1.06E+02</w:t>
            </w:r>
          </w:p>
        </w:tc>
        <w:tc>
          <w:tcPr>
            <w:tcW w:w="1159" w:type="dxa"/>
            <w:tcBorders>
              <w:top w:val="nil"/>
              <w:left w:val="nil"/>
              <w:bottom w:val="single" w:color="auto" w:sz="4" w:space="0"/>
              <w:right w:val="single" w:color="auto" w:sz="4" w:space="0"/>
            </w:tcBorders>
            <w:shd w:val="clear" w:color="auto" w:fill="auto"/>
            <w:noWrap/>
            <w:vAlign w:val="bottom"/>
          </w:tcPr>
          <w:p w14:paraId="45E11991">
            <w:pPr>
              <w:pStyle w:val="3361"/>
              <w:rPr>
                <w:rFonts w:hint="eastAsia"/>
                <w:color w:val="auto"/>
              </w:rPr>
            </w:pPr>
            <w:r>
              <w:rPr>
                <w:rFonts w:hint="eastAsia"/>
                <w:color w:val="auto"/>
                <w:lang w:val="en-US" w:eastAsia="zh-CN"/>
              </w:rPr>
              <w:t>120</w:t>
            </w:r>
          </w:p>
        </w:tc>
        <w:tc>
          <w:tcPr>
            <w:tcW w:w="1777" w:type="dxa"/>
            <w:tcBorders>
              <w:top w:val="nil"/>
              <w:left w:val="nil"/>
              <w:bottom w:val="single" w:color="auto" w:sz="4" w:space="0"/>
              <w:right w:val="single" w:color="auto" w:sz="4" w:space="0"/>
            </w:tcBorders>
            <w:shd w:val="clear" w:color="auto" w:fill="auto"/>
            <w:noWrap/>
            <w:vAlign w:val="bottom"/>
          </w:tcPr>
          <w:p w14:paraId="6913683A">
            <w:pPr>
              <w:pStyle w:val="3361"/>
              <w:rPr>
                <w:rFonts w:hint="eastAsia"/>
                <w:color w:val="auto"/>
              </w:rPr>
            </w:pPr>
            <w:r>
              <w:rPr>
                <w:rFonts w:hint="eastAsia"/>
                <w:color w:val="auto"/>
                <w:lang w:val="en-US" w:eastAsia="zh-CN"/>
              </w:rPr>
              <w:t>8.52E+01</w:t>
            </w:r>
          </w:p>
        </w:tc>
      </w:tr>
      <w:tr w14:paraId="39CE4234">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06D3E315">
            <w:pPr>
              <w:pStyle w:val="3361"/>
              <w:rPr>
                <w:rFonts w:hint="eastAsia"/>
                <w:color w:val="auto"/>
              </w:rPr>
            </w:pPr>
            <w:r>
              <w:rPr>
                <w:rFonts w:hint="eastAsia"/>
                <w:color w:val="auto"/>
                <w:lang w:val="en-US" w:eastAsia="zh-CN"/>
              </w:rPr>
              <w:t>125</w:t>
            </w:r>
          </w:p>
        </w:tc>
        <w:tc>
          <w:tcPr>
            <w:tcW w:w="1378" w:type="dxa"/>
            <w:tcBorders>
              <w:top w:val="nil"/>
              <w:left w:val="nil"/>
              <w:bottom w:val="single" w:color="auto" w:sz="4" w:space="0"/>
              <w:right w:val="single" w:color="auto" w:sz="4" w:space="0"/>
            </w:tcBorders>
            <w:shd w:val="clear" w:color="auto" w:fill="auto"/>
            <w:noWrap/>
            <w:vAlign w:val="bottom"/>
          </w:tcPr>
          <w:p w14:paraId="0901AE26">
            <w:pPr>
              <w:pStyle w:val="3361"/>
              <w:rPr>
                <w:rFonts w:hint="eastAsia"/>
                <w:color w:val="auto"/>
              </w:rPr>
            </w:pPr>
            <w:r>
              <w:rPr>
                <w:rFonts w:hint="eastAsia"/>
                <w:color w:val="auto"/>
                <w:lang w:val="en-US" w:eastAsia="zh-CN"/>
              </w:rPr>
              <w:t>1.34E+00</w:t>
            </w:r>
          </w:p>
        </w:tc>
        <w:tc>
          <w:tcPr>
            <w:tcW w:w="1265" w:type="dxa"/>
            <w:tcBorders>
              <w:top w:val="nil"/>
              <w:left w:val="nil"/>
              <w:bottom w:val="single" w:color="auto" w:sz="4" w:space="0"/>
              <w:right w:val="single" w:color="auto" w:sz="4" w:space="0"/>
            </w:tcBorders>
            <w:shd w:val="clear" w:color="auto" w:fill="auto"/>
            <w:noWrap/>
            <w:vAlign w:val="bottom"/>
          </w:tcPr>
          <w:p w14:paraId="0DF39FFD">
            <w:pPr>
              <w:pStyle w:val="3361"/>
              <w:rPr>
                <w:rFonts w:hint="eastAsia"/>
                <w:color w:val="auto"/>
              </w:rPr>
            </w:pPr>
            <w:r>
              <w:rPr>
                <w:rFonts w:hint="eastAsia"/>
                <w:color w:val="auto"/>
                <w:lang w:val="en-US" w:eastAsia="zh-CN"/>
              </w:rPr>
              <w:t>125</w:t>
            </w:r>
          </w:p>
        </w:tc>
        <w:tc>
          <w:tcPr>
            <w:tcW w:w="1926" w:type="dxa"/>
            <w:tcBorders>
              <w:top w:val="nil"/>
              <w:left w:val="nil"/>
              <w:bottom w:val="single" w:color="auto" w:sz="4" w:space="0"/>
              <w:right w:val="single" w:color="auto" w:sz="4" w:space="0"/>
            </w:tcBorders>
            <w:shd w:val="clear" w:color="auto" w:fill="auto"/>
            <w:noWrap/>
            <w:vAlign w:val="bottom"/>
          </w:tcPr>
          <w:p w14:paraId="321994B2">
            <w:pPr>
              <w:pStyle w:val="3361"/>
              <w:rPr>
                <w:rFonts w:hint="eastAsia"/>
                <w:color w:val="auto"/>
              </w:rPr>
            </w:pPr>
            <w:r>
              <w:rPr>
                <w:rFonts w:hint="eastAsia"/>
                <w:color w:val="auto"/>
                <w:lang w:val="en-US" w:eastAsia="zh-CN"/>
              </w:rPr>
              <w:t>9.33E+01</w:t>
            </w:r>
          </w:p>
        </w:tc>
        <w:tc>
          <w:tcPr>
            <w:tcW w:w="1159" w:type="dxa"/>
            <w:tcBorders>
              <w:top w:val="nil"/>
              <w:left w:val="nil"/>
              <w:bottom w:val="single" w:color="auto" w:sz="4" w:space="0"/>
              <w:right w:val="single" w:color="auto" w:sz="4" w:space="0"/>
            </w:tcBorders>
            <w:shd w:val="clear" w:color="auto" w:fill="auto"/>
            <w:noWrap/>
            <w:vAlign w:val="bottom"/>
          </w:tcPr>
          <w:p w14:paraId="55755BA3">
            <w:pPr>
              <w:pStyle w:val="3361"/>
              <w:rPr>
                <w:rFonts w:hint="eastAsia"/>
                <w:color w:val="auto"/>
              </w:rPr>
            </w:pPr>
            <w:r>
              <w:rPr>
                <w:rFonts w:hint="eastAsia"/>
                <w:color w:val="auto"/>
                <w:lang w:val="en-US" w:eastAsia="zh-CN"/>
              </w:rPr>
              <w:t>125</w:t>
            </w:r>
          </w:p>
        </w:tc>
        <w:tc>
          <w:tcPr>
            <w:tcW w:w="1777" w:type="dxa"/>
            <w:tcBorders>
              <w:top w:val="nil"/>
              <w:left w:val="nil"/>
              <w:bottom w:val="single" w:color="auto" w:sz="4" w:space="0"/>
              <w:right w:val="single" w:color="auto" w:sz="4" w:space="0"/>
            </w:tcBorders>
            <w:shd w:val="clear" w:color="auto" w:fill="auto"/>
            <w:noWrap/>
            <w:vAlign w:val="bottom"/>
          </w:tcPr>
          <w:p w14:paraId="19786800">
            <w:pPr>
              <w:pStyle w:val="3361"/>
              <w:rPr>
                <w:rFonts w:hint="eastAsia"/>
                <w:color w:val="auto"/>
              </w:rPr>
            </w:pPr>
            <w:r>
              <w:rPr>
                <w:rFonts w:hint="eastAsia"/>
                <w:color w:val="auto"/>
                <w:lang w:val="en-US" w:eastAsia="zh-CN"/>
              </w:rPr>
              <w:t>8.76E+01</w:t>
            </w:r>
          </w:p>
        </w:tc>
      </w:tr>
      <w:tr w14:paraId="59294A0E">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3FC15EE3">
            <w:pPr>
              <w:pStyle w:val="3361"/>
              <w:rPr>
                <w:rFonts w:hint="eastAsia"/>
                <w:color w:val="auto"/>
              </w:rPr>
            </w:pPr>
            <w:r>
              <w:rPr>
                <w:rFonts w:hint="eastAsia"/>
                <w:color w:val="auto"/>
                <w:lang w:val="en-US" w:eastAsia="zh-CN"/>
              </w:rPr>
              <w:t>130</w:t>
            </w:r>
          </w:p>
        </w:tc>
        <w:tc>
          <w:tcPr>
            <w:tcW w:w="1378" w:type="dxa"/>
            <w:tcBorders>
              <w:top w:val="nil"/>
              <w:left w:val="nil"/>
              <w:bottom w:val="single" w:color="auto" w:sz="4" w:space="0"/>
              <w:right w:val="single" w:color="auto" w:sz="4" w:space="0"/>
            </w:tcBorders>
            <w:shd w:val="clear" w:color="auto" w:fill="auto"/>
            <w:noWrap/>
            <w:vAlign w:val="bottom"/>
          </w:tcPr>
          <w:p w14:paraId="67C6C202">
            <w:pPr>
              <w:pStyle w:val="3361"/>
              <w:rPr>
                <w:rFonts w:hint="eastAsia"/>
                <w:color w:val="auto"/>
              </w:rPr>
            </w:pPr>
            <w:r>
              <w:rPr>
                <w:rFonts w:hint="eastAsia"/>
                <w:color w:val="auto"/>
                <w:lang w:val="en-US" w:eastAsia="zh-CN"/>
              </w:rPr>
              <w:t>1.34E+00</w:t>
            </w:r>
          </w:p>
        </w:tc>
        <w:tc>
          <w:tcPr>
            <w:tcW w:w="1265" w:type="dxa"/>
            <w:tcBorders>
              <w:top w:val="nil"/>
              <w:left w:val="nil"/>
              <w:bottom w:val="single" w:color="auto" w:sz="4" w:space="0"/>
              <w:right w:val="single" w:color="auto" w:sz="4" w:space="0"/>
            </w:tcBorders>
            <w:shd w:val="clear" w:color="auto" w:fill="auto"/>
            <w:noWrap/>
            <w:vAlign w:val="bottom"/>
          </w:tcPr>
          <w:p w14:paraId="08BB98D5">
            <w:pPr>
              <w:pStyle w:val="3361"/>
              <w:rPr>
                <w:rFonts w:hint="eastAsia"/>
                <w:color w:val="auto"/>
              </w:rPr>
            </w:pPr>
            <w:r>
              <w:rPr>
                <w:rFonts w:hint="eastAsia"/>
                <w:color w:val="auto"/>
                <w:lang w:val="en-US" w:eastAsia="zh-CN"/>
              </w:rPr>
              <w:t>130</w:t>
            </w:r>
          </w:p>
        </w:tc>
        <w:tc>
          <w:tcPr>
            <w:tcW w:w="1926" w:type="dxa"/>
            <w:tcBorders>
              <w:top w:val="nil"/>
              <w:left w:val="nil"/>
              <w:bottom w:val="single" w:color="auto" w:sz="4" w:space="0"/>
              <w:right w:val="single" w:color="auto" w:sz="4" w:space="0"/>
            </w:tcBorders>
            <w:shd w:val="clear" w:color="auto" w:fill="auto"/>
            <w:noWrap/>
            <w:vAlign w:val="bottom"/>
          </w:tcPr>
          <w:p w14:paraId="2A731051">
            <w:pPr>
              <w:pStyle w:val="3361"/>
              <w:rPr>
                <w:rFonts w:hint="eastAsia"/>
                <w:color w:val="auto"/>
              </w:rPr>
            </w:pPr>
            <w:r>
              <w:rPr>
                <w:rFonts w:hint="eastAsia"/>
                <w:color w:val="auto"/>
                <w:lang w:val="en-US" w:eastAsia="zh-CN"/>
              </w:rPr>
              <w:t>8.10E+01</w:t>
            </w:r>
          </w:p>
        </w:tc>
        <w:tc>
          <w:tcPr>
            <w:tcW w:w="1159" w:type="dxa"/>
            <w:tcBorders>
              <w:top w:val="nil"/>
              <w:left w:val="nil"/>
              <w:bottom w:val="single" w:color="auto" w:sz="4" w:space="0"/>
              <w:right w:val="single" w:color="auto" w:sz="4" w:space="0"/>
            </w:tcBorders>
            <w:shd w:val="clear" w:color="auto" w:fill="auto"/>
            <w:noWrap/>
            <w:vAlign w:val="bottom"/>
          </w:tcPr>
          <w:p w14:paraId="293DFC17">
            <w:pPr>
              <w:pStyle w:val="3361"/>
              <w:rPr>
                <w:rFonts w:hint="eastAsia"/>
                <w:color w:val="auto"/>
              </w:rPr>
            </w:pPr>
            <w:r>
              <w:rPr>
                <w:rFonts w:hint="eastAsia"/>
                <w:color w:val="auto"/>
                <w:lang w:val="en-US" w:eastAsia="zh-CN"/>
              </w:rPr>
              <w:t>130</w:t>
            </w:r>
          </w:p>
        </w:tc>
        <w:tc>
          <w:tcPr>
            <w:tcW w:w="1777" w:type="dxa"/>
            <w:tcBorders>
              <w:top w:val="nil"/>
              <w:left w:val="nil"/>
              <w:bottom w:val="single" w:color="auto" w:sz="4" w:space="0"/>
              <w:right w:val="single" w:color="auto" w:sz="4" w:space="0"/>
            </w:tcBorders>
            <w:shd w:val="clear" w:color="auto" w:fill="auto"/>
            <w:noWrap/>
            <w:vAlign w:val="bottom"/>
          </w:tcPr>
          <w:p w14:paraId="1AACAA5A">
            <w:pPr>
              <w:pStyle w:val="3361"/>
              <w:rPr>
                <w:rFonts w:hint="eastAsia"/>
                <w:color w:val="auto"/>
              </w:rPr>
            </w:pPr>
            <w:r>
              <w:rPr>
                <w:rFonts w:hint="eastAsia"/>
                <w:color w:val="auto"/>
                <w:lang w:val="en-US" w:eastAsia="zh-CN"/>
              </w:rPr>
              <w:t>8.98E+01</w:t>
            </w:r>
          </w:p>
        </w:tc>
      </w:tr>
      <w:tr w14:paraId="132B952E">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1CD6106C">
            <w:pPr>
              <w:pStyle w:val="3361"/>
              <w:rPr>
                <w:rFonts w:hint="eastAsia"/>
                <w:color w:val="auto"/>
                <w:lang w:val="en-US" w:eastAsia="zh-CN"/>
              </w:rPr>
            </w:pPr>
            <w:r>
              <w:rPr>
                <w:rFonts w:hint="eastAsia"/>
                <w:color w:val="auto"/>
                <w:lang w:val="en-US" w:eastAsia="zh-CN"/>
              </w:rPr>
              <w:t>135</w:t>
            </w:r>
          </w:p>
        </w:tc>
        <w:tc>
          <w:tcPr>
            <w:tcW w:w="1378" w:type="dxa"/>
            <w:tcBorders>
              <w:top w:val="nil"/>
              <w:left w:val="nil"/>
              <w:bottom w:val="single" w:color="auto" w:sz="4" w:space="0"/>
              <w:right w:val="single" w:color="auto" w:sz="4" w:space="0"/>
            </w:tcBorders>
            <w:shd w:val="clear" w:color="auto" w:fill="auto"/>
            <w:noWrap/>
            <w:vAlign w:val="bottom"/>
          </w:tcPr>
          <w:p w14:paraId="1CCDCDBE">
            <w:pPr>
              <w:pStyle w:val="3361"/>
              <w:rPr>
                <w:rFonts w:hint="eastAsia"/>
                <w:color w:val="auto"/>
                <w:lang w:val="en-US" w:eastAsia="zh-CN"/>
              </w:rPr>
            </w:pPr>
            <w:r>
              <w:rPr>
                <w:rFonts w:hint="eastAsia"/>
                <w:color w:val="auto"/>
                <w:lang w:val="en-US" w:eastAsia="zh-CN"/>
              </w:rPr>
              <w:t>1.34E+00</w:t>
            </w:r>
          </w:p>
        </w:tc>
        <w:tc>
          <w:tcPr>
            <w:tcW w:w="1265" w:type="dxa"/>
            <w:tcBorders>
              <w:top w:val="nil"/>
              <w:left w:val="nil"/>
              <w:bottom w:val="single" w:color="auto" w:sz="4" w:space="0"/>
              <w:right w:val="single" w:color="auto" w:sz="4" w:space="0"/>
            </w:tcBorders>
            <w:shd w:val="clear" w:color="auto" w:fill="auto"/>
            <w:noWrap/>
            <w:vAlign w:val="bottom"/>
          </w:tcPr>
          <w:p w14:paraId="5C0524CE">
            <w:pPr>
              <w:pStyle w:val="3361"/>
              <w:rPr>
                <w:rFonts w:hint="eastAsia"/>
                <w:color w:val="auto"/>
                <w:lang w:val="en-US" w:eastAsia="zh-CN"/>
              </w:rPr>
            </w:pPr>
            <w:r>
              <w:rPr>
                <w:rFonts w:hint="eastAsia"/>
                <w:color w:val="auto"/>
                <w:lang w:val="en-US" w:eastAsia="zh-CN"/>
              </w:rPr>
              <w:t>135</w:t>
            </w:r>
          </w:p>
        </w:tc>
        <w:tc>
          <w:tcPr>
            <w:tcW w:w="1926" w:type="dxa"/>
            <w:tcBorders>
              <w:top w:val="nil"/>
              <w:left w:val="nil"/>
              <w:bottom w:val="single" w:color="auto" w:sz="4" w:space="0"/>
              <w:right w:val="single" w:color="auto" w:sz="4" w:space="0"/>
            </w:tcBorders>
            <w:shd w:val="clear" w:color="auto" w:fill="auto"/>
            <w:noWrap/>
            <w:vAlign w:val="bottom"/>
          </w:tcPr>
          <w:p w14:paraId="679E410F">
            <w:pPr>
              <w:pStyle w:val="3361"/>
              <w:rPr>
                <w:rFonts w:hint="eastAsia"/>
                <w:color w:val="auto"/>
                <w:lang w:val="en-US" w:eastAsia="zh-CN"/>
              </w:rPr>
            </w:pPr>
            <w:r>
              <w:rPr>
                <w:rFonts w:hint="eastAsia"/>
                <w:color w:val="auto"/>
                <w:lang w:val="en-US" w:eastAsia="zh-CN"/>
              </w:rPr>
              <w:t>6.98E+01</w:t>
            </w:r>
          </w:p>
        </w:tc>
        <w:tc>
          <w:tcPr>
            <w:tcW w:w="1159" w:type="dxa"/>
            <w:tcBorders>
              <w:top w:val="nil"/>
              <w:left w:val="nil"/>
              <w:bottom w:val="single" w:color="auto" w:sz="4" w:space="0"/>
              <w:right w:val="single" w:color="auto" w:sz="4" w:space="0"/>
            </w:tcBorders>
            <w:shd w:val="clear" w:color="auto" w:fill="auto"/>
            <w:noWrap/>
            <w:vAlign w:val="bottom"/>
          </w:tcPr>
          <w:p w14:paraId="345C15CF">
            <w:pPr>
              <w:pStyle w:val="3361"/>
              <w:rPr>
                <w:rFonts w:hint="eastAsia"/>
                <w:color w:val="auto"/>
                <w:lang w:val="en-US" w:eastAsia="zh-CN"/>
              </w:rPr>
            </w:pPr>
            <w:r>
              <w:rPr>
                <w:rFonts w:hint="eastAsia"/>
                <w:color w:val="auto"/>
                <w:lang w:val="en-US" w:eastAsia="zh-CN"/>
              </w:rPr>
              <w:t>135</w:t>
            </w:r>
          </w:p>
        </w:tc>
        <w:tc>
          <w:tcPr>
            <w:tcW w:w="1777" w:type="dxa"/>
            <w:tcBorders>
              <w:top w:val="nil"/>
              <w:left w:val="nil"/>
              <w:bottom w:val="single" w:color="auto" w:sz="4" w:space="0"/>
              <w:right w:val="single" w:color="auto" w:sz="4" w:space="0"/>
            </w:tcBorders>
            <w:shd w:val="clear" w:color="auto" w:fill="auto"/>
            <w:noWrap/>
            <w:vAlign w:val="bottom"/>
          </w:tcPr>
          <w:p w14:paraId="535FA87A">
            <w:pPr>
              <w:pStyle w:val="3361"/>
              <w:rPr>
                <w:rFonts w:hint="eastAsia"/>
                <w:color w:val="auto"/>
                <w:lang w:val="en-US" w:eastAsia="zh-CN"/>
              </w:rPr>
            </w:pPr>
            <w:r>
              <w:rPr>
                <w:rFonts w:hint="eastAsia"/>
                <w:color w:val="auto"/>
                <w:lang w:val="en-US" w:eastAsia="zh-CN"/>
              </w:rPr>
              <w:t>9.18E+01</w:t>
            </w:r>
          </w:p>
        </w:tc>
      </w:tr>
      <w:tr w14:paraId="35954A49">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3C69A261">
            <w:pPr>
              <w:pStyle w:val="3361"/>
              <w:rPr>
                <w:rFonts w:hint="eastAsia"/>
                <w:color w:val="auto"/>
                <w:lang w:val="en-US" w:eastAsia="zh-CN"/>
              </w:rPr>
            </w:pPr>
            <w:r>
              <w:rPr>
                <w:rFonts w:hint="eastAsia"/>
                <w:color w:val="auto"/>
                <w:lang w:val="en-US" w:eastAsia="zh-CN"/>
              </w:rPr>
              <w:t>140</w:t>
            </w:r>
          </w:p>
        </w:tc>
        <w:tc>
          <w:tcPr>
            <w:tcW w:w="1378" w:type="dxa"/>
            <w:tcBorders>
              <w:top w:val="nil"/>
              <w:left w:val="nil"/>
              <w:bottom w:val="single" w:color="auto" w:sz="4" w:space="0"/>
              <w:right w:val="single" w:color="auto" w:sz="4" w:space="0"/>
            </w:tcBorders>
            <w:shd w:val="clear" w:color="auto" w:fill="auto"/>
            <w:noWrap/>
            <w:vAlign w:val="bottom"/>
          </w:tcPr>
          <w:p w14:paraId="7D5EE722">
            <w:pPr>
              <w:pStyle w:val="3361"/>
              <w:rPr>
                <w:rFonts w:hint="eastAsia"/>
                <w:color w:val="auto"/>
                <w:lang w:val="en-US" w:eastAsia="zh-CN"/>
              </w:rPr>
            </w:pPr>
            <w:r>
              <w:rPr>
                <w:rFonts w:hint="eastAsia"/>
                <w:color w:val="auto"/>
                <w:lang w:val="en-US" w:eastAsia="zh-CN"/>
              </w:rPr>
              <w:t>1.34E+00</w:t>
            </w:r>
          </w:p>
        </w:tc>
        <w:tc>
          <w:tcPr>
            <w:tcW w:w="1265" w:type="dxa"/>
            <w:tcBorders>
              <w:top w:val="nil"/>
              <w:left w:val="nil"/>
              <w:bottom w:val="single" w:color="auto" w:sz="4" w:space="0"/>
              <w:right w:val="single" w:color="auto" w:sz="4" w:space="0"/>
            </w:tcBorders>
            <w:shd w:val="clear" w:color="auto" w:fill="auto"/>
            <w:noWrap/>
            <w:vAlign w:val="bottom"/>
          </w:tcPr>
          <w:p w14:paraId="4D2C0350">
            <w:pPr>
              <w:pStyle w:val="3361"/>
              <w:rPr>
                <w:rFonts w:hint="eastAsia"/>
                <w:color w:val="auto"/>
                <w:lang w:val="en-US" w:eastAsia="zh-CN"/>
              </w:rPr>
            </w:pPr>
            <w:r>
              <w:rPr>
                <w:rFonts w:hint="eastAsia"/>
                <w:color w:val="auto"/>
                <w:lang w:val="en-US" w:eastAsia="zh-CN"/>
              </w:rPr>
              <w:t>140</w:t>
            </w:r>
          </w:p>
        </w:tc>
        <w:tc>
          <w:tcPr>
            <w:tcW w:w="1926" w:type="dxa"/>
            <w:tcBorders>
              <w:top w:val="nil"/>
              <w:left w:val="nil"/>
              <w:bottom w:val="single" w:color="auto" w:sz="4" w:space="0"/>
              <w:right w:val="single" w:color="auto" w:sz="4" w:space="0"/>
            </w:tcBorders>
            <w:shd w:val="clear" w:color="auto" w:fill="auto"/>
            <w:noWrap/>
            <w:vAlign w:val="bottom"/>
          </w:tcPr>
          <w:p w14:paraId="23B9D7A4">
            <w:pPr>
              <w:pStyle w:val="3361"/>
              <w:rPr>
                <w:rFonts w:hint="eastAsia"/>
                <w:color w:val="auto"/>
                <w:lang w:val="en-US" w:eastAsia="zh-CN"/>
              </w:rPr>
            </w:pPr>
            <w:r>
              <w:rPr>
                <w:rFonts w:hint="eastAsia"/>
                <w:color w:val="auto"/>
                <w:lang w:val="en-US" w:eastAsia="zh-CN"/>
              </w:rPr>
              <w:t>5.95E+01</w:t>
            </w:r>
          </w:p>
        </w:tc>
        <w:tc>
          <w:tcPr>
            <w:tcW w:w="1159" w:type="dxa"/>
            <w:tcBorders>
              <w:top w:val="nil"/>
              <w:left w:val="nil"/>
              <w:bottom w:val="single" w:color="auto" w:sz="4" w:space="0"/>
              <w:right w:val="single" w:color="auto" w:sz="4" w:space="0"/>
            </w:tcBorders>
            <w:shd w:val="clear" w:color="auto" w:fill="auto"/>
            <w:noWrap/>
            <w:vAlign w:val="bottom"/>
          </w:tcPr>
          <w:p w14:paraId="1AF63DB5">
            <w:pPr>
              <w:pStyle w:val="3361"/>
              <w:rPr>
                <w:rFonts w:hint="eastAsia"/>
                <w:color w:val="auto"/>
                <w:lang w:val="en-US" w:eastAsia="zh-CN"/>
              </w:rPr>
            </w:pPr>
            <w:r>
              <w:rPr>
                <w:rFonts w:hint="eastAsia"/>
                <w:color w:val="auto"/>
                <w:lang w:val="en-US" w:eastAsia="zh-CN"/>
              </w:rPr>
              <w:t>140</w:t>
            </w:r>
          </w:p>
        </w:tc>
        <w:tc>
          <w:tcPr>
            <w:tcW w:w="1777" w:type="dxa"/>
            <w:tcBorders>
              <w:top w:val="nil"/>
              <w:left w:val="nil"/>
              <w:bottom w:val="single" w:color="auto" w:sz="4" w:space="0"/>
              <w:right w:val="single" w:color="auto" w:sz="4" w:space="0"/>
            </w:tcBorders>
            <w:shd w:val="clear" w:color="auto" w:fill="auto"/>
            <w:noWrap/>
            <w:vAlign w:val="bottom"/>
          </w:tcPr>
          <w:p w14:paraId="421178BD">
            <w:pPr>
              <w:pStyle w:val="3361"/>
              <w:rPr>
                <w:rFonts w:hint="eastAsia"/>
                <w:color w:val="auto"/>
                <w:lang w:val="en-US" w:eastAsia="zh-CN"/>
              </w:rPr>
            </w:pPr>
            <w:r>
              <w:rPr>
                <w:rFonts w:hint="eastAsia"/>
                <w:color w:val="auto"/>
                <w:lang w:val="en-US" w:eastAsia="zh-CN"/>
              </w:rPr>
              <w:t>9.36E+01</w:t>
            </w:r>
          </w:p>
        </w:tc>
      </w:tr>
      <w:tr w14:paraId="6438A0E5">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359CE36C">
            <w:pPr>
              <w:pStyle w:val="3361"/>
              <w:rPr>
                <w:rFonts w:hint="eastAsia"/>
                <w:color w:val="auto"/>
                <w:lang w:val="en-US" w:eastAsia="zh-CN"/>
              </w:rPr>
            </w:pPr>
            <w:r>
              <w:rPr>
                <w:rFonts w:hint="eastAsia"/>
                <w:color w:val="auto"/>
                <w:lang w:val="en-US" w:eastAsia="zh-CN"/>
              </w:rPr>
              <w:t>145</w:t>
            </w:r>
          </w:p>
        </w:tc>
        <w:tc>
          <w:tcPr>
            <w:tcW w:w="1378" w:type="dxa"/>
            <w:tcBorders>
              <w:top w:val="nil"/>
              <w:left w:val="nil"/>
              <w:bottom w:val="single" w:color="auto" w:sz="4" w:space="0"/>
              <w:right w:val="single" w:color="auto" w:sz="4" w:space="0"/>
            </w:tcBorders>
            <w:shd w:val="clear" w:color="auto" w:fill="auto"/>
            <w:noWrap/>
            <w:vAlign w:val="bottom"/>
          </w:tcPr>
          <w:p w14:paraId="1CCF310C">
            <w:pPr>
              <w:pStyle w:val="3361"/>
              <w:rPr>
                <w:rFonts w:hint="eastAsia"/>
                <w:color w:val="auto"/>
                <w:lang w:val="en-US" w:eastAsia="zh-CN"/>
              </w:rPr>
            </w:pPr>
            <w:r>
              <w:rPr>
                <w:rFonts w:hint="eastAsia"/>
                <w:color w:val="auto"/>
                <w:lang w:val="en-US" w:eastAsia="zh-CN"/>
              </w:rPr>
              <w:t>1.34E+00</w:t>
            </w:r>
          </w:p>
        </w:tc>
        <w:tc>
          <w:tcPr>
            <w:tcW w:w="1265" w:type="dxa"/>
            <w:tcBorders>
              <w:top w:val="nil"/>
              <w:left w:val="nil"/>
              <w:bottom w:val="single" w:color="auto" w:sz="4" w:space="0"/>
              <w:right w:val="single" w:color="auto" w:sz="4" w:space="0"/>
            </w:tcBorders>
            <w:shd w:val="clear" w:color="auto" w:fill="auto"/>
            <w:noWrap/>
            <w:vAlign w:val="bottom"/>
          </w:tcPr>
          <w:p w14:paraId="14BD2A25">
            <w:pPr>
              <w:pStyle w:val="3361"/>
              <w:rPr>
                <w:rFonts w:hint="eastAsia"/>
                <w:color w:val="auto"/>
                <w:lang w:val="en-US" w:eastAsia="zh-CN"/>
              </w:rPr>
            </w:pPr>
            <w:r>
              <w:rPr>
                <w:rFonts w:hint="eastAsia"/>
                <w:color w:val="auto"/>
                <w:lang w:val="en-US" w:eastAsia="zh-CN"/>
              </w:rPr>
              <w:t>145</w:t>
            </w:r>
          </w:p>
        </w:tc>
        <w:tc>
          <w:tcPr>
            <w:tcW w:w="1926" w:type="dxa"/>
            <w:tcBorders>
              <w:top w:val="nil"/>
              <w:left w:val="nil"/>
              <w:bottom w:val="single" w:color="auto" w:sz="4" w:space="0"/>
              <w:right w:val="single" w:color="auto" w:sz="4" w:space="0"/>
            </w:tcBorders>
            <w:shd w:val="clear" w:color="auto" w:fill="auto"/>
            <w:noWrap/>
            <w:vAlign w:val="bottom"/>
          </w:tcPr>
          <w:p w14:paraId="5A49AF32">
            <w:pPr>
              <w:pStyle w:val="3361"/>
              <w:rPr>
                <w:rFonts w:hint="eastAsia"/>
                <w:color w:val="auto"/>
                <w:lang w:val="en-US" w:eastAsia="zh-CN"/>
              </w:rPr>
            </w:pPr>
            <w:r>
              <w:rPr>
                <w:rFonts w:hint="eastAsia"/>
                <w:color w:val="auto"/>
                <w:lang w:val="en-US" w:eastAsia="zh-CN"/>
              </w:rPr>
              <w:t>5.03E+01</w:t>
            </w:r>
          </w:p>
        </w:tc>
        <w:tc>
          <w:tcPr>
            <w:tcW w:w="1159" w:type="dxa"/>
            <w:tcBorders>
              <w:top w:val="nil"/>
              <w:left w:val="nil"/>
              <w:bottom w:val="single" w:color="auto" w:sz="4" w:space="0"/>
              <w:right w:val="single" w:color="auto" w:sz="4" w:space="0"/>
            </w:tcBorders>
            <w:shd w:val="clear" w:color="auto" w:fill="auto"/>
            <w:noWrap/>
            <w:vAlign w:val="bottom"/>
          </w:tcPr>
          <w:p w14:paraId="7E9420DA">
            <w:pPr>
              <w:pStyle w:val="3361"/>
              <w:rPr>
                <w:rFonts w:hint="eastAsia"/>
                <w:color w:val="auto"/>
                <w:lang w:val="en-US" w:eastAsia="zh-CN"/>
              </w:rPr>
            </w:pPr>
            <w:r>
              <w:rPr>
                <w:rFonts w:hint="eastAsia"/>
                <w:color w:val="auto"/>
                <w:lang w:val="en-US" w:eastAsia="zh-CN"/>
              </w:rPr>
              <w:t>145</w:t>
            </w:r>
          </w:p>
        </w:tc>
        <w:tc>
          <w:tcPr>
            <w:tcW w:w="1777" w:type="dxa"/>
            <w:tcBorders>
              <w:top w:val="nil"/>
              <w:left w:val="nil"/>
              <w:bottom w:val="single" w:color="auto" w:sz="4" w:space="0"/>
              <w:right w:val="single" w:color="auto" w:sz="4" w:space="0"/>
            </w:tcBorders>
            <w:shd w:val="clear" w:color="auto" w:fill="auto"/>
            <w:noWrap/>
            <w:vAlign w:val="bottom"/>
          </w:tcPr>
          <w:p w14:paraId="1FB55186">
            <w:pPr>
              <w:pStyle w:val="3361"/>
              <w:rPr>
                <w:rFonts w:hint="eastAsia"/>
                <w:color w:val="auto"/>
                <w:lang w:val="en-US" w:eastAsia="zh-CN"/>
              </w:rPr>
            </w:pPr>
            <w:r>
              <w:rPr>
                <w:rFonts w:hint="eastAsia"/>
                <w:color w:val="auto"/>
                <w:lang w:val="en-US" w:eastAsia="zh-CN"/>
              </w:rPr>
              <w:t>9.52E+01</w:t>
            </w:r>
          </w:p>
        </w:tc>
      </w:tr>
      <w:tr w14:paraId="4A851B1E">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03F4C435">
            <w:pPr>
              <w:pStyle w:val="3361"/>
              <w:rPr>
                <w:rFonts w:hint="eastAsia"/>
                <w:color w:val="auto"/>
                <w:lang w:val="en-US" w:eastAsia="zh-CN"/>
              </w:rPr>
            </w:pPr>
            <w:r>
              <w:rPr>
                <w:rFonts w:hint="eastAsia"/>
                <w:color w:val="auto"/>
                <w:lang w:val="en-US" w:eastAsia="zh-CN"/>
              </w:rPr>
              <w:t>150（长江）</w:t>
            </w:r>
          </w:p>
        </w:tc>
        <w:tc>
          <w:tcPr>
            <w:tcW w:w="1378" w:type="dxa"/>
            <w:tcBorders>
              <w:top w:val="nil"/>
              <w:left w:val="nil"/>
              <w:bottom w:val="single" w:color="auto" w:sz="4" w:space="0"/>
              <w:right w:val="single" w:color="auto" w:sz="4" w:space="0"/>
            </w:tcBorders>
            <w:shd w:val="clear" w:color="auto" w:fill="auto"/>
            <w:noWrap/>
            <w:vAlign w:val="bottom"/>
          </w:tcPr>
          <w:p w14:paraId="4EA5390D">
            <w:pPr>
              <w:pStyle w:val="3361"/>
              <w:rPr>
                <w:rFonts w:hint="eastAsia"/>
                <w:color w:val="auto"/>
                <w:lang w:val="en-US" w:eastAsia="zh-CN"/>
              </w:rPr>
            </w:pPr>
            <w:r>
              <w:rPr>
                <w:rFonts w:hint="eastAsia"/>
                <w:color w:val="auto"/>
                <w:lang w:val="en-US" w:eastAsia="zh-CN"/>
              </w:rPr>
              <w:t>1.34E+00</w:t>
            </w:r>
          </w:p>
        </w:tc>
        <w:tc>
          <w:tcPr>
            <w:tcW w:w="1265" w:type="dxa"/>
            <w:tcBorders>
              <w:top w:val="nil"/>
              <w:left w:val="nil"/>
              <w:bottom w:val="single" w:color="auto" w:sz="4" w:space="0"/>
              <w:right w:val="single" w:color="auto" w:sz="4" w:space="0"/>
            </w:tcBorders>
            <w:shd w:val="clear" w:color="auto" w:fill="auto"/>
            <w:noWrap/>
            <w:vAlign w:val="bottom"/>
          </w:tcPr>
          <w:p w14:paraId="6E9D6223">
            <w:pPr>
              <w:pStyle w:val="3361"/>
              <w:rPr>
                <w:rFonts w:hint="eastAsia"/>
                <w:color w:val="auto"/>
                <w:lang w:val="en-US" w:eastAsia="zh-CN"/>
              </w:rPr>
            </w:pPr>
            <w:r>
              <w:rPr>
                <w:rFonts w:hint="eastAsia"/>
                <w:color w:val="auto"/>
                <w:lang w:val="en-US" w:eastAsia="zh-CN"/>
              </w:rPr>
              <w:t>150（长江）</w:t>
            </w:r>
          </w:p>
        </w:tc>
        <w:tc>
          <w:tcPr>
            <w:tcW w:w="1926" w:type="dxa"/>
            <w:tcBorders>
              <w:top w:val="nil"/>
              <w:left w:val="nil"/>
              <w:bottom w:val="single" w:color="auto" w:sz="4" w:space="0"/>
              <w:right w:val="single" w:color="auto" w:sz="4" w:space="0"/>
            </w:tcBorders>
            <w:shd w:val="clear" w:color="auto" w:fill="auto"/>
            <w:noWrap/>
            <w:vAlign w:val="bottom"/>
          </w:tcPr>
          <w:p w14:paraId="68274174">
            <w:pPr>
              <w:pStyle w:val="3361"/>
              <w:rPr>
                <w:rFonts w:hint="eastAsia"/>
                <w:color w:val="auto"/>
                <w:lang w:val="en-US" w:eastAsia="zh-CN"/>
              </w:rPr>
            </w:pPr>
            <w:r>
              <w:rPr>
                <w:rFonts w:hint="eastAsia"/>
                <w:color w:val="auto"/>
                <w:lang w:val="en-US" w:eastAsia="zh-CN"/>
              </w:rPr>
              <w:t>4.22E+01</w:t>
            </w:r>
          </w:p>
        </w:tc>
        <w:tc>
          <w:tcPr>
            <w:tcW w:w="1159" w:type="dxa"/>
            <w:tcBorders>
              <w:top w:val="nil"/>
              <w:left w:val="nil"/>
              <w:bottom w:val="single" w:color="auto" w:sz="4" w:space="0"/>
              <w:right w:val="single" w:color="auto" w:sz="4" w:space="0"/>
            </w:tcBorders>
            <w:shd w:val="clear" w:color="auto" w:fill="auto"/>
            <w:noWrap/>
            <w:vAlign w:val="bottom"/>
          </w:tcPr>
          <w:p w14:paraId="60A9477C">
            <w:pPr>
              <w:pStyle w:val="3361"/>
              <w:rPr>
                <w:rFonts w:hint="eastAsia"/>
                <w:color w:val="auto"/>
                <w:lang w:val="en-US" w:eastAsia="zh-CN"/>
              </w:rPr>
            </w:pPr>
            <w:r>
              <w:rPr>
                <w:rFonts w:hint="eastAsia"/>
                <w:color w:val="auto"/>
                <w:lang w:val="en-US" w:eastAsia="zh-CN"/>
              </w:rPr>
              <w:t>150（长江）</w:t>
            </w:r>
          </w:p>
        </w:tc>
        <w:tc>
          <w:tcPr>
            <w:tcW w:w="1777" w:type="dxa"/>
            <w:tcBorders>
              <w:top w:val="nil"/>
              <w:left w:val="nil"/>
              <w:bottom w:val="single" w:color="auto" w:sz="4" w:space="0"/>
              <w:right w:val="single" w:color="auto" w:sz="4" w:space="0"/>
            </w:tcBorders>
            <w:shd w:val="clear" w:color="auto" w:fill="auto"/>
            <w:noWrap/>
            <w:vAlign w:val="bottom"/>
          </w:tcPr>
          <w:p w14:paraId="4C38845B">
            <w:pPr>
              <w:pStyle w:val="3361"/>
              <w:rPr>
                <w:rFonts w:hint="eastAsia"/>
                <w:color w:val="auto"/>
                <w:lang w:val="en-US" w:eastAsia="zh-CN"/>
              </w:rPr>
            </w:pPr>
            <w:r>
              <w:rPr>
                <w:rFonts w:hint="eastAsia"/>
                <w:color w:val="auto"/>
                <w:lang w:val="en-US" w:eastAsia="zh-CN"/>
              </w:rPr>
              <w:t>9.66E+01</w:t>
            </w:r>
          </w:p>
        </w:tc>
      </w:tr>
      <w:tr w14:paraId="7BC1200F">
        <w:tblPrEx>
          <w:tblCellMar>
            <w:top w:w="0" w:type="dxa"/>
            <w:left w:w="108" w:type="dxa"/>
            <w:bottom w:w="0" w:type="dxa"/>
            <w:right w:w="108" w:type="dxa"/>
          </w:tblCellMar>
        </w:tblPrEx>
        <w:trPr>
          <w:trHeight w:val="270" w:hRule="atLeast"/>
        </w:trPr>
        <w:tc>
          <w:tcPr>
            <w:tcW w:w="9060"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14:paraId="7BCEFE9E">
            <w:pPr>
              <w:pStyle w:val="3361"/>
              <w:rPr>
                <w:rFonts w:hint="eastAsia"/>
                <w:color w:val="auto"/>
                <w:lang w:val="en-US" w:eastAsia="zh-CN"/>
              </w:rPr>
            </w:pPr>
            <w:r>
              <w:rPr>
                <w:rFonts w:hint="eastAsia"/>
                <w:color w:val="auto"/>
                <w:lang w:val="en-US" w:eastAsia="zh-CN"/>
              </w:rPr>
              <w:t>预测最远超标距离（m）</w:t>
            </w:r>
          </w:p>
        </w:tc>
      </w:tr>
      <w:tr w14:paraId="48176765">
        <w:tblPrEx>
          <w:tblCellMar>
            <w:top w:w="0" w:type="dxa"/>
            <w:left w:w="108" w:type="dxa"/>
            <w:bottom w:w="0" w:type="dxa"/>
            <w:right w:w="108" w:type="dxa"/>
          </w:tblCellMar>
        </w:tblPrEx>
        <w:trPr>
          <w:trHeight w:val="300" w:hRule="atLeast"/>
        </w:trPr>
        <w:tc>
          <w:tcPr>
            <w:tcW w:w="1555" w:type="dxa"/>
            <w:tcBorders>
              <w:top w:val="nil"/>
              <w:left w:val="single" w:color="auto" w:sz="4" w:space="0"/>
              <w:bottom w:val="single" w:color="auto" w:sz="4" w:space="0"/>
              <w:right w:val="single" w:color="auto" w:sz="4" w:space="0"/>
            </w:tcBorders>
            <w:shd w:val="clear" w:color="auto" w:fill="auto"/>
            <w:noWrap/>
            <w:vAlign w:val="center"/>
          </w:tcPr>
          <w:p w14:paraId="1C11665A">
            <w:pPr>
              <w:pStyle w:val="3361"/>
              <w:rPr>
                <w:rFonts w:hint="eastAsia"/>
                <w:color w:val="auto"/>
                <w:lang w:val="en-US" w:eastAsia="zh-CN"/>
              </w:rPr>
            </w:pPr>
            <w:r>
              <w:rPr>
                <w:rFonts w:hint="default"/>
                <w:color w:val="auto"/>
                <w:lang w:val="en-US" w:eastAsia="zh-CN"/>
              </w:rPr>
              <w:t>100d</w:t>
            </w:r>
          </w:p>
        </w:tc>
        <w:tc>
          <w:tcPr>
            <w:tcW w:w="1378" w:type="dxa"/>
            <w:tcBorders>
              <w:top w:val="nil"/>
              <w:left w:val="nil"/>
              <w:bottom w:val="single" w:color="auto" w:sz="4" w:space="0"/>
              <w:right w:val="single" w:color="auto" w:sz="4" w:space="0"/>
            </w:tcBorders>
            <w:shd w:val="clear" w:color="auto" w:fill="auto"/>
            <w:noWrap/>
            <w:vAlign w:val="center"/>
          </w:tcPr>
          <w:p w14:paraId="748C165C">
            <w:pPr>
              <w:pStyle w:val="3361"/>
              <w:rPr>
                <w:rFonts w:hint="eastAsia"/>
                <w:color w:val="auto"/>
                <w:lang w:val="en-US" w:eastAsia="zh-CN"/>
              </w:rPr>
            </w:pPr>
            <w:r>
              <w:rPr>
                <w:rFonts w:hint="default"/>
                <w:color w:val="auto"/>
                <w:lang w:val="en-US" w:eastAsia="zh-CN"/>
              </w:rPr>
              <w:t>59</w:t>
            </w:r>
          </w:p>
        </w:tc>
        <w:tc>
          <w:tcPr>
            <w:tcW w:w="1265" w:type="dxa"/>
            <w:tcBorders>
              <w:top w:val="nil"/>
              <w:left w:val="nil"/>
              <w:bottom w:val="single" w:color="auto" w:sz="4" w:space="0"/>
              <w:right w:val="single" w:color="auto" w:sz="4" w:space="0"/>
            </w:tcBorders>
            <w:shd w:val="clear" w:color="auto" w:fill="auto"/>
            <w:noWrap/>
            <w:vAlign w:val="center"/>
          </w:tcPr>
          <w:p w14:paraId="297E23C4">
            <w:pPr>
              <w:pStyle w:val="3361"/>
              <w:rPr>
                <w:rFonts w:hint="eastAsia"/>
                <w:color w:val="auto"/>
                <w:lang w:val="en-US" w:eastAsia="zh-CN"/>
              </w:rPr>
            </w:pPr>
            <w:r>
              <w:rPr>
                <w:rFonts w:hint="default"/>
                <w:color w:val="auto"/>
                <w:lang w:val="en-US" w:eastAsia="zh-CN"/>
              </w:rPr>
              <w:t>1000d</w:t>
            </w:r>
          </w:p>
        </w:tc>
        <w:tc>
          <w:tcPr>
            <w:tcW w:w="1926" w:type="dxa"/>
            <w:tcBorders>
              <w:top w:val="nil"/>
              <w:left w:val="nil"/>
              <w:bottom w:val="single" w:color="auto" w:sz="4" w:space="0"/>
              <w:right w:val="single" w:color="auto" w:sz="4" w:space="0"/>
            </w:tcBorders>
            <w:shd w:val="clear" w:color="auto" w:fill="auto"/>
            <w:noWrap/>
            <w:vAlign w:val="center"/>
          </w:tcPr>
          <w:p w14:paraId="0028CFF2">
            <w:pPr>
              <w:pStyle w:val="3361"/>
              <w:rPr>
                <w:rFonts w:hint="eastAsia"/>
                <w:color w:val="auto"/>
                <w:lang w:val="en-US" w:eastAsia="zh-CN"/>
              </w:rPr>
            </w:pPr>
            <w:r>
              <w:rPr>
                <w:rFonts w:hint="default"/>
                <w:color w:val="auto"/>
                <w:lang w:val="en-US" w:eastAsia="zh-CN"/>
              </w:rPr>
              <w:t>205</w:t>
            </w:r>
          </w:p>
        </w:tc>
        <w:tc>
          <w:tcPr>
            <w:tcW w:w="1159" w:type="dxa"/>
            <w:tcBorders>
              <w:top w:val="nil"/>
              <w:left w:val="nil"/>
              <w:bottom w:val="single" w:color="auto" w:sz="4" w:space="0"/>
              <w:right w:val="single" w:color="auto" w:sz="4" w:space="0"/>
            </w:tcBorders>
            <w:shd w:val="clear" w:color="auto" w:fill="auto"/>
            <w:noWrap/>
            <w:vAlign w:val="center"/>
          </w:tcPr>
          <w:p w14:paraId="02D98768">
            <w:pPr>
              <w:pStyle w:val="3361"/>
              <w:rPr>
                <w:rFonts w:hint="eastAsia"/>
                <w:color w:val="auto"/>
                <w:lang w:val="en-US" w:eastAsia="zh-CN"/>
              </w:rPr>
            </w:pPr>
            <w:r>
              <w:rPr>
                <w:rFonts w:hint="default"/>
                <w:color w:val="auto"/>
                <w:lang w:val="en-US" w:eastAsia="zh-CN"/>
              </w:rPr>
              <w:t>10</w:t>
            </w:r>
            <w:r>
              <w:rPr>
                <w:rFonts w:hint="eastAsia"/>
                <w:color w:val="auto"/>
                <w:lang w:val="en-US" w:eastAsia="zh-CN"/>
              </w:rPr>
              <w:t>年</w:t>
            </w:r>
          </w:p>
        </w:tc>
        <w:tc>
          <w:tcPr>
            <w:tcW w:w="1777" w:type="dxa"/>
            <w:tcBorders>
              <w:top w:val="nil"/>
              <w:left w:val="nil"/>
              <w:bottom w:val="single" w:color="auto" w:sz="4" w:space="0"/>
              <w:right w:val="single" w:color="auto" w:sz="4" w:space="0"/>
            </w:tcBorders>
            <w:shd w:val="clear" w:color="auto" w:fill="auto"/>
            <w:noWrap/>
            <w:vAlign w:val="center"/>
          </w:tcPr>
          <w:p w14:paraId="18ED8C6F">
            <w:pPr>
              <w:pStyle w:val="3361"/>
              <w:rPr>
                <w:rFonts w:hint="eastAsia"/>
                <w:color w:val="auto"/>
                <w:lang w:val="en-US" w:eastAsia="zh-CN"/>
              </w:rPr>
            </w:pPr>
            <w:r>
              <w:rPr>
                <w:rFonts w:hint="default"/>
                <w:color w:val="auto"/>
                <w:lang w:val="en-US" w:eastAsia="zh-CN"/>
              </w:rPr>
              <w:t>443</w:t>
            </w:r>
          </w:p>
        </w:tc>
      </w:tr>
    </w:tbl>
    <w:p w14:paraId="53673A70">
      <w:pPr>
        <w:pStyle w:val="1983"/>
        <w:spacing w:line="240" w:lineRule="auto"/>
        <w:rPr>
          <w:color w:val="auto"/>
        </w:rPr>
        <w:sectPr>
          <w:pgSz w:w="11906" w:h="16838"/>
          <w:pgMar w:top="1418" w:right="1418" w:bottom="1418" w:left="1418" w:header="851" w:footer="992" w:gutter="0"/>
          <w:pgBorders>
            <w:top w:val="none" w:sz="0" w:space="0"/>
            <w:left w:val="none" w:sz="0" w:space="0"/>
            <w:bottom w:val="none" w:sz="0" w:space="0"/>
            <w:right w:val="none" w:sz="0" w:space="0"/>
          </w:pgBorders>
          <w:cols w:space="425" w:num="1"/>
          <w:docGrid w:linePitch="312" w:charSpace="0"/>
        </w:sectPr>
      </w:pPr>
    </w:p>
    <w:p w14:paraId="487CDE12">
      <w:pPr>
        <w:pStyle w:val="1983"/>
        <w:spacing w:line="240" w:lineRule="auto"/>
        <w:rPr>
          <w:color w:val="auto"/>
        </w:rPr>
      </w:pPr>
      <w:r>
        <w:rPr>
          <w:color w:val="auto"/>
        </w:rPr>
        <w:drawing>
          <wp:inline distT="0" distB="0" distL="114300" distR="114300">
            <wp:extent cx="3691890" cy="1916430"/>
            <wp:effectExtent l="4445" t="4445" r="18415" b="22225"/>
            <wp:docPr id="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Pr>
          <w:color w:val="auto"/>
        </w:rPr>
        <w:drawing>
          <wp:inline distT="0" distB="0" distL="114300" distR="114300">
            <wp:extent cx="3659505" cy="2273935"/>
            <wp:effectExtent l="4445" t="4445" r="12700" b="7620"/>
            <wp:docPr id="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Pr>
          <w:color w:val="auto"/>
        </w:rPr>
        <w:drawing>
          <wp:inline distT="0" distB="0" distL="114300" distR="114300">
            <wp:extent cx="3659505" cy="1987550"/>
            <wp:effectExtent l="4445" t="4445" r="12700" b="8255"/>
            <wp:docPr id="8"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0CE71AA">
      <w:pPr>
        <w:pStyle w:val="1983"/>
        <w:spacing w:line="240" w:lineRule="auto"/>
        <w:rPr>
          <w:color w:val="auto"/>
        </w:rPr>
      </w:pPr>
    </w:p>
    <w:p w14:paraId="096E9E52">
      <w:pPr>
        <w:pStyle w:val="1983"/>
        <w:rPr>
          <w:color w:val="auto"/>
        </w:rPr>
      </w:pPr>
      <w:r>
        <w:rPr>
          <w:rFonts w:hint="eastAsia"/>
          <w:color w:val="auto"/>
        </w:rPr>
        <w:t>图</w:t>
      </w:r>
      <w:r>
        <w:rPr>
          <w:color w:val="auto"/>
        </w:rPr>
        <w:t xml:space="preserve">6.3-3 </w:t>
      </w:r>
      <w:r>
        <w:rPr>
          <w:rFonts w:hint="eastAsia"/>
          <w:color w:val="auto"/>
        </w:rPr>
        <w:t>泄漏的COD对地下水下游</w:t>
      </w:r>
      <w:r>
        <w:rPr>
          <w:color w:val="auto"/>
        </w:rPr>
        <w:t>影响预测</w:t>
      </w:r>
      <w:r>
        <w:rPr>
          <w:rFonts w:hint="eastAsia"/>
          <w:color w:val="auto"/>
        </w:rPr>
        <w:t>图</w:t>
      </w:r>
    </w:p>
    <w:p w14:paraId="71BBBD59">
      <w:pPr>
        <w:ind w:firstLine="480"/>
        <w:rPr>
          <w:color w:val="auto"/>
        </w:rPr>
      </w:pPr>
    </w:p>
    <w:p w14:paraId="04EC3B57">
      <w:pPr>
        <w:ind w:firstLine="480"/>
        <w:rPr>
          <w:color w:val="auto"/>
        </w:rPr>
      </w:pPr>
      <w:r>
        <w:rPr>
          <w:color w:val="auto"/>
        </w:rPr>
        <w:t>预测结果表明，</w:t>
      </w:r>
      <w:r>
        <w:rPr>
          <w:rFonts w:hint="eastAsia"/>
          <w:color w:val="auto"/>
        </w:rPr>
        <w:t>当废水处理站调节池发生泄漏，</w:t>
      </w:r>
      <w:r>
        <w:rPr>
          <w:color w:val="auto"/>
        </w:rPr>
        <w:t>进入地下水含水层，主要污染物</w:t>
      </w:r>
      <w:r>
        <w:rPr>
          <w:rFonts w:hint="eastAsia"/>
          <w:color w:val="auto"/>
        </w:rPr>
        <w:t>C</w:t>
      </w:r>
      <w:r>
        <w:rPr>
          <w:color w:val="auto"/>
        </w:rPr>
        <w:t>OD在地下水含水层的迁移速度比较缓慢并且随着时间推移下游污染物浓度逐渐升高</w:t>
      </w:r>
      <w:r>
        <w:rPr>
          <w:rFonts w:hint="eastAsia"/>
          <w:color w:val="auto"/>
        </w:rPr>
        <w:t>，运动方向根据水文地质图为泄漏点向</w:t>
      </w:r>
      <w:r>
        <w:rPr>
          <w:rFonts w:hint="eastAsia"/>
          <w:color w:val="auto"/>
          <w:lang w:eastAsia="zh-CN"/>
        </w:rPr>
        <w:t>西</w:t>
      </w:r>
      <w:r>
        <w:rPr>
          <w:rFonts w:hint="eastAsia"/>
          <w:color w:val="auto"/>
        </w:rPr>
        <w:t>迁移</w:t>
      </w:r>
      <w:r>
        <w:rPr>
          <w:color w:val="auto"/>
        </w:rPr>
        <w:t>。泄漏发生100天时</w:t>
      </w:r>
      <w:r>
        <w:rPr>
          <w:rFonts w:hint="eastAsia"/>
          <w:color w:val="auto"/>
        </w:rPr>
        <w:t>，</w:t>
      </w:r>
      <w:r>
        <w:rPr>
          <w:color w:val="auto"/>
        </w:rPr>
        <w:t>预测超标距离最远为</w:t>
      </w:r>
      <w:r>
        <w:rPr>
          <w:rFonts w:hint="eastAsia"/>
          <w:color w:val="auto"/>
          <w:lang w:val="en-US" w:eastAsia="zh-CN"/>
        </w:rPr>
        <w:t>59</w:t>
      </w:r>
      <w:r>
        <w:rPr>
          <w:color w:val="auto"/>
        </w:rPr>
        <w:t>m</w:t>
      </w:r>
      <w:r>
        <w:rPr>
          <w:rFonts w:hint="eastAsia"/>
          <w:color w:val="auto"/>
        </w:rPr>
        <w:t>，</w:t>
      </w:r>
      <w:r>
        <w:rPr>
          <w:color w:val="auto"/>
        </w:rPr>
        <w:t>不会对</w:t>
      </w:r>
      <w:r>
        <w:rPr>
          <w:rFonts w:hint="eastAsia"/>
          <w:color w:val="auto"/>
          <w:lang w:eastAsia="zh-CN"/>
        </w:rPr>
        <w:t>长江</w:t>
      </w:r>
      <w:r>
        <w:rPr>
          <w:color w:val="auto"/>
        </w:rPr>
        <w:t>造成超标影响</w:t>
      </w:r>
      <w:r>
        <w:rPr>
          <w:rFonts w:hint="eastAsia"/>
          <w:color w:val="auto"/>
          <w:lang w:eastAsia="zh-CN"/>
        </w:rPr>
        <w:t>。</w:t>
      </w:r>
      <w:r>
        <w:rPr>
          <w:color w:val="auto"/>
        </w:rPr>
        <w:t>泄漏发生1000</w:t>
      </w:r>
      <w:r>
        <w:rPr>
          <w:rFonts w:hint="eastAsia"/>
          <w:color w:val="auto"/>
        </w:rPr>
        <w:t>天</w:t>
      </w:r>
      <w:r>
        <w:rPr>
          <w:color w:val="auto"/>
        </w:rPr>
        <w:t>时</w:t>
      </w:r>
      <w:r>
        <w:rPr>
          <w:rFonts w:hint="eastAsia"/>
          <w:color w:val="auto"/>
        </w:rPr>
        <w:t>，</w:t>
      </w:r>
      <w:r>
        <w:rPr>
          <w:color w:val="auto"/>
        </w:rPr>
        <w:t>预测超标距离最远为</w:t>
      </w:r>
      <w:r>
        <w:rPr>
          <w:rFonts w:hint="eastAsia"/>
          <w:color w:val="auto"/>
          <w:lang w:val="en-US" w:eastAsia="zh-CN"/>
        </w:rPr>
        <w:t>205</w:t>
      </w:r>
      <w:r>
        <w:rPr>
          <w:color w:val="auto"/>
        </w:rPr>
        <w:t>m</w:t>
      </w:r>
      <w:r>
        <w:rPr>
          <w:rFonts w:hint="eastAsia"/>
          <w:color w:val="auto"/>
        </w:rPr>
        <w:t>，</w:t>
      </w:r>
      <w:r>
        <w:rPr>
          <w:color w:val="auto"/>
        </w:rPr>
        <w:t>泄漏发生3650天</w:t>
      </w:r>
      <w:r>
        <w:rPr>
          <w:rFonts w:hint="eastAsia"/>
          <w:color w:val="auto"/>
        </w:rPr>
        <w:t>后</w:t>
      </w:r>
      <w:r>
        <w:rPr>
          <w:color w:val="auto"/>
        </w:rPr>
        <w:t>，预测超标距离最远为</w:t>
      </w:r>
      <w:r>
        <w:rPr>
          <w:rFonts w:hint="eastAsia"/>
          <w:color w:val="auto"/>
          <w:lang w:val="en-US" w:eastAsia="zh-CN"/>
        </w:rPr>
        <w:t>443</w:t>
      </w:r>
      <w:r>
        <w:rPr>
          <w:color w:val="auto"/>
        </w:rPr>
        <w:t>m，</w:t>
      </w:r>
      <w:r>
        <w:rPr>
          <w:rFonts w:hint="eastAsia"/>
          <w:color w:val="auto"/>
          <w:lang w:eastAsia="zh-CN"/>
        </w:rPr>
        <w:t>泄漏已经到达长江，</w:t>
      </w:r>
      <w:r>
        <w:rPr>
          <w:color w:val="auto"/>
        </w:rPr>
        <w:t>对</w:t>
      </w:r>
      <w:r>
        <w:rPr>
          <w:rFonts w:hint="eastAsia"/>
          <w:color w:val="auto"/>
          <w:lang w:eastAsia="zh-CN"/>
        </w:rPr>
        <w:t>长江会</w:t>
      </w:r>
      <w:r>
        <w:rPr>
          <w:color w:val="auto"/>
        </w:rPr>
        <w:t>造成</w:t>
      </w:r>
      <w:r>
        <w:rPr>
          <w:rFonts w:hint="eastAsia"/>
          <w:color w:val="auto"/>
          <w:lang w:eastAsia="zh-CN"/>
        </w:rPr>
        <w:t>一定</w:t>
      </w:r>
      <w:r>
        <w:rPr>
          <w:color w:val="auto"/>
        </w:rPr>
        <w:t>影响</w:t>
      </w:r>
      <w:r>
        <w:rPr>
          <w:rFonts w:hint="eastAsia"/>
          <w:color w:val="auto"/>
        </w:rPr>
        <w:t>。项目定期开</w:t>
      </w:r>
      <w:r>
        <w:rPr>
          <w:rFonts w:hint="eastAsia"/>
          <w:color w:val="auto"/>
          <w:lang w:eastAsia="zh-CN"/>
        </w:rPr>
        <w:t>展地</w:t>
      </w:r>
      <w:r>
        <w:rPr>
          <w:rFonts w:hint="eastAsia"/>
          <w:color w:val="auto"/>
        </w:rPr>
        <w:t>下水环境跟踪监测，一旦发现异常，立即排查泄漏点，防止地下水对</w:t>
      </w:r>
      <w:r>
        <w:rPr>
          <w:rFonts w:hint="eastAsia"/>
          <w:color w:val="auto"/>
          <w:lang w:eastAsia="zh-CN"/>
        </w:rPr>
        <w:t>长江</w:t>
      </w:r>
      <w:r>
        <w:rPr>
          <w:rFonts w:hint="eastAsia"/>
          <w:color w:val="auto"/>
        </w:rPr>
        <w:t>产生影响。</w:t>
      </w:r>
    </w:p>
    <w:p w14:paraId="4A9EC674">
      <w:pPr>
        <w:ind w:firstLine="480"/>
        <w:rPr>
          <w:color w:val="auto"/>
        </w:rPr>
      </w:pPr>
      <w:r>
        <w:rPr>
          <w:color w:val="auto"/>
        </w:rPr>
        <w:t>（2）事故状况下</w:t>
      </w:r>
      <w:r>
        <w:rPr>
          <w:rFonts w:hint="eastAsia"/>
          <w:color w:val="auto"/>
        </w:rPr>
        <w:t>废水处理站调节池泄</w:t>
      </w:r>
      <w:r>
        <w:rPr>
          <w:color w:val="auto"/>
        </w:rPr>
        <w:t>漏地下水</w:t>
      </w:r>
      <w:r>
        <w:rPr>
          <w:rFonts w:hint="eastAsia"/>
          <w:color w:val="auto"/>
        </w:rPr>
        <w:t>（氯化物）</w:t>
      </w:r>
      <w:r>
        <w:rPr>
          <w:color w:val="auto"/>
        </w:rPr>
        <w:t>污染预测</w:t>
      </w:r>
    </w:p>
    <w:p w14:paraId="4D268284">
      <w:pPr>
        <w:ind w:firstLine="480"/>
        <w:rPr>
          <w:color w:val="auto"/>
        </w:rPr>
      </w:pPr>
      <w:r>
        <w:rPr>
          <w:rFonts w:hint="eastAsia"/>
          <w:color w:val="auto"/>
        </w:rPr>
        <w:t>本次评价分别预测泄漏后100天、</w:t>
      </w:r>
      <w:r>
        <w:rPr>
          <w:color w:val="auto"/>
        </w:rPr>
        <w:t>1000</w:t>
      </w:r>
      <w:r>
        <w:rPr>
          <w:rFonts w:hint="eastAsia"/>
          <w:color w:val="auto"/>
        </w:rPr>
        <w:t>天和3</w:t>
      </w:r>
      <w:r>
        <w:rPr>
          <w:color w:val="auto"/>
        </w:rPr>
        <w:t>650</w:t>
      </w:r>
      <w:r>
        <w:rPr>
          <w:rFonts w:hint="eastAsia"/>
          <w:color w:val="auto"/>
        </w:rPr>
        <w:t>天时，废水处理站调节池泄漏后氯化物在地下水环境中的影响浓度值。非正常状况下</w:t>
      </w:r>
      <w:r>
        <w:rPr>
          <w:color w:val="auto"/>
        </w:rPr>
        <w:t>地下水污染预测结果见</w:t>
      </w:r>
      <w:r>
        <w:rPr>
          <w:rFonts w:hint="eastAsia"/>
          <w:color w:val="auto"/>
        </w:rPr>
        <w:t>表</w:t>
      </w:r>
      <w:r>
        <w:rPr>
          <w:color w:val="auto"/>
        </w:rPr>
        <w:t>6.3-4和</w:t>
      </w:r>
      <w:r>
        <w:rPr>
          <w:rFonts w:hint="eastAsia"/>
          <w:color w:val="auto"/>
        </w:rPr>
        <w:t>图</w:t>
      </w:r>
      <w:r>
        <w:rPr>
          <w:color w:val="auto"/>
        </w:rPr>
        <w:t>6.3-2。</w:t>
      </w:r>
    </w:p>
    <w:p w14:paraId="79862545">
      <w:pPr>
        <w:pStyle w:val="1983"/>
        <w:rPr>
          <w:color w:val="auto"/>
        </w:rPr>
      </w:pPr>
      <w:r>
        <w:rPr>
          <w:color w:val="auto"/>
        </w:rPr>
        <w:t>表6.3-4</w:t>
      </w:r>
      <w:r>
        <w:rPr>
          <w:rFonts w:hint="eastAsia"/>
          <w:color w:val="auto"/>
        </w:rPr>
        <w:t>非正常状况泄漏对地下水下游</w:t>
      </w:r>
      <w:r>
        <w:rPr>
          <w:color w:val="auto"/>
        </w:rPr>
        <w:t>影响预测结果表</w:t>
      </w:r>
      <w:r>
        <w:rPr>
          <w:rFonts w:hint="eastAsia"/>
          <w:color w:val="auto"/>
        </w:rPr>
        <w:t>（氯化物）</w:t>
      </w:r>
    </w:p>
    <w:tbl>
      <w:tblPr>
        <w:tblStyle w:val="88"/>
        <w:tblW w:w="5000" w:type="pct"/>
        <w:tblInd w:w="0" w:type="dxa"/>
        <w:tblLayout w:type="autofit"/>
        <w:tblCellMar>
          <w:top w:w="0" w:type="dxa"/>
          <w:left w:w="108" w:type="dxa"/>
          <w:bottom w:w="0" w:type="dxa"/>
          <w:right w:w="108" w:type="dxa"/>
        </w:tblCellMar>
      </w:tblPr>
      <w:tblGrid>
        <w:gridCol w:w="1594"/>
        <w:gridCol w:w="1412"/>
        <w:gridCol w:w="1297"/>
        <w:gridCol w:w="1974"/>
        <w:gridCol w:w="1188"/>
        <w:gridCol w:w="1821"/>
      </w:tblGrid>
      <w:tr w14:paraId="5BCB7F2C">
        <w:tblPrEx>
          <w:tblCellMar>
            <w:top w:w="0" w:type="dxa"/>
            <w:left w:w="108" w:type="dxa"/>
            <w:bottom w:w="0" w:type="dxa"/>
            <w:right w:w="108" w:type="dxa"/>
          </w:tblCellMar>
        </w:tblPrEx>
        <w:trPr>
          <w:trHeight w:val="270" w:hRule="atLeast"/>
        </w:trPr>
        <w:tc>
          <w:tcPr>
            <w:tcW w:w="293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338A3099">
            <w:pPr>
              <w:pStyle w:val="3361"/>
              <w:rPr>
                <w:color w:val="auto"/>
              </w:rPr>
            </w:pPr>
            <w:r>
              <w:rPr>
                <w:rFonts w:hint="eastAsia"/>
                <w:color w:val="auto"/>
              </w:rPr>
              <w:t>泄漏后100天</w:t>
            </w:r>
          </w:p>
        </w:tc>
        <w:tc>
          <w:tcPr>
            <w:tcW w:w="3191" w:type="dxa"/>
            <w:gridSpan w:val="2"/>
            <w:tcBorders>
              <w:top w:val="single" w:color="auto" w:sz="4" w:space="0"/>
              <w:left w:val="nil"/>
              <w:bottom w:val="single" w:color="auto" w:sz="4" w:space="0"/>
              <w:right w:val="single" w:color="auto" w:sz="4" w:space="0"/>
            </w:tcBorders>
            <w:shd w:val="clear" w:color="auto" w:fill="auto"/>
            <w:noWrap/>
            <w:vAlign w:val="center"/>
          </w:tcPr>
          <w:p w14:paraId="156D3ABE">
            <w:pPr>
              <w:pStyle w:val="3361"/>
              <w:rPr>
                <w:color w:val="auto"/>
              </w:rPr>
            </w:pPr>
            <w:r>
              <w:rPr>
                <w:rFonts w:hint="eastAsia"/>
                <w:color w:val="auto"/>
              </w:rPr>
              <w:t>泄漏后1000天</w:t>
            </w:r>
          </w:p>
        </w:tc>
        <w:tc>
          <w:tcPr>
            <w:tcW w:w="2936" w:type="dxa"/>
            <w:gridSpan w:val="2"/>
            <w:tcBorders>
              <w:top w:val="single" w:color="auto" w:sz="4" w:space="0"/>
              <w:left w:val="nil"/>
              <w:bottom w:val="single" w:color="auto" w:sz="4" w:space="0"/>
              <w:right w:val="single" w:color="auto" w:sz="4" w:space="0"/>
            </w:tcBorders>
            <w:shd w:val="clear" w:color="auto" w:fill="auto"/>
            <w:noWrap/>
            <w:vAlign w:val="center"/>
          </w:tcPr>
          <w:p w14:paraId="0A367084">
            <w:pPr>
              <w:pStyle w:val="3361"/>
              <w:rPr>
                <w:color w:val="auto"/>
              </w:rPr>
            </w:pPr>
            <w:r>
              <w:rPr>
                <w:rFonts w:hint="eastAsia"/>
                <w:color w:val="auto"/>
              </w:rPr>
              <w:t>泄漏后10年</w:t>
            </w:r>
          </w:p>
        </w:tc>
      </w:tr>
      <w:tr w14:paraId="315BDFF6">
        <w:tblPrEx>
          <w:tblCellMar>
            <w:top w:w="0" w:type="dxa"/>
            <w:left w:w="108" w:type="dxa"/>
            <w:bottom w:w="0" w:type="dxa"/>
            <w:right w:w="108" w:type="dxa"/>
          </w:tblCellMar>
        </w:tblPrEx>
        <w:trPr>
          <w:trHeight w:val="480" w:hRule="atLeast"/>
        </w:trPr>
        <w:tc>
          <w:tcPr>
            <w:tcW w:w="1555" w:type="dxa"/>
            <w:vMerge w:val="restart"/>
            <w:tcBorders>
              <w:top w:val="nil"/>
              <w:left w:val="single" w:color="auto" w:sz="4" w:space="0"/>
              <w:bottom w:val="single" w:color="auto" w:sz="4" w:space="0"/>
              <w:right w:val="single" w:color="auto" w:sz="4" w:space="0"/>
            </w:tcBorders>
            <w:shd w:val="clear" w:color="auto" w:fill="auto"/>
            <w:vAlign w:val="center"/>
          </w:tcPr>
          <w:p w14:paraId="59828CF6">
            <w:pPr>
              <w:pStyle w:val="3361"/>
              <w:rPr>
                <w:color w:val="auto"/>
              </w:rPr>
            </w:pPr>
            <w:r>
              <w:rPr>
                <w:rFonts w:hint="eastAsia"/>
                <w:color w:val="auto"/>
              </w:rPr>
              <w:t>下游距离（m）</w:t>
            </w:r>
          </w:p>
        </w:tc>
        <w:tc>
          <w:tcPr>
            <w:tcW w:w="1378" w:type="dxa"/>
            <w:vMerge w:val="restart"/>
            <w:tcBorders>
              <w:top w:val="nil"/>
              <w:left w:val="single" w:color="auto" w:sz="4" w:space="0"/>
              <w:bottom w:val="single" w:color="auto" w:sz="4" w:space="0"/>
              <w:right w:val="single" w:color="auto" w:sz="4" w:space="0"/>
            </w:tcBorders>
            <w:shd w:val="clear" w:color="auto" w:fill="auto"/>
            <w:noWrap/>
            <w:vAlign w:val="center"/>
          </w:tcPr>
          <w:p w14:paraId="4C46D84B">
            <w:pPr>
              <w:pStyle w:val="3361"/>
              <w:rPr>
                <w:color w:val="auto"/>
              </w:rPr>
            </w:pPr>
            <w:r>
              <w:rPr>
                <w:rFonts w:hint="eastAsia"/>
                <w:color w:val="auto"/>
              </w:rPr>
              <w:t>浓度（mg/L）</w:t>
            </w:r>
          </w:p>
        </w:tc>
        <w:tc>
          <w:tcPr>
            <w:tcW w:w="1265" w:type="dxa"/>
            <w:vMerge w:val="restart"/>
            <w:tcBorders>
              <w:top w:val="nil"/>
              <w:left w:val="single" w:color="auto" w:sz="4" w:space="0"/>
              <w:bottom w:val="single" w:color="auto" w:sz="4" w:space="0"/>
              <w:right w:val="single" w:color="auto" w:sz="4" w:space="0"/>
            </w:tcBorders>
            <w:shd w:val="clear" w:color="auto" w:fill="auto"/>
            <w:vAlign w:val="center"/>
          </w:tcPr>
          <w:p w14:paraId="762DBC8F">
            <w:pPr>
              <w:pStyle w:val="3361"/>
              <w:rPr>
                <w:color w:val="auto"/>
              </w:rPr>
            </w:pPr>
            <w:r>
              <w:rPr>
                <w:rFonts w:hint="eastAsia"/>
                <w:color w:val="auto"/>
              </w:rPr>
              <w:t>下游距离（m）</w:t>
            </w:r>
          </w:p>
        </w:tc>
        <w:tc>
          <w:tcPr>
            <w:tcW w:w="1926" w:type="dxa"/>
            <w:vMerge w:val="restart"/>
            <w:tcBorders>
              <w:top w:val="nil"/>
              <w:left w:val="single" w:color="auto" w:sz="4" w:space="0"/>
              <w:bottom w:val="single" w:color="auto" w:sz="4" w:space="0"/>
              <w:right w:val="single" w:color="auto" w:sz="4" w:space="0"/>
            </w:tcBorders>
            <w:shd w:val="clear" w:color="auto" w:fill="auto"/>
            <w:noWrap/>
            <w:vAlign w:val="center"/>
          </w:tcPr>
          <w:p w14:paraId="36111355">
            <w:pPr>
              <w:pStyle w:val="3361"/>
              <w:rPr>
                <w:color w:val="auto"/>
              </w:rPr>
            </w:pPr>
            <w:r>
              <w:rPr>
                <w:rFonts w:hint="eastAsia"/>
                <w:color w:val="auto"/>
              </w:rPr>
              <w:t>浓度（mg/L）</w:t>
            </w:r>
          </w:p>
        </w:tc>
        <w:tc>
          <w:tcPr>
            <w:tcW w:w="1159" w:type="dxa"/>
            <w:vMerge w:val="restart"/>
            <w:tcBorders>
              <w:top w:val="nil"/>
              <w:left w:val="single" w:color="auto" w:sz="4" w:space="0"/>
              <w:bottom w:val="single" w:color="auto" w:sz="4" w:space="0"/>
              <w:right w:val="single" w:color="auto" w:sz="4" w:space="0"/>
            </w:tcBorders>
            <w:shd w:val="clear" w:color="auto" w:fill="auto"/>
            <w:vAlign w:val="center"/>
          </w:tcPr>
          <w:p w14:paraId="1E11F74F">
            <w:pPr>
              <w:pStyle w:val="3361"/>
              <w:rPr>
                <w:color w:val="auto"/>
              </w:rPr>
            </w:pPr>
            <w:r>
              <w:rPr>
                <w:rFonts w:hint="eastAsia"/>
                <w:color w:val="auto"/>
              </w:rPr>
              <w:t>下游距离（m）</w:t>
            </w:r>
          </w:p>
        </w:tc>
        <w:tc>
          <w:tcPr>
            <w:tcW w:w="1777" w:type="dxa"/>
            <w:vMerge w:val="restart"/>
            <w:tcBorders>
              <w:top w:val="nil"/>
              <w:left w:val="single" w:color="auto" w:sz="4" w:space="0"/>
              <w:bottom w:val="single" w:color="auto" w:sz="4" w:space="0"/>
              <w:right w:val="single" w:color="auto" w:sz="4" w:space="0"/>
            </w:tcBorders>
            <w:shd w:val="clear" w:color="auto" w:fill="auto"/>
            <w:noWrap/>
            <w:vAlign w:val="center"/>
          </w:tcPr>
          <w:p w14:paraId="2C849882">
            <w:pPr>
              <w:pStyle w:val="3361"/>
              <w:rPr>
                <w:color w:val="auto"/>
              </w:rPr>
            </w:pPr>
            <w:r>
              <w:rPr>
                <w:rFonts w:hint="eastAsia"/>
                <w:color w:val="auto"/>
              </w:rPr>
              <w:t>浓度（mg/L）</w:t>
            </w:r>
          </w:p>
        </w:tc>
      </w:tr>
      <w:tr w14:paraId="0485DDFF">
        <w:tblPrEx>
          <w:tblCellMar>
            <w:top w:w="0" w:type="dxa"/>
            <w:left w:w="108" w:type="dxa"/>
            <w:bottom w:w="0" w:type="dxa"/>
            <w:right w:w="108" w:type="dxa"/>
          </w:tblCellMar>
        </w:tblPrEx>
        <w:trPr>
          <w:trHeight w:val="600" w:hRule="atLeast"/>
        </w:trPr>
        <w:tc>
          <w:tcPr>
            <w:tcW w:w="1555" w:type="dxa"/>
            <w:vMerge w:val="continue"/>
            <w:tcBorders>
              <w:top w:val="nil"/>
              <w:left w:val="single" w:color="auto" w:sz="4" w:space="0"/>
              <w:bottom w:val="single" w:color="auto" w:sz="4" w:space="0"/>
              <w:right w:val="single" w:color="auto" w:sz="4" w:space="0"/>
            </w:tcBorders>
            <w:vAlign w:val="center"/>
          </w:tcPr>
          <w:p w14:paraId="61B738EE">
            <w:pPr>
              <w:pStyle w:val="3361"/>
              <w:rPr>
                <w:color w:val="auto"/>
              </w:rPr>
            </w:pPr>
          </w:p>
        </w:tc>
        <w:tc>
          <w:tcPr>
            <w:tcW w:w="1378" w:type="dxa"/>
            <w:vMerge w:val="continue"/>
            <w:tcBorders>
              <w:top w:val="nil"/>
              <w:left w:val="single" w:color="auto" w:sz="4" w:space="0"/>
              <w:bottom w:val="single" w:color="auto" w:sz="4" w:space="0"/>
              <w:right w:val="single" w:color="auto" w:sz="4" w:space="0"/>
            </w:tcBorders>
            <w:vAlign w:val="center"/>
          </w:tcPr>
          <w:p w14:paraId="2845D32F">
            <w:pPr>
              <w:pStyle w:val="3361"/>
              <w:rPr>
                <w:color w:val="auto"/>
              </w:rPr>
            </w:pPr>
          </w:p>
        </w:tc>
        <w:tc>
          <w:tcPr>
            <w:tcW w:w="1265" w:type="dxa"/>
            <w:vMerge w:val="continue"/>
            <w:tcBorders>
              <w:top w:val="nil"/>
              <w:left w:val="single" w:color="auto" w:sz="4" w:space="0"/>
              <w:bottom w:val="single" w:color="auto" w:sz="4" w:space="0"/>
              <w:right w:val="single" w:color="auto" w:sz="4" w:space="0"/>
            </w:tcBorders>
            <w:vAlign w:val="center"/>
          </w:tcPr>
          <w:p w14:paraId="276EF985">
            <w:pPr>
              <w:pStyle w:val="3361"/>
              <w:rPr>
                <w:color w:val="auto"/>
              </w:rPr>
            </w:pPr>
          </w:p>
        </w:tc>
        <w:tc>
          <w:tcPr>
            <w:tcW w:w="1926" w:type="dxa"/>
            <w:vMerge w:val="continue"/>
            <w:tcBorders>
              <w:top w:val="nil"/>
              <w:left w:val="single" w:color="auto" w:sz="4" w:space="0"/>
              <w:bottom w:val="single" w:color="auto" w:sz="4" w:space="0"/>
              <w:right w:val="single" w:color="auto" w:sz="4" w:space="0"/>
            </w:tcBorders>
            <w:vAlign w:val="center"/>
          </w:tcPr>
          <w:p w14:paraId="2F6851B2">
            <w:pPr>
              <w:pStyle w:val="3361"/>
              <w:rPr>
                <w:color w:val="auto"/>
              </w:rPr>
            </w:pPr>
          </w:p>
        </w:tc>
        <w:tc>
          <w:tcPr>
            <w:tcW w:w="1159" w:type="dxa"/>
            <w:vMerge w:val="continue"/>
            <w:tcBorders>
              <w:top w:val="nil"/>
              <w:left w:val="single" w:color="auto" w:sz="4" w:space="0"/>
              <w:bottom w:val="single" w:color="auto" w:sz="4" w:space="0"/>
              <w:right w:val="single" w:color="auto" w:sz="4" w:space="0"/>
            </w:tcBorders>
            <w:vAlign w:val="center"/>
          </w:tcPr>
          <w:p w14:paraId="074BA23A">
            <w:pPr>
              <w:pStyle w:val="3361"/>
              <w:rPr>
                <w:color w:val="auto"/>
              </w:rPr>
            </w:pPr>
          </w:p>
        </w:tc>
        <w:tc>
          <w:tcPr>
            <w:tcW w:w="1777" w:type="dxa"/>
            <w:vMerge w:val="continue"/>
            <w:tcBorders>
              <w:top w:val="nil"/>
              <w:left w:val="single" w:color="auto" w:sz="4" w:space="0"/>
              <w:bottom w:val="single" w:color="auto" w:sz="4" w:space="0"/>
              <w:right w:val="single" w:color="auto" w:sz="4" w:space="0"/>
            </w:tcBorders>
            <w:vAlign w:val="center"/>
          </w:tcPr>
          <w:p w14:paraId="6003C45C">
            <w:pPr>
              <w:pStyle w:val="3361"/>
              <w:rPr>
                <w:color w:val="auto"/>
              </w:rPr>
            </w:pPr>
          </w:p>
        </w:tc>
      </w:tr>
      <w:tr w14:paraId="75091D4A">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3B5B3081">
            <w:pPr>
              <w:pStyle w:val="3361"/>
              <w:rPr>
                <w:rFonts w:hint="eastAsia"/>
                <w:color w:val="auto"/>
                <w:lang w:val="en-US" w:eastAsia="zh-CN"/>
              </w:rPr>
            </w:pPr>
            <w:r>
              <w:rPr>
                <w:rFonts w:hint="eastAsia"/>
                <w:color w:val="auto"/>
                <w:lang w:val="en-US" w:eastAsia="zh-CN"/>
              </w:rPr>
              <w:t>0</w:t>
            </w:r>
          </w:p>
        </w:tc>
        <w:tc>
          <w:tcPr>
            <w:tcW w:w="1378" w:type="dxa"/>
            <w:tcBorders>
              <w:top w:val="nil"/>
              <w:left w:val="nil"/>
              <w:bottom w:val="single" w:color="auto" w:sz="4" w:space="0"/>
              <w:right w:val="single" w:color="auto" w:sz="4" w:space="0"/>
            </w:tcBorders>
            <w:shd w:val="clear" w:color="auto" w:fill="auto"/>
            <w:noWrap/>
            <w:vAlign w:val="bottom"/>
          </w:tcPr>
          <w:p w14:paraId="1ACB6248">
            <w:pPr>
              <w:pStyle w:val="3361"/>
              <w:rPr>
                <w:rFonts w:hint="eastAsia"/>
                <w:color w:val="auto"/>
                <w:lang w:val="en-US" w:eastAsia="zh-CN"/>
              </w:rPr>
            </w:pPr>
            <w:r>
              <w:rPr>
                <w:rFonts w:hint="eastAsia"/>
                <w:color w:val="auto"/>
                <w:lang w:val="en-US" w:eastAsia="zh-CN"/>
              </w:rPr>
              <w:t>2.00E+04</w:t>
            </w:r>
          </w:p>
        </w:tc>
        <w:tc>
          <w:tcPr>
            <w:tcW w:w="1265" w:type="dxa"/>
            <w:tcBorders>
              <w:top w:val="nil"/>
              <w:left w:val="nil"/>
              <w:bottom w:val="single" w:color="auto" w:sz="4" w:space="0"/>
              <w:right w:val="single" w:color="auto" w:sz="4" w:space="0"/>
            </w:tcBorders>
            <w:shd w:val="clear" w:color="auto" w:fill="auto"/>
            <w:noWrap/>
            <w:vAlign w:val="bottom"/>
          </w:tcPr>
          <w:p w14:paraId="4A972336">
            <w:pPr>
              <w:pStyle w:val="3361"/>
              <w:rPr>
                <w:rFonts w:hint="eastAsia"/>
                <w:color w:val="auto"/>
                <w:lang w:val="en-US" w:eastAsia="zh-CN"/>
              </w:rPr>
            </w:pPr>
            <w:r>
              <w:rPr>
                <w:rFonts w:hint="eastAsia"/>
                <w:color w:val="auto"/>
                <w:lang w:val="en-US" w:eastAsia="zh-CN"/>
              </w:rPr>
              <w:t>0</w:t>
            </w:r>
          </w:p>
        </w:tc>
        <w:tc>
          <w:tcPr>
            <w:tcW w:w="1926" w:type="dxa"/>
            <w:tcBorders>
              <w:top w:val="nil"/>
              <w:left w:val="nil"/>
              <w:bottom w:val="single" w:color="auto" w:sz="4" w:space="0"/>
              <w:right w:val="single" w:color="auto" w:sz="4" w:space="0"/>
            </w:tcBorders>
            <w:shd w:val="clear" w:color="auto" w:fill="auto"/>
            <w:noWrap/>
            <w:vAlign w:val="bottom"/>
          </w:tcPr>
          <w:p w14:paraId="559AEBFA">
            <w:pPr>
              <w:pStyle w:val="3361"/>
              <w:rPr>
                <w:rFonts w:hint="eastAsia"/>
                <w:color w:val="auto"/>
                <w:lang w:val="en-US" w:eastAsia="zh-CN"/>
              </w:rPr>
            </w:pPr>
            <w:r>
              <w:rPr>
                <w:rFonts w:hint="eastAsia"/>
                <w:color w:val="auto"/>
                <w:lang w:val="en-US" w:eastAsia="zh-CN"/>
              </w:rPr>
              <w:t>7.74E+02</w:t>
            </w:r>
          </w:p>
        </w:tc>
        <w:tc>
          <w:tcPr>
            <w:tcW w:w="1159" w:type="dxa"/>
            <w:tcBorders>
              <w:top w:val="nil"/>
              <w:left w:val="nil"/>
              <w:bottom w:val="single" w:color="auto" w:sz="4" w:space="0"/>
              <w:right w:val="single" w:color="auto" w:sz="4" w:space="0"/>
            </w:tcBorders>
            <w:shd w:val="clear" w:color="auto" w:fill="auto"/>
            <w:noWrap/>
            <w:vAlign w:val="bottom"/>
          </w:tcPr>
          <w:p w14:paraId="1EA66C78">
            <w:pPr>
              <w:pStyle w:val="3361"/>
              <w:rPr>
                <w:rFonts w:hint="eastAsia"/>
                <w:color w:val="auto"/>
                <w:lang w:val="en-US" w:eastAsia="zh-CN"/>
              </w:rPr>
            </w:pPr>
            <w:r>
              <w:rPr>
                <w:rFonts w:hint="eastAsia"/>
                <w:color w:val="auto"/>
                <w:lang w:val="en-US" w:eastAsia="zh-CN"/>
              </w:rPr>
              <w:t>0</w:t>
            </w:r>
          </w:p>
        </w:tc>
        <w:tc>
          <w:tcPr>
            <w:tcW w:w="1777" w:type="dxa"/>
            <w:tcBorders>
              <w:top w:val="nil"/>
              <w:left w:val="nil"/>
              <w:bottom w:val="single" w:color="auto" w:sz="4" w:space="0"/>
              <w:right w:val="single" w:color="auto" w:sz="4" w:space="0"/>
            </w:tcBorders>
            <w:shd w:val="clear" w:color="auto" w:fill="auto"/>
            <w:noWrap/>
            <w:vAlign w:val="bottom"/>
          </w:tcPr>
          <w:p w14:paraId="039FAF4E">
            <w:pPr>
              <w:pStyle w:val="3361"/>
              <w:rPr>
                <w:rFonts w:hint="eastAsia"/>
                <w:color w:val="auto"/>
                <w:lang w:val="en-US" w:eastAsia="zh-CN"/>
              </w:rPr>
            </w:pPr>
            <w:r>
              <w:rPr>
                <w:rFonts w:hint="eastAsia"/>
                <w:color w:val="auto"/>
                <w:lang w:val="en-US" w:eastAsia="zh-CN"/>
              </w:rPr>
              <w:t>2.01E+02</w:t>
            </w:r>
          </w:p>
        </w:tc>
      </w:tr>
      <w:tr w14:paraId="062A61BD">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367C4E44">
            <w:pPr>
              <w:pStyle w:val="3361"/>
              <w:rPr>
                <w:rFonts w:hint="eastAsia"/>
                <w:color w:val="auto"/>
                <w:lang w:val="en-US" w:eastAsia="zh-CN"/>
              </w:rPr>
            </w:pPr>
            <w:r>
              <w:rPr>
                <w:rFonts w:hint="eastAsia"/>
                <w:color w:val="auto"/>
                <w:lang w:val="en-US" w:eastAsia="zh-CN"/>
              </w:rPr>
              <w:t>5</w:t>
            </w:r>
          </w:p>
        </w:tc>
        <w:tc>
          <w:tcPr>
            <w:tcW w:w="1378" w:type="dxa"/>
            <w:tcBorders>
              <w:top w:val="nil"/>
              <w:left w:val="nil"/>
              <w:bottom w:val="single" w:color="auto" w:sz="4" w:space="0"/>
              <w:right w:val="single" w:color="auto" w:sz="4" w:space="0"/>
            </w:tcBorders>
            <w:shd w:val="clear" w:color="auto" w:fill="auto"/>
            <w:noWrap/>
            <w:vAlign w:val="bottom"/>
          </w:tcPr>
          <w:p w14:paraId="7E69E12E">
            <w:pPr>
              <w:pStyle w:val="3361"/>
              <w:rPr>
                <w:rFonts w:hint="eastAsia"/>
                <w:color w:val="auto"/>
                <w:lang w:val="en-US" w:eastAsia="zh-CN"/>
              </w:rPr>
            </w:pPr>
            <w:r>
              <w:rPr>
                <w:rFonts w:hint="eastAsia"/>
                <w:color w:val="auto"/>
                <w:lang w:val="en-US" w:eastAsia="zh-CN"/>
              </w:rPr>
              <w:t>1.65E+04</w:t>
            </w:r>
          </w:p>
        </w:tc>
        <w:tc>
          <w:tcPr>
            <w:tcW w:w="1265" w:type="dxa"/>
            <w:tcBorders>
              <w:top w:val="nil"/>
              <w:left w:val="nil"/>
              <w:bottom w:val="single" w:color="auto" w:sz="4" w:space="0"/>
              <w:right w:val="single" w:color="auto" w:sz="4" w:space="0"/>
            </w:tcBorders>
            <w:shd w:val="clear" w:color="auto" w:fill="auto"/>
            <w:noWrap/>
            <w:vAlign w:val="bottom"/>
          </w:tcPr>
          <w:p w14:paraId="18616D81">
            <w:pPr>
              <w:pStyle w:val="3361"/>
              <w:rPr>
                <w:rFonts w:hint="eastAsia"/>
                <w:color w:val="auto"/>
                <w:lang w:val="en-US" w:eastAsia="zh-CN"/>
              </w:rPr>
            </w:pPr>
            <w:r>
              <w:rPr>
                <w:rFonts w:hint="eastAsia"/>
                <w:color w:val="auto"/>
                <w:lang w:val="en-US" w:eastAsia="zh-CN"/>
              </w:rPr>
              <w:t>5</w:t>
            </w:r>
          </w:p>
        </w:tc>
        <w:tc>
          <w:tcPr>
            <w:tcW w:w="1926" w:type="dxa"/>
            <w:tcBorders>
              <w:top w:val="nil"/>
              <w:left w:val="nil"/>
              <w:bottom w:val="single" w:color="auto" w:sz="4" w:space="0"/>
              <w:right w:val="single" w:color="auto" w:sz="4" w:space="0"/>
            </w:tcBorders>
            <w:shd w:val="clear" w:color="auto" w:fill="auto"/>
            <w:noWrap/>
            <w:vAlign w:val="bottom"/>
          </w:tcPr>
          <w:p w14:paraId="2BFF67DD">
            <w:pPr>
              <w:pStyle w:val="3361"/>
              <w:rPr>
                <w:rFonts w:hint="eastAsia"/>
                <w:color w:val="auto"/>
                <w:lang w:val="en-US" w:eastAsia="zh-CN"/>
              </w:rPr>
            </w:pPr>
            <w:r>
              <w:rPr>
                <w:rFonts w:hint="eastAsia"/>
                <w:color w:val="auto"/>
                <w:lang w:val="en-US" w:eastAsia="zh-CN"/>
              </w:rPr>
              <w:t>9.40E+02</w:t>
            </w:r>
          </w:p>
        </w:tc>
        <w:tc>
          <w:tcPr>
            <w:tcW w:w="1159" w:type="dxa"/>
            <w:tcBorders>
              <w:top w:val="nil"/>
              <w:left w:val="nil"/>
              <w:bottom w:val="single" w:color="auto" w:sz="4" w:space="0"/>
              <w:right w:val="single" w:color="auto" w:sz="4" w:space="0"/>
            </w:tcBorders>
            <w:shd w:val="clear" w:color="auto" w:fill="auto"/>
            <w:noWrap/>
            <w:vAlign w:val="bottom"/>
          </w:tcPr>
          <w:p w14:paraId="4CC8498E">
            <w:pPr>
              <w:pStyle w:val="3361"/>
              <w:rPr>
                <w:rFonts w:hint="eastAsia"/>
                <w:color w:val="auto"/>
                <w:lang w:val="en-US" w:eastAsia="zh-CN"/>
              </w:rPr>
            </w:pPr>
            <w:r>
              <w:rPr>
                <w:rFonts w:hint="eastAsia"/>
                <w:color w:val="auto"/>
                <w:lang w:val="en-US" w:eastAsia="zh-CN"/>
              </w:rPr>
              <w:t>5</w:t>
            </w:r>
          </w:p>
        </w:tc>
        <w:tc>
          <w:tcPr>
            <w:tcW w:w="1777" w:type="dxa"/>
            <w:tcBorders>
              <w:top w:val="nil"/>
              <w:left w:val="nil"/>
              <w:bottom w:val="single" w:color="auto" w:sz="4" w:space="0"/>
              <w:right w:val="single" w:color="auto" w:sz="4" w:space="0"/>
            </w:tcBorders>
            <w:shd w:val="clear" w:color="auto" w:fill="auto"/>
            <w:noWrap/>
            <w:vAlign w:val="bottom"/>
          </w:tcPr>
          <w:p w14:paraId="664E439B">
            <w:pPr>
              <w:pStyle w:val="3361"/>
              <w:rPr>
                <w:rFonts w:hint="eastAsia"/>
                <w:color w:val="auto"/>
                <w:lang w:val="en-US" w:eastAsia="zh-CN"/>
              </w:rPr>
            </w:pPr>
            <w:r>
              <w:rPr>
                <w:rFonts w:hint="eastAsia"/>
                <w:color w:val="auto"/>
                <w:lang w:val="en-US" w:eastAsia="zh-CN"/>
              </w:rPr>
              <w:t>2.20E+02</w:t>
            </w:r>
          </w:p>
        </w:tc>
      </w:tr>
      <w:tr w14:paraId="5B764470">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07C97FD8">
            <w:pPr>
              <w:pStyle w:val="3361"/>
              <w:rPr>
                <w:rFonts w:hint="eastAsia"/>
                <w:color w:val="auto"/>
                <w:lang w:val="en-US" w:eastAsia="zh-CN"/>
              </w:rPr>
            </w:pPr>
            <w:r>
              <w:rPr>
                <w:rFonts w:hint="eastAsia"/>
                <w:color w:val="auto"/>
                <w:lang w:val="en-US" w:eastAsia="zh-CN"/>
              </w:rPr>
              <w:t>10</w:t>
            </w:r>
          </w:p>
        </w:tc>
        <w:tc>
          <w:tcPr>
            <w:tcW w:w="1378" w:type="dxa"/>
            <w:tcBorders>
              <w:top w:val="nil"/>
              <w:left w:val="nil"/>
              <w:bottom w:val="single" w:color="auto" w:sz="4" w:space="0"/>
              <w:right w:val="single" w:color="auto" w:sz="4" w:space="0"/>
            </w:tcBorders>
            <w:shd w:val="clear" w:color="auto" w:fill="auto"/>
            <w:noWrap/>
            <w:vAlign w:val="bottom"/>
          </w:tcPr>
          <w:p w14:paraId="1808B6E3">
            <w:pPr>
              <w:pStyle w:val="3361"/>
              <w:rPr>
                <w:rFonts w:hint="eastAsia"/>
                <w:color w:val="auto"/>
                <w:lang w:val="en-US" w:eastAsia="zh-CN"/>
              </w:rPr>
            </w:pPr>
            <w:r>
              <w:rPr>
                <w:rFonts w:hint="eastAsia"/>
                <w:color w:val="auto"/>
                <w:lang w:val="en-US" w:eastAsia="zh-CN"/>
              </w:rPr>
              <w:t>1.29E+04</w:t>
            </w:r>
          </w:p>
        </w:tc>
        <w:tc>
          <w:tcPr>
            <w:tcW w:w="1265" w:type="dxa"/>
            <w:tcBorders>
              <w:top w:val="nil"/>
              <w:left w:val="nil"/>
              <w:bottom w:val="single" w:color="auto" w:sz="4" w:space="0"/>
              <w:right w:val="single" w:color="auto" w:sz="4" w:space="0"/>
            </w:tcBorders>
            <w:shd w:val="clear" w:color="auto" w:fill="auto"/>
            <w:noWrap/>
            <w:vAlign w:val="bottom"/>
          </w:tcPr>
          <w:p w14:paraId="2FE0ECC7">
            <w:pPr>
              <w:pStyle w:val="3361"/>
              <w:rPr>
                <w:rFonts w:hint="eastAsia"/>
                <w:color w:val="auto"/>
                <w:lang w:val="en-US" w:eastAsia="zh-CN"/>
              </w:rPr>
            </w:pPr>
            <w:r>
              <w:rPr>
                <w:rFonts w:hint="eastAsia"/>
                <w:color w:val="auto"/>
                <w:lang w:val="en-US" w:eastAsia="zh-CN"/>
              </w:rPr>
              <w:t>10</w:t>
            </w:r>
          </w:p>
        </w:tc>
        <w:tc>
          <w:tcPr>
            <w:tcW w:w="1926" w:type="dxa"/>
            <w:tcBorders>
              <w:top w:val="nil"/>
              <w:left w:val="nil"/>
              <w:bottom w:val="single" w:color="auto" w:sz="4" w:space="0"/>
              <w:right w:val="single" w:color="auto" w:sz="4" w:space="0"/>
            </w:tcBorders>
            <w:shd w:val="clear" w:color="auto" w:fill="auto"/>
            <w:noWrap/>
            <w:vAlign w:val="bottom"/>
          </w:tcPr>
          <w:p w14:paraId="79C4B41D">
            <w:pPr>
              <w:pStyle w:val="3361"/>
              <w:rPr>
                <w:rFonts w:hint="eastAsia"/>
                <w:color w:val="auto"/>
                <w:lang w:val="en-US" w:eastAsia="zh-CN"/>
              </w:rPr>
            </w:pPr>
            <w:r>
              <w:rPr>
                <w:rFonts w:hint="eastAsia"/>
                <w:color w:val="auto"/>
                <w:lang w:val="en-US" w:eastAsia="zh-CN"/>
              </w:rPr>
              <w:t>1.12E+03</w:t>
            </w:r>
          </w:p>
        </w:tc>
        <w:tc>
          <w:tcPr>
            <w:tcW w:w="1159" w:type="dxa"/>
            <w:tcBorders>
              <w:top w:val="nil"/>
              <w:left w:val="nil"/>
              <w:bottom w:val="single" w:color="auto" w:sz="4" w:space="0"/>
              <w:right w:val="single" w:color="auto" w:sz="4" w:space="0"/>
            </w:tcBorders>
            <w:shd w:val="clear" w:color="auto" w:fill="auto"/>
            <w:noWrap/>
            <w:vAlign w:val="bottom"/>
          </w:tcPr>
          <w:p w14:paraId="399F7DB3">
            <w:pPr>
              <w:pStyle w:val="3361"/>
              <w:rPr>
                <w:rFonts w:hint="eastAsia"/>
                <w:color w:val="auto"/>
                <w:lang w:val="en-US" w:eastAsia="zh-CN"/>
              </w:rPr>
            </w:pPr>
            <w:r>
              <w:rPr>
                <w:rFonts w:hint="eastAsia"/>
                <w:color w:val="auto"/>
                <w:lang w:val="en-US" w:eastAsia="zh-CN"/>
              </w:rPr>
              <w:t>10</w:t>
            </w:r>
          </w:p>
        </w:tc>
        <w:tc>
          <w:tcPr>
            <w:tcW w:w="1777" w:type="dxa"/>
            <w:tcBorders>
              <w:top w:val="nil"/>
              <w:left w:val="nil"/>
              <w:bottom w:val="single" w:color="auto" w:sz="4" w:space="0"/>
              <w:right w:val="single" w:color="auto" w:sz="4" w:space="0"/>
            </w:tcBorders>
            <w:shd w:val="clear" w:color="auto" w:fill="auto"/>
            <w:noWrap/>
            <w:vAlign w:val="bottom"/>
          </w:tcPr>
          <w:p w14:paraId="13157CEA">
            <w:pPr>
              <w:pStyle w:val="3361"/>
              <w:rPr>
                <w:rFonts w:hint="eastAsia"/>
                <w:color w:val="auto"/>
                <w:lang w:val="en-US" w:eastAsia="zh-CN"/>
              </w:rPr>
            </w:pPr>
            <w:r>
              <w:rPr>
                <w:rFonts w:hint="eastAsia"/>
                <w:color w:val="auto"/>
                <w:lang w:val="en-US" w:eastAsia="zh-CN"/>
              </w:rPr>
              <w:t>2.40E+02</w:t>
            </w:r>
          </w:p>
        </w:tc>
      </w:tr>
      <w:tr w14:paraId="6F59B45C">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0F67EA33">
            <w:pPr>
              <w:pStyle w:val="3361"/>
              <w:rPr>
                <w:rFonts w:hint="eastAsia"/>
                <w:color w:val="auto"/>
                <w:lang w:val="en-US" w:eastAsia="zh-CN"/>
              </w:rPr>
            </w:pPr>
            <w:r>
              <w:rPr>
                <w:rFonts w:hint="eastAsia"/>
                <w:color w:val="auto"/>
                <w:lang w:val="en-US" w:eastAsia="zh-CN"/>
              </w:rPr>
              <w:t>15</w:t>
            </w:r>
          </w:p>
        </w:tc>
        <w:tc>
          <w:tcPr>
            <w:tcW w:w="1378" w:type="dxa"/>
            <w:tcBorders>
              <w:top w:val="nil"/>
              <w:left w:val="nil"/>
              <w:bottom w:val="single" w:color="auto" w:sz="4" w:space="0"/>
              <w:right w:val="single" w:color="auto" w:sz="4" w:space="0"/>
            </w:tcBorders>
            <w:shd w:val="clear" w:color="auto" w:fill="auto"/>
            <w:noWrap/>
            <w:vAlign w:val="bottom"/>
          </w:tcPr>
          <w:p w14:paraId="3CD4F1CB">
            <w:pPr>
              <w:pStyle w:val="3361"/>
              <w:rPr>
                <w:rFonts w:hint="eastAsia"/>
                <w:color w:val="auto"/>
                <w:lang w:val="en-US" w:eastAsia="zh-CN"/>
              </w:rPr>
            </w:pPr>
            <w:r>
              <w:rPr>
                <w:rFonts w:hint="eastAsia"/>
                <w:color w:val="auto"/>
                <w:lang w:val="en-US" w:eastAsia="zh-CN"/>
              </w:rPr>
              <w:t>9.52E+03</w:t>
            </w:r>
          </w:p>
        </w:tc>
        <w:tc>
          <w:tcPr>
            <w:tcW w:w="1265" w:type="dxa"/>
            <w:tcBorders>
              <w:top w:val="nil"/>
              <w:left w:val="nil"/>
              <w:bottom w:val="single" w:color="auto" w:sz="4" w:space="0"/>
              <w:right w:val="single" w:color="auto" w:sz="4" w:space="0"/>
            </w:tcBorders>
            <w:shd w:val="clear" w:color="auto" w:fill="auto"/>
            <w:noWrap/>
            <w:vAlign w:val="bottom"/>
          </w:tcPr>
          <w:p w14:paraId="6707892F">
            <w:pPr>
              <w:pStyle w:val="3361"/>
              <w:rPr>
                <w:rFonts w:hint="eastAsia"/>
                <w:color w:val="auto"/>
                <w:lang w:val="en-US" w:eastAsia="zh-CN"/>
              </w:rPr>
            </w:pPr>
            <w:r>
              <w:rPr>
                <w:rFonts w:hint="eastAsia"/>
                <w:color w:val="auto"/>
                <w:lang w:val="en-US" w:eastAsia="zh-CN"/>
              </w:rPr>
              <w:t>15</w:t>
            </w:r>
          </w:p>
        </w:tc>
        <w:tc>
          <w:tcPr>
            <w:tcW w:w="1926" w:type="dxa"/>
            <w:tcBorders>
              <w:top w:val="nil"/>
              <w:left w:val="nil"/>
              <w:bottom w:val="single" w:color="auto" w:sz="4" w:space="0"/>
              <w:right w:val="single" w:color="auto" w:sz="4" w:space="0"/>
            </w:tcBorders>
            <w:shd w:val="clear" w:color="auto" w:fill="auto"/>
            <w:noWrap/>
            <w:vAlign w:val="bottom"/>
          </w:tcPr>
          <w:p w14:paraId="05027868">
            <w:pPr>
              <w:pStyle w:val="3361"/>
              <w:rPr>
                <w:rFonts w:hint="eastAsia"/>
                <w:color w:val="auto"/>
                <w:lang w:val="en-US" w:eastAsia="zh-CN"/>
              </w:rPr>
            </w:pPr>
            <w:r>
              <w:rPr>
                <w:rFonts w:hint="eastAsia"/>
                <w:color w:val="auto"/>
                <w:lang w:val="en-US" w:eastAsia="zh-CN"/>
              </w:rPr>
              <w:t>1.29E+03</w:t>
            </w:r>
          </w:p>
        </w:tc>
        <w:tc>
          <w:tcPr>
            <w:tcW w:w="1159" w:type="dxa"/>
            <w:tcBorders>
              <w:top w:val="nil"/>
              <w:left w:val="nil"/>
              <w:bottom w:val="single" w:color="auto" w:sz="4" w:space="0"/>
              <w:right w:val="single" w:color="auto" w:sz="4" w:space="0"/>
            </w:tcBorders>
            <w:shd w:val="clear" w:color="auto" w:fill="auto"/>
            <w:noWrap/>
            <w:vAlign w:val="bottom"/>
          </w:tcPr>
          <w:p w14:paraId="19A06296">
            <w:pPr>
              <w:pStyle w:val="3361"/>
              <w:rPr>
                <w:rFonts w:hint="eastAsia"/>
                <w:color w:val="auto"/>
                <w:lang w:val="en-US" w:eastAsia="zh-CN"/>
              </w:rPr>
            </w:pPr>
            <w:r>
              <w:rPr>
                <w:rFonts w:hint="eastAsia"/>
                <w:color w:val="auto"/>
                <w:lang w:val="en-US" w:eastAsia="zh-CN"/>
              </w:rPr>
              <w:t>15</w:t>
            </w:r>
          </w:p>
        </w:tc>
        <w:tc>
          <w:tcPr>
            <w:tcW w:w="1777" w:type="dxa"/>
            <w:tcBorders>
              <w:top w:val="nil"/>
              <w:left w:val="nil"/>
              <w:bottom w:val="single" w:color="auto" w:sz="4" w:space="0"/>
              <w:right w:val="single" w:color="auto" w:sz="4" w:space="0"/>
            </w:tcBorders>
            <w:shd w:val="clear" w:color="auto" w:fill="auto"/>
            <w:noWrap/>
            <w:vAlign w:val="bottom"/>
          </w:tcPr>
          <w:p w14:paraId="64041047">
            <w:pPr>
              <w:pStyle w:val="3361"/>
              <w:rPr>
                <w:rFonts w:hint="eastAsia"/>
                <w:color w:val="auto"/>
                <w:lang w:val="en-US" w:eastAsia="zh-CN"/>
              </w:rPr>
            </w:pPr>
            <w:r>
              <w:rPr>
                <w:rFonts w:hint="eastAsia"/>
                <w:color w:val="auto"/>
                <w:lang w:val="en-US" w:eastAsia="zh-CN"/>
              </w:rPr>
              <w:t>2.62E+02</w:t>
            </w:r>
          </w:p>
        </w:tc>
      </w:tr>
      <w:tr w14:paraId="4AEDFA97">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7074A076">
            <w:pPr>
              <w:pStyle w:val="3361"/>
              <w:rPr>
                <w:rFonts w:hint="eastAsia"/>
                <w:color w:val="auto"/>
                <w:lang w:val="en-US" w:eastAsia="zh-CN"/>
              </w:rPr>
            </w:pPr>
            <w:r>
              <w:rPr>
                <w:rFonts w:hint="eastAsia"/>
                <w:color w:val="auto"/>
                <w:lang w:val="en-US" w:eastAsia="zh-CN"/>
              </w:rPr>
              <w:t>20</w:t>
            </w:r>
          </w:p>
        </w:tc>
        <w:tc>
          <w:tcPr>
            <w:tcW w:w="1378" w:type="dxa"/>
            <w:tcBorders>
              <w:top w:val="nil"/>
              <w:left w:val="nil"/>
              <w:bottom w:val="single" w:color="auto" w:sz="4" w:space="0"/>
              <w:right w:val="single" w:color="auto" w:sz="4" w:space="0"/>
            </w:tcBorders>
            <w:shd w:val="clear" w:color="auto" w:fill="auto"/>
            <w:noWrap/>
            <w:vAlign w:val="bottom"/>
          </w:tcPr>
          <w:p w14:paraId="03B2802C">
            <w:pPr>
              <w:pStyle w:val="3361"/>
              <w:rPr>
                <w:rFonts w:hint="eastAsia"/>
                <w:color w:val="auto"/>
                <w:lang w:val="en-US" w:eastAsia="zh-CN"/>
              </w:rPr>
            </w:pPr>
            <w:r>
              <w:rPr>
                <w:rFonts w:hint="eastAsia"/>
                <w:color w:val="auto"/>
                <w:lang w:val="en-US" w:eastAsia="zh-CN"/>
              </w:rPr>
              <w:t>6.60E+03</w:t>
            </w:r>
          </w:p>
        </w:tc>
        <w:tc>
          <w:tcPr>
            <w:tcW w:w="1265" w:type="dxa"/>
            <w:tcBorders>
              <w:top w:val="nil"/>
              <w:left w:val="nil"/>
              <w:bottom w:val="single" w:color="auto" w:sz="4" w:space="0"/>
              <w:right w:val="single" w:color="auto" w:sz="4" w:space="0"/>
            </w:tcBorders>
            <w:shd w:val="clear" w:color="auto" w:fill="auto"/>
            <w:noWrap/>
            <w:vAlign w:val="bottom"/>
          </w:tcPr>
          <w:p w14:paraId="5CC389FF">
            <w:pPr>
              <w:pStyle w:val="3361"/>
              <w:rPr>
                <w:rFonts w:hint="eastAsia"/>
                <w:color w:val="auto"/>
                <w:lang w:val="en-US" w:eastAsia="zh-CN"/>
              </w:rPr>
            </w:pPr>
            <w:r>
              <w:rPr>
                <w:rFonts w:hint="eastAsia"/>
                <w:color w:val="auto"/>
                <w:lang w:val="en-US" w:eastAsia="zh-CN"/>
              </w:rPr>
              <w:t>20</w:t>
            </w:r>
          </w:p>
        </w:tc>
        <w:tc>
          <w:tcPr>
            <w:tcW w:w="1926" w:type="dxa"/>
            <w:tcBorders>
              <w:top w:val="nil"/>
              <w:left w:val="nil"/>
              <w:bottom w:val="single" w:color="auto" w:sz="4" w:space="0"/>
              <w:right w:val="single" w:color="auto" w:sz="4" w:space="0"/>
            </w:tcBorders>
            <w:shd w:val="clear" w:color="auto" w:fill="auto"/>
            <w:noWrap/>
            <w:vAlign w:val="bottom"/>
          </w:tcPr>
          <w:p w14:paraId="13B68571">
            <w:pPr>
              <w:pStyle w:val="3361"/>
              <w:rPr>
                <w:rFonts w:hint="eastAsia"/>
                <w:color w:val="auto"/>
                <w:lang w:val="en-US" w:eastAsia="zh-CN"/>
              </w:rPr>
            </w:pPr>
            <w:r>
              <w:rPr>
                <w:rFonts w:hint="eastAsia"/>
                <w:color w:val="auto"/>
                <w:lang w:val="en-US" w:eastAsia="zh-CN"/>
              </w:rPr>
              <w:t>1.47E+03</w:t>
            </w:r>
          </w:p>
        </w:tc>
        <w:tc>
          <w:tcPr>
            <w:tcW w:w="1159" w:type="dxa"/>
            <w:tcBorders>
              <w:top w:val="nil"/>
              <w:left w:val="nil"/>
              <w:bottom w:val="single" w:color="auto" w:sz="4" w:space="0"/>
              <w:right w:val="single" w:color="auto" w:sz="4" w:space="0"/>
            </w:tcBorders>
            <w:shd w:val="clear" w:color="auto" w:fill="auto"/>
            <w:noWrap/>
            <w:vAlign w:val="bottom"/>
          </w:tcPr>
          <w:p w14:paraId="205CED8C">
            <w:pPr>
              <w:pStyle w:val="3361"/>
              <w:rPr>
                <w:rFonts w:hint="eastAsia"/>
                <w:color w:val="auto"/>
                <w:lang w:val="en-US" w:eastAsia="zh-CN"/>
              </w:rPr>
            </w:pPr>
            <w:r>
              <w:rPr>
                <w:rFonts w:hint="eastAsia"/>
                <w:color w:val="auto"/>
                <w:lang w:val="en-US" w:eastAsia="zh-CN"/>
              </w:rPr>
              <w:t>20</w:t>
            </w:r>
          </w:p>
        </w:tc>
        <w:tc>
          <w:tcPr>
            <w:tcW w:w="1777" w:type="dxa"/>
            <w:tcBorders>
              <w:top w:val="nil"/>
              <w:left w:val="nil"/>
              <w:bottom w:val="single" w:color="auto" w:sz="4" w:space="0"/>
              <w:right w:val="single" w:color="auto" w:sz="4" w:space="0"/>
            </w:tcBorders>
            <w:shd w:val="clear" w:color="auto" w:fill="auto"/>
            <w:noWrap/>
            <w:vAlign w:val="bottom"/>
          </w:tcPr>
          <w:p w14:paraId="3DA1B28D">
            <w:pPr>
              <w:pStyle w:val="3361"/>
              <w:rPr>
                <w:rFonts w:hint="eastAsia"/>
                <w:color w:val="auto"/>
                <w:lang w:val="en-US" w:eastAsia="zh-CN"/>
              </w:rPr>
            </w:pPr>
            <w:r>
              <w:rPr>
                <w:rFonts w:hint="eastAsia"/>
                <w:color w:val="auto"/>
                <w:lang w:val="en-US" w:eastAsia="zh-CN"/>
              </w:rPr>
              <w:t>2.84E+02</w:t>
            </w:r>
          </w:p>
        </w:tc>
      </w:tr>
      <w:tr w14:paraId="13D6D5CF">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5268D921">
            <w:pPr>
              <w:pStyle w:val="3361"/>
              <w:rPr>
                <w:rFonts w:hint="eastAsia"/>
                <w:color w:val="auto"/>
                <w:lang w:val="en-US" w:eastAsia="zh-CN"/>
              </w:rPr>
            </w:pPr>
            <w:r>
              <w:rPr>
                <w:rFonts w:hint="eastAsia"/>
                <w:color w:val="auto"/>
                <w:lang w:val="en-US" w:eastAsia="zh-CN"/>
              </w:rPr>
              <w:t>25</w:t>
            </w:r>
          </w:p>
        </w:tc>
        <w:tc>
          <w:tcPr>
            <w:tcW w:w="1378" w:type="dxa"/>
            <w:tcBorders>
              <w:top w:val="nil"/>
              <w:left w:val="nil"/>
              <w:bottom w:val="single" w:color="auto" w:sz="4" w:space="0"/>
              <w:right w:val="single" w:color="auto" w:sz="4" w:space="0"/>
            </w:tcBorders>
            <w:shd w:val="clear" w:color="auto" w:fill="auto"/>
            <w:noWrap/>
            <w:vAlign w:val="bottom"/>
          </w:tcPr>
          <w:p w14:paraId="040A55CA">
            <w:pPr>
              <w:pStyle w:val="3361"/>
              <w:rPr>
                <w:rFonts w:hint="eastAsia"/>
                <w:color w:val="auto"/>
                <w:lang w:val="en-US" w:eastAsia="zh-CN"/>
              </w:rPr>
            </w:pPr>
            <w:r>
              <w:rPr>
                <w:rFonts w:hint="eastAsia"/>
                <w:color w:val="auto"/>
                <w:lang w:val="en-US" w:eastAsia="zh-CN"/>
              </w:rPr>
              <w:t>4.29E+03</w:t>
            </w:r>
          </w:p>
        </w:tc>
        <w:tc>
          <w:tcPr>
            <w:tcW w:w="1265" w:type="dxa"/>
            <w:tcBorders>
              <w:top w:val="nil"/>
              <w:left w:val="nil"/>
              <w:bottom w:val="single" w:color="auto" w:sz="4" w:space="0"/>
              <w:right w:val="single" w:color="auto" w:sz="4" w:space="0"/>
            </w:tcBorders>
            <w:shd w:val="clear" w:color="auto" w:fill="auto"/>
            <w:noWrap/>
            <w:vAlign w:val="bottom"/>
          </w:tcPr>
          <w:p w14:paraId="1DD8EF70">
            <w:pPr>
              <w:pStyle w:val="3361"/>
              <w:rPr>
                <w:rFonts w:hint="eastAsia"/>
                <w:color w:val="auto"/>
                <w:lang w:val="en-US" w:eastAsia="zh-CN"/>
              </w:rPr>
            </w:pPr>
            <w:r>
              <w:rPr>
                <w:rFonts w:hint="eastAsia"/>
                <w:color w:val="auto"/>
                <w:lang w:val="en-US" w:eastAsia="zh-CN"/>
              </w:rPr>
              <w:t>25</w:t>
            </w:r>
          </w:p>
        </w:tc>
        <w:tc>
          <w:tcPr>
            <w:tcW w:w="1926" w:type="dxa"/>
            <w:tcBorders>
              <w:top w:val="nil"/>
              <w:left w:val="nil"/>
              <w:bottom w:val="single" w:color="auto" w:sz="4" w:space="0"/>
              <w:right w:val="single" w:color="auto" w:sz="4" w:space="0"/>
            </w:tcBorders>
            <w:shd w:val="clear" w:color="auto" w:fill="auto"/>
            <w:noWrap/>
            <w:vAlign w:val="bottom"/>
          </w:tcPr>
          <w:p w14:paraId="1BCB6C12">
            <w:pPr>
              <w:pStyle w:val="3361"/>
              <w:rPr>
                <w:rFonts w:hint="eastAsia"/>
                <w:color w:val="auto"/>
                <w:lang w:val="en-US" w:eastAsia="zh-CN"/>
              </w:rPr>
            </w:pPr>
            <w:r>
              <w:rPr>
                <w:rFonts w:hint="eastAsia"/>
                <w:color w:val="auto"/>
                <w:lang w:val="en-US" w:eastAsia="zh-CN"/>
              </w:rPr>
              <w:t>1.64E+03</w:t>
            </w:r>
          </w:p>
        </w:tc>
        <w:tc>
          <w:tcPr>
            <w:tcW w:w="1159" w:type="dxa"/>
            <w:tcBorders>
              <w:top w:val="nil"/>
              <w:left w:val="nil"/>
              <w:bottom w:val="single" w:color="auto" w:sz="4" w:space="0"/>
              <w:right w:val="single" w:color="auto" w:sz="4" w:space="0"/>
            </w:tcBorders>
            <w:shd w:val="clear" w:color="auto" w:fill="auto"/>
            <w:noWrap/>
            <w:vAlign w:val="bottom"/>
          </w:tcPr>
          <w:p w14:paraId="3F45505D">
            <w:pPr>
              <w:pStyle w:val="3361"/>
              <w:rPr>
                <w:rFonts w:hint="eastAsia"/>
                <w:color w:val="auto"/>
                <w:lang w:val="en-US" w:eastAsia="zh-CN"/>
              </w:rPr>
            </w:pPr>
            <w:r>
              <w:rPr>
                <w:rFonts w:hint="eastAsia"/>
                <w:color w:val="auto"/>
                <w:lang w:val="en-US" w:eastAsia="zh-CN"/>
              </w:rPr>
              <w:t>25</w:t>
            </w:r>
          </w:p>
        </w:tc>
        <w:tc>
          <w:tcPr>
            <w:tcW w:w="1777" w:type="dxa"/>
            <w:tcBorders>
              <w:top w:val="nil"/>
              <w:left w:val="nil"/>
              <w:bottom w:val="single" w:color="auto" w:sz="4" w:space="0"/>
              <w:right w:val="single" w:color="auto" w:sz="4" w:space="0"/>
            </w:tcBorders>
            <w:shd w:val="clear" w:color="auto" w:fill="auto"/>
            <w:noWrap/>
            <w:vAlign w:val="bottom"/>
          </w:tcPr>
          <w:p w14:paraId="7239DAB0">
            <w:pPr>
              <w:pStyle w:val="3361"/>
              <w:rPr>
                <w:rFonts w:hint="eastAsia"/>
                <w:color w:val="auto"/>
                <w:lang w:val="en-US" w:eastAsia="zh-CN"/>
              </w:rPr>
            </w:pPr>
            <w:r>
              <w:rPr>
                <w:rFonts w:hint="eastAsia"/>
                <w:color w:val="auto"/>
                <w:lang w:val="en-US" w:eastAsia="zh-CN"/>
              </w:rPr>
              <w:t>3.08E+02</w:t>
            </w:r>
          </w:p>
        </w:tc>
      </w:tr>
      <w:tr w14:paraId="1B765BB3">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64D4CC60">
            <w:pPr>
              <w:pStyle w:val="3361"/>
              <w:rPr>
                <w:rFonts w:hint="eastAsia"/>
                <w:color w:val="auto"/>
                <w:lang w:val="en-US" w:eastAsia="zh-CN"/>
              </w:rPr>
            </w:pPr>
            <w:r>
              <w:rPr>
                <w:rFonts w:hint="eastAsia"/>
                <w:color w:val="auto"/>
                <w:lang w:val="en-US" w:eastAsia="zh-CN"/>
              </w:rPr>
              <w:t>30</w:t>
            </w:r>
          </w:p>
        </w:tc>
        <w:tc>
          <w:tcPr>
            <w:tcW w:w="1378" w:type="dxa"/>
            <w:tcBorders>
              <w:top w:val="nil"/>
              <w:left w:val="nil"/>
              <w:bottom w:val="single" w:color="auto" w:sz="4" w:space="0"/>
              <w:right w:val="single" w:color="auto" w:sz="4" w:space="0"/>
            </w:tcBorders>
            <w:shd w:val="clear" w:color="auto" w:fill="auto"/>
            <w:noWrap/>
            <w:vAlign w:val="bottom"/>
          </w:tcPr>
          <w:p w14:paraId="2CC8DD0F">
            <w:pPr>
              <w:pStyle w:val="3361"/>
              <w:rPr>
                <w:rFonts w:hint="eastAsia"/>
                <w:color w:val="auto"/>
                <w:lang w:val="en-US" w:eastAsia="zh-CN"/>
              </w:rPr>
            </w:pPr>
            <w:r>
              <w:rPr>
                <w:rFonts w:hint="eastAsia"/>
                <w:color w:val="auto"/>
                <w:lang w:val="en-US" w:eastAsia="zh-CN"/>
              </w:rPr>
              <w:t>2.61E+03</w:t>
            </w:r>
          </w:p>
        </w:tc>
        <w:tc>
          <w:tcPr>
            <w:tcW w:w="1265" w:type="dxa"/>
            <w:tcBorders>
              <w:top w:val="nil"/>
              <w:left w:val="nil"/>
              <w:bottom w:val="single" w:color="auto" w:sz="4" w:space="0"/>
              <w:right w:val="single" w:color="auto" w:sz="4" w:space="0"/>
            </w:tcBorders>
            <w:shd w:val="clear" w:color="auto" w:fill="auto"/>
            <w:noWrap/>
            <w:vAlign w:val="bottom"/>
          </w:tcPr>
          <w:p w14:paraId="4C6A1612">
            <w:pPr>
              <w:pStyle w:val="3361"/>
              <w:rPr>
                <w:rFonts w:hint="eastAsia"/>
                <w:color w:val="auto"/>
                <w:lang w:val="en-US" w:eastAsia="zh-CN"/>
              </w:rPr>
            </w:pPr>
            <w:r>
              <w:rPr>
                <w:rFonts w:hint="eastAsia"/>
                <w:color w:val="auto"/>
                <w:lang w:val="en-US" w:eastAsia="zh-CN"/>
              </w:rPr>
              <w:t>30</w:t>
            </w:r>
          </w:p>
        </w:tc>
        <w:tc>
          <w:tcPr>
            <w:tcW w:w="1926" w:type="dxa"/>
            <w:tcBorders>
              <w:top w:val="nil"/>
              <w:left w:val="nil"/>
              <w:bottom w:val="single" w:color="auto" w:sz="4" w:space="0"/>
              <w:right w:val="single" w:color="auto" w:sz="4" w:space="0"/>
            </w:tcBorders>
            <w:shd w:val="clear" w:color="auto" w:fill="auto"/>
            <w:noWrap/>
            <w:vAlign w:val="bottom"/>
          </w:tcPr>
          <w:p w14:paraId="7DBEA98E">
            <w:pPr>
              <w:pStyle w:val="3361"/>
              <w:rPr>
                <w:rFonts w:hint="eastAsia"/>
                <w:color w:val="auto"/>
                <w:lang w:val="en-US" w:eastAsia="zh-CN"/>
              </w:rPr>
            </w:pPr>
            <w:r>
              <w:rPr>
                <w:rFonts w:hint="eastAsia"/>
                <w:color w:val="auto"/>
                <w:lang w:val="en-US" w:eastAsia="zh-CN"/>
              </w:rPr>
              <w:t>1.79E+03</w:t>
            </w:r>
          </w:p>
        </w:tc>
        <w:tc>
          <w:tcPr>
            <w:tcW w:w="1159" w:type="dxa"/>
            <w:tcBorders>
              <w:top w:val="nil"/>
              <w:left w:val="nil"/>
              <w:bottom w:val="single" w:color="auto" w:sz="4" w:space="0"/>
              <w:right w:val="single" w:color="auto" w:sz="4" w:space="0"/>
            </w:tcBorders>
            <w:shd w:val="clear" w:color="auto" w:fill="auto"/>
            <w:noWrap/>
            <w:vAlign w:val="bottom"/>
          </w:tcPr>
          <w:p w14:paraId="5E8C1E53">
            <w:pPr>
              <w:pStyle w:val="3361"/>
              <w:rPr>
                <w:rFonts w:hint="eastAsia"/>
                <w:color w:val="auto"/>
                <w:lang w:val="en-US" w:eastAsia="zh-CN"/>
              </w:rPr>
            </w:pPr>
            <w:r>
              <w:rPr>
                <w:rFonts w:hint="eastAsia"/>
                <w:color w:val="auto"/>
                <w:lang w:val="en-US" w:eastAsia="zh-CN"/>
              </w:rPr>
              <w:t>30</w:t>
            </w:r>
          </w:p>
        </w:tc>
        <w:tc>
          <w:tcPr>
            <w:tcW w:w="1777" w:type="dxa"/>
            <w:tcBorders>
              <w:top w:val="nil"/>
              <w:left w:val="nil"/>
              <w:bottom w:val="single" w:color="auto" w:sz="4" w:space="0"/>
              <w:right w:val="single" w:color="auto" w:sz="4" w:space="0"/>
            </w:tcBorders>
            <w:shd w:val="clear" w:color="auto" w:fill="auto"/>
            <w:noWrap/>
            <w:vAlign w:val="bottom"/>
          </w:tcPr>
          <w:p w14:paraId="2233826C">
            <w:pPr>
              <w:pStyle w:val="3361"/>
              <w:rPr>
                <w:rFonts w:hint="eastAsia"/>
                <w:color w:val="auto"/>
                <w:lang w:val="en-US" w:eastAsia="zh-CN"/>
              </w:rPr>
            </w:pPr>
            <w:r>
              <w:rPr>
                <w:rFonts w:hint="eastAsia"/>
                <w:color w:val="auto"/>
                <w:lang w:val="en-US" w:eastAsia="zh-CN"/>
              </w:rPr>
              <w:t>3.33E+02</w:t>
            </w:r>
          </w:p>
        </w:tc>
      </w:tr>
      <w:tr w14:paraId="4B2A354B">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7FEACE3B">
            <w:pPr>
              <w:pStyle w:val="3361"/>
              <w:rPr>
                <w:rFonts w:hint="eastAsia"/>
                <w:color w:val="auto"/>
                <w:lang w:val="en-US" w:eastAsia="zh-CN"/>
              </w:rPr>
            </w:pPr>
            <w:r>
              <w:rPr>
                <w:rFonts w:hint="eastAsia"/>
                <w:color w:val="auto"/>
                <w:lang w:val="en-US" w:eastAsia="zh-CN"/>
              </w:rPr>
              <w:t>35</w:t>
            </w:r>
          </w:p>
        </w:tc>
        <w:tc>
          <w:tcPr>
            <w:tcW w:w="1378" w:type="dxa"/>
            <w:tcBorders>
              <w:top w:val="nil"/>
              <w:left w:val="nil"/>
              <w:bottom w:val="single" w:color="auto" w:sz="4" w:space="0"/>
              <w:right w:val="single" w:color="auto" w:sz="4" w:space="0"/>
            </w:tcBorders>
            <w:shd w:val="clear" w:color="auto" w:fill="auto"/>
            <w:noWrap/>
            <w:vAlign w:val="bottom"/>
          </w:tcPr>
          <w:p w14:paraId="757AC61D">
            <w:pPr>
              <w:pStyle w:val="3361"/>
              <w:rPr>
                <w:rFonts w:hint="eastAsia"/>
                <w:color w:val="auto"/>
                <w:lang w:val="en-US" w:eastAsia="zh-CN"/>
              </w:rPr>
            </w:pPr>
            <w:r>
              <w:rPr>
                <w:rFonts w:hint="eastAsia"/>
                <w:color w:val="auto"/>
                <w:lang w:val="en-US" w:eastAsia="zh-CN"/>
              </w:rPr>
              <w:t>1.49E+03</w:t>
            </w:r>
          </w:p>
        </w:tc>
        <w:tc>
          <w:tcPr>
            <w:tcW w:w="1265" w:type="dxa"/>
            <w:tcBorders>
              <w:top w:val="nil"/>
              <w:left w:val="nil"/>
              <w:bottom w:val="single" w:color="auto" w:sz="4" w:space="0"/>
              <w:right w:val="single" w:color="auto" w:sz="4" w:space="0"/>
            </w:tcBorders>
            <w:shd w:val="clear" w:color="auto" w:fill="auto"/>
            <w:noWrap/>
            <w:vAlign w:val="bottom"/>
          </w:tcPr>
          <w:p w14:paraId="7F0E2AB4">
            <w:pPr>
              <w:pStyle w:val="3361"/>
              <w:rPr>
                <w:rFonts w:hint="eastAsia"/>
                <w:color w:val="auto"/>
                <w:lang w:val="en-US" w:eastAsia="zh-CN"/>
              </w:rPr>
            </w:pPr>
            <w:r>
              <w:rPr>
                <w:rFonts w:hint="eastAsia"/>
                <w:color w:val="auto"/>
                <w:lang w:val="en-US" w:eastAsia="zh-CN"/>
              </w:rPr>
              <w:t>35</w:t>
            </w:r>
          </w:p>
        </w:tc>
        <w:tc>
          <w:tcPr>
            <w:tcW w:w="1926" w:type="dxa"/>
            <w:tcBorders>
              <w:top w:val="nil"/>
              <w:left w:val="nil"/>
              <w:bottom w:val="single" w:color="auto" w:sz="4" w:space="0"/>
              <w:right w:val="single" w:color="auto" w:sz="4" w:space="0"/>
            </w:tcBorders>
            <w:shd w:val="clear" w:color="auto" w:fill="auto"/>
            <w:noWrap/>
            <w:vAlign w:val="bottom"/>
          </w:tcPr>
          <w:p w14:paraId="45DB8186">
            <w:pPr>
              <w:pStyle w:val="3361"/>
              <w:rPr>
                <w:rFonts w:hint="eastAsia"/>
                <w:color w:val="auto"/>
                <w:lang w:val="en-US" w:eastAsia="zh-CN"/>
              </w:rPr>
            </w:pPr>
            <w:r>
              <w:rPr>
                <w:rFonts w:hint="eastAsia"/>
                <w:color w:val="auto"/>
                <w:lang w:val="en-US" w:eastAsia="zh-CN"/>
              </w:rPr>
              <w:t>1.94E+03</w:t>
            </w:r>
          </w:p>
        </w:tc>
        <w:tc>
          <w:tcPr>
            <w:tcW w:w="1159" w:type="dxa"/>
            <w:tcBorders>
              <w:top w:val="nil"/>
              <w:left w:val="nil"/>
              <w:bottom w:val="single" w:color="auto" w:sz="4" w:space="0"/>
              <w:right w:val="single" w:color="auto" w:sz="4" w:space="0"/>
            </w:tcBorders>
            <w:shd w:val="clear" w:color="auto" w:fill="auto"/>
            <w:noWrap/>
            <w:vAlign w:val="bottom"/>
          </w:tcPr>
          <w:p w14:paraId="35EF9312">
            <w:pPr>
              <w:pStyle w:val="3361"/>
              <w:rPr>
                <w:rFonts w:hint="eastAsia"/>
                <w:color w:val="auto"/>
                <w:lang w:val="en-US" w:eastAsia="zh-CN"/>
              </w:rPr>
            </w:pPr>
            <w:r>
              <w:rPr>
                <w:rFonts w:hint="eastAsia"/>
                <w:color w:val="auto"/>
                <w:lang w:val="en-US" w:eastAsia="zh-CN"/>
              </w:rPr>
              <w:t>35</w:t>
            </w:r>
          </w:p>
        </w:tc>
        <w:tc>
          <w:tcPr>
            <w:tcW w:w="1777" w:type="dxa"/>
            <w:tcBorders>
              <w:top w:val="nil"/>
              <w:left w:val="nil"/>
              <w:bottom w:val="single" w:color="auto" w:sz="4" w:space="0"/>
              <w:right w:val="single" w:color="auto" w:sz="4" w:space="0"/>
            </w:tcBorders>
            <w:shd w:val="clear" w:color="auto" w:fill="auto"/>
            <w:noWrap/>
            <w:vAlign w:val="bottom"/>
          </w:tcPr>
          <w:p w14:paraId="01DAD54F">
            <w:pPr>
              <w:pStyle w:val="3361"/>
              <w:rPr>
                <w:rFonts w:hint="eastAsia"/>
                <w:color w:val="auto"/>
                <w:lang w:val="en-US" w:eastAsia="zh-CN"/>
              </w:rPr>
            </w:pPr>
            <w:r>
              <w:rPr>
                <w:rFonts w:hint="eastAsia"/>
                <w:color w:val="auto"/>
                <w:lang w:val="en-US" w:eastAsia="zh-CN"/>
              </w:rPr>
              <w:t>3.59E+02</w:t>
            </w:r>
          </w:p>
        </w:tc>
      </w:tr>
      <w:tr w14:paraId="607FED5A">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2ADE0082">
            <w:pPr>
              <w:pStyle w:val="3361"/>
              <w:rPr>
                <w:rFonts w:hint="eastAsia"/>
                <w:color w:val="auto"/>
                <w:lang w:val="en-US" w:eastAsia="zh-CN"/>
              </w:rPr>
            </w:pPr>
            <w:r>
              <w:rPr>
                <w:rFonts w:hint="eastAsia"/>
                <w:color w:val="auto"/>
                <w:lang w:val="en-US" w:eastAsia="zh-CN"/>
              </w:rPr>
              <w:t>40</w:t>
            </w:r>
          </w:p>
        </w:tc>
        <w:tc>
          <w:tcPr>
            <w:tcW w:w="1378" w:type="dxa"/>
            <w:tcBorders>
              <w:top w:val="nil"/>
              <w:left w:val="nil"/>
              <w:bottom w:val="single" w:color="auto" w:sz="4" w:space="0"/>
              <w:right w:val="single" w:color="auto" w:sz="4" w:space="0"/>
            </w:tcBorders>
            <w:shd w:val="clear" w:color="auto" w:fill="auto"/>
            <w:noWrap/>
            <w:vAlign w:val="bottom"/>
          </w:tcPr>
          <w:p w14:paraId="7A1CCD4C">
            <w:pPr>
              <w:pStyle w:val="3361"/>
              <w:rPr>
                <w:rFonts w:hint="eastAsia"/>
                <w:color w:val="auto"/>
                <w:lang w:val="en-US" w:eastAsia="zh-CN"/>
              </w:rPr>
            </w:pPr>
            <w:r>
              <w:rPr>
                <w:rFonts w:hint="eastAsia"/>
                <w:color w:val="auto"/>
                <w:lang w:val="en-US" w:eastAsia="zh-CN"/>
              </w:rPr>
              <w:t>7.92E+02</w:t>
            </w:r>
          </w:p>
        </w:tc>
        <w:tc>
          <w:tcPr>
            <w:tcW w:w="1265" w:type="dxa"/>
            <w:tcBorders>
              <w:top w:val="nil"/>
              <w:left w:val="nil"/>
              <w:bottom w:val="single" w:color="auto" w:sz="4" w:space="0"/>
              <w:right w:val="single" w:color="auto" w:sz="4" w:space="0"/>
            </w:tcBorders>
            <w:shd w:val="clear" w:color="auto" w:fill="auto"/>
            <w:noWrap/>
            <w:vAlign w:val="bottom"/>
          </w:tcPr>
          <w:p w14:paraId="5FC0A43A">
            <w:pPr>
              <w:pStyle w:val="3361"/>
              <w:rPr>
                <w:rFonts w:hint="eastAsia"/>
                <w:color w:val="auto"/>
                <w:lang w:val="en-US" w:eastAsia="zh-CN"/>
              </w:rPr>
            </w:pPr>
            <w:r>
              <w:rPr>
                <w:rFonts w:hint="eastAsia"/>
                <w:color w:val="auto"/>
                <w:lang w:val="en-US" w:eastAsia="zh-CN"/>
              </w:rPr>
              <w:t>40</w:t>
            </w:r>
          </w:p>
        </w:tc>
        <w:tc>
          <w:tcPr>
            <w:tcW w:w="1926" w:type="dxa"/>
            <w:tcBorders>
              <w:top w:val="nil"/>
              <w:left w:val="nil"/>
              <w:bottom w:val="single" w:color="auto" w:sz="4" w:space="0"/>
              <w:right w:val="single" w:color="auto" w:sz="4" w:space="0"/>
            </w:tcBorders>
            <w:shd w:val="clear" w:color="auto" w:fill="auto"/>
            <w:noWrap/>
            <w:vAlign w:val="bottom"/>
          </w:tcPr>
          <w:p w14:paraId="28B96DD2">
            <w:pPr>
              <w:pStyle w:val="3361"/>
              <w:rPr>
                <w:rFonts w:hint="eastAsia"/>
                <w:color w:val="auto"/>
                <w:lang w:val="en-US" w:eastAsia="zh-CN"/>
              </w:rPr>
            </w:pPr>
            <w:r>
              <w:rPr>
                <w:rFonts w:hint="eastAsia"/>
                <w:color w:val="auto"/>
                <w:lang w:val="en-US" w:eastAsia="zh-CN"/>
              </w:rPr>
              <w:t>2.06E+03</w:t>
            </w:r>
          </w:p>
        </w:tc>
        <w:tc>
          <w:tcPr>
            <w:tcW w:w="1159" w:type="dxa"/>
            <w:tcBorders>
              <w:top w:val="nil"/>
              <w:left w:val="nil"/>
              <w:bottom w:val="single" w:color="auto" w:sz="4" w:space="0"/>
              <w:right w:val="single" w:color="auto" w:sz="4" w:space="0"/>
            </w:tcBorders>
            <w:shd w:val="clear" w:color="auto" w:fill="auto"/>
            <w:noWrap/>
            <w:vAlign w:val="bottom"/>
          </w:tcPr>
          <w:p w14:paraId="4DB1AE8E">
            <w:pPr>
              <w:pStyle w:val="3361"/>
              <w:rPr>
                <w:rFonts w:hint="eastAsia"/>
                <w:color w:val="auto"/>
                <w:lang w:val="en-US" w:eastAsia="zh-CN"/>
              </w:rPr>
            </w:pPr>
            <w:r>
              <w:rPr>
                <w:rFonts w:hint="eastAsia"/>
                <w:color w:val="auto"/>
                <w:lang w:val="en-US" w:eastAsia="zh-CN"/>
              </w:rPr>
              <w:t>40</w:t>
            </w:r>
          </w:p>
        </w:tc>
        <w:tc>
          <w:tcPr>
            <w:tcW w:w="1777" w:type="dxa"/>
            <w:tcBorders>
              <w:top w:val="nil"/>
              <w:left w:val="nil"/>
              <w:bottom w:val="single" w:color="auto" w:sz="4" w:space="0"/>
              <w:right w:val="single" w:color="auto" w:sz="4" w:space="0"/>
            </w:tcBorders>
            <w:shd w:val="clear" w:color="auto" w:fill="auto"/>
            <w:noWrap/>
            <w:vAlign w:val="bottom"/>
          </w:tcPr>
          <w:p w14:paraId="41F2DDF0">
            <w:pPr>
              <w:pStyle w:val="3361"/>
              <w:rPr>
                <w:rFonts w:hint="eastAsia"/>
                <w:color w:val="auto"/>
                <w:lang w:val="en-US" w:eastAsia="zh-CN"/>
              </w:rPr>
            </w:pPr>
            <w:r>
              <w:rPr>
                <w:rFonts w:hint="eastAsia"/>
                <w:color w:val="auto"/>
                <w:lang w:val="en-US" w:eastAsia="zh-CN"/>
              </w:rPr>
              <w:t>3.86E+02</w:t>
            </w:r>
          </w:p>
        </w:tc>
      </w:tr>
      <w:tr w14:paraId="004F4C01">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396EFAF1">
            <w:pPr>
              <w:pStyle w:val="3361"/>
              <w:rPr>
                <w:rFonts w:hint="eastAsia"/>
                <w:color w:val="auto"/>
                <w:lang w:val="en-US" w:eastAsia="zh-CN"/>
              </w:rPr>
            </w:pPr>
            <w:r>
              <w:rPr>
                <w:rFonts w:hint="eastAsia"/>
                <w:color w:val="auto"/>
                <w:lang w:val="en-US" w:eastAsia="zh-CN"/>
              </w:rPr>
              <w:t>45</w:t>
            </w:r>
          </w:p>
        </w:tc>
        <w:tc>
          <w:tcPr>
            <w:tcW w:w="1378" w:type="dxa"/>
            <w:tcBorders>
              <w:top w:val="nil"/>
              <w:left w:val="nil"/>
              <w:bottom w:val="single" w:color="auto" w:sz="4" w:space="0"/>
              <w:right w:val="single" w:color="auto" w:sz="4" w:space="0"/>
            </w:tcBorders>
            <w:shd w:val="clear" w:color="auto" w:fill="auto"/>
            <w:noWrap/>
            <w:vAlign w:val="bottom"/>
          </w:tcPr>
          <w:p w14:paraId="14DA9153">
            <w:pPr>
              <w:pStyle w:val="3361"/>
              <w:rPr>
                <w:rFonts w:hint="eastAsia"/>
                <w:color w:val="auto"/>
                <w:lang w:val="en-US" w:eastAsia="zh-CN"/>
              </w:rPr>
            </w:pPr>
            <w:r>
              <w:rPr>
                <w:rFonts w:hint="eastAsia"/>
                <w:color w:val="auto"/>
                <w:lang w:val="en-US" w:eastAsia="zh-CN"/>
              </w:rPr>
              <w:t>3.97E+02</w:t>
            </w:r>
          </w:p>
        </w:tc>
        <w:tc>
          <w:tcPr>
            <w:tcW w:w="1265" w:type="dxa"/>
            <w:tcBorders>
              <w:top w:val="nil"/>
              <w:left w:val="nil"/>
              <w:bottom w:val="single" w:color="auto" w:sz="4" w:space="0"/>
              <w:right w:val="single" w:color="auto" w:sz="4" w:space="0"/>
            </w:tcBorders>
            <w:shd w:val="clear" w:color="auto" w:fill="auto"/>
            <w:noWrap/>
            <w:vAlign w:val="bottom"/>
          </w:tcPr>
          <w:p w14:paraId="49AC25E0">
            <w:pPr>
              <w:pStyle w:val="3361"/>
              <w:rPr>
                <w:rFonts w:hint="eastAsia"/>
                <w:color w:val="auto"/>
                <w:lang w:val="en-US" w:eastAsia="zh-CN"/>
              </w:rPr>
            </w:pPr>
            <w:r>
              <w:rPr>
                <w:rFonts w:hint="eastAsia"/>
                <w:color w:val="auto"/>
                <w:lang w:val="en-US" w:eastAsia="zh-CN"/>
              </w:rPr>
              <w:t>45</w:t>
            </w:r>
          </w:p>
        </w:tc>
        <w:tc>
          <w:tcPr>
            <w:tcW w:w="1926" w:type="dxa"/>
            <w:tcBorders>
              <w:top w:val="nil"/>
              <w:left w:val="nil"/>
              <w:bottom w:val="single" w:color="auto" w:sz="4" w:space="0"/>
              <w:right w:val="single" w:color="auto" w:sz="4" w:space="0"/>
            </w:tcBorders>
            <w:shd w:val="clear" w:color="auto" w:fill="auto"/>
            <w:noWrap/>
            <w:vAlign w:val="bottom"/>
          </w:tcPr>
          <w:p w14:paraId="26B7E3E6">
            <w:pPr>
              <w:pStyle w:val="3361"/>
              <w:rPr>
                <w:rFonts w:hint="eastAsia"/>
                <w:color w:val="auto"/>
                <w:lang w:val="en-US" w:eastAsia="zh-CN"/>
              </w:rPr>
            </w:pPr>
            <w:r>
              <w:rPr>
                <w:rFonts w:hint="eastAsia"/>
                <w:color w:val="auto"/>
                <w:lang w:val="en-US" w:eastAsia="zh-CN"/>
              </w:rPr>
              <w:t>2.16E+03</w:t>
            </w:r>
          </w:p>
        </w:tc>
        <w:tc>
          <w:tcPr>
            <w:tcW w:w="1159" w:type="dxa"/>
            <w:tcBorders>
              <w:top w:val="nil"/>
              <w:left w:val="nil"/>
              <w:bottom w:val="single" w:color="auto" w:sz="4" w:space="0"/>
              <w:right w:val="single" w:color="auto" w:sz="4" w:space="0"/>
            </w:tcBorders>
            <w:shd w:val="clear" w:color="auto" w:fill="auto"/>
            <w:noWrap/>
            <w:vAlign w:val="bottom"/>
          </w:tcPr>
          <w:p w14:paraId="6036A7DF">
            <w:pPr>
              <w:pStyle w:val="3361"/>
              <w:rPr>
                <w:rFonts w:hint="eastAsia"/>
                <w:color w:val="auto"/>
                <w:lang w:val="en-US" w:eastAsia="zh-CN"/>
              </w:rPr>
            </w:pPr>
            <w:r>
              <w:rPr>
                <w:rFonts w:hint="eastAsia"/>
                <w:color w:val="auto"/>
                <w:lang w:val="en-US" w:eastAsia="zh-CN"/>
              </w:rPr>
              <w:t>45</w:t>
            </w:r>
          </w:p>
        </w:tc>
        <w:tc>
          <w:tcPr>
            <w:tcW w:w="1777" w:type="dxa"/>
            <w:tcBorders>
              <w:top w:val="nil"/>
              <w:left w:val="nil"/>
              <w:bottom w:val="single" w:color="auto" w:sz="4" w:space="0"/>
              <w:right w:val="single" w:color="auto" w:sz="4" w:space="0"/>
            </w:tcBorders>
            <w:shd w:val="clear" w:color="auto" w:fill="auto"/>
            <w:noWrap/>
            <w:vAlign w:val="bottom"/>
          </w:tcPr>
          <w:p w14:paraId="40B59FC1">
            <w:pPr>
              <w:pStyle w:val="3361"/>
              <w:rPr>
                <w:rFonts w:hint="eastAsia"/>
                <w:color w:val="auto"/>
                <w:lang w:val="en-US" w:eastAsia="zh-CN"/>
              </w:rPr>
            </w:pPr>
            <w:r>
              <w:rPr>
                <w:rFonts w:hint="eastAsia"/>
                <w:color w:val="auto"/>
                <w:lang w:val="en-US" w:eastAsia="zh-CN"/>
              </w:rPr>
              <w:t>4.14E+02</w:t>
            </w:r>
          </w:p>
        </w:tc>
      </w:tr>
      <w:tr w14:paraId="13196BDE">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6E77E203">
            <w:pPr>
              <w:pStyle w:val="3361"/>
              <w:rPr>
                <w:rFonts w:hint="eastAsia"/>
                <w:color w:val="auto"/>
                <w:lang w:val="en-US" w:eastAsia="zh-CN"/>
              </w:rPr>
            </w:pPr>
            <w:r>
              <w:rPr>
                <w:rFonts w:hint="eastAsia"/>
                <w:color w:val="auto"/>
                <w:lang w:val="en-US" w:eastAsia="zh-CN"/>
              </w:rPr>
              <w:t>50</w:t>
            </w:r>
          </w:p>
        </w:tc>
        <w:tc>
          <w:tcPr>
            <w:tcW w:w="1378" w:type="dxa"/>
            <w:tcBorders>
              <w:top w:val="nil"/>
              <w:left w:val="nil"/>
              <w:bottom w:val="single" w:color="auto" w:sz="4" w:space="0"/>
              <w:right w:val="single" w:color="auto" w:sz="4" w:space="0"/>
            </w:tcBorders>
            <w:shd w:val="clear" w:color="auto" w:fill="auto"/>
            <w:noWrap/>
            <w:vAlign w:val="bottom"/>
          </w:tcPr>
          <w:p w14:paraId="3073C038">
            <w:pPr>
              <w:pStyle w:val="3361"/>
              <w:rPr>
                <w:rFonts w:hint="eastAsia"/>
                <w:color w:val="auto"/>
                <w:lang w:val="en-US" w:eastAsia="zh-CN"/>
              </w:rPr>
            </w:pPr>
            <w:r>
              <w:rPr>
                <w:rFonts w:hint="eastAsia"/>
                <w:color w:val="auto"/>
                <w:lang w:val="en-US" w:eastAsia="zh-CN"/>
              </w:rPr>
              <w:t>1.90E+02</w:t>
            </w:r>
          </w:p>
        </w:tc>
        <w:tc>
          <w:tcPr>
            <w:tcW w:w="1265" w:type="dxa"/>
            <w:tcBorders>
              <w:top w:val="nil"/>
              <w:left w:val="nil"/>
              <w:bottom w:val="single" w:color="auto" w:sz="4" w:space="0"/>
              <w:right w:val="single" w:color="auto" w:sz="4" w:space="0"/>
            </w:tcBorders>
            <w:shd w:val="clear" w:color="auto" w:fill="auto"/>
            <w:noWrap/>
            <w:vAlign w:val="bottom"/>
          </w:tcPr>
          <w:p w14:paraId="21812F1F">
            <w:pPr>
              <w:pStyle w:val="3361"/>
              <w:rPr>
                <w:rFonts w:hint="eastAsia"/>
                <w:color w:val="auto"/>
                <w:lang w:val="en-US" w:eastAsia="zh-CN"/>
              </w:rPr>
            </w:pPr>
            <w:r>
              <w:rPr>
                <w:rFonts w:hint="eastAsia"/>
                <w:color w:val="auto"/>
                <w:lang w:val="en-US" w:eastAsia="zh-CN"/>
              </w:rPr>
              <w:t>50</w:t>
            </w:r>
          </w:p>
        </w:tc>
        <w:tc>
          <w:tcPr>
            <w:tcW w:w="1926" w:type="dxa"/>
            <w:tcBorders>
              <w:top w:val="nil"/>
              <w:left w:val="nil"/>
              <w:bottom w:val="single" w:color="auto" w:sz="4" w:space="0"/>
              <w:right w:val="single" w:color="auto" w:sz="4" w:space="0"/>
            </w:tcBorders>
            <w:shd w:val="clear" w:color="auto" w:fill="auto"/>
            <w:noWrap/>
            <w:vAlign w:val="bottom"/>
          </w:tcPr>
          <w:p w14:paraId="2E03FB3A">
            <w:pPr>
              <w:pStyle w:val="3361"/>
              <w:rPr>
                <w:rFonts w:hint="eastAsia"/>
                <w:color w:val="auto"/>
                <w:lang w:val="en-US" w:eastAsia="zh-CN"/>
              </w:rPr>
            </w:pPr>
            <w:r>
              <w:rPr>
                <w:rFonts w:hint="eastAsia"/>
                <w:color w:val="auto"/>
                <w:lang w:val="en-US" w:eastAsia="zh-CN"/>
              </w:rPr>
              <w:t>2.24E+03</w:t>
            </w:r>
          </w:p>
        </w:tc>
        <w:tc>
          <w:tcPr>
            <w:tcW w:w="1159" w:type="dxa"/>
            <w:tcBorders>
              <w:top w:val="nil"/>
              <w:left w:val="nil"/>
              <w:bottom w:val="single" w:color="auto" w:sz="4" w:space="0"/>
              <w:right w:val="single" w:color="auto" w:sz="4" w:space="0"/>
            </w:tcBorders>
            <w:shd w:val="clear" w:color="auto" w:fill="auto"/>
            <w:noWrap/>
            <w:vAlign w:val="bottom"/>
          </w:tcPr>
          <w:p w14:paraId="66964EDE">
            <w:pPr>
              <w:pStyle w:val="3361"/>
              <w:rPr>
                <w:rFonts w:hint="eastAsia"/>
                <w:color w:val="auto"/>
                <w:lang w:val="en-US" w:eastAsia="zh-CN"/>
              </w:rPr>
            </w:pPr>
            <w:r>
              <w:rPr>
                <w:rFonts w:hint="eastAsia"/>
                <w:color w:val="auto"/>
                <w:lang w:val="en-US" w:eastAsia="zh-CN"/>
              </w:rPr>
              <w:t>50</w:t>
            </w:r>
          </w:p>
        </w:tc>
        <w:tc>
          <w:tcPr>
            <w:tcW w:w="1777" w:type="dxa"/>
            <w:tcBorders>
              <w:top w:val="nil"/>
              <w:left w:val="nil"/>
              <w:bottom w:val="single" w:color="auto" w:sz="4" w:space="0"/>
              <w:right w:val="single" w:color="auto" w:sz="4" w:space="0"/>
            </w:tcBorders>
            <w:shd w:val="clear" w:color="auto" w:fill="auto"/>
            <w:noWrap/>
            <w:vAlign w:val="bottom"/>
          </w:tcPr>
          <w:p w14:paraId="33EC1462">
            <w:pPr>
              <w:pStyle w:val="3361"/>
              <w:rPr>
                <w:rFonts w:hint="eastAsia"/>
                <w:color w:val="auto"/>
                <w:lang w:val="en-US" w:eastAsia="zh-CN"/>
              </w:rPr>
            </w:pPr>
            <w:r>
              <w:rPr>
                <w:rFonts w:hint="eastAsia"/>
                <w:color w:val="auto"/>
                <w:lang w:val="en-US" w:eastAsia="zh-CN"/>
              </w:rPr>
              <w:t>4.43E+02</w:t>
            </w:r>
          </w:p>
        </w:tc>
      </w:tr>
      <w:tr w14:paraId="4938EC61">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3B91CF57">
            <w:pPr>
              <w:pStyle w:val="3361"/>
              <w:rPr>
                <w:rFonts w:hint="eastAsia"/>
                <w:color w:val="auto"/>
                <w:lang w:val="en-US" w:eastAsia="zh-CN"/>
              </w:rPr>
            </w:pPr>
            <w:r>
              <w:rPr>
                <w:rFonts w:hint="eastAsia"/>
                <w:color w:val="auto"/>
                <w:lang w:val="en-US" w:eastAsia="zh-CN"/>
              </w:rPr>
              <w:t>55</w:t>
            </w:r>
          </w:p>
        </w:tc>
        <w:tc>
          <w:tcPr>
            <w:tcW w:w="1378" w:type="dxa"/>
            <w:tcBorders>
              <w:top w:val="nil"/>
              <w:left w:val="nil"/>
              <w:bottom w:val="single" w:color="auto" w:sz="4" w:space="0"/>
              <w:right w:val="single" w:color="auto" w:sz="4" w:space="0"/>
            </w:tcBorders>
            <w:shd w:val="clear" w:color="auto" w:fill="auto"/>
            <w:noWrap/>
            <w:vAlign w:val="bottom"/>
          </w:tcPr>
          <w:p w14:paraId="1B642362">
            <w:pPr>
              <w:pStyle w:val="3361"/>
              <w:rPr>
                <w:rFonts w:hint="eastAsia"/>
                <w:color w:val="auto"/>
                <w:lang w:val="en-US" w:eastAsia="zh-CN"/>
              </w:rPr>
            </w:pPr>
            <w:r>
              <w:rPr>
                <w:rFonts w:hint="eastAsia"/>
                <w:color w:val="auto"/>
                <w:lang w:val="en-US" w:eastAsia="zh-CN"/>
              </w:rPr>
              <w:t>8.97E+01</w:t>
            </w:r>
          </w:p>
        </w:tc>
        <w:tc>
          <w:tcPr>
            <w:tcW w:w="1265" w:type="dxa"/>
            <w:tcBorders>
              <w:top w:val="nil"/>
              <w:left w:val="nil"/>
              <w:bottom w:val="single" w:color="auto" w:sz="4" w:space="0"/>
              <w:right w:val="single" w:color="auto" w:sz="4" w:space="0"/>
            </w:tcBorders>
            <w:shd w:val="clear" w:color="auto" w:fill="auto"/>
            <w:noWrap/>
            <w:vAlign w:val="bottom"/>
          </w:tcPr>
          <w:p w14:paraId="34137AEA">
            <w:pPr>
              <w:pStyle w:val="3361"/>
              <w:rPr>
                <w:rFonts w:hint="eastAsia"/>
                <w:color w:val="auto"/>
                <w:lang w:val="en-US" w:eastAsia="zh-CN"/>
              </w:rPr>
            </w:pPr>
            <w:r>
              <w:rPr>
                <w:rFonts w:hint="eastAsia"/>
                <w:color w:val="auto"/>
                <w:lang w:val="en-US" w:eastAsia="zh-CN"/>
              </w:rPr>
              <w:t>55</w:t>
            </w:r>
          </w:p>
        </w:tc>
        <w:tc>
          <w:tcPr>
            <w:tcW w:w="1926" w:type="dxa"/>
            <w:tcBorders>
              <w:top w:val="nil"/>
              <w:left w:val="nil"/>
              <w:bottom w:val="single" w:color="auto" w:sz="4" w:space="0"/>
              <w:right w:val="single" w:color="auto" w:sz="4" w:space="0"/>
            </w:tcBorders>
            <w:shd w:val="clear" w:color="auto" w:fill="auto"/>
            <w:noWrap/>
            <w:vAlign w:val="bottom"/>
          </w:tcPr>
          <w:p w14:paraId="5C00B521">
            <w:pPr>
              <w:pStyle w:val="3361"/>
              <w:rPr>
                <w:rFonts w:hint="eastAsia"/>
                <w:color w:val="auto"/>
                <w:lang w:val="en-US" w:eastAsia="zh-CN"/>
              </w:rPr>
            </w:pPr>
            <w:r>
              <w:rPr>
                <w:rFonts w:hint="eastAsia"/>
                <w:color w:val="auto"/>
                <w:lang w:val="en-US" w:eastAsia="zh-CN"/>
              </w:rPr>
              <w:t>2.29E+03</w:t>
            </w:r>
          </w:p>
        </w:tc>
        <w:tc>
          <w:tcPr>
            <w:tcW w:w="1159" w:type="dxa"/>
            <w:tcBorders>
              <w:top w:val="nil"/>
              <w:left w:val="nil"/>
              <w:bottom w:val="single" w:color="auto" w:sz="4" w:space="0"/>
              <w:right w:val="single" w:color="auto" w:sz="4" w:space="0"/>
            </w:tcBorders>
            <w:shd w:val="clear" w:color="auto" w:fill="auto"/>
            <w:noWrap/>
            <w:vAlign w:val="bottom"/>
          </w:tcPr>
          <w:p w14:paraId="361D791E">
            <w:pPr>
              <w:pStyle w:val="3361"/>
              <w:rPr>
                <w:rFonts w:hint="eastAsia"/>
                <w:color w:val="auto"/>
                <w:lang w:val="en-US" w:eastAsia="zh-CN"/>
              </w:rPr>
            </w:pPr>
            <w:r>
              <w:rPr>
                <w:rFonts w:hint="eastAsia"/>
                <w:color w:val="auto"/>
                <w:lang w:val="en-US" w:eastAsia="zh-CN"/>
              </w:rPr>
              <w:t>55</w:t>
            </w:r>
          </w:p>
        </w:tc>
        <w:tc>
          <w:tcPr>
            <w:tcW w:w="1777" w:type="dxa"/>
            <w:tcBorders>
              <w:top w:val="nil"/>
              <w:left w:val="nil"/>
              <w:bottom w:val="single" w:color="auto" w:sz="4" w:space="0"/>
              <w:right w:val="single" w:color="auto" w:sz="4" w:space="0"/>
            </w:tcBorders>
            <w:shd w:val="clear" w:color="auto" w:fill="auto"/>
            <w:noWrap/>
            <w:vAlign w:val="bottom"/>
          </w:tcPr>
          <w:p w14:paraId="1D8386CB">
            <w:pPr>
              <w:pStyle w:val="3361"/>
              <w:rPr>
                <w:rFonts w:hint="eastAsia"/>
                <w:color w:val="auto"/>
                <w:lang w:val="en-US" w:eastAsia="zh-CN"/>
              </w:rPr>
            </w:pPr>
            <w:r>
              <w:rPr>
                <w:rFonts w:hint="eastAsia"/>
                <w:color w:val="auto"/>
                <w:lang w:val="en-US" w:eastAsia="zh-CN"/>
              </w:rPr>
              <w:t>4.72E+02</w:t>
            </w:r>
          </w:p>
        </w:tc>
      </w:tr>
      <w:tr w14:paraId="3BAF2D2D">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6C96AD55">
            <w:pPr>
              <w:pStyle w:val="3361"/>
              <w:rPr>
                <w:rFonts w:hint="eastAsia"/>
                <w:color w:val="auto"/>
                <w:lang w:val="en-US" w:eastAsia="zh-CN"/>
              </w:rPr>
            </w:pPr>
            <w:r>
              <w:rPr>
                <w:rFonts w:hint="eastAsia"/>
                <w:color w:val="auto"/>
                <w:lang w:val="en-US" w:eastAsia="zh-CN"/>
              </w:rPr>
              <w:t>60</w:t>
            </w:r>
          </w:p>
        </w:tc>
        <w:tc>
          <w:tcPr>
            <w:tcW w:w="1378" w:type="dxa"/>
            <w:tcBorders>
              <w:top w:val="nil"/>
              <w:left w:val="nil"/>
              <w:bottom w:val="single" w:color="auto" w:sz="4" w:space="0"/>
              <w:right w:val="single" w:color="auto" w:sz="4" w:space="0"/>
            </w:tcBorders>
            <w:shd w:val="clear" w:color="auto" w:fill="auto"/>
            <w:noWrap/>
            <w:vAlign w:val="bottom"/>
          </w:tcPr>
          <w:p w14:paraId="050F72ED">
            <w:pPr>
              <w:pStyle w:val="3361"/>
              <w:rPr>
                <w:rFonts w:hint="eastAsia"/>
                <w:color w:val="auto"/>
                <w:lang w:val="en-US" w:eastAsia="zh-CN"/>
              </w:rPr>
            </w:pPr>
            <w:r>
              <w:rPr>
                <w:rFonts w:hint="eastAsia"/>
                <w:color w:val="auto"/>
                <w:lang w:val="en-US" w:eastAsia="zh-CN"/>
              </w:rPr>
              <w:t>4.49E+01</w:t>
            </w:r>
          </w:p>
        </w:tc>
        <w:tc>
          <w:tcPr>
            <w:tcW w:w="1265" w:type="dxa"/>
            <w:tcBorders>
              <w:top w:val="nil"/>
              <w:left w:val="nil"/>
              <w:bottom w:val="single" w:color="auto" w:sz="4" w:space="0"/>
              <w:right w:val="single" w:color="auto" w:sz="4" w:space="0"/>
            </w:tcBorders>
            <w:shd w:val="clear" w:color="auto" w:fill="auto"/>
            <w:noWrap/>
            <w:vAlign w:val="bottom"/>
          </w:tcPr>
          <w:p w14:paraId="6CD25446">
            <w:pPr>
              <w:pStyle w:val="3361"/>
              <w:rPr>
                <w:rFonts w:hint="eastAsia"/>
                <w:color w:val="auto"/>
                <w:lang w:val="en-US" w:eastAsia="zh-CN"/>
              </w:rPr>
            </w:pPr>
            <w:r>
              <w:rPr>
                <w:rFonts w:hint="eastAsia"/>
                <w:color w:val="auto"/>
                <w:lang w:val="en-US" w:eastAsia="zh-CN"/>
              </w:rPr>
              <w:t>60</w:t>
            </w:r>
          </w:p>
        </w:tc>
        <w:tc>
          <w:tcPr>
            <w:tcW w:w="1926" w:type="dxa"/>
            <w:tcBorders>
              <w:top w:val="nil"/>
              <w:left w:val="nil"/>
              <w:bottom w:val="single" w:color="auto" w:sz="4" w:space="0"/>
              <w:right w:val="single" w:color="auto" w:sz="4" w:space="0"/>
            </w:tcBorders>
            <w:shd w:val="clear" w:color="auto" w:fill="auto"/>
            <w:noWrap/>
            <w:vAlign w:val="bottom"/>
          </w:tcPr>
          <w:p w14:paraId="62EDCC61">
            <w:pPr>
              <w:pStyle w:val="3361"/>
              <w:rPr>
                <w:rFonts w:hint="eastAsia"/>
                <w:color w:val="auto"/>
                <w:lang w:val="en-US" w:eastAsia="zh-CN"/>
              </w:rPr>
            </w:pPr>
            <w:r>
              <w:rPr>
                <w:rFonts w:hint="eastAsia"/>
                <w:color w:val="auto"/>
                <w:lang w:val="en-US" w:eastAsia="zh-CN"/>
              </w:rPr>
              <w:t>2.31E+03</w:t>
            </w:r>
          </w:p>
        </w:tc>
        <w:tc>
          <w:tcPr>
            <w:tcW w:w="1159" w:type="dxa"/>
            <w:tcBorders>
              <w:top w:val="nil"/>
              <w:left w:val="nil"/>
              <w:bottom w:val="single" w:color="auto" w:sz="4" w:space="0"/>
              <w:right w:val="single" w:color="auto" w:sz="4" w:space="0"/>
            </w:tcBorders>
            <w:shd w:val="clear" w:color="auto" w:fill="auto"/>
            <w:noWrap/>
            <w:vAlign w:val="bottom"/>
          </w:tcPr>
          <w:p w14:paraId="157839BA">
            <w:pPr>
              <w:pStyle w:val="3361"/>
              <w:rPr>
                <w:rFonts w:hint="eastAsia"/>
                <w:color w:val="auto"/>
                <w:lang w:val="en-US" w:eastAsia="zh-CN"/>
              </w:rPr>
            </w:pPr>
            <w:r>
              <w:rPr>
                <w:rFonts w:hint="eastAsia"/>
                <w:color w:val="auto"/>
                <w:lang w:val="en-US" w:eastAsia="zh-CN"/>
              </w:rPr>
              <w:t>60</w:t>
            </w:r>
          </w:p>
        </w:tc>
        <w:tc>
          <w:tcPr>
            <w:tcW w:w="1777" w:type="dxa"/>
            <w:tcBorders>
              <w:top w:val="nil"/>
              <w:left w:val="nil"/>
              <w:bottom w:val="single" w:color="auto" w:sz="4" w:space="0"/>
              <w:right w:val="single" w:color="auto" w:sz="4" w:space="0"/>
            </w:tcBorders>
            <w:shd w:val="clear" w:color="auto" w:fill="auto"/>
            <w:noWrap/>
            <w:vAlign w:val="bottom"/>
          </w:tcPr>
          <w:p w14:paraId="6E0DD434">
            <w:pPr>
              <w:pStyle w:val="3361"/>
              <w:rPr>
                <w:rFonts w:hint="eastAsia"/>
                <w:color w:val="auto"/>
                <w:lang w:val="en-US" w:eastAsia="zh-CN"/>
              </w:rPr>
            </w:pPr>
            <w:r>
              <w:rPr>
                <w:rFonts w:hint="eastAsia"/>
                <w:color w:val="auto"/>
                <w:lang w:val="en-US" w:eastAsia="zh-CN"/>
              </w:rPr>
              <w:t>5.02E+02</w:t>
            </w:r>
          </w:p>
        </w:tc>
      </w:tr>
      <w:tr w14:paraId="07049D38">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1A8B4D5C">
            <w:pPr>
              <w:pStyle w:val="3361"/>
              <w:rPr>
                <w:rFonts w:hint="eastAsia"/>
                <w:color w:val="auto"/>
                <w:lang w:val="en-US" w:eastAsia="zh-CN"/>
              </w:rPr>
            </w:pPr>
            <w:r>
              <w:rPr>
                <w:rFonts w:hint="eastAsia"/>
                <w:color w:val="auto"/>
                <w:lang w:val="en-US" w:eastAsia="zh-CN"/>
              </w:rPr>
              <w:t>65</w:t>
            </w:r>
          </w:p>
        </w:tc>
        <w:tc>
          <w:tcPr>
            <w:tcW w:w="1378" w:type="dxa"/>
            <w:tcBorders>
              <w:top w:val="nil"/>
              <w:left w:val="nil"/>
              <w:bottom w:val="single" w:color="auto" w:sz="4" w:space="0"/>
              <w:right w:val="single" w:color="auto" w:sz="4" w:space="0"/>
            </w:tcBorders>
            <w:shd w:val="clear" w:color="auto" w:fill="auto"/>
            <w:noWrap/>
            <w:vAlign w:val="bottom"/>
          </w:tcPr>
          <w:p w14:paraId="3FEAEF68">
            <w:pPr>
              <w:pStyle w:val="3361"/>
              <w:rPr>
                <w:rFonts w:hint="eastAsia"/>
                <w:color w:val="auto"/>
                <w:lang w:val="en-US" w:eastAsia="zh-CN"/>
              </w:rPr>
            </w:pPr>
            <w:r>
              <w:rPr>
                <w:rFonts w:hint="eastAsia"/>
                <w:color w:val="auto"/>
                <w:lang w:val="en-US" w:eastAsia="zh-CN"/>
              </w:rPr>
              <w:t>2.64E+01</w:t>
            </w:r>
          </w:p>
        </w:tc>
        <w:tc>
          <w:tcPr>
            <w:tcW w:w="1265" w:type="dxa"/>
            <w:tcBorders>
              <w:top w:val="nil"/>
              <w:left w:val="nil"/>
              <w:bottom w:val="single" w:color="auto" w:sz="4" w:space="0"/>
              <w:right w:val="single" w:color="auto" w:sz="4" w:space="0"/>
            </w:tcBorders>
            <w:shd w:val="clear" w:color="auto" w:fill="auto"/>
            <w:noWrap/>
            <w:vAlign w:val="bottom"/>
          </w:tcPr>
          <w:p w14:paraId="0F53DCF1">
            <w:pPr>
              <w:pStyle w:val="3361"/>
              <w:rPr>
                <w:rFonts w:hint="eastAsia"/>
                <w:color w:val="auto"/>
                <w:lang w:val="en-US" w:eastAsia="zh-CN"/>
              </w:rPr>
            </w:pPr>
            <w:r>
              <w:rPr>
                <w:rFonts w:hint="eastAsia"/>
                <w:color w:val="auto"/>
                <w:lang w:val="en-US" w:eastAsia="zh-CN"/>
              </w:rPr>
              <w:t>65</w:t>
            </w:r>
          </w:p>
        </w:tc>
        <w:tc>
          <w:tcPr>
            <w:tcW w:w="1926" w:type="dxa"/>
            <w:tcBorders>
              <w:top w:val="nil"/>
              <w:left w:val="nil"/>
              <w:bottom w:val="single" w:color="auto" w:sz="4" w:space="0"/>
              <w:right w:val="single" w:color="auto" w:sz="4" w:space="0"/>
            </w:tcBorders>
            <w:shd w:val="clear" w:color="auto" w:fill="auto"/>
            <w:noWrap/>
            <w:vAlign w:val="bottom"/>
          </w:tcPr>
          <w:p w14:paraId="2D819E18">
            <w:pPr>
              <w:pStyle w:val="3361"/>
              <w:rPr>
                <w:rFonts w:hint="eastAsia"/>
                <w:color w:val="auto"/>
                <w:lang w:val="en-US" w:eastAsia="zh-CN"/>
              </w:rPr>
            </w:pPr>
            <w:r>
              <w:rPr>
                <w:rFonts w:hint="eastAsia"/>
                <w:color w:val="auto"/>
                <w:lang w:val="en-US" w:eastAsia="zh-CN"/>
              </w:rPr>
              <w:t>2.30E+03</w:t>
            </w:r>
          </w:p>
        </w:tc>
        <w:tc>
          <w:tcPr>
            <w:tcW w:w="1159" w:type="dxa"/>
            <w:tcBorders>
              <w:top w:val="nil"/>
              <w:left w:val="nil"/>
              <w:bottom w:val="single" w:color="auto" w:sz="4" w:space="0"/>
              <w:right w:val="single" w:color="auto" w:sz="4" w:space="0"/>
            </w:tcBorders>
            <w:shd w:val="clear" w:color="auto" w:fill="auto"/>
            <w:noWrap/>
            <w:vAlign w:val="bottom"/>
          </w:tcPr>
          <w:p w14:paraId="025500C2">
            <w:pPr>
              <w:pStyle w:val="3361"/>
              <w:rPr>
                <w:rFonts w:hint="eastAsia"/>
                <w:color w:val="auto"/>
                <w:lang w:val="en-US" w:eastAsia="zh-CN"/>
              </w:rPr>
            </w:pPr>
            <w:r>
              <w:rPr>
                <w:rFonts w:hint="eastAsia"/>
                <w:color w:val="auto"/>
                <w:lang w:val="en-US" w:eastAsia="zh-CN"/>
              </w:rPr>
              <w:t>65</w:t>
            </w:r>
          </w:p>
        </w:tc>
        <w:tc>
          <w:tcPr>
            <w:tcW w:w="1777" w:type="dxa"/>
            <w:tcBorders>
              <w:top w:val="nil"/>
              <w:left w:val="nil"/>
              <w:bottom w:val="single" w:color="auto" w:sz="4" w:space="0"/>
              <w:right w:val="single" w:color="auto" w:sz="4" w:space="0"/>
            </w:tcBorders>
            <w:shd w:val="clear" w:color="auto" w:fill="auto"/>
            <w:noWrap/>
            <w:vAlign w:val="bottom"/>
          </w:tcPr>
          <w:p w14:paraId="3528DA32">
            <w:pPr>
              <w:pStyle w:val="3361"/>
              <w:rPr>
                <w:rFonts w:hint="eastAsia"/>
                <w:color w:val="auto"/>
                <w:lang w:val="en-US" w:eastAsia="zh-CN"/>
              </w:rPr>
            </w:pPr>
            <w:r>
              <w:rPr>
                <w:rFonts w:hint="eastAsia"/>
                <w:color w:val="auto"/>
                <w:lang w:val="en-US" w:eastAsia="zh-CN"/>
              </w:rPr>
              <w:t>5.33E+02</w:t>
            </w:r>
          </w:p>
        </w:tc>
      </w:tr>
      <w:tr w14:paraId="61B19C14">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25894CB3">
            <w:pPr>
              <w:pStyle w:val="3361"/>
              <w:rPr>
                <w:rFonts w:hint="eastAsia"/>
                <w:color w:val="auto"/>
                <w:lang w:val="en-US" w:eastAsia="zh-CN"/>
              </w:rPr>
            </w:pPr>
            <w:r>
              <w:rPr>
                <w:rFonts w:hint="eastAsia"/>
                <w:color w:val="auto"/>
                <w:lang w:val="en-US" w:eastAsia="zh-CN"/>
              </w:rPr>
              <w:t>70</w:t>
            </w:r>
          </w:p>
        </w:tc>
        <w:tc>
          <w:tcPr>
            <w:tcW w:w="1378" w:type="dxa"/>
            <w:tcBorders>
              <w:top w:val="nil"/>
              <w:left w:val="nil"/>
              <w:bottom w:val="single" w:color="auto" w:sz="4" w:space="0"/>
              <w:right w:val="single" w:color="auto" w:sz="4" w:space="0"/>
            </w:tcBorders>
            <w:shd w:val="clear" w:color="auto" w:fill="auto"/>
            <w:noWrap/>
            <w:vAlign w:val="bottom"/>
          </w:tcPr>
          <w:p w14:paraId="1A02FCDC">
            <w:pPr>
              <w:pStyle w:val="3361"/>
              <w:rPr>
                <w:rFonts w:hint="eastAsia"/>
                <w:color w:val="auto"/>
                <w:lang w:val="en-US" w:eastAsia="zh-CN"/>
              </w:rPr>
            </w:pPr>
            <w:r>
              <w:rPr>
                <w:rFonts w:hint="eastAsia"/>
                <w:color w:val="auto"/>
                <w:lang w:val="en-US" w:eastAsia="zh-CN"/>
              </w:rPr>
              <w:t>1.94E+01</w:t>
            </w:r>
          </w:p>
        </w:tc>
        <w:tc>
          <w:tcPr>
            <w:tcW w:w="1265" w:type="dxa"/>
            <w:tcBorders>
              <w:top w:val="nil"/>
              <w:left w:val="nil"/>
              <w:bottom w:val="single" w:color="auto" w:sz="4" w:space="0"/>
              <w:right w:val="single" w:color="auto" w:sz="4" w:space="0"/>
            </w:tcBorders>
            <w:shd w:val="clear" w:color="auto" w:fill="auto"/>
            <w:noWrap/>
            <w:vAlign w:val="bottom"/>
          </w:tcPr>
          <w:p w14:paraId="7D45C32F">
            <w:pPr>
              <w:pStyle w:val="3361"/>
              <w:rPr>
                <w:rFonts w:hint="eastAsia"/>
                <w:color w:val="auto"/>
                <w:lang w:val="en-US" w:eastAsia="zh-CN"/>
              </w:rPr>
            </w:pPr>
            <w:r>
              <w:rPr>
                <w:rFonts w:hint="eastAsia"/>
                <w:color w:val="auto"/>
                <w:lang w:val="en-US" w:eastAsia="zh-CN"/>
              </w:rPr>
              <w:t>70</w:t>
            </w:r>
          </w:p>
        </w:tc>
        <w:tc>
          <w:tcPr>
            <w:tcW w:w="1926" w:type="dxa"/>
            <w:tcBorders>
              <w:top w:val="nil"/>
              <w:left w:val="nil"/>
              <w:bottom w:val="single" w:color="auto" w:sz="4" w:space="0"/>
              <w:right w:val="single" w:color="auto" w:sz="4" w:space="0"/>
            </w:tcBorders>
            <w:shd w:val="clear" w:color="auto" w:fill="auto"/>
            <w:noWrap/>
            <w:vAlign w:val="bottom"/>
          </w:tcPr>
          <w:p w14:paraId="2BB3CE68">
            <w:pPr>
              <w:pStyle w:val="3361"/>
              <w:rPr>
                <w:rFonts w:hint="eastAsia"/>
                <w:color w:val="auto"/>
                <w:lang w:val="en-US" w:eastAsia="zh-CN"/>
              </w:rPr>
            </w:pPr>
            <w:r>
              <w:rPr>
                <w:rFonts w:hint="eastAsia"/>
                <w:color w:val="auto"/>
                <w:lang w:val="en-US" w:eastAsia="zh-CN"/>
              </w:rPr>
              <w:t>2.27E+03</w:t>
            </w:r>
          </w:p>
        </w:tc>
        <w:tc>
          <w:tcPr>
            <w:tcW w:w="1159" w:type="dxa"/>
            <w:tcBorders>
              <w:top w:val="nil"/>
              <w:left w:val="nil"/>
              <w:bottom w:val="single" w:color="auto" w:sz="4" w:space="0"/>
              <w:right w:val="single" w:color="auto" w:sz="4" w:space="0"/>
            </w:tcBorders>
            <w:shd w:val="clear" w:color="auto" w:fill="auto"/>
            <w:noWrap/>
            <w:vAlign w:val="bottom"/>
          </w:tcPr>
          <w:p w14:paraId="6675510E">
            <w:pPr>
              <w:pStyle w:val="3361"/>
              <w:rPr>
                <w:rFonts w:hint="eastAsia"/>
                <w:color w:val="auto"/>
                <w:lang w:val="en-US" w:eastAsia="zh-CN"/>
              </w:rPr>
            </w:pPr>
            <w:r>
              <w:rPr>
                <w:rFonts w:hint="eastAsia"/>
                <w:color w:val="auto"/>
                <w:lang w:val="en-US" w:eastAsia="zh-CN"/>
              </w:rPr>
              <w:t>70</w:t>
            </w:r>
          </w:p>
        </w:tc>
        <w:tc>
          <w:tcPr>
            <w:tcW w:w="1777" w:type="dxa"/>
            <w:tcBorders>
              <w:top w:val="nil"/>
              <w:left w:val="nil"/>
              <w:bottom w:val="single" w:color="auto" w:sz="4" w:space="0"/>
              <w:right w:val="single" w:color="auto" w:sz="4" w:space="0"/>
            </w:tcBorders>
            <w:shd w:val="clear" w:color="auto" w:fill="auto"/>
            <w:noWrap/>
            <w:vAlign w:val="bottom"/>
          </w:tcPr>
          <w:p w14:paraId="7489B503">
            <w:pPr>
              <w:pStyle w:val="3361"/>
              <w:rPr>
                <w:rFonts w:hint="eastAsia"/>
                <w:color w:val="auto"/>
                <w:lang w:val="en-US" w:eastAsia="zh-CN"/>
              </w:rPr>
            </w:pPr>
            <w:r>
              <w:rPr>
                <w:rFonts w:hint="eastAsia"/>
                <w:color w:val="auto"/>
                <w:lang w:val="en-US" w:eastAsia="zh-CN"/>
              </w:rPr>
              <w:t>5.64E+02</w:t>
            </w:r>
          </w:p>
        </w:tc>
      </w:tr>
      <w:tr w14:paraId="0D9485F4">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61E88419">
            <w:pPr>
              <w:pStyle w:val="3361"/>
              <w:rPr>
                <w:rFonts w:hint="eastAsia"/>
                <w:color w:val="auto"/>
                <w:lang w:val="en-US" w:eastAsia="zh-CN"/>
              </w:rPr>
            </w:pPr>
            <w:r>
              <w:rPr>
                <w:rFonts w:hint="eastAsia"/>
                <w:color w:val="auto"/>
                <w:lang w:val="en-US" w:eastAsia="zh-CN"/>
              </w:rPr>
              <w:t>75</w:t>
            </w:r>
          </w:p>
        </w:tc>
        <w:tc>
          <w:tcPr>
            <w:tcW w:w="1378" w:type="dxa"/>
            <w:tcBorders>
              <w:top w:val="nil"/>
              <w:left w:val="nil"/>
              <w:bottom w:val="single" w:color="auto" w:sz="4" w:space="0"/>
              <w:right w:val="single" w:color="auto" w:sz="4" w:space="0"/>
            </w:tcBorders>
            <w:shd w:val="clear" w:color="auto" w:fill="auto"/>
            <w:noWrap/>
            <w:vAlign w:val="bottom"/>
          </w:tcPr>
          <w:p w14:paraId="51F17D1A">
            <w:pPr>
              <w:pStyle w:val="3361"/>
              <w:rPr>
                <w:rFonts w:hint="eastAsia"/>
                <w:color w:val="auto"/>
                <w:lang w:val="en-US" w:eastAsia="zh-CN"/>
              </w:rPr>
            </w:pPr>
            <w:r>
              <w:rPr>
                <w:rFonts w:hint="eastAsia"/>
                <w:color w:val="auto"/>
                <w:lang w:val="en-US" w:eastAsia="zh-CN"/>
              </w:rPr>
              <w:t>1.69E+01</w:t>
            </w:r>
          </w:p>
        </w:tc>
        <w:tc>
          <w:tcPr>
            <w:tcW w:w="1265" w:type="dxa"/>
            <w:tcBorders>
              <w:top w:val="nil"/>
              <w:left w:val="nil"/>
              <w:bottom w:val="single" w:color="auto" w:sz="4" w:space="0"/>
              <w:right w:val="single" w:color="auto" w:sz="4" w:space="0"/>
            </w:tcBorders>
            <w:shd w:val="clear" w:color="auto" w:fill="auto"/>
            <w:noWrap/>
            <w:vAlign w:val="bottom"/>
          </w:tcPr>
          <w:p w14:paraId="3AF1C5E7">
            <w:pPr>
              <w:pStyle w:val="3361"/>
              <w:rPr>
                <w:rFonts w:hint="eastAsia"/>
                <w:color w:val="auto"/>
                <w:lang w:val="en-US" w:eastAsia="zh-CN"/>
              </w:rPr>
            </w:pPr>
            <w:r>
              <w:rPr>
                <w:rFonts w:hint="eastAsia"/>
                <w:color w:val="auto"/>
                <w:lang w:val="en-US" w:eastAsia="zh-CN"/>
              </w:rPr>
              <w:t>75</w:t>
            </w:r>
          </w:p>
        </w:tc>
        <w:tc>
          <w:tcPr>
            <w:tcW w:w="1926" w:type="dxa"/>
            <w:tcBorders>
              <w:top w:val="nil"/>
              <w:left w:val="nil"/>
              <w:bottom w:val="single" w:color="auto" w:sz="4" w:space="0"/>
              <w:right w:val="single" w:color="auto" w:sz="4" w:space="0"/>
            </w:tcBorders>
            <w:shd w:val="clear" w:color="auto" w:fill="auto"/>
            <w:noWrap/>
            <w:vAlign w:val="bottom"/>
          </w:tcPr>
          <w:p w14:paraId="6BCC48B7">
            <w:pPr>
              <w:pStyle w:val="3361"/>
              <w:rPr>
                <w:rFonts w:hint="eastAsia"/>
                <w:color w:val="auto"/>
                <w:lang w:val="en-US" w:eastAsia="zh-CN"/>
              </w:rPr>
            </w:pPr>
            <w:r>
              <w:rPr>
                <w:rFonts w:hint="eastAsia"/>
                <w:color w:val="auto"/>
                <w:lang w:val="en-US" w:eastAsia="zh-CN"/>
              </w:rPr>
              <w:t>2.21E+03</w:t>
            </w:r>
          </w:p>
        </w:tc>
        <w:tc>
          <w:tcPr>
            <w:tcW w:w="1159" w:type="dxa"/>
            <w:tcBorders>
              <w:top w:val="nil"/>
              <w:left w:val="nil"/>
              <w:bottom w:val="single" w:color="auto" w:sz="4" w:space="0"/>
              <w:right w:val="single" w:color="auto" w:sz="4" w:space="0"/>
            </w:tcBorders>
            <w:shd w:val="clear" w:color="auto" w:fill="auto"/>
            <w:noWrap/>
            <w:vAlign w:val="bottom"/>
          </w:tcPr>
          <w:p w14:paraId="745355C5">
            <w:pPr>
              <w:pStyle w:val="3361"/>
              <w:rPr>
                <w:rFonts w:hint="eastAsia"/>
                <w:color w:val="auto"/>
                <w:lang w:val="en-US" w:eastAsia="zh-CN"/>
              </w:rPr>
            </w:pPr>
            <w:r>
              <w:rPr>
                <w:rFonts w:hint="eastAsia"/>
                <w:color w:val="auto"/>
                <w:lang w:val="en-US" w:eastAsia="zh-CN"/>
              </w:rPr>
              <w:t>75</w:t>
            </w:r>
          </w:p>
        </w:tc>
        <w:tc>
          <w:tcPr>
            <w:tcW w:w="1777" w:type="dxa"/>
            <w:tcBorders>
              <w:top w:val="nil"/>
              <w:left w:val="nil"/>
              <w:bottom w:val="single" w:color="auto" w:sz="4" w:space="0"/>
              <w:right w:val="single" w:color="auto" w:sz="4" w:space="0"/>
            </w:tcBorders>
            <w:shd w:val="clear" w:color="auto" w:fill="auto"/>
            <w:noWrap/>
            <w:vAlign w:val="bottom"/>
          </w:tcPr>
          <w:p w14:paraId="6E56730E">
            <w:pPr>
              <w:pStyle w:val="3361"/>
              <w:rPr>
                <w:rFonts w:hint="eastAsia"/>
                <w:color w:val="auto"/>
                <w:lang w:val="en-US" w:eastAsia="zh-CN"/>
              </w:rPr>
            </w:pPr>
            <w:r>
              <w:rPr>
                <w:rFonts w:hint="eastAsia"/>
                <w:color w:val="auto"/>
                <w:lang w:val="en-US" w:eastAsia="zh-CN"/>
              </w:rPr>
              <w:t>5.95E+02</w:t>
            </w:r>
          </w:p>
        </w:tc>
      </w:tr>
      <w:tr w14:paraId="15085D67">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6062FFBB">
            <w:pPr>
              <w:pStyle w:val="3361"/>
              <w:rPr>
                <w:rFonts w:hint="eastAsia"/>
                <w:color w:val="auto"/>
                <w:lang w:val="en-US" w:eastAsia="zh-CN"/>
              </w:rPr>
            </w:pPr>
            <w:r>
              <w:rPr>
                <w:rFonts w:hint="eastAsia"/>
                <w:color w:val="auto"/>
                <w:lang w:val="en-US" w:eastAsia="zh-CN"/>
              </w:rPr>
              <w:t>80</w:t>
            </w:r>
          </w:p>
        </w:tc>
        <w:tc>
          <w:tcPr>
            <w:tcW w:w="1378" w:type="dxa"/>
            <w:tcBorders>
              <w:top w:val="nil"/>
              <w:left w:val="nil"/>
              <w:bottom w:val="single" w:color="auto" w:sz="4" w:space="0"/>
              <w:right w:val="single" w:color="auto" w:sz="4" w:space="0"/>
            </w:tcBorders>
            <w:shd w:val="clear" w:color="auto" w:fill="auto"/>
            <w:noWrap/>
            <w:vAlign w:val="bottom"/>
          </w:tcPr>
          <w:p w14:paraId="71272AC4">
            <w:pPr>
              <w:pStyle w:val="3361"/>
              <w:rPr>
                <w:rFonts w:hint="eastAsia"/>
                <w:color w:val="auto"/>
                <w:lang w:val="en-US" w:eastAsia="zh-CN"/>
              </w:rPr>
            </w:pPr>
            <w:r>
              <w:rPr>
                <w:rFonts w:hint="eastAsia"/>
                <w:color w:val="auto"/>
                <w:lang w:val="en-US" w:eastAsia="zh-CN"/>
              </w:rPr>
              <w:t>1.61E+01</w:t>
            </w:r>
          </w:p>
        </w:tc>
        <w:tc>
          <w:tcPr>
            <w:tcW w:w="1265" w:type="dxa"/>
            <w:tcBorders>
              <w:top w:val="nil"/>
              <w:left w:val="nil"/>
              <w:bottom w:val="single" w:color="auto" w:sz="4" w:space="0"/>
              <w:right w:val="single" w:color="auto" w:sz="4" w:space="0"/>
            </w:tcBorders>
            <w:shd w:val="clear" w:color="auto" w:fill="auto"/>
            <w:noWrap/>
            <w:vAlign w:val="bottom"/>
          </w:tcPr>
          <w:p w14:paraId="70FB30E1">
            <w:pPr>
              <w:pStyle w:val="3361"/>
              <w:rPr>
                <w:rFonts w:hint="eastAsia"/>
                <w:color w:val="auto"/>
                <w:lang w:val="en-US" w:eastAsia="zh-CN"/>
              </w:rPr>
            </w:pPr>
            <w:r>
              <w:rPr>
                <w:rFonts w:hint="eastAsia"/>
                <w:color w:val="auto"/>
                <w:lang w:val="en-US" w:eastAsia="zh-CN"/>
              </w:rPr>
              <w:t>80</w:t>
            </w:r>
          </w:p>
        </w:tc>
        <w:tc>
          <w:tcPr>
            <w:tcW w:w="1926" w:type="dxa"/>
            <w:tcBorders>
              <w:top w:val="nil"/>
              <w:left w:val="nil"/>
              <w:bottom w:val="single" w:color="auto" w:sz="4" w:space="0"/>
              <w:right w:val="single" w:color="auto" w:sz="4" w:space="0"/>
            </w:tcBorders>
            <w:shd w:val="clear" w:color="auto" w:fill="auto"/>
            <w:noWrap/>
            <w:vAlign w:val="bottom"/>
          </w:tcPr>
          <w:p w14:paraId="11C1DC10">
            <w:pPr>
              <w:pStyle w:val="3361"/>
              <w:rPr>
                <w:rFonts w:hint="eastAsia"/>
                <w:color w:val="auto"/>
                <w:lang w:val="en-US" w:eastAsia="zh-CN"/>
              </w:rPr>
            </w:pPr>
            <w:r>
              <w:rPr>
                <w:rFonts w:hint="eastAsia"/>
                <w:color w:val="auto"/>
                <w:lang w:val="en-US" w:eastAsia="zh-CN"/>
              </w:rPr>
              <w:t>2.13E+03</w:t>
            </w:r>
          </w:p>
        </w:tc>
        <w:tc>
          <w:tcPr>
            <w:tcW w:w="1159" w:type="dxa"/>
            <w:tcBorders>
              <w:top w:val="nil"/>
              <w:left w:val="nil"/>
              <w:bottom w:val="single" w:color="auto" w:sz="4" w:space="0"/>
              <w:right w:val="single" w:color="auto" w:sz="4" w:space="0"/>
            </w:tcBorders>
            <w:shd w:val="clear" w:color="auto" w:fill="auto"/>
            <w:noWrap/>
            <w:vAlign w:val="bottom"/>
          </w:tcPr>
          <w:p w14:paraId="290348AA">
            <w:pPr>
              <w:pStyle w:val="3361"/>
              <w:rPr>
                <w:rFonts w:hint="eastAsia"/>
                <w:color w:val="auto"/>
                <w:lang w:val="en-US" w:eastAsia="zh-CN"/>
              </w:rPr>
            </w:pPr>
            <w:r>
              <w:rPr>
                <w:rFonts w:hint="eastAsia"/>
                <w:color w:val="auto"/>
                <w:lang w:val="en-US" w:eastAsia="zh-CN"/>
              </w:rPr>
              <w:t>80</w:t>
            </w:r>
          </w:p>
        </w:tc>
        <w:tc>
          <w:tcPr>
            <w:tcW w:w="1777" w:type="dxa"/>
            <w:tcBorders>
              <w:top w:val="nil"/>
              <w:left w:val="nil"/>
              <w:bottom w:val="single" w:color="auto" w:sz="4" w:space="0"/>
              <w:right w:val="single" w:color="auto" w:sz="4" w:space="0"/>
            </w:tcBorders>
            <w:shd w:val="clear" w:color="auto" w:fill="auto"/>
            <w:noWrap/>
            <w:vAlign w:val="bottom"/>
          </w:tcPr>
          <w:p w14:paraId="47586264">
            <w:pPr>
              <w:pStyle w:val="3361"/>
              <w:rPr>
                <w:rFonts w:hint="eastAsia"/>
                <w:color w:val="auto"/>
                <w:lang w:val="en-US" w:eastAsia="zh-CN"/>
              </w:rPr>
            </w:pPr>
            <w:r>
              <w:rPr>
                <w:rFonts w:hint="eastAsia"/>
                <w:color w:val="auto"/>
                <w:lang w:val="en-US" w:eastAsia="zh-CN"/>
              </w:rPr>
              <w:t>6.26E+02</w:t>
            </w:r>
          </w:p>
        </w:tc>
      </w:tr>
      <w:tr w14:paraId="0D3A4E7D">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3BCF0E8A">
            <w:pPr>
              <w:pStyle w:val="3361"/>
              <w:rPr>
                <w:rFonts w:hint="eastAsia"/>
                <w:color w:val="auto"/>
                <w:lang w:val="en-US" w:eastAsia="zh-CN"/>
              </w:rPr>
            </w:pPr>
            <w:r>
              <w:rPr>
                <w:rFonts w:hint="eastAsia"/>
                <w:color w:val="auto"/>
                <w:lang w:val="en-US" w:eastAsia="zh-CN"/>
              </w:rPr>
              <w:t>85</w:t>
            </w:r>
          </w:p>
        </w:tc>
        <w:tc>
          <w:tcPr>
            <w:tcW w:w="1378" w:type="dxa"/>
            <w:tcBorders>
              <w:top w:val="nil"/>
              <w:left w:val="nil"/>
              <w:bottom w:val="single" w:color="auto" w:sz="4" w:space="0"/>
              <w:right w:val="single" w:color="auto" w:sz="4" w:space="0"/>
            </w:tcBorders>
            <w:shd w:val="clear" w:color="auto" w:fill="auto"/>
            <w:noWrap/>
            <w:vAlign w:val="bottom"/>
          </w:tcPr>
          <w:p w14:paraId="36C6008A">
            <w:pPr>
              <w:pStyle w:val="3361"/>
              <w:rPr>
                <w:rFonts w:hint="eastAsia"/>
                <w:color w:val="auto"/>
                <w:lang w:val="en-US" w:eastAsia="zh-CN"/>
              </w:rPr>
            </w:pPr>
            <w:r>
              <w:rPr>
                <w:rFonts w:hint="eastAsia"/>
                <w:color w:val="auto"/>
                <w:lang w:val="en-US" w:eastAsia="zh-CN"/>
              </w:rPr>
              <w:t>1.59E+01</w:t>
            </w:r>
          </w:p>
        </w:tc>
        <w:tc>
          <w:tcPr>
            <w:tcW w:w="1265" w:type="dxa"/>
            <w:tcBorders>
              <w:top w:val="nil"/>
              <w:left w:val="nil"/>
              <w:bottom w:val="single" w:color="auto" w:sz="4" w:space="0"/>
              <w:right w:val="single" w:color="auto" w:sz="4" w:space="0"/>
            </w:tcBorders>
            <w:shd w:val="clear" w:color="auto" w:fill="auto"/>
            <w:noWrap/>
            <w:vAlign w:val="bottom"/>
          </w:tcPr>
          <w:p w14:paraId="441C7F7D">
            <w:pPr>
              <w:pStyle w:val="3361"/>
              <w:rPr>
                <w:rFonts w:hint="eastAsia"/>
                <w:color w:val="auto"/>
                <w:lang w:val="en-US" w:eastAsia="zh-CN"/>
              </w:rPr>
            </w:pPr>
            <w:r>
              <w:rPr>
                <w:rFonts w:hint="eastAsia"/>
                <w:color w:val="auto"/>
                <w:lang w:val="en-US" w:eastAsia="zh-CN"/>
              </w:rPr>
              <w:t>85</w:t>
            </w:r>
          </w:p>
        </w:tc>
        <w:tc>
          <w:tcPr>
            <w:tcW w:w="1926" w:type="dxa"/>
            <w:tcBorders>
              <w:top w:val="nil"/>
              <w:left w:val="nil"/>
              <w:bottom w:val="single" w:color="auto" w:sz="4" w:space="0"/>
              <w:right w:val="single" w:color="auto" w:sz="4" w:space="0"/>
            </w:tcBorders>
            <w:shd w:val="clear" w:color="auto" w:fill="auto"/>
            <w:noWrap/>
            <w:vAlign w:val="bottom"/>
          </w:tcPr>
          <w:p w14:paraId="238B3852">
            <w:pPr>
              <w:pStyle w:val="3361"/>
              <w:rPr>
                <w:rFonts w:hint="eastAsia"/>
                <w:color w:val="auto"/>
                <w:lang w:val="en-US" w:eastAsia="zh-CN"/>
              </w:rPr>
            </w:pPr>
            <w:r>
              <w:rPr>
                <w:rFonts w:hint="eastAsia"/>
                <w:color w:val="auto"/>
                <w:lang w:val="en-US" w:eastAsia="zh-CN"/>
              </w:rPr>
              <w:t>2.03E+03</w:t>
            </w:r>
          </w:p>
        </w:tc>
        <w:tc>
          <w:tcPr>
            <w:tcW w:w="1159" w:type="dxa"/>
            <w:tcBorders>
              <w:top w:val="nil"/>
              <w:left w:val="nil"/>
              <w:bottom w:val="single" w:color="auto" w:sz="4" w:space="0"/>
              <w:right w:val="single" w:color="auto" w:sz="4" w:space="0"/>
            </w:tcBorders>
            <w:shd w:val="clear" w:color="auto" w:fill="auto"/>
            <w:noWrap/>
            <w:vAlign w:val="bottom"/>
          </w:tcPr>
          <w:p w14:paraId="7E611984">
            <w:pPr>
              <w:pStyle w:val="3361"/>
              <w:rPr>
                <w:rFonts w:hint="eastAsia"/>
                <w:color w:val="auto"/>
                <w:lang w:val="en-US" w:eastAsia="zh-CN"/>
              </w:rPr>
            </w:pPr>
            <w:r>
              <w:rPr>
                <w:rFonts w:hint="eastAsia"/>
                <w:color w:val="auto"/>
                <w:lang w:val="en-US" w:eastAsia="zh-CN"/>
              </w:rPr>
              <w:t>85</w:t>
            </w:r>
          </w:p>
        </w:tc>
        <w:tc>
          <w:tcPr>
            <w:tcW w:w="1777" w:type="dxa"/>
            <w:tcBorders>
              <w:top w:val="nil"/>
              <w:left w:val="nil"/>
              <w:bottom w:val="single" w:color="auto" w:sz="4" w:space="0"/>
              <w:right w:val="single" w:color="auto" w:sz="4" w:space="0"/>
            </w:tcBorders>
            <w:shd w:val="clear" w:color="auto" w:fill="auto"/>
            <w:noWrap/>
            <w:vAlign w:val="bottom"/>
          </w:tcPr>
          <w:p w14:paraId="23146F7D">
            <w:pPr>
              <w:pStyle w:val="3361"/>
              <w:rPr>
                <w:rFonts w:hint="eastAsia"/>
                <w:color w:val="auto"/>
                <w:lang w:val="en-US" w:eastAsia="zh-CN"/>
              </w:rPr>
            </w:pPr>
            <w:r>
              <w:rPr>
                <w:rFonts w:hint="eastAsia"/>
                <w:color w:val="auto"/>
                <w:lang w:val="en-US" w:eastAsia="zh-CN"/>
              </w:rPr>
              <w:t>6.57E+02</w:t>
            </w:r>
          </w:p>
        </w:tc>
      </w:tr>
      <w:tr w14:paraId="3D7EC8D3">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4E8B8542">
            <w:pPr>
              <w:pStyle w:val="3361"/>
              <w:rPr>
                <w:rFonts w:hint="eastAsia"/>
                <w:color w:val="auto"/>
                <w:lang w:val="en-US" w:eastAsia="zh-CN"/>
              </w:rPr>
            </w:pPr>
            <w:r>
              <w:rPr>
                <w:rFonts w:hint="eastAsia"/>
                <w:color w:val="auto"/>
                <w:lang w:val="en-US" w:eastAsia="zh-CN"/>
              </w:rPr>
              <w:t>90</w:t>
            </w:r>
          </w:p>
        </w:tc>
        <w:tc>
          <w:tcPr>
            <w:tcW w:w="1378" w:type="dxa"/>
            <w:tcBorders>
              <w:top w:val="nil"/>
              <w:left w:val="nil"/>
              <w:bottom w:val="single" w:color="auto" w:sz="4" w:space="0"/>
              <w:right w:val="single" w:color="auto" w:sz="4" w:space="0"/>
            </w:tcBorders>
            <w:shd w:val="clear" w:color="auto" w:fill="auto"/>
            <w:noWrap/>
            <w:vAlign w:val="bottom"/>
          </w:tcPr>
          <w:p w14:paraId="081F811F">
            <w:pPr>
              <w:pStyle w:val="3361"/>
              <w:rPr>
                <w:rFonts w:hint="eastAsia"/>
                <w:color w:val="auto"/>
                <w:lang w:val="en-US" w:eastAsia="zh-CN"/>
              </w:rPr>
            </w:pPr>
            <w:r>
              <w:rPr>
                <w:rFonts w:hint="eastAsia"/>
                <w:color w:val="auto"/>
                <w:lang w:val="en-US" w:eastAsia="zh-CN"/>
              </w:rPr>
              <w:t>1.58E+01</w:t>
            </w:r>
          </w:p>
        </w:tc>
        <w:tc>
          <w:tcPr>
            <w:tcW w:w="1265" w:type="dxa"/>
            <w:tcBorders>
              <w:top w:val="nil"/>
              <w:left w:val="nil"/>
              <w:bottom w:val="single" w:color="auto" w:sz="4" w:space="0"/>
              <w:right w:val="single" w:color="auto" w:sz="4" w:space="0"/>
            </w:tcBorders>
            <w:shd w:val="clear" w:color="auto" w:fill="auto"/>
            <w:noWrap/>
            <w:vAlign w:val="bottom"/>
          </w:tcPr>
          <w:p w14:paraId="1C707B7B">
            <w:pPr>
              <w:pStyle w:val="3361"/>
              <w:rPr>
                <w:rFonts w:hint="eastAsia"/>
                <w:color w:val="auto"/>
                <w:lang w:val="en-US" w:eastAsia="zh-CN"/>
              </w:rPr>
            </w:pPr>
            <w:r>
              <w:rPr>
                <w:rFonts w:hint="eastAsia"/>
                <w:color w:val="auto"/>
                <w:lang w:val="en-US" w:eastAsia="zh-CN"/>
              </w:rPr>
              <w:t>90</w:t>
            </w:r>
          </w:p>
        </w:tc>
        <w:tc>
          <w:tcPr>
            <w:tcW w:w="1926" w:type="dxa"/>
            <w:tcBorders>
              <w:top w:val="nil"/>
              <w:left w:val="nil"/>
              <w:bottom w:val="single" w:color="auto" w:sz="4" w:space="0"/>
              <w:right w:val="single" w:color="auto" w:sz="4" w:space="0"/>
            </w:tcBorders>
            <w:shd w:val="clear" w:color="auto" w:fill="auto"/>
            <w:noWrap/>
            <w:vAlign w:val="bottom"/>
          </w:tcPr>
          <w:p w14:paraId="734A6439">
            <w:pPr>
              <w:pStyle w:val="3361"/>
              <w:rPr>
                <w:rFonts w:hint="eastAsia"/>
                <w:color w:val="auto"/>
                <w:lang w:val="en-US" w:eastAsia="zh-CN"/>
              </w:rPr>
            </w:pPr>
            <w:r>
              <w:rPr>
                <w:rFonts w:hint="eastAsia"/>
                <w:color w:val="auto"/>
                <w:lang w:val="en-US" w:eastAsia="zh-CN"/>
              </w:rPr>
              <w:t>1.91E+03</w:t>
            </w:r>
          </w:p>
        </w:tc>
        <w:tc>
          <w:tcPr>
            <w:tcW w:w="1159" w:type="dxa"/>
            <w:tcBorders>
              <w:top w:val="nil"/>
              <w:left w:val="nil"/>
              <w:bottom w:val="single" w:color="auto" w:sz="4" w:space="0"/>
              <w:right w:val="single" w:color="auto" w:sz="4" w:space="0"/>
            </w:tcBorders>
            <w:shd w:val="clear" w:color="auto" w:fill="auto"/>
            <w:noWrap/>
            <w:vAlign w:val="bottom"/>
          </w:tcPr>
          <w:p w14:paraId="6DFC9F1A">
            <w:pPr>
              <w:pStyle w:val="3361"/>
              <w:rPr>
                <w:rFonts w:hint="eastAsia"/>
                <w:color w:val="auto"/>
                <w:lang w:val="en-US" w:eastAsia="zh-CN"/>
              </w:rPr>
            </w:pPr>
            <w:r>
              <w:rPr>
                <w:rFonts w:hint="eastAsia"/>
                <w:color w:val="auto"/>
                <w:lang w:val="en-US" w:eastAsia="zh-CN"/>
              </w:rPr>
              <w:t>90</w:t>
            </w:r>
          </w:p>
        </w:tc>
        <w:tc>
          <w:tcPr>
            <w:tcW w:w="1777" w:type="dxa"/>
            <w:tcBorders>
              <w:top w:val="nil"/>
              <w:left w:val="nil"/>
              <w:bottom w:val="single" w:color="auto" w:sz="4" w:space="0"/>
              <w:right w:val="single" w:color="auto" w:sz="4" w:space="0"/>
            </w:tcBorders>
            <w:shd w:val="clear" w:color="auto" w:fill="auto"/>
            <w:noWrap/>
            <w:vAlign w:val="bottom"/>
          </w:tcPr>
          <w:p w14:paraId="41B857C3">
            <w:pPr>
              <w:pStyle w:val="3361"/>
              <w:rPr>
                <w:rFonts w:hint="eastAsia"/>
                <w:color w:val="auto"/>
                <w:lang w:val="en-US" w:eastAsia="zh-CN"/>
              </w:rPr>
            </w:pPr>
            <w:r>
              <w:rPr>
                <w:rFonts w:hint="eastAsia"/>
                <w:color w:val="auto"/>
                <w:lang w:val="en-US" w:eastAsia="zh-CN"/>
              </w:rPr>
              <w:t>6.87E+02</w:t>
            </w:r>
          </w:p>
        </w:tc>
      </w:tr>
      <w:tr w14:paraId="56B169E2">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3736F37C">
            <w:pPr>
              <w:pStyle w:val="3361"/>
              <w:rPr>
                <w:rFonts w:hint="eastAsia"/>
                <w:color w:val="auto"/>
                <w:lang w:val="en-US" w:eastAsia="zh-CN"/>
              </w:rPr>
            </w:pPr>
            <w:r>
              <w:rPr>
                <w:rFonts w:hint="eastAsia"/>
                <w:color w:val="auto"/>
                <w:lang w:val="en-US" w:eastAsia="zh-CN"/>
              </w:rPr>
              <w:t>95</w:t>
            </w:r>
          </w:p>
        </w:tc>
        <w:tc>
          <w:tcPr>
            <w:tcW w:w="1378" w:type="dxa"/>
            <w:tcBorders>
              <w:top w:val="nil"/>
              <w:left w:val="nil"/>
              <w:bottom w:val="single" w:color="auto" w:sz="4" w:space="0"/>
              <w:right w:val="single" w:color="auto" w:sz="4" w:space="0"/>
            </w:tcBorders>
            <w:shd w:val="clear" w:color="auto" w:fill="auto"/>
            <w:noWrap/>
            <w:vAlign w:val="bottom"/>
          </w:tcPr>
          <w:p w14:paraId="7F79AFCC">
            <w:pPr>
              <w:pStyle w:val="3361"/>
              <w:rPr>
                <w:rFonts w:hint="eastAsia"/>
                <w:color w:val="auto"/>
                <w:lang w:val="en-US" w:eastAsia="zh-CN"/>
              </w:rPr>
            </w:pPr>
            <w:r>
              <w:rPr>
                <w:rFonts w:hint="eastAsia"/>
                <w:color w:val="auto"/>
                <w:lang w:val="en-US" w:eastAsia="zh-CN"/>
              </w:rPr>
              <w:t>1.58E+01</w:t>
            </w:r>
          </w:p>
        </w:tc>
        <w:tc>
          <w:tcPr>
            <w:tcW w:w="1265" w:type="dxa"/>
            <w:tcBorders>
              <w:top w:val="nil"/>
              <w:left w:val="nil"/>
              <w:bottom w:val="single" w:color="auto" w:sz="4" w:space="0"/>
              <w:right w:val="single" w:color="auto" w:sz="4" w:space="0"/>
            </w:tcBorders>
            <w:shd w:val="clear" w:color="auto" w:fill="auto"/>
            <w:noWrap/>
            <w:vAlign w:val="bottom"/>
          </w:tcPr>
          <w:p w14:paraId="5C6309AC">
            <w:pPr>
              <w:pStyle w:val="3361"/>
              <w:rPr>
                <w:rFonts w:hint="eastAsia"/>
                <w:color w:val="auto"/>
                <w:lang w:val="en-US" w:eastAsia="zh-CN"/>
              </w:rPr>
            </w:pPr>
            <w:r>
              <w:rPr>
                <w:rFonts w:hint="eastAsia"/>
                <w:color w:val="auto"/>
                <w:lang w:val="en-US" w:eastAsia="zh-CN"/>
              </w:rPr>
              <w:t>95</w:t>
            </w:r>
          </w:p>
        </w:tc>
        <w:tc>
          <w:tcPr>
            <w:tcW w:w="1926" w:type="dxa"/>
            <w:tcBorders>
              <w:top w:val="nil"/>
              <w:left w:val="nil"/>
              <w:bottom w:val="single" w:color="auto" w:sz="4" w:space="0"/>
              <w:right w:val="single" w:color="auto" w:sz="4" w:space="0"/>
            </w:tcBorders>
            <w:shd w:val="clear" w:color="auto" w:fill="auto"/>
            <w:noWrap/>
            <w:vAlign w:val="bottom"/>
          </w:tcPr>
          <w:p w14:paraId="423360B6">
            <w:pPr>
              <w:pStyle w:val="3361"/>
              <w:rPr>
                <w:rFonts w:hint="eastAsia"/>
                <w:color w:val="auto"/>
                <w:lang w:val="en-US" w:eastAsia="zh-CN"/>
              </w:rPr>
            </w:pPr>
            <w:r>
              <w:rPr>
                <w:rFonts w:hint="eastAsia"/>
                <w:color w:val="auto"/>
                <w:lang w:val="en-US" w:eastAsia="zh-CN"/>
              </w:rPr>
              <w:t>1.78E+03</w:t>
            </w:r>
          </w:p>
        </w:tc>
        <w:tc>
          <w:tcPr>
            <w:tcW w:w="1159" w:type="dxa"/>
            <w:tcBorders>
              <w:top w:val="nil"/>
              <w:left w:val="nil"/>
              <w:bottom w:val="single" w:color="auto" w:sz="4" w:space="0"/>
              <w:right w:val="single" w:color="auto" w:sz="4" w:space="0"/>
            </w:tcBorders>
            <w:shd w:val="clear" w:color="auto" w:fill="auto"/>
            <w:noWrap/>
            <w:vAlign w:val="bottom"/>
          </w:tcPr>
          <w:p w14:paraId="1AB21CD0">
            <w:pPr>
              <w:pStyle w:val="3361"/>
              <w:rPr>
                <w:rFonts w:hint="eastAsia"/>
                <w:color w:val="auto"/>
                <w:lang w:val="en-US" w:eastAsia="zh-CN"/>
              </w:rPr>
            </w:pPr>
            <w:r>
              <w:rPr>
                <w:rFonts w:hint="eastAsia"/>
                <w:color w:val="auto"/>
                <w:lang w:val="en-US" w:eastAsia="zh-CN"/>
              </w:rPr>
              <w:t>95</w:t>
            </w:r>
          </w:p>
        </w:tc>
        <w:tc>
          <w:tcPr>
            <w:tcW w:w="1777" w:type="dxa"/>
            <w:tcBorders>
              <w:top w:val="nil"/>
              <w:left w:val="nil"/>
              <w:bottom w:val="single" w:color="auto" w:sz="4" w:space="0"/>
              <w:right w:val="single" w:color="auto" w:sz="4" w:space="0"/>
            </w:tcBorders>
            <w:shd w:val="clear" w:color="auto" w:fill="auto"/>
            <w:noWrap/>
            <w:vAlign w:val="bottom"/>
          </w:tcPr>
          <w:p w14:paraId="240644A3">
            <w:pPr>
              <w:pStyle w:val="3361"/>
              <w:rPr>
                <w:rFonts w:hint="eastAsia"/>
                <w:color w:val="auto"/>
                <w:lang w:val="en-US" w:eastAsia="zh-CN"/>
              </w:rPr>
            </w:pPr>
            <w:r>
              <w:rPr>
                <w:rFonts w:hint="eastAsia"/>
                <w:color w:val="auto"/>
                <w:lang w:val="en-US" w:eastAsia="zh-CN"/>
              </w:rPr>
              <w:t>7.17E+02</w:t>
            </w:r>
          </w:p>
        </w:tc>
      </w:tr>
      <w:tr w14:paraId="2D86AB18">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11BBE195">
            <w:pPr>
              <w:pStyle w:val="3361"/>
              <w:rPr>
                <w:rFonts w:hint="eastAsia"/>
                <w:color w:val="auto"/>
                <w:lang w:val="en-US" w:eastAsia="zh-CN"/>
              </w:rPr>
            </w:pPr>
            <w:r>
              <w:rPr>
                <w:rFonts w:hint="eastAsia"/>
                <w:color w:val="auto"/>
                <w:lang w:val="en-US" w:eastAsia="zh-CN"/>
              </w:rPr>
              <w:t>100</w:t>
            </w:r>
          </w:p>
        </w:tc>
        <w:tc>
          <w:tcPr>
            <w:tcW w:w="1378" w:type="dxa"/>
            <w:tcBorders>
              <w:top w:val="nil"/>
              <w:left w:val="nil"/>
              <w:bottom w:val="single" w:color="auto" w:sz="4" w:space="0"/>
              <w:right w:val="single" w:color="auto" w:sz="4" w:space="0"/>
            </w:tcBorders>
            <w:shd w:val="clear" w:color="auto" w:fill="auto"/>
            <w:noWrap/>
            <w:vAlign w:val="bottom"/>
          </w:tcPr>
          <w:p w14:paraId="252C83CC">
            <w:pPr>
              <w:pStyle w:val="3361"/>
              <w:rPr>
                <w:rFonts w:hint="eastAsia"/>
                <w:color w:val="auto"/>
                <w:lang w:val="en-US" w:eastAsia="zh-CN"/>
              </w:rPr>
            </w:pPr>
            <w:r>
              <w:rPr>
                <w:rFonts w:hint="eastAsia"/>
                <w:color w:val="auto"/>
                <w:lang w:val="en-US" w:eastAsia="zh-CN"/>
              </w:rPr>
              <w:t>1.58E+01</w:t>
            </w:r>
          </w:p>
        </w:tc>
        <w:tc>
          <w:tcPr>
            <w:tcW w:w="1265" w:type="dxa"/>
            <w:tcBorders>
              <w:top w:val="nil"/>
              <w:left w:val="nil"/>
              <w:bottom w:val="single" w:color="auto" w:sz="4" w:space="0"/>
              <w:right w:val="single" w:color="auto" w:sz="4" w:space="0"/>
            </w:tcBorders>
            <w:shd w:val="clear" w:color="auto" w:fill="auto"/>
            <w:noWrap/>
            <w:vAlign w:val="bottom"/>
          </w:tcPr>
          <w:p w14:paraId="00168FA8">
            <w:pPr>
              <w:pStyle w:val="3361"/>
              <w:rPr>
                <w:rFonts w:hint="eastAsia"/>
                <w:color w:val="auto"/>
                <w:lang w:val="en-US" w:eastAsia="zh-CN"/>
              </w:rPr>
            </w:pPr>
            <w:r>
              <w:rPr>
                <w:rFonts w:hint="eastAsia"/>
                <w:color w:val="auto"/>
                <w:lang w:val="en-US" w:eastAsia="zh-CN"/>
              </w:rPr>
              <w:t>100</w:t>
            </w:r>
          </w:p>
        </w:tc>
        <w:tc>
          <w:tcPr>
            <w:tcW w:w="1926" w:type="dxa"/>
            <w:tcBorders>
              <w:top w:val="nil"/>
              <w:left w:val="nil"/>
              <w:bottom w:val="single" w:color="auto" w:sz="4" w:space="0"/>
              <w:right w:val="single" w:color="auto" w:sz="4" w:space="0"/>
            </w:tcBorders>
            <w:shd w:val="clear" w:color="auto" w:fill="auto"/>
            <w:noWrap/>
            <w:vAlign w:val="bottom"/>
          </w:tcPr>
          <w:p w14:paraId="5CFF938E">
            <w:pPr>
              <w:pStyle w:val="3361"/>
              <w:rPr>
                <w:rFonts w:hint="eastAsia"/>
                <w:color w:val="auto"/>
                <w:lang w:val="en-US" w:eastAsia="zh-CN"/>
              </w:rPr>
            </w:pPr>
            <w:r>
              <w:rPr>
                <w:rFonts w:hint="eastAsia"/>
                <w:color w:val="auto"/>
                <w:lang w:val="en-US" w:eastAsia="zh-CN"/>
              </w:rPr>
              <w:t>1.64E+03</w:t>
            </w:r>
          </w:p>
        </w:tc>
        <w:tc>
          <w:tcPr>
            <w:tcW w:w="1159" w:type="dxa"/>
            <w:tcBorders>
              <w:top w:val="nil"/>
              <w:left w:val="nil"/>
              <w:bottom w:val="single" w:color="auto" w:sz="4" w:space="0"/>
              <w:right w:val="single" w:color="auto" w:sz="4" w:space="0"/>
            </w:tcBorders>
            <w:shd w:val="clear" w:color="auto" w:fill="auto"/>
            <w:noWrap/>
            <w:vAlign w:val="bottom"/>
          </w:tcPr>
          <w:p w14:paraId="6C76214F">
            <w:pPr>
              <w:pStyle w:val="3361"/>
              <w:rPr>
                <w:rFonts w:hint="eastAsia"/>
                <w:color w:val="auto"/>
                <w:lang w:val="en-US" w:eastAsia="zh-CN"/>
              </w:rPr>
            </w:pPr>
            <w:r>
              <w:rPr>
                <w:rFonts w:hint="eastAsia"/>
                <w:color w:val="auto"/>
                <w:lang w:val="en-US" w:eastAsia="zh-CN"/>
              </w:rPr>
              <w:t>100</w:t>
            </w:r>
          </w:p>
        </w:tc>
        <w:tc>
          <w:tcPr>
            <w:tcW w:w="1777" w:type="dxa"/>
            <w:tcBorders>
              <w:top w:val="nil"/>
              <w:left w:val="nil"/>
              <w:bottom w:val="single" w:color="auto" w:sz="4" w:space="0"/>
              <w:right w:val="single" w:color="auto" w:sz="4" w:space="0"/>
            </w:tcBorders>
            <w:shd w:val="clear" w:color="auto" w:fill="auto"/>
            <w:noWrap/>
            <w:vAlign w:val="bottom"/>
          </w:tcPr>
          <w:p w14:paraId="0F5CD361">
            <w:pPr>
              <w:pStyle w:val="3361"/>
              <w:rPr>
                <w:rFonts w:hint="eastAsia"/>
                <w:color w:val="auto"/>
                <w:lang w:val="en-US" w:eastAsia="zh-CN"/>
              </w:rPr>
            </w:pPr>
            <w:r>
              <w:rPr>
                <w:rFonts w:hint="eastAsia"/>
                <w:color w:val="auto"/>
                <w:lang w:val="en-US" w:eastAsia="zh-CN"/>
              </w:rPr>
              <w:t>7.47E+02</w:t>
            </w:r>
          </w:p>
        </w:tc>
      </w:tr>
      <w:tr w14:paraId="2156808B">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5162B79F">
            <w:pPr>
              <w:pStyle w:val="3361"/>
              <w:rPr>
                <w:rFonts w:hint="eastAsia"/>
                <w:color w:val="auto"/>
                <w:lang w:val="en-US" w:eastAsia="zh-CN"/>
              </w:rPr>
            </w:pPr>
            <w:r>
              <w:rPr>
                <w:rFonts w:hint="eastAsia"/>
                <w:color w:val="auto"/>
                <w:lang w:val="en-US" w:eastAsia="zh-CN"/>
              </w:rPr>
              <w:t>105</w:t>
            </w:r>
          </w:p>
        </w:tc>
        <w:tc>
          <w:tcPr>
            <w:tcW w:w="1378" w:type="dxa"/>
            <w:tcBorders>
              <w:top w:val="nil"/>
              <w:left w:val="nil"/>
              <w:bottom w:val="single" w:color="auto" w:sz="4" w:space="0"/>
              <w:right w:val="single" w:color="auto" w:sz="4" w:space="0"/>
            </w:tcBorders>
            <w:shd w:val="clear" w:color="auto" w:fill="auto"/>
            <w:noWrap/>
            <w:vAlign w:val="bottom"/>
          </w:tcPr>
          <w:p w14:paraId="7AFA049C">
            <w:pPr>
              <w:pStyle w:val="3361"/>
              <w:rPr>
                <w:rFonts w:hint="eastAsia"/>
                <w:color w:val="auto"/>
                <w:lang w:val="en-US" w:eastAsia="zh-CN"/>
              </w:rPr>
            </w:pPr>
            <w:r>
              <w:rPr>
                <w:rFonts w:hint="eastAsia"/>
                <w:color w:val="auto"/>
                <w:lang w:val="en-US" w:eastAsia="zh-CN"/>
              </w:rPr>
              <w:t>1.58E+01</w:t>
            </w:r>
          </w:p>
        </w:tc>
        <w:tc>
          <w:tcPr>
            <w:tcW w:w="1265" w:type="dxa"/>
            <w:tcBorders>
              <w:top w:val="nil"/>
              <w:left w:val="nil"/>
              <w:bottom w:val="single" w:color="auto" w:sz="4" w:space="0"/>
              <w:right w:val="single" w:color="auto" w:sz="4" w:space="0"/>
            </w:tcBorders>
            <w:shd w:val="clear" w:color="auto" w:fill="auto"/>
            <w:noWrap/>
            <w:vAlign w:val="bottom"/>
          </w:tcPr>
          <w:p w14:paraId="4677AD4B">
            <w:pPr>
              <w:pStyle w:val="3361"/>
              <w:rPr>
                <w:rFonts w:hint="eastAsia"/>
                <w:color w:val="auto"/>
                <w:lang w:val="en-US" w:eastAsia="zh-CN"/>
              </w:rPr>
            </w:pPr>
            <w:r>
              <w:rPr>
                <w:rFonts w:hint="eastAsia"/>
                <w:color w:val="auto"/>
                <w:lang w:val="en-US" w:eastAsia="zh-CN"/>
              </w:rPr>
              <w:t>105</w:t>
            </w:r>
          </w:p>
        </w:tc>
        <w:tc>
          <w:tcPr>
            <w:tcW w:w="1926" w:type="dxa"/>
            <w:tcBorders>
              <w:top w:val="nil"/>
              <w:left w:val="nil"/>
              <w:bottom w:val="single" w:color="auto" w:sz="4" w:space="0"/>
              <w:right w:val="single" w:color="auto" w:sz="4" w:space="0"/>
            </w:tcBorders>
            <w:shd w:val="clear" w:color="auto" w:fill="auto"/>
            <w:noWrap/>
            <w:vAlign w:val="bottom"/>
          </w:tcPr>
          <w:p w14:paraId="1CC18BC1">
            <w:pPr>
              <w:pStyle w:val="3361"/>
              <w:rPr>
                <w:rFonts w:hint="eastAsia"/>
                <w:color w:val="auto"/>
                <w:lang w:val="en-US" w:eastAsia="zh-CN"/>
              </w:rPr>
            </w:pPr>
            <w:r>
              <w:rPr>
                <w:rFonts w:hint="eastAsia"/>
                <w:color w:val="auto"/>
                <w:lang w:val="en-US" w:eastAsia="zh-CN"/>
              </w:rPr>
              <w:t>1.50E+03</w:t>
            </w:r>
          </w:p>
        </w:tc>
        <w:tc>
          <w:tcPr>
            <w:tcW w:w="1159" w:type="dxa"/>
            <w:tcBorders>
              <w:top w:val="nil"/>
              <w:left w:val="nil"/>
              <w:bottom w:val="single" w:color="auto" w:sz="4" w:space="0"/>
              <w:right w:val="single" w:color="auto" w:sz="4" w:space="0"/>
            </w:tcBorders>
            <w:shd w:val="clear" w:color="auto" w:fill="auto"/>
            <w:noWrap/>
            <w:vAlign w:val="bottom"/>
          </w:tcPr>
          <w:p w14:paraId="0D7F8AC0">
            <w:pPr>
              <w:pStyle w:val="3361"/>
              <w:rPr>
                <w:rFonts w:hint="eastAsia"/>
                <w:color w:val="auto"/>
                <w:lang w:val="en-US" w:eastAsia="zh-CN"/>
              </w:rPr>
            </w:pPr>
            <w:r>
              <w:rPr>
                <w:rFonts w:hint="eastAsia"/>
                <w:color w:val="auto"/>
                <w:lang w:val="en-US" w:eastAsia="zh-CN"/>
              </w:rPr>
              <w:t>105</w:t>
            </w:r>
          </w:p>
        </w:tc>
        <w:tc>
          <w:tcPr>
            <w:tcW w:w="1777" w:type="dxa"/>
            <w:tcBorders>
              <w:top w:val="nil"/>
              <w:left w:val="nil"/>
              <w:bottom w:val="single" w:color="auto" w:sz="4" w:space="0"/>
              <w:right w:val="single" w:color="auto" w:sz="4" w:space="0"/>
            </w:tcBorders>
            <w:shd w:val="clear" w:color="auto" w:fill="auto"/>
            <w:noWrap/>
            <w:vAlign w:val="bottom"/>
          </w:tcPr>
          <w:p w14:paraId="3498A215">
            <w:pPr>
              <w:pStyle w:val="3361"/>
              <w:rPr>
                <w:rFonts w:hint="eastAsia"/>
                <w:color w:val="auto"/>
                <w:lang w:val="en-US" w:eastAsia="zh-CN"/>
              </w:rPr>
            </w:pPr>
            <w:r>
              <w:rPr>
                <w:rFonts w:hint="eastAsia"/>
                <w:color w:val="auto"/>
                <w:lang w:val="en-US" w:eastAsia="zh-CN"/>
              </w:rPr>
              <w:t>7.76E+02</w:t>
            </w:r>
          </w:p>
        </w:tc>
      </w:tr>
      <w:tr w14:paraId="0A719CA1">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5491AFFA">
            <w:pPr>
              <w:pStyle w:val="3361"/>
              <w:rPr>
                <w:rFonts w:hint="eastAsia"/>
                <w:color w:val="auto"/>
                <w:lang w:val="en-US" w:eastAsia="zh-CN"/>
              </w:rPr>
            </w:pPr>
            <w:r>
              <w:rPr>
                <w:rFonts w:hint="eastAsia"/>
                <w:color w:val="auto"/>
                <w:lang w:val="en-US" w:eastAsia="zh-CN"/>
              </w:rPr>
              <w:t>110</w:t>
            </w:r>
          </w:p>
        </w:tc>
        <w:tc>
          <w:tcPr>
            <w:tcW w:w="1378" w:type="dxa"/>
            <w:tcBorders>
              <w:top w:val="nil"/>
              <w:left w:val="nil"/>
              <w:bottom w:val="single" w:color="auto" w:sz="4" w:space="0"/>
              <w:right w:val="single" w:color="auto" w:sz="4" w:space="0"/>
            </w:tcBorders>
            <w:shd w:val="clear" w:color="auto" w:fill="auto"/>
            <w:noWrap/>
            <w:vAlign w:val="bottom"/>
          </w:tcPr>
          <w:p w14:paraId="0C418131">
            <w:pPr>
              <w:pStyle w:val="3361"/>
              <w:rPr>
                <w:rFonts w:hint="eastAsia"/>
                <w:color w:val="auto"/>
                <w:lang w:val="en-US" w:eastAsia="zh-CN"/>
              </w:rPr>
            </w:pPr>
            <w:r>
              <w:rPr>
                <w:rFonts w:hint="eastAsia"/>
                <w:color w:val="auto"/>
                <w:lang w:val="en-US" w:eastAsia="zh-CN"/>
              </w:rPr>
              <w:t>1.58E+01</w:t>
            </w:r>
          </w:p>
        </w:tc>
        <w:tc>
          <w:tcPr>
            <w:tcW w:w="1265" w:type="dxa"/>
            <w:tcBorders>
              <w:top w:val="nil"/>
              <w:left w:val="nil"/>
              <w:bottom w:val="single" w:color="auto" w:sz="4" w:space="0"/>
              <w:right w:val="single" w:color="auto" w:sz="4" w:space="0"/>
            </w:tcBorders>
            <w:shd w:val="clear" w:color="auto" w:fill="auto"/>
            <w:noWrap/>
            <w:vAlign w:val="bottom"/>
          </w:tcPr>
          <w:p w14:paraId="2EF3AA80">
            <w:pPr>
              <w:pStyle w:val="3361"/>
              <w:rPr>
                <w:rFonts w:hint="eastAsia"/>
                <w:color w:val="auto"/>
                <w:lang w:val="en-US" w:eastAsia="zh-CN"/>
              </w:rPr>
            </w:pPr>
            <w:r>
              <w:rPr>
                <w:rFonts w:hint="eastAsia"/>
                <w:color w:val="auto"/>
                <w:lang w:val="en-US" w:eastAsia="zh-CN"/>
              </w:rPr>
              <w:t>110</w:t>
            </w:r>
          </w:p>
        </w:tc>
        <w:tc>
          <w:tcPr>
            <w:tcW w:w="1926" w:type="dxa"/>
            <w:tcBorders>
              <w:top w:val="nil"/>
              <w:left w:val="nil"/>
              <w:bottom w:val="single" w:color="auto" w:sz="4" w:space="0"/>
              <w:right w:val="single" w:color="auto" w:sz="4" w:space="0"/>
            </w:tcBorders>
            <w:shd w:val="clear" w:color="auto" w:fill="auto"/>
            <w:noWrap/>
            <w:vAlign w:val="bottom"/>
          </w:tcPr>
          <w:p w14:paraId="24CC43B2">
            <w:pPr>
              <w:pStyle w:val="3361"/>
              <w:rPr>
                <w:rFonts w:hint="eastAsia"/>
                <w:color w:val="auto"/>
                <w:lang w:val="en-US" w:eastAsia="zh-CN"/>
              </w:rPr>
            </w:pPr>
            <w:r>
              <w:rPr>
                <w:rFonts w:hint="eastAsia"/>
                <w:color w:val="auto"/>
                <w:lang w:val="en-US" w:eastAsia="zh-CN"/>
              </w:rPr>
              <w:t>1.35E+03</w:t>
            </w:r>
          </w:p>
        </w:tc>
        <w:tc>
          <w:tcPr>
            <w:tcW w:w="1159" w:type="dxa"/>
            <w:tcBorders>
              <w:top w:val="nil"/>
              <w:left w:val="nil"/>
              <w:bottom w:val="single" w:color="auto" w:sz="4" w:space="0"/>
              <w:right w:val="single" w:color="auto" w:sz="4" w:space="0"/>
            </w:tcBorders>
            <w:shd w:val="clear" w:color="auto" w:fill="auto"/>
            <w:noWrap/>
            <w:vAlign w:val="bottom"/>
          </w:tcPr>
          <w:p w14:paraId="24BFD0AA">
            <w:pPr>
              <w:pStyle w:val="3361"/>
              <w:rPr>
                <w:rFonts w:hint="eastAsia"/>
                <w:color w:val="auto"/>
                <w:lang w:val="en-US" w:eastAsia="zh-CN"/>
              </w:rPr>
            </w:pPr>
            <w:r>
              <w:rPr>
                <w:rFonts w:hint="eastAsia"/>
                <w:color w:val="auto"/>
                <w:lang w:val="en-US" w:eastAsia="zh-CN"/>
              </w:rPr>
              <w:t>110</w:t>
            </w:r>
          </w:p>
        </w:tc>
        <w:tc>
          <w:tcPr>
            <w:tcW w:w="1777" w:type="dxa"/>
            <w:tcBorders>
              <w:top w:val="nil"/>
              <w:left w:val="nil"/>
              <w:bottom w:val="single" w:color="auto" w:sz="4" w:space="0"/>
              <w:right w:val="single" w:color="auto" w:sz="4" w:space="0"/>
            </w:tcBorders>
            <w:shd w:val="clear" w:color="auto" w:fill="auto"/>
            <w:noWrap/>
            <w:vAlign w:val="bottom"/>
          </w:tcPr>
          <w:p w14:paraId="49AB02D8">
            <w:pPr>
              <w:pStyle w:val="3361"/>
              <w:rPr>
                <w:rFonts w:hint="eastAsia"/>
                <w:color w:val="auto"/>
                <w:lang w:val="en-US" w:eastAsia="zh-CN"/>
              </w:rPr>
            </w:pPr>
            <w:r>
              <w:rPr>
                <w:rFonts w:hint="eastAsia"/>
                <w:color w:val="auto"/>
                <w:lang w:val="en-US" w:eastAsia="zh-CN"/>
              </w:rPr>
              <w:t>8.03E+02</w:t>
            </w:r>
          </w:p>
        </w:tc>
      </w:tr>
      <w:tr w14:paraId="55A20A3A">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6C53F45D">
            <w:pPr>
              <w:pStyle w:val="3361"/>
              <w:rPr>
                <w:rFonts w:hint="eastAsia"/>
                <w:color w:val="auto"/>
                <w:lang w:val="en-US" w:eastAsia="zh-CN"/>
              </w:rPr>
            </w:pPr>
            <w:r>
              <w:rPr>
                <w:rFonts w:hint="eastAsia"/>
                <w:color w:val="auto"/>
                <w:lang w:val="en-US" w:eastAsia="zh-CN"/>
              </w:rPr>
              <w:t>115</w:t>
            </w:r>
          </w:p>
        </w:tc>
        <w:tc>
          <w:tcPr>
            <w:tcW w:w="1378" w:type="dxa"/>
            <w:tcBorders>
              <w:top w:val="nil"/>
              <w:left w:val="nil"/>
              <w:bottom w:val="single" w:color="auto" w:sz="4" w:space="0"/>
              <w:right w:val="single" w:color="auto" w:sz="4" w:space="0"/>
            </w:tcBorders>
            <w:shd w:val="clear" w:color="auto" w:fill="auto"/>
            <w:noWrap/>
            <w:vAlign w:val="bottom"/>
          </w:tcPr>
          <w:p w14:paraId="56F1CF86">
            <w:pPr>
              <w:pStyle w:val="3361"/>
              <w:rPr>
                <w:rFonts w:hint="eastAsia"/>
                <w:color w:val="auto"/>
                <w:lang w:val="en-US" w:eastAsia="zh-CN"/>
              </w:rPr>
            </w:pPr>
            <w:r>
              <w:rPr>
                <w:rFonts w:hint="eastAsia"/>
                <w:color w:val="auto"/>
                <w:lang w:val="en-US" w:eastAsia="zh-CN"/>
              </w:rPr>
              <w:t>1.58E+01</w:t>
            </w:r>
          </w:p>
        </w:tc>
        <w:tc>
          <w:tcPr>
            <w:tcW w:w="1265" w:type="dxa"/>
            <w:tcBorders>
              <w:top w:val="nil"/>
              <w:left w:val="nil"/>
              <w:bottom w:val="single" w:color="auto" w:sz="4" w:space="0"/>
              <w:right w:val="single" w:color="auto" w:sz="4" w:space="0"/>
            </w:tcBorders>
            <w:shd w:val="clear" w:color="auto" w:fill="auto"/>
            <w:noWrap/>
            <w:vAlign w:val="bottom"/>
          </w:tcPr>
          <w:p w14:paraId="686BC66D">
            <w:pPr>
              <w:pStyle w:val="3361"/>
              <w:rPr>
                <w:rFonts w:hint="eastAsia"/>
                <w:color w:val="auto"/>
                <w:lang w:val="en-US" w:eastAsia="zh-CN"/>
              </w:rPr>
            </w:pPr>
            <w:r>
              <w:rPr>
                <w:rFonts w:hint="eastAsia"/>
                <w:color w:val="auto"/>
                <w:lang w:val="en-US" w:eastAsia="zh-CN"/>
              </w:rPr>
              <w:t>115</w:t>
            </w:r>
          </w:p>
        </w:tc>
        <w:tc>
          <w:tcPr>
            <w:tcW w:w="1926" w:type="dxa"/>
            <w:tcBorders>
              <w:top w:val="nil"/>
              <w:left w:val="nil"/>
              <w:bottom w:val="single" w:color="auto" w:sz="4" w:space="0"/>
              <w:right w:val="single" w:color="auto" w:sz="4" w:space="0"/>
            </w:tcBorders>
            <w:shd w:val="clear" w:color="auto" w:fill="auto"/>
            <w:noWrap/>
            <w:vAlign w:val="bottom"/>
          </w:tcPr>
          <w:p w14:paraId="39B7D51D">
            <w:pPr>
              <w:pStyle w:val="3361"/>
              <w:rPr>
                <w:rFonts w:hint="eastAsia"/>
                <w:color w:val="auto"/>
                <w:lang w:val="en-US" w:eastAsia="zh-CN"/>
              </w:rPr>
            </w:pPr>
            <w:r>
              <w:rPr>
                <w:rFonts w:hint="eastAsia"/>
                <w:color w:val="auto"/>
                <w:lang w:val="en-US" w:eastAsia="zh-CN"/>
              </w:rPr>
              <w:t>1.21E+03</w:t>
            </w:r>
          </w:p>
        </w:tc>
        <w:tc>
          <w:tcPr>
            <w:tcW w:w="1159" w:type="dxa"/>
            <w:tcBorders>
              <w:top w:val="nil"/>
              <w:left w:val="nil"/>
              <w:bottom w:val="single" w:color="auto" w:sz="4" w:space="0"/>
              <w:right w:val="single" w:color="auto" w:sz="4" w:space="0"/>
            </w:tcBorders>
            <w:shd w:val="clear" w:color="auto" w:fill="auto"/>
            <w:noWrap/>
            <w:vAlign w:val="bottom"/>
          </w:tcPr>
          <w:p w14:paraId="5A4788AB">
            <w:pPr>
              <w:pStyle w:val="3361"/>
              <w:rPr>
                <w:rFonts w:hint="eastAsia"/>
                <w:color w:val="auto"/>
                <w:lang w:val="en-US" w:eastAsia="zh-CN"/>
              </w:rPr>
            </w:pPr>
            <w:r>
              <w:rPr>
                <w:rFonts w:hint="eastAsia"/>
                <w:color w:val="auto"/>
                <w:lang w:val="en-US" w:eastAsia="zh-CN"/>
              </w:rPr>
              <w:t>115</w:t>
            </w:r>
          </w:p>
        </w:tc>
        <w:tc>
          <w:tcPr>
            <w:tcW w:w="1777" w:type="dxa"/>
            <w:tcBorders>
              <w:top w:val="nil"/>
              <w:left w:val="nil"/>
              <w:bottom w:val="single" w:color="auto" w:sz="4" w:space="0"/>
              <w:right w:val="single" w:color="auto" w:sz="4" w:space="0"/>
            </w:tcBorders>
            <w:shd w:val="clear" w:color="auto" w:fill="auto"/>
            <w:noWrap/>
            <w:vAlign w:val="bottom"/>
          </w:tcPr>
          <w:p w14:paraId="6EC50088">
            <w:pPr>
              <w:pStyle w:val="3361"/>
              <w:rPr>
                <w:rFonts w:hint="eastAsia"/>
                <w:color w:val="auto"/>
                <w:lang w:val="en-US" w:eastAsia="zh-CN"/>
              </w:rPr>
            </w:pPr>
            <w:r>
              <w:rPr>
                <w:rFonts w:hint="eastAsia"/>
                <w:color w:val="auto"/>
                <w:lang w:val="en-US" w:eastAsia="zh-CN"/>
              </w:rPr>
              <w:t>8.30E+02</w:t>
            </w:r>
          </w:p>
        </w:tc>
      </w:tr>
      <w:tr w14:paraId="01780449">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2172B0CD">
            <w:pPr>
              <w:pStyle w:val="3361"/>
              <w:rPr>
                <w:rFonts w:hint="eastAsia"/>
                <w:color w:val="auto"/>
                <w:lang w:val="en-US" w:eastAsia="zh-CN"/>
              </w:rPr>
            </w:pPr>
            <w:r>
              <w:rPr>
                <w:rFonts w:hint="eastAsia"/>
                <w:color w:val="auto"/>
                <w:lang w:val="en-US" w:eastAsia="zh-CN"/>
              </w:rPr>
              <w:t>120</w:t>
            </w:r>
          </w:p>
        </w:tc>
        <w:tc>
          <w:tcPr>
            <w:tcW w:w="1378" w:type="dxa"/>
            <w:tcBorders>
              <w:top w:val="nil"/>
              <w:left w:val="nil"/>
              <w:bottom w:val="single" w:color="auto" w:sz="4" w:space="0"/>
              <w:right w:val="single" w:color="auto" w:sz="4" w:space="0"/>
            </w:tcBorders>
            <w:shd w:val="clear" w:color="auto" w:fill="auto"/>
            <w:noWrap/>
            <w:vAlign w:val="bottom"/>
          </w:tcPr>
          <w:p w14:paraId="38E43920">
            <w:pPr>
              <w:pStyle w:val="3361"/>
              <w:rPr>
                <w:rFonts w:hint="eastAsia"/>
                <w:color w:val="auto"/>
                <w:lang w:val="en-US" w:eastAsia="zh-CN"/>
              </w:rPr>
            </w:pPr>
            <w:r>
              <w:rPr>
                <w:rFonts w:hint="eastAsia"/>
                <w:color w:val="auto"/>
                <w:lang w:val="en-US" w:eastAsia="zh-CN"/>
              </w:rPr>
              <w:t>1.58E+01</w:t>
            </w:r>
          </w:p>
        </w:tc>
        <w:tc>
          <w:tcPr>
            <w:tcW w:w="1265" w:type="dxa"/>
            <w:tcBorders>
              <w:top w:val="nil"/>
              <w:left w:val="nil"/>
              <w:bottom w:val="single" w:color="auto" w:sz="4" w:space="0"/>
              <w:right w:val="single" w:color="auto" w:sz="4" w:space="0"/>
            </w:tcBorders>
            <w:shd w:val="clear" w:color="auto" w:fill="auto"/>
            <w:noWrap/>
            <w:vAlign w:val="bottom"/>
          </w:tcPr>
          <w:p w14:paraId="7BC9043A">
            <w:pPr>
              <w:pStyle w:val="3361"/>
              <w:rPr>
                <w:rFonts w:hint="eastAsia"/>
                <w:color w:val="auto"/>
                <w:lang w:val="en-US" w:eastAsia="zh-CN"/>
              </w:rPr>
            </w:pPr>
            <w:r>
              <w:rPr>
                <w:rFonts w:hint="eastAsia"/>
                <w:color w:val="auto"/>
                <w:lang w:val="en-US" w:eastAsia="zh-CN"/>
              </w:rPr>
              <w:t>120</w:t>
            </w:r>
          </w:p>
        </w:tc>
        <w:tc>
          <w:tcPr>
            <w:tcW w:w="1926" w:type="dxa"/>
            <w:tcBorders>
              <w:top w:val="nil"/>
              <w:left w:val="nil"/>
              <w:bottom w:val="single" w:color="auto" w:sz="4" w:space="0"/>
              <w:right w:val="single" w:color="auto" w:sz="4" w:space="0"/>
            </w:tcBorders>
            <w:shd w:val="clear" w:color="auto" w:fill="auto"/>
            <w:noWrap/>
            <w:vAlign w:val="bottom"/>
          </w:tcPr>
          <w:p w14:paraId="6D7A3102">
            <w:pPr>
              <w:pStyle w:val="3361"/>
              <w:rPr>
                <w:rFonts w:hint="eastAsia"/>
                <w:color w:val="auto"/>
                <w:lang w:val="en-US" w:eastAsia="zh-CN"/>
              </w:rPr>
            </w:pPr>
            <w:r>
              <w:rPr>
                <w:rFonts w:hint="eastAsia"/>
                <w:color w:val="auto"/>
                <w:lang w:val="en-US" w:eastAsia="zh-CN"/>
              </w:rPr>
              <w:t>1.07E+03</w:t>
            </w:r>
          </w:p>
        </w:tc>
        <w:tc>
          <w:tcPr>
            <w:tcW w:w="1159" w:type="dxa"/>
            <w:tcBorders>
              <w:top w:val="nil"/>
              <w:left w:val="nil"/>
              <w:bottom w:val="single" w:color="auto" w:sz="4" w:space="0"/>
              <w:right w:val="single" w:color="auto" w:sz="4" w:space="0"/>
            </w:tcBorders>
            <w:shd w:val="clear" w:color="auto" w:fill="auto"/>
            <w:noWrap/>
            <w:vAlign w:val="bottom"/>
          </w:tcPr>
          <w:p w14:paraId="4E8DDBB9">
            <w:pPr>
              <w:pStyle w:val="3361"/>
              <w:rPr>
                <w:rFonts w:hint="eastAsia"/>
                <w:color w:val="auto"/>
                <w:lang w:val="en-US" w:eastAsia="zh-CN"/>
              </w:rPr>
            </w:pPr>
            <w:r>
              <w:rPr>
                <w:rFonts w:hint="eastAsia"/>
                <w:color w:val="auto"/>
                <w:lang w:val="en-US" w:eastAsia="zh-CN"/>
              </w:rPr>
              <w:t>120</w:t>
            </w:r>
          </w:p>
        </w:tc>
        <w:tc>
          <w:tcPr>
            <w:tcW w:w="1777" w:type="dxa"/>
            <w:tcBorders>
              <w:top w:val="nil"/>
              <w:left w:val="nil"/>
              <w:bottom w:val="single" w:color="auto" w:sz="4" w:space="0"/>
              <w:right w:val="single" w:color="auto" w:sz="4" w:space="0"/>
            </w:tcBorders>
            <w:shd w:val="clear" w:color="auto" w:fill="auto"/>
            <w:noWrap/>
            <w:vAlign w:val="bottom"/>
          </w:tcPr>
          <w:p w14:paraId="4E42BF91">
            <w:pPr>
              <w:pStyle w:val="3361"/>
              <w:rPr>
                <w:rFonts w:hint="eastAsia"/>
                <w:color w:val="auto"/>
                <w:lang w:val="en-US" w:eastAsia="zh-CN"/>
              </w:rPr>
            </w:pPr>
            <w:r>
              <w:rPr>
                <w:rFonts w:hint="eastAsia"/>
                <w:color w:val="auto"/>
                <w:lang w:val="en-US" w:eastAsia="zh-CN"/>
              </w:rPr>
              <w:t>8.55E+02</w:t>
            </w:r>
          </w:p>
        </w:tc>
      </w:tr>
      <w:tr w14:paraId="5BAEA946">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7729F292">
            <w:pPr>
              <w:pStyle w:val="3361"/>
              <w:rPr>
                <w:rFonts w:hint="eastAsia"/>
                <w:color w:val="auto"/>
                <w:lang w:val="en-US" w:eastAsia="zh-CN"/>
              </w:rPr>
            </w:pPr>
            <w:r>
              <w:rPr>
                <w:rFonts w:hint="eastAsia"/>
                <w:color w:val="auto"/>
                <w:lang w:val="en-US" w:eastAsia="zh-CN"/>
              </w:rPr>
              <w:t>125</w:t>
            </w:r>
          </w:p>
        </w:tc>
        <w:tc>
          <w:tcPr>
            <w:tcW w:w="1378" w:type="dxa"/>
            <w:tcBorders>
              <w:top w:val="nil"/>
              <w:left w:val="nil"/>
              <w:bottom w:val="single" w:color="auto" w:sz="4" w:space="0"/>
              <w:right w:val="single" w:color="auto" w:sz="4" w:space="0"/>
            </w:tcBorders>
            <w:shd w:val="clear" w:color="auto" w:fill="auto"/>
            <w:noWrap/>
            <w:vAlign w:val="bottom"/>
          </w:tcPr>
          <w:p w14:paraId="2B9105F3">
            <w:pPr>
              <w:pStyle w:val="3361"/>
              <w:rPr>
                <w:rFonts w:hint="eastAsia"/>
                <w:color w:val="auto"/>
                <w:lang w:val="en-US" w:eastAsia="zh-CN"/>
              </w:rPr>
            </w:pPr>
            <w:r>
              <w:rPr>
                <w:rFonts w:hint="eastAsia"/>
                <w:color w:val="auto"/>
                <w:lang w:val="en-US" w:eastAsia="zh-CN"/>
              </w:rPr>
              <w:t>1.58E+01</w:t>
            </w:r>
          </w:p>
        </w:tc>
        <w:tc>
          <w:tcPr>
            <w:tcW w:w="1265" w:type="dxa"/>
            <w:tcBorders>
              <w:top w:val="nil"/>
              <w:left w:val="nil"/>
              <w:bottom w:val="single" w:color="auto" w:sz="4" w:space="0"/>
              <w:right w:val="single" w:color="auto" w:sz="4" w:space="0"/>
            </w:tcBorders>
            <w:shd w:val="clear" w:color="auto" w:fill="auto"/>
            <w:noWrap/>
            <w:vAlign w:val="bottom"/>
          </w:tcPr>
          <w:p w14:paraId="4926F051">
            <w:pPr>
              <w:pStyle w:val="3361"/>
              <w:rPr>
                <w:rFonts w:hint="eastAsia"/>
                <w:color w:val="auto"/>
                <w:lang w:val="en-US" w:eastAsia="zh-CN"/>
              </w:rPr>
            </w:pPr>
            <w:r>
              <w:rPr>
                <w:rFonts w:hint="eastAsia"/>
                <w:color w:val="auto"/>
                <w:lang w:val="en-US" w:eastAsia="zh-CN"/>
              </w:rPr>
              <w:t>125</w:t>
            </w:r>
          </w:p>
        </w:tc>
        <w:tc>
          <w:tcPr>
            <w:tcW w:w="1926" w:type="dxa"/>
            <w:tcBorders>
              <w:top w:val="nil"/>
              <w:left w:val="nil"/>
              <w:bottom w:val="single" w:color="auto" w:sz="4" w:space="0"/>
              <w:right w:val="single" w:color="auto" w:sz="4" w:space="0"/>
            </w:tcBorders>
            <w:shd w:val="clear" w:color="auto" w:fill="auto"/>
            <w:noWrap/>
            <w:vAlign w:val="bottom"/>
          </w:tcPr>
          <w:p w14:paraId="2DC2B7DB">
            <w:pPr>
              <w:pStyle w:val="3361"/>
              <w:rPr>
                <w:rFonts w:hint="eastAsia"/>
                <w:color w:val="auto"/>
                <w:lang w:val="en-US" w:eastAsia="zh-CN"/>
              </w:rPr>
            </w:pPr>
            <w:r>
              <w:rPr>
                <w:rFonts w:hint="eastAsia"/>
                <w:color w:val="auto"/>
                <w:lang w:val="en-US" w:eastAsia="zh-CN"/>
              </w:rPr>
              <w:t>9.36E+02</w:t>
            </w:r>
          </w:p>
        </w:tc>
        <w:tc>
          <w:tcPr>
            <w:tcW w:w="1159" w:type="dxa"/>
            <w:tcBorders>
              <w:top w:val="nil"/>
              <w:left w:val="nil"/>
              <w:bottom w:val="single" w:color="auto" w:sz="4" w:space="0"/>
              <w:right w:val="single" w:color="auto" w:sz="4" w:space="0"/>
            </w:tcBorders>
            <w:shd w:val="clear" w:color="auto" w:fill="auto"/>
            <w:noWrap/>
            <w:vAlign w:val="bottom"/>
          </w:tcPr>
          <w:p w14:paraId="56B79843">
            <w:pPr>
              <w:pStyle w:val="3361"/>
              <w:rPr>
                <w:rFonts w:hint="eastAsia"/>
                <w:color w:val="auto"/>
                <w:lang w:val="en-US" w:eastAsia="zh-CN"/>
              </w:rPr>
            </w:pPr>
            <w:r>
              <w:rPr>
                <w:rFonts w:hint="eastAsia"/>
                <w:color w:val="auto"/>
                <w:lang w:val="en-US" w:eastAsia="zh-CN"/>
              </w:rPr>
              <w:t>125</w:t>
            </w:r>
          </w:p>
        </w:tc>
        <w:tc>
          <w:tcPr>
            <w:tcW w:w="1777" w:type="dxa"/>
            <w:tcBorders>
              <w:top w:val="nil"/>
              <w:left w:val="nil"/>
              <w:bottom w:val="single" w:color="auto" w:sz="4" w:space="0"/>
              <w:right w:val="single" w:color="auto" w:sz="4" w:space="0"/>
            </w:tcBorders>
            <w:shd w:val="clear" w:color="auto" w:fill="auto"/>
            <w:noWrap/>
            <w:vAlign w:val="bottom"/>
          </w:tcPr>
          <w:p w14:paraId="3D5D8316">
            <w:pPr>
              <w:pStyle w:val="3361"/>
              <w:rPr>
                <w:rFonts w:hint="eastAsia"/>
                <w:color w:val="auto"/>
                <w:lang w:val="en-US" w:eastAsia="zh-CN"/>
              </w:rPr>
            </w:pPr>
            <w:r>
              <w:rPr>
                <w:rFonts w:hint="eastAsia"/>
                <w:color w:val="auto"/>
                <w:lang w:val="en-US" w:eastAsia="zh-CN"/>
              </w:rPr>
              <w:t>8.79E+02</w:t>
            </w:r>
          </w:p>
        </w:tc>
      </w:tr>
      <w:tr w14:paraId="1E2864B9">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777DE0B4">
            <w:pPr>
              <w:pStyle w:val="3361"/>
              <w:rPr>
                <w:rFonts w:hint="eastAsia"/>
                <w:color w:val="auto"/>
                <w:lang w:val="en-US" w:eastAsia="zh-CN"/>
              </w:rPr>
            </w:pPr>
            <w:r>
              <w:rPr>
                <w:rFonts w:hint="eastAsia"/>
                <w:color w:val="auto"/>
                <w:lang w:val="en-US" w:eastAsia="zh-CN"/>
              </w:rPr>
              <w:t>130</w:t>
            </w:r>
          </w:p>
        </w:tc>
        <w:tc>
          <w:tcPr>
            <w:tcW w:w="1378" w:type="dxa"/>
            <w:tcBorders>
              <w:top w:val="nil"/>
              <w:left w:val="nil"/>
              <w:bottom w:val="single" w:color="auto" w:sz="4" w:space="0"/>
              <w:right w:val="single" w:color="auto" w:sz="4" w:space="0"/>
            </w:tcBorders>
            <w:shd w:val="clear" w:color="auto" w:fill="auto"/>
            <w:noWrap/>
            <w:vAlign w:val="bottom"/>
          </w:tcPr>
          <w:p w14:paraId="39328FF5">
            <w:pPr>
              <w:pStyle w:val="3361"/>
              <w:rPr>
                <w:rFonts w:hint="eastAsia"/>
                <w:color w:val="auto"/>
                <w:lang w:val="en-US" w:eastAsia="zh-CN"/>
              </w:rPr>
            </w:pPr>
            <w:r>
              <w:rPr>
                <w:rFonts w:hint="eastAsia"/>
                <w:color w:val="auto"/>
                <w:lang w:val="en-US" w:eastAsia="zh-CN"/>
              </w:rPr>
              <w:t>1.58E+01</w:t>
            </w:r>
          </w:p>
        </w:tc>
        <w:tc>
          <w:tcPr>
            <w:tcW w:w="1265" w:type="dxa"/>
            <w:tcBorders>
              <w:top w:val="nil"/>
              <w:left w:val="nil"/>
              <w:bottom w:val="single" w:color="auto" w:sz="4" w:space="0"/>
              <w:right w:val="single" w:color="auto" w:sz="4" w:space="0"/>
            </w:tcBorders>
            <w:shd w:val="clear" w:color="auto" w:fill="auto"/>
            <w:noWrap/>
            <w:vAlign w:val="bottom"/>
          </w:tcPr>
          <w:p w14:paraId="3F3A658E">
            <w:pPr>
              <w:pStyle w:val="3361"/>
              <w:rPr>
                <w:rFonts w:hint="eastAsia"/>
                <w:color w:val="auto"/>
                <w:lang w:val="en-US" w:eastAsia="zh-CN"/>
              </w:rPr>
            </w:pPr>
            <w:r>
              <w:rPr>
                <w:rFonts w:hint="eastAsia"/>
                <w:color w:val="auto"/>
                <w:lang w:val="en-US" w:eastAsia="zh-CN"/>
              </w:rPr>
              <w:t>130</w:t>
            </w:r>
          </w:p>
        </w:tc>
        <w:tc>
          <w:tcPr>
            <w:tcW w:w="1926" w:type="dxa"/>
            <w:tcBorders>
              <w:top w:val="nil"/>
              <w:left w:val="nil"/>
              <w:bottom w:val="single" w:color="auto" w:sz="4" w:space="0"/>
              <w:right w:val="single" w:color="auto" w:sz="4" w:space="0"/>
            </w:tcBorders>
            <w:shd w:val="clear" w:color="auto" w:fill="auto"/>
            <w:noWrap/>
            <w:vAlign w:val="bottom"/>
          </w:tcPr>
          <w:p w14:paraId="64A50D14">
            <w:pPr>
              <w:pStyle w:val="3361"/>
              <w:rPr>
                <w:rFonts w:hint="eastAsia"/>
                <w:color w:val="auto"/>
                <w:lang w:val="en-US" w:eastAsia="zh-CN"/>
              </w:rPr>
            </w:pPr>
            <w:r>
              <w:rPr>
                <w:rFonts w:hint="eastAsia"/>
                <w:color w:val="auto"/>
                <w:lang w:val="en-US" w:eastAsia="zh-CN"/>
              </w:rPr>
              <w:t>8.13E+02</w:t>
            </w:r>
          </w:p>
        </w:tc>
        <w:tc>
          <w:tcPr>
            <w:tcW w:w="1159" w:type="dxa"/>
            <w:tcBorders>
              <w:top w:val="nil"/>
              <w:left w:val="nil"/>
              <w:bottom w:val="single" w:color="auto" w:sz="4" w:space="0"/>
              <w:right w:val="single" w:color="auto" w:sz="4" w:space="0"/>
            </w:tcBorders>
            <w:shd w:val="clear" w:color="auto" w:fill="auto"/>
            <w:noWrap/>
            <w:vAlign w:val="bottom"/>
          </w:tcPr>
          <w:p w14:paraId="3EE6B291">
            <w:pPr>
              <w:pStyle w:val="3361"/>
              <w:rPr>
                <w:rFonts w:hint="eastAsia"/>
                <w:color w:val="auto"/>
                <w:lang w:val="en-US" w:eastAsia="zh-CN"/>
              </w:rPr>
            </w:pPr>
            <w:r>
              <w:rPr>
                <w:rFonts w:hint="eastAsia"/>
                <w:color w:val="auto"/>
                <w:lang w:val="en-US" w:eastAsia="zh-CN"/>
              </w:rPr>
              <w:t>130</w:t>
            </w:r>
          </w:p>
        </w:tc>
        <w:tc>
          <w:tcPr>
            <w:tcW w:w="1777" w:type="dxa"/>
            <w:tcBorders>
              <w:top w:val="nil"/>
              <w:left w:val="nil"/>
              <w:bottom w:val="single" w:color="auto" w:sz="4" w:space="0"/>
              <w:right w:val="single" w:color="auto" w:sz="4" w:space="0"/>
            </w:tcBorders>
            <w:shd w:val="clear" w:color="auto" w:fill="auto"/>
            <w:noWrap/>
            <w:vAlign w:val="bottom"/>
          </w:tcPr>
          <w:p w14:paraId="18077E0C">
            <w:pPr>
              <w:pStyle w:val="3361"/>
              <w:rPr>
                <w:rFonts w:hint="eastAsia"/>
                <w:color w:val="auto"/>
                <w:lang w:val="en-US" w:eastAsia="zh-CN"/>
              </w:rPr>
            </w:pPr>
            <w:r>
              <w:rPr>
                <w:rFonts w:hint="eastAsia"/>
                <w:color w:val="auto"/>
                <w:lang w:val="en-US" w:eastAsia="zh-CN"/>
              </w:rPr>
              <w:t>9.01E+02</w:t>
            </w:r>
          </w:p>
        </w:tc>
      </w:tr>
      <w:tr w14:paraId="52CC6A06">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559B4E56">
            <w:pPr>
              <w:pStyle w:val="3361"/>
              <w:rPr>
                <w:rFonts w:hint="eastAsia"/>
                <w:color w:val="auto"/>
                <w:lang w:val="en-US" w:eastAsia="zh-CN"/>
              </w:rPr>
            </w:pPr>
            <w:r>
              <w:rPr>
                <w:rFonts w:hint="eastAsia"/>
                <w:color w:val="auto"/>
                <w:lang w:val="en-US" w:eastAsia="zh-CN"/>
              </w:rPr>
              <w:t>135</w:t>
            </w:r>
          </w:p>
        </w:tc>
        <w:tc>
          <w:tcPr>
            <w:tcW w:w="1378" w:type="dxa"/>
            <w:tcBorders>
              <w:top w:val="nil"/>
              <w:left w:val="nil"/>
              <w:bottom w:val="single" w:color="auto" w:sz="4" w:space="0"/>
              <w:right w:val="single" w:color="auto" w:sz="4" w:space="0"/>
            </w:tcBorders>
            <w:shd w:val="clear" w:color="auto" w:fill="auto"/>
            <w:noWrap/>
            <w:vAlign w:val="bottom"/>
          </w:tcPr>
          <w:p w14:paraId="1BBCD269">
            <w:pPr>
              <w:pStyle w:val="3361"/>
              <w:rPr>
                <w:rFonts w:hint="eastAsia"/>
                <w:color w:val="auto"/>
                <w:lang w:val="en-US" w:eastAsia="zh-CN"/>
              </w:rPr>
            </w:pPr>
            <w:r>
              <w:rPr>
                <w:rFonts w:hint="eastAsia"/>
                <w:color w:val="auto"/>
                <w:lang w:val="en-US" w:eastAsia="zh-CN"/>
              </w:rPr>
              <w:t>1.58E+01</w:t>
            </w:r>
          </w:p>
        </w:tc>
        <w:tc>
          <w:tcPr>
            <w:tcW w:w="1265" w:type="dxa"/>
            <w:tcBorders>
              <w:top w:val="nil"/>
              <w:left w:val="nil"/>
              <w:bottom w:val="single" w:color="auto" w:sz="4" w:space="0"/>
              <w:right w:val="single" w:color="auto" w:sz="4" w:space="0"/>
            </w:tcBorders>
            <w:shd w:val="clear" w:color="auto" w:fill="auto"/>
            <w:noWrap/>
            <w:vAlign w:val="bottom"/>
          </w:tcPr>
          <w:p w14:paraId="5E3D5EC8">
            <w:pPr>
              <w:pStyle w:val="3361"/>
              <w:rPr>
                <w:rFonts w:hint="eastAsia"/>
                <w:color w:val="auto"/>
                <w:lang w:val="en-US" w:eastAsia="zh-CN"/>
              </w:rPr>
            </w:pPr>
            <w:r>
              <w:rPr>
                <w:rFonts w:hint="eastAsia"/>
                <w:color w:val="auto"/>
                <w:lang w:val="en-US" w:eastAsia="zh-CN"/>
              </w:rPr>
              <w:t>135</w:t>
            </w:r>
          </w:p>
        </w:tc>
        <w:tc>
          <w:tcPr>
            <w:tcW w:w="1926" w:type="dxa"/>
            <w:tcBorders>
              <w:top w:val="nil"/>
              <w:left w:val="nil"/>
              <w:bottom w:val="single" w:color="auto" w:sz="4" w:space="0"/>
              <w:right w:val="single" w:color="auto" w:sz="4" w:space="0"/>
            </w:tcBorders>
            <w:shd w:val="clear" w:color="auto" w:fill="auto"/>
            <w:noWrap/>
            <w:vAlign w:val="bottom"/>
          </w:tcPr>
          <w:p w14:paraId="23C4A358">
            <w:pPr>
              <w:pStyle w:val="3361"/>
              <w:rPr>
                <w:rFonts w:hint="eastAsia"/>
                <w:color w:val="auto"/>
                <w:lang w:val="en-US" w:eastAsia="zh-CN"/>
              </w:rPr>
            </w:pPr>
            <w:r>
              <w:rPr>
                <w:rFonts w:hint="eastAsia"/>
                <w:color w:val="auto"/>
                <w:lang w:val="en-US" w:eastAsia="zh-CN"/>
              </w:rPr>
              <w:t>7.01E+02</w:t>
            </w:r>
          </w:p>
        </w:tc>
        <w:tc>
          <w:tcPr>
            <w:tcW w:w="1159" w:type="dxa"/>
            <w:tcBorders>
              <w:top w:val="nil"/>
              <w:left w:val="nil"/>
              <w:bottom w:val="single" w:color="auto" w:sz="4" w:space="0"/>
              <w:right w:val="single" w:color="auto" w:sz="4" w:space="0"/>
            </w:tcBorders>
            <w:shd w:val="clear" w:color="auto" w:fill="auto"/>
            <w:noWrap/>
            <w:vAlign w:val="bottom"/>
          </w:tcPr>
          <w:p w14:paraId="66D65705">
            <w:pPr>
              <w:pStyle w:val="3361"/>
              <w:rPr>
                <w:rFonts w:hint="eastAsia"/>
                <w:color w:val="auto"/>
                <w:lang w:val="en-US" w:eastAsia="zh-CN"/>
              </w:rPr>
            </w:pPr>
            <w:r>
              <w:rPr>
                <w:rFonts w:hint="eastAsia"/>
                <w:color w:val="auto"/>
                <w:lang w:val="en-US" w:eastAsia="zh-CN"/>
              </w:rPr>
              <w:t>135</w:t>
            </w:r>
          </w:p>
        </w:tc>
        <w:tc>
          <w:tcPr>
            <w:tcW w:w="1777" w:type="dxa"/>
            <w:tcBorders>
              <w:top w:val="nil"/>
              <w:left w:val="nil"/>
              <w:bottom w:val="single" w:color="auto" w:sz="4" w:space="0"/>
              <w:right w:val="single" w:color="auto" w:sz="4" w:space="0"/>
            </w:tcBorders>
            <w:shd w:val="clear" w:color="auto" w:fill="auto"/>
            <w:noWrap/>
            <w:vAlign w:val="bottom"/>
          </w:tcPr>
          <w:p w14:paraId="1C3F8963">
            <w:pPr>
              <w:pStyle w:val="3361"/>
              <w:rPr>
                <w:rFonts w:hint="eastAsia"/>
                <w:color w:val="auto"/>
                <w:lang w:val="en-US" w:eastAsia="zh-CN"/>
              </w:rPr>
            </w:pPr>
            <w:r>
              <w:rPr>
                <w:rFonts w:hint="eastAsia"/>
                <w:color w:val="auto"/>
                <w:lang w:val="en-US" w:eastAsia="zh-CN"/>
              </w:rPr>
              <w:t>9.21E+02</w:t>
            </w:r>
          </w:p>
        </w:tc>
      </w:tr>
      <w:tr w14:paraId="3974E3DB">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2F97DDAD">
            <w:pPr>
              <w:pStyle w:val="3361"/>
              <w:rPr>
                <w:rFonts w:hint="eastAsia"/>
                <w:color w:val="auto"/>
                <w:lang w:val="en-US" w:eastAsia="zh-CN"/>
              </w:rPr>
            </w:pPr>
            <w:r>
              <w:rPr>
                <w:rFonts w:hint="eastAsia"/>
                <w:color w:val="auto"/>
                <w:lang w:val="en-US" w:eastAsia="zh-CN"/>
              </w:rPr>
              <w:t>140</w:t>
            </w:r>
          </w:p>
        </w:tc>
        <w:tc>
          <w:tcPr>
            <w:tcW w:w="1378" w:type="dxa"/>
            <w:tcBorders>
              <w:top w:val="nil"/>
              <w:left w:val="nil"/>
              <w:bottom w:val="single" w:color="auto" w:sz="4" w:space="0"/>
              <w:right w:val="single" w:color="auto" w:sz="4" w:space="0"/>
            </w:tcBorders>
            <w:shd w:val="clear" w:color="auto" w:fill="auto"/>
            <w:noWrap/>
            <w:vAlign w:val="bottom"/>
          </w:tcPr>
          <w:p w14:paraId="49A3C033">
            <w:pPr>
              <w:pStyle w:val="3361"/>
              <w:rPr>
                <w:rFonts w:hint="eastAsia"/>
                <w:color w:val="auto"/>
                <w:lang w:val="en-US" w:eastAsia="zh-CN"/>
              </w:rPr>
            </w:pPr>
            <w:r>
              <w:rPr>
                <w:rFonts w:hint="eastAsia"/>
                <w:color w:val="auto"/>
                <w:lang w:val="en-US" w:eastAsia="zh-CN"/>
              </w:rPr>
              <w:t>1.58E+01</w:t>
            </w:r>
          </w:p>
        </w:tc>
        <w:tc>
          <w:tcPr>
            <w:tcW w:w="1265" w:type="dxa"/>
            <w:tcBorders>
              <w:top w:val="nil"/>
              <w:left w:val="nil"/>
              <w:bottom w:val="single" w:color="auto" w:sz="4" w:space="0"/>
              <w:right w:val="single" w:color="auto" w:sz="4" w:space="0"/>
            </w:tcBorders>
            <w:shd w:val="clear" w:color="auto" w:fill="auto"/>
            <w:noWrap/>
            <w:vAlign w:val="bottom"/>
          </w:tcPr>
          <w:p w14:paraId="29CFE006">
            <w:pPr>
              <w:pStyle w:val="3361"/>
              <w:rPr>
                <w:rFonts w:hint="eastAsia"/>
                <w:color w:val="auto"/>
                <w:lang w:val="en-US" w:eastAsia="zh-CN"/>
              </w:rPr>
            </w:pPr>
            <w:r>
              <w:rPr>
                <w:rFonts w:hint="eastAsia"/>
                <w:color w:val="auto"/>
                <w:lang w:val="en-US" w:eastAsia="zh-CN"/>
              </w:rPr>
              <w:t>140</w:t>
            </w:r>
          </w:p>
        </w:tc>
        <w:tc>
          <w:tcPr>
            <w:tcW w:w="1926" w:type="dxa"/>
            <w:tcBorders>
              <w:top w:val="nil"/>
              <w:left w:val="nil"/>
              <w:bottom w:val="single" w:color="auto" w:sz="4" w:space="0"/>
              <w:right w:val="single" w:color="auto" w:sz="4" w:space="0"/>
            </w:tcBorders>
            <w:shd w:val="clear" w:color="auto" w:fill="auto"/>
            <w:noWrap/>
            <w:vAlign w:val="bottom"/>
          </w:tcPr>
          <w:p w14:paraId="5049A98C">
            <w:pPr>
              <w:pStyle w:val="3361"/>
              <w:rPr>
                <w:rFonts w:hint="eastAsia"/>
                <w:color w:val="auto"/>
                <w:lang w:val="en-US" w:eastAsia="zh-CN"/>
              </w:rPr>
            </w:pPr>
            <w:r>
              <w:rPr>
                <w:rFonts w:hint="eastAsia"/>
                <w:color w:val="auto"/>
                <w:lang w:val="en-US" w:eastAsia="zh-CN"/>
              </w:rPr>
              <w:t>5.98E+02</w:t>
            </w:r>
          </w:p>
        </w:tc>
        <w:tc>
          <w:tcPr>
            <w:tcW w:w="1159" w:type="dxa"/>
            <w:tcBorders>
              <w:top w:val="nil"/>
              <w:left w:val="nil"/>
              <w:bottom w:val="single" w:color="auto" w:sz="4" w:space="0"/>
              <w:right w:val="single" w:color="auto" w:sz="4" w:space="0"/>
            </w:tcBorders>
            <w:shd w:val="clear" w:color="auto" w:fill="auto"/>
            <w:noWrap/>
            <w:vAlign w:val="bottom"/>
          </w:tcPr>
          <w:p w14:paraId="3AD9A3C5">
            <w:pPr>
              <w:pStyle w:val="3361"/>
              <w:rPr>
                <w:rFonts w:hint="eastAsia"/>
                <w:color w:val="auto"/>
                <w:lang w:val="en-US" w:eastAsia="zh-CN"/>
              </w:rPr>
            </w:pPr>
            <w:r>
              <w:rPr>
                <w:rFonts w:hint="eastAsia"/>
                <w:color w:val="auto"/>
                <w:lang w:val="en-US" w:eastAsia="zh-CN"/>
              </w:rPr>
              <w:t>140</w:t>
            </w:r>
          </w:p>
        </w:tc>
        <w:tc>
          <w:tcPr>
            <w:tcW w:w="1777" w:type="dxa"/>
            <w:tcBorders>
              <w:top w:val="nil"/>
              <w:left w:val="nil"/>
              <w:bottom w:val="single" w:color="auto" w:sz="4" w:space="0"/>
              <w:right w:val="single" w:color="auto" w:sz="4" w:space="0"/>
            </w:tcBorders>
            <w:shd w:val="clear" w:color="auto" w:fill="auto"/>
            <w:noWrap/>
            <w:vAlign w:val="bottom"/>
          </w:tcPr>
          <w:p w14:paraId="4E0EAC6F">
            <w:pPr>
              <w:pStyle w:val="3361"/>
              <w:rPr>
                <w:rFonts w:hint="eastAsia"/>
                <w:color w:val="auto"/>
                <w:lang w:val="en-US" w:eastAsia="zh-CN"/>
              </w:rPr>
            </w:pPr>
            <w:r>
              <w:rPr>
                <w:rFonts w:hint="eastAsia"/>
                <w:color w:val="auto"/>
                <w:lang w:val="en-US" w:eastAsia="zh-CN"/>
              </w:rPr>
              <w:t>9.39E+02</w:t>
            </w:r>
          </w:p>
        </w:tc>
      </w:tr>
      <w:tr w14:paraId="49D56A73">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174B36FF">
            <w:pPr>
              <w:pStyle w:val="3361"/>
              <w:rPr>
                <w:rFonts w:hint="eastAsia"/>
                <w:color w:val="auto"/>
                <w:lang w:val="en-US" w:eastAsia="zh-CN"/>
              </w:rPr>
            </w:pPr>
            <w:r>
              <w:rPr>
                <w:rFonts w:hint="eastAsia"/>
                <w:color w:val="auto"/>
                <w:lang w:val="en-US" w:eastAsia="zh-CN"/>
              </w:rPr>
              <w:t>145</w:t>
            </w:r>
          </w:p>
        </w:tc>
        <w:tc>
          <w:tcPr>
            <w:tcW w:w="1378" w:type="dxa"/>
            <w:tcBorders>
              <w:top w:val="nil"/>
              <w:left w:val="nil"/>
              <w:bottom w:val="single" w:color="auto" w:sz="4" w:space="0"/>
              <w:right w:val="single" w:color="auto" w:sz="4" w:space="0"/>
            </w:tcBorders>
            <w:shd w:val="clear" w:color="auto" w:fill="auto"/>
            <w:noWrap/>
            <w:vAlign w:val="bottom"/>
          </w:tcPr>
          <w:p w14:paraId="5CD6F5D4">
            <w:pPr>
              <w:pStyle w:val="3361"/>
              <w:rPr>
                <w:rFonts w:hint="eastAsia"/>
                <w:color w:val="auto"/>
                <w:lang w:val="en-US" w:eastAsia="zh-CN"/>
              </w:rPr>
            </w:pPr>
            <w:r>
              <w:rPr>
                <w:rFonts w:hint="eastAsia"/>
                <w:color w:val="auto"/>
                <w:lang w:val="en-US" w:eastAsia="zh-CN"/>
              </w:rPr>
              <w:t>1.58E+01</w:t>
            </w:r>
          </w:p>
        </w:tc>
        <w:tc>
          <w:tcPr>
            <w:tcW w:w="1265" w:type="dxa"/>
            <w:tcBorders>
              <w:top w:val="nil"/>
              <w:left w:val="nil"/>
              <w:bottom w:val="single" w:color="auto" w:sz="4" w:space="0"/>
              <w:right w:val="single" w:color="auto" w:sz="4" w:space="0"/>
            </w:tcBorders>
            <w:shd w:val="clear" w:color="auto" w:fill="auto"/>
            <w:noWrap/>
            <w:vAlign w:val="bottom"/>
          </w:tcPr>
          <w:p w14:paraId="07A180A8">
            <w:pPr>
              <w:pStyle w:val="3361"/>
              <w:rPr>
                <w:rFonts w:hint="eastAsia"/>
                <w:color w:val="auto"/>
                <w:lang w:val="en-US" w:eastAsia="zh-CN"/>
              </w:rPr>
            </w:pPr>
            <w:r>
              <w:rPr>
                <w:rFonts w:hint="eastAsia"/>
                <w:color w:val="auto"/>
                <w:lang w:val="en-US" w:eastAsia="zh-CN"/>
              </w:rPr>
              <w:t>145</w:t>
            </w:r>
          </w:p>
        </w:tc>
        <w:tc>
          <w:tcPr>
            <w:tcW w:w="1926" w:type="dxa"/>
            <w:tcBorders>
              <w:top w:val="nil"/>
              <w:left w:val="nil"/>
              <w:bottom w:val="single" w:color="auto" w:sz="4" w:space="0"/>
              <w:right w:val="single" w:color="auto" w:sz="4" w:space="0"/>
            </w:tcBorders>
            <w:shd w:val="clear" w:color="auto" w:fill="auto"/>
            <w:noWrap/>
            <w:vAlign w:val="bottom"/>
          </w:tcPr>
          <w:p w14:paraId="4711C6D9">
            <w:pPr>
              <w:pStyle w:val="3361"/>
              <w:rPr>
                <w:rFonts w:hint="eastAsia"/>
                <w:color w:val="auto"/>
                <w:lang w:val="en-US" w:eastAsia="zh-CN"/>
              </w:rPr>
            </w:pPr>
            <w:r>
              <w:rPr>
                <w:rFonts w:hint="eastAsia"/>
                <w:color w:val="auto"/>
                <w:lang w:val="en-US" w:eastAsia="zh-CN"/>
              </w:rPr>
              <w:t>5.06E+02</w:t>
            </w:r>
          </w:p>
        </w:tc>
        <w:tc>
          <w:tcPr>
            <w:tcW w:w="1159" w:type="dxa"/>
            <w:tcBorders>
              <w:top w:val="nil"/>
              <w:left w:val="nil"/>
              <w:bottom w:val="single" w:color="auto" w:sz="4" w:space="0"/>
              <w:right w:val="single" w:color="auto" w:sz="4" w:space="0"/>
            </w:tcBorders>
            <w:shd w:val="clear" w:color="auto" w:fill="auto"/>
            <w:noWrap/>
            <w:vAlign w:val="bottom"/>
          </w:tcPr>
          <w:p w14:paraId="4E6D39F9">
            <w:pPr>
              <w:pStyle w:val="3361"/>
              <w:rPr>
                <w:rFonts w:hint="eastAsia"/>
                <w:color w:val="auto"/>
                <w:lang w:val="en-US" w:eastAsia="zh-CN"/>
              </w:rPr>
            </w:pPr>
            <w:r>
              <w:rPr>
                <w:rFonts w:hint="eastAsia"/>
                <w:color w:val="auto"/>
                <w:lang w:val="en-US" w:eastAsia="zh-CN"/>
              </w:rPr>
              <w:t>145</w:t>
            </w:r>
          </w:p>
        </w:tc>
        <w:tc>
          <w:tcPr>
            <w:tcW w:w="1777" w:type="dxa"/>
            <w:tcBorders>
              <w:top w:val="nil"/>
              <w:left w:val="nil"/>
              <w:bottom w:val="single" w:color="auto" w:sz="4" w:space="0"/>
              <w:right w:val="single" w:color="auto" w:sz="4" w:space="0"/>
            </w:tcBorders>
            <w:shd w:val="clear" w:color="auto" w:fill="auto"/>
            <w:noWrap/>
            <w:vAlign w:val="bottom"/>
          </w:tcPr>
          <w:p w14:paraId="6DFDC981">
            <w:pPr>
              <w:pStyle w:val="3361"/>
              <w:rPr>
                <w:rFonts w:hint="eastAsia"/>
                <w:color w:val="auto"/>
                <w:lang w:val="en-US" w:eastAsia="zh-CN"/>
              </w:rPr>
            </w:pPr>
            <w:r>
              <w:rPr>
                <w:rFonts w:hint="eastAsia"/>
                <w:color w:val="auto"/>
                <w:lang w:val="en-US" w:eastAsia="zh-CN"/>
              </w:rPr>
              <w:t>9.55E+02</w:t>
            </w:r>
          </w:p>
        </w:tc>
      </w:tr>
      <w:tr w14:paraId="3E177E4E">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446C5D7E">
            <w:pPr>
              <w:pStyle w:val="3361"/>
              <w:rPr>
                <w:rFonts w:hint="eastAsia"/>
                <w:color w:val="auto"/>
                <w:lang w:val="en-US" w:eastAsia="zh-CN"/>
              </w:rPr>
            </w:pPr>
            <w:r>
              <w:rPr>
                <w:rFonts w:hint="eastAsia"/>
                <w:color w:val="auto"/>
                <w:lang w:val="en-US" w:eastAsia="zh-CN"/>
              </w:rPr>
              <w:t>150（长江）</w:t>
            </w:r>
          </w:p>
        </w:tc>
        <w:tc>
          <w:tcPr>
            <w:tcW w:w="1378" w:type="dxa"/>
            <w:tcBorders>
              <w:top w:val="nil"/>
              <w:left w:val="nil"/>
              <w:bottom w:val="single" w:color="auto" w:sz="4" w:space="0"/>
              <w:right w:val="single" w:color="auto" w:sz="4" w:space="0"/>
            </w:tcBorders>
            <w:shd w:val="clear" w:color="auto" w:fill="auto"/>
            <w:noWrap/>
            <w:vAlign w:val="bottom"/>
          </w:tcPr>
          <w:p w14:paraId="0C15928A">
            <w:pPr>
              <w:pStyle w:val="3361"/>
              <w:rPr>
                <w:rFonts w:hint="eastAsia"/>
                <w:color w:val="auto"/>
                <w:lang w:val="en-US" w:eastAsia="zh-CN"/>
              </w:rPr>
            </w:pPr>
            <w:r>
              <w:rPr>
                <w:rFonts w:hint="eastAsia"/>
                <w:color w:val="auto"/>
                <w:lang w:val="en-US" w:eastAsia="zh-CN"/>
              </w:rPr>
              <w:t>1.58E+01</w:t>
            </w:r>
          </w:p>
        </w:tc>
        <w:tc>
          <w:tcPr>
            <w:tcW w:w="1265" w:type="dxa"/>
            <w:tcBorders>
              <w:top w:val="nil"/>
              <w:left w:val="nil"/>
              <w:bottom w:val="single" w:color="auto" w:sz="4" w:space="0"/>
              <w:right w:val="single" w:color="auto" w:sz="4" w:space="0"/>
            </w:tcBorders>
            <w:shd w:val="clear" w:color="auto" w:fill="auto"/>
            <w:noWrap/>
            <w:vAlign w:val="bottom"/>
          </w:tcPr>
          <w:p w14:paraId="00FDE48C">
            <w:pPr>
              <w:pStyle w:val="3361"/>
              <w:rPr>
                <w:rFonts w:hint="eastAsia"/>
                <w:color w:val="auto"/>
                <w:lang w:val="en-US" w:eastAsia="zh-CN"/>
              </w:rPr>
            </w:pPr>
            <w:r>
              <w:rPr>
                <w:rFonts w:hint="eastAsia"/>
                <w:color w:val="auto"/>
                <w:lang w:val="en-US" w:eastAsia="zh-CN"/>
              </w:rPr>
              <w:t>150（长江）</w:t>
            </w:r>
          </w:p>
        </w:tc>
        <w:tc>
          <w:tcPr>
            <w:tcW w:w="1926" w:type="dxa"/>
            <w:tcBorders>
              <w:top w:val="nil"/>
              <w:left w:val="nil"/>
              <w:bottom w:val="single" w:color="auto" w:sz="4" w:space="0"/>
              <w:right w:val="single" w:color="auto" w:sz="4" w:space="0"/>
            </w:tcBorders>
            <w:shd w:val="clear" w:color="auto" w:fill="auto"/>
            <w:noWrap/>
            <w:vAlign w:val="bottom"/>
          </w:tcPr>
          <w:p w14:paraId="2BC6D17E">
            <w:pPr>
              <w:pStyle w:val="3361"/>
              <w:rPr>
                <w:rFonts w:hint="eastAsia"/>
                <w:color w:val="auto"/>
                <w:lang w:val="en-US" w:eastAsia="zh-CN"/>
              </w:rPr>
            </w:pPr>
            <w:r>
              <w:rPr>
                <w:rFonts w:hint="eastAsia"/>
                <w:color w:val="auto"/>
                <w:lang w:val="en-US" w:eastAsia="zh-CN"/>
              </w:rPr>
              <w:t>4.25E+02</w:t>
            </w:r>
          </w:p>
        </w:tc>
        <w:tc>
          <w:tcPr>
            <w:tcW w:w="1159" w:type="dxa"/>
            <w:tcBorders>
              <w:top w:val="nil"/>
              <w:left w:val="nil"/>
              <w:bottom w:val="single" w:color="auto" w:sz="4" w:space="0"/>
              <w:right w:val="single" w:color="auto" w:sz="4" w:space="0"/>
            </w:tcBorders>
            <w:shd w:val="clear" w:color="auto" w:fill="auto"/>
            <w:noWrap/>
            <w:vAlign w:val="bottom"/>
          </w:tcPr>
          <w:p w14:paraId="27821A6F">
            <w:pPr>
              <w:pStyle w:val="3361"/>
              <w:rPr>
                <w:rFonts w:hint="eastAsia"/>
                <w:color w:val="auto"/>
                <w:lang w:val="en-US" w:eastAsia="zh-CN"/>
              </w:rPr>
            </w:pPr>
            <w:r>
              <w:rPr>
                <w:rFonts w:hint="eastAsia"/>
                <w:color w:val="auto"/>
                <w:lang w:val="en-US" w:eastAsia="zh-CN"/>
              </w:rPr>
              <w:t>150（长江）</w:t>
            </w:r>
          </w:p>
        </w:tc>
        <w:tc>
          <w:tcPr>
            <w:tcW w:w="1777" w:type="dxa"/>
            <w:tcBorders>
              <w:top w:val="nil"/>
              <w:left w:val="nil"/>
              <w:bottom w:val="single" w:color="auto" w:sz="4" w:space="0"/>
              <w:right w:val="single" w:color="auto" w:sz="4" w:space="0"/>
            </w:tcBorders>
            <w:shd w:val="clear" w:color="auto" w:fill="auto"/>
            <w:noWrap/>
            <w:vAlign w:val="bottom"/>
          </w:tcPr>
          <w:p w14:paraId="41D04294">
            <w:pPr>
              <w:pStyle w:val="3361"/>
              <w:rPr>
                <w:rFonts w:hint="eastAsia"/>
                <w:color w:val="auto"/>
                <w:lang w:val="en-US" w:eastAsia="zh-CN"/>
              </w:rPr>
            </w:pPr>
            <w:r>
              <w:rPr>
                <w:rFonts w:hint="eastAsia"/>
                <w:color w:val="auto"/>
                <w:lang w:val="en-US" w:eastAsia="zh-CN"/>
              </w:rPr>
              <w:t>9.69E+02</w:t>
            </w:r>
          </w:p>
        </w:tc>
      </w:tr>
      <w:tr w14:paraId="09648F55">
        <w:tblPrEx>
          <w:tblCellMar>
            <w:top w:w="0" w:type="dxa"/>
            <w:left w:w="108" w:type="dxa"/>
            <w:bottom w:w="0" w:type="dxa"/>
            <w:right w:w="108" w:type="dxa"/>
          </w:tblCellMar>
        </w:tblPrEx>
        <w:trPr>
          <w:trHeight w:val="270" w:hRule="atLeast"/>
        </w:trPr>
        <w:tc>
          <w:tcPr>
            <w:tcW w:w="9060"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14:paraId="25B72299">
            <w:pPr>
              <w:pStyle w:val="3361"/>
              <w:rPr>
                <w:rFonts w:hint="eastAsia"/>
                <w:color w:val="auto"/>
                <w:lang w:val="en-US" w:eastAsia="zh-CN"/>
              </w:rPr>
            </w:pPr>
            <w:r>
              <w:rPr>
                <w:rFonts w:hint="eastAsia"/>
                <w:color w:val="auto"/>
                <w:lang w:val="en-US" w:eastAsia="zh-CN"/>
              </w:rPr>
              <w:t>预测最远超标距离（m）</w:t>
            </w:r>
          </w:p>
        </w:tc>
      </w:tr>
      <w:tr w14:paraId="4BB3B16E">
        <w:tblPrEx>
          <w:tblCellMar>
            <w:top w:w="0" w:type="dxa"/>
            <w:left w:w="108" w:type="dxa"/>
            <w:bottom w:w="0" w:type="dxa"/>
            <w:right w:w="108" w:type="dxa"/>
          </w:tblCellMar>
        </w:tblPrEx>
        <w:trPr>
          <w:trHeight w:val="300" w:hRule="atLeast"/>
        </w:trPr>
        <w:tc>
          <w:tcPr>
            <w:tcW w:w="1555" w:type="dxa"/>
            <w:tcBorders>
              <w:top w:val="nil"/>
              <w:left w:val="single" w:color="auto" w:sz="4" w:space="0"/>
              <w:bottom w:val="single" w:color="auto" w:sz="4" w:space="0"/>
              <w:right w:val="single" w:color="auto" w:sz="4" w:space="0"/>
            </w:tcBorders>
            <w:shd w:val="clear" w:color="auto" w:fill="auto"/>
            <w:noWrap/>
            <w:vAlign w:val="center"/>
          </w:tcPr>
          <w:p w14:paraId="106D796F">
            <w:pPr>
              <w:pStyle w:val="3361"/>
              <w:rPr>
                <w:rFonts w:hint="eastAsia"/>
                <w:color w:val="auto"/>
                <w:lang w:val="en-US" w:eastAsia="zh-CN"/>
              </w:rPr>
            </w:pPr>
            <w:r>
              <w:rPr>
                <w:rFonts w:hint="default"/>
                <w:color w:val="auto"/>
                <w:lang w:val="en-US" w:eastAsia="zh-CN"/>
              </w:rPr>
              <w:t>100d</w:t>
            </w:r>
          </w:p>
        </w:tc>
        <w:tc>
          <w:tcPr>
            <w:tcW w:w="1378" w:type="dxa"/>
            <w:tcBorders>
              <w:top w:val="nil"/>
              <w:left w:val="nil"/>
              <w:bottom w:val="single" w:color="auto" w:sz="4" w:space="0"/>
              <w:right w:val="single" w:color="auto" w:sz="4" w:space="0"/>
            </w:tcBorders>
            <w:shd w:val="clear" w:color="auto" w:fill="auto"/>
            <w:noWrap/>
            <w:vAlign w:val="center"/>
          </w:tcPr>
          <w:p w14:paraId="0DFE970D">
            <w:pPr>
              <w:pStyle w:val="3361"/>
              <w:rPr>
                <w:rFonts w:hint="default"/>
                <w:color w:val="auto"/>
                <w:lang w:val="en-US" w:eastAsia="zh-CN"/>
              </w:rPr>
            </w:pPr>
            <w:r>
              <w:rPr>
                <w:rFonts w:hint="eastAsia"/>
                <w:color w:val="auto"/>
                <w:lang w:val="en-US" w:eastAsia="zh-CN"/>
              </w:rPr>
              <w:t>47</w:t>
            </w:r>
          </w:p>
        </w:tc>
        <w:tc>
          <w:tcPr>
            <w:tcW w:w="1265" w:type="dxa"/>
            <w:tcBorders>
              <w:top w:val="nil"/>
              <w:left w:val="nil"/>
              <w:bottom w:val="single" w:color="auto" w:sz="4" w:space="0"/>
              <w:right w:val="single" w:color="auto" w:sz="4" w:space="0"/>
            </w:tcBorders>
            <w:shd w:val="clear" w:color="auto" w:fill="auto"/>
            <w:noWrap/>
            <w:vAlign w:val="center"/>
          </w:tcPr>
          <w:p w14:paraId="3E479C23">
            <w:pPr>
              <w:pStyle w:val="3361"/>
              <w:rPr>
                <w:rFonts w:hint="eastAsia"/>
                <w:color w:val="auto"/>
                <w:lang w:val="en-US" w:eastAsia="zh-CN"/>
              </w:rPr>
            </w:pPr>
            <w:r>
              <w:rPr>
                <w:rFonts w:hint="default"/>
                <w:color w:val="auto"/>
                <w:lang w:val="en-US" w:eastAsia="zh-CN"/>
              </w:rPr>
              <w:t>1000d</w:t>
            </w:r>
          </w:p>
        </w:tc>
        <w:tc>
          <w:tcPr>
            <w:tcW w:w="1926" w:type="dxa"/>
            <w:tcBorders>
              <w:top w:val="nil"/>
              <w:left w:val="nil"/>
              <w:bottom w:val="single" w:color="auto" w:sz="4" w:space="0"/>
              <w:right w:val="single" w:color="auto" w:sz="4" w:space="0"/>
            </w:tcBorders>
            <w:shd w:val="clear" w:color="auto" w:fill="auto"/>
            <w:noWrap/>
            <w:vAlign w:val="center"/>
          </w:tcPr>
          <w:p w14:paraId="620612C1">
            <w:pPr>
              <w:pStyle w:val="3361"/>
              <w:rPr>
                <w:rFonts w:hint="default"/>
                <w:color w:val="auto"/>
                <w:lang w:val="en-US" w:eastAsia="zh-CN"/>
              </w:rPr>
            </w:pPr>
            <w:r>
              <w:rPr>
                <w:rFonts w:hint="eastAsia"/>
                <w:color w:val="auto"/>
                <w:lang w:val="en-US" w:eastAsia="zh-CN"/>
              </w:rPr>
              <w:t>162</w:t>
            </w:r>
          </w:p>
        </w:tc>
        <w:tc>
          <w:tcPr>
            <w:tcW w:w="1159" w:type="dxa"/>
            <w:tcBorders>
              <w:top w:val="nil"/>
              <w:left w:val="nil"/>
              <w:bottom w:val="single" w:color="auto" w:sz="4" w:space="0"/>
              <w:right w:val="single" w:color="auto" w:sz="4" w:space="0"/>
            </w:tcBorders>
            <w:shd w:val="clear" w:color="auto" w:fill="auto"/>
            <w:noWrap/>
            <w:vAlign w:val="center"/>
          </w:tcPr>
          <w:p w14:paraId="4CF3479D">
            <w:pPr>
              <w:pStyle w:val="3361"/>
              <w:rPr>
                <w:rFonts w:hint="eastAsia"/>
                <w:color w:val="auto"/>
                <w:lang w:val="en-US" w:eastAsia="zh-CN"/>
              </w:rPr>
            </w:pPr>
            <w:r>
              <w:rPr>
                <w:rFonts w:hint="default"/>
                <w:color w:val="auto"/>
                <w:lang w:val="en-US" w:eastAsia="zh-CN"/>
              </w:rPr>
              <w:t>10</w:t>
            </w:r>
            <w:r>
              <w:rPr>
                <w:rFonts w:hint="eastAsia"/>
                <w:color w:val="auto"/>
                <w:lang w:val="en-US" w:eastAsia="zh-CN"/>
              </w:rPr>
              <w:t>年</w:t>
            </w:r>
          </w:p>
        </w:tc>
        <w:tc>
          <w:tcPr>
            <w:tcW w:w="1777" w:type="dxa"/>
            <w:tcBorders>
              <w:top w:val="nil"/>
              <w:left w:val="nil"/>
              <w:bottom w:val="single" w:color="auto" w:sz="4" w:space="0"/>
              <w:right w:val="single" w:color="auto" w:sz="4" w:space="0"/>
            </w:tcBorders>
            <w:shd w:val="clear" w:color="auto" w:fill="auto"/>
            <w:noWrap/>
            <w:vAlign w:val="center"/>
          </w:tcPr>
          <w:p w14:paraId="0E585A15">
            <w:pPr>
              <w:pStyle w:val="3361"/>
              <w:rPr>
                <w:rFonts w:hint="default"/>
                <w:color w:val="auto"/>
                <w:lang w:val="en-US" w:eastAsia="zh-CN"/>
              </w:rPr>
            </w:pPr>
            <w:r>
              <w:rPr>
                <w:rFonts w:hint="eastAsia"/>
                <w:color w:val="auto"/>
                <w:lang w:val="en-US" w:eastAsia="zh-CN"/>
              </w:rPr>
              <w:t>343</w:t>
            </w:r>
          </w:p>
        </w:tc>
      </w:tr>
    </w:tbl>
    <w:p w14:paraId="6CEE9F37">
      <w:pPr>
        <w:pStyle w:val="1983"/>
        <w:rPr>
          <w:color w:val="auto"/>
        </w:rPr>
      </w:pPr>
    </w:p>
    <w:p w14:paraId="3BF1E882">
      <w:pPr>
        <w:pStyle w:val="1983"/>
        <w:spacing w:line="240" w:lineRule="auto"/>
        <w:rPr>
          <w:color w:val="auto"/>
        </w:rPr>
      </w:pPr>
      <w:r>
        <w:rPr>
          <w:color w:val="auto"/>
        </w:rPr>
        <w:drawing>
          <wp:inline distT="0" distB="0" distL="114300" distR="114300">
            <wp:extent cx="3691890" cy="1916430"/>
            <wp:effectExtent l="4445" t="4445" r="18415" b="22225"/>
            <wp:docPr id="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Pr>
          <w:color w:val="auto"/>
        </w:rPr>
        <w:drawing>
          <wp:inline distT="0" distB="0" distL="114300" distR="114300">
            <wp:extent cx="3659505" cy="2273935"/>
            <wp:effectExtent l="4445" t="4445" r="12700" b="7620"/>
            <wp:docPr id="10"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Pr>
          <w:color w:val="auto"/>
        </w:rPr>
        <w:drawing>
          <wp:inline distT="0" distB="0" distL="114300" distR="114300">
            <wp:extent cx="3659505" cy="1987550"/>
            <wp:effectExtent l="4445" t="4445" r="12700" b="8255"/>
            <wp:docPr id="1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DD6B7A1">
      <w:pPr>
        <w:pStyle w:val="1983"/>
        <w:rPr>
          <w:color w:val="auto"/>
        </w:rPr>
      </w:pPr>
      <w:r>
        <w:rPr>
          <w:rFonts w:hint="eastAsia"/>
          <w:color w:val="auto"/>
        </w:rPr>
        <w:t>图</w:t>
      </w:r>
      <w:r>
        <w:rPr>
          <w:color w:val="auto"/>
        </w:rPr>
        <w:t xml:space="preserve">5.3-4 </w:t>
      </w:r>
      <w:r>
        <w:rPr>
          <w:rFonts w:hint="eastAsia"/>
          <w:color w:val="auto"/>
        </w:rPr>
        <w:t>泄漏的氯化物对地下水下游</w:t>
      </w:r>
      <w:r>
        <w:rPr>
          <w:color w:val="auto"/>
        </w:rPr>
        <w:t>影响预测</w:t>
      </w:r>
      <w:r>
        <w:rPr>
          <w:rFonts w:hint="eastAsia"/>
          <w:color w:val="auto"/>
        </w:rPr>
        <w:t>图</w:t>
      </w:r>
    </w:p>
    <w:p w14:paraId="3EEDDE9C">
      <w:pPr>
        <w:ind w:firstLine="480"/>
        <w:rPr>
          <w:color w:val="auto"/>
        </w:rPr>
      </w:pPr>
    </w:p>
    <w:p w14:paraId="434C8138">
      <w:pPr>
        <w:ind w:firstLine="480"/>
        <w:rPr>
          <w:color w:val="auto"/>
        </w:rPr>
      </w:pPr>
      <w:r>
        <w:rPr>
          <w:rFonts w:hint="eastAsia"/>
          <w:color w:val="auto"/>
        </w:rPr>
        <w:t>预测结果表明，当废水处理站调节池发生泄漏，进入地下水含水层，主要污染物氯化物在地下水含水层的迁移速度比较缓慢并且随着时间推移下游污染物浓度逐渐升高，运动方向根据水文地质图为泄漏点</w:t>
      </w:r>
      <w:r>
        <w:rPr>
          <w:rFonts w:hint="eastAsia"/>
          <w:color w:val="auto"/>
          <w:lang w:eastAsia="zh-CN"/>
        </w:rPr>
        <w:t>西</w:t>
      </w:r>
      <w:r>
        <w:rPr>
          <w:rFonts w:hint="eastAsia"/>
          <w:color w:val="auto"/>
        </w:rPr>
        <w:t>迁移。</w:t>
      </w:r>
      <w:r>
        <w:rPr>
          <w:color w:val="auto"/>
        </w:rPr>
        <w:t>泄漏发生100天时</w:t>
      </w:r>
      <w:r>
        <w:rPr>
          <w:rFonts w:hint="eastAsia"/>
          <w:color w:val="auto"/>
        </w:rPr>
        <w:t>，</w:t>
      </w:r>
      <w:r>
        <w:rPr>
          <w:color w:val="auto"/>
        </w:rPr>
        <w:t>预测超标距离最远为</w:t>
      </w:r>
      <w:r>
        <w:rPr>
          <w:rFonts w:hint="eastAsia"/>
          <w:color w:val="auto"/>
          <w:lang w:val="en-US" w:eastAsia="zh-CN"/>
        </w:rPr>
        <w:t>47</w:t>
      </w:r>
      <w:r>
        <w:rPr>
          <w:color w:val="auto"/>
        </w:rPr>
        <w:t>m</w:t>
      </w:r>
      <w:r>
        <w:rPr>
          <w:rFonts w:hint="eastAsia"/>
          <w:color w:val="auto"/>
        </w:rPr>
        <w:t>，</w:t>
      </w:r>
      <w:r>
        <w:rPr>
          <w:color w:val="auto"/>
        </w:rPr>
        <w:t>不会对</w:t>
      </w:r>
      <w:r>
        <w:rPr>
          <w:rFonts w:hint="eastAsia"/>
          <w:color w:val="auto"/>
          <w:lang w:eastAsia="zh-CN"/>
        </w:rPr>
        <w:t>长江</w:t>
      </w:r>
      <w:r>
        <w:rPr>
          <w:color w:val="auto"/>
        </w:rPr>
        <w:t>造成超标影响</w:t>
      </w:r>
      <w:r>
        <w:rPr>
          <w:rFonts w:hint="eastAsia"/>
          <w:color w:val="auto"/>
          <w:lang w:eastAsia="zh-CN"/>
        </w:rPr>
        <w:t>。</w:t>
      </w:r>
      <w:r>
        <w:rPr>
          <w:color w:val="auto"/>
        </w:rPr>
        <w:t>泄漏发生1000</w:t>
      </w:r>
      <w:r>
        <w:rPr>
          <w:rFonts w:hint="eastAsia"/>
          <w:color w:val="auto"/>
        </w:rPr>
        <w:t>天</w:t>
      </w:r>
      <w:r>
        <w:rPr>
          <w:color w:val="auto"/>
        </w:rPr>
        <w:t>时</w:t>
      </w:r>
      <w:r>
        <w:rPr>
          <w:rFonts w:hint="eastAsia"/>
          <w:color w:val="auto"/>
        </w:rPr>
        <w:t>，</w:t>
      </w:r>
      <w:r>
        <w:rPr>
          <w:color w:val="auto"/>
        </w:rPr>
        <w:t>预测超标距离最远为</w:t>
      </w:r>
      <w:r>
        <w:rPr>
          <w:rFonts w:hint="eastAsia"/>
          <w:color w:val="auto"/>
          <w:lang w:val="en-US" w:eastAsia="zh-CN"/>
        </w:rPr>
        <w:t>162</w:t>
      </w:r>
      <w:r>
        <w:rPr>
          <w:color w:val="auto"/>
        </w:rPr>
        <w:t>m</w:t>
      </w:r>
      <w:r>
        <w:rPr>
          <w:rFonts w:hint="eastAsia"/>
          <w:color w:val="auto"/>
        </w:rPr>
        <w:t>，</w:t>
      </w:r>
      <w:r>
        <w:rPr>
          <w:color w:val="auto"/>
        </w:rPr>
        <w:t>泄漏发生3650天</w:t>
      </w:r>
      <w:r>
        <w:rPr>
          <w:rFonts w:hint="eastAsia"/>
          <w:color w:val="auto"/>
        </w:rPr>
        <w:t>后</w:t>
      </w:r>
      <w:r>
        <w:rPr>
          <w:color w:val="auto"/>
        </w:rPr>
        <w:t>，预测超标距离最远为</w:t>
      </w:r>
      <w:r>
        <w:rPr>
          <w:rFonts w:hint="eastAsia"/>
          <w:color w:val="auto"/>
          <w:lang w:val="en-US" w:eastAsia="zh-CN"/>
        </w:rPr>
        <w:t>343</w:t>
      </w:r>
      <w:r>
        <w:rPr>
          <w:color w:val="auto"/>
        </w:rPr>
        <w:t>m，</w:t>
      </w:r>
      <w:r>
        <w:rPr>
          <w:rFonts w:hint="eastAsia"/>
          <w:color w:val="auto"/>
          <w:lang w:eastAsia="zh-CN"/>
        </w:rPr>
        <w:t>泄漏已经到达长江，</w:t>
      </w:r>
      <w:r>
        <w:rPr>
          <w:color w:val="auto"/>
        </w:rPr>
        <w:t>对</w:t>
      </w:r>
      <w:r>
        <w:rPr>
          <w:rFonts w:hint="eastAsia"/>
          <w:color w:val="auto"/>
          <w:lang w:eastAsia="zh-CN"/>
        </w:rPr>
        <w:t>长江会</w:t>
      </w:r>
      <w:r>
        <w:rPr>
          <w:color w:val="auto"/>
        </w:rPr>
        <w:t>造成</w:t>
      </w:r>
      <w:r>
        <w:rPr>
          <w:rFonts w:hint="eastAsia"/>
          <w:color w:val="auto"/>
          <w:lang w:eastAsia="zh-CN"/>
        </w:rPr>
        <w:t>一定</w:t>
      </w:r>
      <w:r>
        <w:rPr>
          <w:color w:val="auto"/>
        </w:rPr>
        <w:t>影响</w:t>
      </w:r>
      <w:r>
        <w:rPr>
          <w:rFonts w:hint="eastAsia"/>
          <w:color w:val="auto"/>
        </w:rPr>
        <w:t>。项目定期开</w:t>
      </w:r>
      <w:r>
        <w:rPr>
          <w:rFonts w:hint="eastAsia"/>
          <w:color w:val="auto"/>
          <w:lang w:eastAsia="zh-CN"/>
        </w:rPr>
        <w:t>展地</w:t>
      </w:r>
      <w:r>
        <w:rPr>
          <w:rFonts w:hint="eastAsia"/>
          <w:color w:val="auto"/>
        </w:rPr>
        <w:t>下水环境跟踪监测，一旦发现异常，立即排查泄漏点，防止地下水对</w:t>
      </w:r>
      <w:r>
        <w:rPr>
          <w:rFonts w:hint="eastAsia"/>
          <w:color w:val="auto"/>
          <w:lang w:eastAsia="zh-CN"/>
        </w:rPr>
        <w:t>长江</w:t>
      </w:r>
      <w:r>
        <w:rPr>
          <w:rFonts w:hint="eastAsia"/>
          <w:color w:val="auto"/>
        </w:rPr>
        <w:t>产生影响。</w:t>
      </w:r>
    </w:p>
    <w:p w14:paraId="3809144C">
      <w:pPr>
        <w:ind w:firstLine="480"/>
        <w:rPr>
          <w:color w:val="auto"/>
        </w:rPr>
      </w:pPr>
      <w:r>
        <w:rPr>
          <w:color w:val="auto"/>
        </w:rPr>
        <w:t>（3）事故状况下</w:t>
      </w:r>
      <w:r>
        <w:rPr>
          <w:rFonts w:hint="eastAsia"/>
          <w:color w:val="auto"/>
        </w:rPr>
        <w:t>废水处理站调节池泄</w:t>
      </w:r>
      <w:r>
        <w:rPr>
          <w:color w:val="auto"/>
        </w:rPr>
        <w:t>漏地下水</w:t>
      </w:r>
      <w:r>
        <w:rPr>
          <w:rFonts w:hint="eastAsia"/>
          <w:color w:val="auto"/>
        </w:rPr>
        <w:t>（石油类）</w:t>
      </w:r>
      <w:r>
        <w:rPr>
          <w:color w:val="auto"/>
        </w:rPr>
        <w:t>污染预测</w:t>
      </w:r>
    </w:p>
    <w:p w14:paraId="709EB056">
      <w:pPr>
        <w:ind w:firstLine="480"/>
        <w:rPr>
          <w:color w:val="auto"/>
        </w:rPr>
      </w:pPr>
      <w:r>
        <w:rPr>
          <w:rFonts w:hint="eastAsia"/>
          <w:color w:val="auto"/>
        </w:rPr>
        <w:t>本次评价分别预测泄漏后100天、</w:t>
      </w:r>
      <w:r>
        <w:rPr>
          <w:color w:val="auto"/>
        </w:rPr>
        <w:t>1000</w:t>
      </w:r>
      <w:r>
        <w:rPr>
          <w:rFonts w:hint="eastAsia"/>
          <w:color w:val="auto"/>
        </w:rPr>
        <w:t>天和3</w:t>
      </w:r>
      <w:r>
        <w:rPr>
          <w:color w:val="auto"/>
        </w:rPr>
        <w:t>650</w:t>
      </w:r>
      <w:r>
        <w:rPr>
          <w:rFonts w:hint="eastAsia"/>
          <w:color w:val="auto"/>
        </w:rPr>
        <w:t>天时，废水处理站调节池泄漏后石油类在地下水环境中的影响浓度值。非正常状况下</w:t>
      </w:r>
      <w:r>
        <w:rPr>
          <w:color w:val="auto"/>
        </w:rPr>
        <w:t>地下水污染预测结果见</w:t>
      </w:r>
      <w:r>
        <w:rPr>
          <w:rFonts w:hint="eastAsia"/>
          <w:color w:val="auto"/>
        </w:rPr>
        <w:t>表</w:t>
      </w:r>
      <w:r>
        <w:rPr>
          <w:color w:val="auto"/>
        </w:rPr>
        <w:t>6.3-5和</w:t>
      </w:r>
      <w:r>
        <w:rPr>
          <w:rFonts w:hint="eastAsia"/>
          <w:color w:val="auto"/>
        </w:rPr>
        <w:t>图</w:t>
      </w:r>
      <w:r>
        <w:rPr>
          <w:color w:val="auto"/>
        </w:rPr>
        <w:t>6.3-3。</w:t>
      </w:r>
    </w:p>
    <w:p w14:paraId="0A0F4B50">
      <w:pPr>
        <w:pStyle w:val="1983"/>
        <w:rPr>
          <w:color w:val="auto"/>
        </w:rPr>
      </w:pPr>
      <w:r>
        <w:rPr>
          <w:color w:val="auto"/>
        </w:rPr>
        <w:t>表6.3-5</w:t>
      </w:r>
      <w:r>
        <w:rPr>
          <w:rFonts w:hint="eastAsia"/>
          <w:color w:val="auto"/>
        </w:rPr>
        <w:t>非正常状况泄漏对地下水下游</w:t>
      </w:r>
      <w:r>
        <w:rPr>
          <w:color w:val="auto"/>
        </w:rPr>
        <w:t>影响预测结果表</w:t>
      </w:r>
      <w:r>
        <w:rPr>
          <w:rFonts w:hint="eastAsia"/>
          <w:color w:val="auto"/>
        </w:rPr>
        <w:t>（石油类）</w:t>
      </w:r>
    </w:p>
    <w:tbl>
      <w:tblPr>
        <w:tblStyle w:val="88"/>
        <w:tblW w:w="5000" w:type="pct"/>
        <w:tblInd w:w="0" w:type="dxa"/>
        <w:tblLayout w:type="autofit"/>
        <w:tblCellMar>
          <w:top w:w="0" w:type="dxa"/>
          <w:left w:w="108" w:type="dxa"/>
          <w:bottom w:w="0" w:type="dxa"/>
          <w:right w:w="108" w:type="dxa"/>
        </w:tblCellMar>
      </w:tblPr>
      <w:tblGrid>
        <w:gridCol w:w="1594"/>
        <w:gridCol w:w="1412"/>
        <w:gridCol w:w="1297"/>
        <w:gridCol w:w="1974"/>
        <w:gridCol w:w="1188"/>
        <w:gridCol w:w="1821"/>
      </w:tblGrid>
      <w:tr w14:paraId="5439BE20">
        <w:tblPrEx>
          <w:tblCellMar>
            <w:top w:w="0" w:type="dxa"/>
            <w:left w:w="108" w:type="dxa"/>
            <w:bottom w:w="0" w:type="dxa"/>
            <w:right w:w="108" w:type="dxa"/>
          </w:tblCellMar>
        </w:tblPrEx>
        <w:trPr>
          <w:trHeight w:val="270" w:hRule="atLeast"/>
        </w:trPr>
        <w:tc>
          <w:tcPr>
            <w:tcW w:w="293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1E394CDC">
            <w:pPr>
              <w:pStyle w:val="3361"/>
              <w:rPr>
                <w:color w:val="auto"/>
              </w:rPr>
            </w:pPr>
            <w:r>
              <w:rPr>
                <w:rFonts w:hint="eastAsia"/>
                <w:color w:val="auto"/>
              </w:rPr>
              <w:t>泄漏后100天</w:t>
            </w:r>
          </w:p>
        </w:tc>
        <w:tc>
          <w:tcPr>
            <w:tcW w:w="3191" w:type="dxa"/>
            <w:gridSpan w:val="2"/>
            <w:tcBorders>
              <w:top w:val="single" w:color="auto" w:sz="4" w:space="0"/>
              <w:left w:val="nil"/>
              <w:bottom w:val="single" w:color="auto" w:sz="4" w:space="0"/>
              <w:right w:val="single" w:color="auto" w:sz="4" w:space="0"/>
            </w:tcBorders>
            <w:shd w:val="clear" w:color="auto" w:fill="auto"/>
            <w:noWrap/>
            <w:vAlign w:val="center"/>
          </w:tcPr>
          <w:p w14:paraId="0C8DDF52">
            <w:pPr>
              <w:pStyle w:val="3361"/>
              <w:rPr>
                <w:color w:val="auto"/>
              </w:rPr>
            </w:pPr>
            <w:r>
              <w:rPr>
                <w:rFonts w:hint="eastAsia"/>
                <w:color w:val="auto"/>
              </w:rPr>
              <w:t>泄漏后1000天</w:t>
            </w:r>
          </w:p>
        </w:tc>
        <w:tc>
          <w:tcPr>
            <w:tcW w:w="2936" w:type="dxa"/>
            <w:gridSpan w:val="2"/>
            <w:tcBorders>
              <w:top w:val="single" w:color="auto" w:sz="4" w:space="0"/>
              <w:left w:val="nil"/>
              <w:bottom w:val="single" w:color="auto" w:sz="4" w:space="0"/>
              <w:right w:val="single" w:color="auto" w:sz="4" w:space="0"/>
            </w:tcBorders>
            <w:shd w:val="clear" w:color="auto" w:fill="auto"/>
            <w:noWrap/>
            <w:vAlign w:val="center"/>
          </w:tcPr>
          <w:p w14:paraId="369A3C96">
            <w:pPr>
              <w:pStyle w:val="3361"/>
              <w:rPr>
                <w:color w:val="auto"/>
              </w:rPr>
            </w:pPr>
            <w:r>
              <w:rPr>
                <w:rFonts w:hint="eastAsia"/>
                <w:color w:val="auto"/>
              </w:rPr>
              <w:t>泄漏后10年</w:t>
            </w:r>
          </w:p>
        </w:tc>
      </w:tr>
      <w:tr w14:paraId="102DAD4E">
        <w:tblPrEx>
          <w:tblCellMar>
            <w:top w:w="0" w:type="dxa"/>
            <w:left w:w="108" w:type="dxa"/>
            <w:bottom w:w="0" w:type="dxa"/>
            <w:right w:w="108" w:type="dxa"/>
          </w:tblCellMar>
        </w:tblPrEx>
        <w:trPr>
          <w:trHeight w:val="480" w:hRule="atLeast"/>
        </w:trPr>
        <w:tc>
          <w:tcPr>
            <w:tcW w:w="1555" w:type="dxa"/>
            <w:vMerge w:val="restart"/>
            <w:tcBorders>
              <w:top w:val="nil"/>
              <w:left w:val="single" w:color="auto" w:sz="4" w:space="0"/>
              <w:bottom w:val="single" w:color="auto" w:sz="4" w:space="0"/>
              <w:right w:val="single" w:color="auto" w:sz="4" w:space="0"/>
            </w:tcBorders>
            <w:shd w:val="clear" w:color="auto" w:fill="auto"/>
            <w:vAlign w:val="center"/>
          </w:tcPr>
          <w:p w14:paraId="40BECF78">
            <w:pPr>
              <w:pStyle w:val="3361"/>
              <w:rPr>
                <w:color w:val="auto"/>
              </w:rPr>
            </w:pPr>
            <w:r>
              <w:rPr>
                <w:rFonts w:hint="eastAsia"/>
                <w:color w:val="auto"/>
              </w:rPr>
              <w:t>下游距离（m）</w:t>
            </w:r>
          </w:p>
        </w:tc>
        <w:tc>
          <w:tcPr>
            <w:tcW w:w="1378" w:type="dxa"/>
            <w:vMerge w:val="restart"/>
            <w:tcBorders>
              <w:top w:val="nil"/>
              <w:left w:val="single" w:color="auto" w:sz="4" w:space="0"/>
              <w:bottom w:val="single" w:color="auto" w:sz="4" w:space="0"/>
              <w:right w:val="single" w:color="auto" w:sz="4" w:space="0"/>
            </w:tcBorders>
            <w:shd w:val="clear" w:color="auto" w:fill="auto"/>
            <w:noWrap/>
            <w:vAlign w:val="center"/>
          </w:tcPr>
          <w:p w14:paraId="79445DEA">
            <w:pPr>
              <w:pStyle w:val="3361"/>
              <w:rPr>
                <w:color w:val="auto"/>
              </w:rPr>
            </w:pPr>
            <w:r>
              <w:rPr>
                <w:rFonts w:hint="eastAsia"/>
                <w:color w:val="auto"/>
              </w:rPr>
              <w:t>浓度（mg/L）</w:t>
            </w:r>
          </w:p>
        </w:tc>
        <w:tc>
          <w:tcPr>
            <w:tcW w:w="1265" w:type="dxa"/>
            <w:vMerge w:val="restart"/>
            <w:tcBorders>
              <w:top w:val="nil"/>
              <w:left w:val="single" w:color="auto" w:sz="4" w:space="0"/>
              <w:bottom w:val="single" w:color="auto" w:sz="4" w:space="0"/>
              <w:right w:val="single" w:color="auto" w:sz="4" w:space="0"/>
            </w:tcBorders>
            <w:shd w:val="clear" w:color="auto" w:fill="auto"/>
            <w:vAlign w:val="center"/>
          </w:tcPr>
          <w:p w14:paraId="74E4F94A">
            <w:pPr>
              <w:pStyle w:val="3361"/>
              <w:rPr>
                <w:color w:val="auto"/>
              </w:rPr>
            </w:pPr>
            <w:r>
              <w:rPr>
                <w:rFonts w:hint="eastAsia"/>
                <w:color w:val="auto"/>
              </w:rPr>
              <w:t>下游距离（m）</w:t>
            </w:r>
          </w:p>
        </w:tc>
        <w:tc>
          <w:tcPr>
            <w:tcW w:w="1926" w:type="dxa"/>
            <w:vMerge w:val="restart"/>
            <w:tcBorders>
              <w:top w:val="nil"/>
              <w:left w:val="single" w:color="auto" w:sz="4" w:space="0"/>
              <w:bottom w:val="single" w:color="auto" w:sz="4" w:space="0"/>
              <w:right w:val="single" w:color="auto" w:sz="4" w:space="0"/>
            </w:tcBorders>
            <w:shd w:val="clear" w:color="auto" w:fill="auto"/>
            <w:noWrap/>
            <w:vAlign w:val="center"/>
          </w:tcPr>
          <w:p w14:paraId="499231A9">
            <w:pPr>
              <w:pStyle w:val="3361"/>
              <w:rPr>
                <w:color w:val="auto"/>
              </w:rPr>
            </w:pPr>
            <w:r>
              <w:rPr>
                <w:rFonts w:hint="eastAsia"/>
                <w:color w:val="auto"/>
              </w:rPr>
              <w:t>浓度（mg/L）</w:t>
            </w:r>
          </w:p>
        </w:tc>
        <w:tc>
          <w:tcPr>
            <w:tcW w:w="1159" w:type="dxa"/>
            <w:vMerge w:val="restart"/>
            <w:tcBorders>
              <w:top w:val="nil"/>
              <w:left w:val="single" w:color="auto" w:sz="4" w:space="0"/>
              <w:bottom w:val="single" w:color="auto" w:sz="4" w:space="0"/>
              <w:right w:val="single" w:color="auto" w:sz="4" w:space="0"/>
            </w:tcBorders>
            <w:shd w:val="clear" w:color="auto" w:fill="auto"/>
            <w:vAlign w:val="center"/>
          </w:tcPr>
          <w:p w14:paraId="11BE4AE3">
            <w:pPr>
              <w:pStyle w:val="3361"/>
              <w:rPr>
                <w:color w:val="auto"/>
              </w:rPr>
            </w:pPr>
            <w:r>
              <w:rPr>
                <w:rFonts w:hint="eastAsia"/>
                <w:color w:val="auto"/>
              </w:rPr>
              <w:t>下游距离（m）</w:t>
            </w:r>
          </w:p>
        </w:tc>
        <w:tc>
          <w:tcPr>
            <w:tcW w:w="1777" w:type="dxa"/>
            <w:vMerge w:val="restart"/>
            <w:tcBorders>
              <w:top w:val="nil"/>
              <w:left w:val="single" w:color="auto" w:sz="4" w:space="0"/>
              <w:bottom w:val="single" w:color="auto" w:sz="4" w:space="0"/>
              <w:right w:val="single" w:color="auto" w:sz="4" w:space="0"/>
            </w:tcBorders>
            <w:shd w:val="clear" w:color="auto" w:fill="auto"/>
            <w:noWrap/>
            <w:vAlign w:val="center"/>
          </w:tcPr>
          <w:p w14:paraId="3B2DC76C">
            <w:pPr>
              <w:pStyle w:val="3361"/>
              <w:rPr>
                <w:color w:val="auto"/>
              </w:rPr>
            </w:pPr>
            <w:r>
              <w:rPr>
                <w:rFonts w:hint="eastAsia"/>
                <w:color w:val="auto"/>
              </w:rPr>
              <w:t>浓度（mg/L）</w:t>
            </w:r>
          </w:p>
        </w:tc>
      </w:tr>
      <w:tr w14:paraId="4ED5AD98">
        <w:tblPrEx>
          <w:tblCellMar>
            <w:top w:w="0" w:type="dxa"/>
            <w:left w:w="108" w:type="dxa"/>
            <w:bottom w:w="0" w:type="dxa"/>
            <w:right w:w="108" w:type="dxa"/>
          </w:tblCellMar>
        </w:tblPrEx>
        <w:trPr>
          <w:trHeight w:val="600" w:hRule="atLeast"/>
        </w:trPr>
        <w:tc>
          <w:tcPr>
            <w:tcW w:w="1555" w:type="dxa"/>
            <w:vMerge w:val="continue"/>
            <w:tcBorders>
              <w:top w:val="nil"/>
              <w:left w:val="single" w:color="auto" w:sz="4" w:space="0"/>
              <w:bottom w:val="single" w:color="auto" w:sz="4" w:space="0"/>
              <w:right w:val="single" w:color="auto" w:sz="4" w:space="0"/>
            </w:tcBorders>
            <w:vAlign w:val="center"/>
          </w:tcPr>
          <w:p w14:paraId="4907A8FE">
            <w:pPr>
              <w:pStyle w:val="3361"/>
              <w:rPr>
                <w:color w:val="auto"/>
              </w:rPr>
            </w:pPr>
          </w:p>
        </w:tc>
        <w:tc>
          <w:tcPr>
            <w:tcW w:w="1378" w:type="dxa"/>
            <w:vMerge w:val="continue"/>
            <w:tcBorders>
              <w:top w:val="nil"/>
              <w:left w:val="single" w:color="auto" w:sz="4" w:space="0"/>
              <w:bottom w:val="single" w:color="auto" w:sz="4" w:space="0"/>
              <w:right w:val="single" w:color="auto" w:sz="4" w:space="0"/>
            </w:tcBorders>
            <w:vAlign w:val="center"/>
          </w:tcPr>
          <w:p w14:paraId="6DF9C3D5">
            <w:pPr>
              <w:pStyle w:val="3361"/>
              <w:rPr>
                <w:color w:val="auto"/>
              </w:rPr>
            </w:pPr>
          </w:p>
        </w:tc>
        <w:tc>
          <w:tcPr>
            <w:tcW w:w="1265" w:type="dxa"/>
            <w:vMerge w:val="continue"/>
            <w:tcBorders>
              <w:top w:val="nil"/>
              <w:left w:val="single" w:color="auto" w:sz="4" w:space="0"/>
              <w:bottom w:val="single" w:color="auto" w:sz="4" w:space="0"/>
              <w:right w:val="single" w:color="auto" w:sz="4" w:space="0"/>
            </w:tcBorders>
            <w:vAlign w:val="center"/>
          </w:tcPr>
          <w:p w14:paraId="3A46A27E">
            <w:pPr>
              <w:pStyle w:val="3361"/>
              <w:rPr>
                <w:color w:val="auto"/>
              </w:rPr>
            </w:pPr>
          </w:p>
        </w:tc>
        <w:tc>
          <w:tcPr>
            <w:tcW w:w="1926" w:type="dxa"/>
            <w:vMerge w:val="continue"/>
            <w:tcBorders>
              <w:top w:val="nil"/>
              <w:left w:val="single" w:color="auto" w:sz="4" w:space="0"/>
              <w:bottom w:val="single" w:color="auto" w:sz="4" w:space="0"/>
              <w:right w:val="single" w:color="auto" w:sz="4" w:space="0"/>
            </w:tcBorders>
            <w:vAlign w:val="center"/>
          </w:tcPr>
          <w:p w14:paraId="005DBE4B">
            <w:pPr>
              <w:pStyle w:val="3361"/>
              <w:rPr>
                <w:color w:val="auto"/>
              </w:rPr>
            </w:pPr>
          </w:p>
        </w:tc>
        <w:tc>
          <w:tcPr>
            <w:tcW w:w="1159" w:type="dxa"/>
            <w:vMerge w:val="continue"/>
            <w:tcBorders>
              <w:top w:val="nil"/>
              <w:left w:val="single" w:color="auto" w:sz="4" w:space="0"/>
              <w:bottom w:val="single" w:color="auto" w:sz="4" w:space="0"/>
              <w:right w:val="single" w:color="auto" w:sz="4" w:space="0"/>
            </w:tcBorders>
            <w:vAlign w:val="center"/>
          </w:tcPr>
          <w:p w14:paraId="148EE948">
            <w:pPr>
              <w:pStyle w:val="3361"/>
              <w:rPr>
                <w:color w:val="auto"/>
              </w:rPr>
            </w:pPr>
          </w:p>
        </w:tc>
        <w:tc>
          <w:tcPr>
            <w:tcW w:w="1777" w:type="dxa"/>
            <w:vMerge w:val="continue"/>
            <w:tcBorders>
              <w:top w:val="nil"/>
              <w:left w:val="single" w:color="auto" w:sz="4" w:space="0"/>
              <w:bottom w:val="single" w:color="auto" w:sz="4" w:space="0"/>
              <w:right w:val="single" w:color="auto" w:sz="4" w:space="0"/>
            </w:tcBorders>
            <w:vAlign w:val="center"/>
          </w:tcPr>
          <w:p w14:paraId="6267587D">
            <w:pPr>
              <w:pStyle w:val="3361"/>
              <w:rPr>
                <w:color w:val="auto"/>
              </w:rPr>
            </w:pPr>
          </w:p>
        </w:tc>
      </w:tr>
      <w:tr w14:paraId="2EC9BBDA">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5D075BD4">
            <w:pPr>
              <w:pStyle w:val="3361"/>
              <w:rPr>
                <w:rFonts w:hint="eastAsia"/>
                <w:color w:val="auto"/>
                <w:lang w:val="en-US" w:eastAsia="zh-CN"/>
              </w:rPr>
            </w:pPr>
            <w:r>
              <w:rPr>
                <w:rFonts w:hint="eastAsia"/>
                <w:color w:val="auto"/>
                <w:lang w:val="en-US" w:eastAsia="zh-CN"/>
              </w:rPr>
              <w:t>0</w:t>
            </w:r>
          </w:p>
        </w:tc>
        <w:tc>
          <w:tcPr>
            <w:tcW w:w="1378" w:type="dxa"/>
            <w:tcBorders>
              <w:top w:val="nil"/>
              <w:left w:val="nil"/>
              <w:bottom w:val="single" w:color="auto" w:sz="4" w:space="0"/>
              <w:right w:val="single" w:color="auto" w:sz="4" w:space="0"/>
            </w:tcBorders>
            <w:shd w:val="clear" w:color="auto" w:fill="auto"/>
            <w:noWrap/>
            <w:vAlign w:val="bottom"/>
          </w:tcPr>
          <w:p w14:paraId="18DC541A">
            <w:pPr>
              <w:pStyle w:val="3361"/>
              <w:rPr>
                <w:rFonts w:hint="eastAsia"/>
                <w:color w:val="auto"/>
                <w:lang w:val="en-US" w:eastAsia="zh-CN"/>
              </w:rPr>
            </w:pPr>
            <w:r>
              <w:rPr>
                <w:rFonts w:hint="eastAsia"/>
                <w:color w:val="auto"/>
                <w:lang w:val="en-US" w:eastAsia="zh-CN"/>
              </w:rPr>
              <w:t>1.00E+02</w:t>
            </w:r>
          </w:p>
        </w:tc>
        <w:tc>
          <w:tcPr>
            <w:tcW w:w="1265" w:type="dxa"/>
            <w:tcBorders>
              <w:top w:val="nil"/>
              <w:left w:val="nil"/>
              <w:bottom w:val="single" w:color="auto" w:sz="4" w:space="0"/>
              <w:right w:val="single" w:color="auto" w:sz="4" w:space="0"/>
            </w:tcBorders>
            <w:shd w:val="clear" w:color="auto" w:fill="auto"/>
            <w:noWrap/>
            <w:vAlign w:val="bottom"/>
          </w:tcPr>
          <w:p w14:paraId="6E50C6E2">
            <w:pPr>
              <w:pStyle w:val="3361"/>
              <w:rPr>
                <w:rFonts w:hint="eastAsia"/>
                <w:color w:val="auto"/>
                <w:lang w:val="en-US" w:eastAsia="zh-CN"/>
              </w:rPr>
            </w:pPr>
            <w:r>
              <w:rPr>
                <w:rFonts w:hint="eastAsia"/>
                <w:color w:val="auto"/>
                <w:lang w:val="en-US" w:eastAsia="zh-CN"/>
              </w:rPr>
              <w:t>0</w:t>
            </w:r>
          </w:p>
        </w:tc>
        <w:tc>
          <w:tcPr>
            <w:tcW w:w="1926" w:type="dxa"/>
            <w:tcBorders>
              <w:top w:val="nil"/>
              <w:left w:val="nil"/>
              <w:bottom w:val="single" w:color="auto" w:sz="4" w:space="0"/>
              <w:right w:val="single" w:color="auto" w:sz="4" w:space="0"/>
            </w:tcBorders>
            <w:shd w:val="clear" w:color="auto" w:fill="auto"/>
            <w:noWrap/>
            <w:vAlign w:val="bottom"/>
          </w:tcPr>
          <w:p w14:paraId="042AEDBE">
            <w:pPr>
              <w:pStyle w:val="3361"/>
              <w:rPr>
                <w:rFonts w:hint="eastAsia"/>
                <w:color w:val="auto"/>
                <w:lang w:val="en-US" w:eastAsia="zh-CN"/>
              </w:rPr>
            </w:pPr>
            <w:r>
              <w:rPr>
                <w:rFonts w:hint="eastAsia"/>
                <w:color w:val="auto"/>
                <w:lang w:val="en-US" w:eastAsia="zh-CN"/>
              </w:rPr>
              <w:t>3.80E+00</w:t>
            </w:r>
          </w:p>
        </w:tc>
        <w:tc>
          <w:tcPr>
            <w:tcW w:w="1159" w:type="dxa"/>
            <w:tcBorders>
              <w:top w:val="nil"/>
              <w:left w:val="nil"/>
              <w:bottom w:val="single" w:color="auto" w:sz="4" w:space="0"/>
              <w:right w:val="single" w:color="auto" w:sz="4" w:space="0"/>
            </w:tcBorders>
            <w:shd w:val="clear" w:color="auto" w:fill="auto"/>
            <w:noWrap/>
            <w:vAlign w:val="bottom"/>
          </w:tcPr>
          <w:p w14:paraId="5F556C94">
            <w:pPr>
              <w:pStyle w:val="3361"/>
              <w:rPr>
                <w:rFonts w:hint="eastAsia"/>
                <w:color w:val="auto"/>
                <w:lang w:val="en-US" w:eastAsia="zh-CN"/>
              </w:rPr>
            </w:pPr>
            <w:r>
              <w:rPr>
                <w:rFonts w:hint="eastAsia"/>
                <w:color w:val="auto"/>
                <w:lang w:val="en-US" w:eastAsia="zh-CN"/>
              </w:rPr>
              <w:t>0</w:t>
            </w:r>
          </w:p>
        </w:tc>
        <w:tc>
          <w:tcPr>
            <w:tcW w:w="1777" w:type="dxa"/>
            <w:tcBorders>
              <w:top w:val="nil"/>
              <w:left w:val="nil"/>
              <w:bottom w:val="single" w:color="auto" w:sz="4" w:space="0"/>
              <w:right w:val="single" w:color="auto" w:sz="4" w:space="0"/>
            </w:tcBorders>
            <w:shd w:val="clear" w:color="auto" w:fill="auto"/>
            <w:noWrap/>
            <w:vAlign w:val="bottom"/>
          </w:tcPr>
          <w:p w14:paraId="1A3F401E">
            <w:pPr>
              <w:pStyle w:val="3361"/>
              <w:rPr>
                <w:rFonts w:hint="eastAsia"/>
                <w:color w:val="auto"/>
                <w:lang w:val="en-US" w:eastAsia="zh-CN"/>
              </w:rPr>
            </w:pPr>
            <w:r>
              <w:rPr>
                <w:rFonts w:hint="eastAsia"/>
                <w:color w:val="auto"/>
                <w:lang w:val="en-US" w:eastAsia="zh-CN"/>
              </w:rPr>
              <w:t>9.28E-01</w:t>
            </w:r>
          </w:p>
        </w:tc>
      </w:tr>
      <w:tr w14:paraId="7FBBED9C">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220D49A5">
            <w:pPr>
              <w:pStyle w:val="3361"/>
              <w:rPr>
                <w:rFonts w:hint="eastAsia"/>
                <w:color w:val="auto"/>
                <w:lang w:val="en-US" w:eastAsia="zh-CN"/>
              </w:rPr>
            </w:pPr>
            <w:r>
              <w:rPr>
                <w:rFonts w:hint="eastAsia"/>
                <w:color w:val="auto"/>
                <w:lang w:val="en-US" w:eastAsia="zh-CN"/>
              </w:rPr>
              <w:t>5</w:t>
            </w:r>
          </w:p>
        </w:tc>
        <w:tc>
          <w:tcPr>
            <w:tcW w:w="1378" w:type="dxa"/>
            <w:tcBorders>
              <w:top w:val="nil"/>
              <w:left w:val="nil"/>
              <w:bottom w:val="single" w:color="auto" w:sz="4" w:space="0"/>
              <w:right w:val="single" w:color="auto" w:sz="4" w:space="0"/>
            </w:tcBorders>
            <w:shd w:val="clear" w:color="auto" w:fill="auto"/>
            <w:noWrap/>
            <w:vAlign w:val="bottom"/>
          </w:tcPr>
          <w:p w14:paraId="3499E7BE">
            <w:pPr>
              <w:pStyle w:val="3361"/>
              <w:rPr>
                <w:rFonts w:hint="eastAsia"/>
                <w:color w:val="auto"/>
                <w:lang w:val="en-US" w:eastAsia="zh-CN"/>
              </w:rPr>
            </w:pPr>
            <w:r>
              <w:rPr>
                <w:rFonts w:hint="eastAsia"/>
                <w:color w:val="auto"/>
                <w:lang w:val="en-US" w:eastAsia="zh-CN"/>
              </w:rPr>
              <w:t>8.25E+01</w:t>
            </w:r>
          </w:p>
        </w:tc>
        <w:tc>
          <w:tcPr>
            <w:tcW w:w="1265" w:type="dxa"/>
            <w:tcBorders>
              <w:top w:val="nil"/>
              <w:left w:val="nil"/>
              <w:bottom w:val="single" w:color="auto" w:sz="4" w:space="0"/>
              <w:right w:val="single" w:color="auto" w:sz="4" w:space="0"/>
            </w:tcBorders>
            <w:shd w:val="clear" w:color="auto" w:fill="auto"/>
            <w:noWrap/>
            <w:vAlign w:val="bottom"/>
          </w:tcPr>
          <w:p w14:paraId="7A9F4BC7">
            <w:pPr>
              <w:pStyle w:val="3361"/>
              <w:rPr>
                <w:rFonts w:hint="eastAsia"/>
                <w:color w:val="auto"/>
                <w:lang w:val="en-US" w:eastAsia="zh-CN"/>
              </w:rPr>
            </w:pPr>
            <w:r>
              <w:rPr>
                <w:rFonts w:hint="eastAsia"/>
                <w:color w:val="auto"/>
                <w:lang w:val="en-US" w:eastAsia="zh-CN"/>
              </w:rPr>
              <w:t>5</w:t>
            </w:r>
          </w:p>
        </w:tc>
        <w:tc>
          <w:tcPr>
            <w:tcW w:w="1926" w:type="dxa"/>
            <w:tcBorders>
              <w:top w:val="nil"/>
              <w:left w:val="nil"/>
              <w:bottom w:val="single" w:color="auto" w:sz="4" w:space="0"/>
              <w:right w:val="single" w:color="auto" w:sz="4" w:space="0"/>
            </w:tcBorders>
            <w:shd w:val="clear" w:color="auto" w:fill="auto"/>
            <w:noWrap/>
            <w:vAlign w:val="bottom"/>
          </w:tcPr>
          <w:p w14:paraId="3AF05D18">
            <w:pPr>
              <w:pStyle w:val="3361"/>
              <w:rPr>
                <w:rFonts w:hint="eastAsia"/>
                <w:color w:val="auto"/>
                <w:lang w:val="en-US" w:eastAsia="zh-CN"/>
              </w:rPr>
            </w:pPr>
            <w:r>
              <w:rPr>
                <w:rFonts w:hint="eastAsia"/>
                <w:color w:val="auto"/>
                <w:lang w:val="en-US" w:eastAsia="zh-CN"/>
              </w:rPr>
              <w:t>4.63E+00</w:t>
            </w:r>
          </w:p>
        </w:tc>
        <w:tc>
          <w:tcPr>
            <w:tcW w:w="1159" w:type="dxa"/>
            <w:tcBorders>
              <w:top w:val="nil"/>
              <w:left w:val="nil"/>
              <w:bottom w:val="single" w:color="auto" w:sz="4" w:space="0"/>
              <w:right w:val="single" w:color="auto" w:sz="4" w:space="0"/>
            </w:tcBorders>
            <w:shd w:val="clear" w:color="auto" w:fill="auto"/>
            <w:noWrap/>
            <w:vAlign w:val="bottom"/>
          </w:tcPr>
          <w:p w14:paraId="1B79174A">
            <w:pPr>
              <w:pStyle w:val="3361"/>
              <w:rPr>
                <w:rFonts w:hint="eastAsia"/>
                <w:color w:val="auto"/>
                <w:lang w:val="en-US" w:eastAsia="zh-CN"/>
              </w:rPr>
            </w:pPr>
            <w:r>
              <w:rPr>
                <w:rFonts w:hint="eastAsia"/>
                <w:color w:val="auto"/>
                <w:lang w:val="en-US" w:eastAsia="zh-CN"/>
              </w:rPr>
              <w:t>5</w:t>
            </w:r>
          </w:p>
        </w:tc>
        <w:tc>
          <w:tcPr>
            <w:tcW w:w="1777" w:type="dxa"/>
            <w:tcBorders>
              <w:top w:val="nil"/>
              <w:left w:val="nil"/>
              <w:bottom w:val="single" w:color="auto" w:sz="4" w:space="0"/>
              <w:right w:val="single" w:color="auto" w:sz="4" w:space="0"/>
            </w:tcBorders>
            <w:shd w:val="clear" w:color="auto" w:fill="auto"/>
            <w:noWrap/>
            <w:vAlign w:val="bottom"/>
          </w:tcPr>
          <w:p w14:paraId="0C1B4749">
            <w:pPr>
              <w:pStyle w:val="3361"/>
              <w:rPr>
                <w:rFonts w:hint="eastAsia"/>
                <w:color w:val="auto"/>
                <w:lang w:val="en-US" w:eastAsia="zh-CN"/>
              </w:rPr>
            </w:pPr>
            <w:r>
              <w:rPr>
                <w:rFonts w:hint="eastAsia"/>
                <w:color w:val="auto"/>
                <w:lang w:val="en-US" w:eastAsia="zh-CN"/>
              </w:rPr>
              <w:t>1.03E+00</w:t>
            </w:r>
          </w:p>
        </w:tc>
      </w:tr>
      <w:tr w14:paraId="167B3628">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2A14E75A">
            <w:pPr>
              <w:pStyle w:val="3361"/>
              <w:rPr>
                <w:rFonts w:hint="eastAsia"/>
                <w:color w:val="auto"/>
                <w:lang w:val="en-US" w:eastAsia="zh-CN"/>
              </w:rPr>
            </w:pPr>
            <w:r>
              <w:rPr>
                <w:rFonts w:hint="eastAsia"/>
                <w:color w:val="auto"/>
                <w:lang w:val="en-US" w:eastAsia="zh-CN"/>
              </w:rPr>
              <w:t>10</w:t>
            </w:r>
          </w:p>
        </w:tc>
        <w:tc>
          <w:tcPr>
            <w:tcW w:w="1378" w:type="dxa"/>
            <w:tcBorders>
              <w:top w:val="nil"/>
              <w:left w:val="nil"/>
              <w:bottom w:val="single" w:color="auto" w:sz="4" w:space="0"/>
              <w:right w:val="single" w:color="auto" w:sz="4" w:space="0"/>
            </w:tcBorders>
            <w:shd w:val="clear" w:color="auto" w:fill="auto"/>
            <w:noWrap/>
            <w:vAlign w:val="bottom"/>
          </w:tcPr>
          <w:p w14:paraId="26B9A61D">
            <w:pPr>
              <w:pStyle w:val="3361"/>
              <w:rPr>
                <w:rFonts w:hint="eastAsia"/>
                <w:color w:val="auto"/>
                <w:lang w:val="en-US" w:eastAsia="zh-CN"/>
              </w:rPr>
            </w:pPr>
            <w:r>
              <w:rPr>
                <w:rFonts w:hint="eastAsia"/>
                <w:color w:val="auto"/>
                <w:lang w:val="en-US" w:eastAsia="zh-CN"/>
              </w:rPr>
              <w:t>6.45E+01</w:t>
            </w:r>
          </w:p>
        </w:tc>
        <w:tc>
          <w:tcPr>
            <w:tcW w:w="1265" w:type="dxa"/>
            <w:tcBorders>
              <w:top w:val="nil"/>
              <w:left w:val="nil"/>
              <w:bottom w:val="single" w:color="auto" w:sz="4" w:space="0"/>
              <w:right w:val="single" w:color="auto" w:sz="4" w:space="0"/>
            </w:tcBorders>
            <w:shd w:val="clear" w:color="auto" w:fill="auto"/>
            <w:noWrap/>
            <w:vAlign w:val="bottom"/>
          </w:tcPr>
          <w:p w14:paraId="68F730F8">
            <w:pPr>
              <w:pStyle w:val="3361"/>
              <w:rPr>
                <w:rFonts w:hint="eastAsia"/>
                <w:color w:val="auto"/>
                <w:lang w:val="en-US" w:eastAsia="zh-CN"/>
              </w:rPr>
            </w:pPr>
            <w:r>
              <w:rPr>
                <w:rFonts w:hint="eastAsia"/>
                <w:color w:val="auto"/>
                <w:lang w:val="en-US" w:eastAsia="zh-CN"/>
              </w:rPr>
              <w:t>10</w:t>
            </w:r>
          </w:p>
        </w:tc>
        <w:tc>
          <w:tcPr>
            <w:tcW w:w="1926" w:type="dxa"/>
            <w:tcBorders>
              <w:top w:val="nil"/>
              <w:left w:val="nil"/>
              <w:bottom w:val="single" w:color="auto" w:sz="4" w:space="0"/>
              <w:right w:val="single" w:color="auto" w:sz="4" w:space="0"/>
            </w:tcBorders>
            <w:shd w:val="clear" w:color="auto" w:fill="auto"/>
            <w:noWrap/>
            <w:vAlign w:val="bottom"/>
          </w:tcPr>
          <w:p w14:paraId="0D055681">
            <w:pPr>
              <w:pStyle w:val="3361"/>
              <w:rPr>
                <w:rFonts w:hint="eastAsia"/>
                <w:color w:val="auto"/>
                <w:lang w:val="en-US" w:eastAsia="zh-CN"/>
              </w:rPr>
            </w:pPr>
            <w:r>
              <w:rPr>
                <w:rFonts w:hint="eastAsia"/>
                <w:color w:val="auto"/>
                <w:lang w:val="en-US" w:eastAsia="zh-CN"/>
              </w:rPr>
              <w:t>5.49E+00</w:t>
            </w:r>
          </w:p>
        </w:tc>
        <w:tc>
          <w:tcPr>
            <w:tcW w:w="1159" w:type="dxa"/>
            <w:tcBorders>
              <w:top w:val="nil"/>
              <w:left w:val="nil"/>
              <w:bottom w:val="single" w:color="auto" w:sz="4" w:space="0"/>
              <w:right w:val="single" w:color="auto" w:sz="4" w:space="0"/>
            </w:tcBorders>
            <w:shd w:val="clear" w:color="auto" w:fill="auto"/>
            <w:noWrap/>
            <w:vAlign w:val="bottom"/>
          </w:tcPr>
          <w:p w14:paraId="3CA54A54">
            <w:pPr>
              <w:pStyle w:val="3361"/>
              <w:rPr>
                <w:rFonts w:hint="eastAsia"/>
                <w:color w:val="auto"/>
                <w:lang w:val="en-US" w:eastAsia="zh-CN"/>
              </w:rPr>
            </w:pPr>
            <w:r>
              <w:rPr>
                <w:rFonts w:hint="eastAsia"/>
                <w:color w:val="auto"/>
                <w:lang w:val="en-US" w:eastAsia="zh-CN"/>
              </w:rPr>
              <w:t>10</w:t>
            </w:r>
          </w:p>
        </w:tc>
        <w:tc>
          <w:tcPr>
            <w:tcW w:w="1777" w:type="dxa"/>
            <w:tcBorders>
              <w:top w:val="nil"/>
              <w:left w:val="nil"/>
              <w:bottom w:val="single" w:color="auto" w:sz="4" w:space="0"/>
              <w:right w:val="single" w:color="auto" w:sz="4" w:space="0"/>
            </w:tcBorders>
            <w:shd w:val="clear" w:color="auto" w:fill="auto"/>
            <w:noWrap/>
            <w:vAlign w:val="bottom"/>
          </w:tcPr>
          <w:p w14:paraId="1AFB20CF">
            <w:pPr>
              <w:pStyle w:val="3361"/>
              <w:rPr>
                <w:rFonts w:hint="eastAsia"/>
                <w:color w:val="auto"/>
                <w:lang w:val="en-US" w:eastAsia="zh-CN"/>
              </w:rPr>
            </w:pPr>
            <w:r>
              <w:rPr>
                <w:rFonts w:hint="eastAsia"/>
                <w:color w:val="auto"/>
                <w:lang w:val="en-US" w:eastAsia="zh-CN"/>
              </w:rPr>
              <w:t>1.13E+00</w:t>
            </w:r>
          </w:p>
        </w:tc>
      </w:tr>
      <w:tr w14:paraId="2BC1A72B">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1F5782E1">
            <w:pPr>
              <w:pStyle w:val="3361"/>
              <w:rPr>
                <w:rFonts w:hint="eastAsia"/>
                <w:color w:val="auto"/>
                <w:lang w:val="en-US" w:eastAsia="zh-CN"/>
              </w:rPr>
            </w:pPr>
            <w:r>
              <w:rPr>
                <w:rFonts w:hint="eastAsia"/>
                <w:color w:val="auto"/>
                <w:lang w:val="en-US" w:eastAsia="zh-CN"/>
              </w:rPr>
              <w:t>15</w:t>
            </w:r>
          </w:p>
        </w:tc>
        <w:tc>
          <w:tcPr>
            <w:tcW w:w="1378" w:type="dxa"/>
            <w:tcBorders>
              <w:top w:val="nil"/>
              <w:left w:val="nil"/>
              <w:bottom w:val="single" w:color="auto" w:sz="4" w:space="0"/>
              <w:right w:val="single" w:color="auto" w:sz="4" w:space="0"/>
            </w:tcBorders>
            <w:shd w:val="clear" w:color="auto" w:fill="auto"/>
            <w:noWrap/>
            <w:vAlign w:val="bottom"/>
          </w:tcPr>
          <w:p w14:paraId="6469DCF7">
            <w:pPr>
              <w:pStyle w:val="3361"/>
              <w:rPr>
                <w:rFonts w:hint="eastAsia"/>
                <w:color w:val="auto"/>
                <w:lang w:val="en-US" w:eastAsia="zh-CN"/>
              </w:rPr>
            </w:pPr>
            <w:r>
              <w:rPr>
                <w:rFonts w:hint="eastAsia"/>
                <w:color w:val="auto"/>
                <w:lang w:val="en-US" w:eastAsia="zh-CN"/>
              </w:rPr>
              <w:t>4.75E+01</w:t>
            </w:r>
          </w:p>
        </w:tc>
        <w:tc>
          <w:tcPr>
            <w:tcW w:w="1265" w:type="dxa"/>
            <w:tcBorders>
              <w:top w:val="nil"/>
              <w:left w:val="nil"/>
              <w:bottom w:val="single" w:color="auto" w:sz="4" w:space="0"/>
              <w:right w:val="single" w:color="auto" w:sz="4" w:space="0"/>
            </w:tcBorders>
            <w:shd w:val="clear" w:color="auto" w:fill="auto"/>
            <w:noWrap/>
            <w:vAlign w:val="bottom"/>
          </w:tcPr>
          <w:p w14:paraId="3390E8E5">
            <w:pPr>
              <w:pStyle w:val="3361"/>
              <w:rPr>
                <w:rFonts w:hint="eastAsia"/>
                <w:color w:val="auto"/>
                <w:lang w:val="en-US" w:eastAsia="zh-CN"/>
              </w:rPr>
            </w:pPr>
            <w:r>
              <w:rPr>
                <w:rFonts w:hint="eastAsia"/>
                <w:color w:val="auto"/>
                <w:lang w:val="en-US" w:eastAsia="zh-CN"/>
              </w:rPr>
              <w:t>15</w:t>
            </w:r>
          </w:p>
        </w:tc>
        <w:tc>
          <w:tcPr>
            <w:tcW w:w="1926" w:type="dxa"/>
            <w:tcBorders>
              <w:top w:val="nil"/>
              <w:left w:val="nil"/>
              <w:bottom w:val="single" w:color="auto" w:sz="4" w:space="0"/>
              <w:right w:val="single" w:color="auto" w:sz="4" w:space="0"/>
            </w:tcBorders>
            <w:shd w:val="clear" w:color="auto" w:fill="auto"/>
            <w:noWrap/>
            <w:vAlign w:val="bottom"/>
          </w:tcPr>
          <w:p w14:paraId="29588A73">
            <w:pPr>
              <w:pStyle w:val="3361"/>
              <w:rPr>
                <w:rFonts w:hint="eastAsia"/>
                <w:color w:val="auto"/>
                <w:lang w:val="en-US" w:eastAsia="zh-CN"/>
              </w:rPr>
            </w:pPr>
            <w:r>
              <w:rPr>
                <w:rFonts w:hint="eastAsia"/>
                <w:color w:val="auto"/>
                <w:lang w:val="en-US" w:eastAsia="zh-CN"/>
              </w:rPr>
              <w:t>6.37E+00</w:t>
            </w:r>
          </w:p>
        </w:tc>
        <w:tc>
          <w:tcPr>
            <w:tcW w:w="1159" w:type="dxa"/>
            <w:tcBorders>
              <w:top w:val="nil"/>
              <w:left w:val="nil"/>
              <w:bottom w:val="single" w:color="auto" w:sz="4" w:space="0"/>
              <w:right w:val="single" w:color="auto" w:sz="4" w:space="0"/>
            </w:tcBorders>
            <w:shd w:val="clear" w:color="auto" w:fill="auto"/>
            <w:noWrap/>
            <w:vAlign w:val="bottom"/>
          </w:tcPr>
          <w:p w14:paraId="3E4BAE67">
            <w:pPr>
              <w:pStyle w:val="3361"/>
              <w:rPr>
                <w:rFonts w:hint="eastAsia"/>
                <w:color w:val="auto"/>
                <w:lang w:val="en-US" w:eastAsia="zh-CN"/>
              </w:rPr>
            </w:pPr>
            <w:r>
              <w:rPr>
                <w:rFonts w:hint="eastAsia"/>
                <w:color w:val="auto"/>
                <w:lang w:val="en-US" w:eastAsia="zh-CN"/>
              </w:rPr>
              <w:t>15</w:t>
            </w:r>
          </w:p>
        </w:tc>
        <w:tc>
          <w:tcPr>
            <w:tcW w:w="1777" w:type="dxa"/>
            <w:tcBorders>
              <w:top w:val="nil"/>
              <w:left w:val="nil"/>
              <w:bottom w:val="single" w:color="auto" w:sz="4" w:space="0"/>
              <w:right w:val="single" w:color="auto" w:sz="4" w:space="0"/>
            </w:tcBorders>
            <w:shd w:val="clear" w:color="auto" w:fill="auto"/>
            <w:noWrap/>
            <w:vAlign w:val="bottom"/>
          </w:tcPr>
          <w:p w14:paraId="31A29D1D">
            <w:pPr>
              <w:pStyle w:val="3361"/>
              <w:rPr>
                <w:rFonts w:hint="eastAsia"/>
                <w:color w:val="auto"/>
                <w:lang w:val="en-US" w:eastAsia="zh-CN"/>
              </w:rPr>
            </w:pPr>
            <w:r>
              <w:rPr>
                <w:rFonts w:hint="eastAsia"/>
                <w:color w:val="auto"/>
                <w:lang w:val="en-US" w:eastAsia="zh-CN"/>
              </w:rPr>
              <w:t>1.24E+00</w:t>
            </w:r>
          </w:p>
        </w:tc>
      </w:tr>
      <w:tr w14:paraId="6DB342D6">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19F0C806">
            <w:pPr>
              <w:pStyle w:val="3361"/>
              <w:rPr>
                <w:rFonts w:hint="eastAsia"/>
                <w:color w:val="auto"/>
                <w:lang w:val="en-US" w:eastAsia="zh-CN"/>
              </w:rPr>
            </w:pPr>
            <w:r>
              <w:rPr>
                <w:rFonts w:hint="eastAsia"/>
                <w:color w:val="auto"/>
                <w:lang w:val="en-US" w:eastAsia="zh-CN"/>
              </w:rPr>
              <w:t>20</w:t>
            </w:r>
          </w:p>
        </w:tc>
        <w:tc>
          <w:tcPr>
            <w:tcW w:w="1378" w:type="dxa"/>
            <w:tcBorders>
              <w:top w:val="nil"/>
              <w:left w:val="nil"/>
              <w:bottom w:val="single" w:color="auto" w:sz="4" w:space="0"/>
              <w:right w:val="single" w:color="auto" w:sz="4" w:space="0"/>
            </w:tcBorders>
            <w:shd w:val="clear" w:color="auto" w:fill="auto"/>
            <w:noWrap/>
            <w:vAlign w:val="bottom"/>
          </w:tcPr>
          <w:p w14:paraId="15EC1915">
            <w:pPr>
              <w:pStyle w:val="3361"/>
              <w:rPr>
                <w:rFonts w:hint="eastAsia"/>
                <w:color w:val="auto"/>
                <w:lang w:val="en-US" w:eastAsia="zh-CN"/>
              </w:rPr>
            </w:pPr>
            <w:r>
              <w:rPr>
                <w:rFonts w:hint="eastAsia"/>
                <w:color w:val="auto"/>
                <w:lang w:val="en-US" w:eastAsia="zh-CN"/>
              </w:rPr>
              <w:t>3.29E+01</w:t>
            </w:r>
          </w:p>
        </w:tc>
        <w:tc>
          <w:tcPr>
            <w:tcW w:w="1265" w:type="dxa"/>
            <w:tcBorders>
              <w:top w:val="nil"/>
              <w:left w:val="nil"/>
              <w:bottom w:val="single" w:color="auto" w:sz="4" w:space="0"/>
              <w:right w:val="single" w:color="auto" w:sz="4" w:space="0"/>
            </w:tcBorders>
            <w:shd w:val="clear" w:color="auto" w:fill="auto"/>
            <w:noWrap/>
            <w:vAlign w:val="bottom"/>
          </w:tcPr>
          <w:p w14:paraId="67F39784">
            <w:pPr>
              <w:pStyle w:val="3361"/>
              <w:rPr>
                <w:rFonts w:hint="eastAsia"/>
                <w:color w:val="auto"/>
                <w:lang w:val="en-US" w:eastAsia="zh-CN"/>
              </w:rPr>
            </w:pPr>
            <w:r>
              <w:rPr>
                <w:rFonts w:hint="eastAsia"/>
                <w:color w:val="auto"/>
                <w:lang w:val="en-US" w:eastAsia="zh-CN"/>
              </w:rPr>
              <w:t>20</w:t>
            </w:r>
          </w:p>
        </w:tc>
        <w:tc>
          <w:tcPr>
            <w:tcW w:w="1926" w:type="dxa"/>
            <w:tcBorders>
              <w:top w:val="nil"/>
              <w:left w:val="nil"/>
              <w:bottom w:val="single" w:color="auto" w:sz="4" w:space="0"/>
              <w:right w:val="single" w:color="auto" w:sz="4" w:space="0"/>
            </w:tcBorders>
            <w:shd w:val="clear" w:color="auto" w:fill="auto"/>
            <w:noWrap/>
            <w:vAlign w:val="bottom"/>
          </w:tcPr>
          <w:p w14:paraId="08B84CDB">
            <w:pPr>
              <w:pStyle w:val="3361"/>
              <w:rPr>
                <w:rFonts w:hint="eastAsia"/>
                <w:color w:val="auto"/>
                <w:lang w:val="en-US" w:eastAsia="zh-CN"/>
              </w:rPr>
            </w:pPr>
            <w:r>
              <w:rPr>
                <w:rFonts w:hint="eastAsia"/>
                <w:color w:val="auto"/>
                <w:lang w:val="en-US" w:eastAsia="zh-CN"/>
              </w:rPr>
              <w:t>7.25E+00</w:t>
            </w:r>
          </w:p>
        </w:tc>
        <w:tc>
          <w:tcPr>
            <w:tcW w:w="1159" w:type="dxa"/>
            <w:tcBorders>
              <w:top w:val="nil"/>
              <w:left w:val="nil"/>
              <w:bottom w:val="single" w:color="auto" w:sz="4" w:space="0"/>
              <w:right w:val="single" w:color="auto" w:sz="4" w:space="0"/>
            </w:tcBorders>
            <w:shd w:val="clear" w:color="auto" w:fill="auto"/>
            <w:noWrap/>
            <w:vAlign w:val="bottom"/>
          </w:tcPr>
          <w:p w14:paraId="49D303F0">
            <w:pPr>
              <w:pStyle w:val="3361"/>
              <w:rPr>
                <w:rFonts w:hint="eastAsia"/>
                <w:color w:val="auto"/>
                <w:lang w:val="en-US" w:eastAsia="zh-CN"/>
              </w:rPr>
            </w:pPr>
            <w:r>
              <w:rPr>
                <w:rFonts w:hint="eastAsia"/>
                <w:color w:val="auto"/>
                <w:lang w:val="en-US" w:eastAsia="zh-CN"/>
              </w:rPr>
              <w:t>20</w:t>
            </w:r>
          </w:p>
        </w:tc>
        <w:tc>
          <w:tcPr>
            <w:tcW w:w="1777" w:type="dxa"/>
            <w:tcBorders>
              <w:top w:val="nil"/>
              <w:left w:val="nil"/>
              <w:bottom w:val="single" w:color="auto" w:sz="4" w:space="0"/>
              <w:right w:val="single" w:color="auto" w:sz="4" w:space="0"/>
            </w:tcBorders>
            <w:shd w:val="clear" w:color="auto" w:fill="auto"/>
            <w:noWrap/>
            <w:vAlign w:val="bottom"/>
          </w:tcPr>
          <w:p w14:paraId="7782B65B">
            <w:pPr>
              <w:pStyle w:val="3361"/>
              <w:rPr>
                <w:rFonts w:hint="eastAsia"/>
                <w:color w:val="auto"/>
                <w:lang w:val="en-US" w:eastAsia="zh-CN"/>
              </w:rPr>
            </w:pPr>
            <w:r>
              <w:rPr>
                <w:rFonts w:hint="eastAsia"/>
                <w:color w:val="auto"/>
                <w:lang w:val="en-US" w:eastAsia="zh-CN"/>
              </w:rPr>
              <w:t>1.35E+00</w:t>
            </w:r>
          </w:p>
        </w:tc>
      </w:tr>
      <w:tr w14:paraId="7D20DAD0">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796C77E2">
            <w:pPr>
              <w:pStyle w:val="3361"/>
              <w:rPr>
                <w:rFonts w:hint="eastAsia"/>
                <w:color w:val="auto"/>
                <w:lang w:val="en-US" w:eastAsia="zh-CN"/>
              </w:rPr>
            </w:pPr>
            <w:r>
              <w:rPr>
                <w:rFonts w:hint="eastAsia"/>
                <w:color w:val="auto"/>
                <w:lang w:val="en-US" w:eastAsia="zh-CN"/>
              </w:rPr>
              <w:t>25</w:t>
            </w:r>
          </w:p>
        </w:tc>
        <w:tc>
          <w:tcPr>
            <w:tcW w:w="1378" w:type="dxa"/>
            <w:tcBorders>
              <w:top w:val="nil"/>
              <w:left w:val="nil"/>
              <w:bottom w:val="single" w:color="auto" w:sz="4" w:space="0"/>
              <w:right w:val="single" w:color="auto" w:sz="4" w:space="0"/>
            </w:tcBorders>
            <w:shd w:val="clear" w:color="auto" w:fill="auto"/>
            <w:noWrap/>
            <w:vAlign w:val="bottom"/>
          </w:tcPr>
          <w:p w14:paraId="2F5825CD">
            <w:pPr>
              <w:pStyle w:val="3361"/>
              <w:rPr>
                <w:rFonts w:hint="eastAsia"/>
                <w:color w:val="auto"/>
                <w:lang w:val="en-US" w:eastAsia="zh-CN"/>
              </w:rPr>
            </w:pPr>
            <w:r>
              <w:rPr>
                <w:rFonts w:hint="eastAsia"/>
                <w:color w:val="auto"/>
                <w:lang w:val="en-US" w:eastAsia="zh-CN"/>
              </w:rPr>
              <w:t>2.14E+01</w:t>
            </w:r>
          </w:p>
        </w:tc>
        <w:tc>
          <w:tcPr>
            <w:tcW w:w="1265" w:type="dxa"/>
            <w:tcBorders>
              <w:top w:val="nil"/>
              <w:left w:val="nil"/>
              <w:bottom w:val="single" w:color="auto" w:sz="4" w:space="0"/>
              <w:right w:val="single" w:color="auto" w:sz="4" w:space="0"/>
            </w:tcBorders>
            <w:shd w:val="clear" w:color="auto" w:fill="auto"/>
            <w:noWrap/>
            <w:vAlign w:val="bottom"/>
          </w:tcPr>
          <w:p w14:paraId="7DB67674">
            <w:pPr>
              <w:pStyle w:val="3361"/>
              <w:rPr>
                <w:rFonts w:hint="eastAsia"/>
                <w:color w:val="auto"/>
                <w:lang w:val="en-US" w:eastAsia="zh-CN"/>
              </w:rPr>
            </w:pPr>
            <w:r>
              <w:rPr>
                <w:rFonts w:hint="eastAsia"/>
                <w:color w:val="auto"/>
                <w:lang w:val="en-US" w:eastAsia="zh-CN"/>
              </w:rPr>
              <w:t>25</w:t>
            </w:r>
          </w:p>
        </w:tc>
        <w:tc>
          <w:tcPr>
            <w:tcW w:w="1926" w:type="dxa"/>
            <w:tcBorders>
              <w:top w:val="nil"/>
              <w:left w:val="nil"/>
              <w:bottom w:val="single" w:color="auto" w:sz="4" w:space="0"/>
              <w:right w:val="single" w:color="auto" w:sz="4" w:space="0"/>
            </w:tcBorders>
            <w:shd w:val="clear" w:color="auto" w:fill="auto"/>
            <w:noWrap/>
            <w:vAlign w:val="bottom"/>
          </w:tcPr>
          <w:p w14:paraId="70B0DBEE">
            <w:pPr>
              <w:pStyle w:val="3361"/>
              <w:rPr>
                <w:rFonts w:hint="eastAsia"/>
                <w:color w:val="auto"/>
                <w:lang w:val="en-US" w:eastAsia="zh-CN"/>
              </w:rPr>
            </w:pPr>
            <w:r>
              <w:rPr>
                <w:rFonts w:hint="eastAsia"/>
                <w:color w:val="auto"/>
                <w:lang w:val="en-US" w:eastAsia="zh-CN"/>
              </w:rPr>
              <w:t>8.09E+00</w:t>
            </w:r>
          </w:p>
        </w:tc>
        <w:tc>
          <w:tcPr>
            <w:tcW w:w="1159" w:type="dxa"/>
            <w:tcBorders>
              <w:top w:val="nil"/>
              <w:left w:val="nil"/>
              <w:bottom w:val="single" w:color="auto" w:sz="4" w:space="0"/>
              <w:right w:val="single" w:color="auto" w:sz="4" w:space="0"/>
            </w:tcBorders>
            <w:shd w:val="clear" w:color="auto" w:fill="auto"/>
            <w:noWrap/>
            <w:vAlign w:val="bottom"/>
          </w:tcPr>
          <w:p w14:paraId="18BB76F5">
            <w:pPr>
              <w:pStyle w:val="3361"/>
              <w:rPr>
                <w:rFonts w:hint="eastAsia"/>
                <w:color w:val="auto"/>
                <w:lang w:val="en-US" w:eastAsia="zh-CN"/>
              </w:rPr>
            </w:pPr>
            <w:r>
              <w:rPr>
                <w:rFonts w:hint="eastAsia"/>
                <w:color w:val="auto"/>
                <w:lang w:val="en-US" w:eastAsia="zh-CN"/>
              </w:rPr>
              <w:t>25</w:t>
            </w:r>
          </w:p>
        </w:tc>
        <w:tc>
          <w:tcPr>
            <w:tcW w:w="1777" w:type="dxa"/>
            <w:tcBorders>
              <w:top w:val="nil"/>
              <w:left w:val="nil"/>
              <w:bottom w:val="single" w:color="auto" w:sz="4" w:space="0"/>
              <w:right w:val="single" w:color="auto" w:sz="4" w:space="0"/>
            </w:tcBorders>
            <w:shd w:val="clear" w:color="auto" w:fill="auto"/>
            <w:noWrap/>
            <w:vAlign w:val="bottom"/>
          </w:tcPr>
          <w:p w14:paraId="456D32A3">
            <w:pPr>
              <w:pStyle w:val="3361"/>
              <w:rPr>
                <w:rFonts w:hint="eastAsia"/>
                <w:color w:val="auto"/>
                <w:lang w:val="en-US" w:eastAsia="zh-CN"/>
              </w:rPr>
            </w:pPr>
            <w:r>
              <w:rPr>
                <w:rFonts w:hint="eastAsia"/>
                <w:color w:val="auto"/>
                <w:lang w:val="en-US" w:eastAsia="zh-CN"/>
              </w:rPr>
              <w:t>1.47E+00</w:t>
            </w:r>
          </w:p>
        </w:tc>
      </w:tr>
      <w:tr w14:paraId="4A60FBCD">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4EA7CC5F">
            <w:pPr>
              <w:pStyle w:val="3361"/>
              <w:rPr>
                <w:rFonts w:hint="eastAsia"/>
                <w:color w:val="auto"/>
                <w:lang w:val="en-US" w:eastAsia="zh-CN"/>
              </w:rPr>
            </w:pPr>
            <w:r>
              <w:rPr>
                <w:rFonts w:hint="eastAsia"/>
                <w:color w:val="auto"/>
                <w:lang w:val="en-US" w:eastAsia="zh-CN"/>
              </w:rPr>
              <w:t>30</w:t>
            </w:r>
          </w:p>
        </w:tc>
        <w:tc>
          <w:tcPr>
            <w:tcW w:w="1378" w:type="dxa"/>
            <w:tcBorders>
              <w:top w:val="nil"/>
              <w:left w:val="nil"/>
              <w:bottom w:val="single" w:color="auto" w:sz="4" w:space="0"/>
              <w:right w:val="single" w:color="auto" w:sz="4" w:space="0"/>
            </w:tcBorders>
            <w:shd w:val="clear" w:color="auto" w:fill="auto"/>
            <w:noWrap/>
            <w:vAlign w:val="bottom"/>
          </w:tcPr>
          <w:p w14:paraId="02DD7C5C">
            <w:pPr>
              <w:pStyle w:val="3361"/>
              <w:rPr>
                <w:rFonts w:hint="eastAsia"/>
                <w:color w:val="auto"/>
                <w:lang w:val="en-US" w:eastAsia="zh-CN"/>
              </w:rPr>
            </w:pPr>
            <w:r>
              <w:rPr>
                <w:rFonts w:hint="eastAsia"/>
                <w:color w:val="auto"/>
                <w:lang w:val="en-US" w:eastAsia="zh-CN"/>
              </w:rPr>
              <w:t>1.30E+01</w:t>
            </w:r>
          </w:p>
        </w:tc>
        <w:tc>
          <w:tcPr>
            <w:tcW w:w="1265" w:type="dxa"/>
            <w:tcBorders>
              <w:top w:val="nil"/>
              <w:left w:val="nil"/>
              <w:bottom w:val="single" w:color="auto" w:sz="4" w:space="0"/>
              <w:right w:val="single" w:color="auto" w:sz="4" w:space="0"/>
            </w:tcBorders>
            <w:shd w:val="clear" w:color="auto" w:fill="auto"/>
            <w:noWrap/>
            <w:vAlign w:val="bottom"/>
          </w:tcPr>
          <w:p w14:paraId="2F566AF6">
            <w:pPr>
              <w:pStyle w:val="3361"/>
              <w:rPr>
                <w:rFonts w:hint="eastAsia"/>
                <w:color w:val="auto"/>
                <w:lang w:val="en-US" w:eastAsia="zh-CN"/>
              </w:rPr>
            </w:pPr>
            <w:r>
              <w:rPr>
                <w:rFonts w:hint="eastAsia"/>
                <w:color w:val="auto"/>
                <w:lang w:val="en-US" w:eastAsia="zh-CN"/>
              </w:rPr>
              <w:t>30</w:t>
            </w:r>
          </w:p>
        </w:tc>
        <w:tc>
          <w:tcPr>
            <w:tcW w:w="1926" w:type="dxa"/>
            <w:tcBorders>
              <w:top w:val="nil"/>
              <w:left w:val="nil"/>
              <w:bottom w:val="single" w:color="auto" w:sz="4" w:space="0"/>
              <w:right w:val="single" w:color="auto" w:sz="4" w:space="0"/>
            </w:tcBorders>
            <w:shd w:val="clear" w:color="auto" w:fill="auto"/>
            <w:noWrap/>
            <w:vAlign w:val="bottom"/>
          </w:tcPr>
          <w:p w14:paraId="37810149">
            <w:pPr>
              <w:pStyle w:val="3361"/>
              <w:rPr>
                <w:rFonts w:hint="eastAsia"/>
                <w:color w:val="auto"/>
                <w:lang w:val="en-US" w:eastAsia="zh-CN"/>
              </w:rPr>
            </w:pPr>
            <w:r>
              <w:rPr>
                <w:rFonts w:hint="eastAsia"/>
                <w:color w:val="auto"/>
                <w:lang w:val="en-US" w:eastAsia="zh-CN"/>
              </w:rPr>
              <w:t>8.88E+00</w:t>
            </w:r>
          </w:p>
        </w:tc>
        <w:tc>
          <w:tcPr>
            <w:tcW w:w="1159" w:type="dxa"/>
            <w:tcBorders>
              <w:top w:val="nil"/>
              <w:left w:val="nil"/>
              <w:bottom w:val="single" w:color="auto" w:sz="4" w:space="0"/>
              <w:right w:val="single" w:color="auto" w:sz="4" w:space="0"/>
            </w:tcBorders>
            <w:shd w:val="clear" w:color="auto" w:fill="auto"/>
            <w:noWrap/>
            <w:vAlign w:val="bottom"/>
          </w:tcPr>
          <w:p w14:paraId="1D0FBD62">
            <w:pPr>
              <w:pStyle w:val="3361"/>
              <w:rPr>
                <w:rFonts w:hint="eastAsia"/>
                <w:color w:val="auto"/>
                <w:lang w:val="en-US" w:eastAsia="zh-CN"/>
              </w:rPr>
            </w:pPr>
            <w:r>
              <w:rPr>
                <w:rFonts w:hint="eastAsia"/>
                <w:color w:val="auto"/>
                <w:lang w:val="en-US" w:eastAsia="zh-CN"/>
              </w:rPr>
              <w:t>30</w:t>
            </w:r>
          </w:p>
        </w:tc>
        <w:tc>
          <w:tcPr>
            <w:tcW w:w="1777" w:type="dxa"/>
            <w:tcBorders>
              <w:top w:val="nil"/>
              <w:left w:val="nil"/>
              <w:bottom w:val="single" w:color="auto" w:sz="4" w:space="0"/>
              <w:right w:val="single" w:color="auto" w:sz="4" w:space="0"/>
            </w:tcBorders>
            <w:shd w:val="clear" w:color="auto" w:fill="auto"/>
            <w:noWrap/>
            <w:vAlign w:val="bottom"/>
          </w:tcPr>
          <w:p w14:paraId="3C271CF9">
            <w:pPr>
              <w:pStyle w:val="3361"/>
              <w:rPr>
                <w:rFonts w:hint="eastAsia"/>
                <w:color w:val="auto"/>
                <w:lang w:val="en-US" w:eastAsia="zh-CN"/>
              </w:rPr>
            </w:pPr>
            <w:r>
              <w:rPr>
                <w:rFonts w:hint="eastAsia"/>
                <w:color w:val="auto"/>
                <w:lang w:val="en-US" w:eastAsia="zh-CN"/>
              </w:rPr>
              <w:t>1.60E+00</w:t>
            </w:r>
          </w:p>
        </w:tc>
      </w:tr>
      <w:tr w14:paraId="1D3536BB">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44C282B5">
            <w:pPr>
              <w:pStyle w:val="3361"/>
              <w:rPr>
                <w:rFonts w:hint="eastAsia"/>
                <w:color w:val="auto"/>
                <w:lang w:val="en-US" w:eastAsia="zh-CN"/>
              </w:rPr>
            </w:pPr>
            <w:r>
              <w:rPr>
                <w:rFonts w:hint="eastAsia"/>
                <w:color w:val="auto"/>
                <w:lang w:val="en-US" w:eastAsia="zh-CN"/>
              </w:rPr>
              <w:t>35</w:t>
            </w:r>
          </w:p>
        </w:tc>
        <w:tc>
          <w:tcPr>
            <w:tcW w:w="1378" w:type="dxa"/>
            <w:tcBorders>
              <w:top w:val="nil"/>
              <w:left w:val="nil"/>
              <w:bottom w:val="single" w:color="auto" w:sz="4" w:space="0"/>
              <w:right w:val="single" w:color="auto" w:sz="4" w:space="0"/>
            </w:tcBorders>
            <w:shd w:val="clear" w:color="auto" w:fill="auto"/>
            <w:noWrap/>
            <w:vAlign w:val="bottom"/>
          </w:tcPr>
          <w:p w14:paraId="77812ACD">
            <w:pPr>
              <w:pStyle w:val="3361"/>
              <w:rPr>
                <w:rFonts w:hint="eastAsia"/>
                <w:color w:val="auto"/>
                <w:lang w:val="en-US" w:eastAsia="zh-CN"/>
              </w:rPr>
            </w:pPr>
            <w:r>
              <w:rPr>
                <w:rFonts w:hint="eastAsia"/>
                <w:color w:val="auto"/>
                <w:lang w:val="en-US" w:eastAsia="zh-CN"/>
              </w:rPr>
              <w:t>7.36E+00</w:t>
            </w:r>
          </w:p>
        </w:tc>
        <w:tc>
          <w:tcPr>
            <w:tcW w:w="1265" w:type="dxa"/>
            <w:tcBorders>
              <w:top w:val="nil"/>
              <w:left w:val="nil"/>
              <w:bottom w:val="single" w:color="auto" w:sz="4" w:space="0"/>
              <w:right w:val="single" w:color="auto" w:sz="4" w:space="0"/>
            </w:tcBorders>
            <w:shd w:val="clear" w:color="auto" w:fill="auto"/>
            <w:noWrap/>
            <w:vAlign w:val="bottom"/>
          </w:tcPr>
          <w:p w14:paraId="5C2A7F10">
            <w:pPr>
              <w:pStyle w:val="3361"/>
              <w:rPr>
                <w:rFonts w:hint="eastAsia"/>
                <w:color w:val="auto"/>
                <w:lang w:val="en-US" w:eastAsia="zh-CN"/>
              </w:rPr>
            </w:pPr>
            <w:r>
              <w:rPr>
                <w:rFonts w:hint="eastAsia"/>
                <w:color w:val="auto"/>
                <w:lang w:val="en-US" w:eastAsia="zh-CN"/>
              </w:rPr>
              <w:t>35</w:t>
            </w:r>
          </w:p>
        </w:tc>
        <w:tc>
          <w:tcPr>
            <w:tcW w:w="1926" w:type="dxa"/>
            <w:tcBorders>
              <w:top w:val="nil"/>
              <w:left w:val="nil"/>
              <w:bottom w:val="single" w:color="auto" w:sz="4" w:space="0"/>
              <w:right w:val="single" w:color="auto" w:sz="4" w:space="0"/>
            </w:tcBorders>
            <w:shd w:val="clear" w:color="auto" w:fill="auto"/>
            <w:noWrap/>
            <w:vAlign w:val="bottom"/>
          </w:tcPr>
          <w:p w14:paraId="783912BF">
            <w:pPr>
              <w:pStyle w:val="3361"/>
              <w:rPr>
                <w:rFonts w:hint="eastAsia"/>
                <w:color w:val="auto"/>
                <w:lang w:val="en-US" w:eastAsia="zh-CN"/>
              </w:rPr>
            </w:pPr>
            <w:r>
              <w:rPr>
                <w:rFonts w:hint="eastAsia"/>
                <w:color w:val="auto"/>
                <w:lang w:val="en-US" w:eastAsia="zh-CN"/>
              </w:rPr>
              <w:t>9.60E+00</w:t>
            </w:r>
          </w:p>
        </w:tc>
        <w:tc>
          <w:tcPr>
            <w:tcW w:w="1159" w:type="dxa"/>
            <w:tcBorders>
              <w:top w:val="nil"/>
              <w:left w:val="nil"/>
              <w:bottom w:val="single" w:color="auto" w:sz="4" w:space="0"/>
              <w:right w:val="single" w:color="auto" w:sz="4" w:space="0"/>
            </w:tcBorders>
            <w:shd w:val="clear" w:color="auto" w:fill="auto"/>
            <w:noWrap/>
            <w:vAlign w:val="bottom"/>
          </w:tcPr>
          <w:p w14:paraId="179A24C1">
            <w:pPr>
              <w:pStyle w:val="3361"/>
              <w:rPr>
                <w:rFonts w:hint="eastAsia"/>
                <w:color w:val="auto"/>
                <w:lang w:val="en-US" w:eastAsia="zh-CN"/>
              </w:rPr>
            </w:pPr>
            <w:r>
              <w:rPr>
                <w:rFonts w:hint="eastAsia"/>
                <w:color w:val="auto"/>
                <w:lang w:val="en-US" w:eastAsia="zh-CN"/>
              </w:rPr>
              <w:t>35</w:t>
            </w:r>
          </w:p>
        </w:tc>
        <w:tc>
          <w:tcPr>
            <w:tcW w:w="1777" w:type="dxa"/>
            <w:tcBorders>
              <w:top w:val="nil"/>
              <w:left w:val="nil"/>
              <w:bottom w:val="single" w:color="auto" w:sz="4" w:space="0"/>
              <w:right w:val="single" w:color="auto" w:sz="4" w:space="0"/>
            </w:tcBorders>
            <w:shd w:val="clear" w:color="auto" w:fill="auto"/>
            <w:noWrap/>
            <w:vAlign w:val="bottom"/>
          </w:tcPr>
          <w:p w14:paraId="3DC9A965">
            <w:pPr>
              <w:pStyle w:val="3361"/>
              <w:rPr>
                <w:rFonts w:hint="eastAsia"/>
                <w:color w:val="auto"/>
                <w:lang w:val="en-US" w:eastAsia="zh-CN"/>
              </w:rPr>
            </w:pPr>
            <w:r>
              <w:rPr>
                <w:rFonts w:hint="eastAsia"/>
                <w:color w:val="auto"/>
                <w:lang w:val="en-US" w:eastAsia="zh-CN"/>
              </w:rPr>
              <w:t>1.73E+00</w:t>
            </w:r>
          </w:p>
        </w:tc>
      </w:tr>
      <w:tr w14:paraId="1D1E0A53">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1911F6AD">
            <w:pPr>
              <w:pStyle w:val="3361"/>
              <w:rPr>
                <w:rFonts w:hint="eastAsia"/>
                <w:color w:val="auto"/>
                <w:lang w:val="en-US" w:eastAsia="zh-CN"/>
              </w:rPr>
            </w:pPr>
            <w:r>
              <w:rPr>
                <w:rFonts w:hint="eastAsia"/>
                <w:color w:val="auto"/>
                <w:lang w:val="en-US" w:eastAsia="zh-CN"/>
              </w:rPr>
              <w:t>40</w:t>
            </w:r>
          </w:p>
        </w:tc>
        <w:tc>
          <w:tcPr>
            <w:tcW w:w="1378" w:type="dxa"/>
            <w:tcBorders>
              <w:top w:val="nil"/>
              <w:left w:val="nil"/>
              <w:bottom w:val="single" w:color="auto" w:sz="4" w:space="0"/>
              <w:right w:val="single" w:color="auto" w:sz="4" w:space="0"/>
            </w:tcBorders>
            <w:shd w:val="clear" w:color="auto" w:fill="auto"/>
            <w:noWrap/>
            <w:vAlign w:val="bottom"/>
          </w:tcPr>
          <w:p w14:paraId="68010042">
            <w:pPr>
              <w:pStyle w:val="3361"/>
              <w:rPr>
                <w:rFonts w:hint="eastAsia"/>
                <w:color w:val="auto"/>
                <w:lang w:val="en-US" w:eastAsia="zh-CN"/>
              </w:rPr>
            </w:pPr>
            <w:r>
              <w:rPr>
                <w:rFonts w:hint="eastAsia"/>
                <w:color w:val="auto"/>
                <w:lang w:val="en-US" w:eastAsia="zh-CN"/>
              </w:rPr>
              <w:t>3.89E+00</w:t>
            </w:r>
          </w:p>
        </w:tc>
        <w:tc>
          <w:tcPr>
            <w:tcW w:w="1265" w:type="dxa"/>
            <w:tcBorders>
              <w:top w:val="nil"/>
              <w:left w:val="nil"/>
              <w:bottom w:val="single" w:color="auto" w:sz="4" w:space="0"/>
              <w:right w:val="single" w:color="auto" w:sz="4" w:space="0"/>
            </w:tcBorders>
            <w:shd w:val="clear" w:color="auto" w:fill="auto"/>
            <w:noWrap/>
            <w:vAlign w:val="bottom"/>
          </w:tcPr>
          <w:p w14:paraId="0AA4F80C">
            <w:pPr>
              <w:pStyle w:val="3361"/>
              <w:rPr>
                <w:rFonts w:hint="eastAsia"/>
                <w:color w:val="auto"/>
                <w:lang w:val="en-US" w:eastAsia="zh-CN"/>
              </w:rPr>
            </w:pPr>
            <w:r>
              <w:rPr>
                <w:rFonts w:hint="eastAsia"/>
                <w:color w:val="auto"/>
                <w:lang w:val="en-US" w:eastAsia="zh-CN"/>
              </w:rPr>
              <w:t>40</w:t>
            </w:r>
          </w:p>
        </w:tc>
        <w:tc>
          <w:tcPr>
            <w:tcW w:w="1926" w:type="dxa"/>
            <w:tcBorders>
              <w:top w:val="nil"/>
              <w:left w:val="nil"/>
              <w:bottom w:val="single" w:color="auto" w:sz="4" w:space="0"/>
              <w:right w:val="single" w:color="auto" w:sz="4" w:space="0"/>
            </w:tcBorders>
            <w:shd w:val="clear" w:color="auto" w:fill="auto"/>
            <w:noWrap/>
            <w:vAlign w:val="bottom"/>
          </w:tcPr>
          <w:p w14:paraId="06DE7ED7">
            <w:pPr>
              <w:pStyle w:val="3361"/>
              <w:rPr>
                <w:rFonts w:hint="eastAsia"/>
                <w:color w:val="auto"/>
                <w:lang w:val="en-US" w:eastAsia="zh-CN"/>
              </w:rPr>
            </w:pPr>
            <w:r>
              <w:rPr>
                <w:rFonts w:hint="eastAsia"/>
                <w:color w:val="auto"/>
                <w:lang w:val="en-US" w:eastAsia="zh-CN"/>
              </w:rPr>
              <w:t>1.02E+01</w:t>
            </w:r>
          </w:p>
        </w:tc>
        <w:tc>
          <w:tcPr>
            <w:tcW w:w="1159" w:type="dxa"/>
            <w:tcBorders>
              <w:top w:val="nil"/>
              <w:left w:val="nil"/>
              <w:bottom w:val="single" w:color="auto" w:sz="4" w:space="0"/>
              <w:right w:val="single" w:color="auto" w:sz="4" w:space="0"/>
            </w:tcBorders>
            <w:shd w:val="clear" w:color="auto" w:fill="auto"/>
            <w:noWrap/>
            <w:vAlign w:val="bottom"/>
          </w:tcPr>
          <w:p w14:paraId="1DB332DF">
            <w:pPr>
              <w:pStyle w:val="3361"/>
              <w:rPr>
                <w:rFonts w:hint="eastAsia"/>
                <w:color w:val="auto"/>
                <w:lang w:val="en-US" w:eastAsia="zh-CN"/>
              </w:rPr>
            </w:pPr>
            <w:r>
              <w:rPr>
                <w:rFonts w:hint="eastAsia"/>
                <w:color w:val="auto"/>
                <w:lang w:val="en-US" w:eastAsia="zh-CN"/>
              </w:rPr>
              <w:t>40</w:t>
            </w:r>
          </w:p>
        </w:tc>
        <w:tc>
          <w:tcPr>
            <w:tcW w:w="1777" w:type="dxa"/>
            <w:tcBorders>
              <w:top w:val="nil"/>
              <w:left w:val="nil"/>
              <w:bottom w:val="single" w:color="auto" w:sz="4" w:space="0"/>
              <w:right w:val="single" w:color="auto" w:sz="4" w:space="0"/>
            </w:tcBorders>
            <w:shd w:val="clear" w:color="auto" w:fill="auto"/>
            <w:noWrap/>
            <w:vAlign w:val="bottom"/>
          </w:tcPr>
          <w:p w14:paraId="1A0D921A">
            <w:pPr>
              <w:pStyle w:val="3361"/>
              <w:rPr>
                <w:rFonts w:hint="eastAsia"/>
                <w:color w:val="auto"/>
                <w:lang w:val="en-US" w:eastAsia="zh-CN"/>
              </w:rPr>
            </w:pPr>
            <w:r>
              <w:rPr>
                <w:rFonts w:hint="eastAsia"/>
                <w:color w:val="auto"/>
                <w:lang w:val="en-US" w:eastAsia="zh-CN"/>
              </w:rPr>
              <w:t>1.86E+00</w:t>
            </w:r>
          </w:p>
        </w:tc>
      </w:tr>
      <w:tr w14:paraId="75F85EA6">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33272FBF">
            <w:pPr>
              <w:pStyle w:val="3361"/>
              <w:rPr>
                <w:rFonts w:hint="eastAsia"/>
                <w:color w:val="auto"/>
                <w:lang w:val="en-US" w:eastAsia="zh-CN"/>
              </w:rPr>
            </w:pPr>
            <w:r>
              <w:rPr>
                <w:rFonts w:hint="eastAsia"/>
                <w:color w:val="auto"/>
                <w:lang w:val="en-US" w:eastAsia="zh-CN"/>
              </w:rPr>
              <w:t>45</w:t>
            </w:r>
          </w:p>
        </w:tc>
        <w:tc>
          <w:tcPr>
            <w:tcW w:w="1378" w:type="dxa"/>
            <w:tcBorders>
              <w:top w:val="nil"/>
              <w:left w:val="nil"/>
              <w:bottom w:val="single" w:color="auto" w:sz="4" w:space="0"/>
              <w:right w:val="single" w:color="auto" w:sz="4" w:space="0"/>
            </w:tcBorders>
            <w:shd w:val="clear" w:color="auto" w:fill="auto"/>
            <w:noWrap/>
            <w:vAlign w:val="bottom"/>
          </w:tcPr>
          <w:p w14:paraId="60BFCADA">
            <w:pPr>
              <w:pStyle w:val="3361"/>
              <w:rPr>
                <w:rFonts w:hint="eastAsia"/>
                <w:color w:val="auto"/>
                <w:lang w:val="en-US" w:eastAsia="zh-CN"/>
              </w:rPr>
            </w:pPr>
            <w:r>
              <w:rPr>
                <w:rFonts w:hint="eastAsia"/>
                <w:color w:val="auto"/>
                <w:lang w:val="en-US" w:eastAsia="zh-CN"/>
              </w:rPr>
              <w:t>1.92E+00</w:t>
            </w:r>
          </w:p>
        </w:tc>
        <w:tc>
          <w:tcPr>
            <w:tcW w:w="1265" w:type="dxa"/>
            <w:tcBorders>
              <w:top w:val="nil"/>
              <w:left w:val="nil"/>
              <w:bottom w:val="single" w:color="auto" w:sz="4" w:space="0"/>
              <w:right w:val="single" w:color="auto" w:sz="4" w:space="0"/>
            </w:tcBorders>
            <w:shd w:val="clear" w:color="auto" w:fill="auto"/>
            <w:noWrap/>
            <w:vAlign w:val="bottom"/>
          </w:tcPr>
          <w:p w14:paraId="562AC749">
            <w:pPr>
              <w:pStyle w:val="3361"/>
              <w:rPr>
                <w:rFonts w:hint="eastAsia"/>
                <w:color w:val="auto"/>
                <w:lang w:val="en-US" w:eastAsia="zh-CN"/>
              </w:rPr>
            </w:pPr>
            <w:r>
              <w:rPr>
                <w:rFonts w:hint="eastAsia"/>
                <w:color w:val="auto"/>
                <w:lang w:val="en-US" w:eastAsia="zh-CN"/>
              </w:rPr>
              <w:t>45</w:t>
            </w:r>
          </w:p>
        </w:tc>
        <w:tc>
          <w:tcPr>
            <w:tcW w:w="1926" w:type="dxa"/>
            <w:tcBorders>
              <w:top w:val="nil"/>
              <w:left w:val="nil"/>
              <w:bottom w:val="single" w:color="auto" w:sz="4" w:space="0"/>
              <w:right w:val="single" w:color="auto" w:sz="4" w:space="0"/>
            </w:tcBorders>
            <w:shd w:val="clear" w:color="auto" w:fill="auto"/>
            <w:noWrap/>
            <w:vAlign w:val="bottom"/>
          </w:tcPr>
          <w:p w14:paraId="2DB2FB03">
            <w:pPr>
              <w:pStyle w:val="3361"/>
              <w:rPr>
                <w:rFonts w:hint="eastAsia"/>
                <w:color w:val="auto"/>
                <w:lang w:val="en-US" w:eastAsia="zh-CN"/>
              </w:rPr>
            </w:pPr>
            <w:r>
              <w:rPr>
                <w:rFonts w:hint="eastAsia"/>
                <w:color w:val="auto"/>
                <w:lang w:val="en-US" w:eastAsia="zh-CN"/>
              </w:rPr>
              <w:t>1.07E+01</w:t>
            </w:r>
          </w:p>
        </w:tc>
        <w:tc>
          <w:tcPr>
            <w:tcW w:w="1159" w:type="dxa"/>
            <w:tcBorders>
              <w:top w:val="nil"/>
              <w:left w:val="nil"/>
              <w:bottom w:val="single" w:color="auto" w:sz="4" w:space="0"/>
              <w:right w:val="single" w:color="auto" w:sz="4" w:space="0"/>
            </w:tcBorders>
            <w:shd w:val="clear" w:color="auto" w:fill="auto"/>
            <w:noWrap/>
            <w:vAlign w:val="bottom"/>
          </w:tcPr>
          <w:p w14:paraId="495D90D1">
            <w:pPr>
              <w:pStyle w:val="3361"/>
              <w:rPr>
                <w:rFonts w:hint="eastAsia"/>
                <w:color w:val="auto"/>
                <w:lang w:val="en-US" w:eastAsia="zh-CN"/>
              </w:rPr>
            </w:pPr>
            <w:r>
              <w:rPr>
                <w:rFonts w:hint="eastAsia"/>
                <w:color w:val="auto"/>
                <w:lang w:val="en-US" w:eastAsia="zh-CN"/>
              </w:rPr>
              <w:t>45</w:t>
            </w:r>
          </w:p>
        </w:tc>
        <w:tc>
          <w:tcPr>
            <w:tcW w:w="1777" w:type="dxa"/>
            <w:tcBorders>
              <w:top w:val="nil"/>
              <w:left w:val="nil"/>
              <w:bottom w:val="single" w:color="auto" w:sz="4" w:space="0"/>
              <w:right w:val="single" w:color="auto" w:sz="4" w:space="0"/>
            </w:tcBorders>
            <w:shd w:val="clear" w:color="auto" w:fill="auto"/>
            <w:noWrap/>
            <w:vAlign w:val="bottom"/>
          </w:tcPr>
          <w:p w14:paraId="28865BEC">
            <w:pPr>
              <w:pStyle w:val="3361"/>
              <w:rPr>
                <w:rFonts w:hint="eastAsia"/>
                <w:color w:val="auto"/>
                <w:lang w:val="en-US" w:eastAsia="zh-CN"/>
              </w:rPr>
            </w:pPr>
            <w:r>
              <w:rPr>
                <w:rFonts w:hint="eastAsia"/>
                <w:color w:val="auto"/>
                <w:lang w:val="en-US" w:eastAsia="zh-CN"/>
              </w:rPr>
              <w:t>2.00E+00</w:t>
            </w:r>
          </w:p>
        </w:tc>
      </w:tr>
      <w:tr w14:paraId="2D1619DF">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4F579399">
            <w:pPr>
              <w:pStyle w:val="3361"/>
              <w:rPr>
                <w:rFonts w:hint="eastAsia"/>
                <w:color w:val="auto"/>
                <w:lang w:val="en-US" w:eastAsia="zh-CN"/>
              </w:rPr>
            </w:pPr>
            <w:r>
              <w:rPr>
                <w:rFonts w:hint="eastAsia"/>
                <w:color w:val="auto"/>
                <w:lang w:val="en-US" w:eastAsia="zh-CN"/>
              </w:rPr>
              <w:t>50</w:t>
            </w:r>
          </w:p>
        </w:tc>
        <w:tc>
          <w:tcPr>
            <w:tcW w:w="1378" w:type="dxa"/>
            <w:tcBorders>
              <w:top w:val="nil"/>
              <w:left w:val="nil"/>
              <w:bottom w:val="single" w:color="auto" w:sz="4" w:space="0"/>
              <w:right w:val="single" w:color="auto" w:sz="4" w:space="0"/>
            </w:tcBorders>
            <w:shd w:val="clear" w:color="auto" w:fill="auto"/>
            <w:noWrap/>
            <w:vAlign w:val="bottom"/>
          </w:tcPr>
          <w:p w14:paraId="58040532">
            <w:pPr>
              <w:pStyle w:val="3361"/>
              <w:rPr>
                <w:rFonts w:hint="eastAsia"/>
                <w:color w:val="auto"/>
                <w:lang w:val="en-US" w:eastAsia="zh-CN"/>
              </w:rPr>
            </w:pPr>
            <w:r>
              <w:rPr>
                <w:rFonts w:hint="eastAsia"/>
                <w:color w:val="auto"/>
                <w:lang w:val="en-US" w:eastAsia="zh-CN"/>
              </w:rPr>
              <w:t>8.76E-01</w:t>
            </w:r>
          </w:p>
        </w:tc>
        <w:tc>
          <w:tcPr>
            <w:tcW w:w="1265" w:type="dxa"/>
            <w:tcBorders>
              <w:top w:val="nil"/>
              <w:left w:val="nil"/>
              <w:bottom w:val="single" w:color="auto" w:sz="4" w:space="0"/>
              <w:right w:val="single" w:color="auto" w:sz="4" w:space="0"/>
            </w:tcBorders>
            <w:shd w:val="clear" w:color="auto" w:fill="auto"/>
            <w:noWrap/>
            <w:vAlign w:val="bottom"/>
          </w:tcPr>
          <w:p w14:paraId="536668FF">
            <w:pPr>
              <w:pStyle w:val="3361"/>
              <w:rPr>
                <w:rFonts w:hint="eastAsia"/>
                <w:color w:val="auto"/>
                <w:lang w:val="en-US" w:eastAsia="zh-CN"/>
              </w:rPr>
            </w:pPr>
            <w:r>
              <w:rPr>
                <w:rFonts w:hint="eastAsia"/>
                <w:color w:val="auto"/>
                <w:lang w:val="en-US" w:eastAsia="zh-CN"/>
              </w:rPr>
              <w:t>50</w:t>
            </w:r>
          </w:p>
        </w:tc>
        <w:tc>
          <w:tcPr>
            <w:tcW w:w="1926" w:type="dxa"/>
            <w:tcBorders>
              <w:top w:val="nil"/>
              <w:left w:val="nil"/>
              <w:bottom w:val="single" w:color="auto" w:sz="4" w:space="0"/>
              <w:right w:val="single" w:color="auto" w:sz="4" w:space="0"/>
            </w:tcBorders>
            <w:shd w:val="clear" w:color="auto" w:fill="auto"/>
            <w:noWrap/>
            <w:vAlign w:val="bottom"/>
          </w:tcPr>
          <w:p w14:paraId="411C2AF6">
            <w:pPr>
              <w:pStyle w:val="3361"/>
              <w:rPr>
                <w:rFonts w:hint="eastAsia"/>
                <w:color w:val="auto"/>
                <w:lang w:val="en-US" w:eastAsia="zh-CN"/>
              </w:rPr>
            </w:pPr>
            <w:r>
              <w:rPr>
                <w:rFonts w:hint="eastAsia"/>
                <w:color w:val="auto"/>
                <w:lang w:val="en-US" w:eastAsia="zh-CN"/>
              </w:rPr>
              <w:t>1.11E+01</w:t>
            </w:r>
          </w:p>
        </w:tc>
        <w:tc>
          <w:tcPr>
            <w:tcW w:w="1159" w:type="dxa"/>
            <w:tcBorders>
              <w:top w:val="nil"/>
              <w:left w:val="nil"/>
              <w:bottom w:val="single" w:color="auto" w:sz="4" w:space="0"/>
              <w:right w:val="single" w:color="auto" w:sz="4" w:space="0"/>
            </w:tcBorders>
            <w:shd w:val="clear" w:color="auto" w:fill="auto"/>
            <w:noWrap/>
            <w:vAlign w:val="bottom"/>
          </w:tcPr>
          <w:p w14:paraId="3D9775E5">
            <w:pPr>
              <w:pStyle w:val="3361"/>
              <w:rPr>
                <w:rFonts w:hint="eastAsia"/>
                <w:color w:val="auto"/>
                <w:lang w:val="en-US" w:eastAsia="zh-CN"/>
              </w:rPr>
            </w:pPr>
            <w:r>
              <w:rPr>
                <w:rFonts w:hint="eastAsia"/>
                <w:color w:val="auto"/>
                <w:lang w:val="en-US" w:eastAsia="zh-CN"/>
              </w:rPr>
              <w:t>50</w:t>
            </w:r>
          </w:p>
        </w:tc>
        <w:tc>
          <w:tcPr>
            <w:tcW w:w="1777" w:type="dxa"/>
            <w:tcBorders>
              <w:top w:val="nil"/>
              <w:left w:val="nil"/>
              <w:bottom w:val="single" w:color="auto" w:sz="4" w:space="0"/>
              <w:right w:val="single" w:color="auto" w:sz="4" w:space="0"/>
            </w:tcBorders>
            <w:shd w:val="clear" w:color="auto" w:fill="auto"/>
            <w:noWrap/>
            <w:vAlign w:val="bottom"/>
          </w:tcPr>
          <w:p w14:paraId="04555124">
            <w:pPr>
              <w:pStyle w:val="3361"/>
              <w:rPr>
                <w:rFonts w:hint="eastAsia"/>
                <w:color w:val="auto"/>
                <w:lang w:val="en-US" w:eastAsia="zh-CN"/>
              </w:rPr>
            </w:pPr>
            <w:r>
              <w:rPr>
                <w:rFonts w:hint="eastAsia"/>
                <w:color w:val="auto"/>
                <w:lang w:val="en-US" w:eastAsia="zh-CN"/>
              </w:rPr>
              <w:t>2.14E+00</w:t>
            </w:r>
          </w:p>
        </w:tc>
      </w:tr>
      <w:tr w14:paraId="1A96B95C">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73011074">
            <w:pPr>
              <w:pStyle w:val="3361"/>
              <w:rPr>
                <w:rFonts w:hint="eastAsia"/>
                <w:color w:val="auto"/>
                <w:lang w:val="en-US" w:eastAsia="zh-CN"/>
              </w:rPr>
            </w:pPr>
            <w:r>
              <w:rPr>
                <w:rFonts w:hint="eastAsia"/>
                <w:color w:val="auto"/>
                <w:lang w:val="en-US" w:eastAsia="zh-CN"/>
              </w:rPr>
              <w:t>55</w:t>
            </w:r>
          </w:p>
        </w:tc>
        <w:tc>
          <w:tcPr>
            <w:tcW w:w="1378" w:type="dxa"/>
            <w:tcBorders>
              <w:top w:val="nil"/>
              <w:left w:val="nil"/>
              <w:bottom w:val="single" w:color="auto" w:sz="4" w:space="0"/>
              <w:right w:val="single" w:color="auto" w:sz="4" w:space="0"/>
            </w:tcBorders>
            <w:shd w:val="clear" w:color="auto" w:fill="auto"/>
            <w:noWrap/>
            <w:vAlign w:val="bottom"/>
          </w:tcPr>
          <w:p w14:paraId="3FABD4EE">
            <w:pPr>
              <w:pStyle w:val="3361"/>
              <w:rPr>
                <w:rFonts w:hint="eastAsia"/>
                <w:color w:val="auto"/>
                <w:lang w:val="en-US" w:eastAsia="zh-CN"/>
              </w:rPr>
            </w:pPr>
            <w:r>
              <w:rPr>
                <w:rFonts w:hint="eastAsia"/>
                <w:color w:val="auto"/>
                <w:lang w:val="en-US" w:eastAsia="zh-CN"/>
              </w:rPr>
              <w:t>3.74E-01</w:t>
            </w:r>
          </w:p>
        </w:tc>
        <w:tc>
          <w:tcPr>
            <w:tcW w:w="1265" w:type="dxa"/>
            <w:tcBorders>
              <w:top w:val="nil"/>
              <w:left w:val="nil"/>
              <w:bottom w:val="single" w:color="auto" w:sz="4" w:space="0"/>
              <w:right w:val="single" w:color="auto" w:sz="4" w:space="0"/>
            </w:tcBorders>
            <w:shd w:val="clear" w:color="auto" w:fill="auto"/>
            <w:noWrap/>
            <w:vAlign w:val="bottom"/>
          </w:tcPr>
          <w:p w14:paraId="7D7B027A">
            <w:pPr>
              <w:pStyle w:val="3361"/>
              <w:rPr>
                <w:rFonts w:hint="eastAsia"/>
                <w:color w:val="auto"/>
                <w:lang w:val="en-US" w:eastAsia="zh-CN"/>
              </w:rPr>
            </w:pPr>
            <w:r>
              <w:rPr>
                <w:rFonts w:hint="eastAsia"/>
                <w:color w:val="auto"/>
                <w:lang w:val="en-US" w:eastAsia="zh-CN"/>
              </w:rPr>
              <w:t>55</w:t>
            </w:r>
          </w:p>
        </w:tc>
        <w:tc>
          <w:tcPr>
            <w:tcW w:w="1926" w:type="dxa"/>
            <w:tcBorders>
              <w:top w:val="nil"/>
              <w:left w:val="nil"/>
              <w:bottom w:val="single" w:color="auto" w:sz="4" w:space="0"/>
              <w:right w:val="single" w:color="auto" w:sz="4" w:space="0"/>
            </w:tcBorders>
            <w:shd w:val="clear" w:color="auto" w:fill="auto"/>
            <w:noWrap/>
            <w:vAlign w:val="bottom"/>
          </w:tcPr>
          <w:p w14:paraId="70E5A23B">
            <w:pPr>
              <w:pStyle w:val="3361"/>
              <w:rPr>
                <w:rFonts w:hint="eastAsia"/>
                <w:color w:val="auto"/>
                <w:lang w:val="en-US" w:eastAsia="zh-CN"/>
              </w:rPr>
            </w:pPr>
            <w:r>
              <w:rPr>
                <w:rFonts w:hint="eastAsia"/>
                <w:color w:val="auto"/>
                <w:lang w:val="en-US" w:eastAsia="zh-CN"/>
              </w:rPr>
              <w:t>1.14E+01</w:t>
            </w:r>
          </w:p>
        </w:tc>
        <w:tc>
          <w:tcPr>
            <w:tcW w:w="1159" w:type="dxa"/>
            <w:tcBorders>
              <w:top w:val="nil"/>
              <w:left w:val="nil"/>
              <w:bottom w:val="single" w:color="auto" w:sz="4" w:space="0"/>
              <w:right w:val="single" w:color="auto" w:sz="4" w:space="0"/>
            </w:tcBorders>
            <w:shd w:val="clear" w:color="auto" w:fill="auto"/>
            <w:noWrap/>
            <w:vAlign w:val="bottom"/>
          </w:tcPr>
          <w:p w14:paraId="4A4D8D08">
            <w:pPr>
              <w:pStyle w:val="3361"/>
              <w:rPr>
                <w:rFonts w:hint="eastAsia"/>
                <w:color w:val="auto"/>
                <w:lang w:val="en-US" w:eastAsia="zh-CN"/>
              </w:rPr>
            </w:pPr>
            <w:r>
              <w:rPr>
                <w:rFonts w:hint="eastAsia"/>
                <w:color w:val="auto"/>
                <w:lang w:val="en-US" w:eastAsia="zh-CN"/>
              </w:rPr>
              <w:t>55</w:t>
            </w:r>
          </w:p>
        </w:tc>
        <w:tc>
          <w:tcPr>
            <w:tcW w:w="1777" w:type="dxa"/>
            <w:tcBorders>
              <w:top w:val="nil"/>
              <w:left w:val="nil"/>
              <w:bottom w:val="single" w:color="auto" w:sz="4" w:space="0"/>
              <w:right w:val="single" w:color="auto" w:sz="4" w:space="0"/>
            </w:tcBorders>
            <w:shd w:val="clear" w:color="auto" w:fill="auto"/>
            <w:noWrap/>
            <w:vAlign w:val="bottom"/>
          </w:tcPr>
          <w:p w14:paraId="21CF4C3C">
            <w:pPr>
              <w:pStyle w:val="3361"/>
              <w:rPr>
                <w:rFonts w:hint="eastAsia"/>
                <w:color w:val="auto"/>
                <w:lang w:val="en-US" w:eastAsia="zh-CN"/>
              </w:rPr>
            </w:pPr>
            <w:r>
              <w:rPr>
                <w:rFonts w:hint="eastAsia"/>
                <w:color w:val="auto"/>
                <w:lang w:val="en-US" w:eastAsia="zh-CN"/>
              </w:rPr>
              <w:t>2.29E+00</w:t>
            </w:r>
          </w:p>
        </w:tc>
      </w:tr>
      <w:tr w14:paraId="01A8A105">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4E5DD31B">
            <w:pPr>
              <w:pStyle w:val="3361"/>
              <w:rPr>
                <w:rFonts w:hint="eastAsia"/>
                <w:color w:val="auto"/>
                <w:lang w:val="en-US" w:eastAsia="zh-CN"/>
              </w:rPr>
            </w:pPr>
            <w:r>
              <w:rPr>
                <w:rFonts w:hint="eastAsia"/>
                <w:color w:val="auto"/>
                <w:lang w:val="en-US" w:eastAsia="zh-CN"/>
              </w:rPr>
              <w:t>60</w:t>
            </w:r>
          </w:p>
        </w:tc>
        <w:tc>
          <w:tcPr>
            <w:tcW w:w="1378" w:type="dxa"/>
            <w:tcBorders>
              <w:top w:val="nil"/>
              <w:left w:val="nil"/>
              <w:bottom w:val="single" w:color="auto" w:sz="4" w:space="0"/>
              <w:right w:val="single" w:color="auto" w:sz="4" w:space="0"/>
            </w:tcBorders>
            <w:shd w:val="clear" w:color="auto" w:fill="auto"/>
            <w:noWrap/>
            <w:vAlign w:val="bottom"/>
          </w:tcPr>
          <w:p w14:paraId="6001000D">
            <w:pPr>
              <w:pStyle w:val="3361"/>
              <w:rPr>
                <w:rFonts w:hint="eastAsia"/>
                <w:color w:val="auto"/>
                <w:lang w:val="en-US" w:eastAsia="zh-CN"/>
              </w:rPr>
            </w:pPr>
            <w:r>
              <w:rPr>
                <w:rFonts w:hint="eastAsia"/>
                <w:color w:val="auto"/>
                <w:lang w:val="en-US" w:eastAsia="zh-CN"/>
              </w:rPr>
              <w:t>1.50E-01</w:t>
            </w:r>
          </w:p>
        </w:tc>
        <w:tc>
          <w:tcPr>
            <w:tcW w:w="1265" w:type="dxa"/>
            <w:tcBorders>
              <w:top w:val="nil"/>
              <w:left w:val="nil"/>
              <w:bottom w:val="single" w:color="auto" w:sz="4" w:space="0"/>
              <w:right w:val="single" w:color="auto" w:sz="4" w:space="0"/>
            </w:tcBorders>
            <w:shd w:val="clear" w:color="auto" w:fill="auto"/>
            <w:noWrap/>
            <w:vAlign w:val="bottom"/>
          </w:tcPr>
          <w:p w14:paraId="06B32161">
            <w:pPr>
              <w:pStyle w:val="3361"/>
              <w:rPr>
                <w:rFonts w:hint="eastAsia"/>
                <w:color w:val="auto"/>
                <w:lang w:val="en-US" w:eastAsia="zh-CN"/>
              </w:rPr>
            </w:pPr>
            <w:r>
              <w:rPr>
                <w:rFonts w:hint="eastAsia"/>
                <w:color w:val="auto"/>
                <w:lang w:val="en-US" w:eastAsia="zh-CN"/>
              </w:rPr>
              <w:t>60</w:t>
            </w:r>
          </w:p>
        </w:tc>
        <w:tc>
          <w:tcPr>
            <w:tcW w:w="1926" w:type="dxa"/>
            <w:tcBorders>
              <w:top w:val="nil"/>
              <w:left w:val="nil"/>
              <w:bottom w:val="single" w:color="auto" w:sz="4" w:space="0"/>
              <w:right w:val="single" w:color="auto" w:sz="4" w:space="0"/>
            </w:tcBorders>
            <w:shd w:val="clear" w:color="auto" w:fill="auto"/>
            <w:noWrap/>
            <w:vAlign w:val="bottom"/>
          </w:tcPr>
          <w:p w14:paraId="6A208F8C">
            <w:pPr>
              <w:pStyle w:val="3361"/>
              <w:rPr>
                <w:rFonts w:hint="eastAsia"/>
                <w:color w:val="auto"/>
                <w:lang w:val="en-US" w:eastAsia="zh-CN"/>
              </w:rPr>
            </w:pPr>
            <w:r>
              <w:rPr>
                <w:rFonts w:hint="eastAsia"/>
                <w:color w:val="auto"/>
                <w:lang w:val="en-US" w:eastAsia="zh-CN"/>
              </w:rPr>
              <w:t>1.15E+01</w:t>
            </w:r>
          </w:p>
        </w:tc>
        <w:tc>
          <w:tcPr>
            <w:tcW w:w="1159" w:type="dxa"/>
            <w:tcBorders>
              <w:top w:val="nil"/>
              <w:left w:val="nil"/>
              <w:bottom w:val="single" w:color="auto" w:sz="4" w:space="0"/>
              <w:right w:val="single" w:color="auto" w:sz="4" w:space="0"/>
            </w:tcBorders>
            <w:shd w:val="clear" w:color="auto" w:fill="auto"/>
            <w:noWrap/>
            <w:vAlign w:val="bottom"/>
          </w:tcPr>
          <w:p w14:paraId="116DA2FC">
            <w:pPr>
              <w:pStyle w:val="3361"/>
              <w:rPr>
                <w:rFonts w:hint="eastAsia"/>
                <w:color w:val="auto"/>
                <w:lang w:val="en-US" w:eastAsia="zh-CN"/>
              </w:rPr>
            </w:pPr>
            <w:r>
              <w:rPr>
                <w:rFonts w:hint="eastAsia"/>
                <w:color w:val="auto"/>
                <w:lang w:val="en-US" w:eastAsia="zh-CN"/>
              </w:rPr>
              <w:t>60</w:t>
            </w:r>
          </w:p>
        </w:tc>
        <w:tc>
          <w:tcPr>
            <w:tcW w:w="1777" w:type="dxa"/>
            <w:tcBorders>
              <w:top w:val="nil"/>
              <w:left w:val="nil"/>
              <w:bottom w:val="single" w:color="auto" w:sz="4" w:space="0"/>
              <w:right w:val="single" w:color="auto" w:sz="4" w:space="0"/>
            </w:tcBorders>
            <w:shd w:val="clear" w:color="auto" w:fill="auto"/>
            <w:noWrap/>
            <w:vAlign w:val="bottom"/>
          </w:tcPr>
          <w:p w14:paraId="308D9B17">
            <w:pPr>
              <w:pStyle w:val="3361"/>
              <w:rPr>
                <w:rFonts w:hint="eastAsia"/>
                <w:color w:val="auto"/>
                <w:lang w:val="en-US" w:eastAsia="zh-CN"/>
              </w:rPr>
            </w:pPr>
            <w:r>
              <w:rPr>
                <w:rFonts w:hint="eastAsia"/>
                <w:color w:val="auto"/>
                <w:lang w:val="en-US" w:eastAsia="zh-CN"/>
              </w:rPr>
              <w:t>2.44E+00</w:t>
            </w:r>
          </w:p>
        </w:tc>
      </w:tr>
      <w:tr w14:paraId="0018D138">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7DDA86B8">
            <w:pPr>
              <w:pStyle w:val="3361"/>
              <w:rPr>
                <w:rFonts w:hint="eastAsia"/>
                <w:color w:val="auto"/>
                <w:lang w:val="en-US" w:eastAsia="zh-CN"/>
              </w:rPr>
            </w:pPr>
            <w:r>
              <w:rPr>
                <w:rFonts w:hint="eastAsia"/>
                <w:color w:val="auto"/>
                <w:lang w:val="en-US" w:eastAsia="zh-CN"/>
              </w:rPr>
              <w:t>65</w:t>
            </w:r>
          </w:p>
        </w:tc>
        <w:tc>
          <w:tcPr>
            <w:tcW w:w="1378" w:type="dxa"/>
            <w:tcBorders>
              <w:top w:val="nil"/>
              <w:left w:val="nil"/>
              <w:bottom w:val="single" w:color="auto" w:sz="4" w:space="0"/>
              <w:right w:val="single" w:color="auto" w:sz="4" w:space="0"/>
            </w:tcBorders>
            <w:shd w:val="clear" w:color="auto" w:fill="auto"/>
            <w:noWrap/>
            <w:vAlign w:val="bottom"/>
          </w:tcPr>
          <w:p w14:paraId="53B231EF">
            <w:pPr>
              <w:pStyle w:val="3361"/>
              <w:rPr>
                <w:rFonts w:hint="eastAsia"/>
                <w:color w:val="auto"/>
                <w:lang w:val="en-US" w:eastAsia="zh-CN"/>
              </w:rPr>
            </w:pPr>
            <w:r>
              <w:rPr>
                <w:rFonts w:hint="eastAsia"/>
                <w:color w:val="auto"/>
                <w:lang w:val="en-US" w:eastAsia="zh-CN"/>
              </w:rPr>
              <w:t>5.81E-02</w:t>
            </w:r>
          </w:p>
        </w:tc>
        <w:tc>
          <w:tcPr>
            <w:tcW w:w="1265" w:type="dxa"/>
            <w:tcBorders>
              <w:top w:val="nil"/>
              <w:left w:val="nil"/>
              <w:bottom w:val="single" w:color="auto" w:sz="4" w:space="0"/>
              <w:right w:val="single" w:color="auto" w:sz="4" w:space="0"/>
            </w:tcBorders>
            <w:shd w:val="clear" w:color="auto" w:fill="auto"/>
            <w:noWrap/>
            <w:vAlign w:val="bottom"/>
          </w:tcPr>
          <w:p w14:paraId="09D8EDFA">
            <w:pPr>
              <w:pStyle w:val="3361"/>
              <w:rPr>
                <w:rFonts w:hint="eastAsia"/>
                <w:color w:val="auto"/>
                <w:lang w:val="en-US" w:eastAsia="zh-CN"/>
              </w:rPr>
            </w:pPr>
            <w:r>
              <w:rPr>
                <w:rFonts w:hint="eastAsia"/>
                <w:color w:val="auto"/>
                <w:lang w:val="en-US" w:eastAsia="zh-CN"/>
              </w:rPr>
              <w:t>65</w:t>
            </w:r>
          </w:p>
        </w:tc>
        <w:tc>
          <w:tcPr>
            <w:tcW w:w="1926" w:type="dxa"/>
            <w:tcBorders>
              <w:top w:val="nil"/>
              <w:left w:val="nil"/>
              <w:bottom w:val="single" w:color="auto" w:sz="4" w:space="0"/>
              <w:right w:val="single" w:color="auto" w:sz="4" w:space="0"/>
            </w:tcBorders>
            <w:shd w:val="clear" w:color="auto" w:fill="auto"/>
            <w:noWrap/>
            <w:vAlign w:val="bottom"/>
          </w:tcPr>
          <w:p w14:paraId="02F3B142">
            <w:pPr>
              <w:pStyle w:val="3361"/>
              <w:rPr>
                <w:rFonts w:hint="eastAsia"/>
                <w:color w:val="auto"/>
                <w:lang w:val="en-US" w:eastAsia="zh-CN"/>
              </w:rPr>
            </w:pPr>
            <w:r>
              <w:rPr>
                <w:rFonts w:hint="eastAsia"/>
                <w:color w:val="auto"/>
                <w:lang w:val="en-US" w:eastAsia="zh-CN"/>
              </w:rPr>
              <w:t>1.14E+01</w:t>
            </w:r>
          </w:p>
        </w:tc>
        <w:tc>
          <w:tcPr>
            <w:tcW w:w="1159" w:type="dxa"/>
            <w:tcBorders>
              <w:top w:val="nil"/>
              <w:left w:val="nil"/>
              <w:bottom w:val="single" w:color="auto" w:sz="4" w:space="0"/>
              <w:right w:val="single" w:color="auto" w:sz="4" w:space="0"/>
            </w:tcBorders>
            <w:shd w:val="clear" w:color="auto" w:fill="auto"/>
            <w:noWrap/>
            <w:vAlign w:val="bottom"/>
          </w:tcPr>
          <w:p w14:paraId="4BD68262">
            <w:pPr>
              <w:pStyle w:val="3361"/>
              <w:rPr>
                <w:rFonts w:hint="eastAsia"/>
                <w:color w:val="auto"/>
                <w:lang w:val="en-US" w:eastAsia="zh-CN"/>
              </w:rPr>
            </w:pPr>
            <w:r>
              <w:rPr>
                <w:rFonts w:hint="eastAsia"/>
                <w:color w:val="auto"/>
                <w:lang w:val="en-US" w:eastAsia="zh-CN"/>
              </w:rPr>
              <w:t>65</w:t>
            </w:r>
          </w:p>
        </w:tc>
        <w:tc>
          <w:tcPr>
            <w:tcW w:w="1777" w:type="dxa"/>
            <w:tcBorders>
              <w:top w:val="nil"/>
              <w:left w:val="nil"/>
              <w:bottom w:val="single" w:color="auto" w:sz="4" w:space="0"/>
              <w:right w:val="single" w:color="auto" w:sz="4" w:space="0"/>
            </w:tcBorders>
            <w:shd w:val="clear" w:color="auto" w:fill="auto"/>
            <w:noWrap/>
            <w:vAlign w:val="bottom"/>
          </w:tcPr>
          <w:p w14:paraId="3A791B65">
            <w:pPr>
              <w:pStyle w:val="3361"/>
              <w:rPr>
                <w:rFonts w:hint="eastAsia"/>
                <w:color w:val="auto"/>
                <w:lang w:val="en-US" w:eastAsia="zh-CN"/>
              </w:rPr>
            </w:pPr>
            <w:r>
              <w:rPr>
                <w:rFonts w:hint="eastAsia"/>
                <w:color w:val="auto"/>
                <w:lang w:val="en-US" w:eastAsia="zh-CN"/>
              </w:rPr>
              <w:t>2.59E+00</w:t>
            </w:r>
          </w:p>
        </w:tc>
      </w:tr>
      <w:tr w14:paraId="370556A0">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69EA5FE6">
            <w:pPr>
              <w:pStyle w:val="3361"/>
              <w:rPr>
                <w:rFonts w:hint="eastAsia"/>
                <w:color w:val="auto"/>
                <w:lang w:val="en-US" w:eastAsia="zh-CN"/>
              </w:rPr>
            </w:pPr>
            <w:r>
              <w:rPr>
                <w:rFonts w:hint="eastAsia"/>
                <w:color w:val="auto"/>
                <w:lang w:val="en-US" w:eastAsia="zh-CN"/>
              </w:rPr>
              <w:t>70</w:t>
            </w:r>
          </w:p>
        </w:tc>
        <w:tc>
          <w:tcPr>
            <w:tcW w:w="1378" w:type="dxa"/>
            <w:tcBorders>
              <w:top w:val="nil"/>
              <w:left w:val="nil"/>
              <w:bottom w:val="single" w:color="auto" w:sz="4" w:space="0"/>
              <w:right w:val="single" w:color="auto" w:sz="4" w:space="0"/>
            </w:tcBorders>
            <w:shd w:val="clear" w:color="auto" w:fill="auto"/>
            <w:noWrap/>
            <w:vAlign w:val="bottom"/>
          </w:tcPr>
          <w:p w14:paraId="45CD328B">
            <w:pPr>
              <w:pStyle w:val="3361"/>
              <w:rPr>
                <w:rFonts w:hint="eastAsia"/>
                <w:color w:val="auto"/>
                <w:lang w:val="en-US" w:eastAsia="zh-CN"/>
              </w:rPr>
            </w:pPr>
            <w:r>
              <w:rPr>
                <w:rFonts w:hint="eastAsia"/>
                <w:color w:val="auto"/>
                <w:lang w:val="en-US" w:eastAsia="zh-CN"/>
              </w:rPr>
              <w:t>2.30E-02</w:t>
            </w:r>
          </w:p>
        </w:tc>
        <w:tc>
          <w:tcPr>
            <w:tcW w:w="1265" w:type="dxa"/>
            <w:tcBorders>
              <w:top w:val="nil"/>
              <w:left w:val="nil"/>
              <w:bottom w:val="single" w:color="auto" w:sz="4" w:space="0"/>
              <w:right w:val="single" w:color="auto" w:sz="4" w:space="0"/>
            </w:tcBorders>
            <w:shd w:val="clear" w:color="auto" w:fill="auto"/>
            <w:noWrap/>
            <w:vAlign w:val="bottom"/>
          </w:tcPr>
          <w:p w14:paraId="4F3779BB">
            <w:pPr>
              <w:pStyle w:val="3361"/>
              <w:rPr>
                <w:rFonts w:hint="eastAsia"/>
                <w:color w:val="auto"/>
                <w:lang w:val="en-US" w:eastAsia="zh-CN"/>
              </w:rPr>
            </w:pPr>
            <w:r>
              <w:rPr>
                <w:rFonts w:hint="eastAsia"/>
                <w:color w:val="auto"/>
                <w:lang w:val="en-US" w:eastAsia="zh-CN"/>
              </w:rPr>
              <w:t>70</w:t>
            </w:r>
          </w:p>
        </w:tc>
        <w:tc>
          <w:tcPr>
            <w:tcW w:w="1926" w:type="dxa"/>
            <w:tcBorders>
              <w:top w:val="nil"/>
              <w:left w:val="nil"/>
              <w:bottom w:val="single" w:color="auto" w:sz="4" w:space="0"/>
              <w:right w:val="single" w:color="auto" w:sz="4" w:space="0"/>
            </w:tcBorders>
            <w:shd w:val="clear" w:color="auto" w:fill="auto"/>
            <w:noWrap/>
            <w:vAlign w:val="bottom"/>
          </w:tcPr>
          <w:p w14:paraId="751B8E20">
            <w:pPr>
              <w:pStyle w:val="3361"/>
              <w:rPr>
                <w:rFonts w:hint="eastAsia"/>
                <w:color w:val="auto"/>
                <w:lang w:val="en-US" w:eastAsia="zh-CN"/>
              </w:rPr>
            </w:pPr>
            <w:r>
              <w:rPr>
                <w:rFonts w:hint="eastAsia"/>
                <w:color w:val="auto"/>
                <w:lang w:val="en-US" w:eastAsia="zh-CN"/>
              </w:rPr>
              <w:t>1.13E+01</w:t>
            </w:r>
          </w:p>
        </w:tc>
        <w:tc>
          <w:tcPr>
            <w:tcW w:w="1159" w:type="dxa"/>
            <w:tcBorders>
              <w:top w:val="nil"/>
              <w:left w:val="nil"/>
              <w:bottom w:val="single" w:color="auto" w:sz="4" w:space="0"/>
              <w:right w:val="single" w:color="auto" w:sz="4" w:space="0"/>
            </w:tcBorders>
            <w:shd w:val="clear" w:color="auto" w:fill="auto"/>
            <w:noWrap/>
            <w:vAlign w:val="bottom"/>
          </w:tcPr>
          <w:p w14:paraId="52CFF45D">
            <w:pPr>
              <w:pStyle w:val="3361"/>
              <w:rPr>
                <w:rFonts w:hint="eastAsia"/>
                <w:color w:val="auto"/>
                <w:lang w:val="en-US" w:eastAsia="zh-CN"/>
              </w:rPr>
            </w:pPr>
            <w:r>
              <w:rPr>
                <w:rFonts w:hint="eastAsia"/>
                <w:color w:val="auto"/>
                <w:lang w:val="en-US" w:eastAsia="zh-CN"/>
              </w:rPr>
              <w:t>70</w:t>
            </w:r>
          </w:p>
        </w:tc>
        <w:tc>
          <w:tcPr>
            <w:tcW w:w="1777" w:type="dxa"/>
            <w:tcBorders>
              <w:top w:val="nil"/>
              <w:left w:val="nil"/>
              <w:bottom w:val="single" w:color="auto" w:sz="4" w:space="0"/>
              <w:right w:val="single" w:color="auto" w:sz="4" w:space="0"/>
            </w:tcBorders>
            <w:shd w:val="clear" w:color="auto" w:fill="auto"/>
            <w:noWrap/>
            <w:vAlign w:val="bottom"/>
          </w:tcPr>
          <w:p w14:paraId="06FFCC0E">
            <w:pPr>
              <w:pStyle w:val="3361"/>
              <w:rPr>
                <w:rFonts w:hint="eastAsia"/>
                <w:color w:val="auto"/>
                <w:lang w:val="en-US" w:eastAsia="zh-CN"/>
              </w:rPr>
            </w:pPr>
            <w:r>
              <w:rPr>
                <w:rFonts w:hint="eastAsia"/>
                <w:color w:val="auto"/>
                <w:lang w:val="en-US" w:eastAsia="zh-CN"/>
              </w:rPr>
              <w:t>2.75E+00</w:t>
            </w:r>
          </w:p>
        </w:tc>
      </w:tr>
      <w:tr w14:paraId="1F592450">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04918EF7">
            <w:pPr>
              <w:pStyle w:val="3361"/>
              <w:rPr>
                <w:rFonts w:hint="eastAsia"/>
                <w:color w:val="auto"/>
                <w:lang w:val="en-US" w:eastAsia="zh-CN"/>
              </w:rPr>
            </w:pPr>
            <w:r>
              <w:rPr>
                <w:rFonts w:hint="eastAsia"/>
                <w:color w:val="auto"/>
                <w:lang w:val="en-US" w:eastAsia="zh-CN"/>
              </w:rPr>
              <w:t>75</w:t>
            </w:r>
          </w:p>
        </w:tc>
        <w:tc>
          <w:tcPr>
            <w:tcW w:w="1378" w:type="dxa"/>
            <w:tcBorders>
              <w:top w:val="nil"/>
              <w:left w:val="nil"/>
              <w:bottom w:val="single" w:color="auto" w:sz="4" w:space="0"/>
              <w:right w:val="single" w:color="auto" w:sz="4" w:space="0"/>
            </w:tcBorders>
            <w:shd w:val="clear" w:color="auto" w:fill="auto"/>
            <w:noWrap/>
            <w:vAlign w:val="bottom"/>
          </w:tcPr>
          <w:p w14:paraId="1BB4D74F">
            <w:pPr>
              <w:pStyle w:val="3361"/>
              <w:rPr>
                <w:rFonts w:hint="eastAsia"/>
                <w:color w:val="auto"/>
                <w:lang w:val="en-US" w:eastAsia="zh-CN"/>
              </w:rPr>
            </w:pPr>
            <w:r>
              <w:rPr>
                <w:rFonts w:hint="eastAsia"/>
                <w:color w:val="auto"/>
                <w:lang w:val="en-US" w:eastAsia="zh-CN"/>
              </w:rPr>
              <w:t>1.06E-02</w:t>
            </w:r>
          </w:p>
        </w:tc>
        <w:tc>
          <w:tcPr>
            <w:tcW w:w="1265" w:type="dxa"/>
            <w:tcBorders>
              <w:top w:val="nil"/>
              <w:left w:val="nil"/>
              <w:bottom w:val="single" w:color="auto" w:sz="4" w:space="0"/>
              <w:right w:val="single" w:color="auto" w:sz="4" w:space="0"/>
            </w:tcBorders>
            <w:shd w:val="clear" w:color="auto" w:fill="auto"/>
            <w:noWrap/>
            <w:vAlign w:val="bottom"/>
          </w:tcPr>
          <w:p w14:paraId="1F86B1F8">
            <w:pPr>
              <w:pStyle w:val="3361"/>
              <w:rPr>
                <w:rFonts w:hint="eastAsia"/>
                <w:color w:val="auto"/>
                <w:lang w:val="en-US" w:eastAsia="zh-CN"/>
              </w:rPr>
            </w:pPr>
            <w:r>
              <w:rPr>
                <w:rFonts w:hint="eastAsia"/>
                <w:color w:val="auto"/>
                <w:lang w:val="en-US" w:eastAsia="zh-CN"/>
              </w:rPr>
              <w:t>75</w:t>
            </w:r>
          </w:p>
        </w:tc>
        <w:tc>
          <w:tcPr>
            <w:tcW w:w="1926" w:type="dxa"/>
            <w:tcBorders>
              <w:top w:val="nil"/>
              <w:left w:val="nil"/>
              <w:bottom w:val="single" w:color="auto" w:sz="4" w:space="0"/>
              <w:right w:val="single" w:color="auto" w:sz="4" w:space="0"/>
            </w:tcBorders>
            <w:shd w:val="clear" w:color="auto" w:fill="auto"/>
            <w:noWrap/>
            <w:vAlign w:val="bottom"/>
          </w:tcPr>
          <w:p w14:paraId="0E703919">
            <w:pPr>
              <w:pStyle w:val="3361"/>
              <w:rPr>
                <w:rFonts w:hint="eastAsia"/>
                <w:color w:val="auto"/>
                <w:lang w:val="en-US" w:eastAsia="zh-CN"/>
              </w:rPr>
            </w:pPr>
            <w:r>
              <w:rPr>
                <w:rFonts w:hint="eastAsia"/>
                <w:color w:val="auto"/>
                <w:lang w:val="en-US" w:eastAsia="zh-CN"/>
              </w:rPr>
              <w:t>1.10E+01</w:t>
            </w:r>
          </w:p>
        </w:tc>
        <w:tc>
          <w:tcPr>
            <w:tcW w:w="1159" w:type="dxa"/>
            <w:tcBorders>
              <w:top w:val="nil"/>
              <w:left w:val="nil"/>
              <w:bottom w:val="single" w:color="auto" w:sz="4" w:space="0"/>
              <w:right w:val="single" w:color="auto" w:sz="4" w:space="0"/>
            </w:tcBorders>
            <w:shd w:val="clear" w:color="auto" w:fill="auto"/>
            <w:noWrap/>
            <w:vAlign w:val="bottom"/>
          </w:tcPr>
          <w:p w14:paraId="6055507B">
            <w:pPr>
              <w:pStyle w:val="3361"/>
              <w:rPr>
                <w:rFonts w:hint="eastAsia"/>
                <w:color w:val="auto"/>
                <w:lang w:val="en-US" w:eastAsia="zh-CN"/>
              </w:rPr>
            </w:pPr>
            <w:r>
              <w:rPr>
                <w:rFonts w:hint="eastAsia"/>
                <w:color w:val="auto"/>
                <w:lang w:val="en-US" w:eastAsia="zh-CN"/>
              </w:rPr>
              <w:t>75</w:t>
            </w:r>
          </w:p>
        </w:tc>
        <w:tc>
          <w:tcPr>
            <w:tcW w:w="1777" w:type="dxa"/>
            <w:tcBorders>
              <w:top w:val="nil"/>
              <w:left w:val="nil"/>
              <w:bottom w:val="single" w:color="auto" w:sz="4" w:space="0"/>
              <w:right w:val="single" w:color="auto" w:sz="4" w:space="0"/>
            </w:tcBorders>
            <w:shd w:val="clear" w:color="auto" w:fill="auto"/>
            <w:noWrap/>
            <w:vAlign w:val="bottom"/>
          </w:tcPr>
          <w:p w14:paraId="5D95DB04">
            <w:pPr>
              <w:pStyle w:val="3361"/>
              <w:rPr>
                <w:rFonts w:hint="eastAsia"/>
                <w:color w:val="auto"/>
                <w:lang w:val="en-US" w:eastAsia="zh-CN"/>
              </w:rPr>
            </w:pPr>
            <w:r>
              <w:rPr>
                <w:rFonts w:hint="eastAsia"/>
                <w:color w:val="auto"/>
                <w:lang w:val="en-US" w:eastAsia="zh-CN"/>
              </w:rPr>
              <w:t>2.90E+00</w:t>
            </w:r>
          </w:p>
        </w:tc>
      </w:tr>
      <w:tr w14:paraId="1A16F492">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4DED04E9">
            <w:pPr>
              <w:pStyle w:val="3361"/>
              <w:rPr>
                <w:rFonts w:hint="eastAsia"/>
                <w:color w:val="auto"/>
                <w:lang w:val="en-US" w:eastAsia="zh-CN"/>
              </w:rPr>
            </w:pPr>
            <w:r>
              <w:rPr>
                <w:rFonts w:hint="eastAsia"/>
                <w:color w:val="auto"/>
                <w:lang w:val="en-US" w:eastAsia="zh-CN"/>
              </w:rPr>
              <w:t>80</w:t>
            </w:r>
          </w:p>
        </w:tc>
        <w:tc>
          <w:tcPr>
            <w:tcW w:w="1378" w:type="dxa"/>
            <w:tcBorders>
              <w:top w:val="nil"/>
              <w:left w:val="nil"/>
              <w:bottom w:val="single" w:color="auto" w:sz="4" w:space="0"/>
              <w:right w:val="single" w:color="auto" w:sz="4" w:space="0"/>
            </w:tcBorders>
            <w:shd w:val="clear" w:color="auto" w:fill="auto"/>
            <w:noWrap/>
            <w:vAlign w:val="bottom"/>
          </w:tcPr>
          <w:p w14:paraId="23BD2974">
            <w:pPr>
              <w:pStyle w:val="3361"/>
              <w:rPr>
                <w:rFonts w:hint="eastAsia"/>
                <w:color w:val="auto"/>
                <w:lang w:val="en-US" w:eastAsia="zh-CN"/>
              </w:rPr>
            </w:pPr>
            <w:r>
              <w:rPr>
                <w:rFonts w:hint="eastAsia"/>
                <w:color w:val="auto"/>
                <w:lang w:val="en-US" w:eastAsia="zh-CN"/>
              </w:rPr>
              <w:t>6.64E-03</w:t>
            </w:r>
          </w:p>
        </w:tc>
        <w:tc>
          <w:tcPr>
            <w:tcW w:w="1265" w:type="dxa"/>
            <w:tcBorders>
              <w:top w:val="nil"/>
              <w:left w:val="nil"/>
              <w:bottom w:val="single" w:color="auto" w:sz="4" w:space="0"/>
              <w:right w:val="single" w:color="auto" w:sz="4" w:space="0"/>
            </w:tcBorders>
            <w:shd w:val="clear" w:color="auto" w:fill="auto"/>
            <w:noWrap/>
            <w:vAlign w:val="bottom"/>
          </w:tcPr>
          <w:p w14:paraId="0545125B">
            <w:pPr>
              <w:pStyle w:val="3361"/>
              <w:rPr>
                <w:rFonts w:hint="eastAsia"/>
                <w:color w:val="auto"/>
                <w:lang w:val="en-US" w:eastAsia="zh-CN"/>
              </w:rPr>
            </w:pPr>
            <w:r>
              <w:rPr>
                <w:rFonts w:hint="eastAsia"/>
                <w:color w:val="auto"/>
                <w:lang w:val="en-US" w:eastAsia="zh-CN"/>
              </w:rPr>
              <w:t>80</w:t>
            </w:r>
          </w:p>
        </w:tc>
        <w:tc>
          <w:tcPr>
            <w:tcW w:w="1926" w:type="dxa"/>
            <w:tcBorders>
              <w:top w:val="nil"/>
              <w:left w:val="nil"/>
              <w:bottom w:val="single" w:color="auto" w:sz="4" w:space="0"/>
              <w:right w:val="single" w:color="auto" w:sz="4" w:space="0"/>
            </w:tcBorders>
            <w:shd w:val="clear" w:color="auto" w:fill="auto"/>
            <w:noWrap/>
            <w:vAlign w:val="bottom"/>
          </w:tcPr>
          <w:p w14:paraId="3F15AA0E">
            <w:pPr>
              <w:pStyle w:val="3361"/>
              <w:rPr>
                <w:rFonts w:hint="eastAsia"/>
                <w:color w:val="auto"/>
                <w:lang w:val="en-US" w:eastAsia="zh-CN"/>
              </w:rPr>
            </w:pPr>
            <w:r>
              <w:rPr>
                <w:rFonts w:hint="eastAsia"/>
                <w:color w:val="auto"/>
                <w:lang w:val="en-US" w:eastAsia="zh-CN"/>
              </w:rPr>
              <w:t>1.05E+01</w:t>
            </w:r>
          </w:p>
        </w:tc>
        <w:tc>
          <w:tcPr>
            <w:tcW w:w="1159" w:type="dxa"/>
            <w:tcBorders>
              <w:top w:val="nil"/>
              <w:left w:val="nil"/>
              <w:bottom w:val="single" w:color="auto" w:sz="4" w:space="0"/>
              <w:right w:val="single" w:color="auto" w:sz="4" w:space="0"/>
            </w:tcBorders>
            <w:shd w:val="clear" w:color="auto" w:fill="auto"/>
            <w:noWrap/>
            <w:vAlign w:val="bottom"/>
          </w:tcPr>
          <w:p w14:paraId="2A3EF28B">
            <w:pPr>
              <w:pStyle w:val="3361"/>
              <w:rPr>
                <w:rFonts w:hint="eastAsia"/>
                <w:color w:val="auto"/>
                <w:lang w:val="en-US" w:eastAsia="zh-CN"/>
              </w:rPr>
            </w:pPr>
            <w:r>
              <w:rPr>
                <w:rFonts w:hint="eastAsia"/>
                <w:color w:val="auto"/>
                <w:lang w:val="en-US" w:eastAsia="zh-CN"/>
              </w:rPr>
              <w:t>80</w:t>
            </w:r>
          </w:p>
        </w:tc>
        <w:tc>
          <w:tcPr>
            <w:tcW w:w="1777" w:type="dxa"/>
            <w:tcBorders>
              <w:top w:val="nil"/>
              <w:left w:val="nil"/>
              <w:bottom w:val="single" w:color="auto" w:sz="4" w:space="0"/>
              <w:right w:val="single" w:color="auto" w:sz="4" w:space="0"/>
            </w:tcBorders>
            <w:shd w:val="clear" w:color="auto" w:fill="auto"/>
            <w:noWrap/>
            <w:vAlign w:val="bottom"/>
          </w:tcPr>
          <w:p w14:paraId="4BFE2290">
            <w:pPr>
              <w:pStyle w:val="3361"/>
              <w:rPr>
                <w:rFonts w:hint="eastAsia"/>
                <w:color w:val="auto"/>
                <w:lang w:val="en-US" w:eastAsia="zh-CN"/>
              </w:rPr>
            </w:pPr>
            <w:r>
              <w:rPr>
                <w:rFonts w:hint="eastAsia"/>
                <w:color w:val="auto"/>
                <w:lang w:val="en-US" w:eastAsia="zh-CN"/>
              </w:rPr>
              <w:t>3.06E+00</w:t>
            </w:r>
          </w:p>
        </w:tc>
      </w:tr>
      <w:tr w14:paraId="5B7E4342">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1CA88B7A">
            <w:pPr>
              <w:pStyle w:val="3361"/>
              <w:rPr>
                <w:rFonts w:hint="eastAsia"/>
                <w:color w:val="auto"/>
                <w:lang w:val="en-US" w:eastAsia="zh-CN"/>
              </w:rPr>
            </w:pPr>
            <w:r>
              <w:rPr>
                <w:rFonts w:hint="eastAsia"/>
                <w:color w:val="auto"/>
                <w:lang w:val="en-US" w:eastAsia="zh-CN"/>
              </w:rPr>
              <w:t>85</w:t>
            </w:r>
          </w:p>
        </w:tc>
        <w:tc>
          <w:tcPr>
            <w:tcW w:w="1378" w:type="dxa"/>
            <w:tcBorders>
              <w:top w:val="nil"/>
              <w:left w:val="nil"/>
              <w:bottom w:val="single" w:color="auto" w:sz="4" w:space="0"/>
              <w:right w:val="single" w:color="auto" w:sz="4" w:space="0"/>
            </w:tcBorders>
            <w:shd w:val="clear" w:color="auto" w:fill="auto"/>
            <w:noWrap/>
            <w:vAlign w:val="bottom"/>
          </w:tcPr>
          <w:p w14:paraId="2077B691">
            <w:pPr>
              <w:pStyle w:val="3361"/>
              <w:rPr>
                <w:rFonts w:hint="eastAsia"/>
                <w:color w:val="auto"/>
                <w:lang w:val="en-US" w:eastAsia="zh-CN"/>
              </w:rPr>
            </w:pPr>
            <w:r>
              <w:rPr>
                <w:rFonts w:hint="eastAsia"/>
                <w:color w:val="auto"/>
                <w:lang w:val="en-US" w:eastAsia="zh-CN"/>
              </w:rPr>
              <w:t>5.44E-03</w:t>
            </w:r>
          </w:p>
        </w:tc>
        <w:tc>
          <w:tcPr>
            <w:tcW w:w="1265" w:type="dxa"/>
            <w:tcBorders>
              <w:top w:val="nil"/>
              <w:left w:val="nil"/>
              <w:bottom w:val="single" w:color="auto" w:sz="4" w:space="0"/>
              <w:right w:val="single" w:color="auto" w:sz="4" w:space="0"/>
            </w:tcBorders>
            <w:shd w:val="clear" w:color="auto" w:fill="auto"/>
            <w:noWrap/>
            <w:vAlign w:val="bottom"/>
          </w:tcPr>
          <w:p w14:paraId="4F4199BE">
            <w:pPr>
              <w:pStyle w:val="3361"/>
              <w:rPr>
                <w:rFonts w:hint="eastAsia"/>
                <w:color w:val="auto"/>
                <w:lang w:val="en-US" w:eastAsia="zh-CN"/>
              </w:rPr>
            </w:pPr>
            <w:r>
              <w:rPr>
                <w:rFonts w:hint="eastAsia"/>
                <w:color w:val="auto"/>
                <w:lang w:val="en-US" w:eastAsia="zh-CN"/>
              </w:rPr>
              <w:t>85</w:t>
            </w:r>
          </w:p>
        </w:tc>
        <w:tc>
          <w:tcPr>
            <w:tcW w:w="1926" w:type="dxa"/>
            <w:tcBorders>
              <w:top w:val="nil"/>
              <w:left w:val="nil"/>
              <w:bottom w:val="single" w:color="auto" w:sz="4" w:space="0"/>
              <w:right w:val="single" w:color="auto" w:sz="4" w:space="0"/>
            </w:tcBorders>
            <w:shd w:val="clear" w:color="auto" w:fill="auto"/>
            <w:noWrap/>
            <w:vAlign w:val="bottom"/>
          </w:tcPr>
          <w:p w14:paraId="23DC316B">
            <w:pPr>
              <w:pStyle w:val="3361"/>
              <w:rPr>
                <w:rFonts w:hint="eastAsia"/>
                <w:color w:val="auto"/>
                <w:lang w:val="en-US" w:eastAsia="zh-CN"/>
              </w:rPr>
            </w:pPr>
            <w:r>
              <w:rPr>
                <w:rFonts w:hint="eastAsia"/>
                <w:color w:val="auto"/>
                <w:lang w:val="en-US" w:eastAsia="zh-CN"/>
              </w:rPr>
              <w:t>1.00E+01</w:t>
            </w:r>
          </w:p>
        </w:tc>
        <w:tc>
          <w:tcPr>
            <w:tcW w:w="1159" w:type="dxa"/>
            <w:tcBorders>
              <w:top w:val="nil"/>
              <w:left w:val="nil"/>
              <w:bottom w:val="single" w:color="auto" w:sz="4" w:space="0"/>
              <w:right w:val="single" w:color="auto" w:sz="4" w:space="0"/>
            </w:tcBorders>
            <w:shd w:val="clear" w:color="auto" w:fill="auto"/>
            <w:noWrap/>
            <w:vAlign w:val="bottom"/>
          </w:tcPr>
          <w:p w14:paraId="7DD8F4B1">
            <w:pPr>
              <w:pStyle w:val="3361"/>
              <w:rPr>
                <w:rFonts w:hint="eastAsia"/>
                <w:color w:val="auto"/>
                <w:lang w:val="en-US" w:eastAsia="zh-CN"/>
              </w:rPr>
            </w:pPr>
            <w:r>
              <w:rPr>
                <w:rFonts w:hint="eastAsia"/>
                <w:color w:val="auto"/>
                <w:lang w:val="en-US" w:eastAsia="zh-CN"/>
              </w:rPr>
              <w:t>85</w:t>
            </w:r>
          </w:p>
        </w:tc>
        <w:tc>
          <w:tcPr>
            <w:tcW w:w="1777" w:type="dxa"/>
            <w:tcBorders>
              <w:top w:val="nil"/>
              <w:left w:val="nil"/>
              <w:bottom w:val="single" w:color="auto" w:sz="4" w:space="0"/>
              <w:right w:val="single" w:color="auto" w:sz="4" w:space="0"/>
            </w:tcBorders>
            <w:shd w:val="clear" w:color="auto" w:fill="auto"/>
            <w:noWrap/>
            <w:vAlign w:val="bottom"/>
          </w:tcPr>
          <w:p w14:paraId="53967340">
            <w:pPr>
              <w:pStyle w:val="3361"/>
              <w:rPr>
                <w:rFonts w:hint="eastAsia"/>
                <w:color w:val="auto"/>
                <w:lang w:val="en-US" w:eastAsia="zh-CN"/>
              </w:rPr>
            </w:pPr>
            <w:r>
              <w:rPr>
                <w:rFonts w:hint="eastAsia"/>
                <w:color w:val="auto"/>
                <w:lang w:val="en-US" w:eastAsia="zh-CN"/>
              </w:rPr>
              <w:t>3.21E+00</w:t>
            </w:r>
          </w:p>
        </w:tc>
      </w:tr>
      <w:tr w14:paraId="4528611B">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7A4DC4E2">
            <w:pPr>
              <w:pStyle w:val="3361"/>
              <w:rPr>
                <w:rFonts w:hint="eastAsia"/>
                <w:color w:val="auto"/>
                <w:lang w:val="en-US" w:eastAsia="zh-CN"/>
              </w:rPr>
            </w:pPr>
            <w:r>
              <w:rPr>
                <w:rFonts w:hint="eastAsia"/>
                <w:color w:val="auto"/>
                <w:lang w:val="en-US" w:eastAsia="zh-CN"/>
              </w:rPr>
              <w:t>90</w:t>
            </w:r>
          </w:p>
        </w:tc>
        <w:tc>
          <w:tcPr>
            <w:tcW w:w="1378" w:type="dxa"/>
            <w:tcBorders>
              <w:top w:val="nil"/>
              <w:left w:val="nil"/>
              <w:bottom w:val="single" w:color="auto" w:sz="4" w:space="0"/>
              <w:right w:val="single" w:color="auto" w:sz="4" w:space="0"/>
            </w:tcBorders>
            <w:shd w:val="clear" w:color="auto" w:fill="auto"/>
            <w:noWrap/>
            <w:vAlign w:val="bottom"/>
          </w:tcPr>
          <w:p w14:paraId="2AA4CB88">
            <w:pPr>
              <w:pStyle w:val="3361"/>
              <w:rPr>
                <w:rFonts w:hint="eastAsia"/>
                <w:color w:val="auto"/>
                <w:lang w:val="en-US" w:eastAsia="zh-CN"/>
              </w:rPr>
            </w:pPr>
            <w:r>
              <w:rPr>
                <w:rFonts w:hint="eastAsia"/>
                <w:color w:val="auto"/>
                <w:lang w:val="en-US" w:eastAsia="zh-CN"/>
              </w:rPr>
              <w:t>5.11E-03</w:t>
            </w:r>
          </w:p>
        </w:tc>
        <w:tc>
          <w:tcPr>
            <w:tcW w:w="1265" w:type="dxa"/>
            <w:tcBorders>
              <w:top w:val="nil"/>
              <w:left w:val="nil"/>
              <w:bottom w:val="single" w:color="auto" w:sz="4" w:space="0"/>
              <w:right w:val="single" w:color="auto" w:sz="4" w:space="0"/>
            </w:tcBorders>
            <w:shd w:val="clear" w:color="auto" w:fill="auto"/>
            <w:noWrap/>
            <w:vAlign w:val="bottom"/>
          </w:tcPr>
          <w:p w14:paraId="4E1B3C23">
            <w:pPr>
              <w:pStyle w:val="3361"/>
              <w:rPr>
                <w:rFonts w:hint="eastAsia"/>
                <w:color w:val="auto"/>
                <w:lang w:val="en-US" w:eastAsia="zh-CN"/>
              </w:rPr>
            </w:pPr>
            <w:r>
              <w:rPr>
                <w:rFonts w:hint="eastAsia"/>
                <w:color w:val="auto"/>
                <w:lang w:val="en-US" w:eastAsia="zh-CN"/>
              </w:rPr>
              <w:t>90</w:t>
            </w:r>
          </w:p>
        </w:tc>
        <w:tc>
          <w:tcPr>
            <w:tcW w:w="1926" w:type="dxa"/>
            <w:tcBorders>
              <w:top w:val="nil"/>
              <w:left w:val="nil"/>
              <w:bottom w:val="single" w:color="auto" w:sz="4" w:space="0"/>
              <w:right w:val="single" w:color="auto" w:sz="4" w:space="0"/>
            </w:tcBorders>
            <w:shd w:val="clear" w:color="auto" w:fill="auto"/>
            <w:noWrap/>
            <w:vAlign w:val="bottom"/>
          </w:tcPr>
          <w:p w14:paraId="629127F0">
            <w:pPr>
              <w:pStyle w:val="3361"/>
              <w:rPr>
                <w:rFonts w:hint="eastAsia"/>
                <w:color w:val="auto"/>
                <w:lang w:val="en-US" w:eastAsia="zh-CN"/>
              </w:rPr>
            </w:pPr>
            <w:r>
              <w:rPr>
                <w:rFonts w:hint="eastAsia"/>
                <w:color w:val="auto"/>
                <w:lang w:val="en-US" w:eastAsia="zh-CN"/>
              </w:rPr>
              <w:t>9.45E+00</w:t>
            </w:r>
          </w:p>
        </w:tc>
        <w:tc>
          <w:tcPr>
            <w:tcW w:w="1159" w:type="dxa"/>
            <w:tcBorders>
              <w:top w:val="nil"/>
              <w:left w:val="nil"/>
              <w:bottom w:val="single" w:color="auto" w:sz="4" w:space="0"/>
              <w:right w:val="single" w:color="auto" w:sz="4" w:space="0"/>
            </w:tcBorders>
            <w:shd w:val="clear" w:color="auto" w:fill="auto"/>
            <w:noWrap/>
            <w:vAlign w:val="bottom"/>
          </w:tcPr>
          <w:p w14:paraId="531DC4C2">
            <w:pPr>
              <w:pStyle w:val="3361"/>
              <w:rPr>
                <w:rFonts w:hint="eastAsia"/>
                <w:color w:val="auto"/>
                <w:lang w:val="en-US" w:eastAsia="zh-CN"/>
              </w:rPr>
            </w:pPr>
            <w:r>
              <w:rPr>
                <w:rFonts w:hint="eastAsia"/>
                <w:color w:val="auto"/>
                <w:lang w:val="en-US" w:eastAsia="zh-CN"/>
              </w:rPr>
              <w:t>90</w:t>
            </w:r>
          </w:p>
        </w:tc>
        <w:tc>
          <w:tcPr>
            <w:tcW w:w="1777" w:type="dxa"/>
            <w:tcBorders>
              <w:top w:val="nil"/>
              <w:left w:val="nil"/>
              <w:bottom w:val="single" w:color="auto" w:sz="4" w:space="0"/>
              <w:right w:val="single" w:color="auto" w:sz="4" w:space="0"/>
            </w:tcBorders>
            <w:shd w:val="clear" w:color="auto" w:fill="auto"/>
            <w:noWrap/>
            <w:vAlign w:val="bottom"/>
          </w:tcPr>
          <w:p w14:paraId="23C72532">
            <w:pPr>
              <w:pStyle w:val="3361"/>
              <w:rPr>
                <w:rFonts w:hint="eastAsia"/>
                <w:color w:val="auto"/>
                <w:lang w:val="en-US" w:eastAsia="zh-CN"/>
              </w:rPr>
            </w:pPr>
            <w:r>
              <w:rPr>
                <w:rFonts w:hint="eastAsia"/>
                <w:color w:val="auto"/>
                <w:lang w:val="en-US" w:eastAsia="zh-CN"/>
              </w:rPr>
              <w:t>3.37E+00</w:t>
            </w:r>
          </w:p>
        </w:tc>
      </w:tr>
      <w:tr w14:paraId="40E2520A">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58AA4E2F">
            <w:pPr>
              <w:pStyle w:val="3361"/>
              <w:rPr>
                <w:rFonts w:hint="eastAsia"/>
                <w:color w:val="auto"/>
                <w:lang w:val="en-US" w:eastAsia="zh-CN"/>
              </w:rPr>
            </w:pPr>
            <w:r>
              <w:rPr>
                <w:rFonts w:hint="eastAsia"/>
                <w:color w:val="auto"/>
                <w:lang w:val="en-US" w:eastAsia="zh-CN"/>
              </w:rPr>
              <w:t>95</w:t>
            </w:r>
          </w:p>
        </w:tc>
        <w:tc>
          <w:tcPr>
            <w:tcW w:w="1378" w:type="dxa"/>
            <w:tcBorders>
              <w:top w:val="nil"/>
              <w:left w:val="nil"/>
              <w:bottom w:val="single" w:color="auto" w:sz="4" w:space="0"/>
              <w:right w:val="single" w:color="auto" w:sz="4" w:space="0"/>
            </w:tcBorders>
            <w:shd w:val="clear" w:color="auto" w:fill="auto"/>
            <w:noWrap/>
            <w:vAlign w:val="bottom"/>
          </w:tcPr>
          <w:p w14:paraId="5E35F4E0">
            <w:pPr>
              <w:pStyle w:val="3361"/>
              <w:rPr>
                <w:rFonts w:hint="eastAsia"/>
                <w:color w:val="auto"/>
                <w:lang w:val="en-US" w:eastAsia="zh-CN"/>
              </w:rPr>
            </w:pPr>
            <w:r>
              <w:rPr>
                <w:rFonts w:hint="eastAsia"/>
                <w:color w:val="auto"/>
                <w:lang w:val="en-US" w:eastAsia="zh-CN"/>
              </w:rPr>
              <w:t>5.03E-03</w:t>
            </w:r>
          </w:p>
        </w:tc>
        <w:tc>
          <w:tcPr>
            <w:tcW w:w="1265" w:type="dxa"/>
            <w:tcBorders>
              <w:top w:val="nil"/>
              <w:left w:val="nil"/>
              <w:bottom w:val="single" w:color="auto" w:sz="4" w:space="0"/>
              <w:right w:val="single" w:color="auto" w:sz="4" w:space="0"/>
            </w:tcBorders>
            <w:shd w:val="clear" w:color="auto" w:fill="auto"/>
            <w:noWrap/>
            <w:vAlign w:val="bottom"/>
          </w:tcPr>
          <w:p w14:paraId="76485F7F">
            <w:pPr>
              <w:pStyle w:val="3361"/>
              <w:rPr>
                <w:rFonts w:hint="eastAsia"/>
                <w:color w:val="auto"/>
                <w:lang w:val="en-US" w:eastAsia="zh-CN"/>
              </w:rPr>
            </w:pPr>
            <w:r>
              <w:rPr>
                <w:rFonts w:hint="eastAsia"/>
                <w:color w:val="auto"/>
                <w:lang w:val="en-US" w:eastAsia="zh-CN"/>
              </w:rPr>
              <w:t>95</w:t>
            </w:r>
          </w:p>
        </w:tc>
        <w:tc>
          <w:tcPr>
            <w:tcW w:w="1926" w:type="dxa"/>
            <w:tcBorders>
              <w:top w:val="nil"/>
              <w:left w:val="nil"/>
              <w:bottom w:val="single" w:color="auto" w:sz="4" w:space="0"/>
              <w:right w:val="single" w:color="auto" w:sz="4" w:space="0"/>
            </w:tcBorders>
            <w:shd w:val="clear" w:color="auto" w:fill="auto"/>
            <w:noWrap/>
            <w:vAlign w:val="bottom"/>
          </w:tcPr>
          <w:p w14:paraId="2F04A501">
            <w:pPr>
              <w:pStyle w:val="3361"/>
              <w:rPr>
                <w:rFonts w:hint="eastAsia"/>
                <w:color w:val="auto"/>
                <w:lang w:val="en-US" w:eastAsia="zh-CN"/>
              </w:rPr>
            </w:pPr>
            <w:r>
              <w:rPr>
                <w:rFonts w:hint="eastAsia"/>
                <w:color w:val="auto"/>
                <w:lang w:val="en-US" w:eastAsia="zh-CN"/>
              </w:rPr>
              <w:t>8.80E+00</w:t>
            </w:r>
          </w:p>
        </w:tc>
        <w:tc>
          <w:tcPr>
            <w:tcW w:w="1159" w:type="dxa"/>
            <w:tcBorders>
              <w:top w:val="nil"/>
              <w:left w:val="nil"/>
              <w:bottom w:val="single" w:color="auto" w:sz="4" w:space="0"/>
              <w:right w:val="single" w:color="auto" w:sz="4" w:space="0"/>
            </w:tcBorders>
            <w:shd w:val="clear" w:color="auto" w:fill="auto"/>
            <w:noWrap/>
            <w:vAlign w:val="bottom"/>
          </w:tcPr>
          <w:p w14:paraId="49BA4550">
            <w:pPr>
              <w:pStyle w:val="3361"/>
              <w:rPr>
                <w:rFonts w:hint="eastAsia"/>
                <w:color w:val="auto"/>
                <w:lang w:val="en-US" w:eastAsia="zh-CN"/>
              </w:rPr>
            </w:pPr>
            <w:r>
              <w:rPr>
                <w:rFonts w:hint="eastAsia"/>
                <w:color w:val="auto"/>
                <w:lang w:val="en-US" w:eastAsia="zh-CN"/>
              </w:rPr>
              <w:t>95</w:t>
            </w:r>
          </w:p>
        </w:tc>
        <w:tc>
          <w:tcPr>
            <w:tcW w:w="1777" w:type="dxa"/>
            <w:tcBorders>
              <w:top w:val="nil"/>
              <w:left w:val="nil"/>
              <w:bottom w:val="single" w:color="auto" w:sz="4" w:space="0"/>
              <w:right w:val="single" w:color="auto" w:sz="4" w:space="0"/>
            </w:tcBorders>
            <w:shd w:val="clear" w:color="auto" w:fill="auto"/>
            <w:noWrap/>
            <w:vAlign w:val="bottom"/>
          </w:tcPr>
          <w:p w14:paraId="506E3111">
            <w:pPr>
              <w:pStyle w:val="3361"/>
              <w:rPr>
                <w:rFonts w:hint="eastAsia"/>
                <w:color w:val="auto"/>
                <w:lang w:val="en-US" w:eastAsia="zh-CN"/>
              </w:rPr>
            </w:pPr>
            <w:r>
              <w:rPr>
                <w:rFonts w:hint="eastAsia"/>
                <w:color w:val="auto"/>
                <w:lang w:val="en-US" w:eastAsia="zh-CN"/>
              </w:rPr>
              <w:t>3.52E+00</w:t>
            </w:r>
          </w:p>
        </w:tc>
      </w:tr>
      <w:tr w14:paraId="6562433F">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6B5BF94D">
            <w:pPr>
              <w:pStyle w:val="3361"/>
              <w:rPr>
                <w:rFonts w:hint="eastAsia"/>
                <w:color w:val="auto"/>
                <w:lang w:val="en-US" w:eastAsia="zh-CN"/>
              </w:rPr>
            </w:pPr>
            <w:r>
              <w:rPr>
                <w:rFonts w:hint="eastAsia"/>
                <w:color w:val="auto"/>
                <w:lang w:val="en-US" w:eastAsia="zh-CN"/>
              </w:rPr>
              <w:t>100</w:t>
            </w:r>
          </w:p>
        </w:tc>
        <w:tc>
          <w:tcPr>
            <w:tcW w:w="1378" w:type="dxa"/>
            <w:tcBorders>
              <w:top w:val="nil"/>
              <w:left w:val="nil"/>
              <w:bottom w:val="single" w:color="auto" w:sz="4" w:space="0"/>
              <w:right w:val="single" w:color="auto" w:sz="4" w:space="0"/>
            </w:tcBorders>
            <w:shd w:val="clear" w:color="auto" w:fill="auto"/>
            <w:noWrap/>
            <w:vAlign w:val="bottom"/>
          </w:tcPr>
          <w:p w14:paraId="4EF20B37">
            <w:pPr>
              <w:pStyle w:val="3361"/>
              <w:rPr>
                <w:rFonts w:hint="eastAsia"/>
                <w:color w:val="auto"/>
                <w:lang w:val="en-US" w:eastAsia="zh-CN"/>
              </w:rPr>
            </w:pPr>
            <w:r>
              <w:rPr>
                <w:rFonts w:hint="eastAsia"/>
                <w:color w:val="auto"/>
                <w:lang w:val="en-US" w:eastAsia="zh-CN"/>
              </w:rPr>
              <w:t>5.01E-03</w:t>
            </w:r>
          </w:p>
        </w:tc>
        <w:tc>
          <w:tcPr>
            <w:tcW w:w="1265" w:type="dxa"/>
            <w:tcBorders>
              <w:top w:val="nil"/>
              <w:left w:val="nil"/>
              <w:bottom w:val="single" w:color="auto" w:sz="4" w:space="0"/>
              <w:right w:val="single" w:color="auto" w:sz="4" w:space="0"/>
            </w:tcBorders>
            <w:shd w:val="clear" w:color="auto" w:fill="auto"/>
            <w:noWrap/>
            <w:vAlign w:val="bottom"/>
          </w:tcPr>
          <w:p w14:paraId="106447A8">
            <w:pPr>
              <w:pStyle w:val="3361"/>
              <w:rPr>
                <w:rFonts w:hint="eastAsia"/>
                <w:color w:val="auto"/>
                <w:lang w:val="en-US" w:eastAsia="zh-CN"/>
              </w:rPr>
            </w:pPr>
            <w:r>
              <w:rPr>
                <w:rFonts w:hint="eastAsia"/>
                <w:color w:val="auto"/>
                <w:lang w:val="en-US" w:eastAsia="zh-CN"/>
              </w:rPr>
              <w:t>100</w:t>
            </w:r>
          </w:p>
        </w:tc>
        <w:tc>
          <w:tcPr>
            <w:tcW w:w="1926" w:type="dxa"/>
            <w:tcBorders>
              <w:top w:val="nil"/>
              <w:left w:val="nil"/>
              <w:bottom w:val="single" w:color="auto" w:sz="4" w:space="0"/>
              <w:right w:val="single" w:color="auto" w:sz="4" w:space="0"/>
            </w:tcBorders>
            <w:shd w:val="clear" w:color="auto" w:fill="auto"/>
            <w:noWrap/>
            <w:vAlign w:val="bottom"/>
          </w:tcPr>
          <w:p w14:paraId="558234F8">
            <w:pPr>
              <w:pStyle w:val="3361"/>
              <w:rPr>
                <w:rFonts w:hint="eastAsia"/>
                <w:color w:val="auto"/>
                <w:lang w:val="en-US" w:eastAsia="zh-CN"/>
              </w:rPr>
            </w:pPr>
            <w:r>
              <w:rPr>
                <w:rFonts w:hint="eastAsia"/>
                <w:color w:val="auto"/>
                <w:lang w:val="en-US" w:eastAsia="zh-CN"/>
              </w:rPr>
              <w:t>8.11E+00</w:t>
            </w:r>
          </w:p>
        </w:tc>
        <w:tc>
          <w:tcPr>
            <w:tcW w:w="1159" w:type="dxa"/>
            <w:tcBorders>
              <w:top w:val="nil"/>
              <w:left w:val="nil"/>
              <w:bottom w:val="single" w:color="auto" w:sz="4" w:space="0"/>
              <w:right w:val="single" w:color="auto" w:sz="4" w:space="0"/>
            </w:tcBorders>
            <w:shd w:val="clear" w:color="auto" w:fill="auto"/>
            <w:noWrap/>
            <w:vAlign w:val="bottom"/>
          </w:tcPr>
          <w:p w14:paraId="05A7E834">
            <w:pPr>
              <w:pStyle w:val="3361"/>
              <w:rPr>
                <w:rFonts w:hint="eastAsia"/>
                <w:color w:val="auto"/>
                <w:lang w:val="en-US" w:eastAsia="zh-CN"/>
              </w:rPr>
            </w:pPr>
            <w:r>
              <w:rPr>
                <w:rFonts w:hint="eastAsia"/>
                <w:color w:val="auto"/>
                <w:lang w:val="en-US" w:eastAsia="zh-CN"/>
              </w:rPr>
              <w:t>100</w:t>
            </w:r>
          </w:p>
        </w:tc>
        <w:tc>
          <w:tcPr>
            <w:tcW w:w="1777" w:type="dxa"/>
            <w:tcBorders>
              <w:top w:val="nil"/>
              <w:left w:val="nil"/>
              <w:bottom w:val="single" w:color="auto" w:sz="4" w:space="0"/>
              <w:right w:val="single" w:color="auto" w:sz="4" w:space="0"/>
            </w:tcBorders>
            <w:shd w:val="clear" w:color="auto" w:fill="auto"/>
            <w:noWrap/>
            <w:vAlign w:val="bottom"/>
          </w:tcPr>
          <w:p w14:paraId="74017B7B">
            <w:pPr>
              <w:pStyle w:val="3361"/>
              <w:rPr>
                <w:rFonts w:hint="eastAsia"/>
                <w:color w:val="auto"/>
                <w:lang w:val="en-US" w:eastAsia="zh-CN"/>
              </w:rPr>
            </w:pPr>
            <w:r>
              <w:rPr>
                <w:rFonts w:hint="eastAsia"/>
                <w:color w:val="auto"/>
                <w:lang w:val="en-US" w:eastAsia="zh-CN"/>
              </w:rPr>
              <w:t>3.66E+00</w:t>
            </w:r>
          </w:p>
        </w:tc>
      </w:tr>
      <w:tr w14:paraId="5B020C6E">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2EDB217F">
            <w:pPr>
              <w:pStyle w:val="3361"/>
              <w:rPr>
                <w:rFonts w:hint="eastAsia"/>
                <w:color w:val="auto"/>
                <w:lang w:val="en-US" w:eastAsia="zh-CN"/>
              </w:rPr>
            </w:pPr>
            <w:r>
              <w:rPr>
                <w:rFonts w:hint="eastAsia"/>
                <w:color w:val="auto"/>
                <w:lang w:val="en-US" w:eastAsia="zh-CN"/>
              </w:rPr>
              <w:t>105</w:t>
            </w:r>
          </w:p>
        </w:tc>
        <w:tc>
          <w:tcPr>
            <w:tcW w:w="1378" w:type="dxa"/>
            <w:tcBorders>
              <w:top w:val="nil"/>
              <w:left w:val="nil"/>
              <w:bottom w:val="single" w:color="auto" w:sz="4" w:space="0"/>
              <w:right w:val="single" w:color="auto" w:sz="4" w:space="0"/>
            </w:tcBorders>
            <w:shd w:val="clear" w:color="auto" w:fill="auto"/>
            <w:noWrap/>
            <w:vAlign w:val="bottom"/>
          </w:tcPr>
          <w:p w14:paraId="7F0AECC2">
            <w:pPr>
              <w:pStyle w:val="3361"/>
              <w:rPr>
                <w:rFonts w:hint="eastAsia"/>
                <w:color w:val="auto"/>
                <w:lang w:val="en-US" w:eastAsia="zh-CN"/>
              </w:rPr>
            </w:pPr>
            <w:r>
              <w:rPr>
                <w:rFonts w:hint="eastAsia"/>
                <w:color w:val="auto"/>
                <w:lang w:val="en-US" w:eastAsia="zh-CN"/>
              </w:rPr>
              <w:t>5.00E-03</w:t>
            </w:r>
          </w:p>
        </w:tc>
        <w:tc>
          <w:tcPr>
            <w:tcW w:w="1265" w:type="dxa"/>
            <w:tcBorders>
              <w:top w:val="nil"/>
              <w:left w:val="nil"/>
              <w:bottom w:val="single" w:color="auto" w:sz="4" w:space="0"/>
              <w:right w:val="single" w:color="auto" w:sz="4" w:space="0"/>
            </w:tcBorders>
            <w:shd w:val="clear" w:color="auto" w:fill="auto"/>
            <w:noWrap/>
            <w:vAlign w:val="bottom"/>
          </w:tcPr>
          <w:p w14:paraId="46CC0FCF">
            <w:pPr>
              <w:pStyle w:val="3361"/>
              <w:rPr>
                <w:rFonts w:hint="eastAsia"/>
                <w:color w:val="auto"/>
                <w:lang w:val="en-US" w:eastAsia="zh-CN"/>
              </w:rPr>
            </w:pPr>
            <w:r>
              <w:rPr>
                <w:rFonts w:hint="eastAsia"/>
                <w:color w:val="auto"/>
                <w:lang w:val="en-US" w:eastAsia="zh-CN"/>
              </w:rPr>
              <w:t>105</w:t>
            </w:r>
          </w:p>
        </w:tc>
        <w:tc>
          <w:tcPr>
            <w:tcW w:w="1926" w:type="dxa"/>
            <w:tcBorders>
              <w:top w:val="nil"/>
              <w:left w:val="nil"/>
              <w:bottom w:val="single" w:color="auto" w:sz="4" w:space="0"/>
              <w:right w:val="single" w:color="auto" w:sz="4" w:space="0"/>
            </w:tcBorders>
            <w:shd w:val="clear" w:color="auto" w:fill="auto"/>
            <w:noWrap/>
            <w:vAlign w:val="bottom"/>
          </w:tcPr>
          <w:p w14:paraId="51844AB7">
            <w:pPr>
              <w:pStyle w:val="3361"/>
              <w:rPr>
                <w:rFonts w:hint="eastAsia"/>
                <w:color w:val="auto"/>
                <w:lang w:val="en-US" w:eastAsia="zh-CN"/>
              </w:rPr>
            </w:pPr>
            <w:r>
              <w:rPr>
                <w:rFonts w:hint="eastAsia"/>
                <w:color w:val="auto"/>
                <w:lang w:val="en-US" w:eastAsia="zh-CN"/>
              </w:rPr>
              <w:t>7.39E+00</w:t>
            </w:r>
          </w:p>
        </w:tc>
        <w:tc>
          <w:tcPr>
            <w:tcW w:w="1159" w:type="dxa"/>
            <w:tcBorders>
              <w:top w:val="nil"/>
              <w:left w:val="nil"/>
              <w:bottom w:val="single" w:color="auto" w:sz="4" w:space="0"/>
              <w:right w:val="single" w:color="auto" w:sz="4" w:space="0"/>
            </w:tcBorders>
            <w:shd w:val="clear" w:color="auto" w:fill="auto"/>
            <w:noWrap/>
            <w:vAlign w:val="bottom"/>
          </w:tcPr>
          <w:p w14:paraId="6818CB50">
            <w:pPr>
              <w:pStyle w:val="3361"/>
              <w:rPr>
                <w:rFonts w:hint="eastAsia"/>
                <w:color w:val="auto"/>
                <w:lang w:val="en-US" w:eastAsia="zh-CN"/>
              </w:rPr>
            </w:pPr>
            <w:r>
              <w:rPr>
                <w:rFonts w:hint="eastAsia"/>
                <w:color w:val="auto"/>
                <w:lang w:val="en-US" w:eastAsia="zh-CN"/>
              </w:rPr>
              <w:t>105</w:t>
            </w:r>
          </w:p>
        </w:tc>
        <w:tc>
          <w:tcPr>
            <w:tcW w:w="1777" w:type="dxa"/>
            <w:tcBorders>
              <w:top w:val="nil"/>
              <w:left w:val="nil"/>
              <w:bottom w:val="single" w:color="auto" w:sz="4" w:space="0"/>
              <w:right w:val="single" w:color="auto" w:sz="4" w:space="0"/>
            </w:tcBorders>
            <w:shd w:val="clear" w:color="auto" w:fill="auto"/>
            <w:noWrap/>
            <w:vAlign w:val="bottom"/>
          </w:tcPr>
          <w:p w14:paraId="39ACC406">
            <w:pPr>
              <w:pStyle w:val="3361"/>
              <w:rPr>
                <w:rFonts w:hint="eastAsia"/>
                <w:color w:val="auto"/>
                <w:lang w:val="en-US" w:eastAsia="zh-CN"/>
              </w:rPr>
            </w:pPr>
            <w:r>
              <w:rPr>
                <w:rFonts w:hint="eastAsia"/>
                <w:color w:val="auto"/>
                <w:lang w:val="en-US" w:eastAsia="zh-CN"/>
              </w:rPr>
              <w:t>3.81E+00</w:t>
            </w:r>
          </w:p>
        </w:tc>
      </w:tr>
      <w:tr w14:paraId="3EF7FF50">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3240E6C4">
            <w:pPr>
              <w:pStyle w:val="3361"/>
              <w:rPr>
                <w:rFonts w:hint="eastAsia"/>
                <w:color w:val="auto"/>
                <w:lang w:val="en-US" w:eastAsia="zh-CN"/>
              </w:rPr>
            </w:pPr>
            <w:r>
              <w:rPr>
                <w:rFonts w:hint="eastAsia"/>
                <w:color w:val="auto"/>
                <w:lang w:val="en-US" w:eastAsia="zh-CN"/>
              </w:rPr>
              <w:t>110</w:t>
            </w:r>
          </w:p>
        </w:tc>
        <w:tc>
          <w:tcPr>
            <w:tcW w:w="1378" w:type="dxa"/>
            <w:tcBorders>
              <w:top w:val="nil"/>
              <w:left w:val="nil"/>
              <w:bottom w:val="single" w:color="auto" w:sz="4" w:space="0"/>
              <w:right w:val="single" w:color="auto" w:sz="4" w:space="0"/>
            </w:tcBorders>
            <w:shd w:val="clear" w:color="auto" w:fill="auto"/>
            <w:noWrap/>
            <w:vAlign w:val="bottom"/>
          </w:tcPr>
          <w:p w14:paraId="1951CEAE">
            <w:pPr>
              <w:pStyle w:val="3361"/>
              <w:rPr>
                <w:rFonts w:hint="eastAsia"/>
                <w:color w:val="auto"/>
                <w:lang w:val="en-US" w:eastAsia="zh-CN"/>
              </w:rPr>
            </w:pPr>
            <w:r>
              <w:rPr>
                <w:rFonts w:hint="eastAsia"/>
                <w:color w:val="auto"/>
                <w:lang w:val="en-US" w:eastAsia="zh-CN"/>
              </w:rPr>
              <w:t>5.00E-03</w:t>
            </w:r>
          </w:p>
        </w:tc>
        <w:tc>
          <w:tcPr>
            <w:tcW w:w="1265" w:type="dxa"/>
            <w:tcBorders>
              <w:top w:val="nil"/>
              <w:left w:val="nil"/>
              <w:bottom w:val="single" w:color="auto" w:sz="4" w:space="0"/>
              <w:right w:val="single" w:color="auto" w:sz="4" w:space="0"/>
            </w:tcBorders>
            <w:shd w:val="clear" w:color="auto" w:fill="auto"/>
            <w:noWrap/>
            <w:vAlign w:val="bottom"/>
          </w:tcPr>
          <w:p w14:paraId="2A643C04">
            <w:pPr>
              <w:pStyle w:val="3361"/>
              <w:rPr>
                <w:rFonts w:hint="eastAsia"/>
                <w:color w:val="auto"/>
                <w:lang w:val="en-US" w:eastAsia="zh-CN"/>
              </w:rPr>
            </w:pPr>
            <w:r>
              <w:rPr>
                <w:rFonts w:hint="eastAsia"/>
                <w:color w:val="auto"/>
                <w:lang w:val="en-US" w:eastAsia="zh-CN"/>
              </w:rPr>
              <w:t>110</w:t>
            </w:r>
          </w:p>
        </w:tc>
        <w:tc>
          <w:tcPr>
            <w:tcW w:w="1926" w:type="dxa"/>
            <w:tcBorders>
              <w:top w:val="nil"/>
              <w:left w:val="nil"/>
              <w:bottom w:val="single" w:color="auto" w:sz="4" w:space="0"/>
              <w:right w:val="single" w:color="auto" w:sz="4" w:space="0"/>
            </w:tcBorders>
            <w:shd w:val="clear" w:color="auto" w:fill="auto"/>
            <w:noWrap/>
            <w:vAlign w:val="bottom"/>
          </w:tcPr>
          <w:p w14:paraId="67BC11EB">
            <w:pPr>
              <w:pStyle w:val="3361"/>
              <w:rPr>
                <w:rFonts w:hint="eastAsia"/>
                <w:color w:val="auto"/>
                <w:lang w:val="en-US" w:eastAsia="zh-CN"/>
              </w:rPr>
            </w:pPr>
            <w:r>
              <w:rPr>
                <w:rFonts w:hint="eastAsia"/>
                <w:color w:val="auto"/>
                <w:lang w:val="en-US" w:eastAsia="zh-CN"/>
              </w:rPr>
              <w:t>6.67E+00</w:t>
            </w:r>
          </w:p>
        </w:tc>
        <w:tc>
          <w:tcPr>
            <w:tcW w:w="1159" w:type="dxa"/>
            <w:tcBorders>
              <w:top w:val="nil"/>
              <w:left w:val="nil"/>
              <w:bottom w:val="single" w:color="auto" w:sz="4" w:space="0"/>
              <w:right w:val="single" w:color="auto" w:sz="4" w:space="0"/>
            </w:tcBorders>
            <w:shd w:val="clear" w:color="auto" w:fill="auto"/>
            <w:noWrap/>
            <w:vAlign w:val="bottom"/>
          </w:tcPr>
          <w:p w14:paraId="55E00DCB">
            <w:pPr>
              <w:pStyle w:val="3361"/>
              <w:rPr>
                <w:rFonts w:hint="eastAsia"/>
                <w:color w:val="auto"/>
                <w:lang w:val="en-US" w:eastAsia="zh-CN"/>
              </w:rPr>
            </w:pPr>
            <w:r>
              <w:rPr>
                <w:rFonts w:hint="eastAsia"/>
                <w:color w:val="auto"/>
                <w:lang w:val="en-US" w:eastAsia="zh-CN"/>
              </w:rPr>
              <w:t>110</w:t>
            </w:r>
          </w:p>
        </w:tc>
        <w:tc>
          <w:tcPr>
            <w:tcW w:w="1777" w:type="dxa"/>
            <w:tcBorders>
              <w:top w:val="nil"/>
              <w:left w:val="nil"/>
              <w:bottom w:val="single" w:color="auto" w:sz="4" w:space="0"/>
              <w:right w:val="single" w:color="auto" w:sz="4" w:space="0"/>
            </w:tcBorders>
            <w:shd w:val="clear" w:color="auto" w:fill="auto"/>
            <w:noWrap/>
            <w:vAlign w:val="bottom"/>
          </w:tcPr>
          <w:p w14:paraId="6F33727D">
            <w:pPr>
              <w:pStyle w:val="3361"/>
              <w:rPr>
                <w:rFonts w:hint="eastAsia"/>
                <w:color w:val="auto"/>
                <w:lang w:val="en-US" w:eastAsia="zh-CN"/>
              </w:rPr>
            </w:pPr>
            <w:r>
              <w:rPr>
                <w:rFonts w:hint="eastAsia"/>
                <w:color w:val="auto"/>
                <w:lang w:val="en-US" w:eastAsia="zh-CN"/>
              </w:rPr>
              <w:t>3.95E+00</w:t>
            </w:r>
          </w:p>
        </w:tc>
      </w:tr>
      <w:tr w14:paraId="37701388">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303EA67F">
            <w:pPr>
              <w:pStyle w:val="3361"/>
              <w:rPr>
                <w:rFonts w:hint="eastAsia"/>
                <w:color w:val="auto"/>
                <w:lang w:val="en-US" w:eastAsia="zh-CN"/>
              </w:rPr>
            </w:pPr>
            <w:r>
              <w:rPr>
                <w:rFonts w:hint="eastAsia"/>
                <w:color w:val="auto"/>
                <w:lang w:val="en-US" w:eastAsia="zh-CN"/>
              </w:rPr>
              <w:t>115</w:t>
            </w:r>
          </w:p>
        </w:tc>
        <w:tc>
          <w:tcPr>
            <w:tcW w:w="1378" w:type="dxa"/>
            <w:tcBorders>
              <w:top w:val="nil"/>
              <w:left w:val="nil"/>
              <w:bottom w:val="single" w:color="auto" w:sz="4" w:space="0"/>
              <w:right w:val="single" w:color="auto" w:sz="4" w:space="0"/>
            </w:tcBorders>
            <w:shd w:val="clear" w:color="auto" w:fill="auto"/>
            <w:noWrap/>
            <w:vAlign w:val="bottom"/>
          </w:tcPr>
          <w:p w14:paraId="1C390BC3">
            <w:pPr>
              <w:pStyle w:val="3361"/>
              <w:rPr>
                <w:rFonts w:hint="eastAsia"/>
                <w:color w:val="auto"/>
                <w:lang w:val="en-US" w:eastAsia="zh-CN"/>
              </w:rPr>
            </w:pPr>
            <w:r>
              <w:rPr>
                <w:rFonts w:hint="eastAsia"/>
                <w:color w:val="auto"/>
                <w:lang w:val="en-US" w:eastAsia="zh-CN"/>
              </w:rPr>
              <w:t>5.00E-03</w:t>
            </w:r>
          </w:p>
        </w:tc>
        <w:tc>
          <w:tcPr>
            <w:tcW w:w="1265" w:type="dxa"/>
            <w:tcBorders>
              <w:top w:val="nil"/>
              <w:left w:val="nil"/>
              <w:bottom w:val="single" w:color="auto" w:sz="4" w:space="0"/>
              <w:right w:val="single" w:color="auto" w:sz="4" w:space="0"/>
            </w:tcBorders>
            <w:shd w:val="clear" w:color="auto" w:fill="auto"/>
            <w:noWrap/>
            <w:vAlign w:val="bottom"/>
          </w:tcPr>
          <w:p w14:paraId="26D980D4">
            <w:pPr>
              <w:pStyle w:val="3361"/>
              <w:rPr>
                <w:rFonts w:hint="eastAsia"/>
                <w:color w:val="auto"/>
                <w:lang w:val="en-US" w:eastAsia="zh-CN"/>
              </w:rPr>
            </w:pPr>
            <w:r>
              <w:rPr>
                <w:rFonts w:hint="eastAsia"/>
                <w:color w:val="auto"/>
                <w:lang w:val="en-US" w:eastAsia="zh-CN"/>
              </w:rPr>
              <w:t>115</w:t>
            </w:r>
          </w:p>
        </w:tc>
        <w:tc>
          <w:tcPr>
            <w:tcW w:w="1926" w:type="dxa"/>
            <w:tcBorders>
              <w:top w:val="nil"/>
              <w:left w:val="nil"/>
              <w:bottom w:val="single" w:color="auto" w:sz="4" w:space="0"/>
              <w:right w:val="single" w:color="auto" w:sz="4" w:space="0"/>
            </w:tcBorders>
            <w:shd w:val="clear" w:color="auto" w:fill="auto"/>
            <w:noWrap/>
            <w:vAlign w:val="bottom"/>
          </w:tcPr>
          <w:p w14:paraId="7138ACD7">
            <w:pPr>
              <w:pStyle w:val="3361"/>
              <w:rPr>
                <w:rFonts w:hint="eastAsia"/>
                <w:color w:val="auto"/>
                <w:lang w:val="en-US" w:eastAsia="zh-CN"/>
              </w:rPr>
            </w:pPr>
            <w:r>
              <w:rPr>
                <w:rFonts w:hint="eastAsia"/>
                <w:color w:val="auto"/>
                <w:lang w:val="en-US" w:eastAsia="zh-CN"/>
              </w:rPr>
              <w:t>5.96E+00</w:t>
            </w:r>
          </w:p>
        </w:tc>
        <w:tc>
          <w:tcPr>
            <w:tcW w:w="1159" w:type="dxa"/>
            <w:tcBorders>
              <w:top w:val="nil"/>
              <w:left w:val="nil"/>
              <w:bottom w:val="single" w:color="auto" w:sz="4" w:space="0"/>
              <w:right w:val="single" w:color="auto" w:sz="4" w:space="0"/>
            </w:tcBorders>
            <w:shd w:val="clear" w:color="auto" w:fill="auto"/>
            <w:noWrap/>
            <w:vAlign w:val="bottom"/>
          </w:tcPr>
          <w:p w14:paraId="46BBD365">
            <w:pPr>
              <w:pStyle w:val="3361"/>
              <w:rPr>
                <w:rFonts w:hint="eastAsia"/>
                <w:color w:val="auto"/>
                <w:lang w:val="en-US" w:eastAsia="zh-CN"/>
              </w:rPr>
            </w:pPr>
            <w:r>
              <w:rPr>
                <w:rFonts w:hint="eastAsia"/>
                <w:color w:val="auto"/>
                <w:lang w:val="en-US" w:eastAsia="zh-CN"/>
              </w:rPr>
              <w:t>115</w:t>
            </w:r>
          </w:p>
        </w:tc>
        <w:tc>
          <w:tcPr>
            <w:tcW w:w="1777" w:type="dxa"/>
            <w:tcBorders>
              <w:top w:val="nil"/>
              <w:left w:val="nil"/>
              <w:bottom w:val="single" w:color="auto" w:sz="4" w:space="0"/>
              <w:right w:val="single" w:color="auto" w:sz="4" w:space="0"/>
            </w:tcBorders>
            <w:shd w:val="clear" w:color="auto" w:fill="auto"/>
            <w:noWrap/>
            <w:vAlign w:val="bottom"/>
          </w:tcPr>
          <w:p w14:paraId="205709CA">
            <w:pPr>
              <w:pStyle w:val="3361"/>
              <w:rPr>
                <w:rFonts w:hint="eastAsia"/>
                <w:color w:val="auto"/>
                <w:lang w:val="en-US" w:eastAsia="zh-CN"/>
              </w:rPr>
            </w:pPr>
            <w:r>
              <w:rPr>
                <w:rFonts w:hint="eastAsia"/>
                <w:color w:val="auto"/>
                <w:lang w:val="en-US" w:eastAsia="zh-CN"/>
              </w:rPr>
              <w:t>4.08E+00</w:t>
            </w:r>
          </w:p>
        </w:tc>
      </w:tr>
      <w:tr w14:paraId="607755FD">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2E6CEAAE">
            <w:pPr>
              <w:pStyle w:val="3361"/>
              <w:rPr>
                <w:rFonts w:hint="eastAsia"/>
                <w:color w:val="auto"/>
                <w:lang w:val="en-US" w:eastAsia="zh-CN"/>
              </w:rPr>
            </w:pPr>
            <w:r>
              <w:rPr>
                <w:rFonts w:hint="eastAsia"/>
                <w:color w:val="auto"/>
                <w:lang w:val="en-US" w:eastAsia="zh-CN"/>
              </w:rPr>
              <w:t>120</w:t>
            </w:r>
          </w:p>
        </w:tc>
        <w:tc>
          <w:tcPr>
            <w:tcW w:w="1378" w:type="dxa"/>
            <w:tcBorders>
              <w:top w:val="nil"/>
              <w:left w:val="nil"/>
              <w:bottom w:val="single" w:color="auto" w:sz="4" w:space="0"/>
              <w:right w:val="single" w:color="auto" w:sz="4" w:space="0"/>
            </w:tcBorders>
            <w:shd w:val="clear" w:color="auto" w:fill="auto"/>
            <w:noWrap/>
            <w:vAlign w:val="bottom"/>
          </w:tcPr>
          <w:p w14:paraId="170627F5">
            <w:pPr>
              <w:pStyle w:val="3361"/>
              <w:rPr>
                <w:rFonts w:hint="eastAsia"/>
                <w:color w:val="auto"/>
                <w:lang w:val="en-US" w:eastAsia="zh-CN"/>
              </w:rPr>
            </w:pPr>
            <w:r>
              <w:rPr>
                <w:rFonts w:hint="eastAsia"/>
                <w:color w:val="auto"/>
                <w:lang w:val="en-US" w:eastAsia="zh-CN"/>
              </w:rPr>
              <w:t>5.00E-03</w:t>
            </w:r>
          </w:p>
        </w:tc>
        <w:tc>
          <w:tcPr>
            <w:tcW w:w="1265" w:type="dxa"/>
            <w:tcBorders>
              <w:top w:val="nil"/>
              <w:left w:val="nil"/>
              <w:bottom w:val="single" w:color="auto" w:sz="4" w:space="0"/>
              <w:right w:val="single" w:color="auto" w:sz="4" w:space="0"/>
            </w:tcBorders>
            <w:shd w:val="clear" w:color="auto" w:fill="auto"/>
            <w:noWrap/>
            <w:vAlign w:val="bottom"/>
          </w:tcPr>
          <w:p w14:paraId="402B2B03">
            <w:pPr>
              <w:pStyle w:val="3361"/>
              <w:rPr>
                <w:rFonts w:hint="eastAsia"/>
                <w:color w:val="auto"/>
                <w:lang w:val="en-US" w:eastAsia="zh-CN"/>
              </w:rPr>
            </w:pPr>
            <w:r>
              <w:rPr>
                <w:rFonts w:hint="eastAsia"/>
                <w:color w:val="auto"/>
                <w:lang w:val="en-US" w:eastAsia="zh-CN"/>
              </w:rPr>
              <w:t>120</w:t>
            </w:r>
          </w:p>
        </w:tc>
        <w:tc>
          <w:tcPr>
            <w:tcW w:w="1926" w:type="dxa"/>
            <w:tcBorders>
              <w:top w:val="nil"/>
              <w:left w:val="nil"/>
              <w:bottom w:val="single" w:color="auto" w:sz="4" w:space="0"/>
              <w:right w:val="single" w:color="auto" w:sz="4" w:space="0"/>
            </w:tcBorders>
            <w:shd w:val="clear" w:color="auto" w:fill="auto"/>
            <w:noWrap/>
            <w:vAlign w:val="bottom"/>
          </w:tcPr>
          <w:p w14:paraId="55C9682D">
            <w:pPr>
              <w:pStyle w:val="3361"/>
              <w:rPr>
                <w:rFonts w:hint="eastAsia"/>
                <w:color w:val="auto"/>
                <w:lang w:val="en-US" w:eastAsia="zh-CN"/>
              </w:rPr>
            </w:pPr>
            <w:r>
              <w:rPr>
                <w:rFonts w:hint="eastAsia"/>
                <w:color w:val="auto"/>
                <w:lang w:val="en-US" w:eastAsia="zh-CN"/>
              </w:rPr>
              <w:t>5.27E+00</w:t>
            </w:r>
          </w:p>
        </w:tc>
        <w:tc>
          <w:tcPr>
            <w:tcW w:w="1159" w:type="dxa"/>
            <w:tcBorders>
              <w:top w:val="nil"/>
              <w:left w:val="nil"/>
              <w:bottom w:val="single" w:color="auto" w:sz="4" w:space="0"/>
              <w:right w:val="single" w:color="auto" w:sz="4" w:space="0"/>
            </w:tcBorders>
            <w:shd w:val="clear" w:color="auto" w:fill="auto"/>
            <w:noWrap/>
            <w:vAlign w:val="bottom"/>
          </w:tcPr>
          <w:p w14:paraId="43DE592C">
            <w:pPr>
              <w:pStyle w:val="3361"/>
              <w:rPr>
                <w:rFonts w:hint="eastAsia"/>
                <w:color w:val="auto"/>
                <w:lang w:val="en-US" w:eastAsia="zh-CN"/>
              </w:rPr>
            </w:pPr>
            <w:r>
              <w:rPr>
                <w:rFonts w:hint="eastAsia"/>
                <w:color w:val="auto"/>
                <w:lang w:val="en-US" w:eastAsia="zh-CN"/>
              </w:rPr>
              <w:t>120</w:t>
            </w:r>
          </w:p>
        </w:tc>
        <w:tc>
          <w:tcPr>
            <w:tcW w:w="1777" w:type="dxa"/>
            <w:tcBorders>
              <w:top w:val="nil"/>
              <w:left w:val="nil"/>
              <w:bottom w:val="single" w:color="auto" w:sz="4" w:space="0"/>
              <w:right w:val="single" w:color="auto" w:sz="4" w:space="0"/>
            </w:tcBorders>
            <w:shd w:val="clear" w:color="auto" w:fill="auto"/>
            <w:noWrap/>
            <w:vAlign w:val="bottom"/>
          </w:tcPr>
          <w:p w14:paraId="2578E194">
            <w:pPr>
              <w:pStyle w:val="3361"/>
              <w:rPr>
                <w:rFonts w:hint="eastAsia"/>
                <w:color w:val="auto"/>
                <w:lang w:val="en-US" w:eastAsia="zh-CN"/>
              </w:rPr>
            </w:pPr>
            <w:r>
              <w:rPr>
                <w:rFonts w:hint="eastAsia"/>
                <w:color w:val="auto"/>
                <w:lang w:val="en-US" w:eastAsia="zh-CN"/>
              </w:rPr>
              <w:t>4.21E+00</w:t>
            </w:r>
          </w:p>
        </w:tc>
      </w:tr>
      <w:tr w14:paraId="638B2962">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524594F0">
            <w:pPr>
              <w:pStyle w:val="3361"/>
              <w:rPr>
                <w:rFonts w:hint="eastAsia"/>
                <w:color w:val="auto"/>
                <w:lang w:val="en-US" w:eastAsia="zh-CN"/>
              </w:rPr>
            </w:pPr>
            <w:r>
              <w:rPr>
                <w:rFonts w:hint="eastAsia"/>
                <w:color w:val="auto"/>
                <w:lang w:val="en-US" w:eastAsia="zh-CN"/>
              </w:rPr>
              <w:t>125</w:t>
            </w:r>
          </w:p>
        </w:tc>
        <w:tc>
          <w:tcPr>
            <w:tcW w:w="1378" w:type="dxa"/>
            <w:tcBorders>
              <w:top w:val="nil"/>
              <w:left w:val="nil"/>
              <w:bottom w:val="single" w:color="auto" w:sz="4" w:space="0"/>
              <w:right w:val="single" w:color="auto" w:sz="4" w:space="0"/>
            </w:tcBorders>
            <w:shd w:val="clear" w:color="auto" w:fill="auto"/>
            <w:noWrap/>
            <w:vAlign w:val="bottom"/>
          </w:tcPr>
          <w:p w14:paraId="6E8BD5C4">
            <w:pPr>
              <w:pStyle w:val="3361"/>
              <w:rPr>
                <w:rFonts w:hint="eastAsia"/>
                <w:color w:val="auto"/>
                <w:lang w:val="en-US" w:eastAsia="zh-CN"/>
              </w:rPr>
            </w:pPr>
            <w:r>
              <w:rPr>
                <w:rFonts w:hint="eastAsia"/>
                <w:color w:val="auto"/>
                <w:lang w:val="en-US" w:eastAsia="zh-CN"/>
              </w:rPr>
              <w:t>5.00E-03</w:t>
            </w:r>
          </w:p>
        </w:tc>
        <w:tc>
          <w:tcPr>
            <w:tcW w:w="1265" w:type="dxa"/>
            <w:tcBorders>
              <w:top w:val="nil"/>
              <w:left w:val="nil"/>
              <w:bottom w:val="single" w:color="auto" w:sz="4" w:space="0"/>
              <w:right w:val="single" w:color="auto" w:sz="4" w:space="0"/>
            </w:tcBorders>
            <w:shd w:val="clear" w:color="auto" w:fill="auto"/>
            <w:noWrap/>
            <w:vAlign w:val="bottom"/>
          </w:tcPr>
          <w:p w14:paraId="54AF68F5">
            <w:pPr>
              <w:pStyle w:val="3361"/>
              <w:rPr>
                <w:rFonts w:hint="eastAsia"/>
                <w:color w:val="auto"/>
                <w:lang w:val="en-US" w:eastAsia="zh-CN"/>
              </w:rPr>
            </w:pPr>
            <w:r>
              <w:rPr>
                <w:rFonts w:hint="eastAsia"/>
                <w:color w:val="auto"/>
                <w:lang w:val="en-US" w:eastAsia="zh-CN"/>
              </w:rPr>
              <w:t>125</w:t>
            </w:r>
          </w:p>
        </w:tc>
        <w:tc>
          <w:tcPr>
            <w:tcW w:w="1926" w:type="dxa"/>
            <w:tcBorders>
              <w:top w:val="nil"/>
              <w:left w:val="nil"/>
              <w:bottom w:val="single" w:color="auto" w:sz="4" w:space="0"/>
              <w:right w:val="single" w:color="auto" w:sz="4" w:space="0"/>
            </w:tcBorders>
            <w:shd w:val="clear" w:color="auto" w:fill="auto"/>
            <w:noWrap/>
            <w:vAlign w:val="bottom"/>
          </w:tcPr>
          <w:p w14:paraId="2D5B399A">
            <w:pPr>
              <w:pStyle w:val="3361"/>
              <w:rPr>
                <w:rFonts w:hint="eastAsia"/>
                <w:color w:val="auto"/>
                <w:lang w:val="en-US" w:eastAsia="zh-CN"/>
              </w:rPr>
            </w:pPr>
            <w:r>
              <w:rPr>
                <w:rFonts w:hint="eastAsia"/>
                <w:color w:val="auto"/>
                <w:lang w:val="en-US" w:eastAsia="zh-CN"/>
              </w:rPr>
              <w:t>4.61E+00</w:t>
            </w:r>
          </w:p>
        </w:tc>
        <w:tc>
          <w:tcPr>
            <w:tcW w:w="1159" w:type="dxa"/>
            <w:tcBorders>
              <w:top w:val="nil"/>
              <w:left w:val="nil"/>
              <w:bottom w:val="single" w:color="auto" w:sz="4" w:space="0"/>
              <w:right w:val="single" w:color="auto" w:sz="4" w:space="0"/>
            </w:tcBorders>
            <w:shd w:val="clear" w:color="auto" w:fill="auto"/>
            <w:noWrap/>
            <w:vAlign w:val="bottom"/>
          </w:tcPr>
          <w:p w14:paraId="1668AC9C">
            <w:pPr>
              <w:pStyle w:val="3361"/>
              <w:rPr>
                <w:rFonts w:hint="eastAsia"/>
                <w:color w:val="auto"/>
                <w:lang w:val="en-US" w:eastAsia="zh-CN"/>
              </w:rPr>
            </w:pPr>
            <w:r>
              <w:rPr>
                <w:rFonts w:hint="eastAsia"/>
                <w:color w:val="auto"/>
                <w:lang w:val="en-US" w:eastAsia="zh-CN"/>
              </w:rPr>
              <w:t>125</w:t>
            </w:r>
          </w:p>
        </w:tc>
        <w:tc>
          <w:tcPr>
            <w:tcW w:w="1777" w:type="dxa"/>
            <w:tcBorders>
              <w:top w:val="nil"/>
              <w:left w:val="nil"/>
              <w:bottom w:val="single" w:color="auto" w:sz="4" w:space="0"/>
              <w:right w:val="single" w:color="auto" w:sz="4" w:space="0"/>
            </w:tcBorders>
            <w:shd w:val="clear" w:color="auto" w:fill="auto"/>
            <w:noWrap/>
            <w:vAlign w:val="bottom"/>
          </w:tcPr>
          <w:p w14:paraId="35383679">
            <w:pPr>
              <w:pStyle w:val="3361"/>
              <w:rPr>
                <w:rFonts w:hint="eastAsia"/>
                <w:color w:val="auto"/>
                <w:lang w:val="en-US" w:eastAsia="zh-CN"/>
              </w:rPr>
            </w:pPr>
            <w:r>
              <w:rPr>
                <w:rFonts w:hint="eastAsia"/>
                <w:color w:val="auto"/>
                <w:lang w:val="en-US" w:eastAsia="zh-CN"/>
              </w:rPr>
              <w:t>4.32E+00</w:t>
            </w:r>
          </w:p>
        </w:tc>
      </w:tr>
      <w:tr w14:paraId="35466EAB">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22FB252B">
            <w:pPr>
              <w:pStyle w:val="3361"/>
              <w:rPr>
                <w:rFonts w:hint="eastAsia"/>
                <w:color w:val="auto"/>
                <w:lang w:val="en-US" w:eastAsia="zh-CN"/>
              </w:rPr>
            </w:pPr>
            <w:r>
              <w:rPr>
                <w:rFonts w:hint="eastAsia"/>
                <w:color w:val="auto"/>
                <w:lang w:val="en-US" w:eastAsia="zh-CN"/>
              </w:rPr>
              <w:t>130</w:t>
            </w:r>
          </w:p>
        </w:tc>
        <w:tc>
          <w:tcPr>
            <w:tcW w:w="1378" w:type="dxa"/>
            <w:tcBorders>
              <w:top w:val="nil"/>
              <w:left w:val="nil"/>
              <w:bottom w:val="single" w:color="auto" w:sz="4" w:space="0"/>
              <w:right w:val="single" w:color="auto" w:sz="4" w:space="0"/>
            </w:tcBorders>
            <w:shd w:val="clear" w:color="auto" w:fill="auto"/>
            <w:noWrap/>
            <w:vAlign w:val="bottom"/>
          </w:tcPr>
          <w:p w14:paraId="7EDEF534">
            <w:pPr>
              <w:pStyle w:val="3361"/>
              <w:rPr>
                <w:rFonts w:hint="eastAsia"/>
                <w:color w:val="auto"/>
                <w:lang w:val="en-US" w:eastAsia="zh-CN"/>
              </w:rPr>
            </w:pPr>
            <w:r>
              <w:rPr>
                <w:rFonts w:hint="eastAsia"/>
                <w:color w:val="auto"/>
                <w:lang w:val="en-US" w:eastAsia="zh-CN"/>
              </w:rPr>
              <w:t>5.00E-03</w:t>
            </w:r>
          </w:p>
        </w:tc>
        <w:tc>
          <w:tcPr>
            <w:tcW w:w="1265" w:type="dxa"/>
            <w:tcBorders>
              <w:top w:val="nil"/>
              <w:left w:val="nil"/>
              <w:bottom w:val="single" w:color="auto" w:sz="4" w:space="0"/>
              <w:right w:val="single" w:color="auto" w:sz="4" w:space="0"/>
            </w:tcBorders>
            <w:shd w:val="clear" w:color="auto" w:fill="auto"/>
            <w:noWrap/>
            <w:vAlign w:val="bottom"/>
          </w:tcPr>
          <w:p w14:paraId="2C9DF9FE">
            <w:pPr>
              <w:pStyle w:val="3361"/>
              <w:rPr>
                <w:rFonts w:hint="eastAsia"/>
                <w:color w:val="auto"/>
                <w:lang w:val="en-US" w:eastAsia="zh-CN"/>
              </w:rPr>
            </w:pPr>
            <w:r>
              <w:rPr>
                <w:rFonts w:hint="eastAsia"/>
                <w:color w:val="auto"/>
                <w:lang w:val="en-US" w:eastAsia="zh-CN"/>
              </w:rPr>
              <w:t>130</w:t>
            </w:r>
          </w:p>
        </w:tc>
        <w:tc>
          <w:tcPr>
            <w:tcW w:w="1926" w:type="dxa"/>
            <w:tcBorders>
              <w:top w:val="nil"/>
              <w:left w:val="nil"/>
              <w:bottom w:val="single" w:color="auto" w:sz="4" w:space="0"/>
              <w:right w:val="single" w:color="auto" w:sz="4" w:space="0"/>
            </w:tcBorders>
            <w:shd w:val="clear" w:color="auto" w:fill="auto"/>
            <w:noWrap/>
            <w:vAlign w:val="bottom"/>
          </w:tcPr>
          <w:p w14:paraId="6AE871DA">
            <w:pPr>
              <w:pStyle w:val="3361"/>
              <w:rPr>
                <w:rFonts w:hint="eastAsia"/>
                <w:color w:val="auto"/>
                <w:lang w:val="en-US" w:eastAsia="zh-CN"/>
              </w:rPr>
            </w:pPr>
            <w:r>
              <w:rPr>
                <w:rFonts w:hint="eastAsia"/>
                <w:color w:val="auto"/>
                <w:lang w:val="en-US" w:eastAsia="zh-CN"/>
              </w:rPr>
              <w:t>4.00E+00</w:t>
            </w:r>
          </w:p>
        </w:tc>
        <w:tc>
          <w:tcPr>
            <w:tcW w:w="1159" w:type="dxa"/>
            <w:tcBorders>
              <w:top w:val="nil"/>
              <w:left w:val="nil"/>
              <w:bottom w:val="single" w:color="auto" w:sz="4" w:space="0"/>
              <w:right w:val="single" w:color="auto" w:sz="4" w:space="0"/>
            </w:tcBorders>
            <w:shd w:val="clear" w:color="auto" w:fill="auto"/>
            <w:noWrap/>
            <w:vAlign w:val="bottom"/>
          </w:tcPr>
          <w:p w14:paraId="4EEECCB2">
            <w:pPr>
              <w:pStyle w:val="3361"/>
              <w:rPr>
                <w:rFonts w:hint="eastAsia"/>
                <w:color w:val="auto"/>
                <w:lang w:val="en-US" w:eastAsia="zh-CN"/>
              </w:rPr>
            </w:pPr>
            <w:r>
              <w:rPr>
                <w:rFonts w:hint="eastAsia"/>
                <w:color w:val="auto"/>
                <w:lang w:val="en-US" w:eastAsia="zh-CN"/>
              </w:rPr>
              <w:t>130</w:t>
            </w:r>
          </w:p>
        </w:tc>
        <w:tc>
          <w:tcPr>
            <w:tcW w:w="1777" w:type="dxa"/>
            <w:tcBorders>
              <w:top w:val="nil"/>
              <w:left w:val="nil"/>
              <w:bottom w:val="single" w:color="auto" w:sz="4" w:space="0"/>
              <w:right w:val="single" w:color="auto" w:sz="4" w:space="0"/>
            </w:tcBorders>
            <w:shd w:val="clear" w:color="auto" w:fill="auto"/>
            <w:noWrap/>
            <w:vAlign w:val="bottom"/>
          </w:tcPr>
          <w:p w14:paraId="5A9E6DE5">
            <w:pPr>
              <w:pStyle w:val="3361"/>
              <w:rPr>
                <w:rFonts w:hint="eastAsia"/>
                <w:color w:val="auto"/>
                <w:lang w:val="en-US" w:eastAsia="zh-CN"/>
              </w:rPr>
            </w:pPr>
            <w:r>
              <w:rPr>
                <w:rFonts w:hint="eastAsia"/>
                <w:color w:val="auto"/>
                <w:lang w:val="en-US" w:eastAsia="zh-CN"/>
              </w:rPr>
              <w:t>4.43E+00</w:t>
            </w:r>
          </w:p>
        </w:tc>
      </w:tr>
      <w:tr w14:paraId="480971D6">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632DFC3E">
            <w:pPr>
              <w:pStyle w:val="3361"/>
              <w:rPr>
                <w:rFonts w:hint="eastAsia"/>
                <w:color w:val="auto"/>
                <w:lang w:val="en-US" w:eastAsia="zh-CN"/>
              </w:rPr>
            </w:pPr>
            <w:r>
              <w:rPr>
                <w:rFonts w:hint="eastAsia"/>
                <w:color w:val="auto"/>
                <w:lang w:val="en-US" w:eastAsia="zh-CN"/>
              </w:rPr>
              <w:t>135</w:t>
            </w:r>
          </w:p>
        </w:tc>
        <w:tc>
          <w:tcPr>
            <w:tcW w:w="1378" w:type="dxa"/>
            <w:tcBorders>
              <w:top w:val="nil"/>
              <w:left w:val="nil"/>
              <w:bottom w:val="single" w:color="auto" w:sz="4" w:space="0"/>
              <w:right w:val="single" w:color="auto" w:sz="4" w:space="0"/>
            </w:tcBorders>
            <w:shd w:val="clear" w:color="auto" w:fill="auto"/>
            <w:noWrap/>
            <w:vAlign w:val="bottom"/>
          </w:tcPr>
          <w:p w14:paraId="55E299BF">
            <w:pPr>
              <w:pStyle w:val="3361"/>
              <w:rPr>
                <w:rFonts w:hint="eastAsia"/>
                <w:color w:val="auto"/>
                <w:lang w:val="en-US" w:eastAsia="zh-CN"/>
              </w:rPr>
            </w:pPr>
            <w:r>
              <w:rPr>
                <w:rFonts w:hint="eastAsia"/>
                <w:color w:val="auto"/>
                <w:lang w:val="en-US" w:eastAsia="zh-CN"/>
              </w:rPr>
              <w:t>5.00E-03</w:t>
            </w:r>
          </w:p>
        </w:tc>
        <w:tc>
          <w:tcPr>
            <w:tcW w:w="1265" w:type="dxa"/>
            <w:tcBorders>
              <w:top w:val="nil"/>
              <w:left w:val="nil"/>
              <w:bottom w:val="single" w:color="auto" w:sz="4" w:space="0"/>
              <w:right w:val="single" w:color="auto" w:sz="4" w:space="0"/>
            </w:tcBorders>
            <w:shd w:val="clear" w:color="auto" w:fill="auto"/>
            <w:noWrap/>
            <w:vAlign w:val="bottom"/>
          </w:tcPr>
          <w:p w14:paraId="3BADD8C7">
            <w:pPr>
              <w:pStyle w:val="3361"/>
              <w:rPr>
                <w:rFonts w:hint="eastAsia"/>
                <w:color w:val="auto"/>
                <w:lang w:val="en-US" w:eastAsia="zh-CN"/>
              </w:rPr>
            </w:pPr>
            <w:r>
              <w:rPr>
                <w:rFonts w:hint="eastAsia"/>
                <w:color w:val="auto"/>
                <w:lang w:val="en-US" w:eastAsia="zh-CN"/>
              </w:rPr>
              <w:t>135</w:t>
            </w:r>
          </w:p>
        </w:tc>
        <w:tc>
          <w:tcPr>
            <w:tcW w:w="1926" w:type="dxa"/>
            <w:tcBorders>
              <w:top w:val="nil"/>
              <w:left w:val="nil"/>
              <w:bottom w:val="single" w:color="auto" w:sz="4" w:space="0"/>
              <w:right w:val="single" w:color="auto" w:sz="4" w:space="0"/>
            </w:tcBorders>
            <w:shd w:val="clear" w:color="auto" w:fill="auto"/>
            <w:noWrap/>
            <w:vAlign w:val="bottom"/>
          </w:tcPr>
          <w:p w14:paraId="3B392B6A">
            <w:pPr>
              <w:pStyle w:val="3361"/>
              <w:rPr>
                <w:rFonts w:hint="eastAsia"/>
                <w:color w:val="auto"/>
                <w:lang w:val="en-US" w:eastAsia="zh-CN"/>
              </w:rPr>
            </w:pPr>
            <w:r>
              <w:rPr>
                <w:rFonts w:hint="eastAsia"/>
                <w:color w:val="auto"/>
                <w:lang w:val="en-US" w:eastAsia="zh-CN"/>
              </w:rPr>
              <w:t>3.43E+00</w:t>
            </w:r>
          </w:p>
        </w:tc>
        <w:tc>
          <w:tcPr>
            <w:tcW w:w="1159" w:type="dxa"/>
            <w:tcBorders>
              <w:top w:val="nil"/>
              <w:left w:val="nil"/>
              <w:bottom w:val="single" w:color="auto" w:sz="4" w:space="0"/>
              <w:right w:val="single" w:color="auto" w:sz="4" w:space="0"/>
            </w:tcBorders>
            <w:shd w:val="clear" w:color="auto" w:fill="auto"/>
            <w:noWrap/>
            <w:vAlign w:val="bottom"/>
          </w:tcPr>
          <w:p w14:paraId="241FED07">
            <w:pPr>
              <w:pStyle w:val="3361"/>
              <w:rPr>
                <w:rFonts w:hint="eastAsia"/>
                <w:color w:val="auto"/>
                <w:lang w:val="en-US" w:eastAsia="zh-CN"/>
              </w:rPr>
            </w:pPr>
            <w:r>
              <w:rPr>
                <w:rFonts w:hint="eastAsia"/>
                <w:color w:val="auto"/>
                <w:lang w:val="en-US" w:eastAsia="zh-CN"/>
              </w:rPr>
              <w:t>135</w:t>
            </w:r>
          </w:p>
        </w:tc>
        <w:tc>
          <w:tcPr>
            <w:tcW w:w="1777" w:type="dxa"/>
            <w:tcBorders>
              <w:top w:val="nil"/>
              <w:left w:val="nil"/>
              <w:bottom w:val="single" w:color="auto" w:sz="4" w:space="0"/>
              <w:right w:val="single" w:color="auto" w:sz="4" w:space="0"/>
            </w:tcBorders>
            <w:shd w:val="clear" w:color="auto" w:fill="auto"/>
            <w:noWrap/>
            <w:vAlign w:val="bottom"/>
          </w:tcPr>
          <w:p w14:paraId="6A8B3002">
            <w:pPr>
              <w:pStyle w:val="3361"/>
              <w:rPr>
                <w:rFonts w:hint="eastAsia"/>
                <w:color w:val="auto"/>
                <w:lang w:val="en-US" w:eastAsia="zh-CN"/>
              </w:rPr>
            </w:pPr>
            <w:r>
              <w:rPr>
                <w:rFonts w:hint="eastAsia"/>
                <w:color w:val="auto"/>
                <w:lang w:val="en-US" w:eastAsia="zh-CN"/>
              </w:rPr>
              <w:t>4.53E+00</w:t>
            </w:r>
          </w:p>
        </w:tc>
      </w:tr>
      <w:tr w14:paraId="13C88545">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55926703">
            <w:pPr>
              <w:pStyle w:val="3361"/>
              <w:rPr>
                <w:rFonts w:hint="eastAsia"/>
                <w:color w:val="auto"/>
                <w:lang w:val="en-US" w:eastAsia="zh-CN"/>
              </w:rPr>
            </w:pPr>
            <w:r>
              <w:rPr>
                <w:rFonts w:hint="eastAsia"/>
                <w:color w:val="auto"/>
                <w:lang w:val="en-US" w:eastAsia="zh-CN"/>
              </w:rPr>
              <w:t>140</w:t>
            </w:r>
          </w:p>
        </w:tc>
        <w:tc>
          <w:tcPr>
            <w:tcW w:w="1378" w:type="dxa"/>
            <w:tcBorders>
              <w:top w:val="nil"/>
              <w:left w:val="nil"/>
              <w:bottom w:val="single" w:color="auto" w:sz="4" w:space="0"/>
              <w:right w:val="single" w:color="auto" w:sz="4" w:space="0"/>
            </w:tcBorders>
            <w:shd w:val="clear" w:color="auto" w:fill="auto"/>
            <w:noWrap/>
            <w:vAlign w:val="bottom"/>
          </w:tcPr>
          <w:p w14:paraId="2904AD4E">
            <w:pPr>
              <w:pStyle w:val="3361"/>
              <w:rPr>
                <w:rFonts w:hint="eastAsia"/>
                <w:color w:val="auto"/>
                <w:lang w:val="en-US" w:eastAsia="zh-CN"/>
              </w:rPr>
            </w:pPr>
            <w:r>
              <w:rPr>
                <w:rFonts w:hint="eastAsia"/>
                <w:color w:val="auto"/>
                <w:lang w:val="en-US" w:eastAsia="zh-CN"/>
              </w:rPr>
              <w:t>5.00E-03</w:t>
            </w:r>
          </w:p>
        </w:tc>
        <w:tc>
          <w:tcPr>
            <w:tcW w:w="1265" w:type="dxa"/>
            <w:tcBorders>
              <w:top w:val="nil"/>
              <w:left w:val="nil"/>
              <w:bottom w:val="single" w:color="auto" w:sz="4" w:space="0"/>
              <w:right w:val="single" w:color="auto" w:sz="4" w:space="0"/>
            </w:tcBorders>
            <w:shd w:val="clear" w:color="auto" w:fill="auto"/>
            <w:noWrap/>
            <w:vAlign w:val="bottom"/>
          </w:tcPr>
          <w:p w14:paraId="25367CA2">
            <w:pPr>
              <w:pStyle w:val="3361"/>
              <w:rPr>
                <w:rFonts w:hint="eastAsia"/>
                <w:color w:val="auto"/>
                <w:lang w:val="en-US" w:eastAsia="zh-CN"/>
              </w:rPr>
            </w:pPr>
            <w:r>
              <w:rPr>
                <w:rFonts w:hint="eastAsia"/>
                <w:color w:val="auto"/>
                <w:lang w:val="en-US" w:eastAsia="zh-CN"/>
              </w:rPr>
              <w:t>140</w:t>
            </w:r>
          </w:p>
        </w:tc>
        <w:tc>
          <w:tcPr>
            <w:tcW w:w="1926" w:type="dxa"/>
            <w:tcBorders>
              <w:top w:val="nil"/>
              <w:left w:val="nil"/>
              <w:bottom w:val="single" w:color="auto" w:sz="4" w:space="0"/>
              <w:right w:val="single" w:color="auto" w:sz="4" w:space="0"/>
            </w:tcBorders>
            <w:shd w:val="clear" w:color="auto" w:fill="auto"/>
            <w:noWrap/>
            <w:vAlign w:val="bottom"/>
          </w:tcPr>
          <w:p w14:paraId="22DD948C">
            <w:pPr>
              <w:pStyle w:val="3361"/>
              <w:rPr>
                <w:rFonts w:hint="eastAsia"/>
                <w:color w:val="auto"/>
                <w:lang w:val="en-US" w:eastAsia="zh-CN"/>
              </w:rPr>
            </w:pPr>
            <w:r>
              <w:rPr>
                <w:rFonts w:hint="eastAsia"/>
                <w:color w:val="auto"/>
                <w:lang w:val="en-US" w:eastAsia="zh-CN"/>
              </w:rPr>
              <w:t>2.92E+00</w:t>
            </w:r>
          </w:p>
        </w:tc>
        <w:tc>
          <w:tcPr>
            <w:tcW w:w="1159" w:type="dxa"/>
            <w:tcBorders>
              <w:top w:val="nil"/>
              <w:left w:val="nil"/>
              <w:bottom w:val="single" w:color="auto" w:sz="4" w:space="0"/>
              <w:right w:val="single" w:color="auto" w:sz="4" w:space="0"/>
            </w:tcBorders>
            <w:shd w:val="clear" w:color="auto" w:fill="auto"/>
            <w:noWrap/>
            <w:vAlign w:val="bottom"/>
          </w:tcPr>
          <w:p w14:paraId="6AB9F283">
            <w:pPr>
              <w:pStyle w:val="3361"/>
              <w:rPr>
                <w:rFonts w:hint="eastAsia"/>
                <w:color w:val="auto"/>
                <w:lang w:val="en-US" w:eastAsia="zh-CN"/>
              </w:rPr>
            </w:pPr>
            <w:r>
              <w:rPr>
                <w:rFonts w:hint="eastAsia"/>
                <w:color w:val="auto"/>
                <w:lang w:val="en-US" w:eastAsia="zh-CN"/>
              </w:rPr>
              <w:t>140</w:t>
            </w:r>
          </w:p>
        </w:tc>
        <w:tc>
          <w:tcPr>
            <w:tcW w:w="1777" w:type="dxa"/>
            <w:tcBorders>
              <w:top w:val="nil"/>
              <w:left w:val="nil"/>
              <w:bottom w:val="single" w:color="auto" w:sz="4" w:space="0"/>
              <w:right w:val="single" w:color="auto" w:sz="4" w:space="0"/>
            </w:tcBorders>
            <w:shd w:val="clear" w:color="auto" w:fill="auto"/>
            <w:noWrap/>
            <w:vAlign w:val="bottom"/>
          </w:tcPr>
          <w:p w14:paraId="1CF13065">
            <w:pPr>
              <w:pStyle w:val="3361"/>
              <w:rPr>
                <w:rFonts w:hint="eastAsia"/>
                <w:color w:val="auto"/>
                <w:lang w:val="en-US" w:eastAsia="zh-CN"/>
              </w:rPr>
            </w:pPr>
            <w:r>
              <w:rPr>
                <w:rFonts w:hint="eastAsia"/>
                <w:color w:val="auto"/>
                <w:lang w:val="en-US" w:eastAsia="zh-CN"/>
              </w:rPr>
              <w:t>4.63E+00</w:t>
            </w:r>
          </w:p>
        </w:tc>
      </w:tr>
      <w:tr w14:paraId="59C29CBF">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519DAD91">
            <w:pPr>
              <w:pStyle w:val="3361"/>
              <w:rPr>
                <w:rFonts w:hint="eastAsia"/>
                <w:color w:val="auto"/>
                <w:lang w:val="en-US" w:eastAsia="zh-CN"/>
              </w:rPr>
            </w:pPr>
            <w:r>
              <w:rPr>
                <w:rFonts w:hint="eastAsia"/>
                <w:color w:val="auto"/>
                <w:lang w:val="en-US" w:eastAsia="zh-CN"/>
              </w:rPr>
              <w:t>145</w:t>
            </w:r>
          </w:p>
        </w:tc>
        <w:tc>
          <w:tcPr>
            <w:tcW w:w="1378" w:type="dxa"/>
            <w:tcBorders>
              <w:top w:val="nil"/>
              <w:left w:val="nil"/>
              <w:bottom w:val="single" w:color="auto" w:sz="4" w:space="0"/>
              <w:right w:val="single" w:color="auto" w:sz="4" w:space="0"/>
            </w:tcBorders>
            <w:shd w:val="clear" w:color="auto" w:fill="auto"/>
            <w:noWrap/>
            <w:vAlign w:val="bottom"/>
          </w:tcPr>
          <w:p w14:paraId="07B6DF94">
            <w:pPr>
              <w:pStyle w:val="3361"/>
              <w:rPr>
                <w:rFonts w:hint="eastAsia"/>
                <w:color w:val="auto"/>
                <w:lang w:val="en-US" w:eastAsia="zh-CN"/>
              </w:rPr>
            </w:pPr>
            <w:r>
              <w:rPr>
                <w:rFonts w:hint="eastAsia"/>
                <w:color w:val="auto"/>
                <w:lang w:val="en-US" w:eastAsia="zh-CN"/>
              </w:rPr>
              <w:t>5.00E-03</w:t>
            </w:r>
          </w:p>
        </w:tc>
        <w:tc>
          <w:tcPr>
            <w:tcW w:w="1265" w:type="dxa"/>
            <w:tcBorders>
              <w:top w:val="nil"/>
              <w:left w:val="nil"/>
              <w:bottom w:val="single" w:color="auto" w:sz="4" w:space="0"/>
              <w:right w:val="single" w:color="auto" w:sz="4" w:space="0"/>
            </w:tcBorders>
            <w:shd w:val="clear" w:color="auto" w:fill="auto"/>
            <w:noWrap/>
            <w:vAlign w:val="bottom"/>
          </w:tcPr>
          <w:p w14:paraId="0269D105">
            <w:pPr>
              <w:pStyle w:val="3361"/>
              <w:rPr>
                <w:rFonts w:hint="eastAsia"/>
                <w:color w:val="auto"/>
                <w:lang w:val="en-US" w:eastAsia="zh-CN"/>
              </w:rPr>
            </w:pPr>
            <w:r>
              <w:rPr>
                <w:rFonts w:hint="eastAsia"/>
                <w:color w:val="auto"/>
                <w:lang w:val="en-US" w:eastAsia="zh-CN"/>
              </w:rPr>
              <w:t>145</w:t>
            </w:r>
          </w:p>
        </w:tc>
        <w:tc>
          <w:tcPr>
            <w:tcW w:w="1926" w:type="dxa"/>
            <w:tcBorders>
              <w:top w:val="nil"/>
              <w:left w:val="nil"/>
              <w:bottom w:val="single" w:color="auto" w:sz="4" w:space="0"/>
              <w:right w:val="single" w:color="auto" w:sz="4" w:space="0"/>
            </w:tcBorders>
            <w:shd w:val="clear" w:color="auto" w:fill="auto"/>
            <w:noWrap/>
            <w:vAlign w:val="bottom"/>
          </w:tcPr>
          <w:p w14:paraId="0BE48A36">
            <w:pPr>
              <w:pStyle w:val="3361"/>
              <w:rPr>
                <w:rFonts w:hint="eastAsia"/>
                <w:color w:val="auto"/>
                <w:lang w:val="en-US" w:eastAsia="zh-CN"/>
              </w:rPr>
            </w:pPr>
            <w:r>
              <w:rPr>
                <w:rFonts w:hint="eastAsia"/>
                <w:color w:val="auto"/>
                <w:lang w:val="en-US" w:eastAsia="zh-CN"/>
              </w:rPr>
              <w:t>2.46E+00</w:t>
            </w:r>
          </w:p>
        </w:tc>
        <w:tc>
          <w:tcPr>
            <w:tcW w:w="1159" w:type="dxa"/>
            <w:tcBorders>
              <w:top w:val="nil"/>
              <w:left w:val="nil"/>
              <w:bottom w:val="single" w:color="auto" w:sz="4" w:space="0"/>
              <w:right w:val="single" w:color="auto" w:sz="4" w:space="0"/>
            </w:tcBorders>
            <w:shd w:val="clear" w:color="auto" w:fill="auto"/>
            <w:noWrap/>
            <w:vAlign w:val="bottom"/>
          </w:tcPr>
          <w:p w14:paraId="71F3F12F">
            <w:pPr>
              <w:pStyle w:val="3361"/>
              <w:rPr>
                <w:rFonts w:hint="eastAsia"/>
                <w:color w:val="auto"/>
                <w:lang w:val="en-US" w:eastAsia="zh-CN"/>
              </w:rPr>
            </w:pPr>
            <w:r>
              <w:rPr>
                <w:rFonts w:hint="eastAsia"/>
                <w:color w:val="auto"/>
                <w:lang w:val="en-US" w:eastAsia="zh-CN"/>
              </w:rPr>
              <w:t>145</w:t>
            </w:r>
          </w:p>
        </w:tc>
        <w:tc>
          <w:tcPr>
            <w:tcW w:w="1777" w:type="dxa"/>
            <w:tcBorders>
              <w:top w:val="nil"/>
              <w:left w:val="nil"/>
              <w:bottom w:val="single" w:color="auto" w:sz="4" w:space="0"/>
              <w:right w:val="single" w:color="auto" w:sz="4" w:space="0"/>
            </w:tcBorders>
            <w:shd w:val="clear" w:color="auto" w:fill="auto"/>
            <w:noWrap/>
            <w:vAlign w:val="bottom"/>
          </w:tcPr>
          <w:p w14:paraId="2C19AE4D">
            <w:pPr>
              <w:pStyle w:val="3361"/>
              <w:rPr>
                <w:rFonts w:hint="eastAsia"/>
                <w:color w:val="auto"/>
                <w:lang w:val="en-US" w:eastAsia="zh-CN"/>
              </w:rPr>
            </w:pPr>
            <w:r>
              <w:rPr>
                <w:rFonts w:hint="eastAsia"/>
                <w:color w:val="auto"/>
                <w:lang w:val="en-US" w:eastAsia="zh-CN"/>
              </w:rPr>
              <w:t>4.71E+00</w:t>
            </w:r>
          </w:p>
        </w:tc>
      </w:tr>
      <w:tr w14:paraId="772AD436">
        <w:tblPrEx>
          <w:tblCellMar>
            <w:top w:w="0" w:type="dxa"/>
            <w:left w:w="108" w:type="dxa"/>
            <w:bottom w:w="0" w:type="dxa"/>
            <w:right w:w="108" w:type="dxa"/>
          </w:tblCellMar>
        </w:tblPrEx>
        <w:trPr>
          <w:trHeight w:val="270" w:hRule="atLeast"/>
        </w:trPr>
        <w:tc>
          <w:tcPr>
            <w:tcW w:w="1555" w:type="dxa"/>
            <w:tcBorders>
              <w:top w:val="nil"/>
              <w:left w:val="single" w:color="auto" w:sz="4" w:space="0"/>
              <w:bottom w:val="single" w:color="auto" w:sz="4" w:space="0"/>
              <w:right w:val="single" w:color="auto" w:sz="4" w:space="0"/>
            </w:tcBorders>
            <w:shd w:val="clear" w:color="auto" w:fill="auto"/>
            <w:noWrap/>
            <w:vAlign w:val="bottom"/>
          </w:tcPr>
          <w:p w14:paraId="46196984">
            <w:pPr>
              <w:pStyle w:val="3361"/>
              <w:rPr>
                <w:rFonts w:hint="eastAsia"/>
                <w:color w:val="auto"/>
                <w:lang w:val="en-US" w:eastAsia="zh-CN"/>
              </w:rPr>
            </w:pPr>
            <w:r>
              <w:rPr>
                <w:rFonts w:hint="eastAsia"/>
                <w:color w:val="auto"/>
                <w:lang w:val="en-US" w:eastAsia="zh-CN"/>
              </w:rPr>
              <w:t>150</w:t>
            </w:r>
          </w:p>
        </w:tc>
        <w:tc>
          <w:tcPr>
            <w:tcW w:w="1378" w:type="dxa"/>
            <w:tcBorders>
              <w:top w:val="nil"/>
              <w:left w:val="nil"/>
              <w:bottom w:val="single" w:color="auto" w:sz="4" w:space="0"/>
              <w:right w:val="single" w:color="auto" w:sz="4" w:space="0"/>
            </w:tcBorders>
            <w:shd w:val="clear" w:color="auto" w:fill="auto"/>
            <w:noWrap/>
            <w:vAlign w:val="bottom"/>
          </w:tcPr>
          <w:p w14:paraId="711F95FC">
            <w:pPr>
              <w:pStyle w:val="3361"/>
              <w:rPr>
                <w:rFonts w:hint="eastAsia"/>
                <w:color w:val="auto"/>
                <w:lang w:val="en-US" w:eastAsia="zh-CN"/>
              </w:rPr>
            </w:pPr>
            <w:r>
              <w:rPr>
                <w:rFonts w:hint="eastAsia"/>
                <w:color w:val="auto"/>
                <w:lang w:val="en-US" w:eastAsia="zh-CN"/>
              </w:rPr>
              <w:t>5.00E-03</w:t>
            </w:r>
          </w:p>
        </w:tc>
        <w:tc>
          <w:tcPr>
            <w:tcW w:w="1265" w:type="dxa"/>
            <w:tcBorders>
              <w:top w:val="nil"/>
              <w:left w:val="nil"/>
              <w:bottom w:val="single" w:color="auto" w:sz="4" w:space="0"/>
              <w:right w:val="single" w:color="auto" w:sz="4" w:space="0"/>
            </w:tcBorders>
            <w:shd w:val="clear" w:color="auto" w:fill="auto"/>
            <w:noWrap/>
            <w:vAlign w:val="bottom"/>
          </w:tcPr>
          <w:p w14:paraId="6B9BAC26">
            <w:pPr>
              <w:pStyle w:val="3361"/>
              <w:rPr>
                <w:rFonts w:hint="eastAsia"/>
                <w:color w:val="auto"/>
                <w:lang w:val="en-US" w:eastAsia="zh-CN"/>
              </w:rPr>
            </w:pPr>
            <w:r>
              <w:rPr>
                <w:rFonts w:hint="eastAsia"/>
                <w:color w:val="auto"/>
                <w:lang w:val="en-US" w:eastAsia="zh-CN"/>
              </w:rPr>
              <w:t>150</w:t>
            </w:r>
          </w:p>
        </w:tc>
        <w:tc>
          <w:tcPr>
            <w:tcW w:w="1926" w:type="dxa"/>
            <w:tcBorders>
              <w:top w:val="nil"/>
              <w:left w:val="nil"/>
              <w:bottom w:val="single" w:color="auto" w:sz="4" w:space="0"/>
              <w:right w:val="single" w:color="auto" w:sz="4" w:space="0"/>
            </w:tcBorders>
            <w:shd w:val="clear" w:color="auto" w:fill="auto"/>
            <w:noWrap/>
            <w:vAlign w:val="bottom"/>
          </w:tcPr>
          <w:p w14:paraId="7C9B5F31">
            <w:pPr>
              <w:pStyle w:val="3361"/>
              <w:rPr>
                <w:rFonts w:hint="eastAsia"/>
                <w:color w:val="auto"/>
                <w:lang w:val="en-US" w:eastAsia="zh-CN"/>
              </w:rPr>
            </w:pPr>
            <w:r>
              <w:rPr>
                <w:rFonts w:hint="eastAsia"/>
                <w:color w:val="auto"/>
                <w:lang w:val="en-US" w:eastAsia="zh-CN"/>
              </w:rPr>
              <w:t>2.05E+00</w:t>
            </w:r>
          </w:p>
        </w:tc>
        <w:tc>
          <w:tcPr>
            <w:tcW w:w="1159" w:type="dxa"/>
            <w:tcBorders>
              <w:top w:val="nil"/>
              <w:left w:val="nil"/>
              <w:bottom w:val="single" w:color="auto" w:sz="4" w:space="0"/>
              <w:right w:val="single" w:color="auto" w:sz="4" w:space="0"/>
            </w:tcBorders>
            <w:shd w:val="clear" w:color="auto" w:fill="auto"/>
            <w:noWrap/>
            <w:vAlign w:val="bottom"/>
          </w:tcPr>
          <w:p w14:paraId="41CA17AD">
            <w:pPr>
              <w:pStyle w:val="3361"/>
              <w:rPr>
                <w:rFonts w:hint="eastAsia"/>
                <w:color w:val="auto"/>
                <w:lang w:val="en-US" w:eastAsia="zh-CN"/>
              </w:rPr>
            </w:pPr>
            <w:r>
              <w:rPr>
                <w:rFonts w:hint="eastAsia"/>
                <w:color w:val="auto"/>
                <w:lang w:val="en-US" w:eastAsia="zh-CN"/>
              </w:rPr>
              <w:t>150</w:t>
            </w:r>
          </w:p>
        </w:tc>
        <w:tc>
          <w:tcPr>
            <w:tcW w:w="1777" w:type="dxa"/>
            <w:tcBorders>
              <w:top w:val="nil"/>
              <w:left w:val="nil"/>
              <w:bottom w:val="single" w:color="auto" w:sz="4" w:space="0"/>
              <w:right w:val="single" w:color="auto" w:sz="4" w:space="0"/>
            </w:tcBorders>
            <w:shd w:val="clear" w:color="auto" w:fill="auto"/>
            <w:noWrap/>
            <w:vAlign w:val="bottom"/>
          </w:tcPr>
          <w:p w14:paraId="50D91D71">
            <w:pPr>
              <w:pStyle w:val="3361"/>
              <w:rPr>
                <w:rFonts w:hint="eastAsia"/>
                <w:color w:val="auto"/>
                <w:lang w:val="en-US" w:eastAsia="zh-CN"/>
              </w:rPr>
            </w:pPr>
            <w:r>
              <w:rPr>
                <w:rFonts w:hint="eastAsia"/>
                <w:color w:val="auto"/>
                <w:lang w:val="en-US" w:eastAsia="zh-CN"/>
              </w:rPr>
              <w:t>4.78E+00</w:t>
            </w:r>
          </w:p>
        </w:tc>
      </w:tr>
      <w:tr w14:paraId="4F87A480">
        <w:tblPrEx>
          <w:tblCellMar>
            <w:top w:w="0" w:type="dxa"/>
            <w:left w:w="108" w:type="dxa"/>
            <w:bottom w:w="0" w:type="dxa"/>
            <w:right w:w="108" w:type="dxa"/>
          </w:tblCellMar>
        </w:tblPrEx>
        <w:trPr>
          <w:trHeight w:val="270" w:hRule="atLeast"/>
        </w:trPr>
        <w:tc>
          <w:tcPr>
            <w:tcW w:w="9060"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14:paraId="5C969122">
            <w:pPr>
              <w:pStyle w:val="3361"/>
              <w:rPr>
                <w:rFonts w:hint="eastAsia"/>
                <w:color w:val="auto"/>
                <w:lang w:val="en-US" w:eastAsia="zh-CN"/>
              </w:rPr>
            </w:pPr>
            <w:r>
              <w:rPr>
                <w:rFonts w:hint="eastAsia"/>
                <w:color w:val="auto"/>
                <w:lang w:val="en-US" w:eastAsia="zh-CN"/>
              </w:rPr>
              <w:t>预测最远超标距离（m）</w:t>
            </w:r>
          </w:p>
        </w:tc>
      </w:tr>
      <w:tr w14:paraId="29D5E0CE">
        <w:tblPrEx>
          <w:tblCellMar>
            <w:top w:w="0" w:type="dxa"/>
            <w:left w:w="108" w:type="dxa"/>
            <w:bottom w:w="0" w:type="dxa"/>
            <w:right w:w="108" w:type="dxa"/>
          </w:tblCellMar>
        </w:tblPrEx>
        <w:trPr>
          <w:trHeight w:val="300" w:hRule="atLeast"/>
        </w:trPr>
        <w:tc>
          <w:tcPr>
            <w:tcW w:w="1555" w:type="dxa"/>
            <w:tcBorders>
              <w:top w:val="nil"/>
              <w:left w:val="single" w:color="auto" w:sz="4" w:space="0"/>
              <w:bottom w:val="single" w:color="auto" w:sz="4" w:space="0"/>
              <w:right w:val="single" w:color="auto" w:sz="4" w:space="0"/>
            </w:tcBorders>
            <w:shd w:val="clear" w:color="auto" w:fill="auto"/>
            <w:noWrap/>
            <w:vAlign w:val="center"/>
          </w:tcPr>
          <w:p w14:paraId="7B961B73">
            <w:pPr>
              <w:pStyle w:val="3361"/>
              <w:rPr>
                <w:rFonts w:hint="eastAsia"/>
                <w:color w:val="auto"/>
                <w:lang w:val="en-US" w:eastAsia="zh-CN"/>
              </w:rPr>
            </w:pPr>
            <w:r>
              <w:rPr>
                <w:rFonts w:hint="default"/>
                <w:color w:val="auto"/>
                <w:lang w:val="en-US" w:eastAsia="zh-CN"/>
              </w:rPr>
              <w:t>100d</w:t>
            </w:r>
          </w:p>
        </w:tc>
        <w:tc>
          <w:tcPr>
            <w:tcW w:w="1378" w:type="dxa"/>
            <w:tcBorders>
              <w:top w:val="nil"/>
              <w:left w:val="nil"/>
              <w:bottom w:val="single" w:color="auto" w:sz="4" w:space="0"/>
              <w:right w:val="single" w:color="auto" w:sz="4" w:space="0"/>
            </w:tcBorders>
            <w:shd w:val="clear" w:color="auto" w:fill="auto"/>
            <w:noWrap/>
            <w:vAlign w:val="center"/>
          </w:tcPr>
          <w:p w14:paraId="2C73DA6E">
            <w:pPr>
              <w:pStyle w:val="3361"/>
              <w:rPr>
                <w:rFonts w:hint="default"/>
                <w:color w:val="auto"/>
                <w:lang w:val="en-US" w:eastAsia="zh-CN"/>
              </w:rPr>
            </w:pPr>
            <w:r>
              <w:rPr>
                <w:rFonts w:hint="eastAsia"/>
                <w:color w:val="auto"/>
                <w:lang w:val="en-US" w:eastAsia="zh-CN"/>
              </w:rPr>
              <w:t>65</w:t>
            </w:r>
          </w:p>
        </w:tc>
        <w:tc>
          <w:tcPr>
            <w:tcW w:w="1265" w:type="dxa"/>
            <w:tcBorders>
              <w:top w:val="nil"/>
              <w:left w:val="nil"/>
              <w:bottom w:val="single" w:color="auto" w:sz="4" w:space="0"/>
              <w:right w:val="single" w:color="auto" w:sz="4" w:space="0"/>
            </w:tcBorders>
            <w:shd w:val="clear" w:color="auto" w:fill="auto"/>
            <w:noWrap/>
            <w:vAlign w:val="center"/>
          </w:tcPr>
          <w:p w14:paraId="28E1A7E9">
            <w:pPr>
              <w:pStyle w:val="3361"/>
              <w:rPr>
                <w:rFonts w:hint="eastAsia"/>
                <w:color w:val="auto"/>
                <w:lang w:val="en-US" w:eastAsia="zh-CN"/>
              </w:rPr>
            </w:pPr>
            <w:r>
              <w:rPr>
                <w:rFonts w:hint="default"/>
                <w:color w:val="auto"/>
                <w:lang w:val="en-US" w:eastAsia="zh-CN"/>
              </w:rPr>
              <w:t>1000d</w:t>
            </w:r>
          </w:p>
        </w:tc>
        <w:tc>
          <w:tcPr>
            <w:tcW w:w="1926" w:type="dxa"/>
            <w:tcBorders>
              <w:top w:val="nil"/>
              <w:left w:val="nil"/>
              <w:bottom w:val="single" w:color="auto" w:sz="4" w:space="0"/>
              <w:right w:val="single" w:color="auto" w:sz="4" w:space="0"/>
            </w:tcBorders>
            <w:shd w:val="clear" w:color="auto" w:fill="auto"/>
            <w:noWrap/>
            <w:vAlign w:val="center"/>
          </w:tcPr>
          <w:p w14:paraId="758A4AE0">
            <w:pPr>
              <w:pStyle w:val="3361"/>
              <w:rPr>
                <w:rFonts w:hint="default"/>
                <w:color w:val="auto"/>
                <w:lang w:val="en-US" w:eastAsia="zh-CN"/>
              </w:rPr>
            </w:pPr>
            <w:r>
              <w:rPr>
                <w:rFonts w:hint="eastAsia"/>
                <w:color w:val="auto"/>
                <w:lang w:val="en-US" w:eastAsia="zh-CN"/>
              </w:rPr>
              <w:t>223</w:t>
            </w:r>
          </w:p>
        </w:tc>
        <w:tc>
          <w:tcPr>
            <w:tcW w:w="1159" w:type="dxa"/>
            <w:tcBorders>
              <w:top w:val="nil"/>
              <w:left w:val="nil"/>
              <w:bottom w:val="single" w:color="auto" w:sz="4" w:space="0"/>
              <w:right w:val="single" w:color="auto" w:sz="4" w:space="0"/>
            </w:tcBorders>
            <w:shd w:val="clear" w:color="auto" w:fill="auto"/>
            <w:noWrap/>
            <w:vAlign w:val="center"/>
          </w:tcPr>
          <w:p w14:paraId="55754009">
            <w:pPr>
              <w:pStyle w:val="3361"/>
              <w:rPr>
                <w:rFonts w:hint="eastAsia"/>
                <w:color w:val="auto"/>
                <w:lang w:val="en-US" w:eastAsia="zh-CN"/>
              </w:rPr>
            </w:pPr>
            <w:r>
              <w:rPr>
                <w:rFonts w:hint="default"/>
                <w:color w:val="auto"/>
                <w:lang w:val="en-US" w:eastAsia="zh-CN"/>
              </w:rPr>
              <w:t>10</w:t>
            </w:r>
            <w:r>
              <w:rPr>
                <w:rFonts w:hint="eastAsia"/>
                <w:color w:val="auto"/>
                <w:lang w:val="en-US" w:eastAsia="zh-CN"/>
              </w:rPr>
              <w:t>年</w:t>
            </w:r>
          </w:p>
        </w:tc>
        <w:tc>
          <w:tcPr>
            <w:tcW w:w="1777" w:type="dxa"/>
            <w:tcBorders>
              <w:top w:val="nil"/>
              <w:left w:val="nil"/>
              <w:bottom w:val="single" w:color="auto" w:sz="4" w:space="0"/>
              <w:right w:val="single" w:color="auto" w:sz="4" w:space="0"/>
            </w:tcBorders>
            <w:shd w:val="clear" w:color="auto" w:fill="auto"/>
            <w:noWrap/>
            <w:vAlign w:val="center"/>
          </w:tcPr>
          <w:p w14:paraId="69C4F567">
            <w:pPr>
              <w:pStyle w:val="3361"/>
              <w:rPr>
                <w:rFonts w:hint="default"/>
                <w:color w:val="auto"/>
                <w:lang w:val="en-US" w:eastAsia="zh-CN"/>
              </w:rPr>
            </w:pPr>
            <w:r>
              <w:rPr>
                <w:rFonts w:hint="eastAsia"/>
                <w:color w:val="auto"/>
                <w:lang w:val="en-US" w:eastAsia="zh-CN"/>
              </w:rPr>
              <w:t>483</w:t>
            </w:r>
          </w:p>
        </w:tc>
      </w:tr>
    </w:tbl>
    <w:p w14:paraId="2D2ED396">
      <w:pPr>
        <w:pStyle w:val="1983"/>
        <w:rPr>
          <w:color w:val="auto"/>
        </w:rPr>
      </w:pPr>
    </w:p>
    <w:p w14:paraId="35FB0848">
      <w:pPr>
        <w:pStyle w:val="1983"/>
        <w:spacing w:line="240" w:lineRule="auto"/>
        <w:rPr>
          <w:color w:val="auto"/>
        </w:rPr>
      </w:pPr>
      <w:r>
        <w:rPr>
          <w:color w:val="auto"/>
        </w:rPr>
        <w:drawing>
          <wp:inline distT="0" distB="0" distL="114300" distR="114300">
            <wp:extent cx="3691890" cy="1916430"/>
            <wp:effectExtent l="4445" t="4445" r="18415" b="22225"/>
            <wp:docPr id="1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Pr>
          <w:color w:val="auto"/>
        </w:rPr>
        <w:drawing>
          <wp:inline distT="0" distB="0" distL="114300" distR="114300">
            <wp:extent cx="3659505" cy="2273935"/>
            <wp:effectExtent l="4445" t="4445" r="12700" b="7620"/>
            <wp:docPr id="18"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Pr>
          <w:color w:val="auto"/>
        </w:rPr>
        <w:drawing>
          <wp:inline distT="0" distB="0" distL="114300" distR="114300">
            <wp:extent cx="3659505" cy="1987550"/>
            <wp:effectExtent l="4445" t="4445" r="12700" b="8255"/>
            <wp:docPr id="3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C71266C">
      <w:pPr>
        <w:pStyle w:val="1983"/>
        <w:rPr>
          <w:color w:val="auto"/>
        </w:rPr>
      </w:pPr>
      <w:r>
        <w:rPr>
          <w:rFonts w:hint="eastAsia"/>
          <w:color w:val="auto"/>
        </w:rPr>
        <w:t>图</w:t>
      </w:r>
      <w:r>
        <w:rPr>
          <w:color w:val="auto"/>
        </w:rPr>
        <w:t xml:space="preserve">5.3-4 </w:t>
      </w:r>
      <w:r>
        <w:rPr>
          <w:rFonts w:hint="eastAsia"/>
          <w:color w:val="auto"/>
        </w:rPr>
        <w:t>泄漏的石油类对地下水下游</w:t>
      </w:r>
      <w:r>
        <w:rPr>
          <w:color w:val="auto"/>
        </w:rPr>
        <w:t>影响预测</w:t>
      </w:r>
      <w:r>
        <w:rPr>
          <w:rFonts w:hint="eastAsia"/>
          <w:color w:val="auto"/>
        </w:rPr>
        <w:t>图</w:t>
      </w:r>
    </w:p>
    <w:p w14:paraId="084DB0C0">
      <w:pPr>
        <w:ind w:firstLine="480"/>
        <w:rPr>
          <w:color w:val="auto"/>
        </w:rPr>
      </w:pPr>
    </w:p>
    <w:p w14:paraId="20C47DAA">
      <w:pPr>
        <w:ind w:firstLine="480"/>
        <w:rPr>
          <w:color w:val="auto"/>
        </w:rPr>
      </w:pPr>
      <w:r>
        <w:rPr>
          <w:rFonts w:hint="eastAsia"/>
          <w:color w:val="auto"/>
        </w:rPr>
        <w:t>预测结果表明，当废水处理站调节池发生泄漏，进入地下水含水层，主要污染物石油类在地下水含水层的迁移速度比较缓慢并且随着时间推移下游污染物浓度逐渐升高，运动方向根据水文地质图为泄漏点</w:t>
      </w:r>
      <w:r>
        <w:rPr>
          <w:rFonts w:hint="eastAsia"/>
          <w:color w:val="auto"/>
          <w:lang w:eastAsia="zh-CN"/>
        </w:rPr>
        <w:t>西</w:t>
      </w:r>
      <w:r>
        <w:rPr>
          <w:rFonts w:hint="eastAsia"/>
          <w:color w:val="auto"/>
        </w:rPr>
        <w:t>迁移。</w:t>
      </w:r>
      <w:r>
        <w:rPr>
          <w:color w:val="auto"/>
        </w:rPr>
        <w:t>泄漏发生100天时</w:t>
      </w:r>
      <w:r>
        <w:rPr>
          <w:rFonts w:hint="eastAsia"/>
          <w:color w:val="auto"/>
        </w:rPr>
        <w:t>，</w:t>
      </w:r>
      <w:r>
        <w:rPr>
          <w:color w:val="auto"/>
        </w:rPr>
        <w:t>预测超标距离最远为</w:t>
      </w:r>
      <w:r>
        <w:rPr>
          <w:rFonts w:hint="eastAsia"/>
          <w:color w:val="auto"/>
          <w:lang w:val="en-US" w:eastAsia="zh-CN"/>
        </w:rPr>
        <w:t>65</w:t>
      </w:r>
      <w:r>
        <w:rPr>
          <w:color w:val="auto"/>
        </w:rPr>
        <w:t>m</w:t>
      </w:r>
      <w:r>
        <w:rPr>
          <w:rFonts w:hint="eastAsia"/>
          <w:color w:val="auto"/>
        </w:rPr>
        <w:t>，</w:t>
      </w:r>
      <w:r>
        <w:rPr>
          <w:color w:val="auto"/>
        </w:rPr>
        <w:t>不会对</w:t>
      </w:r>
      <w:r>
        <w:rPr>
          <w:rFonts w:hint="eastAsia"/>
          <w:color w:val="auto"/>
          <w:lang w:eastAsia="zh-CN"/>
        </w:rPr>
        <w:t>长江</w:t>
      </w:r>
      <w:r>
        <w:rPr>
          <w:color w:val="auto"/>
        </w:rPr>
        <w:t>造成超标影响</w:t>
      </w:r>
      <w:r>
        <w:rPr>
          <w:rFonts w:hint="eastAsia"/>
          <w:color w:val="auto"/>
          <w:lang w:eastAsia="zh-CN"/>
        </w:rPr>
        <w:t>。</w:t>
      </w:r>
      <w:r>
        <w:rPr>
          <w:color w:val="auto"/>
        </w:rPr>
        <w:t>泄漏发生1000</w:t>
      </w:r>
      <w:r>
        <w:rPr>
          <w:rFonts w:hint="eastAsia"/>
          <w:color w:val="auto"/>
        </w:rPr>
        <w:t>天</w:t>
      </w:r>
      <w:r>
        <w:rPr>
          <w:color w:val="auto"/>
        </w:rPr>
        <w:t>时</w:t>
      </w:r>
      <w:r>
        <w:rPr>
          <w:rFonts w:hint="eastAsia"/>
          <w:color w:val="auto"/>
        </w:rPr>
        <w:t>，</w:t>
      </w:r>
      <w:r>
        <w:rPr>
          <w:color w:val="auto"/>
        </w:rPr>
        <w:t>预测超标距离最远为</w:t>
      </w:r>
      <w:r>
        <w:rPr>
          <w:rFonts w:hint="eastAsia"/>
          <w:color w:val="auto"/>
          <w:lang w:val="en-US" w:eastAsia="zh-CN"/>
        </w:rPr>
        <w:t>223</w:t>
      </w:r>
      <w:r>
        <w:rPr>
          <w:color w:val="auto"/>
        </w:rPr>
        <w:t>m</w:t>
      </w:r>
      <w:r>
        <w:rPr>
          <w:rFonts w:hint="eastAsia"/>
          <w:color w:val="auto"/>
        </w:rPr>
        <w:t>，</w:t>
      </w:r>
      <w:r>
        <w:rPr>
          <w:color w:val="auto"/>
        </w:rPr>
        <w:t>泄漏发生3650天</w:t>
      </w:r>
      <w:r>
        <w:rPr>
          <w:rFonts w:hint="eastAsia"/>
          <w:color w:val="auto"/>
        </w:rPr>
        <w:t>后</w:t>
      </w:r>
      <w:r>
        <w:rPr>
          <w:color w:val="auto"/>
        </w:rPr>
        <w:t>，预测超标距离最远为</w:t>
      </w:r>
      <w:r>
        <w:rPr>
          <w:rFonts w:hint="eastAsia"/>
          <w:color w:val="auto"/>
          <w:lang w:val="en-US" w:eastAsia="zh-CN"/>
        </w:rPr>
        <w:t>483</w:t>
      </w:r>
      <w:r>
        <w:rPr>
          <w:color w:val="auto"/>
        </w:rPr>
        <w:t>m，</w:t>
      </w:r>
      <w:r>
        <w:rPr>
          <w:rFonts w:hint="eastAsia"/>
          <w:color w:val="auto"/>
          <w:lang w:eastAsia="zh-CN"/>
        </w:rPr>
        <w:t>泄漏已经到达长江，</w:t>
      </w:r>
      <w:r>
        <w:rPr>
          <w:color w:val="auto"/>
        </w:rPr>
        <w:t>对</w:t>
      </w:r>
      <w:r>
        <w:rPr>
          <w:rFonts w:hint="eastAsia"/>
          <w:color w:val="auto"/>
          <w:lang w:eastAsia="zh-CN"/>
        </w:rPr>
        <w:t>长江会</w:t>
      </w:r>
      <w:r>
        <w:rPr>
          <w:color w:val="auto"/>
        </w:rPr>
        <w:t>造成</w:t>
      </w:r>
      <w:r>
        <w:rPr>
          <w:rFonts w:hint="eastAsia"/>
          <w:color w:val="auto"/>
          <w:lang w:eastAsia="zh-CN"/>
        </w:rPr>
        <w:t>一定</w:t>
      </w:r>
      <w:r>
        <w:rPr>
          <w:color w:val="auto"/>
        </w:rPr>
        <w:t>影响</w:t>
      </w:r>
      <w:r>
        <w:rPr>
          <w:rFonts w:hint="eastAsia"/>
          <w:color w:val="auto"/>
        </w:rPr>
        <w:t>。项目定期开</w:t>
      </w:r>
      <w:r>
        <w:rPr>
          <w:rFonts w:hint="eastAsia"/>
          <w:color w:val="auto"/>
          <w:lang w:eastAsia="zh-CN"/>
        </w:rPr>
        <w:t>展地</w:t>
      </w:r>
      <w:r>
        <w:rPr>
          <w:rFonts w:hint="eastAsia"/>
          <w:color w:val="auto"/>
        </w:rPr>
        <w:t>下水环境跟踪监测，一旦发现异常，立即排查泄漏点，防止地下水对</w:t>
      </w:r>
      <w:r>
        <w:rPr>
          <w:rFonts w:hint="eastAsia"/>
          <w:color w:val="auto"/>
          <w:lang w:eastAsia="zh-CN"/>
        </w:rPr>
        <w:t>长江</w:t>
      </w:r>
      <w:r>
        <w:rPr>
          <w:rFonts w:hint="eastAsia"/>
          <w:color w:val="auto"/>
        </w:rPr>
        <w:t>产生影响。</w:t>
      </w:r>
    </w:p>
    <w:p w14:paraId="4AD8E2AF">
      <w:pPr>
        <w:pStyle w:val="3931"/>
        <w:spacing w:before="24" w:after="24"/>
        <w:ind w:firstLine="480"/>
        <w:rPr>
          <w:color w:val="auto"/>
        </w:rPr>
      </w:pPr>
      <w:r>
        <w:rPr>
          <w:color w:val="auto"/>
        </w:rPr>
        <w:t>项目</w:t>
      </w:r>
      <w:r>
        <w:rPr>
          <w:rFonts w:hint="eastAsia"/>
          <w:color w:val="auto"/>
        </w:rPr>
        <w:t>对</w:t>
      </w:r>
      <w:r>
        <w:rPr>
          <w:color w:val="auto"/>
        </w:rPr>
        <w:t>可能涉及地下水泄漏影响的区域均采取防渗措施</w:t>
      </w:r>
      <w:r>
        <w:rPr>
          <w:rFonts w:hint="eastAsia"/>
          <w:color w:val="auto"/>
        </w:rPr>
        <w:t>，</w:t>
      </w:r>
      <w:r>
        <w:rPr>
          <w:color w:val="auto"/>
        </w:rPr>
        <w:t>运营期定期开展地下水环境</w:t>
      </w:r>
      <w:r>
        <w:rPr>
          <w:rFonts w:hint="eastAsia"/>
          <w:color w:val="auto"/>
        </w:rPr>
        <w:t>跟踪</w:t>
      </w:r>
      <w:r>
        <w:rPr>
          <w:color w:val="auto"/>
        </w:rPr>
        <w:t>监测，在厂区及周边</w:t>
      </w:r>
      <w:r>
        <w:rPr>
          <w:rFonts w:hint="eastAsia"/>
          <w:color w:val="auto"/>
          <w:lang w:eastAsia="zh-CN"/>
        </w:rPr>
        <w:t>设置</w:t>
      </w:r>
      <w:r>
        <w:rPr>
          <w:color w:val="auto"/>
        </w:rPr>
        <w:t>地下水污染监控井，定期采集</w:t>
      </w:r>
      <w:r>
        <w:rPr>
          <w:rFonts w:hint="eastAsia"/>
          <w:color w:val="auto"/>
        </w:rPr>
        <w:t>监测</w:t>
      </w:r>
      <w:r>
        <w:rPr>
          <w:color w:val="auto"/>
        </w:rPr>
        <w:t>井的水样，对所采水样中的污染物进行监测，一旦发现异常，立即排查泄漏点。</w:t>
      </w:r>
    </w:p>
    <w:p w14:paraId="400927C3">
      <w:pPr>
        <w:pStyle w:val="3931"/>
        <w:spacing w:before="24" w:after="24"/>
        <w:ind w:firstLine="480"/>
        <w:rPr>
          <w:color w:val="auto"/>
        </w:rPr>
      </w:pPr>
      <w:r>
        <w:rPr>
          <w:color w:val="auto"/>
        </w:rPr>
        <w:t>同时，评价区域已经完成了农村供水工程改造，周边居民全部使用自来水作为饮用水源。所以，厂址区污染物泄漏不存在对周边居民饮用水水源的影响。</w:t>
      </w:r>
    </w:p>
    <w:p w14:paraId="699B333C">
      <w:pPr>
        <w:pStyle w:val="3931"/>
        <w:spacing w:before="24" w:after="24"/>
        <w:ind w:firstLine="480"/>
        <w:rPr>
          <w:color w:val="auto"/>
          <w:szCs w:val="24"/>
        </w:rPr>
      </w:pPr>
      <w:r>
        <w:rPr>
          <w:color w:val="auto"/>
        </w:rPr>
        <w:t>结合环境水文地质条件、地下水环境影响、地下水环境污染防控措施、项目总平面布置的合理性等方面进行综合评价，项目对地下水环境的影响可接受</w:t>
      </w:r>
      <w:r>
        <w:rPr>
          <w:rFonts w:hint="eastAsia"/>
          <w:color w:val="auto"/>
          <w:szCs w:val="24"/>
        </w:rPr>
        <w:t>。</w:t>
      </w:r>
    </w:p>
    <w:p w14:paraId="3E7669B9">
      <w:pPr>
        <w:pStyle w:val="4"/>
        <w:numPr>
          <w:ilvl w:val="0"/>
          <w:numId w:val="0"/>
        </w:numPr>
        <w:spacing w:line="360" w:lineRule="auto"/>
        <w:rPr>
          <w:color w:val="auto"/>
          <w:szCs w:val="24"/>
        </w:rPr>
        <w:sectPr>
          <w:pgSz w:w="11906" w:h="16838"/>
          <w:pgMar w:top="1418" w:right="1418" w:bottom="1418" w:left="1418" w:header="851" w:footer="992" w:gutter="0"/>
          <w:pgBorders>
            <w:top w:val="none" w:sz="0" w:space="0"/>
            <w:left w:val="none" w:sz="0" w:space="0"/>
            <w:bottom w:val="none" w:sz="0" w:space="0"/>
            <w:right w:val="none" w:sz="0" w:space="0"/>
          </w:pgBorders>
          <w:cols w:space="425" w:num="1"/>
          <w:docGrid w:linePitch="312" w:charSpace="0"/>
        </w:sectPr>
      </w:pPr>
      <w:bookmarkStart w:id="253" w:name="_Toc345177459"/>
    </w:p>
    <w:p w14:paraId="5C091EFE">
      <w:pPr>
        <w:pStyle w:val="4"/>
        <w:numPr>
          <w:ilvl w:val="0"/>
          <w:numId w:val="0"/>
        </w:numPr>
        <w:spacing w:line="360" w:lineRule="auto"/>
        <w:rPr>
          <w:color w:val="auto"/>
          <w:szCs w:val="24"/>
        </w:rPr>
      </w:pPr>
      <w:bookmarkStart w:id="254" w:name="_Toc2421"/>
      <w:r>
        <w:rPr>
          <w:rFonts w:hint="eastAsia"/>
          <w:color w:val="auto"/>
          <w:szCs w:val="24"/>
        </w:rPr>
        <w:t>6</w:t>
      </w:r>
      <w:r>
        <w:rPr>
          <w:color w:val="auto"/>
          <w:szCs w:val="24"/>
        </w:rPr>
        <w:t>.</w:t>
      </w:r>
      <w:r>
        <w:rPr>
          <w:rFonts w:hint="eastAsia"/>
          <w:color w:val="auto"/>
          <w:szCs w:val="24"/>
        </w:rPr>
        <w:t>4声环境影响分析</w:t>
      </w:r>
      <w:bookmarkEnd w:id="253"/>
      <w:bookmarkEnd w:id="254"/>
    </w:p>
    <w:p w14:paraId="636027E6">
      <w:pPr>
        <w:spacing w:line="360" w:lineRule="auto"/>
        <w:ind w:firstLine="480"/>
        <w:rPr>
          <w:color w:val="auto"/>
          <w:szCs w:val="24"/>
        </w:rPr>
      </w:pPr>
      <w:r>
        <w:rPr>
          <w:rFonts w:hint="eastAsia"/>
          <w:color w:val="auto"/>
          <w:szCs w:val="24"/>
        </w:rPr>
        <w:t>（1）噪声源强</w:t>
      </w:r>
    </w:p>
    <w:p w14:paraId="05286474">
      <w:pPr>
        <w:spacing w:line="360" w:lineRule="auto"/>
        <w:ind w:firstLine="480"/>
        <w:rPr>
          <w:color w:val="auto"/>
          <w:szCs w:val="24"/>
        </w:rPr>
      </w:pPr>
      <w:r>
        <w:rPr>
          <w:rFonts w:hint="eastAsia"/>
          <w:color w:val="auto"/>
          <w:szCs w:val="24"/>
        </w:rPr>
        <w:t>由工程分析可知，拟建项目噪声主要为污水处理站的</w:t>
      </w:r>
      <w:r>
        <w:rPr>
          <w:rFonts w:hint="eastAsia"/>
          <w:color w:val="auto"/>
        </w:rPr>
        <w:t>搅拌机、气浮机、DTRO膜浓缩装置、MVR蒸发器、</w:t>
      </w:r>
      <w:r>
        <w:rPr>
          <w:rFonts w:hint="eastAsia"/>
          <w:color w:val="auto"/>
          <w:lang w:eastAsia="zh-CN"/>
        </w:rPr>
        <w:t>污泥压滤机</w:t>
      </w:r>
      <w:r>
        <w:rPr>
          <w:rFonts w:hint="eastAsia"/>
          <w:color w:val="auto"/>
        </w:rPr>
        <w:t>、各类泵和风机</w:t>
      </w:r>
      <w:r>
        <w:rPr>
          <w:rFonts w:hint="eastAsia"/>
          <w:color w:val="auto"/>
          <w:szCs w:val="24"/>
        </w:rPr>
        <w:t>等机械设备，主要集中于废水处理站各主体构筑物和生产车间内。</w:t>
      </w:r>
    </w:p>
    <w:p w14:paraId="6C2263E4">
      <w:pPr>
        <w:spacing w:line="360" w:lineRule="auto"/>
        <w:ind w:firstLine="480"/>
        <w:rPr>
          <w:rFonts w:hint="eastAsia"/>
          <w:color w:val="auto"/>
          <w:lang w:val="en-US" w:eastAsia="zh-CN"/>
        </w:rPr>
      </w:pPr>
    </w:p>
    <w:p w14:paraId="37BFA9E4">
      <w:pPr>
        <w:spacing w:line="360" w:lineRule="auto"/>
        <w:ind w:firstLine="480"/>
        <w:rPr>
          <w:rFonts w:hint="eastAsia"/>
          <w:color w:val="auto"/>
          <w:lang w:val="en-US" w:eastAsia="zh-CN"/>
        </w:rPr>
      </w:pPr>
      <w:r>
        <w:rPr>
          <w:rFonts w:hint="eastAsia"/>
          <w:color w:val="auto"/>
          <w:lang w:val="en-US" w:eastAsia="zh-CN"/>
        </w:rPr>
        <w:t>***涉及商业秘密，申请不予公开***</w:t>
      </w:r>
    </w:p>
    <w:p w14:paraId="281F5E7F">
      <w:pPr>
        <w:pStyle w:val="3931"/>
        <w:spacing w:line="360" w:lineRule="auto"/>
        <w:ind w:firstLine="482"/>
        <w:rPr>
          <w:rFonts w:hint="eastAsia"/>
          <w:b/>
          <w:bCs/>
          <w:color w:val="auto"/>
        </w:rPr>
      </w:pPr>
    </w:p>
    <w:p w14:paraId="1D0B1100">
      <w:pPr>
        <w:pStyle w:val="3931"/>
        <w:spacing w:line="360" w:lineRule="auto"/>
        <w:ind w:firstLine="482"/>
        <w:rPr>
          <w:b/>
          <w:bCs/>
          <w:color w:val="auto"/>
        </w:rPr>
      </w:pPr>
      <w:r>
        <w:rPr>
          <w:rFonts w:hint="eastAsia"/>
          <w:b/>
          <w:bCs/>
          <w:color w:val="auto"/>
        </w:rPr>
        <w:t>（2）</w:t>
      </w:r>
      <w:r>
        <w:rPr>
          <w:b/>
          <w:bCs/>
          <w:color w:val="auto"/>
        </w:rPr>
        <w:t>预测点</w:t>
      </w:r>
    </w:p>
    <w:p w14:paraId="653A1E2B">
      <w:pPr>
        <w:spacing w:line="360" w:lineRule="auto"/>
        <w:ind w:firstLine="480"/>
        <w:rPr>
          <w:color w:val="auto"/>
        </w:rPr>
      </w:pPr>
      <w:r>
        <w:rPr>
          <w:bCs/>
          <w:color w:val="auto"/>
        </w:rPr>
        <w:t>本评价</w:t>
      </w:r>
      <w:r>
        <w:rPr>
          <w:rFonts w:hint="eastAsia"/>
          <w:bCs/>
          <w:color w:val="auto"/>
        </w:rPr>
        <w:t>主要</w:t>
      </w:r>
      <w:r>
        <w:rPr>
          <w:bCs/>
          <w:color w:val="auto"/>
        </w:rPr>
        <w:t>对厂界</w:t>
      </w:r>
      <w:r>
        <w:rPr>
          <w:rFonts w:hint="eastAsia"/>
          <w:bCs/>
          <w:color w:val="auto"/>
        </w:rPr>
        <w:t>噪声</w:t>
      </w:r>
      <w:r>
        <w:rPr>
          <w:bCs/>
          <w:color w:val="auto"/>
        </w:rPr>
        <w:t>进行预测。四周厂界噪声，自南侧厂界顶点起，沿厂界每隔10 m步长的噪声预测点</w:t>
      </w:r>
      <w:r>
        <w:rPr>
          <w:color w:val="auto"/>
        </w:rPr>
        <w:t>。预测考虑厂区内建筑墙体对声源的隔声衰减，但不考虑建筑的反射作用</w:t>
      </w:r>
      <w:r>
        <w:rPr>
          <w:rFonts w:hint="eastAsia"/>
          <w:color w:val="auto"/>
        </w:rPr>
        <w:t>。</w:t>
      </w:r>
    </w:p>
    <w:p w14:paraId="3C658DCF">
      <w:pPr>
        <w:ind w:firstLine="482"/>
        <w:rPr>
          <w:b/>
          <w:color w:val="auto"/>
        </w:rPr>
      </w:pPr>
      <w:r>
        <w:rPr>
          <w:rFonts w:hint="eastAsia"/>
          <w:b/>
          <w:bCs/>
          <w:color w:val="auto"/>
        </w:rPr>
        <w:t>（3）</w:t>
      </w:r>
      <w:r>
        <w:rPr>
          <w:b/>
          <w:color w:val="auto"/>
        </w:rPr>
        <w:t>室内声源等效室外声源</w:t>
      </w:r>
    </w:p>
    <w:p w14:paraId="073740A1">
      <w:pPr>
        <w:ind w:firstLine="480"/>
        <w:rPr>
          <w:color w:val="auto"/>
        </w:rPr>
      </w:pPr>
      <w:r>
        <w:rPr>
          <w:color w:val="auto"/>
        </w:rPr>
        <w:t>采用《环境影响评价技术导则 声环境》（HJ2.4-2021）中推荐的室内声源等效室外声源计算方法：</w:t>
      </w:r>
    </w:p>
    <w:p w14:paraId="5204DD88">
      <w:pPr>
        <w:pStyle w:val="151"/>
        <w:ind w:firstLine="480"/>
        <w:jc w:val="right"/>
        <w:rPr>
          <w:color w:val="auto"/>
        </w:rPr>
      </w:pPr>
      <w:r>
        <w:rPr>
          <w:color w:val="auto"/>
          <w:position w:val="-10"/>
        </w:rPr>
        <w:object>
          <v:shape id="_x0000_i1028" o:spt="75" type="#_x0000_t75" style="height:18.75pt;width:114pt;" o:ole="t" filled="f" o:preferrelative="t" stroked="f" coordsize="21600,21600">
            <v:path/>
            <v:fill on="f" focussize="0,0"/>
            <v:stroke on="f" joinstyle="miter"/>
            <v:imagedata r:id="rId45" o:title=""/>
            <o:lock v:ext="edit" aspectratio="t"/>
            <w10:wrap type="none"/>
            <w10:anchorlock/>
          </v:shape>
          <o:OLEObject Type="Embed" ProgID="Equation.3" ShapeID="_x0000_i1028" DrawAspect="Content" ObjectID="_1468075728" r:id="rId44">
            <o:LockedField>false</o:LockedField>
          </o:OLEObject>
        </w:object>
      </w:r>
      <w:r>
        <w:rPr>
          <w:color w:val="auto"/>
        </w:rPr>
        <w:t xml:space="preserve">                （式B.1） </w:t>
      </w:r>
    </w:p>
    <w:p w14:paraId="3D8913E2">
      <w:pPr>
        <w:ind w:firstLine="480"/>
        <w:rPr>
          <w:color w:val="auto"/>
        </w:rPr>
      </w:pPr>
      <w:r>
        <w:rPr>
          <w:color w:val="auto"/>
        </w:rPr>
        <w:t>式中：</w:t>
      </w:r>
      <w:r>
        <w:rPr>
          <w:i/>
          <w:iCs/>
          <w:color w:val="auto"/>
        </w:rPr>
        <w:t>Lp</w:t>
      </w:r>
      <w:r>
        <w:rPr>
          <w:color w:val="auto"/>
        </w:rPr>
        <w:t>1——靠近开口处（或窗户）室内某倍频带的声压级或A声级，dB；</w:t>
      </w:r>
    </w:p>
    <w:p w14:paraId="4E81A130">
      <w:pPr>
        <w:ind w:firstLine="480"/>
        <w:rPr>
          <w:color w:val="auto"/>
        </w:rPr>
      </w:pPr>
      <w:r>
        <w:rPr>
          <w:i/>
          <w:iCs/>
          <w:color w:val="auto"/>
        </w:rPr>
        <w:t>Lp</w:t>
      </w:r>
      <w:r>
        <w:rPr>
          <w:color w:val="auto"/>
        </w:rPr>
        <w:t>2——靠近开口处（或窗户）室外某倍频带的声压级或A声级，dB；</w:t>
      </w:r>
    </w:p>
    <w:p w14:paraId="0332279C">
      <w:pPr>
        <w:ind w:firstLine="480"/>
        <w:rPr>
          <w:color w:val="auto"/>
        </w:rPr>
      </w:pPr>
      <w:r>
        <w:rPr>
          <w:i/>
          <w:iCs/>
          <w:color w:val="auto"/>
        </w:rPr>
        <w:t>TL</w:t>
      </w:r>
      <w:r>
        <w:rPr>
          <w:color w:val="auto"/>
        </w:rPr>
        <w:t>——隔墙（或窗户）倍频带或A声级的隔声量，dB。</w:t>
      </w:r>
    </w:p>
    <w:p w14:paraId="427BA8DC">
      <w:pPr>
        <w:ind w:firstLine="480"/>
        <w:rPr>
          <w:color w:val="auto"/>
        </w:rPr>
      </w:pPr>
      <w:r>
        <w:rPr>
          <w:color w:val="auto"/>
        </w:rPr>
        <w:t>也可按式（B.2）计算某一室内声源靠近围护结构处产生的倍频带声压级或A 声级：</w:t>
      </w:r>
    </w:p>
    <w:p w14:paraId="7B64F3F0">
      <w:pPr>
        <w:ind w:firstLine="480"/>
        <w:jc w:val="right"/>
        <w:rPr>
          <w:color w:val="auto"/>
        </w:rPr>
      </w:pPr>
    </w:p>
    <w:p w14:paraId="36A7CE7F">
      <w:pPr>
        <w:ind w:firstLine="480"/>
        <w:jc w:val="right"/>
        <w:rPr>
          <w:color w:val="auto"/>
        </w:rPr>
      </w:pPr>
      <w:r>
        <w:rPr>
          <w:color w:val="auto"/>
        </w:rPr>
        <w:drawing>
          <wp:anchor distT="0" distB="0" distL="114300" distR="114300" simplePos="0" relativeHeight="251662336" behindDoc="0" locked="0" layoutInCell="1" allowOverlap="1">
            <wp:simplePos x="0" y="0"/>
            <wp:positionH relativeFrom="column">
              <wp:posOffset>1924050</wp:posOffset>
            </wp:positionH>
            <wp:positionV relativeFrom="paragraph">
              <wp:posOffset>-232410</wp:posOffset>
            </wp:positionV>
            <wp:extent cx="2133600" cy="476250"/>
            <wp:effectExtent l="0" t="0" r="0" b="0"/>
            <wp:wrapNone/>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pic:cNvPicPr>
                      <a:picLocks noChangeAspect="1"/>
                    </pic:cNvPicPr>
                  </pic:nvPicPr>
                  <pic:blipFill>
                    <a:blip r:embed="rId46"/>
                    <a:stretch>
                      <a:fillRect/>
                    </a:stretch>
                  </pic:blipFill>
                  <pic:spPr>
                    <a:xfrm>
                      <a:off x="0" y="0"/>
                      <a:ext cx="2133600" cy="476250"/>
                    </a:xfrm>
                    <a:prstGeom prst="rect">
                      <a:avLst/>
                    </a:prstGeom>
                    <a:noFill/>
                    <a:ln>
                      <a:noFill/>
                    </a:ln>
                  </pic:spPr>
                </pic:pic>
              </a:graphicData>
            </a:graphic>
          </wp:anchor>
        </w:drawing>
      </w:r>
      <w:r>
        <w:rPr>
          <w:color w:val="auto"/>
        </w:rPr>
        <w:t xml:space="preserve">             （式B.2）</w:t>
      </w:r>
    </w:p>
    <w:p w14:paraId="48ADEAFE">
      <w:pPr>
        <w:ind w:firstLine="480"/>
        <w:rPr>
          <w:color w:val="auto"/>
        </w:rPr>
      </w:pPr>
      <w:r>
        <w:rPr>
          <w:color w:val="auto"/>
        </w:rPr>
        <w:t>式中：</w:t>
      </w:r>
      <w:r>
        <w:rPr>
          <w:i/>
          <w:iCs/>
          <w:color w:val="auto"/>
        </w:rPr>
        <w:t>Lp</w:t>
      </w:r>
      <w:r>
        <w:rPr>
          <w:color w:val="auto"/>
        </w:rPr>
        <w:t>1——靠近开口处（或窗户）室内某倍频带的声压级或A声级，dB；</w:t>
      </w:r>
    </w:p>
    <w:p w14:paraId="73C05737">
      <w:pPr>
        <w:ind w:firstLine="480"/>
        <w:rPr>
          <w:color w:val="auto"/>
        </w:rPr>
      </w:pPr>
      <w:r>
        <w:rPr>
          <w:i/>
          <w:iCs/>
          <w:color w:val="auto"/>
        </w:rPr>
        <w:t>Lw</w:t>
      </w:r>
      <w:r>
        <w:rPr>
          <w:color w:val="auto"/>
        </w:rPr>
        <w:t xml:space="preserve">——点声源声功率级（A 计权或倍频带），dB； </w:t>
      </w:r>
    </w:p>
    <w:p w14:paraId="33875B90">
      <w:pPr>
        <w:ind w:firstLine="480"/>
        <w:rPr>
          <w:color w:val="auto"/>
        </w:rPr>
      </w:pPr>
      <w:r>
        <w:rPr>
          <w:i/>
          <w:iCs/>
          <w:color w:val="auto"/>
        </w:rPr>
        <w:t>Q</w:t>
      </w:r>
      <w:r>
        <w:rPr>
          <w:color w:val="auto"/>
        </w:rPr>
        <w:t>——指向性因数；通常对无指向性声源，当声源放在房间中心时，</w:t>
      </w:r>
      <w:r>
        <w:rPr>
          <w:i/>
          <w:iCs/>
          <w:color w:val="auto"/>
        </w:rPr>
        <w:t>Q</w:t>
      </w:r>
      <w:r>
        <w:rPr>
          <w:color w:val="auto"/>
        </w:rPr>
        <w:t xml:space="preserve"> =1；当放在一面墙的中心时，</w:t>
      </w:r>
      <w:r>
        <w:rPr>
          <w:i/>
          <w:iCs/>
          <w:color w:val="auto"/>
        </w:rPr>
        <w:t>Q</w:t>
      </w:r>
      <w:r>
        <w:rPr>
          <w:color w:val="auto"/>
        </w:rPr>
        <w:t xml:space="preserve"> =2；当放在两面墙夹角处时，</w:t>
      </w:r>
      <w:r>
        <w:rPr>
          <w:i/>
          <w:iCs/>
          <w:color w:val="auto"/>
        </w:rPr>
        <w:t>Q</w:t>
      </w:r>
      <w:r>
        <w:rPr>
          <w:color w:val="auto"/>
        </w:rPr>
        <w:t xml:space="preserve"> =4；当放在三面墙夹角处时，</w:t>
      </w:r>
      <w:r>
        <w:rPr>
          <w:i/>
          <w:iCs/>
          <w:color w:val="auto"/>
        </w:rPr>
        <w:t>Q</w:t>
      </w:r>
      <w:r>
        <w:rPr>
          <w:color w:val="auto"/>
        </w:rPr>
        <w:t xml:space="preserve"> =8；</w:t>
      </w:r>
    </w:p>
    <w:p w14:paraId="4283D385">
      <w:pPr>
        <w:ind w:firstLine="480"/>
        <w:rPr>
          <w:color w:val="auto"/>
        </w:rPr>
      </w:pPr>
      <w:r>
        <w:rPr>
          <w:color w:val="auto"/>
        </w:rPr>
        <w:t>拟建项目设备主要沿厂房墙壁四周布置，故拟建项目Q取</w:t>
      </w:r>
      <w:r>
        <w:rPr>
          <w:i/>
          <w:iCs/>
          <w:color w:val="auto"/>
        </w:rPr>
        <w:t>Q</w:t>
      </w:r>
      <w:r>
        <w:rPr>
          <w:color w:val="auto"/>
        </w:rPr>
        <w:t xml:space="preserve"> =2。</w:t>
      </w:r>
    </w:p>
    <w:p w14:paraId="76853142">
      <w:pPr>
        <w:ind w:firstLine="480"/>
        <w:rPr>
          <w:color w:val="auto"/>
        </w:rPr>
      </w:pPr>
      <w:r>
        <w:rPr>
          <w:i/>
          <w:iCs/>
          <w:color w:val="auto"/>
        </w:rPr>
        <w:t>R</w:t>
      </w:r>
      <w:r>
        <w:rPr>
          <w:color w:val="auto"/>
        </w:rPr>
        <w:t>——房间常数；</w:t>
      </w:r>
      <w:r>
        <w:rPr>
          <w:color w:val="auto"/>
          <w:position w:val="-6"/>
        </w:rPr>
        <w:object>
          <v:shape id="_x0000_i1029" o:spt="75" type="#_x0000_t75" style="height:15pt;width:95.25pt;" o:ole="t" filled="f" o:preferrelative="t" stroked="f" coordsize="21600,21600">
            <v:path/>
            <v:fill on="f" focussize="0,0"/>
            <v:stroke on="f" joinstyle="miter"/>
            <v:imagedata r:id="rId48" o:title=""/>
            <o:lock v:ext="edit" aspectratio="t"/>
            <w10:wrap type="none"/>
            <w10:anchorlock/>
          </v:shape>
          <o:OLEObject Type="Embed" ProgID="Equation.3" ShapeID="_x0000_i1029" DrawAspect="Content" ObjectID="_1468075729" r:id="rId47">
            <o:LockedField>false</o:LockedField>
          </o:OLEObject>
        </w:object>
      </w:r>
      <w:r>
        <w:rPr>
          <w:color w:val="auto"/>
        </w:rPr>
        <w:t>， S为房间内表面面积，m</w:t>
      </w:r>
      <w:r>
        <w:rPr>
          <w:color w:val="auto"/>
          <w:vertAlign w:val="superscript"/>
        </w:rPr>
        <w:t>2</w:t>
      </w:r>
      <w:r>
        <w:rPr>
          <w:color w:val="auto"/>
        </w:rPr>
        <w:t>；α为平均吸声系数；</w:t>
      </w:r>
    </w:p>
    <w:p w14:paraId="5B92DB16">
      <w:pPr>
        <w:ind w:firstLine="480"/>
        <w:rPr>
          <w:color w:val="auto"/>
        </w:rPr>
      </w:pPr>
      <w:r>
        <w:rPr>
          <w:color w:val="auto"/>
        </w:rPr>
        <w:t>拟建项目设备主要沿厂房墙壁四周布置，故本次评价主要计算直达声噪声。</w:t>
      </w:r>
    </w:p>
    <w:p w14:paraId="755CB123">
      <w:pPr>
        <w:ind w:firstLine="480"/>
        <w:rPr>
          <w:color w:val="auto"/>
        </w:rPr>
      </w:pPr>
      <w:r>
        <w:rPr>
          <w:color w:val="auto"/>
        </w:rPr>
        <w:t>r——声源到靠近围护结构某点处的距离，m。</w:t>
      </w:r>
    </w:p>
    <w:p w14:paraId="2858FACC">
      <w:pPr>
        <w:pStyle w:val="151"/>
        <w:spacing w:line="480" w:lineRule="exact"/>
        <w:ind w:firstLine="480"/>
        <w:rPr>
          <w:color w:val="auto"/>
        </w:rPr>
      </w:pPr>
      <w:r>
        <w:rPr>
          <w:color w:val="auto"/>
        </w:rPr>
        <w:t>然后按式（B.3）计算出所有室内声源在围护结构处产生的i 倍频带叠加声</w:t>
      </w:r>
    </w:p>
    <w:p w14:paraId="765DBFC3">
      <w:pPr>
        <w:pStyle w:val="151"/>
        <w:spacing w:line="480" w:lineRule="exact"/>
        <w:ind w:firstLine="480"/>
        <w:rPr>
          <w:color w:val="auto"/>
        </w:rPr>
      </w:pPr>
      <w:r>
        <w:rPr>
          <w:color w:val="auto"/>
        </w:rPr>
        <w:t>压级：</w:t>
      </w:r>
    </w:p>
    <w:p w14:paraId="783AA899">
      <w:pPr>
        <w:pStyle w:val="151"/>
        <w:ind w:firstLine="480"/>
        <w:jc w:val="right"/>
        <w:rPr>
          <w:color w:val="auto"/>
        </w:rPr>
      </w:pPr>
    </w:p>
    <w:p w14:paraId="18778656">
      <w:pPr>
        <w:pStyle w:val="151"/>
        <w:ind w:firstLine="480"/>
        <w:jc w:val="right"/>
        <w:rPr>
          <w:color w:val="auto"/>
        </w:rPr>
      </w:pPr>
      <w:r>
        <w:rPr>
          <w:color w:val="auto"/>
        </w:rPr>
        <w:drawing>
          <wp:anchor distT="0" distB="0" distL="114300" distR="114300" simplePos="0" relativeHeight="251663360" behindDoc="0" locked="0" layoutInCell="1" allowOverlap="1">
            <wp:simplePos x="0" y="0"/>
            <wp:positionH relativeFrom="column">
              <wp:posOffset>2133600</wp:posOffset>
            </wp:positionH>
            <wp:positionV relativeFrom="paragraph">
              <wp:posOffset>-367030</wp:posOffset>
            </wp:positionV>
            <wp:extent cx="2114550" cy="590550"/>
            <wp:effectExtent l="0" t="0" r="0" b="0"/>
            <wp:wrapNone/>
            <wp:docPr id="44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图片 14"/>
                    <pic:cNvPicPr>
                      <a:picLocks noChangeAspect="1"/>
                    </pic:cNvPicPr>
                  </pic:nvPicPr>
                  <pic:blipFill>
                    <a:blip r:embed="rId49"/>
                    <a:stretch>
                      <a:fillRect/>
                    </a:stretch>
                  </pic:blipFill>
                  <pic:spPr>
                    <a:xfrm>
                      <a:off x="0" y="0"/>
                      <a:ext cx="2114550" cy="590550"/>
                    </a:xfrm>
                    <a:prstGeom prst="rect">
                      <a:avLst/>
                    </a:prstGeom>
                    <a:noFill/>
                    <a:ln>
                      <a:noFill/>
                    </a:ln>
                  </pic:spPr>
                </pic:pic>
              </a:graphicData>
            </a:graphic>
          </wp:anchor>
        </w:drawing>
      </w:r>
      <w:r>
        <w:rPr>
          <w:color w:val="auto"/>
        </w:rPr>
        <w:t xml:space="preserve">           （式B.3）</w:t>
      </w:r>
    </w:p>
    <w:p w14:paraId="40B6D33B">
      <w:pPr>
        <w:ind w:firstLine="480"/>
        <w:rPr>
          <w:color w:val="auto"/>
        </w:rPr>
      </w:pPr>
      <w:r>
        <w:rPr>
          <w:color w:val="auto"/>
        </w:rPr>
        <w:t>式中：</w:t>
      </w:r>
      <w:r>
        <w:rPr>
          <w:color w:val="auto"/>
        </w:rPr>
        <w:drawing>
          <wp:inline distT="0" distB="0" distL="114300" distR="114300">
            <wp:extent cx="466725" cy="200025"/>
            <wp:effectExtent l="0" t="0" r="9525" b="9525"/>
            <wp:docPr id="44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图片 15"/>
                    <pic:cNvPicPr>
                      <a:picLocks noChangeAspect="1"/>
                    </pic:cNvPicPr>
                  </pic:nvPicPr>
                  <pic:blipFill>
                    <a:blip r:embed="rId50"/>
                    <a:stretch>
                      <a:fillRect/>
                    </a:stretch>
                  </pic:blipFill>
                  <pic:spPr>
                    <a:xfrm>
                      <a:off x="0" y="0"/>
                      <a:ext cx="466725" cy="200025"/>
                    </a:xfrm>
                    <a:prstGeom prst="rect">
                      <a:avLst/>
                    </a:prstGeom>
                    <a:noFill/>
                    <a:ln>
                      <a:noFill/>
                    </a:ln>
                  </pic:spPr>
                </pic:pic>
              </a:graphicData>
            </a:graphic>
          </wp:inline>
        </w:drawing>
      </w:r>
      <w:r>
        <w:rPr>
          <w:color w:val="auto"/>
        </w:rPr>
        <w:t>——靠近围护结构处室内N个声源i倍频带的叠加声压级，dB；</w:t>
      </w:r>
      <w:r>
        <w:rPr>
          <w:color w:val="auto"/>
        </w:rPr>
        <w:sym w:font="Times New Roman" w:char="F028"/>
      </w:r>
      <w:r>
        <w:rPr>
          <w:color w:val="auto"/>
        </w:rPr>
        <w:t xml:space="preserve"> </w:t>
      </w:r>
      <w:r>
        <w:rPr>
          <w:color w:val="auto"/>
        </w:rPr>
        <w:sym w:font="Times New Roman" w:char="F029"/>
      </w:r>
      <w:r>
        <w:rPr>
          <w:color w:val="auto"/>
        </w:rPr>
        <w:t xml:space="preserve"> </w:t>
      </w:r>
      <w:r>
        <w:rPr>
          <w:color w:val="auto"/>
        </w:rPr>
        <w:drawing>
          <wp:inline distT="0" distB="0" distL="114300" distR="114300">
            <wp:extent cx="342900" cy="247650"/>
            <wp:effectExtent l="0" t="0" r="0" b="0"/>
            <wp:docPr id="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pic:cNvPicPr>
                      <a:picLocks noChangeAspect="1"/>
                    </pic:cNvPicPr>
                  </pic:nvPicPr>
                  <pic:blipFill>
                    <a:blip r:embed="rId51"/>
                    <a:stretch>
                      <a:fillRect/>
                    </a:stretch>
                  </pic:blipFill>
                  <pic:spPr>
                    <a:xfrm>
                      <a:off x="0" y="0"/>
                      <a:ext cx="342900" cy="247650"/>
                    </a:xfrm>
                    <a:prstGeom prst="rect">
                      <a:avLst/>
                    </a:prstGeom>
                    <a:noFill/>
                    <a:ln>
                      <a:noFill/>
                    </a:ln>
                  </pic:spPr>
                </pic:pic>
              </a:graphicData>
            </a:graphic>
          </wp:inline>
        </w:drawing>
      </w:r>
      <w:r>
        <w:rPr>
          <w:color w:val="auto"/>
        </w:rPr>
        <w:t xml:space="preserve">——室内j声源i倍频带的声压级，dB； </w:t>
      </w:r>
    </w:p>
    <w:p w14:paraId="0BBE0A2A">
      <w:pPr>
        <w:ind w:firstLine="960" w:firstLineChars="400"/>
        <w:rPr>
          <w:color w:val="auto"/>
        </w:rPr>
      </w:pPr>
      <w:r>
        <w:rPr>
          <w:color w:val="auto"/>
        </w:rPr>
        <w:t>N——室内声源总数。</w:t>
      </w:r>
    </w:p>
    <w:p w14:paraId="43090AA5">
      <w:pPr>
        <w:ind w:firstLine="480"/>
        <w:rPr>
          <w:color w:val="auto"/>
        </w:rPr>
      </w:pPr>
      <w:r>
        <w:rPr>
          <w:color w:val="auto"/>
        </w:rPr>
        <w:t>在室内近似为扩散声场时，按式（B.4）计算出靠近室外围护结构处的声压级：</w:t>
      </w:r>
    </w:p>
    <w:p w14:paraId="15B7B7E6">
      <w:pPr>
        <w:ind w:firstLine="480"/>
        <w:jc w:val="right"/>
        <w:rPr>
          <w:color w:val="auto"/>
        </w:rPr>
      </w:pPr>
    </w:p>
    <w:p w14:paraId="223EB051">
      <w:pPr>
        <w:ind w:firstLine="480"/>
        <w:jc w:val="right"/>
        <w:rPr>
          <w:color w:val="auto"/>
        </w:rPr>
      </w:pPr>
      <w:r>
        <w:rPr>
          <w:color w:val="auto"/>
        </w:rPr>
        <w:drawing>
          <wp:inline distT="0" distB="0" distL="114300" distR="114300">
            <wp:extent cx="1905000" cy="304800"/>
            <wp:effectExtent l="0" t="0" r="0" b="0"/>
            <wp:docPr id="2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pic:cNvPicPr>
                      <a:picLocks noChangeAspect="1"/>
                    </pic:cNvPicPr>
                  </pic:nvPicPr>
                  <pic:blipFill>
                    <a:blip r:embed="rId52"/>
                    <a:stretch>
                      <a:fillRect/>
                    </a:stretch>
                  </pic:blipFill>
                  <pic:spPr>
                    <a:xfrm>
                      <a:off x="0" y="0"/>
                      <a:ext cx="1905000" cy="304800"/>
                    </a:xfrm>
                    <a:prstGeom prst="rect">
                      <a:avLst/>
                    </a:prstGeom>
                    <a:noFill/>
                    <a:ln>
                      <a:noFill/>
                    </a:ln>
                  </pic:spPr>
                </pic:pic>
              </a:graphicData>
            </a:graphic>
          </wp:inline>
        </w:drawing>
      </w:r>
      <w:r>
        <w:rPr>
          <w:color w:val="auto"/>
        </w:rPr>
        <w:t xml:space="preserve">             （式B.4）</w:t>
      </w:r>
    </w:p>
    <w:p w14:paraId="333A9017">
      <w:pPr>
        <w:spacing w:line="360" w:lineRule="auto"/>
        <w:ind w:firstLine="480"/>
        <w:rPr>
          <w:color w:val="auto"/>
        </w:rPr>
      </w:pPr>
      <w:r>
        <w:rPr>
          <w:color w:val="auto"/>
        </w:rPr>
        <w:t>式中：</w:t>
      </w:r>
      <w:r>
        <w:rPr>
          <w:color w:val="auto"/>
        </w:rPr>
        <w:drawing>
          <wp:inline distT="0" distB="0" distL="114300" distR="114300">
            <wp:extent cx="438150" cy="200025"/>
            <wp:effectExtent l="0" t="0" r="0" b="9525"/>
            <wp:docPr id="3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8"/>
                    <pic:cNvPicPr>
                      <a:picLocks noChangeAspect="1"/>
                    </pic:cNvPicPr>
                  </pic:nvPicPr>
                  <pic:blipFill>
                    <a:blip r:embed="rId53"/>
                    <a:stretch>
                      <a:fillRect/>
                    </a:stretch>
                  </pic:blipFill>
                  <pic:spPr>
                    <a:xfrm>
                      <a:off x="0" y="0"/>
                      <a:ext cx="438150" cy="200025"/>
                    </a:xfrm>
                    <a:prstGeom prst="rect">
                      <a:avLst/>
                    </a:prstGeom>
                    <a:noFill/>
                    <a:ln>
                      <a:noFill/>
                    </a:ln>
                  </pic:spPr>
                </pic:pic>
              </a:graphicData>
            </a:graphic>
          </wp:inline>
        </w:drawing>
      </w:r>
      <w:r>
        <w:rPr>
          <w:color w:val="auto"/>
        </w:rPr>
        <w:t>——靠近围护结构处室外N 个声源i 倍频带的叠加声压级，dB；</w:t>
      </w:r>
    </w:p>
    <w:p w14:paraId="1CFB4594">
      <w:pPr>
        <w:spacing w:line="360" w:lineRule="auto"/>
        <w:ind w:firstLine="480"/>
        <w:rPr>
          <w:color w:val="auto"/>
        </w:rPr>
      </w:pPr>
      <w:r>
        <w:rPr>
          <w:color w:val="auto"/>
        </w:rPr>
        <w:t xml:space="preserve">      </w:t>
      </w:r>
      <w:r>
        <w:rPr>
          <w:color w:val="auto"/>
        </w:rPr>
        <w:drawing>
          <wp:inline distT="0" distB="0" distL="114300" distR="114300">
            <wp:extent cx="466725" cy="219075"/>
            <wp:effectExtent l="0" t="0" r="9525" b="9525"/>
            <wp:docPr id="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pic:cNvPicPr>
                      <a:picLocks noChangeAspect="1"/>
                    </pic:cNvPicPr>
                  </pic:nvPicPr>
                  <pic:blipFill>
                    <a:blip r:embed="rId54"/>
                    <a:stretch>
                      <a:fillRect/>
                    </a:stretch>
                  </pic:blipFill>
                  <pic:spPr>
                    <a:xfrm>
                      <a:off x="0" y="0"/>
                      <a:ext cx="466725" cy="219075"/>
                    </a:xfrm>
                    <a:prstGeom prst="rect">
                      <a:avLst/>
                    </a:prstGeom>
                    <a:noFill/>
                    <a:ln>
                      <a:noFill/>
                    </a:ln>
                  </pic:spPr>
                </pic:pic>
              </a:graphicData>
            </a:graphic>
          </wp:inline>
        </w:drawing>
      </w:r>
      <w:r>
        <w:rPr>
          <w:color w:val="auto"/>
        </w:rPr>
        <w:t>——靠近围护结构处室内N 个声源i 倍频带的叠加声压级，dB；</w:t>
      </w:r>
    </w:p>
    <w:p w14:paraId="2D7F6E27">
      <w:pPr>
        <w:spacing w:line="360" w:lineRule="auto"/>
        <w:ind w:firstLine="720" w:firstLineChars="300"/>
        <w:rPr>
          <w:color w:val="auto"/>
        </w:rPr>
      </w:pPr>
      <w:r>
        <w:rPr>
          <w:color w:val="auto"/>
        </w:rPr>
        <w:drawing>
          <wp:inline distT="0" distB="0" distL="114300" distR="114300">
            <wp:extent cx="228600" cy="190500"/>
            <wp:effectExtent l="0" t="0" r="0" b="0"/>
            <wp:docPr id="3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0"/>
                    <pic:cNvPicPr>
                      <a:picLocks noChangeAspect="1"/>
                    </pic:cNvPicPr>
                  </pic:nvPicPr>
                  <pic:blipFill>
                    <a:blip r:embed="rId55"/>
                    <a:stretch>
                      <a:fillRect/>
                    </a:stretch>
                  </pic:blipFill>
                  <pic:spPr>
                    <a:xfrm>
                      <a:off x="0" y="0"/>
                      <a:ext cx="228600" cy="190500"/>
                    </a:xfrm>
                    <a:prstGeom prst="rect">
                      <a:avLst/>
                    </a:prstGeom>
                    <a:noFill/>
                    <a:ln>
                      <a:noFill/>
                    </a:ln>
                  </pic:spPr>
                </pic:pic>
              </a:graphicData>
            </a:graphic>
          </wp:inline>
        </w:drawing>
      </w:r>
      <w:r>
        <w:rPr>
          <w:color w:val="auto"/>
        </w:rPr>
        <w:t>——围护结构i 倍频带的隔声量，dB</w:t>
      </w:r>
      <w:r>
        <w:rPr>
          <w:rFonts w:hint="eastAsia"/>
          <w:color w:val="auto"/>
        </w:rPr>
        <w:t>。</w:t>
      </w:r>
    </w:p>
    <w:p w14:paraId="12096345">
      <w:pPr>
        <w:spacing w:line="360" w:lineRule="auto"/>
        <w:ind w:firstLine="482"/>
        <w:rPr>
          <w:b/>
          <w:bCs/>
          <w:color w:val="auto"/>
        </w:rPr>
      </w:pPr>
      <w:r>
        <w:rPr>
          <w:rFonts w:hint="eastAsia"/>
          <w:b/>
          <w:bCs/>
          <w:color w:val="auto"/>
        </w:rPr>
        <w:t>（4）室外声源预测模式</w:t>
      </w:r>
    </w:p>
    <w:p w14:paraId="3EE7B4BE">
      <w:pPr>
        <w:spacing w:line="360" w:lineRule="auto"/>
        <w:ind w:firstLine="480"/>
        <w:rPr>
          <w:color w:val="auto"/>
        </w:rPr>
      </w:pPr>
      <w:r>
        <w:rPr>
          <w:rFonts w:hint="eastAsia"/>
          <w:color w:val="auto"/>
        </w:rPr>
        <w:t>拟建项目各噪声源均位于室外，本次评价仅考虑噪声几何发散引起的衰减，噪声预测</w:t>
      </w:r>
      <w:r>
        <w:rPr>
          <w:color w:val="auto"/>
        </w:rPr>
        <w:t>选用《环境影响评价技术导则—声环境》（HJ2.4-20</w:t>
      </w:r>
      <w:r>
        <w:rPr>
          <w:rFonts w:hint="eastAsia"/>
          <w:color w:val="auto"/>
        </w:rPr>
        <w:t>21</w:t>
      </w:r>
      <w:r>
        <w:rPr>
          <w:color w:val="auto"/>
        </w:rPr>
        <w:t>）中</w:t>
      </w:r>
      <w:r>
        <w:rPr>
          <w:rFonts w:hint="eastAsia"/>
          <w:color w:val="auto"/>
        </w:rPr>
        <w:t>户外声传播点声源的几何发散衰减模式</w:t>
      </w:r>
      <w:r>
        <w:rPr>
          <w:color w:val="auto"/>
        </w:rPr>
        <w:t>。</w:t>
      </w:r>
    </w:p>
    <w:p w14:paraId="12C886BD">
      <w:pPr>
        <w:spacing w:line="360" w:lineRule="auto"/>
        <w:ind w:firstLine="480"/>
        <w:rPr>
          <w:color w:val="auto"/>
        </w:rPr>
      </w:pPr>
      <w:r>
        <w:rPr>
          <w:rFonts w:hint="eastAsia"/>
          <w:color w:val="auto"/>
        </w:rPr>
        <w:t>在只考虑几何发散衰减时，可按下式计算：</w:t>
      </w:r>
    </w:p>
    <w:p w14:paraId="1C7CECD0">
      <w:pPr>
        <w:spacing w:line="360" w:lineRule="auto"/>
        <w:ind w:firstLine="480"/>
        <w:jc w:val="center"/>
        <w:rPr>
          <w:color w:val="auto"/>
        </w:rPr>
      </w:pPr>
      <w:r>
        <w:rPr>
          <w:rFonts w:hint="eastAsia"/>
          <w:color w:val="auto"/>
        </w:rPr>
        <w:t>L</w:t>
      </w:r>
      <w:r>
        <w:rPr>
          <w:rFonts w:hint="eastAsia"/>
          <w:color w:val="auto"/>
          <w:vertAlign w:val="subscript"/>
        </w:rPr>
        <w:t xml:space="preserve"> A</w:t>
      </w:r>
      <w:r>
        <w:rPr>
          <w:rFonts w:hint="eastAsia"/>
          <w:color w:val="auto"/>
        </w:rPr>
        <w:t xml:space="preserve"> (r)=L</w:t>
      </w:r>
      <w:r>
        <w:rPr>
          <w:rFonts w:hint="eastAsia"/>
          <w:color w:val="auto"/>
          <w:vertAlign w:val="subscript"/>
        </w:rPr>
        <w:t xml:space="preserve"> A</w:t>
      </w:r>
      <w:r>
        <w:rPr>
          <w:rFonts w:hint="eastAsia"/>
          <w:color w:val="auto"/>
        </w:rPr>
        <w:t xml:space="preserve"> (r</w:t>
      </w:r>
      <w:r>
        <w:rPr>
          <w:rFonts w:hint="eastAsia"/>
          <w:color w:val="auto"/>
          <w:vertAlign w:val="subscript"/>
        </w:rPr>
        <w:t>0</w:t>
      </w:r>
      <w:r>
        <w:rPr>
          <w:rFonts w:hint="eastAsia"/>
          <w:color w:val="auto"/>
        </w:rPr>
        <w:t>)-A</w:t>
      </w:r>
      <w:r>
        <w:rPr>
          <w:rFonts w:hint="eastAsia"/>
          <w:color w:val="auto"/>
          <w:vertAlign w:val="subscript"/>
        </w:rPr>
        <w:t>div</w:t>
      </w:r>
    </w:p>
    <w:p w14:paraId="1C61BBEB">
      <w:pPr>
        <w:spacing w:line="360" w:lineRule="auto"/>
        <w:ind w:firstLine="480"/>
        <w:rPr>
          <w:color w:val="auto"/>
        </w:rPr>
      </w:pPr>
      <w:r>
        <w:rPr>
          <w:rFonts w:hint="eastAsia"/>
          <w:color w:val="auto"/>
        </w:rPr>
        <w:t>式中：L</w:t>
      </w:r>
      <w:r>
        <w:rPr>
          <w:rFonts w:hint="eastAsia"/>
          <w:color w:val="auto"/>
          <w:vertAlign w:val="subscript"/>
        </w:rPr>
        <w:t xml:space="preserve"> A</w:t>
      </w:r>
      <w:r>
        <w:rPr>
          <w:rFonts w:hint="eastAsia"/>
          <w:color w:val="auto"/>
        </w:rPr>
        <w:t xml:space="preserve"> (r)——距声源r处的A声级，dB(A</w:t>
      </w:r>
      <w:r>
        <w:rPr>
          <w:rFonts w:hint="eastAsia"/>
          <w:color w:val="auto"/>
          <w:lang w:eastAsia="zh-CN"/>
        </w:rPr>
        <w:t>）</w:t>
      </w:r>
      <w:r>
        <w:rPr>
          <w:rFonts w:hint="eastAsia"/>
          <w:color w:val="auto"/>
        </w:rPr>
        <w:t>；</w:t>
      </w:r>
    </w:p>
    <w:p w14:paraId="63505743">
      <w:pPr>
        <w:spacing w:line="360" w:lineRule="auto"/>
        <w:ind w:firstLine="1200" w:firstLineChars="500"/>
        <w:rPr>
          <w:color w:val="auto"/>
        </w:rPr>
      </w:pPr>
      <w:r>
        <w:rPr>
          <w:rFonts w:hint="eastAsia"/>
          <w:color w:val="auto"/>
        </w:rPr>
        <w:t>L</w:t>
      </w:r>
      <w:r>
        <w:rPr>
          <w:rFonts w:hint="eastAsia"/>
          <w:color w:val="auto"/>
          <w:vertAlign w:val="subscript"/>
        </w:rPr>
        <w:t xml:space="preserve">A </w:t>
      </w:r>
      <w:r>
        <w:rPr>
          <w:rFonts w:hint="eastAsia"/>
          <w:color w:val="auto"/>
        </w:rPr>
        <w:t>(r</w:t>
      </w:r>
      <w:r>
        <w:rPr>
          <w:rFonts w:hint="eastAsia"/>
          <w:color w:val="auto"/>
          <w:vertAlign w:val="subscript"/>
        </w:rPr>
        <w:t>0</w:t>
      </w:r>
      <w:r>
        <w:rPr>
          <w:rFonts w:hint="eastAsia"/>
          <w:color w:val="auto"/>
        </w:rPr>
        <w:t>)——参考位置r</w:t>
      </w:r>
      <w:r>
        <w:rPr>
          <w:rFonts w:hint="eastAsia"/>
          <w:color w:val="auto"/>
          <w:vertAlign w:val="subscript"/>
        </w:rPr>
        <w:t>0</w:t>
      </w:r>
      <w:r>
        <w:rPr>
          <w:rFonts w:hint="eastAsia"/>
          <w:color w:val="auto"/>
        </w:rPr>
        <w:t>处的A声级，dB(A</w:t>
      </w:r>
      <w:r>
        <w:rPr>
          <w:rFonts w:hint="eastAsia"/>
          <w:color w:val="auto"/>
          <w:lang w:eastAsia="zh-CN"/>
        </w:rPr>
        <w:t>）</w:t>
      </w:r>
      <w:r>
        <w:rPr>
          <w:rFonts w:hint="eastAsia"/>
          <w:color w:val="auto"/>
        </w:rPr>
        <w:t>；</w:t>
      </w:r>
    </w:p>
    <w:p w14:paraId="47B34701">
      <w:pPr>
        <w:spacing w:line="360" w:lineRule="auto"/>
        <w:ind w:firstLine="1200" w:firstLineChars="500"/>
        <w:rPr>
          <w:color w:val="auto"/>
        </w:rPr>
      </w:pPr>
      <w:r>
        <w:rPr>
          <w:rFonts w:hint="eastAsia"/>
          <w:color w:val="auto"/>
        </w:rPr>
        <w:t>A</w:t>
      </w:r>
      <w:r>
        <w:rPr>
          <w:rFonts w:hint="eastAsia"/>
          <w:color w:val="auto"/>
          <w:vertAlign w:val="subscript"/>
        </w:rPr>
        <w:t>div</w:t>
      </w:r>
      <w:r>
        <w:rPr>
          <w:rFonts w:hint="eastAsia"/>
          <w:color w:val="auto"/>
        </w:rPr>
        <w:t>——几何发散引起的衰减，dB。</w:t>
      </w:r>
    </w:p>
    <w:p w14:paraId="748E3B04">
      <w:pPr>
        <w:spacing w:line="360" w:lineRule="auto"/>
        <w:ind w:firstLine="480"/>
        <w:rPr>
          <w:color w:val="auto"/>
        </w:rPr>
      </w:pPr>
      <w:r>
        <w:rPr>
          <w:rFonts w:hint="eastAsia"/>
          <w:color w:val="auto"/>
        </w:rPr>
        <w:t>无指向性点声源几何发散衰减的基本公式是：</w:t>
      </w:r>
    </w:p>
    <w:p w14:paraId="59BC75AC">
      <w:pPr>
        <w:spacing w:line="360" w:lineRule="auto"/>
        <w:ind w:firstLine="480"/>
        <w:jc w:val="center"/>
        <w:rPr>
          <w:color w:val="auto"/>
        </w:rPr>
      </w:pPr>
      <w:r>
        <w:rPr>
          <w:color w:val="auto"/>
        </w:rPr>
        <w:t>L</w:t>
      </w:r>
      <w:r>
        <w:rPr>
          <w:color w:val="auto"/>
          <w:vertAlign w:val="subscript"/>
        </w:rPr>
        <w:t>P</w:t>
      </w:r>
      <w:r>
        <w:rPr>
          <w:rFonts w:hint="eastAsia"/>
          <w:color w:val="auto"/>
          <w:vertAlign w:val="subscript"/>
          <w:lang w:eastAsia="zh-CN"/>
        </w:rPr>
        <w:t>(</w:t>
      </w:r>
      <w:r>
        <w:rPr>
          <w:color w:val="auto"/>
        </w:rPr>
        <w:t>r</w:t>
      </w:r>
      <w:r>
        <w:rPr>
          <w:rFonts w:hint="eastAsia"/>
          <w:color w:val="auto"/>
          <w:lang w:eastAsia="zh-CN"/>
        </w:rPr>
        <w:t>)</w:t>
      </w:r>
      <w:r>
        <w:rPr>
          <w:color w:val="auto"/>
        </w:rPr>
        <w:t>=L</w:t>
      </w:r>
      <w:r>
        <w:rPr>
          <w:color w:val="auto"/>
          <w:vertAlign w:val="subscript"/>
        </w:rPr>
        <w:t>P</w:t>
      </w:r>
      <w:r>
        <w:rPr>
          <w:color w:val="auto"/>
        </w:rPr>
        <w:t>(r</w:t>
      </w:r>
      <w:r>
        <w:rPr>
          <w:color w:val="auto"/>
          <w:vertAlign w:val="subscript"/>
        </w:rPr>
        <w:t>0</w:t>
      </w:r>
      <w:r>
        <w:rPr>
          <w:color w:val="auto"/>
        </w:rPr>
        <w:t>)-201g(r/r</w:t>
      </w:r>
      <w:r>
        <w:rPr>
          <w:color w:val="auto"/>
          <w:vertAlign w:val="subscript"/>
        </w:rPr>
        <w:t>0</w:t>
      </w:r>
      <w:r>
        <w:rPr>
          <w:color w:val="auto"/>
        </w:rPr>
        <w:t>)</w:t>
      </w:r>
      <w:r>
        <w:rPr>
          <w:rFonts w:hint="eastAsia"/>
          <w:color w:val="auto"/>
        </w:rPr>
        <w:t> </w:t>
      </w:r>
    </w:p>
    <w:p w14:paraId="1912C7E3">
      <w:pPr>
        <w:spacing w:line="360" w:lineRule="auto"/>
        <w:ind w:firstLine="480"/>
        <w:rPr>
          <w:color w:val="auto"/>
        </w:rPr>
      </w:pPr>
      <w:r>
        <w:rPr>
          <w:rFonts w:hint="eastAsia"/>
          <w:color w:val="auto"/>
        </w:rPr>
        <w:t>式中：L</w:t>
      </w:r>
      <w:r>
        <w:rPr>
          <w:rFonts w:hint="eastAsia"/>
          <w:color w:val="auto"/>
          <w:vertAlign w:val="subscript"/>
        </w:rPr>
        <w:t>p</w:t>
      </w:r>
      <w:r>
        <w:rPr>
          <w:rFonts w:hint="eastAsia"/>
          <w:color w:val="auto"/>
        </w:rPr>
        <w:t xml:space="preserve"> (r) ——预测点处声压级，dB；</w:t>
      </w:r>
    </w:p>
    <w:p w14:paraId="2E1EE194">
      <w:pPr>
        <w:spacing w:line="360" w:lineRule="auto"/>
        <w:ind w:firstLine="1200" w:firstLineChars="500"/>
        <w:rPr>
          <w:color w:val="auto"/>
        </w:rPr>
      </w:pPr>
      <w:r>
        <w:rPr>
          <w:rFonts w:hint="eastAsia"/>
          <w:color w:val="auto"/>
        </w:rPr>
        <w:t>L</w:t>
      </w:r>
      <w:r>
        <w:rPr>
          <w:rFonts w:hint="eastAsia"/>
          <w:color w:val="auto"/>
          <w:vertAlign w:val="subscript"/>
        </w:rPr>
        <w:t>p</w:t>
      </w:r>
      <w:r>
        <w:rPr>
          <w:rFonts w:hint="eastAsia"/>
          <w:color w:val="auto"/>
        </w:rPr>
        <w:t xml:space="preserve"> (r</w:t>
      </w:r>
      <w:r>
        <w:rPr>
          <w:rFonts w:hint="eastAsia"/>
          <w:color w:val="auto"/>
          <w:vertAlign w:val="subscript"/>
        </w:rPr>
        <w:t>0</w:t>
      </w:r>
      <w:r>
        <w:rPr>
          <w:rFonts w:hint="eastAsia"/>
          <w:color w:val="auto"/>
        </w:rPr>
        <w:t>) ——参考位置r</w:t>
      </w:r>
      <w:r>
        <w:rPr>
          <w:rFonts w:hint="eastAsia"/>
          <w:color w:val="auto"/>
          <w:vertAlign w:val="subscript"/>
        </w:rPr>
        <w:t>0</w:t>
      </w:r>
      <w:r>
        <w:rPr>
          <w:rFonts w:hint="eastAsia"/>
          <w:color w:val="auto"/>
        </w:rPr>
        <w:t>处的声压级，dB；</w:t>
      </w:r>
    </w:p>
    <w:p w14:paraId="22C86FA7">
      <w:pPr>
        <w:spacing w:line="360" w:lineRule="auto"/>
        <w:ind w:firstLine="1200" w:firstLineChars="500"/>
        <w:rPr>
          <w:color w:val="auto"/>
        </w:rPr>
      </w:pPr>
      <w:r>
        <w:rPr>
          <w:rFonts w:hint="eastAsia"/>
          <w:color w:val="auto"/>
        </w:rPr>
        <w:t>r——预测点距声源的距离；</w:t>
      </w:r>
    </w:p>
    <w:p w14:paraId="15787B05">
      <w:pPr>
        <w:spacing w:line="360" w:lineRule="auto"/>
        <w:ind w:firstLine="1200" w:firstLineChars="500"/>
        <w:rPr>
          <w:color w:val="auto"/>
        </w:rPr>
      </w:pPr>
      <w:r>
        <w:rPr>
          <w:rFonts w:hint="eastAsia"/>
          <w:color w:val="auto"/>
        </w:rPr>
        <w:t>r</w:t>
      </w:r>
      <w:r>
        <w:rPr>
          <w:rFonts w:hint="eastAsia"/>
          <w:color w:val="auto"/>
          <w:vertAlign w:val="subscript"/>
        </w:rPr>
        <w:t>0</w:t>
      </w:r>
      <w:r>
        <w:rPr>
          <w:rFonts w:hint="eastAsia"/>
          <w:color w:val="auto"/>
        </w:rPr>
        <w:t>——参考位置距声源的距离。</w:t>
      </w:r>
    </w:p>
    <w:p w14:paraId="3C7819F4">
      <w:pPr>
        <w:ind w:firstLine="482"/>
        <w:rPr>
          <w:b/>
          <w:bCs/>
          <w:color w:val="auto"/>
        </w:rPr>
      </w:pPr>
      <w:r>
        <w:rPr>
          <w:rFonts w:hint="eastAsia"/>
          <w:b/>
          <w:bCs/>
          <w:color w:val="auto"/>
        </w:rPr>
        <w:t>（5）</w:t>
      </w:r>
      <w:r>
        <w:rPr>
          <w:b/>
          <w:bCs/>
          <w:color w:val="auto"/>
        </w:rPr>
        <w:t>预测值计算</w:t>
      </w:r>
    </w:p>
    <w:p w14:paraId="19E90B4A">
      <w:pPr>
        <w:ind w:firstLine="480"/>
        <w:rPr>
          <w:color w:val="auto"/>
        </w:rPr>
      </w:pPr>
      <w:r>
        <w:rPr>
          <w:color w:val="auto"/>
        </w:rPr>
        <w:t>然后按式（B.5）将室外声源的声压级和透过面积换算成等效的室外声源，计算出中心位置位于透声面积（S）处的等效声源的倍频带声功率级。</w:t>
      </w:r>
    </w:p>
    <w:p w14:paraId="07AFC68A">
      <w:pPr>
        <w:ind w:firstLine="480"/>
        <w:jc w:val="right"/>
        <w:rPr>
          <w:color w:val="auto"/>
        </w:rPr>
      </w:pPr>
      <w:r>
        <w:rPr>
          <w:color w:val="auto"/>
        </w:rPr>
        <w:t xml:space="preserve"> </w:t>
      </w:r>
      <w:r>
        <w:rPr>
          <w:color w:val="auto"/>
        </w:rPr>
        <w:drawing>
          <wp:inline distT="0" distB="0" distL="114300" distR="114300">
            <wp:extent cx="1771650" cy="285750"/>
            <wp:effectExtent l="0" t="0" r="0" b="0"/>
            <wp:docPr id="3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1"/>
                    <pic:cNvPicPr>
                      <a:picLocks noChangeAspect="1"/>
                    </pic:cNvPicPr>
                  </pic:nvPicPr>
                  <pic:blipFill>
                    <a:blip r:embed="rId56"/>
                    <a:stretch>
                      <a:fillRect/>
                    </a:stretch>
                  </pic:blipFill>
                  <pic:spPr>
                    <a:xfrm>
                      <a:off x="0" y="0"/>
                      <a:ext cx="1771650" cy="285750"/>
                    </a:xfrm>
                    <a:prstGeom prst="rect">
                      <a:avLst/>
                    </a:prstGeom>
                    <a:noFill/>
                    <a:ln>
                      <a:noFill/>
                    </a:ln>
                  </pic:spPr>
                </pic:pic>
              </a:graphicData>
            </a:graphic>
          </wp:inline>
        </w:drawing>
      </w:r>
      <w:r>
        <w:rPr>
          <w:color w:val="auto"/>
        </w:rPr>
        <w:t xml:space="preserve">              （式B.5）</w:t>
      </w:r>
    </w:p>
    <w:p w14:paraId="2CF77103">
      <w:pPr>
        <w:ind w:firstLine="480"/>
        <w:rPr>
          <w:color w:val="auto"/>
        </w:rPr>
      </w:pPr>
      <w:r>
        <w:rPr>
          <w:color w:val="auto"/>
        </w:rPr>
        <w:t>式中：</w:t>
      </w:r>
      <w:r>
        <w:rPr>
          <w:i/>
          <w:iCs/>
          <w:color w:val="auto"/>
        </w:rPr>
        <w:t>Lw</w:t>
      </w:r>
      <w:r>
        <w:rPr>
          <w:color w:val="auto"/>
        </w:rPr>
        <w:t>——中心位置位于透声面积（</w:t>
      </w:r>
      <w:r>
        <w:rPr>
          <w:i/>
          <w:iCs/>
          <w:color w:val="auto"/>
        </w:rPr>
        <w:t>S</w:t>
      </w:r>
      <w:r>
        <w:rPr>
          <w:color w:val="auto"/>
        </w:rPr>
        <w:t>）处的等效声源的倍频带声功率级，dB；</w:t>
      </w:r>
    </w:p>
    <w:p w14:paraId="694D0D26">
      <w:pPr>
        <w:ind w:firstLine="480"/>
        <w:rPr>
          <w:color w:val="auto"/>
        </w:rPr>
      </w:pPr>
      <w:r>
        <w:rPr>
          <w:i/>
          <w:iCs/>
          <w:color w:val="auto"/>
        </w:rPr>
        <w:t>L</w:t>
      </w:r>
      <w:r>
        <w:rPr>
          <w:i/>
          <w:iCs/>
          <w:color w:val="auto"/>
          <w:vertAlign w:val="subscript"/>
        </w:rPr>
        <w:t>p</w:t>
      </w:r>
      <w:r>
        <w:rPr>
          <w:color w:val="auto"/>
          <w:vertAlign w:val="subscript"/>
        </w:rPr>
        <w:t>2</w:t>
      </w:r>
      <w:r>
        <w:rPr>
          <w:color w:val="auto"/>
        </w:rPr>
        <w:t>(</w:t>
      </w:r>
      <w:r>
        <w:rPr>
          <w:i/>
          <w:iCs/>
          <w:color w:val="auto"/>
        </w:rPr>
        <w:t>T</w:t>
      </w:r>
      <w:r>
        <w:rPr>
          <w:color w:val="auto"/>
        </w:rPr>
        <w:t xml:space="preserve">) ——靠近围护结构处室外声源的声压级，dB； </w:t>
      </w:r>
    </w:p>
    <w:p w14:paraId="0B04E85D">
      <w:pPr>
        <w:ind w:firstLine="480"/>
        <w:rPr>
          <w:color w:val="auto"/>
        </w:rPr>
      </w:pPr>
      <w:r>
        <w:rPr>
          <w:i/>
          <w:iCs/>
          <w:color w:val="auto"/>
        </w:rPr>
        <w:t>S</w:t>
      </w:r>
      <w:r>
        <w:rPr>
          <w:color w:val="auto"/>
        </w:rPr>
        <w:t>——透声面积，m</w:t>
      </w:r>
      <w:r>
        <w:rPr>
          <w:color w:val="auto"/>
          <w:vertAlign w:val="superscript"/>
        </w:rPr>
        <w:t>2</w:t>
      </w:r>
      <w:r>
        <w:rPr>
          <w:color w:val="auto"/>
        </w:rPr>
        <w:t>。</w:t>
      </w:r>
    </w:p>
    <w:p w14:paraId="734ABEE9">
      <w:pPr>
        <w:ind w:firstLine="480"/>
        <w:rPr>
          <w:color w:val="auto"/>
        </w:rPr>
      </w:pPr>
      <w:r>
        <w:rPr>
          <w:color w:val="auto"/>
        </w:rPr>
        <w:t>根据《环境影响评价技术导则 声环境》（HJ2.4-2021）“B.1.4如预测点在靠近声源处，但不能满足点声源条件时，需按线声源或面声源模型计算。”项目等效到厂房室外的噪声源采用面声源几何发散衰减模式进行厂界噪声预测。</w:t>
      </w:r>
    </w:p>
    <w:p w14:paraId="717F8782">
      <w:pPr>
        <w:spacing w:line="360" w:lineRule="auto"/>
        <w:ind w:firstLine="480"/>
        <w:rPr>
          <w:color w:val="auto"/>
        </w:rPr>
      </w:pPr>
      <w:r>
        <w:rPr>
          <w:color w:val="auto"/>
        </w:rPr>
        <w:t>面声源的几何发散衰减：当预测点和面声源中心距离r 处于以下条件时，可按下述方法近似计算：r＜a/π 时，几乎不衰减（A</w:t>
      </w:r>
      <w:r>
        <w:rPr>
          <w:color w:val="auto"/>
          <w:vertAlign w:val="subscript"/>
        </w:rPr>
        <w:t xml:space="preserve"> div</w:t>
      </w:r>
      <w:r>
        <w:rPr>
          <w:color w:val="auto"/>
        </w:rPr>
        <w:t>≈0）；当a/π＜r＜b/π，距离加倍衰减3 dB左右，类似线声源衰减特性</w:t>
      </w:r>
      <w:r>
        <w:rPr>
          <w:rFonts w:hint="eastAsia"/>
          <w:color w:val="auto"/>
        </w:rPr>
        <w:t>〔</w:t>
      </w:r>
      <w:r>
        <w:rPr>
          <w:color w:val="auto"/>
        </w:rPr>
        <w:t>A</w:t>
      </w:r>
      <w:r>
        <w:rPr>
          <w:color w:val="auto"/>
          <w:vertAlign w:val="subscript"/>
        </w:rPr>
        <w:t xml:space="preserve"> div</w:t>
      </w:r>
      <w:r>
        <w:rPr>
          <w:color w:val="auto"/>
        </w:rPr>
        <w:t>≈10lg(r/r</w:t>
      </w:r>
      <w:r>
        <w:rPr>
          <w:color w:val="auto"/>
          <w:vertAlign w:val="subscript"/>
        </w:rPr>
        <w:t>0</w:t>
      </w:r>
      <w:r>
        <w:rPr>
          <w:rFonts w:hint="eastAsia"/>
          <w:color w:val="auto"/>
          <w:vertAlign w:val="subscript"/>
          <w:lang w:eastAsia="zh-CN"/>
        </w:rPr>
        <w:t>）</w:t>
      </w:r>
      <w:r>
        <w:rPr>
          <w:color w:val="auto"/>
        </w:rPr>
        <w:t>）</w:t>
      </w:r>
      <w:r>
        <w:rPr>
          <w:rFonts w:hint="eastAsia"/>
          <w:color w:val="auto"/>
        </w:rPr>
        <w:t>〕</w:t>
      </w:r>
      <w:r>
        <w:rPr>
          <w:color w:val="auto"/>
        </w:rPr>
        <w:t>；当r＞b/π时，距离加倍衰减趋近于6 dB，类似点声源衰减特性</w:t>
      </w:r>
      <w:r>
        <w:rPr>
          <w:rFonts w:hint="eastAsia"/>
          <w:color w:val="auto"/>
        </w:rPr>
        <w:t>〔</w:t>
      </w:r>
      <w:r>
        <w:rPr>
          <w:color w:val="auto"/>
        </w:rPr>
        <w:t>A</w:t>
      </w:r>
      <w:r>
        <w:rPr>
          <w:color w:val="auto"/>
          <w:vertAlign w:val="subscript"/>
        </w:rPr>
        <w:t xml:space="preserve"> div</w:t>
      </w:r>
      <w:r>
        <w:rPr>
          <w:color w:val="auto"/>
        </w:rPr>
        <w:t>≈20lg(r/r</w:t>
      </w:r>
      <w:r>
        <w:rPr>
          <w:color w:val="auto"/>
          <w:vertAlign w:val="subscript"/>
        </w:rPr>
        <w:t>0</w:t>
      </w:r>
      <w:r>
        <w:rPr>
          <w:rFonts w:hint="eastAsia"/>
          <w:color w:val="auto"/>
          <w:vertAlign w:val="subscript"/>
          <w:lang w:eastAsia="zh-CN"/>
        </w:rPr>
        <w:t>）</w:t>
      </w:r>
      <w:r>
        <w:rPr>
          <w:color w:val="auto"/>
        </w:rPr>
        <w:t>）</w:t>
      </w:r>
      <w:r>
        <w:rPr>
          <w:rFonts w:hint="eastAsia"/>
          <w:color w:val="auto"/>
        </w:rPr>
        <w:t>〕</w:t>
      </w:r>
      <w:r>
        <w:rPr>
          <w:color w:val="auto"/>
        </w:rPr>
        <w:t xml:space="preserve"> ，其中面声源的b＞a。</w:t>
      </w:r>
    </w:p>
    <w:p w14:paraId="05A20314">
      <w:pPr>
        <w:ind w:firstLine="480"/>
        <w:rPr>
          <w:color w:val="auto"/>
        </w:rPr>
      </w:pPr>
    </w:p>
    <w:p w14:paraId="62D81397">
      <w:pPr>
        <w:ind w:firstLine="480"/>
        <w:rPr>
          <w:color w:val="auto"/>
        </w:rPr>
      </w:pPr>
    </w:p>
    <w:p w14:paraId="2C81A368">
      <w:pPr>
        <w:ind w:firstLine="480"/>
        <w:rPr>
          <w:color w:val="auto"/>
        </w:rPr>
      </w:pPr>
    </w:p>
    <w:p w14:paraId="21B9B6AB">
      <w:pPr>
        <w:ind w:firstLine="480"/>
        <w:rPr>
          <w:color w:val="auto"/>
        </w:rPr>
      </w:pPr>
    </w:p>
    <w:p w14:paraId="7700D17A">
      <w:pPr>
        <w:ind w:firstLine="480"/>
        <w:rPr>
          <w:color w:val="auto"/>
        </w:rPr>
      </w:pPr>
    </w:p>
    <w:p w14:paraId="0F4C338A">
      <w:pPr>
        <w:ind w:firstLine="480"/>
        <w:rPr>
          <w:color w:val="auto"/>
        </w:rPr>
      </w:pPr>
    </w:p>
    <w:p w14:paraId="3404F193">
      <w:pPr>
        <w:pStyle w:val="151"/>
        <w:ind w:firstLine="480"/>
        <w:rPr>
          <w:color w:val="auto"/>
        </w:rPr>
      </w:pPr>
    </w:p>
    <w:p w14:paraId="2E87098A">
      <w:pPr>
        <w:pStyle w:val="151"/>
        <w:ind w:firstLine="480"/>
        <w:rPr>
          <w:color w:val="auto"/>
        </w:rPr>
      </w:pPr>
      <w:r>
        <w:rPr>
          <w:color w:val="auto"/>
        </w:rPr>
        <w:drawing>
          <wp:anchor distT="0" distB="0" distL="114300" distR="114300" simplePos="0" relativeHeight="251661312" behindDoc="0" locked="0" layoutInCell="1" allowOverlap="1">
            <wp:simplePos x="0" y="0"/>
            <wp:positionH relativeFrom="column">
              <wp:posOffset>937895</wp:posOffset>
            </wp:positionH>
            <wp:positionV relativeFrom="paragraph">
              <wp:posOffset>-1973580</wp:posOffset>
            </wp:positionV>
            <wp:extent cx="3402330" cy="2217420"/>
            <wp:effectExtent l="0" t="0" r="7620" b="11430"/>
            <wp:wrapNone/>
            <wp:docPr id="27" name="图片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18"/>
                    <pic:cNvPicPr>
                      <a:picLocks noChangeAspect="1"/>
                    </pic:cNvPicPr>
                  </pic:nvPicPr>
                  <pic:blipFill>
                    <a:blip r:embed="rId57"/>
                    <a:stretch>
                      <a:fillRect/>
                    </a:stretch>
                  </pic:blipFill>
                  <pic:spPr>
                    <a:xfrm>
                      <a:off x="0" y="0"/>
                      <a:ext cx="3402330" cy="2217420"/>
                    </a:xfrm>
                    <a:prstGeom prst="rect">
                      <a:avLst/>
                    </a:prstGeom>
                    <a:noFill/>
                    <a:ln>
                      <a:noFill/>
                    </a:ln>
                  </pic:spPr>
                </pic:pic>
              </a:graphicData>
            </a:graphic>
          </wp:anchor>
        </w:drawing>
      </w:r>
    </w:p>
    <w:p w14:paraId="000D041E">
      <w:pPr>
        <w:ind w:firstLine="482"/>
        <w:rPr>
          <w:b/>
          <w:color w:val="auto"/>
        </w:rPr>
      </w:pPr>
      <w:r>
        <w:rPr>
          <w:b/>
          <w:color w:val="auto"/>
        </w:rPr>
        <w:t>厂界预测点贡献值计算：</w:t>
      </w:r>
    </w:p>
    <w:p w14:paraId="7D3D245A">
      <w:pPr>
        <w:ind w:firstLine="480"/>
        <w:rPr>
          <w:b/>
          <w:color w:val="auto"/>
        </w:rPr>
      </w:pPr>
      <w:r>
        <w:rPr>
          <w:color w:val="auto"/>
        </w:rPr>
        <w:drawing>
          <wp:anchor distT="0" distB="0" distL="114300" distR="114300" simplePos="0" relativeHeight="251660288" behindDoc="0" locked="0" layoutInCell="1" allowOverlap="1">
            <wp:simplePos x="0" y="0"/>
            <wp:positionH relativeFrom="column">
              <wp:posOffset>771525</wp:posOffset>
            </wp:positionH>
            <wp:positionV relativeFrom="paragraph">
              <wp:posOffset>69850</wp:posOffset>
            </wp:positionV>
            <wp:extent cx="4042410" cy="657860"/>
            <wp:effectExtent l="0" t="0" r="15240" b="8890"/>
            <wp:wrapNone/>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58"/>
                    <a:stretch>
                      <a:fillRect/>
                    </a:stretch>
                  </pic:blipFill>
                  <pic:spPr>
                    <a:xfrm>
                      <a:off x="0" y="0"/>
                      <a:ext cx="4042410" cy="657860"/>
                    </a:xfrm>
                    <a:prstGeom prst="rect">
                      <a:avLst/>
                    </a:prstGeom>
                    <a:noFill/>
                    <a:ln>
                      <a:noFill/>
                    </a:ln>
                  </pic:spPr>
                </pic:pic>
              </a:graphicData>
            </a:graphic>
          </wp:anchor>
        </w:drawing>
      </w:r>
    </w:p>
    <w:p w14:paraId="408F3DDB">
      <w:pPr>
        <w:pStyle w:val="151"/>
        <w:ind w:firstLine="480"/>
        <w:rPr>
          <w:color w:val="auto"/>
        </w:rPr>
      </w:pPr>
    </w:p>
    <w:p w14:paraId="49B8DA83">
      <w:pPr>
        <w:pStyle w:val="12"/>
        <w:ind w:left="1380" w:hanging="420"/>
        <w:rPr>
          <w:color w:val="auto"/>
        </w:rPr>
      </w:pPr>
    </w:p>
    <w:p w14:paraId="64154A2E">
      <w:pPr>
        <w:ind w:firstLine="480"/>
        <w:rPr>
          <w:color w:val="auto"/>
        </w:rPr>
      </w:pPr>
      <w:r>
        <w:rPr>
          <w:color w:val="auto"/>
        </w:rPr>
        <w:t>式中：</w:t>
      </w:r>
      <w:r>
        <w:rPr>
          <w:i/>
          <w:iCs/>
          <w:color w:val="auto"/>
        </w:rPr>
        <w:t>L</w:t>
      </w:r>
      <w:r>
        <w:rPr>
          <w:color w:val="auto"/>
        </w:rPr>
        <w:t>eqg——建设项目声源在预测点产生的噪声贡献值，dB；</w:t>
      </w:r>
    </w:p>
    <w:p w14:paraId="1754FFE3">
      <w:pPr>
        <w:ind w:firstLine="720" w:firstLineChars="300"/>
        <w:rPr>
          <w:color w:val="auto"/>
        </w:rPr>
      </w:pPr>
      <w:r>
        <w:rPr>
          <w:i/>
          <w:iCs/>
          <w:color w:val="auto"/>
        </w:rPr>
        <w:t xml:space="preserve">T </w:t>
      </w:r>
      <w:r>
        <w:rPr>
          <w:color w:val="auto"/>
        </w:rPr>
        <w:t>——用于计算等效声级的时间，s；</w:t>
      </w:r>
    </w:p>
    <w:p w14:paraId="506E13B9">
      <w:pPr>
        <w:ind w:firstLine="720" w:firstLineChars="300"/>
        <w:rPr>
          <w:color w:val="auto"/>
        </w:rPr>
      </w:pPr>
      <w:r>
        <w:rPr>
          <w:i/>
          <w:iCs/>
          <w:color w:val="auto"/>
        </w:rPr>
        <w:t xml:space="preserve">N </w:t>
      </w:r>
      <w:r>
        <w:rPr>
          <w:color w:val="auto"/>
        </w:rPr>
        <w:t>——室外声源个数；</w:t>
      </w:r>
    </w:p>
    <w:p w14:paraId="4F5804D8">
      <w:pPr>
        <w:ind w:firstLine="720" w:firstLineChars="300"/>
        <w:rPr>
          <w:color w:val="auto"/>
        </w:rPr>
      </w:pPr>
      <w:r>
        <w:rPr>
          <w:i/>
          <w:iCs/>
          <w:color w:val="auto"/>
        </w:rPr>
        <w:t xml:space="preserve">i t </w:t>
      </w:r>
      <w:r>
        <w:rPr>
          <w:color w:val="auto"/>
        </w:rPr>
        <w:t>——在</w:t>
      </w:r>
      <w:r>
        <w:rPr>
          <w:i/>
          <w:iCs/>
          <w:color w:val="auto"/>
        </w:rPr>
        <w:t xml:space="preserve">T </w:t>
      </w:r>
      <w:r>
        <w:rPr>
          <w:color w:val="auto"/>
        </w:rPr>
        <w:t>时间内</w:t>
      </w:r>
      <w:r>
        <w:rPr>
          <w:i/>
          <w:iCs/>
          <w:color w:val="auto"/>
        </w:rPr>
        <w:t xml:space="preserve">i </w:t>
      </w:r>
      <w:r>
        <w:rPr>
          <w:color w:val="auto"/>
        </w:rPr>
        <w:t>声源工作时间，s；</w:t>
      </w:r>
    </w:p>
    <w:p w14:paraId="7330F497">
      <w:pPr>
        <w:ind w:firstLine="720" w:firstLineChars="300"/>
        <w:rPr>
          <w:color w:val="auto"/>
        </w:rPr>
      </w:pPr>
      <w:r>
        <w:rPr>
          <w:i/>
          <w:iCs/>
          <w:color w:val="auto"/>
        </w:rPr>
        <w:t xml:space="preserve">M </w:t>
      </w:r>
      <w:r>
        <w:rPr>
          <w:color w:val="auto"/>
        </w:rPr>
        <w:t>——等效室外声源个数；</w:t>
      </w:r>
    </w:p>
    <w:p w14:paraId="6BC29564">
      <w:pPr>
        <w:pStyle w:val="3931"/>
        <w:spacing w:line="360" w:lineRule="auto"/>
        <w:ind w:firstLine="720" w:firstLineChars="300"/>
        <w:rPr>
          <w:color w:val="auto"/>
        </w:rPr>
      </w:pPr>
      <w:r>
        <w:rPr>
          <w:i/>
          <w:iCs/>
          <w:color w:val="auto"/>
        </w:rPr>
        <w:t xml:space="preserve">j t </w:t>
      </w:r>
      <w:r>
        <w:rPr>
          <w:color w:val="auto"/>
        </w:rPr>
        <w:t>——在</w:t>
      </w:r>
      <w:r>
        <w:rPr>
          <w:i/>
          <w:iCs/>
          <w:color w:val="auto"/>
        </w:rPr>
        <w:t xml:space="preserve">T </w:t>
      </w:r>
      <w:r>
        <w:rPr>
          <w:color w:val="auto"/>
        </w:rPr>
        <w:t>时间内</w:t>
      </w:r>
      <w:r>
        <w:rPr>
          <w:i/>
          <w:iCs/>
          <w:color w:val="auto"/>
        </w:rPr>
        <w:t xml:space="preserve">j </w:t>
      </w:r>
      <w:r>
        <w:rPr>
          <w:color w:val="auto"/>
        </w:rPr>
        <w:t>声源工作时间，s。</w:t>
      </w:r>
    </w:p>
    <w:p w14:paraId="7C8D5CC3">
      <w:pPr>
        <w:spacing w:line="360" w:lineRule="auto"/>
        <w:ind w:firstLine="482"/>
        <w:rPr>
          <w:b/>
          <w:bCs/>
          <w:color w:val="auto"/>
        </w:rPr>
      </w:pPr>
      <w:r>
        <w:rPr>
          <w:rFonts w:hint="eastAsia"/>
          <w:b/>
          <w:bCs/>
          <w:color w:val="auto"/>
        </w:rPr>
        <w:t>（6）</w:t>
      </w:r>
      <w:r>
        <w:rPr>
          <w:b/>
          <w:bCs/>
          <w:color w:val="auto"/>
        </w:rPr>
        <w:t>预测点的预测等效声级（L</w:t>
      </w:r>
      <w:r>
        <w:rPr>
          <w:b/>
          <w:bCs/>
          <w:color w:val="auto"/>
          <w:vertAlign w:val="subscript"/>
        </w:rPr>
        <w:t>eq</w:t>
      </w:r>
      <w:r>
        <w:rPr>
          <w:b/>
          <w:bCs/>
          <w:color w:val="auto"/>
        </w:rPr>
        <w:t>）计算式</w:t>
      </w:r>
    </w:p>
    <w:p w14:paraId="151BC7E5">
      <w:pPr>
        <w:spacing w:line="360" w:lineRule="auto"/>
        <w:ind w:firstLine="1440" w:firstLineChars="600"/>
        <w:rPr>
          <w:color w:val="auto"/>
        </w:rPr>
      </w:pPr>
      <w:r>
        <w:rPr>
          <w:color w:val="auto"/>
        </w:rPr>
        <w:drawing>
          <wp:inline distT="0" distB="0" distL="0" distR="0">
            <wp:extent cx="1801495" cy="271145"/>
            <wp:effectExtent l="0" t="0" r="8255" b="14605"/>
            <wp:docPr id="450" name="图片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图片 450"/>
                    <pic:cNvPicPr>
                      <a:picLocks noChangeAspect="1"/>
                    </pic:cNvPicPr>
                  </pic:nvPicPr>
                  <pic:blipFill>
                    <a:blip r:embed="rId59" cstate="print"/>
                    <a:srcRect/>
                    <a:stretch>
                      <a:fillRect/>
                    </a:stretch>
                  </pic:blipFill>
                  <pic:spPr>
                    <a:xfrm>
                      <a:off x="0" y="0"/>
                      <a:ext cx="1805652" cy="272405"/>
                    </a:xfrm>
                    <a:prstGeom prst="rect">
                      <a:avLst/>
                    </a:prstGeom>
                    <a:ln>
                      <a:noFill/>
                    </a:ln>
                  </pic:spPr>
                </pic:pic>
              </a:graphicData>
            </a:graphic>
          </wp:inline>
        </w:drawing>
      </w:r>
    </w:p>
    <w:p w14:paraId="68BC42E9">
      <w:pPr>
        <w:ind w:firstLine="480"/>
        <w:rPr>
          <w:color w:val="auto"/>
        </w:rPr>
      </w:pPr>
      <w:r>
        <w:rPr>
          <w:color w:val="auto"/>
        </w:rPr>
        <w:t>式中：</w:t>
      </w:r>
      <w:r>
        <w:rPr>
          <w:i/>
          <w:color w:val="auto"/>
        </w:rPr>
        <w:t>L</w:t>
      </w:r>
      <w:r>
        <w:rPr>
          <w:i/>
          <w:color w:val="auto"/>
          <w:vertAlign w:val="subscript"/>
        </w:rPr>
        <w:t>eq</w:t>
      </w:r>
      <w:r>
        <w:rPr>
          <w:color w:val="auto"/>
        </w:rPr>
        <w:t>——某预测点预测环境噪声等效声级，dB（A）；</w:t>
      </w:r>
    </w:p>
    <w:p w14:paraId="6EE7CDAF">
      <w:pPr>
        <w:ind w:firstLine="1200" w:firstLineChars="500"/>
        <w:rPr>
          <w:color w:val="auto"/>
        </w:rPr>
      </w:pPr>
      <w:r>
        <w:rPr>
          <w:i/>
          <w:color w:val="auto"/>
        </w:rPr>
        <w:t>L</w:t>
      </w:r>
      <w:r>
        <w:rPr>
          <w:i/>
          <w:color w:val="auto"/>
          <w:vertAlign w:val="subscript"/>
        </w:rPr>
        <w:t>eqg</w:t>
      </w:r>
      <w:r>
        <w:rPr>
          <w:color w:val="auto"/>
        </w:rPr>
        <w:t>——建设项目声源在预测点的等效声级贡献值，dB（A）；</w:t>
      </w:r>
    </w:p>
    <w:p w14:paraId="0FE90EB5">
      <w:pPr>
        <w:spacing w:line="360" w:lineRule="auto"/>
        <w:ind w:firstLine="1200" w:firstLineChars="500"/>
        <w:rPr>
          <w:color w:val="auto"/>
        </w:rPr>
      </w:pPr>
      <w:r>
        <w:rPr>
          <w:i/>
          <w:color w:val="auto"/>
        </w:rPr>
        <w:t>L</w:t>
      </w:r>
      <w:r>
        <w:rPr>
          <w:i/>
          <w:color w:val="auto"/>
          <w:vertAlign w:val="subscript"/>
        </w:rPr>
        <w:t>eqb</w:t>
      </w:r>
      <w:r>
        <w:rPr>
          <w:color w:val="auto"/>
        </w:rPr>
        <w:t>——预测点的背景值，dB（A）。</w:t>
      </w:r>
    </w:p>
    <w:p w14:paraId="3E89E95A">
      <w:pPr>
        <w:spacing w:line="360" w:lineRule="auto"/>
        <w:ind w:firstLine="482"/>
        <w:rPr>
          <w:b/>
          <w:bCs/>
          <w:color w:val="auto"/>
          <w:szCs w:val="24"/>
        </w:rPr>
      </w:pPr>
      <w:r>
        <w:rPr>
          <w:rFonts w:hint="eastAsia"/>
          <w:b/>
          <w:bCs/>
          <w:color w:val="auto"/>
        </w:rPr>
        <w:t>（7）</w:t>
      </w:r>
      <w:r>
        <w:rPr>
          <w:rFonts w:hint="eastAsia"/>
          <w:b/>
          <w:bCs/>
          <w:color w:val="auto"/>
          <w:szCs w:val="24"/>
        </w:rPr>
        <w:t>预测结果</w:t>
      </w:r>
    </w:p>
    <w:p w14:paraId="33C6EAF4">
      <w:pPr>
        <w:spacing w:line="360" w:lineRule="auto"/>
        <w:ind w:firstLine="480"/>
        <w:rPr>
          <w:rFonts w:hint="eastAsia" w:eastAsia="宋体"/>
          <w:color w:val="auto"/>
          <w:szCs w:val="24"/>
          <w:lang w:eastAsia="zh-CN"/>
        </w:rPr>
      </w:pPr>
      <w:r>
        <w:rPr>
          <w:rFonts w:hint="eastAsia"/>
          <w:color w:val="auto"/>
          <w:szCs w:val="24"/>
          <w:lang w:eastAsia="zh-CN"/>
        </w:rPr>
        <w:t>项目东厂界</w:t>
      </w:r>
      <w:r>
        <w:rPr>
          <w:rFonts w:hint="eastAsia"/>
          <w:color w:val="auto"/>
          <w:szCs w:val="24"/>
          <w:lang w:val="en-US" w:eastAsia="zh-CN"/>
        </w:rPr>
        <w:t>200m范围内有</w:t>
      </w:r>
      <w:r>
        <w:rPr>
          <w:rFonts w:hint="eastAsia"/>
          <w:color w:val="auto"/>
          <w:szCs w:val="24"/>
          <w:lang w:eastAsia="zh-CN"/>
        </w:rPr>
        <w:t>声环境保护目标（</w:t>
      </w:r>
      <w:r>
        <w:rPr>
          <w:rFonts w:hint="eastAsia"/>
          <w:color w:val="auto"/>
          <w:szCs w:val="24"/>
          <w:lang w:val="en-US" w:eastAsia="zh-CN"/>
        </w:rPr>
        <w:t>将军社区居民，东侧，170~200m</w:t>
      </w:r>
      <w:r>
        <w:rPr>
          <w:rFonts w:hint="eastAsia"/>
          <w:color w:val="auto"/>
          <w:szCs w:val="24"/>
          <w:lang w:eastAsia="zh-CN"/>
        </w:rPr>
        <w:t>），因此拟建项目声环境影响预测主要包括</w:t>
      </w:r>
      <w:r>
        <w:rPr>
          <w:rFonts w:hint="eastAsia"/>
          <w:color w:val="auto"/>
          <w:szCs w:val="24"/>
        </w:rPr>
        <w:t>厂界噪声预测</w:t>
      </w:r>
      <w:r>
        <w:rPr>
          <w:rFonts w:hint="eastAsia"/>
          <w:color w:val="auto"/>
          <w:szCs w:val="24"/>
          <w:lang w:eastAsia="zh-CN"/>
        </w:rPr>
        <w:t>和声环境保护目标处影响预测。</w:t>
      </w:r>
    </w:p>
    <w:p w14:paraId="087C2EB5">
      <w:pPr>
        <w:spacing w:line="360" w:lineRule="auto"/>
        <w:ind w:firstLine="480"/>
        <w:rPr>
          <w:rFonts w:hint="eastAsia" w:eastAsia="宋体"/>
          <w:color w:val="auto"/>
          <w:szCs w:val="24"/>
          <w:lang w:eastAsia="zh-CN"/>
        </w:rPr>
      </w:pPr>
      <w:r>
        <w:rPr>
          <w:rFonts w:hint="eastAsia"/>
          <w:color w:val="auto"/>
          <w:szCs w:val="24"/>
        </w:rPr>
        <w:t>根据上述公式，拟建项目厂界噪声预测结果详见表6.</w:t>
      </w:r>
      <w:r>
        <w:rPr>
          <w:color w:val="auto"/>
          <w:szCs w:val="24"/>
        </w:rPr>
        <w:t>4-2</w:t>
      </w:r>
      <w:r>
        <w:rPr>
          <w:rFonts w:hint="eastAsia"/>
          <w:color w:val="auto"/>
          <w:szCs w:val="24"/>
          <w:lang w:eastAsia="zh-CN"/>
        </w:rPr>
        <w:t>，声环境保护目标处影响预测</w:t>
      </w:r>
      <w:r>
        <w:rPr>
          <w:rFonts w:hint="eastAsia"/>
          <w:color w:val="auto"/>
          <w:szCs w:val="24"/>
        </w:rPr>
        <w:t>表6.</w:t>
      </w:r>
      <w:r>
        <w:rPr>
          <w:color w:val="auto"/>
          <w:szCs w:val="24"/>
        </w:rPr>
        <w:t>4-</w:t>
      </w:r>
      <w:r>
        <w:rPr>
          <w:rFonts w:hint="eastAsia"/>
          <w:color w:val="auto"/>
          <w:szCs w:val="24"/>
          <w:lang w:val="en-US" w:eastAsia="zh-CN"/>
        </w:rPr>
        <w:t>3</w:t>
      </w:r>
      <w:r>
        <w:rPr>
          <w:rFonts w:hint="eastAsia"/>
          <w:color w:val="auto"/>
          <w:szCs w:val="24"/>
        </w:rPr>
        <w:t>。</w:t>
      </w:r>
    </w:p>
    <w:p w14:paraId="01C98891">
      <w:pPr>
        <w:spacing w:line="360" w:lineRule="auto"/>
        <w:ind w:firstLine="482"/>
        <w:jc w:val="center"/>
        <w:rPr>
          <w:b/>
          <w:bCs/>
          <w:color w:val="auto"/>
          <w:szCs w:val="24"/>
        </w:rPr>
      </w:pPr>
      <w:r>
        <w:rPr>
          <w:b/>
          <w:bCs/>
          <w:color w:val="auto"/>
          <w:szCs w:val="24"/>
        </w:rPr>
        <w:t>表6.4-2</w:t>
      </w:r>
      <w:r>
        <w:rPr>
          <w:rFonts w:hint="eastAsia"/>
          <w:b/>
          <w:bCs/>
          <w:color w:val="auto"/>
          <w:szCs w:val="24"/>
        </w:rPr>
        <w:t xml:space="preserve">  </w:t>
      </w:r>
      <w:r>
        <w:rPr>
          <w:b/>
          <w:bCs/>
          <w:color w:val="auto"/>
          <w:szCs w:val="24"/>
        </w:rPr>
        <w:t>运营期厂界噪声排放预测结果</w:t>
      </w:r>
      <w:r>
        <w:rPr>
          <w:rFonts w:hint="eastAsia"/>
          <w:b/>
          <w:bCs/>
          <w:color w:val="auto"/>
          <w:szCs w:val="24"/>
        </w:rPr>
        <w:t xml:space="preserve">  </w:t>
      </w:r>
      <w:r>
        <w:rPr>
          <w:b/>
          <w:bCs/>
          <w:color w:val="auto"/>
          <w:szCs w:val="24"/>
        </w:rPr>
        <w:t>单位：dB(A)</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365"/>
        <w:gridCol w:w="1955"/>
        <w:gridCol w:w="1485"/>
        <w:gridCol w:w="1253"/>
        <w:gridCol w:w="1373"/>
        <w:gridCol w:w="884"/>
        <w:gridCol w:w="869"/>
      </w:tblGrid>
      <w:tr w14:paraId="75E13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743" w:type="pct"/>
            <w:vMerge w:val="restart"/>
            <w:vAlign w:val="center"/>
          </w:tcPr>
          <w:p w14:paraId="1635F87B">
            <w:pPr>
              <w:pStyle w:val="3361"/>
              <w:rPr>
                <w:color w:val="auto"/>
              </w:rPr>
            </w:pPr>
            <w:r>
              <w:rPr>
                <w:rFonts w:hint="eastAsia"/>
                <w:color w:val="auto"/>
              </w:rPr>
              <w:t>名称</w:t>
            </w:r>
          </w:p>
        </w:tc>
        <w:tc>
          <w:tcPr>
            <w:tcW w:w="1872" w:type="pct"/>
            <w:gridSpan w:val="2"/>
            <w:vAlign w:val="center"/>
          </w:tcPr>
          <w:p w14:paraId="700945DB">
            <w:pPr>
              <w:pStyle w:val="3361"/>
              <w:rPr>
                <w:color w:val="auto"/>
              </w:rPr>
            </w:pPr>
            <w:r>
              <w:rPr>
                <w:rFonts w:hint="eastAsia"/>
                <w:color w:val="auto"/>
              </w:rPr>
              <w:t>贡献值</w:t>
            </w:r>
          </w:p>
        </w:tc>
        <w:tc>
          <w:tcPr>
            <w:tcW w:w="1429" w:type="pct"/>
            <w:gridSpan w:val="2"/>
            <w:vAlign w:val="center"/>
          </w:tcPr>
          <w:p w14:paraId="346D6806">
            <w:pPr>
              <w:pStyle w:val="3361"/>
              <w:rPr>
                <w:rFonts w:hint="eastAsia" w:eastAsia="宋体"/>
                <w:color w:val="auto"/>
                <w:lang w:eastAsia="zh-CN"/>
              </w:rPr>
            </w:pPr>
            <w:r>
              <w:rPr>
                <w:rFonts w:hint="eastAsia"/>
                <w:color w:val="auto"/>
                <w:lang w:eastAsia="zh-CN"/>
              </w:rPr>
              <w:t>标准值</w:t>
            </w:r>
          </w:p>
        </w:tc>
        <w:tc>
          <w:tcPr>
            <w:tcW w:w="954" w:type="pct"/>
            <w:gridSpan w:val="2"/>
            <w:vAlign w:val="center"/>
          </w:tcPr>
          <w:p w14:paraId="41B5E4FC">
            <w:pPr>
              <w:pStyle w:val="3361"/>
              <w:rPr>
                <w:color w:val="auto"/>
              </w:rPr>
            </w:pPr>
            <w:r>
              <w:rPr>
                <w:rFonts w:hint="eastAsia"/>
                <w:color w:val="auto"/>
              </w:rPr>
              <w:t>达标情况</w:t>
            </w:r>
          </w:p>
        </w:tc>
      </w:tr>
      <w:tr w14:paraId="14BC8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743" w:type="pct"/>
            <w:vMerge w:val="continue"/>
            <w:vAlign w:val="center"/>
          </w:tcPr>
          <w:p w14:paraId="4D07D9B9">
            <w:pPr>
              <w:pStyle w:val="3361"/>
              <w:rPr>
                <w:color w:val="auto"/>
              </w:rPr>
            </w:pPr>
          </w:p>
        </w:tc>
        <w:tc>
          <w:tcPr>
            <w:tcW w:w="1064" w:type="pct"/>
            <w:vAlign w:val="center"/>
          </w:tcPr>
          <w:p w14:paraId="55832AD2">
            <w:pPr>
              <w:pStyle w:val="3361"/>
              <w:rPr>
                <w:color w:val="auto"/>
              </w:rPr>
            </w:pPr>
            <w:r>
              <w:rPr>
                <w:rFonts w:hint="eastAsia"/>
                <w:color w:val="auto"/>
              </w:rPr>
              <w:t>昼间</w:t>
            </w:r>
          </w:p>
        </w:tc>
        <w:tc>
          <w:tcPr>
            <w:tcW w:w="808" w:type="pct"/>
            <w:vAlign w:val="center"/>
          </w:tcPr>
          <w:p w14:paraId="1D8BCC3B">
            <w:pPr>
              <w:pStyle w:val="3361"/>
              <w:rPr>
                <w:color w:val="auto"/>
              </w:rPr>
            </w:pPr>
            <w:r>
              <w:rPr>
                <w:rFonts w:hint="eastAsia"/>
                <w:color w:val="auto"/>
              </w:rPr>
              <w:t>夜间</w:t>
            </w:r>
          </w:p>
        </w:tc>
        <w:tc>
          <w:tcPr>
            <w:tcW w:w="682" w:type="pct"/>
            <w:vAlign w:val="center"/>
          </w:tcPr>
          <w:p w14:paraId="691305CF">
            <w:pPr>
              <w:pStyle w:val="3361"/>
              <w:rPr>
                <w:color w:val="auto"/>
              </w:rPr>
            </w:pPr>
            <w:r>
              <w:rPr>
                <w:rFonts w:hint="eastAsia"/>
                <w:color w:val="auto"/>
              </w:rPr>
              <w:t>昼间</w:t>
            </w:r>
          </w:p>
        </w:tc>
        <w:tc>
          <w:tcPr>
            <w:tcW w:w="747" w:type="pct"/>
            <w:vAlign w:val="center"/>
          </w:tcPr>
          <w:p w14:paraId="205A0929">
            <w:pPr>
              <w:pStyle w:val="3361"/>
              <w:rPr>
                <w:color w:val="auto"/>
              </w:rPr>
            </w:pPr>
            <w:r>
              <w:rPr>
                <w:rFonts w:hint="eastAsia"/>
                <w:color w:val="auto"/>
              </w:rPr>
              <w:t>夜间</w:t>
            </w:r>
          </w:p>
        </w:tc>
        <w:tc>
          <w:tcPr>
            <w:tcW w:w="481" w:type="pct"/>
            <w:vAlign w:val="center"/>
          </w:tcPr>
          <w:p w14:paraId="4047BC51">
            <w:pPr>
              <w:pStyle w:val="3361"/>
              <w:rPr>
                <w:color w:val="auto"/>
              </w:rPr>
            </w:pPr>
            <w:r>
              <w:rPr>
                <w:rFonts w:hint="eastAsia"/>
                <w:color w:val="auto"/>
              </w:rPr>
              <w:t>昼间</w:t>
            </w:r>
          </w:p>
        </w:tc>
        <w:tc>
          <w:tcPr>
            <w:tcW w:w="473" w:type="pct"/>
            <w:vAlign w:val="center"/>
          </w:tcPr>
          <w:p w14:paraId="253FCD07">
            <w:pPr>
              <w:pStyle w:val="3361"/>
              <w:rPr>
                <w:color w:val="auto"/>
              </w:rPr>
            </w:pPr>
            <w:r>
              <w:rPr>
                <w:rFonts w:hint="eastAsia"/>
                <w:color w:val="auto"/>
              </w:rPr>
              <w:t>夜间</w:t>
            </w:r>
          </w:p>
        </w:tc>
      </w:tr>
      <w:tr w14:paraId="6A806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743" w:type="pct"/>
            <w:vAlign w:val="center"/>
          </w:tcPr>
          <w:p w14:paraId="757B7A72">
            <w:pPr>
              <w:pStyle w:val="276"/>
              <w:rPr>
                <w:color w:val="auto"/>
              </w:rPr>
            </w:pPr>
            <w:r>
              <w:rPr>
                <w:rFonts w:hint="eastAsia"/>
                <w:color w:val="auto"/>
                <w:lang w:eastAsia="zh-CN"/>
              </w:rPr>
              <w:t>东</w:t>
            </w:r>
            <w:r>
              <w:rPr>
                <w:rFonts w:hint="eastAsia"/>
                <w:color w:val="auto"/>
              </w:rPr>
              <w:t>厂界</w:t>
            </w:r>
          </w:p>
        </w:tc>
        <w:tc>
          <w:tcPr>
            <w:tcW w:w="1064" w:type="pct"/>
            <w:vAlign w:val="center"/>
          </w:tcPr>
          <w:p w14:paraId="7D5B5308">
            <w:pPr>
              <w:pStyle w:val="276"/>
              <w:rPr>
                <w:rFonts w:hint="default" w:eastAsia="宋体"/>
                <w:color w:val="auto"/>
                <w:lang w:val="en-US" w:eastAsia="zh-CN"/>
              </w:rPr>
            </w:pPr>
            <w:r>
              <w:rPr>
                <w:rFonts w:hint="eastAsia"/>
                <w:color w:val="auto"/>
                <w:lang w:val="en-US" w:eastAsia="zh-CN"/>
              </w:rPr>
              <w:t>52.3</w:t>
            </w:r>
          </w:p>
        </w:tc>
        <w:tc>
          <w:tcPr>
            <w:tcW w:w="808" w:type="pct"/>
            <w:vAlign w:val="center"/>
          </w:tcPr>
          <w:p w14:paraId="52991307">
            <w:pPr>
              <w:pStyle w:val="276"/>
              <w:rPr>
                <w:rFonts w:hint="default" w:eastAsia="宋体"/>
                <w:color w:val="auto"/>
                <w:lang w:val="en-US" w:eastAsia="zh-CN"/>
              </w:rPr>
            </w:pPr>
            <w:r>
              <w:rPr>
                <w:rFonts w:hint="eastAsia"/>
                <w:color w:val="auto"/>
                <w:lang w:val="en-US" w:eastAsia="zh-CN"/>
              </w:rPr>
              <w:t>51.3</w:t>
            </w:r>
          </w:p>
        </w:tc>
        <w:tc>
          <w:tcPr>
            <w:tcW w:w="682" w:type="pct"/>
            <w:vAlign w:val="center"/>
          </w:tcPr>
          <w:p w14:paraId="4EBEDAE6">
            <w:pPr>
              <w:pStyle w:val="3361"/>
              <w:rPr>
                <w:rFonts w:hint="default" w:eastAsia="宋体"/>
                <w:color w:val="auto"/>
                <w:lang w:val="en-US" w:eastAsia="zh-CN"/>
              </w:rPr>
            </w:pPr>
            <w:r>
              <w:rPr>
                <w:rFonts w:hint="eastAsia"/>
                <w:color w:val="auto"/>
                <w:lang w:val="en-US" w:eastAsia="zh-CN"/>
              </w:rPr>
              <w:t>65</w:t>
            </w:r>
          </w:p>
        </w:tc>
        <w:tc>
          <w:tcPr>
            <w:tcW w:w="747" w:type="pct"/>
            <w:vAlign w:val="center"/>
          </w:tcPr>
          <w:p w14:paraId="51F62680">
            <w:pPr>
              <w:pStyle w:val="3361"/>
              <w:rPr>
                <w:rFonts w:hint="default" w:eastAsia="宋体"/>
                <w:color w:val="auto"/>
                <w:lang w:val="en-US" w:eastAsia="zh-CN"/>
              </w:rPr>
            </w:pPr>
            <w:r>
              <w:rPr>
                <w:rFonts w:hint="eastAsia"/>
                <w:color w:val="auto"/>
                <w:lang w:val="en-US" w:eastAsia="zh-CN"/>
              </w:rPr>
              <w:t>55</w:t>
            </w:r>
          </w:p>
        </w:tc>
        <w:tc>
          <w:tcPr>
            <w:tcW w:w="481" w:type="pct"/>
            <w:vAlign w:val="center"/>
          </w:tcPr>
          <w:p w14:paraId="3895FC5C">
            <w:pPr>
              <w:pStyle w:val="3361"/>
              <w:rPr>
                <w:color w:val="auto"/>
              </w:rPr>
            </w:pPr>
            <w:r>
              <w:rPr>
                <w:rFonts w:hint="eastAsia"/>
                <w:color w:val="auto"/>
              </w:rPr>
              <w:t>达标</w:t>
            </w:r>
          </w:p>
        </w:tc>
        <w:tc>
          <w:tcPr>
            <w:tcW w:w="473" w:type="pct"/>
            <w:vAlign w:val="center"/>
          </w:tcPr>
          <w:p w14:paraId="596C0F80">
            <w:pPr>
              <w:pStyle w:val="3361"/>
              <w:rPr>
                <w:color w:val="auto"/>
              </w:rPr>
            </w:pPr>
            <w:r>
              <w:rPr>
                <w:rFonts w:hint="eastAsia"/>
                <w:color w:val="auto"/>
              </w:rPr>
              <w:t>达标</w:t>
            </w:r>
          </w:p>
        </w:tc>
      </w:tr>
      <w:tr w14:paraId="023A7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743" w:type="pct"/>
            <w:vAlign w:val="center"/>
          </w:tcPr>
          <w:p w14:paraId="694218F5">
            <w:pPr>
              <w:pStyle w:val="276"/>
              <w:rPr>
                <w:color w:val="auto"/>
              </w:rPr>
            </w:pPr>
            <w:r>
              <w:rPr>
                <w:rFonts w:hint="eastAsia"/>
                <w:color w:val="auto"/>
                <w:lang w:eastAsia="zh-CN"/>
              </w:rPr>
              <w:t>北</w:t>
            </w:r>
            <w:r>
              <w:rPr>
                <w:rFonts w:hint="eastAsia"/>
                <w:color w:val="auto"/>
              </w:rPr>
              <w:t>厂界</w:t>
            </w:r>
          </w:p>
        </w:tc>
        <w:tc>
          <w:tcPr>
            <w:tcW w:w="1064" w:type="pct"/>
            <w:vAlign w:val="center"/>
          </w:tcPr>
          <w:p w14:paraId="2E3D2116">
            <w:pPr>
              <w:pStyle w:val="276"/>
              <w:rPr>
                <w:rFonts w:hint="default" w:eastAsia="宋体"/>
                <w:color w:val="auto"/>
                <w:lang w:val="en-US" w:eastAsia="zh-CN"/>
              </w:rPr>
            </w:pPr>
            <w:r>
              <w:rPr>
                <w:rFonts w:hint="eastAsia"/>
                <w:color w:val="auto"/>
                <w:lang w:val="en-US" w:eastAsia="zh-CN"/>
              </w:rPr>
              <w:t>48.6</w:t>
            </w:r>
          </w:p>
        </w:tc>
        <w:tc>
          <w:tcPr>
            <w:tcW w:w="808" w:type="pct"/>
            <w:vAlign w:val="center"/>
          </w:tcPr>
          <w:p w14:paraId="112AEA70">
            <w:pPr>
              <w:pStyle w:val="276"/>
              <w:rPr>
                <w:rFonts w:hint="default" w:eastAsia="宋体"/>
                <w:color w:val="auto"/>
                <w:lang w:val="en-US" w:eastAsia="zh-CN"/>
              </w:rPr>
            </w:pPr>
            <w:r>
              <w:rPr>
                <w:rFonts w:hint="eastAsia"/>
                <w:color w:val="auto"/>
                <w:lang w:val="en-US" w:eastAsia="zh-CN"/>
              </w:rPr>
              <w:t>48.6</w:t>
            </w:r>
          </w:p>
        </w:tc>
        <w:tc>
          <w:tcPr>
            <w:tcW w:w="682" w:type="pct"/>
            <w:shd w:val="clear" w:color="auto" w:fill="auto"/>
            <w:vAlign w:val="center"/>
          </w:tcPr>
          <w:p w14:paraId="0B86C933">
            <w:pPr>
              <w:pStyle w:val="3361"/>
              <w:ind w:firstLine="0" w:firstLineChars="0"/>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65</w:t>
            </w:r>
          </w:p>
        </w:tc>
        <w:tc>
          <w:tcPr>
            <w:tcW w:w="747" w:type="pct"/>
            <w:shd w:val="clear" w:color="auto" w:fill="auto"/>
            <w:vAlign w:val="center"/>
          </w:tcPr>
          <w:p w14:paraId="3029EFB8">
            <w:pPr>
              <w:pStyle w:val="3361"/>
              <w:ind w:firstLine="0" w:firstLineChars="0"/>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55</w:t>
            </w:r>
          </w:p>
        </w:tc>
        <w:tc>
          <w:tcPr>
            <w:tcW w:w="481" w:type="pct"/>
            <w:shd w:val="clear" w:color="auto" w:fill="auto"/>
            <w:vAlign w:val="center"/>
          </w:tcPr>
          <w:p w14:paraId="4BC251A9">
            <w:pPr>
              <w:pStyle w:val="3361"/>
              <w:ind w:firstLine="0" w:firstLineChars="0"/>
              <w:rPr>
                <w:rFonts w:ascii="Times New Roman" w:hAnsi="Times New Roman" w:eastAsia="宋体" w:cs="Times New Roman"/>
                <w:color w:val="auto"/>
                <w:kern w:val="2"/>
                <w:sz w:val="21"/>
                <w:szCs w:val="21"/>
                <w:lang w:val="zh-CN" w:eastAsia="zh-CN" w:bidi="ar-SA"/>
              </w:rPr>
            </w:pPr>
            <w:r>
              <w:rPr>
                <w:rFonts w:hint="eastAsia"/>
                <w:color w:val="auto"/>
              </w:rPr>
              <w:t>达标</w:t>
            </w:r>
          </w:p>
        </w:tc>
        <w:tc>
          <w:tcPr>
            <w:tcW w:w="473" w:type="pct"/>
            <w:shd w:val="clear" w:color="auto" w:fill="auto"/>
            <w:vAlign w:val="center"/>
          </w:tcPr>
          <w:p w14:paraId="42F3D8D0">
            <w:pPr>
              <w:pStyle w:val="3361"/>
              <w:ind w:firstLine="0" w:firstLineChars="0"/>
              <w:rPr>
                <w:rFonts w:ascii="Times New Roman" w:hAnsi="Times New Roman" w:eastAsia="宋体" w:cs="Times New Roman"/>
                <w:color w:val="auto"/>
                <w:kern w:val="2"/>
                <w:sz w:val="21"/>
                <w:szCs w:val="21"/>
                <w:lang w:val="zh-CN" w:eastAsia="zh-CN" w:bidi="ar-SA"/>
              </w:rPr>
            </w:pPr>
            <w:r>
              <w:rPr>
                <w:rFonts w:hint="eastAsia"/>
                <w:color w:val="auto"/>
              </w:rPr>
              <w:t>达标</w:t>
            </w:r>
          </w:p>
        </w:tc>
      </w:tr>
      <w:tr w14:paraId="6BC07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743" w:type="pct"/>
            <w:vAlign w:val="center"/>
          </w:tcPr>
          <w:p w14:paraId="6C634200">
            <w:pPr>
              <w:pStyle w:val="276"/>
              <w:rPr>
                <w:rFonts w:hint="eastAsia" w:eastAsia="宋体"/>
                <w:color w:val="auto"/>
                <w:lang w:eastAsia="zh-CN"/>
              </w:rPr>
            </w:pPr>
            <w:r>
              <w:rPr>
                <w:rFonts w:hint="eastAsia"/>
                <w:color w:val="auto"/>
                <w:lang w:eastAsia="zh-CN"/>
              </w:rPr>
              <w:t>南厂界</w:t>
            </w:r>
          </w:p>
        </w:tc>
        <w:tc>
          <w:tcPr>
            <w:tcW w:w="1064" w:type="pct"/>
            <w:vAlign w:val="center"/>
          </w:tcPr>
          <w:p w14:paraId="7CBF8469">
            <w:pPr>
              <w:pStyle w:val="276"/>
              <w:rPr>
                <w:rFonts w:hint="default" w:eastAsia="宋体"/>
                <w:color w:val="auto"/>
                <w:lang w:val="en-US" w:eastAsia="zh-CN"/>
              </w:rPr>
            </w:pPr>
            <w:r>
              <w:rPr>
                <w:rFonts w:hint="eastAsia"/>
                <w:color w:val="auto"/>
                <w:lang w:val="en-US" w:eastAsia="zh-CN"/>
              </w:rPr>
              <w:t>42.5</w:t>
            </w:r>
          </w:p>
        </w:tc>
        <w:tc>
          <w:tcPr>
            <w:tcW w:w="808" w:type="pct"/>
            <w:vAlign w:val="center"/>
          </w:tcPr>
          <w:p w14:paraId="355F78F0">
            <w:pPr>
              <w:pStyle w:val="276"/>
              <w:rPr>
                <w:rFonts w:hint="eastAsia"/>
                <w:color w:val="auto"/>
              </w:rPr>
            </w:pPr>
            <w:r>
              <w:rPr>
                <w:rFonts w:hint="eastAsia"/>
                <w:color w:val="auto"/>
                <w:lang w:val="en-US" w:eastAsia="zh-CN"/>
              </w:rPr>
              <w:t>42.5</w:t>
            </w:r>
          </w:p>
        </w:tc>
        <w:tc>
          <w:tcPr>
            <w:tcW w:w="682" w:type="pct"/>
            <w:shd w:val="clear" w:color="auto" w:fill="auto"/>
            <w:vAlign w:val="center"/>
          </w:tcPr>
          <w:p w14:paraId="0B4E08C9">
            <w:pPr>
              <w:pStyle w:val="3361"/>
              <w:ind w:firstLine="0" w:firstLineChars="0"/>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65</w:t>
            </w:r>
          </w:p>
        </w:tc>
        <w:tc>
          <w:tcPr>
            <w:tcW w:w="747" w:type="pct"/>
            <w:shd w:val="clear" w:color="auto" w:fill="auto"/>
            <w:vAlign w:val="center"/>
          </w:tcPr>
          <w:p w14:paraId="51E6F356">
            <w:pPr>
              <w:pStyle w:val="3361"/>
              <w:ind w:firstLine="0" w:firstLineChars="0"/>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55</w:t>
            </w:r>
          </w:p>
        </w:tc>
        <w:tc>
          <w:tcPr>
            <w:tcW w:w="481" w:type="pct"/>
            <w:shd w:val="clear" w:color="auto" w:fill="auto"/>
            <w:vAlign w:val="center"/>
          </w:tcPr>
          <w:p w14:paraId="07FEB05D">
            <w:pPr>
              <w:pStyle w:val="3361"/>
              <w:ind w:firstLine="0" w:firstLineChars="0"/>
              <w:rPr>
                <w:rFonts w:hint="eastAsia" w:ascii="Times New Roman" w:hAnsi="Times New Roman" w:eastAsia="宋体" w:cs="Times New Roman"/>
                <w:color w:val="auto"/>
                <w:kern w:val="2"/>
                <w:sz w:val="21"/>
                <w:szCs w:val="21"/>
                <w:lang w:val="zh-CN" w:eastAsia="zh-CN" w:bidi="ar-SA"/>
              </w:rPr>
            </w:pPr>
            <w:r>
              <w:rPr>
                <w:rFonts w:hint="eastAsia"/>
                <w:color w:val="auto"/>
              </w:rPr>
              <w:t>达标</w:t>
            </w:r>
          </w:p>
        </w:tc>
        <w:tc>
          <w:tcPr>
            <w:tcW w:w="473" w:type="pct"/>
            <w:shd w:val="clear" w:color="auto" w:fill="auto"/>
            <w:vAlign w:val="center"/>
          </w:tcPr>
          <w:p w14:paraId="7E17761E">
            <w:pPr>
              <w:pStyle w:val="3361"/>
              <w:ind w:firstLine="0" w:firstLineChars="0"/>
              <w:rPr>
                <w:rFonts w:hint="eastAsia" w:ascii="Times New Roman" w:hAnsi="Times New Roman" w:eastAsia="宋体" w:cs="Times New Roman"/>
                <w:color w:val="auto"/>
                <w:kern w:val="2"/>
                <w:sz w:val="21"/>
                <w:szCs w:val="21"/>
                <w:lang w:val="zh-CN" w:eastAsia="zh-CN" w:bidi="ar-SA"/>
              </w:rPr>
            </w:pPr>
            <w:r>
              <w:rPr>
                <w:rFonts w:hint="eastAsia"/>
                <w:color w:val="auto"/>
              </w:rPr>
              <w:t>达标</w:t>
            </w:r>
          </w:p>
        </w:tc>
      </w:tr>
    </w:tbl>
    <w:p w14:paraId="3F7C082F">
      <w:pPr>
        <w:spacing w:line="360" w:lineRule="auto"/>
        <w:ind w:firstLine="480"/>
        <w:rPr>
          <w:color w:val="auto"/>
          <w:szCs w:val="24"/>
        </w:rPr>
      </w:pPr>
    </w:p>
    <w:p w14:paraId="4C41BC0E">
      <w:pPr>
        <w:spacing w:line="360" w:lineRule="auto"/>
        <w:ind w:firstLine="482"/>
        <w:jc w:val="center"/>
        <w:rPr>
          <w:b/>
          <w:bCs/>
          <w:color w:val="auto"/>
          <w:szCs w:val="24"/>
        </w:rPr>
      </w:pPr>
      <w:r>
        <w:rPr>
          <w:b/>
          <w:bCs/>
          <w:color w:val="auto"/>
          <w:szCs w:val="24"/>
        </w:rPr>
        <w:t>表6.4-</w:t>
      </w:r>
      <w:r>
        <w:rPr>
          <w:rFonts w:hint="eastAsia"/>
          <w:b/>
          <w:bCs/>
          <w:color w:val="auto"/>
          <w:szCs w:val="24"/>
          <w:lang w:val="en-US" w:eastAsia="zh-CN"/>
        </w:rPr>
        <w:t>3</w:t>
      </w:r>
      <w:r>
        <w:rPr>
          <w:rFonts w:hint="eastAsia"/>
          <w:b/>
          <w:bCs/>
          <w:color w:val="auto"/>
          <w:szCs w:val="24"/>
        </w:rPr>
        <w:t xml:space="preserve">  </w:t>
      </w:r>
      <w:r>
        <w:rPr>
          <w:rFonts w:hint="eastAsia"/>
          <w:b/>
          <w:bCs/>
          <w:color w:val="auto"/>
          <w:szCs w:val="24"/>
          <w:lang w:eastAsia="zh-CN"/>
        </w:rPr>
        <w:t>声环境保护目标影响</w:t>
      </w:r>
      <w:r>
        <w:rPr>
          <w:b/>
          <w:bCs/>
          <w:color w:val="auto"/>
          <w:szCs w:val="24"/>
        </w:rPr>
        <w:t>预测结果</w:t>
      </w:r>
      <w:r>
        <w:rPr>
          <w:rFonts w:hint="eastAsia"/>
          <w:b/>
          <w:bCs/>
          <w:color w:val="auto"/>
          <w:szCs w:val="24"/>
        </w:rPr>
        <w:t xml:space="preserve">  </w:t>
      </w:r>
      <w:r>
        <w:rPr>
          <w:b/>
          <w:bCs/>
          <w:color w:val="auto"/>
          <w:szCs w:val="24"/>
        </w:rPr>
        <w:t>单位：dB(A)</w:t>
      </w:r>
    </w:p>
    <w:tbl>
      <w:tblPr>
        <w:tblStyle w:val="8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860"/>
        <w:gridCol w:w="1142"/>
        <w:gridCol w:w="904"/>
        <w:gridCol w:w="845"/>
        <w:gridCol w:w="972"/>
        <w:gridCol w:w="867"/>
        <w:gridCol w:w="803"/>
        <w:gridCol w:w="795"/>
        <w:gridCol w:w="874"/>
        <w:gridCol w:w="562"/>
        <w:gridCol w:w="553"/>
      </w:tblGrid>
      <w:tr w14:paraId="7C19E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468" w:type="pct"/>
            <w:vMerge w:val="restart"/>
            <w:vAlign w:val="center"/>
          </w:tcPr>
          <w:p w14:paraId="7A579588">
            <w:pPr>
              <w:pStyle w:val="3361"/>
              <w:rPr>
                <w:color w:val="auto"/>
              </w:rPr>
            </w:pPr>
            <w:r>
              <w:rPr>
                <w:rFonts w:hint="eastAsia"/>
                <w:color w:val="auto"/>
              </w:rPr>
              <w:t>名称</w:t>
            </w:r>
          </w:p>
        </w:tc>
        <w:tc>
          <w:tcPr>
            <w:tcW w:w="1114" w:type="pct"/>
            <w:gridSpan w:val="2"/>
            <w:vAlign w:val="center"/>
          </w:tcPr>
          <w:p w14:paraId="3672C955">
            <w:pPr>
              <w:pStyle w:val="3361"/>
              <w:rPr>
                <w:color w:val="auto"/>
              </w:rPr>
            </w:pPr>
            <w:r>
              <w:rPr>
                <w:rFonts w:hint="eastAsia"/>
                <w:color w:val="auto"/>
              </w:rPr>
              <w:t>贡献值</w:t>
            </w:r>
          </w:p>
        </w:tc>
        <w:tc>
          <w:tcPr>
            <w:tcW w:w="989" w:type="pct"/>
            <w:gridSpan w:val="2"/>
            <w:vAlign w:val="center"/>
          </w:tcPr>
          <w:p w14:paraId="69826E49">
            <w:pPr>
              <w:pStyle w:val="3361"/>
              <w:rPr>
                <w:rFonts w:hint="eastAsia" w:eastAsia="宋体"/>
                <w:color w:val="auto"/>
                <w:lang w:eastAsia="zh-CN"/>
              </w:rPr>
            </w:pPr>
            <w:r>
              <w:rPr>
                <w:rFonts w:hint="eastAsia"/>
                <w:color w:val="auto"/>
                <w:lang w:eastAsia="zh-CN"/>
              </w:rPr>
              <w:t>现状监测值</w:t>
            </w:r>
          </w:p>
        </w:tc>
        <w:tc>
          <w:tcPr>
            <w:tcW w:w="909" w:type="pct"/>
            <w:gridSpan w:val="2"/>
            <w:vAlign w:val="center"/>
          </w:tcPr>
          <w:p w14:paraId="18C69A95">
            <w:pPr>
              <w:pStyle w:val="3361"/>
              <w:rPr>
                <w:rFonts w:hint="eastAsia" w:eastAsia="宋体"/>
                <w:color w:val="auto"/>
                <w:lang w:eastAsia="zh-CN"/>
              </w:rPr>
            </w:pPr>
            <w:r>
              <w:rPr>
                <w:rFonts w:hint="eastAsia"/>
                <w:color w:val="auto"/>
                <w:lang w:eastAsia="zh-CN"/>
              </w:rPr>
              <w:t>叠加影响值</w:t>
            </w:r>
          </w:p>
        </w:tc>
        <w:tc>
          <w:tcPr>
            <w:tcW w:w="909" w:type="pct"/>
            <w:gridSpan w:val="2"/>
            <w:vAlign w:val="center"/>
          </w:tcPr>
          <w:p w14:paraId="1C8A87F0">
            <w:pPr>
              <w:pStyle w:val="3361"/>
              <w:rPr>
                <w:rFonts w:hint="eastAsia" w:eastAsia="宋体"/>
                <w:color w:val="auto"/>
                <w:lang w:eastAsia="zh-CN"/>
              </w:rPr>
            </w:pPr>
            <w:r>
              <w:rPr>
                <w:rFonts w:hint="eastAsia"/>
                <w:color w:val="auto"/>
                <w:lang w:eastAsia="zh-CN"/>
              </w:rPr>
              <w:t>标准值</w:t>
            </w:r>
          </w:p>
        </w:tc>
        <w:tc>
          <w:tcPr>
            <w:tcW w:w="607" w:type="pct"/>
            <w:gridSpan w:val="2"/>
            <w:vAlign w:val="center"/>
          </w:tcPr>
          <w:p w14:paraId="2ACBDCB0">
            <w:pPr>
              <w:pStyle w:val="3361"/>
              <w:rPr>
                <w:color w:val="auto"/>
              </w:rPr>
            </w:pPr>
            <w:r>
              <w:rPr>
                <w:rFonts w:hint="eastAsia"/>
                <w:color w:val="auto"/>
              </w:rPr>
              <w:t>达标情况</w:t>
            </w:r>
          </w:p>
        </w:tc>
      </w:tr>
      <w:tr w14:paraId="712DF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468" w:type="pct"/>
            <w:vMerge w:val="continue"/>
            <w:vAlign w:val="center"/>
          </w:tcPr>
          <w:p w14:paraId="50667F35">
            <w:pPr>
              <w:pStyle w:val="3361"/>
              <w:rPr>
                <w:color w:val="auto"/>
              </w:rPr>
            </w:pPr>
          </w:p>
        </w:tc>
        <w:tc>
          <w:tcPr>
            <w:tcW w:w="622" w:type="pct"/>
            <w:vAlign w:val="center"/>
          </w:tcPr>
          <w:p w14:paraId="0D020E67">
            <w:pPr>
              <w:pStyle w:val="3361"/>
              <w:rPr>
                <w:color w:val="auto"/>
              </w:rPr>
            </w:pPr>
            <w:r>
              <w:rPr>
                <w:rFonts w:hint="eastAsia"/>
                <w:color w:val="auto"/>
              </w:rPr>
              <w:t>昼间</w:t>
            </w:r>
          </w:p>
        </w:tc>
        <w:tc>
          <w:tcPr>
            <w:tcW w:w="492" w:type="pct"/>
            <w:vAlign w:val="center"/>
          </w:tcPr>
          <w:p w14:paraId="689DAFC8">
            <w:pPr>
              <w:pStyle w:val="3361"/>
              <w:rPr>
                <w:color w:val="auto"/>
              </w:rPr>
            </w:pPr>
            <w:r>
              <w:rPr>
                <w:rFonts w:hint="eastAsia"/>
                <w:color w:val="auto"/>
              </w:rPr>
              <w:t>夜间</w:t>
            </w:r>
          </w:p>
        </w:tc>
        <w:tc>
          <w:tcPr>
            <w:tcW w:w="460" w:type="pct"/>
            <w:shd w:val="clear" w:color="auto" w:fill="auto"/>
            <w:vAlign w:val="center"/>
          </w:tcPr>
          <w:p w14:paraId="1F1B22C9">
            <w:pPr>
              <w:pStyle w:val="3361"/>
              <w:ind w:firstLine="0" w:firstLineChars="0"/>
              <w:rPr>
                <w:rFonts w:hint="eastAsia" w:ascii="Times New Roman" w:hAnsi="Times New Roman" w:eastAsia="宋体" w:cs="Times New Roman"/>
                <w:color w:val="auto"/>
                <w:kern w:val="2"/>
                <w:sz w:val="21"/>
                <w:szCs w:val="21"/>
                <w:lang w:val="zh-CN" w:eastAsia="zh-CN" w:bidi="ar-SA"/>
              </w:rPr>
            </w:pPr>
            <w:r>
              <w:rPr>
                <w:rFonts w:hint="eastAsia"/>
                <w:color w:val="auto"/>
              </w:rPr>
              <w:t>昼间</w:t>
            </w:r>
          </w:p>
        </w:tc>
        <w:tc>
          <w:tcPr>
            <w:tcW w:w="529" w:type="pct"/>
            <w:shd w:val="clear" w:color="auto" w:fill="auto"/>
            <w:vAlign w:val="center"/>
          </w:tcPr>
          <w:p w14:paraId="18592729">
            <w:pPr>
              <w:pStyle w:val="3361"/>
              <w:ind w:firstLine="0" w:firstLineChars="0"/>
              <w:rPr>
                <w:rFonts w:hint="eastAsia" w:ascii="Times New Roman" w:hAnsi="Times New Roman" w:eastAsia="宋体" w:cs="Times New Roman"/>
                <w:color w:val="auto"/>
                <w:kern w:val="2"/>
                <w:sz w:val="21"/>
                <w:szCs w:val="21"/>
                <w:lang w:val="zh-CN" w:eastAsia="zh-CN" w:bidi="ar-SA"/>
              </w:rPr>
            </w:pPr>
            <w:r>
              <w:rPr>
                <w:rFonts w:hint="eastAsia"/>
                <w:color w:val="auto"/>
              </w:rPr>
              <w:t>夜间</w:t>
            </w:r>
          </w:p>
        </w:tc>
        <w:tc>
          <w:tcPr>
            <w:tcW w:w="472" w:type="pct"/>
            <w:shd w:val="clear" w:color="auto" w:fill="auto"/>
            <w:vAlign w:val="center"/>
          </w:tcPr>
          <w:p w14:paraId="46DAA37F">
            <w:pPr>
              <w:pStyle w:val="3361"/>
              <w:ind w:firstLine="0" w:firstLineChars="0"/>
              <w:rPr>
                <w:rFonts w:hint="eastAsia" w:ascii="Times New Roman" w:hAnsi="Times New Roman" w:eastAsia="宋体" w:cs="Times New Roman"/>
                <w:color w:val="auto"/>
                <w:kern w:val="2"/>
                <w:sz w:val="21"/>
                <w:szCs w:val="21"/>
                <w:lang w:val="zh-CN" w:eastAsia="zh-CN" w:bidi="ar-SA"/>
              </w:rPr>
            </w:pPr>
            <w:r>
              <w:rPr>
                <w:rFonts w:hint="eastAsia"/>
                <w:color w:val="auto"/>
              </w:rPr>
              <w:t>昼间</w:t>
            </w:r>
          </w:p>
        </w:tc>
        <w:tc>
          <w:tcPr>
            <w:tcW w:w="437" w:type="pct"/>
            <w:shd w:val="clear" w:color="auto" w:fill="auto"/>
            <w:vAlign w:val="center"/>
          </w:tcPr>
          <w:p w14:paraId="660306DE">
            <w:pPr>
              <w:pStyle w:val="3361"/>
              <w:ind w:firstLine="0" w:firstLineChars="0"/>
              <w:rPr>
                <w:rFonts w:hint="eastAsia" w:ascii="Times New Roman" w:hAnsi="Times New Roman" w:eastAsia="宋体" w:cs="Times New Roman"/>
                <w:color w:val="auto"/>
                <w:kern w:val="2"/>
                <w:sz w:val="21"/>
                <w:szCs w:val="21"/>
                <w:lang w:val="zh-CN" w:eastAsia="zh-CN" w:bidi="ar-SA"/>
              </w:rPr>
            </w:pPr>
            <w:r>
              <w:rPr>
                <w:rFonts w:hint="eastAsia"/>
                <w:color w:val="auto"/>
              </w:rPr>
              <w:t>夜间</w:t>
            </w:r>
          </w:p>
        </w:tc>
        <w:tc>
          <w:tcPr>
            <w:tcW w:w="433" w:type="pct"/>
            <w:vAlign w:val="center"/>
          </w:tcPr>
          <w:p w14:paraId="0F0FFA5C">
            <w:pPr>
              <w:pStyle w:val="3361"/>
              <w:rPr>
                <w:color w:val="auto"/>
              </w:rPr>
            </w:pPr>
            <w:r>
              <w:rPr>
                <w:rFonts w:hint="eastAsia"/>
                <w:color w:val="auto"/>
              </w:rPr>
              <w:t>昼间</w:t>
            </w:r>
          </w:p>
        </w:tc>
        <w:tc>
          <w:tcPr>
            <w:tcW w:w="476" w:type="pct"/>
            <w:vAlign w:val="center"/>
          </w:tcPr>
          <w:p w14:paraId="1D41474B">
            <w:pPr>
              <w:pStyle w:val="3361"/>
              <w:rPr>
                <w:color w:val="auto"/>
              </w:rPr>
            </w:pPr>
            <w:r>
              <w:rPr>
                <w:rFonts w:hint="eastAsia"/>
                <w:color w:val="auto"/>
              </w:rPr>
              <w:t>夜间</w:t>
            </w:r>
          </w:p>
        </w:tc>
        <w:tc>
          <w:tcPr>
            <w:tcW w:w="306" w:type="pct"/>
            <w:vAlign w:val="center"/>
          </w:tcPr>
          <w:p w14:paraId="32ED0FCC">
            <w:pPr>
              <w:pStyle w:val="3361"/>
              <w:rPr>
                <w:color w:val="auto"/>
              </w:rPr>
            </w:pPr>
            <w:r>
              <w:rPr>
                <w:rFonts w:hint="eastAsia"/>
                <w:color w:val="auto"/>
              </w:rPr>
              <w:t>昼间</w:t>
            </w:r>
          </w:p>
        </w:tc>
        <w:tc>
          <w:tcPr>
            <w:tcW w:w="301" w:type="pct"/>
            <w:vAlign w:val="center"/>
          </w:tcPr>
          <w:p w14:paraId="2DC7E4C3">
            <w:pPr>
              <w:pStyle w:val="3361"/>
              <w:rPr>
                <w:color w:val="auto"/>
              </w:rPr>
            </w:pPr>
            <w:r>
              <w:rPr>
                <w:rFonts w:hint="eastAsia"/>
                <w:color w:val="auto"/>
              </w:rPr>
              <w:t>夜间</w:t>
            </w:r>
          </w:p>
        </w:tc>
      </w:tr>
      <w:tr w14:paraId="76A40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468" w:type="pct"/>
            <w:vAlign w:val="center"/>
          </w:tcPr>
          <w:p w14:paraId="2100420D">
            <w:pPr>
              <w:pStyle w:val="276"/>
              <w:rPr>
                <w:rFonts w:hint="eastAsia"/>
                <w:color w:val="auto"/>
                <w:lang w:eastAsia="zh-CN"/>
              </w:rPr>
            </w:pPr>
            <w:r>
              <w:rPr>
                <w:rFonts w:hint="eastAsia"/>
                <w:color w:val="auto"/>
                <w:lang w:eastAsia="zh-CN"/>
              </w:rPr>
              <w:t>将军社区居民</w:t>
            </w:r>
          </w:p>
        </w:tc>
        <w:tc>
          <w:tcPr>
            <w:tcW w:w="622" w:type="pct"/>
            <w:vAlign w:val="center"/>
          </w:tcPr>
          <w:p w14:paraId="0212C2DE">
            <w:pPr>
              <w:pStyle w:val="276"/>
              <w:rPr>
                <w:rFonts w:hint="default"/>
                <w:color w:val="auto"/>
                <w:lang w:val="en-US" w:eastAsia="zh-CN"/>
              </w:rPr>
            </w:pPr>
            <w:r>
              <w:rPr>
                <w:rFonts w:hint="eastAsia"/>
                <w:color w:val="auto"/>
                <w:lang w:val="en-US" w:eastAsia="zh-CN"/>
              </w:rPr>
              <w:t>32.6</w:t>
            </w:r>
          </w:p>
        </w:tc>
        <w:tc>
          <w:tcPr>
            <w:tcW w:w="492" w:type="pct"/>
            <w:vAlign w:val="center"/>
          </w:tcPr>
          <w:p w14:paraId="5D0843D8">
            <w:pPr>
              <w:pStyle w:val="276"/>
              <w:rPr>
                <w:rFonts w:hint="default"/>
                <w:color w:val="auto"/>
                <w:lang w:val="en-US" w:eastAsia="zh-CN"/>
              </w:rPr>
            </w:pPr>
            <w:r>
              <w:rPr>
                <w:rFonts w:hint="eastAsia"/>
                <w:color w:val="auto"/>
                <w:lang w:val="en-US" w:eastAsia="zh-CN"/>
              </w:rPr>
              <w:t>32.6</w:t>
            </w:r>
          </w:p>
        </w:tc>
        <w:tc>
          <w:tcPr>
            <w:tcW w:w="460" w:type="pct"/>
            <w:shd w:val="clear" w:color="auto" w:fill="auto"/>
            <w:vAlign w:val="center"/>
          </w:tcPr>
          <w:p w14:paraId="189B4B3C">
            <w:pPr>
              <w:pStyle w:val="276"/>
              <w:rPr>
                <w:rFonts w:hint="default"/>
                <w:color w:val="auto"/>
                <w:lang w:val="en-US" w:eastAsia="zh-CN"/>
              </w:rPr>
            </w:pPr>
            <w:r>
              <w:rPr>
                <w:rFonts w:hint="eastAsia"/>
                <w:color w:val="auto"/>
                <w:lang w:val="en-US" w:eastAsia="zh-CN"/>
              </w:rPr>
              <w:t>54</w:t>
            </w:r>
          </w:p>
        </w:tc>
        <w:tc>
          <w:tcPr>
            <w:tcW w:w="529" w:type="pct"/>
            <w:shd w:val="clear" w:color="auto" w:fill="auto"/>
            <w:vAlign w:val="center"/>
          </w:tcPr>
          <w:p w14:paraId="6BC91625">
            <w:pPr>
              <w:pStyle w:val="276"/>
              <w:rPr>
                <w:rFonts w:hint="default"/>
                <w:color w:val="auto"/>
                <w:lang w:val="en-US" w:eastAsia="zh-CN"/>
              </w:rPr>
            </w:pPr>
            <w:r>
              <w:rPr>
                <w:rFonts w:hint="eastAsia"/>
                <w:color w:val="auto"/>
                <w:lang w:val="en-US" w:eastAsia="zh-CN"/>
              </w:rPr>
              <w:t>47</w:t>
            </w:r>
          </w:p>
        </w:tc>
        <w:tc>
          <w:tcPr>
            <w:tcW w:w="472" w:type="pct"/>
            <w:shd w:val="clear" w:color="auto" w:fill="auto"/>
            <w:vAlign w:val="center"/>
          </w:tcPr>
          <w:p w14:paraId="60360723">
            <w:pPr>
              <w:pStyle w:val="276"/>
              <w:rPr>
                <w:rFonts w:hint="default"/>
                <w:color w:val="auto"/>
                <w:lang w:val="en-US" w:eastAsia="zh-CN"/>
              </w:rPr>
            </w:pPr>
            <w:r>
              <w:rPr>
                <w:rFonts w:hint="eastAsia"/>
                <w:color w:val="auto"/>
                <w:lang w:val="en-US" w:eastAsia="zh-CN"/>
              </w:rPr>
              <w:t>54.03</w:t>
            </w:r>
          </w:p>
        </w:tc>
        <w:tc>
          <w:tcPr>
            <w:tcW w:w="437" w:type="pct"/>
            <w:shd w:val="clear" w:color="auto" w:fill="auto"/>
            <w:vAlign w:val="center"/>
          </w:tcPr>
          <w:p w14:paraId="6EFBC1FD">
            <w:pPr>
              <w:pStyle w:val="276"/>
              <w:rPr>
                <w:rFonts w:hint="default"/>
                <w:color w:val="auto"/>
                <w:lang w:val="en-US" w:eastAsia="zh-CN"/>
              </w:rPr>
            </w:pPr>
            <w:r>
              <w:rPr>
                <w:rFonts w:hint="eastAsia"/>
                <w:color w:val="auto"/>
                <w:lang w:val="en-US" w:eastAsia="zh-CN"/>
              </w:rPr>
              <w:t>47.15</w:t>
            </w:r>
          </w:p>
        </w:tc>
        <w:tc>
          <w:tcPr>
            <w:tcW w:w="433" w:type="pct"/>
            <w:shd w:val="clear" w:color="auto" w:fill="auto"/>
            <w:vAlign w:val="center"/>
          </w:tcPr>
          <w:p w14:paraId="4F632972">
            <w:pPr>
              <w:pStyle w:val="3361"/>
              <w:ind w:firstLine="0" w:firstLineChars="0"/>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65</w:t>
            </w:r>
          </w:p>
        </w:tc>
        <w:tc>
          <w:tcPr>
            <w:tcW w:w="476" w:type="pct"/>
            <w:shd w:val="clear" w:color="auto" w:fill="auto"/>
            <w:vAlign w:val="center"/>
          </w:tcPr>
          <w:p w14:paraId="44B2C97A">
            <w:pPr>
              <w:pStyle w:val="3361"/>
              <w:ind w:firstLine="0" w:firstLineChars="0"/>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55</w:t>
            </w:r>
          </w:p>
        </w:tc>
        <w:tc>
          <w:tcPr>
            <w:tcW w:w="306" w:type="pct"/>
            <w:shd w:val="clear" w:color="auto" w:fill="auto"/>
            <w:vAlign w:val="center"/>
          </w:tcPr>
          <w:p w14:paraId="21C629EF">
            <w:pPr>
              <w:pStyle w:val="3361"/>
              <w:ind w:firstLine="0" w:firstLineChars="0"/>
              <w:rPr>
                <w:rFonts w:hint="eastAsia" w:ascii="Times New Roman" w:hAnsi="Times New Roman" w:eastAsia="宋体" w:cs="Times New Roman"/>
                <w:color w:val="auto"/>
                <w:kern w:val="2"/>
                <w:sz w:val="21"/>
                <w:szCs w:val="21"/>
                <w:lang w:val="zh-CN" w:eastAsia="zh-CN" w:bidi="ar-SA"/>
              </w:rPr>
            </w:pPr>
            <w:r>
              <w:rPr>
                <w:rFonts w:hint="eastAsia"/>
                <w:color w:val="auto"/>
              </w:rPr>
              <w:t>达标</w:t>
            </w:r>
          </w:p>
        </w:tc>
        <w:tc>
          <w:tcPr>
            <w:tcW w:w="301" w:type="pct"/>
            <w:shd w:val="clear" w:color="auto" w:fill="auto"/>
            <w:vAlign w:val="center"/>
          </w:tcPr>
          <w:p w14:paraId="07B2F2A5">
            <w:pPr>
              <w:pStyle w:val="3361"/>
              <w:ind w:firstLine="0" w:firstLineChars="0"/>
              <w:rPr>
                <w:rFonts w:hint="eastAsia" w:ascii="Times New Roman" w:hAnsi="Times New Roman" w:eastAsia="宋体" w:cs="Times New Roman"/>
                <w:color w:val="auto"/>
                <w:kern w:val="2"/>
                <w:sz w:val="21"/>
                <w:szCs w:val="21"/>
                <w:lang w:val="zh-CN" w:eastAsia="zh-CN" w:bidi="ar-SA"/>
              </w:rPr>
            </w:pPr>
            <w:r>
              <w:rPr>
                <w:rFonts w:hint="eastAsia"/>
                <w:color w:val="auto"/>
              </w:rPr>
              <w:t>达标</w:t>
            </w:r>
          </w:p>
        </w:tc>
      </w:tr>
    </w:tbl>
    <w:p w14:paraId="042723E6">
      <w:pPr>
        <w:spacing w:line="360" w:lineRule="auto"/>
        <w:ind w:firstLine="480"/>
        <w:rPr>
          <w:rFonts w:hint="eastAsia"/>
          <w:color w:val="auto"/>
          <w:szCs w:val="24"/>
        </w:rPr>
      </w:pPr>
    </w:p>
    <w:p w14:paraId="2DFCCF9E">
      <w:pPr>
        <w:spacing w:line="360" w:lineRule="auto"/>
        <w:ind w:firstLine="480"/>
        <w:rPr>
          <w:bCs/>
          <w:snapToGrid w:val="0"/>
          <w:color w:val="auto"/>
          <w:kern w:val="0"/>
          <w:szCs w:val="24"/>
        </w:rPr>
      </w:pPr>
      <w:r>
        <w:rPr>
          <w:rFonts w:hint="eastAsia"/>
          <w:color w:val="auto"/>
          <w:szCs w:val="24"/>
        </w:rPr>
        <w:t>由上表</w:t>
      </w:r>
      <w:r>
        <w:rPr>
          <w:rFonts w:hint="eastAsia"/>
          <w:color w:val="auto"/>
          <w:szCs w:val="24"/>
          <w:lang w:eastAsia="zh-CN"/>
        </w:rPr>
        <w:t>分别</w:t>
      </w:r>
      <w:r>
        <w:rPr>
          <w:rFonts w:hint="eastAsia"/>
          <w:color w:val="auto"/>
          <w:szCs w:val="24"/>
        </w:rPr>
        <w:t>可知，拟建项目正常运营时各厂界均能满足</w:t>
      </w:r>
      <w:r>
        <w:rPr>
          <w:color w:val="auto"/>
        </w:rPr>
        <w:t>《工业企业厂界环境噪声排放标准》（GB12348-2008）</w:t>
      </w:r>
      <w:r>
        <w:rPr>
          <w:rFonts w:hint="eastAsia"/>
          <w:color w:val="auto"/>
          <w:szCs w:val="24"/>
        </w:rPr>
        <w:t>3类标准限值</w:t>
      </w:r>
      <w:r>
        <w:rPr>
          <w:rFonts w:hint="eastAsia"/>
          <w:color w:val="auto"/>
          <w:szCs w:val="24"/>
          <w:lang w:eastAsia="zh-CN"/>
        </w:rPr>
        <w:t>，最近声环境保护目标处影响值满足</w:t>
      </w:r>
      <w:r>
        <w:rPr>
          <w:color w:val="auto"/>
        </w:rPr>
        <w:t>《工业企业厂界环境噪声排放标准》（GB12348-2008）</w:t>
      </w:r>
      <w:r>
        <w:rPr>
          <w:rFonts w:hint="eastAsia"/>
          <w:color w:val="auto"/>
          <w:szCs w:val="24"/>
          <w:lang w:val="en-US" w:eastAsia="zh-CN"/>
        </w:rPr>
        <w:t>2</w:t>
      </w:r>
      <w:r>
        <w:rPr>
          <w:rFonts w:hint="eastAsia"/>
          <w:color w:val="auto"/>
          <w:szCs w:val="24"/>
        </w:rPr>
        <w:t>类标准限值</w:t>
      </w:r>
      <w:r>
        <w:rPr>
          <w:rFonts w:hint="eastAsia"/>
          <w:bCs/>
          <w:snapToGrid w:val="0"/>
          <w:color w:val="auto"/>
          <w:kern w:val="0"/>
          <w:szCs w:val="24"/>
        </w:rPr>
        <w:t>。项目运营期在采取本评价提出的噪声防治措施情况下，项目噪声对环境影响可接受。</w:t>
      </w:r>
    </w:p>
    <w:p w14:paraId="6E447A5F">
      <w:pPr>
        <w:pStyle w:val="4"/>
        <w:numPr>
          <w:ilvl w:val="0"/>
          <w:numId w:val="0"/>
        </w:numPr>
        <w:spacing w:line="360" w:lineRule="auto"/>
        <w:rPr>
          <w:color w:val="auto"/>
          <w:szCs w:val="24"/>
        </w:rPr>
      </w:pPr>
      <w:bookmarkStart w:id="255" w:name="_Toc345177460"/>
      <w:bookmarkStart w:id="256" w:name="_Toc26842"/>
      <w:r>
        <w:rPr>
          <w:color w:val="auto"/>
          <w:szCs w:val="24"/>
        </w:rPr>
        <w:t>6.</w:t>
      </w:r>
      <w:r>
        <w:rPr>
          <w:rFonts w:hint="eastAsia"/>
          <w:color w:val="auto"/>
          <w:szCs w:val="24"/>
        </w:rPr>
        <w:t>5</w:t>
      </w:r>
      <w:r>
        <w:rPr>
          <w:color w:val="auto"/>
          <w:szCs w:val="24"/>
        </w:rPr>
        <w:t>固体废物影响分析</w:t>
      </w:r>
      <w:bookmarkEnd w:id="255"/>
      <w:bookmarkEnd w:id="256"/>
    </w:p>
    <w:p w14:paraId="3C765F98">
      <w:pPr>
        <w:spacing w:line="360" w:lineRule="auto"/>
        <w:ind w:firstLine="480"/>
        <w:rPr>
          <w:color w:val="auto"/>
          <w:lang w:val="zh-CN"/>
        </w:rPr>
      </w:pPr>
      <w:r>
        <w:rPr>
          <w:color w:val="auto"/>
          <w:lang w:val="zh-CN"/>
        </w:rPr>
        <w:t>拟建项目运行期产生的固体废物主要为污水处理过程中产生的</w:t>
      </w:r>
      <w:r>
        <w:rPr>
          <w:rFonts w:hint="eastAsia"/>
          <w:color w:val="auto"/>
          <w:lang w:val="zh-CN"/>
        </w:rPr>
        <w:t>废包装材料、废活性炭、实验室废物、废油类、废油桶及含油废物、废膜、污泥、蒸发结晶盐和生活垃圾</w:t>
      </w:r>
      <w:r>
        <w:rPr>
          <w:color w:val="auto"/>
          <w:lang w:val="zh-CN"/>
        </w:rPr>
        <w:t>。</w:t>
      </w:r>
    </w:p>
    <w:p w14:paraId="4A5A3DCE">
      <w:pPr>
        <w:spacing w:line="360" w:lineRule="auto"/>
        <w:ind w:firstLine="480"/>
        <w:rPr>
          <w:rFonts w:eastAsiaTheme="minorEastAsia"/>
          <w:color w:val="auto"/>
          <w:szCs w:val="24"/>
        </w:rPr>
      </w:pPr>
      <w:r>
        <w:rPr>
          <w:rFonts w:hint="eastAsia" w:eastAsiaTheme="minorEastAsia"/>
          <w:color w:val="auto"/>
          <w:szCs w:val="24"/>
        </w:rPr>
        <w:t>（1）一般</w:t>
      </w:r>
      <w:r>
        <w:rPr>
          <w:rFonts w:eastAsiaTheme="minorEastAsia"/>
          <w:color w:val="auto"/>
          <w:szCs w:val="24"/>
        </w:rPr>
        <w:t>固体废物处理处置措施</w:t>
      </w:r>
    </w:p>
    <w:p w14:paraId="6916099C">
      <w:pPr>
        <w:spacing w:line="360" w:lineRule="auto"/>
        <w:ind w:firstLine="480"/>
        <w:rPr>
          <w:rFonts w:eastAsiaTheme="minorEastAsia"/>
          <w:color w:val="auto"/>
          <w:szCs w:val="24"/>
        </w:rPr>
      </w:pPr>
      <w:r>
        <w:rPr>
          <w:rFonts w:hint="eastAsia"/>
          <w:color w:val="auto"/>
          <w:szCs w:val="24"/>
        </w:rPr>
        <w:t>一般工业固体废物：依托现有一般工业固废暂存间，位于现有厂房内中部岩屑暂存库西北角，占地面积约20m</w:t>
      </w:r>
      <w:r>
        <w:rPr>
          <w:rFonts w:hint="eastAsia"/>
          <w:color w:val="auto"/>
          <w:szCs w:val="24"/>
          <w:vertAlign w:val="superscript"/>
        </w:rPr>
        <w:t>2</w:t>
      </w:r>
      <w:r>
        <w:rPr>
          <w:rFonts w:hint="eastAsia"/>
          <w:color w:val="auto"/>
          <w:szCs w:val="24"/>
        </w:rPr>
        <w:t>，暂存点满足“防渗漏、防雨淋、防扬尘”等相关要求，主要用于一般工业固体废物的储存</w:t>
      </w:r>
      <w:r>
        <w:rPr>
          <w:rFonts w:hint="eastAsia"/>
          <w:color w:val="auto"/>
        </w:rPr>
        <w:t>。</w:t>
      </w:r>
    </w:p>
    <w:p w14:paraId="04CD0AD7">
      <w:pPr>
        <w:spacing w:line="360" w:lineRule="auto"/>
        <w:ind w:firstLine="480"/>
        <w:rPr>
          <w:rFonts w:eastAsiaTheme="minorEastAsia"/>
          <w:color w:val="auto"/>
          <w:szCs w:val="24"/>
        </w:rPr>
      </w:pPr>
      <w:r>
        <w:rPr>
          <w:rFonts w:hint="eastAsia" w:eastAsiaTheme="minorEastAsia"/>
          <w:color w:val="auto"/>
          <w:szCs w:val="24"/>
        </w:rPr>
        <w:t>（</w:t>
      </w:r>
      <w:r>
        <w:rPr>
          <w:rFonts w:eastAsiaTheme="minorEastAsia"/>
          <w:color w:val="auto"/>
          <w:szCs w:val="24"/>
        </w:rPr>
        <w:t>2</w:t>
      </w:r>
      <w:r>
        <w:rPr>
          <w:rFonts w:hint="eastAsia" w:eastAsiaTheme="minorEastAsia"/>
          <w:color w:val="auto"/>
          <w:szCs w:val="24"/>
        </w:rPr>
        <w:t>）危险废物</w:t>
      </w:r>
    </w:p>
    <w:p w14:paraId="00FF563E">
      <w:pPr>
        <w:spacing w:line="360" w:lineRule="auto"/>
        <w:ind w:firstLine="480"/>
        <w:rPr>
          <w:color w:val="auto"/>
        </w:rPr>
      </w:pPr>
      <w:r>
        <w:rPr>
          <w:rFonts w:hint="eastAsia" w:eastAsiaTheme="minorEastAsia"/>
          <w:color w:val="auto"/>
          <w:szCs w:val="24"/>
        </w:rPr>
        <w:t>危险废物：</w:t>
      </w:r>
      <w:r>
        <w:rPr>
          <w:rFonts w:hint="eastAsia" w:eastAsiaTheme="minorEastAsia"/>
          <w:color w:val="auto"/>
          <w:szCs w:val="24"/>
          <w:lang w:eastAsia="zh-CN"/>
        </w:rPr>
        <w:t>拟建项目新建</w:t>
      </w:r>
      <w:r>
        <w:rPr>
          <w:rFonts w:hint="eastAsia" w:eastAsiaTheme="minorEastAsia"/>
          <w:color w:val="auto"/>
          <w:szCs w:val="24"/>
        </w:rPr>
        <w:t>危险贮存库</w:t>
      </w:r>
      <w:r>
        <w:rPr>
          <w:rFonts w:hint="eastAsia" w:eastAsiaTheme="minorEastAsia"/>
          <w:color w:val="auto"/>
          <w:szCs w:val="24"/>
          <w:lang w:val="en-US" w:eastAsia="zh-CN"/>
        </w:rPr>
        <w:t>1个，主要包括污泥贮存区</w:t>
      </w:r>
      <w:r>
        <w:rPr>
          <w:rFonts w:hint="eastAsia" w:eastAsiaTheme="minorEastAsia"/>
          <w:color w:val="auto"/>
          <w:szCs w:val="24"/>
        </w:rPr>
        <w:t>，占地面积约</w:t>
      </w:r>
      <w:r>
        <w:rPr>
          <w:rFonts w:hint="eastAsia" w:eastAsiaTheme="minorEastAsia"/>
          <w:color w:val="auto"/>
          <w:szCs w:val="24"/>
          <w:lang w:val="en-US" w:eastAsia="zh-CN"/>
        </w:rPr>
        <w:t>35</w:t>
      </w:r>
      <w:r>
        <w:rPr>
          <w:rFonts w:hint="eastAsia" w:eastAsiaTheme="minorEastAsia"/>
          <w:color w:val="auto"/>
          <w:szCs w:val="24"/>
        </w:rPr>
        <w:t>m</w:t>
      </w:r>
      <w:r>
        <w:rPr>
          <w:rFonts w:hint="eastAsia" w:eastAsiaTheme="minorEastAsia"/>
          <w:color w:val="auto"/>
          <w:szCs w:val="24"/>
          <w:vertAlign w:val="superscript"/>
        </w:rPr>
        <w:t>2</w:t>
      </w:r>
      <w:r>
        <w:rPr>
          <w:rFonts w:hint="eastAsia" w:eastAsiaTheme="minorEastAsia"/>
          <w:color w:val="auto"/>
          <w:szCs w:val="24"/>
        </w:rPr>
        <w:t>，</w:t>
      </w:r>
      <w:r>
        <w:rPr>
          <w:rFonts w:hint="eastAsia" w:eastAsiaTheme="minorEastAsia"/>
          <w:color w:val="auto"/>
          <w:szCs w:val="24"/>
          <w:lang w:eastAsia="zh-CN"/>
        </w:rPr>
        <w:t>蒸发结晶盐</w:t>
      </w:r>
      <w:r>
        <w:rPr>
          <w:rFonts w:hint="eastAsia" w:eastAsiaTheme="minorEastAsia"/>
          <w:color w:val="auto"/>
          <w:szCs w:val="24"/>
          <w:lang w:val="en-US" w:eastAsia="zh-CN"/>
        </w:rPr>
        <w:t>贮存区</w:t>
      </w:r>
      <w:r>
        <w:rPr>
          <w:rFonts w:hint="eastAsia" w:eastAsiaTheme="minorEastAsia"/>
          <w:color w:val="auto"/>
          <w:szCs w:val="24"/>
        </w:rPr>
        <w:t>，占地面积约</w:t>
      </w:r>
      <w:r>
        <w:rPr>
          <w:rFonts w:hint="eastAsia" w:eastAsiaTheme="minorEastAsia"/>
          <w:color w:val="auto"/>
          <w:szCs w:val="24"/>
          <w:lang w:val="en-US" w:eastAsia="zh-CN"/>
        </w:rPr>
        <w:t>70</w:t>
      </w:r>
      <w:r>
        <w:rPr>
          <w:rFonts w:hint="eastAsia" w:eastAsiaTheme="minorEastAsia"/>
          <w:color w:val="auto"/>
          <w:szCs w:val="24"/>
        </w:rPr>
        <w:t>m</w:t>
      </w:r>
      <w:r>
        <w:rPr>
          <w:rFonts w:hint="eastAsia" w:eastAsiaTheme="minorEastAsia"/>
          <w:color w:val="auto"/>
          <w:szCs w:val="24"/>
          <w:vertAlign w:val="superscript"/>
        </w:rPr>
        <w:t>2</w:t>
      </w:r>
      <w:r>
        <w:rPr>
          <w:rFonts w:hint="eastAsia" w:eastAsiaTheme="minorEastAsia"/>
          <w:color w:val="auto"/>
          <w:szCs w:val="24"/>
        </w:rPr>
        <w:t>，</w:t>
      </w:r>
      <w:r>
        <w:rPr>
          <w:rFonts w:hint="eastAsia" w:eastAsiaTheme="minorEastAsia"/>
          <w:color w:val="auto"/>
          <w:szCs w:val="24"/>
          <w:lang w:eastAsia="zh-CN"/>
        </w:rPr>
        <w:t>其他危险废物贮存区，</w:t>
      </w:r>
      <w:r>
        <w:rPr>
          <w:rFonts w:hint="eastAsia" w:eastAsiaTheme="minorEastAsia"/>
          <w:color w:val="auto"/>
          <w:szCs w:val="24"/>
        </w:rPr>
        <w:t>占地面积约</w:t>
      </w:r>
      <w:r>
        <w:rPr>
          <w:rFonts w:hint="eastAsia" w:eastAsiaTheme="minorEastAsia"/>
          <w:color w:val="auto"/>
          <w:szCs w:val="24"/>
          <w:lang w:val="en-US" w:eastAsia="zh-CN"/>
        </w:rPr>
        <w:t>10</w:t>
      </w:r>
      <w:r>
        <w:rPr>
          <w:rFonts w:hint="eastAsia" w:eastAsiaTheme="minorEastAsia"/>
          <w:color w:val="auto"/>
          <w:szCs w:val="24"/>
        </w:rPr>
        <w:t>m</w:t>
      </w:r>
      <w:r>
        <w:rPr>
          <w:rFonts w:hint="eastAsia" w:eastAsiaTheme="minorEastAsia"/>
          <w:color w:val="auto"/>
          <w:szCs w:val="24"/>
          <w:vertAlign w:val="superscript"/>
        </w:rPr>
        <w:t>2</w:t>
      </w:r>
      <w:r>
        <w:rPr>
          <w:rFonts w:hint="eastAsia" w:eastAsiaTheme="minorEastAsia"/>
          <w:color w:val="auto"/>
          <w:szCs w:val="24"/>
          <w:lang w:eastAsia="zh-CN"/>
        </w:rPr>
        <w:t>，</w:t>
      </w:r>
      <w:r>
        <w:rPr>
          <w:rFonts w:hint="eastAsia" w:eastAsiaTheme="minorEastAsia"/>
          <w:color w:val="auto"/>
          <w:szCs w:val="24"/>
        </w:rPr>
        <w:t>危险废物分类收集后交有资质的单位处置。危险贮存库</w:t>
      </w:r>
      <w:r>
        <w:rPr>
          <w:rFonts w:hint="eastAsia"/>
          <w:color w:val="auto"/>
        </w:rPr>
        <w:t>按《危险废物贮存污染控制标准》（GB 18597-2023）相关要求设置，采取必要的防风、防晒、防雨、防漏、防渗、防腐以及其他环境污染防治措施。</w:t>
      </w:r>
    </w:p>
    <w:p w14:paraId="797A120F">
      <w:pPr>
        <w:spacing w:line="360" w:lineRule="auto"/>
        <w:ind w:firstLine="480"/>
        <w:rPr>
          <w:color w:val="auto"/>
          <w:szCs w:val="24"/>
        </w:rPr>
      </w:pPr>
      <w:r>
        <w:rPr>
          <w:rFonts w:hint="eastAsia" w:eastAsiaTheme="minorEastAsia"/>
          <w:color w:val="auto"/>
          <w:szCs w:val="24"/>
        </w:rPr>
        <w:t>废水处理产生污泥、蒸发结晶</w:t>
      </w:r>
      <w:r>
        <w:rPr>
          <w:rFonts w:hint="eastAsia" w:eastAsiaTheme="minorEastAsia"/>
          <w:color w:val="auto"/>
          <w:szCs w:val="24"/>
          <w:lang w:eastAsia="zh-CN"/>
        </w:rPr>
        <w:t>盐按要求</w:t>
      </w:r>
      <w:r>
        <w:rPr>
          <w:color w:val="auto"/>
        </w:rPr>
        <w:t>进行危险特性鉴别，根据鉴别结果按相关政策进行处置，鉴别前，按照危险废物从严管理</w:t>
      </w:r>
      <w:r>
        <w:rPr>
          <w:rFonts w:hint="eastAsia"/>
          <w:color w:val="auto"/>
        </w:rPr>
        <w:t>，</w:t>
      </w:r>
      <w:r>
        <w:rPr>
          <w:color w:val="auto"/>
          <w:szCs w:val="24"/>
        </w:rPr>
        <w:t>严格按照《危险废物贮存污染控制标准》（GB18597-2023</w:t>
      </w:r>
      <w:r>
        <w:rPr>
          <w:color w:val="auto"/>
          <w:szCs w:val="24"/>
          <w:lang w:val="zh-CN"/>
        </w:rPr>
        <w:t>）</w:t>
      </w:r>
      <w:r>
        <w:rPr>
          <w:rFonts w:hint="eastAsia"/>
          <w:color w:val="auto"/>
          <w:szCs w:val="24"/>
        </w:rPr>
        <w:t>、《危险废物转移管理办法》（生态环境部 公安部 交通运输部 部令 第23号）相应要求储存及转移</w:t>
      </w:r>
      <w:r>
        <w:rPr>
          <w:color w:val="auto"/>
          <w:szCs w:val="24"/>
        </w:rPr>
        <w:t>，</w:t>
      </w:r>
      <w:r>
        <w:rPr>
          <w:rFonts w:hint="eastAsia"/>
          <w:color w:val="auto"/>
          <w:szCs w:val="24"/>
        </w:rPr>
        <w:t>定期交有</w:t>
      </w:r>
      <w:r>
        <w:rPr>
          <w:color w:val="auto"/>
          <w:szCs w:val="24"/>
        </w:rPr>
        <w:t>资质的单位处理。严格执行上述措施，项目产生的危险废物不会排入外环境造成二次污染。</w:t>
      </w:r>
    </w:p>
    <w:p w14:paraId="426FA2D9">
      <w:pPr>
        <w:spacing w:line="360" w:lineRule="auto"/>
        <w:ind w:firstLine="480"/>
        <w:rPr>
          <w:rFonts w:eastAsiaTheme="minorEastAsia"/>
          <w:color w:val="auto"/>
          <w:szCs w:val="24"/>
        </w:rPr>
      </w:pPr>
      <w:r>
        <w:rPr>
          <w:rFonts w:hint="eastAsia" w:eastAsiaTheme="minorEastAsia"/>
          <w:color w:val="auto"/>
          <w:szCs w:val="24"/>
        </w:rPr>
        <w:t>（</w:t>
      </w:r>
      <w:r>
        <w:rPr>
          <w:rFonts w:eastAsiaTheme="minorEastAsia"/>
          <w:color w:val="auto"/>
          <w:szCs w:val="24"/>
        </w:rPr>
        <w:t>3</w:t>
      </w:r>
      <w:r>
        <w:rPr>
          <w:rFonts w:hint="eastAsia" w:eastAsiaTheme="minorEastAsia"/>
          <w:color w:val="auto"/>
          <w:szCs w:val="24"/>
        </w:rPr>
        <w:t>）生活垃圾</w:t>
      </w:r>
    </w:p>
    <w:p w14:paraId="32BC43D1">
      <w:pPr>
        <w:spacing w:line="360" w:lineRule="auto"/>
        <w:ind w:firstLine="480"/>
        <w:rPr>
          <w:color w:val="auto"/>
          <w:szCs w:val="24"/>
        </w:rPr>
      </w:pPr>
      <w:r>
        <w:rPr>
          <w:color w:val="auto"/>
          <w:szCs w:val="24"/>
        </w:rPr>
        <w:t>生活垃圾</w:t>
      </w:r>
      <w:r>
        <w:rPr>
          <w:rFonts w:hint="eastAsia"/>
          <w:color w:val="auto"/>
          <w:szCs w:val="24"/>
        </w:rPr>
        <w:t>统一收集，定期</w:t>
      </w:r>
      <w:r>
        <w:rPr>
          <w:color w:val="auto"/>
          <w:szCs w:val="24"/>
        </w:rPr>
        <w:t>委托环卫</w:t>
      </w:r>
      <w:r>
        <w:rPr>
          <w:rFonts w:hint="eastAsia"/>
          <w:color w:val="auto"/>
          <w:szCs w:val="24"/>
          <w:lang w:eastAsia="zh-CN"/>
        </w:rPr>
        <w:t>部门</w:t>
      </w:r>
      <w:r>
        <w:rPr>
          <w:color w:val="auto"/>
          <w:szCs w:val="24"/>
        </w:rPr>
        <w:t>清运处置</w:t>
      </w:r>
      <w:r>
        <w:rPr>
          <w:rFonts w:hint="eastAsia"/>
          <w:color w:val="auto"/>
          <w:szCs w:val="24"/>
        </w:rPr>
        <w:t>。</w:t>
      </w:r>
    </w:p>
    <w:p w14:paraId="384E1E79">
      <w:pPr>
        <w:spacing w:line="360" w:lineRule="auto"/>
        <w:ind w:firstLine="480"/>
        <w:rPr>
          <w:color w:val="auto"/>
          <w:szCs w:val="24"/>
        </w:rPr>
      </w:pPr>
      <w:r>
        <w:rPr>
          <w:rFonts w:hint="eastAsia" w:eastAsiaTheme="minorEastAsia"/>
          <w:color w:val="auto"/>
          <w:szCs w:val="24"/>
        </w:rPr>
        <w:t>（</w:t>
      </w:r>
      <w:r>
        <w:rPr>
          <w:rFonts w:eastAsiaTheme="minorEastAsia"/>
          <w:color w:val="auto"/>
          <w:szCs w:val="24"/>
        </w:rPr>
        <w:t>4</w:t>
      </w:r>
      <w:r>
        <w:rPr>
          <w:rFonts w:hint="eastAsia" w:eastAsiaTheme="minorEastAsia"/>
          <w:color w:val="auto"/>
          <w:szCs w:val="24"/>
        </w:rPr>
        <w:t>）</w:t>
      </w:r>
      <w:r>
        <w:rPr>
          <w:rFonts w:hint="eastAsia"/>
          <w:color w:val="auto"/>
          <w:szCs w:val="24"/>
        </w:rPr>
        <w:t>危险废物管理措施</w:t>
      </w:r>
    </w:p>
    <w:p w14:paraId="19626DBA">
      <w:pPr>
        <w:spacing w:line="360" w:lineRule="auto"/>
        <w:ind w:firstLine="480"/>
        <w:rPr>
          <w:color w:val="auto"/>
          <w:szCs w:val="24"/>
        </w:rPr>
      </w:pPr>
      <w:r>
        <w:rPr>
          <w:rFonts w:hint="eastAsia"/>
          <w:color w:val="auto"/>
          <w:szCs w:val="24"/>
        </w:rPr>
        <w:t>根据《建设项目危险废物环境影响评价指南》，评价提出以下要求：</w:t>
      </w:r>
    </w:p>
    <w:p w14:paraId="4F0BB604">
      <w:pPr>
        <w:spacing w:line="360" w:lineRule="auto"/>
        <w:ind w:firstLine="480"/>
        <w:rPr>
          <w:color w:val="auto"/>
          <w:szCs w:val="24"/>
        </w:rPr>
      </w:pPr>
      <w:r>
        <w:rPr>
          <w:rFonts w:hint="eastAsia"/>
          <w:color w:val="auto"/>
          <w:szCs w:val="24"/>
        </w:rPr>
        <w:t>①危险废物暂存区域应按《危险废物贮存污染控制标准》（GB 18597-2023）相关要求设置，采取必要的防风、防晒、防雨、防漏、防渗、防腐以及其他环境污染防治措施。</w:t>
      </w:r>
    </w:p>
    <w:p w14:paraId="305B0901">
      <w:pPr>
        <w:spacing w:line="360" w:lineRule="auto"/>
        <w:ind w:firstLine="480"/>
        <w:rPr>
          <w:color w:val="auto"/>
          <w:szCs w:val="24"/>
        </w:rPr>
      </w:pPr>
      <w:r>
        <w:rPr>
          <w:rFonts w:hint="eastAsia"/>
          <w:color w:val="auto"/>
          <w:szCs w:val="24"/>
        </w:rPr>
        <w:t>②危险废物贮存设施必须按要求设置警示标志。</w:t>
      </w:r>
    </w:p>
    <w:p w14:paraId="3502D8FF">
      <w:pPr>
        <w:spacing w:line="360" w:lineRule="auto"/>
        <w:ind w:firstLine="480"/>
        <w:rPr>
          <w:color w:val="auto"/>
          <w:szCs w:val="24"/>
        </w:rPr>
      </w:pPr>
      <w:r>
        <w:rPr>
          <w:rFonts w:hint="eastAsia"/>
          <w:color w:val="auto"/>
          <w:szCs w:val="24"/>
        </w:rPr>
        <w:t>③按危险废物类别分别采用符合标准的专用容器贮存，加上标签，由专人负责管理。</w:t>
      </w:r>
    </w:p>
    <w:p w14:paraId="51A2DFF9">
      <w:pPr>
        <w:spacing w:line="360" w:lineRule="auto"/>
        <w:ind w:firstLine="480"/>
        <w:rPr>
          <w:color w:val="auto"/>
          <w:szCs w:val="24"/>
        </w:rPr>
      </w:pPr>
      <w:r>
        <w:rPr>
          <w:rFonts w:hint="eastAsia"/>
          <w:color w:val="auto"/>
          <w:szCs w:val="24"/>
        </w:rPr>
        <w:t>④危险废物贮存前应进行检查、核对，登记注册，按规定的标签填写危险废物。</w:t>
      </w:r>
    </w:p>
    <w:p w14:paraId="25081AA2">
      <w:pPr>
        <w:spacing w:line="360" w:lineRule="auto"/>
        <w:ind w:firstLine="480"/>
        <w:rPr>
          <w:color w:val="auto"/>
          <w:szCs w:val="24"/>
        </w:rPr>
      </w:pPr>
      <w:r>
        <w:rPr>
          <w:rFonts w:hint="eastAsia"/>
          <w:color w:val="auto"/>
          <w:szCs w:val="24"/>
        </w:rPr>
        <w:t>⑤</w:t>
      </w:r>
      <w:r>
        <w:rPr>
          <w:rFonts w:hint="eastAsia"/>
          <w:color w:val="auto"/>
          <w:szCs w:val="24"/>
          <w:lang w:eastAsia="zh-CN"/>
        </w:rPr>
        <w:t>做好</w:t>
      </w:r>
      <w:r>
        <w:rPr>
          <w:rFonts w:hint="eastAsia"/>
          <w:color w:val="auto"/>
          <w:szCs w:val="24"/>
        </w:rPr>
        <w:t>危险废物情况的记录，记录上须注明危险废物的名称、来源、数量、特性和包装容器的类别、入库日期、存放库位、废物出库日期及接收单位名称。</w:t>
      </w:r>
    </w:p>
    <w:p w14:paraId="4B165B2C">
      <w:pPr>
        <w:spacing w:line="360" w:lineRule="auto"/>
        <w:ind w:firstLine="480"/>
        <w:rPr>
          <w:color w:val="auto"/>
          <w:szCs w:val="24"/>
        </w:rPr>
      </w:pPr>
      <w:r>
        <w:rPr>
          <w:rFonts w:hint="eastAsia"/>
          <w:color w:val="auto"/>
          <w:szCs w:val="24"/>
        </w:rPr>
        <w:t>⑥必须定期对所贮存的危险废物包装容器及贮存设施进行检查，发现破损，应及时采取措施清理更换。</w:t>
      </w:r>
    </w:p>
    <w:p w14:paraId="5205D4D7">
      <w:pPr>
        <w:spacing w:line="360" w:lineRule="auto"/>
        <w:ind w:firstLine="480"/>
        <w:rPr>
          <w:color w:val="auto"/>
          <w:szCs w:val="24"/>
        </w:rPr>
      </w:pPr>
      <w:r>
        <w:rPr>
          <w:rFonts w:hint="eastAsia"/>
          <w:color w:val="auto"/>
          <w:szCs w:val="24"/>
        </w:rPr>
        <w:t>⑦应配备通讯设备、照明设施、安全防护服装及工具，并</w:t>
      </w:r>
      <w:r>
        <w:rPr>
          <w:rFonts w:hint="eastAsia"/>
          <w:color w:val="auto"/>
          <w:szCs w:val="24"/>
          <w:lang w:eastAsia="zh-CN"/>
        </w:rPr>
        <w:t>设置</w:t>
      </w:r>
      <w:r>
        <w:rPr>
          <w:rFonts w:hint="eastAsia"/>
          <w:color w:val="auto"/>
          <w:szCs w:val="24"/>
        </w:rPr>
        <w:t>应急防护设施。</w:t>
      </w:r>
    </w:p>
    <w:p w14:paraId="0F4E62BB">
      <w:pPr>
        <w:spacing w:line="360" w:lineRule="auto"/>
        <w:ind w:firstLine="480"/>
        <w:rPr>
          <w:color w:val="auto"/>
          <w:szCs w:val="24"/>
        </w:rPr>
      </w:pPr>
      <w:r>
        <w:rPr>
          <w:rFonts w:hint="eastAsia"/>
          <w:color w:val="auto"/>
          <w:szCs w:val="24"/>
        </w:rPr>
        <w:t>⑧对同一贮存场所（设施）贮存多种危险废物的，根据危废的种类、性质分区布置，分别放置固态危险废物和液态危险废物，要求分区间采取隔挡措施，防止两种废物混杂，液态废物应采用桶装等密闭包装方式，避免产生臭味，贮存容器必须符合</w:t>
      </w:r>
      <w:r>
        <w:rPr>
          <w:color w:val="auto"/>
        </w:rPr>
        <w:t>《危险废物储存污染控制标准》（GB18597-20</w:t>
      </w:r>
      <w:r>
        <w:rPr>
          <w:rFonts w:hint="eastAsia"/>
          <w:color w:val="auto"/>
        </w:rPr>
        <w:t>23</w:t>
      </w:r>
      <w:r>
        <w:rPr>
          <w:color w:val="auto"/>
        </w:rPr>
        <w:t>）</w:t>
      </w:r>
      <w:r>
        <w:rPr>
          <w:rFonts w:hint="eastAsia"/>
          <w:color w:val="auto"/>
          <w:szCs w:val="24"/>
        </w:rPr>
        <w:t>中相关要求。</w:t>
      </w:r>
    </w:p>
    <w:p w14:paraId="5CEAC1A8">
      <w:pPr>
        <w:spacing w:line="360" w:lineRule="auto"/>
        <w:ind w:firstLine="480"/>
        <w:rPr>
          <w:color w:val="auto"/>
          <w:szCs w:val="24"/>
        </w:rPr>
      </w:pPr>
      <w:r>
        <w:rPr>
          <w:rFonts w:hint="eastAsia"/>
          <w:color w:val="auto"/>
          <w:szCs w:val="24"/>
        </w:rPr>
        <w:t>（5）转移控制措施</w:t>
      </w:r>
    </w:p>
    <w:p w14:paraId="2F84D96F">
      <w:pPr>
        <w:spacing w:line="360" w:lineRule="auto"/>
        <w:ind w:firstLine="480"/>
        <w:rPr>
          <w:color w:val="auto"/>
          <w:szCs w:val="24"/>
        </w:rPr>
      </w:pPr>
      <w:r>
        <w:rPr>
          <w:rFonts w:hint="eastAsia"/>
          <w:color w:val="auto"/>
          <w:szCs w:val="24"/>
        </w:rPr>
        <w:t>①企业应按国家有关规定办理危险废物申报转移的“五联单”手续，厂内暂存时间不得超过1年。</w:t>
      </w:r>
    </w:p>
    <w:p w14:paraId="15F20C92">
      <w:pPr>
        <w:spacing w:line="360" w:lineRule="auto"/>
        <w:ind w:firstLine="480"/>
        <w:rPr>
          <w:color w:val="auto"/>
          <w:szCs w:val="24"/>
        </w:rPr>
      </w:pPr>
      <w:r>
        <w:rPr>
          <w:rFonts w:hint="eastAsia"/>
          <w:color w:val="auto"/>
          <w:szCs w:val="24"/>
        </w:rPr>
        <w:t>②在交有资质单位处理时，应严格按照《危险废物转移联单管理办法》填写危险废物转移联单，并由双方单位保留备查。危险废物产生单位在转移危险废物前，须按照国家有关规定报批危险废物转移计划；经批准后，产生单位应当向移出地环境保护行政主管部门申请领取联单。产生单位应当在危险废物转移前三日内报告移出地环境保护行政主管部门，并同时将预期到达时间报告</w:t>
      </w:r>
      <w:r>
        <w:rPr>
          <w:rFonts w:hint="eastAsia"/>
          <w:color w:val="auto"/>
          <w:szCs w:val="24"/>
          <w:lang w:eastAsia="zh-CN"/>
        </w:rPr>
        <w:t>接收</w:t>
      </w:r>
      <w:r>
        <w:rPr>
          <w:rFonts w:hint="eastAsia"/>
          <w:color w:val="auto"/>
          <w:szCs w:val="24"/>
        </w:rPr>
        <w:t>地</w:t>
      </w:r>
      <w:r>
        <w:rPr>
          <w:rFonts w:hint="eastAsia"/>
          <w:color w:val="auto"/>
          <w:szCs w:val="24"/>
          <w:lang w:eastAsia="zh-CN"/>
        </w:rPr>
        <w:t>生态环境</w:t>
      </w:r>
      <w:r>
        <w:rPr>
          <w:rFonts w:hint="eastAsia"/>
          <w:color w:val="auto"/>
          <w:szCs w:val="24"/>
        </w:rPr>
        <w:t>行政主管部门。</w:t>
      </w:r>
    </w:p>
    <w:p w14:paraId="1134E844">
      <w:pPr>
        <w:spacing w:line="360" w:lineRule="auto"/>
        <w:ind w:firstLine="480"/>
        <w:rPr>
          <w:color w:val="auto"/>
          <w:szCs w:val="24"/>
        </w:rPr>
      </w:pPr>
      <w:r>
        <w:rPr>
          <w:rFonts w:hint="eastAsia"/>
          <w:color w:val="auto"/>
          <w:szCs w:val="24"/>
        </w:rPr>
        <w:t>③所有废物收集和封装容器应得到接收企业及当地环保部门的认可。</w:t>
      </w:r>
    </w:p>
    <w:p w14:paraId="3DA27C36">
      <w:pPr>
        <w:spacing w:line="360" w:lineRule="auto"/>
        <w:ind w:firstLine="480"/>
        <w:rPr>
          <w:color w:val="auto"/>
          <w:szCs w:val="24"/>
        </w:rPr>
      </w:pPr>
      <w:r>
        <w:rPr>
          <w:rFonts w:hint="eastAsia"/>
          <w:color w:val="auto"/>
          <w:szCs w:val="24"/>
        </w:rPr>
        <w:t>④应指定专人负责固废和残液的收集、贮运管理工作，运输车辆的司机和押运人员应经专业培训。</w:t>
      </w:r>
    </w:p>
    <w:p w14:paraId="625BD69B">
      <w:pPr>
        <w:spacing w:line="360" w:lineRule="auto"/>
        <w:ind w:firstLine="480"/>
        <w:rPr>
          <w:color w:val="auto"/>
          <w:szCs w:val="24"/>
        </w:rPr>
      </w:pPr>
      <w:r>
        <w:rPr>
          <w:rFonts w:hint="eastAsia"/>
          <w:color w:val="auto"/>
          <w:szCs w:val="24"/>
        </w:rPr>
        <w:t>⑤收运车应采用密闭运输方式，防止外泄。</w:t>
      </w:r>
    </w:p>
    <w:p w14:paraId="2F5B29EE">
      <w:pPr>
        <w:spacing w:line="360" w:lineRule="auto"/>
        <w:ind w:firstLine="480"/>
        <w:rPr>
          <w:color w:val="auto"/>
          <w:szCs w:val="24"/>
        </w:rPr>
      </w:pPr>
      <w:r>
        <w:rPr>
          <w:rFonts w:hint="eastAsia"/>
          <w:color w:val="auto"/>
          <w:szCs w:val="24"/>
        </w:rPr>
        <w:t>⑥建设单位与处置单位对危险废物交接时，应按危废联单制管理要求，交接运输，要求交接和运输过程皆处于环境行政主管部门的监控之下进行。</w:t>
      </w:r>
    </w:p>
    <w:p w14:paraId="3156C11F">
      <w:pPr>
        <w:spacing w:line="360" w:lineRule="auto"/>
        <w:ind w:firstLine="480"/>
        <w:rPr>
          <w:color w:val="auto"/>
          <w:szCs w:val="24"/>
        </w:rPr>
      </w:pPr>
      <w:r>
        <w:rPr>
          <w:rFonts w:hint="eastAsia"/>
          <w:color w:val="auto"/>
          <w:szCs w:val="24"/>
        </w:rPr>
        <w:t>⑦危险废物运输符合《危险废物收集贮存运输技术规范》相关要求。</w:t>
      </w:r>
    </w:p>
    <w:p w14:paraId="6382294C">
      <w:pPr>
        <w:spacing w:line="360" w:lineRule="auto"/>
        <w:ind w:firstLine="480"/>
        <w:rPr>
          <w:color w:val="auto"/>
        </w:rPr>
      </w:pPr>
      <w:r>
        <w:rPr>
          <w:rFonts w:hint="eastAsia"/>
          <w:color w:val="auto"/>
        </w:rPr>
        <w:t>（6）放射性废物管理规定相关要求：</w:t>
      </w:r>
    </w:p>
    <w:p w14:paraId="60271970">
      <w:pPr>
        <w:spacing w:line="360" w:lineRule="auto"/>
        <w:ind w:firstLine="480"/>
        <w:rPr>
          <w:color w:val="auto"/>
          <w:szCs w:val="24"/>
        </w:rPr>
      </w:pPr>
      <w:r>
        <w:rPr>
          <w:rFonts w:hint="eastAsia"/>
          <w:color w:val="auto"/>
        </w:rPr>
        <w:t>拟建项目废水处理过程中对水污染总α放射性和总β放射性进行去除，去除过程中产生的废膜、污泥和蒸发结晶盐应按《放射性废物分类》（公告 2017年第65号）和《放射性废物管理规定》（GB14500-2002）相关要求进行放射性活度或浓度活度检测，以判断是否属于放射性废物，</w:t>
      </w:r>
      <w:r>
        <w:rPr>
          <w:rFonts w:hint="eastAsia"/>
          <w:color w:val="auto"/>
          <w:lang w:eastAsia="zh-CN"/>
        </w:rPr>
        <w:t>如属于</w:t>
      </w:r>
      <w:r>
        <w:rPr>
          <w:rFonts w:hint="eastAsia"/>
          <w:color w:val="auto"/>
        </w:rPr>
        <w:t>放射性废物</w:t>
      </w:r>
      <w:r>
        <w:rPr>
          <w:rFonts w:hint="eastAsia"/>
          <w:color w:val="auto"/>
          <w:lang w:eastAsia="zh-CN"/>
        </w:rPr>
        <w:t>，则按</w:t>
      </w:r>
      <w:r>
        <w:rPr>
          <w:rFonts w:hint="eastAsia"/>
          <w:color w:val="auto"/>
        </w:rPr>
        <w:t>放射性废物</w:t>
      </w:r>
      <w:r>
        <w:rPr>
          <w:rFonts w:hint="eastAsia"/>
          <w:color w:val="auto"/>
          <w:lang w:eastAsia="zh-CN"/>
        </w:rPr>
        <w:t>进行管理；如不属于</w:t>
      </w:r>
      <w:r>
        <w:rPr>
          <w:rFonts w:hint="eastAsia"/>
          <w:color w:val="auto"/>
        </w:rPr>
        <w:t>放射性废物</w:t>
      </w:r>
      <w:r>
        <w:rPr>
          <w:rFonts w:hint="eastAsia"/>
          <w:color w:val="auto"/>
          <w:lang w:eastAsia="zh-CN"/>
        </w:rPr>
        <w:t>，则</w:t>
      </w:r>
      <w:r>
        <w:rPr>
          <w:rFonts w:hint="eastAsia"/>
          <w:color w:val="auto"/>
        </w:rPr>
        <w:t>废膜、</w:t>
      </w:r>
      <w:r>
        <w:rPr>
          <w:rFonts w:hint="eastAsia"/>
          <w:color w:val="auto"/>
          <w:lang w:eastAsia="zh-CN"/>
        </w:rPr>
        <w:t>按危险废物相关要求进行管理，</w:t>
      </w:r>
      <w:r>
        <w:rPr>
          <w:rFonts w:hint="eastAsia"/>
          <w:color w:val="auto"/>
        </w:rPr>
        <w:t>污泥和蒸发结晶盐</w:t>
      </w:r>
      <w:r>
        <w:rPr>
          <w:rFonts w:hint="eastAsia"/>
          <w:color w:val="auto"/>
          <w:lang w:eastAsia="zh-CN"/>
        </w:rPr>
        <w:t>根据危险特性鉴别结果按危险废物一般工业固废进行管理</w:t>
      </w:r>
      <w:r>
        <w:rPr>
          <w:rFonts w:hint="eastAsia"/>
          <w:color w:val="auto"/>
        </w:rPr>
        <w:t>。</w:t>
      </w:r>
    </w:p>
    <w:p w14:paraId="3CCECC96">
      <w:pPr>
        <w:spacing w:line="360" w:lineRule="auto"/>
        <w:ind w:firstLine="480"/>
        <w:rPr>
          <w:color w:val="auto"/>
          <w:szCs w:val="24"/>
        </w:rPr>
      </w:pPr>
      <w:r>
        <w:rPr>
          <w:rFonts w:hint="eastAsia"/>
          <w:color w:val="auto"/>
          <w:szCs w:val="24"/>
        </w:rPr>
        <w:t>采取以上措施后，项目产生的固体废物均得到有效处置，</w:t>
      </w:r>
      <w:r>
        <w:rPr>
          <w:color w:val="auto"/>
          <w:szCs w:val="24"/>
        </w:rPr>
        <w:t>对周围环境影响较小。</w:t>
      </w:r>
    </w:p>
    <w:p w14:paraId="011B779D">
      <w:pPr>
        <w:pStyle w:val="4"/>
        <w:numPr>
          <w:ilvl w:val="0"/>
          <w:numId w:val="0"/>
        </w:numPr>
        <w:spacing w:line="360" w:lineRule="auto"/>
        <w:rPr>
          <w:color w:val="auto"/>
          <w:szCs w:val="24"/>
        </w:rPr>
        <w:sectPr>
          <w:pgSz w:w="11906" w:h="16838"/>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pPr>
    </w:p>
    <w:p w14:paraId="3FC22AEC">
      <w:pPr>
        <w:pStyle w:val="4"/>
        <w:numPr>
          <w:ilvl w:val="0"/>
          <w:numId w:val="0"/>
        </w:numPr>
        <w:spacing w:line="360" w:lineRule="auto"/>
        <w:rPr>
          <w:color w:val="auto"/>
          <w:szCs w:val="24"/>
        </w:rPr>
      </w:pPr>
      <w:bookmarkStart w:id="257" w:name="_Toc14110"/>
      <w:r>
        <w:rPr>
          <w:color w:val="auto"/>
          <w:szCs w:val="24"/>
        </w:rPr>
        <w:t>6.</w:t>
      </w:r>
      <w:r>
        <w:rPr>
          <w:rFonts w:hint="eastAsia"/>
          <w:color w:val="auto"/>
          <w:szCs w:val="24"/>
        </w:rPr>
        <w:t>6</w:t>
      </w:r>
      <w:r>
        <w:rPr>
          <w:color w:val="auto"/>
          <w:szCs w:val="24"/>
        </w:rPr>
        <w:t>土壤环境影响分析</w:t>
      </w:r>
      <w:bookmarkEnd w:id="257"/>
    </w:p>
    <w:p w14:paraId="6D73F039">
      <w:pPr>
        <w:pStyle w:val="5"/>
        <w:numPr>
          <w:ilvl w:val="0"/>
          <w:numId w:val="0"/>
        </w:numPr>
        <w:spacing w:line="360" w:lineRule="auto"/>
        <w:jc w:val="left"/>
        <w:rPr>
          <w:color w:val="auto"/>
          <w:szCs w:val="24"/>
          <w:lang w:val="en-US"/>
        </w:rPr>
      </w:pPr>
      <w:r>
        <w:rPr>
          <w:color w:val="auto"/>
          <w:szCs w:val="24"/>
          <w:lang w:val="en-US"/>
        </w:rPr>
        <w:t>6.6</w:t>
      </w:r>
      <w:r>
        <w:rPr>
          <w:rFonts w:hint="eastAsia"/>
          <w:color w:val="auto"/>
          <w:szCs w:val="24"/>
          <w:lang w:val="en-US"/>
        </w:rPr>
        <w:t>.1影响因子识别</w:t>
      </w:r>
    </w:p>
    <w:p w14:paraId="471B4798">
      <w:pPr>
        <w:spacing w:line="360" w:lineRule="auto"/>
        <w:ind w:firstLine="480"/>
        <w:rPr>
          <w:color w:val="auto"/>
          <w:szCs w:val="24"/>
        </w:rPr>
      </w:pPr>
      <w:r>
        <w:rPr>
          <w:rFonts w:hint="eastAsia"/>
          <w:color w:val="auto"/>
          <w:szCs w:val="24"/>
        </w:rPr>
        <w:t>根据《环境影响评价技术导则土壤环境（试行）》（HJ964-2018）附录B，对项目土壤影响预测因子进行识别。</w:t>
      </w:r>
    </w:p>
    <w:p w14:paraId="3BFCA892">
      <w:pPr>
        <w:spacing w:line="360" w:lineRule="auto"/>
        <w:ind w:firstLine="0" w:firstLineChars="0"/>
        <w:jc w:val="center"/>
        <w:rPr>
          <w:b/>
          <w:bCs/>
          <w:color w:val="auto"/>
          <w:szCs w:val="24"/>
        </w:rPr>
      </w:pPr>
      <w:r>
        <w:rPr>
          <w:rFonts w:hint="eastAsia"/>
          <w:b/>
          <w:bCs/>
          <w:color w:val="auto"/>
          <w:szCs w:val="24"/>
        </w:rPr>
        <w:t>表6</w:t>
      </w:r>
      <w:r>
        <w:rPr>
          <w:b/>
          <w:bCs/>
          <w:color w:val="auto"/>
          <w:szCs w:val="24"/>
        </w:rPr>
        <w:t xml:space="preserve">.6-1  </w:t>
      </w:r>
      <w:r>
        <w:rPr>
          <w:rFonts w:hint="eastAsia"/>
          <w:b/>
          <w:bCs/>
          <w:color w:val="auto"/>
          <w:szCs w:val="24"/>
        </w:rPr>
        <w:t>污染影响型项目土壤环境影响源与影响因子识别表</w:t>
      </w:r>
    </w:p>
    <w:tbl>
      <w:tblPr>
        <w:tblStyle w:val="8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322"/>
        <w:gridCol w:w="2322"/>
        <w:gridCol w:w="2322"/>
        <w:gridCol w:w="2320"/>
      </w:tblGrid>
      <w:tr w14:paraId="06267D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51" w:type="pct"/>
            <w:vAlign w:val="center"/>
          </w:tcPr>
          <w:p w14:paraId="46318EF4">
            <w:pPr>
              <w:spacing w:line="240" w:lineRule="auto"/>
              <w:ind w:firstLine="0" w:firstLineChars="0"/>
              <w:jc w:val="center"/>
              <w:rPr>
                <w:color w:val="auto"/>
                <w:sz w:val="21"/>
                <w:szCs w:val="21"/>
              </w:rPr>
            </w:pPr>
            <w:r>
              <w:rPr>
                <w:rFonts w:hint="eastAsia"/>
                <w:color w:val="auto"/>
                <w:sz w:val="21"/>
                <w:szCs w:val="21"/>
              </w:rPr>
              <w:t>污染源</w:t>
            </w:r>
          </w:p>
        </w:tc>
        <w:tc>
          <w:tcPr>
            <w:tcW w:w="1250" w:type="pct"/>
            <w:vAlign w:val="center"/>
          </w:tcPr>
          <w:p w14:paraId="19C4096A">
            <w:pPr>
              <w:spacing w:line="240" w:lineRule="auto"/>
              <w:ind w:firstLine="0" w:firstLineChars="0"/>
              <w:jc w:val="center"/>
              <w:rPr>
                <w:color w:val="auto"/>
                <w:sz w:val="21"/>
                <w:szCs w:val="21"/>
              </w:rPr>
            </w:pPr>
            <w:r>
              <w:rPr>
                <w:rFonts w:hint="eastAsia"/>
                <w:color w:val="auto"/>
                <w:sz w:val="21"/>
                <w:szCs w:val="21"/>
              </w:rPr>
              <w:t>工艺流程/节点</w:t>
            </w:r>
          </w:p>
        </w:tc>
        <w:tc>
          <w:tcPr>
            <w:tcW w:w="1250" w:type="pct"/>
            <w:vAlign w:val="center"/>
          </w:tcPr>
          <w:p w14:paraId="2613FCA9">
            <w:pPr>
              <w:spacing w:line="240" w:lineRule="auto"/>
              <w:ind w:firstLine="0" w:firstLineChars="0"/>
              <w:jc w:val="center"/>
              <w:rPr>
                <w:color w:val="auto"/>
                <w:sz w:val="21"/>
                <w:szCs w:val="21"/>
              </w:rPr>
            </w:pPr>
            <w:r>
              <w:rPr>
                <w:rFonts w:hint="eastAsia"/>
                <w:color w:val="auto"/>
                <w:sz w:val="21"/>
                <w:szCs w:val="21"/>
              </w:rPr>
              <w:t>污染途径</w:t>
            </w:r>
          </w:p>
        </w:tc>
        <w:tc>
          <w:tcPr>
            <w:tcW w:w="1249" w:type="pct"/>
            <w:vAlign w:val="center"/>
          </w:tcPr>
          <w:p w14:paraId="00FBB5BE">
            <w:pPr>
              <w:spacing w:line="240" w:lineRule="auto"/>
              <w:ind w:firstLine="0" w:firstLineChars="0"/>
              <w:jc w:val="center"/>
              <w:rPr>
                <w:color w:val="auto"/>
                <w:sz w:val="21"/>
                <w:szCs w:val="21"/>
              </w:rPr>
            </w:pPr>
            <w:r>
              <w:rPr>
                <w:rFonts w:hint="eastAsia"/>
                <w:color w:val="auto"/>
                <w:sz w:val="21"/>
                <w:szCs w:val="21"/>
              </w:rPr>
              <w:t>特征因子</w:t>
            </w:r>
          </w:p>
        </w:tc>
      </w:tr>
      <w:tr w14:paraId="1F0A93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51" w:type="pct"/>
            <w:vAlign w:val="center"/>
          </w:tcPr>
          <w:p w14:paraId="1107F37B">
            <w:pPr>
              <w:spacing w:line="240" w:lineRule="auto"/>
              <w:ind w:firstLine="0" w:firstLineChars="0"/>
              <w:jc w:val="center"/>
              <w:rPr>
                <w:color w:val="auto"/>
                <w:sz w:val="21"/>
                <w:szCs w:val="21"/>
              </w:rPr>
            </w:pPr>
            <w:r>
              <w:rPr>
                <w:rFonts w:hint="eastAsia"/>
                <w:color w:val="auto"/>
                <w:sz w:val="21"/>
                <w:szCs w:val="21"/>
              </w:rPr>
              <w:t>污水处理厂</w:t>
            </w:r>
          </w:p>
        </w:tc>
        <w:tc>
          <w:tcPr>
            <w:tcW w:w="1250" w:type="pct"/>
            <w:vAlign w:val="center"/>
          </w:tcPr>
          <w:p w14:paraId="7D8AB555">
            <w:pPr>
              <w:spacing w:line="240" w:lineRule="auto"/>
              <w:ind w:firstLine="0" w:firstLineChars="0"/>
              <w:jc w:val="center"/>
              <w:rPr>
                <w:color w:val="auto"/>
                <w:sz w:val="21"/>
                <w:szCs w:val="21"/>
              </w:rPr>
            </w:pPr>
            <w:r>
              <w:rPr>
                <w:rFonts w:hint="eastAsia"/>
                <w:color w:val="auto"/>
                <w:sz w:val="21"/>
                <w:szCs w:val="21"/>
              </w:rPr>
              <w:t>调节池破损</w:t>
            </w:r>
          </w:p>
        </w:tc>
        <w:tc>
          <w:tcPr>
            <w:tcW w:w="1250" w:type="pct"/>
            <w:vAlign w:val="center"/>
          </w:tcPr>
          <w:p w14:paraId="75066D22">
            <w:pPr>
              <w:spacing w:line="240" w:lineRule="auto"/>
              <w:ind w:firstLine="0" w:firstLineChars="0"/>
              <w:jc w:val="center"/>
              <w:rPr>
                <w:color w:val="auto"/>
                <w:sz w:val="21"/>
                <w:szCs w:val="21"/>
              </w:rPr>
            </w:pPr>
            <w:r>
              <w:rPr>
                <w:rFonts w:hint="eastAsia"/>
                <w:color w:val="auto"/>
                <w:sz w:val="21"/>
                <w:szCs w:val="21"/>
              </w:rPr>
              <w:t>垂直入渗、地表漫流</w:t>
            </w:r>
          </w:p>
        </w:tc>
        <w:tc>
          <w:tcPr>
            <w:tcW w:w="1249" w:type="pct"/>
            <w:vAlign w:val="center"/>
          </w:tcPr>
          <w:p w14:paraId="1182F925">
            <w:pPr>
              <w:spacing w:line="240" w:lineRule="auto"/>
              <w:ind w:firstLine="0" w:firstLineChars="0"/>
              <w:jc w:val="center"/>
              <w:rPr>
                <w:color w:val="auto"/>
                <w:sz w:val="21"/>
                <w:szCs w:val="21"/>
              </w:rPr>
            </w:pPr>
            <w:r>
              <w:rPr>
                <w:rFonts w:hint="eastAsia"/>
                <w:color w:val="auto"/>
                <w:sz w:val="21"/>
                <w:szCs w:val="21"/>
              </w:rPr>
              <w:t>石油类（石油烃）</w:t>
            </w:r>
          </w:p>
        </w:tc>
      </w:tr>
    </w:tbl>
    <w:p w14:paraId="6E0154A0">
      <w:pPr>
        <w:spacing w:line="360" w:lineRule="auto"/>
        <w:ind w:firstLine="0" w:firstLineChars="0"/>
        <w:jc w:val="center"/>
        <w:rPr>
          <w:b/>
          <w:bCs/>
          <w:color w:val="auto"/>
          <w:szCs w:val="24"/>
        </w:rPr>
      </w:pPr>
    </w:p>
    <w:p w14:paraId="17D91100">
      <w:pPr>
        <w:pStyle w:val="5"/>
        <w:numPr>
          <w:ilvl w:val="0"/>
          <w:numId w:val="0"/>
        </w:numPr>
        <w:spacing w:line="360" w:lineRule="auto"/>
        <w:jc w:val="left"/>
        <w:rPr>
          <w:color w:val="auto"/>
          <w:szCs w:val="24"/>
          <w:lang w:val="en-US"/>
        </w:rPr>
      </w:pPr>
      <w:r>
        <w:rPr>
          <w:color w:val="auto"/>
          <w:szCs w:val="24"/>
          <w:lang w:val="en-US"/>
        </w:rPr>
        <w:t>6.6</w:t>
      </w:r>
      <w:r>
        <w:rPr>
          <w:rFonts w:hint="eastAsia"/>
          <w:color w:val="auto"/>
          <w:szCs w:val="24"/>
          <w:lang w:val="en-US"/>
        </w:rPr>
        <w:t>.</w:t>
      </w:r>
      <w:r>
        <w:rPr>
          <w:color w:val="auto"/>
          <w:szCs w:val="24"/>
          <w:lang w:val="en-US"/>
        </w:rPr>
        <w:t>2</w:t>
      </w:r>
      <w:r>
        <w:rPr>
          <w:rFonts w:hint="eastAsia"/>
          <w:color w:val="auto"/>
          <w:szCs w:val="24"/>
          <w:lang w:val="en-US"/>
        </w:rPr>
        <w:t>土壤环境现状</w:t>
      </w:r>
    </w:p>
    <w:p w14:paraId="0C00771E">
      <w:pPr>
        <w:spacing w:line="360" w:lineRule="auto"/>
        <w:ind w:firstLine="480"/>
        <w:rPr>
          <w:color w:val="auto"/>
        </w:rPr>
      </w:pPr>
      <w:r>
        <w:rPr>
          <w:rFonts w:hint="eastAsia"/>
          <w:color w:val="auto"/>
        </w:rPr>
        <w:t>拟建项目为新建项目，根据土壤监测结果表明，厂区土壤环境质量均满足《土壤环境质量  建设用地土壤污染风险管控标准（试行）》（GB 36600-2018）中第二类用地筛选值。表明现有工程土壤环境保护措施效果良好，厂区土壤环境未受到明显污染。</w:t>
      </w:r>
    </w:p>
    <w:p w14:paraId="684BBB4E">
      <w:pPr>
        <w:pStyle w:val="5"/>
        <w:numPr>
          <w:ilvl w:val="0"/>
          <w:numId w:val="0"/>
        </w:numPr>
        <w:spacing w:line="360" w:lineRule="auto"/>
        <w:jc w:val="left"/>
        <w:rPr>
          <w:color w:val="auto"/>
          <w:szCs w:val="24"/>
          <w:lang w:val="en-US"/>
        </w:rPr>
      </w:pPr>
      <w:r>
        <w:rPr>
          <w:rFonts w:hint="eastAsia"/>
          <w:color w:val="auto"/>
          <w:szCs w:val="24"/>
          <w:lang w:val="en-US"/>
        </w:rPr>
        <w:t>6</w:t>
      </w:r>
      <w:r>
        <w:rPr>
          <w:color w:val="auto"/>
          <w:szCs w:val="24"/>
          <w:lang w:val="en-US"/>
        </w:rPr>
        <w:t>.6.3</w:t>
      </w:r>
      <w:r>
        <w:rPr>
          <w:rFonts w:hint="eastAsia"/>
          <w:color w:val="auto"/>
          <w:szCs w:val="24"/>
          <w:lang w:val="en-US"/>
        </w:rPr>
        <w:t>土壤环境影响预测与评价</w:t>
      </w:r>
    </w:p>
    <w:p w14:paraId="7EF3856F">
      <w:pPr>
        <w:spacing w:line="360" w:lineRule="auto"/>
        <w:ind w:firstLine="480"/>
        <w:rPr>
          <w:color w:val="auto"/>
          <w:szCs w:val="24"/>
        </w:rPr>
      </w:pPr>
      <w:r>
        <w:rPr>
          <w:color w:val="auto"/>
          <w:szCs w:val="24"/>
        </w:rPr>
        <w:t>土壤是一个开放系统，土壤与水、空气、生物、岩石等环境要素之间存在物质交换，污染物进入环境后通过环境要素间的物质交换造成土壤污染。通常造成土壤污染的途径有：污染物随大气传输而迁移、扩散；污染物随地表水流动、补给、渗入而迁移；污染物通过灌溉在土壤中累积；固体废弃物受自然降水淋溶作用，转移或渗入土壤；固体废弃物受风力作用产生转移。</w:t>
      </w:r>
    </w:p>
    <w:p w14:paraId="10561F1F">
      <w:pPr>
        <w:spacing w:line="360" w:lineRule="auto"/>
        <w:ind w:firstLine="480"/>
        <w:rPr>
          <w:color w:val="auto"/>
        </w:rPr>
      </w:pPr>
      <w:r>
        <w:rPr>
          <w:rFonts w:hint="eastAsia"/>
          <w:color w:val="auto"/>
        </w:rPr>
        <w:t>项目排放的大气污染物主要为污水处理设施产生的恶臭及</w:t>
      </w:r>
      <w:r>
        <w:rPr>
          <w:rFonts w:hint="eastAsia"/>
          <w:bCs/>
          <w:color w:val="auto"/>
        </w:rPr>
        <w:t>含油</w:t>
      </w:r>
      <w:r>
        <w:rPr>
          <w:bCs/>
          <w:color w:val="auto"/>
        </w:rPr>
        <w:t>废气</w:t>
      </w:r>
      <w:r>
        <w:rPr>
          <w:rFonts w:hint="eastAsia"/>
          <w:color w:val="auto"/>
        </w:rPr>
        <w:t>，废气各污染物产生量较小，且不涉及重金属排放及持久性污染物，项目废气各污染物排放速率及浓度均满足相应排放标准要求，故拟建项目大气沉降对土壤环境影响较小。拟建项目废水处理达到</w:t>
      </w:r>
      <w:r>
        <w:rPr>
          <w:rFonts w:hint="eastAsia"/>
          <w:color w:val="auto"/>
          <w:lang w:eastAsia="zh-CN"/>
        </w:rPr>
        <w:t>《页岩气开采水污染物排放标准》（DB50/1806-2025）间接排放标准限值后直接接入乌杨组团园区污水处理厂</w:t>
      </w:r>
      <w:r>
        <w:rPr>
          <w:rFonts w:hint="eastAsia"/>
          <w:color w:val="auto"/>
        </w:rPr>
        <w:t>进行深度处理达《城镇污水处理厂污染物排放标准》（GB18918-2002）一级 A 标准后排入</w:t>
      </w:r>
      <w:r>
        <w:rPr>
          <w:rFonts w:hint="eastAsia"/>
          <w:color w:val="auto"/>
          <w:lang w:eastAsia="zh-CN"/>
        </w:rPr>
        <w:t>长江</w:t>
      </w:r>
      <w:r>
        <w:rPr>
          <w:rFonts w:hint="eastAsia"/>
          <w:bCs/>
          <w:color w:val="auto"/>
          <w:szCs w:val="24"/>
        </w:rPr>
        <w:t>。</w:t>
      </w:r>
      <w:r>
        <w:rPr>
          <w:rFonts w:hint="eastAsia"/>
          <w:color w:val="auto"/>
          <w:szCs w:val="24"/>
        </w:rPr>
        <w:t>污水处理厂构筑物均为碳钢或不锈钢材质，设备基础采用钢筋混凝土结构，防渗效果好，发生泄漏的可能性小</w:t>
      </w:r>
      <w:r>
        <w:rPr>
          <w:rFonts w:hint="eastAsia"/>
          <w:color w:val="auto"/>
        </w:rPr>
        <w:t>，仅在事故情况下废水可能会污染土壤。企业危险化学品存放在单独的加药间内，加药间采取了重点防渗措施，各液体化学品均采用罐装，且化学品储罐设置有围堰，因此，加药间各化学品</w:t>
      </w:r>
      <w:r>
        <w:rPr>
          <w:color w:val="auto"/>
          <w:szCs w:val="24"/>
        </w:rPr>
        <w:t>进入</w:t>
      </w:r>
      <w:r>
        <w:rPr>
          <w:rFonts w:hint="eastAsia"/>
          <w:color w:val="auto"/>
          <w:szCs w:val="24"/>
        </w:rPr>
        <w:t>土壤可能性较小</w:t>
      </w:r>
      <w:r>
        <w:rPr>
          <w:rFonts w:hint="eastAsia"/>
          <w:color w:val="auto"/>
        </w:rPr>
        <w:t>。</w:t>
      </w:r>
      <w:r>
        <w:rPr>
          <w:rFonts w:hint="eastAsia"/>
          <w:color w:val="auto"/>
          <w:szCs w:val="24"/>
        </w:rPr>
        <w:t>拟建项目</w:t>
      </w:r>
      <w:r>
        <w:rPr>
          <w:color w:val="auto"/>
          <w:szCs w:val="24"/>
        </w:rPr>
        <w:t>营运期产生的固体废物在厂内一般固废间</w:t>
      </w:r>
      <w:r>
        <w:rPr>
          <w:rFonts w:hint="eastAsia"/>
          <w:color w:val="auto"/>
          <w:szCs w:val="24"/>
        </w:rPr>
        <w:t>或危险废物暂存间</w:t>
      </w:r>
      <w:r>
        <w:rPr>
          <w:color w:val="auto"/>
          <w:szCs w:val="24"/>
        </w:rPr>
        <w:t>暂存后统一处理处置，不外排，</w:t>
      </w:r>
      <w:r>
        <w:rPr>
          <w:rFonts w:hint="eastAsia"/>
          <w:color w:val="auto"/>
          <w:szCs w:val="24"/>
        </w:rPr>
        <w:t>固废暂存场所均采取了相应防渗措施，且危废贮存库内设置有导流沟及收集池，</w:t>
      </w:r>
      <w:r>
        <w:rPr>
          <w:color w:val="auto"/>
          <w:szCs w:val="24"/>
        </w:rPr>
        <w:t>因此</w:t>
      </w:r>
      <w:r>
        <w:rPr>
          <w:rFonts w:hint="eastAsia"/>
          <w:color w:val="auto"/>
          <w:szCs w:val="24"/>
        </w:rPr>
        <w:t>，固废暂存</w:t>
      </w:r>
      <w:r>
        <w:rPr>
          <w:color w:val="auto"/>
          <w:szCs w:val="24"/>
        </w:rPr>
        <w:t>进入</w:t>
      </w:r>
      <w:r>
        <w:rPr>
          <w:rFonts w:hint="eastAsia"/>
          <w:color w:val="auto"/>
          <w:szCs w:val="24"/>
        </w:rPr>
        <w:t>土壤可能性较小。</w:t>
      </w:r>
      <w:r>
        <w:rPr>
          <w:rFonts w:hint="eastAsia"/>
          <w:color w:val="auto"/>
        </w:rPr>
        <w:t>在落实以上防控措施的情况下，物料或污染物的地面漫流对土壤影响较小。</w:t>
      </w:r>
    </w:p>
    <w:p w14:paraId="2F334E08">
      <w:pPr>
        <w:spacing w:line="360" w:lineRule="auto"/>
        <w:ind w:firstLine="480"/>
        <w:rPr>
          <w:color w:val="auto"/>
        </w:rPr>
      </w:pPr>
      <w:r>
        <w:rPr>
          <w:rFonts w:hint="eastAsia"/>
          <w:color w:val="auto"/>
        </w:rPr>
        <w:t>拟建项目营运期废水处理构筑物在事故情况下，可能会造成废水泄漏，有可能通过垂直入渗途径对土壤环境造成一定影响。</w:t>
      </w:r>
      <w:r>
        <w:rPr>
          <w:rFonts w:hint="eastAsia"/>
          <w:color w:val="auto"/>
          <w:szCs w:val="24"/>
        </w:rPr>
        <w:t>为防止事故情况对土壤的污染，减少拟建项目运行过程中对土壤环境的不利影响，</w:t>
      </w:r>
      <w:r>
        <w:rPr>
          <w:rFonts w:hint="eastAsia"/>
          <w:color w:val="auto"/>
        </w:rPr>
        <w:t>废水处理构筑物应严格按地下水分区防渗要求采取分区防渗措施。</w:t>
      </w:r>
    </w:p>
    <w:p w14:paraId="298C1CA8">
      <w:pPr>
        <w:spacing w:line="360" w:lineRule="auto"/>
        <w:ind w:firstLine="480"/>
        <w:rPr>
          <w:color w:val="auto"/>
        </w:rPr>
      </w:pPr>
      <w:r>
        <w:rPr>
          <w:rFonts w:hint="eastAsia"/>
          <w:color w:val="auto"/>
        </w:rPr>
        <w:t>综上，在采取本评价提出的各污染防治措施前提下，做好相应防渗漏要求，加强环境管理，预计拟建项目建成后对土壤环境影响可接受。</w:t>
      </w:r>
    </w:p>
    <w:p w14:paraId="5F31BE02">
      <w:pPr>
        <w:pStyle w:val="5"/>
        <w:numPr>
          <w:ilvl w:val="0"/>
          <w:numId w:val="0"/>
        </w:numPr>
        <w:spacing w:line="360" w:lineRule="auto"/>
        <w:jc w:val="left"/>
        <w:rPr>
          <w:color w:val="auto"/>
          <w:szCs w:val="24"/>
          <w:lang w:val="en-US"/>
        </w:rPr>
      </w:pPr>
      <w:r>
        <w:rPr>
          <w:rFonts w:hint="eastAsia"/>
          <w:color w:val="auto"/>
          <w:szCs w:val="24"/>
          <w:lang w:val="en-US"/>
        </w:rPr>
        <w:t>6</w:t>
      </w:r>
      <w:r>
        <w:rPr>
          <w:color w:val="auto"/>
          <w:szCs w:val="24"/>
          <w:lang w:val="en-US"/>
        </w:rPr>
        <w:t>.6.4</w:t>
      </w:r>
      <w:r>
        <w:rPr>
          <w:rFonts w:hint="eastAsia"/>
          <w:color w:val="auto"/>
          <w:szCs w:val="24"/>
          <w:lang w:val="en-US"/>
        </w:rPr>
        <w:t>土壤环境风险防范措施</w:t>
      </w:r>
    </w:p>
    <w:p w14:paraId="2C854C8F">
      <w:pPr>
        <w:spacing w:line="360" w:lineRule="auto"/>
        <w:ind w:firstLine="480"/>
        <w:rPr>
          <w:color w:val="auto"/>
        </w:rPr>
      </w:pPr>
      <w:r>
        <w:rPr>
          <w:rFonts w:hint="eastAsia"/>
          <w:color w:val="auto"/>
        </w:rPr>
        <w:t>在本工程建设过程中，为防止事故状态对土壤的污染，减少项目运行过程中对土壤环境的不利影响，固废严格按要求进行暂存、控制项目“三废”的排放、各构筑物防渗建设等，主要采取以下措施：</w:t>
      </w:r>
    </w:p>
    <w:p w14:paraId="5F4AFDC5">
      <w:pPr>
        <w:spacing w:line="360" w:lineRule="auto"/>
        <w:ind w:firstLine="480"/>
        <w:rPr>
          <w:color w:val="auto"/>
        </w:rPr>
      </w:pPr>
      <w:r>
        <w:rPr>
          <w:rFonts w:hint="eastAsia"/>
          <w:color w:val="auto"/>
        </w:rPr>
        <w:t>（1）源头控制措施</w:t>
      </w:r>
    </w:p>
    <w:p w14:paraId="7024D155">
      <w:pPr>
        <w:spacing w:line="360" w:lineRule="auto"/>
        <w:ind w:firstLine="480"/>
        <w:rPr>
          <w:color w:val="auto"/>
        </w:rPr>
      </w:pPr>
      <w:r>
        <w:rPr>
          <w:rFonts w:hint="eastAsia"/>
          <w:color w:val="auto"/>
        </w:rPr>
        <w:t>从污水输送、处理、污染处理装置等全过程控制污水泄漏（含跑、冒、滴、漏），同时对有害物质可能泄漏到地面的区域采取防渗措施，阻止其进入土壤中，即从源头到末端全方位采取控制措施，防止项目的建设对土壤造成污染。</w:t>
      </w:r>
    </w:p>
    <w:p w14:paraId="19D84876">
      <w:pPr>
        <w:spacing w:line="360" w:lineRule="auto"/>
        <w:ind w:firstLine="480"/>
        <w:rPr>
          <w:color w:val="auto"/>
        </w:rPr>
      </w:pPr>
      <w:r>
        <w:rPr>
          <w:rFonts w:hint="eastAsia"/>
          <w:color w:val="auto"/>
        </w:rPr>
        <w:t>从生产过程入手，在工艺、管道、设备、给排水等方面尽可能地采取泄漏控制措施，从源头最大限度降低污染</w:t>
      </w:r>
      <w:r>
        <w:rPr>
          <w:rFonts w:hint="eastAsia"/>
          <w:color w:val="auto"/>
          <w:lang w:eastAsia="zh-CN"/>
        </w:rPr>
        <w:t>物</w:t>
      </w:r>
      <w:r>
        <w:rPr>
          <w:rFonts w:hint="eastAsia"/>
          <w:color w:val="auto"/>
        </w:rPr>
        <w:t>泄漏的可能性和泄漏量，使项目区污染物对土壤的影响降至最低，一旦出现泄漏等即可由区域内的各种配套措施进行收集、处置，同时经过硬化处理的地面有效阻止污染物的下渗。</w:t>
      </w:r>
    </w:p>
    <w:p w14:paraId="059B9230">
      <w:pPr>
        <w:spacing w:line="360" w:lineRule="auto"/>
        <w:ind w:firstLine="480"/>
        <w:rPr>
          <w:color w:val="auto"/>
        </w:rPr>
      </w:pPr>
      <w:r>
        <w:rPr>
          <w:rFonts w:hint="eastAsia"/>
          <w:color w:val="auto"/>
        </w:rPr>
        <w:t>（2）过程控制措施</w:t>
      </w:r>
    </w:p>
    <w:p w14:paraId="0193BB98">
      <w:pPr>
        <w:spacing w:line="360" w:lineRule="auto"/>
        <w:ind w:firstLine="480"/>
        <w:rPr>
          <w:color w:val="auto"/>
        </w:rPr>
      </w:pPr>
      <w:r>
        <w:rPr>
          <w:rFonts w:hint="eastAsia"/>
          <w:color w:val="auto"/>
        </w:rPr>
        <w:t>从大气沉降、地面漫流、垂直入渗三个途径分别进行控制。</w:t>
      </w:r>
    </w:p>
    <w:p w14:paraId="25DFFA68">
      <w:pPr>
        <w:spacing w:line="360" w:lineRule="auto"/>
        <w:ind w:firstLine="480"/>
        <w:rPr>
          <w:color w:val="auto"/>
          <w:szCs w:val="24"/>
        </w:rPr>
      </w:pPr>
      <w:r>
        <w:rPr>
          <w:rFonts w:hint="eastAsia"/>
          <w:color w:val="auto"/>
        </w:rPr>
        <w:t>拟建项目实施后</w:t>
      </w:r>
      <w:r>
        <w:rPr>
          <w:rFonts w:hint="eastAsia"/>
          <w:color w:val="auto"/>
          <w:szCs w:val="21"/>
          <w:lang w:eastAsia="zh-CN"/>
        </w:rPr>
        <w:t>收集池</w:t>
      </w:r>
      <w:r>
        <w:rPr>
          <w:rFonts w:hint="eastAsia"/>
          <w:color w:val="auto"/>
          <w:szCs w:val="21"/>
        </w:rPr>
        <w:t>、调节池、高密沉淀池、芬顿氧化池、沉淀池、</w:t>
      </w:r>
      <w:r>
        <w:rPr>
          <w:rFonts w:hint="eastAsia"/>
          <w:color w:val="auto"/>
          <w:szCs w:val="21"/>
          <w:lang w:eastAsia="zh-CN"/>
        </w:rPr>
        <w:t>浓水罐</w:t>
      </w:r>
      <w:r>
        <w:rPr>
          <w:rFonts w:hint="eastAsia"/>
          <w:color w:val="auto"/>
          <w:szCs w:val="21"/>
        </w:rPr>
        <w:t>和污泥池等主要产臭构筑物采取加盖等密闭方式对臭气进行收集，污泥暂存库、</w:t>
      </w:r>
      <w:r>
        <w:rPr>
          <w:rFonts w:hint="eastAsia"/>
          <w:color w:val="auto"/>
          <w:szCs w:val="21"/>
          <w:lang w:eastAsia="zh-CN"/>
        </w:rPr>
        <w:t>污泥压滤间</w:t>
      </w:r>
      <w:r>
        <w:rPr>
          <w:rFonts w:hint="eastAsia"/>
          <w:color w:val="auto"/>
          <w:szCs w:val="21"/>
        </w:rPr>
        <w:t>采取负压抽风收集臭气，废气收集后经1套“碱喷淋+除湿+活性炭吸附”处置达标后1</w:t>
      </w:r>
      <w:r>
        <w:rPr>
          <w:color w:val="auto"/>
          <w:szCs w:val="21"/>
        </w:rPr>
        <w:t>5</w:t>
      </w:r>
      <w:r>
        <w:rPr>
          <w:rFonts w:hint="eastAsia"/>
          <w:color w:val="auto"/>
          <w:szCs w:val="21"/>
        </w:rPr>
        <w:t>m排气筒排放</w:t>
      </w:r>
      <w:r>
        <w:rPr>
          <w:rFonts w:hint="eastAsia"/>
          <w:color w:val="auto"/>
        </w:rPr>
        <w:t>，产生的少量</w:t>
      </w:r>
      <w:r>
        <w:rPr>
          <w:color w:val="auto"/>
        </w:rPr>
        <w:t>NH</w:t>
      </w:r>
      <w:r>
        <w:rPr>
          <w:color w:val="auto"/>
          <w:vertAlign w:val="subscript"/>
        </w:rPr>
        <w:t>3</w:t>
      </w:r>
      <w:r>
        <w:rPr>
          <w:rFonts w:hint="eastAsia"/>
          <w:color w:val="auto"/>
        </w:rPr>
        <w:t>、</w:t>
      </w:r>
      <w:r>
        <w:rPr>
          <w:color w:val="auto"/>
        </w:rPr>
        <w:t>H</w:t>
      </w:r>
      <w:r>
        <w:rPr>
          <w:color w:val="auto"/>
          <w:vertAlign w:val="subscript"/>
        </w:rPr>
        <w:t>2</w:t>
      </w:r>
      <w:r>
        <w:rPr>
          <w:color w:val="auto"/>
        </w:rPr>
        <w:t>S</w:t>
      </w:r>
      <w:r>
        <w:rPr>
          <w:rFonts w:hint="eastAsia"/>
          <w:color w:val="auto"/>
        </w:rPr>
        <w:t>均能满足《恶臭污染物排放标准》（GB14554-93）要</w:t>
      </w:r>
      <w:r>
        <w:rPr>
          <w:rFonts w:hint="eastAsia"/>
          <w:color w:val="auto"/>
          <w:szCs w:val="24"/>
        </w:rPr>
        <w:t>求，</w:t>
      </w:r>
      <w:r>
        <w:rPr>
          <w:rFonts w:hint="eastAsia"/>
          <w:color w:val="auto"/>
          <w:kern w:val="0"/>
          <w:szCs w:val="24"/>
          <w:lang w:bidi="ar"/>
        </w:rPr>
        <w:t>非甲烷总烃满足《大气污染物综合排放标准》（DB 50/418－2016）</w:t>
      </w:r>
      <w:r>
        <w:rPr>
          <w:rFonts w:hint="eastAsia"/>
          <w:color w:val="auto"/>
          <w:kern w:val="0"/>
        </w:rPr>
        <w:t>。</w:t>
      </w:r>
    </w:p>
    <w:p w14:paraId="5B5D37E9">
      <w:pPr>
        <w:spacing w:line="360" w:lineRule="auto"/>
        <w:ind w:firstLine="480"/>
        <w:rPr>
          <w:color w:val="auto"/>
        </w:rPr>
      </w:pPr>
      <w:r>
        <w:rPr>
          <w:rFonts w:hint="eastAsia"/>
          <w:color w:val="auto"/>
        </w:rPr>
        <w:t>对于项目事故状态的废水，必须保证在未经处理满足要求的前提下不得流出厂界。项目须贯彻</w:t>
      </w:r>
      <w:r>
        <w:rPr>
          <w:color w:val="auto"/>
        </w:rPr>
        <w:t>“</w:t>
      </w:r>
      <w:r>
        <w:rPr>
          <w:rFonts w:hint="eastAsia"/>
          <w:color w:val="auto"/>
        </w:rPr>
        <w:t>围、追、堵、截</w:t>
      </w:r>
      <w:r>
        <w:rPr>
          <w:color w:val="auto"/>
        </w:rPr>
        <w:t>”</w:t>
      </w:r>
      <w:r>
        <w:rPr>
          <w:rFonts w:hint="eastAsia"/>
          <w:color w:val="auto"/>
        </w:rPr>
        <w:t>的原则，采取多级防护措施，确保事故废水未经处理不得出厂界。同时项目一旦发生故障，</w:t>
      </w:r>
      <w:r>
        <w:rPr>
          <w:rFonts w:hint="eastAsia"/>
          <w:color w:val="auto"/>
          <w:lang w:eastAsia="zh-CN"/>
        </w:rPr>
        <w:t>污水处理厂</w:t>
      </w:r>
      <w:r>
        <w:rPr>
          <w:rFonts w:hint="eastAsia"/>
          <w:color w:val="auto"/>
        </w:rPr>
        <w:t>废水将排入事故池，若短时间内故障仍未排除，企业需停产，待故障排除时才能恢复生产。待污水处理系统恢复正常使用后，再将事故池中的污水引到污水处理系统处理达标后外排，防止废水事故性风险排放。污水处理厂与用水单位之间，要有畅通的信息交流管道，建立企业的事故报告制度。加强监控和管理，及时发现和处理问题，避免污水事故性排放。一旦污水处理厂发生事故，应立刻停止向回用企业输送出水，并第一时间向回用企业报告事故的类型、估计事故源强等。</w:t>
      </w:r>
    </w:p>
    <w:p w14:paraId="024D8CCA">
      <w:pPr>
        <w:spacing w:line="360" w:lineRule="auto"/>
        <w:ind w:firstLine="480"/>
        <w:rPr>
          <w:color w:val="auto"/>
        </w:rPr>
      </w:pPr>
      <w:r>
        <w:rPr>
          <w:rFonts w:hint="eastAsia"/>
          <w:color w:val="auto"/>
        </w:rPr>
        <w:t>项目厂区采取分区防渗措施，包括</w:t>
      </w:r>
      <w:r>
        <w:rPr>
          <w:rFonts w:hint="eastAsia"/>
          <w:color w:val="auto"/>
          <w:szCs w:val="24"/>
        </w:rPr>
        <w:t>重点防渗区、一般防渗区和简单防渗区。</w:t>
      </w:r>
      <w:r>
        <w:rPr>
          <w:rFonts w:hint="eastAsia"/>
          <w:color w:val="auto"/>
        </w:rPr>
        <w:t>其中重点污染防治区包括</w:t>
      </w:r>
      <w:r>
        <w:rPr>
          <w:rFonts w:hint="eastAsia"/>
          <w:color w:val="auto"/>
          <w:szCs w:val="24"/>
        </w:rPr>
        <w:t>收集池、调节池、</w:t>
      </w:r>
      <w:r>
        <w:rPr>
          <w:rFonts w:hint="eastAsia"/>
          <w:color w:val="auto"/>
          <w:szCs w:val="21"/>
        </w:rPr>
        <w:t>一体化气浮池</w:t>
      </w:r>
      <w:r>
        <w:rPr>
          <w:rFonts w:hint="eastAsia"/>
          <w:color w:val="auto"/>
          <w:szCs w:val="24"/>
        </w:rPr>
        <w:t>、</w:t>
      </w:r>
      <w:r>
        <w:rPr>
          <w:rFonts w:hint="eastAsia"/>
          <w:color w:val="auto"/>
          <w:szCs w:val="21"/>
        </w:rPr>
        <w:t>一体化高效沉淀池</w:t>
      </w:r>
      <w:r>
        <w:rPr>
          <w:rFonts w:hint="eastAsia"/>
          <w:color w:val="auto"/>
          <w:szCs w:val="24"/>
        </w:rPr>
        <w:t>、</w:t>
      </w:r>
      <w:r>
        <w:rPr>
          <w:rFonts w:hint="eastAsia"/>
          <w:color w:val="auto"/>
          <w:szCs w:val="21"/>
        </w:rPr>
        <w:t>pH调节罐</w:t>
      </w:r>
      <w:r>
        <w:rPr>
          <w:rFonts w:hint="eastAsia"/>
          <w:color w:val="auto"/>
          <w:szCs w:val="24"/>
        </w:rPr>
        <w:t>、</w:t>
      </w:r>
      <w:r>
        <w:rPr>
          <w:rFonts w:hint="eastAsia"/>
          <w:color w:val="auto"/>
          <w:szCs w:val="21"/>
        </w:rPr>
        <w:t>DTRO膜系统</w:t>
      </w:r>
      <w:r>
        <w:rPr>
          <w:rFonts w:hint="eastAsia"/>
          <w:color w:val="auto"/>
          <w:szCs w:val="24"/>
        </w:rPr>
        <w:t>、</w:t>
      </w:r>
      <w:r>
        <w:rPr>
          <w:rFonts w:hint="eastAsia"/>
          <w:color w:val="auto"/>
          <w:szCs w:val="24"/>
          <w:lang w:eastAsia="zh-CN"/>
        </w:rPr>
        <w:t>浓水罐</w:t>
      </w:r>
      <w:r>
        <w:rPr>
          <w:rFonts w:hint="eastAsia"/>
          <w:color w:val="auto"/>
          <w:szCs w:val="24"/>
        </w:rPr>
        <w:t>、污泥池、事故池、</w:t>
      </w:r>
      <w:r>
        <w:rPr>
          <w:rFonts w:hint="eastAsia"/>
          <w:color w:val="auto"/>
          <w:szCs w:val="24"/>
          <w:lang w:eastAsia="zh-CN"/>
        </w:rPr>
        <w:t>污泥压滤间</w:t>
      </w:r>
      <w:r>
        <w:rPr>
          <w:color w:val="auto"/>
          <w:szCs w:val="24"/>
        </w:rPr>
        <w:t>等</w:t>
      </w:r>
      <w:r>
        <w:rPr>
          <w:rFonts w:hint="eastAsia"/>
          <w:color w:val="auto"/>
          <w:szCs w:val="24"/>
        </w:rPr>
        <w:t>污水处理构筑物及加药间、污泥暂存库、危废贮存库</w:t>
      </w:r>
      <w:r>
        <w:rPr>
          <w:rFonts w:hint="eastAsia"/>
          <w:color w:val="auto"/>
        </w:rPr>
        <w:t>；</w:t>
      </w:r>
      <w:r>
        <w:rPr>
          <w:rFonts w:hint="eastAsia"/>
          <w:color w:val="auto"/>
          <w:szCs w:val="24"/>
        </w:rPr>
        <w:t>一般防渗区包括清水池、盐贮存库、一般固废暂存间、多效蒸发器等，简单防渗区包括厂区道路、绿化区、综合楼、门卫室等。</w:t>
      </w:r>
      <w:r>
        <w:rPr>
          <w:rFonts w:hint="eastAsia"/>
          <w:color w:val="auto"/>
        </w:rPr>
        <w:t>企业在管理方面严加管理，并严格落实相应的防渗措施，可有效</w:t>
      </w:r>
      <w:r>
        <w:rPr>
          <w:rFonts w:hint="eastAsia"/>
          <w:color w:val="auto"/>
          <w:lang w:eastAsia="zh-CN"/>
        </w:rPr>
        <w:t>防止</w:t>
      </w:r>
      <w:r>
        <w:rPr>
          <w:rFonts w:hint="eastAsia"/>
          <w:color w:val="auto"/>
        </w:rPr>
        <w:t>污水处理过程中因污水泄漏垂直下渗造成对区域土壤环境的污染。</w:t>
      </w:r>
    </w:p>
    <w:p w14:paraId="2BEC9D5E">
      <w:pPr>
        <w:spacing w:line="360" w:lineRule="auto"/>
        <w:ind w:firstLine="480"/>
        <w:rPr>
          <w:color w:val="auto"/>
        </w:rPr>
      </w:pPr>
      <w:r>
        <w:rPr>
          <w:rFonts w:hint="eastAsia"/>
          <w:color w:val="auto"/>
        </w:rPr>
        <w:t>综上，拟建项目采取相应的污染治理措施后，可确保污染物的达标排放及防止渗漏发生，可从源头上控制项目对区域土壤环境的污染源强，确保项目对区域土壤环境的影响处于可接受水平。因此，只要企业严格落实本报告提出的污染防治措施，项目对区域土壤环境影响是可接受的。</w:t>
      </w:r>
    </w:p>
    <w:p w14:paraId="2BC44922">
      <w:pPr>
        <w:ind w:firstLine="482"/>
        <w:jc w:val="center"/>
        <w:rPr>
          <w:b/>
          <w:color w:val="auto"/>
          <w:kern w:val="0"/>
        </w:rPr>
      </w:pPr>
      <w:r>
        <w:rPr>
          <w:b/>
          <w:color w:val="auto"/>
          <w:kern w:val="0"/>
        </w:rPr>
        <w:t>表6.6-1  土壤环境影响评价自查表</w:t>
      </w:r>
    </w:p>
    <w:tbl>
      <w:tblPr>
        <w:tblStyle w:val="88"/>
        <w:tblW w:w="51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25"/>
        <w:gridCol w:w="1684"/>
        <w:gridCol w:w="1095"/>
        <w:gridCol w:w="145"/>
        <w:gridCol w:w="1309"/>
        <w:gridCol w:w="1605"/>
        <w:gridCol w:w="436"/>
        <w:gridCol w:w="622"/>
        <w:gridCol w:w="266"/>
        <w:gridCol w:w="585"/>
        <w:gridCol w:w="1140"/>
      </w:tblGrid>
      <w:tr w14:paraId="13C31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132" w:type="pct"/>
            <w:gridSpan w:val="2"/>
            <w:vAlign w:val="center"/>
          </w:tcPr>
          <w:p w14:paraId="64BD7800">
            <w:pPr>
              <w:pStyle w:val="3361"/>
              <w:rPr>
                <w:color w:val="auto"/>
                <w:lang w:eastAsia="en-US" w:bidi="en-US"/>
              </w:rPr>
            </w:pPr>
            <w:r>
              <w:rPr>
                <w:rFonts w:hint="eastAsia"/>
                <w:color w:val="auto"/>
                <w:lang w:eastAsia="en-US" w:bidi="en-US"/>
              </w:rPr>
              <w:t>工作内容</w:t>
            </w:r>
          </w:p>
        </w:tc>
        <w:tc>
          <w:tcPr>
            <w:tcW w:w="3256" w:type="pct"/>
            <w:gridSpan w:val="8"/>
            <w:vAlign w:val="center"/>
          </w:tcPr>
          <w:p w14:paraId="2C578708">
            <w:pPr>
              <w:pStyle w:val="3361"/>
              <w:rPr>
                <w:color w:val="auto"/>
                <w:lang w:eastAsia="en-US" w:bidi="en-US"/>
              </w:rPr>
            </w:pPr>
            <w:r>
              <w:rPr>
                <w:rFonts w:hint="eastAsia"/>
                <w:color w:val="auto"/>
                <w:lang w:eastAsia="en-US" w:bidi="en-US"/>
              </w:rPr>
              <w:t>完成情况</w:t>
            </w:r>
          </w:p>
        </w:tc>
        <w:tc>
          <w:tcPr>
            <w:tcW w:w="612" w:type="pct"/>
            <w:vAlign w:val="center"/>
          </w:tcPr>
          <w:p w14:paraId="79337297">
            <w:pPr>
              <w:pStyle w:val="3361"/>
              <w:rPr>
                <w:color w:val="auto"/>
                <w:lang w:eastAsia="en-US" w:bidi="en-US"/>
              </w:rPr>
            </w:pPr>
            <w:r>
              <w:rPr>
                <w:rFonts w:hint="eastAsia"/>
                <w:color w:val="auto"/>
                <w:lang w:eastAsia="en-US" w:bidi="en-US"/>
              </w:rPr>
              <w:t>备注</w:t>
            </w:r>
          </w:p>
        </w:tc>
      </w:tr>
      <w:tr w14:paraId="12403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jc w:val="center"/>
        </w:trPr>
        <w:tc>
          <w:tcPr>
            <w:tcW w:w="228" w:type="pct"/>
            <w:vMerge w:val="restart"/>
            <w:vAlign w:val="center"/>
          </w:tcPr>
          <w:p w14:paraId="36934D37">
            <w:pPr>
              <w:pStyle w:val="3361"/>
              <w:rPr>
                <w:color w:val="auto"/>
                <w:lang w:bidi="en-US"/>
              </w:rPr>
            </w:pPr>
            <w:r>
              <w:rPr>
                <w:rFonts w:hint="eastAsia"/>
                <w:color w:val="auto"/>
                <w:lang w:eastAsia="en-US" w:bidi="en-US"/>
              </w:rPr>
              <w:t>影</w:t>
            </w:r>
          </w:p>
          <w:p w14:paraId="5FF53C0D">
            <w:pPr>
              <w:pStyle w:val="3361"/>
              <w:rPr>
                <w:color w:val="auto"/>
                <w:lang w:bidi="en-US"/>
              </w:rPr>
            </w:pPr>
            <w:r>
              <w:rPr>
                <w:rFonts w:hint="eastAsia"/>
                <w:color w:val="auto"/>
                <w:lang w:eastAsia="en-US" w:bidi="en-US"/>
              </w:rPr>
              <w:t>响</w:t>
            </w:r>
          </w:p>
          <w:p w14:paraId="6677E849">
            <w:pPr>
              <w:pStyle w:val="3361"/>
              <w:rPr>
                <w:color w:val="auto"/>
                <w:lang w:bidi="en-US"/>
              </w:rPr>
            </w:pPr>
            <w:r>
              <w:rPr>
                <w:rFonts w:hint="eastAsia"/>
                <w:color w:val="auto"/>
                <w:lang w:eastAsia="en-US" w:bidi="en-US"/>
              </w:rPr>
              <w:t>识</w:t>
            </w:r>
          </w:p>
          <w:p w14:paraId="3A3EF841">
            <w:pPr>
              <w:pStyle w:val="3361"/>
              <w:rPr>
                <w:color w:val="auto"/>
                <w:lang w:eastAsia="en-US" w:bidi="en-US"/>
              </w:rPr>
            </w:pPr>
            <w:r>
              <w:rPr>
                <w:rFonts w:hint="eastAsia"/>
                <w:color w:val="auto"/>
                <w:lang w:eastAsia="en-US" w:bidi="en-US"/>
              </w:rPr>
              <w:t>别</w:t>
            </w:r>
          </w:p>
        </w:tc>
        <w:tc>
          <w:tcPr>
            <w:tcW w:w="904" w:type="pct"/>
            <w:vAlign w:val="center"/>
          </w:tcPr>
          <w:p w14:paraId="6574BC60">
            <w:pPr>
              <w:pStyle w:val="3361"/>
              <w:rPr>
                <w:color w:val="auto"/>
                <w:lang w:eastAsia="en-US" w:bidi="en-US"/>
              </w:rPr>
            </w:pPr>
            <w:r>
              <w:rPr>
                <w:rFonts w:hint="eastAsia"/>
                <w:color w:val="auto"/>
                <w:lang w:eastAsia="en-US" w:bidi="en-US"/>
              </w:rPr>
              <w:t>影响类型</w:t>
            </w:r>
          </w:p>
        </w:tc>
        <w:tc>
          <w:tcPr>
            <w:tcW w:w="3256" w:type="pct"/>
            <w:gridSpan w:val="8"/>
            <w:vAlign w:val="center"/>
          </w:tcPr>
          <w:p w14:paraId="4BEC97A6">
            <w:pPr>
              <w:pStyle w:val="3361"/>
              <w:rPr>
                <w:color w:val="auto"/>
                <w:lang w:bidi="en-US"/>
              </w:rPr>
            </w:pPr>
            <w:r>
              <w:rPr>
                <w:rFonts w:hint="eastAsia"/>
                <w:color w:val="auto"/>
                <w:lang w:bidi="en-US"/>
              </w:rPr>
              <w:t>污染影响型</w:t>
            </w:r>
            <w:r>
              <w:rPr>
                <w:rFonts w:hint="eastAsia" w:ascii="Segoe UI Symbol" w:hAnsi="Segoe UI Symbol" w:eastAsia="MS Mincho" w:cs="Segoe UI Symbol"/>
                <w:color w:val="auto"/>
              </w:rPr>
              <w:t>☑</w:t>
            </w:r>
            <w:r>
              <w:rPr>
                <w:rFonts w:hint="eastAsia"/>
                <w:color w:val="auto"/>
                <w:lang w:bidi="en-US"/>
              </w:rPr>
              <w:t>；生态影响型□；两种兼有□</w:t>
            </w:r>
          </w:p>
        </w:tc>
        <w:tc>
          <w:tcPr>
            <w:tcW w:w="612" w:type="pct"/>
            <w:vAlign w:val="center"/>
          </w:tcPr>
          <w:p w14:paraId="1BC5964C">
            <w:pPr>
              <w:pStyle w:val="3361"/>
              <w:rPr>
                <w:color w:val="auto"/>
                <w:lang w:bidi="en-US"/>
              </w:rPr>
            </w:pPr>
          </w:p>
        </w:tc>
      </w:tr>
      <w:tr w14:paraId="793B2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228" w:type="pct"/>
            <w:vMerge w:val="continue"/>
            <w:vAlign w:val="center"/>
          </w:tcPr>
          <w:p w14:paraId="1F96CED2">
            <w:pPr>
              <w:pStyle w:val="3361"/>
              <w:rPr>
                <w:color w:val="auto"/>
                <w:lang w:bidi="en-US"/>
              </w:rPr>
            </w:pPr>
          </w:p>
        </w:tc>
        <w:tc>
          <w:tcPr>
            <w:tcW w:w="904" w:type="pct"/>
            <w:vAlign w:val="center"/>
          </w:tcPr>
          <w:p w14:paraId="4B73988C">
            <w:pPr>
              <w:pStyle w:val="3361"/>
              <w:rPr>
                <w:color w:val="auto"/>
                <w:lang w:eastAsia="en-US" w:bidi="en-US"/>
              </w:rPr>
            </w:pPr>
            <w:r>
              <w:rPr>
                <w:rFonts w:hint="eastAsia"/>
                <w:color w:val="auto"/>
                <w:lang w:eastAsia="en-US" w:bidi="en-US"/>
              </w:rPr>
              <w:t>土地利用类型</w:t>
            </w:r>
          </w:p>
        </w:tc>
        <w:tc>
          <w:tcPr>
            <w:tcW w:w="3256" w:type="pct"/>
            <w:gridSpan w:val="8"/>
            <w:vAlign w:val="center"/>
          </w:tcPr>
          <w:p w14:paraId="07EBE377">
            <w:pPr>
              <w:pStyle w:val="3361"/>
              <w:rPr>
                <w:color w:val="auto"/>
                <w:lang w:bidi="en-US"/>
              </w:rPr>
            </w:pPr>
            <w:r>
              <w:rPr>
                <w:rFonts w:hint="eastAsia"/>
                <w:color w:val="auto"/>
                <w:lang w:bidi="en-US"/>
              </w:rPr>
              <w:t>建设用地</w:t>
            </w:r>
            <w:r>
              <w:rPr>
                <w:rFonts w:hint="eastAsia" w:ascii="Segoe UI Symbol" w:hAnsi="Segoe UI Symbol" w:eastAsia="MS Mincho" w:cs="Segoe UI Symbol"/>
                <w:color w:val="auto"/>
              </w:rPr>
              <w:t>☑</w:t>
            </w:r>
            <w:r>
              <w:rPr>
                <w:rFonts w:hint="eastAsia"/>
                <w:color w:val="auto"/>
                <w:lang w:bidi="en-US"/>
              </w:rPr>
              <w:t>；农用地□；未利用地□</w:t>
            </w:r>
          </w:p>
        </w:tc>
        <w:tc>
          <w:tcPr>
            <w:tcW w:w="612" w:type="pct"/>
            <w:vAlign w:val="center"/>
          </w:tcPr>
          <w:p w14:paraId="6B3E7BB8">
            <w:pPr>
              <w:pStyle w:val="3361"/>
              <w:rPr>
                <w:color w:val="auto"/>
                <w:lang w:eastAsia="en-US" w:bidi="en-US"/>
              </w:rPr>
            </w:pPr>
            <w:r>
              <w:rPr>
                <w:rFonts w:hint="eastAsia"/>
                <w:color w:val="auto"/>
                <w:lang w:eastAsia="en-US" w:bidi="en-US"/>
              </w:rPr>
              <w:t>土地利用类</w:t>
            </w:r>
          </w:p>
          <w:p w14:paraId="773322E7">
            <w:pPr>
              <w:pStyle w:val="3361"/>
              <w:rPr>
                <w:color w:val="auto"/>
                <w:lang w:eastAsia="en-US" w:bidi="en-US"/>
              </w:rPr>
            </w:pPr>
            <w:r>
              <w:rPr>
                <w:rFonts w:hint="eastAsia"/>
                <w:color w:val="auto"/>
                <w:lang w:eastAsia="en-US" w:bidi="en-US"/>
              </w:rPr>
              <w:t>型图</w:t>
            </w:r>
          </w:p>
        </w:tc>
      </w:tr>
      <w:tr w14:paraId="7991B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28" w:type="pct"/>
            <w:vMerge w:val="continue"/>
            <w:vAlign w:val="center"/>
          </w:tcPr>
          <w:p w14:paraId="17C5E58C">
            <w:pPr>
              <w:pStyle w:val="3361"/>
              <w:rPr>
                <w:color w:val="auto"/>
                <w:lang w:eastAsia="en-US" w:bidi="en-US"/>
              </w:rPr>
            </w:pPr>
          </w:p>
        </w:tc>
        <w:tc>
          <w:tcPr>
            <w:tcW w:w="904" w:type="pct"/>
            <w:vAlign w:val="center"/>
          </w:tcPr>
          <w:p w14:paraId="0115B84B">
            <w:pPr>
              <w:pStyle w:val="3361"/>
              <w:rPr>
                <w:color w:val="auto"/>
                <w:lang w:eastAsia="en-US" w:bidi="en-US"/>
              </w:rPr>
            </w:pPr>
            <w:r>
              <w:rPr>
                <w:rFonts w:hint="eastAsia"/>
                <w:color w:val="auto"/>
                <w:lang w:eastAsia="en-US" w:bidi="en-US"/>
              </w:rPr>
              <w:t>占地规模</w:t>
            </w:r>
          </w:p>
        </w:tc>
        <w:tc>
          <w:tcPr>
            <w:tcW w:w="3256" w:type="pct"/>
            <w:gridSpan w:val="8"/>
            <w:vAlign w:val="center"/>
          </w:tcPr>
          <w:p w14:paraId="6E7A5CC8">
            <w:pPr>
              <w:pStyle w:val="3361"/>
              <w:rPr>
                <w:rFonts w:eastAsia="Times New Roman"/>
                <w:color w:val="auto"/>
                <w:lang w:eastAsia="en-US" w:bidi="en-US"/>
              </w:rPr>
            </w:pPr>
            <w:r>
              <w:rPr>
                <w:rFonts w:hint="eastAsia"/>
                <w:color w:val="auto"/>
                <w:lang w:eastAsia="zh-CN" w:bidi="en-US"/>
              </w:rPr>
              <w:t>(</w:t>
            </w:r>
            <w:r>
              <w:rPr>
                <w:rFonts w:hint="eastAsia"/>
                <w:color w:val="auto"/>
                <w:lang w:bidi="en-US"/>
              </w:rPr>
              <w:t xml:space="preserve"> </w:t>
            </w:r>
            <w:r>
              <w:rPr>
                <w:rFonts w:hint="eastAsia"/>
                <w:color w:val="auto"/>
                <w:lang w:eastAsia="en-US" w:bidi="en-US"/>
              </w:rPr>
              <w:t>0.85</w:t>
            </w:r>
            <w:r>
              <w:rPr>
                <w:rFonts w:hint="eastAsia"/>
                <w:color w:val="auto"/>
                <w:lang w:eastAsia="zh-CN" w:bidi="en-US"/>
              </w:rPr>
              <w:t>)</w:t>
            </w:r>
            <w:r>
              <w:rPr>
                <w:rFonts w:hint="eastAsia" w:eastAsia="Times New Roman"/>
                <w:color w:val="auto"/>
                <w:lang w:eastAsia="en-US" w:bidi="en-US"/>
              </w:rPr>
              <w:t>hm</w:t>
            </w:r>
            <w:r>
              <w:rPr>
                <w:rFonts w:hint="eastAsia" w:eastAsia="Times New Roman"/>
                <w:color w:val="auto"/>
                <w:position w:val="6"/>
                <w:vertAlign w:val="superscript"/>
                <w:lang w:eastAsia="en-US" w:bidi="en-US"/>
              </w:rPr>
              <w:t>2</w:t>
            </w:r>
          </w:p>
        </w:tc>
        <w:tc>
          <w:tcPr>
            <w:tcW w:w="612" w:type="pct"/>
            <w:vAlign w:val="center"/>
          </w:tcPr>
          <w:p w14:paraId="69456BDB">
            <w:pPr>
              <w:pStyle w:val="3361"/>
              <w:rPr>
                <w:color w:val="auto"/>
                <w:lang w:eastAsia="en-US" w:bidi="en-US"/>
              </w:rPr>
            </w:pPr>
          </w:p>
        </w:tc>
      </w:tr>
      <w:tr w14:paraId="37F49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28" w:type="pct"/>
            <w:vMerge w:val="continue"/>
            <w:vAlign w:val="center"/>
          </w:tcPr>
          <w:p w14:paraId="49165CA4">
            <w:pPr>
              <w:pStyle w:val="3361"/>
              <w:rPr>
                <w:color w:val="auto"/>
                <w:lang w:eastAsia="en-US" w:bidi="en-US"/>
              </w:rPr>
            </w:pPr>
          </w:p>
        </w:tc>
        <w:tc>
          <w:tcPr>
            <w:tcW w:w="904" w:type="pct"/>
            <w:vAlign w:val="center"/>
          </w:tcPr>
          <w:p w14:paraId="76C18B31">
            <w:pPr>
              <w:pStyle w:val="3361"/>
              <w:rPr>
                <w:color w:val="auto"/>
                <w:lang w:eastAsia="en-US" w:bidi="en-US"/>
              </w:rPr>
            </w:pPr>
            <w:r>
              <w:rPr>
                <w:rFonts w:hint="eastAsia"/>
                <w:color w:val="auto"/>
                <w:lang w:eastAsia="en-US" w:bidi="en-US"/>
              </w:rPr>
              <w:t>敏感目标信息</w:t>
            </w:r>
          </w:p>
        </w:tc>
        <w:tc>
          <w:tcPr>
            <w:tcW w:w="3256" w:type="pct"/>
            <w:gridSpan w:val="8"/>
            <w:shd w:val="clear" w:color="auto" w:fill="auto"/>
            <w:vAlign w:val="center"/>
          </w:tcPr>
          <w:p w14:paraId="1B15D206">
            <w:pPr>
              <w:pStyle w:val="3361"/>
              <w:rPr>
                <w:color w:val="auto"/>
                <w:lang w:bidi="en-US"/>
              </w:rPr>
            </w:pPr>
            <w:r>
              <w:rPr>
                <w:rFonts w:hint="eastAsia"/>
                <w:color w:val="auto"/>
                <w:lang w:bidi="en-US"/>
              </w:rPr>
              <w:t>敏感目标（）、方位（）、距离（）</w:t>
            </w:r>
          </w:p>
        </w:tc>
        <w:tc>
          <w:tcPr>
            <w:tcW w:w="612" w:type="pct"/>
            <w:vAlign w:val="center"/>
          </w:tcPr>
          <w:p w14:paraId="3803D58C">
            <w:pPr>
              <w:pStyle w:val="3361"/>
              <w:rPr>
                <w:color w:val="auto"/>
                <w:lang w:bidi="en-US"/>
              </w:rPr>
            </w:pPr>
          </w:p>
        </w:tc>
      </w:tr>
      <w:tr w14:paraId="1597E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28" w:type="pct"/>
            <w:vMerge w:val="continue"/>
            <w:vAlign w:val="center"/>
          </w:tcPr>
          <w:p w14:paraId="30D17453">
            <w:pPr>
              <w:pStyle w:val="3361"/>
              <w:rPr>
                <w:color w:val="auto"/>
                <w:lang w:bidi="en-US"/>
              </w:rPr>
            </w:pPr>
          </w:p>
        </w:tc>
        <w:tc>
          <w:tcPr>
            <w:tcW w:w="904" w:type="pct"/>
            <w:vAlign w:val="center"/>
          </w:tcPr>
          <w:p w14:paraId="299D1E00">
            <w:pPr>
              <w:pStyle w:val="3361"/>
              <w:rPr>
                <w:color w:val="auto"/>
                <w:lang w:eastAsia="en-US" w:bidi="en-US"/>
              </w:rPr>
            </w:pPr>
            <w:r>
              <w:rPr>
                <w:rFonts w:hint="eastAsia"/>
                <w:color w:val="auto"/>
                <w:lang w:eastAsia="en-US" w:bidi="en-US"/>
              </w:rPr>
              <w:t>影响途径</w:t>
            </w:r>
          </w:p>
        </w:tc>
        <w:tc>
          <w:tcPr>
            <w:tcW w:w="3256" w:type="pct"/>
            <w:gridSpan w:val="8"/>
            <w:shd w:val="clear" w:color="auto" w:fill="auto"/>
            <w:vAlign w:val="center"/>
          </w:tcPr>
          <w:p w14:paraId="124F75AF">
            <w:pPr>
              <w:pStyle w:val="3361"/>
              <w:rPr>
                <w:color w:val="auto"/>
                <w:lang w:bidi="en-US"/>
              </w:rPr>
            </w:pPr>
            <w:r>
              <w:rPr>
                <w:rFonts w:hint="eastAsia"/>
                <w:color w:val="auto"/>
                <w:lang w:bidi="en-US"/>
              </w:rPr>
              <w:t>（大气沉降□；地面漫流</w:t>
            </w:r>
            <w:r>
              <w:rPr>
                <w:rFonts w:hint="eastAsia" w:ascii="Segoe UI Symbol" w:hAnsi="Segoe UI Symbol" w:cs="Segoe UI Symbol"/>
                <w:color w:val="auto"/>
                <w:lang w:bidi="en-US"/>
              </w:rPr>
              <w:t>☑</w:t>
            </w:r>
            <w:r>
              <w:rPr>
                <w:rFonts w:hint="eastAsia"/>
                <w:color w:val="auto"/>
                <w:lang w:bidi="en-US"/>
              </w:rPr>
              <w:t>；垂直入渗</w:t>
            </w:r>
            <w:r>
              <w:rPr>
                <w:rFonts w:hint="eastAsia" w:ascii="Segoe UI Symbol" w:hAnsi="Segoe UI Symbol" w:cs="Segoe UI Symbol"/>
                <w:color w:val="auto"/>
                <w:lang w:bidi="en-US"/>
              </w:rPr>
              <w:t>☑</w:t>
            </w:r>
            <w:r>
              <w:rPr>
                <w:rFonts w:hint="eastAsia"/>
                <w:color w:val="auto"/>
                <w:lang w:bidi="en-US"/>
              </w:rPr>
              <w:t>；地下水位□；其他□）</w:t>
            </w:r>
          </w:p>
        </w:tc>
        <w:tc>
          <w:tcPr>
            <w:tcW w:w="612" w:type="pct"/>
            <w:vAlign w:val="center"/>
          </w:tcPr>
          <w:p w14:paraId="36D0B03A">
            <w:pPr>
              <w:pStyle w:val="3361"/>
              <w:rPr>
                <w:color w:val="auto"/>
                <w:lang w:bidi="en-US"/>
              </w:rPr>
            </w:pPr>
          </w:p>
        </w:tc>
      </w:tr>
      <w:tr w14:paraId="29FF5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jc w:val="center"/>
        </w:trPr>
        <w:tc>
          <w:tcPr>
            <w:tcW w:w="228" w:type="pct"/>
            <w:vMerge w:val="continue"/>
            <w:vAlign w:val="center"/>
          </w:tcPr>
          <w:p w14:paraId="582E79B3">
            <w:pPr>
              <w:pStyle w:val="3361"/>
              <w:rPr>
                <w:color w:val="auto"/>
                <w:lang w:bidi="en-US"/>
              </w:rPr>
            </w:pPr>
          </w:p>
        </w:tc>
        <w:tc>
          <w:tcPr>
            <w:tcW w:w="904" w:type="pct"/>
            <w:vAlign w:val="center"/>
          </w:tcPr>
          <w:p w14:paraId="13023D51">
            <w:pPr>
              <w:pStyle w:val="3361"/>
              <w:rPr>
                <w:color w:val="auto"/>
                <w:lang w:eastAsia="en-US" w:bidi="en-US"/>
              </w:rPr>
            </w:pPr>
            <w:r>
              <w:rPr>
                <w:rFonts w:hint="eastAsia"/>
                <w:color w:val="auto"/>
                <w:lang w:eastAsia="en-US" w:bidi="en-US"/>
              </w:rPr>
              <w:t>全部污染物</w:t>
            </w:r>
          </w:p>
        </w:tc>
        <w:tc>
          <w:tcPr>
            <w:tcW w:w="3256" w:type="pct"/>
            <w:gridSpan w:val="8"/>
            <w:vAlign w:val="center"/>
          </w:tcPr>
          <w:p w14:paraId="14183957">
            <w:pPr>
              <w:pStyle w:val="3361"/>
              <w:rPr>
                <w:color w:val="auto"/>
                <w:lang w:bidi="en-US"/>
              </w:rPr>
            </w:pPr>
            <w:r>
              <w:rPr>
                <w:rFonts w:hint="eastAsia"/>
                <w:color w:val="auto"/>
                <w:lang w:bidi="en-US"/>
              </w:rPr>
              <w:t>COD、石油类。</w:t>
            </w:r>
          </w:p>
        </w:tc>
        <w:tc>
          <w:tcPr>
            <w:tcW w:w="612" w:type="pct"/>
            <w:vAlign w:val="center"/>
          </w:tcPr>
          <w:p w14:paraId="7E47C6DC">
            <w:pPr>
              <w:pStyle w:val="3361"/>
              <w:rPr>
                <w:color w:val="auto"/>
                <w:lang w:bidi="en-US"/>
              </w:rPr>
            </w:pPr>
          </w:p>
        </w:tc>
      </w:tr>
      <w:tr w14:paraId="52E4F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28" w:type="pct"/>
            <w:vMerge w:val="continue"/>
            <w:vAlign w:val="center"/>
          </w:tcPr>
          <w:p w14:paraId="4AFC28C4">
            <w:pPr>
              <w:pStyle w:val="3361"/>
              <w:rPr>
                <w:color w:val="auto"/>
                <w:lang w:bidi="en-US"/>
              </w:rPr>
            </w:pPr>
          </w:p>
        </w:tc>
        <w:tc>
          <w:tcPr>
            <w:tcW w:w="904" w:type="pct"/>
            <w:vAlign w:val="center"/>
          </w:tcPr>
          <w:p w14:paraId="190002CE">
            <w:pPr>
              <w:pStyle w:val="3361"/>
              <w:rPr>
                <w:color w:val="auto"/>
                <w:lang w:eastAsia="en-US" w:bidi="en-US"/>
              </w:rPr>
            </w:pPr>
            <w:r>
              <w:rPr>
                <w:rFonts w:hint="eastAsia"/>
                <w:color w:val="auto"/>
                <w:lang w:eastAsia="en-US" w:bidi="en-US"/>
              </w:rPr>
              <w:t>特征因子</w:t>
            </w:r>
          </w:p>
        </w:tc>
        <w:tc>
          <w:tcPr>
            <w:tcW w:w="3256" w:type="pct"/>
            <w:gridSpan w:val="8"/>
            <w:vAlign w:val="center"/>
          </w:tcPr>
          <w:p w14:paraId="462FC295">
            <w:pPr>
              <w:pStyle w:val="3361"/>
              <w:rPr>
                <w:color w:val="auto"/>
                <w:lang w:bidi="en-US"/>
              </w:rPr>
            </w:pPr>
            <w:r>
              <w:rPr>
                <w:rFonts w:hint="eastAsia"/>
                <w:color w:val="auto"/>
                <w:lang w:bidi="en-US"/>
              </w:rPr>
              <w:t>COD、石油类</w:t>
            </w:r>
          </w:p>
        </w:tc>
        <w:tc>
          <w:tcPr>
            <w:tcW w:w="612" w:type="pct"/>
            <w:vAlign w:val="center"/>
          </w:tcPr>
          <w:p w14:paraId="41B371CF">
            <w:pPr>
              <w:pStyle w:val="3361"/>
              <w:rPr>
                <w:color w:val="auto"/>
                <w:lang w:bidi="en-US"/>
              </w:rPr>
            </w:pPr>
          </w:p>
        </w:tc>
      </w:tr>
      <w:tr w14:paraId="54774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3" w:hRule="atLeast"/>
          <w:jc w:val="center"/>
        </w:trPr>
        <w:tc>
          <w:tcPr>
            <w:tcW w:w="228" w:type="pct"/>
            <w:vMerge w:val="continue"/>
            <w:vAlign w:val="center"/>
          </w:tcPr>
          <w:p w14:paraId="7602835C">
            <w:pPr>
              <w:pStyle w:val="3361"/>
              <w:rPr>
                <w:color w:val="auto"/>
                <w:lang w:bidi="en-US"/>
              </w:rPr>
            </w:pPr>
          </w:p>
        </w:tc>
        <w:tc>
          <w:tcPr>
            <w:tcW w:w="904" w:type="pct"/>
            <w:vAlign w:val="center"/>
          </w:tcPr>
          <w:p w14:paraId="7239FFB5">
            <w:pPr>
              <w:pStyle w:val="3361"/>
              <w:rPr>
                <w:color w:val="auto"/>
                <w:lang w:bidi="en-US"/>
              </w:rPr>
            </w:pPr>
            <w:r>
              <w:rPr>
                <w:rFonts w:hint="eastAsia"/>
                <w:color w:val="auto"/>
                <w:lang w:bidi="en-US"/>
              </w:rPr>
              <w:t>所属土壤环境影响评价项目类别</w:t>
            </w:r>
          </w:p>
        </w:tc>
        <w:tc>
          <w:tcPr>
            <w:tcW w:w="3256" w:type="pct"/>
            <w:gridSpan w:val="8"/>
            <w:vAlign w:val="center"/>
          </w:tcPr>
          <w:p w14:paraId="437C4159">
            <w:pPr>
              <w:pStyle w:val="3361"/>
              <w:rPr>
                <w:color w:val="auto"/>
                <w:lang w:bidi="en-US"/>
              </w:rPr>
            </w:pPr>
            <w:r>
              <w:rPr>
                <w:rFonts w:hint="eastAsia" w:ascii="宋体" w:hAnsi="宋体" w:cs="宋体"/>
                <w:color w:val="auto"/>
                <w:lang w:bidi="en-US"/>
              </w:rPr>
              <w:t>Ⅰ</w:t>
            </w:r>
            <w:r>
              <w:rPr>
                <w:rFonts w:hint="eastAsia"/>
                <w:color w:val="auto"/>
                <w:lang w:bidi="en-US"/>
              </w:rPr>
              <w:t>类□；</w:t>
            </w:r>
            <w:r>
              <w:rPr>
                <w:rFonts w:hint="eastAsia" w:ascii="宋体" w:hAnsi="宋体" w:cs="宋体"/>
                <w:color w:val="auto"/>
                <w:lang w:bidi="en-US"/>
              </w:rPr>
              <w:t>Ⅱ</w:t>
            </w:r>
            <w:r>
              <w:rPr>
                <w:rFonts w:hint="eastAsia"/>
                <w:color w:val="auto"/>
                <w:lang w:bidi="en-US"/>
              </w:rPr>
              <w:t>类</w:t>
            </w:r>
            <w:r>
              <w:rPr>
                <w:rFonts w:hint="eastAsia" w:ascii="Segoe UI Symbol" w:hAnsi="Segoe UI Symbol" w:eastAsia="MS Mincho" w:cs="Segoe UI Symbol"/>
                <w:color w:val="auto"/>
              </w:rPr>
              <w:t>☑</w:t>
            </w:r>
            <w:r>
              <w:rPr>
                <w:rFonts w:hint="eastAsia"/>
                <w:color w:val="auto"/>
                <w:lang w:bidi="en-US"/>
              </w:rPr>
              <w:t>；</w:t>
            </w:r>
            <w:r>
              <w:rPr>
                <w:rFonts w:hint="eastAsia" w:ascii="宋体" w:hAnsi="宋体" w:cs="宋体"/>
                <w:color w:val="auto"/>
                <w:lang w:bidi="en-US"/>
              </w:rPr>
              <w:t>Ⅲ</w:t>
            </w:r>
            <w:r>
              <w:rPr>
                <w:rFonts w:hint="eastAsia"/>
                <w:color w:val="auto"/>
                <w:lang w:bidi="en-US"/>
              </w:rPr>
              <w:t>类□；</w:t>
            </w:r>
            <w:r>
              <w:rPr>
                <w:rFonts w:hint="eastAsia" w:ascii="宋体" w:hAnsi="宋体" w:cs="宋体"/>
                <w:color w:val="auto"/>
                <w:lang w:bidi="en-US"/>
              </w:rPr>
              <w:t>Ⅳ</w:t>
            </w:r>
            <w:r>
              <w:rPr>
                <w:rFonts w:hint="eastAsia"/>
                <w:color w:val="auto"/>
                <w:lang w:bidi="en-US"/>
              </w:rPr>
              <w:t>类□</w:t>
            </w:r>
          </w:p>
        </w:tc>
        <w:tc>
          <w:tcPr>
            <w:tcW w:w="612" w:type="pct"/>
            <w:vAlign w:val="center"/>
          </w:tcPr>
          <w:p w14:paraId="5BA247F6">
            <w:pPr>
              <w:pStyle w:val="3361"/>
              <w:rPr>
                <w:color w:val="auto"/>
                <w:lang w:bidi="en-US"/>
              </w:rPr>
            </w:pPr>
          </w:p>
        </w:tc>
      </w:tr>
      <w:tr w14:paraId="1E5A3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28" w:type="pct"/>
            <w:vMerge w:val="continue"/>
            <w:vAlign w:val="center"/>
          </w:tcPr>
          <w:p w14:paraId="45EFB064">
            <w:pPr>
              <w:pStyle w:val="3361"/>
              <w:rPr>
                <w:color w:val="auto"/>
                <w:lang w:bidi="en-US"/>
              </w:rPr>
            </w:pPr>
          </w:p>
        </w:tc>
        <w:tc>
          <w:tcPr>
            <w:tcW w:w="904" w:type="pct"/>
            <w:vAlign w:val="center"/>
          </w:tcPr>
          <w:p w14:paraId="6B40FBC2">
            <w:pPr>
              <w:pStyle w:val="3361"/>
              <w:rPr>
                <w:color w:val="auto"/>
                <w:lang w:eastAsia="en-US" w:bidi="en-US"/>
              </w:rPr>
            </w:pPr>
            <w:r>
              <w:rPr>
                <w:rFonts w:hint="eastAsia"/>
                <w:color w:val="auto"/>
                <w:lang w:eastAsia="en-US" w:bidi="en-US"/>
              </w:rPr>
              <w:t>敏感程度</w:t>
            </w:r>
          </w:p>
        </w:tc>
        <w:tc>
          <w:tcPr>
            <w:tcW w:w="3256" w:type="pct"/>
            <w:gridSpan w:val="8"/>
            <w:vAlign w:val="center"/>
          </w:tcPr>
          <w:p w14:paraId="39849A03">
            <w:pPr>
              <w:pStyle w:val="3361"/>
              <w:rPr>
                <w:color w:val="auto"/>
                <w:lang w:bidi="en-US"/>
              </w:rPr>
            </w:pPr>
            <w:r>
              <w:rPr>
                <w:rFonts w:hint="eastAsia"/>
                <w:color w:val="auto"/>
                <w:lang w:bidi="en-US"/>
              </w:rPr>
              <w:t>敏感□；较敏感□；不敏感</w:t>
            </w:r>
            <w:r>
              <w:rPr>
                <w:rFonts w:hint="eastAsia" w:ascii="Segoe UI Symbol" w:hAnsi="Segoe UI Symbol" w:eastAsia="MS Mincho" w:cs="Segoe UI Symbol"/>
                <w:color w:val="auto"/>
              </w:rPr>
              <w:t>☑</w:t>
            </w:r>
          </w:p>
        </w:tc>
        <w:tc>
          <w:tcPr>
            <w:tcW w:w="612" w:type="pct"/>
            <w:vAlign w:val="center"/>
          </w:tcPr>
          <w:p w14:paraId="77A727B2">
            <w:pPr>
              <w:pStyle w:val="3361"/>
              <w:rPr>
                <w:color w:val="auto"/>
                <w:lang w:bidi="en-US"/>
              </w:rPr>
            </w:pPr>
          </w:p>
        </w:tc>
      </w:tr>
      <w:tr w14:paraId="31090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132" w:type="pct"/>
            <w:gridSpan w:val="2"/>
            <w:vAlign w:val="center"/>
          </w:tcPr>
          <w:p w14:paraId="5A42F925">
            <w:pPr>
              <w:pStyle w:val="3361"/>
              <w:rPr>
                <w:color w:val="auto"/>
                <w:lang w:eastAsia="en-US" w:bidi="en-US"/>
              </w:rPr>
            </w:pPr>
            <w:r>
              <w:rPr>
                <w:rFonts w:hint="eastAsia"/>
                <w:color w:val="auto"/>
                <w:lang w:eastAsia="en-US" w:bidi="en-US"/>
              </w:rPr>
              <w:t>评价工作等级</w:t>
            </w:r>
          </w:p>
        </w:tc>
        <w:tc>
          <w:tcPr>
            <w:tcW w:w="3256" w:type="pct"/>
            <w:gridSpan w:val="8"/>
            <w:vAlign w:val="center"/>
          </w:tcPr>
          <w:p w14:paraId="6109EAE6">
            <w:pPr>
              <w:pStyle w:val="3361"/>
              <w:rPr>
                <w:color w:val="auto"/>
                <w:lang w:bidi="en-US"/>
              </w:rPr>
            </w:pPr>
            <w:r>
              <w:rPr>
                <w:rFonts w:hint="eastAsia"/>
                <w:color w:val="auto"/>
                <w:lang w:bidi="en-US"/>
              </w:rPr>
              <w:t>一级□；二级□；三级</w:t>
            </w:r>
            <w:r>
              <w:rPr>
                <w:rFonts w:hint="eastAsia" w:ascii="Segoe UI Symbol" w:hAnsi="Segoe UI Symbol" w:eastAsia="MS Mincho" w:cs="Segoe UI Symbol"/>
                <w:color w:val="auto"/>
              </w:rPr>
              <w:t>☑</w:t>
            </w:r>
          </w:p>
        </w:tc>
        <w:tc>
          <w:tcPr>
            <w:tcW w:w="612" w:type="pct"/>
            <w:vAlign w:val="center"/>
          </w:tcPr>
          <w:p w14:paraId="7A80E4D7">
            <w:pPr>
              <w:pStyle w:val="3361"/>
              <w:rPr>
                <w:color w:val="auto"/>
                <w:lang w:bidi="en-US"/>
              </w:rPr>
            </w:pPr>
          </w:p>
        </w:tc>
      </w:tr>
      <w:tr w14:paraId="216BA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jc w:val="center"/>
        </w:trPr>
        <w:tc>
          <w:tcPr>
            <w:tcW w:w="228" w:type="pct"/>
            <w:vMerge w:val="restart"/>
            <w:vAlign w:val="center"/>
          </w:tcPr>
          <w:p w14:paraId="571E59A9">
            <w:pPr>
              <w:pStyle w:val="3361"/>
              <w:rPr>
                <w:color w:val="auto"/>
                <w:lang w:bidi="en-US"/>
              </w:rPr>
            </w:pPr>
            <w:r>
              <w:rPr>
                <w:rFonts w:hint="eastAsia"/>
                <w:color w:val="auto"/>
                <w:lang w:eastAsia="en-US" w:bidi="en-US"/>
              </w:rPr>
              <w:t>现</w:t>
            </w:r>
          </w:p>
          <w:p w14:paraId="6CB8907F">
            <w:pPr>
              <w:pStyle w:val="3361"/>
              <w:rPr>
                <w:color w:val="auto"/>
                <w:lang w:bidi="en-US"/>
              </w:rPr>
            </w:pPr>
            <w:r>
              <w:rPr>
                <w:rFonts w:hint="eastAsia"/>
                <w:color w:val="auto"/>
                <w:lang w:eastAsia="en-US" w:bidi="en-US"/>
              </w:rPr>
              <w:t>状</w:t>
            </w:r>
          </w:p>
          <w:p w14:paraId="297FBA10">
            <w:pPr>
              <w:pStyle w:val="3361"/>
              <w:rPr>
                <w:color w:val="auto"/>
                <w:lang w:bidi="en-US"/>
              </w:rPr>
            </w:pPr>
            <w:r>
              <w:rPr>
                <w:rFonts w:hint="eastAsia"/>
                <w:color w:val="auto"/>
                <w:lang w:eastAsia="en-US" w:bidi="en-US"/>
              </w:rPr>
              <w:t>调</w:t>
            </w:r>
          </w:p>
          <w:p w14:paraId="5A0BB68B">
            <w:pPr>
              <w:pStyle w:val="3361"/>
              <w:rPr>
                <w:color w:val="auto"/>
                <w:lang w:bidi="en-US"/>
              </w:rPr>
            </w:pPr>
            <w:r>
              <w:rPr>
                <w:rFonts w:hint="eastAsia"/>
                <w:color w:val="auto"/>
                <w:lang w:eastAsia="en-US" w:bidi="en-US"/>
              </w:rPr>
              <w:t>查</w:t>
            </w:r>
          </w:p>
          <w:p w14:paraId="4E8494F0">
            <w:pPr>
              <w:pStyle w:val="3361"/>
              <w:rPr>
                <w:color w:val="auto"/>
                <w:lang w:bidi="en-US"/>
              </w:rPr>
            </w:pPr>
            <w:r>
              <w:rPr>
                <w:rFonts w:hint="eastAsia"/>
                <w:color w:val="auto"/>
                <w:lang w:eastAsia="en-US" w:bidi="en-US"/>
              </w:rPr>
              <w:t>内</w:t>
            </w:r>
          </w:p>
          <w:p w14:paraId="29728B0D">
            <w:pPr>
              <w:pStyle w:val="3361"/>
              <w:rPr>
                <w:color w:val="auto"/>
                <w:lang w:bidi="en-US"/>
              </w:rPr>
            </w:pPr>
            <w:r>
              <w:rPr>
                <w:rFonts w:hint="eastAsia"/>
                <w:color w:val="auto"/>
                <w:lang w:eastAsia="en-US" w:bidi="en-US"/>
              </w:rPr>
              <w:t>容</w:t>
            </w:r>
          </w:p>
        </w:tc>
        <w:tc>
          <w:tcPr>
            <w:tcW w:w="904" w:type="pct"/>
            <w:vAlign w:val="center"/>
          </w:tcPr>
          <w:p w14:paraId="19F8ACFB">
            <w:pPr>
              <w:pStyle w:val="3361"/>
              <w:rPr>
                <w:color w:val="auto"/>
                <w:lang w:eastAsia="en-US" w:bidi="en-US"/>
              </w:rPr>
            </w:pPr>
            <w:r>
              <w:rPr>
                <w:rFonts w:hint="eastAsia"/>
                <w:color w:val="auto"/>
                <w:lang w:eastAsia="en-US" w:bidi="en-US"/>
              </w:rPr>
              <w:t>资料收集</w:t>
            </w:r>
          </w:p>
        </w:tc>
        <w:tc>
          <w:tcPr>
            <w:tcW w:w="3256" w:type="pct"/>
            <w:gridSpan w:val="8"/>
            <w:vAlign w:val="center"/>
          </w:tcPr>
          <w:p w14:paraId="101E4CC2">
            <w:pPr>
              <w:pStyle w:val="3361"/>
              <w:rPr>
                <w:color w:val="auto"/>
                <w:lang w:bidi="en-US"/>
              </w:rPr>
            </w:pPr>
            <w:r>
              <w:rPr>
                <w:rFonts w:hint="eastAsia" w:eastAsia="Times New Roman"/>
                <w:color w:val="auto"/>
                <w:lang w:bidi="en-US"/>
              </w:rPr>
              <w:t>a</w:t>
            </w:r>
            <w:r>
              <w:rPr>
                <w:rFonts w:hint="eastAsia" w:eastAsia="宋体"/>
                <w:color w:val="auto"/>
                <w:lang w:eastAsia="zh-CN" w:bidi="en-US"/>
              </w:rPr>
              <w:t>)</w:t>
            </w:r>
            <w:r>
              <w:rPr>
                <w:rFonts w:hint="eastAsia" w:ascii="Segoe UI Symbol" w:hAnsi="Segoe UI Symbol" w:eastAsia="MS Mincho" w:cs="Segoe UI Symbol"/>
                <w:color w:val="auto"/>
              </w:rPr>
              <w:t>☑</w:t>
            </w:r>
            <w:r>
              <w:rPr>
                <w:rFonts w:hint="eastAsia"/>
                <w:color w:val="auto"/>
                <w:lang w:bidi="en-US"/>
              </w:rPr>
              <w:t>；</w:t>
            </w:r>
            <w:r>
              <w:rPr>
                <w:rFonts w:hint="eastAsia" w:eastAsia="Times New Roman"/>
                <w:color w:val="auto"/>
                <w:lang w:bidi="en-US"/>
              </w:rPr>
              <w:t>b</w:t>
            </w:r>
            <w:r>
              <w:rPr>
                <w:rFonts w:hint="eastAsia" w:eastAsia="宋体"/>
                <w:color w:val="auto"/>
                <w:lang w:eastAsia="zh-CN" w:bidi="en-US"/>
              </w:rPr>
              <w:t>)</w:t>
            </w:r>
            <w:r>
              <w:rPr>
                <w:rFonts w:hint="eastAsia" w:ascii="Segoe UI Symbol" w:hAnsi="Segoe UI Symbol" w:eastAsia="MS Mincho" w:cs="Segoe UI Symbol"/>
                <w:color w:val="auto"/>
              </w:rPr>
              <w:t>☑</w:t>
            </w:r>
            <w:r>
              <w:rPr>
                <w:rFonts w:hint="eastAsia"/>
                <w:color w:val="auto"/>
                <w:lang w:bidi="en-US"/>
              </w:rPr>
              <w:t>；</w:t>
            </w:r>
            <w:r>
              <w:rPr>
                <w:rFonts w:hint="eastAsia" w:eastAsia="Times New Roman"/>
                <w:color w:val="auto"/>
                <w:lang w:bidi="en-US"/>
              </w:rPr>
              <w:t>c</w:t>
            </w:r>
            <w:r>
              <w:rPr>
                <w:rFonts w:hint="eastAsia" w:eastAsia="宋体"/>
                <w:color w:val="auto"/>
                <w:lang w:eastAsia="zh-CN" w:bidi="en-US"/>
              </w:rPr>
              <w:t>)</w:t>
            </w:r>
            <w:r>
              <w:rPr>
                <w:rFonts w:hint="eastAsia" w:ascii="Segoe UI Symbol" w:hAnsi="Segoe UI Symbol" w:eastAsia="MS Mincho" w:cs="Segoe UI Symbol"/>
                <w:color w:val="auto"/>
              </w:rPr>
              <w:t>☑</w:t>
            </w:r>
            <w:r>
              <w:rPr>
                <w:rFonts w:hint="eastAsia"/>
                <w:color w:val="auto"/>
                <w:lang w:bidi="en-US"/>
              </w:rPr>
              <w:t>；d</w:t>
            </w:r>
            <w:r>
              <w:rPr>
                <w:rFonts w:hint="eastAsia"/>
                <w:color w:val="auto"/>
                <w:lang w:eastAsia="zh-CN" w:bidi="en-US"/>
              </w:rPr>
              <w:t>)</w:t>
            </w:r>
            <w:r>
              <w:rPr>
                <w:rFonts w:hint="eastAsia" w:ascii="Segoe UI Symbol" w:hAnsi="Segoe UI Symbol" w:eastAsia="MS Mincho" w:cs="Segoe UI Symbol"/>
                <w:color w:val="auto"/>
              </w:rPr>
              <w:t>☑</w:t>
            </w:r>
          </w:p>
        </w:tc>
        <w:tc>
          <w:tcPr>
            <w:tcW w:w="612" w:type="pct"/>
            <w:vAlign w:val="center"/>
          </w:tcPr>
          <w:p w14:paraId="3D0EB8EB">
            <w:pPr>
              <w:pStyle w:val="3361"/>
              <w:rPr>
                <w:color w:val="auto"/>
                <w:lang w:bidi="en-US"/>
              </w:rPr>
            </w:pPr>
          </w:p>
        </w:tc>
      </w:tr>
      <w:tr w14:paraId="035A3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28" w:type="pct"/>
            <w:vMerge w:val="continue"/>
            <w:vAlign w:val="center"/>
          </w:tcPr>
          <w:p w14:paraId="287F147A">
            <w:pPr>
              <w:pStyle w:val="3361"/>
              <w:rPr>
                <w:color w:val="auto"/>
                <w:lang w:bidi="en-US"/>
              </w:rPr>
            </w:pPr>
          </w:p>
        </w:tc>
        <w:tc>
          <w:tcPr>
            <w:tcW w:w="904" w:type="pct"/>
            <w:vAlign w:val="center"/>
          </w:tcPr>
          <w:p w14:paraId="4A1FBA1C">
            <w:pPr>
              <w:pStyle w:val="3361"/>
              <w:rPr>
                <w:color w:val="auto"/>
                <w:lang w:eastAsia="en-US" w:bidi="en-US"/>
              </w:rPr>
            </w:pPr>
            <w:r>
              <w:rPr>
                <w:rFonts w:hint="eastAsia"/>
                <w:color w:val="auto"/>
                <w:lang w:eastAsia="en-US" w:bidi="en-US"/>
              </w:rPr>
              <w:t>理化特性</w:t>
            </w:r>
          </w:p>
        </w:tc>
        <w:tc>
          <w:tcPr>
            <w:tcW w:w="3256" w:type="pct"/>
            <w:gridSpan w:val="8"/>
            <w:vAlign w:val="center"/>
          </w:tcPr>
          <w:p w14:paraId="21FE9C1A">
            <w:pPr>
              <w:pStyle w:val="3361"/>
              <w:rPr>
                <w:color w:val="auto"/>
                <w:lang w:bidi="en-US"/>
              </w:rPr>
            </w:pPr>
            <w:r>
              <w:rPr>
                <w:rFonts w:hint="eastAsia"/>
                <w:color w:val="auto"/>
                <w:lang w:bidi="en-US"/>
              </w:rPr>
              <w:t>土地颜色、土体构型、土壤类型、土壤结构、土壤质地、砂砾含量、氧化还原电位、饱和导水率、土壤容重、</w:t>
            </w:r>
            <w:r>
              <w:rPr>
                <w:rFonts w:hint="eastAsia"/>
                <w:color w:val="auto"/>
              </w:rPr>
              <w:t>孔隙比</w:t>
            </w:r>
            <w:r>
              <w:rPr>
                <w:rFonts w:hint="eastAsia"/>
                <w:color w:val="auto"/>
                <w:lang w:bidi="en-US"/>
              </w:rPr>
              <w:t>等</w:t>
            </w:r>
          </w:p>
        </w:tc>
        <w:tc>
          <w:tcPr>
            <w:tcW w:w="612" w:type="pct"/>
            <w:vAlign w:val="center"/>
          </w:tcPr>
          <w:p w14:paraId="4673258C">
            <w:pPr>
              <w:pStyle w:val="3361"/>
              <w:rPr>
                <w:rFonts w:eastAsia="Times New Roman"/>
                <w:color w:val="auto"/>
                <w:lang w:eastAsia="en-US" w:bidi="en-US"/>
              </w:rPr>
            </w:pPr>
            <w:r>
              <w:rPr>
                <w:rFonts w:hint="eastAsia"/>
                <w:color w:val="auto"/>
                <w:lang w:eastAsia="en-US" w:bidi="en-US"/>
              </w:rPr>
              <w:t xml:space="preserve">同附录 </w:t>
            </w:r>
            <w:r>
              <w:rPr>
                <w:rFonts w:hint="eastAsia" w:eastAsia="Times New Roman"/>
                <w:color w:val="auto"/>
                <w:lang w:eastAsia="en-US" w:bidi="en-US"/>
              </w:rPr>
              <w:t>C</w:t>
            </w:r>
          </w:p>
        </w:tc>
      </w:tr>
      <w:tr w14:paraId="64969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9" w:hRule="atLeast"/>
          <w:jc w:val="center"/>
        </w:trPr>
        <w:tc>
          <w:tcPr>
            <w:tcW w:w="228" w:type="pct"/>
            <w:vMerge w:val="continue"/>
            <w:vAlign w:val="center"/>
          </w:tcPr>
          <w:p w14:paraId="64A67979">
            <w:pPr>
              <w:pStyle w:val="3361"/>
              <w:rPr>
                <w:color w:val="auto"/>
                <w:lang w:eastAsia="en-US" w:bidi="en-US"/>
              </w:rPr>
            </w:pPr>
          </w:p>
        </w:tc>
        <w:tc>
          <w:tcPr>
            <w:tcW w:w="904" w:type="pct"/>
            <w:vMerge w:val="restart"/>
            <w:vAlign w:val="center"/>
          </w:tcPr>
          <w:p w14:paraId="6FFCE507">
            <w:pPr>
              <w:pStyle w:val="3361"/>
              <w:rPr>
                <w:color w:val="auto"/>
                <w:lang w:eastAsia="en-US" w:bidi="en-US"/>
              </w:rPr>
            </w:pPr>
            <w:r>
              <w:rPr>
                <w:rFonts w:hint="eastAsia"/>
                <w:color w:val="auto"/>
                <w:lang w:eastAsia="en-US" w:bidi="en-US"/>
              </w:rPr>
              <w:t>现状监测点位</w:t>
            </w:r>
          </w:p>
        </w:tc>
        <w:tc>
          <w:tcPr>
            <w:tcW w:w="588" w:type="pct"/>
            <w:vAlign w:val="center"/>
          </w:tcPr>
          <w:p w14:paraId="6587F9B1">
            <w:pPr>
              <w:pStyle w:val="3361"/>
              <w:rPr>
                <w:color w:val="auto"/>
                <w:lang w:eastAsia="en-US" w:bidi="en-US"/>
              </w:rPr>
            </w:pPr>
          </w:p>
        </w:tc>
        <w:tc>
          <w:tcPr>
            <w:tcW w:w="781" w:type="pct"/>
            <w:gridSpan w:val="2"/>
            <w:vAlign w:val="center"/>
          </w:tcPr>
          <w:p w14:paraId="598E9FD4">
            <w:pPr>
              <w:pStyle w:val="3361"/>
              <w:rPr>
                <w:color w:val="auto"/>
                <w:lang w:eastAsia="en-US" w:bidi="en-US"/>
              </w:rPr>
            </w:pPr>
            <w:r>
              <w:rPr>
                <w:rFonts w:hint="eastAsia"/>
                <w:color w:val="auto"/>
                <w:lang w:eastAsia="en-US" w:bidi="en-US"/>
              </w:rPr>
              <w:t>占地范围内</w:t>
            </w:r>
          </w:p>
        </w:tc>
        <w:tc>
          <w:tcPr>
            <w:tcW w:w="862" w:type="pct"/>
            <w:vAlign w:val="center"/>
          </w:tcPr>
          <w:p w14:paraId="677ACF08">
            <w:pPr>
              <w:pStyle w:val="3361"/>
              <w:rPr>
                <w:color w:val="auto"/>
                <w:lang w:eastAsia="en-US" w:bidi="en-US"/>
              </w:rPr>
            </w:pPr>
            <w:r>
              <w:rPr>
                <w:rFonts w:hint="eastAsia"/>
                <w:color w:val="auto"/>
                <w:lang w:eastAsia="en-US" w:bidi="en-US"/>
              </w:rPr>
              <w:t>占地范围外</w:t>
            </w:r>
          </w:p>
        </w:tc>
        <w:tc>
          <w:tcPr>
            <w:tcW w:w="1025" w:type="pct"/>
            <w:gridSpan w:val="4"/>
            <w:vAlign w:val="center"/>
          </w:tcPr>
          <w:p w14:paraId="36ABF721">
            <w:pPr>
              <w:pStyle w:val="3361"/>
              <w:rPr>
                <w:color w:val="auto"/>
                <w:lang w:eastAsia="en-US" w:bidi="en-US"/>
              </w:rPr>
            </w:pPr>
            <w:r>
              <w:rPr>
                <w:rFonts w:hint="eastAsia"/>
                <w:color w:val="auto"/>
                <w:lang w:eastAsia="en-US" w:bidi="en-US"/>
              </w:rPr>
              <w:t>深度</w:t>
            </w:r>
          </w:p>
        </w:tc>
        <w:tc>
          <w:tcPr>
            <w:tcW w:w="612" w:type="pct"/>
            <w:vMerge w:val="restart"/>
            <w:vAlign w:val="center"/>
          </w:tcPr>
          <w:p w14:paraId="1F48C0E5">
            <w:pPr>
              <w:pStyle w:val="3361"/>
              <w:rPr>
                <w:color w:val="auto"/>
                <w:lang w:eastAsia="en-US" w:bidi="en-US"/>
              </w:rPr>
            </w:pPr>
            <w:r>
              <w:rPr>
                <w:rFonts w:hint="eastAsia"/>
                <w:color w:val="auto"/>
                <w:lang w:eastAsia="en-US" w:bidi="en-US"/>
              </w:rPr>
              <w:t>点位布置图</w:t>
            </w:r>
          </w:p>
        </w:tc>
      </w:tr>
      <w:tr w14:paraId="655A4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28" w:type="pct"/>
            <w:vMerge w:val="continue"/>
            <w:vAlign w:val="center"/>
          </w:tcPr>
          <w:p w14:paraId="3799C76C">
            <w:pPr>
              <w:pStyle w:val="3361"/>
              <w:rPr>
                <w:color w:val="auto"/>
                <w:lang w:eastAsia="en-US" w:bidi="en-US"/>
              </w:rPr>
            </w:pPr>
          </w:p>
        </w:tc>
        <w:tc>
          <w:tcPr>
            <w:tcW w:w="904" w:type="pct"/>
            <w:vMerge w:val="continue"/>
            <w:vAlign w:val="center"/>
          </w:tcPr>
          <w:p w14:paraId="63E69E80">
            <w:pPr>
              <w:pStyle w:val="3361"/>
              <w:rPr>
                <w:color w:val="auto"/>
                <w:lang w:eastAsia="en-US" w:bidi="en-US"/>
              </w:rPr>
            </w:pPr>
          </w:p>
        </w:tc>
        <w:tc>
          <w:tcPr>
            <w:tcW w:w="588" w:type="pct"/>
            <w:shd w:val="clear" w:color="auto" w:fill="auto"/>
            <w:vAlign w:val="center"/>
          </w:tcPr>
          <w:p w14:paraId="073AF87C">
            <w:pPr>
              <w:pStyle w:val="3361"/>
              <w:rPr>
                <w:color w:val="auto"/>
                <w:lang w:eastAsia="en-US" w:bidi="en-US"/>
              </w:rPr>
            </w:pPr>
            <w:r>
              <w:rPr>
                <w:rFonts w:hint="eastAsia"/>
                <w:color w:val="auto"/>
                <w:lang w:eastAsia="en-US" w:bidi="en-US"/>
              </w:rPr>
              <w:t>表层样点数</w:t>
            </w:r>
          </w:p>
        </w:tc>
        <w:tc>
          <w:tcPr>
            <w:tcW w:w="781" w:type="pct"/>
            <w:gridSpan w:val="2"/>
            <w:shd w:val="clear" w:color="auto" w:fill="auto"/>
            <w:vAlign w:val="center"/>
          </w:tcPr>
          <w:p w14:paraId="4C24B7E4">
            <w:pPr>
              <w:pStyle w:val="3361"/>
              <w:rPr>
                <w:color w:val="auto"/>
                <w:lang w:bidi="en-US"/>
              </w:rPr>
            </w:pPr>
            <w:r>
              <w:rPr>
                <w:rFonts w:hint="eastAsia"/>
                <w:color w:val="auto"/>
                <w:lang w:bidi="en-US"/>
              </w:rPr>
              <w:t>3</w:t>
            </w:r>
          </w:p>
        </w:tc>
        <w:tc>
          <w:tcPr>
            <w:tcW w:w="862" w:type="pct"/>
            <w:shd w:val="clear" w:color="auto" w:fill="auto"/>
            <w:vAlign w:val="center"/>
          </w:tcPr>
          <w:p w14:paraId="7A31B958">
            <w:pPr>
              <w:pStyle w:val="3361"/>
              <w:rPr>
                <w:color w:val="auto"/>
                <w:lang w:bidi="en-US"/>
              </w:rPr>
            </w:pPr>
            <w:r>
              <w:rPr>
                <w:rFonts w:hint="eastAsia"/>
                <w:color w:val="auto"/>
                <w:lang w:bidi="en-US"/>
              </w:rPr>
              <w:t>0</w:t>
            </w:r>
          </w:p>
        </w:tc>
        <w:tc>
          <w:tcPr>
            <w:tcW w:w="1025" w:type="pct"/>
            <w:gridSpan w:val="4"/>
            <w:shd w:val="clear" w:color="auto" w:fill="auto"/>
            <w:vAlign w:val="center"/>
          </w:tcPr>
          <w:p w14:paraId="28E2D241">
            <w:pPr>
              <w:pStyle w:val="3361"/>
              <w:rPr>
                <w:color w:val="auto"/>
                <w:lang w:bidi="en-US"/>
              </w:rPr>
            </w:pPr>
            <w:r>
              <w:rPr>
                <w:rFonts w:hint="eastAsia"/>
                <w:color w:val="auto"/>
                <w:lang w:bidi="en-US"/>
              </w:rPr>
              <w:t>0.2 m</w:t>
            </w:r>
          </w:p>
        </w:tc>
        <w:tc>
          <w:tcPr>
            <w:tcW w:w="612" w:type="pct"/>
            <w:vMerge w:val="continue"/>
            <w:vAlign w:val="center"/>
          </w:tcPr>
          <w:p w14:paraId="474E32D2">
            <w:pPr>
              <w:pStyle w:val="3361"/>
              <w:rPr>
                <w:color w:val="auto"/>
                <w:lang w:eastAsia="en-US" w:bidi="en-US"/>
              </w:rPr>
            </w:pPr>
          </w:p>
        </w:tc>
      </w:tr>
      <w:tr w14:paraId="7A7C4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4" w:hRule="atLeast"/>
          <w:jc w:val="center"/>
        </w:trPr>
        <w:tc>
          <w:tcPr>
            <w:tcW w:w="228" w:type="pct"/>
            <w:vMerge w:val="continue"/>
            <w:vAlign w:val="center"/>
          </w:tcPr>
          <w:p w14:paraId="024B5432">
            <w:pPr>
              <w:pStyle w:val="3361"/>
              <w:rPr>
                <w:color w:val="auto"/>
                <w:lang w:eastAsia="en-US" w:bidi="en-US"/>
              </w:rPr>
            </w:pPr>
          </w:p>
        </w:tc>
        <w:tc>
          <w:tcPr>
            <w:tcW w:w="904" w:type="pct"/>
            <w:vMerge w:val="continue"/>
            <w:vAlign w:val="center"/>
          </w:tcPr>
          <w:p w14:paraId="292ABE03">
            <w:pPr>
              <w:pStyle w:val="3361"/>
              <w:rPr>
                <w:color w:val="auto"/>
                <w:lang w:eastAsia="en-US" w:bidi="en-US"/>
              </w:rPr>
            </w:pPr>
          </w:p>
        </w:tc>
        <w:tc>
          <w:tcPr>
            <w:tcW w:w="588" w:type="pct"/>
            <w:shd w:val="clear" w:color="auto" w:fill="auto"/>
            <w:vAlign w:val="center"/>
          </w:tcPr>
          <w:p w14:paraId="19DF3ECD">
            <w:pPr>
              <w:pStyle w:val="3361"/>
              <w:rPr>
                <w:color w:val="auto"/>
                <w:lang w:eastAsia="en-US" w:bidi="en-US"/>
              </w:rPr>
            </w:pPr>
            <w:r>
              <w:rPr>
                <w:rFonts w:hint="eastAsia"/>
                <w:color w:val="auto"/>
                <w:lang w:eastAsia="en-US" w:bidi="en-US"/>
              </w:rPr>
              <w:t>柱状样点数</w:t>
            </w:r>
          </w:p>
        </w:tc>
        <w:tc>
          <w:tcPr>
            <w:tcW w:w="781" w:type="pct"/>
            <w:gridSpan w:val="2"/>
            <w:shd w:val="clear" w:color="auto" w:fill="auto"/>
            <w:vAlign w:val="center"/>
          </w:tcPr>
          <w:p w14:paraId="3CF7337A">
            <w:pPr>
              <w:pStyle w:val="3361"/>
              <w:rPr>
                <w:color w:val="auto"/>
                <w:lang w:bidi="en-US"/>
              </w:rPr>
            </w:pPr>
            <w:r>
              <w:rPr>
                <w:rFonts w:hint="eastAsia"/>
                <w:color w:val="auto"/>
                <w:lang w:bidi="en-US"/>
              </w:rPr>
              <w:t>0</w:t>
            </w:r>
          </w:p>
        </w:tc>
        <w:tc>
          <w:tcPr>
            <w:tcW w:w="862" w:type="pct"/>
            <w:shd w:val="clear" w:color="auto" w:fill="auto"/>
            <w:vAlign w:val="center"/>
          </w:tcPr>
          <w:p w14:paraId="4C874267">
            <w:pPr>
              <w:pStyle w:val="3361"/>
              <w:rPr>
                <w:color w:val="auto"/>
                <w:lang w:bidi="en-US"/>
              </w:rPr>
            </w:pPr>
            <w:r>
              <w:rPr>
                <w:rFonts w:hint="eastAsia"/>
                <w:color w:val="auto"/>
                <w:lang w:bidi="en-US"/>
              </w:rPr>
              <w:t>0</w:t>
            </w:r>
          </w:p>
        </w:tc>
        <w:tc>
          <w:tcPr>
            <w:tcW w:w="1025" w:type="pct"/>
            <w:gridSpan w:val="4"/>
            <w:shd w:val="clear" w:color="auto" w:fill="auto"/>
            <w:vAlign w:val="center"/>
          </w:tcPr>
          <w:p w14:paraId="2C375C54">
            <w:pPr>
              <w:pStyle w:val="3361"/>
              <w:rPr>
                <w:color w:val="auto"/>
                <w:lang w:bidi="en-US"/>
              </w:rPr>
            </w:pPr>
            <w:r>
              <w:rPr>
                <w:rFonts w:hint="eastAsia"/>
                <w:color w:val="auto"/>
                <w:lang w:bidi="en-US"/>
              </w:rPr>
              <w:t>0</w:t>
            </w:r>
          </w:p>
        </w:tc>
        <w:tc>
          <w:tcPr>
            <w:tcW w:w="612" w:type="pct"/>
            <w:vMerge w:val="continue"/>
            <w:vAlign w:val="center"/>
          </w:tcPr>
          <w:p w14:paraId="6254A338">
            <w:pPr>
              <w:pStyle w:val="3361"/>
              <w:rPr>
                <w:color w:val="auto"/>
                <w:lang w:eastAsia="en-US" w:bidi="en-US"/>
              </w:rPr>
            </w:pPr>
          </w:p>
        </w:tc>
      </w:tr>
      <w:tr w14:paraId="4B0F9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jc w:val="center"/>
        </w:trPr>
        <w:tc>
          <w:tcPr>
            <w:tcW w:w="228" w:type="pct"/>
            <w:vMerge w:val="continue"/>
            <w:vAlign w:val="center"/>
          </w:tcPr>
          <w:p w14:paraId="5DD4CDB0">
            <w:pPr>
              <w:pStyle w:val="3361"/>
              <w:rPr>
                <w:color w:val="auto"/>
                <w:lang w:eastAsia="en-US" w:bidi="en-US"/>
              </w:rPr>
            </w:pPr>
          </w:p>
        </w:tc>
        <w:tc>
          <w:tcPr>
            <w:tcW w:w="904" w:type="pct"/>
            <w:vAlign w:val="center"/>
          </w:tcPr>
          <w:p w14:paraId="4E18FF47">
            <w:pPr>
              <w:pStyle w:val="3361"/>
              <w:rPr>
                <w:color w:val="auto"/>
                <w:lang w:eastAsia="en-US" w:bidi="en-US"/>
              </w:rPr>
            </w:pPr>
            <w:r>
              <w:rPr>
                <w:rFonts w:hint="eastAsia"/>
                <w:color w:val="auto"/>
                <w:lang w:eastAsia="en-US" w:bidi="en-US"/>
              </w:rPr>
              <w:t>现状监测因子</w:t>
            </w:r>
          </w:p>
        </w:tc>
        <w:tc>
          <w:tcPr>
            <w:tcW w:w="3256" w:type="pct"/>
            <w:gridSpan w:val="8"/>
            <w:vAlign w:val="center"/>
          </w:tcPr>
          <w:p w14:paraId="24F54393">
            <w:pPr>
              <w:pStyle w:val="3361"/>
              <w:rPr>
                <w:color w:val="auto"/>
                <w:lang w:bidi="en-US"/>
              </w:rPr>
            </w:pPr>
            <w:r>
              <w:rPr>
                <w:rFonts w:hint="eastAsia"/>
                <w:color w:val="auto"/>
              </w:rPr>
              <w:t>pH、GB 36600-2018表1中的45项基项目、石油烃（C</w:t>
            </w:r>
            <w:r>
              <w:rPr>
                <w:rFonts w:hint="eastAsia"/>
                <w:color w:val="auto"/>
                <w:vertAlign w:val="subscript"/>
              </w:rPr>
              <w:t>10</w:t>
            </w:r>
            <w:r>
              <w:rPr>
                <w:rFonts w:hint="eastAsia"/>
                <w:color w:val="auto"/>
              </w:rPr>
              <w:t>~C</w:t>
            </w:r>
            <w:r>
              <w:rPr>
                <w:rFonts w:hint="eastAsia"/>
                <w:color w:val="auto"/>
                <w:vertAlign w:val="subscript"/>
              </w:rPr>
              <w:t>40</w:t>
            </w:r>
            <w:r>
              <w:rPr>
                <w:rFonts w:hint="eastAsia"/>
                <w:color w:val="auto"/>
              </w:rPr>
              <w:t>）、二噁英，</w:t>
            </w:r>
            <w:r>
              <w:rPr>
                <w:rFonts w:hint="eastAsia" w:cs="宋体"/>
                <w:color w:val="auto"/>
              </w:rPr>
              <w:t>GB15618-2018表1中的8个基项目</w:t>
            </w:r>
          </w:p>
        </w:tc>
        <w:tc>
          <w:tcPr>
            <w:tcW w:w="612" w:type="pct"/>
            <w:vAlign w:val="center"/>
          </w:tcPr>
          <w:p w14:paraId="46A78AB9">
            <w:pPr>
              <w:pStyle w:val="3361"/>
              <w:rPr>
                <w:color w:val="auto"/>
                <w:lang w:bidi="en-US"/>
              </w:rPr>
            </w:pPr>
          </w:p>
        </w:tc>
      </w:tr>
      <w:tr w14:paraId="77DAA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28" w:type="pct"/>
            <w:vMerge w:val="restart"/>
            <w:vAlign w:val="center"/>
          </w:tcPr>
          <w:p w14:paraId="6594068F">
            <w:pPr>
              <w:pStyle w:val="3361"/>
              <w:rPr>
                <w:color w:val="auto"/>
                <w:lang w:bidi="en-US"/>
              </w:rPr>
            </w:pPr>
            <w:r>
              <w:rPr>
                <w:rFonts w:hint="eastAsia"/>
                <w:color w:val="auto"/>
                <w:lang w:eastAsia="en-US" w:bidi="en-US"/>
              </w:rPr>
              <w:t>现</w:t>
            </w:r>
          </w:p>
          <w:p w14:paraId="270548BA">
            <w:pPr>
              <w:pStyle w:val="3361"/>
              <w:rPr>
                <w:color w:val="auto"/>
                <w:lang w:bidi="en-US"/>
              </w:rPr>
            </w:pPr>
            <w:r>
              <w:rPr>
                <w:rFonts w:hint="eastAsia"/>
                <w:color w:val="auto"/>
                <w:lang w:eastAsia="en-US" w:bidi="en-US"/>
              </w:rPr>
              <w:t>状</w:t>
            </w:r>
          </w:p>
          <w:p w14:paraId="20F8A30B">
            <w:pPr>
              <w:pStyle w:val="3361"/>
              <w:rPr>
                <w:color w:val="auto"/>
                <w:lang w:eastAsia="en-US" w:bidi="en-US"/>
              </w:rPr>
            </w:pPr>
            <w:r>
              <w:rPr>
                <w:rFonts w:hint="eastAsia"/>
                <w:color w:val="auto"/>
                <w:lang w:eastAsia="en-US" w:bidi="en-US"/>
              </w:rPr>
              <w:t>评</w:t>
            </w:r>
          </w:p>
          <w:p w14:paraId="29C54EFC">
            <w:pPr>
              <w:pStyle w:val="3361"/>
              <w:rPr>
                <w:color w:val="auto"/>
                <w:lang w:eastAsia="en-US" w:bidi="en-US"/>
              </w:rPr>
            </w:pPr>
            <w:r>
              <w:rPr>
                <w:rFonts w:hint="eastAsia"/>
                <w:color w:val="auto"/>
                <w:lang w:eastAsia="en-US" w:bidi="en-US"/>
              </w:rPr>
              <w:t>价</w:t>
            </w:r>
          </w:p>
        </w:tc>
        <w:tc>
          <w:tcPr>
            <w:tcW w:w="904" w:type="pct"/>
            <w:vAlign w:val="center"/>
          </w:tcPr>
          <w:p w14:paraId="54C12708">
            <w:pPr>
              <w:pStyle w:val="3361"/>
              <w:rPr>
                <w:color w:val="auto"/>
                <w:lang w:eastAsia="en-US" w:bidi="en-US"/>
              </w:rPr>
            </w:pPr>
            <w:r>
              <w:rPr>
                <w:rFonts w:hint="eastAsia"/>
                <w:color w:val="auto"/>
                <w:lang w:eastAsia="en-US" w:bidi="en-US"/>
              </w:rPr>
              <w:t>评价因子</w:t>
            </w:r>
          </w:p>
        </w:tc>
        <w:tc>
          <w:tcPr>
            <w:tcW w:w="3256" w:type="pct"/>
            <w:gridSpan w:val="8"/>
            <w:vAlign w:val="center"/>
          </w:tcPr>
          <w:p w14:paraId="2288BFAC">
            <w:pPr>
              <w:pStyle w:val="3361"/>
              <w:rPr>
                <w:color w:val="auto"/>
                <w:lang w:bidi="en-US"/>
              </w:rPr>
            </w:pPr>
            <w:r>
              <w:rPr>
                <w:rFonts w:hint="eastAsia"/>
                <w:color w:val="auto"/>
              </w:rPr>
              <w:t>pH、GB 36600-2018表1中的45项基项目、石油烃（C</w:t>
            </w:r>
            <w:r>
              <w:rPr>
                <w:rFonts w:hint="eastAsia"/>
                <w:color w:val="auto"/>
                <w:vertAlign w:val="subscript"/>
              </w:rPr>
              <w:t>10</w:t>
            </w:r>
            <w:r>
              <w:rPr>
                <w:rFonts w:hint="eastAsia"/>
                <w:color w:val="auto"/>
              </w:rPr>
              <w:t>~C</w:t>
            </w:r>
            <w:r>
              <w:rPr>
                <w:rFonts w:hint="eastAsia"/>
                <w:color w:val="auto"/>
                <w:vertAlign w:val="subscript"/>
              </w:rPr>
              <w:t>40</w:t>
            </w:r>
            <w:r>
              <w:rPr>
                <w:rFonts w:hint="eastAsia"/>
                <w:color w:val="auto"/>
              </w:rPr>
              <w:t>）、二噁英</w:t>
            </w:r>
            <w:r>
              <w:rPr>
                <w:rFonts w:hint="eastAsia"/>
                <w:color w:val="auto"/>
                <w:lang w:bidi="en-US"/>
              </w:rPr>
              <w:t>，</w:t>
            </w:r>
            <w:r>
              <w:rPr>
                <w:rFonts w:hint="eastAsia" w:cs="宋体"/>
                <w:color w:val="auto"/>
              </w:rPr>
              <w:t>GB15618-2018表1中的8个基项目</w:t>
            </w:r>
          </w:p>
        </w:tc>
        <w:tc>
          <w:tcPr>
            <w:tcW w:w="612" w:type="pct"/>
            <w:vAlign w:val="center"/>
          </w:tcPr>
          <w:p w14:paraId="18F4A3A4">
            <w:pPr>
              <w:pStyle w:val="3361"/>
              <w:rPr>
                <w:color w:val="auto"/>
                <w:lang w:bidi="en-US"/>
              </w:rPr>
            </w:pPr>
          </w:p>
        </w:tc>
      </w:tr>
      <w:tr w14:paraId="16609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jc w:val="center"/>
        </w:trPr>
        <w:tc>
          <w:tcPr>
            <w:tcW w:w="228" w:type="pct"/>
            <w:vMerge w:val="continue"/>
            <w:vAlign w:val="center"/>
          </w:tcPr>
          <w:p w14:paraId="68CA4ED4">
            <w:pPr>
              <w:pStyle w:val="3361"/>
              <w:rPr>
                <w:color w:val="auto"/>
                <w:lang w:bidi="en-US"/>
              </w:rPr>
            </w:pPr>
          </w:p>
        </w:tc>
        <w:tc>
          <w:tcPr>
            <w:tcW w:w="904" w:type="pct"/>
            <w:vAlign w:val="center"/>
          </w:tcPr>
          <w:p w14:paraId="494479FB">
            <w:pPr>
              <w:pStyle w:val="3361"/>
              <w:rPr>
                <w:color w:val="auto"/>
                <w:lang w:eastAsia="en-US" w:bidi="en-US"/>
              </w:rPr>
            </w:pPr>
            <w:r>
              <w:rPr>
                <w:rFonts w:hint="eastAsia"/>
                <w:color w:val="auto"/>
                <w:lang w:eastAsia="en-US" w:bidi="en-US"/>
              </w:rPr>
              <w:t>评价标准</w:t>
            </w:r>
          </w:p>
        </w:tc>
        <w:tc>
          <w:tcPr>
            <w:tcW w:w="2799" w:type="pct"/>
            <w:gridSpan w:val="6"/>
            <w:vAlign w:val="center"/>
          </w:tcPr>
          <w:p w14:paraId="17330BE5">
            <w:pPr>
              <w:pStyle w:val="3361"/>
              <w:rPr>
                <w:color w:val="auto"/>
                <w:lang w:bidi="en-US"/>
              </w:rPr>
            </w:pPr>
            <w:r>
              <w:rPr>
                <w:rFonts w:hint="eastAsia"/>
                <w:color w:val="auto"/>
                <w:lang w:bidi="en-US"/>
              </w:rPr>
              <w:t>GB 15618□；GB 36600</w:t>
            </w:r>
            <w:r>
              <w:rPr>
                <w:rFonts w:hint="eastAsia" w:ascii="Segoe UI Symbol" w:hAnsi="Segoe UI Symbol" w:eastAsia="MS Mincho" w:cs="Segoe UI Symbol"/>
                <w:color w:val="auto"/>
              </w:rPr>
              <w:t>☑</w:t>
            </w:r>
            <w:r>
              <w:rPr>
                <w:rFonts w:hint="eastAsia"/>
                <w:color w:val="auto"/>
                <w:lang w:bidi="en-US"/>
              </w:rPr>
              <w:t>；表D.1□；表 D.2□；其他（</w:t>
            </w:r>
          </w:p>
        </w:tc>
        <w:tc>
          <w:tcPr>
            <w:tcW w:w="143" w:type="pct"/>
            <w:vAlign w:val="center"/>
          </w:tcPr>
          <w:p w14:paraId="3C24E245">
            <w:pPr>
              <w:pStyle w:val="3361"/>
              <w:rPr>
                <w:color w:val="auto"/>
                <w:lang w:eastAsia="en-US" w:bidi="en-US"/>
              </w:rPr>
            </w:pPr>
            <w:r>
              <w:rPr>
                <w:rFonts w:hint="eastAsia"/>
                <w:color w:val="auto"/>
                <w:lang w:eastAsia="en-US" w:bidi="en-US"/>
              </w:rPr>
              <w:t>）</w:t>
            </w:r>
          </w:p>
        </w:tc>
        <w:tc>
          <w:tcPr>
            <w:tcW w:w="314" w:type="pct"/>
            <w:vAlign w:val="center"/>
          </w:tcPr>
          <w:p w14:paraId="33E4D4EF">
            <w:pPr>
              <w:pStyle w:val="3361"/>
              <w:rPr>
                <w:color w:val="auto"/>
                <w:lang w:eastAsia="en-US" w:bidi="en-US"/>
              </w:rPr>
            </w:pPr>
          </w:p>
        </w:tc>
        <w:tc>
          <w:tcPr>
            <w:tcW w:w="612" w:type="pct"/>
            <w:vAlign w:val="center"/>
          </w:tcPr>
          <w:p w14:paraId="04AA89B2">
            <w:pPr>
              <w:pStyle w:val="3361"/>
              <w:rPr>
                <w:color w:val="auto"/>
                <w:lang w:eastAsia="en-US" w:bidi="en-US"/>
              </w:rPr>
            </w:pPr>
          </w:p>
        </w:tc>
      </w:tr>
      <w:tr w14:paraId="161FB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4" w:hRule="atLeast"/>
          <w:jc w:val="center"/>
        </w:trPr>
        <w:tc>
          <w:tcPr>
            <w:tcW w:w="228" w:type="pct"/>
            <w:vMerge w:val="continue"/>
            <w:vAlign w:val="center"/>
          </w:tcPr>
          <w:p w14:paraId="536DE5B4">
            <w:pPr>
              <w:pStyle w:val="3361"/>
              <w:rPr>
                <w:color w:val="auto"/>
                <w:lang w:eastAsia="en-US" w:bidi="en-US"/>
              </w:rPr>
            </w:pPr>
          </w:p>
        </w:tc>
        <w:tc>
          <w:tcPr>
            <w:tcW w:w="904" w:type="pct"/>
            <w:vAlign w:val="center"/>
          </w:tcPr>
          <w:p w14:paraId="03CB525B">
            <w:pPr>
              <w:pStyle w:val="3361"/>
              <w:rPr>
                <w:color w:val="auto"/>
                <w:lang w:eastAsia="en-US" w:bidi="en-US"/>
              </w:rPr>
            </w:pPr>
            <w:r>
              <w:rPr>
                <w:rFonts w:hint="eastAsia"/>
                <w:color w:val="auto"/>
                <w:lang w:eastAsia="en-US" w:bidi="en-US"/>
              </w:rPr>
              <w:t>现状评价结论</w:t>
            </w:r>
          </w:p>
        </w:tc>
        <w:tc>
          <w:tcPr>
            <w:tcW w:w="3256" w:type="pct"/>
            <w:gridSpan w:val="8"/>
            <w:vAlign w:val="center"/>
          </w:tcPr>
          <w:p w14:paraId="3E1289C0">
            <w:pPr>
              <w:pStyle w:val="3361"/>
              <w:rPr>
                <w:color w:val="auto"/>
                <w:lang w:bidi="en-US"/>
              </w:rPr>
            </w:pPr>
            <w:r>
              <w:rPr>
                <w:rFonts w:hint="eastAsia"/>
                <w:color w:val="auto"/>
                <w:lang w:bidi="en-US"/>
              </w:rPr>
              <w:t xml:space="preserve">建设用地各监测点监测因子均满足《土壤环境质量 建设用地土壤污染风险管控标准（试行）》（GB 36600-2018）中第二类用地筛选值， </w:t>
            </w:r>
          </w:p>
        </w:tc>
        <w:tc>
          <w:tcPr>
            <w:tcW w:w="612" w:type="pct"/>
            <w:vAlign w:val="center"/>
          </w:tcPr>
          <w:p w14:paraId="5DD50B11">
            <w:pPr>
              <w:pStyle w:val="3361"/>
              <w:rPr>
                <w:color w:val="auto"/>
                <w:lang w:bidi="en-US"/>
              </w:rPr>
            </w:pPr>
          </w:p>
        </w:tc>
      </w:tr>
      <w:tr w14:paraId="32D29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jc w:val="center"/>
        </w:trPr>
        <w:tc>
          <w:tcPr>
            <w:tcW w:w="228" w:type="pct"/>
            <w:vMerge w:val="restart"/>
            <w:vAlign w:val="center"/>
          </w:tcPr>
          <w:p w14:paraId="7A2E34CC">
            <w:pPr>
              <w:pStyle w:val="3361"/>
              <w:rPr>
                <w:color w:val="auto"/>
                <w:lang w:bidi="en-US"/>
              </w:rPr>
            </w:pPr>
            <w:r>
              <w:rPr>
                <w:rFonts w:hint="eastAsia"/>
                <w:color w:val="auto"/>
                <w:lang w:eastAsia="en-US" w:bidi="en-US"/>
              </w:rPr>
              <w:t>影</w:t>
            </w:r>
          </w:p>
          <w:p w14:paraId="41748A13">
            <w:pPr>
              <w:pStyle w:val="3361"/>
              <w:rPr>
                <w:color w:val="auto"/>
                <w:lang w:bidi="en-US"/>
              </w:rPr>
            </w:pPr>
            <w:r>
              <w:rPr>
                <w:rFonts w:hint="eastAsia"/>
                <w:color w:val="auto"/>
                <w:lang w:eastAsia="en-US" w:bidi="en-US"/>
              </w:rPr>
              <w:t>响</w:t>
            </w:r>
          </w:p>
          <w:p w14:paraId="2AE3A6A4">
            <w:pPr>
              <w:pStyle w:val="3361"/>
              <w:rPr>
                <w:color w:val="auto"/>
                <w:lang w:bidi="en-US"/>
              </w:rPr>
            </w:pPr>
            <w:r>
              <w:rPr>
                <w:rFonts w:hint="eastAsia"/>
                <w:color w:val="auto"/>
                <w:lang w:eastAsia="en-US" w:bidi="en-US"/>
              </w:rPr>
              <w:t>预</w:t>
            </w:r>
          </w:p>
          <w:p w14:paraId="45186586">
            <w:pPr>
              <w:pStyle w:val="3361"/>
              <w:rPr>
                <w:color w:val="auto"/>
                <w:lang w:eastAsia="en-US" w:bidi="en-US"/>
              </w:rPr>
            </w:pPr>
            <w:r>
              <w:rPr>
                <w:rFonts w:hint="eastAsia"/>
                <w:color w:val="auto"/>
                <w:lang w:eastAsia="en-US" w:bidi="en-US"/>
              </w:rPr>
              <w:t>测</w:t>
            </w:r>
          </w:p>
        </w:tc>
        <w:tc>
          <w:tcPr>
            <w:tcW w:w="904" w:type="pct"/>
            <w:vAlign w:val="center"/>
          </w:tcPr>
          <w:p w14:paraId="2A380352">
            <w:pPr>
              <w:pStyle w:val="3361"/>
              <w:rPr>
                <w:color w:val="auto"/>
                <w:lang w:eastAsia="en-US" w:bidi="en-US"/>
              </w:rPr>
            </w:pPr>
            <w:r>
              <w:rPr>
                <w:rFonts w:hint="eastAsia"/>
                <w:color w:val="auto"/>
                <w:lang w:eastAsia="en-US" w:bidi="en-US"/>
              </w:rPr>
              <w:t>预测因子</w:t>
            </w:r>
          </w:p>
        </w:tc>
        <w:tc>
          <w:tcPr>
            <w:tcW w:w="3256" w:type="pct"/>
            <w:gridSpan w:val="8"/>
            <w:vAlign w:val="center"/>
          </w:tcPr>
          <w:p w14:paraId="0BA1B079">
            <w:pPr>
              <w:pStyle w:val="3361"/>
              <w:rPr>
                <w:color w:val="auto"/>
                <w:lang w:bidi="en-US"/>
              </w:rPr>
            </w:pPr>
          </w:p>
        </w:tc>
        <w:tc>
          <w:tcPr>
            <w:tcW w:w="612" w:type="pct"/>
            <w:vAlign w:val="center"/>
          </w:tcPr>
          <w:p w14:paraId="64C5A671">
            <w:pPr>
              <w:pStyle w:val="3361"/>
              <w:rPr>
                <w:color w:val="auto"/>
                <w:lang w:eastAsia="en-US" w:bidi="en-US"/>
              </w:rPr>
            </w:pPr>
          </w:p>
        </w:tc>
      </w:tr>
      <w:tr w14:paraId="4EB11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28" w:type="pct"/>
            <w:vMerge w:val="continue"/>
            <w:vAlign w:val="center"/>
          </w:tcPr>
          <w:p w14:paraId="59104B23">
            <w:pPr>
              <w:pStyle w:val="3361"/>
              <w:rPr>
                <w:color w:val="auto"/>
                <w:lang w:eastAsia="en-US" w:bidi="en-US"/>
              </w:rPr>
            </w:pPr>
          </w:p>
        </w:tc>
        <w:tc>
          <w:tcPr>
            <w:tcW w:w="904" w:type="pct"/>
            <w:vAlign w:val="center"/>
          </w:tcPr>
          <w:p w14:paraId="60BAB62E">
            <w:pPr>
              <w:pStyle w:val="3361"/>
              <w:rPr>
                <w:color w:val="auto"/>
                <w:lang w:eastAsia="en-US" w:bidi="en-US"/>
              </w:rPr>
            </w:pPr>
            <w:r>
              <w:rPr>
                <w:rFonts w:hint="eastAsia"/>
                <w:color w:val="auto"/>
                <w:lang w:eastAsia="en-US" w:bidi="en-US"/>
              </w:rPr>
              <w:t>预测方法</w:t>
            </w:r>
          </w:p>
        </w:tc>
        <w:tc>
          <w:tcPr>
            <w:tcW w:w="3256" w:type="pct"/>
            <w:gridSpan w:val="8"/>
            <w:vAlign w:val="center"/>
          </w:tcPr>
          <w:p w14:paraId="1C91B06D">
            <w:pPr>
              <w:pStyle w:val="3361"/>
              <w:rPr>
                <w:color w:val="auto"/>
                <w:lang w:bidi="en-US"/>
              </w:rPr>
            </w:pPr>
            <w:r>
              <w:rPr>
                <w:rFonts w:hint="eastAsia"/>
                <w:color w:val="auto"/>
                <w:lang w:bidi="en-US"/>
              </w:rPr>
              <w:t>附录</w:t>
            </w:r>
            <w:r>
              <w:rPr>
                <w:rFonts w:hint="eastAsia"/>
                <w:color w:val="auto"/>
                <w:spacing w:val="-46"/>
                <w:lang w:bidi="en-US"/>
              </w:rPr>
              <w:t xml:space="preserve"> </w:t>
            </w:r>
            <w:r>
              <w:rPr>
                <w:rFonts w:hint="eastAsia" w:eastAsia="Times New Roman"/>
                <w:color w:val="auto"/>
                <w:lang w:bidi="en-US"/>
              </w:rPr>
              <w:t>E</w:t>
            </w:r>
            <w:r>
              <w:rPr>
                <w:rFonts w:hint="eastAsia"/>
                <w:color w:val="auto"/>
                <w:lang w:bidi="en-US"/>
              </w:rPr>
              <w:t>□；附录</w:t>
            </w:r>
            <w:r>
              <w:rPr>
                <w:rFonts w:hint="eastAsia"/>
                <w:color w:val="auto"/>
                <w:spacing w:val="-45"/>
                <w:lang w:bidi="en-US"/>
              </w:rPr>
              <w:t xml:space="preserve"> </w:t>
            </w:r>
            <w:r>
              <w:rPr>
                <w:rFonts w:hint="eastAsia" w:eastAsia="Times New Roman"/>
                <w:color w:val="auto"/>
                <w:lang w:bidi="en-US"/>
              </w:rPr>
              <w:t>F</w:t>
            </w:r>
            <w:r>
              <w:rPr>
                <w:rFonts w:hint="eastAsia"/>
                <w:color w:val="auto"/>
                <w:lang w:bidi="en-US"/>
              </w:rPr>
              <w:t>□；其他（</w:t>
            </w:r>
            <w:r>
              <w:rPr>
                <w:rFonts w:hint="eastAsia"/>
                <w:color w:val="auto"/>
                <w:lang w:bidi="en-US"/>
              </w:rPr>
              <w:tab/>
            </w:r>
            <w:r>
              <w:rPr>
                <w:rFonts w:hint="eastAsia"/>
                <w:color w:val="auto"/>
                <w:lang w:bidi="en-US"/>
              </w:rPr>
              <w:t>）</w:t>
            </w:r>
          </w:p>
        </w:tc>
        <w:tc>
          <w:tcPr>
            <w:tcW w:w="612" w:type="pct"/>
            <w:vAlign w:val="center"/>
          </w:tcPr>
          <w:p w14:paraId="3D167E6A">
            <w:pPr>
              <w:pStyle w:val="3361"/>
              <w:rPr>
                <w:color w:val="auto"/>
                <w:lang w:bidi="en-US"/>
              </w:rPr>
            </w:pPr>
          </w:p>
        </w:tc>
      </w:tr>
      <w:tr w14:paraId="5C052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3" w:hRule="atLeast"/>
          <w:jc w:val="center"/>
        </w:trPr>
        <w:tc>
          <w:tcPr>
            <w:tcW w:w="228" w:type="pct"/>
            <w:vMerge w:val="continue"/>
            <w:vAlign w:val="center"/>
          </w:tcPr>
          <w:p w14:paraId="2258911B">
            <w:pPr>
              <w:pStyle w:val="3361"/>
              <w:rPr>
                <w:color w:val="auto"/>
                <w:lang w:bidi="en-US"/>
              </w:rPr>
            </w:pPr>
          </w:p>
        </w:tc>
        <w:tc>
          <w:tcPr>
            <w:tcW w:w="904" w:type="pct"/>
            <w:vAlign w:val="center"/>
          </w:tcPr>
          <w:p w14:paraId="0958931B">
            <w:pPr>
              <w:pStyle w:val="3361"/>
              <w:rPr>
                <w:color w:val="auto"/>
                <w:lang w:eastAsia="en-US" w:bidi="en-US"/>
              </w:rPr>
            </w:pPr>
            <w:r>
              <w:rPr>
                <w:rFonts w:hint="eastAsia"/>
                <w:color w:val="auto"/>
                <w:lang w:eastAsia="en-US" w:bidi="en-US"/>
              </w:rPr>
              <w:t>预测分析内容</w:t>
            </w:r>
          </w:p>
        </w:tc>
        <w:tc>
          <w:tcPr>
            <w:tcW w:w="3256" w:type="pct"/>
            <w:gridSpan w:val="8"/>
            <w:vAlign w:val="center"/>
          </w:tcPr>
          <w:p w14:paraId="4FD7B82B">
            <w:pPr>
              <w:pStyle w:val="3361"/>
              <w:rPr>
                <w:color w:val="auto"/>
                <w:lang w:bidi="en-US"/>
              </w:rPr>
            </w:pPr>
            <w:r>
              <w:rPr>
                <w:rFonts w:hint="eastAsia"/>
                <w:color w:val="auto"/>
                <w:lang w:bidi="en-US"/>
              </w:rPr>
              <w:t>影响范围（）</w:t>
            </w:r>
          </w:p>
          <w:p w14:paraId="0B708CCC">
            <w:pPr>
              <w:pStyle w:val="3361"/>
              <w:rPr>
                <w:color w:val="auto"/>
                <w:lang w:bidi="en-US"/>
              </w:rPr>
            </w:pPr>
            <w:r>
              <w:rPr>
                <w:rFonts w:hint="eastAsia"/>
                <w:color w:val="auto"/>
                <w:lang w:bidi="en-US"/>
              </w:rPr>
              <w:t>影响程度较小，可接受</w:t>
            </w:r>
          </w:p>
        </w:tc>
        <w:tc>
          <w:tcPr>
            <w:tcW w:w="612" w:type="pct"/>
            <w:vAlign w:val="center"/>
          </w:tcPr>
          <w:p w14:paraId="19488FFB">
            <w:pPr>
              <w:pStyle w:val="3361"/>
              <w:rPr>
                <w:color w:val="auto"/>
                <w:lang w:bidi="en-US"/>
              </w:rPr>
            </w:pPr>
          </w:p>
        </w:tc>
      </w:tr>
      <w:tr w14:paraId="4D0F2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228" w:type="pct"/>
            <w:vMerge w:val="continue"/>
            <w:vAlign w:val="center"/>
          </w:tcPr>
          <w:p w14:paraId="52CA9A7E">
            <w:pPr>
              <w:pStyle w:val="3361"/>
              <w:rPr>
                <w:color w:val="auto"/>
                <w:lang w:bidi="en-US"/>
              </w:rPr>
            </w:pPr>
          </w:p>
        </w:tc>
        <w:tc>
          <w:tcPr>
            <w:tcW w:w="904" w:type="pct"/>
            <w:vAlign w:val="center"/>
          </w:tcPr>
          <w:p w14:paraId="3B53B1F7">
            <w:pPr>
              <w:pStyle w:val="3361"/>
              <w:rPr>
                <w:color w:val="auto"/>
                <w:lang w:eastAsia="en-US" w:bidi="en-US"/>
              </w:rPr>
            </w:pPr>
            <w:r>
              <w:rPr>
                <w:rFonts w:hint="eastAsia"/>
                <w:color w:val="auto"/>
                <w:lang w:eastAsia="en-US" w:bidi="en-US"/>
              </w:rPr>
              <w:t>预测结论</w:t>
            </w:r>
          </w:p>
        </w:tc>
        <w:tc>
          <w:tcPr>
            <w:tcW w:w="3256" w:type="pct"/>
            <w:gridSpan w:val="8"/>
            <w:vAlign w:val="center"/>
          </w:tcPr>
          <w:p w14:paraId="161C10E3">
            <w:pPr>
              <w:pStyle w:val="3361"/>
              <w:rPr>
                <w:color w:val="auto"/>
                <w:lang w:bidi="en-US"/>
              </w:rPr>
            </w:pPr>
            <w:r>
              <w:rPr>
                <w:rFonts w:hint="eastAsia"/>
                <w:color w:val="auto"/>
                <w:lang w:bidi="en-US"/>
              </w:rPr>
              <w:t>达标结论：</w:t>
            </w:r>
            <w:r>
              <w:rPr>
                <w:rFonts w:hint="eastAsia" w:eastAsia="Times New Roman"/>
                <w:color w:val="auto"/>
                <w:lang w:bidi="en-US"/>
              </w:rPr>
              <w:t>a</w:t>
            </w:r>
            <w:r>
              <w:rPr>
                <w:rFonts w:hint="eastAsia"/>
                <w:color w:val="auto"/>
                <w:lang w:bidi="en-US"/>
              </w:rPr>
              <w:t>）□；</w:t>
            </w:r>
            <w:r>
              <w:rPr>
                <w:rFonts w:hint="eastAsia" w:eastAsia="Times New Roman"/>
                <w:color w:val="auto"/>
                <w:lang w:bidi="en-US"/>
              </w:rPr>
              <w:t>b</w:t>
            </w:r>
            <w:r>
              <w:rPr>
                <w:rFonts w:hint="eastAsia"/>
                <w:color w:val="auto"/>
                <w:lang w:bidi="en-US"/>
              </w:rPr>
              <w:t>）□；</w:t>
            </w:r>
            <w:r>
              <w:rPr>
                <w:rFonts w:hint="eastAsia" w:eastAsia="Times New Roman"/>
                <w:color w:val="auto"/>
                <w:lang w:bidi="en-US"/>
              </w:rPr>
              <w:t>c</w:t>
            </w:r>
            <w:r>
              <w:rPr>
                <w:rFonts w:hint="eastAsia"/>
                <w:color w:val="auto"/>
                <w:lang w:bidi="en-US"/>
              </w:rPr>
              <w:t>）□</w:t>
            </w:r>
          </w:p>
          <w:p w14:paraId="7A7BB2F8">
            <w:pPr>
              <w:pStyle w:val="3361"/>
              <w:rPr>
                <w:color w:val="auto"/>
                <w:lang w:bidi="en-US"/>
              </w:rPr>
            </w:pPr>
            <w:r>
              <w:rPr>
                <w:rFonts w:hint="eastAsia"/>
                <w:color w:val="auto"/>
                <w:lang w:bidi="en-US"/>
              </w:rPr>
              <w:t>不达标结论：</w:t>
            </w:r>
            <w:r>
              <w:rPr>
                <w:rFonts w:hint="eastAsia" w:eastAsia="Times New Roman"/>
                <w:color w:val="auto"/>
                <w:lang w:bidi="en-US"/>
              </w:rPr>
              <w:t>a</w:t>
            </w:r>
            <w:r>
              <w:rPr>
                <w:rFonts w:hint="eastAsia"/>
                <w:color w:val="auto"/>
                <w:lang w:bidi="en-US"/>
              </w:rPr>
              <w:t>）□；</w:t>
            </w:r>
            <w:r>
              <w:rPr>
                <w:rFonts w:hint="eastAsia" w:eastAsia="Times New Roman"/>
                <w:color w:val="auto"/>
                <w:lang w:bidi="en-US"/>
              </w:rPr>
              <w:t>b</w:t>
            </w:r>
            <w:r>
              <w:rPr>
                <w:rFonts w:hint="eastAsia"/>
                <w:color w:val="auto"/>
                <w:lang w:bidi="en-US"/>
              </w:rPr>
              <w:t>）□</w:t>
            </w:r>
          </w:p>
        </w:tc>
        <w:tc>
          <w:tcPr>
            <w:tcW w:w="612" w:type="pct"/>
            <w:vAlign w:val="center"/>
          </w:tcPr>
          <w:p w14:paraId="4DF9E09E">
            <w:pPr>
              <w:pStyle w:val="3361"/>
              <w:rPr>
                <w:color w:val="auto"/>
                <w:lang w:bidi="en-US"/>
              </w:rPr>
            </w:pPr>
          </w:p>
        </w:tc>
      </w:tr>
      <w:tr w14:paraId="4EF95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28" w:type="pct"/>
            <w:vMerge w:val="restart"/>
            <w:vAlign w:val="center"/>
          </w:tcPr>
          <w:p w14:paraId="0B3AC257">
            <w:pPr>
              <w:pStyle w:val="3361"/>
              <w:rPr>
                <w:color w:val="auto"/>
                <w:lang w:bidi="en-US"/>
              </w:rPr>
            </w:pPr>
            <w:r>
              <w:rPr>
                <w:rFonts w:hint="eastAsia"/>
                <w:color w:val="auto"/>
                <w:lang w:eastAsia="en-US" w:bidi="en-US"/>
              </w:rPr>
              <w:t>防</w:t>
            </w:r>
          </w:p>
          <w:p w14:paraId="0C3EAAFF">
            <w:pPr>
              <w:pStyle w:val="3361"/>
              <w:rPr>
                <w:color w:val="auto"/>
                <w:lang w:bidi="en-US"/>
              </w:rPr>
            </w:pPr>
            <w:r>
              <w:rPr>
                <w:rFonts w:hint="eastAsia"/>
                <w:color w:val="auto"/>
                <w:lang w:eastAsia="en-US" w:bidi="en-US"/>
              </w:rPr>
              <w:t>治</w:t>
            </w:r>
          </w:p>
          <w:p w14:paraId="2EC44184">
            <w:pPr>
              <w:pStyle w:val="3361"/>
              <w:rPr>
                <w:color w:val="auto"/>
                <w:lang w:eastAsia="en-US" w:bidi="en-US"/>
              </w:rPr>
            </w:pPr>
            <w:r>
              <w:rPr>
                <w:rFonts w:hint="eastAsia"/>
                <w:color w:val="auto"/>
                <w:lang w:eastAsia="en-US" w:bidi="en-US"/>
              </w:rPr>
              <w:t>措</w:t>
            </w:r>
          </w:p>
          <w:p w14:paraId="46C11C01">
            <w:pPr>
              <w:pStyle w:val="3361"/>
              <w:rPr>
                <w:color w:val="auto"/>
                <w:lang w:eastAsia="en-US" w:bidi="en-US"/>
              </w:rPr>
            </w:pPr>
            <w:r>
              <w:rPr>
                <w:rFonts w:hint="eastAsia"/>
                <w:color w:val="auto"/>
                <w:lang w:eastAsia="en-US" w:bidi="en-US"/>
              </w:rPr>
              <w:t>施</w:t>
            </w:r>
          </w:p>
        </w:tc>
        <w:tc>
          <w:tcPr>
            <w:tcW w:w="904" w:type="pct"/>
            <w:vAlign w:val="center"/>
          </w:tcPr>
          <w:p w14:paraId="486A8147">
            <w:pPr>
              <w:pStyle w:val="3361"/>
              <w:rPr>
                <w:color w:val="auto"/>
                <w:lang w:eastAsia="en-US" w:bidi="en-US"/>
              </w:rPr>
            </w:pPr>
            <w:r>
              <w:rPr>
                <w:rFonts w:hint="eastAsia"/>
                <w:color w:val="auto"/>
                <w:lang w:eastAsia="en-US" w:bidi="en-US"/>
              </w:rPr>
              <w:t>防控措施</w:t>
            </w:r>
          </w:p>
        </w:tc>
        <w:tc>
          <w:tcPr>
            <w:tcW w:w="3256" w:type="pct"/>
            <w:gridSpan w:val="8"/>
            <w:vAlign w:val="center"/>
          </w:tcPr>
          <w:p w14:paraId="5E584C40">
            <w:pPr>
              <w:pStyle w:val="3361"/>
              <w:rPr>
                <w:color w:val="auto"/>
                <w:lang w:bidi="en-US"/>
              </w:rPr>
            </w:pPr>
            <w:r>
              <w:rPr>
                <w:rFonts w:hint="eastAsia"/>
                <w:color w:val="auto"/>
                <w:lang w:bidi="en-US"/>
              </w:rPr>
              <w:t>（土壤环境质量现状保障□；源头控制</w:t>
            </w:r>
            <w:r>
              <w:rPr>
                <w:rFonts w:hint="eastAsia" w:ascii="Segoe UI Symbol" w:hAnsi="Segoe UI Symbol" w:eastAsia="MS Mincho" w:cs="Segoe UI Symbol"/>
                <w:color w:val="auto"/>
              </w:rPr>
              <w:t>☑</w:t>
            </w:r>
            <w:r>
              <w:rPr>
                <w:rFonts w:hint="eastAsia"/>
                <w:color w:val="auto"/>
                <w:lang w:bidi="en-US"/>
              </w:rPr>
              <w:t>；过程防控</w:t>
            </w:r>
            <w:r>
              <w:rPr>
                <w:rFonts w:hint="eastAsia" w:ascii="Segoe UI Symbol" w:hAnsi="Segoe UI Symbol" w:eastAsia="MS Mincho" w:cs="Segoe UI Symbol"/>
                <w:color w:val="auto"/>
              </w:rPr>
              <w:t>☑</w:t>
            </w:r>
            <w:r>
              <w:rPr>
                <w:rFonts w:hint="eastAsia"/>
                <w:color w:val="auto"/>
                <w:lang w:bidi="en-US"/>
              </w:rPr>
              <w:t>；其他）</w:t>
            </w:r>
          </w:p>
        </w:tc>
        <w:tc>
          <w:tcPr>
            <w:tcW w:w="612" w:type="pct"/>
            <w:vAlign w:val="center"/>
          </w:tcPr>
          <w:p w14:paraId="68825B43">
            <w:pPr>
              <w:pStyle w:val="3361"/>
              <w:rPr>
                <w:color w:val="auto"/>
                <w:lang w:bidi="en-US"/>
              </w:rPr>
            </w:pPr>
          </w:p>
        </w:tc>
      </w:tr>
      <w:tr w14:paraId="3A99E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28" w:type="pct"/>
            <w:vMerge w:val="continue"/>
            <w:vAlign w:val="center"/>
          </w:tcPr>
          <w:p w14:paraId="02377EC0">
            <w:pPr>
              <w:pStyle w:val="3361"/>
              <w:rPr>
                <w:color w:val="auto"/>
                <w:lang w:bidi="en-US"/>
              </w:rPr>
            </w:pPr>
          </w:p>
        </w:tc>
        <w:tc>
          <w:tcPr>
            <w:tcW w:w="904" w:type="pct"/>
            <w:vMerge w:val="restart"/>
            <w:vAlign w:val="center"/>
          </w:tcPr>
          <w:p w14:paraId="1FC0EEEA">
            <w:pPr>
              <w:pStyle w:val="3361"/>
              <w:rPr>
                <w:color w:val="auto"/>
                <w:lang w:eastAsia="en-US" w:bidi="en-US"/>
              </w:rPr>
            </w:pPr>
            <w:r>
              <w:rPr>
                <w:rFonts w:hint="eastAsia"/>
                <w:color w:val="auto"/>
                <w:lang w:eastAsia="en-US" w:bidi="en-US"/>
              </w:rPr>
              <w:t>跟踪监测</w:t>
            </w:r>
          </w:p>
        </w:tc>
        <w:tc>
          <w:tcPr>
            <w:tcW w:w="666" w:type="pct"/>
            <w:gridSpan w:val="2"/>
            <w:vAlign w:val="center"/>
          </w:tcPr>
          <w:p w14:paraId="44E84907">
            <w:pPr>
              <w:pStyle w:val="3361"/>
              <w:rPr>
                <w:color w:val="auto"/>
                <w:lang w:eastAsia="en-US" w:bidi="en-US"/>
              </w:rPr>
            </w:pPr>
            <w:r>
              <w:rPr>
                <w:rFonts w:hint="eastAsia"/>
                <w:color w:val="auto"/>
                <w:lang w:eastAsia="en-US" w:bidi="en-US"/>
              </w:rPr>
              <w:t>监测点数</w:t>
            </w:r>
          </w:p>
        </w:tc>
        <w:tc>
          <w:tcPr>
            <w:tcW w:w="1799" w:type="pct"/>
            <w:gridSpan w:val="3"/>
            <w:vAlign w:val="center"/>
          </w:tcPr>
          <w:p w14:paraId="34AF90E7">
            <w:pPr>
              <w:pStyle w:val="3361"/>
              <w:rPr>
                <w:color w:val="auto"/>
                <w:lang w:eastAsia="en-US" w:bidi="en-US"/>
              </w:rPr>
            </w:pPr>
            <w:r>
              <w:rPr>
                <w:rFonts w:hint="eastAsia"/>
                <w:color w:val="auto"/>
                <w:lang w:eastAsia="en-US" w:bidi="en-US"/>
              </w:rPr>
              <w:t>监测指标</w:t>
            </w:r>
          </w:p>
        </w:tc>
        <w:tc>
          <w:tcPr>
            <w:tcW w:w="791" w:type="pct"/>
            <w:gridSpan w:val="3"/>
            <w:vAlign w:val="center"/>
          </w:tcPr>
          <w:p w14:paraId="6E31BA01">
            <w:pPr>
              <w:pStyle w:val="3361"/>
              <w:rPr>
                <w:color w:val="auto"/>
                <w:lang w:eastAsia="en-US" w:bidi="en-US"/>
              </w:rPr>
            </w:pPr>
            <w:r>
              <w:rPr>
                <w:rFonts w:hint="eastAsia"/>
                <w:color w:val="auto"/>
                <w:lang w:eastAsia="en-US" w:bidi="en-US"/>
              </w:rPr>
              <w:t>监测频次</w:t>
            </w:r>
          </w:p>
        </w:tc>
        <w:tc>
          <w:tcPr>
            <w:tcW w:w="612" w:type="pct"/>
            <w:vMerge w:val="restart"/>
            <w:vAlign w:val="center"/>
          </w:tcPr>
          <w:p w14:paraId="45E165AA">
            <w:pPr>
              <w:pStyle w:val="3361"/>
              <w:rPr>
                <w:color w:val="auto"/>
                <w:lang w:eastAsia="en-US" w:bidi="en-US"/>
              </w:rPr>
            </w:pPr>
          </w:p>
        </w:tc>
      </w:tr>
      <w:tr w14:paraId="02E3D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9" w:hRule="atLeast"/>
          <w:jc w:val="center"/>
        </w:trPr>
        <w:tc>
          <w:tcPr>
            <w:tcW w:w="228" w:type="pct"/>
            <w:vMerge w:val="continue"/>
            <w:vAlign w:val="center"/>
          </w:tcPr>
          <w:p w14:paraId="323EEE83">
            <w:pPr>
              <w:pStyle w:val="3361"/>
              <w:rPr>
                <w:color w:val="auto"/>
                <w:lang w:eastAsia="en-US" w:bidi="en-US"/>
              </w:rPr>
            </w:pPr>
          </w:p>
        </w:tc>
        <w:tc>
          <w:tcPr>
            <w:tcW w:w="904" w:type="pct"/>
            <w:vMerge w:val="continue"/>
            <w:vAlign w:val="center"/>
          </w:tcPr>
          <w:p w14:paraId="13EEE241">
            <w:pPr>
              <w:pStyle w:val="3361"/>
              <w:rPr>
                <w:color w:val="auto"/>
                <w:lang w:eastAsia="en-US" w:bidi="en-US"/>
              </w:rPr>
            </w:pPr>
          </w:p>
        </w:tc>
        <w:tc>
          <w:tcPr>
            <w:tcW w:w="666" w:type="pct"/>
            <w:gridSpan w:val="2"/>
            <w:vAlign w:val="center"/>
          </w:tcPr>
          <w:p w14:paraId="55C325C1">
            <w:pPr>
              <w:pStyle w:val="3361"/>
              <w:rPr>
                <w:color w:val="auto"/>
                <w:lang w:bidi="en-US"/>
              </w:rPr>
            </w:pPr>
            <w:r>
              <w:rPr>
                <w:rFonts w:hint="eastAsia"/>
                <w:color w:val="auto"/>
                <w:lang w:bidi="en-US"/>
              </w:rPr>
              <w:t>3</w:t>
            </w:r>
          </w:p>
        </w:tc>
        <w:tc>
          <w:tcPr>
            <w:tcW w:w="1799" w:type="pct"/>
            <w:gridSpan w:val="3"/>
            <w:vAlign w:val="center"/>
          </w:tcPr>
          <w:p w14:paraId="2DCC748C">
            <w:pPr>
              <w:pStyle w:val="3361"/>
              <w:rPr>
                <w:color w:val="auto"/>
                <w:lang w:bidi="en-US"/>
              </w:rPr>
            </w:pPr>
            <w:r>
              <w:rPr>
                <w:rFonts w:hint="eastAsia"/>
                <w:color w:val="auto"/>
                <w:lang w:bidi="en-US"/>
              </w:rPr>
              <w:t>pH、《土壤环境质量 建设用地土壤污染风险管控标准（试行）》（GB 36600-2018）表1中的45项基础项目 、石油烃（C10~C40）</w:t>
            </w:r>
          </w:p>
        </w:tc>
        <w:tc>
          <w:tcPr>
            <w:tcW w:w="791" w:type="pct"/>
            <w:gridSpan w:val="3"/>
            <w:vAlign w:val="center"/>
          </w:tcPr>
          <w:p w14:paraId="7B5E3325">
            <w:pPr>
              <w:pStyle w:val="3361"/>
              <w:rPr>
                <w:color w:val="auto"/>
                <w:lang w:bidi="en-US"/>
              </w:rPr>
            </w:pPr>
            <w:r>
              <w:rPr>
                <w:rFonts w:hint="eastAsia"/>
                <w:color w:val="auto"/>
                <w:lang w:bidi="en-US"/>
              </w:rPr>
              <w:t>1次/1年</w:t>
            </w:r>
          </w:p>
        </w:tc>
        <w:tc>
          <w:tcPr>
            <w:tcW w:w="612" w:type="pct"/>
            <w:vMerge w:val="continue"/>
            <w:vAlign w:val="center"/>
          </w:tcPr>
          <w:p w14:paraId="62A21612">
            <w:pPr>
              <w:pStyle w:val="3361"/>
              <w:rPr>
                <w:color w:val="auto"/>
                <w:lang w:bidi="en-US"/>
              </w:rPr>
            </w:pPr>
          </w:p>
        </w:tc>
      </w:tr>
      <w:tr w14:paraId="3009E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3" w:hRule="atLeast"/>
          <w:jc w:val="center"/>
        </w:trPr>
        <w:tc>
          <w:tcPr>
            <w:tcW w:w="228" w:type="pct"/>
            <w:vMerge w:val="continue"/>
            <w:vAlign w:val="center"/>
          </w:tcPr>
          <w:p w14:paraId="05CE6DD6">
            <w:pPr>
              <w:pStyle w:val="3361"/>
              <w:rPr>
                <w:color w:val="auto"/>
                <w:lang w:bidi="en-US"/>
              </w:rPr>
            </w:pPr>
          </w:p>
        </w:tc>
        <w:tc>
          <w:tcPr>
            <w:tcW w:w="904" w:type="pct"/>
            <w:vAlign w:val="center"/>
          </w:tcPr>
          <w:p w14:paraId="0D907B87">
            <w:pPr>
              <w:pStyle w:val="3361"/>
              <w:rPr>
                <w:color w:val="auto"/>
                <w:lang w:eastAsia="en-US" w:bidi="en-US"/>
              </w:rPr>
            </w:pPr>
            <w:r>
              <w:rPr>
                <w:rFonts w:hint="eastAsia"/>
                <w:color w:val="auto"/>
                <w:lang w:eastAsia="en-US" w:bidi="en-US"/>
              </w:rPr>
              <w:t>信息公开指标</w:t>
            </w:r>
          </w:p>
        </w:tc>
        <w:tc>
          <w:tcPr>
            <w:tcW w:w="3256" w:type="pct"/>
            <w:gridSpan w:val="8"/>
            <w:vAlign w:val="center"/>
          </w:tcPr>
          <w:p w14:paraId="1C9D9B18">
            <w:pPr>
              <w:pStyle w:val="3361"/>
              <w:rPr>
                <w:color w:val="auto"/>
                <w:lang w:bidi="en-US"/>
              </w:rPr>
            </w:pPr>
            <w:r>
              <w:rPr>
                <w:rFonts w:hint="eastAsia"/>
                <w:color w:val="auto"/>
                <w:lang w:bidi="en-US"/>
              </w:rPr>
              <w:t>监测计划及监测因子</w:t>
            </w:r>
          </w:p>
        </w:tc>
        <w:tc>
          <w:tcPr>
            <w:tcW w:w="612" w:type="pct"/>
            <w:vMerge w:val="continue"/>
            <w:vAlign w:val="center"/>
          </w:tcPr>
          <w:p w14:paraId="116A98FA">
            <w:pPr>
              <w:pStyle w:val="3361"/>
              <w:rPr>
                <w:color w:val="auto"/>
                <w:lang w:eastAsia="en-US" w:bidi="en-US"/>
              </w:rPr>
            </w:pPr>
          </w:p>
        </w:tc>
      </w:tr>
      <w:tr w14:paraId="3B8BD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jc w:val="center"/>
        </w:trPr>
        <w:tc>
          <w:tcPr>
            <w:tcW w:w="1132" w:type="pct"/>
            <w:gridSpan w:val="2"/>
            <w:vAlign w:val="center"/>
          </w:tcPr>
          <w:p w14:paraId="11E429B8">
            <w:pPr>
              <w:pStyle w:val="3361"/>
              <w:rPr>
                <w:color w:val="auto"/>
                <w:lang w:eastAsia="en-US" w:bidi="en-US"/>
              </w:rPr>
            </w:pPr>
            <w:r>
              <w:rPr>
                <w:rFonts w:hint="eastAsia"/>
                <w:color w:val="auto"/>
                <w:lang w:eastAsia="en-US" w:bidi="en-US"/>
              </w:rPr>
              <w:t>评价结论</w:t>
            </w:r>
          </w:p>
        </w:tc>
        <w:tc>
          <w:tcPr>
            <w:tcW w:w="3256" w:type="pct"/>
            <w:gridSpan w:val="8"/>
            <w:vAlign w:val="center"/>
          </w:tcPr>
          <w:p w14:paraId="309EAE58">
            <w:pPr>
              <w:pStyle w:val="3361"/>
              <w:rPr>
                <w:color w:val="auto"/>
                <w:lang w:bidi="en-US"/>
              </w:rPr>
            </w:pPr>
            <w:r>
              <w:rPr>
                <w:rFonts w:hint="eastAsia"/>
                <w:color w:val="auto"/>
                <w:lang w:bidi="en-US"/>
              </w:rPr>
              <w:t>土壤环境影响可接受</w:t>
            </w:r>
          </w:p>
        </w:tc>
        <w:tc>
          <w:tcPr>
            <w:tcW w:w="612" w:type="pct"/>
            <w:vAlign w:val="center"/>
          </w:tcPr>
          <w:p w14:paraId="4ECEFEC2">
            <w:pPr>
              <w:pStyle w:val="3361"/>
              <w:rPr>
                <w:color w:val="auto"/>
                <w:lang w:eastAsia="en-US" w:bidi="en-US"/>
              </w:rPr>
            </w:pPr>
          </w:p>
        </w:tc>
      </w:tr>
      <w:tr w14:paraId="4E255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3" w:hRule="atLeast"/>
          <w:jc w:val="center"/>
        </w:trPr>
        <w:tc>
          <w:tcPr>
            <w:tcW w:w="5000" w:type="pct"/>
            <w:gridSpan w:val="11"/>
            <w:vAlign w:val="center"/>
          </w:tcPr>
          <w:p w14:paraId="13F4A027">
            <w:pPr>
              <w:pStyle w:val="3361"/>
              <w:rPr>
                <w:color w:val="auto"/>
                <w:lang w:bidi="en-US"/>
              </w:rPr>
            </w:pPr>
            <w:r>
              <w:rPr>
                <w:rFonts w:hint="eastAsia"/>
                <w:color w:val="auto"/>
                <w:lang w:bidi="en-US"/>
              </w:rPr>
              <w:t xml:space="preserve">注 </w:t>
            </w:r>
            <w:r>
              <w:rPr>
                <w:rFonts w:hint="eastAsia" w:eastAsia="Times New Roman"/>
                <w:color w:val="auto"/>
                <w:lang w:bidi="en-US"/>
              </w:rPr>
              <w:t>1</w:t>
            </w:r>
            <w:r>
              <w:rPr>
                <w:rFonts w:hint="eastAsia"/>
                <w:color w:val="auto"/>
                <w:lang w:bidi="en-US"/>
              </w:rPr>
              <w:t>：“□”为勾选项，可√；“（ ）”为内容填写项；“备注”为其他补充内容。</w:t>
            </w:r>
          </w:p>
          <w:p w14:paraId="65819907">
            <w:pPr>
              <w:pStyle w:val="3361"/>
              <w:rPr>
                <w:color w:val="auto"/>
                <w:lang w:bidi="en-US"/>
              </w:rPr>
            </w:pPr>
            <w:r>
              <w:rPr>
                <w:rFonts w:hint="eastAsia"/>
                <w:color w:val="auto"/>
                <w:lang w:bidi="en-US"/>
              </w:rPr>
              <w:t xml:space="preserve">注 </w:t>
            </w:r>
            <w:r>
              <w:rPr>
                <w:rFonts w:hint="eastAsia" w:eastAsia="Times New Roman"/>
                <w:color w:val="auto"/>
                <w:lang w:bidi="en-US"/>
              </w:rPr>
              <w:t>2</w:t>
            </w:r>
            <w:r>
              <w:rPr>
                <w:rFonts w:hint="eastAsia"/>
                <w:color w:val="auto"/>
                <w:lang w:bidi="en-US"/>
              </w:rPr>
              <w:t>：需要分别开展土壤环境影响评价工作的，分别填写自查表。</w:t>
            </w:r>
          </w:p>
        </w:tc>
      </w:tr>
    </w:tbl>
    <w:p w14:paraId="7BDF9D87">
      <w:pPr>
        <w:spacing w:line="360" w:lineRule="auto"/>
        <w:ind w:firstLine="480"/>
        <w:rPr>
          <w:color w:val="auto"/>
        </w:rPr>
      </w:pPr>
    </w:p>
    <w:p w14:paraId="0F2996BF">
      <w:pPr>
        <w:pStyle w:val="4"/>
        <w:numPr>
          <w:ilvl w:val="0"/>
          <w:numId w:val="0"/>
        </w:numPr>
        <w:spacing w:line="360" w:lineRule="auto"/>
        <w:rPr>
          <w:color w:val="auto"/>
          <w:szCs w:val="24"/>
        </w:rPr>
      </w:pPr>
      <w:bookmarkStart w:id="258" w:name="_Toc10216"/>
      <w:r>
        <w:rPr>
          <w:color w:val="auto"/>
          <w:szCs w:val="24"/>
        </w:rPr>
        <w:t>6.7生态环境</w:t>
      </w:r>
      <w:r>
        <w:rPr>
          <w:rFonts w:hint="eastAsia"/>
          <w:color w:val="auto"/>
          <w:szCs w:val="24"/>
          <w:lang w:eastAsia="zh-CN"/>
        </w:rPr>
        <w:t>影响</w:t>
      </w:r>
      <w:r>
        <w:rPr>
          <w:color w:val="auto"/>
          <w:szCs w:val="24"/>
        </w:rPr>
        <w:t>分析</w:t>
      </w:r>
      <w:bookmarkEnd w:id="258"/>
    </w:p>
    <w:p w14:paraId="0365E893">
      <w:pPr>
        <w:spacing w:line="360" w:lineRule="auto"/>
        <w:ind w:firstLine="480"/>
        <w:rPr>
          <w:color w:val="auto"/>
        </w:rPr>
      </w:pPr>
      <w:r>
        <w:rPr>
          <w:rFonts w:hint="eastAsia"/>
          <w:color w:val="auto"/>
        </w:rPr>
        <w:t>拟建项目的选址符合生态环境分区管控要求且位于已批准规划环评的产业园区（</w:t>
      </w:r>
      <w:r>
        <w:rPr>
          <w:rFonts w:hint="eastAsia"/>
          <w:color w:val="auto"/>
          <w:szCs w:val="24"/>
          <w:lang w:eastAsia="zh-CN"/>
        </w:rPr>
        <w:t>重庆忠县工业园乌杨组团</w:t>
      </w:r>
      <w:r>
        <w:rPr>
          <w:rFonts w:hint="eastAsia"/>
          <w:color w:val="auto"/>
        </w:rPr>
        <w:t>）内且符合规划环评要求、不涉及生态敏感区。营运期正常生产状态下，项目对生态环境较小。</w:t>
      </w:r>
    </w:p>
    <w:p w14:paraId="602169DD">
      <w:pPr>
        <w:spacing w:line="360" w:lineRule="auto"/>
        <w:ind w:firstLine="480"/>
        <w:rPr>
          <w:color w:val="auto"/>
        </w:rPr>
      </w:pPr>
      <w:r>
        <w:rPr>
          <w:rFonts w:hint="eastAsia"/>
          <w:color w:val="auto"/>
        </w:rPr>
        <w:t>生态影响评价自查表见表6.7-1。</w:t>
      </w:r>
      <w:bookmarkStart w:id="259" w:name="_Toc462350308"/>
      <w:bookmarkStart w:id="260" w:name="_Toc472509320"/>
    </w:p>
    <w:p w14:paraId="577C9BF1">
      <w:pPr>
        <w:spacing w:line="360" w:lineRule="auto"/>
        <w:ind w:firstLine="482"/>
        <w:jc w:val="center"/>
        <w:rPr>
          <w:b/>
          <w:bCs/>
          <w:color w:val="auto"/>
          <w:kern w:val="0"/>
        </w:rPr>
      </w:pPr>
      <w:r>
        <w:rPr>
          <w:b/>
          <w:bCs/>
          <w:color w:val="auto"/>
        </w:rPr>
        <w:t>表6.7-1 生态影响评价自查表</w:t>
      </w:r>
    </w:p>
    <w:tbl>
      <w:tblPr>
        <w:tblStyle w:val="88"/>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003"/>
        <w:gridCol w:w="1395"/>
        <w:gridCol w:w="6888"/>
      </w:tblGrid>
      <w:tr w14:paraId="7D032C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2152" w:type="dxa"/>
            <w:gridSpan w:val="2"/>
            <w:tcBorders>
              <w:top w:val="single" w:color="000000" w:sz="2" w:space="0"/>
              <w:left w:val="single" w:color="000000" w:sz="2" w:space="0"/>
              <w:bottom w:val="single" w:color="000000" w:sz="2" w:space="0"/>
              <w:right w:val="single" w:color="000000" w:sz="2" w:space="0"/>
            </w:tcBorders>
            <w:vAlign w:val="center"/>
          </w:tcPr>
          <w:p w14:paraId="03E58AC0">
            <w:pPr>
              <w:pStyle w:val="405"/>
              <w:spacing w:before="24" w:after="120"/>
              <w:rPr>
                <w:color w:val="auto"/>
                <w:szCs w:val="21"/>
              </w:rPr>
            </w:pPr>
            <w:r>
              <w:rPr>
                <w:rFonts w:hint="eastAsia"/>
                <w:color w:val="auto"/>
                <w:szCs w:val="21"/>
              </w:rPr>
              <w:t>工作内容</w:t>
            </w:r>
          </w:p>
        </w:tc>
        <w:tc>
          <w:tcPr>
            <w:tcW w:w="6180" w:type="dxa"/>
            <w:tcBorders>
              <w:top w:val="single" w:color="000000" w:sz="2" w:space="0"/>
              <w:left w:val="single" w:color="000000" w:sz="2" w:space="0"/>
              <w:bottom w:val="single" w:color="000000" w:sz="2" w:space="0"/>
              <w:right w:val="single" w:color="000000" w:sz="2" w:space="0"/>
            </w:tcBorders>
            <w:vAlign w:val="center"/>
          </w:tcPr>
          <w:p w14:paraId="6C4D9A16">
            <w:pPr>
              <w:pStyle w:val="405"/>
              <w:spacing w:before="24" w:after="120"/>
              <w:rPr>
                <w:color w:val="auto"/>
                <w:szCs w:val="21"/>
              </w:rPr>
            </w:pPr>
            <w:r>
              <w:rPr>
                <w:rFonts w:hint="eastAsia"/>
                <w:color w:val="auto"/>
                <w:szCs w:val="21"/>
              </w:rPr>
              <w:t>自查项目</w:t>
            </w:r>
          </w:p>
        </w:tc>
      </w:tr>
      <w:tr w14:paraId="0C4059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900" w:type="dxa"/>
            <w:vMerge w:val="restart"/>
            <w:tcBorders>
              <w:top w:val="single" w:color="000000" w:sz="2" w:space="0"/>
              <w:left w:val="single" w:color="000000" w:sz="2" w:space="0"/>
              <w:bottom w:val="single" w:color="000000" w:sz="2" w:space="0"/>
              <w:right w:val="single" w:color="000000" w:sz="2" w:space="0"/>
            </w:tcBorders>
            <w:vAlign w:val="center"/>
          </w:tcPr>
          <w:p w14:paraId="2A30C9D3">
            <w:pPr>
              <w:pStyle w:val="405"/>
              <w:spacing w:before="24" w:after="120"/>
              <w:rPr>
                <w:color w:val="auto"/>
                <w:szCs w:val="21"/>
              </w:rPr>
            </w:pPr>
            <w:r>
              <w:rPr>
                <w:rFonts w:hint="eastAsia"/>
                <w:color w:val="auto"/>
                <w:szCs w:val="21"/>
              </w:rPr>
              <w:t>生态影响识别</w:t>
            </w:r>
          </w:p>
        </w:tc>
        <w:tc>
          <w:tcPr>
            <w:tcW w:w="1252" w:type="dxa"/>
            <w:tcBorders>
              <w:top w:val="single" w:color="000000" w:sz="2" w:space="0"/>
              <w:left w:val="single" w:color="000000" w:sz="2" w:space="0"/>
              <w:bottom w:val="single" w:color="000000" w:sz="2" w:space="0"/>
              <w:right w:val="single" w:color="000000" w:sz="2" w:space="0"/>
            </w:tcBorders>
            <w:vAlign w:val="center"/>
          </w:tcPr>
          <w:p w14:paraId="3E11B646">
            <w:pPr>
              <w:pStyle w:val="405"/>
              <w:spacing w:before="24" w:after="120"/>
              <w:rPr>
                <w:color w:val="auto"/>
                <w:szCs w:val="21"/>
              </w:rPr>
            </w:pPr>
            <w:r>
              <w:rPr>
                <w:rFonts w:hint="eastAsia"/>
                <w:color w:val="auto"/>
                <w:szCs w:val="21"/>
              </w:rPr>
              <w:t>生态保护目标</w:t>
            </w:r>
          </w:p>
        </w:tc>
        <w:tc>
          <w:tcPr>
            <w:tcW w:w="6180" w:type="dxa"/>
            <w:tcBorders>
              <w:top w:val="single" w:color="000000" w:sz="2" w:space="0"/>
              <w:left w:val="single" w:color="000000" w:sz="2" w:space="0"/>
              <w:bottom w:val="single" w:color="000000" w:sz="2" w:space="0"/>
              <w:right w:val="single" w:color="000000" w:sz="2" w:space="0"/>
            </w:tcBorders>
            <w:vAlign w:val="center"/>
          </w:tcPr>
          <w:p w14:paraId="0006CF3A">
            <w:pPr>
              <w:pStyle w:val="405"/>
              <w:spacing w:before="24" w:after="120"/>
              <w:rPr>
                <w:color w:val="auto"/>
                <w:szCs w:val="21"/>
              </w:rPr>
            </w:pPr>
            <w:r>
              <w:rPr>
                <w:rFonts w:hint="eastAsia"/>
                <w:color w:val="auto"/>
                <w:szCs w:val="21"/>
              </w:rPr>
              <w:t>重要物种□；国家公园□；自然保护区□；自然公园□；世界自然遗产□；生态保护红线□；重要生境□；其他具有重要生态功能、对保护生物多样性具有重要意义的区域□；其他</w:t>
            </w:r>
            <w:r>
              <w:rPr>
                <w:rFonts w:hint="eastAsia" w:ascii="MS Mincho" w:hAnsi="MS Mincho" w:eastAsia="MS Mincho" w:cs="MS Mincho"/>
                <w:color w:val="auto"/>
                <w:szCs w:val="21"/>
              </w:rPr>
              <w:t>☑</w:t>
            </w:r>
          </w:p>
        </w:tc>
      </w:tr>
      <w:tr w14:paraId="21EAC8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8332" w:type="dxa"/>
            <w:vMerge w:val="continue"/>
            <w:tcBorders>
              <w:top w:val="single" w:color="000000" w:sz="2" w:space="0"/>
              <w:left w:val="single" w:color="000000" w:sz="2" w:space="0"/>
              <w:bottom w:val="single" w:color="000000" w:sz="2" w:space="0"/>
              <w:right w:val="single" w:color="000000" w:sz="2" w:space="0"/>
            </w:tcBorders>
            <w:vAlign w:val="center"/>
          </w:tcPr>
          <w:p w14:paraId="4FFF6308">
            <w:pPr>
              <w:pStyle w:val="405"/>
              <w:spacing w:before="24" w:after="120"/>
              <w:rPr>
                <w:color w:val="auto"/>
                <w:szCs w:val="21"/>
              </w:rPr>
            </w:pPr>
          </w:p>
        </w:tc>
        <w:tc>
          <w:tcPr>
            <w:tcW w:w="1252" w:type="dxa"/>
            <w:tcBorders>
              <w:top w:val="single" w:color="000000" w:sz="2" w:space="0"/>
              <w:left w:val="single" w:color="000000" w:sz="2" w:space="0"/>
              <w:bottom w:val="single" w:color="000000" w:sz="2" w:space="0"/>
              <w:right w:val="single" w:color="000000" w:sz="2" w:space="0"/>
            </w:tcBorders>
            <w:vAlign w:val="center"/>
          </w:tcPr>
          <w:p w14:paraId="334F2BFD">
            <w:pPr>
              <w:pStyle w:val="405"/>
              <w:spacing w:before="24" w:after="120"/>
              <w:rPr>
                <w:color w:val="auto"/>
                <w:szCs w:val="21"/>
              </w:rPr>
            </w:pPr>
            <w:r>
              <w:rPr>
                <w:rFonts w:hint="eastAsia"/>
                <w:color w:val="auto"/>
                <w:szCs w:val="21"/>
              </w:rPr>
              <w:t>影响方式</w:t>
            </w:r>
          </w:p>
        </w:tc>
        <w:tc>
          <w:tcPr>
            <w:tcW w:w="6180" w:type="dxa"/>
            <w:tcBorders>
              <w:top w:val="single" w:color="000000" w:sz="2" w:space="0"/>
              <w:left w:val="single" w:color="000000" w:sz="2" w:space="0"/>
              <w:bottom w:val="single" w:color="000000" w:sz="2" w:space="0"/>
              <w:right w:val="single" w:color="000000" w:sz="2" w:space="0"/>
            </w:tcBorders>
            <w:vAlign w:val="center"/>
          </w:tcPr>
          <w:p w14:paraId="593FC29F">
            <w:pPr>
              <w:pStyle w:val="405"/>
              <w:spacing w:before="24" w:after="120"/>
              <w:rPr>
                <w:color w:val="auto"/>
                <w:szCs w:val="21"/>
              </w:rPr>
            </w:pPr>
            <w:r>
              <w:rPr>
                <w:rFonts w:hint="eastAsia"/>
                <w:color w:val="auto"/>
                <w:szCs w:val="21"/>
              </w:rPr>
              <w:t>工程占用□；施工活动干扰□；改变环境条件□；其他□</w:t>
            </w:r>
          </w:p>
        </w:tc>
      </w:tr>
      <w:tr w14:paraId="1CD970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1027" w:hRule="atLeast"/>
          <w:jc w:val="center"/>
        </w:trPr>
        <w:tc>
          <w:tcPr>
            <w:tcW w:w="8332" w:type="dxa"/>
            <w:vMerge w:val="continue"/>
            <w:tcBorders>
              <w:top w:val="single" w:color="000000" w:sz="2" w:space="0"/>
              <w:left w:val="single" w:color="000000" w:sz="2" w:space="0"/>
              <w:bottom w:val="single" w:color="000000" w:sz="2" w:space="0"/>
              <w:right w:val="single" w:color="000000" w:sz="2" w:space="0"/>
            </w:tcBorders>
            <w:vAlign w:val="center"/>
          </w:tcPr>
          <w:p w14:paraId="0CCFA1D5">
            <w:pPr>
              <w:pStyle w:val="405"/>
              <w:spacing w:before="24" w:after="120"/>
              <w:rPr>
                <w:color w:val="auto"/>
                <w:szCs w:val="21"/>
              </w:rPr>
            </w:pPr>
          </w:p>
        </w:tc>
        <w:tc>
          <w:tcPr>
            <w:tcW w:w="1252" w:type="dxa"/>
            <w:tcBorders>
              <w:top w:val="single" w:color="000000" w:sz="2" w:space="0"/>
              <w:left w:val="single" w:color="000000" w:sz="2" w:space="0"/>
              <w:bottom w:val="single" w:color="000000" w:sz="2" w:space="0"/>
              <w:right w:val="single" w:color="000000" w:sz="2" w:space="0"/>
            </w:tcBorders>
            <w:vAlign w:val="center"/>
          </w:tcPr>
          <w:p w14:paraId="25E5D1F8">
            <w:pPr>
              <w:pStyle w:val="405"/>
              <w:spacing w:before="100" w:afterLines="0"/>
              <w:rPr>
                <w:color w:val="auto"/>
                <w:szCs w:val="21"/>
              </w:rPr>
            </w:pPr>
            <w:r>
              <w:rPr>
                <w:rFonts w:hint="eastAsia"/>
                <w:color w:val="auto"/>
                <w:szCs w:val="21"/>
              </w:rPr>
              <w:t>评价因子</w:t>
            </w:r>
          </w:p>
        </w:tc>
        <w:tc>
          <w:tcPr>
            <w:tcW w:w="6180" w:type="dxa"/>
            <w:tcBorders>
              <w:top w:val="single" w:color="000000" w:sz="2" w:space="0"/>
              <w:left w:val="single" w:color="000000" w:sz="2" w:space="0"/>
              <w:bottom w:val="single" w:color="000000" w:sz="2" w:space="0"/>
              <w:right w:val="single" w:color="000000" w:sz="2" w:space="0"/>
            </w:tcBorders>
            <w:vAlign w:val="center"/>
          </w:tcPr>
          <w:p w14:paraId="5859F6C3">
            <w:pPr>
              <w:pStyle w:val="405"/>
              <w:spacing w:before="100" w:afterLines="0"/>
              <w:rPr>
                <w:color w:val="auto"/>
                <w:szCs w:val="21"/>
              </w:rPr>
            </w:pPr>
            <w:r>
              <w:rPr>
                <w:rFonts w:hint="eastAsia"/>
                <w:color w:val="auto"/>
                <w:szCs w:val="21"/>
              </w:rPr>
              <w:t>物种□（）生境□（）生物群落□（）生态系统□（）生物多样性□（）生态敏感区□（）自然景观□（）自然遗迹□（）其他□（）</w:t>
            </w:r>
          </w:p>
        </w:tc>
      </w:tr>
      <w:tr w14:paraId="720E5D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2152" w:type="dxa"/>
            <w:gridSpan w:val="2"/>
            <w:tcBorders>
              <w:top w:val="single" w:color="000000" w:sz="2" w:space="0"/>
              <w:left w:val="single" w:color="000000" w:sz="2" w:space="0"/>
              <w:bottom w:val="single" w:color="000000" w:sz="2" w:space="0"/>
              <w:right w:val="single" w:color="000000" w:sz="2" w:space="0"/>
            </w:tcBorders>
            <w:vAlign w:val="center"/>
          </w:tcPr>
          <w:p w14:paraId="0B326CE8">
            <w:pPr>
              <w:pStyle w:val="405"/>
              <w:spacing w:before="24" w:after="120"/>
              <w:rPr>
                <w:color w:val="auto"/>
                <w:szCs w:val="21"/>
              </w:rPr>
            </w:pPr>
            <w:r>
              <w:rPr>
                <w:rFonts w:hint="eastAsia"/>
                <w:color w:val="auto"/>
                <w:szCs w:val="21"/>
              </w:rPr>
              <w:t>评价等级</w:t>
            </w:r>
          </w:p>
        </w:tc>
        <w:tc>
          <w:tcPr>
            <w:tcW w:w="6180" w:type="dxa"/>
            <w:tcBorders>
              <w:top w:val="single" w:color="000000" w:sz="2" w:space="0"/>
              <w:left w:val="single" w:color="000000" w:sz="2" w:space="0"/>
              <w:bottom w:val="single" w:color="000000" w:sz="2" w:space="0"/>
              <w:right w:val="single" w:color="000000" w:sz="2" w:space="0"/>
            </w:tcBorders>
            <w:vAlign w:val="center"/>
          </w:tcPr>
          <w:p w14:paraId="75232609">
            <w:pPr>
              <w:pStyle w:val="405"/>
              <w:spacing w:before="24" w:after="120"/>
              <w:rPr>
                <w:color w:val="auto"/>
                <w:szCs w:val="21"/>
              </w:rPr>
            </w:pPr>
            <w:r>
              <w:rPr>
                <w:rFonts w:hint="eastAsia"/>
                <w:color w:val="auto"/>
                <w:szCs w:val="21"/>
              </w:rPr>
              <w:t>一级□二级□三级□生态影响简单分析</w:t>
            </w:r>
            <w:r>
              <w:rPr>
                <w:rFonts w:hint="eastAsia" w:ascii="MS Mincho" w:hAnsi="MS Mincho" w:eastAsia="MS Mincho" w:cs="MS Mincho"/>
                <w:color w:val="auto"/>
                <w:szCs w:val="21"/>
              </w:rPr>
              <w:t>☑</w:t>
            </w:r>
          </w:p>
        </w:tc>
      </w:tr>
      <w:tr w14:paraId="3F7B9A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2152" w:type="dxa"/>
            <w:gridSpan w:val="2"/>
            <w:tcBorders>
              <w:top w:val="single" w:color="000000" w:sz="2" w:space="0"/>
              <w:left w:val="single" w:color="000000" w:sz="2" w:space="0"/>
              <w:bottom w:val="single" w:color="000000" w:sz="2" w:space="0"/>
              <w:right w:val="single" w:color="000000" w:sz="2" w:space="0"/>
            </w:tcBorders>
            <w:vAlign w:val="center"/>
          </w:tcPr>
          <w:p w14:paraId="33251037">
            <w:pPr>
              <w:pStyle w:val="405"/>
              <w:spacing w:before="24" w:after="120"/>
              <w:rPr>
                <w:color w:val="auto"/>
                <w:szCs w:val="21"/>
              </w:rPr>
            </w:pPr>
            <w:r>
              <w:rPr>
                <w:rFonts w:hint="eastAsia"/>
                <w:color w:val="auto"/>
                <w:szCs w:val="21"/>
              </w:rPr>
              <w:t>评价范围</w:t>
            </w:r>
          </w:p>
        </w:tc>
        <w:tc>
          <w:tcPr>
            <w:tcW w:w="6180" w:type="dxa"/>
            <w:tcBorders>
              <w:top w:val="single" w:color="000000" w:sz="2" w:space="0"/>
              <w:left w:val="single" w:color="000000" w:sz="2" w:space="0"/>
              <w:bottom w:val="single" w:color="000000" w:sz="2" w:space="0"/>
              <w:right w:val="single" w:color="000000" w:sz="2" w:space="0"/>
            </w:tcBorders>
            <w:vAlign w:val="center"/>
          </w:tcPr>
          <w:p w14:paraId="3E33F986">
            <w:pPr>
              <w:pStyle w:val="405"/>
              <w:spacing w:before="24" w:after="120"/>
              <w:rPr>
                <w:color w:val="auto"/>
                <w:szCs w:val="21"/>
              </w:rPr>
            </w:pPr>
            <w:r>
              <w:rPr>
                <w:rFonts w:hint="eastAsia"/>
                <w:color w:val="auto"/>
                <w:szCs w:val="21"/>
              </w:rPr>
              <w:t>陆域面积：（ ）km</w:t>
            </w:r>
            <w:r>
              <w:rPr>
                <w:rFonts w:hint="eastAsia"/>
                <w:color w:val="auto"/>
                <w:szCs w:val="21"/>
                <w:vertAlign w:val="superscript"/>
              </w:rPr>
              <w:t>2</w:t>
            </w:r>
            <w:r>
              <w:rPr>
                <w:rFonts w:hint="eastAsia"/>
                <w:color w:val="auto"/>
                <w:szCs w:val="21"/>
              </w:rPr>
              <w:t>；水域面积：（）km2</w:t>
            </w:r>
          </w:p>
        </w:tc>
      </w:tr>
      <w:tr w14:paraId="3800C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900" w:type="dxa"/>
            <w:vMerge w:val="restart"/>
            <w:tcBorders>
              <w:top w:val="single" w:color="000000" w:sz="2" w:space="0"/>
              <w:left w:val="single" w:color="000000" w:sz="2" w:space="0"/>
              <w:bottom w:val="single" w:color="000000" w:sz="2" w:space="0"/>
              <w:right w:val="single" w:color="000000" w:sz="2" w:space="0"/>
            </w:tcBorders>
            <w:vAlign w:val="center"/>
          </w:tcPr>
          <w:p w14:paraId="3BB493AD">
            <w:pPr>
              <w:pStyle w:val="405"/>
              <w:spacing w:before="24" w:after="120"/>
              <w:rPr>
                <w:color w:val="auto"/>
                <w:szCs w:val="21"/>
              </w:rPr>
            </w:pPr>
            <w:r>
              <w:rPr>
                <w:rFonts w:hint="eastAsia"/>
                <w:color w:val="auto"/>
                <w:szCs w:val="21"/>
              </w:rPr>
              <w:t>生态现状</w:t>
            </w:r>
          </w:p>
          <w:p w14:paraId="1AB47002">
            <w:pPr>
              <w:pStyle w:val="405"/>
              <w:spacing w:before="24" w:after="120"/>
              <w:rPr>
                <w:color w:val="auto"/>
                <w:szCs w:val="21"/>
              </w:rPr>
            </w:pPr>
            <w:r>
              <w:rPr>
                <w:rFonts w:hint="eastAsia"/>
                <w:color w:val="auto"/>
                <w:szCs w:val="21"/>
              </w:rPr>
              <w:t>调查与评价</w:t>
            </w:r>
          </w:p>
        </w:tc>
        <w:tc>
          <w:tcPr>
            <w:tcW w:w="1252" w:type="dxa"/>
            <w:tcBorders>
              <w:top w:val="single" w:color="000000" w:sz="2" w:space="0"/>
              <w:left w:val="single" w:color="000000" w:sz="2" w:space="0"/>
              <w:bottom w:val="single" w:color="000000" w:sz="2" w:space="0"/>
              <w:right w:val="single" w:color="000000" w:sz="2" w:space="0"/>
            </w:tcBorders>
            <w:vAlign w:val="center"/>
          </w:tcPr>
          <w:p w14:paraId="25AC1A55">
            <w:pPr>
              <w:pStyle w:val="405"/>
              <w:spacing w:before="24" w:after="120"/>
              <w:rPr>
                <w:color w:val="auto"/>
                <w:szCs w:val="21"/>
              </w:rPr>
            </w:pPr>
            <w:r>
              <w:rPr>
                <w:rFonts w:hint="eastAsia"/>
                <w:color w:val="auto"/>
                <w:szCs w:val="21"/>
              </w:rPr>
              <w:t>调查方法</w:t>
            </w:r>
          </w:p>
        </w:tc>
        <w:tc>
          <w:tcPr>
            <w:tcW w:w="6180" w:type="dxa"/>
            <w:tcBorders>
              <w:top w:val="single" w:color="000000" w:sz="2" w:space="0"/>
              <w:left w:val="single" w:color="000000" w:sz="2" w:space="0"/>
              <w:bottom w:val="single" w:color="000000" w:sz="2" w:space="0"/>
              <w:right w:val="single" w:color="000000" w:sz="2" w:space="0"/>
            </w:tcBorders>
            <w:vAlign w:val="center"/>
          </w:tcPr>
          <w:p w14:paraId="731A11DD">
            <w:pPr>
              <w:pStyle w:val="405"/>
              <w:spacing w:before="24" w:after="120"/>
              <w:rPr>
                <w:color w:val="auto"/>
                <w:szCs w:val="21"/>
              </w:rPr>
            </w:pPr>
            <w:r>
              <w:rPr>
                <w:rFonts w:hint="eastAsia"/>
                <w:color w:val="auto"/>
                <w:szCs w:val="21"/>
              </w:rPr>
              <w:t>资料收集</w:t>
            </w:r>
            <w:r>
              <w:rPr>
                <w:rFonts w:hint="eastAsia" w:ascii="MS Mincho" w:hAnsi="MS Mincho" w:eastAsia="MS Mincho" w:cs="MS Mincho"/>
                <w:color w:val="auto"/>
                <w:szCs w:val="21"/>
              </w:rPr>
              <w:t>☑</w:t>
            </w:r>
            <w:r>
              <w:rPr>
                <w:rFonts w:hint="eastAsia"/>
                <w:color w:val="auto"/>
                <w:szCs w:val="21"/>
              </w:rPr>
              <w:t>；遥感调查□；调查样方、样线□；调查点位、断面□；专家和公众咨询法□；其他□</w:t>
            </w:r>
          </w:p>
        </w:tc>
      </w:tr>
      <w:tr w14:paraId="6DE8C7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8332" w:type="dxa"/>
            <w:vMerge w:val="continue"/>
            <w:tcBorders>
              <w:top w:val="single" w:color="000000" w:sz="2" w:space="0"/>
              <w:left w:val="single" w:color="000000" w:sz="2" w:space="0"/>
              <w:bottom w:val="single" w:color="000000" w:sz="2" w:space="0"/>
              <w:right w:val="single" w:color="000000" w:sz="2" w:space="0"/>
            </w:tcBorders>
            <w:vAlign w:val="center"/>
          </w:tcPr>
          <w:p w14:paraId="44C7339D">
            <w:pPr>
              <w:pStyle w:val="405"/>
              <w:spacing w:before="24" w:after="120"/>
              <w:rPr>
                <w:color w:val="auto"/>
                <w:szCs w:val="21"/>
              </w:rPr>
            </w:pPr>
          </w:p>
        </w:tc>
        <w:tc>
          <w:tcPr>
            <w:tcW w:w="1252" w:type="dxa"/>
            <w:tcBorders>
              <w:top w:val="single" w:color="000000" w:sz="2" w:space="0"/>
              <w:left w:val="single" w:color="000000" w:sz="2" w:space="0"/>
              <w:bottom w:val="single" w:color="000000" w:sz="2" w:space="0"/>
              <w:right w:val="single" w:color="000000" w:sz="2" w:space="0"/>
            </w:tcBorders>
            <w:vAlign w:val="center"/>
          </w:tcPr>
          <w:p w14:paraId="7EEB462A">
            <w:pPr>
              <w:pStyle w:val="405"/>
              <w:spacing w:before="24" w:after="120"/>
              <w:rPr>
                <w:color w:val="auto"/>
                <w:szCs w:val="21"/>
              </w:rPr>
            </w:pPr>
            <w:r>
              <w:rPr>
                <w:rFonts w:hint="eastAsia"/>
                <w:color w:val="auto"/>
                <w:szCs w:val="21"/>
              </w:rPr>
              <w:t>调查时间</w:t>
            </w:r>
          </w:p>
        </w:tc>
        <w:tc>
          <w:tcPr>
            <w:tcW w:w="6180" w:type="dxa"/>
            <w:tcBorders>
              <w:top w:val="single" w:color="000000" w:sz="2" w:space="0"/>
              <w:left w:val="single" w:color="000000" w:sz="2" w:space="0"/>
              <w:bottom w:val="single" w:color="000000" w:sz="2" w:space="0"/>
              <w:right w:val="single" w:color="000000" w:sz="2" w:space="0"/>
            </w:tcBorders>
            <w:vAlign w:val="center"/>
          </w:tcPr>
          <w:p w14:paraId="4914D972">
            <w:pPr>
              <w:pStyle w:val="405"/>
              <w:spacing w:before="24" w:after="120"/>
              <w:rPr>
                <w:color w:val="auto"/>
                <w:szCs w:val="21"/>
              </w:rPr>
            </w:pPr>
            <w:r>
              <w:rPr>
                <w:rFonts w:hint="eastAsia"/>
                <w:color w:val="auto"/>
                <w:szCs w:val="21"/>
              </w:rPr>
              <w:t>春季□；夏季□；秋季□；冬季□</w:t>
            </w:r>
          </w:p>
          <w:p w14:paraId="5F1C3700">
            <w:pPr>
              <w:pStyle w:val="405"/>
              <w:spacing w:before="24" w:after="120"/>
              <w:rPr>
                <w:color w:val="auto"/>
                <w:szCs w:val="21"/>
              </w:rPr>
            </w:pPr>
            <w:r>
              <w:rPr>
                <w:rFonts w:hint="eastAsia"/>
                <w:color w:val="auto"/>
                <w:szCs w:val="21"/>
              </w:rPr>
              <w:t>丰水期□；枯水期□；平水期□</w:t>
            </w:r>
          </w:p>
        </w:tc>
      </w:tr>
      <w:tr w14:paraId="376389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8332" w:type="dxa"/>
            <w:vMerge w:val="continue"/>
            <w:tcBorders>
              <w:top w:val="single" w:color="000000" w:sz="2" w:space="0"/>
              <w:left w:val="single" w:color="000000" w:sz="2" w:space="0"/>
              <w:bottom w:val="single" w:color="000000" w:sz="2" w:space="0"/>
              <w:right w:val="single" w:color="000000" w:sz="2" w:space="0"/>
            </w:tcBorders>
            <w:vAlign w:val="center"/>
          </w:tcPr>
          <w:p w14:paraId="3F75BD9C">
            <w:pPr>
              <w:pStyle w:val="405"/>
              <w:spacing w:before="24" w:after="120"/>
              <w:rPr>
                <w:color w:val="auto"/>
                <w:szCs w:val="21"/>
              </w:rPr>
            </w:pPr>
          </w:p>
        </w:tc>
        <w:tc>
          <w:tcPr>
            <w:tcW w:w="1252" w:type="dxa"/>
            <w:tcBorders>
              <w:top w:val="single" w:color="000000" w:sz="2" w:space="0"/>
              <w:left w:val="single" w:color="000000" w:sz="2" w:space="0"/>
              <w:bottom w:val="single" w:color="000000" w:sz="2" w:space="0"/>
              <w:right w:val="single" w:color="000000" w:sz="2" w:space="0"/>
            </w:tcBorders>
            <w:vAlign w:val="center"/>
          </w:tcPr>
          <w:p w14:paraId="1B116DCF">
            <w:pPr>
              <w:pStyle w:val="405"/>
              <w:spacing w:before="24" w:after="120"/>
              <w:rPr>
                <w:color w:val="auto"/>
                <w:szCs w:val="21"/>
              </w:rPr>
            </w:pPr>
            <w:r>
              <w:rPr>
                <w:rFonts w:hint="eastAsia"/>
                <w:color w:val="auto"/>
                <w:szCs w:val="21"/>
              </w:rPr>
              <w:t>所在区域的生态问题</w:t>
            </w:r>
          </w:p>
        </w:tc>
        <w:tc>
          <w:tcPr>
            <w:tcW w:w="6180" w:type="dxa"/>
            <w:tcBorders>
              <w:top w:val="single" w:color="000000" w:sz="2" w:space="0"/>
              <w:left w:val="single" w:color="000000" w:sz="2" w:space="0"/>
              <w:bottom w:val="single" w:color="000000" w:sz="2" w:space="0"/>
              <w:right w:val="single" w:color="000000" w:sz="2" w:space="0"/>
            </w:tcBorders>
            <w:vAlign w:val="center"/>
          </w:tcPr>
          <w:p w14:paraId="327B1E0D">
            <w:pPr>
              <w:pStyle w:val="405"/>
              <w:spacing w:before="24" w:after="120"/>
              <w:rPr>
                <w:color w:val="auto"/>
                <w:szCs w:val="21"/>
              </w:rPr>
            </w:pPr>
            <w:r>
              <w:rPr>
                <w:rFonts w:hint="eastAsia"/>
                <w:color w:val="auto"/>
                <w:szCs w:val="21"/>
              </w:rPr>
              <w:t>水土流失□；沙漠化□；石漠化□；盐渍化□；生物入侵□；污染危害□；其他□</w:t>
            </w:r>
          </w:p>
        </w:tc>
      </w:tr>
      <w:tr w14:paraId="7C840E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8332" w:type="dxa"/>
            <w:vMerge w:val="continue"/>
            <w:tcBorders>
              <w:top w:val="single" w:color="000000" w:sz="2" w:space="0"/>
              <w:left w:val="single" w:color="000000" w:sz="2" w:space="0"/>
              <w:bottom w:val="single" w:color="000000" w:sz="2" w:space="0"/>
              <w:right w:val="single" w:color="000000" w:sz="2" w:space="0"/>
            </w:tcBorders>
            <w:vAlign w:val="center"/>
          </w:tcPr>
          <w:p w14:paraId="6B115F9D">
            <w:pPr>
              <w:pStyle w:val="405"/>
              <w:spacing w:before="24" w:after="120"/>
              <w:rPr>
                <w:color w:val="auto"/>
                <w:szCs w:val="21"/>
              </w:rPr>
            </w:pPr>
          </w:p>
        </w:tc>
        <w:tc>
          <w:tcPr>
            <w:tcW w:w="1252" w:type="dxa"/>
            <w:tcBorders>
              <w:top w:val="single" w:color="000000" w:sz="2" w:space="0"/>
              <w:left w:val="single" w:color="000000" w:sz="2" w:space="0"/>
              <w:bottom w:val="single" w:color="000000" w:sz="2" w:space="0"/>
              <w:right w:val="single" w:color="000000" w:sz="2" w:space="0"/>
            </w:tcBorders>
            <w:vAlign w:val="center"/>
          </w:tcPr>
          <w:p w14:paraId="58A71FAE">
            <w:pPr>
              <w:pStyle w:val="405"/>
              <w:spacing w:before="24" w:after="120"/>
              <w:rPr>
                <w:color w:val="auto"/>
                <w:szCs w:val="21"/>
              </w:rPr>
            </w:pPr>
            <w:r>
              <w:rPr>
                <w:rFonts w:hint="eastAsia"/>
                <w:color w:val="auto"/>
                <w:szCs w:val="21"/>
              </w:rPr>
              <w:t>评价内容</w:t>
            </w:r>
          </w:p>
        </w:tc>
        <w:tc>
          <w:tcPr>
            <w:tcW w:w="6180" w:type="dxa"/>
            <w:tcBorders>
              <w:top w:val="single" w:color="000000" w:sz="2" w:space="0"/>
              <w:left w:val="single" w:color="000000" w:sz="2" w:space="0"/>
              <w:bottom w:val="single" w:color="000000" w:sz="2" w:space="0"/>
              <w:right w:val="single" w:color="000000" w:sz="2" w:space="0"/>
            </w:tcBorders>
            <w:vAlign w:val="center"/>
          </w:tcPr>
          <w:p w14:paraId="586B04D3">
            <w:pPr>
              <w:pStyle w:val="405"/>
              <w:spacing w:before="24" w:after="120"/>
              <w:rPr>
                <w:color w:val="auto"/>
                <w:szCs w:val="21"/>
              </w:rPr>
            </w:pPr>
            <w:r>
              <w:rPr>
                <w:rFonts w:hint="eastAsia"/>
                <w:color w:val="auto"/>
                <w:szCs w:val="21"/>
              </w:rPr>
              <w:t>植被/植物群落□；土地利用□；生态系统□；生物多样性□；重要物种□；生态敏感区□；其他□</w:t>
            </w:r>
          </w:p>
        </w:tc>
      </w:tr>
      <w:tr w14:paraId="47E497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900" w:type="dxa"/>
            <w:vMerge w:val="restart"/>
            <w:tcBorders>
              <w:top w:val="single" w:color="000000" w:sz="2" w:space="0"/>
              <w:left w:val="single" w:color="000000" w:sz="2" w:space="0"/>
              <w:bottom w:val="single" w:color="000000" w:sz="2" w:space="0"/>
              <w:right w:val="single" w:color="000000" w:sz="2" w:space="0"/>
            </w:tcBorders>
            <w:vAlign w:val="center"/>
          </w:tcPr>
          <w:p w14:paraId="3319137D">
            <w:pPr>
              <w:pStyle w:val="405"/>
              <w:spacing w:before="24" w:after="120"/>
              <w:rPr>
                <w:color w:val="auto"/>
                <w:szCs w:val="21"/>
              </w:rPr>
            </w:pPr>
            <w:r>
              <w:rPr>
                <w:rFonts w:hint="eastAsia"/>
                <w:color w:val="auto"/>
                <w:szCs w:val="21"/>
              </w:rPr>
              <w:t>生态影响</w:t>
            </w:r>
          </w:p>
          <w:p w14:paraId="14C357A5">
            <w:pPr>
              <w:pStyle w:val="405"/>
              <w:spacing w:before="24" w:after="120"/>
              <w:rPr>
                <w:color w:val="auto"/>
                <w:szCs w:val="21"/>
              </w:rPr>
            </w:pPr>
            <w:r>
              <w:rPr>
                <w:rFonts w:hint="eastAsia"/>
                <w:color w:val="auto"/>
                <w:szCs w:val="21"/>
              </w:rPr>
              <w:t>预测与评价</w:t>
            </w:r>
          </w:p>
        </w:tc>
        <w:tc>
          <w:tcPr>
            <w:tcW w:w="1252" w:type="dxa"/>
            <w:tcBorders>
              <w:top w:val="single" w:color="000000" w:sz="2" w:space="0"/>
              <w:left w:val="single" w:color="000000" w:sz="2" w:space="0"/>
              <w:bottom w:val="single" w:color="000000" w:sz="2" w:space="0"/>
              <w:right w:val="single" w:color="000000" w:sz="2" w:space="0"/>
            </w:tcBorders>
            <w:vAlign w:val="center"/>
          </w:tcPr>
          <w:p w14:paraId="0A7F5E6B">
            <w:pPr>
              <w:pStyle w:val="405"/>
              <w:spacing w:before="24" w:after="120"/>
              <w:rPr>
                <w:color w:val="auto"/>
                <w:szCs w:val="21"/>
              </w:rPr>
            </w:pPr>
            <w:r>
              <w:rPr>
                <w:rFonts w:hint="eastAsia"/>
                <w:color w:val="auto"/>
                <w:szCs w:val="21"/>
              </w:rPr>
              <w:t>评价方法</w:t>
            </w:r>
          </w:p>
        </w:tc>
        <w:tc>
          <w:tcPr>
            <w:tcW w:w="6180" w:type="dxa"/>
            <w:tcBorders>
              <w:top w:val="single" w:color="000000" w:sz="2" w:space="0"/>
              <w:left w:val="single" w:color="000000" w:sz="2" w:space="0"/>
              <w:bottom w:val="single" w:color="000000" w:sz="2" w:space="0"/>
              <w:right w:val="single" w:color="000000" w:sz="2" w:space="0"/>
            </w:tcBorders>
            <w:vAlign w:val="center"/>
          </w:tcPr>
          <w:p w14:paraId="16FB96AF">
            <w:pPr>
              <w:pStyle w:val="405"/>
              <w:spacing w:before="24" w:after="120"/>
              <w:rPr>
                <w:color w:val="auto"/>
                <w:szCs w:val="21"/>
              </w:rPr>
            </w:pPr>
            <w:r>
              <w:rPr>
                <w:rFonts w:hint="eastAsia"/>
                <w:color w:val="auto"/>
                <w:szCs w:val="21"/>
              </w:rPr>
              <w:t>定性□；定性和定量□</w:t>
            </w:r>
          </w:p>
        </w:tc>
      </w:tr>
      <w:tr w14:paraId="4F549E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8332" w:type="dxa"/>
            <w:vMerge w:val="continue"/>
            <w:tcBorders>
              <w:top w:val="single" w:color="000000" w:sz="2" w:space="0"/>
              <w:left w:val="single" w:color="000000" w:sz="2" w:space="0"/>
              <w:bottom w:val="single" w:color="000000" w:sz="2" w:space="0"/>
              <w:right w:val="single" w:color="000000" w:sz="2" w:space="0"/>
            </w:tcBorders>
            <w:vAlign w:val="center"/>
          </w:tcPr>
          <w:p w14:paraId="1F5ACB38">
            <w:pPr>
              <w:pStyle w:val="405"/>
              <w:spacing w:before="24" w:after="120"/>
              <w:rPr>
                <w:color w:val="auto"/>
                <w:szCs w:val="21"/>
              </w:rPr>
            </w:pPr>
          </w:p>
        </w:tc>
        <w:tc>
          <w:tcPr>
            <w:tcW w:w="1252" w:type="dxa"/>
            <w:tcBorders>
              <w:top w:val="single" w:color="000000" w:sz="2" w:space="0"/>
              <w:left w:val="single" w:color="000000" w:sz="2" w:space="0"/>
              <w:bottom w:val="single" w:color="000000" w:sz="2" w:space="0"/>
              <w:right w:val="single" w:color="000000" w:sz="2" w:space="0"/>
            </w:tcBorders>
            <w:vAlign w:val="center"/>
          </w:tcPr>
          <w:p w14:paraId="0A766882">
            <w:pPr>
              <w:pStyle w:val="405"/>
              <w:spacing w:before="24" w:after="120"/>
              <w:rPr>
                <w:color w:val="auto"/>
                <w:szCs w:val="21"/>
              </w:rPr>
            </w:pPr>
            <w:r>
              <w:rPr>
                <w:rFonts w:hint="eastAsia"/>
                <w:color w:val="auto"/>
                <w:szCs w:val="21"/>
              </w:rPr>
              <w:t>评价内容</w:t>
            </w:r>
          </w:p>
        </w:tc>
        <w:tc>
          <w:tcPr>
            <w:tcW w:w="6180" w:type="dxa"/>
            <w:tcBorders>
              <w:top w:val="single" w:color="000000" w:sz="2" w:space="0"/>
              <w:left w:val="single" w:color="000000" w:sz="2" w:space="0"/>
              <w:bottom w:val="single" w:color="000000" w:sz="2" w:space="0"/>
              <w:right w:val="single" w:color="000000" w:sz="2" w:space="0"/>
            </w:tcBorders>
            <w:vAlign w:val="center"/>
          </w:tcPr>
          <w:p w14:paraId="23B21B94">
            <w:pPr>
              <w:pStyle w:val="405"/>
              <w:spacing w:before="24" w:after="120"/>
              <w:rPr>
                <w:color w:val="auto"/>
                <w:szCs w:val="21"/>
              </w:rPr>
            </w:pPr>
            <w:r>
              <w:rPr>
                <w:rFonts w:hint="eastAsia"/>
                <w:color w:val="auto"/>
                <w:szCs w:val="21"/>
              </w:rPr>
              <w:t>植被/植物群落□；土地利用□；生态系统□；生物多样性□；重要物种□；生态敏感区□；生物入侵风险□；其他□</w:t>
            </w:r>
          </w:p>
        </w:tc>
      </w:tr>
      <w:tr w14:paraId="63D1B8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900" w:type="dxa"/>
            <w:vMerge w:val="restart"/>
            <w:tcBorders>
              <w:top w:val="single" w:color="000000" w:sz="2" w:space="0"/>
              <w:left w:val="single" w:color="000000" w:sz="2" w:space="0"/>
              <w:bottom w:val="single" w:color="000000" w:sz="2" w:space="0"/>
              <w:right w:val="single" w:color="000000" w:sz="2" w:space="0"/>
            </w:tcBorders>
            <w:vAlign w:val="center"/>
          </w:tcPr>
          <w:p w14:paraId="1D2D426C">
            <w:pPr>
              <w:pStyle w:val="405"/>
              <w:spacing w:before="24" w:after="120"/>
              <w:rPr>
                <w:color w:val="auto"/>
                <w:szCs w:val="21"/>
              </w:rPr>
            </w:pPr>
            <w:r>
              <w:rPr>
                <w:rFonts w:hint="eastAsia"/>
                <w:color w:val="auto"/>
                <w:szCs w:val="21"/>
              </w:rPr>
              <w:t>生态保护对策措施</w:t>
            </w:r>
          </w:p>
        </w:tc>
        <w:tc>
          <w:tcPr>
            <w:tcW w:w="1252" w:type="dxa"/>
            <w:tcBorders>
              <w:top w:val="single" w:color="000000" w:sz="2" w:space="0"/>
              <w:left w:val="single" w:color="000000" w:sz="2" w:space="0"/>
              <w:bottom w:val="single" w:color="000000" w:sz="2" w:space="0"/>
              <w:right w:val="single" w:color="000000" w:sz="2" w:space="0"/>
            </w:tcBorders>
            <w:vAlign w:val="center"/>
          </w:tcPr>
          <w:p w14:paraId="50A147C9">
            <w:pPr>
              <w:pStyle w:val="405"/>
              <w:spacing w:before="24" w:after="120"/>
              <w:rPr>
                <w:color w:val="auto"/>
                <w:szCs w:val="21"/>
              </w:rPr>
            </w:pPr>
            <w:r>
              <w:rPr>
                <w:rFonts w:hint="eastAsia"/>
                <w:color w:val="auto"/>
                <w:szCs w:val="21"/>
              </w:rPr>
              <w:t>对策措施</w:t>
            </w:r>
          </w:p>
        </w:tc>
        <w:tc>
          <w:tcPr>
            <w:tcW w:w="6180" w:type="dxa"/>
            <w:tcBorders>
              <w:top w:val="single" w:color="000000" w:sz="2" w:space="0"/>
              <w:left w:val="single" w:color="000000" w:sz="2" w:space="0"/>
              <w:bottom w:val="single" w:color="000000" w:sz="2" w:space="0"/>
              <w:right w:val="single" w:color="000000" w:sz="2" w:space="0"/>
            </w:tcBorders>
            <w:vAlign w:val="center"/>
          </w:tcPr>
          <w:p w14:paraId="48CA285B">
            <w:pPr>
              <w:pStyle w:val="405"/>
              <w:spacing w:before="24" w:after="120"/>
              <w:rPr>
                <w:color w:val="auto"/>
                <w:szCs w:val="21"/>
              </w:rPr>
            </w:pPr>
            <w:r>
              <w:rPr>
                <w:rFonts w:hint="eastAsia"/>
                <w:color w:val="auto"/>
                <w:szCs w:val="21"/>
              </w:rPr>
              <w:t>避让□；减缓□；生态修复□；生态补偿□；科研□；其他□</w:t>
            </w:r>
          </w:p>
        </w:tc>
      </w:tr>
      <w:tr w14:paraId="0F3A44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8332" w:type="dxa"/>
            <w:vMerge w:val="continue"/>
            <w:tcBorders>
              <w:top w:val="single" w:color="000000" w:sz="2" w:space="0"/>
              <w:left w:val="single" w:color="000000" w:sz="2" w:space="0"/>
              <w:bottom w:val="single" w:color="000000" w:sz="2" w:space="0"/>
              <w:right w:val="single" w:color="000000" w:sz="2" w:space="0"/>
            </w:tcBorders>
            <w:vAlign w:val="center"/>
          </w:tcPr>
          <w:p w14:paraId="682994A2">
            <w:pPr>
              <w:pStyle w:val="405"/>
              <w:spacing w:before="24" w:after="120"/>
              <w:rPr>
                <w:color w:val="auto"/>
                <w:szCs w:val="21"/>
              </w:rPr>
            </w:pPr>
          </w:p>
        </w:tc>
        <w:tc>
          <w:tcPr>
            <w:tcW w:w="1252" w:type="dxa"/>
            <w:tcBorders>
              <w:top w:val="single" w:color="000000" w:sz="2" w:space="0"/>
              <w:left w:val="single" w:color="000000" w:sz="2" w:space="0"/>
              <w:bottom w:val="single" w:color="000000" w:sz="2" w:space="0"/>
              <w:right w:val="single" w:color="000000" w:sz="2" w:space="0"/>
            </w:tcBorders>
            <w:vAlign w:val="center"/>
          </w:tcPr>
          <w:p w14:paraId="6F02028C">
            <w:pPr>
              <w:pStyle w:val="405"/>
              <w:spacing w:before="24" w:after="120"/>
              <w:rPr>
                <w:color w:val="auto"/>
                <w:szCs w:val="21"/>
              </w:rPr>
            </w:pPr>
            <w:r>
              <w:rPr>
                <w:rFonts w:hint="eastAsia"/>
                <w:color w:val="auto"/>
                <w:szCs w:val="21"/>
              </w:rPr>
              <w:t>生态监测计划</w:t>
            </w:r>
          </w:p>
        </w:tc>
        <w:tc>
          <w:tcPr>
            <w:tcW w:w="6180" w:type="dxa"/>
            <w:tcBorders>
              <w:top w:val="single" w:color="000000" w:sz="2" w:space="0"/>
              <w:left w:val="single" w:color="000000" w:sz="2" w:space="0"/>
              <w:bottom w:val="single" w:color="000000" w:sz="2" w:space="0"/>
              <w:right w:val="single" w:color="000000" w:sz="2" w:space="0"/>
            </w:tcBorders>
            <w:vAlign w:val="center"/>
          </w:tcPr>
          <w:p w14:paraId="3E53B8A0">
            <w:pPr>
              <w:pStyle w:val="405"/>
              <w:spacing w:before="24" w:after="120"/>
              <w:rPr>
                <w:color w:val="auto"/>
                <w:szCs w:val="21"/>
              </w:rPr>
            </w:pPr>
            <w:r>
              <w:rPr>
                <w:rFonts w:hint="eastAsia"/>
                <w:color w:val="auto"/>
                <w:szCs w:val="21"/>
              </w:rPr>
              <w:t>全生命周期□；长期跟踪□；常规□；无</w:t>
            </w:r>
            <w:r>
              <w:rPr>
                <w:rFonts w:hint="eastAsia" w:ascii="MS Mincho" w:hAnsi="MS Mincho" w:eastAsia="MS Mincho" w:cs="MS Mincho"/>
                <w:color w:val="auto"/>
                <w:szCs w:val="21"/>
              </w:rPr>
              <w:t>☑</w:t>
            </w:r>
          </w:p>
        </w:tc>
      </w:tr>
      <w:tr w14:paraId="6EA707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8332" w:type="dxa"/>
            <w:vMerge w:val="continue"/>
            <w:tcBorders>
              <w:top w:val="single" w:color="000000" w:sz="2" w:space="0"/>
              <w:left w:val="single" w:color="000000" w:sz="2" w:space="0"/>
              <w:bottom w:val="single" w:color="000000" w:sz="2" w:space="0"/>
              <w:right w:val="single" w:color="000000" w:sz="2" w:space="0"/>
            </w:tcBorders>
            <w:vAlign w:val="center"/>
          </w:tcPr>
          <w:p w14:paraId="44B07EDC">
            <w:pPr>
              <w:pStyle w:val="405"/>
              <w:spacing w:before="24" w:after="120"/>
              <w:rPr>
                <w:color w:val="auto"/>
                <w:szCs w:val="21"/>
              </w:rPr>
            </w:pPr>
          </w:p>
        </w:tc>
        <w:tc>
          <w:tcPr>
            <w:tcW w:w="1252" w:type="dxa"/>
            <w:tcBorders>
              <w:top w:val="single" w:color="000000" w:sz="2" w:space="0"/>
              <w:left w:val="single" w:color="000000" w:sz="2" w:space="0"/>
              <w:bottom w:val="single" w:color="000000" w:sz="2" w:space="0"/>
              <w:right w:val="single" w:color="000000" w:sz="2" w:space="0"/>
            </w:tcBorders>
            <w:vAlign w:val="center"/>
          </w:tcPr>
          <w:p w14:paraId="47DF9C07">
            <w:pPr>
              <w:pStyle w:val="405"/>
              <w:spacing w:before="24" w:after="120"/>
              <w:rPr>
                <w:color w:val="auto"/>
                <w:szCs w:val="21"/>
              </w:rPr>
            </w:pPr>
            <w:r>
              <w:rPr>
                <w:rFonts w:hint="eastAsia"/>
                <w:color w:val="auto"/>
                <w:szCs w:val="21"/>
              </w:rPr>
              <w:t>环境管理</w:t>
            </w:r>
          </w:p>
        </w:tc>
        <w:tc>
          <w:tcPr>
            <w:tcW w:w="6180" w:type="dxa"/>
            <w:tcBorders>
              <w:top w:val="single" w:color="000000" w:sz="2" w:space="0"/>
              <w:left w:val="single" w:color="000000" w:sz="2" w:space="0"/>
              <w:bottom w:val="single" w:color="000000" w:sz="2" w:space="0"/>
              <w:right w:val="single" w:color="000000" w:sz="2" w:space="0"/>
            </w:tcBorders>
            <w:vAlign w:val="center"/>
          </w:tcPr>
          <w:p w14:paraId="58AF331C">
            <w:pPr>
              <w:pStyle w:val="405"/>
              <w:spacing w:before="24" w:after="120"/>
              <w:rPr>
                <w:color w:val="auto"/>
                <w:szCs w:val="21"/>
              </w:rPr>
            </w:pPr>
            <w:r>
              <w:rPr>
                <w:rFonts w:hint="eastAsia"/>
                <w:color w:val="auto"/>
                <w:szCs w:val="21"/>
              </w:rPr>
              <w:t>环境监理□；环境影响后评价□；其他□</w:t>
            </w:r>
          </w:p>
        </w:tc>
      </w:tr>
      <w:tr w14:paraId="157E13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900" w:type="dxa"/>
            <w:tcBorders>
              <w:top w:val="single" w:color="000000" w:sz="2" w:space="0"/>
              <w:left w:val="single" w:color="000000" w:sz="2" w:space="0"/>
              <w:bottom w:val="single" w:color="000000" w:sz="2" w:space="0"/>
              <w:right w:val="single" w:color="000000" w:sz="2" w:space="0"/>
            </w:tcBorders>
            <w:vAlign w:val="center"/>
          </w:tcPr>
          <w:p w14:paraId="575DEA53">
            <w:pPr>
              <w:pStyle w:val="405"/>
              <w:spacing w:before="24" w:after="120"/>
              <w:rPr>
                <w:color w:val="auto"/>
                <w:szCs w:val="21"/>
              </w:rPr>
            </w:pPr>
            <w:r>
              <w:rPr>
                <w:rFonts w:hint="eastAsia"/>
                <w:color w:val="auto"/>
                <w:szCs w:val="21"/>
              </w:rPr>
              <w:t>评价结论</w:t>
            </w:r>
          </w:p>
        </w:tc>
        <w:tc>
          <w:tcPr>
            <w:tcW w:w="1252" w:type="dxa"/>
            <w:tcBorders>
              <w:top w:val="single" w:color="000000" w:sz="2" w:space="0"/>
              <w:left w:val="single" w:color="000000" w:sz="2" w:space="0"/>
              <w:bottom w:val="single" w:color="000000" w:sz="2" w:space="0"/>
              <w:right w:val="single" w:color="000000" w:sz="2" w:space="0"/>
            </w:tcBorders>
            <w:vAlign w:val="center"/>
          </w:tcPr>
          <w:p w14:paraId="42C42117">
            <w:pPr>
              <w:pStyle w:val="405"/>
              <w:spacing w:before="24" w:after="120"/>
              <w:rPr>
                <w:color w:val="auto"/>
                <w:szCs w:val="21"/>
              </w:rPr>
            </w:pPr>
            <w:r>
              <w:rPr>
                <w:rFonts w:hint="eastAsia"/>
                <w:color w:val="auto"/>
                <w:szCs w:val="21"/>
              </w:rPr>
              <w:t>生态影响</w:t>
            </w:r>
          </w:p>
        </w:tc>
        <w:tc>
          <w:tcPr>
            <w:tcW w:w="6180" w:type="dxa"/>
            <w:tcBorders>
              <w:top w:val="single" w:color="000000" w:sz="2" w:space="0"/>
              <w:left w:val="single" w:color="000000" w:sz="2" w:space="0"/>
              <w:bottom w:val="single" w:color="000000" w:sz="2" w:space="0"/>
              <w:right w:val="single" w:color="000000" w:sz="2" w:space="0"/>
            </w:tcBorders>
            <w:vAlign w:val="center"/>
          </w:tcPr>
          <w:p w14:paraId="13AA3050">
            <w:pPr>
              <w:pStyle w:val="405"/>
              <w:spacing w:before="24" w:after="120"/>
              <w:rPr>
                <w:color w:val="auto"/>
                <w:szCs w:val="21"/>
              </w:rPr>
            </w:pPr>
            <w:r>
              <w:rPr>
                <w:rFonts w:hint="eastAsia"/>
                <w:color w:val="auto"/>
                <w:szCs w:val="21"/>
              </w:rPr>
              <w:t>可行</w:t>
            </w:r>
            <w:r>
              <w:rPr>
                <w:rFonts w:hint="eastAsia" w:ascii="MS Mincho" w:hAnsi="MS Mincho" w:eastAsia="MS Mincho" w:cs="MS Mincho"/>
                <w:color w:val="auto"/>
                <w:szCs w:val="21"/>
              </w:rPr>
              <w:t>☑</w:t>
            </w:r>
            <w:r>
              <w:rPr>
                <w:rFonts w:hint="eastAsia"/>
                <w:color w:val="auto"/>
                <w:szCs w:val="21"/>
              </w:rPr>
              <w:t>；不可行□</w:t>
            </w:r>
          </w:p>
        </w:tc>
      </w:tr>
      <w:tr w14:paraId="051E52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8332" w:type="dxa"/>
            <w:gridSpan w:val="3"/>
            <w:tcBorders>
              <w:top w:val="single" w:color="000000" w:sz="2" w:space="0"/>
              <w:left w:val="single" w:color="000000" w:sz="2" w:space="0"/>
              <w:bottom w:val="single" w:color="000000" w:sz="2" w:space="0"/>
              <w:right w:val="single" w:color="000000" w:sz="2" w:space="0"/>
            </w:tcBorders>
            <w:vAlign w:val="center"/>
          </w:tcPr>
          <w:p w14:paraId="6B3E5FAD">
            <w:pPr>
              <w:pStyle w:val="405"/>
              <w:spacing w:before="24" w:after="120"/>
              <w:rPr>
                <w:color w:val="auto"/>
                <w:szCs w:val="21"/>
              </w:rPr>
            </w:pPr>
            <w:r>
              <w:rPr>
                <w:rFonts w:hint="eastAsia"/>
                <w:color w:val="auto"/>
                <w:szCs w:val="21"/>
              </w:rPr>
              <w:t>注：“□”为勾选项，可√；“（）”为内容填写项。</w:t>
            </w:r>
          </w:p>
        </w:tc>
      </w:tr>
    </w:tbl>
    <w:p w14:paraId="781D3835">
      <w:pPr>
        <w:spacing w:line="360" w:lineRule="auto"/>
        <w:ind w:firstLine="480"/>
        <w:rPr>
          <w:color w:val="auto"/>
        </w:rPr>
      </w:pPr>
    </w:p>
    <w:p w14:paraId="75648C84">
      <w:pPr>
        <w:pStyle w:val="3"/>
        <w:numPr>
          <w:ilvl w:val="0"/>
          <w:numId w:val="0"/>
        </w:numPr>
        <w:spacing w:line="360" w:lineRule="auto"/>
        <w:rPr>
          <w:color w:val="auto"/>
          <w:sz w:val="24"/>
          <w:szCs w:val="24"/>
        </w:rPr>
        <w:sectPr>
          <w:pgSz w:w="11906" w:h="16838"/>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pPr>
    </w:p>
    <w:p w14:paraId="5454005A">
      <w:pPr>
        <w:pStyle w:val="3"/>
        <w:numPr>
          <w:ilvl w:val="0"/>
          <w:numId w:val="0"/>
        </w:numPr>
        <w:spacing w:line="360" w:lineRule="auto"/>
        <w:rPr>
          <w:color w:val="auto"/>
          <w:sz w:val="24"/>
          <w:szCs w:val="24"/>
        </w:rPr>
      </w:pPr>
      <w:bookmarkStart w:id="261" w:name="_Toc8186"/>
      <w:r>
        <w:rPr>
          <w:rFonts w:hint="eastAsia"/>
          <w:color w:val="auto"/>
          <w:sz w:val="24"/>
          <w:szCs w:val="24"/>
        </w:rPr>
        <w:t>7</w:t>
      </w:r>
      <w:r>
        <w:rPr>
          <w:color w:val="auto"/>
          <w:sz w:val="24"/>
          <w:szCs w:val="24"/>
        </w:rPr>
        <w:t>环境风险评价</w:t>
      </w:r>
      <w:bookmarkEnd w:id="259"/>
      <w:bookmarkEnd w:id="260"/>
      <w:bookmarkEnd w:id="261"/>
    </w:p>
    <w:p w14:paraId="68910BA3">
      <w:pPr>
        <w:pStyle w:val="4"/>
        <w:numPr>
          <w:ilvl w:val="0"/>
          <w:numId w:val="0"/>
        </w:numPr>
        <w:spacing w:line="360" w:lineRule="auto"/>
        <w:rPr>
          <w:color w:val="auto"/>
          <w:szCs w:val="24"/>
        </w:rPr>
      </w:pPr>
      <w:bookmarkStart w:id="262" w:name="_Toc472509321"/>
      <w:bookmarkStart w:id="263" w:name="_Toc462350309"/>
      <w:bookmarkStart w:id="264" w:name="_Toc439249534"/>
      <w:bookmarkStart w:id="265" w:name="_Toc229"/>
      <w:r>
        <w:rPr>
          <w:rFonts w:hint="eastAsia"/>
          <w:color w:val="auto"/>
          <w:szCs w:val="24"/>
        </w:rPr>
        <w:t>7</w:t>
      </w:r>
      <w:r>
        <w:rPr>
          <w:color w:val="auto"/>
          <w:szCs w:val="24"/>
        </w:rPr>
        <w:t>.1目的和重点</w:t>
      </w:r>
      <w:bookmarkEnd w:id="262"/>
      <w:bookmarkEnd w:id="263"/>
      <w:bookmarkEnd w:id="264"/>
      <w:bookmarkEnd w:id="265"/>
    </w:p>
    <w:p w14:paraId="4E189372">
      <w:pPr>
        <w:spacing w:line="360" w:lineRule="auto"/>
        <w:ind w:firstLine="480"/>
        <w:rPr>
          <w:color w:val="auto"/>
          <w:szCs w:val="24"/>
        </w:rPr>
      </w:pPr>
      <w:r>
        <w:rPr>
          <w:color w:val="auto"/>
          <w:szCs w:val="24"/>
        </w:rPr>
        <w:t>根据《建设项目环境风险评价技术导则》（HJ169-2018），项目实施后环境风险评价的基本内容包括风险调查、环境风险潜势初判、风险识别、风险事故情形分析、风险预测与评价、环境风险管理等，其具体如下：</w:t>
      </w:r>
    </w:p>
    <w:p w14:paraId="48B460F9">
      <w:pPr>
        <w:spacing w:line="360" w:lineRule="auto"/>
        <w:ind w:firstLine="480"/>
        <w:rPr>
          <w:color w:val="auto"/>
          <w:szCs w:val="24"/>
        </w:rPr>
      </w:pPr>
      <w:r>
        <w:rPr>
          <w:color w:val="auto"/>
          <w:szCs w:val="24"/>
        </w:rPr>
        <w:t>（1）项目风险调查。在分析建设项目物质及工艺系统危险性和环境敏感性的基础下，进行风险潜势的判断，确定风险评价等级。</w:t>
      </w:r>
    </w:p>
    <w:p w14:paraId="511AED50">
      <w:pPr>
        <w:spacing w:line="360" w:lineRule="auto"/>
        <w:ind w:firstLine="480"/>
        <w:rPr>
          <w:color w:val="auto"/>
          <w:szCs w:val="24"/>
        </w:rPr>
      </w:pPr>
      <w:r>
        <w:rPr>
          <w:color w:val="auto"/>
          <w:szCs w:val="24"/>
        </w:rPr>
        <w:t>（2）项目风险识别及风险事故情形分析。明确危险物质在生产系统中的主要分布，筛选具有代表性的风险事故情形，合理设定事故源项。</w:t>
      </w:r>
    </w:p>
    <w:p w14:paraId="7FF65A54">
      <w:pPr>
        <w:spacing w:line="360" w:lineRule="auto"/>
        <w:ind w:firstLine="480"/>
        <w:rPr>
          <w:color w:val="auto"/>
          <w:szCs w:val="24"/>
        </w:rPr>
      </w:pPr>
      <w:r>
        <w:rPr>
          <w:color w:val="auto"/>
          <w:szCs w:val="24"/>
        </w:rPr>
        <w:t>（3）开展预测评价。各环境要素按确定的评价工作等级分别预测评价，并分析说明环境风险危害范围与程度，提出环境风险防范的基本要求。</w:t>
      </w:r>
    </w:p>
    <w:p w14:paraId="7BDD486D">
      <w:pPr>
        <w:spacing w:line="360" w:lineRule="auto"/>
        <w:ind w:firstLine="480"/>
        <w:rPr>
          <w:color w:val="auto"/>
          <w:szCs w:val="24"/>
        </w:rPr>
      </w:pPr>
      <w:r>
        <w:rPr>
          <w:color w:val="auto"/>
          <w:szCs w:val="24"/>
        </w:rPr>
        <w:t>（4）提出环境风险管理对策，明确环境风险防范措施及突发环境事件应急预案编制要求。</w:t>
      </w:r>
    </w:p>
    <w:p w14:paraId="371942F1">
      <w:pPr>
        <w:spacing w:line="360" w:lineRule="auto"/>
        <w:ind w:firstLine="480"/>
        <w:rPr>
          <w:color w:val="auto"/>
          <w:szCs w:val="24"/>
        </w:rPr>
      </w:pPr>
      <w:r>
        <w:rPr>
          <w:color w:val="auto"/>
          <w:szCs w:val="24"/>
        </w:rPr>
        <w:t>（5）综合环境风险评价过程，给出评价结论与建议。</w:t>
      </w:r>
    </w:p>
    <w:p w14:paraId="2EEEB683">
      <w:pPr>
        <w:pStyle w:val="4"/>
        <w:numPr>
          <w:ilvl w:val="0"/>
          <w:numId w:val="0"/>
        </w:numPr>
        <w:spacing w:line="360" w:lineRule="auto"/>
        <w:rPr>
          <w:color w:val="auto"/>
          <w:szCs w:val="24"/>
        </w:rPr>
      </w:pPr>
      <w:bookmarkStart w:id="266" w:name="_Toc18797"/>
      <w:r>
        <w:rPr>
          <w:color w:val="auto"/>
          <w:szCs w:val="24"/>
        </w:rPr>
        <w:t>7.2风险</w:t>
      </w:r>
      <w:r>
        <w:rPr>
          <w:rFonts w:hint="eastAsia"/>
          <w:color w:val="auto"/>
          <w:szCs w:val="24"/>
        </w:rPr>
        <w:t>调查</w:t>
      </w:r>
      <w:bookmarkEnd w:id="266"/>
    </w:p>
    <w:p w14:paraId="5A1E2061">
      <w:pPr>
        <w:pStyle w:val="5"/>
        <w:numPr>
          <w:ilvl w:val="0"/>
          <w:numId w:val="0"/>
        </w:numPr>
        <w:spacing w:line="360" w:lineRule="auto"/>
        <w:jc w:val="left"/>
        <w:rPr>
          <w:color w:val="auto"/>
          <w:szCs w:val="24"/>
        </w:rPr>
      </w:pPr>
      <w:r>
        <w:rPr>
          <w:rFonts w:hint="eastAsia"/>
          <w:color w:val="auto"/>
          <w:szCs w:val="24"/>
        </w:rPr>
        <w:t>7</w:t>
      </w:r>
      <w:r>
        <w:rPr>
          <w:color w:val="auto"/>
          <w:szCs w:val="24"/>
        </w:rPr>
        <w:t>.2.1风险</w:t>
      </w:r>
      <w:r>
        <w:rPr>
          <w:rFonts w:hint="eastAsia"/>
          <w:color w:val="auto"/>
          <w:szCs w:val="24"/>
        </w:rPr>
        <w:t>源调查</w:t>
      </w:r>
    </w:p>
    <w:p w14:paraId="6C412FE8">
      <w:pPr>
        <w:adjustRightInd/>
        <w:snapToGrid/>
        <w:spacing w:line="360" w:lineRule="auto"/>
        <w:ind w:firstLine="480"/>
        <w:rPr>
          <w:color w:val="auto"/>
        </w:rPr>
      </w:pPr>
      <w:bookmarkStart w:id="267" w:name="_Hlk2973966"/>
      <w:r>
        <w:rPr>
          <w:rFonts w:hint="eastAsia"/>
          <w:color w:val="auto"/>
        </w:rPr>
        <w:t>拟建项目</w:t>
      </w:r>
      <w:r>
        <w:rPr>
          <w:rFonts w:hint="eastAsia"/>
          <w:color w:val="auto"/>
          <w:lang w:eastAsia="zh-CN"/>
        </w:rPr>
        <w:t>涉及</w:t>
      </w:r>
      <w:r>
        <w:rPr>
          <w:rFonts w:hint="eastAsia"/>
          <w:color w:val="auto"/>
        </w:rPr>
        <w:t>的化学品有</w:t>
      </w:r>
      <w:r>
        <w:rPr>
          <w:color w:val="auto"/>
        </w:rPr>
        <w:t>PAM</w:t>
      </w:r>
      <w:r>
        <w:rPr>
          <w:rFonts w:hint="eastAsia"/>
          <w:color w:val="auto"/>
        </w:rPr>
        <w:t>（聚丙烯酰胺）、P</w:t>
      </w:r>
      <w:r>
        <w:rPr>
          <w:color w:val="auto"/>
        </w:rPr>
        <w:t>AC</w:t>
      </w:r>
      <w:r>
        <w:rPr>
          <w:rFonts w:hint="eastAsia"/>
          <w:color w:val="auto"/>
        </w:rPr>
        <w:t>（聚合氯化铝）、氢氧化钠、碳酸钠、硫酸亚铁、硫酸（</w:t>
      </w:r>
      <w:r>
        <w:rPr>
          <w:color w:val="auto"/>
        </w:rPr>
        <w:t>5</w:t>
      </w:r>
      <w:r>
        <w:rPr>
          <w:rFonts w:hint="eastAsia"/>
          <w:color w:val="auto"/>
        </w:rPr>
        <w:t>0%）、3</w:t>
      </w:r>
      <w:r>
        <w:rPr>
          <w:color w:val="auto"/>
        </w:rPr>
        <w:t>0%</w:t>
      </w:r>
      <w:r>
        <w:rPr>
          <w:rFonts w:hint="eastAsia"/>
          <w:color w:val="auto"/>
        </w:rPr>
        <w:t>盐酸、3</w:t>
      </w:r>
      <w:r>
        <w:rPr>
          <w:color w:val="auto"/>
        </w:rPr>
        <w:t>0%</w:t>
      </w:r>
      <w:r>
        <w:rPr>
          <w:rFonts w:hint="eastAsia"/>
          <w:color w:val="auto"/>
        </w:rPr>
        <w:t>双氧水、废油类和废油桶等，对照</w:t>
      </w:r>
      <w:r>
        <w:rPr>
          <w:color w:val="auto"/>
          <w:szCs w:val="24"/>
        </w:rPr>
        <w:t>《建设项目环境风险评价技术导则》（HJ169-2018）</w:t>
      </w:r>
      <w:r>
        <w:rPr>
          <w:rFonts w:hint="eastAsia"/>
          <w:color w:val="auto"/>
          <w:szCs w:val="24"/>
        </w:rPr>
        <w:t>，</w:t>
      </w:r>
      <w:r>
        <w:rPr>
          <w:rFonts w:hint="eastAsia"/>
          <w:color w:val="auto"/>
        </w:rPr>
        <w:t>项目</w:t>
      </w:r>
      <w:r>
        <w:rPr>
          <w:rFonts w:hint="eastAsia"/>
          <w:color w:val="auto"/>
          <w:szCs w:val="24"/>
        </w:rPr>
        <w:t>废油</w:t>
      </w:r>
      <w:r>
        <w:rPr>
          <w:rFonts w:hint="eastAsia"/>
          <w:color w:val="auto"/>
        </w:rPr>
        <w:t>理化性质、危害性及毒理性质见表7</w:t>
      </w:r>
      <w:r>
        <w:rPr>
          <w:color w:val="auto"/>
        </w:rPr>
        <w:t>.2-1</w:t>
      </w:r>
      <w:r>
        <w:rPr>
          <w:rFonts w:hint="eastAsia"/>
          <w:color w:val="auto"/>
        </w:rPr>
        <w:t>~7.2-3。</w:t>
      </w:r>
    </w:p>
    <w:p w14:paraId="3072076B">
      <w:pPr>
        <w:adjustRightInd/>
        <w:snapToGrid/>
        <w:spacing w:line="360" w:lineRule="auto"/>
        <w:ind w:firstLine="480"/>
        <w:rPr>
          <w:color w:val="auto"/>
          <w:szCs w:val="24"/>
        </w:rPr>
      </w:pPr>
      <w:r>
        <w:rPr>
          <w:color w:val="auto"/>
          <w:szCs w:val="24"/>
        </w:rPr>
        <w:t>根据《建设项目环境风险评价技术导则》（HJ169-2018），风险源定义为：存在物质或能量意外释放，并可能产生环境危害的源。据此调查拟建项目危险物质数量、分布情况和生产工艺特点见表7.2-</w:t>
      </w:r>
      <w:r>
        <w:rPr>
          <w:rFonts w:hint="eastAsia"/>
          <w:color w:val="auto"/>
          <w:szCs w:val="24"/>
        </w:rPr>
        <w:t>4</w:t>
      </w:r>
      <w:r>
        <w:rPr>
          <w:color w:val="auto"/>
          <w:szCs w:val="24"/>
        </w:rPr>
        <w:t>，其中危险物质数量为厂界内最大存在总量，根据装置规模和设备尺寸进行估算</w:t>
      </w:r>
      <w:r>
        <w:rPr>
          <w:rFonts w:hint="eastAsia"/>
          <w:color w:val="auto"/>
          <w:szCs w:val="24"/>
        </w:rPr>
        <w:t>。</w:t>
      </w:r>
    </w:p>
    <w:p w14:paraId="339C00C2">
      <w:pPr>
        <w:spacing w:line="360" w:lineRule="auto"/>
        <w:ind w:firstLine="482"/>
        <w:jc w:val="center"/>
        <w:rPr>
          <w:b/>
          <w:color w:val="auto"/>
          <w:szCs w:val="24"/>
        </w:rPr>
      </w:pPr>
      <w:r>
        <w:rPr>
          <w:rFonts w:hint="eastAsia"/>
          <w:b/>
          <w:color w:val="auto"/>
          <w:szCs w:val="24"/>
        </w:rPr>
        <w:t>表</w:t>
      </w:r>
      <w:r>
        <w:rPr>
          <w:b/>
          <w:color w:val="auto"/>
          <w:szCs w:val="24"/>
        </w:rPr>
        <w:t>7.2-</w:t>
      </w:r>
      <w:r>
        <w:rPr>
          <w:rFonts w:hint="eastAsia"/>
          <w:b/>
          <w:color w:val="auto"/>
          <w:szCs w:val="24"/>
        </w:rPr>
        <w:t>1   氢氧化钠理化性质及危险特性</w:t>
      </w:r>
    </w:p>
    <w:tbl>
      <w:tblPr>
        <w:tblStyle w:val="88"/>
        <w:tblW w:w="4995"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485"/>
        <w:gridCol w:w="2314"/>
        <w:gridCol w:w="2555"/>
        <w:gridCol w:w="2923"/>
      </w:tblGrid>
      <w:tr w14:paraId="06D864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00" w:type="pct"/>
            <w:tcBorders>
              <w:tl2br w:val="nil"/>
              <w:tr2bl w:val="nil"/>
            </w:tcBorders>
            <w:vAlign w:val="center"/>
          </w:tcPr>
          <w:p w14:paraId="3DE1E822">
            <w:pPr>
              <w:spacing w:line="240" w:lineRule="auto"/>
              <w:ind w:firstLine="0" w:firstLineChars="0"/>
              <w:rPr>
                <w:color w:val="auto"/>
                <w:sz w:val="21"/>
                <w:szCs w:val="21"/>
              </w:rPr>
            </w:pPr>
            <w:r>
              <w:rPr>
                <w:rFonts w:hint="eastAsia"/>
                <w:color w:val="auto"/>
                <w:sz w:val="21"/>
                <w:szCs w:val="21"/>
              </w:rPr>
              <w:t>名 称</w:t>
            </w:r>
          </w:p>
        </w:tc>
        <w:tc>
          <w:tcPr>
            <w:tcW w:w="1247" w:type="pct"/>
            <w:tcBorders>
              <w:tl2br w:val="nil"/>
              <w:tr2bl w:val="nil"/>
            </w:tcBorders>
            <w:vAlign w:val="center"/>
          </w:tcPr>
          <w:p w14:paraId="11CCCA0A">
            <w:pPr>
              <w:spacing w:line="240" w:lineRule="auto"/>
              <w:ind w:firstLine="0" w:firstLineChars="0"/>
              <w:rPr>
                <w:color w:val="auto"/>
                <w:sz w:val="21"/>
                <w:szCs w:val="21"/>
              </w:rPr>
            </w:pPr>
            <w:r>
              <w:rPr>
                <w:rFonts w:hint="eastAsia"/>
                <w:color w:val="auto"/>
                <w:sz w:val="21"/>
                <w:szCs w:val="21"/>
              </w:rPr>
              <w:t>氢氧化钠</w:t>
            </w:r>
          </w:p>
        </w:tc>
        <w:tc>
          <w:tcPr>
            <w:tcW w:w="1377" w:type="pct"/>
            <w:tcBorders>
              <w:tl2br w:val="nil"/>
              <w:tr2bl w:val="nil"/>
            </w:tcBorders>
            <w:vAlign w:val="center"/>
          </w:tcPr>
          <w:p w14:paraId="0C82611C">
            <w:pPr>
              <w:spacing w:line="240" w:lineRule="auto"/>
              <w:ind w:firstLine="0" w:firstLineChars="0"/>
              <w:rPr>
                <w:color w:val="auto"/>
                <w:sz w:val="21"/>
                <w:szCs w:val="21"/>
              </w:rPr>
            </w:pPr>
            <w:r>
              <w:rPr>
                <w:rFonts w:hint="eastAsia"/>
                <w:color w:val="auto"/>
                <w:sz w:val="21"/>
                <w:szCs w:val="21"/>
              </w:rPr>
              <w:t>分子量</w:t>
            </w:r>
          </w:p>
        </w:tc>
        <w:tc>
          <w:tcPr>
            <w:tcW w:w="1574" w:type="pct"/>
            <w:tcBorders>
              <w:tl2br w:val="nil"/>
              <w:tr2bl w:val="nil"/>
            </w:tcBorders>
            <w:vAlign w:val="center"/>
          </w:tcPr>
          <w:p w14:paraId="430A8DB9">
            <w:pPr>
              <w:spacing w:line="240" w:lineRule="auto"/>
              <w:ind w:firstLine="0" w:firstLineChars="0"/>
              <w:rPr>
                <w:color w:val="auto"/>
                <w:sz w:val="21"/>
                <w:szCs w:val="21"/>
              </w:rPr>
            </w:pPr>
            <w:r>
              <w:rPr>
                <w:rFonts w:hint="eastAsia"/>
                <w:color w:val="auto"/>
                <w:sz w:val="21"/>
                <w:szCs w:val="21"/>
              </w:rPr>
              <w:t>40</w:t>
            </w:r>
          </w:p>
        </w:tc>
      </w:tr>
      <w:tr w14:paraId="166598F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00" w:type="pct"/>
            <w:tcBorders>
              <w:tl2br w:val="nil"/>
              <w:tr2bl w:val="nil"/>
            </w:tcBorders>
            <w:vAlign w:val="center"/>
          </w:tcPr>
          <w:p w14:paraId="09F57ECA">
            <w:pPr>
              <w:spacing w:line="240" w:lineRule="auto"/>
              <w:ind w:firstLine="0" w:firstLineChars="0"/>
              <w:rPr>
                <w:color w:val="auto"/>
                <w:sz w:val="21"/>
                <w:szCs w:val="21"/>
              </w:rPr>
            </w:pPr>
            <w:r>
              <w:rPr>
                <w:rFonts w:hint="eastAsia"/>
                <w:color w:val="auto"/>
                <w:sz w:val="21"/>
                <w:szCs w:val="21"/>
              </w:rPr>
              <w:t>CAS</w:t>
            </w:r>
          </w:p>
        </w:tc>
        <w:tc>
          <w:tcPr>
            <w:tcW w:w="1247" w:type="pct"/>
            <w:tcBorders>
              <w:tl2br w:val="nil"/>
              <w:tr2bl w:val="nil"/>
            </w:tcBorders>
            <w:vAlign w:val="center"/>
          </w:tcPr>
          <w:p w14:paraId="3890CF98">
            <w:pPr>
              <w:spacing w:line="240" w:lineRule="auto"/>
              <w:ind w:firstLine="0" w:firstLineChars="0"/>
              <w:rPr>
                <w:color w:val="auto"/>
                <w:sz w:val="21"/>
                <w:szCs w:val="21"/>
              </w:rPr>
            </w:pPr>
            <w:r>
              <w:rPr>
                <w:rFonts w:hint="eastAsia"/>
                <w:color w:val="auto"/>
                <w:sz w:val="21"/>
                <w:szCs w:val="21"/>
              </w:rPr>
              <w:t>1310-73-2</w:t>
            </w:r>
          </w:p>
        </w:tc>
        <w:tc>
          <w:tcPr>
            <w:tcW w:w="1377" w:type="pct"/>
            <w:tcBorders>
              <w:tl2br w:val="nil"/>
              <w:tr2bl w:val="nil"/>
            </w:tcBorders>
            <w:vAlign w:val="center"/>
          </w:tcPr>
          <w:p w14:paraId="207F5256">
            <w:pPr>
              <w:spacing w:line="240" w:lineRule="auto"/>
              <w:ind w:firstLine="0" w:firstLineChars="0"/>
              <w:rPr>
                <w:color w:val="auto"/>
                <w:sz w:val="21"/>
                <w:szCs w:val="21"/>
              </w:rPr>
            </w:pPr>
            <w:r>
              <w:rPr>
                <w:rFonts w:hint="eastAsia"/>
                <w:color w:val="auto"/>
                <w:sz w:val="21"/>
                <w:szCs w:val="21"/>
              </w:rPr>
              <w:t>化  学   式</w:t>
            </w:r>
          </w:p>
        </w:tc>
        <w:tc>
          <w:tcPr>
            <w:tcW w:w="1574" w:type="pct"/>
            <w:tcBorders>
              <w:tl2br w:val="nil"/>
              <w:tr2bl w:val="nil"/>
            </w:tcBorders>
            <w:vAlign w:val="center"/>
          </w:tcPr>
          <w:p w14:paraId="455968CE">
            <w:pPr>
              <w:spacing w:line="240" w:lineRule="auto"/>
              <w:ind w:firstLine="0" w:firstLineChars="0"/>
              <w:rPr>
                <w:color w:val="auto"/>
                <w:sz w:val="21"/>
                <w:szCs w:val="21"/>
              </w:rPr>
            </w:pPr>
            <w:r>
              <w:rPr>
                <w:rFonts w:hint="eastAsia"/>
                <w:color w:val="auto"/>
                <w:sz w:val="21"/>
                <w:szCs w:val="21"/>
              </w:rPr>
              <w:t>NaOH</w:t>
            </w:r>
          </w:p>
        </w:tc>
      </w:tr>
      <w:tr w14:paraId="656411E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00" w:type="pct"/>
            <w:tcBorders>
              <w:tl2br w:val="nil"/>
              <w:tr2bl w:val="nil"/>
            </w:tcBorders>
            <w:vAlign w:val="center"/>
          </w:tcPr>
          <w:p w14:paraId="7211512C">
            <w:pPr>
              <w:spacing w:line="240" w:lineRule="auto"/>
              <w:ind w:firstLine="0" w:firstLineChars="0"/>
              <w:rPr>
                <w:color w:val="auto"/>
                <w:sz w:val="21"/>
                <w:szCs w:val="21"/>
              </w:rPr>
            </w:pPr>
            <w:r>
              <w:rPr>
                <w:rFonts w:hint="eastAsia"/>
                <w:color w:val="auto"/>
                <w:sz w:val="21"/>
                <w:szCs w:val="21"/>
              </w:rPr>
              <w:t>蒸气压</w:t>
            </w:r>
          </w:p>
        </w:tc>
        <w:tc>
          <w:tcPr>
            <w:tcW w:w="1247" w:type="pct"/>
            <w:tcBorders>
              <w:tl2br w:val="nil"/>
              <w:tr2bl w:val="nil"/>
            </w:tcBorders>
            <w:vAlign w:val="center"/>
          </w:tcPr>
          <w:p w14:paraId="4785EE47">
            <w:pPr>
              <w:spacing w:line="240" w:lineRule="auto"/>
              <w:ind w:firstLine="0" w:firstLineChars="0"/>
              <w:rPr>
                <w:color w:val="auto"/>
                <w:sz w:val="21"/>
                <w:szCs w:val="21"/>
              </w:rPr>
            </w:pPr>
            <w:r>
              <w:rPr>
                <w:rFonts w:hint="eastAsia"/>
                <w:color w:val="auto"/>
                <w:sz w:val="21"/>
                <w:szCs w:val="21"/>
              </w:rPr>
              <w:t>24.5mmHg</w:t>
            </w:r>
          </w:p>
        </w:tc>
        <w:tc>
          <w:tcPr>
            <w:tcW w:w="1377" w:type="pct"/>
            <w:tcBorders>
              <w:tl2br w:val="nil"/>
              <w:tr2bl w:val="nil"/>
            </w:tcBorders>
            <w:vAlign w:val="center"/>
          </w:tcPr>
          <w:p w14:paraId="61CF571B">
            <w:pPr>
              <w:spacing w:line="240" w:lineRule="auto"/>
              <w:ind w:firstLine="0" w:firstLineChars="0"/>
              <w:rPr>
                <w:color w:val="auto"/>
                <w:sz w:val="21"/>
                <w:szCs w:val="21"/>
              </w:rPr>
            </w:pPr>
            <w:r>
              <w:rPr>
                <w:rFonts w:hint="eastAsia"/>
                <w:color w:val="auto"/>
                <w:sz w:val="21"/>
                <w:szCs w:val="21"/>
              </w:rPr>
              <w:t xml:space="preserve">熔点 </w:t>
            </w:r>
          </w:p>
        </w:tc>
        <w:tc>
          <w:tcPr>
            <w:tcW w:w="1574" w:type="pct"/>
            <w:tcBorders>
              <w:tl2br w:val="nil"/>
              <w:tr2bl w:val="nil"/>
            </w:tcBorders>
            <w:vAlign w:val="center"/>
          </w:tcPr>
          <w:p w14:paraId="357424D3">
            <w:pPr>
              <w:spacing w:line="240" w:lineRule="auto"/>
              <w:ind w:firstLine="0" w:firstLineChars="0"/>
              <w:rPr>
                <w:color w:val="auto"/>
                <w:sz w:val="21"/>
                <w:szCs w:val="21"/>
              </w:rPr>
            </w:pPr>
            <w:r>
              <w:rPr>
                <w:rFonts w:hint="eastAsia"/>
                <w:color w:val="auto"/>
                <w:sz w:val="21"/>
                <w:szCs w:val="21"/>
              </w:rPr>
              <w:t>318.4℃</w:t>
            </w:r>
          </w:p>
        </w:tc>
      </w:tr>
      <w:tr w14:paraId="09C04A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00" w:type="pct"/>
            <w:tcBorders>
              <w:tl2br w:val="nil"/>
              <w:tr2bl w:val="nil"/>
            </w:tcBorders>
            <w:vAlign w:val="center"/>
          </w:tcPr>
          <w:p w14:paraId="4C23CB87">
            <w:pPr>
              <w:spacing w:line="240" w:lineRule="auto"/>
              <w:ind w:firstLine="0" w:firstLineChars="0"/>
              <w:rPr>
                <w:color w:val="auto"/>
                <w:sz w:val="21"/>
                <w:szCs w:val="21"/>
              </w:rPr>
            </w:pPr>
            <w:r>
              <w:rPr>
                <w:rFonts w:hint="eastAsia"/>
                <w:color w:val="auto"/>
                <w:sz w:val="21"/>
                <w:szCs w:val="21"/>
              </w:rPr>
              <w:t>沸点</w:t>
            </w:r>
          </w:p>
        </w:tc>
        <w:tc>
          <w:tcPr>
            <w:tcW w:w="1247" w:type="pct"/>
            <w:tcBorders>
              <w:tl2br w:val="nil"/>
              <w:tr2bl w:val="nil"/>
            </w:tcBorders>
            <w:vAlign w:val="center"/>
          </w:tcPr>
          <w:p w14:paraId="2FD9EC2D">
            <w:pPr>
              <w:spacing w:line="240" w:lineRule="auto"/>
              <w:ind w:firstLine="0" w:firstLineChars="0"/>
              <w:rPr>
                <w:color w:val="auto"/>
                <w:sz w:val="21"/>
                <w:szCs w:val="21"/>
              </w:rPr>
            </w:pPr>
            <w:r>
              <w:rPr>
                <w:rFonts w:hint="eastAsia"/>
                <w:color w:val="auto"/>
                <w:sz w:val="21"/>
                <w:szCs w:val="21"/>
              </w:rPr>
              <w:t>1390℃</w:t>
            </w:r>
          </w:p>
        </w:tc>
        <w:tc>
          <w:tcPr>
            <w:tcW w:w="1377" w:type="pct"/>
            <w:tcBorders>
              <w:tl2br w:val="nil"/>
              <w:tr2bl w:val="nil"/>
            </w:tcBorders>
            <w:vAlign w:val="center"/>
          </w:tcPr>
          <w:p w14:paraId="3A855042">
            <w:pPr>
              <w:spacing w:line="240" w:lineRule="auto"/>
              <w:ind w:firstLine="0" w:firstLineChars="0"/>
              <w:rPr>
                <w:color w:val="auto"/>
                <w:sz w:val="21"/>
                <w:szCs w:val="21"/>
              </w:rPr>
            </w:pPr>
            <w:r>
              <w:rPr>
                <w:rFonts w:hint="eastAsia"/>
                <w:color w:val="auto"/>
                <w:sz w:val="21"/>
                <w:szCs w:val="21"/>
              </w:rPr>
              <w:t>密度</w:t>
            </w:r>
          </w:p>
        </w:tc>
        <w:tc>
          <w:tcPr>
            <w:tcW w:w="1574" w:type="pct"/>
            <w:tcBorders>
              <w:tl2br w:val="nil"/>
              <w:tr2bl w:val="nil"/>
            </w:tcBorders>
            <w:vAlign w:val="center"/>
          </w:tcPr>
          <w:p w14:paraId="40CB8549">
            <w:pPr>
              <w:spacing w:line="240" w:lineRule="auto"/>
              <w:ind w:firstLine="0" w:firstLineChars="0"/>
              <w:rPr>
                <w:color w:val="auto"/>
                <w:sz w:val="21"/>
                <w:szCs w:val="21"/>
              </w:rPr>
            </w:pPr>
            <w:r>
              <w:rPr>
                <w:rFonts w:hint="eastAsia"/>
                <w:color w:val="auto"/>
                <w:sz w:val="21"/>
                <w:szCs w:val="21"/>
              </w:rPr>
              <w:t>2.130g/cm³</w:t>
            </w:r>
          </w:p>
        </w:tc>
      </w:tr>
      <w:tr w14:paraId="0F42712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00" w:type="pct"/>
            <w:tcBorders>
              <w:tl2br w:val="nil"/>
              <w:tr2bl w:val="nil"/>
            </w:tcBorders>
            <w:vAlign w:val="center"/>
          </w:tcPr>
          <w:p w14:paraId="66974DDA">
            <w:pPr>
              <w:spacing w:line="240" w:lineRule="auto"/>
              <w:ind w:firstLine="0" w:firstLineChars="0"/>
              <w:rPr>
                <w:color w:val="auto"/>
                <w:sz w:val="21"/>
                <w:szCs w:val="21"/>
              </w:rPr>
            </w:pPr>
            <w:r>
              <w:rPr>
                <w:rFonts w:hint="eastAsia"/>
                <w:color w:val="auto"/>
                <w:sz w:val="21"/>
                <w:szCs w:val="21"/>
              </w:rPr>
              <w:t>外观与性状</w:t>
            </w:r>
          </w:p>
        </w:tc>
        <w:tc>
          <w:tcPr>
            <w:tcW w:w="4199" w:type="pct"/>
            <w:gridSpan w:val="3"/>
            <w:tcBorders>
              <w:tl2br w:val="nil"/>
              <w:tr2bl w:val="nil"/>
            </w:tcBorders>
            <w:vAlign w:val="center"/>
          </w:tcPr>
          <w:p w14:paraId="770B2BAF">
            <w:pPr>
              <w:spacing w:line="240" w:lineRule="auto"/>
              <w:ind w:firstLine="0" w:firstLineChars="0"/>
              <w:rPr>
                <w:color w:val="auto"/>
                <w:sz w:val="21"/>
                <w:szCs w:val="21"/>
              </w:rPr>
            </w:pPr>
            <w:r>
              <w:rPr>
                <w:rFonts w:hint="eastAsia"/>
                <w:color w:val="auto"/>
                <w:sz w:val="21"/>
                <w:szCs w:val="21"/>
              </w:rPr>
              <w:t>白色结晶性粉末</w:t>
            </w:r>
          </w:p>
        </w:tc>
      </w:tr>
      <w:tr w14:paraId="4C6E41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00" w:type="pct"/>
            <w:tcBorders>
              <w:tl2br w:val="nil"/>
              <w:tr2bl w:val="nil"/>
            </w:tcBorders>
            <w:vAlign w:val="center"/>
          </w:tcPr>
          <w:p w14:paraId="74D32228">
            <w:pPr>
              <w:spacing w:line="240" w:lineRule="auto"/>
              <w:ind w:firstLine="0" w:firstLineChars="0"/>
              <w:rPr>
                <w:color w:val="auto"/>
                <w:sz w:val="21"/>
                <w:szCs w:val="21"/>
              </w:rPr>
            </w:pPr>
            <w:r>
              <w:rPr>
                <w:rFonts w:hint="eastAsia"/>
                <w:color w:val="auto"/>
                <w:sz w:val="21"/>
                <w:szCs w:val="21"/>
              </w:rPr>
              <w:t>危险特征</w:t>
            </w:r>
          </w:p>
        </w:tc>
        <w:tc>
          <w:tcPr>
            <w:tcW w:w="4199" w:type="pct"/>
            <w:gridSpan w:val="3"/>
            <w:tcBorders>
              <w:tl2br w:val="nil"/>
              <w:tr2bl w:val="nil"/>
            </w:tcBorders>
            <w:vAlign w:val="center"/>
          </w:tcPr>
          <w:p w14:paraId="7CC3B2F3">
            <w:pPr>
              <w:spacing w:line="240" w:lineRule="auto"/>
              <w:ind w:firstLine="0" w:firstLineChars="0"/>
              <w:rPr>
                <w:color w:val="auto"/>
                <w:sz w:val="21"/>
                <w:szCs w:val="21"/>
              </w:rPr>
            </w:pPr>
            <w:r>
              <w:rPr>
                <w:rFonts w:hint="eastAsia"/>
                <w:color w:val="auto"/>
                <w:sz w:val="21"/>
                <w:szCs w:val="21"/>
              </w:rPr>
              <w:t>氢氧化钠对纤维、皮肤、玻璃、陶瓷等有腐蚀作用，溶解或浓溶液稀释时会放出热量；与无机酸发生中和反应也能产生大量热，生成相应的盐类；与金属铝和锌、非金属硼和硅等反应放出氢；与氯、溴、碘等卤素发生歧化反应。能从水溶液中沉淀金属离子成为氢氧化物；能使油脂发生皂化反应，生成相应的有机酸的钠盐和醇。有强烈刺激和腐蚀性。粉尘或烟雾刺激眼和呼吸道，腐蚀鼻中隔，皮肤和眼直接接触可引起灼伤</w:t>
            </w:r>
            <w:r>
              <w:rPr>
                <w:rFonts w:hint="eastAsia"/>
                <w:color w:val="auto"/>
                <w:sz w:val="21"/>
                <w:szCs w:val="21"/>
                <w:lang w:eastAsia="zh-CN"/>
              </w:rPr>
              <w:t>；</w:t>
            </w:r>
            <w:r>
              <w:rPr>
                <w:rFonts w:hint="eastAsia"/>
                <w:color w:val="auto"/>
                <w:sz w:val="21"/>
                <w:szCs w:val="21"/>
              </w:rPr>
              <w:t>误服可造成消化道灼伤，</w:t>
            </w:r>
            <w:r>
              <w:rPr>
                <w:rFonts w:hint="eastAsia"/>
                <w:color w:val="auto"/>
                <w:sz w:val="21"/>
                <w:szCs w:val="21"/>
                <w:lang w:eastAsia="zh-CN"/>
              </w:rPr>
              <w:t>黏膜</w:t>
            </w:r>
            <w:r>
              <w:rPr>
                <w:rFonts w:hint="eastAsia"/>
                <w:color w:val="auto"/>
                <w:sz w:val="21"/>
                <w:szCs w:val="21"/>
              </w:rPr>
              <w:t>糜烂、出血和休克</w:t>
            </w:r>
          </w:p>
        </w:tc>
      </w:tr>
      <w:tr w14:paraId="042B24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00" w:type="pct"/>
            <w:tcBorders>
              <w:tl2br w:val="nil"/>
              <w:tr2bl w:val="nil"/>
            </w:tcBorders>
            <w:vAlign w:val="center"/>
          </w:tcPr>
          <w:p w14:paraId="723E850F">
            <w:pPr>
              <w:spacing w:line="240" w:lineRule="auto"/>
              <w:ind w:firstLine="0" w:firstLineChars="0"/>
              <w:rPr>
                <w:color w:val="auto"/>
                <w:sz w:val="21"/>
                <w:szCs w:val="21"/>
              </w:rPr>
            </w:pPr>
            <w:r>
              <w:rPr>
                <w:rFonts w:hint="eastAsia"/>
                <w:color w:val="auto"/>
                <w:sz w:val="21"/>
                <w:szCs w:val="21"/>
              </w:rPr>
              <w:t>储运方法</w:t>
            </w:r>
          </w:p>
        </w:tc>
        <w:tc>
          <w:tcPr>
            <w:tcW w:w="4199" w:type="pct"/>
            <w:gridSpan w:val="3"/>
            <w:tcBorders>
              <w:tl2br w:val="nil"/>
              <w:tr2bl w:val="nil"/>
            </w:tcBorders>
            <w:vAlign w:val="center"/>
          </w:tcPr>
          <w:p w14:paraId="26A6C5E6">
            <w:pPr>
              <w:tabs>
                <w:tab w:val="left" w:pos="3945"/>
              </w:tabs>
              <w:spacing w:line="240" w:lineRule="auto"/>
              <w:ind w:firstLine="0" w:firstLineChars="0"/>
              <w:rPr>
                <w:color w:val="auto"/>
                <w:sz w:val="21"/>
                <w:szCs w:val="21"/>
              </w:rPr>
            </w:pPr>
            <w:r>
              <w:rPr>
                <w:rFonts w:hint="eastAsia"/>
                <w:color w:val="auto"/>
                <w:sz w:val="21"/>
                <w:szCs w:val="21"/>
              </w:rPr>
              <w:t>1、氢氧化钠对玻璃制品有轻微的腐蚀性，两者会生成硅酸钠，使得玻璃仪器中的活塞黏着于仪器上。因此盛放氢氧化钠溶液时不可以用玻璃瓶塞，否则可能会导致瓶盖无法打开。</w:t>
            </w:r>
          </w:p>
          <w:p w14:paraId="20DED13C">
            <w:pPr>
              <w:tabs>
                <w:tab w:val="left" w:pos="3945"/>
              </w:tabs>
              <w:spacing w:line="240" w:lineRule="auto"/>
              <w:ind w:firstLine="0" w:firstLineChars="0"/>
              <w:rPr>
                <w:color w:val="auto"/>
                <w:sz w:val="21"/>
                <w:szCs w:val="21"/>
              </w:rPr>
            </w:pPr>
            <w:r>
              <w:rPr>
                <w:rFonts w:hint="eastAsia"/>
                <w:color w:val="auto"/>
                <w:sz w:val="21"/>
                <w:szCs w:val="21"/>
              </w:rPr>
              <w:t>2、如果以玻璃容器长时间盛装热的氢氧化钠溶液，也会造成玻璃容器损坏。</w:t>
            </w:r>
          </w:p>
          <w:p w14:paraId="16607F1A">
            <w:pPr>
              <w:tabs>
                <w:tab w:val="left" w:pos="3945"/>
              </w:tabs>
              <w:spacing w:line="240" w:lineRule="auto"/>
              <w:ind w:firstLine="0" w:firstLineChars="0"/>
              <w:rPr>
                <w:color w:val="auto"/>
                <w:sz w:val="21"/>
                <w:szCs w:val="21"/>
              </w:rPr>
            </w:pPr>
            <w:r>
              <w:rPr>
                <w:rFonts w:hint="eastAsia"/>
                <w:color w:val="auto"/>
                <w:sz w:val="21"/>
                <w:szCs w:val="21"/>
              </w:rPr>
              <w:t>3、氢氧化钠应储存于阴凉、干燥、通风良好的库房。应远离火种、热源。库温不超过35℃，相对湿度不超过80%。包装必须密封，切勿受潮。应与易（可）燃物、酸类等分开存放，切忌混储。储区应备有合适的材料收容泄漏物。固体氢氧化钠装入0.5毫米厚的钢桶中严封，每桶净重不超过100 公斤；塑料袋或二层牛皮纸袋外全开口或中开口钢桶；螺纹口玻璃瓶、铁盖压口玻璃瓶、塑料瓶或金属桶（罐）外普通木箱；螺纹口玻璃瓶、塑料瓶或镀锡薄钢板桶（罐）外满底板花格箱、纤维板箱或胶合板箱；镀锡薄钢板桶（罐）、金属桶（罐）、塑料瓶或金属软管外瓦楞纸箱。包装容器要完整、密封，有明显的“腐蚀性物品”标志</w:t>
            </w:r>
          </w:p>
        </w:tc>
      </w:tr>
      <w:tr w14:paraId="6B0E5FC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00" w:type="pct"/>
            <w:tcBorders>
              <w:tl2br w:val="nil"/>
              <w:tr2bl w:val="nil"/>
            </w:tcBorders>
            <w:vAlign w:val="center"/>
          </w:tcPr>
          <w:p w14:paraId="7CD355B1">
            <w:pPr>
              <w:spacing w:line="240" w:lineRule="auto"/>
              <w:ind w:firstLine="0" w:firstLineChars="0"/>
              <w:rPr>
                <w:color w:val="auto"/>
                <w:sz w:val="21"/>
                <w:szCs w:val="21"/>
              </w:rPr>
            </w:pPr>
            <w:r>
              <w:rPr>
                <w:rFonts w:hint="eastAsia"/>
                <w:color w:val="auto"/>
                <w:sz w:val="21"/>
                <w:szCs w:val="21"/>
              </w:rPr>
              <w:t>泄漏应急处理</w:t>
            </w:r>
          </w:p>
        </w:tc>
        <w:tc>
          <w:tcPr>
            <w:tcW w:w="4199" w:type="pct"/>
            <w:gridSpan w:val="3"/>
            <w:tcBorders>
              <w:tl2br w:val="nil"/>
              <w:tr2bl w:val="nil"/>
            </w:tcBorders>
            <w:vAlign w:val="center"/>
          </w:tcPr>
          <w:p w14:paraId="2F3D9367">
            <w:pPr>
              <w:spacing w:line="240" w:lineRule="auto"/>
              <w:ind w:firstLine="0" w:firstLineChars="0"/>
              <w:rPr>
                <w:color w:val="auto"/>
                <w:sz w:val="21"/>
                <w:szCs w:val="21"/>
              </w:rPr>
            </w:pPr>
            <w:r>
              <w:rPr>
                <w:rFonts w:hint="eastAsia"/>
                <w:color w:val="auto"/>
                <w:sz w:val="21"/>
                <w:szCs w:val="21"/>
              </w:rPr>
              <w:t>隔离泄漏污染区，周围</w:t>
            </w:r>
            <w:r>
              <w:rPr>
                <w:rFonts w:hint="eastAsia"/>
                <w:color w:val="auto"/>
                <w:sz w:val="21"/>
                <w:szCs w:val="21"/>
                <w:lang w:eastAsia="zh-CN"/>
              </w:rPr>
              <w:t>设置</w:t>
            </w:r>
            <w:r>
              <w:rPr>
                <w:rFonts w:hint="eastAsia"/>
                <w:color w:val="auto"/>
                <w:sz w:val="21"/>
                <w:szCs w:val="21"/>
              </w:rPr>
              <w:t>警告标志，建议应急处理人员戴好防毒面具，穿化学防护服。不要直接接触泄漏物，用</w:t>
            </w:r>
            <w:r>
              <w:rPr>
                <w:rFonts w:hint="eastAsia"/>
                <w:color w:val="auto"/>
                <w:sz w:val="21"/>
                <w:szCs w:val="21"/>
                <w:lang w:eastAsia="zh-CN"/>
              </w:rPr>
              <w:t>清洁</w:t>
            </w:r>
            <w:r>
              <w:rPr>
                <w:rFonts w:hint="eastAsia"/>
                <w:color w:val="auto"/>
                <w:sz w:val="21"/>
                <w:szCs w:val="21"/>
              </w:rPr>
              <w:t>的铲子收集于干燥</w:t>
            </w:r>
            <w:r>
              <w:rPr>
                <w:rFonts w:hint="eastAsia"/>
                <w:color w:val="auto"/>
                <w:sz w:val="21"/>
                <w:szCs w:val="21"/>
                <w:lang w:eastAsia="zh-CN"/>
              </w:rPr>
              <w:t>洁净</w:t>
            </w:r>
            <w:r>
              <w:rPr>
                <w:rFonts w:hint="eastAsia"/>
                <w:color w:val="auto"/>
                <w:sz w:val="21"/>
                <w:szCs w:val="21"/>
              </w:rPr>
              <w:t>有盖的容器中，以少量加入大量水中，调节至中性，再放入废水系统。也可以用大量水冲洗，经稀释的洗水放入废水系统。如大量泄漏，收集回收或无害处理后废弃</w:t>
            </w:r>
          </w:p>
        </w:tc>
      </w:tr>
      <w:tr w14:paraId="5DDEA3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00" w:type="pct"/>
            <w:tcBorders>
              <w:tl2br w:val="nil"/>
              <w:tr2bl w:val="nil"/>
            </w:tcBorders>
            <w:vAlign w:val="center"/>
          </w:tcPr>
          <w:p w14:paraId="000EC4F6">
            <w:pPr>
              <w:spacing w:line="240" w:lineRule="auto"/>
              <w:ind w:firstLine="0" w:firstLineChars="0"/>
              <w:rPr>
                <w:color w:val="auto"/>
                <w:sz w:val="21"/>
                <w:szCs w:val="21"/>
              </w:rPr>
            </w:pPr>
            <w:r>
              <w:rPr>
                <w:rFonts w:hint="eastAsia"/>
                <w:color w:val="auto"/>
                <w:sz w:val="21"/>
                <w:szCs w:val="21"/>
              </w:rPr>
              <w:t>急 救 措 施</w:t>
            </w:r>
          </w:p>
        </w:tc>
        <w:tc>
          <w:tcPr>
            <w:tcW w:w="4199" w:type="pct"/>
            <w:gridSpan w:val="3"/>
            <w:tcBorders>
              <w:tl2br w:val="nil"/>
              <w:tr2bl w:val="nil"/>
            </w:tcBorders>
            <w:vAlign w:val="center"/>
          </w:tcPr>
          <w:p w14:paraId="443E8D3C">
            <w:pPr>
              <w:spacing w:line="240" w:lineRule="auto"/>
              <w:ind w:firstLine="0" w:firstLineChars="0"/>
              <w:rPr>
                <w:color w:val="auto"/>
                <w:sz w:val="21"/>
                <w:szCs w:val="21"/>
              </w:rPr>
            </w:pPr>
            <w:r>
              <w:rPr>
                <w:rFonts w:hint="eastAsia"/>
                <w:color w:val="auto"/>
                <w:sz w:val="21"/>
                <w:szCs w:val="21"/>
              </w:rPr>
              <w:t>吸入：脱离现场到空气新鲜处。必要时进行人工呼吸，就医。如果呼吸困难，给予吸氧。如果患者吸入或食入该物质，不要用口对口呼吸进行人工呼吸，可用单向阀呼吸器或</w:t>
            </w:r>
            <w:r>
              <w:rPr>
                <w:rFonts w:hint="eastAsia"/>
                <w:color w:val="auto"/>
                <w:sz w:val="21"/>
                <w:szCs w:val="21"/>
                <w:lang w:eastAsia="zh-CN"/>
              </w:rPr>
              <w:t>其他</w:t>
            </w:r>
            <w:r>
              <w:rPr>
                <w:rFonts w:hint="eastAsia"/>
                <w:color w:val="auto"/>
                <w:sz w:val="21"/>
                <w:szCs w:val="21"/>
              </w:rPr>
              <w:t>适当的医疗呼吸器。</w:t>
            </w:r>
          </w:p>
          <w:p w14:paraId="22935BA2">
            <w:pPr>
              <w:spacing w:line="240" w:lineRule="auto"/>
              <w:ind w:firstLine="0" w:firstLineChars="0"/>
              <w:rPr>
                <w:color w:val="auto"/>
                <w:sz w:val="21"/>
                <w:szCs w:val="21"/>
              </w:rPr>
            </w:pPr>
            <w:r>
              <w:rPr>
                <w:rFonts w:hint="eastAsia"/>
                <w:color w:val="auto"/>
                <w:sz w:val="21"/>
                <w:szCs w:val="21"/>
              </w:rPr>
              <w:t>皮肤接触：立即用水冲洗至少15分钟，若有灼伤，就医治疗。脱去并隔离被污染的衣服和鞋。对少量皮肤接触，避免将物质播散面积扩大。注意患者保暖并保持安静。吸入、食入或皮肤接触该物质可引起迟发反应。确保医务人员了解该物质相关的个体防护知识、注意自身防护。</w:t>
            </w:r>
          </w:p>
          <w:p w14:paraId="7CDFEC71">
            <w:pPr>
              <w:spacing w:line="240" w:lineRule="auto"/>
              <w:ind w:firstLine="0" w:firstLineChars="0"/>
              <w:rPr>
                <w:color w:val="auto"/>
                <w:sz w:val="21"/>
                <w:szCs w:val="21"/>
              </w:rPr>
            </w:pPr>
            <w:r>
              <w:rPr>
                <w:rFonts w:hint="eastAsia"/>
                <w:color w:val="auto"/>
                <w:sz w:val="21"/>
                <w:szCs w:val="21"/>
              </w:rPr>
              <w:t>眼睛接触：立即提起眼睛，用流动清水或生理盐水清洗至少15分钟，或用3%的硼酸溶液冲洗、就医。</w:t>
            </w:r>
          </w:p>
          <w:p w14:paraId="252CBB35">
            <w:pPr>
              <w:spacing w:line="240" w:lineRule="auto"/>
              <w:ind w:firstLine="0" w:firstLineChars="0"/>
              <w:rPr>
                <w:color w:val="auto"/>
                <w:sz w:val="21"/>
                <w:szCs w:val="21"/>
              </w:rPr>
            </w:pPr>
            <w:r>
              <w:rPr>
                <w:rFonts w:hint="eastAsia"/>
                <w:color w:val="auto"/>
                <w:sz w:val="21"/>
                <w:szCs w:val="21"/>
              </w:rPr>
              <w:t>食入：患者清醒时立即漱口，口服稀释的醋或柠檬汁，就医。</w:t>
            </w:r>
          </w:p>
        </w:tc>
      </w:tr>
      <w:tr w14:paraId="1D088E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00" w:type="pct"/>
            <w:tcBorders>
              <w:tl2br w:val="nil"/>
              <w:tr2bl w:val="nil"/>
            </w:tcBorders>
            <w:vAlign w:val="center"/>
          </w:tcPr>
          <w:p w14:paraId="17DE78D4">
            <w:pPr>
              <w:spacing w:line="240" w:lineRule="auto"/>
              <w:ind w:firstLine="0" w:firstLineChars="0"/>
              <w:rPr>
                <w:color w:val="auto"/>
                <w:sz w:val="21"/>
                <w:szCs w:val="21"/>
              </w:rPr>
            </w:pPr>
            <w:r>
              <w:rPr>
                <w:rFonts w:hint="eastAsia"/>
                <w:color w:val="auto"/>
                <w:sz w:val="21"/>
                <w:szCs w:val="21"/>
              </w:rPr>
              <w:t>灭火方式</w:t>
            </w:r>
          </w:p>
        </w:tc>
        <w:tc>
          <w:tcPr>
            <w:tcW w:w="4199" w:type="pct"/>
            <w:gridSpan w:val="3"/>
            <w:tcBorders>
              <w:tl2br w:val="nil"/>
              <w:tr2bl w:val="nil"/>
            </w:tcBorders>
            <w:vAlign w:val="center"/>
          </w:tcPr>
          <w:p w14:paraId="063BCA20">
            <w:pPr>
              <w:spacing w:line="240" w:lineRule="auto"/>
              <w:ind w:firstLine="0" w:firstLineChars="0"/>
              <w:rPr>
                <w:color w:val="auto"/>
                <w:sz w:val="21"/>
                <w:szCs w:val="21"/>
              </w:rPr>
            </w:pPr>
            <w:r>
              <w:rPr>
                <w:rFonts w:hint="eastAsia"/>
                <w:color w:val="auto"/>
                <w:sz w:val="21"/>
                <w:szCs w:val="21"/>
              </w:rPr>
              <w:t>灭火方法：雾状水、砂土；</w:t>
            </w:r>
          </w:p>
          <w:p w14:paraId="715D032A">
            <w:pPr>
              <w:spacing w:line="240" w:lineRule="auto"/>
              <w:ind w:firstLine="0" w:firstLineChars="0"/>
              <w:rPr>
                <w:color w:val="auto"/>
                <w:sz w:val="21"/>
                <w:szCs w:val="21"/>
              </w:rPr>
            </w:pPr>
            <w:r>
              <w:rPr>
                <w:rFonts w:hint="eastAsia"/>
                <w:color w:val="auto"/>
                <w:sz w:val="21"/>
                <w:szCs w:val="21"/>
              </w:rPr>
              <w:t>灭火措施：最早发现者应立即向生产部报警，并马上组织本部门车间人员灭火，生产部接到报警后，立即通知指挥部成员和各救援队伍迅速赶到现场，并将本岗位的灭火器材送至着火车间；医疗救护队</w:t>
            </w:r>
            <w:r>
              <w:rPr>
                <w:rFonts w:hint="eastAsia"/>
                <w:color w:val="auto"/>
                <w:sz w:val="21"/>
                <w:szCs w:val="21"/>
                <w:lang w:eastAsia="zh-CN"/>
              </w:rPr>
              <w:t>到达</w:t>
            </w:r>
            <w:r>
              <w:rPr>
                <w:rFonts w:hint="eastAsia"/>
                <w:color w:val="auto"/>
                <w:sz w:val="21"/>
                <w:szCs w:val="21"/>
              </w:rPr>
              <w:t>后将重伤人员转送医院或现场进行紧急救护，要迅速控制现场治安，分散人流，保护好重要物资。</w:t>
            </w:r>
          </w:p>
          <w:p w14:paraId="589F8B78">
            <w:pPr>
              <w:spacing w:line="240" w:lineRule="auto"/>
              <w:ind w:firstLine="0" w:firstLineChars="0"/>
              <w:rPr>
                <w:color w:val="auto"/>
                <w:sz w:val="21"/>
                <w:szCs w:val="21"/>
              </w:rPr>
            </w:pPr>
            <w:r>
              <w:rPr>
                <w:rFonts w:hint="eastAsia"/>
                <w:color w:val="auto"/>
                <w:sz w:val="21"/>
                <w:szCs w:val="21"/>
              </w:rPr>
              <w:t>灭火注意事项：避免水流冲击物品，以免遇水会放出大量热量发生喷溅而灼伤</w:t>
            </w:r>
          </w:p>
        </w:tc>
      </w:tr>
    </w:tbl>
    <w:p w14:paraId="05BC51E0">
      <w:pPr>
        <w:adjustRightInd/>
        <w:snapToGrid/>
        <w:spacing w:line="360" w:lineRule="auto"/>
        <w:ind w:firstLine="482"/>
        <w:jc w:val="center"/>
        <w:rPr>
          <w:b/>
          <w:color w:val="auto"/>
          <w:szCs w:val="24"/>
        </w:rPr>
      </w:pPr>
    </w:p>
    <w:p w14:paraId="7CA15FAE">
      <w:pPr>
        <w:adjustRightInd/>
        <w:snapToGrid/>
        <w:spacing w:line="360" w:lineRule="auto"/>
        <w:ind w:firstLine="482"/>
        <w:jc w:val="center"/>
        <w:rPr>
          <w:b/>
          <w:color w:val="auto"/>
          <w:szCs w:val="24"/>
        </w:rPr>
      </w:pPr>
      <w:r>
        <w:rPr>
          <w:b/>
          <w:color w:val="auto"/>
          <w:szCs w:val="24"/>
        </w:rPr>
        <w:t>表7.2-</w:t>
      </w:r>
      <w:r>
        <w:rPr>
          <w:rFonts w:hint="eastAsia"/>
          <w:b/>
          <w:color w:val="auto"/>
          <w:szCs w:val="24"/>
        </w:rPr>
        <w:t>2</w:t>
      </w:r>
      <w:r>
        <w:rPr>
          <w:b/>
          <w:color w:val="auto"/>
          <w:szCs w:val="24"/>
        </w:rPr>
        <w:t xml:space="preserve">  </w:t>
      </w:r>
      <w:r>
        <w:rPr>
          <w:rFonts w:hint="eastAsia"/>
          <w:b/>
          <w:color w:val="auto"/>
          <w:szCs w:val="24"/>
        </w:rPr>
        <w:t>硫酸理化性质表</w:t>
      </w:r>
    </w:p>
    <w:tbl>
      <w:tblPr>
        <w:tblStyle w:val="88"/>
        <w:tblW w:w="4999" w:type="pct"/>
        <w:tblInd w:w="0" w:type="dxa"/>
        <w:tblLayout w:type="autofit"/>
        <w:tblCellMar>
          <w:top w:w="0" w:type="dxa"/>
          <w:left w:w="108" w:type="dxa"/>
          <w:bottom w:w="0" w:type="dxa"/>
          <w:right w:w="108" w:type="dxa"/>
        </w:tblCellMar>
      </w:tblPr>
      <w:tblGrid>
        <w:gridCol w:w="441"/>
        <w:gridCol w:w="3098"/>
        <w:gridCol w:w="2121"/>
        <w:gridCol w:w="888"/>
        <w:gridCol w:w="2736"/>
      </w:tblGrid>
      <w:tr w14:paraId="2FF82441">
        <w:tblPrEx>
          <w:tblCellMar>
            <w:top w:w="0" w:type="dxa"/>
            <w:left w:w="108" w:type="dxa"/>
            <w:bottom w:w="0" w:type="dxa"/>
            <w:right w:w="108" w:type="dxa"/>
          </w:tblCellMar>
        </w:tblPrEx>
        <w:trPr>
          <w:trHeight w:val="449" w:hRule="atLeast"/>
        </w:trPr>
        <w:tc>
          <w:tcPr>
            <w:tcW w:w="238" w:type="pct"/>
            <w:vMerge w:val="restart"/>
            <w:tcBorders>
              <w:top w:val="single" w:color="000000" w:sz="4" w:space="0"/>
              <w:left w:val="single" w:color="000000" w:sz="4" w:space="0"/>
              <w:right w:val="single" w:color="000000" w:sz="4" w:space="0"/>
              <w:tl2br w:val="nil"/>
              <w:tr2bl w:val="nil"/>
            </w:tcBorders>
            <w:vAlign w:val="center"/>
          </w:tcPr>
          <w:p w14:paraId="4F529A0E">
            <w:pPr>
              <w:pStyle w:val="3361"/>
              <w:rPr>
                <w:color w:val="auto"/>
              </w:rPr>
            </w:pPr>
            <w:r>
              <w:rPr>
                <w:rFonts w:hint="eastAsia"/>
                <w:color w:val="auto"/>
              </w:rPr>
              <w:t>标</w:t>
            </w:r>
          </w:p>
          <w:p w14:paraId="697D1672">
            <w:pPr>
              <w:pStyle w:val="3361"/>
              <w:rPr>
                <w:color w:val="auto"/>
              </w:rPr>
            </w:pPr>
            <w:r>
              <w:rPr>
                <w:rFonts w:hint="eastAsia"/>
                <w:color w:val="auto"/>
              </w:rPr>
              <w:t>识</w:t>
            </w:r>
          </w:p>
        </w:tc>
        <w:tc>
          <w:tcPr>
            <w:tcW w:w="1668" w:type="pct"/>
            <w:tcBorders>
              <w:top w:val="single" w:color="000000" w:sz="4" w:space="0"/>
              <w:left w:val="single" w:color="000000" w:sz="4" w:space="0"/>
              <w:bottom w:val="single" w:color="000000" w:sz="4" w:space="0"/>
              <w:right w:val="single" w:color="000000" w:sz="4" w:space="0"/>
              <w:tl2br w:val="nil"/>
              <w:tr2bl w:val="nil"/>
            </w:tcBorders>
            <w:vAlign w:val="center"/>
          </w:tcPr>
          <w:p w14:paraId="4E748889">
            <w:pPr>
              <w:pStyle w:val="3361"/>
              <w:rPr>
                <w:color w:val="auto"/>
              </w:rPr>
            </w:pPr>
            <w:r>
              <w:rPr>
                <w:rFonts w:hint="eastAsia"/>
                <w:color w:val="auto"/>
              </w:rPr>
              <w:t>中文名：硫酸</w:t>
            </w:r>
          </w:p>
        </w:tc>
        <w:tc>
          <w:tcPr>
            <w:tcW w:w="3092" w:type="pct"/>
            <w:gridSpan w:val="3"/>
            <w:tcBorders>
              <w:top w:val="single" w:color="000000" w:sz="4" w:space="0"/>
              <w:left w:val="single" w:color="000000" w:sz="4" w:space="0"/>
              <w:bottom w:val="single" w:color="000000" w:sz="4" w:space="0"/>
              <w:right w:val="single" w:color="000000" w:sz="4" w:space="0"/>
              <w:tl2br w:val="nil"/>
              <w:tr2bl w:val="nil"/>
            </w:tcBorders>
            <w:vAlign w:val="center"/>
          </w:tcPr>
          <w:p w14:paraId="038434C6">
            <w:pPr>
              <w:pStyle w:val="3361"/>
              <w:rPr>
                <w:color w:val="auto"/>
                <w:lang w:val="en-US"/>
              </w:rPr>
            </w:pPr>
            <w:r>
              <w:rPr>
                <w:rFonts w:hint="eastAsia"/>
                <w:color w:val="auto"/>
              </w:rPr>
              <w:t>英文名</w:t>
            </w:r>
            <w:r>
              <w:rPr>
                <w:rFonts w:hint="eastAsia"/>
                <w:color w:val="auto"/>
                <w:lang w:val="en-US"/>
              </w:rPr>
              <w:t>：sulfuric acid</w:t>
            </w:r>
          </w:p>
        </w:tc>
      </w:tr>
      <w:tr w14:paraId="0EDB5B06">
        <w:tblPrEx>
          <w:tblCellMar>
            <w:top w:w="0" w:type="dxa"/>
            <w:left w:w="108" w:type="dxa"/>
            <w:bottom w:w="0" w:type="dxa"/>
            <w:right w:w="108" w:type="dxa"/>
          </w:tblCellMar>
        </w:tblPrEx>
        <w:trPr>
          <w:trHeight w:val="280" w:hRule="atLeast"/>
        </w:trPr>
        <w:tc>
          <w:tcPr>
            <w:tcW w:w="238" w:type="pct"/>
            <w:vMerge w:val="continue"/>
            <w:tcBorders>
              <w:left w:val="single" w:color="000000" w:sz="4" w:space="0"/>
              <w:right w:val="single" w:color="000000" w:sz="4" w:space="0"/>
              <w:tl2br w:val="nil"/>
              <w:tr2bl w:val="nil"/>
            </w:tcBorders>
            <w:vAlign w:val="center"/>
          </w:tcPr>
          <w:p w14:paraId="74F8AC6F">
            <w:pPr>
              <w:pStyle w:val="3361"/>
              <w:rPr>
                <w:color w:val="auto"/>
                <w:lang w:val="en-US"/>
              </w:rPr>
            </w:pPr>
          </w:p>
        </w:tc>
        <w:tc>
          <w:tcPr>
            <w:tcW w:w="1668" w:type="pct"/>
            <w:tcBorders>
              <w:top w:val="single" w:color="000000" w:sz="4" w:space="0"/>
              <w:left w:val="single" w:color="000000" w:sz="4" w:space="0"/>
              <w:bottom w:val="single" w:color="000000" w:sz="4" w:space="0"/>
              <w:right w:val="single" w:color="000000" w:sz="4" w:space="0"/>
              <w:tl2br w:val="nil"/>
              <w:tr2bl w:val="nil"/>
            </w:tcBorders>
            <w:vAlign w:val="center"/>
          </w:tcPr>
          <w:p w14:paraId="63B0459F">
            <w:pPr>
              <w:pStyle w:val="3361"/>
              <w:rPr>
                <w:color w:val="auto"/>
              </w:rPr>
            </w:pPr>
            <w:r>
              <w:rPr>
                <w:rFonts w:hint="eastAsia"/>
                <w:color w:val="auto"/>
              </w:rPr>
              <w:t>分子式：H</w:t>
            </w:r>
            <w:r>
              <w:rPr>
                <w:rFonts w:hint="eastAsia"/>
                <w:color w:val="auto"/>
                <w:vertAlign w:val="subscript"/>
              </w:rPr>
              <w:t>2</w:t>
            </w:r>
            <w:r>
              <w:rPr>
                <w:rFonts w:hint="eastAsia"/>
                <w:color w:val="auto"/>
              </w:rPr>
              <w:t>SO</w:t>
            </w:r>
            <w:r>
              <w:rPr>
                <w:rFonts w:hint="eastAsia"/>
                <w:color w:val="auto"/>
                <w:vertAlign w:val="subscript"/>
              </w:rPr>
              <w:t>4</w:t>
            </w:r>
          </w:p>
        </w:tc>
        <w:tc>
          <w:tcPr>
            <w:tcW w:w="1620" w:type="pct"/>
            <w:gridSpan w:val="2"/>
            <w:tcBorders>
              <w:top w:val="single" w:color="000000" w:sz="4" w:space="0"/>
              <w:left w:val="single" w:color="000000" w:sz="4" w:space="0"/>
              <w:bottom w:val="single" w:color="000000" w:sz="4" w:space="0"/>
              <w:right w:val="single" w:color="000000" w:sz="4" w:space="0"/>
              <w:tl2br w:val="nil"/>
              <w:tr2bl w:val="nil"/>
            </w:tcBorders>
            <w:vAlign w:val="center"/>
          </w:tcPr>
          <w:p w14:paraId="5D7EA406">
            <w:pPr>
              <w:pStyle w:val="3361"/>
              <w:rPr>
                <w:color w:val="auto"/>
              </w:rPr>
            </w:pPr>
            <w:r>
              <w:rPr>
                <w:rFonts w:hint="eastAsia"/>
                <w:color w:val="auto"/>
              </w:rPr>
              <w:t>分子量：98.08</w:t>
            </w:r>
          </w:p>
        </w:tc>
        <w:tc>
          <w:tcPr>
            <w:tcW w:w="1472" w:type="pct"/>
            <w:tcBorders>
              <w:top w:val="single" w:color="000000" w:sz="4" w:space="0"/>
              <w:left w:val="single" w:color="000000" w:sz="4" w:space="0"/>
              <w:bottom w:val="single" w:color="000000" w:sz="4" w:space="0"/>
              <w:right w:val="single" w:color="000000" w:sz="4" w:space="0"/>
              <w:tl2br w:val="nil"/>
              <w:tr2bl w:val="nil"/>
            </w:tcBorders>
            <w:vAlign w:val="center"/>
          </w:tcPr>
          <w:p w14:paraId="553B3A53">
            <w:pPr>
              <w:pStyle w:val="3361"/>
              <w:rPr>
                <w:color w:val="auto"/>
              </w:rPr>
            </w:pPr>
            <w:r>
              <w:rPr>
                <w:rFonts w:hint="eastAsia"/>
                <w:color w:val="auto"/>
              </w:rPr>
              <w:t>CAS 号：7664－93－9</w:t>
            </w:r>
          </w:p>
        </w:tc>
      </w:tr>
      <w:tr w14:paraId="5FE7FE9B">
        <w:tblPrEx>
          <w:tblCellMar>
            <w:top w:w="0" w:type="dxa"/>
            <w:left w:w="108" w:type="dxa"/>
            <w:bottom w:w="0" w:type="dxa"/>
            <w:right w:w="108" w:type="dxa"/>
          </w:tblCellMar>
        </w:tblPrEx>
        <w:trPr>
          <w:trHeight w:val="280" w:hRule="atLeast"/>
        </w:trPr>
        <w:tc>
          <w:tcPr>
            <w:tcW w:w="238" w:type="pct"/>
            <w:vMerge w:val="continue"/>
            <w:tcBorders>
              <w:left w:val="single" w:color="000000" w:sz="4" w:space="0"/>
              <w:bottom w:val="single" w:color="000000" w:sz="4" w:space="0"/>
              <w:right w:val="single" w:color="000000" w:sz="4" w:space="0"/>
              <w:tl2br w:val="nil"/>
              <w:tr2bl w:val="nil"/>
            </w:tcBorders>
            <w:vAlign w:val="center"/>
          </w:tcPr>
          <w:p w14:paraId="12C21171">
            <w:pPr>
              <w:pStyle w:val="3361"/>
              <w:rPr>
                <w:color w:val="auto"/>
              </w:rPr>
            </w:pPr>
          </w:p>
        </w:tc>
        <w:tc>
          <w:tcPr>
            <w:tcW w:w="4761" w:type="pct"/>
            <w:gridSpan w:val="4"/>
            <w:tcBorders>
              <w:top w:val="single" w:color="000000" w:sz="4" w:space="0"/>
              <w:left w:val="single" w:color="000000" w:sz="4" w:space="0"/>
              <w:bottom w:val="single" w:color="000000" w:sz="4" w:space="0"/>
              <w:right w:val="single" w:color="000000" w:sz="4" w:space="0"/>
              <w:tl2br w:val="nil"/>
              <w:tr2bl w:val="nil"/>
            </w:tcBorders>
            <w:vAlign w:val="center"/>
          </w:tcPr>
          <w:p w14:paraId="75416C4F">
            <w:pPr>
              <w:pStyle w:val="3361"/>
              <w:rPr>
                <w:color w:val="auto"/>
              </w:rPr>
            </w:pPr>
            <w:r>
              <w:rPr>
                <w:rFonts w:hint="eastAsia"/>
                <w:color w:val="auto"/>
              </w:rPr>
              <w:t>危规号：81007</w:t>
            </w:r>
          </w:p>
        </w:tc>
      </w:tr>
      <w:tr w14:paraId="53E84A68">
        <w:tblPrEx>
          <w:tblCellMar>
            <w:top w:w="0" w:type="dxa"/>
            <w:left w:w="108" w:type="dxa"/>
            <w:bottom w:w="0" w:type="dxa"/>
            <w:right w:w="108" w:type="dxa"/>
          </w:tblCellMar>
        </w:tblPrEx>
        <w:trPr>
          <w:trHeight w:val="280" w:hRule="atLeast"/>
        </w:trPr>
        <w:tc>
          <w:tcPr>
            <w:tcW w:w="238" w:type="pct"/>
            <w:vMerge w:val="restart"/>
            <w:tcBorders>
              <w:top w:val="single" w:color="000000" w:sz="4" w:space="0"/>
              <w:left w:val="single" w:color="000000" w:sz="4" w:space="0"/>
              <w:bottom w:val="single" w:color="000000" w:sz="4" w:space="0"/>
              <w:right w:val="single" w:color="000000" w:sz="4" w:space="0"/>
              <w:tl2br w:val="nil"/>
              <w:tr2bl w:val="nil"/>
            </w:tcBorders>
            <w:vAlign w:val="center"/>
          </w:tcPr>
          <w:p w14:paraId="06B1E9D6">
            <w:pPr>
              <w:pStyle w:val="3361"/>
              <w:rPr>
                <w:color w:val="auto"/>
              </w:rPr>
            </w:pPr>
            <w:r>
              <w:rPr>
                <w:rFonts w:hint="eastAsia"/>
                <w:color w:val="auto"/>
              </w:rPr>
              <w:t>理化性质</w:t>
            </w:r>
          </w:p>
        </w:tc>
        <w:tc>
          <w:tcPr>
            <w:tcW w:w="4761" w:type="pct"/>
            <w:gridSpan w:val="4"/>
            <w:tcBorders>
              <w:top w:val="single" w:color="000000" w:sz="4" w:space="0"/>
              <w:left w:val="single" w:color="000000" w:sz="4" w:space="0"/>
              <w:bottom w:val="single" w:color="000000" w:sz="4" w:space="0"/>
              <w:right w:val="single" w:color="000000" w:sz="4" w:space="0"/>
              <w:tl2br w:val="nil"/>
              <w:tr2bl w:val="nil"/>
            </w:tcBorders>
            <w:vAlign w:val="center"/>
          </w:tcPr>
          <w:p w14:paraId="7107778A">
            <w:pPr>
              <w:pStyle w:val="3361"/>
              <w:rPr>
                <w:color w:val="auto"/>
              </w:rPr>
            </w:pPr>
            <w:r>
              <w:rPr>
                <w:rFonts w:hint="eastAsia"/>
                <w:color w:val="auto"/>
              </w:rPr>
              <w:t>性状：纯品为无色透明油状液体，无臭。</w:t>
            </w:r>
          </w:p>
        </w:tc>
      </w:tr>
      <w:tr w14:paraId="1A1F2B69">
        <w:tblPrEx>
          <w:tblCellMar>
            <w:top w:w="0" w:type="dxa"/>
            <w:left w:w="108" w:type="dxa"/>
            <w:bottom w:w="0" w:type="dxa"/>
            <w:right w:w="108" w:type="dxa"/>
          </w:tblCellMar>
        </w:tblPrEx>
        <w:trPr>
          <w:trHeight w:val="280" w:hRule="atLeast"/>
        </w:trPr>
        <w:tc>
          <w:tcPr>
            <w:tcW w:w="238" w:type="pct"/>
            <w:vMerge w:val="continue"/>
            <w:tcBorders>
              <w:top w:val="nil"/>
              <w:left w:val="single" w:color="000000" w:sz="4" w:space="0"/>
              <w:bottom w:val="single" w:color="000000" w:sz="4" w:space="0"/>
              <w:right w:val="single" w:color="000000" w:sz="4" w:space="0"/>
              <w:tl2br w:val="nil"/>
              <w:tr2bl w:val="nil"/>
            </w:tcBorders>
            <w:vAlign w:val="center"/>
          </w:tcPr>
          <w:p w14:paraId="273189EB">
            <w:pPr>
              <w:pStyle w:val="3361"/>
              <w:rPr>
                <w:color w:val="auto"/>
              </w:rPr>
            </w:pPr>
          </w:p>
        </w:tc>
        <w:tc>
          <w:tcPr>
            <w:tcW w:w="4761" w:type="pct"/>
            <w:gridSpan w:val="4"/>
            <w:tcBorders>
              <w:top w:val="single" w:color="000000" w:sz="4" w:space="0"/>
              <w:left w:val="single" w:color="000000" w:sz="4" w:space="0"/>
              <w:bottom w:val="single" w:color="000000" w:sz="4" w:space="0"/>
              <w:right w:val="single" w:color="000000" w:sz="4" w:space="0"/>
              <w:tl2br w:val="nil"/>
              <w:tr2bl w:val="nil"/>
            </w:tcBorders>
            <w:vAlign w:val="center"/>
          </w:tcPr>
          <w:p w14:paraId="0368E714">
            <w:pPr>
              <w:pStyle w:val="3361"/>
              <w:rPr>
                <w:color w:val="auto"/>
              </w:rPr>
            </w:pPr>
            <w:r>
              <w:rPr>
                <w:rFonts w:hint="eastAsia"/>
                <w:color w:val="auto"/>
              </w:rPr>
              <w:t>溶解性：与水混溶。</w:t>
            </w:r>
          </w:p>
        </w:tc>
      </w:tr>
      <w:tr w14:paraId="24B42644">
        <w:tblPrEx>
          <w:tblCellMar>
            <w:top w:w="0" w:type="dxa"/>
            <w:left w:w="108" w:type="dxa"/>
            <w:bottom w:w="0" w:type="dxa"/>
            <w:right w:w="108" w:type="dxa"/>
          </w:tblCellMar>
        </w:tblPrEx>
        <w:trPr>
          <w:trHeight w:val="280" w:hRule="atLeast"/>
        </w:trPr>
        <w:tc>
          <w:tcPr>
            <w:tcW w:w="238" w:type="pct"/>
            <w:vMerge w:val="continue"/>
            <w:tcBorders>
              <w:top w:val="nil"/>
              <w:left w:val="single" w:color="000000" w:sz="4" w:space="0"/>
              <w:bottom w:val="single" w:color="000000" w:sz="4" w:space="0"/>
              <w:right w:val="single" w:color="000000" w:sz="4" w:space="0"/>
              <w:tl2br w:val="nil"/>
              <w:tr2bl w:val="nil"/>
            </w:tcBorders>
            <w:vAlign w:val="center"/>
          </w:tcPr>
          <w:p w14:paraId="727F0183">
            <w:pPr>
              <w:pStyle w:val="3361"/>
              <w:rPr>
                <w:color w:val="auto"/>
              </w:rPr>
            </w:pPr>
          </w:p>
        </w:tc>
        <w:tc>
          <w:tcPr>
            <w:tcW w:w="1668" w:type="pct"/>
            <w:tcBorders>
              <w:top w:val="single" w:color="000000" w:sz="4" w:space="0"/>
              <w:left w:val="single" w:color="000000" w:sz="4" w:space="0"/>
              <w:bottom w:val="single" w:color="000000" w:sz="4" w:space="0"/>
              <w:right w:val="single" w:color="000000" w:sz="4" w:space="0"/>
              <w:tl2br w:val="nil"/>
              <w:tr2bl w:val="nil"/>
            </w:tcBorders>
            <w:vAlign w:val="center"/>
          </w:tcPr>
          <w:p w14:paraId="4F171935">
            <w:pPr>
              <w:pStyle w:val="3361"/>
              <w:rPr>
                <w:color w:val="auto"/>
              </w:rPr>
            </w:pPr>
            <w:r>
              <w:rPr>
                <w:rFonts w:hint="eastAsia"/>
                <w:color w:val="auto"/>
              </w:rPr>
              <w:t>熔点（℃）：10.5</w:t>
            </w:r>
          </w:p>
        </w:tc>
        <w:tc>
          <w:tcPr>
            <w:tcW w:w="1142" w:type="pct"/>
            <w:tcBorders>
              <w:top w:val="single" w:color="000000" w:sz="4" w:space="0"/>
              <w:left w:val="single" w:color="000000" w:sz="4" w:space="0"/>
              <w:bottom w:val="single" w:color="000000" w:sz="4" w:space="0"/>
              <w:right w:val="single" w:color="000000" w:sz="4" w:space="0"/>
              <w:tl2br w:val="nil"/>
              <w:tr2bl w:val="nil"/>
            </w:tcBorders>
            <w:vAlign w:val="center"/>
          </w:tcPr>
          <w:p w14:paraId="55D6E2C3">
            <w:pPr>
              <w:pStyle w:val="3361"/>
              <w:rPr>
                <w:color w:val="auto"/>
              </w:rPr>
            </w:pPr>
            <w:r>
              <w:rPr>
                <w:rFonts w:hint="eastAsia"/>
                <w:color w:val="auto"/>
              </w:rPr>
              <w:t>沸点（℃）：330.0</w:t>
            </w:r>
          </w:p>
        </w:tc>
        <w:tc>
          <w:tcPr>
            <w:tcW w:w="1950" w:type="pct"/>
            <w:gridSpan w:val="2"/>
            <w:tcBorders>
              <w:top w:val="single" w:color="000000" w:sz="4" w:space="0"/>
              <w:left w:val="single" w:color="000000" w:sz="4" w:space="0"/>
              <w:bottom w:val="single" w:color="000000" w:sz="4" w:space="0"/>
              <w:right w:val="single" w:color="000000" w:sz="4" w:space="0"/>
              <w:tl2br w:val="nil"/>
              <w:tr2bl w:val="nil"/>
            </w:tcBorders>
            <w:vAlign w:val="center"/>
          </w:tcPr>
          <w:p w14:paraId="248FDDF9">
            <w:pPr>
              <w:pStyle w:val="3361"/>
              <w:rPr>
                <w:color w:val="auto"/>
              </w:rPr>
            </w:pPr>
            <w:r>
              <w:rPr>
                <w:rFonts w:hint="eastAsia"/>
                <w:color w:val="auto"/>
              </w:rPr>
              <w:t>相对密度（水＝1）：1.83</w:t>
            </w:r>
          </w:p>
        </w:tc>
      </w:tr>
      <w:tr w14:paraId="67E67608">
        <w:tblPrEx>
          <w:tblCellMar>
            <w:top w:w="0" w:type="dxa"/>
            <w:left w:w="108" w:type="dxa"/>
            <w:bottom w:w="0" w:type="dxa"/>
            <w:right w:w="108" w:type="dxa"/>
          </w:tblCellMar>
        </w:tblPrEx>
        <w:trPr>
          <w:trHeight w:val="280" w:hRule="atLeast"/>
        </w:trPr>
        <w:tc>
          <w:tcPr>
            <w:tcW w:w="238" w:type="pct"/>
            <w:vMerge w:val="continue"/>
            <w:tcBorders>
              <w:top w:val="nil"/>
              <w:left w:val="single" w:color="000000" w:sz="4" w:space="0"/>
              <w:bottom w:val="single" w:color="000000" w:sz="4" w:space="0"/>
              <w:right w:val="single" w:color="000000" w:sz="4" w:space="0"/>
              <w:tl2br w:val="nil"/>
              <w:tr2bl w:val="nil"/>
            </w:tcBorders>
            <w:vAlign w:val="center"/>
          </w:tcPr>
          <w:p w14:paraId="611EFB86">
            <w:pPr>
              <w:pStyle w:val="3361"/>
              <w:rPr>
                <w:color w:val="auto"/>
              </w:rPr>
            </w:pPr>
          </w:p>
        </w:tc>
        <w:tc>
          <w:tcPr>
            <w:tcW w:w="1668" w:type="pct"/>
            <w:tcBorders>
              <w:top w:val="single" w:color="000000" w:sz="4" w:space="0"/>
              <w:left w:val="single" w:color="000000" w:sz="4" w:space="0"/>
              <w:bottom w:val="single" w:color="000000" w:sz="4" w:space="0"/>
              <w:right w:val="single" w:color="000000" w:sz="4" w:space="0"/>
              <w:tl2br w:val="nil"/>
              <w:tr2bl w:val="nil"/>
            </w:tcBorders>
            <w:vAlign w:val="center"/>
          </w:tcPr>
          <w:p w14:paraId="3B4EC9A4">
            <w:pPr>
              <w:pStyle w:val="3361"/>
              <w:rPr>
                <w:color w:val="auto"/>
              </w:rPr>
            </w:pPr>
            <w:r>
              <w:rPr>
                <w:rFonts w:hint="eastAsia"/>
                <w:color w:val="auto"/>
              </w:rPr>
              <w:t>临界温度（℃）：/</w:t>
            </w:r>
          </w:p>
        </w:tc>
        <w:tc>
          <w:tcPr>
            <w:tcW w:w="1142" w:type="pct"/>
            <w:tcBorders>
              <w:top w:val="single" w:color="000000" w:sz="4" w:space="0"/>
              <w:left w:val="single" w:color="000000" w:sz="4" w:space="0"/>
              <w:bottom w:val="single" w:color="000000" w:sz="4" w:space="0"/>
              <w:right w:val="single" w:color="000000" w:sz="4" w:space="0"/>
              <w:tl2br w:val="nil"/>
              <w:tr2bl w:val="nil"/>
            </w:tcBorders>
            <w:vAlign w:val="center"/>
          </w:tcPr>
          <w:p w14:paraId="14E1B9A6">
            <w:pPr>
              <w:pStyle w:val="3361"/>
              <w:rPr>
                <w:color w:val="auto"/>
              </w:rPr>
            </w:pPr>
            <w:r>
              <w:rPr>
                <w:rFonts w:hint="eastAsia"/>
                <w:color w:val="auto"/>
              </w:rPr>
              <w:t>临界压力（MPa）：/</w:t>
            </w:r>
          </w:p>
        </w:tc>
        <w:tc>
          <w:tcPr>
            <w:tcW w:w="1950" w:type="pct"/>
            <w:gridSpan w:val="2"/>
            <w:tcBorders>
              <w:top w:val="single" w:color="000000" w:sz="4" w:space="0"/>
              <w:left w:val="single" w:color="000000" w:sz="4" w:space="0"/>
              <w:bottom w:val="single" w:color="000000" w:sz="4" w:space="0"/>
              <w:right w:val="single" w:color="000000" w:sz="4" w:space="0"/>
              <w:tl2br w:val="nil"/>
              <w:tr2bl w:val="nil"/>
            </w:tcBorders>
            <w:vAlign w:val="center"/>
          </w:tcPr>
          <w:p w14:paraId="5A1ACF71">
            <w:pPr>
              <w:pStyle w:val="3361"/>
              <w:rPr>
                <w:color w:val="auto"/>
              </w:rPr>
            </w:pPr>
            <w:r>
              <w:rPr>
                <w:rFonts w:hint="eastAsia"/>
                <w:color w:val="auto"/>
              </w:rPr>
              <w:t>相对密度（空气＝1）：3.4</w:t>
            </w:r>
          </w:p>
        </w:tc>
      </w:tr>
      <w:tr w14:paraId="2AD28C4A">
        <w:tblPrEx>
          <w:tblCellMar>
            <w:top w:w="0" w:type="dxa"/>
            <w:left w:w="108" w:type="dxa"/>
            <w:bottom w:w="0" w:type="dxa"/>
            <w:right w:w="108" w:type="dxa"/>
          </w:tblCellMar>
        </w:tblPrEx>
        <w:trPr>
          <w:trHeight w:val="280" w:hRule="atLeast"/>
        </w:trPr>
        <w:tc>
          <w:tcPr>
            <w:tcW w:w="238" w:type="pct"/>
            <w:vMerge w:val="continue"/>
            <w:tcBorders>
              <w:top w:val="nil"/>
              <w:left w:val="single" w:color="000000" w:sz="4" w:space="0"/>
              <w:bottom w:val="single" w:color="000000" w:sz="4" w:space="0"/>
              <w:right w:val="single" w:color="000000" w:sz="4" w:space="0"/>
              <w:tl2br w:val="nil"/>
              <w:tr2bl w:val="nil"/>
            </w:tcBorders>
            <w:vAlign w:val="center"/>
          </w:tcPr>
          <w:p w14:paraId="7747BF43">
            <w:pPr>
              <w:pStyle w:val="3361"/>
              <w:rPr>
                <w:color w:val="auto"/>
              </w:rPr>
            </w:pPr>
          </w:p>
        </w:tc>
        <w:tc>
          <w:tcPr>
            <w:tcW w:w="1668" w:type="pct"/>
            <w:tcBorders>
              <w:top w:val="single" w:color="000000" w:sz="4" w:space="0"/>
              <w:left w:val="single" w:color="000000" w:sz="4" w:space="0"/>
              <w:bottom w:val="single" w:color="000000" w:sz="4" w:space="0"/>
              <w:right w:val="single" w:color="000000" w:sz="4" w:space="0"/>
              <w:tl2br w:val="nil"/>
              <w:tr2bl w:val="nil"/>
            </w:tcBorders>
            <w:vAlign w:val="center"/>
          </w:tcPr>
          <w:p w14:paraId="494539BE">
            <w:pPr>
              <w:pStyle w:val="3361"/>
              <w:rPr>
                <w:color w:val="auto"/>
              </w:rPr>
            </w:pPr>
            <w:r>
              <w:rPr>
                <w:rFonts w:hint="eastAsia"/>
                <w:color w:val="auto"/>
              </w:rPr>
              <w:t>燃烧热（KJ/mol）：无意义</w:t>
            </w:r>
          </w:p>
        </w:tc>
        <w:tc>
          <w:tcPr>
            <w:tcW w:w="1142" w:type="pct"/>
            <w:tcBorders>
              <w:top w:val="single" w:color="000000" w:sz="4" w:space="0"/>
              <w:left w:val="single" w:color="000000" w:sz="4" w:space="0"/>
              <w:bottom w:val="single" w:color="000000" w:sz="4" w:space="0"/>
              <w:right w:val="single" w:color="000000" w:sz="4" w:space="0"/>
              <w:tl2br w:val="nil"/>
              <w:tr2bl w:val="nil"/>
            </w:tcBorders>
            <w:vAlign w:val="center"/>
          </w:tcPr>
          <w:p w14:paraId="722B8F0E">
            <w:pPr>
              <w:pStyle w:val="3361"/>
              <w:rPr>
                <w:color w:val="auto"/>
              </w:rPr>
            </w:pPr>
            <w:r>
              <w:rPr>
                <w:rFonts w:hint="eastAsia"/>
                <w:color w:val="auto"/>
              </w:rPr>
              <w:t>最小点火能（mJ）：/</w:t>
            </w:r>
          </w:p>
        </w:tc>
        <w:tc>
          <w:tcPr>
            <w:tcW w:w="1950" w:type="pct"/>
            <w:gridSpan w:val="2"/>
            <w:tcBorders>
              <w:top w:val="single" w:color="000000" w:sz="4" w:space="0"/>
              <w:left w:val="single" w:color="000000" w:sz="4" w:space="0"/>
              <w:bottom w:val="single" w:color="000000" w:sz="4" w:space="0"/>
              <w:right w:val="single" w:color="000000" w:sz="4" w:space="0"/>
              <w:tl2br w:val="nil"/>
              <w:tr2bl w:val="nil"/>
            </w:tcBorders>
            <w:vAlign w:val="center"/>
          </w:tcPr>
          <w:p w14:paraId="20ECA676">
            <w:pPr>
              <w:pStyle w:val="3361"/>
              <w:rPr>
                <w:color w:val="auto"/>
              </w:rPr>
            </w:pPr>
            <w:r>
              <w:rPr>
                <w:rFonts w:hint="eastAsia"/>
                <w:color w:val="auto"/>
              </w:rPr>
              <w:t>饱和蒸汽压（KPa）：0.13（145.8℃）</w:t>
            </w:r>
          </w:p>
        </w:tc>
      </w:tr>
      <w:tr w14:paraId="1178F0ED">
        <w:tblPrEx>
          <w:tblCellMar>
            <w:top w:w="0" w:type="dxa"/>
            <w:left w:w="108" w:type="dxa"/>
            <w:bottom w:w="0" w:type="dxa"/>
            <w:right w:w="108" w:type="dxa"/>
          </w:tblCellMar>
        </w:tblPrEx>
        <w:trPr>
          <w:trHeight w:val="285" w:hRule="atLeast"/>
        </w:trPr>
        <w:tc>
          <w:tcPr>
            <w:tcW w:w="238" w:type="pct"/>
            <w:vMerge w:val="restart"/>
            <w:tcBorders>
              <w:top w:val="single" w:color="000000" w:sz="4" w:space="0"/>
              <w:left w:val="single" w:color="000000" w:sz="4" w:space="0"/>
              <w:bottom w:val="single" w:color="000000" w:sz="4" w:space="0"/>
              <w:right w:val="single" w:color="000000" w:sz="4" w:space="0"/>
              <w:tl2br w:val="nil"/>
              <w:tr2bl w:val="nil"/>
            </w:tcBorders>
            <w:vAlign w:val="center"/>
          </w:tcPr>
          <w:p w14:paraId="2AA03EFB">
            <w:pPr>
              <w:pStyle w:val="3361"/>
              <w:rPr>
                <w:color w:val="auto"/>
              </w:rPr>
            </w:pPr>
            <w:r>
              <w:rPr>
                <w:rFonts w:hint="eastAsia"/>
                <w:color w:val="auto"/>
              </w:rPr>
              <w:t>燃烧爆炸危险性</w:t>
            </w:r>
          </w:p>
        </w:tc>
        <w:tc>
          <w:tcPr>
            <w:tcW w:w="1668" w:type="pct"/>
            <w:tcBorders>
              <w:top w:val="single" w:color="000000" w:sz="4" w:space="0"/>
              <w:left w:val="single" w:color="000000" w:sz="4" w:space="0"/>
              <w:bottom w:val="single" w:color="000000" w:sz="4" w:space="0"/>
              <w:right w:val="single" w:color="000000" w:sz="4" w:space="0"/>
              <w:tl2br w:val="nil"/>
              <w:tr2bl w:val="nil"/>
            </w:tcBorders>
            <w:vAlign w:val="center"/>
          </w:tcPr>
          <w:p w14:paraId="7B116F45">
            <w:pPr>
              <w:pStyle w:val="3361"/>
              <w:rPr>
                <w:color w:val="auto"/>
              </w:rPr>
            </w:pPr>
            <w:r>
              <w:rPr>
                <w:rFonts w:hint="eastAsia"/>
                <w:color w:val="auto"/>
              </w:rPr>
              <w:t>燃烧性：不燃</w:t>
            </w:r>
          </w:p>
        </w:tc>
        <w:tc>
          <w:tcPr>
            <w:tcW w:w="3092" w:type="pct"/>
            <w:gridSpan w:val="3"/>
            <w:tcBorders>
              <w:top w:val="single" w:color="000000" w:sz="4" w:space="0"/>
              <w:left w:val="single" w:color="000000" w:sz="4" w:space="0"/>
              <w:bottom w:val="single" w:color="000000" w:sz="4" w:space="0"/>
              <w:right w:val="single" w:color="000000" w:sz="4" w:space="0"/>
              <w:tl2br w:val="nil"/>
              <w:tr2bl w:val="nil"/>
            </w:tcBorders>
            <w:vAlign w:val="center"/>
          </w:tcPr>
          <w:p w14:paraId="7E170A9E">
            <w:pPr>
              <w:pStyle w:val="3361"/>
              <w:rPr>
                <w:color w:val="auto"/>
              </w:rPr>
            </w:pPr>
            <w:r>
              <w:rPr>
                <w:rFonts w:hint="eastAsia"/>
                <w:color w:val="auto"/>
              </w:rPr>
              <w:t>燃烧分解产物：氧化硫。</w:t>
            </w:r>
          </w:p>
        </w:tc>
      </w:tr>
      <w:tr w14:paraId="4C1958B0">
        <w:tblPrEx>
          <w:tblCellMar>
            <w:top w:w="0" w:type="dxa"/>
            <w:left w:w="108" w:type="dxa"/>
            <w:bottom w:w="0" w:type="dxa"/>
            <w:right w:w="108" w:type="dxa"/>
          </w:tblCellMar>
        </w:tblPrEx>
        <w:trPr>
          <w:trHeight w:val="280" w:hRule="atLeast"/>
        </w:trPr>
        <w:tc>
          <w:tcPr>
            <w:tcW w:w="238" w:type="pct"/>
            <w:vMerge w:val="continue"/>
            <w:tcBorders>
              <w:top w:val="nil"/>
              <w:left w:val="single" w:color="000000" w:sz="4" w:space="0"/>
              <w:bottom w:val="single" w:color="000000" w:sz="4" w:space="0"/>
              <w:right w:val="single" w:color="000000" w:sz="4" w:space="0"/>
              <w:tl2br w:val="nil"/>
              <w:tr2bl w:val="nil"/>
            </w:tcBorders>
            <w:vAlign w:val="center"/>
          </w:tcPr>
          <w:p w14:paraId="05EF54E3">
            <w:pPr>
              <w:pStyle w:val="3361"/>
              <w:rPr>
                <w:color w:val="auto"/>
              </w:rPr>
            </w:pPr>
          </w:p>
        </w:tc>
        <w:tc>
          <w:tcPr>
            <w:tcW w:w="1668" w:type="pct"/>
            <w:tcBorders>
              <w:top w:val="single" w:color="000000" w:sz="4" w:space="0"/>
              <w:left w:val="single" w:color="000000" w:sz="4" w:space="0"/>
              <w:bottom w:val="single" w:color="000000" w:sz="4" w:space="0"/>
              <w:right w:val="single" w:color="000000" w:sz="4" w:space="0"/>
              <w:tl2br w:val="nil"/>
              <w:tr2bl w:val="nil"/>
            </w:tcBorders>
            <w:vAlign w:val="center"/>
          </w:tcPr>
          <w:p w14:paraId="01F33519">
            <w:pPr>
              <w:pStyle w:val="3361"/>
              <w:rPr>
                <w:color w:val="auto"/>
              </w:rPr>
            </w:pPr>
            <w:r>
              <w:rPr>
                <w:rFonts w:hint="eastAsia"/>
                <w:color w:val="auto"/>
              </w:rPr>
              <w:t>闪点（℃）：无意义</w:t>
            </w:r>
          </w:p>
        </w:tc>
        <w:tc>
          <w:tcPr>
            <w:tcW w:w="3092" w:type="pct"/>
            <w:gridSpan w:val="3"/>
            <w:tcBorders>
              <w:top w:val="single" w:color="000000" w:sz="4" w:space="0"/>
              <w:left w:val="single" w:color="000000" w:sz="4" w:space="0"/>
              <w:bottom w:val="single" w:color="000000" w:sz="4" w:space="0"/>
              <w:right w:val="single" w:color="000000" w:sz="4" w:space="0"/>
              <w:tl2br w:val="nil"/>
              <w:tr2bl w:val="nil"/>
            </w:tcBorders>
            <w:vAlign w:val="center"/>
          </w:tcPr>
          <w:p w14:paraId="6E6AEF8B">
            <w:pPr>
              <w:pStyle w:val="3361"/>
              <w:rPr>
                <w:color w:val="auto"/>
              </w:rPr>
            </w:pPr>
            <w:r>
              <w:rPr>
                <w:rFonts w:hint="eastAsia"/>
                <w:color w:val="auto"/>
              </w:rPr>
              <w:t>聚合危害：不聚合</w:t>
            </w:r>
          </w:p>
        </w:tc>
      </w:tr>
      <w:tr w14:paraId="3CDB384F">
        <w:tblPrEx>
          <w:tblCellMar>
            <w:top w:w="0" w:type="dxa"/>
            <w:left w:w="108" w:type="dxa"/>
            <w:bottom w:w="0" w:type="dxa"/>
            <w:right w:w="108" w:type="dxa"/>
          </w:tblCellMar>
        </w:tblPrEx>
        <w:trPr>
          <w:trHeight w:val="280" w:hRule="atLeast"/>
        </w:trPr>
        <w:tc>
          <w:tcPr>
            <w:tcW w:w="238" w:type="pct"/>
            <w:vMerge w:val="continue"/>
            <w:tcBorders>
              <w:top w:val="nil"/>
              <w:left w:val="single" w:color="000000" w:sz="4" w:space="0"/>
              <w:bottom w:val="single" w:color="000000" w:sz="4" w:space="0"/>
              <w:right w:val="single" w:color="000000" w:sz="4" w:space="0"/>
              <w:tl2br w:val="nil"/>
              <w:tr2bl w:val="nil"/>
            </w:tcBorders>
            <w:vAlign w:val="center"/>
          </w:tcPr>
          <w:p w14:paraId="3483BD15">
            <w:pPr>
              <w:pStyle w:val="3361"/>
              <w:rPr>
                <w:color w:val="auto"/>
              </w:rPr>
            </w:pPr>
          </w:p>
        </w:tc>
        <w:tc>
          <w:tcPr>
            <w:tcW w:w="1668" w:type="pct"/>
            <w:tcBorders>
              <w:top w:val="single" w:color="000000" w:sz="4" w:space="0"/>
              <w:left w:val="single" w:color="000000" w:sz="4" w:space="0"/>
              <w:bottom w:val="single" w:color="000000" w:sz="4" w:space="0"/>
              <w:right w:val="single" w:color="000000" w:sz="4" w:space="0"/>
              <w:tl2br w:val="nil"/>
              <w:tr2bl w:val="nil"/>
            </w:tcBorders>
            <w:vAlign w:val="center"/>
          </w:tcPr>
          <w:p w14:paraId="7FCA3476">
            <w:pPr>
              <w:pStyle w:val="3361"/>
              <w:rPr>
                <w:color w:val="auto"/>
              </w:rPr>
            </w:pPr>
            <w:r>
              <w:rPr>
                <w:rFonts w:hint="eastAsia"/>
                <w:color w:val="auto"/>
              </w:rPr>
              <w:t>爆炸下限（％）：无意义</w:t>
            </w:r>
          </w:p>
        </w:tc>
        <w:tc>
          <w:tcPr>
            <w:tcW w:w="3092" w:type="pct"/>
            <w:gridSpan w:val="3"/>
            <w:tcBorders>
              <w:top w:val="single" w:color="000000" w:sz="4" w:space="0"/>
              <w:left w:val="single" w:color="000000" w:sz="4" w:space="0"/>
              <w:bottom w:val="single" w:color="000000" w:sz="4" w:space="0"/>
              <w:right w:val="single" w:color="000000" w:sz="4" w:space="0"/>
              <w:tl2br w:val="nil"/>
              <w:tr2bl w:val="nil"/>
            </w:tcBorders>
            <w:vAlign w:val="center"/>
          </w:tcPr>
          <w:p w14:paraId="54027BA9">
            <w:pPr>
              <w:pStyle w:val="3361"/>
              <w:rPr>
                <w:color w:val="auto"/>
              </w:rPr>
            </w:pPr>
            <w:r>
              <w:rPr>
                <w:rFonts w:hint="eastAsia"/>
                <w:color w:val="auto"/>
              </w:rPr>
              <w:t>稳定性：稳定</w:t>
            </w:r>
          </w:p>
        </w:tc>
      </w:tr>
      <w:tr w14:paraId="3C85F367">
        <w:tblPrEx>
          <w:tblCellMar>
            <w:top w:w="0" w:type="dxa"/>
            <w:left w:w="108" w:type="dxa"/>
            <w:bottom w:w="0" w:type="dxa"/>
            <w:right w:w="108" w:type="dxa"/>
          </w:tblCellMar>
        </w:tblPrEx>
        <w:trPr>
          <w:trHeight w:val="280" w:hRule="atLeast"/>
        </w:trPr>
        <w:tc>
          <w:tcPr>
            <w:tcW w:w="238" w:type="pct"/>
            <w:vMerge w:val="continue"/>
            <w:tcBorders>
              <w:top w:val="nil"/>
              <w:left w:val="single" w:color="000000" w:sz="4" w:space="0"/>
              <w:bottom w:val="single" w:color="000000" w:sz="4" w:space="0"/>
              <w:right w:val="single" w:color="000000" w:sz="4" w:space="0"/>
              <w:tl2br w:val="nil"/>
              <w:tr2bl w:val="nil"/>
            </w:tcBorders>
            <w:vAlign w:val="center"/>
          </w:tcPr>
          <w:p w14:paraId="02A65C22">
            <w:pPr>
              <w:pStyle w:val="3361"/>
              <w:rPr>
                <w:color w:val="auto"/>
              </w:rPr>
            </w:pPr>
          </w:p>
        </w:tc>
        <w:tc>
          <w:tcPr>
            <w:tcW w:w="1668" w:type="pct"/>
            <w:tcBorders>
              <w:top w:val="single" w:color="000000" w:sz="4" w:space="0"/>
              <w:left w:val="single" w:color="000000" w:sz="4" w:space="0"/>
              <w:bottom w:val="single" w:color="000000" w:sz="4" w:space="0"/>
              <w:right w:val="single" w:color="000000" w:sz="4" w:space="0"/>
              <w:tl2br w:val="nil"/>
              <w:tr2bl w:val="nil"/>
            </w:tcBorders>
            <w:vAlign w:val="center"/>
          </w:tcPr>
          <w:p w14:paraId="18FE93EF">
            <w:pPr>
              <w:pStyle w:val="3361"/>
              <w:rPr>
                <w:color w:val="auto"/>
              </w:rPr>
            </w:pPr>
            <w:r>
              <w:rPr>
                <w:rFonts w:hint="eastAsia"/>
                <w:color w:val="auto"/>
              </w:rPr>
              <w:t>爆炸上限（％）：无意义</w:t>
            </w:r>
          </w:p>
        </w:tc>
        <w:tc>
          <w:tcPr>
            <w:tcW w:w="3092" w:type="pct"/>
            <w:gridSpan w:val="3"/>
            <w:tcBorders>
              <w:top w:val="single" w:color="000000" w:sz="4" w:space="0"/>
              <w:left w:val="single" w:color="000000" w:sz="4" w:space="0"/>
              <w:bottom w:val="single" w:color="000000" w:sz="4" w:space="0"/>
              <w:right w:val="single" w:color="000000" w:sz="4" w:space="0"/>
              <w:tl2br w:val="nil"/>
              <w:tr2bl w:val="nil"/>
            </w:tcBorders>
            <w:vAlign w:val="center"/>
          </w:tcPr>
          <w:p w14:paraId="4FABC1CF">
            <w:pPr>
              <w:pStyle w:val="3361"/>
              <w:rPr>
                <w:color w:val="auto"/>
              </w:rPr>
            </w:pPr>
            <w:r>
              <w:rPr>
                <w:rFonts w:hint="eastAsia"/>
                <w:color w:val="auto"/>
              </w:rPr>
              <w:t>最大爆炸压力（MPa）：无意义</w:t>
            </w:r>
          </w:p>
        </w:tc>
      </w:tr>
      <w:tr w14:paraId="79616165">
        <w:tblPrEx>
          <w:tblCellMar>
            <w:top w:w="0" w:type="dxa"/>
            <w:left w:w="108" w:type="dxa"/>
            <w:bottom w:w="0" w:type="dxa"/>
            <w:right w:w="108" w:type="dxa"/>
          </w:tblCellMar>
        </w:tblPrEx>
        <w:trPr>
          <w:trHeight w:val="280" w:hRule="atLeast"/>
        </w:trPr>
        <w:tc>
          <w:tcPr>
            <w:tcW w:w="238" w:type="pct"/>
            <w:vMerge w:val="continue"/>
            <w:tcBorders>
              <w:top w:val="nil"/>
              <w:left w:val="single" w:color="000000" w:sz="4" w:space="0"/>
              <w:bottom w:val="single" w:color="000000" w:sz="4" w:space="0"/>
              <w:right w:val="single" w:color="000000" w:sz="4" w:space="0"/>
              <w:tl2br w:val="nil"/>
              <w:tr2bl w:val="nil"/>
            </w:tcBorders>
            <w:vAlign w:val="center"/>
          </w:tcPr>
          <w:p w14:paraId="28F567D2">
            <w:pPr>
              <w:pStyle w:val="3361"/>
              <w:rPr>
                <w:color w:val="auto"/>
              </w:rPr>
            </w:pPr>
          </w:p>
        </w:tc>
        <w:tc>
          <w:tcPr>
            <w:tcW w:w="1668" w:type="pct"/>
            <w:tcBorders>
              <w:top w:val="single" w:color="000000" w:sz="4" w:space="0"/>
              <w:left w:val="single" w:color="000000" w:sz="4" w:space="0"/>
              <w:bottom w:val="single" w:color="000000" w:sz="4" w:space="0"/>
              <w:right w:val="single" w:color="000000" w:sz="4" w:space="0"/>
              <w:tl2br w:val="nil"/>
              <w:tr2bl w:val="nil"/>
            </w:tcBorders>
            <w:vAlign w:val="center"/>
          </w:tcPr>
          <w:p w14:paraId="5020286B">
            <w:pPr>
              <w:pStyle w:val="3361"/>
              <w:rPr>
                <w:color w:val="auto"/>
              </w:rPr>
            </w:pPr>
            <w:r>
              <w:rPr>
                <w:rFonts w:hint="eastAsia"/>
                <w:color w:val="auto"/>
              </w:rPr>
              <w:t>引燃温度（℃）：无意义</w:t>
            </w:r>
          </w:p>
        </w:tc>
        <w:tc>
          <w:tcPr>
            <w:tcW w:w="3092" w:type="pct"/>
            <w:gridSpan w:val="3"/>
            <w:tcBorders>
              <w:top w:val="single" w:color="000000" w:sz="4" w:space="0"/>
              <w:left w:val="single" w:color="000000" w:sz="4" w:space="0"/>
              <w:bottom w:val="single" w:color="000000" w:sz="4" w:space="0"/>
              <w:right w:val="single" w:color="000000" w:sz="4" w:space="0"/>
              <w:tl2br w:val="nil"/>
              <w:tr2bl w:val="nil"/>
            </w:tcBorders>
            <w:vAlign w:val="center"/>
          </w:tcPr>
          <w:p w14:paraId="5CA66EA5">
            <w:pPr>
              <w:pStyle w:val="3361"/>
              <w:rPr>
                <w:color w:val="auto"/>
              </w:rPr>
            </w:pPr>
            <w:r>
              <w:rPr>
                <w:rFonts w:hint="eastAsia"/>
                <w:color w:val="auto"/>
              </w:rPr>
              <w:t>禁忌物：碱类、碱金属、水、强还原剂、易燃或可燃物。</w:t>
            </w:r>
          </w:p>
        </w:tc>
      </w:tr>
      <w:tr w14:paraId="4C746493">
        <w:tblPrEx>
          <w:tblCellMar>
            <w:top w:w="0" w:type="dxa"/>
            <w:left w:w="108" w:type="dxa"/>
            <w:bottom w:w="0" w:type="dxa"/>
            <w:right w:w="108" w:type="dxa"/>
          </w:tblCellMar>
        </w:tblPrEx>
        <w:trPr>
          <w:trHeight w:val="780" w:hRule="atLeast"/>
        </w:trPr>
        <w:tc>
          <w:tcPr>
            <w:tcW w:w="238" w:type="pct"/>
            <w:vMerge w:val="continue"/>
            <w:tcBorders>
              <w:top w:val="nil"/>
              <w:left w:val="single" w:color="000000" w:sz="4" w:space="0"/>
              <w:bottom w:val="single" w:color="000000" w:sz="4" w:space="0"/>
              <w:right w:val="single" w:color="000000" w:sz="4" w:space="0"/>
              <w:tl2br w:val="nil"/>
              <w:tr2bl w:val="nil"/>
            </w:tcBorders>
            <w:vAlign w:val="center"/>
          </w:tcPr>
          <w:p w14:paraId="7C066972">
            <w:pPr>
              <w:pStyle w:val="3361"/>
              <w:rPr>
                <w:color w:val="auto"/>
              </w:rPr>
            </w:pPr>
          </w:p>
        </w:tc>
        <w:tc>
          <w:tcPr>
            <w:tcW w:w="4761" w:type="pct"/>
            <w:gridSpan w:val="4"/>
            <w:tcBorders>
              <w:top w:val="single" w:color="000000" w:sz="4" w:space="0"/>
              <w:left w:val="single" w:color="000000" w:sz="4" w:space="0"/>
              <w:bottom w:val="single" w:color="000000" w:sz="4" w:space="0"/>
              <w:right w:val="single" w:color="000000" w:sz="4" w:space="0"/>
              <w:tl2br w:val="nil"/>
              <w:tr2bl w:val="nil"/>
            </w:tcBorders>
            <w:vAlign w:val="center"/>
          </w:tcPr>
          <w:p w14:paraId="0F5DBCEB">
            <w:pPr>
              <w:pStyle w:val="3361"/>
              <w:rPr>
                <w:color w:val="auto"/>
              </w:rPr>
            </w:pPr>
            <w:r>
              <w:rPr>
                <w:rFonts w:hint="eastAsia"/>
                <w:color w:val="auto"/>
              </w:rPr>
              <w:t>危险特性：遇水大量放热，可发生沸溅。与易燃物（如苯）和可燃物（如糖、纤维素等）接触会发生剧烈反应，甚至引起燃烧。遇电石、高氯酸盐、雷酸盐、硝酸盐、苦味酸盐、金属粉末等猛烈反应，发生爆炸或燃烧。有强烈的腐蚀性和吸水性。</w:t>
            </w:r>
          </w:p>
        </w:tc>
      </w:tr>
      <w:tr w14:paraId="7A3A29F0">
        <w:tblPrEx>
          <w:tblCellMar>
            <w:top w:w="0" w:type="dxa"/>
            <w:left w:w="108" w:type="dxa"/>
            <w:bottom w:w="0" w:type="dxa"/>
            <w:right w:w="108" w:type="dxa"/>
          </w:tblCellMar>
        </w:tblPrEx>
        <w:trPr>
          <w:trHeight w:val="560" w:hRule="atLeast"/>
        </w:trPr>
        <w:tc>
          <w:tcPr>
            <w:tcW w:w="238" w:type="pct"/>
            <w:vMerge w:val="continue"/>
            <w:tcBorders>
              <w:top w:val="nil"/>
              <w:left w:val="single" w:color="000000" w:sz="4" w:space="0"/>
              <w:bottom w:val="single" w:color="000000" w:sz="4" w:space="0"/>
              <w:right w:val="single" w:color="000000" w:sz="4" w:space="0"/>
              <w:tl2br w:val="nil"/>
              <w:tr2bl w:val="nil"/>
            </w:tcBorders>
            <w:vAlign w:val="center"/>
          </w:tcPr>
          <w:p w14:paraId="23A8568C">
            <w:pPr>
              <w:pStyle w:val="3361"/>
              <w:rPr>
                <w:color w:val="auto"/>
              </w:rPr>
            </w:pPr>
          </w:p>
        </w:tc>
        <w:tc>
          <w:tcPr>
            <w:tcW w:w="4761" w:type="pct"/>
            <w:gridSpan w:val="4"/>
            <w:tcBorders>
              <w:top w:val="single" w:color="000000" w:sz="4" w:space="0"/>
              <w:left w:val="single" w:color="000000" w:sz="4" w:space="0"/>
              <w:bottom w:val="single" w:color="000000" w:sz="4" w:space="0"/>
              <w:right w:val="single" w:color="000000" w:sz="4" w:space="0"/>
              <w:tl2br w:val="nil"/>
              <w:tr2bl w:val="nil"/>
            </w:tcBorders>
            <w:vAlign w:val="center"/>
          </w:tcPr>
          <w:p w14:paraId="03BF2ABD">
            <w:pPr>
              <w:pStyle w:val="3361"/>
              <w:rPr>
                <w:color w:val="auto"/>
              </w:rPr>
            </w:pPr>
            <w:r>
              <w:rPr>
                <w:rFonts w:hint="eastAsia"/>
                <w:color w:val="auto"/>
              </w:rPr>
              <w:t>灭火方法：消防人员必须穿全身耐酸碱消防服。灭火剂：干粉、二氧化碳、砂土。避免水流冲击物品，以免遇水会放出大量热量发生喷溅而灼伤皮肤。</w:t>
            </w:r>
          </w:p>
        </w:tc>
      </w:tr>
      <w:tr w14:paraId="724B406D">
        <w:tblPrEx>
          <w:tblCellMar>
            <w:top w:w="0" w:type="dxa"/>
            <w:left w:w="108" w:type="dxa"/>
            <w:bottom w:w="0" w:type="dxa"/>
            <w:right w:w="108" w:type="dxa"/>
          </w:tblCellMar>
        </w:tblPrEx>
        <w:trPr>
          <w:trHeight w:val="1038" w:hRule="atLeast"/>
        </w:trPr>
        <w:tc>
          <w:tcPr>
            <w:tcW w:w="238" w:type="pct"/>
            <w:tcBorders>
              <w:top w:val="single" w:color="000000" w:sz="4" w:space="0"/>
              <w:left w:val="single" w:color="000000" w:sz="4" w:space="0"/>
              <w:bottom w:val="single" w:color="000000" w:sz="4" w:space="0"/>
              <w:right w:val="single" w:color="000000" w:sz="4" w:space="0"/>
              <w:tl2br w:val="nil"/>
              <w:tr2bl w:val="nil"/>
            </w:tcBorders>
            <w:vAlign w:val="center"/>
          </w:tcPr>
          <w:p w14:paraId="79888399">
            <w:pPr>
              <w:pStyle w:val="3361"/>
              <w:rPr>
                <w:color w:val="auto"/>
              </w:rPr>
            </w:pPr>
            <w:r>
              <w:rPr>
                <w:rFonts w:hint="eastAsia"/>
                <w:color w:val="auto"/>
              </w:rPr>
              <w:t>毒性</w:t>
            </w:r>
          </w:p>
        </w:tc>
        <w:tc>
          <w:tcPr>
            <w:tcW w:w="4761" w:type="pct"/>
            <w:gridSpan w:val="4"/>
            <w:tcBorders>
              <w:top w:val="single" w:color="000000" w:sz="4" w:space="0"/>
              <w:left w:val="single" w:color="000000" w:sz="4" w:space="0"/>
              <w:bottom w:val="single" w:color="000000" w:sz="4" w:space="0"/>
              <w:right w:val="single" w:color="000000" w:sz="4" w:space="0"/>
              <w:tl2br w:val="nil"/>
              <w:tr2bl w:val="nil"/>
            </w:tcBorders>
            <w:vAlign w:val="center"/>
          </w:tcPr>
          <w:p w14:paraId="24D2524F">
            <w:pPr>
              <w:pStyle w:val="3361"/>
              <w:rPr>
                <w:color w:val="auto"/>
              </w:rPr>
            </w:pPr>
            <w:r>
              <w:rPr>
                <w:rFonts w:hint="eastAsia"/>
                <w:color w:val="auto"/>
              </w:rPr>
              <w:t>接触限值： 中国 MAC（mg/m3） 2</w:t>
            </w:r>
            <w:r>
              <w:rPr>
                <w:rFonts w:hint="eastAsia"/>
                <w:color w:val="auto"/>
              </w:rPr>
              <w:tab/>
            </w:r>
            <w:r>
              <w:rPr>
                <w:rFonts w:hint="eastAsia"/>
                <w:color w:val="auto"/>
              </w:rPr>
              <w:t>苏联 MAC（mg/m3）1</w:t>
            </w:r>
          </w:p>
          <w:p w14:paraId="5F71CCE8">
            <w:pPr>
              <w:pStyle w:val="3361"/>
              <w:rPr>
                <w:color w:val="auto"/>
              </w:rPr>
            </w:pPr>
            <w:r>
              <w:rPr>
                <w:rFonts w:hint="eastAsia"/>
                <w:color w:val="auto"/>
              </w:rPr>
              <w:t>美国 TVL－TWA   ACGIH</w:t>
            </w:r>
            <w:r>
              <w:rPr>
                <w:rFonts w:hint="eastAsia"/>
                <w:color w:val="auto"/>
              </w:rPr>
              <w:tab/>
            </w:r>
            <w:r>
              <w:rPr>
                <w:rFonts w:hint="eastAsia"/>
                <w:color w:val="auto"/>
              </w:rPr>
              <w:t>1mg/m3   美国 TLV－STEL   ACGIH</w:t>
            </w:r>
            <w:r>
              <w:rPr>
                <w:rFonts w:hint="eastAsia"/>
                <w:color w:val="auto"/>
              </w:rPr>
              <w:tab/>
            </w:r>
            <w:r>
              <w:rPr>
                <w:rFonts w:hint="eastAsia"/>
                <w:color w:val="auto"/>
              </w:rPr>
              <w:t>3mg/m3</w:t>
            </w:r>
          </w:p>
          <w:p w14:paraId="64391EF4">
            <w:pPr>
              <w:pStyle w:val="3361"/>
              <w:rPr>
                <w:color w:val="auto"/>
              </w:rPr>
            </w:pPr>
            <w:r>
              <w:rPr>
                <w:rFonts w:hint="eastAsia"/>
                <w:color w:val="auto"/>
              </w:rPr>
              <w:t>急性毒性：LD50</w:t>
            </w:r>
            <w:r>
              <w:rPr>
                <w:rFonts w:hint="eastAsia"/>
                <w:color w:val="auto"/>
              </w:rPr>
              <w:tab/>
            </w:r>
            <w:r>
              <w:rPr>
                <w:rFonts w:hint="eastAsia"/>
                <w:color w:val="auto"/>
              </w:rPr>
              <w:t>2140mg/kg（大鼠经口）</w:t>
            </w:r>
          </w:p>
          <w:p w14:paraId="1C41F904">
            <w:pPr>
              <w:pStyle w:val="3361"/>
              <w:rPr>
                <w:color w:val="auto"/>
              </w:rPr>
            </w:pPr>
            <w:r>
              <w:rPr>
                <w:rFonts w:hint="eastAsia"/>
                <w:color w:val="auto"/>
              </w:rPr>
              <w:t>LC50</w:t>
            </w:r>
            <w:r>
              <w:rPr>
                <w:rFonts w:hint="eastAsia"/>
                <w:color w:val="auto"/>
              </w:rPr>
              <w:tab/>
            </w:r>
            <w:r>
              <w:rPr>
                <w:rFonts w:hint="eastAsia"/>
                <w:color w:val="auto"/>
              </w:rPr>
              <w:t>510mg/m3，2 小时（大鼠吸入）；</w:t>
            </w:r>
            <w:r>
              <w:rPr>
                <w:rFonts w:hint="eastAsia"/>
                <w:color w:val="auto"/>
              </w:rPr>
              <w:tab/>
            </w:r>
            <w:r>
              <w:rPr>
                <w:rFonts w:hint="eastAsia"/>
                <w:color w:val="auto"/>
              </w:rPr>
              <w:t>320mg/m3，2 小时（小鼠吸入）</w:t>
            </w:r>
          </w:p>
        </w:tc>
      </w:tr>
      <w:tr w14:paraId="366177B6">
        <w:tblPrEx>
          <w:tblCellMar>
            <w:top w:w="0" w:type="dxa"/>
            <w:left w:w="108" w:type="dxa"/>
            <w:bottom w:w="0" w:type="dxa"/>
            <w:right w:w="108" w:type="dxa"/>
          </w:tblCellMar>
        </w:tblPrEx>
        <w:trPr>
          <w:trHeight w:val="1960" w:hRule="atLeast"/>
        </w:trPr>
        <w:tc>
          <w:tcPr>
            <w:tcW w:w="238" w:type="pct"/>
            <w:tcBorders>
              <w:top w:val="single" w:color="000000" w:sz="4" w:space="0"/>
              <w:left w:val="single" w:color="000000" w:sz="4" w:space="0"/>
              <w:bottom w:val="single" w:color="000000" w:sz="4" w:space="0"/>
              <w:right w:val="single" w:color="000000" w:sz="4" w:space="0"/>
              <w:tl2br w:val="nil"/>
              <w:tr2bl w:val="nil"/>
            </w:tcBorders>
            <w:vAlign w:val="center"/>
          </w:tcPr>
          <w:p w14:paraId="3BA1499D">
            <w:pPr>
              <w:pStyle w:val="3361"/>
              <w:rPr>
                <w:color w:val="auto"/>
              </w:rPr>
            </w:pPr>
            <w:r>
              <w:rPr>
                <w:rFonts w:hint="eastAsia"/>
                <w:color w:val="auto"/>
              </w:rPr>
              <w:t>对人体危害</w:t>
            </w:r>
          </w:p>
        </w:tc>
        <w:tc>
          <w:tcPr>
            <w:tcW w:w="4761" w:type="pct"/>
            <w:gridSpan w:val="4"/>
            <w:tcBorders>
              <w:top w:val="single" w:color="000000" w:sz="4" w:space="0"/>
              <w:left w:val="single" w:color="000000" w:sz="4" w:space="0"/>
              <w:bottom w:val="single" w:color="000000" w:sz="4" w:space="0"/>
              <w:right w:val="single" w:color="000000" w:sz="4" w:space="0"/>
              <w:tl2br w:val="nil"/>
              <w:tr2bl w:val="nil"/>
            </w:tcBorders>
            <w:vAlign w:val="center"/>
          </w:tcPr>
          <w:p w14:paraId="75A9E212">
            <w:pPr>
              <w:pStyle w:val="3361"/>
              <w:rPr>
                <w:color w:val="auto"/>
              </w:rPr>
            </w:pPr>
            <w:r>
              <w:rPr>
                <w:rFonts w:hint="eastAsia"/>
                <w:color w:val="auto"/>
              </w:rPr>
              <w:t>侵入途径：吸入、食入。</w:t>
            </w:r>
          </w:p>
          <w:p w14:paraId="655C52D7">
            <w:pPr>
              <w:pStyle w:val="3361"/>
              <w:rPr>
                <w:color w:val="auto"/>
              </w:rPr>
            </w:pPr>
            <w:r>
              <w:rPr>
                <w:rFonts w:hint="eastAsia"/>
                <w:color w:val="auto"/>
              </w:rPr>
              <w:t>健康危害：对皮肤、黏膜等组织有强烈的刺激和腐蚀作用。蒸气或雾可引起结膜炎、结膜水肿、角膜混浊，以致失明；引起呼吸道刺激，重者发生呼吸困难和肺水肿；高浓度引起喉痉挛或声门水肿而窒息死亡。口服后引起消化道灼伤以致溃疡形成；严重者可能有胃穿孔、腹膜炎、肾损害、休克等。皮肤灼伤轻者出现红斑，重者形成溃疡，愈合瘢痕收缩影响功能。溅入眼内可造成灼伤，甚至角膜穿孔、全眼炎以至失明。慢性影响：牙齿酸蚀症、慢性支气</w:t>
            </w:r>
          </w:p>
          <w:p w14:paraId="14080B17">
            <w:pPr>
              <w:pStyle w:val="3361"/>
              <w:rPr>
                <w:color w:val="auto"/>
              </w:rPr>
            </w:pPr>
            <w:r>
              <w:rPr>
                <w:rFonts w:hint="eastAsia"/>
                <w:color w:val="auto"/>
              </w:rPr>
              <w:t>管炎、肺气肿和肺硬化。</w:t>
            </w:r>
          </w:p>
        </w:tc>
      </w:tr>
      <w:tr w14:paraId="4DA87C13">
        <w:tblPrEx>
          <w:tblCellMar>
            <w:top w:w="0" w:type="dxa"/>
            <w:left w:w="108" w:type="dxa"/>
            <w:bottom w:w="0" w:type="dxa"/>
            <w:right w:w="108" w:type="dxa"/>
          </w:tblCellMar>
        </w:tblPrEx>
        <w:trPr>
          <w:trHeight w:val="1400" w:hRule="atLeast"/>
        </w:trPr>
        <w:tc>
          <w:tcPr>
            <w:tcW w:w="238" w:type="pct"/>
            <w:tcBorders>
              <w:top w:val="single" w:color="000000" w:sz="4" w:space="0"/>
              <w:left w:val="single" w:color="000000" w:sz="4" w:space="0"/>
              <w:bottom w:val="single" w:color="000000" w:sz="4" w:space="0"/>
              <w:right w:val="single" w:color="000000" w:sz="4" w:space="0"/>
              <w:tl2br w:val="nil"/>
              <w:tr2bl w:val="nil"/>
            </w:tcBorders>
            <w:vAlign w:val="center"/>
          </w:tcPr>
          <w:p w14:paraId="23EC8820">
            <w:pPr>
              <w:pStyle w:val="3361"/>
              <w:rPr>
                <w:color w:val="auto"/>
              </w:rPr>
            </w:pPr>
            <w:r>
              <w:rPr>
                <w:rFonts w:hint="eastAsia"/>
                <w:color w:val="auto"/>
              </w:rPr>
              <w:t>急救</w:t>
            </w:r>
          </w:p>
        </w:tc>
        <w:tc>
          <w:tcPr>
            <w:tcW w:w="4761" w:type="pct"/>
            <w:gridSpan w:val="4"/>
            <w:tcBorders>
              <w:top w:val="single" w:color="000000" w:sz="4" w:space="0"/>
              <w:left w:val="single" w:color="000000" w:sz="4" w:space="0"/>
              <w:bottom w:val="single" w:color="000000" w:sz="4" w:space="0"/>
              <w:right w:val="single" w:color="000000" w:sz="4" w:space="0"/>
              <w:tl2br w:val="nil"/>
              <w:tr2bl w:val="nil"/>
            </w:tcBorders>
            <w:vAlign w:val="center"/>
          </w:tcPr>
          <w:p w14:paraId="71459F19">
            <w:pPr>
              <w:pStyle w:val="3361"/>
              <w:rPr>
                <w:color w:val="auto"/>
              </w:rPr>
            </w:pPr>
            <w:r>
              <w:rPr>
                <w:rFonts w:hint="eastAsia"/>
                <w:color w:val="auto"/>
              </w:rPr>
              <w:t>皮肤接触：立即</w:t>
            </w:r>
            <w:r>
              <w:rPr>
                <w:rFonts w:hint="eastAsia"/>
                <w:color w:val="auto"/>
                <w:lang w:eastAsia="zh-CN"/>
              </w:rPr>
              <w:t>脱除</w:t>
            </w:r>
            <w:r>
              <w:rPr>
                <w:rFonts w:hint="eastAsia"/>
                <w:color w:val="auto"/>
              </w:rPr>
              <w:t>被污染的衣着。用大量流动清水冲洗，至少 15 分钟。就医。</w:t>
            </w:r>
          </w:p>
          <w:p w14:paraId="7ABE4636">
            <w:pPr>
              <w:pStyle w:val="3361"/>
              <w:rPr>
                <w:color w:val="auto"/>
              </w:rPr>
            </w:pPr>
            <w:r>
              <w:rPr>
                <w:rFonts w:hint="eastAsia"/>
                <w:color w:val="auto"/>
              </w:rPr>
              <w:t>眼睛接触：立即提起眼睑，用大量流动清水或生理盐水彻底冲洗至少 15 分钟。就医。</w:t>
            </w:r>
          </w:p>
          <w:p w14:paraId="1A4ECAF8">
            <w:pPr>
              <w:pStyle w:val="3361"/>
              <w:rPr>
                <w:color w:val="auto"/>
              </w:rPr>
            </w:pPr>
            <w:r>
              <w:rPr>
                <w:rFonts w:hint="eastAsia"/>
                <w:color w:val="auto"/>
              </w:rPr>
              <w:t>吸入：迅速脱离现场至空气新鲜处，保持呼吸道通畅。如呼吸困难，给输氧。如呼吸停止，立即进行人工呼吸。就医。</w:t>
            </w:r>
          </w:p>
          <w:p w14:paraId="012D5D88">
            <w:pPr>
              <w:pStyle w:val="3361"/>
              <w:rPr>
                <w:color w:val="auto"/>
              </w:rPr>
            </w:pPr>
            <w:r>
              <w:rPr>
                <w:rFonts w:hint="eastAsia"/>
                <w:color w:val="auto"/>
              </w:rPr>
              <w:t>食入：误服者用水漱口，给饮牛奶或蛋清。就医。</w:t>
            </w:r>
          </w:p>
        </w:tc>
      </w:tr>
      <w:tr w14:paraId="56D05E69">
        <w:tblPrEx>
          <w:tblCellMar>
            <w:top w:w="0" w:type="dxa"/>
            <w:left w:w="108" w:type="dxa"/>
            <w:bottom w:w="0" w:type="dxa"/>
            <w:right w:w="108" w:type="dxa"/>
          </w:tblCellMar>
        </w:tblPrEx>
        <w:trPr>
          <w:trHeight w:val="1300" w:hRule="atLeast"/>
        </w:trPr>
        <w:tc>
          <w:tcPr>
            <w:tcW w:w="238" w:type="pct"/>
            <w:tcBorders>
              <w:top w:val="single" w:color="000000" w:sz="4" w:space="0"/>
              <w:left w:val="single" w:color="000000" w:sz="4" w:space="0"/>
              <w:bottom w:val="single" w:color="000000" w:sz="4" w:space="0"/>
              <w:right w:val="single" w:color="000000" w:sz="4" w:space="0"/>
              <w:tl2br w:val="nil"/>
              <w:tr2bl w:val="nil"/>
            </w:tcBorders>
            <w:vAlign w:val="center"/>
          </w:tcPr>
          <w:p w14:paraId="3DF0F098">
            <w:pPr>
              <w:pStyle w:val="3361"/>
              <w:rPr>
                <w:color w:val="auto"/>
              </w:rPr>
            </w:pPr>
            <w:r>
              <w:rPr>
                <w:rFonts w:hint="eastAsia"/>
                <w:color w:val="auto"/>
              </w:rPr>
              <w:t>防护</w:t>
            </w:r>
          </w:p>
        </w:tc>
        <w:tc>
          <w:tcPr>
            <w:tcW w:w="4761" w:type="pct"/>
            <w:gridSpan w:val="4"/>
            <w:tcBorders>
              <w:top w:val="single" w:color="000000" w:sz="4" w:space="0"/>
              <w:left w:val="single" w:color="000000" w:sz="4" w:space="0"/>
              <w:bottom w:val="single" w:color="000000" w:sz="4" w:space="0"/>
              <w:right w:val="single" w:color="000000" w:sz="4" w:space="0"/>
              <w:tl2br w:val="nil"/>
              <w:tr2bl w:val="nil"/>
            </w:tcBorders>
            <w:vAlign w:val="center"/>
          </w:tcPr>
          <w:p w14:paraId="38EC96DE">
            <w:pPr>
              <w:pStyle w:val="3361"/>
              <w:rPr>
                <w:color w:val="auto"/>
              </w:rPr>
            </w:pPr>
            <w:r>
              <w:rPr>
                <w:rFonts w:hint="eastAsia"/>
                <w:color w:val="auto"/>
              </w:rPr>
              <w:t>工程防护：密闭操作，注意通风。尽可能机械化、自动化。提供安全淋浴和洗眼设备。</w:t>
            </w:r>
          </w:p>
          <w:p w14:paraId="1E90B5F4">
            <w:pPr>
              <w:pStyle w:val="3361"/>
              <w:rPr>
                <w:color w:val="auto"/>
              </w:rPr>
            </w:pPr>
            <w:r>
              <w:rPr>
                <w:rFonts w:hint="eastAsia"/>
                <w:color w:val="auto"/>
              </w:rPr>
              <w:t>个人防护：可能接触其烟雾时，佩戴自吸过滤式防毒面具（全面罩）或空气呼吸器。紧急事态抢救或撤离时，建议佩戴氧气呼吸器；穿橡胶耐酸碱服；戴橡胶耐酸碱手套。工作现场严禁吸烟、进食和饮水。工作毕，淋浴更衣。单独存放被毒物污染的衣服，洗后备用。保持良好的卫生习惯。</w:t>
            </w:r>
          </w:p>
        </w:tc>
      </w:tr>
      <w:tr w14:paraId="0296FBD9">
        <w:tblPrEx>
          <w:tblCellMar>
            <w:top w:w="0" w:type="dxa"/>
            <w:left w:w="108" w:type="dxa"/>
            <w:bottom w:w="0" w:type="dxa"/>
            <w:right w:w="108" w:type="dxa"/>
          </w:tblCellMar>
        </w:tblPrEx>
        <w:trPr>
          <w:trHeight w:val="1300" w:hRule="atLeast"/>
        </w:trPr>
        <w:tc>
          <w:tcPr>
            <w:tcW w:w="238" w:type="pct"/>
            <w:tcBorders>
              <w:top w:val="single" w:color="000000" w:sz="4" w:space="0"/>
              <w:left w:val="single" w:color="000000" w:sz="4" w:space="0"/>
              <w:bottom w:val="single" w:color="000000" w:sz="4" w:space="0"/>
              <w:right w:val="single" w:color="000000" w:sz="4" w:space="0"/>
              <w:tl2br w:val="nil"/>
              <w:tr2bl w:val="nil"/>
            </w:tcBorders>
            <w:vAlign w:val="center"/>
          </w:tcPr>
          <w:p w14:paraId="72E0C68B">
            <w:pPr>
              <w:pStyle w:val="3361"/>
              <w:rPr>
                <w:color w:val="auto"/>
              </w:rPr>
            </w:pPr>
            <w:r>
              <w:rPr>
                <w:rFonts w:hint="eastAsia"/>
                <w:color w:val="auto"/>
              </w:rPr>
              <w:t>泄漏处理</w:t>
            </w:r>
          </w:p>
        </w:tc>
        <w:tc>
          <w:tcPr>
            <w:tcW w:w="4761" w:type="pct"/>
            <w:gridSpan w:val="4"/>
            <w:tcBorders>
              <w:top w:val="single" w:color="000000" w:sz="4" w:space="0"/>
              <w:left w:val="single" w:color="000000" w:sz="4" w:space="0"/>
              <w:bottom w:val="single" w:color="000000" w:sz="4" w:space="0"/>
              <w:right w:val="single" w:color="000000" w:sz="4" w:space="0"/>
              <w:tl2br w:val="nil"/>
              <w:tr2bl w:val="nil"/>
            </w:tcBorders>
            <w:vAlign w:val="center"/>
          </w:tcPr>
          <w:p w14:paraId="44B9B7A9">
            <w:pPr>
              <w:pStyle w:val="3361"/>
              <w:rPr>
                <w:color w:val="auto"/>
              </w:rPr>
            </w:pPr>
            <w:r>
              <w:rPr>
                <w:rFonts w:hint="eastAsia"/>
                <w:color w:val="auto"/>
              </w:rPr>
              <w:t>迅速撤离泄漏污染区人员至安全区，并进行隔离，严格限制出入。建议应急处理人员戴自给正压式呼吸器，穿防酸碱工作服。不要直接接触泄漏物。尽可能切断泄漏源。防止进入下水道、排洪沟等限制性空间。小量泄漏：用砂土、干燥石灰或苏打灰混合。也可以用大量水冲洗，洗水稀释后放入废水系统。大量泄漏：构筑围堤或挖坑收容；用泵转移至槽车或专用收集器内。回收或运至废物处理场所处置。</w:t>
            </w:r>
          </w:p>
        </w:tc>
      </w:tr>
      <w:tr w14:paraId="419E8885">
        <w:tblPrEx>
          <w:tblCellMar>
            <w:top w:w="0" w:type="dxa"/>
            <w:left w:w="108" w:type="dxa"/>
            <w:bottom w:w="0" w:type="dxa"/>
            <w:right w:w="108" w:type="dxa"/>
          </w:tblCellMar>
        </w:tblPrEx>
        <w:trPr>
          <w:trHeight w:val="1300" w:hRule="atLeast"/>
        </w:trPr>
        <w:tc>
          <w:tcPr>
            <w:tcW w:w="238" w:type="pct"/>
            <w:tcBorders>
              <w:top w:val="single" w:color="000000" w:sz="4" w:space="0"/>
              <w:left w:val="single" w:color="000000" w:sz="4" w:space="0"/>
              <w:bottom w:val="single" w:color="000000" w:sz="4" w:space="0"/>
              <w:right w:val="single" w:color="000000" w:sz="4" w:space="0"/>
              <w:tl2br w:val="nil"/>
              <w:tr2bl w:val="nil"/>
            </w:tcBorders>
            <w:vAlign w:val="center"/>
          </w:tcPr>
          <w:p w14:paraId="6DA6120F">
            <w:pPr>
              <w:pStyle w:val="3361"/>
              <w:rPr>
                <w:color w:val="auto"/>
              </w:rPr>
            </w:pPr>
            <w:r>
              <w:rPr>
                <w:rFonts w:hint="eastAsia"/>
                <w:color w:val="auto"/>
              </w:rPr>
              <w:t>贮运</w:t>
            </w:r>
          </w:p>
        </w:tc>
        <w:tc>
          <w:tcPr>
            <w:tcW w:w="4761" w:type="pct"/>
            <w:gridSpan w:val="4"/>
            <w:tcBorders>
              <w:top w:val="single" w:color="000000" w:sz="4" w:space="0"/>
              <w:left w:val="single" w:color="000000" w:sz="4" w:space="0"/>
              <w:bottom w:val="single" w:color="000000" w:sz="4" w:space="0"/>
              <w:right w:val="single" w:color="000000" w:sz="4" w:space="0"/>
              <w:tl2br w:val="nil"/>
              <w:tr2bl w:val="nil"/>
            </w:tcBorders>
            <w:vAlign w:val="center"/>
          </w:tcPr>
          <w:p w14:paraId="6452E89D">
            <w:pPr>
              <w:pStyle w:val="3361"/>
              <w:rPr>
                <w:color w:val="auto"/>
              </w:rPr>
            </w:pPr>
            <w:r>
              <w:rPr>
                <w:rFonts w:hint="eastAsia"/>
                <w:color w:val="auto"/>
              </w:rPr>
              <w:t>包装标志：20UN 编号：1830</w:t>
            </w:r>
            <w:r>
              <w:rPr>
                <w:rFonts w:hint="eastAsia"/>
                <w:color w:val="auto"/>
              </w:rPr>
              <w:tab/>
            </w:r>
            <w:r>
              <w:rPr>
                <w:rFonts w:hint="eastAsia"/>
                <w:color w:val="auto"/>
              </w:rPr>
              <w:t>包装分类：Ⅰ</w:t>
            </w:r>
            <w:r>
              <w:rPr>
                <w:rFonts w:hint="eastAsia"/>
                <w:color w:val="auto"/>
              </w:rPr>
              <w:tab/>
            </w:r>
            <w:r>
              <w:rPr>
                <w:rFonts w:hint="eastAsia"/>
                <w:color w:val="auto"/>
              </w:rPr>
              <w:t>包装方法：螺纹口或磨砂口玻璃瓶外木板箱；耐酸坛、陶瓷罐外木板箱或半花格箱。</w:t>
            </w:r>
          </w:p>
          <w:p w14:paraId="29FF024E">
            <w:pPr>
              <w:pStyle w:val="3361"/>
              <w:rPr>
                <w:color w:val="auto"/>
              </w:rPr>
            </w:pPr>
            <w:r>
              <w:rPr>
                <w:rFonts w:hint="eastAsia"/>
                <w:color w:val="auto"/>
              </w:rPr>
              <w:t>储运条件：储存于阴凉、干燥，通风良好的仓间。应与易燃或可燃物、碱类、金属粉末等分开存放。不可混储混运。搬运要轻装轻卸，防止包装及容器损坏。分装和搬运作业要注意个人防护。</w:t>
            </w:r>
          </w:p>
        </w:tc>
      </w:tr>
      <w:bookmarkEnd w:id="267"/>
    </w:tbl>
    <w:p w14:paraId="1F566A1B">
      <w:pPr>
        <w:adjustRightInd/>
        <w:snapToGrid/>
        <w:spacing w:line="440" w:lineRule="exact"/>
        <w:ind w:firstLine="482" w:firstLineChars="0"/>
        <w:jc w:val="center"/>
        <w:rPr>
          <w:b/>
          <w:color w:val="auto"/>
          <w:szCs w:val="24"/>
        </w:rPr>
      </w:pPr>
    </w:p>
    <w:p w14:paraId="3CBA69FC">
      <w:pPr>
        <w:adjustRightInd/>
        <w:snapToGrid/>
        <w:spacing w:line="360" w:lineRule="auto"/>
        <w:ind w:firstLine="482"/>
        <w:jc w:val="center"/>
        <w:rPr>
          <w:color w:val="auto"/>
          <w:szCs w:val="24"/>
        </w:rPr>
      </w:pPr>
      <w:r>
        <w:rPr>
          <w:b/>
          <w:color w:val="auto"/>
          <w:szCs w:val="24"/>
        </w:rPr>
        <w:t xml:space="preserve">表7.2-3  </w:t>
      </w:r>
      <w:r>
        <w:rPr>
          <w:rFonts w:hint="eastAsia"/>
          <w:b/>
          <w:color w:val="auto"/>
          <w:szCs w:val="24"/>
        </w:rPr>
        <w:t>盐酸理化性质表</w:t>
      </w:r>
    </w:p>
    <w:tbl>
      <w:tblPr>
        <w:tblStyle w:val="88"/>
        <w:tblW w:w="4995"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429"/>
        <w:gridCol w:w="2370"/>
        <w:gridCol w:w="2555"/>
        <w:gridCol w:w="2923"/>
      </w:tblGrid>
      <w:tr w14:paraId="1649ED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4" w:hRule="atLeast"/>
          <w:jc w:val="center"/>
        </w:trPr>
        <w:tc>
          <w:tcPr>
            <w:tcW w:w="770" w:type="pct"/>
            <w:tcBorders>
              <w:tl2br w:val="nil"/>
              <w:tr2bl w:val="nil"/>
            </w:tcBorders>
            <w:vAlign w:val="center"/>
          </w:tcPr>
          <w:p w14:paraId="303B8D83">
            <w:pPr>
              <w:spacing w:line="240" w:lineRule="auto"/>
              <w:ind w:firstLine="0" w:firstLineChars="0"/>
              <w:rPr>
                <w:color w:val="auto"/>
                <w:sz w:val="21"/>
                <w:szCs w:val="21"/>
              </w:rPr>
            </w:pPr>
            <w:r>
              <w:rPr>
                <w:rFonts w:hint="eastAsia"/>
                <w:color w:val="auto"/>
                <w:sz w:val="21"/>
                <w:szCs w:val="21"/>
              </w:rPr>
              <w:t>名 称</w:t>
            </w:r>
          </w:p>
        </w:tc>
        <w:tc>
          <w:tcPr>
            <w:tcW w:w="1277" w:type="pct"/>
            <w:tcBorders>
              <w:tl2br w:val="nil"/>
              <w:tr2bl w:val="nil"/>
            </w:tcBorders>
            <w:vAlign w:val="center"/>
          </w:tcPr>
          <w:p w14:paraId="7CD596A7">
            <w:pPr>
              <w:spacing w:line="240" w:lineRule="auto"/>
              <w:ind w:firstLine="0" w:firstLineChars="0"/>
              <w:rPr>
                <w:color w:val="auto"/>
                <w:sz w:val="21"/>
                <w:szCs w:val="21"/>
              </w:rPr>
            </w:pPr>
            <w:r>
              <w:rPr>
                <w:rFonts w:hint="eastAsia"/>
                <w:color w:val="auto"/>
                <w:sz w:val="21"/>
                <w:szCs w:val="21"/>
              </w:rPr>
              <w:t>盐酸</w:t>
            </w:r>
          </w:p>
        </w:tc>
        <w:tc>
          <w:tcPr>
            <w:tcW w:w="1377" w:type="pct"/>
            <w:tcBorders>
              <w:tl2br w:val="nil"/>
              <w:tr2bl w:val="nil"/>
            </w:tcBorders>
            <w:vAlign w:val="center"/>
          </w:tcPr>
          <w:p w14:paraId="129F0B08">
            <w:pPr>
              <w:spacing w:line="240" w:lineRule="auto"/>
              <w:ind w:firstLine="0" w:firstLineChars="0"/>
              <w:rPr>
                <w:color w:val="auto"/>
                <w:sz w:val="21"/>
                <w:szCs w:val="21"/>
              </w:rPr>
            </w:pPr>
            <w:r>
              <w:rPr>
                <w:rFonts w:hint="eastAsia"/>
                <w:color w:val="auto"/>
                <w:sz w:val="21"/>
                <w:szCs w:val="21"/>
              </w:rPr>
              <w:t>分子量</w:t>
            </w:r>
          </w:p>
        </w:tc>
        <w:tc>
          <w:tcPr>
            <w:tcW w:w="1574" w:type="pct"/>
            <w:tcBorders>
              <w:tl2br w:val="nil"/>
              <w:tr2bl w:val="nil"/>
            </w:tcBorders>
            <w:vAlign w:val="center"/>
          </w:tcPr>
          <w:p w14:paraId="6D880B57">
            <w:pPr>
              <w:spacing w:line="240" w:lineRule="auto"/>
              <w:ind w:firstLine="0" w:firstLineChars="0"/>
              <w:rPr>
                <w:color w:val="auto"/>
                <w:sz w:val="21"/>
                <w:szCs w:val="21"/>
              </w:rPr>
            </w:pPr>
            <w:r>
              <w:rPr>
                <w:rFonts w:hint="eastAsia"/>
                <w:color w:val="auto"/>
                <w:sz w:val="21"/>
                <w:szCs w:val="21"/>
              </w:rPr>
              <w:t>36.461</w:t>
            </w:r>
          </w:p>
        </w:tc>
      </w:tr>
      <w:tr w14:paraId="3AAD7A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4" w:hRule="atLeast"/>
          <w:jc w:val="center"/>
        </w:trPr>
        <w:tc>
          <w:tcPr>
            <w:tcW w:w="770" w:type="pct"/>
            <w:tcBorders>
              <w:tl2br w:val="nil"/>
              <w:tr2bl w:val="nil"/>
            </w:tcBorders>
            <w:vAlign w:val="center"/>
          </w:tcPr>
          <w:p w14:paraId="5F9791DC">
            <w:pPr>
              <w:spacing w:line="240" w:lineRule="auto"/>
              <w:ind w:firstLine="0" w:firstLineChars="0"/>
              <w:rPr>
                <w:color w:val="auto"/>
                <w:sz w:val="21"/>
                <w:szCs w:val="21"/>
              </w:rPr>
            </w:pPr>
            <w:r>
              <w:rPr>
                <w:rFonts w:hint="eastAsia"/>
                <w:color w:val="auto"/>
                <w:sz w:val="21"/>
                <w:szCs w:val="21"/>
              </w:rPr>
              <w:t>CAS</w:t>
            </w:r>
          </w:p>
        </w:tc>
        <w:tc>
          <w:tcPr>
            <w:tcW w:w="1277" w:type="pct"/>
            <w:tcBorders>
              <w:tl2br w:val="nil"/>
              <w:tr2bl w:val="nil"/>
            </w:tcBorders>
            <w:vAlign w:val="center"/>
          </w:tcPr>
          <w:p w14:paraId="1AD45661">
            <w:pPr>
              <w:spacing w:line="240" w:lineRule="auto"/>
              <w:ind w:firstLine="0" w:firstLineChars="0"/>
              <w:rPr>
                <w:color w:val="auto"/>
                <w:sz w:val="21"/>
                <w:szCs w:val="21"/>
              </w:rPr>
            </w:pPr>
            <w:r>
              <w:rPr>
                <w:rFonts w:hint="eastAsia"/>
                <w:color w:val="auto"/>
                <w:sz w:val="21"/>
                <w:szCs w:val="21"/>
              </w:rPr>
              <w:t>7647-01-0</w:t>
            </w:r>
          </w:p>
        </w:tc>
        <w:tc>
          <w:tcPr>
            <w:tcW w:w="1377" w:type="pct"/>
            <w:tcBorders>
              <w:tl2br w:val="nil"/>
              <w:tr2bl w:val="nil"/>
            </w:tcBorders>
            <w:vAlign w:val="center"/>
          </w:tcPr>
          <w:p w14:paraId="2AA5C382">
            <w:pPr>
              <w:spacing w:line="240" w:lineRule="auto"/>
              <w:ind w:firstLine="0" w:firstLineChars="0"/>
              <w:rPr>
                <w:color w:val="auto"/>
                <w:sz w:val="21"/>
                <w:szCs w:val="21"/>
              </w:rPr>
            </w:pPr>
            <w:r>
              <w:rPr>
                <w:rFonts w:hint="eastAsia"/>
                <w:color w:val="auto"/>
                <w:sz w:val="21"/>
                <w:szCs w:val="21"/>
              </w:rPr>
              <w:t>化  学   式</w:t>
            </w:r>
          </w:p>
        </w:tc>
        <w:tc>
          <w:tcPr>
            <w:tcW w:w="1574" w:type="pct"/>
            <w:tcBorders>
              <w:tl2br w:val="nil"/>
              <w:tr2bl w:val="nil"/>
            </w:tcBorders>
            <w:vAlign w:val="center"/>
          </w:tcPr>
          <w:p w14:paraId="3E04E6C3">
            <w:pPr>
              <w:spacing w:line="240" w:lineRule="auto"/>
              <w:ind w:firstLine="0" w:firstLineChars="0"/>
              <w:rPr>
                <w:color w:val="auto"/>
                <w:sz w:val="21"/>
                <w:szCs w:val="21"/>
              </w:rPr>
            </w:pPr>
            <w:r>
              <w:rPr>
                <w:rFonts w:hint="eastAsia"/>
                <w:color w:val="auto"/>
                <w:sz w:val="21"/>
                <w:szCs w:val="21"/>
              </w:rPr>
              <w:t>HCl</w:t>
            </w:r>
          </w:p>
        </w:tc>
      </w:tr>
      <w:tr w14:paraId="7243574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4" w:hRule="atLeast"/>
          <w:jc w:val="center"/>
        </w:trPr>
        <w:tc>
          <w:tcPr>
            <w:tcW w:w="770" w:type="pct"/>
            <w:tcBorders>
              <w:tl2br w:val="nil"/>
              <w:tr2bl w:val="nil"/>
            </w:tcBorders>
            <w:vAlign w:val="center"/>
          </w:tcPr>
          <w:p w14:paraId="0EACA824">
            <w:pPr>
              <w:spacing w:line="240" w:lineRule="auto"/>
              <w:ind w:firstLine="0" w:firstLineChars="0"/>
              <w:rPr>
                <w:color w:val="auto"/>
                <w:sz w:val="21"/>
                <w:szCs w:val="21"/>
              </w:rPr>
            </w:pPr>
            <w:r>
              <w:rPr>
                <w:rFonts w:hint="eastAsia"/>
                <w:color w:val="auto"/>
                <w:sz w:val="21"/>
                <w:szCs w:val="21"/>
              </w:rPr>
              <w:t>闪点</w:t>
            </w:r>
          </w:p>
        </w:tc>
        <w:tc>
          <w:tcPr>
            <w:tcW w:w="1277" w:type="pct"/>
            <w:tcBorders>
              <w:tl2br w:val="nil"/>
              <w:tr2bl w:val="nil"/>
            </w:tcBorders>
            <w:vAlign w:val="center"/>
          </w:tcPr>
          <w:p w14:paraId="3371709C">
            <w:pPr>
              <w:spacing w:line="240" w:lineRule="auto"/>
              <w:ind w:firstLine="0" w:firstLineChars="0"/>
              <w:rPr>
                <w:color w:val="auto"/>
                <w:sz w:val="21"/>
                <w:szCs w:val="21"/>
              </w:rPr>
            </w:pPr>
            <w:r>
              <w:rPr>
                <w:rFonts w:hint="eastAsia"/>
                <w:color w:val="auto"/>
                <w:sz w:val="21"/>
                <w:szCs w:val="21"/>
              </w:rPr>
              <w:t>75℃</w:t>
            </w:r>
          </w:p>
        </w:tc>
        <w:tc>
          <w:tcPr>
            <w:tcW w:w="1377" w:type="pct"/>
            <w:tcBorders>
              <w:tl2br w:val="nil"/>
              <w:tr2bl w:val="nil"/>
            </w:tcBorders>
            <w:vAlign w:val="center"/>
          </w:tcPr>
          <w:p w14:paraId="1866020E">
            <w:pPr>
              <w:spacing w:line="240" w:lineRule="auto"/>
              <w:ind w:firstLine="0" w:firstLineChars="0"/>
              <w:rPr>
                <w:color w:val="auto"/>
                <w:sz w:val="21"/>
                <w:szCs w:val="21"/>
              </w:rPr>
            </w:pPr>
            <w:r>
              <w:rPr>
                <w:rFonts w:hint="eastAsia"/>
                <w:color w:val="auto"/>
                <w:sz w:val="21"/>
                <w:szCs w:val="21"/>
              </w:rPr>
              <w:t>熔    点</w:t>
            </w:r>
          </w:p>
        </w:tc>
        <w:tc>
          <w:tcPr>
            <w:tcW w:w="1574" w:type="pct"/>
            <w:tcBorders>
              <w:tl2br w:val="nil"/>
              <w:tr2bl w:val="nil"/>
            </w:tcBorders>
            <w:vAlign w:val="center"/>
          </w:tcPr>
          <w:p w14:paraId="6401A3B2">
            <w:pPr>
              <w:spacing w:line="240" w:lineRule="auto"/>
              <w:ind w:firstLine="0" w:firstLineChars="0"/>
              <w:rPr>
                <w:color w:val="auto"/>
                <w:sz w:val="21"/>
                <w:szCs w:val="21"/>
              </w:rPr>
            </w:pPr>
            <w:r>
              <w:rPr>
                <w:rFonts w:hint="eastAsia"/>
                <w:color w:val="auto"/>
                <w:sz w:val="21"/>
                <w:szCs w:val="21"/>
              </w:rPr>
              <w:t>-27.32 ℃</w:t>
            </w:r>
          </w:p>
        </w:tc>
      </w:tr>
      <w:tr w14:paraId="12FAA8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4" w:hRule="atLeast"/>
          <w:jc w:val="center"/>
        </w:trPr>
        <w:tc>
          <w:tcPr>
            <w:tcW w:w="770" w:type="pct"/>
            <w:tcBorders>
              <w:tl2br w:val="nil"/>
              <w:tr2bl w:val="nil"/>
            </w:tcBorders>
            <w:vAlign w:val="center"/>
          </w:tcPr>
          <w:p w14:paraId="34318B3A">
            <w:pPr>
              <w:spacing w:line="240" w:lineRule="auto"/>
              <w:ind w:firstLine="0" w:firstLineChars="0"/>
              <w:rPr>
                <w:color w:val="auto"/>
                <w:sz w:val="21"/>
                <w:szCs w:val="21"/>
              </w:rPr>
            </w:pPr>
            <w:r>
              <w:rPr>
                <w:rFonts w:hint="eastAsia"/>
                <w:color w:val="auto"/>
                <w:sz w:val="21"/>
                <w:szCs w:val="21"/>
              </w:rPr>
              <w:t>沸点</w:t>
            </w:r>
          </w:p>
        </w:tc>
        <w:tc>
          <w:tcPr>
            <w:tcW w:w="1277" w:type="pct"/>
            <w:tcBorders>
              <w:tl2br w:val="nil"/>
              <w:tr2bl w:val="nil"/>
            </w:tcBorders>
            <w:vAlign w:val="center"/>
          </w:tcPr>
          <w:p w14:paraId="5307A2F0">
            <w:pPr>
              <w:spacing w:line="240" w:lineRule="auto"/>
              <w:ind w:firstLine="0" w:firstLineChars="0"/>
              <w:rPr>
                <w:color w:val="auto"/>
                <w:sz w:val="21"/>
                <w:szCs w:val="21"/>
              </w:rPr>
            </w:pPr>
            <w:r>
              <w:rPr>
                <w:rFonts w:hint="eastAsia"/>
                <w:color w:val="auto"/>
                <w:sz w:val="21"/>
                <w:szCs w:val="21"/>
              </w:rPr>
              <w:t>48 ℃</w:t>
            </w:r>
          </w:p>
        </w:tc>
        <w:tc>
          <w:tcPr>
            <w:tcW w:w="1377" w:type="pct"/>
            <w:tcBorders>
              <w:tl2br w:val="nil"/>
              <w:tr2bl w:val="nil"/>
            </w:tcBorders>
            <w:vAlign w:val="center"/>
          </w:tcPr>
          <w:p w14:paraId="121FC8D6">
            <w:pPr>
              <w:spacing w:line="240" w:lineRule="auto"/>
              <w:ind w:firstLine="0" w:firstLineChars="0"/>
              <w:rPr>
                <w:color w:val="auto"/>
                <w:sz w:val="21"/>
                <w:szCs w:val="21"/>
              </w:rPr>
            </w:pPr>
            <w:r>
              <w:rPr>
                <w:rFonts w:hint="eastAsia"/>
                <w:color w:val="auto"/>
                <w:sz w:val="21"/>
                <w:szCs w:val="21"/>
              </w:rPr>
              <w:t>密度</w:t>
            </w:r>
          </w:p>
        </w:tc>
        <w:tc>
          <w:tcPr>
            <w:tcW w:w="1574" w:type="pct"/>
            <w:tcBorders>
              <w:tl2br w:val="nil"/>
              <w:tr2bl w:val="nil"/>
            </w:tcBorders>
            <w:vAlign w:val="center"/>
          </w:tcPr>
          <w:p w14:paraId="77FC496F">
            <w:pPr>
              <w:spacing w:line="240" w:lineRule="auto"/>
              <w:ind w:firstLine="0" w:firstLineChars="0"/>
              <w:rPr>
                <w:color w:val="auto"/>
                <w:sz w:val="21"/>
                <w:szCs w:val="21"/>
              </w:rPr>
            </w:pPr>
            <w:r>
              <w:rPr>
                <w:rFonts w:hint="eastAsia"/>
                <w:color w:val="auto"/>
                <w:sz w:val="21"/>
                <w:szCs w:val="21"/>
              </w:rPr>
              <w:t>1.19g/cm³</w:t>
            </w:r>
          </w:p>
        </w:tc>
      </w:tr>
      <w:tr w14:paraId="5C0889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4" w:hRule="atLeast"/>
          <w:jc w:val="center"/>
        </w:trPr>
        <w:tc>
          <w:tcPr>
            <w:tcW w:w="770" w:type="pct"/>
            <w:tcBorders>
              <w:tl2br w:val="nil"/>
              <w:tr2bl w:val="nil"/>
            </w:tcBorders>
            <w:vAlign w:val="center"/>
          </w:tcPr>
          <w:p w14:paraId="4DAA3567">
            <w:pPr>
              <w:spacing w:line="240" w:lineRule="auto"/>
              <w:ind w:firstLine="0" w:firstLineChars="0"/>
              <w:rPr>
                <w:color w:val="auto"/>
                <w:sz w:val="21"/>
                <w:szCs w:val="21"/>
              </w:rPr>
            </w:pPr>
            <w:r>
              <w:rPr>
                <w:rFonts w:hint="eastAsia"/>
                <w:color w:val="auto"/>
                <w:sz w:val="21"/>
                <w:szCs w:val="21"/>
              </w:rPr>
              <w:t>外观与性状</w:t>
            </w:r>
          </w:p>
        </w:tc>
        <w:tc>
          <w:tcPr>
            <w:tcW w:w="4229" w:type="pct"/>
            <w:gridSpan w:val="3"/>
            <w:tcBorders>
              <w:tl2br w:val="nil"/>
              <w:tr2bl w:val="nil"/>
            </w:tcBorders>
            <w:vAlign w:val="center"/>
          </w:tcPr>
          <w:p w14:paraId="10552A60">
            <w:pPr>
              <w:spacing w:line="240" w:lineRule="auto"/>
              <w:ind w:firstLine="0" w:firstLineChars="0"/>
              <w:rPr>
                <w:color w:val="auto"/>
                <w:sz w:val="21"/>
                <w:szCs w:val="21"/>
              </w:rPr>
            </w:pPr>
            <w:r>
              <w:rPr>
                <w:rFonts w:hint="eastAsia"/>
                <w:color w:val="auto"/>
                <w:sz w:val="21"/>
                <w:szCs w:val="21"/>
              </w:rPr>
              <w:t>无色或微黄色发烟液体，有刺鼻的酸味</w:t>
            </w:r>
          </w:p>
        </w:tc>
      </w:tr>
      <w:tr w14:paraId="12E0AF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01" w:hRule="atLeast"/>
          <w:jc w:val="center"/>
        </w:trPr>
        <w:tc>
          <w:tcPr>
            <w:tcW w:w="770" w:type="pct"/>
            <w:tcBorders>
              <w:tl2br w:val="nil"/>
              <w:tr2bl w:val="nil"/>
            </w:tcBorders>
            <w:vAlign w:val="center"/>
          </w:tcPr>
          <w:p w14:paraId="1E293588">
            <w:pPr>
              <w:spacing w:line="240" w:lineRule="auto"/>
              <w:ind w:firstLine="0" w:firstLineChars="0"/>
              <w:rPr>
                <w:color w:val="auto"/>
                <w:sz w:val="21"/>
                <w:szCs w:val="21"/>
              </w:rPr>
            </w:pPr>
            <w:r>
              <w:rPr>
                <w:rFonts w:hint="eastAsia"/>
                <w:color w:val="auto"/>
                <w:sz w:val="21"/>
                <w:szCs w:val="21"/>
              </w:rPr>
              <w:t>危险特征</w:t>
            </w:r>
          </w:p>
        </w:tc>
        <w:tc>
          <w:tcPr>
            <w:tcW w:w="4229" w:type="pct"/>
            <w:gridSpan w:val="3"/>
            <w:tcBorders>
              <w:tl2br w:val="nil"/>
              <w:tr2bl w:val="nil"/>
            </w:tcBorders>
            <w:vAlign w:val="center"/>
          </w:tcPr>
          <w:p w14:paraId="6880EEDB">
            <w:pPr>
              <w:spacing w:line="240" w:lineRule="auto"/>
              <w:ind w:firstLine="0" w:firstLineChars="0"/>
              <w:rPr>
                <w:color w:val="auto"/>
                <w:sz w:val="21"/>
                <w:szCs w:val="21"/>
              </w:rPr>
            </w:pPr>
            <w:r>
              <w:rPr>
                <w:rFonts w:hint="eastAsia"/>
                <w:color w:val="auto"/>
                <w:sz w:val="21"/>
                <w:szCs w:val="21"/>
              </w:rPr>
              <w:t>盐酸溶液是一种具有强酸性的化学物质，具有挥发性和腐蚀性，能与比氢活动的金属发生置换反应，生成氢气，能与金属氧化物（碱性氧化物）和碱发生中和反应，能与某些盐发生复分解反应，氯离子具有弱还原性，可被强氧化剂氧化成氯气</w:t>
            </w:r>
          </w:p>
        </w:tc>
      </w:tr>
      <w:tr w14:paraId="5DB28A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79" w:hRule="atLeast"/>
          <w:jc w:val="center"/>
        </w:trPr>
        <w:tc>
          <w:tcPr>
            <w:tcW w:w="770" w:type="pct"/>
            <w:tcBorders>
              <w:tl2br w:val="nil"/>
              <w:tr2bl w:val="nil"/>
            </w:tcBorders>
            <w:vAlign w:val="center"/>
          </w:tcPr>
          <w:p w14:paraId="7B0D8F3E">
            <w:pPr>
              <w:spacing w:line="240" w:lineRule="auto"/>
              <w:ind w:firstLine="0" w:firstLineChars="0"/>
              <w:rPr>
                <w:color w:val="auto"/>
                <w:sz w:val="21"/>
                <w:szCs w:val="21"/>
              </w:rPr>
            </w:pPr>
            <w:r>
              <w:rPr>
                <w:rFonts w:hint="eastAsia"/>
                <w:color w:val="auto"/>
                <w:sz w:val="21"/>
                <w:szCs w:val="21"/>
              </w:rPr>
              <w:t>毒理性质</w:t>
            </w:r>
          </w:p>
          <w:p w14:paraId="1337E35E">
            <w:pPr>
              <w:spacing w:line="240" w:lineRule="auto"/>
              <w:ind w:firstLine="0" w:firstLineChars="0"/>
              <w:rPr>
                <w:color w:val="auto"/>
                <w:sz w:val="21"/>
                <w:szCs w:val="21"/>
              </w:rPr>
            </w:pPr>
          </w:p>
        </w:tc>
        <w:tc>
          <w:tcPr>
            <w:tcW w:w="4229" w:type="pct"/>
            <w:gridSpan w:val="3"/>
            <w:tcBorders>
              <w:tl2br w:val="nil"/>
              <w:tr2bl w:val="nil"/>
            </w:tcBorders>
            <w:vAlign w:val="center"/>
          </w:tcPr>
          <w:p w14:paraId="7D9D9F5B">
            <w:pPr>
              <w:spacing w:line="240" w:lineRule="auto"/>
              <w:ind w:firstLine="0" w:firstLineChars="0"/>
              <w:rPr>
                <w:color w:val="auto"/>
                <w:sz w:val="21"/>
                <w:szCs w:val="21"/>
              </w:rPr>
            </w:pPr>
            <w:r>
              <w:rPr>
                <w:rFonts w:hint="eastAsia"/>
                <w:color w:val="auto"/>
                <w:sz w:val="21"/>
                <w:szCs w:val="21"/>
              </w:rPr>
              <w:t>急性毒性：LD50900mg/kg（兔经口）；LC503124ppm，1小时（大鼠吸入）</w:t>
            </w:r>
          </w:p>
        </w:tc>
      </w:tr>
      <w:tr w14:paraId="68E232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98" w:hRule="atLeast"/>
          <w:jc w:val="center"/>
        </w:trPr>
        <w:tc>
          <w:tcPr>
            <w:tcW w:w="770" w:type="pct"/>
            <w:tcBorders>
              <w:tl2br w:val="nil"/>
              <w:tr2bl w:val="nil"/>
            </w:tcBorders>
            <w:vAlign w:val="center"/>
          </w:tcPr>
          <w:p w14:paraId="0C469EA3">
            <w:pPr>
              <w:spacing w:line="240" w:lineRule="auto"/>
              <w:ind w:firstLine="0" w:firstLineChars="0"/>
              <w:rPr>
                <w:color w:val="auto"/>
                <w:sz w:val="21"/>
                <w:szCs w:val="21"/>
              </w:rPr>
            </w:pPr>
            <w:r>
              <w:rPr>
                <w:rFonts w:hint="eastAsia"/>
                <w:color w:val="auto"/>
                <w:sz w:val="21"/>
                <w:szCs w:val="21"/>
              </w:rPr>
              <w:t>储存方法</w:t>
            </w:r>
          </w:p>
          <w:p w14:paraId="5BD3DC34">
            <w:pPr>
              <w:spacing w:line="240" w:lineRule="auto"/>
              <w:ind w:firstLine="0" w:firstLineChars="0"/>
              <w:rPr>
                <w:color w:val="auto"/>
                <w:sz w:val="21"/>
                <w:szCs w:val="21"/>
              </w:rPr>
            </w:pPr>
          </w:p>
        </w:tc>
        <w:tc>
          <w:tcPr>
            <w:tcW w:w="4229" w:type="pct"/>
            <w:gridSpan w:val="3"/>
            <w:tcBorders>
              <w:tl2br w:val="nil"/>
              <w:tr2bl w:val="nil"/>
            </w:tcBorders>
            <w:vAlign w:val="center"/>
          </w:tcPr>
          <w:p w14:paraId="36F8C3BD">
            <w:pPr>
              <w:spacing w:line="240" w:lineRule="auto"/>
              <w:ind w:firstLine="0" w:firstLineChars="0"/>
              <w:rPr>
                <w:color w:val="auto"/>
                <w:sz w:val="21"/>
                <w:szCs w:val="21"/>
              </w:rPr>
            </w:pPr>
            <w:r>
              <w:rPr>
                <w:rFonts w:hint="eastAsia"/>
                <w:color w:val="auto"/>
                <w:sz w:val="21"/>
                <w:szCs w:val="21"/>
              </w:rPr>
              <w:t>储存于阴凉、通风的库房。库温不超过35℃，相对湿度不超过85%。保持容器密封。远离火种、热源，工作场所严禁吸烟。远离易燃、可燃物。防止蒸气泄漏到工作场所空气中。避免与还原剂、碱类、</w:t>
            </w:r>
            <w:r>
              <w:rPr>
                <w:color w:val="auto"/>
              </w:rPr>
              <w:fldChar w:fldCharType="begin"/>
            </w:r>
            <w:r>
              <w:rPr>
                <w:color w:val="auto"/>
              </w:rPr>
              <w:instrText xml:space="preserve"> HYPERLINK "https://baike.baidu.com/item/%E7%A2%B1%E9%87%91%E5%B1%9E/0?fromModule=lemma_inlink" \t "https://baike.baidu.com/item/%E7%A1%AB%E9%85%B8/_blank" </w:instrText>
            </w:r>
            <w:r>
              <w:rPr>
                <w:color w:val="auto"/>
              </w:rPr>
              <w:fldChar w:fldCharType="separate"/>
            </w:r>
            <w:r>
              <w:rPr>
                <w:rFonts w:hint="eastAsia"/>
                <w:color w:val="auto"/>
                <w:sz w:val="21"/>
                <w:szCs w:val="21"/>
              </w:rPr>
              <w:t>碱金属</w:t>
            </w:r>
            <w:r>
              <w:rPr>
                <w:rFonts w:hint="eastAsia"/>
                <w:color w:val="auto"/>
                <w:sz w:val="21"/>
                <w:szCs w:val="21"/>
              </w:rPr>
              <w:fldChar w:fldCharType="end"/>
            </w:r>
            <w:r>
              <w:rPr>
                <w:rFonts w:hint="eastAsia"/>
                <w:color w:val="auto"/>
                <w:sz w:val="21"/>
                <w:szCs w:val="21"/>
              </w:rPr>
              <w:t>接触。搬运时要轻装轻卸，防止包装及容器损坏。配备相应品种和数量的消防器材及泄漏应急处理设备。倒空的容器可能残留有害物。稀释或制备溶液时，应把酸加入水中，避免沸腾和飞溅伤及人员</w:t>
            </w:r>
          </w:p>
        </w:tc>
      </w:tr>
      <w:tr w14:paraId="3D8D76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396" w:hRule="atLeast"/>
          <w:jc w:val="center"/>
        </w:trPr>
        <w:tc>
          <w:tcPr>
            <w:tcW w:w="770" w:type="pct"/>
            <w:tcBorders>
              <w:tl2br w:val="nil"/>
              <w:tr2bl w:val="nil"/>
            </w:tcBorders>
            <w:vAlign w:val="center"/>
          </w:tcPr>
          <w:p w14:paraId="33A7621C">
            <w:pPr>
              <w:spacing w:line="240" w:lineRule="auto"/>
              <w:ind w:firstLine="0" w:firstLineChars="0"/>
              <w:rPr>
                <w:color w:val="auto"/>
                <w:sz w:val="21"/>
                <w:szCs w:val="21"/>
              </w:rPr>
            </w:pPr>
            <w:r>
              <w:rPr>
                <w:rFonts w:hint="eastAsia"/>
                <w:color w:val="auto"/>
                <w:sz w:val="21"/>
                <w:szCs w:val="21"/>
              </w:rPr>
              <w:t>泄漏应急处理</w:t>
            </w:r>
          </w:p>
        </w:tc>
        <w:tc>
          <w:tcPr>
            <w:tcW w:w="4229" w:type="pct"/>
            <w:gridSpan w:val="3"/>
            <w:tcBorders>
              <w:tl2br w:val="nil"/>
              <w:tr2bl w:val="nil"/>
            </w:tcBorders>
            <w:vAlign w:val="center"/>
          </w:tcPr>
          <w:p w14:paraId="6069DD02">
            <w:pPr>
              <w:spacing w:line="240" w:lineRule="auto"/>
              <w:ind w:firstLine="0" w:firstLineChars="0"/>
              <w:rPr>
                <w:color w:val="auto"/>
                <w:sz w:val="21"/>
                <w:szCs w:val="21"/>
              </w:rPr>
            </w:pPr>
            <w:r>
              <w:rPr>
                <w:rFonts w:hint="eastAsia"/>
                <w:color w:val="auto"/>
                <w:sz w:val="21"/>
                <w:szCs w:val="21"/>
              </w:rPr>
              <w:t>迅速撤离泄漏污染区人员至安全区，并进行隔离，严格限制出入。切断火源。建议应急处理人员戴自给正压式呼吸器，穿消防防护服。尽可能切断泄漏源，防止进入下水道、排洪沟等限制性空间。</w:t>
            </w:r>
          </w:p>
          <w:p w14:paraId="7DC5DF65">
            <w:pPr>
              <w:spacing w:line="240" w:lineRule="auto"/>
              <w:ind w:firstLine="0" w:firstLineChars="0"/>
              <w:rPr>
                <w:color w:val="auto"/>
                <w:sz w:val="21"/>
                <w:szCs w:val="21"/>
              </w:rPr>
            </w:pPr>
            <w:r>
              <w:rPr>
                <w:rFonts w:hint="eastAsia"/>
                <w:color w:val="auto"/>
                <w:sz w:val="21"/>
                <w:szCs w:val="21"/>
              </w:rPr>
              <w:t>小量泄漏：用砂土或其他不燃材料吸附或吸收。也可用大量水冲洗，洗水稀释后放入废水系统。</w:t>
            </w:r>
          </w:p>
          <w:p w14:paraId="7C2C57B4">
            <w:pPr>
              <w:spacing w:line="240" w:lineRule="auto"/>
              <w:ind w:firstLine="0" w:firstLineChars="0"/>
              <w:rPr>
                <w:color w:val="auto"/>
                <w:sz w:val="21"/>
                <w:szCs w:val="21"/>
              </w:rPr>
            </w:pPr>
            <w:r>
              <w:rPr>
                <w:rFonts w:hint="eastAsia"/>
                <w:color w:val="auto"/>
                <w:sz w:val="21"/>
                <w:szCs w:val="21"/>
              </w:rPr>
              <w:t>大量泄漏：构筑围堤或挖坑收容。用泡沫覆盖，降低蒸汽灾害。用防爆泵转移至槽车或专用收集器内，回收或运至废物处理场所处置。</w:t>
            </w:r>
          </w:p>
        </w:tc>
      </w:tr>
      <w:tr w14:paraId="3BB4B0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201" w:hRule="atLeast"/>
          <w:jc w:val="center"/>
        </w:trPr>
        <w:tc>
          <w:tcPr>
            <w:tcW w:w="770" w:type="pct"/>
            <w:tcBorders>
              <w:tl2br w:val="nil"/>
              <w:tr2bl w:val="nil"/>
            </w:tcBorders>
            <w:vAlign w:val="center"/>
          </w:tcPr>
          <w:p w14:paraId="27EE6CB6">
            <w:pPr>
              <w:spacing w:line="240" w:lineRule="auto"/>
              <w:ind w:firstLine="0" w:firstLineChars="0"/>
              <w:rPr>
                <w:color w:val="auto"/>
                <w:sz w:val="21"/>
                <w:szCs w:val="21"/>
              </w:rPr>
            </w:pPr>
            <w:r>
              <w:rPr>
                <w:rFonts w:hint="eastAsia"/>
                <w:color w:val="auto"/>
                <w:sz w:val="21"/>
                <w:szCs w:val="21"/>
              </w:rPr>
              <w:t>急 救 措 施</w:t>
            </w:r>
          </w:p>
        </w:tc>
        <w:tc>
          <w:tcPr>
            <w:tcW w:w="4229" w:type="pct"/>
            <w:gridSpan w:val="3"/>
            <w:tcBorders>
              <w:tl2br w:val="nil"/>
              <w:tr2bl w:val="nil"/>
            </w:tcBorders>
            <w:vAlign w:val="center"/>
          </w:tcPr>
          <w:p w14:paraId="1DC30016">
            <w:pPr>
              <w:spacing w:line="240" w:lineRule="auto"/>
              <w:ind w:firstLine="0" w:firstLineChars="0"/>
              <w:rPr>
                <w:color w:val="auto"/>
                <w:sz w:val="21"/>
                <w:szCs w:val="21"/>
              </w:rPr>
            </w:pPr>
            <w:r>
              <w:rPr>
                <w:rFonts w:hint="eastAsia"/>
                <w:color w:val="auto"/>
                <w:sz w:val="21"/>
                <w:szCs w:val="21"/>
              </w:rPr>
              <w:t>吸入蒸气：吸入蒸气后应迅速脱离现场至空气新鲜处。保持呼吸道通畅。如呼吸困难，给输氧。如呼吸停止，立即进行人工呼吸。迅速就医。</w:t>
            </w:r>
          </w:p>
          <w:p w14:paraId="556E14B8">
            <w:pPr>
              <w:spacing w:line="240" w:lineRule="auto"/>
              <w:ind w:firstLine="0" w:firstLineChars="0"/>
              <w:rPr>
                <w:color w:val="auto"/>
                <w:sz w:val="21"/>
                <w:szCs w:val="21"/>
              </w:rPr>
            </w:pPr>
            <w:r>
              <w:rPr>
                <w:rFonts w:hint="eastAsia"/>
                <w:color w:val="auto"/>
                <w:sz w:val="21"/>
                <w:szCs w:val="21"/>
              </w:rPr>
              <w:t>皮肤接触：需要用大量水冲洗，再涂上3%～5%碳酸氢钠</w:t>
            </w:r>
            <w:r>
              <w:rPr>
                <w:rFonts w:hint="eastAsia"/>
                <w:color w:val="auto"/>
                <w:sz w:val="21"/>
                <w:szCs w:val="21"/>
                <w:lang w:eastAsia="zh-CN"/>
              </w:rPr>
              <w:t>溶液</w:t>
            </w:r>
            <w:r>
              <w:rPr>
                <w:rFonts w:hint="eastAsia"/>
                <w:color w:val="auto"/>
                <w:sz w:val="21"/>
                <w:szCs w:val="21"/>
              </w:rPr>
              <w:t>，迅速就医。</w:t>
            </w:r>
          </w:p>
          <w:p w14:paraId="29DC04F9">
            <w:pPr>
              <w:spacing w:line="240" w:lineRule="auto"/>
              <w:ind w:firstLine="0" w:firstLineChars="0"/>
              <w:rPr>
                <w:color w:val="auto"/>
                <w:sz w:val="21"/>
                <w:szCs w:val="21"/>
              </w:rPr>
            </w:pPr>
            <w:r>
              <w:rPr>
                <w:rFonts w:hint="eastAsia"/>
                <w:color w:val="auto"/>
                <w:sz w:val="21"/>
                <w:szCs w:val="21"/>
              </w:rPr>
              <w:t>眼睛接触：立即提起眼睑，用大量流动清水或生理盐水彻底冲洗至少15分钟。迅速就医。</w:t>
            </w:r>
          </w:p>
          <w:p w14:paraId="42E9D7A6">
            <w:pPr>
              <w:spacing w:line="240" w:lineRule="auto"/>
              <w:ind w:firstLine="0" w:firstLineChars="0"/>
              <w:rPr>
                <w:color w:val="auto"/>
                <w:sz w:val="21"/>
                <w:szCs w:val="21"/>
              </w:rPr>
            </w:pPr>
            <w:r>
              <w:rPr>
                <w:rFonts w:hint="eastAsia"/>
                <w:color w:val="auto"/>
                <w:sz w:val="21"/>
                <w:szCs w:val="21"/>
              </w:rPr>
              <w:t>食入：误服后应用水漱口，给饮牛奶或蛋清，迅速就医</w:t>
            </w:r>
          </w:p>
        </w:tc>
      </w:tr>
    </w:tbl>
    <w:p w14:paraId="1EAC2061">
      <w:pPr>
        <w:adjustRightInd/>
        <w:snapToGrid/>
        <w:spacing w:line="360" w:lineRule="auto"/>
        <w:ind w:firstLine="482"/>
        <w:jc w:val="center"/>
        <w:rPr>
          <w:b/>
          <w:color w:val="auto"/>
          <w:szCs w:val="24"/>
        </w:rPr>
      </w:pPr>
    </w:p>
    <w:p w14:paraId="4522E93C">
      <w:pPr>
        <w:adjustRightInd/>
        <w:snapToGrid/>
        <w:spacing w:line="360" w:lineRule="auto"/>
        <w:ind w:firstLine="482"/>
        <w:jc w:val="center"/>
        <w:rPr>
          <w:color w:val="auto"/>
          <w:szCs w:val="24"/>
        </w:rPr>
      </w:pPr>
      <w:r>
        <w:rPr>
          <w:b/>
          <w:color w:val="auto"/>
          <w:szCs w:val="24"/>
        </w:rPr>
        <w:t xml:space="preserve">表7.2-4  </w:t>
      </w:r>
      <w:r>
        <w:rPr>
          <w:rFonts w:hint="eastAsia"/>
          <w:b/>
          <w:color w:val="auto"/>
          <w:szCs w:val="24"/>
        </w:rPr>
        <w:t>双氧水理化性质表</w:t>
      </w:r>
    </w:p>
    <w:tbl>
      <w:tblPr>
        <w:tblStyle w:val="88"/>
        <w:tblW w:w="4995"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429"/>
        <w:gridCol w:w="2370"/>
        <w:gridCol w:w="2555"/>
        <w:gridCol w:w="2923"/>
      </w:tblGrid>
      <w:tr w14:paraId="1C506A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4" w:hRule="atLeast"/>
          <w:jc w:val="center"/>
        </w:trPr>
        <w:tc>
          <w:tcPr>
            <w:tcW w:w="770" w:type="pct"/>
            <w:tcBorders>
              <w:tl2br w:val="nil"/>
              <w:tr2bl w:val="nil"/>
            </w:tcBorders>
            <w:vAlign w:val="center"/>
          </w:tcPr>
          <w:p w14:paraId="4737BB73">
            <w:pPr>
              <w:spacing w:line="240" w:lineRule="auto"/>
              <w:ind w:firstLine="0" w:firstLineChars="0"/>
              <w:rPr>
                <w:color w:val="auto"/>
                <w:sz w:val="21"/>
                <w:szCs w:val="21"/>
              </w:rPr>
            </w:pPr>
            <w:r>
              <w:rPr>
                <w:rFonts w:hint="eastAsia"/>
                <w:color w:val="auto"/>
                <w:sz w:val="21"/>
                <w:szCs w:val="21"/>
              </w:rPr>
              <w:t>名 称</w:t>
            </w:r>
          </w:p>
        </w:tc>
        <w:tc>
          <w:tcPr>
            <w:tcW w:w="1277" w:type="pct"/>
            <w:tcBorders>
              <w:tl2br w:val="nil"/>
              <w:tr2bl w:val="nil"/>
            </w:tcBorders>
            <w:vAlign w:val="center"/>
          </w:tcPr>
          <w:p w14:paraId="58A7AD90">
            <w:pPr>
              <w:spacing w:line="240" w:lineRule="auto"/>
              <w:ind w:firstLine="0" w:firstLineChars="0"/>
              <w:rPr>
                <w:color w:val="auto"/>
                <w:sz w:val="21"/>
                <w:szCs w:val="21"/>
              </w:rPr>
            </w:pPr>
            <w:r>
              <w:rPr>
                <w:rFonts w:hint="eastAsia"/>
                <w:color w:val="auto"/>
                <w:sz w:val="21"/>
                <w:szCs w:val="21"/>
              </w:rPr>
              <w:t>双氧水</w:t>
            </w:r>
          </w:p>
        </w:tc>
        <w:tc>
          <w:tcPr>
            <w:tcW w:w="1377" w:type="pct"/>
            <w:tcBorders>
              <w:tl2br w:val="nil"/>
              <w:tr2bl w:val="nil"/>
            </w:tcBorders>
            <w:vAlign w:val="center"/>
          </w:tcPr>
          <w:p w14:paraId="61902CCE">
            <w:pPr>
              <w:spacing w:line="240" w:lineRule="auto"/>
              <w:ind w:firstLine="0" w:firstLineChars="0"/>
              <w:rPr>
                <w:color w:val="auto"/>
                <w:sz w:val="21"/>
                <w:szCs w:val="21"/>
              </w:rPr>
            </w:pPr>
            <w:r>
              <w:rPr>
                <w:rFonts w:hint="eastAsia"/>
                <w:color w:val="auto"/>
                <w:sz w:val="21"/>
                <w:szCs w:val="21"/>
              </w:rPr>
              <w:t>分子量</w:t>
            </w:r>
          </w:p>
        </w:tc>
        <w:tc>
          <w:tcPr>
            <w:tcW w:w="1574" w:type="pct"/>
            <w:tcBorders>
              <w:tl2br w:val="nil"/>
              <w:tr2bl w:val="nil"/>
            </w:tcBorders>
            <w:vAlign w:val="center"/>
          </w:tcPr>
          <w:p w14:paraId="72C09C5B">
            <w:pPr>
              <w:spacing w:line="240" w:lineRule="auto"/>
              <w:ind w:firstLine="0" w:firstLineChars="0"/>
              <w:rPr>
                <w:color w:val="auto"/>
                <w:sz w:val="21"/>
                <w:szCs w:val="21"/>
              </w:rPr>
            </w:pPr>
            <w:r>
              <w:rPr>
                <w:rFonts w:hint="eastAsia"/>
                <w:color w:val="auto"/>
                <w:sz w:val="21"/>
                <w:szCs w:val="21"/>
              </w:rPr>
              <w:t>34.015</w:t>
            </w:r>
          </w:p>
        </w:tc>
      </w:tr>
      <w:tr w14:paraId="5BA179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4" w:hRule="atLeast"/>
          <w:jc w:val="center"/>
        </w:trPr>
        <w:tc>
          <w:tcPr>
            <w:tcW w:w="770" w:type="pct"/>
            <w:tcBorders>
              <w:tl2br w:val="nil"/>
              <w:tr2bl w:val="nil"/>
            </w:tcBorders>
            <w:vAlign w:val="center"/>
          </w:tcPr>
          <w:p w14:paraId="6AA23D73">
            <w:pPr>
              <w:spacing w:line="240" w:lineRule="auto"/>
              <w:ind w:firstLine="0" w:firstLineChars="0"/>
              <w:rPr>
                <w:color w:val="auto"/>
                <w:sz w:val="21"/>
                <w:szCs w:val="21"/>
              </w:rPr>
            </w:pPr>
            <w:r>
              <w:rPr>
                <w:rFonts w:hint="eastAsia"/>
                <w:color w:val="auto"/>
                <w:sz w:val="21"/>
                <w:szCs w:val="21"/>
              </w:rPr>
              <w:t>CAS</w:t>
            </w:r>
          </w:p>
        </w:tc>
        <w:tc>
          <w:tcPr>
            <w:tcW w:w="1277" w:type="pct"/>
            <w:tcBorders>
              <w:tl2br w:val="nil"/>
              <w:tr2bl w:val="nil"/>
            </w:tcBorders>
            <w:vAlign w:val="center"/>
          </w:tcPr>
          <w:p w14:paraId="5022D6ED">
            <w:pPr>
              <w:spacing w:line="240" w:lineRule="auto"/>
              <w:ind w:firstLine="0" w:firstLineChars="0"/>
              <w:rPr>
                <w:color w:val="auto"/>
                <w:sz w:val="21"/>
                <w:szCs w:val="21"/>
              </w:rPr>
            </w:pPr>
            <w:r>
              <w:rPr>
                <w:rFonts w:hint="eastAsia"/>
                <w:color w:val="auto"/>
                <w:sz w:val="21"/>
                <w:szCs w:val="21"/>
              </w:rPr>
              <w:t>7722-84-1</w:t>
            </w:r>
          </w:p>
        </w:tc>
        <w:tc>
          <w:tcPr>
            <w:tcW w:w="1377" w:type="pct"/>
            <w:tcBorders>
              <w:tl2br w:val="nil"/>
              <w:tr2bl w:val="nil"/>
            </w:tcBorders>
            <w:vAlign w:val="center"/>
          </w:tcPr>
          <w:p w14:paraId="61A1655B">
            <w:pPr>
              <w:spacing w:line="240" w:lineRule="auto"/>
              <w:ind w:firstLine="0" w:firstLineChars="0"/>
              <w:rPr>
                <w:color w:val="auto"/>
                <w:sz w:val="21"/>
                <w:szCs w:val="21"/>
              </w:rPr>
            </w:pPr>
            <w:r>
              <w:rPr>
                <w:rFonts w:hint="eastAsia"/>
                <w:color w:val="auto"/>
                <w:sz w:val="21"/>
                <w:szCs w:val="21"/>
              </w:rPr>
              <w:t>化  学   式</w:t>
            </w:r>
          </w:p>
        </w:tc>
        <w:tc>
          <w:tcPr>
            <w:tcW w:w="1574" w:type="pct"/>
            <w:tcBorders>
              <w:tl2br w:val="nil"/>
              <w:tr2bl w:val="nil"/>
            </w:tcBorders>
            <w:vAlign w:val="center"/>
          </w:tcPr>
          <w:p w14:paraId="7E2F2942">
            <w:pPr>
              <w:spacing w:line="240" w:lineRule="auto"/>
              <w:ind w:firstLine="0" w:firstLineChars="0"/>
              <w:rPr>
                <w:color w:val="auto"/>
                <w:sz w:val="21"/>
                <w:szCs w:val="21"/>
              </w:rPr>
            </w:pPr>
            <w:r>
              <w:rPr>
                <w:rFonts w:hint="eastAsia"/>
                <w:color w:val="auto"/>
                <w:sz w:val="21"/>
                <w:szCs w:val="21"/>
              </w:rPr>
              <w:t>H2O2</w:t>
            </w:r>
          </w:p>
        </w:tc>
      </w:tr>
      <w:tr w14:paraId="656054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4" w:hRule="atLeast"/>
          <w:jc w:val="center"/>
        </w:trPr>
        <w:tc>
          <w:tcPr>
            <w:tcW w:w="770" w:type="pct"/>
            <w:tcBorders>
              <w:tl2br w:val="nil"/>
              <w:tr2bl w:val="nil"/>
            </w:tcBorders>
            <w:vAlign w:val="center"/>
          </w:tcPr>
          <w:p w14:paraId="12C2EC28">
            <w:pPr>
              <w:spacing w:line="240" w:lineRule="auto"/>
              <w:ind w:firstLine="0" w:firstLineChars="0"/>
              <w:rPr>
                <w:color w:val="auto"/>
                <w:sz w:val="21"/>
                <w:szCs w:val="21"/>
              </w:rPr>
            </w:pPr>
            <w:r>
              <w:rPr>
                <w:rFonts w:hint="eastAsia"/>
                <w:color w:val="auto"/>
                <w:sz w:val="21"/>
                <w:szCs w:val="21"/>
              </w:rPr>
              <w:t>闪点</w:t>
            </w:r>
          </w:p>
        </w:tc>
        <w:tc>
          <w:tcPr>
            <w:tcW w:w="1277" w:type="pct"/>
            <w:tcBorders>
              <w:tl2br w:val="nil"/>
              <w:tr2bl w:val="nil"/>
            </w:tcBorders>
            <w:vAlign w:val="center"/>
          </w:tcPr>
          <w:p w14:paraId="5D7B2C3B">
            <w:pPr>
              <w:spacing w:line="240" w:lineRule="auto"/>
              <w:ind w:firstLine="0" w:firstLineChars="0"/>
              <w:rPr>
                <w:color w:val="auto"/>
                <w:sz w:val="21"/>
                <w:szCs w:val="21"/>
              </w:rPr>
            </w:pPr>
            <w:r>
              <w:rPr>
                <w:rFonts w:hint="eastAsia"/>
                <w:color w:val="auto"/>
                <w:sz w:val="21"/>
                <w:szCs w:val="21"/>
              </w:rPr>
              <w:t>/</w:t>
            </w:r>
          </w:p>
        </w:tc>
        <w:tc>
          <w:tcPr>
            <w:tcW w:w="1377" w:type="pct"/>
            <w:tcBorders>
              <w:tl2br w:val="nil"/>
              <w:tr2bl w:val="nil"/>
            </w:tcBorders>
            <w:vAlign w:val="center"/>
          </w:tcPr>
          <w:p w14:paraId="3624262B">
            <w:pPr>
              <w:spacing w:line="240" w:lineRule="auto"/>
              <w:ind w:firstLine="0" w:firstLineChars="0"/>
              <w:rPr>
                <w:color w:val="auto"/>
                <w:sz w:val="21"/>
                <w:szCs w:val="21"/>
              </w:rPr>
            </w:pPr>
            <w:r>
              <w:rPr>
                <w:rFonts w:hint="eastAsia"/>
                <w:color w:val="auto"/>
                <w:sz w:val="21"/>
                <w:szCs w:val="21"/>
              </w:rPr>
              <w:t>熔    点</w:t>
            </w:r>
          </w:p>
        </w:tc>
        <w:tc>
          <w:tcPr>
            <w:tcW w:w="1574" w:type="pct"/>
            <w:tcBorders>
              <w:tl2br w:val="nil"/>
              <w:tr2bl w:val="nil"/>
            </w:tcBorders>
            <w:vAlign w:val="center"/>
          </w:tcPr>
          <w:p w14:paraId="4D703B91">
            <w:pPr>
              <w:spacing w:line="240" w:lineRule="auto"/>
              <w:ind w:firstLine="0" w:firstLineChars="0"/>
              <w:rPr>
                <w:color w:val="auto"/>
                <w:sz w:val="21"/>
                <w:szCs w:val="21"/>
              </w:rPr>
            </w:pPr>
            <w:r>
              <w:rPr>
                <w:rFonts w:hint="eastAsia"/>
                <w:color w:val="auto"/>
                <w:sz w:val="21"/>
                <w:szCs w:val="21"/>
              </w:rPr>
              <w:t>-11 ℃</w:t>
            </w:r>
          </w:p>
        </w:tc>
      </w:tr>
      <w:tr w14:paraId="5A353AC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4" w:hRule="atLeast"/>
          <w:jc w:val="center"/>
        </w:trPr>
        <w:tc>
          <w:tcPr>
            <w:tcW w:w="770" w:type="pct"/>
            <w:tcBorders>
              <w:tl2br w:val="nil"/>
              <w:tr2bl w:val="nil"/>
            </w:tcBorders>
            <w:vAlign w:val="center"/>
          </w:tcPr>
          <w:p w14:paraId="686C934F">
            <w:pPr>
              <w:spacing w:line="240" w:lineRule="auto"/>
              <w:ind w:firstLine="0" w:firstLineChars="0"/>
              <w:rPr>
                <w:color w:val="auto"/>
                <w:sz w:val="21"/>
                <w:szCs w:val="21"/>
              </w:rPr>
            </w:pPr>
            <w:r>
              <w:rPr>
                <w:rFonts w:hint="eastAsia"/>
                <w:color w:val="auto"/>
                <w:sz w:val="21"/>
                <w:szCs w:val="21"/>
              </w:rPr>
              <w:t>沸点</w:t>
            </w:r>
          </w:p>
        </w:tc>
        <w:tc>
          <w:tcPr>
            <w:tcW w:w="1277" w:type="pct"/>
            <w:tcBorders>
              <w:tl2br w:val="nil"/>
              <w:tr2bl w:val="nil"/>
            </w:tcBorders>
            <w:vAlign w:val="center"/>
          </w:tcPr>
          <w:p w14:paraId="2C7AB7A5">
            <w:pPr>
              <w:spacing w:line="240" w:lineRule="auto"/>
              <w:ind w:firstLine="0" w:firstLineChars="0"/>
              <w:rPr>
                <w:color w:val="auto"/>
                <w:sz w:val="21"/>
                <w:szCs w:val="21"/>
              </w:rPr>
            </w:pPr>
            <w:r>
              <w:rPr>
                <w:rFonts w:hint="eastAsia"/>
                <w:color w:val="auto"/>
                <w:sz w:val="21"/>
                <w:szCs w:val="21"/>
              </w:rPr>
              <w:t>150.2 ℃</w:t>
            </w:r>
          </w:p>
        </w:tc>
        <w:tc>
          <w:tcPr>
            <w:tcW w:w="1377" w:type="pct"/>
            <w:tcBorders>
              <w:tl2br w:val="nil"/>
              <w:tr2bl w:val="nil"/>
            </w:tcBorders>
            <w:vAlign w:val="center"/>
          </w:tcPr>
          <w:p w14:paraId="33971724">
            <w:pPr>
              <w:spacing w:line="240" w:lineRule="auto"/>
              <w:ind w:firstLine="0" w:firstLineChars="0"/>
              <w:rPr>
                <w:color w:val="auto"/>
                <w:sz w:val="21"/>
                <w:szCs w:val="21"/>
              </w:rPr>
            </w:pPr>
            <w:r>
              <w:rPr>
                <w:rFonts w:hint="eastAsia"/>
                <w:color w:val="auto"/>
                <w:sz w:val="21"/>
                <w:szCs w:val="21"/>
              </w:rPr>
              <w:t>密度</w:t>
            </w:r>
          </w:p>
        </w:tc>
        <w:tc>
          <w:tcPr>
            <w:tcW w:w="1574" w:type="pct"/>
            <w:tcBorders>
              <w:tl2br w:val="nil"/>
              <w:tr2bl w:val="nil"/>
            </w:tcBorders>
            <w:vAlign w:val="center"/>
          </w:tcPr>
          <w:p w14:paraId="7297CCC7">
            <w:pPr>
              <w:spacing w:line="240" w:lineRule="auto"/>
              <w:ind w:firstLine="0" w:firstLineChars="0"/>
              <w:rPr>
                <w:color w:val="auto"/>
                <w:sz w:val="21"/>
                <w:szCs w:val="21"/>
              </w:rPr>
            </w:pPr>
            <w:r>
              <w:rPr>
                <w:rFonts w:hint="eastAsia"/>
                <w:color w:val="auto"/>
                <w:sz w:val="21"/>
                <w:szCs w:val="21"/>
              </w:rPr>
              <w:t>1.407g/cm³</w:t>
            </w:r>
          </w:p>
        </w:tc>
      </w:tr>
      <w:tr w14:paraId="39370EF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4" w:hRule="atLeast"/>
          <w:jc w:val="center"/>
        </w:trPr>
        <w:tc>
          <w:tcPr>
            <w:tcW w:w="770" w:type="pct"/>
            <w:tcBorders>
              <w:tl2br w:val="nil"/>
              <w:tr2bl w:val="nil"/>
            </w:tcBorders>
            <w:vAlign w:val="center"/>
          </w:tcPr>
          <w:p w14:paraId="4512C790">
            <w:pPr>
              <w:spacing w:line="240" w:lineRule="auto"/>
              <w:ind w:firstLine="0" w:firstLineChars="0"/>
              <w:rPr>
                <w:color w:val="auto"/>
                <w:sz w:val="21"/>
                <w:szCs w:val="21"/>
              </w:rPr>
            </w:pPr>
            <w:r>
              <w:rPr>
                <w:rFonts w:hint="eastAsia"/>
                <w:color w:val="auto"/>
                <w:sz w:val="21"/>
                <w:szCs w:val="21"/>
              </w:rPr>
              <w:t>外观与性状</w:t>
            </w:r>
          </w:p>
        </w:tc>
        <w:tc>
          <w:tcPr>
            <w:tcW w:w="4229" w:type="pct"/>
            <w:gridSpan w:val="3"/>
            <w:tcBorders>
              <w:tl2br w:val="nil"/>
              <w:tr2bl w:val="nil"/>
            </w:tcBorders>
            <w:vAlign w:val="center"/>
          </w:tcPr>
          <w:p w14:paraId="4FB5B17C">
            <w:pPr>
              <w:spacing w:line="240" w:lineRule="auto"/>
              <w:ind w:firstLine="0" w:firstLineChars="0"/>
              <w:rPr>
                <w:color w:val="auto"/>
                <w:sz w:val="21"/>
                <w:szCs w:val="21"/>
              </w:rPr>
            </w:pPr>
            <w:r>
              <w:rPr>
                <w:rFonts w:hint="eastAsia"/>
                <w:color w:val="auto"/>
                <w:sz w:val="21"/>
                <w:szCs w:val="21"/>
              </w:rPr>
              <w:t>无色透明液体</w:t>
            </w:r>
          </w:p>
        </w:tc>
      </w:tr>
      <w:tr w14:paraId="78E659C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01" w:hRule="atLeast"/>
          <w:jc w:val="center"/>
        </w:trPr>
        <w:tc>
          <w:tcPr>
            <w:tcW w:w="770" w:type="pct"/>
            <w:tcBorders>
              <w:tl2br w:val="nil"/>
              <w:tr2bl w:val="nil"/>
            </w:tcBorders>
            <w:vAlign w:val="center"/>
          </w:tcPr>
          <w:p w14:paraId="1202482F">
            <w:pPr>
              <w:spacing w:line="240" w:lineRule="auto"/>
              <w:ind w:firstLine="0" w:firstLineChars="0"/>
              <w:rPr>
                <w:color w:val="auto"/>
                <w:sz w:val="21"/>
                <w:szCs w:val="21"/>
              </w:rPr>
            </w:pPr>
            <w:r>
              <w:rPr>
                <w:rFonts w:hint="eastAsia"/>
                <w:color w:val="auto"/>
                <w:sz w:val="21"/>
                <w:szCs w:val="21"/>
              </w:rPr>
              <w:t>危险特征</w:t>
            </w:r>
          </w:p>
        </w:tc>
        <w:tc>
          <w:tcPr>
            <w:tcW w:w="4229" w:type="pct"/>
            <w:gridSpan w:val="3"/>
            <w:tcBorders>
              <w:tl2br w:val="nil"/>
              <w:tr2bl w:val="nil"/>
            </w:tcBorders>
            <w:vAlign w:val="center"/>
          </w:tcPr>
          <w:p w14:paraId="5F2ED366">
            <w:pPr>
              <w:spacing w:line="240" w:lineRule="auto"/>
              <w:ind w:firstLine="0" w:firstLineChars="0"/>
              <w:rPr>
                <w:color w:val="auto"/>
                <w:sz w:val="21"/>
                <w:szCs w:val="21"/>
              </w:rPr>
            </w:pPr>
            <w:r>
              <w:rPr>
                <w:rFonts w:hint="eastAsia"/>
                <w:color w:val="auto"/>
                <w:sz w:val="21"/>
                <w:szCs w:val="21"/>
              </w:rPr>
              <w:t>高浓度的过氧化氢溶液和蒸气对人体都有较强的刺激性作用和腐蚀性。过氧化氢是极弱的酸，是强氧化剂，高浓度过氧化氢接触有机物时可使其燃烧，与二氧化锰作用会发生爆炸。</w:t>
            </w:r>
          </w:p>
        </w:tc>
      </w:tr>
      <w:tr w14:paraId="70EBB5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79" w:hRule="atLeast"/>
          <w:jc w:val="center"/>
        </w:trPr>
        <w:tc>
          <w:tcPr>
            <w:tcW w:w="770" w:type="pct"/>
            <w:tcBorders>
              <w:tl2br w:val="nil"/>
              <w:tr2bl w:val="nil"/>
            </w:tcBorders>
            <w:vAlign w:val="center"/>
          </w:tcPr>
          <w:p w14:paraId="4390ABB6">
            <w:pPr>
              <w:spacing w:line="240" w:lineRule="auto"/>
              <w:ind w:firstLine="0" w:firstLineChars="0"/>
              <w:rPr>
                <w:color w:val="auto"/>
                <w:sz w:val="21"/>
                <w:szCs w:val="21"/>
              </w:rPr>
            </w:pPr>
            <w:r>
              <w:rPr>
                <w:rFonts w:hint="eastAsia"/>
                <w:color w:val="auto"/>
                <w:sz w:val="21"/>
                <w:szCs w:val="21"/>
              </w:rPr>
              <w:t>毒理性质</w:t>
            </w:r>
          </w:p>
        </w:tc>
        <w:tc>
          <w:tcPr>
            <w:tcW w:w="4229" w:type="pct"/>
            <w:gridSpan w:val="3"/>
            <w:tcBorders>
              <w:tl2br w:val="nil"/>
              <w:tr2bl w:val="nil"/>
            </w:tcBorders>
            <w:vAlign w:val="center"/>
          </w:tcPr>
          <w:p w14:paraId="54E56A27">
            <w:pPr>
              <w:spacing w:line="240" w:lineRule="auto"/>
              <w:ind w:firstLine="0" w:firstLineChars="0"/>
              <w:rPr>
                <w:color w:val="auto"/>
                <w:sz w:val="21"/>
                <w:szCs w:val="21"/>
              </w:rPr>
            </w:pPr>
            <w:r>
              <w:rPr>
                <w:rFonts w:hint="eastAsia"/>
                <w:color w:val="auto"/>
                <w:sz w:val="21"/>
                <w:szCs w:val="21"/>
              </w:rPr>
              <w:t>/</w:t>
            </w:r>
          </w:p>
        </w:tc>
      </w:tr>
      <w:tr w14:paraId="5EFE23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98" w:hRule="atLeast"/>
          <w:jc w:val="center"/>
        </w:trPr>
        <w:tc>
          <w:tcPr>
            <w:tcW w:w="770" w:type="pct"/>
            <w:tcBorders>
              <w:tl2br w:val="nil"/>
              <w:tr2bl w:val="nil"/>
            </w:tcBorders>
            <w:vAlign w:val="center"/>
          </w:tcPr>
          <w:p w14:paraId="5B70E9E9">
            <w:pPr>
              <w:spacing w:line="240" w:lineRule="auto"/>
              <w:ind w:firstLine="0" w:firstLineChars="0"/>
              <w:rPr>
                <w:color w:val="auto"/>
                <w:sz w:val="21"/>
                <w:szCs w:val="21"/>
              </w:rPr>
            </w:pPr>
            <w:r>
              <w:rPr>
                <w:rFonts w:hint="eastAsia"/>
                <w:color w:val="auto"/>
                <w:sz w:val="21"/>
                <w:szCs w:val="21"/>
              </w:rPr>
              <w:t>储存方法</w:t>
            </w:r>
          </w:p>
        </w:tc>
        <w:tc>
          <w:tcPr>
            <w:tcW w:w="4229" w:type="pct"/>
            <w:gridSpan w:val="3"/>
            <w:tcBorders>
              <w:tl2br w:val="nil"/>
              <w:tr2bl w:val="nil"/>
            </w:tcBorders>
            <w:vAlign w:val="center"/>
          </w:tcPr>
          <w:p w14:paraId="06FCC18E">
            <w:pPr>
              <w:spacing w:line="240" w:lineRule="auto"/>
              <w:ind w:firstLine="0" w:firstLineChars="0"/>
              <w:rPr>
                <w:color w:val="auto"/>
                <w:sz w:val="21"/>
                <w:szCs w:val="21"/>
              </w:rPr>
            </w:pPr>
            <w:r>
              <w:rPr>
                <w:rFonts w:hint="eastAsia"/>
                <w:color w:val="auto"/>
                <w:sz w:val="21"/>
                <w:szCs w:val="21"/>
              </w:rPr>
              <w:t>遮光，密封，在阴凉处保存。防止蒸气泄漏到工作场所空气中。避免与还原剂、碱类、</w:t>
            </w:r>
            <w:r>
              <w:rPr>
                <w:color w:val="auto"/>
              </w:rPr>
              <w:fldChar w:fldCharType="begin"/>
            </w:r>
            <w:r>
              <w:rPr>
                <w:color w:val="auto"/>
              </w:rPr>
              <w:instrText xml:space="preserve"> HYPERLINK "https://baike.baidu.com/item/%E7%A2%B1%E9%87%91%E5%B1%9E/0?fromModule=lemma_inlink" \t "https://baike.baidu.com/item/%E7%A1%AB%E9%85%B8/_blank" </w:instrText>
            </w:r>
            <w:r>
              <w:rPr>
                <w:color w:val="auto"/>
              </w:rPr>
              <w:fldChar w:fldCharType="separate"/>
            </w:r>
            <w:r>
              <w:rPr>
                <w:rFonts w:hint="eastAsia"/>
                <w:color w:val="auto"/>
                <w:sz w:val="21"/>
                <w:szCs w:val="21"/>
              </w:rPr>
              <w:t>碱金属</w:t>
            </w:r>
            <w:r>
              <w:rPr>
                <w:rFonts w:hint="eastAsia"/>
                <w:color w:val="auto"/>
                <w:sz w:val="21"/>
                <w:szCs w:val="21"/>
              </w:rPr>
              <w:fldChar w:fldCharType="end"/>
            </w:r>
            <w:r>
              <w:rPr>
                <w:rFonts w:hint="eastAsia"/>
                <w:color w:val="auto"/>
                <w:sz w:val="21"/>
                <w:szCs w:val="21"/>
              </w:rPr>
              <w:t>接触。搬运时要轻装轻卸，防止包装及容器损坏。配备相应品种和数量的消防器材及泄漏应急处理设备。倒空的容器可能残留有害物。稀释或制备溶液时，应把酸加入水中，避免沸腾和飞溅伤及人员</w:t>
            </w:r>
          </w:p>
        </w:tc>
      </w:tr>
      <w:tr w14:paraId="18FD31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396" w:hRule="atLeast"/>
          <w:jc w:val="center"/>
        </w:trPr>
        <w:tc>
          <w:tcPr>
            <w:tcW w:w="770" w:type="pct"/>
            <w:tcBorders>
              <w:tl2br w:val="nil"/>
              <w:tr2bl w:val="nil"/>
            </w:tcBorders>
            <w:vAlign w:val="center"/>
          </w:tcPr>
          <w:p w14:paraId="7D3A96A9">
            <w:pPr>
              <w:spacing w:line="240" w:lineRule="auto"/>
              <w:ind w:firstLine="0" w:firstLineChars="0"/>
              <w:rPr>
                <w:color w:val="auto"/>
                <w:sz w:val="21"/>
                <w:szCs w:val="21"/>
              </w:rPr>
            </w:pPr>
            <w:r>
              <w:rPr>
                <w:rFonts w:hint="eastAsia"/>
                <w:color w:val="auto"/>
                <w:sz w:val="21"/>
                <w:szCs w:val="21"/>
              </w:rPr>
              <w:t>泄漏应急处理</w:t>
            </w:r>
          </w:p>
        </w:tc>
        <w:tc>
          <w:tcPr>
            <w:tcW w:w="4229" w:type="pct"/>
            <w:gridSpan w:val="3"/>
            <w:tcBorders>
              <w:tl2br w:val="nil"/>
              <w:tr2bl w:val="nil"/>
            </w:tcBorders>
            <w:vAlign w:val="center"/>
          </w:tcPr>
          <w:p w14:paraId="3CFEAD54">
            <w:pPr>
              <w:spacing w:line="240" w:lineRule="auto"/>
              <w:ind w:firstLine="0" w:firstLineChars="0"/>
              <w:rPr>
                <w:color w:val="auto"/>
                <w:sz w:val="21"/>
                <w:szCs w:val="21"/>
              </w:rPr>
            </w:pPr>
            <w:r>
              <w:rPr>
                <w:rFonts w:hint="eastAsia"/>
                <w:color w:val="auto"/>
                <w:sz w:val="21"/>
                <w:szCs w:val="21"/>
              </w:rPr>
              <w:t>迅速撤离泄漏污染区人员至安全区，并进行隔离，严格限制出入。切断火源。建议应急处理人员戴自给正压式呼吸器，穿消防防护服。尽可能切断泄漏源，防止进入下水道、排洪沟等限制性空间。</w:t>
            </w:r>
          </w:p>
          <w:p w14:paraId="66146EE3">
            <w:pPr>
              <w:spacing w:line="240" w:lineRule="auto"/>
              <w:ind w:firstLine="0" w:firstLineChars="0"/>
              <w:rPr>
                <w:color w:val="auto"/>
                <w:sz w:val="21"/>
                <w:szCs w:val="21"/>
              </w:rPr>
            </w:pPr>
            <w:r>
              <w:rPr>
                <w:rFonts w:hint="eastAsia"/>
                <w:color w:val="auto"/>
                <w:sz w:val="21"/>
                <w:szCs w:val="21"/>
              </w:rPr>
              <w:t>小量泄漏：用砂土或其他不燃材料吸附或吸收。也可用大量水冲洗，洗水稀释后放入废水系统。</w:t>
            </w:r>
          </w:p>
          <w:p w14:paraId="2C92799F">
            <w:pPr>
              <w:spacing w:line="240" w:lineRule="auto"/>
              <w:ind w:firstLine="0" w:firstLineChars="0"/>
              <w:rPr>
                <w:color w:val="auto"/>
                <w:sz w:val="21"/>
                <w:szCs w:val="21"/>
              </w:rPr>
            </w:pPr>
            <w:r>
              <w:rPr>
                <w:rFonts w:hint="eastAsia"/>
                <w:color w:val="auto"/>
                <w:sz w:val="21"/>
                <w:szCs w:val="21"/>
              </w:rPr>
              <w:t>大量泄漏：构筑围堤或挖坑收容。用泡沫覆盖，降低蒸汽灾害。用防爆泵转移至槽车或专用收集器内，回收或运至废物处理场所处置。</w:t>
            </w:r>
          </w:p>
        </w:tc>
      </w:tr>
      <w:tr w14:paraId="5542110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201" w:hRule="atLeast"/>
          <w:jc w:val="center"/>
        </w:trPr>
        <w:tc>
          <w:tcPr>
            <w:tcW w:w="770" w:type="pct"/>
            <w:tcBorders>
              <w:tl2br w:val="nil"/>
              <w:tr2bl w:val="nil"/>
            </w:tcBorders>
            <w:vAlign w:val="center"/>
          </w:tcPr>
          <w:p w14:paraId="180B080B">
            <w:pPr>
              <w:spacing w:line="240" w:lineRule="auto"/>
              <w:ind w:firstLine="0" w:firstLineChars="0"/>
              <w:rPr>
                <w:color w:val="auto"/>
                <w:sz w:val="21"/>
                <w:szCs w:val="21"/>
              </w:rPr>
            </w:pPr>
            <w:r>
              <w:rPr>
                <w:rFonts w:hint="eastAsia"/>
                <w:color w:val="auto"/>
                <w:sz w:val="21"/>
                <w:szCs w:val="21"/>
              </w:rPr>
              <w:t>急 救 措 施</w:t>
            </w:r>
          </w:p>
        </w:tc>
        <w:tc>
          <w:tcPr>
            <w:tcW w:w="4229" w:type="pct"/>
            <w:gridSpan w:val="3"/>
            <w:tcBorders>
              <w:tl2br w:val="nil"/>
              <w:tr2bl w:val="nil"/>
            </w:tcBorders>
            <w:vAlign w:val="center"/>
          </w:tcPr>
          <w:p w14:paraId="3FB046B8">
            <w:pPr>
              <w:spacing w:line="240" w:lineRule="auto"/>
              <w:ind w:firstLine="0" w:firstLineChars="0"/>
              <w:rPr>
                <w:color w:val="auto"/>
                <w:sz w:val="21"/>
                <w:szCs w:val="21"/>
              </w:rPr>
            </w:pPr>
            <w:r>
              <w:rPr>
                <w:rFonts w:hint="eastAsia"/>
                <w:color w:val="auto"/>
                <w:sz w:val="21"/>
                <w:szCs w:val="21"/>
              </w:rPr>
              <w:t>S26 - 不慎与眼睛接触后，请立即用大量清水冲洗并征求医生意见。</w:t>
            </w:r>
          </w:p>
          <w:p w14:paraId="65CCAB78">
            <w:pPr>
              <w:spacing w:line="240" w:lineRule="auto"/>
              <w:ind w:firstLine="0" w:firstLineChars="0"/>
              <w:rPr>
                <w:color w:val="auto"/>
                <w:sz w:val="21"/>
                <w:szCs w:val="21"/>
              </w:rPr>
            </w:pPr>
            <w:r>
              <w:rPr>
                <w:rFonts w:hint="eastAsia"/>
                <w:color w:val="auto"/>
                <w:sz w:val="21"/>
                <w:szCs w:val="21"/>
              </w:rPr>
              <w:t>S36/37/39 - 穿戴适当的防护服、手套和护目镜或面具。</w:t>
            </w:r>
          </w:p>
          <w:p w14:paraId="7CF991AF">
            <w:pPr>
              <w:spacing w:line="240" w:lineRule="auto"/>
              <w:ind w:firstLine="0" w:firstLineChars="0"/>
              <w:rPr>
                <w:color w:val="auto"/>
                <w:sz w:val="21"/>
                <w:szCs w:val="21"/>
              </w:rPr>
            </w:pPr>
            <w:r>
              <w:rPr>
                <w:rFonts w:hint="eastAsia"/>
                <w:color w:val="auto"/>
                <w:sz w:val="21"/>
                <w:szCs w:val="21"/>
              </w:rPr>
              <w:t>S45 - 若发生事故或</w:t>
            </w:r>
            <w:r>
              <w:rPr>
                <w:rFonts w:hint="eastAsia"/>
                <w:color w:val="auto"/>
                <w:sz w:val="21"/>
                <w:szCs w:val="21"/>
                <w:lang w:eastAsia="zh-CN"/>
              </w:rPr>
              <w:t>感到</w:t>
            </w:r>
            <w:r>
              <w:rPr>
                <w:rFonts w:hint="eastAsia"/>
                <w:color w:val="auto"/>
                <w:sz w:val="21"/>
                <w:szCs w:val="21"/>
              </w:rPr>
              <w:t>不适，立即就医</w:t>
            </w:r>
            <w:r>
              <w:rPr>
                <w:rFonts w:hint="eastAsia"/>
                <w:color w:val="auto"/>
                <w:sz w:val="21"/>
                <w:szCs w:val="21"/>
                <w:lang w:eastAsia="zh-CN"/>
              </w:rPr>
              <w:t>（</w:t>
            </w:r>
            <w:r>
              <w:rPr>
                <w:rFonts w:hint="eastAsia"/>
                <w:color w:val="auto"/>
                <w:sz w:val="21"/>
                <w:szCs w:val="21"/>
              </w:rPr>
              <w:t>可能的话，出示其标签</w:t>
            </w:r>
            <w:r>
              <w:rPr>
                <w:rFonts w:hint="eastAsia"/>
                <w:color w:val="auto"/>
                <w:sz w:val="21"/>
                <w:szCs w:val="21"/>
                <w:lang w:eastAsia="zh-CN"/>
              </w:rPr>
              <w:t>）</w:t>
            </w:r>
            <w:r>
              <w:rPr>
                <w:rFonts w:hint="eastAsia"/>
                <w:color w:val="auto"/>
                <w:sz w:val="21"/>
                <w:szCs w:val="21"/>
              </w:rPr>
              <w:t>。</w:t>
            </w:r>
          </w:p>
        </w:tc>
      </w:tr>
    </w:tbl>
    <w:p w14:paraId="741FAA03">
      <w:pPr>
        <w:adjustRightInd/>
        <w:snapToGrid/>
        <w:spacing w:line="360" w:lineRule="auto"/>
        <w:ind w:firstLine="482"/>
        <w:jc w:val="center"/>
        <w:rPr>
          <w:b/>
          <w:color w:val="auto"/>
          <w:szCs w:val="24"/>
        </w:rPr>
      </w:pPr>
    </w:p>
    <w:p w14:paraId="51627A7D">
      <w:pPr>
        <w:adjustRightInd/>
        <w:snapToGrid/>
        <w:spacing w:line="360" w:lineRule="auto"/>
        <w:ind w:firstLine="482"/>
        <w:jc w:val="center"/>
        <w:rPr>
          <w:b/>
          <w:color w:val="auto"/>
          <w:szCs w:val="24"/>
        </w:rPr>
      </w:pPr>
    </w:p>
    <w:p w14:paraId="7A7E70C6">
      <w:pPr>
        <w:adjustRightInd/>
        <w:snapToGrid/>
        <w:spacing w:line="360" w:lineRule="auto"/>
        <w:ind w:firstLine="482"/>
        <w:jc w:val="center"/>
        <w:rPr>
          <w:color w:val="auto"/>
          <w:szCs w:val="24"/>
        </w:rPr>
      </w:pPr>
      <w:r>
        <w:rPr>
          <w:b/>
          <w:color w:val="auto"/>
          <w:szCs w:val="24"/>
        </w:rPr>
        <w:t xml:space="preserve">表7.2-5  </w:t>
      </w:r>
      <w:r>
        <w:rPr>
          <w:rFonts w:hint="eastAsia"/>
          <w:b/>
          <w:color w:val="auto"/>
          <w:szCs w:val="24"/>
        </w:rPr>
        <w:t>废油及废机油理化性质表</w:t>
      </w:r>
    </w:p>
    <w:tbl>
      <w:tblPr>
        <w:tblStyle w:val="88"/>
        <w:tblW w:w="4985" w:type="pct"/>
        <w:jc w:val="center"/>
        <w:tblLayout w:type="autofit"/>
        <w:tblCellMar>
          <w:top w:w="0" w:type="dxa"/>
          <w:left w:w="108" w:type="dxa"/>
          <w:bottom w:w="0" w:type="dxa"/>
          <w:right w:w="108" w:type="dxa"/>
        </w:tblCellMar>
      </w:tblPr>
      <w:tblGrid>
        <w:gridCol w:w="3081"/>
        <w:gridCol w:w="1483"/>
        <w:gridCol w:w="63"/>
        <w:gridCol w:w="1537"/>
        <w:gridCol w:w="742"/>
        <w:gridCol w:w="2352"/>
      </w:tblGrid>
      <w:tr w14:paraId="1C938494">
        <w:tblPrEx>
          <w:tblCellMar>
            <w:top w:w="0" w:type="dxa"/>
            <w:left w:w="108" w:type="dxa"/>
            <w:bottom w:w="0" w:type="dxa"/>
            <w:right w:w="108" w:type="dxa"/>
          </w:tblCellMar>
        </w:tblPrEx>
        <w:trPr>
          <w:cantSplit/>
          <w:trHeight w:val="150" w:hRule="atLeast"/>
          <w:jc w:val="center"/>
        </w:trPr>
        <w:tc>
          <w:tcPr>
            <w:tcW w:w="2465" w:type="pct"/>
            <w:gridSpan w:val="2"/>
            <w:tcBorders>
              <w:top w:val="single" w:color="auto" w:sz="4" w:space="0"/>
              <w:left w:val="single" w:color="auto" w:sz="4" w:space="0"/>
              <w:bottom w:val="single" w:color="auto" w:sz="4" w:space="0"/>
              <w:right w:val="single" w:color="auto" w:sz="4" w:space="0"/>
            </w:tcBorders>
            <w:vAlign w:val="center"/>
          </w:tcPr>
          <w:p w14:paraId="49B5E694">
            <w:pPr>
              <w:pStyle w:val="184"/>
              <w:rPr>
                <w:b w:val="0"/>
                <w:bCs/>
                <w:color w:val="auto"/>
              </w:rPr>
            </w:pPr>
            <w:r>
              <w:rPr>
                <w:rFonts w:hint="eastAsia"/>
                <w:b w:val="0"/>
                <w:bCs/>
                <w:color w:val="auto"/>
              </w:rPr>
              <w:t>物质名称：废油及废机油</w:t>
            </w:r>
          </w:p>
        </w:tc>
        <w:tc>
          <w:tcPr>
            <w:tcW w:w="1265" w:type="pct"/>
            <w:gridSpan w:val="3"/>
            <w:tcBorders>
              <w:top w:val="single" w:color="auto" w:sz="4" w:space="0"/>
              <w:left w:val="nil"/>
              <w:bottom w:val="single" w:color="auto" w:sz="4" w:space="0"/>
              <w:right w:val="single" w:color="auto" w:sz="4" w:space="0"/>
            </w:tcBorders>
            <w:vAlign w:val="center"/>
          </w:tcPr>
          <w:p w14:paraId="1CCE8DCB">
            <w:pPr>
              <w:pStyle w:val="184"/>
              <w:rPr>
                <w:b w:val="0"/>
                <w:bCs/>
                <w:color w:val="auto"/>
              </w:rPr>
            </w:pPr>
            <w:r>
              <w:rPr>
                <w:rFonts w:hint="eastAsia"/>
                <w:b w:val="0"/>
                <w:bCs/>
                <w:color w:val="auto"/>
              </w:rPr>
              <w:t>危规号：—</w:t>
            </w:r>
          </w:p>
        </w:tc>
        <w:tc>
          <w:tcPr>
            <w:tcW w:w="1269" w:type="pct"/>
            <w:tcBorders>
              <w:top w:val="single" w:color="auto" w:sz="4" w:space="0"/>
              <w:left w:val="nil"/>
              <w:bottom w:val="single" w:color="auto" w:sz="4" w:space="0"/>
              <w:right w:val="single" w:color="auto" w:sz="4" w:space="0"/>
            </w:tcBorders>
            <w:vAlign w:val="center"/>
          </w:tcPr>
          <w:p w14:paraId="63D95874">
            <w:pPr>
              <w:pStyle w:val="184"/>
              <w:rPr>
                <w:b w:val="0"/>
                <w:bCs/>
                <w:color w:val="auto"/>
              </w:rPr>
            </w:pPr>
            <w:r>
              <w:rPr>
                <w:rFonts w:hint="eastAsia"/>
                <w:b w:val="0"/>
                <w:bCs/>
                <w:color w:val="auto"/>
              </w:rPr>
              <w:t>可燃液体</w:t>
            </w:r>
          </w:p>
        </w:tc>
      </w:tr>
      <w:tr w14:paraId="05ECA311">
        <w:tblPrEx>
          <w:tblCellMar>
            <w:top w:w="0" w:type="dxa"/>
            <w:left w:w="108" w:type="dxa"/>
            <w:bottom w:w="0" w:type="dxa"/>
            <w:right w:w="108" w:type="dxa"/>
          </w:tblCellMar>
        </w:tblPrEx>
        <w:trPr>
          <w:cantSplit/>
          <w:trHeight w:val="150" w:hRule="atLeast"/>
          <w:jc w:val="center"/>
        </w:trPr>
        <w:tc>
          <w:tcPr>
            <w:tcW w:w="5000" w:type="pct"/>
            <w:gridSpan w:val="6"/>
            <w:tcBorders>
              <w:top w:val="single" w:color="auto" w:sz="4" w:space="0"/>
              <w:left w:val="single" w:color="auto" w:sz="4" w:space="0"/>
              <w:bottom w:val="single" w:color="auto" w:sz="4" w:space="0"/>
              <w:right w:val="single" w:color="auto" w:sz="4" w:space="0"/>
            </w:tcBorders>
          </w:tcPr>
          <w:p w14:paraId="5F5C4839">
            <w:pPr>
              <w:pStyle w:val="184"/>
              <w:rPr>
                <w:b w:val="0"/>
                <w:bCs/>
                <w:color w:val="auto"/>
              </w:rPr>
            </w:pPr>
            <w:r>
              <w:rPr>
                <w:rFonts w:hint="eastAsia"/>
                <w:b w:val="0"/>
                <w:bCs/>
                <w:color w:val="auto"/>
              </w:rPr>
              <w:t>理化特性</w:t>
            </w:r>
          </w:p>
        </w:tc>
      </w:tr>
      <w:tr w14:paraId="1051898F">
        <w:tblPrEx>
          <w:tblCellMar>
            <w:top w:w="0" w:type="dxa"/>
            <w:left w:w="108" w:type="dxa"/>
            <w:bottom w:w="0" w:type="dxa"/>
            <w:right w:w="108" w:type="dxa"/>
          </w:tblCellMar>
        </w:tblPrEx>
        <w:trPr>
          <w:cantSplit/>
          <w:trHeight w:val="152" w:hRule="atLeast"/>
          <w:jc w:val="center"/>
        </w:trPr>
        <w:tc>
          <w:tcPr>
            <w:tcW w:w="5000" w:type="pct"/>
            <w:gridSpan w:val="6"/>
            <w:tcBorders>
              <w:top w:val="single" w:color="auto" w:sz="4" w:space="0"/>
              <w:left w:val="single" w:color="auto" w:sz="4" w:space="0"/>
              <w:bottom w:val="single" w:color="auto" w:sz="4" w:space="0"/>
              <w:right w:val="single" w:color="auto" w:sz="4" w:space="0"/>
            </w:tcBorders>
          </w:tcPr>
          <w:p w14:paraId="0C8F52ED">
            <w:pPr>
              <w:pStyle w:val="184"/>
              <w:rPr>
                <w:b w:val="0"/>
                <w:bCs/>
                <w:color w:val="auto"/>
              </w:rPr>
            </w:pPr>
            <w:r>
              <w:rPr>
                <w:rFonts w:hint="eastAsia"/>
                <w:b w:val="0"/>
                <w:bCs/>
                <w:color w:val="auto"/>
              </w:rPr>
              <w:t>外观与性状：油状液体，淡黄色至褐色，无气味或略带异味。</w:t>
            </w:r>
          </w:p>
        </w:tc>
      </w:tr>
      <w:tr w14:paraId="18740DB7">
        <w:tblPrEx>
          <w:tblCellMar>
            <w:top w:w="0" w:type="dxa"/>
            <w:left w:w="108" w:type="dxa"/>
            <w:bottom w:w="0" w:type="dxa"/>
            <w:right w:w="108" w:type="dxa"/>
          </w:tblCellMar>
        </w:tblPrEx>
        <w:trPr>
          <w:cantSplit/>
          <w:trHeight w:val="152" w:hRule="atLeast"/>
          <w:jc w:val="center"/>
        </w:trPr>
        <w:tc>
          <w:tcPr>
            <w:tcW w:w="5000" w:type="pct"/>
            <w:gridSpan w:val="6"/>
            <w:tcBorders>
              <w:top w:val="single" w:color="auto" w:sz="4" w:space="0"/>
              <w:left w:val="single" w:color="auto" w:sz="4" w:space="0"/>
              <w:bottom w:val="single" w:color="auto" w:sz="4" w:space="0"/>
              <w:right w:val="single" w:color="auto" w:sz="4" w:space="0"/>
            </w:tcBorders>
          </w:tcPr>
          <w:p w14:paraId="6BBBB36C">
            <w:pPr>
              <w:pStyle w:val="184"/>
              <w:rPr>
                <w:b w:val="0"/>
                <w:bCs/>
                <w:color w:val="auto"/>
              </w:rPr>
            </w:pPr>
            <w:r>
              <w:rPr>
                <w:rFonts w:hint="eastAsia"/>
                <w:b w:val="0"/>
                <w:bCs/>
                <w:color w:val="auto"/>
              </w:rPr>
              <w:t>主要用途：用于机械的摩擦部分，起润滑、冷却和密封作用。</w:t>
            </w:r>
          </w:p>
        </w:tc>
      </w:tr>
      <w:tr w14:paraId="6EF67E7F">
        <w:tblPrEx>
          <w:tblCellMar>
            <w:top w:w="0" w:type="dxa"/>
            <w:left w:w="108" w:type="dxa"/>
            <w:bottom w:w="0" w:type="dxa"/>
            <w:right w:w="108" w:type="dxa"/>
          </w:tblCellMar>
        </w:tblPrEx>
        <w:trPr>
          <w:cantSplit/>
          <w:trHeight w:val="152" w:hRule="atLeast"/>
          <w:jc w:val="center"/>
        </w:trPr>
        <w:tc>
          <w:tcPr>
            <w:tcW w:w="2499" w:type="pct"/>
            <w:gridSpan w:val="3"/>
            <w:tcBorders>
              <w:top w:val="single" w:color="auto" w:sz="4" w:space="0"/>
              <w:left w:val="single" w:color="auto" w:sz="4" w:space="0"/>
              <w:bottom w:val="single" w:color="auto" w:sz="4" w:space="0"/>
              <w:right w:val="single" w:color="auto" w:sz="4" w:space="0"/>
            </w:tcBorders>
          </w:tcPr>
          <w:p w14:paraId="38518DB9">
            <w:pPr>
              <w:pStyle w:val="184"/>
              <w:rPr>
                <w:b w:val="0"/>
                <w:bCs/>
                <w:color w:val="auto"/>
              </w:rPr>
            </w:pPr>
            <w:r>
              <w:rPr>
                <w:rFonts w:hint="eastAsia"/>
                <w:b w:val="0"/>
                <w:bCs/>
                <w:color w:val="auto"/>
              </w:rPr>
              <w:t>熔点（</w:t>
            </w:r>
            <w:r>
              <w:rPr>
                <w:rFonts w:hint="eastAsia" w:ascii="宋体" w:hAnsi="宋体" w:cs="宋体"/>
                <w:b w:val="0"/>
                <w:bCs/>
                <w:color w:val="auto"/>
              </w:rPr>
              <w:t>℃</w:t>
            </w:r>
            <w:r>
              <w:rPr>
                <w:rFonts w:hint="eastAsia"/>
                <w:b w:val="0"/>
                <w:bCs/>
                <w:color w:val="auto"/>
              </w:rPr>
              <w:t>）：无资料</w:t>
            </w:r>
          </w:p>
        </w:tc>
        <w:tc>
          <w:tcPr>
            <w:tcW w:w="2500" w:type="pct"/>
            <w:gridSpan w:val="3"/>
            <w:tcBorders>
              <w:top w:val="single" w:color="auto" w:sz="4" w:space="0"/>
              <w:left w:val="nil"/>
              <w:bottom w:val="single" w:color="auto" w:sz="4" w:space="0"/>
              <w:right w:val="single" w:color="auto" w:sz="4" w:space="0"/>
            </w:tcBorders>
          </w:tcPr>
          <w:p w14:paraId="6CCB03FA">
            <w:pPr>
              <w:pStyle w:val="184"/>
              <w:rPr>
                <w:b w:val="0"/>
                <w:bCs/>
                <w:color w:val="auto"/>
              </w:rPr>
            </w:pPr>
            <w:r>
              <w:rPr>
                <w:rFonts w:hint="eastAsia"/>
                <w:b w:val="0"/>
                <w:bCs/>
                <w:color w:val="auto"/>
              </w:rPr>
              <w:t>沸点（</w:t>
            </w:r>
            <w:r>
              <w:rPr>
                <w:rFonts w:hint="eastAsia" w:ascii="宋体" w:hAnsi="宋体" w:cs="宋体"/>
                <w:b w:val="0"/>
                <w:bCs/>
                <w:color w:val="auto"/>
              </w:rPr>
              <w:t>℃</w:t>
            </w:r>
            <w:r>
              <w:rPr>
                <w:rFonts w:hint="eastAsia"/>
                <w:b w:val="0"/>
                <w:bCs/>
                <w:color w:val="auto"/>
              </w:rPr>
              <w:t>）：无资料</w:t>
            </w:r>
          </w:p>
        </w:tc>
      </w:tr>
      <w:tr w14:paraId="0836C814">
        <w:tblPrEx>
          <w:tblCellMar>
            <w:top w:w="0" w:type="dxa"/>
            <w:left w:w="108" w:type="dxa"/>
            <w:bottom w:w="0" w:type="dxa"/>
            <w:right w:w="108" w:type="dxa"/>
          </w:tblCellMar>
        </w:tblPrEx>
        <w:trPr>
          <w:cantSplit/>
          <w:trHeight w:val="150" w:hRule="atLeast"/>
          <w:jc w:val="center"/>
        </w:trPr>
        <w:tc>
          <w:tcPr>
            <w:tcW w:w="2499" w:type="pct"/>
            <w:gridSpan w:val="3"/>
            <w:tcBorders>
              <w:top w:val="single" w:color="auto" w:sz="4" w:space="0"/>
              <w:left w:val="single" w:color="auto" w:sz="4" w:space="0"/>
              <w:bottom w:val="single" w:color="auto" w:sz="4" w:space="0"/>
              <w:right w:val="single" w:color="auto" w:sz="4" w:space="0"/>
            </w:tcBorders>
          </w:tcPr>
          <w:p w14:paraId="5537ADD9">
            <w:pPr>
              <w:pStyle w:val="184"/>
              <w:rPr>
                <w:b w:val="0"/>
                <w:bCs/>
                <w:color w:val="auto"/>
              </w:rPr>
            </w:pPr>
            <w:r>
              <w:rPr>
                <w:rFonts w:hint="eastAsia"/>
                <w:b w:val="0"/>
                <w:bCs/>
                <w:color w:val="auto"/>
              </w:rPr>
              <w:t>闪点（</w:t>
            </w:r>
            <w:r>
              <w:rPr>
                <w:rFonts w:hint="eastAsia" w:ascii="宋体" w:hAnsi="宋体" w:cs="宋体"/>
                <w:b w:val="0"/>
                <w:bCs/>
                <w:color w:val="auto"/>
              </w:rPr>
              <w:t>℃</w:t>
            </w:r>
            <w:r>
              <w:rPr>
                <w:rFonts w:hint="eastAsia"/>
                <w:b w:val="0"/>
                <w:bCs/>
                <w:color w:val="auto"/>
              </w:rPr>
              <w:t>）：76</w:t>
            </w:r>
          </w:p>
        </w:tc>
        <w:tc>
          <w:tcPr>
            <w:tcW w:w="2500" w:type="pct"/>
            <w:gridSpan w:val="3"/>
            <w:tcBorders>
              <w:top w:val="single" w:color="auto" w:sz="4" w:space="0"/>
              <w:left w:val="nil"/>
              <w:bottom w:val="single" w:color="auto" w:sz="4" w:space="0"/>
              <w:right w:val="single" w:color="auto" w:sz="4" w:space="0"/>
            </w:tcBorders>
          </w:tcPr>
          <w:p w14:paraId="515D2197">
            <w:pPr>
              <w:pStyle w:val="184"/>
              <w:rPr>
                <w:b w:val="0"/>
                <w:bCs/>
                <w:color w:val="auto"/>
              </w:rPr>
            </w:pPr>
            <w:r>
              <w:rPr>
                <w:rFonts w:hint="eastAsia"/>
                <w:b w:val="0"/>
                <w:bCs/>
                <w:color w:val="auto"/>
              </w:rPr>
              <w:t>引燃温度（</w:t>
            </w:r>
            <w:r>
              <w:rPr>
                <w:rFonts w:hint="eastAsia" w:ascii="宋体" w:hAnsi="宋体" w:cs="宋体"/>
                <w:b w:val="0"/>
                <w:bCs/>
                <w:color w:val="auto"/>
              </w:rPr>
              <w:t>℃</w:t>
            </w:r>
            <w:r>
              <w:rPr>
                <w:rFonts w:hint="eastAsia"/>
                <w:b w:val="0"/>
                <w:bCs/>
                <w:color w:val="auto"/>
              </w:rPr>
              <w:t>）：248</w:t>
            </w:r>
          </w:p>
        </w:tc>
      </w:tr>
      <w:tr w14:paraId="6CA0CAEF">
        <w:tblPrEx>
          <w:tblCellMar>
            <w:top w:w="0" w:type="dxa"/>
            <w:left w:w="108" w:type="dxa"/>
            <w:bottom w:w="0" w:type="dxa"/>
            <w:right w:w="108" w:type="dxa"/>
          </w:tblCellMar>
        </w:tblPrEx>
        <w:trPr>
          <w:cantSplit/>
          <w:trHeight w:val="152" w:hRule="atLeast"/>
          <w:jc w:val="center"/>
        </w:trPr>
        <w:tc>
          <w:tcPr>
            <w:tcW w:w="2499" w:type="pct"/>
            <w:gridSpan w:val="3"/>
            <w:tcBorders>
              <w:top w:val="single" w:color="auto" w:sz="4" w:space="0"/>
              <w:left w:val="single" w:color="auto" w:sz="4" w:space="0"/>
              <w:bottom w:val="single" w:color="auto" w:sz="4" w:space="0"/>
              <w:right w:val="single" w:color="auto" w:sz="4" w:space="0"/>
            </w:tcBorders>
          </w:tcPr>
          <w:p w14:paraId="5F4BFDB8">
            <w:pPr>
              <w:pStyle w:val="184"/>
              <w:rPr>
                <w:b w:val="0"/>
                <w:bCs/>
                <w:color w:val="auto"/>
              </w:rPr>
            </w:pPr>
            <w:r>
              <w:rPr>
                <w:rFonts w:hint="eastAsia"/>
                <w:b w:val="0"/>
                <w:bCs/>
                <w:color w:val="auto"/>
              </w:rPr>
              <w:t>相对蒸气密度（空气=1）：无资料</w:t>
            </w:r>
          </w:p>
        </w:tc>
        <w:tc>
          <w:tcPr>
            <w:tcW w:w="2500" w:type="pct"/>
            <w:gridSpan w:val="3"/>
            <w:tcBorders>
              <w:top w:val="single" w:color="auto" w:sz="4" w:space="0"/>
              <w:left w:val="nil"/>
              <w:bottom w:val="single" w:color="auto" w:sz="4" w:space="0"/>
              <w:right w:val="single" w:color="auto" w:sz="4" w:space="0"/>
            </w:tcBorders>
          </w:tcPr>
          <w:p w14:paraId="1D5B71F8">
            <w:pPr>
              <w:pStyle w:val="184"/>
              <w:rPr>
                <w:b w:val="0"/>
                <w:bCs/>
                <w:color w:val="auto"/>
              </w:rPr>
            </w:pPr>
            <w:r>
              <w:rPr>
                <w:rFonts w:hint="eastAsia"/>
                <w:b w:val="0"/>
                <w:bCs/>
                <w:color w:val="auto"/>
              </w:rPr>
              <w:t>饱和蒸气压（kPa）：无资料</w:t>
            </w:r>
          </w:p>
        </w:tc>
      </w:tr>
      <w:tr w14:paraId="4EB82991">
        <w:tblPrEx>
          <w:tblCellMar>
            <w:top w:w="0" w:type="dxa"/>
            <w:left w:w="108" w:type="dxa"/>
            <w:bottom w:w="0" w:type="dxa"/>
            <w:right w:w="108" w:type="dxa"/>
          </w:tblCellMar>
        </w:tblPrEx>
        <w:trPr>
          <w:cantSplit/>
          <w:trHeight w:val="152" w:hRule="atLeast"/>
          <w:jc w:val="center"/>
        </w:trPr>
        <w:tc>
          <w:tcPr>
            <w:tcW w:w="2499" w:type="pct"/>
            <w:gridSpan w:val="3"/>
            <w:tcBorders>
              <w:top w:val="single" w:color="auto" w:sz="4" w:space="0"/>
              <w:left w:val="single" w:color="auto" w:sz="4" w:space="0"/>
              <w:bottom w:val="single" w:color="auto" w:sz="4" w:space="0"/>
              <w:right w:val="single" w:color="auto" w:sz="4" w:space="0"/>
            </w:tcBorders>
          </w:tcPr>
          <w:p w14:paraId="4671E94A">
            <w:pPr>
              <w:pStyle w:val="184"/>
              <w:rPr>
                <w:b w:val="0"/>
                <w:bCs/>
                <w:color w:val="auto"/>
              </w:rPr>
            </w:pPr>
            <w:r>
              <w:rPr>
                <w:rFonts w:hint="eastAsia"/>
                <w:b w:val="0"/>
                <w:bCs/>
                <w:color w:val="auto"/>
              </w:rPr>
              <w:t>相对密度（水=1）：＜1</w:t>
            </w:r>
          </w:p>
        </w:tc>
        <w:tc>
          <w:tcPr>
            <w:tcW w:w="2500" w:type="pct"/>
            <w:gridSpan w:val="3"/>
            <w:tcBorders>
              <w:top w:val="single" w:color="auto" w:sz="4" w:space="0"/>
              <w:left w:val="nil"/>
              <w:bottom w:val="single" w:color="auto" w:sz="4" w:space="0"/>
              <w:right w:val="single" w:color="auto" w:sz="4" w:space="0"/>
            </w:tcBorders>
          </w:tcPr>
          <w:p w14:paraId="47541A7C">
            <w:pPr>
              <w:pStyle w:val="184"/>
              <w:rPr>
                <w:b w:val="0"/>
                <w:bCs/>
                <w:color w:val="auto"/>
              </w:rPr>
            </w:pPr>
            <w:r>
              <w:rPr>
                <w:rFonts w:hint="eastAsia"/>
                <w:b w:val="0"/>
                <w:bCs/>
                <w:color w:val="auto"/>
              </w:rPr>
              <w:t>溶解性：无资料</w:t>
            </w:r>
          </w:p>
        </w:tc>
      </w:tr>
      <w:tr w14:paraId="18C69E14">
        <w:tblPrEx>
          <w:tblCellMar>
            <w:top w:w="0" w:type="dxa"/>
            <w:left w:w="108" w:type="dxa"/>
            <w:bottom w:w="0" w:type="dxa"/>
            <w:right w:w="108" w:type="dxa"/>
          </w:tblCellMar>
        </w:tblPrEx>
        <w:trPr>
          <w:cantSplit/>
          <w:trHeight w:val="166" w:hRule="atLeast"/>
          <w:jc w:val="center"/>
        </w:trPr>
        <w:tc>
          <w:tcPr>
            <w:tcW w:w="5000" w:type="pct"/>
            <w:gridSpan w:val="6"/>
            <w:tcBorders>
              <w:top w:val="single" w:color="auto" w:sz="4" w:space="0"/>
              <w:left w:val="single" w:color="auto" w:sz="4" w:space="0"/>
              <w:bottom w:val="single" w:color="auto" w:sz="4" w:space="0"/>
              <w:right w:val="single" w:color="auto" w:sz="4" w:space="0"/>
            </w:tcBorders>
          </w:tcPr>
          <w:p w14:paraId="5DFAC0EC">
            <w:pPr>
              <w:pStyle w:val="184"/>
              <w:rPr>
                <w:b w:val="0"/>
                <w:bCs/>
                <w:color w:val="auto"/>
              </w:rPr>
            </w:pPr>
            <w:r>
              <w:rPr>
                <w:rFonts w:hint="eastAsia"/>
                <w:b w:val="0"/>
                <w:bCs/>
                <w:color w:val="auto"/>
              </w:rPr>
              <w:t>火灾爆炸危险数据</w:t>
            </w:r>
          </w:p>
        </w:tc>
      </w:tr>
      <w:tr w14:paraId="72993311">
        <w:tblPrEx>
          <w:tblCellMar>
            <w:top w:w="0" w:type="dxa"/>
            <w:left w:w="108" w:type="dxa"/>
            <w:bottom w:w="0" w:type="dxa"/>
            <w:right w:w="108" w:type="dxa"/>
          </w:tblCellMar>
        </w:tblPrEx>
        <w:trPr>
          <w:cantSplit/>
          <w:trHeight w:val="150" w:hRule="atLeast"/>
          <w:jc w:val="center"/>
        </w:trPr>
        <w:tc>
          <w:tcPr>
            <w:tcW w:w="2499" w:type="pct"/>
            <w:gridSpan w:val="3"/>
            <w:tcBorders>
              <w:top w:val="single" w:color="auto" w:sz="4" w:space="0"/>
              <w:left w:val="single" w:color="auto" w:sz="4" w:space="0"/>
              <w:bottom w:val="single" w:color="auto" w:sz="4" w:space="0"/>
              <w:right w:val="single" w:color="auto" w:sz="4" w:space="0"/>
            </w:tcBorders>
          </w:tcPr>
          <w:p w14:paraId="02D21D72">
            <w:pPr>
              <w:pStyle w:val="184"/>
              <w:rPr>
                <w:b w:val="0"/>
                <w:bCs/>
                <w:color w:val="auto"/>
              </w:rPr>
            </w:pPr>
            <w:r>
              <w:rPr>
                <w:rFonts w:hint="eastAsia"/>
                <w:b w:val="0"/>
                <w:bCs/>
                <w:color w:val="auto"/>
              </w:rPr>
              <w:t>爆炸上限%（V/V）：无资料</w:t>
            </w:r>
          </w:p>
        </w:tc>
        <w:tc>
          <w:tcPr>
            <w:tcW w:w="2500" w:type="pct"/>
            <w:gridSpan w:val="3"/>
            <w:tcBorders>
              <w:top w:val="single" w:color="auto" w:sz="4" w:space="0"/>
              <w:left w:val="nil"/>
              <w:bottom w:val="single" w:color="auto" w:sz="4" w:space="0"/>
              <w:right w:val="single" w:color="auto" w:sz="4" w:space="0"/>
            </w:tcBorders>
          </w:tcPr>
          <w:p w14:paraId="0E61FA85">
            <w:pPr>
              <w:pStyle w:val="184"/>
              <w:rPr>
                <w:b w:val="0"/>
                <w:bCs/>
                <w:color w:val="auto"/>
              </w:rPr>
            </w:pPr>
            <w:r>
              <w:rPr>
                <w:rFonts w:hint="eastAsia"/>
                <w:b w:val="0"/>
                <w:bCs/>
                <w:color w:val="auto"/>
              </w:rPr>
              <w:t>爆炸下限%（V/V）：无资料</w:t>
            </w:r>
          </w:p>
        </w:tc>
      </w:tr>
      <w:tr w14:paraId="157BC793">
        <w:tblPrEx>
          <w:tblCellMar>
            <w:top w:w="0" w:type="dxa"/>
            <w:left w:w="108" w:type="dxa"/>
            <w:bottom w:w="0" w:type="dxa"/>
            <w:right w:w="108" w:type="dxa"/>
          </w:tblCellMar>
        </w:tblPrEx>
        <w:trPr>
          <w:cantSplit/>
          <w:trHeight w:val="166" w:hRule="atLeast"/>
          <w:jc w:val="center"/>
        </w:trPr>
        <w:tc>
          <w:tcPr>
            <w:tcW w:w="5000" w:type="pct"/>
            <w:gridSpan w:val="6"/>
            <w:tcBorders>
              <w:top w:val="single" w:color="auto" w:sz="4" w:space="0"/>
              <w:left w:val="single" w:color="auto" w:sz="4" w:space="0"/>
              <w:bottom w:val="single" w:color="auto" w:sz="4" w:space="0"/>
              <w:right w:val="single" w:color="auto" w:sz="4" w:space="0"/>
            </w:tcBorders>
          </w:tcPr>
          <w:p w14:paraId="30472C50">
            <w:pPr>
              <w:pStyle w:val="184"/>
              <w:rPr>
                <w:b w:val="0"/>
                <w:bCs/>
                <w:color w:val="auto"/>
              </w:rPr>
            </w:pPr>
            <w:r>
              <w:rPr>
                <w:rFonts w:hint="eastAsia"/>
                <w:b w:val="0"/>
                <w:bCs/>
                <w:color w:val="auto"/>
              </w:rPr>
              <w:t>危险特性：遇明火、高热可燃。</w:t>
            </w:r>
          </w:p>
        </w:tc>
      </w:tr>
      <w:tr w14:paraId="60E0BB45">
        <w:tblPrEx>
          <w:tblCellMar>
            <w:top w:w="0" w:type="dxa"/>
            <w:left w:w="108" w:type="dxa"/>
            <w:bottom w:w="0" w:type="dxa"/>
            <w:right w:w="108" w:type="dxa"/>
          </w:tblCellMar>
        </w:tblPrEx>
        <w:trPr>
          <w:cantSplit/>
          <w:trHeight w:val="440" w:hRule="atLeast"/>
          <w:jc w:val="center"/>
        </w:trPr>
        <w:tc>
          <w:tcPr>
            <w:tcW w:w="5000" w:type="pct"/>
            <w:gridSpan w:val="6"/>
            <w:tcBorders>
              <w:top w:val="single" w:color="auto" w:sz="4" w:space="0"/>
              <w:left w:val="single" w:color="auto" w:sz="4" w:space="0"/>
              <w:bottom w:val="single" w:color="auto" w:sz="4" w:space="0"/>
              <w:right w:val="single" w:color="auto" w:sz="4" w:space="0"/>
            </w:tcBorders>
          </w:tcPr>
          <w:p w14:paraId="03B4C915">
            <w:pPr>
              <w:pStyle w:val="184"/>
              <w:rPr>
                <w:b w:val="0"/>
                <w:bCs/>
                <w:color w:val="auto"/>
              </w:rPr>
            </w:pPr>
            <w:r>
              <w:rPr>
                <w:rFonts w:hint="eastAsia"/>
                <w:b w:val="0"/>
                <w:bCs/>
                <w:color w:val="auto"/>
              </w:rPr>
              <w:t>灭火方式：消防人员须佩戴防毒面具、穿全身消防服，在上风向灭火。尽可能将容器从火场移至空旷处。喷水保持火场容器冷却，直至灭火结束。处在火场中的容器若已变色或从安全泄压装置中产生声音，必须马上撤离。灭火剂：雾状水、泡沫、干粉、二氧化碳、砂土。</w:t>
            </w:r>
          </w:p>
        </w:tc>
      </w:tr>
      <w:tr w14:paraId="0465B13B">
        <w:tblPrEx>
          <w:tblCellMar>
            <w:top w:w="0" w:type="dxa"/>
            <w:left w:w="108" w:type="dxa"/>
            <w:bottom w:w="0" w:type="dxa"/>
            <w:right w:w="108" w:type="dxa"/>
          </w:tblCellMar>
        </w:tblPrEx>
        <w:trPr>
          <w:cantSplit/>
          <w:trHeight w:val="166" w:hRule="atLeast"/>
          <w:jc w:val="center"/>
        </w:trPr>
        <w:tc>
          <w:tcPr>
            <w:tcW w:w="5000" w:type="pct"/>
            <w:gridSpan w:val="6"/>
            <w:tcBorders>
              <w:top w:val="single" w:color="auto" w:sz="4" w:space="0"/>
              <w:left w:val="single" w:color="auto" w:sz="4" w:space="0"/>
              <w:bottom w:val="single" w:color="auto" w:sz="4" w:space="0"/>
              <w:right w:val="single" w:color="auto" w:sz="4" w:space="0"/>
            </w:tcBorders>
          </w:tcPr>
          <w:p w14:paraId="5E2F1C0E">
            <w:pPr>
              <w:pStyle w:val="184"/>
              <w:rPr>
                <w:b w:val="0"/>
                <w:bCs/>
                <w:color w:val="auto"/>
              </w:rPr>
            </w:pPr>
            <w:r>
              <w:rPr>
                <w:rFonts w:hint="eastAsia"/>
                <w:b w:val="0"/>
                <w:bCs/>
                <w:color w:val="auto"/>
              </w:rPr>
              <w:t>健康危害数据</w:t>
            </w:r>
          </w:p>
        </w:tc>
      </w:tr>
      <w:tr w14:paraId="6F7FD04A">
        <w:tblPrEx>
          <w:tblCellMar>
            <w:top w:w="0" w:type="dxa"/>
            <w:left w:w="108" w:type="dxa"/>
            <w:bottom w:w="0" w:type="dxa"/>
            <w:right w:w="108" w:type="dxa"/>
          </w:tblCellMar>
        </w:tblPrEx>
        <w:trPr>
          <w:cantSplit/>
          <w:trHeight w:val="166" w:hRule="atLeast"/>
          <w:jc w:val="center"/>
        </w:trPr>
        <w:tc>
          <w:tcPr>
            <w:tcW w:w="1664" w:type="pct"/>
            <w:tcBorders>
              <w:top w:val="single" w:color="auto" w:sz="4" w:space="0"/>
              <w:left w:val="single" w:color="auto" w:sz="4" w:space="0"/>
              <w:bottom w:val="single" w:color="auto" w:sz="4" w:space="0"/>
              <w:right w:val="single" w:color="auto" w:sz="4" w:space="0"/>
            </w:tcBorders>
          </w:tcPr>
          <w:p w14:paraId="7DCCF677">
            <w:pPr>
              <w:pStyle w:val="184"/>
              <w:rPr>
                <w:b w:val="0"/>
                <w:bCs/>
                <w:color w:val="auto"/>
              </w:rPr>
            </w:pPr>
            <w:r>
              <w:rPr>
                <w:rFonts w:hint="eastAsia"/>
                <w:b w:val="0"/>
                <w:bCs/>
                <w:color w:val="auto"/>
              </w:rPr>
              <w:t>侵入途径：吸入。</w:t>
            </w:r>
          </w:p>
        </w:tc>
        <w:tc>
          <w:tcPr>
            <w:tcW w:w="3335" w:type="pct"/>
            <w:gridSpan w:val="5"/>
            <w:tcBorders>
              <w:top w:val="single" w:color="auto" w:sz="4" w:space="0"/>
              <w:left w:val="nil"/>
              <w:bottom w:val="single" w:color="auto" w:sz="4" w:space="0"/>
              <w:right w:val="single" w:color="auto" w:sz="4" w:space="0"/>
            </w:tcBorders>
          </w:tcPr>
          <w:p w14:paraId="478F7C6D">
            <w:pPr>
              <w:pStyle w:val="184"/>
              <w:rPr>
                <w:b w:val="0"/>
                <w:bCs/>
                <w:color w:val="auto"/>
              </w:rPr>
            </w:pPr>
            <w:r>
              <w:rPr>
                <w:rFonts w:hint="eastAsia"/>
                <w:b w:val="0"/>
                <w:bCs/>
                <w:color w:val="auto"/>
              </w:rPr>
              <w:t>急性毒性：LD50：—；LC50：—</w:t>
            </w:r>
          </w:p>
        </w:tc>
      </w:tr>
      <w:tr w14:paraId="647C9E78">
        <w:tblPrEx>
          <w:tblCellMar>
            <w:top w:w="0" w:type="dxa"/>
            <w:left w:w="108" w:type="dxa"/>
            <w:bottom w:w="0" w:type="dxa"/>
            <w:right w:w="108" w:type="dxa"/>
          </w:tblCellMar>
        </w:tblPrEx>
        <w:trPr>
          <w:cantSplit/>
          <w:trHeight w:val="440" w:hRule="atLeast"/>
          <w:jc w:val="center"/>
        </w:trPr>
        <w:tc>
          <w:tcPr>
            <w:tcW w:w="5000" w:type="pct"/>
            <w:gridSpan w:val="6"/>
            <w:tcBorders>
              <w:top w:val="single" w:color="auto" w:sz="4" w:space="0"/>
              <w:left w:val="single" w:color="auto" w:sz="4" w:space="0"/>
              <w:bottom w:val="single" w:color="auto" w:sz="4" w:space="0"/>
              <w:right w:val="single" w:color="auto" w:sz="4" w:space="0"/>
            </w:tcBorders>
          </w:tcPr>
          <w:p w14:paraId="1809DBBD">
            <w:pPr>
              <w:pStyle w:val="184"/>
              <w:rPr>
                <w:b w:val="0"/>
                <w:bCs/>
                <w:color w:val="auto"/>
              </w:rPr>
            </w:pPr>
            <w:r>
              <w:rPr>
                <w:rFonts w:hint="eastAsia"/>
                <w:b w:val="0"/>
                <w:bCs/>
                <w:color w:val="auto"/>
              </w:rPr>
              <w:t xml:space="preserve">    健康危害：急性吸入，可出现乏力、头晕、头痛、恶心，严重者可引起油脂性肺炎。慢接触者，暴露部位可发生油性痤疮和接触性皮炎。可引起神经衰弱综合征，呼吸道和眼刺激症状及慢性油脂性肺炎。有资料报道，接触石油液压油类的工人，有致癌的病例报告。</w:t>
            </w:r>
          </w:p>
        </w:tc>
      </w:tr>
      <w:tr w14:paraId="36390AA5">
        <w:tblPrEx>
          <w:tblCellMar>
            <w:top w:w="0" w:type="dxa"/>
            <w:left w:w="108" w:type="dxa"/>
            <w:bottom w:w="0" w:type="dxa"/>
            <w:right w:w="108" w:type="dxa"/>
          </w:tblCellMar>
        </w:tblPrEx>
        <w:trPr>
          <w:cantSplit/>
          <w:trHeight w:val="175" w:hRule="atLeast"/>
          <w:jc w:val="center"/>
        </w:trPr>
        <w:tc>
          <w:tcPr>
            <w:tcW w:w="5000" w:type="pct"/>
            <w:gridSpan w:val="6"/>
            <w:tcBorders>
              <w:top w:val="single" w:color="auto" w:sz="4" w:space="0"/>
              <w:left w:val="single" w:color="auto" w:sz="4" w:space="0"/>
              <w:bottom w:val="single" w:color="auto" w:sz="4" w:space="0"/>
              <w:right w:val="single" w:color="auto" w:sz="4" w:space="0"/>
            </w:tcBorders>
          </w:tcPr>
          <w:p w14:paraId="2AB5F44C">
            <w:pPr>
              <w:pStyle w:val="184"/>
              <w:rPr>
                <w:b w:val="0"/>
                <w:bCs/>
                <w:color w:val="auto"/>
              </w:rPr>
            </w:pPr>
            <w:r>
              <w:rPr>
                <w:rFonts w:hint="eastAsia"/>
                <w:b w:val="0"/>
                <w:bCs/>
                <w:color w:val="auto"/>
              </w:rPr>
              <w:t>急救措施</w:t>
            </w:r>
          </w:p>
        </w:tc>
      </w:tr>
      <w:tr w14:paraId="3543F831">
        <w:tblPrEx>
          <w:tblCellMar>
            <w:top w:w="0" w:type="dxa"/>
            <w:left w:w="108" w:type="dxa"/>
            <w:bottom w:w="0" w:type="dxa"/>
            <w:right w:w="108" w:type="dxa"/>
          </w:tblCellMar>
        </w:tblPrEx>
        <w:trPr>
          <w:cantSplit/>
          <w:trHeight w:val="150" w:hRule="atLeast"/>
          <w:jc w:val="center"/>
        </w:trPr>
        <w:tc>
          <w:tcPr>
            <w:tcW w:w="5000" w:type="pct"/>
            <w:gridSpan w:val="6"/>
            <w:tcBorders>
              <w:top w:val="single" w:color="auto" w:sz="4" w:space="0"/>
              <w:left w:val="single" w:color="auto" w:sz="4" w:space="0"/>
              <w:bottom w:val="single" w:color="auto" w:sz="4" w:space="0"/>
              <w:right w:val="single" w:color="auto" w:sz="4" w:space="0"/>
            </w:tcBorders>
          </w:tcPr>
          <w:p w14:paraId="539BEC80">
            <w:pPr>
              <w:pStyle w:val="184"/>
              <w:rPr>
                <w:b w:val="0"/>
                <w:bCs/>
                <w:color w:val="auto"/>
              </w:rPr>
            </w:pPr>
            <w:r>
              <w:rPr>
                <w:rFonts w:hint="eastAsia"/>
                <w:b w:val="0"/>
                <w:bCs/>
                <w:color w:val="auto"/>
              </w:rPr>
              <w:t>眼睛接触：提起眼睑，用流动清水或生理盐水冲洗。就医。</w:t>
            </w:r>
          </w:p>
        </w:tc>
      </w:tr>
      <w:tr w14:paraId="7C4E607D">
        <w:tblPrEx>
          <w:tblCellMar>
            <w:top w:w="0" w:type="dxa"/>
            <w:left w:w="108" w:type="dxa"/>
            <w:bottom w:w="0" w:type="dxa"/>
            <w:right w:w="108" w:type="dxa"/>
          </w:tblCellMar>
        </w:tblPrEx>
        <w:trPr>
          <w:cantSplit/>
          <w:trHeight w:val="150" w:hRule="atLeast"/>
          <w:jc w:val="center"/>
        </w:trPr>
        <w:tc>
          <w:tcPr>
            <w:tcW w:w="5000" w:type="pct"/>
            <w:gridSpan w:val="6"/>
            <w:tcBorders>
              <w:top w:val="single" w:color="auto" w:sz="4" w:space="0"/>
              <w:left w:val="single" w:color="auto" w:sz="4" w:space="0"/>
              <w:bottom w:val="single" w:color="auto" w:sz="4" w:space="0"/>
              <w:right w:val="single" w:color="auto" w:sz="4" w:space="0"/>
            </w:tcBorders>
          </w:tcPr>
          <w:p w14:paraId="19355B62">
            <w:pPr>
              <w:pStyle w:val="184"/>
              <w:rPr>
                <w:b w:val="0"/>
                <w:bCs/>
                <w:color w:val="auto"/>
              </w:rPr>
            </w:pPr>
            <w:r>
              <w:rPr>
                <w:rFonts w:hint="eastAsia"/>
                <w:b w:val="0"/>
                <w:bCs/>
                <w:color w:val="auto"/>
              </w:rPr>
              <w:t>食入：饮足量温水，催吐。就医。</w:t>
            </w:r>
          </w:p>
        </w:tc>
      </w:tr>
      <w:tr w14:paraId="637ED241">
        <w:tblPrEx>
          <w:tblCellMar>
            <w:top w:w="0" w:type="dxa"/>
            <w:left w:w="108" w:type="dxa"/>
            <w:bottom w:w="0" w:type="dxa"/>
            <w:right w:w="108" w:type="dxa"/>
          </w:tblCellMar>
        </w:tblPrEx>
        <w:trPr>
          <w:cantSplit/>
          <w:trHeight w:val="295" w:hRule="atLeast"/>
          <w:jc w:val="center"/>
        </w:trPr>
        <w:tc>
          <w:tcPr>
            <w:tcW w:w="1664" w:type="pct"/>
            <w:tcBorders>
              <w:top w:val="single" w:color="auto" w:sz="4" w:space="0"/>
              <w:left w:val="single" w:color="auto" w:sz="4" w:space="0"/>
              <w:bottom w:val="single" w:color="auto" w:sz="4" w:space="0"/>
              <w:right w:val="single" w:color="auto" w:sz="4" w:space="0"/>
            </w:tcBorders>
          </w:tcPr>
          <w:p w14:paraId="1537BD9D">
            <w:pPr>
              <w:pStyle w:val="184"/>
              <w:rPr>
                <w:b w:val="0"/>
                <w:bCs/>
                <w:color w:val="auto"/>
              </w:rPr>
            </w:pPr>
            <w:r>
              <w:rPr>
                <w:rFonts w:hint="eastAsia"/>
                <w:b w:val="0"/>
                <w:bCs/>
                <w:color w:val="auto"/>
              </w:rPr>
              <w:t>皮肤接触：脱去污染的衣着，用大量流动清水冲洗。就医。</w:t>
            </w:r>
          </w:p>
        </w:tc>
        <w:tc>
          <w:tcPr>
            <w:tcW w:w="3335" w:type="pct"/>
            <w:gridSpan w:val="5"/>
            <w:tcBorders>
              <w:top w:val="single" w:color="auto" w:sz="4" w:space="0"/>
              <w:left w:val="nil"/>
              <w:bottom w:val="single" w:color="auto" w:sz="4" w:space="0"/>
              <w:right w:val="single" w:color="auto" w:sz="4" w:space="0"/>
            </w:tcBorders>
          </w:tcPr>
          <w:p w14:paraId="5A2447FF">
            <w:pPr>
              <w:pStyle w:val="184"/>
              <w:rPr>
                <w:b w:val="0"/>
                <w:bCs/>
                <w:color w:val="auto"/>
              </w:rPr>
            </w:pPr>
            <w:r>
              <w:rPr>
                <w:rFonts w:hint="eastAsia"/>
                <w:b w:val="0"/>
                <w:bCs/>
                <w:color w:val="auto"/>
              </w:rPr>
              <w:t>吸入：迅速脱离现场至空气新鲜处。保持呼吸道通畅。如呼吸困难，给输氧。如呼吸停止，立即进行人工呼吸。就医。</w:t>
            </w:r>
          </w:p>
        </w:tc>
      </w:tr>
      <w:tr w14:paraId="3F16F545">
        <w:tblPrEx>
          <w:tblCellMar>
            <w:top w:w="0" w:type="dxa"/>
            <w:left w:w="108" w:type="dxa"/>
            <w:bottom w:w="0" w:type="dxa"/>
            <w:right w:w="108" w:type="dxa"/>
          </w:tblCellMar>
        </w:tblPrEx>
        <w:trPr>
          <w:cantSplit/>
          <w:trHeight w:val="175" w:hRule="atLeast"/>
          <w:jc w:val="center"/>
        </w:trPr>
        <w:tc>
          <w:tcPr>
            <w:tcW w:w="5000" w:type="pct"/>
            <w:gridSpan w:val="6"/>
            <w:tcBorders>
              <w:top w:val="single" w:color="auto" w:sz="4" w:space="0"/>
              <w:left w:val="single" w:color="auto" w:sz="4" w:space="0"/>
              <w:bottom w:val="single" w:color="auto" w:sz="4" w:space="0"/>
              <w:right w:val="single" w:color="auto" w:sz="4" w:space="0"/>
            </w:tcBorders>
          </w:tcPr>
          <w:p w14:paraId="7893B9CF">
            <w:pPr>
              <w:pStyle w:val="184"/>
              <w:rPr>
                <w:b w:val="0"/>
                <w:bCs/>
                <w:color w:val="auto"/>
              </w:rPr>
            </w:pPr>
            <w:r>
              <w:rPr>
                <w:rFonts w:hint="eastAsia"/>
                <w:b w:val="0"/>
                <w:bCs/>
                <w:color w:val="auto"/>
              </w:rPr>
              <w:t>稳定性及反应活性数据</w:t>
            </w:r>
          </w:p>
        </w:tc>
      </w:tr>
      <w:tr w14:paraId="34D116F4">
        <w:tblPrEx>
          <w:tblCellMar>
            <w:top w:w="0" w:type="dxa"/>
            <w:left w:w="108" w:type="dxa"/>
            <w:bottom w:w="0" w:type="dxa"/>
            <w:right w:w="108" w:type="dxa"/>
          </w:tblCellMar>
        </w:tblPrEx>
        <w:trPr>
          <w:cantSplit/>
          <w:trHeight w:val="158" w:hRule="atLeast"/>
          <w:jc w:val="center"/>
        </w:trPr>
        <w:tc>
          <w:tcPr>
            <w:tcW w:w="1664" w:type="pct"/>
            <w:tcBorders>
              <w:top w:val="single" w:color="auto" w:sz="4" w:space="0"/>
              <w:left w:val="single" w:color="auto" w:sz="4" w:space="0"/>
              <w:bottom w:val="single" w:color="auto" w:sz="4" w:space="0"/>
              <w:right w:val="single" w:color="auto" w:sz="4" w:space="0"/>
            </w:tcBorders>
          </w:tcPr>
          <w:p w14:paraId="791C5CDF">
            <w:pPr>
              <w:pStyle w:val="184"/>
              <w:rPr>
                <w:b w:val="0"/>
                <w:bCs/>
                <w:color w:val="auto"/>
              </w:rPr>
            </w:pPr>
            <w:r>
              <w:rPr>
                <w:rFonts w:hint="eastAsia"/>
                <w:b w:val="0"/>
                <w:bCs/>
                <w:color w:val="auto"/>
              </w:rPr>
              <w:t>稳定性：稳定</w:t>
            </w:r>
          </w:p>
        </w:tc>
        <w:tc>
          <w:tcPr>
            <w:tcW w:w="1665" w:type="pct"/>
            <w:gridSpan w:val="3"/>
            <w:tcBorders>
              <w:top w:val="single" w:color="auto" w:sz="4" w:space="0"/>
              <w:left w:val="nil"/>
              <w:bottom w:val="single" w:color="auto" w:sz="4" w:space="0"/>
              <w:right w:val="single" w:color="auto" w:sz="4" w:space="0"/>
            </w:tcBorders>
          </w:tcPr>
          <w:p w14:paraId="31885A0D">
            <w:pPr>
              <w:pStyle w:val="184"/>
              <w:rPr>
                <w:b w:val="0"/>
                <w:bCs/>
                <w:color w:val="auto"/>
              </w:rPr>
            </w:pPr>
            <w:r>
              <w:rPr>
                <w:rFonts w:hint="eastAsia"/>
                <w:b w:val="0"/>
                <w:bCs/>
                <w:color w:val="auto"/>
              </w:rPr>
              <w:t>聚合危害：不聚合</w:t>
            </w:r>
          </w:p>
        </w:tc>
        <w:tc>
          <w:tcPr>
            <w:tcW w:w="1669" w:type="pct"/>
            <w:gridSpan w:val="2"/>
            <w:tcBorders>
              <w:top w:val="single" w:color="auto" w:sz="4" w:space="0"/>
              <w:left w:val="nil"/>
              <w:bottom w:val="single" w:color="auto" w:sz="4" w:space="0"/>
              <w:right w:val="single" w:color="auto" w:sz="4" w:space="0"/>
            </w:tcBorders>
          </w:tcPr>
          <w:p w14:paraId="7440B0E5">
            <w:pPr>
              <w:pStyle w:val="184"/>
              <w:rPr>
                <w:b w:val="0"/>
                <w:bCs/>
                <w:color w:val="auto"/>
              </w:rPr>
            </w:pPr>
            <w:r>
              <w:rPr>
                <w:rFonts w:hint="eastAsia"/>
                <w:b w:val="0"/>
                <w:bCs/>
                <w:color w:val="auto"/>
              </w:rPr>
              <w:t>禁忌物：强氧化剂</w:t>
            </w:r>
          </w:p>
        </w:tc>
      </w:tr>
      <w:tr w14:paraId="1447F2D6">
        <w:tblPrEx>
          <w:tblCellMar>
            <w:top w:w="0" w:type="dxa"/>
            <w:left w:w="108" w:type="dxa"/>
            <w:bottom w:w="0" w:type="dxa"/>
            <w:right w:w="108" w:type="dxa"/>
          </w:tblCellMar>
        </w:tblPrEx>
        <w:trPr>
          <w:cantSplit/>
          <w:trHeight w:val="201" w:hRule="atLeast"/>
          <w:jc w:val="center"/>
        </w:trPr>
        <w:tc>
          <w:tcPr>
            <w:tcW w:w="2499" w:type="pct"/>
            <w:gridSpan w:val="3"/>
            <w:tcBorders>
              <w:top w:val="single" w:color="auto" w:sz="4" w:space="0"/>
              <w:left w:val="single" w:color="auto" w:sz="4" w:space="0"/>
              <w:bottom w:val="single" w:color="auto" w:sz="4" w:space="0"/>
              <w:right w:val="single" w:color="auto" w:sz="4" w:space="0"/>
            </w:tcBorders>
          </w:tcPr>
          <w:p w14:paraId="3E76CC8F">
            <w:pPr>
              <w:pStyle w:val="184"/>
              <w:rPr>
                <w:b w:val="0"/>
                <w:bCs/>
                <w:color w:val="auto"/>
              </w:rPr>
            </w:pPr>
            <w:r>
              <w:rPr>
                <w:rFonts w:hint="eastAsia"/>
                <w:b w:val="0"/>
                <w:bCs/>
                <w:color w:val="auto"/>
              </w:rPr>
              <w:t>避免接触条件：—</w:t>
            </w:r>
          </w:p>
        </w:tc>
        <w:tc>
          <w:tcPr>
            <w:tcW w:w="2500" w:type="pct"/>
            <w:gridSpan w:val="3"/>
            <w:tcBorders>
              <w:top w:val="single" w:color="auto" w:sz="4" w:space="0"/>
              <w:left w:val="nil"/>
              <w:bottom w:val="single" w:color="auto" w:sz="4" w:space="0"/>
              <w:right w:val="single" w:color="auto" w:sz="4" w:space="0"/>
            </w:tcBorders>
          </w:tcPr>
          <w:p w14:paraId="1C2C62FC">
            <w:pPr>
              <w:pStyle w:val="184"/>
              <w:rPr>
                <w:b w:val="0"/>
                <w:bCs/>
                <w:color w:val="auto"/>
              </w:rPr>
            </w:pPr>
            <w:r>
              <w:rPr>
                <w:rFonts w:hint="eastAsia"/>
                <w:b w:val="0"/>
                <w:bCs/>
                <w:color w:val="auto"/>
              </w:rPr>
              <w:t>燃烧（分解）产物：一氧化碳、二氧化碳</w:t>
            </w:r>
          </w:p>
        </w:tc>
      </w:tr>
      <w:tr w14:paraId="7EC69C5F">
        <w:tblPrEx>
          <w:tblCellMar>
            <w:top w:w="0" w:type="dxa"/>
            <w:left w:w="108" w:type="dxa"/>
            <w:bottom w:w="0" w:type="dxa"/>
            <w:right w:w="108" w:type="dxa"/>
          </w:tblCellMar>
        </w:tblPrEx>
        <w:trPr>
          <w:cantSplit/>
          <w:trHeight w:val="584" w:hRule="atLeast"/>
          <w:jc w:val="center"/>
        </w:trPr>
        <w:tc>
          <w:tcPr>
            <w:tcW w:w="5000" w:type="pct"/>
            <w:gridSpan w:val="6"/>
            <w:tcBorders>
              <w:top w:val="single" w:color="auto" w:sz="4" w:space="0"/>
              <w:left w:val="single" w:color="auto" w:sz="4" w:space="0"/>
              <w:bottom w:val="single" w:color="auto" w:sz="4" w:space="0"/>
              <w:right w:val="single" w:color="auto" w:sz="4" w:space="0"/>
            </w:tcBorders>
          </w:tcPr>
          <w:p w14:paraId="3D428C75">
            <w:pPr>
              <w:pStyle w:val="184"/>
              <w:rPr>
                <w:b w:val="0"/>
                <w:bCs/>
                <w:color w:val="auto"/>
              </w:rPr>
            </w:pPr>
            <w:r>
              <w:rPr>
                <w:rFonts w:hint="eastAsia"/>
                <w:b w:val="0"/>
                <w:bCs/>
                <w:color w:val="auto"/>
              </w:rPr>
              <w:t>泄漏紧急处理：迅速撤离泄漏污染区人员至安全区，并进行隔离，严格限制出入。切断火源。建议应急处理人员戴自给正压式呼吸器，穿防毒服。尽可能切断泄漏源。防止流入下水道、排洪沟等限制性空间。小量泄漏：用砂土或</w:t>
            </w:r>
            <w:r>
              <w:rPr>
                <w:rFonts w:hint="eastAsia"/>
                <w:b w:val="0"/>
                <w:bCs/>
                <w:color w:val="auto"/>
                <w:lang w:eastAsia="zh-CN"/>
              </w:rPr>
              <w:t>其他不</w:t>
            </w:r>
            <w:r>
              <w:rPr>
                <w:rFonts w:hint="eastAsia"/>
                <w:b w:val="0"/>
                <w:bCs/>
                <w:color w:val="auto"/>
              </w:rPr>
              <w:t>燃材料吸附或吸收。大量泄漏：构筑围堤或挖坑收容。用泵转移至槽车或专用收集器内，回收或运至废物处理场所处置。</w:t>
            </w:r>
          </w:p>
        </w:tc>
      </w:tr>
      <w:tr w14:paraId="7916E127">
        <w:tblPrEx>
          <w:tblCellMar>
            <w:top w:w="0" w:type="dxa"/>
            <w:left w:w="108" w:type="dxa"/>
            <w:bottom w:w="0" w:type="dxa"/>
            <w:right w:w="108" w:type="dxa"/>
          </w:tblCellMar>
        </w:tblPrEx>
        <w:trPr>
          <w:cantSplit/>
          <w:trHeight w:val="729" w:hRule="atLeast"/>
          <w:jc w:val="center"/>
        </w:trPr>
        <w:tc>
          <w:tcPr>
            <w:tcW w:w="5000" w:type="pct"/>
            <w:gridSpan w:val="6"/>
            <w:tcBorders>
              <w:top w:val="single" w:color="auto" w:sz="4" w:space="0"/>
              <w:left w:val="single" w:color="auto" w:sz="4" w:space="0"/>
              <w:bottom w:val="single" w:color="auto" w:sz="4" w:space="0"/>
              <w:right w:val="single" w:color="auto" w:sz="4" w:space="0"/>
            </w:tcBorders>
          </w:tcPr>
          <w:p w14:paraId="634C6E32">
            <w:pPr>
              <w:pStyle w:val="184"/>
              <w:rPr>
                <w:b w:val="0"/>
                <w:bCs/>
                <w:color w:val="auto"/>
              </w:rPr>
            </w:pPr>
            <w:r>
              <w:rPr>
                <w:rFonts w:hint="eastAsia"/>
                <w:b w:val="0"/>
                <w:bCs/>
                <w:color w:val="auto"/>
              </w:rPr>
              <w:t>储运注意事项：储存于阴凉、通风的库房。远离火种、热源。应与氧化剂分开存放，切忌混储。配备相应品种和数量的消防器材。储区应备有泄漏应急处理设备和合适的收容材料。运输前应先检查包装容器是否完整、密封，运输过程中要确保容器不泄漏、不倒塌、不坠落、不损坏。严禁与氧化剂、食用化学品等混装混运。运输车船必须彻底清洗、消毒，否则不得装运其它物品。船运时，配装位置应远离卧室、厨房，并与机舱、电源、火源等部位隔离。公路运输时要按规定路线行驶。</w:t>
            </w:r>
          </w:p>
        </w:tc>
      </w:tr>
      <w:tr w14:paraId="31DDEB03">
        <w:tblPrEx>
          <w:tblCellMar>
            <w:top w:w="0" w:type="dxa"/>
            <w:left w:w="108" w:type="dxa"/>
            <w:bottom w:w="0" w:type="dxa"/>
            <w:right w:w="108" w:type="dxa"/>
          </w:tblCellMar>
        </w:tblPrEx>
        <w:trPr>
          <w:cantSplit/>
          <w:trHeight w:val="175" w:hRule="atLeast"/>
          <w:jc w:val="center"/>
        </w:trPr>
        <w:tc>
          <w:tcPr>
            <w:tcW w:w="5000" w:type="pct"/>
            <w:gridSpan w:val="6"/>
            <w:tcBorders>
              <w:top w:val="single" w:color="auto" w:sz="4" w:space="0"/>
              <w:left w:val="single" w:color="auto" w:sz="4" w:space="0"/>
              <w:bottom w:val="single" w:color="auto" w:sz="4" w:space="0"/>
              <w:right w:val="single" w:color="auto" w:sz="4" w:space="0"/>
            </w:tcBorders>
          </w:tcPr>
          <w:p w14:paraId="01DFE29A">
            <w:pPr>
              <w:pStyle w:val="184"/>
              <w:rPr>
                <w:b w:val="0"/>
                <w:bCs/>
                <w:color w:val="auto"/>
              </w:rPr>
            </w:pPr>
            <w:r>
              <w:rPr>
                <w:rFonts w:hint="eastAsia"/>
                <w:b w:val="0"/>
                <w:bCs/>
                <w:color w:val="auto"/>
              </w:rPr>
              <w:t>防护措施</w:t>
            </w:r>
          </w:p>
        </w:tc>
      </w:tr>
      <w:tr w14:paraId="2B9729D8">
        <w:tblPrEx>
          <w:tblCellMar>
            <w:top w:w="0" w:type="dxa"/>
            <w:left w:w="108" w:type="dxa"/>
            <w:bottom w:w="0" w:type="dxa"/>
            <w:right w:w="108" w:type="dxa"/>
          </w:tblCellMar>
        </w:tblPrEx>
        <w:trPr>
          <w:cantSplit/>
          <w:trHeight w:val="150" w:hRule="atLeast"/>
          <w:jc w:val="center"/>
        </w:trPr>
        <w:tc>
          <w:tcPr>
            <w:tcW w:w="2499" w:type="pct"/>
            <w:gridSpan w:val="3"/>
            <w:tcBorders>
              <w:top w:val="single" w:color="auto" w:sz="4" w:space="0"/>
              <w:left w:val="single" w:color="auto" w:sz="4" w:space="0"/>
              <w:bottom w:val="single" w:color="auto" w:sz="4" w:space="0"/>
              <w:right w:val="single" w:color="auto" w:sz="4" w:space="0"/>
            </w:tcBorders>
          </w:tcPr>
          <w:p w14:paraId="7163AD93">
            <w:pPr>
              <w:pStyle w:val="184"/>
              <w:rPr>
                <w:b w:val="0"/>
                <w:bCs/>
                <w:color w:val="auto"/>
              </w:rPr>
            </w:pPr>
            <w:r>
              <w:rPr>
                <w:rFonts w:hint="eastAsia"/>
                <w:b w:val="0"/>
                <w:bCs/>
                <w:color w:val="auto"/>
              </w:rPr>
              <w:t>职业接触限值（mg/m³）：—</w:t>
            </w:r>
          </w:p>
        </w:tc>
        <w:tc>
          <w:tcPr>
            <w:tcW w:w="2500" w:type="pct"/>
            <w:gridSpan w:val="3"/>
            <w:tcBorders>
              <w:top w:val="single" w:color="auto" w:sz="4" w:space="0"/>
              <w:left w:val="nil"/>
              <w:bottom w:val="single" w:color="auto" w:sz="4" w:space="0"/>
              <w:right w:val="single" w:color="auto" w:sz="4" w:space="0"/>
            </w:tcBorders>
          </w:tcPr>
          <w:p w14:paraId="078DDB88">
            <w:pPr>
              <w:pStyle w:val="184"/>
              <w:rPr>
                <w:b w:val="0"/>
                <w:bCs/>
                <w:color w:val="auto"/>
              </w:rPr>
            </w:pPr>
            <w:r>
              <w:rPr>
                <w:rFonts w:hint="eastAsia"/>
                <w:b w:val="0"/>
                <w:bCs/>
                <w:color w:val="auto"/>
              </w:rPr>
              <w:t>身体防护：穿防毒物渗透工作服。</w:t>
            </w:r>
          </w:p>
        </w:tc>
      </w:tr>
      <w:tr w14:paraId="77E04276">
        <w:tblPrEx>
          <w:tblCellMar>
            <w:top w:w="0" w:type="dxa"/>
            <w:left w:w="108" w:type="dxa"/>
            <w:bottom w:w="0" w:type="dxa"/>
            <w:right w:w="108" w:type="dxa"/>
          </w:tblCellMar>
        </w:tblPrEx>
        <w:trPr>
          <w:cantSplit/>
          <w:trHeight w:val="150" w:hRule="atLeast"/>
          <w:jc w:val="center"/>
        </w:trPr>
        <w:tc>
          <w:tcPr>
            <w:tcW w:w="5000" w:type="pct"/>
            <w:gridSpan w:val="6"/>
            <w:tcBorders>
              <w:top w:val="single" w:color="auto" w:sz="4" w:space="0"/>
              <w:left w:val="single" w:color="auto" w:sz="4" w:space="0"/>
              <w:bottom w:val="single" w:color="auto" w:sz="4" w:space="0"/>
              <w:right w:val="single" w:color="auto" w:sz="4" w:space="0"/>
            </w:tcBorders>
          </w:tcPr>
          <w:p w14:paraId="4B332613">
            <w:pPr>
              <w:pStyle w:val="184"/>
              <w:rPr>
                <w:b w:val="0"/>
                <w:bCs/>
                <w:color w:val="auto"/>
              </w:rPr>
            </w:pPr>
            <w:r>
              <w:rPr>
                <w:rFonts w:hint="eastAsia"/>
                <w:b w:val="0"/>
                <w:bCs/>
                <w:color w:val="auto"/>
              </w:rPr>
              <w:t>工程控制：密闭操作，注意通风。</w:t>
            </w:r>
          </w:p>
        </w:tc>
      </w:tr>
      <w:tr w14:paraId="1084A1AA">
        <w:tblPrEx>
          <w:tblCellMar>
            <w:top w:w="0" w:type="dxa"/>
            <w:left w:w="108" w:type="dxa"/>
            <w:bottom w:w="0" w:type="dxa"/>
            <w:right w:w="108" w:type="dxa"/>
          </w:tblCellMar>
        </w:tblPrEx>
        <w:trPr>
          <w:cantSplit/>
          <w:trHeight w:val="295" w:hRule="atLeast"/>
          <w:jc w:val="center"/>
        </w:trPr>
        <w:tc>
          <w:tcPr>
            <w:tcW w:w="5000" w:type="pct"/>
            <w:gridSpan w:val="6"/>
            <w:tcBorders>
              <w:top w:val="single" w:color="auto" w:sz="4" w:space="0"/>
              <w:left w:val="single" w:color="auto" w:sz="4" w:space="0"/>
              <w:bottom w:val="single" w:color="auto" w:sz="4" w:space="0"/>
              <w:right w:val="single" w:color="auto" w:sz="4" w:space="0"/>
            </w:tcBorders>
          </w:tcPr>
          <w:p w14:paraId="69423D77">
            <w:pPr>
              <w:pStyle w:val="184"/>
              <w:rPr>
                <w:b w:val="0"/>
                <w:bCs/>
                <w:color w:val="auto"/>
              </w:rPr>
            </w:pPr>
            <w:r>
              <w:rPr>
                <w:rFonts w:hint="eastAsia"/>
                <w:b w:val="0"/>
                <w:bCs/>
                <w:color w:val="auto"/>
              </w:rPr>
              <w:t xml:space="preserve">    呼吸系统防护：空气中浓度超标时，必须佩戴自吸过滤式防毒面具（半面罩）。紧急事态抢救或撤离时，应该佩戴空气呼吸器。</w:t>
            </w:r>
          </w:p>
        </w:tc>
      </w:tr>
      <w:tr w14:paraId="4D277C53">
        <w:tblPrEx>
          <w:tblCellMar>
            <w:top w:w="0" w:type="dxa"/>
            <w:left w:w="108" w:type="dxa"/>
            <w:bottom w:w="0" w:type="dxa"/>
            <w:right w:w="108" w:type="dxa"/>
          </w:tblCellMar>
        </w:tblPrEx>
        <w:trPr>
          <w:cantSplit/>
          <w:trHeight w:val="150" w:hRule="atLeast"/>
          <w:jc w:val="center"/>
        </w:trPr>
        <w:tc>
          <w:tcPr>
            <w:tcW w:w="2499" w:type="pct"/>
            <w:gridSpan w:val="3"/>
            <w:tcBorders>
              <w:top w:val="single" w:color="auto" w:sz="4" w:space="0"/>
              <w:left w:val="single" w:color="auto" w:sz="4" w:space="0"/>
              <w:bottom w:val="single" w:color="auto" w:sz="4" w:space="0"/>
              <w:right w:val="single" w:color="auto" w:sz="4" w:space="0"/>
            </w:tcBorders>
          </w:tcPr>
          <w:p w14:paraId="47673720">
            <w:pPr>
              <w:pStyle w:val="184"/>
              <w:rPr>
                <w:b w:val="0"/>
                <w:bCs/>
                <w:color w:val="auto"/>
              </w:rPr>
            </w:pPr>
            <w:r>
              <w:rPr>
                <w:rFonts w:hint="eastAsia"/>
                <w:b w:val="0"/>
                <w:bCs/>
                <w:color w:val="auto"/>
              </w:rPr>
              <w:t>眼防护：戴化学安全防护眼镜。</w:t>
            </w:r>
          </w:p>
        </w:tc>
        <w:tc>
          <w:tcPr>
            <w:tcW w:w="2500" w:type="pct"/>
            <w:gridSpan w:val="3"/>
            <w:tcBorders>
              <w:top w:val="single" w:color="auto" w:sz="4" w:space="0"/>
              <w:left w:val="nil"/>
              <w:bottom w:val="single" w:color="auto" w:sz="4" w:space="0"/>
              <w:right w:val="single" w:color="auto" w:sz="4" w:space="0"/>
            </w:tcBorders>
          </w:tcPr>
          <w:p w14:paraId="71BD4C20">
            <w:pPr>
              <w:pStyle w:val="184"/>
              <w:rPr>
                <w:b w:val="0"/>
                <w:bCs/>
                <w:color w:val="auto"/>
              </w:rPr>
            </w:pPr>
            <w:r>
              <w:rPr>
                <w:rFonts w:hint="eastAsia"/>
                <w:b w:val="0"/>
                <w:bCs/>
                <w:color w:val="auto"/>
              </w:rPr>
              <w:t>手防护：戴橡胶耐油手套。</w:t>
            </w:r>
          </w:p>
        </w:tc>
      </w:tr>
      <w:tr w14:paraId="146C2871">
        <w:tblPrEx>
          <w:tblCellMar>
            <w:top w:w="0" w:type="dxa"/>
            <w:left w:w="108" w:type="dxa"/>
            <w:bottom w:w="0" w:type="dxa"/>
            <w:right w:w="108" w:type="dxa"/>
          </w:tblCellMar>
        </w:tblPrEx>
        <w:trPr>
          <w:cantSplit/>
          <w:trHeight w:val="156" w:hRule="atLeast"/>
          <w:jc w:val="center"/>
        </w:trPr>
        <w:tc>
          <w:tcPr>
            <w:tcW w:w="5000" w:type="pct"/>
            <w:gridSpan w:val="6"/>
            <w:tcBorders>
              <w:top w:val="single" w:color="auto" w:sz="4" w:space="0"/>
              <w:left w:val="single" w:color="auto" w:sz="4" w:space="0"/>
              <w:bottom w:val="single" w:color="auto" w:sz="4" w:space="0"/>
              <w:right w:val="single" w:color="auto" w:sz="4" w:space="0"/>
            </w:tcBorders>
          </w:tcPr>
          <w:p w14:paraId="29B5621D">
            <w:pPr>
              <w:pStyle w:val="184"/>
              <w:rPr>
                <w:b w:val="0"/>
                <w:bCs/>
                <w:color w:val="auto"/>
              </w:rPr>
            </w:pPr>
            <w:r>
              <w:rPr>
                <w:rFonts w:hint="eastAsia"/>
                <w:b w:val="0"/>
                <w:bCs/>
                <w:color w:val="auto"/>
                <w:lang w:eastAsia="zh-CN"/>
              </w:rPr>
              <w:t>其他</w:t>
            </w:r>
            <w:r>
              <w:rPr>
                <w:rFonts w:hint="eastAsia"/>
                <w:b w:val="0"/>
                <w:bCs/>
                <w:color w:val="auto"/>
              </w:rPr>
              <w:t>：工作现场严禁吸烟。避免长期反复接触。</w:t>
            </w:r>
          </w:p>
        </w:tc>
      </w:tr>
    </w:tbl>
    <w:p w14:paraId="687D72D7">
      <w:pPr>
        <w:adjustRightInd/>
        <w:snapToGrid/>
        <w:spacing w:line="440" w:lineRule="exact"/>
        <w:ind w:firstLine="482" w:firstLineChars="0"/>
        <w:jc w:val="center"/>
        <w:rPr>
          <w:b/>
          <w:color w:val="auto"/>
          <w:szCs w:val="24"/>
        </w:rPr>
      </w:pPr>
    </w:p>
    <w:p w14:paraId="660A029B">
      <w:pPr>
        <w:adjustRightInd/>
        <w:snapToGrid/>
        <w:spacing w:line="440" w:lineRule="exact"/>
        <w:ind w:firstLine="482" w:firstLineChars="0"/>
        <w:jc w:val="center"/>
        <w:rPr>
          <w:b/>
          <w:color w:val="auto"/>
          <w:szCs w:val="24"/>
        </w:rPr>
      </w:pPr>
    </w:p>
    <w:p w14:paraId="1F544809">
      <w:pPr>
        <w:adjustRightInd/>
        <w:snapToGrid/>
        <w:spacing w:line="440" w:lineRule="exact"/>
        <w:ind w:firstLine="482" w:firstLineChars="0"/>
        <w:jc w:val="center"/>
        <w:rPr>
          <w:b/>
          <w:color w:val="auto"/>
          <w:szCs w:val="24"/>
        </w:rPr>
      </w:pPr>
    </w:p>
    <w:p w14:paraId="333296DA">
      <w:pPr>
        <w:spacing w:line="360" w:lineRule="auto"/>
        <w:ind w:firstLine="480"/>
        <w:rPr>
          <w:rFonts w:hint="eastAsia"/>
          <w:color w:val="auto"/>
          <w:lang w:val="en-US" w:eastAsia="zh-CN"/>
        </w:rPr>
      </w:pPr>
      <w:r>
        <w:rPr>
          <w:rFonts w:hint="eastAsia"/>
          <w:color w:val="auto"/>
          <w:lang w:val="en-US" w:eastAsia="zh-CN"/>
        </w:rPr>
        <w:t>***涉及商业秘密，申请不予公开***</w:t>
      </w:r>
    </w:p>
    <w:p w14:paraId="2B44FFC2">
      <w:pPr>
        <w:adjustRightInd/>
        <w:snapToGrid/>
        <w:spacing w:line="440" w:lineRule="exact"/>
        <w:ind w:firstLine="482" w:firstLineChars="0"/>
        <w:jc w:val="center"/>
        <w:rPr>
          <w:b/>
          <w:color w:val="auto"/>
          <w:szCs w:val="24"/>
        </w:rPr>
      </w:pPr>
      <w:r>
        <w:rPr>
          <w:b/>
          <w:color w:val="auto"/>
          <w:szCs w:val="24"/>
        </w:rPr>
        <w:t>表7.2-</w:t>
      </w:r>
      <w:bookmarkStart w:id="268" w:name="_Hlk2974037"/>
      <w:r>
        <w:rPr>
          <w:b/>
          <w:color w:val="auto"/>
          <w:szCs w:val="24"/>
        </w:rPr>
        <w:t>6  拟建项目</w:t>
      </w:r>
      <w:r>
        <w:rPr>
          <w:rFonts w:hint="eastAsia"/>
          <w:b/>
          <w:color w:val="auto"/>
          <w:szCs w:val="24"/>
        </w:rPr>
        <w:t>主要</w:t>
      </w:r>
      <w:r>
        <w:rPr>
          <w:b/>
          <w:color w:val="auto"/>
          <w:szCs w:val="24"/>
        </w:rPr>
        <w:t>物质贮存情况</w:t>
      </w:r>
      <w:bookmarkEnd w:id="268"/>
      <w:r>
        <w:rPr>
          <w:b/>
          <w:color w:val="auto"/>
          <w:szCs w:val="24"/>
        </w:rPr>
        <w:t>一览表</w:t>
      </w:r>
    </w:p>
    <w:tbl>
      <w:tblPr>
        <w:tblStyle w:val="88"/>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560"/>
        <w:gridCol w:w="1134"/>
        <w:gridCol w:w="1304"/>
        <w:gridCol w:w="1389"/>
        <w:gridCol w:w="3224"/>
      </w:tblGrid>
      <w:tr w14:paraId="05049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shd w:val="clear" w:color="auto" w:fill="auto"/>
            <w:vAlign w:val="center"/>
          </w:tcPr>
          <w:p w14:paraId="16436B0B">
            <w:pPr>
              <w:spacing w:line="240" w:lineRule="auto"/>
              <w:ind w:firstLine="0" w:firstLineChars="0"/>
              <w:jc w:val="center"/>
              <w:rPr>
                <w:color w:val="auto"/>
                <w:sz w:val="21"/>
                <w:szCs w:val="21"/>
              </w:rPr>
            </w:pPr>
            <w:r>
              <w:rPr>
                <w:rFonts w:hint="eastAsia"/>
                <w:color w:val="auto"/>
                <w:sz w:val="21"/>
                <w:szCs w:val="21"/>
              </w:rPr>
              <w:t>序号</w:t>
            </w:r>
          </w:p>
        </w:tc>
        <w:tc>
          <w:tcPr>
            <w:tcW w:w="1560" w:type="dxa"/>
            <w:shd w:val="clear" w:color="auto" w:fill="auto"/>
            <w:vAlign w:val="center"/>
          </w:tcPr>
          <w:p w14:paraId="36FFD494">
            <w:pPr>
              <w:spacing w:line="240" w:lineRule="auto"/>
              <w:ind w:firstLine="0" w:firstLineChars="0"/>
              <w:jc w:val="center"/>
              <w:rPr>
                <w:color w:val="auto"/>
                <w:sz w:val="21"/>
                <w:szCs w:val="21"/>
              </w:rPr>
            </w:pPr>
            <w:r>
              <w:rPr>
                <w:rFonts w:hint="eastAsia"/>
                <w:color w:val="auto"/>
                <w:sz w:val="21"/>
                <w:szCs w:val="21"/>
              </w:rPr>
              <w:t>物料名称</w:t>
            </w:r>
          </w:p>
        </w:tc>
        <w:tc>
          <w:tcPr>
            <w:tcW w:w="1134" w:type="dxa"/>
            <w:shd w:val="clear" w:color="auto" w:fill="auto"/>
            <w:vAlign w:val="center"/>
          </w:tcPr>
          <w:p w14:paraId="1A812D53">
            <w:pPr>
              <w:spacing w:line="240" w:lineRule="auto"/>
              <w:ind w:firstLine="0" w:firstLineChars="0"/>
              <w:jc w:val="center"/>
              <w:rPr>
                <w:color w:val="auto"/>
                <w:sz w:val="21"/>
                <w:szCs w:val="21"/>
              </w:rPr>
            </w:pPr>
            <w:r>
              <w:rPr>
                <w:rFonts w:hint="eastAsia"/>
                <w:color w:val="auto"/>
                <w:sz w:val="21"/>
                <w:szCs w:val="21"/>
              </w:rPr>
              <w:t>物料形状</w:t>
            </w:r>
          </w:p>
        </w:tc>
        <w:tc>
          <w:tcPr>
            <w:tcW w:w="1304" w:type="dxa"/>
            <w:vAlign w:val="center"/>
          </w:tcPr>
          <w:p w14:paraId="6184DA66">
            <w:pPr>
              <w:spacing w:line="240" w:lineRule="auto"/>
              <w:ind w:firstLine="0" w:firstLineChars="0"/>
              <w:jc w:val="center"/>
              <w:rPr>
                <w:color w:val="auto"/>
                <w:sz w:val="21"/>
                <w:szCs w:val="21"/>
              </w:rPr>
            </w:pPr>
            <w:r>
              <w:rPr>
                <w:rFonts w:hint="eastAsia"/>
                <w:color w:val="auto"/>
                <w:sz w:val="21"/>
                <w:szCs w:val="21"/>
              </w:rPr>
              <w:t>年用量</w:t>
            </w:r>
            <w:r>
              <w:rPr>
                <w:rFonts w:hint="eastAsia"/>
                <w:color w:val="auto"/>
                <w:sz w:val="21"/>
                <w:szCs w:val="21"/>
                <w:lang w:eastAsia="zh-CN"/>
              </w:rPr>
              <w:t>（</w:t>
            </w:r>
            <w:r>
              <w:rPr>
                <w:rFonts w:hint="eastAsia"/>
                <w:color w:val="auto"/>
                <w:sz w:val="21"/>
                <w:szCs w:val="21"/>
              </w:rPr>
              <w:t>t/a</w:t>
            </w:r>
            <w:r>
              <w:rPr>
                <w:rFonts w:hint="eastAsia"/>
                <w:color w:val="auto"/>
                <w:sz w:val="21"/>
                <w:szCs w:val="21"/>
                <w:lang w:eastAsia="zh-CN"/>
              </w:rPr>
              <w:t>）</w:t>
            </w:r>
          </w:p>
        </w:tc>
        <w:tc>
          <w:tcPr>
            <w:tcW w:w="1389" w:type="dxa"/>
            <w:vAlign w:val="center"/>
          </w:tcPr>
          <w:p w14:paraId="7A3624D7">
            <w:pPr>
              <w:spacing w:line="240" w:lineRule="auto"/>
              <w:ind w:firstLine="0" w:firstLineChars="0"/>
              <w:jc w:val="center"/>
              <w:rPr>
                <w:color w:val="auto"/>
                <w:sz w:val="21"/>
                <w:szCs w:val="21"/>
              </w:rPr>
            </w:pPr>
            <w:r>
              <w:rPr>
                <w:rFonts w:hint="eastAsia"/>
                <w:color w:val="auto"/>
                <w:sz w:val="21"/>
                <w:szCs w:val="21"/>
              </w:rPr>
              <w:t>储存量t</w:t>
            </w:r>
          </w:p>
        </w:tc>
        <w:tc>
          <w:tcPr>
            <w:tcW w:w="3224" w:type="dxa"/>
            <w:vAlign w:val="center"/>
          </w:tcPr>
          <w:p w14:paraId="71D8E92B">
            <w:pPr>
              <w:spacing w:line="240" w:lineRule="auto"/>
              <w:ind w:firstLine="0" w:firstLineChars="0"/>
              <w:jc w:val="center"/>
              <w:rPr>
                <w:color w:val="auto"/>
                <w:sz w:val="21"/>
                <w:szCs w:val="21"/>
              </w:rPr>
            </w:pPr>
            <w:r>
              <w:rPr>
                <w:rFonts w:hint="eastAsia"/>
                <w:color w:val="auto"/>
                <w:sz w:val="21"/>
                <w:szCs w:val="21"/>
              </w:rPr>
              <w:t>厂区储存位置</w:t>
            </w:r>
          </w:p>
        </w:tc>
      </w:tr>
      <w:tr w14:paraId="33C52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shd w:val="clear" w:color="auto" w:fill="auto"/>
            <w:vAlign w:val="center"/>
          </w:tcPr>
          <w:p w14:paraId="2B082B88">
            <w:pPr>
              <w:spacing w:line="240" w:lineRule="auto"/>
              <w:ind w:firstLine="0" w:firstLineChars="0"/>
              <w:jc w:val="center"/>
              <w:rPr>
                <w:color w:val="auto"/>
                <w:sz w:val="21"/>
                <w:szCs w:val="21"/>
              </w:rPr>
            </w:pPr>
            <w:r>
              <w:rPr>
                <w:rFonts w:hint="eastAsia"/>
                <w:color w:val="auto"/>
                <w:sz w:val="21"/>
                <w:szCs w:val="21"/>
              </w:rPr>
              <w:t>1</w:t>
            </w:r>
          </w:p>
        </w:tc>
        <w:tc>
          <w:tcPr>
            <w:tcW w:w="1560" w:type="dxa"/>
            <w:shd w:val="clear" w:color="auto" w:fill="auto"/>
            <w:vAlign w:val="center"/>
          </w:tcPr>
          <w:p w14:paraId="384A07AA">
            <w:pPr>
              <w:spacing w:line="240" w:lineRule="auto"/>
              <w:ind w:firstLine="0" w:firstLineChars="0"/>
              <w:jc w:val="center"/>
              <w:rPr>
                <w:color w:val="auto"/>
                <w:sz w:val="21"/>
                <w:szCs w:val="21"/>
                <w:highlight w:val="black"/>
              </w:rPr>
            </w:pPr>
            <w:r>
              <w:rPr>
                <w:rFonts w:hint="eastAsia"/>
                <w:color w:val="auto"/>
                <w:sz w:val="21"/>
                <w:szCs w:val="21"/>
                <w:highlight w:val="black"/>
              </w:rPr>
              <w:t>/</w:t>
            </w:r>
          </w:p>
        </w:tc>
        <w:tc>
          <w:tcPr>
            <w:tcW w:w="1134" w:type="dxa"/>
            <w:shd w:val="clear" w:color="auto" w:fill="auto"/>
            <w:vAlign w:val="center"/>
          </w:tcPr>
          <w:p w14:paraId="5F7407A2">
            <w:pPr>
              <w:spacing w:line="240" w:lineRule="auto"/>
              <w:ind w:firstLine="0" w:firstLineChars="0"/>
              <w:jc w:val="center"/>
              <w:rPr>
                <w:color w:val="auto"/>
                <w:sz w:val="21"/>
                <w:szCs w:val="21"/>
                <w:highlight w:val="black"/>
              </w:rPr>
            </w:pPr>
            <w:r>
              <w:rPr>
                <w:rFonts w:hint="eastAsia"/>
                <w:color w:val="auto"/>
                <w:sz w:val="21"/>
                <w:szCs w:val="21"/>
                <w:highlight w:val="black"/>
              </w:rPr>
              <w:t>/</w:t>
            </w:r>
          </w:p>
        </w:tc>
        <w:tc>
          <w:tcPr>
            <w:tcW w:w="1304" w:type="dxa"/>
            <w:vAlign w:val="center"/>
          </w:tcPr>
          <w:p w14:paraId="2351A62F">
            <w:pPr>
              <w:spacing w:line="240" w:lineRule="auto"/>
              <w:ind w:firstLine="0" w:firstLineChars="0"/>
              <w:jc w:val="center"/>
              <w:rPr>
                <w:color w:val="auto"/>
                <w:sz w:val="21"/>
                <w:szCs w:val="21"/>
                <w:highlight w:val="black"/>
              </w:rPr>
            </w:pPr>
            <w:r>
              <w:rPr>
                <w:rFonts w:hint="eastAsia"/>
                <w:color w:val="auto"/>
                <w:sz w:val="21"/>
                <w:szCs w:val="21"/>
                <w:highlight w:val="black"/>
              </w:rPr>
              <w:t>/</w:t>
            </w:r>
          </w:p>
        </w:tc>
        <w:tc>
          <w:tcPr>
            <w:tcW w:w="1389" w:type="dxa"/>
            <w:vAlign w:val="center"/>
          </w:tcPr>
          <w:p w14:paraId="5EE85FFF">
            <w:pPr>
              <w:spacing w:line="240" w:lineRule="auto"/>
              <w:ind w:firstLine="0" w:firstLineChars="0"/>
              <w:jc w:val="center"/>
              <w:rPr>
                <w:color w:val="auto"/>
                <w:sz w:val="21"/>
                <w:szCs w:val="21"/>
                <w:highlight w:val="black"/>
              </w:rPr>
            </w:pPr>
            <w:r>
              <w:rPr>
                <w:rFonts w:hint="eastAsia"/>
                <w:color w:val="auto"/>
                <w:sz w:val="21"/>
                <w:szCs w:val="21"/>
                <w:highlight w:val="black"/>
              </w:rPr>
              <w:t>/</w:t>
            </w:r>
          </w:p>
        </w:tc>
        <w:tc>
          <w:tcPr>
            <w:tcW w:w="3224" w:type="dxa"/>
            <w:vAlign w:val="center"/>
          </w:tcPr>
          <w:p w14:paraId="3A78C879">
            <w:pPr>
              <w:spacing w:line="240" w:lineRule="auto"/>
              <w:ind w:firstLine="0" w:firstLineChars="0"/>
              <w:jc w:val="center"/>
              <w:rPr>
                <w:color w:val="auto"/>
                <w:sz w:val="21"/>
                <w:szCs w:val="21"/>
              </w:rPr>
            </w:pPr>
            <w:r>
              <w:rPr>
                <w:rFonts w:hint="eastAsia"/>
                <w:color w:val="auto"/>
                <w:sz w:val="21"/>
                <w:szCs w:val="21"/>
              </w:rPr>
              <w:t>药品储存间，25kg/袋</w:t>
            </w:r>
          </w:p>
        </w:tc>
      </w:tr>
      <w:tr w14:paraId="1D500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shd w:val="clear" w:color="auto" w:fill="auto"/>
            <w:vAlign w:val="center"/>
          </w:tcPr>
          <w:p w14:paraId="797F3D7A">
            <w:pPr>
              <w:spacing w:line="240" w:lineRule="auto"/>
              <w:ind w:firstLine="0" w:firstLineChars="0"/>
              <w:jc w:val="center"/>
              <w:rPr>
                <w:color w:val="auto"/>
                <w:sz w:val="21"/>
                <w:szCs w:val="21"/>
              </w:rPr>
            </w:pPr>
            <w:r>
              <w:rPr>
                <w:rFonts w:hint="eastAsia"/>
                <w:color w:val="auto"/>
                <w:sz w:val="21"/>
                <w:szCs w:val="21"/>
              </w:rPr>
              <w:t>2</w:t>
            </w:r>
          </w:p>
        </w:tc>
        <w:tc>
          <w:tcPr>
            <w:tcW w:w="1560" w:type="dxa"/>
            <w:shd w:val="clear" w:color="auto" w:fill="auto"/>
            <w:vAlign w:val="center"/>
          </w:tcPr>
          <w:p w14:paraId="3820A264">
            <w:pPr>
              <w:spacing w:line="240" w:lineRule="auto"/>
              <w:ind w:firstLine="0" w:firstLineChars="0"/>
              <w:jc w:val="center"/>
              <w:rPr>
                <w:color w:val="auto"/>
                <w:sz w:val="21"/>
                <w:szCs w:val="21"/>
                <w:highlight w:val="black"/>
              </w:rPr>
            </w:pPr>
            <w:r>
              <w:rPr>
                <w:rFonts w:hint="eastAsia"/>
                <w:color w:val="auto"/>
                <w:sz w:val="21"/>
                <w:szCs w:val="21"/>
                <w:highlight w:val="black"/>
              </w:rPr>
              <w:t>/</w:t>
            </w:r>
          </w:p>
        </w:tc>
        <w:tc>
          <w:tcPr>
            <w:tcW w:w="1134" w:type="dxa"/>
            <w:shd w:val="clear" w:color="auto" w:fill="auto"/>
            <w:vAlign w:val="center"/>
          </w:tcPr>
          <w:p w14:paraId="139FEC6D">
            <w:pPr>
              <w:spacing w:line="240" w:lineRule="auto"/>
              <w:ind w:firstLine="0" w:firstLineChars="0"/>
              <w:jc w:val="center"/>
              <w:rPr>
                <w:color w:val="auto"/>
                <w:sz w:val="21"/>
                <w:szCs w:val="21"/>
                <w:highlight w:val="black"/>
              </w:rPr>
            </w:pPr>
            <w:r>
              <w:rPr>
                <w:rFonts w:hint="eastAsia"/>
                <w:color w:val="auto"/>
                <w:sz w:val="21"/>
                <w:szCs w:val="21"/>
                <w:highlight w:val="black"/>
              </w:rPr>
              <w:t>/</w:t>
            </w:r>
          </w:p>
        </w:tc>
        <w:tc>
          <w:tcPr>
            <w:tcW w:w="1304" w:type="dxa"/>
            <w:vAlign w:val="center"/>
          </w:tcPr>
          <w:p w14:paraId="3A1E3379">
            <w:pPr>
              <w:spacing w:line="240" w:lineRule="auto"/>
              <w:ind w:firstLine="0" w:firstLineChars="0"/>
              <w:jc w:val="center"/>
              <w:rPr>
                <w:color w:val="auto"/>
                <w:sz w:val="21"/>
                <w:szCs w:val="21"/>
                <w:highlight w:val="black"/>
              </w:rPr>
            </w:pPr>
            <w:r>
              <w:rPr>
                <w:rFonts w:hint="eastAsia"/>
                <w:color w:val="auto"/>
                <w:sz w:val="21"/>
                <w:szCs w:val="21"/>
                <w:highlight w:val="black"/>
              </w:rPr>
              <w:t>/</w:t>
            </w:r>
          </w:p>
        </w:tc>
        <w:tc>
          <w:tcPr>
            <w:tcW w:w="1389" w:type="dxa"/>
            <w:vAlign w:val="center"/>
          </w:tcPr>
          <w:p w14:paraId="32CBFB2B">
            <w:pPr>
              <w:spacing w:line="240" w:lineRule="auto"/>
              <w:ind w:firstLine="0" w:firstLineChars="0"/>
              <w:jc w:val="center"/>
              <w:rPr>
                <w:color w:val="auto"/>
                <w:sz w:val="21"/>
                <w:szCs w:val="21"/>
                <w:highlight w:val="black"/>
              </w:rPr>
            </w:pPr>
            <w:r>
              <w:rPr>
                <w:rFonts w:hint="eastAsia"/>
                <w:color w:val="auto"/>
                <w:sz w:val="21"/>
                <w:szCs w:val="21"/>
                <w:highlight w:val="black"/>
              </w:rPr>
              <w:t>/</w:t>
            </w:r>
          </w:p>
        </w:tc>
        <w:tc>
          <w:tcPr>
            <w:tcW w:w="3224" w:type="dxa"/>
            <w:vAlign w:val="center"/>
          </w:tcPr>
          <w:p w14:paraId="1F93B8AD">
            <w:pPr>
              <w:spacing w:line="240" w:lineRule="auto"/>
              <w:ind w:firstLine="0" w:firstLineChars="0"/>
              <w:jc w:val="center"/>
              <w:rPr>
                <w:color w:val="auto"/>
                <w:sz w:val="21"/>
                <w:szCs w:val="21"/>
              </w:rPr>
            </w:pPr>
            <w:r>
              <w:rPr>
                <w:rFonts w:hint="eastAsia"/>
                <w:color w:val="auto"/>
                <w:sz w:val="21"/>
                <w:szCs w:val="21"/>
              </w:rPr>
              <w:t>药品储存间，25kg/袋</w:t>
            </w:r>
          </w:p>
        </w:tc>
      </w:tr>
      <w:tr w14:paraId="2ACBC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shd w:val="clear" w:color="auto" w:fill="auto"/>
            <w:vAlign w:val="center"/>
          </w:tcPr>
          <w:p w14:paraId="32F370B6">
            <w:pPr>
              <w:spacing w:line="240" w:lineRule="auto"/>
              <w:ind w:firstLine="0" w:firstLineChars="0"/>
              <w:jc w:val="center"/>
              <w:rPr>
                <w:color w:val="auto"/>
                <w:sz w:val="21"/>
                <w:szCs w:val="21"/>
              </w:rPr>
            </w:pPr>
            <w:r>
              <w:rPr>
                <w:rFonts w:hint="eastAsia"/>
                <w:color w:val="auto"/>
                <w:sz w:val="21"/>
                <w:szCs w:val="21"/>
              </w:rPr>
              <w:t>3</w:t>
            </w:r>
          </w:p>
        </w:tc>
        <w:tc>
          <w:tcPr>
            <w:tcW w:w="1560" w:type="dxa"/>
            <w:shd w:val="clear" w:color="auto" w:fill="auto"/>
            <w:vAlign w:val="center"/>
          </w:tcPr>
          <w:p w14:paraId="6BEA3554">
            <w:pPr>
              <w:spacing w:line="240" w:lineRule="auto"/>
              <w:ind w:firstLine="0" w:firstLineChars="0"/>
              <w:jc w:val="center"/>
              <w:rPr>
                <w:color w:val="auto"/>
                <w:sz w:val="21"/>
                <w:szCs w:val="21"/>
                <w:highlight w:val="black"/>
              </w:rPr>
            </w:pPr>
            <w:r>
              <w:rPr>
                <w:rFonts w:hint="eastAsia"/>
                <w:color w:val="auto"/>
                <w:sz w:val="21"/>
                <w:szCs w:val="21"/>
                <w:highlight w:val="black"/>
              </w:rPr>
              <w:t>/</w:t>
            </w:r>
          </w:p>
        </w:tc>
        <w:tc>
          <w:tcPr>
            <w:tcW w:w="1134" w:type="dxa"/>
            <w:shd w:val="clear" w:color="auto" w:fill="auto"/>
            <w:vAlign w:val="center"/>
          </w:tcPr>
          <w:p w14:paraId="06177B91">
            <w:pPr>
              <w:spacing w:line="240" w:lineRule="auto"/>
              <w:ind w:firstLine="0" w:firstLineChars="0"/>
              <w:jc w:val="center"/>
              <w:rPr>
                <w:color w:val="auto"/>
                <w:sz w:val="21"/>
                <w:szCs w:val="21"/>
                <w:highlight w:val="black"/>
              </w:rPr>
            </w:pPr>
            <w:r>
              <w:rPr>
                <w:rFonts w:hint="eastAsia"/>
                <w:color w:val="auto"/>
                <w:sz w:val="21"/>
                <w:szCs w:val="21"/>
                <w:highlight w:val="black"/>
              </w:rPr>
              <w:t>/</w:t>
            </w:r>
          </w:p>
        </w:tc>
        <w:tc>
          <w:tcPr>
            <w:tcW w:w="1304" w:type="dxa"/>
            <w:vAlign w:val="center"/>
          </w:tcPr>
          <w:p w14:paraId="7E7E86D6">
            <w:pPr>
              <w:spacing w:line="240" w:lineRule="auto"/>
              <w:ind w:firstLine="0" w:firstLineChars="0"/>
              <w:jc w:val="center"/>
              <w:rPr>
                <w:color w:val="auto"/>
                <w:sz w:val="21"/>
                <w:szCs w:val="21"/>
                <w:highlight w:val="black"/>
              </w:rPr>
            </w:pPr>
            <w:r>
              <w:rPr>
                <w:rFonts w:hint="eastAsia"/>
                <w:color w:val="auto"/>
                <w:sz w:val="21"/>
                <w:szCs w:val="21"/>
                <w:highlight w:val="black"/>
              </w:rPr>
              <w:t>/</w:t>
            </w:r>
          </w:p>
        </w:tc>
        <w:tc>
          <w:tcPr>
            <w:tcW w:w="1389" w:type="dxa"/>
            <w:vAlign w:val="center"/>
          </w:tcPr>
          <w:p w14:paraId="6CBB0CA5">
            <w:pPr>
              <w:spacing w:line="240" w:lineRule="auto"/>
              <w:ind w:firstLine="0" w:firstLineChars="0"/>
              <w:jc w:val="center"/>
              <w:rPr>
                <w:color w:val="auto"/>
                <w:sz w:val="21"/>
                <w:szCs w:val="21"/>
                <w:highlight w:val="black"/>
              </w:rPr>
            </w:pPr>
            <w:r>
              <w:rPr>
                <w:rFonts w:hint="eastAsia"/>
                <w:color w:val="auto"/>
                <w:sz w:val="21"/>
                <w:szCs w:val="21"/>
                <w:highlight w:val="black"/>
              </w:rPr>
              <w:t>/</w:t>
            </w:r>
          </w:p>
        </w:tc>
        <w:tc>
          <w:tcPr>
            <w:tcW w:w="3224" w:type="dxa"/>
            <w:vAlign w:val="center"/>
          </w:tcPr>
          <w:p w14:paraId="6D23D49C">
            <w:pPr>
              <w:spacing w:line="240" w:lineRule="auto"/>
              <w:ind w:firstLine="0" w:firstLineChars="0"/>
              <w:jc w:val="center"/>
              <w:rPr>
                <w:color w:val="auto"/>
                <w:sz w:val="21"/>
                <w:szCs w:val="21"/>
              </w:rPr>
            </w:pPr>
            <w:r>
              <w:rPr>
                <w:rFonts w:hint="eastAsia"/>
                <w:color w:val="auto"/>
                <w:sz w:val="21"/>
                <w:szCs w:val="21"/>
              </w:rPr>
              <w:t>药品储存间，25kg/袋</w:t>
            </w:r>
          </w:p>
        </w:tc>
      </w:tr>
      <w:tr w14:paraId="14FA3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shd w:val="clear" w:color="auto" w:fill="auto"/>
            <w:vAlign w:val="center"/>
          </w:tcPr>
          <w:p w14:paraId="5B263FF5">
            <w:pPr>
              <w:spacing w:line="240" w:lineRule="auto"/>
              <w:ind w:firstLine="0" w:firstLineChars="0"/>
              <w:jc w:val="center"/>
              <w:rPr>
                <w:color w:val="auto"/>
                <w:sz w:val="21"/>
                <w:szCs w:val="21"/>
              </w:rPr>
            </w:pPr>
            <w:r>
              <w:rPr>
                <w:rFonts w:hint="eastAsia"/>
                <w:color w:val="auto"/>
                <w:sz w:val="21"/>
                <w:szCs w:val="21"/>
              </w:rPr>
              <w:t>4</w:t>
            </w:r>
          </w:p>
        </w:tc>
        <w:tc>
          <w:tcPr>
            <w:tcW w:w="1560" w:type="dxa"/>
            <w:shd w:val="clear" w:color="auto" w:fill="auto"/>
            <w:vAlign w:val="center"/>
          </w:tcPr>
          <w:p w14:paraId="73C33DCF">
            <w:pPr>
              <w:spacing w:line="240" w:lineRule="auto"/>
              <w:ind w:firstLine="0" w:firstLineChars="0"/>
              <w:jc w:val="center"/>
              <w:rPr>
                <w:color w:val="auto"/>
                <w:sz w:val="21"/>
                <w:szCs w:val="21"/>
                <w:highlight w:val="black"/>
              </w:rPr>
            </w:pPr>
            <w:r>
              <w:rPr>
                <w:rFonts w:hint="eastAsia"/>
                <w:color w:val="auto"/>
                <w:sz w:val="21"/>
                <w:szCs w:val="21"/>
                <w:highlight w:val="black"/>
              </w:rPr>
              <w:t>/</w:t>
            </w:r>
          </w:p>
        </w:tc>
        <w:tc>
          <w:tcPr>
            <w:tcW w:w="1134" w:type="dxa"/>
            <w:shd w:val="clear" w:color="auto" w:fill="auto"/>
            <w:vAlign w:val="center"/>
          </w:tcPr>
          <w:p w14:paraId="22A24BD6">
            <w:pPr>
              <w:spacing w:line="240" w:lineRule="auto"/>
              <w:ind w:firstLine="0" w:firstLineChars="0"/>
              <w:jc w:val="center"/>
              <w:rPr>
                <w:color w:val="auto"/>
                <w:sz w:val="21"/>
                <w:szCs w:val="21"/>
                <w:highlight w:val="black"/>
              </w:rPr>
            </w:pPr>
            <w:r>
              <w:rPr>
                <w:rFonts w:hint="eastAsia"/>
                <w:color w:val="auto"/>
                <w:sz w:val="21"/>
                <w:szCs w:val="21"/>
                <w:highlight w:val="black"/>
              </w:rPr>
              <w:t>/</w:t>
            </w:r>
          </w:p>
        </w:tc>
        <w:tc>
          <w:tcPr>
            <w:tcW w:w="1304" w:type="dxa"/>
            <w:vAlign w:val="center"/>
          </w:tcPr>
          <w:p w14:paraId="5E34E30E">
            <w:pPr>
              <w:spacing w:line="240" w:lineRule="auto"/>
              <w:ind w:firstLine="0" w:firstLineChars="0"/>
              <w:jc w:val="center"/>
              <w:rPr>
                <w:color w:val="auto"/>
                <w:sz w:val="21"/>
                <w:szCs w:val="21"/>
                <w:highlight w:val="black"/>
              </w:rPr>
            </w:pPr>
            <w:r>
              <w:rPr>
                <w:rFonts w:hint="eastAsia"/>
                <w:color w:val="auto"/>
                <w:sz w:val="21"/>
                <w:szCs w:val="21"/>
                <w:highlight w:val="black"/>
              </w:rPr>
              <w:t>/</w:t>
            </w:r>
          </w:p>
        </w:tc>
        <w:tc>
          <w:tcPr>
            <w:tcW w:w="1389" w:type="dxa"/>
            <w:vAlign w:val="center"/>
          </w:tcPr>
          <w:p w14:paraId="36BDB143">
            <w:pPr>
              <w:spacing w:line="240" w:lineRule="auto"/>
              <w:ind w:firstLine="0" w:firstLineChars="0"/>
              <w:jc w:val="center"/>
              <w:rPr>
                <w:color w:val="auto"/>
                <w:sz w:val="21"/>
                <w:szCs w:val="21"/>
                <w:highlight w:val="black"/>
              </w:rPr>
            </w:pPr>
            <w:r>
              <w:rPr>
                <w:rFonts w:hint="eastAsia"/>
                <w:color w:val="auto"/>
                <w:sz w:val="21"/>
                <w:szCs w:val="21"/>
                <w:highlight w:val="black"/>
              </w:rPr>
              <w:t>/</w:t>
            </w:r>
          </w:p>
        </w:tc>
        <w:tc>
          <w:tcPr>
            <w:tcW w:w="3224" w:type="dxa"/>
            <w:vAlign w:val="center"/>
          </w:tcPr>
          <w:p w14:paraId="704817D8">
            <w:pPr>
              <w:spacing w:line="240" w:lineRule="auto"/>
              <w:ind w:firstLine="0" w:firstLineChars="0"/>
              <w:jc w:val="center"/>
              <w:rPr>
                <w:color w:val="auto"/>
                <w:sz w:val="21"/>
                <w:szCs w:val="21"/>
              </w:rPr>
            </w:pPr>
            <w:r>
              <w:rPr>
                <w:rFonts w:hint="eastAsia"/>
                <w:color w:val="auto"/>
                <w:sz w:val="21"/>
                <w:szCs w:val="21"/>
              </w:rPr>
              <w:t>药品储存间，25kg/袋</w:t>
            </w:r>
          </w:p>
        </w:tc>
      </w:tr>
      <w:tr w14:paraId="31188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shd w:val="clear" w:color="auto" w:fill="auto"/>
            <w:vAlign w:val="center"/>
          </w:tcPr>
          <w:p w14:paraId="4D9ACEA4">
            <w:pPr>
              <w:spacing w:line="240" w:lineRule="auto"/>
              <w:ind w:firstLine="0" w:firstLineChars="0"/>
              <w:jc w:val="center"/>
              <w:rPr>
                <w:color w:val="auto"/>
                <w:sz w:val="21"/>
                <w:szCs w:val="21"/>
              </w:rPr>
            </w:pPr>
            <w:r>
              <w:rPr>
                <w:rFonts w:hint="eastAsia"/>
                <w:color w:val="auto"/>
                <w:sz w:val="21"/>
                <w:szCs w:val="21"/>
              </w:rPr>
              <w:t>5</w:t>
            </w:r>
          </w:p>
        </w:tc>
        <w:tc>
          <w:tcPr>
            <w:tcW w:w="1560" w:type="dxa"/>
            <w:shd w:val="clear" w:color="auto" w:fill="auto"/>
            <w:vAlign w:val="center"/>
          </w:tcPr>
          <w:p w14:paraId="3F67D667">
            <w:pPr>
              <w:spacing w:line="240" w:lineRule="auto"/>
              <w:ind w:firstLine="0" w:firstLineChars="0"/>
              <w:jc w:val="center"/>
              <w:rPr>
                <w:color w:val="auto"/>
                <w:sz w:val="21"/>
                <w:szCs w:val="21"/>
                <w:highlight w:val="black"/>
              </w:rPr>
            </w:pPr>
            <w:r>
              <w:rPr>
                <w:rFonts w:hint="eastAsia"/>
                <w:color w:val="auto"/>
                <w:sz w:val="21"/>
                <w:szCs w:val="21"/>
                <w:highlight w:val="black"/>
              </w:rPr>
              <w:t>/</w:t>
            </w:r>
          </w:p>
        </w:tc>
        <w:tc>
          <w:tcPr>
            <w:tcW w:w="1134" w:type="dxa"/>
            <w:shd w:val="clear" w:color="auto" w:fill="auto"/>
            <w:vAlign w:val="center"/>
          </w:tcPr>
          <w:p w14:paraId="73F2C493">
            <w:pPr>
              <w:spacing w:line="240" w:lineRule="auto"/>
              <w:ind w:firstLine="0" w:firstLineChars="0"/>
              <w:jc w:val="center"/>
              <w:rPr>
                <w:color w:val="auto"/>
                <w:sz w:val="21"/>
                <w:szCs w:val="21"/>
                <w:highlight w:val="black"/>
              </w:rPr>
            </w:pPr>
            <w:r>
              <w:rPr>
                <w:rFonts w:hint="eastAsia"/>
                <w:color w:val="auto"/>
                <w:sz w:val="21"/>
                <w:szCs w:val="21"/>
                <w:highlight w:val="black"/>
              </w:rPr>
              <w:t>/</w:t>
            </w:r>
          </w:p>
        </w:tc>
        <w:tc>
          <w:tcPr>
            <w:tcW w:w="1304" w:type="dxa"/>
            <w:vAlign w:val="center"/>
          </w:tcPr>
          <w:p w14:paraId="0543A9F6">
            <w:pPr>
              <w:spacing w:line="240" w:lineRule="auto"/>
              <w:ind w:firstLine="0" w:firstLineChars="0"/>
              <w:jc w:val="center"/>
              <w:rPr>
                <w:color w:val="auto"/>
                <w:sz w:val="21"/>
                <w:szCs w:val="21"/>
                <w:highlight w:val="black"/>
              </w:rPr>
            </w:pPr>
            <w:r>
              <w:rPr>
                <w:rFonts w:hint="eastAsia"/>
                <w:color w:val="auto"/>
                <w:sz w:val="21"/>
                <w:szCs w:val="21"/>
                <w:highlight w:val="black"/>
              </w:rPr>
              <w:t>/</w:t>
            </w:r>
          </w:p>
        </w:tc>
        <w:tc>
          <w:tcPr>
            <w:tcW w:w="1389" w:type="dxa"/>
            <w:vAlign w:val="center"/>
          </w:tcPr>
          <w:p w14:paraId="27CCFC8B">
            <w:pPr>
              <w:spacing w:line="240" w:lineRule="auto"/>
              <w:ind w:firstLine="0" w:firstLineChars="0"/>
              <w:jc w:val="center"/>
              <w:rPr>
                <w:color w:val="auto"/>
                <w:sz w:val="21"/>
                <w:szCs w:val="21"/>
                <w:highlight w:val="black"/>
              </w:rPr>
            </w:pPr>
            <w:r>
              <w:rPr>
                <w:rFonts w:hint="eastAsia"/>
                <w:color w:val="auto"/>
                <w:sz w:val="21"/>
                <w:szCs w:val="21"/>
                <w:highlight w:val="black"/>
              </w:rPr>
              <w:t>/</w:t>
            </w:r>
          </w:p>
        </w:tc>
        <w:tc>
          <w:tcPr>
            <w:tcW w:w="3224" w:type="dxa"/>
            <w:vAlign w:val="center"/>
          </w:tcPr>
          <w:p w14:paraId="628BE96A">
            <w:pPr>
              <w:spacing w:line="240" w:lineRule="auto"/>
              <w:ind w:firstLine="0" w:firstLineChars="0"/>
              <w:jc w:val="center"/>
              <w:rPr>
                <w:color w:val="auto"/>
                <w:sz w:val="21"/>
                <w:szCs w:val="21"/>
              </w:rPr>
            </w:pPr>
            <w:r>
              <w:rPr>
                <w:rFonts w:hint="eastAsia"/>
                <w:color w:val="auto"/>
                <w:sz w:val="21"/>
                <w:szCs w:val="21"/>
              </w:rPr>
              <w:t>药品储存间，25kg/袋</w:t>
            </w:r>
          </w:p>
        </w:tc>
      </w:tr>
      <w:tr w14:paraId="2F06E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shd w:val="clear" w:color="auto" w:fill="auto"/>
            <w:vAlign w:val="center"/>
          </w:tcPr>
          <w:p w14:paraId="6F693A02">
            <w:pPr>
              <w:spacing w:line="240" w:lineRule="auto"/>
              <w:ind w:firstLine="0" w:firstLineChars="0"/>
              <w:jc w:val="center"/>
              <w:rPr>
                <w:color w:val="auto"/>
                <w:sz w:val="21"/>
                <w:szCs w:val="21"/>
              </w:rPr>
            </w:pPr>
            <w:r>
              <w:rPr>
                <w:rFonts w:hint="eastAsia"/>
                <w:color w:val="auto"/>
                <w:sz w:val="21"/>
                <w:szCs w:val="21"/>
              </w:rPr>
              <w:t>6</w:t>
            </w:r>
          </w:p>
        </w:tc>
        <w:tc>
          <w:tcPr>
            <w:tcW w:w="1560" w:type="dxa"/>
            <w:shd w:val="clear" w:color="auto" w:fill="auto"/>
            <w:vAlign w:val="center"/>
          </w:tcPr>
          <w:p w14:paraId="74B7C281">
            <w:pPr>
              <w:spacing w:line="240" w:lineRule="auto"/>
              <w:ind w:firstLine="0" w:firstLineChars="0"/>
              <w:jc w:val="center"/>
              <w:rPr>
                <w:color w:val="auto"/>
                <w:sz w:val="21"/>
                <w:szCs w:val="21"/>
                <w:highlight w:val="black"/>
              </w:rPr>
            </w:pPr>
            <w:r>
              <w:rPr>
                <w:rFonts w:hint="eastAsia"/>
                <w:color w:val="auto"/>
                <w:sz w:val="21"/>
                <w:szCs w:val="21"/>
                <w:highlight w:val="black"/>
              </w:rPr>
              <w:t>/</w:t>
            </w:r>
          </w:p>
        </w:tc>
        <w:tc>
          <w:tcPr>
            <w:tcW w:w="1134" w:type="dxa"/>
            <w:shd w:val="clear" w:color="auto" w:fill="auto"/>
            <w:vAlign w:val="center"/>
          </w:tcPr>
          <w:p w14:paraId="1064C173">
            <w:pPr>
              <w:spacing w:line="240" w:lineRule="auto"/>
              <w:ind w:firstLine="0" w:firstLineChars="0"/>
              <w:jc w:val="center"/>
              <w:rPr>
                <w:color w:val="auto"/>
                <w:sz w:val="21"/>
                <w:szCs w:val="21"/>
                <w:highlight w:val="black"/>
              </w:rPr>
            </w:pPr>
            <w:r>
              <w:rPr>
                <w:rFonts w:hint="eastAsia"/>
                <w:color w:val="auto"/>
                <w:sz w:val="21"/>
                <w:szCs w:val="21"/>
                <w:highlight w:val="black"/>
              </w:rPr>
              <w:t>/</w:t>
            </w:r>
          </w:p>
        </w:tc>
        <w:tc>
          <w:tcPr>
            <w:tcW w:w="1304" w:type="dxa"/>
            <w:vAlign w:val="center"/>
          </w:tcPr>
          <w:p w14:paraId="53F0ECF3">
            <w:pPr>
              <w:spacing w:line="240" w:lineRule="auto"/>
              <w:ind w:firstLine="0" w:firstLineChars="0"/>
              <w:jc w:val="center"/>
              <w:rPr>
                <w:color w:val="auto"/>
                <w:sz w:val="21"/>
                <w:szCs w:val="21"/>
                <w:highlight w:val="black"/>
              </w:rPr>
            </w:pPr>
            <w:r>
              <w:rPr>
                <w:rFonts w:hint="eastAsia"/>
                <w:color w:val="auto"/>
                <w:sz w:val="21"/>
                <w:szCs w:val="21"/>
                <w:highlight w:val="black"/>
              </w:rPr>
              <w:t>/</w:t>
            </w:r>
          </w:p>
        </w:tc>
        <w:tc>
          <w:tcPr>
            <w:tcW w:w="1389" w:type="dxa"/>
            <w:vAlign w:val="center"/>
          </w:tcPr>
          <w:p w14:paraId="4510D2E6">
            <w:pPr>
              <w:spacing w:line="240" w:lineRule="auto"/>
              <w:ind w:firstLine="0" w:firstLineChars="0"/>
              <w:jc w:val="center"/>
              <w:rPr>
                <w:color w:val="auto"/>
                <w:sz w:val="21"/>
                <w:szCs w:val="21"/>
                <w:highlight w:val="black"/>
              </w:rPr>
            </w:pPr>
            <w:r>
              <w:rPr>
                <w:rFonts w:hint="eastAsia"/>
                <w:color w:val="auto"/>
                <w:sz w:val="21"/>
                <w:szCs w:val="21"/>
                <w:highlight w:val="black"/>
              </w:rPr>
              <w:t>/</w:t>
            </w:r>
          </w:p>
        </w:tc>
        <w:tc>
          <w:tcPr>
            <w:tcW w:w="3224" w:type="dxa"/>
            <w:vAlign w:val="center"/>
          </w:tcPr>
          <w:p w14:paraId="4265AC00">
            <w:pPr>
              <w:spacing w:line="240" w:lineRule="auto"/>
              <w:ind w:firstLine="0" w:firstLineChars="0"/>
              <w:jc w:val="center"/>
              <w:rPr>
                <w:color w:val="auto"/>
                <w:sz w:val="21"/>
                <w:szCs w:val="21"/>
              </w:rPr>
            </w:pPr>
            <w:r>
              <w:rPr>
                <w:rFonts w:hint="eastAsia"/>
                <w:color w:val="auto"/>
                <w:sz w:val="21"/>
                <w:szCs w:val="21"/>
              </w:rPr>
              <w:t>药品储存间，25kg/袋</w:t>
            </w:r>
          </w:p>
        </w:tc>
      </w:tr>
      <w:tr w14:paraId="5E088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shd w:val="clear" w:color="auto" w:fill="auto"/>
            <w:vAlign w:val="center"/>
          </w:tcPr>
          <w:p w14:paraId="68263FC9">
            <w:pPr>
              <w:spacing w:line="240" w:lineRule="auto"/>
              <w:ind w:firstLine="0" w:firstLineChars="0"/>
              <w:jc w:val="center"/>
              <w:rPr>
                <w:color w:val="auto"/>
                <w:sz w:val="21"/>
                <w:szCs w:val="21"/>
              </w:rPr>
            </w:pPr>
            <w:r>
              <w:rPr>
                <w:rFonts w:hint="eastAsia"/>
                <w:color w:val="auto"/>
                <w:sz w:val="21"/>
                <w:szCs w:val="21"/>
              </w:rPr>
              <w:t>7</w:t>
            </w:r>
          </w:p>
        </w:tc>
        <w:tc>
          <w:tcPr>
            <w:tcW w:w="1560" w:type="dxa"/>
            <w:shd w:val="clear" w:color="auto" w:fill="auto"/>
            <w:vAlign w:val="center"/>
          </w:tcPr>
          <w:p w14:paraId="6690AF16">
            <w:pPr>
              <w:spacing w:line="240" w:lineRule="auto"/>
              <w:ind w:firstLine="0" w:firstLineChars="0"/>
              <w:jc w:val="center"/>
              <w:rPr>
                <w:color w:val="auto"/>
                <w:sz w:val="21"/>
                <w:szCs w:val="21"/>
                <w:highlight w:val="black"/>
              </w:rPr>
            </w:pPr>
            <w:r>
              <w:rPr>
                <w:rFonts w:hint="eastAsia"/>
                <w:color w:val="auto"/>
                <w:sz w:val="21"/>
                <w:szCs w:val="21"/>
                <w:highlight w:val="black"/>
              </w:rPr>
              <w:t>/</w:t>
            </w:r>
          </w:p>
        </w:tc>
        <w:tc>
          <w:tcPr>
            <w:tcW w:w="1134" w:type="dxa"/>
            <w:shd w:val="clear" w:color="auto" w:fill="auto"/>
            <w:vAlign w:val="center"/>
          </w:tcPr>
          <w:p w14:paraId="7B80E7DE">
            <w:pPr>
              <w:spacing w:line="240" w:lineRule="auto"/>
              <w:ind w:firstLine="0" w:firstLineChars="0"/>
              <w:jc w:val="center"/>
              <w:rPr>
                <w:color w:val="auto"/>
                <w:sz w:val="21"/>
                <w:szCs w:val="21"/>
                <w:highlight w:val="black"/>
              </w:rPr>
            </w:pPr>
            <w:r>
              <w:rPr>
                <w:rFonts w:hint="eastAsia"/>
                <w:color w:val="auto"/>
                <w:sz w:val="21"/>
                <w:szCs w:val="21"/>
                <w:highlight w:val="black"/>
              </w:rPr>
              <w:t>/</w:t>
            </w:r>
          </w:p>
        </w:tc>
        <w:tc>
          <w:tcPr>
            <w:tcW w:w="1304" w:type="dxa"/>
            <w:vAlign w:val="center"/>
          </w:tcPr>
          <w:p w14:paraId="7DE3D132">
            <w:pPr>
              <w:spacing w:line="240" w:lineRule="auto"/>
              <w:ind w:firstLine="0" w:firstLineChars="0"/>
              <w:jc w:val="center"/>
              <w:rPr>
                <w:color w:val="auto"/>
                <w:sz w:val="21"/>
                <w:szCs w:val="21"/>
                <w:highlight w:val="black"/>
              </w:rPr>
            </w:pPr>
            <w:r>
              <w:rPr>
                <w:rFonts w:hint="eastAsia"/>
                <w:color w:val="auto"/>
                <w:sz w:val="21"/>
                <w:szCs w:val="21"/>
                <w:highlight w:val="black"/>
              </w:rPr>
              <w:t>/</w:t>
            </w:r>
          </w:p>
        </w:tc>
        <w:tc>
          <w:tcPr>
            <w:tcW w:w="1389" w:type="dxa"/>
            <w:tcBorders>
              <w:bottom w:val="single" w:color="auto" w:sz="2" w:space="0"/>
            </w:tcBorders>
            <w:vAlign w:val="center"/>
          </w:tcPr>
          <w:p w14:paraId="38C031DD">
            <w:pPr>
              <w:spacing w:line="240" w:lineRule="auto"/>
              <w:ind w:firstLine="0" w:firstLineChars="0"/>
              <w:jc w:val="center"/>
              <w:rPr>
                <w:color w:val="auto"/>
                <w:sz w:val="21"/>
                <w:szCs w:val="21"/>
                <w:highlight w:val="black"/>
              </w:rPr>
            </w:pPr>
            <w:r>
              <w:rPr>
                <w:rFonts w:hint="eastAsia"/>
                <w:color w:val="auto"/>
                <w:sz w:val="21"/>
                <w:szCs w:val="21"/>
                <w:highlight w:val="black"/>
              </w:rPr>
              <w:t>/</w:t>
            </w:r>
          </w:p>
        </w:tc>
        <w:tc>
          <w:tcPr>
            <w:tcW w:w="3224" w:type="dxa"/>
            <w:tcBorders>
              <w:bottom w:val="single" w:color="auto" w:sz="2" w:space="0"/>
            </w:tcBorders>
            <w:vAlign w:val="center"/>
          </w:tcPr>
          <w:p w14:paraId="7EED47CE">
            <w:pPr>
              <w:spacing w:line="240" w:lineRule="auto"/>
              <w:ind w:firstLine="0" w:firstLineChars="0"/>
              <w:jc w:val="center"/>
              <w:rPr>
                <w:color w:val="auto"/>
                <w:sz w:val="21"/>
                <w:szCs w:val="21"/>
              </w:rPr>
            </w:pPr>
            <w:r>
              <w:rPr>
                <w:rFonts w:hint="eastAsia"/>
                <w:color w:val="auto"/>
                <w:sz w:val="21"/>
                <w:szCs w:val="21"/>
              </w:rPr>
              <w:t>药品储存间，25kg/袋</w:t>
            </w:r>
          </w:p>
        </w:tc>
      </w:tr>
      <w:tr w14:paraId="5A26F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75" w:type="dxa"/>
            <w:shd w:val="clear" w:color="auto" w:fill="auto"/>
            <w:vAlign w:val="center"/>
          </w:tcPr>
          <w:p w14:paraId="7FBE4EF2">
            <w:pPr>
              <w:spacing w:line="240" w:lineRule="auto"/>
              <w:ind w:firstLine="0" w:firstLineChars="0"/>
              <w:jc w:val="center"/>
              <w:rPr>
                <w:color w:val="auto"/>
                <w:sz w:val="21"/>
                <w:szCs w:val="21"/>
              </w:rPr>
            </w:pPr>
            <w:r>
              <w:rPr>
                <w:rFonts w:hint="eastAsia"/>
                <w:color w:val="auto"/>
                <w:sz w:val="21"/>
                <w:szCs w:val="21"/>
              </w:rPr>
              <w:t>8</w:t>
            </w:r>
          </w:p>
        </w:tc>
        <w:tc>
          <w:tcPr>
            <w:tcW w:w="1560" w:type="dxa"/>
            <w:shd w:val="clear" w:color="auto" w:fill="auto"/>
            <w:vAlign w:val="center"/>
          </w:tcPr>
          <w:p w14:paraId="2C9A575A">
            <w:pPr>
              <w:spacing w:line="240" w:lineRule="auto"/>
              <w:ind w:firstLine="0" w:firstLineChars="0"/>
              <w:jc w:val="center"/>
              <w:rPr>
                <w:color w:val="auto"/>
                <w:sz w:val="21"/>
                <w:szCs w:val="21"/>
                <w:highlight w:val="black"/>
              </w:rPr>
            </w:pPr>
            <w:r>
              <w:rPr>
                <w:rFonts w:hint="eastAsia"/>
                <w:color w:val="auto"/>
                <w:sz w:val="21"/>
                <w:szCs w:val="21"/>
                <w:highlight w:val="black"/>
              </w:rPr>
              <w:t>/</w:t>
            </w:r>
          </w:p>
        </w:tc>
        <w:tc>
          <w:tcPr>
            <w:tcW w:w="1134" w:type="dxa"/>
            <w:shd w:val="clear" w:color="auto" w:fill="auto"/>
            <w:vAlign w:val="center"/>
          </w:tcPr>
          <w:p w14:paraId="498932EB">
            <w:pPr>
              <w:spacing w:line="240" w:lineRule="auto"/>
              <w:ind w:firstLine="0" w:firstLineChars="0"/>
              <w:jc w:val="center"/>
              <w:rPr>
                <w:color w:val="auto"/>
                <w:sz w:val="21"/>
                <w:szCs w:val="21"/>
                <w:highlight w:val="black"/>
              </w:rPr>
            </w:pPr>
            <w:r>
              <w:rPr>
                <w:rFonts w:hint="eastAsia"/>
                <w:color w:val="auto"/>
                <w:sz w:val="21"/>
                <w:szCs w:val="21"/>
                <w:highlight w:val="black"/>
              </w:rPr>
              <w:t>/</w:t>
            </w:r>
          </w:p>
        </w:tc>
        <w:tc>
          <w:tcPr>
            <w:tcW w:w="1304" w:type="dxa"/>
            <w:tcBorders>
              <w:right w:val="single" w:color="auto" w:sz="2" w:space="0"/>
            </w:tcBorders>
            <w:vAlign w:val="center"/>
          </w:tcPr>
          <w:p w14:paraId="6ADA7FFA">
            <w:pPr>
              <w:spacing w:line="240" w:lineRule="auto"/>
              <w:ind w:firstLine="0" w:firstLineChars="0"/>
              <w:jc w:val="center"/>
              <w:rPr>
                <w:color w:val="auto"/>
                <w:sz w:val="21"/>
                <w:szCs w:val="21"/>
                <w:highlight w:val="black"/>
              </w:rPr>
            </w:pPr>
            <w:r>
              <w:rPr>
                <w:rFonts w:hint="eastAsia"/>
                <w:color w:val="auto"/>
                <w:sz w:val="21"/>
                <w:szCs w:val="21"/>
                <w:highlight w:val="black"/>
              </w:rPr>
              <w:t>/</w:t>
            </w:r>
          </w:p>
        </w:tc>
        <w:tc>
          <w:tcPr>
            <w:tcW w:w="1389" w:type="dxa"/>
            <w:tcBorders>
              <w:top w:val="single" w:color="auto" w:sz="2" w:space="0"/>
              <w:left w:val="single" w:color="auto" w:sz="2" w:space="0"/>
              <w:bottom w:val="single" w:color="auto" w:sz="2" w:space="0"/>
              <w:right w:val="single" w:color="auto" w:sz="2" w:space="0"/>
            </w:tcBorders>
            <w:vAlign w:val="center"/>
          </w:tcPr>
          <w:p w14:paraId="622541ED">
            <w:pPr>
              <w:spacing w:line="240" w:lineRule="auto"/>
              <w:ind w:firstLine="0" w:firstLineChars="0"/>
              <w:jc w:val="center"/>
              <w:rPr>
                <w:rFonts w:hint="default" w:eastAsia="宋体"/>
                <w:color w:val="auto"/>
                <w:sz w:val="21"/>
                <w:szCs w:val="21"/>
                <w:highlight w:val="black"/>
                <w:lang w:val="en-US" w:eastAsia="zh-CN"/>
              </w:rPr>
            </w:pPr>
            <w:r>
              <w:rPr>
                <w:rFonts w:hint="eastAsia"/>
                <w:color w:val="auto"/>
                <w:sz w:val="21"/>
                <w:szCs w:val="21"/>
                <w:highlight w:val="black"/>
              </w:rPr>
              <w:t>/</w:t>
            </w:r>
          </w:p>
        </w:tc>
        <w:tc>
          <w:tcPr>
            <w:tcW w:w="3224" w:type="dxa"/>
            <w:tcBorders>
              <w:top w:val="single" w:color="auto" w:sz="2" w:space="0"/>
              <w:left w:val="single" w:color="auto" w:sz="2" w:space="0"/>
              <w:bottom w:val="single" w:color="auto" w:sz="2" w:space="0"/>
              <w:right w:val="single" w:color="auto" w:sz="2" w:space="0"/>
            </w:tcBorders>
            <w:vAlign w:val="center"/>
          </w:tcPr>
          <w:p w14:paraId="30B90FD0">
            <w:pPr>
              <w:spacing w:line="240" w:lineRule="auto"/>
              <w:ind w:firstLine="0" w:firstLineChars="0"/>
              <w:jc w:val="center"/>
              <w:rPr>
                <w:color w:val="auto"/>
                <w:sz w:val="21"/>
                <w:szCs w:val="21"/>
              </w:rPr>
            </w:pPr>
            <w:r>
              <w:rPr>
                <w:rFonts w:hint="eastAsia"/>
                <w:color w:val="auto"/>
                <w:sz w:val="21"/>
                <w:szCs w:val="21"/>
              </w:rPr>
              <w:t>1#药剂储存罐区，5m</w:t>
            </w:r>
            <w:r>
              <w:rPr>
                <w:rFonts w:hint="eastAsia"/>
                <w:color w:val="auto"/>
                <w:sz w:val="21"/>
                <w:szCs w:val="21"/>
                <w:vertAlign w:val="superscript"/>
              </w:rPr>
              <w:t>3</w:t>
            </w:r>
            <w:r>
              <w:rPr>
                <w:rFonts w:hint="eastAsia"/>
                <w:color w:val="auto"/>
                <w:sz w:val="21"/>
                <w:szCs w:val="21"/>
              </w:rPr>
              <w:t>储罐</w:t>
            </w:r>
            <w:r>
              <w:rPr>
                <w:rFonts w:hint="eastAsia"/>
                <w:color w:val="auto"/>
                <w:sz w:val="21"/>
                <w:szCs w:val="21"/>
                <w:lang w:val="en-US" w:eastAsia="zh-CN"/>
              </w:rPr>
              <w:t>2</w:t>
            </w:r>
            <w:r>
              <w:rPr>
                <w:rFonts w:hint="eastAsia"/>
                <w:color w:val="auto"/>
                <w:sz w:val="21"/>
                <w:szCs w:val="21"/>
              </w:rPr>
              <w:t>个</w:t>
            </w:r>
          </w:p>
        </w:tc>
      </w:tr>
      <w:tr w14:paraId="5A769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75" w:type="dxa"/>
            <w:shd w:val="clear" w:color="auto" w:fill="auto"/>
            <w:vAlign w:val="center"/>
          </w:tcPr>
          <w:p w14:paraId="4D2C9F32">
            <w:pPr>
              <w:spacing w:line="240" w:lineRule="auto"/>
              <w:ind w:firstLine="0" w:firstLineChars="0"/>
              <w:jc w:val="center"/>
              <w:rPr>
                <w:color w:val="auto"/>
                <w:sz w:val="21"/>
                <w:szCs w:val="21"/>
              </w:rPr>
            </w:pPr>
            <w:r>
              <w:rPr>
                <w:rFonts w:hint="eastAsia"/>
                <w:color w:val="auto"/>
                <w:sz w:val="21"/>
                <w:szCs w:val="21"/>
              </w:rPr>
              <w:t>9</w:t>
            </w:r>
          </w:p>
        </w:tc>
        <w:tc>
          <w:tcPr>
            <w:tcW w:w="1560" w:type="dxa"/>
            <w:shd w:val="clear" w:color="auto" w:fill="auto"/>
            <w:vAlign w:val="center"/>
          </w:tcPr>
          <w:p w14:paraId="7234752D">
            <w:pPr>
              <w:spacing w:line="240" w:lineRule="auto"/>
              <w:ind w:firstLine="0" w:firstLineChars="0"/>
              <w:jc w:val="center"/>
              <w:rPr>
                <w:color w:val="auto"/>
                <w:sz w:val="21"/>
                <w:szCs w:val="21"/>
                <w:highlight w:val="black"/>
              </w:rPr>
            </w:pPr>
            <w:r>
              <w:rPr>
                <w:rFonts w:hint="eastAsia"/>
                <w:color w:val="auto"/>
                <w:sz w:val="21"/>
                <w:szCs w:val="21"/>
                <w:highlight w:val="black"/>
              </w:rPr>
              <w:t>/</w:t>
            </w:r>
          </w:p>
        </w:tc>
        <w:tc>
          <w:tcPr>
            <w:tcW w:w="1134" w:type="dxa"/>
            <w:shd w:val="clear" w:color="auto" w:fill="auto"/>
            <w:vAlign w:val="center"/>
          </w:tcPr>
          <w:p w14:paraId="6A83ECFA">
            <w:pPr>
              <w:spacing w:line="240" w:lineRule="auto"/>
              <w:ind w:firstLine="0" w:firstLineChars="0"/>
              <w:jc w:val="center"/>
              <w:rPr>
                <w:color w:val="auto"/>
                <w:sz w:val="21"/>
                <w:szCs w:val="21"/>
                <w:highlight w:val="black"/>
              </w:rPr>
            </w:pPr>
            <w:r>
              <w:rPr>
                <w:rFonts w:hint="eastAsia"/>
                <w:color w:val="auto"/>
                <w:sz w:val="21"/>
                <w:szCs w:val="21"/>
                <w:highlight w:val="black"/>
              </w:rPr>
              <w:t>/</w:t>
            </w:r>
          </w:p>
        </w:tc>
        <w:tc>
          <w:tcPr>
            <w:tcW w:w="1304" w:type="dxa"/>
            <w:tcBorders>
              <w:right w:val="single" w:color="auto" w:sz="2" w:space="0"/>
            </w:tcBorders>
            <w:vAlign w:val="center"/>
          </w:tcPr>
          <w:p w14:paraId="1AA776D7">
            <w:pPr>
              <w:spacing w:line="240" w:lineRule="auto"/>
              <w:ind w:firstLine="0" w:firstLineChars="0"/>
              <w:jc w:val="center"/>
              <w:rPr>
                <w:color w:val="auto"/>
                <w:sz w:val="21"/>
                <w:szCs w:val="21"/>
                <w:highlight w:val="black"/>
              </w:rPr>
            </w:pPr>
            <w:r>
              <w:rPr>
                <w:rFonts w:hint="eastAsia"/>
                <w:color w:val="auto"/>
                <w:sz w:val="21"/>
                <w:szCs w:val="21"/>
                <w:highlight w:val="black"/>
              </w:rPr>
              <w:t>/</w:t>
            </w:r>
          </w:p>
        </w:tc>
        <w:tc>
          <w:tcPr>
            <w:tcW w:w="1389" w:type="dxa"/>
            <w:tcBorders>
              <w:top w:val="single" w:color="auto" w:sz="2" w:space="0"/>
              <w:left w:val="single" w:color="auto" w:sz="2" w:space="0"/>
              <w:bottom w:val="single" w:color="auto" w:sz="2" w:space="0"/>
              <w:right w:val="single" w:color="auto" w:sz="2" w:space="0"/>
            </w:tcBorders>
            <w:vAlign w:val="center"/>
          </w:tcPr>
          <w:p w14:paraId="4C00FF19">
            <w:pPr>
              <w:spacing w:line="240" w:lineRule="auto"/>
              <w:ind w:firstLine="0" w:firstLineChars="0"/>
              <w:jc w:val="center"/>
              <w:rPr>
                <w:color w:val="auto"/>
                <w:sz w:val="21"/>
                <w:szCs w:val="21"/>
                <w:highlight w:val="black"/>
              </w:rPr>
            </w:pPr>
            <w:r>
              <w:rPr>
                <w:rFonts w:hint="eastAsia"/>
                <w:color w:val="auto"/>
                <w:sz w:val="21"/>
                <w:szCs w:val="21"/>
                <w:highlight w:val="black"/>
              </w:rPr>
              <w:t>/</w:t>
            </w:r>
          </w:p>
        </w:tc>
        <w:tc>
          <w:tcPr>
            <w:tcW w:w="3224" w:type="dxa"/>
            <w:tcBorders>
              <w:top w:val="single" w:color="auto" w:sz="2" w:space="0"/>
              <w:left w:val="single" w:color="auto" w:sz="2" w:space="0"/>
              <w:bottom w:val="single" w:color="auto" w:sz="2" w:space="0"/>
              <w:right w:val="single" w:color="auto" w:sz="2" w:space="0"/>
            </w:tcBorders>
            <w:vAlign w:val="center"/>
          </w:tcPr>
          <w:p w14:paraId="51B165C0">
            <w:pPr>
              <w:spacing w:line="240" w:lineRule="auto"/>
              <w:ind w:firstLine="0" w:firstLineChars="0"/>
              <w:jc w:val="center"/>
              <w:rPr>
                <w:color w:val="auto"/>
                <w:sz w:val="21"/>
                <w:szCs w:val="21"/>
              </w:rPr>
            </w:pPr>
            <w:r>
              <w:rPr>
                <w:rFonts w:hint="eastAsia"/>
                <w:color w:val="auto"/>
                <w:sz w:val="21"/>
                <w:szCs w:val="21"/>
                <w:lang w:val="en-US" w:eastAsia="zh-CN"/>
              </w:rPr>
              <w:t>1</w:t>
            </w:r>
            <w:r>
              <w:rPr>
                <w:rFonts w:hint="eastAsia"/>
                <w:color w:val="auto"/>
                <w:sz w:val="21"/>
                <w:szCs w:val="21"/>
              </w:rPr>
              <w:t>#药剂储存罐区，5m</w:t>
            </w:r>
            <w:r>
              <w:rPr>
                <w:rFonts w:hint="eastAsia"/>
                <w:color w:val="auto"/>
                <w:sz w:val="21"/>
                <w:szCs w:val="21"/>
                <w:vertAlign w:val="superscript"/>
              </w:rPr>
              <w:t>3</w:t>
            </w:r>
            <w:r>
              <w:rPr>
                <w:rFonts w:hint="eastAsia"/>
                <w:color w:val="auto"/>
                <w:sz w:val="21"/>
                <w:szCs w:val="21"/>
              </w:rPr>
              <w:t>储罐1个</w:t>
            </w:r>
          </w:p>
        </w:tc>
      </w:tr>
      <w:tr w14:paraId="0B199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shd w:val="clear" w:color="auto" w:fill="auto"/>
            <w:vAlign w:val="center"/>
          </w:tcPr>
          <w:p w14:paraId="72FC9937">
            <w:pPr>
              <w:spacing w:line="240" w:lineRule="auto"/>
              <w:ind w:firstLine="0" w:firstLineChars="0"/>
              <w:jc w:val="center"/>
              <w:rPr>
                <w:color w:val="auto"/>
                <w:sz w:val="21"/>
                <w:szCs w:val="21"/>
              </w:rPr>
            </w:pPr>
            <w:r>
              <w:rPr>
                <w:rFonts w:hint="eastAsia"/>
                <w:color w:val="auto"/>
                <w:sz w:val="21"/>
                <w:szCs w:val="21"/>
              </w:rPr>
              <w:t>10</w:t>
            </w:r>
          </w:p>
        </w:tc>
        <w:tc>
          <w:tcPr>
            <w:tcW w:w="1560" w:type="dxa"/>
            <w:shd w:val="clear" w:color="auto" w:fill="auto"/>
            <w:vAlign w:val="center"/>
          </w:tcPr>
          <w:p w14:paraId="1886DF4F">
            <w:pPr>
              <w:spacing w:line="240" w:lineRule="auto"/>
              <w:ind w:firstLine="0" w:firstLineChars="0"/>
              <w:jc w:val="center"/>
              <w:rPr>
                <w:color w:val="auto"/>
                <w:sz w:val="21"/>
                <w:szCs w:val="21"/>
                <w:highlight w:val="black"/>
              </w:rPr>
            </w:pPr>
            <w:r>
              <w:rPr>
                <w:rFonts w:hint="eastAsia"/>
                <w:color w:val="auto"/>
                <w:sz w:val="21"/>
                <w:szCs w:val="21"/>
                <w:highlight w:val="black"/>
              </w:rPr>
              <w:t>/</w:t>
            </w:r>
          </w:p>
        </w:tc>
        <w:tc>
          <w:tcPr>
            <w:tcW w:w="1134" w:type="dxa"/>
            <w:shd w:val="clear" w:color="auto" w:fill="auto"/>
            <w:vAlign w:val="center"/>
          </w:tcPr>
          <w:p w14:paraId="78D8CB57">
            <w:pPr>
              <w:spacing w:line="240" w:lineRule="auto"/>
              <w:ind w:firstLine="0" w:firstLineChars="0"/>
              <w:jc w:val="center"/>
              <w:rPr>
                <w:color w:val="auto"/>
                <w:sz w:val="21"/>
                <w:szCs w:val="21"/>
                <w:highlight w:val="black"/>
              </w:rPr>
            </w:pPr>
            <w:r>
              <w:rPr>
                <w:rFonts w:hint="eastAsia"/>
                <w:color w:val="auto"/>
                <w:sz w:val="21"/>
                <w:szCs w:val="21"/>
                <w:highlight w:val="black"/>
              </w:rPr>
              <w:t>/</w:t>
            </w:r>
          </w:p>
        </w:tc>
        <w:tc>
          <w:tcPr>
            <w:tcW w:w="1304" w:type="dxa"/>
            <w:tcBorders>
              <w:right w:val="single" w:color="auto" w:sz="2" w:space="0"/>
            </w:tcBorders>
            <w:vAlign w:val="center"/>
          </w:tcPr>
          <w:p w14:paraId="4387639B">
            <w:pPr>
              <w:spacing w:line="240" w:lineRule="auto"/>
              <w:ind w:firstLine="0" w:firstLineChars="0"/>
              <w:jc w:val="center"/>
              <w:rPr>
                <w:color w:val="auto"/>
                <w:sz w:val="21"/>
                <w:szCs w:val="21"/>
                <w:highlight w:val="black"/>
              </w:rPr>
            </w:pPr>
            <w:r>
              <w:rPr>
                <w:rFonts w:hint="eastAsia"/>
                <w:color w:val="auto"/>
                <w:sz w:val="21"/>
                <w:szCs w:val="21"/>
                <w:highlight w:val="black"/>
              </w:rPr>
              <w:t>/</w:t>
            </w:r>
          </w:p>
        </w:tc>
        <w:tc>
          <w:tcPr>
            <w:tcW w:w="1389" w:type="dxa"/>
            <w:tcBorders>
              <w:top w:val="single" w:color="auto" w:sz="2" w:space="0"/>
              <w:left w:val="single" w:color="auto" w:sz="2" w:space="0"/>
              <w:bottom w:val="single" w:color="auto" w:sz="2" w:space="0"/>
              <w:right w:val="single" w:color="auto" w:sz="2" w:space="0"/>
            </w:tcBorders>
            <w:vAlign w:val="center"/>
          </w:tcPr>
          <w:p w14:paraId="1DFB1527">
            <w:pPr>
              <w:spacing w:line="240" w:lineRule="auto"/>
              <w:ind w:firstLine="0" w:firstLineChars="0"/>
              <w:jc w:val="center"/>
              <w:rPr>
                <w:color w:val="auto"/>
                <w:sz w:val="21"/>
                <w:szCs w:val="21"/>
                <w:highlight w:val="black"/>
              </w:rPr>
            </w:pPr>
            <w:r>
              <w:rPr>
                <w:rFonts w:hint="eastAsia"/>
                <w:color w:val="auto"/>
                <w:sz w:val="21"/>
                <w:szCs w:val="21"/>
                <w:highlight w:val="black"/>
              </w:rPr>
              <w:t>/</w:t>
            </w:r>
          </w:p>
        </w:tc>
        <w:tc>
          <w:tcPr>
            <w:tcW w:w="3224" w:type="dxa"/>
            <w:tcBorders>
              <w:top w:val="single" w:color="auto" w:sz="2" w:space="0"/>
              <w:left w:val="single" w:color="auto" w:sz="2" w:space="0"/>
              <w:bottom w:val="single" w:color="auto" w:sz="2" w:space="0"/>
              <w:right w:val="single" w:color="auto" w:sz="2" w:space="0"/>
            </w:tcBorders>
            <w:vAlign w:val="center"/>
          </w:tcPr>
          <w:p w14:paraId="3BC4D58D">
            <w:pPr>
              <w:spacing w:line="240" w:lineRule="auto"/>
              <w:ind w:firstLine="0" w:firstLineChars="0"/>
              <w:jc w:val="center"/>
              <w:rPr>
                <w:color w:val="auto"/>
                <w:sz w:val="21"/>
                <w:szCs w:val="21"/>
              </w:rPr>
            </w:pPr>
            <w:r>
              <w:rPr>
                <w:rFonts w:hint="eastAsia"/>
                <w:color w:val="auto"/>
                <w:sz w:val="21"/>
                <w:szCs w:val="21"/>
                <w:lang w:val="en-US" w:eastAsia="zh-CN"/>
              </w:rPr>
              <w:t>2</w:t>
            </w:r>
            <w:r>
              <w:rPr>
                <w:rFonts w:hint="eastAsia"/>
                <w:color w:val="auto"/>
                <w:sz w:val="21"/>
                <w:szCs w:val="21"/>
              </w:rPr>
              <w:t>#药剂储存罐区，5m</w:t>
            </w:r>
            <w:r>
              <w:rPr>
                <w:rFonts w:hint="eastAsia"/>
                <w:color w:val="auto"/>
                <w:sz w:val="21"/>
                <w:szCs w:val="21"/>
                <w:vertAlign w:val="superscript"/>
              </w:rPr>
              <w:t>3</w:t>
            </w:r>
            <w:r>
              <w:rPr>
                <w:rFonts w:hint="eastAsia"/>
                <w:color w:val="auto"/>
                <w:sz w:val="21"/>
                <w:szCs w:val="21"/>
              </w:rPr>
              <w:t>储罐</w:t>
            </w:r>
            <w:r>
              <w:rPr>
                <w:rFonts w:hint="eastAsia"/>
                <w:color w:val="auto"/>
                <w:sz w:val="21"/>
                <w:szCs w:val="21"/>
                <w:lang w:val="en-US" w:eastAsia="zh-CN"/>
              </w:rPr>
              <w:t>4</w:t>
            </w:r>
            <w:r>
              <w:rPr>
                <w:rFonts w:hint="eastAsia"/>
                <w:color w:val="auto"/>
                <w:sz w:val="21"/>
                <w:szCs w:val="21"/>
              </w:rPr>
              <w:t>个</w:t>
            </w:r>
          </w:p>
        </w:tc>
      </w:tr>
      <w:tr w14:paraId="6D941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shd w:val="clear" w:color="auto" w:fill="auto"/>
            <w:vAlign w:val="center"/>
          </w:tcPr>
          <w:p w14:paraId="43DBBECA">
            <w:pPr>
              <w:spacing w:line="240" w:lineRule="auto"/>
              <w:ind w:firstLine="0" w:firstLineChars="0"/>
              <w:jc w:val="center"/>
              <w:rPr>
                <w:color w:val="auto"/>
                <w:sz w:val="21"/>
                <w:szCs w:val="21"/>
              </w:rPr>
            </w:pPr>
            <w:r>
              <w:rPr>
                <w:rFonts w:hint="eastAsia"/>
                <w:color w:val="auto"/>
                <w:sz w:val="21"/>
                <w:szCs w:val="21"/>
              </w:rPr>
              <w:t>11</w:t>
            </w:r>
          </w:p>
        </w:tc>
        <w:tc>
          <w:tcPr>
            <w:tcW w:w="1560" w:type="dxa"/>
            <w:shd w:val="clear" w:color="auto" w:fill="auto"/>
            <w:vAlign w:val="center"/>
          </w:tcPr>
          <w:p w14:paraId="4CA44658">
            <w:pPr>
              <w:spacing w:line="240" w:lineRule="auto"/>
              <w:ind w:firstLine="0" w:firstLineChars="0"/>
              <w:jc w:val="center"/>
              <w:rPr>
                <w:color w:val="auto"/>
                <w:sz w:val="21"/>
                <w:szCs w:val="21"/>
                <w:highlight w:val="black"/>
              </w:rPr>
            </w:pPr>
            <w:r>
              <w:rPr>
                <w:rFonts w:hint="eastAsia"/>
                <w:color w:val="auto"/>
                <w:sz w:val="21"/>
                <w:szCs w:val="21"/>
                <w:highlight w:val="black"/>
              </w:rPr>
              <w:t>/</w:t>
            </w:r>
          </w:p>
        </w:tc>
        <w:tc>
          <w:tcPr>
            <w:tcW w:w="1134" w:type="dxa"/>
            <w:shd w:val="clear" w:color="auto" w:fill="auto"/>
            <w:vAlign w:val="center"/>
          </w:tcPr>
          <w:p w14:paraId="4608CC49">
            <w:pPr>
              <w:spacing w:line="240" w:lineRule="auto"/>
              <w:ind w:firstLine="0" w:firstLineChars="0"/>
              <w:jc w:val="center"/>
              <w:rPr>
                <w:color w:val="auto"/>
                <w:sz w:val="21"/>
                <w:szCs w:val="21"/>
                <w:highlight w:val="black"/>
              </w:rPr>
            </w:pPr>
            <w:r>
              <w:rPr>
                <w:rFonts w:hint="eastAsia"/>
                <w:color w:val="auto"/>
                <w:sz w:val="21"/>
                <w:szCs w:val="21"/>
                <w:highlight w:val="black"/>
              </w:rPr>
              <w:t>/</w:t>
            </w:r>
          </w:p>
        </w:tc>
        <w:tc>
          <w:tcPr>
            <w:tcW w:w="1304" w:type="dxa"/>
            <w:tcBorders>
              <w:right w:val="single" w:color="auto" w:sz="2" w:space="0"/>
            </w:tcBorders>
            <w:vAlign w:val="center"/>
          </w:tcPr>
          <w:p w14:paraId="3A5FEB26">
            <w:pPr>
              <w:spacing w:line="240" w:lineRule="auto"/>
              <w:ind w:firstLine="0" w:firstLineChars="0"/>
              <w:jc w:val="center"/>
              <w:rPr>
                <w:color w:val="auto"/>
                <w:sz w:val="21"/>
                <w:szCs w:val="21"/>
                <w:highlight w:val="black"/>
              </w:rPr>
            </w:pPr>
            <w:r>
              <w:rPr>
                <w:rFonts w:hint="eastAsia"/>
                <w:color w:val="auto"/>
                <w:sz w:val="21"/>
                <w:szCs w:val="21"/>
                <w:highlight w:val="black"/>
              </w:rPr>
              <w:t>/</w:t>
            </w:r>
          </w:p>
        </w:tc>
        <w:tc>
          <w:tcPr>
            <w:tcW w:w="1389" w:type="dxa"/>
            <w:tcBorders>
              <w:top w:val="single" w:color="auto" w:sz="2" w:space="0"/>
              <w:left w:val="single" w:color="auto" w:sz="2" w:space="0"/>
              <w:bottom w:val="single" w:color="auto" w:sz="2" w:space="0"/>
              <w:right w:val="single" w:color="auto" w:sz="2" w:space="0"/>
            </w:tcBorders>
            <w:vAlign w:val="center"/>
          </w:tcPr>
          <w:p w14:paraId="05B9C06F">
            <w:pPr>
              <w:spacing w:line="240" w:lineRule="auto"/>
              <w:ind w:firstLine="0" w:firstLineChars="0"/>
              <w:jc w:val="center"/>
              <w:rPr>
                <w:color w:val="auto"/>
                <w:sz w:val="21"/>
                <w:szCs w:val="21"/>
                <w:highlight w:val="black"/>
              </w:rPr>
            </w:pPr>
            <w:r>
              <w:rPr>
                <w:rFonts w:hint="eastAsia"/>
                <w:color w:val="auto"/>
                <w:sz w:val="21"/>
                <w:szCs w:val="21"/>
                <w:highlight w:val="black"/>
              </w:rPr>
              <w:t>/</w:t>
            </w:r>
          </w:p>
        </w:tc>
        <w:tc>
          <w:tcPr>
            <w:tcW w:w="3224" w:type="dxa"/>
            <w:tcBorders>
              <w:top w:val="single" w:color="auto" w:sz="2" w:space="0"/>
              <w:left w:val="single" w:color="auto" w:sz="2" w:space="0"/>
              <w:bottom w:val="single" w:color="auto" w:sz="2" w:space="0"/>
              <w:right w:val="single" w:color="auto" w:sz="2" w:space="0"/>
            </w:tcBorders>
            <w:vAlign w:val="center"/>
          </w:tcPr>
          <w:p w14:paraId="1A5807EF">
            <w:pPr>
              <w:spacing w:line="240" w:lineRule="auto"/>
              <w:ind w:firstLine="0" w:firstLineChars="0"/>
              <w:jc w:val="center"/>
              <w:rPr>
                <w:color w:val="auto"/>
                <w:sz w:val="21"/>
                <w:szCs w:val="21"/>
              </w:rPr>
            </w:pPr>
            <w:r>
              <w:rPr>
                <w:rFonts w:hint="eastAsia"/>
                <w:color w:val="auto"/>
                <w:sz w:val="21"/>
                <w:szCs w:val="21"/>
                <w:lang w:val="en-US" w:eastAsia="zh-CN"/>
              </w:rPr>
              <w:t>2</w:t>
            </w:r>
            <w:r>
              <w:rPr>
                <w:rFonts w:hint="eastAsia"/>
                <w:color w:val="auto"/>
                <w:sz w:val="21"/>
                <w:szCs w:val="21"/>
              </w:rPr>
              <w:t>#药剂储存罐区，5m</w:t>
            </w:r>
            <w:r>
              <w:rPr>
                <w:rFonts w:hint="eastAsia"/>
                <w:color w:val="auto"/>
                <w:sz w:val="21"/>
                <w:szCs w:val="21"/>
                <w:vertAlign w:val="superscript"/>
              </w:rPr>
              <w:t>3</w:t>
            </w:r>
            <w:r>
              <w:rPr>
                <w:rFonts w:hint="eastAsia"/>
                <w:color w:val="auto"/>
                <w:sz w:val="21"/>
                <w:szCs w:val="21"/>
              </w:rPr>
              <w:t>储罐1个，由氢氧化钠（片碱）调配</w:t>
            </w:r>
          </w:p>
        </w:tc>
      </w:tr>
      <w:tr w14:paraId="27C2A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shd w:val="clear" w:color="auto" w:fill="auto"/>
            <w:vAlign w:val="center"/>
          </w:tcPr>
          <w:p w14:paraId="1EAEDF33">
            <w:pPr>
              <w:spacing w:line="240" w:lineRule="auto"/>
              <w:ind w:firstLine="0" w:firstLineChars="0"/>
              <w:jc w:val="center"/>
              <w:rPr>
                <w:color w:val="auto"/>
                <w:sz w:val="21"/>
                <w:szCs w:val="21"/>
              </w:rPr>
            </w:pPr>
            <w:r>
              <w:rPr>
                <w:rFonts w:hint="eastAsia"/>
                <w:color w:val="auto"/>
                <w:sz w:val="21"/>
                <w:szCs w:val="21"/>
              </w:rPr>
              <w:t>12</w:t>
            </w:r>
          </w:p>
        </w:tc>
        <w:tc>
          <w:tcPr>
            <w:tcW w:w="1560" w:type="dxa"/>
            <w:shd w:val="clear" w:color="auto" w:fill="auto"/>
            <w:vAlign w:val="center"/>
          </w:tcPr>
          <w:p w14:paraId="122BB206">
            <w:pPr>
              <w:spacing w:line="240" w:lineRule="auto"/>
              <w:ind w:firstLine="0" w:firstLineChars="0"/>
              <w:jc w:val="center"/>
              <w:rPr>
                <w:color w:val="auto"/>
                <w:sz w:val="21"/>
                <w:szCs w:val="21"/>
                <w:highlight w:val="black"/>
              </w:rPr>
            </w:pPr>
            <w:r>
              <w:rPr>
                <w:rFonts w:hint="eastAsia"/>
                <w:color w:val="auto"/>
                <w:sz w:val="21"/>
                <w:szCs w:val="21"/>
                <w:highlight w:val="black"/>
              </w:rPr>
              <w:t>/</w:t>
            </w:r>
          </w:p>
        </w:tc>
        <w:tc>
          <w:tcPr>
            <w:tcW w:w="1134" w:type="dxa"/>
            <w:shd w:val="clear" w:color="auto" w:fill="auto"/>
            <w:vAlign w:val="center"/>
          </w:tcPr>
          <w:p w14:paraId="228D0A3B">
            <w:pPr>
              <w:spacing w:line="240" w:lineRule="auto"/>
              <w:ind w:firstLine="0" w:firstLineChars="0"/>
              <w:jc w:val="center"/>
              <w:rPr>
                <w:color w:val="auto"/>
                <w:sz w:val="21"/>
                <w:szCs w:val="21"/>
                <w:highlight w:val="black"/>
              </w:rPr>
            </w:pPr>
            <w:r>
              <w:rPr>
                <w:rFonts w:hint="eastAsia"/>
                <w:color w:val="auto"/>
                <w:sz w:val="21"/>
                <w:szCs w:val="21"/>
                <w:highlight w:val="black"/>
              </w:rPr>
              <w:t>/</w:t>
            </w:r>
          </w:p>
        </w:tc>
        <w:tc>
          <w:tcPr>
            <w:tcW w:w="1304" w:type="dxa"/>
            <w:vAlign w:val="center"/>
          </w:tcPr>
          <w:p w14:paraId="56532DB6">
            <w:pPr>
              <w:spacing w:line="240" w:lineRule="auto"/>
              <w:ind w:firstLine="0" w:firstLineChars="0"/>
              <w:jc w:val="center"/>
              <w:rPr>
                <w:color w:val="auto"/>
                <w:sz w:val="21"/>
                <w:szCs w:val="21"/>
                <w:highlight w:val="black"/>
              </w:rPr>
            </w:pPr>
            <w:r>
              <w:rPr>
                <w:rFonts w:hint="eastAsia"/>
                <w:color w:val="auto"/>
                <w:sz w:val="21"/>
                <w:szCs w:val="21"/>
                <w:highlight w:val="black"/>
              </w:rPr>
              <w:t>/</w:t>
            </w:r>
          </w:p>
        </w:tc>
        <w:tc>
          <w:tcPr>
            <w:tcW w:w="1389" w:type="dxa"/>
            <w:tcBorders>
              <w:top w:val="single" w:color="auto" w:sz="2" w:space="0"/>
            </w:tcBorders>
            <w:vAlign w:val="center"/>
          </w:tcPr>
          <w:p w14:paraId="680C4450">
            <w:pPr>
              <w:spacing w:line="240" w:lineRule="auto"/>
              <w:ind w:firstLine="0" w:firstLineChars="0"/>
              <w:jc w:val="center"/>
              <w:rPr>
                <w:color w:val="auto"/>
                <w:sz w:val="21"/>
                <w:szCs w:val="21"/>
                <w:highlight w:val="black"/>
              </w:rPr>
            </w:pPr>
            <w:r>
              <w:rPr>
                <w:rFonts w:hint="eastAsia"/>
                <w:color w:val="auto"/>
                <w:sz w:val="21"/>
                <w:szCs w:val="21"/>
                <w:highlight w:val="black"/>
              </w:rPr>
              <w:t>/</w:t>
            </w:r>
          </w:p>
        </w:tc>
        <w:tc>
          <w:tcPr>
            <w:tcW w:w="3224" w:type="dxa"/>
            <w:tcBorders>
              <w:top w:val="single" w:color="auto" w:sz="2" w:space="0"/>
            </w:tcBorders>
            <w:vAlign w:val="center"/>
          </w:tcPr>
          <w:p w14:paraId="24010285">
            <w:pPr>
              <w:spacing w:line="240" w:lineRule="auto"/>
              <w:ind w:firstLine="0" w:firstLineChars="0"/>
              <w:jc w:val="center"/>
              <w:rPr>
                <w:color w:val="auto"/>
                <w:sz w:val="21"/>
                <w:szCs w:val="21"/>
              </w:rPr>
            </w:pPr>
            <w:r>
              <w:rPr>
                <w:rFonts w:hint="eastAsia"/>
                <w:color w:val="auto"/>
                <w:sz w:val="21"/>
                <w:szCs w:val="21"/>
              </w:rPr>
              <w:t>机修间，25kg/桶</w:t>
            </w:r>
          </w:p>
        </w:tc>
      </w:tr>
      <w:tr w14:paraId="04367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shd w:val="clear" w:color="auto" w:fill="auto"/>
            <w:vAlign w:val="center"/>
          </w:tcPr>
          <w:p w14:paraId="649E0AC9">
            <w:pPr>
              <w:spacing w:line="240" w:lineRule="auto"/>
              <w:ind w:firstLine="0" w:firstLineChars="0"/>
              <w:jc w:val="center"/>
              <w:rPr>
                <w:color w:val="auto"/>
                <w:sz w:val="21"/>
                <w:szCs w:val="21"/>
              </w:rPr>
            </w:pPr>
            <w:r>
              <w:rPr>
                <w:rFonts w:hint="eastAsia"/>
                <w:color w:val="auto"/>
                <w:sz w:val="21"/>
                <w:szCs w:val="21"/>
              </w:rPr>
              <w:t>13</w:t>
            </w:r>
          </w:p>
        </w:tc>
        <w:tc>
          <w:tcPr>
            <w:tcW w:w="1560" w:type="dxa"/>
            <w:shd w:val="clear" w:color="auto" w:fill="auto"/>
            <w:vAlign w:val="center"/>
          </w:tcPr>
          <w:p w14:paraId="1CDB4B48">
            <w:pPr>
              <w:spacing w:line="240" w:lineRule="auto"/>
              <w:ind w:firstLine="0" w:firstLineChars="0"/>
              <w:jc w:val="center"/>
              <w:rPr>
                <w:color w:val="auto"/>
                <w:sz w:val="21"/>
                <w:szCs w:val="21"/>
                <w:highlight w:val="black"/>
              </w:rPr>
            </w:pPr>
            <w:r>
              <w:rPr>
                <w:rFonts w:hint="eastAsia"/>
                <w:color w:val="auto"/>
                <w:sz w:val="21"/>
                <w:szCs w:val="21"/>
                <w:highlight w:val="black"/>
              </w:rPr>
              <w:t>/</w:t>
            </w:r>
          </w:p>
        </w:tc>
        <w:tc>
          <w:tcPr>
            <w:tcW w:w="1134" w:type="dxa"/>
            <w:shd w:val="clear" w:color="auto" w:fill="auto"/>
            <w:vAlign w:val="center"/>
          </w:tcPr>
          <w:p w14:paraId="6AD038A2">
            <w:pPr>
              <w:spacing w:line="240" w:lineRule="auto"/>
              <w:ind w:firstLine="0" w:firstLineChars="0"/>
              <w:jc w:val="center"/>
              <w:rPr>
                <w:color w:val="auto"/>
                <w:sz w:val="21"/>
                <w:szCs w:val="21"/>
                <w:highlight w:val="black"/>
              </w:rPr>
            </w:pPr>
            <w:r>
              <w:rPr>
                <w:rFonts w:hint="eastAsia"/>
                <w:color w:val="auto"/>
                <w:sz w:val="21"/>
                <w:szCs w:val="21"/>
                <w:highlight w:val="black"/>
              </w:rPr>
              <w:t>/</w:t>
            </w:r>
          </w:p>
        </w:tc>
        <w:tc>
          <w:tcPr>
            <w:tcW w:w="1304" w:type="dxa"/>
            <w:vAlign w:val="center"/>
          </w:tcPr>
          <w:p w14:paraId="4F3D24AC">
            <w:pPr>
              <w:spacing w:line="240" w:lineRule="auto"/>
              <w:ind w:firstLine="0" w:firstLineChars="0"/>
              <w:jc w:val="center"/>
              <w:rPr>
                <w:color w:val="auto"/>
                <w:sz w:val="21"/>
                <w:szCs w:val="21"/>
                <w:highlight w:val="black"/>
              </w:rPr>
            </w:pPr>
            <w:r>
              <w:rPr>
                <w:rFonts w:hint="eastAsia"/>
                <w:color w:val="auto"/>
                <w:sz w:val="21"/>
                <w:szCs w:val="21"/>
                <w:highlight w:val="black"/>
              </w:rPr>
              <w:t>/</w:t>
            </w:r>
          </w:p>
        </w:tc>
        <w:tc>
          <w:tcPr>
            <w:tcW w:w="1389" w:type="dxa"/>
            <w:vAlign w:val="center"/>
          </w:tcPr>
          <w:p w14:paraId="15C90681">
            <w:pPr>
              <w:spacing w:line="240" w:lineRule="auto"/>
              <w:ind w:firstLine="0" w:firstLineChars="0"/>
              <w:jc w:val="center"/>
              <w:rPr>
                <w:color w:val="auto"/>
                <w:sz w:val="21"/>
                <w:szCs w:val="21"/>
                <w:highlight w:val="black"/>
              </w:rPr>
            </w:pPr>
            <w:r>
              <w:rPr>
                <w:rFonts w:hint="eastAsia"/>
                <w:color w:val="auto"/>
                <w:sz w:val="21"/>
                <w:szCs w:val="21"/>
                <w:highlight w:val="black"/>
              </w:rPr>
              <w:t>/</w:t>
            </w:r>
          </w:p>
        </w:tc>
        <w:tc>
          <w:tcPr>
            <w:tcW w:w="3224" w:type="dxa"/>
            <w:vAlign w:val="center"/>
          </w:tcPr>
          <w:p w14:paraId="3026F671">
            <w:pPr>
              <w:spacing w:line="240" w:lineRule="auto"/>
              <w:ind w:firstLine="0" w:firstLineChars="0"/>
              <w:jc w:val="center"/>
              <w:rPr>
                <w:color w:val="auto"/>
                <w:sz w:val="21"/>
                <w:szCs w:val="21"/>
              </w:rPr>
            </w:pPr>
            <w:r>
              <w:rPr>
                <w:rFonts w:hint="eastAsia"/>
                <w:color w:val="auto"/>
                <w:sz w:val="21"/>
                <w:szCs w:val="21"/>
              </w:rPr>
              <w:t>危废贮存库</w:t>
            </w:r>
          </w:p>
        </w:tc>
      </w:tr>
    </w:tbl>
    <w:p w14:paraId="5C9157C7">
      <w:pPr>
        <w:adjustRightInd/>
        <w:snapToGrid/>
        <w:spacing w:line="440" w:lineRule="exact"/>
        <w:ind w:firstLine="482" w:firstLineChars="0"/>
        <w:jc w:val="center"/>
        <w:rPr>
          <w:b/>
          <w:color w:val="auto"/>
          <w:szCs w:val="24"/>
        </w:rPr>
      </w:pPr>
    </w:p>
    <w:p w14:paraId="3176DDBD">
      <w:pPr>
        <w:pStyle w:val="5"/>
        <w:numPr>
          <w:ilvl w:val="0"/>
          <w:numId w:val="0"/>
        </w:numPr>
        <w:spacing w:line="360" w:lineRule="auto"/>
        <w:jc w:val="left"/>
        <w:rPr>
          <w:color w:val="auto"/>
        </w:rPr>
      </w:pPr>
      <w:r>
        <w:rPr>
          <w:rFonts w:hint="eastAsia"/>
          <w:color w:val="auto"/>
        </w:rPr>
        <w:t>7</w:t>
      </w:r>
      <w:r>
        <w:rPr>
          <w:color w:val="auto"/>
        </w:rPr>
        <w:t>.2.2</w:t>
      </w:r>
      <w:r>
        <w:rPr>
          <w:rFonts w:hint="eastAsia"/>
          <w:color w:val="auto"/>
        </w:rPr>
        <w:t>环境敏感目标调查</w:t>
      </w:r>
    </w:p>
    <w:p w14:paraId="08F110DA">
      <w:pPr>
        <w:spacing w:line="360" w:lineRule="auto"/>
        <w:ind w:firstLine="480"/>
        <w:rPr>
          <w:color w:val="auto"/>
        </w:rPr>
      </w:pPr>
      <w:r>
        <w:rPr>
          <w:color w:val="auto"/>
          <w:szCs w:val="24"/>
        </w:rPr>
        <w:t>根据现场调查，拟建项目位于</w:t>
      </w:r>
      <w:r>
        <w:rPr>
          <w:rFonts w:hint="eastAsia"/>
          <w:color w:val="auto"/>
          <w:szCs w:val="24"/>
        </w:rPr>
        <w:t>园区范围内</w:t>
      </w:r>
      <w:r>
        <w:rPr>
          <w:color w:val="auto"/>
          <w:szCs w:val="24"/>
        </w:rPr>
        <w:t>，</w:t>
      </w:r>
      <w:r>
        <w:rPr>
          <w:rFonts w:hint="eastAsia"/>
          <w:color w:val="auto"/>
          <w:szCs w:val="24"/>
        </w:rPr>
        <w:t>不涉及</w:t>
      </w:r>
      <w:r>
        <w:rPr>
          <w:rFonts w:hint="eastAsia"/>
          <w:color w:val="auto"/>
          <w:szCs w:val="24"/>
          <w:lang w:eastAsia="zh-CN"/>
        </w:rPr>
        <w:t>忠县</w:t>
      </w:r>
      <w:r>
        <w:rPr>
          <w:rFonts w:hint="eastAsia"/>
          <w:color w:val="auto"/>
          <w:szCs w:val="24"/>
        </w:rPr>
        <w:t>生态保护红线范围，规划区所在地不涉及基本农田保护区、自然保护区、风景名胜区等环境敏感区，评价范围内也无珍稀保护野生动植物分布。项目所在的</w:t>
      </w:r>
      <w:r>
        <w:rPr>
          <w:rFonts w:hint="eastAsia"/>
          <w:color w:val="auto"/>
          <w:szCs w:val="24"/>
          <w:lang w:eastAsia="zh-CN"/>
        </w:rPr>
        <w:t>水文地质单元</w:t>
      </w:r>
      <w:r>
        <w:rPr>
          <w:rFonts w:hint="eastAsia"/>
          <w:color w:val="auto"/>
          <w:szCs w:val="24"/>
        </w:rPr>
        <w:t>内无地下水集中式</w:t>
      </w:r>
      <w:r>
        <w:rPr>
          <w:rFonts w:hint="eastAsia"/>
          <w:color w:val="auto"/>
          <w:szCs w:val="24"/>
          <w:lang w:eastAsia="zh-CN"/>
        </w:rPr>
        <w:t>饮用水</w:t>
      </w:r>
      <w:r>
        <w:rPr>
          <w:rFonts w:hint="eastAsia"/>
          <w:color w:val="auto"/>
          <w:szCs w:val="24"/>
        </w:rPr>
        <w:t>源和分散式饮用水源，不涉及地下水饮用水源保护区，区域居民均使用自来水作为饮用水源。拟建项目环境保护目标主要为</w:t>
      </w:r>
      <w:r>
        <w:rPr>
          <w:rFonts w:hint="eastAsia"/>
          <w:color w:val="auto"/>
          <w:szCs w:val="24"/>
          <w:lang w:eastAsia="zh-CN"/>
        </w:rPr>
        <w:t>乌杨场镇</w:t>
      </w:r>
      <w:r>
        <w:rPr>
          <w:rFonts w:hint="eastAsia"/>
          <w:color w:val="auto"/>
          <w:szCs w:val="24"/>
        </w:rPr>
        <w:t>居民</w:t>
      </w:r>
      <w:r>
        <w:rPr>
          <w:rFonts w:hint="eastAsia"/>
          <w:color w:val="auto"/>
          <w:szCs w:val="24"/>
          <w:lang w:eastAsia="zh-CN"/>
        </w:rPr>
        <w:t>（包括学校和医院等）、将军社区、黄谷社区、文峰社区</w:t>
      </w:r>
      <w:r>
        <w:rPr>
          <w:rFonts w:hint="eastAsia"/>
          <w:color w:val="auto"/>
          <w:szCs w:val="24"/>
        </w:rPr>
        <w:t>及其他零散乡村居民等</w:t>
      </w:r>
      <w:r>
        <w:rPr>
          <w:color w:val="auto"/>
          <w:szCs w:val="24"/>
        </w:rPr>
        <w:t>；地表水</w:t>
      </w:r>
      <w:r>
        <w:rPr>
          <w:rFonts w:hint="eastAsia"/>
          <w:color w:val="auto"/>
          <w:szCs w:val="24"/>
        </w:rPr>
        <w:t>环境保护</w:t>
      </w:r>
      <w:r>
        <w:rPr>
          <w:color w:val="auto"/>
          <w:szCs w:val="24"/>
        </w:rPr>
        <w:t>目标主要为项目</w:t>
      </w:r>
      <w:r>
        <w:rPr>
          <w:rFonts w:hint="eastAsia"/>
          <w:color w:val="auto"/>
          <w:szCs w:val="24"/>
          <w:lang w:eastAsia="zh-CN"/>
        </w:rPr>
        <w:t>西</w:t>
      </w:r>
      <w:r>
        <w:rPr>
          <w:rFonts w:hint="eastAsia"/>
          <w:color w:val="auto"/>
          <w:szCs w:val="24"/>
        </w:rPr>
        <w:t>侧</w:t>
      </w:r>
      <w:r>
        <w:rPr>
          <w:rFonts w:hint="eastAsia"/>
          <w:color w:val="auto"/>
          <w:szCs w:val="24"/>
          <w:lang w:eastAsia="zh-CN"/>
        </w:rPr>
        <w:t>长江</w:t>
      </w:r>
      <w:r>
        <w:rPr>
          <w:rFonts w:hint="eastAsia"/>
          <w:color w:val="auto"/>
          <w:szCs w:val="24"/>
        </w:rPr>
        <w:t>，详见表1</w:t>
      </w:r>
      <w:r>
        <w:rPr>
          <w:color w:val="auto"/>
          <w:szCs w:val="24"/>
        </w:rPr>
        <w:t>.11-1。</w:t>
      </w:r>
    </w:p>
    <w:p w14:paraId="22AA2895">
      <w:pPr>
        <w:pStyle w:val="4"/>
        <w:numPr>
          <w:ilvl w:val="0"/>
          <w:numId w:val="0"/>
        </w:numPr>
        <w:spacing w:line="360" w:lineRule="auto"/>
        <w:rPr>
          <w:color w:val="auto"/>
          <w:szCs w:val="24"/>
        </w:rPr>
      </w:pPr>
      <w:bookmarkStart w:id="269" w:name="_Toc6631"/>
      <w:r>
        <w:rPr>
          <w:rFonts w:hint="eastAsia"/>
          <w:color w:val="auto"/>
          <w:szCs w:val="24"/>
        </w:rPr>
        <w:t>7</w:t>
      </w:r>
      <w:r>
        <w:rPr>
          <w:color w:val="auto"/>
          <w:szCs w:val="24"/>
        </w:rPr>
        <w:t>.3</w:t>
      </w:r>
      <w:r>
        <w:rPr>
          <w:rFonts w:hint="eastAsia"/>
          <w:color w:val="auto"/>
          <w:szCs w:val="24"/>
        </w:rPr>
        <w:t>风险潜势初判</w:t>
      </w:r>
      <w:bookmarkEnd w:id="269"/>
    </w:p>
    <w:p w14:paraId="6D7A7688">
      <w:pPr>
        <w:pStyle w:val="5"/>
        <w:numPr>
          <w:ilvl w:val="0"/>
          <w:numId w:val="0"/>
        </w:numPr>
        <w:spacing w:line="360" w:lineRule="auto"/>
        <w:jc w:val="left"/>
        <w:rPr>
          <w:color w:val="auto"/>
          <w:szCs w:val="24"/>
          <w:lang w:val="en-US"/>
        </w:rPr>
      </w:pPr>
      <w:r>
        <w:rPr>
          <w:color w:val="auto"/>
          <w:szCs w:val="24"/>
          <w:lang w:val="en-US"/>
        </w:rPr>
        <w:t>7.3.1危险物质数量与临界量的比值（Q）的确定</w:t>
      </w:r>
    </w:p>
    <w:p w14:paraId="4FD869AC">
      <w:pPr>
        <w:spacing w:line="360" w:lineRule="auto"/>
        <w:ind w:firstLine="480"/>
        <w:rPr>
          <w:snapToGrid w:val="0"/>
          <w:color w:val="auto"/>
          <w:kern w:val="0"/>
          <w:szCs w:val="26"/>
        </w:rPr>
      </w:pPr>
      <w:r>
        <w:rPr>
          <w:snapToGrid w:val="0"/>
          <w:color w:val="auto"/>
          <w:kern w:val="0"/>
          <w:szCs w:val="26"/>
        </w:rPr>
        <w:t>计算所涉及的每种危险物质在厂界内的最大存在总量与其在附录B中对应临界量的比值Q。在不同厂区的同一种物质，按其在厂界内的最大存在总量计算。对于长输管线项目，按照两个截断阀室之间管段危险物质最大存在总量计算。</w:t>
      </w:r>
    </w:p>
    <w:p w14:paraId="17C9A2A5">
      <w:pPr>
        <w:spacing w:line="360" w:lineRule="auto"/>
        <w:ind w:firstLine="480"/>
        <w:rPr>
          <w:snapToGrid w:val="0"/>
          <w:color w:val="auto"/>
          <w:kern w:val="0"/>
          <w:szCs w:val="26"/>
        </w:rPr>
      </w:pPr>
      <w:r>
        <w:rPr>
          <w:snapToGrid w:val="0"/>
          <w:color w:val="auto"/>
          <w:kern w:val="0"/>
          <w:szCs w:val="26"/>
        </w:rPr>
        <w:t>当只涉及一种危险物质时，计算该物质的总量与其临界量比值，即为Q；</w:t>
      </w:r>
    </w:p>
    <w:p w14:paraId="030C631B">
      <w:pPr>
        <w:spacing w:line="360" w:lineRule="auto"/>
        <w:ind w:firstLine="480"/>
        <w:rPr>
          <w:snapToGrid w:val="0"/>
          <w:color w:val="auto"/>
          <w:kern w:val="0"/>
          <w:szCs w:val="26"/>
        </w:rPr>
      </w:pPr>
      <w:r>
        <w:rPr>
          <w:snapToGrid w:val="0"/>
          <w:color w:val="auto"/>
          <w:kern w:val="0"/>
          <w:szCs w:val="26"/>
        </w:rPr>
        <w:t>当存在多种危险物质时，则按下式计算物质总量与其临界量比值Q；</w:t>
      </w:r>
    </w:p>
    <w:p w14:paraId="35E123D5">
      <w:pPr>
        <w:spacing w:line="360" w:lineRule="auto"/>
        <w:ind w:firstLine="480"/>
        <w:rPr>
          <w:snapToGrid w:val="0"/>
          <w:color w:val="auto"/>
          <w:kern w:val="0"/>
          <w:szCs w:val="26"/>
        </w:rPr>
      </w:pPr>
      <w:r>
        <w:rPr>
          <w:snapToGrid w:val="0"/>
          <w:color w:val="auto"/>
          <w:kern w:val="0"/>
          <w:szCs w:val="26"/>
        </w:rPr>
        <w:t>Q=q1/Q1+ q2/Q2……+ qn/Qn</w:t>
      </w:r>
    </w:p>
    <w:p w14:paraId="7098B7AE">
      <w:pPr>
        <w:spacing w:line="360" w:lineRule="auto"/>
        <w:ind w:firstLine="480"/>
        <w:rPr>
          <w:snapToGrid w:val="0"/>
          <w:color w:val="auto"/>
          <w:kern w:val="0"/>
          <w:szCs w:val="26"/>
        </w:rPr>
      </w:pPr>
      <w:r>
        <w:rPr>
          <w:snapToGrid w:val="0"/>
          <w:color w:val="auto"/>
          <w:kern w:val="0"/>
          <w:szCs w:val="26"/>
        </w:rPr>
        <w:t>式中：q1、q2…，qn——为每种危险物质最大存在总量，t。</w:t>
      </w:r>
    </w:p>
    <w:p w14:paraId="090194E3">
      <w:pPr>
        <w:spacing w:line="360" w:lineRule="auto"/>
        <w:ind w:firstLine="480"/>
        <w:rPr>
          <w:snapToGrid w:val="0"/>
          <w:color w:val="auto"/>
          <w:kern w:val="0"/>
          <w:szCs w:val="26"/>
        </w:rPr>
      </w:pPr>
      <w:r>
        <w:rPr>
          <w:snapToGrid w:val="0"/>
          <w:color w:val="auto"/>
          <w:kern w:val="0"/>
          <w:szCs w:val="26"/>
        </w:rPr>
        <w:t>Q1. Q2…Qn——每种危险物质的临界量，t。</w:t>
      </w:r>
    </w:p>
    <w:p w14:paraId="4616AAA5">
      <w:pPr>
        <w:spacing w:line="360" w:lineRule="auto"/>
        <w:ind w:firstLine="480"/>
        <w:rPr>
          <w:snapToGrid w:val="0"/>
          <w:color w:val="auto"/>
          <w:kern w:val="0"/>
          <w:szCs w:val="26"/>
        </w:rPr>
      </w:pPr>
      <w:r>
        <w:rPr>
          <w:snapToGrid w:val="0"/>
          <w:color w:val="auto"/>
          <w:kern w:val="0"/>
          <w:szCs w:val="26"/>
        </w:rPr>
        <w:t>当Q&lt;1时，该项目环境风险潜势为</w:t>
      </w:r>
      <w:r>
        <w:rPr>
          <w:snapToGrid w:val="0"/>
          <w:color w:val="auto"/>
          <w:kern w:val="0"/>
          <w:szCs w:val="26"/>
        </w:rPr>
        <w:fldChar w:fldCharType="begin"/>
      </w:r>
      <w:r>
        <w:rPr>
          <w:snapToGrid w:val="0"/>
          <w:color w:val="auto"/>
          <w:kern w:val="0"/>
          <w:szCs w:val="26"/>
        </w:rPr>
        <w:instrText xml:space="preserve"> = 1 \* ROMAN </w:instrText>
      </w:r>
      <w:r>
        <w:rPr>
          <w:snapToGrid w:val="0"/>
          <w:color w:val="auto"/>
          <w:kern w:val="0"/>
          <w:szCs w:val="26"/>
        </w:rPr>
        <w:fldChar w:fldCharType="separate"/>
      </w:r>
      <w:r>
        <w:rPr>
          <w:snapToGrid w:val="0"/>
          <w:color w:val="auto"/>
          <w:kern w:val="0"/>
          <w:szCs w:val="26"/>
        </w:rPr>
        <w:t>I</w:t>
      </w:r>
      <w:r>
        <w:rPr>
          <w:snapToGrid w:val="0"/>
          <w:color w:val="auto"/>
          <w:kern w:val="0"/>
          <w:szCs w:val="26"/>
        </w:rPr>
        <w:fldChar w:fldCharType="end"/>
      </w:r>
      <w:r>
        <w:rPr>
          <w:snapToGrid w:val="0"/>
          <w:color w:val="auto"/>
          <w:kern w:val="0"/>
          <w:szCs w:val="26"/>
        </w:rPr>
        <w:t>。</w:t>
      </w:r>
    </w:p>
    <w:p w14:paraId="46FCEF99">
      <w:pPr>
        <w:spacing w:line="360" w:lineRule="auto"/>
        <w:ind w:firstLine="480"/>
        <w:rPr>
          <w:snapToGrid w:val="0"/>
          <w:color w:val="auto"/>
          <w:kern w:val="0"/>
          <w:szCs w:val="26"/>
        </w:rPr>
      </w:pPr>
      <w:r>
        <w:rPr>
          <w:snapToGrid w:val="0"/>
          <w:color w:val="auto"/>
          <w:kern w:val="0"/>
          <w:szCs w:val="26"/>
        </w:rPr>
        <w:t>当Q≥1时，将Q值划分为：（1）1≤Q&lt;10；（2）10≤Q&lt;100；（3）Q≥100。</w:t>
      </w:r>
    </w:p>
    <w:p w14:paraId="4CAB6FC9">
      <w:pPr>
        <w:spacing w:line="360" w:lineRule="auto"/>
        <w:ind w:firstLine="480"/>
        <w:rPr>
          <w:snapToGrid w:val="0"/>
          <w:color w:val="auto"/>
          <w:kern w:val="0"/>
          <w:szCs w:val="26"/>
        </w:rPr>
      </w:pPr>
      <w:r>
        <w:rPr>
          <w:snapToGrid w:val="0"/>
          <w:color w:val="auto"/>
          <w:kern w:val="0"/>
          <w:szCs w:val="26"/>
        </w:rPr>
        <w:t>项目涉及的危险物质数量与临界量比值（Q）计算结果见表7.3-1。</w:t>
      </w:r>
    </w:p>
    <w:p w14:paraId="7374D383">
      <w:pPr>
        <w:spacing w:line="360" w:lineRule="auto"/>
        <w:ind w:firstLine="480"/>
        <w:rPr>
          <w:rFonts w:hint="eastAsia"/>
          <w:color w:val="auto"/>
          <w:lang w:val="en-US" w:eastAsia="zh-CN"/>
        </w:rPr>
      </w:pPr>
      <w:r>
        <w:rPr>
          <w:rFonts w:hint="eastAsia"/>
          <w:color w:val="auto"/>
          <w:lang w:val="en-US" w:eastAsia="zh-CN"/>
        </w:rPr>
        <w:t>***涉及商业秘密，申请不予公开***</w:t>
      </w:r>
    </w:p>
    <w:p w14:paraId="0CCBF8E6">
      <w:pPr>
        <w:ind w:firstLine="0" w:firstLineChars="0"/>
        <w:jc w:val="center"/>
        <w:rPr>
          <w:b/>
          <w:bCs/>
          <w:color w:val="auto"/>
          <w:szCs w:val="22"/>
        </w:rPr>
      </w:pPr>
      <w:r>
        <w:rPr>
          <w:b/>
          <w:bCs/>
          <w:color w:val="auto"/>
          <w:szCs w:val="22"/>
        </w:rPr>
        <w:t>表7.3-1  项目Q值确定表</w:t>
      </w:r>
    </w:p>
    <w:tbl>
      <w:tblPr>
        <w:tblStyle w:val="88"/>
        <w:tblW w:w="906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03"/>
        <w:gridCol w:w="2099"/>
        <w:gridCol w:w="1312"/>
        <w:gridCol w:w="1648"/>
        <w:gridCol w:w="1649"/>
        <w:gridCol w:w="1649"/>
      </w:tblGrid>
      <w:tr w14:paraId="53818F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trPr>
        <w:tc>
          <w:tcPr>
            <w:tcW w:w="703" w:type="dxa"/>
            <w:tcBorders>
              <w:right w:val="single" w:color="auto" w:sz="4" w:space="0"/>
            </w:tcBorders>
            <w:vAlign w:val="center"/>
          </w:tcPr>
          <w:p w14:paraId="613A0580">
            <w:pPr>
              <w:spacing w:line="240" w:lineRule="auto"/>
              <w:ind w:firstLine="0" w:firstLineChars="0"/>
              <w:jc w:val="center"/>
              <w:rPr>
                <w:rFonts w:cs="宋体"/>
                <w:color w:val="auto"/>
                <w:kern w:val="0"/>
                <w:sz w:val="21"/>
                <w:szCs w:val="24"/>
              </w:rPr>
            </w:pPr>
            <w:r>
              <w:rPr>
                <w:rFonts w:hint="eastAsia" w:cs="宋体"/>
                <w:color w:val="auto"/>
                <w:kern w:val="0"/>
                <w:sz w:val="21"/>
                <w:szCs w:val="24"/>
              </w:rPr>
              <w:t>序号</w:t>
            </w:r>
          </w:p>
        </w:tc>
        <w:tc>
          <w:tcPr>
            <w:tcW w:w="2099" w:type="dxa"/>
            <w:tcBorders>
              <w:left w:val="single" w:color="auto" w:sz="4" w:space="0"/>
            </w:tcBorders>
            <w:vAlign w:val="center"/>
          </w:tcPr>
          <w:p w14:paraId="6D0D6148">
            <w:pPr>
              <w:spacing w:line="240" w:lineRule="auto"/>
              <w:ind w:firstLine="0" w:firstLineChars="0"/>
              <w:jc w:val="center"/>
              <w:rPr>
                <w:rFonts w:cs="宋体"/>
                <w:color w:val="auto"/>
                <w:kern w:val="0"/>
                <w:sz w:val="21"/>
                <w:szCs w:val="24"/>
              </w:rPr>
            </w:pPr>
            <w:r>
              <w:rPr>
                <w:rFonts w:hint="eastAsia" w:cs="宋体"/>
                <w:color w:val="auto"/>
                <w:kern w:val="0"/>
                <w:sz w:val="21"/>
                <w:szCs w:val="24"/>
              </w:rPr>
              <w:t>危险物质名称</w:t>
            </w:r>
          </w:p>
        </w:tc>
        <w:tc>
          <w:tcPr>
            <w:tcW w:w="1312" w:type="dxa"/>
            <w:vAlign w:val="center"/>
          </w:tcPr>
          <w:p w14:paraId="28DA21D3">
            <w:pPr>
              <w:spacing w:line="240" w:lineRule="auto"/>
              <w:ind w:firstLine="0" w:firstLineChars="0"/>
              <w:jc w:val="center"/>
              <w:rPr>
                <w:rFonts w:cs="宋体"/>
                <w:color w:val="auto"/>
                <w:kern w:val="0"/>
                <w:sz w:val="21"/>
                <w:szCs w:val="24"/>
              </w:rPr>
            </w:pPr>
            <w:r>
              <w:rPr>
                <w:rFonts w:hint="eastAsia" w:cs="宋体"/>
                <w:color w:val="auto"/>
                <w:kern w:val="0"/>
                <w:sz w:val="21"/>
                <w:szCs w:val="24"/>
              </w:rPr>
              <w:t>CAS号</w:t>
            </w:r>
          </w:p>
        </w:tc>
        <w:tc>
          <w:tcPr>
            <w:tcW w:w="1648" w:type="dxa"/>
            <w:vAlign w:val="center"/>
          </w:tcPr>
          <w:p w14:paraId="7A94F6DC">
            <w:pPr>
              <w:spacing w:line="240" w:lineRule="auto"/>
              <w:ind w:firstLine="0" w:firstLineChars="0"/>
              <w:jc w:val="center"/>
              <w:rPr>
                <w:rFonts w:cs="宋体"/>
                <w:color w:val="auto"/>
                <w:kern w:val="0"/>
                <w:sz w:val="21"/>
                <w:szCs w:val="24"/>
              </w:rPr>
            </w:pPr>
            <w:r>
              <w:rPr>
                <w:rFonts w:hint="eastAsia" w:cs="宋体"/>
                <w:color w:val="auto"/>
                <w:kern w:val="0"/>
                <w:sz w:val="21"/>
                <w:szCs w:val="24"/>
              </w:rPr>
              <w:t>最大存在总量qn/t</w:t>
            </w:r>
          </w:p>
        </w:tc>
        <w:tc>
          <w:tcPr>
            <w:tcW w:w="1649" w:type="dxa"/>
            <w:vAlign w:val="center"/>
          </w:tcPr>
          <w:p w14:paraId="257492A5">
            <w:pPr>
              <w:spacing w:line="240" w:lineRule="auto"/>
              <w:ind w:firstLine="0" w:firstLineChars="0"/>
              <w:jc w:val="center"/>
              <w:rPr>
                <w:rFonts w:cs="宋体"/>
                <w:color w:val="auto"/>
                <w:kern w:val="0"/>
                <w:sz w:val="21"/>
                <w:szCs w:val="24"/>
              </w:rPr>
            </w:pPr>
            <w:r>
              <w:rPr>
                <w:rFonts w:hint="eastAsia" w:cs="宋体"/>
                <w:color w:val="auto"/>
                <w:kern w:val="0"/>
                <w:sz w:val="21"/>
                <w:szCs w:val="24"/>
              </w:rPr>
              <w:t>临界量Qn/t</w:t>
            </w:r>
          </w:p>
        </w:tc>
        <w:tc>
          <w:tcPr>
            <w:tcW w:w="1649" w:type="dxa"/>
            <w:vAlign w:val="center"/>
          </w:tcPr>
          <w:p w14:paraId="14148B19">
            <w:pPr>
              <w:spacing w:line="240" w:lineRule="auto"/>
              <w:ind w:firstLine="0" w:firstLineChars="0"/>
              <w:jc w:val="center"/>
              <w:rPr>
                <w:rFonts w:cs="宋体"/>
                <w:color w:val="auto"/>
                <w:kern w:val="0"/>
                <w:sz w:val="21"/>
                <w:szCs w:val="24"/>
              </w:rPr>
            </w:pPr>
            <w:r>
              <w:rPr>
                <w:rFonts w:hint="eastAsia" w:cs="宋体"/>
                <w:color w:val="auto"/>
                <w:kern w:val="0"/>
                <w:sz w:val="21"/>
                <w:szCs w:val="24"/>
              </w:rPr>
              <w:t>危险物质Q值</w:t>
            </w:r>
          </w:p>
        </w:tc>
      </w:tr>
      <w:tr w14:paraId="66618A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03" w:type="dxa"/>
            <w:tcBorders>
              <w:right w:val="single" w:color="auto" w:sz="4" w:space="0"/>
            </w:tcBorders>
            <w:vAlign w:val="center"/>
          </w:tcPr>
          <w:p w14:paraId="3E433C4E">
            <w:pPr>
              <w:spacing w:line="240" w:lineRule="auto"/>
              <w:ind w:firstLine="0" w:firstLineChars="0"/>
              <w:jc w:val="center"/>
              <w:rPr>
                <w:rFonts w:cs="宋体"/>
                <w:color w:val="auto"/>
                <w:kern w:val="0"/>
                <w:sz w:val="21"/>
                <w:szCs w:val="24"/>
              </w:rPr>
            </w:pPr>
            <w:r>
              <w:rPr>
                <w:rFonts w:hint="eastAsia" w:cs="宋体"/>
                <w:color w:val="auto"/>
                <w:kern w:val="0"/>
                <w:sz w:val="21"/>
                <w:szCs w:val="24"/>
              </w:rPr>
              <w:t>1</w:t>
            </w:r>
          </w:p>
        </w:tc>
        <w:tc>
          <w:tcPr>
            <w:tcW w:w="2099" w:type="dxa"/>
            <w:tcBorders>
              <w:left w:val="single" w:color="auto" w:sz="4" w:space="0"/>
            </w:tcBorders>
            <w:vAlign w:val="center"/>
          </w:tcPr>
          <w:p w14:paraId="70D1CE14">
            <w:pPr>
              <w:spacing w:line="240" w:lineRule="auto"/>
              <w:ind w:firstLine="0" w:firstLineChars="0"/>
              <w:jc w:val="center"/>
              <w:rPr>
                <w:rFonts w:cs="宋体"/>
                <w:color w:val="auto"/>
                <w:kern w:val="0"/>
                <w:sz w:val="21"/>
                <w:szCs w:val="24"/>
              </w:rPr>
            </w:pPr>
            <w:r>
              <w:rPr>
                <w:rFonts w:hint="eastAsia"/>
                <w:color w:val="auto"/>
                <w:sz w:val="21"/>
                <w:szCs w:val="21"/>
                <w:highlight w:val="black"/>
              </w:rPr>
              <w:t>/</w:t>
            </w:r>
          </w:p>
        </w:tc>
        <w:tc>
          <w:tcPr>
            <w:tcW w:w="1312" w:type="dxa"/>
            <w:vAlign w:val="center"/>
          </w:tcPr>
          <w:p w14:paraId="19CC0A24">
            <w:pPr>
              <w:spacing w:line="240" w:lineRule="auto"/>
              <w:ind w:firstLine="0" w:firstLineChars="0"/>
              <w:jc w:val="center"/>
              <w:rPr>
                <w:color w:val="auto"/>
                <w:sz w:val="21"/>
                <w:szCs w:val="21"/>
              </w:rPr>
            </w:pPr>
            <w:r>
              <w:rPr>
                <w:rFonts w:hint="eastAsia"/>
                <w:color w:val="auto"/>
                <w:sz w:val="21"/>
                <w:szCs w:val="21"/>
                <w:highlight w:val="black"/>
              </w:rPr>
              <w:t>/</w:t>
            </w:r>
          </w:p>
        </w:tc>
        <w:tc>
          <w:tcPr>
            <w:tcW w:w="1648" w:type="dxa"/>
            <w:vAlign w:val="center"/>
          </w:tcPr>
          <w:p w14:paraId="64C207F5">
            <w:pPr>
              <w:spacing w:line="240" w:lineRule="auto"/>
              <w:ind w:firstLine="0" w:firstLineChars="0"/>
              <w:jc w:val="center"/>
              <w:rPr>
                <w:rFonts w:hint="default" w:eastAsia="宋体" w:cs="宋体"/>
                <w:color w:val="auto"/>
                <w:kern w:val="0"/>
                <w:sz w:val="21"/>
                <w:szCs w:val="24"/>
                <w:lang w:val="en-US" w:eastAsia="zh-CN"/>
              </w:rPr>
            </w:pPr>
            <w:r>
              <w:rPr>
                <w:rFonts w:hint="eastAsia"/>
                <w:color w:val="auto"/>
                <w:sz w:val="21"/>
                <w:szCs w:val="21"/>
                <w:highlight w:val="black"/>
              </w:rPr>
              <w:t>/</w:t>
            </w:r>
          </w:p>
        </w:tc>
        <w:tc>
          <w:tcPr>
            <w:tcW w:w="1649" w:type="dxa"/>
            <w:vAlign w:val="center"/>
          </w:tcPr>
          <w:p w14:paraId="50DD73B8">
            <w:pPr>
              <w:spacing w:line="240" w:lineRule="auto"/>
              <w:ind w:firstLine="0" w:firstLineChars="0"/>
              <w:jc w:val="center"/>
              <w:rPr>
                <w:rFonts w:cs="宋体"/>
                <w:color w:val="auto"/>
                <w:kern w:val="0"/>
                <w:sz w:val="21"/>
                <w:szCs w:val="24"/>
              </w:rPr>
            </w:pPr>
            <w:r>
              <w:rPr>
                <w:rFonts w:hint="eastAsia"/>
                <w:color w:val="auto"/>
                <w:sz w:val="21"/>
                <w:szCs w:val="21"/>
                <w:highlight w:val="black"/>
              </w:rPr>
              <w:t>/</w:t>
            </w:r>
          </w:p>
        </w:tc>
        <w:tc>
          <w:tcPr>
            <w:tcW w:w="1649" w:type="dxa"/>
            <w:shd w:val="clear" w:color="auto" w:fill="auto"/>
            <w:vAlign w:val="center"/>
          </w:tcPr>
          <w:p w14:paraId="6D762C71">
            <w:pPr>
              <w:spacing w:line="240" w:lineRule="auto"/>
              <w:ind w:firstLine="0" w:firstLineChars="0"/>
              <w:jc w:val="center"/>
              <w:rPr>
                <w:rFonts w:hint="eastAsia" w:ascii="Times New Roman" w:hAnsi="Times New Roman" w:eastAsia="宋体" w:cs="宋体"/>
                <w:color w:val="auto"/>
                <w:kern w:val="0"/>
                <w:sz w:val="21"/>
                <w:szCs w:val="24"/>
                <w:lang w:val="en-US" w:eastAsia="zh-CN" w:bidi="ar-SA"/>
              </w:rPr>
            </w:pPr>
            <w:r>
              <w:rPr>
                <w:rFonts w:hint="default" w:cs="宋体"/>
                <w:color w:val="auto"/>
                <w:kern w:val="0"/>
                <w:sz w:val="21"/>
                <w:szCs w:val="24"/>
                <w:lang w:val="en-US" w:eastAsia="zh-CN"/>
              </w:rPr>
              <w:t>1</w:t>
            </w:r>
          </w:p>
        </w:tc>
      </w:tr>
      <w:tr w14:paraId="2CD9E7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03" w:type="dxa"/>
            <w:tcBorders>
              <w:right w:val="single" w:color="auto" w:sz="4" w:space="0"/>
            </w:tcBorders>
            <w:vAlign w:val="center"/>
          </w:tcPr>
          <w:p w14:paraId="1DAE3C9B">
            <w:pPr>
              <w:spacing w:line="240" w:lineRule="auto"/>
              <w:ind w:firstLine="0" w:firstLineChars="0"/>
              <w:jc w:val="center"/>
              <w:rPr>
                <w:rFonts w:cs="宋体"/>
                <w:color w:val="auto"/>
                <w:kern w:val="0"/>
                <w:sz w:val="21"/>
                <w:szCs w:val="24"/>
              </w:rPr>
            </w:pPr>
            <w:r>
              <w:rPr>
                <w:rFonts w:hint="eastAsia" w:cs="宋体"/>
                <w:color w:val="auto"/>
                <w:kern w:val="0"/>
                <w:sz w:val="21"/>
                <w:szCs w:val="24"/>
              </w:rPr>
              <w:t>2</w:t>
            </w:r>
          </w:p>
        </w:tc>
        <w:tc>
          <w:tcPr>
            <w:tcW w:w="2099" w:type="dxa"/>
            <w:tcBorders>
              <w:left w:val="single" w:color="auto" w:sz="4" w:space="0"/>
            </w:tcBorders>
            <w:vAlign w:val="center"/>
          </w:tcPr>
          <w:p w14:paraId="4A1F8B59">
            <w:pPr>
              <w:spacing w:line="240" w:lineRule="auto"/>
              <w:ind w:firstLine="0" w:firstLineChars="0"/>
              <w:jc w:val="center"/>
              <w:rPr>
                <w:rFonts w:cs="宋体"/>
                <w:color w:val="auto"/>
                <w:kern w:val="0"/>
                <w:sz w:val="21"/>
                <w:szCs w:val="24"/>
              </w:rPr>
            </w:pPr>
            <w:r>
              <w:rPr>
                <w:rFonts w:hint="eastAsia"/>
                <w:color w:val="auto"/>
                <w:sz w:val="21"/>
                <w:szCs w:val="21"/>
                <w:highlight w:val="black"/>
              </w:rPr>
              <w:t>/</w:t>
            </w:r>
          </w:p>
        </w:tc>
        <w:tc>
          <w:tcPr>
            <w:tcW w:w="1312" w:type="dxa"/>
            <w:vAlign w:val="center"/>
          </w:tcPr>
          <w:p w14:paraId="0A19E6D0">
            <w:pPr>
              <w:spacing w:line="240" w:lineRule="auto"/>
              <w:ind w:firstLine="0" w:firstLineChars="0"/>
              <w:jc w:val="center"/>
              <w:rPr>
                <w:color w:val="auto"/>
                <w:sz w:val="21"/>
                <w:szCs w:val="21"/>
              </w:rPr>
            </w:pPr>
            <w:r>
              <w:rPr>
                <w:rFonts w:hint="eastAsia"/>
                <w:color w:val="auto"/>
                <w:sz w:val="21"/>
                <w:szCs w:val="21"/>
                <w:highlight w:val="black"/>
              </w:rPr>
              <w:t>/</w:t>
            </w:r>
          </w:p>
        </w:tc>
        <w:tc>
          <w:tcPr>
            <w:tcW w:w="1648" w:type="dxa"/>
            <w:vAlign w:val="center"/>
          </w:tcPr>
          <w:p w14:paraId="63AF2209">
            <w:pPr>
              <w:spacing w:line="240" w:lineRule="auto"/>
              <w:ind w:firstLine="0" w:firstLineChars="0"/>
              <w:jc w:val="center"/>
              <w:rPr>
                <w:rFonts w:hint="default" w:eastAsia="宋体" w:cs="宋体"/>
                <w:color w:val="auto"/>
                <w:kern w:val="0"/>
                <w:sz w:val="21"/>
                <w:szCs w:val="24"/>
                <w:lang w:val="en-US" w:eastAsia="zh-CN"/>
              </w:rPr>
            </w:pPr>
            <w:r>
              <w:rPr>
                <w:rFonts w:hint="eastAsia"/>
                <w:color w:val="auto"/>
                <w:sz w:val="21"/>
                <w:szCs w:val="21"/>
                <w:highlight w:val="black"/>
              </w:rPr>
              <w:t>/</w:t>
            </w:r>
          </w:p>
        </w:tc>
        <w:tc>
          <w:tcPr>
            <w:tcW w:w="1649" w:type="dxa"/>
            <w:vAlign w:val="center"/>
          </w:tcPr>
          <w:p w14:paraId="38DE479A">
            <w:pPr>
              <w:spacing w:line="240" w:lineRule="auto"/>
              <w:ind w:firstLine="0" w:firstLineChars="0"/>
              <w:jc w:val="center"/>
              <w:rPr>
                <w:rFonts w:cs="宋体"/>
                <w:color w:val="auto"/>
                <w:kern w:val="0"/>
                <w:sz w:val="21"/>
                <w:szCs w:val="24"/>
              </w:rPr>
            </w:pPr>
            <w:r>
              <w:rPr>
                <w:rFonts w:hint="eastAsia"/>
                <w:color w:val="auto"/>
                <w:sz w:val="21"/>
                <w:szCs w:val="21"/>
                <w:highlight w:val="black"/>
              </w:rPr>
              <w:t>/</w:t>
            </w:r>
          </w:p>
        </w:tc>
        <w:tc>
          <w:tcPr>
            <w:tcW w:w="1649" w:type="dxa"/>
            <w:shd w:val="clear" w:color="auto" w:fill="auto"/>
            <w:vAlign w:val="center"/>
          </w:tcPr>
          <w:p w14:paraId="5896B173">
            <w:pPr>
              <w:spacing w:line="240" w:lineRule="auto"/>
              <w:ind w:firstLine="0" w:firstLineChars="0"/>
              <w:jc w:val="center"/>
              <w:rPr>
                <w:rFonts w:hint="eastAsia" w:ascii="Times New Roman" w:hAnsi="Times New Roman" w:eastAsia="宋体" w:cs="宋体"/>
                <w:color w:val="auto"/>
                <w:kern w:val="0"/>
                <w:sz w:val="21"/>
                <w:szCs w:val="24"/>
                <w:lang w:val="en-US" w:eastAsia="zh-CN" w:bidi="ar-SA"/>
              </w:rPr>
            </w:pPr>
            <w:r>
              <w:rPr>
                <w:rFonts w:hint="default" w:cs="宋体"/>
                <w:color w:val="auto"/>
                <w:kern w:val="0"/>
                <w:sz w:val="21"/>
                <w:szCs w:val="24"/>
                <w:lang w:val="en-US" w:eastAsia="zh-CN"/>
              </w:rPr>
              <w:t>0.2</w:t>
            </w:r>
          </w:p>
        </w:tc>
      </w:tr>
      <w:tr w14:paraId="113A33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03" w:type="dxa"/>
            <w:tcBorders>
              <w:right w:val="single" w:color="auto" w:sz="4" w:space="0"/>
            </w:tcBorders>
            <w:vAlign w:val="center"/>
          </w:tcPr>
          <w:p w14:paraId="34BA64BF">
            <w:pPr>
              <w:spacing w:line="240" w:lineRule="auto"/>
              <w:ind w:firstLine="0" w:firstLineChars="0"/>
              <w:jc w:val="center"/>
              <w:rPr>
                <w:rFonts w:cs="宋体"/>
                <w:color w:val="auto"/>
                <w:kern w:val="0"/>
                <w:sz w:val="21"/>
                <w:szCs w:val="24"/>
              </w:rPr>
            </w:pPr>
            <w:r>
              <w:rPr>
                <w:rFonts w:hint="eastAsia" w:cs="宋体"/>
                <w:color w:val="auto"/>
                <w:kern w:val="0"/>
                <w:sz w:val="21"/>
                <w:szCs w:val="24"/>
              </w:rPr>
              <w:t>3</w:t>
            </w:r>
          </w:p>
        </w:tc>
        <w:tc>
          <w:tcPr>
            <w:tcW w:w="2099" w:type="dxa"/>
            <w:tcBorders>
              <w:left w:val="single" w:color="auto" w:sz="4" w:space="0"/>
            </w:tcBorders>
            <w:vAlign w:val="center"/>
          </w:tcPr>
          <w:p w14:paraId="1A5370F3">
            <w:pPr>
              <w:spacing w:line="240" w:lineRule="auto"/>
              <w:ind w:firstLine="0" w:firstLineChars="0"/>
              <w:jc w:val="center"/>
              <w:rPr>
                <w:rFonts w:cs="宋体"/>
                <w:color w:val="auto"/>
                <w:kern w:val="0"/>
                <w:sz w:val="21"/>
                <w:szCs w:val="24"/>
              </w:rPr>
            </w:pPr>
            <w:r>
              <w:rPr>
                <w:rFonts w:hint="eastAsia"/>
                <w:color w:val="auto"/>
                <w:sz w:val="21"/>
                <w:szCs w:val="21"/>
                <w:highlight w:val="black"/>
              </w:rPr>
              <w:t>/</w:t>
            </w:r>
          </w:p>
        </w:tc>
        <w:tc>
          <w:tcPr>
            <w:tcW w:w="1312" w:type="dxa"/>
            <w:vAlign w:val="center"/>
          </w:tcPr>
          <w:p w14:paraId="49AB4A45">
            <w:pPr>
              <w:spacing w:line="240" w:lineRule="auto"/>
              <w:ind w:firstLine="0" w:firstLineChars="0"/>
              <w:jc w:val="center"/>
              <w:rPr>
                <w:color w:val="auto"/>
                <w:sz w:val="21"/>
                <w:szCs w:val="21"/>
              </w:rPr>
            </w:pPr>
            <w:r>
              <w:rPr>
                <w:rFonts w:hint="eastAsia"/>
                <w:color w:val="auto"/>
                <w:sz w:val="21"/>
                <w:szCs w:val="21"/>
                <w:highlight w:val="black"/>
              </w:rPr>
              <w:t>/</w:t>
            </w:r>
          </w:p>
        </w:tc>
        <w:tc>
          <w:tcPr>
            <w:tcW w:w="1648" w:type="dxa"/>
            <w:vAlign w:val="center"/>
          </w:tcPr>
          <w:p w14:paraId="6A48BB94">
            <w:pPr>
              <w:spacing w:line="240" w:lineRule="auto"/>
              <w:ind w:firstLine="0" w:firstLineChars="0"/>
              <w:jc w:val="center"/>
              <w:rPr>
                <w:rFonts w:cs="宋体"/>
                <w:color w:val="auto"/>
                <w:kern w:val="0"/>
                <w:sz w:val="21"/>
                <w:szCs w:val="24"/>
              </w:rPr>
            </w:pPr>
            <w:r>
              <w:rPr>
                <w:rFonts w:hint="eastAsia"/>
                <w:color w:val="auto"/>
                <w:sz w:val="21"/>
                <w:szCs w:val="21"/>
                <w:highlight w:val="black"/>
              </w:rPr>
              <w:t>/</w:t>
            </w:r>
          </w:p>
        </w:tc>
        <w:tc>
          <w:tcPr>
            <w:tcW w:w="1649" w:type="dxa"/>
            <w:vAlign w:val="center"/>
          </w:tcPr>
          <w:p w14:paraId="250CA941">
            <w:pPr>
              <w:spacing w:line="240" w:lineRule="auto"/>
              <w:ind w:firstLine="0" w:firstLineChars="0"/>
              <w:jc w:val="center"/>
              <w:rPr>
                <w:rFonts w:cs="宋体"/>
                <w:color w:val="auto"/>
                <w:kern w:val="0"/>
                <w:sz w:val="21"/>
                <w:szCs w:val="24"/>
              </w:rPr>
            </w:pPr>
            <w:r>
              <w:rPr>
                <w:rFonts w:hint="eastAsia"/>
                <w:color w:val="auto"/>
                <w:sz w:val="21"/>
                <w:szCs w:val="21"/>
                <w:highlight w:val="black"/>
              </w:rPr>
              <w:t>/</w:t>
            </w:r>
          </w:p>
        </w:tc>
        <w:tc>
          <w:tcPr>
            <w:tcW w:w="1649" w:type="dxa"/>
            <w:shd w:val="clear" w:color="auto" w:fill="auto"/>
            <w:vAlign w:val="center"/>
          </w:tcPr>
          <w:p w14:paraId="31EB056F">
            <w:pPr>
              <w:spacing w:line="240" w:lineRule="auto"/>
              <w:ind w:firstLine="0" w:firstLineChars="0"/>
              <w:jc w:val="center"/>
              <w:rPr>
                <w:rFonts w:hint="eastAsia" w:ascii="Times New Roman" w:hAnsi="Times New Roman" w:eastAsia="宋体" w:cs="宋体"/>
                <w:color w:val="auto"/>
                <w:kern w:val="0"/>
                <w:sz w:val="21"/>
                <w:szCs w:val="24"/>
                <w:lang w:val="en-US" w:eastAsia="zh-CN" w:bidi="ar-SA"/>
              </w:rPr>
            </w:pPr>
            <w:r>
              <w:rPr>
                <w:rFonts w:hint="default" w:cs="宋体"/>
                <w:color w:val="auto"/>
                <w:kern w:val="0"/>
                <w:sz w:val="21"/>
                <w:szCs w:val="24"/>
                <w:lang w:val="en-US" w:eastAsia="zh-CN"/>
              </w:rPr>
              <w:t xml:space="preserve">0.667 </w:t>
            </w:r>
          </w:p>
        </w:tc>
      </w:tr>
      <w:tr w14:paraId="3884DE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03" w:type="dxa"/>
            <w:tcBorders>
              <w:bottom w:val="single" w:color="auto" w:sz="4" w:space="0"/>
              <w:right w:val="single" w:color="auto" w:sz="4" w:space="0"/>
            </w:tcBorders>
            <w:vAlign w:val="center"/>
          </w:tcPr>
          <w:p w14:paraId="1731E7CC">
            <w:pPr>
              <w:spacing w:line="240" w:lineRule="auto"/>
              <w:ind w:firstLine="0" w:firstLineChars="0"/>
              <w:jc w:val="center"/>
              <w:rPr>
                <w:rFonts w:cs="宋体"/>
                <w:color w:val="auto"/>
                <w:kern w:val="0"/>
                <w:sz w:val="21"/>
                <w:szCs w:val="24"/>
              </w:rPr>
            </w:pPr>
            <w:r>
              <w:rPr>
                <w:rFonts w:hint="eastAsia" w:cs="宋体"/>
                <w:color w:val="auto"/>
                <w:kern w:val="0"/>
                <w:sz w:val="21"/>
                <w:szCs w:val="24"/>
              </w:rPr>
              <w:t>4</w:t>
            </w:r>
          </w:p>
        </w:tc>
        <w:tc>
          <w:tcPr>
            <w:tcW w:w="2099" w:type="dxa"/>
            <w:tcBorders>
              <w:left w:val="single" w:color="auto" w:sz="4" w:space="0"/>
              <w:bottom w:val="single" w:color="auto" w:sz="4" w:space="0"/>
            </w:tcBorders>
            <w:vAlign w:val="center"/>
          </w:tcPr>
          <w:p w14:paraId="51C3B6CE">
            <w:pPr>
              <w:spacing w:line="240" w:lineRule="auto"/>
              <w:ind w:firstLine="0" w:firstLineChars="0"/>
              <w:jc w:val="center"/>
              <w:rPr>
                <w:rFonts w:cs="宋体"/>
                <w:color w:val="auto"/>
                <w:kern w:val="0"/>
                <w:sz w:val="21"/>
                <w:szCs w:val="24"/>
                <w:lang w:val="zh-CN"/>
              </w:rPr>
            </w:pPr>
            <w:r>
              <w:rPr>
                <w:rFonts w:hint="eastAsia"/>
                <w:color w:val="auto"/>
                <w:sz w:val="21"/>
                <w:szCs w:val="21"/>
                <w:highlight w:val="black"/>
              </w:rPr>
              <w:t>/</w:t>
            </w:r>
          </w:p>
        </w:tc>
        <w:tc>
          <w:tcPr>
            <w:tcW w:w="1312" w:type="dxa"/>
            <w:tcBorders>
              <w:bottom w:val="single" w:color="auto" w:sz="4" w:space="0"/>
            </w:tcBorders>
            <w:vAlign w:val="center"/>
          </w:tcPr>
          <w:p w14:paraId="3EFE3BA3">
            <w:pPr>
              <w:spacing w:line="240" w:lineRule="auto"/>
              <w:ind w:firstLine="0" w:firstLineChars="0"/>
              <w:jc w:val="center"/>
              <w:rPr>
                <w:color w:val="auto"/>
                <w:sz w:val="21"/>
                <w:szCs w:val="21"/>
              </w:rPr>
            </w:pPr>
            <w:r>
              <w:rPr>
                <w:rFonts w:hint="eastAsia"/>
                <w:color w:val="auto"/>
                <w:sz w:val="21"/>
                <w:szCs w:val="21"/>
                <w:highlight w:val="black"/>
              </w:rPr>
              <w:t>/</w:t>
            </w:r>
          </w:p>
        </w:tc>
        <w:tc>
          <w:tcPr>
            <w:tcW w:w="1648" w:type="dxa"/>
            <w:tcBorders>
              <w:bottom w:val="single" w:color="auto" w:sz="4" w:space="0"/>
            </w:tcBorders>
            <w:vAlign w:val="center"/>
          </w:tcPr>
          <w:p w14:paraId="4D984466">
            <w:pPr>
              <w:spacing w:line="240" w:lineRule="auto"/>
              <w:ind w:firstLine="0" w:firstLineChars="0"/>
              <w:jc w:val="center"/>
              <w:rPr>
                <w:rFonts w:hint="default" w:eastAsia="宋体" w:cs="宋体"/>
                <w:color w:val="auto"/>
                <w:kern w:val="0"/>
                <w:sz w:val="21"/>
                <w:szCs w:val="24"/>
                <w:lang w:val="en-US" w:eastAsia="zh-CN"/>
              </w:rPr>
            </w:pPr>
            <w:r>
              <w:rPr>
                <w:rFonts w:hint="eastAsia"/>
                <w:color w:val="auto"/>
                <w:sz w:val="21"/>
                <w:szCs w:val="21"/>
                <w:highlight w:val="black"/>
              </w:rPr>
              <w:t>/</w:t>
            </w:r>
          </w:p>
        </w:tc>
        <w:tc>
          <w:tcPr>
            <w:tcW w:w="1649" w:type="dxa"/>
            <w:tcBorders>
              <w:bottom w:val="single" w:color="auto" w:sz="4" w:space="0"/>
            </w:tcBorders>
            <w:vAlign w:val="center"/>
          </w:tcPr>
          <w:p w14:paraId="6C19C9D4">
            <w:pPr>
              <w:spacing w:line="240" w:lineRule="auto"/>
              <w:ind w:firstLine="0" w:firstLineChars="0"/>
              <w:jc w:val="center"/>
              <w:rPr>
                <w:rFonts w:cs="宋体"/>
                <w:color w:val="auto"/>
                <w:kern w:val="0"/>
                <w:sz w:val="21"/>
                <w:szCs w:val="24"/>
              </w:rPr>
            </w:pPr>
            <w:r>
              <w:rPr>
                <w:rFonts w:hint="eastAsia"/>
                <w:color w:val="auto"/>
                <w:sz w:val="21"/>
                <w:szCs w:val="21"/>
                <w:highlight w:val="black"/>
              </w:rPr>
              <w:t>/</w:t>
            </w:r>
          </w:p>
        </w:tc>
        <w:tc>
          <w:tcPr>
            <w:tcW w:w="1649" w:type="dxa"/>
            <w:tcBorders>
              <w:bottom w:val="single" w:color="auto" w:sz="4" w:space="0"/>
            </w:tcBorders>
            <w:shd w:val="clear" w:color="auto" w:fill="auto"/>
            <w:vAlign w:val="center"/>
          </w:tcPr>
          <w:p w14:paraId="1120646F">
            <w:pPr>
              <w:spacing w:line="240" w:lineRule="auto"/>
              <w:ind w:firstLine="0" w:firstLineChars="0"/>
              <w:jc w:val="center"/>
              <w:rPr>
                <w:rFonts w:hint="eastAsia" w:ascii="Times New Roman" w:hAnsi="Times New Roman" w:eastAsia="宋体" w:cs="宋体"/>
                <w:color w:val="auto"/>
                <w:kern w:val="0"/>
                <w:sz w:val="21"/>
                <w:szCs w:val="24"/>
                <w:lang w:val="en-US" w:eastAsia="zh-CN" w:bidi="ar-SA"/>
              </w:rPr>
            </w:pPr>
            <w:r>
              <w:rPr>
                <w:rFonts w:hint="default" w:cs="宋体"/>
                <w:color w:val="auto"/>
                <w:kern w:val="0"/>
                <w:sz w:val="21"/>
                <w:szCs w:val="24"/>
                <w:lang w:val="en-US" w:eastAsia="zh-CN"/>
              </w:rPr>
              <w:t>0.1</w:t>
            </w:r>
          </w:p>
        </w:tc>
      </w:tr>
      <w:tr w14:paraId="26EB06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03" w:type="dxa"/>
            <w:tcBorders>
              <w:bottom w:val="single" w:color="auto" w:sz="4" w:space="0"/>
              <w:right w:val="single" w:color="auto" w:sz="4" w:space="0"/>
            </w:tcBorders>
            <w:vAlign w:val="center"/>
          </w:tcPr>
          <w:p w14:paraId="0A66CEAA">
            <w:pPr>
              <w:spacing w:line="240" w:lineRule="auto"/>
              <w:ind w:firstLine="0" w:firstLineChars="0"/>
              <w:jc w:val="center"/>
              <w:rPr>
                <w:rFonts w:cs="宋体"/>
                <w:color w:val="auto"/>
                <w:kern w:val="0"/>
                <w:sz w:val="21"/>
                <w:szCs w:val="24"/>
              </w:rPr>
            </w:pPr>
            <w:r>
              <w:rPr>
                <w:rFonts w:hint="eastAsia" w:cs="宋体"/>
                <w:color w:val="auto"/>
                <w:kern w:val="0"/>
                <w:sz w:val="21"/>
                <w:szCs w:val="24"/>
              </w:rPr>
              <w:t>5</w:t>
            </w:r>
          </w:p>
        </w:tc>
        <w:tc>
          <w:tcPr>
            <w:tcW w:w="2099" w:type="dxa"/>
            <w:tcBorders>
              <w:left w:val="single" w:color="auto" w:sz="4" w:space="0"/>
              <w:bottom w:val="single" w:color="auto" w:sz="4" w:space="0"/>
            </w:tcBorders>
            <w:vAlign w:val="center"/>
          </w:tcPr>
          <w:p w14:paraId="536E2FD2">
            <w:pPr>
              <w:spacing w:line="240" w:lineRule="auto"/>
              <w:ind w:firstLine="0" w:firstLineChars="0"/>
              <w:jc w:val="center"/>
              <w:rPr>
                <w:color w:val="auto"/>
                <w:sz w:val="21"/>
                <w:szCs w:val="21"/>
              </w:rPr>
            </w:pPr>
            <w:r>
              <w:rPr>
                <w:rFonts w:hint="eastAsia"/>
                <w:color w:val="auto"/>
                <w:sz w:val="21"/>
                <w:szCs w:val="21"/>
                <w:highlight w:val="black"/>
              </w:rPr>
              <w:t>/</w:t>
            </w:r>
          </w:p>
        </w:tc>
        <w:tc>
          <w:tcPr>
            <w:tcW w:w="1312" w:type="dxa"/>
            <w:tcBorders>
              <w:bottom w:val="single" w:color="auto" w:sz="4" w:space="0"/>
            </w:tcBorders>
            <w:vAlign w:val="center"/>
          </w:tcPr>
          <w:p w14:paraId="1E9144A2">
            <w:pPr>
              <w:spacing w:line="240" w:lineRule="auto"/>
              <w:ind w:firstLine="0" w:firstLineChars="0"/>
              <w:jc w:val="center"/>
              <w:rPr>
                <w:color w:val="auto"/>
                <w:sz w:val="21"/>
                <w:szCs w:val="21"/>
              </w:rPr>
            </w:pPr>
            <w:r>
              <w:rPr>
                <w:rFonts w:hint="eastAsia"/>
                <w:color w:val="auto"/>
                <w:sz w:val="21"/>
                <w:szCs w:val="21"/>
                <w:highlight w:val="black"/>
              </w:rPr>
              <w:t>/</w:t>
            </w:r>
          </w:p>
        </w:tc>
        <w:tc>
          <w:tcPr>
            <w:tcW w:w="1648" w:type="dxa"/>
            <w:tcBorders>
              <w:bottom w:val="single" w:color="auto" w:sz="4" w:space="0"/>
            </w:tcBorders>
            <w:vAlign w:val="center"/>
          </w:tcPr>
          <w:p w14:paraId="4C6C4F8A">
            <w:pPr>
              <w:spacing w:line="240" w:lineRule="auto"/>
              <w:ind w:firstLine="0" w:firstLineChars="0"/>
              <w:jc w:val="center"/>
              <w:rPr>
                <w:rFonts w:cs="宋体"/>
                <w:color w:val="auto"/>
                <w:kern w:val="0"/>
                <w:sz w:val="21"/>
                <w:szCs w:val="24"/>
              </w:rPr>
            </w:pPr>
            <w:r>
              <w:rPr>
                <w:rFonts w:hint="eastAsia"/>
                <w:color w:val="auto"/>
                <w:sz w:val="21"/>
                <w:szCs w:val="21"/>
                <w:highlight w:val="black"/>
              </w:rPr>
              <w:t>/</w:t>
            </w:r>
          </w:p>
        </w:tc>
        <w:tc>
          <w:tcPr>
            <w:tcW w:w="1649" w:type="dxa"/>
            <w:tcBorders>
              <w:bottom w:val="single" w:color="auto" w:sz="4" w:space="0"/>
            </w:tcBorders>
            <w:vAlign w:val="center"/>
          </w:tcPr>
          <w:p w14:paraId="223BC1A5">
            <w:pPr>
              <w:spacing w:line="240" w:lineRule="auto"/>
              <w:ind w:firstLine="0" w:firstLineChars="0"/>
              <w:jc w:val="center"/>
              <w:rPr>
                <w:rFonts w:cs="宋体"/>
                <w:color w:val="auto"/>
                <w:kern w:val="0"/>
                <w:sz w:val="21"/>
                <w:szCs w:val="24"/>
              </w:rPr>
            </w:pPr>
            <w:r>
              <w:rPr>
                <w:rFonts w:hint="eastAsia"/>
                <w:color w:val="auto"/>
                <w:sz w:val="21"/>
                <w:szCs w:val="21"/>
                <w:highlight w:val="black"/>
              </w:rPr>
              <w:t>/</w:t>
            </w:r>
          </w:p>
        </w:tc>
        <w:tc>
          <w:tcPr>
            <w:tcW w:w="1649" w:type="dxa"/>
            <w:tcBorders>
              <w:bottom w:val="single" w:color="auto" w:sz="4" w:space="0"/>
            </w:tcBorders>
            <w:shd w:val="clear" w:color="auto" w:fill="auto"/>
            <w:vAlign w:val="center"/>
          </w:tcPr>
          <w:p w14:paraId="76E7610A">
            <w:pPr>
              <w:spacing w:line="240" w:lineRule="auto"/>
              <w:ind w:firstLine="0" w:firstLineChars="0"/>
              <w:jc w:val="center"/>
              <w:rPr>
                <w:rFonts w:hint="eastAsia" w:ascii="Times New Roman" w:hAnsi="Times New Roman" w:eastAsia="宋体" w:cs="宋体"/>
                <w:color w:val="auto"/>
                <w:kern w:val="0"/>
                <w:sz w:val="21"/>
                <w:szCs w:val="24"/>
                <w:lang w:val="en-US" w:eastAsia="zh-CN" w:bidi="ar-SA"/>
              </w:rPr>
            </w:pPr>
            <w:r>
              <w:rPr>
                <w:rFonts w:hint="default" w:cs="宋体"/>
                <w:color w:val="auto"/>
                <w:kern w:val="0"/>
                <w:sz w:val="21"/>
                <w:szCs w:val="24"/>
                <w:lang w:val="en-US" w:eastAsia="zh-CN"/>
              </w:rPr>
              <w:t>0.2</w:t>
            </w:r>
          </w:p>
        </w:tc>
      </w:tr>
      <w:tr w14:paraId="2540D5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03" w:type="dxa"/>
            <w:tcBorders>
              <w:bottom w:val="single" w:color="auto" w:sz="4" w:space="0"/>
              <w:right w:val="single" w:color="auto" w:sz="4" w:space="0"/>
            </w:tcBorders>
            <w:vAlign w:val="center"/>
          </w:tcPr>
          <w:p w14:paraId="6C915A94">
            <w:pPr>
              <w:spacing w:line="240" w:lineRule="auto"/>
              <w:ind w:firstLine="0" w:firstLineChars="0"/>
              <w:jc w:val="center"/>
              <w:rPr>
                <w:rFonts w:cs="宋体"/>
                <w:color w:val="auto"/>
                <w:kern w:val="0"/>
                <w:sz w:val="21"/>
                <w:szCs w:val="24"/>
              </w:rPr>
            </w:pPr>
            <w:r>
              <w:rPr>
                <w:rFonts w:hint="eastAsia" w:cs="宋体"/>
                <w:color w:val="auto"/>
                <w:kern w:val="0"/>
                <w:sz w:val="21"/>
                <w:szCs w:val="24"/>
              </w:rPr>
              <w:t>6</w:t>
            </w:r>
          </w:p>
        </w:tc>
        <w:tc>
          <w:tcPr>
            <w:tcW w:w="2099" w:type="dxa"/>
            <w:tcBorders>
              <w:left w:val="single" w:color="auto" w:sz="4" w:space="0"/>
              <w:bottom w:val="single" w:color="auto" w:sz="4" w:space="0"/>
            </w:tcBorders>
            <w:vAlign w:val="center"/>
          </w:tcPr>
          <w:p w14:paraId="521D6518">
            <w:pPr>
              <w:spacing w:line="240" w:lineRule="auto"/>
              <w:ind w:firstLine="0" w:firstLineChars="0"/>
              <w:jc w:val="center"/>
              <w:rPr>
                <w:color w:val="auto"/>
                <w:sz w:val="21"/>
                <w:szCs w:val="21"/>
              </w:rPr>
            </w:pPr>
            <w:r>
              <w:rPr>
                <w:rFonts w:hint="eastAsia"/>
                <w:color w:val="auto"/>
                <w:sz w:val="21"/>
                <w:szCs w:val="21"/>
                <w:highlight w:val="black"/>
              </w:rPr>
              <w:t>/</w:t>
            </w:r>
          </w:p>
        </w:tc>
        <w:tc>
          <w:tcPr>
            <w:tcW w:w="1312" w:type="dxa"/>
            <w:tcBorders>
              <w:bottom w:val="single" w:color="auto" w:sz="4" w:space="0"/>
            </w:tcBorders>
            <w:vAlign w:val="center"/>
          </w:tcPr>
          <w:p w14:paraId="487DB5A3">
            <w:pPr>
              <w:spacing w:line="240" w:lineRule="auto"/>
              <w:ind w:firstLine="0" w:firstLineChars="0"/>
              <w:jc w:val="center"/>
              <w:rPr>
                <w:color w:val="auto"/>
                <w:sz w:val="21"/>
                <w:szCs w:val="21"/>
              </w:rPr>
            </w:pPr>
            <w:r>
              <w:rPr>
                <w:rFonts w:hint="eastAsia"/>
                <w:color w:val="auto"/>
                <w:sz w:val="21"/>
                <w:szCs w:val="21"/>
                <w:highlight w:val="black"/>
              </w:rPr>
              <w:t>/</w:t>
            </w:r>
          </w:p>
        </w:tc>
        <w:tc>
          <w:tcPr>
            <w:tcW w:w="1648" w:type="dxa"/>
            <w:tcBorders>
              <w:bottom w:val="single" w:color="auto" w:sz="4" w:space="0"/>
            </w:tcBorders>
            <w:vAlign w:val="center"/>
          </w:tcPr>
          <w:p w14:paraId="1A54F468">
            <w:pPr>
              <w:spacing w:line="240" w:lineRule="auto"/>
              <w:ind w:firstLine="0" w:firstLineChars="0"/>
              <w:jc w:val="center"/>
              <w:rPr>
                <w:rFonts w:cs="宋体"/>
                <w:color w:val="auto"/>
                <w:kern w:val="0"/>
                <w:sz w:val="21"/>
                <w:szCs w:val="24"/>
              </w:rPr>
            </w:pPr>
            <w:r>
              <w:rPr>
                <w:rFonts w:hint="eastAsia"/>
                <w:color w:val="auto"/>
                <w:sz w:val="21"/>
                <w:szCs w:val="21"/>
                <w:highlight w:val="black"/>
              </w:rPr>
              <w:t>/</w:t>
            </w:r>
          </w:p>
        </w:tc>
        <w:tc>
          <w:tcPr>
            <w:tcW w:w="1649" w:type="dxa"/>
            <w:tcBorders>
              <w:bottom w:val="single" w:color="auto" w:sz="4" w:space="0"/>
            </w:tcBorders>
            <w:vAlign w:val="center"/>
          </w:tcPr>
          <w:p w14:paraId="33B682E6">
            <w:pPr>
              <w:spacing w:line="240" w:lineRule="auto"/>
              <w:ind w:firstLine="0" w:firstLineChars="0"/>
              <w:jc w:val="center"/>
              <w:rPr>
                <w:rFonts w:cs="宋体"/>
                <w:color w:val="auto"/>
                <w:kern w:val="0"/>
                <w:sz w:val="21"/>
                <w:szCs w:val="24"/>
              </w:rPr>
            </w:pPr>
            <w:r>
              <w:rPr>
                <w:rFonts w:hint="eastAsia"/>
                <w:color w:val="auto"/>
                <w:sz w:val="21"/>
                <w:szCs w:val="21"/>
                <w:highlight w:val="black"/>
              </w:rPr>
              <w:t>/</w:t>
            </w:r>
          </w:p>
        </w:tc>
        <w:tc>
          <w:tcPr>
            <w:tcW w:w="1649" w:type="dxa"/>
            <w:tcBorders>
              <w:bottom w:val="single" w:color="auto" w:sz="4" w:space="0"/>
            </w:tcBorders>
            <w:shd w:val="clear" w:color="auto" w:fill="auto"/>
            <w:vAlign w:val="center"/>
          </w:tcPr>
          <w:p w14:paraId="76D32B98">
            <w:pPr>
              <w:spacing w:line="240" w:lineRule="auto"/>
              <w:ind w:firstLine="0" w:firstLineChars="0"/>
              <w:jc w:val="center"/>
              <w:rPr>
                <w:rFonts w:hint="eastAsia" w:ascii="Times New Roman" w:hAnsi="Times New Roman" w:eastAsia="宋体" w:cs="宋体"/>
                <w:color w:val="auto"/>
                <w:kern w:val="0"/>
                <w:sz w:val="21"/>
                <w:szCs w:val="24"/>
                <w:lang w:val="en-US" w:eastAsia="zh-CN" w:bidi="ar-SA"/>
              </w:rPr>
            </w:pPr>
            <w:r>
              <w:rPr>
                <w:rFonts w:hint="default" w:cs="宋体"/>
                <w:color w:val="auto"/>
                <w:kern w:val="0"/>
                <w:sz w:val="21"/>
                <w:szCs w:val="24"/>
                <w:lang w:val="en-US" w:eastAsia="zh-CN"/>
              </w:rPr>
              <w:t>0.1</w:t>
            </w:r>
          </w:p>
        </w:tc>
      </w:tr>
      <w:tr w14:paraId="50CB9D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03" w:type="dxa"/>
            <w:tcBorders>
              <w:top w:val="single" w:color="auto" w:sz="4" w:space="0"/>
              <w:left w:val="single" w:color="auto" w:sz="4" w:space="0"/>
              <w:bottom w:val="single" w:color="auto" w:sz="4" w:space="0"/>
              <w:right w:val="single" w:color="auto" w:sz="4" w:space="0"/>
            </w:tcBorders>
            <w:vAlign w:val="center"/>
          </w:tcPr>
          <w:p w14:paraId="16FF3B50">
            <w:pPr>
              <w:spacing w:line="240" w:lineRule="auto"/>
              <w:ind w:firstLine="0" w:firstLineChars="0"/>
              <w:jc w:val="center"/>
              <w:rPr>
                <w:rFonts w:cs="宋体"/>
                <w:color w:val="auto"/>
                <w:kern w:val="0"/>
                <w:sz w:val="21"/>
                <w:szCs w:val="24"/>
              </w:rPr>
            </w:pPr>
            <w:r>
              <w:rPr>
                <w:rFonts w:hint="eastAsia" w:cs="宋体"/>
                <w:color w:val="auto"/>
                <w:kern w:val="0"/>
                <w:sz w:val="21"/>
                <w:szCs w:val="24"/>
              </w:rPr>
              <w:t>7</w:t>
            </w:r>
          </w:p>
        </w:tc>
        <w:tc>
          <w:tcPr>
            <w:tcW w:w="2099" w:type="dxa"/>
            <w:tcBorders>
              <w:top w:val="single" w:color="auto" w:sz="4" w:space="0"/>
              <w:left w:val="single" w:color="auto" w:sz="4" w:space="0"/>
            </w:tcBorders>
            <w:shd w:val="clear" w:color="auto" w:fill="auto"/>
            <w:vAlign w:val="center"/>
          </w:tcPr>
          <w:p w14:paraId="12DBD95F">
            <w:pPr>
              <w:spacing w:line="240" w:lineRule="auto"/>
              <w:ind w:firstLine="0" w:firstLineChars="0"/>
              <w:jc w:val="center"/>
              <w:rPr>
                <w:color w:val="auto"/>
                <w:sz w:val="21"/>
                <w:szCs w:val="21"/>
              </w:rPr>
            </w:pPr>
            <w:r>
              <w:rPr>
                <w:rFonts w:hint="eastAsia"/>
                <w:color w:val="auto"/>
                <w:sz w:val="21"/>
                <w:szCs w:val="21"/>
                <w:highlight w:val="black"/>
              </w:rPr>
              <w:t>/</w:t>
            </w:r>
          </w:p>
        </w:tc>
        <w:tc>
          <w:tcPr>
            <w:tcW w:w="1312" w:type="dxa"/>
            <w:tcBorders>
              <w:top w:val="single" w:color="auto" w:sz="4" w:space="0"/>
              <w:bottom w:val="single" w:color="auto" w:sz="4" w:space="0"/>
            </w:tcBorders>
            <w:shd w:val="clear" w:color="auto" w:fill="auto"/>
            <w:vAlign w:val="center"/>
          </w:tcPr>
          <w:p w14:paraId="03B81C91">
            <w:pPr>
              <w:spacing w:line="240" w:lineRule="auto"/>
              <w:ind w:firstLine="0" w:firstLineChars="0"/>
              <w:jc w:val="center"/>
              <w:rPr>
                <w:color w:val="auto"/>
                <w:sz w:val="21"/>
                <w:szCs w:val="21"/>
              </w:rPr>
            </w:pPr>
            <w:r>
              <w:rPr>
                <w:rFonts w:hint="eastAsia"/>
                <w:color w:val="auto"/>
                <w:sz w:val="21"/>
                <w:szCs w:val="21"/>
                <w:highlight w:val="black"/>
              </w:rPr>
              <w:t>/</w:t>
            </w:r>
          </w:p>
        </w:tc>
        <w:tc>
          <w:tcPr>
            <w:tcW w:w="1648" w:type="dxa"/>
            <w:tcBorders>
              <w:top w:val="single" w:color="auto" w:sz="4" w:space="0"/>
              <w:bottom w:val="single" w:color="auto" w:sz="4" w:space="0"/>
            </w:tcBorders>
            <w:shd w:val="clear" w:color="auto" w:fill="auto"/>
            <w:vAlign w:val="center"/>
          </w:tcPr>
          <w:p w14:paraId="184DF694">
            <w:pPr>
              <w:spacing w:line="240" w:lineRule="auto"/>
              <w:ind w:firstLine="0" w:firstLineChars="0"/>
              <w:jc w:val="center"/>
              <w:rPr>
                <w:rFonts w:cs="宋体"/>
                <w:color w:val="auto"/>
                <w:kern w:val="0"/>
                <w:sz w:val="21"/>
                <w:szCs w:val="24"/>
                <w:lang w:val="zh-CN"/>
              </w:rPr>
            </w:pPr>
            <w:r>
              <w:rPr>
                <w:rFonts w:hint="eastAsia"/>
                <w:color w:val="auto"/>
                <w:sz w:val="21"/>
                <w:szCs w:val="21"/>
                <w:highlight w:val="black"/>
              </w:rPr>
              <w:t>/</w:t>
            </w:r>
          </w:p>
        </w:tc>
        <w:tc>
          <w:tcPr>
            <w:tcW w:w="1649" w:type="dxa"/>
            <w:tcBorders>
              <w:top w:val="single" w:color="auto" w:sz="4" w:space="0"/>
              <w:bottom w:val="single" w:color="auto" w:sz="4" w:space="0"/>
            </w:tcBorders>
            <w:shd w:val="clear" w:color="auto" w:fill="auto"/>
            <w:vAlign w:val="center"/>
          </w:tcPr>
          <w:p w14:paraId="078DD4D9">
            <w:pPr>
              <w:spacing w:line="240" w:lineRule="auto"/>
              <w:ind w:firstLine="0" w:firstLineChars="0"/>
              <w:jc w:val="center"/>
              <w:rPr>
                <w:rFonts w:cs="宋体"/>
                <w:color w:val="auto"/>
                <w:kern w:val="0"/>
                <w:sz w:val="21"/>
                <w:szCs w:val="24"/>
              </w:rPr>
            </w:pPr>
            <w:r>
              <w:rPr>
                <w:rFonts w:hint="eastAsia"/>
                <w:color w:val="auto"/>
                <w:sz w:val="21"/>
                <w:szCs w:val="21"/>
                <w:highlight w:val="black"/>
              </w:rPr>
              <w:t>/</w:t>
            </w:r>
          </w:p>
        </w:tc>
        <w:tc>
          <w:tcPr>
            <w:tcW w:w="1649" w:type="dxa"/>
            <w:tcBorders>
              <w:top w:val="single" w:color="auto" w:sz="4" w:space="0"/>
              <w:bottom w:val="single" w:color="auto" w:sz="4" w:space="0"/>
              <w:right w:val="single" w:color="auto" w:sz="4" w:space="0"/>
            </w:tcBorders>
            <w:shd w:val="clear" w:color="auto" w:fill="auto"/>
            <w:vAlign w:val="center"/>
          </w:tcPr>
          <w:p w14:paraId="211C8A44">
            <w:pPr>
              <w:spacing w:line="240" w:lineRule="auto"/>
              <w:ind w:firstLine="0" w:firstLineChars="0"/>
              <w:jc w:val="center"/>
              <w:rPr>
                <w:rFonts w:hint="eastAsia" w:ascii="Times New Roman" w:hAnsi="Times New Roman" w:eastAsia="宋体" w:cs="宋体"/>
                <w:color w:val="auto"/>
                <w:kern w:val="0"/>
                <w:sz w:val="21"/>
                <w:szCs w:val="24"/>
                <w:lang w:val="en-US" w:eastAsia="zh-CN" w:bidi="ar-SA"/>
              </w:rPr>
            </w:pPr>
            <w:r>
              <w:rPr>
                <w:rFonts w:hint="default" w:cs="宋体"/>
                <w:color w:val="auto"/>
                <w:kern w:val="0"/>
                <w:sz w:val="21"/>
                <w:szCs w:val="24"/>
                <w:lang w:val="en-US" w:eastAsia="zh-CN"/>
              </w:rPr>
              <w:t>0.0008</w:t>
            </w:r>
          </w:p>
        </w:tc>
      </w:tr>
      <w:tr w14:paraId="650472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03" w:type="dxa"/>
            <w:tcBorders>
              <w:top w:val="single" w:color="auto" w:sz="4" w:space="0"/>
              <w:left w:val="single" w:color="auto" w:sz="4" w:space="0"/>
              <w:bottom w:val="single" w:color="auto" w:sz="4" w:space="0"/>
              <w:right w:val="single" w:color="auto" w:sz="4" w:space="0"/>
            </w:tcBorders>
            <w:vAlign w:val="center"/>
          </w:tcPr>
          <w:p w14:paraId="3D001544">
            <w:pPr>
              <w:spacing w:line="240" w:lineRule="auto"/>
              <w:ind w:firstLine="0" w:firstLineChars="0"/>
              <w:jc w:val="center"/>
              <w:rPr>
                <w:rFonts w:cs="宋体"/>
                <w:color w:val="auto"/>
                <w:kern w:val="0"/>
                <w:sz w:val="21"/>
                <w:szCs w:val="24"/>
              </w:rPr>
            </w:pPr>
            <w:r>
              <w:rPr>
                <w:rFonts w:hint="eastAsia" w:cs="宋体"/>
                <w:color w:val="auto"/>
                <w:kern w:val="0"/>
                <w:sz w:val="21"/>
                <w:szCs w:val="24"/>
              </w:rPr>
              <w:t>8</w:t>
            </w:r>
          </w:p>
        </w:tc>
        <w:tc>
          <w:tcPr>
            <w:tcW w:w="2099" w:type="dxa"/>
            <w:tcBorders>
              <w:top w:val="single" w:color="auto" w:sz="4" w:space="0"/>
              <w:left w:val="single" w:color="auto" w:sz="4" w:space="0"/>
            </w:tcBorders>
            <w:shd w:val="clear" w:color="auto" w:fill="auto"/>
            <w:vAlign w:val="center"/>
          </w:tcPr>
          <w:p w14:paraId="300C0A43">
            <w:pPr>
              <w:spacing w:line="240" w:lineRule="auto"/>
              <w:ind w:firstLine="0" w:firstLineChars="0"/>
              <w:jc w:val="center"/>
              <w:rPr>
                <w:color w:val="auto"/>
                <w:sz w:val="21"/>
                <w:szCs w:val="21"/>
              </w:rPr>
            </w:pPr>
            <w:r>
              <w:rPr>
                <w:rFonts w:hint="eastAsia"/>
                <w:color w:val="auto"/>
                <w:sz w:val="21"/>
                <w:szCs w:val="21"/>
                <w:highlight w:val="black"/>
              </w:rPr>
              <w:t>/</w:t>
            </w:r>
          </w:p>
        </w:tc>
        <w:tc>
          <w:tcPr>
            <w:tcW w:w="1312" w:type="dxa"/>
            <w:tcBorders>
              <w:top w:val="single" w:color="auto" w:sz="4" w:space="0"/>
              <w:bottom w:val="single" w:color="auto" w:sz="4" w:space="0"/>
            </w:tcBorders>
            <w:shd w:val="clear" w:color="auto" w:fill="auto"/>
            <w:vAlign w:val="center"/>
          </w:tcPr>
          <w:p w14:paraId="76CC5A1F">
            <w:pPr>
              <w:spacing w:line="240" w:lineRule="auto"/>
              <w:ind w:firstLine="0" w:firstLineChars="0"/>
              <w:jc w:val="center"/>
              <w:rPr>
                <w:color w:val="auto"/>
                <w:sz w:val="21"/>
                <w:szCs w:val="21"/>
              </w:rPr>
            </w:pPr>
            <w:r>
              <w:rPr>
                <w:rFonts w:hint="eastAsia"/>
                <w:color w:val="auto"/>
                <w:sz w:val="21"/>
                <w:szCs w:val="21"/>
                <w:highlight w:val="black"/>
              </w:rPr>
              <w:t>/</w:t>
            </w:r>
          </w:p>
        </w:tc>
        <w:tc>
          <w:tcPr>
            <w:tcW w:w="1648" w:type="dxa"/>
            <w:tcBorders>
              <w:top w:val="single" w:color="auto" w:sz="4" w:space="0"/>
              <w:bottom w:val="single" w:color="auto" w:sz="4" w:space="0"/>
            </w:tcBorders>
            <w:shd w:val="clear" w:color="auto" w:fill="auto"/>
            <w:vAlign w:val="center"/>
          </w:tcPr>
          <w:p w14:paraId="2D07A661">
            <w:pPr>
              <w:spacing w:line="240" w:lineRule="auto"/>
              <w:ind w:firstLine="0" w:firstLineChars="0"/>
              <w:jc w:val="center"/>
              <w:rPr>
                <w:rFonts w:cs="宋体"/>
                <w:color w:val="auto"/>
                <w:kern w:val="0"/>
                <w:sz w:val="21"/>
                <w:szCs w:val="24"/>
                <w:lang w:val="zh-CN"/>
              </w:rPr>
            </w:pPr>
            <w:r>
              <w:rPr>
                <w:rFonts w:hint="eastAsia"/>
                <w:color w:val="auto"/>
                <w:sz w:val="21"/>
                <w:szCs w:val="21"/>
                <w:highlight w:val="black"/>
              </w:rPr>
              <w:t>/</w:t>
            </w:r>
          </w:p>
        </w:tc>
        <w:tc>
          <w:tcPr>
            <w:tcW w:w="1649" w:type="dxa"/>
            <w:tcBorders>
              <w:top w:val="single" w:color="auto" w:sz="4" w:space="0"/>
              <w:bottom w:val="single" w:color="auto" w:sz="4" w:space="0"/>
            </w:tcBorders>
            <w:shd w:val="clear" w:color="auto" w:fill="auto"/>
            <w:vAlign w:val="center"/>
          </w:tcPr>
          <w:p w14:paraId="49B16BD3">
            <w:pPr>
              <w:spacing w:line="240" w:lineRule="auto"/>
              <w:ind w:firstLine="0" w:firstLineChars="0"/>
              <w:jc w:val="center"/>
              <w:rPr>
                <w:rFonts w:cs="宋体"/>
                <w:color w:val="auto"/>
                <w:kern w:val="0"/>
                <w:sz w:val="21"/>
                <w:szCs w:val="24"/>
              </w:rPr>
            </w:pPr>
            <w:r>
              <w:rPr>
                <w:rFonts w:hint="eastAsia"/>
                <w:color w:val="auto"/>
                <w:sz w:val="21"/>
                <w:szCs w:val="21"/>
                <w:highlight w:val="black"/>
              </w:rPr>
              <w:t>/</w:t>
            </w:r>
          </w:p>
        </w:tc>
        <w:tc>
          <w:tcPr>
            <w:tcW w:w="1649" w:type="dxa"/>
            <w:tcBorders>
              <w:top w:val="single" w:color="auto" w:sz="4" w:space="0"/>
              <w:bottom w:val="single" w:color="auto" w:sz="4" w:space="0"/>
              <w:right w:val="single" w:color="auto" w:sz="4" w:space="0"/>
            </w:tcBorders>
            <w:shd w:val="clear" w:color="auto" w:fill="auto"/>
            <w:vAlign w:val="center"/>
          </w:tcPr>
          <w:p w14:paraId="364FD35E">
            <w:pPr>
              <w:spacing w:line="240" w:lineRule="auto"/>
              <w:ind w:firstLine="0" w:firstLineChars="0"/>
              <w:jc w:val="center"/>
              <w:rPr>
                <w:rFonts w:hint="eastAsia" w:cs="宋体"/>
                <w:color w:val="auto"/>
                <w:kern w:val="0"/>
                <w:sz w:val="21"/>
                <w:szCs w:val="24"/>
              </w:rPr>
            </w:pPr>
            <w:r>
              <w:rPr>
                <w:rFonts w:hint="default" w:cs="宋体"/>
                <w:color w:val="auto"/>
                <w:kern w:val="0"/>
                <w:sz w:val="21"/>
                <w:szCs w:val="24"/>
                <w:lang w:val="en-US" w:eastAsia="zh-CN"/>
              </w:rPr>
              <w:t>0.0008</w:t>
            </w:r>
          </w:p>
        </w:tc>
      </w:tr>
      <w:tr w14:paraId="465778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03" w:type="dxa"/>
            <w:tcBorders>
              <w:top w:val="single" w:color="auto" w:sz="4" w:space="0"/>
              <w:bottom w:val="single" w:color="auto" w:sz="4" w:space="0"/>
              <w:right w:val="single" w:color="auto" w:sz="4" w:space="0"/>
            </w:tcBorders>
            <w:vAlign w:val="center"/>
          </w:tcPr>
          <w:p w14:paraId="7929BC91">
            <w:pPr>
              <w:spacing w:line="240" w:lineRule="auto"/>
              <w:ind w:firstLine="0" w:firstLineChars="0"/>
              <w:jc w:val="center"/>
              <w:rPr>
                <w:rFonts w:cs="宋体"/>
                <w:color w:val="auto"/>
                <w:kern w:val="0"/>
                <w:sz w:val="21"/>
                <w:szCs w:val="24"/>
              </w:rPr>
            </w:pPr>
            <w:r>
              <w:rPr>
                <w:rFonts w:hint="eastAsia" w:cs="宋体"/>
                <w:color w:val="auto"/>
                <w:kern w:val="0"/>
                <w:sz w:val="21"/>
                <w:szCs w:val="24"/>
              </w:rPr>
              <w:t>合计</w:t>
            </w:r>
          </w:p>
        </w:tc>
        <w:tc>
          <w:tcPr>
            <w:tcW w:w="6708" w:type="dxa"/>
            <w:gridSpan w:val="4"/>
            <w:tcBorders>
              <w:top w:val="single" w:color="auto" w:sz="4" w:space="0"/>
              <w:left w:val="single" w:color="auto" w:sz="4" w:space="0"/>
              <w:bottom w:val="single" w:color="auto" w:sz="4" w:space="0"/>
            </w:tcBorders>
            <w:vAlign w:val="center"/>
          </w:tcPr>
          <w:p w14:paraId="4960CFF5">
            <w:pPr>
              <w:spacing w:line="240" w:lineRule="auto"/>
              <w:ind w:firstLine="0" w:firstLineChars="0"/>
              <w:jc w:val="center"/>
              <w:rPr>
                <w:rFonts w:cs="宋体"/>
                <w:color w:val="auto"/>
                <w:kern w:val="0"/>
                <w:sz w:val="21"/>
                <w:szCs w:val="24"/>
              </w:rPr>
            </w:pPr>
            <w:r>
              <w:rPr>
                <w:rFonts w:hint="eastAsia" w:cs="宋体"/>
                <w:color w:val="auto"/>
                <w:kern w:val="0"/>
                <w:sz w:val="21"/>
                <w:szCs w:val="24"/>
              </w:rPr>
              <w:t>Q=q1/Q1+ q2/Q2+…+ qn/Qn</w:t>
            </w:r>
          </w:p>
        </w:tc>
        <w:tc>
          <w:tcPr>
            <w:tcW w:w="1649" w:type="dxa"/>
            <w:tcBorders>
              <w:top w:val="single" w:color="auto" w:sz="4" w:space="0"/>
              <w:bottom w:val="single" w:color="auto" w:sz="4" w:space="0"/>
            </w:tcBorders>
            <w:vAlign w:val="center"/>
          </w:tcPr>
          <w:p w14:paraId="7E17CF21">
            <w:pPr>
              <w:spacing w:line="240" w:lineRule="auto"/>
              <w:ind w:firstLine="0" w:firstLineChars="0"/>
              <w:jc w:val="center"/>
              <w:rPr>
                <w:rFonts w:hint="default" w:eastAsia="宋体" w:cs="宋体"/>
                <w:color w:val="auto"/>
                <w:kern w:val="0"/>
                <w:sz w:val="21"/>
                <w:szCs w:val="24"/>
                <w:lang w:val="en-US" w:eastAsia="zh-CN"/>
              </w:rPr>
            </w:pPr>
            <w:r>
              <w:rPr>
                <w:rFonts w:hint="eastAsia" w:cs="宋体"/>
                <w:color w:val="auto"/>
                <w:kern w:val="0"/>
                <w:sz w:val="21"/>
                <w:szCs w:val="24"/>
                <w:lang w:val="en-US" w:eastAsia="zh-CN"/>
              </w:rPr>
              <w:t>2.2683</w:t>
            </w:r>
          </w:p>
        </w:tc>
      </w:tr>
      <w:tr w14:paraId="709E49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9060" w:type="dxa"/>
            <w:gridSpan w:val="6"/>
            <w:tcBorders>
              <w:top w:val="single" w:color="auto" w:sz="4" w:space="0"/>
            </w:tcBorders>
            <w:vAlign w:val="center"/>
          </w:tcPr>
          <w:p w14:paraId="38F90579">
            <w:pPr>
              <w:spacing w:line="240" w:lineRule="auto"/>
              <w:ind w:firstLine="0" w:firstLineChars="0"/>
              <w:jc w:val="left"/>
              <w:rPr>
                <w:rFonts w:cs="宋体"/>
                <w:color w:val="auto"/>
                <w:kern w:val="0"/>
                <w:sz w:val="21"/>
                <w:szCs w:val="24"/>
              </w:rPr>
            </w:pPr>
            <w:r>
              <w:rPr>
                <w:rFonts w:hint="eastAsia" w:cs="宋体"/>
                <w:color w:val="auto"/>
                <w:kern w:val="0"/>
                <w:sz w:val="21"/>
                <w:szCs w:val="24"/>
              </w:rPr>
              <w:t>注：①根据《健康危害急性毒性分类》（GB30000.18）查询，双氧水（30%）、氢氧化钠、碳酸钠、硫酸亚铁为临界量100t；</w:t>
            </w:r>
          </w:p>
          <w:p w14:paraId="256E685F">
            <w:pPr>
              <w:spacing w:line="240" w:lineRule="auto"/>
              <w:ind w:firstLine="0" w:firstLineChars="0"/>
              <w:jc w:val="center"/>
              <w:rPr>
                <w:rFonts w:cs="宋体"/>
                <w:color w:val="auto"/>
                <w:kern w:val="0"/>
                <w:sz w:val="21"/>
                <w:szCs w:val="24"/>
              </w:rPr>
            </w:pPr>
            <w:r>
              <w:rPr>
                <w:rFonts w:hint="eastAsia" w:cs="宋体"/>
                <w:color w:val="auto"/>
                <w:kern w:val="0"/>
                <w:sz w:val="21"/>
                <w:szCs w:val="24"/>
              </w:rPr>
              <w:t>②废油类、废油桶及含油废物参照油类物质（矿物油类，如石油、汽油、柴油等，生物柴油等）临界量为2500t。</w:t>
            </w:r>
          </w:p>
        </w:tc>
      </w:tr>
    </w:tbl>
    <w:p w14:paraId="03F7EC03">
      <w:pPr>
        <w:spacing w:line="360" w:lineRule="auto"/>
        <w:ind w:firstLine="480"/>
        <w:rPr>
          <w:color w:val="auto"/>
        </w:rPr>
      </w:pPr>
    </w:p>
    <w:p w14:paraId="76CF7064">
      <w:pPr>
        <w:spacing w:line="360" w:lineRule="auto"/>
        <w:ind w:firstLine="480"/>
        <w:rPr>
          <w:snapToGrid w:val="0"/>
          <w:color w:val="auto"/>
          <w:kern w:val="0"/>
          <w:szCs w:val="26"/>
        </w:rPr>
      </w:pPr>
      <w:r>
        <w:rPr>
          <w:rFonts w:hint="eastAsia"/>
          <w:color w:val="auto"/>
        </w:rPr>
        <w:t>根据计算结果，拟建项目Q值=</w:t>
      </w:r>
      <w:r>
        <w:rPr>
          <w:rFonts w:hint="eastAsia"/>
          <w:color w:val="auto"/>
          <w:lang w:val="en-US" w:eastAsia="zh-CN"/>
        </w:rPr>
        <w:t>2.2683</w:t>
      </w:r>
      <w:r>
        <w:rPr>
          <w:rFonts w:hint="eastAsia"/>
          <w:color w:val="auto"/>
        </w:rPr>
        <w:t>，1≤Q&lt;10</w:t>
      </w:r>
      <w:r>
        <w:rPr>
          <w:snapToGrid w:val="0"/>
          <w:color w:val="auto"/>
          <w:kern w:val="0"/>
          <w:szCs w:val="26"/>
        </w:rPr>
        <w:t>。</w:t>
      </w:r>
    </w:p>
    <w:p w14:paraId="511E2FD7">
      <w:pPr>
        <w:spacing w:line="360" w:lineRule="auto"/>
        <w:ind w:firstLine="480"/>
        <w:rPr>
          <w:snapToGrid w:val="0"/>
          <w:color w:val="auto"/>
          <w:kern w:val="0"/>
          <w:szCs w:val="26"/>
        </w:rPr>
      </w:pPr>
    </w:p>
    <w:p w14:paraId="31039808">
      <w:pPr>
        <w:pStyle w:val="5"/>
        <w:numPr>
          <w:ilvl w:val="0"/>
          <w:numId w:val="0"/>
        </w:numPr>
        <w:spacing w:line="360" w:lineRule="auto"/>
        <w:jc w:val="left"/>
        <w:rPr>
          <w:color w:val="auto"/>
          <w:szCs w:val="24"/>
          <w:lang w:val="en-US"/>
        </w:rPr>
      </w:pPr>
      <w:r>
        <w:rPr>
          <w:color w:val="auto"/>
          <w:szCs w:val="24"/>
          <w:lang w:val="en-US"/>
        </w:rPr>
        <w:t>7.3.2</w:t>
      </w:r>
      <w:r>
        <w:rPr>
          <w:rFonts w:hint="eastAsia"/>
          <w:color w:val="auto"/>
          <w:szCs w:val="24"/>
          <w:lang w:val="en-US"/>
        </w:rPr>
        <w:t>行业及生产工艺（M）分析判定</w:t>
      </w:r>
    </w:p>
    <w:p w14:paraId="66436362">
      <w:pPr>
        <w:spacing w:line="460" w:lineRule="exact"/>
        <w:ind w:firstLine="480"/>
        <w:rPr>
          <w:color w:val="auto"/>
        </w:rPr>
      </w:pPr>
      <w:r>
        <w:rPr>
          <w:rFonts w:hint="eastAsia"/>
          <w:color w:val="auto"/>
        </w:rPr>
        <w:t>根据《建设项目环境风险评价技术导则》（</w:t>
      </w:r>
      <w:r>
        <w:rPr>
          <w:color w:val="auto"/>
        </w:rPr>
        <w:t>HJ/T 169-2018</w:t>
      </w:r>
      <w:r>
        <w:rPr>
          <w:rFonts w:hint="eastAsia"/>
          <w:color w:val="auto"/>
        </w:rPr>
        <w:t>），分析项目生产工艺特点，评估生产工艺情况。具有多套工艺单元的项目，对每套生产装置分别评分并求和。具体</w:t>
      </w:r>
      <w:r>
        <w:rPr>
          <w:color w:val="auto"/>
        </w:rPr>
        <w:t>M</w:t>
      </w:r>
      <w:r>
        <w:rPr>
          <w:rFonts w:hint="eastAsia"/>
          <w:color w:val="auto"/>
        </w:rPr>
        <w:t>值划分见下表</w:t>
      </w:r>
      <w:r>
        <w:rPr>
          <w:color w:val="auto"/>
        </w:rPr>
        <w:t>7.3-2</w:t>
      </w:r>
      <w:r>
        <w:rPr>
          <w:rFonts w:hint="eastAsia"/>
          <w:color w:val="auto"/>
        </w:rPr>
        <w:t>。行业及生产工艺（</w:t>
      </w:r>
      <w:r>
        <w:rPr>
          <w:color w:val="auto"/>
        </w:rPr>
        <w:t>M</w:t>
      </w:r>
      <w:r>
        <w:rPr>
          <w:rFonts w:hint="eastAsia"/>
          <w:color w:val="auto"/>
        </w:rPr>
        <w:t>）划分情况见表</w:t>
      </w:r>
      <w:r>
        <w:rPr>
          <w:color w:val="auto"/>
        </w:rPr>
        <w:t>7.3-3</w:t>
      </w:r>
      <w:r>
        <w:rPr>
          <w:rFonts w:hint="eastAsia"/>
          <w:color w:val="auto"/>
        </w:rPr>
        <w:t>。</w:t>
      </w:r>
    </w:p>
    <w:p w14:paraId="5CE54F0C">
      <w:pPr>
        <w:spacing w:line="460" w:lineRule="exact"/>
        <w:ind w:firstLine="422"/>
        <w:jc w:val="center"/>
        <w:rPr>
          <w:b/>
          <w:color w:val="auto"/>
          <w:kern w:val="0"/>
          <w:sz w:val="21"/>
          <w:szCs w:val="21"/>
        </w:rPr>
      </w:pPr>
      <w:r>
        <w:rPr>
          <w:rFonts w:hint="eastAsia"/>
          <w:b/>
          <w:color w:val="auto"/>
          <w:kern w:val="0"/>
          <w:sz w:val="21"/>
          <w:szCs w:val="21"/>
        </w:rPr>
        <w:t>表</w:t>
      </w:r>
      <w:r>
        <w:rPr>
          <w:b/>
          <w:color w:val="auto"/>
          <w:kern w:val="0"/>
          <w:sz w:val="21"/>
          <w:szCs w:val="21"/>
        </w:rPr>
        <w:t xml:space="preserve">7.3-2  </w:t>
      </w:r>
      <w:r>
        <w:rPr>
          <w:rFonts w:hint="eastAsia"/>
          <w:b/>
          <w:color w:val="auto"/>
          <w:kern w:val="0"/>
          <w:sz w:val="21"/>
          <w:szCs w:val="21"/>
        </w:rPr>
        <w:t>企业生产工艺过程与</w:t>
      </w:r>
      <w:r>
        <w:rPr>
          <w:b/>
          <w:color w:val="auto"/>
          <w:kern w:val="0"/>
          <w:sz w:val="21"/>
          <w:szCs w:val="21"/>
        </w:rPr>
        <w:t>M</w:t>
      </w:r>
      <w:r>
        <w:rPr>
          <w:rFonts w:hint="eastAsia"/>
          <w:b/>
          <w:color w:val="auto"/>
          <w:kern w:val="0"/>
          <w:sz w:val="21"/>
          <w:szCs w:val="21"/>
        </w:rPr>
        <w:t>值类型划分</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3"/>
        <w:gridCol w:w="4643"/>
      </w:tblGrid>
      <w:tr w14:paraId="6CBF5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0" w:type="pct"/>
            <w:tcBorders>
              <w:top w:val="single" w:color="auto" w:sz="4" w:space="0"/>
              <w:left w:val="single" w:color="auto" w:sz="4" w:space="0"/>
              <w:bottom w:val="single" w:color="auto" w:sz="4" w:space="0"/>
              <w:right w:val="single" w:color="auto" w:sz="4" w:space="0"/>
            </w:tcBorders>
            <w:vAlign w:val="center"/>
          </w:tcPr>
          <w:p w14:paraId="5BD62A34">
            <w:pPr>
              <w:pStyle w:val="3127"/>
              <w:rPr>
                <w:color w:val="auto"/>
              </w:rPr>
            </w:pPr>
            <w:r>
              <w:rPr>
                <w:rFonts w:hint="eastAsia"/>
                <w:color w:val="auto"/>
              </w:rPr>
              <w:t>工艺与环境风险控制水平值</w:t>
            </w:r>
          </w:p>
        </w:tc>
        <w:tc>
          <w:tcPr>
            <w:tcW w:w="2500" w:type="pct"/>
            <w:tcBorders>
              <w:top w:val="single" w:color="auto" w:sz="4" w:space="0"/>
              <w:left w:val="single" w:color="auto" w:sz="4" w:space="0"/>
              <w:bottom w:val="single" w:color="auto" w:sz="4" w:space="0"/>
              <w:right w:val="single" w:color="auto" w:sz="4" w:space="0"/>
            </w:tcBorders>
            <w:vAlign w:val="center"/>
          </w:tcPr>
          <w:p w14:paraId="3F4AEFEC">
            <w:pPr>
              <w:pStyle w:val="3127"/>
              <w:rPr>
                <w:color w:val="auto"/>
              </w:rPr>
            </w:pPr>
            <w:r>
              <w:rPr>
                <w:rFonts w:hint="eastAsia"/>
                <w:color w:val="auto"/>
              </w:rPr>
              <w:t>M值类型</w:t>
            </w:r>
          </w:p>
        </w:tc>
      </w:tr>
      <w:tr w14:paraId="74209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0" w:type="pct"/>
            <w:tcBorders>
              <w:top w:val="single" w:color="auto" w:sz="4" w:space="0"/>
              <w:left w:val="single" w:color="auto" w:sz="4" w:space="0"/>
              <w:bottom w:val="single" w:color="auto" w:sz="4" w:space="0"/>
              <w:right w:val="single" w:color="auto" w:sz="4" w:space="0"/>
            </w:tcBorders>
            <w:vAlign w:val="center"/>
          </w:tcPr>
          <w:p w14:paraId="100B72DC">
            <w:pPr>
              <w:pStyle w:val="3127"/>
              <w:rPr>
                <w:color w:val="auto"/>
              </w:rPr>
            </w:pPr>
            <w:r>
              <w:rPr>
                <w:rFonts w:hint="eastAsia"/>
                <w:color w:val="auto"/>
              </w:rPr>
              <w:t>M＞20</w:t>
            </w:r>
          </w:p>
        </w:tc>
        <w:tc>
          <w:tcPr>
            <w:tcW w:w="2500" w:type="pct"/>
            <w:tcBorders>
              <w:top w:val="single" w:color="auto" w:sz="4" w:space="0"/>
              <w:left w:val="single" w:color="auto" w:sz="4" w:space="0"/>
              <w:bottom w:val="single" w:color="auto" w:sz="4" w:space="0"/>
              <w:right w:val="single" w:color="auto" w:sz="4" w:space="0"/>
            </w:tcBorders>
            <w:vAlign w:val="center"/>
          </w:tcPr>
          <w:p w14:paraId="09F4B02C">
            <w:pPr>
              <w:pStyle w:val="3127"/>
              <w:rPr>
                <w:color w:val="auto"/>
              </w:rPr>
            </w:pPr>
            <w:r>
              <w:rPr>
                <w:rFonts w:hint="eastAsia"/>
                <w:color w:val="auto"/>
              </w:rPr>
              <w:t>M1</w:t>
            </w:r>
          </w:p>
        </w:tc>
      </w:tr>
      <w:tr w14:paraId="2669C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0" w:type="pct"/>
            <w:tcBorders>
              <w:top w:val="single" w:color="auto" w:sz="4" w:space="0"/>
              <w:left w:val="single" w:color="auto" w:sz="4" w:space="0"/>
              <w:bottom w:val="single" w:color="auto" w:sz="4" w:space="0"/>
              <w:right w:val="single" w:color="auto" w:sz="4" w:space="0"/>
            </w:tcBorders>
            <w:vAlign w:val="center"/>
          </w:tcPr>
          <w:p w14:paraId="1D9F77B8">
            <w:pPr>
              <w:pStyle w:val="3127"/>
              <w:rPr>
                <w:color w:val="auto"/>
              </w:rPr>
            </w:pPr>
            <w:r>
              <w:rPr>
                <w:rFonts w:hint="eastAsia"/>
                <w:color w:val="auto"/>
              </w:rPr>
              <w:t>10＜M≤20</w:t>
            </w:r>
          </w:p>
        </w:tc>
        <w:tc>
          <w:tcPr>
            <w:tcW w:w="2500" w:type="pct"/>
            <w:tcBorders>
              <w:top w:val="single" w:color="auto" w:sz="4" w:space="0"/>
              <w:left w:val="single" w:color="auto" w:sz="4" w:space="0"/>
              <w:bottom w:val="single" w:color="auto" w:sz="4" w:space="0"/>
              <w:right w:val="single" w:color="auto" w:sz="4" w:space="0"/>
            </w:tcBorders>
            <w:vAlign w:val="center"/>
          </w:tcPr>
          <w:p w14:paraId="676DD69E">
            <w:pPr>
              <w:pStyle w:val="3127"/>
              <w:rPr>
                <w:color w:val="auto"/>
              </w:rPr>
            </w:pPr>
            <w:r>
              <w:rPr>
                <w:rFonts w:hint="eastAsia"/>
                <w:color w:val="auto"/>
              </w:rPr>
              <w:t>M2</w:t>
            </w:r>
          </w:p>
        </w:tc>
      </w:tr>
      <w:tr w14:paraId="53ABB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0" w:type="pct"/>
            <w:tcBorders>
              <w:top w:val="single" w:color="auto" w:sz="4" w:space="0"/>
              <w:left w:val="single" w:color="auto" w:sz="4" w:space="0"/>
              <w:bottom w:val="single" w:color="auto" w:sz="4" w:space="0"/>
              <w:right w:val="single" w:color="auto" w:sz="4" w:space="0"/>
            </w:tcBorders>
            <w:vAlign w:val="center"/>
          </w:tcPr>
          <w:p w14:paraId="67DE90AA">
            <w:pPr>
              <w:pStyle w:val="3127"/>
              <w:rPr>
                <w:color w:val="auto"/>
              </w:rPr>
            </w:pPr>
            <w:r>
              <w:rPr>
                <w:rFonts w:hint="eastAsia"/>
                <w:color w:val="auto"/>
              </w:rPr>
              <w:t>5＜M≤10</w:t>
            </w:r>
          </w:p>
        </w:tc>
        <w:tc>
          <w:tcPr>
            <w:tcW w:w="2500" w:type="pct"/>
            <w:tcBorders>
              <w:top w:val="single" w:color="auto" w:sz="4" w:space="0"/>
              <w:left w:val="single" w:color="auto" w:sz="4" w:space="0"/>
              <w:bottom w:val="single" w:color="auto" w:sz="4" w:space="0"/>
              <w:right w:val="single" w:color="auto" w:sz="4" w:space="0"/>
            </w:tcBorders>
            <w:vAlign w:val="center"/>
          </w:tcPr>
          <w:p w14:paraId="0A88B1D9">
            <w:pPr>
              <w:pStyle w:val="3127"/>
              <w:rPr>
                <w:color w:val="auto"/>
              </w:rPr>
            </w:pPr>
            <w:r>
              <w:rPr>
                <w:rFonts w:hint="eastAsia"/>
                <w:color w:val="auto"/>
              </w:rPr>
              <w:t>M3</w:t>
            </w:r>
          </w:p>
        </w:tc>
      </w:tr>
      <w:tr w14:paraId="0585B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0" w:type="pct"/>
            <w:tcBorders>
              <w:top w:val="single" w:color="auto" w:sz="4" w:space="0"/>
              <w:left w:val="single" w:color="auto" w:sz="4" w:space="0"/>
              <w:bottom w:val="single" w:color="auto" w:sz="4" w:space="0"/>
              <w:right w:val="single" w:color="auto" w:sz="4" w:space="0"/>
            </w:tcBorders>
            <w:vAlign w:val="center"/>
          </w:tcPr>
          <w:p w14:paraId="351B7D6C">
            <w:pPr>
              <w:pStyle w:val="3127"/>
              <w:rPr>
                <w:color w:val="auto"/>
              </w:rPr>
            </w:pPr>
            <w:r>
              <w:rPr>
                <w:rFonts w:hint="eastAsia"/>
                <w:color w:val="auto"/>
              </w:rPr>
              <w:t>M=5</w:t>
            </w:r>
          </w:p>
        </w:tc>
        <w:tc>
          <w:tcPr>
            <w:tcW w:w="2500" w:type="pct"/>
            <w:tcBorders>
              <w:top w:val="single" w:color="auto" w:sz="4" w:space="0"/>
              <w:left w:val="single" w:color="auto" w:sz="4" w:space="0"/>
              <w:bottom w:val="single" w:color="auto" w:sz="4" w:space="0"/>
              <w:right w:val="single" w:color="auto" w:sz="4" w:space="0"/>
            </w:tcBorders>
            <w:vAlign w:val="center"/>
          </w:tcPr>
          <w:p w14:paraId="30F9C61A">
            <w:pPr>
              <w:pStyle w:val="3127"/>
              <w:rPr>
                <w:color w:val="auto"/>
              </w:rPr>
            </w:pPr>
            <w:r>
              <w:rPr>
                <w:rFonts w:hint="eastAsia"/>
                <w:color w:val="auto"/>
              </w:rPr>
              <w:t>M4</w:t>
            </w:r>
          </w:p>
        </w:tc>
      </w:tr>
    </w:tbl>
    <w:p w14:paraId="5B3D0233">
      <w:pPr>
        <w:spacing w:line="460" w:lineRule="exact"/>
        <w:ind w:firstLine="422"/>
        <w:jc w:val="center"/>
        <w:rPr>
          <w:b/>
          <w:color w:val="auto"/>
          <w:kern w:val="0"/>
          <w:sz w:val="21"/>
          <w:szCs w:val="21"/>
        </w:rPr>
      </w:pPr>
      <w:r>
        <w:rPr>
          <w:b/>
          <w:color w:val="auto"/>
          <w:kern w:val="0"/>
          <w:sz w:val="21"/>
          <w:szCs w:val="21"/>
        </w:rPr>
        <w:t xml:space="preserve">表7.3-3   </w:t>
      </w:r>
      <w:r>
        <w:rPr>
          <w:rFonts w:hint="eastAsia"/>
          <w:b/>
          <w:color w:val="auto"/>
          <w:kern w:val="0"/>
          <w:sz w:val="21"/>
          <w:szCs w:val="21"/>
        </w:rPr>
        <w:t>行业及生产工艺（</w:t>
      </w:r>
      <w:r>
        <w:rPr>
          <w:b/>
          <w:color w:val="auto"/>
          <w:kern w:val="0"/>
          <w:sz w:val="21"/>
          <w:szCs w:val="21"/>
        </w:rPr>
        <w:t>M</w:t>
      </w:r>
      <w:r>
        <w:rPr>
          <w:rFonts w:hint="eastAsia"/>
          <w:b/>
          <w:color w:val="auto"/>
          <w:kern w:val="0"/>
          <w:sz w:val="21"/>
          <w:szCs w:val="21"/>
        </w:rPr>
        <w:t>）</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6095"/>
        <w:gridCol w:w="1135"/>
        <w:gridCol w:w="814"/>
      </w:tblGrid>
      <w:tr w14:paraId="1CC1B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69" w:type="pct"/>
            <w:tcBorders>
              <w:top w:val="single" w:color="auto" w:sz="4" w:space="0"/>
              <w:left w:val="single" w:color="auto" w:sz="4" w:space="0"/>
              <w:bottom w:val="single" w:color="auto" w:sz="4" w:space="0"/>
              <w:right w:val="single" w:color="auto" w:sz="4" w:space="0"/>
            </w:tcBorders>
            <w:vAlign w:val="center"/>
          </w:tcPr>
          <w:p w14:paraId="6F256C74">
            <w:pPr>
              <w:pStyle w:val="3127"/>
              <w:rPr>
                <w:color w:val="auto"/>
              </w:rPr>
            </w:pPr>
            <w:r>
              <w:rPr>
                <w:rFonts w:hint="eastAsia"/>
                <w:color w:val="auto"/>
              </w:rPr>
              <w:t>行业</w:t>
            </w:r>
          </w:p>
        </w:tc>
        <w:tc>
          <w:tcPr>
            <w:tcW w:w="3282" w:type="pct"/>
            <w:tcBorders>
              <w:top w:val="single" w:color="auto" w:sz="4" w:space="0"/>
              <w:left w:val="single" w:color="auto" w:sz="4" w:space="0"/>
              <w:bottom w:val="single" w:color="auto" w:sz="4" w:space="0"/>
              <w:right w:val="single" w:color="auto" w:sz="4" w:space="0"/>
            </w:tcBorders>
            <w:vAlign w:val="center"/>
          </w:tcPr>
          <w:p w14:paraId="25FEBA17">
            <w:pPr>
              <w:pStyle w:val="3127"/>
              <w:rPr>
                <w:color w:val="auto"/>
              </w:rPr>
            </w:pPr>
            <w:r>
              <w:rPr>
                <w:rFonts w:hint="eastAsia"/>
                <w:color w:val="auto"/>
              </w:rPr>
              <w:t>评估依据</w:t>
            </w:r>
          </w:p>
        </w:tc>
        <w:tc>
          <w:tcPr>
            <w:tcW w:w="611" w:type="pct"/>
            <w:tcBorders>
              <w:top w:val="single" w:color="auto" w:sz="4" w:space="0"/>
              <w:left w:val="single" w:color="auto" w:sz="4" w:space="0"/>
              <w:bottom w:val="single" w:color="auto" w:sz="4" w:space="0"/>
              <w:right w:val="single" w:color="auto" w:sz="4" w:space="0"/>
            </w:tcBorders>
            <w:vAlign w:val="center"/>
          </w:tcPr>
          <w:p w14:paraId="1C649EC1">
            <w:pPr>
              <w:pStyle w:val="3127"/>
              <w:rPr>
                <w:color w:val="auto"/>
              </w:rPr>
            </w:pPr>
            <w:r>
              <w:rPr>
                <w:rFonts w:hint="eastAsia"/>
                <w:color w:val="auto"/>
              </w:rPr>
              <w:t>分值</w:t>
            </w:r>
          </w:p>
        </w:tc>
        <w:tc>
          <w:tcPr>
            <w:tcW w:w="438" w:type="pct"/>
            <w:tcBorders>
              <w:top w:val="single" w:color="auto" w:sz="4" w:space="0"/>
              <w:left w:val="single" w:color="auto" w:sz="4" w:space="0"/>
              <w:bottom w:val="single" w:color="auto" w:sz="4" w:space="0"/>
              <w:right w:val="single" w:color="auto" w:sz="4" w:space="0"/>
            </w:tcBorders>
            <w:vAlign w:val="center"/>
          </w:tcPr>
          <w:p w14:paraId="2A20CC11">
            <w:pPr>
              <w:pStyle w:val="3127"/>
              <w:rPr>
                <w:color w:val="auto"/>
              </w:rPr>
            </w:pPr>
            <w:r>
              <w:rPr>
                <w:rFonts w:hint="eastAsia"/>
                <w:color w:val="auto"/>
              </w:rPr>
              <w:t>本项目</w:t>
            </w:r>
          </w:p>
        </w:tc>
      </w:tr>
      <w:tr w14:paraId="1F131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restart"/>
            <w:tcBorders>
              <w:top w:val="single" w:color="auto" w:sz="4" w:space="0"/>
              <w:left w:val="single" w:color="auto" w:sz="4" w:space="0"/>
              <w:bottom w:val="single" w:color="auto" w:sz="4" w:space="0"/>
              <w:right w:val="single" w:color="auto" w:sz="4" w:space="0"/>
            </w:tcBorders>
            <w:vAlign w:val="center"/>
          </w:tcPr>
          <w:p w14:paraId="52D78958">
            <w:pPr>
              <w:pStyle w:val="3127"/>
              <w:rPr>
                <w:color w:val="auto"/>
              </w:rPr>
            </w:pPr>
            <w:r>
              <w:rPr>
                <w:rFonts w:hint="eastAsia"/>
                <w:color w:val="auto"/>
              </w:rPr>
              <w:t>石化、化工、医药、轻工、化纤、有色冶炼</w:t>
            </w:r>
          </w:p>
        </w:tc>
        <w:tc>
          <w:tcPr>
            <w:tcW w:w="3282" w:type="pct"/>
            <w:tcBorders>
              <w:top w:val="single" w:color="auto" w:sz="4" w:space="0"/>
              <w:left w:val="single" w:color="auto" w:sz="4" w:space="0"/>
              <w:bottom w:val="single" w:color="auto" w:sz="4" w:space="0"/>
              <w:right w:val="single" w:color="auto" w:sz="4" w:space="0"/>
            </w:tcBorders>
            <w:vAlign w:val="center"/>
          </w:tcPr>
          <w:p w14:paraId="21090E71">
            <w:pPr>
              <w:pStyle w:val="3127"/>
              <w:rPr>
                <w:color w:val="auto"/>
              </w:rPr>
            </w:pPr>
            <w:r>
              <w:rPr>
                <w:rFonts w:hint="eastAsia"/>
                <w:color w:val="auto"/>
              </w:rPr>
              <w:t>涉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611" w:type="pct"/>
            <w:tcBorders>
              <w:top w:val="single" w:color="auto" w:sz="4" w:space="0"/>
              <w:left w:val="single" w:color="auto" w:sz="4" w:space="0"/>
              <w:bottom w:val="single" w:color="auto" w:sz="4" w:space="0"/>
              <w:right w:val="single" w:color="auto" w:sz="4" w:space="0"/>
            </w:tcBorders>
            <w:vAlign w:val="center"/>
          </w:tcPr>
          <w:p w14:paraId="3BBE1F6A">
            <w:pPr>
              <w:pStyle w:val="3127"/>
              <w:rPr>
                <w:color w:val="auto"/>
              </w:rPr>
            </w:pPr>
            <w:r>
              <w:rPr>
                <w:rFonts w:hint="eastAsia"/>
                <w:color w:val="auto"/>
              </w:rPr>
              <w:t>10/套</w:t>
            </w:r>
          </w:p>
        </w:tc>
        <w:tc>
          <w:tcPr>
            <w:tcW w:w="438" w:type="pct"/>
            <w:tcBorders>
              <w:top w:val="single" w:color="auto" w:sz="4" w:space="0"/>
              <w:left w:val="single" w:color="auto" w:sz="4" w:space="0"/>
              <w:bottom w:val="single" w:color="auto" w:sz="4" w:space="0"/>
              <w:right w:val="single" w:color="auto" w:sz="4" w:space="0"/>
            </w:tcBorders>
            <w:vAlign w:val="center"/>
          </w:tcPr>
          <w:p w14:paraId="322A525E">
            <w:pPr>
              <w:pStyle w:val="3127"/>
              <w:rPr>
                <w:color w:val="auto"/>
              </w:rPr>
            </w:pPr>
            <w:r>
              <w:rPr>
                <w:rFonts w:hint="eastAsia"/>
                <w:color w:val="auto"/>
              </w:rPr>
              <w:t>0</w:t>
            </w:r>
          </w:p>
        </w:tc>
      </w:tr>
      <w:tr w14:paraId="257BA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pct"/>
            <w:vMerge w:val="continue"/>
            <w:tcBorders>
              <w:top w:val="single" w:color="auto" w:sz="4" w:space="0"/>
              <w:left w:val="single" w:color="auto" w:sz="4" w:space="0"/>
              <w:bottom w:val="single" w:color="auto" w:sz="4" w:space="0"/>
              <w:right w:val="single" w:color="auto" w:sz="4" w:space="0"/>
            </w:tcBorders>
            <w:vAlign w:val="center"/>
          </w:tcPr>
          <w:p w14:paraId="447E3A1F">
            <w:pPr>
              <w:pStyle w:val="3127"/>
              <w:rPr>
                <w:color w:val="auto"/>
              </w:rPr>
            </w:pPr>
          </w:p>
        </w:tc>
        <w:tc>
          <w:tcPr>
            <w:tcW w:w="3282" w:type="pct"/>
            <w:tcBorders>
              <w:top w:val="single" w:color="auto" w:sz="4" w:space="0"/>
              <w:left w:val="single" w:color="auto" w:sz="4" w:space="0"/>
              <w:bottom w:val="single" w:color="auto" w:sz="4" w:space="0"/>
              <w:right w:val="single" w:color="auto" w:sz="4" w:space="0"/>
            </w:tcBorders>
            <w:vAlign w:val="center"/>
          </w:tcPr>
          <w:p w14:paraId="2D581195">
            <w:pPr>
              <w:pStyle w:val="3127"/>
              <w:rPr>
                <w:color w:val="auto"/>
              </w:rPr>
            </w:pPr>
            <w:r>
              <w:rPr>
                <w:rFonts w:hint="eastAsia"/>
                <w:color w:val="auto"/>
              </w:rPr>
              <w:t>无机酸制酸工艺、焦化工艺</w:t>
            </w:r>
          </w:p>
        </w:tc>
        <w:tc>
          <w:tcPr>
            <w:tcW w:w="611" w:type="pct"/>
            <w:tcBorders>
              <w:top w:val="single" w:color="auto" w:sz="4" w:space="0"/>
              <w:left w:val="single" w:color="auto" w:sz="4" w:space="0"/>
              <w:bottom w:val="single" w:color="auto" w:sz="4" w:space="0"/>
              <w:right w:val="single" w:color="auto" w:sz="4" w:space="0"/>
            </w:tcBorders>
            <w:vAlign w:val="center"/>
          </w:tcPr>
          <w:p w14:paraId="5244F7C3">
            <w:pPr>
              <w:pStyle w:val="3127"/>
              <w:rPr>
                <w:color w:val="auto"/>
              </w:rPr>
            </w:pPr>
            <w:r>
              <w:rPr>
                <w:rFonts w:hint="eastAsia"/>
                <w:color w:val="auto"/>
              </w:rPr>
              <w:t>5/套</w:t>
            </w:r>
          </w:p>
        </w:tc>
        <w:tc>
          <w:tcPr>
            <w:tcW w:w="438" w:type="pct"/>
            <w:tcBorders>
              <w:top w:val="single" w:color="auto" w:sz="4" w:space="0"/>
              <w:left w:val="single" w:color="auto" w:sz="4" w:space="0"/>
              <w:bottom w:val="single" w:color="auto" w:sz="4" w:space="0"/>
              <w:right w:val="single" w:color="auto" w:sz="4" w:space="0"/>
            </w:tcBorders>
            <w:vAlign w:val="center"/>
          </w:tcPr>
          <w:p w14:paraId="59AA2350">
            <w:pPr>
              <w:pStyle w:val="3127"/>
              <w:rPr>
                <w:color w:val="auto"/>
              </w:rPr>
            </w:pPr>
            <w:r>
              <w:rPr>
                <w:rFonts w:hint="eastAsia"/>
                <w:color w:val="auto"/>
              </w:rPr>
              <w:t>0</w:t>
            </w:r>
          </w:p>
        </w:tc>
      </w:tr>
      <w:tr w14:paraId="360E3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tcBorders>
              <w:top w:val="single" w:color="auto" w:sz="4" w:space="0"/>
              <w:left w:val="single" w:color="auto" w:sz="4" w:space="0"/>
              <w:bottom w:val="single" w:color="auto" w:sz="4" w:space="0"/>
              <w:right w:val="single" w:color="auto" w:sz="4" w:space="0"/>
            </w:tcBorders>
            <w:vAlign w:val="center"/>
          </w:tcPr>
          <w:p w14:paraId="336B2ADE">
            <w:pPr>
              <w:pStyle w:val="3127"/>
              <w:rPr>
                <w:color w:val="auto"/>
              </w:rPr>
            </w:pPr>
          </w:p>
        </w:tc>
        <w:tc>
          <w:tcPr>
            <w:tcW w:w="3282" w:type="pct"/>
            <w:tcBorders>
              <w:top w:val="single" w:color="auto" w:sz="4" w:space="0"/>
              <w:left w:val="single" w:color="auto" w:sz="4" w:space="0"/>
              <w:bottom w:val="single" w:color="auto" w:sz="4" w:space="0"/>
              <w:right w:val="single" w:color="auto" w:sz="4" w:space="0"/>
            </w:tcBorders>
            <w:vAlign w:val="center"/>
          </w:tcPr>
          <w:p w14:paraId="090410AF">
            <w:pPr>
              <w:pStyle w:val="3127"/>
              <w:rPr>
                <w:color w:val="auto"/>
              </w:rPr>
            </w:pPr>
            <w:r>
              <w:rPr>
                <w:rFonts w:hint="eastAsia"/>
                <w:color w:val="auto"/>
              </w:rPr>
              <w:t>其他高温或高压，且涉及危险物质的工艺过程</w:t>
            </w:r>
            <w:r>
              <w:rPr>
                <w:rFonts w:hint="eastAsia"/>
                <w:color w:val="auto"/>
                <w:position w:val="7"/>
              </w:rPr>
              <w:t>a</w:t>
            </w:r>
            <w:r>
              <w:rPr>
                <w:rFonts w:hint="eastAsia"/>
                <w:color w:val="auto"/>
              </w:rPr>
              <w:t>、危险物质贮存罐区</w:t>
            </w:r>
          </w:p>
        </w:tc>
        <w:tc>
          <w:tcPr>
            <w:tcW w:w="611" w:type="pct"/>
            <w:tcBorders>
              <w:top w:val="single" w:color="auto" w:sz="4" w:space="0"/>
              <w:left w:val="single" w:color="auto" w:sz="4" w:space="0"/>
              <w:bottom w:val="single" w:color="auto" w:sz="4" w:space="0"/>
              <w:right w:val="single" w:color="auto" w:sz="4" w:space="0"/>
            </w:tcBorders>
            <w:vAlign w:val="center"/>
          </w:tcPr>
          <w:p w14:paraId="0DDA6592">
            <w:pPr>
              <w:pStyle w:val="3127"/>
              <w:rPr>
                <w:color w:val="auto"/>
              </w:rPr>
            </w:pPr>
            <w:r>
              <w:rPr>
                <w:rFonts w:hint="eastAsia"/>
                <w:color w:val="auto"/>
              </w:rPr>
              <w:t>5/套（罐区）</w:t>
            </w:r>
          </w:p>
        </w:tc>
        <w:tc>
          <w:tcPr>
            <w:tcW w:w="438" w:type="pct"/>
            <w:tcBorders>
              <w:top w:val="single" w:color="auto" w:sz="4" w:space="0"/>
              <w:left w:val="single" w:color="auto" w:sz="4" w:space="0"/>
              <w:bottom w:val="single" w:color="auto" w:sz="4" w:space="0"/>
              <w:right w:val="single" w:color="auto" w:sz="4" w:space="0"/>
            </w:tcBorders>
            <w:vAlign w:val="center"/>
          </w:tcPr>
          <w:p w14:paraId="301BD6C5">
            <w:pPr>
              <w:pStyle w:val="3127"/>
              <w:rPr>
                <w:color w:val="auto"/>
              </w:rPr>
            </w:pPr>
            <w:r>
              <w:rPr>
                <w:rFonts w:hint="eastAsia"/>
                <w:color w:val="auto"/>
              </w:rPr>
              <w:t>0</w:t>
            </w:r>
          </w:p>
        </w:tc>
      </w:tr>
      <w:tr w14:paraId="4BBDE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tcBorders>
              <w:top w:val="single" w:color="auto" w:sz="4" w:space="0"/>
              <w:left w:val="single" w:color="auto" w:sz="4" w:space="0"/>
              <w:bottom w:val="single" w:color="auto" w:sz="4" w:space="0"/>
              <w:right w:val="single" w:color="auto" w:sz="4" w:space="0"/>
            </w:tcBorders>
            <w:vAlign w:val="center"/>
          </w:tcPr>
          <w:p w14:paraId="76991883">
            <w:pPr>
              <w:pStyle w:val="3127"/>
              <w:rPr>
                <w:color w:val="auto"/>
              </w:rPr>
            </w:pPr>
            <w:r>
              <w:rPr>
                <w:rFonts w:hint="eastAsia"/>
                <w:color w:val="auto"/>
              </w:rPr>
              <w:t>管道、港口/码头等</w:t>
            </w:r>
          </w:p>
        </w:tc>
        <w:tc>
          <w:tcPr>
            <w:tcW w:w="3282" w:type="pct"/>
            <w:tcBorders>
              <w:top w:val="single" w:color="auto" w:sz="4" w:space="0"/>
              <w:left w:val="single" w:color="auto" w:sz="4" w:space="0"/>
              <w:bottom w:val="single" w:color="auto" w:sz="4" w:space="0"/>
              <w:right w:val="single" w:color="auto" w:sz="4" w:space="0"/>
            </w:tcBorders>
            <w:vAlign w:val="center"/>
          </w:tcPr>
          <w:p w14:paraId="4E50658A">
            <w:pPr>
              <w:pStyle w:val="3127"/>
              <w:rPr>
                <w:color w:val="auto"/>
              </w:rPr>
            </w:pPr>
            <w:r>
              <w:rPr>
                <w:rFonts w:hint="eastAsia"/>
                <w:color w:val="auto"/>
              </w:rPr>
              <w:t>涉及危险物质管道运输项目、港口/码头等</w:t>
            </w:r>
          </w:p>
        </w:tc>
        <w:tc>
          <w:tcPr>
            <w:tcW w:w="611" w:type="pct"/>
            <w:tcBorders>
              <w:top w:val="single" w:color="auto" w:sz="4" w:space="0"/>
              <w:left w:val="single" w:color="auto" w:sz="4" w:space="0"/>
              <w:bottom w:val="single" w:color="auto" w:sz="4" w:space="0"/>
              <w:right w:val="single" w:color="auto" w:sz="4" w:space="0"/>
            </w:tcBorders>
            <w:vAlign w:val="center"/>
          </w:tcPr>
          <w:p w14:paraId="2D880519">
            <w:pPr>
              <w:pStyle w:val="3127"/>
              <w:rPr>
                <w:color w:val="auto"/>
              </w:rPr>
            </w:pPr>
            <w:r>
              <w:rPr>
                <w:rFonts w:hint="eastAsia"/>
                <w:color w:val="auto"/>
              </w:rPr>
              <w:t>10</w:t>
            </w:r>
          </w:p>
        </w:tc>
        <w:tc>
          <w:tcPr>
            <w:tcW w:w="438" w:type="pct"/>
            <w:tcBorders>
              <w:top w:val="single" w:color="auto" w:sz="4" w:space="0"/>
              <w:left w:val="single" w:color="auto" w:sz="4" w:space="0"/>
              <w:bottom w:val="single" w:color="auto" w:sz="4" w:space="0"/>
              <w:right w:val="single" w:color="auto" w:sz="4" w:space="0"/>
            </w:tcBorders>
            <w:vAlign w:val="center"/>
          </w:tcPr>
          <w:p w14:paraId="0668FA8F">
            <w:pPr>
              <w:pStyle w:val="3127"/>
              <w:rPr>
                <w:color w:val="auto"/>
              </w:rPr>
            </w:pPr>
            <w:r>
              <w:rPr>
                <w:rFonts w:hint="eastAsia"/>
                <w:color w:val="auto"/>
              </w:rPr>
              <w:t>0</w:t>
            </w:r>
          </w:p>
        </w:tc>
      </w:tr>
      <w:tr w14:paraId="161BC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tcBorders>
              <w:top w:val="single" w:color="auto" w:sz="4" w:space="0"/>
              <w:left w:val="single" w:color="auto" w:sz="4" w:space="0"/>
              <w:bottom w:val="single" w:color="auto" w:sz="4" w:space="0"/>
              <w:right w:val="single" w:color="auto" w:sz="4" w:space="0"/>
            </w:tcBorders>
            <w:vAlign w:val="center"/>
          </w:tcPr>
          <w:p w14:paraId="14574992">
            <w:pPr>
              <w:pStyle w:val="3127"/>
              <w:rPr>
                <w:color w:val="auto"/>
              </w:rPr>
            </w:pPr>
            <w:r>
              <w:rPr>
                <w:rFonts w:hint="eastAsia"/>
                <w:color w:val="auto"/>
              </w:rPr>
              <w:t>石油天然气</w:t>
            </w:r>
          </w:p>
        </w:tc>
        <w:tc>
          <w:tcPr>
            <w:tcW w:w="3282" w:type="pct"/>
            <w:tcBorders>
              <w:top w:val="single" w:color="auto" w:sz="4" w:space="0"/>
              <w:left w:val="single" w:color="auto" w:sz="4" w:space="0"/>
              <w:bottom w:val="single" w:color="auto" w:sz="4" w:space="0"/>
              <w:right w:val="single" w:color="auto" w:sz="4" w:space="0"/>
            </w:tcBorders>
            <w:vAlign w:val="center"/>
          </w:tcPr>
          <w:p w14:paraId="36FFFBBC">
            <w:pPr>
              <w:pStyle w:val="3127"/>
              <w:rPr>
                <w:color w:val="auto"/>
              </w:rPr>
            </w:pPr>
            <w:r>
              <w:rPr>
                <w:rFonts w:hint="eastAsia"/>
                <w:color w:val="auto"/>
              </w:rPr>
              <w:t>石油、天然气、页岩气开采（含净化），气库（不含加气站的气库），油库（不含加气站的油库）、油气管线</w:t>
            </w:r>
            <w:r>
              <w:rPr>
                <w:rFonts w:hint="eastAsia"/>
                <w:color w:val="auto"/>
                <w:vertAlign w:val="superscript"/>
              </w:rPr>
              <w:t>b</w:t>
            </w:r>
            <w:r>
              <w:rPr>
                <w:rFonts w:hint="eastAsia"/>
                <w:color w:val="auto"/>
              </w:rPr>
              <w:t>（不含城镇燃气管线）</w:t>
            </w:r>
          </w:p>
        </w:tc>
        <w:tc>
          <w:tcPr>
            <w:tcW w:w="611" w:type="pct"/>
            <w:tcBorders>
              <w:top w:val="single" w:color="auto" w:sz="4" w:space="0"/>
              <w:left w:val="single" w:color="auto" w:sz="4" w:space="0"/>
              <w:bottom w:val="single" w:color="auto" w:sz="4" w:space="0"/>
              <w:right w:val="single" w:color="auto" w:sz="4" w:space="0"/>
            </w:tcBorders>
            <w:vAlign w:val="center"/>
          </w:tcPr>
          <w:p w14:paraId="654BCB77">
            <w:pPr>
              <w:pStyle w:val="3127"/>
              <w:rPr>
                <w:color w:val="auto"/>
              </w:rPr>
            </w:pPr>
            <w:r>
              <w:rPr>
                <w:rFonts w:hint="eastAsia"/>
                <w:color w:val="auto"/>
              </w:rPr>
              <w:t>10</w:t>
            </w:r>
          </w:p>
        </w:tc>
        <w:tc>
          <w:tcPr>
            <w:tcW w:w="438" w:type="pct"/>
            <w:tcBorders>
              <w:top w:val="single" w:color="auto" w:sz="4" w:space="0"/>
              <w:left w:val="single" w:color="auto" w:sz="4" w:space="0"/>
              <w:bottom w:val="single" w:color="auto" w:sz="4" w:space="0"/>
              <w:right w:val="single" w:color="auto" w:sz="4" w:space="0"/>
            </w:tcBorders>
            <w:vAlign w:val="center"/>
          </w:tcPr>
          <w:p w14:paraId="33BA5D52">
            <w:pPr>
              <w:pStyle w:val="3127"/>
              <w:rPr>
                <w:color w:val="auto"/>
              </w:rPr>
            </w:pPr>
            <w:r>
              <w:rPr>
                <w:rFonts w:hint="eastAsia"/>
                <w:color w:val="auto"/>
              </w:rPr>
              <w:t>0</w:t>
            </w:r>
          </w:p>
        </w:tc>
      </w:tr>
      <w:tr w14:paraId="16164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pct"/>
            <w:tcBorders>
              <w:top w:val="single" w:color="auto" w:sz="4" w:space="0"/>
              <w:left w:val="single" w:color="auto" w:sz="4" w:space="0"/>
              <w:bottom w:val="single" w:color="auto" w:sz="4" w:space="0"/>
              <w:right w:val="single" w:color="auto" w:sz="4" w:space="0"/>
            </w:tcBorders>
            <w:vAlign w:val="center"/>
          </w:tcPr>
          <w:p w14:paraId="7C79A45F">
            <w:pPr>
              <w:pStyle w:val="3127"/>
              <w:rPr>
                <w:color w:val="auto"/>
              </w:rPr>
            </w:pPr>
            <w:r>
              <w:rPr>
                <w:rFonts w:hint="eastAsia"/>
                <w:color w:val="auto"/>
              </w:rPr>
              <w:t>其他</w:t>
            </w:r>
          </w:p>
        </w:tc>
        <w:tc>
          <w:tcPr>
            <w:tcW w:w="3282" w:type="pct"/>
            <w:tcBorders>
              <w:top w:val="single" w:color="auto" w:sz="4" w:space="0"/>
              <w:left w:val="single" w:color="auto" w:sz="4" w:space="0"/>
              <w:bottom w:val="single" w:color="auto" w:sz="4" w:space="0"/>
              <w:right w:val="single" w:color="auto" w:sz="4" w:space="0"/>
            </w:tcBorders>
            <w:vAlign w:val="center"/>
          </w:tcPr>
          <w:p w14:paraId="2E4450A0">
            <w:pPr>
              <w:pStyle w:val="3127"/>
              <w:rPr>
                <w:color w:val="auto"/>
              </w:rPr>
            </w:pPr>
            <w:r>
              <w:rPr>
                <w:rFonts w:hint="eastAsia"/>
                <w:color w:val="auto"/>
              </w:rPr>
              <w:t>涉及危险物质使用、贮存的项目</w:t>
            </w:r>
          </w:p>
        </w:tc>
        <w:tc>
          <w:tcPr>
            <w:tcW w:w="611" w:type="pct"/>
            <w:tcBorders>
              <w:top w:val="single" w:color="auto" w:sz="4" w:space="0"/>
              <w:left w:val="single" w:color="auto" w:sz="4" w:space="0"/>
              <w:bottom w:val="single" w:color="auto" w:sz="4" w:space="0"/>
              <w:right w:val="single" w:color="auto" w:sz="4" w:space="0"/>
            </w:tcBorders>
            <w:vAlign w:val="center"/>
          </w:tcPr>
          <w:p w14:paraId="394664B3">
            <w:pPr>
              <w:pStyle w:val="3127"/>
              <w:rPr>
                <w:color w:val="auto"/>
              </w:rPr>
            </w:pPr>
            <w:r>
              <w:rPr>
                <w:rFonts w:hint="eastAsia"/>
                <w:color w:val="auto"/>
              </w:rPr>
              <w:t>5</w:t>
            </w:r>
          </w:p>
        </w:tc>
        <w:tc>
          <w:tcPr>
            <w:tcW w:w="438" w:type="pct"/>
            <w:tcBorders>
              <w:top w:val="single" w:color="auto" w:sz="4" w:space="0"/>
              <w:left w:val="single" w:color="auto" w:sz="4" w:space="0"/>
              <w:bottom w:val="single" w:color="auto" w:sz="4" w:space="0"/>
              <w:right w:val="single" w:color="auto" w:sz="4" w:space="0"/>
            </w:tcBorders>
            <w:vAlign w:val="center"/>
          </w:tcPr>
          <w:p w14:paraId="1EA1F784">
            <w:pPr>
              <w:pStyle w:val="3127"/>
              <w:rPr>
                <w:color w:val="auto"/>
              </w:rPr>
            </w:pPr>
            <w:r>
              <w:rPr>
                <w:rFonts w:hint="eastAsia"/>
                <w:color w:val="auto"/>
              </w:rPr>
              <w:t>5</w:t>
            </w:r>
          </w:p>
        </w:tc>
      </w:tr>
      <w:tr w14:paraId="0AF3D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07ADF45B">
            <w:pPr>
              <w:pStyle w:val="3127"/>
              <w:rPr>
                <w:color w:val="auto"/>
              </w:rPr>
            </w:pPr>
            <w:r>
              <w:rPr>
                <w:rFonts w:hint="eastAsia"/>
                <w:color w:val="auto"/>
              </w:rPr>
              <w:t>a 高温指工艺温度≥300</w:t>
            </w:r>
            <w:r>
              <w:rPr>
                <w:rFonts w:hint="eastAsia" w:ascii="宋体" w:hAnsi="宋体" w:cs="宋体"/>
                <w:color w:val="auto"/>
              </w:rPr>
              <w:t>℃</w:t>
            </w:r>
            <w:r>
              <w:rPr>
                <w:rFonts w:hint="eastAsia"/>
                <w:color w:val="auto"/>
              </w:rPr>
              <w:t>，高压指压力容器的设计压力（P）≥10.0MPa</w:t>
            </w:r>
          </w:p>
          <w:p w14:paraId="196B2DB0">
            <w:pPr>
              <w:pStyle w:val="3127"/>
              <w:rPr>
                <w:color w:val="auto"/>
              </w:rPr>
            </w:pPr>
            <w:r>
              <w:rPr>
                <w:rFonts w:hint="eastAsia"/>
                <w:color w:val="auto"/>
              </w:rPr>
              <w:t>b长输管道运输项目应按站场、管线分段进行评价</w:t>
            </w:r>
          </w:p>
        </w:tc>
      </w:tr>
    </w:tbl>
    <w:p w14:paraId="35A88B47">
      <w:pPr>
        <w:spacing w:line="460" w:lineRule="exact"/>
        <w:ind w:firstLine="480"/>
        <w:rPr>
          <w:color w:val="auto"/>
          <w:kern w:val="0"/>
        </w:rPr>
      </w:pPr>
      <w:r>
        <w:rPr>
          <w:rFonts w:hint="eastAsia"/>
          <w:color w:val="auto"/>
          <w:kern w:val="0"/>
        </w:rPr>
        <w:t>项目建成后，拟建项目危险物质使用、贮存。项目</w:t>
      </w:r>
      <w:r>
        <w:rPr>
          <w:color w:val="auto"/>
          <w:kern w:val="0"/>
        </w:rPr>
        <w:t>M=5</w:t>
      </w:r>
      <w:r>
        <w:rPr>
          <w:rFonts w:hint="eastAsia"/>
          <w:color w:val="auto"/>
          <w:kern w:val="0"/>
        </w:rPr>
        <w:t>，M值类型为</w:t>
      </w:r>
      <w:r>
        <w:rPr>
          <w:color w:val="auto"/>
          <w:kern w:val="0"/>
        </w:rPr>
        <w:t>M4</w:t>
      </w:r>
      <w:r>
        <w:rPr>
          <w:rFonts w:hint="eastAsia"/>
          <w:color w:val="auto"/>
          <w:kern w:val="0"/>
        </w:rPr>
        <w:t>。</w:t>
      </w:r>
    </w:p>
    <w:p w14:paraId="1F22EA1A">
      <w:pPr>
        <w:spacing w:line="460" w:lineRule="exact"/>
        <w:ind w:firstLine="480"/>
        <w:rPr>
          <w:color w:val="auto"/>
        </w:rPr>
      </w:pPr>
    </w:p>
    <w:p w14:paraId="5C050FF0">
      <w:pPr>
        <w:pStyle w:val="5"/>
        <w:numPr>
          <w:ilvl w:val="0"/>
          <w:numId w:val="0"/>
        </w:numPr>
        <w:spacing w:line="360" w:lineRule="auto"/>
        <w:jc w:val="left"/>
        <w:rPr>
          <w:color w:val="auto"/>
          <w:szCs w:val="24"/>
          <w:lang w:val="en-US"/>
        </w:rPr>
      </w:pPr>
      <w:r>
        <w:rPr>
          <w:color w:val="auto"/>
          <w:szCs w:val="24"/>
          <w:lang w:val="en-US"/>
        </w:rPr>
        <w:t>7.3.2</w:t>
      </w:r>
      <w:r>
        <w:rPr>
          <w:rFonts w:hint="eastAsia"/>
          <w:color w:val="auto"/>
          <w:szCs w:val="24"/>
          <w:lang w:val="en-US"/>
        </w:rPr>
        <w:t>危险物质及工艺系统危险性（P）分级判定</w:t>
      </w:r>
    </w:p>
    <w:p w14:paraId="1AFC5F13">
      <w:pPr>
        <w:spacing w:line="460" w:lineRule="exact"/>
        <w:ind w:firstLine="480"/>
        <w:rPr>
          <w:color w:val="auto"/>
        </w:rPr>
      </w:pPr>
      <w:r>
        <w:rPr>
          <w:rFonts w:hint="eastAsia"/>
          <w:color w:val="auto"/>
        </w:rPr>
        <w:t>根据危险物质数量与临界量比值（</w:t>
      </w:r>
      <w:r>
        <w:rPr>
          <w:color w:val="auto"/>
        </w:rPr>
        <w:t>Q</w:t>
      </w:r>
      <w:r>
        <w:rPr>
          <w:rFonts w:hint="eastAsia"/>
          <w:color w:val="auto"/>
        </w:rPr>
        <w:t>）和行业及生产工艺（</w:t>
      </w:r>
      <w:r>
        <w:rPr>
          <w:color w:val="auto"/>
        </w:rPr>
        <w:t>M</w:t>
      </w:r>
      <w:r>
        <w:rPr>
          <w:rFonts w:hint="eastAsia"/>
          <w:color w:val="auto"/>
        </w:rPr>
        <w:t>），按照下表确定危险物质及工艺系统危险性等级（</w:t>
      </w:r>
      <w:r>
        <w:rPr>
          <w:color w:val="auto"/>
        </w:rPr>
        <w:t>P</w:t>
      </w:r>
      <w:r>
        <w:rPr>
          <w:rFonts w:hint="eastAsia"/>
          <w:color w:val="auto"/>
        </w:rPr>
        <w:t>）。具体见表</w:t>
      </w:r>
      <w:r>
        <w:rPr>
          <w:color w:val="auto"/>
        </w:rPr>
        <w:t>8.3-4</w:t>
      </w:r>
      <w:r>
        <w:rPr>
          <w:rFonts w:hint="eastAsia"/>
          <w:color w:val="auto"/>
        </w:rPr>
        <w:t>。</w:t>
      </w:r>
    </w:p>
    <w:p w14:paraId="074A03FF">
      <w:pPr>
        <w:spacing w:line="460" w:lineRule="exact"/>
        <w:ind w:firstLine="422"/>
        <w:jc w:val="center"/>
        <w:rPr>
          <w:b/>
          <w:color w:val="auto"/>
          <w:kern w:val="0"/>
          <w:sz w:val="21"/>
          <w:szCs w:val="21"/>
        </w:rPr>
      </w:pPr>
      <w:r>
        <w:rPr>
          <w:rFonts w:hint="eastAsia"/>
          <w:b/>
          <w:color w:val="auto"/>
          <w:kern w:val="0"/>
          <w:sz w:val="21"/>
          <w:szCs w:val="21"/>
        </w:rPr>
        <w:t>表</w:t>
      </w:r>
      <w:r>
        <w:rPr>
          <w:b/>
          <w:color w:val="auto"/>
          <w:kern w:val="0"/>
          <w:sz w:val="21"/>
          <w:szCs w:val="21"/>
        </w:rPr>
        <w:t xml:space="preserve">7.3-4  </w:t>
      </w:r>
      <w:r>
        <w:rPr>
          <w:rFonts w:hint="eastAsia"/>
          <w:b/>
          <w:color w:val="auto"/>
          <w:kern w:val="0"/>
          <w:sz w:val="21"/>
          <w:szCs w:val="21"/>
        </w:rPr>
        <w:t>危险物质及工艺系统危险性等级判断（</w:t>
      </w:r>
      <w:r>
        <w:rPr>
          <w:b/>
          <w:color w:val="auto"/>
          <w:kern w:val="0"/>
          <w:sz w:val="21"/>
          <w:szCs w:val="21"/>
        </w:rPr>
        <w:t>P</w:t>
      </w:r>
      <w:r>
        <w:rPr>
          <w:rFonts w:hint="eastAsia"/>
          <w:b/>
          <w:color w:val="auto"/>
          <w:kern w:val="0"/>
          <w:sz w:val="21"/>
          <w:szCs w:val="21"/>
        </w:rPr>
        <w:t>）</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3"/>
        <w:gridCol w:w="2104"/>
        <w:gridCol w:w="1655"/>
        <w:gridCol w:w="1803"/>
        <w:gridCol w:w="1531"/>
      </w:tblGrid>
      <w:tr w14:paraId="0E68D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1" w:type="pct"/>
            <w:vMerge w:val="restart"/>
            <w:shd w:val="clear" w:color="auto" w:fill="auto"/>
            <w:vAlign w:val="center"/>
          </w:tcPr>
          <w:p w14:paraId="78F50088">
            <w:pPr>
              <w:spacing w:line="240" w:lineRule="auto"/>
              <w:ind w:firstLine="420"/>
              <w:jc w:val="center"/>
              <w:rPr>
                <w:color w:val="auto"/>
                <w:sz w:val="21"/>
              </w:rPr>
            </w:pPr>
            <w:r>
              <w:rPr>
                <w:rFonts w:hint="eastAsia"/>
                <w:color w:val="auto"/>
                <w:sz w:val="21"/>
              </w:rPr>
              <w:t>危险物质数量与临界量比值（Q）</w:t>
            </w:r>
          </w:p>
        </w:tc>
        <w:tc>
          <w:tcPr>
            <w:tcW w:w="3819" w:type="pct"/>
            <w:gridSpan w:val="4"/>
            <w:shd w:val="clear" w:color="auto" w:fill="auto"/>
            <w:vAlign w:val="center"/>
          </w:tcPr>
          <w:p w14:paraId="789D2E47">
            <w:pPr>
              <w:spacing w:line="240" w:lineRule="auto"/>
              <w:ind w:firstLine="420"/>
              <w:jc w:val="center"/>
              <w:rPr>
                <w:color w:val="auto"/>
                <w:sz w:val="21"/>
              </w:rPr>
            </w:pPr>
            <w:r>
              <w:rPr>
                <w:rFonts w:hint="eastAsia"/>
                <w:color w:val="auto"/>
                <w:sz w:val="21"/>
              </w:rPr>
              <w:t>行业及生产工艺（M）</w:t>
            </w:r>
          </w:p>
        </w:tc>
      </w:tr>
      <w:tr w14:paraId="48046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shd w:val="clear" w:color="auto" w:fill="auto"/>
            <w:vAlign w:val="center"/>
          </w:tcPr>
          <w:p w14:paraId="43E97686">
            <w:pPr>
              <w:spacing w:line="240" w:lineRule="auto"/>
              <w:ind w:firstLine="420"/>
              <w:rPr>
                <w:color w:val="auto"/>
                <w:sz w:val="21"/>
              </w:rPr>
            </w:pPr>
          </w:p>
        </w:tc>
        <w:tc>
          <w:tcPr>
            <w:tcW w:w="1133" w:type="pct"/>
            <w:shd w:val="clear" w:color="auto" w:fill="auto"/>
            <w:vAlign w:val="center"/>
          </w:tcPr>
          <w:p w14:paraId="4E8319C0">
            <w:pPr>
              <w:spacing w:line="240" w:lineRule="auto"/>
              <w:ind w:firstLine="420"/>
              <w:jc w:val="center"/>
              <w:rPr>
                <w:color w:val="auto"/>
                <w:sz w:val="21"/>
              </w:rPr>
            </w:pPr>
            <w:r>
              <w:rPr>
                <w:rFonts w:hint="eastAsia"/>
                <w:color w:val="auto"/>
                <w:sz w:val="21"/>
              </w:rPr>
              <w:t>M1</w:t>
            </w:r>
          </w:p>
        </w:tc>
        <w:tc>
          <w:tcPr>
            <w:tcW w:w="891" w:type="pct"/>
            <w:shd w:val="clear" w:color="auto" w:fill="auto"/>
            <w:vAlign w:val="center"/>
          </w:tcPr>
          <w:p w14:paraId="773E97E5">
            <w:pPr>
              <w:spacing w:line="240" w:lineRule="auto"/>
              <w:ind w:firstLine="420"/>
              <w:jc w:val="center"/>
              <w:rPr>
                <w:color w:val="auto"/>
                <w:sz w:val="21"/>
              </w:rPr>
            </w:pPr>
            <w:r>
              <w:rPr>
                <w:rFonts w:hint="eastAsia"/>
                <w:color w:val="auto"/>
                <w:sz w:val="21"/>
              </w:rPr>
              <w:t>M2</w:t>
            </w:r>
          </w:p>
        </w:tc>
        <w:tc>
          <w:tcPr>
            <w:tcW w:w="971" w:type="pct"/>
            <w:shd w:val="clear" w:color="auto" w:fill="auto"/>
            <w:vAlign w:val="center"/>
          </w:tcPr>
          <w:p w14:paraId="31BB5D89">
            <w:pPr>
              <w:spacing w:line="240" w:lineRule="auto"/>
              <w:ind w:firstLine="420"/>
              <w:jc w:val="center"/>
              <w:rPr>
                <w:color w:val="auto"/>
                <w:sz w:val="21"/>
              </w:rPr>
            </w:pPr>
            <w:r>
              <w:rPr>
                <w:rFonts w:hint="eastAsia"/>
                <w:color w:val="auto"/>
                <w:sz w:val="21"/>
              </w:rPr>
              <w:t>M3</w:t>
            </w:r>
          </w:p>
        </w:tc>
        <w:tc>
          <w:tcPr>
            <w:tcW w:w="824" w:type="pct"/>
            <w:shd w:val="clear" w:color="auto" w:fill="auto"/>
            <w:vAlign w:val="center"/>
          </w:tcPr>
          <w:p w14:paraId="20E3C254">
            <w:pPr>
              <w:spacing w:line="240" w:lineRule="auto"/>
              <w:ind w:firstLine="420"/>
              <w:jc w:val="center"/>
              <w:rPr>
                <w:color w:val="auto"/>
                <w:sz w:val="21"/>
              </w:rPr>
            </w:pPr>
            <w:r>
              <w:rPr>
                <w:rFonts w:hint="eastAsia"/>
                <w:color w:val="auto"/>
                <w:sz w:val="21"/>
              </w:rPr>
              <w:t>M4</w:t>
            </w:r>
          </w:p>
        </w:tc>
      </w:tr>
      <w:tr w14:paraId="4DBD5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shd w:val="clear" w:color="auto" w:fill="auto"/>
            <w:vAlign w:val="center"/>
          </w:tcPr>
          <w:p w14:paraId="2E06B612">
            <w:pPr>
              <w:spacing w:line="240" w:lineRule="auto"/>
              <w:ind w:firstLine="420"/>
              <w:jc w:val="center"/>
              <w:rPr>
                <w:color w:val="auto"/>
                <w:sz w:val="21"/>
              </w:rPr>
            </w:pPr>
            <w:bookmarkStart w:id="270" w:name="_Hlk55224088"/>
            <w:r>
              <w:rPr>
                <w:rFonts w:hint="eastAsia"/>
                <w:color w:val="auto"/>
                <w:kern w:val="28"/>
                <w:sz w:val="21"/>
              </w:rPr>
              <w:t>Q≥100</w:t>
            </w:r>
          </w:p>
        </w:tc>
        <w:tc>
          <w:tcPr>
            <w:tcW w:w="1133" w:type="pct"/>
            <w:shd w:val="clear" w:color="auto" w:fill="auto"/>
            <w:vAlign w:val="center"/>
          </w:tcPr>
          <w:p w14:paraId="0974027C">
            <w:pPr>
              <w:spacing w:before="24" w:line="240" w:lineRule="auto"/>
              <w:ind w:firstLine="420"/>
              <w:jc w:val="center"/>
              <w:rPr>
                <w:color w:val="auto"/>
                <w:sz w:val="21"/>
              </w:rPr>
            </w:pPr>
            <w:r>
              <w:rPr>
                <w:rFonts w:hint="eastAsia"/>
                <w:color w:val="auto"/>
                <w:kern w:val="28"/>
                <w:sz w:val="21"/>
              </w:rPr>
              <w:t>P1</w:t>
            </w:r>
          </w:p>
        </w:tc>
        <w:tc>
          <w:tcPr>
            <w:tcW w:w="891" w:type="pct"/>
            <w:shd w:val="clear" w:color="auto" w:fill="auto"/>
            <w:vAlign w:val="center"/>
          </w:tcPr>
          <w:p w14:paraId="719E288C">
            <w:pPr>
              <w:spacing w:before="24" w:line="240" w:lineRule="auto"/>
              <w:ind w:firstLine="420"/>
              <w:jc w:val="center"/>
              <w:rPr>
                <w:color w:val="auto"/>
                <w:sz w:val="21"/>
              </w:rPr>
            </w:pPr>
            <w:r>
              <w:rPr>
                <w:rFonts w:hint="eastAsia"/>
                <w:color w:val="auto"/>
                <w:kern w:val="28"/>
                <w:sz w:val="21"/>
              </w:rPr>
              <w:t>P1</w:t>
            </w:r>
          </w:p>
        </w:tc>
        <w:tc>
          <w:tcPr>
            <w:tcW w:w="971" w:type="pct"/>
            <w:shd w:val="clear" w:color="auto" w:fill="auto"/>
            <w:vAlign w:val="center"/>
          </w:tcPr>
          <w:p w14:paraId="237CE176">
            <w:pPr>
              <w:spacing w:before="24" w:line="240" w:lineRule="auto"/>
              <w:ind w:firstLine="420"/>
              <w:jc w:val="center"/>
              <w:rPr>
                <w:color w:val="auto"/>
                <w:sz w:val="21"/>
              </w:rPr>
            </w:pPr>
            <w:r>
              <w:rPr>
                <w:rFonts w:hint="eastAsia"/>
                <w:color w:val="auto"/>
                <w:kern w:val="28"/>
                <w:sz w:val="21"/>
              </w:rPr>
              <w:t>P2</w:t>
            </w:r>
          </w:p>
        </w:tc>
        <w:tc>
          <w:tcPr>
            <w:tcW w:w="824" w:type="pct"/>
            <w:shd w:val="clear" w:color="auto" w:fill="auto"/>
            <w:vAlign w:val="center"/>
          </w:tcPr>
          <w:p w14:paraId="1E82183A">
            <w:pPr>
              <w:spacing w:before="24" w:line="240" w:lineRule="auto"/>
              <w:ind w:firstLine="420"/>
              <w:jc w:val="center"/>
              <w:rPr>
                <w:color w:val="auto"/>
                <w:sz w:val="21"/>
              </w:rPr>
            </w:pPr>
            <w:r>
              <w:rPr>
                <w:rFonts w:hint="eastAsia"/>
                <w:color w:val="auto"/>
                <w:kern w:val="28"/>
                <w:sz w:val="21"/>
              </w:rPr>
              <w:t>P3</w:t>
            </w:r>
          </w:p>
        </w:tc>
      </w:tr>
      <w:bookmarkEnd w:id="270"/>
      <w:tr w14:paraId="0AAFB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shd w:val="clear" w:color="auto" w:fill="auto"/>
            <w:vAlign w:val="center"/>
          </w:tcPr>
          <w:p w14:paraId="53B73AAD">
            <w:pPr>
              <w:spacing w:line="240" w:lineRule="auto"/>
              <w:ind w:firstLine="420"/>
              <w:jc w:val="center"/>
              <w:rPr>
                <w:color w:val="auto"/>
                <w:sz w:val="21"/>
              </w:rPr>
            </w:pPr>
            <w:r>
              <w:rPr>
                <w:rFonts w:hint="eastAsia"/>
                <w:color w:val="auto"/>
                <w:kern w:val="28"/>
                <w:sz w:val="21"/>
              </w:rPr>
              <w:t>10≤Q＜100</w:t>
            </w:r>
          </w:p>
        </w:tc>
        <w:tc>
          <w:tcPr>
            <w:tcW w:w="1133" w:type="pct"/>
            <w:shd w:val="clear" w:color="auto" w:fill="auto"/>
            <w:vAlign w:val="center"/>
          </w:tcPr>
          <w:p w14:paraId="3EBA19E6">
            <w:pPr>
              <w:spacing w:line="240" w:lineRule="auto"/>
              <w:ind w:firstLine="420"/>
              <w:jc w:val="center"/>
              <w:rPr>
                <w:color w:val="auto"/>
                <w:sz w:val="21"/>
              </w:rPr>
            </w:pPr>
            <w:r>
              <w:rPr>
                <w:rFonts w:hint="eastAsia"/>
                <w:color w:val="auto"/>
                <w:kern w:val="28"/>
                <w:sz w:val="21"/>
              </w:rPr>
              <w:t>P1</w:t>
            </w:r>
          </w:p>
        </w:tc>
        <w:tc>
          <w:tcPr>
            <w:tcW w:w="891" w:type="pct"/>
            <w:shd w:val="clear" w:color="auto" w:fill="auto"/>
            <w:vAlign w:val="center"/>
          </w:tcPr>
          <w:p w14:paraId="2D77E341">
            <w:pPr>
              <w:spacing w:line="240" w:lineRule="auto"/>
              <w:ind w:firstLine="420"/>
              <w:jc w:val="center"/>
              <w:rPr>
                <w:color w:val="auto"/>
                <w:sz w:val="21"/>
              </w:rPr>
            </w:pPr>
            <w:r>
              <w:rPr>
                <w:rFonts w:hint="eastAsia"/>
                <w:color w:val="auto"/>
                <w:kern w:val="28"/>
                <w:sz w:val="21"/>
              </w:rPr>
              <w:t>P2</w:t>
            </w:r>
          </w:p>
        </w:tc>
        <w:tc>
          <w:tcPr>
            <w:tcW w:w="971" w:type="pct"/>
            <w:tcBorders>
              <w:bottom w:val="single" w:color="auto" w:sz="4" w:space="0"/>
            </w:tcBorders>
            <w:shd w:val="clear" w:color="auto" w:fill="auto"/>
            <w:vAlign w:val="center"/>
          </w:tcPr>
          <w:p w14:paraId="515F3544">
            <w:pPr>
              <w:spacing w:line="240" w:lineRule="auto"/>
              <w:ind w:firstLine="420"/>
              <w:jc w:val="center"/>
              <w:rPr>
                <w:color w:val="auto"/>
                <w:sz w:val="21"/>
              </w:rPr>
            </w:pPr>
            <w:r>
              <w:rPr>
                <w:rFonts w:hint="eastAsia"/>
                <w:color w:val="auto"/>
                <w:kern w:val="28"/>
                <w:sz w:val="21"/>
              </w:rPr>
              <w:t>P3</w:t>
            </w:r>
          </w:p>
        </w:tc>
        <w:tc>
          <w:tcPr>
            <w:tcW w:w="824" w:type="pct"/>
            <w:shd w:val="clear" w:color="auto" w:fill="auto"/>
            <w:vAlign w:val="center"/>
          </w:tcPr>
          <w:p w14:paraId="380C622C">
            <w:pPr>
              <w:spacing w:line="240" w:lineRule="auto"/>
              <w:ind w:firstLine="420"/>
              <w:jc w:val="center"/>
              <w:rPr>
                <w:color w:val="auto"/>
                <w:sz w:val="21"/>
              </w:rPr>
            </w:pPr>
            <w:r>
              <w:rPr>
                <w:rFonts w:hint="eastAsia"/>
                <w:color w:val="auto"/>
                <w:kern w:val="28"/>
                <w:sz w:val="21"/>
              </w:rPr>
              <w:t>P4</w:t>
            </w:r>
          </w:p>
        </w:tc>
      </w:tr>
      <w:tr w14:paraId="30712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shd w:val="clear" w:color="auto" w:fill="auto"/>
            <w:vAlign w:val="center"/>
          </w:tcPr>
          <w:p w14:paraId="0E3F0133">
            <w:pPr>
              <w:spacing w:line="240" w:lineRule="auto"/>
              <w:ind w:firstLine="420"/>
              <w:jc w:val="center"/>
              <w:rPr>
                <w:color w:val="auto"/>
                <w:sz w:val="21"/>
              </w:rPr>
            </w:pPr>
            <w:r>
              <w:rPr>
                <w:rFonts w:hint="eastAsia"/>
                <w:color w:val="auto"/>
                <w:kern w:val="28"/>
                <w:sz w:val="21"/>
              </w:rPr>
              <w:t>1≤Q＜10</w:t>
            </w:r>
          </w:p>
        </w:tc>
        <w:tc>
          <w:tcPr>
            <w:tcW w:w="1133" w:type="pct"/>
            <w:shd w:val="clear" w:color="auto" w:fill="auto"/>
            <w:vAlign w:val="center"/>
          </w:tcPr>
          <w:p w14:paraId="17FCB3A5">
            <w:pPr>
              <w:spacing w:line="240" w:lineRule="auto"/>
              <w:ind w:firstLine="420"/>
              <w:jc w:val="center"/>
              <w:rPr>
                <w:color w:val="auto"/>
                <w:sz w:val="21"/>
              </w:rPr>
            </w:pPr>
            <w:r>
              <w:rPr>
                <w:rFonts w:hint="eastAsia"/>
                <w:color w:val="auto"/>
                <w:kern w:val="28"/>
                <w:sz w:val="21"/>
              </w:rPr>
              <w:t>P2</w:t>
            </w:r>
          </w:p>
        </w:tc>
        <w:tc>
          <w:tcPr>
            <w:tcW w:w="891" w:type="pct"/>
            <w:shd w:val="clear" w:color="auto" w:fill="auto"/>
            <w:vAlign w:val="center"/>
          </w:tcPr>
          <w:p w14:paraId="2126315F">
            <w:pPr>
              <w:spacing w:line="240" w:lineRule="auto"/>
              <w:ind w:firstLine="420"/>
              <w:jc w:val="center"/>
              <w:rPr>
                <w:color w:val="auto"/>
                <w:sz w:val="21"/>
              </w:rPr>
            </w:pPr>
            <w:r>
              <w:rPr>
                <w:rFonts w:hint="eastAsia"/>
                <w:color w:val="auto"/>
                <w:kern w:val="28"/>
                <w:sz w:val="21"/>
              </w:rPr>
              <w:t>P3</w:t>
            </w:r>
          </w:p>
        </w:tc>
        <w:tc>
          <w:tcPr>
            <w:tcW w:w="971" w:type="pct"/>
            <w:shd w:val="clear" w:color="auto" w:fill="auto"/>
            <w:vAlign w:val="center"/>
          </w:tcPr>
          <w:p w14:paraId="27F3CBBB">
            <w:pPr>
              <w:spacing w:before="24" w:line="240" w:lineRule="auto"/>
              <w:ind w:firstLine="420"/>
              <w:jc w:val="center"/>
              <w:rPr>
                <w:color w:val="auto"/>
                <w:kern w:val="28"/>
                <w:sz w:val="21"/>
              </w:rPr>
            </w:pPr>
            <w:r>
              <w:rPr>
                <w:rFonts w:hint="eastAsia"/>
                <w:color w:val="auto"/>
                <w:kern w:val="28"/>
                <w:sz w:val="21"/>
              </w:rPr>
              <w:t>P4</w:t>
            </w:r>
          </w:p>
        </w:tc>
        <w:tc>
          <w:tcPr>
            <w:tcW w:w="824" w:type="pct"/>
            <w:shd w:val="clear" w:color="auto" w:fill="auto"/>
            <w:vAlign w:val="center"/>
          </w:tcPr>
          <w:p w14:paraId="0EAA6579">
            <w:pPr>
              <w:spacing w:before="24" w:line="240" w:lineRule="auto"/>
              <w:ind w:firstLine="422"/>
              <w:jc w:val="center"/>
              <w:rPr>
                <w:b/>
                <w:bCs/>
                <w:color w:val="auto"/>
                <w:kern w:val="28"/>
                <w:sz w:val="21"/>
              </w:rPr>
            </w:pPr>
            <w:r>
              <w:rPr>
                <w:rFonts w:hint="eastAsia"/>
                <w:b/>
                <w:bCs/>
                <w:color w:val="auto"/>
                <w:kern w:val="28"/>
                <w:sz w:val="21"/>
              </w:rPr>
              <w:t>P4</w:t>
            </w:r>
          </w:p>
        </w:tc>
      </w:tr>
    </w:tbl>
    <w:p w14:paraId="6045528B">
      <w:pPr>
        <w:spacing w:line="360" w:lineRule="auto"/>
        <w:ind w:firstLine="480"/>
        <w:rPr>
          <w:color w:val="auto"/>
        </w:rPr>
      </w:pPr>
    </w:p>
    <w:p w14:paraId="20A9C348">
      <w:pPr>
        <w:spacing w:line="360" w:lineRule="auto"/>
        <w:ind w:firstLine="480"/>
        <w:rPr>
          <w:snapToGrid w:val="0"/>
          <w:color w:val="auto"/>
          <w:kern w:val="0"/>
          <w:szCs w:val="26"/>
        </w:rPr>
      </w:pPr>
      <w:r>
        <w:rPr>
          <w:rFonts w:hint="eastAsia"/>
          <w:color w:val="auto"/>
        </w:rPr>
        <w:t>根据前述判定，项目建成后</w:t>
      </w:r>
      <w:r>
        <w:rPr>
          <w:color w:val="auto"/>
          <w:kern w:val="28"/>
        </w:rPr>
        <w:t xml:space="preserve"> 10≤Q</w:t>
      </w:r>
      <w:r>
        <w:rPr>
          <w:rFonts w:hint="eastAsia"/>
          <w:color w:val="auto"/>
          <w:kern w:val="28"/>
        </w:rPr>
        <w:t>&lt;</w:t>
      </w:r>
      <w:r>
        <w:rPr>
          <w:color w:val="auto"/>
          <w:kern w:val="28"/>
        </w:rPr>
        <w:t>100</w:t>
      </w:r>
      <w:r>
        <w:rPr>
          <w:rFonts w:hint="eastAsia"/>
          <w:color w:val="auto"/>
        </w:rPr>
        <w:t>，所属行业及生产工艺特点为</w:t>
      </w:r>
      <w:r>
        <w:rPr>
          <w:color w:val="auto"/>
        </w:rPr>
        <w:t>M</w:t>
      </w:r>
      <w:r>
        <w:rPr>
          <w:rFonts w:hint="eastAsia"/>
          <w:color w:val="auto"/>
        </w:rPr>
        <w:t>4类，危险物质及工艺系统危险性等级（</w:t>
      </w:r>
      <w:r>
        <w:rPr>
          <w:color w:val="auto"/>
        </w:rPr>
        <w:t>P</w:t>
      </w:r>
      <w:r>
        <w:rPr>
          <w:rFonts w:hint="eastAsia"/>
          <w:color w:val="auto"/>
        </w:rPr>
        <w:t>）属于</w:t>
      </w:r>
      <w:r>
        <w:rPr>
          <w:color w:val="auto"/>
        </w:rPr>
        <w:t>P</w:t>
      </w:r>
      <w:r>
        <w:rPr>
          <w:rFonts w:hint="eastAsia"/>
          <w:color w:val="auto"/>
        </w:rPr>
        <w:t>4等级。</w:t>
      </w:r>
    </w:p>
    <w:p w14:paraId="063B34D7">
      <w:pPr>
        <w:pStyle w:val="5"/>
        <w:numPr>
          <w:ilvl w:val="0"/>
          <w:numId w:val="0"/>
        </w:numPr>
        <w:spacing w:line="360" w:lineRule="auto"/>
        <w:jc w:val="left"/>
        <w:rPr>
          <w:color w:val="auto"/>
          <w:szCs w:val="24"/>
          <w:lang w:val="en-US"/>
        </w:rPr>
      </w:pPr>
      <w:r>
        <w:rPr>
          <w:color w:val="auto"/>
          <w:szCs w:val="24"/>
          <w:lang w:val="en-US"/>
        </w:rPr>
        <w:t>7.3.2</w:t>
      </w:r>
      <w:r>
        <w:rPr>
          <w:rFonts w:hint="eastAsia"/>
          <w:color w:val="auto"/>
          <w:szCs w:val="24"/>
          <w:lang w:val="en-US"/>
        </w:rPr>
        <w:t>环境敏感程度（E）的分级判定</w:t>
      </w:r>
    </w:p>
    <w:p w14:paraId="16229269">
      <w:pPr>
        <w:spacing w:line="460" w:lineRule="exact"/>
        <w:ind w:firstLine="480"/>
        <w:rPr>
          <w:color w:val="auto"/>
        </w:rPr>
      </w:pPr>
      <w:r>
        <w:rPr>
          <w:rFonts w:hint="eastAsia"/>
          <w:color w:val="auto"/>
        </w:rPr>
        <w:t>（</w:t>
      </w:r>
      <w:r>
        <w:rPr>
          <w:color w:val="auto"/>
        </w:rPr>
        <w:t>1</w:t>
      </w:r>
      <w:r>
        <w:rPr>
          <w:rFonts w:hint="eastAsia"/>
          <w:color w:val="auto"/>
        </w:rPr>
        <w:t>）大气环境敏感程度分级</w:t>
      </w:r>
    </w:p>
    <w:p w14:paraId="0BB2DC49">
      <w:pPr>
        <w:spacing w:line="460" w:lineRule="exact"/>
        <w:ind w:firstLine="480"/>
        <w:rPr>
          <w:color w:val="auto"/>
        </w:rPr>
      </w:pPr>
      <w:r>
        <w:rPr>
          <w:rFonts w:hint="eastAsia"/>
          <w:color w:val="auto"/>
        </w:rPr>
        <w:t>项目周边</w:t>
      </w:r>
      <w:r>
        <w:rPr>
          <w:color w:val="auto"/>
        </w:rPr>
        <w:t xml:space="preserve">5 km </w:t>
      </w:r>
      <w:r>
        <w:rPr>
          <w:rFonts w:hint="eastAsia"/>
          <w:color w:val="auto"/>
        </w:rPr>
        <w:t>范围内主要环境敏感目标包括：居住区、医疗卫生、文化教育、科研、行政办公等机构人口总数约为</w:t>
      </w:r>
      <w:r>
        <w:rPr>
          <w:rFonts w:hint="eastAsia"/>
          <w:color w:val="auto"/>
          <w:lang w:val="en-US" w:eastAsia="zh-CN"/>
        </w:rPr>
        <w:t>2.5</w:t>
      </w:r>
      <w:r>
        <w:rPr>
          <w:rFonts w:hint="eastAsia"/>
          <w:color w:val="auto"/>
        </w:rPr>
        <w:t>万人，小于</w:t>
      </w:r>
      <w:r>
        <w:rPr>
          <w:color w:val="auto"/>
        </w:rPr>
        <w:t>5</w:t>
      </w:r>
      <w:r>
        <w:rPr>
          <w:rFonts w:hint="eastAsia"/>
          <w:color w:val="auto"/>
        </w:rPr>
        <w:t>万人，敏感程度为</w:t>
      </w:r>
      <w:r>
        <w:rPr>
          <w:color w:val="auto"/>
        </w:rPr>
        <w:t>E2</w:t>
      </w:r>
      <w:r>
        <w:rPr>
          <w:rFonts w:hint="eastAsia"/>
          <w:color w:val="auto"/>
        </w:rPr>
        <w:t>。</w:t>
      </w:r>
    </w:p>
    <w:p w14:paraId="41D642D4">
      <w:pPr>
        <w:spacing w:line="460" w:lineRule="exact"/>
        <w:ind w:firstLine="480"/>
        <w:rPr>
          <w:color w:val="auto"/>
        </w:rPr>
      </w:pPr>
      <w:r>
        <w:rPr>
          <w:rFonts w:hint="eastAsia"/>
          <w:color w:val="auto"/>
        </w:rPr>
        <w:t>（</w:t>
      </w:r>
      <w:r>
        <w:rPr>
          <w:color w:val="auto"/>
        </w:rPr>
        <w:t>2</w:t>
      </w:r>
      <w:r>
        <w:rPr>
          <w:rFonts w:hint="eastAsia"/>
          <w:color w:val="auto"/>
        </w:rPr>
        <w:t>）地表水环境敏感程度分级</w:t>
      </w:r>
    </w:p>
    <w:p w14:paraId="7CB8A9EC">
      <w:pPr>
        <w:spacing w:line="460" w:lineRule="exact"/>
        <w:ind w:firstLine="480"/>
        <w:rPr>
          <w:color w:val="auto"/>
        </w:rPr>
      </w:pPr>
      <w:r>
        <w:rPr>
          <w:rFonts w:hint="eastAsia"/>
          <w:color w:val="auto"/>
        </w:rPr>
        <w:t>拟建项目废水排放执行</w:t>
      </w:r>
      <w:r>
        <w:rPr>
          <w:rFonts w:hint="eastAsia"/>
          <w:color w:val="auto"/>
          <w:lang w:eastAsia="zh-CN"/>
        </w:rPr>
        <w:t>《页岩气开采水污染物排放标准》（DB50/1806-2025）间接排放标准限值后直接接入乌杨组团园区污水处理厂</w:t>
      </w:r>
      <w:r>
        <w:rPr>
          <w:rFonts w:hint="eastAsia"/>
          <w:color w:val="auto"/>
        </w:rPr>
        <w:t>进行深度处理达《城镇污水处理厂污染物排放标准》（GB18918-2002）一级 A 标准后排入</w:t>
      </w:r>
      <w:r>
        <w:rPr>
          <w:rFonts w:hint="eastAsia"/>
          <w:color w:val="auto"/>
          <w:lang w:eastAsia="zh-CN"/>
        </w:rPr>
        <w:t>长江</w:t>
      </w:r>
      <w:r>
        <w:rPr>
          <w:rFonts w:hint="eastAsia"/>
          <w:color w:val="auto"/>
        </w:rPr>
        <w:t>。项目排放点进入地表水水域为厂区东侧</w:t>
      </w:r>
      <w:r>
        <w:rPr>
          <w:rFonts w:hint="eastAsia"/>
          <w:color w:val="auto"/>
          <w:lang w:eastAsia="zh-CN"/>
        </w:rPr>
        <w:t>长江</w:t>
      </w:r>
      <w:r>
        <w:rPr>
          <w:rFonts w:hint="eastAsia"/>
          <w:color w:val="auto"/>
        </w:rPr>
        <w:t>，为III类水域。按地表水功能敏感性分区为较敏感</w:t>
      </w:r>
      <w:r>
        <w:rPr>
          <w:color w:val="auto"/>
        </w:rPr>
        <w:t>F</w:t>
      </w:r>
      <w:r>
        <w:rPr>
          <w:rFonts w:hint="eastAsia"/>
          <w:color w:val="auto"/>
        </w:rPr>
        <w:t>2，地表水环境敏感目标分级为S</w:t>
      </w:r>
      <w:r>
        <w:rPr>
          <w:color w:val="auto"/>
        </w:rPr>
        <w:t>3</w:t>
      </w:r>
      <w:r>
        <w:rPr>
          <w:rFonts w:hint="eastAsia"/>
          <w:color w:val="auto"/>
        </w:rPr>
        <w:t>。</w:t>
      </w:r>
    </w:p>
    <w:p w14:paraId="2D5722ED">
      <w:pPr>
        <w:spacing w:line="460" w:lineRule="exact"/>
        <w:ind w:firstLine="480"/>
        <w:rPr>
          <w:color w:val="auto"/>
        </w:rPr>
      </w:pPr>
      <w:r>
        <w:rPr>
          <w:rFonts w:hint="eastAsia"/>
          <w:color w:val="auto"/>
        </w:rPr>
        <w:t>依据事故情况下危险物质泄漏到水体的排放点受纳地表水体功能敏感性，与下游环境敏感目标情况，根据表</w:t>
      </w:r>
      <w:r>
        <w:rPr>
          <w:color w:val="auto"/>
        </w:rPr>
        <w:t>7.3-5</w:t>
      </w:r>
      <w:r>
        <w:rPr>
          <w:rFonts w:hint="eastAsia"/>
          <w:color w:val="auto"/>
        </w:rPr>
        <w:t>，地表水环境敏感程度为</w:t>
      </w:r>
      <w:r>
        <w:rPr>
          <w:color w:val="auto"/>
        </w:rPr>
        <w:t>E2</w:t>
      </w:r>
      <w:r>
        <w:rPr>
          <w:rFonts w:hint="eastAsia"/>
          <w:color w:val="auto"/>
        </w:rPr>
        <w:t>。</w:t>
      </w:r>
    </w:p>
    <w:p w14:paraId="4535827F">
      <w:pPr>
        <w:spacing w:line="460" w:lineRule="exact"/>
        <w:ind w:firstLine="422"/>
        <w:jc w:val="center"/>
        <w:rPr>
          <w:b/>
          <w:color w:val="auto"/>
          <w:kern w:val="0"/>
          <w:sz w:val="21"/>
          <w:szCs w:val="21"/>
        </w:rPr>
      </w:pPr>
      <w:r>
        <w:rPr>
          <w:rFonts w:hint="eastAsia"/>
          <w:b/>
          <w:color w:val="auto"/>
          <w:kern w:val="0"/>
          <w:sz w:val="21"/>
          <w:szCs w:val="21"/>
        </w:rPr>
        <w:t>表</w:t>
      </w:r>
      <w:r>
        <w:rPr>
          <w:b/>
          <w:color w:val="auto"/>
          <w:kern w:val="0"/>
          <w:sz w:val="21"/>
          <w:szCs w:val="21"/>
        </w:rPr>
        <w:t xml:space="preserve">7.3-5   </w:t>
      </w:r>
      <w:r>
        <w:rPr>
          <w:rFonts w:hint="eastAsia"/>
          <w:b/>
          <w:color w:val="auto"/>
          <w:kern w:val="0"/>
          <w:sz w:val="21"/>
          <w:szCs w:val="21"/>
        </w:rPr>
        <w:t>地表水环境敏感程度分级</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4"/>
        <w:gridCol w:w="2264"/>
        <w:gridCol w:w="2264"/>
        <w:gridCol w:w="2264"/>
      </w:tblGrid>
      <w:tr w14:paraId="0A868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3" w:type="pct"/>
            <w:vMerge w:val="restart"/>
            <w:shd w:val="clear" w:color="auto" w:fill="auto"/>
            <w:vAlign w:val="center"/>
          </w:tcPr>
          <w:p w14:paraId="4FA0C93D">
            <w:pPr>
              <w:spacing w:line="240" w:lineRule="auto"/>
              <w:ind w:firstLine="420"/>
              <w:jc w:val="center"/>
              <w:rPr>
                <w:color w:val="auto"/>
                <w:sz w:val="21"/>
              </w:rPr>
            </w:pPr>
            <w:r>
              <w:rPr>
                <w:rFonts w:hint="eastAsia"/>
                <w:color w:val="auto"/>
                <w:sz w:val="21"/>
              </w:rPr>
              <w:t>环境敏感目标</w:t>
            </w:r>
          </w:p>
        </w:tc>
        <w:tc>
          <w:tcPr>
            <w:tcW w:w="3657" w:type="pct"/>
            <w:gridSpan w:val="3"/>
            <w:shd w:val="clear" w:color="auto" w:fill="auto"/>
            <w:vAlign w:val="center"/>
          </w:tcPr>
          <w:p w14:paraId="7EC2848F">
            <w:pPr>
              <w:spacing w:line="240" w:lineRule="auto"/>
              <w:ind w:firstLine="420"/>
              <w:jc w:val="center"/>
              <w:rPr>
                <w:color w:val="auto"/>
                <w:sz w:val="21"/>
              </w:rPr>
            </w:pPr>
            <w:r>
              <w:rPr>
                <w:rFonts w:hint="eastAsia"/>
                <w:color w:val="auto"/>
                <w:sz w:val="21"/>
              </w:rPr>
              <w:t>地表水功能敏感性</w:t>
            </w:r>
          </w:p>
        </w:tc>
      </w:tr>
      <w:tr w14:paraId="7A7B2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shd w:val="clear" w:color="auto" w:fill="auto"/>
            <w:vAlign w:val="center"/>
          </w:tcPr>
          <w:p w14:paraId="213BC52D">
            <w:pPr>
              <w:spacing w:line="240" w:lineRule="auto"/>
              <w:ind w:firstLine="420"/>
              <w:rPr>
                <w:color w:val="auto"/>
                <w:sz w:val="21"/>
              </w:rPr>
            </w:pPr>
          </w:p>
        </w:tc>
        <w:tc>
          <w:tcPr>
            <w:tcW w:w="1219" w:type="pct"/>
            <w:shd w:val="clear" w:color="auto" w:fill="auto"/>
            <w:vAlign w:val="center"/>
          </w:tcPr>
          <w:p w14:paraId="4D38E69B">
            <w:pPr>
              <w:spacing w:line="240" w:lineRule="auto"/>
              <w:ind w:firstLine="420"/>
              <w:jc w:val="center"/>
              <w:rPr>
                <w:color w:val="auto"/>
                <w:sz w:val="21"/>
              </w:rPr>
            </w:pPr>
            <w:r>
              <w:rPr>
                <w:rFonts w:hint="eastAsia"/>
                <w:color w:val="auto"/>
                <w:sz w:val="21"/>
              </w:rPr>
              <w:t>F1</w:t>
            </w:r>
          </w:p>
        </w:tc>
        <w:tc>
          <w:tcPr>
            <w:tcW w:w="1219" w:type="pct"/>
            <w:shd w:val="clear" w:color="auto" w:fill="auto"/>
            <w:vAlign w:val="center"/>
          </w:tcPr>
          <w:p w14:paraId="320AB96A">
            <w:pPr>
              <w:spacing w:line="240" w:lineRule="auto"/>
              <w:ind w:firstLine="420"/>
              <w:jc w:val="center"/>
              <w:rPr>
                <w:color w:val="auto"/>
                <w:sz w:val="21"/>
              </w:rPr>
            </w:pPr>
            <w:r>
              <w:rPr>
                <w:rFonts w:hint="eastAsia"/>
                <w:color w:val="auto"/>
                <w:sz w:val="21"/>
              </w:rPr>
              <w:t>F2</w:t>
            </w:r>
          </w:p>
        </w:tc>
        <w:tc>
          <w:tcPr>
            <w:tcW w:w="1219" w:type="pct"/>
            <w:shd w:val="clear" w:color="auto" w:fill="auto"/>
            <w:vAlign w:val="center"/>
          </w:tcPr>
          <w:p w14:paraId="5853132F">
            <w:pPr>
              <w:spacing w:line="240" w:lineRule="auto"/>
              <w:ind w:firstLine="420"/>
              <w:jc w:val="center"/>
              <w:rPr>
                <w:color w:val="auto"/>
                <w:sz w:val="21"/>
              </w:rPr>
            </w:pPr>
            <w:r>
              <w:rPr>
                <w:rFonts w:hint="eastAsia"/>
                <w:color w:val="auto"/>
                <w:sz w:val="21"/>
              </w:rPr>
              <w:t>F3</w:t>
            </w:r>
          </w:p>
        </w:tc>
      </w:tr>
      <w:tr w14:paraId="227AA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3" w:type="pct"/>
            <w:shd w:val="clear" w:color="auto" w:fill="auto"/>
            <w:vAlign w:val="center"/>
          </w:tcPr>
          <w:p w14:paraId="6D52663C">
            <w:pPr>
              <w:spacing w:line="240" w:lineRule="auto"/>
              <w:ind w:firstLine="420"/>
              <w:jc w:val="center"/>
              <w:rPr>
                <w:color w:val="auto"/>
                <w:sz w:val="21"/>
              </w:rPr>
            </w:pPr>
            <w:r>
              <w:rPr>
                <w:rFonts w:hint="eastAsia"/>
                <w:color w:val="auto"/>
                <w:sz w:val="21"/>
              </w:rPr>
              <w:t>S1</w:t>
            </w:r>
          </w:p>
        </w:tc>
        <w:tc>
          <w:tcPr>
            <w:tcW w:w="1219" w:type="pct"/>
            <w:shd w:val="clear" w:color="auto" w:fill="auto"/>
            <w:vAlign w:val="center"/>
          </w:tcPr>
          <w:p w14:paraId="6BFC1708">
            <w:pPr>
              <w:spacing w:line="240" w:lineRule="auto"/>
              <w:ind w:firstLine="420"/>
              <w:jc w:val="center"/>
              <w:rPr>
                <w:color w:val="auto"/>
                <w:sz w:val="21"/>
              </w:rPr>
            </w:pPr>
            <w:r>
              <w:rPr>
                <w:rFonts w:hint="eastAsia"/>
                <w:color w:val="auto"/>
                <w:sz w:val="21"/>
              </w:rPr>
              <w:t>E1</w:t>
            </w:r>
          </w:p>
        </w:tc>
        <w:tc>
          <w:tcPr>
            <w:tcW w:w="1219" w:type="pct"/>
            <w:shd w:val="clear" w:color="auto" w:fill="auto"/>
            <w:vAlign w:val="center"/>
          </w:tcPr>
          <w:p w14:paraId="7C641A9C">
            <w:pPr>
              <w:spacing w:line="240" w:lineRule="auto"/>
              <w:ind w:firstLine="420"/>
              <w:jc w:val="center"/>
              <w:rPr>
                <w:color w:val="auto"/>
                <w:sz w:val="21"/>
              </w:rPr>
            </w:pPr>
            <w:r>
              <w:rPr>
                <w:rFonts w:hint="eastAsia"/>
                <w:color w:val="auto"/>
                <w:sz w:val="21"/>
              </w:rPr>
              <w:t>E1</w:t>
            </w:r>
          </w:p>
        </w:tc>
        <w:tc>
          <w:tcPr>
            <w:tcW w:w="1219" w:type="pct"/>
            <w:shd w:val="clear" w:color="auto" w:fill="auto"/>
            <w:vAlign w:val="center"/>
          </w:tcPr>
          <w:p w14:paraId="4D5AAD66">
            <w:pPr>
              <w:spacing w:line="240" w:lineRule="auto"/>
              <w:ind w:firstLine="420"/>
              <w:jc w:val="center"/>
              <w:rPr>
                <w:color w:val="auto"/>
                <w:sz w:val="21"/>
              </w:rPr>
            </w:pPr>
            <w:r>
              <w:rPr>
                <w:rFonts w:hint="eastAsia"/>
                <w:color w:val="auto"/>
                <w:sz w:val="21"/>
              </w:rPr>
              <w:t>E2</w:t>
            </w:r>
          </w:p>
        </w:tc>
      </w:tr>
      <w:tr w14:paraId="7A7E0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3" w:type="pct"/>
            <w:shd w:val="clear" w:color="auto" w:fill="auto"/>
            <w:vAlign w:val="center"/>
          </w:tcPr>
          <w:p w14:paraId="269C24DB">
            <w:pPr>
              <w:spacing w:line="240" w:lineRule="auto"/>
              <w:ind w:firstLine="420"/>
              <w:jc w:val="center"/>
              <w:rPr>
                <w:color w:val="auto"/>
                <w:sz w:val="21"/>
              </w:rPr>
            </w:pPr>
            <w:r>
              <w:rPr>
                <w:rFonts w:hint="eastAsia"/>
                <w:color w:val="auto"/>
                <w:sz w:val="21"/>
              </w:rPr>
              <w:t>S2</w:t>
            </w:r>
          </w:p>
        </w:tc>
        <w:tc>
          <w:tcPr>
            <w:tcW w:w="1219" w:type="pct"/>
            <w:shd w:val="clear" w:color="auto" w:fill="auto"/>
            <w:vAlign w:val="center"/>
          </w:tcPr>
          <w:p w14:paraId="157F2507">
            <w:pPr>
              <w:spacing w:line="240" w:lineRule="auto"/>
              <w:ind w:firstLine="420"/>
              <w:jc w:val="center"/>
              <w:rPr>
                <w:color w:val="auto"/>
                <w:sz w:val="21"/>
              </w:rPr>
            </w:pPr>
            <w:r>
              <w:rPr>
                <w:rFonts w:hint="eastAsia"/>
                <w:color w:val="auto"/>
                <w:sz w:val="21"/>
              </w:rPr>
              <w:t>E1</w:t>
            </w:r>
          </w:p>
        </w:tc>
        <w:tc>
          <w:tcPr>
            <w:tcW w:w="1219" w:type="pct"/>
            <w:shd w:val="clear" w:color="auto" w:fill="auto"/>
            <w:vAlign w:val="center"/>
          </w:tcPr>
          <w:p w14:paraId="48985BDD">
            <w:pPr>
              <w:spacing w:line="240" w:lineRule="auto"/>
              <w:ind w:firstLine="420"/>
              <w:jc w:val="center"/>
              <w:rPr>
                <w:color w:val="auto"/>
                <w:sz w:val="21"/>
              </w:rPr>
            </w:pPr>
            <w:r>
              <w:rPr>
                <w:rFonts w:hint="eastAsia"/>
                <w:color w:val="auto"/>
                <w:sz w:val="21"/>
              </w:rPr>
              <w:t>E2</w:t>
            </w:r>
          </w:p>
        </w:tc>
        <w:tc>
          <w:tcPr>
            <w:tcW w:w="1219" w:type="pct"/>
            <w:shd w:val="clear" w:color="auto" w:fill="auto"/>
            <w:vAlign w:val="center"/>
          </w:tcPr>
          <w:p w14:paraId="25BACDC8">
            <w:pPr>
              <w:spacing w:line="240" w:lineRule="auto"/>
              <w:ind w:firstLine="420"/>
              <w:jc w:val="center"/>
              <w:rPr>
                <w:color w:val="auto"/>
                <w:sz w:val="21"/>
              </w:rPr>
            </w:pPr>
            <w:r>
              <w:rPr>
                <w:rFonts w:hint="eastAsia"/>
                <w:color w:val="auto"/>
                <w:sz w:val="21"/>
              </w:rPr>
              <w:t>E3</w:t>
            </w:r>
          </w:p>
        </w:tc>
      </w:tr>
      <w:tr w14:paraId="5FDCF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3" w:type="pct"/>
            <w:shd w:val="clear" w:color="auto" w:fill="auto"/>
            <w:vAlign w:val="center"/>
          </w:tcPr>
          <w:p w14:paraId="65AFFD4C">
            <w:pPr>
              <w:spacing w:line="240" w:lineRule="auto"/>
              <w:ind w:firstLine="420"/>
              <w:jc w:val="center"/>
              <w:rPr>
                <w:color w:val="auto"/>
                <w:sz w:val="21"/>
              </w:rPr>
            </w:pPr>
            <w:r>
              <w:rPr>
                <w:rFonts w:hint="eastAsia"/>
                <w:color w:val="auto"/>
                <w:sz w:val="21"/>
              </w:rPr>
              <w:t>S3</w:t>
            </w:r>
          </w:p>
        </w:tc>
        <w:tc>
          <w:tcPr>
            <w:tcW w:w="1219" w:type="pct"/>
            <w:shd w:val="clear" w:color="auto" w:fill="auto"/>
            <w:vAlign w:val="center"/>
          </w:tcPr>
          <w:p w14:paraId="3585E81A">
            <w:pPr>
              <w:spacing w:line="240" w:lineRule="auto"/>
              <w:ind w:firstLine="420"/>
              <w:jc w:val="center"/>
              <w:rPr>
                <w:color w:val="auto"/>
                <w:sz w:val="21"/>
              </w:rPr>
            </w:pPr>
            <w:r>
              <w:rPr>
                <w:rFonts w:hint="eastAsia"/>
                <w:color w:val="auto"/>
                <w:sz w:val="21"/>
              </w:rPr>
              <w:t>E1</w:t>
            </w:r>
          </w:p>
        </w:tc>
        <w:tc>
          <w:tcPr>
            <w:tcW w:w="1219" w:type="pct"/>
            <w:shd w:val="clear" w:color="auto" w:fill="auto"/>
            <w:vAlign w:val="center"/>
          </w:tcPr>
          <w:p w14:paraId="57557ACD">
            <w:pPr>
              <w:spacing w:line="240" w:lineRule="auto"/>
              <w:ind w:firstLine="420"/>
              <w:jc w:val="center"/>
              <w:rPr>
                <w:color w:val="auto"/>
                <w:sz w:val="21"/>
              </w:rPr>
            </w:pPr>
            <w:r>
              <w:rPr>
                <w:rFonts w:hint="eastAsia"/>
                <w:color w:val="auto"/>
                <w:sz w:val="21"/>
              </w:rPr>
              <w:t>E2</w:t>
            </w:r>
          </w:p>
        </w:tc>
        <w:tc>
          <w:tcPr>
            <w:tcW w:w="1219" w:type="pct"/>
            <w:shd w:val="clear" w:color="auto" w:fill="auto"/>
            <w:vAlign w:val="center"/>
          </w:tcPr>
          <w:p w14:paraId="13C04524">
            <w:pPr>
              <w:spacing w:line="240" w:lineRule="auto"/>
              <w:ind w:firstLine="420"/>
              <w:jc w:val="center"/>
              <w:rPr>
                <w:color w:val="auto"/>
                <w:sz w:val="21"/>
              </w:rPr>
            </w:pPr>
            <w:r>
              <w:rPr>
                <w:rFonts w:hint="eastAsia"/>
                <w:color w:val="auto"/>
                <w:sz w:val="21"/>
              </w:rPr>
              <w:t>E3</w:t>
            </w:r>
          </w:p>
        </w:tc>
      </w:tr>
    </w:tbl>
    <w:p w14:paraId="519330B4">
      <w:pPr>
        <w:spacing w:line="460" w:lineRule="exact"/>
        <w:ind w:firstLine="480"/>
        <w:rPr>
          <w:color w:val="auto"/>
        </w:rPr>
      </w:pPr>
      <w:r>
        <w:rPr>
          <w:rFonts w:hint="eastAsia"/>
          <w:color w:val="auto"/>
        </w:rPr>
        <w:t>（</w:t>
      </w:r>
      <w:r>
        <w:rPr>
          <w:color w:val="auto"/>
        </w:rPr>
        <w:t>3</w:t>
      </w:r>
      <w:r>
        <w:rPr>
          <w:rFonts w:hint="eastAsia"/>
          <w:color w:val="auto"/>
        </w:rPr>
        <w:t>）地下水环境敏感程度分级</w:t>
      </w:r>
    </w:p>
    <w:p w14:paraId="2BD10EC5">
      <w:pPr>
        <w:spacing w:line="460" w:lineRule="exact"/>
        <w:ind w:firstLine="480"/>
        <w:rPr>
          <w:color w:val="auto"/>
        </w:rPr>
      </w:pPr>
      <w:r>
        <w:rPr>
          <w:rFonts w:hint="eastAsia"/>
          <w:color w:val="auto"/>
        </w:rPr>
        <w:t>厂区周边区域不属于集中式饮用水源准保护区以及补给径流区，没有分散式饮用水水源地，没有特殊地下水资源，地下水功能敏感性分区为不敏感</w:t>
      </w:r>
      <w:r>
        <w:rPr>
          <w:color w:val="auto"/>
        </w:rPr>
        <w:t>G3</w:t>
      </w:r>
      <w:r>
        <w:rPr>
          <w:rFonts w:hint="eastAsia"/>
          <w:color w:val="auto"/>
        </w:rPr>
        <w:t>。项目所在区域含水层的渗透系数K为</w:t>
      </w:r>
      <w:r>
        <w:rPr>
          <w:color w:val="auto"/>
        </w:rPr>
        <w:t>0.</w:t>
      </w:r>
      <w:r>
        <w:rPr>
          <w:rFonts w:hint="eastAsia"/>
          <w:color w:val="auto"/>
          <w:lang w:val="en-US" w:eastAsia="zh-CN"/>
        </w:rPr>
        <w:t>41</w:t>
      </w:r>
      <w:r>
        <w:rPr>
          <w:color w:val="auto"/>
        </w:rPr>
        <w:t xml:space="preserve"> m/d</w:t>
      </w:r>
      <w:r>
        <w:rPr>
          <w:rFonts w:hint="eastAsia"/>
          <w:color w:val="auto"/>
        </w:rPr>
        <w:t>（</w:t>
      </w:r>
      <w:r>
        <w:rPr>
          <w:rFonts w:hint="eastAsia"/>
          <w:color w:val="auto"/>
          <w:lang w:val="en-US" w:eastAsia="zh-CN"/>
        </w:rPr>
        <w:t>4.7</w:t>
      </w:r>
      <w:r>
        <w:rPr>
          <w:color w:val="auto"/>
        </w:rPr>
        <w:t>×10</w:t>
      </w:r>
      <w:r>
        <w:rPr>
          <w:color w:val="auto"/>
          <w:vertAlign w:val="superscript"/>
        </w:rPr>
        <w:t>-</w:t>
      </w:r>
      <w:r>
        <w:rPr>
          <w:rFonts w:hint="eastAsia"/>
          <w:color w:val="auto"/>
          <w:vertAlign w:val="superscript"/>
          <w:lang w:val="en-US" w:eastAsia="zh-CN"/>
        </w:rPr>
        <w:t>6</w:t>
      </w:r>
      <w:r>
        <w:rPr>
          <w:color w:val="auto"/>
        </w:rPr>
        <w:t>m/s</w:t>
      </w:r>
      <w:r>
        <w:rPr>
          <w:rFonts w:hint="eastAsia"/>
          <w:color w:val="auto"/>
        </w:rPr>
        <w:t>），岩土层厚度大于1</w:t>
      </w:r>
      <w:r>
        <w:rPr>
          <w:color w:val="auto"/>
        </w:rPr>
        <w:t>m</w:t>
      </w:r>
      <w:r>
        <w:rPr>
          <w:rFonts w:hint="eastAsia"/>
          <w:color w:val="auto"/>
        </w:rPr>
        <w:t>，且分布连续、稳定，包气带防污性能为</w:t>
      </w:r>
      <w:r>
        <w:rPr>
          <w:color w:val="auto"/>
        </w:rPr>
        <w:t>D2</w:t>
      </w:r>
      <w:r>
        <w:rPr>
          <w:rFonts w:hint="eastAsia"/>
          <w:color w:val="auto"/>
        </w:rPr>
        <w:t>。</w:t>
      </w:r>
    </w:p>
    <w:p w14:paraId="783CE7E7">
      <w:pPr>
        <w:spacing w:line="460" w:lineRule="exact"/>
        <w:ind w:firstLine="480"/>
        <w:rPr>
          <w:color w:val="auto"/>
        </w:rPr>
      </w:pPr>
      <w:r>
        <w:rPr>
          <w:rFonts w:hint="eastAsia"/>
          <w:color w:val="auto"/>
        </w:rPr>
        <w:t>依据地下水功能敏感性与包气带防污性能，根据表</w:t>
      </w:r>
      <w:r>
        <w:rPr>
          <w:color w:val="auto"/>
        </w:rPr>
        <w:t>7.3-6</w:t>
      </w:r>
      <w:r>
        <w:rPr>
          <w:rFonts w:hint="eastAsia"/>
          <w:color w:val="auto"/>
        </w:rPr>
        <w:t>，地下水环境敏感程度为</w:t>
      </w:r>
      <w:r>
        <w:rPr>
          <w:color w:val="auto"/>
        </w:rPr>
        <w:t>E3</w:t>
      </w:r>
      <w:r>
        <w:rPr>
          <w:rFonts w:hint="eastAsia"/>
          <w:color w:val="auto"/>
        </w:rPr>
        <w:t>。</w:t>
      </w:r>
    </w:p>
    <w:p w14:paraId="5710A9A7">
      <w:pPr>
        <w:spacing w:line="460" w:lineRule="exact"/>
        <w:ind w:firstLine="422"/>
        <w:jc w:val="center"/>
        <w:rPr>
          <w:b/>
          <w:color w:val="auto"/>
          <w:kern w:val="0"/>
          <w:sz w:val="21"/>
          <w:szCs w:val="21"/>
        </w:rPr>
      </w:pPr>
      <w:r>
        <w:rPr>
          <w:rFonts w:hint="eastAsia"/>
          <w:b/>
          <w:color w:val="auto"/>
          <w:kern w:val="0"/>
          <w:sz w:val="21"/>
          <w:szCs w:val="21"/>
        </w:rPr>
        <w:t>表</w:t>
      </w:r>
      <w:r>
        <w:rPr>
          <w:b/>
          <w:color w:val="auto"/>
          <w:kern w:val="0"/>
          <w:sz w:val="21"/>
          <w:szCs w:val="21"/>
        </w:rPr>
        <w:t xml:space="preserve">7.3-6  </w:t>
      </w:r>
      <w:r>
        <w:rPr>
          <w:rFonts w:hint="eastAsia"/>
          <w:b/>
          <w:color w:val="auto"/>
          <w:kern w:val="0"/>
          <w:sz w:val="21"/>
          <w:szCs w:val="21"/>
        </w:rPr>
        <w:t>地下水环境敏感程度分级</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4"/>
        <w:gridCol w:w="1803"/>
        <w:gridCol w:w="2556"/>
        <w:gridCol w:w="2433"/>
      </w:tblGrid>
      <w:tr w14:paraId="3AE11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3" w:type="pct"/>
            <w:vMerge w:val="restart"/>
            <w:tcBorders>
              <w:top w:val="single" w:color="auto" w:sz="4" w:space="0"/>
              <w:left w:val="single" w:color="auto" w:sz="4" w:space="0"/>
              <w:bottom w:val="single" w:color="auto" w:sz="4" w:space="0"/>
              <w:right w:val="single" w:color="auto" w:sz="4" w:space="0"/>
            </w:tcBorders>
            <w:vAlign w:val="center"/>
          </w:tcPr>
          <w:p w14:paraId="2B250BB6">
            <w:pPr>
              <w:spacing w:before="24" w:beforeLines="10" w:line="240" w:lineRule="auto"/>
              <w:ind w:firstLine="420"/>
              <w:jc w:val="center"/>
              <w:rPr>
                <w:bCs/>
                <w:color w:val="auto"/>
                <w:sz w:val="21"/>
                <w:szCs w:val="21"/>
              </w:rPr>
            </w:pPr>
            <w:r>
              <w:rPr>
                <w:rFonts w:hint="eastAsia"/>
                <w:bCs/>
                <w:color w:val="auto"/>
                <w:sz w:val="21"/>
                <w:szCs w:val="21"/>
              </w:rPr>
              <w:t>包气带防污性能</w:t>
            </w:r>
          </w:p>
        </w:tc>
        <w:tc>
          <w:tcPr>
            <w:tcW w:w="3657" w:type="pct"/>
            <w:gridSpan w:val="3"/>
            <w:tcBorders>
              <w:top w:val="single" w:color="auto" w:sz="4" w:space="0"/>
              <w:left w:val="single" w:color="auto" w:sz="4" w:space="0"/>
              <w:bottom w:val="single" w:color="auto" w:sz="4" w:space="0"/>
              <w:right w:val="single" w:color="auto" w:sz="4" w:space="0"/>
            </w:tcBorders>
            <w:vAlign w:val="center"/>
          </w:tcPr>
          <w:p w14:paraId="1AE37AD5">
            <w:pPr>
              <w:spacing w:before="24" w:beforeLines="10" w:line="240" w:lineRule="auto"/>
              <w:ind w:firstLine="420"/>
              <w:jc w:val="center"/>
              <w:rPr>
                <w:bCs/>
                <w:color w:val="auto"/>
                <w:sz w:val="21"/>
                <w:szCs w:val="21"/>
              </w:rPr>
            </w:pPr>
            <w:r>
              <w:rPr>
                <w:rFonts w:hint="eastAsia"/>
                <w:bCs/>
                <w:color w:val="auto"/>
                <w:sz w:val="21"/>
                <w:szCs w:val="21"/>
              </w:rPr>
              <w:t>地下水功能敏感性</w:t>
            </w:r>
          </w:p>
        </w:tc>
      </w:tr>
      <w:tr w14:paraId="73EE0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870C9CF">
            <w:pPr>
              <w:spacing w:line="240" w:lineRule="auto"/>
              <w:ind w:firstLine="420"/>
              <w:rPr>
                <w:bCs/>
                <w:color w:val="auto"/>
                <w:sz w:val="21"/>
                <w:szCs w:val="21"/>
              </w:rPr>
            </w:pPr>
          </w:p>
        </w:tc>
        <w:tc>
          <w:tcPr>
            <w:tcW w:w="971" w:type="pct"/>
            <w:tcBorders>
              <w:top w:val="single" w:color="auto" w:sz="4" w:space="0"/>
              <w:left w:val="single" w:color="auto" w:sz="4" w:space="0"/>
              <w:bottom w:val="single" w:color="auto" w:sz="4" w:space="0"/>
              <w:right w:val="single" w:color="auto" w:sz="4" w:space="0"/>
            </w:tcBorders>
            <w:vAlign w:val="center"/>
          </w:tcPr>
          <w:p w14:paraId="30017A0C">
            <w:pPr>
              <w:spacing w:before="24" w:beforeLines="10" w:line="240" w:lineRule="auto"/>
              <w:ind w:firstLine="420"/>
              <w:jc w:val="center"/>
              <w:rPr>
                <w:color w:val="auto"/>
                <w:sz w:val="21"/>
                <w:szCs w:val="21"/>
              </w:rPr>
            </w:pPr>
            <w:r>
              <w:rPr>
                <w:rFonts w:hint="eastAsia"/>
                <w:color w:val="auto"/>
                <w:sz w:val="21"/>
                <w:szCs w:val="21"/>
              </w:rPr>
              <w:t>G1</w:t>
            </w:r>
          </w:p>
        </w:tc>
        <w:tc>
          <w:tcPr>
            <w:tcW w:w="1376" w:type="pct"/>
            <w:tcBorders>
              <w:top w:val="single" w:color="auto" w:sz="4" w:space="0"/>
              <w:left w:val="single" w:color="auto" w:sz="4" w:space="0"/>
              <w:bottom w:val="single" w:color="auto" w:sz="4" w:space="0"/>
              <w:right w:val="single" w:color="auto" w:sz="4" w:space="0"/>
            </w:tcBorders>
            <w:vAlign w:val="center"/>
          </w:tcPr>
          <w:p w14:paraId="3ED33095">
            <w:pPr>
              <w:spacing w:before="24" w:beforeLines="10" w:line="240" w:lineRule="auto"/>
              <w:ind w:firstLine="420"/>
              <w:jc w:val="center"/>
              <w:rPr>
                <w:color w:val="auto"/>
                <w:sz w:val="21"/>
                <w:szCs w:val="21"/>
              </w:rPr>
            </w:pPr>
            <w:r>
              <w:rPr>
                <w:rFonts w:hint="eastAsia"/>
                <w:color w:val="auto"/>
                <w:sz w:val="21"/>
                <w:szCs w:val="21"/>
              </w:rPr>
              <w:t>G2</w:t>
            </w:r>
          </w:p>
        </w:tc>
        <w:tc>
          <w:tcPr>
            <w:tcW w:w="1310" w:type="pct"/>
            <w:tcBorders>
              <w:top w:val="single" w:color="auto" w:sz="4" w:space="0"/>
              <w:left w:val="single" w:color="auto" w:sz="4" w:space="0"/>
              <w:bottom w:val="single" w:color="auto" w:sz="4" w:space="0"/>
              <w:right w:val="single" w:color="auto" w:sz="4" w:space="0"/>
            </w:tcBorders>
            <w:vAlign w:val="center"/>
          </w:tcPr>
          <w:p w14:paraId="2FAB1558">
            <w:pPr>
              <w:spacing w:before="24" w:beforeLines="10" w:line="240" w:lineRule="auto"/>
              <w:ind w:firstLine="420"/>
              <w:jc w:val="center"/>
              <w:rPr>
                <w:color w:val="auto"/>
                <w:sz w:val="21"/>
                <w:szCs w:val="21"/>
              </w:rPr>
            </w:pPr>
            <w:r>
              <w:rPr>
                <w:rFonts w:hint="eastAsia"/>
                <w:color w:val="auto"/>
                <w:sz w:val="21"/>
                <w:szCs w:val="21"/>
              </w:rPr>
              <w:t>G3</w:t>
            </w:r>
          </w:p>
        </w:tc>
      </w:tr>
      <w:tr w14:paraId="49FCE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3" w:type="pct"/>
            <w:tcBorders>
              <w:top w:val="single" w:color="auto" w:sz="4" w:space="0"/>
              <w:left w:val="single" w:color="auto" w:sz="4" w:space="0"/>
              <w:bottom w:val="single" w:color="auto" w:sz="4" w:space="0"/>
              <w:right w:val="single" w:color="auto" w:sz="4" w:space="0"/>
            </w:tcBorders>
            <w:vAlign w:val="center"/>
          </w:tcPr>
          <w:p w14:paraId="59C44124">
            <w:pPr>
              <w:autoSpaceDE w:val="0"/>
              <w:autoSpaceDN w:val="0"/>
              <w:spacing w:before="24" w:beforeLines="10" w:line="240" w:lineRule="auto"/>
              <w:ind w:firstLine="420"/>
              <w:jc w:val="center"/>
              <w:rPr>
                <w:color w:val="auto"/>
                <w:kern w:val="28"/>
                <w:sz w:val="21"/>
                <w:szCs w:val="21"/>
              </w:rPr>
            </w:pPr>
            <w:r>
              <w:rPr>
                <w:rFonts w:hint="eastAsia"/>
                <w:color w:val="auto"/>
                <w:kern w:val="28"/>
                <w:sz w:val="21"/>
                <w:szCs w:val="21"/>
              </w:rPr>
              <w:t>D1</w:t>
            </w:r>
          </w:p>
        </w:tc>
        <w:tc>
          <w:tcPr>
            <w:tcW w:w="971" w:type="pct"/>
            <w:tcBorders>
              <w:top w:val="single" w:color="auto" w:sz="4" w:space="0"/>
              <w:left w:val="single" w:color="auto" w:sz="4" w:space="0"/>
              <w:bottom w:val="single" w:color="auto" w:sz="4" w:space="0"/>
              <w:right w:val="single" w:color="auto" w:sz="4" w:space="0"/>
            </w:tcBorders>
            <w:vAlign w:val="center"/>
          </w:tcPr>
          <w:p w14:paraId="7340D64B">
            <w:pPr>
              <w:spacing w:before="24" w:beforeLines="10" w:line="240" w:lineRule="auto"/>
              <w:ind w:firstLine="420"/>
              <w:jc w:val="center"/>
              <w:rPr>
                <w:color w:val="auto"/>
                <w:sz w:val="21"/>
                <w:szCs w:val="21"/>
              </w:rPr>
            </w:pPr>
            <w:r>
              <w:rPr>
                <w:rFonts w:hint="eastAsia"/>
                <w:color w:val="auto"/>
                <w:sz w:val="21"/>
                <w:szCs w:val="21"/>
              </w:rPr>
              <w:t>E1</w:t>
            </w:r>
          </w:p>
        </w:tc>
        <w:tc>
          <w:tcPr>
            <w:tcW w:w="1376" w:type="pct"/>
            <w:tcBorders>
              <w:top w:val="single" w:color="auto" w:sz="4" w:space="0"/>
              <w:left w:val="single" w:color="auto" w:sz="4" w:space="0"/>
              <w:bottom w:val="single" w:color="auto" w:sz="4" w:space="0"/>
              <w:right w:val="single" w:color="auto" w:sz="4" w:space="0"/>
            </w:tcBorders>
            <w:vAlign w:val="center"/>
          </w:tcPr>
          <w:p w14:paraId="711F5B29">
            <w:pPr>
              <w:spacing w:before="24" w:beforeLines="10" w:line="240" w:lineRule="auto"/>
              <w:ind w:firstLine="420"/>
              <w:jc w:val="center"/>
              <w:rPr>
                <w:color w:val="auto"/>
                <w:sz w:val="21"/>
                <w:szCs w:val="21"/>
              </w:rPr>
            </w:pPr>
            <w:r>
              <w:rPr>
                <w:rFonts w:hint="eastAsia"/>
                <w:color w:val="auto"/>
                <w:sz w:val="21"/>
                <w:szCs w:val="21"/>
              </w:rPr>
              <w:t>E1</w:t>
            </w:r>
          </w:p>
        </w:tc>
        <w:tc>
          <w:tcPr>
            <w:tcW w:w="1310" w:type="pct"/>
            <w:tcBorders>
              <w:top w:val="single" w:color="auto" w:sz="4" w:space="0"/>
              <w:left w:val="single" w:color="auto" w:sz="4" w:space="0"/>
              <w:bottom w:val="single" w:color="auto" w:sz="4" w:space="0"/>
              <w:right w:val="single" w:color="auto" w:sz="4" w:space="0"/>
            </w:tcBorders>
            <w:shd w:val="clear" w:color="auto" w:fill="auto"/>
            <w:vAlign w:val="center"/>
          </w:tcPr>
          <w:p w14:paraId="6658D2F6">
            <w:pPr>
              <w:spacing w:before="24" w:beforeLines="10" w:line="240" w:lineRule="auto"/>
              <w:ind w:firstLine="420"/>
              <w:jc w:val="center"/>
              <w:rPr>
                <w:color w:val="auto"/>
                <w:sz w:val="21"/>
                <w:szCs w:val="21"/>
              </w:rPr>
            </w:pPr>
            <w:r>
              <w:rPr>
                <w:rFonts w:hint="eastAsia"/>
                <w:color w:val="auto"/>
                <w:sz w:val="21"/>
                <w:szCs w:val="21"/>
              </w:rPr>
              <w:t>E2</w:t>
            </w:r>
          </w:p>
        </w:tc>
      </w:tr>
      <w:tr w14:paraId="6D1A5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3" w:type="pct"/>
            <w:tcBorders>
              <w:top w:val="single" w:color="auto" w:sz="4" w:space="0"/>
              <w:left w:val="single" w:color="auto" w:sz="4" w:space="0"/>
              <w:bottom w:val="single" w:color="auto" w:sz="4" w:space="0"/>
              <w:right w:val="single" w:color="auto" w:sz="4" w:space="0"/>
            </w:tcBorders>
            <w:vAlign w:val="center"/>
          </w:tcPr>
          <w:p w14:paraId="39F70995">
            <w:pPr>
              <w:autoSpaceDE w:val="0"/>
              <w:autoSpaceDN w:val="0"/>
              <w:spacing w:before="24" w:beforeLines="10" w:line="240" w:lineRule="auto"/>
              <w:ind w:firstLine="420"/>
              <w:jc w:val="center"/>
              <w:rPr>
                <w:color w:val="auto"/>
                <w:kern w:val="28"/>
                <w:sz w:val="21"/>
                <w:szCs w:val="21"/>
              </w:rPr>
            </w:pPr>
            <w:r>
              <w:rPr>
                <w:rFonts w:hint="eastAsia"/>
                <w:color w:val="auto"/>
                <w:kern w:val="28"/>
                <w:sz w:val="21"/>
                <w:szCs w:val="21"/>
              </w:rPr>
              <w:t>D2</w:t>
            </w:r>
          </w:p>
        </w:tc>
        <w:tc>
          <w:tcPr>
            <w:tcW w:w="971" w:type="pct"/>
            <w:tcBorders>
              <w:top w:val="single" w:color="auto" w:sz="4" w:space="0"/>
              <w:left w:val="single" w:color="auto" w:sz="4" w:space="0"/>
              <w:bottom w:val="single" w:color="auto" w:sz="4" w:space="0"/>
              <w:right w:val="single" w:color="auto" w:sz="4" w:space="0"/>
            </w:tcBorders>
            <w:vAlign w:val="center"/>
          </w:tcPr>
          <w:p w14:paraId="5DA57540">
            <w:pPr>
              <w:spacing w:before="24" w:beforeLines="10" w:line="240" w:lineRule="auto"/>
              <w:ind w:firstLine="420"/>
              <w:jc w:val="center"/>
              <w:rPr>
                <w:color w:val="auto"/>
                <w:sz w:val="21"/>
                <w:szCs w:val="21"/>
              </w:rPr>
            </w:pPr>
            <w:r>
              <w:rPr>
                <w:rFonts w:hint="eastAsia"/>
                <w:color w:val="auto"/>
                <w:sz w:val="21"/>
                <w:szCs w:val="21"/>
              </w:rPr>
              <w:t>E1</w:t>
            </w:r>
          </w:p>
        </w:tc>
        <w:tc>
          <w:tcPr>
            <w:tcW w:w="1376" w:type="pct"/>
            <w:tcBorders>
              <w:top w:val="single" w:color="auto" w:sz="4" w:space="0"/>
              <w:left w:val="single" w:color="auto" w:sz="4" w:space="0"/>
              <w:bottom w:val="single" w:color="auto" w:sz="4" w:space="0"/>
              <w:right w:val="single" w:color="auto" w:sz="4" w:space="0"/>
            </w:tcBorders>
            <w:vAlign w:val="center"/>
          </w:tcPr>
          <w:p w14:paraId="268C7DE6">
            <w:pPr>
              <w:spacing w:before="24" w:beforeLines="10" w:line="240" w:lineRule="auto"/>
              <w:ind w:firstLine="420"/>
              <w:jc w:val="center"/>
              <w:rPr>
                <w:color w:val="auto"/>
                <w:sz w:val="21"/>
                <w:szCs w:val="21"/>
              </w:rPr>
            </w:pPr>
            <w:r>
              <w:rPr>
                <w:rFonts w:hint="eastAsia"/>
                <w:color w:val="auto"/>
                <w:sz w:val="21"/>
                <w:szCs w:val="21"/>
              </w:rPr>
              <w:t>E2</w:t>
            </w:r>
          </w:p>
        </w:tc>
        <w:tc>
          <w:tcPr>
            <w:tcW w:w="1310" w:type="pct"/>
            <w:tcBorders>
              <w:top w:val="single" w:color="auto" w:sz="4" w:space="0"/>
              <w:left w:val="single" w:color="auto" w:sz="4" w:space="0"/>
              <w:bottom w:val="single" w:color="auto" w:sz="4" w:space="0"/>
              <w:right w:val="single" w:color="auto" w:sz="4" w:space="0"/>
            </w:tcBorders>
            <w:vAlign w:val="center"/>
          </w:tcPr>
          <w:p w14:paraId="2E619FE2">
            <w:pPr>
              <w:spacing w:before="24" w:beforeLines="10" w:line="240" w:lineRule="auto"/>
              <w:ind w:firstLine="422"/>
              <w:jc w:val="center"/>
              <w:rPr>
                <w:b/>
                <w:bCs/>
                <w:color w:val="auto"/>
                <w:sz w:val="21"/>
                <w:szCs w:val="21"/>
              </w:rPr>
            </w:pPr>
            <w:r>
              <w:rPr>
                <w:rFonts w:hint="eastAsia"/>
                <w:b/>
                <w:bCs/>
                <w:color w:val="auto"/>
                <w:sz w:val="21"/>
                <w:szCs w:val="21"/>
              </w:rPr>
              <w:t>E3</w:t>
            </w:r>
          </w:p>
        </w:tc>
      </w:tr>
      <w:tr w14:paraId="3D790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3" w:type="pct"/>
            <w:tcBorders>
              <w:top w:val="single" w:color="auto" w:sz="4" w:space="0"/>
              <w:left w:val="single" w:color="auto" w:sz="4" w:space="0"/>
              <w:bottom w:val="single" w:color="auto" w:sz="4" w:space="0"/>
              <w:right w:val="single" w:color="auto" w:sz="4" w:space="0"/>
            </w:tcBorders>
            <w:vAlign w:val="center"/>
          </w:tcPr>
          <w:p w14:paraId="7A2D553D">
            <w:pPr>
              <w:autoSpaceDE w:val="0"/>
              <w:autoSpaceDN w:val="0"/>
              <w:spacing w:before="24" w:beforeLines="10" w:line="240" w:lineRule="auto"/>
              <w:ind w:firstLine="420"/>
              <w:jc w:val="center"/>
              <w:rPr>
                <w:color w:val="auto"/>
                <w:kern w:val="28"/>
                <w:sz w:val="21"/>
                <w:szCs w:val="21"/>
              </w:rPr>
            </w:pPr>
            <w:r>
              <w:rPr>
                <w:rFonts w:hint="eastAsia"/>
                <w:color w:val="auto"/>
                <w:kern w:val="28"/>
                <w:sz w:val="21"/>
                <w:szCs w:val="21"/>
              </w:rPr>
              <w:t>D3</w:t>
            </w:r>
          </w:p>
        </w:tc>
        <w:tc>
          <w:tcPr>
            <w:tcW w:w="971" w:type="pct"/>
            <w:tcBorders>
              <w:top w:val="single" w:color="auto" w:sz="4" w:space="0"/>
              <w:left w:val="single" w:color="auto" w:sz="4" w:space="0"/>
              <w:bottom w:val="single" w:color="auto" w:sz="4" w:space="0"/>
              <w:right w:val="single" w:color="auto" w:sz="4" w:space="0"/>
            </w:tcBorders>
            <w:vAlign w:val="center"/>
          </w:tcPr>
          <w:p w14:paraId="1AE9845A">
            <w:pPr>
              <w:spacing w:before="24" w:beforeLines="10" w:line="240" w:lineRule="auto"/>
              <w:ind w:firstLine="420"/>
              <w:jc w:val="center"/>
              <w:rPr>
                <w:color w:val="auto"/>
                <w:sz w:val="21"/>
                <w:szCs w:val="21"/>
              </w:rPr>
            </w:pPr>
            <w:r>
              <w:rPr>
                <w:rFonts w:hint="eastAsia"/>
                <w:color w:val="auto"/>
                <w:sz w:val="21"/>
                <w:szCs w:val="21"/>
              </w:rPr>
              <w:t>E2</w:t>
            </w:r>
          </w:p>
        </w:tc>
        <w:tc>
          <w:tcPr>
            <w:tcW w:w="1376" w:type="pct"/>
            <w:tcBorders>
              <w:top w:val="single" w:color="auto" w:sz="4" w:space="0"/>
              <w:left w:val="single" w:color="auto" w:sz="4" w:space="0"/>
              <w:bottom w:val="single" w:color="auto" w:sz="4" w:space="0"/>
              <w:right w:val="single" w:color="auto" w:sz="4" w:space="0"/>
            </w:tcBorders>
            <w:vAlign w:val="center"/>
          </w:tcPr>
          <w:p w14:paraId="751C3E45">
            <w:pPr>
              <w:spacing w:before="24" w:beforeLines="10" w:line="240" w:lineRule="auto"/>
              <w:ind w:firstLine="420"/>
              <w:jc w:val="center"/>
              <w:rPr>
                <w:color w:val="auto"/>
                <w:sz w:val="21"/>
                <w:szCs w:val="21"/>
              </w:rPr>
            </w:pPr>
            <w:r>
              <w:rPr>
                <w:rFonts w:hint="eastAsia"/>
                <w:color w:val="auto"/>
                <w:sz w:val="21"/>
                <w:szCs w:val="21"/>
              </w:rPr>
              <w:t>E3</w:t>
            </w:r>
          </w:p>
        </w:tc>
        <w:tc>
          <w:tcPr>
            <w:tcW w:w="1310" w:type="pct"/>
            <w:tcBorders>
              <w:top w:val="single" w:color="auto" w:sz="4" w:space="0"/>
              <w:left w:val="single" w:color="auto" w:sz="4" w:space="0"/>
              <w:bottom w:val="single" w:color="auto" w:sz="4" w:space="0"/>
              <w:right w:val="single" w:color="auto" w:sz="4" w:space="0"/>
            </w:tcBorders>
            <w:vAlign w:val="center"/>
          </w:tcPr>
          <w:p w14:paraId="5CAED813">
            <w:pPr>
              <w:spacing w:before="24" w:beforeLines="10" w:line="240" w:lineRule="auto"/>
              <w:ind w:firstLine="420"/>
              <w:jc w:val="center"/>
              <w:rPr>
                <w:color w:val="auto"/>
                <w:sz w:val="21"/>
                <w:szCs w:val="21"/>
              </w:rPr>
            </w:pPr>
            <w:r>
              <w:rPr>
                <w:rFonts w:hint="eastAsia"/>
                <w:color w:val="auto"/>
                <w:sz w:val="21"/>
                <w:szCs w:val="21"/>
              </w:rPr>
              <w:t>E3</w:t>
            </w:r>
          </w:p>
        </w:tc>
      </w:tr>
    </w:tbl>
    <w:p w14:paraId="478C9DE1">
      <w:pPr>
        <w:spacing w:line="440" w:lineRule="exact"/>
        <w:ind w:firstLine="480"/>
        <w:rPr>
          <w:bCs/>
          <w:color w:val="auto"/>
        </w:rPr>
      </w:pPr>
      <w:r>
        <w:rPr>
          <w:bCs/>
          <w:color w:val="auto"/>
        </w:rPr>
        <w:t>综上，环境敏感程度分级大气等级为E2，地表水为E2，地下水为E3。</w:t>
      </w:r>
    </w:p>
    <w:p w14:paraId="35004FD6">
      <w:pPr>
        <w:spacing w:line="460" w:lineRule="exact"/>
        <w:ind w:firstLine="480"/>
        <w:rPr>
          <w:color w:val="auto"/>
        </w:rPr>
      </w:pPr>
      <w:r>
        <w:rPr>
          <w:rFonts w:hint="eastAsia"/>
          <w:color w:val="auto"/>
        </w:rPr>
        <w:t>建设项目环境风险潜势划分为</w:t>
      </w:r>
      <w:r>
        <w:rPr>
          <w:rFonts w:hint="eastAsia" w:ascii="宋体" w:hAnsi="宋体" w:cs="宋体"/>
          <w:color w:val="auto"/>
        </w:rPr>
        <w:t>Ⅰ</w:t>
      </w:r>
      <w:r>
        <w:rPr>
          <w:rFonts w:hint="eastAsia"/>
          <w:color w:val="auto"/>
        </w:rPr>
        <w:t>、</w:t>
      </w:r>
      <w:r>
        <w:rPr>
          <w:rFonts w:hint="eastAsia" w:ascii="宋体" w:hAnsi="宋体" w:cs="宋体"/>
          <w:color w:val="auto"/>
        </w:rPr>
        <w:t>Ⅱ</w:t>
      </w:r>
      <w:r>
        <w:rPr>
          <w:rFonts w:hint="eastAsia"/>
          <w:color w:val="auto"/>
        </w:rPr>
        <w:t>、</w:t>
      </w:r>
      <w:r>
        <w:rPr>
          <w:rFonts w:hint="eastAsia" w:ascii="宋体" w:hAnsi="宋体" w:cs="宋体"/>
          <w:color w:val="auto"/>
        </w:rPr>
        <w:t>Ⅲ</w:t>
      </w:r>
      <w:r>
        <w:rPr>
          <w:rFonts w:hint="eastAsia"/>
          <w:color w:val="auto"/>
        </w:rPr>
        <w:t>、</w:t>
      </w:r>
      <w:r>
        <w:rPr>
          <w:rFonts w:hint="eastAsia" w:ascii="宋体" w:hAnsi="宋体" w:cs="宋体"/>
          <w:color w:val="auto"/>
        </w:rPr>
        <w:t>Ⅳ</w:t>
      </w:r>
      <w:r>
        <w:rPr>
          <w:color w:val="auto"/>
        </w:rPr>
        <w:t>/</w:t>
      </w:r>
      <w:r>
        <w:rPr>
          <w:rFonts w:hint="eastAsia" w:ascii="宋体" w:hAnsi="宋体" w:cs="宋体"/>
          <w:color w:val="auto"/>
        </w:rPr>
        <w:t>Ⅳ</w:t>
      </w:r>
      <w:r>
        <w:rPr>
          <w:color w:val="auto"/>
          <w:vertAlign w:val="superscript"/>
        </w:rPr>
        <w:t>+</w:t>
      </w:r>
      <w:r>
        <w:rPr>
          <w:rFonts w:hint="eastAsia"/>
          <w:color w:val="auto"/>
        </w:rPr>
        <w:t>级。根据建设项目涉及的物质和工艺系统的危险性及其所在地的环境敏感程度，结合事故情形下环境影响途径，对建设项目潜在环境危害程度进行概化分析，环境风险潜势划分如下表</w:t>
      </w:r>
      <w:r>
        <w:rPr>
          <w:color w:val="auto"/>
        </w:rPr>
        <w:t>7.3-7</w:t>
      </w:r>
      <w:r>
        <w:rPr>
          <w:rFonts w:hint="eastAsia"/>
          <w:color w:val="auto"/>
        </w:rPr>
        <w:t>。</w:t>
      </w:r>
    </w:p>
    <w:p w14:paraId="789E3B64">
      <w:pPr>
        <w:spacing w:before="72" w:beforeLines="30" w:line="460" w:lineRule="exact"/>
        <w:ind w:firstLine="422"/>
        <w:jc w:val="center"/>
        <w:rPr>
          <w:b/>
          <w:color w:val="auto"/>
          <w:kern w:val="0"/>
          <w:sz w:val="21"/>
          <w:szCs w:val="21"/>
        </w:rPr>
      </w:pPr>
      <w:r>
        <w:rPr>
          <w:rFonts w:hint="eastAsia"/>
          <w:b/>
          <w:color w:val="auto"/>
          <w:kern w:val="0"/>
          <w:sz w:val="21"/>
          <w:szCs w:val="21"/>
        </w:rPr>
        <w:t>表</w:t>
      </w:r>
      <w:r>
        <w:rPr>
          <w:b/>
          <w:color w:val="auto"/>
          <w:kern w:val="0"/>
          <w:sz w:val="21"/>
          <w:szCs w:val="21"/>
        </w:rPr>
        <w:t xml:space="preserve">7.3-7  </w:t>
      </w:r>
      <w:r>
        <w:rPr>
          <w:rFonts w:hint="eastAsia"/>
          <w:b/>
          <w:color w:val="auto"/>
          <w:kern w:val="0"/>
          <w:sz w:val="21"/>
          <w:szCs w:val="21"/>
        </w:rPr>
        <w:t>建设项目环境风险潜势划分</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6"/>
        <w:gridCol w:w="1803"/>
        <w:gridCol w:w="1655"/>
        <w:gridCol w:w="1653"/>
        <w:gridCol w:w="1679"/>
      </w:tblGrid>
      <w:tr w14:paraId="42091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4" w:type="pct"/>
            <w:vMerge w:val="restart"/>
            <w:shd w:val="clear" w:color="auto" w:fill="auto"/>
            <w:vAlign w:val="center"/>
          </w:tcPr>
          <w:p w14:paraId="6A7C0373">
            <w:pPr>
              <w:pStyle w:val="3127"/>
              <w:rPr>
                <w:color w:val="auto"/>
              </w:rPr>
            </w:pPr>
            <w:r>
              <w:rPr>
                <w:rFonts w:hint="eastAsia"/>
                <w:color w:val="auto"/>
              </w:rPr>
              <w:t>环境敏感程度（E）</w:t>
            </w:r>
          </w:p>
        </w:tc>
        <w:tc>
          <w:tcPr>
            <w:tcW w:w="3656" w:type="pct"/>
            <w:gridSpan w:val="4"/>
            <w:shd w:val="clear" w:color="auto" w:fill="auto"/>
            <w:vAlign w:val="center"/>
          </w:tcPr>
          <w:p w14:paraId="52823D43">
            <w:pPr>
              <w:pStyle w:val="3127"/>
              <w:rPr>
                <w:color w:val="auto"/>
              </w:rPr>
            </w:pPr>
            <w:r>
              <w:rPr>
                <w:rFonts w:hint="eastAsia"/>
                <w:color w:val="auto"/>
              </w:rPr>
              <w:t>危险物质及工艺系统危险性（P）</w:t>
            </w:r>
          </w:p>
        </w:tc>
      </w:tr>
      <w:tr w14:paraId="1E44E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continue"/>
            <w:shd w:val="clear" w:color="auto" w:fill="auto"/>
            <w:vAlign w:val="center"/>
          </w:tcPr>
          <w:p w14:paraId="006933F5">
            <w:pPr>
              <w:pStyle w:val="3127"/>
              <w:rPr>
                <w:color w:val="auto"/>
              </w:rPr>
            </w:pPr>
          </w:p>
        </w:tc>
        <w:tc>
          <w:tcPr>
            <w:tcW w:w="971" w:type="pct"/>
            <w:shd w:val="clear" w:color="auto" w:fill="auto"/>
            <w:vAlign w:val="center"/>
          </w:tcPr>
          <w:p w14:paraId="3F94C437">
            <w:pPr>
              <w:pStyle w:val="3127"/>
              <w:rPr>
                <w:color w:val="auto"/>
              </w:rPr>
            </w:pPr>
            <w:r>
              <w:rPr>
                <w:rFonts w:hint="eastAsia"/>
                <w:color w:val="auto"/>
              </w:rPr>
              <w:t>极高危害（P1）</w:t>
            </w:r>
          </w:p>
        </w:tc>
        <w:tc>
          <w:tcPr>
            <w:tcW w:w="891" w:type="pct"/>
            <w:shd w:val="clear" w:color="auto" w:fill="auto"/>
            <w:vAlign w:val="center"/>
          </w:tcPr>
          <w:p w14:paraId="38F09DB4">
            <w:pPr>
              <w:pStyle w:val="3127"/>
              <w:rPr>
                <w:color w:val="auto"/>
              </w:rPr>
            </w:pPr>
            <w:r>
              <w:rPr>
                <w:rFonts w:hint="eastAsia"/>
                <w:color w:val="auto"/>
              </w:rPr>
              <w:t>高度危害（P2）</w:t>
            </w:r>
          </w:p>
        </w:tc>
        <w:tc>
          <w:tcPr>
            <w:tcW w:w="890" w:type="pct"/>
            <w:shd w:val="clear" w:color="auto" w:fill="auto"/>
            <w:vAlign w:val="center"/>
          </w:tcPr>
          <w:p w14:paraId="549D3123">
            <w:pPr>
              <w:pStyle w:val="3127"/>
              <w:rPr>
                <w:color w:val="auto"/>
              </w:rPr>
            </w:pPr>
            <w:r>
              <w:rPr>
                <w:rFonts w:hint="eastAsia"/>
                <w:color w:val="auto"/>
              </w:rPr>
              <w:t>中度危害（P3）</w:t>
            </w:r>
          </w:p>
        </w:tc>
        <w:tc>
          <w:tcPr>
            <w:tcW w:w="904" w:type="pct"/>
            <w:shd w:val="clear" w:color="auto" w:fill="auto"/>
            <w:vAlign w:val="center"/>
          </w:tcPr>
          <w:p w14:paraId="67DF6128">
            <w:pPr>
              <w:pStyle w:val="3127"/>
              <w:rPr>
                <w:color w:val="auto"/>
              </w:rPr>
            </w:pPr>
            <w:r>
              <w:rPr>
                <w:rFonts w:hint="eastAsia"/>
                <w:color w:val="auto"/>
              </w:rPr>
              <w:t>轻度危害（P4）</w:t>
            </w:r>
          </w:p>
        </w:tc>
      </w:tr>
      <w:tr w14:paraId="4F33D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4" w:type="pct"/>
            <w:shd w:val="clear" w:color="auto" w:fill="auto"/>
            <w:vAlign w:val="center"/>
          </w:tcPr>
          <w:p w14:paraId="67607530">
            <w:pPr>
              <w:pStyle w:val="3127"/>
              <w:rPr>
                <w:color w:val="auto"/>
              </w:rPr>
            </w:pPr>
            <w:r>
              <w:rPr>
                <w:rFonts w:hint="eastAsia"/>
                <w:color w:val="auto"/>
              </w:rPr>
              <w:t>环境高度敏感区（E1）</w:t>
            </w:r>
          </w:p>
        </w:tc>
        <w:tc>
          <w:tcPr>
            <w:tcW w:w="971" w:type="pct"/>
            <w:shd w:val="clear" w:color="auto" w:fill="auto"/>
            <w:vAlign w:val="center"/>
          </w:tcPr>
          <w:p w14:paraId="15B6F4F4">
            <w:pPr>
              <w:pStyle w:val="3127"/>
              <w:rPr>
                <w:color w:val="auto"/>
              </w:rPr>
            </w:pPr>
            <w:r>
              <w:rPr>
                <w:rFonts w:hint="eastAsia"/>
                <w:color w:val="auto"/>
              </w:rPr>
              <w:t>IV+</w:t>
            </w:r>
          </w:p>
        </w:tc>
        <w:tc>
          <w:tcPr>
            <w:tcW w:w="891" w:type="pct"/>
            <w:shd w:val="clear" w:color="auto" w:fill="auto"/>
            <w:vAlign w:val="center"/>
          </w:tcPr>
          <w:p w14:paraId="331383AB">
            <w:pPr>
              <w:pStyle w:val="3127"/>
              <w:rPr>
                <w:color w:val="auto"/>
              </w:rPr>
            </w:pPr>
            <w:r>
              <w:rPr>
                <w:rFonts w:hint="eastAsia"/>
                <w:color w:val="auto"/>
              </w:rPr>
              <w:t>IV</w:t>
            </w:r>
          </w:p>
        </w:tc>
        <w:tc>
          <w:tcPr>
            <w:tcW w:w="890" w:type="pct"/>
            <w:shd w:val="clear" w:color="auto" w:fill="auto"/>
            <w:vAlign w:val="center"/>
          </w:tcPr>
          <w:p w14:paraId="107FE563">
            <w:pPr>
              <w:pStyle w:val="3127"/>
              <w:rPr>
                <w:color w:val="auto"/>
              </w:rPr>
            </w:pPr>
            <w:r>
              <w:rPr>
                <w:rFonts w:hint="eastAsia"/>
                <w:color w:val="auto"/>
              </w:rPr>
              <w:t>III</w:t>
            </w:r>
          </w:p>
        </w:tc>
        <w:tc>
          <w:tcPr>
            <w:tcW w:w="904" w:type="pct"/>
            <w:shd w:val="clear" w:color="auto" w:fill="auto"/>
            <w:vAlign w:val="center"/>
          </w:tcPr>
          <w:p w14:paraId="77976118">
            <w:pPr>
              <w:pStyle w:val="3127"/>
              <w:rPr>
                <w:color w:val="auto"/>
              </w:rPr>
            </w:pPr>
            <w:r>
              <w:rPr>
                <w:rFonts w:hint="eastAsia"/>
                <w:color w:val="auto"/>
              </w:rPr>
              <w:t>III</w:t>
            </w:r>
          </w:p>
        </w:tc>
      </w:tr>
      <w:tr w14:paraId="0FA41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4" w:type="pct"/>
            <w:shd w:val="clear" w:color="auto" w:fill="auto"/>
            <w:vAlign w:val="center"/>
          </w:tcPr>
          <w:p w14:paraId="22AA5013">
            <w:pPr>
              <w:pStyle w:val="3127"/>
              <w:rPr>
                <w:color w:val="auto"/>
              </w:rPr>
            </w:pPr>
            <w:bookmarkStart w:id="271" w:name="_Hlk55224175"/>
            <w:r>
              <w:rPr>
                <w:rFonts w:hint="eastAsia"/>
                <w:color w:val="auto"/>
              </w:rPr>
              <w:t>环境中度敏感区（E2）</w:t>
            </w:r>
          </w:p>
        </w:tc>
        <w:tc>
          <w:tcPr>
            <w:tcW w:w="971" w:type="pct"/>
            <w:shd w:val="clear" w:color="auto" w:fill="auto"/>
            <w:vAlign w:val="center"/>
          </w:tcPr>
          <w:p w14:paraId="28BB5308">
            <w:pPr>
              <w:pStyle w:val="3127"/>
              <w:rPr>
                <w:color w:val="auto"/>
              </w:rPr>
            </w:pPr>
            <w:r>
              <w:rPr>
                <w:rFonts w:hint="eastAsia"/>
                <w:color w:val="auto"/>
              </w:rPr>
              <w:t>IV</w:t>
            </w:r>
          </w:p>
        </w:tc>
        <w:tc>
          <w:tcPr>
            <w:tcW w:w="891" w:type="pct"/>
            <w:shd w:val="clear" w:color="auto" w:fill="auto"/>
            <w:vAlign w:val="center"/>
          </w:tcPr>
          <w:p w14:paraId="7DF82D1F">
            <w:pPr>
              <w:pStyle w:val="3127"/>
              <w:rPr>
                <w:color w:val="auto"/>
              </w:rPr>
            </w:pPr>
            <w:r>
              <w:rPr>
                <w:rFonts w:hint="eastAsia"/>
                <w:color w:val="auto"/>
              </w:rPr>
              <w:t>III</w:t>
            </w:r>
          </w:p>
        </w:tc>
        <w:tc>
          <w:tcPr>
            <w:tcW w:w="890" w:type="pct"/>
            <w:shd w:val="clear" w:color="auto" w:fill="auto"/>
            <w:vAlign w:val="center"/>
          </w:tcPr>
          <w:p w14:paraId="4D1A0BB1">
            <w:pPr>
              <w:pStyle w:val="3127"/>
              <w:rPr>
                <w:color w:val="auto"/>
              </w:rPr>
            </w:pPr>
            <w:r>
              <w:rPr>
                <w:rFonts w:hint="eastAsia"/>
                <w:color w:val="auto"/>
              </w:rPr>
              <w:t>III</w:t>
            </w:r>
          </w:p>
        </w:tc>
        <w:tc>
          <w:tcPr>
            <w:tcW w:w="904" w:type="pct"/>
            <w:shd w:val="clear" w:color="auto" w:fill="auto"/>
            <w:vAlign w:val="center"/>
          </w:tcPr>
          <w:p w14:paraId="2DAB8379">
            <w:pPr>
              <w:pStyle w:val="3127"/>
              <w:rPr>
                <w:color w:val="auto"/>
              </w:rPr>
            </w:pPr>
            <w:r>
              <w:rPr>
                <w:rFonts w:hint="eastAsia"/>
                <w:color w:val="auto"/>
              </w:rPr>
              <w:t>II</w:t>
            </w:r>
          </w:p>
        </w:tc>
      </w:tr>
      <w:bookmarkEnd w:id="271"/>
      <w:tr w14:paraId="2BDB2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4" w:type="pct"/>
            <w:shd w:val="clear" w:color="auto" w:fill="auto"/>
            <w:vAlign w:val="center"/>
          </w:tcPr>
          <w:p w14:paraId="43261A48">
            <w:pPr>
              <w:pStyle w:val="3127"/>
              <w:rPr>
                <w:color w:val="auto"/>
              </w:rPr>
            </w:pPr>
            <w:r>
              <w:rPr>
                <w:rFonts w:hint="eastAsia"/>
                <w:color w:val="auto"/>
              </w:rPr>
              <w:t>环境低度敏感区（E3）</w:t>
            </w:r>
          </w:p>
        </w:tc>
        <w:tc>
          <w:tcPr>
            <w:tcW w:w="971" w:type="pct"/>
            <w:shd w:val="clear" w:color="auto" w:fill="auto"/>
            <w:vAlign w:val="center"/>
          </w:tcPr>
          <w:p w14:paraId="419A069B">
            <w:pPr>
              <w:pStyle w:val="3127"/>
              <w:rPr>
                <w:color w:val="auto"/>
              </w:rPr>
            </w:pPr>
            <w:r>
              <w:rPr>
                <w:rFonts w:hint="eastAsia"/>
                <w:color w:val="auto"/>
              </w:rPr>
              <w:t>III</w:t>
            </w:r>
          </w:p>
        </w:tc>
        <w:tc>
          <w:tcPr>
            <w:tcW w:w="891" w:type="pct"/>
            <w:shd w:val="clear" w:color="auto" w:fill="auto"/>
            <w:vAlign w:val="center"/>
          </w:tcPr>
          <w:p w14:paraId="5FB44A00">
            <w:pPr>
              <w:pStyle w:val="3127"/>
              <w:rPr>
                <w:color w:val="auto"/>
              </w:rPr>
            </w:pPr>
            <w:r>
              <w:rPr>
                <w:rFonts w:hint="eastAsia"/>
                <w:color w:val="auto"/>
              </w:rPr>
              <w:t>III</w:t>
            </w:r>
          </w:p>
        </w:tc>
        <w:tc>
          <w:tcPr>
            <w:tcW w:w="890" w:type="pct"/>
            <w:shd w:val="clear" w:color="auto" w:fill="auto"/>
            <w:vAlign w:val="center"/>
          </w:tcPr>
          <w:p w14:paraId="4EBA238B">
            <w:pPr>
              <w:pStyle w:val="3127"/>
              <w:rPr>
                <w:color w:val="auto"/>
              </w:rPr>
            </w:pPr>
            <w:r>
              <w:rPr>
                <w:rFonts w:hint="eastAsia"/>
                <w:color w:val="auto"/>
              </w:rPr>
              <w:t>II</w:t>
            </w:r>
          </w:p>
        </w:tc>
        <w:tc>
          <w:tcPr>
            <w:tcW w:w="904" w:type="pct"/>
            <w:shd w:val="clear" w:color="auto" w:fill="auto"/>
            <w:vAlign w:val="center"/>
          </w:tcPr>
          <w:p w14:paraId="664F0E00">
            <w:pPr>
              <w:pStyle w:val="3127"/>
              <w:rPr>
                <w:color w:val="auto"/>
              </w:rPr>
            </w:pPr>
            <w:r>
              <w:rPr>
                <w:rFonts w:hint="eastAsia"/>
                <w:color w:val="auto"/>
              </w:rPr>
              <w:t>I</w:t>
            </w:r>
          </w:p>
        </w:tc>
      </w:tr>
    </w:tbl>
    <w:p w14:paraId="1C8EA44C">
      <w:pPr>
        <w:spacing w:line="460" w:lineRule="exact"/>
        <w:ind w:firstLine="480"/>
        <w:rPr>
          <w:rFonts w:ascii="宋体" w:hAnsi="宋体"/>
          <w:color w:val="auto"/>
          <w:kern w:val="28"/>
        </w:rPr>
      </w:pPr>
      <w:r>
        <w:rPr>
          <w:rFonts w:hint="eastAsia"/>
          <w:color w:val="auto"/>
          <w:kern w:val="0"/>
        </w:rPr>
        <w:t>由上表进行拟建项目环境风险潜势划分，大气环境风险潜势为II级（P</w:t>
      </w:r>
      <w:r>
        <w:rPr>
          <w:color w:val="auto"/>
          <w:kern w:val="0"/>
        </w:rPr>
        <w:t>4</w:t>
      </w:r>
      <w:r>
        <w:rPr>
          <w:rFonts w:hint="eastAsia"/>
          <w:color w:val="auto"/>
          <w:kern w:val="0"/>
        </w:rPr>
        <w:t>，E</w:t>
      </w:r>
      <w:r>
        <w:rPr>
          <w:color w:val="auto"/>
          <w:kern w:val="0"/>
        </w:rPr>
        <w:t>2</w:t>
      </w:r>
      <w:r>
        <w:rPr>
          <w:rFonts w:hint="eastAsia"/>
          <w:color w:val="auto"/>
          <w:kern w:val="0"/>
        </w:rPr>
        <w:t>），地表水为II级（P</w:t>
      </w:r>
      <w:r>
        <w:rPr>
          <w:color w:val="auto"/>
          <w:kern w:val="0"/>
        </w:rPr>
        <w:t>4</w:t>
      </w:r>
      <w:r>
        <w:rPr>
          <w:rFonts w:hint="eastAsia"/>
          <w:color w:val="auto"/>
          <w:kern w:val="0"/>
        </w:rPr>
        <w:t>，E</w:t>
      </w:r>
      <w:r>
        <w:rPr>
          <w:color w:val="auto"/>
          <w:kern w:val="0"/>
        </w:rPr>
        <w:t>2</w:t>
      </w:r>
      <w:r>
        <w:rPr>
          <w:rFonts w:hint="eastAsia"/>
          <w:color w:val="auto"/>
          <w:kern w:val="0"/>
        </w:rPr>
        <w:t>），地下水为</w:t>
      </w:r>
      <w:r>
        <w:rPr>
          <w:color w:val="auto"/>
          <w:kern w:val="0"/>
        </w:rPr>
        <w:t>I</w:t>
      </w:r>
      <w:r>
        <w:rPr>
          <w:rFonts w:hint="eastAsia"/>
          <w:color w:val="auto"/>
          <w:kern w:val="0"/>
        </w:rPr>
        <w:t>级（P</w:t>
      </w:r>
      <w:r>
        <w:rPr>
          <w:color w:val="auto"/>
          <w:kern w:val="0"/>
        </w:rPr>
        <w:t>4</w:t>
      </w:r>
      <w:r>
        <w:rPr>
          <w:rFonts w:hint="eastAsia"/>
          <w:color w:val="auto"/>
          <w:kern w:val="0"/>
        </w:rPr>
        <w:t>，E3）</w:t>
      </w:r>
      <w:r>
        <w:rPr>
          <w:rFonts w:hint="eastAsia"/>
          <w:color w:val="auto"/>
        </w:rPr>
        <w:t>。</w:t>
      </w:r>
    </w:p>
    <w:p w14:paraId="0E988548">
      <w:pPr>
        <w:spacing w:line="360" w:lineRule="auto"/>
        <w:ind w:firstLine="480"/>
        <w:rPr>
          <w:color w:val="auto"/>
        </w:rPr>
      </w:pPr>
    </w:p>
    <w:p w14:paraId="768810CB">
      <w:pPr>
        <w:pStyle w:val="1986"/>
        <w:numPr>
          <w:ilvl w:val="0"/>
          <w:numId w:val="0"/>
        </w:numPr>
        <w:spacing w:line="360" w:lineRule="auto"/>
        <w:rPr>
          <w:color w:val="auto"/>
        </w:rPr>
      </w:pPr>
      <w:bookmarkStart w:id="272" w:name="_Toc9846"/>
      <w:bookmarkStart w:id="273" w:name="_Toc483208748"/>
      <w:r>
        <w:rPr>
          <w:rFonts w:hint="eastAsia"/>
          <w:color w:val="auto"/>
        </w:rPr>
        <w:t>7</w:t>
      </w:r>
      <w:r>
        <w:rPr>
          <w:color w:val="auto"/>
        </w:rPr>
        <w:t>.4</w:t>
      </w:r>
      <w:bookmarkStart w:id="274" w:name="_Toc5615776"/>
      <w:bookmarkStart w:id="275" w:name="_Toc3497632"/>
      <w:r>
        <w:rPr>
          <w:color w:val="auto"/>
        </w:rPr>
        <w:t>评价等级及评价范围</w:t>
      </w:r>
      <w:bookmarkEnd w:id="272"/>
      <w:bookmarkEnd w:id="274"/>
      <w:bookmarkEnd w:id="275"/>
    </w:p>
    <w:p w14:paraId="5E77723F">
      <w:pPr>
        <w:ind w:firstLine="480"/>
        <w:rPr>
          <w:color w:val="auto"/>
        </w:rPr>
      </w:pPr>
      <w:r>
        <w:rPr>
          <w:rFonts w:hint="eastAsia"/>
          <w:color w:val="auto"/>
        </w:rPr>
        <w:t>（1）评价等级</w:t>
      </w:r>
    </w:p>
    <w:p w14:paraId="2728B858">
      <w:pPr>
        <w:ind w:firstLine="480"/>
        <w:rPr>
          <w:color w:val="auto"/>
        </w:rPr>
      </w:pPr>
      <w:r>
        <w:rPr>
          <w:rFonts w:hint="eastAsia"/>
          <w:color w:val="auto"/>
        </w:rPr>
        <w:t>根据《建设项目环境风险评价技术导则》（HJ 169-2018）评价等级划分，见表7.3.1-1，项目大气环境风险潜势为II、地表水环境风险潜势为II、地下水环境风险潜势为I，因此项目的环境风险评价等级为三级。</w:t>
      </w:r>
    </w:p>
    <w:p w14:paraId="44C8D1D1">
      <w:pPr>
        <w:ind w:firstLine="480"/>
        <w:rPr>
          <w:color w:val="auto"/>
        </w:rPr>
      </w:pPr>
      <w:r>
        <w:rPr>
          <w:rFonts w:hint="eastAsia"/>
          <w:color w:val="auto"/>
        </w:rPr>
        <w:t>另外，根据《建设项目环境风险评价技术导则》（HJ 169-2018）中 4.4.4“各环境要素按确定的评价工作等级分别开展预测评价”，则项目大气环境风险评价工作等级为三级；根据项目工程分析，拟建项目发生事故时含泄漏危险物质的事故水输送到事故水池，不排入地表水体。因此，拟建项目不考虑风险事故泄漏危险物质对地表水体的预测影响，主要分析事故废水防控措施有效性分析，地下水环境风险评价工作等级为简单分析。</w:t>
      </w:r>
    </w:p>
    <w:p w14:paraId="3F3AD564">
      <w:pPr>
        <w:spacing w:line="360" w:lineRule="auto"/>
        <w:ind w:firstLine="480" w:firstLineChars="0"/>
        <w:jc w:val="center"/>
        <w:rPr>
          <w:b/>
          <w:bCs/>
          <w:color w:val="auto"/>
          <w:szCs w:val="22"/>
        </w:rPr>
      </w:pPr>
      <w:r>
        <w:rPr>
          <w:rFonts w:hint="eastAsia"/>
          <w:b/>
          <w:bCs/>
          <w:color w:val="auto"/>
          <w:szCs w:val="22"/>
        </w:rPr>
        <w:t>表7</w:t>
      </w:r>
      <w:r>
        <w:rPr>
          <w:b/>
          <w:bCs/>
          <w:color w:val="auto"/>
          <w:szCs w:val="22"/>
        </w:rPr>
        <w:t>.4-1  项目环境影响评价等级判据一览表</w:t>
      </w:r>
    </w:p>
    <w:tbl>
      <w:tblPr>
        <w:tblStyle w:val="88"/>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0"/>
        <w:gridCol w:w="1673"/>
        <w:gridCol w:w="1675"/>
        <w:gridCol w:w="1673"/>
        <w:gridCol w:w="1675"/>
      </w:tblGrid>
      <w:tr w14:paraId="1C5EE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90" w:type="dxa"/>
            <w:vAlign w:val="center"/>
          </w:tcPr>
          <w:p w14:paraId="34DDED7C">
            <w:pPr>
              <w:spacing w:line="240" w:lineRule="auto"/>
              <w:ind w:firstLine="0" w:firstLineChars="0"/>
              <w:jc w:val="center"/>
              <w:rPr>
                <w:rFonts w:cs="宋体"/>
                <w:color w:val="auto"/>
                <w:kern w:val="0"/>
                <w:sz w:val="21"/>
                <w:szCs w:val="24"/>
              </w:rPr>
            </w:pPr>
            <w:r>
              <w:rPr>
                <w:rFonts w:hint="eastAsia" w:cs="宋体"/>
                <w:color w:val="auto"/>
                <w:kern w:val="0"/>
                <w:sz w:val="21"/>
                <w:szCs w:val="24"/>
              </w:rPr>
              <w:t>环境风险潜势</w:t>
            </w:r>
          </w:p>
        </w:tc>
        <w:tc>
          <w:tcPr>
            <w:tcW w:w="1673" w:type="dxa"/>
            <w:vAlign w:val="center"/>
          </w:tcPr>
          <w:p w14:paraId="5BA07DA6">
            <w:pPr>
              <w:spacing w:line="240" w:lineRule="auto"/>
              <w:ind w:firstLine="0" w:firstLineChars="0"/>
              <w:jc w:val="center"/>
              <w:rPr>
                <w:rFonts w:cs="宋体"/>
                <w:color w:val="auto"/>
                <w:kern w:val="0"/>
                <w:sz w:val="21"/>
                <w:szCs w:val="24"/>
              </w:rPr>
            </w:pPr>
            <w:r>
              <w:rPr>
                <w:rFonts w:hint="eastAsia" w:cs="宋体"/>
                <w:color w:val="auto"/>
                <w:kern w:val="0"/>
                <w:sz w:val="21"/>
                <w:szCs w:val="24"/>
              </w:rPr>
              <w:t>Ⅳ、Ⅳ</w:t>
            </w:r>
            <w:r>
              <w:rPr>
                <w:rFonts w:hint="eastAsia" w:cs="宋体"/>
                <w:color w:val="auto"/>
                <w:kern w:val="0"/>
                <w:sz w:val="21"/>
                <w:szCs w:val="24"/>
                <w:vertAlign w:val="superscript"/>
              </w:rPr>
              <w:t>+</w:t>
            </w:r>
          </w:p>
        </w:tc>
        <w:tc>
          <w:tcPr>
            <w:tcW w:w="1675" w:type="dxa"/>
            <w:vAlign w:val="center"/>
          </w:tcPr>
          <w:p w14:paraId="251DCCA0">
            <w:pPr>
              <w:spacing w:line="240" w:lineRule="auto"/>
              <w:ind w:firstLine="0" w:firstLineChars="0"/>
              <w:jc w:val="center"/>
              <w:rPr>
                <w:rFonts w:cs="宋体"/>
                <w:color w:val="auto"/>
                <w:kern w:val="0"/>
                <w:sz w:val="21"/>
                <w:szCs w:val="24"/>
              </w:rPr>
            </w:pPr>
            <w:r>
              <w:rPr>
                <w:rFonts w:hint="eastAsia" w:cs="宋体"/>
                <w:color w:val="auto"/>
                <w:kern w:val="0"/>
                <w:sz w:val="21"/>
                <w:szCs w:val="24"/>
              </w:rPr>
              <w:t>III</w:t>
            </w:r>
          </w:p>
        </w:tc>
        <w:tc>
          <w:tcPr>
            <w:tcW w:w="1673" w:type="dxa"/>
            <w:vAlign w:val="center"/>
          </w:tcPr>
          <w:p w14:paraId="397A3DA3">
            <w:pPr>
              <w:spacing w:line="240" w:lineRule="auto"/>
              <w:ind w:firstLine="0" w:firstLineChars="0"/>
              <w:jc w:val="center"/>
              <w:rPr>
                <w:rFonts w:cs="宋体"/>
                <w:color w:val="auto"/>
                <w:kern w:val="0"/>
                <w:sz w:val="21"/>
                <w:szCs w:val="24"/>
              </w:rPr>
            </w:pPr>
            <w:r>
              <w:rPr>
                <w:rFonts w:hint="eastAsia" w:cs="宋体"/>
                <w:color w:val="auto"/>
                <w:kern w:val="0"/>
                <w:sz w:val="21"/>
                <w:szCs w:val="24"/>
              </w:rPr>
              <w:t>II</w:t>
            </w:r>
          </w:p>
        </w:tc>
        <w:tc>
          <w:tcPr>
            <w:tcW w:w="1675" w:type="dxa"/>
            <w:vAlign w:val="center"/>
          </w:tcPr>
          <w:p w14:paraId="089BA1D4">
            <w:pPr>
              <w:spacing w:line="240" w:lineRule="auto"/>
              <w:ind w:firstLine="0" w:firstLineChars="0"/>
              <w:jc w:val="center"/>
              <w:rPr>
                <w:rFonts w:cs="宋体"/>
                <w:color w:val="auto"/>
                <w:kern w:val="0"/>
                <w:sz w:val="21"/>
                <w:szCs w:val="24"/>
              </w:rPr>
            </w:pPr>
            <w:r>
              <w:rPr>
                <w:rFonts w:hint="eastAsia" w:cs="宋体"/>
                <w:color w:val="auto"/>
                <w:kern w:val="0"/>
                <w:sz w:val="21"/>
                <w:szCs w:val="24"/>
              </w:rPr>
              <w:t>I</w:t>
            </w:r>
          </w:p>
        </w:tc>
      </w:tr>
      <w:tr w14:paraId="16C0A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90" w:type="dxa"/>
            <w:vAlign w:val="center"/>
          </w:tcPr>
          <w:p w14:paraId="17397DBA">
            <w:pPr>
              <w:spacing w:line="240" w:lineRule="auto"/>
              <w:ind w:firstLine="0" w:firstLineChars="0"/>
              <w:jc w:val="center"/>
              <w:rPr>
                <w:rFonts w:cs="宋体"/>
                <w:color w:val="auto"/>
                <w:kern w:val="0"/>
                <w:sz w:val="21"/>
                <w:szCs w:val="24"/>
              </w:rPr>
            </w:pPr>
            <w:r>
              <w:rPr>
                <w:rFonts w:hint="eastAsia" w:cs="宋体"/>
                <w:color w:val="auto"/>
                <w:kern w:val="0"/>
                <w:sz w:val="21"/>
                <w:szCs w:val="24"/>
              </w:rPr>
              <w:t>环境风险评价等级</w:t>
            </w:r>
          </w:p>
        </w:tc>
        <w:tc>
          <w:tcPr>
            <w:tcW w:w="1673" w:type="dxa"/>
            <w:vAlign w:val="center"/>
          </w:tcPr>
          <w:p w14:paraId="7F5B75CC">
            <w:pPr>
              <w:spacing w:line="240" w:lineRule="auto"/>
              <w:ind w:firstLine="0" w:firstLineChars="0"/>
              <w:jc w:val="center"/>
              <w:rPr>
                <w:rFonts w:cs="宋体"/>
                <w:color w:val="auto"/>
                <w:kern w:val="0"/>
                <w:sz w:val="21"/>
                <w:szCs w:val="24"/>
              </w:rPr>
            </w:pPr>
            <w:r>
              <w:rPr>
                <w:rFonts w:hint="eastAsia" w:cs="宋体"/>
                <w:color w:val="auto"/>
                <w:kern w:val="0"/>
                <w:sz w:val="21"/>
                <w:szCs w:val="24"/>
              </w:rPr>
              <w:t>一</w:t>
            </w:r>
          </w:p>
        </w:tc>
        <w:tc>
          <w:tcPr>
            <w:tcW w:w="1675" w:type="dxa"/>
            <w:vAlign w:val="center"/>
          </w:tcPr>
          <w:p w14:paraId="189F1ECA">
            <w:pPr>
              <w:spacing w:line="240" w:lineRule="auto"/>
              <w:ind w:firstLine="0" w:firstLineChars="0"/>
              <w:jc w:val="center"/>
              <w:rPr>
                <w:rFonts w:cs="宋体"/>
                <w:color w:val="auto"/>
                <w:kern w:val="0"/>
                <w:sz w:val="21"/>
                <w:szCs w:val="24"/>
              </w:rPr>
            </w:pPr>
            <w:r>
              <w:rPr>
                <w:rFonts w:hint="eastAsia" w:cs="宋体"/>
                <w:color w:val="auto"/>
                <w:kern w:val="0"/>
                <w:sz w:val="21"/>
                <w:szCs w:val="24"/>
              </w:rPr>
              <w:t>二</w:t>
            </w:r>
          </w:p>
        </w:tc>
        <w:tc>
          <w:tcPr>
            <w:tcW w:w="1673" w:type="dxa"/>
            <w:vAlign w:val="center"/>
          </w:tcPr>
          <w:p w14:paraId="5B5465CB">
            <w:pPr>
              <w:spacing w:line="240" w:lineRule="auto"/>
              <w:ind w:firstLine="0" w:firstLineChars="0"/>
              <w:jc w:val="center"/>
              <w:rPr>
                <w:rFonts w:cs="宋体"/>
                <w:color w:val="auto"/>
                <w:kern w:val="0"/>
                <w:sz w:val="21"/>
                <w:szCs w:val="24"/>
              </w:rPr>
            </w:pPr>
            <w:r>
              <w:rPr>
                <w:rFonts w:hint="eastAsia" w:cs="宋体"/>
                <w:color w:val="auto"/>
                <w:kern w:val="0"/>
                <w:sz w:val="21"/>
                <w:szCs w:val="24"/>
              </w:rPr>
              <w:t>三</w:t>
            </w:r>
          </w:p>
        </w:tc>
        <w:tc>
          <w:tcPr>
            <w:tcW w:w="1675" w:type="dxa"/>
            <w:vAlign w:val="center"/>
          </w:tcPr>
          <w:p w14:paraId="3335B720">
            <w:pPr>
              <w:spacing w:line="240" w:lineRule="auto"/>
              <w:ind w:firstLine="0" w:firstLineChars="0"/>
              <w:jc w:val="center"/>
              <w:rPr>
                <w:rFonts w:cs="宋体"/>
                <w:color w:val="auto"/>
                <w:kern w:val="0"/>
                <w:sz w:val="21"/>
                <w:szCs w:val="24"/>
              </w:rPr>
            </w:pPr>
            <w:r>
              <w:rPr>
                <w:rFonts w:hint="eastAsia" w:cs="宋体"/>
                <w:color w:val="auto"/>
                <w:kern w:val="0"/>
                <w:sz w:val="21"/>
                <w:szCs w:val="24"/>
              </w:rPr>
              <w:t>简单分析</w:t>
            </w:r>
          </w:p>
        </w:tc>
      </w:tr>
      <w:bookmarkEnd w:id="273"/>
    </w:tbl>
    <w:p w14:paraId="236F8703">
      <w:pPr>
        <w:spacing w:line="360" w:lineRule="auto"/>
        <w:ind w:firstLine="480"/>
        <w:rPr>
          <w:color w:val="auto"/>
        </w:rPr>
      </w:pPr>
      <w:bookmarkStart w:id="276" w:name="_Toc483208749"/>
    </w:p>
    <w:p w14:paraId="6D967F0E">
      <w:pPr>
        <w:spacing w:line="360" w:lineRule="auto"/>
        <w:ind w:firstLine="480"/>
        <w:rPr>
          <w:color w:val="auto"/>
        </w:rPr>
      </w:pPr>
      <w:r>
        <w:rPr>
          <w:rFonts w:hint="eastAsia"/>
          <w:color w:val="auto"/>
        </w:rPr>
        <w:t>（2）评价范围</w:t>
      </w:r>
    </w:p>
    <w:p w14:paraId="4D346570">
      <w:pPr>
        <w:spacing w:line="460" w:lineRule="atLeast"/>
        <w:ind w:firstLine="480"/>
        <w:rPr>
          <w:color w:val="auto"/>
        </w:rPr>
      </w:pPr>
      <w:r>
        <w:rPr>
          <w:rFonts w:hint="eastAsia"/>
          <w:color w:val="auto"/>
        </w:rPr>
        <w:t>项目的环境风险评价范围具体如下：</w:t>
      </w:r>
    </w:p>
    <w:p w14:paraId="234895AB">
      <w:pPr>
        <w:spacing w:line="460" w:lineRule="atLeast"/>
        <w:ind w:firstLine="480"/>
        <w:rPr>
          <w:color w:val="auto"/>
        </w:rPr>
      </w:pPr>
      <w:r>
        <w:rPr>
          <w:rFonts w:hint="eastAsia"/>
          <w:color w:val="auto"/>
        </w:rPr>
        <w:t>①大气环境风险评价范围</w:t>
      </w:r>
    </w:p>
    <w:p w14:paraId="3A816BEA">
      <w:pPr>
        <w:spacing w:line="460" w:lineRule="atLeast"/>
        <w:ind w:firstLine="480"/>
        <w:rPr>
          <w:color w:val="auto"/>
        </w:rPr>
      </w:pPr>
      <w:r>
        <w:rPr>
          <w:rFonts w:hint="eastAsia"/>
          <w:color w:val="auto"/>
        </w:rPr>
        <w:t>以建设项目厂区为中心外扩</w:t>
      </w:r>
      <w:r>
        <w:rPr>
          <w:color w:val="auto"/>
        </w:rPr>
        <w:t xml:space="preserve">3km </w:t>
      </w:r>
      <w:r>
        <w:rPr>
          <w:rFonts w:hint="eastAsia"/>
          <w:color w:val="auto"/>
        </w:rPr>
        <w:t>的范围。</w:t>
      </w:r>
    </w:p>
    <w:p w14:paraId="32CA07B3">
      <w:pPr>
        <w:spacing w:line="460" w:lineRule="atLeast"/>
        <w:ind w:firstLine="480"/>
        <w:rPr>
          <w:color w:val="auto"/>
        </w:rPr>
      </w:pPr>
      <w:r>
        <w:rPr>
          <w:rFonts w:hint="eastAsia"/>
          <w:color w:val="auto"/>
        </w:rPr>
        <w:t>②地表水环境风险评价范围</w:t>
      </w:r>
    </w:p>
    <w:p w14:paraId="5D6C997B">
      <w:pPr>
        <w:spacing w:line="460" w:lineRule="atLeast"/>
        <w:ind w:firstLine="480"/>
        <w:rPr>
          <w:color w:val="auto"/>
        </w:rPr>
      </w:pPr>
      <w:r>
        <w:rPr>
          <w:rFonts w:hint="eastAsia"/>
          <w:color w:val="auto"/>
        </w:rPr>
        <w:t>项目已设置事故池</w:t>
      </w:r>
      <w:r>
        <w:rPr>
          <w:rFonts w:hint="eastAsia"/>
          <w:color w:val="auto"/>
          <w:lang w:eastAsia="zh-CN"/>
        </w:rPr>
        <w:t>（兼</w:t>
      </w:r>
      <w:r>
        <w:rPr>
          <w:rFonts w:hint="eastAsia"/>
          <w:color w:val="auto"/>
        </w:rPr>
        <w:t>初期雨水收集池</w:t>
      </w:r>
      <w:r>
        <w:rPr>
          <w:rFonts w:hint="eastAsia"/>
          <w:color w:val="auto"/>
          <w:lang w:eastAsia="zh-CN"/>
        </w:rPr>
        <w:t>）</w:t>
      </w:r>
      <w:r>
        <w:rPr>
          <w:rFonts w:hint="eastAsia"/>
          <w:color w:val="auto"/>
        </w:rPr>
        <w:t>，不再考虑风险事故泄漏危险物质对地表水体的影响，因此不设地表水环境风险评价范围。</w:t>
      </w:r>
    </w:p>
    <w:p w14:paraId="1BA7D5D9">
      <w:pPr>
        <w:spacing w:line="460" w:lineRule="atLeast"/>
        <w:ind w:firstLine="480"/>
        <w:rPr>
          <w:color w:val="auto"/>
        </w:rPr>
      </w:pPr>
      <w:r>
        <w:rPr>
          <w:rFonts w:hint="eastAsia"/>
          <w:color w:val="auto"/>
        </w:rPr>
        <w:t>③地下水环境风险评价范围</w:t>
      </w:r>
    </w:p>
    <w:p w14:paraId="5F45387E">
      <w:pPr>
        <w:spacing w:line="460" w:lineRule="atLeast"/>
        <w:ind w:firstLine="480"/>
        <w:rPr>
          <w:color w:val="auto"/>
        </w:rPr>
      </w:pPr>
      <w:r>
        <w:rPr>
          <w:rFonts w:hint="eastAsia"/>
          <w:color w:val="auto"/>
          <w:kern w:val="0"/>
        </w:rPr>
        <w:t>根据《建设项目环境风险评价技术导则》（</w:t>
      </w:r>
      <w:r>
        <w:rPr>
          <w:color w:val="auto"/>
          <w:kern w:val="0"/>
        </w:rPr>
        <w:t>HJ 169-2018</w:t>
      </w:r>
      <w:r>
        <w:rPr>
          <w:rFonts w:hint="eastAsia"/>
          <w:color w:val="auto"/>
          <w:kern w:val="0"/>
        </w:rPr>
        <w:t>）规定，项目地下水环境风险评价范围：以相对独立水文地质单元为边界，选定重点调查范围为拟建项目厂区及厂址周围下游区域，具体为：调查评价范围约</w:t>
      </w:r>
      <w:r>
        <w:rPr>
          <w:rFonts w:hint="eastAsia"/>
          <w:color w:val="auto"/>
          <w:lang w:val="en-US" w:eastAsia="zh-CN"/>
        </w:rPr>
        <w:t>15.0</w:t>
      </w:r>
      <w:r>
        <w:rPr>
          <w:color w:val="auto"/>
          <w:kern w:val="0"/>
        </w:rPr>
        <w:t>km</w:t>
      </w:r>
      <w:r>
        <w:rPr>
          <w:color w:val="auto"/>
          <w:kern w:val="0"/>
          <w:vertAlign w:val="superscript"/>
        </w:rPr>
        <w:t>2</w:t>
      </w:r>
      <w:r>
        <w:rPr>
          <w:rFonts w:hint="eastAsia"/>
          <w:color w:val="auto"/>
          <w:kern w:val="0"/>
        </w:rPr>
        <w:t>。</w:t>
      </w:r>
    </w:p>
    <w:p w14:paraId="1F4E304C">
      <w:pPr>
        <w:spacing w:line="360" w:lineRule="auto"/>
        <w:ind w:firstLine="480"/>
        <w:rPr>
          <w:color w:val="auto"/>
        </w:rPr>
      </w:pPr>
    </w:p>
    <w:p w14:paraId="786B9D14">
      <w:pPr>
        <w:pStyle w:val="1986"/>
        <w:numPr>
          <w:ilvl w:val="0"/>
          <w:numId w:val="0"/>
        </w:numPr>
        <w:spacing w:line="360" w:lineRule="auto"/>
        <w:rPr>
          <w:color w:val="auto"/>
        </w:rPr>
      </w:pPr>
      <w:bookmarkStart w:id="277" w:name="_Toc21061"/>
      <w:r>
        <w:rPr>
          <w:rFonts w:hint="eastAsia"/>
          <w:color w:val="auto"/>
        </w:rPr>
        <w:t>7</w:t>
      </w:r>
      <w:r>
        <w:rPr>
          <w:color w:val="auto"/>
        </w:rPr>
        <w:t>.5</w:t>
      </w:r>
      <w:r>
        <w:rPr>
          <w:rFonts w:hint="eastAsia"/>
          <w:color w:val="auto"/>
        </w:rPr>
        <w:t>环境风险识别</w:t>
      </w:r>
      <w:bookmarkEnd w:id="277"/>
    </w:p>
    <w:p w14:paraId="1FBD6C8B">
      <w:pPr>
        <w:spacing w:line="360" w:lineRule="auto"/>
        <w:ind w:firstLine="480"/>
        <w:rPr>
          <w:color w:val="auto"/>
          <w:lang w:val="zh-CN"/>
        </w:rPr>
      </w:pPr>
      <w:bookmarkStart w:id="278" w:name="OLE_LINK7"/>
      <w:bookmarkStart w:id="279" w:name="OLE_LINK8"/>
      <w:r>
        <w:rPr>
          <w:rFonts w:hint="eastAsia"/>
          <w:color w:val="auto"/>
          <w:lang w:val="zh-CN"/>
        </w:rPr>
        <w:t>根据《危险化学品目录</w:t>
      </w:r>
      <w:r>
        <w:rPr>
          <w:color w:val="auto"/>
          <w:lang w:val="zh-CN"/>
        </w:rPr>
        <w:t>（2015版）》</w:t>
      </w:r>
      <w:r>
        <w:rPr>
          <w:rFonts w:hint="eastAsia"/>
          <w:color w:val="auto"/>
          <w:lang w:val="zh-CN"/>
        </w:rPr>
        <w:t>及《建设项目环境风险评价技术导则》（HJ16</w:t>
      </w:r>
      <w:r>
        <w:rPr>
          <w:color w:val="auto"/>
          <w:lang w:val="zh-CN"/>
        </w:rPr>
        <w:t>9-2018）附录B</w:t>
      </w:r>
      <w:r>
        <w:rPr>
          <w:rFonts w:hint="eastAsia"/>
          <w:color w:val="auto"/>
          <w:lang w:val="zh-CN"/>
        </w:rPr>
        <w:t>等相关文件</w:t>
      </w:r>
      <w:r>
        <w:rPr>
          <w:color w:val="auto"/>
          <w:lang w:val="zh-CN"/>
        </w:rPr>
        <w:t>，</w:t>
      </w:r>
      <w:r>
        <w:rPr>
          <w:rFonts w:hint="eastAsia"/>
          <w:color w:val="auto"/>
          <w:lang w:val="zh-CN"/>
        </w:rPr>
        <w:t>拟建项目</w:t>
      </w:r>
      <w:r>
        <w:rPr>
          <w:color w:val="auto"/>
          <w:lang w:val="zh-CN"/>
        </w:rPr>
        <w:t>原辅材料</w:t>
      </w:r>
      <w:r>
        <w:rPr>
          <w:rFonts w:hint="eastAsia"/>
          <w:color w:val="auto"/>
          <w:lang w:val="zh-CN"/>
        </w:rPr>
        <w:t>涉及危险化学品主要为污水处理过程中添加的各类药剂，主要包括：</w:t>
      </w:r>
      <w:r>
        <w:rPr>
          <w:rFonts w:hint="eastAsia"/>
          <w:color w:val="auto"/>
        </w:rPr>
        <w:t>PAM（聚丙烯酰胺）、PAC（聚合氯化铝）、氢氧化钠、碳酸钠、硫酸亚铁、硫酸（50%）、30%盐酸、30%双氧水等。</w:t>
      </w:r>
      <w:r>
        <w:rPr>
          <w:rFonts w:hint="eastAsia"/>
          <w:color w:val="auto"/>
          <w:lang w:val="zh-CN"/>
        </w:rPr>
        <w:t>固体药剂贮存于药品储存区，液体药剂贮存于药剂储存罐区</w:t>
      </w:r>
      <w:r>
        <w:rPr>
          <w:rFonts w:hint="eastAsia"/>
          <w:color w:val="auto"/>
        </w:rPr>
        <w:t>。危险废物储存在危废贮存库，因此，项目主要</w:t>
      </w:r>
      <w:r>
        <w:rPr>
          <w:rFonts w:hint="eastAsia"/>
          <w:color w:val="auto"/>
          <w:lang w:val="zh-CN"/>
        </w:rPr>
        <w:t>环境风险单元为药品储存区、药剂储存罐区</w:t>
      </w:r>
      <w:r>
        <w:rPr>
          <w:rFonts w:hint="eastAsia"/>
          <w:color w:val="auto"/>
        </w:rPr>
        <w:t>、</w:t>
      </w:r>
      <w:r>
        <w:rPr>
          <w:rFonts w:hint="eastAsia"/>
          <w:color w:val="auto"/>
          <w:lang w:val="zh-CN"/>
        </w:rPr>
        <w:t>危废贮存库和废水处理设施区。</w:t>
      </w:r>
    </w:p>
    <w:p w14:paraId="3E32BB98">
      <w:pPr>
        <w:spacing w:line="360" w:lineRule="auto"/>
        <w:ind w:firstLine="480"/>
        <w:rPr>
          <w:color w:val="auto"/>
          <w:lang w:val="zh-CN"/>
        </w:rPr>
      </w:pPr>
      <w:r>
        <w:rPr>
          <w:rFonts w:hint="eastAsia"/>
          <w:color w:val="auto"/>
          <w:lang w:val="zh-CN"/>
        </w:rPr>
        <w:t>拟建项目污水处理厂环境风险包括</w:t>
      </w:r>
      <w:r>
        <w:rPr>
          <w:color w:val="auto"/>
          <w:kern w:val="0"/>
          <w:szCs w:val="24"/>
        </w:rPr>
        <w:t>污水处理厂进水</w:t>
      </w:r>
      <w:r>
        <w:rPr>
          <w:rFonts w:hint="eastAsia"/>
          <w:color w:val="auto"/>
        </w:rPr>
        <w:t>污染事故</w:t>
      </w:r>
      <w:r>
        <w:rPr>
          <w:color w:val="auto"/>
          <w:kern w:val="0"/>
          <w:szCs w:val="24"/>
        </w:rPr>
        <w:t>、</w:t>
      </w:r>
      <w:r>
        <w:rPr>
          <w:rFonts w:hint="eastAsia"/>
          <w:color w:val="auto"/>
        </w:rPr>
        <w:t>设备故障事故及检修、</w:t>
      </w:r>
      <w:r>
        <w:rPr>
          <w:color w:val="auto"/>
          <w:kern w:val="0"/>
          <w:szCs w:val="24"/>
        </w:rPr>
        <w:t>非正常运行状况可能发生的</w:t>
      </w:r>
      <w:r>
        <w:rPr>
          <w:rFonts w:hint="eastAsia"/>
          <w:color w:val="auto"/>
          <w:kern w:val="0"/>
          <w:szCs w:val="24"/>
        </w:rPr>
        <w:t>尾水事故</w:t>
      </w:r>
      <w:r>
        <w:rPr>
          <w:color w:val="auto"/>
          <w:kern w:val="0"/>
          <w:szCs w:val="24"/>
        </w:rPr>
        <w:t>排放、恶臭处理设施故障</w:t>
      </w:r>
      <w:r>
        <w:rPr>
          <w:rFonts w:hint="eastAsia"/>
          <w:color w:val="auto"/>
          <w:kern w:val="0"/>
          <w:szCs w:val="24"/>
        </w:rPr>
        <w:t>、</w:t>
      </w:r>
      <w:r>
        <w:rPr>
          <w:color w:val="auto"/>
          <w:kern w:val="0"/>
          <w:szCs w:val="24"/>
        </w:rPr>
        <w:t>池体泄漏</w:t>
      </w:r>
      <w:r>
        <w:rPr>
          <w:rFonts w:hint="eastAsia"/>
          <w:color w:val="auto"/>
          <w:kern w:val="0"/>
          <w:szCs w:val="24"/>
        </w:rPr>
        <w:t>、</w:t>
      </w:r>
      <w:r>
        <w:rPr>
          <w:color w:val="auto"/>
          <w:kern w:val="0"/>
          <w:szCs w:val="24"/>
        </w:rPr>
        <w:t>化学品泄漏及</w:t>
      </w:r>
      <w:r>
        <w:rPr>
          <w:rFonts w:hint="eastAsia"/>
          <w:color w:val="auto"/>
          <w:kern w:val="0"/>
          <w:szCs w:val="24"/>
        </w:rPr>
        <w:t>危废贮存库泄漏</w:t>
      </w:r>
      <w:r>
        <w:rPr>
          <w:color w:val="auto"/>
          <w:kern w:val="0"/>
          <w:szCs w:val="24"/>
        </w:rPr>
        <w:t>等</w:t>
      </w:r>
      <w:r>
        <w:rPr>
          <w:rFonts w:hint="eastAsia"/>
          <w:color w:val="auto"/>
          <w:kern w:val="0"/>
          <w:szCs w:val="24"/>
        </w:rPr>
        <w:t>环境风险。</w:t>
      </w:r>
    </w:p>
    <w:p w14:paraId="05E9EB49">
      <w:pPr>
        <w:pStyle w:val="5"/>
        <w:numPr>
          <w:ilvl w:val="0"/>
          <w:numId w:val="0"/>
        </w:numPr>
        <w:spacing w:line="360" w:lineRule="auto"/>
        <w:jc w:val="left"/>
        <w:rPr>
          <w:color w:val="auto"/>
        </w:rPr>
      </w:pPr>
      <w:r>
        <w:rPr>
          <w:rFonts w:hint="eastAsia"/>
          <w:color w:val="auto"/>
        </w:rPr>
        <w:t>7</w:t>
      </w:r>
      <w:r>
        <w:rPr>
          <w:color w:val="auto"/>
        </w:rPr>
        <w:t>.5.1环境</w:t>
      </w:r>
      <w:r>
        <w:rPr>
          <w:rFonts w:hint="eastAsia"/>
          <w:color w:val="auto"/>
        </w:rPr>
        <w:t>风险</w:t>
      </w:r>
      <w:r>
        <w:rPr>
          <w:color w:val="auto"/>
        </w:rPr>
        <w:t>影响分析</w:t>
      </w:r>
    </w:p>
    <w:p w14:paraId="6B739FA3">
      <w:pPr>
        <w:spacing w:line="360" w:lineRule="auto"/>
        <w:ind w:firstLine="480"/>
        <w:rPr>
          <w:color w:val="auto"/>
        </w:rPr>
      </w:pPr>
      <w:r>
        <w:rPr>
          <w:rFonts w:hint="eastAsia"/>
          <w:color w:val="auto"/>
        </w:rPr>
        <w:t>（1）进水污染事故</w:t>
      </w:r>
    </w:p>
    <w:p w14:paraId="1A53FEC7">
      <w:pPr>
        <w:spacing w:line="360" w:lineRule="auto"/>
        <w:ind w:firstLine="480"/>
        <w:rPr>
          <w:color w:val="auto"/>
        </w:rPr>
      </w:pPr>
      <w:r>
        <w:rPr>
          <w:rFonts w:hint="eastAsia"/>
          <w:color w:val="auto"/>
          <w:kern w:val="0"/>
          <w:szCs w:val="24"/>
        </w:rPr>
        <w:t>拟建项目服务范围内</w:t>
      </w:r>
      <w:r>
        <w:rPr>
          <w:color w:val="auto"/>
          <w:kern w:val="0"/>
          <w:szCs w:val="24"/>
        </w:rPr>
        <w:t>异常进水</w:t>
      </w:r>
      <w:r>
        <w:rPr>
          <w:rFonts w:hint="eastAsia"/>
          <w:color w:val="auto"/>
          <w:kern w:val="0"/>
          <w:szCs w:val="24"/>
        </w:rPr>
        <w:t>可能</w:t>
      </w:r>
      <w:r>
        <w:rPr>
          <w:color w:val="auto"/>
          <w:kern w:val="0"/>
          <w:szCs w:val="24"/>
        </w:rPr>
        <w:t>对污水处理</w:t>
      </w:r>
      <w:r>
        <w:rPr>
          <w:rFonts w:hint="eastAsia"/>
          <w:color w:val="auto"/>
          <w:kern w:val="0"/>
          <w:szCs w:val="24"/>
        </w:rPr>
        <w:t>系统</w:t>
      </w:r>
      <w:r>
        <w:rPr>
          <w:color w:val="auto"/>
          <w:kern w:val="0"/>
          <w:szCs w:val="24"/>
        </w:rPr>
        <w:t>造成冲击。</w:t>
      </w:r>
      <w:r>
        <w:rPr>
          <w:rFonts w:hint="eastAsia"/>
          <w:color w:val="auto"/>
        </w:rPr>
        <w:t>进水水质对本污水处理厂的威胁可能来自个别油气田的废水预处理故障而产生的高浓度废水，由于拟建项目采出水来源于不同油气田，个别油气田产生的高浓度废水对本污水处理厂的进水来说，并不会对处理效率构成明显的影响。在极少数的情况下，发生事故的油气田排放的废水量在污水处理厂进水中所占的分量较大，从而使处理效率下降，此时处理尾水水质有超标的可能。</w:t>
      </w:r>
    </w:p>
    <w:p w14:paraId="61B6BBCD">
      <w:pPr>
        <w:spacing w:line="360" w:lineRule="auto"/>
        <w:ind w:firstLine="480"/>
        <w:rPr>
          <w:color w:val="auto"/>
        </w:rPr>
      </w:pPr>
      <w:r>
        <w:rPr>
          <w:rFonts w:hint="eastAsia"/>
          <w:color w:val="auto"/>
        </w:rPr>
        <w:t>（2）设备故障事故及检修</w:t>
      </w:r>
    </w:p>
    <w:p w14:paraId="37348104">
      <w:pPr>
        <w:spacing w:line="360" w:lineRule="auto"/>
        <w:ind w:firstLine="480"/>
        <w:rPr>
          <w:color w:val="auto"/>
        </w:rPr>
      </w:pPr>
      <w:r>
        <w:rPr>
          <w:rFonts w:hint="eastAsia"/>
          <w:color w:val="auto"/>
        </w:rPr>
        <w:t>设计中主要设备采用国产优质设备。监测仪表和控制系统自动监控水平较高。 因此，本污水处理厂发生设备故障事故的可能性较低。</w:t>
      </w:r>
    </w:p>
    <w:p w14:paraId="09FF84F4">
      <w:pPr>
        <w:spacing w:line="360" w:lineRule="auto"/>
        <w:ind w:firstLine="480"/>
        <w:rPr>
          <w:color w:val="auto"/>
        </w:rPr>
      </w:pPr>
      <w:r>
        <w:rPr>
          <w:rFonts w:hint="eastAsia"/>
          <w:color w:val="auto"/>
        </w:rPr>
        <w:t>污水处理工程因设备故障或检修导致部分或全部污水未经处理直接排放，最大排放量为全部进水量，在此情况下，排放的污染物浓度为污水处理工程的进水浓度。</w:t>
      </w:r>
    </w:p>
    <w:p w14:paraId="664A0A0D">
      <w:pPr>
        <w:spacing w:line="360" w:lineRule="auto"/>
        <w:ind w:firstLine="480"/>
        <w:rPr>
          <w:color w:val="auto"/>
          <w:kern w:val="0"/>
          <w:szCs w:val="24"/>
        </w:rPr>
      </w:pPr>
      <w:r>
        <w:rPr>
          <w:rFonts w:hint="eastAsia"/>
          <w:color w:val="auto"/>
        </w:rPr>
        <w:t>（3）</w:t>
      </w:r>
      <w:r>
        <w:rPr>
          <w:color w:val="auto"/>
          <w:kern w:val="0"/>
          <w:szCs w:val="24"/>
        </w:rPr>
        <w:t>尾水事故排放</w:t>
      </w:r>
    </w:p>
    <w:p w14:paraId="2A1ABBD5">
      <w:pPr>
        <w:autoSpaceDE w:val="0"/>
        <w:autoSpaceDN w:val="0"/>
        <w:spacing w:line="360" w:lineRule="auto"/>
        <w:ind w:firstLine="480"/>
        <w:jc w:val="left"/>
        <w:rPr>
          <w:color w:val="auto"/>
          <w:kern w:val="0"/>
          <w:szCs w:val="24"/>
        </w:rPr>
      </w:pPr>
      <w:r>
        <w:rPr>
          <w:color w:val="auto"/>
          <w:kern w:val="0"/>
          <w:szCs w:val="24"/>
        </w:rPr>
        <w:t>造成尾水事故排放的主要原因包括设备故障、</w:t>
      </w:r>
      <w:r>
        <w:rPr>
          <w:rFonts w:hint="eastAsia"/>
          <w:color w:val="auto"/>
          <w:kern w:val="0"/>
          <w:szCs w:val="24"/>
        </w:rPr>
        <w:t>渗透膜堵塞</w:t>
      </w:r>
      <w:r>
        <w:rPr>
          <w:color w:val="auto"/>
          <w:kern w:val="0"/>
          <w:szCs w:val="24"/>
        </w:rPr>
        <w:t>等。污水处理厂一旦出现机械故障或停电，会直接影响污水处理厂的正常运行，</w:t>
      </w:r>
      <w:r>
        <w:rPr>
          <w:color w:val="auto"/>
          <w:szCs w:val="24"/>
        </w:rPr>
        <w:t>尤其是遇到机械故障或长时间停电不运转将</w:t>
      </w:r>
      <w:r>
        <w:rPr>
          <w:color w:val="auto"/>
          <w:kern w:val="0"/>
          <w:szCs w:val="24"/>
        </w:rPr>
        <w:t>严重影响污水处理设施的处理效果，甚至完全失效，尾水将严重超标排放。</w:t>
      </w:r>
    </w:p>
    <w:p w14:paraId="1A4EF9F1">
      <w:pPr>
        <w:autoSpaceDE w:val="0"/>
        <w:autoSpaceDN w:val="0"/>
        <w:spacing w:line="360" w:lineRule="auto"/>
        <w:ind w:firstLine="480"/>
        <w:jc w:val="left"/>
        <w:rPr>
          <w:color w:val="auto"/>
          <w:kern w:val="0"/>
          <w:szCs w:val="24"/>
        </w:rPr>
      </w:pPr>
      <w:r>
        <w:rPr>
          <w:color w:val="auto"/>
          <w:kern w:val="0"/>
          <w:szCs w:val="24"/>
        </w:rPr>
        <w:t>（4）恶臭处理设施故障</w:t>
      </w:r>
    </w:p>
    <w:p w14:paraId="4B19F548">
      <w:pPr>
        <w:autoSpaceDE w:val="0"/>
        <w:autoSpaceDN w:val="0"/>
        <w:spacing w:line="360" w:lineRule="auto"/>
        <w:ind w:firstLine="480"/>
        <w:jc w:val="left"/>
        <w:rPr>
          <w:color w:val="auto"/>
          <w:kern w:val="0"/>
          <w:szCs w:val="24"/>
        </w:rPr>
      </w:pPr>
      <w:r>
        <w:rPr>
          <w:color w:val="auto"/>
          <w:kern w:val="0"/>
          <w:szCs w:val="24"/>
        </w:rPr>
        <w:t>项目污水处理产生的恶臭气体采用</w:t>
      </w:r>
      <w:r>
        <w:rPr>
          <w:rFonts w:hint="eastAsia"/>
          <w:color w:val="auto"/>
          <w:kern w:val="0"/>
          <w:szCs w:val="24"/>
        </w:rPr>
        <w:t>碱喷淋+除湿+活性炭吸附</w:t>
      </w:r>
      <w:r>
        <w:rPr>
          <w:color w:val="auto"/>
          <w:kern w:val="0"/>
          <w:szCs w:val="24"/>
        </w:rPr>
        <w:t>除臭法工艺。若处理装置发生故障，易造成恶臭污染物的局部污染，拟采用的臭气处理工艺设备简单，出现故障也容易发现并及时进行检修，出现事故最可能的原因为厂区双电源均断电时。</w:t>
      </w:r>
    </w:p>
    <w:p w14:paraId="74C986B9">
      <w:pPr>
        <w:autoSpaceDE w:val="0"/>
        <w:autoSpaceDN w:val="0"/>
        <w:spacing w:line="360" w:lineRule="auto"/>
        <w:ind w:firstLine="480"/>
        <w:jc w:val="left"/>
        <w:rPr>
          <w:color w:val="auto"/>
          <w:kern w:val="0"/>
          <w:szCs w:val="24"/>
        </w:rPr>
      </w:pPr>
      <w:r>
        <w:rPr>
          <w:color w:val="auto"/>
          <w:kern w:val="0"/>
          <w:szCs w:val="24"/>
        </w:rPr>
        <w:t>（5）池体破裂造成的风险</w:t>
      </w:r>
    </w:p>
    <w:p w14:paraId="09EA91E2">
      <w:pPr>
        <w:autoSpaceDE w:val="0"/>
        <w:autoSpaceDN w:val="0"/>
        <w:spacing w:line="360" w:lineRule="auto"/>
        <w:ind w:firstLine="480"/>
        <w:jc w:val="left"/>
        <w:rPr>
          <w:color w:val="auto"/>
          <w:kern w:val="0"/>
          <w:szCs w:val="24"/>
        </w:rPr>
      </w:pPr>
      <w:r>
        <w:rPr>
          <w:color w:val="auto"/>
          <w:kern w:val="0"/>
          <w:szCs w:val="24"/>
        </w:rPr>
        <w:t>项目污水处理过程中，若发生池体防渗层破裂，会导致污水渗入地下水，导致区域地下水环境质量受到污染。</w:t>
      </w:r>
    </w:p>
    <w:p w14:paraId="29442DC6">
      <w:pPr>
        <w:autoSpaceDE w:val="0"/>
        <w:autoSpaceDN w:val="0"/>
        <w:spacing w:line="360" w:lineRule="auto"/>
        <w:ind w:firstLine="480"/>
        <w:jc w:val="left"/>
        <w:rPr>
          <w:color w:val="auto"/>
          <w:kern w:val="0"/>
          <w:szCs w:val="24"/>
        </w:rPr>
      </w:pPr>
      <w:r>
        <w:rPr>
          <w:color w:val="auto"/>
          <w:kern w:val="0"/>
          <w:szCs w:val="24"/>
        </w:rPr>
        <w:t>（</w:t>
      </w:r>
      <w:r>
        <w:rPr>
          <w:rFonts w:hint="eastAsia"/>
          <w:color w:val="auto"/>
          <w:kern w:val="0"/>
          <w:szCs w:val="24"/>
        </w:rPr>
        <w:t>6</w:t>
      </w:r>
      <w:r>
        <w:rPr>
          <w:color w:val="auto"/>
          <w:kern w:val="0"/>
          <w:szCs w:val="24"/>
        </w:rPr>
        <w:t>）化学品泄漏风险</w:t>
      </w:r>
    </w:p>
    <w:p w14:paraId="25B096AC">
      <w:pPr>
        <w:spacing w:line="360" w:lineRule="auto"/>
        <w:ind w:firstLine="480"/>
        <w:rPr>
          <w:color w:val="auto"/>
          <w:kern w:val="0"/>
          <w:szCs w:val="24"/>
        </w:rPr>
      </w:pPr>
      <w:r>
        <w:rPr>
          <w:color w:val="auto"/>
          <w:kern w:val="0"/>
          <w:szCs w:val="24"/>
        </w:rPr>
        <w:t>项目加药间等因操作失误、设备故障等原因，可能导致</w:t>
      </w:r>
      <w:r>
        <w:rPr>
          <w:rFonts w:hint="eastAsia"/>
          <w:color w:val="auto"/>
          <w:kern w:val="0"/>
          <w:szCs w:val="24"/>
        </w:rPr>
        <w:t>硫酸</w:t>
      </w:r>
      <w:r>
        <w:rPr>
          <w:rFonts w:hint="eastAsia"/>
          <w:color w:val="auto"/>
          <w:kern w:val="0"/>
          <w:szCs w:val="24"/>
          <w:lang w:eastAsia="zh-CN"/>
        </w:rPr>
        <w:t>（</w:t>
      </w:r>
      <w:r>
        <w:rPr>
          <w:color w:val="auto"/>
          <w:kern w:val="0"/>
          <w:szCs w:val="24"/>
        </w:rPr>
        <w:t>5</w:t>
      </w:r>
      <w:r>
        <w:rPr>
          <w:rFonts w:hint="eastAsia"/>
          <w:color w:val="auto"/>
          <w:kern w:val="0"/>
          <w:szCs w:val="24"/>
        </w:rPr>
        <w:t>0%</w:t>
      </w:r>
      <w:r>
        <w:rPr>
          <w:rFonts w:hint="eastAsia"/>
          <w:color w:val="auto"/>
          <w:kern w:val="0"/>
          <w:szCs w:val="24"/>
          <w:lang w:eastAsia="zh-CN"/>
        </w:rPr>
        <w:t>）</w:t>
      </w:r>
      <w:r>
        <w:rPr>
          <w:rFonts w:hint="eastAsia"/>
          <w:color w:val="auto"/>
          <w:kern w:val="0"/>
          <w:szCs w:val="24"/>
        </w:rPr>
        <w:t>、盐酸</w:t>
      </w:r>
      <w:r>
        <w:rPr>
          <w:rFonts w:hint="eastAsia"/>
          <w:color w:val="auto"/>
          <w:kern w:val="0"/>
          <w:szCs w:val="24"/>
          <w:lang w:eastAsia="zh-CN"/>
        </w:rPr>
        <w:t>（</w:t>
      </w:r>
      <w:r>
        <w:rPr>
          <w:rFonts w:hint="eastAsia"/>
          <w:color w:val="auto"/>
          <w:kern w:val="0"/>
          <w:szCs w:val="24"/>
        </w:rPr>
        <w:t>30%</w:t>
      </w:r>
      <w:r>
        <w:rPr>
          <w:rFonts w:hint="eastAsia"/>
          <w:color w:val="auto"/>
          <w:kern w:val="0"/>
          <w:szCs w:val="24"/>
          <w:lang w:eastAsia="zh-CN"/>
        </w:rPr>
        <w:t>）</w:t>
      </w:r>
      <w:r>
        <w:rPr>
          <w:rFonts w:hint="eastAsia"/>
          <w:color w:val="auto"/>
          <w:kern w:val="0"/>
          <w:szCs w:val="24"/>
        </w:rPr>
        <w:t>、</w:t>
      </w:r>
      <w:r>
        <w:rPr>
          <w:rFonts w:hint="eastAsia"/>
          <w:color w:val="auto"/>
        </w:rPr>
        <w:t>双氧水（</w:t>
      </w:r>
      <w:r>
        <w:rPr>
          <w:rFonts w:hint="eastAsia"/>
          <w:color w:val="auto"/>
          <w:lang w:val="en-US" w:eastAsia="zh-CN"/>
        </w:rPr>
        <w:t>30</w:t>
      </w:r>
      <w:r>
        <w:rPr>
          <w:rFonts w:hint="eastAsia"/>
          <w:color w:val="auto"/>
        </w:rPr>
        <w:t>%）</w:t>
      </w:r>
      <w:r>
        <w:rPr>
          <w:color w:val="auto"/>
          <w:kern w:val="0"/>
          <w:szCs w:val="24"/>
        </w:rPr>
        <w:t>等化学品泄漏，造成不良</w:t>
      </w:r>
      <w:r>
        <w:rPr>
          <w:rFonts w:hint="eastAsia"/>
          <w:color w:val="auto"/>
          <w:kern w:val="0"/>
          <w:szCs w:val="24"/>
        </w:rPr>
        <w:t>环境</w:t>
      </w:r>
      <w:r>
        <w:rPr>
          <w:color w:val="auto"/>
          <w:kern w:val="0"/>
          <w:szCs w:val="24"/>
        </w:rPr>
        <w:t>影响</w:t>
      </w:r>
      <w:r>
        <w:rPr>
          <w:rFonts w:hint="eastAsia"/>
          <w:color w:val="auto"/>
          <w:kern w:val="0"/>
          <w:szCs w:val="24"/>
        </w:rPr>
        <w:t>。</w:t>
      </w:r>
    </w:p>
    <w:p w14:paraId="79968297">
      <w:pPr>
        <w:autoSpaceDE w:val="0"/>
        <w:autoSpaceDN w:val="0"/>
        <w:spacing w:line="360" w:lineRule="auto"/>
        <w:ind w:firstLine="480"/>
        <w:jc w:val="left"/>
        <w:rPr>
          <w:color w:val="auto"/>
          <w:kern w:val="0"/>
          <w:szCs w:val="24"/>
        </w:rPr>
      </w:pPr>
      <w:r>
        <w:rPr>
          <w:color w:val="auto"/>
          <w:kern w:val="0"/>
          <w:szCs w:val="24"/>
        </w:rPr>
        <w:t>（</w:t>
      </w:r>
      <w:r>
        <w:rPr>
          <w:rFonts w:hint="eastAsia"/>
          <w:color w:val="auto"/>
          <w:kern w:val="0"/>
          <w:szCs w:val="24"/>
        </w:rPr>
        <w:t>7</w:t>
      </w:r>
      <w:r>
        <w:rPr>
          <w:color w:val="auto"/>
          <w:kern w:val="0"/>
          <w:szCs w:val="24"/>
        </w:rPr>
        <w:t>）</w:t>
      </w:r>
      <w:r>
        <w:rPr>
          <w:rFonts w:hint="eastAsia"/>
          <w:color w:val="auto"/>
          <w:kern w:val="0"/>
          <w:szCs w:val="24"/>
        </w:rPr>
        <w:t>危废贮存库泄漏</w:t>
      </w:r>
      <w:r>
        <w:rPr>
          <w:color w:val="auto"/>
          <w:kern w:val="0"/>
          <w:szCs w:val="24"/>
        </w:rPr>
        <w:t>风险</w:t>
      </w:r>
    </w:p>
    <w:p w14:paraId="0FE7CFD6">
      <w:pPr>
        <w:autoSpaceDE w:val="0"/>
        <w:autoSpaceDN w:val="0"/>
        <w:spacing w:line="360" w:lineRule="auto"/>
        <w:ind w:firstLine="480"/>
        <w:jc w:val="left"/>
        <w:rPr>
          <w:color w:val="auto"/>
          <w:kern w:val="0"/>
          <w:szCs w:val="24"/>
        </w:rPr>
      </w:pPr>
      <w:r>
        <w:rPr>
          <w:rFonts w:hint="eastAsia"/>
          <w:color w:val="auto"/>
          <w:kern w:val="0"/>
          <w:szCs w:val="24"/>
        </w:rPr>
        <w:t>危废贮存库储存有废油、废机油及实验室废物，</w:t>
      </w:r>
      <w:r>
        <w:rPr>
          <w:color w:val="auto"/>
          <w:kern w:val="0"/>
          <w:szCs w:val="24"/>
        </w:rPr>
        <w:t>若</w:t>
      </w:r>
      <w:r>
        <w:rPr>
          <w:rFonts w:hint="eastAsia"/>
          <w:color w:val="auto"/>
          <w:kern w:val="0"/>
          <w:szCs w:val="24"/>
        </w:rPr>
        <w:t>人员操作失误造成储存桶倾倒或</w:t>
      </w:r>
      <w:r>
        <w:rPr>
          <w:color w:val="auto"/>
          <w:kern w:val="0"/>
          <w:szCs w:val="24"/>
        </w:rPr>
        <w:t>发生</w:t>
      </w:r>
      <w:r>
        <w:rPr>
          <w:rFonts w:hint="eastAsia"/>
          <w:color w:val="auto"/>
          <w:kern w:val="0"/>
          <w:szCs w:val="24"/>
        </w:rPr>
        <w:t>储存桶</w:t>
      </w:r>
      <w:r>
        <w:rPr>
          <w:color w:val="auto"/>
          <w:kern w:val="0"/>
          <w:szCs w:val="24"/>
        </w:rPr>
        <w:t>破裂</w:t>
      </w:r>
      <w:r>
        <w:rPr>
          <w:rFonts w:hint="eastAsia"/>
          <w:color w:val="auto"/>
          <w:kern w:val="0"/>
          <w:szCs w:val="24"/>
        </w:rPr>
        <w:t>等事故</w:t>
      </w:r>
      <w:r>
        <w:rPr>
          <w:color w:val="auto"/>
          <w:kern w:val="0"/>
          <w:szCs w:val="24"/>
        </w:rPr>
        <w:t>，</w:t>
      </w:r>
      <w:r>
        <w:rPr>
          <w:rFonts w:hint="eastAsia"/>
          <w:color w:val="auto"/>
          <w:kern w:val="0"/>
          <w:szCs w:val="24"/>
        </w:rPr>
        <w:t>可能</w:t>
      </w:r>
      <w:r>
        <w:rPr>
          <w:color w:val="auto"/>
          <w:kern w:val="0"/>
          <w:szCs w:val="24"/>
        </w:rPr>
        <w:t>导致</w:t>
      </w:r>
      <w:r>
        <w:rPr>
          <w:rFonts w:hint="eastAsia"/>
          <w:color w:val="auto"/>
          <w:kern w:val="0"/>
          <w:szCs w:val="24"/>
        </w:rPr>
        <w:t>液体危险废物泄漏污染地表水，若遇到明火，可能发生火灾事故</w:t>
      </w:r>
      <w:r>
        <w:rPr>
          <w:color w:val="auto"/>
          <w:kern w:val="0"/>
          <w:szCs w:val="24"/>
        </w:rPr>
        <w:t>。</w:t>
      </w:r>
    </w:p>
    <w:p w14:paraId="67C021D0">
      <w:pPr>
        <w:pStyle w:val="5"/>
        <w:numPr>
          <w:ilvl w:val="0"/>
          <w:numId w:val="0"/>
        </w:numPr>
        <w:spacing w:line="360" w:lineRule="auto"/>
        <w:jc w:val="left"/>
        <w:rPr>
          <w:color w:val="auto"/>
        </w:rPr>
      </w:pPr>
      <w:r>
        <w:rPr>
          <w:rFonts w:hint="eastAsia"/>
          <w:color w:val="auto"/>
        </w:rPr>
        <w:t>7</w:t>
      </w:r>
      <w:r>
        <w:rPr>
          <w:color w:val="auto"/>
        </w:rPr>
        <w:t>.5.2</w:t>
      </w:r>
      <w:r>
        <w:rPr>
          <w:rFonts w:hint="eastAsia"/>
          <w:color w:val="auto"/>
        </w:rPr>
        <w:t>最大可信事故分析</w:t>
      </w:r>
    </w:p>
    <w:bookmarkEnd w:id="278"/>
    <w:bookmarkEnd w:id="279"/>
    <w:p w14:paraId="37098EC4">
      <w:pPr>
        <w:widowControl/>
        <w:tabs>
          <w:tab w:val="left" w:pos="900"/>
        </w:tabs>
        <w:spacing w:line="360" w:lineRule="auto"/>
        <w:ind w:firstLine="480"/>
        <w:textAlignment w:val="baseline"/>
        <w:rPr>
          <w:color w:val="auto"/>
        </w:rPr>
      </w:pPr>
      <w:r>
        <w:rPr>
          <w:color w:val="auto"/>
        </w:rPr>
        <w:t>最大可信事故是指，</w:t>
      </w:r>
      <w:r>
        <w:rPr>
          <w:color w:val="auto"/>
          <w:szCs w:val="24"/>
        </w:rPr>
        <w:t>是基于经验统计分析，在一定可能性区间内发生的事故中，造成</w:t>
      </w:r>
      <w:r>
        <w:rPr>
          <w:color w:val="auto"/>
        </w:rPr>
        <w:t>环境危害最严重的重大事故。最大可信事故确定的目的是针对典型事故进行环境风险分析，并不意味着其他事故不具环境风险。在项目生产、贮存、运输等过程中，存在诸多事故风险因素，风险评价不可能面面俱到，只能考虑对环境危害最大的事故风险。</w:t>
      </w:r>
    </w:p>
    <w:p w14:paraId="7DBCEDEA">
      <w:pPr>
        <w:spacing w:line="360" w:lineRule="auto"/>
        <w:ind w:firstLine="480"/>
        <w:rPr>
          <w:color w:val="auto"/>
        </w:rPr>
      </w:pPr>
      <w:r>
        <w:rPr>
          <w:bCs/>
          <w:color w:val="auto"/>
          <w:szCs w:val="22"/>
        </w:rPr>
        <w:t>根据《建设项目环境风险评价技术导则》（HJ169-2018）附录B，在不考虑自然灾害等引起的事故风险情况下，结合工程特点，确定项目最大的环境风险为尾水事故排放</w:t>
      </w:r>
      <w:r>
        <w:rPr>
          <w:rFonts w:hint="eastAsia"/>
          <w:color w:val="auto"/>
        </w:rPr>
        <w:t>。</w:t>
      </w:r>
    </w:p>
    <w:bookmarkEnd w:id="276"/>
    <w:p w14:paraId="3F86386B">
      <w:pPr>
        <w:pStyle w:val="4"/>
        <w:numPr>
          <w:ilvl w:val="0"/>
          <w:numId w:val="0"/>
        </w:numPr>
        <w:spacing w:line="360" w:lineRule="auto"/>
        <w:rPr>
          <w:color w:val="auto"/>
        </w:rPr>
      </w:pPr>
      <w:bookmarkStart w:id="280" w:name="_Toc472509326"/>
      <w:bookmarkStart w:id="281" w:name="_Toc439249539"/>
      <w:bookmarkStart w:id="282" w:name="_Toc14357"/>
      <w:r>
        <w:rPr>
          <w:rFonts w:hint="eastAsia"/>
          <w:color w:val="auto"/>
        </w:rPr>
        <w:t>7</w:t>
      </w:r>
      <w:r>
        <w:rPr>
          <w:color w:val="auto"/>
        </w:rPr>
        <w:t>.</w:t>
      </w:r>
      <w:r>
        <w:rPr>
          <w:color w:val="auto"/>
          <w:lang w:val="en-US"/>
        </w:rPr>
        <w:t>6</w:t>
      </w:r>
      <w:r>
        <w:rPr>
          <w:color w:val="auto"/>
        </w:rPr>
        <w:t>环境风险防范措施</w:t>
      </w:r>
      <w:bookmarkEnd w:id="280"/>
      <w:bookmarkEnd w:id="281"/>
      <w:bookmarkEnd w:id="282"/>
    </w:p>
    <w:p w14:paraId="4154675F">
      <w:pPr>
        <w:pStyle w:val="5"/>
        <w:numPr>
          <w:ilvl w:val="0"/>
          <w:numId w:val="0"/>
        </w:numPr>
        <w:spacing w:line="360" w:lineRule="auto"/>
        <w:jc w:val="left"/>
        <w:rPr>
          <w:color w:val="auto"/>
        </w:rPr>
      </w:pPr>
      <w:r>
        <w:rPr>
          <w:rFonts w:hint="eastAsia"/>
          <w:color w:val="auto"/>
        </w:rPr>
        <w:t>7</w:t>
      </w:r>
      <w:r>
        <w:rPr>
          <w:color w:val="auto"/>
        </w:rPr>
        <w:t>.</w:t>
      </w:r>
      <w:r>
        <w:rPr>
          <w:color w:val="auto"/>
          <w:lang w:val="en-US"/>
        </w:rPr>
        <w:t>6</w:t>
      </w:r>
      <w:r>
        <w:rPr>
          <w:color w:val="auto"/>
        </w:rPr>
        <w:t>.1废水事故排放风险防范措施</w:t>
      </w:r>
    </w:p>
    <w:p w14:paraId="3A9EB650">
      <w:pPr>
        <w:spacing w:line="360" w:lineRule="auto"/>
        <w:ind w:firstLine="480"/>
        <w:rPr>
          <w:color w:val="auto"/>
        </w:rPr>
      </w:pPr>
      <w:r>
        <w:rPr>
          <w:rFonts w:hint="eastAsia"/>
          <w:color w:val="auto"/>
        </w:rPr>
        <w:t>污水处理厂的事故来源于设备故障、检修或由于工艺参数改变而使处理效果变差，其防治措施为：</w:t>
      </w:r>
    </w:p>
    <w:p w14:paraId="326EFD83">
      <w:pPr>
        <w:spacing w:line="360" w:lineRule="auto"/>
        <w:ind w:firstLine="480"/>
        <w:rPr>
          <w:color w:val="auto"/>
        </w:rPr>
      </w:pPr>
      <w:r>
        <w:rPr>
          <w:rFonts w:hint="eastAsia"/>
          <w:color w:val="auto"/>
        </w:rPr>
        <w:t>1、设置备用电源，</w:t>
      </w:r>
      <w:r>
        <w:rPr>
          <w:color w:val="auto"/>
        </w:rPr>
        <w:t>当一个电源发生故障时，另一个电源应立即自动或手动投入使用</w:t>
      </w:r>
      <w:r>
        <w:rPr>
          <w:rFonts w:hint="eastAsia"/>
          <w:color w:val="auto"/>
        </w:rPr>
        <w:t>。</w:t>
      </w:r>
    </w:p>
    <w:p w14:paraId="30063D81">
      <w:pPr>
        <w:spacing w:line="360" w:lineRule="auto"/>
        <w:ind w:firstLine="480"/>
        <w:rPr>
          <w:color w:val="auto"/>
        </w:rPr>
      </w:pPr>
      <w:r>
        <w:rPr>
          <w:color w:val="auto"/>
        </w:rPr>
        <w:t>2</w:t>
      </w:r>
      <w:r>
        <w:rPr>
          <w:rFonts w:hint="eastAsia"/>
          <w:color w:val="auto"/>
        </w:rPr>
        <w:t>、为使在事故状态下污水处理厂能够迅速恢复正常运行，应在主要水工建筑物的容积上留有相应的缓冲能力，并配有相应的设备（如回流泵、回流管道、阀门及仪表等）。</w:t>
      </w:r>
    </w:p>
    <w:p w14:paraId="2427D678">
      <w:pPr>
        <w:spacing w:line="360" w:lineRule="auto"/>
        <w:ind w:firstLine="480"/>
        <w:rPr>
          <w:color w:val="auto"/>
        </w:rPr>
      </w:pPr>
      <w:r>
        <w:rPr>
          <w:color w:val="auto"/>
        </w:rPr>
        <w:t>3</w:t>
      </w:r>
      <w:r>
        <w:rPr>
          <w:rFonts w:hint="eastAsia"/>
          <w:color w:val="auto"/>
        </w:rPr>
        <w:t>、选用优质设备，对污水处理厂各种机械电器、仪表等设备，必须选择质量优良、事故率低、便于维修的产品。关键设备应一备一用，易损部件要有备用件，在出现事故时能及时更换。</w:t>
      </w:r>
    </w:p>
    <w:p w14:paraId="74D1DA04">
      <w:pPr>
        <w:spacing w:line="360" w:lineRule="auto"/>
        <w:ind w:firstLine="480"/>
        <w:rPr>
          <w:color w:val="auto"/>
        </w:rPr>
      </w:pPr>
      <w:r>
        <w:rPr>
          <w:color w:val="auto"/>
        </w:rPr>
        <w:t>4</w:t>
      </w:r>
      <w:r>
        <w:rPr>
          <w:rFonts w:hint="eastAsia"/>
          <w:color w:val="auto"/>
        </w:rPr>
        <w:t>、加强事故苗头监控，定期巡检、调节、保养、维修。及时发现有可能引起事故的异常运行苗头，消除事故隐患。</w:t>
      </w:r>
    </w:p>
    <w:p w14:paraId="6976AB6F">
      <w:pPr>
        <w:spacing w:line="360" w:lineRule="auto"/>
        <w:ind w:firstLine="480"/>
        <w:rPr>
          <w:color w:val="auto"/>
        </w:rPr>
      </w:pPr>
      <w:r>
        <w:rPr>
          <w:color w:val="auto"/>
        </w:rPr>
        <w:t>5</w:t>
      </w:r>
      <w:r>
        <w:rPr>
          <w:rFonts w:hint="eastAsia"/>
          <w:color w:val="auto"/>
        </w:rPr>
        <w:t>、严格控制处理单元的水量、水质、停留时间、负荷强度等工艺参数，确保处理效果的稳定性。配备监控仪器，定期取样监测。操作人员及时调整，使设备处于最佳工况。如发现异常现象，就需立即采取预防措施。</w:t>
      </w:r>
    </w:p>
    <w:p w14:paraId="4D007628">
      <w:pPr>
        <w:spacing w:line="360" w:lineRule="auto"/>
        <w:ind w:firstLine="480"/>
        <w:rPr>
          <w:color w:val="auto"/>
        </w:rPr>
      </w:pPr>
      <w:r>
        <w:rPr>
          <w:color w:val="auto"/>
        </w:rPr>
        <w:t>6</w:t>
      </w:r>
      <w:r>
        <w:rPr>
          <w:rFonts w:hint="eastAsia"/>
          <w:color w:val="auto"/>
        </w:rPr>
        <w:t>、</w:t>
      </w:r>
      <w:r>
        <w:rPr>
          <w:rFonts w:hint="eastAsia"/>
          <w:color w:val="auto"/>
          <w:szCs w:val="24"/>
        </w:rPr>
        <w:t>对新开油气田采出水进行监测</w:t>
      </w:r>
      <w:r>
        <w:rPr>
          <w:color w:val="auto"/>
          <w:szCs w:val="24"/>
        </w:rPr>
        <w:t>，对现有井可定期检测，调节进水水质，防止来水产生较大波动；</w:t>
      </w:r>
    </w:p>
    <w:p w14:paraId="6643C950">
      <w:pPr>
        <w:spacing w:line="360" w:lineRule="auto"/>
        <w:ind w:firstLine="480"/>
        <w:rPr>
          <w:color w:val="auto"/>
        </w:rPr>
      </w:pPr>
      <w:r>
        <w:rPr>
          <w:color w:val="auto"/>
        </w:rPr>
        <w:t>7</w:t>
      </w:r>
      <w:r>
        <w:rPr>
          <w:rFonts w:hint="eastAsia"/>
          <w:color w:val="auto"/>
        </w:rPr>
        <w:t>、</w:t>
      </w:r>
      <w:r>
        <w:rPr>
          <w:color w:val="auto"/>
        </w:rPr>
        <w:t>设置出水水质自动监测装置及报警装置，设置出厂污水截断装置，</w:t>
      </w:r>
      <w:r>
        <w:rPr>
          <w:rFonts w:hint="eastAsia"/>
          <w:color w:val="auto"/>
        </w:rPr>
        <w:t>加强运行管理，</w:t>
      </w:r>
      <w:r>
        <w:rPr>
          <w:color w:val="auto"/>
        </w:rPr>
        <w:t>当事故发生后，及时发现不良水质进入污水处理系统</w:t>
      </w:r>
      <w:r>
        <w:rPr>
          <w:rFonts w:hint="eastAsia"/>
          <w:color w:val="auto"/>
        </w:rPr>
        <w:t>，</w:t>
      </w:r>
      <w:r>
        <w:rPr>
          <w:color w:val="auto"/>
        </w:rPr>
        <w:t>立即截断污水</w:t>
      </w:r>
      <w:r>
        <w:rPr>
          <w:rFonts w:hint="eastAsia"/>
          <w:color w:val="auto"/>
        </w:rPr>
        <w:t>出厂，</w:t>
      </w:r>
      <w:r>
        <w:rPr>
          <w:color w:val="auto"/>
        </w:rPr>
        <w:t>杜绝事故排放</w:t>
      </w:r>
      <w:r>
        <w:rPr>
          <w:rFonts w:hint="eastAsia"/>
          <w:color w:val="auto"/>
        </w:rPr>
        <w:t>。</w:t>
      </w:r>
    </w:p>
    <w:p w14:paraId="5BC9532D">
      <w:pPr>
        <w:spacing w:line="360" w:lineRule="auto"/>
        <w:ind w:firstLine="480"/>
        <w:rPr>
          <w:color w:val="auto"/>
        </w:rPr>
      </w:pPr>
      <w:r>
        <w:rPr>
          <w:color w:val="auto"/>
        </w:rPr>
        <w:t>8</w:t>
      </w:r>
      <w:r>
        <w:rPr>
          <w:rFonts w:hint="eastAsia"/>
          <w:color w:val="auto"/>
        </w:rPr>
        <w:t>、建立废水处理厂运行管理和操作责任制度；聘请有经验的专业技术人员负责厂内的技术管理工作。</w:t>
      </w:r>
    </w:p>
    <w:p w14:paraId="465D5350">
      <w:pPr>
        <w:spacing w:line="360" w:lineRule="auto"/>
        <w:ind w:firstLine="480"/>
        <w:rPr>
          <w:color w:val="auto"/>
        </w:rPr>
      </w:pPr>
      <w:r>
        <w:rPr>
          <w:rFonts w:hint="eastAsia"/>
          <w:color w:val="auto"/>
        </w:rPr>
        <w:t>9、页岩气开采废水卸水和浓水装车过程均采取全密闭管道装卸方式，废水卸车区和浓水装车区设置环形应急收集沟，就近接入废水收集池；药剂储存罐区设置围堰，防止液体药剂事故排放。</w:t>
      </w:r>
    </w:p>
    <w:p w14:paraId="4A8BD22D">
      <w:pPr>
        <w:spacing w:line="360" w:lineRule="auto"/>
        <w:ind w:firstLine="480"/>
        <w:rPr>
          <w:color w:val="auto"/>
        </w:rPr>
      </w:pPr>
      <w:r>
        <w:rPr>
          <w:rFonts w:hint="eastAsia"/>
          <w:color w:val="auto"/>
        </w:rPr>
        <w:t>10、对产生的污泥和蒸发结晶盐做到及时、妥善处置。</w:t>
      </w:r>
    </w:p>
    <w:p w14:paraId="3CCD0DD5">
      <w:pPr>
        <w:spacing w:line="360" w:lineRule="auto"/>
        <w:ind w:firstLine="480"/>
        <w:rPr>
          <w:color w:val="auto"/>
        </w:rPr>
      </w:pPr>
      <w:r>
        <w:rPr>
          <w:color w:val="auto"/>
        </w:rPr>
        <w:t>1</w:t>
      </w:r>
      <w:r>
        <w:rPr>
          <w:rFonts w:hint="eastAsia"/>
          <w:color w:val="auto"/>
        </w:rPr>
        <w:t>1、发生污水处理厂停运事故时，应立即通知园区污水处理厂。同时暂停接收废水入厂，并将未处理完成废水导入事故池内，待污水处理系统恢复正常使用后，再将事故池中的污水引到污水处理系统处理达标后综合利用或外排，防止废水事故性风险排放。污水处理厂与园区污水处理厂之间要有畅通的信息交流管道，建立</w:t>
      </w:r>
      <w:r>
        <w:rPr>
          <w:rFonts w:hint="eastAsia"/>
          <w:color w:val="auto"/>
          <w:lang w:eastAsia="zh-CN"/>
        </w:rPr>
        <w:t>污水处理厂</w:t>
      </w:r>
      <w:r>
        <w:rPr>
          <w:rFonts w:hint="eastAsia"/>
          <w:color w:val="auto"/>
        </w:rPr>
        <w:t>的事故报告制度。</w:t>
      </w:r>
    </w:p>
    <w:p w14:paraId="3D4473E9">
      <w:pPr>
        <w:pStyle w:val="2081"/>
        <w:spacing w:line="360" w:lineRule="auto"/>
        <w:rPr>
          <w:color w:val="auto"/>
          <w:sz w:val="24"/>
          <w:szCs w:val="24"/>
        </w:rPr>
      </w:pPr>
      <w:r>
        <w:rPr>
          <w:rFonts w:hint="eastAsia"/>
          <w:color w:val="auto"/>
          <w:sz w:val="24"/>
          <w:szCs w:val="24"/>
        </w:rPr>
        <w:t>12、防止事故废水排入江河的防范措施</w:t>
      </w:r>
    </w:p>
    <w:p w14:paraId="5E2760EC">
      <w:pPr>
        <w:pStyle w:val="2081"/>
        <w:spacing w:line="360" w:lineRule="auto"/>
        <w:rPr>
          <w:color w:val="auto"/>
          <w:sz w:val="24"/>
          <w:szCs w:val="24"/>
        </w:rPr>
      </w:pPr>
      <w:r>
        <w:rPr>
          <w:rFonts w:hint="eastAsia"/>
          <w:color w:val="auto"/>
          <w:sz w:val="24"/>
          <w:szCs w:val="24"/>
        </w:rPr>
        <w:t>项目废水处理能力为</w:t>
      </w:r>
      <w:r>
        <w:rPr>
          <w:color w:val="auto"/>
          <w:sz w:val="24"/>
          <w:szCs w:val="24"/>
        </w:rPr>
        <w:t>2</w:t>
      </w:r>
      <w:r>
        <w:rPr>
          <w:rFonts w:hint="eastAsia"/>
          <w:color w:val="auto"/>
          <w:sz w:val="24"/>
          <w:szCs w:val="24"/>
        </w:rPr>
        <w:t>000m</w:t>
      </w:r>
      <w:r>
        <w:rPr>
          <w:rFonts w:hint="eastAsia"/>
          <w:color w:val="auto"/>
          <w:sz w:val="24"/>
          <w:szCs w:val="24"/>
          <w:vertAlign w:val="superscript"/>
        </w:rPr>
        <w:t>3</w:t>
      </w:r>
      <w:r>
        <w:rPr>
          <w:rFonts w:hint="eastAsia"/>
          <w:color w:val="auto"/>
          <w:sz w:val="24"/>
          <w:szCs w:val="24"/>
        </w:rPr>
        <w:t>/d，对外接收页岩气开采废水规模约为</w:t>
      </w:r>
      <w:r>
        <w:rPr>
          <w:rFonts w:hint="eastAsia"/>
          <w:color w:val="auto"/>
          <w:sz w:val="24"/>
          <w:szCs w:val="24"/>
          <w:lang w:val="en-US" w:eastAsia="zh-CN"/>
        </w:rPr>
        <w:t>20</w:t>
      </w:r>
      <w:r>
        <w:rPr>
          <w:rFonts w:hint="eastAsia"/>
          <w:color w:val="auto"/>
          <w:sz w:val="24"/>
          <w:szCs w:val="24"/>
        </w:rPr>
        <w:t>00 m</w:t>
      </w:r>
      <w:r>
        <w:rPr>
          <w:rFonts w:hint="eastAsia"/>
          <w:color w:val="auto"/>
          <w:sz w:val="24"/>
          <w:szCs w:val="24"/>
          <w:vertAlign w:val="superscript"/>
        </w:rPr>
        <w:t>3</w:t>
      </w:r>
      <w:r>
        <w:rPr>
          <w:rFonts w:hint="eastAsia"/>
          <w:color w:val="auto"/>
          <w:sz w:val="24"/>
          <w:szCs w:val="24"/>
        </w:rPr>
        <w:t>/d，在厂区</w:t>
      </w:r>
      <w:r>
        <w:rPr>
          <w:rFonts w:hint="eastAsia"/>
          <w:color w:val="auto"/>
          <w:sz w:val="24"/>
          <w:szCs w:val="24"/>
          <w:lang w:eastAsia="zh-CN"/>
        </w:rPr>
        <w:t>南侧</w:t>
      </w:r>
      <w:r>
        <w:rPr>
          <w:rFonts w:hint="eastAsia"/>
          <w:color w:val="auto"/>
          <w:sz w:val="24"/>
          <w:szCs w:val="24"/>
        </w:rPr>
        <w:t>设置1座</w:t>
      </w:r>
      <w:r>
        <w:rPr>
          <w:rFonts w:hint="eastAsia"/>
          <w:color w:val="auto"/>
          <w:sz w:val="24"/>
          <w:szCs w:val="24"/>
          <w:lang w:eastAsia="zh-CN"/>
        </w:rPr>
        <w:t>有效</w:t>
      </w:r>
      <w:r>
        <w:rPr>
          <w:rFonts w:hint="eastAsia"/>
          <w:color w:val="auto"/>
          <w:sz w:val="24"/>
          <w:szCs w:val="24"/>
        </w:rPr>
        <w:t>容积</w:t>
      </w:r>
      <w:r>
        <w:rPr>
          <w:rFonts w:hint="eastAsia"/>
          <w:color w:val="auto"/>
          <w:sz w:val="24"/>
          <w:szCs w:val="24"/>
          <w:lang w:eastAsia="zh-CN"/>
        </w:rPr>
        <w:t>不低于</w:t>
      </w:r>
      <w:r>
        <w:rPr>
          <w:rFonts w:hint="eastAsia"/>
          <w:color w:val="auto"/>
          <w:sz w:val="24"/>
          <w:szCs w:val="24"/>
          <w:lang w:val="en-US" w:eastAsia="zh-CN"/>
        </w:rPr>
        <w:t>2</w:t>
      </w:r>
      <w:r>
        <w:rPr>
          <w:rFonts w:hint="eastAsia"/>
          <w:color w:val="auto"/>
          <w:sz w:val="24"/>
          <w:szCs w:val="24"/>
        </w:rPr>
        <w:t>000m</w:t>
      </w:r>
      <w:r>
        <w:rPr>
          <w:rFonts w:hint="eastAsia"/>
          <w:color w:val="auto"/>
          <w:sz w:val="24"/>
          <w:szCs w:val="24"/>
          <w:vertAlign w:val="superscript"/>
        </w:rPr>
        <w:t>3</w:t>
      </w:r>
      <w:r>
        <w:rPr>
          <w:rFonts w:hint="eastAsia"/>
          <w:color w:val="auto"/>
          <w:sz w:val="24"/>
          <w:szCs w:val="24"/>
        </w:rPr>
        <w:t>的事故池，当发生事故时，采用联动控制切换水阀，自动进入东北侧事故池暂存，其事故池不能设置单独的排放口，亦不能与污水处理厂总排口连通，只能与调节池相连通，杜绝废水事故排放，保证废水经过处理后达标排放。同时加强与服务范围内企业的联动，污水出现事故排放时，第一时间通知服务范围内各企业，停止接收废水。本项目发生事故时将事故废水输送至事故池（总容积约</w:t>
      </w:r>
      <w:r>
        <w:rPr>
          <w:rFonts w:hint="eastAsia"/>
          <w:color w:val="auto"/>
          <w:sz w:val="24"/>
          <w:szCs w:val="24"/>
          <w:lang w:val="en-US" w:eastAsia="zh-CN"/>
        </w:rPr>
        <w:t>20</w:t>
      </w:r>
      <w:r>
        <w:rPr>
          <w:color w:val="auto"/>
          <w:sz w:val="24"/>
          <w:szCs w:val="24"/>
        </w:rPr>
        <w:t>00</w:t>
      </w:r>
      <w:r>
        <w:rPr>
          <w:rFonts w:hint="eastAsia"/>
          <w:color w:val="auto"/>
          <w:sz w:val="24"/>
          <w:szCs w:val="24"/>
        </w:rPr>
        <w:t>m</w:t>
      </w:r>
      <w:r>
        <w:rPr>
          <w:rFonts w:hint="eastAsia"/>
          <w:color w:val="auto"/>
          <w:sz w:val="24"/>
          <w:szCs w:val="24"/>
          <w:vertAlign w:val="superscript"/>
        </w:rPr>
        <w:t>3</w:t>
      </w:r>
      <w:r>
        <w:rPr>
          <w:rFonts w:hint="eastAsia"/>
          <w:color w:val="auto"/>
          <w:sz w:val="24"/>
          <w:szCs w:val="24"/>
        </w:rPr>
        <w:t>），可容纳1天的对外接收废水处理量。同时，项目配套的废水储存池（总容积约</w:t>
      </w:r>
      <w:r>
        <w:rPr>
          <w:rFonts w:hint="eastAsia"/>
          <w:color w:val="auto"/>
          <w:sz w:val="24"/>
          <w:szCs w:val="24"/>
          <w:lang w:val="en-US" w:eastAsia="zh-CN"/>
        </w:rPr>
        <w:t>3120</w:t>
      </w:r>
      <w:r>
        <w:rPr>
          <w:rFonts w:hint="eastAsia"/>
          <w:color w:val="auto"/>
          <w:sz w:val="24"/>
          <w:szCs w:val="24"/>
        </w:rPr>
        <w:t>m</w:t>
      </w:r>
      <w:r>
        <w:rPr>
          <w:rFonts w:hint="eastAsia"/>
          <w:color w:val="auto"/>
          <w:sz w:val="24"/>
          <w:szCs w:val="24"/>
          <w:vertAlign w:val="superscript"/>
        </w:rPr>
        <w:t>3</w:t>
      </w:r>
      <w:r>
        <w:rPr>
          <w:rFonts w:hint="eastAsia"/>
          <w:color w:val="auto"/>
          <w:sz w:val="24"/>
          <w:szCs w:val="24"/>
        </w:rPr>
        <w:t>）在设计时就预留</w:t>
      </w:r>
      <w:r>
        <w:rPr>
          <w:rFonts w:hint="eastAsia"/>
          <w:color w:val="auto"/>
          <w:sz w:val="24"/>
          <w:szCs w:val="24"/>
          <w:lang w:eastAsia="zh-CN"/>
        </w:rPr>
        <w:t>足够</w:t>
      </w:r>
      <w:r>
        <w:rPr>
          <w:rFonts w:hint="eastAsia"/>
          <w:color w:val="auto"/>
          <w:sz w:val="24"/>
          <w:szCs w:val="24"/>
        </w:rPr>
        <w:t>的空间，事故情况下可作为事故废水的贮存。通过对事故废水的储存，为污水处理厂留出充足的时间用于检修和恢复设施设备的运行，可一定程度减少事故废水的排放。</w:t>
      </w:r>
    </w:p>
    <w:p w14:paraId="735AC702">
      <w:pPr>
        <w:pStyle w:val="2081"/>
        <w:adjustRightInd w:val="0"/>
        <w:snapToGrid w:val="0"/>
        <w:spacing w:line="360" w:lineRule="auto"/>
        <w:rPr>
          <w:color w:val="auto"/>
          <w:sz w:val="24"/>
          <w:szCs w:val="24"/>
        </w:rPr>
      </w:pPr>
      <w:r>
        <w:rPr>
          <w:rFonts w:hint="eastAsia"/>
          <w:color w:val="auto"/>
          <w:sz w:val="24"/>
          <w:szCs w:val="24"/>
        </w:rPr>
        <w:t>1</w:t>
      </w:r>
      <w:r>
        <w:rPr>
          <w:color w:val="auto"/>
          <w:sz w:val="24"/>
          <w:szCs w:val="24"/>
        </w:rPr>
        <w:t>2</w:t>
      </w:r>
      <w:r>
        <w:rPr>
          <w:rFonts w:hint="eastAsia"/>
          <w:color w:val="auto"/>
          <w:sz w:val="24"/>
          <w:szCs w:val="24"/>
        </w:rPr>
        <w:t>、</w:t>
      </w:r>
      <w:r>
        <w:rPr>
          <w:color w:val="auto"/>
          <w:sz w:val="24"/>
          <w:szCs w:val="24"/>
        </w:rPr>
        <w:t>当</w:t>
      </w:r>
      <w:r>
        <w:rPr>
          <w:color w:val="auto"/>
          <w:sz w:val="24"/>
          <w:szCs w:val="24"/>
          <w:lang w:val="zh-CN"/>
        </w:rPr>
        <w:t>进水水质超负荷时，或运行中某个池运行欠佳或事故时，或</w:t>
      </w:r>
      <w:r>
        <w:rPr>
          <w:color w:val="auto"/>
          <w:sz w:val="24"/>
          <w:szCs w:val="24"/>
        </w:rPr>
        <w:t>出水渠在线监测系统显示出水超标时，均通过各处切换阀或应急泵将废水切入</w:t>
      </w:r>
      <w:r>
        <w:rPr>
          <w:rFonts w:hint="eastAsia"/>
          <w:color w:val="auto"/>
          <w:sz w:val="24"/>
          <w:szCs w:val="24"/>
        </w:rPr>
        <w:t>事故池</w:t>
      </w:r>
      <w:r>
        <w:rPr>
          <w:color w:val="auto"/>
          <w:sz w:val="24"/>
          <w:szCs w:val="24"/>
        </w:rPr>
        <w:t>。</w:t>
      </w:r>
      <w:r>
        <w:rPr>
          <w:rFonts w:hint="eastAsia"/>
          <w:color w:val="auto"/>
          <w:sz w:val="24"/>
          <w:szCs w:val="24"/>
        </w:rPr>
        <w:t>具体切换方式为：事故下的不达标尾水，通过排放</w:t>
      </w:r>
      <w:r>
        <w:rPr>
          <w:rFonts w:hint="eastAsia"/>
          <w:color w:val="auto"/>
          <w:sz w:val="24"/>
          <w:szCs w:val="24"/>
          <w:lang w:eastAsia="zh-CN"/>
        </w:rPr>
        <w:t>水</w:t>
      </w:r>
      <w:r>
        <w:rPr>
          <w:rFonts w:hint="eastAsia"/>
          <w:color w:val="auto"/>
          <w:sz w:val="24"/>
          <w:szCs w:val="24"/>
        </w:rPr>
        <w:t>池的出口管道的切换阀门，切换进入事故池。运行中某个池运行欠佳事故时的废水，在该系统后的中间池设置切换阀门切换进入事故池。根据项目设计方案，</w:t>
      </w:r>
      <w:r>
        <w:rPr>
          <w:color w:val="auto"/>
          <w:sz w:val="24"/>
          <w:szCs w:val="24"/>
        </w:rPr>
        <w:t>为避免事故状况下废水超标排放，</w:t>
      </w:r>
      <w:r>
        <w:rPr>
          <w:rFonts w:hint="eastAsia"/>
          <w:color w:val="auto"/>
          <w:sz w:val="24"/>
          <w:szCs w:val="24"/>
        </w:rPr>
        <w:t>拟建项目将现有应急池改建为废水处理工艺用池，新建1座地埋式事故池，有效容积不低于</w:t>
      </w:r>
      <w:r>
        <w:rPr>
          <w:rFonts w:hint="eastAsia"/>
          <w:color w:val="auto"/>
          <w:sz w:val="24"/>
          <w:szCs w:val="24"/>
          <w:lang w:val="en-US" w:eastAsia="zh-CN"/>
        </w:rPr>
        <w:t>2</w:t>
      </w:r>
      <w:r>
        <w:rPr>
          <w:rFonts w:hint="eastAsia"/>
          <w:color w:val="auto"/>
          <w:sz w:val="24"/>
          <w:szCs w:val="24"/>
        </w:rPr>
        <w:t>000m</w:t>
      </w:r>
      <w:r>
        <w:rPr>
          <w:rFonts w:hint="eastAsia"/>
          <w:color w:val="auto"/>
          <w:sz w:val="24"/>
          <w:szCs w:val="24"/>
          <w:vertAlign w:val="superscript"/>
        </w:rPr>
        <w:t>3</w:t>
      </w:r>
      <w:r>
        <w:rPr>
          <w:rFonts w:hint="eastAsia"/>
          <w:color w:val="auto"/>
          <w:sz w:val="24"/>
          <w:szCs w:val="24"/>
        </w:rPr>
        <w:t>，因此，事故池规模设计合理可行。</w:t>
      </w:r>
    </w:p>
    <w:p w14:paraId="42C8EE6B">
      <w:pPr>
        <w:pStyle w:val="5"/>
        <w:numPr>
          <w:ilvl w:val="0"/>
          <w:numId w:val="0"/>
        </w:numPr>
        <w:spacing w:line="360" w:lineRule="auto"/>
        <w:jc w:val="left"/>
        <w:rPr>
          <w:color w:val="auto"/>
        </w:rPr>
      </w:pPr>
      <w:r>
        <w:rPr>
          <w:rFonts w:hint="eastAsia"/>
          <w:color w:val="auto"/>
          <w:szCs w:val="24"/>
        </w:rPr>
        <w:t>7.6.</w:t>
      </w:r>
      <w:r>
        <w:rPr>
          <w:rFonts w:hint="eastAsia"/>
          <w:color w:val="auto"/>
          <w:szCs w:val="24"/>
          <w:lang w:val="en-US"/>
        </w:rPr>
        <w:t>2</w:t>
      </w:r>
      <w:r>
        <w:rPr>
          <w:rFonts w:hint="eastAsia"/>
          <w:color w:val="auto"/>
          <w:szCs w:val="24"/>
        </w:rPr>
        <w:t>废气环境风险</w:t>
      </w:r>
      <w:r>
        <w:rPr>
          <w:color w:val="auto"/>
          <w:szCs w:val="24"/>
        </w:rPr>
        <w:t>防范措施</w:t>
      </w:r>
    </w:p>
    <w:p w14:paraId="5C3C029F">
      <w:pPr>
        <w:spacing w:line="360" w:lineRule="auto"/>
        <w:ind w:firstLine="480"/>
        <w:rPr>
          <w:color w:val="auto"/>
        </w:rPr>
      </w:pPr>
      <w:r>
        <w:rPr>
          <w:bCs/>
          <w:color w:val="auto"/>
        </w:rPr>
        <w:t>厂区设置一套“</w:t>
      </w:r>
      <w:r>
        <w:rPr>
          <w:rFonts w:hint="eastAsia"/>
          <w:bCs/>
          <w:color w:val="auto"/>
        </w:rPr>
        <w:t>碱喷淋+除湿+活性炭吸附</w:t>
      </w:r>
      <w:r>
        <w:rPr>
          <w:bCs/>
          <w:color w:val="auto"/>
        </w:rPr>
        <w:t>”废气处理设施，若该设施</w:t>
      </w:r>
      <w:r>
        <w:rPr>
          <w:rFonts w:hint="eastAsia"/>
          <w:bCs/>
          <w:color w:val="auto"/>
          <w:lang w:eastAsia="zh-CN"/>
        </w:rPr>
        <w:t>发生</w:t>
      </w:r>
      <w:r>
        <w:rPr>
          <w:bCs/>
          <w:color w:val="auto"/>
        </w:rPr>
        <w:t>故障，污水处理过程中产生的恶臭和有机废气则呈无组织排放。项目为</w:t>
      </w:r>
      <w:r>
        <w:rPr>
          <w:rFonts w:hint="eastAsia"/>
          <w:bCs/>
          <w:color w:val="auto"/>
        </w:rPr>
        <w:t>油气田采出水</w:t>
      </w:r>
      <w:r>
        <w:rPr>
          <w:bCs/>
          <w:color w:val="auto"/>
        </w:rPr>
        <w:t>处理项目，废气产生量较小，项目主要的大气风险物质为污水处理厂产生的恶臭气体及有机废气对区域环境的影响。经本报告第五章影响预测结果可以看出，企业以污水处理设施为边界，划定50m的卫生防护距离，企业卫生防护距离内无居民居住。若企业不采取废气治理措施，污水处理厂挥发的恶臭</w:t>
      </w:r>
      <w:r>
        <w:rPr>
          <w:rFonts w:hint="eastAsia"/>
          <w:bCs/>
          <w:color w:val="auto"/>
        </w:rPr>
        <w:t>等</w:t>
      </w:r>
      <w:r>
        <w:rPr>
          <w:bCs/>
          <w:color w:val="auto"/>
        </w:rPr>
        <w:t>对区域大气环境</w:t>
      </w:r>
      <w:r>
        <w:rPr>
          <w:rFonts w:hint="eastAsia"/>
          <w:bCs/>
          <w:color w:val="auto"/>
        </w:rPr>
        <w:t>影响</w:t>
      </w:r>
      <w:r>
        <w:rPr>
          <w:bCs/>
          <w:color w:val="auto"/>
        </w:rPr>
        <w:t>较大。因此，企业应加强污水处理厂废气治理</w:t>
      </w:r>
      <w:r>
        <w:rPr>
          <w:rFonts w:hint="eastAsia"/>
          <w:bCs/>
          <w:color w:val="auto"/>
        </w:rPr>
        <w:t>设施</w:t>
      </w:r>
      <w:r>
        <w:rPr>
          <w:bCs/>
          <w:color w:val="auto"/>
        </w:rPr>
        <w:t>管理</w:t>
      </w:r>
      <w:r>
        <w:rPr>
          <w:rFonts w:hint="eastAsia"/>
          <w:bCs/>
          <w:color w:val="auto"/>
        </w:rPr>
        <w:t>和维护</w:t>
      </w:r>
      <w:r>
        <w:rPr>
          <w:bCs/>
          <w:color w:val="auto"/>
        </w:rPr>
        <w:t>，降低污水处理厂产生的废气对区域大气环境的影响。同时，卫生防护距离内不得新增大气环境保护目标</w:t>
      </w:r>
      <w:r>
        <w:rPr>
          <w:rFonts w:hint="eastAsia"/>
          <w:color w:val="auto"/>
        </w:rPr>
        <w:t>。</w:t>
      </w:r>
    </w:p>
    <w:p w14:paraId="695A8DFC">
      <w:pPr>
        <w:pStyle w:val="5"/>
        <w:numPr>
          <w:ilvl w:val="0"/>
          <w:numId w:val="0"/>
        </w:numPr>
        <w:spacing w:line="360" w:lineRule="auto"/>
        <w:jc w:val="left"/>
        <w:rPr>
          <w:color w:val="auto"/>
        </w:rPr>
      </w:pPr>
      <w:r>
        <w:rPr>
          <w:rFonts w:hint="eastAsia"/>
          <w:color w:val="auto"/>
          <w:szCs w:val="24"/>
        </w:rPr>
        <w:t>7.6.</w:t>
      </w:r>
      <w:r>
        <w:rPr>
          <w:rFonts w:hint="eastAsia"/>
          <w:color w:val="auto"/>
          <w:szCs w:val="24"/>
          <w:lang w:val="en-US"/>
        </w:rPr>
        <w:t>3</w:t>
      </w:r>
      <w:r>
        <w:rPr>
          <w:rFonts w:hint="eastAsia"/>
          <w:color w:val="auto"/>
          <w:szCs w:val="24"/>
        </w:rPr>
        <w:t>化学品泄漏环境风险</w:t>
      </w:r>
      <w:r>
        <w:rPr>
          <w:color w:val="auto"/>
          <w:szCs w:val="24"/>
        </w:rPr>
        <w:t>防范措施</w:t>
      </w:r>
    </w:p>
    <w:p w14:paraId="0746E370">
      <w:pPr>
        <w:spacing w:line="360" w:lineRule="auto"/>
        <w:ind w:firstLine="480"/>
        <w:rPr>
          <w:color w:val="auto"/>
        </w:rPr>
      </w:pPr>
      <w:r>
        <w:rPr>
          <w:rFonts w:hint="eastAsia"/>
          <w:color w:val="auto"/>
        </w:rPr>
        <w:t>1、</w:t>
      </w:r>
      <w:r>
        <w:rPr>
          <w:color w:val="auto"/>
        </w:rPr>
        <w:t>建设单位设有</w:t>
      </w:r>
      <w:r>
        <w:rPr>
          <w:rFonts w:hint="eastAsia"/>
          <w:color w:val="auto"/>
        </w:rPr>
        <w:t>固体药品储存区和液体药剂储存罐区</w:t>
      </w:r>
      <w:r>
        <w:rPr>
          <w:color w:val="auto"/>
        </w:rPr>
        <w:t>，用于暂存</w:t>
      </w:r>
      <w:r>
        <w:rPr>
          <w:rFonts w:hint="eastAsia"/>
          <w:color w:val="auto"/>
        </w:rPr>
        <w:t>废水</w:t>
      </w:r>
      <w:r>
        <w:rPr>
          <w:color w:val="auto"/>
        </w:rPr>
        <w:t>处理过程需要使用的化学物质。同时，</w:t>
      </w:r>
      <w:r>
        <w:rPr>
          <w:rFonts w:hint="eastAsia"/>
          <w:color w:val="auto"/>
        </w:rPr>
        <w:t>硫酸</w:t>
      </w:r>
      <w:r>
        <w:rPr>
          <w:rFonts w:hint="eastAsia"/>
          <w:color w:val="auto"/>
          <w:lang w:eastAsia="zh-CN"/>
        </w:rPr>
        <w:t>（</w:t>
      </w:r>
      <w:r>
        <w:rPr>
          <w:rFonts w:hint="eastAsia"/>
          <w:color w:val="auto"/>
        </w:rPr>
        <w:t>50%</w:t>
      </w:r>
      <w:r>
        <w:rPr>
          <w:rFonts w:hint="eastAsia"/>
          <w:color w:val="auto"/>
          <w:lang w:eastAsia="zh-CN"/>
        </w:rPr>
        <w:t>）</w:t>
      </w:r>
      <w:r>
        <w:rPr>
          <w:rFonts w:hint="eastAsia"/>
          <w:color w:val="auto"/>
        </w:rPr>
        <w:t>、盐酸</w:t>
      </w:r>
      <w:r>
        <w:rPr>
          <w:rFonts w:hint="eastAsia"/>
          <w:color w:val="auto"/>
          <w:lang w:eastAsia="zh-CN"/>
        </w:rPr>
        <w:t>（</w:t>
      </w:r>
      <w:r>
        <w:rPr>
          <w:rFonts w:hint="eastAsia"/>
          <w:color w:val="auto"/>
        </w:rPr>
        <w:t>30%</w:t>
      </w:r>
      <w:r>
        <w:rPr>
          <w:rFonts w:hint="eastAsia"/>
          <w:color w:val="auto"/>
          <w:lang w:eastAsia="zh-CN"/>
        </w:rPr>
        <w:t>）</w:t>
      </w:r>
      <w:r>
        <w:rPr>
          <w:rFonts w:hint="eastAsia"/>
          <w:color w:val="auto"/>
        </w:rPr>
        <w:t>、双氧水（</w:t>
      </w:r>
      <w:r>
        <w:rPr>
          <w:color w:val="auto"/>
        </w:rPr>
        <w:t>30</w:t>
      </w:r>
      <w:r>
        <w:rPr>
          <w:rFonts w:hint="eastAsia"/>
          <w:color w:val="auto"/>
        </w:rPr>
        <w:t>%）</w:t>
      </w:r>
      <w:r>
        <w:rPr>
          <w:color w:val="auto"/>
        </w:rPr>
        <w:t>均为储罐保存，</w:t>
      </w:r>
      <w:r>
        <w:rPr>
          <w:rFonts w:hint="eastAsia"/>
          <w:color w:val="auto"/>
        </w:rPr>
        <w:t>各</w:t>
      </w:r>
      <w:r>
        <w:rPr>
          <w:color w:val="auto"/>
        </w:rPr>
        <w:t>化学品的储存和运输</w:t>
      </w:r>
      <w:r>
        <w:rPr>
          <w:rFonts w:hint="eastAsia"/>
          <w:color w:val="auto"/>
        </w:rPr>
        <w:t>应</w:t>
      </w:r>
      <w:r>
        <w:rPr>
          <w:color w:val="auto"/>
        </w:rPr>
        <w:t>严格按《危险化学品安全管理条</w:t>
      </w:r>
      <w:r>
        <w:rPr>
          <w:bCs/>
          <w:color w:val="auto"/>
        </w:rPr>
        <w:t>例》执行</w:t>
      </w:r>
      <w:r>
        <w:rPr>
          <w:rFonts w:hint="eastAsia"/>
          <w:bCs/>
          <w:color w:val="auto"/>
        </w:rPr>
        <w:t>，</w:t>
      </w:r>
      <w:r>
        <w:rPr>
          <w:rFonts w:hint="eastAsia"/>
          <w:color w:val="auto"/>
        </w:rPr>
        <w:t>按照使用量配置贮存量，尽量减少不必要的贮存。</w:t>
      </w:r>
    </w:p>
    <w:p w14:paraId="59DB61BA">
      <w:pPr>
        <w:spacing w:line="360" w:lineRule="auto"/>
        <w:ind w:firstLine="480"/>
        <w:rPr>
          <w:color w:val="auto"/>
        </w:rPr>
      </w:pPr>
      <w:r>
        <w:rPr>
          <w:rFonts w:hint="eastAsia"/>
          <w:color w:val="auto"/>
        </w:rPr>
        <w:t>2、固体药品储存区和液体药剂储存罐区应有截留围堰措施，地面做好防腐防渗，防止泄漏化学品流出污染环境，危险化学品不得露天存放。</w:t>
      </w:r>
    </w:p>
    <w:p w14:paraId="4747EB73">
      <w:pPr>
        <w:spacing w:line="360" w:lineRule="auto"/>
        <w:ind w:firstLine="480"/>
        <w:rPr>
          <w:color w:val="auto"/>
        </w:rPr>
      </w:pPr>
      <w:r>
        <w:rPr>
          <w:rFonts w:hint="eastAsia"/>
          <w:color w:val="auto"/>
        </w:rPr>
        <w:t>3、</w:t>
      </w:r>
      <w:r>
        <w:rPr>
          <w:color w:val="auto"/>
          <w:kern w:val="0"/>
          <w:szCs w:val="24"/>
        </w:rPr>
        <w:t>装卸化学品做好个人防护，穿戴防护服、防护手套、防护面罩等，装卸、搬运化学品时应做到轻装、轻卸。严禁摔、碰、撞击、拖拉、倾倒和滚动等。装卸危险化学品时，操作人员不得做与工作无关的事情，集中精力注意装卸情况，以便出现异常情况时，及时采取应急措施</w:t>
      </w:r>
      <w:r>
        <w:rPr>
          <w:rFonts w:hint="eastAsia"/>
          <w:color w:val="auto"/>
        </w:rPr>
        <w:t>。</w:t>
      </w:r>
    </w:p>
    <w:p w14:paraId="3555B39C">
      <w:pPr>
        <w:spacing w:line="360" w:lineRule="auto"/>
        <w:ind w:firstLine="480"/>
        <w:rPr>
          <w:color w:val="auto"/>
          <w:kern w:val="0"/>
          <w:szCs w:val="24"/>
        </w:rPr>
      </w:pPr>
      <w:r>
        <w:rPr>
          <w:rFonts w:hint="eastAsia"/>
          <w:color w:val="auto"/>
        </w:rPr>
        <w:t>4、</w:t>
      </w:r>
      <w:r>
        <w:rPr>
          <w:color w:val="auto"/>
          <w:kern w:val="0"/>
          <w:szCs w:val="24"/>
        </w:rPr>
        <w:t>操作加药等装置设备的人员要做好上岗前培训工作，熟悉各类设备的操作规程和出现异常的应急处理措施，熟悉掌握各类化学品的理化性质，熟悉各类防护用品的使用和穿戴</w:t>
      </w:r>
      <w:r>
        <w:rPr>
          <w:rFonts w:hint="eastAsia"/>
          <w:color w:val="auto"/>
          <w:kern w:val="0"/>
          <w:szCs w:val="24"/>
        </w:rPr>
        <w:t>。</w:t>
      </w:r>
    </w:p>
    <w:p w14:paraId="48AC7FE0">
      <w:pPr>
        <w:pStyle w:val="5"/>
        <w:numPr>
          <w:ilvl w:val="0"/>
          <w:numId w:val="0"/>
        </w:numPr>
        <w:spacing w:line="360" w:lineRule="auto"/>
        <w:jc w:val="left"/>
        <w:rPr>
          <w:color w:val="auto"/>
        </w:rPr>
      </w:pPr>
      <w:r>
        <w:rPr>
          <w:rFonts w:hint="eastAsia"/>
          <w:color w:val="auto"/>
          <w:szCs w:val="24"/>
        </w:rPr>
        <w:t>7.6.</w:t>
      </w:r>
      <w:r>
        <w:rPr>
          <w:rFonts w:hint="eastAsia"/>
          <w:color w:val="auto"/>
          <w:szCs w:val="24"/>
          <w:lang w:val="en-US"/>
        </w:rPr>
        <w:t>4</w:t>
      </w:r>
      <w:r>
        <w:rPr>
          <w:rFonts w:hint="eastAsia"/>
          <w:color w:val="auto"/>
          <w:szCs w:val="24"/>
        </w:rPr>
        <w:t>其他环境风险</w:t>
      </w:r>
      <w:r>
        <w:rPr>
          <w:color w:val="auto"/>
          <w:szCs w:val="24"/>
        </w:rPr>
        <w:t>防范措施</w:t>
      </w:r>
    </w:p>
    <w:p w14:paraId="34C2905F">
      <w:pPr>
        <w:spacing w:line="360" w:lineRule="auto"/>
        <w:ind w:firstLine="480"/>
        <w:rPr>
          <w:color w:val="auto"/>
          <w:szCs w:val="24"/>
        </w:rPr>
      </w:pPr>
      <w:r>
        <w:rPr>
          <w:rFonts w:hint="eastAsia"/>
          <w:color w:val="auto"/>
          <w:szCs w:val="24"/>
        </w:rPr>
        <w:t>（1）</w:t>
      </w:r>
      <w:r>
        <w:rPr>
          <w:color w:val="auto"/>
          <w:szCs w:val="24"/>
        </w:rPr>
        <w:t>池体破裂风险防范措施</w:t>
      </w:r>
    </w:p>
    <w:p w14:paraId="2D74CF73">
      <w:pPr>
        <w:spacing w:line="360" w:lineRule="auto"/>
        <w:ind w:firstLine="480"/>
        <w:rPr>
          <w:color w:val="auto"/>
          <w:szCs w:val="24"/>
        </w:rPr>
      </w:pPr>
      <w:r>
        <w:rPr>
          <w:color w:val="auto"/>
          <w:szCs w:val="24"/>
        </w:rPr>
        <w:t>项目在建设过程中，应严格按照地下水污染防治措施要求，对厂区进行防渗分区，并严格落实各区域的防渗措施。同时在运行过程中，加强日常检查工作，并对检查结果进行记录。</w:t>
      </w:r>
    </w:p>
    <w:p w14:paraId="3DD8B777">
      <w:pPr>
        <w:spacing w:line="360" w:lineRule="auto"/>
        <w:ind w:firstLine="480"/>
        <w:rPr>
          <w:color w:val="auto"/>
          <w:szCs w:val="24"/>
        </w:rPr>
      </w:pPr>
      <w:r>
        <w:rPr>
          <w:color w:val="auto"/>
          <w:szCs w:val="24"/>
        </w:rPr>
        <w:t>在运行过程中应严格按照地下水环境监测计划，对项目区域的地下水环境质量进行定期监测，一旦发现水质超标，应及时查找原因并及时进行修复。</w:t>
      </w:r>
    </w:p>
    <w:p w14:paraId="507DFA08">
      <w:pPr>
        <w:spacing w:line="360" w:lineRule="auto"/>
        <w:ind w:firstLine="480"/>
        <w:rPr>
          <w:color w:val="auto"/>
          <w:szCs w:val="24"/>
        </w:rPr>
      </w:pPr>
      <w:r>
        <w:rPr>
          <w:rFonts w:hint="eastAsia"/>
          <w:color w:val="auto"/>
          <w:szCs w:val="24"/>
        </w:rPr>
        <w:t>（2）沼气火灾爆炸事故次生污染事故工程措施</w:t>
      </w:r>
    </w:p>
    <w:p w14:paraId="7DCA5399">
      <w:pPr>
        <w:spacing w:line="360" w:lineRule="auto"/>
        <w:ind w:firstLine="480"/>
        <w:rPr>
          <w:color w:val="auto"/>
          <w:szCs w:val="24"/>
        </w:rPr>
      </w:pPr>
      <w:r>
        <w:rPr>
          <w:rFonts w:hint="eastAsia"/>
          <w:color w:val="auto"/>
          <w:szCs w:val="24"/>
        </w:rPr>
        <w:t>沼气泄漏后因物质毒性导致死亡率较小，但对周边居民点存在影响，因此发生沼气火灾爆炸事故次生污染事故时，周边居民点人群应该做好紧张疏散。</w:t>
      </w:r>
    </w:p>
    <w:p w14:paraId="4ED75A0F">
      <w:pPr>
        <w:spacing w:line="360" w:lineRule="auto"/>
        <w:ind w:firstLine="480"/>
        <w:rPr>
          <w:color w:val="auto"/>
          <w:szCs w:val="24"/>
        </w:rPr>
      </w:pPr>
      <w:r>
        <w:rPr>
          <w:rFonts w:hint="eastAsia"/>
          <w:color w:val="auto"/>
          <w:szCs w:val="24"/>
        </w:rPr>
        <w:t>（</w:t>
      </w:r>
      <w:r>
        <w:rPr>
          <w:color w:val="auto"/>
          <w:szCs w:val="24"/>
        </w:rPr>
        <w:t>3</w:t>
      </w:r>
      <w:r>
        <w:rPr>
          <w:rFonts w:hint="eastAsia"/>
          <w:color w:val="auto"/>
          <w:szCs w:val="24"/>
        </w:rPr>
        <w:t>）危废贮存库</w:t>
      </w:r>
      <w:r>
        <w:rPr>
          <w:color w:val="auto"/>
          <w:szCs w:val="24"/>
        </w:rPr>
        <w:t>风险防范措施</w:t>
      </w:r>
    </w:p>
    <w:p w14:paraId="2EA12827">
      <w:pPr>
        <w:spacing w:line="360" w:lineRule="auto"/>
        <w:ind w:firstLine="480"/>
        <w:rPr>
          <w:color w:val="auto"/>
          <w:szCs w:val="24"/>
        </w:rPr>
      </w:pPr>
      <w:r>
        <w:rPr>
          <w:rFonts w:hint="eastAsia"/>
          <w:color w:val="auto"/>
          <w:szCs w:val="24"/>
        </w:rPr>
        <w:t>危废贮存库内涉及储存液态危险废物，评价要求贮存间应按《危险废物贮存污染控制标准》（GB 18597—2023）相关要求建设，贮存间内设置导流沟及收集池</w:t>
      </w:r>
      <w:r>
        <w:rPr>
          <w:color w:val="auto"/>
          <w:szCs w:val="24"/>
        </w:rPr>
        <w:t>。</w:t>
      </w:r>
    </w:p>
    <w:p w14:paraId="6DB147DB">
      <w:pPr>
        <w:spacing w:line="360" w:lineRule="auto"/>
        <w:ind w:firstLine="480"/>
        <w:rPr>
          <w:color w:val="auto"/>
          <w:szCs w:val="24"/>
        </w:rPr>
      </w:pPr>
      <w:r>
        <w:rPr>
          <w:rFonts w:hint="eastAsia"/>
          <w:color w:val="auto"/>
          <w:szCs w:val="24"/>
        </w:rPr>
        <w:t>（</w:t>
      </w:r>
      <w:r>
        <w:rPr>
          <w:color w:val="auto"/>
          <w:szCs w:val="24"/>
        </w:rPr>
        <w:t>4</w:t>
      </w:r>
      <w:r>
        <w:rPr>
          <w:rFonts w:hint="eastAsia"/>
          <w:color w:val="auto"/>
          <w:szCs w:val="24"/>
        </w:rPr>
        <w:t>）风险防范的管理对策</w:t>
      </w:r>
    </w:p>
    <w:p w14:paraId="1F497CD9">
      <w:pPr>
        <w:spacing w:line="360" w:lineRule="auto"/>
        <w:ind w:firstLine="480"/>
        <w:rPr>
          <w:color w:val="auto"/>
          <w:szCs w:val="24"/>
        </w:rPr>
      </w:pPr>
      <w:r>
        <w:rPr>
          <w:rFonts w:hint="eastAsia"/>
          <w:color w:val="auto"/>
          <w:szCs w:val="24"/>
        </w:rPr>
        <w:t>制定生产管理和安全管理制度，加强职工的日常操作技能培训和安全管理，保证各项设备的的正常运行。开展应急演习，保证各项应急措施的落实。</w:t>
      </w:r>
    </w:p>
    <w:p w14:paraId="7C54AF52">
      <w:pPr>
        <w:spacing w:line="360" w:lineRule="auto"/>
        <w:ind w:firstLine="480"/>
        <w:rPr>
          <w:color w:val="auto"/>
          <w:szCs w:val="24"/>
        </w:rPr>
      </w:pPr>
      <w:r>
        <w:rPr>
          <w:rFonts w:hint="eastAsia"/>
          <w:color w:val="auto"/>
          <w:szCs w:val="24"/>
        </w:rPr>
        <w:t>1）编制“劳动安全卫生专篇”，在初步设计中，应严格遵守现有的职业安全卫生方面的法规和技术标准；</w:t>
      </w:r>
    </w:p>
    <w:p w14:paraId="4C3C3E72">
      <w:pPr>
        <w:spacing w:line="360" w:lineRule="auto"/>
        <w:ind w:firstLine="480"/>
        <w:rPr>
          <w:color w:val="auto"/>
          <w:szCs w:val="24"/>
        </w:rPr>
      </w:pPr>
      <w:r>
        <w:rPr>
          <w:rFonts w:hint="eastAsia"/>
          <w:color w:val="auto"/>
          <w:szCs w:val="24"/>
        </w:rPr>
        <w:t>2）在施工过程中，应加强环境监察工作，确保环境保护设施、环境风险防范设施的施工质量，及时纠正施工中的缺陷；</w:t>
      </w:r>
    </w:p>
    <w:p w14:paraId="1B40A32D">
      <w:pPr>
        <w:spacing w:line="360" w:lineRule="auto"/>
        <w:ind w:firstLine="480"/>
        <w:rPr>
          <w:color w:val="auto"/>
          <w:szCs w:val="24"/>
        </w:rPr>
      </w:pPr>
      <w:r>
        <w:rPr>
          <w:rFonts w:hint="eastAsia"/>
          <w:color w:val="auto"/>
          <w:szCs w:val="24"/>
        </w:rPr>
        <w:t>3）建立公司安全生产委员会，负责统筹、协调全公司安全生产工作；</w:t>
      </w:r>
    </w:p>
    <w:p w14:paraId="76A8FFC9">
      <w:pPr>
        <w:spacing w:line="360" w:lineRule="auto"/>
        <w:ind w:firstLine="480"/>
        <w:rPr>
          <w:color w:val="auto"/>
          <w:szCs w:val="24"/>
        </w:rPr>
      </w:pPr>
      <w:r>
        <w:rPr>
          <w:rFonts w:hint="eastAsia"/>
          <w:color w:val="auto"/>
          <w:szCs w:val="24"/>
        </w:rPr>
        <w:t>4）建立安全生产和环境风险防范的责任制；</w:t>
      </w:r>
    </w:p>
    <w:p w14:paraId="48310702">
      <w:pPr>
        <w:spacing w:line="360" w:lineRule="auto"/>
        <w:ind w:firstLine="480"/>
        <w:rPr>
          <w:color w:val="auto"/>
          <w:szCs w:val="24"/>
        </w:rPr>
      </w:pPr>
      <w:r>
        <w:rPr>
          <w:rFonts w:hint="eastAsia"/>
          <w:color w:val="auto"/>
          <w:szCs w:val="24"/>
        </w:rPr>
        <w:t>5）建立各种安全生产规章制度；</w:t>
      </w:r>
    </w:p>
    <w:p w14:paraId="1CD001C6">
      <w:pPr>
        <w:spacing w:line="360" w:lineRule="auto"/>
        <w:ind w:firstLine="480"/>
        <w:rPr>
          <w:color w:val="auto"/>
          <w:szCs w:val="24"/>
        </w:rPr>
      </w:pPr>
      <w:r>
        <w:rPr>
          <w:rFonts w:hint="eastAsia"/>
          <w:color w:val="auto"/>
          <w:szCs w:val="24"/>
        </w:rPr>
        <w:t>6）建立健全设备安全检修制度，同时建立安全作业许可证；</w:t>
      </w:r>
    </w:p>
    <w:p w14:paraId="73B6977D">
      <w:pPr>
        <w:spacing w:line="360" w:lineRule="auto"/>
        <w:ind w:firstLine="480"/>
        <w:rPr>
          <w:color w:val="auto"/>
          <w:szCs w:val="24"/>
        </w:rPr>
      </w:pPr>
      <w:r>
        <w:rPr>
          <w:rFonts w:hint="eastAsia"/>
          <w:color w:val="auto"/>
          <w:szCs w:val="24"/>
        </w:rPr>
        <w:t>7）建立安全生产</w:t>
      </w:r>
      <w:r>
        <w:rPr>
          <w:rFonts w:hint="eastAsia"/>
          <w:color w:val="auto"/>
          <w:szCs w:val="24"/>
          <w:lang w:eastAsia="zh-CN"/>
        </w:rPr>
        <w:t>管理台账</w:t>
      </w:r>
      <w:r>
        <w:rPr>
          <w:rFonts w:hint="eastAsia"/>
          <w:color w:val="auto"/>
          <w:szCs w:val="24"/>
        </w:rPr>
        <w:t>；</w:t>
      </w:r>
    </w:p>
    <w:p w14:paraId="5A54BCFB">
      <w:pPr>
        <w:spacing w:line="360" w:lineRule="auto"/>
        <w:ind w:firstLine="480"/>
        <w:rPr>
          <w:color w:val="auto"/>
          <w:szCs w:val="24"/>
        </w:rPr>
      </w:pPr>
      <w:r>
        <w:rPr>
          <w:rFonts w:hint="eastAsia"/>
          <w:color w:val="auto"/>
          <w:szCs w:val="24"/>
        </w:rPr>
        <w:t>8）提高职工的环保意识和异常情况下的应变能力；</w:t>
      </w:r>
    </w:p>
    <w:p w14:paraId="5166E213">
      <w:pPr>
        <w:spacing w:line="360" w:lineRule="auto"/>
        <w:ind w:firstLine="480"/>
        <w:rPr>
          <w:color w:val="auto"/>
          <w:szCs w:val="24"/>
        </w:rPr>
      </w:pPr>
      <w:r>
        <w:rPr>
          <w:rFonts w:hint="eastAsia"/>
          <w:color w:val="auto"/>
          <w:szCs w:val="24"/>
        </w:rPr>
        <w:t>9）加强对厂房消防设施的定期检查，定期组织消防训练；</w:t>
      </w:r>
    </w:p>
    <w:p w14:paraId="153C07B5">
      <w:pPr>
        <w:spacing w:line="360" w:lineRule="auto"/>
        <w:ind w:firstLine="480"/>
        <w:rPr>
          <w:color w:val="auto"/>
          <w:szCs w:val="24"/>
        </w:rPr>
      </w:pPr>
      <w:r>
        <w:rPr>
          <w:rFonts w:hint="eastAsia"/>
          <w:color w:val="auto"/>
          <w:szCs w:val="24"/>
        </w:rPr>
        <w:t>10）制定相应的施工安全管理方案；</w:t>
      </w:r>
    </w:p>
    <w:p w14:paraId="2FF6EA64">
      <w:pPr>
        <w:spacing w:line="360" w:lineRule="auto"/>
        <w:ind w:firstLine="480"/>
        <w:rPr>
          <w:color w:val="auto"/>
          <w:szCs w:val="24"/>
        </w:rPr>
      </w:pPr>
      <w:r>
        <w:rPr>
          <w:rFonts w:hint="eastAsia"/>
          <w:color w:val="auto"/>
          <w:szCs w:val="24"/>
        </w:rPr>
        <w:t>11）建设单位必须对施工单位的资质进行有效审查，并加强对施工队伍的环境保护教育；</w:t>
      </w:r>
    </w:p>
    <w:p w14:paraId="204C9EF4">
      <w:pPr>
        <w:spacing w:line="360" w:lineRule="auto"/>
        <w:ind w:firstLine="480"/>
        <w:rPr>
          <w:color w:val="auto"/>
          <w:szCs w:val="24"/>
        </w:rPr>
      </w:pPr>
      <w:r>
        <w:rPr>
          <w:rFonts w:hint="eastAsia"/>
          <w:color w:val="auto"/>
          <w:szCs w:val="24"/>
        </w:rPr>
        <w:t>12）建设单位须加强施工阶段的环境监督和管理工作，建立严格的安全管理制度和监督机制。</w:t>
      </w:r>
    </w:p>
    <w:p w14:paraId="6A1C2867">
      <w:pPr>
        <w:pStyle w:val="5"/>
        <w:numPr>
          <w:ilvl w:val="0"/>
          <w:numId w:val="0"/>
        </w:numPr>
        <w:spacing w:line="360" w:lineRule="auto"/>
        <w:jc w:val="left"/>
        <w:rPr>
          <w:color w:val="auto"/>
        </w:rPr>
      </w:pPr>
      <w:r>
        <w:rPr>
          <w:rFonts w:hint="eastAsia"/>
          <w:color w:val="auto"/>
        </w:rPr>
        <w:t>7.6.</w:t>
      </w:r>
      <w:r>
        <w:rPr>
          <w:rFonts w:hint="eastAsia"/>
          <w:color w:val="auto"/>
          <w:lang w:val="en-US"/>
        </w:rPr>
        <w:t>5</w:t>
      </w:r>
      <w:r>
        <w:rPr>
          <w:color w:val="auto"/>
        </w:rPr>
        <w:t>与</w:t>
      </w:r>
      <w:r>
        <w:rPr>
          <w:rFonts w:hint="eastAsia"/>
          <w:color w:val="auto"/>
        </w:rPr>
        <w:t>产水单位和</w:t>
      </w:r>
      <w:r>
        <w:rPr>
          <w:color w:val="auto"/>
        </w:rPr>
        <w:t>园区</w:t>
      </w:r>
      <w:r>
        <w:rPr>
          <w:rFonts w:hint="eastAsia"/>
          <w:color w:val="auto"/>
        </w:rPr>
        <w:t>污水处理厂</w:t>
      </w:r>
      <w:r>
        <w:rPr>
          <w:color w:val="auto"/>
        </w:rPr>
        <w:t>建立联动机制</w:t>
      </w:r>
    </w:p>
    <w:p w14:paraId="79A58F1E">
      <w:pPr>
        <w:spacing w:line="360" w:lineRule="auto"/>
        <w:ind w:firstLine="480"/>
        <w:rPr>
          <w:color w:val="auto"/>
        </w:rPr>
      </w:pPr>
      <w:r>
        <w:rPr>
          <w:rFonts w:hint="eastAsia"/>
          <w:color w:val="auto"/>
        </w:rPr>
        <w:t>（1）与产水单位的联动</w:t>
      </w:r>
    </w:p>
    <w:p w14:paraId="5479DDBF">
      <w:pPr>
        <w:spacing w:line="360" w:lineRule="auto"/>
        <w:ind w:firstLine="480"/>
        <w:rPr>
          <w:color w:val="auto"/>
        </w:rPr>
      </w:pPr>
      <w:r>
        <w:rPr>
          <w:rFonts w:hint="eastAsia"/>
          <w:color w:val="auto"/>
        </w:rPr>
        <w:t>本项目环评范围不包含来水运输，来水应满足我司项目处理能力要求，由</w:t>
      </w:r>
      <w:r>
        <w:rPr>
          <w:rFonts w:hint="eastAsia"/>
          <w:color w:val="auto"/>
          <w:szCs w:val="24"/>
        </w:rPr>
        <w:t>产水单位</w:t>
      </w:r>
      <w:r>
        <w:rPr>
          <w:rFonts w:hint="eastAsia"/>
          <w:color w:val="auto"/>
        </w:rPr>
        <w:t>委托专业运输单位运送，运送过程中的安全、环保责任由</w:t>
      </w:r>
      <w:r>
        <w:rPr>
          <w:rFonts w:hint="eastAsia"/>
          <w:color w:val="auto"/>
          <w:szCs w:val="24"/>
        </w:rPr>
        <w:t>产水单位</w:t>
      </w:r>
      <w:r>
        <w:rPr>
          <w:rFonts w:hint="eastAsia"/>
          <w:color w:val="auto"/>
        </w:rPr>
        <w:t>及运输单位负责。</w:t>
      </w:r>
    </w:p>
    <w:p w14:paraId="65A61646">
      <w:pPr>
        <w:spacing w:line="360" w:lineRule="auto"/>
        <w:ind w:firstLine="480"/>
        <w:rPr>
          <w:color w:val="auto"/>
        </w:rPr>
      </w:pPr>
      <w:r>
        <w:rPr>
          <w:rFonts w:hint="eastAsia"/>
          <w:color w:val="auto"/>
          <w:szCs w:val="24"/>
        </w:rPr>
        <w:t>产水单位相关井场及运输有完善的风险防范措施，具体如下：</w:t>
      </w:r>
    </w:p>
    <w:p w14:paraId="13562204">
      <w:pPr>
        <w:spacing w:line="360" w:lineRule="auto"/>
        <w:ind w:firstLine="480"/>
        <w:rPr>
          <w:color w:val="auto"/>
        </w:rPr>
      </w:pPr>
      <w:r>
        <w:rPr>
          <w:rFonts w:hint="eastAsia"/>
          <w:color w:val="auto"/>
        </w:rPr>
        <w:t>①事故废水防范措施</w:t>
      </w:r>
    </w:p>
    <w:p w14:paraId="51556828">
      <w:pPr>
        <w:spacing w:line="360" w:lineRule="auto"/>
        <w:ind w:firstLine="480"/>
        <w:rPr>
          <w:color w:val="auto"/>
        </w:rPr>
      </w:pPr>
      <w:r>
        <w:rPr>
          <w:rFonts w:hint="eastAsia"/>
          <w:color w:val="auto"/>
        </w:rPr>
        <w:t>1）废水泄漏防范措施：</w:t>
      </w:r>
    </w:p>
    <w:p w14:paraId="445BA65C">
      <w:pPr>
        <w:spacing w:line="360" w:lineRule="auto"/>
        <w:ind w:firstLine="480"/>
        <w:rPr>
          <w:color w:val="auto"/>
        </w:rPr>
      </w:pPr>
      <w:r>
        <w:rPr>
          <w:rFonts w:hint="eastAsia"/>
          <w:color w:val="auto"/>
        </w:rPr>
        <w:t>A.按相关要求规定对储存池进行防渗处理。</w:t>
      </w:r>
    </w:p>
    <w:p w14:paraId="750B1F87">
      <w:pPr>
        <w:spacing w:line="360" w:lineRule="auto"/>
        <w:ind w:firstLine="480"/>
        <w:rPr>
          <w:color w:val="auto"/>
        </w:rPr>
      </w:pPr>
      <w:r>
        <w:rPr>
          <w:rFonts w:hint="eastAsia"/>
          <w:color w:val="auto"/>
        </w:rPr>
        <w:t>B.加强员工操作规范管理，尽量避免废水装车失误。装车过程若遇到废水泄漏，立即停止装车作业，减少废水泄漏量，并利用井场内的污水沟将泄漏废水收集至储存池内，不外流。</w:t>
      </w:r>
    </w:p>
    <w:p w14:paraId="72DFE7AF">
      <w:pPr>
        <w:spacing w:line="360" w:lineRule="auto"/>
        <w:ind w:firstLine="480"/>
        <w:rPr>
          <w:color w:val="auto"/>
        </w:rPr>
      </w:pPr>
      <w:r>
        <w:rPr>
          <w:rFonts w:hint="eastAsia"/>
          <w:color w:val="auto"/>
        </w:rPr>
        <w:t>②废水外溢防范措施：</w:t>
      </w:r>
    </w:p>
    <w:p w14:paraId="54F0A0F9">
      <w:pPr>
        <w:spacing w:line="360" w:lineRule="auto"/>
        <w:ind w:firstLine="480"/>
        <w:rPr>
          <w:color w:val="auto"/>
        </w:rPr>
      </w:pPr>
      <w:r>
        <w:rPr>
          <w:rFonts w:hint="eastAsia"/>
          <w:color w:val="auto"/>
        </w:rPr>
        <w:t>1）对井场临时储存的废水进行及时转运，减少废水储存周期，降低废水外溢风险，特</w:t>
      </w:r>
      <w:r>
        <w:rPr>
          <w:rFonts w:hint="eastAsia"/>
          <w:color w:val="auto"/>
          <w:lang w:eastAsia="zh-CN"/>
        </w:rPr>
        <w:t>别是</w:t>
      </w:r>
      <w:r>
        <w:rPr>
          <w:rFonts w:hint="eastAsia"/>
          <w:color w:val="auto"/>
        </w:rPr>
        <w:t>在汛期来临之前要尽量腾空储存池。</w:t>
      </w:r>
    </w:p>
    <w:p w14:paraId="6F01D529">
      <w:pPr>
        <w:spacing w:line="360" w:lineRule="auto"/>
        <w:ind w:firstLine="480"/>
        <w:rPr>
          <w:color w:val="auto"/>
        </w:rPr>
      </w:pPr>
      <w:r>
        <w:rPr>
          <w:rFonts w:hint="eastAsia"/>
          <w:color w:val="auto"/>
        </w:rPr>
        <w:t>2）为避免突降大雨引起雨水进入储存池，从而引发废水外溢，应及时转运储存池中的废水。</w:t>
      </w:r>
    </w:p>
    <w:p w14:paraId="75F5FE62">
      <w:pPr>
        <w:spacing w:line="360" w:lineRule="auto"/>
        <w:ind w:firstLine="480"/>
        <w:rPr>
          <w:color w:val="auto"/>
        </w:rPr>
      </w:pPr>
      <w:r>
        <w:rPr>
          <w:rFonts w:hint="eastAsia"/>
          <w:color w:val="auto"/>
        </w:rPr>
        <w:t>3）井场采用清污分流系统，并定期进行维护，从而有效控制因暴雨而导致废水外溢。</w:t>
      </w:r>
    </w:p>
    <w:p w14:paraId="0AFE749F">
      <w:pPr>
        <w:spacing w:line="360" w:lineRule="auto"/>
        <w:ind w:firstLine="480"/>
        <w:rPr>
          <w:color w:val="auto"/>
        </w:rPr>
      </w:pPr>
      <w:r>
        <w:rPr>
          <w:rFonts w:hint="eastAsia"/>
          <w:color w:val="auto"/>
        </w:rPr>
        <w:t>4）每个平台均配备1000m</w:t>
      </w:r>
      <w:r>
        <w:rPr>
          <w:rFonts w:hint="eastAsia"/>
          <w:color w:val="auto"/>
          <w:vertAlign w:val="superscript"/>
        </w:rPr>
        <w:t>3</w:t>
      </w:r>
      <w:r>
        <w:rPr>
          <w:rFonts w:hint="eastAsia"/>
          <w:color w:val="auto"/>
        </w:rPr>
        <w:t>的储存池，严禁将储存池蓄满，必须预留500m</w:t>
      </w:r>
      <w:r>
        <w:rPr>
          <w:rFonts w:hint="eastAsia"/>
          <w:color w:val="auto"/>
          <w:vertAlign w:val="superscript"/>
        </w:rPr>
        <w:t>3</w:t>
      </w:r>
      <w:r>
        <w:rPr>
          <w:rFonts w:hint="eastAsia"/>
          <w:color w:val="auto"/>
        </w:rPr>
        <w:t>的容积进行应急使用。</w:t>
      </w:r>
    </w:p>
    <w:p w14:paraId="409CEF34">
      <w:pPr>
        <w:spacing w:line="360" w:lineRule="auto"/>
        <w:ind w:firstLine="480"/>
        <w:rPr>
          <w:color w:val="auto"/>
        </w:rPr>
      </w:pPr>
      <w:r>
        <w:rPr>
          <w:rFonts w:hint="eastAsia"/>
          <w:color w:val="auto"/>
        </w:rPr>
        <w:t>5）为了防止废水渗漏或外溢污染地表水及浅层地下水，要求建设方对废水及时清运，并保持储存池留有一定的富余容量，以容纳暴雨增加的水量，防止外溢；在暴雨季节，加强巡查，降低废水外溢的环境风险。</w:t>
      </w:r>
    </w:p>
    <w:p w14:paraId="55AD7ED4">
      <w:pPr>
        <w:spacing w:line="360" w:lineRule="auto"/>
        <w:ind w:firstLine="480"/>
        <w:rPr>
          <w:color w:val="auto"/>
        </w:rPr>
      </w:pPr>
      <w:r>
        <w:rPr>
          <w:rFonts w:hint="eastAsia"/>
          <w:color w:val="auto"/>
        </w:rPr>
        <w:t>6）建立事故应急预案和联动机制，明确钻井过程中一旦出现环境风险事故的应急处置方式，以及建设单位、</w:t>
      </w:r>
      <w:r>
        <w:rPr>
          <w:rFonts w:hint="eastAsia"/>
          <w:color w:val="auto"/>
          <w:lang w:eastAsia="zh-CN"/>
        </w:rPr>
        <w:t>忠县生态环境局</w:t>
      </w:r>
      <w:r>
        <w:rPr>
          <w:rFonts w:hint="eastAsia"/>
          <w:color w:val="auto"/>
        </w:rPr>
        <w:t>、地方政府及其他相关部门的联系人及联系方式。</w:t>
      </w:r>
    </w:p>
    <w:p w14:paraId="2E10BFC1">
      <w:pPr>
        <w:spacing w:line="360" w:lineRule="auto"/>
        <w:ind w:firstLine="480"/>
        <w:rPr>
          <w:color w:val="auto"/>
        </w:rPr>
      </w:pPr>
      <w:r>
        <w:rPr>
          <w:rFonts w:hint="eastAsia"/>
          <w:color w:val="auto"/>
        </w:rPr>
        <w:t>7）设置地表水三级防控机制防止废水进入地表水。</w:t>
      </w:r>
    </w:p>
    <w:p w14:paraId="4ADD5F92">
      <w:pPr>
        <w:spacing w:line="360" w:lineRule="auto"/>
        <w:ind w:firstLine="480"/>
        <w:rPr>
          <w:color w:val="auto"/>
        </w:rPr>
      </w:pPr>
      <w:r>
        <w:rPr>
          <w:rFonts w:hint="eastAsia"/>
          <w:color w:val="auto"/>
        </w:rPr>
        <w:t>一级防控体系：废水区域设置围堰，防止污染雨水和轻微事故泄漏造成的环境污染；</w:t>
      </w:r>
    </w:p>
    <w:p w14:paraId="506EE4A1">
      <w:pPr>
        <w:spacing w:line="360" w:lineRule="auto"/>
        <w:ind w:firstLine="480"/>
        <w:rPr>
          <w:color w:val="auto"/>
        </w:rPr>
      </w:pPr>
      <w:r>
        <w:rPr>
          <w:rFonts w:hint="eastAsia"/>
          <w:color w:val="auto"/>
        </w:rPr>
        <w:t>二级防控体系：建设储存池、污水截流沟及隔油池，防止污水进入雨水系统、事故泄漏物料外泄污染地表水环境；</w:t>
      </w:r>
    </w:p>
    <w:p w14:paraId="2344E631">
      <w:pPr>
        <w:spacing w:line="360" w:lineRule="auto"/>
        <w:ind w:firstLine="480"/>
        <w:rPr>
          <w:color w:val="auto"/>
        </w:rPr>
      </w:pPr>
      <w:r>
        <w:rPr>
          <w:rFonts w:hint="eastAsia"/>
          <w:color w:val="auto"/>
        </w:rPr>
        <w:t>三级防控体系：发生事故时将事故废水收集至储存池（时刻保持储存池有500m</w:t>
      </w:r>
      <w:r>
        <w:rPr>
          <w:rFonts w:hint="eastAsia"/>
          <w:color w:val="auto"/>
          <w:vertAlign w:val="superscript"/>
        </w:rPr>
        <w:t>3</w:t>
      </w:r>
      <w:r>
        <w:rPr>
          <w:rFonts w:hint="eastAsia"/>
          <w:color w:val="auto"/>
        </w:rPr>
        <w:t>的应急空间），然后交有资质单位处置，防止外泄污染环境。</w:t>
      </w:r>
    </w:p>
    <w:p w14:paraId="49D4BF30">
      <w:pPr>
        <w:spacing w:line="360" w:lineRule="auto"/>
        <w:ind w:firstLine="480"/>
        <w:rPr>
          <w:color w:val="auto"/>
        </w:rPr>
      </w:pPr>
      <w:r>
        <w:rPr>
          <w:rFonts w:hint="eastAsia"/>
          <w:color w:val="auto"/>
        </w:rPr>
        <w:t>项目采取以上防控措施并加强施工管理、并建立事故应急预案和联动机制，预防项目实施对周边流域的影响。</w:t>
      </w:r>
    </w:p>
    <w:p w14:paraId="26296E84">
      <w:pPr>
        <w:spacing w:line="360" w:lineRule="auto"/>
        <w:ind w:firstLine="480"/>
        <w:rPr>
          <w:color w:val="auto"/>
        </w:rPr>
      </w:pPr>
      <w:r>
        <w:rPr>
          <w:rFonts w:hint="eastAsia"/>
          <w:color w:val="auto"/>
        </w:rPr>
        <w:t>③废水转运过程防范措施：</w:t>
      </w:r>
    </w:p>
    <w:p w14:paraId="07CC2ADC">
      <w:pPr>
        <w:spacing w:line="360" w:lineRule="auto"/>
        <w:ind w:firstLine="480"/>
        <w:rPr>
          <w:color w:val="auto"/>
        </w:rPr>
      </w:pPr>
      <w:r>
        <w:rPr>
          <w:rFonts w:hint="eastAsia"/>
          <w:color w:val="auto"/>
        </w:rPr>
        <w:t>转运时采取罐车密闭输送，为降低废水转运对地表水的污染风险，确保废水得到妥善处理，本着切实保护环境的原则，转运过程中采取如下措施：</w:t>
      </w:r>
    </w:p>
    <w:p w14:paraId="2010D396">
      <w:pPr>
        <w:spacing w:line="360" w:lineRule="auto"/>
        <w:ind w:firstLine="480"/>
        <w:rPr>
          <w:color w:val="auto"/>
        </w:rPr>
      </w:pPr>
      <w:r>
        <w:rPr>
          <w:rFonts w:hint="eastAsia"/>
          <w:color w:val="auto"/>
        </w:rPr>
        <w:t>1）建立建设单位与当地政府、</w:t>
      </w:r>
      <w:r>
        <w:rPr>
          <w:rFonts w:hint="eastAsia"/>
          <w:color w:val="auto"/>
          <w:lang w:eastAsia="zh-CN"/>
        </w:rPr>
        <w:t>生态环境局</w:t>
      </w:r>
      <w:r>
        <w:rPr>
          <w:rFonts w:hint="eastAsia"/>
          <w:color w:val="auto"/>
        </w:rPr>
        <w:t>等相关部门的联络机制，若有险情发生，应及时与值班人员取得联系，若确认发生废水外溢事故，应及时上报当地政府、</w:t>
      </w:r>
      <w:r>
        <w:rPr>
          <w:rFonts w:hint="eastAsia"/>
          <w:color w:val="auto"/>
          <w:lang w:eastAsia="zh-CN"/>
        </w:rPr>
        <w:t>生态环境局</w:t>
      </w:r>
      <w:r>
        <w:rPr>
          <w:rFonts w:hint="eastAsia"/>
          <w:color w:val="auto"/>
        </w:rPr>
        <w:t>等相关部门。</w:t>
      </w:r>
    </w:p>
    <w:p w14:paraId="6BFE70C9">
      <w:pPr>
        <w:spacing w:line="360" w:lineRule="auto"/>
        <w:ind w:firstLine="480"/>
        <w:rPr>
          <w:color w:val="auto"/>
        </w:rPr>
      </w:pPr>
      <w:r>
        <w:rPr>
          <w:rFonts w:hint="eastAsia"/>
          <w:color w:val="auto"/>
        </w:rPr>
        <w:t>2）对承包废水转运的承包商实施车辆登记制度，为每台车安装GPS，并纳入建设方的GPS监控系统平台。</w:t>
      </w:r>
    </w:p>
    <w:p w14:paraId="7EEAE1BD">
      <w:pPr>
        <w:spacing w:line="360" w:lineRule="auto"/>
        <w:ind w:firstLine="480"/>
        <w:rPr>
          <w:color w:val="auto"/>
        </w:rPr>
      </w:pPr>
      <w:r>
        <w:rPr>
          <w:rFonts w:hint="eastAsia"/>
          <w:color w:val="auto"/>
        </w:rPr>
        <w:t>3）转运过程做好转运台账，严格实施交接清单制度，建立废水转运五联单制度；加强罐车装载量管理，严禁超载。</w:t>
      </w:r>
    </w:p>
    <w:p w14:paraId="7FC55A6F">
      <w:pPr>
        <w:spacing w:line="360" w:lineRule="auto"/>
        <w:ind w:firstLine="480"/>
        <w:rPr>
          <w:color w:val="auto"/>
        </w:rPr>
      </w:pPr>
      <w:r>
        <w:rPr>
          <w:rFonts w:hint="eastAsia"/>
          <w:color w:val="auto"/>
        </w:rPr>
        <w:t>4）加强对废水罐车司机的安全教育，定期对罐车进行安全检查，严格遵守交通规则，避免交通事故发生。加强对除驾驶员外的其他拉运工作人员管理，要求运输人员技术过硬、经验丰富、工作认真负责。加强对废水罐车的管理，防止人为原因造成的废水外溢。</w:t>
      </w:r>
    </w:p>
    <w:p w14:paraId="5795D431">
      <w:pPr>
        <w:spacing w:line="360" w:lineRule="auto"/>
        <w:ind w:firstLine="480"/>
        <w:rPr>
          <w:color w:val="auto"/>
        </w:rPr>
      </w:pPr>
      <w:r>
        <w:rPr>
          <w:rFonts w:hint="eastAsia"/>
          <w:color w:val="auto"/>
        </w:rPr>
        <w:t>5）转运罐车行驶至河流（含河沟、塘堰等）较近位置或者穿越河流（含河沟等）的道路时，应放慢行驶速度。</w:t>
      </w:r>
    </w:p>
    <w:p w14:paraId="0CBF8277">
      <w:pPr>
        <w:spacing w:line="360" w:lineRule="auto"/>
        <w:ind w:firstLine="480"/>
        <w:rPr>
          <w:color w:val="auto"/>
        </w:rPr>
      </w:pPr>
      <w:r>
        <w:rPr>
          <w:rFonts w:hint="eastAsia"/>
          <w:color w:val="auto"/>
        </w:rPr>
        <w:t>6）废水转运应提前安排，尽量避开暴雨时节等路况较差的季节。</w:t>
      </w:r>
    </w:p>
    <w:p w14:paraId="4DFDD2DA">
      <w:pPr>
        <w:spacing w:line="360" w:lineRule="auto"/>
        <w:ind w:firstLine="480"/>
        <w:rPr>
          <w:color w:val="auto"/>
        </w:rPr>
      </w:pPr>
      <w:r>
        <w:rPr>
          <w:rFonts w:hint="eastAsia"/>
          <w:color w:val="auto"/>
        </w:rPr>
        <w:t>7）运输前规划运输路线，转运过程中应严格按照规定的路线运输到相应的目的地。</w:t>
      </w:r>
    </w:p>
    <w:p w14:paraId="6E40351B">
      <w:pPr>
        <w:spacing w:line="360" w:lineRule="auto"/>
        <w:ind w:firstLine="480"/>
        <w:rPr>
          <w:color w:val="auto"/>
        </w:rPr>
      </w:pPr>
      <w:r>
        <w:rPr>
          <w:rFonts w:hint="eastAsia"/>
          <w:color w:val="auto"/>
        </w:rPr>
        <w:t>针对我司项目，做好进出水水质监测，当出水水质异常时，及时切断排口，启用应急池并排查异常原因，视具体情况通知甲方调整来水水质、数量、时间等要求。</w:t>
      </w:r>
    </w:p>
    <w:p w14:paraId="4613950D">
      <w:pPr>
        <w:spacing w:line="360" w:lineRule="auto"/>
        <w:ind w:firstLine="480"/>
        <w:rPr>
          <w:color w:val="auto"/>
          <w:szCs w:val="24"/>
        </w:rPr>
      </w:pPr>
      <w:r>
        <w:rPr>
          <w:rFonts w:hint="eastAsia"/>
          <w:color w:val="auto"/>
          <w:szCs w:val="24"/>
        </w:rPr>
        <w:t>（2）与园区污水处理厂的联动</w:t>
      </w:r>
    </w:p>
    <w:p w14:paraId="3480B172">
      <w:pPr>
        <w:spacing w:line="360" w:lineRule="auto"/>
        <w:ind w:firstLine="480"/>
        <w:rPr>
          <w:color w:val="auto"/>
        </w:rPr>
      </w:pPr>
      <w:r>
        <w:rPr>
          <w:color w:val="auto"/>
          <w:szCs w:val="24"/>
        </w:rPr>
        <w:t>拟建项目事故状态</w:t>
      </w:r>
      <w:r>
        <w:rPr>
          <w:rFonts w:hint="eastAsia"/>
          <w:color w:val="auto"/>
          <w:szCs w:val="24"/>
        </w:rPr>
        <w:t>时</w:t>
      </w:r>
      <w:r>
        <w:rPr>
          <w:color w:val="auto"/>
          <w:szCs w:val="24"/>
        </w:rPr>
        <w:t>，</w:t>
      </w:r>
      <w:r>
        <w:rPr>
          <w:rFonts w:hint="eastAsia"/>
          <w:color w:val="auto"/>
          <w:szCs w:val="24"/>
        </w:rPr>
        <w:t>立即与产水单位联系停止接收废水，并将未处理完成废水暂存在废水处理站调节池、贮存池和应急</w:t>
      </w:r>
      <w:r>
        <w:rPr>
          <w:color w:val="auto"/>
          <w:szCs w:val="24"/>
        </w:rPr>
        <w:t>事故池</w:t>
      </w:r>
      <w:r>
        <w:rPr>
          <w:rFonts w:hint="eastAsia"/>
          <w:color w:val="auto"/>
          <w:szCs w:val="24"/>
        </w:rPr>
        <w:t>等，</w:t>
      </w:r>
      <w:r>
        <w:rPr>
          <w:color w:val="auto"/>
          <w:szCs w:val="24"/>
        </w:rPr>
        <w:t>切断污水</w:t>
      </w:r>
      <w:r>
        <w:rPr>
          <w:rFonts w:hint="eastAsia"/>
          <w:color w:val="auto"/>
          <w:szCs w:val="24"/>
        </w:rPr>
        <w:t>出口及</w:t>
      </w:r>
      <w:r>
        <w:rPr>
          <w:color w:val="auto"/>
          <w:szCs w:val="24"/>
        </w:rPr>
        <w:t>外排口，通过检修进度，估计事故源强</w:t>
      </w:r>
      <w:r>
        <w:rPr>
          <w:rFonts w:hint="eastAsia"/>
          <w:color w:val="auto"/>
          <w:szCs w:val="24"/>
          <w:lang w:eastAsia="zh-CN"/>
        </w:rPr>
        <w:t>。</w:t>
      </w:r>
      <w:r>
        <w:rPr>
          <w:color w:val="auto"/>
          <w:szCs w:val="24"/>
        </w:rPr>
        <w:t>待污水处理设施系统正常后</w:t>
      </w:r>
      <w:r>
        <w:rPr>
          <w:rFonts w:hint="eastAsia"/>
          <w:color w:val="auto"/>
          <w:szCs w:val="24"/>
        </w:rPr>
        <w:t>，将事故废水导入拟建项目废水处理系统处理达标后综合利用或外排</w:t>
      </w:r>
      <w:r>
        <w:rPr>
          <w:color w:val="auto"/>
          <w:szCs w:val="24"/>
        </w:rPr>
        <w:t>。</w:t>
      </w:r>
    </w:p>
    <w:p w14:paraId="58808E2B">
      <w:pPr>
        <w:spacing w:line="360" w:lineRule="auto"/>
        <w:ind w:firstLine="480"/>
        <w:rPr>
          <w:color w:val="auto"/>
          <w:szCs w:val="24"/>
        </w:rPr>
      </w:pPr>
      <w:r>
        <w:rPr>
          <w:color w:val="auto"/>
        </w:rPr>
        <w:t>事故废水采取</w:t>
      </w:r>
      <w:r>
        <w:rPr>
          <w:rFonts w:hint="eastAsia"/>
          <w:color w:val="auto"/>
        </w:rPr>
        <w:t>以上措施</w:t>
      </w:r>
      <w:r>
        <w:rPr>
          <w:color w:val="auto"/>
        </w:rPr>
        <w:t>后，能够</w:t>
      </w:r>
      <w:r>
        <w:rPr>
          <w:color w:val="auto"/>
          <w:szCs w:val="18"/>
        </w:rPr>
        <w:t>有效地截断事故废水</w:t>
      </w:r>
      <w:r>
        <w:rPr>
          <w:rFonts w:hint="eastAsia"/>
          <w:color w:val="auto"/>
          <w:szCs w:val="18"/>
        </w:rPr>
        <w:t>对</w:t>
      </w:r>
      <w:r>
        <w:rPr>
          <w:rFonts w:hint="eastAsia"/>
          <w:color w:val="auto"/>
          <w:szCs w:val="18"/>
          <w:lang w:eastAsia="zh-CN"/>
        </w:rPr>
        <w:t>乌杨组团园区污水处理厂</w:t>
      </w:r>
      <w:r>
        <w:rPr>
          <w:rFonts w:hint="eastAsia"/>
          <w:color w:val="auto"/>
          <w:szCs w:val="18"/>
        </w:rPr>
        <w:t>造成影响，</w:t>
      </w:r>
      <w:r>
        <w:rPr>
          <w:color w:val="auto"/>
          <w:szCs w:val="18"/>
        </w:rPr>
        <w:t>杜绝了事故污水对水环境的影响。</w:t>
      </w:r>
    </w:p>
    <w:p w14:paraId="47EE0CBE">
      <w:pPr>
        <w:pStyle w:val="5"/>
        <w:numPr>
          <w:ilvl w:val="0"/>
          <w:numId w:val="0"/>
        </w:numPr>
        <w:spacing w:line="360" w:lineRule="auto"/>
        <w:jc w:val="left"/>
        <w:rPr>
          <w:color w:val="auto"/>
        </w:rPr>
      </w:pPr>
      <w:r>
        <w:rPr>
          <w:rFonts w:hint="eastAsia"/>
          <w:color w:val="auto"/>
          <w:szCs w:val="24"/>
        </w:rPr>
        <w:t>7.6.</w:t>
      </w:r>
      <w:r>
        <w:rPr>
          <w:rFonts w:hint="eastAsia"/>
          <w:color w:val="auto"/>
          <w:szCs w:val="24"/>
          <w:lang w:val="en-US"/>
        </w:rPr>
        <w:t>6</w:t>
      </w:r>
      <w:r>
        <w:rPr>
          <w:rFonts w:hint="eastAsia"/>
          <w:color w:val="auto"/>
          <w:szCs w:val="24"/>
        </w:rPr>
        <w:t>人员</w:t>
      </w:r>
      <w:r>
        <w:rPr>
          <w:color w:val="auto"/>
          <w:szCs w:val="24"/>
        </w:rPr>
        <w:t>及管理制度</w:t>
      </w:r>
    </w:p>
    <w:p w14:paraId="49299B28">
      <w:pPr>
        <w:spacing w:line="360" w:lineRule="auto"/>
        <w:ind w:firstLine="480"/>
        <w:rPr>
          <w:color w:val="auto"/>
          <w:lang w:val="zh-CN"/>
        </w:rPr>
      </w:pPr>
      <w:r>
        <w:rPr>
          <w:rFonts w:hint="eastAsia"/>
          <w:color w:val="auto"/>
          <w:lang w:val="zh-CN"/>
        </w:rPr>
        <w:t>为有效防范风险事故的发生，以及在风险事故发生时应急措施的统一指挥，建议项目对环保有关人员及制度做如下安排：</w:t>
      </w:r>
    </w:p>
    <w:p w14:paraId="613D1723">
      <w:pPr>
        <w:spacing w:line="360" w:lineRule="auto"/>
        <w:ind w:firstLine="480"/>
        <w:rPr>
          <w:color w:val="auto"/>
          <w:lang w:val="zh-CN"/>
        </w:rPr>
      </w:pPr>
      <w:r>
        <w:rPr>
          <w:rFonts w:hint="eastAsia"/>
          <w:color w:val="auto"/>
          <w:lang w:val="zh-CN"/>
        </w:rPr>
        <w:t>（1）安排1名人员主管环保相关事务，负责监督环保设施日常运转，管理环保管理人员，以及与环保相关的全部事宜，负责对全厂各环保设施的监督、记录、汇报及维护工作，同时需配合各级环保主管部门及厂内领导对厂内环保设施的检查工作。</w:t>
      </w:r>
    </w:p>
    <w:p w14:paraId="3AEF6F4C">
      <w:pPr>
        <w:spacing w:line="360" w:lineRule="auto"/>
        <w:ind w:firstLine="480"/>
        <w:rPr>
          <w:color w:val="auto"/>
          <w:lang w:val="zh-CN"/>
        </w:rPr>
      </w:pPr>
      <w:r>
        <w:rPr>
          <w:rFonts w:hint="eastAsia"/>
          <w:color w:val="auto"/>
          <w:lang w:val="zh-CN"/>
        </w:rPr>
        <w:t>（2）各班需安排</w:t>
      </w:r>
      <w:r>
        <w:rPr>
          <w:rFonts w:hint="eastAsia"/>
          <w:color w:val="auto"/>
        </w:rPr>
        <w:t>1</w:t>
      </w:r>
      <w:r>
        <w:rPr>
          <w:rFonts w:hint="eastAsia"/>
          <w:color w:val="auto"/>
          <w:lang w:val="zh-CN"/>
        </w:rPr>
        <w:t>员工监督污水设施运作情况，防止大量的“跑、冒、滴、漏”发生，同时兼顾厂内环保管理部门的有关工作。</w:t>
      </w:r>
    </w:p>
    <w:p w14:paraId="029EB0DC">
      <w:pPr>
        <w:spacing w:line="360" w:lineRule="auto"/>
        <w:ind w:firstLine="480"/>
        <w:rPr>
          <w:color w:val="auto"/>
          <w:lang w:val="zh-CN"/>
        </w:rPr>
      </w:pPr>
      <w:r>
        <w:rPr>
          <w:rFonts w:hint="eastAsia"/>
          <w:color w:val="auto"/>
          <w:lang w:val="zh-CN"/>
        </w:rPr>
        <w:t>（3）培训提高员工的环境风险意识，制定制度、方案规范生产操作规程提高事故应急能力，并做到责任到人，层层把关，通过加强管理保证正常生产，预防事故发生。</w:t>
      </w:r>
    </w:p>
    <w:p w14:paraId="6C8B4338">
      <w:pPr>
        <w:pStyle w:val="4"/>
        <w:numPr>
          <w:ilvl w:val="0"/>
          <w:numId w:val="0"/>
        </w:numPr>
        <w:spacing w:line="360" w:lineRule="auto"/>
        <w:rPr>
          <w:color w:val="auto"/>
        </w:rPr>
      </w:pPr>
      <w:bookmarkStart w:id="283" w:name="_Toc483208752"/>
      <w:bookmarkStart w:id="284" w:name="_Toc29149"/>
      <w:r>
        <w:rPr>
          <w:rFonts w:hint="eastAsia"/>
          <w:color w:val="auto"/>
        </w:rPr>
        <w:t>7</w:t>
      </w:r>
      <w:r>
        <w:rPr>
          <w:color w:val="auto"/>
        </w:rPr>
        <w:t>.</w:t>
      </w:r>
      <w:r>
        <w:rPr>
          <w:color w:val="auto"/>
          <w:lang w:val="en-US"/>
        </w:rPr>
        <w:t>7</w:t>
      </w:r>
      <w:r>
        <w:rPr>
          <w:color w:val="auto"/>
        </w:rPr>
        <w:t>环境风险应急预案</w:t>
      </w:r>
      <w:bookmarkEnd w:id="283"/>
      <w:bookmarkEnd w:id="284"/>
    </w:p>
    <w:p w14:paraId="61EF8639">
      <w:pPr>
        <w:autoSpaceDE w:val="0"/>
        <w:autoSpaceDN w:val="0"/>
        <w:spacing w:line="360" w:lineRule="auto"/>
        <w:ind w:firstLine="480"/>
        <w:textAlignment w:val="baseline"/>
        <w:rPr>
          <w:color w:val="auto"/>
          <w:kern w:val="0"/>
          <w:szCs w:val="24"/>
        </w:rPr>
      </w:pPr>
      <w:r>
        <w:rPr>
          <w:color w:val="auto"/>
          <w:kern w:val="0"/>
          <w:szCs w:val="24"/>
        </w:rPr>
        <w:t>污水处理厂运行前，企业应制定环境应急预案，明确环境风险防范措施，制定出详细的、内容</w:t>
      </w:r>
      <w:r>
        <w:rPr>
          <w:rFonts w:hint="eastAsia"/>
          <w:color w:val="auto"/>
          <w:kern w:val="0"/>
          <w:szCs w:val="24"/>
          <w:lang w:eastAsia="zh-CN"/>
        </w:rPr>
        <w:t>翔实</w:t>
      </w:r>
      <w:r>
        <w:rPr>
          <w:color w:val="auto"/>
          <w:kern w:val="0"/>
          <w:szCs w:val="24"/>
        </w:rPr>
        <w:t>、可操作性强的应急预案。并在实际生产运行当中，不断完善应急预案的内容。建设单位应按照以下要求进行应急处理：</w:t>
      </w:r>
    </w:p>
    <w:p w14:paraId="436E7197">
      <w:pPr>
        <w:spacing w:line="360" w:lineRule="auto"/>
        <w:ind w:firstLine="480"/>
        <w:rPr>
          <w:color w:val="auto"/>
          <w:szCs w:val="24"/>
        </w:rPr>
      </w:pPr>
      <w:r>
        <w:rPr>
          <w:color w:val="auto"/>
        </w:rPr>
        <w:t>（1）</w:t>
      </w:r>
      <w:r>
        <w:rPr>
          <w:rFonts w:hint="eastAsia"/>
          <w:color w:val="auto"/>
          <w:szCs w:val="24"/>
        </w:rPr>
        <w:t>日常应急管理</w:t>
      </w:r>
    </w:p>
    <w:p w14:paraId="12CD78B2">
      <w:pPr>
        <w:spacing w:line="360" w:lineRule="auto"/>
        <w:ind w:firstLine="480"/>
        <w:rPr>
          <w:color w:val="auto"/>
        </w:rPr>
      </w:pPr>
      <w:r>
        <w:rPr>
          <w:rFonts w:hint="eastAsia"/>
          <w:color w:val="auto"/>
          <w:szCs w:val="24"/>
        </w:rPr>
        <w:t>为应对突发环境事件，企业应成立突发性污染事件应急救援领导小组，负责组织实施环境污染事件应急处置工作。</w:t>
      </w:r>
    </w:p>
    <w:p w14:paraId="492C9C4B">
      <w:pPr>
        <w:spacing w:line="360" w:lineRule="auto"/>
        <w:ind w:firstLine="480"/>
        <w:rPr>
          <w:color w:val="auto"/>
          <w:szCs w:val="24"/>
        </w:rPr>
      </w:pPr>
      <w:bookmarkStart w:id="285" w:name="_Hlk511766364"/>
      <w:r>
        <w:rPr>
          <w:rFonts w:hint="eastAsia"/>
          <w:color w:val="auto"/>
          <w:szCs w:val="24"/>
        </w:rPr>
        <w:t>应急救援指挥领导小组设日常管理办公室-应急办公室，应急办公室设在</w:t>
      </w:r>
      <w:bookmarkEnd w:id="285"/>
      <w:r>
        <w:rPr>
          <w:rFonts w:hint="eastAsia"/>
          <w:color w:val="auto"/>
          <w:szCs w:val="24"/>
        </w:rPr>
        <w:t>污水处理厂办公室，负责的日常事务包括：</w:t>
      </w:r>
    </w:p>
    <w:p w14:paraId="6D30AA03">
      <w:pPr>
        <w:spacing w:line="360" w:lineRule="auto"/>
        <w:ind w:firstLine="480"/>
        <w:rPr>
          <w:color w:val="auto"/>
          <w:szCs w:val="24"/>
        </w:rPr>
      </w:pPr>
      <w:r>
        <w:rPr>
          <w:rFonts w:hint="eastAsia" w:ascii="宋体" w:hAnsi="宋体" w:cs="宋体"/>
          <w:color w:val="auto"/>
          <w:szCs w:val="24"/>
        </w:rPr>
        <w:t>①</w:t>
      </w:r>
      <w:r>
        <w:rPr>
          <w:color w:val="auto"/>
          <w:szCs w:val="24"/>
        </w:rPr>
        <w:t>负责本应急预案的</w:t>
      </w:r>
      <w:r>
        <w:rPr>
          <w:rFonts w:hint="eastAsia"/>
          <w:color w:val="auto"/>
          <w:szCs w:val="24"/>
        </w:rPr>
        <w:t>日常管理</w:t>
      </w:r>
      <w:r>
        <w:rPr>
          <w:color w:val="auto"/>
          <w:szCs w:val="24"/>
        </w:rPr>
        <w:t>，并组织应急预案的培训和演练；</w:t>
      </w:r>
    </w:p>
    <w:p w14:paraId="1150C8A4">
      <w:pPr>
        <w:spacing w:line="360" w:lineRule="auto"/>
        <w:ind w:firstLine="480"/>
        <w:rPr>
          <w:color w:val="auto"/>
          <w:szCs w:val="24"/>
        </w:rPr>
      </w:pPr>
      <w:r>
        <w:rPr>
          <w:rFonts w:hint="eastAsia" w:ascii="宋体" w:hAnsi="宋体" w:cs="宋体"/>
          <w:color w:val="auto"/>
          <w:szCs w:val="24"/>
        </w:rPr>
        <w:t>②</w:t>
      </w:r>
      <w:r>
        <w:rPr>
          <w:rFonts w:hint="eastAsia"/>
          <w:color w:val="auto"/>
          <w:szCs w:val="24"/>
        </w:rPr>
        <w:t>负责应急物资的储备，日常维护、保养</w:t>
      </w:r>
      <w:r>
        <w:rPr>
          <w:color w:val="auto"/>
          <w:szCs w:val="24"/>
        </w:rPr>
        <w:t>；</w:t>
      </w:r>
    </w:p>
    <w:p w14:paraId="2942DCE7">
      <w:pPr>
        <w:spacing w:line="360" w:lineRule="auto"/>
        <w:ind w:firstLine="480"/>
        <w:rPr>
          <w:color w:val="auto"/>
          <w:szCs w:val="24"/>
        </w:rPr>
      </w:pPr>
      <w:r>
        <w:rPr>
          <w:rFonts w:hint="eastAsia" w:ascii="宋体" w:hAnsi="宋体" w:cs="宋体"/>
          <w:color w:val="auto"/>
          <w:szCs w:val="24"/>
        </w:rPr>
        <w:t>③</w:t>
      </w:r>
      <w:r>
        <w:rPr>
          <w:color w:val="auto"/>
          <w:szCs w:val="24"/>
        </w:rPr>
        <w:t>检查督促做好事故的预防措施和应急处置的各项准备工作；</w:t>
      </w:r>
    </w:p>
    <w:p w14:paraId="2B3A77F7">
      <w:pPr>
        <w:spacing w:line="360" w:lineRule="auto"/>
        <w:ind w:firstLine="480"/>
        <w:rPr>
          <w:color w:val="auto"/>
        </w:rPr>
      </w:pPr>
      <w:r>
        <w:rPr>
          <w:color w:val="auto"/>
          <w:szCs w:val="24"/>
        </w:rPr>
        <w:fldChar w:fldCharType="begin"/>
      </w:r>
      <w:r>
        <w:rPr>
          <w:color w:val="auto"/>
          <w:szCs w:val="24"/>
        </w:rPr>
        <w:instrText xml:space="preserve"> </w:instrText>
      </w:r>
      <w:r>
        <w:rPr>
          <w:rFonts w:hint="eastAsia"/>
          <w:color w:val="auto"/>
          <w:szCs w:val="24"/>
        </w:rPr>
        <w:instrText xml:space="preserve">= 4 \* GB3</w:instrText>
      </w:r>
      <w:r>
        <w:rPr>
          <w:color w:val="auto"/>
          <w:szCs w:val="24"/>
        </w:rPr>
        <w:instrText xml:space="preserve"> </w:instrText>
      </w:r>
      <w:r>
        <w:rPr>
          <w:color w:val="auto"/>
          <w:szCs w:val="24"/>
        </w:rPr>
        <w:fldChar w:fldCharType="separate"/>
      </w:r>
      <w:r>
        <w:rPr>
          <w:rFonts w:hint="eastAsia"/>
          <w:color w:val="auto"/>
          <w:szCs w:val="24"/>
        </w:rPr>
        <w:t>④</w:t>
      </w:r>
      <w:r>
        <w:rPr>
          <w:color w:val="auto"/>
          <w:szCs w:val="24"/>
        </w:rPr>
        <w:fldChar w:fldCharType="end"/>
      </w:r>
      <w:r>
        <w:rPr>
          <w:rFonts w:hint="eastAsia"/>
          <w:color w:val="auto"/>
          <w:szCs w:val="24"/>
        </w:rPr>
        <w:t>做好应急工作的资金准备。</w:t>
      </w:r>
    </w:p>
    <w:p w14:paraId="7EECB796">
      <w:pPr>
        <w:spacing w:line="360" w:lineRule="auto"/>
        <w:ind w:firstLine="480"/>
        <w:rPr>
          <w:color w:val="auto"/>
        </w:rPr>
      </w:pPr>
      <w:r>
        <w:rPr>
          <w:rFonts w:hint="eastAsia"/>
          <w:color w:val="auto"/>
        </w:rPr>
        <w:t>（2）</w:t>
      </w:r>
      <w:r>
        <w:rPr>
          <w:rFonts w:hint="eastAsia"/>
          <w:color w:val="auto"/>
          <w:szCs w:val="24"/>
        </w:rPr>
        <w:t>事故状态应急机构</w:t>
      </w:r>
    </w:p>
    <w:p w14:paraId="574ED82E">
      <w:pPr>
        <w:spacing w:line="360" w:lineRule="auto"/>
        <w:ind w:firstLine="480"/>
        <w:rPr>
          <w:color w:val="auto"/>
        </w:rPr>
      </w:pPr>
      <w:r>
        <w:rPr>
          <w:rFonts w:hint="eastAsia"/>
          <w:color w:val="auto"/>
          <w:szCs w:val="24"/>
        </w:rPr>
        <w:t>突发环境事件发生后，公司立即成立应急指挥部，由领导小组组长任总指挥，由副组长任副总指挥，厂长</w:t>
      </w:r>
      <w:r>
        <w:rPr>
          <w:color w:val="auto"/>
          <w:szCs w:val="24"/>
        </w:rPr>
        <w:t>任现场指挥，</w:t>
      </w:r>
      <w:r>
        <w:rPr>
          <w:rFonts w:hint="eastAsia"/>
          <w:color w:val="auto"/>
          <w:szCs w:val="24"/>
        </w:rPr>
        <w:t>应急指挥部下设</w:t>
      </w:r>
      <w:r>
        <w:rPr>
          <w:color w:val="auto"/>
          <w:szCs w:val="24"/>
        </w:rPr>
        <w:t>3</w:t>
      </w:r>
      <w:r>
        <w:rPr>
          <w:rFonts w:hint="eastAsia"/>
          <w:color w:val="auto"/>
          <w:szCs w:val="24"/>
          <w:lang w:eastAsia="zh-CN"/>
        </w:rPr>
        <w:t>支</w:t>
      </w:r>
      <w:r>
        <w:rPr>
          <w:rFonts w:hint="eastAsia"/>
          <w:color w:val="auto"/>
          <w:szCs w:val="24"/>
        </w:rPr>
        <w:t>专业应急救援队伍：现场处置组、综合</w:t>
      </w:r>
      <w:r>
        <w:rPr>
          <w:color w:val="auto"/>
          <w:szCs w:val="24"/>
        </w:rPr>
        <w:t>协调组、警戒疏散组</w:t>
      </w:r>
      <w:r>
        <w:rPr>
          <w:rFonts w:hint="eastAsia"/>
          <w:color w:val="auto"/>
          <w:szCs w:val="24"/>
        </w:rPr>
        <w:t>。</w:t>
      </w:r>
    </w:p>
    <w:p w14:paraId="0817B599">
      <w:pPr>
        <w:spacing w:line="360" w:lineRule="auto"/>
        <w:ind w:firstLine="480"/>
        <w:rPr>
          <w:color w:val="auto"/>
          <w:szCs w:val="24"/>
        </w:rPr>
      </w:pPr>
      <w:r>
        <w:rPr>
          <w:color w:val="auto"/>
        </w:rPr>
        <w:t>（</w:t>
      </w:r>
      <w:r>
        <w:rPr>
          <w:rFonts w:hint="eastAsia"/>
          <w:color w:val="auto"/>
        </w:rPr>
        <w:t>3</w:t>
      </w:r>
      <w:r>
        <w:rPr>
          <w:color w:val="auto"/>
        </w:rPr>
        <w:t>）</w:t>
      </w:r>
      <w:r>
        <w:rPr>
          <w:color w:val="auto"/>
          <w:szCs w:val="24"/>
        </w:rPr>
        <w:t>应急预案实施</w:t>
      </w:r>
    </w:p>
    <w:p w14:paraId="647680C1">
      <w:pPr>
        <w:autoSpaceDE w:val="0"/>
        <w:autoSpaceDN w:val="0"/>
        <w:spacing w:line="360" w:lineRule="auto"/>
        <w:ind w:firstLine="480"/>
        <w:textAlignment w:val="baseline"/>
        <w:rPr>
          <w:color w:val="auto"/>
          <w:kern w:val="0"/>
          <w:szCs w:val="24"/>
        </w:rPr>
      </w:pPr>
      <w:r>
        <w:rPr>
          <w:color w:val="auto"/>
          <w:kern w:val="0"/>
          <w:szCs w:val="24"/>
        </w:rPr>
        <w:t>1</w:t>
      </w:r>
      <w:r>
        <w:rPr>
          <w:rFonts w:hint="eastAsia"/>
          <w:color w:val="auto"/>
          <w:kern w:val="0"/>
          <w:szCs w:val="24"/>
        </w:rPr>
        <w:t>）</w:t>
      </w:r>
      <w:r>
        <w:rPr>
          <w:color w:val="auto"/>
          <w:kern w:val="0"/>
          <w:szCs w:val="24"/>
        </w:rPr>
        <w:t>分级响应</w:t>
      </w:r>
      <w:r>
        <w:rPr>
          <w:rFonts w:hint="eastAsia"/>
          <w:color w:val="auto"/>
          <w:kern w:val="0"/>
          <w:szCs w:val="24"/>
        </w:rPr>
        <w:t>机制</w:t>
      </w:r>
    </w:p>
    <w:p w14:paraId="6F549765">
      <w:pPr>
        <w:autoSpaceDE w:val="0"/>
        <w:autoSpaceDN w:val="0"/>
        <w:spacing w:line="360" w:lineRule="auto"/>
        <w:ind w:firstLine="480"/>
        <w:textAlignment w:val="baseline"/>
        <w:rPr>
          <w:color w:val="auto"/>
          <w:kern w:val="0"/>
          <w:szCs w:val="24"/>
        </w:rPr>
      </w:pPr>
      <w:r>
        <w:rPr>
          <w:color w:val="auto"/>
          <w:kern w:val="0"/>
          <w:szCs w:val="24"/>
        </w:rPr>
        <w:t>针对突发环境事件严重性、紧急程度、危害程度、影响范围、企业内部（</w:t>
      </w:r>
      <w:r>
        <w:rPr>
          <w:rFonts w:hint="eastAsia"/>
          <w:color w:val="auto"/>
          <w:kern w:val="0"/>
          <w:szCs w:val="24"/>
        </w:rPr>
        <w:t>厂部</w:t>
      </w:r>
      <w:r>
        <w:rPr>
          <w:color w:val="auto"/>
          <w:kern w:val="0"/>
          <w:szCs w:val="24"/>
        </w:rPr>
        <w:t>、</w:t>
      </w:r>
      <w:r>
        <w:rPr>
          <w:rFonts w:hint="eastAsia"/>
          <w:color w:val="auto"/>
          <w:kern w:val="0"/>
          <w:szCs w:val="24"/>
        </w:rPr>
        <w:t>公司</w:t>
      </w:r>
      <w:r>
        <w:rPr>
          <w:color w:val="auto"/>
          <w:kern w:val="0"/>
          <w:szCs w:val="24"/>
        </w:rPr>
        <w:t>）控制事态的能力以及需要调动的应急资源，将</w:t>
      </w:r>
      <w:r>
        <w:rPr>
          <w:rFonts w:hint="eastAsia"/>
          <w:color w:val="auto"/>
          <w:kern w:val="0"/>
          <w:szCs w:val="24"/>
        </w:rPr>
        <w:t>本公司</w:t>
      </w:r>
      <w:r>
        <w:rPr>
          <w:color w:val="auto"/>
          <w:kern w:val="0"/>
          <w:szCs w:val="24"/>
        </w:rPr>
        <w:t>突发环境事件分</w:t>
      </w:r>
      <w:r>
        <w:rPr>
          <w:rFonts w:hint="eastAsia"/>
          <w:color w:val="auto"/>
          <w:kern w:val="0"/>
          <w:szCs w:val="24"/>
        </w:rPr>
        <w:t>三级：</w:t>
      </w:r>
    </w:p>
    <w:p w14:paraId="2375B0F4">
      <w:pPr>
        <w:autoSpaceDE w:val="0"/>
        <w:autoSpaceDN w:val="0"/>
        <w:spacing w:line="360" w:lineRule="auto"/>
        <w:ind w:firstLine="480"/>
        <w:textAlignment w:val="baseline"/>
        <w:rPr>
          <w:color w:val="auto"/>
          <w:kern w:val="0"/>
          <w:szCs w:val="24"/>
        </w:rPr>
      </w:pPr>
      <w:r>
        <w:rPr>
          <w:rFonts w:hint="eastAsia"/>
          <w:color w:val="auto"/>
          <w:kern w:val="0"/>
          <w:szCs w:val="24"/>
        </w:rPr>
        <w:t>车间级：突发环境事件出现在车间，车间进行现场处置，突发环境事件可限制在车间内；车间</w:t>
      </w:r>
      <w:r>
        <w:rPr>
          <w:color w:val="auto"/>
          <w:kern w:val="0"/>
          <w:szCs w:val="24"/>
        </w:rPr>
        <w:t>级</w:t>
      </w:r>
      <w:r>
        <w:rPr>
          <w:rFonts w:hint="eastAsia"/>
          <w:color w:val="auto"/>
          <w:kern w:val="0"/>
          <w:szCs w:val="24"/>
        </w:rPr>
        <w:t>突发环境事件</w:t>
      </w:r>
      <w:r>
        <w:rPr>
          <w:color w:val="auto"/>
          <w:kern w:val="0"/>
          <w:szCs w:val="24"/>
        </w:rPr>
        <w:t>发生后</w:t>
      </w:r>
      <w:r>
        <w:rPr>
          <w:rFonts w:hint="eastAsia"/>
          <w:color w:val="auto"/>
          <w:kern w:val="0"/>
          <w:szCs w:val="24"/>
        </w:rPr>
        <w:t>，车间进行现场处置。</w:t>
      </w:r>
    </w:p>
    <w:p w14:paraId="0DCEC344">
      <w:pPr>
        <w:autoSpaceDE w:val="0"/>
        <w:autoSpaceDN w:val="0"/>
        <w:spacing w:line="360" w:lineRule="auto"/>
        <w:ind w:firstLine="480"/>
        <w:textAlignment w:val="baseline"/>
        <w:rPr>
          <w:color w:val="auto"/>
          <w:kern w:val="0"/>
          <w:szCs w:val="24"/>
        </w:rPr>
      </w:pPr>
      <w:r>
        <w:rPr>
          <w:rFonts w:hint="eastAsia"/>
          <w:color w:val="auto"/>
          <w:kern w:val="0"/>
          <w:szCs w:val="24"/>
        </w:rPr>
        <w:t>公司</w:t>
      </w:r>
      <w:r>
        <w:rPr>
          <w:color w:val="auto"/>
          <w:kern w:val="0"/>
          <w:szCs w:val="24"/>
        </w:rPr>
        <w:t>级：突发环境事件出现在</w:t>
      </w:r>
      <w:r>
        <w:rPr>
          <w:rFonts w:hint="eastAsia"/>
          <w:color w:val="auto"/>
          <w:kern w:val="0"/>
          <w:szCs w:val="24"/>
        </w:rPr>
        <w:t>厂区，公司完全可以控制和进行处理，</w:t>
      </w:r>
      <w:r>
        <w:rPr>
          <w:color w:val="auto"/>
          <w:kern w:val="0"/>
          <w:szCs w:val="24"/>
        </w:rPr>
        <w:t>突发环境事件可限制在企业内的现场</w:t>
      </w:r>
      <w:r>
        <w:rPr>
          <w:rFonts w:hint="eastAsia"/>
          <w:color w:val="auto"/>
          <w:kern w:val="0"/>
          <w:szCs w:val="24"/>
          <w:lang w:eastAsia="zh-CN"/>
        </w:rPr>
        <w:t>及</w:t>
      </w:r>
      <w:r>
        <w:rPr>
          <w:color w:val="auto"/>
          <w:kern w:val="0"/>
          <w:szCs w:val="24"/>
        </w:rPr>
        <w:t>周边地区</w:t>
      </w:r>
      <w:r>
        <w:rPr>
          <w:rFonts w:hint="eastAsia"/>
          <w:color w:val="auto"/>
          <w:kern w:val="0"/>
          <w:szCs w:val="24"/>
        </w:rPr>
        <w:t>；公司</w:t>
      </w:r>
      <w:r>
        <w:rPr>
          <w:color w:val="auto"/>
          <w:kern w:val="0"/>
          <w:szCs w:val="24"/>
        </w:rPr>
        <w:t>级</w:t>
      </w:r>
      <w:r>
        <w:rPr>
          <w:rFonts w:hint="eastAsia"/>
          <w:color w:val="auto"/>
          <w:kern w:val="0"/>
          <w:szCs w:val="24"/>
        </w:rPr>
        <w:t>突发环境事件</w:t>
      </w:r>
      <w:r>
        <w:rPr>
          <w:color w:val="auto"/>
          <w:kern w:val="0"/>
          <w:szCs w:val="24"/>
        </w:rPr>
        <w:t>发生后</w:t>
      </w:r>
      <w:r>
        <w:rPr>
          <w:rFonts w:hint="eastAsia"/>
          <w:color w:val="auto"/>
          <w:kern w:val="0"/>
          <w:szCs w:val="24"/>
        </w:rPr>
        <w:t>，车间进行现场处置，如有扩大启动本预案，进行应急处置。</w:t>
      </w:r>
    </w:p>
    <w:p w14:paraId="091D2A9C">
      <w:pPr>
        <w:spacing w:line="360" w:lineRule="auto"/>
        <w:ind w:firstLine="480"/>
        <w:rPr>
          <w:color w:val="auto"/>
        </w:rPr>
      </w:pPr>
      <w:r>
        <w:rPr>
          <w:rFonts w:hint="eastAsia"/>
          <w:color w:val="auto"/>
          <w:kern w:val="0"/>
          <w:szCs w:val="24"/>
        </w:rPr>
        <w:t>社会联动</w:t>
      </w:r>
      <w:r>
        <w:rPr>
          <w:color w:val="auto"/>
          <w:kern w:val="0"/>
          <w:szCs w:val="24"/>
        </w:rPr>
        <w:t>级：突发环境事件超出了</w:t>
      </w:r>
      <w:r>
        <w:rPr>
          <w:rFonts w:hint="eastAsia"/>
          <w:color w:val="auto"/>
          <w:kern w:val="0"/>
          <w:szCs w:val="24"/>
        </w:rPr>
        <w:t>厂区</w:t>
      </w:r>
      <w:r>
        <w:rPr>
          <w:color w:val="auto"/>
          <w:kern w:val="0"/>
          <w:szCs w:val="24"/>
        </w:rPr>
        <w:t>的范围，</w:t>
      </w:r>
      <w:r>
        <w:rPr>
          <w:rFonts w:hint="eastAsia"/>
          <w:color w:val="auto"/>
          <w:kern w:val="0"/>
          <w:szCs w:val="24"/>
        </w:rPr>
        <w:t>需借助社会公共力量来处理的突发事件，如果不及时控制可能对周边环境产生较大影响的突发事件；社会联动</w:t>
      </w:r>
      <w:r>
        <w:rPr>
          <w:color w:val="auto"/>
          <w:kern w:val="0"/>
          <w:szCs w:val="24"/>
        </w:rPr>
        <w:t>级</w:t>
      </w:r>
      <w:r>
        <w:rPr>
          <w:rFonts w:hint="eastAsia"/>
          <w:color w:val="auto"/>
          <w:kern w:val="0"/>
          <w:szCs w:val="24"/>
        </w:rPr>
        <w:t>突发环境事件</w:t>
      </w:r>
      <w:r>
        <w:rPr>
          <w:color w:val="auto"/>
          <w:kern w:val="0"/>
          <w:szCs w:val="24"/>
        </w:rPr>
        <w:t>发生后，</w:t>
      </w:r>
      <w:r>
        <w:rPr>
          <w:rFonts w:hint="eastAsia"/>
          <w:color w:val="auto"/>
          <w:kern w:val="0"/>
          <w:szCs w:val="24"/>
        </w:rPr>
        <w:t>公司启动本预案，并向社会公共力量求助。</w:t>
      </w:r>
    </w:p>
    <w:p w14:paraId="0F391FB9">
      <w:pPr>
        <w:autoSpaceDE w:val="0"/>
        <w:autoSpaceDN w:val="0"/>
        <w:spacing w:line="360" w:lineRule="auto"/>
        <w:ind w:firstLine="480"/>
        <w:textAlignment w:val="baseline"/>
        <w:rPr>
          <w:color w:val="auto"/>
          <w:kern w:val="0"/>
          <w:szCs w:val="24"/>
        </w:rPr>
      </w:pPr>
      <w:bookmarkStart w:id="286" w:name="_Toc404622127"/>
      <w:bookmarkStart w:id="287" w:name="_Toc404629897"/>
      <w:bookmarkStart w:id="288" w:name="_Toc416850804"/>
      <w:bookmarkStart w:id="289" w:name="_Toc40614108"/>
      <w:r>
        <w:rPr>
          <w:rFonts w:hint="eastAsia"/>
          <w:color w:val="auto"/>
          <w:kern w:val="0"/>
          <w:szCs w:val="24"/>
        </w:rPr>
        <w:t>2）</w:t>
      </w:r>
      <w:r>
        <w:rPr>
          <w:color w:val="auto"/>
          <w:kern w:val="0"/>
          <w:szCs w:val="24"/>
        </w:rPr>
        <w:t>应急</w:t>
      </w:r>
      <w:bookmarkEnd w:id="286"/>
      <w:bookmarkEnd w:id="287"/>
      <w:bookmarkEnd w:id="288"/>
      <w:r>
        <w:rPr>
          <w:rFonts w:hint="eastAsia"/>
          <w:color w:val="auto"/>
          <w:kern w:val="0"/>
          <w:szCs w:val="24"/>
        </w:rPr>
        <w:t>处置</w:t>
      </w:r>
      <w:bookmarkEnd w:id="289"/>
      <w:r>
        <w:rPr>
          <w:color w:val="auto"/>
          <w:kern w:val="0"/>
          <w:szCs w:val="24"/>
        </w:rPr>
        <w:t xml:space="preserve"> </w:t>
      </w:r>
    </w:p>
    <w:p w14:paraId="10BA27E4">
      <w:pPr>
        <w:autoSpaceDE w:val="0"/>
        <w:autoSpaceDN w:val="0"/>
        <w:spacing w:line="360" w:lineRule="auto"/>
        <w:ind w:firstLine="480"/>
        <w:textAlignment w:val="baseline"/>
        <w:rPr>
          <w:color w:val="auto"/>
          <w:kern w:val="0"/>
          <w:szCs w:val="24"/>
        </w:rPr>
      </w:pPr>
      <w:r>
        <w:rPr>
          <w:rFonts w:hint="eastAsia"/>
          <w:color w:val="auto"/>
          <w:kern w:val="0"/>
          <w:szCs w:val="24"/>
        </w:rPr>
        <w:t>发生突发环境事件时，事故发生部门或车间应当立即采取有效</w:t>
      </w:r>
      <w:r>
        <w:rPr>
          <w:rFonts w:hint="eastAsia"/>
          <w:color w:val="auto"/>
          <w:kern w:val="0"/>
          <w:szCs w:val="24"/>
          <w:lang w:eastAsia="zh-CN"/>
        </w:rPr>
        <w:t>前</w:t>
      </w:r>
      <w:r>
        <w:rPr>
          <w:rFonts w:hint="eastAsia"/>
          <w:color w:val="auto"/>
          <w:kern w:val="0"/>
          <w:szCs w:val="24"/>
        </w:rPr>
        <w:t>期措施来防止污染物的扩散，立即查看泄漏点的扩散情况。发生突发环境事件后，应根据发生污染事故的地点、污染</w:t>
      </w:r>
      <w:r>
        <w:rPr>
          <w:color w:val="auto"/>
          <w:kern w:val="0"/>
          <w:szCs w:val="24"/>
        </w:rPr>
        <w:t>事故类</w:t>
      </w:r>
      <w:r>
        <w:rPr>
          <w:rFonts w:hint="eastAsia"/>
          <w:color w:val="auto"/>
          <w:kern w:val="0"/>
          <w:szCs w:val="24"/>
        </w:rPr>
        <w:t>型</w:t>
      </w:r>
      <w:r>
        <w:rPr>
          <w:color w:val="auto"/>
          <w:kern w:val="0"/>
          <w:szCs w:val="24"/>
        </w:rPr>
        <w:t>和当天的风向</w:t>
      </w:r>
      <w:r>
        <w:rPr>
          <w:rFonts w:hint="eastAsia"/>
          <w:color w:val="auto"/>
          <w:kern w:val="0"/>
          <w:szCs w:val="24"/>
        </w:rPr>
        <w:t>选择合适的避灾路线，应选择从事故区疏散至安全区最短时间的路线，同时又要保证此路线的最大安全性</w:t>
      </w:r>
      <w:r>
        <w:rPr>
          <w:color w:val="auto"/>
          <w:kern w:val="0"/>
          <w:szCs w:val="24"/>
        </w:rPr>
        <w:t>。</w:t>
      </w:r>
    </w:p>
    <w:p w14:paraId="2CFCC1BE">
      <w:pPr>
        <w:autoSpaceDE w:val="0"/>
        <w:autoSpaceDN w:val="0"/>
        <w:spacing w:line="360" w:lineRule="auto"/>
        <w:ind w:firstLine="480"/>
        <w:textAlignment w:val="baseline"/>
        <w:rPr>
          <w:color w:val="auto"/>
          <w:kern w:val="0"/>
          <w:szCs w:val="24"/>
        </w:rPr>
      </w:pPr>
      <w:r>
        <w:rPr>
          <w:rFonts w:hint="eastAsia"/>
          <w:color w:val="auto"/>
          <w:kern w:val="0"/>
          <w:szCs w:val="24"/>
        </w:rPr>
        <w:t>3）</w:t>
      </w:r>
      <w:bookmarkStart w:id="290" w:name="_Toc40614109"/>
      <w:r>
        <w:rPr>
          <w:color w:val="auto"/>
          <w:kern w:val="0"/>
          <w:szCs w:val="24"/>
        </w:rPr>
        <w:t>应急</w:t>
      </w:r>
      <w:r>
        <w:rPr>
          <w:rFonts w:hint="eastAsia"/>
          <w:color w:val="auto"/>
          <w:kern w:val="0"/>
          <w:szCs w:val="24"/>
        </w:rPr>
        <w:t>监测</w:t>
      </w:r>
      <w:bookmarkEnd w:id="290"/>
      <w:r>
        <w:rPr>
          <w:color w:val="auto"/>
          <w:kern w:val="0"/>
          <w:szCs w:val="24"/>
        </w:rPr>
        <w:t xml:space="preserve"> </w:t>
      </w:r>
    </w:p>
    <w:p w14:paraId="67F9A364">
      <w:pPr>
        <w:autoSpaceDE w:val="0"/>
        <w:autoSpaceDN w:val="0"/>
        <w:spacing w:line="360" w:lineRule="auto"/>
        <w:ind w:firstLine="480"/>
        <w:textAlignment w:val="baseline"/>
        <w:rPr>
          <w:color w:val="auto"/>
          <w:kern w:val="0"/>
          <w:szCs w:val="24"/>
        </w:rPr>
      </w:pPr>
      <w:r>
        <w:rPr>
          <w:rFonts w:hint="eastAsia"/>
          <w:color w:val="auto"/>
          <w:kern w:val="0"/>
          <w:szCs w:val="24"/>
          <w:lang w:eastAsia="zh-CN"/>
        </w:rPr>
        <w:t>拟建项目</w:t>
      </w:r>
      <w:r>
        <w:rPr>
          <w:color w:val="auto"/>
          <w:kern w:val="0"/>
          <w:szCs w:val="24"/>
        </w:rPr>
        <w:t>化验室</w:t>
      </w:r>
      <w:r>
        <w:rPr>
          <w:rFonts w:hint="eastAsia"/>
          <w:color w:val="auto"/>
          <w:kern w:val="0"/>
          <w:szCs w:val="24"/>
        </w:rPr>
        <w:t>第一时间对突发性环境污染事件进行环境应急监测，掌握第一手监测资料，并配合地方环境监测机构进行应急监测工作。根据监测结果，综合分析突发性环境污染事件污染变化趋势，并通过专家咨询和讨论的方式，预测并报告突发性环境污染事件的发展情况和污染物的变化情况，作为突发性环境污染事件应急决策的依据</w:t>
      </w:r>
      <w:r>
        <w:rPr>
          <w:color w:val="auto"/>
          <w:kern w:val="0"/>
          <w:szCs w:val="24"/>
        </w:rPr>
        <w:t>，同时</w:t>
      </w:r>
      <w:r>
        <w:rPr>
          <w:rFonts w:hint="eastAsia"/>
          <w:color w:val="auto"/>
          <w:kern w:val="0"/>
          <w:szCs w:val="24"/>
        </w:rPr>
        <w:t>，应立即联系</w:t>
      </w:r>
      <w:r>
        <w:rPr>
          <w:rFonts w:hint="eastAsia"/>
          <w:color w:val="auto"/>
          <w:kern w:val="0"/>
          <w:szCs w:val="24"/>
          <w:lang w:eastAsia="zh-CN"/>
        </w:rPr>
        <w:t>忠县</w:t>
      </w:r>
      <w:r>
        <w:rPr>
          <w:color w:val="auto"/>
          <w:kern w:val="0"/>
          <w:szCs w:val="24"/>
        </w:rPr>
        <w:t>环境</w:t>
      </w:r>
      <w:r>
        <w:rPr>
          <w:rFonts w:hint="eastAsia"/>
          <w:color w:val="auto"/>
          <w:kern w:val="0"/>
          <w:szCs w:val="24"/>
        </w:rPr>
        <w:t>监测部门</w:t>
      </w:r>
      <w:r>
        <w:rPr>
          <w:color w:val="auto"/>
          <w:kern w:val="0"/>
          <w:szCs w:val="24"/>
        </w:rPr>
        <w:t>，根据实际情况，迅速确定</w:t>
      </w:r>
      <w:r>
        <w:rPr>
          <w:rFonts w:hint="eastAsia"/>
          <w:color w:val="auto"/>
          <w:kern w:val="0"/>
          <w:szCs w:val="24"/>
        </w:rPr>
        <w:t>污染物</w:t>
      </w:r>
      <w:r>
        <w:rPr>
          <w:color w:val="auto"/>
          <w:kern w:val="0"/>
          <w:szCs w:val="24"/>
        </w:rPr>
        <w:t>监测方案（包括监测布点、频次、项目和方法等），及时开展应急监测工作</w:t>
      </w:r>
      <w:r>
        <w:rPr>
          <w:rFonts w:hint="eastAsia"/>
          <w:color w:val="auto"/>
          <w:kern w:val="0"/>
          <w:szCs w:val="24"/>
        </w:rPr>
        <w:t>。</w:t>
      </w:r>
    </w:p>
    <w:p w14:paraId="2CF2D0F0">
      <w:pPr>
        <w:autoSpaceDE w:val="0"/>
        <w:autoSpaceDN w:val="0"/>
        <w:spacing w:line="360" w:lineRule="auto"/>
        <w:ind w:firstLine="480"/>
        <w:textAlignment w:val="baseline"/>
        <w:rPr>
          <w:color w:val="auto"/>
          <w:kern w:val="0"/>
          <w:szCs w:val="24"/>
        </w:rPr>
      </w:pPr>
      <w:bookmarkStart w:id="291" w:name="_Toc40614110"/>
      <w:r>
        <w:rPr>
          <w:rFonts w:hint="eastAsia"/>
          <w:color w:val="auto"/>
          <w:kern w:val="0"/>
          <w:szCs w:val="24"/>
        </w:rPr>
        <w:t>4）</w:t>
      </w:r>
      <w:r>
        <w:rPr>
          <w:color w:val="auto"/>
          <w:kern w:val="0"/>
          <w:szCs w:val="24"/>
        </w:rPr>
        <w:t>应急</w:t>
      </w:r>
      <w:r>
        <w:rPr>
          <w:rFonts w:hint="eastAsia"/>
          <w:color w:val="auto"/>
          <w:kern w:val="0"/>
          <w:szCs w:val="24"/>
        </w:rPr>
        <w:t>终止</w:t>
      </w:r>
      <w:bookmarkEnd w:id="291"/>
      <w:r>
        <w:rPr>
          <w:color w:val="auto"/>
          <w:kern w:val="0"/>
          <w:szCs w:val="24"/>
        </w:rPr>
        <w:t xml:space="preserve"> </w:t>
      </w:r>
    </w:p>
    <w:p w14:paraId="20B47D1A">
      <w:pPr>
        <w:autoSpaceDE w:val="0"/>
        <w:autoSpaceDN w:val="0"/>
        <w:spacing w:line="360" w:lineRule="auto"/>
        <w:ind w:firstLine="480"/>
        <w:textAlignment w:val="baseline"/>
        <w:rPr>
          <w:color w:val="auto"/>
          <w:kern w:val="0"/>
          <w:szCs w:val="24"/>
        </w:rPr>
      </w:pPr>
      <w:r>
        <w:rPr>
          <w:color w:val="auto"/>
          <w:kern w:val="0"/>
          <w:szCs w:val="24"/>
        </w:rPr>
        <w:t>污染事故得到完全控制，污染危险已经消除</w:t>
      </w:r>
      <w:r>
        <w:rPr>
          <w:rFonts w:hint="eastAsia"/>
          <w:color w:val="auto"/>
          <w:kern w:val="0"/>
          <w:szCs w:val="24"/>
        </w:rPr>
        <w:t>，</w:t>
      </w:r>
      <w:r>
        <w:rPr>
          <w:color w:val="auto"/>
          <w:kern w:val="0"/>
          <w:szCs w:val="24"/>
        </w:rPr>
        <w:t>污染物的泄漏或释放，经监测符合相关规定</w:t>
      </w:r>
      <w:r>
        <w:rPr>
          <w:rFonts w:hint="eastAsia"/>
          <w:color w:val="auto"/>
          <w:kern w:val="0"/>
          <w:szCs w:val="24"/>
        </w:rPr>
        <w:t>，</w:t>
      </w:r>
      <w:r>
        <w:rPr>
          <w:color w:val="auto"/>
          <w:kern w:val="0"/>
          <w:szCs w:val="24"/>
        </w:rPr>
        <w:t>事故所造成的危害已被彻底消除</w:t>
      </w:r>
      <w:r>
        <w:rPr>
          <w:rFonts w:hint="eastAsia"/>
          <w:color w:val="auto"/>
          <w:kern w:val="0"/>
          <w:szCs w:val="24"/>
        </w:rPr>
        <w:t>，</w:t>
      </w:r>
      <w:r>
        <w:rPr>
          <w:color w:val="auto"/>
          <w:kern w:val="0"/>
          <w:szCs w:val="24"/>
        </w:rPr>
        <w:t>各</w:t>
      </w:r>
      <w:r>
        <w:rPr>
          <w:rFonts w:hint="eastAsia"/>
          <w:color w:val="auto"/>
          <w:kern w:val="0"/>
          <w:szCs w:val="24"/>
        </w:rPr>
        <w:t>处置</w:t>
      </w:r>
      <w:r>
        <w:rPr>
          <w:color w:val="auto"/>
          <w:kern w:val="0"/>
          <w:szCs w:val="24"/>
        </w:rPr>
        <w:t>队伍报告事故相关险情已处置完毕，现场指挥向各</w:t>
      </w:r>
      <w:r>
        <w:rPr>
          <w:rFonts w:hint="eastAsia"/>
          <w:color w:val="auto"/>
          <w:kern w:val="0"/>
          <w:szCs w:val="24"/>
        </w:rPr>
        <w:t>处置</w:t>
      </w:r>
      <w:r>
        <w:rPr>
          <w:color w:val="auto"/>
          <w:kern w:val="0"/>
          <w:szCs w:val="24"/>
        </w:rPr>
        <w:t>队伍下达应急终止命令，应急状态终止后，有关部门应根据指挥部指示及实际情况，继续进行环境监测、</w:t>
      </w:r>
      <w:r>
        <w:rPr>
          <w:rFonts w:hint="eastAsia"/>
          <w:color w:val="auto"/>
          <w:kern w:val="0"/>
          <w:szCs w:val="24"/>
        </w:rPr>
        <w:t>组织设施设备的抢修，尽快恢复正常生产。</w:t>
      </w:r>
    </w:p>
    <w:p w14:paraId="009C1A51">
      <w:pPr>
        <w:autoSpaceDE w:val="0"/>
        <w:autoSpaceDN w:val="0"/>
        <w:spacing w:line="360" w:lineRule="auto"/>
        <w:ind w:firstLine="480"/>
        <w:textAlignment w:val="baseline"/>
        <w:rPr>
          <w:color w:val="auto"/>
          <w:kern w:val="0"/>
          <w:szCs w:val="24"/>
        </w:rPr>
      </w:pPr>
      <w:r>
        <w:rPr>
          <w:color w:val="auto"/>
          <w:kern w:val="0"/>
          <w:szCs w:val="24"/>
        </w:rPr>
        <w:t>建设单位须按照《国家突发环境事件应急预案</w:t>
      </w:r>
      <w:r>
        <w:rPr>
          <w:rFonts w:hint="eastAsia"/>
          <w:color w:val="auto"/>
          <w:kern w:val="0"/>
          <w:szCs w:val="24"/>
          <w:lang w:eastAsia="zh-CN"/>
        </w:rPr>
        <w:t>》《</w:t>
      </w:r>
      <w:r>
        <w:rPr>
          <w:color w:val="auto"/>
          <w:kern w:val="0"/>
          <w:szCs w:val="24"/>
        </w:rPr>
        <w:t>重庆市突发事件应对条例</w:t>
      </w:r>
      <w:r>
        <w:rPr>
          <w:rFonts w:hint="eastAsia"/>
          <w:color w:val="auto"/>
          <w:kern w:val="0"/>
          <w:szCs w:val="24"/>
          <w:lang w:eastAsia="zh-CN"/>
        </w:rPr>
        <w:t>》《</w:t>
      </w:r>
      <w:r>
        <w:rPr>
          <w:color w:val="auto"/>
          <w:kern w:val="0"/>
          <w:szCs w:val="24"/>
        </w:rPr>
        <w:t>突发环境事件应急工作暂行办法</w:t>
      </w:r>
      <w:r>
        <w:rPr>
          <w:rFonts w:hint="eastAsia"/>
          <w:color w:val="auto"/>
          <w:kern w:val="0"/>
          <w:szCs w:val="24"/>
          <w:lang w:eastAsia="zh-CN"/>
        </w:rPr>
        <w:t>》《</w:t>
      </w:r>
      <w:r>
        <w:rPr>
          <w:color w:val="auto"/>
          <w:kern w:val="0"/>
          <w:szCs w:val="24"/>
        </w:rPr>
        <w:t>突发环境事件应急预案管理暂行办法</w:t>
      </w:r>
      <w:r>
        <w:rPr>
          <w:rFonts w:hint="eastAsia"/>
          <w:color w:val="auto"/>
          <w:kern w:val="0"/>
          <w:szCs w:val="24"/>
          <w:lang w:eastAsia="zh-CN"/>
        </w:rPr>
        <w:t>》《</w:t>
      </w:r>
      <w:r>
        <w:rPr>
          <w:color w:val="auto"/>
          <w:kern w:val="0"/>
          <w:szCs w:val="24"/>
        </w:rPr>
        <w:t>重庆市环境保护系统突发环境事件应急处理暂行办法》等有关要求，结合项目实际情况，编制环境风险应急预案，拟建项目应急预案的主要内容见表7.</w:t>
      </w:r>
      <w:r>
        <w:rPr>
          <w:rFonts w:hint="eastAsia"/>
          <w:color w:val="auto"/>
          <w:kern w:val="0"/>
          <w:szCs w:val="24"/>
        </w:rPr>
        <w:t>8</w:t>
      </w:r>
      <w:r>
        <w:rPr>
          <w:color w:val="auto"/>
          <w:kern w:val="0"/>
          <w:szCs w:val="24"/>
        </w:rPr>
        <w:t>-1。</w:t>
      </w:r>
    </w:p>
    <w:p w14:paraId="7BDD9142">
      <w:pPr>
        <w:spacing w:line="360" w:lineRule="auto"/>
        <w:ind w:firstLine="0" w:firstLineChars="0"/>
        <w:jc w:val="center"/>
        <w:rPr>
          <w:b/>
          <w:snapToGrid w:val="0"/>
          <w:color w:val="auto"/>
          <w:kern w:val="0"/>
          <w:szCs w:val="24"/>
        </w:rPr>
      </w:pPr>
      <w:r>
        <w:rPr>
          <w:b/>
          <w:snapToGrid w:val="0"/>
          <w:color w:val="auto"/>
          <w:kern w:val="0"/>
          <w:szCs w:val="24"/>
        </w:rPr>
        <w:t>表 7.7-1  项目应急预案内容</w:t>
      </w:r>
    </w:p>
    <w:tbl>
      <w:tblPr>
        <w:tblStyle w:val="88"/>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6"/>
        <w:gridCol w:w="1918"/>
        <w:gridCol w:w="6403"/>
      </w:tblGrid>
      <w:tr w14:paraId="25F73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381" w:type="pct"/>
            <w:vAlign w:val="center"/>
          </w:tcPr>
          <w:p w14:paraId="503923EB">
            <w:pPr>
              <w:pStyle w:val="3340"/>
              <w:rPr>
                <w:rFonts w:eastAsiaTheme="minorEastAsia"/>
                <w:color w:val="auto"/>
              </w:rPr>
            </w:pPr>
            <w:r>
              <w:rPr>
                <w:rFonts w:hint="eastAsia" w:eastAsiaTheme="minorEastAsia"/>
                <w:color w:val="auto"/>
              </w:rPr>
              <w:t>序号</w:t>
            </w:r>
          </w:p>
        </w:tc>
        <w:tc>
          <w:tcPr>
            <w:tcW w:w="1065" w:type="pct"/>
            <w:vAlign w:val="center"/>
          </w:tcPr>
          <w:p w14:paraId="721AE15A">
            <w:pPr>
              <w:pStyle w:val="3340"/>
              <w:rPr>
                <w:rFonts w:eastAsiaTheme="minorEastAsia"/>
                <w:color w:val="auto"/>
              </w:rPr>
            </w:pPr>
            <w:r>
              <w:rPr>
                <w:rFonts w:hint="eastAsia" w:eastAsiaTheme="minorEastAsia"/>
                <w:color w:val="auto"/>
              </w:rPr>
              <w:t>项目</w:t>
            </w:r>
          </w:p>
        </w:tc>
        <w:tc>
          <w:tcPr>
            <w:tcW w:w="3554" w:type="pct"/>
            <w:vAlign w:val="center"/>
          </w:tcPr>
          <w:p w14:paraId="50637FAB">
            <w:pPr>
              <w:pStyle w:val="3340"/>
              <w:rPr>
                <w:rFonts w:eastAsiaTheme="minorEastAsia"/>
                <w:color w:val="auto"/>
              </w:rPr>
            </w:pPr>
            <w:r>
              <w:rPr>
                <w:rFonts w:hint="eastAsia" w:eastAsiaTheme="minorEastAsia"/>
                <w:color w:val="auto"/>
              </w:rPr>
              <w:t>内容及要求</w:t>
            </w:r>
          </w:p>
        </w:tc>
      </w:tr>
      <w:tr w14:paraId="227D8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1" w:type="pct"/>
            <w:vAlign w:val="center"/>
          </w:tcPr>
          <w:p w14:paraId="56C88A6F">
            <w:pPr>
              <w:pStyle w:val="3340"/>
              <w:rPr>
                <w:rFonts w:eastAsiaTheme="minorEastAsia"/>
                <w:color w:val="auto"/>
              </w:rPr>
            </w:pPr>
            <w:r>
              <w:rPr>
                <w:rFonts w:hint="eastAsia" w:eastAsiaTheme="minorEastAsia"/>
                <w:color w:val="auto"/>
              </w:rPr>
              <w:t>1</w:t>
            </w:r>
          </w:p>
        </w:tc>
        <w:tc>
          <w:tcPr>
            <w:tcW w:w="1065" w:type="pct"/>
            <w:vAlign w:val="center"/>
          </w:tcPr>
          <w:p w14:paraId="3D02EA92">
            <w:pPr>
              <w:pStyle w:val="3340"/>
              <w:rPr>
                <w:rFonts w:eastAsiaTheme="minorEastAsia"/>
                <w:color w:val="auto"/>
              </w:rPr>
            </w:pPr>
            <w:r>
              <w:rPr>
                <w:rFonts w:hint="eastAsia" w:eastAsiaTheme="minorEastAsia"/>
                <w:color w:val="auto"/>
              </w:rPr>
              <w:t>应急计划区</w:t>
            </w:r>
          </w:p>
        </w:tc>
        <w:tc>
          <w:tcPr>
            <w:tcW w:w="3554" w:type="pct"/>
            <w:vAlign w:val="center"/>
          </w:tcPr>
          <w:p w14:paraId="2EB4F218">
            <w:pPr>
              <w:pStyle w:val="3340"/>
              <w:jc w:val="left"/>
              <w:rPr>
                <w:rFonts w:eastAsiaTheme="minorEastAsia"/>
                <w:color w:val="auto"/>
              </w:rPr>
            </w:pPr>
            <w:r>
              <w:rPr>
                <w:rFonts w:hint="eastAsia" w:eastAsiaTheme="minorEastAsia"/>
                <w:color w:val="auto"/>
              </w:rPr>
              <w:t>加药间、危废贮存库、</w:t>
            </w:r>
            <w:r>
              <w:rPr>
                <w:rFonts w:hint="eastAsia" w:hAnsi="Times New Roman"/>
                <w:color w:val="auto"/>
              </w:rPr>
              <w:t>污水处理设施区</w:t>
            </w:r>
          </w:p>
        </w:tc>
      </w:tr>
      <w:tr w14:paraId="07BA4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1" w:type="pct"/>
            <w:vAlign w:val="center"/>
          </w:tcPr>
          <w:p w14:paraId="4B4F95CD">
            <w:pPr>
              <w:pStyle w:val="3340"/>
              <w:rPr>
                <w:rFonts w:eastAsiaTheme="minorEastAsia"/>
                <w:color w:val="auto"/>
              </w:rPr>
            </w:pPr>
            <w:r>
              <w:rPr>
                <w:rFonts w:hint="eastAsia" w:eastAsiaTheme="minorEastAsia"/>
                <w:color w:val="auto"/>
              </w:rPr>
              <w:t>2</w:t>
            </w:r>
          </w:p>
        </w:tc>
        <w:tc>
          <w:tcPr>
            <w:tcW w:w="1065" w:type="pct"/>
            <w:vAlign w:val="center"/>
          </w:tcPr>
          <w:p w14:paraId="1F043DDA">
            <w:pPr>
              <w:pStyle w:val="3340"/>
              <w:rPr>
                <w:rFonts w:eastAsiaTheme="minorEastAsia"/>
                <w:color w:val="auto"/>
              </w:rPr>
            </w:pPr>
            <w:r>
              <w:rPr>
                <w:rFonts w:hint="eastAsia" w:eastAsiaTheme="minorEastAsia"/>
                <w:color w:val="auto"/>
              </w:rPr>
              <w:t>危险源概况</w:t>
            </w:r>
          </w:p>
        </w:tc>
        <w:tc>
          <w:tcPr>
            <w:tcW w:w="3554" w:type="pct"/>
            <w:vAlign w:val="center"/>
          </w:tcPr>
          <w:p w14:paraId="05649E4A">
            <w:pPr>
              <w:pStyle w:val="3340"/>
              <w:jc w:val="left"/>
              <w:rPr>
                <w:rFonts w:eastAsiaTheme="minorEastAsia"/>
                <w:color w:val="auto"/>
              </w:rPr>
            </w:pPr>
            <w:r>
              <w:rPr>
                <w:rFonts w:hint="eastAsia" w:eastAsiaTheme="minorEastAsia"/>
                <w:color w:val="auto"/>
              </w:rPr>
              <w:t>主要阐述企业基本概况、环境风险源基本情况、周边环境情况及环境保护目标调查结果。</w:t>
            </w:r>
          </w:p>
        </w:tc>
      </w:tr>
      <w:tr w14:paraId="33618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1" w:type="pct"/>
            <w:vAlign w:val="center"/>
          </w:tcPr>
          <w:p w14:paraId="0529FB8F">
            <w:pPr>
              <w:pStyle w:val="3340"/>
              <w:rPr>
                <w:rFonts w:eastAsiaTheme="minorEastAsia"/>
                <w:color w:val="auto"/>
              </w:rPr>
            </w:pPr>
            <w:r>
              <w:rPr>
                <w:rFonts w:hint="eastAsia" w:eastAsiaTheme="minorEastAsia"/>
                <w:color w:val="auto"/>
              </w:rPr>
              <w:t>3</w:t>
            </w:r>
          </w:p>
        </w:tc>
        <w:tc>
          <w:tcPr>
            <w:tcW w:w="1065" w:type="pct"/>
            <w:vAlign w:val="center"/>
          </w:tcPr>
          <w:p w14:paraId="4A09C49F">
            <w:pPr>
              <w:pStyle w:val="2118"/>
              <w:kinsoku w:val="0"/>
              <w:overflowPunct w:val="0"/>
              <w:jc w:val="both"/>
              <w:rPr>
                <w:color w:val="auto"/>
                <w:sz w:val="21"/>
                <w:szCs w:val="21"/>
              </w:rPr>
            </w:pPr>
            <w:r>
              <w:rPr>
                <w:rFonts w:hint="eastAsia"/>
                <w:color w:val="auto"/>
                <w:sz w:val="21"/>
                <w:szCs w:val="21"/>
              </w:rPr>
              <w:t>环境风险源及环境风险评价</w:t>
            </w:r>
          </w:p>
        </w:tc>
        <w:tc>
          <w:tcPr>
            <w:tcW w:w="3554" w:type="pct"/>
            <w:vAlign w:val="center"/>
          </w:tcPr>
          <w:p w14:paraId="6189604F">
            <w:pPr>
              <w:pStyle w:val="2118"/>
              <w:kinsoku w:val="0"/>
              <w:overflowPunct w:val="0"/>
              <w:rPr>
                <w:color w:val="auto"/>
                <w:sz w:val="21"/>
                <w:szCs w:val="21"/>
              </w:rPr>
            </w:pPr>
            <w:r>
              <w:rPr>
                <w:rFonts w:hint="eastAsia"/>
                <w:color w:val="auto"/>
                <w:sz w:val="21"/>
                <w:szCs w:val="21"/>
              </w:rPr>
              <w:t>主要阐述企业的环境风险源识别及环境风险评价结果，以及可能发生事件的后果和波及范围。</w:t>
            </w:r>
          </w:p>
        </w:tc>
      </w:tr>
      <w:tr w14:paraId="7A054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1" w:type="pct"/>
            <w:vAlign w:val="center"/>
          </w:tcPr>
          <w:p w14:paraId="3D6AA45C">
            <w:pPr>
              <w:pStyle w:val="3340"/>
              <w:rPr>
                <w:rFonts w:eastAsiaTheme="minorEastAsia"/>
                <w:color w:val="auto"/>
              </w:rPr>
            </w:pPr>
            <w:r>
              <w:rPr>
                <w:rFonts w:hint="eastAsia" w:eastAsiaTheme="minorEastAsia"/>
                <w:color w:val="auto"/>
              </w:rPr>
              <w:t>4</w:t>
            </w:r>
          </w:p>
        </w:tc>
        <w:tc>
          <w:tcPr>
            <w:tcW w:w="1065" w:type="pct"/>
            <w:vAlign w:val="center"/>
          </w:tcPr>
          <w:p w14:paraId="03358793">
            <w:pPr>
              <w:pStyle w:val="3340"/>
              <w:rPr>
                <w:rFonts w:eastAsiaTheme="minorEastAsia"/>
                <w:color w:val="auto"/>
              </w:rPr>
            </w:pPr>
            <w:r>
              <w:rPr>
                <w:rFonts w:hint="eastAsia" w:eastAsiaTheme="minorEastAsia"/>
                <w:color w:val="auto"/>
              </w:rPr>
              <w:t>组织机构及职责</w:t>
            </w:r>
          </w:p>
        </w:tc>
        <w:tc>
          <w:tcPr>
            <w:tcW w:w="3554" w:type="pct"/>
            <w:vAlign w:val="center"/>
          </w:tcPr>
          <w:p w14:paraId="255FEBE1">
            <w:pPr>
              <w:pStyle w:val="2118"/>
              <w:kinsoku w:val="0"/>
              <w:overflowPunct w:val="0"/>
              <w:rPr>
                <w:color w:val="auto"/>
                <w:sz w:val="21"/>
                <w:szCs w:val="21"/>
              </w:rPr>
            </w:pPr>
            <w:r>
              <w:rPr>
                <w:rFonts w:hint="eastAsia"/>
                <w:color w:val="auto"/>
                <w:sz w:val="21"/>
                <w:szCs w:val="21"/>
              </w:rPr>
              <w:t>依据企业的规模大小和突发环境事件危害程度的级别，设置分级应急救援的组织机构，</w:t>
            </w:r>
            <w:r>
              <w:rPr>
                <w:rFonts w:hint="eastAsia" w:hAnsi="宋体"/>
                <w:color w:val="auto"/>
                <w:sz w:val="21"/>
                <w:szCs w:val="21"/>
              </w:rPr>
              <w:t>由厂长及污水厂工作人员组成。</w:t>
            </w:r>
            <w:r>
              <w:rPr>
                <w:rFonts w:hint="eastAsia"/>
                <w:color w:val="auto"/>
                <w:sz w:val="21"/>
                <w:szCs w:val="21"/>
              </w:rPr>
              <w:t>企业应成立应急救援指挥部，依据企业自身情况，废水处理厂房可成立二级应急救援指挥机构，废水处理工段可成立三级应急救援指挥机构</w:t>
            </w:r>
          </w:p>
        </w:tc>
      </w:tr>
      <w:tr w14:paraId="14BCD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1" w:type="pct"/>
            <w:vAlign w:val="center"/>
          </w:tcPr>
          <w:p w14:paraId="3EB27A52">
            <w:pPr>
              <w:pStyle w:val="3340"/>
              <w:rPr>
                <w:rFonts w:eastAsiaTheme="minorEastAsia"/>
                <w:color w:val="auto"/>
              </w:rPr>
            </w:pPr>
            <w:r>
              <w:rPr>
                <w:rFonts w:hint="eastAsia" w:eastAsiaTheme="minorEastAsia"/>
                <w:color w:val="auto"/>
              </w:rPr>
              <w:t>5</w:t>
            </w:r>
          </w:p>
        </w:tc>
        <w:tc>
          <w:tcPr>
            <w:tcW w:w="1065" w:type="pct"/>
            <w:vAlign w:val="center"/>
          </w:tcPr>
          <w:p w14:paraId="70F9669C">
            <w:pPr>
              <w:pStyle w:val="3340"/>
              <w:rPr>
                <w:rFonts w:eastAsiaTheme="minorEastAsia"/>
                <w:color w:val="auto"/>
              </w:rPr>
            </w:pPr>
            <w:r>
              <w:rPr>
                <w:rFonts w:hint="eastAsia" w:eastAsiaTheme="minorEastAsia"/>
                <w:color w:val="auto"/>
              </w:rPr>
              <w:t>预防与预警</w:t>
            </w:r>
          </w:p>
        </w:tc>
        <w:tc>
          <w:tcPr>
            <w:tcW w:w="3554" w:type="pct"/>
            <w:vAlign w:val="center"/>
          </w:tcPr>
          <w:p w14:paraId="334744B1">
            <w:pPr>
              <w:pStyle w:val="3340"/>
              <w:jc w:val="left"/>
              <w:rPr>
                <w:rFonts w:eastAsiaTheme="minorEastAsia"/>
                <w:color w:val="auto"/>
              </w:rPr>
            </w:pPr>
            <w:r>
              <w:rPr>
                <w:rFonts w:hint="eastAsia" w:eastAsiaTheme="minorEastAsia"/>
                <w:color w:val="auto"/>
              </w:rPr>
              <w:t>1.环境风险源监控；2.预警行动；3.报警、通讯联络方式。</w:t>
            </w:r>
          </w:p>
        </w:tc>
      </w:tr>
      <w:tr w14:paraId="3B7C7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1" w:type="pct"/>
            <w:vAlign w:val="center"/>
          </w:tcPr>
          <w:p w14:paraId="109D3F08">
            <w:pPr>
              <w:pStyle w:val="3340"/>
              <w:rPr>
                <w:rFonts w:eastAsiaTheme="minorEastAsia"/>
                <w:color w:val="auto"/>
              </w:rPr>
            </w:pPr>
            <w:r>
              <w:rPr>
                <w:rFonts w:hint="eastAsia" w:eastAsiaTheme="minorEastAsia"/>
                <w:color w:val="auto"/>
              </w:rPr>
              <w:t>6</w:t>
            </w:r>
          </w:p>
        </w:tc>
        <w:tc>
          <w:tcPr>
            <w:tcW w:w="1065" w:type="pct"/>
            <w:vAlign w:val="center"/>
          </w:tcPr>
          <w:p w14:paraId="777D6565">
            <w:pPr>
              <w:pStyle w:val="3340"/>
              <w:rPr>
                <w:rFonts w:eastAsiaTheme="minorEastAsia"/>
                <w:color w:val="auto"/>
              </w:rPr>
            </w:pPr>
            <w:r>
              <w:rPr>
                <w:rFonts w:hint="eastAsia" w:eastAsiaTheme="minorEastAsia"/>
                <w:color w:val="auto"/>
              </w:rPr>
              <w:t>信息报告与通报</w:t>
            </w:r>
          </w:p>
        </w:tc>
        <w:tc>
          <w:tcPr>
            <w:tcW w:w="3554" w:type="pct"/>
            <w:vAlign w:val="center"/>
          </w:tcPr>
          <w:p w14:paraId="5D69284D">
            <w:pPr>
              <w:pStyle w:val="3340"/>
              <w:jc w:val="left"/>
              <w:rPr>
                <w:rFonts w:eastAsiaTheme="minorEastAsia"/>
                <w:color w:val="auto"/>
              </w:rPr>
            </w:pPr>
            <w:r>
              <w:rPr>
                <w:rFonts w:hint="eastAsia" w:eastAsiaTheme="minorEastAsia"/>
                <w:color w:val="auto"/>
              </w:rPr>
              <w:t>1.报告；2.信息上报；3.信息通报；4.事件报告内容；5.以表格形式列出上述被报告及相关部门、单位的联系方式</w:t>
            </w:r>
          </w:p>
        </w:tc>
      </w:tr>
      <w:tr w14:paraId="2EB86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1" w:type="pct"/>
            <w:vAlign w:val="center"/>
          </w:tcPr>
          <w:p w14:paraId="307C7B69">
            <w:pPr>
              <w:pStyle w:val="3340"/>
              <w:rPr>
                <w:rFonts w:eastAsiaTheme="minorEastAsia"/>
                <w:color w:val="auto"/>
              </w:rPr>
            </w:pPr>
            <w:r>
              <w:rPr>
                <w:rFonts w:hint="eastAsia" w:eastAsiaTheme="minorEastAsia"/>
                <w:color w:val="auto"/>
              </w:rPr>
              <w:t>7</w:t>
            </w:r>
          </w:p>
        </w:tc>
        <w:tc>
          <w:tcPr>
            <w:tcW w:w="1065" w:type="pct"/>
            <w:vAlign w:val="center"/>
          </w:tcPr>
          <w:p w14:paraId="5F2CACC9">
            <w:pPr>
              <w:pStyle w:val="3340"/>
              <w:rPr>
                <w:rFonts w:eastAsiaTheme="minorEastAsia"/>
                <w:color w:val="auto"/>
              </w:rPr>
            </w:pPr>
            <w:r>
              <w:rPr>
                <w:rFonts w:hint="eastAsia" w:eastAsiaTheme="minorEastAsia"/>
                <w:color w:val="auto"/>
              </w:rPr>
              <w:t>应急响应与措施</w:t>
            </w:r>
          </w:p>
        </w:tc>
        <w:tc>
          <w:tcPr>
            <w:tcW w:w="3554" w:type="pct"/>
            <w:vAlign w:val="center"/>
          </w:tcPr>
          <w:p w14:paraId="62C0418F">
            <w:pPr>
              <w:pStyle w:val="3340"/>
              <w:jc w:val="left"/>
              <w:rPr>
                <w:rFonts w:eastAsiaTheme="minorEastAsia"/>
                <w:color w:val="auto"/>
              </w:rPr>
            </w:pPr>
            <w:r>
              <w:rPr>
                <w:rFonts w:hint="eastAsia" w:eastAsiaTheme="minorEastAsia"/>
                <w:color w:val="auto"/>
              </w:rPr>
              <w:t>1.分级响应机制；2.应急措施；3.应急监测；4.应急终止；5 应急终止后的行动。</w:t>
            </w:r>
          </w:p>
        </w:tc>
      </w:tr>
      <w:tr w14:paraId="676F4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1" w:type="pct"/>
            <w:vAlign w:val="center"/>
          </w:tcPr>
          <w:p w14:paraId="43380C1D">
            <w:pPr>
              <w:pStyle w:val="3340"/>
              <w:rPr>
                <w:rFonts w:eastAsiaTheme="minorEastAsia"/>
                <w:color w:val="auto"/>
              </w:rPr>
            </w:pPr>
            <w:r>
              <w:rPr>
                <w:rFonts w:hint="eastAsia" w:eastAsiaTheme="minorEastAsia"/>
                <w:color w:val="auto"/>
              </w:rPr>
              <w:t>8</w:t>
            </w:r>
          </w:p>
        </w:tc>
        <w:tc>
          <w:tcPr>
            <w:tcW w:w="1065" w:type="pct"/>
            <w:vAlign w:val="center"/>
          </w:tcPr>
          <w:p w14:paraId="097A700A">
            <w:pPr>
              <w:pStyle w:val="3340"/>
              <w:rPr>
                <w:rFonts w:eastAsiaTheme="minorEastAsia"/>
                <w:color w:val="auto"/>
              </w:rPr>
            </w:pPr>
            <w:r>
              <w:rPr>
                <w:rFonts w:hint="eastAsia" w:eastAsiaTheme="minorEastAsia"/>
                <w:color w:val="auto"/>
              </w:rPr>
              <w:t>后期处置</w:t>
            </w:r>
          </w:p>
        </w:tc>
        <w:tc>
          <w:tcPr>
            <w:tcW w:w="3554" w:type="pct"/>
            <w:vAlign w:val="center"/>
          </w:tcPr>
          <w:p w14:paraId="5D05DF9D">
            <w:pPr>
              <w:pStyle w:val="3340"/>
              <w:jc w:val="left"/>
              <w:rPr>
                <w:rFonts w:eastAsiaTheme="minorEastAsia"/>
                <w:color w:val="auto"/>
              </w:rPr>
            </w:pPr>
            <w:r>
              <w:rPr>
                <w:rFonts w:hint="eastAsia" w:eastAsiaTheme="minorEastAsia"/>
                <w:color w:val="auto"/>
              </w:rPr>
              <w:t>善后处置受灾人员的安置及损失赔偿。组织专家对突发环境事件中长期环境影响进行评估，提出生态补偿和对遭受污染的生态环境进行恢复的建议。保险明确企业办理的相关责任险或其他险种。对企业环境应急人员办理意外伤害保险。</w:t>
            </w:r>
          </w:p>
        </w:tc>
      </w:tr>
      <w:tr w14:paraId="72E60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1" w:type="pct"/>
            <w:vAlign w:val="center"/>
          </w:tcPr>
          <w:p w14:paraId="6F2CE466">
            <w:pPr>
              <w:pStyle w:val="3340"/>
              <w:rPr>
                <w:rFonts w:eastAsiaTheme="minorEastAsia"/>
                <w:color w:val="auto"/>
              </w:rPr>
            </w:pPr>
            <w:r>
              <w:rPr>
                <w:rFonts w:hint="eastAsia" w:eastAsiaTheme="minorEastAsia"/>
                <w:color w:val="auto"/>
              </w:rPr>
              <w:t>9</w:t>
            </w:r>
          </w:p>
        </w:tc>
        <w:tc>
          <w:tcPr>
            <w:tcW w:w="1065" w:type="pct"/>
            <w:vAlign w:val="center"/>
          </w:tcPr>
          <w:p w14:paraId="32660F07">
            <w:pPr>
              <w:pStyle w:val="3340"/>
              <w:rPr>
                <w:rFonts w:eastAsiaTheme="minorEastAsia"/>
                <w:color w:val="auto"/>
              </w:rPr>
            </w:pPr>
            <w:r>
              <w:rPr>
                <w:rFonts w:hint="eastAsia" w:eastAsiaTheme="minorEastAsia"/>
                <w:color w:val="auto"/>
              </w:rPr>
              <w:t>应急培训和演练</w:t>
            </w:r>
          </w:p>
        </w:tc>
        <w:tc>
          <w:tcPr>
            <w:tcW w:w="3554" w:type="pct"/>
            <w:vAlign w:val="center"/>
          </w:tcPr>
          <w:p w14:paraId="2045DAE9">
            <w:pPr>
              <w:pStyle w:val="3340"/>
              <w:jc w:val="left"/>
              <w:rPr>
                <w:rFonts w:eastAsiaTheme="minorEastAsia"/>
                <w:color w:val="auto"/>
              </w:rPr>
            </w:pPr>
            <w:r>
              <w:rPr>
                <w:rFonts w:hint="eastAsia" w:eastAsiaTheme="minorEastAsia"/>
                <w:color w:val="auto"/>
              </w:rPr>
              <w:t>应急计划制定后，平时安排人员培训与演练。对工厂邻近地区展开公众教育、培训和发布有关消息。</w:t>
            </w:r>
          </w:p>
        </w:tc>
      </w:tr>
      <w:tr w14:paraId="32E7D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1" w:type="pct"/>
            <w:vAlign w:val="center"/>
          </w:tcPr>
          <w:p w14:paraId="7454C64A">
            <w:pPr>
              <w:pStyle w:val="3340"/>
              <w:rPr>
                <w:rFonts w:eastAsiaTheme="minorEastAsia"/>
                <w:color w:val="auto"/>
              </w:rPr>
            </w:pPr>
            <w:r>
              <w:rPr>
                <w:rFonts w:hint="eastAsia" w:eastAsiaTheme="minorEastAsia"/>
                <w:color w:val="auto"/>
              </w:rPr>
              <w:t>10</w:t>
            </w:r>
          </w:p>
        </w:tc>
        <w:tc>
          <w:tcPr>
            <w:tcW w:w="1065" w:type="pct"/>
            <w:vAlign w:val="center"/>
          </w:tcPr>
          <w:p w14:paraId="2CEA66B6">
            <w:pPr>
              <w:pStyle w:val="3340"/>
              <w:rPr>
                <w:rFonts w:eastAsiaTheme="minorEastAsia"/>
                <w:color w:val="auto"/>
              </w:rPr>
            </w:pPr>
            <w:r>
              <w:rPr>
                <w:rFonts w:hint="eastAsia" w:eastAsiaTheme="minorEastAsia"/>
                <w:color w:val="auto"/>
              </w:rPr>
              <w:t>奖惩</w:t>
            </w:r>
          </w:p>
        </w:tc>
        <w:tc>
          <w:tcPr>
            <w:tcW w:w="3554" w:type="pct"/>
            <w:vAlign w:val="center"/>
          </w:tcPr>
          <w:p w14:paraId="23BFD78A">
            <w:pPr>
              <w:pStyle w:val="3340"/>
              <w:jc w:val="left"/>
              <w:rPr>
                <w:rFonts w:eastAsiaTheme="minorEastAsia"/>
                <w:color w:val="auto"/>
              </w:rPr>
            </w:pPr>
            <w:r>
              <w:rPr>
                <w:rFonts w:hint="eastAsia" w:eastAsiaTheme="minorEastAsia"/>
                <w:color w:val="auto"/>
              </w:rPr>
              <w:t>明确突发环境事件应急救援工作中奖励和处罚的条件和内容。</w:t>
            </w:r>
          </w:p>
        </w:tc>
      </w:tr>
      <w:tr w14:paraId="31DFF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1" w:type="pct"/>
            <w:vAlign w:val="center"/>
          </w:tcPr>
          <w:p w14:paraId="17F67290">
            <w:pPr>
              <w:pStyle w:val="3340"/>
              <w:rPr>
                <w:rFonts w:eastAsiaTheme="minorEastAsia"/>
                <w:color w:val="auto"/>
              </w:rPr>
            </w:pPr>
            <w:r>
              <w:rPr>
                <w:rFonts w:hint="eastAsia" w:eastAsiaTheme="minorEastAsia"/>
                <w:color w:val="auto"/>
              </w:rPr>
              <w:t>11</w:t>
            </w:r>
          </w:p>
        </w:tc>
        <w:tc>
          <w:tcPr>
            <w:tcW w:w="1065" w:type="pct"/>
            <w:vAlign w:val="center"/>
          </w:tcPr>
          <w:p w14:paraId="703C7379">
            <w:pPr>
              <w:pStyle w:val="3340"/>
              <w:rPr>
                <w:rFonts w:eastAsiaTheme="minorEastAsia"/>
                <w:color w:val="auto"/>
              </w:rPr>
            </w:pPr>
            <w:r>
              <w:rPr>
                <w:rFonts w:hint="eastAsia" w:eastAsiaTheme="minorEastAsia"/>
                <w:color w:val="auto"/>
              </w:rPr>
              <w:t>保障措施</w:t>
            </w:r>
          </w:p>
        </w:tc>
        <w:tc>
          <w:tcPr>
            <w:tcW w:w="3554" w:type="pct"/>
            <w:vAlign w:val="center"/>
          </w:tcPr>
          <w:p w14:paraId="4D779AA6">
            <w:pPr>
              <w:pStyle w:val="3340"/>
              <w:jc w:val="left"/>
              <w:rPr>
                <w:rFonts w:eastAsiaTheme="minorEastAsia"/>
                <w:color w:val="auto"/>
              </w:rPr>
            </w:pPr>
            <w:r>
              <w:rPr>
                <w:rFonts w:hint="eastAsia" w:eastAsiaTheme="minorEastAsia"/>
                <w:color w:val="auto"/>
              </w:rPr>
              <w:t>1.经费及其他保障；2.应急物资装备保障；3.应急队伍保障；4.通信与信息保障。</w:t>
            </w:r>
          </w:p>
        </w:tc>
      </w:tr>
      <w:tr w14:paraId="57332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1" w:type="pct"/>
            <w:vAlign w:val="center"/>
          </w:tcPr>
          <w:p w14:paraId="45D07F34">
            <w:pPr>
              <w:pStyle w:val="3340"/>
              <w:rPr>
                <w:rFonts w:eastAsiaTheme="minorEastAsia"/>
                <w:color w:val="auto"/>
              </w:rPr>
            </w:pPr>
            <w:r>
              <w:rPr>
                <w:rFonts w:hint="eastAsia" w:eastAsiaTheme="minorEastAsia"/>
                <w:color w:val="auto"/>
              </w:rPr>
              <w:t>12</w:t>
            </w:r>
          </w:p>
        </w:tc>
        <w:tc>
          <w:tcPr>
            <w:tcW w:w="1065" w:type="pct"/>
            <w:vAlign w:val="center"/>
          </w:tcPr>
          <w:p w14:paraId="52575A5F">
            <w:pPr>
              <w:pStyle w:val="3340"/>
              <w:rPr>
                <w:rFonts w:eastAsiaTheme="minorEastAsia"/>
                <w:color w:val="auto"/>
              </w:rPr>
            </w:pPr>
            <w:r>
              <w:rPr>
                <w:rFonts w:hint="eastAsia" w:eastAsiaTheme="minorEastAsia"/>
                <w:color w:val="auto"/>
              </w:rPr>
              <w:t>预案的评审、备案、发布和更新</w:t>
            </w:r>
          </w:p>
        </w:tc>
        <w:tc>
          <w:tcPr>
            <w:tcW w:w="3554" w:type="pct"/>
            <w:vAlign w:val="center"/>
          </w:tcPr>
          <w:p w14:paraId="7A7CAEB2">
            <w:pPr>
              <w:pStyle w:val="3340"/>
              <w:jc w:val="left"/>
              <w:rPr>
                <w:rFonts w:eastAsiaTheme="minorEastAsia"/>
                <w:color w:val="auto"/>
              </w:rPr>
            </w:pPr>
            <w:r>
              <w:rPr>
                <w:rFonts w:hint="eastAsia" w:eastAsiaTheme="minorEastAsia"/>
                <w:color w:val="auto"/>
              </w:rPr>
              <w:t>应明确预案评审、备案、发布和更新要求。 1.内部评审；2.外部评审；3.备案的时间及部门；4.发布的时间、抄送的部门、园区、企业等；5.更新计划与及时备案。</w:t>
            </w:r>
          </w:p>
        </w:tc>
      </w:tr>
      <w:tr w14:paraId="4B8AB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1" w:type="pct"/>
            <w:vAlign w:val="center"/>
          </w:tcPr>
          <w:p w14:paraId="2BD88C2D">
            <w:pPr>
              <w:pStyle w:val="3340"/>
              <w:rPr>
                <w:rFonts w:eastAsiaTheme="minorEastAsia"/>
                <w:color w:val="auto"/>
              </w:rPr>
            </w:pPr>
            <w:r>
              <w:rPr>
                <w:rFonts w:hint="eastAsia" w:eastAsiaTheme="minorEastAsia"/>
                <w:color w:val="auto"/>
              </w:rPr>
              <w:t>13</w:t>
            </w:r>
          </w:p>
        </w:tc>
        <w:tc>
          <w:tcPr>
            <w:tcW w:w="1065" w:type="pct"/>
            <w:vAlign w:val="center"/>
          </w:tcPr>
          <w:p w14:paraId="7C596BC1">
            <w:pPr>
              <w:pStyle w:val="3340"/>
              <w:rPr>
                <w:rFonts w:eastAsiaTheme="minorEastAsia"/>
                <w:color w:val="auto"/>
              </w:rPr>
            </w:pPr>
            <w:r>
              <w:rPr>
                <w:rFonts w:hint="eastAsia" w:eastAsiaTheme="minorEastAsia"/>
                <w:color w:val="auto"/>
              </w:rPr>
              <w:t>预案的实施和生效时间</w:t>
            </w:r>
          </w:p>
        </w:tc>
        <w:tc>
          <w:tcPr>
            <w:tcW w:w="3554" w:type="pct"/>
            <w:vAlign w:val="center"/>
          </w:tcPr>
          <w:p w14:paraId="4AD165DF">
            <w:pPr>
              <w:pStyle w:val="3340"/>
              <w:jc w:val="left"/>
              <w:rPr>
                <w:rFonts w:eastAsiaTheme="minorEastAsia"/>
                <w:color w:val="auto"/>
              </w:rPr>
            </w:pPr>
            <w:r>
              <w:rPr>
                <w:rFonts w:hint="eastAsia" w:eastAsiaTheme="minorEastAsia"/>
                <w:color w:val="auto"/>
              </w:rPr>
              <w:t>明确突发环境事件应急救援工作中奖励和处罚的条件和内容。</w:t>
            </w:r>
          </w:p>
        </w:tc>
      </w:tr>
      <w:tr w14:paraId="3A513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1" w:type="pct"/>
            <w:vAlign w:val="center"/>
          </w:tcPr>
          <w:p w14:paraId="6BCC085A">
            <w:pPr>
              <w:pStyle w:val="3340"/>
              <w:rPr>
                <w:rFonts w:eastAsiaTheme="minorEastAsia"/>
                <w:color w:val="auto"/>
              </w:rPr>
            </w:pPr>
            <w:r>
              <w:rPr>
                <w:rFonts w:hint="eastAsia" w:eastAsiaTheme="minorEastAsia"/>
                <w:color w:val="auto"/>
              </w:rPr>
              <w:t>14</w:t>
            </w:r>
          </w:p>
        </w:tc>
        <w:tc>
          <w:tcPr>
            <w:tcW w:w="1065" w:type="pct"/>
            <w:vAlign w:val="center"/>
          </w:tcPr>
          <w:p w14:paraId="21709F07">
            <w:pPr>
              <w:pStyle w:val="3340"/>
              <w:rPr>
                <w:rFonts w:eastAsiaTheme="minorEastAsia"/>
                <w:color w:val="auto"/>
              </w:rPr>
            </w:pPr>
            <w:r>
              <w:rPr>
                <w:rFonts w:hint="eastAsia" w:eastAsiaTheme="minorEastAsia"/>
                <w:color w:val="auto"/>
              </w:rPr>
              <w:t>记录和报告</w:t>
            </w:r>
          </w:p>
        </w:tc>
        <w:tc>
          <w:tcPr>
            <w:tcW w:w="3554" w:type="pct"/>
            <w:vAlign w:val="center"/>
          </w:tcPr>
          <w:p w14:paraId="43FD2176">
            <w:pPr>
              <w:pStyle w:val="3340"/>
              <w:rPr>
                <w:rFonts w:eastAsiaTheme="minorEastAsia"/>
                <w:color w:val="auto"/>
              </w:rPr>
            </w:pPr>
            <w:r>
              <w:rPr>
                <w:rFonts w:hint="eastAsia" w:eastAsiaTheme="minorEastAsia"/>
                <w:color w:val="auto"/>
              </w:rPr>
              <w:t>设置应急事故专门记录，</w:t>
            </w:r>
            <w:r>
              <w:rPr>
                <w:rFonts w:hint="eastAsia" w:eastAsiaTheme="minorEastAsia"/>
                <w:color w:val="auto"/>
                <w:lang w:eastAsia="zh-CN"/>
              </w:rPr>
              <w:t>建立</w:t>
            </w:r>
            <w:r>
              <w:rPr>
                <w:rFonts w:hint="eastAsia" w:eastAsiaTheme="minorEastAsia"/>
                <w:color w:val="auto"/>
              </w:rPr>
              <w:t>档案和专门报告制度，</w:t>
            </w:r>
            <w:r>
              <w:rPr>
                <w:rFonts w:hint="eastAsia" w:eastAsiaTheme="minorEastAsia"/>
                <w:color w:val="auto"/>
                <w:lang w:eastAsia="zh-CN"/>
              </w:rPr>
              <w:t>设立</w:t>
            </w:r>
            <w:r>
              <w:rPr>
                <w:rFonts w:hint="eastAsia" w:eastAsiaTheme="minorEastAsia"/>
                <w:color w:val="auto"/>
              </w:rPr>
              <w:t>专门部门负责管理</w:t>
            </w:r>
          </w:p>
        </w:tc>
      </w:tr>
      <w:tr w14:paraId="01D0C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1" w:type="pct"/>
            <w:vAlign w:val="center"/>
          </w:tcPr>
          <w:p w14:paraId="6881204C">
            <w:pPr>
              <w:pStyle w:val="3340"/>
              <w:rPr>
                <w:rFonts w:eastAsiaTheme="minorEastAsia"/>
                <w:color w:val="auto"/>
              </w:rPr>
            </w:pPr>
            <w:r>
              <w:rPr>
                <w:rFonts w:hint="eastAsia" w:eastAsiaTheme="minorEastAsia"/>
                <w:color w:val="auto"/>
              </w:rPr>
              <w:t>15</w:t>
            </w:r>
          </w:p>
        </w:tc>
        <w:tc>
          <w:tcPr>
            <w:tcW w:w="1065" w:type="pct"/>
            <w:vAlign w:val="center"/>
          </w:tcPr>
          <w:p w14:paraId="05E7AC92">
            <w:pPr>
              <w:pStyle w:val="3340"/>
              <w:rPr>
                <w:rFonts w:eastAsiaTheme="minorEastAsia"/>
                <w:color w:val="auto"/>
              </w:rPr>
            </w:pPr>
            <w:r>
              <w:rPr>
                <w:rFonts w:hint="eastAsia" w:eastAsiaTheme="minorEastAsia"/>
                <w:color w:val="auto"/>
              </w:rPr>
              <w:t>附件</w:t>
            </w:r>
          </w:p>
        </w:tc>
        <w:tc>
          <w:tcPr>
            <w:tcW w:w="3554" w:type="pct"/>
            <w:vAlign w:val="center"/>
          </w:tcPr>
          <w:p w14:paraId="7B1F8775">
            <w:pPr>
              <w:pStyle w:val="3340"/>
              <w:rPr>
                <w:rFonts w:eastAsiaTheme="minorEastAsia"/>
                <w:color w:val="auto"/>
              </w:rPr>
            </w:pPr>
            <w:r>
              <w:rPr>
                <w:rFonts w:hint="eastAsia" w:eastAsiaTheme="minorEastAsia"/>
                <w:color w:val="auto"/>
              </w:rPr>
              <w:t>与应急事故有关的多种附件材料的准备和形成</w:t>
            </w:r>
          </w:p>
        </w:tc>
      </w:tr>
    </w:tbl>
    <w:p w14:paraId="30231852">
      <w:pPr>
        <w:ind w:firstLine="480"/>
        <w:rPr>
          <w:color w:val="auto"/>
          <w:lang w:val="zh-CN"/>
        </w:rPr>
      </w:pPr>
    </w:p>
    <w:p w14:paraId="6AA59207">
      <w:pPr>
        <w:pStyle w:val="4"/>
        <w:numPr>
          <w:ilvl w:val="0"/>
          <w:numId w:val="0"/>
        </w:numPr>
        <w:spacing w:line="360" w:lineRule="auto"/>
        <w:rPr>
          <w:color w:val="auto"/>
        </w:rPr>
      </w:pPr>
      <w:bookmarkStart w:id="292" w:name="_Toc19979"/>
      <w:r>
        <w:rPr>
          <w:rFonts w:hint="eastAsia"/>
          <w:color w:val="auto"/>
        </w:rPr>
        <w:t>7</w:t>
      </w:r>
      <w:r>
        <w:rPr>
          <w:color w:val="auto"/>
        </w:rPr>
        <w:t>.</w:t>
      </w:r>
      <w:r>
        <w:rPr>
          <w:color w:val="auto"/>
          <w:lang w:val="en-US"/>
        </w:rPr>
        <w:t>8</w:t>
      </w:r>
      <w:r>
        <w:rPr>
          <w:color w:val="auto"/>
        </w:rPr>
        <w:t>环境风险防范建议</w:t>
      </w:r>
      <w:bookmarkEnd w:id="292"/>
    </w:p>
    <w:p w14:paraId="61D89321">
      <w:pPr>
        <w:spacing w:line="360" w:lineRule="auto"/>
        <w:ind w:firstLine="480"/>
        <w:rPr>
          <w:color w:val="auto"/>
        </w:rPr>
      </w:pPr>
      <w:r>
        <w:rPr>
          <w:rFonts w:hint="eastAsia"/>
          <w:color w:val="auto"/>
        </w:rPr>
        <w:t>（1）对各类化学品须严格控制最大贮存量；对生产中所用的设备和管道应选择适当的密闭形式和连接方法，尽可能降低化学品的泄漏风险。</w:t>
      </w:r>
    </w:p>
    <w:p w14:paraId="441AEF36">
      <w:pPr>
        <w:spacing w:line="360" w:lineRule="auto"/>
        <w:ind w:firstLine="480"/>
        <w:rPr>
          <w:color w:val="auto"/>
        </w:rPr>
      </w:pPr>
      <w:r>
        <w:rPr>
          <w:rFonts w:hint="eastAsia"/>
          <w:color w:val="auto"/>
        </w:rPr>
        <w:t>（2）严格执行国家、地方有关劳动、安全、环保、卫生的设计规范和标准，在设计、施工和运行过程中针对可能存在的风险隐患采取相应的安全环保防范措施，消除事故隐患。</w:t>
      </w:r>
    </w:p>
    <w:p w14:paraId="2E80033B">
      <w:pPr>
        <w:spacing w:line="360" w:lineRule="auto"/>
        <w:ind w:firstLine="480"/>
        <w:rPr>
          <w:color w:val="auto"/>
        </w:rPr>
      </w:pPr>
      <w:r>
        <w:rPr>
          <w:rFonts w:hint="eastAsia"/>
          <w:color w:val="auto"/>
        </w:rPr>
        <w:t>（3）加强对职工的教育和培训，增强职工风险意识和事故自救能力，制定和强化各种安全生产和管理规程，减少人为风险事故的发生。</w:t>
      </w:r>
    </w:p>
    <w:p w14:paraId="3FBA2B05">
      <w:pPr>
        <w:spacing w:line="360" w:lineRule="auto"/>
        <w:ind w:firstLine="480"/>
        <w:rPr>
          <w:color w:val="auto"/>
        </w:rPr>
      </w:pPr>
      <w:r>
        <w:rPr>
          <w:rFonts w:hint="eastAsia"/>
          <w:color w:val="auto"/>
        </w:rPr>
        <w:t>（4）建设单位应对公司的安全生产给予足够重视，根据实际运营状况及最新的要求，及时修订应急预案，提高风险防范意识和风险管理能力。</w:t>
      </w:r>
    </w:p>
    <w:p w14:paraId="7B237C76">
      <w:pPr>
        <w:pStyle w:val="4"/>
        <w:numPr>
          <w:ilvl w:val="0"/>
          <w:numId w:val="0"/>
        </w:numPr>
        <w:spacing w:line="360" w:lineRule="auto"/>
        <w:rPr>
          <w:color w:val="auto"/>
        </w:rPr>
      </w:pPr>
      <w:bookmarkStart w:id="293" w:name="_Toc31586"/>
      <w:r>
        <w:rPr>
          <w:rFonts w:hint="eastAsia"/>
          <w:color w:val="auto"/>
        </w:rPr>
        <w:t>7</w:t>
      </w:r>
      <w:r>
        <w:rPr>
          <w:color w:val="auto"/>
        </w:rPr>
        <w:t>.9</w:t>
      </w:r>
      <w:r>
        <w:rPr>
          <w:rFonts w:hint="eastAsia"/>
          <w:color w:val="auto"/>
        </w:rPr>
        <w:t>环境风险评价结论</w:t>
      </w:r>
      <w:bookmarkEnd w:id="293"/>
    </w:p>
    <w:p w14:paraId="0D3C18C5">
      <w:pPr>
        <w:spacing w:line="360" w:lineRule="auto"/>
        <w:ind w:firstLine="480"/>
        <w:rPr>
          <w:color w:val="auto"/>
        </w:rPr>
      </w:pPr>
      <w:r>
        <w:rPr>
          <w:rFonts w:hint="eastAsia"/>
          <w:color w:val="auto"/>
        </w:rPr>
        <w:t>建设单位应按照本报告书做好各项风险的预防和应急措施，并制定完善的风险事故应急预案。在项目严格落实环评提出各项措施和要求的前提下，</w:t>
      </w:r>
      <w:r>
        <w:rPr>
          <w:color w:val="auto"/>
        </w:rPr>
        <w:t>最大限度的降低风险事故发生的概率，妥善处理</w:t>
      </w:r>
      <w:r>
        <w:rPr>
          <w:rFonts w:hint="eastAsia"/>
          <w:color w:val="auto"/>
          <w:lang w:eastAsia="zh-CN"/>
        </w:rPr>
        <w:t>事故产</w:t>
      </w:r>
      <w:r>
        <w:rPr>
          <w:color w:val="auto"/>
        </w:rPr>
        <w:t>生的环境问题，将风险事故对环境的危害降到最低</w:t>
      </w:r>
      <w:r>
        <w:rPr>
          <w:rFonts w:hint="eastAsia"/>
          <w:color w:val="auto"/>
        </w:rPr>
        <w:t>，</w:t>
      </w:r>
      <w:r>
        <w:rPr>
          <w:color w:val="auto"/>
        </w:rPr>
        <w:t>因此，项目</w:t>
      </w:r>
      <w:r>
        <w:rPr>
          <w:rFonts w:hint="eastAsia"/>
          <w:color w:val="auto"/>
        </w:rPr>
        <w:t>采取各项风险防范措施后，环境</w:t>
      </w:r>
      <w:r>
        <w:rPr>
          <w:color w:val="auto"/>
        </w:rPr>
        <w:t>风险</w:t>
      </w:r>
      <w:r>
        <w:rPr>
          <w:rFonts w:hint="eastAsia"/>
          <w:color w:val="auto"/>
        </w:rPr>
        <w:t>可防控。</w:t>
      </w:r>
    </w:p>
    <w:p w14:paraId="099AB085">
      <w:pPr>
        <w:spacing w:line="360" w:lineRule="auto"/>
        <w:ind w:firstLine="480"/>
        <w:rPr>
          <w:color w:val="auto"/>
        </w:rPr>
      </w:pPr>
      <w:r>
        <w:rPr>
          <w:color w:val="auto"/>
        </w:rPr>
        <w:t>环境风险评价自查</w:t>
      </w:r>
      <w:r>
        <w:rPr>
          <w:rFonts w:hint="eastAsia"/>
          <w:color w:val="auto"/>
        </w:rPr>
        <w:t>情况</w:t>
      </w:r>
      <w:r>
        <w:rPr>
          <w:color w:val="auto"/>
        </w:rPr>
        <w:t>见</w:t>
      </w:r>
      <w:r>
        <w:rPr>
          <w:rFonts w:hint="eastAsia"/>
          <w:color w:val="auto"/>
        </w:rPr>
        <w:t>表</w:t>
      </w:r>
      <w:r>
        <w:rPr>
          <w:color w:val="auto"/>
        </w:rPr>
        <w:t>7.9-1。</w:t>
      </w:r>
    </w:p>
    <w:p w14:paraId="0657CC64">
      <w:pPr>
        <w:ind w:firstLine="0" w:firstLineChars="0"/>
        <w:jc w:val="center"/>
        <w:rPr>
          <w:b/>
          <w:color w:val="auto"/>
          <w:szCs w:val="24"/>
        </w:rPr>
      </w:pPr>
      <w:r>
        <w:rPr>
          <w:b/>
          <w:color w:val="auto"/>
          <w:szCs w:val="24"/>
        </w:rPr>
        <w:t xml:space="preserve">表7.9-1   </w:t>
      </w:r>
      <w:r>
        <w:rPr>
          <w:rFonts w:hint="eastAsia"/>
          <w:b/>
          <w:bCs/>
          <w:color w:val="auto"/>
          <w:szCs w:val="24"/>
        </w:rPr>
        <w:t>环境风险评价自查表</w:t>
      </w:r>
    </w:p>
    <w:tbl>
      <w:tblPr>
        <w:tblStyle w:val="88"/>
        <w:tblW w:w="852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1005"/>
        <w:gridCol w:w="1954"/>
        <w:gridCol w:w="1170"/>
        <w:gridCol w:w="2873"/>
      </w:tblGrid>
      <w:tr w14:paraId="4664E4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tcBorders>
              <w:top w:val="single" w:color="000000" w:sz="4" w:space="0"/>
              <w:left w:val="single" w:color="000000" w:sz="4" w:space="0"/>
              <w:bottom w:val="single" w:color="000000" w:sz="4" w:space="0"/>
              <w:right w:val="single" w:color="000000" w:sz="4" w:space="0"/>
            </w:tcBorders>
            <w:vAlign w:val="center"/>
          </w:tcPr>
          <w:p w14:paraId="5C212131">
            <w:pPr>
              <w:adjustRightInd/>
              <w:snapToGrid/>
              <w:spacing w:line="320" w:lineRule="exact"/>
              <w:ind w:firstLine="0" w:firstLineChars="0"/>
              <w:jc w:val="center"/>
              <w:rPr>
                <w:bCs/>
                <w:color w:val="auto"/>
                <w:sz w:val="21"/>
                <w:szCs w:val="21"/>
              </w:rPr>
            </w:pPr>
            <w:r>
              <w:rPr>
                <w:rFonts w:hint="eastAsia"/>
                <w:bCs/>
                <w:color w:val="auto"/>
                <w:sz w:val="21"/>
                <w:szCs w:val="21"/>
              </w:rPr>
              <w:t>建设项目名称</w:t>
            </w:r>
          </w:p>
        </w:tc>
        <w:tc>
          <w:tcPr>
            <w:tcW w:w="7002" w:type="dxa"/>
            <w:gridSpan w:val="4"/>
            <w:tcBorders>
              <w:top w:val="single" w:color="000000" w:sz="4" w:space="0"/>
              <w:left w:val="single" w:color="000000" w:sz="4" w:space="0"/>
              <w:bottom w:val="single" w:color="000000" w:sz="4" w:space="0"/>
              <w:right w:val="single" w:color="000000" w:sz="4" w:space="0"/>
            </w:tcBorders>
            <w:vAlign w:val="center"/>
          </w:tcPr>
          <w:p w14:paraId="0003A5D9">
            <w:pPr>
              <w:adjustRightInd/>
              <w:snapToGrid/>
              <w:spacing w:line="320" w:lineRule="exact"/>
              <w:ind w:firstLine="0" w:firstLineChars="0"/>
              <w:jc w:val="center"/>
              <w:rPr>
                <w:rFonts w:hint="eastAsia" w:eastAsia="宋体"/>
                <w:bCs/>
                <w:color w:val="auto"/>
                <w:sz w:val="21"/>
                <w:szCs w:val="21"/>
                <w:lang w:eastAsia="zh-CN"/>
              </w:rPr>
            </w:pPr>
            <w:r>
              <w:rPr>
                <w:rFonts w:hint="eastAsia"/>
                <w:bCs/>
                <w:color w:val="auto"/>
                <w:sz w:val="21"/>
                <w:szCs w:val="21"/>
                <w:lang w:eastAsia="zh-CN"/>
              </w:rPr>
              <w:t>页岩气开采废水处理项目</w:t>
            </w:r>
          </w:p>
        </w:tc>
      </w:tr>
      <w:tr w14:paraId="7B3405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tcBorders>
              <w:top w:val="single" w:color="000000" w:sz="4" w:space="0"/>
              <w:left w:val="single" w:color="000000" w:sz="4" w:space="0"/>
              <w:bottom w:val="single" w:color="000000" w:sz="4" w:space="0"/>
              <w:right w:val="single" w:color="000000" w:sz="4" w:space="0"/>
            </w:tcBorders>
            <w:vAlign w:val="center"/>
          </w:tcPr>
          <w:p w14:paraId="4842F305">
            <w:pPr>
              <w:adjustRightInd/>
              <w:snapToGrid/>
              <w:spacing w:line="320" w:lineRule="exact"/>
              <w:ind w:firstLine="0" w:firstLineChars="0"/>
              <w:jc w:val="center"/>
              <w:rPr>
                <w:bCs/>
                <w:color w:val="auto"/>
                <w:sz w:val="21"/>
                <w:szCs w:val="21"/>
              </w:rPr>
            </w:pPr>
            <w:r>
              <w:rPr>
                <w:rFonts w:hint="eastAsia"/>
                <w:bCs/>
                <w:color w:val="auto"/>
                <w:sz w:val="21"/>
                <w:szCs w:val="21"/>
              </w:rPr>
              <w:t>建设地点</w:t>
            </w:r>
          </w:p>
        </w:tc>
        <w:tc>
          <w:tcPr>
            <w:tcW w:w="2959" w:type="dxa"/>
            <w:gridSpan w:val="2"/>
            <w:tcBorders>
              <w:top w:val="single" w:color="000000" w:sz="4" w:space="0"/>
              <w:left w:val="single" w:color="000000" w:sz="4" w:space="0"/>
              <w:bottom w:val="single" w:color="000000" w:sz="4" w:space="0"/>
              <w:right w:val="single" w:color="000000" w:sz="4" w:space="0"/>
            </w:tcBorders>
            <w:vAlign w:val="center"/>
          </w:tcPr>
          <w:p w14:paraId="65A6B4B7">
            <w:pPr>
              <w:adjustRightInd/>
              <w:snapToGrid/>
              <w:spacing w:line="320" w:lineRule="exact"/>
              <w:ind w:firstLine="0" w:firstLineChars="0"/>
              <w:jc w:val="center"/>
              <w:rPr>
                <w:bCs/>
                <w:color w:val="auto"/>
                <w:sz w:val="21"/>
                <w:szCs w:val="21"/>
              </w:rPr>
            </w:pPr>
            <w:r>
              <w:rPr>
                <w:rFonts w:hint="eastAsia"/>
                <w:bCs/>
                <w:color w:val="auto"/>
                <w:sz w:val="21"/>
                <w:szCs w:val="21"/>
              </w:rPr>
              <w:t>重庆市</w:t>
            </w:r>
          </w:p>
        </w:tc>
        <w:tc>
          <w:tcPr>
            <w:tcW w:w="1170" w:type="dxa"/>
            <w:tcBorders>
              <w:top w:val="single" w:color="000000" w:sz="4" w:space="0"/>
              <w:left w:val="single" w:color="000000" w:sz="4" w:space="0"/>
              <w:bottom w:val="single" w:color="000000" w:sz="4" w:space="0"/>
              <w:right w:val="single" w:color="000000" w:sz="4" w:space="0"/>
            </w:tcBorders>
            <w:vAlign w:val="center"/>
          </w:tcPr>
          <w:p w14:paraId="40CB1CEC">
            <w:pPr>
              <w:adjustRightInd/>
              <w:snapToGrid/>
              <w:spacing w:line="320" w:lineRule="exact"/>
              <w:ind w:firstLine="0" w:firstLineChars="0"/>
              <w:jc w:val="center"/>
              <w:rPr>
                <w:rFonts w:hint="eastAsia" w:eastAsia="宋体"/>
                <w:bCs/>
                <w:color w:val="auto"/>
                <w:sz w:val="21"/>
                <w:szCs w:val="21"/>
                <w:lang w:eastAsia="zh-CN"/>
              </w:rPr>
            </w:pPr>
            <w:r>
              <w:rPr>
                <w:rFonts w:hint="eastAsia"/>
                <w:bCs/>
                <w:color w:val="auto"/>
                <w:sz w:val="21"/>
                <w:szCs w:val="21"/>
                <w:lang w:eastAsia="zh-CN"/>
              </w:rPr>
              <w:t>忠县</w:t>
            </w:r>
          </w:p>
        </w:tc>
        <w:tc>
          <w:tcPr>
            <w:tcW w:w="2873" w:type="dxa"/>
            <w:tcBorders>
              <w:top w:val="single" w:color="000000" w:sz="4" w:space="0"/>
              <w:left w:val="single" w:color="000000" w:sz="4" w:space="0"/>
              <w:bottom w:val="single" w:color="000000" w:sz="4" w:space="0"/>
              <w:right w:val="single" w:color="000000" w:sz="4" w:space="0"/>
            </w:tcBorders>
            <w:vAlign w:val="center"/>
          </w:tcPr>
          <w:p w14:paraId="4FCCAAF1">
            <w:pPr>
              <w:adjustRightInd/>
              <w:snapToGrid/>
              <w:spacing w:line="320" w:lineRule="exact"/>
              <w:ind w:firstLine="0" w:firstLineChars="0"/>
              <w:rPr>
                <w:rFonts w:hint="eastAsia" w:eastAsia="宋体"/>
                <w:bCs/>
                <w:color w:val="auto"/>
                <w:sz w:val="21"/>
                <w:szCs w:val="21"/>
                <w:lang w:eastAsia="zh-CN"/>
              </w:rPr>
            </w:pPr>
            <w:r>
              <w:rPr>
                <w:rFonts w:hint="eastAsia"/>
                <w:bCs/>
                <w:color w:val="auto"/>
                <w:sz w:val="21"/>
                <w:szCs w:val="21"/>
                <w:lang w:eastAsia="zh-CN"/>
              </w:rPr>
              <w:t>重庆忠县工业园乌杨组团</w:t>
            </w:r>
          </w:p>
        </w:tc>
      </w:tr>
      <w:tr w14:paraId="49278A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tcBorders>
              <w:top w:val="single" w:color="000000" w:sz="4" w:space="0"/>
              <w:left w:val="single" w:color="000000" w:sz="4" w:space="0"/>
              <w:bottom w:val="single" w:color="000000" w:sz="4" w:space="0"/>
              <w:right w:val="single" w:color="000000" w:sz="4" w:space="0"/>
            </w:tcBorders>
            <w:vAlign w:val="center"/>
          </w:tcPr>
          <w:p w14:paraId="4E1E273E">
            <w:pPr>
              <w:adjustRightInd/>
              <w:snapToGrid/>
              <w:spacing w:line="320" w:lineRule="exact"/>
              <w:ind w:firstLine="0" w:firstLineChars="0"/>
              <w:jc w:val="center"/>
              <w:rPr>
                <w:bCs/>
                <w:color w:val="auto"/>
                <w:sz w:val="21"/>
                <w:szCs w:val="21"/>
              </w:rPr>
            </w:pPr>
            <w:r>
              <w:rPr>
                <w:rFonts w:hint="eastAsia"/>
                <w:bCs/>
                <w:color w:val="auto"/>
                <w:sz w:val="21"/>
                <w:szCs w:val="21"/>
              </w:rPr>
              <w:t>地理坐标</w:t>
            </w:r>
          </w:p>
        </w:tc>
        <w:tc>
          <w:tcPr>
            <w:tcW w:w="1005" w:type="dxa"/>
            <w:tcBorders>
              <w:top w:val="single" w:color="000000" w:sz="4" w:space="0"/>
              <w:left w:val="single" w:color="000000" w:sz="4" w:space="0"/>
              <w:bottom w:val="single" w:color="000000" w:sz="4" w:space="0"/>
              <w:right w:val="single" w:color="000000" w:sz="4" w:space="0"/>
            </w:tcBorders>
            <w:vAlign w:val="center"/>
          </w:tcPr>
          <w:p w14:paraId="4D504AD1">
            <w:pPr>
              <w:adjustRightInd/>
              <w:snapToGrid/>
              <w:spacing w:line="320" w:lineRule="exact"/>
              <w:ind w:firstLine="0" w:firstLineChars="0"/>
              <w:jc w:val="center"/>
              <w:rPr>
                <w:bCs/>
                <w:color w:val="auto"/>
                <w:sz w:val="21"/>
                <w:szCs w:val="21"/>
              </w:rPr>
            </w:pPr>
            <w:r>
              <w:rPr>
                <w:rFonts w:hint="eastAsia"/>
                <w:bCs/>
                <w:color w:val="auto"/>
                <w:sz w:val="21"/>
                <w:szCs w:val="21"/>
              </w:rPr>
              <w:t>经度</w:t>
            </w:r>
          </w:p>
        </w:tc>
        <w:tc>
          <w:tcPr>
            <w:tcW w:w="1954" w:type="dxa"/>
            <w:tcBorders>
              <w:top w:val="single" w:color="000000" w:sz="4" w:space="0"/>
              <w:left w:val="single" w:color="000000" w:sz="4" w:space="0"/>
              <w:bottom w:val="single" w:color="000000" w:sz="4" w:space="0"/>
              <w:right w:val="single" w:color="000000" w:sz="4" w:space="0"/>
            </w:tcBorders>
            <w:vAlign w:val="center"/>
          </w:tcPr>
          <w:p w14:paraId="47A8B649">
            <w:pPr>
              <w:adjustRightInd/>
              <w:snapToGrid/>
              <w:spacing w:line="320" w:lineRule="exact"/>
              <w:ind w:firstLine="0" w:firstLineChars="0"/>
              <w:jc w:val="center"/>
              <w:rPr>
                <w:bCs/>
                <w:color w:val="auto"/>
                <w:sz w:val="21"/>
                <w:szCs w:val="21"/>
              </w:rPr>
            </w:pPr>
            <w:r>
              <w:rPr>
                <w:rFonts w:hint="eastAsia"/>
                <w:bCs/>
                <w:color w:val="auto"/>
                <w:sz w:val="21"/>
                <w:szCs w:val="21"/>
              </w:rPr>
              <w:t>E108.011198</w:t>
            </w:r>
          </w:p>
        </w:tc>
        <w:tc>
          <w:tcPr>
            <w:tcW w:w="1170" w:type="dxa"/>
            <w:tcBorders>
              <w:top w:val="single" w:color="000000" w:sz="4" w:space="0"/>
              <w:left w:val="single" w:color="000000" w:sz="4" w:space="0"/>
              <w:bottom w:val="single" w:color="000000" w:sz="4" w:space="0"/>
              <w:right w:val="single" w:color="000000" w:sz="4" w:space="0"/>
            </w:tcBorders>
            <w:vAlign w:val="center"/>
          </w:tcPr>
          <w:p w14:paraId="6C7E6F3E">
            <w:pPr>
              <w:adjustRightInd/>
              <w:snapToGrid/>
              <w:spacing w:line="320" w:lineRule="exact"/>
              <w:ind w:firstLine="0" w:firstLineChars="0"/>
              <w:jc w:val="center"/>
              <w:rPr>
                <w:bCs/>
                <w:color w:val="auto"/>
                <w:sz w:val="21"/>
                <w:szCs w:val="21"/>
              </w:rPr>
            </w:pPr>
            <w:r>
              <w:rPr>
                <w:rFonts w:hint="eastAsia"/>
                <w:bCs/>
                <w:color w:val="auto"/>
                <w:sz w:val="21"/>
                <w:szCs w:val="21"/>
              </w:rPr>
              <w:t>纬度</w:t>
            </w:r>
          </w:p>
        </w:tc>
        <w:tc>
          <w:tcPr>
            <w:tcW w:w="2873" w:type="dxa"/>
            <w:tcBorders>
              <w:top w:val="single" w:color="000000" w:sz="4" w:space="0"/>
              <w:left w:val="single" w:color="000000" w:sz="4" w:space="0"/>
              <w:bottom w:val="single" w:color="000000" w:sz="4" w:space="0"/>
              <w:right w:val="single" w:color="000000" w:sz="4" w:space="0"/>
            </w:tcBorders>
            <w:vAlign w:val="center"/>
          </w:tcPr>
          <w:p w14:paraId="34605942">
            <w:pPr>
              <w:adjustRightInd/>
              <w:snapToGrid/>
              <w:spacing w:line="320" w:lineRule="exact"/>
              <w:ind w:firstLine="0" w:firstLineChars="0"/>
              <w:rPr>
                <w:bCs/>
                <w:color w:val="auto"/>
                <w:sz w:val="21"/>
                <w:szCs w:val="21"/>
              </w:rPr>
            </w:pPr>
            <w:r>
              <w:rPr>
                <w:rFonts w:hint="eastAsia"/>
                <w:bCs/>
                <w:color w:val="auto"/>
                <w:sz w:val="21"/>
                <w:szCs w:val="21"/>
              </w:rPr>
              <w:t>N30.217429</w:t>
            </w:r>
          </w:p>
        </w:tc>
      </w:tr>
      <w:tr w14:paraId="3EC360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tcBorders>
              <w:top w:val="single" w:color="000000" w:sz="4" w:space="0"/>
              <w:left w:val="single" w:color="000000" w:sz="4" w:space="0"/>
              <w:bottom w:val="single" w:color="000000" w:sz="4" w:space="0"/>
              <w:right w:val="single" w:color="000000" w:sz="4" w:space="0"/>
            </w:tcBorders>
            <w:vAlign w:val="center"/>
          </w:tcPr>
          <w:p w14:paraId="54075C35">
            <w:pPr>
              <w:adjustRightInd/>
              <w:snapToGrid/>
              <w:spacing w:line="320" w:lineRule="exact"/>
              <w:ind w:firstLine="0" w:firstLineChars="0"/>
              <w:jc w:val="center"/>
              <w:rPr>
                <w:bCs/>
                <w:color w:val="auto"/>
                <w:sz w:val="21"/>
                <w:szCs w:val="21"/>
              </w:rPr>
            </w:pPr>
            <w:r>
              <w:rPr>
                <w:rFonts w:hint="eastAsia"/>
                <w:bCs/>
                <w:color w:val="auto"/>
                <w:sz w:val="21"/>
                <w:szCs w:val="21"/>
              </w:rPr>
              <w:t>主要危险物质分布</w:t>
            </w:r>
          </w:p>
        </w:tc>
        <w:tc>
          <w:tcPr>
            <w:tcW w:w="7002" w:type="dxa"/>
            <w:gridSpan w:val="4"/>
            <w:tcBorders>
              <w:top w:val="single" w:color="000000" w:sz="4" w:space="0"/>
              <w:left w:val="single" w:color="000000" w:sz="4" w:space="0"/>
              <w:bottom w:val="single" w:color="000000" w:sz="4" w:space="0"/>
              <w:right w:val="single" w:color="000000" w:sz="4" w:space="0"/>
            </w:tcBorders>
            <w:vAlign w:val="center"/>
          </w:tcPr>
          <w:p w14:paraId="06273BAD">
            <w:pPr>
              <w:adjustRightInd/>
              <w:snapToGrid/>
              <w:spacing w:line="320" w:lineRule="exact"/>
              <w:ind w:firstLine="0" w:firstLineChars="0"/>
              <w:jc w:val="left"/>
              <w:rPr>
                <w:bCs/>
                <w:color w:val="auto"/>
                <w:sz w:val="21"/>
                <w:szCs w:val="21"/>
              </w:rPr>
            </w:pPr>
            <w:r>
              <w:rPr>
                <w:rFonts w:hint="eastAsia"/>
                <w:bCs/>
                <w:color w:val="auto"/>
                <w:sz w:val="21"/>
                <w:szCs w:val="21"/>
              </w:rPr>
              <w:t>主要分布在药品储存区、药剂储存罐区、危废贮存库和废水处理站设施区</w:t>
            </w:r>
          </w:p>
        </w:tc>
      </w:tr>
      <w:tr w14:paraId="032E12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tcBorders>
              <w:top w:val="single" w:color="000000" w:sz="4" w:space="0"/>
              <w:left w:val="single" w:color="000000" w:sz="4" w:space="0"/>
              <w:bottom w:val="single" w:color="000000" w:sz="4" w:space="0"/>
              <w:right w:val="single" w:color="000000" w:sz="4" w:space="0"/>
            </w:tcBorders>
            <w:vAlign w:val="center"/>
          </w:tcPr>
          <w:p w14:paraId="45AE41A0">
            <w:pPr>
              <w:adjustRightInd/>
              <w:snapToGrid/>
              <w:spacing w:line="320" w:lineRule="exact"/>
              <w:ind w:firstLine="0" w:firstLineChars="0"/>
              <w:jc w:val="center"/>
              <w:rPr>
                <w:bCs/>
                <w:color w:val="auto"/>
                <w:sz w:val="21"/>
                <w:szCs w:val="21"/>
              </w:rPr>
            </w:pPr>
            <w:r>
              <w:rPr>
                <w:rFonts w:hint="eastAsia"/>
                <w:bCs/>
                <w:color w:val="auto"/>
                <w:sz w:val="21"/>
                <w:szCs w:val="21"/>
              </w:rPr>
              <w:t>环境影响途径及危害后果</w:t>
            </w:r>
          </w:p>
        </w:tc>
        <w:tc>
          <w:tcPr>
            <w:tcW w:w="7002" w:type="dxa"/>
            <w:gridSpan w:val="4"/>
            <w:tcBorders>
              <w:top w:val="single" w:color="000000" w:sz="4" w:space="0"/>
              <w:left w:val="single" w:color="000000" w:sz="4" w:space="0"/>
              <w:bottom w:val="single" w:color="000000" w:sz="4" w:space="0"/>
              <w:right w:val="single" w:color="000000" w:sz="4" w:space="0"/>
            </w:tcBorders>
            <w:vAlign w:val="center"/>
          </w:tcPr>
          <w:p w14:paraId="038CA5DA">
            <w:pPr>
              <w:adjustRightInd/>
              <w:snapToGrid/>
              <w:spacing w:line="320" w:lineRule="exact"/>
              <w:ind w:firstLine="0" w:firstLineChars="0"/>
              <w:jc w:val="left"/>
              <w:rPr>
                <w:bCs/>
                <w:color w:val="auto"/>
                <w:sz w:val="21"/>
                <w:szCs w:val="21"/>
              </w:rPr>
            </w:pPr>
            <w:r>
              <w:rPr>
                <w:rFonts w:hint="eastAsia"/>
                <w:bCs/>
                <w:color w:val="auto"/>
                <w:sz w:val="21"/>
                <w:szCs w:val="21"/>
              </w:rPr>
              <w:t>主要途径为：污水处理厂进水污染事故、设备故障事故及检修、非正常运行状况可能发生的尾水事故排放、恶臭处理设施故障、池体泄漏、化学品泄漏及危废贮存库泄漏等。危害后果：一旦发生风险事故，只要严格采取环境风险防范措施，并及时启动应急预案，能有效减轻对周围环境及人群造成的伤害和环境危害，其环境风险水平可接受。</w:t>
            </w:r>
          </w:p>
        </w:tc>
      </w:tr>
      <w:tr w14:paraId="55E748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tcBorders>
              <w:top w:val="single" w:color="000000" w:sz="4" w:space="0"/>
              <w:left w:val="single" w:color="000000" w:sz="4" w:space="0"/>
              <w:bottom w:val="single" w:color="000000" w:sz="4" w:space="0"/>
              <w:right w:val="single" w:color="000000" w:sz="4" w:space="0"/>
            </w:tcBorders>
            <w:vAlign w:val="center"/>
          </w:tcPr>
          <w:p w14:paraId="4C83BE8D">
            <w:pPr>
              <w:adjustRightInd/>
              <w:snapToGrid/>
              <w:spacing w:line="240" w:lineRule="auto"/>
              <w:ind w:firstLine="0" w:firstLineChars="0"/>
              <w:jc w:val="center"/>
              <w:rPr>
                <w:bCs/>
                <w:color w:val="auto"/>
                <w:sz w:val="21"/>
                <w:szCs w:val="21"/>
              </w:rPr>
            </w:pPr>
            <w:r>
              <w:rPr>
                <w:rFonts w:hint="eastAsia"/>
                <w:bCs/>
                <w:color w:val="auto"/>
                <w:sz w:val="21"/>
                <w:szCs w:val="21"/>
              </w:rPr>
              <w:t>风险防范措施要求</w:t>
            </w:r>
          </w:p>
        </w:tc>
        <w:tc>
          <w:tcPr>
            <w:tcW w:w="7002" w:type="dxa"/>
            <w:gridSpan w:val="4"/>
            <w:tcBorders>
              <w:top w:val="single" w:color="000000" w:sz="4" w:space="0"/>
              <w:left w:val="single" w:color="000000" w:sz="4" w:space="0"/>
              <w:bottom w:val="single" w:color="000000" w:sz="4" w:space="0"/>
              <w:right w:val="single" w:color="000000" w:sz="4" w:space="0"/>
            </w:tcBorders>
            <w:vAlign w:val="center"/>
          </w:tcPr>
          <w:p w14:paraId="6BF716F1">
            <w:pPr>
              <w:adjustRightInd/>
              <w:snapToGrid/>
              <w:spacing w:line="320" w:lineRule="exact"/>
              <w:ind w:firstLine="0" w:firstLineChars="0"/>
              <w:rPr>
                <w:bCs/>
                <w:color w:val="auto"/>
                <w:sz w:val="21"/>
                <w:szCs w:val="21"/>
              </w:rPr>
            </w:pPr>
            <w:r>
              <w:rPr>
                <w:rFonts w:hint="eastAsia"/>
                <w:bCs/>
                <w:color w:val="auto"/>
                <w:sz w:val="21"/>
                <w:szCs w:val="21"/>
              </w:rPr>
              <w:t>1、设置备用电源，当一个电源发生故障时，另一个电源应立即自动或手动投入使用。</w:t>
            </w:r>
          </w:p>
          <w:p w14:paraId="2FFA0C82">
            <w:pPr>
              <w:adjustRightInd/>
              <w:snapToGrid/>
              <w:spacing w:line="320" w:lineRule="exact"/>
              <w:ind w:firstLine="0" w:firstLineChars="0"/>
              <w:rPr>
                <w:bCs/>
                <w:color w:val="auto"/>
                <w:sz w:val="21"/>
                <w:szCs w:val="21"/>
              </w:rPr>
            </w:pPr>
            <w:r>
              <w:rPr>
                <w:rFonts w:hint="eastAsia"/>
                <w:bCs/>
                <w:color w:val="auto"/>
                <w:sz w:val="21"/>
                <w:szCs w:val="21"/>
              </w:rPr>
              <w:t>2、为使在事故状态下污水处理厂能够迅速恢复正常运行，应在主要水工建筑物的容积上留有相应的缓冲能力，并配有相应的设备（如回流泵、回流管道、阀门及仪表等）。</w:t>
            </w:r>
          </w:p>
          <w:p w14:paraId="632AA446">
            <w:pPr>
              <w:adjustRightInd/>
              <w:snapToGrid/>
              <w:spacing w:line="320" w:lineRule="exact"/>
              <w:ind w:firstLine="0" w:firstLineChars="0"/>
              <w:rPr>
                <w:bCs/>
                <w:color w:val="auto"/>
                <w:sz w:val="21"/>
                <w:szCs w:val="21"/>
              </w:rPr>
            </w:pPr>
            <w:r>
              <w:rPr>
                <w:rFonts w:hint="eastAsia"/>
                <w:bCs/>
                <w:color w:val="auto"/>
                <w:sz w:val="21"/>
                <w:szCs w:val="21"/>
              </w:rPr>
              <w:t>3、选用优质设备，对污水处理厂各种机械电器、仪表等设备，必须选择质量优良、事故率低、便于维修的产品。关键设备应一备一用，易损部件要有备用件，在出现事故时能及时更换。</w:t>
            </w:r>
          </w:p>
          <w:p w14:paraId="53B9DCD3">
            <w:pPr>
              <w:adjustRightInd/>
              <w:snapToGrid/>
              <w:spacing w:line="320" w:lineRule="exact"/>
              <w:ind w:firstLine="0" w:firstLineChars="0"/>
              <w:rPr>
                <w:bCs/>
                <w:color w:val="auto"/>
                <w:sz w:val="21"/>
                <w:szCs w:val="21"/>
              </w:rPr>
            </w:pPr>
            <w:r>
              <w:rPr>
                <w:rFonts w:hint="eastAsia"/>
                <w:bCs/>
                <w:color w:val="auto"/>
                <w:sz w:val="21"/>
                <w:szCs w:val="21"/>
              </w:rPr>
              <w:t>4、加强事故苗头监控，定期巡检、调节、保养、维修。及时发现有可能引起事故的异常运行苗头，消除事故隐患。</w:t>
            </w:r>
          </w:p>
          <w:p w14:paraId="7E46BB65">
            <w:pPr>
              <w:adjustRightInd/>
              <w:snapToGrid/>
              <w:spacing w:line="320" w:lineRule="exact"/>
              <w:ind w:firstLine="0" w:firstLineChars="0"/>
              <w:rPr>
                <w:bCs/>
                <w:color w:val="auto"/>
                <w:sz w:val="21"/>
                <w:szCs w:val="21"/>
              </w:rPr>
            </w:pPr>
            <w:r>
              <w:rPr>
                <w:rFonts w:hint="eastAsia"/>
                <w:bCs/>
                <w:color w:val="auto"/>
                <w:sz w:val="21"/>
                <w:szCs w:val="21"/>
              </w:rPr>
              <w:t>5、严格控制处理单元的水量、水质、停留时间、负荷强度等工艺参数，确保处理效果的稳定性。配备监控仪器，定期取样监测。操作人员及时调整，使设备处于最佳工况。如发现异常现象，就需立即采取预防措施。</w:t>
            </w:r>
          </w:p>
          <w:p w14:paraId="7B7E2F03">
            <w:pPr>
              <w:adjustRightInd/>
              <w:snapToGrid/>
              <w:spacing w:line="320" w:lineRule="exact"/>
              <w:ind w:firstLine="0" w:firstLineChars="0"/>
              <w:rPr>
                <w:bCs/>
                <w:color w:val="auto"/>
                <w:sz w:val="21"/>
                <w:szCs w:val="21"/>
              </w:rPr>
            </w:pPr>
            <w:r>
              <w:rPr>
                <w:rFonts w:hint="eastAsia"/>
                <w:bCs/>
                <w:color w:val="auto"/>
                <w:sz w:val="21"/>
                <w:szCs w:val="21"/>
              </w:rPr>
              <w:t>6、对新开油气田采出水进行监测，对现有井可定期检测，调节进水水质，防止来水产生较大波动。</w:t>
            </w:r>
          </w:p>
          <w:p w14:paraId="198B80C8">
            <w:pPr>
              <w:adjustRightInd/>
              <w:snapToGrid/>
              <w:spacing w:line="320" w:lineRule="exact"/>
              <w:ind w:firstLine="0" w:firstLineChars="0"/>
              <w:rPr>
                <w:bCs/>
                <w:color w:val="auto"/>
                <w:sz w:val="21"/>
                <w:szCs w:val="21"/>
              </w:rPr>
            </w:pPr>
            <w:r>
              <w:rPr>
                <w:rFonts w:hint="eastAsia"/>
                <w:bCs/>
                <w:color w:val="auto"/>
                <w:sz w:val="21"/>
                <w:szCs w:val="21"/>
              </w:rPr>
              <w:t>7、设置进、出水水质自动监测装置及报警装置，设置出厂污水截断装置，加强运行管理，当事故发生后，及时发现不良水质进入污水处理系统，立即截断污水出厂，杜绝事故排放。</w:t>
            </w:r>
          </w:p>
          <w:p w14:paraId="2679DD6B">
            <w:pPr>
              <w:adjustRightInd/>
              <w:snapToGrid/>
              <w:spacing w:line="320" w:lineRule="exact"/>
              <w:ind w:firstLine="0" w:firstLineChars="0"/>
              <w:rPr>
                <w:bCs/>
                <w:color w:val="auto"/>
                <w:sz w:val="21"/>
                <w:szCs w:val="21"/>
              </w:rPr>
            </w:pPr>
            <w:r>
              <w:rPr>
                <w:rFonts w:hint="eastAsia"/>
                <w:bCs/>
                <w:color w:val="auto"/>
                <w:sz w:val="21"/>
                <w:szCs w:val="21"/>
              </w:rPr>
              <w:t>8、建立废水处理厂运行管理和操作责任制度；聘请有经验的专业技术人员负责厂内的技术管理工作。</w:t>
            </w:r>
          </w:p>
          <w:p w14:paraId="182283C4">
            <w:pPr>
              <w:adjustRightInd/>
              <w:snapToGrid/>
              <w:spacing w:line="320" w:lineRule="exact"/>
              <w:ind w:firstLine="0" w:firstLineChars="0"/>
              <w:rPr>
                <w:bCs/>
                <w:color w:val="auto"/>
                <w:sz w:val="21"/>
                <w:szCs w:val="21"/>
              </w:rPr>
            </w:pPr>
            <w:r>
              <w:rPr>
                <w:rFonts w:hint="eastAsia"/>
                <w:bCs/>
                <w:color w:val="auto"/>
                <w:sz w:val="21"/>
                <w:szCs w:val="21"/>
              </w:rPr>
              <w:t>9、对产生的污泥和盐等做到及时、妥善处置。</w:t>
            </w:r>
          </w:p>
          <w:p w14:paraId="1CA6A8EA">
            <w:pPr>
              <w:adjustRightInd/>
              <w:snapToGrid/>
              <w:spacing w:line="320" w:lineRule="exact"/>
              <w:ind w:firstLine="0" w:firstLineChars="0"/>
              <w:rPr>
                <w:bCs/>
                <w:color w:val="auto"/>
                <w:sz w:val="21"/>
                <w:szCs w:val="21"/>
              </w:rPr>
            </w:pPr>
            <w:r>
              <w:rPr>
                <w:rFonts w:hint="eastAsia"/>
                <w:bCs/>
                <w:color w:val="auto"/>
                <w:sz w:val="21"/>
                <w:szCs w:val="21"/>
              </w:rPr>
              <w:t>10、污水处理厂与园区污水处理厂之间，要有畅通的信息交流管道，建立</w:t>
            </w:r>
            <w:r>
              <w:rPr>
                <w:rFonts w:hint="eastAsia"/>
                <w:bCs/>
                <w:color w:val="auto"/>
                <w:sz w:val="21"/>
                <w:szCs w:val="21"/>
                <w:lang w:eastAsia="zh-CN"/>
              </w:rPr>
              <w:t>污水处理厂</w:t>
            </w:r>
            <w:r>
              <w:rPr>
                <w:rFonts w:hint="eastAsia"/>
                <w:bCs/>
                <w:color w:val="auto"/>
                <w:sz w:val="21"/>
                <w:szCs w:val="21"/>
              </w:rPr>
              <w:t>的事故报告制度。发生污水处理厂停运事故时，应暂停接收废水入厂，并将未处理完成废水导入事故池内，待污水处理系统恢复正常使用后，再将事故池中的污水引到污水处理系统处理达标后综合利用或外排，防止废水事故性风险排放。</w:t>
            </w:r>
          </w:p>
          <w:p w14:paraId="461AA232">
            <w:pPr>
              <w:adjustRightInd/>
              <w:snapToGrid/>
              <w:spacing w:line="320" w:lineRule="exact"/>
              <w:ind w:firstLine="0" w:firstLineChars="0"/>
              <w:rPr>
                <w:bCs/>
                <w:color w:val="auto"/>
                <w:sz w:val="21"/>
                <w:szCs w:val="21"/>
              </w:rPr>
            </w:pPr>
            <w:r>
              <w:rPr>
                <w:rFonts w:hint="eastAsia"/>
                <w:bCs/>
                <w:color w:val="auto"/>
                <w:sz w:val="21"/>
                <w:szCs w:val="21"/>
              </w:rPr>
              <w:t>11、当</w:t>
            </w:r>
            <w:r>
              <w:rPr>
                <w:rFonts w:hint="eastAsia"/>
                <w:bCs/>
                <w:color w:val="auto"/>
                <w:sz w:val="21"/>
                <w:szCs w:val="21"/>
                <w:lang w:val="zh-CN"/>
              </w:rPr>
              <w:t>进水水质超负荷时，或运行中某个池运行欠佳或事故时，或</w:t>
            </w:r>
            <w:r>
              <w:rPr>
                <w:rFonts w:hint="eastAsia"/>
                <w:bCs/>
                <w:color w:val="auto"/>
                <w:sz w:val="21"/>
                <w:szCs w:val="21"/>
              </w:rPr>
              <w:t>出水渠在线监测系统显示出水超标时，均通过各处切换阀或应急泵将废水切入事故池。具体切换方式为：事故下的不达标尾水，通过排放</w:t>
            </w:r>
            <w:r>
              <w:rPr>
                <w:rFonts w:hint="eastAsia"/>
                <w:bCs/>
                <w:color w:val="auto"/>
                <w:sz w:val="21"/>
                <w:szCs w:val="21"/>
                <w:lang w:eastAsia="zh-CN"/>
              </w:rPr>
              <w:t>水</w:t>
            </w:r>
            <w:r>
              <w:rPr>
                <w:rFonts w:hint="eastAsia"/>
                <w:bCs/>
                <w:color w:val="auto"/>
                <w:sz w:val="21"/>
                <w:szCs w:val="21"/>
              </w:rPr>
              <w:t>池的出口管道的切换阀门，切换进入事故池。运行中某个池运行欠佳事故时的废水，在该系统后的中间池设置切换阀门切换进入事故池。为避免事故状况下废水超标排放，拟建项目将现有应急池改建为废水处理工艺用池，新建1座地埋式事故池，有效容积不低于</w:t>
            </w:r>
            <w:r>
              <w:rPr>
                <w:rFonts w:hint="eastAsia"/>
                <w:bCs/>
                <w:color w:val="auto"/>
                <w:sz w:val="21"/>
                <w:szCs w:val="21"/>
                <w:lang w:val="en-US" w:eastAsia="zh-CN"/>
              </w:rPr>
              <w:t>2</w:t>
            </w:r>
            <w:r>
              <w:rPr>
                <w:rFonts w:hint="eastAsia"/>
                <w:bCs/>
                <w:color w:val="auto"/>
                <w:sz w:val="21"/>
                <w:szCs w:val="21"/>
              </w:rPr>
              <w:t>000m</w:t>
            </w:r>
            <w:r>
              <w:rPr>
                <w:rFonts w:hint="eastAsia"/>
                <w:bCs/>
                <w:color w:val="auto"/>
                <w:sz w:val="21"/>
                <w:szCs w:val="21"/>
                <w:vertAlign w:val="superscript"/>
              </w:rPr>
              <w:t>3</w:t>
            </w:r>
            <w:r>
              <w:rPr>
                <w:rFonts w:hint="eastAsia"/>
                <w:bCs/>
                <w:color w:val="auto"/>
                <w:sz w:val="21"/>
                <w:szCs w:val="21"/>
              </w:rPr>
              <w:t>。</w:t>
            </w:r>
          </w:p>
          <w:p w14:paraId="16F2493C">
            <w:pPr>
              <w:adjustRightInd/>
              <w:snapToGrid/>
              <w:spacing w:line="320" w:lineRule="exact"/>
              <w:ind w:firstLine="0" w:firstLineChars="0"/>
              <w:rPr>
                <w:bCs/>
                <w:color w:val="auto"/>
                <w:sz w:val="21"/>
                <w:szCs w:val="21"/>
              </w:rPr>
            </w:pPr>
            <w:r>
              <w:rPr>
                <w:rFonts w:hint="eastAsia"/>
                <w:bCs/>
                <w:color w:val="auto"/>
                <w:sz w:val="21"/>
                <w:szCs w:val="21"/>
              </w:rPr>
              <w:t>12、应加强污水处理厂废气治理设施管理和维护，降低污水处理厂产生的废气对区域大气环境的影响。同时，卫生防护距离内不得新增大气环境敏感保护目标。</w:t>
            </w:r>
          </w:p>
          <w:p w14:paraId="5E8FC963">
            <w:pPr>
              <w:adjustRightInd/>
              <w:snapToGrid/>
              <w:spacing w:line="320" w:lineRule="exact"/>
              <w:ind w:firstLine="0" w:firstLineChars="0"/>
              <w:rPr>
                <w:bCs/>
                <w:color w:val="auto"/>
                <w:sz w:val="21"/>
                <w:szCs w:val="21"/>
              </w:rPr>
            </w:pPr>
            <w:r>
              <w:rPr>
                <w:rFonts w:hint="eastAsia"/>
                <w:bCs/>
                <w:color w:val="auto"/>
                <w:sz w:val="21"/>
                <w:szCs w:val="21"/>
              </w:rPr>
              <w:t>13、加药间内按照使用量配置贮存量，尽量减少不必要的贮存；加药间应有截留围堰措施，地面做好防腐防渗，防止泄漏化学品流出；装卸化学品做好个人防护；操作加药等装置设备的人员要做好上岗前培训工作；</w:t>
            </w:r>
          </w:p>
          <w:p w14:paraId="7234D1D8">
            <w:pPr>
              <w:adjustRightInd/>
              <w:snapToGrid/>
              <w:spacing w:line="320" w:lineRule="exact"/>
              <w:ind w:firstLine="0" w:firstLineChars="0"/>
              <w:rPr>
                <w:bCs/>
                <w:color w:val="auto"/>
                <w:sz w:val="21"/>
                <w:szCs w:val="21"/>
              </w:rPr>
            </w:pPr>
            <w:r>
              <w:rPr>
                <w:rFonts w:hint="eastAsia"/>
                <w:bCs/>
                <w:color w:val="auto"/>
                <w:sz w:val="21"/>
                <w:szCs w:val="21"/>
              </w:rPr>
              <w:t>14、应严格按照地下水污染防治措施要求，对厂区进行防渗分区，并严格落实各区域的防渗措施。同时在运行过程中，加强日常检查工作，并对检查结果进行记录。</w:t>
            </w:r>
          </w:p>
          <w:p w14:paraId="53AAAD6F">
            <w:pPr>
              <w:adjustRightInd/>
              <w:snapToGrid/>
              <w:spacing w:line="320" w:lineRule="exact"/>
              <w:ind w:firstLine="0" w:firstLineChars="0"/>
              <w:rPr>
                <w:bCs/>
                <w:color w:val="auto"/>
                <w:sz w:val="21"/>
                <w:szCs w:val="21"/>
              </w:rPr>
            </w:pPr>
            <w:r>
              <w:rPr>
                <w:rFonts w:hint="eastAsia"/>
                <w:bCs/>
                <w:color w:val="auto"/>
                <w:sz w:val="21"/>
                <w:szCs w:val="21"/>
              </w:rPr>
              <w:t>15、危废贮存库应按《危险废物贮存污染控制标准》（GB 18597—2023）相关要求建设，贮存间内设置导流沟及收集池。</w:t>
            </w:r>
          </w:p>
          <w:p w14:paraId="184FAEA1">
            <w:pPr>
              <w:adjustRightInd/>
              <w:snapToGrid/>
              <w:spacing w:line="320" w:lineRule="exact"/>
              <w:ind w:firstLine="0" w:firstLineChars="0"/>
              <w:rPr>
                <w:bCs/>
                <w:color w:val="auto"/>
                <w:sz w:val="21"/>
                <w:szCs w:val="21"/>
              </w:rPr>
            </w:pPr>
            <w:r>
              <w:rPr>
                <w:rFonts w:hint="eastAsia"/>
                <w:bCs/>
                <w:color w:val="auto"/>
                <w:sz w:val="21"/>
                <w:szCs w:val="21"/>
              </w:rPr>
              <w:t>16、与园区建立联动机制，拟建项目事故池容量不能满足要求，启动园区事故池，将事故废水导入园区事故池，待污水处理设施系统正常后，将事故废水导入项目废水处理系统处理达标后综合利用或外排。</w:t>
            </w:r>
          </w:p>
          <w:p w14:paraId="5D174272">
            <w:pPr>
              <w:adjustRightInd/>
              <w:snapToGrid/>
              <w:spacing w:line="320" w:lineRule="exact"/>
              <w:ind w:firstLine="0" w:firstLineChars="0"/>
              <w:rPr>
                <w:bCs/>
                <w:color w:val="auto"/>
                <w:sz w:val="21"/>
                <w:szCs w:val="21"/>
              </w:rPr>
            </w:pPr>
            <w:r>
              <w:rPr>
                <w:rFonts w:hint="eastAsia"/>
                <w:bCs/>
                <w:color w:val="auto"/>
                <w:sz w:val="21"/>
                <w:szCs w:val="21"/>
              </w:rPr>
              <w:t>17、污水处理厂运行前，企业应制定环境应急预案，明确环境风险防范措施，制定出详细的、内容</w:t>
            </w:r>
            <w:r>
              <w:rPr>
                <w:rFonts w:hint="eastAsia"/>
                <w:bCs/>
                <w:color w:val="auto"/>
                <w:sz w:val="21"/>
                <w:szCs w:val="21"/>
                <w:lang w:eastAsia="zh-CN"/>
              </w:rPr>
              <w:t>翔实</w:t>
            </w:r>
            <w:r>
              <w:rPr>
                <w:rFonts w:hint="eastAsia"/>
                <w:bCs/>
                <w:color w:val="auto"/>
                <w:sz w:val="21"/>
                <w:szCs w:val="21"/>
              </w:rPr>
              <w:t>、可操作性强的应急预案。</w:t>
            </w:r>
          </w:p>
        </w:tc>
      </w:tr>
    </w:tbl>
    <w:p w14:paraId="11D7E57C">
      <w:pPr>
        <w:spacing w:line="360" w:lineRule="auto"/>
        <w:ind w:firstLine="0" w:firstLineChars="0"/>
        <w:rPr>
          <w:color w:val="auto"/>
        </w:rPr>
      </w:pPr>
      <w:r>
        <w:rPr>
          <w:color w:val="auto"/>
        </w:rPr>
        <w:br w:type="page"/>
      </w:r>
    </w:p>
    <w:p w14:paraId="4E851B0E">
      <w:pPr>
        <w:pStyle w:val="3"/>
        <w:numPr>
          <w:ilvl w:val="0"/>
          <w:numId w:val="0"/>
        </w:numPr>
        <w:spacing w:line="360" w:lineRule="auto"/>
        <w:rPr>
          <w:color w:val="auto"/>
          <w:sz w:val="24"/>
          <w:szCs w:val="24"/>
        </w:rPr>
      </w:pPr>
      <w:bookmarkStart w:id="294" w:name="_Toc472509334"/>
      <w:bookmarkStart w:id="295" w:name="_Toc462350327"/>
      <w:bookmarkStart w:id="296" w:name="_Toc21098"/>
      <w:bookmarkStart w:id="297" w:name="_Toc462350349"/>
      <w:bookmarkStart w:id="298" w:name="_Toc472509343"/>
      <w:r>
        <w:rPr>
          <w:color w:val="auto"/>
          <w:sz w:val="24"/>
          <w:szCs w:val="24"/>
        </w:rPr>
        <w:t>8环境保护措施及其</w:t>
      </w:r>
      <w:r>
        <w:rPr>
          <w:rFonts w:hint="eastAsia"/>
          <w:color w:val="auto"/>
          <w:sz w:val="24"/>
          <w:szCs w:val="24"/>
        </w:rPr>
        <w:t>可行性</w:t>
      </w:r>
      <w:r>
        <w:rPr>
          <w:color w:val="auto"/>
          <w:sz w:val="24"/>
          <w:szCs w:val="24"/>
        </w:rPr>
        <w:t>论证</w:t>
      </w:r>
      <w:bookmarkEnd w:id="294"/>
      <w:bookmarkEnd w:id="295"/>
      <w:bookmarkEnd w:id="296"/>
    </w:p>
    <w:p w14:paraId="5E0BF3A3">
      <w:pPr>
        <w:pStyle w:val="4"/>
        <w:numPr>
          <w:ilvl w:val="0"/>
          <w:numId w:val="0"/>
        </w:numPr>
        <w:spacing w:line="360" w:lineRule="auto"/>
        <w:rPr>
          <w:color w:val="auto"/>
          <w:szCs w:val="24"/>
        </w:rPr>
      </w:pPr>
      <w:bookmarkStart w:id="299" w:name="_Toc252697940"/>
      <w:bookmarkStart w:id="300" w:name="_Toc295908702"/>
      <w:bookmarkStart w:id="301" w:name="_Toc266316243"/>
      <w:bookmarkStart w:id="302" w:name="_Toc12189"/>
      <w:bookmarkStart w:id="303" w:name="_Toc16640"/>
      <w:bookmarkStart w:id="304" w:name="_Toc447638898"/>
      <w:bookmarkStart w:id="305" w:name="_Toc439"/>
      <w:bookmarkStart w:id="306" w:name="_Toc280293835"/>
      <w:bookmarkStart w:id="307" w:name="_Toc542"/>
      <w:r>
        <w:rPr>
          <w:color w:val="auto"/>
          <w:szCs w:val="24"/>
        </w:rPr>
        <w:t>8.1施工期环境保护措施</w:t>
      </w:r>
      <w:bookmarkEnd w:id="299"/>
      <w:bookmarkEnd w:id="300"/>
      <w:bookmarkEnd w:id="301"/>
      <w:bookmarkEnd w:id="302"/>
      <w:bookmarkEnd w:id="303"/>
      <w:bookmarkEnd w:id="304"/>
      <w:bookmarkEnd w:id="305"/>
      <w:bookmarkEnd w:id="306"/>
      <w:bookmarkEnd w:id="307"/>
    </w:p>
    <w:p w14:paraId="5916C4B2">
      <w:pPr>
        <w:pStyle w:val="5"/>
        <w:numPr>
          <w:ilvl w:val="0"/>
          <w:numId w:val="0"/>
        </w:numPr>
        <w:spacing w:line="360" w:lineRule="auto"/>
        <w:rPr>
          <w:color w:val="auto"/>
          <w:szCs w:val="24"/>
        </w:rPr>
      </w:pPr>
      <w:r>
        <w:rPr>
          <w:color w:val="auto"/>
          <w:szCs w:val="24"/>
        </w:rPr>
        <w:t>8.1.1水环境保护措施</w:t>
      </w:r>
    </w:p>
    <w:p w14:paraId="0ADF92B2">
      <w:pPr>
        <w:spacing w:line="360" w:lineRule="auto"/>
        <w:ind w:firstLine="480"/>
        <w:rPr>
          <w:color w:val="auto"/>
          <w:szCs w:val="24"/>
        </w:rPr>
      </w:pPr>
      <w:bookmarkStart w:id="308" w:name="_Toc80979170"/>
      <w:bookmarkStart w:id="309" w:name="_Toc74541773"/>
      <w:bookmarkStart w:id="310" w:name="_Toc86191584"/>
      <w:bookmarkStart w:id="311" w:name="_Toc86828384"/>
      <w:bookmarkStart w:id="312" w:name="_Toc83279391"/>
      <w:bookmarkStart w:id="313" w:name="_Toc74394910"/>
      <w:bookmarkStart w:id="314" w:name="_Toc83986477"/>
      <w:bookmarkStart w:id="315" w:name="_Toc74102334"/>
      <w:bookmarkStart w:id="316" w:name="_Toc81067306"/>
      <w:bookmarkStart w:id="317" w:name="_Toc83353787"/>
      <w:bookmarkStart w:id="318" w:name="_Toc83355726"/>
      <w:bookmarkStart w:id="319" w:name="_Toc84072115"/>
      <w:bookmarkStart w:id="320" w:name="_Toc74563298"/>
      <w:r>
        <w:rPr>
          <w:color w:val="auto"/>
          <w:szCs w:val="24"/>
        </w:rPr>
        <w:t>（1）施工废水处理措施</w:t>
      </w:r>
    </w:p>
    <w:p w14:paraId="1C55E9AB">
      <w:pPr>
        <w:spacing w:line="360" w:lineRule="auto"/>
        <w:ind w:firstLine="480"/>
        <w:rPr>
          <w:color w:val="auto"/>
          <w:szCs w:val="24"/>
        </w:rPr>
      </w:pPr>
      <w:r>
        <w:rPr>
          <w:color w:val="auto"/>
          <w:szCs w:val="24"/>
        </w:rPr>
        <w:t>A、施工期生产废水设沉淀池处理，经沉淀后的废水循环使用，回用于施工用水或防尘洒水。施工期间，严禁乱排、乱流污染道路、环境。</w:t>
      </w:r>
    </w:p>
    <w:p w14:paraId="48890E71">
      <w:pPr>
        <w:spacing w:line="360" w:lineRule="auto"/>
        <w:ind w:firstLine="480"/>
        <w:rPr>
          <w:color w:val="auto"/>
          <w:szCs w:val="24"/>
        </w:rPr>
      </w:pPr>
      <w:r>
        <w:rPr>
          <w:color w:val="auto"/>
          <w:szCs w:val="24"/>
        </w:rPr>
        <w:t>B、在施工中，应合理安排施工计划、施工程序，协调好各个施工步骤，雨季中尽量减少开挖面，减少堆土裸土的暴露时间，以避免受降雨的直接冲刷，在暴雨期，还应采取应急措施，尽量用覆盖物覆盖新开挖的陡坡，防止冲刷和塌崩。</w:t>
      </w:r>
    </w:p>
    <w:p w14:paraId="1995A610">
      <w:pPr>
        <w:spacing w:line="360" w:lineRule="auto"/>
        <w:ind w:firstLine="480"/>
        <w:rPr>
          <w:color w:val="auto"/>
          <w:szCs w:val="24"/>
        </w:rPr>
      </w:pPr>
      <w:r>
        <w:rPr>
          <w:color w:val="auto"/>
          <w:szCs w:val="24"/>
        </w:rPr>
        <w:t>C、出入施工场地的渣土车辆经过冲洗干净后方可进入城市道路，冲洗废水经过沉淀处理后回用。</w:t>
      </w:r>
    </w:p>
    <w:p w14:paraId="7EEF06D7">
      <w:pPr>
        <w:spacing w:line="360" w:lineRule="auto"/>
        <w:ind w:firstLine="480"/>
        <w:rPr>
          <w:color w:val="auto"/>
          <w:szCs w:val="24"/>
        </w:rPr>
      </w:pPr>
      <w:r>
        <w:rPr>
          <w:color w:val="auto"/>
          <w:szCs w:val="24"/>
        </w:rPr>
        <w:t>（2）施工期生活污水处理措施</w:t>
      </w:r>
    </w:p>
    <w:p w14:paraId="2393D534">
      <w:pPr>
        <w:spacing w:line="360" w:lineRule="auto"/>
        <w:ind w:firstLine="480"/>
        <w:rPr>
          <w:color w:val="auto"/>
          <w:szCs w:val="24"/>
        </w:rPr>
      </w:pPr>
      <w:r>
        <w:rPr>
          <w:color w:val="auto"/>
          <w:szCs w:val="24"/>
        </w:rPr>
        <w:t>施工期场地内不设置施工营地，</w:t>
      </w:r>
      <w:bookmarkEnd w:id="308"/>
      <w:bookmarkEnd w:id="309"/>
      <w:bookmarkEnd w:id="310"/>
      <w:bookmarkEnd w:id="311"/>
      <w:bookmarkEnd w:id="312"/>
      <w:bookmarkEnd w:id="313"/>
      <w:bookmarkEnd w:id="314"/>
      <w:bookmarkEnd w:id="315"/>
      <w:bookmarkEnd w:id="316"/>
      <w:bookmarkEnd w:id="317"/>
      <w:bookmarkEnd w:id="318"/>
      <w:bookmarkEnd w:id="319"/>
      <w:bookmarkEnd w:id="320"/>
      <w:r>
        <w:rPr>
          <w:rFonts w:hint="eastAsia"/>
          <w:color w:val="auto"/>
          <w:szCs w:val="24"/>
        </w:rPr>
        <w:t>施工人员产生的少量粪便污水拟依托园区现有生活设施处置，污废水不得随意外排。</w:t>
      </w:r>
    </w:p>
    <w:p w14:paraId="109DD373">
      <w:pPr>
        <w:spacing w:line="360" w:lineRule="auto"/>
        <w:ind w:firstLine="480"/>
        <w:rPr>
          <w:snapToGrid w:val="0"/>
          <w:color w:val="auto"/>
          <w:kern w:val="0"/>
          <w:szCs w:val="24"/>
        </w:rPr>
      </w:pPr>
      <w:r>
        <w:rPr>
          <w:snapToGrid w:val="0"/>
          <w:color w:val="auto"/>
          <w:kern w:val="0"/>
          <w:szCs w:val="24"/>
        </w:rPr>
        <w:t>在采取以上水污染防治措施后，施工期产生的废水对水环境影响小，污染防治措施可行。</w:t>
      </w:r>
    </w:p>
    <w:p w14:paraId="19C1C2DA">
      <w:pPr>
        <w:pStyle w:val="5"/>
        <w:numPr>
          <w:ilvl w:val="0"/>
          <w:numId w:val="0"/>
        </w:numPr>
        <w:spacing w:line="360" w:lineRule="auto"/>
        <w:rPr>
          <w:color w:val="auto"/>
          <w:szCs w:val="24"/>
        </w:rPr>
      </w:pPr>
      <w:r>
        <w:rPr>
          <w:color w:val="auto"/>
          <w:szCs w:val="24"/>
        </w:rPr>
        <w:t>8.1.2大气环境保护措施</w:t>
      </w:r>
    </w:p>
    <w:p w14:paraId="1C361E45">
      <w:pPr>
        <w:spacing w:line="360" w:lineRule="auto"/>
        <w:ind w:firstLine="480"/>
        <w:rPr>
          <w:color w:val="auto"/>
          <w:szCs w:val="24"/>
        </w:rPr>
      </w:pPr>
      <w:bookmarkStart w:id="321" w:name="_Ref247171334"/>
      <w:r>
        <w:rPr>
          <w:color w:val="auto"/>
          <w:szCs w:val="24"/>
        </w:rPr>
        <w:t>拟建项目施工过程大气环境保护严格按照</w:t>
      </w:r>
      <w:r>
        <w:rPr>
          <w:snapToGrid w:val="0"/>
          <w:color w:val="auto"/>
          <w:szCs w:val="24"/>
        </w:rPr>
        <w:t>相关环保措施执行，主要包括：</w:t>
      </w:r>
    </w:p>
    <w:p w14:paraId="7BCC32E2">
      <w:pPr>
        <w:spacing w:line="360" w:lineRule="auto"/>
        <w:ind w:firstLine="480"/>
        <w:rPr>
          <w:color w:val="auto"/>
          <w:szCs w:val="24"/>
        </w:rPr>
      </w:pPr>
      <w:r>
        <w:rPr>
          <w:color w:val="auto"/>
          <w:szCs w:val="24"/>
        </w:rPr>
        <w:t>（1）扬尘污染防治措施</w:t>
      </w:r>
      <w:bookmarkEnd w:id="321"/>
    </w:p>
    <w:p w14:paraId="6FD50911">
      <w:pPr>
        <w:spacing w:line="360" w:lineRule="auto"/>
        <w:ind w:firstLine="480"/>
        <w:rPr>
          <w:color w:val="auto"/>
          <w:szCs w:val="24"/>
        </w:rPr>
      </w:pPr>
      <w:r>
        <w:rPr>
          <w:color w:val="auto"/>
          <w:szCs w:val="24"/>
        </w:rPr>
        <w:t>针对施工期扬尘的问题，拟建工程在施工期拟采取如下控制措施：</w:t>
      </w:r>
    </w:p>
    <w:p w14:paraId="72780F3B">
      <w:pPr>
        <w:spacing w:line="360" w:lineRule="auto"/>
        <w:ind w:firstLine="480"/>
        <w:rPr>
          <w:bCs/>
          <w:color w:val="auto"/>
          <w:szCs w:val="24"/>
        </w:rPr>
      </w:pPr>
      <w:r>
        <w:rPr>
          <w:rFonts w:hint="eastAsia" w:ascii="宋体" w:hAnsi="宋体" w:cs="宋体"/>
          <w:bCs/>
          <w:color w:val="auto"/>
          <w:szCs w:val="24"/>
        </w:rPr>
        <w:t>①</w:t>
      </w:r>
      <w:r>
        <w:rPr>
          <w:bCs/>
          <w:color w:val="auto"/>
          <w:szCs w:val="24"/>
        </w:rPr>
        <w:t>实行封闭施工</w:t>
      </w:r>
    </w:p>
    <w:p w14:paraId="6620EC96">
      <w:pPr>
        <w:spacing w:line="360" w:lineRule="auto"/>
        <w:ind w:firstLine="480"/>
        <w:rPr>
          <w:bCs/>
          <w:color w:val="auto"/>
          <w:szCs w:val="24"/>
        </w:rPr>
      </w:pPr>
      <w:r>
        <w:rPr>
          <w:bCs/>
          <w:color w:val="auto"/>
          <w:szCs w:val="24"/>
        </w:rPr>
        <w:t>建筑工地实行全围挡封闭施工，</w:t>
      </w:r>
      <w:r>
        <w:rPr>
          <w:rFonts w:hint="eastAsia"/>
          <w:bCs/>
          <w:color w:val="auto"/>
          <w:szCs w:val="24"/>
          <w:lang w:eastAsia="zh-CN"/>
        </w:rPr>
        <w:t>围挡</w:t>
      </w:r>
      <w:r>
        <w:rPr>
          <w:bCs/>
          <w:color w:val="auto"/>
          <w:szCs w:val="24"/>
        </w:rPr>
        <w:t>高度不低于1.8m。围挡要坚固、稳定、规范、美观；建筑工地脚手架外侧必须用密目式安全网全封闭，封闭高度要高出作业面1.5m以上并定期清洁保洁。</w:t>
      </w:r>
    </w:p>
    <w:p w14:paraId="256B3987">
      <w:pPr>
        <w:spacing w:line="360" w:lineRule="auto"/>
        <w:ind w:firstLine="480"/>
        <w:rPr>
          <w:bCs/>
          <w:color w:val="auto"/>
          <w:szCs w:val="24"/>
        </w:rPr>
      </w:pPr>
      <w:r>
        <w:rPr>
          <w:rFonts w:hint="eastAsia" w:ascii="宋体" w:hAnsi="宋体" w:cs="宋体"/>
          <w:bCs/>
          <w:color w:val="auto"/>
          <w:szCs w:val="24"/>
        </w:rPr>
        <w:t>②</w:t>
      </w:r>
      <w:r>
        <w:rPr>
          <w:bCs/>
          <w:color w:val="auto"/>
          <w:szCs w:val="24"/>
        </w:rPr>
        <w:t>加强施工现场扬尘控制</w:t>
      </w:r>
    </w:p>
    <w:p w14:paraId="70AB6E4A">
      <w:pPr>
        <w:spacing w:line="360" w:lineRule="auto"/>
        <w:ind w:firstLine="480"/>
        <w:rPr>
          <w:bCs/>
          <w:color w:val="auto"/>
          <w:szCs w:val="24"/>
        </w:rPr>
      </w:pPr>
      <w:r>
        <w:rPr>
          <w:bCs/>
          <w:color w:val="auto"/>
          <w:szCs w:val="24"/>
        </w:rPr>
        <w:t>对建筑工地安排工作人员定期洒水降尘。洒水次数根据天气状况而定，一般每天洒水1-2次；若遇到大风或干燥天气可适当增加洒水次数。场地洒水后，扬尘量将减低28-75%，大大减少了对周围环境的影响。对施工场地周围的主要道路实行机械化洒水清扫，每日至少冲洗1次，雨后也应及时冲洗。采用人工方式清扫的，应符合市容环境卫生作业服务规范。</w:t>
      </w:r>
    </w:p>
    <w:p w14:paraId="04B843CF">
      <w:pPr>
        <w:spacing w:line="360" w:lineRule="auto"/>
        <w:ind w:firstLine="480"/>
        <w:rPr>
          <w:bCs/>
          <w:color w:val="auto"/>
          <w:szCs w:val="24"/>
        </w:rPr>
      </w:pPr>
      <w:r>
        <w:rPr>
          <w:rFonts w:hint="eastAsia" w:ascii="宋体" w:hAnsi="宋体" w:cs="宋体"/>
          <w:bCs/>
          <w:color w:val="auto"/>
          <w:szCs w:val="24"/>
        </w:rPr>
        <w:t>③</w:t>
      </w:r>
      <w:r>
        <w:rPr>
          <w:bCs/>
          <w:color w:val="auto"/>
          <w:szCs w:val="24"/>
        </w:rPr>
        <w:t>使用商品混凝土</w:t>
      </w:r>
    </w:p>
    <w:p w14:paraId="29618941">
      <w:pPr>
        <w:spacing w:line="360" w:lineRule="auto"/>
        <w:ind w:firstLine="480"/>
        <w:rPr>
          <w:bCs/>
          <w:color w:val="auto"/>
          <w:szCs w:val="24"/>
        </w:rPr>
      </w:pPr>
      <w:r>
        <w:rPr>
          <w:bCs/>
          <w:color w:val="auto"/>
          <w:szCs w:val="24"/>
        </w:rPr>
        <w:t>本环评建议项目建设使用商品混凝土。</w:t>
      </w:r>
    </w:p>
    <w:p w14:paraId="7F64577D">
      <w:pPr>
        <w:spacing w:line="360" w:lineRule="auto"/>
        <w:ind w:firstLine="480"/>
        <w:rPr>
          <w:bCs/>
          <w:color w:val="auto"/>
          <w:szCs w:val="24"/>
        </w:rPr>
      </w:pPr>
      <w:r>
        <w:rPr>
          <w:rFonts w:hint="eastAsia" w:ascii="宋体" w:hAnsi="宋体" w:cs="宋体"/>
          <w:bCs/>
          <w:color w:val="auto"/>
          <w:szCs w:val="24"/>
        </w:rPr>
        <w:t>④</w:t>
      </w:r>
      <w:r>
        <w:rPr>
          <w:bCs/>
          <w:color w:val="auto"/>
          <w:szCs w:val="24"/>
        </w:rPr>
        <w:t>实行硬地坪施工</w:t>
      </w:r>
    </w:p>
    <w:p w14:paraId="6170742D">
      <w:pPr>
        <w:spacing w:line="360" w:lineRule="auto"/>
        <w:ind w:firstLine="480"/>
        <w:rPr>
          <w:bCs/>
          <w:color w:val="auto"/>
          <w:szCs w:val="24"/>
        </w:rPr>
      </w:pPr>
      <w:r>
        <w:rPr>
          <w:bCs/>
          <w:color w:val="auto"/>
          <w:szCs w:val="24"/>
        </w:rPr>
        <w:t>建筑工地的场内道路和建筑材料堆放场须硬化。采用桩基础的工地要进行硬化处理，实行硬地坪施工。工地出入口必须设置车辆冲洗、排水设施。</w:t>
      </w:r>
    </w:p>
    <w:p w14:paraId="57081A3A">
      <w:pPr>
        <w:spacing w:line="360" w:lineRule="auto"/>
        <w:ind w:firstLine="480"/>
        <w:rPr>
          <w:rFonts w:ascii="宋体" w:hAnsi="宋体" w:cs="宋体"/>
          <w:bCs/>
          <w:color w:val="auto"/>
          <w:szCs w:val="24"/>
        </w:rPr>
      </w:pPr>
      <w:r>
        <w:rPr>
          <w:rFonts w:hint="eastAsia" w:ascii="宋体" w:hAnsi="宋体" w:cs="宋体"/>
          <w:bCs/>
          <w:color w:val="auto"/>
          <w:szCs w:val="24"/>
        </w:rPr>
        <w:t>⑤</w:t>
      </w:r>
      <w:r>
        <w:rPr>
          <w:rFonts w:ascii="宋体" w:hAnsi="宋体" w:cs="宋体"/>
          <w:bCs/>
          <w:color w:val="auto"/>
          <w:szCs w:val="24"/>
        </w:rPr>
        <w:t>加强施工现场运输车辆管理</w:t>
      </w:r>
    </w:p>
    <w:p w14:paraId="30C4E6DE">
      <w:pPr>
        <w:spacing w:line="360" w:lineRule="auto"/>
        <w:ind w:firstLine="480"/>
        <w:rPr>
          <w:bCs/>
          <w:color w:val="auto"/>
          <w:szCs w:val="24"/>
        </w:rPr>
      </w:pPr>
      <w:r>
        <w:rPr>
          <w:bCs/>
          <w:color w:val="auto"/>
          <w:szCs w:val="24"/>
        </w:rPr>
        <w:t>由于水泥、弃土弃渣等均是易扬尘物质，因此运输车辆必须进行密闭运输，并取得《重庆市密闭式运输易扬尘物质车辆合格证》。运输建筑渣土</w:t>
      </w:r>
      <w:r>
        <w:rPr>
          <w:rFonts w:hint="eastAsia"/>
          <w:bCs/>
          <w:color w:val="auto"/>
          <w:szCs w:val="24"/>
        </w:rPr>
        <w:t>及其它</w:t>
      </w:r>
      <w:r>
        <w:rPr>
          <w:bCs/>
          <w:color w:val="auto"/>
          <w:szCs w:val="24"/>
        </w:rPr>
        <w:t>易撒漏物质必须装载规范，保持密闭式运输装置完好和车容整洁，不得沿途飞扬、撒漏和带泥上路。</w:t>
      </w:r>
    </w:p>
    <w:p w14:paraId="41806E0D">
      <w:pPr>
        <w:spacing w:line="360" w:lineRule="auto"/>
        <w:ind w:firstLine="480"/>
        <w:rPr>
          <w:bCs/>
          <w:color w:val="auto"/>
          <w:szCs w:val="24"/>
        </w:rPr>
      </w:pPr>
      <w:r>
        <w:rPr>
          <w:rFonts w:hint="eastAsia" w:ascii="宋体" w:hAnsi="宋体" w:cs="宋体"/>
          <w:bCs/>
          <w:color w:val="auto"/>
          <w:szCs w:val="24"/>
        </w:rPr>
        <w:t>⑥</w:t>
      </w:r>
      <w:r>
        <w:rPr>
          <w:bCs/>
          <w:color w:val="auto"/>
          <w:szCs w:val="24"/>
        </w:rPr>
        <w:t>加强施工现场固废的管理</w:t>
      </w:r>
    </w:p>
    <w:p w14:paraId="0AB355BD">
      <w:pPr>
        <w:spacing w:line="360" w:lineRule="auto"/>
        <w:ind w:firstLine="480"/>
        <w:rPr>
          <w:bCs/>
          <w:color w:val="auto"/>
          <w:szCs w:val="24"/>
        </w:rPr>
      </w:pPr>
      <w:r>
        <w:rPr>
          <w:bCs/>
          <w:color w:val="auto"/>
          <w:szCs w:val="24"/>
        </w:rPr>
        <w:t>露天堆放水泥、灰浆、灰膏等易扬撒的物料或48小时内不能清运的建筑垃圾，应当设置不低于堆放物高度的密闭围栏并予以覆盖。</w:t>
      </w:r>
    </w:p>
    <w:p w14:paraId="00EB91D9">
      <w:pPr>
        <w:spacing w:line="360" w:lineRule="auto"/>
        <w:ind w:firstLine="480"/>
        <w:rPr>
          <w:bCs/>
          <w:color w:val="auto"/>
          <w:szCs w:val="24"/>
        </w:rPr>
      </w:pPr>
      <w:r>
        <w:rPr>
          <w:bCs/>
          <w:color w:val="auto"/>
          <w:szCs w:val="24"/>
        </w:rPr>
        <w:t>禁止从3m以上高处抛撒建筑垃圾或易扬撒的物料</w:t>
      </w:r>
      <w:r>
        <w:rPr>
          <w:rFonts w:hint="eastAsia"/>
          <w:bCs/>
          <w:color w:val="auto"/>
          <w:szCs w:val="24"/>
        </w:rPr>
        <w:t>，</w:t>
      </w:r>
      <w:r>
        <w:rPr>
          <w:bCs/>
          <w:color w:val="auto"/>
          <w:szCs w:val="24"/>
        </w:rPr>
        <w:t>完工后5日内清除建筑垃圾。</w:t>
      </w:r>
    </w:p>
    <w:p w14:paraId="2755F653">
      <w:pPr>
        <w:spacing w:line="360" w:lineRule="auto"/>
        <w:ind w:firstLine="480"/>
        <w:rPr>
          <w:bCs/>
          <w:color w:val="auto"/>
          <w:szCs w:val="24"/>
        </w:rPr>
      </w:pPr>
      <w:r>
        <w:rPr>
          <w:bCs/>
          <w:color w:val="auto"/>
          <w:szCs w:val="24"/>
        </w:rPr>
        <w:t>设专人负责施工现场的弃土、建筑垃圾、建筑材料的处置、清运和堆放工作，对建筑垃圾、弃土应及时处理、清运，以减少占地。</w:t>
      </w:r>
    </w:p>
    <w:p w14:paraId="764B07C1">
      <w:pPr>
        <w:spacing w:line="360" w:lineRule="auto"/>
        <w:ind w:firstLine="480"/>
        <w:rPr>
          <w:bCs/>
          <w:color w:val="auto"/>
          <w:szCs w:val="24"/>
        </w:rPr>
      </w:pPr>
      <w:r>
        <w:rPr>
          <w:rFonts w:hint="eastAsia" w:ascii="宋体" w:hAnsi="宋体" w:cs="宋体"/>
          <w:bCs/>
          <w:color w:val="auto"/>
          <w:szCs w:val="24"/>
        </w:rPr>
        <w:t>⑦</w:t>
      </w:r>
      <w:r>
        <w:rPr>
          <w:bCs/>
          <w:color w:val="auto"/>
          <w:szCs w:val="24"/>
        </w:rPr>
        <w:t>施工现场的各项管理措施</w:t>
      </w:r>
    </w:p>
    <w:p w14:paraId="29C1A787">
      <w:pPr>
        <w:spacing w:line="360" w:lineRule="auto"/>
        <w:ind w:firstLine="480"/>
        <w:rPr>
          <w:bCs/>
          <w:color w:val="auto"/>
          <w:szCs w:val="24"/>
        </w:rPr>
      </w:pPr>
      <w:r>
        <w:rPr>
          <w:bCs/>
          <w:color w:val="auto"/>
          <w:szCs w:val="24"/>
        </w:rPr>
        <w:t>适宜绿化的裸露泥地，责任人应当在园林绿化行政管理部门规定的期限内绿化；不适宜绿化的，应当硬化处理。待用泥土或种植后当天不能清运的余土以及48小时内未种植的树穴，应当予以覆盖；对行道树池进行绿化或覆盖；绿化带、花台的种植泥土不得高于绿化带、花台边沿。施工厂界出入口处悬挂明显的施工标牌和行车、行人安全标志以及门前三包责任书。</w:t>
      </w:r>
    </w:p>
    <w:p w14:paraId="4325700C">
      <w:pPr>
        <w:spacing w:line="360" w:lineRule="auto"/>
        <w:ind w:firstLine="480"/>
        <w:rPr>
          <w:color w:val="auto"/>
          <w:szCs w:val="24"/>
        </w:rPr>
      </w:pPr>
      <w:r>
        <w:rPr>
          <w:color w:val="auto"/>
          <w:szCs w:val="24"/>
        </w:rPr>
        <w:t>（2）车辆和机械尾气污染保护措施</w:t>
      </w:r>
    </w:p>
    <w:p w14:paraId="059BC657">
      <w:pPr>
        <w:spacing w:line="360" w:lineRule="auto"/>
        <w:ind w:firstLine="480"/>
        <w:rPr>
          <w:bCs/>
          <w:color w:val="auto"/>
          <w:szCs w:val="24"/>
        </w:rPr>
      </w:pPr>
      <w:r>
        <w:rPr>
          <w:bCs/>
          <w:color w:val="auto"/>
          <w:szCs w:val="24"/>
        </w:rPr>
        <w:fldChar w:fldCharType="begin"/>
      </w:r>
      <w:r>
        <w:rPr>
          <w:bCs/>
          <w:color w:val="auto"/>
          <w:szCs w:val="24"/>
        </w:rPr>
        <w:instrText xml:space="preserve"> = 1 \* GB3 </w:instrText>
      </w:r>
      <w:r>
        <w:rPr>
          <w:bCs/>
          <w:color w:val="auto"/>
          <w:szCs w:val="24"/>
        </w:rPr>
        <w:fldChar w:fldCharType="separate"/>
      </w:r>
      <w:r>
        <w:rPr>
          <w:rFonts w:hint="eastAsia" w:ascii="宋体" w:hAnsi="宋体" w:cs="宋体"/>
          <w:bCs/>
          <w:color w:val="auto"/>
          <w:szCs w:val="24"/>
        </w:rPr>
        <w:t>①</w:t>
      </w:r>
      <w:r>
        <w:rPr>
          <w:bCs/>
          <w:color w:val="auto"/>
          <w:szCs w:val="24"/>
        </w:rPr>
        <w:fldChar w:fldCharType="end"/>
      </w:r>
      <w:r>
        <w:rPr>
          <w:bCs/>
          <w:color w:val="auto"/>
          <w:szCs w:val="24"/>
        </w:rPr>
        <w:t>加强大型施工机械和车辆的管理，执行定期检查维护制度。建设单位所有燃油机械和车辆尾气排放应达标排放。施工机械使用无铅汽油等优质燃料。发动机耗油多、效率低、排放尾气严重超标的老旧车辆，应予更新，禁止尾气排放不达标的车辆和施工机械运行作业。</w:t>
      </w:r>
    </w:p>
    <w:p w14:paraId="424A0733">
      <w:pPr>
        <w:spacing w:line="360" w:lineRule="auto"/>
        <w:ind w:firstLine="480"/>
        <w:rPr>
          <w:bCs/>
          <w:color w:val="auto"/>
          <w:szCs w:val="24"/>
        </w:rPr>
      </w:pPr>
      <w:r>
        <w:rPr>
          <w:bCs/>
          <w:color w:val="auto"/>
          <w:szCs w:val="24"/>
        </w:rPr>
        <w:fldChar w:fldCharType="begin"/>
      </w:r>
      <w:r>
        <w:rPr>
          <w:bCs/>
          <w:color w:val="auto"/>
          <w:szCs w:val="24"/>
        </w:rPr>
        <w:instrText xml:space="preserve"> = 2 \* GB3 </w:instrText>
      </w:r>
      <w:r>
        <w:rPr>
          <w:bCs/>
          <w:color w:val="auto"/>
          <w:szCs w:val="24"/>
        </w:rPr>
        <w:fldChar w:fldCharType="separate"/>
      </w:r>
      <w:r>
        <w:rPr>
          <w:rFonts w:hint="eastAsia" w:ascii="宋体" w:hAnsi="宋体" w:cs="宋体"/>
          <w:bCs/>
          <w:color w:val="auto"/>
          <w:szCs w:val="24"/>
        </w:rPr>
        <w:t>②</w:t>
      </w:r>
      <w:r>
        <w:rPr>
          <w:bCs/>
          <w:color w:val="auto"/>
          <w:szCs w:val="24"/>
        </w:rPr>
        <w:fldChar w:fldCharType="end"/>
      </w:r>
      <w:r>
        <w:rPr>
          <w:bCs/>
          <w:color w:val="auto"/>
          <w:szCs w:val="24"/>
        </w:rPr>
        <w:t>运输车辆和施工机械发生故障和损坏，必须及时维修或更新，防止设备带病运行从而加大废气对环境空气的污染。</w:t>
      </w:r>
    </w:p>
    <w:p w14:paraId="28D72947">
      <w:pPr>
        <w:spacing w:line="360" w:lineRule="auto"/>
        <w:ind w:firstLine="480"/>
        <w:rPr>
          <w:color w:val="auto"/>
          <w:szCs w:val="24"/>
        </w:rPr>
      </w:pPr>
      <w:r>
        <w:rPr>
          <w:snapToGrid w:val="0"/>
          <w:color w:val="auto"/>
          <w:kern w:val="0"/>
          <w:szCs w:val="24"/>
        </w:rPr>
        <w:t>通过以上措施，可以很大程度的削减扬尘产生量，扬尘对大气环境的影响不大，且只在施工期产生，不会造成长期影响，所以，施工扬尘对大气环境的影响是可以接受的，废气污染防治措施可行。</w:t>
      </w:r>
    </w:p>
    <w:p w14:paraId="3398279B">
      <w:pPr>
        <w:pStyle w:val="5"/>
        <w:numPr>
          <w:ilvl w:val="0"/>
          <w:numId w:val="0"/>
        </w:numPr>
        <w:spacing w:line="360" w:lineRule="auto"/>
        <w:rPr>
          <w:color w:val="auto"/>
          <w:szCs w:val="24"/>
        </w:rPr>
      </w:pPr>
      <w:r>
        <w:rPr>
          <w:color w:val="auto"/>
          <w:szCs w:val="24"/>
        </w:rPr>
        <w:t>8.1.3噪声防治措施</w:t>
      </w:r>
      <w:bookmarkStart w:id="322" w:name="_Toc86828397"/>
      <w:bookmarkStart w:id="323" w:name="_Toc74102349"/>
      <w:bookmarkStart w:id="324" w:name="_Toc83986490"/>
      <w:bookmarkStart w:id="325" w:name="_Toc74541794"/>
      <w:bookmarkStart w:id="326" w:name="_Toc86191597"/>
      <w:bookmarkStart w:id="327" w:name="_Toc81067327"/>
      <w:bookmarkStart w:id="328" w:name="_Toc74394931"/>
      <w:bookmarkStart w:id="329" w:name="_Toc84072128"/>
      <w:bookmarkStart w:id="330" w:name="_Toc83355739"/>
      <w:bookmarkStart w:id="331" w:name="_Toc83279404"/>
      <w:bookmarkStart w:id="332" w:name="_Toc80979191"/>
      <w:bookmarkStart w:id="333" w:name="_Toc83353800"/>
      <w:bookmarkStart w:id="334" w:name="_Toc74563319"/>
    </w:p>
    <w:p w14:paraId="3927F7BB">
      <w:pPr>
        <w:spacing w:line="360" w:lineRule="auto"/>
        <w:ind w:firstLine="480"/>
        <w:rPr>
          <w:color w:val="auto"/>
          <w:szCs w:val="24"/>
          <w:lang w:val="zh-CN"/>
        </w:rPr>
      </w:pPr>
      <w:bookmarkStart w:id="335" w:name="_Toc300915617"/>
      <w:r>
        <w:rPr>
          <w:color w:val="auto"/>
          <w:szCs w:val="24"/>
          <w:lang w:val="zh-CN"/>
        </w:rPr>
        <w:t>施工期应按照</w:t>
      </w:r>
      <w:r>
        <w:rPr>
          <w:color w:val="auto"/>
        </w:rPr>
        <w:t>《重庆市环境保护条例》（</w:t>
      </w:r>
      <w:r>
        <w:rPr>
          <w:rFonts w:hint="eastAsia"/>
          <w:color w:val="auto"/>
        </w:rPr>
        <w:t>2022修订</w:t>
      </w:r>
      <w:r>
        <w:rPr>
          <w:color w:val="auto"/>
        </w:rPr>
        <w:t>）</w:t>
      </w:r>
      <w:r>
        <w:rPr>
          <w:color w:val="auto"/>
          <w:szCs w:val="24"/>
          <w:lang w:val="zh-CN"/>
        </w:rPr>
        <w:t>、</w:t>
      </w:r>
      <w:r>
        <w:rPr>
          <w:color w:val="auto"/>
          <w:szCs w:val="24"/>
        </w:rPr>
        <w:t>《重庆市噪声污染防治办法》（重庆市人民政府令第 363 号）等相关规定执行，严格施工噪声。</w:t>
      </w:r>
    </w:p>
    <w:p w14:paraId="21A7A14A">
      <w:pPr>
        <w:spacing w:line="360" w:lineRule="auto"/>
        <w:ind w:firstLine="480"/>
        <w:rPr>
          <w:color w:val="auto"/>
          <w:szCs w:val="24"/>
        </w:rPr>
      </w:pPr>
      <w:r>
        <w:rPr>
          <w:color w:val="auto"/>
          <w:szCs w:val="24"/>
        </w:rPr>
        <w:t>建设单位应加强施工过程的管理。采取如下</w:t>
      </w:r>
      <w:bookmarkEnd w:id="322"/>
      <w:bookmarkEnd w:id="323"/>
      <w:bookmarkEnd w:id="324"/>
      <w:bookmarkEnd w:id="325"/>
      <w:bookmarkEnd w:id="326"/>
      <w:bookmarkEnd w:id="327"/>
      <w:bookmarkEnd w:id="328"/>
      <w:bookmarkEnd w:id="329"/>
      <w:bookmarkEnd w:id="330"/>
      <w:bookmarkEnd w:id="331"/>
      <w:bookmarkEnd w:id="332"/>
      <w:bookmarkEnd w:id="333"/>
      <w:bookmarkEnd w:id="334"/>
      <w:r>
        <w:rPr>
          <w:color w:val="auto"/>
          <w:szCs w:val="24"/>
        </w:rPr>
        <w:t>施工噪声污染防治措施：</w:t>
      </w:r>
      <w:bookmarkEnd w:id="335"/>
    </w:p>
    <w:p w14:paraId="3A32A3C2">
      <w:pPr>
        <w:spacing w:line="360" w:lineRule="auto"/>
        <w:ind w:firstLine="480"/>
        <w:rPr>
          <w:color w:val="auto"/>
          <w:szCs w:val="24"/>
        </w:rPr>
      </w:pPr>
      <w:r>
        <w:rPr>
          <w:color w:val="auto"/>
          <w:szCs w:val="24"/>
        </w:rPr>
        <w:t>（1）使用低噪声机具和工艺。</w:t>
      </w:r>
    </w:p>
    <w:p w14:paraId="2FF202FF">
      <w:pPr>
        <w:spacing w:line="360" w:lineRule="auto"/>
        <w:ind w:firstLine="480"/>
        <w:rPr>
          <w:color w:val="auto"/>
          <w:szCs w:val="24"/>
        </w:rPr>
      </w:pPr>
      <w:r>
        <w:rPr>
          <w:color w:val="auto"/>
          <w:szCs w:val="24"/>
        </w:rPr>
        <w:t>推广使用先进的低噪声施工机具，昼间、夜间场界噪声必须满足国家规定的噪声限值（GB12523-2011）。</w:t>
      </w:r>
    </w:p>
    <w:p w14:paraId="2FE227E0">
      <w:pPr>
        <w:spacing w:line="360" w:lineRule="auto"/>
        <w:ind w:firstLine="480"/>
        <w:rPr>
          <w:color w:val="auto"/>
          <w:szCs w:val="24"/>
        </w:rPr>
      </w:pPr>
      <w:r>
        <w:rPr>
          <w:color w:val="auto"/>
          <w:szCs w:val="24"/>
        </w:rPr>
        <w:t>（2）合理安排施工方式。</w:t>
      </w:r>
    </w:p>
    <w:p w14:paraId="0BE8D1AA">
      <w:pPr>
        <w:spacing w:line="360" w:lineRule="auto"/>
        <w:ind w:firstLine="480"/>
        <w:rPr>
          <w:color w:val="auto"/>
          <w:szCs w:val="24"/>
        </w:rPr>
      </w:pPr>
      <w:r>
        <w:rPr>
          <w:color w:val="auto"/>
          <w:szCs w:val="24"/>
        </w:rPr>
        <w:t>合理布置建筑施工工地内的施工机具和设备，建筑工地采用围挡噪措施，对施工现场的强噪声设备应采取封闭措施，降低施工噪声对周围环境的影响。</w:t>
      </w:r>
    </w:p>
    <w:p w14:paraId="67066787">
      <w:pPr>
        <w:spacing w:line="360" w:lineRule="auto"/>
        <w:ind w:firstLine="480"/>
        <w:rPr>
          <w:color w:val="auto"/>
          <w:szCs w:val="24"/>
          <w:lang w:val="zh-CN"/>
        </w:rPr>
      </w:pPr>
      <w:r>
        <w:rPr>
          <w:color w:val="auto"/>
          <w:szCs w:val="24"/>
          <w:lang w:val="zh-CN"/>
        </w:rPr>
        <w:t>（3）合理安排施工时间</w:t>
      </w:r>
    </w:p>
    <w:p w14:paraId="5A7FBDCB">
      <w:pPr>
        <w:spacing w:line="360" w:lineRule="auto"/>
        <w:ind w:firstLine="480"/>
        <w:rPr>
          <w:color w:val="auto"/>
          <w:szCs w:val="24"/>
          <w:lang w:val="zh-CN"/>
        </w:rPr>
      </w:pPr>
      <w:r>
        <w:rPr>
          <w:color w:val="auto"/>
          <w:szCs w:val="24"/>
          <w:lang w:val="zh-CN"/>
        </w:rPr>
        <w:t>原则上禁止夜间连续施工作业；确因工艺要求必须连续24小时作业时，施工单位必须于夜间施工前4个工作日向环境保护主管部门申报夜间作业的原因、时段、作业点、使用机具的种类、数量以及施工场界噪声最大值（场界噪声最大值不能确定的，以施工机具说明书载明的噪声排放最大值代替），并出示市政、建设等有关部门的证明，经环境保护主管部门审核同意进行夜间作业的，施工单位在夜间施工前24小时在施工现场公告附近居民。由施工单位认真实施降噪措施，</w:t>
      </w:r>
      <w:r>
        <w:rPr>
          <w:rFonts w:hint="eastAsia"/>
          <w:color w:val="auto"/>
          <w:szCs w:val="24"/>
          <w:lang w:val="zh-CN"/>
        </w:rPr>
        <w:t>做好</w:t>
      </w:r>
      <w:r>
        <w:rPr>
          <w:color w:val="auto"/>
          <w:szCs w:val="24"/>
          <w:lang w:val="zh-CN"/>
        </w:rPr>
        <w:t>宣传解释工作，尽量取得公众的谅解，并接受公众和环保执法人员的监督。</w:t>
      </w:r>
    </w:p>
    <w:p w14:paraId="5B5BB08F">
      <w:pPr>
        <w:spacing w:line="360" w:lineRule="auto"/>
        <w:ind w:firstLine="480"/>
        <w:rPr>
          <w:color w:val="auto"/>
          <w:szCs w:val="24"/>
        </w:rPr>
      </w:pPr>
      <w:r>
        <w:rPr>
          <w:color w:val="auto"/>
          <w:szCs w:val="24"/>
        </w:rPr>
        <w:t>（4）加强对施工工地噪声的监管力度。</w:t>
      </w:r>
    </w:p>
    <w:p w14:paraId="27E8F8B0">
      <w:pPr>
        <w:spacing w:line="360" w:lineRule="auto"/>
        <w:ind w:firstLine="480"/>
        <w:rPr>
          <w:color w:val="auto"/>
          <w:szCs w:val="24"/>
        </w:rPr>
      </w:pPr>
      <w:r>
        <w:rPr>
          <w:color w:val="auto"/>
          <w:szCs w:val="24"/>
        </w:rPr>
        <w:t>施工单位应在建筑施工工地显著位置悬挂《建筑施工现场环境保护》标牌，载明工程项目名称、施工单位名称、施工单位负责人姓名、工程起止日期、建筑施工污染防治措施和联系电话等事项。</w:t>
      </w:r>
    </w:p>
    <w:p w14:paraId="30FFE136">
      <w:pPr>
        <w:spacing w:line="360" w:lineRule="auto"/>
        <w:ind w:firstLine="480"/>
        <w:rPr>
          <w:snapToGrid w:val="0"/>
          <w:color w:val="auto"/>
          <w:kern w:val="0"/>
          <w:szCs w:val="24"/>
        </w:rPr>
      </w:pPr>
      <w:r>
        <w:rPr>
          <w:snapToGrid w:val="0"/>
          <w:color w:val="auto"/>
          <w:kern w:val="0"/>
          <w:szCs w:val="24"/>
        </w:rPr>
        <w:t>通过实施以上污染防治措施，项目施工期噪声对周围环境的影响能降低到最低，污染防治措施可行。</w:t>
      </w:r>
    </w:p>
    <w:p w14:paraId="2B0AF27A">
      <w:pPr>
        <w:pStyle w:val="5"/>
        <w:numPr>
          <w:ilvl w:val="0"/>
          <w:numId w:val="0"/>
        </w:numPr>
        <w:spacing w:line="360" w:lineRule="auto"/>
        <w:rPr>
          <w:color w:val="auto"/>
          <w:szCs w:val="24"/>
        </w:rPr>
      </w:pPr>
      <w:r>
        <w:rPr>
          <w:color w:val="auto"/>
          <w:szCs w:val="24"/>
        </w:rPr>
        <w:t>8.1.4固体废物处理处置措施</w:t>
      </w:r>
    </w:p>
    <w:p w14:paraId="035387FA">
      <w:pPr>
        <w:spacing w:line="360" w:lineRule="auto"/>
        <w:ind w:firstLine="480"/>
        <w:rPr>
          <w:color w:val="auto"/>
          <w:szCs w:val="24"/>
          <w:lang w:val="zh-CN"/>
        </w:rPr>
      </w:pPr>
      <w:r>
        <w:rPr>
          <w:color w:val="auto"/>
          <w:szCs w:val="24"/>
          <w:lang w:val="zh-CN"/>
        </w:rPr>
        <w:t>项目施工过程中将产生一定量的建筑垃圾，其中可回收利用的分类收集后出售，剩余不可利用建筑垃圾主要为废弃混凝土块、废弃砖块等，均不含有毒有害物质，清运至</w:t>
      </w:r>
      <w:r>
        <w:rPr>
          <w:rFonts w:hint="eastAsia"/>
          <w:color w:val="auto"/>
          <w:szCs w:val="24"/>
          <w:lang w:val="zh-CN"/>
        </w:rPr>
        <w:t>建筑垃圾填埋场填埋</w:t>
      </w:r>
      <w:r>
        <w:rPr>
          <w:color w:val="auto"/>
          <w:szCs w:val="24"/>
          <w:lang w:val="zh-CN"/>
        </w:rPr>
        <w:t>。</w:t>
      </w:r>
      <w:r>
        <w:rPr>
          <w:rFonts w:hint="eastAsia"/>
          <w:color w:val="auto"/>
          <w:lang w:val="zh-CN"/>
        </w:rPr>
        <w:t>弃方直接用于园区其他施工</w:t>
      </w:r>
      <w:r>
        <w:rPr>
          <w:rFonts w:hint="eastAsia"/>
          <w:color w:val="auto"/>
        </w:rPr>
        <w:t>场地项目回填方。</w:t>
      </w:r>
    </w:p>
    <w:p w14:paraId="14E69808">
      <w:pPr>
        <w:spacing w:line="360" w:lineRule="auto"/>
        <w:ind w:firstLine="480"/>
        <w:rPr>
          <w:color w:val="auto"/>
          <w:szCs w:val="24"/>
        </w:rPr>
      </w:pPr>
      <w:r>
        <w:rPr>
          <w:color w:val="auto"/>
          <w:szCs w:val="24"/>
        </w:rPr>
        <w:t>施工人员生活垃圾在指定点收集，</w:t>
      </w:r>
      <w:r>
        <w:rPr>
          <w:color w:val="auto"/>
          <w:szCs w:val="24"/>
          <w:lang w:val="zh-CN"/>
        </w:rPr>
        <w:t>交市政环卫部门处置</w:t>
      </w:r>
      <w:r>
        <w:rPr>
          <w:color w:val="auto"/>
          <w:szCs w:val="24"/>
        </w:rPr>
        <w:t>。</w:t>
      </w:r>
    </w:p>
    <w:p w14:paraId="4B0F8D2A">
      <w:pPr>
        <w:pStyle w:val="4"/>
        <w:numPr>
          <w:ilvl w:val="0"/>
          <w:numId w:val="0"/>
        </w:numPr>
        <w:spacing w:line="360" w:lineRule="auto"/>
        <w:rPr>
          <w:color w:val="auto"/>
          <w:szCs w:val="24"/>
        </w:rPr>
      </w:pPr>
      <w:bookmarkStart w:id="336" w:name="_Toc7884"/>
      <w:r>
        <w:rPr>
          <w:color w:val="auto"/>
          <w:szCs w:val="24"/>
        </w:rPr>
        <w:t>8.2</w:t>
      </w:r>
      <w:r>
        <w:rPr>
          <w:rFonts w:hint="eastAsia"/>
          <w:color w:val="auto"/>
          <w:szCs w:val="24"/>
        </w:rPr>
        <w:t>运营期环境保护措施</w:t>
      </w:r>
      <w:bookmarkEnd w:id="336"/>
    </w:p>
    <w:p w14:paraId="0E7D0DA3">
      <w:pPr>
        <w:pStyle w:val="5"/>
        <w:numPr>
          <w:ilvl w:val="0"/>
          <w:numId w:val="0"/>
        </w:numPr>
        <w:spacing w:line="360" w:lineRule="auto"/>
        <w:rPr>
          <w:color w:val="auto"/>
          <w:szCs w:val="24"/>
        </w:rPr>
      </w:pPr>
      <w:r>
        <w:rPr>
          <w:color w:val="auto"/>
          <w:szCs w:val="24"/>
        </w:rPr>
        <w:t>8.2.1</w:t>
      </w:r>
      <w:r>
        <w:rPr>
          <w:rFonts w:hint="eastAsia"/>
          <w:color w:val="auto"/>
          <w:szCs w:val="24"/>
        </w:rPr>
        <w:t>地表水环境保护措施</w:t>
      </w:r>
    </w:p>
    <w:p w14:paraId="045F062A">
      <w:pPr>
        <w:spacing w:line="360" w:lineRule="auto"/>
        <w:ind w:firstLine="480"/>
        <w:rPr>
          <w:color w:val="auto"/>
          <w:szCs w:val="24"/>
        </w:rPr>
      </w:pPr>
      <w:r>
        <w:rPr>
          <w:rFonts w:hint="eastAsia"/>
          <w:color w:val="auto"/>
          <w:szCs w:val="24"/>
        </w:rPr>
        <w:t>（1）污水处理厂进水水质管理</w:t>
      </w:r>
    </w:p>
    <w:p w14:paraId="707F088A">
      <w:pPr>
        <w:spacing w:line="360" w:lineRule="auto"/>
        <w:ind w:firstLine="480"/>
        <w:rPr>
          <w:color w:val="auto"/>
        </w:rPr>
      </w:pPr>
      <w:r>
        <w:rPr>
          <w:rFonts w:hint="eastAsia"/>
          <w:color w:val="auto"/>
        </w:rPr>
        <w:t>拟建项目的服务范围为</w:t>
      </w:r>
      <w:r>
        <w:rPr>
          <w:rFonts w:hint="eastAsia"/>
          <w:color w:val="auto"/>
          <w:szCs w:val="24"/>
          <w:lang w:eastAsia="zh-CN"/>
        </w:rPr>
        <w:t>忠县、梁平、垫江、石柱和万州等周边区县</w:t>
      </w:r>
      <w:r>
        <w:rPr>
          <w:rFonts w:hint="eastAsia"/>
          <w:color w:val="auto"/>
          <w:szCs w:val="24"/>
        </w:rPr>
        <w:t>。</w:t>
      </w:r>
      <w:r>
        <w:rPr>
          <w:color w:val="auto"/>
        </w:rPr>
        <w:t>项目处理对象为</w:t>
      </w:r>
      <w:r>
        <w:rPr>
          <w:rFonts w:hint="eastAsia"/>
          <w:color w:val="auto"/>
        </w:rPr>
        <w:t>服务范围内</w:t>
      </w:r>
      <w:r>
        <w:rPr>
          <w:rFonts w:hint="eastAsia"/>
          <w:color w:val="auto"/>
          <w:szCs w:val="24"/>
        </w:rPr>
        <w:t>油气田</w:t>
      </w:r>
      <w:r>
        <w:rPr>
          <w:rFonts w:hint="eastAsia"/>
          <w:color w:val="auto"/>
        </w:rPr>
        <w:t>产生的压滤废水、钻采废水（包括：压裂返排水、产气废水等）和生活污水等，废水全部采用罐车运输。对每辆入厂废水进行水质检测分析</w:t>
      </w:r>
      <w:r>
        <w:rPr>
          <w:color w:val="auto"/>
        </w:rPr>
        <w:t>，</w:t>
      </w:r>
      <w:r>
        <w:rPr>
          <w:rFonts w:hint="eastAsia"/>
          <w:color w:val="auto"/>
        </w:rPr>
        <w:t>加强进水水质管理，确保各压裂返排水</w:t>
      </w:r>
      <w:r>
        <w:rPr>
          <w:color w:val="auto"/>
        </w:rPr>
        <w:t>、</w:t>
      </w:r>
      <w:r>
        <w:rPr>
          <w:rFonts w:hint="eastAsia"/>
          <w:color w:val="auto"/>
        </w:rPr>
        <w:t>气田水达到项目进水水质标准后</w:t>
      </w:r>
      <w:r>
        <w:rPr>
          <w:color w:val="auto"/>
          <w:szCs w:val="24"/>
        </w:rPr>
        <w:t>才能</w:t>
      </w:r>
      <w:r>
        <w:rPr>
          <w:rFonts w:hint="eastAsia"/>
          <w:color w:val="auto"/>
          <w:szCs w:val="24"/>
        </w:rPr>
        <w:t>进行卸车，</w:t>
      </w:r>
      <w:r>
        <w:rPr>
          <w:rFonts w:hint="eastAsia"/>
          <w:color w:val="auto"/>
        </w:rPr>
        <w:t>以确保项目污水处理系统的正常运行。</w:t>
      </w:r>
    </w:p>
    <w:p w14:paraId="529FB154">
      <w:pPr>
        <w:pStyle w:val="1990"/>
        <w:ind w:firstLine="480"/>
        <w:rPr>
          <w:color w:val="auto"/>
        </w:rPr>
      </w:pPr>
      <w:r>
        <w:rPr>
          <w:rFonts w:hint="eastAsia"/>
          <w:color w:val="auto"/>
        </w:rPr>
        <w:t>（2）处理工艺的可行性</w:t>
      </w:r>
    </w:p>
    <w:p w14:paraId="1DD2A85C">
      <w:pPr>
        <w:spacing w:line="360" w:lineRule="auto"/>
        <w:ind w:firstLine="480"/>
        <w:rPr>
          <w:color w:val="auto"/>
          <w:szCs w:val="24"/>
        </w:rPr>
      </w:pPr>
      <w:r>
        <w:rPr>
          <w:rFonts w:hint="eastAsia"/>
          <w:color w:val="auto"/>
          <w:szCs w:val="24"/>
        </w:rPr>
        <w:t>根据《排污许可证</w:t>
      </w:r>
      <w:r>
        <w:rPr>
          <w:color w:val="auto"/>
          <w:szCs w:val="24"/>
        </w:rPr>
        <w:t>申请与核发技术规范</w:t>
      </w:r>
      <w:r>
        <w:rPr>
          <w:rFonts w:hint="eastAsia"/>
          <w:color w:val="auto"/>
          <w:szCs w:val="24"/>
        </w:rPr>
        <w:t>水处理</w:t>
      </w:r>
      <w:r>
        <w:rPr>
          <w:color w:val="auto"/>
          <w:szCs w:val="24"/>
        </w:rPr>
        <w:t>（</w:t>
      </w:r>
      <w:r>
        <w:rPr>
          <w:rFonts w:hint="eastAsia"/>
          <w:color w:val="auto"/>
          <w:szCs w:val="24"/>
        </w:rPr>
        <w:t>试行</w:t>
      </w:r>
      <w:r>
        <w:rPr>
          <w:color w:val="auto"/>
          <w:szCs w:val="24"/>
        </w:rPr>
        <w:t>）</w:t>
      </w:r>
      <w:r>
        <w:rPr>
          <w:rFonts w:hint="eastAsia"/>
          <w:color w:val="auto"/>
          <w:szCs w:val="24"/>
        </w:rPr>
        <w:t>》（HJ978-2018），拟建项目为工业污水处理设施，拟建项目预处理工艺为</w:t>
      </w:r>
      <w:r>
        <w:rPr>
          <w:rFonts w:hint="eastAsia" w:cs="Tunga"/>
          <w:color w:val="auto"/>
        </w:rPr>
        <w:t>调节+气浮+化学沉淀+高密软化</w:t>
      </w:r>
      <w:r>
        <w:rPr>
          <w:rFonts w:hint="eastAsia"/>
          <w:color w:val="auto"/>
          <w:szCs w:val="24"/>
        </w:rPr>
        <w:t>，为《排污许可证</w:t>
      </w:r>
      <w:r>
        <w:rPr>
          <w:color w:val="auto"/>
          <w:szCs w:val="24"/>
        </w:rPr>
        <w:t>申请与核发技术规范</w:t>
      </w:r>
      <w:r>
        <w:rPr>
          <w:rFonts w:hint="eastAsia"/>
          <w:color w:val="auto"/>
          <w:szCs w:val="24"/>
        </w:rPr>
        <w:t>水处理</w:t>
      </w:r>
      <w:r>
        <w:rPr>
          <w:color w:val="auto"/>
          <w:szCs w:val="24"/>
        </w:rPr>
        <w:t>（</w:t>
      </w:r>
      <w:r>
        <w:rPr>
          <w:rFonts w:hint="eastAsia"/>
          <w:color w:val="auto"/>
          <w:szCs w:val="24"/>
        </w:rPr>
        <w:t>试行</w:t>
      </w:r>
      <w:r>
        <w:rPr>
          <w:color w:val="auto"/>
          <w:szCs w:val="24"/>
        </w:rPr>
        <w:t>）</w:t>
      </w:r>
      <w:r>
        <w:rPr>
          <w:rFonts w:hint="eastAsia"/>
          <w:color w:val="auto"/>
          <w:szCs w:val="24"/>
        </w:rPr>
        <w:t>》（HJ978-2018）中工业废水处理推荐的可行技术；深度处理工艺采用</w:t>
      </w:r>
      <w:r>
        <w:rPr>
          <w:rFonts w:hint="eastAsia" w:cs="Tunga"/>
          <w:color w:val="auto"/>
        </w:rPr>
        <w:t>芬顿氧化+中和沉淀+过滤+DTRO膜浓缩+浓水蒸发结晶</w:t>
      </w:r>
      <w:r>
        <w:rPr>
          <w:rFonts w:hint="eastAsia"/>
          <w:color w:val="auto"/>
          <w:szCs w:val="24"/>
        </w:rPr>
        <w:t>，为《排污许可证</w:t>
      </w:r>
      <w:r>
        <w:rPr>
          <w:color w:val="auto"/>
          <w:szCs w:val="24"/>
        </w:rPr>
        <w:t>申请与核发技术规范</w:t>
      </w:r>
      <w:r>
        <w:rPr>
          <w:rFonts w:hint="eastAsia"/>
          <w:color w:val="auto"/>
          <w:szCs w:val="24"/>
        </w:rPr>
        <w:t>水处理</w:t>
      </w:r>
      <w:r>
        <w:rPr>
          <w:color w:val="auto"/>
          <w:szCs w:val="24"/>
        </w:rPr>
        <w:t>（</w:t>
      </w:r>
      <w:r>
        <w:rPr>
          <w:rFonts w:hint="eastAsia"/>
          <w:color w:val="auto"/>
          <w:szCs w:val="24"/>
        </w:rPr>
        <w:t>试行</w:t>
      </w:r>
      <w:r>
        <w:rPr>
          <w:color w:val="auto"/>
          <w:szCs w:val="24"/>
        </w:rPr>
        <w:t>）</w:t>
      </w:r>
      <w:r>
        <w:rPr>
          <w:rFonts w:hint="eastAsia"/>
          <w:color w:val="auto"/>
          <w:szCs w:val="24"/>
        </w:rPr>
        <w:t>》（HJ978-2018）中推荐的过滤、膜分离技术，因此拟建项目深度处理工艺可行。</w:t>
      </w:r>
    </w:p>
    <w:p w14:paraId="639ED6DC">
      <w:pPr>
        <w:spacing w:line="360" w:lineRule="auto"/>
        <w:ind w:firstLine="480"/>
        <w:rPr>
          <w:color w:val="auto"/>
          <w:szCs w:val="24"/>
        </w:rPr>
      </w:pPr>
      <w:r>
        <w:rPr>
          <w:rFonts w:hint="eastAsia"/>
          <w:color w:val="auto"/>
          <w:szCs w:val="24"/>
        </w:rPr>
        <w:t>污水处理工艺的选择应根据进水设计水质、处理程度要求、用地面积和工程规模等多因素综合考虑，适宜的污水处理工艺不仅可以降低工程投资，还有利于污水处理厂的运行管理以及减少污水处理厂的经常性费用，保证出厂水水质。</w:t>
      </w:r>
      <w:r>
        <w:rPr>
          <w:rFonts w:hint="eastAsia"/>
          <w:color w:val="auto"/>
          <w:szCs w:val="24"/>
          <w:lang w:eastAsia="zh-CN"/>
        </w:rPr>
        <w:t>污水处理厂</w:t>
      </w:r>
      <w:r>
        <w:rPr>
          <w:rFonts w:hint="eastAsia"/>
          <w:color w:val="auto"/>
          <w:szCs w:val="24"/>
        </w:rPr>
        <w:t>各工段进、出水的浓度及设计去除率见前文表3.1-2。</w:t>
      </w:r>
    </w:p>
    <w:p w14:paraId="67ACA9AD">
      <w:pPr>
        <w:spacing w:line="360" w:lineRule="auto"/>
        <w:ind w:firstLine="480"/>
        <w:rPr>
          <w:color w:val="auto"/>
        </w:rPr>
      </w:pPr>
      <w:r>
        <w:rPr>
          <w:rFonts w:hint="eastAsia"/>
          <w:color w:val="auto"/>
          <w:szCs w:val="24"/>
        </w:rPr>
        <w:t>（3）</w:t>
      </w:r>
      <w:r>
        <w:rPr>
          <w:rFonts w:hint="eastAsia"/>
          <w:color w:val="auto"/>
        </w:rPr>
        <w:t>加强管理，避免事故排污</w:t>
      </w:r>
    </w:p>
    <w:p w14:paraId="3FC09D03">
      <w:pPr>
        <w:spacing w:line="360" w:lineRule="auto"/>
        <w:ind w:firstLine="480"/>
        <w:rPr>
          <w:color w:val="auto"/>
        </w:rPr>
      </w:pPr>
      <w:r>
        <w:rPr>
          <w:rFonts w:hint="eastAsia"/>
          <w:color w:val="auto"/>
        </w:rPr>
        <w:t>加强污水处理厂工艺参数的调整，在污水处理厂运行状态良好、出水水质稳定达标情况下，组织污水处理厂的设备检修，确保污水达标排放。加强厂内污水管网及沟渠的巡管检查工作，避免管道破裂等造成未处理污水外排。加强设备管理，备用泵等必须完好，确保污水能长期稳定运行。</w:t>
      </w:r>
    </w:p>
    <w:p w14:paraId="4698949A">
      <w:pPr>
        <w:spacing w:line="360" w:lineRule="auto"/>
        <w:ind w:firstLine="480"/>
        <w:rPr>
          <w:color w:val="auto"/>
        </w:rPr>
      </w:pPr>
      <w:r>
        <w:rPr>
          <w:rFonts w:hint="eastAsia"/>
          <w:color w:val="auto"/>
          <w:szCs w:val="24"/>
        </w:rPr>
        <w:t>（4）</w:t>
      </w:r>
      <w:r>
        <w:rPr>
          <w:rFonts w:hint="eastAsia"/>
          <w:color w:val="auto"/>
        </w:rPr>
        <w:t>抗冲击负荷能力</w:t>
      </w:r>
    </w:p>
    <w:p w14:paraId="16DAB982">
      <w:pPr>
        <w:spacing w:line="360" w:lineRule="auto"/>
        <w:ind w:firstLine="480"/>
        <w:rPr>
          <w:color w:val="auto"/>
        </w:rPr>
      </w:pPr>
      <w:r>
        <w:rPr>
          <w:rFonts w:hint="eastAsia"/>
          <w:color w:val="auto"/>
        </w:rPr>
        <w:t>为抗冲击负荷，拟建项目从以下几方面进行控制。</w:t>
      </w:r>
    </w:p>
    <w:p w14:paraId="42AB6724">
      <w:pPr>
        <w:spacing w:line="360" w:lineRule="auto"/>
        <w:ind w:firstLine="480"/>
        <w:rPr>
          <w:color w:val="auto"/>
          <w:szCs w:val="24"/>
        </w:rPr>
      </w:pPr>
      <w:r>
        <w:rPr>
          <w:rFonts w:hint="eastAsia"/>
          <w:color w:val="auto"/>
          <w:szCs w:val="24"/>
        </w:rPr>
        <w:t>进水控制：严格控制进水，必须满足进水水质要求方可进入。</w:t>
      </w:r>
    </w:p>
    <w:p w14:paraId="024A2068">
      <w:pPr>
        <w:spacing w:line="360" w:lineRule="auto"/>
        <w:ind w:firstLine="480"/>
        <w:rPr>
          <w:color w:val="auto"/>
          <w:szCs w:val="24"/>
        </w:rPr>
      </w:pPr>
      <w:r>
        <w:rPr>
          <w:rFonts w:hint="eastAsia"/>
          <w:color w:val="auto"/>
          <w:szCs w:val="24"/>
        </w:rPr>
        <w:t>管理方面：加强管理，杜绝人为因素造成事故排放。</w:t>
      </w:r>
    </w:p>
    <w:p w14:paraId="1CF80CAE">
      <w:pPr>
        <w:pStyle w:val="2081"/>
        <w:adjustRightInd w:val="0"/>
        <w:snapToGrid w:val="0"/>
        <w:spacing w:line="360" w:lineRule="auto"/>
        <w:ind w:firstLine="480"/>
        <w:rPr>
          <w:color w:val="auto"/>
          <w:sz w:val="24"/>
          <w:szCs w:val="24"/>
        </w:rPr>
      </w:pPr>
      <w:r>
        <w:rPr>
          <w:rFonts w:hint="eastAsia"/>
          <w:color w:val="auto"/>
          <w:sz w:val="24"/>
          <w:szCs w:val="24"/>
        </w:rPr>
        <w:t>应急事故池：</w:t>
      </w:r>
      <w:r>
        <w:rPr>
          <w:color w:val="auto"/>
          <w:sz w:val="24"/>
          <w:szCs w:val="24"/>
        </w:rPr>
        <w:t>当</w:t>
      </w:r>
      <w:r>
        <w:rPr>
          <w:color w:val="auto"/>
          <w:sz w:val="24"/>
          <w:szCs w:val="24"/>
          <w:lang w:val="zh-CN"/>
        </w:rPr>
        <w:t>进水水质超负荷时，或运行中某个池运行欠佳或事故时，或</w:t>
      </w:r>
      <w:r>
        <w:rPr>
          <w:color w:val="auto"/>
          <w:sz w:val="24"/>
          <w:szCs w:val="24"/>
        </w:rPr>
        <w:t>出水渠在线监测系统显示出水超标时，均通过各处切换阀或应急泵将废水切入</w:t>
      </w:r>
      <w:r>
        <w:rPr>
          <w:rFonts w:hint="eastAsia"/>
          <w:color w:val="auto"/>
          <w:sz w:val="24"/>
          <w:szCs w:val="24"/>
        </w:rPr>
        <w:t>事故池</w:t>
      </w:r>
      <w:r>
        <w:rPr>
          <w:color w:val="auto"/>
          <w:sz w:val="24"/>
          <w:szCs w:val="24"/>
        </w:rPr>
        <w:t>。</w:t>
      </w:r>
      <w:r>
        <w:rPr>
          <w:rFonts w:hint="eastAsia"/>
          <w:color w:val="auto"/>
          <w:sz w:val="24"/>
          <w:szCs w:val="24"/>
        </w:rPr>
        <w:t>具体切换方式为：事故下的不达标尾水，通过排放监测池的出口管道的切换阀门，切换进入事故池。运行中某个池运行欠佳事故时的废水，在该系统后的中间池设置切换阀门切换进入事故池。</w:t>
      </w:r>
      <w:r>
        <w:rPr>
          <w:color w:val="auto"/>
          <w:sz w:val="24"/>
          <w:szCs w:val="24"/>
        </w:rPr>
        <w:t>为避免事故状况下废水超标排放，</w:t>
      </w:r>
      <w:r>
        <w:rPr>
          <w:rFonts w:hint="eastAsia"/>
          <w:color w:val="auto"/>
          <w:sz w:val="24"/>
          <w:szCs w:val="24"/>
        </w:rPr>
        <w:t>拟建项目将现有应急池改建为废水处理工艺用池，新建1座地埋式事故池</w:t>
      </w:r>
      <w:r>
        <w:rPr>
          <w:color w:val="auto"/>
          <w:sz w:val="24"/>
          <w:szCs w:val="24"/>
        </w:rPr>
        <w:t>，</w:t>
      </w:r>
      <w:r>
        <w:rPr>
          <w:rFonts w:hint="eastAsia"/>
          <w:color w:val="auto"/>
          <w:sz w:val="24"/>
          <w:szCs w:val="24"/>
        </w:rPr>
        <w:t>有效容积</w:t>
      </w:r>
      <w:r>
        <w:rPr>
          <w:rFonts w:hint="eastAsia"/>
          <w:color w:val="auto"/>
          <w:sz w:val="24"/>
          <w:szCs w:val="24"/>
          <w:lang w:eastAsia="zh-CN"/>
        </w:rPr>
        <w:t>不低于</w:t>
      </w:r>
      <w:r>
        <w:rPr>
          <w:rFonts w:hint="eastAsia"/>
          <w:color w:val="auto"/>
          <w:sz w:val="24"/>
          <w:szCs w:val="24"/>
          <w:lang w:val="en-US" w:eastAsia="zh-CN"/>
        </w:rPr>
        <w:t>1</w:t>
      </w:r>
      <w:r>
        <w:rPr>
          <w:rFonts w:hint="eastAsia"/>
          <w:color w:val="auto"/>
          <w:sz w:val="24"/>
          <w:szCs w:val="24"/>
        </w:rPr>
        <w:t>000m</w:t>
      </w:r>
      <w:r>
        <w:rPr>
          <w:rFonts w:hint="eastAsia"/>
          <w:color w:val="auto"/>
          <w:sz w:val="24"/>
          <w:szCs w:val="24"/>
          <w:vertAlign w:val="superscript"/>
        </w:rPr>
        <w:t>3</w:t>
      </w:r>
      <w:r>
        <w:rPr>
          <w:rFonts w:hint="eastAsia"/>
          <w:color w:val="auto"/>
          <w:sz w:val="24"/>
          <w:szCs w:val="24"/>
        </w:rPr>
        <w:t>。</w:t>
      </w:r>
    </w:p>
    <w:p w14:paraId="55752EE0">
      <w:pPr>
        <w:spacing w:line="360" w:lineRule="auto"/>
        <w:ind w:firstLine="480"/>
        <w:rPr>
          <w:color w:val="auto"/>
          <w:szCs w:val="24"/>
        </w:rPr>
      </w:pPr>
      <w:r>
        <w:rPr>
          <w:rFonts w:hint="eastAsia"/>
          <w:color w:val="auto"/>
          <w:szCs w:val="24"/>
        </w:rPr>
        <w:t>以上废水污染物治理措施在国内外废水处理工程中得到了广泛应用，技术成熟可靠，经济合理，项目实施后有利于确保废水达标排放，保护</w:t>
      </w:r>
      <w:r>
        <w:rPr>
          <w:rFonts w:hint="eastAsia"/>
          <w:color w:val="auto"/>
          <w:szCs w:val="24"/>
          <w:lang w:eastAsia="zh-CN"/>
        </w:rPr>
        <w:t>长江</w:t>
      </w:r>
      <w:r>
        <w:rPr>
          <w:rFonts w:hint="eastAsia"/>
          <w:color w:val="auto"/>
          <w:szCs w:val="24"/>
        </w:rPr>
        <w:t>水质。</w:t>
      </w:r>
    </w:p>
    <w:p w14:paraId="33FAFCF1">
      <w:pPr>
        <w:spacing w:line="360" w:lineRule="auto"/>
        <w:ind w:firstLine="480"/>
        <w:rPr>
          <w:bCs/>
          <w:snapToGrid w:val="0"/>
          <w:color w:val="auto"/>
        </w:rPr>
      </w:pPr>
      <w:r>
        <w:rPr>
          <w:rFonts w:hint="eastAsia"/>
          <w:color w:val="auto"/>
          <w:szCs w:val="24"/>
        </w:rPr>
        <w:t>（5）</w:t>
      </w:r>
      <w:r>
        <w:rPr>
          <w:bCs/>
          <w:snapToGrid w:val="0"/>
          <w:color w:val="auto"/>
        </w:rPr>
        <w:t>现有油气田废水处理案例</w:t>
      </w:r>
    </w:p>
    <w:p w14:paraId="44AC6142">
      <w:pPr>
        <w:pStyle w:val="2081"/>
        <w:adjustRightInd w:val="0"/>
        <w:snapToGrid w:val="0"/>
        <w:spacing w:line="360" w:lineRule="auto"/>
        <w:ind w:firstLine="480"/>
        <w:rPr>
          <w:color w:val="auto"/>
          <w:sz w:val="24"/>
          <w:szCs w:val="24"/>
        </w:rPr>
      </w:pPr>
      <w:r>
        <w:rPr>
          <w:rFonts w:hint="eastAsia"/>
          <w:color w:val="auto"/>
          <w:sz w:val="24"/>
          <w:szCs w:val="24"/>
        </w:rPr>
        <w:t>①</w:t>
      </w:r>
      <w:r>
        <w:rPr>
          <w:color w:val="auto"/>
          <w:sz w:val="24"/>
          <w:szCs w:val="24"/>
        </w:rPr>
        <w:t>四川兴澳涪陵气田平桥水处理站</w:t>
      </w:r>
      <w:r>
        <w:rPr>
          <w:rFonts w:hint="eastAsia"/>
          <w:color w:val="auto"/>
          <w:sz w:val="24"/>
          <w:szCs w:val="24"/>
        </w:rPr>
        <w:t>环评基本情况</w:t>
      </w:r>
    </w:p>
    <w:p w14:paraId="63299122">
      <w:pPr>
        <w:pStyle w:val="2081"/>
        <w:adjustRightInd w:val="0"/>
        <w:snapToGrid w:val="0"/>
        <w:spacing w:line="360" w:lineRule="auto"/>
        <w:ind w:firstLine="480"/>
        <w:rPr>
          <w:color w:val="auto"/>
          <w:sz w:val="24"/>
          <w:szCs w:val="24"/>
        </w:rPr>
      </w:pPr>
      <w:r>
        <w:rPr>
          <w:rFonts w:hint="eastAsia"/>
          <w:color w:val="auto"/>
          <w:sz w:val="24"/>
          <w:szCs w:val="24"/>
        </w:rPr>
        <w:t>根据调查，</w:t>
      </w:r>
      <w:r>
        <w:rPr>
          <w:color w:val="auto"/>
          <w:sz w:val="24"/>
          <w:szCs w:val="24"/>
        </w:rPr>
        <w:t>四川兴澳环境技术服务有限公司重庆南川分公司</w:t>
      </w:r>
      <w:r>
        <w:rPr>
          <w:rFonts w:hint="eastAsia"/>
          <w:color w:val="auto"/>
          <w:sz w:val="24"/>
          <w:szCs w:val="24"/>
        </w:rPr>
        <w:t>《</w:t>
      </w:r>
      <w:r>
        <w:rPr>
          <w:color w:val="auto"/>
          <w:sz w:val="24"/>
          <w:szCs w:val="24"/>
        </w:rPr>
        <w:t>四川兴澳涪陵气田平桥水处理站</w:t>
      </w:r>
      <w:r>
        <w:rPr>
          <w:rFonts w:hint="eastAsia"/>
          <w:color w:val="auto"/>
          <w:sz w:val="24"/>
          <w:szCs w:val="24"/>
        </w:rPr>
        <w:t>环境影响报告表》已于2019年6月取得南川区生态环境局以“渝（南川）环准〔2019〕28 号”对该项目环评进行了批复。四川兴澳涪陵气田平桥水处理站规模为600m 3 /d，处理对象为页岩气采出水，采用“预处理+四效蒸发结晶”工艺，处理后达到《污水综合排放标准》（GB8978-1996）一级标准后排入鱼泉河。</w:t>
      </w:r>
    </w:p>
    <w:p w14:paraId="2A2DAF3A">
      <w:pPr>
        <w:pStyle w:val="2081"/>
        <w:adjustRightInd w:val="0"/>
        <w:snapToGrid w:val="0"/>
        <w:spacing w:line="360" w:lineRule="auto"/>
        <w:ind w:firstLine="480"/>
        <w:rPr>
          <w:color w:val="auto"/>
          <w:sz w:val="24"/>
          <w:szCs w:val="24"/>
        </w:rPr>
      </w:pPr>
      <w:r>
        <w:rPr>
          <w:rFonts w:hint="eastAsia"/>
          <w:color w:val="auto"/>
          <w:sz w:val="24"/>
          <w:szCs w:val="24"/>
        </w:rPr>
        <w:t>废水处理工艺简介：采出水通过管输或罐车拉运方式进入焦页1</w:t>
      </w:r>
      <w:r>
        <w:rPr>
          <w:color w:val="auto"/>
          <w:sz w:val="24"/>
          <w:szCs w:val="24"/>
        </w:rPr>
        <w:t>90</w:t>
      </w:r>
      <w:r>
        <w:rPr>
          <w:rFonts w:hint="eastAsia"/>
          <w:color w:val="auto"/>
          <w:sz w:val="24"/>
          <w:szCs w:val="24"/>
        </w:rPr>
        <w:t>#</w:t>
      </w:r>
      <w:r>
        <w:rPr>
          <w:color w:val="auto"/>
          <w:sz w:val="24"/>
          <w:szCs w:val="24"/>
        </w:rPr>
        <w:t>平台现有采出水</w:t>
      </w:r>
      <w:r>
        <w:rPr>
          <w:rFonts w:hint="eastAsia"/>
          <w:color w:val="auto"/>
          <w:sz w:val="24"/>
          <w:szCs w:val="24"/>
        </w:rPr>
        <w:t>收集调节池（总容积</w:t>
      </w:r>
      <w:r>
        <w:rPr>
          <w:color w:val="auto"/>
          <w:sz w:val="24"/>
          <w:szCs w:val="24"/>
        </w:rPr>
        <w:t>2000m3</w:t>
      </w:r>
      <w:r>
        <w:rPr>
          <w:rFonts w:hint="eastAsia"/>
          <w:color w:val="auto"/>
          <w:sz w:val="24"/>
          <w:szCs w:val="24"/>
        </w:rPr>
        <w:t>，</w:t>
      </w:r>
      <w:r>
        <w:rPr>
          <w:color w:val="auto"/>
          <w:sz w:val="24"/>
          <w:szCs w:val="24"/>
        </w:rPr>
        <w:t>分</w:t>
      </w:r>
      <w:r>
        <w:rPr>
          <w:rFonts w:hint="eastAsia"/>
          <w:color w:val="auto"/>
          <w:sz w:val="24"/>
          <w:szCs w:val="24"/>
        </w:rPr>
        <w:t>2格）储存，调节水质、水量，采出水用原料液泵送到石灰反应槽，经过加石灰去除污水中的镁离子、铁离子后，进入烟气曝气槽与回收的部分锅炉烟气进行反应，利用烟气中的CO2进一步去除钙等离子，并在碱性环境下利用曝气吹脱污水中的氨氮，处理后的污水进入蒸发结晶系统进一步处理，蒸汽放热后冷凝为水经冷却塔降温后</w:t>
      </w:r>
      <w:r>
        <w:rPr>
          <w:color w:val="auto"/>
          <w:sz w:val="24"/>
          <w:szCs w:val="24"/>
        </w:rPr>
        <w:t>达到《污水综合排放标准》（GB8978-1996）一级标准后排入鱼泉河</w:t>
      </w:r>
      <w:r>
        <w:rPr>
          <w:rFonts w:hint="eastAsia"/>
          <w:color w:val="auto"/>
          <w:sz w:val="24"/>
          <w:szCs w:val="24"/>
        </w:rPr>
        <w:t>。预处理阶段产生的沉淀污泥泵送到厢式压滤机压滤脱水，脱水后的污泥进入危废暂存间的污泥罐暂存，压滤的污水回到预处理阶段处理。经预处理后的污水在清液槽暂存，泵去蒸发结晶系统板式预热器预热到一定温度，泵去1效蒸发结晶器，1效浓液转排到2效，2效转排到3效，3效转排到4效，3、4效排出结晶固体，固体浆料排到浆料桶，由浆料泵排到干燥增稠器，稠料到离心机，清液到混料桶。离心后湿物料到干燥床，干燥后包装成产品。</w:t>
      </w:r>
    </w:p>
    <w:p w14:paraId="2E2823A1">
      <w:pPr>
        <w:pStyle w:val="2081"/>
        <w:adjustRightInd w:val="0"/>
        <w:snapToGrid w:val="0"/>
        <w:spacing w:line="360" w:lineRule="auto"/>
        <w:ind w:firstLine="480"/>
        <w:rPr>
          <w:color w:val="auto"/>
          <w:sz w:val="24"/>
          <w:szCs w:val="24"/>
        </w:rPr>
      </w:pPr>
      <w:r>
        <w:rPr>
          <w:rFonts w:hint="eastAsia"/>
          <w:color w:val="auto"/>
          <w:sz w:val="24"/>
          <w:szCs w:val="24"/>
        </w:rPr>
        <w:t>②</w:t>
      </w:r>
      <w:r>
        <w:rPr>
          <w:color w:val="auto"/>
          <w:sz w:val="24"/>
          <w:szCs w:val="24"/>
        </w:rPr>
        <w:t>四川兴澳涪陵气田平桥水处理站</w:t>
      </w:r>
      <w:r>
        <w:rPr>
          <w:rFonts w:hint="eastAsia"/>
          <w:color w:val="auto"/>
          <w:sz w:val="24"/>
          <w:szCs w:val="24"/>
        </w:rPr>
        <w:t>验收基本情况</w:t>
      </w:r>
    </w:p>
    <w:p w14:paraId="7D000263">
      <w:pPr>
        <w:pStyle w:val="2081"/>
        <w:adjustRightInd w:val="0"/>
        <w:snapToGrid w:val="0"/>
        <w:spacing w:line="360" w:lineRule="auto"/>
        <w:ind w:firstLine="480"/>
        <w:rPr>
          <w:color w:val="auto"/>
          <w:szCs w:val="24"/>
        </w:rPr>
      </w:pPr>
      <w:r>
        <w:rPr>
          <w:rFonts w:hint="eastAsia"/>
          <w:color w:val="auto"/>
          <w:sz w:val="24"/>
          <w:szCs w:val="24"/>
        </w:rPr>
        <w:t>2021年1月18日，四川兴澳环境技术服务有限公司重庆南川分公司委托重庆一泓环保科技有限公司编制完成了《四川兴澳涪陵气田平桥水处理站竣工环境保护验收监测报告表》，根据该验收监测报告表，四川兴澳涪陵气田平桥水处理站实际处理工艺与环评一致，采用“预处理+四效蒸发”工艺，但预处理工艺进行了优化，增加了硫酸钠、PAC、PAM，强化对废水中污染物的去除。该项目废水验收监测结果详见下表</w:t>
      </w:r>
      <w:r>
        <w:rPr>
          <w:rFonts w:hint="eastAsia"/>
          <w:color w:val="auto"/>
          <w:szCs w:val="24"/>
        </w:rPr>
        <w:t>。</w:t>
      </w:r>
    </w:p>
    <w:p w14:paraId="71C60190">
      <w:pPr>
        <w:spacing w:line="360" w:lineRule="auto"/>
        <w:ind w:firstLine="0" w:firstLineChars="0"/>
        <w:jc w:val="center"/>
        <w:rPr>
          <w:b/>
          <w:bCs/>
          <w:color w:val="auto"/>
        </w:rPr>
        <w:sectPr>
          <w:pgSz w:w="11906" w:h="16838"/>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pPr>
    </w:p>
    <w:p w14:paraId="561E1250">
      <w:pPr>
        <w:spacing w:line="360" w:lineRule="auto"/>
        <w:ind w:firstLine="480"/>
        <w:rPr>
          <w:color w:val="auto"/>
          <w:szCs w:val="24"/>
        </w:rPr>
      </w:pPr>
      <w:r>
        <w:rPr>
          <w:rFonts w:hint="eastAsia"/>
          <w:color w:val="auto"/>
          <w:szCs w:val="24"/>
        </w:rPr>
        <w:t>四川兴澳涪陵气田平桥水处理站出水口各项指标均能满足《污水综合排放标准》（GB 8978-1996）表4一级标准，氯化物≤350mg/L，各污染因子去除效率见下表：</w:t>
      </w:r>
    </w:p>
    <w:p w14:paraId="29F35153">
      <w:pPr>
        <w:spacing w:line="360" w:lineRule="auto"/>
        <w:ind w:left="482" w:hanging="482" w:hangingChars="200"/>
        <w:jc w:val="center"/>
        <w:rPr>
          <w:b/>
          <w:bCs/>
          <w:color w:val="auto"/>
        </w:rPr>
      </w:pPr>
      <w:r>
        <w:rPr>
          <w:rFonts w:hint="eastAsia"/>
          <w:b/>
          <w:bCs/>
          <w:color w:val="auto"/>
        </w:rPr>
        <w:t xml:space="preserve">表8.2-1  </w:t>
      </w:r>
      <w:r>
        <w:rPr>
          <w:rFonts w:hint="eastAsia"/>
          <w:b/>
          <w:bCs/>
          <w:color w:val="auto"/>
          <w:szCs w:val="24"/>
        </w:rPr>
        <w:t>各污染因子去除效率表</w:t>
      </w:r>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2"/>
        <w:gridCol w:w="2322"/>
        <w:gridCol w:w="2321"/>
        <w:gridCol w:w="2321"/>
      </w:tblGrid>
      <w:tr w14:paraId="7A700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shd w:val="clear" w:color="auto" w:fill="auto"/>
            <w:vAlign w:val="center"/>
          </w:tcPr>
          <w:p w14:paraId="4D8B8671">
            <w:pPr>
              <w:spacing w:line="240" w:lineRule="auto"/>
              <w:ind w:firstLine="0" w:firstLineChars="0"/>
              <w:jc w:val="center"/>
              <w:rPr>
                <w:color w:val="auto"/>
                <w:sz w:val="21"/>
                <w:szCs w:val="21"/>
              </w:rPr>
            </w:pPr>
            <w:r>
              <w:rPr>
                <w:rFonts w:hint="eastAsia"/>
                <w:color w:val="auto"/>
                <w:sz w:val="21"/>
                <w:szCs w:val="21"/>
              </w:rPr>
              <w:t>项目</w:t>
            </w:r>
          </w:p>
        </w:tc>
        <w:tc>
          <w:tcPr>
            <w:tcW w:w="2322" w:type="dxa"/>
            <w:shd w:val="clear" w:color="auto" w:fill="auto"/>
            <w:vAlign w:val="center"/>
          </w:tcPr>
          <w:p w14:paraId="422C9A7E">
            <w:pPr>
              <w:spacing w:line="240" w:lineRule="auto"/>
              <w:ind w:firstLine="0" w:firstLineChars="0"/>
              <w:jc w:val="center"/>
              <w:rPr>
                <w:color w:val="auto"/>
                <w:sz w:val="21"/>
                <w:szCs w:val="21"/>
              </w:rPr>
            </w:pPr>
            <w:r>
              <w:rPr>
                <w:rFonts w:hint="eastAsia"/>
                <w:color w:val="auto"/>
                <w:sz w:val="21"/>
                <w:szCs w:val="21"/>
              </w:rPr>
              <w:t>进水口</w:t>
            </w:r>
          </w:p>
        </w:tc>
        <w:tc>
          <w:tcPr>
            <w:tcW w:w="2321" w:type="dxa"/>
            <w:shd w:val="clear" w:color="auto" w:fill="auto"/>
            <w:vAlign w:val="center"/>
          </w:tcPr>
          <w:p w14:paraId="55EDB237">
            <w:pPr>
              <w:spacing w:line="240" w:lineRule="auto"/>
              <w:ind w:firstLine="0" w:firstLineChars="0"/>
              <w:jc w:val="center"/>
              <w:rPr>
                <w:color w:val="auto"/>
                <w:sz w:val="21"/>
                <w:szCs w:val="21"/>
              </w:rPr>
            </w:pPr>
            <w:r>
              <w:rPr>
                <w:rFonts w:hint="eastAsia"/>
                <w:color w:val="auto"/>
                <w:sz w:val="21"/>
                <w:szCs w:val="21"/>
              </w:rPr>
              <w:t>出水口</w:t>
            </w:r>
          </w:p>
        </w:tc>
        <w:tc>
          <w:tcPr>
            <w:tcW w:w="2321" w:type="dxa"/>
            <w:shd w:val="clear" w:color="auto" w:fill="auto"/>
            <w:vAlign w:val="center"/>
          </w:tcPr>
          <w:p w14:paraId="4337D174">
            <w:pPr>
              <w:spacing w:line="240" w:lineRule="auto"/>
              <w:ind w:firstLine="0" w:firstLineChars="0"/>
              <w:jc w:val="center"/>
              <w:rPr>
                <w:color w:val="auto"/>
                <w:sz w:val="21"/>
                <w:szCs w:val="21"/>
              </w:rPr>
            </w:pPr>
            <w:r>
              <w:rPr>
                <w:rFonts w:hint="eastAsia"/>
                <w:color w:val="auto"/>
                <w:sz w:val="21"/>
                <w:szCs w:val="21"/>
              </w:rPr>
              <w:t>去除效率（%）</w:t>
            </w:r>
          </w:p>
        </w:tc>
      </w:tr>
      <w:tr w14:paraId="4B5B7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shd w:val="clear" w:color="auto" w:fill="auto"/>
            <w:vAlign w:val="center"/>
          </w:tcPr>
          <w:p w14:paraId="53200AEE">
            <w:pPr>
              <w:pStyle w:val="276"/>
              <w:rPr>
                <w:color w:val="auto"/>
                <w:lang w:val="en-US"/>
              </w:rPr>
            </w:pPr>
            <w:r>
              <w:rPr>
                <w:rFonts w:hint="eastAsia"/>
                <w:color w:val="auto"/>
              </w:rPr>
              <w:t>pH值（无量纲）</w:t>
            </w:r>
          </w:p>
        </w:tc>
        <w:tc>
          <w:tcPr>
            <w:tcW w:w="2322" w:type="dxa"/>
            <w:shd w:val="clear" w:color="auto" w:fill="auto"/>
            <w:vAlign w:val="center"/>
          </w:tcPr>
          <w:p w14:paraId="6141A739">
            <w:pPr>
              <w:spacing w:line="240" w:lineRule="auto"/>
              <w:ind w:firstLine="0" w:firstLineChars="0"/>
              <w:jc w:val="center"/>
              <w:rPr>
                <w:color w:val="auto"/>
                <w:sz w:val="21"/>
                <w:szCs w:val="21"/>
              </w:rPr>
            </w:pPr>
            <w:r>
              <w:rPr>
                <w:rFonts w:hint="eastAsia"/>
                <w:color w:val="auto"/>
                <w:sz w:val="21"/>
                <w:szCs w:val="21"/>
              </w:rPr>
              <w:t>/</w:t>
            </w:r>
          </w:p>
        </w:tc>
        <w:tc>
          <w:tcPr>
            <w:tcW w:w="2321" w:type="dxa"/>
            <w:shd w:val="clear" w:color="auto" w:fill="auto"/>
            <w:vAlign w:val="center"/>
          </w:tcPr>
          <w:p w14:paraId="039B6A63">
            <w:pPr>
              <w:spacing w:line="240" w:lineRule="auto"/>
              <w:ind w:firstLine="0" w:firstLineChars="0"/>
              <w:jc w:val="center"/>
              <w:rPr>
                <w:color w:val="auto"/>
                <w:sz w:val="21"/>
                <w:szCs w:val="21"/>
              </w:rPr>
            </w:pPr>
            <w:r>
              <w:rPr>
                <w:rFonts w:hint="eastAsia"/>
                <w:color w:val="auto"/>
                <w:sz w:val="21"/>
                <w:szCs w:val="21"/>
              </w:rPr>
              <w:t>/</w:t>
            </w:r>
          </w:p>
        </w:tc>
        <w:tc>
          <w:tcPr>
            <w:tcW w:w="2321" w:type="dxa"/>
            <w:shd w:val="clear" w:color="auto" w:fill="auto"/>
            <w:vAlign w:val="center"/>
          </w:tcPr>
          <w:p w14:paraId="48340320">
            <w:pPr>
              <w:spacing w:line="240" w:lineRule="auto"/>
              <w:ind w:firstLine="0" w:firstLineChars="0"/>
              <w:jc w:val="center"/>
              <w:rPr>
                <w:color w:val="auto"/>
                <w:sz w:val="21"/>
                <w:szCs w:val="21"/>
              </w:rPr>
            </w:pPr>
            <w:r>
              <w:rPr>
                <w:rFonts w:hint="eastAsia"/>
                <w:color w:val="auto"/>
                <w:sz w:val="21"/>
                <w:szCs w:val="21"/>
              </w:rPr>
              <w:t>/</w:t>
            </w:r>
          </w:p>
        </w:tc>
      </w:tr>
      <w:tr w14:paraId="60C27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shd w:val="clear" w:color="auto" w:fill="auto"/>
            <w:vAlign w:val="center"/>
          </w:tcPr>
          <w:p w14:paraId="45E82A31">
            <w:pPr>
              <w:pStyle w:val="276"/>
              <w:rPr>
                <w:color w:val="auto"/>
                <w:lang w:val="en-US"/>
              </w:rPr>
            </w:pPr>
            <w:r>
              <w:rPr>
                <w:rFonts w:hint="eastAsia"/>
                <w:color w:val="auto"/>
              </w:rPr>
              <w:t>色度（度）</w:t>
            </w:r>
          </w:p>
        </w:tc>
        <w:tc>
          <w:tcPr>
            <w:tcW w:w="2322" w:type="dxa"/>
            <w:shd w:val="clear" w:color="auto" w:fill="auto"/>
            <w:vAlign w:val="center"/>
          </w:tcPr>
          <w:p w14:paraId="4AFACC2B">
            <w:pPr>
              <w:spacing w:line="240" w:lineRule="auto"/>
              <w:ind w:firstLine="0" w:firstLineChars="0"/>
              <w:jc w:val="center"/>
              <w:rPr>
                <w:color w:val="auto"/>
                <w:sz w:val="21"/>
                <w:szCs w:val="21"/>
              </w:rPr>
            </w:pPr>
            <w:r>
              <w:rPr>
                <w:rFonts w:hint="eastAsia"/>
                <w:color w:val="auto"/>
                <w:sz w:val="21"/>
                <w:szCs w:val="21"/>
              </w:rPr>
              <w:t>50</w:t>
            </w:r>
          </w:p>
        </w:tc>
        <w:tc>
          <w:tcPr>
            <w:tcW w:w="2321" w:type="dxa"/>
            <w:shd w:val="clear" w:color="auto" w:fill="auto"/>
            <w:vAlign w:val="center"/>
          </w:tcPr>
          <w:p w14:paraId="628B6112">
            <w:pPr>
              <w:spacing w:line="240" w:lineRule="auto"/>
              <w:ind w:firstLine="0" w:firstLineChars="0"/>
              <w:jc w:val="center"/>
              <w:rPr>
                <w:color w:val="auto"/>
                <w:sz w:val="21"/>
                <w:szCs w:val="21"/>
              </w:rPr>
            </w:pPr>
            <w:r>
              <w:rPr>
                <w:rFonts w:hint="eastAsia"/>
                <w:color w:val="auto"/>
                <w:sz w:val="21"/>
                <w:szCs w:val="21"/>
              </w:rPr>
              <w:t>4</w:t>
            </w:r>
          </w:p>
        </w:tc>
        <w:tc>
          <w:tcPr>
            <w:tcW w:w="2321" w:type="dxa"/>
            <w:shd w:val="clear" w:color="auto" w:fill="auto"/>
            <w:vAlign w:val="center"/>
          </w:tcPr>
          <w:p w14:paraId="4FE05B0A">
            <w:pPr>
              <w:spacing w:line="240" w:lineRule="auto"/>
              <w:ind w:firstLine="0" w:firstLineChars="0"/>
              <w:jc w:val="center"/>
              <w:rPr>
                <w:color w:val="auto"/>
                <w:sz w:val="21"/>
                <w:szCs w:val="21"/>
              </w:rPr>
            </w:pPr>
            <w:r>
              <w:rPr>
                <w:rFonts w:hint="eastAsia"/>
                <w:color w:val="auto"/>
                <w:sz w:val="21"/>
                <w:szCs w:val="21"/>
              </w:rPr>
              <w:t>92.00</w:t>
            </w:r>
          </w:p>
        </w:tc>
      </w:tr>
      <w:tr w14:paraId="4C8A5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shd w:val="clear" w:color="auto" w:fill="auto"/>
            <w:vAlign w:val="center"/>
          </w:tcPr>
          <w:p w14:paraId="0D166896">
            <w:pPr>
              <w:pStyle w:val="276"/>
              <w:rPr>
                <w:color w:val="auto"/>
                <w:lang w:val="en-US"/>
              </w:rPr>
            </w:pPr>
            <w:r>
              <w:rPr>
                <w:rFonts w:hint="eastAsia"/>
                <w:color w:val="auto"/>
              </w:rPr>
              <w:t>COD</w:t>
            </w:r>
          </w:p>
        </w:tc>
        <w:tc>
          <w:tcPr>
            <w:tcW w:w="2322" w:type="dxa"/>
            <w:shd w:val="clear" w:color="auto" w:fill="auto"/>
            <w:vAlign w:val="center"/>
          </w:tcPr>
          <w:p w14:paraId="4A591074">
            <w:pPr>
              <w:spacing w:line="240" w:lineRule="auto"/>
              <w:ind w:firstLine="0" w:firstLineChars="0"/>
              <w:jc w:val="center"/>
              <w:rPr>
                <w:color w:val="auto"/>
                <w:sz w:val="21"/>
                <w:szCs w:val="21"/>
              </w:rPr>
            </w:pPr>
            <w:r>
              <w:rPr>
                <w:rFonts w:hint="eastAsia"/>
                <w:color w:val="auto"/>
                <w:sz w:val="21"/>
                <w:szCs w:val="21"/>
              </w:rPr>
              <w:t>497~500</w:t>
            </w:r>
          </w:p>
        </w:tc>
        <w:tc>
          <w:tcPr>
            <w:tcW w:w="2321" w:type="dxa"/>
            <w:shd w:val="clear" w:color="auto" w:fill="auto"/>
            <w:vAlign w:val="center"/>
          </w:tcPr>
          <w:p w14:paraId="01B733F7">
            <w:pPr>
              <w:spacing w:line="240" w:lineRule="auto"/>
              <w:ind w:firstLine="0" w:firstLineChars="0"/>
              <w:jc w:val="center"/>
              <w:rPr>
                <w:color w:val="auto"/>
                <w:sz w:val="21"/>
                <w:szCs w:val="21"/>
              </w:rPr>
            </w:pPr>
            <w:r>
              <w:rPr>
                <w:rFonts w:hint="eastAsia"/>
                <w:color w:val="auto"/>
                <w:sz w:val="21"/>
                <w:szCs w:val="21"/>
              </w:rPr>
              <w:t>22~24</w:t>
            </w:r>
          </w:p>
        </w:tc>
        <w:tc>
          <w:tcPr>
            <w:tcW w:w="2321" w:type="dxa"/>
            <w:shd w:val="clear" w:color="auto" w:fill="auto"/>
            <w:vAlign w:val="center"/>
          </w:tcPr>
          <w:p w14:paraId="3AFF3093">
            <w:pPr>
              <w:spacing w:line="240" w:lineRule="auto"/>
              <w:ind w:firstLine="0" w:firstLineChars="0"/>
              <w:jc w:val="center"/>
              <w:rPr>
                <w:color w:val="auto"/>
                <w:sz w:val="21"/>
                <w:szCs w:val="21"/>
              </w:rPr>
            </w:pPr>
            <w:r>
              <w:rPr>
                <w:rFonts w:hint="eastAsia"/>
                <w:color w:val="auto"/>
                <w:sz w:val="21"/>
                <w:szCs w:val="21"/>
              </w:rPr>
              <w:t>95.17~95.60</w:t>
            </w:r>
          </w:p>
        </w:tc>
      </w:tr>
      <w:tr w14:paraId="4FDC8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shd w:val="clear" w:color="auto" w:fill="auto"/>
            <w:vAlign w:val="center"/>
          </w:tcPr>
          <w:p w14:paraId="55D0339F">
            <w:pPr>
              <w:pStyle w:val="276"/>
              <w:rPr>
                <w:color w:val="auto"/>
                <w:lang w:val="en-US"/>
              </w:rPr>
            </w:pPr>
            <w:r>
              <w:rPr>
                <w:rFonts w:hint="eastAsia"/>
                <w:color w:val="auto"/>
              </w:rPr>
              <w:t>BOD</w:t>
            </w:r>
            <w:r>
              <w:rPr>
                <w:rFonts w:hint="eastAsia"/>
                <w:color w:val="auto"/>
                <w:vertAlign w:val="subscript"/>
              </w:rPr>
              <w:t>5</w:t>
            </w:r>
          </w:p>
        </w:tc>
        <w:tc>
          <w:tcPr>
            <w:tcW w:w="2322" w:type="dxa"/>
            <w:shd w:val="clear" w:color="auto" w:fill="auto"/>
            <w:vAlign w:val="center"/>
          </w:tcPr>
          <w:p w14:paraId="288EA057">
            <w:pPr>
              <w:spacing w:line="240" w:lineRule="auto"/>
              <w:ind w:firstLine="0" w:firstLineChars="0"/>
              <w:jc w:val="center"/>
              <w:rPr>
                <w:color w:val="auto"/>
                <w:sz w:val="21"/>
                <w:szCs w:val="21"/>
              </w:rPr>
            </w:pPr>
            <w:r>
              <w:rPr>
                <w:rFonts w:hint="eastAsia"/>
                <w:color w:val="auto"/>
                <w:sz w:val="21"/>
                <w:szCs w:val="21"/>
              </w:rPr>
              <w:t>248~256</w:t>
            </w:r>
          </w:p>
        </w:tc>
        <w:tc>
          <w:tcPr>
            <w:tcW w:w="2321" w:type="dxa"/>
            <w:shd w:val="clear" w:color="auto" w:fill="auto"/>
            <w:vAlign w:val="center"/>
          </w:tcPr>
          <w:p w14:paraId="1D00BD39">
            <w:pPr>
              <w:spacing w:line="240" w:lineRule="auto"/>
              <w:ind w:firstLine="0" w:firstLineChars="0"/>
              <w:jc w:val="center"/>
              <w:rPr>
                <w:color w:val="auto"/>
                <w:sz w:val="21"/>
                <w:szCs w:val="21"/>
              </w:rPr>
            </w:pPr>
            <w:r>
              <w:rPr>
                <w:rFonts w:hint="eastAsia"/>
                <w:color w:val="auto"/>
                <w:sz w:val="21"/>
                <w:szCs w:val="21"/>
              </w:rPr>
              <w:t>6.4~7.6</w:t>
            </w:r>
          </w:p>
        </w:tc>
        <w:tc>
          <w:tcPr>
            <w:tcW w:w="2321" w:type="dxa"/>
            <w:shd w:val="clear" w:color="auto" w:fill="auto"/>
            <w:vAlign w:val="center"/>
          </w:tcPr>
          <w:p w14:paraId="48376902">
            <w:pPr>
              <w:spacing w:line="240" w:lineRule="auto"/>
              <w:ind w:firstLine="0" w:firstLineChars="0"/>
              <w:jc w:val="center"/>
              <w:rPr>
                <w:color w:val="auto"/>
                <w:sz w:val="21"/>
                <w:szCs w:val="21"/>
              </w:rPr>
            </w:pPr>
            <w:r>
              <w:rPr>
                <w:rFonts w:hint="eastAsia"/>
                <w:color w:val="auto"/>
                <w:sz w:val="21"/>
                <w:szCs w:val="21"/>
              </w:rPr>
              <w:t>97.03~97.42</w:t>
            </w:r>
          </w:p>
        </w:tc>
      </w:tr>
      <w:tr w14:paraId="008BC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shd w:val="clear" w:color="auto" w:fill="auto"/>
            <w:vAlign w:val="center"/>
          </w:tcPr>
          <w:p w14:paraId="44C0A243">
            <w:pPr>
              <w:pStyle w:val="276"/>
              <w:rPr>
                <w:color w:val="auto"/>
                <w:lang w:val="en-US"/>
              </w:rPr>
            </w:pPr>
            <w:r>
              <w:rPr>
                <w:rFonts w:hint="eastAsia"/>
                <w:color w:val="auto"/>
              </w:rPr>
              <w:t>SS</w:t>
            </w:r>
          </w:p>
        </w:tc>
        <w:tc>
          <w:tcPr>
            <w:tcW w:w="2322" w:type="dxa"/>
            <w:shd w:val="clear" w:color="auto" w:fill="auto"/>
            <w:vAlign w:val="center"/>
          </w:tcPr>
          <w:p w14:paraId="4B9DD45C">
            <w:pPr>
              <w:spacing w:line="240" w:lineRule="auto"/>
              <w:ind w:firstLine="0" w:firstLineChars="0"/>
              <w:jc w:val="center"/>
              <w:rPr>
                <w:color w:val="auto"/>
                <w:sz w:val="21"/>
                <w:szCs w:val="21"/>
              </w:rPr>
            </w:pPr>
            <w:r>
              <w:rPr>
                <w:rFonts w:hint="eastAsia"/>
                <w:color w:val="auto"/>
                <w:sz w:val="21"/>
                <w:szCs w:val="21"/>
              </w:rPr>
              <w:t>282~286</w:t>
            </w:r>
          </w:p>
        </w:tc>
        <w:tc>
          <w:tcPr>
            <w:tcW w:w="2321" w:type="dxa"/>
            <w:shd w:val="clear" w:color="auto" w:fill="auto"/>
            <w:vAlign w:val="center"/>
          </w:tcPr>
          <w:p w14:paraId="1563C212">
            <w:pPr>
              <w:spacing w:line="240" w:lineRule="auto"/>
              <w:ind w:firstLine="0" w:firstLineChars="0"/>
              <w:jc w:val="center"/>
              <w:rPr>
                <w:color w:val="auto"/>
                <w:sz w:val="21"/>
                <w:szCs w:val="21"/>
              </w:rPr>
            </w:pPr>
            <w:r>
              <w:rPr>
                <w:rFonts w:hint="eastAsia"/>
                <w:color w:val="auto"/>
                <w:sz w:val="21"/>
                <w:szCs w:val="21"/>
              </w:rPr>
              <w:t>8.0~8.5</w:t>
            </w:r>
          </w:p>
        </w:tc>
        <w:tc>
          <w:tcPr>
            <w:tcW w:w="2321" w:type="dxa"/>
            <w:shd w:val="clear" w:color="auto" w:fill="auto"/>
            <w:vAlign w:val="center"/>
          </w:tcPr>
          <w:p w14:paraId="68FFCC75">
            <w:pPr>
              <w:spacing w:line="240" w:lineRule="auto"/>
              <w:ind w:firstLine="0" w:firstLineChars="0"/>
              <w:jc w:val="center"/>
              <w:rPr>
                <w:color w:val="auto"/>
                <w:sz w:val="21"/>
                <w:szCs w:val="21"/>
              </w:rPr>
            </w:pPr>
            <w:r>
              <w:rPr>
                <w:rFonts w:hint="eastAsia"/>
                <w:color w:val="auto"/>
                <w:sz w:val="21"/>
                <w:szCs w:val="21"/>
              </w:rPr>
              <w:t>97.03~97.16</w:t>
            </w:r>
          </w:p>
        </w:tc>
      </w:tr>
      <w:tr w14:paraId="70705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shd w:val="clear" w:color="auto" w:fill="auto"/>
            <w:vAlign w:val="center"/>
          </w:tcPr>
          <w:p w14:paraId="7835095B">
            <w:pPr>
              <w:pStyle w:val="276"/>
              <w:rPr>
                <w:color w:val="auto"/>
                <w:lang w:val="en-US"/>
              </w:rPr>
            </w:pPr>
            <w:r>
              <w:rPr>
                <w:rFonts w:hint="eastAsia"/>
                <w:color w:val="auto"/>
              </w:rPr>
              <w:t>NH</w:t>
            </w:r>
            <w:r>
              <w:rPr>
                <w:rFonts w:hint="eastAsia"/>
                <w:color w:val="auto"/>
                <w:vertAlign w:val="subscript"/>
              </w:rPr>
              <w:t>3</w:t>
            </w:r>
            <w:r>
              <w:rPr>
                <w:rFonts w:hint="eastAsia"/>
                <w:color w:val="auto"/>
              </w:rPr>
              <w:t>-N</w:t>
            </w:r>
          </w:p>
        </w:tc>
        <w:tc>
          <w:tcPr>
            <w:tcW w:w="2322" w:type="dxa"/>
            <w:shd w:val="clear" w:color="auto" w:fill="auto"/>
            <w:vAlign w:val="center"/>
          </w:tcPr>
          <w:p w14:paraId="56B41552">
            <w:pPr>
              <w:spacing w:line="240" w:lineRule="auto"/>
              <w:ind w:firstLine="0" w:firstLineChars="0"/>
              <w:jc w:val="center"/>
              <w:rPr>
                <w:color w:val="auto"/>
                <w:sz w:val="21"/>
                <w:szCs w:val="21"/>
              </w:rPr>
            </w:pPr>
            <w:r>
              <w:rPr>
                <w:rFonts w:hint="eastAsia"/>
                <w:color w:val="auto"/>
                <w:sz w:val="21"/>
                <w:szCs w:val="21"/>
              </w:rPr>
              <w:t>58.7~61.1</w:t>
            </w:r>
          </w:p>
        </w:tc>
        <w:tc>
          <w:tcPr>
            <w:tcW w:w="2321" w:type="dxa"/>
            <w:shd w:val="clear" w:color="auto" w:fill="auto"/>
            <w:vAlign w:val="center"/>
          </w:tcPr>
          <w:p w14:paraId="48A67864">
            <w:pPr>
              <w:spacing w:line="240" w:lineRule="auto"/>
              <w:ind w:firstLine="0" w:firstLineChars="0"/>
              <w:jc w:val="center"/>
              <w:rPr>
                <w:color w:val="auto"/>
                <w:sz w:val="21"/>
                <w:szCs w:val="21"/>
              </w:rPr>
            </w:pPr>
            <w:r>
              <w:rPr>
                <w:rFonts w:hint="eastAsia"/>
                <w:color w:val="auto"/>
                <w:sz w:val="21"/>
                <w:szCs w:val="21"/>
              </w:rPr>
              <w:t>1.61~1.70</w:t>
            </w:r>
          </w:p>
        </w:tc>
        <w:tc>
          <w:tcPr>
            <w:tcW w:w="2321" w:type="dxa"/>
            <w:shd w:val="clear" w:color="auto" w:fill="auto"/>
            <w:vAlign w:val="center"/>
          </w:tcPr>
          <w:p w14:paraId="640125B2">
            <w:pPr>
              <w:spacing w:line="240" w:lineRule="auto"/>
              <w:ind w:firstLine="0" w:firstLineChars="0"/>
              <w:jc w:val="center"/>
              <w:rPr>
                <w:color w:val="auto"/>
                <w:sz w:val="21"/>
                <w:szCs w:val="21"/>
              </w:rPr>
            </w:pPr>
            <w:r>
              <w:rPr>
                <w:rFonts w:hint="eastAsia"/>
                <w:color w:val="auto"/>
                <w:sz w:val="21"/>
                <w:szCs w:val="21"/>
              </w:rPr>
              <w:t>97.22~97.26</w:t>
            </w:r>
          </w:p>
        </w:tc>
      </w:tr>
      <w:tr w14:paraId="47601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14:paraId="4172A743">
            <w:pPr>
              <w:pStyle w:val="276"/>
              <w:rPr>
                <w:rFonts w:eastAsia="等线"/>
                <w:color w:val="auto"/>
                <w:lang w:val="en-US"/>
              </w:rPr>
            </w:pPr>
            <w:r>
              <w:rPr>
                <w:rFonts w:hint="eastAsia"/>
                <w:color w:val="auto"/>
              </w:rPr>
              <w:t>石油类</w:t>
            </w:r>
          </w:p>
        </w:tc>
        <w:tc>
          <w:tcPr>
            <w:tcW w:w="0" w:type="auto"/>
          </w:tcPr>
          <w:p w14:paraId="69CA7AD9">
            <w:pPr>
              <w:spacing w:line="240" w:lineRule="auto"/>
              <w:ind w:firstLine="0" w:firstLineChars="0"/>
              <w:jc w:val="center"/>
              <w:rPr>
                <w:color w:val="auto"/>
                <w:sz w:val="21"/>
                <w:szCs w:val="21"/>
              </w:rPr>
            </w:pPr>
            <w:r>
              <w:rPr>
                <w:rFonts w:hint="eastAsia"/>
                <w:color w:val="auto"/>
                <w:sz w:val="21"/>
                <w:szCs w:val="21"/>
              </w:rPr>
              <w:t>2.26~2.56</w:t>
            </w:r>
          </w:p>
        </w:tc>
        <w:tc>
          <w:tcPr>
            <w:tcW w:w="0" w:type="auto"/>
          </w:tcPr>
          <w:p w14:paraId="28FF361A">
            <w:pPr>
              <w:spacing w:line="240" w:lineRule="auto"/>
              <w:ind w:firstLine="0" w:firstLineChars="0"/>
              <w:jc w:val="center"/>
              <w:rPr>
                <w:color w:val="auto"/>
                <w:sz w:val="21"/>
                <w:szCs w:val="21"/>
              </w:rPr>
            </w:pPr>
            <w:r>
              <w:rPr>
                <w:rFonts w:hint="eastAsia"/>
                <w:color w:val="auto"/>
                <w:sz w:val="21"/>
                <w:szCs w:val="21"/>
              </w:rPr>
              <w:t>0.27~0.37</w:t>
            </w:r>
          </w:p>
        </w:tc>
        <w:tc>
          <w:tcPr>
            <w:tcW w:w="0" w:type="auto"/>
          </w:tcPr>
          <w:p w14:paraId="163D5DAC">
            <w:pPr>
              <w:spacing w:line="240" w:lineRule="auto"/>
              <w:ind w:firstLine="0" w:firstLineChars="0"/>
              <w:jc w:val="center"/>
              <w:rPr>
                <w:color w:val="auto"/>
                <w:sz w:val="21"/>
                <w:szCs w:val="21"/>
              </w:rPr>
            </w:pPr>
            <w:r>
              <w:rPr>
                <w:rFonts w:hint="eastAsia"/>
                <w:color w:val="auto"/>
                <w:sz w:val="21"/>
                <w:szCs w:val="21"/>
              </w:rPr>
              <w:t>85.55~88.05</w:t>
            </w:r>
          </w:p>
        </w:tc>
      </w:tr>
      <w:tr w14:paraId="52924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14:paraId="50DD8281">
            <w:pPr>
              <w:pStyle w:val="276"/>
              <w:rPr>
                <w:color w:val="auto"/>
              </w:rPr>
            </w:pPr>
            <w:r>
              <w:rPr>
                <w:rFonts w:hint="eastAsia"/>
                <w:color w:val="auto"/>
              </w:rPr>
              <w:t>磷酸盐</w:t>
            </w:r>
          </w:p>
        </w:tc>
        <w:tc>
          <w:tcPr>
            <w:tcW w:w="0" w:type="auto"/>
          </w:tcPr>
          <w:p w14:paraId="3FACFBF1">
            <w:pPr>
              <w:spacing w:line="240" w:lineRule="auto"/>
              <w:ind w:firstLine="0" w:firstLineChars="0"/>
              <w:jc w:val="center"/>
              <w:rPr>
                <w:color w:val="auto"/>
                <w:sz w:val="21"/>
                <w:szCs w:val="21"/>
              </w:rPr>
            </w:pPr>
            <w:r>
              <w:rPr>
                <w:rFonts w:hint="eastAsia"/>
                <w:color w:val="auto"/>
                <w:sz w:val="21"/>
                <w:szCs w:val="21"/>
              </w:rPr>
              <w:t>0.105~0.120</w:t>
            </w:r>
          </w:p>
        </w:tc>
        <w:tc>
          <w:tcPr>
            <w:tcW w:w="0" w:type="auto"/>
          </w:tcPr>
          <w:p w14:paraId="688E7477">
            <w:pPr>
              <w:spacing w:line="240" w:lineRule="auto"/>
              <w:ind w:firstLine="0" w:firstLineChars="0"/>
              <w:jc w:val="center"/>
              <w:rPr>
                <w:color w:val="auto"/>
                <w:sz w:val="21"/>
                <w:szCs w:val="21"/>
              </w:rPr>
            </w:pPr>
            <w:r>
              <w:rPr>
                <w:rFonts w:hint="eastAsia"/>
                <w:color w:val="auto"/>
                <w:sz w:val="21"/>
                <w:szCs w:val="21"/>
              </w:rPr>
              <w:t>0.01~0.02</w:t>
            </w:r>
          </w:p>
        </w:tc>
        <w:tc>
          <w:tcPr>
            <w:tcW w:w="0" w:type="auto"/>
          </w:tcPr>
          <w:p w14:paraId="75BDB4BC">
            <w:pPr>
              <w:spacing w:line="240" w:lineRule="auto"/>
              <w:ind w:firstLine="0" w:firstLineChars="0"/>
              <w:jc w:val="center"/>
              <w:rPr>
                <w:color w:val="auto"/>
                <w:sz w:val="21"/>
                <w:szCs w:val="21"/>
              </w:rPr>
            </w:pPr>
            <w:r>
              <w:rPr>
                <w:rFonts w:hint="eastAsia"/>
                <w:color w:val="auto"/>
                <w:sz w:val="21"/>
                <w:szCs w:val="21"/>
              </w:rPr>
              <w:t>83.33~90.48</w:t>
            </w:r>
          </w:p>
        </w:tc>
      </w:tr>
      <w:tr w14:paraId="4F665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14:paraId="3D1C12E1">
            <w:pPr>
              <w:pStyle w:val="276"/>
              <w:rPr>
                <w:color w:val="auto"/>
              </w:rPr>
            </w:pPr>
            <w:r>
              <w:rPr>
                <w:rFonts w:hint="eastAsia"/>
                <w:color w:val="auto"/>
              </w:rPr>
              <w:t>氯化物</w:t>
            </w:r>
          </w:p>
        </w:tc>
        <w:tc>
          <w:tcPr>
            <w:tcW w:w="0" w:type="auto"/>
          </w:tcPr>
          <w:p w14:paraId="62D2B9F2">
            <w:pPr>
              <w:spacing w:line="240" w:lineRule="auto"/>
              <w:ind w:firstLine="0" w:firstLineChars="0"/>
              <w:jc w:val="center"/>
              <w:rPr>
                <w:color w:val="auto"/>
                <w:sz w:val="21"/>
                <w:szCs w:val="21"/>
              </w:rPr>
            </w:pPr>
            <w:r>
              <w:rPr>
                <w:rFonts w:hint="eastAsia"/>
                <w:color w:val="auto"/>
                <w:sz w:val="21"/>
                <w:szCs w:val="21"/>
              </w:rPr>
              <w:t>15200~15800</w:t>
            </w:r>
          </w:p>
        </w:tc>
        <w:tc>
          <w:tcPr>
            <w:tcW w:w="0" w:type="auto"/>
          </w:tcPr>
          <w:p w14:paraId="0843A7EB">
            <w:pPr>
              <w:spacing w:line="240" w:lineRule="auto"/>
              <w:ind w:firstLine="0" w:firstLineChars="0"/>
              <w:jc w:val="center"/>
              <w:rPr>
                <w:color w:val="auto"/>
                <w:sz w:val="21"/>
                <w:szCs w:val="21"/>
              </w:rPr>
            </w:pPr>
            <w:r>
              <w:rPr>
                <w:rFonts w:hint="eastAsia"/>
                <w:color w:val="auto"/>
                <w:sz w:val="21"/>
                <w:szCs w:val="21"/>
              </w:rPr>
              <w:t>105~109</w:t>
            </w:r>
          </w:p>
        </w:tc>
        <w:tc>
          <w:tcPr>
            <w:tcW w:w="0" w:type="auto"/>
          </w:tcPr>
          <w:p w14:paraId="2F8DA805">
            <w:pPr>
              <w:spacing w:line="240" w:lineRule="auto"/>
              <w:ind w:firstLine="0" w:firstLineChars="0"/>
              <w:jc w:val="center"/>
              <w:rPr>
                <w:color w:val="auto"/>
                <w:sz w:val="21"/>
                <w:szCs w:val="21"/>
              </w:rPr>
            </w:pPr>
            <w:r>
              <w:rPr>
                <w:rFonts w:hint="eastAsia"/>
                <w:color w:val="auto"/>
                <w:sz w:val="21"/>
                <w:szCs w:val="21"/>
              </w:rPr>
              <w:t>99.34~99.28</w:t>
            </w:r>
          </w:p>
        </w:tc>
      </w:tr>
      <w:tr w14:paraId="673BF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14:paraId="685D5DB9">
            <w:pPr>
              <w:pStyle w:val="276"/>
              <w:rPr>
                <w:color w:val="auto"/>
              </w:rPr>
            </w:pPr>
            <w:r>
              <w:rPr>
                <w:rFonts w:hint="eastAsia"/>
                <w:color w:val="auto"/>
              </w:rPr>
              <w:t>硫化物</w:t>
            </w:r>
          </w:p>
        </w:tc>
        <w:tc>
          <w:tcPr>
            <w:tcW w:w="0" w:type="auto"/>
          </w:tcPr>
          <w:p w14:paraId="32361549">
            <w:pPr>
              <w:spacing w:line="240" w:lineRule="auto"/>
              <w:ind w:firstLine="0" w:firstLineChars="0"/>
              <w:jc w:val="center"/>
              <w:rPr>
                <w:color w:val="auto"/>
                <w:sz w:val="21"/>
                <w:szCs w:val="21"/>
              </w:rPr>
            </w:pPr>
            <w:r>
              <w:rPr>
                <w:rFonts w:hint="eastAsia"/>
                <w:color w:val="auto"/>
                <w:sz w:val="21"/>
                <w:szCs w:val="21"/>
              </w:rPr>
              <w:t>0.142~0.147</w:t>
            </w:r>
          </w:p>
        </w:tc>
        <w:tc>
          <w:tcPr>
            <w:tcW w:w="0" w:type="auto"/>
          </w:tcPr>
          <w:p w14:paraId="18F0EBED">
            <w:pPr>
              <w:spacing w:line="240" w:lineRule="auto"/>
              <w:ind w:firstLine="0" w:firstLineChars="0"/>
              <w:jc w:val="center"/>
              <w:rPr>
                <w:color w:val="auto"/>
                <w:sz w:val="21"/>
                <w:szCs w:val="21"/>
              </w:rPr>
            </w:pPr>
            <w:r>
              <w:rPr>
                <w:rFonts w:hint="eastAsia"/>
                <w:color w:val="auto"/>
                <w:sz w:val="21"/>
                <w:szCs w:val="21"/>
              </w:rPr>
              <w:t>0.018~0.020</w:t>
            </w:r>
          </w:p>
        </w:tc>
        <w:tc>
          <w:tcPr>
            <w:tcW w:w="0" w:type="auto"/>
          </w:tcPr>
          <w:p w14:paraId="2D7794FD">
            <w:pPr>
              <w:spacing w:line="240" w:lineRule="auto"/>
              <w:ind w:firstLine="0" w:firstLineChars="0"/>
              <w:jc w:val="center"/>
              <w:rPr>
                <w:color w:val="auto"/>
                <w:sz w:val="21"/>
                <w:szCs w:val="21"/>
              </w:rPr>
            </w:pPr>
            <w:r>
              <w:rPr>
                <w:rFonts w:hint="eastAsia"/>
                <w:color w:val="auto"/>
                <w:sz w:val="21"/>
                <w:szCs w:val="21"/>
              </w:rPr>
              <w:t>86.39~87.32</w:t>
            </w:r>
          </w:p>
        </w:tc>
      </w:tr>
    </w:tbl>
    <w:p w14:paraId="479ABD0F">
      <w:pPr>
        <w:spacing w:line="360" w:lineRule="auto"/>
        <w:ind w:firstLine="480"/>
        <w:rPr>
          <w:color w:val="auto"/>
        </w:rPr>
      </w:pPr>
    </w:p>
    <w:p w14:paraId="6CE501E1">
      <w:pPr>
        <w:spacing w:line="360" w:lineRule="auto"/>
        <w:ind w:firstLine="480"/>
        <w:rPr>
          <w:color w:val="auto"/>
        </w:rPr>
      </w:pPr>
      <w:r>
        <w:rPr>
          <w:rFonts w:hint="eastAsia"/>
          <w:color w:val="auto"/>
        </w:rPr>
        <w:t>（6）拟建项目</w:t>
      </w:r>
    </w:p>
    <w:p w14:paraId="560FE76F">
      <w:pPr>
        <w:spacing w:line="360" w:lineRule="auto"/>
        <w:ind w:firstLine="480"/>
        <w:rPr>
          <w:color w:val="auto"/>
          <w:szCs w:val="24"/>
        </w:rPr>
      </w:pPr>
      <w:r>
        <w:rPr>
          <w:rFonts w:hint="eastAsia"/>
          <w:color w:val="auto"/>
        </w:rPr>
        <w:t>拟建项目主要收集处理</w:t>
      </w:r>
      <w:r>
        <w:rPr>
          <w:rFonts w:hint="eastAsia"/>
          <w:color w:val="auto"/>
          <w:szCs w:val="24"/>
          <w:lang w:eastAsia="zh-CN"/>
        </w:rPr>
        <w:t>岩气开采废水包括钻井废水、洗井废水、压裂返排水和采出水等</w:t>
      </w:r>
      <w:r>
        <w:rPr>
          <w:rFonts w:hint="eastAsia"/>
          <w:color w:val="auto"/>
        </w:rPr>
        <w:t>。</w:t>
      </w:r>
      <w:r>
        <w:rPr>
          <w:color w:val="auto"/>
          <w:kern w:val="0"/>
          <w:szCs w:val="24"/>
        </w:rPr>
        <w:t>废水</w:t>
      </w:r>
      <w:r>
        <w:rPr>
          <w:rFonts w:hint="eastAsia"/>
          <w:color w:val="auto"/>
          <w:kern w:val="0"/>
          <w:szCs w:val="24"/>
          <w:lang w:eastAsia="zh-CN"/>
        </w:rPr>
        <w:t>采用</w:t>
      </w:r>
      <w:r>
        <w:rPr>
          <w:rFonts w:hint="eastAsia"/>
          <w:color w:val="auto"/>
          <w:kern w:val="0"/>
          <w:szCs w:val="24"/>
        </w:rPr>
        <w:t>“</w:t>
      </w:r>
      <w:r>
        <w:rPr>
          <w:rFonts w:hint="eastAsia" w:cs="Tunga"/>
          <w:color w:val="auto"/>
          <w:lang w:eastAsia="zh-CN"/>
        </w:rPr>
        <w:t>调节+气浮+化学除重+高密软化沉淀+芬顿氧化+中和沉淀+精密过滤+DTRO膜浓缩+浓水蒸发结晶</w:t>
      </w:r>
      <w:r>
        <w:rPr>
          <w:rFonts w:hint="eastAsia"/>
          <w:color w:val="auto"/>
          <w:kern w:val="0"/>
          <w:szCs w:val="24"/>
        </w:rPr>
        <w:t>”</w:t>
      </w:r>
      <w:r>
        <w:rPr>
          <w:color w:val="auto"/>
          <w:kern w:val="0"/>
          <w:szCs w:val="24"/>
        </w:rPr>
        <w:t>处理工艺</w:t>
      </w:r>
      <w:r>
        <w:rPr>
          <w:rFonts w:hint="eastAsia"/>
          <w:color w:val="auto"/>
          <w:kern w:val="0"/>
          <w:szCs w:val="24"/>
          <w:lang w:eastAsia="zh-CN"/>
        </w:rPr>
        <w:t>，</w:t>
      </w:r>
      <w:r>
        <w:rPr>
          <w:rFonts w:hint="eastAsia"/>
          <w:color w:val="auto"/>
          <w:szCs w:val="24"/>
        </w:rPr>
        <w:t>设计</w:t>
      </w:r>
      <w:r>
        <w:rPr>
          <w:rFonts w:hint="eastAsia" w:cs="Tunga"/>
          <w:color w:val="auto"/>
        </w:rPr>
        <w:t>处理规模2</w:t>
      </w:r>
      <w:r>
        <w:rPr>
          <w:rFonts w:cs="Tunga"/>
          <w:color w:val="auto"/>
        </w:rPr>
        <w:t>0</w:t>
      </w:r>
      <w:r>
        <w:rPr>
          <w:rFonts w:hint="eastAsia" w:cs="Tunga"/>
          <w:color w:val="auto"/>
        </w:rPr>
        <w:t>0</w:t>
      </w:r>
      <w:r>
        <w:rPr>
          <w:rFonts w:cs="Tunga"/>
          <w:color w:val="auto"/>
        </w:rPr>
        <w:t>0</w:t>
      </w:r>
      <w:r>
        <w:rPr>
          <w:rFonts w:hint="eastAsia" w:cs="Tunga"/>
          <w:color w:val="auto"/>
        </w:rPr>
        <w:t>m</w:t>
      </w:r>
      <w:r>
        <w:rPr>
          <w:rFonts w:hint="eastAsia" w:cs="Tunga"/>
          <w:color w:val="auto"/>
          <w:vertAlign w:val="superscript"/>
        </w:rPr>
        <w:t>3</w:t>
      </w:r>
      <w:r>
        <w:rPr>
          <w:rFonts w:hint="eastAsia" w:cs="Tunga"/>
          <w:color w:val="auto"/>
        </w:rPr>
        <w:t>/d</w:t>
      </w:r>
      <w:r>
        <w:rPr>
          <w:rFonts w:hint="eastAsia"/>
          <w:color w:val="auto"/>
          <w:kern w:val="0"/>
          <w:szCs w:val="24"/>
        </w:rPr>
        <w:t>。</w:t>
      </w:r>
      <w:r>
        <w:rPr>
          <w:rFonts w:hint="eastAsia"/>
          <w:color w:val="auto"/>
          <w:szCs w:val="24"/>
        </w:rPr>
        <w:t>四川兴澳涪陵气田平桥水处理站采取了“调节、沉淀、曝气”等预处理工艺和“四效蒸发结晶”深度处理工艺，而拟建项目采取了</w:t>
      </w:r>
      <w:r>
        <w:rPr>
          <w:rFonts w:hint="eastAsia"/>
          <w:color w:val="auto"/>
          <w:kern w:val="0"/>
          <w:szCs w:val="24"/>
        </w:rPr>
        <w:t>“隔油、调节、气浮、除硬、高效沉淀、</w:t>
      </w:r>
      <w:r>
        <w:rPr>
          <w:rFonts w:hint="eastAsia"/>
          <w:color w:val="auto"/>
        </w:rPr>
        <w:t>pH调节”等</w:t>
      </w:r>
      <w:r>
        <w:rPr>
          <w:rFonts w:hint="eastAsia"/>
          <w:color w:val="auto"/>
          <w:szCs w:val="24"/>
        </w:rPr>
        <w:t>预处理工艺和“</w:t>
      </w:r>
      <w:r>
        <w:rPr>
          <w:rFonts w:hint="eastAsia" w:cs="Tunga"/>
          <w:color w:val="auto"/>
        </w:rPr>
        <w:t>芬顿氧化</w:t>
      </w:r>
      <w:r>
        <w:rPr>
          <w:rFonts w:hint="eastAsia"/>
          <w:color w:val="auto"/>
          <w:kern w:val="0"/>
          <w:szCs w:val="24"/>
        </w:rPr>
        <w:t>、</w:t>
      </w:r>
      <w:r>
        <w:rPr>
          <w:rFonts w:hint="eastAsia"/>
          <w:color w:val="auto"/>
        </w:rPr>
        <w:t>DTRO膜系统</w:t>
      </w:r>
      <w:r>
        <w:rPr>
          <w:rFonts w:hint="eastAsia"/>
          <w:color w:val="auto"/>
          <w:kern w:val="0"/>
          <w:szCs w:val="24"/>
        </w:rPr>
        <w:t>、</w:t>
      </w:r>
      <w:r>
        <w:rPr>
          <w:rFonts w:hint="eastAsia" w:cs="Tunga"/>
          <w:color w:val="auto"/>
        </w:rPr>
        <w:t>浓水蒸发结晶</w:t>
      </w:r>
      <w:r>
        <w:rPr>
          <w:rFonts w:hint="eastAsia"/>
          <w:color w:val="auto"/>
          <w:kern w:val="0"/>
          <w:szCs w:val="24"/>
        </w:rPr>
        <w:t>”</w:t>
      </w:r>
      <w:r>
        <w:rPr>
          <w:rFonts w:hint="eastAsia"/>
          <w:color w:val="auto"/>
          <w:szCs w:val="24"/>
        </w:rPr>
        <w:t>深度处理工艺，拟建</w:t>
      </w:r>
      <w:r>
        <w:rPr>
          <w:rFonts w:hint="eastAsia"/>
          <w:color w:val="auto"/>
          <w:kern w:val="0"/>
          <w:szCs w:val="24"/>
        </w:rPr>
        <w:t>项目废水处理工艺较</w:t>
      </w:r>
      <w:r>
        <w:rPr>
          <w:rFonts w:hint="eastAsia"/>
          <w:color w:val="auto"/>
          <w:szCs w:val="24"/>
        </w:rPr>
        <w:t>四川兴澳涪陵气田平桥水处理站处理工艺更优化。</w:t>
      </w:r>
      <w:r>
        <w:rPr>
          <w:rFonts w:hint="eastAsia"/>
          <w:color w:val="auto"/>
          <w:szCs w:val="24"/>
          <w:lang w:eastAsia="zh-CN"/>
        </w:rPr>
        <w:t>根据</w:t>
      </w:r>
      <w:r>
        <w:rPr>
          <w:rFonts w:hint="eastAsia"/>
          <w:color w:val="auto"/>
        </w:rPr>
        <w:t>3.12.3章节污水处理效果分析表可知</w:t>
      </w:r>
      <w:r>
        <w:rPr>
          <w:rFonts w:hint="eastAsia"/>
          <w:color w:val="auto"/>
          <w:szCs w:val="24"/>
        </w:rPr>
        <w:t>，拟建项目完全可实现各类污染物的达标排放，各污染物去除效率设置合理。</w:t>
      </w:r>
    </w:p>
    <w:p w14:paraId="7D89DC58">
      <w:pPr>
        <w:spacing w:line="360" w:lineRule="auto"/>
        <w:ind w:firstLine="480"/>
        <w:rPr>
          <w:color w:val="auto"/>
        </w:rPr>
      </w:pPr>
      <w:r>
        <w:rPr>
          <w:rFonts w:hint="eastAsia"/>
          <w:color w:val="auto"/>
        </w:rPr>
        <w:t>综上所述，拟建项目收集废水经各构筑物处理后</w:t>
      </w:r>
      <w:r>
        <w:rPr>
          <w:rFonts w:hint="eastAsia"/>
          <w:bCs/>
          <w:color w:val="auto"/>
          <w:szCs w:val="24"/>
        </w:rPr>
        <w:t>各污染因子均能满足</w:t>
      </w:r>
      <w:r>
        <w:rPr>
          <w:rFonts w:hint="eastAsia"/>
          <w:color w:val="auto"/>
          <w:lang w:eastAsia="zh-CN"/>
        </w:rPr>
        <w:t>《页岩气开采水污染物排放标准》（DB50/1806-2025）间接排放标准限值</w:t>
      </w:r>
      <w:r>
        <w:rPr>
          <w:rFonts w:hint="eastAsia"/>
          <w:bCs/>
          <w:color w:val="auto"/>
          <w:szCs w:val="24"/>
        </w:rPr>
        <w:t>及项目出水水质要求</w:t>
      </w:r>
      <w:r>
        <w:rPr>
          <w:rFonts w:hint="eastAsia"/>
          <w:color w:val="auto"/>
        </w:rPr>
        <w:t>，工艺可行。</w:t>
      </w:r>
    </w:p>
    <w:p w14:paraId="1EA0BFF6">
      <w:pPr>
        <w:numPr>
          <w:ilvl w:val="0"/>
          <w:numId w:val="22"/>
        </w:numPr>
        <w:spacing w:line="360" w:lineRule="auto"/>
        <w:ind w:firstLine="480"/>
        <w:rPr>
          <w:color w:val="auto"/>
        </w:rPr>
      </w:pPr>
      <w:r>
        <w:rPr>
          <w:rFonts w:hint="eastAsia"/>
          <w:color w:val="auto"/>
        </w:rPr>
        <w:t>项目涉重废水零排放可行性分析</w:t>
      </w:r>
    </w:p>
    <w:p w14:paraId="33BC0401">
      <w:pPr>
        <w:ind w:firstLine="480"/>
        <w:rPr>
          <w:color w:val="auto"/>
        </w:rPr>
      </w:pPr>
      <w:r>
        <w:rPr>
          <w:rFonts w:hint="eastAsia"/>
          <w:color w:val="auto"/>
        </w:rPr>
        <w:t>①重金属来源</w:t>
      </w:r>
    </w:p>
    <w:p w14:paraId="0FD08E3E">
      <w:pPr>
        <w:ind w:firstLine="480"/>
        <w:rPr>
          <w:color w:val="auto"/>
        </w:rPr>
      </w:pPr>
      <w:r>
        <w:rPr>
          <w:rFonts w:hint="eastAsia"/>
          <w:color w:val="auto"/>
        </w:rPr>
        <w:t>根据页岩气开采过程可知，水</w:t>
      </w:r>
      <w:r>
        <w:rPr>
          <w:color w:val="auto"/>
        </w:rPr>
        <w:t>基钻井液</w:t>
      </w:r>
      <w:r>
        <w:rPr>
          <w:rFonts w:hint="eastAsia"/>
          <w:color w:val="auto"/>
        </w:rPr>
        <w:t>、压裂液等</w:t>
      </w:r>
      <w:r>
        <w:rPr>
          <w:color w:val="auto"/>
        </w:rPr>
        <w:t>配制过程中不添加重金属。</w:t>
      </w:r>
      <w:r>
        <w:rPr>
          <w:rFonts w:hint="eastAsia"/>
          <w:color w:val="auto"/>
        </w:rPr>
        <w:t>项目页岩气开采废水</w:t>
      </w:r>
      <w:r>
        <w:rPr>
          <w:color w:val="auto"/>
        </w:rPr>
        <w:t>中重金属（铬、镉、汞、砷、铅五类重金属）主要来源为</w:t>
      </w:r>
      <w:r>
        <w:rPr>
          <w:rFonts w:hint="eastAsia"/>
          <w:color w:val="auto"/>
        </w:rPr>
        <w:t>原始</w:t>
      </w:r>
      <w:r>
        <w:rPr>
          <w:color w:val="auto"/>
        </w:rPr>
        <w:t>地层或岩层</w:t>
      </w:r>
      <w:r>
        <w:rPr>
          <w:rFonts w:hint="eastAsia"/>
          <w:color w:val="auto"/>
        </w:rPr>
        <w:t>和地下水。</w:t>
      </w:r>
    </w:p>
    <w:p w14:paraId="52AA678F">
      <w:pPr>
        <w:ind w:firstLine="480"/>
        <w:rPr>
          <w:color w:val="auto"/>
        </w:rPr>
      </w:pPr>
      <w:r>
        <w:rPr>
          <w:rFonts w:hint="eastAsia"/>
          <w:color w:val="auto"/>
        </w:rPr>
        <w:t>②重金属含量水平</w:t>
      </w:r>
    </w:p>
    <w:p w14:paraId="114AA085">
      <w:pPr>
        <w:ind w:firstLine="480"/>
        <w:rPr>
          <w:color w:val="auto"/>
        </w:rPr>
      </w:pPr>
      <w:r>
        <w:rPr>
          <w:rFonts w:hint="eastAsia"/>
          <w:color w:val="auto"/>
        </w:rPr>
        <w:t>根据项目页岩气开采废水</w:t>
      </w:r>
      <w:r>
        <w:rPr>
          <w:color w:val="auto"/>
        </w:rPr>
        <w:t>主要成分</w:t>
      </w:r>
      <w:r>
        <w:rPr>
          <w:rFonts w:hint="eastAsia"/>
          <w:color w:val="auto"/>
        </w:rPr>
        <w:t>检测报告</w:t>
      </w:r>
      <w:r>
        <w:rPr>
          <w:color w:val="auto"/>
        </w:rPr>
        <w:t>可知，受地层</w:t>
      </w:r>
      <w:r>
        <w:rPr>
          <w:rFonts w:hint="eastAsia"/>
          <w:color w:val="auto"/>
        </w:rPr>
        <w:t>区域</w:t>
      </w:r>
      <w:r>
        <w:rPr>
          <w:color w:val="auto"/>
        </w:rPr>
        <w:t>地质影响，</w:t>
      </w:r>
      <w:r>
        <w:rPr>
          <w:rFonts w:hint="eastAsia"/>
          <w:color w:val="auto"/>
        </w:rPr>
        <w:t>区域页岩气开采废水</w:t>
      </w:r>
      <w:r>
        <w:rPr>
          <w:color w:val="auto"/>
        </w:rPr>
        <w:t>中含有少量低浓度重金属</w:t>
      </w:r>
      <w:r>
        <w:rPr>
          <w:rFonts w:hint="eastAsia"/>
          <w:color w:val="auto"/>
        </w:rPr>
        <w:t>，五类重点重金属铬（六价）、砷、汞、铅、镉等含量非常低（部分未检出），浓度均低于《地表水环境质量标准》（GB3838 -2002）Ⅲ类水域标准。重金属含量主要为钻井所在地原始地层或岩层和地下水中的背景含量，含量非常低。</w:t>
      </w:r>
    </w:p>
    <w:p w14:paraId="1C45285B">
      <w:pPr>
        <w:ind w:firstLine="480"/>
        <w:rPr>
          <w:color w:val="auto"/>
        </w:rPr>
      </w:pPr>
      <w:r>
        <w:rPr>
          <w:rFonts w:hint="eastAsia"/>
          <w:color w:val="auto"/>
        </w:rPr>
        <w:t>③废水处理过程中重金属去向</w:t>
      </w:r>
    </w:p>
    <w:p w14:paraId="7F7AF007">
      <w:pPr>
        <w:ind w:firstLine="480"/>
        <w:rPr>
          <w:color w:val="auto"/>
        </w:rPr>
      </w:pPr>
      <w:r>
        <w:rPr>
          <w:rFonts w:hint="eastAsia"/>
          <w:color w:val="auto"/>
        </w:rPr>
        <w:t>项目页岩气开采废水处理过程</w:t>
      </w:r>
      <w:r>
        <w:rPr>
          <w:rFonts w:hint="eastAsia"/>
          <w:color w:val="auto"/>
          <w:lang w:eastAsia="zh-CN"/>
        </w:rPr>
        <w:t>中</w:t>
      </w:r>
      <w:r>
        <w:rPr>
          <w:color w:val="auto"/>
        </w:rPr>
        <w:t>含有少量低浓度重金属</w:t>
      </w:r>
      <w:r>
        <w:rPr>
          <w:rFonts w:hint="eastAsia"/>
          <w:color w:val="auto"/>
        </w:rPr>
        <w:t>，主要通过化学沉淀</w:t>
      </w:r>
      <w:r>
        <w:rPr>
          <w:rFonts w:hint="eastAsia"/>
          <w:color w:val="auto"/>
          <w:lang w:eastAsia="zh-CN"/>
        </w:rPr>
        <w:t>待</w:t>
      </w:r>
      <w:r>
        <w:rPr>
          <w:rFonts w:hint="eastAsia"/>
          <w:color w:val="auto"/>
        </w:rPr>
        <w:t>进一步进行了去除。处理后废水中重金属含量一般均低于《地表水环境质量标准》（GB3838-2002）Ⅲ类标准限值。同时结合重庆市及市外同类项目环评报告，废水中均未考虑重金属作为特征污染物。</w:t>
      </w:r>
    </w:p>
    <w:p w14:paraId="0A77F9CE">
      <w:pPr>
        <w:ind w:firstLine="480"/>
        <w:rPr>
          <w:color w:val="auto"/>
        </w:rPr>
      </w:pPr>
      <w:r>
        <w:rPr>
          <w:rFonts w:hint="eastAsia"/>
          <w:color w:val="auto"/>
        </w:rPr>
        <w:t>④外排废水监控措施</w:t>
      </w:r>
    </w:p>
    <w:p w14:paraId="5273DB0A">
      <w:pPr>
        <w:ind w:firstLine="480"/>
        <w:rPr>
          <w:color w:val="auto"/>
        </w:rPr>
      </w:pPr>
      <w:r>
        <w:rPr>
          <w:rFonts w:hint="eastAsia"/>
          <w:color w:val="auto"/>
        </w:rPr>
        <w:t>项目针对外排废水将五类重金属六价铬、铅、汞、镉和砷作为常规监测因子进行监测，按《地表水环境质量标准》（GB3838-2002）Ⅲ类标准限值进行管控，具体见下表8.2-2。</w:t>
      </w:r>
    </w:p>
    <w:p w14:paraId="3985A9FA">
      <w:pPr>
        <w:pStyle w:val="81"/>
        <w:widowControl w:val="0"/>
        <w:adjustRightInd w:val="0"/>
        <w:snapToGrid w:val="0"/>
        <w:spacing w:before="0" w:beforeAutospacing="0" w:after="0" w:afterAutospacing="0" w:line="480" w:lineRule="exact"/>
        <w:jc w:val="center"/>
        <w:rPr>
          <w:color w:val="auto"/>
        </w:rPr>
      </w:pPr>
      <w:r>
        <w:rPr>
          <w:rFonts w:hint="eastAsia" w:hAnsi="Times New Roman" w:cs="宋体"/>
          <w:b/>
          <w:color w:val="auto"/>
          <w:kern w:val="2"/>
          <w:szCs w:val="20"/>
          <w:lang w:val="en-US" w:bidi="ar"/>
        </w:rPr>
        <w:t>表</w:t>
      </w:r>
      <w:r>
        <w:rPr>
          <w:rFonts w:hint="eastAsia" w:hAnsi="Times New Roman"/>
          <w:b/>
          <w:color w:val="auto"/>
          <w:kern w:val="2"/>
          <w:szCs w:val="20"/>
          <w:lang w:val="en-US" w:bidi="ar"/>
        </w:rPr>
        <w:t>8</w:t>
      </w:r>
      <w:r>
        <w:rPr>
          <w:rFonts w:hAnsi="Times New Roman"/>
          <w:b/>
          <w:color w:val="auto"/>
          <w:kern w:val="2"/>
          <w:szCs w:val="20"/>
          <w:lang w:val="en-US" w:bidi="ar"/>
        </w:rPr>
        <w:t>.2-4</w:t>
      </w:r>
      <w:r>
        <w:rPr>
          <w:rFonts w:hint="eastAsia" w:hAnsi="Times New Roman"/>
          <w:b/>
          <w:color w:val="auto"/>
          <w:kern w:val="2"/>
          <w:szCs w:val="20"/>
          <w:lang w:val="en-US" w:bidi="ar"/>
        </w:rPr>
        <w:t>2</w:t>
      </w:r>
      <w:r>
        <w:rPr>
          <w:rFonts w:hAnsi="Times New Roman"/>
          <w:b/>
          <w:color w:val="auto"/>
          <w:kern w:val="2"/>
          <w:szCs w:val="20"/>
          <w:lang w:val="en-US" w:bidi="ar"/>
        </w:rPr>
        <w:t xml:space="preserve"> </w:t>
      </w:r>
      <w:r>
        <w:rPr>
          <w:rFonts w:hint="eastAsia" w:hAnsi="Times New Roman" w:cs="宋体"/>
          <w:b/>
          <w:color w:val="auto"/>
          <w:kern w:val="2"/>
          <w:szCs w:val="20"/>
          <w:lang w:val="en-US" w:bidi="ar"/>
        </w:rPr>
        <w:t>废水总排口重金属控制指标表</w:t>
      </w:r>
    </w:p>
    <w:tbl>
      <w:tblPr>
        <w:tblStyle w:val="88"/>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030"/>
        <w:gridCol w:w="3058"/>
        <w:gridCol w:w="2753"/>
        <w:gridCol w:w="1445"/>
      </w:tblGrid>
      <w:tr w14:paraId="400C41B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blHeader/>
          <w:jc w:val="center"/>
        </w:trPr>
        <w:tc>
          <w:tcPr>
            <w:tcW w:w="1093" w:type="pct"/>
            <w:tcBorders>
              <w:top w:val="single" w:color="auto" w:sz="2" w:space="0"/>
              <w:left w:val="single" w:color="auto" w:sz="2" w:space="0"/>
              <w:bottom w:val="single" w:color="auto" w:sz="2" w:space="0"/>
              <w:right w:val="single" w:color="auto" w:sz="2" w:space="0"/>
            </w:tcBorders>
            <w:shd w:val="clear" w:color="auto" w:fill="auto"/>
            <w:noWrap/>
            <w:vAlign w:val="center"/>
          </w:tcPr>
          <w:p w14:paraId="45CEFEB2">
            <w:pPr>
              <w:pStyle w:val="81"/>
              <w:widowControl w:val="0"/>
              <w:spacing w:before="0" w:beforeAutospacing="0" w:after="0" w:afterAutospacing="0"/>
              <w:jc w:val="center"/>
              <w:rPr>
                <w:color w:val="auto"/>
                <w:lang w:val="en-US"/>
              </w:rPr>
            </w:pPr>
            <w:r>
              <w:rPr>
                <w:rFonts w:hint="eastAsia" w:hAnsi="Times New Roman" w:cs="宋体"/>
                <w:color w:val="auto"/>
                <w:kern w:val="2"/>
                <w:sz w:val="21"/>
                <w:szCs w:val="18"/>
                <w:lang w:val="en-US" w:bidi="ar"/>
              </w:rPr>
              <w:t>序号</w:t>
            </w:r>
          </w:p>
        </w:tc>
        <w:tc>
          <w:tcPr>
            <w:tcW w:w="1646" w:type="pct"/>
            <w:tcBorders>
              <w:top w:val="single" w:color="auto" w:sz="2" w:space="0"/>
              <w:left w:val="single" w:color="auto" w:sz="2" w:space="0"/>
              <w:bottom w:val="single" w:color="auto" w:sz="2" w:space="0"/>
              <w:right w:val="single" w:color="auto" w:sz="2" w:space="0"/>
            </w:tcBorders>
            <w:shd w:val="clear" w:color="auto" w:fill="auto"/>
            <w:noWrap/>
            <w:vAlign w:val="center"/>
          </w:tcPr>
          <w:p w14:paraId="5F9F4203">
            <w:pPr>
              <w:pStyle w:val="81"/>
              <w:widowControl w:val="0"/>
              <w:spacing w:before="0" w:beforeAutospacing="0" w:after="0" w:afterAutospacing="0"/>
              <w:jc w:val="center"/>
              <w:rPr>
                <w:color w:val="auto"/>
                <w:lang w:val="en-US"/>
              </w:rPr>
            </w:pPr>
            <w:r>
              <w:rPr>
                <w:rFonts w:hint="eastAsia" w:hAnsi="Times New Roman" w:cs="宋体"/>
                <w:color w:val="auto"/>
                <w:kern w:val="2"/>
                <w:sz w:val="21"/>
                <w:szCs w:val="18"/>
                <w:lang w:val="en-US" w:bidi="ar"/>
              </w:rPr>
              <w:t>检测项目</w:t>
            </w:r>
          </w:p>
        </w:tc>
        <w:tc>
          <w:tcPr>
            <w:tcW w:w="1482" w:type="pct"/>
            <w:tcBorders>
              <w:top w:val="single" w:color="auto" w:sz="2" w:space="0"/>
              <w:left w:val="single" w:color="auto" w:sz="2" w:space="0"/>
              <w:bottom w:val="single" w:color="auto" w:sz="2" w:space="0"/>
              <w:right w:val="single" w:color="auto" w:sz="2" w:space="0"/>
            </w:tcBorders>
            <w:shd w:val="clear" w:color="auto" w:fill="auto"/>
            <w:vAlign w:val="center"/>
          </w:tcPr>
          <w:p w14:paraId="692AE6AF">
            <w:pPr>
              <w:pStyle w:val="81"/>
              <w:widowControl w:val="0"/>
              <w:spacing w:before="0" w:beforeAutospacing="0" w:after="0" w:afterAutospacing="0"/>
              <w:jc w:val="center"/>
              <w:rPr>
                <w:color w:val="auto"/>
                <w:lang w:val="en-US"/>
              </w:rPr>
            </w:pPr>
            <w:r>
              <w:rPr>
                <w:rFonts w:hint="eastAsia" w:hAnsi="Times New Roman" w:cs="宋体"/>
                <w:color w:val="auto"/>
                <w:kern w:val="2"/>
                <w:sz w:val="21"/>
                <w:szCs w:val="18"/>
                <w:lang w:val="en-US" w:bidi="ar"/>
              </w:rPr>
              <w:t>控制限值</w:t>
            </w:r>
            <w:r>
              <w:rPr>
                <w:rFonts w:hAnsi="Times New Roman"/>
                <w:color w:val="auto"/>
                <w:kern w:val="2"/>
                <w:sz w:val="21"/>
                <w:szCs w:val="18"/>
                <w:lang w:val="en-US" w:bidi="ar"/>
              </w:rPr>
              <w:t>mg/L</w:t>
            </w:r>
          </w:p>
        </w:tc>
        <w:tc>
          <w:tcPr>
            <w:tcW w:w="778" w:type="pct"/>
            <w:tcBorders>
              <w:top w:val="single" w:color="auto" w:sz="2" w:space="0"/>
              <w:left w:val="single" w:color="auto" w:sz="2" w:space="0"/>
              <w:bottom w:val="single" w:color="auto" w:sz="2" w:space="0"/>
              <w:right w:val="single" w:color="auto" w:sz="2" w:space="0"/>
            </w:tcBorders>
            <w:shd w:val="clear" w:color="auto" w:fill="auto"/>
            <w:vAlign w:val="center"/>
          </w:tcPr>
          <w:p w14:paraId="7E5DE4AE">
            <w:pPr>
              <w:pStyle w:val="81"/>
              <w:widowControl w:val="0"/>
              <w:spacing w:before="0" w:beforeAutospacing="0" w:after="0" w:afterAutospacing="0"/>
              <w:jc w:val="center"/>
              <w:rPr>
                <w:color w:val="auto"/>
                <w:lang w:val="en-US"/>
              </w:rPr>
            </w:pPr>
            <w:r>
              <w:rPr>
                <w:rFonts w:hint="eastAsia" w:hAnsi="Times New Roman" w:cs="宋体"/>
                <w:color w:val="auto"/>
                <w:kern w:val="2"/>
                <w:sz w:val="21"/>
                <w:szCs w:val="18"/>
                <w:lang w:val="en-US" w:bidi="ar"/>
              </w:rPr>
              <w:t>备注</w:t>
            </w:r>
          </w:p>
        </w:tc>
      </w:tr>
      <w:tr w14:paraId="34BB7FA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093" w:type="pct"/>
            <w:tcBorders>
              <w:top w:val="single" w:color="auto" w:sz="2" w:space="0"/>
              <w:left w:val="single" w:color="auto" w:sz="2" w:space="0"/>
              <w:bottom w:val="single" w:color="auto" w:sz="2" w:space="0"/>
              <w:right w:val="single" w:color="auto" w:sz="2" w:space="0"/>
            </w:tcBorders>
            <w:shd w:val="clear" w:color="auto" w:fill="auto"/>
            <w:noWrap/>
            <w:vAlign w:val="center"/>
          </w:tcPr>
          <w:p w14:paraId="60F20272">
            <w:pPr>
              <w:pStyle w:val="81"/>
              <w:widowControl w:val="0"/>
              <w:spacing w:before="0" w:beforeAutospacing="0" w:after="0" w:afterAutospacing="0"/>
              <w:jc w:val="center"/>
              <w:rPr>
                <w:color w:val="auto"/>
                <w:lang w:val="en-US"/>
              </w:rPr>
            </w:pPr>
            <w:r>
              <w:rPr>
                <w:rFonts w:hAnsi="Times New Roman"/>
                <w:color w:val="auto"/>
                <w:kern w:val="2"/>
                <w:sz w:val="21"/>
                <w:szCs w:val="18"/>
                <w:lang w:val="en-US" w:bidi="ar"/>
              </w:rPr>
              <w:t>1</w:t>
            </w:r>
          </w:p>
        </w:tc>
        <w:tc>
          <w:tcPr>
            <w:tcW w:w="1646" w:type="pct"/>
            <w:tcBorders>
              <w:top w:val="single" w:color="auto" w:sz="2" w:space="0"/>
              <w:left w:val="single" w:color="auto" w:sz="2" w:space="0"/>
              <w:bottom w:val="single" w:color="auto" w:sz="2" w:space="0"/>
              <w:right w:val="single" w:color="auto" w:sz="2" w:space="0"/>
            </w:tcBorders>
            <w:shd w:val="clear" w:color="auto" w:fill="auto"/>
            <w:noWrap/>
            <w:vAlign w:val="center"/>
          </w:tcPr>
          <w:p w14:paraId="0184E9B2">
            <w:pPr>
              <w:pStyle w:val="81"/>
              <w:widowControl w:val="0"/>
              <w:spacing w:before="0" w:beforeAutospacing="0" w:after="0" w:afterAutospacing="0"/>
              <w:jc w:val="center"/>
              <w:rPr>
                <w:color w:val="auto"/>
                <w:lang w:val="en-US"/>
              </w:rPr>
            </w:pPr>
            <w:r>
              <w:rPr>
                <w:rFonts w:hint="eastAsia" w:hAnsi="Times New Roman" w:cs="宋体"/>
                <w:color w:val="auto"/>
                <w:kern w:val="2"/>
                <w:sz w:val="21"/>
                <w:szCs w:val="18"/>
                <w:lang w:val="en-US" w:bidi="ar"/>
              </w:rPr>
              <w:t>砷</w:t>
            </w:r>
          </w:p>
        </w:tc>
        <w:tc>
          <w:tcPr>
            <w:tcW w:w="1482" w:type="pct"/>
            <w:tcBorders>
              <w:top w:val="single" w:color="auto" w:sz="2" w:space="0"/>
              <w:left w:val="single" w:color="auto" w:sz="2" w:space="0"/>
              <w:bottom w:val="single" w:color="auto" w:sz="2" w:space="0"/>
              <w:right w:val="single" w:color="auto" w:sz="2" w:space="0"/>
            </w:tcBorders>
            <w:shd w:val="clear" w:color="auto" w:fill="auto"/>
            <w:vAlign w:val="center"/>
          </w:tcPr>
          <w:p w14:paraId="7A8F622B">
            <w:pPr>
              <w:pStyle w:val="81"/>
              <w:widowControl w:val="0"/>
              <w:spacing w:before="0" w:beforeAutospacing="0" w:after="0" w:afterAutospacing="0"/>
              <w:jc w:val="center"/>
              <w:rPr>
                <w:color w:val="auto"/>
                <w:lang w:val="en-US"/>
              </w:rPr>
            </w:pPr>
            <w:r>
              <w:rPr>
                <w:rFonts w:hAnsi="Times New Roman" w:eastAsia="等线"/>
                <w:color w:val="auto"/>
                <w:kern w:val="2"/>
                <w:sz w:val="21"/>
                <w:szCs w:val="21"/>
                <w:lang w:val="en-US" w:bidi="ar"/>
              </w:rPr>
              <w:t>≤</w:t>
            </w:r>
            <w:r>
              <w:rPr>
                <w:rFonts w:hAnsi="Times New Roman"/>
                <w:color w:val="auto"/>
                <w:kern w:val="2"/>
                <w:sz w:val="21"/>
                <w:szCs w:val="18"/>
                <w:lang w:val="en-US" w:bidi="ar"/>
              </w:rPr>
              <w:t>0.05</w:t>
            </w:r>
          </w:p>
        </w:tc>
        <w:tc>
          <w:tcPr>
            <w:tcW w:w="778" w:type="pct"/>
            <w:tcBorders>
              <w:top w:val="single" w:color="auto" w:sz="2" w:space="0"/>
              <w:left w:val="single" w:color="auto" w:sz="2" w:space="0"/>
              <w:bottom w:val="single" w:color="auto" w:sz="2" w:space="0"/>
              <w:right w:val="single" w:color="auto" w:sz="2" w:space="0"/>
            </w:tcBorders>
            <w:shd w:val="clear" w:color="auto" w:fill="auto"/>
            <w:vAlign w:val="center"/>
          </w:tcPr>
          <w:p w14:paraId="7E551849">
            <w:pPr>
              <w:pStyle w:val="81"/>
              <w:widowControl w:val="0"/>
              <w:spacing w:before="0" w:beforeAutospacing="0" w:after="0" w:afterAutospacing="0"/>
              <w:jc w:val="center"/>
              <w:rPr>
                <w:color w:val="auto"/>
                <w:lang w:val="en-US"/>
              </w:rPr>
            </w:pPr>
          </w:p>
        </w:tc>
      </w:tr>
      <w:tr w14:paraId="20F7137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093" w:type="pct"/>
            <w:tcBorders>
              <w:top w:val="single" w:color="auto" w:sz="2" w:space="0"/>
              <w:left w:val="single" w:color="auto" w:sz="2" w:space="0"/>
              <w:bottom w:val="single" w:color="auto" w:sz="2" w:space="0"/>
              <w:right w:val="single" w:color="auto" w:sz="2" w:space="0"/>
            </w:tcBorders>
            <w:shd w:val="clear" w:color="auto" w:fill="auto"/>
            <w:noWrap/>
            <w:vAlign w:val="center"/>
          </w:tcPr>
          <w:p w14:paraId="51E95134">
            <w:pPr>
              <w:pStyle w:val="81"/>
              <w:widowControl w:val="0"/>
              <w:spacing w:before="0" w:beforeAutospacing="0" w:after="0" w:afterAutospacing="0"/>
              <w:jc w:val="center"/>
              <w:rPr>
                <w:color w:val="auto"/>
                <w:lang w:val="en-US"/>
              </w:rPr>
            </w:pPr>
            <w:r>
              <w:rPr>
                <w:rFonts w:hAnsi="Times New Roman"/>
                <w:color w:val="auto"/>
                <w:kern w:val="2"/>
                <w:sz w:val="21"/>
                <w:szCs w:val="18"/>
                <w:lang w:val="en-US" w:bidi="ar"/>
              </w:rPr>
              <w:t>2</w:t>
            </w:r>
          </w:p>
        </w:tc>
        <w:tc>
          <w:tcPr>
            <w:tcW w:w="1646" w:type="pct"/>
            <w:tcBorders>
              <w:top w:val="single" w:color="auto" w:sz="2" w:space="0"/>
              <w:left w:val="single" w:color="auto" w:sz="2" w:space="0"/>
              <w:bottom w:val="single" w:color="auto" w:sz="2" w:space="0"/>
              <w:right w:val="single" w:color="auto" w:sz="2" w:space="0"/>
            </w:tcBorders>
            <w:shd w:val="clear" w:color="auto" w:fill="auto"/>
            <w:noWrap/>
            <w:vAlign w:val="center"/>
          </w:tcPr>
          <w:p w14:paraId="0AB866E6">
            <w:pPr>
              <w:pStyle w:val="81"/>
              <w:widowControl w:val="0"/>
              <w:spacing w:before="0" w:beforeAutospacing="0" w:after="0" w:afterAutospacing="0"/>
              <w:jc w:val="center"/>
              <w:rPr>
                <w:rFonts w:eastAsia="等线"/>
                <w:color w:val="auto"/>
                <w:lang w:val="en-US"/>
              </w:rPr>
            </w:pPr>
            <w:r>
              <w:rPr>
                <w:rFonts w:hint="eastAsia" w:hAnsi="Times New Roman" w:cs="宋体"/>
                <w:color w:val="auto"/>
                <w:kern w:val="2"/>
                <w:sz w:val="21"/>
                <w:szCs w:val="18"/>
                <w:lang w:val="en-US" w:bidi="ar"/>
              </w:rPr>
              <w:t>镉</w:t>
            </w:r>
          </w:p>
        </w:tc>
        <w:tc>
          <w:tcPr>
            <w:tcW w:w="1482" w:type="pct"/>
            <w:tcBorders>
              <w:top w:val="single" w:color="auto" w:sz="2" w:space="0"/>
              <w:left w:val="single" w:color="auto" w:sz="2" w:space="0"/>
              <w:bottom w:val="single" w:color="auto" w:sz="2" w:space="0"/>
              <w:right w:val="single" w:color="auto" w:sz="2" w:space="0"/>
            </w:tcBorders>
            <w:shd w:val="clear" w:color="auto" w:fill="auto"/>
            <w:vAlign w:val="center"/>
          </w:tcPr>
          <w:p w14:paraId="3F2300BE">
            <w:pPr>
              <w:pStyle w:val="81"/>
              <w:widowControl w:val="0"/>
              <w:spacing w:before="0" w:beforeAutospacing="0" w:after="0" w:afterAutospacing="0"/>
              <w:jc w:val="center"/>
              <w:rPr>
                <w:rFonts w:eastAsia="等线"/>
                <w:color w:val="auto"/>
                <w:lang w:val="en-US"/>
              </w:rPr>
            </w:pPr>
            <w:r>
              <w:rPr>
                <w:rFonts w:hAnsi="Times New Roman" w:eastAsia="等线"/>
                <w:color w:val="auto"/>
                <w:kern w:val="2"/>
                <w:sz w:val="21"/>
                <w:szCs w:val="21"/>
                <w:lang w:val="en-US" w:bidi="ar"/>
              </w:rPr>
              <w:t>≤</w:t>
            </w:r>
            <w:r>
              <w:rPr>
                <w:rFonts w:hAnsi="Times New Roman"/>
                <w:color w:val="auto"/>
                <w:kern w:val="2"/>
                <w:sz w:val="21"/>
                <w:szCs w:val="18"/>
                <w:lang w:val="en-US" w:bidi="ar"/>
              </w:rPr>
              <w:t>0.005</w:t>
            </w:r>
          </w:p>
        </w:tc>
        <w:tc>
          <w:tcPr>
            <w:tcW w:w="778" w:type="pct"/>
            <w:tcBorders>
              <w:top w:val="single" w:color="auto" w:sz="2" w:space="0"/>
              <w:left w:val="single" w:color="auto" w:sz="2" w:space="0"/>
              <w:bottom w:val="single" w:color="auto" w:sz="2" w:space="0"/>
              <w:right w:val="single" w:color="auto" w:sz="2" w:space="0"/>
            </w:tcBorders>
            <w:shd w:val="clear" w:color="auto" w:fill="auto"/>
            <w:vAlign w:val="center"/>
          </w:tcPr>
          <w:p w14:paraId="6BDC64CE">
            <w:pPr>
              <w:pStyle w:val="81"/>
              <w:widowControl w:val="0"/>
              <w:spacing w:before="0" w:beforeAutospacing="0" w:after="0" w:afterAutospacing="0"/>
              <w:jc w:val="center"/>
              <w:rPr>
                <w:color w:val="auto"/>
                <w:lang w:val="en-US"/>
              </w:rPr>
            </w:pPr>
          </w:p>
        </w:tc>
      </w:tr>
      <w:tr w14:paraId="35F788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093" w:type="pct"/>
            <w:tcBorders>
              <w:top w:val="single" w:color="auto" w:sz="2" w:space="0"/>
              <w:left w:val="single" w:color="auto" w:sz="2" w:space="0"/>
              <w:bottom w:val="single" w:color="auto" w:sz="2" w:space="0"/>
              <w:right w:val="single" w:color="auto" w:sz="2" w:space="0"/>
            </w:tcBorders>
            <w:shd w:val="clear" w:color="auto" w:fill="auto"/>
            <w:noWrap/>
            <w:vAlign w:val="center"/>
          </w:tcPr>
          <w:p w14:paraId="5D755607">
            <w:pPr>
              <w:pStyle w:val="81"/>
              <w:widowControl w:val="0"/>
              <w:spacing w:before="0" w:beforeAutospacing="0" w:after="0" w:afterAutospacing="0"/>
              <w:jc w:val="center"/>
              <w:rPr>
                <w:color w:val="auto"/>
                <w:lang w:val="en-US"/>
              </w:rPr>
            </w:pPr>
            <w:r>
              <w:rPr>
                <w:rFonts w:hAnsi="Times New Roman"/>
                <w:color w:val="auto"/>
                <w:kern w:val="2"/>
                <w:sz w:val="21"/>
                <w:szCs w:val="18"/>
                <w:lang w:val="en-US" w:bidi="ar"/>
              </w:rPr>
              <w:t>3</w:t>
            </w:r>
          </w:p>
        </w:tc>
        <w:tc>
          <w:tcPr>
            <w:tcW w:w="1646" w:type="pct"/>
            <w:tcBorders>
              <w:top w:val="single" w:color="auto" w:sz="2" w:space="0"/>
              <w:left w:val="single" w:color="auto" w:sz="2" w:space="0"/>
              <w:bottom w:val="single" w:color="auto" w:sz="2" w:space="0"/>
              <w:right w:val="single" w:color="auto" w:sz="2" w:space="0"/>
            </w:tcBorders>
            <w:shd w:val="clear" w:color="auto" w:fill="auto"/>
            <w:noWrap/>
            <w:vAlign w:val="center"/>
          </w:tcPr>
          <w:p w14:paraId="7D51E022">
            <w:pPr>
              <w:pStyle w:val="81"/>
              <w:widowControl w:val="0"/>
              <w:spacing w:before="0" w:beforeAutospacing="0" w:after="0" w:afterAutospacing="0"/>
              <w:jc w:val="center"/>
              <w:rPr>
                <w:rFonts w:eastAsia="等线"/>
                <w:color w:val="auto"/>
                <w:lang w:val="en-US"/>
              </w:rPr>
            </w:pPr>
            <w:r>
              <w:rPr>
                <w:rFonts w:hint="eastAsia" w:hAnsi="Times New Roman" w:cs="宋体"/>
                <w:color w:val="auto"/>
                <w:kern w:val="2"/>
                <w:sz w:val="21"/>
                <w:szCs w:val="18"/>
                <w:lang w:val="en-US" w:bidi="ar"/>
              </w:rPr>
              <w:t>六价铬</w:t>
            </w:r>
          </w:p>
        </w:tc>
        <w:tc>
          <w:tcPr>
            <w:tcW w:w="1482" w:type="pct"/>
            <w:tcBorders>
              <w:top w:val="single" w:color="auto" w:sz="2" w:space="0"/>
              <w:left w:val="single" w:color="auto" w:sz="2" w:space="0"/>
              <w:bottom w:val="single" w:color="auto" w:sz="2" w:space="0"/>
              <w:right w:val="single" w:color="auto" w:sz="2" w:space="0"/>
            </w:tcBorders>
            <w:shd w:val="clear" w:color="auto" w:fill="auto"/>
            <w:vAlign w:val="center"/>
          </w:tcPr>
          <w:p w14:paraId="413B009E">
            <w:pPr>
              <w:pStyle w:val="81"/>
              <w:widowControl w:val="0"/>
              <w:spacing w:before="0" w:beforeAutospacing="0" w:after="0" w:afterAutospacing="0"/>
              <w:jc w:val="center"/>
              <w:rPr>
                <w:rFonts w:eastAsia="等线"/>
                <w:color w:val="auto"/>
                <w:lang w:val="en-US"/>
              </w:rPr>
            </w:pPr>
            <w:r>
              <w:rPr>
                <w:rFonts w:hAnsi="Times New Roman" w:eastAsia="等线"/>
                <w:color w:val="auto"/>
                <w:kern w:val="2"/>
                <w:sz w:val="21"/>
                <w:szCs w:val="21"/>
                <w:lang w:val="en-US" w:bidi="ar"/>
              </w:rPr>
              <w:t>≤</w:t>
            </w:r>
            <w:r>
              <w:rPr>
                <w:rFonts w:hAnsi="Times New Roman"/>
                <w:color w:val="auto"/>
                <w:kern w:val="2"/>
                <w:sz w:val="21"/>
                <w:szCs w:val="18"/>
                <w:lang w:val="en-US" w:bidi="ar"/>
              </w:rPr>
              <w:t>0.05</w:t>
            </w:r>
          </w:p>
        </w:tc>
        <w:tc>
          <w:tcPr>
            <w:tcW w:w="778" w:type="pct"/>
            <w:tcBorders>
              <w:top w:val="single" w:color="auto" w:sz="2" w:space="0"/>
              <w:left w:val="single" w:color="auto" w:sz="2" w:space="0"/>
              <w:bottom w:val="single" w:color="auto" w:sz="2" w:space="0"/>
              <w:right w:val="single" w:color="auto" w:sz="2" w:space="0"/>
            </w:tcBorders>
            <w:shd w:val="clear" w:color="auto" w:fill="auto"/>
            <w:vAlign w:val="center"/>
          </w:tcPr>
          <w:p w14:paraId="6F417BA4">
            <w:pPr>
              <w:pStyle w:val="81"/>
              <w:widowControl w:val="0"/>
              <w:spacing w:before="0" w:beforeAutospacing="0" w:after="0" w:afterAutospacing="0"/>
              <w:jc w:val="center"/>
              <w:rPr>
                <w:color w:val="auto"/>
                <w:lang w:val="en-US"/>
              </w:rPr>
            </w:pPr>
          </w:p>
        </w:tc>
      </w:tr>
      <w:tr w14:paraId="4EBE02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093" w:type="pct"/>
            <w:tcBorders>
              <w:top w:val="single" w:color="auto" w:sz="2" w:space="0"/>
              <w:left w:val="single" w:color="auto" w:sz="2" w:space="0"/>
              <w:bottom w:val="single" w:color="auto" w:sz="2" w:space="0"/>
              <w:right w:val="single" w:color="auto" w:sz="2" w:space="0"/>
            </w:tcBorders>
            <w:shd w:val="clear" w:color="auto" w:fill="auto"/>
            <w:noWrap/>
            <w:vAlign w:val="center"/>
          </w:tcPr>
          <w:p w14:paraId="0CFAA2BC">
            <w:pPr>
              <w:pStyle w:val="81"/>
              <w:widowControl w:val="0"/>
              <w:spacing w:before="0" w:beforeAutospacing="0" w:after="0" w:afterAutospacing="0"/>
              <w:jc w:val="center"/>
              <w:rPr>
                <w:color w:val="auto"/>
                <w:lang w:val="en-US"/>
              </w:rPr>
            </w:pPr>
            <w:r>
              <w:rPr>
                <w:rFonts w:hAnsi="Times New Roman"/>
                <w:color w:val="auto"/>
                <w:kern w:val="2"/>
                <w:sz w:val="21"/>
                <w:szCs w:val="18"/>
                <w:lang w:val="en-US" w:bidi="ar"/>
              </w:rPr>
              <w:t>4</w:t>
            </w:r>
          </w:p>
        </w:tc>
        <w:tc>
          <w:tcPr>
            <w:tcW w:w="1646" w:type="pct"/>
            <w:tcBorders>
              <w:top w:val="single" w:color="auto" w:sz="2" w:space="0"/>
              <w:left w:val="single" w:color="auto" w:sz="2" w:space="0"/>
              <w:bottom w:val="single" w:color="auto" w:sz="2" w:space="0"/>
              <w:right w:val="single" w:color="auto" w:sz="2" w:space="0"/>
            </w:tcBorders>
            <w:shd w:val="clear" w:color="auto" w:fill="auto"/>
            <w:noWrap/>
            <w:vAlign w:val="center"/>
          </w:tcPr>
          <w:p w14:paraId="38112936">
            <w:pPr>
              <w:pStyle w:val="81"/>
              <w:widowControl w:val="0"/>
              <w:spacing w:before="0" w:beforeAutospacing="0" w:after="0" w:afterAutospacing="0"/>
              <w:jc w:val="center"/>
              <w:rPr>
                <w:rFonts w:eastAsia="等线"/>
                <w:color w:val="auto"/>
                <w:lang w:val="en-US"/>
              </w:rPr>
            </w:pPr>
            <w:r>
              <w:rPr>
                <w:rFonts w:hint="eastAsia" w:hAnsi="Times New Roman" w:cs="宋体"/>
                <w:color w:val="auto"/>
                <w:kern w:val="2"/>
                <w:sz w:val="21"/>
                <w:szCs w:val="18"/>
                <w:lang w:val="en-US" w:bidi="ar"/>
              </w:rPr>
              <w:t>铅</w:t>
            </w:r>
          </w:p>
        </w:tc>
        <w:tc>
          <w:tcPr>
            <w:tcW w:w="1482" w:type="pct"/>
            <w:tcBorders>
              <w:top w:val="single" w:color="auto" w:sz="2" w:space="0"/>
              <w:left w:val="single" w:color="auto" w:sz="2" w:space="0"/>
              <w:bottom w:val="single" w:color="auto" w:sz="2" w:space="0"/>
              <w:right w:val="single" w:color="auto" w:sz="2" w:space="0"/>
            </w:tcBorders>
            <w:shd w:val="clear" w:color="auto" w:fill="auto"/>
            <w:vAlign w:val="center"/>
          </w:tcPr>
          <w:p w14:paraId="0C73DC8D">
            <w:pPr>
              <w:pStyle w:val="81"/>
              <w:widowControl w:val="0"/>
              <w:spacing w:before="0" w:beforeAutospacing="0" w:after="0" w:afterAutospacing="0"/>
              <w:jc w:val="center"/>
              <w:rPr>
                <w:color w:val="auto"/>
                <w:lang w:val="en-US"/>
              </w:rPr>
            </w:pPr>
            <w:r>
              <w:rPr>
                <w:rFonts w:hAnsi="Times New Roman" w:eastAsia="等线"/>
                <w:color w:val="auto"/>
                <w:kern w:val="2"/>
                <w:sz w:val="21"/>
                <w:szCs w:val="21"/>
                <w:lang w:val="en-US" w:bidi="ar"/>
              </w:rPr>
              <w:t>≤</w:t>
            </w:r>
            <w:r>
              <w:rPr>
                <w:rFonts w:hAnsi="Times New Roman"/>
                <w:color w:val="auto"/>
                <w:kern w:val="2"/>
                <w:sz w:val="21"/>
                <w:szCs w:val="18"/>
                <w:lang w:val="en-US" w:bidi="ar"/>
              </w:rPr>
              <w:t>0.05</w:t>
            </w:r>
          </w:p>
        </w:tc>
        <w:tc>
          <w:tcPr>
            <w:tcW w:w="778" w:type="pct"/>
            <w:tcBorders>
              <w:top w:val="single" w:color="auto" w:sz="2" w:space="0"/>
              <w:left w:val="single" w:color="auto" w:sz="2" w:space="0"/>
              <w:bottom w:val="single" w:color="auto" w:sz="2" w:space="0"/>
              <w:right w:val="single" w:color="auto" w:sz="2" w:space="0"/>
            </w:tcBorders>
            <w:shd w:val="clear" w:color="auto" w:fill="auto"/>
            <w:vAlign w:val="center"/>
          </w:tcPr>
          <w:p w14:paraId="0BE9EE2E">
            <w:pPr>
              <w:pStyle w:val="81"/>
              <w:widowControl w:val="0"/>
              <w:spacing w:before="0" w:beforeAutospacing="0" w:after="0" w:afterAutospacing="0"/>
              <w:jc w:val="center"/>
              <w:rPr>
                <w:color w:val="auto"/>
                <w:lang w:val="en-US"/>
              </w:rPr>
            </w:pPr>
          </w:p>
        </w:tc>
      </w:tr>
      <w:tr w14:paraId="6B5FF2A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093" w:type="pct"/>
            <w:tcBorders>
              <w:top w:val="single" w:color="auto" w:sz="2" w:space="0"/>
              <w:left w:val="single" w:color="auto" w:sz="2" w:space="0"/>
              <w:bottom w:val="single" w:color="auto" w:sz="2" w:space="0"/>
              <w:right w:val="single" w:color="auto" w:sz="2" w:space="0"/>
            </w:tcBorders>
            <w:shd w:val="clear" w:color="auto" w:fill="auto"/>
            <w:noWrap/>
            <w:vAlign w:val="center"/>
          </w:tcPr>
          <w:p w14:paraId="5A133159">
            <w:pPr>
              <w:pStyle w:val="81"/>
              <w:widowControl w:val="0"/>
              <w:spacing w:before="0" w:beforeAutospacing="0" w:after="0" w:afterAutospacing="0"/>
              <w:jc w:val="center"/>
              <w:rPr>
                <w:color w:val="auto"/>
                <w:lang w:val="en-US"/>
              </w:rPr>
            </w:pPr>
            <w:r>
              <w:rPr>
                <w:rFonts w:hAnsi="Times New Roman"/>
                <w:color w:val="auto"/>
                <w:kern w:val="2"/>
                <w:sz w:val="21"/>
                <w:szCs w:val="18"/>
                <w:lang w:val="en-US" w:bidi="ar"/>
              </w:rPr>
              <w:t>5</w:t>
            </w:r>
          </w:p>
        </w:tc>
        <w:tc>
          <w:tcPr>
            <w:tcW w:w="1646" w:type="pct"/>
            <w:tcBorders>
              <w:top w:val="single" w:color="auto" w:sz="2" w:space="0"/>
              <w:left w:val="single" w:color="auto" w:sz="2" w:space="0"/>
              <w:bottom w:val="single" w:color="auto" w:sz="2" w:space="0"/>
              <w:right w:val="single" w:color="auto" w:sz="2" w:space="0"/>
            </w:tcBorders>
            <w:shd w:val="clear" w:color="auto" w:fill="auto"/>
            <w:noWrap/>
            <w:vAlign w:val="center"/>
          </w:tcPr>
          <w:p w14:paraId="28D3FE4F">
            <w:pPr>
              <w:pStyle w:val="81"/>
              <w:widowControl w:val="0"/>
              <w:spacing w:before="0" w:beforeAutospacing="0" w:after="0" w:afterAutospacing="0"/>
              <w:jc w:val="center"/>
              <w:rPr>
                <w:rFonts w:eastAsia="等线"/>
                <w:color w:val="auto"/>
                <w:lang w:val="en-US"/>
              </w:rPr>
            </w:pPr>
            <w:r>
              <w:rPr>
                <w:rFonts w:hint="eastAsia" w:hAnsi="Times New Roman" w:cs="宋体"/>
                <w:color w:val="auto"/>
                <w:kern w:val="2"/>
                <w:sz w:val="21"/>
                <w:szCs w:val="18"/>
                <w:lang w:val="en-US" w:bidi="ar"/>
              </w:rPr>
              <w:t>汞</w:t>
            </w:r>
          </w:p>
        </w:tc>
        <w:tc>
          <w:tcPr>
            <w:tcW w:w="1482" w:type="pct"/>
            <w:tcBorders>
              <w:top w:val="single" w:color="auto" w:sz="2" w:space="0"/>
              <w:left w:val="single" w:color="auto" w:sz="2" w:space="0"/>
              <w:bottom w:val="single" w:color="auto" w:sz="2" w:space="0"/>
              <w:right w:val="single" w:color="auto" w:sz="2" w:space="0"/>
            </w:tcBorders>
            <w:shd w:val="clear" w:color="auto" w:fill="auto"/>
            <w:vAlign w:val="center"/>
          </w:tcPr>
          <w:p w14:paraId="0A15631F">
            <w:pPr>
              <w:pStyle w:val="81"/>
              <w:widowControl w:val="0"/>
              <w:spacing w:before="0" w:beforeAutospacing="0" w:after="0" w:afterAutospacing="0"/>
              <w:jc w:val="center"/>
              <w:rPr>
                <w:color w:val="auto"/>
                <w:lang w:val="en-US"/>
              </w:rPr>
            </w:pPr>
            <w:r>
              <w:rPr>
                <w:rFonts w:hAnsi="Times New Roman" w:eastAsia="等线"/>
                <w:color w:val="auto"/>
                <w:kern w:val="2"/>
                <w:sz w:val="21"/>
                <w:szCs w:val="21"/>
                <w:lang w:val="en-US" w:bidi="ar"/>
              </w:rPr>
              <w:t>≤</w:t>
            </w:r>
            <w:r>
              <w:rPr>
                <w:rFonts w:hAnsi="Times New Roman"/>
                <w:color w:val="auto"/>
                <w:kern w:val="2"/>
                <w:sz w:val="21"/>
                <w:szCs w:val="18"/>
                <w:lang w:val="en-US" w:bidi="ar"/>
              </w:rPr>
              <w:t>0.0001</w:t>
            </w:r>
          </w:p>
        </w:tc>
        <w:tc>
          <w:tcPr>
            <w:tcW w:w="778" w:type="pct"/>
            <w:tcBorders>
              <w:top w:val="single" w:color="auto" w:sz="2" w:space="0"/>
              <w:left w:val="single" w:color="auto" w:sz="2" w:space="0"/>
              <w:bottom w:val="single" w:color="auto" w:sz="2" w:space="0"/>
              <w:right w:val="single" w:color="auto" w:sz="2" w:space="0"/>
            </w:tcBorders>
            <w:shd w:val="clear" w:color="auto" w:fill="auto"/>
            <w:vAlign w:val="center"/>
          </w:tcPr>
          <w:p w14:paraId="6B2FE305">
            <w:pPr>
              <w:pStyle w:val="81"/>
              <w:widowControl w:val="0"/>
              <w:spacing w:before="0" w:beforeAutospacing="0" w:after="0" w:afterAutospacing="0"/>
              <w:jc w:val="center"/>
              <w:rPr>
                <w:color w:val="auto"/>
                <w:lang w:val="en-US"/>
              </w:rPr>
            </w:pPr>
          </w:p>
        </w:tc>
      </w:tr>
    </w:tbl>
    <w:p w14:paraId="2A423522">
      <w:pPr>
        <w:spacing w:line="360" w:lineRule="auto"/>
        <w:ind w:firstLine="480"/>
        <w:rPr>
          <w:color w:val="auto"/>
        </w:rPr>
      </w:pPr>
    </w:p>
    <w:p w14:paraId="50F104E4">
      <w:pPr>
        <w:spacing w:line="360" w:lineRule="auto"/>
        <w:ind w:firstLine="480"/>
        <w:rPr>
          <w:color w:val="auto"/>
        </w:rPr>
      </w:pPr>
      <w:r>
        <w:rPr>
          <w:rFonts w:hint="eastAsia"/>
          <w:color w:val="auto"/>
        </w:rPr>
        <w:t>⑤小结</w:t>
      </w:r>
    </w:p>
    <w:p w14:paraId="5D06EF95">
      <w:pPr>
        <w:spacing w:line="360" w:lineRule="auto"/>
        <w:ind w:firstLine="480"/>
        <w:rPr>
          <w:color w:val="auto"/>
        </w:rPr>
      </w:pPr>
      <w:r>
        <w:rPr>
          <w:rFonts w:hint="eastAsia"/>
          <w:color w:val="auto"/>
        </w:rPr>
        <w:t>综上所述，页岩气开采废水中重金属（铬、镉、汞、砷、铅五类重金属）主要来源为原始地层或岩层和地下水。根据项目页岩气开采废水</w:t>
      </w:r>
      <w:r>
        <w:rPr>
          <w:color w:val="auto"/>
        </w:rPr>
        <w:t>主要成分</w:t>
      </w:r>
      <w:r>
        <w:rPr>
          <w:rFonts w:hint="eastAsia"/>
          <w:color w:val="auto"/>
        </w:rPr>
        <w:t>检测报告</w:t>
      </w:r>
      <w:r>
        <w:rPr>
          <w:color w:val="auto"/>
        </w:rPr>
        <w:t>可知，</w:t>
      </w:r>
      <w:r>
        <w:rPr>
          <w:rFonts w:hint="eastAsia"/>
          <w:color w:val="auto"/>
        </w:rPr>
        <w:t>五类重点重金属铬（六价）、砷、汞、铅、镉等含量非常低（部分未检出），浓度均低于《地表水环境质量标准》（GB3838 -2002）Ⅲ类水域标准。通过对接收页岩气开采废水的控制，对外排废水五类重金属按《地表水环境质量标准》（GB3838-2002）Ⅲ类标准限值进行管控。项目生产废水经处理后可实现重金属污染物零排放，对外环境的影响非常小。</w:t>
      </w:r>
    </w:p>
    <w:p w14:paraId="451520B7">
      <w:pPr>
        <w:pStyle w:val="5"/>
        <w:numPr>
          <w:ilvl w:val="0"/>
          <w:numId w:val="0"/>
        </w:numPr>
        <w:spacing w:line="360" w:lineRule="auto"/>
        <w:rPr>
          <w:color w:val="auto"/>
          <w:szCs w:val="24"/>
        </w:rPr>
      </w:pPr>
      <w:r>
        <w:rPr>
          <w:color w:val="auto"/>
          <w:szCs w:val="24"/>
        </w:rPr>
        <w:t>8.2.2</w:t>
      </w:r>
      <w:r>
        <w:rPr>
          <w:rFonts w:hint="eastAsia"/>
          <w:color w:val="auto"/>
          <w:szCs w:val="24"/>
        </w:rPr>
        <w:t>地下水污染防治措施</w:t>
      </w:r>
    </w:p>
    <w:p w14:paraId="308B6864">
      <w:pPr>
        <w:tabs>
          <w:tab w:val="left" w:pos="960"/>
        </w:tabs>
        <w:spacing w:line="360" w:lineRule="auto"/>
        <w:ind w:firstLine="480"/>
        <w:jc w:val="left"/>
        <w:rPr>
          <w:color w:val="auto"/>
        </w:rPr>
      </w:pPr>
      <w:r>
        <w:rPr>
          <w:rFonts w:hint="eastAsia"/>
          <w:color w:val="auto"/>
        </w:rPr>
        <w:t>为防止项目废水渗入地下，最终进入水体，对水环境产生影响，拟建项目须采取以下防治措施：</w:t>
      </w:r>
    </w:p>
    <w:p w14:paraId="17462050">
      <w:pPr>
        <w:tabs>
          <w:tab w:val="left" w:pos="960"/>
        </w:tabs>
        <w:spacing w:line="360" w:lineRule="auto"/>
        <w:ind w:firstLine="480"/>
        <w:jc w:val="left"/>
        <w:rPr>
          <w:color w:val="auto"/>
        </w:rPr>
      </w:pPr>
      <w:r>
        <w:rPr>
          <w:rFonts w:hint="eastAsia"/>
          <w:color w:val="auto"/>
        </w:rPr>
        <w:t>（</w:t>
      </w:r>
      <w:r>
        <w:rPr>
          <w:color w:val="auto"/>
        </w:rPr>
        <w:t>1</w:t>
      </w:r>
      <w:r>
        <w:rPr>
          <w:rFonts w:hint="eastAsia"/>
          <w:color w:val="auto"/>
        </w:rPr>
        <w:t>）源头控制措施</w:t>
      </w:r>
    </w:p>
    <w:p w14:paraId="4F65A6D6">
      <w:pPr>
        <w:tabs>
          <w:tab w:val="left" w:pos="960"/>
        </w:tabs>
        <w:spacing w:line="360" w:lineRule="auto"/>
        <w:ind w:firstLine="480"/>
        <w:jc w:val="left"/>
        <w:rPr>
          <w:color w:val="auto"/>
        </w:rPr>
      </w:pPr>
      <w:r>
        <w:rPr>
          <w:rFonts w:hint="eastAsia"/>
          <w:color w:val="auto"/>
        </w:rPr>
        <w:t>严格按照国家相关规范要求，对拟建项目污水管道进行防腐处理、加药箱设置围堰或托盘、污水处理构筑物防渗等措施，以防止和降低污染物的跑、冒、滴、漏，降低风险事故；拟建项目污水管网设计时，其污水管线铺设采用“可视化”原则，即管道尽可能地上铺设，做到污染物“早发现、早处理”，以减少由于埋地管道泄漏而可能造成的地下水污染，管道采用防腐防渗材料。污泥处理间地面、药品仓库地面、污水处理池体等按照要求做好防渗措施。</w:t>
      </w:r>
    </w:p>
    <w:p w14:paraId="08566FDF">
      <w:pPr>
        <w:tabs>
          <w:tab w:val="left" w:pos="960"/>
        </w:tabs>
        <w:spacing w:line="360" w:lineRule="auto"/>
        <w:ind w:firstLine="480"/>
        <w:jc w:val="left"/>
        <w:rPr>
          <w:color w:val="auto"/>
        </w:rPr>
      </w:pPr>
      <w:r>
        <w:rPr>
          <w:rFonts w:hint="eastAsia"/>
          <w:color w:val="auto"/>
        </w:rPr>
        <w:t>（</w:t>
      </w:r>
      <w:r>
        <w:rPr>
          <w:color w:val="auto"/>
        </w:rPr>
        <w:t>2</w:t>
      </w:r>
      <w:r>
        <w:rPr>
          <w:rFonts w:hint="eastAsia"/>
          <w:color w:val="auto"/>
        </w:rPr>
        <w:t>）分区控制措施</w:t>
      </w:r>
    </w:p>
    <w:p w14:paraId="7E964BFE">
      <w:pPr>
        <w:tabs>
          <w:tab w:val="left" w:pos="960"/>
        </w:tabs>
        <w:spacing w:line="360" w:lineRule="auto"/>
        <w:ind w:firstLine="480"/>
        <w:jc w:val="left"/>
        <w:rPr>
          <w:color w:val="auto"/>
        </w:rPr>
      </w:pPr>
      <w:r>
        <w:rPr>
          <w:rFonts w:hint="eastAsia"/>
          <w:color w:val="auto"/>
        </w:rPr>
        <w:t>对厂区可能泄漏污染物的地面进行防渗处理，可有效</w:t>
      </w:r>
      <w:r>
        <w:rPr>
          <w:rFonts w:hint="eastAsia"/>
          <w:color w:val="auto"/>
          <w:lang w:eastAsia="zh-CN"/>
        </w:rPr>
        <w:t>防止</w:t>
      </w:r>
      <w:r>
        <w:rPr>
          <w:rFonts w:hint="eastAsia"/>
          <w:color w:val="auto"/>
        </w:rPr>
        <w:t>污染物渗入地下，并及时地将泄漏、渗漏的污染物收集并进行集中处理。根据厂区各构、建筑物功能，将厂区划分为重点防渗区、一般防渗区和简单防渗区。</w:t>
      </w:r>
    </w:p>
    <w:p w14:paraId="2EA03F64">
      <w:pPr>
        <w:spacing w:line="360" w:lineRule="auto"/>
        <w:ind w:firstLine="480"/>
        <w:rPr>
          <w:color w:val="auto"/>
          <w:szCs w:val="24"/>
        </w:rPr>
      </w:pPr>
      <w:r>
        <w:rPr>
          <w:color w:val="auto"/>
          <w:szCs w:val="24"/>
        </w:rPr>
        <w:t>a</w:t>
      </w:r>
      <w:r>
        <w:rPr>
          <w:rFonts w:hint="eastAsia"/>
          <w:color w:val="auto"/>
          <w:szCs w:val="24"/>
        </w:rPr>
        <w:t>、重点防渗区</w:t>
      </w:r>
    </w:p>
    <w:p w14:paraId="16601609">
      <w:pPr>
        <w:spacing w:line="360" w:lineRule="auto"/>
        <w:ind w:firstLine="480"/>
        <w:rPr>
          <w:color w:val="auto"/>
          <w:szCs w:val="24"/>
        </w:rPr>
      </w:pPr>
      <w:r>
        <w:rPr>
          <w:rFonts w:hint="eastAsia"/>
          <w:color w:val="auto"/>
          <w:szCs w:val="24"/>
        </w:rPr>
        <w:t>拟建项目现有污泥池、危废贮存库、1#药剂储存罐区、加药计量区、2#药品储存区等已按重点防渗区相关要求采取重点防渗措施。</w:t>
      </w:r>
    </w:p>
    <w:p w14:paraId="38D683CC">
      <w:pPr>
        <w:spacing w:line="360" w:lineRule="auto"/>
        <w:ind w:firstLine="480"/>
        <w:rPr>
          <w:color w:val="auto"/>
          <w:szCs w:val="24"/>
        </w:rPr>
      </w:pPr>
      <w:r>
        <w:rPr>
          <w:rFonts w:hint="eastAsia"/>
          <w:color w:val="auto"/>
          <w:szCs w:val="24"/>
        </w:rPr>
        <w:t>拟建项目新建</w:t>
      </w:r>
      <w:r>
        <w:rPr>
          <w:rFonts w:hint="eastAsia"/>
          <w:color w:val="auto"/>
          <w:szCs w:val="24"/>
          <w:lang w:eastAsia="zh-CN"/>
        </w:rPr>
        <w:t>污泥压滤间</w:t>
      </w:r>
      <w:r>
        <w:rPr>
          <w:rFonts w:hint="eastAsia"/>
          <w:color w:val="auto"/>
          <w:szCs w:val="24"/>
        </w:rPr>
        <w:t>、3#药剂储存罐区、4#药品储存区、污泥贮存库、盐贮存库、事故池等按重点防渗区相关要求采取重点防渗措施，重点防渗区防渗层的防渗性能</w:t>
      </w:r>
      <w:r>
        <w:rPr>
          <w:rFonts w:hint="eastAsia"/>
          <w:color w:val="auto"/>
        </w:rPr>
        <w:t>要求等效黏土防渗层Mb≥6m，渗透系数≤1×10</w:t>
      </w:r>
      <w:r>
        <w:rPr>
          <w:rFonts w:hint="eastAsia"/>
          <w:color w:val="auto"/>
          <w:vertAlign w:val="superscript"/>
        </w:rPr>
        <w:t>-7</w:t>
      </w:r>
      <w:r>
        <w:rPr>
          <w:rFonts w:hint="eastAsia"/>
          <w:color w:val="auto"/>
        </w:rPr>
        <w:t>cm/s；参照GB18598执行</w:t>
      </w:r>
      <w:r>
        <w:rPr>
          <w:rFonts w:hint="eastAsia"/>
          <w:color w:val="auto"/>
          <w:szCs w:val="24"/>
        </w:rPr>
        <w:t>。</w:t>
      </w:r>
    </w:p>
    <w:p w14:paraId="2CDC5BAD">
      <w:pPr>
        <w:spacing w:line="360" w:lineRule="auto"/>
        <w:ind w:firstLine="480"/>
        <w:rPr>
          <w:color w:val="auto"/>
          <w:szCs w:val="24"/>
        </w:rPr>
      </w:pPr>
      <w:r>
        <w:rPr>
          <w:color w:val="auto"/>
          <w:szCs w:val="24"/>
        </w:rPr>
        <w:t>b</w:t>
      </w:r>
      <w:r>
        <w:rPr>
          <w:rFonts w:hint="eastAsia"/>
          <w:color w:val="auto"/>
          <w:szCs w:val="24"/>
        </w:rPr>
        <w:t>、一般防渗区</w:t>
      </w:r>
    </w:p>
    <w:p w14:paraId="48410302">
      <w:pPr>
        <w:spacing w:line="360" w:lineRule="auto"/>
        <w:ind w:firstLine="480"/>
        <w:rPr>
          <w:color w:val="auto"/>
          <w:szCs w:val="24"/>
        </w:rPr>
      </w:pPr>
      <w:r>
        <w:rPr>
          <w:rFonts w:hint="eastAsia"/>
          <w:color w:val="auto"/>
          <w:szCs w:val="24"/>
        </w:rPr>
        <w:t>拟建项目现有调节池、高密软化池、芬顿氧化池、中和沉淀池、清水池、排放水池已按一般防渗区相关要求采取一般防渗措施。</w:t>
      </w:r>
    </w:p>
    <w:p w14:paraId="2C1C44B8">
      <w:pPr>
        <w:spacing w:line="360" w:lineRule="auto"/>
        <w:ind w:firstLine="480"/>
        <w:rPr>
          <w:color w:val="auto"/>
          <w:szCs w:val="24"/>
        </w:rPr>
      </w:pPr>
      <w:r>
        <w:rPr>
          <w:rFonts w:hint="eastAsia"/>
          <w:color w:val="auto"/>
          <w:szCs w:val="24"/>
        </w:rPr>
        <w:t>拟建项目改造或新建废水</w:t>
      </w:r>
      <w:r>
        <w:rPr>
          <w:rFonts w:hint="eastAsia"/>
          <w:color w:val="auto"/>
          <w:szCs w:val="24"/>
          <w:lang w:eastAsia="zh-CN"/>
        </w:rPr>
        <w:t>收集池</w:t>
      </w:r>
      <w:r>
        <w:rPr>
          <w:rFonts w:hint="eastAsia"/>
          <w:color w:val="auto"/>
          <w:szCs w:val="24"/>
        </w:rPr>
        <w:t>、</w:t>
      </w:r>
      <w:r>
        <w:rPr>
          <w:rFonts w:hint="eastAsia"/>
          <w:color w:val="auto"/>
          <w:szCs w:val="24"/>
          <w:lang w:eastAsia="zh-CN"/>
        </w:rPr>
        <w:t>浓水罐</w:t>
      </w:r>
      <w:r>
        <w:rPr>
          <w:rFonts w:hint="eastAsia"/>
          <w:color w:val="auto"/>
          <w:szCs w:val="24"/>
        </w:rPr>
        <w:t>、高密软化池、过滤水池、DTRO膜浓缩装置区、浓水蒸发装置区、罐车卸车区、罐车装车区等按一般防渗区相关要求采取一般防渗措施。</w:t>
      </w:r>
    </w:p>
    <w:p w14:paraId="1DC6AD01">
      <w:pPr>
        <w:spacing w:line="360" w:lineRule="auto"/>
        <w:ind w:firstLine="480"/>
        <w:rPr>
          <w:color w:val="auto"/>
          <w:szCs w:val="24"/>
        </w:rPr>
      </w:pPr>
      <w:r>
        <w:rPr>
          <w:rFonts w:hint="eastAsia"/>
          <w:color w:val="auto"/>
          <w:szCs w:val="24"/>
        </w:rPr>
        <w:t>一般防渗区防渗层可采用黏土、抗渗混凝土、高密度聚乙烯（</w:t>
      </w:r>
      <w:r>
        <w:rPr>
          <w:color w:val="auto"/>
          <w:szCs w:val="24"/>
        </w:rPr>
        <w:t>HDPE</w:t>
      </w:r>
      <w:r>
        <w:rPr>
          <w:rFonts w:hint="eastAsia"/>
          <w:color w:val="auto"/>
          <w:szCs w:val="24"/>
        </w:rPr>
        <w:t>）膜、纳基膨润土防水毯或其他防渗性能等效的材料。当建设场地具有符合要求的黏土时，地面防渗宜采用黏土防渗层，防渗层顶面宜采用混凝土地面或设置厚度不小于</w:t>
      </w:r>
      <w:r>
        <w:rPr>
          <w:color w:val="auto"/>
          <w:szCs w:val="24"/>
        </w:rPr>
        <w:t>200mm</w:t>
      </w:r>
      <w:r>
        <w:rPr>
          <w:rFonts w:hint="eastAsia"/>
          <w:color w:val="auto"/>
          <w:szCs w:val="24"/>
        </w:rPr>
        <w:t>的砂石层，一般防渗区防渗层的防渗性能</w:t>
      </w:r>
      <w:r>
        <w:rPr>
          <w:rFonts w:hint="eastAsia"/>
          <w:color w:val="auto"/>
        </w:rPr>
        <w:t>要求等效黏土防渗层Mb≥1.5m，渗透系数≤1×10</w:t>
      </w:r>
      <w:r>
        <w:rPr>
          <w:rFonts w:hint="eastAsia"/>
          <w:color w:val="auto"/>
          <w:vertAlign w:val="superscript"/>
        </w:rPr>
        <w:t>-7</w:t>
      </w:r>
      <w:r>
        <w:rPr>
          <w:rFonts w:hint="eastAsia"/>
          <w:color w:val="auto"/>
        </w:rPr>
        <w:t>cm/s；参照GB16889执行</w:t>
      </w:r>
      <w:r>
        <w:rPr>
          <w:rFonts w:hint="eastAsia"/>
          <w:color w:val="auto"/>
          <w:szCs w:val="24"/>
        </w:rPr>
        <w:t>。</w:t>
      </w:r>
    </w:p>
    <w:p w14:paraId="214BEFB5">
      <w:pPr>
        <w:spacing w:line="360" w:lineRule="auto"/>
        <w:ind w:firstLine="480"/>
        <w:rPr>
          <w:color w:val="auto"/>
          <w:szCs w:val="24"/>
        </w:rPr>
      </w:pPr>
      <w:r>
        <w:rPr>
          <w:color w:val="auto"/>
          <w:szCs w:val="24"/>
        </w:rPr>
        <w:t>c</w:t>
      </w:r>
      <w:r>
        <w:rPr>
          <w:rFonts w:hint="eastAsia"/>
          <w:color w:val="auto"/>
          <w:szCs w:val="24"/>
        </w:rPr>
        <w:t>、简单防渗区</w:t>
      </w:r>
    </w:p>
    <w:p w14:paraId="21D3AEB6">
      <w:pPr>
        <w:spacing w:line="360" w:lineRule="auto"/>
        <w:ind w:firstLine="480"/>
        <w:rPr>
          <w:color w:val="auto"/>
          <w:szCs w:val="24"/>
        </w:rPr>
      </w:pPr>
      <w:r>
        <w:rPr>
          <w:rFonts w:hint="eastAsia"/>
          <w:color w:val="auto"/>
          <w:szCs w:val="24"/>
        </w:rPr>
        <w:t>拟建项目简单防渗区包括厂区道路、绿化区、综合楼、门卫室等不会对地下水环境造成污染或可能产生轻微污染的其他建筑区，采取一般地面硬化。</w:t>
      </w:r>
    </w:p>
    <w:p w14:paraId="2944FEF7">
      <w:pPr>
        <w:spacing w:line="360" w:lineRule="auto"/>
        <w:ind w:firstLine="480"/>
        <w:rPr>
          <w:color w:val="auto"/>
          <w:szCs w:val="24"/>
        </w:rPr>
      </w:pPr>
      <w:r>
        <w:rPr>
          <w:rFonts w:hint="eastAsia"/>
          <w:color w:val="auto"/>
          <w:szCs w:val="24"/>
        </w:rPr>
        <w:t>按照国家环保总局环函〔</w:t>
      </w:r>
      <w:r>
        <w:rPr>
          <w:color w:val="auto"/>
          <w:szCs w:val="24"/>
        </w:rPr>
        <w:t>2006</w:t>
      </w:r>
      <w:r>
        <w:rPr>
          <w:rFonts w:hint="eastAsia"/>
          <w:color w:val="auto"/>
          <w:szCs w:val="24"/>
        </w:rPr>
        <w:t>〕</w:t>
      </w:r>
      <w:r>
        <w:rPr>
          <w:color w:val="auto"/>
          <w:szCs w:val="24"/>
        </w:rPr>
        <w:t>176</w:t>
      </w:r>
      <w:r>
        <w:rPr>
          <w:rFonts w:hint="eastAsia"/>
          <w:color w:val="auto"/>
          <w:szCs w:val="24"/>
        </w:rPr>
        <w:t>号文关于</w:t>
      </w:r>
      <w:r>
        <w:rPr>
          <w:color w:val="auto"/>
          <w:szCs w:val="24"/>
        </w:rPr>
        <w:t>“</w:t>
      </w:r>
      <w:r>
        <w:rPr>
          <w:rFonts w:hint="eastAsia"/>
          <w:color w:val="auto"/>
          <w:szCs w:val="24"/>
        </w:rPr>
        <w:t>在设计上实现厂内污水管线地上化</w:t>
      </w:r>
      <w:r>
        <w:rPr>
          <w:color w:val="auto"/>
          <w:szCs w:val="24"/>
        </w:rPr>
        <w:t>”</w:t>
      </w:r>
      <w:r>
        <w:rPr>
          <w:rFonts w:hint="eastAsia"/>
          <w:color w:val="auto"/>
          <w:szCs w:val="24"/>
        </w:rPr>
        <w:t>以及《关于印发重庆市排污口规范化清理整治实施方案的通知》（渝环发〔</w:t>
      </w:r>
      <w:r>
        <w:rPr>
          <w:color w:val="auto"/>
          <w:szCs w:val="24"/>
        </w:rPr>
        <w:t>2012</w:t>
      </w:r>
      <w:r>
        <w:rPr>
          <w:rFonts w:hint="eastAsia"/>
          <w:color w:val="auto"/>
          <w:szCs w:val="24"/>
        </w:rPr>
        <w:t>〕</w:t>
      </w:r>
      <w:r>
        <w:rPr>
          <w:color w:val="auto"/>
          <w:szCs w:val="24"/>
        </w:rPr>
        <w:t>26</w:t>
      </w:r>
      <w:r>
        <w:rPr>
          <w:rFonts w:hint="eastAsia"/>
          <w:color w:val="auto"/>
          <w:szCs w:val="24"/>
        </w:rPr>
        <w:t>号）要求，输送含有污染物的管道尽可能地上敷设，减少由于埋地管道泄漏而造成的地下水污染。排水管道采用防腐蚀、防渗材料，设置管道保护沟，保护沟全部硬化和防渗处理，偶然发生的管道爆裂事故排放的少量污水能够在保护沟收集暂存。</w:t>
      </w:r>
    </w:p>
    <w:p w14:paraId="1CF2C84B">
      <w:pPr>
        <w:spacing w:line="360" w:lineRule="auto"/>
        <w:ind w:firstLine="480"/>
        <w:rPr>
          <w:color w:val="auto"/>
          <w:szCs w:val="24"/>
        </w:rPr>
      </w:pPr>
      <w:r>
        <w:rPr>
          <w:rFonts w:hint="eastAsia"/>
          <w:color w:val="auto"/>
          <w:szCs w:val="24"/>
        </w:rPr>
        <w:t>（</w:t>
      </w:r>
      <w:r>
        <w:rPr>
          <w:color w:val="auto"/>
          <w:szCs w:val="24"/>
        </w:rPr>
        <w:t>3</w:t>
      </w:r>
      <w:r>
        <w:rPr>
          <w:rFonts w:hint="eastAsia"/>
          <w:color w:val="auto"/>
          <w:szCs w:val="24"/>
        </w:rPr>
        <w:t>）地下水污染监控</w:t>
      </w:r>
    </w:p>
    <w:p w14:paraId="395C8F6F">
      <w:pPr>
        <w:spacing w:line="360" w:lineRule="auto"/>
        <w:ind w:firstLine="480"/>
        <w:rPr>
          <w:color w:val="auto"/>
          <w:szCs w:val="24"/>
        </w:rPr>
      </w:pPr>
      <w:r>
        <w:rPr>
          <w:rFonts w:hint="eastAsia"/>
          <w:color w:val="auto"/>
          <w:szCs w:val="24"/>
        </w:rPr>
        <w:t>建立覆盖全厂的地下水长期监控系统，包括科学、合理地设置地下水污染监控井，建立完善的监测制度，配备先进的检测仪器和设备。拟建项目地下水环境监测主要参考《地下水环境监测技术规范》（</w:t>
      </w:r>
      <w:r>
        <w:rPr>
          <w:color w:val="auto"/>
          <w:szCs w:val="24"/>
        </w:rPr>
        <w:t xml:space="preserve"> HJ/T164-2020</w:t>
      </w:r>
      <w:r>
        <w:rPr>
          <w:rFonts w:hint="eastAsia"/>
          <w:color w:val="auto"/>
          <w:szCs w:val="24"/>
        </w:rPr>
        <w:t>）和《环境影响评价技术导则地下水环境》（</w:t>
      </w:r>
      <w:r>
        <w:rPr>
          <w:color w:val="auto"/>
          <w:szCs w:val="24"/>
        </w:rPr>
        <w:t>HJ610-2016</w:t>
      </w:r>
      <w:r>
        <w:rPr>
          <w:rFonts w:hint="eastAsia"/>
          <w:color w:val="auto"/>
          <w:szCs w:val="24"/>
        </w:rPr>
        <w:t>），结合厂址区域地下水补径排特征，考虑潜在污染源、环境保护目标等因素，并结合预测评价结论，要求设置</w:t>
      </w:r>
      <w:r>
        <w:rPr>
          <w:color w:val="auto"/>
          <w:szCs w:val="24"/>
        </w:rPr>
        <w:t>地下水环境影响跟踪监测井3个</w:t>
      </w:r>
      <w:r>
        <w:rPr>
          <w:rFonts w:hint="eastAsia"/>
          <w:color w:val="auto"/>
          <w:szCs w:val="24"/>
          <w:lang w:eastAsia="zh-CN"/>
        </w:rPr>
        <w:t>，均为企业新建的</w:t>
      </w:r>
      <w:r>
        <w:rPr>
          <w:rFonts w:hint="eastAsia"/>
          <w:color w:val="auto"/>
          <w:szCs w:val="24"/>
        </w:rPr>
        <w:t>地下水跟踪监测井。定期进行地下水质量监控，若发现监控井异常，及时采取应急措施。</w:t>
      </w:r>
    </w:p>
    <w:p w14:paraId="43F9819B">
      <w:pPr>
        <w:spacing w:line="360" w:lineRule="auto"/>
        <w:ind w:firstLine="480"/>
        <w:rPr>
          <w:color w:val="auto"/>
          <w:szCs w:val="24"/>
        </w:rPr>
      </w:pPr>
      <w:r>
        <w:rPr>
          <w:rFonts w:hint="eastAsia"/>
          <w:color w:val="auto"/>
          <w:szCs w:val="24"/>
        </w:rPr>
        <w:t>（</w:t>
      </w:r>
      <w:r>
        <w:rPr>
          <w:color w:val="auto"/>
          <w:szCs w:val="24"/>
        </w:rPr>
        <w:t>4</w:t>
      </w:r>
      <w:r>
        <w:rPr>
          <w:rFonts w:hint="eastAsia"/>
          <w:color w:val="auto"/>
          <w:szCs w:val="24"/>
        </w:rPr>
        <w:t>）应急措施</w:t>
      </w:r>
    </w:p>
    <w:p w14:paraId="0848D4C1">
      <w:pPr>
        <w:spacing w:line="360" w:lineRule="auto"/>
        <w:ind w:firstLine="480"/>
        <w:rPr>
          <w:color w:val="auto"/>
          <w:szCs w:val="24"/>
        </w:rPr>
      </w:pPr>
      <w:r>
        <w:rPr>
          <w:rFonts w:hint="eastAsia"/>
          <w:color w:val="auto"/>
          <w:szCs w:val="24"/>
        </w:rPr>
        <w:t>制定风险事故应急预案的目的是在发生风险事故时，能以最快的速度发挥最大的效能，有序地实施救援，尽快控制事态的发展，降低事故对潜水含水层的污染。针对应急工作需要，参照相关技术导则，结合地下水污染治理的技术特点，制定地下水污染应急治理程序见图8</w:t>
      </w:r>
      <w:r>
        <w:rPr>
          <w:color w:val="auto"/>
          <w:szCs w:val="24"/>
        </w:rPr>
        <w:t>.2-1</w:t>
      </w:r>
      <w:r>
        <w:rPr>
          <w:rFonts w:hint="eastAsia"/>
          <w:color w:val="auto"/>
          <w:szCs w:val="24"/>
        </w:rPr>
        <w:t>。</w:t>
      </w:r>
    </w:p>
    <w:p w14:paraId="4D2C230A">
      <w:pPr>
        <w:spacing w:line="360" w:lineRule="auto"/>
        <w:ind w:firstLine="480"/>
        <w:rPr>
          <w:color w:val="auto"/>
          <w:szCs w:val="24"/>
        </w:rPr>
      </w:pPr>
      <w:r>
        <w:rPr>
          <w:color w:val="auto"/>
        </w:rPr>
        <w:drawing>
          <wp:inline distT="0" distB="0" distL="0" distR="0">
            <wp:extent cx="5420360" cy="3649980"/>
            <wp:effectExtent l="0" t="0" r="889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5420360" cy="3649980"/>
                    </a:xfrm>
                    <a:prstGeom prst="rect">
                      <a:avLst/>
                    </a:prstGeom>
                    <a:noFill/>
                    <a:ln>
                      <a:noFill/>
                    </a:ln>
                  </pic:spPr>
                </pic:pic>
              </a:graphicData>
            </a:graphic>
          </wp:inline>
        </w:drawing>
      </w:r>
    </w:p>
    <w:p w14:paraId="695CC402">
      <w:pPr>
        <w:spacing w:line="360" w:lineRule="auto"/>
        <w:ind w:firstLineChars="83"/>
        <w:jc w:val="center"/>
        <w:rPr>
          <w:b/>
          <w:color w:val="auto"/>
          <w:szCs w:val="24"/>
        </w:rPr>
      </w:pPr>
      <w:r>
        <w:rPr>
          <w:rFonts w:hint="eastAsia"/>
          <w:b/>
          <w:color w:val="auto"/>
          <w:szCs w:val="24"/>
        </w:rPr>
        <w:t>图</w:t>
      </w:r>
      <w:r>
        <w:rPr>
          <w:b/>
          <w:color w:val="auto"/>
          <w:szCs w:val="24"/>
        </w:rPr>
        <w:t>8.2-1</w:t>
      </w:r>
      <w:r>
        <w:rPr>
          <w:rFonts w:hint="eastAsia"/>
          <w:b/>
          <w:color w:val="auto"/>
          <w:szCs w:val="24"/>
        </w:rPr>
        <w:t>拟建项目地下水污染应急治理措施</w:t>
      </w:r>
    </w:p>
    <w:p w14:paraId="23511595">
      <w:pPr>
        <w:spacing w:line="360" w:lineRule="auto"/>
        <w:ind w:firstLine="480"/>
        <w:rPr>
          <w:color w:val="auto"/>
          <w:szCs w:val="24"/>
        </w:rPr>
      </w:pPr>
      <w:r>
        <w:rPr>
          <w:rFonts w:hint="eastAsia"/>
          <w:color w:val="auto"/>
          <w:szCs w:val="24"/>
        </w:rPr>
        <w:t>拟建项目按要求进行对各构筑物池体、建筑物地面等进行防渗处理，并达到相应防渗等级，设专人定期对其进行维护检修，可有效控制非正常状况下污染物渗漏至地下对地下水环境的影响；定期对监控井地下水水质进行跟踪监测，可及时发现地下水水质变化，地下水水质指标一旦发生超标，立即采取对厂区构筑物及设备进行检修，切断污染源，杜绝非正常状况下污染物随地下水迁移至</w:t>
      </w:r>
      <w:r>
        <w:rPr>
          <w:rFonts w:hint="eastAsia"/>
          <w:color w:val="auto"/>
          <w:szCs w:val="24"/>
          <w:lang w:eastAsia="zh-CN"/>
        </w:rPr>
        <w:t>长江</w:t>
      </w:r>
      <w:r>
        <w:rPr>
          <w:rFonts w:hint="eastAsia"/>
          <w:color w:val="auto"/>
          <w:szCs w:val="24"/>
        </w:rPr>
        <w:t>。</w:t>
      </w:r>
    </w:p>
    <w:p w14:paraId="3E47250F">
      <w:pPr>
        <w:spacing w:line="360" w:lineRule="auto"/>
        <w:ind w:firstLine="480"/>
        <w:rPr>
          <w:color w:val="auto"/>
          <w:szCs w:val="24"/>
        </w:rPr>
      </w:pPr>
      <w:r>
        <w:rPr>
          <w:rFonts w:hint="eastAsia"/>
          <w:color w:val="auto"/>
          <w:szCs w:val="24"/>
        </w:rPr>
        <w:t>通过落实本环评提出的各项措施，拟建项目营运对地下水环境影响是可以接受的。</w:t>
      </w:r>
    </w:p>
    <w:p w14:paraId="295D405B">
      <w:pPr>
        <w:pStyle w:val="5"/>
        <w:numPr>
          <w:ilvl w:val="0"/>
          <w:numId w:val="0"/>
        </w:numPr>
        <w:spacing w:line="360" w:lineRule="auto"/>
        <w:rPr>
          <w:color w:val="auto"/>
          <w:szCs w:val="24"/>
        </w:rPr>
      </w:pPr>
      <w:r>
        <w:rPr>
          <w:color w:val="auto"/>
          <w:szCs w:val="24"/>
        </w:rPr>
        <w:t>8.2.3</w:t>
      </w:r>
      <w:r>
        <w:rPr>
          <w:rFonts w:hint="eastAsia"/>
          <w:color w:val="auto"/>
          <w:szCs w:val="24"/>
        </w:rPr>
        <w:t>大气污染防治措施</w:t>
      </w:r>
    </w:p>
    <w:p w14:paraId="7DACB1D9">
      <w:pPr>
        <w:spacing w:line="360" w:lineRule="auto"/>
        <w:ind w:firstLine="480"/>
        <w:rPr>
          <w:color w:val="auto"/>
          <w:szCs w:val="24"/>
          <w:lang w:val="zh-CN"/>
        </w:rPr>
      </w:pPr>
      <w:r>
        <w:rPr>
          <w:rFonts w:hint="eastAsia"/>
          <w:color w:val="auto"/>
          <w:lang w:val="zh-CN"/>
        </w:rPr>
        <w:t>拟建项目运行期环境空气污染物主要是臭气单元产生的H</w:t>
      </w:r>
      <w:r>
        <w:rPr>
          <w:rFonts w:hint="eastAsia"/>
          <w:color w:val="auto"/>
          <w:vertAlign w:val="subscript"/>
          <w:lang w:val="zh-CN"/>
        </w:rPr>
        <w:t>2</w:t>
      </w:r>
      <w:r>
        <w:rPr>
          <w:rFonts w:hint="eastAsia"/>
          <w:color w:val="auto"/>
          <w:lang w:val="zh-CN"/>
        </w:rPr>
        <w:t>S、NH</w:t>
      </w:r>
      <w:r>
        <w:rPr>
          <w:rFonts w:hint="eastAsia"/>
          <w:color w:val="auto"/>
          <w:vertAlign w:val="subscript"/>
          <w:lang w:val="zh-CN"/>
        </w:rPr>
        <w:t>3</w:t>
      </w:r>
      <w:r>
        <w:rPr>
          <w:rFonts w:hint="eastAsia"/>
          <w:color w:val="auto"/>
          <w:lang w:val="zh-CN"/>
        </w:rPr>
        <w:t>、</w:t>
      </w:r>
      <w:r>
        <w:rPr>
          <w:rFonts w:hint="eastAsia"/>
          <w:color w:val="auto"/>
        </w:rPr>
        <w:t>VOC</w:t>
      </w:r>
      <w:r>
        <w:rPr>
          <w:rFonts w:hint="eastAsia"/>
          <w:color w:val="auto"/>
          <w:vertAlign w:val="subscript"/>
        </w:rPr>
        <w:t>S</w:t>
      </w:r>
      <w:r>
        <w:rPr>
          <w:rFonts w:hint="eastAsia"/>
          <w:color w:val="auto"/>
          <w:lang w:val="zh-CN"/>
        </w:rPr>
        <w:t>。</w:t>
      </w:r>
      <w:r>
        <w:rPr>
          <w:rFonts w:hint="eastAsia"/>
          <w:color w:val="auto"/>
          <w:szCs w:val="21"/>
          <w:lang w:eastAsia="zh-CN"/>
        </w:rPr>
        <w:t>收集池</w:t>
      </w:r>
      <w:r>
        <w:rPr>
          <w:rFonts w:hint="eastAsia"/>
          <w:color w:val="auto"/>
          <w:szCs w:val="21"/>
        </w:rPr>
        <w:t>、调节池、气浮池、高效软化池、</w:t>
      </w:r>
      <w:r>
        <w:rPr>
          <w:rFonts w:hint="eastAsia"/>
          <w:color w:val="auto"/>
          <w:szCs w:val="21"/>
          <w:lang w:eastAsia="zh-CN"/>
        </w:rPr>
        <w:t>浓水罐</w:t>
      </w:r>
      <w:r>
        <w:rPr>
          <w:rFonts w:hint="eastAsia"/>
          <w:color w:val="auto"/>
          <w:szCs w:val="21"/>
        </w:rPr>
        <w:t>、污泥池等主要产臭构筑物采取加盖等密闭方式对臭气进行收集，</w:t>
      </w:r>
      <w:r>
        <w:rPr>
          <w:rFonts w:hint="eastAsia"/>
          <w:color w:val="auto"/>
          <w:szCs w:val="21"/>
          <w:lang w:eastAsia="zh-CN"/>
        </w:rPr>
        <w:t>污泥压滤间</w:t>
      </w:r>
      <w:r>
        <w:rPr>
          <w:rFonts w:hint="eastAsia"/>
          <w:color w:val="auto"/>
          <w:szCs w:val="21"/>
        </w:rPr>
        <w:t>采取负压抽风收集臭气，MVR蒸发不凝气通过设备管道收集。废水处理所有废气收集后经1套“碱喷淋+除湿+活性炭吸附”处置达标后15mDA001排气筒排放。</w:t>
      </w:r>
    </w:p>
    <w:p w14:paraId="440E0123">
      <w:pPr>
        <w:spacing w:line="360" w:lineRule="auto"/>
        <w:ind w:firstLine="480"/>
        <w:rPr>
          <w:color w:val="auto"/>
          <w:szCs w:val="24"/>
        </w:rPr>
      </w:pPr>
      <w:r>
        <w:rPr>
          <w:rFonts w:hint="eastAsia"/>
          <w:color w:val="auto"/>
          <w:szCs w:val="24"/>
        </w:rPr>
        <w:t>1、恶臭污染治理技术</w:t>
      </w:r>
    </w:p>
    <w:p w14:paraId="3B84B7FC">
      <w:pPr>
        <w:spacing w:line="360" w:lineRule="auto"/>
        <w:ind w:firstLine="480"/>
        <w:rPr>
          <w:color w:val="auto"/>
          <w:lang w:val="zh-CN"/>
        </w:rPr>
      </w:pPr>
      <w:r>
        <w:rPr>
          <w:rFonts w:hint="eastAsia"/>
          <w:color w:val="auto"/>
          <w:szCs w:val="24"/>
        </w:rPr>
        <w:t>根据《排污许可证申请与核发技术规范水处理（试行）》（HJ978-2018）中废气治理可行技术主要包括化学洗涤、生物过滤、活性炭吸附工艺。</w:t>
      </w:r>
      <w:r>
        <w:rPr>
          <w:rFonts w:hint="eastAsia"/>
          <w:color w:val="auto"/>
          <w:lang w:val="zh-CN"/>
        </w:rPr>
        <w:t xml:space="preserve"> </w:t>
      </w:r>
    </w:p>
    <w:p w14:paraId="336EE42C">
      <w:pPr>
        <w:spacing w:line="360" w:lineRule="auto"/>
        <w:ind w:firstLine="480"/>
        <w:rPr>
          <w:color w:val="auto"/>
          <w:lang w:val="zh-CN"/>
        </w:rPr>
      </w:pPr>
      <w:r>
        <w:rPr>
          <w:rFonts w:hint="eastAsia"/>
          <w:color w:val="auto"/>
          <w:lang w:val="zh-CN"/>
        </w:rPr>
        <w:t>1）化学除臭法</w:t>
      </w:r>
    </w:p>
    <w:p w14:paraId="6E92CB61">
      <w:pPr>
        <w:spacing w:line="360" w:lineRule="auto"/>
        <w:ind w:firstLine="480"/>
        <w:rPr>
          <w:color w:val="auto"/>
          <w:lang w:val="zh-CN"/>
        </w:rPr>
      </w:pPr>
      <w:r>
        <w:rPr>
          <w:rFonts w:hint="eastAsia"/>
          <w:color w:val="auto"/>
          <w:lang w:val="zh-CN"/>
        </w:rPr>
        <w:t>化学除臭法是利用化学介质（NaOH、H</w:t>
      </w:r>
      <w:r>
        <w:rPr>
          <w:rFonts w:hint="eastAsia"/>
          <w:color w:val="auto"/>
          <w:vertAlign w:val="subscript"/>
          <w:lang w:val="zh-CN"/>
        </w:rPr>
        <w:t>2</w:t>
      </w:r>
      <w:r>
        <w:rPr>
          <w:rFonts w:hint="eastAsia"/>
          <w:color w:val="auto"/>
          <w:lang w:val="zh-CN"/>
        </w:rPr>
        <w:t>SO</w:t>
      </w:r>
      <w:r>
        <w:rPr>
          <w:rFonts w:hint="eastAsia"/>
          <w:color w:val="auto"/>
          <w:vertAlign w:val="subscript"/>
          <w:lang w:val="zh-CN"/>
        </w:rPr>
        <w:t>4）</w:t>
      </w:r>
      <w:r>
        <w:rPr>
          <w:rFonts w:hint="eastAsia"/>
          <w:color w:val="auto"/>
          <w:lang w:val="zh-CN"/>
        </w:rPr>
        <w:t>与 H</w:t>
      </w:r>
      <w:r>
        <w:rPr>
          <w:rFonts w:hint="eastAsia"/>
          <w:color w:val="auto"/>
          <w:vertAlign w:val="subscript"/>
          <w:lang w:val="zh-CN"/>
        </w:rPr>
        <w:t>2</w:t>
      </w:r>
      <w:r>
        <w:rPr>
          <w:rFonts w:hint="eastAsia"/>
          <w:color w:val="auto"/>
          <w:lang w:val="zh-CN"/>
        </w:rPr>
        <w:t>S、NH</w:t>
      </w:r>
      <w:r>
        <w:rPr>
          <w:rFonts w:hint="eastAsia"/>
          <w:color w:val="auto"/>
          <w:vertAlign w:val="subscript"/>
          <w:lang w:val="zh-CN"/>
        </w:rPr>
        <w:t>3</w:t>
      </w:r>
      <w:r>
        <w:rPr>
          <w:rFonts w:hint="eastAsia"/>
          <w:color w:val="auto"/>
          <w:lang w:val="zh-CN"/>
        </w:rPr>
        <w:t xml:space="preserve"> 等无机类致臭成分进行反应，从而达到除臭的目的。该法对H</w:t>
      </w:r>
      <w:r>
        <w:rPr>
          <w:rFonts w:hint="eastAsia"/>
          <w:color w:val="auto"/>
          <w:vertAlign w:val="subscript"/>
          <w:lang w:val="zh-CN"/>
        </w:rPr>
        <w:t>2</w:t>
      </w:r>
      <w:r>
        <w:rPr>
          <w:rFonts w:hint="eastAsia"/>
          <w:color w:val="auto"/>
          <w:lang w:val="zh-CN"/>
        </w:rPr>
        <w:t>S、NH</w:t>
      </w:r>
      <w:r>
        <w:rPr>
          <w:rFonts w:hint="eastAsia"/>
          <w:color w:val="auto"/>
          <w:vertAlign w:val="subscript"/>
          <w:lang w:val="zh-CN"/>
        </w:rPr>
        <w:t>3</w:t>
      </w:r>
      <w:r>
        <w:rPr>
          <w:rFonts w:hint="eastAsia"/>
          <w:color w:val="auto"/>
          <w:lang w:val="zh-CN"/>
        </w:rPr>
        <w:t xml:space="preserve">等的吸收比较彻底，速度快，且运行成本费用适中。 </w:t>
      </w:r>
    </w:p>
    <w:p w14:paraId="2DF4CE22">
      <w:pPr>
        <w:spacing w:line="360" w:lineRule="auto"/>
        <w:ind w:firstLine="480"/>
        <w:rPr>
          <w:rFonts w:ascii="宋体" w:hAnsi="宋体"/>
          <w:color w:val="auto"/>
          <w:lang w:val="zh-CN"/>
        </w:rPr>
      </w:pPr>
      <w:r>
        <w:rPr>
          <w:rFonts w:hint="eastAsia" w:ascii="宋体" w:hAnsi="宋体"/>
          <w:color w:val="auto"/>
        </w:rPr>
        <w:t>2</w:t>
      </w:r>
      <w:r>
        <w:rPr>
          <w:rFonts w:hint="eastAsia" w:ascii="宋体" w:hAnsi="宋体"/>
          <w:color w:val="auto"/>
          <w:lang w:val="zh-CN"/>
        </w:rPr>
        <w:t>）生物除臭法</w:t>
      </w:r>
    </w:p>
    <w:p w14:paraId="63BDB94C">
      <w:pPr>
        <w:spacing w:line="360" w:lineRule="auto"/>
        <w:ind w:firstLine="480"/>
        <w:rPr>
          <w:color w:val="auto"/>
          <w:lang w:val="zh-CN"/>
        </w:rPr>
      </w:pPr>
      <w:r>
        <w:rPr>
          <w:rFonts w:hint="eastAsia"/>
          <w:color w:val="auto"/>
          <w:lang w:val="zh-CN"/>
        </w:rPr>
        <w:t>生物除臭法是通过微生物的生理代谢将恶臭物质加以转化，达到除臭的目的。目前多采用生物滤池法。生物滤池法是把收集的臭气先经过加湿处理，再通过长满微生物的、湿润多孔的生物滤层，利用微生物细胞对恶臭物质的吸附、吸收和降解功能以及微生物细胞个体小、表面积大、吸附性强和代谢类型多样的特点，将恶臭物质吸附后分解成 CO</w:t>
      </w:r>
      <w:r>
        <w:rPr>
          <w:rFonts w:hint="eastAsia"/>
          <w:color w:val="auto"/>
          <w:vertAlign w:val="subscript"/>
          <w:lang w:val="zh-CN"/>
        </w:rPr>
        <w:t>2</w:t>
      </w:r>
      <w:r>
        <w:rPr>
          <w:rFonts w:hint="eastAsia"/>
          <w:color w:val="auto"/>
          <w:lang w:val="zh-CN"/>
        </w:rPr>
        <w:t>和其他无机物，但生物除臭法占地面积较大，一次性投资较高。</w:t>
      </w:r>
    </w:p>
    <w:p w14:paraId="4477A0F2">
      <w:pPr>
        <w:spacing w:line="360" w:lineRule="auto"/>
        <w:ind w:firstLine="480"/>
        <w:rPr>
          <w:color w:val="auto"/>
          <w:lang w:val="zh-CN"/>
        </w:rPr>
      </w:pPr>
      <w:r>
        <w:rPr>
          <w:rFonts w:hint="eastAsia"/>
          <w:color w:val="auto"/>
        </w:rPr>
        <w:t>3</w:t>
      </w:r>
      <w:r>
        <w:rPr>
          <w:rFonts w:hint="eastAsia"/>
          <w:color w:val="auto"/>
          <w:lang w:val="zh-CN"/>
        </w:rPr>
        <w:t>）活性炭吸附除臭法</w:t>
      </w:r>
    </w:p>
    <w:p w14:paraId="7F6CAA55">
      <w:pPr>
        <w:spacing w:line="360" w:lineRule="auto"/>
        <w:ind w:firstLine="480"/>
        <w:rPr>
          <w:color w:val="auto"/>
          <w:lang w:val="zh-CN"/>
        </w:rPr>
      </w:pPr>
      <w:r>
        <w:rPr>
          <w:rFonts w:hint="eastAsia"/>
          <w:color w:val="auto"/>
          <w:lang w:val="zh-CN"/>
        </w:rPr>
        <w:t xml:space="preserve">活性炭吸附除臭法是利用活性炭能吸附臭气中致臭物质的特点，在吸附塔内设置各种不同性质的活性炭，致臭物质和各种活性炭接触后，排出吸附塔，达到脱臭的目的。活性炭达到饱和后，需通过热空气、蒸汽或 NaOH 浸没进行再生或替换。 </w:t>
      </w:r>
    </w:p>
    <w:p w14:paraId="3720DBC1">
      <w:pPr>
        <w:spacing w:line="360" w:lineRule="auto"/>
        <w:ind w:firstLine="480"/>
        <w:rPr>
          <w:color w:val="auto"/>
          <w:szCs w:val="24"/>
        </w:rPr>
      </w:pPr>
      <w:r>
        <w:rPr>
          <w:rFonts w:hint="eastAsia"/>
          <w:color w:val="auto"/>
          <w:lang w:val="zh-CN"/>
        </w:rPr>
        <w:t>为</w:t>
      </w:r>
      <w:r>
        <w:rPr>
          <w:rFonts w:hint="eastAsia"/>
          <w:color w:val="auto"/>
          <w:szCs w:val="24"/>
        </w:rPr>
        <w:t>确保项目污水处理站恶臭气体能得到有效稳定处理，</w:t>
      </w:r>
      <w:r>
        <w:rPr>
          <w:rFonts w:hint="eastAsia"/>
          <w:color w:val="auto"/>
          <w:lang w:val="zh-CN"/>
        </w:rPr>
        <w:t>拟建</w:t>
      </w:r>
      <w:r>
        <w:rPr>
          <w:rFonts w:hint="eastAsia"/>
          <w:color w:val="auto"/>
          <w:szCs w:val="24"/>
        </w:rPr>
        <w:t>项目选择采用“碱喷淋+除湿+活性炭吸附”组合工艺进行废气治理。臭气经废气收集管道进入“碱喷淋+除湿+活性炭吸附”处理系统，</w:t>
      </w:r>
      <w:r>
        <w:rPr>
          <w:rFonts w:hint="eastAsia"/>
          <w:color w:val="auto"/>
          <w:lang w:val="zh-CN"/>
        </w:rPr>
        <w:t>通过</w:t>
      </w:r>
      <w:r>
        <w:rPr>
          <w:rFonts w:hint="eastAsia"/>
          <w:color w:val="auto"/>
        </w:rPr>
        <w:t>碱喷淋</w:t>
      </w:r>
      <w:r>
        <w:rPr>
          <w:rFonts w:hint="eastAsia"/>
          <w:color w:val="auto"/>
          <w:lang w:val="zh-CN"/>
        </w:rPr>
        <w:t>将</w:t>
      </w:r>
      <w:r>
        <w:rPr>
          <w:rFonts w:hint="eastAsia"/>
          <w:color w:val="auto"/>
        </w:rPr>
        <w:t>主要恶臭污染物氨和硫化氢等去除</w:t>
      </w:r>
      <w:r>
        <w:rPr>
          <w:rFonts w:hint="eastAsia"/>
          <w:color w:val="auto"/>
          <w:lang w:val="zh-CN"/>
        </w:rPr>
        <w:t>，然后经活性炭吸附除臭后通过</w:t>
      </w:r>
      <w:r>
        <w:rPr>
          <w:rFonts w:hint="eastAsia"/>
          <w:color w:val="auto"/>
        </w:rPr>
        <w:t>15</w:t>
      </w:r>
      <w:r>
        <w:rPr>
          <w:rFonts w:hint="eastAsia"/>
          <w:color w:val="auto"/>
          <w:szCs w:val="24"/>
        </w:rPr>
        <w:t>m高排气筒外排，项目恶臭气体收集率约90%，处理效率约80%。</w:t>
      </w:r>
    </w:p>
    <w:p w14:paraId="74F54D4F">
      <w:pPr>
        <w:spacing w:line="360" w:lineRule="auto"/>
        <w:ind w:firstLine="480"/>
        <w:rPr>
          <w:color w:val="auto"/>
          <w:szCs w:val="24"/>
        </w:rPr>
      </w:pPr>
      <w:r>
        <w:rPr>
          <w:rFonts w:hint="eastAsia"/>
          <w:color w:val="auto"/>
          <w:szCs w:val="24"/>
        </w:rPr>
        <w:t>综上，项目恶臭气体处理工艺选用的是应用较为广泛的常规工艺和措施，因此项目恶臭气体处置措施工艺合理可行。</w:t>
      </w:r>
    </w:p>
    <w:p w14:paraId="2C34DBF6">
      <w:pPr>
        <w:spacing w:line="360" w:lineRule="auto"/>
        <w:ind w:firstLine="480"/>
        <w:rPr>
          <w:color w:val="auto"/>
          <w:szCs w:val="24"/>
        </w:rPr>
      </w:pPr>
      <w:r>
        <w:rPr>
          <w:rFonts w:hint="eastAsia"/>
          <w:color w:val="auto"/>
          <w:szCs w:val="24"/>
        </w:rPr>
        <w:t>2、有机废气治理技术</w:t>
      </w:r>
    </w:p>
    <w:p w14:paraId="002A3D84">
      <w:pPr>
        <w:spacing w:line="360" w:lineRule="auto"/>
        <w:ind w:firstLine="480"/>
        <w:rPr>
          <w:color w:val="auto"/>
          <w:szCs w:val="24"/>
        </w:rPr>
      </w:pPr>
      <w:r>
        <w:rPr>
          <w:rFonts w:hint="eastAsia"/>
          <w:color w:val="auto"/>
          <w:szCs w:val="24"/>
        </w:rPr>
        <w:t>项目油气田采出水原水及隔油处理过程中产生无组织有机废气，会对周边空气环境产生一定的影响。</w:t>
      </w:r>
    </w:p>
    <w:p w14:paraId="02F04405">
      <w:pPr>
        <w:spacing w:line="360" w:lineRule="auto"/>
        <w:ind w:firstLine="480"/>
        <w:rPr>
          <w:color w:val="auto"/>
          <w:szCs w:val="24"/>
        </w:rPr>
      </w:pPr>
      <w:r>
        <w:rPr>
          <w:rFonts w:hint="eastAsia"/>
          <w:color w:val="auto"/>
          <w:szCs w:val="24"/>
        </w:rPr>
        <w:t>项目挥发性有机物浓度低，产生量小，成分较为简单，因此采用碱喷淋和活性炭吸附是可行的。</w:t>
      </w:r>
    </w:p>
    <w:p w14:paraId="3BAC1E48">
      <w:pPr>
        <w:spacing w:line="360" w:lineRule="auto"/>
        <w:ind w:firstLine="480"/>
        <w:rPr>
          <w:color w:val="auto"/>
          <w:lang w:val="zh-CN"/>
        </w:rPr>
      </w:pPr>
      <w:r>
        <w:rPr>
          <w:rFonts w:hint="eastAsia"/>
          <w:color w:val="auto"/>
          <w:szCs w:val="24"/>
        </w:rPr>
        <w:t>有机废气产生单元顶部采取密闭措施收集，通过收集管道接入1套“碱喷淋+除湿+活性炭吸附”处理设施，</w:t>
      </w:r>
      <w:r>
        <w:rPr>
          <w:rFonts w:hint="eastAsia"/>
          <w:color w:val="auto"/>
          <w:lang w:val="zh-CN"/>
        </w:rPr>
        <w:t>通过</w:t>
      </w:r>
      <w:r>
        <w:rPr>
          <w:rFonts w:hint="eastAsia"/>
          <w:color w:val="auto"/>
        </w:rPr>
        <w:t>碱喷淋</w:t>
      </w:r>
      <w:r>
        <w:rPr>
          <w:rFonts w:hint="eastAsia"/>
          <w:color w:val="auto"/>
          <w:lang w:val="zh-CN"/>
        </w:rPr>
        <w:t>将</w:t>
      </w:r>
      <w:r>
        <w:rPr>
          <w:rFonts w:hint="eastAsia"/>
          <w:color w:val="auto"/>
        </w:rPr>
        <w:t>主要恶臭污染物氨和硫化氢等去除</w:t>
      </w:r>
      <w:r>
        <w:rPr>
          <w:rFonts w:hint="eastAsia"/>
          <w:color w:val="auto"/>
          <w:lang w:val="zh-CN"/>
        </w:rPr>
        <w:t>，然后经活性炭吸附后通过</w:t>
      </w:r>
      <w:r>
        <w:rPr>
          <w:rFonts w:hint="eastAsia"/>
          <w:color w:val="auto"/>
        </w:rPr>
        <w:t>15</w:t>
      </w:r>
      <w:r>
        <w:rPr>
          <w:rFonts w:hint="eastAsia"/>
          <w:color w:val="auto"/>
          <w:szCs w:val="24"/>
        </w:rPr>
        <w:t>m高排气筒外排，项目废气收集率约90%，处理效率约60%，</w:t>
      </w:r>
      <w:r>
        <w:rPr>
          <w:rFonts w:hint="eastAsia"/>
          <w:color w:val="auto"/>
          <w:szCs w:val="21"/>
        </w:rPr>
        <w:t>气经处理后排放</w:t>
      </w:r>
      <w:r>
        <w:rPr>
          <w:rFonts w:hint="eastAsia"/>
          <w:color w:val="auto"/>
          <w:lang w:val="zh-CN"/>
        </w:rPr>
        <w:t>浓度满足相应排放标准要求，对环境影响可接受。</w:t>
      </w:r>
    </w:p>
    <w:p w14:paraId="66D3ED25">
      <w:pPr>
        <w:spacing w:line="360" w:lineRule="auto"/>
        <w:ind w:firstLine="480"/>
        <w:rPr>
          <w:color w:val="auto"/>
        </w:rPr>
      </w:pPr>
      <w:r>
        <w:rPr>
          <w:rFonts w:hint="eastAsia"/>
          <w:color w:val="auto"/>
        </w:rPr>
        <w:t>3、其他废气治理措施</w:t>
      </w:r>
    </w:p>
    <w:p w14:paraId="77494E6D">
      <w:pPr>
        <w:spacing w:line="360" w:lineRule="auto"/>
        <w:ind w:firstLine="480"/>
        <w:rPr>
          <w:color w:val="auto"/>
          <w:szCs w:val="24"/>
          <w:lang w:val="zh-CN"/>
        </w:rPr>
      </w:pPr>
      <w:r>
        <w:rPr>
          <w:rFonts w:hint="eastAsia"/>
          <w:color w:val="auto"/>
          <w:lang w:val="zh-CN"/>
        </w:rPr>
        <w:t>为进一步降低废气对环境的影响，其他大气污染防治措施如下：</w:t>
      </w:r>
      <w:r>
        <w:rPr>
          <w:color w:val="auto"/>
          <w:szCs w:val="24"/>
          <w:lang w:val="zh-CN"/>
        </w:rPr>
        <w:t xml:space="preserve"> </w:t>
      </w:r>
    </w:p>
    <w:p w14:paraId="3115C868">
      <w:pPr>
        <w:spacing w:line="360" w:lineRule="auto"/>
        <w:ind w:firstLine="480"/>
        <w:rPr>
          <w:color w:val="auto"/>
          <w:szCs w:val="24"/>
        </w:rPr>
      </w:pPr>
      <w:r>
        <w:rPr>
          <w:rFonts w:hint="eastAsia"/>
          <w:color w:val="auto"/>
          <w:szCs w:val="24"/>
          <w:lang w:val="zh-CN"/>
        </w:rPr>
        <w:t>（</w:t>
      </w:r>
      <w:r>
        <w:rPr>
          <w:color w:val="auto"/>
          <w:szCs w:val="24"/>
          <w:lang w:val="zh-CN"/>
        </w:rPr>
        <w:t>1</w:t>
      </w:r>
      <w:r>
        <w:rPr>
          <w:rFonts w:hint="eastAsia"/>
          <w:color w:val="auto"/>
          <w:szCs w:val="24"/>
          <w:lang w:val="zh-CN"/>
        </w:rPr>
        <w:t>）厂区四周及厂内种有绿化植物，绿化厂区环境的同时对恶臭气体有一定的阻隔或吸附作用。</w:t>
      </w:r>
    </w:p>
    <w:p w14:paraId="0BD70BF2">
      <w:pPr>
        <w:spacing w:line="360" w:lineRule="auto"/>
        <w:ind w:firstLine="480"/>
        <w:rPr>
          <w:color w:val="auto"/>
          <w:szCs w:val="24"/>
        </w:rPr>
      </w:pPr>
      <w:r>
        <w:rPr>
          <w:rFonts w:hint="eastAsia"/>
          <w:color w:val="auto"/>
          <w:szCs w:val="24"/>
          <w:lang w:val="zh-CN"/>
        </w:rPr>
        <w:t>（</w:t>
      </w:r>
      <w:r>
        <w:rPr>
          <w:color w:val="auto"/>
          <w:szCs w:val="24"/>
          <w:lang w:val="zh-CN"/>
        </w:rPr>
        <w:t>2</w:t>
      </w:r>
      <w:r>
        <w:rPr>
          <w:rFonts w:hint="eastAsia"/>
          <w:color w:val="auto"/>
          <w:szCs w:val="24"/>
          <w:lang w:val="zh-CN"/>
        </w:rPr>
        <w:t>）</w:t>
      </w:r>
      <w:r>
        <w:rPr>
          <w:rFonts w:hint="eastAsia"/>
          <w:color w:val="auto"/>
          <w:szCs w:val="24"/>
        </w:rPr>
        <w:t>污泥及时清运，尽量减少各类废渣在厂内的停留时间，</w:t>
      </w:r>
      <w:r>
        <w:rPr>
          <w:rFonts w:hint="eastAsia"/>
          <w:color w:val="auto"/>
          <w:szCs w:val="24"/>
          <w:lang w:val="zh-CN"/>
        </w:rPr>
        <w:t>污泥在运输时，采用密闭式的运输车辆，</w:t>
      </w:r>
      <w:r>
        <w:rPr>
          <w:rFonts w:hint="eastAsia"/>
          <w:color w:val="auto"/>
          <w:szCs w:val="24"/>
        </w:rPr>
        <w:t>尽量避开居民集聚区、运输高峰期，尽量减小臭气对运输线路附近大气环境的影响</w:t>
      </w:r>
      <w:r>
        <w:rPr>
          <w:rFonts w:hint="eastAsia"/>
          <w:color w:val="auto"/>
          <w:szCs w:val="24"/>
          <w:lang w:val="zh-CN"/>
        </w:rPr>
        <w:t>，杜绝污泥沿路洒落。</w:t>
      </w:r>
    </w:p>
    <w:p w14:paraId="7599D87E">
      <w:pPr>
        <w:spacing w:line="360" w:lineRule="auto"/>
        <w:ind w:firstLine="480"/>
        <w:rPr>
          <w:color w:val="auto"/>
          <w:szCs w:val="24"/>
          <w:lang w:val="zh-CN"/>
        </w:rPr>
      </w:pPr>
      <w:r>
        <w:rPr>
          <w:rFonts w:hint="eastAsia"/>
          <w:color w:val="auto"/>
          <w:szCs w:val="24"/>
          <w:lang w:val="zh-CN"/>
        </w:rPr>
        <w:t>（</w:t>
      </w:r>
      <w:r>
        <w:rPr>
          <w:color w:val="auto"/>
          <w:szCs w:val="24"/>
          <w:lang w:val="zh-CN"/>
        </w:rPr>
        <w:t>3</w:t>
      </w:r>
      <w:r>
        <w:rPr>
          <w:rFonts w:hint="eastAsia"/>
          <w:color w:val="auto"/>
          <w:szCs w:val="24"/>
          <w:lang w:val="zh-CN"/>
        </w:rPr>
        <w:t>）</w:t>
      </w:r>
      <w:r>
        <w:rPr>
          <w:rFonts w:hint="eastAsia"/>
          <w:color w:val="auto"/>
          <w:szCs w:val="24"/>
        </w:rPr>
        <w:t>设置卫生防护距离：恶臭产生单元边界向外分别划定50米的卫生防护距离，该防护距离内</w:t>
      </w:r>
      <w:r>
        <w:rPr>
          <w:color w:val="auto"/>
          <w:szCs w:val="24"/>
        </w:rPr>
        <w:t>不得规划居民区、文教、医院等</w:t>
      </w:r>
      <w:r>
        <w:rPr>
          <w:rFonts w:hint="eastAsia"/>
          <w:color w:val="auto"/>
          <w:szCs w:val="24"/>
        </w:rPr>
        <w:t>环境保护</w:t>
      </w:r>
      <w:r>
        <w:rPr>
          <w:color w:val="auto"/>
          <w:szCs w:val="24"/>
        </w:rPr>
        <w:t>目标</w:t>
      </w:r>
      <w:r>
        <w:rPr>
          <w:rFonts w:hint="eastAsia"/>
          <w:color w:val="auto"/>
          <w:szCs w:val="24"/>
        </w:rPr>
        <w:t>等。</w:t>
      </w:r>
    </w:p>
    <w:p w14:paraId="79BF7714">
      <w:pPr>
        <w:spacing w:line="360" w:lineRule="auto"/>
        <w:ind w:firstLine="480"/>
        <w:rPr>
          <w:color w:val="auto"/>
        </w:rPr>
      </w:pPr>
      <w:r>
        <w:rPr>
          <w:rFonts w:hint="eastAsia"/>
          <w:color w:val="auto"/>
          <w:szCs w:val="24"/>
        </w:rPr>
        <w:t>综上所述，项目采取以上措施，可最大限度的减轻项目废气对周围环境造成的影响，废气治理措施合理可行。</w:t>
      </w:r>
    </w:p>
    <w:p w14:paraId="2A339B90">
      <w:pPr>
        <w:pStyle w:val="5"/>
        <w:numPr>
          <w:ilvl w:val="0"/>
          <w:numId w:val="0"/>
        </w:numPr>
        <w:spacing w:line="360" w:lineRule="auto"/>
        <w:rPr>
          <w:color w:val="auto"/>
          <w:szCs w:val="24"/>
        </w:rPr>
      </w:pPr>
      <w:r>
        <w:rPr>
          <w:color w:val="auto"/>
          <w:szCs w:val="24"/>
        </w:rPr>
        <w:t>8.2.4</w:t>
      </w:r>
      <w:r>
        <w:rPr>
          <w:rFonts w:hint="eastAsia"/>
          <w:color w:val="auto"/>
          <w:szCs w:val="24"/>
        </w:rPr>
        <w:t>声环境污染保护措施</w:t>
      </w:r>
    </w:p>
    <w:p w14:paraId="3E0C6383">
      <w:pPr>
        <w:spacing w:line="360" w:lineRule="auto"/>
        <w:ind w:firstLine="480"/>
        <w:rPr>
          <w:color w:val="auto"/>
          <w:lang w:val="zh-CN"/>
        </w:rPr>
      </w:pPr>
      <w:r>
        <w:rPr>
          <w:rFonts w:hint="eastAsia"/>
          <w:color w:val="auto"/>
          <w:lang w:val="zh-CN"/>
        </w:rPr>
        <w:t>污水处理厂噪声源主要有</w:t>
      </w:r>
      <w:r>
        <w:rPr>
          <w:rFonts w:hint="eastAsia"/>
          <w:color w:val="auto"/>
        </w:rPr>
        <w:t>搅拌机、气浮机、DTRO膜浓缩装置、MVR蒸发器、</w:t>
      </w:r>
      <w:r>
        <w:rPr>
          <w:rFonts w:hint="eastAsia"/>
          <w:color w:val="auto"/>
          <w:lang w:eastAsia="zh-CN"/>
        </w:rPr>
        <w:t>污泥压滤机</w:t>
      </w:r>
      <w:r>
        <w:rPr>
          <w:rFonts w:hint="eastAsia"/>
          <w:color w:val="auto"/>
        </w:rPr>
        <w:t>、各类泵和风机</w:t>
      </w:r>
      <w:r>
        <w:rPr>
          <w:color w:val="auto"/>
        </w:rPr>
        <w:t>等</w:t>
      </w:r>
      <w:r>
        <w:rPr>
          <w:rFonts w:hint="eastAsia"/>
          <w:color w:val="auto"/>
        </w:rPr>
        <w:t>机械设备</w:t>
      </w:r>
      <w:r>
        <w:rPr>
          <w:rFonts w:hint="eastAsia"/>
          <w:color w:val="auto"/>
          <w:lang w:val="zh-CN"/>
        </w:rPr>
        <w:t>。</w:t>
      </w:r>
    </w:p>
    <w:p w14:paraId="0C516F22">
      <w:pPr>
        <w:spacing w:line="360" w:lineRule="auto"/>
        <w:ind w:firstLine="480"/>
        <w:rPr>
          <w:color w:val="auto"/>
          <w:lang w:val="zh-CN"/>
        </w:rPr>
      </w:pPr>
      <w:r>
        <w:rPr>
          <w:rFonts w:hint="eastAsia"/>
          <w:color w:val="auto"/>
          <w:lang w:val="zh-CN"/>
        </w:rPr>
        <w:t>污水处理厂采用基础减振、隔声、消声等措施：</w:t>
      </w:r>
    </w:p>
    <w:p w14:paraId="2648D3F5">
      <w:pPr>
        <w:spacing w:line="360" w:lineRule="auto"/>
        <w:ind w:firstLine="480"/>
        <w:rPr>
          <w:color w:val="auto"/>
          <w:lang w:val="zh-CN"/>
        </w:rPr>
      </w:pPr>
      <w:r>
        <w:rPr>
          <w:rFonts w:hint="eastAsia"/>
          <w:color w:val="auto"/>
          <w:lang w:val="zh-CN"/>
        </w:rPr>
        <w:t>（</w:t>
      </w:r>
      <w:r>
        <w:rPr>
          <w:color w:val="auto"/>
          <w:lang w:val="zh-CN"/>
        </w:rPr>
        <w:t>1</w:t>
      </w:r>
      <w:r>
        <w:rPr>
          <w:rFonts w:hint="eastAsia"/>
          <w:color w:val="auto"/>
          <w:lang w:val="zh-CN"/>
        </w:rPr>
        <w:t>）安装使用先进低噪声工艺设备。禁止使用不符合国家、行业、地方噪声标准规定的产品。</w:t>
      </w:r>
    </w:p>
    <w:p w14:paraId="17D74592">
      <w:pPr>
        <w:spacing w:line="360" w:lineRule="auto"/>
        <w:ind w:firstLine="480"/>
        <w:rPr>
          <w:color w:val="auto"/>
          <w:lang w:val="zh-CN"/>
        </w:rPr>
      </w:pPr>
      <w:r>
        <w:rPr>
          <w:rFonts w:hint="eastAsia"/>
          <w:color w:val="auto"/>
          <w:lang w:val="zh-CN"/>
        </w:rPr>
        <w:t>（</w:t>
      </w:r>
      <w:r>
        <w:rPr>
          <w:color w:val="auto"/>
          <w:lang w:val="zh-CN"/>
        </w:rPr>
        <w:t>2</w:t>
      </w:r>
      <w:r>
        <w:rPr>
          <w:rFonts w:hint="eastAsia"/>
          <w:color w:val="auto"/>
          <w:lang w:val="zh-CN"/>
        </w:rPr>
        <w:t>）</w:t>
      </w:r>
      <w:r>
        <w:rPr>
          <w:rFonts w:hint="eastAsia"/>
          <w:color w:val="auto"/>
        </w:rPr>
        <w:t>搅拌机、气浮机、DTRO膜浓缩装置、MVR蒸发器、</w:t>
      </w:r>
      <w:r>
        <w:rPr>
          <w:rFonts w:hint="eastAsia"/>
          <w:color w:val="auto"/>
          <w:lang w:eastAsia="zh-CN"/>
        </w:rPr>
        <w:t>污泥压滤机</w:t>
      </w:r>
      <w:r>
        <w:rPr>
          <w:rFonts w:hint="eastAsia"/>
          <w:color w:val="auto"/>
        </w:rPr>
        <w:t>、各类泵和风机</w:t>
      </w:r>
      <w:r>
        <w:rPr>
          <w:rFonts w:hint="eastAsia"/>
          <w:color w:val="auto"/>
          <w:lang w:val="zh-CN"/>
        </w:rPr>
        <w:t>等采取基础减振、建筑隔声等措施；地埋式收集池、调节池、清水池、浓水罐、污泥池等建构筑物内的</w:t>
      </w:r>
      <w:r>
        <w:rPr>
          <w:rFonts w:hint="eastAsia"/>
          <w:color w:val="auto"/>
          <w:szCs w:val="24"/>
        </w:rPr>
        <w:t>搅拌风机、搅拌器及泵类</w:t>
      </w:r>
      <w:r>
        <w:rPr>
          <w:rFonts w:hint="eastAsia"/>
          <w:color w:val="auto"/>
          <w:lang w:val="zh-CN"/>
        </w:rPr>
        <w:t>设备采取设置隔声罩壳、地埋式建构筑物隔声等措施；多效蒸发器采取基础减振、隔声罩壳进行隔声。减轻噪声、振动对环境的影响。</w:t>
      </w:r>
    </w:p>
    <w:p w14:paraId="296420C6">
      <w:pPr>
        <w:spacing w:line="360" w:lineRule="auto"/>
        <w:ind w:firstLine="480"/>
        <w:rPr>
          <w:color w:val="auto"/>
          <w:lang w:val="zh-CN"/>
        </w:rPr>
      </w:pPr>
      <w:r>
        <w:rPr>
          <w:rFonts w:hint="eastAsia"/>
          <w:color w:val="auto"/>
          <w:lang w:val="zh-CN"/>
        </w:rPr>
        <w:t>（</w:t>
      </w:r>
      <w:r>
        <w:rPr>
          <w:color w:val="auto"/>
          <w:lang w:val="zh-CN"/>
        </w:rPr>
        <w:t>3</w:t>
      </w:r>
      <w:r>
        <w:rPr>
          <w:rFonts w:hint="eastAsia"/>
          <w:color w:val="auto"/>
          <w:lang w:val="zh-CN"/>
        </w:rPr>
        <w:t>）风机噪声：风机采用基础减振，风道等采用柔性连接。进、出风口设置消声器。</w:t>
      </w:r>
    </w:p>
    <w:p w14:paraId="3BE1FA12">
      <w:pPr>
        <w:spacing w:line="360" w:lineRule="auto"/>
        <w:ind w:firstLine="480"/>
        <w:rPr>
          <w:color w:val="auto"/>
          <w:lang w:val="zh-CN"/>
        </w:rPr>
      </w:pPr>
      <w:r>
        <w:rPr>
          <w:rFonts w:hint="eastAsia"/>
          <w:color w:val="auto"/>
          <w:lang w:val="zh-CN"/>
        </w:rPr>
        <w:t>（</w:t>
      </w:r>
      <w:r>
        <w:rPr>
          <w:color w:val="auto"/>
          <w:lang w:val="zh-CN"/>
        </w:rPr>
        <w:t>4</w:t>
      </w:r>
      <w:r>
        <w:rPr>
          <w:rFonts w:hint="eastAsia"/>
          <w:color w:val="auto"/>
          <w:lang w:val="zh-CN"/>
        </w:rPr>
        <w:t>）水泵噪声：水泵及电机减振、管道采用柔性连接，利用建构筑物等进行隔声。</w:t>
      </w:r>
    </w:p>
    <w:p w14:paraId="32C845DB">
      <w:pPr>
        <w:spacing w:line="360" w:lineRule="auto"/>
        <w:ind w:firstLine="480"/>
        <w:rPr>
          <w:color w:val="auto"/>
          <w:lang w:val="zh-CN"/>
        </w:rPr>
      </w:pPr>
      <w:r>
        <w:rPr>
          <w:rFonts w:hint="eastAsia"/>
          <w:color w:val="auto"/>
          <w:lang w:val="zh-CN"/>
        </w:rPr>
        <w:t>（5）严格执行排污申报和许可证制度。必须按照有关排污许可管理制度的要求，申领《排放污染物许可证》，积极改进降噪工艺和操作方法。</w:t>
      </w:r>
    </w:p>
    <w:p w14:paraId="79449B5D">
      <w:pPr>
        <w:spacing w:line="360" w:lineRule="auto"/>
        <w:ind w:firstLine="480"/>
        <w:rPr>
          <w:color w:val="auto"/>
          <w:lang w:val="zh-CN"/>
        </w:rPr>
      </w:pPr>
      <w:r>
        <w:rPr>
          <w:color w:val="auto"/>
          <w:szCs w:val="24"/>
        </w:rPr>
        <w:t>经</w:t>
      </w:r>
      <w:r>
        <w:rPr>
          <w:rFonts w:hint="eastAsia"/>
          <w:color w:val="auto"/>
          <w:szCs w:val="24"/>
        </w:rPr>
        <w:t>噪声</w:t>
      </w:r>
      <w:r>
        <w:rPr>
          <w:color w:val="auto"/>
          <w:szCs w:val="24"/>
        </w:rPr>
        <w:t>预测</w:t>
      </w:r>
      <w:r>
        <w:rPr>
          <w:rFonts w:hint="eastAsia"/>
          <w:color w:val="auto"/>
          <w:szCs w:val="24"/>
        </w:rPr>
        <w:t>可知</w:t>
      </w:r>
      <w:r>
        <w:rPr>
          <w:color w:val="auto"/>
          <w:szCs w:val="24"/>
        </w:rPr>
        <w:t>，厂界昼夜噪声分别低于65和55dB（A</w:t>
      </w:r>
      <w:r>
        <w:rPr>
          <w:rFonts w:hint="eastAsia"/>
          <w:color w:val="auto"/>
          <w:szCs w:val="24"/>
          <w:lang w:eastAsia="zh-CN"/>
        </w:rPr>
        <w:t>）</w:t>
      </w:r>
      <w:r>
        <w:rPr>
          <w:color w:val="auto"/>
          <w:szCs w:val="24"/>
        </w:rPr>
        <w:t>，</w:t>
      </w:r>
      <w:r>
        <w:rPr>
          <w:rFonts w:hint="eastAsia"/>
          <w:color w:val="auto"/>
          <w:szCs w:val="24"/>
        </w:rPr>
        <w:t>各厂界均</w:t>
      </w:r>
      <w:r>
        <w:rPr>
          <w:color w:val="auto"/>
          <w:szCs w:val="24"/>
        </w:rPr>
        <w:t>能达到《工业企业厂界环境噪声排放标准》（GB3096-2008）中3类标准，</w:t>
      </w:r>
      <w:r>
        <w:rPr>
          <w:bCs/>
          <w:color w:val="auto"/>
          <w:szCs w:val="24"/>
        </w:rPr>
        <w:t>项目噪声治理措施可行</w:t>
      </w:r>
      <w:r>
        <w:rPr>
          <w:rFonts w:hint="eastAsia"/>
          <w:color w:val="auto"/>
          <w:lang w:val="zh-CN"/>
        </w:rPr>
        <w:t>。</w:t>
      </w:r>
    </w:p>
    <w:p w14:paraId="386582A4">
      <w:pPr>
        <w:pStyle w:val="5"/>
        <w:numPr>
          <w:ilvl w:val="0"/>
          <w:numId w:val="0"/>
        </w:numPr>
        <w:spacing w:line="360" w:lineRule="auto"/>
        <w:rPr>
          <w:color w:val="auto"/>
          <w:szCs w:val="24"/>
        </w:rPr>
      </w:pPr>
      <w:r>
        <w:rPr>
          <w:color w:val="auto"/>
          <w:szCs w:val="24"/>
        </w:rPr>
        <w:t>8.2.5</w:t>
      </w:r>
      <w:r>
        <w:rPr>
          <w:rFonts w:hint="eastAsia"/>
          <w:color w:val="auto"/>
          <w:szCs w:val="24"/>
        </w:rPr>
        <w:t>固体废物污染防治措施</w:t>
      </w:r>
    </w:p>
    <w:p w14:paraId="36AF53B6">
      <w:pPr>
        <w:spacing w:line="360" w:lineRule="auto"/>
        <w:ind w:firstLine="480"/>
        <w:rPr>
          <w:color w:val="auto"/>
          <w:lang w:val="zh-CN"/>
        </w:rPr>
      </w:pPr>
      <w:r>
        <w:rPr>
          <w:color w:val="auto"/>
          <w:lang w:val="zh-CN"/>
        </w:rPr>
        <w:t>拟建项目运行期产生的固体废物主要为污水处理过程中产生的</w:t>
      </w:r>
      <w:r>
        <w:rPr>
          <w:rFonts w:hint="eastAsia"/>
          <w:color w:val="auto"/>
          <w:lang w:val="zh-CN"/>
        </w:rPr>
        <w:t>废油、</w:t>
      </w:r>
      <w:r>
        <w:rPr>
          <w:color w:val="auto"/>
          <w:lang w:val="zh-CN"/>
        </w:rPr>
        <w:t>污泥</w:t>
      </w:r>
      <w:r>
        <w:rPr>
          <w:rFonts w:hint="eastAsia" w:eastAsiaTheme="minorEastAsia"/>
          <w:color w:val="auto"/>
          <w:szCs w:val="24"/>
        </w:rPr>
        <w:t>、蒸发结晶</w:t>
      </w:r>
      <w:r>
        <w:rPr>
          <w:rFonts w:hint="eastAsia"/>
          <w:color w:val="auto"/>
          <w:lang w:val="zh-CN"/>
        </w:rPr>
        <w:t>、</w:t>
      </w:r>
      <w:r>
        <w:rPr>
          <w:rFonts w:hint="eastAsia"/>
          <w:color w:val="auto"/>
          <w:szCs w:val="21"/>
        </w:rPr>
        <w:t>沾染危险化学品的废包装材料、不沾染危险化学品的</w:t>
      </w:r>
      <w:r>
        <w:rPr>
          <w:rFonts w:hint="eastAsia"/>
          <w:color w:val="auto"/>
          <w:lang w:val="zh-CN"/>
        </w:rPr>
        <w:t>废包装材料、废活性炭、实验室废物、</w:t>
      </w:r>
      <w:r>
        <w:rPr>
          <w:bCs/>
          <w:color w:val="auto"/>
        </w:rPr>
        <w:t>废机油及桶</w:t>
      </w:r>
      <w:r>
        <w:rPr>
          <w:rFonts w:hint="eastAsia"/>
          <w:bCs/>
          <w:color w:val="auto"/>
        </w:rPr>
        <w:t>、</w:t>
      </w:r>
      <w:r>
        <w:rPr>
          <w:bCs/>
          <w:color w:val="auto"/>
        </w:rPr>
        <w:t>含油棉纱手套</w:t>
      </w:r>
      <w:r>
        <w:rPr>
          <w:rFonts w:hint="eastAsia"/>
          <w:bCs/>
          <w:color w:val="auto"/>
        </w:rPr>
        <w:t>、废膜</w:t>
      </w:r>
      <w:r>
        <w:rPr>
          <w:rFonts w:hint="eastAsia"/>
          <w:color w:val="auto"/>
          <w:lang w:val="zh-CN"/>
        </w:rPr>
        <w:t>及生活垃圾</w:t>
      </w:r>
      <w:r>
        <w:rPr>
          <w:color w:val="auto"/>
          <w:lang w:val="zh-CN"/>
        </w:rPr>
        <w:t>。</w:t>
      </w:r>
    </w:p>
    <w:p w14:paraId="7E12BD7B">
      <w:pPr>
        <w:spacing w:line="360" w:lineRule="auto"/>
        <w:ind w:firstLine="480"/>
        <w:rPr>
          <w:rFonts w:eastAsiaTheme="minorEastAsia"/>
          <w:color w:val="auto"/>
          <w:szCs w:val="24"/>
        </w:rPr>
      </w:pPr>
      <w:r>
        <w:rPr>
          <w:rFonts w:hint="eastAsia" w:eastAsiaTheme="minorEastAsia"/>
          <w:color w:val="auto"/>
          <w:szCs w:val="24"/>
        </w:rPr>
        <w:t>（1）生活垃圾</w:t>
      </w:r>
    </w:p>
    <w:p w14:paraId="4D1192B9">
      <w:pPr>
        <w:spacing w:line="360" w:lineRule="auto"/>
        <w:ind w:firstLine="480"/>
        <w:rPr>
          <w:color w:val="auto"/>
          <w:szCs w:val="24"/>
        </w:rPr>
      </w:pPr>
      <w:r>
        <w:rPr>
          <w:color w:val="auto"/>
          <w:szCs w:val="24"/>
        </w:rPr>
        <w:t>生活垃圾</w:t>
      </w:r>
      <w:r>
        <w:rPr>
          <w:rFonts w:hint="eastAsia"/>
          <w:color w:val="auto"/>
          <w:szCs w:val="24"/>
        </w:rPr>
        <w:t>统一收集，定期</w:t>
      </w:r>
      <w:r>
        <w:rPr>
          <w:color w:val="auto"/>
          <w:szCs w:val="24"/>
        </w:rPr>
        <w:t>委托环卫</w:t>
      </w:r>
      <w:r>
        <w:rPr>
          <w:rFonts w:hint="eastAsia"/>
          <w:color w:val="auto"/>
          <w:szCs w:val="24"/>
          <w:lang w:eastAsia="zh-CN"/>
        </w:rPr>
        <w:t>部门</w:t>
      </w:r>
      <w:r>
        <w:rPr>
          <w:color w:val="auto"/>
          <w:szCs w:val="24"/>
        </w:rPr>
        <w:t>清运处置</w:t>
      </w:r>
      <w:r>
        <w:rPr>
          <w:rFonts w:hint="eastAsia"/>
          <w:color w:val="auto"/>
          <w:szCs w:val="24"/>
        </w:rPr>
        <w:t>。</w:t>
      </w:r>
    </w:p>
    <w:p w14:paraId="54CE2745">
      <w:pPr>
        <w:spacing w:line="360" w:lineRule="auto"/>
        <w:ind w:firstLine="480"/>
        <w:rPr>
          <w:rFonts w:eastAsiaTheme="minorEastAsia"/>
          <w:color w:val="auto"/>
          <w:szCs w:val="24"/>
        </w:rPr>
      </w:pPr>
      <w:r>
        <w:rPr>
          <w:rFonts w:hint="eastAsia" w:eastAsiaTheme="minorEastAsia"/>
          <w:color w:val="auto"/>
          <w:szCs w:val="24"/>
        </w:rPr>
        <w:t>（2）一般</w:t>
      </w:r>
      <w:r>
        <w:rPr>
          <w:rFonts w:eastAsiaTheme="minorEastAsia"/>
          <w:color w:val="auto"/>
          <w:szCs w:val="24"/>
        </w:rPr>
        <w:t>固体废物处理处置措施</w:t>
      </w:r>
    </w:p>
    <w:p w14:paraId="63DFB48A">
      <w:pPr>
        <w:spacing w:line="360" w:lineRule="auto"/>
        <w:ind w:firstLine="480"/>
        <w:rPr>
          <w:color w:val="auto"/>
        </w:rPr>
      </w:pPr>
      <w:r>
        <w:rPr>
          <w:rFonts w:hint="eastAsia"/>
          <w:color w:val="auto"/>
          <w:szCs w:val="21"/>
        </w:rPr>
        <w:t>不沾染危险化学品的</w:t>
      </w:r>
      <w:r>
        <w:rPr>
          <w:rFonts w:hint="eastAsia"/>
          <w:color w:val="auto"/>
          <w:lang w:val="zh-CN"/>
        </w:rPr>
        <w:t>废包装材料</w:t>
      </w:r>
      <w:r>
        <w:rPr>
          <w:rFonts w:hint="eastAsia"/>
          <w:color w:val="auto"/>
          <w:szCs w:val="21"/>
        </w:rPr>
        <w:t>定期外卖废品回收公司</w:t>
      </w:r>
      <w:r>
        <w:rPr>
          <w:rFonts w:hint="eastAsia"/>
          <w:color w:val="auto"/>
        </w:rPr>
        <w:t>。</w:t>
      </w:r>
    </w:p>
    <w:p w14:paraId="6A38550E">
      <w:pPr>
        <w:spacing w:line="360" w:lineRule="auto"/>
        <w:ind w:firstLine="480"/>
        <w:rPr>
          <w:color w:val="auto"/>
        </w:rPr>
      </w:pPr>
      <w:r>
        <w:rPr>
          <w:rFonts w:hint="eastAsia" w:eastAsiaTheme="minorEastAsia"/>
          <w:color w:val="auto"/>
          <w:szCs w:val="24"/>
        </w:rPr>
        <w:t>（3）</w:t>
      </w:r>
      <w:r>
        <w:rPr>
          <w:rFonts w:hint="eastAsia"/>
          <w:color w:val="auto"/>
        </w:rPr>
        <w:t>危险废物</w:t>
      </w:r>
    </w:p>
    <w:p w14:paraId="362B0D6D">
      <w:pPr>
        <w:spacing w:line="360" w:lineRule="auto"/>
        <w:ind w:firstLine="480"/>
        <w:rPr>
          <w:rFonts w:eastAsiaTheme="minorEastAsia"/>
          <w:color w:val="auto"/>
          <w:szCs w:val="24"/>
        </w:rPr>
      </w:pPr>
      <w:r>
        <w:rPr>
          <w:rFonts w:hint="eastAsia"/>
          <w:color w:val="auto"/>
        </w:rPr>
        <w:t>危险废物在危废间暂存后，委托有资质单位清运处置。</w:t>
      </w:r>
    </w:p>
    <w:p w14:paraId="41C81E90">
      <w:pPr>
        <w:spacing w:line="360" w:lineRule="auto"/>
        <w:ind w:firstLine="480"/>
        <w:rPr>
          <w:rFonts w:eastAsiaTheme="minorEastAsia"/>
          <w:color w:val="auto"/>
          <w:szCs w:val="24"/>
        </w:rPr>
      </w:pPr>
      <w:r>
        <w:rPr>
          <w:rFonts w:hint="eastAsia" w:eastAsiaTheme="minorEastAsia"/>
          <w:color w:val="auto"/>
          <w:szCs w:val="24"/>
        </w:rPr>
        <w:t>（4）废水处理固废</w:t>
      </w:r>
    </w:p>
    <w:p w14:paraId="5389C66C">
      <w:pPr>
        <w:spacing w:line="360" w:lineRule="auto"/>
        <w:ind w:firstLine="480"/>
        <w:rPr>
          <w:color w:val="auto"/>
          <w:szCs w:val="24"/>
        </w:rPr>
      </w:pPr>
      <w:r>
        <w:rPr>
          <w:rFonts w:hint="eastAsia" w:eastAsiaTheme="minorEastAsia"/>
          <w:color w:val="auto"/>
          <w:szCs w:val="24"/>
        </w:rPr>
        <w:t>拟建项目废水处理产生污泥、蒸发结晶盐按要求</w:t>
      </w:r>
      <w:r>
        <w:rPr>
          <w:color w:val="auto"/>
        </w:rPr>
        <w:t>进行危险特性鉴别，根据鉴别结果按相关政策进行处置</w:t>
      </w:r>
      <w:r>
        <w:rPr>
          <w:rFonts w:hint="eastAsia"/>
          <w:color w:val="auto"/>
          <w:lang w:eastAsia="zh-CN"/>
        </w:rPr>
        <w:t>，在</w:t>
      </w:r>
      <w:r>
        <w:rPr>
          <w:color w:val="auto"/>
        </w:rPr>
        <w:t>鉴别前，按照危险废物从严管理</w:t>
      </w:r>
      <w:r>
        <w:rPr>
          <w:rFonts w:hint="eastAsia"/>
          <w:color w:val="auto"/>
        </w:rPr>
        <w:t>，</w:t>
      </w:r>
      <w:r>
        <w:rPr>
          <w:color w:val="auto"/>
          <w:szCs w:val="24"/>
        </w:rPr>
        <w:t>严格按照《危险废物贮存污染控制标准》（GB18597-2023</w:t>
      </w:r>
      <w:r>
        <w:rPr>
          <w:color w:val="auto"/>
          <w:szCs w:val="24"/>
          <w:lang w:val="zh-CN"/>
        </w:rPr>
        <w:t>）</w:t>
      </w:r>
      <w:r>
        <w:rPr>
          <w:color w:val="auto"/>
          <w:szCs w:val="24"/>
        </w:rPr>
        <w:t>在厂区内建设危险废物临时贮存场，</w:t>
      </w:r>
      <w:r>
        <w:rPr>
          <w:rFonts w:hint="eastAsia"/>
          <w:color w:val="auto"/>
          <w:szCs w:val="24"/>
        </w:rPr>
        <w:t>严格按照《</w:t>
      </w:r>
      <w:r>
        <w:rPr>
          <w:rFonts w:hint="eastAsia" w:eastAsiaTheme="minorEastAsia"/>
          <w:color w:val="auto"/>
          <w:szCs w:val="24"/>
        </w:rPr>
        <w:t>危险废物管理计划和管理台账</w:t>
      </w:r>
      <w:r>
        <w:rPr>
          <w:rFonts w:eastAsiaTheme="minorEastAsia"/>
          <w:color w:val="auto"/>
          <w:szCs w:val="24"/>
        </w:rPr>
        <w:t xml:space="preserve"> </w:t>
      </w:r>
      <w:r>
        <w:rPr>
          <w:rFonts w:hint="eastAsia" w:eastAsiaTheme="minorEastAsia"/>
          <w:color w:val="auto"/>
          <w:szCs w:val="24"/>
        </w:rPr>
        <w:t>制定技术导则</w:t>
      </w:r>
      <w:r>
        <w:rPr>
          <w:rFonts w:hint="eastAsia"/>
          <w:color w:val="auto"/>
          <w:szCs w:val="24"/>
        </w:rPr>
        <w:t>》</w:t>
      </w:r>
      <w:r>
        <w:rPr>
          <w:rFonts w:hint="eastAsia" w:eastAsiaTheme="minorEastAsia"/>
          <w:color w:val="auto"/>
          <w:szCs w:val="24"/>
        </w:rPr>
        <w:t>（</w:t>
      </w:r>
      <w:r>
        <w:rPr>
          <w:rFonts w:eastAsiaTheme="minorEastAsia"/>
          <w:color w:val="auto"/>
          <w:szCs w:val="24"/>
        </w:rPr>
        <w:t>HJ 1259—2022</w:t>
      </w:r>
      <w:r>
        <w:rPr>
          <w:rFonts w:hint="eastAsia" w:eastAsiaTheme="minorEastAsia"/>
          <w:color w:val="auto"/>
          <w:szCs w:val="24"/>
        </w:rPr>
        <w:t>）制定危废管理计划及台账，</w:t>
      </w:r>
      <w:r>
        <w:rPr>
          <w:color w:val="auto"/>
          <w:szCs w:val="24"/>
        </w:rPr>
        <w:t>按照</w:t>
      </w:r>
      <w:r>
        <w:rPr>
          <w:rFonts w:hint="eastAsia"/>
          <w:color w:val="auto"/>
          <w:szCs w:val="24"/>
        </w:rPr>
        <w:t>《危险废物转移管理办法》（生态环境部 公安部 交通运输部 部令 第23号）</w:t>
      </w:r>
      <w:r>
        <w:rPr>
          <w:color w:val="auto"/>
          <w:szCs w:val="24"/>
        </w:rPr>
        <w:t>，将项目产生的危险废物交由有相应类别的危险废物处理资质的单位处理。严格执行上述措施，项目产生的危险废物不会排入外环境造成二次污染。</w:t>
      </w:r>
    </w:p>
    <w:p w14:paraId="761655DF">
      <w:pPr>
        <w:spacing w:line="360" w:lineRule="auto"/>
        <w:ind w:firstLine="480"/>
        <w:rPr>
          <w:color w:val="auto"/>
          <w:szCs w:val="24"/>
        </w:rPr>
      </w:pPr>
      <w:r>
        <w:rPr>
          <w:rFonts w:hint="eastAsia"/>
          <w:color w:val="auto"/>
          <w:szCs w:val="24"/>
        </w:rPr>
        <w:t>根据</w:t>
      </w:r>
      <w:r>
        <w:rPr>
          <w:color w:val="auto"/>
          <w:szCs w:val="24"/>
        </w:rPr>
        <w:t>《危险废物贮存污染控制标准》（GB18597-2023</w:t>
      </w:r>
      <w:r>
        <w:rPr>
          <w:color w:val="auto"/>
          <w:szCs w:val="24"/>
          <w:lang w:val="zh-CN"/>
        </w:rPr>
        <w:t>）</w:t>
      </w:r>
      <w:r>
        <w:rPr>
          <w:rFonts w:hint="eastAsia"/>
          <w:color w:val="auto"/>
          <w:szCs w:val="24"/>
          <w:lang w:val="zh-CN"/>
        </w:rPr>
        <w:t>，危废贮存设施一般管理要求（节选）如下：</w:t>
      </w:r>
    </w:p>
    <w:p w14:paraId="5025B8BA">
      <w:pPr>
        <w:spacing w:line="360" w:lineRule="auto"/>
        <w:ind w:firstLine="480"/>
        <w:rPr>
          <w:color w:val="auto"/>
          <w:szCs w:val="24"/>
        </w:rPr>
      </w:pPr>
      <w:r>
        <w:rPr>
          <w:rFonts w:hint="eastAsia"/>
          <w:color w:val="auto"/>
          <w:szCs w:val="24"/>
        </w:rPr>
        <w:t>6.1.</w:t>
      </w:r>
      <w:r>
        <w:rPr>
          <w:color w:val="auto"/>
          <w:szCs w:val="24"/>
        </w:rPr>
        <w:t>1</w:t>
      </w:r>
      <w:r>
        <w:rPr>
          <w:rFonts w:hint="eastAsia"/>
          <w:color w:val="auto"/>
          <w:szCs w:val="24"/>
        </w:rPr>
        <w:t>贮存设施应根据危险废物的形态、物理化学性质、包装形式和污染物迁移途径，采取措施减少渗滤液及其衍生废物、渗漏的液态废物（简称渗漏液）、粉尘、VOCs、酸雾、有毒有害大气污染物和刺激性气味气体等污染物的产生，防止其污染环境。采取必要的防风、防晒、防雨、防漏、防渗、防腐以及其他环境污染防治措施，不应露天堆放危险废物。</w:t>
      </w:r>
      <w:r>
        <w:rPr>
          <w:rFonts w:hint="eastAsia"/>
          <w:color w:val="auto"/>
          <w:szCs w:val="24"/>
        </w:rPr>
        <w:cr/>
      </w:r>
      <w:r>
        <w:rPr>
          <w:rFonts w:hint="eastAsia"/>
          <w:color w:val="auto"/>
          <w:szCs w:val="24"/>
        </w:rPr>
        <w:t xml:space="preserve">　 </w:t>
      </w:r>
      <w:r>
        <w:rPr>
          <w:color w:val="auto"/>
          <w:szCs w:val="24"/>
        </w:rPr>
        <w:t xml:space="preserve"> </w:t>
      </w:r>
      <w:r>
        <w:rPr>
          <w:rFonts w:hint="eastAsia"/>
          <w:color w:val="auto"/>
          <w:szCs w:val="24"/>
        </w:rPr>
        <w:t>6</w:t>
      </w:r>
      <w:r>
        <w:rPr>
          <w:color w:val="auto"/>
          <w:szCs w:val="24"/>
        </w:rPr>
        <w:t>.1.2</w:t>
      </w:r>
      <w:r>
        <w:rPr>
          <w:rFonts w:hint="eastAsia"/>
          <w:color w:val="auto"/>
          <w:szCs w:val="24"/>
        </w:rPr>
        <w:t>贮存设施应根据危险废物的类别、数量、形态、物理化学性质和污染防治等要求设置必要的贮存分区，避免不相容的危险废物接触、混合。</w:t>
      </w:r>
    </w:p>
    <w:p w14:paraId="7A73217B">
      <w:pPr>
        <w:spacing w:line="360" w:lineRule="auto"/>
        <w:ind w:firstLine="480"/>
        <w:rPr>
          <w:color w:val="auto"/>
          <w:szCs w:val="24"/>
        </w:rPr>
      </w:pPr>
      <w:r>
        <w:rPr>
          <w:rFonts w:hint="eastAsia"/>
          <w:color w:val="auto"/>
          <w:szCs w:val="24"/>
        </w:rPr>
        <w:t>6.1.3 贮存设施或贮存分区内地面、墙面裙脚、堵截泄漏的围堰、接触危险废物的隔板和墙体等应采用坚固的材料建造，表面无裂缝。</w:t>
      </w:r>
    </w:p>
    <w:p w14:paraId="614C8FDF">
      <w:pPr>
        <w:spacing w:line="360" w:lineRule="auto"/>
        <w:ind w:firstLine="480"/>
        <w:rPr>
          <w:color w:val="auto"/>
          <w:szCs w:val="24"/>
        </w:rPr>
      </w:pPr>
      <w:r>
        <w:rPr>
          <w:rFonts w:hint="eastAsia"/>
          <w:color w:val="auto"/>
          <w:szCs w:val="24"/>
        </w:rPr>
        <w:t>6.1.4 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 1 m厚黏土层（渗透系数不大于10</w:t>
      </w:r>
      <w:r>
        <w:rPr>
          <w:rFonts w:hint="eastAsia"/>
          <w:color w:val="auto"/>
          <w:szCs w:val="24"/>
          <w:vertAlign w:val="superscript"/>
        </w:rPr>
        <w:t>-7</w:t>
      </w:r>
      <w:r>
        <w:rPr>
          <w:rFonts w:hint="eastAsia"/>
          <w:color w:val="auto"/>
          <w:szCs w:val="24"/>
        </w:rPr>
        <w:t xml:space="preserve"> cm/s），或至少2 mm 厚高密度聚乙烯膜等人工防渗材料（渗透系数不大于10</w:t>
      </w:r>
      <w:r>
        <w:rPr>
          <w:rFonts w:hint="eastAsia"/>
          <w:color w:val="auto"/>
          <w:szCs w:val="24"/>
          <w:vertAlign w:val="superscript"/>
        </w:rPr>
        <w:t>-10</w:t>
      </w:r>
      <w:r>
        <w:rPr>
          <w:rFonts w:hint="eastAsia"/>
          <w:color w:val="auto"/>
          <w:szCs w:val="24"/>
        </w:rPr>
        <w:t xml:space="preserve"> cm/s），或其他防渗性能等效的材料。</w:t>
      </w:r>
    </w:p>
    <w:p w14:paraId="3CC4D3D5">
      <w:pPr>
        <w:spacing w:line="360" w:lineRule="auto"/>
        <w:ind w:firstLine="480"/>
        <w:rPr>
          <w:color w:val="auto"/>
          <w:szCs w:val="24"/>
        </w:rPr>
      </w:pPr>
      <w:r>
        <w:rPr>
          <w:color w:val="auto"/>
          <w:szCs w:val="24"/>
        </w:rPr>
        <w:t>6.1.5</w:t>
      </w:r>
      <w:r>
        <w:rPr>
          <w:rFonts w:hint="eastAsia"/>
          <w:color w:val="auto"/>
          <w:szCs w:val="24"/>
        </w:rPr>
        <w:t>同一贮存设施宜采用相同的防渗、防腐工艺（包括防渗、防腐结构或材料），防渗、防腐材料应覆盖所有可能与废物及其渗滤液、渗漏液等接触的构筑物表面；采用不同防渗、防腐工艺应分别建设贮存分区。</w:t>
      </w:r>
    </w:p>
    <w:p w14:paraId="7ADF35FC">
      <w:pPr>
        <w:spacing w:line="360" w:lineRule="auto"/>
        <w:ind w:firstLine="480"/>
        <w:rPr>
          <w:color w:val="auto"/>
          <w:szCs w:val="24"/>
        </w:rPr>
      </w:pPr>
      <w:r>
        <w:rPr>
          <w:rFonts w:hint="eastAsia"/>
          <w:color w:val="auto"/>
          <w:szCs w:val="24"/>
        </w:rPr>
        <w:t>6</w:t>
      </w:r>
      <w:r>
        <w:rPr>
          <w:color w:val="auto"/>
          <w:szCs w:val="24"/>
        </w:rPr>
        <w:t>.1.6</w:t>
      </w:r>
      <w:r>
        <w:rPr>
          <w:rFonts w:hint="eastAsia"/>
          <w:color w:val="auto"/>
          <w:szCs w:val="24"/>
        </w:rPr>
        <w:t>贮存设施应采取技术和管理措施防止无关人员进入。</w:t>
      </w:r>
    </w:p>
    <w:p w14:paraId="6DD4CF67">
      <w:pPr>
        <w:spacing w:line="360" w:lineRule="auto"/>
        <w:ind w:firstLine="480"/>
        <w:rPr>
          <w:color w:val="auto"/>
          <w:szCs w:val="24"/>
        </w:rPr>
      </w:pPr>
      <w:r>
        <w:rPr>
          <w:rFonts w:hint="eastAsia"/>
          <w:color w:val="auto"/>
          <w:szCs w:val="24"/>
        </w:rPr>
        <w:t>根据《</w:t>
      </w:r>
      <w:r>
        <w:rPr>
          <w:rFonts w:hint="eastAsia" w:eastAsiaTheme="minorEastAsia"/>
          <w:color w:val="auto"/>
          <w:szCs w:val="24"/>
        </w:rPr>
        <w:t>危险废物管理计划和管理台账</w:t>
      </w:r>
      <w:r>
        <w:rPr>
          <w:rFonts w:eastAsiaTheme="minorEastAsia"/>
          <w:color w:val="auto"/>
          <w:szCs w:val="24"/>
        </w:rPr>
        <w:t xml:space="preserve"> </w:t>
      </w:r>
      <w:r>
        <w:rPr>
          <w:rFonts w:hint="eastAsia" w:eastAsiaTheme="minorEastAsia"/>
          <w:color w:val="auto"/>
          <w:szCs w:val="24"/>
        </w:rPr>
        <w:t>制定技术导则</w:t>
      </w:r>
      <w:r>
        <w:rPr>
          <w:rFonts w:hint="eastAsia"/>
          <w:color w:val="auto"/>
          <w:szCs w:val="24"/>
        </w:rPr>
        <w:t>》</w:t>
      </w:r>
      <w:r>
        <w:rPr>
          <w:rFonts w:hint="eastAsia" w:eastAsiaTheme="minorEastAsia"/>
          <w:color w:val="auto"/>
          <w:szCs w:val="24"/>
        </w:rPr>
        <w:t>（</w:t>
      </w:r>
      <w:r>
        <w:rPr>
          <w:rFonts w:eastAsiaTheme="minorEastAsia"/>
          <w:color w:val="auto"/>
          <w:szCs w:val="24"/>
        </w:rPr>
        <w:t>HJ 1259—2022</w:t>
      </w:r>
      <w:r>
        <w:rPr>
          <w:rFonts w:hint="eastAsia" w:eastAsiaTheme="minorEastAsia"/>
          <w:color w:val="auto"/>
          <w:szCs w:val="24"/>
        </w:rPr>
        <w:t>）节选，</w:t>
      </w:r>
    </w:p>
    <w:p w14:paraId="4BD407A7">
      <w:pPr>
        <w:spacing w:line="360" w:lineRule="auto"/>
        <w:ind w:firstLine="480"/>
        <w:rPr>
          <w:color w:val="auto"/>
          <w:szCs w:val="24"/>
        </w:rPr>
      </w:pPr>
      <w:r>
        <w:rPr>
          <w:color w:val="auto"/>
          <w:szCs w:val="24"/>
        </w:rPr>
        <w:t>4.3 分类管理要求</w:t>
      </w:r>
    </w:p>
    <w:p w14:paraId="3ACF6779">
      <w:pPr>
        <w:spacing w:line="360" w:lineRule="auto"/>
        <w:ind w:firstLine="480"/>
        <w:rPr>
          <w:color w:val="auto"/>
          <w:szCs w:val="24"/>
        </w:rPr>
      </w:pPr>
      <w:r>
        <w:rPr>
          <w:color w:val="auto"/>
          <w:szCs w:val="24"/>
        </w:rPr>
        <w:t>4.3.1 危险废物管理计划制定内容应根据产生危险废物的单位的管理类别确定。</w:t>
      </w:r>
    </w:p>
    <w:p w14:paraId="229DE5EE">
      <w:pPr>
        <w:spacing w:line="360" w:lineRule="auto"/>
        <w:ind w:firstLine="480"/>
        <w:rPr>
          <w:color w:val="auto"/>
          <w:szCs w:val="24"/>
        </w:rPr>
      </w:pPr>
      <w:r>
        <w:rPr>
          <w:color w:val="auto"/>
          <w:szCs w:val="24"/>
        </w:rPr>
        <w:t>4.3.2危险废物的种类、产生量、流向、贮存、利用、处置等有关资料的申报周期应根据产生危险废 物的单位的管理类别确定。</w:t>
      </w:r>
    </w:p>
    <w:p w14:paraId="0F492BDA">
      <w:pPr>
        <w:spacing w:line="360" w:lineRule="auto"/>
        <w:ind w:firstLine="480"/>
        <w:rPr>
          <w:color w:val="auto"/>
          <w:szCs w:val="24"/>
        </w:rPr>
      </w:pPr>
      <w:r>
        <w:rPr>
          <w:color w:val="auto"/>
          <w:szCs w:val="24"/>
        </w:rPr>
        <w:t>4.3.3鼓励有条件的地区在危险废物环境重点监管单位推行电子地磅、视频监控、电子标签等集成智 能监控手段，如实记录危险废物有关信息，有条件的可与国家危险废物信息管理系统联网。</w:t>
      </w:r>
    </w:p>
    <w:p w14:paraId="307082FE">
      <w:pPr>
        <w:spacing w:line="360" w:lineRule="auto"/>
        <w:ind w:firstLine="480"/>
        <w:rPr>
          <w:color w:val="auto"/>
          <w:szCs w:val="24"/>
        </w:rPr>
      </w:pPr>
      <w:r>
        <w:rPr>
          <w:color w:val="auto"/>
          <w:szCs w:val="24"/>
        </w:rPr>
        <w:t>5</w:t>
      </w:r>
      <w:r>
        <w:rPr>
          <w:rFonts w:hint="eastAsia"/>
          <w:color w:val="auto"/>
          <w:szCs w:val="24"/>
        </w:rPr>
        <w:t>、</w:t>
      </w:r>
      <w:r>
        <w:rPr>
          <w:color w:val="auto"/>
          <w:szCs w:val="24"/>
        </w:rPr>
        <w:t>危险废物管理计划制定要求</w:t>
      </w:r>
    </w:p>
    <w:p w14:paraId="17DA233F">
      <w:pPr>
        <w:spacing w:line="360" w:lineRule="auto"/>
        <w:ind w:firstLine="480"/>
        <w:rPr>
          <w:color w:val="auto"/>
          <w:szCs w:val="24"/>
        </w:rPr>
      </w:pPr>
      <w:r>
        <w:rPr>
          <w:color w:val="auto"/>
          <w:szCs w:val="24"/>
        </w:rPr>
        <w:t>5.1 制定单位</w:t>
      </w:r>
    </w:p>
    <w:p w14:paraId="46208F8B">
      <w:pPr>
        <w:spacing w:line="360" w:lineRule="auto"/>
        <w:ind w:firstLine="480"/>
        <w:rPr>
          <w:color w:val="auto"/>
          <w:szCs w:val="24"/>
        </w:rPr>
      </w:pPr>
      <w:r>
        <w:rPr>
          <w:color w:val="auto"/>
          <w:szCs w:val="24"/>
        </w:rPr>
        <w:t>同一法人单位或者其他组织所属但位于不同生产经营场所的单位，应当以每个生产经营场所为单位， 分别制定危险废物管理计划，并通过国家危险废物信息管理系统向生产经营场所所在地生态环境主管部门备案。</w:t>
      </w:r>
    </w:p>
    <w:p w14:paraId="0A151D05">
      <w:pPr>
        <w:spacing w:line="360" w:lineRule="auto"/>
        <w:ind w:firstLine="480"/>
        <w:rPr>
          <w:color w:val="auto"/>
          <w:szCs w:val="24"/>
        </w:rPr>
      </w:pPr>
      <w:r>
        <w:rPr>
          <w:color w:val="auto"/>
          <w:szCs w:val="24"/>
        </w:rPr>
        <w:t>5.2 制定形式及时限要求</w:t>
      </w:r>
    </w:p>
    <w:p w14:paraId="79C897E9">
      <w:pPr>
        <w:spacing w:line="360" w:lineRule="auto"/>
        <w:ind w:firstLine="480"/>
        <w:rPr>
          <w:color w:val="auto"/>
          <w:szCs w:val="24"/>
        </w:rPr>
      </w:pPr>
      <w:r>
        <w:rPr>
          <w:color w:val="auto"/>
          <w:szCs w:val="24"/>
        </w:rPr>
        <w:t>5.2.1 产生危险废物的单位应当按年度制定危险废物管理计划。</w:t>
      </w:r>
    </w:p>
    <w:p w14:paraId="65886ECC">
      <w:pPr>
        <w:spacing w:line="360" w:lineRule="auto"/>
        <w:ind w:firstLine="480"/>
        <w:rPr>
          <w:color w:val="auto"/>
          <w:szCs w:val="24"/>
        </w:rPr>
      </w:pPr>
      <w:r>
        <w:rPr>
          <w:color w:val="auto"/>
          <w:szCs w:val="24"/>
        </w:rPr>
        <w:t>5.2.2产生危险废物的单位应当于每年3月31日前通过国家危险废物信息管理系统在线填写并提交当 年度的危险废物管理计划，由国家危险废物信息管理系统自动生成备案编号和回执，完成备案。</w:t>
      </w:r>
    </w:p>
    <w:p w14:paraId="18D6F773">
      <w:pPr>
        <w:spacing w:line="360" w:lineRule="auto"/>
        <w:ind w:firstLine="480"/>
        <w:rPr>
          <w:color w:val="auto"/>
          <w:szCs w:val="24"/>
        </w:rPr>
      </w:pPr>
      <w:r>
        <w:rPr>
          <w:color w:val="auto"/>
          <w:szCs w:val="24"/>
        </w:rPr>
        <w:t>5.2.3 危险废物管理计划备案内容需要调整的，产生危险废物的单位应当及时变更。</w:t>
      </w:r>
    </w:p>
    <w:p w14:paraId="4A188459">
      <w:pPr>
        <w:spacing w:line="360" w:lineRule="auto"/>
        <w:ind w:firstLine="480"/>
        <w:rPr>
          <w:color w:val="auto"/>
          <w:szCs w:val="24"/>
        </w:rPr>
      </w:pPr>
      <w:r>
        <w:rPr>
          <w:rFonts w:hint="eastAsia"/>
          <w:color w:val="auto"/>
          <w:szCs w:val="24"/>
        </w:rPr>
        <w:t>建设单位应严格对厂区产生的</w:t>
      </w:r>
      <w:r>
        <w:rPr>
          <w:rFonts w:hint="eastAsia"/>
          <w:color w:val="auto"/>
          <w:lang w:val="zh-CN"/>
        </w:rPr>
        <w:t>废油、</w:t>
      </w:r>
      <w:r>
        <w:rPr>
          <w:color w:val="auto"/>
          <w:lang w:val="zh-CN"/>
        </w:rPr>
        <w:t>污泥</w:t>
      </w:r>
      <w:r>
        <w:rPr>
          <w:rFonts w:hint="eastAsia"/>
          <w:color w:val="auto"/>
          <w:lang w:val="zh-CN"/>
        </w:rPr>
        <w:t>、蒸发结晶、</w:t>
      </w:r>
      <w:r>
        <w:rPr>
          <w:rFonts w:hint="eastAsia"/>
          <w:color w:val="auto"/>
          <w:szCs w:val="21"/>
        </w:rPr>
        <w:t>沾染危险化学品的废包装材料、</w:t>
      </w:r>
      <w:r>
        <w:rPr>
          <w:rFonts w:hint="eastAsia"/>
          <w:color w:val="auto"/>
          <w:lang w:val="zh-CN"/>
        </w:rPr>
        <w:t>废活性炭、实验室废物、</w:t>
      </w:r>
      <w:r>
        <w:rPr>
          <w:bCs/>
          <w:color w:val="auto"/>
        </w:rPr>
        <w:t>废机油及桶</w:t>
      </w:r>
      <w:r>
        <w:rPr>
          <w:rFonts w:hint="eastAsia"/>
          <w:bCs/>
          <w:color w:val="auto"/>
        </w:rPr>
        <w:t>、</w:t>
      </w:r>
      <w:r>
        <w:rPr>
          <w:bCs/>
          <w:color w:val="auto"/>
        </w:rPr>
        <w:t>含油棉纱手套</w:t>
      </w:r>
      <w:r>
        <w:rPr>
          <w:rFonts w:hint="eastAsia"/>
          <w:bCs/>
          <w:color w:val="auto"/>
        </w:rPr>
        <w:t>、废膜</w:t>
      </w:r>
      <w:r>
        <w:rPr>
          <w:rFonts w:hint="eastAsia"/>
          <w:color w:val="auto"/>
          <w:szCs w:val="24"/>
        </w:rPr>
        <w:t>等按照上述要求进行管理。</w:t>
      </w:r>
    </w:p>
    <w:p w14:paraId="75FAF411">
      <w:pPr>
        <w:spacing w:line="360" w:lineRule="auto"/>
        <w:ind w:firstLine="480"/>
        <w:rPr>
          <w:color w:val="auto"/>
          <w:szCs w:val="24"/>
        </w:rPr>
      </w:pPr>
      <w:r>
        <w:rPr>
          <w:rFonts w:hint="eastAsia"/>
          <w:color w:val="auto"/>
          <w:szCs w:val="24"/>
        </w:rPr>
        <w:t>根据《建设项目危险废物环境影响评价指南》，评价提出以下要求：</w:t>
      </w:r>
    </w:p>
    <w:p w14:paraId="20255E7F">
      <w:pPr>
        <w:spacing w:line="360" w:lineRule="auto"/>
        <w:ind w:firstLine="480"/>
        <w:rPr>
          <w:color w:val="auto"/>
          <w:szCs w:val="24"/>
        </w:rPr>
      </w:pPr>
      <w:r>
        <w:rPr>
          <w:rFonts w:hint="eastAsia"/>
          <w:color w:val="auto"/>
          <w:szCs w:val="24"/>
        </w:rPr>
        <w:t>①危险废物暂存场应按《危险废物贮存污染控制标准》（GB18597-20</w:t>
      </w:r>
      <w:r>
        <w:rPr>
          <w:color w:val="auto"/>
          <w:szCs w:val="24"/>
        </w:rPr>
        <w:t>23</w:t>
      </w:r>
      <w:r>
        <w:rPr>
          <w:rFonts w:hint="eastAsia"/>
          <w:color w:val="auto"/>
          <w:szCs w:val="24"/>
        </w:rPr>
        <w:t>）中相关要求进行设计、运行和管理，应做到“四防”（防风、防雨、防晒、防渗漏）。</w:t>
      </w:r>
    </w:p>
    <w:p w14:paraId="1C63F02E">
      <w:pPr>
        <w:spacing w:line="360" w:lineRule="auto"/>
        <w:ind w:firstLine="480"/>
        <w:rPr>
          <w:color w:val="auto"/>
          <w:szCs w:val="24"/>
        </w:rPr>
      </w:pPr>
      <w:r>
        <w:rPr>
          <w:rFonts w:hint="eastAsia"/>
          <w:color w:val="auto"/>
          <w:szCs w:val="24"/>
        </w:rPr>
        <w:t>②危险废物贮存设施必须按《环境保护图形标志-固体废物贮存（处置）场》（GB15562.2-1995）的规定设置警示标志。</w:t>
      </w:r>
    </w:p>
    <w:p w14:paraId="1CE0803A">
      <w:pPr>
        <w:spacing w:line="360" w:lineRule="auto"/>
        <w:ind w:firstLine="480"/>
        <w:rPr>
          <w:color w:val="auto"/>
          <w:szCs w:val="24"/>
        </w:rPr>
      </w:pPr>
      <w:r>
        <w:rPr>
          <w:rFonts w:hint="eastAsia"/>
          <w:color w:val="auto"/>
          <w:szCs w:val="24"/>
        </w:rPr>
        <w:t>③按危险废物类别分别采用符合标准的专用容器贮存，加上标签，由专人负责管理。</w:t>
      </w:r>
    </w:p>
    <w:p w14:paraId="7E15ABEA">
      <w:pPr>
        <w:spacing w:line="360" w:lineRule="auto"/>
        <w:ind w:firstLine="480"/>
        <w:rPr>
          <w:color w:val="auto"/>
          <w:szCs w:val="24"/>
        </w:rPr>
      </w:pPr>
      <w:r>
        <w:rPr>
          <w:rFonts w:hint="eastAsia"/>
          <w:color w:val="auto"/>
          <w:szCs w:val="24"/>
        </w:rPr>
        <w:t>④危险废物贮存前应进行检查、核对，登记注册，按规定的标签填写危险废物。</w:t>
      </w:r>
    </w:p>
    <w:p w14:paraId="51A04455">
      <w:pPr>
        <w:spacing w:line="360" w:lineRule="auto"/>
        <w:ind w:firstLine="480"/>
        <w:rPr>
          <w:color w:val="auto"/>
          <w:szCs w:val="24"/>
        </w:rPr>
      </w:pPr>
      <w:r>
        <w:rPr>
          <w:rFonts w:hint="eastAsia"/>
          <w:color w:val="auto"/>
          <w:szCs w:val="24"/>
        </w:rPr>
        <w:t>⑤</w:t>
      </w:r>
      <w:r>
        <w:rPr>
          <w:rFonts w:hint="eastAsia"/>
          <w:color w:val="auto"/>
          <w:szCs w:val="24"/>
          <w:lang w:eastAsia="zh-CN"/>
        </w:rPr>
        <w:t>做好</w:t>
      </w:r>
      <w:r>
        <w:rPr>
          <w:rFonts w:hint="eastAsia"/>
          <w:color w:val="auto"/>
          <w:szCs w:val="24"/>
        </w:rPr>
        <w:t>危险废物情况的记录，记录上须注明危险废物的名称、来源、数量、特性和包装容器的类别、入库日期、存放库位、废物出库日期及接收单位名称。</w:t>
      </w:r>
    </w:p>
    <w:p w14:paraId="131099CA">
      <w:pPr>
        <w:spacing w:line="360" w:lineRule="auto"/>
        <w:ind w:firstLine="480"/>
        <w:rPr>
          <w:color w:val="auto"/>
          <w:szCs w:val="24"/>
        </w:rPr>
      </w:pPr>
      <w:r>
        <w:rPr>
          <w:rFonts w:hint="eastAsia"/>
          <w:color w:val="auto"/>
          <w:szCs w:val="24"/>
        </w:rPr>
        <w:t>⑥必须定期对所贮存的危险废物包装容器及贮存设施进行检查，发现破损，应及时采取措施清理更换。</w:t>
      </w:r>
    </w:p>
    <w:p w14:paraId="2E04B8CA">
      <w:pPr>
        <w:spacing w:line="360" w:lineRule="auto"/>
        <w:ind w:firstLine="480"/>
        <w:rPr>
          <w:color w:val="auto"/>
          <w:szCs w:val="24"/>
        </w:rPr>
      </w:pPr>
      <w:r>
        <w:rPr>
          <w:rFonts w:hint="eastAsia"/>
          <w:color w:val="auto"/>
          <w:szCs w:val="24"/>
        </w:rPr>
        <w:t>⑦应配备通讯设备、照明设施、安全防护服装及工具，并</w:t>
      </w:r>
      <w:r>
        <w:rPr>
          <w:rFonts w:hint="eastAsia"/>
          <w:color w:val="auto"/>
          <w:szCs w:val="24"/>
          <w:lang w:eastAsia="zh-CN"/>
        </w:rPr>
        <w:t>设置</w:t>
      </w:r>
      <w:r>
        <w:rPr>
          <w:rFonts w:hint="eastAsia"/>
          <w:color w:val="auto"/>
          <w:szCs w:val="24"/>
        </w:rPr>
        <w:t>应急防护设施。</w:t>
      </w:r>
    </w:p>
    <w:p w14:paraId="7E250B50">
      <w:pPr>
        <w:spacing w:line="360" w:lineRule="auto"/>
        <w:ind w:firstLine="480"/>
        <w:rPr>
          <w:color w:val="auto"/>
          <w:szCs w:val="24"/>
        </w:rPr>
      </w:pPr>
      <w:r>
        <w:rPr>
          <w:rFonts w:hint="eastAsia"/>
          <w:color w:val="auto"/>
          <w:szCs w:val="24"/>
        </w:rPr>
        <w:t>⑧对同一贮存场所（设施）贮存多种危险废物的，根据危废的种类、性质分区布置，分别放置固态危险废物和液态危险废物，要求分区间采取隔挡措施，防止两种废物混杂，液态废物应采用桶装等密闭包装方式，避免产生臭味，贮存容器必须符合《危险废物贮存污染控制标准》（GB18597</w:t>
      </w:r>
      <w:r>
        <w:rPr>
          <w:color w:val="auto"/>
          <w:szCs w:val="24"/>
        </w:rPr>
        <w:t>-2023</w:t>
      </w:r>
      <w:r>
        <w:rPr>
          <w:rFonts w:hint="eastAsia"/>
          <w:color w:val="auto"/>
          <w:szCs w:val="24"/>
        </w:rPr>
        <w:t>）中相关要求。</w:t>
      </w:r>
    </w:p>
    <w:p w14:paraId="7487DDAC">
      <w:pPr>
        <w:spacing w:line="360" w:lineRule="auto"/>
        <w:ind w:firstLine="480"/>
        <w:rPr>
          <w:color w:val="auto"/>
          <w:szCs w:val="24"/>
        </w:rPr>
      </w:pPr>
      <w:r>
        <w:rPr>
          <w:rFonts w:hint="eastAsia"/>
          <w:color w:val="auto"/>
          <w:szCs w:val="24"/>
        </w:rPr>
        <w:t>（5）转移控制措施</w:t>
      </w:r>
    </w:p>
    <w:p w14:paraId="69152591">
      <w:pPr>
        <w:spacing w:line="360" w:lineRule="auto"/>
        <w:ind w:firstLine="480"/>
        <w:rPr>
          <w:color w:val="auto"/>
          <w:szCs w:val="24"/>
        </w:rPr>
      </w:pPr>
      <w:r>
        <w:rPr>
          <w:rFonts w:hint="eastAsia"/>
          <w:color w:val="auto"/>
          <w:szCs w:val="24"/>
        </w:rPr>
        <w:t>①企业应按国家有关规定办理危险废物申报转移的“五联单”手续，厂内暂存时间不得超过1年。</w:t>
      </w:r>
    </w:p>
    <w:p w14:paraId="59AE506A">
      <w:pPr>
        <w:spacing w:line="360" w:lineRule="auto"/>
        <w:ind w:firstLine="480"/>
        <w:rPr>
          <w:color w:val="auto"/>
          <w:szCs w:val="24"/>
        </w:rPr>
      </w:pPr>
      <w:r>
        <w:rPr>
          <w:rFonts w:hint="eastAsia"/>
          <w:color w:val="auto"/>
          <w:szCs w:val="24"/>
        </w:rPr>
        <w:t>②在交有资质单位处理时，应严格按照《危险废物转移管理办法》填写危险废物转移联单，并由双方单位保留备查。危险废物产生单位在转移危险废物前，须按照国家有关规定报批危险废物转移计划；经批准后，产生单位应当向移出地环境保护行政主管部门申请领取联单。产生单位应当在危险废物转移前三日内报告移出地环境保护行政主管部门，并同时将预期到达时间报告</w:t>
      </w:r>
      <w:r>
        <w:rPr>
          <w:rFonts w:hint="eastAsia"/>
          <w:color w:val="auto"/>
          <w:szCs w:val="24"/>
          <w:lang w:eastAsia="zh-CN"/>
        </w:rPr>
        <w:t>接收</w:t>
      </w:r>
      <w:r>
        <w:rPr>
          <w:rFonts w:hint="eastAsia"/>
          <w:color w:val="auto"/>
          <w:szCs w:val="24"/>
        </w:rPr>
        <w:t>地环境保护行政主管部门。</w:t>
      </w:r>
    </w:p>
    <w:p w14:paraId="6FB9FD02">
      <w:pPr>
        <w:spacing w:line="360" w:lineRule="auto"/>
        <w:ind w:firstLine="480"/>
        <w:rPr>
          <w:color w:val="auto"/>
          <w:szCs w:val="24"/>
        </w:rPr>
      </w:pPr>
      <w:r>
        <w:rPr>
          <w:rFonts w:hint="eastAsia"/>
          <w:color w:val="auto"/>
          <w:szCs w:val="24"/>
        </w:rPr>
        <w:t>③所有废物收集和封装容器应得到接收企业及当地环保部门的认可。</w:t>
      </w:r>
    </w:p>
    <w:p w14:paraId="5A147999">
      <w:pPr>
        <w:spacing w:line="360" w:lineRule="auto"/>
        <w:ind w:firstLine="480"/>
        <w:rPr>
          <w:color w:val="auto"/>
          <w:szCs w:val="24"/>
        </w:rPr>
      </w:pPr>
      <w:r>
        <w:rPr>
          <w:rFonts w:hint="eastAsia"/>
          <w:color w:val="auto"/>
          <w:szCs w:val="24"/>
        </w:rPr>
        <w:t>④应指定专人负责固废和残液的收集、贮运管理工作，运输车辆的司机和押运人员应</w:t>
      </w:r>
      <w:r>
        <w:rPr>
          <w:rFonts w:hint="eastAsia"/>
          <w:color w:val="auto"/>
          <w:szCs w:val="24"/>
          <w:lang w:eastAsia="zh-CN"/>
        </w:rPr>
        <w:t>经过</w:t>
      </w:r>
      <w:r>
        <w:rPr>
          <w:rFonts w:hint="eastAsia"/>
          <w:color w:val="auto"/>
          <w:szCs w:val="24"/>
        </w:rPr>
        <w:t>专业培训。</w:t>
      </w:r>
    </w:p>
    <w:p w14:paraId="598C37E8">
      <w:pPr>
        <w:spacing w:line="360" w:lineRule="auto"/>
        <w:ind w:firstLine="480"/>
        <w:rPr>
          <w:color w:val="auto"/>
          <w:szCs w:val="24"/>
        </w:rPr>
      </w:pPr>
      <w:r>
        <w:rPr>
          <w:rFonts w:hint="eastAsia"/>
          <w:color w:val="auto"/>
          <w:szCs w:val="24"/>
        </w:rPr>
        <w:t>⑤收运车应采用密闭运输方式，防止外泄。</w:t>
      </w:r>
    </w:p>
    <w:p w14:paraId="15F963AD">
      <w:pPr>
        <w:spacing w:line="360" w:lineRule="auto"/>
        <w:ind w:firstLine="480"/>
        <w:rPr>
          <w:color w:val="auto"/>
          <w:szCs w:val="24"/>
        </w:rPr>
      </w:pPr>
      <w:r>
        <w:rPr>
          <w:rFonts w:hint="eastAsia"/>
          <w:color w:val="auto"/>
          <w:szCs w:val="24"/>
        </w:rPr>
        <w:t>⑥建设单位与处置单位对危险废物交接时，应按危废联单制管理要求，交接运输，要求交接和运输过程皆处于环境行政主管部门的监控之下进行。</w:t>
      </w:r>
    </w:p>
    <w:p w14:paraId="66EBD018">
      <w:pPr>
        <w:spacing w:line="360" w:lineRule="auto"/>
        <w:ind w:firstLine="480"/>
        <w:rPr>
          <w:color w:val="auto"/>
          <w:szCs w:val="24"/>
        </w:rPr>
      </w:pPr>
      <w:r>
        <w:rPr>
          <w:rFonts w:hint="eastAsia"/>
          <w:color w:val="auto"/>
          <w:szCs w:val="24"/>
        </w:rPr>
        <w:t>⑦危险废物运输符合《危险废物收集贮存运输技术规范》相关要求。</w:t>
      </w:r>
    </w:p>
    <w:p w14:paraId="7660E803">
      <w:pPr>
        <w:spacing w:line="360" w:lineRule="auto"/>
        <w:ind w:firstLine="480"/>
        <w:rPr>
          <w:color w:val="auto"/>
          <w:szCs w:val="24"/>
        </w:rPr>
      </w:pPr>
      <w:r>
        <w:rPr>
          <w:rFonts w:hint="eastAsia"/>
          <w:color w:val="auto"/>
          <w:szCs w:val="24"/>
        </w:rPr>
        <w:t>采取以上措施后，项目产生的固体废物均得到有效处置，不会对外环境造成二次污染。</w:t>
      </w:r>
    </w:p>
    <w:p w14:paraId="20D2E852">
      <w:pPr>
        <w:spacing w:line="360" w:lineRule="auto"/>
        <w:ind w:firstLine="480"/>
        <w:rPr>
          <w:color w:val="auto"/>
          <w:szCs w:val="24"/>
        </w:rPr>
      </w:pPr>
      <w:r>
        <w:rPr>
          <w:color w:val="auto"/>
          <w:szCs w:val="24"/>
        </w:rPr>
        <w:t>采取以上措施后，项目产生的危险废物、一般工业固体固废均可得到有效处理或处置，对周围环境影响较小</w:t>
      </w:r>
      <w:r>
        <w:rPr>
          <w:rFonts w:hint="eastAsia"/>
          <w:color w:val="auto"/>
          <w:szCs w:val="24"/>
        </w:rPr>
        <w:t>。</w:t>
      </w:r>
    </w:p>
    <w:p w14:paraId="0AABC626">
      <w:pPr>
        <w:spacing w:line="360" w:lineRule="auto"/>
        <w:ind w:firstLine="480"/>
        <w:rPr>
          <w:color w:val="auto"/>
        </w:rPr>
      </w:pPr>
      <w:r>
        <w:rPr>
          <w:rFonts w:hint="eastAsia"/>
          <w:color w:val="auto"/>
        </w:rPr>
        <w:t>（6）放射性废物管理规定相关要求：</w:t>
      </w:r>
    </w:p>
    <w:p w14:paraId="31DC9234">
      <w:pPr>
        <w:spacing w:line="360" w:lineRule="auto"/>
        <w:ind w:firstLine="480"/>
        <w:rPr>
          <w:color w:val="auto"/>
          <w:szCs w:val="24"/>
        </w:rPr>
      </w:pPr>
      <w:r>
        <w:rPr>
          <w:rFonts w:hint="eastAsia"/>
          <w:color w:val="auto"/>
        </w:rPr>
        <w:t>拟建项目废水处理过程中对水污染总α放射性和总β放射性进行去除，去除过程中产生的废膜、污泥和蒸发结晶盐应按《放射性废物分类》（公告 2017年第65号）和《放射性废物管理规定》（GB14500-2002）相关要求进行放射性活度或浓度活度检测，以判断是否属于放射性废物，</w:t>
      </w:r>
      <w:r>
        <w:rPr>
          <w:rFonts w:hint="eastAsia"/>
          <w:color w:val="auto"/>
          <w:lang w:eastAsia="zh-CN"/>
        </w:rPr>
        <w:t>如属于</w:t>
      </w:r>
      <w:r>
        <w:rPr>
          <w:rFonts w:hint="eastAsia"/>
          <w:color w:val="auto"/>
        </w:rPr>
        <w:t>放射性废物</w:t>
      </w:r>
      <w:r>
        <w:rPr>
          <w:rFonts w:hint="eastAsia"/>
          <w:color w:val="auto"/>
          <w:lang w:eastAsia="zh-CN"/>
        </w:rPr>
        <w:t>，则按</w:t>
      </w:r>
      <w:r>
        <w:rPr>
          <w:rFonts w:hint="eastAsia"/>
          <w:color w:val="auto"/>
        </w:rPr>
        <w:t>放射性废物</w:t>
      </w:r>
      <w:r>
        <w:rPr>
          <w:rFonts w:hint="eastAsia"/>
          <w:color w:val="auto"/>
          <w:lang w:eastAsia="zh-CN"/>
        </w:rPr>
        <w:t>进行管理；如不属于</w:t>
      </w:r>
      <w:r>
        <w:rPr>
          <w:rFonts w:hint="eastAsia"/>
          <w:color w:val="auto"/>
        </w:rPr>
        <w:t>放射性废物</w:t>
      </w:r>
      <w:r>
        <w:rPr>
          <w:rFonts w:hint="eastAsia"/>
          <w:color w:val="auto"/>
          <w:lang w:eastAsia="zh-CN"/>
        </w:rPr>
        <w:t>，则</w:t>
      </w:r>
      <w:r>
        <w:rPr>
          <w:rFonts w:hint="eastAsia"/>
          <w:color w:val="auto"/>
        </w:rPr>
        <w:t>废膜、</w:t>
      </w:r>
      <w:r>
        <w:rPr>
          <w:rFonts w:hint="eastAsia"/>
          <w:color w:val="auto"/>
          <w:lang w:eastAsia="zh-CN"/>
        </w:rPr>
        <w:t>按危险废物相关要求进行管理，</w:t>
      </w:r>
      <w:r>
        <w:rPr>
          <w:rFonts w:hint="eastAsia"/>
          <w:color w:val="auto"/>
        </w:rPr>
        <w:t>污泥和蒸发结晶盐</w:t>
      </w:r>
      <w:r>
        <w:rPr>
          <w:rFonts w:hint="eastAsia"/>
          <w:color w:val="auto"/>
          <w:lang w:eastAsia="zh-CN"/>
        </w:rPr>
        <w:t>根据危险特性鉴别结果按危险废物一般工业固废进行管理</w:t>
      </w:r>
      <w:r>
        <w:rPr>
          <w:rFonts w:hint="eastAsia"/>
          <w:color w:val="auto"/>
        </w:rPr>
        <w:t>。</w:t>
      </w:r>
    </w:p>
    <w:p w14:paraId="130F8D09">
      <w:pPr>
        <w:spacing w:line="360" w:lineRule="auto"/>
        <w:ind w:firstLine="480"/>
        <w:rPr>
          <w:color w:val="auto"/>
          <w:szCs w:val="24"/>
        </w:rPr>
      </w:pPr>
      <w:r>
        <w:rPr>
          <w:rFonts w:hint="eastAsia"/>
          <w:color w:val="auto"/>
          <w:szCs w:val="24"/>
          <w:lang w:bidi="ar"/>
        </w:rPr>
        <w:t>（7）</w:t>
      </w:r>
      <w:r>
        <w:rPr>
          <w:rFonts w:hint="eastAsia" w:cs="宋体"/>
          <w:color w:val="auto"/>
          <w:szCs w:val="24"/>
          <w:lang w:bidi="ar"/>
        </w:rPr>
        <w:t>落实《关于推进污水处理减污降碳协同增效的实施意见》（发改环资〔</w:t>
      </w:r>
      <w:r>
        <w:rPr>
          <w:color w:val="auto"/>
          <w:szCs w:val="24"/>
          <w:lang w:bidi="ar"/>
        </w:rPr>
        <w:t>2023</w:t>
      </w:r>
      <w:r>
        <w:rPr>
          <w:rFonts w:hint="eastAsia" w:cs="宋体"/>
          <w:color w:val="auto"/>
          <w:szCs w:val="24"/>
          <w:lang w:bidi="ar"/>
        </w:rPr>
        <w:t>〕</w:t>
      </w:r>
      <w:r>
        <w:rPr>
          <w:color w:val="auto"/>
          <w:szCs w:val="24"/>
          <w:lang w:bidi="ar"/>
        </w:rPr>
        <w:t>1714</w:t>
      </w:r>
      <w:r>
        <w:rPr>
          <w:rFonts w:hint="eastAsia" w:cs="宋体"/>
          <w:color w:val="auto"/>
          <w:szCs w:val="24"/>
          <w:lang w:bidi="ar"/>
        </w:rPr>
        <w:t>号）相关要求</w:t>
      </w:r>
    </w:p>
    <w:p w14:paraId="7E81730C">
      <w:pPr>
        <w:spacing w:line="360" w:lineRule="auto"/>
        <w:ind w:firstLine="480"/>
        <w:rPr>
          <w:color w:val="auto"/>
          <w:szCs w:val="24"/>
        </w:rPr>
      </w:pPr>
      <w:r>
        <w:rPr>
          <w:rFonts w:hint="eastAsia" w:cs="宋体"/>
          <w:color w:val="auto"/>
          <w:szCs w:val="24"/>
          <w:lang w:bidi="ar"/>
        </w:rPr>
        <w:t>根据《关于推进污水处理减污降碳协同增效的实施意见》（发改环资〔</w:t>
      </w:r>
      <w:r>
        <w:rPr>
          <w:color w:val="auto"/>
          <w:szCs w:val="24"/>
          <w:lang w:bidi="ar"/>
        </w:rPr>
        <w:t>2023</w:t>
      </w:r>
      <w:r>
        <w:rPr>
          <w:rFonts w:hint="eastAsia" w:cs="宋体"/>
          <w:color w:val="auto"/>
          <w:szCs w:val="24"/>
          <w:lang w:bidi="ar"/>
        </w:rPr>
        <w:t>〕</w:t>
      </w:r>
      <w:r>
        <w:rPr>
          <w:color w:val="auto"/>
          <w:szCs w:val="24"/>
          <w:lang w:bidi="ar"/>
        </w:rPr>
        <w:t>1714</w:t>
      </w:r>
      <w:r>
        <w:rPr>
          <w:rFonts w:hint="eastAsia" w:cs="宋体"/>
          <w:color w:val="auto"/>
          <w:szCs w:val="24"/>
          <w:lang w:bidi="ar"/>
        </w:rPr>
        <w:t>号）“（七）推广低碳处理工艺。在污泥稳定化、无害化处置前提下，逐步压减污泥填埋规模，积极采用资源化利用等替代处理方案。</w:t>
      </w:r>
      <w:r>
        <w:rPr>
          <w:rFonts w:hint="eastAsia" w:ascii="宋体" w:hAnsi="宋体" w:cs="宋体"/>
          <w:color w:val="auto"/>
          <w:szCs w:val="24"/>
          <w:shd w:val="clear" w:color="auto" w:fill="FFFFFF"/>
          <w:lang w:bidi="ar"/>
        </w:rPr>
        <w:t>......</w:t>
      </w:r>
      <w:r>
        <w:rPr>
          <w:rFonts w:hint="eastAsia" w:cs="宋体"/>
          <w:color w:val="auto"/>
          <w:szCs w:val="24"/>
          <w:lang w:bidi="ar"/>
        </w:rPr>
        <w:t>可利用垃圾焚烧厂、火力发电厂、水泥窑等设施处理能力协同焚烧处置污泥。（八）加强能源资源回收利用。</w:t>
      </w:r>
      <w:r>
        <w:rPr>
          <w:rFonts w:hint="eastAsia" w:ascii="宋体" w:hAnsi="宋体" w:cs="宋体"/>
          <w:color w:val="auto"/>
          <w:szCs w:val="24"/>
          <w:shd w:val="clear" w:color="auto" w:fill="FFFFFF"/>
          <w:lang w:bidi="ar"/>
        </w:rPr>
        <w:t>......</w:t>
      </w:r>
      <w:r>
        <w:rPr>
          <w:rFonts w:hint="eastAsia" w:cs="宋体"/>
          <w:color w:val="auto"/>
          <w:szCs w:val="24"/>
          <w:lang w:bidi="ar"/>
        </w:rPr>
        <w:t>积极推广污泥土地利用，鼓励在满足相关标准和规范的前提下，将处理后的污泥作为肥料或土壤改良剂，</w:t>
      </w:r>
      <w:r>
        <w:rPr>
          <w:rFonts w:hint="eastAsia" w:ascii="宋体" w:hAnsi="宋体" w:cs="宋体"/>
          <w:color w:val="auto"/>
          <w:szCs w:val="24"/>
          <w:shd w:val="clear" w:color="auto" w:fill="FFFFFF"/>
          <w:lang w:bidi="ar"/>
        </w:rPr>
        <w:t>......</w:t>
      </w:r>
      <w:r>
        <w:rPr>
          <w:rFonts w:hint="eastAsia" w:cs="宋体"/>
          <w:color w:val="auto"/>
          <w:szCs w:val="24"/>
          <w:lang w:bidi="ar"/>
        </w:rPr>
        <w:t>推动污泥焚烧灰渣建材化和资源化利用”。</w:t>
      </w:r>
    </w:p>
    <w:p w14:paraId="5F565532">
      <w:pPr>
        <w:widowControl/>
        <w:ind w:firstLine="480"/>
        <w:jc w:val="left"/>
        <w:rPr>
          <w:color w:val="auto"/>
          <w:szCs w:val="24"/>
        </w:rPr>
      </w:pPr>
      <w:r>
        <w:rPr>
          <w:rFonts w:hint="eastAsia"/>
          <w:color w:val="auto"/>
          <w:szCs w:val="24"/>
          <w:lang w:bidi="ar"/>
        </w:rPr>
        <w:t>拟建项目废水处理产生污泥、蒸发结晶定期进行危险特性鉴别，根据鉴别结果按相关政策进行处置，鉴别前，按照危险废物从严管理，</w:t>
      </w:r>
      <w:r>
        <w:rPr>
          <w:rFonts w:hint="eastAsia"/>
          <w:color w:val="auto"/>
          <w:szCs w:val="24"/>
          <w:lang w:val="zh-CN" w:bidi="ar"/>
        </w:rPr>
        <w:t>如鉴别为危废，则按规定送危废资质单位处置；如鉴别为一般工业固废，则</w:t>
      </w:r>
      <w:r>
        <w:rPr>
          <w:rFonts w:hint="eastAsia"/>
          <w:color w:val="auto"/>
          <w:szCs w:val="24"/>
          <w:lang w:bidi="ar"/>
        </w:rPr>
        <w:t>交有处理条件的单位综合利用或处置，因此，拟建项目污泥污染防治措施落实了发改环资〔</w:t>
      </w:r>
      <w:r>
        <w:rPr>
          <w:color w:val="auto"/>
          <w:szCs w:val="24"/>
          <w:lang w:bidi="ar"/>
        </w:rPr>
        <w:t>2023</w:t>
      </w:r>
      <w:r>
        <w:rPr>
          <w:rFonts w:hint="eastAsia"/>
          <w:color w:val="auto"/>
          <w:szCs w:val="24"/>
          <w:lang w:bidi="ar"/>
        </w:rPr>
        <w:t>〕</w:t>
      </w:r>
      <w:r>
        <w:rPr>
          <w:color w:val="auto"/>
          <w:szCs w:val="24"/>
          <w:lang w:bidi="ar"/>
        </w:rPr>
        <w:t>1714</w:t>
      </w:r>
      <w:r>
        <w:rPr>
          <w:rFonts w:hint="eastAsia"/>
          <w:color w:val="auto"/>
          <w:szCs w:val="24"/>
          <w:lang w:bidi="ar"/>
        </w:rPr>
        <w:t>号的相关要求</w:t>
      </w:r>
      <w:r>
        <w:rPr>
          <w:color w:val="auto"/>
          <w:szCs w:val="24"/>
        </w:rPr>
        <w:t>。</w:t>
      </w:r>
    </w:p>
    <w:p w14:paraId="00F7EE65">
      <w:pPr>
        <w:pStyle w:val="5"/>
        <w:numPr>
          <w:ilvl w:val="0"/>
          <w:numId w:val="0"/>
        </w:numPr>
        <w:spacing w:line="360" w:lineRule="auto"/>
        <w:rPr>
          <w:color w:val="auto"/>
          <w:szCs w:val="24"/>
        </w:rPr>
      </w:pPr>
      <w:r>
        <w:rPr>
          <w:color w:val="auto"/>
          <w:szCs w:val="24"/>
        </w:rPr>
        <w:t>8.2.6土壤</w:t>
      </w:r>
      <w:r>
        <w:rPr>
          <w:rFonts w:hint="eastAsia"/>
          <w:color w:val="auto"/>
          <w:szCs w:val="24"/>
        </w:rPr>
        <w:t>污染防治措施</w:t>
      </w:r>
    </w:p>
    <w:p w14:paraId="72FA6B3D">
      <w:pPr>
        <w:spacing w:line="360" w:lineRule="auto"/>
        <w:ind w:firstLine="480"/>
        <w:rPr>
          <w:color w:val="auto"/>
        </w:rPr>
      </w:pPr>
      <w:r>
        <w:rPr>
          <w:rFonts w:hint="eastAsia"/>
          <w:color w:val="auto"/>
        </w:rPr>
        <w:t>（1）企业化学品存放在加药间内，加药间采取了重点防渗措施，各液体化学品均采用罐装，且化学品储罐设置有围堰。</w:t>
      </w:r>
    </w:p>
    <w:p w14:paraId="7D5DB4F6">
      <w:pPr>
        <w:spacing w:line="360" w:lineRule="auto"/>
        <w:ind w:firstLine="480"/>
        <w:rPr>
          <w:color w:val="auto"/>
        </w:rPr>
      </w:pPr>
      <w:r>
        <w:rPr>
          <w:rFonts w:hint="eastAsia"/>
          <w:color w:val="auto"/>
        </w:rPr>
        <w:t>（2）拟建项目按照</w:t>
      </w:r>
      <w:r>
        <w:rPr>
          <w:color w:val="auto"/>
        </w:rPr>
        <w:t>《环境影响评价技术导则地下水环境》（HJ610-2016）</w:t>
      </w:r>
      <w:r>
        <w:rPr>
          <w:rFonts w:hint="eastAsia"/>
          <w:color w:val="auto"/>
        </w:rPr>
        <w:t>中的要求，根据场地特性和项目特征，制定分区防渗措施。在全面落实分区防渗措施的情况下，避免物料或污染物的垂直入渗对土壤造成不利影响。</w:t>
      </w:r>
    </w:p>
    <w:p w14:paraId="5420808D">
      <w:pPr>
        <w:spacing w:line="360" w:lineRule="auto"/>
        <w:ind w:firstLine="480"/>
        <w:rPr>
          <w:color w:val="auto"/>
          <w:szCs w:val="24"/>
        </w:rPr>
      </w:pPr>
      <w:r>
        <w:rPr>
          <w:rFonts w:hint="eastAsia"/>
          <w:color w:val="auto"/>
          <w:szCs w:val="24"/>
        </w:rPr>
        <w:t>（3）</w:t>
      </w:r>
      <w:r>
        <w:rPr>
          <w:rFonts w:hint="eastAsia"/>
          <w:color w:val="auto"/>
          <w:szCs w:val="24"/>
          <w:lang w:eastAsia="zh-CN"/>
        </w:rPr>
        <w:t>拟</w:t>
      </w:r>
      <w:r>
        <w:rPr>
          <w:rFonts w:hint="eastAsia"/>
          <w:color w:val="auto"/>
          <w:szCs w:val="24"/>
        </w:rPr>
        <w:t>建项目</w:t>
      </w:r>
      <w:r>
        <w:rPr>
          <w:color w:val="auto"/>
          <w:szCs w:val="24"/>
        </w:rPr>
        <w:t>营运期产生的固体废物在厂内一般固废间</w:t>
      </w:r>
      <w:r>
        <w:rPr>
          <w:rFonts w:hint="eastAsia"/>
          <w:color w:val="auto"/>
          <w:szCs w:val="24"/>
        </w:rPr>
        <w:t>或危险废物暂存间</w:t>
      </w:r>
      <w:r>
        <w:rPr>
          <w:color w:val="auto"/>
          <w:szCs w:val="24"/>
        </w:rPr>
        <w:t>暂存后统一处理处置，不外排，</w:t>
      </w:r>
      <w:r>
        <w:rPr>
          <w:rFonts w:hint="eastAsia"/>
          <w:color w:val="auto"/>
          <w:szCs w:val="24"/>
        </w:rPr>
        <w:t>固废暂存场所均采取了相应防渗措施，且危废贮存库内设置有导流沟及收集池</w:t>
      </w:r>
      <w:r>
        <w:rPr>
          <w:color w:val="auto"/>
          <w:szCs w:val="24"/>
        </w:rPr>
        <w:t>；同时对厂内污水</w:t>
      </w:r>
      <w:r>
        <w:rPr>
          <w:rFonts w:hint="eastAsia"/>
          <w:color w:val="auto"/>
          <w:szCs w:val="24"/>
        </w:rPr>
        <w:t>处理设施各构筑物</w:t>
      </w:r>
      <w:r>
        <w:rPr>
          <w:color w:val="auto"/>
          <w:szCs w:val="24"/>
        </w:rPr>
        <w:t>均采取了防腐、防渗措施，可有效的防止废水渗透到地下污染土壤。</w:t>
      </w:r>
    </w:p>
    <w:p w14:paraId="244840C8">
      <w:pPr>
        <w:spacing w:line="360" w:lineRule="auto"/>
        <w:ind w:firstLine="480"/>
        <w:rPr>
          <w:color w:val="auto"/>
          <w:szCs w:val="24"/>
        </w:rPr>
      </w:pPr>
      <w:r>
        <w:rPr>
          <w:rFonts w:hint="eastAsia"/>
          <w:color w:val="auto"/>
          <w:szCs w:val="24"/>
        </w:rPr>
        <w:t>综上，拟建项目采取以上环保措施后，对土壤环境影响可接受。</w:t>
      </w:r>
    </w:p>
    <w:p w14:paraId="3CC140BF">
      <w:pPr>
        <w:pStyle w:val="5"/>
        <w:numPr>
          <w:ilvl w:val="0"/>
          <w:numId w:val="0"/>
        </w:numPr>
        <w:spacing w:line="360" w:lineRule="auto"/>
        <w:rPr>
          <w:color w:val="auto"/>
          <w:szCs w:val="24"/>
        </w:rPr>
      </w:pPr>
      <w:r>
        <w:rPr>
          <w:color w:val="auto"/>
          <w:szCs w:val="24"/>
        </w:rPr>
        <w:t>8.2.7</w:t>
      </w:r>
      <w:r>
        <w:rPr>
          <w:rFonts w:hint="eastAsia"/>
          <w:color w:val="auto"/>
          <w:szCs w:val="24"/>
        </w:rPr>
        <w:t>环境风险防范措施</w:t>
      </w:r>
    </w:p>
    <w:p w14:paraId="77C3D3C8">
      <w:pPr>
        <w:pStyle w:val="2081"/>
        <w:adjustRightInd w:val="0"/>
        <w:snapToGrid w:val="0"/>
        <w:spacing w:line="360" w:lineRule="auto"/>
        <w:ind w:firstLine="480"/>
        <w:rPr>
          <w:color w:val="auto"/>
          <w:sz w:val="24"/>
          <w:szCs w:val="24"/>
        </w:rPr>
      </w:pPr>
      <w:bookmarkStart w:id="337" w:name="_Toc385832783"/>
      <w:r>
        <w:rPr>
          <w:rFonts w:hint="eastAsia"/>
          <w:color w:val="auto"/>
          <w:sz w:val="24"/>
          <w:szCs w:val="24"/>
        </w:rPr>
        <w:t>（1）设置备用电源，当一个电源发生故障时，另一个电源应立即自动或手动投入使用。</w:t>
      </w:r>
    </w:p>
    <w:p w14:paraId="64724CAD">
      <w:pPr>
        <w:pStyle w:val="2081"/>
        <w:adjustRightInd w:val="0"/>
        <w:snapToGrid w:val="0"/>
        <w:spacing w:line="360" w:lineRule="auto"/>
        <w:ind w:firstLine="480"/>
        <w:rPr>
          <w:color w:val="auto"/>
          <w:sz w:val="24"/>
          <w:szCs w:val="24"/>
        </w:rPr>
      </w:pPr>
      <w:r>
        <w:rPr>
          <w:rFonts w:hint="eastAsia"/>
          <w:color w:val="auto"/>
          <w:sz w:val="24"/>
          <w:szCs w:val="24"/>
        </w:rPr>
        <w:t>（2）为使在事故状态下污水处理厂能够迅速恢复正常运行，应在主要水工建筑物的容积上留有相应的缓冲能力，并配有相应的设备（如回流泵、回流管道、阀门及仪表等）。</w:t>
      </w:r>
    </w:p>
    <w:p w14:paraId="579BDD74">
      <w:pPr>
        <w:pStyle w:val="2081"/>
        <w:adjustRightInd w:val="0"/>
        <w:snapToGrid w:val="0"/>
        <w:spacing w:line="360" w:lineRule="auto"/>
        <w:ind w:firstLine="480"/>
        <w:rPr>
          <w:color w:val="auto"/>
          <w:sz w:val="24"/>
          <w:szCs w:val="24"/>
        </w:rPr>
      </w:pPr>
      <w:r>
        <w:rPr>
          <w:rFonts w:hint="eastAsia"/>
          <w:color w:val="auto"/>
          <w:sz w:val="24"/>
          <w:szCs w:val="24"/>
        </w:rPr>
        <w:t>（3）选用优质设备，对污水处理厂各种机械电器、仪表等设备，必须选择质量优良、事故率低、便于维修的产品。关键设备应一备一用，易损部件要有备用件，在出现事故时能及时更换。</w:t>
      </w:r>
    </w:p>
    <w:p w14:paraId="4BEA3076">
      <w:pPr>
        <w:pStyle w:val="2081"/>
        <w:adjustRightInd w:val="0"/>
        <w:snapToGrid w:val="0"/>
        <w:spacing w:line="360" w:lineRule="auto"/>
        <w:ind w:firstLine="480"/>
        <w:rPr>
          <w:color w:val="auto"/>
          <w:sz w:val="24"/>
          <w:szCs w:val="24"/>
        </w:rPr>
      </w:pPr>
      <w:r>
        <w:rPr>
          <w:rFonts w:hint="eastAsia"/>
          <w:color w:val="auto"/>
          <w:sz w:val="24"/>
          <w:szCs w:val="24"/>
        </w:rPr>
        <w:t>（4）加强事故苗头监控，定期巡检、调节、保养、维修。及时发现有可能引起事故的异常运行苗头，消除事故隐患。</w:t>
      </w:r>
    </w:p>
    <w:p w14:paraId="2D8061CE">
      <w:pPr>
        <w:pStyle w:val="2081"/>
        <w:adjustRightInd w:val="0"/>
        <w:snapToGrid w:val="0"/>
        <w:spacing w:line="360" w:lineRule="auto"/>
        <w:ind w:firstLine="480"/>
        <w:rPr>
          <w:color w:val="auto"/>
          <w:sz w:val="24"/>
          <w:szCs w:val="24"/>
        </w:rPr>
      </w:pPr>
      <w:r>
        <w:rPr>
          <w:rFonts w:hint="eastAsia"/>
          <w:color w:val="auto"/>
          <w:sz w:val="24"/>
          <w:szCs w:val="24"/>
        </w:rPr>
        <w:t>（5）严格控制处理单元的水量、水质、停留时间、负荷强度等工艺参数，确保处理效果的稳定性。配备监控仪器，定期取样监测。操作人员及时调整，使设备处于最佳工况。如发现异常现象，就需立即采取预防措施。</w:t>
      </w:r>
    </w:p>
    <w:p w14:paraId="06F79E5F">
      <w:pPr>
        <w:pStyle w:val="2081"/>
        <w:adjustRightInd w:val="0"/>
        <w:snapToGrid w:val="0"/>
        <w:spacing w:line="360" w:lineRule="auto"/>
        <w:ind w:firstLine="480"/>
        <w:rPr>
          <w:color w:val="auto"/>
          <w:sz w:val="24"/>
          <w:szCs w:val="24"/>
        </w:rPr>
      </w:pPr>
      <w:r>
        <w:rPr>
          <w:rFonts w:hint="eastAsia"/>
          <w:color w:val="auto"/>
          <w:sz w:val="24"/>
          <w:szCs w:val="24"/>
        </w:rPr>
        <w:t>（6）对新开油气田采出水进行监测，对现有井可定期检测，调节进水水质，防止来水产生较大波动。</w:t>
      </w:r>
    </w:p>
    <w:p w14:paraId="000B9A5F">
      <w:pPr>
        <w:pStyle w:val="2081"/>
        <w:adjustRightInd w:val="0"/>
        <w:snapToGrid w:val="0"/>
        <w:spacing w:line="360" w:lineRule="auto"/>
        <w:ind w:firstLine="480"/>
        <w:rPr>
          <w:color w:val="auto"/>
          <w:sz w:val="24"/>
          <w:szCs w:val="24"/>
        </w:rPr>
      </w:pPr>
      <w:r>
        <w:rPr>
          <w:rFonts w:hint="eastAsia"/>
          <w:color w:val="auto"/>
          <w:sz w:val="24"/>
          <w:szCs w:val="24"/>
        </w:rPr>
        <w:t>（7）设置出水水质自动监测装置及报警装置，设置出厂污水截断装置，加强运行管理，当事故发生后，及时发现不良水质进入污水处理系统，立即截断污水出厂，杜绝事故排放。</w:t>
      </w:r>
    </w:p>
    <w:p w14:paraId="237F2123">
      <w:pPr>
        <w:pStyle w:val="2081"/>
        <w:adjustRightInd w:val="0"/>
        <w:snapToGrid w:val="0"/>
        <w:spacing w:line="360" w:lineRule="auto"/>
        <w:ind w:firstLine="480"/>
        <w:rPr>
          <w:color w:val="auto"/>
          <w:sz w:val="24"/>
          <w:szCs w:val="24"/>
        </w:rPr>
      </w:pPr>
      <w:r>
        <w:rPr>
          <w:rFonts w:hint="eastAsia"/>
          <w:color w:val="auto"/>
          <w:sz w:val="24"/>
          <w:szCs w:val="24"/>
        </w:rPr>
        <w:t>（8）建立废水处理厂运行管理和操作责任制度；聘请有经验的专业技术人员负责厂内的技术管理工作。</w:t>
      </w:r>
    </w:p>
    <w:p w14:paraId="31CDA713">
      <w:pPr>
        <w:pStyle w:val="2081"/>
        <w:adjustRightInd w:val="0"/>
        <w:snapToGrid w:val="0"/>
        <w:spacing w:line="360" w:lineRule="auto"/>
        <w:ind w:firstLine="480"/>
        <w:rPr>
          <w:color w:val="auto"/>
          <w:sz w:val="24"/>
          <w:szCs w:val="24"/>
        </w:rPr>
      </w:pPr>
      <w:r>
        <w:rPr>
          <w:rFonts w:hint="eastAsia"/>
          <w:color w:val="auto"/>
          <w:sz w:val="24"/>
          <w:szCs w:val="24"/>
        </w:rPr>
        <w:t>（9）对产生的污泥做到及时、妥善处置。</w:t>
      </w:r>
    </w:p>
    <w:p w14:paraId="257971D2">
      <w:pPr>
        <w:pStyle w:val="2081"/>
        <w:adjustRightInd w:val="0"/>
        <w:snapToGrid w:val="0"/>
        <w:spacing w:line="360" w:lineRule="auto"/>
        <w:ind w:firstLine="480"/>
        <w:rPr>
          <w:color w:val="auto"/>
          <w:sz w:val="24"/>
          <w:szCs w:val="24"/>
        </w:rPr>
      </w:pPr>
      <w:r>
        <w:rPr>
          <w:rFonts w:hint="eastAsia"/>
          <w:color w:val="auto"/>
          <w:sz w:val="24"/>
          <w:szCs w:val="24"/>
        </w:rPr>
        <w:t>（1</w:t>
      </w:r>
      <w:r>
        <w:rPr>
          <w:color w:val="auto"/>
          <w:sz w:val="24"/>
          <w:szCs w:val="24"/>
        </w:rPr>
        <w:t>0</w:t>
      </w:r>
      <w:r>
        <w:rPr>
          <w:rFonts w:hint="eastAsia"/>
          <w:color w:val="auto"/>
          <w:sz w:val="24"/>
          <w:szCs w:val="24"/>
        </w:rPr>
        <w:t>）发生污水处理厂停运事故时，应立即通知园区污水处理厂，同时暂停接收废水入厂，并将未处理完成废水导入事故池内，待污水处理系统恢复正常使用后，再将事故池中的污水引到污水处理系统处理达标后综合利用或外排，防止废水事故性风险排放。要有畅通的信息交流管道，建立</w:t>
      </w:r>
      <w:r>
        <w:rPr>
          <w:rFonts w:hint="eastAsia"/>
          <w:color w:val="auto"/>
          <w:sz w:val="24"/>
          <w:szCs w:val="24"/>
          <w:lang w:eastAsia="zh-CN"/>
        </w:rPr>
        <w:t>污水处理厂</w:t>
      </w:r>
      <w:r>
        <w:rPr>
          <w:rFonts w:hint="eastAsia"/>
          <w:color w:val="auto"/>
          <w:sz w:val="24"/>
          <w:szCs w:val="24"/>
        </w:rPr>
        <w:t>的事故报告制度。</w:t>
      </w:r>
    </w:p>
    <w:p w14:paraId="2957D923">
      <w:pPr>
        <w:pStyle w:val="2081"/>
        <w:adjustRightInd w:val="0"/>
        <w:snapToGrid w:val="0"/>
        <w:spacing w:line="360" w:lineRule="auto"/>
        <w:ind w:firstLine="480"/>
        <w:rPr>
          <w:color w:val="auto"/>
          <w:sz w:val="24"/>
          <w:szCs w:val="24"/>
        </w:rPr>
      </w:pPr>
      <w:r>
        <w:rPr>
          <w:rFonts w:hint="eastAsia"/>
          <w:color w:val="auto"/>
          <w:sz w:val="24"/>
          <w:szCs w:val="24"/>
        </w:rPr>
        <w:t>（1</w:t>
      </w:r>
      <w:r>
        <w:rPr>
          <w:color w:val="auto"/>
          <w:sz w:val="24"/>
          <w:szCs w:val="24"/>
        </w:rPr>
        <w:t>1</w:t>
      </w:r>
      <w:r>
        <w:rPr>
          <w:rFonts w:hint="eastAsia"/>
          <w:color w:val="auto"/>
          <w:sz w:val="24"/>
          <w:szCs w:val="24"/>
        </w:rPr>
        <w:t>）当</w:t>
      </w:r>
      <w:r>
        <w:rPr>
          <w:rFonts w:hint="eastAsia"/>
          <w:color w:val="auto"/>
          <w:sz w:val="24"/>
          <w:szCs w:val="24"/>
          <w:lang w:val="zh-CN"/>
        </w:rPr>
        <w:t>进水水质超负荷时，或运行中某个池运行欠佳或事故时，或</w:t>
      </w:r>
      <w:r>
        <w:rPr>
          <w:rFonts w:hint="eastAsia"/>
          <w:color w:val="auto"/>
          <w:sz w:val="24"/>
          <w:szCs w:val="24"/>
        </w:rPr>
        <w:t>出水渠在线监测系统显示出水超标时，均通过各处切换阀或应急泵将废水切入事故池。具体切换方式为：事故下的不达标尾水，通过排放监测池的出口管道的切换阀门，切换进入事故池。运行中某个池运行欠佳事故时的废水，在该系统后的中间池设置切换阀门切换进入事故池。为避免事故状况下废水超标排放，拟建项目将现有应急池改建为废水处理工艺用池，新建1座地埋式事故池，有效容积不低于</w:t>
      </w:r>
      <w:r>
        <w:rPr>
          <w:rFonts w:hint="eastAsia"/>
          <w:color w:val="auto"/>
          <w:sz w:val="24"/>
          <w:szCs w:val="24"/>
          <w:lang w:val="en-US" w:eastAsia="zh-CN"/>
        </w:rPr>
        <w:t>1</w:t>
      </w:r>
      <w:r>
        <w:rPr>
          <w:rFonts w:hint="eastAsia"/>
          <w:color w:val="auto"/>
          <w:sz w:val="24"/>
          <w:szCs w:val="24"/>
        </w:rPr>
        <w:t>000m</w:t>
      </w:r>
      <w:r>
        <w:rPr>
          <w:rFonts w:hint="eastAsia"/>
          <w:color w:val="auto"/>
          <w:sz w:val="24"/>
          <w:szCs w:val="24"/>
          <w:vertAlign w:val="superscript"/>
        </w:rPr>
        <w:t>3</w:t>
      </w:r>
      <w:r>
        <w:rPr>
          <w:rFonts w:hint="eastAsia"/>
          <w:color w:val="auto"/>
          <w:sz w:val="24"/>
          <w:szCs w:val="24"/>
        </w:rPr>
        <w:t>，因此，事故池规模设计合理可行。</w:t>
      </w:r>
    </w:p>
    <w:p w14:paraId="57F004EF">
      <w:pPr>
        <w:pStyle w:val="2081"/>
        <w:adjustRightInd w:val="0"/>
        <w:snapToGrid w:val="0"/>
        <w:spacing w:line="360" w:lineRule="auto"/>
        <w:ind w:firstLine="480"/>
        <w:rPr>
          <w:color w:val="auto"/>
          <w:sz w:val="24"/>
          <w:szCs w:val="24"/>
        </w:rPr>
      </w:pPr>
      <w:r>
        <w:rPr>
          <w:rFonts w:hint="eastAsia"/>
          <w:color w:val="auto"/>
          <w:sz w:val="24"/>
          <w:szCs w:val="24"/>
        </w:rPr>
        <w:t>（1</w:t>
      </w:r>
      <w:r>
        <w:rPr>
          <w:color w:val="auto"/>
          <w:sz w:val="24"/>
          <w:szCs w:val="24"/>
        </w:rPr>
        <w:t>2</w:t>
      </w:r>
      <w:r>
        <w:rPr>
          <w:rFonts w:hint="eastAsia"/>
          <w:color w:val="auto"/>
          <w:sz w:val="24"/>
          <w:szCs w:val="24"/>
        </w:rPr>
        <w:t>）应加强污水处理厂废气治理设施管理和维护，降低污水处理厂产生的废气对区域大气环境的影响。同时，卫生防护距离内不得新增大气环境敏感保护目标。</w:t>
      </w:r>
    </w:p>
    <w:p w14:paraId="26EA895E">
      <w:pPr>
        <w:pStyle w:val="2081"/>
        <w:adjustRightInd w:val="0"/>
        <w:snapToGrid w:val="0"/>
        <w:spacing w:line="360" w:lineRule="auto"/>
        <w:ind w:firstLine="480"/>
        <w:rPr>
          <w:color w:val="auto"/>
          <w:sz w:val="24"/>
          <w:szCs w:val="24"/>
        </w:rPr>
      </w:pPr>
      <w:r>
        <w:rPr>
          <w:rFonts w:hint="eastAsia"/>
          <w:color w:val="auto"/>
          <w:sz w:val="24"/>
          <w:szCs w:val="24"/>
        </w:rPr>
        <w:t>（1</w:t>
      </w:r>
      <w:r>
        <w:rPr>
          <w:color w:val="auto"/>
          <w:sz w:val="24"/>
          <w:szCs w:val="24"/>
        </w:rPr>
        <w:t>3</w:t>
      </w:r>
      <w:r>
        <w:rPr>
          <w:rFonts w:hint="eastAsia"/>
          <w:color w:val="auto"/>
          <w:sz w:val="24"/>
          <w:szCs w:val="24"/>
        </w:rPr>
        <w:t>）加药间内按照使用量配置贮存量，尽量减少不必要的贮存；</w:t>
      </w:r>
      <w:r>
        <w:rPr>
          <w:rFonts w:hint="eastAsia"/>
          <w:color w:val="auto"/>
        </w:rPr>
        <w:t>加药间</w:t>
      </w:r>
      <w:r>
        <w:rPr>
          <w:rFonts w:hint="eastAsia"/>
          <w:color w:val="auto"/>
          <w:sz w:val="24"/>
          <w:szCs w:val="24"/>
        </w:rPr>
        <w:t>应有截留围堰措施，地面做好防腐防渗，防止泄漏化学品流出；装卸化学品做好个人防护；操作加药等装置设备的人员要做好上岗前培训工作；</w:t>
      </w:r>
    </w:p>
    <w:p w14:paraId="3195060C">
      <w:pPr>
        <w:pStyle w:val="2081"/>
        <w:adjustRightInd w:val="0"/>
        <w:snapToGrid w:val="0"/>
        <w:spacing w:line="360" w:lineRule="auto"/>
        <w:ind w:firstLine="480"/>
        <w:rPr>
          <w:color w:val="auto"/>
          <w:sz w:val="24"/>
          <w:szCs w:val="24"/>
        </w:rPr>
      </w:pPr>
      <w:r>
        <w:rPr>
          <w:rFonts w:hint="eastAsia"/>
          <w:color w:val="auto"/>
          <w:sz w:val="24"/>
          <w:szCs w:val="24"/>
        </w:rPr>
        <w:t>（1</w:t>
      </w:r>
      <w:r>
        <w:rPr>
          <w:color w:val="auto"/>
          <w:sz w:val="24"/>
          <w:szCs w:val="24"/>
        </w:rPr>
        <w:t>4</w:t>
      </w:r>
      <w:r>
        <w:rPr>
          <w:rFonts w:hint="eastAsia"/>
          <w:color w:val="auto"/>
          <w:sz w:val="24"/>
          <w:szCs w:val="24"/>
        </w:rPr>
        <w:t>）应严格按照地下水污染防治措施要求，对厂区进行防渗分区，并严格落实各区域的防渗措施。同时在运行过程中，加强日常检查工作，并对检查结果进行记录。</w:t>
      </w:r>
    </w:p>
    <w:p w14:paraId="3528A55E">
      <w:pPr>
        <w:pStyle w:val="2081"/>
        <w:adjustRightInd w:val="0"/>
        <w:snapToGrid w:val="0"/>
        <w:spacing w:line="360" w:lineRule="auto"/>
        <w:ind w:firstLine="480"/>
        <w:rPr>
          <w:color w:val="auto"/>
          <w:sz w:val="24"/>
          <w:szCs w:val="24"/>
        </w:rPr>
      </w:pPr>
      <w:r>
        <w:rPr>
          <w:rFonts w:hint="eastAsia"/>
          <w:color w:val="auto"/>
          <w:sz w:val="24"/>
          <w:szCs w:val="24"/>
        </w:rPr>
        <w:t>（1</w:t>
      </w:r>
      <w:r>
        <w:rPr>
          <w:color w:val="auto"/>
          <w:sz w:val="24"/>
          <w:szCs w:val="24"/>
        </w:rPr>
        <w:t>5</w:t>
      </w:r>
      <w:r>
        <w:rPr>
          <w:rFonts w:hint="eastAsia"/>
          <w:color w:val="auto"/>
          <w:sz w:val="24"/>
          <w:szCs w:val="24"/>
        </w:rPr>
        <w:t>）危废贮存库应按《危险废物贮存污染控制标准》（GB 18597—2023）相关要求建设，贮存间内设置导流沟及收集池。</w:t>
      </w:r>
    </w:p>
    <w:p w14:paraId="3A1B558F">
      <w:pPr>
        <w:pStyle w:val="2081"/>
        <w:adjustRightInd w:val="0"/>
        <w:snapToGrid w:val="0"/>
        <w:spacing w:line="360" w:lineRule="auto"/>
        <w:ind w:firstLine="480"/>
        <w:rPr>
          <w:color w:val="auto"/>
          <w:sz w:val="24"/>
          <w:szCs w:val="24"/>
        </w:rPr>
      </w:pPr>
      <w:r>
        <w:rPr>
          <w:rFonts w:hint="eastAsia"/>
          <w:color w:val="auto"/>
          <w:sz w:val="24"/>
          <w:szCs w:val="24"/>
        </w:rPr>
        <w:t>（1</w:t>
      </w:r>
      <w:r>
        <w:rPr>
          <w:color w:val="auto"/>
          <w:sz w:val="24"/>
          <w:szCs w:val="24"/>
        </w:rPr>
        <w:t>6</w:t>
      </w:r>
      <w:r>
        <w:rPr>
          <w:rFonts w:hint="eastAsia"/>
          <w:color w:val="auto"/>
          <w:sz w:val="24"/>
          <w:szCs w:val="24"/>
        </w:rPr>
        <w:t>）与园区建立联动机制，拟建项目事故池容量不能满足要求，启动园区事故池，将事故废水导入园区事故池，待污水处理设施系统正常后，将事故废水导入项目废水处理系统处理达标后综合利用或外排。</w:t>
      </w:r>
    </w:p>
    <w:p w14:paraId="591A09DA">
      <w:pPr>
        <w:pStyle w:val="2081"/>
        <w:adjustRightInd w:val="0"/>
        <w:snapToGrid w:val="0"/>
        <w:spacing w:line="360" w:lineRule="auto"/>
        <w:ind w:firstLine="480"/>
        <w:rPr>
          <w:color w:val="auto"/>
        </w:rPr>
      </w:pPr>
      <w:r>
        <w:rPr>
          <w:rFonts w:hint="eastAsia"/>
          <w:color w:val="auto"/>
          <w:sz w:val="24"/>
          <w:szCs w:val="24"/>
        </w:rPr>
        <w:t>（1</w:t>
      </w:r>
      <w:r>
        <w:rPr>
          <w:color w:val="auto"/>
          <w:sz w:val="24"/>
          <w:szCs w:val="24"/>
        </w:rPr>
        <w:t>7</w:t>
      </w:r>
      <w:r>
        <w:rPr>
          <w:rFonts w:hint="eastAsia"/>
          <w:color w:val="auto"/>
          <w:sz w:val="24"/>
          <w:szCs w:val="24"/>
        </w:rPr>
        <w:t>）污水处理厂运行前，企业应制定环境应急预案，明确环境风险防范措施，制定出详细的、内容</w:t>
      </w:r>
      <w:r>
        <w:rPr>
          <w:rFonts w:hint="eastAsia"/>
          <w:color w:val="auto"/>
          <w:sz w:val="24"/>
          <w:szCs w:val="24"/>
          <w:lang w:eastAsia="zh-CN"/>
        </w:rPr>
        <w:t>翔实</w:t>
      </w:r>
      <w:r>
        <w:rPr>
          <w:rFonts w:hint="eastAsia"/>
          <w:color w:val="auto"/>
          <w:sz w:val="24"/>
          <w:szCs w:val="24"/>
        </w:rPr>
        <w:t>、可操作性强的应急预案。</w:t>
      </w:r>
    </w:p>
    <w:p w14:paraId="07816ACC">
      <w:pPr>
        <w:pStyle w:val="4"/>
        <w:numPr>
          <w:ilvl w:val="0"/>
          <w:numId w:val="0"/>
        </w:numPr>
        <w:spacing w:line="360" w:lineRule="auto"/>
        <w:rPr>
          <w:color w:val="auto"/>
          <w:szCs w:val="24"/>
        </w:rPr>
      </w:pPr>
      <w:bookmarkStart w:id="338" w:name="_Toc9940"/>
      <w:r>
        <w:rPr>
          <w:color w:val="auto"/>
          <w:szCs w:val="24"/>
        </w:rPr>
        <w:t>8.3</w:t>
      </w:r>
      <w:r>
        <w:rPr>
          <w:rFonts w:hint="eastAsia"/>
          <w:color w:val="auto"/>
          <w:szCs w:val="24"/>
        </w:rPr>
        <w:t>环保措施及环保投资汇总</w:t>
      </w:r>
      <w:bookmarkEnd w:id="337"/>
      <w:bookmarkEnd w:id="338"/>
    </w:p>
    <w:p w14:paraId="4E9E6069">
      <w:pPr>
        <w:spacing w:line="360" w:lineRule="auto"/>
        <w:ind w:firstLine="480"/>
        <w:jc w:val="left"/>
        <w:rPr>
          <w:color w:val="auto"/>
        </w:rPr>
      </w:pPr>
      <w:r>
        <w:rPr>
          <w:rFonts w:hint="eastAsia"/>
          <w:color w:val="auto"/>
        </w:rPr>
        <w:t>拟建项目是环保工程，但本身也会对环境产生二次污染，需采取污染防治措施，工程总投资</w:t>
      </w:r>
      <w:r>
        <w:rPr>
          <w:rFonts w:hint="eastAsia"/>
          <w:color w:val="auto"/>
          <w:lang w:val="en-US" w:eastAsia="zh-CN"/>
        </w:rPr>
        <w:t>2000</w:t>
      </w:r>
      <w:r>
        <w:rPr>
          <w:color w:val="auto"/>
        </w:rPr>
        <w:t>万元</w:t>
      </w:r>
      <w:r>
        <w:rPr>
          <w:rFonts w:hint="eastAsia"/>
          <w:color w:val="auto"/>
        </w:rPr>
        <w:t>，其中二次环保投资约</w:t>
      </w:r>
      <w:r>
        <w:rPr>
          <w:rFonts w:hint="eastAsia"/>
          <w:color w:val="auto"/>
          <w:lang w:val="en-US" w:eastAsia="zh-CN"/>
        </w:rPr>
        <w:t>150</w:t>
      </w:r>
      <w:r>
        <w:rPr>
          <w:rFonts w:hint="eastAsia"/>
          <w:color w:val="auto"/>
        </w:rPr>
        <w:t>万元，占总投资的</w:t>
      </w:r>
      <w:r>
        <w:rPr>
          <w:rFonts w:hint="eastAsia"/>
          <w:color w:val="auto"/>
          <w:lang w:val="en-US" w:eastAsia="zh-CN"/>
        </w:rPr>
        <w:t>7.5</w:t>
      </w:r>
      <w:r>
        <w:rPr>
          <w:color w:val="auto"/>
        </w:rPr>
        <w:t>%</w:t>
      </w:r>
      <w:r>
        <w:rPr>
          <w:rFonts w:hint="eastAsia"/>
          <w:color w:val="auto"/>
        </w:rPr>
        <w:t>。</w:t>
      </w:r>
    </w:p>
    <w:p w14:paraId="7AF07CD0">
      <w:pPr>
        <w:spacing w:line="360" w:lineRule="auto"/>
        <w:ind w:firstLine="480"/>
        <w:rPr>
          <w:color w:val="auto"/>
        </w:rPr>
      </w:pPr>
      <w:r>
        <w:rPr>
          <w:rFonts w:hint="eastAsia"/>
          <w:color w:val="auto"/>
        </w:rPr>
        <w:t>环保措施及环保投资汇总见表</w:t>
      </w:r>
      <w:r>
        <w:rPr>
          <w:color w:val="auto"/>
        </w:rPr>
        <w:t>9.3-1</w:t>
      </w:r>
      <w:r>
        <w:rPr>
          <w:rFonts w:hint="eastAsia"/>
          <w:color w:val="auto"/>
        </w:rPr>
        <w:t>。</w:t>
      </w:r>
    </w:p>
    <w:p w14:paraId="05D8022B">
      <w:pPr>
        <w:pStyle w:val="185"/>
        <w:rPr>
          <w:color w:val="auto"/>
        </w:rPr>
      </w:pPr>
      <w:bookmarkStart w:id="339" w:name="_Ref499902280"/>
      <w:r>
        <w:rPr>
          <w:rFonts w:hint="eastAsia"/>
          <w:color w:val="auto"/>
        </w:rPr>
        <w:t>表</w:t>
      </w:r>
      <w:bookmarkEnd w:id="339"/>
      <w:r>
        <w:rPr>
          <w:color w:val="auto"/>
        </w:rPr>
        <w:t xml:space="preserve">8.3-1   </w:t>
      </w:r>
      <w:r>
        <w:rPr>
          <w:rFonts w:hint="eastAsia"/>
          <w:color w:val="auto"/>
        </w:rPr>
        <w:t>环保措施及环保投资汇总表</w:t>
      </w:r>
    </w:p>
    <w:tbl>
      <w:tblPr>
        <w:tblStyle w:val="88"/>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495"/>
        <w:gridCol w:w="1556"/>
        <w:gridCol w:w="5358"/>
        <w:gridCol w:w="1094"/>
      </w:tblGrid>
      <w:tr w14:paraId="4D325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3" w:type="dxa"/>
            <w:tcBorders>
              <w:top w:val="single" w:color="auto" w:sz="4" w:space="0"/>
              <w:left w:val="single" w:color="auto" w:sz="4" w:space="0"/>
              <w:bottom w:val="single" w:color="auto" w:sz="4" w:space="0"/>
              <w:right w:val="single" w:color="auto" w:sz="4" w:space="0"/>
            </w:tcBorders>
            <w:vAlign w:val="center"/>
          </w:tcPr>
          <w:p w14:paraId="743C561A">
            <w:pPr>
              <w:pStyle w:val="276"/>
              <w:rPr>
                <w:color w:val="auto"/>
              </w:rPr>
            </w:pPr>
            <w:r>
              <w:rPr>
                <w:rFonts w:hint="eastAsia"/>
                <w:color w:val="auto"/>
              </w:rPr>
              <w:t>类型</w:t>
            </w:r>
          </w:p>
        </w:tc>
        <w:tc>
          <w:tcPr>
            <w:tcW w:w="495" w:type="dxa"/>
            <w:tcBorders>
              <w:top w:val="single" w:color="auto" w:sz="4" w:space="0"/>
              <w:left w:val="single" w:color="auto" w:sz="4" w:space="0"/>
              <w:bottom w:val="single" w:color="auto" w:sz="4" w:space="0"/>
              <w:right w:val="single" w:color="auto" w:sz="4" w:space="0"/>
            </w:tcBorders>
            <w:vAlign w:val="center"/>
          </w:tcPr>
          <w:p w14:paraId="7494D13E">
            <w:pPr>
              <w:pStyle w:val="276"/>
              <w:rPr>
                <w:color w:val="auto"/>
              </w:rPr>
            </w:pPr>
            <w:r>
              <w:rPr>
                <w:rFonts w:hint="eastAsia"/>
                <w:color w:val="auto"/>
              </w:rPr>
              <w:t>序号</w:t>
            </w:r>
          </w:p>
        </w:tc>
        <w:tc>
          <w:tcPr>
            <w:tcW w:w="1556" w:type="dxa"/>
            <w:tcBorders>
              <w:top w:val="single" w:color="auto" w:sz="4" w:space="0"/>
              <w:left w:val="single" w:color="auto" w:sz="4" w:space="0"/>
              <w:bottom w:val="single" w:color="auto" w:sz="4" w:space="0"/>
              <w:right w:val="single" w:color="auto" w:sz="4" w:space="0"/>
            </w:tcBorders>
            <w:vAlign w:val="center"/>
          </w:tcPr>
          <w:p w14:paraId="6BFBF975">
            <w:pPr>
              <w:pStyle w:val="276"/>
              <w:rPr>
                <w:color w:val="auto"/>
              </w:rPr>
            </w:pPr>
            <w:r>
              <w:rPr>
                <w:rFonts w:hint="eastAsia"/>
                <w:color w:val="auto"/>
              </w:rPr>
              <w:t>治理项目</w:t>
            </w:r>
          </w:p>
        </w:tc>
        <w:tc>
          <w:tcPr>
            <w:tcW w:w="5358" w:type="dxa"/>
            <w:tcBorders>
              <w:top w:val="single" w:color="auto" w:sz="4" w:space="0"/>
              <w:left w:val="single" w:color="auto" w:sz="4" w:space="0"/>
              <w:bottom w:val="single" w:color="auto" w:sz="4" w:space="0"/>
              <w:right w:val="single" w:color="auto" w:sz="4" w:space="0"/>
            </w:tcBorders>
            <w:vAlign w:val="center"/>
          </w:tcPr>
          <w:p w14:paraId="491B5734">
            <w:pPr>
              <w:pStyle w:val="276"/>
              <w:rPr>
                <w:color w:val="auto"/>
              </w:rPr>
            </w:pPr>
            <w:r>
              <w:rPr>
                <w:rFonts w:hint="eastAsia"/>
                <w:color w:val="auto"/>
              </w:rPr>
              <w:t>治理措施</w:t>
            </w:r>
          </w:p>
        </w:tc>
        <w:tc>
          <w:tcPr>
            <w:tcW w:w="1094" w:type="dxa"/>
            <w:tcBorders>
              <w:top w:val="single" w:color="auto" w:sz="4" w:space="0"/>
              <w:left w:val="single" w:color="auto" w:sz="4" w:space="0"/>
              <w:bottom w:val="single" w:color="auto" w:sz="4" w:space="0"/>
              <w:right w:val="single" w:color="auto" w:sz="4" w:space="0"/>
            </w:tcBorders>
            <w:vAlign w:val="center"/>
          </w:tcPr>
          <w:p w14:paraId="68DC1F41">
            <w:pPr>
              <w:pStyle w:val="276"/>
              <w:rPr>
                <w:color w:val="auto"/>
              </w:rPr>
            </w:pPr>
            <w:r>
              <w:rPr>
                <w:rFonts w:hint="eastAsia"/>
                <w:color w:val="auto"/>
              </w:rPr>
              <w:t>环保投资（万元）</w:t>
            </w:r>
          </w:p>
        </w:tc>
      </w:tr>
      <w:tr w14:paraId="073E1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3" w:type="dxa"/>
            <w:vMerge w:val="restart"/>
            <w:tcBorders>
              <w:top w:val="single" w:color="auto" w:sz="4" w:space="0"/>
              <w:left w:val="single" w:color="auto" w:sz="4" w:space="0"/>
              <w:bottom w:val="single" w:color="auto" w:sz="4" w:space="0"/>
              <w:right w:val="single" w:color="auto" w:sz="4" w:space="0"/>
            </w:tcBorders>
            <w:vAlign w:val="center"/>
          </w:tcPr>
          <w:p w14:paraId="41933D66">
            <w:pPr>
              <w:pStyle w:val="276"/>
              <w:rPr>
                <w:color w:val="auto"/>
              </w:rPr>
            </w:pPr>
            <w:r>
              <w:rPr>
                <w:rFonts w:hint="eastAsia"/>
                <w:color w:val="auto"/>
              </w:rPr>
              <w:t>污水治理</w:t>
            </w:r>
          </w:p>
        </w:tc>
        <w:tc>
          <w:tcPr>
            <w:tcW w:w="495" w:type="dxa"/>
            <w:tcBorders>
              <w:top w:val="single" w:color="auto" w:sz="4" w:space="0"/>
              <w:left w:val="single" w:color="auto" w:sz="4" w:space="0"/>
              <w:bottom w:val="single" w:color="auto" w:sz="4" w:space="0"/>
              <w:right w:val="single" w:color="auto" w:sz="4" w:space="0"/>
            </w:tcBorders>
            <w:vAlign w:val="center"/>
          </w:tcPr>
          <w:p w14:paraId="12F5F591">
            <w:pPr>
              <w:pStyle w:val="276"/>
              <w:rPr>
                <w:color w:val="auto"/>
              </w:rPr>
            </w:pPr>
            <w:r>
              <w:rPr>
                <w:rFonts w:hint="eastAsia"/>
                <w:color w:val="auto"/>
              </w:rPr>
              <w:t>1</w:t>
            </w:r>
          </w:p>
        </w:tc>
        <w:tc>
          <w:tcPr>
            <w:tcW w:w="1556" w:type="dxa"/>
            <w:tcBorders>
              <w:top w:val="single" w:color="auto" w:sz="4" w:space="0"/>
              <w:left w:val="single" w:color="auto" w:sz="4" w:space="0"/>
              <w:bottom w:val="single" w:color="auto" w:sz="4" w:space="0"/>
              <w:right w:val="single" w:color="auto" w:sz="4" w:space="0"/>
            </w:tcBorders>
            <w:vAlign w:val="center"/>
          </w:tcPr>
          <w:p w14:paraId="0B9A1773">
            <w:pPr>
              <w:pStyle w:val="276"/>
              <w:rPr>
                <w:color w:val="auto"/>
              </w:rPr>
            </w:pPr>
            <w:r>
              <w:rPr>
                <w:rFonts w:hint="eastAsia"/>
                <w:color w:val="auto"/>
              </w:rPr>
              <w:t>施工生产废水</w:t>
            </w:r>
          </w:p>
        </w:tc>
        <w:tc>
          <w:tcPr>
            <w:tcW w:w="5358" w:type="dxa"/>
            <w:tcBorders>
              <w:top w:val="single" w:color="auto" w:sz="4" w:space="0"/>
              <w:left w:val="single" w:color="auto" w:sz="4" w:space="0"/>
              <w:bottom w:val="single" w:color="auto" w:sz="4" w:space="0"/>
              <w:right w:val="single" w:color="auto" w:sz="4" w:space="0"/>
            </w:tcBorders>
            <w:vAlign w:val="center"/>
          </w:tcPr>
          <w:p w14:paraId="46F7C591">
            <w:pPr>
              <w:pStyle w:val="276"/>
              <w:rPr>
                <w:color w:val="auto"/>
              </w:rPr>
            </w:pPr>
            <w:r>
              <w:rPr>
                <w:rFonts w:hint="eastAsia"/>
                <w:color w:val="auto"/>
              </w:rPr>
              <w:t>设置雨水沟；施工废水沉淀后回用</w:t>
            </w:r>
          </w:p>
        </w:tc>
        <w:tc>
          <w:tcPr>
            <w:tcW w:w="1094" w:type="dxa"/>
            <w:tcBorders>
              <w:top w:val="single" w:color="auto" w:sz="4" w:space="0"/>
              <w:left w:val="single" w:color="auto" w:sz="4" w:space="0"/>
              <w:bottom w:val="single" w:color="auto" w:sz="4" w:space="0"/>
              <w:right w:val="single" w:color="auto" w:sz="4" w:space="0"/>
            </w:tcBorders>
            <w:vAlign w:val="center"/>
          </w:tcPr>
          <w:p w14:paraId="46FAF39F">
            <w:pPr>
              <w:pStyle w:val="276"/>
              <w:rPr>
                <w:color w:val="auto"/>
              </w:rPr>
            </w:pPr>
            <w:r>
              <w:rPr>
                <w:rFonts w:hint="eastAsia"/>
                <w:color w:val="auto"/>
              </w:rPr>
              <w:t>10</w:t>
            </w:r>
          </w:p>
        </w:tc>
      </w:tr>
      <w:tr w14:paraId="2677C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3" w:type="dxa"/>
            <w:vMerge w:val="continue"/>
            <w:tcBorders>
              <w:top w:val="single" w:color="auto" w:sz="4" w:space="0"/>
              <w:left w:val="single" w:color="auto" w:sz="4" w:space="0"/>
              <w:bottom w:val="single" w:color="auto" w:sz="4" w:space="0"/>
              <w:right w:val="single" w:color="auto" w:sz="4" w:space="0"/>
            </w:tcBorders>
            <w:vAlign w:val="center"/>
          </w:tcPr>
          <w:p w14:paraId="37DF7712">
            <w:pPr>
              <w:widowControl/>
              <w:adjustRightInd/>
              <w:snapToGrid/>
              <w:spacing w:line="240" w:lineRule="auto"/>
              <w:ind w:firstLine="0" w:firstLineChars="0"/>
              <w:jc w:val="left"/>
              <w:rPr>
                <w:color w:val="auto"/>
                <w:sz w:val="21"/>
                <w:lang w:val="zh-CN"/>
              </w:rPr>
            </w:pPr>
          </w:p>
        </w:tc>
        <w:tc>
          <w:tcPr>
            <w:tcW w:w="495" w:type="dxa"/>
            <w:tcBorders>
              <w:top w:val="single" w:color="auto" w:sz="4" w:space="0"/>
              <w:left w:val="single" w:color="auto" w:sz="4" w:space="0"/>
              <w:bottom w:val="single" w:color="auto" w:sz="4" w:space="0"/>
              <w:right w:val="single" w:color="auto" w:sz="4" w:space="0"/>
            </w:tcBorders>
            <w:vAlign w:val="center"/>
          </w:tcPr>
          <w:p w14:paraId="778EE95C">
            <w:pPr>
              <w:pStyle w:val="276"/>
              <w:rPr>
                <w:color w:val="auto"/>
              </w:rPr>
            </w:pPr>
            <w:r>
              <w:rPr>
                <w:rFonts w:hint="eastAsia"/>
                <w:color w:val="auto"/>
              </w:rPr>
              <w:t>2</w:t>
            </w:r>
          </w:p>
        </w:tc>
        <w:tc>
          <w:tcPr>
            <w:tcW w:w="1556" w:type="dxa"/>
            <w:tcBorders>
              <w:top w:val="single" w:color="auto" w:sz="4" w:space="0"/>
              <w:left w:val="single" w:color="auto" w:sz="4" w:space="0"/>
              <w:bottom w:val="single" w:color="auto" w:sz="4" w:space="0"/>
              <w:right w:val="single" w:color="auto" w:sz="4" w:space="0"/>
            </w:tcBorders>
            <w:vAlign w:val="center"/>
          </w:tcPr>
          <w:p w14:paraId="307922BF">
            <w:pPr>
              <w:pStyle w:val="276"/>
              <w:rPr>
                <w:color w:val="auto"/>
              </w:rPr>
            </w:pPr>
            <w:r>
              <w:rPr>
                <w:rFonts w:hint="eastAsia"/>
                <w:color w:val="auto"/>
              </w:rPr>
              <w:t>施工生活污水</w:t>
            </w:r>
          </w:p>
        </w:tc>
        <w:tc>
          <w:tcPr>
            <w:tcW w:w="5358" w:type="dxa"/>
            <w:tcBorders>
              <w:top w:val="single" w:color="auto" w:sz="4" w:space="0"/>
              <w:left w:val="single" w:color="auto" w:sz="4" w:space="0"/>
              <w:bottom w:val="single" w:color="auto" w:sz="4" w:space="0"/>
              <w:right w:val="single" w:color="auto" w:sz="4" w:space="0"/>
            </w:tcBorders>
            <w:vAlign w:val="center"/>
          </w:tcPr>
          <w:p w14:paraId="5E1C34DC">
            <w:pPr>
              <w:pStyle w:val="276"/>
              <w:rPr>
                <w:color w:val="auto"/>
              </w:rPr>
            </w:pPr>
            <w:r>
              <w:rPr>
                <w:rFonts w:hint="eastAsia"/>
                <w:color w:val="auto"/>
              </w:rPr>
              <w:t>依托周边现有生活设施</w:t>
            </w:r>
          </w:p>
        </w:tc>
        <w:tc>
          <w:tcPr>
            <w:tcW w:w="1094" w:type="dxa"/>
            <w:tcBorders>
              <w:top w:val="single" w:color="auto" w:sz="4" w:space="0"/>
              <w:left w:val="single" w:color="auto" w:sz="4" w:space="0"/>
              <w:bottom w:val="single" w:color="auto" w:sz="4" w:space="0"/>
              <w:right w:val="single" w:color="auto" w:sz="4" w:space="0"/>
            </w:tcBorders>
            <w:vAlign w:val="center"/>
          </w:tcPr>
          <w:p w14:paraId="29F62C8B">
            <w:pPr>
              <w:pStyle w:val="276"/>
              <w:rPr>
                <w:color w:val="auto"/>
              </w:rPr>
            </w:pPr>
            <w:r>
              <w:rPr>
                <w:rFonts w:hint="eastAsia"/>
                <w:color w:val="auto"/>
              </w:rPr>
              <w:t>/</w:t>
            </w:r>
          </w:p>
        </w:tc>
      </w:tr>
      <w:tr w14:paraId="13241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3" w:type="dxa"/>
            <w:vMerge w:val="continue"/>
            <w:tcBorders>
              <w:top w:val="single" w:color="auto" w:sz="4" w:space="0"/>
              <w:left w:val="single" w:color="auto" w:sz="4" w:space="0"/>
              <w:bottom w:val="single" w:color="auto" w:sz="4" w:space="0"/>
              <w:right w:val="single" w:color="auto" w:sz="4" w:space="0"/>
            </w:tcBorders>
            <w:vAlign w:val="center"/>
          </w:tcPr>
          <w:p w14:paraId="49EA5E05">
            <w:pPr>
              <w:widowControl/>
              <w:adjustRightInd/>
              <w:snapToGrid/>
              <w:spacing w:line="240" w:lineRule="auto"/>
              <w:ind w:firstLine="0" w:firstLineChars="0"/>
              <w:jc w:val="left"/>
              <w:rPr>
                <w:color w:val="auto"/>
                <w:sz w:val="21"/>
                <w:lang w:val="zh-CN"/>
              </w:rPr>
            </w:pPr>
          </w:p>
        </w:tc>
        <w:tc>
          <w:tcPr>
            <w:tcW w:w="495" w:type="dxa"/>
            <w:tcBorders>
              <w:top w:val="single" w:color="auto" w:sz="4" w:space="0"/>
              <w:left w:val="single" w:color="auto" w:sz="4" w:space="0"/>
              <w:right w:val="single" w:color="auto" w:sz="4" w:space="0"/>
            </w:tcBorders>
            <w:vAlign w:val="center"/>
          </w:tcPr>
          <w:p w14:paraId="10866897">
            <w:pPr>
              <w:pStyle w:val="276"/>
              <w:rPr>
                <w:color w:val="auto"/>
              </w:rPr>
            </w:pPr>
            <w:r>
              <w:rPr>
                <w:rFonts w:hint="eastAsia"/>
                <w:color w:val="auto"/>
              </w:rPr>
              <w:t>3</w:t>
            </w:r>
          </w:p>
        </w:tc>
        <w:tc>
          <w:tcPr>
            <w:tcW w:w="1556" w:type="dxa"/>
            <w:tcBorders>
              <w:top w:val="single" w:color="auto" w:sz="4" w:space="0"/>
              <w:left w:val="single" w:color="auto" w:sz="4" w:space="0"/>
              <w:bottom w:val="single" w:color="auto" w:sz="4" w:space="0"/>
              <w:right w:val="single" w:color="auto" w:sz="4" w:space="0"/>
            </w:tcBorders>
            <w:vAlign w:val="center"/>
          </w:tcPr>
          <w:p w14:paraId="40A2C571">
            <w:pPr>
              <w:pStyle w:val="276"/>
              <w:rPr>
                <w:color w:val="auto"/>
              </w:rPr>
            </w:pPr>
            <w:r>
              <w:rPr>
                <w:rFonts w:hint="eastAsia"/>
                <w:color w:val="auto"/>
              </w:rPr>
              <w:t>运营期污水处理</w:t>
            </w:r>
          </w:p>
        </w:tc>
        <w:tc>
          <w:tcPr>
            <w:tcW w:w="5358" w:type="dxa"/>
            <w:tcBorders>
              <w:top w:val="single" w:color="auto" w:sz="4" w:space="0"/>
              <w:left w:val="single" w:color="auto" w:sz="4" w:space="0"/>
              <w:bottom w:val="single" w:color="auto" w:sz="4" w:space="0"/>
              <w:right w:val="single" w:color="auto" w:sz="4" w:space="0"/>
            </w:tcBorders>
            <w:vAlign w:val="center"/>
          </w:tcPr>
          <w:p w14:paraId="0F494E95">
            <w:pPr>
              <w:pStyle w:val="276"/>
              <w:rPr>
                <w:color w:val="auto"/>
              </w:rPr>
            </w:pPr>
            <w:bookmarkStart w:id="340" w:name="_Toc24324"/>
            <w:bookmarkStart w:id="341" w:name="_Toc10646"/>
            <w:bookmarkStart w:id="342" w:name="_Toc26238"/>
            <w:bookmarkStart w:id="343" w:name="_Toc3084"/>
            <w:r>
              <w:rPr>
                <w:rFonts w:hint="eastAsia"/>
                <w:color w:val="auto"/>
              </w:rPr>
              <w:t>厂区采用雨污分流制</w:t>
            </w:r>
            <w:bookmarkEnd w:id="340"/>
            <w:bookmarkEnd w:id="341"/>
            <w:bookmarkEnd w:id="342"/>
            <w:bookmarkEnd w:id="343"/>
            <w:bookmarkStart w:id="344" w:name="_Toc24422"/>
            <w:bookmarkStart w:id="345" w:name="_Toc25114"/>
            <w:bookmarkStart w:id="346" w:name="_Toc9053"/>
            <w:bookmarkStart w:id="347" w:name="_Toc3994"/>
            <w:r>
              <w:rPr>
                <w:rFonts w:hint="eastAsia"/>
                <w:color w:val="auto"/>
              </w:rPr>
              <w:t>，加强进水水质管理；加强运行管理，避免事故排放</w:t>
            </w:r>
            <w:bookmarkEnd w:id="344"/>
            <w:bookmarkEnd w:id="345"/>
            <w:bookmarkEnd w:id="346"/>
            <w:bookmarkEnd w:id="347"/>
          </w:p>
        </w:tc>
        <w:tc>
          <w:tcPr>
            <w:tcW w:w="1094" w:type="dxa"/>
            <w:tcBorders>
              <w:top w:val="single" w:color="auto" w:sz="4" w:space="0"/>
              <w:left w:val="single" w:color="auto" w:sz="4" w:space="0"/>
              <w:bottom w:val="single" w:color="auto" w:sz="4" w:space="0"/>
              <w:right w:val="single" w:color="auto" w:sz="4" w:space="0"/>
            </w:tcBorders>
            <w:vAlign w:val="center"/>
          </w:tcPr>
          <w:p w14:paraId="2009CFDD">
            <w:pPr>
              <w:pStyle w:val="276"/>
              <w:rPr>
                <w:color w:val="auto"/>
              </w:rPr>
            </w:pPr>
            <w:r>
              <w:rPr>
                <w:rFonts w:hint="eastAsia"/>
                <w:color w:val="auto"/>
              </w:rPr>
              <w:t>纳入运行成本</w:t>
            </w:r>
          </w:p>
        </w:tc>
      </w:tr>
      <w:tr w14:paraId="5E9CF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3" w:type="dxa"/>
            <w:vMerge w:val="restart"/>
            <w:tcBorders>
              <w:top w:val="single" w:color="auto" w:sz="4" w:space="0"/>
              <w:left w:val="single" w:color="auto" w:sz="4" w:space="0"/>
              <w:bottom w:val="single" w:color="auto" w:sz="4" w:space="0"/>
              <w:right w:val="single" w:color="auto" w:sz="4" w:space="0"/>
            </w:tcBorders>
            <w:vAlign w:val="center"/>
          </w:tcPr>
          <w:p w14:paraId="1B230B4B">
            <w:pPr>
              <w:pStyle w:val="276"/>
              <w:rPr>
                <w:color w:val="auto"/>
              </w:rPr>
            </w:pPr>
            <w:r>
              <w:rPr>
                <w:rFonts w:hint="eastAsia"/>
                <w:color w:val="auto"/>
              </w:rPr>
              <w:t>废气治理</w:t>
            </w:r>
          </w:p>
        </w:tc>
        <w:tc>
          <w:tcPr>
            <w:tcW w:w="495" w:type="dxa"/>
            <w:tcBorders>
              <w:top w:val="single" w:color="auto" w:sz="4" w:space="0"/>
              <w:left w:val="single" w:color="auto" w:sz="4" w:space="0"/>
              <w:bottom w:val="single" w:color="auto" w:sz="4" w:space="0"/>
              <w:right w:val="single" w:color="auto" w:sz="4" w:space="0"/>
            </w:tcBorders>
            <w:vAlign w:val="center"/>
          </w:tcPr>
          <w:p w14:paraId="703031E3">
            <w:pPr>
              <w:pStyle w:val="276"/>
              <w:rPr>
                <w:color w:val="auto"/>
              </w:rPr>
            </w:pPr>
            <w:r>
              <w:rPr>
                <w:rFonts w:hint="eastAsia"/>
                <w:color w:val="auto"/>
              </w:rPr>
              <w:t>1</w:t>
            </w:r>
          </w:p>
        </w:tc>
        <w:tc>
          <w:tcPr>
            <w:tcW w:w="1556" w:type="dxa"/>
            <w:tcBorders>
              <w:top w:val="single" w:color="auto" w:sz="4" w:space="0"/>
              <w:left w:val="single" w:color="auto" w:sz="4" w:space="0"/>
              <w:bottom w:val="single" w:color="auto" w:sz="4" w:space="0"/>
              <w:right w:val="single" w:color="auto" w:sz="4" w:space="0"/>
            </w:tcBorders>
            <w:vAlign w:val="center"/>
          </w:tcPr>
          <w:p w14:paraId="66C70B4F">
            <w:pPr>
              <w:pStyle w:val="276"/>
              <w:rPr>
                <w:color w:val="auto"/>
              </w:rPr>
            </w:pPr>
            <w:r>
              <w:rPr>
                <w:rFonts w:hint="eastAsia"/>
                <w:color w:val="auto"/>
              </w:rPr>
              <w:t>施工粉尘</w:t>
            </w:r>
          </w:p>
        </w:tc>
        <w:tc>
          <w:tcPr>
            <w:tcW w:w="5358" w:type="dxa"/>
            <w:tcBorders>
              <w:top w:val="single" w:color="auto" w:sz="4" w:space="0"/>
              <w:left w:val="single" w:color="auto" w:sz="4" w:space="0"/>
              <w:bottom w:val="single" w:color="auto" w:sz="4" w:space="0"/>
              <w:right w:val="single" w:color="auto" w:sz="4" w:space="0"/>
            </w:tcBorders>
            <w:vAlign w:val="center"/>
          </w:tcPr>
          <w:p w14:paraId="45A91A1C">
            <w:pPr>
              <w:pStyle w:val="276"/>
              <w:rPr>
                <w:color w:val="auto"/>
              </w:rPr>
            </w:pPr>
            <w:r>
              <w:rPr>
                <w:rFonts w:hint="eastAsia"/>
                <w:color w:val="auto"/>
              </w:rPr>
              <w:t>围挡封闭施工、设置车辆冲洗设施、湿式作业（加强洒水抑尘）等</w:t>
            </w:r>
          </w:p>
        </w:tc>
        <w:tc>
          <w:tcPr>
            <w:tcW w:w="1094" w:type="dxa"/>
            <w:tcBorders>
              <w:top w:val="single" w:color="auto" w:sz="4" w:space="0"/>
              <w:left w:val="single" w:color="auto" w:sz="4" w:space="0"/>
              <w:bottom w:val="single" w:color="auto" w:sz="4" w:space="0"/>
              <w:right w:val="single" w:color="auto" w:sz="4" w:space="0"/>
            </w:tcBorders>
            <w:vAlign w:val="center"/>
          </w:tcPr>
          <w:p w14:paraId="61A48F10">
            <w:pPr>
              <w:pStyle w:val="276"/>
              <w:rPr>
                <w:color w:val="auto"/>
              </w:rPr>
            </w:pPr>
            <w:r>
              <w:rPr>
                <w:rFonts w:hint="eastAsia"/>
                <w:color w:val="auto"/>
              </w:rPr>
              <w:t>10</w:t>
            </w:r>
          </w:p>
        </w:tc>
      </w:tr>
      <w:tr w14:paraId="3AE5B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3" w:type="dxa"/>
            <w:vMerge w:val="continue"/>
            <w:tcBorders>
              <w:top w:val="single" w:color="auto" w:sz="4" w:space="0"/>
              <w:left w:val="single" w:color="auto" w:sz="4" w:space="0"/>
              <w:bottom w:val="single" w:color="auto" w:sz="4" w:space="0"/>
              <w:right w:val="single" w:color="auto" w:sz="4" w:space="0"/>
            </w:tcBorders>
            <w:vAlign w:val="center"/>
          </w:tcPr>
          <w:p w14:paraId="26688890">
            <w:pPr>
              <w:widowControl/>
              <w:adjustRightInd/>
              <w:snapToGrid/>
              <w:spacing w:line="240" w:lineRule="auto"/>
              <w:ind w:firstLine="0" w:firstLineChars="0"/>
              <w:jc w:val="left"/>
              <w:rPr>
                <w:color w:val="auto"/>
                <w:sz w:val="21"/>
                <w:lang w:val="zh-CN"/>
              </w:rPr>
            </w:pPr>
          </w:p>
        </w:tc>
        <w:tc>
          <w:tcPr>
            <w:tcW w:w="495" w:type="dxa"/>
            <w:tcBorders>
              <w:top w:val="single" w:color="auto" w:sz="4" w:space="0"/>
              <w:left w:val="single" w:color="auto" w:sz="4" w:space="0"/>
              <w:bottom w:val="single" w:color="auto" w:sz="4" w:space="0"/>
              <w:right w:val="single" w:color="auto" w:sz="4" w:space="0"/>
            </w:tcBorders>
            <w:vAlign w:val="center"/>
          </w:tcPr>
          <w:p w14:paraId="51B359EB">
            <w:pPr>
              <w:pStyle w:val="276"/>
              <w:rPr>
                <w:color w:val="auto"/>
              </w:rPr>
            </w:pPr>
            <w:r>
              <w:rPr>
                <w:rFonts w:hint="eastAsia"/>
                <w:color w:val="auto"/>
              </w:rPr>
              <w:t>2</w:t>
            </w:r>
          </w:p>
        </w:tc>
        <w:tc>
          <w:tcPr>
            <w:tcW w:w="1556" w:type="dxa"/>
            <w:tcBorders>
              <w:top w:val="single" w:color="auto" w:sz="4" w:space="0"/>
              <w:left w:val="single" w:color="auto" w:sz="4" w:space="0"/>
              <w:bottom w:val="single" w:color="auto" w:sz="4" w:space="0"/>
              <w:right w:val="single" w:color="auto" w:sz="4" w:space="0"/>
            </w:tcBorders>
            <w:vAlign w:val="center"/>
          </w:tcPr>
          <w:p w14:paraId="6323C7F8">
            <w:pPr>
              <w:pStyle w:val="276"/>
              <w:rPr>
                <w:color w:val="auto"/>
              </w:rPr>
            </w:pPr>
            <w:r>
              <w:rPr>
                <w:rFonts w:hint="eastAsia"/>
                <w:color w:val="auto"/>
              </w:rPr>
              <w:t>燃油施工机械废气</w:t>
            </w:r>
          </w:p>
        </w:tc>
        <w:tc>
          <w:tcPr>
            <w:tcW w:w="5358" w:type="dxa"/>
            <w:tcBorders>
              <w:top w:val="single" w:color="auto" w:sz="4" w:space="0"/>
              <w:left w:val="single" w:color="auto" w:sz="4" w:space="0"/>
              <w:bottom w:val="single" w:color="auto" w:sz="4" w:space="0"/>
              <w:right w:val="single" w:color="auto" w:sz="4" w:space="0"/>
            </w:tcBorders>
            <w:vAlign w:val="center"/>
          </w:tcPr>
          <w:p w14:paraId="015D6AAF">
            <w:pPr>
              <w:pStyle w:val="276"/>
              <w:rPr>
                <w:color w:val="auto"/>
              </w:rPr>
            </w:pPr>
            <w:r>
              <w:rPr>
                <w:rFonts w:hint="eastAsia"/>
                <w:color w:val="auto"/>
              </w:rPr>
              <w:t>对施工机械勤加维护</w:t>
            </w:r>
          </w:p>
        </w:tc>
        <w:tc>
          <w:tcPr>
            <w:tcW w:w="1094" w:type="dxa"/>
            <w:tcBorders>
              <w:top w:val="single" w:color="auto" w:sz="4" w:space="0"/>
              <w:left w:val="single" w:color="auto" w:sz="4" w:space="0"/>
              <w:bottom w:val="single" w:color="auto" w:sz="4" w:space="0"/>
              <w:right w:val="single" w:color="auto" w:sz="4" w:space="0"/>
            </w:tcBorders>
            <w:vAlign w:val="center"/>
          </w:tcPr>
          <w:p w14:paraId="0EAEC625">
            <w:pPr>
              <w:pStyle w:val="276"/>
              <w:rPr>
                <w:color w:val="auto"/>
              </w:rPr>
            </w:pPr>
            <w:r>
              <w:rPr>
                <w:rFonts w:hint="eastAsia"/>
                <w:color w:val="auto"/>
              </w:rPr>
              <w:t>5</w:t>
            </w:r>
          </w:p>
        </w:tc>
      </w:tr>
      <w:tr w14:paraId="744E0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3" w:type="dxa"/>
            <w:vMerge w:val="continue"/>
            <w:tcBorders>
              <w:top w:val="single" w:color="auto" w:sz="4" w:space="0"/>
              <w:left w:val="single" w:color="auto" w:sz="4" w:space="0"/>
              <w:bottom w:val="single" w:color="auto" w:sz="4" w:space="0"/>
              <w:right w:val="single" w:color="auto" w:sz="4" w:space="0"/>
            </w:tcBorders>
            <w:vAlign w:val="center"/>
          </w:tcPr>
          <w:p w14:paraId="1EF63737">
            <w:pPr>
              <w:widowControl/>
              <w:adjustRightInd/>
              <w:snapToGrid/>
              <w:spacing w:line="240" w:lineRule="auto"/>
              <w:ind w:firstLine="0" w:firstLineChars="0"/>
              <w:jc w:val="left"/>
              <w:rPr>
                <w:color w:val="auto"/>
                <w:sz w:val="21"/>
                <w:lang w:val="zh-CN"/>
              </w:rPr>
            </w:pPr>
          </w:p>
        </w:tc>
        <w:tc>
          <w:tcPr>
            <w:tcW w:w="495" w:type="dxa"/>
            <w:tcBorders>
              <w:top w:val="single" w:color="auto" w:sz="4" w:space="0"/>
              <w:left w:val="single" w:color="auto" w:sz="4" w:space="0"/>
              <w:bottom w:val="single" w:color="auto" w:sz="4" w:space="0"/>
              <w:right w:val="single" w:color="auto" w:sz="4" w:space="0"/>
            </w:tcBorders>
            <w:vAlign w:val="center"/>
          </w:tcPr>
          <w:p w14:paraId="6F3D3DA0">
            <w:pPr>
              <w:pStyle w:val="276"/>
              <w:rPr>
                <w:color w:val="auto"/>
              </w:rPr>
            </w:pPr>
            <w:r>
              <w:rPr>
                <w:rFonts w:hint="eastAsia"/>
                <w:color w:val="auto"/>
              </w:rPr>
              <w:t>3</w:t>
            </w:r>
          </w:p>
        </w:tc>
        <w:tc>
          <w:tcPr>
            <w:tcW w:w="1556" w:type="dxa"/>
            <w:tcBorders>
              <w:top w:val="single" w:color="auto" w:sz="4" w:space="0"/>
              <w:left w:val="single" w:color="auto" w:sz="4" w:space="0"/>
              <w:bottom w:val="single" w:color="auto" w:sz="4" w:space="0"/>
              <w:right w:val="single" w:color="auto" w:sz="4" w:space="0"/>
            </w:tcBorders>
            <w:vAlign w:val="center"/>
          </w:tcPr>
          <w:p w14:paraId="28E3428B">
            <w:pPr>
              <w:pStyle w:val="276"/>
              <w:rPr>
                <w:color w:val="auto"/>
              </w:rPr>
            </w:pPr>
            <w:r>
              <w:rPr>
                <w:rFonts w:hint="eastAsia"/>
                <w:color w:val="auto"/>
              </w:rPr>
              <w:t>运营期臭气</w:t>
            </w:r>
          </w:p>
        </w:tc>
        <w:tc>
          <w:tcPr>
            <w:tcW w:w="5358" w:type="dxa"/>
            <w:tcBorders>
              <w:top w:val="single" w:color="auto" w:sz="4" w:space="0"/>
              <w:left w:val="single" w:color="auto" w:sz="4" w:space="0"/>
              <w:bottom w:val="single" w:color="auto" w:sz="4" w:space="0"/>
              <w:right w:val="single" w:color="auto" w:sz="4" w:space="0"/>
            </w:tcBorders>
            <w:vAlign w:val="center"/>
          </w:tcPr>
          <w:p w14:paraId="4F5AECBB">
            <w:pPr>
              <w:pStyle w:val="276"/>
              <w:rPr>
                <w:color w:val="auto"/>
              </w:rPr>
            </w:pPr>
            <w:r>
              <w:rPr>
                <w:rFonts w:hint="eastAsia"/>
                <w:color w:val="auto"/>
                <w:lang w:eastAsia="zh-CN"/>
              </w:rPr>
              <w:t>收集池</w:t>
            </w:r>
            <w:r>
              <w:rPr>
                <w:rFonts w:hint="eastAsia"/>
                <w:color w:val="auto"/>
              </w:rPr>
              <w:t>、调节池、高密沉淀池、芬顿氧化池、沉淀池、</w:t>
            </w:r>
            <w:r>
              <w:rPr>
                <w:rFonts w:hint="eastAsia"/>
                <w:color w:val="auto"/>
                <w:lang w:eastAsia="zh-CN"/>
              </w:rPr>
              <w:t>浓水罐</w:t>
            </w:r>
            <w:r>
              <w:rPr>
                <w:rFonts w:hint="eastAsia"/>
                <w:color w:val="auto"/>
              </w:rPr>
              <w:t>和污泥池等主要产臭构筑物采取加盖等密闭方式对臭气进行收集，</w:t>
            </w:r>
            <w:r>
              <w:rPr>
                <w:rFonts w:hint="eastAsia"/>
                <w:color w:val="auto"/>
                <w:lang w:val="en-US" w:eastAsia="zh-CN"/>
              </w:rPr>
              <w:t>污泥压滤间</w:t>
            </w:r>
            <w:r>
              <w:rPr>
                <w:rFonts w:hint="eastAsia"/>
                <w:color w:val="auto"/>
                <w:lang w:val="en-US"/>
              </w:rPr>
              <w:t>采取负压抽风收集臭气，废气</w:t>
            </w:r>
            <w:r>
              <w:rPr>
                <w:rFonts w:hint="eastAsia"/>
                <w:color w:val="auto"/>
              </w:rPr>
              <w:t>收集后经</w:t>
            </w:r>
            <w:r>
              <w:rPr>
                <w:rFonts w:hint="eastAsia"/>
                <w:color w:val="auto"/>
                <w:lang w:val="en-US"/>
              </w:rPr>
              <w:t>1套</w:t>
            </w:r>
            <w:r>
              <w:rPr>
                <w:rFonts w:hint="eastAsia"/>
                <w:color w:val="auto"/>
              </w:rPr>
              <w:t>“</w:t>
            </w:r>
            <w:r>
              <w:rPr>
                <w:rFonts w:hint="eastAsia"/>
                <w:color w:val="auto"/>
                <w:lang w:val="en-US"/>
              </w:rPr>
              <w:t>碱喷淋+除湿+活性炭吸附</w:t>
            </w:r>
            <w:r>
              <w:rPr>
                <w:rFonts w:hint="eastAsia"/>
                <w:color w:val="auto"/>
              </w:rPr>
              <w:t>”处置达标后15m</w:t>
            </w:r>
            <w:r>
              <w:rPr>
                <w:rFonts w:hint="eastAsia"/>
                <w:color w:val="auto"/>
                <w:lang w:val="en-US"/>
              </w:rPr>
              <w:t>DA001</w:t>
            </w:r>
            <w:r>
              <w:rPr>
                <w:rFonts w:hint="eastAsia"/>
                <w:color w:val="auto"/>
              </w:rPr>
              <w:t>排气筒排放；同时加强厂区绿化</w:t>
            </w:r>
          </w:p>
        </w:tc>
        <w:tc>
          <w:tcPr>
            <w:tcW w:w="1094" w:type="dxa"/>
            <w:tcBorders>
              <w:top w:val="single" w:color="auto" w:sz="4" w:space="0"/>
              <w:left w:val="single" w:color="auto" w:sz="4" w:space="0"/>
              <w:bottom w:val="single" w:color="auto" w:sz="4" w:space="0"/>
              <w:right w:val="single" w:color="auto" w:sz="4" w:space="0"/>
            </w:tcBorders>
            <w:vAlign w:val="center"/>
          </w:tcPr>
          <w:p w14:paraId="39174151">
            <w:pPr>
              <w:pStyle w:val="276"/>
              <w:rPr>
                <w:color w:val="auto"/>
              </w:rPr>
            </w:pPr>
            <w:r>
              <w:rPr>
                <w:rFonts w:hint="eastAsia"/>
                <w:color w:val="auto"/>
              </w:rPr>
              <w:t>75</w:t>
            </w:r>
          </w:p>
        </w:tc>
      </w:tr>
      <w:tr w14:paraId="31C7D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3" w:type="dxa"/>
            <w:vMerge w:val="restart"/>
            <w:tcBorders>
              <w:top w:val="single" w:color="auto" w:sz="4" w:space="0"/>
              <w:left w:val="single" w:color="auto" w:sz="4" w:space="0"/>
              <w:bottom w:val="single" w:color="auto" w:sz="4" w:space="0"/>
              <w:right w:val="single" w:color="auto" w:sz="4" w:space="0"/>
            </w:tcBorders>
            <w:vAlign w:val="center"/>
          </w:tcPr>
          <w:p w14:paraId="69728BC0">
            <w:pPr>
              <w:pStyle w:val="276"/>
              <w:rPr>
                <w:color w:val="auto"/>
              </w:rPr>
            </w:pPr>
            <w:r>
              <w:rPr>
                <w:rFonts w:hint="eastAsia"/>
                <w:color w:val="auto"/>
              </w:rPr>
              <w:t>噪声治理</w:t>
            </w:r>
          </w:p>
        </w:tc>
        <w:tc>
          <w:tcPr>
            <w:tcW w:w="495" w:type="dxa"/>
            <w:tcBorders>
              <w:top w:val="single" w:color="auto" w:sz="4" w:space="0"/>
              <w:left w:val="single" w:color="auto" w:sz="4" w:space="0"/>
              <w:bottom w:val="single" w:color="auto" w:sz="4" w:space="0"/>
              <w:right w:val="single" w:color="auto" w:sz="4" w:space="0"/>
            </w:tcBorders>
            <w:vAlign w:val="center"/>
          </w:tcPr>
          <w:p w14:paraId="7923BB7C">
            <w:pPr>
              <w:pStyle w:val="276"/>
              <w:rPr>
                <w:color w:val="auto"/>
              </w:rPr>
            </w:pPr>
            <w:r>
              <w:rPr>
                <w:rFonts w:hint="eastAsia"/>
                <w:color w:val="auto"/>
              </w:rPr>
              <w:t>1</w:t>
            </w:r>
          </w:p>
        </w:tc>
        <w:tc>
          <w:tcPr>
            <w:tcW w:w="1556" w:type="dxa"/>
            <w:tcBorders>
              <w:top w:val="single" w:color="auto" w:sz="4" w:space="0"/>
              <w:left w:val="single" w:color="auto" w:sz="4" w:space="0"/>
              <w:bottom w:val="single" w:color="auto" w:sz="4" w:space="0"/>
              <w:right w:val="single" w:color="auto" w:sz="4" w:space="0"/>
            </w:tcBorders>
            <w:vAlign w:val="center"/>
          </w:tcPr>
          <w:p w14:paraId="6BAA63EB">
            <w:pPr>
              <w:pStyle w:val="276"/>
              <w:rPr>
                <w:color w:val="auto"/>
              </w:rPr>
            </w:pPr>
            <w:r>
              <w:rPr>
                <w:rFonts w:hint="eastAsia"/>
                <w:color w:val="auto"/>
              </w:rPr>
              <w:t>施工噪声</w:t>
            </w:r>
          </w:p>
        </w:tc>
        <w:tc>
          <w:tcPr>
            <w:tcW w:w="5358" w:type="dxa"/>
            <w:tcBorders>
              <w:top w:val="single" w:color="auto" w:sz="4" w:space="0"/>
              <w:left w:val="single" w:color="auto" w:sz="4" w:space="0"/>
              <w:bottom w:val="single" w:color="auto" w:sz="4" w:space="0"/>
              <w:right w:val="single" w:color="auto" w:sz="4" w:space="0"/>
            </w:tcBorders>
            <w:vAlign w:val="center"/>
          </w:tcPr>
          <w:p w14:paraId="5BCD8021">
            <w:pPr>
              <w:pStyle w:val="276"/>
              <w:rPr>
                <w:color w:val="auto"/>
              </w:rPr>
            </w:pPr>
            <w:r>
              <w:rPr>
                <w:rFonts w:hint="eastAsia"/>
                <w:color w:val="auto"/>
              </w:rPr>
              <w:t>尽量安排在白天施工；选取噪声低、振动小、能耗小的先进设备；注意机械保养等</w:t>
            </w:r>
          </w:p>
        </w:tc>
        <w:tc>
          <w:tcPr>
            <w:tcW w:w="1094" w:type="dxa"/>
            <w:tcBorders>
              <w:top w:val="single" w:color="auto" w:sz="4" w:space="0"/>
              <w:left w:val="single" w:color="auto" w:sz="4" w:space="0"/>
              <w:bottom w:val="single" w:color="auto" w:sz="4" w:space="0"/>
              <w:right w:val="single" w:color="auto" w:sz="4" w:space="0"/>
            </w:tcBorders>
            <w:vAlign w:val="center"/>
          </w:tcPr>
          <w:p w14:paraId="0DDF7F96">
            <w:pPr>
              <w:pStyle w:val="276"/>
              <w:rPr>
                <w:color w:val="auto"/>
              </w:rPr>
            </w:pPr>
            <w:r>
              <w:rPr>
                <w:rFonts w:hint="eastAsia"/>
                <w:color w:val="auto"/>
              </w:rPr>
              <w:t>5</w:t>
            </w:r>
          </w:p>
        </w:tc>
      </w:tr>
      <w:tr w14:paraId="5ABCF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3" w:type="dxa"/>
            <w:vMerge w:val="continue"/>
            <w:tcBorders>
              <w:top w:val="single" w:color="auto" w:sz="4" w:space="0"/>
              <w:left w:val="single" w:color="auto" w:sz="4" w:space="0"/>
              <w:bottom w:val="single" w:color="auto" w:sz="4" w:space="0"/>
              <w:right w:val="single" w:color="auto" w:sz="4" w:space="0"/>
            </w:tcBorders>
            <w:vAlign w:val="center"/>
          </w:tcPr>
          <w:p w14:paraId="7EC162D5">
            <w:pPr>
              <w:widowControl/>
              <w:adjustRightInd/>
              <w:snapToGrid/>
              <w:spacing w:line="240" w:lineRule="auto"/>
              <w:ind w:firstLine="0" w:firstLineChars="0"/>
              <w:jc w:val="left"/>
              <w:rPr>
                <w:color w:val="auto"/>
                <w:sz w:val="21"/>
                <w:lang w:val="zh-CN"/>
              </w:rPr>
            </w:pPr>
          </w:p>
        </w:tc>
        <w:tc>
          <w:tcPr>
            <w:tcW w:w="495" w:type="dxa"/>
            <w:tcBorders>
              <w:top w:val="single" w:color="auto" w:sz="4" w:space="0"/>
              <w:left w:val="single" w:color="auto" w:sz="4" w:space="0"/>
              <w:bottom w:val="single" w:color="auto" w:sz="4" w:space="0"/>
              <w:right w:val="single" w:color="auto" w:sz="4" w:space="0"/>
            </w:tcBorders>
            <w:vAlign w:val="center"/>
          </w:tcPr>
          <w:p w14:paraId="27179625">
            <w:pPr>
              <w:pStyle w:val="276"/>
              <w:rPr>
                <w:color w:val="auto"/>
              </w:rPr>
            </w:pPr>
            <w:r>
              <w:rPr>
                <w:rFonts w:hint="eastAsia"/>
                <w:color w:val="auto"/>
              </w:rPr>
              <w:t>2</w:t>
            </w:r>
          </w:p>
        </w:tc>
        <w:tc>
          <w:tcPr>
            <w:tcW w:w="1556" w:type="dxa"/>
            <w:tcBorders>
              <w:top w:val="single" w:color="auto" w:sz="4" w:space="0"/>
              <w:left w:val="single" w:color="auto" w:sz="4" w:space="0"/>
              <w:bottom w:val="single" w:color="auto" w:sz="4" w:space="0"/>
              <w:right w:val="single" w:color="auto" w:sz="4" w:space="0"/>
            </w:tcBorders>
            <w:vAlign w:val="center"/>
          </w:tcPr>
          <w:p w14:paraId="38810DFA">
            <w:pPr>
              <w:pStyle w:val="276"/>
              <w:rPr>
                <w:color w:val="auto"/>
              </w:rPr>
            </w:pPr>
            <w:r>
              <w:rPr>
                <w:rFonts w:hint="eastAsia"/>
                <w:color w:val="auto"/>
              </w:rPr>
              <w:t>运营期噪声</w:t>
            </w:r>
          </w:p>
        </w:tc>
        <w:tc>
          <w:tcPr>
            <w:tcW w:w="5358" w:type="dxa"/>
            <w:tcBorders>
              <w:top w:val="single" w:color="auto" w:sz="4" w:space="0"/>
              <w:left w:val="single" w:color="auto" w:sz="4" w:space="0"/>
              <w:bottom w:val="single" w:color="auto" w:sz="4" w:space="0"/>
              <w:right w:val="single" w:color="auto" w:sz="4" w:space="0"/>
            </w:tcBorders>
            <w:vAlign w:val="center"/>
          </w:tcPr>
          <w:p w14:paraId="41DD821C">
            <w:pPr>
              <w:pStyle w:val="276"/>
              <w:rPr>
                <w:color w:val="auto"/>
              </w:rPr>
            </w:pPr>
            <w:r>
              <w:rPr>
                <w:rFonts w:hint="eastAsia"/>
                <w:color w:val="auto"/>
              </w:rPr>
              <w:t>废水处理及资源化综合车间内的</w:t>
            </w:r>
            <w:r>
              <w:rPr>
                <w:rFonts w:hint="eastAsia"/>
                <w:color w:val="auto"/>
                <w:szCs w:val="24"/>
              </w:rPr>
              <w:t>搅拌器、空压机、刮渣机、刮泥机、</w:t>
            </w:r>
            <w:r>
              <w:rPr>
                <w:rFonts w:hint="eastAsia"/>
                <w:color w:val="auto"/>
              </w:rPr>
              <w:t>DTRO膜系统、</w:t>
            </w:r>
            <w:r>
              <w:rPr>
                <w:rFonts w:hint="eastAsia"/>
                <w:color w:val="auto"/>
                <w:lang w:eastAsia="zh-CN"/>
              </w:rPr>
              <w:t>污泥压滤机</w:t>
            </w:r>
            <w:r>
              <w:rPr>
                <w:rFonts w:hint="eastAsia"/>
                <w:color w:val="auto"/>
              </w:rPr>
              <w:t>及水泵等采取基础减振、建筑隔声等措施。地埋式收集池、调节池、清水池、</w:t>
            </w:r>
            <w:r>
              <w:rPr>
                <w:rFonts w:hint="eastAsia"/>
                <w:color w:val="auto"/>
                <w:lang w:eastAsia="zh-CN"/>
              </w:rPr>
              <w:t>浓水罐</w:t>
            </w:r>
            <w:r>
              <w:rPr>
                <w:rFonts w:hint="eastAsia"/>
                <w:color w:val="auto"/>
              </w:rPr>
              <w:t>、污泥池等建构筑物内的</w:t>
            </w:r>
            <w:r>
              <w:rPr>
                <w:rFonts w:hint="eastAsia"/>
                <w:color w:val="auto"/>
                <w:szCs w:val="24"/>
              </w:rPr>
              <w:t>搅拌风机、搅拌器及泵类</w:t>
            </w:r>
            <w:r>
              <w:rPr>
                <w:rFonts w:hint="eastAsia"/>
                <w:color w:val="auto"/>
              </w:rPr>
              <w:t>设备采取设置隔声罩壳、地埋式建构筑物隔声等措施，风机进行减振、消声等降噪措施，多效蒸发器采取基础减振、隔声罩壳进行隔声</w:t>
            </w:r>
          </w:p>
        </w:tc>
        <w:tc>
          <w:tcPr>
            <w:tcW w:w="1094" w:type="dxa"/>
            <w:tcBorders>
              <w:top w:val="single" w:color="auto" w:sz="4" w:space="0"/>
              <w:left w:val="single" w:color="auto" w:sz="4" w:space="0"/>
              <w:bottom w:val="single" w:color="auto" w:sz="4" w:space="0"/>
              <w:right w:val="single" w:color="auto" w:sz="4" w:space="0"/>
            </w:tcBorders>
            <w:vAlign w:val="center"/>
          </w:tcPr>
          <w:p w14:paraId="306CD14E">
            <w:pPr>
              <w:pStyle w:val="276"/>
              <w:rPr>
                <w:color w:val="auto"/>
              </w:rPr>
            </w:pPr>
            <w:r>
              <w:rPr>
                <w:rFonts w:hint="eastAsia"/>
                <w:color w:val="auto"/>
              </w:rPr>
              <w:t>30</w:t>
            </w:r>
          </w:p>
        </w:tc>
      </w:tr>
      <w:tr w14:paraId="48A86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3" w:type="dxa"/>
            <w:vMerge w:val="restart"/>
            <w:tcBorders>
              <w:top w:val="single" w:color="auto" w:sz="4" w:space="0"/>
              <w:left w:val="single" w:color="auto" w:sz="4" w:space="0"/>
              <w:bottom w:val="single" w:color="auto" w:sz="4" w:space="0"/>
              <w:right w:val="single" w:color="auto" w:sz="4" w:space="0"/>
            </w:tcBorders>
            <w:vAlign w:val="center"/>
          </w:tcPr>
          <w:p w14:paraId="048A375B">
            <w:pPr>
              <w:pStyle w:val="276"/>
              <w:rPr>
                <w:color w:val="auto"/>
              </w:rPr>
            </w:pPr>
            <w:r>
              <w:rPr>
                <w:rFonts w:hint="eastAsia"/>
                <w:color w:val="auto"/>
              </w:rPr>
              <w:t>固体废弃物治理</w:t>
            </w:r>
          </w:p>
        </w:tc>
        <w:tc>
          <w:tcPr>
            <w:tcW w:w="495" w:type="dxa"/>
            <w:tcBorders>
              <w:top w:val="single" w:color="auto" w:sz="4" w:space="0"/>
              <w:left w:val="single" w:color="auto" w:sz="4" w:space="0"/>
              <w:bottom w:val="single" w:color="auto" w:sz="4" w:space="0"/>
              <w:right w:val="single" w:color="auto" w:sz="4" w:space="0"/>
            </w:tcBorders>
            <w:vAlign w:val="center"/>
          </w:tcPr>
          <w:p w14:paraId="36FF4755">
            <w:pPr>
              <w:pStyle w:val="276"/>
              <w:rPr>
                <w:color w:val="auto"/>
              </w:rPr>
            </w:pPr>
            <w:r>
              <w:rPr>
                <w:rFonts w:hint="eastAsia"/>
                <w:color w:val="auto"/>
              </w:rPr>
              <w:t>1</w:t>
            </w:r>
          </w:p>
        </w:tc>
        <w:tc>
          <w:tcPr>
            <w:tcW w:w="1556" w:type="dxa"/>
            <w:tcBorders>
              <w:top w:val="single" w:color="auto" w:sz="4" w:space="0"/>
              <w:left w:val="single" w:color="auto" w:sz="4" w:space="0"/>
              <w:bottom w:val="single" w:color="auto" w:sz="4" w:space="0"/>
              <w:right w:val="single" w:color="auto" w:sz="4" w:space="0"/>
            </w:tcBorders>
            <w:vAlign w:val="center"/>
          </w:tcPr>
          <w:p w14:paraId="6C67C672">
            <w:pPr>
              <w:pStyle w:val="276"/>
              <w:rPr>
                <w:color w:val="auto"/>
              </w:rPr>
            </w:pPr>
            <w:r>
              <w:rPr>
                <w:rFonts w:hint="eastAsia"/>
                <w:color w:val="auto"/>
              </w:rPr>
              <w:t>生活垃圾</w:t>
            </w:r>
          </w:p>
        </w:tc>
        <w:tc>
          <w:tcPr>
            <w:tcW w:w="5358" w:type="dxa"/>
            <w:tcBorders>
              <w:top w:val="single" w:color="auto" w:sz="4" w:space="0"/>
              <w:left w:val="single" w:color="auto" w:sz="4" w:space="0"/>
              <w:bottom w:val="single" w:color="auto" w:sz="4" w:space="0"/>
              <w:right w:val="single" w:color="auto" w:sz="4" w:space="0"/>
            </w:tcBorders>
            <w:vAlign w:val="center"/>
          </w:tcPr>
          <w:p w14:paraId="6E2B6593">
            <w:pPr>
              <w:pStyle w:val="276"/>
              <w:rPr>
                <w:color w:val="auto"/>
              </w:rPr>
            </w:pPr>
            <w:r>
              <w:rPr>
                <w:rFonts w:hint="eastAsia"/>
                <w:color w:val="auto"/>
              </w:rPr>
              <w:t>委托环卫部门清运处置</w:t>
            </w:r>
          </w:p>
        </w:tc>
        <w:tc>
          <w:tcPr>
            <w:tcW w:w="1094" w:type="dxa"/>
            <w:tcBorders>
              <w:top w:val="single" w:color="auto" w:sz="4" w:space="0"/>
              <w:left w:val="single" w:color="auto" w:sz="4" w:space="0"/>
              <w:bottom w:val="single" w:color="auto" w:sz="4" w:space="0"/>
              <w:right w:val="single" w:color="auto" w:sz="4" w:space="0"/>
            </w:tcBorders>
            <w:vAlign w:val="center"/>
          </w:tcPr>
          <w:p w14:paraId="6F8AB57B">
            <w:pPr>
              <w:pStyle w:val="276"/>
              <w:rPr>
                <w:color w:val="auto"/>
              </w:rPr>
            </w:pPr>
            <w:r>
              <w:rPr>
                <w:rFonts w:hint="eastAsia"/>
                <w:color w:val="auto"/>
              </w:rPr>
              <w:t>1</w:t>
            </w:r>
          </w:p>
        </w:tc>
      </w:tr>
      <w:tr w14:paraId="54092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783" w:type="dxa"/>
            <w:vMerge w:val="continue"/>
            <w:tcBorders>
              <w:top w:val="single" w:color="auto" w:sz="4" w:space="0"/>
              <w:left w:val="single" w:color="auto" w:sz="4" w:space="0"/>
              <w:bottom w:val="single" w:color="auto" w:sz="4" w:space="0"/>
              <w:right w:val="single" w:color="auto" w:sz="4" w:space="0"/>
            </w:tcBorders>
            <w:vAlign w:val="center"/>
          </w:tcPr>
          <w:p w14:paraId="111BB105">
            <w:pPr>
              <w:pStyle w:val="276"/>
              <w:rPr>
                <w:color w:val="auto"/>
              </w:rPr>
            </w:pPr>
          </w:p>
        </w:tc>
        <w:tc>
          <w:tcPr>
            <w:tcW w:w="495" w:type="dxa"/>
            <w:tcBorders>
              <w:top w:val="single" w:color="auto" w:sz="4" w:space="0"/>
              <w:left w:val="single" w:color="auto" w:sz="4" w:space="0"/>
              <w:bottom w:val="single" w:color="auto" w:sz="4" w:space="0"/>
              <w:right w:val="single" w:color="auto" w:sz="4" w:space="0"/>
            </w:tcBorders>
            <w:vAlign w:val="center"/>
          </w:tcPr>
          <w:p w14:paraId="600F3A32">
            <w:pPr>
              <w:pStyle w:val="276"/>
              <w:rPr>
                <w:color w:val="auto"/>
              </w:rPr>
            </w:pPr>
            <w:r>
              <w:rPr>
                <w:rFonts w:hint="eastAsia"/>
                <w:color w:val="auto"/>
              </w:rPr>
              <w:t>2</w:t>
            </w:r>
          </w:p>
        </w:tc>
        <w:tc>
          <w:tcPr>
            <w:tcW w:w="1556" w:type="dxa"/>
            <w:tcBorders>
              <w:top w:val="single" w:color="auto" w:sz="4" w:space="0"/>
              <w:left w:val="single" w:color="auto" w:sz="4" w:space="0"/>
              <w:bottom w:val="single" w:color="auto" w:sz="4" w:space="0"/>
              <w:right w:val="single" w:color="auto" w:sz="4" w:space="0"/>
            </w:tcBorders>
            <w:vAlign w:val="center"/>
          </w:tcPr>
          <w:p w14:paraId="62787496">
            <w:pPr>
              <w:pStyle w:val="276"/>
              <w:rPr>
                <w:color w:val="auto"/>
              </w:rPr>
            </w:pPr>
            <w:r>
              <w:rPr>
                <w:rFonts w:hint="eastAsia"/>
                <w:color w:val="auto"/>
              </w:rPr>
              <w:t>污泥、蒸发结晶盐</w:t>
            </w:r>
          </w:p>
        </w:tc>
        <w:tc>
          <w:tcPr>
            <w:tcW w:w="5358" w:type="dxa"/>
            <w:tcBorders>
              <w:top w:val="single" w:color="auto" w:sz="4" w:space="0"/>
              <w:left w:val="single" w:color="auto" w:sz="4" w:space="0"/>
              <w:bottom w:val="single" w:color="auto" w:sz="4" w:space="0"/>
              <w:right w:val="single" w:color="auto" w:sz="4" w:space="0"/>
            </w:tcBorders>
            <w:vAlign w:val="center"/>
          </w:tcPr>
          <w:p w14:paraId="61E2BFCA">
            <w:pPr>
              <w:pStyle w:val="276"/>
              <w:rPr>
                <w:color w:val="auto"/>
              </w:rPr>
            </w:pPr>
            <w:r>
              <w:rPr>
                <w:rFonts w:hint="eastAsia"/>
                <w:color w:val="auto"/>
              </w:rPr>
              <w:t>污泥、蒸发结晶盐进行危废鉴别，鉴别前按照危险废物管理</w:t>
            </w:r>
          </w:p>
        </w:tc>
        <w:tc>
          <w:tcPr>
            <w:tcW w:w="1094" w:type="dxa"/>
            <w:tcBorders>
              <w:top w:val="single" w:color="auto" w:sz="4" w:space="0"/>
              <w:left w:val="single" w:color="auto" w:sz="4" w:space="0"/>
              <w:bottom w:val="single" w:color="auto" w:sz="4" w:space="0"/>
              <w:right w:val="single" w:color="auto" w:sz="4" w:space="0"/>
            </w:tcBorders>
            <w:vAlign w:val="center"/>
          </w:tcPr>
          <w:p w14:paraId="7756BC5A">
            <w:pPr>
              <w:pStyle w:val="276"/>
              <w:rPr>
                <w:color w:val="auto"/>
              </w:rPr>
            </w:pPr>
            <w:r>
              <w:rPr>
                <w:rFonts w:hint="eastAsia"/>
                <w:color w:val="auto"/>
              </w:rPr>
              <w:t>纳入运行成本</w:t>
            </w:r>
          </w:p>
        </w:tc>
      </w:tr>
      <w:tr w14:paraId="581A8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3" w:type="dxa"/>
            <w:vMerge w:val="continue"/>
            <w:tcBorders>
              <w:top w:val="single" w:color="auto" w:sz="4" w:space="0"/>
              <w:left w:val="single" w:color="auto" w:sz="4" w:space="0"/>
              <w:bottom w:val="single" w:color="auto" w:sz="4" w:space="0"/>
              <w:right w:val="single" w:color="auto" w:sz="4" w:space="0"/>
            </w:tcBorders>
            <w:vAlign w:val="center"/>
          </w:tcPr>
          <w:p w14:paraId="31DEF76C">
            <w:pPr>
              <w:pStyle w:val="276"/>
              <w:rPr>
                <w:color w:val="auto"/>
              </w:rPr>
            </w:pPr>
          </w:p>
        </w:tc>
        <w:tc>
          <w:tcPr>
            <w:tcW w:w="495" w:type="dxa"/>
            <w:tcBorders>
              <w:top w:val="single" w:color="auto" w:sz="4" w:space="0"/>
              <w:left w:val="single" w:color="auto" w:sz="4" w:space="0"/>
              <w:bottom w:val="single" w:color="auto" w:sz="4" w:space="0"/>
              <w:right w:val="single" w:color="auto" w:sz="4" w:space="0"/>
            </w:tcBorders>
            <w:vAlign w:val="center"/>
          </w:tcPr>
          <w:p w14:paraId="5A2641F3">
            <w:pPr>
              <w:pStyle w:val="276"/>
              <w:rPr>
                <w:color w:val="auto"/>
              </w:rPr>
            </w:pPr>
            <w:r>
              <w:rPr>
                <w:rFonts w:hint="eastAsia"/>
                <w:color w:val="auto"/>
              </w:rPr>
              <w:t>3</w:t>
            </w:r>
          </w:p>
        </w:tc>
        <w:tc>
          <w:tcPr>
            <w:tcW w:w="1556" w:type="dxa"/>
            <w:tcBorders>
              <w:top w:val="single" w:color="auto" w:sz="4" w:space="0"/>
              <w:left w:val="single" w:color="auto" w:sz="4" w:space="0"/>
              <w:bottom w:val="single" w:color="auto" w:sz="4" w:space="0"/>
              <w:right w:val="single" w:color="auto" w:sz="4" w:space="0"/>
            </w:tcBorders>
            <w:vAlign w:val="center"/>
          </w:tcPr>
          <w:p w14:paraId="277C02EE">
            <w:pPr>
              <w:pStyle w:val="276"/>
              <w:rPr>
                <w:b/>
                <w:bCs/>
                <w:color w:val="auto"/>
              </w:rPr>
            </w:pPr>
            <w:r>
              <w:rPr>
                <w:rFonts w:hint="eastAsia"/>
                <w:color w:val="auto"/>
              </w:rPr>
              <w:t>不沾染危险化学品的废包装材料</w:t>
            </w:r>
          </w:p>
        </w:tc>
        <w:tc>
          <w:tcPr>
            <w:tcW w:w="5358" w:type="dxa"/>
            <w:tcBorders>
              <w:top w:val="single" w:color="auto" w:sz="4" w:space="0"/>
              <w:left w:val="single" w:color="auto" w:sz="4" w:space="0"/>
              <w:bottom w:val="single" w:color="auto" w:sz="4" w:space="0"/>
              <w:right w:val="single" w:color="auto" w:sz="4" w:space="0"/>
            </w:tcBorders>
            <w:vAlign w:val="center"/>
          </w:tcPr>
          <w:p w14:paraId="54D360AD">
            <w:pPr>
              <w:pStyle w:val="276"/>
              <w:rPr>
                <w:color w:val="auto"/>
              </w:rPr>
            </w:pPr>
            <w:r>
              <w:rPr>
                <w:rFonts w:hint="eastAsia"/>
                <w:color w:val="auto"/>
              </w:rPr>
              <w:t>依托现有一般固废暂存间，位于污泥脱水车间内，建筑面积约</w:t>
            </w:r>
            <w:r>
              <w:rPr>
                <w:rFonts w:hint="eastAsia"/>
                <w:color w:val="auto"/>
                <w:lang w:val="en-US"/>
              </w:rPr>
              <w:t>5</w:t>
            </w:r>
            <w:r>
              <w:rPr>
                <w:rFonts w:hint="eastAsia"/>
                <w:color w:val="auto"/>
              </w:rPr>
              <w:t>m</w:t>
            </w:r>
            <w:r>
              <w:rPr>
                <w:rFonts w:hint="eastAsia"/>
                <w:color w:val="auto"/>
                <w:vertAlign w:val="superscript"/>
              </w:rPr>
              <w:t>2</w:t>
            </w:r>
            <w:r>
              <w:rPr>
                <w:rFonts w:hint="eastAsia"/>
                <w:color w:val="auto"/>
              </w:rPr>
              <w:t>，一般固废定期外卖废品回收公司</w:t>
            </w:r>
          </w:p>
        </w:tc>
        <w:tc>
          <w:tcPr>
            <w:tcW w:w="1094" w:type="dxa"/>
            <w:tcBorders>
              <w:top w:val="single" w:color="auto" w:sz="4" w:space="0"/>
              <w:left w:val="single" w:color="auto" w:sz="4" w:space="0"/>
              <w:bottom w:val="single" w:color="auto" w:sz="4" w:space="0"/>
              <w:right w:val="single" w:color="auto" w:sz="4" w:space="0"/>
            </w:tcBorders>
            <w:vAlign w:val="center"/>
          </w:tcPr>
          <w:p w14:paraId="4A53CAA7">
            <w:pPr>
              <w:pStyle w:val="276"/>
              <w:rPr>
                <w:color w:val="auto"/>
              </w:rPr>
            </w:pPr>
            <w:r>
              <w:rPr>
                <w:rFonts w:hint="eastAsia"/>
                <w:color w:val="auto"/>
              </w:rPr>
              <w:t>5</w:t>
            </w:r>
          </w:p>
        </w:tc>
      </w:tr>
      <w:tr w14:paraId="1BBC8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3" w:type="dxa"/>
            <w:vMerge w:val="continue"/>
            <w:tcBorders>
              <w:top w:val="single" w:color="auto" w:sz="4" w:space="0"/>
              <w:left w:val="single" w:color="auto" w:sz="4" w:space="0"/>
              <w:bottom w:val="single" w:color="auto" w:sz="4" w:space="0"/>
              <w:right w:val="single" w:color="auto" w:sz="4" w:space="0"/>
            </w:tcBorders>
            <w:vAlign w:val="center"/>
          </w:tcPr>
          <w:p w14:paraId="35272136">
            <w:pPr>
              <w:widowControl/>
              <w:adjustRightInd/>
              <w:snapToGrid/>
              <w:spacing w:line="240" w:lineRule="auto"/>
              <w:ind w:firstLine="0" w:firstLineChars="0"/>
              <w:jc w:val="left"/>
              <w:rPr>
                <w:color w:val="auto"/>
                <w:sz w:val="21"/>
                <w:lang w:val="zh-CN"/>
              </w:rPr>
            </w:pPr>
          </w:p>
        </w:tc>
        <w:tc>
          <w:tcPr>
            <w:tcW w:w="495" w:type="dxa"/>
            <w:tcBorders>
              <w:top w:val="single" w:color="auto" w:sz="4" w:space="0"/>
              <w:left w:val="single" w:color="auto" w:sz="4" w:space="0"/>
              <w:bottom w:val="single" w:color="auto" w:sz="4" w:space="0"/>
              <w:right w:val="single" w:color="auto" w:sz="4" w:space="0"/>
            </w:tcBorders>
            <w:vAlign w:val="center"/>
          </w:tcPr>
          <w:p w14:paraId="4FCD4F3F">
            <w:pPr>
              <w:pStyle w:val="276"/>
              <w:rPr>
                <w:color w:val="auto"/>
              </w:rPr>
            </w:pPr>
            <w:r>
              <w:rPr>
                <w:rFonts w:hint="eastAsia"/>
                <w:color w:val="auto"/>
              </w:rPr>
              <w:t>4</w:t>
            </w:r>
          </w:p>
        </w:tc>
        <w:tc>
          <w:tcPr>
            <w:tcW w:w="1556" w:type="dxa"/>
            <w:tcBorders>
              <w:top w:val="single" w:color="auto" w:sz="4" w:space="0"/>
              <w:left w:val="single" w:color="auto" w:sz="4" w:space="0"/>
              <w:bottom w:val="single" w:color="auto" w:sz="4" w:space="0"/>
              <w:right w:val="single" w:color="auto" w:sz="4" w:space="0"/>
            </w:tcBorders>
            <w:vAlign w:val="center"/>
          </w:tcPr>
          <w:p w14:paraId="3F29273C">
            <w:pPr>
              <w:pStyle w:val="276"/>
              <w:rPr>
                <w:color w:val="auto"/>
              </w:rPr>
            </w:pPr>
            <w:r>
              <w:rPr>
                <w:rFonts w:hint="eastAsia"/>
                <w:color w:val="auto"/>
              </w:rPr>
              <w:t>废包装材料</w:t>
            </w:r>
          </w:p>
          <w:p w14:paraId="36D3B8B0">
            <w:pPr>
              <w:pStyle w:val="276"/>
              <w:rPr>
                <w:color w:val="auto"/>
              </w:rPr>
            </w:pPr>
            <w:r>
              <w:rPr>
                <w:rFonts w:hint="eastAsia"/>
                <w:color w:val="auto"/>
              </w:rPr>
              <w:t>废活性炭</w:t>
            </w:r>
          </w:p>
          <w:p w14:paraId="232F41F5">
            <w:pPr>
              <w:pStyle w:val="276"/>
              <w:rPr>
                <w:color w:val="auto"/>
              </w:rPr>
            </w:pPr>
            <w:r>
              <w:rPr>
                <w:rFonts w:hint="eastAsia"/>
                <w:color w:val="auto"/>
              </w:rPr>
              <w:t>实验室废物</w:t>
            </w:r>
          </w:p>
          <w:p w14:paraId="3FE5C226">
            <w:pPr>
              <w:pStyle w:val="276"/>
              <w:rPr>
                <w:color w:val="auto"/>
              </w:rPr>
            </w:pPr>
            <w:r>
              <w:rPr>
                <w:rFonts w:hint="eastAsia"/>
                <w:color w:val="auto"/>
              </w:rPr>
              <w:t>废油类、废油桶及含油废物</w:t>
            </w:r>
          </w:p>
          <w:p w14:paraId="7020CDE9">
            <w:pPr>
              <w:pStyle w:val="276"/>
              <w:rPr>
                <w:color w:val="auto"/>
              </w:rPr>
            </w:pPr>
            <w:r>
              <w:rPr>
                <w:rFonts w:hint="eastAsia"/>
                <w:color w:val="auto"/>
              </w:rPr>
              <w:t>废膜</w:t>
            </w:r>
          </w:p>
        </w:tc>
        <w:tc>
          <w:tcPr>
            <w:tcW w:w="5358" w:type="dxa"/>
            <w:tcBorders>
              <w:top w:val="single" w:color="auto" w:sz="4" w:space="0"/>
              <w:left w:val="single" w:color="auto" w:sz="4" w:space="0"/>
              <w:bottom w:val="single" w:color="auto" w:sz="4" w:space="0"/>
              <w:right w:val="single" w:color="auto" w:sz="4" w:space="0"/>
            </w:tcBorders>
            <w:vAlign w:val="center"/>
          </w:tcPr>
          <w:p w14:paraId="005313BB">
            <w:pPr>
              <w:pStyle w:val="276"/>
              <w:rPr>
                <w:color w:val="auto"/>
              </w:rPr>
            </w:pPr>
            <w:r>
              <w:rPr>
                <w:rFonts w:hint="eastAsia"/>
                <w:color w:val="auto"/>
              </w:rPr>
              <w:t>依托现有危废贮存库和新建</w:t>
            </w:r>
            <w:r>
              <w:rPr>
                <w:rFonts w:hint="eastAsia"/>
                <w:color w:val="auto"/>
                <w:lang w:val="en-US"/>
              </w:rPr>
              <w:t>1间</w:t>
            </w:r>
            <w:r>
              <w:rPr>
                <w:rFonts w:hint="eastAsia"/>
                <w:color w:val="auto"/>
              </w:rPr>
              <w:t>盐/污泥贮存库，位于污泥脱水车间内，委托有资质单位处置</w:t>
            </w:r>
          </w:p>
        </w:tc>
        <w:tc>
          <w:tcPr>
            <w:tcW w:w="1094" w:type="dxa"/>
            <w:tcBorders>
              <w:top w:val="single" w:color="auto" w:sz="4" w:space="0"/>
              <w:left w:val="single" w:color="auto" w:sz="4" w:space="0"/>
              <w:bottom w:val="single" w:color="auto" w:sz="4" w:space="0"/>
              <w:right w:val="single" w:color="auto" w:sz="4" w:space="0"/>
            </w:tcBorders>
            <w:vAlign w:val="center"/>
          </w:tcPr>
          <w:p w14:paraId="2E286FD7">
            <w:pPr>
              <w:pStyle w:val="276"/>
              <w:rPr>
                <w:color w:val="auto"/>
              </w:rPr>
            </w:pPr>
            <w:r>
              <w:rPr>
                <w:rFonts w:hint="eastAsia"/>
                <w:color w:val="auto"/>
              </w:rPr>
              <w:t>20</w:t>
            </w:r>
          </w:p>
        </w:tc>
      </w:tr>
      <w:tr w14:paraId="707FB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3" w:type="dxa"/>
            <w:tcBorders>
              <w:top w:val="single" w:color="auto" w:sz="4" w:space="0"/>
              <w:left w:val="single" w:color="auto" w:sz="4" w:space="0"/>
              <w:bottom w:val="single" w:color="auto" w:sz="4" w:space="0"/>
              <w:right w:val="single" w:color="auto" w:sz="4" w:space="0"/>
            </w:tcBorders>
            <w:vAlign w:val="center"/>
          </w:tcPr>
          <w:p w14:paraId="54FC873D">
            <w:pPr>
              <w:widowControl/>
              <w:adjustRightInd/>
              <w:snapToGrid/>
              <w:spacing w:line="240" w:lineRule="auto"/>
              <w:ind w:firstLine="0" w:firstLineChars="0"/>
              <w:jc w:val="center"/>
              <w:rPr>
                <w:color w:val="auto"/>
                <w:sz w:val="21"/>
              </w:rPr>
            </w:pPr>
            <w:r>
              <w:rPr>
                <w:rFonts w:hint="eastAsia"/>
                <w:color w:val="auto"/>
                <w:sz w:val="21"/>
                <w:lang w:val="zh-CN"/>
              </w:rPr>
              <w:t>地下水和土壤污染防范措施</w:t>
            </w:r>
          </w:p>
        </w:tc>
        <w:tc>
          <w:tcPr>
            <w:tcW w:w="495" w:type="dxa"/>
            <w:tcBorders>
              <w:top w:val="single" w:color="auto" w:sz="4" w:space="0"/>
              <w:left w:val="single" w:color="auto" w:sz="4" w:space="0"/>
              <w:bottom w:val="single" w:color="auto" w:sz="4" w:space="0"/>
              <w:right w:val="single" w:color="auto" w:sz="4" w:space="0"/>
            </w:tcBorders>
            <w:vAlign w:val="center"/>
          </w:tcPr>
          <w:p w14:paraId="59BA6265">
            <w:pPr>
              <w:pStyle w:val="276"/>
              <w:rPr>
                <w:color w:val="auto"/>
              </w:rPr>
            </w:pPr>
            <w:r>
              <w:rPr>
                <w:rFonts w:hint="eastAsia"/>
                <w:color w:val="auto"/>
              </w:rPr>
              <w:t>1</w:t>
            </w:r>
          </w:p>
        </w:tc>
        <w:tc>
          <w:tcPr>
            <w:tcW w:w="1556" w:type="dxa"/>
            <w:tcBorders>
              <w:top w:val="single" w:color="auto" w:sz="4" w:space="0"/>
              <w:left w:val="single" w:color="auto" w:sz="4" w:space="0"/>
              <w:bottom w:val="single" w:color="auto" w:sz="4" w:space="0"/>
              <w:right w:val="single" w:color="auto" w:sz="4" w:space="0"/>
            </w:tcBorders>
            <w:vAlign w:val="center"/>
          </w:tcPr>
          <w:p w14:paraId="054CB127">
            <w:pPr>
              <w:pStyle w:val="276"/>
              <w:rPr>
                <w:color w:val="auto"/>
              </w:rPr>
            </w:pPr>
            <w:r>
              <w:rPr>
                <w:rFonts w:hint="eastAsia"/>
                <w:color w:val="auto"/>
              </w:rPr>
              <w:t>池体泄漏</w:t>
            </w:r>
          </w:p>
        </w:tc>
        <w:tc>
          <w:tcPr>
            <w:tcW w:w="5358" w:type="dxa"/>
            <w:tcBorders>
              <w:top w:val="single" w:color="auto" w:sz="4" w:space="0"/>
              <w:left w:val="single" w:color="auto" w:sz="4" w:space="0"/>
              <w:bottom w:val="single" w:color="auto" w:sz="4" w:space="0"/>
              <w:right w:val="single" w:color="auto" w:sz="4" w:space="0"/>
            </w:tcBorders>
            <w:vAlign w:val="center"/>
          </w:tcPr>
          <w:p w14:paraId="7D5B0D37">
            <w:pPr>
              <w:pStyle w:val="276"/>
              <w:rPr>
                <w:color w:val="auto"/>
              </w:rPr>
            </w:pPr>
            <w:r>
              <w:rPr>
                <w:rFonts w:hint="eastAsia"/>
                <w:color w:val="auto"/>
              </w:rPr>
              <w:t>按地下水分区防渗相关要求采取分区防渗措施；罐区设置围堰，厂区设置事故池，并采取重点防渗措施；定期对地下水和土壤进行跟踪监测</w:t>
            </w:r>
          </w:p>
        </w:tc>
        <w:tc>
          <w:tcPr>
            <w:tcW w:w="1094" w:type="dxa"/>
            <w:tcBorders>
              <w:top w:val="single" w:color="auto" w:sz="4" w:space="0"/>
              <w:left w:val="single" w:color="auto" w:sz="4" w:space="0"/>
              <w:bottom w:val="single" w:color="auto" w:sz="4" w:space="0"/>
              <w:right w:val="single" w:color="auto" w:sz="4" w:space="0"/>
            </w:tcBorders>
            <w:vAlign w:val="center"/>
          </w:tcPr>
          <w:p w14:paraId="3C47E4E1">
            <w:pPr>
              <w:pStyle w:val="276"/>
              <w:rPr>
                <w:color w:val="auto"/>
              </w:rPr>
            </w:pPr>
            <w:r>
              <w:rPr>
                <w:rFonts w:hint="eastAsia"/>
                <w:color w:val="auto"/>
              </w:rPr>
              <w:t>20</w:t>
            </w:r>
          </w:p>
        </w:tc>
      </w:tr>
      <w:tr w14:paraId="6903A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3" w:type="dxa"/>
            <w:tcBorders>
              <w:top w:val="single" w:color="auto" w:sz="4" w:space="0"/>
              <w:left w:val="single" w:color="auto" w:sz="4" w:space="0"/>
              <w:bottom w:val="single" w:color="auto" w:sz="4" w:space="0"/>
              <w:right w:val="single" w:color="auto" w:sz="4" w:space="0"/>
            </w:tcBorders>
            <w:vAlign w:val="center"/>
          </w:tcPr>
          <w:p w14:paraId="430EFDD0">
            <w:pPr>
              <w:pStyle w:val="276"/>
              <w:rPr>
                <w:color w:val="auto"/>
              </w:rPr>
            </w:pPr>
            <w:r>
              <w:rPr>
                <w:rFonts w:hint="eastAsia"/>
                <w:color w:val="auto"/>
              </w:rPr>
              <w:t>环境风险</w:t>
            </w:r>
          </w:p>
        </w:tc>
        <w:tc>
          <w:tcPr>
            <w:tcW w:w="7409" w:type="dxa"/>
            <w:gridSpan w:val="3"/>
            <w:tcBorders>
              <w:top w:val="single" w:color="auto" w:sz="4" w:space="0"/>
              <w:left w:val="single" w:color="auto" w:sz="4" w:space="0"/>
              <w:bottom w:val="single" w:color="auto" w:sz="4" w:space="0"/>
              <w:right w:val="single" w:color="auto" w:sz="4" w:space="0"/>
            </w:tcBorders>
            <w:vAlign w:val="center"/>
          </w:tcPr>
          <w:p w14:paraId="7B5F4E96">
            <w:pPr>
              <w:pStyle w:val="3361"/>
              <w:rPr>
                <w:color w:val="auto"/>
              </w:rPr>
            </w:pPr>
            <w:r>
              <w:rPr>
                <w:rFonts w:hint="eastAsia"/>
                <w:color w:val="auto"/>
              </w:rPr>
              <w:t>①加强管理，定期巡检、调节、保养、维修；严格控制处理单元的相关工艺参数，确保处理效果的稳定性；</w:t>
            </w:r>
          </w:p>
          <w:p w14:paraId="5ACEEEE8">
            <w:pPr>
              <w:pStyle w:val="3361"/>
              <w:rPr>
                <w:color w:val="auto"/>
              </w:rPr>
            </w:pPr>
            <w:r>
              <w:rPr>
                <w:rFonts w:hint="eastAsia"/>
                <w:color w:val="auto"/>
              </w:rPr>
              <w:t>②严格按照地下水和土壤污染防治措施要求，对厂区进行防渗分区，并严格落实各区域的分区防渗措施；</w:t>
            </w:r>
          </w:p>
          <w:p w14:paraId="54FE0FF0">
            <w:pPr>
              <w:pStyle w:val="3361"/>
              <w:rPr>
                <w:color w:val="auto"/>
              </w:rPr>
            </w:pPr>
            <w:r>
              <w:rPr>
                <w:rFonts w:hint="eastAsia"/>
                <w:color w:val="auto"/>
              </w:rPr>
              <w:t>③</w:t>
            </w:r>
            <w:r>
              <w:rPr>
                <w:rFonts w:hint="eastAsia"/>
                <w:color w:val="auto"/>
                <w:lang w:eastAsia="zh-CN"/>
              </w:rPr>
              <w:t>危废贮存库</w:t>
            </w:r>
            <w:r>
              <w:rPr>
                <w:rFonts w:hint="eastAsia"/>
                <w:color w:val="auto"/>
              </w:rPr>
              <w:t>应按《危险废物贮存污染控制标准》（GB 18597-2023）相关要求设置，采取必要的防风、防晒、防雨、防漏、防渗、防腐以及其他环境污染防治措施；</w:t>
            </w:r>
          </w:p>
          <w:p w14:paraId="063C33BB">
            <w:pPr>
              <w:pStyle w:val="3361"/>
              <w:rPr>
                <w:color w:val="auto"/>
              </w:rPr>
            </w:pPr>
            <w:r>
              <w:rPr>
                <w:rFonts w:hint="eastAsia"/>
                <w:color w:val="auto"/>
              </w:rPr>
              <w:t>④页岩气开采废水卸水和浓水装车过程均采取全密闭管道装卸方式，废水卸车区和浓水装车区设置环形应急收集沟，就近接入废水收集池；罐区设置围堰，</w:t>
            </w:r>
            <w:r>
              <w:rPr>
                <w:rFonts w:hint="eastAsia"/>
                <w:color w:val="auto"/>
                <w:lang w:eastAsia="zh-CN"/>
              </w:rPr>
              <w:t>厂区南侧新建1座事故池</w:t>
            </w:r>
            <w:r>
              <w:rPr>
                <w:rFonts w:hint="eastAsia"/>
                <w:color w:val="auto"/>
              </w:rPr>
              <w:t>，有效容积不低于</w:t>
            </w:r>
            <w:r>
              <w:rPr>
                <w:rFonts w:hint="eastAsia"/>
                <w:color w:val="auto"/>
                <w:lang w:val="en-US" w:eastAsia="zh-CN"/>
              </w:rPr>
              <w:t>1</w:t>
            </w:r>
            <w:r>
              <w:rPr>
                <w:rFonts w:hint="eastAsia"/>
                <w:color w:val="auto"/>
                <w:lang w:val="en-US"/>
              </w:rPr>
              <w:t>000</w:t>
            </w:r>
            <w:r>
              <w:rPr>
                <w:rFonts w:hint="eastAsia"/>
                <w:color w:val="auto"/>
              </w:rPr>
              <w:t>m</w:t>
            </w:r>
            <w:r>
              <w:rPr>
                <w:rFonts w:hint="eastAsia"/>
                <w:color w:val="auto"/>
                <w:vertAlign w:val="superscript"/>
              </w:rPr>
              <w:t>3</w:t>
            </w:r>
            <w:r>
              <w:rPr>
                <w:rFonts w:hint="eastAsia"/>
                <w:color w:val="auto"/>
              </w:rPr>
              <w:t>；</w:t>
            </w:r>
          </w:p>
          <w:p w14:paraId="61AFF9C6">
            <w:pPr>
              <w:pStyle w:val="276"/>
              <w:rPr>
                <w:snapToGrid w:val="0"/>
                <w:color w:val="auto"/>
              </w:rPr>
            </w:pPr>
            <w:r>
              <w:rPr>
                <w:rFonts w:hint="eastAsia"/>
                <w:color w:val="auto"/>
              </w:rPr>
              <w:t>⑤</w:t>
            </w:r>
            <w:r>
              <w:rPr>
                <w:rFonts w:hint="eastAsia"/>
                <w:color w:val="auto"/>
                <w:lang w:eastAsia="zh-CN"/>
              </w:rPr>
              <w:t>编制突发事件环境风险评估及应急预案</w:t>
            </w:r>
            <w:r>
              <w:rPr>
                <w:rFonts w:hint="eastAsia"/>
                <w:color w:val="auto"/>
              </w:rPr>
              <w:t>，并报区生态环境局备案。</w:t>
            </w:r>
          </w:p>
        </w:tc>
        <w:tc>
          <w:tcPr>
            <w:tcW w:w="1094" w:type="dxa"/>
            <w:tcBorders>
              <w:top w:val="single" w:color="auto" w:sz="4" w:space="0"/>
              <w:left w:val="single" w:color="auto" w:sz="4" w:space="0"/>
              <w:bottom w:val="single" w:color="auto" w:sz="4" w:space="0"/>
              <w:right w:val="single" w:color="auto" w:sz="4" w:space="0"/>
            </w:tcBorders>
            <w:vAlign w:val="center"/>
          </w:tcPr>
          <w:p w14:paraId="70BFF0EA">
            <w:pPr>
              <w:pStyle w:val="276"/>
              <w:rPr>
                <w:color w:val="auto"/>
              </w:rPr>
            </w:pPr>
            <w:r>
              <w:rPr>
                <w:rFonts w:hint="eastAsia"/>
                <w:color w:val="auto"/>
              </w:rPr>
              <w:t>30</w:t>
            </w:r>
          </w:p>
        </w:tc>
      </w:tr>
      <w:tr w14:paraId="1E7A3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2" w:type="dxa"/>
            <w:gridSpan w:val="4"/>
            <w:tcBorders>
              <w:top w:val="single" w:color="auto" w:sz="4" w:space="0"/>
              <w:left w:val="single" w:color="auto" w:sz="4" w:space="0"/>
              <w:bottom w:val="single" w:color="auto" w:sz="4" w:space="0"/>
              <w:right w:val="single" w:color="auto" w:sz="4" w:space="0"/>
            </w:tcBorders>
            <w:vAlign w:val="center"/>
          </w:tcPr>
          <w:p w14:paraId="43EDDF05">
            <w:pPr>
              <w:pStyle w:val="276"/>
              <w:rPr>
                <w:color w:val="auto"/>
              </w:rPr>
            </w:pPr>
            <w:r>
              <w:rPr>
                <w:rFonts w:hint="eastAsia"/>
                <w:color w:val="auto"/>
              </w:rPr>
              <w:t>合计</w:t>
            </w:r>
          </w:p>
        </w:tc>
        <w:tc>
          <w:tcPr>
            <w:tcW w:w="1094" w:type="dxa"/>
            <w:tcBorders>
              <w:top w:val="single" w:color="auto" w:sz="4" w:space="0"/>
              <w:left w:val="single" w:color="auto" w:sz="4" w:space="0"/>
              <w:bottom w:val="single" w:color="auto" w:sz="4" w:space="0"/>
              <w:right w:val="single" w:color="auto" w:sz="4" w:space="0"/>
            </w:tcBorders>
            <w:vAlign w:val="center"/>
          </w:tcPr>
          <w:p w14:paraId="19421181">
            <w:pPr>
              <w:pStyle w:val="276"/>
              <w:rPr>
                <w:color w:val="auto"/>
              </w:rPr>
            </w:pPr>
            <w:r>
              <w:rPr>
                <w:rFonts w:hint="eastAsia"/>
                <w:color w:val="auto"/>
              </w:rPr>
              <w:t>200</w:t>
            </w:r>
          </w:p>
        </w:tc>
      </w:tr>
    </w:tbl>
    <w:p w14:paraId="52AB1E5F">
      <w:pPr>
        <w:spacing w:line="360" w:lineRule="auto"/>
        <w:ind w:firstLine="0" w:firstLineChars="0"/>
        <w:rPr>
          <w:color w:val="auto"/>
          <w:szCs w:val="24"/>
        </w:rPr>
      </w:pPr>
    </w:p>
    <w:p w14:paraId="3A909912">
      <w:pPr>
        <w:spacing w:line="360" w:lineRule="auto"/>
        <w:ind w:firstLine="480"/>
        <w:rPr>
          <w:b/>
          <w:bCs/>
          <w:color w:val="auto"/>
          <w:kern w:val="44"/>
          <w:szCs w:val="24"/>
          <w:lang w:val="zh-CN"/>
        </w:rPr>
      </w:pPr>
      <w:r>
        <w:rPr>
          <w:color w:val="auto"/>
          <w:szCs w:val="24"/>
        </w:rPr>
        <w:br w:type="page"/>
      </w:r>
    </w:p>
    <w:p w14:paraId="5BFDAF9A">
      <w:pPr>
        <w:pStyle w:val="3"/>
        <w:numPr>
          <w:ilvl w:val="0"/>
          <w:numId w:val="0"/>
        </w:numPr>
        <w:spacing w:line="360" w:lineRule="auto"/>
        <w:rPr>
          <w:color w:val="auto"/>
          <w:sz w:val="24"/>
          <w:szCs w:val="24"/>
        </w:rPr>
      </w:pPr>
      <w:bookmarkStart w:id="348" w:name="_Toc4145"/>
      <w:r>
        <w:rPr>
          <w:color w:val="auto"/>
          <w:sz w:val="24"/>
          <w:szCs w:val="24"/>
        </w:rPr>
        <w:t>9环境影响经济损益分析</w:t>
      </w:r>
      <w:bookmarkEnd w:id="297"/>
      <w:bookmarkEnd w:id="298"/>
      <w:bookmarkEnd w:id="348"/>
    </w:p>
    <w:p w14:paraId="161DE119">
      <w:pPr>
        <w:spacing w:line="360" w:lineRule="auto"/>
        <w:ind w:firstLine="480"/>
        <w:rPr>
          <w:color w:val="auto"/>
          <w:szCs w:val="24"/>
        </w:rPr>
      </w:pPr>
      <w:r>
        <w:rPr>
          <w:color w:val="auto"/>
          <w:szCs w:val="24"/>
        </w:rPr>
        <w:t>环境经济损益分析是建设项目环境影响评价的一个重要组成部分，是综合评价、判断建设项目的环保投资是否能够补偿或多大程度上补偿由于污染造成环境损失的重要依据。环境经济损益分析除了</w:t>
      </w:r>
      <w:r>
        <w:rPr>
          <w:rFonts w:hint="eastAsia"/>
          <w:color w:val="auto"/>
          <w:szCs w:val="24"/>
          <w:lang w:eastAsia="zh-CN"/>
        </w:rPr>
        <w:t>需要</w:t>
      </w:r>
      <w:r>
        <w:rPr>
          <w:color w:val="auto"/>
          <w:szCs w:val="24"/>
        </w:rPr>
        <w:t>计算用于治理、控制污染所需的投资和费用外，还要同时核算可能收到的经济效益和社会效益。</w:t>
      </w:r>
    </w:p>
    <w:p w14:paraId="585363B7">
      <w:pPr>
        <w:spacing w:line="360" w:lineRule="auto"/>
        <w:ind w:firstLine="480"/>
        <w:rPr>
          <w:color w:val="auto"/>
          <w:szCs w:val="24"/>
        </w:rPr>
      </w:pPr>
      <w:r>
        <w:rPr>
          <w:color w:val="auto"/>
          <w:szCs w:val="24"/>
        </w:rPr>
        <w:t>环境经济损益分析的主要任务是衡量建设项目环保投资及所能收到的环境保护效果，通过环保设施技术可行性和经济合理性的论证分析及评价，更合理地选择环保设施，从而促进建设项目更好地实现环境效益、经济效益与社会效益的统一。</w:t>
      </w:r>
    </w:p>
    <w:p w14:paraId="3DEC531F">
      <w:pPr>
        <w:pStyle w:val="4"/>
        <w:numPr>
          <w:ilvl w:val="0"/>
          <w:numId w:val="0"/>
        </w:numPr>
        <w:spacing w:line="360" w:lineRule="auto"/>
        <w:rPr>
          <w:color w:val="auto"/>
          <w:szCs w:val="24"/>
        </w:rPr>
      </w:pPr>
      <w:bookmarkStart w:id="349" w:name="_Toc15528"/>
      <w:r>
        <w:rPr>
          <w:color w:val="auto"/>
          <w:szCs w:val="24"/>
        </w:rPr>
        <w:t>9.1 工程投资概算</w:t>
      </w:r>
      <w:bookmarkEnd w:id="349"/>
    </w:p>
    <w:p w14:paraId="37ABA14B">
      <w:pPr>
        <w:spacing w:line="360" w:lineRule="auto"/>
        <w:ind w:firstLine="480"/>
        <w:rPr>
          <w:color w:val="auto"/>
        </w:rPr>
      </w:pPr>
      <w:r>
        <w:rPr>
          <w:color w:val="auto"/>
          <w:szCs w:val="24"/>
        </w:rPr>
        <w:t>拟建项目工程总投资</w:t>
      </w:r>
      <w:r>
        <w:rPr>
          <w:rFonts w:hint="eastAsia"/>
          <w:color w:val="auto"/>
          <w:szCs w:val="24"/>
          <w:lang w:val="en-US" w:eastAsia="zh-CN"/>
        </w:rPr>
        <w:t>2</w:t>
      </w:r>
      <w:r>
        <w:rPr>
          <w:rFonts w:hint="eastAsia"/>
          <w:color w:val="auto"/>
          <w:szCs w:val="24"/>
        </w:rPr>
        <w:t>000万</w:t>
      </w:r>
      <w:r>
        <w:rPr>
          <w:color w:val="auto"/>
        </w:rPr>
        <w:t>元</w:t>
      </w:r>
      <w:r>
        <w:rPr>
          <w:rFonts w:hint="eastAsia"/>
          <w:color w:val="auto"/>
        </w:rPr>
        <w:t>，</w:t>
      </w:r>
      <w:r>
        <w:rPr>
          <w:rFonts w:hint="eastAsia"/>
          <w:color w:val="auto"/>
          <w:szCs w:val="24"/>
        </w:rPr>
        <w:t>二次污染防治措施环保投资</w:t>
      </w:r>
      <w:r>
        <w:rPr>
          <w:rFonts w:hint="eastAsia"/>
          <w:color w:val="auto"/>
          <w:szCs w:val="24"/>
          <w:lang w:val="en-US" w:eastAsia="zh-CN"/>
        </w:rPr>
        <w:t>15</w:t>
      </w:r>
      <w:r>
        <w:rPr>
          <w:color w:val="auto"/>
          <w:szCs w:val="24"/>
        </w:rPr>
        <w:t>0</w:t>
      </w:r>
      <w:r>
        <w:rPr>
          <w:rFonts w:hint="eastAsia"/>
          <w:color w:val="auto"/>
          <w:szCs w:val="24"/>
        </w:rPr>
        <w:t>万元</w:t>
      </w:r>
      <w:r>
        <w:rPr>
          <w:color w:val="auto"/>
        </w:rPr>
        <w:t>。</w:t>
      </w:r>
    </w:p>
    <w:p w14:paraId="24CD0B1E">
      <w:pPr>
        <w:spacing w:line="360" w:lineRule="auto"/>
        <w:ind w:firstLine="480"/>
        <w:rPr>
          <w:color w:val="auto"/>
          <w:szCs w:val="24"/>
        </w:rPr>
      </w:pPr>
      <w:r>
        <w:rPr>
          <w:rFonts w:hint="eastAsia"/>
          <w:color w:val="auto"/>
          <w:szCs w:val="24"/>
        </w:rPr>
        <w:t>拟建项目属于环保工程，拟建项目实施后，服务范围内油气田采出水将得以有效治理，所在区域原有受纳水域环境将得到有效改善；拟建项目建成后可有效的减少污水中污染物的排放量为COD</w:t>
      </w:r>
      <w:r>
        <w:rPr>
          <w:color w:val="auto"/>
        </w:rPr>
        <w:t xml:space="preserve"> </w:t>
      </w:r>
      <w:r>
        <w:rPr>
          <w:rFonts w:hint="eastAsia"/>
          <w:color w:val="auto"/>
          <w:szCs w:val="24"/>
          <w:lang w:val="en-US" w:eastAsia="zh-CN"/>
        </w:rPr>
        <w:t>1144.23</w:t>
      </w:r>
      <w:r>
        <w:rPr>
          <w:rFonts w:hint="eastAsia"/>
          <w:color w:val="auto"/>
          <w:szCs w:val="24"/>
        </w:rPr>
        <w:t xml:space="preserve"> t/a、NH</w:t>
      </w:r>
      <w:r>
        <w:rPr>
          <w:rFonts w:hint="eastAsia"/>
          <w:color w:val="auto"/>
          <w:szCs w:val="24"/>
          <w:vertAlign w:val="subscript"/>
        </w:rPr>
        <w:t>3</w:t>
      </w:r>
      <w:r>
        <w:rPr>
          <w:rFonts w:hint="eastAsia"/>
          <w:color w:val="auto"/>
          <w:szCs w:val="24"/>
        </w:rPr>
        <w:t>-N</w:t>
      </w:r>
      <w:r>
        <w:rPr>
          <w:rFonts w:hint="eastAsia"/>
          <w:color w:val="auto"/>
          <w:szCs w:val="24"/>
          <w:lang w:val="en-US" w:eastAsia="zh-CN"/>
        </w:rPr>
        <w:t>53.97</w:t>
      </w:r>
      <w:r>
        <w:rPr>
          <w:rFonts w:hint="eastAsia" w:eastAsia="等线"/>
          <w:color w:val="auto"/>
          <w:szCs w:val="21"/>
        </w:rPr>
        <w:t xml:space="preserve"> </w:t>
      </w:r>
      <w:r>
        <w:rPr>
          <w:rFonts w:hint="eastAsia"/>
          <w:color w:val="auto"/>
          <w:szCs w:val="24"/>
        </w:rPr>
        <w:t>t/a，</w:t>
      </w:r>
      <w:r>
        <w:rPr>
          <w:color w:val="auto"/>
          <w:szCs w:val="24"/>
        </w:rPr>
        <w:t>对保护区域地表水体水质起到了积极作用</w:t>
      </w:r>
      <w:r>
        <w:rPr>
          <w:rFonts w:hint="eastAsia"/>
          <w:color w:val="auto"/>
          <w:szCs w:val="24"/>
        </w:rPr>
        <w:t>。因此，从环保角度看，拟建项目的建设对环境表现为正效应。</w:t>
      </w:r>
    </w:p>
    <w:p w14:paraId="34A6B496">
      <w:pPr>
        <w:pStyle w:val="4"/>
        <w:numPr>
          <w:ilvl w:val="0"/>
          <w:numId w:val="0"/>
        </w:numPr>
        <w:spacing w:line="360" w:lineRule="auto"/>
        <w:rPr>
          <w:color w:val="auto"/>
        </w:rPr>
      </w:pPr>
      <w:bookmarkStart w:id="350" w:name="_Toc472509345"/>
      <w:bookmarkStart w:id="351" w:name="_Toc423424116"/>
      <w:bookmarkStart w:id="352" w:name="_Toc370774341"/>
      <w:bookmarkStart w:id="353" w:name="_Toc462350351"/>
      <w:bookmarkStart w:id="354" w:name="_Toc398080804"/>
      <w:bookmarkStart w:id="355" w:name="_Toc30415"/>
      <w:r>
        <w:rPr>
          <w:color w:val="auto"/>
        </w:rPr>
        <w:t>9.2社会效益分析</w:t>
      </w:r>
      <w:bookmarkEnd w:id="350"/>
      <w:bookmarkEnd w:id="351"/>
      <w:bookmarkEnd w:id="352"/>
      <w:bookmarkEnd w:id="353"/>
      <w:bookmarkEnd w:id="354"/>
      <w:bookmarkEnd w:id="355"/>
    </w:p>
    <w:p w14:paraId="55871847">
      <w:pPr>
        <w:spacing w:line="360" w:lineRule="auto"/>
        <w:ind w:firstLine="480"/>
        <w:jc w:val="left"/>
        <w:rPr>
          <w:bCs/>
          <w:color w:val="auto"/>
        </w:rPr>
      </w:pPr>
      <w:r>
        <w:rPr>
          <w:color w:val="auto"/>
        </w:rPr>
        <w:t>拟建项目是一项</w:t>
      </w:r>
      <w:r>
        <w:rPr>
          <w:rFonts w:hint="eastAsia"/>
          <w:color w:val="auto"/>
          <w:szCs w:val="24"/>
        </w:rPr>
        <w:t>环保工程</w:t>
      </w:r>
      <w:r>
        <w:rPr>
          <w:color w:val="auto"/>
        </w:rPr>
        <w:t>，项目实施后，可有效地减轻</w:t>
      </w:r>
      <w:r>
        <w:rPr>
          <w:rFonts w:hint="eastAsia"/>
          <w:color w:val="auto"/>
          <w:szCs w:val="24"/>
        </w:rPr>
        <w:t>油气田采出水处理难的问题，为油气田开发提供助力；</w:t>
      </w:r>
      <w:r>
        <w:rPr>
          <w:bCs/>
          <w:color w:val="auto"/>
        </w:rPr>
        <w:t>同时项目建设给当地政府提供税收，解决当地部分劳动力就业问题。项目建成后具有良好的社会效益。</w:t>
      </w:r>
    </w:p>
    <w:p w14:paraId="328C3EAE">
      <w:pPr>
        <w:pStyle w:val="4"/>
        <w:numPr>
          <w:ilvl w:val="0"/>
          <w:numId w:val="0"/>
        </w:numPr>
        <w:spacing w:line="360" w:lineRule="auto"/>
        <w:rPr>
          <w:color w:val="auto"/>
        </w:rPr>
      </w:pPr>
      <w:bookmarkStart w:id="356" w:name="_Toc462350352"/>
      <w:bookmarkStart w:id="357" w:name="_Toc398080805"/>
      <w:bookmarkStart w:id="358" w:name="_Toc472509346"/>
      <w:bookmarkStart w:id="359" w:name="_Toc370774342"/>
      <w:bookmarkStart w:id="360" w:name="_Toc423424117"/>
      <w:bookmarkStart w:id="361" w:name="_Toc24105"/>
      <w:r>
        <w:rPr>
          <w:color w:val="auto"/>
        </w:rPr>
        <w:t>9.3</w:t>
      </w:r>
      <w:bookmarkStart w:id="362" w:name="_Hlk20664455"/>
      <w:r>
        <w:rPr>
          <w:color w:val="auto"/>
        </w:rPr>
        <w:t>经济</w:t>
      </w:r>
      <w:bookmarkEnd w:id="356"/>
      <w:bookmarkEnd w:id="357"/>
      <w:bookmarkEnd w:id="358"/>
      <w:bookmarkEnd w:id="359"/>
      <w:bookmarkEnd w:id="360"/>
      <w:r>
        <w:rPr>
          <w:color w:val="auto"/>
        </w:rPr>
        <w:t>效益</w:t>
      </w:r>
      <w:bookmarkEnd w:id="361"/>
      <w:bookmarkEnd w:id="362"/>
    </w:p>
    <w:p w14:paraId="35137087">
      <w:pPr>
        <w:spacing w:line="360" w:lineRule="auto"/>
        <w:ind w:firstLine="480"/>
        <w:rPr>
          <w:color w:val="auto"/>
        </w:rPr>
      </w:pPr>
      <w:r>
        <w:rPr>
          <w:color w:val="auto"/>
        </w:rPr>
        <w:t>拟建废水处理</w:t>
      </w:r>
      <w:r>
        <w:rPr>
          <w:rFonts w:hint="eastAsia"/>
          <w:color w:val="auto"/>
        </w:rPr>
        <w:t>设施</w:t>
      </w:r>
      <w:r>
        <w:rPr>
          <w:color w:val="auto"/>
        </w:rPr>
        <w:t>，具有一定的直接和间接经济效益。</w:t>
      </w:r>
    </w:p>
    <w:p w14:paraId="68A3E4A7">
      <w:pPr>
        <w:spacing w:line="360" w:lineRule="auto"/>
        <w:ind w:firstLine="480"/>
        <w:rPr>
          <w:color w:val="auto"/>
        </w:rPr>
      </w:pPr>
      <w:r>
        <w:rPr>
          <w:color w:val="auto"/>
        </w:rPr>
        <w:t>（1）</w:t>
      </w:r>
      <w:bookmarkStart w:id="363" w:name="_Hlk20664464"/>
      <w:r>
        <w:rPr>
          <w:color w:val="auto"/>
        </w:rPr>
        <w:t>直接经济效益：</w:t>
      </w:r>
      <w:r>
        <w:rPr>
          <w:rFonts w:hint="eastAsia"/>
          <w:color w:val="auto"/>
        </w:rPr>
        <w:t>根据设计资料数据</w:t>
      </w:r>
      <w:r>
        <w:rPr>
          <w:color w:val="auto"/>
        </w:rPr>
        <w:t>，</w:t>
      </w:r>
      <w:r>
        <w:rPr>
          <w:rFonts w:hint="eastAsia"/>
          <w:color w:val="auto"/>
        </w:rPr>
        <w:t>污水厂经营成本</w:t>
      </w:r>
      <w:r>
        <w:rPr>
          <w:rFonts w:hint="eastAsia"/>
          <w:color w:val="auto"/>
          <w:lang w:eastAsia="zh-CN"/>
        </w:rPr>
        <w:t>约</w:t>
      </w:r>
      <w:r>
        <w:rPr>
          <w:color w:val="auto"/>
        </w:rPr>
        <w:t>5</w:t>
      </w:r>
      <w:r>
        <w:rPr>
          <w:rFonts w:hint="eastAsia"/>
          <w:color w:val="auto"/>
        </w:rPr>
        <w:t>00万元/a，</w:t>
      </w:r>
      <w:r>
        <w:rPr>
          <w:color w:val="auto"/>
        </w:rPr>
        <w:t>年收入4</w:t>
      </w:r>
      <w:r>
        <w:rPr>
          <w:rFonts w:hint="eastAsia"/>
          <w:color w:val="auto"/>
        </w:rPr>
        <w:t>000</w:t>
      </w:r>
      <w:r>
        <w:rPr>
          <w:color w:val="auto"/>
        </w:rPr>
        <w:t>万元。</w:t>
      </w:r>
      <w:r>
        <w:rPr>
          <w:rFonts w:hint="eastAsia"/>
          <w:color w:val="auto"/>
          <w:lang w:eastAsia="zh-CN"/>
        </w:rPr>
        <w:t>污水处理厂</w:t>
      </w:r>
      <w:r>
        <w:rPr>
          <w:rFonts w:hint="eastAsia"/>
          <w:color w:val="auto"/>
        </w:rPr>
        <w:t>按照运行2</w:t>
      </w:r>
      <w:r>
        <w:rPr>
          <w:color w:val="auto"/>
        </w:rPr>
        <w:t>0</w:t>
      </w:r>
      <w:r>
        <w:rPr>
          <w:rFonts w:hint="eastAsia"/>
          <w:color w:val="auto"/>
        </w:rPr>
        <w:t>年核算，</w:t>
      </w:r>
      <w:r>
        <w:rPr>
          <w:color w:val="auto"/>
        </w:rPr>
        <w:t>由此计算</w:t>
      </w:r>
      <w:r>
        <w:rPr>
          <w:rFonts w:hint="eastAsia"/>
          <w:color w:val="auto"/>
        </w:rPr>
        <w:t>2</w:t>
      </w:r>
      <w:r>
        <w:rPr>
          <w:color w:val="auto"/>
        </w:rPr>
        <w:t>0年总收入约8</w:t>
      </w:r>
      <w:r>
        <w:rPr>
          <w:rFonts w:hint="eastAsia"/>
          <w:color w:val="auto"/>
        </w:rPr>
        <w:t>0000</w:t>
      </w:r>
      <w:r>
        <w:rPr>
          <w:color w:val="auto"/>
        </w:rPr>
        <w:t>万元</w:t>
      </w:r>
      <w:r>
        <w:rPr>
          <w:rFonts w:hint="eastAsia"/>
          <w:color w:val="auto"/>
        </w:rPr>
        <w:t>，扣除总投资及二次环保投资后，总经济效益约</w:t>
      </w:r>
      <w:r>
        <w:rPr>
          <w:color w:val="auto"/>
        </w:rPr>
        <w:t>6</w:t>
      </w:r>
      <w:r>
        <w:rPr>
          <w:rFonts w:hint="eastAsia"/>
          <w:color w:val="auto"/>
          <w:lang w:val="en-US" w:eastAsia="zh-CN"/>
        </w:rPr>
        <w:t>80</w:t>
      </w:r>
      <w:r>
        <w:rPr>
          <w:color w:val="auto"/>
        </w:rPr>
        <w:t>00</w:t>
      </w:r>
      <w:r>
        <w:rPr>
          <w:rFonts w:hint="eastAsia"/>
          <w:color w:val="auto"/>
        </w:rPr>
        <w:t>万元</w:t>
      </w:r>
      <w:r>
        <w:rPr>
          <w:color w:val="auto"/>
        </w:rPr>
        <w:t>。</w:t>
      </w:r>
    </w:p>
    <w:bookmarkEnd w:id="363"/>
    <w:p w14:paraId="36BAE445">
      <w:pPr>
        <w:spacing w:line="360" w:lineRule="auto"/>
        <w:ind w:firstLine="480"/>
        <w:rPr>
          <w:color w:val="auto"/>
        </w:rPr>
      </w:pPr>
      <w:r>
        <w:rPr>
          <w:color w:val="auto"/>
        </w:rPr>
        <w:t>（2）间接经济效益：污水处理厂作为一个带有公益性质的</w:t>
      </w:r>
      <w:r>
        <w:rPr>
          <w:rFonts w:hint="eastAsia"/>
          <w:color w:val="auto"/>
        </w:rPr>
        <w:t>工程</w:t>
      </w:r>
      <w:r>
        <w:rPr>
          <w:color w:val="auto"/>
        </w:rPr>
        <w:t>设施，</w:t>
      </w:r>
      <w:r>
        <w:rPr>
          <w:rFonts w:hint="eastAsia"/>
          <w:color w:val="auto"/>
          <w:szCs w:val="24"/>
        </w:rPr>
        <w:t>项目的建设能实现废水达标排放，减少环境风险</w:t>
      </w:r>
      <w:r>
        <w:rPr>
          <w:color w:val="auto"/>
        </w:rPr>
        <w:t>。</w:t>
      </w:r>
    </w:p>
    <w:p w14:paraId="6152E6C3">
      <w:pPr>
        <w:pStyle w:val="4"/>
        <w:numPr>
          <w:ilvl w:val="0"/>
          <w:numId w:val="0"/>
        </w:numPr>
        <w:spacing w:line="360" w:lineRule="auto"/>
        <w:rPr>
          <w:color w:val="auto"/>
        </w:rPr>
      </w:pPr>
      <w:bookmarkStart w:id="364" w:name="_Toc10584"/>
      <w:r>
        <w:rPr>
          <w:color w:val="auto"/>
        </w:rPr>
        <w:t>9.4环境效益</w:t>
      </w:r>
      <w:bookmarkEnd w:id="364"/>
    </w:p>
    <w:p w14:paraId="3425D2DC">
      <w:pPr>
        <w:spacing w:line="360" w:lineRule="auto"/>
        <w:ind w:firstLine="480"/>
        <w:jc w:val="left"/>
        <w:rPr>
          <w:bCs/>
          <w:color w:val="auto"/>
        </w:rPr>
      </w:pPr>
      <w:r>
        <w:rPr>
          <w:bCs/>
          <w:color w:val="auto"/>
        </w:rPr>
        <w:t>项目为油气田废水处理项目，油气井在钻井过程中产生的污水未经合规达标处理排放会对周边生态环境造成严重损害，开展钻井作业污水集中处理可有效降低本区域环境污染风险，将钻井过程中产生的污水转化为</w:t>
      </w:r>
      <w:r>
        <w:rPr>
          <w:rFonts w:hint="eastAsia"/>
          <w:bCs/>
          <w:color w:val="auto"/>
        </w:rPr>
        <w:t>水资源、</w:t>
      </w:r>
      <w:r>
        <w:rPr>
          <w:bCs/>
          <w:color w:val="auto"/>
        </w:rPr>
        <w:t>达标水和一般固废，然后拉运出去分类处置，对环境友好，实现绿色发展。</w:t>
      </w:r>
      <w:r>
        <w:rPr>
          <w:color w:val="auto"/>
        </w:rPr>
        <w:t>具有较高的环境效益。</w:t>
      </w:r>
    </w:p>
    <w:p w14:paraId="6444BDD3">
      <w:pPr>
        <w:spacing w:line="360" w:lineRule="auto"/>
        <w:ind w:firstLine="480"/>
        <w:rPr>
          <w:color w:val="auto"/>
        </w:rPr>
      </w:pPr>
      <w:r>
        <w:rPr>
          <w:color w:val="auto"/>
        </w:rPr>
        <w:t>综上所述，拟建项目</w:t>
      </w:r>
      <w:r>
        <w:rPr>
          <w:bCs/>
          <w:color w:val="auto"/>
        </w:rPr>
        <w:t>建成后具有良好的环境效益、社会效益和经济效益</w:t>
      </w:r>
      <w:r>
        <w:rPr>
          <w:color w:val="auto"/>
        </w:rPr>
        <w:t>。</w:t>
      </w:r>
    </w:p>
    <w:p w14:paraId="24A07E29">
      <w:pPr>
        <w:ind w:firstLine="480"/>
        <w:rPr>
          <w:color w:val="auto"/>
        </w:rPr>
      </w:pPr>
    </w:p>
    <w:p w14:paraId="299AEC57">
      <w:pPr>
        <w:pStyle w:val="3"/>
        <w:rPr>
          <w:color w:val="auto"/>
        </w:rPr>
        <w:sectPr>
          <w:pgSz w:w="11906" w:h="16838"/>
          <w:pgMar w:top="1418" w:right="1418" w:bottom="1418" w:left="1418" w:header="851" w:footer="992" w:gutter="0"/>
          <w:pgBorders>
            <w:top w:val="none" w:sz="0" w:space="0"/>
            <w:left w:val="none" w:sz="0" w:space="0"/>
            <w:bottom w:val="none" w:sz="0" w:space="0"/>
            <w:right w:val="none" w:sz="0" w:space="0"/>
          </w:pgBorders>
          <w:cols w:space="425" w:num="1"/>
          <w:docGrid w:linePitch="312" w:charSpace="0"/>
        </w:sectPr>
      </w:pPr>
      <w:bookmarkStart w:id="365" w:name="_Toc462350353"/>
      <w:bookmarkStart w:id="366" w:name="_Toc472509347"/>
    </w:p>
    <w:p w14:paraId="601984C8">
      <w:pPr>
        <w:pStyle w:val="3"/>
        <w:numPr>
          <w:ilvl w:val="0"/>
          <w:numId w:val="0"/>
        </w:numPr>
        <w:spacing w:line="360" w:lineRule="auto"/>
        <w:rPr>
          <w:color w:val="auto"/>
          <w:sz w:val="24"/>
          <w:szCs w:val="24"/>
        </w:rPr>
      </w:pPr>
      <w:bookmarkStart w:id="367" w:name="_Toc32643"/>
      <w:r>
        <w:rPr>
          <w:color w:val="auto"/>
          <w:sz w:val="24"/>
          <w:szCs w:val="24"/>
        </w:rPr>
        <w:t>10环境管理与环境监测</w:t>
      </w:r>
      <w:bookmarkEnd w:id="365"/>
      <w:bookmarkEnd w:id="366"/>
      <w:bookmarkEnd w:id="367"/>
    </w:p>
    <w:p w14:paraId="3A26B6D5">
      <w:pPr>
        <w:spacing w:line="360" w:lineRule="auto"/>
        <w:ind w:firstLine="480"/>
        <w:rPr>
          <w:color w:val="auto"/>
          <w:szCs w:val="24"/>
        </w:rPr>
      </w:pPr>
      <w:r>
        <w:rPr>
          <w:color w:val="auto"/>
          <w:szCs w:val="24"/>
        </w:rPr>
        <w:t>为确保污水处理工程的正常运转，使污水处理厂进水符合设计要求，出水达到排放标准，必须制定完善的环境管理制度和全方位的水质监控计划。</w:t>
      </w:r>
    </w:p>
    <w:p w14:paraId="1F955935">
      <w:pPr>
        <w:pStyle w:val="4"/>
        <w:numPr>
          <w:ilvl w:val="0"/>
          <w:numId w:val="0"/>
        </w:numPr>
        <w:spacing w:line="360" w:lineRule="auto"/>
        <w:rPr>
          <w:color w:val="auto"/>
          <w:szCs w:val="24"/>
        </w:rPr>
      </w:pPr>
      <w:bookmarkStart w:id="368" w:name="_Toc344679168"/>
      <w:bookmarkStart w:id="369" w:name="_Toc462350354"/>
      <w:bookmarkStart w:id="370" w:name="_Toc252122872"/>
      <w:bookmarkStart w:id="371" w:name="_Toc396234274"/>
      <w:bookmarkStart w:id="372" w:name="_Toc196543407"/>
      <w:bookmarkStart w:id="373" w:name="_Toc225957930"/>
      <w:bookmarkStart w:id="374" w:name="_Toc160867202"/>
      <w:bookmarkStart w:id="375" w:name="_Toc173557772"/>
      <w:bookmarkStart w:id="376" w:name="_Toc439249585"/>
      <w:bookmarkStart w:id="377" w:name="_Toc472509348"/>
      <w:bookmarkStart w:id="378" w:name="_Toc311586303"/>
      <w:bookmarkStart w:id="379" w:name="_Toc198438517"/>
      <w:bookmarkStart w:id="380" w:name="_Toc178049611"/>
      <w:bookmarkStart w:id="381" w:name="_Toc267314566"/>
      <w:bookmarkStart w:id="382" w:name="_Toc31203"/>
      <w:r>
        <w:rPr>
          <w:rFonts w:hint="eastAsia"/>
          <w:color w:val="auto"/>
          <w:szCs w:val="24"/>
        </w:rPr>
        <w:t>1</w:t>
      </w:r>
      <w:r>
        <w:rPr>
          <w:color w:val="auto"/>
          <w:szCs w:val="24"/>
        </w:rPr>
        <w:t>0.1环境管理</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p w14:paraId="5A0BDC7E">
      <w:pPr>
        <w:spacing w:line="360" w:lineRule="auto"/>
        <w:ind w:firstLine="480"/>
        <w:rPr>
          <w:color w:val="auto"/>
          <w:szCs w:val="24"/>
        </w:rPr>
      </w:pPr>
      <w:r>
        <w:rPr>
          <w:rFonts w:hint="eastAsia"/>
          <w:color w:val="auto"/>
          <w:szCs w:val="24"/>
        </w:rPr>
        <w:t>拟建项目</w:t>
      </w:r>
      <w:r>
        <w:rPr>
          <w:color w:val="auto"/>
          <w:szCs w:val="24"/>
        </w:rPr>
        <w:t>作为一项环境工程，担负着工业园区污水集中处理的任务，因此保证污水处理厂的正常运行、加强自身的环境保护管理工作尤为重要。</w:t>
      </w:r>
    </w:p>
    <w:p w14:paraId="32DFB4D3">
      <w:pPr>
        <w:spacing w:line="360" w:lineRule="auto"/>
        <w:ind w:firstLine="480"/>
        <w:rPr>
          <w:color w:val="auto"/>
          <w:szCs w:val="24"/>
        </w:rPr>
      </w:pPr>
      <w:r>
        <w:rPr>
          <w:color w:val="auto"/>
          <w:szCs w:val="24"/>
        </w:rPr>
        <w:t>（1）环境管理机构</w:t>
      </w:r>
    </w:p>
    <w:p w14:paraId="583A699A">
      <w:pPr>
        <w:spacing w:line="360" w:lineRule="auto"/>
        <w:ind w:firstLine="480"/>
        <w:rPr>
          <w:color w:val="auto"/>
          <w:szCs w:val="24"/>
        </w:rPr>
      </w:pPr>
      <w:r>
        <w:rPr>
          <w:color w:val="auto"/>
          <w:szCs w:val="24"/>
        </w:rPr>
        <w:t>污水处理厂作为社会公益性、实行有偿服务的企业，本着“精简、高效”的原则，将按企业形式组建管理机构，安排专职或兼职环保人员1名。</w:t>
      </w:r>
    </w:p>
    <w:p w14:paraId="76EDB344">
      <w:pPr>
        <w:spacing w:line="360" w:lineRule="auto"/>
        <w:ind w:firstLine="480"/>
        <w:rPr>
          <w:color w:val="auto"/>
          <w:szCs w:val="24"/>
        </w:rPr>
      </w:pPr>
      <w:r>
        <w:rPr>
          <w:rFonts w:hint="eastAsia" w:ascii="宋体" w:hAnsi="宋体" w:cs="宋体"/>
          <w:color w:val="auto"/>
          <w:szCs w:val="24"/>
        </w:rPr>
        <w:t>①</w:t>
      </w:r>
      <w:r>
        <w:rPr>
          <w:color w:val="auto"/>
          <w:szCs w:val="24"/>
        </w:rPr>
        <w:t>贯彻执行国家和地方各项环保方针、政策和法规，制定严格的污水处理工艺技术规范和操作规程，制定全厂环境保护制度和细则；贯彻落实建设项目的“三同时”政策，切实按照设计要求予以实施，以确保环保设施的建设，使工程达到预期效果。</w:t>
      </w:r>
    </w:p>
    <w:p w14:paraId="7C88C46D">
      <w:pPr>
        <w:spacing w:line="360" w:lineRule="auto"/>
        <w:ind w:firstLine="480"/>
        <w:rPr>
          <w:color w:val="auto"/>
          <w:szCs w:val="24"/>
        </w:rPr>
      </w:pPr>
      <w:r>
        <w:rPr>
          <w:rFonts w:hint="eastAsia" w:ascii="宋体" w:hAnsi="宋体" w:cs="宋体"/>
          <w:color w:val="auto"/>
          <w:szCs w:val="24"/>
        </w:rPr>
        <w:t>②</w:t>
      </w:r>
      <w:r>
        <w:rPr>
          <w:color w:val="auto"/>
          <w:szCs w:val="24"/>
        </w:rPr>
        <w:t>建立全厂设备维护、维修制度，定期检查各设备运行情况，杜绝事故发生。</w:t>
      </w:r>
    </w:p>
    <w:p w14:paraId="5BE11410">
      <w:pPr>
        <w:spacing w:line="360" w:lineRule="auto"/>
        <w:ind w:firstLine="480"/>
        <w:rPr>
          <w:color w:val="auto"/>
          <w:szCs w:val="24"/>
        </w:rPr>
      </w:pPr>
      <w:r>
        <w:rPr>
          <w:rFonts w:hint="eastAsia" w:ascii="宋体" w:hAnsi="宋体" w:cs="宋体"/>
          <w:color w:val="auto"/>
          <w:szCs w:val="24"/>
        </w:rPr>
        <w:t>③</w:t>
      </w:r>
      <w:r>
        <w:rPr>
          <w:color w:val="auto"/>
          <w:szCs w:val="24"/>
        </w:rPr>
        <w:t>建立污水处理水质、水量制度，按环境监测部门的要求，制定各项化（检）验技术规程，按规定每天对污水进、出水质进行监测，保证处理效果并达到设计要求。</w:t>
      </w:r>
    </w:p>
    <w:p w14:paraId="4F45A72F">
      <w:pPr>
        <w:spacing w:line="360" w:lineRule="auto"/>
        <w:ind w:firstLine="480"/>
        <w:rPr>
          <w:color w:val="auto"/>
          <w:szCs w:val="24"/>
        </w:rPr>
      </w:pPr>
      <w:r>
        <w:rPr>
          <w:color w:val="auto"/>
          <w:szCs w:val="24"/>
        </w:rPr>
        <w:t>（2）运营期环境管理</w:t>
      </w:r>
    </w:p>
    <w:p w14:paraId="0054521E">
      <w:pPr>
        <w:spacing w:line="360" w:lineRule="auto"/>
        <w:ind w:firstLine="480"/>
        <w:rPr>
          <w:color w:val="auto"/>
          <w:szCs w:val="24"/>
        </w:rPr>
      </w:pPr>
      <w:r>
        <w:rPr>
          <w:rFonts w:hint="eastAsia" w:ascii="宋体" w:hAnsi="宋体" w:cs="宋体"/>
          <w:color w:val="auto"/>
          <w:szCs w:val="24"/>
        </w:rPr>
        <w:t>①</w:t>
      </w:r>
      <w:r>
        <w:rPr>
          <w:color w:val="auto"/>
          <w:szCs w:val="24"/>
        </w:rPr>
        <w:t>建立完善的环境保护规章制度（岗位责任制度、操作规程、安全生产制度、绿化、卫生管理规定等）并实施，落实环境监测制度。</w:t>
      </w:r>
    </w:p>
    <w:p w14:paraId="73D1D6C4">
      <w:pPr>
        <w:spacing w:line="360" w:lineRule="auto"/>
        <w:ind w:firstLine="480"/>
        <w:rPr>
          <w:color w:val="auto"/>
          <w:szCs w:val="24"/>
        </w:rPr>
      </w:pPr>
      <w:r>
        <w:rPr>
          <w:rFonts w:hint="eastAsia" w:ascii="宋体" w:hAnsi="宋体" w:cs="宋体"/>
          <w:color w:val="auto"/>
          <w:szCs w:val="24"/>
        </w:rPr>
        <w:t>②</w:t>
      </w:r>
      <w:r>
        <w:rPr>
          <w:color w:val="auto"/>
          <w:szCs w:val="24"/>
        </w:rPr>
        <w:t>对工程的各种运行设备的正常工作进行监督管理，确保设备正常并高效运行。对工程所在区域的生态环境进行保护。</w:t>
      </w:r>
    </w:p>
    <w:p w14:paraId="0946F21F">
      <w:pPr>
        <w:spacing w:line="360" w:lineRule="auto"/>
        <w:ind w:firstLine="480"/>
        <w:rPr>
          <w:color w:val="auto"/>
          <w:szCs w:val="24"/>
        </w:rPr>
      </w:pPr>
      <w:r>
        <w:rPr>
          <w:rFonts w:hint="eastAsia" w:ascii="宋体" w:hAnsi="宋体" w:cs="宋体"/>
          <w:color w:val="auto"/>
          <w:szCs w:val="24"/>
        </w:rPr>
        <w:t>③</w:t>
      </w:r>
      <w:r>
        <w:rPr>
          <w:color w:val="auto"/>
          <w:szCs w:val="24"/>
        </w:rPr>
        <w:t>根据污染物监测结果、设备运行指标等，做好统计工作，并建立环境档案库；编制环境保护年度计划和环境保护统计报表。</w:t>
      </w:r>
    </w:p>
    <w:p w14:paraId="395038D9">
      <w:pPr>
        <w:spacing w:line="360" w:lineRule="auto"/>
        <w:ind w:firstLine="480"/>
        <w:rPr>
          <w:color w:val="auto"/>
          <w:szCs w:val="24"/>
        </w:rPr>
      </w:pPr>
      <w:r>
        <w:rPr>
          <w:rFonts w:hint="eastAsia" w:ascii="宋体" w:hAnsi="宋体" w:cs="宋体"/>
          <w:color w:val="auto"/>
          <w:szCs w:val="24"/>
        </w:rPr>
        <w:t>④</w:t>
      </w:r>
      <w:r>
        <w:rPr>
          <w:color w:val="auto"/>
          <w:szCs w:val="24"/>
        </w:rPr>
        <w:t>定期向环境主管部门报送有关数据（监测统计、设备运行指标等）。</w:t>
      </w:r>
    </w:p>
    <w:p w14:paraId="188D7D9D">
      <w:pPr>
        <w:spacing w:line="360" w:lineRule="auto"/>
        <w:ind w:firstLine="480"/>
        <w:rPr>
          <w:color w:val="auto"/>
          <w:szCs w:val="24"/>
        </w:rPr>
      </w:pPr>
      <w:r>
        <w:rPr>
          <w:rFonts w:hint="eastAsia" w:ascii="宋体" w:hAnsi="宋体" w:cs="宋体"/>
          <w:color w:val="auto"/>
          <w:szCs w:val="24"/>
        </w:rPr>
        <w:t>⑤</w:t>
      </w:r>
      <w:r>
        <w:rPr>
          <w:color w:val="auto"/>
          <w:szCs w:val="24"/>
        </w:rPr>
        <w:t>搞好环境保护宣传和职工环保意识教育及技术培训等工作。</w:t>
      </w:r>
    </w:p>
    <w:p w14:paraId="01F7136A">
      <w:pPr>
        <w:spacing w:line="360" w:lineRule="auto"/>
        <w:ind w:firstLine="480"/>
        <w:rPr>
          <w:color w:val="auto"/>
          <w:szCs w:val="24"/>
        </w:rPr>
      </w:pPr>
      <w:r>
        <w:rPr>
          <w:rFonts w:hint="eastAsia" w:ascii="宋体" w:hAnsi="宋体" w:cs="宋体"/>
          <w:color w:val="auto"/>
          <w:szCs w:val="24"/>
        </w:rPr>
        <w:t>⑥</w:t>
      </w:r>
      <w:r>
        <w:rPr>
          <w:color w:val="auto"/>
          <w:szCs w:val="24"/>
        </w:rPr>
        <w:t>负责组织突发事故的应急处理和善后事宜，维护好公众的利益。</w:t>
      </w:r>
    </w:p>
    <w:p w14:paraId="0B4480A1">
      <w:pPr>
        <w:spacing w:line="360" w:lineRule="auto"/>
        <w:ind w:firstLine="480"/>
        <w:rPr>
          <w:color w:val="auto"/>
          <w:szCs w:val="24"/>
        </w:rPr>
      </w:pPr>
      <w:r>
        <w:rPr>
          <w:rFonts w:hint="eastAsia" w:ascii="宋体" w:hAnsi="宋体" w:cs="宋体"/>
          <w:color w:val="auto"/>
          <w:szCs w:val="24"/>
        </w:rPr>
        <w:t>⑦</w:t>
      </w:r>
      <w:r>
        <w:rPr>
          <w:color w:val="auto"/>
          <w:szCs w:val="24"/>
        </w:rPr>
        <w:t>推广应用环境保护先进技术。</w:t>
      </w:r>
    </w:p>
    <w:p w14:paraId="4B3148FB">
      <w:pPr>
        <w:pStyle w:val="4"/>
        <w:numPr>
          <w:ilvl w:val="0"/>
          <w:numId w:val="0"/>
        </w:numPr>
        <w:spacing w:line="360" w:lineRule="auto"/>
        <w:rPr>
          <w:color w:val="auto"/>
          <w:szCs w:val="24"/>
        </w:rPr>
      </w:pPr>
      <w:bookmarkStart w:id="383" w:name="_Toc196543409"/>
      <w:bookmarkStart w:id="384" w:name="_Toc439249587"/>
      <w:bookmarkStart w:id="385" w:name="_Toc311586305"/>
      <w:bookmarkStart w:id="386" w:name="_Toc472509350"/>
      <w:bookmarkStart w:id="387" w:name="_Toc396234276"/>
      <w:bookmarkStart w:id="388" w:name="_Toc225957932"/>
      <w:bookmarkStart w:id="389" w:name="_Toc267314568"/>
      <w:bookmarkStart w:id="390" w:name="_Toc344679170"/>
      <w:bookmarkStart w:id="391" w:name="_Toc198438519"/>
      <w:bookmarkStart w:id="392" w:name="_Toc462350356"/>
      <w:bookmarkStart w:id="393" w:name="_Toc252122874"/>
      <w:bookmarkStart w:id="394" w:name="_Toc21988"/>
      <w:r>
        <w:rPr>
          <w:rFonts w:hint="eastAsia"/>
          <w:color w:val="auto"/>
          <w:szCs w:val="24"/>
        </w:rPr>
        <w:t>1</w:t>
      </w:r>
      <w:r>
        <w:rPr>
          <w:color w:val="auto"/>
          <w:szCs w:val="24"/>
        </w:rPr>
        <w:t>0.2环境监测</w:t>
      </w:r>
      <w:bookmarkEnd w:id="383"/>
      <w:bookmarkEnd w:id="384"/>
      <w:bookmarkEnd w:id="385"/>
      <w:bookmarkEnd w:id="386"/>
      <w:bookmarkEnd w:id="387"/>
      <w:bookmarkEnd w:id="388"/>
      <w:bookmarkEnd w:id="389"/>
      <w:bookmarkEnd w:id="390"/>
      <w:bookmarkEnd w:id="391"/>
      <w:bookmarkEnd w:id="392"/>
      <w:bookmarkEnd w:id="393"/>
      <w:bookmarkEnd w:id="394"/>
    </w:p>
    <w:p w14:paraId="48EC3225">
      <w:pPr>
        <w:pStyle w:val="5"/>
        <w:numPr>
          <w:ilvl w:val="0"/>
          <w:numId w:val="0"/>
        </w:numPr>
        <w:spacing w:line="360" w:lineRule="auto"/>
        <w:jc w:val="left"/>
        <w:rPr>
          <w:color w:val="auto"/>
          <w:szCs w:val="24"/>
        </w:rPr>
      </w:pPr>
      <w:r>
        <w:rPr>
          <w:rFonts w:hint="eastAsia"/>
          <w:color w:val="auto"/>
          <w:szCs w:val="24"/>
        </w:rPr>
        <w:t>1</w:t>
      </w:r>
      <w:r>
        <w:rPr>
          <w:color w:val="auto"/>
          <w:szCs w:val="24"/>
        </w:rPr>
        <w:t>0.2.1运营期监测计划</w:t>
      </w:r>
    </w:p>
    <w:p w14:paraId="24316F61">
      <w:pPr>
        <w:spacing w:line="360" w:lineRule="auto"/>
        <w:ind w:firstLine="480"/>
        <w:rPr>
          <w:color w:val="auto"/>
          <w:szCs w:val="24"/>
        </w:rPr>
      </w:pPr>
      <w:r>
        <w:rPr>
          <w:color w:val="auto"/>
          <w:szCs w:val="24"/>
        </w:rPr>
        <w:t>环境监测是环境管理的基础，是执行环保法规、标准、判断环境质量现状和评价环保设施处理效果的重要手段，是开展环境科学研究、防止环境破坏和污染的重要依据。</w:t>
      </w:r>
    </w:p>
    <w:p w14:paraId="5EF376FD">
      <w:pPr>
        <w:spacing w:line="360" w:lineRule="auto"/>
        <w:ind w:firstLine="480"/>
        <w:rPr>
          <w:color w:val="auto"/>
          <w:szCs w:val="24"/>
        </w:rPr>
      </w:pPr>
      <w:r>
        <w:rPr>
          <w:color w:val="auto"/>
          <w:szCs w:val="24"/>
        </w:rPr>
        <w:t>根据本工程的性质特点，环境监测主要针对运营期污水处理厂尾水水质、</w:t>
      </w:r>
      <w:r>
        <w:rPr>
          <w:rFonts w:hint="eastAsia"/>
          <w:color w:val="auto"/>
          <w:szCs w:val="24"/>
        </w:rPr>
        <w:t>废水处理</w:t>
      </w:r>
      <w:r>
        <w:rPr>
          <w:color w:val="auto"/>
          <w:szCs w:val="24"/>
        </w:rPr>
        <w:t>臭气、厂界噪声</w:t>
      </w:r>
      <w:r>
        <w:rPr>
          <w:rFonts w:hint="eastAsia"/>
          <w:color w:val="auto"/>
          <w:szCs w:val="24"/>
        </w:rPr>
        <w:t>等</w:t>
      </w:r>
      <w:r>
        <w:rPr>
          <w:color w:val="auto"/>
          <w:szCs w:val="24"/>
        </w:rPr>
        <w:t>进行监测。</w:t>
      </w:r>
      <w:r>
        <w:rPr>
          <w:rFonts w:hint="eastAsia"/>
          <w:color w:val="auto"/>
          <w:szCs w:val="24"/>
        </w:rPr>
        <w:t>根据《排污单位自行监测技术指南总则》</w:t>
      </w:r>
      <w:r>
        <w:rPr>
          <w:rFonts w:hint="eastAsia"/>
          <w:color w:val="auto"/>
          <w:szCs w:val="24"/>
          <w:lang w:eastAsia="zh-CN"/>
        </w:rPr>
        <w:t>（</w:t>
      </w:r>
      <w:r>
        <w:rPr>
          <w:rFonts w:hint="eastAsia"/>
          <w:color w:val="auto"/>
          <w:szCs w:val="24"/>
        </w:rPr>
        <w:t>HJ819-2017</w:t>
      </w:r>
      <w:r>
        <w:rPr>
          <w:rFonts w:hint="eastAsia"/>
          <w:color w:val="auto"/>
          <w:szCs w:val="24"/>
          <w:lang w:eastAsia="zh-CN"/>
        </w:rPr>
        <w:t>）</w:t>
      </w:r>
      <w:r>
        <w:rPr>
          <w:rFonts w:hint="eastAsia"/>
          <w:color w:val="auto"/>
          <w:szCs w:val="24"/>
        </w:rPr>
        <w:t>、《排污许可证</w:t>
      </w:r>
      <w:r>
        <w:rPr>
          <w:color w:val="auto"/>
          <w:szCs w:val="24"/>
        </w:rPr>
        <w:t>申请与核发技术规范</w:t>
      </w:r>
      <w:r>
        <w:rPr>
          <w:rFonts w:hint="eastAsia"/>
          <w:color w:val="auto"/>
          <w:szCs w:val="24"/>
        </w:rPr>
        <w:t>水处理</w:t>
      </w:r>
      <w:r>
        <w:rPr>
          <w:color w:val="auto"/>
          <w:szCs w:val="24"/>
        </w:rPr>
        <w:t>（</w:t>
      </w:r>
      <w:r>
        <w:rPr>
          <w:rFonts w:hint="eastAsia"/>
          <w:color w:val="auto"/>
          <w:szCs w:val="24"/>
        </w:rPr>
        <w:t>试行</w:t>
      </w:r>
      <w:r>
        <w:rPr>
          <w:color w:val="auto"/>
          <w:szCs w:val="24"/>
        </w:rPr>
        <w:t>）</w:t>
      </w:r>
      <w:r>
        <w:rPr>
          <w:rFonts w:hint="eastAsia"/>
          <w:color w:val="auto"/>
          <w:szCs w:val="24"/>
        </w:rPr>
        <w:t>》（HJ978-2018）、《排污单位自行监测技术指南 水处理》（HJ 1083—2020），拟建项目监测</w:t>
      </w:r>
      <w:r>
        <w:rPr>
          <w:color w:val="auto"/>
          <w:szCs w:val="24"/>
        </w:rPr>
        <w:t>计划如下：</w:t>
      </w:r>
    </w:p>
    <w:p w14:paraId="060801A6">
      <w:pPr>
        <w:spacing w:line="360" w:lineRule="auto"/>
        <w:ind w:firstLine="480"/>
        <w:rPr>
          <w:color w:val="auto"/>
          <w:szCs w:val="24"/>
        </w:rPr>
      </w:pPr>
      <w:r>
        <w:rPr>
          <w:color w:val="auto"/>
          <w:szCs w:val="24"/>
        </w:rPr>
        <w:t>（1）废水监测</w:t>
      </w:r>
    </w:p>
    <w:p w14:paraId="3076E4E9">
      <w:pPr>
        <w:spacing w:line="360" w:lineRule="auto"/>
        <w:ind w:firstLine="480"/>
        <w:rPr>
          <w:color w:val="auto"/>
          <w:szCs w:val="24"/>
        </w:rPr>
      </w:pPr>
      <w:r>
        <w:rPr>
          <w:color w:val="auto"/>
          <w:szCs w:val="24"/>
        </w:rPr>
        <w:t>对污水处理厂进行监测的目的在于了解进、出水水质的情况，以便观测进水是否在设计范围之内，出水是否符合国家排放标准。监测还可以为工艺控制提供重要的参数和依据，同时能判断工艺运行是否正常。</w:t>
      </w:r>
      <w:r>
        <w:rPr>
          <w:rFonts w:hint="eastAsia"/>
          <w:color w:val="auto"/>
          <w:szCs w:val="24"/>
        </w:rPr>
        <w:t>由于拟建项目油气田废水均通过罐车运至厂区内，不涉及厂外污水收集管网，无法对进水总管水质进行监测，因此，本次进水水质监测改为提前至废水产生单位处进行监测，项目废水自行监测计划见表1</w:t>
      </w:r>
      <w:r>
        <w:rPr>
          <w:color w:val="auto"/>
          <w:szCs w:val="24"/>
        </w:rPr>
        <w:t>0.2-1</w:t>
      </w:r>
      <w:r>
        <w:rPr>
          <w:rFonts w:hint="eastAsia"/>
          <w:color w:val="auto"/>
          <w:szCs w:val="24"/>
        </w:rPr>
        <w:t>。</w:t>
      </w:r>
    </w:p>
    <w:p w14:paraId="76DEF7DD">
      <w:pPr>
        <w:ind w:firstLine="482"/>
        <w:jc w:val="center"/>
        <w:rPr>
          <w:b/>
          <w:bCs/>
          <w:color w:val="auto"/>
        </w:rPr>
      </w:pPr>
      <w:r>
        <w:rPr>
          <w:rFonts w:hint="eastAsia"/>
          <w:b/>
          <w:bCs/>
          <w:color w:val="auto"/>
        </w:rPr>
        <w:t>表1</w:t>
      </w:r>
      <w:r>
        <w:rPr>
          <w:b/>
          <w:bCs/>
          <w:color w:val="auto"/>
        </w:rPr>
        <w:t>0</w:t>
      </w:r>
      <w:r>
        <w:rPr>
          <w:rFonts w:hint="eastAsia"/>
          <w:b/>
          <w:bCs/>
          <w:color w:val="auto"/>
        </w:rPr>
        <w:t>.2-1 拟建项目废水</w:t>
      </w:r>
      <w:r>
        <w:rPr>
          <w:b/>
          <w:bCs/>
          <w:color w:val="auto"/>
        </w:rPr>
        <w:t>自行监测计划一览表</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0"/>
        <w:gridCol w:w="2854"/>
        <w:gridCol w:w="1449"/>
        <w:gridCol w:w="3753"/>
      </w:tblGrid>
      <w:tr w14:paraId="6056E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2" w:type="pct"/>
            <w:shd w:val="clear" w:color="auto" w:fill="auto"/>
            <w:vAlign w:val="center"/>
          </w:tcPr>
          <w:p w14:paraId="32C72B7F">
            <w:pPr>
              <w:pStyle w:val="276"/>
              <w:rPr>
                <w:color w:val="auto"/>
              </w:rPr>
            </w:pPr>
            <w:r>
              <w:rPr>
                <w:rFonts w:hint="eastAsia"/>
                <w:color w:val="auto"/>
              </w:rPr>
              <w:t>监测点位</w:t>
            </w:r>
          </w:p>
        </w:tc>
        <w:tc>
          <w:tcPr>
            <w:tcW w:w="1536" w:type="pct"/>
            <w:shd w:val="clear" w:color="auto" w:fill="auto"/>
            <w:vAlign w:val="center"/>
          </w:tcPr>
          <w:p w14:paraId="5FF090F9">
            <w:pPr>
              <w:pStyle w:val="276"/>
              <w:rPr>
                <w:color w:val="auto"/>
              </w:rPr>
            </w:pPr>
            <w:r>
              <w:rPr>
                <w:rFonts w:hint="eastAsia"/>
                <w:color w:val="auto"/>
              </w:rPr>
              <w:t>监测指标</w:t>
            </w:r>
          </w:p>
        </w:tc>
        <w:tc>
          <w:tcPr>
            <w:tcW w:w="780" w:type="pct"/>
            <w:shd w:val="clear" w:color="auto" w:fill="auto"/>
            <w:vAlign w:val="center"/>
          </w:tcPr>
          <w:p w14:paraId="717F84AE">
            <w:pPr>
              <w:pStyle w:val="276"/>
              <w:rPr>
                <w:color w:val="auto"/>
              </w:rPr>
            </w:pPr>
            <w:r>
              <w:rPr>
                <w:rFonts w:hint="eastAsia"/>
                <w:color w:val="auto"/>
              </w:rPr>
              <w:t>监测频次</w:t>
            </w:r>
          </w:p>
        </w:tc>
        <w:tc>
          <w:tcPr>
            <w:tcW w:w="2020" w:type="pct"/>
            <w:vAlign w:val="center"/>
          </w:tcPr>
          <w:p w14:paraId="2E6A5C30">
            <w:pPr>
              <w:pStyle w:val="276"/>
              <w:rPr>
                <w:color w:val="auto"/>
              </w:rPr>
            </w:pPr>
            <w:r>
              <w:rPr>
                <w:rFonts w:hint="eastAsia"/>
                <w:color w:val="auto"/>
              </w:rPr>
              <w:t>备注</w:t>
            </w:r>
          </w:p>
        </w:tc>
      </w:tr>
      <w:tr w14:paraId="69793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662" w:type="pct"/>
            <w:shd w:val="clear" w:color="auto" w:fill="auto"/>
            <w:vAlign w:val="center"/>
          </w:tcPr>
          <w:p w14:paraId="13259455">
            <w:pPr>
              <w:pStyle w:val="276"/>
              <w:rPr>
                <w:color w:val="auto"/>
              </w:rPr>
            </w:pPr>
            <w:r>
              <w:rPr>
                <w:rFonts w:hint="eastAsia"/>
                <w:color w:val="auto"/>
              </w:rPr>
              <w:t>废水产生单位</w:t>
            </w:r>
          </w:p>
        </w:tc>
        <w:tc>
          <w:tcPr>
            <w:tcW w:w="1536" w:type="pct"/>
            <w:shd w:val="clear" w:color="auto" w:fill="auto"/>
            <w:vAlign w:val="center"/>
          </w:tcPr>
          <w:p w14:paraId="3367C051">
            <w:pPr>
              <w:pStyle w:val="276"/>
              <w:rPr>
                <w:color w:val="auto"/>
              </w:rPr>
            </w:pPr>
            <w:r>
              <w:rPr>
                <w:rFonts w:hint="eastAsia"/>
                <w:color w:val="auto"/>
              </w:rPr>
              <w:t xml:space="preserve">废水量、化学需氧量、氨氮 </w:t>
            </w:r>
          </w:p>
          <w:p w14:paraId="1F1BE01C">
            <w:pPr>
              <w:pStyle w:val="276"/>
              <w:rPr>
                <w:color w:val="auto"/>
              </w:rPr>
            </w:pPr>
            <w:r>
              <w:rPr>
                <w:rFonts w:hint="eastAsia"/>
                <w:color w:val="auto"/>
              </w:rPr>
              <w:t>总磷、总氮 、氯化物、TDS、铬（六价）、砷、汞、铅、镉</w:t>
            </w:r>
          </w:p>
        </w:tc>
        <w:tc>
          <w:tcPr>
            <w:tcW w:w="780" w:type="pct"/>
            <w:shd w:val="clear" w:color="auto" w:fill="auto"/>
            <w:vAlign w:val="center"/>
          </w:tcPr>
          <w:p w14:paraId="5E4374E9">
            <w:pPr>
              <w:pStyle w:val="276"/>
              <w:rPr>
                <w:color w:val="auto"/>
              </w:rPr>
            </w:pPr>
            <w:r>
              <w:rPr>
                <w:rFonts w:hint="eastAsia"/>
                <w:color w:val="auto"/>
              </w:rPr>
              <w:t>每批次单独采样</w:t>
            </w:r>
          </w:p>
        </w:tc>
        <w:tc>
          <w:tcPr>
            <w:tcW w:w="2020" w:type="pct"/>
            <w:vAlign w:val="center"/>
          </w:tcPr>
          <w:p w14:paraId="6D80B229">
            <w:pPr>
              <w:pStyle w:val="276"/>
              <w:rPr>
                <w:color w:val="auto"/>
              </w:rPr>
            </w:pPr>
            <w:r>
              <w:rPr>
                <w:rFonts w:hint="eastAsia"/>
                <w:color w:val="auto"/>
              </w:rPr>
              <w:t>项目废水通过罐车运至厂内收集池，不涉及废水进水管网，</w:t>
            </w:r>
          </w:p>
        </w:tc>
      </w:tr>
      <w:tr w14:paraId="5CC4D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2" w:type="pct"/>
            <w:vMerge w:val="restart"/>
            <w:shd w:val="clear" w:color="auto" w:fill="auto"/>
            <w:vAlign w:val="center"/>
          </w:tcPr>
          <w:p w14:paraId="53D517C7">
            <w:pPr>
              <w:pStyle w:val="276"/>
              <w:rPr>
                <w:color w:val="auto"/>
              </w:rPr>
            </w:pPr>
            <w:r>
              <w:rPr>
                <w:rFonts w:hint="eastAsia"/>
                <w:color w:val="auto"/>
              </w:rPr>
              <w:t>废水总排口</w:t>
            </w:r>
          </w:p>
        </w:tc>
        <w:tc>
          <w:tcPr>
            <w:tcW w:w="1536" w:type="pct"/>
            <w:shd w:val="clear" w:color="auto" w:fill="auto"/>
            <w:vAlign w:val="center"/>
          </w:tcPr>
          <w:p w14:paraId="210359CB">
            <w:pPr>
              <w:pStyle w:val="276"/>
              <w:rPr>
                <w:color w:val="auto"/>
              </w:rPr>
            </w:pPr>
            <w:r>
              <w:rPr>
                <w:rFonts w:hint="eastAsia"/>
                <w:color w:val="auto"/>
              </w:rPr>
              <w:t>流量、pH、水温、COD、氨氮、TP、TN、氯化物（以Cl计）</w:t>
            </w:r>
          </w:p>
        </w:tc>
        <w:tc>
          <w:tcPr>
            <w:tcW w:w="780" w:type="pct"/>
            <w:shd w:val="clear" w:color="auto" w:fill="auto"/>
            <w:vAlign w:val="center"/>
          </w:tcPr>
          <w:p w14:paraId="31169A89">
            <w:pPr>
              <w:pStyle w:val="276"/>
              <w:rPr>
                <w:color w:val="auto"/>
              </w:rPr>
            </w:pPr>
            <w:r>
              <w:rPr>
                <w:rFonts w:hint="eastAsia"/>
                <w:color w:val="auto"/>
              </w:rPr>
              <w:t>自动监测</w:t>
            </w:r>
          </w:p>
        </w:tc>
        <w:tc>
          <w:tcPr>
            <w:tcW w:w="2020" w:type="pct"/>
            <w:vAlign w:val="center"/>
          </w:tcPr>
          <w:p w14:paraId="19A7584C">
            <w:pPr>
              <w:pStyle w:val="276"/>
              <w:rPr>
                <w:color w:val="auto"/>
              </w:rPr>
            </w:pPr>
            <w:r>
              <w:rPr>
                <w:rFonts w:hint="eastAsia"/>
                <w:color w:val="auto"/>
              </w:rPr>
              <w:t>TN自动监测技术规范发布实施前，应按日监测</w:t>
            </w:r>
          </w:p>
        </w:tc>
      </w:tr>
      <w:tr w14:paraId="33334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2" w:type="pct"/>
            <w:vMerge w:val="continue"/>
            <w:shd w:val="clear" w:color="auto" w:fill="auto"/>
            <w:vAlign w:val="center"/>
          </w:tcPr>
          <w:p w14:paraId="5FF90B43">
            <w:pPr>
              <w:pStyle w:val="276"/>
              <w:rPr>
                <w:color w:val="auto"/>
              </w:rPr>
            </w:pPr>
          </w:p>
        </w:tc>
        <w:tc>
          <w:tcPr>
            <w:tcW w:w="1536" w:type="pct"/>
            <w:shd w:val="clear" w:color="auto" w:fill="auto"/>
            <w:vAlign w:val="center"/>
          </w:tcPr>
          <w:p w14:paraId="66ADBB8D">
            <w:pPr>
              <w:pStyle w:val="276"/>
              <w:rPr>
                <w:color w:val="auto"/>
              </w:rPr>
            </w:pPr>
            <w:r>
              <w:rPr>
                <w:rFonts w:hint="eastAsia"/>
                <w:color w:val="auto"/>
              </w:rPr>
              <w:t>悬浮物、色度</w:t>
            </w:r>
          </w:p>
        </w:tc>
        <w:tc>
          <w:tcPr>
            <w:tcW w:w="780" w:type="pct"/>
            <w:shd w:val="clear" w:color="auto" w:fill="auto"/>
            <w:vAlign w:val="center"/>
          </w:tcPr>
          <w:p w14:paraId="051F3671">
            <w:pPr>
              <w:pStyle w:val="276"/>
              <w:rPr>
                <w:color w:val="auto"/>
              </w:rPr>
            </w:pPr>
            <w:r>
              <w:rPr>
                <w:rFonts w:hint="eastAsia"/>
                <w:color w:val="auto"/>
              </w:rPr>
              <w:t>月</w:t>
            </w:r>
          </w:p>
        </w:tc>
        <w:tc>
          <w:tcPr>
            <w:tcW w:w="2020" w:type="pct"/>
            <w:vAlign w:val="center"/>
          </w:tcPr>
          <w:p w14:paraId="5229EA7F">
            <w:pPr>
              <w:pStyle w:val="276"/>
              <w:rPr>
                <w:color w:val="auto"/>
              </w:rPr>
            </w:pPr>
            <w:r>
              <w:rPr>
                <w:rFonts w:hint="eastAsia"/>
                <w:color w:val="auto"/>
              </w:rPr>
              <w:t>/</w:t>
            </w:r>
          </w:p>
        </w:tc>
      </w:tr>
      <w:tr w14:paraId="18FF3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2" w:type="pct"/>
            <w:vMerge w:val="continue"/>
            <w:shd w:val="clear" w:color="auto" w:fill="auto"/>
            <w:vAlign w:val="center"/>
          </w:tcPr>
          <w:p w14:paraId="3AA75F1C">
            <w:pPr>
              <w:pStyle w:val="276"/>
              <w:rPr>
                <w:color w:val="auto"/>
              </w:rPr>
            </w:pPr>
          </w:p>
        </w:tc>
        <w:tc>
          <w:tcPr>
            <w:tcW w:w="1536" w:type="pct"/>
            <w:shd w:val="clear" w:color="auto" w:fill="auto"/>
            <w:vAlign w:val="center"/>
          </w:tcPr>
          <w:p w14:paraId="609FE752">
            <w:pPr>
              <w:pStyle w:val="276"/>
              <w:rPr>
                <w:color w:val="auto"/>
              </w:rPr>
            </w:pPr>
            <w:r>
              <w:rPr>
                <w:rFonts w:hint="eastAsia"/>
                <w:color w:val="auto"/>
              </w:rPr>
              <w:t>BOD</w:t>
            </w:r>
            <w:r>
              <w:rPr>
                <w:rFonts w:hint="eastAsia"/>
                <w:color w:val="auto"/>
                <w:vertAlign w:val="subscript"/>
              </w:rPr>
              <w:t>5</w:t>
            </w:r>
            <w:r>
              <w:rPr>
                <w:rFonts w:hint="eastAsia"/>
                <w:color w:val="auto"/>
              </w:rPr>
              <w:t>、石油类、总有机碳（TOC）、石油类、硫化物、氟化物、溶解性总固体（TDS）、阴离子表面活性剂（LAS）、挥发酚、硼、可溶性钡、总α放射性</w:t>
            </w:r>
            <w:r>
              <w:rPr>
                <w:rFonts w:hint="eastAsia"/>
                <w:color w:val="auto"/>
                <w:lang w:eastAsia="zh-CN"/>
              </w:rPr>
              <w:t>（</w:t>
            </w:r>
            <w:r>
              <w:rPr>
                <w:rFonts w:hint="eastAsia"/>
                <w:color w:val="auto"/>
              </w:rPr>
              <w:t>Bq/L</w:t>
            </w:r>
            <w:r>
              <w:rPr>
                <w:rFonts w:hint="eastAsia"/>
                <w:color w:val="auto"/>
                <w:lang w:eastAsia="zh-CN"/>
              </w:rPr>
              <w:t>）</w:t>
            </w:r>
            <w:r>
              <w:rPr>
                <w:rFonts w:hint="eastAsia"/>
                <w:color w:val="auto"/>
              </w:rPr>
              <w:t>、总β放射性</w:t>
            </w:r>
            <w:r>
              <w:rPr>
                <w:rFonts w:hint="eastAsia"/>
                <w:color w:val="auto"/>
                <w:lang w:eastAsia="zh-CN"/>
              </w:rPr>
              <w:t>（</w:t>
            </w:r>
            <w:r>
              <w:rPr>
                <w:rFonts w:hint="eastAsia"/>
                <w:color w:val="auto"/>
              </w:rPr>
              <w:t>Bq/L</w:t>
            </w:r>
            <w:r>
              <w:rPr>
                <w:rFonts w:hint="eastAsia"/>
                <w:color w:val="auto"/>
                <w:lang w:eastAsia="zh-CN"/>
              </w:rPr>
              <w:t>）</w:t>
            </w:r>
          </w:p>
        </w:tc>
        <w:tc>
          <w:tcPr>
            <w:tcW w:w="780" w:type="pct"/>
            <w:shd w:val="clear" w:color="auto" w:fill="auto"/>
            <w:vAlign w:val="center"/>
          </w:tcPr>
          <w:p w14:paraId="119B8BCE">
            <w:pPr>
              <w:pStyle w:val="276"/>
              <w:rPr>
                <w:color w:val="auto"/>
              </w:rPr>
            </w:pPr>
            <w:r>
              <w:rPr>
                <w:rFonts w:hint="eastAsia"/>
                <w:color w:val="auto"/>
              </w:rPr>
              <w:t>季度</w:t>
            </w:r>
          </w:p>
        </w:tc>
        <w:tc>
          <w:tcPr>
            <w:tcW w:w="2020" w:type="pct"/>
            <w:shd w:val="clear" w:color="auto" w:fill="auto"/>
            <w:vAlign w:val="center"/>
          </w:tcPr>
          <w:p w14:paraId="1A633DB3">
            <w:pPr>
              <w:pStyle w:val="276"/>
              <w:rPr>
                <w:color w:val="auto"/>
              </w:rPr>
            </w:pPr>
            <w:r>
              <w:rPr>
                <w:rFonts w:hint="eastAsia"/>
                <w:color w:val="auto"/>
              </w:rPr>
              <w:t>/</w:t>
            </w:r>
          </w:p>
        </w:tc>
      </w:tr>
      <w:tr w14:paraId="1DF96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2" w:type="pct"/>
            <w:vMerge w:val="continue"/>
            <w:shd w:val="clear" w:color="auto" w:fill="auto"/>
            <w:vAlign w:val="center"/>
          </w:tcPr>
          <w:p w14:paraId="2646634A">
            <w:pPr>
              <w:pStyle w:val="276"/>
              <w:rPr>
                <w:color w:val="auto"/>
              </w:rPr>
            </w:pPr>
          </w:p>
        </w:tc>
        <w:tc>
          <w:tcPr>
            <w:tcW w:w="1536" w:type="pct"/>
            <w:shd w:val="clear" w:color="auto" w:fill="auto"/>
            <w:vAlign w:val="center"/>
          </w:tcPr>
          <w:p w14:paraId="34FB4364">
            <w:pPr>
              <w:pStyle w:val="276"/>
              <w:rPr>
                <w:color w:val="auto"/>
              </w:rPr>
            </w:pPr>
            <w:r>
              <w:rPr>
                <w:rFonts w:hint="eastAsia"/>
                <w:color w:val="auto"/>
              </w:rPr>
              <w:t>铬（六价）、砷、汞、铅、镉</w:t>
            </w:r>
          </w:p>
        </w:tc>
        <w:tc>
          <w:tcPr>
            <w:tcW w:w="780" w:type="pct"/>
            <w:shd w:val="clear" w:color="auto" w:fill="auto"/>
            <w:vAlign w:val="center"/>
          </w:tcPr>
          <w:p w14:paraId="08C278A8">
            <w:pPr>
              <w:pStyle w:val="276"/>
              <w:rPr>
                <w:color w:val="auto"/>
              </w:rPr>
            </w:pPr>
            <w:r>
              <w:rPr>
                <w:rFonts w:hint="eastAsia"/>
                <w:color w:val="auto"/>
              </w:rPr>
              <w:t>季度</w:t>
            </w:r>
          </w:p>
        </w:tc>
        <w:tc>
          <w:tcPr>
            <w:tcW w:w="2020" w:type="pct"/>
            <w:shd w:val="clear" w:color="auto" w:fill="auto"/>
            <w:vAlign w:val="center"/>
          </w:tcPr>
          <w:p w14:paraId="07CE86AF">
            <w:pPr>
              <w:pStyle w:val="276"/>
              <w:rPr>
                <w:color w:val="auto"/>
              </w:rPr>
            </w:pPr>
            <w:r>
              <w:rPr>
                <w:rFonts w:hint="eastAsia"/>
                <w:color w:val="auto"/>
              </w:rPr>
              <w:t>/</w:t>
            </w:r>
          </w:p>
        </w:tc>
      </w:tr>
      <w:tr w14:paraId="157A8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2" w:type="pct"/>
            <w:shd w:val="clear" w:color="auto" w:fill="auto"/>
            <w:vAlign w:val="center"/>
          </w:tcPr>
          <w:p w14:paraId="4BE16100">
            <w:pPr>
              <w:pStyle w:val="276"/>
              <w:rPr>
                <w:color w:val="auto"/>
              </w:rPr>
            </w:pPr>
            <w:r>
              <w:rPr>
                <w:rFonts w:hint="eastAsia"/>
                <w:color w:val="auto"/>
              </w:rPr>
              <w:t>雨水排放口</w:t>
            </w:r>
          </w:p>
        </w:tc>
        <w:tc>
          <w:tcPr>
            <w:tcW w:w="1536" w:type="pct"/>
            <w:shd w:val="clear" w:color="auto" w:fill="auto"/>
            <w:vAlign w:val="center"/>
          </w:tcPr>
          <w:p w14:paraId="0F134733">
            <w:pPr>
              <w:pStyle w:val="276"/>
              <w:rPr>
                <w:color w:val="auto"/>
              </w:rPr>
            </w:pPr>
            <w:r>
              <w:rPr>
                <w:rFonts w:hint="eastAsia"/>
                <w:color w:val="auto"/>
              </w:rPr>
              <w:t>pH、COD、氨氮、悬浮物、石油类</w:t>
            </w:r>
          </w:p>
        </w:tc>
        <w:tc>
          <w:tcPr>
            <w:tcW w:w="780" w:type="pct"/>
            <w:shd w:val="clear" w:color="auto" w:fill="auto"/>
            <w:vAlign w:val="center"/>
          </w:tcPr>
          <w:p w14:paraId="2DA18F3D">
            <w:pPr>
              <w:pStyle w:val="276"/>
              <w:rPr>
                <w:color w:val="auto"/>
              </w:rPr>
            </w:pPr>
            <w:r>
              <w:rPr>
                <w:rFonts w:hint="eastAsia"/>
                <w:color w:val="auto"/>
              </w:rPr>
              <w:t>排放期间按日监测</w:t>
            </w:r>
          </w:p>
        </w:tc>
        <w:tc>
          <w:tcPr>
            <w:tcW w:w="2020" w:type="pct"/>
            <w:vAlign w:val="center"/>
          </w:tcPr>
          <w:p w14:paraId="2084A6CC">
            <w:pPr>
              <w:pStyle w:val="276"/>
              <w:rPr>
                <w:color w:val="auto"/>
              </w:rPr>
            </w:pPr>
            <w:r>
              <w:rPr>
                <w:rFonts w:hint="eastAsia"/>
                <w:color w:val="auto"/>
              </w:rPr>
              <w:t>若监测一年无异常情况，可放宽至每季度开展1次监测</w:t>
            </w:r>
          </w:p>
        </w:tc>
      </w:tr>
    </w:tbl>
    <w:p w14:paraId="6F421934">
      <w:pPr>
        <w:spacing w:line="360" w:lineRule="auto"/>
        <w:ind w:firstLine="480"/>
        <w:rPr>
          <w:color w:val="auto"/>
          <w:szCs w:val="24"/>
        </w:rPr>
      </w:pPr>
    </w:p>
    <w:p w14:paraId="1BE65AA5">
      <w:pPr>
        <w:spacing w:line="360" w:lineRule="auto"/>
        <w:ind w:firstLine="480"/>
        <w:rPr>
          <w:color w:val="auto"/>
          <w:szCs w:val="24"/>
        </w:rPr>
      </w:pPr>
      <w:r>
        <w:rPr>
          <w:color w:val="auto"/>
          <w:szCs w:val="24"/>
        </w:rPr>
        <w:t>（2）</w:t>
      </w:r>
      <w:r>
        <w:rPr>
          <w:rFonts w:hint="eastAsia"/>
          <w:color w:val="auto"/>
          <w:szCs w:val="24"/>
        </w:rPr>
        <w:t>废气</w:t>
      </w:r>
    </w:p>
    <w:p w14:paraId="04CD89D2">
      <w:pPr>
        <w:spacing w:line="360" w:lineRule="auto"/>
        <w:ind w:firstLine="480"/>
        <w:rPr>
          <w:color w:val="auto"/>
          <w:szCs w:val="24"/>
        </w:rPr>
      </w:pPr>
      <w:r>
        <w:rPr>
          <w:rFonts w:hint="eastAsia"/>
          <w:color w:val="auto"/>
          <w:szCs w:val="24"/>
        </w:rPr>
        <w:t>拟建项目废气监测计划见表1</w:t>
      </w:r>
      <w:r>
        <w:rPr>
          <w:color w:val="auto"/>
          <w:szCs w:val="24"/>
        </w:rPr>
        <w:t>0.2-2</w:t>
      </w:r>
      <w:r>
        <w:rPr>
          <w:rFonts w:hint="eastAsia"/>
          <w:color w:val="auto"/>
          <w:szCs w:val="24"/>
        </w:rPr>
        <w:t>。</w:t>
      </w:r>
    </w:p>
    <w:p w14:paraId="35B51603">
      <w:pPr>
        <w:spacing w:line="360" w:lineRule="auto"/>
        <w:ind w:firstLineChars="83"/>
        <w:jc w:val="center"/>
        <w:rPr>
          <w:b/>
          <w:bCs/>
          <w:color w:val="auto"/>
        </w:rPr>
      </w:pPr>
      <w:r>
        <w:rPr>
          <w:rFonts w:hint="eastAsia"/>
          <w:b/>
          <w:bCs/>
          <w:color w:val="auto"/>
        </w:rPr>
        <w:t>表1</w:t>
      </w:r>
      <w:r>
        <w:rPr>
          <w:b/>
          <w:bCs/>
          <w:color w:val="auto"/>
        </w:rPr>
        <w:t>0</w:t>
      </w:r>
      <w:r>
        <w:rPr>
          <w:rFonts w:hint="eastAsia"/>
          <w:b/>
          <w:bCs/>
          <w:color w:val="auto"/>
        </w:rPr>
        <w:t>.2-</w:t>
      </w:r>
      <w:r>
        <w:rPr>
          <w:b/>
          <w:bCs/>
          <w:color w:val="auto"/>
        </w:rPr>
        <w:t>2</w:t>
      </w:r>
      <w:r>
        <w:rPr>
          <w:rFonts w:hint="eastAsia"/>
          <w:b/>
          <w:bCs/>
          <w:color w:val="auto"/>
        </w:rPr>
        <w:t>拟建项目废气</w:t>
      </w:r>
      <w:r>
        <w:rPr>
          <w:b/>
          <w:bCs/>
          <w:color w:val="auto"/>
        </w:rPr>
        <w:t>自行监测计划一览表</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76"/>
        <w:gridCol w:w="2158"/>
        <w:gridCol w:w="1926"/>
        <w:gridCol w:w="1926"/>
      </w:tblGrid>
      <w:tr w14:paraId="14DB8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764" w:type="pct"/>
            <w:shd w:val="clear" w:color="auto" w:fill="auto"/>
            <w:vAlign w:val="center"/>
          </w:tcPr>
          <w:p w14:paraId="7BF33478">
            <w:pPr>
              <w:pStyle w:val="276"/>
              <w:rPr>
                <w:color w:val="auto"/>
              </w:rPr>
            </w:pPr>
            <w:r>
              <w:rPr>
                <w:rFonts w:hint="eastAsia"/>
                <w:color w:val="auto"/>
              </w:rPr>
              <w:t>监测点位</w:t>
            </w:r>
          </w:p>
        </w:tc>
        <w:tc>
          <w:tcPr>
            <w:tcW w:w="1162" w:type="pct"/>
            <w:shd w:val="clear" w:color="auto" w:fill="auto"/>
            <w:vAlign w:val="center"/>
          </w:tcPr>
          <w:p w14:paraId="38A23A7C">
            <w:pPr>
              <w:pStyle w:val="276"/>
              <w:rPr>
                <w:color w:val="auto"/>
              </w:rPr>
            </w:pPr>
            <w:r>
              <w:rPr>
                <w:rFonts w:hint="eastAsia"/>
                <w:color w:val="auto"/>
              </w:rPr>
              <w:t>监测指标</w:t>
            </w:r>
          </w:p>
        </w:tc>
        <w:tc>
          <w:tcPr>
            <w:tcW w:w="1037" w:type="pct"/>
            <w:shd w:val="clear" w:color="auto" w:fill="auto"/>
            <w:vAlign w:val="center"/>
          </w:tcPr>
          <w:p w14:paraId="2480FFBE">
            <w:pPr>
              <w:pStyle w:val="276"/>
              <w:rPr>
                <w:color w:val="auto"/>
              </w:rPr>
            </w:pPr>
            <w:r>
              <w:rPr>
                <w:rFonts w:hint="eastAsia"/>
                <w:color w:val="auto"/>
              </w:rPr>
              <w:t>监测频次</w:t>
            </w:r>
          </w:p>
        </w:tc>
        <w:tc>
          <w:tcPr>
            <w:tcW w:w="1037" w:type="pct"/>
            <w:vAlign w:val="center"/>
          </w:tcPr>
          <w:p w14:paraId="4D006C62">
            <w:pPr>
              <w:pStyle w:val="276"/>
              <w:rPr>
                <w:color w:val="auto"/>
              </w:rPr>
            </w:pPr>
            <w:r>
              <w:rPr>
                <w:rFonts w:hint="eastAsia"/>
                <w:color w:val="auto"/>
              </w:rPr>
              <w:t>备注</w:t>
            </w:r>
          </w:p>
        </w:tc>
      </w:tr>
      <w:tr w14:paraId="283CE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764" w:type="pct"/>
            <w:shd w:val="clear" w:color="auto" w:fill="auto"/>
            <w:vAlign w:val="center"/>
          </w:tcPr>
          <w:p w14:paraId="6A276ECC">
            <w:pPr>
              <w:pStyle w:val="276"/>
              <w:rPr>
                <w:color w:val="auto"/>
              </w:rPr>
            </w:pPr>
            <w:r>
              <w:rPr>
                <w:rFonts w:hint="eastAsia"/>
                <w:color w:val="auto"/>
                <w:lang w:val="en-US"/>
              </w:rPr>
              <w:t>DA001</w:t>
            </w:r>
            <w:r>
              <w:rPr>
                <w:rFonts w:hint="eastAsia"/>
                <w:color w:val="auto"/>
              </w:rPr>
              <w:t>排气筒（除臭装置排气筒）</w:t>
            </w:r>
          </w:p>
        </w:tc>
        <w:tc>
          <w:tcPr>
            <w:tcW w:w="1162" w:type="pct"/>
            <w:shd w:val="clear" w:color="auto" w:fill="auto"/>
            <w:vAlign w:val="center"/>
          </w:tcPr>
          <w:p w14:paraId="65279A43">
            <w:pPr>
              <w:pStyle w:val="276"/>
              <w:rPr>
                <w:color w:val="auto"/>
              </w:rPr>
            </w:pPr>
            <w:r>
              <w:rPr>
                <w:rFonts w:hint="eastAsia"/>
                <w:color w:val="auto"/>
              </w:rPr>
              <w:t>硫化氢、氨、臭气浓度、</w:t>
            </w:r>
            <w:r>
              <w:rPr>
                <w:rFonts w:hint="eastAsia"/>
                <w:color w:val="auto"/>
                <w:lang w:val="en-US"/>
              </w:rPr>
              <w:t>非甲烷总烃</w:t>
            </w:r>
          </w:p>
        </w:tc>
        <w:tc>
          <w:tcPr>
            <w:tcW w:w="1037" w:type="pct"/>
            <w:shd w:val="clear" w:color="auto" w:fill="auto"/>
            <w:vAlign w:val="center"/>
          </w:tcPr>
          <w:p w14:paraId="764E3388">
            <w:pPr>
              <w:pStyle w:val="276"/>
              <w:rPr>
                <w:color w:val="auto"/>
              </w:rPr>
            </w:pPr>
            <w:r>
              <w:rPr>
                <w:rFonts w:hint="eastAsia"/>
                <w:color w:val="auto"/>
              </w:rPr>
              <w:t>半年</w:t>
            </w:r>
          </w:p>
        </w:tc>
        <w:tc>
          <w:tcPr>
            <w:tcW w:w="1037" w:type="pct"/>
            <w:vAlign w:val="center"/>
          </w:tcPr>
          <w:p w14:paraId="5A5A562C">
            <w:pPr>
              <w:pStyle w:val="276"/>
              <w:rPr>
                <w:color w:val="auto"/>
              </w:rPr>
            </w:pPr>
            <w:r>
              <w:rPr>
                <w:rFonts w:hint="eastAsia"/>
                <w:color w:val="auto"/>
              </w:rPr>
              <w:t>/</w:t>
            </w:r>
          </w:p>
        </w:tc>
      </w:tr>
      <w:tr w14:paraId="740A0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764" w:type="pct"/>
            <w:shd w:val="clear" w:color="auto" w:fill="auto"/>
            <w:vAlign w:val="center"/>
          </w:tcPr>
          <w:p w14:paraId="28EC0C22">
            <w:pPr>
              <w:pStyle w:val="276"/>
              <w:rPr>
                <w:color w:val="auto"/>
              </w:rPr>
            </w:pPr>
            <w:r>
              <w:rPr>
                <w:rFonts w:hint="eastAsia"/>
                <w:color w:val="auto"/>
              </w:rPr>
              <w:t>厂界</w:t>
            </w:r>
          </w:p>
        </w:tc>
        <w:tc>
          <w:tcPr>
            <w:tcW w:w="1162" w:type="pct"/>
            <w:shd w:val="clear" w:color="auto" w:fill="auto"/>
            <w:vAlign w:val="center"/>
          </w:tcPr>
          <w:p w14:paraId="65BBA5D5">
            <w:pPr>
              <w:pStyle w:val="276"/>
              <w:rPr>
                <w:color w:val="auto"/>
              </w:rPr>
            </w:pPr>
            <w:r>
              <w:rPr>
                <w:rFonts w:hint="eastAsia"/>
                <w:color w:val="auto"/>
              </w:rPr>
              <w:t>硫化氢、氨、臭气浓度、</w:t>
            </w:r>
            <w:r>
              <w:rPr>
                <w:rFonts w:hint="eastAsia"/>
                <w:color w:val="auto"/>
                <w:lang w:val="en-US"/>
              </w:rPr>
              <w:t>非甲烷总烃</w:t>
            </w:r>
          </w:p>
        </w:tc>
        <w:tc>
          <w:tcPr>
            <w:tcW w:w="1037" w:type="pct"/>
            <w:shd w:val="clear" w:color="auto" w:fill="auto"/>
            <w:vAlign w:val="center"/>
          </w:tcPr>
          <w:p w14:paraId="1DE8973C">
            <w:pPr>
              <w:pStyle w:val="276"/>
              <w:rPr>
                <w:color w:val="auto"/>
              </w:rPr>
            </w:pPr>
            <w:r>
              <w:rPr>
                <w:rFonts w:hint="eastAsia"/>
                <w:color w:val="auto"/>
              </w:rPr>
              <w:t>半年</w:t>
            </w:r>
          </w:p>
        </w:tc>
        <w:tc>
          <w:tcPr>
            <w:tcW w:w="1037" w:type="pct"/>
            <w:vAlign w:val="center"/>
          </w:tcPr>
          <w:p w14:paraId="57083706">
            <w:pPr>
              <w:pStyle w:val="276"/>
              <w:rPr>
                <w:color w:val="auto"/>
              </w:rPr>
            </w:pPr>
            <w:r>
              <w:rPr>
                <w:rFonts w:hint="eastAsia"/>
                <w:color w:val="auto"/>
              </w:rPr>
              <w:t>/</w:t>
            </w:r>
          </w:p>
        </w:tc>
      </w:tr>
    </w:tbl>
    <w:p w14:paraId="1B9971F8">
      <w:pPr>
        <w:spacing w:line="360" w:lineRule="auto"/>
        <w:ind w:firstLine="480"/>
        <w:rPr>
          <w:color w:val="auto"/>
          <w:szCs w:val="24"/>
        </w:rPr>
      </w:pPr>
    </w:p>
    <w:p w14:paraId="600ADECB">
      <w:pPr>
        <w:spacing w:line="360" w:lineRule="auto"/>
        <w:ind w:firstLine="480"/>
        <w:rPr>
          <w:color w:val="auto"/>
          <w:szCs w:val="24"/>
        </w:rPr>
      </w:pPr>
      <w:r>
        <w:rPr>
          <w:color w:val="auto"/>
          <w:szCs w:val="24"/>
        </w:rPr>
        <w:t>（3）厂界噪声</w:t>
      </w:r>
    </w:p>
    <w:p w14:paraId="518FA3E4">
      <w:pPr>
        <w:spacing w:line="360" w:lineRule="auto"/>
        <w:ind w:firstLine="480"/>
        <w:rPr>
          <w:color w:val="auto"/>
          <w:szCs w:val="24"/>
        </w:rPr>
      </w:pPr>
      <w:r>
        <w:rPr>
          <w:rFonts w:hint="eastAsia"/>
          <w:color w:val="auto"/>
        </w:rPr>
        <w:t>根据《排污许可证申请与核发技术规范  工业噪声》（HJ1301-2023），项目噪声监测如下：</w:t>
      </w:r>
    </w:p>
    <w:p w14:paraId="014DDC1D">
      <w:pPr>
        <w:spacing w:line="360" w:lineRule="auto"/>
        <w:ind w:firstLine="480"/>
        <w:rPr>
          <w:color w:val="auto"/>
          <w:szCs w:val="24"/>
        </w:rPr>
      </w:pPr>
      <w:r>
        <w:rPr>
          <w:color w:val="auto"/>
          <w:szCs w:val="24"/>
        </w:rPr>
        <w:t>监测点位：在污水处理厂</w:t>
      </w:r>
      <w:r>
        <w:rPr>
          <w:rFonts w:hint="eastAsia"/>
          <w:color w:val="auto"/>
          <w:szCs w:val="24"/>
          <w:lang w:eastAsia="zh-CN"/>
        </w:rPr>
        <w:t>东</w:t>
      </w:r>
      <w:r>
        <w:rPr>
          <w:rFonts w:hint="eastAsia"/>
          <w:color w:val="auto"/>
          <w:szCs w:val="24"/>
        </w:rPr>
        <w:t>侧</w:t>
      </w:r>
      <w:r>
        <w:rPr>
          <w:rFonts w:hint="eastAsia"/>
          <w:color w:val="auto"/>
          <w:szCs w:val="24"/>
          <w:lang w:eastAsia="zh-CN"/>
        </w:rPr>
        <w:t>、北侧和西</w:t>
      </w:r>
      <w:r>
        <w:rPr>
          <w:rFonts w:hint="eastAsia"/>
          <w:color w:val="auto"/>
          <w:szCs w:val="24"/>
        </w:rPr>
        <w:t>侧</w:t>
      </w:r>
      <w:r>
        <w:rPr>
          <w:color w:val="auto"/>
          <w:szCs w:val="24"/>
        </w:rPr>
        <w:t>厂界设监测点。</w:t>
      </w:r>
    </w:p>
    <w:p w14:paraId="4BBDA531">
      <w:pPr>
        <w:spacing w:line="360" w:lineRule="auto"/>
        <w:ind w:firstLine="480"/>
        <w:rPr>
          <w:color w:val="auto"/>
          <w:szCs w:val="24"/>
        </w:rPr>
      </w:pPr>
      <w:r>
        <w:rPr>
          <w:color w:val="auto"/>
          <w:szCs w:val="24"/>
        </w:rPr>
        <w:t>监测频率：运营期</w:t>
      </w:r>
      <w:r>
        <w:rPr>
          <w:rFonts w:hint="eastAsia"/>
          <w:color w:val="auto"/>
          <w:szCs w:val="24"/>
        </w:rPr>
        <w:t>每季度</w:t>
      </w:r>
      <w:r>
        <w:rPr>
          <w:color w:val="auto"/>
          <w:szCs w:val="24"/>
        </w:rPr>
        <w:t>监测一次。</w:t>
      </w:r>
    </w:p>
    <w:p w14:paraId="34F1F9DC">
      <w:pPr>
        <w:spacing w:line="360" w:lineRule="auto"/>
        <w:ind w:firstLine="480"/>
        <w:rPr>
          <w:color w:val="auto"/>
          <w:szCs w:val="24"/>
        </w:rPr>
      </w:pPr>
      <w:r>
        <w:rPr>
          <w:color w:val="auto"/>
          <w:szCs w:val="24"/>
        </w:rPr>
        <w:t>监测项目：</w:t>
      </w:r>
      <w:r>
        <w:rPr>
          <w:rFonts w:hint="eastAsia"/>
          <w:color w:val="auto"/>
          <w:szCs w:val="24"/>
        </w:rPr>
        <w:t>昼夜</w:t>
      </w:r>
      <w:r>
        <w:rPr>
          <w:color w:val="auto"/>
          <w:szCs w:val="24"/>
        </w:rPr>
        <w:t>等效连续A声级。</w:t>
      </w:r>
    </w:p>
    <w:p w14:paraId="688B249A">
      <w:pPr>
        <w:spacing w:line="360" w:lineRule="auto"/>
        <w:ind w:firstLine="480"/>
        <w:rPr>
          <w:color w:val="auto"/>
          <w:szCs w:val="24"/>
        </w:rPr>
      </w:pPr>
      <w:r>
        <w:rPr>
          <w:color w:val="auto"/>
          <w:szCs w:val="24"/>
        </w:rPr>
        <w:t>监测机构：委托有资质机构监测。</w:t>
      </w:r>
    </w:p>
    <w:p w14:paraId="23CD15F3">
      <w:pPr>
        <w:spacing w:line="360" w:lineRule="auto"/>
        <w:ind w:firstLine="480"/>
        <w:rPr>
          <w:color w:val="auto"/>
          <w:szCs w:val="24"/>
        </w:rPr>
      </w:pPr>
      <w:r>
        <w:rPr>
          <w:color w:val="auto"/>
          <w:szCs w:val="24"/>
        </w:rPr>
        <w:t>（4）地下水</w:t>
      </w:r>
    </w:p>
    <w:p w14:paraId="71F14911">
      <w:pPr>
        <w:spacing w:line="360" w:lineRule="auto"/>
        <w:ind w:firstLine="480"/>
        <w:rPr>
          <w:color w:val="auto"/>
          <w:szCs w:val="24"/>
        </w:rPr>
      </w:pPr>
      <w:r>
        <w:rPr>
          <w:rFonts w:hint="eastAsia"/>
          <w:color w:val="auto"/>
          <w:szCs w:val="24"/>
        </w:rPr>
        <w:t>根据《工业企业土壤和地下水自行监测技术指南（试行）》（HJ 1209—2021）和《环境影响评价技术导则地下水环境》（HJ610-2016），结合项目特性，地下水跟踪监测井设置如下：</w:t>
      </w:r>
    </w:p>
    <w:p w14:paraId="61430B38">
      <w:pPr>
        <w:spacing w:line="360" w:lineRule="auto"/>
        <w:ind w:firstLine="480"/>
        <w:rPr>
          <w:color w:val="auto"/>
          <w:szCs w:val="24"/>
        </w:rPr>
      </w:pPr>
      <w:r>
        <w:rPr>
          <w:color w:val="auto"/>
          <w:szCs w:val="24"/>
        </w:rPr>
        <w:t>监测点位：项目设地下水跟踪监测井3个，</w:t>
      </w:r>
      <w:r>
        <w:rPr>
          <w:rFonts w:hint="eastAsia"/>
          <w:color w:val="auto"/>
          <w:szCs w:val="24"/>
        </w:rPr>
        <w:t>监测井均利用</w:t>
      </w:r>
      <w:r>
        <w:rPr>
          <w:rFonts w:hint="eastAsia"/>
          <w:color w:val="auto"/>
          <w:szCs w:val="24"/>
          <w:lang w:eastAsia="zh-CN"/>
        </w:rPr>
        <w:t>企业新建设的</w:t>
      </w:r>
      <w:r>
        <w:rPr>
          <w:rFonts w:hint="eastAsia"/>
          <w:color w:val="auto"/>
          <w:szCs w:val="24"/>
        </w:rPr>
        <w:t>地下水</w:t>
      </w:r>
      <w:r>
        <w:rPr>
          <w:rFonts w:hint="eastAsia"/>
          <w:color w:val="auto"/>
          <w:szCs w:val="24"/>
          <w:lang w:eastAsia="zh-CN"/>
        </w:rPr>
        <w:t>监控</w:t>
      </w:r>
      <w:r>
        <w:rPr>
          <w:rFonts w:hint="eastAsia"/>
          <w:color w:val="auto"/>
          <w:szCs w:val="24"/>
        </w:rPr>
        <w:t>井。</w:t>
      </w:r>
    </w:p>
    <w:p w14:paraId="08BC16B4">
      <w:pPr>
        <w:spacing w:line="360" w:lineRule="auto"/>
        <w:ind w:firstLine="480"/>
        <w:rPr>
          <w:color w:val="auto"/>
          <w:szCs w:val="24"/>
        </w:rPr>
      </w:pPr>
      <w:r>
        <w:rPr>
          <w:color w:val="auto"/>
          <w:szCs w:val="24"/>
        </w:rPr>
        <w:t>监测频率：每年监测1次，非正常工况另外监测。</w:t>
      </w:r>
    </w:p>
    <w:p w14:paraId="231EC4BA">
      <w:pPr>
        <w:spacing w:line="360" w:lineRule="auto"/>
        <w:ind w:firstLine="480"/>
        <w:rPr>
          <w:color w:val="auto"/>
          <w:kern w:val="0"/>
          <w:szCs w:val="24"/>
          <w:lang w:bidi="en-US"/>
        </w:rPr>
      </w:pPr>
      <w:r>
        <w:rPr>
          <w:color w:val="auto"/>
          <w:kern w:val="0"/>
          <w:szCs w:val="24"/>
          <w:lang w:bidi="en-US"/>
        </w:rPr>
        <w:t>监测项目：</w:t>
      </w:r>
      <w:r>
        <w:rPr>
          <w:rFonts w:hint="eastAsia"/>
          <w:color w:val="auto"/>
        </w:rPr>
        <w:t>pH、耗氧量、挥发性酚类、氨氮、硝酸盐、亚硝酸盐、硫酸盐、氰化物、氟化物、氯化物、硫化物、溶解性总固体、总大肠菌群、细菌总数、镉、汞、铅、砷、总硬度、铁、锰、六价铬、石油类、钡</w:t>
      </w:r>
      <w:r>
        <w:rPr>
          <w:color w:val="auto"/>
          <w:kern w:val="0"/>
          <w:szCs w:val="24"/>
          <w:lang w:bidi="en-US"/>
        </w:rPr>
        <w:t>。</w:t>
      </w:r>
    </w:p>
    <w:p w14:paraId="23352B64">
      <w:pPr>
        <w:spacing w:line="360" w:lineRule="auto"/>
        <w:ind w:firstLine="480"/>
        <w:rPr>
          <w:color w:val="auto"/>
          <w:szCs w:val="24"/>
        </w:rPr>
      </w:pPr>
      <w:r>
        <w:rPr>
          <w:color w:val="auto"/>
          <w:szCs w:val="24"/>
        </w:rPr>
        <w:t>监测机构：委托有资质机构监测。</w:t>
      </w:r>
    </w:p>
    <w:p w14:paraId="69B9197E">
      <w:pPr>
        <w:spacing w:line="360" w:lineRule="auto"/>
        <w:ind w:firstLine="480"/>
        <w:rPr>
          <w:color w:val="auto"/>
          <w:szCs w:val="24"/>
        </w:rPr>
      </w:pPr>
      <w:r>
        <w:rPr>
          <w:rFonts w:hint="eastAsia"/>
          <w:color w:val="auto"/>
          <w:szCs w:val="24"/>
        </w:rPr>
        <w:t>（5）土壤</w:t>
      </w:r>
    </w:p>
    <w:p w14:paraId="521AD180">
      <w:pPr>
        <w:spacing w:line="360" w:lineRule="auto"/>
        <w:ind w:firstLine="480"/>
        <w:rPr>
          <w:color w:val="auto"/>
          <w:szCs w:val="24"/>
        </w:rPr>
      </w:pPr>
      <w:r>
        <w:rPr>
          <w:rFonts w:hint="eastAsia"/>
          <w:color w:val="auto"/>
          <w:szCs w:val="24"/>
        </w:rPr>
        <w:t>根据《工业企业土壤和地下水自行监测 技术指南》（HJ 1209-2021）和《环境影响评价技术导则 土壤环境（试行）》（HJ964-2018），项目土壤跟踪监测点设置如下：</w:t>
      </w:r>
    </w:p>
    <w:p w14:paraId="03538D11">
      <w:pPr>
        <w:spacing w:line="360" w:lineRule="auto"/>
        <w:ind w:firstLine="480"/>
        <w:rPr>
          <w:color w:val="auto"/>
          <w:szCs w:val="24"/>
        </w:rPr>
      </w:pPr>
      <w:r>
        <w:rPr>
          <w:rFonts w:hint="eastAsia"/>
          <w:color w:val="auto"/>
          <w:szCs w:val="24"/>
        </w:rPr>
        <w:t>监测点位：</w:t>
      </w:r>
      <w:r>
        <w:rPr>
          <w:color w:val="auto"/>
          <w:szCs w:val="24"/>
        </w:rPr>
        <w:t>项目设</w:t>
      </w:r>
      <w:r>
        <w:rPr>
          <w:rFonts w:hint="eastAsia"/>
          <w:color w:val="auto"/>
          <w:szCs w:val="24"/>
        </w:rPr>
        <w:t>土壤监测点</w:t>
      </w:r>
      <w:r>
        <w:rPr>
          <w:rFonts w:hint="eastAsia"/>
          <w:color w:val="auto"/>
          <w:szCs w:val="24"/>
          <w:lang w:val="en-US" w:eastAsia="zh-CN"/>
        </w:rPr>
        <w:t>4</w:t>
      </w:r>
      <w:r>
        <w:rPr>
          <w:color w:val="auto"/>
          <w:szCs w:val="24"/>
        </w:rPr>
        <w:t>个</w:t>
      </w:r>
      <w:r>
        <w:rPr>
          <w:rFonts w:hint="eastAsia"/>
          <w:color w:val="auto"/>
          <w:szCs w:val="24"/>
        </w:rPr>
        <w:t>，分别为废水处理站</w:t>
      </w:r>
      <w:r>
        <w:rPr>
          <w:rFonts w:hint="eastAsia"/>
          <w:color w:val="auto"/>
          <w:szCs w:val="24"/>
          <w:lang w:eastAsia="zh-CN"/>
        </w:rPr>
        <w:t>东</w:t>
      </w:r>
      <w:r>
        <w:rPr>
          <w:rFonts w:hint="eastAsia"/>
          <w:color w:val="auto"/>
          <w:szCs w:val="24"/>
        </w:rPr>
        <w:t>侧监测点、废水处理站北侧监测点、废水处理站西侧监测点和事故池监测点</w:t>
      </w:r>
      <w:r>
        <w:rPr>
          <w:rFonts w:hint="eastAsia"/>
          <w:color w:val="auto"/>
          <w:szCs w:val="24"/>
          <w:lang w:eastAsia="zh-CN"/>
        </w:rPr>
        <w:t>（南侧）</w:t>
      </w:r>
      <w:r>
        <w:rPr>
          <w:rFonts w:hint="eastAsia"/>
          <w:color w:val="auto"/>
          <w:szCs w:val="24"/>
        </w:rPr>
        <w:t>。</w:t>
      </w:r>
    </w:p>
    <w:p w14:paraId="6B072705">
      <w:pPr>
        <w:spacing w:line="360" w:lineRule="auto"/>
        <w:ind w:firstLine="480"/>
        <w:rPr>
          <w:color w:val="auto"/>
          <w:szCs w:val="24"/>
        </w:rPr>
      </w:pPr>
      <w:r>
        <w:rPr>
          <w:color w:val="auto"/>
          <w:szCs w:val="24"/>
        </w:rPr>
        <w:t>监测频率：每年监测1次，非正常工况另外监测。</w:t>
      </w:r>
    </w:p>
    <w:p w14:paraId="58F190E5">
      <w:pPr>
        <w:spacing w:line="360" w:lineRule="auto"/>
        <w:ind w:firstLine="480"/>
        <w:rPr>
          <w:color w:val="auto"/>
          <w:kern w:val="0"/>
          <w:szCs w:val="24"/>
          <w:lang w:bidi="en-US"/>
        </w:rPr>
      </w:pPr>
      <w:r>
        <w:rPr>
          <w:color w:val="auto"/>
          <w:kern w:val="0"/>
          <w:szCs w:val="24"/>
          <w:lang w:bidi="en-US"/>
        </w:rPr>
        <w:t>监测项目：</w:t>
      </w:r>
      <w:r>
        <w:rPr>
          <w:rFonts w:hint="eastAsia"/>
          <w:color w:val="auto"/>
        </w:rPr>
        <w:t>pH、砷、镉、六价铬、铅、铜、镍、汞、钡、硼、石油烃（C10-C40）</w:t>
      </w:r>
      <w:r>
        <w:rPr>
          <w:color w:val="auto"/>
          <w:kern w:val="0"/>
          <w:szCs w:val="24"/>
          <w:lang w:bidi="en-US"/>
        </w:rPr>
        <w:t>。</w:t>
      </w:r>
    </w:p>
    <w:p w14:paraId="5C62A187">
      <w:pPr>
        <w:spacing w:line="360" w:lineRule="auto"/>
        <w:ind w:firstLine="480"/>
        <w:rPr>
          <w:color w:val="auto"/>
          <w:szCs w:val="24"/>
        </w:rPr>
      </w:pPr>
      <w:r>
        <w:rPr>
          <w:color w:val="auto"/>
          <w:szCs w:val="24"/>
        </w:rPr>
        <w:t>监测机构：委托有资质机构监测。</w:t>
      </w:r>
    </w:p>
    <w:p w14:paraId="5ECE8325">
      <w:pPr>
        <w:spacing w:line="360" w:lineRule="auto"/>
        <w:ind w:firstLine="480"/>
        <w:rPr>
          <w:color w:val="auto"/>
          <w:szCs w:val="24"/>
        </w:rPr>
      </w:pPr>
    </w:p>
    <w:p w14:paraId="0CD62DC3">
      <w:pPr>
        <w:pStyle w:val="5"/>
        <w:numPr>
          <w:ilvl w:val="0"/>
          <w:numId w:val="0"/>
        </w:numPr>
        <w:spacing w:line="360" w:lineRule="auto"/>
        <w:jc w:val="left"/>
        <w:rPr>
          <w:color w:val="auto"/>
          <w:szCs w:val="24"/>
        </w:rPr>
      </w:pPr>
      <w:r>
        <w:rPr>
          <w:rFonts w:hint="eastAsia"/>
          <w:color w:val="auto"/>
          <w:szCs w:val="24"/>
        </w:rPr>
        <w:t>1</w:t>
      </w:r>
      <w:r>
        <w:rPr>
          <w:color w:val="auto"/>
          <w:szCs w:val="24"/>
        </w:rPr>
        <w:t>0</w:t>
      </w:r>
      <w:r>
        <w:rPr>
          <w:rFonts w:hint="eastAsia"/>
          <w:color w:val="auto"/>
          <w:szCs w:val="24"/>
        </w:rPr>
        <w:t>.</w:t>
      </w:r>
      <w:r>
        <w:rPr>
          <w:color w:val="auto"/>
          <w:szCs w:val="24"/>
        </w:rPr>
        <w:t>2.2监测资料建档制度</w:t>
      </w:r>
    </w:p>
    <w:p w14:paraId="354C9F69">
      <w:pPr>
        <w:spacing w:line="360" w:lineRule="auto"/>
        <w:ind w:firstLine="480"/>
        <w:rPr>
          <w:color w:val="auto"/>
          <w:szCs w:val="24"/>
        </w:rPr>
      </w:pPr>
      <w:r>
        <w:rPr>
          <w:color w:val="auto"/>
          <w:szCs w:val="24"/>
        </w:rPr>
        <w:t>（1）监测分析应按化验室质量控制技术进行，对监测的原始记录应完整保留备查；</w:t>
      </w:r>
    </w:p>
    <w:p w14:paraId="27142DC6">
      <w:pPr>
        <w:spacing w:line="360" w:lineRule="auto"/>
        <w:ind w:firstLine="480"/>
        <w:rPr>
          <w:color w:val="auto"/>
          <w:szCs w:val="24"/>
        </w:rPr>
      </w:pPr>
      <w:r>
        <w:rPr>
          <w:color w:val="auto"/>
          <w:szCs w:val="24"/>
        </w:rPr>
        <w:t>（2）对监测资料应及时整理汇总，反馈通报，建立良好的信息系统，定期总结；</w:t>
      </w:r>
    </w:p>
    <w:p w14:paraId="1048817E">
      <w:pPr>
        <w:spacing w:line="360" w:lineRule="auto"/>
        <w:ind w:firstLine="480"/>
        <w:rPr>
          <w:color w:val="auto"/>
          <w:szCs w:val="24"/>
        </w:rPr>
      </w:pPr>
      <w:r>
        <w:rPr>
          <w:color w:val="auto"/>
          <w:szCs w:val="24"/>
        </w:rPr>
        <w:t>（3）污水处理厂的环境管理与监测情况，必须随时接受环保主管部门的检查和监督；</w:t>
      </w:r>
    </w:p>
    <w:p w14:paraId="74E9D73E">
      <w:pPr>
        <w:spacing w:line="360" w:lineRule="auto"/>
        <w:ind w:firstLine="480"/>
        <w:rPr>
          <w:color w:val="auto"/>
          <w:szCs w:val="24"/>
        </w:rPr>
      </w:pPr>
      <w:r>
        <w:rPr>
          <w:rFonts w:hint="eastAsia"/>
          <w:color w:val="auto"/>
          <w:szCs w:val="24"/>
        </w:rPr>
        <w:t>（4）监测</w:t>
      </w:r>
      <w:r>
        <w:rPr>
          <w:color w:val="auto"/>
          <w:szCs w:val="24"/>
        </w:rPr>
        <w:t>资料及记录按照</w:t>
      </w:r>
      <w:r>
        <w:rPr>
          <w:rFonts w:hint="eastAsia"/>
          <w:color w:val="auto"/>
          <w:szCs w:val="24"/>
        </w:rPr>
        <w:t>《排污许可证申请与核发技术规范水处理（试行）》（HJ978-2018）执行</w:t>
      </w:r>
      <w:r>
        <w:rPr>
          <w:color w:val="auto"/>
          <w:szCs w:val="24"/>
        </w:rPr>
        <w:t>。</w:t>
      </w:r>
    </w:p>
    <w:p w14:paraId="35A58471">
      <w:pPr>
        <w:spacing w:line="360" w:lineRule="auto"/>
        <w:ind w:firstLine="480"/>
        <w:rPr>
          <w:color w:val="auto"/>
          <w:szCs w:val="24"/>
        </w:rPr>
      </w:pPr>
      <w:r>
        <w:rPr>
          <w:color w:val="auto"/>
          <w:szCs w:val="24"/>
        </w:rPr>
        <w:t>为了提高污水处理厂管理和操作水平，保证项目建成后正常运行，必须对有关人员进行有计划的培训，为建成后良好的运行管理奠定基础。</w:t>
      </w:r>
    </w:p>
    <w:p w14:paraId="5CA61E18">
      <w:pPr>
        <w:pStyle w:val="4"/>
        <w:numPr>
          <w:ilvl w:val="0"/>
          <w:numId w:val="0"/>
        </w:numPr>
        <w:spacing w:line="360" w:lineRule="auto"/>
        <w:rPr>
          <w:color w:val="auto"/>
          <w:szCs w:val="24"/>
        </w:rPr>
      </w:pPr>
      <w:bookmarkStart w:id="395" w:name="_Toc21363"/>
      <w:r>
        <w:rPr>
          <w:rFonts w:hint="eastAsia"/>
          <w:color w:val="auto"/>
          <w:szCs w:val="24"/>
        </w:rPr>
        <w:t>1</w:t>
      </w:r>
      <w:r>
        <w:rPr>
          <w:color w:val="auto"/>
          <w:szCs w:val="24"/>
        </w:rPr>
        <w:t>0</w:t>
      </w:r>
      <w:r>
        <w:rPr>
          <w:rFonts w:hint="eastAsia"/>
          <w:color w:val="auto"/>
          <w:szCs w:val="24"/>
        </w:rPr>
        <w:t>.</w:t>
      </w:r>
      <w:r>
        <w:rPr>
          <w:color w:val="auto"/>
          <w:szCs w:val="24"/>
        </w:rPr>
        <w:t>3排污口规整</w:t>
      </w:r>
      <w:r>
        <w:rPr>
          <w:rFonts w:hint="eastAsia"/>
          <w:color w:val="auto"/>
          <w:szCs w:val="24"/>
        </w:rPr>
        <w:t>及排污许可申请</w:t>
      </w:r>
      <w:bookmarkEnd w:id="395"/>
    </w:p>
    <w:p w14:paraId="5D438B9A">
      <w:pPr>
        <w:pStyle w:val="5"/>
        <w:numPr>
          <w:ilvl w:val="0"/>
          <w:numId w:val="0"/>
        </w:numPr>
        <w:spacing w:line="360" w:lineRule="auto"/>
        <w:rPr>
          <w:color w:val="auto"/>
          <w:szCs w:val="24"/>
        </w:rPr>
      </w:pPr>
      <w:r>
        <w:rPr>
          <w:rFonts w:hint="eastAsia"/>
          <w:color w:val="auto"/>
          <w:szCs w:val="24"/>
        </w:rPr>
        <w:t>1</w:t>
      </w:r>
      <w:r>
        <w:rPr>
          <w:color w:val="auto"/>
          <w:szCs w:val="24"/>
        </w:rPr>
        <w:t>0.3.1排污口规整</w:t>
      </w:r>
    </w:p>
    <w:p w14:paraId="4AFB9B32">
      <w:pPr>
        <w:spacing w:line="360" w:lineRule="auto"/>
        <w:ind w:firstLine="480"/>
        <w:rPr>
          <w:color w:val="auto"/>
          <w:szCs w:val="24"/>
        </w:rPr>
      </w:pPr>
      <w:r>
        <w:rPr>
          <w:rFonts w:hint="eastAsia"/>
          <w:color w:val="auto"/>
          <w:szCs w:val="24"/>
        </w:rPr>
        <w:t>排污口应按照</w:t>
      </w:r>
      <w:r>
        <w:rPr>
          <w:color w:val="auto"/>
          <w:szCs w:val="24"/>
        </w:rPr>
        <w:t>《</w:t>
      </w:r>
      <w:r>
        <w:rPr>
          <w:bCs/>
          <w:color w:val="auto"/>
          <w:szCs w:val="24"/>
        </w:rPr>
        <w:t>关于印发重庆市排污口规范化清理整治实施方案的通知</w:t>
      </w:r>
      <w:r>
        <w:rPr>
          <w:color w:val="auto"/>
          <w:szCs w:val="24"/>
        </w:rPr>
        <w:t>》（渝环发</w:t>
      </w:r>
      <w:r>
        <w:rPr>
          <w:rFonts w:hint="eastAsia"/>
          <w:color w:val="auto"/>
          <w:szCs w:val="24"/>
        </w:rPr>
        <w:t>〔</w:t>
      </w:r>
      <w:r>
        <w:rPr>
          <w:color w:val="auto"/>
          <w:szCs w:val="24"/>
        </w:rPr>
        <w:t>2012</w:t>
      </w:r>
      <w:r>
        <w:rPr>
          <w:rFonts w:hint="eastAsia"/>
          <w:color w:val="auto"/>
          <w:szCs w:val="24"/>
        </w:rPr>
        <w:t>〕</w:t>
      </w:r>
      <w:r>
        <w:rPr>
          <w:color w:val="auto"/>
          <w:szCs w:val="24"/>
        </w:rPr>
        <w:t>26号）要求规范化排放口。</w:t>
      </w:r>
    </w:p>
    <w:p w14:paraId="2757A936">
      <w:pPr>
        <w:adjustRightInd/>
        <w:snapToGrid/>
        <w:spacing w:line="500" w:lineRule="exact"/>
        <w:ind w:firstLine="480"/>
        <w:rPr>
          <w:color w:val="auto"/>
          <w:szCs w:val="24"/>
        </w:rPr>
      </w:pPr>
      <w:r>
        <w:rPr>
          <w:rFonts w:hint="eastAsia"/>
          <w:color w:val="auto"/>
          <w:szCs w:val="24"/>
        </w:rPr>
        <w:t>（1）废水</w:t>
      </w:r>
    </w:p>
    <w:p w14:paraId="07D4F850">
      <w:pPr>
        <w:adjustRightInd/>
        <w:snapToGrid/>
        <w:spacing w:line="500" w:lineRule="exact"/>
        <w:ind w:firstLine="480"/>
        <w:rPr>
          <w:color w:val="auto"/>
          <w:szCs w:val="24"/>
        </w:rPr>
      </w:pPr>
      <w:r>
        <w:rPr>
          <w:rFonts w:hint="eastAsia"/>
          <w:color w:val="auto"/>
          <w:szCs w:val="24"/>
        </w:rPr>
        <w:t>①项目废水通过罐车运至厂内收集池，不涉及废水进水管网。排污口必须具备采样和流量测定条件，按照《污染源监测技术规范》设置采样点。</w:t>
      </w:r>
    </w:p>
    <w:p w14:paraId="1D8F9D8B">
      <w:pPr>
        <w:adjustRightInd/>
        <w:snapToGrid/>
        <w:spacing w:line="500" w:lineRule="exact"/>
        <w:ind w:firstLine="480"/>
        <w:rPr>
          <w:color w:val="auto"/>
          <w:szCs w:val="24"/>
        </w:rPr>
      </w:pPr>
      <w:r>
        <w:rPr>
          <w:rFonts w:hint="eastAsia"/>
          <w:color w:val="auto"/>
          <w:szCs w:val="24"/>
        </w:rPr>
        <w:t>②排污口可以矩形、圆管形或梯形，使其水深不低于0.1米，流速不小于0.05m/s，间歇性排放的除外。</w:t>
      </w:r>
    </w:p>
    <w:p w14:paraId="0E2EFA90">
      <w:pPr>
        <w:adjustRightInd/>
        <w:snapToGrid/>
        <w:spacing w:line="500" w:lineRule="exact"/>
        <w:ind w:firstLine="480"/>
        <w:rPr>
          <w:color w:val="auto"/>
          <w:szCs w:val="24"/>
        </w:rPr>
      </w:pPr>
      <w:r>
        <w:rPr>
          <w:rFonts w:hint="eastAsia"/>
          <w:color w:val="auto"/>
          <w:szCs w:val="24"/>
        </w:rPr>
        <w:t>③设置规范的、便于测量流量、流速的测流段。测流段直线长度应是其水面宽度6倍以上，最小1.5倍以上。</w:t>
      </w:r>
    </w:p>
    <w:p w14:paraId="3D69E821">
      <w:pPr>
        <w:adjustRightInd/>
        <w:snapToGrid/>
        <w:spacing w:line="500" w:lineRule="exact"/>
        <w:ind w:firstLine="480"/>
        <w:rPr>
          <w:color w:val="auto"/>
          <w:szCs w:val="24"/>
        </w:rPr>
      </w:pPr>
      <w:r>
        <w:rPr>
          <w:rFonts w:hint="eastAsia"/>
          <w:color w:val="auto"/>
          <w:szCs w:val="24"/>
        </w:rPr>
        <w:t>（2）废气</w:t>
      </w:r>
    </w:p>
    <w:p w14:paraId="34F316DF">
      <w:pPr>
        <w:adjustRightInd/>
        <w:snapToGrid/>
        <w:spacing w:line="500" w:lineRule="exact"/>
        <w:ind w:firstLine="480"/>
        <w:rPr>
          <w:color w:val="auto"/>
          <w:szCs w:val="24"/>
        </w:rPr>
      </w:pPr>
      <w:r>
        <w:rPr>
          <w:rFonts w:hint="eastAsia"/>
          <w:color w:val="auto"/>
          <w:szCs w:val="24"/>
        </w:rPr>
        <w:t>有组织排放的废气。对其排气筒数量进行编号并设置标志。</w:t>
      </w:r>
    </w:p>
    <w:p w14:paraId="6BE4473F">
      <w:pPr>
        <w:adjustRightInd/>
        <w:snapToGrid/>
        <w:spacing w:line="500" w:lineRule="exact"/>
        <w:ind w:firstLine="480"/>
        <w:rPr>
          <w:color w:val="auto"/>
          <w:szCs w:val="24"/>
        </w:rPr>
      </w:pPr>
      <w:r>
        <w:rPr>
          <w:rFonts w:hint="eastAsia"/>
          <w:color w:val="auto"/>
          <w:szCs w:val="24"/>
        </w:rPr>
        <w:t>排气筒应设置便于人工采样、监测的采样口，采样口的设置应符合《污染源监测技术规范》要求。根据《固定污染源排气中颗粒物测定与气态污染源采样方法》（GB/T16157-1996），废气采样位置应该是“在距弯头、阀门、变径管下游方向不小于 6 倍直径，和距上述部件上游方向不小于3倍直径处”。对矩形烟道，其当量直径 D=2AB/(A+B</w:t>
      </w:r>
      <w:r>
        <w:rPr>
          <w:rFonts w:hint="eastAsia"/>
          <w:color w:val="auto"/>
          <w:szCs w:val="24"/>
          <w:lang w:eastAsia="zh-CN"/>
        </w:rPr>
        <w:t>）</w:t>
      </w:r>
      <w:r>
        <w:rPr>
          <w:rFonts w:hint="eastAsia"/>
          <w:color w:val="auto"/>
          <w:szCs w:val="24"/>
        </w:rPr>
        <w:t>，式中 A、B 为边长。采样口位置无法满足规范要求的，其位置由当地环境监测部门确认。采样口必须设置常备电源。</w:t>
      </w:r>
    </w:p>
    <w:p w14:paraId="21C3528B">
      <w:pPr>
        <w:adjustRightInd/>
        <w:snapToGrid/>
        <w:spacing w:line="500" w:lineRule="exact"/>
        <w:ind w:firstLine="480"/>
        <w:rPr>
          <w:color w:val="auto"/>
          <w:szCs w:val="24"/>
        </w:rPr>
      </w:pPr>
      <w:r>
        <w:rPr>
          <w:rFonts w:hint="eastAsia"/>
          <w:color w:val="auto"/>
          <w:szCs w:val="24"/>
        </w:rPr>
        <w:t>（</w:t>
      </w:r>
      <w:r>
        <w:rPr>
          <w:color w:val="auto"/>
          <w:szCs w:val="24"/>
        </w:rPr>
        <w:t>3</w:t>
      </w:r>
      <w:r>
        <w:rPr>
          <w:rFonts w:hint="eastAsia"/>
          <w:color w:val="auto"/>
          <w:szCs w:val="24"/>
        </w:rPr>
        <w:t>）固体废物</w:t>
      </w:r>
    </w:p>
    <w:p w14:paraId="264C7BCC">
      <w:pPr>
        <w:adjustRightInd/>
        <w:snapToGrid/>
        <w:spacing w:line="500" w:lineRule="exact"/>
        <w:ind w:firstLine="480"/>
        <w:rPr>
          <w:color w:val="auto"/>
          <w:szCs w:val="24"/>
        </w:rPr>
      </w:pPr>
      <w:r>
        <w:rPr>
          <w:rFonts w:hint="eastAsia"/>
          <w:color w:val="auto"/>
          <w:szCs w:val="24"/>
        </w:rPr>
        <w:t>有毒有害固体废物等危险废物，应设置专用堆放场地，并</w:t>
      </w:r>
      <w:r>
        <w:rPr>
          <w:rFonts w:hint="eastAsia"/>
          <w:color w:val="auto"/>
          <w:szCs w:val="24"/>
          <w:lang w:eastAsia="zh-CN"/>
        </w:rPr>
        <w:t>要</w:t>
      </w:r>
      <w:r>
        <w:rPr>
          <w:rFonts w:hint="eastAsia"/>
          <w:color w:val="auto"/>
          <w:szCs w:val="24"/>
        </w:rPr>
        <w:t>有防扬散、 防流失，防渗漏等防治措施，固体废物的处置、贮存、堆放场应分别立标。</w:t>
      </w:r>
    </w:p>
    <w:p w14:paraId="785675FC">
      <w:pPr>
        <w:adjustRightInd/>
        <w:snapToGrid/>
        <w:spacing w:line="500" w:lineRule="exact"/>
        <w:ind w:firstLine="480"/>
        <w:rPr>
          <w:color w:val="auto"/>
          <w:szCs w:val="24"/>
        </w:rPr>
      </w:pPr>
    </w:p>
    <w:p w14:paraId="2E112768">
      <w:pPr>
        <w:pStyle w:val="5"/>
        <w:numPr>
          <w:ilvl w:val="0"/>
          <w:numId w:val="0"/>
        </w:numPr>
        <w:spacing w:line="360" w:lineRule="auto"/>
        <w:rPr>
          <w:color w:val="auto"/>
          <w:szCs w:val="24"/>
        </w:rPr>
      </w:pPr>
      <w:r>
        <w:rPr>
          <w:rFonts w:hint="eastAsia"/>
          <w:color w:val="auto"/>
          <w:szCs w:val="24"/>
        </w:rPr>
        <w:t>1</w:t>
      </w:r>
      <w:r>
        <w:rPr>
          <w:color w:val="auto"/>
          <w:szCs w:val="24"/>
        </w:rPr>
        <w:t>0.3.2</w:t>
      </w:r>
      <w:r>
        <w:rPr>
          <w:rFonts w:hint="eastAsia"/>
          <w:color w:val="auto"/>
          <w:szCs w:val="24"/>
        </w:rPr>
        <w:t>排污许可申请</w:t>
      </w:r>
    </w:p>
    <w:p w14:paraId="3A24CBDF">
      <w:pPr>
        <w:spacing w:line="360" w:lineRule="auto"/>
        <w:ind w:firstLine="480"/>
        <w:rPr>
          <w:color w:val="auto"/>
          <w:szCs w:val="24"/>
        </w:rPr>
      </w:pPr>
      <w:r>
        <w:rPr>
          <w:rFonts w:hint="eastAsia"/>
          <w:color w:val="auto"/>
          <w:szCs w:val="24"/>
        </w:rPr>
        <w:t>（1）排污许可分类</w:t>
      </w:r>
    </w:p>
    <w:p w14:paraId="14103D2F">
      <w:pPr>
        <w:spacing w:line="360" w:lineRule="auto"/>
        <w:ind w:firstLine="480"/>
        <w:rPr>
          <w:color w:val="auto"/>
          <w:szCs w:val="24"/>
        </w:rPr>
      </w:pPr>
      <w:r>
        <w:rPr>
          <w:rFonts w:hint="eastAsia"/>
          <w:color w:val="auto"/>
          <w:szCs w:val="24"/>
        </w:rPr>
        <w:t>根据《固定污染源排污许可分类管理名录》（2</w:t>
      </w:r>
      <w:r>
        <w:rPr>
          <w:color w:val="auto"/>
          <w:szCs w:val="24"/>
        </w:rPr>
        <w:t>019</w:t>
      </w:r>
      <w:r>
        <w:rPr>
          <w:rFonts w:hint="eastAsia"/>
          <w:color w:val="auto"/>
          <w:szCs w:val="24"/>
        </w:rPr>
        <w:t>年版本），项目属于第四十一项，水的生产和供应业中污水处理及其再生利用行业，拟建项目属于工业废水集中处理场所，属于重点管理。</w:t>
      </w:r>
    </w:p>
    <w:p w14:paraId="4205C81D">
      <w:pPr>
        <w:spacing w:line="360" w:lineRule="auto"/>
        <w:ind w:firstLine="480"/>
        <w:rPr>
          <w:color w:val="auto"/>
          <w:szCs w:val="24"/>
        </w:rPr>
      </w:pPr>
      <w:r>
        <w:rPr>
          <w:rFonts w:hint="eastAsia"/>
          <w:color w:val="auto"/>
          <w:szCs w:val="24"/>
        </w:rPr>
        <w:t>（2）排污口信息</w:t>
      </w:r>
    </w:p>
    <w:p w14:paraId="2DB8D6F0">
      <w:pPr>
        <w:spacing w:line="360" w:lineRule="auto"/>
        <w:ind w:firstLine="480"/>
        <w:rPr>
          <w:color w:val="auto"/>
          <w:szCs w:val="24"/>
        </w:rPr>
      </w:pPr>
      <w:r>
        <w:rPr>
          <w:rFonts w:hint="eastAsia"/>
          <w:color w:val="auto"/>
          <w:szCs w:val="24"/>
        </w:rPr>
        <w:t>1）废气排放口</w:t>
      </w:r>
    </w:p>
    <w:p w14:paraId="10939653">
      <w:pPr>
        <w:pStyle w:val="185"/>
        <w:rPr>
          <w:color w:val="auto"/>
        </w:rPr>
      </w:pPr>
      <w:r>
        <w:rPr>
          <w:color w:val="auto"/>
        </w:rPr>
        <w:t xml:space="preserve">表10.3-1   </w:t>
      </w:r>
      <w:r>
        <w:rPr>
          <w:rFonts w:hint="eastAsia"/>
          <w:color w:val="auto"/>
        </w:rPr>
        <w:t>有组织</w:t>
      </w:r>
      <w:r>
        <w:rPr>
          <w:color w:val="auto"/>
        </w:rPr>
        <w:t>废气</w:t>
      </w:r>
      <w:r>
        <w:rPr>
          <w:rFonts w:hint="eastAsia"/>
          <w:color w:val="auto"/>
        </w:rPr>
        <w:t>排放口信息</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81"/>
        <w:gridCol w:w="538"/>
        <w:gridCol w:w="681"/>
        <w:gridCol w:w="1993"/>
        <w:gridCol w:w="1062"/>
        <w:gridCol w:w="810"/>
        <w:gridCol w:w="1062"/>
        <w:gridCol w:w="1416"/>
        <w:gridCol w:w="883"/>
      </w:tblGrid>
      <w:tr w14:paraId="4163C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73" w:type="pct"/>
            <w:vMerge w:val="restart"/>
            <w:vAlign w:val="center"/>
          </w:tcPr>
          <w:p w14:paraId="41F58DED">
            <w:pPr>
              <w:spacing w:line="240" w:lineRule="auto"/>
              <w:ind w:firstLine="0" w:firstLineChars="0"/>
              <w:jc w:val="center"/>
              <w:rPr>
                <w:color w:val="auto"/>
                <w:sz w:val="21"/>
                <w:szCs w:val="21"/>
              </w:rPr>
            </w:pPr>
            <w:r>
              <w:rPr>
                <w:rFonts w:hint="eastAsia"/>
                <w:color w:val="auto"/>
                <w:sz w:val="21"/>
                <w:szCs w:val="21"/>
              </w:rPr>
              <w:t>排放口编号</w:t>
            </w:r>
          </w:p>
        </w:tc>
        <w:tc>
          <w:tcPr>
            <w:tcW w:w="295" w:type="pct"/>
            <w:vMerge w:val="restart"/>
            <w:vAlign w:val="center"/>
          </w:tcPr>
          <w:p w14:paraId="5BDBC022">
            <w:pPr>
              <w:spacing w:line="240" w:lineRule="auto"/>
              <w:ind w:firstLine="0" w:firstLineChars="0"/>
              <w:jc w:val="center"/>
              <w:rPr>
                <w:color w:val="auto"/>
                <w:sz w:val="21"/>
                <w:szCs w:val="21"/>
              </w:rPr>
            </w:pPr>
            <w:r>
              <w:rPr>
                <w:rFonts w:hint="eastAsia"/>
                <w:color w:val="auto"/>
                <w:sz w:val="21"/>
                <w:szCs w:val="21"/>
              </w:rPr>
              <w:t>排放口名称</w:t>
            </w:r>
          </w:p>
        </w:tc>
        <w:tc>
          <w:tcPr>
            <w:tcW w:w="373" w:type="pct"/>
            <w:vMerge w:val="restart"/>
            <w:vAlign w:val="center"/>
          </w:tcPr>
          <w:p w14:paraId="2B3A08A0">
            <w:pPr>
              <w:spacing w:line="240" w:lineRule="auto"/>
              <w:ind w:firstLine="0" w:firstLineChars="0"/>
              <w:jc w:val="center"/>
              <w:rPr>
                <w:color w:val="auto"/>
                <w:sz w:val="21"/>
                <w:szCs w:val="21"/>
              </w:rPr>
            </w:pPr>
            <w:r>
              <w:rPr>
                <w:rFonts w:hint="eastAsia"/>
                <w:color w:val="auto"/>
                <w:sz w:val="21"/>
                <w:szCs w:val="21"/>
              </w:rPr>
              <w:t>排放口类型</w:t>
            </w:r>
          </w:p>
        </w:tc>
        <w:tc>
          <w:tcPr>
            <w:tcW w:w="1092" w:type="pct"/>
            <w:vMerge w:val="restart"/>
            <w:vAlign w:val="center"/>
          </w:tcPr>
          <w:p w14:paraId="6F0E93DE">
            <w:pPr>
              <w:spacing w:line="240" w:lineRule="auto"/>
              <w:ind w:firstLine="0" w:firstLineChars="0"/>
              <w:jc w:val="center"/>
              <w:rPr>
                <w:color w:val="auto"/>
                <w:sz w:val="21"/>
                <w:szCs w:val="21"/>
              </w:rPr>
            </w:pPr>
            <w:r>
              <w:rPr>
                <w:rFonts w:hint="eastAsia"/>
                <w:color w:val="auto"/>
                <w:sz w:val="21"/>
                <w:szCs w:val="21"/>
              </w:rPr>
              <w:t>排放标准及标准号</w:t>
            </w:r>
          </w:p>
        </w:tc>
        <w:tc>
          <w:tcPr>
            <w:tcW w:w="582" w:type="pct"/>
            <w:vMerge w:val="restart"/>
            <w:vAlign w:val="center"/>
          </w:tcPr>
          <w:p w14:paraId="4D34D8BE">
            <w:pPr>
              <w:spacing w:line="240" w:lineRule="auto"/>
              <w:ind w:firstLine="0" w:firstLineChars="0"/>
              <w:jc w:val="center"/>
              <w:rPr>
                <w:color w:val="auto"/>
                <w:sz w:val="21"/>
                <w:szCs w:val="21"/>
              </w:rPr>
            </w:pPr>
            <w:r>
              <w:rPr>
                <w:rFonts w:hint="eastAsia"/>
                <w:color w:val="auto"/>
                <w:sz w:val="21"/>
                <w:szCs w:val="21"/>
              </w:rPr>
              <w:t>污染</w:t>
            </w:r>
          </w:p>
          <w:p w14:paraId="03867B5E">
            <w:pPr>
              <w:spacing w:line="240" w:lineRule="auto"/>
              <w:ind w:firstLine="0" w:firstLineChars="0"/>
              <w:jc w:val="center"/>
              <w:rPr>
                <w:color w:val="auto"/>
                <w:sz w:val="21"/>
                <w:szCs w:val="21"/>
              </w:rPr>
            </w:pPr>
            <w:r>
              <w:rPr>
                <w:rFonts w:hint="eastAsia"/>
                <w:color w:val="auto"/>
                <w:sz w:val="21"/>
                <w:szCs w:val="21"/>
              </w:rPr>
              <w:t>因子</w:t>
            </w:r>
          </w:p>
        </w:tc>
        <w:tc>
          <w:tcPr>
            <w:tcW w:w="2287" w:type="pct"/>
            <w:gridSpan w:val="4"/>
            <w:vAlign w:val="center"/>
          </w:tcPr>
          <w:p w14:paraId="75015C0E">
            <w:pPr>
              <w:spacing w:line="240" w:lineRule="auto"/>
              <w:ind w:firstLine="0" w:firstLineChars="0"/>
              <w:jc w:val="center"/>
              <w:rPr>
                <w:color w:val="auto"/>
                <w:sz w:val="21"/>
                <w:szCs w:val="21"/>
              </w:rPr>
            </w:pPr>
            <w:r>
              <w:rPr>
                <w:rFonts w:hint="eastAsia"/>
                <w:color w:val="auto"/>
                <w:sz w:val="21"/>
                <w:szCs w:val="21"/>
              </w:rPr>
              <w:t>有组织排放</w:t>
            </w:r>
          </w:p>
        </w:tc>
      </w:tr>
      <w:tr w14:paraId="3CC5C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73" w:type="pct"/>
            <w:vMerge w:val="continue"/>
            <w:vAlign w:val="center"/>
          </w:tcPr>
          <w:p w14:paraId="7F7C2A8A">
            <w:pPr>
              <w:spacing w:line="240" w:lineRule="auto"/>
              <w:ind w:firstLine="0" w:firstLineChars="0"/>
              <w:jc w:val="center"/>
              <w:rPr>
                <w:color w:val="auto"/>
                <w:sz w:val="21"/>
                <w:szCs w:val="21"/>
              </w:rPr>
            </w:pPr>
          </w:p>
        </w:tc>
        <w:tc>
          <w:tcPr>
            <w:tcW w:w="295" w:type="pct"/>
            <w:vMerge w:val="continue"/>
            <w:vAlign w:val="center"/>
          </w:tcPr>
          <w:p w14:paraId="125CB983">
            <w:pPr>
              <w:spacing w:line="240" w:lineRule="auto"/>
              <w:ind w:firstLine="0" w:firstLineChars="0"/>
              <w:jc w:val="center"/>
              <w:rPr>
                <w:color w:val="auto"/>
                <w:sz w:val="21"/>
                <w:szCs w:val="21"/>
              </w:rPr>
            </w:pPr>
          </w:p>
        </w:tc>
        <w:tc>
          <w:tcPr>
            <w:tcW w:w="373" w:type="pct"/>
            <w:vMerge w:val="continue"/>
            <w:vAlign w:val="center"/>
          </w:tcPr>
          <w:p w14:paraId="55DEF77E">
            <w:pPr>
              <w:spacing w:line="240" w:lineRule="auto"/>
              <w:ind w:firstLine="0" w:firstLineChars="0"/>
              <w:jc w:val="center"/>
              <w:rPr>
                <w:color w:val="auto"/>
                <w:sz w:val="21"/>
                <w:szCs w:val="21"/>
              </w:rPr>
            </w:pPr>
          </w:p>
        </w:tc>
        <w:tc>
          <w:tcPr>
            <w:tcW w:w="1092" w:type="pct"/>
            <w:vMerge w:val="continue"/>
            <w:vAlign w:val="center"/>
          </w:tcPr>
          <w:p w14:paraId="0E29E54F">
            <w:pPr>
              <w:spacing w:line="240" w:lineRule="auto"/>
              <w:ind w:firstLine="0" w:firstLineChars="0"/>
              <w:jc w:val="center"/>
              <w:rPr>
                <w:color w:val="auto"/>
                <w:sz w:val="21"/>
                <w:szCs w:val="21"/>
              </w:rPr>
            </w:pPr>
          </w:p>
        </w:tc>
        <w:tc>
          <w:tcPr>
            <w:tcW w:w="582" w:type="pct"/>
            <w:vMerge w:val="continue"/>
            <w:vAlign w:val="center"/>
          </w:tcPr>
          <w:p w14:paraId="0933B468">
            <w:pPr>
              <w:spacing w:line="240" w:lineRule="auto"/>
              <w:ind w:firstLine="0" w:firstLineChars="0"/>
              <w:jc w:val="center"/>
              <w:rPr>
                <w:color w:val="auto"/>
                <w:sz w:val="21"/>
                <w:szCs w:val="21"/>
              </w:rPr>
            </w:pPr>
          </w:p>
        </w:tc>
        <w:tc>
          <w:tcPr>
            <w:tcW w:w="444" w:type="pct"/>
            <w:vAlign w:val="center"/>
          </w:tcPr>
          <w:p w14:paraId="7F885E3D">
            <w:pPr>
              <w:spacing w:line="240" w:lineRule="auto"/>
              <w:ind w:firstLine="0" w:firstLineChars="0"/>
              <w:jc w:val="center"/>
              <w:rPr>
                <w:color w:val="auto"/>
                <w:sz w:val="21"/>
                <w:szCs w:val="21"/>
              </w:rPr>
            </w:pPr>
            <w:r>
              <w:rPr>
                <w:rFonts w:hint="eastAsia"/>
                <w:color w:val="auto"/>
                <w:sz w:val="21"/>
                <w:szCs w:val="21"/>
              </w:rPr>
              <w:t>排放口高度</w:t>
            </w:r>
            <w:r>
              <w:rPr>
                <w:rFonts w:hint="eastAsia"/>
                <w:color w:val="auto"/>
                <w:sz w:val="21"/>
                <w:szCs w:val="21"/>
                <w:lang w:eastAsia="zh-CN"/>
              </w:rPr>
              <w:t>（</w:t>
            </w:r>
            <w:r>
              <w:rPr>
                <w:rFonts w:hint="eastAsia"/>
                <w:color w:val="auto"/>
                <w:sz w:val="21"/>
                <w:szCs w:val="21"/>
              </w:rPr>
              <w:t>m</w:t>
            </w:r>
            <w:r>
              <w:rPr>
                <w:rFonts w:hint="eastAsia"/>
                <w:color w:val="auto"/>
                <w:sz w:val="21"/>
                <w:szCs w:val="21"/>
                <w:lang w:eastAsia="zh-CN"/>
              </w:rPr>
              <w:t>）</w:t>
            </w:r>
          </w:p>
        </w:tc>
        <w:tc>
          <w:tcPr>
            <w:tcW w:w="582" w:type="pct"/>
            <w:vAlign w:val="center"/>
          </w:tcPr>
          <w:p w14:paraId="43891125">
            <w:pPr>
              <w:spacing w:line="240" w:lineRule="auto"/>
              <w:ind w:firstLine="0" w:firstLineChars="0"/>
              <w:jc w:val="center"/>
              <w:rPr>
                <w:color w:val="auto"/>
                <w:sz w:val="21"/>
                <w:szCs w:val="21"/>
              </w:rPr>
            </w:pPr>
            <w:r>
              <w:rPr>
                <w:rFonts w:hint="eastAsia"/>
                <w:color w:val="auto"/>
                <w:sz w:val="21"/>
                <w:szCs w:val="21"/>
              </w:rPr>
              <w:t>排放浓度</w:t>
            </w:r>
            <w:r>
              <w:rPr>
                <w:rFonts w:hint="eastAsia"/>
                <w:color w:val="auto"/>
                <w:sz w:val="21"/>
                <w:szCs w:val="21"/>
                <w:lang w:eastAsia="zh-CN"/>
              </w:rPr>
              <w:t>（</w:t>
            </w:r>
            <w:r>
              <w:rPr>
                <w:rFonts w:hint="eastAsia"/>
                <w:color w:val="auto"/>
                <w:sz w:val="21"/>
                <w:szCs w:val="21"/>
              </w:rPr>
              <w:t>mg/m</w:t>
            </w:r>
            <w:r>
              <w:rPr>
                <w:rFonts w:hint="eastAsia"/>
                <w:color w:val="auto"/>
                <w:sz w:val="21"/>
                <w:szCs w:val="21"/>
                <w:vertAlign w:val="superscript"/>
              </w:rPr>
              <w:t>3</w:t>
            </w:r>
            <w:r>
              <w:rPr>
                <w:rFonts w:hint="eastAsia"/>
                <w:color w:val="auto"/>
                <w:sz w:val="21"/>
                <w:szCs w:val="21"/>
                <w:vertAlign w:val="superscript"/>
                <w:lang w:eastAsia="zh-CN"/>
              </w:rPr>
              <w:t>）</w:t>
            </w:r>
          </w:p>
        </w:tc>
        <w:tc>
          <w:tcPr>
            <w:tcW w:w="776" w:type="pct"/>
            <w:vAlign w:val="center"/>
          </w:tcPr>
          <w:p w14:paraId="7D2A0C67">
            <w:pPr>
              <w:spacing w:line="240" w:lineRule="auto"/>
              <w:ind w:firstLine="0" w:firstLineChars="0"/>
              <w:jc w:val="center"/>
              <w:rPr>
                <w:color w:val="auto"/>
                <w:sz w:val="21"/>
                <w:szCs w:val="21"/>
              </w:rPr>
            </w:pPr>
            <w:r>
              <w:rPr>
                <w:rFonts w:hint="eastAsia"/>
                <w:color w:val="auto"/>
                <w:sz w:val="21"/>
                <w:szCs w:val="21"/>
              </w:rPr>
              <w:t>速率限值</w:t>
            </w:r>
            <w:r>
              <w:rPr>
                <w:rFonts w:hint="eastAsia"/>
                <w:color w:val="auto"/>
                <w:sz w:val="21"/>
                <w:szCs w:val="21"/>
                <w:lang w:eastAsia="zh-CN"/>
              </w:rPr>
              <w:t>（</w:t>
            </w:r>
            <w:r>
              <w:rPr>
                <w:rFonts w:hint="eastAsia"/>
                <w:color w:val="auto"/>
                <w:sz w:val="21"/>
                <w:szCs w:val="21"/>
              </w:rPr>
              <w:t>kg/h</w:t>
            </w:r>
            <w:r>
              <w:rPr>
                <w:rFonts w:hint="eastAsia"/>
                <w:color w:val="auto"/>
                <w:sz w:val="21"/>
                <w:szCs w:val="21"/>
                <w:lang w:eastAsia="zh-CN"/>
              </w:rPr>
              <w:t>）</w:t>
            </w:r>
          </w:p>
        </w:tc>
        <w:tc>
          <w:tcPr>
            <w:tcW w:w="485" w:type="pct"/>
            <w:vAlign w:val="center"/>
          </w:tcPr>
          <w:p w14:paraId="34448505">
            <w:pPr>
              <w:spacing w:line="240" w:lineRule="auto"/>
              <w:ind w:firstLine="0" w:firstLineChars="0"/>
              <w:jc w:val="center"/>
              <w:rPr>
                <w:color w:val="auto"/>
                <w:sz w:val="21"/>
                <w:szCs w:val="21"/>
              </w:rPr>
            </w:pPr>
            <w:r>
              <w:rPr>
                <w:rFonts w:hint="eastAsia"/>
                <w:color w:val="auto"/>
                <w:sz w:val="21"/>
                <w:szCs w:val="21"/>
              </w:rPr>
              <w:t>许可排放量</w:t>
            </w:r>
            <w:r>
              <w:rPr>
                <w:rFonts w:hint="eastAsia"/>
                <w:color w:val="auto"/>
                <w:sz w:val="21"/>
                <w:szCs w:val="21"/>
                <w:lang w:eastAsia="zh-CN"/>
              </w:rPr>
              <w:t>（</w:t>
            </w:r>
            <w:r>
              <w:rPr>
                <w:rFonts w:hint="eastAsia"/>
                <w:color w:val="auto"/>
                <w:sz w:val="21"/>
                <w:szCs w:val="21"/>
              </w:rPr>
              <w:t>t/a</w:t>
            </w:r>
            <w:r>
              <w:rPr>
                <w:rFonts w:hint="eastAsia"/>
                <w:color w:val="auto"/>
                <w:sz w:val="21"/>
                <w:szCs w:val="21"/>
                <w:lang w:eastAsia="zh-CN"/>
              </w:rPr>
              <w:t>）</w:t>
            </w:r>
          </w:p>
        </w:tc>
      </w:tr>
      <w:tr w14:paraId="5004A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73" w:type="pct"/>
            <w:vMerge w:val="restart"/>
            <w:vAlign w:val="center"/>
          </w:tcPr>
          <w:p w14:paraId="66C5A4B6">
            <w:pPr>
              <w:spacing w:line="240" w:lineRule="auto"/>
              <w:ind w:firstLine="0" w:firstLineChars="0"/>
              <w:jc w:val="center"/>
              <w:rPr>
                <w:color w:val="auto"/>
                <w:sz w:val="21"/>
                <w:szCs w:val="21"/>
              </w:rPr>
            </w:pPr>
            <w:r>
              <w:rPr>
                <w:rFonts w:hint="eastAsia"/>
                <w:color w:val="auto"/>
                <w:sz w:val="21"/>
                <w:szCs w:val="21"/>
              </w:rPr>
              <w:t>DA001</w:t>
            </w:r>
          </w:p>
        </w:tc>
        <w:tc>
          <w:tcPr>
            <w:tcW w:w="295" w:type="pct"/>
            <w:vMerge w:val="restart"/>
            <w:vAlign w:val="center"/>
          </w:tcPr>
          <w:p w14:paraId="00ED149C">
            <w:pPr>
              <w:spacing w:line="240" w:lineRule="auto"/>
              <w:ind w:firstLine="0" w:firstLineChars="0"/>
              <w:jc w:val="center"/>
              <w:rPr>
                <w:color w:val="auto"/>
                <w:sz w:val="21"/>
                <w:szCs w:val="21"/>
              </w:rPr>
            </w:pPr>
            <w:r>
              <w:rPr>
                <w:rFonts w:hint="eastAsia"/>
                <w:color w:val="auto"/>
                <w:sz w:val="21"/>
                <w:szCs w:val="21"/>
              </w:rPr>
              <w:t>臭气排放口</w:t>
            </w:r>
          </w:p>
        </w:tc>
        <w:tc>
          <w:tcPr>
            <w:tcW w:w="373" w:type="pct"/>
            <w:vMerge w:val="restart"/>
            <w:vAlign w:val="center"/>
          </w:tcPr>
          <w:p w14:paraId="517B7CE5">
            <w:pPr>
              <w:spacing w:line="240" w:lineRule="auto"/>
              <w:ind w:firstLine="0" w:firstLineChars="0"/>
              <w:jc w:val="center"/>
              <w:rPr>
                <w:color w:val="auto"/>
                <w:sz w:val="21"/>
                <w:szCs w:val="21"/>
              </w:rPr>
            </w:pPr>
            <w:r>
              <w:rPr>
                <w:rFonts w:hint="eastAsia"/>
                <w:color w:val="auto"/>
                <w:sz w:val="21"/>
                <w:szCs w:val="21"/>
              </w:rPr>
              <w:t>一般排放口</w:t>
            </w:r>
          </w:p>
        </w:tc>
        <w:tc>
          <w:tcPr>
            <w:tcW w:w="1092" w:type="pct"/>
            <w:vMerge w:val="restart"/>
            <w:vAlign w:val="center"/>
          </w:tcPr>
          <w:p w14:paraId="5823AB14">
            <w:pPr>
              <w:spacing w:line="240" w:lineRule="auto"/>
              <w:ind w:firstLine="0" w:firstLineChars="0"/>
              <w:jc w:val="center"/>
              <w:rPr>
                <w:color w:val="auto"/>
                <w:sz w:val="21"/>
                <w:szCs w:val="21"/>
              </w:rPr>
            </w:pPr>
            <w:r>
              <w:rPr>
                <w:rFonts w:hint="eastAsia"/>
                <w:color w:val="auto"/>
                <w:sz w:val="21"/>
                <w:szCs w:val="21"/>
              </w:rPr>
              <w:t>《恶臭污染物排放标准》（GB14554-1993）、《大气污染物综合排放标准》（DB 50/418－2016）</w:t>
            </w:r>
          </w:p>
        </w:tc>
        <w:tc>
          <w:tcPr>
            <w:tcW w:w="582" w:type="pct"/>
            <w:vAlign w:val="center"/>
          </w:tcPr>
          <w:p w14:paraId="0E4C0A8C">
            <w:pPr>
              <w:spacing w:line="240" w:lineRule="auto"/>
              <w:ind w:firstLine="0" w:firstLineChars="0"/>
              <w:jc w:val="center"/>
              <w:rPr>
                <w:color w:val="auto"/>
                <w:sz w:val="21"/>
                <w:szCs w:val="21"/>
              </w:rPr>
            </w:pPr>
            <w:r>
              <w:rPr>
                <w:rFonts w:hint="eastAsia"/>
                <w:color w:val="auto"/>
                <w:sz w:val="21"/>
                <w:szCs w:val="21"/>
              </w:rPr>
              <w:t>NH</w:t>
            </w:r>
            <w:r>
              <w:rPr>
                <w:rFonts w:hint="eastAsia"/>
                <w:color w:val="auto"/>
                <w:sz w:val="21"/>
                <w:szCs w:val="21"/>
                <w:vertAlign w:val="subscript"/>
              </w:rPr>
              <w:t>3</w:t>
            </w:r>
          </w:p>
        </w:tc>
        <w:tc>
          <w:tcPr>
            <w:tcW w:w="444" w:type="pct"/>
            <w:vMerge w:val="restart"/>
            <w:vAlign w:val="center"/>
          </w:tcPr>
          <w:p w14:paraId="35614CC3">
            <w:pPr>
              <w:spacing w:line="240" w:lineRule="auto"/>
              <w:ind w:firstLine="0" w:firstLineChars="0"/>
              <w:jc w:val="center"/>
              <w:rPr>
                <w:color w:val="auto"/>
                <w:sz w:val="21"/>
                <w:szCs w:val="21"/>
              </w:rPr>
            </w:pPr>
            <w:r>
              <w:rPr>
                <w:rFonts w:hint="eastAsia"/>
                <w:color w:val="auto"/>
                <w:sz w:val="21"/>
                <w:szCs w:val="21"/>
              </w:rPr>
              <w:t>15</w:t>
            </w:r>
          </w:p>
        </w:tc>
        <w:tc>
          <w:tcPr>
            <w:tcW w:w="582" w:type="pct"/>
            <w:vAlign w:val="center"/>
          </w:tcPr>
          <w:p w14:paraId="359C6736">
            <w:pPr>
              <w:spacing w:line="240" w:lineRule="auto"/>
              <w:ind w:firstLine="0" w:firstLineChars="0"/>
              <w:jc w:val="center"/>
              <w:rPr>
                <w:color w:val="auto"/>
                <w:sz w:val="21"/>
                <w:szCs w:val="21"/>
              </w:rPr>
            </w:pPr>
            <w:r>
              <w:rPr>
                <w:rFonts w:hint="eastAsia"/>
                <w:color w:val="auto"/>
                <w:sz w:val="21"/>
                <w:szCs w:val="21"/>
              </w:rPr>
              <w:t>/</w:t>
            </w:r>
          </w:p>
        </w:tc>
        <w:tc>
          <w:tcPr>
            <w:tcW w:w="776" w:type="pct"/>
            <w:vAlign w:val="center"/>
          </w:tcPr>
          <w:p w14:paraId="7DA80A9B">
            <w:pPr>
              <w:spacing w:line="240" w:lineRule="auto"/>
              <w:ind w:firstLine="0" w:firstLineChars="0"/>
              <w:jc w:val="center"/>
              <w:rPr>
                <w:color w:val="auto"/>
                <w:sz w:val="21"/>
                <w:szCs w:val="21"/>
              </w:rPr>
            </w:pPr>
            <w:r>
              <w:rPr>
                <w:rFonts w:hint="eastAsia"/>
                <w:color w:val="auto"/>
                <w:sz w:val="21"/>
                <w:szCs w:val="21"/>
              </w:rPr>
              <w:t>0.33</w:t>
            </w:r>
          </w:p>
        </w:tc>
        <w:tc>
          <w:tcPr>
            <w:tcW w:w="485" w:type="pct"/>
            <w:shd w:val="clear" w:color="auto" w:fill="auto"/>
            <w:vAlign w:val="center"/>
          </w:tcPr>
          <w:p w14:paraId="6C5444DA">
            <w:pPr>
              <w:pStyle w:val="3361"/>
              <w:rPr>
                <w:color w:val="auto"/>
                <w:lang w:bidi="ar"/>
              </w:rPr>
            </w:pPr>
            <w:r>
              <w:rPr>
                <w:rFonts w:hint="eastAsia"/>
                <w:color w:val="auto"/>
                <w:lang w:bidi="ar"/>
              </w:rPr>
              <w:t>0.037</w:t>
            </w:r>
          </w:p>
        </w:tc>
      </w:tr>
      <w:tr w14:paraId="1B369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5" w:hRule="atLeast"/>
          <w:jc w:val="center"/>
        </w:trPr>
        <w:tc>
          <w:tcPr>
            <w:tcW w:w="373" w:type="pct"/>
            <w:vMerge w:val="continue"/>
            <w:vAlign w:val="center"/>
          </w:tcPr>
          <w:p w14:paraId="5C1BC988">
            <w:pPr>
              <w:spacing w:line="240" w:lineRule="auto"/>
              <w:ind w:firstLine="0" w:firstLineChars="0"/>
              <w:jc w:val="center"/>
              <w:rPr>
                <w:color w:val="auto"/>
                <w:sz w:val="21"/>
                <w:szCs w:val="21"/>
              </w:rPr>
            </w:pPr>
          </w:p>
        </w:tc>
        <w:tc>
          <w:tcPr>
            <w:tcW w:w="295" w:type="pct"/>
            <w:vMerge w:val="continue"/>
            <w:vAlign w:val="center"/>
          </w:tcPr>
          <w:p w14:paraId="66D08C1A">
            <w:pPr>
              <w:spacing w:line="240" w:lineRule="auto"/>
              <w:ind w:firstLine="0" w:firstLineChars="0"/>
              <w:jc w:val="center"/>
              <w:rPr>
                <w:color w:val="auto"/>
                <w:sz w:val="21"/>
                <w:szCs w:val="21"/>
              </w:rPr>
            </w:pPr>
          </w:p>
        </w:tc>
        <w:tc>
          <w:tcPr>
            <w:tcW w:w="373" w:type="pct"/>
            <w:vMerge w:val="continue"/>
            <w:vAlign w:val="center"/>
          </w:tcPr>
          <w:p w14:paraId="09C5E94F">
            <w:pPr>
              <w:spacing w:line="240" w:lineRule="auto"/>
              <w:ind w:firstLine="0" w:firstLineChars="0"/>
              <w:jc w:val="center"/>
              <w:rPr>
                <w:color w:val="auto"/>
                <w:sz w:val="21"/>
                <w:szCs w:val="21"/>
              </w:rPr>
            </w:pPr>
          </w:p>
        </w:tc>
        <w:tc>
          <w:tcPr>
            <w:tcW w:w="1092" w:type="pct"/>
            <w:vMerge w:val="continue"/>
            <w:vAlign w:val="center"/>
          </w:tcPr>
          <w:p w14:paraId="26552B01">
            <w:pPr>
              <w:spacing w:line="240" w:lineRule="auto"/>
              <w:ind w:firstLine="0" w:firstLineChars="0"/>
              <w:jc w:val="center"/>
              <w:rPr>
                <w:color w:val="auto"/>
                <w:sz w:val="21"/>
                <w:szCs w:val="21"/>
              </w:rPr>
            </w:pPr>
          </w:p>
        </w:tc>
        <w:tc>
          <w:tcPr>
            <w:tcW w:w="582" w:type="pct"/>
            <w:vAlign w:val="center"/>
          </w:tcPr>
          <w:p w14:paraId="762DAC21">
            <w:pPr>
              <w:spacing w:line="240" w:lineRule="auto"/>
              <w:ind w:firstLine="0" w:firstLineChars="0"/>
              <w:jc w:val="center"/>
              <w:rPr>
                <w:color w:val="auto"/>
                <w:sz w:val="21"/>
                <w:szCs w:val="21"/>
              </w:rPr>
            </w:pPr>
            <w:r>
              <w:rPr>
                <w:rFonts w:hint="eastAsia"/>
                <w:color w:val="auto"/>
                <w:sz w:val="21"/>
                <w:szCs w:val="21"/>
              </w:rPr>
              <w:t>H</w:t>
            </w:r>
            <w:r>
              <w:rPr>
                <w:rFonts w:hint="eastAsia"/>
                <w:color w:val="auto"/>
                <w:sz w:val="21"/>
                <w:szCs w:val="21"/>
                <w:vertAlign w:val="subscript"/>
              </w:rPr>
              <w:t>2</w:t>
            </w:r>
            <w:r>
              <w:rPr>
                <w:rFonts w:hint="eastAsia"/>
                <w:color w:val="auto"/>
                <w:sz w:val="21"/>
                <w:szCs w:val="21"/>
              </w:rPr>
              <w:t>S</w:t>
            </w:r>
          </w:p>
        </w:tc>
        <w:tc>
          <w:tcPr>
            <w:tcW w:w="444" w:type="pct"/>
            <w:vMerge w:val="continue"/>
            <w:vAlign w:val="center"/>
          </w:tcPr>
          <w:p w14:paraId="6693FC35">
            <w:pPr>
              <w:spacing w:line="240" w:lineRule="auto"/>
              <w:ind w:firstLine="0" w:firstLineChars="0"/>
              <w:jc w:val="center"/>
              <w:rPr>
                <w:color w:val="auto"/>
                <w:sz w:val="21"/>
                <w:szCs w:val="21"/>
              </w:rPr>
            </w:pPr>
          </w:p>
        </w:tc>
        <w:tc>
          <w:tcPr>
            <w:tcW w:w="582" w:type="pct"/>
            <w:vAlign w:val="center"/>
          </w:tcPr>
          <w:p w14:paraId="0E6DFB4B">
            <w:pPr>
              <w:spacing w:line="240" w:lineRule="auto"/>
              <w:ind w:firstLine="0" w:firstLineChars="0"/>
              <w:jc w:val="center"/>
              <w:rPr>
                <w:color w:val="auto"/>
                <w:sz w:val="21"/>
                <w:szCs w:val="21"/>
              </w:rPr>
            </w:pPr>
            <w:r>
              <w:rPr>
                <w:rFonts w:hint="eastAsia"/>
                <w:color w:val="auto"/>
                <w:sz w:val="21"/>
                <w:szCs w:val="21"/>
              </w:rPr>
              <w:t>/</w:t>
            </w:r>
          </w:p>
        </w:tc>
        <w:tc>
          <w:tcPr>
            <w:tcW w:w="776" w:type="pct"/>
            <w:vAlign w:val="center"/>
          </w:tcPr>
          <w:p w14:paraId="2A39F90F">
            <w:pPr>
              <w:spacing w:line="240" w:lineRule="auto"/>
              <w:ind w:firstLine="0" w:firstLineChars="0"/>
              <w:jc w:val="center"/>
              <w:rPr>
                <w:color w:val="auto"/>
                <w:sz w:val="21"/>
                <w:szCs w:val="21"/>
              </w:rPr>
            </w:pPr>
            <w:r>
              <w:rPr>
                <w:rFonts w:hint="eastAsia"/>
                <w:color w:val="auto"/>
                <w:sz w:val="21"/>
                <w:szCs w:val="21"/>
              </w:rPr>
              <w:t>4.9</w:t>
            </w:r>
          </w:p>
        </w:tc>
        <w:tc>
          <w:tcPr>
            <w:tcW w:w="485" w:type="pct"/>
            <w:shd w:val="clear" w:color="auto" w:fill="auto"/>
            <w:vAlign w:val="center"/>
          </w:tcPr>
          <w:p w14:paraId="0C0B67D8">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0.004</w:t>
            </w:r>
          </w:p>
        </w:tc>
      </w:tr>
      <w:tr w14:paraId="15717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5" w:hRule="atLeast"/>
          <w:jc w:val="center"/>
        </w:trPr>
        <w:tc>
          <w:tcPr>
            <w:tcW w:w="373" w:type="pct"/>
            <w:vMerge w:val="continue"/>
            <w:vAlign w:val="center"/>
          </w:tcPr>
          <w:p w14:paraId="169B4CE6">
            <w:pPr>
              <w:spacing w:line="240" w:lineRule="auto"/>
              <w:ind w:firstLine="0" w:firstLineChars="0"/>
              <w:jc w:val="center"/>
              <w:rPr>
                <w:color w:val="auto"/>
                <w:sz w:val="21"/>
                <w:szCs w:val="21"/>
              </w:rPr>
            </w:pPr>
          </w:p>
        </w:tc>
        <w:tc>
          <w:tcPr>
            <w:tcW w:w="295" w:type="pct"/>
            <w:vMerge w:val="continue"/>
            <w:vAlign w:val="center"/>
          </w:tcPr>
          <w:p w14:paraId="5C520E3A">
            <w:pPr>
              <w:spacing w:line="240" w:lineRule="auto"/>
              <w:ind w:firstLine="0" w:firstLineChars="0"/>
              <w:jc w:val="center"/>
              <w:rPr>
                <w:color w:val="auto"/>
                <w:sz w:val="21"/>
                <w:szCs w:val="21"/>
              </w:rPr>
            </w:pPr>
          </w:p>
        </w:tc>
        <w:tc>
          <w:tcPr>
            <w:tcW w:w="373" w:type="pct"/>
            <w:vMerge w:val="continue"/>
            <w:vAlign w:val="center"/>
          </w:tcPr>
          <w:p w14:paraId="49BCE766">
            <w:pPr>
              <w:spacing w:line="240" w:lineRule="auto"/>
              <w:ind w:firstLine="0" w:firstLineChars="0"/>
              <w:jc w:val="center"/>
              <w:rPr>
                <w:color w:val="auto"/>
                <w:sz w:val="21"/>
                <w:szCs w:val="21"/>
              </w:rPr>
            </w:pPr>
          </w:p>
        </w:tc>
        <w:tc>
          <w:tcPr>
            <w:tcW w:w="1092" w:type="pct"/>
            <w:vMerge w:val="continue"/>
            <w:vAlign w:val="center"/>
          </w:tcPr>
          <w:p w14:paraId="38C5B356">
            <w:pPr>
              <w:spacing w:line="240" w:lineRule="auto"/>
              <w:ind w:firstLine="0" w:firstLineChars="0"/>
              <w:jc w:val="center"/>
              <w:rPr>
                <w:color w:val="auto"/>
                <w:sz w:val="21"/>
                <w:szCs w:val="21"/>
              </w:rPr>
            </w:pPr>
          </w:p>
        </w:tc>
        <w:tc>
          <w:tcPr>
            <w:tcW w:w="582" w:type="pct"/>
            <w:vAlign w:val="center"/>
          </w:tcPr>
          <w:p w14:paraId="66DA3FB6">
            <w:pPr>
              <w:spacing w:line="240" w:lineRule="auto"/>
              <w:ind w:firstLine="0" w:firstLineChars="0"/>
              <w:jc w:val="center"/>
              <w:rPr>
                <w:color w:val="auto"/>
                <w:sz w:val="21"/>
                <w:szCs w:val="21"/>
              </w:rPr>
            </w:pPr>
            <w:r>
              <w:rPr>
                <w:rFonts w:hint="eastAsia"/>
                <w:color w:val="auto"/>
                <w:kern w:val="0"/>
                <w:sz w:val="21"/>
                <w:szCs w:val="21"/>
                <w:lang w:bidi="ar"/>
              </w:rPr>
              <w:t>非甲烷总烃</w:t>
            </w:r>
          </w:p>
        </w:tc>
        <w:tc>
          <w:tcPr>
            <w:tcW w:w="444" w:type="pct"/>
            <w:vMerge w:val="continue"/>
            <w:vAlign w:val="center"/>
          </w:tcPr>
          <w:p w14:paraId="61CBBE2A">
            <w:pPr>
              <w:spacing w:line="240" w:lineRule="auto"/>
              <w:ind w:firstLine="0" w:firstLineChars="0"/>
              <w:jc w:val="center"/>
              <w:rPr>
                <w:color w:val="auto"/>
                <w:sz w:val="21"/>
                <w:szCs w:val="21"/>
              </w:rPr>
            </w:pPr>
          </w:p>
        </w:tc>
        <w:tc>
          <w:tcPr>
            <w:tcW w:w="582" w:type="pct"/>
            <w:vAlign w:val="center"/>
          </w:tcPr>
          <w:p w14:paraId="5CE8D0D6">
            <w:pPr>
              <w:spacing w:line="240" w:lineRule="auto"/>
              <w:ind w:firstLine="0" w:firstLineChars="0"/>
              <w:jc w:val="center"/>
              <w:rPr>
                <w:color w:val="auto"/>
                <w:sz w:val="21"/>
                <w:szCs w:val="21"/>
              </w:rPr>
            </w:pPr>
            <w:r>
              <w:rPr>
                <w:rFonts w:hint="eastAsia"/>
                <w:color w:val="auto"/>
                <w:sz w:val="21"/>
                <w:szCs w:val="21"/>
              </w:rPr>
              <w:t>120</w:t>
            </w:r>
          </w:p>
        </w:tc>
        <w:tc>
          <w:tcPr>
            <w:tcW w:w="776" w:type="pct"/>
            <w:vAlign w:val="center"/>
          </w:tcPr>
          <w:p w14:paraId="0EBEE042">
            <w:pPr>
              <w:spacing w:line="240" w:lineRule="auto"/>
              <w:ind w:firstLine="0" w:firstLineChars="0"/>
              <w:jc w:val="center"/>
              <w:rPr>
                <w:color w:val="auto"/>
                <w:sz w:val="21"/>
                <w:szCs w:val="21"/>
              </w:rPr>
            </w:pPr>
            <w:r>
              <w:rPr>
                <w:rFonts w:hint="eastAsia"/>
                <w:color w:val="auto"/>
                <w:sz w:val="21"/>
                <w:szCs w:val="21"/>
              </w:rPr>
              <w:t>10</w:t>
            </w:r>
          </w:p>
        </w:tc>
        <w:tc>
          <w:tcPr>
            <w:tcW w:w="485" w:type="pct"/>
            <w:shd w:val="clear" w:color="auto" w:fill="auto"/>
            <w:vAlign w:val="center"/>
          </w:tcPr>
          <w:p w14:paraId="5A9A459F">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0.238</w:t>
            </w:r>
          </w:p>
        </w:tc>
      </w:tr>
      <w:tr w14:paraId="62D06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73" w:type="pct"/>
            <w:vMerge w:val="continue"/>
            <w:vAlign w:val="center"/>
          </w:tcPr>
          <w:p w14:paraId="4D446FD1">
            <w:pPr>
              <w:spacing w:line="240" w:lineRule="auto"/>
              <w:ind w:firstLine="0" w:firstLineChars="0"/>
              <w:jc w:val="center"/>
              <w:rPr>
                <w:color w:val="auto"/>
                <w:sz w:val="21"/>
                <w:szCs w:val="21"/>
              </w:rPr>
            </w:pPr>
          </w:p>
        </w:tc>
        <w:tc>
          <w:tcPr>
            <w:tcW w:w="295" w:type="pct"/>
            <w:vMerge w:val="continue"/>
            <w:vAlign w:val="center"/>
          </w:tcPr>
          <w:p w14:paraId="42E4F483">
            <w:pPr>
              <w:spacing w:line="240" w:lineRule="auto"/>
              <w:ind w:firstLine="0" w:firstLineChars="0"/>
              <w:jc w:val="center"/>
              <w:rPr>
                <w:color w:val="auto"/>
                <w:sz w:val="21"/>
                <w:szCs w:val="21"/>
              </w:rPr>
            </w:pPr>
          </w:p>
        </w:tc>
        <w:tc>
          <w:tcPr>
            <w:tcW w:w="373" w:type="pct"/>
            <w:vMerge w:val="continue"/>
            <w:vAlign w:val="center"/>
          </w:tcPr>
          <w:p w14:paraId="08541E64">
            <w:pPr>
              <w:spacing w:line="240" w:lineRule="auto"/>
              <w:ind w:firstLine="0" w:firstLineChars="0"/>
              <w:jc w:val="center"/>
              <w:rPr>
                <w:color w:val="auto"/>
                <w:sz w:val="21"/>
                <w:szCs w:val="21"/>
              </w:rPr>
            </w:pPr>
          </w:p>
        </w:tc>
        <w:tc>
          <w:tcPr>
            <w:tcW w:w="1092" w:type="pct"/>
            <w:vMerge w:val="continue"/>
            <w:vAlign w:val="center"/>
          </w:tcPr>
          <w:p w14:paraId="2E7988A9">
            <w:pPr>
              <w:spacing w:line="240" w:lineRule="auto"/>
              <w:ind w:firstLine="0" w:firstLineChars="0"/>
              <w:jc w:val="center"/>
              <w:rPr>
                <w:color w:val="auto"/>
                <w:sz w:val="21"/>
                <w:szCs w:val="21"/>
              </w:rPr>
            </w:pPr>
          </w:p>
        </w:tc>
        <w:tc>
          <w:tcPr>
            <w:tcW w:w="582" w:type="pct"/>
            <w:vAlign w:val="center"/>
          </w:tcPr>
          <w:p w14:paraId="6010AF4B">
            <w:pPr>
              <w:spacing w:line="240" w:lineRule="auto"/>
              <w:ind w:firstLine="0" w:firstLineChars="0"/>
              <w:jc w:val="center"/>
              <w:rPr>
                <w:color w:val="auto"/>
                <w:sz w:val="21"/>
                <w:szCs w:val="21"/>
              </w:rPr>
            </w:pPr>
            <w:r>
              <w:rPr>
                <w:rFonts w:hint="eastAsia"/>
                <w:color w:val="auto"/>
                <w:sz w:val="21"/>
                <w:szCs w:val="21"/>
              </w:rPr>
              <w:t>臭气浓度</w:t>
            </w:r>
          </w:p>
        </w:tc>
        <w:tc>
          <w:tcPr>
            <w:tcW w:w="444" w:type="pct"/>
            <w:vMerge w:val="continue"/>
            <w:vAlign w:val="center"/>
          </w:tcPr>
          <w:p w14:paraId="22519CC2">
            <w:pPr>
              <w:spacing w:line="240" w:lineRule="auto"/>
              <w:ind w:firstLine="0" w:firstLineChars="0"/>
              <w:jc w:val="center"/>
              <w:rPr>
                <w:color w:val="auto"/>
                <w:sz w:val="21"/>
                <w:szCs w:val="21"/>
              </w:rPr>
            </w:pPr>
          </w:p>
        </w:tc>
        <w:tc>
          <w:tcPr>
            <w:tcW w:w="582" w:type="pct"/>
            <w:vAlign w:val="center"/>
          </w:tcPr>
          <w:p w14:paraId="3D7F4E8F">
            <w:pPr>
              <w:spacing w:line="240" w:lineRule="auto"/>
              <w:ind w:firstLine="0" w:firstLineChars="0"/>
              <w:jc w:val="center"/>
              <w:rPr>
                <w:color w:val="auto"/>
                <w:sz w:val="21"/>
                <w:szCs w:val="21"/>
              </w:rPr>
            </w:pPr>
            <w:r>
              <w:rPr>
                <w:rFonts w:hint="eastAsia"/>
                <w:color w:val="auto"/>
                <w:sz w:val="21"/>
                <w:szCs w:val="21"/>
              </w:rPr>
              <w:t>/</w:t>
            </w:r>
          </w:p>
        </w:tc>
        <w:tc>
          <w:tcPr>
            <w:tcW w:w="776" w:type="pct"/>
            <w:vAlign w:val="center"/>
          </w:tcPr>
          <w:p w14:paraId="05688959">
            <w:pPr>
              <w:spacing w:line="240" w:lineRule="auto"/>
              <w:ind w:firstLine="0" w:firstLineChars="0"/>
              <w:jc w:val="center"/>
              <w:rPr>
                <w:color w:val="auto"/>
                <w:sz w:val="21"/>
                <w:szCs w:val="21"/>
              </w:rPr>
            </w:pPr>
            <w:r>
              <w:rPr>
                <w:rFonts w:hint="eastAsia"/>
                <w:color w:val="auto"/>
                <w:sz w:val="21"/>
                <w:szCs w:val="21"/>
              </w:rPr>
              <w:t>2000（无量纲）</w:t>
            </w:r>
          </w:p>
        </w:tc>
        <w:tc>
          <w:tcPr>
            <w:tcW w:w="485" w:type="pct"/>
            <w:vAlign w:val="center"/>
          </w:tcPr>
          <w:p w14:paraId="4150B050">
            <w:pPr>
              <w:spacing w:line="240" w:lineRule="auto"/>
              <w:ind w:firstLine="0" w:firstLineChars="0"/>
              <w:jc w:val="center"/>
              <w:rPr>
                <w:color w:val="auto"/>
                <w:sz w:val="21"/>
                <w:szCs w:val="21"/>
              </w:rPr>
            </w:pPr>
            <w:r>
              <w:rPr>
                <w:rFonts w:hint="eastAsia"/>
                <w:color w:val="auto"/>
                <w:sz w:val="21"/>
                <w:szCs w:val="21"/>
              </w:rPr>
              <w:t>/</w:t>
            </w:r>
          </w:p>
        </w:tc>
      </w:tr>
    </w:tbl>
    <w:p w14:paraId="74FCEA10">
      <w:pPr>
        <w:pStyle w:val="185"/>
        <w:rPr>
          <w:color w:val="auto"/>
        </w:rPr>
      </w:pPr>
    </w:p>
    <w:p w14:paraId="63FF496A">
      <w:pPr>
        <w:pStyle w:val="185"/>
        <w:rPr>
          <w:color w:val="auto"/>
        </w:rPr>
      </w:pPr>
      <w:r>
        <w:rPr>
          <w:color w:val="auto"/>
        </w:rPr>
        <w:t xml:space="preserve">表10.3-2   </w:t>
      </w:r>
      <w:r>
        <w:rPr>
          <w:rFonts w:hint="eastAsia"/>
          <w:color w:val="auto"/>
        </w:rPr>
        <w:t>无组织</w:t>
      </w:r>
      <w:r>
        <w:rPr>
          <w:color w:val="auto"/>
        </w:rPr>
        <w:t>废气</w:t>
      </w:r>
      <w:r>
        <w:rPr>
          <w:rFonts w:hint="eastAsia"/>
          <w:color w:val="auto"/>
        </w:rPr>
        <w:t>排放信息</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194"/>
        <w:gridCol w:w="2606"/>
        <w:gridCol w:w="1980"/>
        <w:gridCol w:w="1899"/>
        <w:gridCol w:w="1447"/>
      </w:tblGrid>
      <w:tr w14:paraId="34992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1" w:hRule="atLeast"/>
          <w:jc w:val="center"/>
        </w:trPr>
        <w:tc>
          <w:tcPr>
            <w:tcW w:w="654" w:type="pct"/>
            <w:vMerge w:val="restart"/>
            <w:vAlign w:val="center"/>
          </w:tcPr>
          <w:p w14:paraId="44BFB86F">
            <w:pPr>
              <w:spacing w:line="240" w:lineRule="auto"/>
              <w:ind w:firstLine="0" w:firstLineChars="0"/>
              <w:jc w:val="center"/>
              <w:rPr>
                <w:color w:val="auto"/>
                <w:sz w:val="21"/>
                <w:szCs w:val="21"/>
              </w:rPr>
            </w:pPr>
            <w:r>
              <w:rPr>
                <w:rFonts w:hint="eastAsia"/>
                <w:color w:val="auto"/>
                <w:sz w:val="21"/>
                <w:szCs w:val="21"/>
              </w:rPr>
              <w:t>污染源</w:t>
            </w:r>
          </w:p>
        </w:tc>
        <w:tc>
          <w:tcPr>
            <w:tcW w:w="1427" w:type="pct"/>
            <w:vMerge w:val="restart"/>
            <w:vAlign w:val="center"/>
          </w:tcPr>
          <w:p w14:paraId="67A9C122">
            <w:pPr>
              <w:spacing w:line="240" w:lineRule="auto"/>
              <w:ind w:firstLine="0" w:firstLineChars="0"/>
              <w:jc w:val="center"/>
              <w:rPr>
                <w:color w:val="auto"/>
                <w:sz w:val="21"/>
                <w:szCs w:val="21"/>
              </w:rPr>
            </w:pPr>
            <w:r>
              <w:rPr>
                <w:rFonts w:hint="eastAsia"/>
                <w:color w:val="auto"/>
                <w:sz w:val="21"/>
                <w:szCs w:val="21"/>
              </w:rPr>
              <w:t>排放标准及标准号</w:t>
            </w:r>
          </w:p>
        </w:tc>
        <w:tc>
          <w:tcPr>
            <w:tcW w:w="1084" w:type="pct"/>
            <w:vMerge w:val="restart"/>
            <w:vAlign w:val="center"/>
          </w:tcPr>
          <w:p w14:paraId="0DD02A7F">
            <w:pPr>
              <w:spacing w:line="240" w:lineRule="auto"/>
              <w:ind w:firstLine="0" w:firstLineChars="0"/>
              <w:jc w:val="center"/>
              <w:rPr>
                <w:color w:val="auto"/>
                <w:sz w:val="21"/>
                <w:szCs w:val="21"/>
              </w:rPr>
            </w:pPr>
            <w:r>
              <w:rPr>
                <w:rFonts w:hint="eastAsia"/>
                <w:color w:val="auto"/>
                <w:sz w:val="21"/>
                <w:szCs w:val="21"/>
              </w:rPr>
              <w:t>污染因子</w:t>
            </w:r>
          </w:p>
        </w:tc>
        <w:tc>
          <w:tcPr>
            <w:tcW w:w="1040" w:type="pct"/>
            <w:vMerge w:val="restart"/>
            <w:vAlign w:val="center"/>
          </w:tcPr>
          <w:p w14:paraId="018E5D1C">
            <w:pPr>
              <w:spacing w:line="240" w:lineRule="auto"/>
              <w:ind w:firstLine="0" w:firstLineChars="0"/>
              <w:jc w:val="center"/>
              <w:rPr>
                <w:color w:val="auto"/>
                <w:sz w:val="21"/>
                <w:szCs w:val="21"/>
              </w:rPr>
            </w:pPr>
            <w:r>
              <w:rPr>
                <w:rFonts w:hint="eastAsia"/>
                <w:color w:val="auto"/>
                <w:sz w:val="21"/>
                <w:szCs w:val="21"/>
              </w:rPr>
              <w:t>无组织排放</w:t>
            </w:r>
            <w:r>
              <w:rPr>
                <w:rFonts w:hint="eastAsia"/>
                <w:color w:val="auto"/>
                <w:sz w:val="21"/>
                <w:szCs w:val="21"/>
                <w:lang w:eastAsia="zh-CN"/>
              </w:rPr>
              <w:t>（</w:t>
            </w:r>
            <w:r>
              <w:rPr>
                <w:rFonts w:hint="eastAsia"/>
                <w:color w:val="auto"/>
                <w:sz w:val="21"/>
                <w:szCs w:val="21"/>
              </w:rPr>
              <w:t>mg/m</w:t>
            </w:r>
            <w:r>
              <w:rPr>
                <w:rFonts w:hint="eastAsia"/>
                <w:color w:val="auto"/>
                <w:sz w:val="21"/>
                <w:szCs w:val="21"/>
                <w:vertAlign w:val="superscript"/>
              </w:rPr>
              <w:t>3</w:t>
            </w:r>
            <w:r>
              <w:rPr>
                <w:rFonts w:hint="eastAsia"/>
                <w:color w:val="auto"/>
                <w:sz w:val="21"/>
                <w:szCs w:val="21"/>
                <w:vertAlign w:val="superscript"/>
                <w:lang w:eastAsia="zh-CN"/>
              </w:rPr>
              <w:t>）</w:t>
            </w:r>
          </w:p>
        </w:tc>
        <w:tc>
          <w:tcPr>
            <w:tcW w:w="792" w:type="pct"/>
            <w:vMerge w:val="restart"/>
            <w:vAlign w:val="center"/>
          </w:tcPr>
          <w:p w14:paraId="4EBC1F08">
            <w:pPr>
              <w:spacing w:line="240" w:lineRule="auto"/>
              <w:ind w:firstLine="0" w:firstLineChars="0"/>
              <w:jc w:val="center"/>
              <w:rPr>
                <w:color w:val="auto"/>
                <w:sz w:val="21"/>
                <w:szCs w:val="21"/>
              </w:rPr>
            </w:pPr>
            <w:r>
              <w:rPr>
                <w:rFonts w:hint="eastAsia"/>
                <w:color w:val="auto"/>
                <w:sz w:val="21"/>
                <w:szCs w:val="21"/>
              </w:rPr>
              <w:t>许可排放</w:t>
            </w:r>
          </w:p>
          <w:p w14:paraId="030D7455">
            <w:pPr>
              <w:spacing w:line="240" w:lineRule="auto"/>
              <w:ind w:firstLine="0" w:firstLineChars="0"/>
              <w:jc w:val="center"/>
              <w:rPr>
                <w:color w:val="auto"/>
                <w:sz w:val="21"/>
                <w:szCs w:val="21"/>
              </w:rPr>
            </w:pPr>
            <w:r>
              <w:rPr>
                <w:rFonts w:hint="eastAsia"/>
                <w:color w:val="auto"/>
                <w:sz w:val="21"/>
                <w:szCs w:val="21"/>
              </w:rPr>
              <w:t>量</w:t>
            </w:r>
            <w:r>
              <w:rPr>
                <w:rFonts w:hint="eastAsia"/>
                <w:color w:val="auto"/>
                <w:sz w:val="21"/>
                <w:szCs w:val="21"/>
                <w:lang w:eastAsia="zh-CN"/>
              </w:rPr>
              <w:t>（</w:t>
            </w:r>
            <w:r>
              <w:rPr>
                <w:rFonts w:hint="eastAsia"/>
                <w:color w:val="auto"/>
                <w:sz w:val="21"/>
                <w:szCs w:val="21"/>
              </w:rPr>
              <w:t>t/a</w:t>
            </w:r>
            <w:r>
              <w:rPr>
                <w:rFonts w:hint="eastAsia"/>
                <w:color w:val="auto"/>
                <w:sz w:val="21"/>
                <w:szCs w:val="21"/>
                <w:lang w:eastAsia="zh-CN"/>
              </w:rPr>
              <w:t>）</w:t>
            </w:r>
          </w:p>
        </w:tc>
      </w:tr>
      <w:tr w14:paraId="52EAA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1" w:hRule="atLeast"/>
          <w:jc w:val="center"/>
        </w:trPr>
        <w:tc>
          <w:tcPr>
            <w:tcW w:w="654" w:type="pct"/>
            <w:vMerge w:val="continue"/>
            <w:vAlign w:val="center"/>
          </w:tcPr>
          <w:p w14:paraId="281737BB">
            <w:pPr>
              <w:spacing w:line="240" w:lineRule="auto"/>
              <w:ind w:firstLine="0" w:firstLineChars="0"/>
              <w:jc w:val="center"/>
              <w:rPr>
                <w:color w:val="auto"/>
                <w:sz w:val="21"/>
                <w:szCs w:val="21"/>
              </w:rPr>
            </w:pPr>
          </w:p>
        </w:tc>
        <w:tc>
          <w:tcPr>
            <w:tcW w:w="1427" w:type="pct"/>
            <w:vMerge w:val="continue"/>
            <w:vAlign w:val="center"/>
          </w:tcPr>
          <w:p w14:paraId="0E69CF46">
            <w:pPr>
              <w:spacing w:line="240" w:lineRule="auto"/>
              <w:ind w:firstLine="0" w:firstLineChars="0"/>
              <w:jc w:val="center"/>
              <w:rPr>
                <w:color w:val="auto"/>
                <w:sz w:val="21"/>
                <w:szCs w:val="21"/>
              </w:rPr>
            </w:pPr>
          </w:p>
        </w:tc>
        <w:tc>
          <w:tcPr>
            <w:tcW w:w="1084" w:type="pct"/>
            <w:vMerge w:val="continue"/>
            <w:vAlign w:val="center"/>
          </w:tcPr>
          <w:p w14:paraId="6DF77C6E">
            <w:pPr>
              <w:spacing w:line="240" w:lineRule="auto"/>
              <w:ind w:firstLine="0" w:firstLineChars="0"/>
              <w:jc w:val="center"/>
              <w:rPr>
                <w:color w:val="auto"/>
                <w:sz w:val="21"/>
                <w:szCs w:val="21"/>
              </w:rPr>
            </w:pPr>
          </w:p>
        </w:tc>
        <w:tc>
          <w:tcPr>
            <w:tcW w:w="1040" w:type="pct"/>
            <w:vMerge w:val="continue"/>
            <w:vAlign w:val="center"/>
          </w:tcPr>
          <w:p w14:paraId="540A4DA7">
            <w:pPr>
              <w:spacing w:line="240" w:lineRule="auto"/>
              <w:ind w:firstLine="0" w:firstLineChars="0"/>
              <w:jc w:val="center"/>
              <w:rPr>
                <w:color w:val="auto"/>
                <w:sz w:val="21"/>
                <w:szCs w:val="21"/>
              </w:rPr>
            </w:pPr>
          </w:p>
        </w:tc>
        <w:tc>
          <w:tcPr>
            <w:tcW w:w="792" w:type="pct"/>
            <w:vMerge w:val="continue"/>
            <w:vAlign w:val="center"/>
          </w:tcPr>
          <w:p w14:paraId="7FA5E348">
            <w:pPr>
              <w:spacing w:line="240" w:lineRule="auto"/>
              <w:ind w:firstLine="0" w:firstLineChars="0"/>
              <w:jc w:val="center"/>
              <w:rPr>
                <w:color w:val="auto"/>
                <w:sz w:val="21"/>
                <w:szCs w:val="21"/>
              </w:rPr>
            </w:pPr>
          </w:p>
        </w:tc>
      </w:tr>
      <w:tr w14:paraId="08E5D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54" w:type="pct"/>
            <w:vMerge w:val="restart"/>
            <w:vAlign w:val="center"/>
          </w:tcPr>
          <w:p w14:paraId="1802EC1C">
            <w:pPr>
              <w:spacing w:line="240" w:lineRule="auto"/>
              <w:ind w:firstLine="0" w:firstLineChars="0"/>
              <w:jc w:val="center"/>
              <w:rPr>
                <w:color w:val="auto"/>
                <w:sz w:val="21"/>
                <w:szCs w:val="21"/>
              </w:rPr>
            </w:pPr>
            <w:r>
              <w:rPr>
                <w:rFonts w:hint="eastAsia"/>
                <w:color w:val="auto"/>
                <w:sz w:val="21"/>
                <w:szCs w:val="21"/>
              </w:rPr>
              <w:t>污水处理单元</w:t>
            </w:r>
          </w:p>
        </w:tc>
        <w:tc>
          <w:tcPr>
            <w:tcW w:w="1427" w:type="pct"/>
            <w:vMerge w:val="restart"/>
            <w:vAlign w:val="center"/>
          </w:tcPr>
          <w:p w14:paraId="33DF603B">
            <w:pPr>
              <w:spacing w:line="240" w:lineRule="auto"/>
              <w:ind w:firstLine="0" w:firstLineChars="0"/>
              <w:jc w:val="center"/>
              <w:rPr>
                <w:color w:val="auto"/>
                <w:sz w:val="21"/>
                <w:szCs w:val="21"/>
              </w:rPr>
            </w:pPr>
            <w:r>
              <w:rPr>
                <w:rFonts w:hint="eastAsia"/>
                <w:color w:val="auto"/>
                <w:sz w:val="21"/>
                <w:szCs w:val="21"/>
              </w:rPr>
              <w:t>《恶臭污染物排放标准》（GB14554-1993）</w:t>
            </w:r>
          </w:p>
        </w:tc>
        <w:tc>
          <w:tcPr>
            <w:tcW w:w="1084" w:type="pct"/>
            <w:vAlign w:val="center"/>
          </w:tcPr>
          <w:p w14:paraId="6902D826">
            <w:pPr>
              <w:spacing w:line="240" w:lineRule="auto"/>
              <w:ind w:firstLine="0" w:firstLineChars="0"/>
              <w:jc w:val="center"/>
              <w:rPr>
                <w:color w:val="auto"/>
                <w:sz w:val="21"/>
                <w:szCs w:val="21"/>
              </w:rPr>
            </w:pPr>
            <w:r>
              <w:rPr>
                <w:rFonts w:hint="eastAsia"/>
                <w:color w:val="auto"/>
                <w:sz w:val="21"/>
                <w:szCs w:val="21"/>
              </w:rPr>
              <w:t>NH</w:t>
            </w:r>
            <w:r>
              <w:rPr>
                <w:rFonts w:hint="eastAsia"/>
                <w:color w:val="auto"/>
                <w:sz w:val="21"/>
                <w:szCs w:val="21"/>
                <w:vertAlign w:val="subscript"/>
              </w:rPr>
              <w:t>3</w:t>
            </w:r>
          </w:p>
        </w:tc>
        <w:tc>
          <w:tcPr>
            <w:tcW w:w="1040" w:type="pct"/>
            <w:vAlign w:val="center"/>
          </w:tcPr>
          <w:p w14:paraId="16E1EC5E">
            <w:pPr>
              <w:spacing w:line="240" w:lineRule="auto"/>
              <w:ind w:firstLine="0" w:firstLineChars="0"/>
              <w:jc w:val="center"/>
              <w:rPr>
                <w:color w:val="auto"/>
                <w:sz w:val="21"/>
                <w:szCs w:val="21"/>
              </w:rPr>
            </w:pPr>
            <w:r>
              <w:rPr>
                <w:rFonts w:hint="eastAsia"/>
                <w:color w:val="auto"/>
                <w:sz w:val="21"/>
                <w:szCs w:val="21"/>
              </w:rPr>
              <w:t>1.5</w:t>
            </w:r>
          </w:p>
        </w:tc>
        <w:tc>
          <w:tcPr>
            <w:tcW w:w="792" w:type="pct"/>
            <w:vAlign w:val="center"/>
          </w:tcPr>
          <w:p w14:paraId="5C00D161">
            <w:pPr>
              <w:spacing w:line="240" w:lineRule="auto"/>
              <w:ind w:firstLine="0" w:firstLineChars="0"/>
              <w:jc w:val="center"/>
              <w:rPr>
                <w:color w:val="auto"/>
                <w:sz w:val="21"/>
                <w:szCs w:val="21"/>
              </w:rPr>
            </w:pPr>
            <w:r>
              <w:rPr>
                <w:rFonts w:hint="eastAsia"/>
                <w:color w:val="auto"/>
                <w:sz w:val="21"/>
                <w:szCs w:val="21"/>
              </w:rPr>
              <w:t>/</w:t>
            </w:r>
          </w:p>
        </w:tc>
      </w:tr>
      <w:tr w14:paraId="2F843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5" w:hRule="atLeast"/>
          <w:jc w:val="center"/>
        </w:trPr>
        <w:tc>
          <w:tcPr>
            <w:tcW w:w="654" w:type="pct"/>
            <w:vMerge w:val="continue"/>
            <w:vAlign w:val="center"/>
          </w:tcPr>
          <w:p w14:paraId="26E93DF6">
            <w:pPr>
              <w:spacing w:line="240" w:lineRule="auto"/>
              <w:ind w:firstLine="0" w:firstLineChars="0"/>
              <w:jc w:val="center"/>
              <w:rPr>
                <w:color w:val="auto"/>
                <w:sz w:val="21"/>
                <w:szCs w:val="21"/>
              </w:rPr>
            </w:pPr>
          </w:p>
        </w:tc>
        <w:tc>
          <w:tcPr>
            <w:tcW w:w="1427" w:type="pct"/>
            <w:vMerge w:val="continue"/>
            <w:vAlign w:val="center"/>
          </w:tcPr>
          <w:p w14:paraId="6B1A3BC9">
            <w:pPr>
              <w:spacing w:line="240" w:lineRule="auto"/>
              <w:ind w:firstLine="0" w:firstLineChars="0"/>
              <w:jc w:val="center"/>
              <w:rPr>
                <w:color w:val="auto"/>
                <w:sz w:val="21"/>
                <w:szCs w:val="21"/>
              </w:rPr>
            </w:pPr>
          </w:p>
        </w:tc>
        <w:tc>
          <w:tcPr>
            <w:tcW w:w="1084" w:type="pct"/>
            <w:vAlign w:val="center"/>
          </w:tcPr>
          <w:p w14:paraId="2F8BF090">
            <w:pPr>
              <w:spacing w:line="240" w:lineRule="auto"/>
              <w:ind w:firstLine="0" w:firstLineChars="0"/>
              <w:jc w:val="center"/>
              <w:rPr>
                <w:color w:val="auto"/>
                <w:sz w:val="21"/>
                <w:szCs w:val="21"/>
              </w:rPr>
            </w:pPr>
            <w:r>
              <w:rPr>
                <w:rFonts w:hint="eastAsia"/>
                <w:color w:val="auto"/>
                <w:sz w:val="21"/>
                <w:szCs w:val="21"/>
              </w:rPr>
              <w:t>H</w:t>
            </w:r>
            <w:r>
              <w:rPr>
                <w:rFonts w:hint="eastAsia"/>
                <w:color w:val="auto"/>
                <w:sz w:val="21"/>
                <w:szCs w:val="21"/>
                <w:vertAlign w:val="subscript"/>
              </w:rPr>
              <w:t>2</w:t>
            </w:r>
            <w:r>
              <w:rPr>
                <w:rFonts w:hint="eastAsia"/>
                <w:color w:val="auto"/>
                <w:sz w:val="21"/>
                <w:szCs w:val="21"/>
              </w:rPr>
              <w:t>S</w:t>
            </w:r>
          </w:p>
        </w:tc>
        <w:tc>
          <w:tcPr>
            <w:tcW w:w="1040" w:type="pct"/>
            <w:vAlign w:val="center"/>
          </w:tcPr>
          <w:p w14:paraId="30B83A71">
            <w:pPr>
              <w:spacing w:line="240" w:lineRule="auto"/>
              <w:ind w:firstLine="0" w:firstLineChars="0"/>
              <w:jc w:val="center"/>
              <w:rPr>
                <w:color w:val="auto"/>
                <w:sz w:val="21"/>
                <w:szCs w:val="21"/>
              </w:rPr>
            </w:pPr>
            <w:r>
              <w:rPr>
                <w:rFonts w:hint="eastAsia"/>
                <w:color w:val="auto"/>
                <w:sz w:val="21"/>
                <w:szCs w:val="21"/>
              </w:rPr>
              <w:t>0.06</w:t>
            </w:r>
          </w:p>
        </w:tc>
        <w:tc>
          <w:tcPr>
            <w:tcW w:w="792" w:type="pct"/>
            <w:vAlign w:val="center"/>
          </w:tcPr>
          <w:p w14:paraId="574A0CE3">
            <w:pPr>
              <w:spacing w:line="240" w:lineRule="auto"/>
              <w:ind w:firstLine="0" w:firstLineChars="0"/>
              <w:jc w:val="center"/>
              <w:rPr>
                <w:color w:val="auto"/>
                <w:sz w:val="21"/>
                <w:szCs w:val="21"/>
              </w:rPr>
            </w:pPr>
            <w:r>
              <w:rPr>
                <w:rFonts w:hint="eastAsia"/>
                <w:color w:val="auto"/>
                <w:sz w:val="21"/>
                <w:szCs w:val="21"/>
              </w:rPr>
              <w:t>/</w:t>
            </w:r>
          </w:p>
        </w:tc>
      </w:tr>
      <w:tr w14:paraId="6AF85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54" w:type="pct"/>
            <w:vMerge w:val="continue"/>
            <w:vAlign w:val="center"/>
          </w:tcPr>
          <w:p w14:paraId="744BE3F3">
            <w:pPr>
              <w:spacing w:line="240" w:lineRule="auto"/>
              <w:ind w:firstLine="0" w:firstLineChars="0"/>
              <w:jc w:val="center"/>
              <w:rPr>
                <w:color w:val="auto"/>
                <w:sz w:val="21"/>
                <w:szCs w:val="21"/>
              </w:rPr>
            </w:pPr>
          </w:p>
        </w:tc>
        <w:tc>
          <w:tcPr>
            <w:tcW w:w="1427" w:type="pct"/>
            <w:vMerge w:val="continue"/>
            <w:vAlign w:val="center"/>
          </w:tcPr>
          <w:p w14:paraId="79C527BC">
            <w:pPr>
              <w:spacing w:line="240" w:lineRule="auto"/>
              <w:ind w:firstLine="0" w:firstLineChars="0"/>
              <w:jc w:val="center"/>
              <w:rPr>
                <w:color w:val="auto"/>
                <w:sz w:val="21"/>
                <w:szCs w:val="21"/>
              </w:rPr>
            </w:pPr>
          </w:p>
        </w:tc>
        <w:tc>
          <w:tcPr>
            <w:tcW w:w="1084" w:type="pct"/>
            <w:vAlign w:val="center"/>
          </w:tcPr>
          <w:p w14:paraId="21C54590">
            <w:pPr>
              <w:spacing w:line="240" w:lineRule="auto"/>
              <w:ind w:firstLine="0" w:firstLineChars="0"/>
              <w:jc w:val="center"/>
              <w:rPr>
                <w:color w:val="auto"/>
                <w:sz w:val="21"/>
                <w:szCs w:val="21"/>
              </w:rPr>
            </w:pPr>
            <w:r>
              <w:rPr>
                <w:rFonts w:hint="eastAsia"/>
                <w:color w:val="auto"/>
                <w:sz w:val="21"/>
                <w:szCs w:val="21"/>
              </w:rPr>
              <w:t>臭气浓度</w:t>
            </w:r>
          </w:p>
        </w:tc>
        <w:tc>
          <w:tcPr>
            <w:tcW w:w="1040" w:type="pct"/>
            <w:vAlign w:val="center"/>
          </w:tcPr>
          <w:p w14:paraId="7AF9BDAF">
            <w:pPr>
              <w:spacing w:line="240" w:lineRule="auto"/>
              <w:ind w:firstLine="0" w:firstLineChars="0"/>
              <w:jc w:val="center"/>
              <w:rPr>
                <w:color w:val="auto"/>
                <w:sz w:val="21"/>
                <w:szCs w:val="21"/>
              </w:rPr>
            </w:pPr>
            <w:r>
              <w:rPr>
                <w:rFonts w:hint="eastAsia"/>
                <w:color w:val="auto"/>
                <w:sz w:val="21"/>
                <w:szCs w:val="21"/>
              </w:rPr>
              <w:t>20（无量纲）</w:t>
            </w:r>
          </w:p>
        </w:tc>
        <w:tc>
          <w:tcPr>
            <w:tcW w:w="792" w:type="pct"/>
            <w:vAlign w:val="center"/>
          </w:tcPr>
          <w:p w14:paraId="7C767592">
            <w:pPr>
              <w:spacing w:line="240" w:lineRule="auto"/>
              <w:ind w:firstLine="0" w:firstLineChars="0"/>
              <w:jc w:val="center"/>
              <w:rPr>
                <w:color w:val="auto"/>
                <w:sz w:val="21"/>
                <w:szCs w:val="21"/>
              </w:rPr>
            </w:pPr>
            <w:r>
              <w:rPr>
                <w:rFonts w:hint="eastAsia"/>
                <w:color w:val="auto"/>
                <w:sz w:val="21"/>
                <w:szCs w:val="21"/>
              </w:rPr>
              <w:t>/</w:t>
            </w:r>
          </w:p>
        </w:tc>
      </w:tr>
      <w:tr w14:paraId="1F811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54" w:type="pct"/>
            <w:vMerge w:val="continue"/>
            <w:vAlign w:val="center"/>
          </w:tcPr>
          <w:p w14:paraId="5D7ECD33">
            <w:pPr>
              <w:spacing w:line="240" w:lineRule="auto"/>
              <w:ind w:firstLine="0" w:firstLineChars="0"/>
              <w:jc w:val="center"/>
              <w:rPr>
                <w:color w:val="auto"/>
                <w:sz w:val="21"/>
                <w:szCs w:val="21"/>
              </w:rPr>
            </w:pPr>
          </w:p>
        </w:tc>
        <w:tc>
          <w:tcPr>
            <w:tcW w:w="1427" w:type="pct"/>
            <w:vAlign w:val="center"/>
          </w:tcPr>
          <w:p w14:paraId="3F7F0F26">
            <w:pPr>
              <w:spacing w:line="240" w:lineRule="auto"/>
              <w:ind w:firstLine="0" w:firstLineChars="0"/>
              <w:jc w:val="center"/>
              <w:rPr>
                <w:color w:val="auto"/>
                <w:sz w:val="21"/>
                <w:szCs w:val="21"/>
              </w:rPr>
            </w:pPr>
            <w:r>
              <w:rPr>
                <w:rFonts w:hint="eastAsia"/>
                <w:color w:val="auto"/>
                <w:sz w:val="21"/>
                <w:szCs w:val="21"/>
              </w:rPr>
              <w:t>《大气污染物综合排放标准》（DB 50/418－2016）</w:t>
            </w:r>
          </w:p>
        </w:tc>
        <w:tc>
          <w:tcPr>
            <w:tcW w:w="1084" w:type="pct"/>
            <w:vAlign w:val="center"/>
          </w:tcPr>
          <w:p w14:paraId="49211AE6">
            <w:pPr>
              <w:spacing w:line="240" w:lineRule="auto"/>
              <w:ind w:firstLine="0" w:firstLineChars="0"/>
              <w:jc w:val="center"/>
              <w:rPr>
                <w:color w:val="auto"/>
                <w:sz w:val="21"/>
                <w:szCs w:val="21"/>
              </w:rPr>
            </w:pPr>
            <w:r>
              <w:rPr>
                <w:rFonts w:hint="eastAsia"/>
                <w:color w:val="auto"/>
                <w:kern w:val="0"/>
                <w:sz w:val="21"/>
                <w:szCs w:val="21"/>
                <w:lang w:bidi="ar"/>
              </w:rPr>
              <w:t>非甲烷总烃</w:t>
            </w:r>
          </w:p>
        </w:tc>
        <w:tc>
          <w:tcPr>
            <w:tcW w:w="1040" w:type="pct"/>
            <w:vAlign w:val="center"/>
          </w:tcPr>
          <w:p w14:paraId="300971EC">
            <w:pPr>
              <w:spacing w:line="240" w:lineRule="auto"/>
              <w:ind w:firstLine="0" w:firstLineChars="0"/>
              <w:jc w:val="center"/>
              <w:rPr>
                <w:color w:val="auto"/>
                <w:sz w:val="21"/>
                <w:szCs w:val="21"/>
              </w:rPr>
            </w:pPr>
            <w:r>
              <w:rPr>
                <w:rFonts w:hint="eastAsia"/>
                <w:color w:val="auto"/>
                <w:sz w:val="21"/>
                <w:szCs w:val="21"/>
              </w:rPr>
              <w:t>4.0</w:t>
            </w:r>
          </w:p>
        </w:tc>
        <w:tc>
          <w:tcPr>
            <w:tcW w:w="792" w:type="pct"/>
            <w:vAlign w:val="center"/>
          </w:tcPr>
          <w:p w14:paraId="7CF0A698">
            <w:pPr>
              <w:spacing w:line="240" w:lineRule="auto"/>
              <w:ind w:firstLine="0" w:firstLineChars="0"/>
              <w:jc w:val="center"/>
              <w:rPr>
                <w:color w:val="auto"/>
                <w:sz w:val="21"/>
                <w:szCs w:val="21"/>
              </w:rPr>
            </w:pPr>
            <w:r>
              <w:rPr>
                <w:rFonts w:hint="eastAsia"/>
                <w:color w:val="auto"/>
                <w:sz w:val="21"/>
                <w:szCs w:val="21"/>
              </w:rPr>
              <w:t>/</w:t>
            </w:r>
          </w:p>
        </w:tc>
      </w:tr>
    </w:tbl>
    <w:p w14:paraId="288B77FA">
      <w:pPr>
        <w:spacing w:line="360" w:lineRule="auto"/>
        <w:ind w:firstLine="0" w:firstLineChars="0"/>
        <w:rPr>
          <w:color w:val="auto"/>
          <w:szCs w:val="24"/>
        </w:rPr>
      </w:pPr>
    </w:p>
    <w:p w14:paraId="3614DE33">
      <w:pPr>
        <w:spacing w:line="360" w:lineRule="auto"/>
        <w:ind w:firstLine="480"/>
        <w:rPr>
          <w:color w:val="auto"/>
          <w:szCs w:val="24"/>
        </w:rPr>
      </w:pPr>
      <w:r>
        <w:rPr>
          <w:color w:val="auto"/>
          <w:szCs w:val="24"/>
        </w:rPr>
        <w:t>2</w:t>
      </w:r>
      <w:r>
        <w:rPr>
          <w:rFonts w:hint="eastAsia"/>
          <w:color w:val="auto"/>
          <w:szCs w:val="24"/>
        </w:rPr>
        <w:t>）废水排放口</w:t>
      </w:r>
    </w:p>
    <w:p w14:paraId="2F16DF73">
      <w:pPr>
        <w:pStyle w:val="684"/>
        <w:spacing w:beforeLines="0" w:line="360" w:lineRule="auto"/>
        <w:rPr>
          <w:color w:val="auto"/>
        </w:rPr>
      </w:pPr>
      <w:r>
        <w:rPr>
          <w:color w:val="auto"/>
        </w:rPr>
        <w:t>表10.3-3  废水类别、污染物及污染治理设施信息表</w:t>
      </w:r>
    </w:p>
    <w:tbl>
      <w:tblPr>
        <w:tblStyle w:val="88"/>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57" w:type="dxa"/>
          <w:bottom w:w="0" w:type="dxa"/>
          <w:right w:w="57" w:type="dxa"/>
        </w:tblCellMar>
      </w:tblPr>
      <w:tblGrid>
        <w:gridCol w:w="410"/>
        <w:gridCol w:w="640"/>
        <w:gridCol w:w="1414"/>
        <w:gridCol w:w="779"/>
        <w:gridCol w:w="838"/>
        <w:gridCol w:w="571"/>
        <w:gridCol w:w="778"/>
        <w:gridCol w:w="1456"/>
        <w:gridCol w:w="779"/>
        <w:gridCol w:w="761"/>
        <w:gridCol w:w="758"/>
      </w:tblGrid>
      <w:tr w14:paraId="3822AC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trPr>
        <w:tc>
          <w:tcPr>
            <w:tcW w:w="410" w:type="dxa"/>
            <w:vMerge w:val="restart"/>
            <w:vAlign w:val="center"/>
          </w:tcPr>
          <w:p w14:paraId="417E7F67">
            <w:pPr>
              <w:pStyle w:val="276"/>
              <w:rPr>
                <w:color w:val="auto"/>
              </w:rPr>
            </w:pPr>
            <w:r>
              <w:rPr>
                <w:rFonts w:hint="eastAsia"/>
                <w:color w:val="auto"/>
              </w:rPr>
              <w:t>序号</w:t>
            </w:r>
          </w:p>
        </w:tc>
        <w:tc>
          <w:tcPr>
            <w:tcW w:w="640" w:type="dxa"/>
            <w:vMerge w:val="restart"/>
            <w:vAlign w:val="center"/>
          </w:tcPr>
          <w:p w14:paraId="5031A064">
            <w:pPr>
              <w:pStyle w:val="276"/>
              <w:rPr>
                <w:color w:val="auto"/>
              </w:rPr>
            </w:pPr>
            <w:r>
              <w:rPr>
                <w:rFonts w:hint="eastAsia"/>
                <w:color w:val="auto"/>
              </w:rPr>
              <w:t>废水类别</w:t>
            </w:r>
          </w:p>
        </w:tc>
        <w:tc>
          <w:tcPr>
            <w:tcW w:w="1414" w:type="dxa"/>
            <w:vMerge w:val="restart"/>
            <w:vAlign w:val="center"/>
          </w:tcPr>
          <w:p w14:paraId="75FB4D63">
            <w:pPr>
              <w:pStyle w:val="276"/>
              <w:rPr>
                <w:color w:val="auto"/>
              </w:rPr>
            </w:pPr>
            <w:r>
              <w:rPr>
                <w:rFonts w:hint="eastAsia"/>
                <w:color w:val="auto"/>
              </w:rPr>
              <w:t>污染物种类</w:t>
            </w:r>
          </w:p>
        </w:tc>
        <w:tc>
          <w:tcPr>
            <w:tcW w:w="779" w:type="dxa"/>
            <w:vMerge w:val="restart"/>
            <w:vAlign w:val="center"/>
          </w:tcPr>
          <w:p w14:paraId="071DD7C2">
            <w:pPr>
              <w:pStyle w:val="276"/>
              <w:rPr>
                <w:color w:val="auto"/>
              </w:rPr>
            </w:pPr>
            <w:r>
              <w:rPr>
                <w:rFonts w:hint="eastAsia"/>
                <w:color w:val="auto"/>
              </w:rPr>
              <w:t>排放去向</w:t>
            </w:r>
          </w:p>
        </w:tc>
        <w:tc>
          <w:tcPr>
            <w:tcW w:w="838" w:type="dxa"/>
            <w:vMerge w:val="restart"/>
            <w:vAlign w:val="center"/>
          </w:tcPr>
          <w:p w14:paraId="4C3C6D43">
            <w:pPr>
              <w:pStyle w:val="276"/>
              <w:rPr>
                <w:color w:val="auto"/>
              </w:rPr>
            </w:pPr>
            <w:r>
              <w:rPr>
                <w:rFonts w:hint="eastAsia"/>
                <w:color w:val="auto"/>
              </w:rPr>
              <w:t>排放规律</w:t>
            </w:r>
          </w:p>
        </w:tc>
        <w:tc>
          <w:tcPr>
            <w:tcW w:w="2805" w:type="dxa"/>
            <w:gridSpan w:val="3"/>
            <w:vAlign w:val="center"/>
          </w:tcPr>
          <w:p w14:paraId="2F0C5FF6">
            <w:pPr>
              <w:pStyle w:val="276"/>
              <w:rPr>
                <w:color w:val="auto"/>
              </w:rPr>
            </w:pPr>
            <w:r>
              <w:rPr>
                <w:rFonts w:hint="eastAsia"/>
                <w:color w:val="auto"/>
              </w:rPr>
              <w:t>污染治理设施</w:t>
            </w:r>
          </w:p>
        </w:tc>
        <w:tc>
          <w:tcPr>
            <w:tcW w:w="779" w:type="dxa"/>
            <w:vMerge w:val="restart"/>
            <w:vAlign w:val="center"/>
          </w:tcPr>
          <w:p w14:paraId="494692BB">
            <w:pPr>
              <w:pStyle w:val="276"/>
              <w:rPr>
                <w:color w:val="auto"/>
              </w:rPr>
            </w:pPr>
            <w:r>
              <w:rPr>
                <w:rFonts w:hint="eastAsia"/>
                <w:color w:val="auto"/>
              </w:rPr>
              <w:t>排放口编号</w:t>
            </w:r>
          </w:p>
        </w:tc>
        <w:tc>
          <w:tcPr>
            <w:tcW w:w="761" w:type="dxa"/>
            <w:vMerge w:val="restart"/>
            <w:vAlign w:val="center"/>
          </w:tcPr>
          <w:p w14:paraId="5C9CB816">
            <w:pPr>
              <w:pStyle w:val="276"/>
              <w:rPr>
                <w:color w:val="auto"/>
              </w:rPr>
            </w:pPr>
            <w:r>
              <w:rPr>
                <w:rFonts w:hint="eastAsia"/>
                <w:color w:val="auto"/>
              </w:rPr>
              <w:t>排放口设施是否符合要求</w:t>
            </w:r>
          </w:p>
        </w:tc>
        <w:tc>
          <w:tcPr>
            <w:tcW w:w="758" w:type="dxa"/>
            <w:vMerge w:val="restart"/>
            <w:vAlign w:val="center"/>
          </w:tcPr>
          <w:p w14:paraId="1F58A4B0">
            <w:pPr>
              <w:pStyle w:val="276"/>
              <w:rPr>
                <w:color w:val="auto"/>
              </w:rPr>
            </w:pPr>
            <w:r>
              <w:rPr>
                <w:rFonts w:hint="eastAsia"/>
                <w:color w:val="auto"/>
              </w:rPr>
              <w:t>排放口类型</w:t>
            </w:r>
          </w:p>
        </w:tc>
      </w:tr>
      <w:tr w14:paraId="3EBEF1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trPr>
        <w:tc>
          <w:tcPr>
            <w:tcW w:w="410" w:type="dxa"/>
            <w:vMerge w:val="continue"/>
            <w:vAlign w:val="center"/>
          </w:tcPr>
          <w:p w14:paraId="4E6930A1">
            <w:pPr>
              <w:pStyle w:val="276"/>
              <w:rPr>
                <w:color w:val="auto"/>
              </w:rPr>
            </w:pPr>
          </w:p>
        </w:tc>
        <w:tc>
          <w:tcPr>
            <w:tcW w:w="640" w:type="dxa"/>
            <w:vMerge w:val="continue"/>
            <w:vAlign w:val="center"/>
          </w:tcPr>
          <w:p w14:paraId="16487A99">
            <w:pPr>
              <w:pStyle w:val="276"/>
              <w:rPr>
                <w:color w:val="auto"/>
              </w:rPr>
            </w:pPr>
          </w:p>
        </w:tc>
        <w:tc>
          <w:tcPr>
            <w:tcW w:w="1414" w:type="dxa"/>
            <w:vMerge w:val="continue"/>
            <w:vAlign w:val="center"/>
          </w:tcPr>
          <w:p w14:paraId="18B24FAD">
            <w:pPr>
              <w:pStyle w:val="276"/>
              <w:rPr>
                <w:color w:val="auto"/>
              </w:rPr>
            </w:pPr>
          </w:p>
        </w:tc>
        <w:tc>
          <w:tcPr>
            <w:tcW w:w="779" w:type="dxa"/>
            <w:vMerge w:val="continue"/>
            <w:vAlign w:val="center"/>
          </w:tcPr>
          <w:p w14:paraId="641C98C4">
            <w:pPr>
              <w:pStyle w:val="276"/>
              <w:rPr>
                <w:color w:val="auto"/>
              </w:rPr>
            </w:pPr>
          </w:p>
        </w:tc>
        <w:tc>
          <w:tcPr>
            <w:tcW w:w="838" w:type="dxa"/>
            <w:vMerge w:val="continue"/>
            <w:vAlign w:val="center"/>
          </w:tcPr>
          <w:p w14:paraId="6D4C13C4">
            <w:pPr>
              <w:pStyle w:val="276"/>
              <w:rPr>
                <w:color w:val="auto"/>
              </w:rPr>
            </w:pPr>
          </w:p>
        </w:tc>
        <w:tc>
          <w:tcPr>
            <w:tcW w:w="571" w:type="dxa"/>
            <w:vAlign w:val="center"/>
          </w:tcPr>
          <w:p w14:paraId="5C2447DB">
            <w:pPr>
              <w:pStyle w:val="276"/>
              <w:rPr>
                <w:color w:val="auto"/>
              </w:rPr>
            </w:pPr>
            <w:r>
              <w:rPr>
                <w:rFonts w:hint="eastAsia"/>
                <w:color w:val="auto"/>
              </w:rPr>
              <w:t>编号</w:t>
            </w:r>
          </w:p>
        </w:tc>
        <w:tc>
          <w:tcPr>
            <w:tcW w:w="778" w:type="dxa"/>
            <w:vAlign w:val="center"/>
          </w:tcPr>
          <w:p w14:paraId="2E358201">
            <w:pPr>
              <w:pStyle w:val="276"/>
              <w:rPr>
                <w:color w:val="auto"/>
              </w:rPr>
            </w:pPr>
            <w:r>
              <w:rPr>
                <w:rFonts w:hint="eastAsia"/>
                <w:color w:val="auto"/>
              </w:rPr>
              <w:t>名称</w:t>
            </w:r>
          </w:p>
        </w:tc>
        <w:tc>
          <w:tcPr>
            <w:tcW w:w="1456" w:type="dxa"/>
            <w:vAlign w:val="center"/>
          </w:tcPr>
          <w:p w14:paraId="2EDE704C">
            <w:pPr>
              <w:pStyle w:val="276"/>
              <w:rPr>
                <w:color w:val="auto"/>
              </w:rPr>
            </w:pPr>
            <w:r>
              <w:rPr>
                <w:rFonts w:hint="eastAsia"/>
                <w:color w:val="auto"/>
              </w:rPr>
              <w:t>工艺</w:t>
            </w:r>
          </w:p>
        </w:tc>
        <w:tc>
          <w:tcPr>
            <w:tcW w:w="779" w:type="dxa"/>
            <w:vMerge w:val="continue"/>
            <w:vAlign w:val="center"/>
          </w:tcPr>
          <w:p w14:paraId="2F4AC046">
            <w:pPr>
              <w:pStyle w:val="276"/>
              <w:rPr>
                <w:color w:val="auto"/>
              </w:rPr>
            </w:pPr>
          </w:p>
        </w:tc>
        <w:tc>
          <w:tcPr>
            <w:tcW w:w="761" w:type="dxa"/>
            <w:vMerge w:val="continue"/>
            <w:vAlign w:val="center"/>
          </w:tcPr>
          <w:p w14:paraId="6647D54E">
            <w:pPr>
              <w:pStyle w:val="276"/>
              <w:rPr>
                <w:color w:val="auto"/>
              </w:rPr>
            </w:pPr>
          </w:p>
        </w:tc>
        <w:tc>
          <w:tcPr>
            <w:tcW w:w="758" w:type="dxa"/>
            <w:vMerge w:val="continue"/>
            <w:vAlign w:val="center"/>
          </w:tcPr>
          <w:p w14:paraId="68B7D70A">
            <w:pPr>
              <w:pStyle w:val="276"/>
              <w:rPr>
                <w:color w:val="auto"/>
              </w:rPr>
            </w:pPr>
          </w:p>
        </w:tc>
      </w:tr>
      <w:tr w14:paraId="22C32E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trPr>
        <w:tc>
          <w:tcPr>
            <w:tcW w:w="410" w:type="dxa"/>
            <w:vAlign w:val="center"/>
          </w:tcPr>
          <w:p w14:paraId="09784316">
            <w:pPr>
              <w:pStyle w:val="276"/>
              <w:rPr>
                <w:color w:val="auto"/>
              </w:rPr>
            </w:pPr>
            <w:r>
              <w:rPr>
                <w:rFonts w:hint="eastAsia"/>
                <w:color w:val="auto"/>
              </w:rPr>
              <w:t>1</w:t>
            </w:r>
          </w:p>
        </w:tc>
        <w:tc>
          <w:tcPr>
            <w:tcW w:w="640" w:type="dxa"/>
            <w:vAlign w:val="center"/>
          </w:tcPr>
          <w:p w14:paraId="4AA2DC72">
            <w:pPr>
              <w:pStyle w:val="276"/>
              <w:rPr>
                <w:color w:val="auto"/>
              </w:rPr>
            </w:pPr>
            <w:r>
              <w:rPr>
                <w:rFonts w:hint="eastAsia"/>
                <w:color w:val="auto"/>
              </w:rPr>
              <w:t>钻采废水（包括：压裂返排水、产气废水等）和生活污水等</w:t>
            </w:r>
          </w:p>
        </w:tc>
        <w:tc>
          <w:tcPr>
            <w:tcW w:w="1414" w:type="dxa"/>
            <w:vAlign w:val="center"/>
          </w:tcPr>
          <w:p w14:paraId="6960C93A">
            <w:pPr>
              <w:pStyle w:val="276"/>
              <w:rPr>
                <w:bCs/>
                <w:color w:val="auto"/>
              </w:rPr>
            </w:pPr>
            <w:r>
              <w:rPr>
                <w:rFonts w:hint="eastAsia"/>
                <w:color w:val="auto"/>
              </w:rPr>
              <w:t>pH、水温、COD、NH</w:t>
            </w:r>
            <w:r>
              <w:rPr>
                <w:rFonts w:hint="eastAsia"/>
                <w:color w:val="auto"/>
                <w:vertAlign w:val="subscript"/>
              </w:rPr>
              <w:t>3</w:t>
            </w:r>
            <w:r>
              <w:rPr>
                <w:rFonts w:hint="eastAsia"/>
                <w:color w:val="auto"/>
              </w:rPr>
              <w:t>-N、TP、TN、BOD</w:t>
            </w:r>
            <w:r>
              <w:rPr>
                <w:rFonts w:hint="eastAsia"/>
                <w:color w:val="auto"/>
                <w:vertAlign w:val="subscript"/>
              </w:rPr>
              <w:t>5</w:t>
            </w:r>
            <w:r>
              <w:rPr>
                <w:rFonts w:hint="eastAsia"/>
                <w:color w:val="auto"/>
              </w:rPr>
              <w:t>、石油类、总有机碳（TOC）、硫化物、氟化物、氯化物（以Cl计）、溶解性总固体（TDS）、阴离子表面活性剂（LAS）、挥发酚、硼、可溶性钡、总α放射性</w:t>
            </w:r>
            <w:r>
              <w:rPr>
                <w:rFonts w:hint="eastAsia"/>
                <w:color w:val="auto"/>
                <w:lang w:eastAsia="zh-CN"/>
              </w:rPr>
              <w:t>（</w:t>
            </w:r>
            <w:r>
              <w:rPr>
                <w:rFonts w:hint="eastAsia"/>
                <w:color w:val="auto"/>
              </w:rPr>
              <w:t>Bq/L</w:t>
            </w:r>
            <w:r>
              <w:rPr>
                <w:rFonts w:hint="eastAsia"/>
                <w:color w:val="auto"/>
                <w:lang w:eastAsia="zh-CN"/>
              </w:rPr>
              <w:t>）</w:t>
            </w:r>
            <w:r>
              <w:rPr>
                <w:rFonts w:hint="eastAsia"/>
                <w:color w:val="auto"/>
              </w:rPr>
              <w:t>、总β放射性</w:t>
            </w:r>
            <w:r>
              <w:rPr>
                <w:rFonts w:hint="eastAsia"/>
                <w:color w:val="auto"/>
                <w:lang w:eastAsia="zh-CN"/>
              </w:rPr>
              <w:t>（</w:t>
            </w:r>
            <w:r>
              <w:rPr>
                <w:rFonts w:hint="eastAsia"/>
                <w:color w:val="auto"/>
              </w:rPr>
              <w:t>Bq/L</w:t>
            </w:r>
            <w:r>
              <w:rPr>
                <w:rFonts w:hint="eastAsia"/>
                <w:color w:val="auto"/>
                <w:lang w:eastAsia="zh-CN"/>
              </w:rPr>
              <w:t>）</w:t>
            </w:r>
          </w:p>
        </w:tc>
        <w:tc>
          <w:tcPr>
            <w:tcW w:w="779" w:type="dxa"/>
            <w:vAlign w:val="center"/>
          </w:tcPr>
          <w:p w14:paraId="2826D6B4">
            <w:pPr>
              <w:pStyle w:val="276"/>
              <w:rPr>
                <w:color w:val="auto"/>
              </w:rPr>
            </w:pPr>
            <w:r>
              <w:rPr>
                <w:rFonts w:hint="eastAsia"/>
                <w:color w:val="auto"/>
                <w:lang w:eastAsia="zh-CN"/>
              </w:rPr>
              <w:t>乌杨</w:t>
            </w:r>
            <w:r>
              <w:rPr>
                <w:rFonts w:hint="eastAsia"/>
                <w:color w:val="auto"/>
              </w:rPr>
              <w:t>园区污水处理厂</w:t>
            </w:r>
          </w:p>
        </w:tc>
        <w:tc>
          <w:tcPr>
            <w:tcW w:w="838" w:type="dxa"/>
            <w:vAlign w:val="center"/>
          </w:tcPr>
          <w:p w14:paraId="5E6FF558">
            <w:pPr>
              <w:pStyle w:val="276"/>
              <w:rPr>
                <w:color w:val="auto"/>
              </w:rPr>
            </w:pPr>
            <w:r>
              <w:rPr>
                <w:rFonts w:hint="eastAsia"/>
                <w:color w:val="auto"/>
              </w:rPr>
              <w:t>连续排放，流量不稳定</w:t>
            </w:r>
          </w:p>
        </w:tc>
        <w:tc>
          <w:tcPr>
            <w:tcW w:w="571" w:type="dxa"/>
            <w:vAlign w:val="center"/>
          </w:tcPr>
          <w:p w14:paraId="63CB3C6A">
            <w:pPr>
              <w:pStyle w:val="276"/>
              <w:rPr>
                <w:color w:val="auto"/>
              </w:rPr>
            </w:pPr>
            <w:r>
              <w:rPr>
                <w:rFonts w:hint="eastAsia"/>
                <w:color w:val="auto"/>
              </w:rPr>
              <w:t>TW001</w:t>
            </w:r>
          </w:p>
        </w:tc>
        <w:tc>
          <w:tcPr>
            <w:tcW w:w="778" w:type="dxa"/>
            <w:vAlign w:val="center"/>
          </w:tcPr>
          <w:p w14:paraId="346C321E">
            <w:pPr>
              <w:pStyle w:val="276"/>
              <w:rPr>
                <w:color w:val="auto"/>
              </w:rPr>
            </w:pPr>
            <w:r>
              <w:rPr>
                <w:rFonts w:hint="eastAsia"/>
                <w:color w:val="auto"/>
              </w:rPr>
              <w:t>废水处理设施</w:t>
            </w:r>
          </w:p>
        </w:tc>
        <w:tc>
          <w:tcPr>
            <w:tcW w:w="1456" w:type="dxa"/>
            <w:vAlign w:val="center"/>
          </w:tcPr>
          <w:p w14:paraId="14C2F5CF">
            <w:pPr>
              <w:pStyle w:val="276"/>
              <w:rPr>
                <w:rFonts w:hint="eastAsia" w:eastAsia="宋体"/>
                <w:color w:val="auto"/>
                <w:lang w:eastAsia="zh-CN"/>
              </w:rPr>
            </w:pPr>
            <w:r>
              <w:rPr>
                <w:rFonts w:hint="eastAsia"/>
                <w:color w:val="auto"/>
                <w:lang w:eastAsia="zh-CN"/>
              </w:rPr>
              <w:t>调节+气浮+化学除重+高密软化沉淀+芬顿氧化+中和沉淀+精密过滤+DTRO膜浓缩+浓水蒸发结晶</w:t>
            </w:r>
          </w:p>
        </w:tc>
        <w:tc>
          <w:tcPr>
            <w:tcW w:w="779" w:type="dxa"/>
            <w:vAlign w:val="center"/>
          </w:tcPr>
          <w:p w14:paraId="6969FAB1">
            <w:pPr>
              <w:pStyle w:val="276"/>
              <w:rPr>
                <w:color w:val="auto"/>
              </w:rPr>
            </w:pPr>
            <w:r>
              <w:rPr>
                <w:rFonts w:hint="eastAsia"/>
                <w:color w:val="auto"/>
              </w:rPr>
              <w:t>DW001</w:t>
            </w:r>
          </w:p>
        </w:tc>
        <w:tc>
          <w:tcPr>
            <w:tcW w:w="761" w:type="dxa"/>
            <w:vAlign w:val="center"/>
          </w:tcPr>
          <w:p w14:paraId="366ECD7A">
            <w:pPr>
              <w:pStyle w:val="276"/>
              <w:rPr>
                <w:color w:val="auto"/>
              </w:rPr>
            </w:pPr>
            <w:r>
              <w:rPr>
                <w:rFonts w:hint="eastAsia"/>
                <w:color w:val="auto"/>
              </w:rPr>
              <w:t>是</w:t>
            </w:r>
          </w:p>
        </w:tc>
        <w:tc>
          <w:tcPr>
            <w:tcW w:w="758" w:type="dxa"/>
            <w:vAlign w:val="center"/>
          </w:tcPr>
          <w:p w14:paraId="26ABFA82">
            <w:pPr>
              <w:pStyle w:val="276"/>
              <w:rPr>
                <w:color w:val="auto"/>
              </w:rPr>
            </w:pPr>
            <w:r>
              <w:rPr>
                <w:rFonts w:hint="eastAsia"/>
                <w:color w:val="auto"/>
              </w:rPr>
              <w:t>总排口</w:t>
            </w:r>
          </w:p>
        </w:tc>
      </w:tr>
    </w:tbl>
    <w:p w14:paraId="5CB16493">
      <w:pPr>
        <w:spacing w:line="360" w:lineRule="auto"/>
        <w:ind w:firstLine="480"/>
        <w:rPr>
          <w:color w:val="auto"/>
          <w:szCs w:val="24"/>
        </w:rPr>
      </w:pPr>
    </w:p>
    <w:p w14:paraId="76AC270A">
      <w:pPr>
        <w:spacing w:before="120" w:line="360" w:lineRule="auto"/>
        <w:ind w:firstLineChars="83"/>
        <w:jc w:val="center"/>
        <w:rPr>
          <w:b/>
          <w:bCs/>
          <w:color w:val="auto"/>
          <w:szCs w:val="24"/>
        </w:rPr>
      </w:pPr>
      <w:r>
        <w:rPr>
          <w:b/>
          <w:bCs/>
          <w:color w:val="auto"/>
          <w:szCs w:val="24"/>
        </w:rPr>
        <w:t>表10.3-4  废水</w:t>
      </w:r>
      <w:r>
        <w:rPr>
          <w:rFonts w:hint="eastAsia"/>
          <w:b/>
          <w:bCs/>
          <w:color w:val="auto"/>
          <w:szCs w:val="24"/>
        </w:rPr>
        <w:t>间接</w:t>
      </w:r>
      <w:r>
        <w:rPr>
          <w:b/>
          <w:bCs/>
          <w:color w:val="auto"/>
          <w:szCs w:val="24"/>
        </w:rPr>
        <w:t>排放口基本情况表</w:t>
      </w:r>
    </w:p>
    <w:tbl>
      <w:tblPr>
        <w:tblStyle w:val="88"/>
        <w:tblW w:w="918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57" w:type="dxa"/>
          <w:bottom w:w="0" w:type="dxa"/>
          <w:right w:w="57" w:type="dxa"/>
        </w:tblCellMar>
      </w:tblPr>
      <w:tblGrid>
        <w:gridCol w:w="324"/>
        <w:gridCol w:w="867"/>
        <w:gridCol w:w="851"/>
        <w:gridCol w:w="850"/>
        <w:gridCol w:w="851"/>
        <w:gridCol w:w="850"/>
        <w:gridCol w:w="851"/>
        <w:gridCol w:w="567"/>
        <w:gridCol w:w="567"/>
        <w:gridCol w:w="1250"/>
        <w:gridCol w:w="1356"/>
      </w:tblGrid>
      <w:tr w14:paraId="5530CE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jc w:val="center"/>
        </w:trPr>
        <w:tc>
          <w:tcPr>
            <w:tcW w:w="324" w:type="dxa"/>
            <w:vMerge w:val="restart"/>
            <w:vAlign w:val="center"/>
          </w:tcPr>
          <w:p w14:paraId="30DA1F4E">
            <w:pPr>
              <w:pStyle w:val="276"/>
              <w:rPr>
                <w:color w:val="auto"/>
              </w:rPr>
            </w:pPr>
            <w:r>
              <w:rPr>
                <w:rFonts w:hint="eastAsia"/>
                <w:color w:val="auto"/>
              </w:rPr>
              <w:t>序号</w:t>
            </w:r>
          </w:p>
        </w:tc>
        <w:tc>
          <w:tcPr>
            <w:tcW w:w="867" w:type="dxa"/>
            <w:vMerge w:val="restart"/>
            <w:vAlign w:val="center"/>
          </w:tcPr>
          <w:p w14:paraId="7C9F58A8">
            <w:pPr>
              <w:pStyle w:val="276"/>
              <w:rPr>
                <w:color w:val="auto"/>
              </w:rPr>
            </w:pPr>
            <w:r>
              <w:rPr>
                <w:rFonts w:hint="eastAsia"/>
                <w:color w:val="auto"/>
              </w:rPr>
              <w:t>排放口编号</w:t>
            </w:r>
          </w:p>
        </w:tc>
        <w:tc>
          <w:tcPr>
            <w:tcW w:w="1701" w:type="dxa"/>
            <w:gridSpan w:val="2"/>
            <w:vAlign w:val="center"/>
          </w:tcPr>
          <w:p w14:paraId="43B27969">
            <w:pPr>
              <w:pStyle w:val="276"/>
              <w:rPr>
                <w:color w:val="auto"/>
              </w:rPr>
            </w:pPr>
            <w:r>
              <w:rPr>
                <w:rFonts w:hint="eastAsia"/>
                <w:color w:val="auto"/>
              </w:rPr>
              <w:t>排放口地理坐标</w:t>
            </w:r>
          </w:p>
        </w:tc>
        <w:tc>
          <w:tcPr>
            <w:tcW w:w="851" w:type="dxa"/>
            <w:vMerge w:val="restart"/>
            <w:vAlign w:val="center"/>
          </w:tcPr>
          <w:p w14:paraId="3AA56336">
            <w:pPr>
              <w:pStyle w:val="276"/>
              <w:rPr>
                <w:color w:val="auto"/>
              </w:rPr>
            </w:pPr>
            <w:r>
              <w:rPr>
                <w:rFonts w:hint="eastAsia"/>
                <w:color w:val="auto"/>
              </w:rPr>
              <w:t>废水排放量万t/a</w:t>
            </w:r>
          </w:p>
        </w:tc>
        <w:tc>
          <w:tcPr>
            <w:tcW w:w="850" w:type="dxa"/>
            <w:vMerge w:val="restart"/>
            <w:vAlign w:val="center"/>
          </w:tcPr>
          <w:p w14:paraId="1E2FA26A">
            <w:pPr>
              <w:pStyle w:val="276"/>
              <w:rPr>
                <w:color w:val="auto"/>
              </w:rPr>
            </w:pPr>
            <w:r>
              <w:rPr>
                <w:rFonts w:hint="eastAsia"/>
                <w:color w:val="auto"/>
              </w:rPr>
              <w:t>排放去向</w:t>
            </w:r>
          </w:p>
        </w:tc>
        <w:tc>
          <w:tcPr>
            <w:tcW w:w="851" w:type="dxa"/>
            <w:vMerge w:val="restart"/>
            <w:vAlign w:val="center"/>
          </w:tcPr>
          <w:p w14:paraId="07F5A3BF">
            <w:pPr>
              <w:pStyle w:val="276"/>
              <w:rPr>
                <w:color w:val="auto"/>
              </w:rPr>
            </w:pPr>
            <w:r>
              <w:rPr>
                <w:rFonts w:hint="eastAsia"/>
                <w:color w:val="auto"/>
              </w:rPr>
              <w:t>排放规律</w:t>
            </w:r>
          </w:p>
        </w:tc>
        <w:tc>
          <w:tcPr>
            <w:tcW w:w="567" w:type="dxa"/>
            <w:vMerge w:val="restart"/>
            <w:vAlign w:val="center"/>
          </w:tcPr>
          <w:p w14:paraId="5A83E714">
            <w:pPr>
              <w:pStyle w:val="276"/>
              <w:rPr>
                <w:color w:val="auto"/>
              </w:rPr>
            </w:pPr>
            <w:r>
              <w:rPr>
                <w:rFonts w:hint="eastAsia"/>
                <w:color w:val="auto"/>
              </w:rPr>
              <w:t>间歇排放时段</w:t>
            </w:r>
          </w:p>
        </w:tc>
        <w:tc>
          <w:tcPr>
            <w:tcW w:w="3173" w:type="dxa"/>
            <w:gridSpan w:val="3"/>
            <w:tcBorders>
              <w:top w:val="single" w:color="auto" w:sz="4" w:space="0"/>
            </w:tcBorders>
            <w:vAlign w:val="center"/>
          </w:tcPr>
          <w:p w14:paraId="28964D6E">
            <w:pPr>
              <w:pStyle w:val="276"/>
              <w:rPr>
                <w:color w:val="auto"/>
              </w:rPr>
            </w:pPr>
            <w:r>
              <w:rPr>
                <w:rFonts w:hint="eastAsia"/>
                <w:color w:val="auto"/>
              </w:rPr>
              <w:t>受纳污水处理厂信息</w:t>
            </w:r>
          </w:p>
        </w:tc>
      </w:tr>
      <w:tr w14:paraId="4648C8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jc w:val="center"/>
        </w:trPr>
        <w:tc>
          <w:tcPr>
            <w:tcW w:w="324" w:type="dxa"/>
            <w:vMerge w:val="continue"/>
            <w:vAlign w:val="center"/>
          </w:tcPr>
          <w:p w14:paraId="48134BA2">
            <w:pPr>
              <w:pStyle w:val="276"/>
              <w:rPr>
                <w:color w:val="auto"/>
              </w:rPr>
            </w:pPr>
          </w:p>
        </w:tc>
        <w:tc>
          <w:tcPr>
            <w:tcW w:w="867" w:type="dxa"/>
            <w:vMerge w:val="continue"/>
            <w:vAlign w:val="center"/>
          </w:tcPr>
          <w:p w14:paraId="1268ED9B">
            <w:pPr>
              <w:pStyle w:val="276"/>
              <w:rPr>
                <w:color w:val="auto"/>
              </w:rPr>
            </w:pPr>
          </w:p>
        </w:tc>
        <w:tc>
          <w:tcPr>
            <w:tcW w:w="851" w:type="dxa"/>
            <w:vAlign w:val="center"/>
          </w:tcPr>
          <w:p w14:paraId="23FED752">
            <w:pPr>
              <w:pStyle w:val="276"/>
              <w:rPr>
                <w:color w:val="auto"/>
              </w:rPr>
            </w:pPr>
            <w:r>
              <w:rPr>
                <w:rFonts w:hint="eastAsia"/>
                <w:color w:val="auto"/>
              </w:rPr>
              <w:t>经度</w:t>
            </w:r>
          </w:p>
        </w:tc>
        <w:tc>
          <w:tcPr>
            <w:tcW w:w="850" w:type="dxa"/>
            <w:vAlign w:val="center"/>
          </w:tcPr>
          <w:p w14:paraId="58E2F6ED">
            <w:pPr>
              <w:pStyle w:val="276"/>
              <w:rPr>
                <w:color w:val="auto"/>
              </w:rPr>
            </w:pPr>
            <w:r>
              <w:rPr>
                <w:rFonts w:hint="eastAsia"/>
                <w:color w:val="auto"/>
              </w:rPr>
              <w:t>纬度</w:t>
            </w:r>
          </w:p>
        </w:tc>
        <w:tc>
          <w:tcPr>
            <w:tcW w:w="851" w:type="dxa"/>
            <w:vMerge w:val="continue"/>
            <w:vAlign w:val="center"/>
          </w:tcPr>
          <w:p w14:paraId="35AB3786">
            <w:pPr>
              <w:pStyle w:val="276"/>
              <w:rPr>
                <w:color w:val="auto"/>
              </w:rPr>
            </w:pPr>
          </w:p>
        </w:tc>
        <w:tc>
          <w:tcPr>
            <w:tcW w:w="850" w:type="dxa"/>
            <w:vMerge w:val="continue"/>
            <w:vAlign w:val="center"/>
          </w:tcPr>
          <w:p w14:paraId="3316406C">
            <w:pPr>
              <w:pStyle w:val="276"/>
              <w:rPr>
                <w:color w:val="auto"/>
              </w:rPr>
            </w:pPr>
          </w:p>
        </w:tc>
        <w:tc>
          <w:tcPr>
            <w:tcW w:w="851" w:type="dxa"/>
            <w:vMerge w:val="continue"/>
            <w:vAlign w:val="center"/>
          </w:tcPr>
          <w:p w14:paraId="7E30F62F">
            <w:pPr>
              <w:pStyle w:val="276"/>
              <w:rPr>
                <w:color w:val="auto"/>
              </w:rPr>
            </w:pPr>
          </w:p>
        </w:tc>
        <w:tc>
          <w:tcPr>
            <w:tcW w:w="567" w:type="dxa"/>
            <w:vMerge w:val="continue"/>
            <w:vAlign w:val="center"/>
          </w:tcPr>
          <w:p w14:paraId="25202295">
            <w:pPr>
              <w:pStyle w:val="276"/>
              <w:rPr>
                <w:color w:val="auto"/>
              </w:rPr>
            </w:pPr>
          </w:p>
        </w:tc>
        <w:tc>
          <w:tcPr>
            <w:tcW w:w="567" w:type="dxa"/>
            <w:vAlign w:val="center"/>
          </w:tcPr>
          <w:p w14:paraId="3EF97B32">
            <w:pPr>
              <w:pStyle w:val="276"/>
              <w:rPr>
                <w:color w:val="auto"/>
              </w:rPr>
            </w:pPr>
            <w:r>
              <w:rPr>
                <w:rFonts w:hint="eastAsia"/>
                <w:color w:val="auto"/>
              </w:rPr>
              <w:t>名称</w:t>
            </w:r>
          </w:p>
        </w:tc>
        <w:tc>
          <w:tcPr>
            <w:tcW w:w="1250" w:type="dxa"/>
            <w:tcBorders>
              <w:right w:val="single" w:color="auto" w:sz="4" w:space="0"/>
            </w:tcBorders>
            <w:vAlign w:val="center"/>
          </w:tcPr>
          <w:p w14:paraId="18CC9E57">
            <w:pPr>
              <w:pStyle w:val="276"/>
              <w:rPr>
                <w:color w:val="auto"/>
              </w:rPr>
            </w:pPr>
            <w:r>
              <w:rPr>
                <w:rFonts w:hint="eastAsia"/>
                <w:color w:val="auto"/>
              </w:rPr>
              <w:t>污染物种类</w:t>
            </w:r>
          </w:p>
        </w:tc>
        <w:tc>
          <w:tcPr>
            <w:tcW w:w="1356" w:type="dxa"/>
            <w:tcBorders>
              <w:top w:val="single" w:color="auto" w:sz="4" w:space="0"/>
              <w:left w:val="single" w:color="auto" w:sz="4" w:space="0"/>
            </w:tcBorders>
            <w:vAlign w:val="center"/>
          </w:tcPr>
          <w:p w14:paraId="3E2E8180">
            <w:pPr>
              <w:pStyle w:val="276"/>
              <w:rPr>
                <w:color w:val="auto"/>
              </w:rPr>
            </w:pPr>
            <w:r>
              <w:rPr>
                <w:rFonts w:hint="eastAsia"/>
                <w:color w:val="auto"/>
              </w:rPr>
              <w:t>国家或地方污染物排放标准浓度限值</w:t>
            </w:r>
          </w:p>
        </w:tc>
      </w:tr>
      <w:tr w14:paraId="066B52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jc w:val="center"/>
        </w:trPr>
        <w:tc>
          <w:tcPr>
            <w:tcW w:w="324" w:type="dxa"/>
            <w:vMerge w:val="restart"/>
            <w:vAlign w:val="center"/>
          </w:tcPr>
          <w:p w14:paraId="2273D47A">
            <w:pPr>
              <w:pStyle w:val="276"/>
              <w:rPr>
                <w:color w:val="auto"/>
              </w:rPr>
            </w:pPr>
            <w:r>
              <w:rPr>
                <w:rFonts w:hint="eastAsia"/>
                <w:color w:val="auto"/>
              </w:rPr>
              <w:t>1</w:t>
            </w:r>
          </w:p>
        </w:tc>
        <w:tc>
          <w:tcPr>
            <w:tcW w:w="867" w:type="dxa"/>
            <w:vMerge w:val="restart"/>
            <w:vAlign w:val="center"/>
          </w:tcPr>
          <w:p w14:paraId="105E2415">
            <w:pPr>
              <w:pStyle w:val="276"/>
              <w:rPr>
                <w:color w:val="auto"/>
              </w:rPr>
            </w:pPr>
            <w:r>
              <w:rPr>
                <w:rFonts w:hint="eastAsia"/>
                <w:color w:val="auto"/>
              </w:rPr>
              <w:t>DW001</w:t>
            </w:r>
          </w:p>
        </w:tc>
        <w:tc>
          <w:tcPr>
            <w:tcW w:w="851" w:type="dxa"/>
            <w:vMerge w:val="restart"/>
            <w:vAlign w:val="center"/>
          </w:tcPr>
          <w:p w14:paraId="49352EB4">
            <w:pPr>
              <w:pStyle w:val="276"/>
              <w:rPr>
                <w:color w:val="auto"/>
              </w:rPr>
            </w:pPr>
            <w:r>
              <w:rPr>
                <w:rFonts w:hint="eastAsia"/>
                <w:color w:val="auto"/>
              </w:rPr>
              <w:t>108.011268</w:t>
            </w:r>
          </w:p>
        </w:tc>
        <w:tc>
          <w:tcPr>
            <w:tcW w:w="850" w:type="dxa"/>
            <w:vMerge w:val="restart"/>
            <w:vAlign w:val="center"/>
          </w:tcPr>
          <w:p w14:paraId="17DE779F">
            <w:pPr>
              <w:pStyle w:val="276"/>
              <w:rPr>
                <w:color w:val="auto"/>
              </w:rPr>
            </w:pPr>
            <w:r>
              <w:rPr>
                <w:rFonts w:hint="eastAsia"/>
                <w:color w:val="auto"/>
              </w:rPr>
              <w:t>30.216841</w:t>
            </w:r>
          </w:p>
        </w:tc>
        <w:tc>
          <w:tcPr>
            <w:tcW w:w="851" w:type="dxa"/>
            <w:vMerge w:val="restart"/>
            <w:vAlign w:val="center"/>
          </w:tcPr>
          <w:p w14:paraId="10ABAAB0">
            <w:pPr>
              <w:pStyle w:val="276"/>
              <w:rPr>
                <w:rFonts w:hint="default" w:eastAsia="宋体"/>
                <w:bCs/>
                <w:color w:val="auto"/>
                <w:lang w:val="en-US" w:eastAsia="zh-CN"/>
              </w:rPr>
            </w:pPr>
            <w:r>
              <w:rPr>
                <w:rFonts w:hint="eastAsia"/>
                <w:color w:val="auto"/>
              </w:rPr>
              <w:t>58.</w:t>
            </w:r>
            <w:r>
              <w:rPr>
                <w:rFonts w:hint="eastAsia"/>
                <w:color w:val="auto"/>
                <w:lang w:val="en-US" w:eastAsia="zh-CN"/>
              </w:rPr>
              <w:t>73</w:t>
            </w:r>
          </w:p>
        </w:tc>
        <w:tc>
          <w:tcPr>
            <w:tcW w:w="850" w:type="dxa"/>
            <w:vMerge w:val="restart"/>
            <w:vAlign w:val="center"/>
          </w:tcPr>
          <w:p w14:paraId="4D208E72">
            <w:pPr>
              <w:pStyle w:val="276"/>
              <w:rPr>
                <w:color w:val="auto"/>
              </w:rPr>
            </w:pPr>
            <w:r>
              <w:rPr>
                <w:rFonts w:hint="eastAsia"/>
                <w:color w:val="auto"/>
              </w:rPr>
              <w:t>排入园区污水管网</w:t>
            </w:r>
          </w:p>
        </w:tc>
        <w:tc>
          <w:tcPr>
            <w:tcW w:w="851" w:type="dxa"/>
            <w:vMerge w:val="restart"/>
            <w:vAlign w:val="center"/>
          </w:tcPr>
          <w:p w14:paraId="79D7C6B7">
            <w:pPr>
              <w:pStyle w:val="276"/>
              <w:rPr>
                <w:color w:val="auto"/>
              </w:rPr>
            </w:pPr>
            <w:r>
              <w:rPr>
                <w:rFonts w:hint="eastAsia"/>
                <w:color w:val="auto"/>
              </w:rPr>
              <w:t>连续排放，流量不稳定</w:t>
            </w:r>
          </w:p>
        </w:tc>
        <w:tc>
          <w:tcPr>
            <w:tcW w:w="567" w:type="dxa"/>
            <w:vMerge w:val="restart"/>
            <w:vAlign w:val="center"/>
          </w:tcPr>
          <w:p w14:paraId="5FE6B462">
            <w:pPr>
              <w:pStyle w:val="276"/>
              <w:rPr>
                <w:color w:val="auto"/>
              </w:rPr>
            </w:pPr>
            <w:r>
              <w:rPr>
                <w:rFonts w:hint="eastAsia"/>
                <w:color w:val="auto"/>
              </w:rPr>
              <w:t>昼夜</w:t>
            </w:r>
          </w:p>
        </w:tc>
        <w:tc>
          <w:tcPr>
            <w:tcW w:w="567" w:type="dxa"/>
            <w:vMerge w:val="restart"/>
            <w:vAlign w:val="center"/>
          </w:tcPr>
          <w:p w14:paraId="47C3AF53">
            <w:pPr>
              <w:pStyle w:val="276"/>
              <w:rPr>
                <w:rFonts w:hint="eastAsia" w:eastAsia="宋体"/>
                <w:color w:val="auto"/>
                <w:lang w:eastAsia="zh-CN"/>
              </w:rPr>
            </w:pPr>
            <w:r>
              <w:rPr>
                <w:rFonts w:hint="eastAsia"/>
                <w:color w:val="auto"/>
                <w:lang w:eastAsia="zh-CN"/>
              </w:rPr>
              <w:t>乌杨组团园区污水处理厂</w:t>
            </w:r>
          </w:p>
        </w:tc>
        <w:tc>
          <w:tcPr>
            <w:tcW w:w="1250" w:type="dxa"/>
            <w:vAlign w:val="center"/>
          </w:tcPr>
          <w:p w14:paraId="5ED372CE">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pH</w:t>
            </w:r>
            <w:r>
              <w:rPr>
                <w:rFonts w:hint="eastAsia" w:ascii="宋体" w:hAnsi="宋体"/>
                <w:color w:val="auto"/>
                <w:kern w:val="0"/>
                <w:sz w:val="21"/>
                <w:szCs w:val="21"/>
              </w:rPr>
              <w:t>（无量纲）</w:t>
            </w:r>
          </w:p>
        </w:tc>
        <w:tc>
          <w:tcPr>
            <w:tcW w:w="1356" w:type="dxa"/>
            <w:vAlign w:val="center"/>
          </w:tcPr>
          <w:p w14:paraId="307CE6E8">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6~9</w:t>
            </w:r>
          </w:p>
        </w:tc>
      </w:tr>
      <w:tr w14:paraId="59EAE9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jc w:val="center"/>
        </w:trPr>
        <w:tc>
          <w:tcPr>
            <w:tcW w:w="324" w:type="dxa"/>
            <w:vMerge w:val="continue"/>
            <w:vAlign w:val="center"/>
          </w:tcPr>
          <w:p w14:paraId="5606E54A">
            <w:pPr>
              <w:pStyle w:val="276"/>
              <w:rPr>
                <w:color w:val="auto"/>
              </w:rPr>
            </w:pPr>
          </w:p>
        </w:tc>
        <w:tc>
          <w:tcPr>
            <w:tcW w:w="867" w:type="dxa"/>
            <w:vMerge w:val="continue"/>
            <w:vAlign w:val="center"/>
          </w:tcPr>
          <w:p w14:paraId="5D3FB40E">
            <w:pPr>
              <w:pStyle w:val="276"/>
              <w:rPr>
                <w:color w:val="auto"/>
              </w:rPr>
            </w:pPr>
          </w:p>
        </w:tc>
        <w:tc>
          <w:tcPr>
            <w:tcW w:w="851" w:type="dxa"/>
            <w:vMerge w:val="continue"/>
            <w:vAlign w:val="center"/>
          </w:tcPr>
          <w:p w14:paraId="0A15E7D1">
            <w:pPr>
              <w:pStyle w:val="276"/>
              <w:rPr>
                <w:color w:val="auto"/>
              </w:rPr>
            </w:pPr>
          </w:p>
        </w:tc>
        <w:tc>
          <w:tcPr>
            <w:tcW w:w="850" w:type="dxa"/>
            <w:vMerge w:val="continue"/>
            <w:vAlign w:val="center"/>
          </w:tcPr>
          <w:p w14:paraId="5697D193">
            <w:pPr>
              <w:pStyle w:val="276"/>
              <w:rPr>
                <w:color w:val="auto"/>
              </w:rPr>
            </w:pPr>
          </w:p>
        </w:tc>
        <w:tc>
          <w:tcPr>
            <w:tcW w:w="851" w:type="dxa"/>
            <w:vMerge w:val="continue"/>
            <w:vAlign w:val="center"/>
          </w:tcPr>
          <w:p w14:paraId="79A2AE3E">
            <w:pPr>
              <w:pStyle w:val="276"/>
              <w:rPr>
                <w:color w:val="auto"/>
              </w:rPr>
            </w:pPr>
          </w:p>
        </w:tc>
        <w:tc>
          <w:tcPr>
            <w:tcW w:w="850" w:type="dxa"/>
            <w:vMerge w:val="continue"/>
            <w:vAlign w:val="center"/>
          </w:tcPr>
          <w:p w14:paraId="1C739F37">
            <w:pPr>
              <w:pStyle w:val="276"/>
              <w:rPr>
                <w:color w:val="auto"/>
              </w:rPr>
            </w:pPr>
          </w:p>
        </w:tc>
        <w:tc>
          <w:tcPr>
            <w:tcW w:w="851" w:type="dxa"/>
            <w:vMerge w:val="continue"/>
            <w:vAlign w:val="center"/>
          </w:tcPr>
          <w:p w14:paraId="2EDA1EDE">
            <w:pPr>
              <w:pStyle w:val="276"/>
              <w:rPr>
                <w:color w:val="auto"/>
              </w:rPr>
            </w:pPr>
          </w:p>
        </w:tc>
        <w:tc>
          <w:tcPr>
            <w:tcW w:w="567" w:type="dxa"/>
            <w:vMerge w:val="continue"/>
            <w:vAlign w:val="center"/>
          </w:tcPr>
          <w:p w14:paraId="3ACDD339">
            <w:pPr>
              <w:pStyle w:val="276"/>
              <w:rPr>
                <w:color w:val="auto"/>
              </w:rPr>
            </w:pPr>
          </w:p>
        </w:tc>
        <w:tc>
          <w:tcPr>
            <w:tcW w:w="567" w:type="dxa"/>
            <w:vMerge w:val="continue"/>
            <w:vAlign w:val="center"/>
          </w:tcPr>
          <w:p w14:paraId="5610A729">
            <w:pPr>
              <w:pStyle w:val="276"/>
              <w:rPr>
                <w:color w:val="auto"/>
              </w:rPr>
            </w:pPr>
          </w:p>
        </w:tc>
        <w:tc>
          <w:tcPr>
            <w:tcW w:w="1250" w:type="dxa"/>
            <w:vAlign w:val="center"/>
          </w:tcPr>
          <w:p w14:paraId="32938057">
            <w:pPr>
              <w:widowControl/>
              <w:adjustRightInd/>
              <w:snapToGrid/>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色度（稀释倍数）</w:t>
            </w:r>
          </w:p>
        </w:tc>
        <w:tc>
          <w:tcPr>
            <w:tcW w:w="1356" w:type="dxa"/>
            <w:vAlign w:val="center"/>
          </w:tcPr>
          <w:p w14:paraId="6788520B">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30</w:t>
            </w:r>
          </w:p>
        </w:tc>
      </w:tr>
      <w:tr w14:paraId="149E29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jc w:val="center"/>
        </w:trPr>
        <w:tc>
          <w:tcPr>
            <w:tcW w:w="324" w:type="dxa"/>
            <w:vMerge w:val="continue"/>
            <w:vAlign w:val="center"/>
          </w:tcPr>
          <w:p w14:paraId="75F26B40">
            <w:pPr>
              <w:pStyle w:val="276"/>
              <w:rPr>
                <w:color w:val="auto"/>
              </w:rPr>
            </w:pPr>
          </w:p>
        </w:tc>
        <w:tc>
          <w:tcPr>
            <w:tcW w:w="867" w:type="dxa"/>
            <w:vMerge w:val="continue"/>
            <w:vAlign w:val="center"/>
          </w:tcPr>
          <w:p w14:paraId="7146D33A">
            <w:pPr>
              <w:pStyle w:val="276"/>
              <w:rPr>
                <w:color w:val="auto"/>
              </w:rPr>
            </w:pPr>
          </w:p>
        </w:tc>
        <w:tc>
          <w:tcPr>
            <w:tcW w:w="851" w:type="dxa"/>
            <w:vMerge w:val="continue"/>
            <w:vAlign w:val="center"/>
          </w:tcPr>
          <w:p w14:paraId="76EFF919">
            <w:pPr>
              <w:pStyle w:val="276"/>
              <w:rPr>
                <w:color w:val="auto"/>
              </w:rPr>
            </w:pPr>
          </w:p>
        </w:tc>
        <w:tc>
          <w:tcPr>
            <w:tcW w:w="850" w:type="dxa"/>
            <w:vMerge w:val="continue"/>
            <w:vAlign w:val="center"/>
          </w:tcPr>
          <w:p w14:paraId="0EB6AC06">
            <w:pPr>
              <w:pStyle w:val="276"/>
              <w:rPr>
                <w:color w:val="auto"/>
              </w:rPr>
            </w:pPr>
          </w:p>
        </w:tc>
        <w:tc>
          <w:tcPr>
            <w:tcW w:w="851" w:type="dxa"/>
            <w:vMerge w:val="continue"/>
            <w:vAlign w:val="center"/>
          </w:tcPr>
          <w:p w14:paraId="4D3DAB41">
            <w:pPr>
              <w:pStyle w:val="276"/>
              <w:rPr>
                <w:color w:val="auto"/>
              </w:rPr>
            </w:pPr>
          </w:p>
        </w:tc>
        <w:tc>
          <w:tcPr>
            <w:tcW w:w="850" w:type="dxa"/>
            <w:vMerge w:val="continue"/>
            <w:vAlign w:val="center"/>
          </w:tcPr>
          <w:p w14:paraId="07442216">
            <w:pPr>
              <w:pStyle w:val="276"/>
              <w:rPr>
                <w:color w:val="auto"/>
              </w:rPr>
            </w:pPr>
          </w:p>
        </w:tc>
        <w:tc>
          <w:tcPr>
            <w:tcW w:w="851" w:type="dxa"/>
            <w:vMerge w:val="continue"/>
            <w:vAlign w:val="center"/>
          </w:tcPr>
          <w:p w14:paraId="594CE28B">
            <w:pPr>
              <w:pStyle w:val="276"/>
              <w:rPr>
                <w:color w:val="auto"/>
              </w:rPr>
            </w:pPr>
          </w:p>
        </w:tc>
        <w:tc>
          <w:tcPr>
            <w:tcW w:w="567" w:type="dxa"/>
            <w:vMerge w:val="continue"/>
            <w:vAlign w:val="center"/>
          </w:tcPr>
          <w:p w14:paraId="355F9C2A">
            <w:pPr>
              <w:pStyle w:val="276"/>
              <w:rPr>
                <w:color w:val="auto"/>
              </w:rPr>
            </w:pPr>
          </w:p>
        </w:tc>
        <w:tc>
          <w:tcPr>
            <w:tcW w:w="567" w:type="dxa"/>
            <w:vMerge w:val="continue"/>
            <w:vAlign w:val="center"/>
          </w:tcPr>
          <w:p w14:paraId="38EF2B79">
            <w:pPr>
              <w:pStyle w:val="276"/>
              <w:rPr>
                <w:color w:val="auto"/>
              </w:rPr>
            </w:pPr>
          </w:p>
        </w:tc>
        <w:tc>
          <w:tcPr>
            <w:tcW w:w="1250" w:type="dxa"/>
            <w:vAlign w:val="center"/>
          </w:tcPr>
          <w:p w14:paraId="69799745">
            <w:pPr>
              <w:widowControl/>
              <w:adjustRightInd/>
              <w:snapToGrid/>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悬浮物</w:t>
            </w:r>
          </w:p>
        </w:tc>
        <w:tc>
          <w:tcPr>
            <w:tcW w:w="1356" w:type="dxa"/>
            <w:vAlign w:val="center"/>
          </w:tcPr>
          <w:p w14:paraId="14E411FD">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10</w:t>
            </w:r>
          </w:p>
        </w:tc>
      </w:tr>
      <w:tr w14:paraId="3F038E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jc w:val="center"/>
        </w:trPr>
        <w:tc>
          <w:tcPr>
            <w:tcW w:w="324" w:type="dxa"/>
            <w:vMerge w:val="continue"/>
            <w:vAlign w:val="center"/>
          </w:tcPr>
          <w:p w14:paraId="6A67B88F">
            <w:pPr>
              <w:pStyle w:val="276"/>
              <w:rPr>
                <w:color w:val="auto"/>
              </w:rPr>
            </w:pPr>
          </w:p>
        </w:tc>
        <w:tc>
          <w:tcPr>
            <w:tcW w:w="867" w:type="dxa"/>
            <w:vMerge w:val="continue"/>
            <w:vAlign w:val="center"/>
          </w:tcPr>
          <w:p w14:paraId="05A2F45F">
            <w:pPr>
              <w:pStyle w:val="276"/>
              <w:rPr>
                <w:color w:val="auto"/>
              </w:rPr>
            </w:pPr>
          </w:p>
        </w:tc>
        <w:tc>
          <w:tcPr>
            <w:tcW w:w="851" w:type="dxa"/>
            <w:vMerge w:val="continue"/>
            <w:vAlign w:val="center"/>
          </w:tcPr>
          <w:p w14:paraId="6EAB98F2">
            <w:pPr>
              <w:pStyle w:val="276"/>
              <w:rPr>
                <w:color w:val="auto"/>
              </w:rPr>
            </w:pPr>
          </w:p>
        </w:tc>
        <w:tc>
          <w:tcPr>
            <w:tcW w:w="850" w:type="dxa"/>
            <w:vMerge w:val="continue"/>
            <w:vAlign w:val="center"/>
          </w:tcPr>
          <w:p w14:paraId="56F068A0">
            <w:pPr>
              <w:pStyle w:val="276"/>
              <w:rPr>
                <w:color w:val="auto"/>
              </w:rPr>
            </w:pPr>
          </w:p>
        </w:tc>
        <w:tc>
          <w:tcPr>
            <w:tcW w:w="851" w:type="dxa"/>
            <w:vMerge w:val="continue"/>
            <w:vAlign w:val="center"/>
          </w:tcPr>
          <w:p w14:paraId="0B01B9E3">
            <w:pPr>
              <w:pStyle w:val="276"/>
              <w:rPr>
                <w:color w:val="auto"/>
              </w:rPr>
            </w:pPr>
          </w:p>
        </w:tc>
        <w:tc>
          <w:tcPr>
            <w:tcW w:w="850" w:type="dxa"/>
            <w:vMerge w:val="continue"/>
            <w:vAlign w:val="center"/>
          </w:tcPr>
          <w:p w14:paraId="0CD91414">
            <w:pPr>
              <w:pStyle w:val="276"/>
              <w:rPr>
                <w:color w:val="auto"/>
              </w:rPr>
            </w:pPr>
          </w:p>
        </w:tc>
        <w:tc>
          <w:tcPr>
            <w:tcW w:w="851" w:type="dxa"/>
            <w:vMerge w:val="continue"/>
            <w:vAlign w:val="center"/>
          </w:tcPr>
          <w:p w14:paraId="7E2BAE12">
            <w:pPr>
              <w:pStyle w:val="276"/>
              <w:rPr>
                <w:color w:val="auto"/>
              </w:rPr>
            </w:pPr>
          </w:p>
        </w:tc>
        <w:tc>
          <w:tcPr>
            <w:tcW w:w="567" w:type="dxa"/>
            <w:vMerge w:val="continue"/>
            <w:vAlign w:val="center"/>
          </w:tcPr>
          <w:p w14:paraId="76C35870">
            <w:pPr>
              <w:pStyle w:val="276"/>
              <w:rPr>
                <w:color w:val="auto"/>
              </w:rPr>
            </w:pPr>
          </w:p>
        </w:tc>
        <w:tc>
          <w:tcPr>
            <w:tcW w:w="567" w:type="dxa"/>
            <w:vMerge w:val="continue"/>
            <w:vAlign w:val="center"/>
          </w:tcPr>
          <w:p w14:paraId="6B316D27">
            <w:pPr>
              <w:pStyle w:val="276"/>
              <w:rPr>
                <w:color w:val="auto"/>
              </w:rPr>
            </w:pPr>
          </w:p>
        </w:tc>
        <w:tc>
          <w:tcPr>
            <w:tcW w:w="1250" w:type="dxa"/>
            <w:vAlign w:val="center"/>
          </w:tcPr>
          <w:p w14:paraId="0B368D7F">
            <w:pPr>
              <w:widowControl/>
              <w:adjustRightInd/>
              <w:snapToGrid/>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化学需氧量</w:t>
            </w:r>
          </w:p>
        </w:tc>
        <w:tc>
          <w:tcPr>
            <w:tcW w:w="1356" w:type="dxa"/>
            <w:vAlign w:val="center"/>
          </w:tcPr>
          <w:p w14:paraId="3933D9EF">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50</w:t>
            </w:r>
          </w:p>
        </w:tc>
      </w:tr>
      <w:tr w14:paraId="036487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jc w:val="center"/>
        </w:trPr>
        <w:tc>
          <w:tcPr>
            <w:tcW w:w="324" w:type="dxa"/>
            <w:vMerge w:val="continue"/>
            <w:vAlign w:val="center"/>
          </w:tcPr>
          <w:p w14:paraId="1A5074F3">
            <w:pPr>
              <w:pStyle w:val="276"/>
              <w:rPr>
                <w:color w:val="auto"/>
              </w:rPr>
            </w:pPr>
          </w:p>
        </w:tc>
        <w:tc>
          <w:tcPr>
            <w:tcW w:w="867" w:type="dxa"/>
            <w:vMerge w:val="continue"/>
            <w:vAlign w:val="center"/>
          </w:tcPr>
          <w:p w14:paraId="24C25B72">
            <w:pPr>
              <w:pStyle w:val="276"/>
              <w:rPr>
                <w:color w:val="auto"/>
              </w:rPr>
            </w:pPr>
          </w:p>
        </w:tc>
        <w:tc>
          <w:tcPr>
            <w:tcW w:w="851" w:type="dxa"/>
            <w:vMerge w:val="continue"/>
            <w:vAlign w:val="center"/>
          </w:tcPr>
          <w:p w14:paraId="08D2BDDE">
            <w:pPr>
              <w:pStyle w:val="276"/>
              <w:rPr>
                <w:color w:val="auto"/>
              </w:rPr>
            </w:pPr>
          </w:p>
        </w:tc>
        <w:tc>
          <w:tcPr>
            <w:tcW w:w="850" w:type="dxa"/>
            <w:vMerge w:val="continue"/>
            <w:vAlign w:val="center"/>
          </w:tcPr>
          <w:p w14:paraId="1C97DECD">
            <w:pPr>
              <w:pStyle w:val="276"/>
              <w:rPr>
                <w:color w:val="auto"/>
              </w:rPr>
            </w:pPr>
          </w:p>
        </w:tc>
        <w:tc>
          <w:tcPr>
            <w:tcW w:w="851" w:type="dxa"/>
            <w:vMerge w:val="continue"/>
            <w:vAlign w:val="center"/>
          </w:tcPr>
          <w:p w14:paraId="260B03F0">
            <w:pPr>
              <w:pStyle w:val="276"/>
              <w:rPr>
                <w:color w:val="auto"/>
              </w:rPr>
            </w:pPr>
          </w:p>
        </w:tc>
        <w:tc>
          <w:tcPr>
            <w:tcW w:w="850" w:type="dxa"/>
            <w:vMerge w:val="continue"/>
            <w:vAlign w:val="center"/>
          </w:tcPr>
          <w:p w14:paraId="07F91CED">
            <w:pPr>
              <w:pStyle w:val="276"/>
              <w:rPr>
                <w:color w:val="auto"/>
              </w:rPr>
            </w:pPr>
          </w:p>
        </w:tc>
        <w:tc>
          <w:tcPr>
            <w:tcW w:w="851" w:type="dxa"/>
            <w:vMerge w:val="continue"/>
            <w:vAlign w:val="center"/>
          </w:tcPr>
          <w:p w14:paraId="25BE6F8D">
            <w:pPr>
              <w:pStyle w:val="276"/>
              <w:rPr>
                <w:color w:val="auto"/>
              </w:rPr>
            </w:pPr>
          </w:p>
        </w:tc>
        <w:tc>
          <w:tcPr>
            <w:tcW w:w="567" w:type="dxa"/>
            <w:vMerge w:val="continue"/>
            <w:vAlign w:val="center"/>
          </w:tcPr>
          <w:p w14:paraId="659FA957">
            <w:pPr>
              <w:pStyle w:val="276"/>
              <w:rPr>
                <w:color w:val="auto"/>
              </w:rPr>
            </w:pPr>
          </w:p>
        </w:tc>
        <w:tc>
          <w:tcPr>
            <w:tcW w:w="567" w:type="dxa"/>
            <w:vMerge w:val="continue"/>
            <w:vAlign w:val="center"/>
          </w:tcPr>
          <w:p w14:paraId="7B23EAA7">
            <w:pPr>
              <w:pStyle w:val="276"/>
              <w:rPr>
                <w:color w:val="auto"/>
              </w:rPr>
            </w:pPr>
          </w:p>
        </w:tc>
        <w:tc>
          <w:tcPr>
            <w:tcW w:w="1250" w:type="dxa"/>
            <w:vAlign w:val="center"/>
          </w:tcPr>
          <w:p w14:paraId="322A2643">
            <w:pPr>
              <w:widowControl/>
              <w:adjustRightInd/>
              <w:snapToGrid/>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五日生化需氧量</w:t>
            </w:r>
          </w:p>
        </w:tc>
        <w:tc>
          <w:tcPr>
            <w:tcW w:w="1356" w:type="dxa"/>
            <w:vAlign w:val="center"/>
          </w:tcPr>
          <w:p w14:paraId="462F1166">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10</w:t>
            </w:r>
          </w:p>
        </w:tc>
      </w:tr>
      <w:tr w14:paraId="569614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jc w:val="center"/>
        </w:trPr>
        <w:tc>
          <w:tcPr>
            <w:tcW w:w="324" w:type="dxa"/>
            <w:vMerge w:val="continue"/>
            <w:vAlign w:val="center"/>
          </w:tcPr>
          <w:p w14:paraId="5F2E8F97">
            <w:pPr>
              <w:pStyle w:val="276"/>
              <w:rPr>
                <w:color w:val="auto"/>
              </w:rPr>
            </w:pPr>
          </w:p>
        </w:tc>
        <w:tc>
          <w:tcPr>
            <w:tcW w:w="867" w:type="dxa"/>
            <w:vMerge w:val="continue"/>
            <w:vAlign w:val="center"/>
          </w:tcPr>
          <w:p w14:paraId="426BAB74">
            <w:pPr>
              <w:pStyle w:val="276"/>
              <w:rPr>
                <w:color w:val="auto"/>
              </w:rPr>
            </w:pPr>
          </w:p>
        </w:tc>
        <w:tc>
          <w:tcPr>
            <w:tcW w:w="851" w:type="dxa"/>
            <w:vMerge w:val="continue"/>
            <w:vAlign w:val="center"/>
          </w:tcPr>
          <w:p w14:paraId="4D3FA39A">
            <w:pPr>
              <w:pStyle w:val="276"/>
              <w:rPr>
                <w:color w:val="auto"/>
              </w:rPr>
            </w:pPr>
          </w:p>
        </w:tc>
        <w:tc>
          <w:tcPr>
            <w:tcW w:w="850" w:type="dxa"/>
            <w:vMerge w:val="continue"/>
            <w:vAlign w:val="center"/>
          </w:tcPr>
          <w:p w14:paraId="07152FDD">
            <w:pPr>
              <w:pStyle w:val="276"/>
              <w:rPr>
                <w:color w:val="auto"/>
              </w:rPr>
            </w:pPr>
          </w:p>
        </w:tc>
        <w:tc>
          <w:tcPr>
            <w:tcW w:w="851" w:type="dxa"/>
            <w:vMerge w:val="continue"/>
            <w:vAlign w:val="center"/>
          </w:tcPr>
          <w:p w14:paraId="77DC3CBA">
            <w:pPr>
              <w:pStyle w:val="276"/>
              <w:rPr>
                <w:color w:val="auto"/>
              </w:rPr>
            </w:pPr>
          </w:p>
        </w:tc>
        <w:tc>
          <w:tcPr>
            <w:tcW w:w="850" w:type="dxa"/>
            <w:vMerge w:val="continue"/>
            <w:vAlign w:val="center"/>
          </w:tcPr>
          <w:p w14:paraId="2D284CB1">
            <w:pPr>
              <w:pStyle w:val="276"/>
              <w:rPr>
                <w:color w:val="auto"/>
              </w:rPr>
            </w:pPr>
          </w:p>
        </w:tc>
        <w:tc>
          <w:tcPr>
            <w:tcW w:w="851" w:type="dxa"/>
            <w:vMerge w:val="continue"/>
            <w:vAlign w:val="center"/>
          </w:tcPr>
          <w:p w14:paraId="79347A26">
            <w:pPr>
              <w:pStyle w:val="276"/>
              <w:rPr>
                <w:color w:val="auto"/>
              </w:rPr>
            </w:pPr>
          </w:p>
        </w:tc>
        <w:tc>
          <w:tcPr>
            <w:tcW w:w="567" w:type="dxa"/>
            <w:vMerge w:val="continue"/>
            <w:vAlign w:val="center"/>
          </w:tcPr>
          <w:p w14:paraId="164CB725">
            <w:pPr>
              <w:pStyle w:val="276"/>
              <w:rPr>
                <w:color w:val="auto"/>
              </w:rPr>
            </w:pPr>
          </w:p>
        </w:tc>
        <w:tc>
          <w:tcPr>
            <w:tcW w:w="567" w:type="dxa"/>
            <w:vMerge w:val="continue"/>
            <w:vAlign w:val="center"/>
          </w:tcPr>
          <w:p w14:paraId="2A0DD199">
            <w:pPr>
              <w:pStyle w:val="276"/>
              <w:rPr>
                <w:color w:val="auto"/>
              </w:rPr>
            </w:pPr>
          </w:p>
        </w:tc>
        <w:tc>
          <w:tcPr>
            <w:tcW w:w="1250" w:type="dxa"/>
            <w:vAlign w:val="center"/>
          </w:tcPr>
          <w:p w14:paraId="2C512B56">
            <w:pPr>
              <w:widowControl/>
              <w:adjustRightInd/>
              <w:snapToGrid/>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氨氮（以</w:t>
            </w:r>
            <w:r>
              <w:rPr>
                <w:rFonts w:hint="eastAsia"/>
                <w:color w:val="auto"/>
                <w:kern w:val="0"/>
                <w:sz w:val="21"/>
                <w:szCs w:val="21"/>
              </w:rPr>
              <w:t>N</w:t>
            </w:r>
            <w:r>
              <w:rPr>
                <w:rFonts w:hint="eastAsia" w:ascii="宋体" w:hAnsi="宋体" w:cs="宋体"/>
                <w:color w:val="auto"/>
                <w:kern w:val="0"/>
                <w:sz w:val="21"/>
                <w:szCs w:val="21"/>
              </w:rPr>
              <w:t>计）</w:t>
            </w:r>
          </w:p>
        </w:tc>
        <w:tc>
          <w:tcPr>
            <w:tcW w:w="1356" w:type="dxa"/>
            <w:vAlign w:val="center"/>
          </w:tcPr>
          <w:p w14:paraId="0899AF1E">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8</w:t>
            </w:r>
          </w:p>
        </w:tc>
      </w:tr>
      <w:tr w14:paraId="1B39CB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jc w:val="center"/>
        </w:trPr>
        <w:tc>
          <w:tcPr>
            <w:tcW w:w="324" w:type="dxa"/>
            <w:vMerge w:val="continue"/>
            <w:vAlign w:val="center"/>
          </w:tcPr>
          <w:p w14:paraId="26665B25">
            <w:pPr>
              <w:pStyle w:val="276"/>
              <w:rPr>
                <w:color w:val="auto"/>
              </w:rPr>
            </w:pPr>
          </w:p>
        </w:tc>
        <w:tc>
          <w:tcPr>
            <w:tcW w:w="867" w:type="dxa"/>
            <w:vMerge w:val="continue"/>
            <w:vAlign w:val="center"/>
          </w:tcPr>
          <w:p w14:paraId="18F951BA">
            <w:pPr>
              <w:pStyle w:val="276"/>
              <w:rPr>
                <w:color w:val="auto"/>
              </w:rPr>
            </w:pPr>
          </w:p>
        </w:tc>
        <w:tc>
          <w:tcPr>
            <w:tcW w:w="851" w:type="dxa"/>
            <w:vMerge w:val="continue"/>
            <w:vAlign w:val="center"/>
          </w:tcPr>
          <w:p w14:paraId="5B709341">
            <w:pPr>
              <w:pStyle w:val="276"/>
              <w:rPr>
                <w:color w:val="auto"/>
              </w:rPr>
            </w:pPr>
          </w:p>
        </w:tc>
        <w:tc>
          <w:tcPr>
            <w:tcW w:w="850" w:type="dxa"/>
            <w:vMerge w:val="continue"/>
            <w:vAlign w:val="center"/>
          </w:tcPr>
          <w:p w14:paraId="13A3A059">
            <w:pPr>
              <w:pStyle w:val="276"/>
              <w:rPr>
                <w:color w:val="auto"/>
              </w:rPr>
            </w:pPr>
          </w:p>
        </w:tc>
        <w:tc>
          <w:tcPr>
            <w:tcW w:w="851" w:type="dxa"/>
            <w:vMerge w:val="continue"/>
            <w:vAlign w:val="center"/>
          </w:tcPr>
          <w:p w14:paraId="552CAE4A">
            <w:pPr>
              <w:pStyle w:val="276"/>
              <w:rPr>
                <w:color w:val="auto"/>
              </w:rPr>
            </w:pPr>
          </w:p>
        </w:tc>
        <w:tc>
          <w:tcPr>
            <w:tcW w:w="850" w:type="dxa"/>
            <w:vMerge w:val="continue"/>
            <w:vAlign w:val="center"/>
          </w:tcPr>
          <w:p w14:paraId="1D138159">
            <w:pPr>
              <w:pStyle w:val="276"/>
              <w:rPr>
                <w:color w:val="auto"/>
              </w:rPr>
            </w:pPr>
          </w:p>
        </w:tc>
        <w:tc>
          <w:tcPr>
            <w:tcW w:w="851" w:type="dxa"/>
            <w:vMerge w:val="continue"/>
            <w:vAlign w:val="center"/>
          </w:tcPr>
          <w:p w14:paraId="7D56A118">
            <w:pPr>
              <w:pStyle w:val="276"/>
              <w:rPr>
                <w:color w:val="auto"/>
              </w:rPr>
            </w:pPr>
          </w:p>
        </w:tc>
        <w:tc>
          <w:tcPr>
            <w:tcW w:w="567" w:type="dxa"/>
            <w:vMerge w:val="continue"/>
            <w:vAlign w:val="center"/>
          </w:tcPr>
          <w:p w14:paraId="4F1027BD">
            <w:pPr>
              <w:pStyle w:val="276"/>
              <w:rPr>
                <w:color w:val="auto"/>
              </w:rPr>
            </w:pPr>
          </w:p>
        </w:tc>
        <w:tc>
          <w:tcPr>
            <w:tcW w:w="567" w:type="dxa"/>
            <w:vMerge w:val="continue"/>
            <w:vAlign w:val="center"/>
          </w:tcPr>
          <w:p w14:paraId="5694FE20">
            <w:pPr>
              <w:pStyle w:val="276"/>
              <w:rPr>
                <w:color w:val="auto"/>
              </w:rPr>
            </w:pPr>
          </w:p>
        </w:tc>
        <w:tc>
          <w:tcPr>
            <w:tcW w:w="1250" w:type="dxa"/>
            <w:vAlign w:val="center"/>
          </w:tcPr>
          <w:p w14:paraId="18BE001B">
            <w:pPr>
              <w:widowControl/>
              <w:adjustRightInd/>
              <w:snapToGrid/>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总氮（以</w:t>
            </w:r>
            <w:r>
              <w:rPr>
                <w:rFonts w:hint="eastAsia"/>
                <w:color w:val="auto"/>
                <w:kern w:val="0"/>
                <w:sz w:val="21"/>
                <w:szCs w:val="21"/>
              </w:rPr>
              <w:t>N</w:t>
            </w:r>
            <w:r>
              <w:rPr>
                <w:rFonts w:hint="eastAsia" w:ascii="宋体" w:hAnsi="宋体" w:cs="宋体"/>
                <w:color w:val="auto"/>
                <w:kern w:val="0"/>
                <w:sz w:val="21"/>
                <w:szCs w:val="21"/>
              </w:rPr>
              <w:t>计）</w:t>
            </w:r>
          </w:p>
        </w:tc>
        <w:tc>
          <w:tcPr>
            <w:tcW w:w="1356" w:type="dxa"/>
            <w:vAlign w:val="center"/>
          </w:tcPr>
          <w:p w14:paraId="5BF51C4C">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15</w:t>
            </w:r>
          </w:p>
        </w:tc>
      </w:tr>
      <w:tr w14:paraId="3FF51B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jc w:val="center"/>
        </w:trPr>
        <w:tc>
          <w:tcPr>
            <w:tcW w:w="324" w:type="dxa"/>
            <w:vMerge w:val="continue"/>
            <w:vAlign w:val="center"/>
          </w:tcPr>
          <w:p w14:paraId="015F0EC2">
            <w:pPr>
              <w:pStyle w:val="276"/>
              <w:rPr>
                <w:color w:val="auto"/>
              </w:rPr>
            </w:pPr>
          </w:p>
        </w:tc>
        <w:tc>
          <w:tcPr>
            <w:tcW w:w="867" w:type="dxa"/>
            <w:vMerge w:val="continue"/>
            <w:vAlign w:val="center"/>
          </w:tcPr>
          <w:p w14:paraId="0A6E4704">
            <w:pPr>
              <w:pStyle w:val="276"/>
              <w:rPr>
                <w:color w:val="auto"/>
              </w:rPr>
            </w:pPr>
          </w:p>
        </w:tc>
        <w:tc>
          <w:tcPr>
            <w:tcW w:w="851" w:type="dxa"/>
            <w:vMerge w:val="continue"/>
            <w:vAlign w:val="center"/>
          </w:tcPr>
          <w:p w14:paraId="64B43FC5">
            <w:pPr>
              <w:pStyle w:val="276"/>
              <w:rPr>
                <w:color w:val="auto"/>
              </w:rPr>
            </w:pPr>
          </w:p>
        </w:tc>
        <w:tc>
          <w:tcPr>
            <w:tcW w:w="850" w:type="dxa"/>
            <w:vMerge w:val="continue"/>
            <w:vAlign w:val="center"/>
          </w:tcPr>
          <w:p w14:paraId="177B7001">
            <w:pPr>
              <w:pStyle w:val="276"/>
              <w:rPr>
                <w:color w:val="auto"/>
              </w:rPr>
            </w:pPr>
          </w:p>
        </w:tc>
        <w:tc>
          <w:tcPr>
            <w:tcW w:w="851" w:type="dxa"/>
            <w:vMerge w:val="continue"/>
            <w:vAlign w:val="center"/>
          </w:tcPr>
          <w:p w14:paraId="0F347A9A">
            <w:pPr>
              <w:pStyle w:val="276"/>
              <w:rPr>
                <w:color w:val="auto"/>
              </w:rPr>
            </w:pPr>
          </w:p>
        </w:tc>
        <w:tc>
          <w:tcPr>
            <w:tcW w:w="850" w:type="dxa"/>
            <w:vMerge w:val="continue"/>
            <w:vAlign w:val="center"/>
          </w:tcPr>
          <w:p w14:paraId="18333A18">
            <w:pPr>
              <w:pStyle w:val="276"/>
              <w:rPr>
                <w:color w:val="auto"/>
              </w:rPr>
            </w:pPr>
          </w:p>
        </w:tc>
        <w:tc>
          <w:tcPr>
            <w:tcW w:w="851" w:type="dxa"/>
            <w:vMerge w:val="continue"/>
            <w:vAlign w:val="center"/>
          </w:tcPr>
          <w:p w14:paraId="0EF8B1AD">
            <w:pPr>
              <w:pStyle w:val="276"/>
              <w:rPr>
                <w:color w:val="auto"/>
              </w:rPr>
            </w:pPr>
          </w:p>
        </w:tc>
        <w:tc>
          <w:tcPr>
            <w:tcW w:w="567" w:type="dxa"/>
            <w:vMerge w:val="continue"/>
            <w:vAlign w:val="center"/>
          </w:tcPr>
          <w:p w14:paraId="3BE8768E">
            <w:pPr>
              <w:pStyle w:val="276"/>
              <w:rPr>
                <w:color w:val="auto"/>
              </w:rPr>
            </w:pPr>
          </w:p>
        </w:tc>
        <w:tc>
          <w:tcPr>
            <w:tcW w:w="567" w:type="dxa"/>
            <w:vMerge w:val="continue"/>
            <w:vAlign w:val="center"/>
          </w:tcPr>
          <w:p w14:paraId="512EFB2E">
            <w:pPr>
              <w:pStyle w:val="276"/>
              <w:rPr>
                <w:color w:val="auto"/>
              </w:rPr>
            </w:pPr>
          </w:p>
        </w:tc>
        <w:tc>
          <w:tcPr>
            <w:tcW w:w="1250" w:type="dxa"/>
            <w:vAlign w:val="center"/>
          </w:tcPr>
          <w:p w14:paraId="4B570B25">
            <w:pPr>
              <w:widowControl/>
              <w:adjustRightInd/>
              <w:snapToGrid/>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总磷（以</w:t>
            </w:r>
            <w:r>
              <w:rPr>
                <w:rFonts w:hint="eastAsia"/>
                <w:color w:val="auto"/>
                <w:kern w:val="0"/>
                <w:sz w:val="21"/>
                <w:szCs w:val="21"/>
              </w:rPr>
              <w:t>P</w:t>
            </w:r>
            <w:r>
              <w:rPr>
                <w:rFonts w:hint="eastAsia" w:ascii="宋体" w:hAnsi="宋体" w:cs="宋体"/>
                <w:color w:val="auto"/>
                <w:kern w:val="0"/>
                <w:sz w:val="21"/>
                <w:szCs w:val="21"/>
              </w:rPr>
              <w:t>计）</w:t>
            </w:r>
          </w:p>
        </w:tc>
        <w:tc>
          <w:tcPr>
            <w:tcW w:w="1356" w:type="dxa"/>
            <w:vAlign w:val="center"/>
          </w:tcPr>
          <w:p w14:paraId="746A6F1F">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0.5</w:t>
            </w:r>
          </w:p>
        </w:tc>
      </w:tr>
      <w:tr w14:paraId="07E282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jc w:val="center"/>
        </w:trPr>
        <w:tc>
          <w:tcPr>
            <w:tcW w:w="324" w:type="dxa"/>
            <w:vMerge w:val="continue"/>
            <w:vAlign w:val="center"/>
          </w:tcPr>
          <w:p w14:paraId="44508FD9">
            <w:pPr>
              <w:pStyle w:val="276"/>
              <w:rPr>
                <w:color w:val="auto"/>
              </w:rPr>
            </w:pPr>
          </w:p>
        </w:tc>
        <w:tc>
          <w:tcPr>
            <w:tcW w:w="867" w:type="dxa"/>
            <w:vMerge w:val="continue"/>
            <w:vAlign w:val="center"/>
          </w:tcPr>
          <w:p w14:paraId="3BA945F3">
            <w:pPr>
              <w:pStyle w:val="276"/>
              <w:rPr>
                <w:color w:val="auto"/>
              </w:rPr>
            </w:pPr>
          </w:p>
        </w:tc>
        <w:tc>
          <w:tcPr>
            <w:tcW w:w="851" w:type="dxa"/>
            <w:vMerge w:val="continue"/>
            <w:vAlign w:val="center"/>
          </w:tcPr>
          <w:p w14:paraId="3B120A19">
            <w:pPr>
              <w:pStyle w:val="276"/>
              <w:rPr>
                <w:color w:val="auto"/>
              </w:rPr>
            </w:pPr>
          </w:p>
        </w:tc>
        <w:tc>
          <w:tcPr>
            <w:tcW w:w="850" w:type="dxa"/>
            <w:vMerge w:val="continue"/>
            <w:vAlign w:val="center"/>
          </w:tcPr>
          <w:p w14:paraId="26CBD252">
            <w:pPr>
              <w:pStyle w:val="276"/>
              <w:rPr>
                <w:color w:val="auto"/>
              </w:rPr>
            </w:pPr>
          </w:p>
        </w:tc>
        <w:tc>
          <w:tcPr>
            <w:tcW w:w="851" w:type="dxa"/>
            <w:vMerge w:val="continue"/>
            <w:vAlign w:val="center"/>
          </w:tcPr>
          <w:p w14:paraId="0BEF7D6E">
            <w:pPr>
              <w:pStyle w:val="276"/>
              <w:rPr>
                <w:color w:val="auto"/>
              </w:rPr>
            </w:pPr>
          </w:p>
        </w:tc>
        <w:tc>
          <w:tcPr>
            <w:tcW w:w="850" w:type="dxa"/>
            <w:vMerge w:val="continue"/>
            <w:vAlign w:val="center"/>
          </w:tcPr>
          <w:p w14:paraId="20AF625F">
            <w:pPr>
              <w:pStyle w:val="276"/>
              <w:rPr>
                <w:color w:val="auto"/>
              </w:rPr>
            </w:pPr>
          </w:p>
        </w:tc>
        <w:tc>
          <w:tcPr>
            <w:tcW w:w="851" w:type="dxa"/>
            <w:vMerge w:val="continue"/>
            <w:vAlign w:val="center"/>
          </w:tcPr>
          <w:p w14:paraId="6AC78BA8">
            <w:pPr>
              <w:pStyle w:val="276"/>
              <w:rPr>
                <w:color w:val="auto"/>
              </w:rPr>
            </w:pPr>
          </w:p>
        </w:tc>
        <w:tc>
          <w:tcPr>
            <w:tcW w:w="567" w:type="dxa"/>
            <w:vMerge w:val="continue"/>
            <w:vAlign w:val="center"/>
          </w:tcPr>
          <w:p w14:paraId="0D17F2CA">
            <w:pPr>
              <w:pStyle w:val="276"/>
              <w:rPr>
                <w:color w:val="auto"/>
              </w:rPr>
            </w:pPr>
          </w:p>
        </w:tc>
        <w:tc>
          <w:tcPr>
            <w:tcW w:w="567" w:type="dxa"/>
            <w:vMerge w:val="continue"/>
            <w:vAlign w:val="center"/>
          </w:tcPr>
          <w:p w14:paraId="69B23F54">
            <w:pPr>
              <w:pStyle w:val="276"/>
              <w:rPr>
                <w:color w:val="auto"/>
              </w:rPr>
            </w:pPr>
          </w:p>
        </w:tc>
        <w:tc>
          <w:tcPr>
            <w:tcW w:w="1250" w:type="dxa"/>
            <w:vAlign w:val="center"/>
          </w:tcPr>
          <w:p w14:paraId="39BFC786">
            <w:pPr>
              <w:widowControl/>
              <w:adjustRightInd/>
              <w:snapToGrid/>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总有机碳</w:t>
            </w:r>
          </w:p>
        </w:tc>
        <w:tc>
          <w:tcPr>
            <w:tcW w:w="1356" w:type="dxa"/>
            <w:vAlign w:val="center"/>
          </w:tcPr>
          <w:p w14:paraId="3B98B04D">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w:t>
            </w:r>
          </w:p>
        </w:tc>
      </w:tr>
      <w:tr w14:paraId="34948D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jc w:val="center"/>
        </w:trPr>
        <w:tc>
          <w:tcPr>
            <w:tcW w:w="324" w:type="dxa"/>
            <w:vMerge w:val="continue"/>
            <w:vAlign w:val="center"/>
          </w:tcPr>
          <w:p w14:paraId="78965E60">
            <w:pPr>
              <w:pStyle w:val="276"/>
              <w:rPr>
                <w:color w:val="auto"/>
              </w:rPr>
            </w:pPr>
          </w:p>
        </w:tc>
        <w:tc>
          <w:tcPr>
            <w:tcW w:w="867" w:type="dxa"/>
            <w:vMerge w:val="continue"/>
            <w:vAlign w:val="center"/>
          </w:tcPr>
          <w:p w14:paraId="73A20224">
            <w:pPr>
              <w:pStyle w:val="276"/>
              <w:rPr>
                <w:color w:val="auto"/>
              </w:rPr>
            </w:pPr>
          </w:p>
        </w:tc>
        <w:tc>
          <w:tcPr>
            <w:tcW w:w="851" w:type="dxa"/>
            <w:vMerge w:val="continue"/>
            <w:vAlign w:val="center"/>
          </w:tcPr>
          <w:p w14:paraId="31864E55">
            <w:pPr>
              <w:pStyle w:val="276"/>
              <w:rPr>
                <w:color w:val="auto"/>
              </w:rPr>
            </w:pPr>
          </w:p>
        </w:tc>
        <w:tc>
          <w:tcPr>
            <w:tcW w:w="850" w:type="dxa"/>
            <w:vMerge w:val="continue"/>
            <w:vAlign w:val="center"/>
          </w:tcPr>
          <w:p w14:paraId="062988A1">
            <w:pPr>
              <w:pStyle w:val="276"/>
              <w:rPr>
                <w:color w:val="auto"/>
              </w:rPr>
            </w:pPr>
          </w:p>
        </w:tc>
        <w:tc>
          <w:tcPr>
            <w:tcW w:w="851" w:type="dxa"/>
            <w:vMerge w:val="continue"/>
            <w:vAlign w:val="center"/>
          </w:tcPr>
          <w:p w14:paraId="3079B8EE">
            <w:pPr>
              <w:pStyle w:val="276"/>
              <w:rPr>
                <w:color w:val="auto"/>
              </w:rPr>
            </w:pPr>
          </w:p>
        </w:tc>
        <w:tc>
          <w:tcPr>
            <w:tcW w:w="850" w:type="dxa"/>
            <w:vMerge w:val="continue"/>
            <w:vAlign w:val="center"/>
          </w:tcPr>
          <w:p w14:paraId="0843B5E1">
            <w:pPr>
              <w:pStyle w:val="276"/>
              <w:rPr>
                <w:color w:val="auto"/>
              </w:rPr>
            </w:pPr>
          </w:p>
        </w:tc>
        <w:tc>
          <w:tcPr>
            <w:tcW w:w="851" w:type="dxa"/>
            <w:vMerge w:val="continue"/>
            <w:vAlign w:val="center"/>
          </w:tcPr>
          <w:p w14:paraId="1C086362">
            <w:pPr>
              <w:pStyle w:val="276"/>
              <w:rPr>
                <w:color w:val="auto"/>
              </w:rPr>
            </w:pPr>
          </w:p>
        </w:tc>
        <w:tc>
          <w:tcPr>
            <w:tcW w:w="567" w:type="dxa"/>
            <w:vMerge w:val="continue"/>
            <w:vAlign w:val="center"/>
          </w:tcPr>
          <w:p w14:paraId="1BF8EC4A">
            <w:pPr>
              <w:pStyle w:val="276"/>
              <w:rPr>
                <w:color w:val="auto"/>
              </w:rPr>
            </w:pPr>
          </w:p>
        </w:tc>
        <w:tc>
          <w:tcPr>
            <w:tcW w:w="567" w:type="dxa"/>
            <w:vMerge w:val="continue"/>
            <w:vAlign w:val="center"/>
          </w:tcPr>
          <w:p w14:paraId="0C6ECA36">
            <w:pPr>
              <w:pStyle w:val="276"/>
              <w:rPr>
                <w:color w:val="auto"/>
              </w:rPr>
            </w:pPr>
          </w:p>
        </w:tc>
        <w:tc>
          <w:tcPr>
            <w:tcW w:w="1250" w:type="dxa"/>
            <w:vAlign w:val="center"/>
          </w:tcPr>
          <w:p w14:paraId="4DF8E663">
            <w:pPr>
              <w:widowControl/>
              <w:adjustRightInd/>
              <w:snapToGrid/>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石油类</w:t>
            </w:r>
          </w:p>
        </w:tc>
        <w:tc>
          <w:tcPr>
            <w:tcW w:w="1356" w:type="dxa"/>
            <w:vAlign w:val="center"/>
          </w:tcPr>
          <w:p w14:paraId="7ED3A2E0">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1</w:t>
            </w:r>
          </w:p>
        </w:tc>
      </w:tr>
      <w:tr w14:paraId="3E7D7F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jc w:val="center"/>
        </w:trPr>
        <w:tc>
          <w:tcPr>
            <w:tcW w:w="324" w:type="dxa"/>
            <w:vMerge w:val="continue"/>
            <w:vAlign w:val="center"/>
          </w:tcPr>
          <w:p w14:paraId="686AFB38">
            <w:pPr>
              <w:pStyle w:val="276"/>
              <w:rPr>
                <w:color w:val="auto"/>
              </w:rPr>
            </w:pPr>
          </w:p>
        </w:tc>
        <w:tc>
          <w:tcPr>
            <w:tcW w:w="867" w:type="dxa"/>
            <w:vMerge w:val="continue"/>
            <w:vAlign w:val="center"/>
          </w:tcPr>
          <w:p w14:paraId="3075E462">
            <w:pPr>
              <w:pStyle w:val="276"/>
              <w:rPr>
                <w:color w:val="auto"/>
              </w:rPr>
            </w:pPr>
          </w:p>
        </w:tc>
        <w:tc>
          <w:tcPr>
            <w:tcW w:w="851" w:type="dxa"/>
            <w:vMerge w:val="continue"/>
            <w:vAlign w:val="center"/>
          </w:tcPr>
          <w:p w14:paraId="41ED20F5">
            <w:pPr>
              <w:pStyle w:val="276"/>
              <w:rPr>
                <w:color w:val="auto"/>
              </w:rPr>
            </w:pPr>
          </w:p>
        </w:tc>
        <w:tc>
          <w:tcPr>
            <w:tcW w:w="850" w:type="dxa"/>
            <w:vMerge w:val="continue"/>
            <w:vAlign w:val="center"/>
          </w:tcPr>
          <w:p w14:paraId="3C2FB24C">
            <w:pPr>
              <w:pStyle w:val="276"/>
              <w:rPr>
                <w:color w:val="auto"/>
              </w:rPr>
            </w:pPr>
          </w:p>
        </w:tc>
        <w:tc>
          <w:tcPr>
            <w:tcW w:w="851" w:type="dxa"/>
            <w:vMerge w:val="continue"/>
            <w:vAlign w:val="center"/>
          </w:tcPr>
          <w:p w14:paraId="57193965">
            <w:pPr>
              <w:pStyle w:val="276"/>
              <w:rPr>
                <w:color w:val="auto"/>
              </w:rPr>
            </w:pPr>
          </w:p>
        </w:tc>
        <w:tc>
          <w:tcPr>
            <w:tcW w:w="850" w:type="dxa"/>
            <w:vMerge w:val="continue"/>
            <w:vAlign w:val="center"/>
          </w:tcPr>
          <w:p w14:paraId="07FAFB86">
            <w:pPr>
              <w:pStyle w:val="276"/>
              <w:rPr>
                <w:color w:val="auto"/>
              </w:rPr>
            </w:pPr>
          </w:p>
        </w:tc>
        <w:tc>
          <w:tcPr>
            <w:tcW w:w="851" w:type="dxa"/>
            <w:vMerge w:val="continue"/>
            <w:vAlign w:val="center"/>
          </w:tcPr>
          <w:p w14:paraId="13A22473">
            <w:pPr>
              <w:pStyle w:val="276"/>
              <w:rPr>
                <w:color w:val="auto"/>
              </w:rPr>
            </w:pPr>
          </w:p>
        </w:tc>
        <w:tc>
          <w:tcPr>
            <w:tcW w:w="567" w:type="dxa"/>
            <w:vMerge w:val="continue"/>
            <w:vAlign w:val="center"/>
          </w:tcPr>
          <w:p w14:paraId="7BFC55FC">
            <w:pPr>
              <w:pStyle w:val="276"/>
              <w:rPr>
                <w:color w:val="auto"/>
              </w:rPr>
            </w:pPr>
          </w:p>
        </w:tc>
        <w:tc>
          <w:tcPr>
            <w:tcW w:w="567" w:type="dxa"/>
            <w:vMerge w:val="continue"/>
            <w:vAlign w:val="center"/>
          </w:tcPr>
          <w:p w14:paraId="408B3604">
            <w:pPr>
              <w:pStyle w:val="276"/>
              <w:rPr>
                <w:color w:val="auto"/>
              </w:rPr>
            </w:pPr>
          </w:p>
        </w:tc>
        <w:tc>
          <w:tcPr>
            <w:tcW w:w="1250" w:type="dxa"/>
            <w:vAlign w:val="center"/>
          </w:tcPr>
          <w:p w14:paraId="2212FF46">
            <w:pPr>
              <w:widowControl/>
              <w:adjustRightInd/>
              <w:snapToGrid/>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硫化物</w:t>
            </w:r>
          </w:p>
        </w:tc>
        <w:tc>
          <w:tcPr>
            <w:tcW w:w="1356" w:type="dxa"/>
            <w:vAlign w:val="center"/>
          </w:tcPr>
          <w:p w14:paraId="60824DF8">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1</w:t>
            </w:r>
          </w:p>
        </w:tc>
      </w:tr>
      <w:tr w14:paraId="65948A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jc w:val="center"/>
        </w:trPr>
        <w:tc>
          <w:tcPr>
            <w:tcW w:w="324" w:type="dxa"/>
            <w:vMerge w:val="continue"/>
            <w:vAlign w:val="center"/>
          </w:tcPr>
          <w:p w14:paraId="469422AE">
            <w:pPr>
              <w:pStyle w:val="276"/>
              <w:rPr>
                <w:color w:val="auto"/>
              </w:rPr>
            </w:pPr>
          </w:p>
        </w:tc>
        <w:tc>
          <w:tcPr>
            <w:tcW w:w="867" w:type="dxa"/>
            <w:vMerge w:val="continue"/>
            <w:vAlign w:val="center"/>
          </w:tcPr>
          <w:p w14:paraId="24CC02CD">
            <w:pPr>
              <w:pStyle w:val="276"/>
              <w:rPr>
                <w:color w:val="auto"/>
              </w:rPr>
            </w:pPr>
          </w:p>
        </w:tc>
        <w:tc>
          <w:tcPr>
            <w:tcW w:w="851" w:type="dxa"/>
            <w:vMerge w:val="continue"/>
            <w:vAlign w:val="center"/>
          </w:tcPr>
          <w:p w14:paraId="41FDC06E">
            <w:pPr>
              <w:pStyle w:val="276"/>
              <w:rPr>
                <w:color w:val="auto"/>
              </w:rPr>
            </w:pPr>
          </w:p>
        </w:tc>
        <w:tc>
          <w:tcPr>
            <w:tcW w:w="850" w:type="dxa"/>
            <w:vMerge w:val="continue"/>
            <w:vAlign w:val="center"/>
          </w:tcPr>
          <w:p w14:paraId="39F7E8EA">
            <w:pPr>
              <w:pStyle w:val="276"/>
              <w:rPr>
                <w:color w:val="auto"/>
              </w:rPr>
            </w:pPr>
          </w:p>
        </w:tc>
        <w:tc>
          <w:tcPr>
            <w:tcW w:w="851" w:type="dxa"/>
            <w:vMerge w:val="continue"/>
            <w:vAlign w:val="center"/>
          </w:tcPr>
          <w:p w14:paraId="20E7C1F4">
            <w:pPr>
              <w:pStyle w:val="276"/>
              <w:rPr>
                <w:color w:val="auto"/>
              </w:rPr>
            </w:pPr>
          </w:p>
        </w:tc>
        <w:tc>
          <w:tcPr>
            <w:tcW w:w="850" w:type="dxa"/>
            <w:vMerge w:val="continue"/>
            <w:vAlign w:val="center"/>
          </w:tcPr>
          <w:p w14:paraId="229000BC">
            <w:pPr>
              <w:pStyle w:val="276"/>
              <w:rPr>
                <w:color w:val="auto"/>
              </w:rPr>
            </w:pPr>
          </w:p>
        </w:tc>
        <w:tc>
          <w:tcPr>
            <w:tcW w:w="851" w:type="dxa"/>
            <w:vMerge w:val="continue"/>
            <w:vAlign w:val="center"/>
          </w:tcPr>
          <w:p w14:paraId="4CA874BC">
            <w:pPr>
              <w:pStyle w:val="276"/>
              <w:rPr>
                <w:color w:val="auto"/>
              </w:rPr>
            </w:pPr>
          </w:p>
        </w:tc>
        <w:tc>
          <w:tcPr>
            <w:tcW w:w="567" w:type="dxa"/>
            <w:vMerge w:val="continue"/>
            <w:vAlign w:val="center"/>
          </w:tcPr>
          <w:p w14:paraId="11B9A887">
            <w:pPr>
              <w:pStyle w:val="276"/>
              <w:rPr>
                <w:color w:val="auto"/>
              </w:rPr>
            </w:pPr>
          </w:p>
        </w:tc>
        <w:tc>
          <w:tcPr>
            <w:tcW w:w="567" w:type="dxa"/>
            <w:vMerge w:val="continue"/>
            <w:vAlign w:val="center"/>
          </w:tcPr>
          <w:p w14:paraId="1FBD4F2B">
            <w:pPr>
              <w:pStyle w:val="276"/>
              <w:rPr>
                <w:color w:val="auto"/>
              </w:rPr>
            </w:pPr>
          </w:p>
        </w:tc>
        <w:tc>
          <w:tcPr>
            <w:tcW w:w="1250" w:type="dxa"/>
            <w:vAlign w:val="center"/>
          </w:tcPr>
          <w:p w14:paraId="615B5C55">
            <w:pPr>
              <w:widowControl/>
              <w:adjustRightInd/>
              <w:snapToGrid/>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氟化物</w:t>
            </w:r>
          </w:p>
        </w:tc>
        <w:tc>
          <w:tcPr>
            <w:tcW w:w="1356" w:type="dxa"/>
            <w:vAlign w:val="center"/>
          </w:tcPr>
          <w:p w14:paraId="1FAC95EB">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w:t>
            </w:r>
          </w:p>
        </w:tc>
      </w:tr>
      <w:tr w14:paraId="573511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jc w:val="center"/>
        </w:trPr>
        <w:tc>
          <w:tcPr>
            <w:tcW w:w="324" w:type="dxa"/>
            <w:vMerge w:val="continue"/>
            <w:vAlign w:val="center"/>
          </w:tcPr>
          <w:p w14:paraId="27B7832F">
            <w:pPr>
              <w:pStyle w:val="276"/>
              <w:rPr>
                <w:color w:val="auto"/>
              </w:rPr>
            </w:pPr>
          </w:p>
        </w:tc>
        <w:tc>
          <w:tcPr>
            <w:tcW w:w="867" w:type="dxa"/>
            <w:vMerge w:val="continue"/>
            <w:vAlign w:val="center"/>
          </w:tcPr>
          <w:p w14:paraId="17EFB614">
            <w:pPr>
              <w:pStyle w:val="276"/>
              <w:rPr>
                <w:color w:val="auto"/>
              </w:rPr>
            </w:pPr>
          </w:p>
        </w:tc>
        <w:tc>
          <w:tcPr>
            <w:tcW w:w="851" w:type="dxa"/>
            <w:vMerge w:val="continue"/>
            <w:vAlign w:val="center"/>
          </w:tcPr>
          <w:p w14:paraId="0235EBD1">
            <w:pPr>
              <w:pStyle w:val="276"/>
              <w:rPr>
                <w:color w:val="auto"/>
              </w:rPr>
            </w:pPr>
          </w:p>
        </w:tc>
        <w:tc>
          <w:tcPr>
            <w:tcW w:w="850" w:type="dxa"/>
            <w:vMerge w:val="continue"/>
            <w:vAlign w:val="center"/>
          </w:tcPr>
          <w:p w14:paraId="704E4120">
            <w:pPr>
              <w:pStyle w:val="276"/>
              <w:rPr>
                <w:color w:val="auto"/>
              </w:rPr>
            </w:pPr>
          </w:p>
        </w:tc>
        <w:tc>
          <w:tcPr>
            <w:tcW w:w="851" w:type="dxa"/>
            <w:vMerge w:val="continue"/>
            <w:vAlign w:val="center"/>
          </w:tcPr>
          <w:p w14:paraId="1E13C57E">
            <w:pPr>
              <w:pStyle w:val="276"/>
              <w:rPr>
                <w:color w:val="auto"/>
              </w:rPr>
            </w:pPr>
          </w:p>
        </w:tc>
        <w:tc>
          <w:tcPr>
            <w:tcW w:w="850" w:type="dxa"/>
            <w:vMerge w:val="continue"/>
            <w:vAlign w:val="center"/>
          </w:tcPr>
          <w:p w14:paraId="119C5BA8">
            <w:pPr>
              <w:pStyle w:val="276"/>
              <w:rPr>
                <w:color w:val="auto"/>
              </w:rPr>
            </w:pPr>
          </w:p>
        </w:tc>
        <w:tc>
          <w:tcPr>
            <w:tcW w:w="851" w:type="dxa"/>
            <w:vMerge w:val="continue"/>
            <w:vAlign w:val="center"/>
          </w:tcPr>
          <w:p w14:paraId="2281CA52">
            <w:pPr>
              <w:pStyle w:val="276"/>
              <w:rPr>
                <w:color w:val="auto"/>
              </w:rPr>
            </w:pPr>
          </w:p>
        </w:tc>
        <w:tc>
          <w:tcPr>
            <w:tcW w:w="567" w:type="dxa"/>
            <w:vMerge w:val="continue"/>
            <w:vAlign w:val="center"/>
          </w:tcPr>
          <w:p w14:paraId="75BA22B5">
            <w:pPr>
              <w:pStyle w:val="276"/>
              <w:rPr>
                <w:color w:val="auto"/>
              </w:rPr>
            </w:pPr>
          </w:p>
        </w:tc>
        <w:tc>
          <w:tcPr>
            <w:tcW w:w="567" w:type="dxa"/>
            <w:vMerge w:val="continue"/>
            <w:vAlign w:val="center"/>
          </w:tcPr>
          <w:p w14:paraId="36B9776E">
            <w:pPr>
              <w:pStyle w:val="276"/>
              <w:rPr>
                <w:color w:val="auto"/>
              </w:rPr>
            </w:pPr>
          </w:p>
        </w:tc>
        <w:tc>
          <w:tcPr>
            <w:tcW w:w="1250" w:type="dxa"/>
            <w:vAlign w:val="center"/>
          </w:tcPr>
          <w:p w14:paraId="4FE1EE43">
            <w:pPr>
              <w:widowControl/>
              <w:adjustRightInd/>
              <w:snapToGrid/>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氯化物（以</w:t>
            </w:r>
            <w:r>
              <w:rPr>
                <w:rFonts w:hint="eastAsia"/>
                <w:color w:val="auto"/>
                <w:kern w:val="0"/>
                <w:sz w:val="21"/>
                <w:szCs w:val="21"/>
              </w:rPr>
              <w:t>Cl</w:t>
            </w:r>
            <w:r>
              <w:rPr>
                <w:rFonts w:hint="eastAsia" w:ascii="宋体" w:hAnsi="宋体" w:cs="宋体"/>
                <w:color w:val="auto"/>
                <w:kern w:val="0"/>
                <w:sz w:val="21"/>
                <w:szCs w:val="21"/>
              </w:rPr>
              <w:t>计）</w:t>
            </w:r>
          </w:p>
        </w:tc>
        <w:tc>
          <w:tcPr>
            <w:tcW w:w="1356" w:type="dxa"/>
            <w:vAlign w:val="center"/>
          </w:tcPr>
          <w:p w14:paraId="0B5DFB39">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w:t>
            </w:r>
          </w:p>
        </w:tc>
      </w:tr>
      <w:tr w14:paraId="651486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jc w:val="center"/>
        </w:trPr>
        <w:tc>
          <w:tcPr>
            <w:tcW w:w="324" w:type="dxa"/>
            <w:vMerge w:val="continue"/>
            <w:vAlign w:val="center"/>
          </w:tcPr>
          <w:p w14:paraId="45AC7C0E">
            <w:pPr>
              <w:pStyle w:val="276"/>
              <w:rPr>
                <w:color w:val="auto"/>
              </w:rPr>
            </w:pPr>
          </w:p>
        </w:tc>
        <w:tc>
          <w:tcPr>
            <w:tcW w:w="867" w:type="dxa"/>
            <w:vMerge w:val="continue"/>
            <w:vAlign w:val="center"/>
          </w:tcPr>
          <w:p w14:paraId="41C26A64">
            <w:pPr>
              <w:pStyle w:val="276"/>
              <w:rPr>
                <w:color w:val="auto"/>
              </w:rPr>
            </w:pPr>
          </w:p>
        </w:tc>
        <w:tc>
          <w:tcPr>
            <w:tcW w:w="851" w:type="dxa"/>
            <w:vMerge w:val="continue"/>
            <w:vAlign w:val="center"/>
          </w:tcPr>
          <w:p w14:paraId="025EA7F8">
            <w:pPr>
              <w:pStyle w:val="276"/>
              <w:rPr>
                <w:color w:val="auto"/>
              </w:rPr>
            </w:pPr>
          </w:p>
        </w:tc>
        <w:tc>
          <w:tcPr>
            <w:tcW w:w="850" w:type="dxa"/>
            <w:vMerge w:val="continue"/>
            <w:vAlign w:val="center"/>
          </w:tcPr>
          <w:p w14:paraId="0C8517E1">
            <w:pPr>
              <w:pStyle w:val="276"/>
              <w:rPr>
                <w:color w:val="auto"/>
              </w:rPr>
            </w:pPr>
          </w:p>
        </w:tc>
        <w:tc>
          <w:tcPr>
            <w:tcW w:w="851" w:type="dxa"/>
            <w:vMerge w:val="continue"/>
            <w:vAlign w:val="center"/>
          </w:tcPr>
          <w:p w14:paraId="7FEADD47">
            <w:pPr>
              <w:pStyle w:val="276"/>
              <w:rPr>
                <w:color w:val="auto"/>
              </w:rPr>
            </w:pPr>
          </w:p>
        </w:tc>
        <w:tc>
          <w:tcPr>
            <w:tcW w:w="850" w:type="dxa"/>
            <w:vMerge w:val="continue"/>
            <w:vAlign w:val="center"/>
          </w:tcPr>
          <w:p w14:paraId="7C46CAF4">
            <w:pPr>
              <w:pStyle w:val="276"/>
              <w:rPr>
                <w:color w:val="auto"/>
              </w:rPr>
            </w:pPr>
          </w:p>
        </w:tc>
        <w:tc>
          <w:tcPr>
            <w:tcW w:w="851" w:type="dxa"/>
            <w:vMerge w:val="continue"/>
            <w:vAlign w:val="center"/>
          </w:tcPr>
          <w:p w14:paraId="7983027E">
            <w:pPr>
              <w:pStyle w:val="276"/>
              <w:rPr>
                <w:color w:val="auto"/>
              </w:rPr>
            </w:pPr>
          </w:p>
        </w:tc>
        <w:tc>
          <w:tcPr>
            <w:tcW w:w="567" w:type="dxa"/>
            <w:vMerge w:val="continue"/>
            <w:vAlign w:val="center"/>
          </w:tcPr>
          <w:p w14:paraId="6DA52325">
            <w:pPr>
              <w:pStyle w:val="276"/>
              <w:rPr>
                <w:color w:val="auto"/>
              </w:rPr>
            </w:pPr>
          </w:p>
        </w:tc>
        <w:tc>
          <w:tcPr>
            <w:tcW w:w="567" w:type="dxa"/>
            <w:vMerge w:val="continue"/>
            <w:vAlign w:val="center"/>
          </w:tcPr>
          <w:p w14:paraId="02DB9F29">
            <w:pPr>
              <w:pStyle w:val="276"/>
              <w:rPr>
                <w:color w:val="auto"/>
              </w:rPr>
            </w:pPr>
          </w:p>
        </w:tc>
        <w:tc>
          <w:tcPr>
            <w:tcW w:w="1250" w:type="dxa"/>
            <w:vAlign w:val="center"/>
          </w:tcPr>
          <w:p w14:paraId="73DDBD49">
            <w:pPr>
              <w:widowControl/>
              <w:adjustRightInd/>
              <w:snapToGrid/>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溶解性总固体（</w:t>
            </w:r>
            <w:r>
              <w:rPr>
                <w:rFonts w:hint="eastAsia"/>
                <w:color w:val="auto"/>
                <w:kern w:val="0"/>
                <w:sz w:val="21"/>
                <w:szCs w:val="21"/>
              </w:rPr>
              <w:t>TDS</w:t>
            </w:r>
            <w:r>
              <w:rPr>
                <w:rFonts w:hint="eastAsia" w:ascii="宋体" w:hAnsi="宋体" w:cs="宋体"/>
                <w:color w:val="auto"/>
                <w:kern w:val="0"/>
                <w:sz w:val="21"/>
                <w:szCs w:val="21"/>
              </w:rPr>
              <w:t>）</w:t>
            </w:r>
          </w:p>
        </w:tc>
        <w:tc>
          <w:tcPr>
            <w:tcW w:w="1356" w:type="dxa"/>
            <w:vAlign w:val="center"/>
          </w:tcPr>
          <w:p w14:paraId="0BD2CF98">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w:t>
            </w:r>
          </w:p>
        </w:tc>
      </w:tr>
      <w:tr w14:paraId="04487B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jc w:val="center"/>
        </w:trPr>
        <w:tc>
          <w:tcPr>
            <w:tcW w:w="324" w:type="dxa"/>
            <w:vMerge w:val="continue"/>
            <w:vAlign w:val="center"/>
          </w:tcPr>
          <w:p w14:paraId="17B0FAA4">
            <w:pPr>
              <w:pStyle w:val="276"/>
              <w:rPr>
                <w:color w:val="auto"/>
              </w:rPr>
            </w:pPr>
          </w:p>
        </w:tc>
        <w:tc>
          <w:tcPr>
            <w:tcW w:w="867" w:type="dxa"/>
            <w:vMerge w:val="continue"/>
            <w:vAlign w:val="center"/>
          </w:tcPr>
          <w:p w14:paraId="50378F25">
            <w:pPr>
              <w:pStyle w:val="276"/>
              <w:rPr>
                <w:color w:val="auto"/>
              </w:rPr>
            </w:pPr>
          </w:p>
        </w:tc>
        <w:tc>
          <w:tcPr>
            <w:tcW w:w="851" w:type="dxa"/>
            <w:vMerge w:val="continue"/>
            <w:vAlign w:val="center"/>
          </w:tcPr>
          <w:p w14:paraId="08DADE7D">
            <w:pPr>
              <w:pStyle w:val="276"/>
              <w:rPr>
                <w:color w:val="auto"/>
              </w:rPr>
            </w:pPr>
          </w:p>
        </w:tc>
        <w:tc>
          <w:tcPr>
            <w:tcW w:w="850" w:type="dxa"/>
            <w:vMerge w:val="continue"/>
            <w:vAlign w:val="center"/>
          </w:tcPr>
          <w:p w14:paraId="65DFC515">
            <w:pPr>
              <w:pStyle w:val="276"/>
              <w:rPr>
                <w:color w:val="auto"/>
              </w:rPr>
            </w:pPr>
          </w:p>
        </w:tc>
        <w:tc>
          <w:tcPr>
            <w:tcW w:w="851" w:type="dxa"/>
            <w:vMerge w:val="continue"/>
            <w:vAlign w:val="center"/>
          </w:tcPr>
          <w:p w14:paraId="6EA13AE2">
            <w:pPr>
              <w:pStyle w:val="276"/>
              <w:rPr>
                <w:color w:val="auto"/>
              </w:rPr>
            </w:pPr>
          </w:p>
        </w:tc>
        <w:tc>
          <w:tcPr>
            <w:tcW w:w="850" w:type="dxa"/>
            <w:vMerge w:val="continue"/>
            <w:vAlign w:val="center"/>
          </w:tcPr>
          <w:p w14:paraId="31A3AD8E">
            <w:pPr>
              <w:pStyle w:val="276"/>
              <w:rPr>
                <w:color w:val="auto"/>
              </w:rPr>
            </w:pPr>
          </w:p>
        </w:tc>
        <w:tc>
          <w:tcPr>
            <w:tcW w:w="851" w:type="dxa"/>
            <w:vMerge w:val="continue"/>
            <w:vAlign w:val="center"/>
          </w:tcPr>
          <w:p w14:paraId="0A16D072">
            <w:pPr>
              <w:pStyle w:val="276"/>
              <w:rPr>
                <w:color w:val="auto"/>
              </w:rPr>
            </w:pPr>
          </w:p>
        </w:tc>
        <w:tc>
          <w:tcPr>
            <w:tcW w:w="567" w:type="dxa"/>
            <w:vMerge w:val="continue"/>
            <w:vAlign w:val="center"/>
          </w:tcPr>
          <w:p w14:paraId="55CC608D">
            <w:pPr>
              <w:pStyle w:val="276"/>
              <w:rPr>
                <w:color w:val="auto"/>
              </w:rPr>
            </w:pPr>
          </w:p>
        </w:tc>
        <w:tc>
          <w:tcPr>
            <w:tcW w:w="567" w:type="dxa"/>
            <w:vMerge w:val="continue"/>
            <w:vAlign w:val="center"/>
          </w:tcPr>
          <w:p w14:paraId="6C16F1E7">
            <w:pPr>
              <w:pStyle w:val="276"/>
              <w:rPr>
                <w:color w:val="auto"/>
              </w:rPr>
            </w:pPr>
          </w:p>
        </w:tc>
        <w:tc>
          <w:tcPr>
            <w:tcW w:w="1250" w:type="dxa"/>
            <w:vAlign w:val="center"/>
          </w:tcPr>
          <w:p w14:paraId="2A6E9744">
            <w:pPr>
              <w:widowControl/>
              <w:adjustRightInd/>
              <w:snapToGrid/>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阴离子表面活性剂</w:t>
            </w:r>
          </w:p>
        </w:tc>
        <w:tc>
          <w:tcPr>
            <w:tcW w:w="1356" w:type="dxa"/>
            <w:vAlign w:val="center"/>
          </w:tcPr>
          <w:p w14:paraId="2E29BDA1">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0.5</w:t>
            </w:r>
          </w:p>
        </w:tc>
      </w:tr>
      <w:tr w14:paraId="7C0791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jc w:val="center"/>
        </w:trPr>
        <w:tc>
          <w:tcPr>
            <w:tcW w:w="324" w:type="dxa"/>
            <w:vMerge w:val="continue"/>
            <w:vAlign w:val="center"/>
          </w:tcPr>
          <w:p w14:paraId="5798022A">
            <w:pPr>
              <w:pStyle w:val="276"/>
              <w:rPr>
                <w:color w:val="auto"/>
              </w:rPr>
            </w:pPr>
          </w:p>
        </w:tc>
        <w:tc>
          <w:tcPr>
            <w:tcW w:w="867" w:type="dxa"/>
            <w:vMerge w:val="continue"/>
            <w:vAlign w:val="center"/>
          </w:tcPr>
          <w:p w14:paraId="30B53684">
            <w:pPr>
              <w:pStyle w:val="276"/>
              <w:rPr>
                <w:color w:val="auto"/>
              </w:rPr>
            </w:pPr>
          </w:p>
        </w:tc>
        <w:tc>
          <w:tcPr>
            <w:tcW w:w="851" w:type="dxa"/>
            <w:vMerge w:val="continue"/>
            <w:vAlign w:val="center"/>
          </w:tcPr>
          <w:p w14:paraId="2FAE52DD">
            <w:pPr>
              <w:pStyle w:val="276"/>
              <w:rPr>
                <w:color w:val="auto"/>
              </w:rPr>
            </w:pPr>
          </w:p>
        </w:tc>
        <w:tc>
          <w:tcPr>
            <w:tcW w:w="850" w:type="dxa"/>
            <w:vMerge w:val="continue"/>
            <w:vAlign w:val="center"/>
          </w:tcPr>
          <w:p w14:paraId="71ECC019">
            <w:pPr>
              <w:pStyle w:val="276"/>
              <w:rPr>
                <w:color w:val="auto"/>
              </w:rPr>
            </w:pPr>
          </w:p>
        </w:tc>
        <w:tc>
          <w:tcPr>
            <w:tcW w:w="851" w:type="dxa"/>
            <w:vMerge w:val="continue"/>
            <w:vAlign w:val="center"/>
          </w:tcPr>
          <w:p w14:paraId="1D23E18D">
            <w:pPr>
              <w:pStyle w:val="276"/>
              <w:rPr>
                <w:color w:val="auto"/>
              </w:rPr>
            </w:pPr>
          </w:p>
        </w:tc>
        <w:tc>
          <w:tcPr>
            <w:tcW w:w="850" w:type="dxa"/>
            <w:vMerge w:val="continue"/>
            <w:vAlign w:val="center"/>
          </w:tcPr>
          <w:p w14:paraId="7C4D724D">
            <w:pPr>
              <w:pStyle w:val="276"/>
              <w:rPr>
                <w:color w:val="auto"/>
              </w:rPr>
            </w:pPr>
          </w:p>
        </w:tc>
        <w:tc>
          <w:tcPr>
            <w:tcW w:w="851" w:type="dxa"/>
            <w:vMerge w:val="continue"/>
            <w:vAlign w:val="center"/>
          </w:tcPr>
          <w:p w14:paraId="588E00E8">
            <w:pPr>
              <w:pStyle w:val="276"/>
              <w:rPr>
                <w:color w:val="auto"/>
              </w:rPr>
            </w:pPr>
          </w:p>
        </w:tc>
        <w:tc>
          <w:tcPr>
            <w:tcW w:w="567" w:type="dxa"/>
            <w:vMerge w:val="continue"/>
            <w:vAlign w:val="center"/>
          </w:tcPr>
          <w:p w14:paraId="2EAB798A">
            <w:pPr>
              <w:pStyle w:val="276"/>
              <w:rPr>
                <w:color w:val="auto"/>
              </w:rPr>
            </w:pPr>
          </w:p>
        </w:tc>
        <w:tc>
          <w:tcPr>
            <w:tcW w:w="567" w:type="dxa"/>
            <w:vMerge w:val="continue"/>
            <w:vAlign w:val="center"/>
          </w:tcPr>
          <w:p w14:paraId="1BBDFF70">
            <w:pPr>
              <w:pStyle w:val="276"/>
              <w:rPr>
                <w:color w:val="auto"/>
              </w:rPr>
            </w:pPr>
          </w:p>
        </w:tc>
        <w:tc>
          <w:tcPr>
            <w:tcW w:w="1250" w:type="dxa"/>
            <w:vAlign w:val="center"/>
          </w:tcPr>
          <w:p w14:paraId="1B766AD4">
            <w:pPr>
              <w:widowControl/>
              <w:adjustRightInd/>
              <w:snapToGrid/>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挥发酚</w:t>
            </w:r>
          </w:p>
        </w:tc>
        <w:tc>
          <w:tcPr>
            <w:tcW w:w="1356" w:type="dxa"/>
            <w:vAlign w:val="center"/>
          </w:tcPr>
          <w:p w14:paraId="3B0CEDC7">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0.5</w:t>
            </w:r>
          </w:p>
        </w:tc>
      </w:tr>
      <w:tr w14:paraId="6EEC70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jc w:val="center"/>
        </w:trPr>
        <w:tc>
          <w:tcPr>
            <w:tcW w:w="324" w:type="dxa"/>
            <w:vMerge w:val="continue"/>
            <w:vAlign w:val="center"/>
          </w:tcPr>
          <w:p w14:paraId="12396A37">
            <w:pPr>
              <w:pStyle w:val="276"/>
              <w:rPr>
                <w:color w:val="auto"/>
              </w:rPr>
            </w:pPr>
          </w:p>
        </w:tc>
        <w:tc>
          <w:tcPr>
            <w:tcW w:w="867" w:type="dxa"/>
            <w:vMerge w:val="continue"/>
            <w:vAlign w:val="center"/>
          </w:tcPr>
          <w:p w14:paraId="7433B301">
            <w:pPr>
              <w:pStyle w:val="276"/>
              <w:rPr>
                <w:color w:val="auto"/>
              </w:rPr>
            </w:pPr>
          </w:p>
        </w:tc>
        <w:tc>
          <w:tcPr>
            <w:tcW w:w="851" w:type="dxa"/>
            <w:vMerge w:val="continue"/>
            <w:vAlign w:val="center"/>
          </w:tcPr>
          <w:p w14:paraId="35901849">
            <w:pPr>
              <w:pStyle w:val="276"/>
              <w:rPr>
                <w:color w:val="auto"/>
              </w:rPr>
            </w:pPr>
          </w:p>
        </w:tc>
        <w:tc>
          <w:tcPr>
            <w:tcW w:w="850" w:type="dxa"/>
            <w:vMerge w:val="continue"/>
            <w:vAlign w:val="center"/>
          </w:tcPr>
          <w:p w14:paraId="47CC7EE9">
            <w:pPr>
              <w:pStyle w:val="276"/>
              <w:rPr>
                <w:color w:val="auto"/>
              </w:rPr>
            </w:pPr>
          </w:p>
        </w:tc>
        <w:tc>
          <w:tcPr>
            <w:tcW w:w="851" w:type="dxa"/>
            <w:vMerge w:val="continue"/>
            <w:vAlign w:val="center"/>
          </w:tcPr>
          <w:p w14:paraId="3074F8B6">
            <w:pPr>
              <w:pStyle w:val="276"/>
              <w:rPr>
                <w:color w:val="auto"/>
              </w:rPr>
            </w:pPr>
          </w:p>
        </w:tc>
        <w:tc>
          <w:tcPr>
            <w:tcW w:w="850" w:type="dxa"/>
            <w:vMerge w:val="continue"/>
            <w:vAlign w:val="center"/>
          </w:tcPr>
          <w:p w14:paraId="3C0B6B78">
            <w:pPr>
              <w:pStyle w:val="276"/>
              <w:rPr>
                <w:color w:val="auto"/>
              </w:rPr>
            </w:pPr>
          </w:p>
        </w:tc>
        <w:tc>
          <w:tcPr>
            <w:tcW w:w="851" w:type="dxa"/>
            <w:vMerge w:val="continue"/>
            <w:vAlign w:val="center"/>
          </w:tcPr>
          <w:p w14:paraId="1E4E19D3">
            <w:pPr>
              <w:pStyle w:val="276"/>
              <w:rPr>
                <w:color w:val="auto"/>
              </w:rPr>
            </w:pPr>
          </w:p>
        </w:tc>
        <w:tc>
          <w:tcPr>
            <w:tcW w:w="567" w:type="dxa"/>
            <w:vMerge w:val="continue"/>
            <w:vAlign w:val="center"/>
          </w:tcPr>
          <w:p w14:paraId="11F46A32">
            <w:pPr>
              <w:pStyle w:val="276"/>
              <w:rPr>
                <w:color w:val="auto"/>
              </w:rPr>
            </w:pPr>
          </w:p>
        </w:tc>
        <w:tc>
          <w:tcPr>
            <w:tcW w:w="567" w:type="dxa"/>
            <w:vMerge w:val="continue"/>
            <w:vAlign w:val="center"/>
          </w:tcPr>
          <w:p w14:paraId="078CDAF8">
            <w:pPr>
              <w:pStyle w:val="276"/>
              <w:rPr>
                <w:color w:val="auto"/>
              </w:rPr>
            </w:pPr>
          </w:p>
        </w:tc>
        <w:tc>
          <w:tcPr>
            <w:tcW w:w="1250" w:type="dxa"/>
            <w:vAlign w:val="center"/>
          </w:tcPr>
          <w:p w14:paraId="1D45CB5A">
            <w:pPr>
              <w:widowControl/>
              <w:adjustRightInd/>
              <w:snapToGrid/>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硼</w:t>
            </w:r>
          </w:p>
        </w:tc>
        <w:tc>
          <w:tcPr>
            <w:tcW w:w="1356" w:type="dxa"/>
            <w:vAlign w:val="center"/>
          </w:tcPr>
          <w:p w14:paraId="07A500A7">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w:t>
            </w:r>
          </w:p>
        </w:tc>
      </w:tr>
      <w:tr w14:paraId="62F591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jc w:val="center"/>
        </w:trPr>
        <w:tc>
          <w:tcPr>
            <w:tcW w:w="324" w:type="dxa"/>
            <w:vMerge w:val="continue"/>
            <w:vAlign w:val="center"/>
          </w:tcPr>
          <w:p w14:paraId="4363D678">
            <w:pPr>
              <w:pStyle w:val="276"/>
              <w:rPr>
                <w:color w:val="auto"/>
              </w:rPr>
            </w:pPr>
          </w:p>
        </w:tc>
        <w:tc>
          <w:tcPr>
            <w:tcW w:w="867" w:type="dxa"/>
            <w:vMerge w:val="continue"/>
            <w:vAlign w:val="center"/>
          </w:tcPr>
          <w:p w14:paraId="361E1E72">
            <w:pPr>
              <w:pStyle w:val="276"/>
              <w:rPr>
                <w:color w:val="auto"/>
              </w:rPr>
            </w:pPr>
          </w:p>
        </w:tc>
        <w:tc>
          <w:tcPr>
            <w:tcW w:w="851" w:type="dxa"/>
            <w:vMerge w:val="continue"/>
            <w:vAlign w:val="center"/>
          </w:tcPr>
          <w:p w14:paraId="42AED628">
            <w:pPr>
              <w:pStyle w:val="276"/>
              <w:rPr>
                <w:color w:val="auto"/>
              </w:rPr>
            </w:pPr>
          </w:p>
        </w:tc>
        <w:tc>
          <w:tcPr>
            <w:tcW w:w="850" w:type="dxa"/>
            <w:vMerge w:val="continue"/>
            <w:vAlign w:val="center"/>
          </w:tcPr>
          <w:p w14:paraId="03E5F34D">
            <w:pPr>
              <w:pStyle w:val="276"/>
              <w:rPr>
                <w:color w:val="auto"/>
              </w:rPr>
            </w:pPr>
          </w:p>
        </w:tc>
        <w:tc>
          <w:tcPr>
            <w:tcW w:w="851" w:type="dxa"/>
            <w:vMerge w:val="continue"/>
            <w:vAlign w:val="center"/>
          </w:tcPr>
          <w:p w14:paraId="4613F716">
            <w:pPr>
              <w:pStyle w:val="276"/>
              <w:rPr>
                <w:color w:val="auto"/>
              </w:rPr>
            </w:pPr>
          </w:p>
        </w:tc>
        <w:tc>
          <w:tcPr>
            <w:tcW w:w="850" w:type="dxa"/>
            <w:vMerge w:val="continue"/>
            <w:vAlign w:val="center"/>
          </w:tcPr>
          <w:p w14:paraId="0AF89B2C">
            <w:pPr>
              <w:pStyle w:val="276"/>
              <w:rPr>
                <w:color w:val="auto"/>
              </w:rPr>
            </w:pPr>
          </w:p>
        </w:tc>
        <w:tc>
          <w:tcPr>
            <w:tcW w:w="851" w:type="dxa"/>
            <w:vMerge w:val="continue"/>
            <w:vAlign w:val="center"/>
          </w:tcPr>
          <w:p w14:paraId="67574FA4">
            <w:pPr>
              <w:pStyle w:val="276"/>
              <w:rPr>
                <w:color w:val="auto"/>
              </w:rPr>
            </w:pPr>
          </w:p>
        </w:tc>
        <w:tc>
          <w:tcPr>
            <w:tcW w:w="567" w:type="dxa"/>
            <w:vMerge w:val="continue"/>
            <w:vAlign w:val="center"/>
          </w:tcPr>
          <w:p w14:paraId="31ECF426">
            <w:pPr>
              <w:pStyle w:val="276"/>
              <w:rPr>
                <w:color w:val="auto"/>
              </w:rPr>
            </w:pPr>
          </w:p>
        </w:tc>
        <w:tc>
          <w:tcPr>
            <w:tcW w:w="567" w:type="dxa"/>
            <w:vMerge w:val="continue"/>
            <w:vAlign w:val="center"/>
          </w:tcPr>
          <w:p w14:paraId="5DE4038A">
            <w:pPr>
              <w:pStyle w:val="276"/>
              <w:rPr>
                <w:color w:val="auto"/>
              </w:rPr>
            </w:pPr>
          </w:p>
        </w:tc>
        <w:tc>
          <w:tcPr>
            <w:tcW w:w="1250" w:type="dxa"/>
            <w:vAlign w:val="center"/>
          </w:tcPr>
          <w:p w14:paraId="053B8517">
            <w:pPr>
              <w:widowControl/>
              <w:adjustRightInd/>
              <w:snapToGrid/>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可溶性钡</w:t>
            </w:r>
          </w:p>
        </w:tc>
        <w:tc>
          <w:tcPr>
            <w:tcW w:w="1356" w:type="dxa"/>
            <w:vAlign w:val="center"/>
          </w:tcPr>
          <w:p w14:paraId="68D8A103">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w:t>
            </w:r>
          </w:p>
        </w:tc>
      </w:tr>
      <w:tr w14:paraId="448318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jc w:val="center"/>
        </w:trPr>
        <w:tc>
          <w:tcPr>
            <w:tcW w:w="324" w:type="dxa"/>
            <w:vMerge w:val="continue"/>
            <w:vAlign w:val="center"/>
          </w:tcPr>
          <w:p w14:paraId="1DFA8628">
            <w:pPr>
              <w:pStyle w:val="276"/>
              <w:rPr>
                <w:color w:val="auto"/>
              </w:rPr>
            </w:pPr>
          </w:p>
        </w:tc>
        <w:tc>
          <w:tcPr>
            <w:tcW w:w="867" w:type="dxa"/>
            <w:vMerge w:val="continue"/>
            <w:vAlign w:val="center"/>
          </w:tcPr>
          <w:p w14:paraId="2560893D">
            <w:pPr>
              <w:pStyle w:val="276"/>
              <w:rPr>
                <w:color w:val="auto"/>
              </w:rPr>
            </w:pPr>
          </w:p>
        </w:tc>
        <w:tc>
          <w:tcPr>
            <w:tcW w:w="851" w:type="dxa"/>
            <w:vMerge w:val="continue"/>
            <w:vAlign w:val="center"/>
          </w:tcPr>
          <w:p w14:paraId="6A8641C3">
            <w:pPr>
              <w:pStyle w:val="276"/>
              <w:rPr>
                <w:color w:val="auto"/>
              </w:rPr>
            </w:pPr>
          </w:p>
        </w:tc>
        <w:tc>
          <w:tcPr>
            <w:tcW w:w="850" w:type="dxa"/>
            <w:vMerge w:val="continue"/>
            <w:vAlign w:val="center"/>
          </w:tcPr>
          <w:p w14:paraId="20DD39E7">
            <w:pPr>
              <w:pStyle w:val="276"/>
              <w:rPr>
                <w:color w:val="auto"/>
              </w:rPr>
            </w:pPr>
          </w:p>
        </w:tc>
        <w:tc>
          <w:tcPr>
            <w:tcW w:w="851" w:type="dxa"/>
            <w:vMerge w:val="continue"/>
            <w:vAlign w:val="center"/>
          </w:tcPr>
          <w:p w14:paraId="13CA4BBC">
            <w:pPr>
              <w:pStyle w:val="276"/>
              <w:rPr>
                <w:color w:val="auto"/>
              </w:rPr>
            </w:pPr>
          </w:p>
        </w:tc>
        <w:tc>
          <w:tcPr>
            <w:tcW w:w="850" w:type="dxa"/>
            <w:vMerge w:val="continue"/>
            <w:vAlign w:val="center"/>
          </w:tcPr>
          <w:p w14:paraId="200244E6">
            <w:pPr>
              <w:pStyle w:val="276"/>
              <w:rPr>
                <w:color w:val="auto"/>
              </w:rPr>
            </w:pPr>
          </w:p>
        </w:tc>
        <w:tc>
          <w:tcPr>
            <w:tcW w:w="851" w:type="dxa"/>
            <w:vMerge w:val="continue"/>
            <w:vAlign w:val="center"/>
          </w:tcPr>
          <w:p w14:paraId="56A4F741">
            <w:pPr>
              <w:pStyle w:val="276"/>
              <w:rPr>
                <w:color w:val="auto"/>
              </w:rPr>
            </w:pPr>
          </w:p>
        </w:tc>
        <w:tc>
          <w:tcPr>
            <w:tcW w:w="567" w:type="dxa"/>
            <w:vMerge w:val="continue"/>
            <w:vAlign w:val="center"/>
          </w:tcPr>
          <w:p w14:paraId="4E00ADC9">
            <w:pPr>
              <w:pStyle w:val="276"/>
              <w:rPr>
                <w:color w:val="auto"/>
              </w:rPr>
            </w:pPr>
          </w:p>
        </w:tc>
        <w:tc>
          <w:tcPr>
            <w:tcW w:w="567" w:type="dxa"/>
            <w:vMerge w:val="continue"/>
            <w:vAlign w:val="center"/>
          </w:tcPr>
          <w:p w14:paraId="002F2FDA">
            <w:pPr>
              <w:pStyle w:val="276"/>
              <w:rPr>
                <w:color w:val="auto"/>
              </w:rPr>
            </w:pPr>
          </w:p>
        </w:tc>
        <w:tc>
          <w:tcPr>
            <w:tcW w:w="1250" w:type="dxa"/>
            <w:vAlign w:val="center"/>
          </w:tcPr>
          <w:p w14:paraId="2D241A7E">
            <w:pPr>
              <w:widowControl/>
              <w:adjustRightInd/>
              <w:snapToGrid/>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总</w:t>
            </w:r>
            <w:r>
              <w:rPr>
                <w:rFonts w:hint="eastAsia"/>
                <w:color w:val="auto"/>
                <w:kern w:val="0"/>
                <w:sz w:val="21"/>
                <w:szCs w:val="21"/>
              </w:rPr>
              <w:t>α</w:t>
            </w:r>
            <w:r>
              <w:rPr>
                <w:rFonts w:hint="eastAsia" w:ascii="宋体" w:hAnsi="宋体" w:cs="宋体"/>
                <w:color w:val="auto"/>
                <w:kern w:val="0"/>
                <w:sz w:val="21"/>
                <w:szCs w:val="21"/>
              </w:rPr>
              <w:t>放射性</w:t>
            </w:r>
          </w:p>
        </w:tc>
        <w:tc>
          <w:tcPr>
            <w:tcW w:w="1356" w:type="dxa"/>
            <w:vAlign w:val="center"/>
          </w:tcPr>
          <w:p w14:paraId="4E2C50B7">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w:t>
            </w:r>
          </w:p>
        </w:tc>
      </w:tr>
      <w:tr w14:paraId="526291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jc w:val="center"/>
        </w:trPr>
        <w:tc>
          <w:tcPr>
            <w:tcW w:w="324" w:type="dxa"/>
            <w:vMerge w:val="continue"/>
            <w:vAlign w:val="center"/>
          </w:tcPr>
          <w:p w14:paraId="285B8727">
            <w:pPr>
              <w:pStyle w:val="276"/>
              <w:rPr>
                <w:color w:val="auto"/>
              </w:rPr>
            </w:pPr>
          </w:p>
        </w:tc>
        <w:tc>
          <w:tcPr>
            <w:tcW w:w="867" w:type="dxa"/>
            <w:vMerge w:val="continue"/>
            <w:vAlign w:val="center"/>
          </w:tcPr>
          <w:p w14:paraId="08ABDBBA">
            <w:pPr>
              <w:pStyle w:val="276"/>
              <w:rPr>
                <w:color w:val="auto"/>
              </w:rPr>
            </w:pPr>
          </w:p>
        </w:tc>
        <w:tc>
          <w:tcPr>
            <w:tcW w:w="851" w:type="dxa"/>
            <w:vMerge w:val="continue"/>
            <w:vAlign w:val="center"/>
          </w:tcPr>
          <w:p w14:paraId="20595902">
            <w:pPr>
              <w:pStyle w:val="276"/>
              <w:rPr>
                <w:color w:val="auto"/>
              </w:rPr>
            </w:pPr>
          </w:p>
        </w:tc>
        <w:tc>
          <w:tcPr>
            <w:tcW w:w="850" w:type="dxa"/>
            <w:vMerge w:val="continue"/>
            <w:vAlign w:val="center"/>
          </w:tcPr>
          <w:p w14:paraId="3FC184B0">
            <w:pPr>
              <w:pStyle w:val="276"/>
              <w:rPr>
                <w:color w:val="auto"/>
              </w:rPr>
            </w:pPr>
          </w:p>
        </w:tc>
        <w:tc>
          <w:tcPr>
            <w:tcW w:w="851" w:type="dxa"/>
            <w:vMerge w:val="continue"/>
            <w:vAlign w:val="center"/>
          </w:tcPr>
          <w:p w14:paraId="3B8A992D">
            <w:pPr>
              <w:pStyle w:val="276"/>
              <w:rPr>
                <w:color w:val="auto"/>
              </w:rPr>
            </w:pPr>
          </w:p>
        </w:tc>
        <w:tc>
          <w:tcPr>
            <w:tcW w:w="850" w:type="dxa"/>
            <w:vMerge w:val="continue"/>
            <w:vAlign w:val="center"/>
          </w:tcPr>
          <w:p w14:paraId="2FC0F452">
            <w:pPr>
              <w:pStyle w:val="276"/>
              <w:rPr>
                <w:color w:val="auto"/>
              </w:rPr>
            </w:pPr>
          </w:p>
        </w:tc>
        <w:tc>
          <w:tcPr>
            <w:tcW w:w="851" w:type="dxa"/>
            <w:vMerge w:val="continue"/>
            <w:vAlign w:val="center"/>
          </w:tcPr>
          <w:p w14:paraId="0702AF1C">
            <w:pPr>
              <w:pStyle w:val="276"/>
              <w:rPr>
                <w:color w:val="auto"/>
              </w:rPr>
            </w:pPr>
          </w:p>
        </w:tc>
        <w:tc>
          <w:tcPr>
            <w:tcW w:w="567" w:type="dxa"/>
            <w:vMerge w:val="continue"/>
            <w:vAlign w:val="center"/>
          </w:tcPr>
          <w:p w14:paraId="03C73202">
            <w:pPr>
              <w:pStyle w:val="276"/>
              <w:rPr>
                <w:color w:val="auto"/>
              </w:rPr>
            </w:pPr>
          </w:p>
        </w:tc>
        <w:tc>
          <w:tcPr>
            <w:tcW w:w="567" w:type="dxa"/>
            <w:vMerge w:val="continue"/>
            <w:vAlign w:val="center"/>
          </w:tcPr>
          <w:p w14:paraId="67ED0EB4">
            <w:pPr>
              <w:pStyle w:val="276"/>
              <w:rPr>
                <w:color w:val="auto"/>
              </w:rPr>
            </w:pPr>
          </w:p>
        </w:tc>
        <w:tc>
          <w:tcPr>
            <w:tcW w:w="1250" w:type="dxa"/>
            <w:vAlign w:val="center"/>
          </w:tcPr>
          <w:p w14:paraId="57C807E8">
            <w:pPr>
              <w:widowControl/>
              <w:adjustRightInd/>
              <w:snapToGrid/>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总</w:t>
            </w:r>
            <w:r>
              <w:rPr>
                <w:rFonts w:hint="eastAsia"/>
                <w:color w:val="auto"/>
                <w:kern w:val="0"/>
                <w:sz w:val="21"/>
                <w:szCs w:val="21"/>
              </w:rPr>
              <w:t>β</w:t>
            </w:r>
            <w:r>
              <w:rPr>
                <w:rFonts w:hint="eastAsia" w:ascii="宋体" w:hAnsi="宋体" w:cs="宋体"/>
                <w:color w:val="auto"/>
                <w:kern w:val="0"/>
                <w:sz w:val="21"/>
                <w:szCs w:val="21"/>
              </w:rPr>
              <w:t>放射性</w:t>
            </w:r>
          </w:p>
        </w:tc>
        <w:tc>
          <w:tcPr>
            <w:tcW w:w="1356" w:type="dxa"/>
            <w:vAlign w:val="center"/>
          </w:tcPr>
          <w:p w14:paraId="4A5840B8">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w:t>
            </w:r>
          </w:p>
        </w:tc>
      </w:tr>
    </w:tbl>
    <w:p w14:paraId="33455650">
      <w:pPr>
        <w:pStyle w:val="151"/>
        <w:ind w:firstLine="482"/>
        <w:jc w:val="center"/>
        <w:rPr>
          <w:b/>
          <w:snapToGrid w:val="0"/>
          <w:color w:val="auto"/>
        </w:rPr>
      </w:pPr>
    </w:p>
    <w:p w14:paraId="2A2F19CF">
      <w:pPr>
        <w:pStyle w:val="151"/>
        <w:ind w:firstLine="482"/>
        <w:jc w:val="center"/>
        <w:rPr>
          <w:b/>
          <w:snapToGrid w:val="0"/>
          <w:color w:val="auto"/>
        </w:rPr>
      </w:pPr>
      <w:r>
        <w:rPr>
          <w:b/>
          <w:snapToGrid w:val="0"/>
          <w:color w:val="auto"/>
        </w:rPr>
        <w:t>表10.3-5  废水污染物</w:t>
      </w:r>
      <w:r>
        <w:rPr>
          <w:rFonts w:hint="eastAsia"/>
          <w:b/>
          <w:snapToGrid w:val="0"/>
          <w:color w:val="auto"/>
        </w:rPr>
        <w:t>许可</w:t>
      </w:r>
      <w:r>
        <w:rPr>
          <w:b/>
          <w:snapToGrid w:val="0"/>
          <w:color w:val="auto"/>
        </w:rPr>
        <w:t>排放信息表</w:t>
      </w:r>
    </w:p>
    <w:tbl>
      <w:tblPr>
        <w:tblStyle w:val="8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863"/>
        <w:gridCol w:w="1648"/>
        <w:gridCol w:w="1875"/>
        <w:gridCol w:w="2098"/>
        <w:gridCol w:w="2802"/>
      </w:tblGrid>
      <w:tr w14:paraId="175E11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465" w:type="pct"/>
            <w:vAlign w:val="center"/>
          </w:tcPr>
          <w:p w14:paraId="1B866133">
            <w:pPr>
              <w:pStyle w:val="276"/>
              <w:rPr>
                <w:color w:val="auto"/>
              </w:rPr>
            </w:pPr>
            <w:r>
              <w:rPr>
                <w:rFonts w:hint="eastAsia"/>
                <w:color w:val="auto"/>
              </w:rPr>
              <w:t>序号</w:t>
            </w:r>
          </w:p>
        </w:tc>
        <w:tc>
          <w:tcPr>
            <w:tcW w:w="887" w:type="pct"/>
            <w:vAlign w:val="center"/>
          </w:tcPr>
          <w:p w14:paraId="71EE863A">
            <w:pPr>
              <w:pStyle w:val="276"/>
              <w:rPr>
                <w:color w:val="auto"/>
              </w:rPr>
            </w:pPr>
            <w:r>
              <w:rPr>
                <w:rFonts w:hint="eastAsia"/>
                <w:color w:val="auto"/>
              </w:rPr>
              <w:t>排放口编号</w:t>
            </w:r>
          </w:p>
        </w:tc>
        <w:tc>
          <w:tcPr>
            <w:tcW w:w="1009" w:type="pct"/>
            <w:vAlign w:val="center"/>
          </w:tcPr>
          <w:p w14:paraId="37E57E7D">
            <w:pPr>
              <w:pStyle w:val="276"/>
              <w:rPr>
                <w:color w:val="auto"/>
              </w:rPr>
            </w:pPr>
            <w:r>
              <w:rPr>
                <w:rFonts w:hint="eastAsia"/>
                <w:color w:val="auto"/>
              </w:rPr>
              <w:t>污染物种类</w:t>
            </w:r>
          </w:p>
        </w:tc>
        <w:tc>
          <w:tcPr>
            <w:tcW w:w="1129" w:type="pct"/>
            <w:vAlign w:val="center"/>
          </w:tcPr>
          <w:p w14:paraId="1D89C656">
            <w:pPr>
              <w:pStyle w:val="276"/>
              <w:rPr>
                <w:color w:val="auto"/>
              </w:rPr>
            </w:pPr>
            <w:r>
              <w:rPr>
                <w:rFonts w:hint="eastAsia"/>
                <w:color w:val="auto"/>
              </w:rPr>
              <w:t>许可排放浓度mg/L</w:t>
            </w:r>
          </w:p>
        </w:tc>
        <w:tc>
          <w:tcPr>
            <w:tcW w:w="1508" w:type="pct"/>
            <w:vAlign w:val="center"/>
          </w:tcPr>
          <w:p w14:paraId="4F50D27A">
            <w:pPr>
              <w:pStyle w:val="276"/>
              <w:rPr>
                <w:color w:val="auto"/>
              </w:rPr>
            </w:pPr>
            <w:r>
              <w:rPr>
                <w:rFonts w:hint="eastAsia"/>
                <w:color w:val="auto"/>
              </w:rPr>
              <w:t>许可年排放量t/a</w:t>
            </w:r>
          </w:p>
        </w:tc>
      </w:tr>
      <w:tr w14:paraId="743BFE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465" w:type="pct"/>
            <w:vMerge w:val="restart"/>
            <w:vAlign w:val="center"/>
          </w:tcPr>
          <w:p w14:paraId="1352D159">
            <w:pPr>
              <w:pStyle w:val="276"/>
              <w:rPr>
                <w:color w:val="auto"/>
              </w:rPr>
            </w:pPr>
            <w:r>
              <w:rPr>
                <w:rFonts w:hint="eastAsia"/>
                <w:color w:val="auto"/>
              </w:rPr>
              <w:t>1</w:t>
            </w:r>
          </w:p>
        </w:tc>
        <w:tc>
          <w:tcPr>
            <w:tcW w:w="887" w:type="pct"/>
            <w:vMerge w:val="restart"/>
            <w:vAlign w:val="center"/>
          </w:tcPr>
          <w:p w14:paraId="461699B4">
            <w:pPr>
              <w:pStyle w:val="276"/>
              <w:rPr>
                <w:color w:val="auto"/>
              </w:rPr>
            </w:pPr>
            <w:r>
              <w:rPr>
                <w:rFonts w:hint="eastAsia"/>
                <w:color w:val="auto"/>
              </w:rPr>
              <w:t>DW001</w:t>
            </w:r>
          </w:p>
        </w:tc>
        <w:tc>
          <w:tcPr>
            <w:tcW w:w="1009" w:type="pct"/>
            <w:vAlign w:val="center"/>
          </w:tcPr>
          <w:p w14:paraId="2AD4859B">
            <w:pPr>
              <w:pStyle w:val="276"/>
              <w:rPr>
                <w:bCs/>
                <w:color w:val="auto"/>
              </w:rPr>
            </w:pPr>
            <w:r>
              <w:rPr>
                <w:rFonts w:hint="eastAsia"/>
                <w:color w:val="auto"/>
              </w:rPr>
              <w:t>COD</w:t>
            </w:r>
          </w:p>
        </w:tc>
        <w:tc>
          <w:tcPr>
            <w:tcW w:w="1129" w:type="pct"/>
            <w:vAlign w:val="center"/>
          </w:tcPr>
          <w:p w14:paraId="199D399D">
            <w:pPr>
              <w:pStyle w:val="276"/>
              <w:ind w:firstLine="0" w:firstLineChars="0"/>
              <w:rPr>
                <w:color w:val="auto"/>
                <w:kern w:val="0"/>
                <w:sz w:val="21"/>
                <w:szCs w:val="21"/>
              </w:rPr>
            </w:pPr>
            <w:r>
              <w:rPr>
                <w:rFonts w:hint="eastAsia"/>
                <w:color w:val="auto"/>
              </w:rPr>
              <w:t>50</w:t>
            </w:r>
          </w:p>
        </w:tc>
        <w:tc>
          <w:tcPr>
            <w:tcW w:w="1508" w:type="pct"/>
            <w:vAlign w:val="center"/>
          </w:tcPr>
          <w:p w14:paraId="5A7C48CC">
            <w:pPr>
              <w:pStyle w:val="276"/>
              <w:ind w:firstLine="0" w:firstLineChars="0"/>
              <w:rPr>
                <w:rFonts w:hint="default" w:eastAsia="宋体"/>
                <w:color w:val="auto"/>
                <w:kern w:val="0"/>
                <w:sz w:val="21"/>
                <w:szCs w:val="21"/>
                <w:lang w:val="en-US" w:eastAsia="zh-CN"/>
              </w:rPr>
            </w:pPr>
            <w:r>
              <w:rPr>
                <w:rFonts w:hint="eastAsia"/>
                <w:color w:val="auto"/>
              </w:rPr>
              <w:t>29.</w:t>
            </w:r>
            <w:r>
              <w:rPr>
                <w:rFonts w:hint="eastAsia"/>
                <w:color w:val="auto"/>
                <w:lang w:val="en-US" w:eastAsia="zh-CN"/>
              </w:rPr>
              <w:t>37</w:t>
            </w:r>
          </w:p>
        </w:tc>
      </w:tr>
      <w:tr w14:paraId="572810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465" w:type="pct"/>
            <w:vMerge w:val="continue"/>
            <w:vAlign w:val="center"/>
          </w:tcPr>
          <w:p w14:paraId="6BE267A3">
            <w:pPr>
              <w:pStyle w:val="276"/>
              <w:rPr>
                <w:color w:val="auto"/>
              </w:rPr>
            </w:pPr>
          </w:p>
        </w:tc>
        <w:tc>
          <w:tcPr>
            <w:tcW w:w="887" w:type="pct"/>
            <w:vMerge w:val="continue"/>
            <w:vAlign w:val="center"/>
          </w:tcPr>
          <w:p w14:paraId="5686AAFB">
            <w:pPr>
              <w:pStyle w:val="276"/>
              <w:rPr>
                <w:color w:val="auto"/>
              </w:rPr>
            </w:pPr>
          </w:p>
        </w:tc>
        <w:tc>
          <w:tcPr>
            <w:tcW w:w="1009" w:type="pct"/>
            <w:vAlign w:val="center"/>
          </w:tcPr>
          <w:p w14:paraId="316ABB77">
            <w:pPr>
              <w:pStyle w:val="276"/>
              <w:rPr>
                <w:bCs/>
                <w:color w:val="auto"/>
              </w:rPr>
            </w:pPr>
            <w:r>
              <w:rPr>
                <w:rFonts w:hint="eastAsia"/>
                <w:color w:val="auto"/>
              </w:rPr>
              <w:t>NH</w:t>
            </w:r>
            <w:r>
              <w:rPr>
                <w:rFonts w:hint="eastAsia"/>
                <w:color w:val="auto"/>
                <w:vertAlign w:val="subscript"/>
              </w:rPr>
              <w:t>3</w:t>
            </w:r>
            <w:r>
              <w:rPr>
                <w:rFonts w:hint="eastAsia"/>
                <w:color w:val="auto"/>
              </w:rPr>
              <w:t>-N</w:t>
            </w:r>
          </w:p>
        </w:tc>
        <w:tc>
          <w:tcPr>
            <w:tcW w:w="1129" w:type="pct"/>
            <w:vAlign w:val="center"/>
          </w:tcPr>
          <w:p w14:paraId="2FB1AF7E">
            <w:pPr>
              <w:pStyle w:val="276"/>
              <w:ind w:firstLine="0" w:firstLineChars="0"/>
              <w:rPr>
                <w:color w:val="auto"/>
                <w:kern w:val="0"/>
                <w:sz w:val="21"/>
                <w:szCs w:val="21"/>
              </w:rPr>
            </w:pPr>
            <w:r>
              <w:rPr>
                <w:rFonts w:hint="eastAsia"/>
                <w:color w:val="auto"/>
              </w:rPr>
              <w:t>8</w:t>
            </w:r>
          </w:p>
        </w:tc>
        <w:tc>
          <w:tcPr>
            <w:tcW w:w="1508" w:type="pct"/>
            <w:vAlign w:val="center"/>
          </w:tcPr>
          <w:p w14:paraId="3075C43E">
            <w:pPr>
              <w:pStyle w:val="276"/>
              <w:ind w:firstLine="0" w:firstLineChars="0"/>
              <w:rPr>
                <w:rFonts w:hint="eastAsia" w:eastAsia="宋体"/>
                <w:color w:val="auto"/>
                <w:kern w:val="0"/>
                <w:sz w:val="21"/>
                <w:szCs w:val="21"/>
                <w:lang w:eastAsia="zh-CN"/>
              </w:rPr>
            </w:pPr>
            <w:r>
              <w:rPr>
                <w:rFonts w:hint="eastAsia"/>
                <w:color w:val="auto"/>
              </w:rPr>
              <w:t>4.7</w:t>
            </w:r>
            <w:r>
              <w:rPr>
                <w:rFonts w:hint="eastAsia"/>
                <w:color w:val="auto"/>
                <w:lang w:val="en-US" w:eastAsia="zh-CN"/>
              </w:rPr>
              <w:t>0</w:t>
            </w:r>
          </w:p>
        </w:tc>
      </w:tr>
    </w:tbl>
    <w:p w14:paraId="305631A3">
      <w:pPr>
        <w:spacing w:line="360" w:lineRule="auto"/>
        <w:ind w:firstLine="480"/>
        <w:rPr>
          <w:color w:val="auto"/>
          <w:szCs w:val="24"/>
        </w:rPr>
      </w:pPr>
    </w:p>
    <w:p w14:paraId="249B215F">
      <w:pPr>
        <w:spacing w:line="360" w:lineRule="auto"/>
        <w:ind w:firstLine="480"/>
        <w:rPr>
          <w:color w:val="auto"/>
          <w:szCs w:val="24"/>
        </w:rPr>
      </w:pPr>
      <w:r>
        <w:rPr>
          <w:color w:val="auto"/>
          <w:szCs w:val="24"/>
        </w:rPr>
        <w:t>3</w:t>
      </w:r>
      <w:r>
        <w:rPr>
          <w:rFonts w:hint="eastAsia"/>
          <w:color w:val="auto"/>
          <w:szCs w:val="24"/>
        </w:rPr>
        <w:t>）噪声排放信息</w:t>
      </w:r>
    </w:p>
    <w:p w14:paraId="65A8CA87">
      <w:pPr>
        <w:pStyle w:val="185"/>
        <w:rPr>
          <w:color w:val="auto"/>
        </w:rPr>
      </w:pPr>
      <w:r>
        <w:rPr>
          <w:color w:val="auto"/>
        </w:rPr>
        <w:t>表10.3-6  噪声排放标准</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442"/>
        <w:gridCol w:w="560"/>
        <w:gridCol w:w="1705"/>
        <w:gridCol w:w="1703"/>
        <w:gridCol w:w="993"/>
        <w:gridCol w:w="851"/>
        <w:gridCol w:w="872"/>
      </w:tblGrid>
      <w:tr w14:paraId="54745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645" w:type="pct"/>
            <w:gridSpan w:val="2"/>
            <w:vMerge w:val="restart"/>
            <w:vAlign w:val="center"/>
          </w:tcPr>
          <w:p w14:paraId="15979B2A">
            <w:pPr>
              <w:spacing w:line="240" w:lineRule="auto"/>
              <w:ind w:firstLine="0" w:firstLineChars="0"/>
              <w:jc w:val="center"/>
              <w:rPr>
                <w:color w:val="auto"/>
                <w:sz w:val="21"/>
                <w:szCs w:val="21"/>
              </w:rPr>
            </w:pPr>
            <w:r>
              <w:rPr>
                <w:rFonts w:hint="eastAsia"/>
                <w:color w:val="auto"/>
                <w:sz w:val="21"/>
                <w:szCs w:val="21"/>
              </w:rPr>
              <w:t>排放标准及标准号</w:t>
            </w:r>
          </w:p>
        </w:tc>
        <w:tc>
          <w:tcPr>
            <w:tcW w:w="1866" w:type="pct"/>
            <w:gridSpan w:val="2"/>
            <w:vAlign w:val="center"/>
          </w:tcPr>
          <w:p w14:paraId="3F5C69DB">
            <w:pPr>
              <w:spacing w:line="240" w:lineRule="auto"/>
              <w:ind w:firstLine="0" w:firstLineChars="0"/>
              <w:jc w:val="center"/>
              <w:rPr>
                <w:color w:val="auto"/>
                <w:sz w:val="21"/>
                <w:szCs w:val="21"/>
              </w:rPr>
            </w:pPr>
            <w:r>
              <w:rPr>
                <w:rFonts w:hint="eastAsia"/>
                <w:color w:val="auto"/>
                <w:sz w:val="21"/>
                <w:szCs w:val="21"/>
              </w:rPr>
              <w:t>最大允许排放值</w:t>
            </w:r>
          </w:p>
        </w:tc>
        <w:tc>
          <w:tcPr>
            <w:tcW w:w="544" w:type="pct"/>
            <w:vMerge w:val="restart"/>
            <w:vAlign w:val="center"/>
          </w:tcPr>
          <w:p w14:paraId="23A18B47">
            <w:pPr>
              <w:spacing w:line="240" w:lineRule="auto"/>
              <w:ind w:firstLine="0" w:firstLineChars="0"/>
              <w:jc w:val="center"/>
              <w:rPr>
                <w:color w:val="auto"/>
                <w:sz w:val="21"/>
                <w:szCs w:val="21"/>
              </w:rPr>
            </w:pPr>
            <w:r>
              <w:rPr>
                <w:rFonts w:hint="eastAsia"/>
                <w:color w:val="auto"/>
                <w:sz w:val="21"/>
                <w:szCs w:val="21"/>
              </w:rPr>
              <w:t>噪声类别</w:t>
            </w:r>
          </w:p>
        </w:tc>
        <w:tc>
          <w:tcPr>
            <w:tcW w:w="945" w:type="pct"/>
            <w:gridSpan w:val="2"/>
            <w:vAlign w:val="center"/>
          </w:tcPr>
          <w:p w14:paraId="4D8E0762">
            <w:pPr>
              <w:spacing w:line="240" w:lineRule="auto"/>
              <w:ind w:firstLine="0" w:firstLineChars="0"/>
              <w:jc w:val="center"/>
              <w:rPr>
                <w:color w:val="auto"/>
                <w:sz w:val="21"/>
                <w:szCs w:val="21"/>
              </w:rPr>
            </w:pPr>
            <w:r>
              <w:rPr>
                <w:rFonts w:hint="eastAsia"/>
                <w:color w:val="auto"/>
                <w:sz w:val="21"/>
                <w:szCs w:val="21"/>
              </w:rPr>
              <w:t>生产时段</w:t>
            </w:r>
          </w:p>
        </w:tc>
      </w:tr>
      <w:tr w14:paraId="56473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645" w:type="pct"/>
            <w:gridSpan w:val="2"/>
            <w:vMerge w:val="continue"/>
            <w:vAlign w:val="center"/>
          </w:tcPr>
          <w:p w14:paraId="0F6CB167">
            <w:pPr>
              <w:spacing w:line="240" w:lineRule="auto"/>
              <w:ind w:firstLine="0" w:firstLineChars="0"/>
              <w:jc w:val="center"/>
              <w:rPr>
                <w:color w:val="auto"/>
                <w:sz w:val="21"/>
                <w:szCs w:val="21"/>
              </w:rPr>
            </w:pPr>
          </w:p>
        </w:tc>
        <w:tc>
          <w:tcPr>
            <w:tcW w:w="934" w:type="pct"/>
            <w:vAlign w:val="center"/>
          </w:tcPr>
          <w:p w14:paraId="1259F9F4">
            <w:pPr>
              <w:spacing w:line="240" w:lineRule="auto"/>
              <w:ind w:firstLine="0" w:firstLineChars="0"/>
              <w:jc w:val="center"/>
              <w:rPr>
                <w:color w:val="auto"/>
                <w:sz w:val="21"/>
                <w:szCs w:val="21"/>
              </w:rPr>
            </w:pPr>
            <w:r>
              <w:rPr>
                <w:rFonts w:hint="eastAsia"/>
                <w:color w:val="auto"/>
                <w:sz w:val="21"/>
                <w:szCs w:val="21"/>
              </w:rPr>
              <w:t>昼间 〔dB(A)〕</w:t>
            </w:r>
          </w:p>
        </w:tc>
        <w:tc>
          <w:tcPr>
            <w:tcW w:w="933" w:type="pct"/>
            <w:vAlign w:val="center"/>
          </w:tcPr>
          <w:p w14:paraId="7B21F4B5">
            <w:pPr>
              <w:spacing w:line="240" w:lineRule="auto"/>
              <w:ind w:firstLine="0" w:firstLineChars="0"/>
              <w:jc w:val="center"/>
              <w:rPr>
                <w:color w:val="auto"/>
                <w:sz w:val="21"/>
                <w:szCs w:val="21"/>
              </w:rPr>
            </w:pPr>
            <w:r>
              <w:rPr>
                <w:rFonts w:hint="eastAsia"/>
                <w:color w:val="auto"/>
                <w:sz w:val="21"/>
                <w:szCs w:val="21"/>
              </w:rPr>
              <w:t>夜间 〔dB(A)〕</w:t>
            </w:r>
          </w:p>
        </w:tc>
        <w:tc>
          <w:tcPr>
            <w:tcW w:w="544" w:type="pct"/>
            <w:vMerge w:val="continue"/>
            <w:vAlign w:val="center"/>
          </w:tcPr>
          <w:p w14:paraId="508B6DB1">
            <w:pPr>
              <w:spacing w:line="240" w:lineRule="auto"/>
              <w:ind w:firstLine="0" w:firstLineChars="0"/>
              <w:jc w:val="center"/>
              <w:rPr>
                <w:color w:val="auto"/>
                <w:sz w:val="21"/>
                <w:szCs w:val="21"/>
              </w:rPr>
            </w:pPr>
          </w:p>
        </w:tc>
        <w:tc>
          <w:tcPr>
            <w:tcW w:w="466" w:type="pct"/>
            <w:vAlign w:val="center"/>
          </w:tcPr>
          <w:p w14:paraId="2093DE9E">
            <w:pPr>
              <w:spacing w:line="240" w:lineRule="auto"/>
              <w:ind w:firstLine="0" w:firstLineChars="0"/>
              <w:jc w:val="center"/>
              <w:rPr>
                <w:color w:val="auto"/>
                <w:sz w:val="21"/>
                <w:szCs w:val="21"/>
              </w:rPr>
            </w:pPr>
            <w:r>
              <w:rPr>
                <w:rFonts w:hint="eastAsia"/>
                <w:color w:val="auto"/>
                <w:sz w:val="21"/>
                <w:szCs w:val="21"/>
              </w:rPr>
              <w:t xml:space="preserve">昼间 </w:t>
            </w:r>
          </w:p>
        </w:tc>
        <w:tc>
          <w:tcPr>
            <w:tcW w:w="479" w:type="pct"/>
            <w:vAlign w:val="center"/>
          </w:tcPr>
          <w:p w14:paraId="13665CC1">
            <w:pPr>
              <w:spacing w:line="240" w:lineRule="auto"/>
              <w:ind w:firstLine="0" w:firstLineChars="0"/>
              <w:jc w:val="center"/>
              <w:rPr>
                <w:color w:val="auto"/>
                <w:sz w:val="21"/>
                <w:szCs w:val="21"/>
              </w:rPr>
            </w:pPr>
            <w:r>
              <w:rPr>
                <w:rFonts w:hint="eastAsia"/>
                <w:color w:val="auto"/>
                <w:sz w:val="21"/>
                <w:szCs w:val="21"/>
              </w:rPr>
              <w:t xml:space="preserve">夜间 </w:t>
            </w:r>
          </w:p>
        </w:tc>
      </w:tr>
      <w:tr w14:paraId="43376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38" w:type="pct"/>
            <w:vAlign w:val="center"/>
          </w:tcPr>
          <w:p w14:paraId="7CF5B23E">
            <w:pPr>
              <w:spacing w:line="240" w:lineRule="auto"/>
              <w:ind w:firstLine="0" w:firstLineChars="0"/>
              <w:jc w:val="center"/>
              <w:rPr>
                <w:color w:val="auto"/>
                <w:sz w:val="21"/>
                <w:szCs w:val="21"/>
              </w:rPr>
            </w:pPr>
            <w:r>
              <w:rPr>
                <w:rFonts w:hint="eastAsia"/>
                <w:color w:val="auto"/>
                <w:sz w:val="21"/>
                <w:szCs w:val="21"/>
              </w:rPr>
              <w:t>《工业企业厂界环境噪声排放标准》</w:t>
            </w:r>
            <w:r>
              <w:rPr>
                <w:rFonts w:hint="eastAsia"/>
                <w:color w:val="auto"/>
                <w:sz w:val="21"/>
                <w:szCs w:val="21"/>
                <w:lang w:eastAsia="zh-CN"/>
              </w:rPr>
              <w:t>（</w:t>
            </w:r>
            <w:r>
              <w:rPr>
                <w:rFonts w:hint="eastAsia"/>
                <w:color w:val="auto"/>
                <w:sz w:val="21"/>
                <w:szCs w:val="21"/>
              </w:rPr>
              <w:t>GB12348-2008)</w:t>
            </w:r>
          </w:p>
        </w:tc>
        <w:tc>
          <w:tcPr>
            <w:tcW w:w="307" w:type="pct"/>
            <w:vAlign w:val="center"/>
          </w:tcPr>
          <w:p w14:paraId="1942E1E9">
            <w:pPr>
              <w:spacing w:line="240" w:lineRule="auto"/>
              <w:ind w:firstLine="0" w:firstLineChars="0"/>
              <w:jc w:val="center"/>
              <w:rPr>
                <w:color w:val="auto"/>
                <w:sz w:val="21"/>
                <w:szCs w:val="21"/>
              </w:rPr>
            </w:pPr>
            <w:r>
              <w:rPr>
                <w:rFonts w:hint="eastAsia"/>
                <w:color w:val="auto"/>
                <w:sz w:val="21"/>
                <w:szCs w:val="21"/>
              </w:rPr>
              <w:t>3类</w:t>
            </w:r>
          </w:p>
        </w:tc>
        <w:tc>
          <w:tcPr>
            <w:tcW w:w="934" w:type="pct"/>
            <w:vAlign w:val="center"/>
          </w:tcPr>
          <w:p w14:paraId="22A8A848">
            <w:pPr>
              <w:spacing w:line="240" w:lineRule="auto"/>
              <w:ind w:firstLine="0" w:firstLineChars="0"/>
              <w:jc w:val="center"/>
              <w:rPr>
                <w:color w:val="auto"/>
                <w:sz w:val="21"/>
                <w:szCs w:val="21"/>
              </w:rPr>
            </w:pPr>
            <w:r>
              <w:rPr>
                <w:rFonts w:hint="eastAsia"/>
                <w:color w:val="auto"/>
                <w:sz w:val="21"/>
                <w:szCs w:val="21"/>
              </w:rPr>
              <w:t>65</w:t>
            </w:r>
          </w:p>
        </w:tc>
        <w:tc>
          <w:tcPr>
            <w:tcW w:w="933" w:type="pct"/>
            <w:vAlign w:val="center"/>
          </w:tcPr>
          <w:p w14:paraId="2D4AC304">
            <w:pPr>
              <w:spacing w:line="240" w:lineRule="auto"/>
              <w:ind w:firstLine="0" w:firstLineChars="0"/>
              <w:jc w:val="center"/>
              <w:rPr>
                <w:color w:val="auto"/>
                <w:sz w:val="21"/>
                <w:szCs w:val="21"/>
              </w:rPr>
            </w:pPr>
            <w:r>
              <w:rPr>
                <w:rFonts w:hint="eastAsia"/>
                <w:color w:val="auto"/>
                <w:sz w:val="21"/>
                <w:szCs w:val="21"/>
              </w:rPr>
              <w:t>55</w:t>
            </w:r>
          </w:p>
        </w:tc>
        <w:tc>
          <w:tcPr>
            <w:tcW w:w="544" w:type="pct"/>
            <w:vAlign w:val="center"/>
          </w:tcPr>
          <w:p w14:paraId="63F730AD">
            <w:pPr>
              <w:spacing w:line="240" w:lineRule="auto"/>
              <w:ind w:firstLine="0" w:firstLineChars="0"/>
              <w:jc w:val="center"/>
              <w:rPr>
                <w:color w:val="auto"/>
                <w:sz w:val="21"/>
                <w:szCs w:val="21"/>
              </w:rPr>
            </w:pPr>
            <w:r>
              <w:rPr>
                <w:rFonts w:hint="eastAsia"/>
                <w:color w:val="auto"/>
                <w:sz w:val="21"/>
                <w:szCs w:val="21"/>
              </w:rPr>
              <w:t>稳态噪声</w:t>
            </w:r>
          </w:p>
        </w:tc>
        <w:tc>
          <w:tcPr>
            <w:tcW w:w="466" w:type="pct"/>
            <w:vAlign w:val="center"/>
          </w:tcPr>
          <w:p w14:paraId="3650D962">
            <w:pPr>
              <w:spacing w:line="240" w:lineRule="auto"/>
              <w:ind w:firstLine="0" w:firstLineChars="0"/>
              <w:jc w:val="center"/>
              <w:rPr>
                <w:color w:val="auto"/>
                <w:sz w:val="21"/>
                <w:szCs w:val="21"/>
              </w:rPr>
            </w:pPr>
            <w:r>
              <w:rPr>
                <w:rFonts w:hint="eastAsia" w:ascii="宋体" w:hAnsi="宋体"/>
                <w:color w:val="auto"/>
                <w:sz w:val="21"/>
                <w:szCs w:val="21"/>
              </w:rPr>
              <w:t>06至22</w:t>
            </w:r>
          </w:p>
        </w:tc>
        <w:tc>
          <w:tcPr>
            <w:tcW w:w="479" w:type="pct"/>
            <w:vAlign w:val="center"/>
          </w:tcPr>
          <w:p w14:paraId="73F0DC6F">
            <w:pPr>
              <w:spacing w:line="240" w:lineRule="auto"/>
              <w:ind w:firstLine="0" w:firstLineChars="0"/>
              <w:jc w:val="center"/>
              <w:rPr>
                <w:color w:val="auto"/>
                <w:sz w:val="21"/>
                <w:szCs w:val="21"/>
              </w:rPr>
            </w:pPr>
            <w:r>
              <w:rPr>
                <w:rFonts w:hint="eastAsia" w:ascii="宋体" w:hAnsi="宋体"/>
                <w:color w:val="auto"/>
                <w:sz w:val="21"/>
                <w:szCs w:val="21"/>
              </w:rPr>
              <w:t>22至06</w:t>
            </w:r>
          </w:p>
        </w:tc>
      </w:tr>
    </w:tbl>
    <w:p w14:paraId="692EE598">
      <w:pPr>
        <w:spacing w:line="360" w:lineRule="auto"/>
        <w:ind w:firstLine="0" w:firstLineChars="0"/>
        <w:rPr>
          <w:color w:val="auto"/>
          <w:szCs w:val="24"/>
        </w:rPr>
      </w:pPr>
    </w:p>
    <w:p w14:paraId="4942B703">
      <w:pPr>
        <w:spacing w:line="360" w:lineRule="auto"/>
        <w:ind w:firstLine="480"/>
        <w:rPr>
          <w:color w:val="auto"/>
          <w:szCs w:val="24"/>
        </w:rPr>
      </w:pPr>
      <w:r>
        <w:rPr>
          <w:color w:val="auto"/>
          <w:szCs w:val="24"/>
        </w:rPr>
        <w:t>4</w:t>
      </w:r>
      <w:r>
        <w:rPr>
          <w:rFonts w:hint="eastAsia"/>
          <w:color w:val="auto"/>
          <w:szCs w:val="24"/>
        </w:rPr>
        <w:t>）固体废物管理信息</w:t>
      </w:r>
    </w:p>
    <w:p w14:paraId="43673A92">
      <w:pPr>
        <w:spacing w:line="360" w:lineRule="auto"/>
        <w:ind w:firstLine="480"/>
        <w:rPr>
          <w:color w:val="auto"/>
          <w:szCs w:val="24"/>
        </w:rPr>
      </w:pPr>
      <w:r>
        <w:rPr>
          <w:rFonts w:hint="eastAsia"/>
          <w:color w:val="auto"/>
          <w:szCs w:val="24"/>
        </w:rPr>
        <w:t>固废管理信息根据</w:t>
      </w:r>
      <w:r>
        <w:rPr>
          <w:rFonts w:hint="eastAsia"/>
          <w:color w:val="auto"/>
        </w:rPr>
        <w:t>《排污许可证申请与核发技术规范 工业固体废物（试行）》（HJ 1200—2021）要求执行。</w:t>
      </w:r>
    </w:p>
    <w:p w14:paraId="1658DCEA">
      <w:pPr>
        <w:pStyle w:val="185"/>
        <w:rPr>
          <w:color w:val="auto"/>
        </w:rPr>
      </w:pPr>
      <w:r>
        <w:rPr>
          <w:color w:val="auto"/>
        </w:rPr>
        <w:t>表10.3-7   危险废物产生及处置情况一览表</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6"/>
        <w:gridCol w:w="972"/>
        <w:gridCol w:w="755"/>
        <w:gridCol w:w="1201"/>
        <w:gridCol w:w="791"/>
        <w:gridCol w:w="810"/>
        <w:gridCol w:w="537"/>
        <w:gridCol w:w="680"/>
        <w:gridCol w:w="736"/>
        <w:gridCol w:w="682"/>
        <w:gridCol w:w="871"/>
        <w:gridCol w:w="785"/>
      </w:tblGrid>
      <w:tr w14:paraId="12E8C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250" w:type="pct"/>
            <w:vAlign w:val="center"/>
          </w:tcPr>
          <w:p w14:paraId="163D3092">
            <w:pPr>
              <w:pStyle w:val="276"/>
              <w:rPr>
                <w:color w:val="auto"/>
              </w:rPr>
            </w:pPr>
            <w:r>
              <w:rPr>
                <w:rFonts w:hint="eastAsia"/>
                <w:color w:val="auto"/>
              </w:rPr>
              <w:t>序号</w:t>
            </w:r>
          </w:p>
        </w:tc>
        <w:tc>
          <w:tcPr>
            <w:tcW w:w="523" w:type="pct"/>
            <w:vAlign w:val="center"/>
          </w:tcPr>
          <w:p w14:paraId="7B251588">
            <w:pPr>
              <w:pStyle w:val="276"/>
              <w:rPr>
                <w:color w:val="auto"/>
              </w:rPr>
            </w:pPr>
            <w:r>
              <w:rPr>
                <w:rFonts w:hint="eastAsia"/>
                <w:color w:val="auto"/>
              </w:rPr>
              <w:t>危险废物名称</w:t>
            </w:r>
          </w:p>
        </w:tc>
        <w:tc>
          <w:tcPr>
            <w:tcW w:w="406" w:type="pct"/>
            <w:vAlign w:val="center"/>
          </w:tcPr>
          <w:p w14:paraId="7B3B3088">
            <w:pPr>
              <w:pStyle w:val="276"/>
              <w:rPr>
                <w:color w:val="auto"/>
              </w:rPr>
            </w:pPr>
            <w:r>
              <w:rPr>
                <w:rFonts w:hint="eastAsia"/>
                <w:color w:val="auto"/>
              </w:rPr>
              <w:t>危险废</w:t>
            </w:r>
          </w:p>
          <w:p w14:paraId="54B9BBC2">
            <w:pPr>
              <w:pStyle w:val="276"/>
              <w:rPr>
                <w:color w:val="auto"/>
              </w:rPr>
            </w:pPr>
            <w:r>
              <w:rPr>
                <w:rFonts w:hint="eastAsia"/>
                <w:color w:val="auto"/>
              </w:rPr>
              <w:t>物类别</w:t>
            </w:r>
          </w:p>
        </w:tc>
        <w:tc>
          <w:tcPr>
            <w:tcW w:w="646" w:type="pct"/>
            <w:vAlign w:val="center"/>
          </w:tcPr>
          <w:p w14:paraId="56252360">
            <w:pPr>
              <w:pStyle w:val="276"/>
              <w:rPr>
                <w:color w:val="auto"/>
              </w:rPr>
            </w:pPr>
            <w:r>
              <w:rPr>
                <w:rFonts w:hint="eastAsia"/>
                <w:color w:val="auto"/>
              </w:rPr>
              <w:t>危险废物代码（2021版）</w:t>
            </w:r>
          </w:p>
        </w:tc>
        <w:tc>
          <w:tcPr>
            <w:tcW w:w="425" w:type="pct"/>
            <w:vAlign w:val="center"/>
          </w:tcPr>
          <w:p w14:paraId="71A4CDEF">
            <w:pPr>
              <w:pStyle w:val="276"/>
              <w:rPr>
                <w:color w:val="auto"/>
              </w:rPr>
            </w:pPr>
            <w:r>
              <w:rPr>
                <w:rFonts w:hint="eastAsia"/>
                <w:color w:val="auto"/>
              </w:rPr>
              <w:t>产生量</w:t>
            </w:r>
          </w:p>
          <w:p w14:paraId="5030AE27">
            <w:pPr>
              <w:pStyle w:val="276"/>
              <w:rPr>
                <w:color w:val="auto"/>
              </w:rPr>
            </w:pPr>
            <w:r>
              <w:rPr>
                <w:rFonts w:hint="eastAsia"/>
                <w:color w:val="auto"/>
              </w:rPr>
              <w:t>t/a</w:t>
            </w:r>
          </w:p>
        </w:tc>
        <w:tc>
          <w:tcPr>
            <w:tcW w:w="436" w:type="pct"/>
            <w:vAlign w:val="center"/>
          </w:tcPr>
          <w:p w14:paraId="40329FB3">
            <w:pPr>
              <w:pStyle w:val="276"/>
              <w:rPr>
                <w:color w:val="auto"/>
              </w:rPr>
            </w:pPr>
            <w:r>
              <w:rPr>
                <w:rFonts w:hint="eastAsia"/>
                <w:color w:val="auto"/>
              </w:rPr>
              <w:t>产生工序及装置</w:t>
            </w:r>
          </w:p>
        </w:tc>
        <w:tc>
          <w:tcPr>
            <w:tcW w:w="289" w:type="pct"/>
            <w:vAlign w:val="center"/>
          </w:tcPr>
          <w:p w14:paraId="4E7B34FD">
            <w:pPr>
              <w:pStyle w:val="276"/>
              <w:rPr>
                <w:color w:val="auto"/>
              </w:rPr>
            </w:pPr>
            <w:r>
              <w:rPr>
                <w:rFonts w:hint="eastAsia"/>
                <w:color w:val="auto"/>
              </w:rPr>
              <w:t>形态</w:t>
            </w:r>
          </w:p>
        </w:tc>
        <w:tc>
          <w:tcPr>
            <w:tcW w:w="366" w:type="pct"/>
            <w:vAlign w:val="center"/>
          </w:tcPr>
          <w:p w14:paraId="4B47FAF6">
            <w:pPr>
              <w:pStyle w:val="276"/>
              <w:rPr>
                <w:color w:val="auto"/>
              </w:rPr>
            </w:pPr>
            <w:r>
              <w:rPr>
                <w:rFonts w:hint="eastAsia"/>
                <w:color w:val="auto"/>
              </w:rPr>
              <w:t>主要成分</w:t>
            </w:r>
          </w:p>
        </w:tc>
        <w:tc>
          <w:tcPr>
            <w:tcW w:w="396" w:type="pct"/>
            <w:vAlign w:val="center"/>
          </w:tcPr>
          <w:p w14:paraId="18F50885">
            <w:pPr>
              <w:pStyle w:val="276"/>
              <w:rPr>
                <w:color w:val="auto"/>
              </w:rPr>
            </w:pPr>
            <w:r>
              <w:rPr>
                <w:rFonts w:hint="eastAsia"/>
                <w:color w:val="auto"/>
              </w:rPr>
              <w:t>有害成分</w:t>
            </w:r>
          </w:p>
        </w:tc>
        <w:tc>
          <w:tcPr>
            <w:tcW w:w="367" w:type="pct"/>
            <w:vAlign w:val="center"/>
          </w:tcPr>
          <w:p w14:paraId="7B5E996E">
            <w:pPr>
              <w:pStyle w:val="276"/>
              <w:rPr>
                <w:color w:val="auto"/>
              </w:rPr>
            </w:pPr>
            <w:r>
              <w:rPr>
                <w:rFonts w:hint="eastAsia"/>
                <w:color w:val="auto"/>
              </w:rPr>
              <w:t>产废周期</w:t>
            </w:r>
          </w:p>
        </w:tc>
        <w:tc>
          <w:tcPr>
            <w:tcW w:w="468" w:type="pct"/>
            <w:vAlign w:val="center"/>
          </w:tcPr>
          <w:p w14:paraId="0A1A1036">
            <w:pPr>
              <w:pStyle w:val="276"/>
              <w:rPr>
                <w:color w:val="auto"/>
              </w:rPr>
            </w:pPr>
            <w:r>
              <w:rPr>
                <w:rFonts w:hint="eastAsia"/>
                <w:color w:val="auto"/>
              </w:rPr>
              <w:t>危险</w:t>
            </w:r>
          </w:p>
          <w:p w14:paraId="58AD7A20">
            <w:pPr>
              <w:pStyle w:val="276"/>
              <w:rPr>
                <w:color w:val="auto"/>
              </w:rPr>
            </w:pPr>
            <w:r>
              <w:rPr>
                <w:rFonts w:hint="eastAsia"/>
                <w:color w:val="auto"/>
              </w:rPr>
              <w:t>特性</w:t>
            </w:r>
          </w:p>
        </w:tc>
        <w:tc>
          <w:tcPr>
            <w:tcW w:w="422" w:type="pct"/>
            <w:vAlign w:val="center"/>
          </w:tcPr>
          <w:p w14:paraId="786704F4">
            <w:pPr>
              <w:pStyle w:val="276"/>
              <w:rPr>
                <w:color w:val="auto"/>
              </w:rPr>
            </w:pPr>
            <w:r>
              <w:rPr>
                <w:rFonts w:hint="eastAsia"/>
                <w:color w:val="auto"/>
              </w:rPr>
              <w:t>污染防治措施</w:t>
            </w:r>
          </w:p>
        </w:tc>
      </w:tr>
      <w:tr w14:paraId="42573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0" w:type="pct"/>
            <w:vAlign w:val="center"/>
          </w:tcPr>
          <w:p w14:paraId="07EC6952">
            <w:pPr>
              <w:pStyle w:val="276"/>
              <w:rPr>
                <w:color w:val="auto"/>
              </w:rPr>
            </w:pPr>
            <w:r>
              <w:rPr>
                <w:rFonts w:hint="eastAsia"/>
                <w:color w:val="auto"/>
              </w:rPr>
              <w:t>1</w:t>
            </w:r>
          </w:p>
        </w:tc>
        <w:tc>
          <w:tcPr>
            <w:tcW w:w="523" w:type="pct"/>
            <w:vAlign w:val="center"/>
          </w:tcPr>
          <w:p w14:paraId="1F9BFFC4">
            <w:pPr>
              <w:pStyle w:val="276"/>
              <w:rPr>
                <w:color w:val="auto"/>
              </w:rPr>
            </w:pPr>
            <w:r>
              <w:rPr>
                <w:rFonts w:hint="eastAsia"/>
                <w:color w:val="auto"/>
              </w:rPr>
              <w:t>废包装材料</w:t>
            </w:r>
          </w:p>
        </w:tc>
        <w:tc>
          <w:tcPr>
            <w:tcW w:w="406" w:type="pct"/>
            <w:vAlign w:val="center"/>
          </w:tcPr>
          <w:p w14:paraId="5904E207">
            <w:pPr>
              <w:pStyle w:val="276"/>
              <w:rPr>
                <w:color w:val="auto"/>
              </w:rPr>
            </w:pPr>
            <w:r>
              <w:rPr>
                <w:rFonts w:hint="eastAsia"/>
                <w:color w:val="auto"/>
              </w:rPr>
              <w:t>HW49</w:t>
            </w:r>
          </w:p>
        </w:tc>
        <w:tc>
          <w:tcPr>
            <w:tcW w:w="646" w:type="pct"/>
            <w:vAlign w:val="center"/>
          </w:tcPr>
          <w:p w14:paraId="11CA23B0">
            <w:pPr>
              <w:pStyle w:val="276"/>
              <w:rPr>
                <w:color w:val="auto"/>
              </w:rPr>
            </w:pPr>
            <w:r>
              <w:rPr>
                <w:rFonts w:hint="eastAsia"/>
                <w:color w:val="auto"/>
              </w:rPr>
              <w:t>900-0</w:t>
            </w:r>
            <w:r>
              <w:rPr>
                <w:rFonts w:hint="eastAsia"/>
                <w:color w:val="auto"/>
                <w:lang w:val="en-US"/>
              </w:rPr>
              <w:t>41</w:t>
            </w:r>
            <w:r>
              <w:rPr>
                <w:rFonts w:hint="eastAsia"/>
                <w:color w:val="auto"/>
              </w:rPr>
              <w:t>-49</w:t>
            </w:r>
          </w:p>
        </w:tc>
        <w:tc>
          <w:tcPr>
            <w:tcW w:w="425" w:type="pct"/>
            <w:vAlign w:val="center"/>
          </w:tcPr>
          <w:p w14:paraId="23A05447">
            <w:pPr>
              <w:pStyle w:val="276"/>
              <w:rPr>
                <w:color w:val="auto"/>
              </w:rPr>
            </w:pPr>
            <w:r>
              <w:rPr>
                <w:rFonts w:hint="eastAsia"/>
                <w:color w:val="auto"/>
              </w:rPr>
              <w:t>1</w:t>
            </w:r>
          </w:p>
        </w:tc>
        <w:tc>
          <w:tcPr>
            <w:tcW w:w="436" w:type="pct"/>
            <w:vAlign w:val="center"/>
          </w:tcPr>
          <w:p w14:paraId="74A0540F">
            <w:pPr>
              <w:pStyle w:val="276"/>
              <w:rPr>
                <w:color w:val="auto"/>
              </w:rPr>
            </w:pPr>
            <w:r>
              <w:rPr>
                <w:rFonts w:hint="eastAsia"/>
                <w:color w:val="auto"/>
              </w:rPr>
              <w:t>原辅料使用</w:t>
            </w:r>
          </w:p>
        </w:tc>
        <w:tc>
          <w:tcPr>
            <w:tcW w:w="289" w:type="pct"/>
            <w:vAlign w:val="center"/>
          </w:tcPr>
          <w:p w14:paraId="670636F2">
            <w:pPr>
              <w:pStyle w:val="276"/>
              <w:rPr>
                <w:color w:val="auto"/>
              </w:rPr>
            </w:pPr>
            <w:r>
              <w:rPr>
                <w:rFonts w:hint="eastAsia"/>
                <w:color w:val="auto"/>
              </w:rPr>
              <w:t>固</w:t>
            </w:r>
          </w:p>
        </w:tc>
        <w:tc>
          <w:tcPr>
            <w:tcW w:w="366" w:type="pct"/>
            <w:vAlign w:val="center"/>
          </w:tcPr>
          <w:p w14:paraId="3553E4E5">
            <w:pPr>
              <w:pStyle w:val="276"/>
              <w:rPr>
                <w:color w:val="auto"/>
              </w:rPr>
            </w:pPr>
            <w:r>
              <w:rPr>
                <w:rFonts w:hint="eastAsia"/>
                <w:color w:val="auto"/>
              </w:rPr>
              <w:t>/</w:t>
            </w:r>
          </w:p>
        </w:tc>
        <w:tc>
          <w:tcPr>
            <w:tcW w:w="396" w:type="pct"/>
            <w:vAlign w:val="center"/>
          </w:tcPr>
          <w:p w14:paraId="44332475">
            <w:pPr>
              <w:pStyle w:val="276"/>
              <w:rPr>
                <w:color w:val="auto"/>
              </w:rPr>
            </w:pPr>
            <w:r>
              <w:rPr>
                <w:rFonts w:hint="eastAsia"/>
                <w:color w:val="auto"/>
              </w:rPr>
              <w:t>酸碱等</w:t>
            </w:r>
          </w:p>
        </w:tc>
        <w:tc>
          <w:tcPr>
            <w:tcW w:w="367" w:type="pct"/>
            <w:vAlign w:val="center"/>
          </w:tcPr>
          <w:p w14:paraId="55C64719">
            <w:pPr>
              <w:pStyle w:val="276"/>
              <w:rPr>
                <w:color w:val="auto"/>
              </w:rPr>
            </w:pPr>
            <w:r>
              <w:rPr>
                <w:rFonts w:hint="eastAsia"/>
                <w:color w:val="auto"/>
              </w:rPr>
              <w:t>每月</w:t>
            </w:r>
          </w:p>
        </w:tc>
        <w:tc>
          <w:tcPr>
            <w:tcW w:w="468" w:type="pct"/>
            <w:vAlign w:val="center"/>
          </w:tcPr>
          <w:p w14:paraId="72A83A0D">
            <w:pPr>
              <w:pStyle w:val="276"/>
              <w:rPr>
                <w:color w:val="auto"/>
              </w:rPr>
            </w:pPr>
            <w:r>
              <w:rPr>
                <w:rFonts w:hint="eastAsia"/>
                <w:color w:val="auto"/>
              </w:rPr>
              <w:t>T/In</w:t>
            </w:r>
          </w:p>
        </w:tc>
        <w:tc>
          <w:tcPr>
            <w:tcW w:w="422" w:type="pct"/>
            <w:vMerge w:val="restart"/>
            <w:vAlign w:val="center"/>
          </w:tcPr>
          <w:p w14:paraId="0644E984">
            <w:pPr>
              <w:spacing w:line="240" w:lineRule="auto"/>
              <w:ind w:firstLine="0" w:firstLineChars="0"/>
              <w:jc w:val="center"/>
              <w:rPr>
                <w:color w:val="auto"/>
                <w:sz w:val="21"/>
                <w:lang w:val="zh-CN"/>
              </w:rPr>
            </w:pPr>
            <w:r>
              <w:rPr>
                <w:rFonts w:hint="eastAsia"/>
                <w:color w:val="auto"/>
                <w:sz w:val="21"/>
                <w:lang w:val="zh-CN"/>
              </w:rPr>
              <w:t>有资质单位回收处置</w:t>
            </w:r>
          </w:p>
        </w:tc>
      </w:tr>
      <w:tr w14:paraId="3F6A6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0" w:type="pct"/>
            <w:vAlign w:val="center"/>
          </w:tcPr>
          <w:p w14:paraId="7666A7F1">
            <w:pPr>
              <w:pStyle w:val="276"/>
              <w:rPr>
                <w:color w:val="auto"/>
              </w:rPr>
            </w:pPr>
            <w:r>
              <w:rPr>
                <w:rFonts w:hint="eastAsia"/>
                <w:color w:val="auto"/>
              </w:rPr>
              <w:t>2</w:t>
            </w:r>
          </w:p>
        </w:tc>
        <w:tc>
          <w:tcPr>
            <w:tcW w:w="523" w:type="pct"/>
            <w:vAlign w:val="center"/>
          </w:tcPr>
          <w:p w14:paraId="1BCE2165">
            <w:pPr>
              <w:pStyle w:val="276"/>
              <w:rPr>
                <w:color w:val="auto"/>
              </w:rPr>
            </w:pPr>
            <w:r>
              <w:rPr>
                <w:rFonts w:hint="eastAsia"/>
                <w:color w:val="auto"/>
              </w:rPr>
              <w:t>废活性炭</w:t>
            </w:r>
          </w:p>
        </w:tc>
        <w:tc>
          <w:tcPr>
            <w:tcW w:w="406" w:type="pct"/>
            <w:vAlign w:val="center"/>
          </w:tcPr>
          <w:p w14:paraId="15EAB0D9">
            <w:pPr>
              <w:widowControl/>
              <w:spacing w:line="240" w:lineRule="auto"/>
              <w:ind w:firstLine="0" w:firstLineChars="0"/>
              <w:jc w:val="center"/>
              <w:rPr>
                <w:color w:val="auto"/>
              </w:rPr>
            </w:pPr>
            <w:r>
              <w:rPr>
                <w:rFonts w:hint="eastAsia"/>
                <w:color w:val="auto"/>
                <w:sz w:val="21"/>
                <w:lang w:val="zh-CN"/>
              </w:rPr>
              <w:t>HW49</w:t>
            </w:r>
          </w:p>
        </w:tc>
        <w:tc>
          <w:tcPr>
            <w:tcW w:w="646" w:type="pct"/>
            <w:vAlign w:val="center"/>
          </w:tcPr>
          <w:p w14:paraId="0BB0A1C9">
            <w:pPr>
              <w:pStyle w:val="276"/>
              <w:rPr>
                <w:color w:val="auto"/>
              </w:rPr>
            </w:pPr>
            <w:r>
              <w:rPr>
                <w:rFonts w:hint="eastAsia"/>
                <w:color w:val="auto"/>
              </w:rPr>
              <w:t>900-039-49</w:t>
            </w:r>
          </w:p>
        </w:tc>
        <w:tc>
          <w:tcPr>
            <w:tcW w:w="425" w:type="pct"/>
            <w:vAlign w:val="center"/>
          </w:tcPr>
          <w:p w14:paraId="6CEB4361">
            <w:pPr>
              <w:pStyle w:val="276"/>
              <w:rPr>
                <w:color w:val="auto"/>
              </w:rPr>
            </w:pPr>
            <w:r>
              <w:rPr>
                <w:rFonts w:hint="eastAsia"/>
                <w:color w:val="auto"/>
              </w:rPr>
              <w:t>2.5</w:t>
            </w:r>
          </w:p>
        </w:tc>
        <w:tc>
          <w:tcPr>
            <w:tcW w:w="436" w:type="pct"/>
            <w:vAlign w:val="center"/>
          </w:tcPr>
          <w:p w14:paraId="1F272A59">
            <w:pPr>
              <w:pStyle w:val="276"/>
              <w:rPr>
                <w:color w:val="auto"/>
              </w:rPr>
            </w:pPr>
            <w:r>
              <w:rPr>
                <w:rFonts w:hint="eastAsia"/>
                <w:color w:val="auto"/>
              </w:rPr>
              <w:t>废气处理</w:t>
            </w:r>
          </w:p>
        </w:tc>
        <w:tc>
          <w:tcPr>
            <w:tcW w:w="289" w:type="pct"/>
            <w:vAlign w:val="center"/>
          </w:tcPr>
          <w:p w14:paraId="314C444E">
            <w:pPr>
              <w:pStyle w:val="276"/>
              <w:rPr>
                <w:color w:val="auto"/>
              </w:rPr>
            </w:pPr>
            <w:r>
              <w:rPr>
                <w:rFonts w:hint="eastAsia"/>
                <w:color w:val="auto"/>
              </w:rPr>
              <w:t>固</w:t>
            </w:r>
          </w:p>
        </w:tc>
        <w:tc>
          <w:tcPr>
            <w:tcW w:w="366" w:type="pct"/>
            <w:vAlign w:val="center"/>
          </w:tcPr>
          <w:p w14:paraId="47E8142A">
            <w:pPr>
              <w:pStyle w:val="276"/>
              <w:rPr>
                <w:color w:val="auto"/>
              </w:rPr>
            </w:pPr>
            <w:r>
              <w:rPr>
                <w:rFonts w:hint="eastAsia"/>
                <w:color w:val="auto"/>
              </w:rPr>
              <w:t>活性炭</w:t>
            </w:r>
          </w:p>
        </w:tc>
        <w:tc>
          <w:tcPr>
            <w:tcW w:w="396" w:type="pct"/>
            <w:vAlign w:val="center"/>
          </w:tcPr>
          <w:p w14:paraId="35B6A7C8">
            <w:pPr>
              <w:pStyle w:val="276"/>
              <w:rPr>
                <w:color w:val="auto"/>
              </w:rPr>
            </w:pPr>
            <w:r>
              <w:rPr>
                <w:rFonts w:hint="eastAsia"/>
                <w:color w:val="auto"/>
              </w:rPr>
              <w:t>VOC</w:t>
            </w:r>
            <w:r>
              <w:rPr>
                <w:rFonts w:hint="eastAsia"/>
                <w:color w:val="auto"/>
                <w:vertAlign w:val="subscript"/>
              </w:rPr>
              <w:t>S</w:t>
            </w:r>
          </w:p>
        </w:tc>
        <w:tc>
          <w:tcPr>
            <w:tcW w:w="367" w:type="pct"/>
            <w:vAlign w:val="center"/>
          </w:tcPr>
          <w:p w14:paraId="4274B4D6">
            <w:pPr>
              <w:pStyle w:val="276"/>
              <w:rPr>
                <w:color w:val="auto"/>
              </w:rPr>
            </w:pPr>
            <w:r>
              <w:rPr>
                <w:rFonts w:hint="eastAsia"/>
                <w:color w:val="auto"/>
              </w:rPr>
              <w:t>季度</w:t>
            </w:r>
          </w:p>
        </w:tc>
        <w:tc>
          <w:tcPr>
            <w:tcW w:w="468" w:type="pct"/>
            <w:vAlign w:val="center"/>
          </w:tcPr>
          <w:p w14:paraId="4A1B519B">
            <w:pPr>
              <w:pStyle w:val="276"/>
              <w:rPr>
                <w:color w:val="auto"/>
              </w:rPr>
            </w:pPr>
            <w:r>
              <w:rPr>
                <w:rFonts w:hint="eastAsia"/>
                <w:color w:val="auto"/>
              </w:rPr>
              <w:t>T</w:t>
            </w:r>
          </w:p>
        </w:tc>
        <w:tc>
          <w:tcPr>
            <w:tcW w:w="422" w:type="pct"/>
            <w:vMerge w:val="continue"/>
            <w:vAlign w:val="center"/>
          </w:tcPr>
          <w:p w14:paraId="3CF1752E">
            <w:pPr>
              <w:spacing w:line="240" w:lineRule="auto"/>
              <w:ind w:firstLine="0" w:firstLineChars="0"/>
              <w:jc w:val="center"/>
              <w:rPr>
                <w:color w:val="auto"/>
                <w:sz w:val="21"/>
                <w:lang w:val="zh-CN"/>
              </w:rPr>
            </w:pPr>
          </w:p>
        </w:tc>
      </w:tr>
      <w:tr w14:paraId="51954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0" w:type="pct"/>
            <w:vAlign w:val="center"/>
          </w:tcPr>
          <w:p w14:paraId="5393CA80">
            <w:pPr>
              <w:pStyle w:val="276"/>
              <w:rPr>
                <w:color w:val="auto"/>
              </w:rPr>
            </w:pPr>
            <w:r>
              <w:rPr>
                <w:rFonts w:hint="eastAsia"/>
                <w:color w:val="auto"/>
              </w:rPr>
              <w:t>3</w:t>
            </w:r>
          </w:p>
        </w:tc>
        <w:tc>
          <w:tcPr>
            <w:tcW w:w="523" w:type="pct"/>
            <w:vAlign w:val="center"/>
          </w:tcPr>
          <w:p w14:paraId="5B0D5F3B">
            <w:pPr>
              <w:pStyle w:val="276"/>
              <w:rPr>
                <w:color w:val="auto"/>
              </w:rPr>
            </w:pPr>
            <w:r>
              <w:rPr>
                <w:rFonts w:hint="eastAsia"/>
                <w:color w:val="auto"/>
              </w:rPr>
              <w:t>实验室废物</w:t>
            </w:r>
          </w:p>
        </w:tc>
        <w:tc>
          <w:tcPr>
            <w:tcW w:w="406" w:type="pct"/>
            <w:vAlign w:val="center"/>
          </w:tcPr>
          <w:p w14:paraId="3E1E2C29">
            <w:pPr>
              <w:widowControl/>
              <w:spacing w:line="240" w:lineRule="auto"/>
              <w:ind w:firstLine="0" w:firstLineChars="0"/>
              <w:jc w:val="center"/>
              <w:rPr>
                <w:color w:val="auto"/>
              </w:rPr>
            </w:pPr>
            <w:r>
              <w:rPr>
                <w:rFonts w:hint="eastAsia"/>
                <w:color w:val="auto"/>
                <w:sz w:val="21"/>
                <w:lang w:val="zh-CN"/>
              </w:rPr>
              <w:t>HW49</w:t>
            </w:r>
          </w:p>
        </w:tc>
        <w:tc>
          <w:tcPr>
            <w:tcW w:w="646" w:type="pct"/>
            <w:vAlign w:val="center"/>
          </w:tcPr>
          <w:p w14:paraId="382E44A8">
            <w:pPr>
              <w:pStyle w:val="276"/>
              <w:rPr>
                <w:color w:val="auto"/>
              </w:rPr>
            </w:pPr>
            <w:r>
              <w:rPr>
                <w:rFonts w:hint="eastAsia"/>
                <w:color w:val="auto"/>
              </w:rPr>
              <w:t>900-047-49</w:t>
            </w:r>
          </w:p>
        </w:tc>
        <w:tc>
          <w:tcPr>
            <w:tcW w:w="425" w:type="pct"/>
            <w:vAlign w:val="center"/>
          </w:tcPr>
          <w:p w14:paraId="515F0497">
            <w:pPr>
              <w:pStyle w:val="276"/>
              <w:rPr>
                <w:color w:val="auto"/>
                <w:lang w:val="en-US"/>
              </w:rPr>
            </w:pPr>
            <w:r>
              <w:rPr>
                <w:rFonts w:hint="eastAsia"/>
                <w:color w:val="auto"/>
                <w:lang w:val="en-US"/>
              </w:rPr>
              <w:t>3.5</w:t>
            </w:r>
          </w:p>
        </w:tc>
        <w:tc>
          <w:tcPr>
            <w:tcW w:w="436" w:type="pct"/>
            <w:vAlign w:val="center"/>
          </w:tcPr>
          <w:p w14:paraId="0510F6F7">
            <w:pPr>
              <w:pStyle w:val="276"/>
              <w:rPr>
                <w:color w:val="auto"/>
              </w:rPr>
            </w:pPr>
            <w:r>
              <w:rPr>
                <w:rFonts w:hint="eastAsia"/>
                <w:color w:val="auto"/>
              </w:rPr>
              <w:t>实验室</w:t>
            </w:r>
          </w:p>
        </w:tc>
        <w:tc>
          <w:tcPr>
            <w:tcW w:w="289" w:type="pct"/>
            <w:vAlign w:val="center"/>
          </w:tcPr>
          <w:p w14:paraId="31EE19BF">
            <w:pPr>
              <w:pStyle w:val="276"/>
              <w:rPr>
                <w:color w:val="auto"/>
              </w:rPr>
            </w:pPr>
            <w:r>
              <w:rPr>
                <w:rFonts w:hint="eastAsia"/>
                <w:color w:val="auto"/>
              </w:rPr>
              <w:t>液</w:t>
            </w:r>
          </w:p>
        </w:tc>
        <w:tc>
          <w:tcPr>
            <w:tcW w:w="366" w:type="pct"/>
            <w:vAlign w:val="center"/>
          </w:tcPr>
          <w:p w14:paraId="77AC5A03">
            <w:pPr>
              <w:pStyle w:val="276"/>
              <w:rPr>
                <w:color w:val="auto"/>
              </w:rPr>
            </w:pPr>
            <w:r>
              <w:rPr>
                <w:rFonts w:hint="eastAsia"/>
                <w:color w:val="auto"/>
              </w:rPr>
              <w:t>/</w:t>
            </w:r>
          </w:p>
        </w:tc>
        <w:tc>
          <w:tcPr>
            <w:tcW w:w="396" w:type="pct"/>
            <w:vAlign w:val="center"/>
          </w:tcPr>
          <w:p w14:paraId="57017995">
            <w:pPr>
              <w:pStyle w:val="276"/>
              <w:rPr>
                <w:color w:val="auto"/>
              </w:rPr>
            </w:pPr>
            <w:r>
              <w:rPr>
                <w:rFonts w:hint="eastAsia"/>
                <w:color w:val="auto"/>
              </w:rPr>
              <w:t>酸碱等</w:t>
            </w:r>
          </w:p>
        </w:tc>
        <w:tc>
          <w:tcPr>
            <w:tcW w:w="367" w:type="pct"/>
            <w:vAlign w:val="center"/>
          </w:tcPr>
          <w:p w14:paraId="2397E09F">
            <w:pPr>
              <w:pStyle w:val="276"/>
              <w:rPr>
                <w:color w:val="auto"/>
              </w:rPr>
            </w:pPr>
            <w:r>
              <w:rPr>
                <w:rFonts w:hint="eastAsia"/>
                <w:color w:val="auto"/>
              </w:rPr>
              <w:t>每月</w:t>
            </w:r>
          </w:p>
        </w:tc>
        <w:tc>
          <w:tcPr>
            <w:tcW w:w="468" w:type="pct"/>
            <w:vAlign w:val="center"/>
          </w:tcPr>
          <w:p w14:paraId="00AD41AC">
            <w:pPr>
              <w:pStyle w:val="276"/>
              <w:rPr>
                <w:color w:val="auto"/>
              </w:rPr>
            </w:pPr>
            <w:r>
              <w:rPr>
                <w:rFonts w:hint="eastAsia"/>
                <w:color w:val="auto"/>
              </w:rPr>
              <w:t>T/C/I/R</w:t>
            </w:r>
          </w:p>
        </w:tc>
        <w:tc>
          <w:tcPr>
            <w:tcW w:w="422" w:type="pct"/>
            <w:vMerge w:val="continue"/>
            <w:vAlign w:val="center"/>
          </w:tcPr>
          <w:p w14:paraId="4A2F3E2C">
            <w:pPr>
              <w:spacing w:line="240" w:lineRule="auto"/>
              <w:ind w:firstLine="0" w:firstLineChars="0"/>
              <w:jc w:val="center"/>
              <w:rPr>
                <w:color w:val="auto"/>
                <w:sz w:val="21"/>
                <w:lang w:val="zh-CN"/>
              </w:rPr>
            </w:pPr>
          </w:p>
        </w:tc>
      </w:tr>
      <w:tr w14:paraId="086D5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0" w:type="pct"/>
            <w:vAlign w:val="center"/>
          </w:tcPr>
          <w:p w14:paraId="759A8B08">
            <w:pPr>
              <w:pStyle w:val="276"/>
              <w:rPr>
                <w:color w:val="auto"/>
              </w:rPr>
            </w:pPr>
            <w:r>
              <w:rPr>
                <w:rFonts w:hint="eastAsia"/>
                <w:color w:val="auto"/>
              </w:rPr>
              <w:t>4</w:t>
            </w:r>
          </w:p>
        </w:tc>
        <w:tc>
          <w:tcPr>
            <w:tcW w:w="523" w:type="pct"/>
            <w:vAlign w:val="center"/>
          </w:tcPr>
          <w:p w14:paraId="3043C02C">
            <w:pPr>
              <w:pStyle w:val="276"/>
              <w:rPr>
                <w:color w:val="auto"/>
              </w:rPr>
            </w:pPr>
            <w:r>
              <w:rPr>
                <w:rFonts w:hint="eastAsia"/>
                <w:color w:val="auto"/>
              </w:rPr>
              <w:t>废油类、废油桶及含油废物</w:t>
            </w:r>
          </w:p>
        </w:tc>
        <w:tc>
          <w:tcPr>
            <w:tcW w:w="406" w:type="pct"/>
            <w:vAlign w:val="center"/>
          </w:tcPr>
          <w:p w14:paraId="7E753560">
            <w:pPr>
              <w:widowControl/>
              <w:spacing w:line="240" w:lineRule="auto"/>
              <w:ind w:firstLine="0" w:firstLineChars="0"/>
              <w:jc w:val="center"/>
              <w:rPr>
                <w:color w:val="auto"/>
                <w:sz w:val="21"/>
                <w:lang w:val="zh-CN"/>
              </w:rPr>
            </w:pPr>
            <w:r>
              <w:rPr>
                <w:rFonts w:hint="eastAsia"/>
                <w:color w:val="auto"/>
                <w:sz w:val="21"/>
                <w:lang w:val="zh-CN"/>
              </w:rPr>
              <w:t>HW08</w:t>
            </w:r>
          </w:p>
        </w:tc>
        <w:tc>
          <w:tcPr>
            <w:tcW w:w="646" w:type="pct"/>
            <w:vAlign w:val="center"/>
          </w:tcPr>
          <w:p w14:paraId="5C809A31">
            <w:pPr>
              <w:pStyle w:val="276"/>
              <w:rPr>
                <w:color w:val="auto"/>
              </w:rPr>
            </w:pPr>
            <w:r>
              <w:rPr>
                <w:rFonts w:hint="eastAsia"/>
                <w:color w:val="auto"/>
              </w:rPr>
              <w:t>900-249-08</w:t>
            </w:r>
          </w:p>
        </w:tc>
        <w:tc>
          <w:tcPr>
            <w:tcW w:w="425" w:type="pct"/>
            <w:vAlign w:val="center"/>
          </w:tcPr>
          <w:p w14:paraId="63453C14">
            <w:pPr>
              <w:pStyle w:val="276"/>
              <w:rPr>
                <w:color w:val="auto"/>
              </w:rPr>
            </w:pPr>
            <w:r>
              <w:rPr>
                <w:rFonts w:hint="eastAsia"/>
                <w:color w:val="auto"/>
              </w:rPr>
              <w:t>12</w:t>
            </w:r>
          </w:p>
        </w:tc>
        <w:tc>
          <w:tcPr>
            <w:tcW w:w="436" w:type="pct"/>
            <w:vAlign w:val="center"/>
          </w:tcPr>
          <w:p w14:paraId="0CC5D1E4">
            <w:pPr>
              <w:pStyle w:val="276"/>
              <w:rPr>
                <w:color w:val="auto"/>
              </w:rPr>
            </w:pPr>
            <w:r>
              <w:rPr>
                <w:rFonts w:hint="eastAsia"/>
                <w:color w:val="auto"/>
              </w:rPr>
              <w:t>机械设备</w:t>
            </w:r>
          </w:p>
        </w:tc>
        <w:tc>
          <w:tcPr>
            <w:tcW w:w="289" w:type="pct"/>
            <w:vAlign w:val="center"/>
          </w:tcPr>
          <w:p w14:paraId="06FA8925">
            <w:pPr>
              <w:pStyle w:val="276"/>
              <w:rPr>
                <w:color w:val="auto"/>
              </w:rPr>
            </w:pPr>
            <w:r>
              <w:rPr>
                <w:rFonts w:hint="eastAsia"/>
                <w:color w:val="auto"/>
              </w:rPr>
              <w:t>固</w:t>
            </w:r>
          </w:p>
        </w:tc>
        <w:tc>
          <w:tcPr>
            <w:tcW w:w="366" w:type="pct"/>
            <w:vAlign w:val="center"/>
          </w:tcPr>
          <w:p w14:paraId="12B88EE0">
            <w:pPr>
              <w:pStyle w:val="276"/>
              <w:rPr>
                <w:color w:val="auto"/>
              </w:rPr>
            </w:pPr>
            <w:r>
              <w:rPr>
                <w:rFonts w:hint="eastAsia"/>
                <w:color w:val="auto"/>
              </w:rPr>
              <w:t>油类</w:t>
            </w:r>
          </w:p>
        </w:tc>
        <w:tc>
          <w:tcPr>
            <w:tcW w:w="396" w:type="pct"/>
            <w:vAlign w:val="center"/>
          </w:tcPr>
          <w:p w14:paraId="0E3BD2DB">
            <w:pPr>
              <w:pStyle w:val="276"/>
              <w:rPr>
                <w:color w:val="auto"/>
              </w:rPr>
            </w:pPr>
            <w:r>
              <w:rPr>
                <w:rFonts w:hint="eastAsia"/>
                <w:color w:val="auto"/>
              </w:rPr>
              <w:t>油类等</w:t>
            </w:r>
          </w:p>
        </w:tc>
        <w:tc>
          <w:tcPr>
            <w:tcW w:w="367" w:type="pct"/>
            <w:vAlign w:val="center"/>
          </w:tcPr>
          <w:p w14:paraId="702F1895">
            <w:pPr>
              <w:pStyle w:val="276"/>
              <w:rPr>
                <w:color w:val="auto"/>
              </w:rPr>
            </w:pPr>
            <w:r>
              <w:rPr>
                <w:rFonts w:hint="eastAsia"/>
                <w:color w:val="auto"/>
              </w:rPr>
              <w:t>每天</w:t>
            </w:r>
          </w:p>
        </w:tc>
        <w:tc>
          <w:tcPr>
            <w:tcW w:w="468" w:type="pct"/>
            <w:vAlign w:val="center"/>
          </w:tcPr>
          <w:p w14:paraId="1ADA958C">
            <w:pPr>
              <w:pStyle w:val="276"/>
              <w:rPr>
                <w:color w:val="auto"/>
              </w:rPr>
            </w:pPr>
            <w:r>
              <w:rPr>
                <w:rFonts w:hint="eastAsia"/>
                <w:color w:val="auto"/>
              </w:rPr>
              <w:t>T/I</w:t>
            </w:r>
          </w:p>
        </w:tc>
        <w:tc>
          <w:tcPr>
            <w:tcW w:w="422" w:type="pct"/>
            <w:vMerge w:val="continue"/>
          </w:tcPr>
          <w:p w14:paraId="7ABB71B8">
            <w:pPr>
              <w:spacing w:line="240" w:lineRule="auto"/>
              <w:ind w:firstLine="0" w:firstLineChars="0"/>
              <w:jc w:val="center"/>
              <w:rPr>
                <w:color w:val="auto"/>
                <w:sz w:val="21"/>
                <w:lang w:val="zh-CN"/>
              </w:rPr>
            </w:pPr>
          </w:p>
        </w:tc>
      </w:tr>
      <w:tr w14:paraId="74E7F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0" w:type="pct"/>
            <w:vAlign w:val="center"/>
          </w:tcPr>
          <w:p w14:paraId="0DA6FC7B">
            <w:pPr>
              <w:pStyle w:val="276"/>
              <w:rPr>
                <w:color w:val="auto"/>
              </w:rPr>
            </w:pPr>
            <w:r>
              <w:rPr>
                <w:rFonts w:hint="eastAsia"/>
                <w:color w:val="auto"/>
              </w:rPr>
              <w:t>5</w:t>
            </w:r>
          </w:p>
        </w:tc>
        <w:tc>
          <w:tcPr>
            <w:tcW w:w="523" w:type="pct"/>
            <w:shd w:val="clear" w:color="auto" w:fill="auto"/>
            <w:vAlign w:val="center"/>
          </w:tcPr>
          <w:p w14:paraId="6FBD1646">
            <w:pPr>
              <w:pStyle w:val="276"/>
              <w:ind w:firstLine="0" w:firstLineChars="0"/>
              <w:rPr>
                <w:rFonts w:hint="eastAsia" w:ascii="Times New Roman" w:hAnsi="Times New Roman" w:eastAsia="宋体" w:cs="Times New Roman"/>
                <w:bCs/>
                <w:color w:val="auto"/>
                <w:kern w:val="2"/>
                <w:sz w:val="24"/>
                <w:szCs w:val="21"/>
                <w:lang w:val="zh-CN" w:eastAsia="zh-CN" w:bidi="ar-SA"/>
              </w:rPr>
            </w:pPr>
            <w:r>
              <w:rPr>
                <w:rFonts w:hint="eastAsia"/>
                <w:color w:val="auto"/>
              </w:rPr>
              <w:t>废膜</w:t>
            </w:r>
          </w:p>
        </w:tc>
        <w:tc>
          <w:tcPr>
            <w:tcW w:w="406" w:type="pct"/>
            <w:shd w:val="clear" w:color="auto" w:fill="auto"/>
            <w:vAlign w:val="center"/>
          </w:tcPr>
          <w:p w14:paraId="148476B2">
            <w:pPr>
              <w:widowControl/>
              <w:spacing w:line="240" w:lineRule="auto"/>
              <w:ind w:firstLine="0" w:firstLineChars="0"/>
              <w:jc w:val="center"/>
              <w:rPr>
                <w:rFonts w:ascii="Times New Roman" w:hAnsi="Times New Roman" w:eastAsia="宋体" w:cs="Times New Roman"/>
                <w:color w:val="auto"/>
                <w:kern w:val="2"/>
                <w:sz w:val="24"/>
                <w:lang w:val="zh-CN" w:eastAsia="zh-CN" w:bidi="ar-SA"/>
              </w:rPr>
            </w:pPr>
            <w:r>
              <w:rPr>
                <w:rFonts w:hint="eastAsia"/>
                <w:color w:val="auto"/>
                <w:sz w:val="21"/>
                <w:lang w:val="zh-CN"/>
              </w:rPr>
              <w:t>HW49</w:t>
            </w:r>
          </w:p>
        </w:tc>
        <w:tc>
          <w:tcPr>
            <w:tcW w:w="646" w:type="pct"/>
            <w:shd w:val="clear" w:color="auto" w:fill="auto"/>
            <w:vAlign w:val="center"/>
          </w:tcPr>
          <w:p w14:paraId="729301E4">
            <w:pPr>
              <w:pStyle w:val="276"/>
              <w:ind w:firstLine="0" w:firstLineChars="0"/>
              <w:rPr>
                <w:rFonts w:ascii="Times New Roman" w:hAnsi="Times New Roman" w:eastAsia="宋体" w:cs="Times New Roman"/>
                <w:color w:val="auto"/>
                <w:kern w:val="2"/>
                <w:sz w:val="21"/>
                <w:szCs w:val="21"/>
                <w:lang w:val="zh-CN" w:eastAsia="zh-CN" w:bidi="ar-SA"/>
              </w:rPr>
            </w:pPr>
            <w:r>
              <w:rPr>
                <w:rFonts w:hint="eastAsia"/>
                <w:color w:val="auto"/>
              </w:rPr>
              <w:t>900-0</w:t>
            </w:r>
            <w:r>
              <w:rPr>
                <w:rFonts w:hint="eastAsia"/>
                <w:color w:val="auto"/>
                <w:lang w:val="en-US"/>
              </w:rPr>
              <w:t>41</w:t>
            </w:r>
            <w:r>
              <w:rPr>
                <w:rFonts w:hint="eastAsia"/>
                <w:color w:val="auto"/>
              </w:rPr>
              <w:t>-49</w:t>
            </w:r>
          </w:p>
        </w:tc>
        <w:tc>
          <w:tcPr>
            <w:tcW w:w="425" w:type="pct"/>
            <w:shd w:val="clear" w:color="auto" w:fill="auto"/>
            <w:vAlign w:val="center"/>
          </w:tcPr>
          <w:p w14:paraId="56124F3F">
            <w:pPr>
              <w:pStyle w:val="276"/>
              <w:ind w:firstLine="0" w:firstLineChars="0"/>
              <w:rPr>
                <w:rFonts w:ascii="Times New Roman" w:hAnsi="Times New Roman" w:eastAsia="宋体" w:cs="Times New Roman"/>
                <w:color w:val="auto"/>
                <w:kern w:val="2"/>
                <w:sz w:val="21"/>
                <w:szCs w:val="21"/>
                <w:lang w:val="zh-CN" w:eastAsia="zh-CN" w:bidi="ar-SA"/>
              </w:rPr>
            </w:pPr>
            <w:r>
              <w:rPr>
                <w:rFonts w:hint="eastAsia"/>
                <w:color w:val="auto"/>
              </w:rPr>
              <w:t>1</w:t>
            </w:r>
          </w:p>
        </w:tc>
        <w:tc>
          <w:tcPr>
            <w:tcW w:w="436" w:type="pct"/>
            <w:shd w:val="clear" w:color="auto" w:fill="auto"/>
            <w:vAlign w:val="center"/>
          </w:tcPr>
          <w:p w14:paraId="0167E476">
            <w:pPr>
              <w:pStyle w:val="276"/>
              <w:ind w:firstLine="0" w:firstLineChars="0"/>
              <w:rPr>
                <w:rFonts w:ascii="Times New Roman" w:hAnsi="Times New Roman" w:eastAsia="宋体" w:cs="Times New Roman"/>
                <w:color w:val="auto"/>
                <w:kern w:val="2"/>
                <w:sz w:val="21"/>
                <w:szCs w:val="21"/>
                <w:lang w:val="zh-CN" w:eastAsia="zh-CN" w:bidi="ar-SA"/>
              </w:rPr>
            </w:pPr>
            <w:r>
              <w:rPr>
                <w:rFonts w:hint="eastAsia"/>
                <w:color w:val="auto"/>
              </w:rPr>
              <w:t>废水处理</w:t>
            </w:r>
          </w:p>
        </w:tc>
        <w:tc>
          <w:tcPr>
            <w:tcW w:w="289" w:type="pct"/>
            <w:shd w:val="clear" w:color="auto" w:fill="auto"/>
            <w:vAlign w:val="center"/>
          </w:tcPr>
          <w:p w14:paraId="42D55DAD">
            <w:pPr>
              <w:pStyle w:val="276"/>
              <w:ind w:firstLine="0" w:firstLineChars="0"/>
              <w:rPr>
                <w:rFonts w:ascii="Times New Roman" w:hAnsi="Times New Roman" w:eastAsia="宋体" w:cs="Times New Roman"/>
                <w:color w:val="auto"/>
                <w:kern w:val="2"/>
                <w:sz w:val="21"/>
                <w:szCs w:val="21"/>
                <w:lang w:val="zh-CN" w:eastAsia="zh-CN" w:bidi="ar-SA"/>
              </w:rPr>
            </w:pPr>
            <w:r>
              <w:rPr>
                <w:rFonts w:hint="eastAsia"/>
                <w:color w:val="auto"/>
              </w:rPr>
              <w:t>固</w:t>
            </w:r>
          </w:p>
        </w:tc>
        <w:tc>
          <w:tcPr>
            <w:tcW w:w="366" w:type="pct"/>
            <w:shd w:val="clear" w:color="auto" w:fill="auto"/>
            <w:vAlign w:val="center"/>
          </w:tcPr>
          <w:p w14:paraId="46343E72">
            <w:pPr>
              <w:pStyle w:val="276"/>
              <w:ind w:firstLine="0" w:firstLineChars="0"/>
              <w:rPr>
                <w:rFonts w:ascii="Times New Roman" w:hAnsi="Times New Roman" w:eastAsia="宋体" w:cs="Times New Roman"/>
                <w:color w:val="auto"/>
                <w:kern w:val="2"/>
                <w:sz w:val="21"/>
                <w:szCs w:val="21"/>
                <w:lang w:val="zh-CN" w:eastAsia="zh-CN" w:bidi="ar-SA"/>
              </w:rPr>
            </w:pPr>
            <w:r>
              <w:rPr>
                <w:rFonts w:hint="eastAsia"/>
                <w:color w:val="auto"/>
              </w:rPr>
              <w:t>反渗透膜</w:t>
            </w:r>
          </w:p>
        </w:tc>
        <w:tc>
          <w:tcPr>
            <w:tcW w:w="396" w:type="pct"/>
            <w:shd w:val="clear" w:color="auto" w:fill="auto"/>
            <w:vAlign w:val="center"/>
          </w:tcPr>
          <w:p w14:paraId="3361C401">
            <w:pPr>
              <w:pStyle w:val="276"/>
              <w:ind w:firstLine="0" w:firstLineChars="0"/>
              <w:rPr>
                <w:rFonts w:ascii="Times New Roman" w:hAnsi="Times New Roman" w:eastAsia="宋体" w:cs="Times New Roman"/>
                <w:color w:val="auto"/>
                <w:kern w:val="2"/>
                <w:sz w:val="21"/>
                <w:szCs w:val="21"/>
                <w:lang w:val="zh-CN" w:eastAsia="zh-CN" w:bidi="ar-SA"/>
              </w:rPr>
            </w:pPr>
            <w:r>
              <w:rPr>
                <w:rFonts w:hint="eastAsia"/>
                <w:color w:val="auto"/>
              </w:rPr>
              <w:t>酸碱等</w:t>
            </w:r>
          </w:p>
        </w:tc>
        <w:tc>
          <w:tcPr>
            <w:tcW w:w="367" w:type="pct"/>
            <w:shd w:val="clear" w:color="auto" w:fill="auto"/>
            <w:vAlign w:val="center"/>
          </w:tcPr>
          <w:p w14:paraId="1AA5C730">
            <w:pPr>
              <w:pStyle w:val="276"/>
              <w:ind w:firstLine="0" w:firstLineChars="0"/>
              <w:rPr>
                <w:rFonts w:ascii="Times New Roman" w:hAnsi="Times New Roman" w:eastAsia="宋体" w:cs="Times New Roman"/>
                <w:color w:val="auto"/>
                <w:kern w:val="2"/>
                <w:sz w:val="21"/>
                <w:szCs w:val="21"/>
                <w:lang w:val="zh-CN" w:eastAsia="zh-CN" w:bidi="ar-SA"/>
              </w:rPr>
            </w:pPr>
            <w:r>
              <w:rPr>
                <w:rFonts w:hint="eastAsia"/>
                <w:color w:val="auto"/>
              </w:rPr>
              <w:t>每月</w:t>
            </w:r>
          </w:p>
        </w:tc>
        <w:tc>
          <w:tcPr>
            <w:tcW w:w="468" w:type="pct"/>
            <w:shd w:val="clear" w:color="auto" w:fill="auto"/>
            <w:vAlign w:val="center"/>
          </w:tcPr>
          <w:p w14:paraId="4ADC3910">
            <w:pPr>
              <w:pStyle w:val="276"/>
              <w:ind w:firstLine="0" w:firstLineChars="0"/>
              <w:rPr>
                <w:rFonts w:ascii="Times New Roman" w:hAnsi="Times New Roman" w:eastAsia="宋体" w:cs="Times New Roman"/>
                <w:color w:val="auto"/>
                <w:kern w:val="2"/>
                <w:sz w:val="21"/>
                <w:szCs w:val="21"/>
                <w:lang w:val="zh-CN" w:eastAsia="zh-CN" w:bidi="ar-SA"/>
              </w:rPr>
            </w:pPr>
            <w:r>
              <w:rPr>
                <w:rFonts w:hint="eastAsia"/>
                <w:color w:val="auto"/>
              </w:rPr>
              <w:t>T/In</w:t>
            </w:r>
          </w:p>
        </w:tc>
        <w:tc>
          <w:tcPr>
            <w:tcW w:w="422" w:type="pct"/>
            <w:vMerge w:val="continue"/>
          </w:tcPr>
          <w:p w14:paraId="779E93A7">
            <w:pPr>
              <w:spacing w:line="240" w:lineRule="auto"/>
              <w:ind w:firstLine="0" w:firstLineChars="0"/>
              <w:jc w:val="center"/>
              <w:rPr>
                <w:color w:val="auto"/>
                <w:sz w:val="21"/>
                <w:lang w:val="zh-CN"/>
              </w:rPr>
            </w:pPr>
          </w:p>
        </w:tc>
      </w:tr>
    </w:tbl>
    <w:p w14:paraId="18EB8B14">
      <w:pPr>
        <w:pStyle w:val="185"/>
        <w:rPr>
          <w:color w:val="auto"/>
        </w:rPr>
      </w:pPr>
    </w:p>
    <w:p w14:paraId="040B6806">
      <w:pPr>
        <w:pStyle w:val="185"/>
        <w:rPr>
          <w:color w:val="auto"/>
          <w:szCs w:val="24"/>
        </w:rPr>
      </w:pPr>
      <w:r>
        <w:rPr>
          <w:color w:val="auto"/>
        </w:rPr>
        <w:t>表10.3-8   固体废物处理处置方式</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5"/>
        <w:gridCol w:w="3440"/>
        <w:gridCol w:w="1224"/>
        <w:gridCol w:w="3047"/>
      </w:tblGrid>
      <w:tr w14:paraId="14C28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48" w:type="pct"/>
            <w:vAlign w:val="center"/>
          </w:tcPr>
          <w:p w14:paraId="0442FAC6">
            <w:pPr>
              <w:pStyle w:val="276"/>
              <w:rPr>
                <w:color w:val="auto"/>
              </w:rPr>
            </w:pPr>
            <w:r>
              <w:rPr>
                <w:rFonts w:hint="eastAsia"/>
                <w:color w:val="auto"/>
              </w:rPr>
              <w:t>固废类型</w:t>
            </w:r>
          </w:p>
        </w:tc>
        <w:tc>
          <w:tcPr>
            <w:tcW w:w="1852" w:type="pct"/>
            <w:vAlign w:val="center"/>
          </w:tcPr>
          <w:p w14:paraId="449308A6">
            <w:pPr>
              <w:pStyle w:val="276"/>
              <w:rPr>
                <w:color w:val="auto"/>
                <w:sz w:val="24"/>
                <w:szCs w:val="24"/>
              </w:rPr>
            </w:pPr>
            <w:r>
              <w:rPr>
                <w:rFonts w:hint="eastAsia"/>
                <w:color w:val="auto"/>
              </w:rPr>
              <w:t>固废名称</w:t>
            </w:r>
          </w:p>
        </w:tc>
        <w:tc>
          <w:tcPr>
            <w:tcW w:w="659" w:type="pct"/>
            <w:vAlign w:val="center"/>
          </w:tcPr>
          <w:p w14:paraId="1D06FCEA">
            <w:pPr>
              <w:pStyle w:val="276"/>
              <w:rPr>
                <w:color w:val="auto"/>
                <w:sz w:val="24"/>
                <w:szCs w:val="24"/>
              </w:rPr>
            </w:pPr>
            <w:r>
              <w:rPr>
                <w:rFonts w:hint="eastAsia"/>
                <w:color w:val="auto"/>
              </w:rPr>
              <w:t>产生量</w:t>
            </w:r>
            <w:r>
              <w:rPr>
                <w:rFonts w:hint="eastAsia"/>
                <w:color w:val="auto"/>
                <w:lang w:eastAsia="zh-CN"/>
              </w:rPr>
              <w:t>（</w:t>
            </w:r>
            <w:r>
              <w:rPr>
                <w:rFonts w:hint="eastAsia"/>
                <w:color w:val="auto"/>
              </w:rPr>
              <w:t>t/a</w:t>
            </w:r>
            <w:r>
              <w:rPr>
                <w:rFonts w:hint="eastAsia"/>
                <w:color w:val="auto"/>
                <w:lang w:eastAsia="zh-CN"/>
              </w:rPr>
              <w:t>）</w:t>
            </w:r>
          </w:p>
        </w:tc>
        <w:tc>
          <w:tcPr>
            <w:tcW w:w="1640" w:type="pct"/>
            <w:vAlign w:val="center"/>
          </w:tcPr>
          <w:p w14:paraId="32399DAC">
            <w:pPr>
              <w:pStyle w:val="276"/>
              <w:rPr>
                <w:color w:val="auto"/>
                <w:sz w:val="24"/>
                <w:szCs w:val="24"/>
              </w:rPr>
            </w:pPr>
            <w:r>
              <w:rPr>
                <w:rFonts w:hint="eastAsia"/>
                <w:color w:val="auto"/>
              </w:rPr>
              <w:t>处置方式</w:t>
            </w:r>
          </w:p>
        </w:tc>
      </w:tr>
      <w:tr w14:paraId="615BB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pct"/>
            <w:vAlign w:val="center"/>
          </w:tcPr>
          <w:p w14:paraId="6ADC6494">
            <w:pPr>
              <w:pStyle w:val="276"/>
              <w:rPr>
                <w:color w:val="auto"/>
              </w:rPr>
            </w:pPr>
            <w:r>
              <w:rPr>
                <w:rFonts w:hint="eastAsia"/>
                <w:color w:val="auto"/>
              </w:rPr>
              <w:t>一般工业固废</w:t>
            </w:r>
          </w:p>
        </w:tc>
        <w:tc>
          <w:tcPr>
            <w:tcW w:w="1852" w:type="pct"/>
            <w:vAlign w:val="center"/>
          </w:tcPr>
          <w:p w14:paraId="3F4F36A9">
            <w:pPr>
              <w:pStyle w:val="276"/>
              <w:rPr>
                <w:color w:val="auto"/>
              </w:rPr>
            </w:pPr>
            <w:r>
              <w:rPr>
                <w:rFonts w:hint="eastAsia"/>
                <w:color w:val="auto"/>
              </w:rPr>
              <w:t>不沾染危险化学品的废包装材料</w:t>
            </w:r>
          </w:p>
        </w:tc>
        <w:tc>
          <w:tcPr>
            <w:tcW w:w="659" w:type="pct"/>
            <w:vAlign w:val="center"/>
          </w:tcPr>
          <w:p w14:paraId="55DB6833">
            <w:pPr>
              <w:pStyle w:val="276"/>
              <w:rPr>
                <w:color w:val="auto"/>
                <w:lang w:val="en-US"/>
              </w:rPr>
            </w:pPr>
            <w:r>
              <w:rPr>
                <w:rFonts w:hint="eastAsia"/>
                <w:color w:val="auto"/>
              </w:rPr>
              <w:t>5</w:t>
            </w:r>
          </w:p>
        </w:tc>
        <w:tc>
          <w:tcPr>
            <w:tcW w:w="1640" w:type="pct"/>
            <w:vAlign w:val="center"/>
          </w:tcPr>
          <w:p w14:paraId="2A57573A">
            <w:pPr>
              <w:pStyle w:val="276"/>
              <w:rPr>
                <w:color w:val="auto"/>
              </w:rPr>
            </w:pPr>
            <w:r>
              <w:rPr>
                <w:rFonts w:hint="eastAsia"/>
                <w:color w:val="auto"/>
              </w:rPr>
              <w:t>交有处置能力单位综合利用</w:t>
            </w:r>
          </w:p>
        </w:tc>
      </w:tr>
      <w:tr w14:paraId="0DF06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848" w:type="pct"/>
            <w:vMerge w:val="restart"/>
            <w:vAlign w:val="center"/>
          </w:tcPr>
          <w:p w14:paraId="65CBE855">
            <w:pPr>
              <w:pStyle w:val="276"/>
              <w:rPr>
                <w:color w:val="auto"/>
              </w:rPr>
            </w:pPr>
            <w:r>
              <w:rPr>
                <w:rFonts w:hint="eastAsia"/>
                <w:color w:val="auto"/>
              </w:rPr>
              <w:t>危险废物</w:t>
            </w:r>
          </w:p>
        </w:tc>
        <w:tc>
          <w:tcPr>
            <w:tcW w:w="1852" w:type="pct"/>
            <w:vAlign w:val="center"/>
          </w:tcPr>
          <w:p w14:paraId="7AECDBD1">
            <w:pPr>
              <w:pStyle w:val="276"/>
              <w:rPr>
                <w:color w:val="auto"/>
              </w:rPr>
            </w:pPr>
            <w:r>
              <w:rPr>
                <w:rFonts w:hint="eastAsia"/>
                <w:color w:val="auto"/>
              </w:rPr>
              <w:t>废包装材料</w:t>
            </w:r>
          </w:p>
        </w:tc>
        <w:tc>
          <w:tcPr>
            <w:tcW w:w="659" w:type="pct"/>
            <w:vAlign w:val="center"/>
          </w:tcPr>
          <w:p w14:paraId="1F1CBB55">
            <w:pPr>
              <w:pStyle w:val="276"/>
              <w:rPr>
                <w:color w:val="auto"/>
              </w:rPr>
            </w:pPr>
            <w:r>
              <w:rPr>
                <w:rFonts w:hint="eastAsia"/>
                <w:color w:val="auto"/>
              </w:rPr>
              <w:t>1</w:t>
            </w:r>
          </w:p>
        </w:tc>
        <w:tc>
          <w:tcPr>
            <w:tcW w:w="1640" w:type="pct"/>
            <w:vMerge w:val="restart"/>
            <w:vAlign w:val="center"/>
          </w:tcPr>
          <w:p w14:paraId="4F11E7E6">
            <w:pPr>
              <w:pStyle w:val="276"/>
              <w:rPr>
                <w:color w:val="auto"/>
              </w:rPr>
            </w:pPr>
            <w:r>
              <w:rPr>
                <w:rFonts w:hint="eastAsia"/>
                <w:color w:val="auto"/>
              </w:rPr>
              <w:t>委托有资质单位处置</w:t>
            </w:r>
          </w:p>
        </w:tc>
      </w:tr>
      <w:tr w14:paraId="78401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848" w:type="pct"/>
            <w:vMerge w:val="continue"/>
            <w:vAlign w:val="center"/>
          </w:tcPr>
          <w:p w14:paraId="218C95ED">
            <w:pPr>
              <w:pStyle w:val="276"/>
              <w:rPr>
                <w:color w:val="auto"/>
              </w:rPr>
            </w:pPr>
          </w:p>
        </w:tc>
        <w:tc>
          <w:tcPr>
            <w:tcW w:w="1852" w:type="pct"/>
            <w:vAlign w:val="center"/>
          </w:tcPr>
          <w:p w14:paraId="3667D07E">
            <w:pPr>
              <w:pStyle w:val="276"/>
              <w:rPr>
                <w:color w:val="auto"/>
              </w:rPr>
            </w:pPr>
            <w:r>
              <w:rPr>
                <w:rFonts w:hint="eastAsia"/>
                <w:color w:val="auto"/>
              </w:rPr>
              <w:t>废活性炭</w:t>
            </w:r>
          </w:p>
        </w:tc>
        <w:tc>
          <w:tcPr>
            <w:tcW w:w="659" w:type="pct"/>
            <w:vAlign w:val="center"/>
          </w:tcPr>
          <w:p w14:paraId="02E10E86">
            <w:pPr>
              <w:pStyle w:val="276"/>
              <w:rPr>
                <w:color w:val="auto"/>
              </w:rPr>
            </w:pPr>
            <w:r>
              <w:rPr>
                <w:rFonts w:hint="eastAsia"/>
                <w:color w:val="auto"/>
              </w:rPr>
              <w:t>2.5</w:t>
            </w:r>
          </w:p>
        </w:tc>
        <w:tc>
          <w:tcPr>
            <w:tcW w:w="1640" w:type="pct"/>
            <w:vMerge w:val="continue"/>
            <w:vAlign w:val="center"/>
          </w:tcPr>
          <w:p w14:paraId="62B1F367">
            <w:pPr>
              <w:pStyle w:val="276"/>
              <w:rPr>
                <w:color w:val="auto"/>
              </w:rPr>
            </w:pPr>
          </w:p>
        </w:tc>
      </w:tr>
      <w:tr w14:paraId="48BD3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848" w:type="pct"/>
            <w:vMerge w:val="continue"/>
            <w:vAlign w:val="center"/>
          </w:tcPr>
          <w:p w14:paraId="1E27EB04">
            <w:pPr>
              <w:pStyle w:val="276"/>
              <w:rPr>
                <w:color w:val="auto"/>
              </w:rPr>
            </w:pPr>
          </w:p>
        </w:tc>
        <w:tc>
          <w:tcPr>
            <w:tcW w:w="1852" w:type="pct"/>
            <w:vAlign w:val="center"/>
          </w:tcPr>
          <w:p w14:paraId="493519E9">
            <w:pPr>
              <w:pStyle w:val="276"/>
              <w:rPr>
                <w:color w:val="auto"/>
              </w:rPr>
            </w:pPr>
            <w:r>
              <w:rPr>
                <w:rFonts w:hint="eastAsia"/>
                <w:color w:val="auto"/>
              </w:rPr>
              <w:t>实验室废物</w:t>
            </w:r>
          </w:p>
        </w:tc>
        <w:tc>
          <w:tcPr>
            <w:tcW w:w="659" w:type="pct"/>
            <w:vAlign w:val="center"/>
          </w:tcPr>
          <w:p w14:paraId="22BF2E76">
            <w:pPr>
              <w:pStyle w:val="276"/>
              <w:rPr>
                <w:color w:val="auto"/>
                <w:lang w:val="en-US"/>
              </w:rPr>
            </w:pPr>
            <w:r>
              <w:rPr>
                <w:rFonts w:hint="eastAsia"/>
                <w:color w:val="auto"/>
                <w:lang w:val="en-US"/>
              </w:rPr>
              <w:t>3.5</w:t>
            </w:r>
          </w:p>
        </w:tc>
        <w:tc>
          <w:tcPr>
            <w:tcW w:w="1640" w:type="pct"/>
            <w:vMerge w:val="continue"/>
            <w:vAlign w:val="center"/>
          </w:tcPr>
          <w:p w14:paraId="6CD8DC51">
            <w:pPr>
              <w:pStyle w:val="276"/>
              <w:rPr>
                <w:color w:val="auto"/>
              </w:rPr>
            </w:pPr>
          </w:p>
        </w:tc>
      </w:tr>
      <w:tr w14:paraId="3E536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848" w:type="pct"/>
            <w:vMerge w:val="continue"/>
            <w:vAlign w:val="center"/>
          </w:tcPr>
          <w:p w14:paraId="556FAB31">
            <w:pPr>
              <w:pStyle w:val="276"/>
              <w:rPr>
                <w:color w:val="auto"/>
              </w:rPr>
            </w:pPr>
          </w:p>
        </w:tc>
        <w:tc>
          <w:tcPr>
            <w:tcW w:w="1852" w:type="pct"/>
            <w:vAlign w:val="center"/>
          </w:tcPr>
          <w:p w14:paraId="0A438D46">
            <w:pPr>
              <w:pStyle w:val="276"/>
              <w:rPr>
                <w:color w:val="auto"/>
              </w:rPr>
            </w:pPr>
            <w:r>
              <w:rPr>
                <w:rFonts w:hint="eastAsia"/>
                <w:color w:val="auto"/>
              </w:rPr>
              <w:t>废油类、废油桶及含油废物</w:t>
            </w:r>
          </w:p>
        </w:tc>
        <w:tc>
          <w:tcPr>
            <w:tcW w:w="659" w:type="pct"/>
            <w:vAlign w:val="center"/>
          </w:tcPr>
          <w:p w14:paraId="54E986FC">
            <w:pPr>
              <w:pStyle w:val="276"/>
              <w:rPr>
                <w:color w:val="auto"/>
              </w:rPr>
            </w:pPr>
            <w:r>
              <w:rPr>
                <w:rFonts w:hint="eastAsia"/>
                <w:color w:val="auto"/>
              </w:rPr>
              <w:t>12</w:t>
            </w:r>
          </w:p>
        </w:tc>
        <w:tc>
          <w:tcPr>
            <w:tcW w:w="1640" w:type="pct"/>
            <w:vMerge w:val="continue"/>
            <w:vAlign w:val="center"/>
          </w:tcPr>
          <w:p w14:paraId="52851085">
            <w:pPr>
              <w:pStyle w:val="276"/>
              <w:rPr>
                <w:color w:val="auto"/>
              </w:rPr>
            </w:pPr>
          </w:p>
        </w:tc>
      </w:tr>
      <w:tr w14:paraId="4D745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848" w:type="pct"/>
            <w:vMerge w:val="continue"/>
            <w:vAlign w:val="center"/>
          </w:tcPr>
          <w:p w14:paraId="597077A8">
            <w:pPr>
              <w:pStyle w:val="276"/>
              <w:rPr>
                <w:color w:val="auto"/>
              </w:rPr>
            </w:pPr>
          </w:p>
        </w:tc>
        <w:tc>
          <w:tcPr>
            <w:tcW w:w="1852" w:type="pct"/>
            <w:vAlign w:val="center"/>
          </w:tcPr>
          <w:p w14:paraId="549D2D53">
            <w:pPr>
              <w:pStyle w:val="276"/>
              <w:rPr>
                <w:bCs/>
                <w:color w:val="auto"/>
                <w:sz w:val="24"/>
              </w:rPr>
            </w:pPr>
            <w:r>
              <w:rPr>
                <w:rFonts w:hint="eastAsia"/>
                <w:color w:val="auto"/>
              </w:rPr>
              <w:t>废膜</w:t>
            </w:r>
          </w:p>
        </w:tc>
        <w:tc>
          <w:tcPr>
            <w:tcW w:w="659" w:type="pct"/>
            <w:vAlign w:val="center"/>
          </w:tcPr>
          <w:p w14:paraId="164F0AFF">
            <w:pPr>
              <w:pStyle w:val="276"/>
              <w:rPr>
                <w:color w:val="auto"/>
              </w:rPr>
            </w:pPr>
            <w:r>
              <w:rPr>
                <w:rFonts w:hint="eastAsia"/>
                <w:color w:val="auto"/>
              </w:rPr>
              <w:t>1</w:t>
            </w:r>
          </w:p>
        </w:tc>
        <w:tc>
          <w:tcPr>
            <w:tcW w:w="1640" w:type="pct"/>
            <w:vMerge w:val="continue"/>
            <w:vAlign w:val="center"/>
          </w:tcPr>
          <w:p w14:paraId="43C36B6E">
            <w:pPr>
              <w:pStyle w:val="276"/>
              <w:rPr>
                <w:color w:val="auto"/>
              </w:rPr>
            </w:pPr>
          </w:p>
        </w:tc>
      </w:tr>
      <w:tr w14:paraId="3C90D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848" w:type="pct"/>
            <w:vMerge w:val="restart"/>
            <w:vAlign w:val="center"/>
          </w:tcPr>
          <w:p w14:paraId="3EE51CB8">
            <w:pPr>
              <w:pStyle w:val="276"/>
              <w:rPr>
                <w:color w:val="auto"/>
              </w:rPr>
            </w:pPr>
            <w:r>
              <w:rPr>
                <w:rFonts w:hint="eastAsia"/>
                <w:color w:val="auto"/>
                <w:lang w:eastAsia="zh-CN"/>
              </w:rPr>
              <w:t>其他</w:t>
            </w:r>
          </w:p>
        </w:tc>
        <w:tc>
          <w:tcPr>
            <w:tcW w:w="1852" w:type="pct"/>
            <w:vAlign w:val="center"/>
          </w:tcPr>
          <w:p w14:paraId="2D6816BD">
            <w:pPr>
              <w:pStyle w:val="276"/>
              <w:rPr>
                <w:color w:val="auto"/>
              </w:rPr>
            </w:pPr>
            <w:r>
              <w:rPr>
                <w:rFonts w:hint="eastAsia"/>
                <w:color w:val="auto"/>
              </w:rPr>
              <w:t>污泥</w:t>
            </w:r>
          </w:p>
        </w:tc>
        <w:tc>
          <w:tcPr>
            <w:tcW w:w="659" w:type="pct"/>
            <w:vAlign w:val="center"/>
          </w:tcPr>
          <w:p w14:paraId="6240DE1D">
            <w:pPr>
              <w:pStyle w:val="276"/>
              <w:rPr>
                <w:color w:val="auto"/>
              </w:rPr>
            </w:pPr>
            <w:r>
              <w:rPr>
                <w:rFonts w:hint="eastAsia"/>
                <w:color w:val="auto"/>
              </w:rPr>
              <w:t>2100</w:t>
            </w:r>
          </w:p>
        </w:tc>
        <w:tc>
          <w:tcPr>
            <w:tcW w:w="1640" w:type="pct"/>
            <w:vMerge w:val="restart"/>
            <w:vAlign w:val="center"/>
          </w:tcPr>
          <w:p w14:paraId="6D82DBC5">
            <w:pPr>
              <w:pStyle w:val="276"/>
              <w:rPr>
                <w:color w:val="auto"/>
              </w:rPr>
            </w:pPr>
            <w:r>
              <w:rPr>
                <w:rFonts w:hint="eastAsia"/>
                <w:color w:val="auto"/>
              </w:rPr>
              <w:t>进行危险特性鉴别，根据鉴别结果按相关政策进行处置，鉴别前，按照危险废物从严管理</w:t>
            </w:r>
          </w:p>
        </w:tc>
      </w:tr>
      <w:tr w14:paraId="02E0F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848" w:type="pct"/>
            <w:vMerge w:val="continue"/>
            <w:vAlign w:val="center"/>
          </w:tcPr>
          <w:p w14:paraId="4AACBD2C">
            <w:pPr>
              <w:pStyle w:val="276"/>
              <w:rPr>
                <w:color w:val="auto"/>
              </w:rPr>
            </w:pPr>
          </w:p>
        </w:tc>
        <w:tc>
          <w:tcPr>
            <w:tcW w:w="1852" w:type="pct"/>
            <w:vAlign w:val="center"/>
          </w:tcPr>
          <w:p w14:paraId="3BE663FE">
            <w:pPr>
              <w:pStyle w:val="276"/>
              <w:rPr>
                <w:color w:val="auto"/>
              </w:rPr>
            </w:pPr>
            <w:r>
              <w:rPr>
                <w:rFonts w:hint="eastAsia"/>
                <w:color w:val="auto"/>
              </w:rPr>
              <w:t>蒸发结晶盐</w:t>
            </w:r>
          </w:p>
        </w:tc>
        <w:tc>
          <w:tcPr>
            <w:tcW w:w="659" w:type="pct"/>
            <w:vAlign w:val="center"/>
          </w:tcPr>
          <w:p w14:paraId="0F8FDBF9">
            <w:pPr>
              <w:pStyle w:val="276"/>
              <w:rPr>
                <w:bCs/>
                <w:color w:val="auto"/>
              </w:rPr>
            </w:pPr>
            <w:r>
              <w:rPr>
                <w:rFonts w:hint="eastAsia"/>
                <w:color w:val="auto"/>
              </w:rPr>
              <w:t>22800</w:t>
            </w:r>
          </w:p>
        </w:tc>
        <w:tc>
          <w:tcPr>
            <w:tcW w:w="1640" w:type="pct"/>
            <w:vMerge w:val="continue"/>
            <w:vAlign w:val="center"/>
          </w:tcPr>
          <w:p w14:paraId="2FF37412">
            <w:pPr>
              <w:pStyle w:val="276"/>
              <w:rPr>
                <w:color w:val="auto"/>
              </w:rPr>
            </w:pPr>
          </w:p>
        </w:tc>
      </w:tr>
      <w:tr w14:paraId="23B36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pct"/>
            <w:vAlign w:val="center"/>
          </w:tcPr>
          <w:p w14:paraId="054074D8">
            <w:pPr>
              <w:pStyle w:val="276"/>
              <w:rPr>
                <w:color w:val="auto"/>
              </w:rPr>
            </w:pPr>
            <w:r>
              <w:rPr>
                <w:rFonts w:hint="eastAsia"/>
                <w:color w:val="auto"/>
              </w:rPr>
              <w:t>生活垃圾</w:t>
            </w:r>
          </w:p>
        </w:tc>
        <w:tc>
          <w:tcPr>
            <w:tcW w:w="1852" w:type="pct"/>
            <w:vAlign w:val="center"/>
          </w:tcPr>
          <w:p w14:paraId="266E4529">
            <w:pPr>
              <w:pStyle w:val="276"/>
              <w:rPr>
                <w:color w:val="auto"/>
              </w:rPr>
            </w:pPr>
            <w:r>
              <w:rPr>
                <w:rFonts w:hint="eastAsia"/>
                <w:color w:val="auto"/>
              </w:rPr>
              <w:t>生活垃圾</w:t>
            </w:r>
          </w:p>
        </w:tc>
        <w:tc>
          <w:tcPr>
            <w:tcW w:w="659" w:type="pct"/>
            <w:vAlign w:val="center"/>
          </w:tcPr>
          <w:p w14:paraId="7AC8DD23">
            <w:pPr>
              <w:pStyle w:val="276"/>
              <w:rPr>
                <w:color w:val="auto"/>
              </w:rPr>
            </w:pPr>
            <w:r>
              <w:rPr>
                <w:rFonts w:hint="eastAsia"/>
                <w:color w:val="auto"/>
              </w:rPr>
              <w:t>3</w:t>
            </w:r>
          </w:p>
        </w:tc>
        <w:tc>
          <w:tcPr>
            <w:tcW w:w="1640" w:type="pct"/>
            <w:vAlign w:val="center"/>
          </w:tcPr>
          <w:p w14:paraId="47C17B3B">
            <w:pPr>
              <w:pStyle w:val="276"/>
              <w:rPr>
                <w:color w:val="auto"/>
              </w:rPr>
            </w:pPr>
            <w:r>
              <w:rPr>
                <w:rFonts w:hint="eastAsia"/>
                <w:color w:val="auto"/>
              </w:rPr>
              <w:t>交环卫部门统一收运处置</w:t>
            </w:r>
          </w:p>
        </w:tc>
      </w:tr>
    </w:tbl>
    <w:p w14:paraId="34BA5155">
      <w:pPr>
        <w:pStyle w:val="185"/>
        <w:rPr>
          <w:color w:val="auto"/>
        </w:rPr>
      </w:pPr>
    </w:p>
    <w:p w14:paraId="61F4DD78">
      <w:pPr>
        <w:pStyle w:val="4"/>
        <w:numPr>
          <w:ilvl w:val="0"/>
          <w:numId w:val="0"/>
        </w:numPr>
        <w:spacing w:line="360" w:lineRule="auto"/>
        <w:rPr>
          <w:color w:val="auto"/>
          <w:szCs w:val="24"/>
        </w:rPr>
      </w:pPr>
      <w:bookmarkStart w:id="396" w:name="_Toc3396"/>
      <w:r>
        <w:rPr>
          <w:rFonts w:hint="eastAsia"/>
          <w:color w:val="auto"/>
          <w:szCs w:val="24"/>
        </w:rPr>
        <w:t>1</w:t>
      </w:r>
      <w:r>
        <w:rPr>
          <w:color w:val="auto"/>
          <w:szCs w:val="24"/>
        </w:rPr>
        <w:t>0</w:t>
      </w:r>
      <w:r>
        <w:rPr>
          <w:rFonts w:hint="eastAsia"/>
          <w:color w:val="auto"/>
          <w:szCs w:val="24"/>
        </w:rPr>
        <w:t>.</w:t>
      </w:r>
      <w:r>
        <w:rPr>
          <w:color w:val="auto"/>
          <w:szCs w:val="24"/>
        </w:rPr>
        <w:t>4污染源排放清单及竣工环境保护验收要求</w:t>
      </w:r>
      <w:bookmarkEnd w:id="396"/>
    </w:p>
    <w:p w14:paraId="6F1E3879">
      <w:pPr>
        <w:pStyle w:val="5"/>
        <w:numPr>
          <w:ilvl w:val="0"/>
          <w:numId w:val="0"/>
        </w:numPr>
        <w:spacing w:line="360" w:lineRule="auto"/>
        <w:rPr>
          <w:color w:val="auto"/>
          <w:szCs w:val="24"/>
        </w:rPr>
      </w:pPr>
      <w:r>
        <w:rPr>
          <w:rFonts w:hint="eastAsia"/>
          <w:color w:val="auto"/>
          <w:szCs w:val="24"/>
        </w:rPr>
        <w:t>1</w:t>
      </w:r>
      <w:r>
        <w:rPr>
          <w:color w:val="auto"/>
          <w:szCs w:val="24"/>
        </w:rPr>
        <w:t>0</w:t>
      </w:r>
      <w:r>
        <w:rPr>
          <w:rFonts w:hint="eastAsia"/>
          <w:color w:val="auto"/>
          <w:szCs w:val="24"/>
        </w:rPr>
        <w:t>.</w:t>
      </w:r>
      <w:r>
        <w:rPr>
          <w:color w:val="auto"/>
          <w:szCs w:val="24"/>
        </w:rPr>
        <w:t>4.1污染源排放清单</w:t>
      </w:r>
    </w:p>
    <w:p w14:paraId="551CEF80">
      <w:pPr>
        <w:spacing w:line="360" w:lineRule="auto"/>
        <w:ind w:firstLine="480"/>
        <w:rPr>
          <w:color w:val="auto"/>
        </w:rPr>
      </w:pPr>
      <w:r>
        <w:rPr>
          <w:rFonts w:hint="eastAsia"/>
          <w:color w:val="auto"/>
          <w:szCs w:val="24"/>
          <w:lang w:val="zh-CN"/>
        </w:rPr>
        <w:t>（1）拟建</w:t>
      </w:r>
      <w:r>
        <w:rPr>
          <w:color w:val="auto"/>
          <w:szCs w:val="24"/>
          <w:lang w:val="zh-CN"/>
        </w:rPr>
        <w:t>项目</w:t>
      </w:r>
      <w:r>
        <w:rPr>
          <w:rFonts w:hint="eastAsia"/>
          <w:color w:val="auto"/>
          <w:szCs w:val="24"/>
          <w:lang w:val="zh-CN"/>
        </w:rPr>
        <w:t>组成</w:t>
      </w:r>
    </w:p>
    <w:p w14:paraId="13112F16">
      <w:pPr>
        <w:pStyle w:val="185"/>
        <w:rPr>
          <w:color w:val="auto"/>
        </w:rPr>
      </w:pPr>
      <w:r>
        <w:rPr>
          <w:color w:val="auto"/>
        </w:rPr>
        <w:t xml:space="preserve">表 </w:t>
      </w:r>
      <w:r>
        <w:rPr>
          <w:rFonts w:hint="eastAsia"/>
          <w:color w:val="auto"/>
          <w:lang w:val="en-US" w:eastAsia="zh-CN"/>
        </w:rPr>
        <w:t>10</w:t>
      </w:r>
      <w:r>
        <w:rPr>
          <w:color w:val="auto"/>
        </w:rPr>
        <w:t xml:space="preserve">.4-1 </w:t>
      </w:r>
      <w:r>
        <w:rPr>
          <w:rFonts w:hint="eastAsia"/>
          <w:color w:val="auto"/>
        </w:rPr>
        <w:t>拟建</w:t>
      </w:r>
      <w:r>
        <w:rPr>
          <w:color w:val="auto"/>
        </w:rPr>
        <w:t>项目组成一览表</w:t>
      </w:r>
    </w:p>
    <w:tbl>
      <w:tblPr>
        <w:tblStyle w:val="88"/>
        <w:tblW w:w="50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56"/>
        <w:gridCol w:w="931"/>
        <w:gridCol w:w="7078"/>
        <w:gridCol w:w="733"/>
      </w:tblGrid>
      <w:tr w14:paraId="4A082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48" w:type="pct"/>
            <w:vAlign w:val="center"/>
          </w:tcPr>
          <w:p w14:paraId="2900805A">
            <w:pPr>
              <w:pStyle w:val="3361"/>
              <w:rPr>
                <w:color w:val="auto"/>
              </w:rPr>
            </w:pPr>
            <w:r>
              <w:rPr>
                <w:rFonts w:hint="eastAsia"/>
                <w:color w:val="auto"/>
              </w:rPr>
              <w:t>分类</w:t>
            </w:r>
          </w:p>
        </w:tc>
        <w:tc>
          <w:tcPr>
            <w:tcW w:w="506" w:type="pct"/>
            <w:vAlign w:val="center"/>
          </w:tcPr>
          <w:p w14:paraId="23F79B64">
            <w:pPr>
              <w:pStyle w:val="3361"/>
              <w:rPr>
                <w:color w:val="auto"/>
              </w:rPr>
            </w:pPr>
            <w:r>
              <w:rPr>
                <w:rFonts w:hint="eastAsia"/>
                <w:color w:val="auto"/>
              </w:rPr>
              <w:t>名称</w:t>
            </w:r>
          </w:p>
        </w:tc>
        <w:tc>
          <w:tcPr>
            <w:tcW w:w="3846" w:type="pct"/>
            <w:vAlign w:val="center"/>
          </w:tcPr>
          <w:p w14:paraId="2EB7770C">
            <w:pPr>
              <w:pStyle w:val="3361"/>
              <w:rPr>
                <w:color w:val="auto"/>
              </w:rPr>
            </w:pPr>
            <w:r>
              <w:rPr>
                <w:rFonts w:hint="eastAsia"/>
                <w:color w:val="auto"/>
              </w:rPr>
              <w:t>工程内容</w:t>
            </w:r>
          </w:p>
        </w:tc>
        <w:tc>
          <w:tcPr>
            <w:tcW w:w="398" w:type="pct"/>
          </w:tcPr>
          <w:p w14:paraId="4755AA7A">
            <w:pPr>
              <w:pStyle w:val="3361"/>
              <w:rPr>
                <w:color w:val="auto"/>
              </w:rPr>
            </w:pPr>
            <w:r>
              <w:rPr>
                <w:rFonts w:hint="eastAsia"/>
                <w:color w:val="auto"/>
              </w:rPr>
              <w:t>备注</w:t>
            </w:r>
          </w:p>
        </w:tc>
      </w:tr>
      <w:tr w14:paraId="0B0F6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48" w:type="pct"/>
            <w:vMerge w:val="restart"/>
            <w:vAlign w:val="center"/>
          </w:tcPr>
          <w:p w14:paraId="4C4E1818">
            <w:pPr>
              <w:pStyle w:val="3361"/>
              <w:rPr>
                <w:color w:val="auto"/>
              </w:rPr>
            </w:pPr>
            <w:r>
              <w:rPr>
                <w:rFonts w:hint="eastAsia"/>
                <w:color w:val="auto"/>
              </w:rPr>
              <w:t>主体工程</w:t>
            </w:r>
          </w:p>
        </w:tc>
        <w:tc>
          <w:tcPr>
            <w:tcW w:w="506" w:type="pct"/>
            <w:vMerge w:val="restart"/>
            <w:tcMar>
              <w:left w:w="113" w:type="dxa"/>
              <w:right w:w="113" w:type="dxa"/>
            </w:tcMar>
            <w:vAlign w:val="center"/>
          </w:tcPr>
          <w:p w14:paraId="5940468B">
            <w:pPr>
              <w:pStyle w:val="3361"/>
              <w:rPr>
                <w:color w:val="auto"/>
              </w:rPr>
            </w:pPr>
            <w:r>
              <w:rPr>
                <w:rFonts w:hint="eastAsia"/>
                <w:color w:val="auto"/>
              </w:rPr>
              <w:t>污水处理工程</w:t>
            </w:r>
          </w:p>
        </w:tc>
        <w:tc>
          <w:tcPr>
            <w:tcW w:w="3846" w:type="pct"/>
            <w:vAlign w:val="center"/>
          </w:tcPr>
          <w:p w14:paraId="43A64211">
            <w:pPr>
              <w:pStyle w:val="3361"/>
              <w:rPr>
                <w:color w:val="auto"/>
                <w:lang w:val="en-US"/>
              </w:rPr>
            </w:pPr>
            <w:r>
              <w:rPr>
                <w:rFonts w:hint="eastAsia"/>
                <w:color w:val="auto"/>
              </w:rPr>
              <w:t>废水收集池前设置废水卸车区，点地面积约为</w:t>
            </w:r>
            <w:r>
              <w:rPr>
                <w:rFonts w:hint="eastAsia"/>
                <w:color w:val="auto"/>
                <w:lang w:val="en-US" w:eastAsia="zh-CN"/>
              </w:rPr>
              <w:t>240</w:t>
            </w:r>
            <w:r>
              <w:rPr>
                <w:rFonts w:hint="eastAsia"/>
                <w:color w:val="auto"/>
              </w:rPr>
              <w:t xml:space="preserve"> m</w:t>
            </w:r>
            <w:r>
              <w:rPr>
                <w:rFonts w:hint="eastAsia"/>
                <w:color w:val="auto"/>
                <w:vertAlign w:val="superscript"/>
                <w:lang w:val="en-US"/>
              </w:rPr>
              <w:t>2</w:t>
            </w:r>
            <w:r>
              <w:rPr>
                <w:rFonts w:hint="eastAsia"/>
                <w:color w:val="auto"/>
              </w:rPr>
              <w:t>，尺寸</w:t>
            </w:r>
            <w:r>
              <w:rPr>
                <w:rFonts w:hint="eastAsia"/>
                <w:color w:val="auto"/>
                <w:lang w:val="en-US" w:eastAsia="zh-CN"/>
              </w:rPr>
              <w:t>40</w:t>
            </w:r>
            <w:r>
              <w:rPr>
                <w:rFonts w:hint="eastAsia"/>
                <w:color w:val="auto"/>
              </w:rPr>
              <w:t>×</w:t>
            </w:r>
            <w:r>
              <w:rPr>
                <w:rFonts w:hint="eastAsia"/>
                <w:color w:val="auto"/>
                <w:lang w:val="en-US" w:eastAsia="zh-CN"/>
              </w:rPr>
              <w:t>6</w:t>
            </w:r>
            <w:r>
              <w:rPr>
                <w:rFonts w:hint="eastAsia"/>
                <w:color w:val="auto"/>
                <w:lang w:val="en-US"/>
              </w:rPr>
              <w:t>m</w:t>
            </w:r>
            <w:r>
              <w:rPr>
                <w:rFonts w:hint="eastAsia"/>
                <w:color w:val="auto"/>
              </w:rPr>
              <w:t>，主要功能为入厂废水罐车卸车。卸车区设置环形应急收集沟，就近接入废水收集池</w:t>
            </w:r>
          </w:p>
        </w:tc>
        <w:tc>
          <w:tcPr>
            <w:tcW w:w="398" w:type="pct"/>
            <w:vMerge w:val="restart"/>
            <w:vAlign w:val="center"/>
          </w:tcPr>
          <w:p w14:paraId="6AAA504D">
            <w:pPr>
              <w:pStyle w:val="3361"/>
              <w:rPr>
                <w:color w:val="auto"/>
              </w:rPr>
            </w:pPr>
            <w:r>
              <w:rPr>
                <w:rFonts w:hint="eastAsia"/>
                <w:color w:val="auto"/>
              </w:rPr>
              <w:t>废水接收储存单元</w:t>
            </w:r>
          </w:p>
        </w:tc>
      </w:tr>
      <w:tr w14:paraId="0B737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48" w:type="pct"/>
            <w:vMerge w:val="continue"/>
            <w:vAlign w:val="center"/>
          </w:tcPr>
          <w:p w14:paraId="05A5E530">
            <w:pPr>
              <w:pStyle w:val="3361"/>
              <w:rPr>
                <w:color w:val="auto"/>
              </w:rPr>
            </w:pPr>
          </w:p>
        </w:tc>
        <w:tc>
          <w:tcPr>
            <w:tcW w:w="506" w:type="pct"/>
            <w:vMerge w:val="continue"/>
            <w:tcMar>
              <w:left w:w="113" w:type="dxa"/>
              <w:right w:w="113" w:type="dxa"/>
            </w:tcMar>
            <w:vAlign w:val="center"/>
          </w:tcPr>
          <w:p w14:paraId="6F0DC848">
            <w:pPr>
              <w:pStyle w:val="3361"/>
              <w:rPr>
                <w:color w:val="auto"/>
              </w:rPr>
            </w:pPr>
          </w:p>
        </w:tc>
        <w:tc>
          <w:tcPr>
            <w:tcW w:w="3846" w:type="pct"/>
            <w:vAlign w:val="center"/>
          </w:tcPr>
          <w:p w14:paraId="480FB7EB">
            <w:pPr>
              <w:pStyle w:val="3361"/>
              <w:rPr>
                <w:color w:val="auto"/>
              </w:rPr>
            </w:pPr>
            <w:r>
              <w:rPr>
                <w:rFonts w:hint="eastAsia"/>
                <w:color w:val="auto"/>
              </w:rPr>
              <w:t>新建</w:t>
            </w:r>
            <w:r>
              <w:rPr>
                <w:rFonts w:hint="eastAsia"/>
                <w:color w:val="auto"/>
                <w:lang w:val="en-US" w:eastAsia="zh-CN"/>
              </w:rPr>
              <w:t>2</w:t>
            </w:r>
            <w:r>
              <w:rPr>
                <w:rFonts w:hint="eastAsia"/>
                <w:color w:val="auto"/>
              </w:rPr>
              <w:t>座半地埋式废水储存池，单个设计容积</w:t>
            </w:r>
            <w:r>
              <w:rPr>
                <w:rFonts w:hint="eastAsia"/>
                <w:color w:val="auto"/>
                <w:lang w:val="en-US" w:eastAsia="zh-CN"/>
              </w:rPr>
              <w:t>1950</w:t>
            </w:r>
            <w:r>
              <w:rPr>
                <w:rFonts w:hint="eastAsia"/>
                <w:color w:val="auto"/>
              </w:rPr>
              <w:t>m</w:t>
            </w:r>
            <w:r>
              <w:rPr>
                <w:rFonts w:hint="eastAsia"/>
                <w:color w:val="auto"/>
                <w:vertAlign w:val="superscript"/>
              </w:rPr>
              <w:t>3</w:t>
            </w:r>
            <w:r>
              <w:rPr>
                <w:rFonts w:hint="eastAsia"/>
                <w:color w:val="auto"/>
              </w:rPr>
              <w:t>，有效容积</w:t>
            </w:r>
            <w:r>
              <w:rPr>
                <w:rFonts w:hint="eastAsia"/>
                <w:color w:val="auto"/>
                <w:lang w:val="en-US" w:eastAsia="zh-CN"/>
              </w:rPr>
              <w:t>1560</w:t>
            </w:r>
            <w:r>
              <w:rPr>
                <w:rFonts w:hint="eastAsia"/>
                <w:color w:val="auto"/>
              </w:rPr>
              <w:t xml:space="preserve"> m</w:t>
            </w:r>
            <w:r>
              <w:rPr>
                <w:rFonts w:hint="eastAsia"/>
                <w:color w:val="auto"/>
                <w:vertAlign w:val="superscript"/>
              </w:rPr>
              <w:t>3</w:t>
            </w:r>
            <w:r>
              <w:rPr>
                <w:rFonts w:hint="eastAsia"/>
                <w:color w:val="auto"/>
              </w:rPr>
              <w:t>，总有效容积约为</w:t>
            </w:r>
            <w:r>
              <w:rPr>
                <w:rFonts w:hint="eastAsia"/>
                <w:color w:val="auto"/>
                <w:lang w:val="en-US" w:eastAsia="zh-CN"/>
              </w:rPr>
              <w:t>3120</w:t>
            </w:r>
            <w:r>
              <w:rPr>
                <w:rFonts w:hint="eastAsia"/>
                <w:color w:val="auto"/>
              </w:rPr>
              <w:t>m</w:t>
            </w:r>
            <w:r>
              <w:rPr>
                <w:rFonts w:hint="eastAsia"/>
                <w:color w:val="auto"/>
                <w:vertAlign w:val="superscript"/>
              </w:rPr>
              <w:t>3</w:t>
            </w:r>
            <w:r>
              <w:rPr>
                <w:rFonts w:hint="eastAsia"/>
                <w:color w:val="auto"/>
              </w:rPr>
              <w:t>，主要功能为各类页岩气开采废水储存</w:t>
            </w:r>
          </w:p>
        </w:tc>
        <w:tc>
          <w:tcPr>
            <w:tcW w:w="398" w:type="pct"/>
            <w:vMerge w:val="continue"/>
            <w:vAlign w:val="center"/>
          </w:tcPr>
          <w:p w14:paraId="5753A147">
            <w:pPr>
              <w:pStyle w:val="3361"/>
              <w:rPr>
                <w:color w:val="auto"/>
              </w:rPr>
            </w:pPr>
          </w:p>
        </w:tc>
      </w:tr>
      <w:tr w14:paraId="00970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48" w:type="pct"/>
            <w:vMerge w:val="continue"/>
            <w:vAlign w:val="center"/>
          </w:tcPr>
          <w:p w14:paraId="7E286DDF">
            <w:pPr>
              <w:pStyle w:val="3361"/>
              <w:rPr>
                <w:color w:val="auto"/>
              </w:rPr>
            </w:pPr>
          </w:p>
        </w:tc>
        <w:tc>
          <w:tcPr>
            <w:tcW w:w="506" w:type="pct"/>
            <w:vMerge w:val="continue"/>
            <w:tcMar>
              <w:left w:w="113" w:type="dxa"/>
              <w:right w:w="113" w:type="dxa"/>
            </w:tcMar>
            <w:vAlign w:val="center"/>
          </w:tcPr>
          <w:p w14:paraId="4A4F42A8">
            <w:pPr>
              <w:pStyle w:val="3361"/>
              <w:rPr>
                <w:color w:val="auto"/>
              </w:rPr>
            </w:pPr>
          </w:p>
        </w:tc>
        <w:tc>
          <w:tcPr>
            <w:tcW w:w="3846" w:type="pct"/>
            <w:vAlign w:val="center"/>
          </w:tcPr>
          <w:p w14:paraId="0A7FC73C">
            <w:pPr>
              <w:pStyle w:val="3361"/>
              <w:rPr>
                <w:color w:val="auto"/>
              </w:rPr>
            </w:pPr>
            <w:r>
              <w:rPr>
                <w:rFonts w:hint="eastAsia"/>
                <w:color w:val="auto"/>
              </w:rPr>
              <w:t>调节：</w:t>
            </w:r>
            <w:r>
              <w:rPr>
                <w:rFonts w:hint="eastAsia"/>
                <w:color w:val="auto"/>
                <w:lang w:eastAsia="zh-CN"/>
              </w:rPr>
              <w:t>新建</w:t>
            </w:r>
            <w:r>
              <w:rPr>
                <w:rFonts w:hint="eastAsia"/>
                <w:color w:val="auto"/>
              </w:rPr>
              <w:t>调节池</w:t>
            </w:r>
            <w:r>
              <w:rPr>
                <w:rFonts w:hint="eastAsia"/>
                <w:color w:val="auto"/>
                <w:lang w:val="en-US" w:eastAsia="zh-CN"/>
              </w:rPr>
              <w:t>1个</w:t>
            </w:r>
            <w:r>
              <w:rPr>
                <w:rFonts w:hint="eastAsia"/>
                <w:color w:val="auto"/>
              </w:rPr>
              <w:t>，设计容积</w:t>
            </w:r>
            <w:r>
              <w:rPr>
                <w:rFonts w:hint="eastAsia"/>
                <w:color w:val="auto"/>
                <w:lang w:val="en-US" w:eastAsia="zh-CN"/>
              </w:rPr>
              <w:t>122</w:t>
            </w:r>
            <w:r>
              <w:rPr>
                <w:rFonts w:hint="eastAsia"/>
                <w:color w:val="auto"/>
              </w:rPr>
              <w:t>m</w:t>
            </w:r>
            <w:r>
              <w:rPr>
                <w:rFonts w:hint="eastAsia"/>
                <w:color w:val="auto"/>
                <w:vertAlign w:val="superscript"/>
              </w:rPr>
              <w:t>3</w:t>
            </w:r>
            <w:r>
              <w:rPr>
                <w:rFonts w:hint="eastAsia"/>
                <w:color w:val="auto"/>
              </w:rPr>
              <w:t>，有效容积</w:t>
            </w:r>
            <w:r>
              <w:rPr>
                <w:rFonts w:hint="eastAsia"/>
                <w:color w:val="auto"/>
                <w:lang w:val="en-US" w:eastAsia="zh-CN"/>
              </w:rPr>
              <w:t>100</w:t>
            </w:r>
            <w:r>
              <w:rPr>
                <w:rFonts w:hint="eastAsia"/>
                <w:color w:val="auto"/>
              </w:rPr>
              <w:t>m</w:t>
            </w:r>
            <w:r>
              <w:rPr>
                <w:rFonts w:hint="eastAsia"/>
                <w:color w:val="auto"/>
                <w:vertAlign w:val="superscript"/>
              </w:rPr>
              <w:t>3</w:t>
            </w:r>
            <w:r>
              <w:rPr>
                <w:rFonts w:hint="eastAsia"/>
                <w:color w:val="auto"/>
              </w:rPr>
              <w:t>，主要功能为均质调节</w:t>
            </w:r>
          </w:p>
        </w:tc>
        <w:tc>
          <w:tcPr>
            <w:tcW w:w="398" w:type="pct"/>
            <w:vMerge w:val="restart"/>
            <w:vAlign w:val="center"/>
          </w:tcPr>
          <w:p w14:paraId="49EC55A3">
            <w:pPr>
              <w:pStyle w:val="3361"/>
              <w:rPr>
                <w:color w:val="auto"/>
              </w:rPr>
            </w:pPr>
            <w:r>
              <w:rPr>
                <w:rFonts w:hint="eastAsia"/>
                <w:color w:val="auto"/>
              </w:rPr>
              <w:t>处理单元</w:t>
            </w:r>
          </w:p>
        </w:tc>
      </w:tr>
      <w:tr w14:paraId="102CD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48" w:type="pct"/>
            <w:vMerge w:val="continue"/>
            <w:vAlign w:val="center"/>
          </w:tcPr>
          <w:p w14:paraId="547404B1">
            <w:pPr>
              <w:pStyle w:val="3361"/>
              <w:rPr>
                <w:color w:val="auto"/>
              </w:rPr>
            </w:pPr>
          </w:p>
        </w:tc>
        <w:tc>
          <w:tcPr>
            <w:tcW w:w="506" w:type="pct"/>
            <w:vMerge w:val="continue"/>
            <w:tcMar>
              <w:left w:w="113" w:type="dxa"/>
              <w:right w:w="113" w:type="dxa"/>
            </w:tcMar>
            <w:vAlign w:val="center"/>
          </w:tcPr>
          <w:p w14:paraId="14168C29">
            <w:pPr>
              <w:pStyle w:val="3361"/>
              <w:rPr>
                <w:color w:val="auto"/>
              </w:rPr>
            </w:pPr>
          </w:p>
        </w:tc>
        <w:tc>
          <w:tcPr>
            <w:tcW w:w="3846" w:type="pct"/>
            <w:vAlign w:val="center"/>
          </w:tcPr>
          <w:p w14:paraId="29C5C38C">
            <w:pPr>
              <w:pStyle w:val="3361"/>
              <w:rPr>
                <w:color w:val="auto"/>
              </w:rPr>
            </w:pPr>
            <w:r>
              <w:rPr>
                <w:rFonts w:hint="eastAsia"/>
                <w:color w:val="auto"/>
              </w:rPr>
              <w:t>新建化学除重处理设施，设计处理能力为100m</w:t>
            </w:r>
            <w:r>
              <w:rPr>
                <w:rFonts w:hint="eastAsia"/>
                <w:color w:val="auto"/>
                <w:vertAlign w:val="superscript"/>
              </w:rPr>
              <w:t>3</w:t>
            </w:r>
            <w:r>
              <w:rPr>
                <w:rFonts w:hint="eastAsia"/>
                <w:color w:val="auto"/>
              </w:rPr>
              <w:t>/h，主要功能为通过化学沉淀进行重金属、总α放射性和总β放射性的去除</w:t>
            </w:r>
          </w:p>
        </w:tc>
        <w:tc>
          <w:tcPr>
            <w:tcW w:w="398" w:type="pct"/>
            <w:vMerge w:val="continue"/>
            <w:vAlign w:val="center"/>
          </w:tcPr>
          <w:p w14:paraId="0536E49F">
            <w:pPr>
              <w:pStyle w:val="3361"/>
              <w:rPr>
                <w:color w:val="auto"/>
              </w:rPr>
            </w:pPr>
          </w:p>
        </w:tc>
      </w:tr>
      <w:tr w14:paraId="6A8EE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48" w:type="pct"/>
            <w:vMerge w:val="continue"/>
            <w:vAlign w:val="center"/>
          </w:tcPr>
          <w:p w14:paraId="5A5F76BD">
            <w:pPr>
              <w:pStyle w:val="3361"/>
              <w:rPr>
                <w:color w:val="auto"/>
              </w:rPr>
            </w:pPr>
          </w:p>
        </w:tc>
        <w:tc>
          <w:tcPr>
            <w:tcW w:w="506" w:type="pct"/>
            <w:vMerge w:val="continue"/>
            <w:tcMar>
              <w:left w:w="113" w:type="dxa"/>
              <w:right w:w="113" w:type="dxa"/>
            </w:tcMar>
            <w:vAlign w:val="center"/>
          </w:tcPr>
          <w:p w14:paraId="45E600B0">
            <w:pPr>
              <w:pStyle w:val="3361"/>
              <w:rPr>
                <w:color w:val="auto"/>
              </w:rPr>
            </w:pPr>
          </w:p>
        </w:tc>
        <w:tc>
          <w:tcPr>
            <w:tcW w:w="3846" w:type="pct"/>
            <w:vAlign w:val="center"/>
          </w:tcPr>
          <w:p w14:paraId="35A43B96">
            <w:pPr>
              <w:pStyle w:val="3361"/>
              <w:rPr>
                <w:color w:val="auto"/>
              </w:rPr>
            </w:pPr>
            <w:r>
              <w:rPr>
                <w:rFonts w:hint="eastAsia"/>
                <w:color w:val="auto"/>
                <w:lang w:eastAsia="zh-CN"/>
              </w:rPr>
              <w:t>新建</w:t>
            </w:r>
            <w:r>
              <w:rPr>
                <w:rFonts w:hint="eastAsia"/>
                <w:color w:val="auto"/>
              </w:rPr>
              <w:t>高密软化沉淀设施，主要功能为利用碳酸钠</w:t>
            </w:r>
            <w:r>
              <w:rPr>
                <w:rFonts w:hint="eastAsia"/>
                <w:color w:val="auto"/>
                <w:lang w:val="en-US" w:eastAsia="zh-CN"/>
              </w:rPr>
              <w:t>/除重剂</w:t>
            </w:r>
            <w:r>
              <w:rPr>
                <w:rFonts w:hint="eastAsia"/>
                <w:color w:val="auto"/>
              </w:rPr>
              <w:t>、氢氧化钠、PAC和PAM等药剂去除废水中硬度。</w:t>
            </w:r>
          </w:p>
          <w:p w14:paraId="3089A0AD">
            <w:pPr>
              <w:pStyle w:val="3361"/>
              <w:rPr>
                <w:color w:val="auto"/>
              </w:rPr>
            </w:pPr>
            <w:r>
              <w:rPr>
                <w:rFonts w:hint="eastAsia"/>
                <w:color w:val="auto"/>
              </w:rPr>
              <w:t>主要包括碱</w:t>
            </w:r>
            <w:r>
              <w:rPr>
                <w:rFonts w:hint="eastAsia"/>
                <w:color w:val="auto"/>
                <w:lang w:val="en-US" w:eastAsia="zh-CN"/>
              </w:rPr>
              <w:t>/除重剂</w:t>
            </w:r>
            <w:r>
              <w:rPr>
                <w:rFonts w:hint="eastAsia"/>
                <w:color w:val="auto"/>
              </w:rPr>
              <w:t>、纯碱、PAC和PAM添加池各1个，</w:t>
            </w:r>
            <w:r>
              <w:rPr>
                <w:rFonts w:hint="eastAsia"/>
                <w:color w:val="auto"/>
                <w:lang w:eastAsia="zh-CN"/>
              </w:rPr>
              <w:t>设计处理能力</w:t>
            </w:r>
            <w:r>
              <w:rPr>
                <w:rFonts w:hint="eastAsia"/>
                <w:color w:val="auto"/>
              </w:rPr>
              <w:t>为100m</w:t>
            </w:r>
            <w:r>
              <w:rPr>
                <w:rFonts w:hint="eastAsia"/>
                <w:color w:val="auto"/>
                <w:vertAlign w:val="superscript"/>
              </w:rPr>
              <w:t>3</w:t>
            </w:r>
            <w:r>
              <w:rPr>
                <w:rFonts w:hint="eastAsia"/>
                <w:color w:val="auto"/>
              </w:rPr>
              <w:t>/h</w:t>
            </w:r>
          </w:p>
        </w:tc>
        <w:tc>
          <w:tcPr>
            <w:tcW w:w="398" w:type="pct"/>
            <w:vMerge w:val="continue"/>
            <w:vAlign w:val="center"/>
          </w:tcPr>
          <w:p w14:paraId="520E56F2">
            <w:pPr>
              <w:pStyle w:val="3361"/>
              <w:rPr>
                <w:color w:val="auto"/>
              </w:rPr>
            </w:pPr>
          </w:p>
        </w:tc>
      </w:tr>
      <w:tr w14:paraId="25DE0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48" w:type="pct"/>
            <w:vMerge w:val="continue"/>
            <w:vAlign w:val="center"/>
          </w:tcPr>
          <w:p w14:paraId="0E070F0C">
            <w:pPr>
              <w:pStyle w:val="3361"/>
              <w:rPr>
                <w:color w:val="auto"/>
              </w:rPr>
            </w:pPr>
          </w:p>
        </w:tc>
        <w:tc>
          <w:tcPr>
            <w:tcW w:w="506" w:type="pct"/>
            <w:vMerge w:val="continue"/>
            <w:tcMar>
              <w:left w:w="113" w:type="dxa"/>
              <w:right w:w="113" w:type="dxa"/>
            </w:tcMar>
            <w:vAlign w:val="center"/>
          </w:tcPr>
          <w:p w14:paraId="080203AA">
            <w:pPr>
              <w:pStyle w:val="3361"/>
              <w:rPr>
                <w:color w:val="auto"/>
              </w:rPr>
            </w:pPr>
          </w:p>
        </w:tc>
        <w:tc>
          <w:tcPr>
            <w:tcW w:w="3846" w:type="pct"/>
            <w:vAlign w:val="center"/>
          </w:tcPr>
          <w:p w14:paraId="06D061FD">
            <w:pPr>
              <w:pStyle w:val="3361"/>
              <w:rPr>
                <w:color w:val="auto"/>
              </w:rPr>
            </w:pPr>
            <w:r>
              <w:rPr>
                <w:rFonts w:hint="eastAsia"/>
                <w:color w:val="auto"/>
                <w:lang w:eastAsia="zh-CN"/>
              </w:rPr>
              <w:t>新建</w:t>
            </w:r>
            <w:r>
              <w:rPr>
                <w:rFonts w:hint="eastAsia"/>
                <w:color w:val="auto"/>
              </w:rPr>
              <w:t>芬顿氧化设施</w:t>
            </w:r>
            <w:r>
              <w:rPr>
                <w:rFonts w:hint="eastAsia"/>
                <w:color w:val="auto"/>
                <w:lang w:val="en-US" w:eastAsia="zh-CN"/>
              </w:rPr>
              <w:t>2套</w:t>
            </w:r>
            <w:r>
              <w:rPr>
                <w:rFonts w:hint="eastAsia"/>
                <w:color w:val="auto"/>
              </w:rPr>
              <w:t>，主要功能为对废水进行芬顿催化氧化处理，进一步去除废水中的COD和大分子有机物。</w:t>
            </w:r>
          </w:p>
          <w:p w14:paraId="0602D366">
            <w:pPr>
              <w:pStyle w:val="3361"/>
              <w:rPr>
                <w:color w:val="auto"/>
              </w:rPr>
            </w:pPr>
            <w:r>
              <w:rPr>
                <w:rFonts w:hint="eastAsia"/>
                <w:color w:val="auto"/>
              </w:rPr>
              <w:t>主要包括调酸池和催化剂池各</w:t>
            </w:r>
            <w:r>
              <w:rPr>
                <w:rFonts w:hint="eastAsia"/>
                <w:color w:val="auto"/>
                <w:lang w:val="en-US" w:eastAsia="zh-CN"/>
              </w:rPr>
              <w:t>1</w:t>
            </w:r>
            <w:r>
              <w:rPr>
                <w:rFonts w:hint="eastAsia"/>
                <w:color w:val="auto"/>
              </w:rPr>
              <w:t>个，芬顿氧化池2个，设计处理能力达到2000m</w:t>
            </w:r>
            <w:r>
              <w:rPr>
                <w:rFonts w:hint="eastAsia"/>
                <w:color w:val="auto"/>
                <w:vertAlign w:val="superscript"/>
              </w:rPr>
              <w:t>3</w:t>
            </w:r>
            <w:r>
              <w:rPr>
                <w:rFonts w:hint="eastAsia"/>
                <w:color w:val="auto"/>
              </w:rPr>
              <w:t>/d</w:t>
            </w:r>
          </w:p>
        </w:tc>
        <w:tc>
          <w:tcPr>
            <w:tcW w:w="398" w:type="pct"/>
            <w:vMerge w:val="continue"/>
            <w:vAlign w:val="center"/>
          </w:tcPr>
          <w:p w14:paraId="58D1748B">
            <w:pPr>
              <w:pStyle w:val="3361"/>
              <w:rPr>
                <w:color w:val="auto"/>
              </w:rPr>
            </w:pPr>
          </w:p>
        </w:tc>
      </w:tr>
      <w:tr w14:paraId="2C1C7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48" w:type="pct"/>
            <w:vMerge w:val="continue"/>
            <w:vAlign w:val="center"/>
          </w:tcPr>
          <w:p w14:paraId="4A3AE327">
            <w:pPr>
              <w:pStyle w:val="3361"/>
              <w:rPr>
                <w:color w:val="auto"/>
              </w:rPr>
            </w:pPr>
          </w:p>
        </w:tc>
        <w:tc>
          <w:tcPr>
            <w:tcW w:w="506" w:type="pct"/>
            <w:vMerge w:val="continue"/>
            <w:tcMar>
              <w:left w:w="113" w:type="dxa"/>
              <w:right w:w="113" w:type="dxa"/>
            </w:tcMar>
            <w:vAlign w:val="center"/>
          </w:tcPr>
          <w:p w14:paraId="7D36DF60">
            <w:pPr>
              <w:pStyle w:val="3361"/>
              <w:rPr>
                <w:color w:val="auto"/>
              </w:rPr>
            </w:pPr>
          </w:p>
        </w:tc>
        <w:tc>
          <w:tcPr>
            <w:tcW w:w="3846" w:type="pct"/>
            <w:vAlign w:val="center"/>
          </w:tcPr>
          <w:p w14:paraId="6803D1E9">
            <w:pPr>
              <w:pStyle w:val="3361"/>
              <w:rPr>
                <w:color w:val="auto"/>
              </w:rPr>
            </w:pPr>
            <w:r>
              <w:rPr>
                <w:rFonts w:hint="eastAsia"/>
                <w:color w:val="auto"/>
                <w:lang w:eastAsia="zh-CN"/>
              </w:rPr>
              <w:t>新建中和沉淀</w:t>
            </w:r>
            <w:r>
              <w:rPr>
                <w:rFonts w:hint="eastAsia"/>
                <w:color w:val="auto"/>
              </w:rPr>
              <w:t>设施</w:t>
            </w:r>
            <w:r>
              <w:rPr>
                <w:rFonts w:hint="eastAsia"/>
                <w:color w:val="auto"/>
                <w:lang w:val="en-US" w:eastAsia="zh-CN"/>
              </w:rPr>
              <w:t>1套</w:t>
            </w:r>
            <w:r>
              <w:rPr>
                <w:rFonts w:hint="eastAsia"/>
                <w:color w:val="auto"/>
              </w:rPr>
              <w:t>，主要功能为芬顿氧化后的废水进行沉淀处理，通过回调p沉淀将污泥分离出来。</w:t>
            </w:r>
          </w:p>
          <w:p w14:paraId="00184D8F">
            <w:pPr>
              <w:pStyle w:val="3361"/>
              <w:rPr>
                <w:color w:val="auto"/>
              </w:rPr>
            </w:pPr>
            <w:r>
              <w:rPr>
                <w:rFonts w:hint="eastAsia"/>
                <w:color w:val="auto"/>
              </w:rPr>
              <w:t>主要包括沉淀池各1个，设计处理能力达到2000m</w:t>
            </w:r>
            <w:r>
              <w:rPr>
                <w:rFonts w:hint="eastAsia"/>
                <w:color w:val="auto"/>
                <w:vertAlign w:val="superscript"/>
              </w:rPr>
              <w:t>3</w:t>
            </w:r>
            <w:r>
              <w:rPr>
                <w:rFonts w:hint="eastAsia"/>
                <w:color w:val="auto"/>
              </w:rPr>
              <w:t>/d</w:t>
            </w:r>
          </w:p>
        </w:tc>
        <w:tc>
          <w:tcPr>
            <w:tcW w:w="398" w:type="pct"/>
            <w:vMerge w:val="continue"/>
            <w:vAlign w:val="center"/>
          </w:tcPr>
          <w:p w14:paraId="68314494">
            <w:pPr>
              <w:pStyle w:val="3361"/>
              <w:rPr>
                <w:color w:val="auto"/>
              </w:rPr>
            </w:pPr>
          </w:p>
        </w:tc>
      </w:tr>
      <w:tr w14:paraId="4B93C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48" w:type="pct"/>
            <w:vMerge w:val="continue"/>
            <w:vAlign w:val="center"/>
          </w:tcPr>
          <w:p w14:paraId="288D8DA5">
            <w:pPr>
              <w:pStyle w:val="3361"/>
              <w:rPr>
                <w:color w:val="auto"/>
              </w:rPr>
            </w:pPr>
          </w:p>
        </w:tc>
        <w:tc>
          <w:tcPr>
            <w:tcW w:w="506" w:type="pct"/>
            <w:vMerge w:val="continue"/>
            <w:tcMar>
              <w:left w:w="113" w:type="dxa"/>
              <w:right w:w="113" w:type="dxa"/>
            </w:tcMar>
            <w:vAlign w:val="center"/>
          </w:tcPr>
          <w:p w14:paraId="2067F2F2">
            <w:pPr>
              <w:pStyle w:val="3361"/>
              <w:rPr>
                <w:color w:val="auto"/>
              </w:rPr>
            </w:pPr>
          </w:p>
        </w:tc>
        <w:tc>
          <w:tcPr>
            <w:tcW w:w="3846" w:type="pct"/>
            <w:vAlign w:val="center"/>
          </w:tcPr>
          <w:p w14:paraId="452383F3">
            <w:pPr>
              <w:pStyle w:val="3361"/>
              <w:rPr>
                <w:color w:val="auto"/>
              </w:rPr>
            </w:pPr>
            <w:r>
              <w:rPr>
                <w:rFonts w:hint="eastAsia"/>
                <w:color w:val="auto"/>
                <w:lang w:eastAsia="zh-CN"/>
              </w:rPr>
              <w:t>新建</w:t>
            </w:r>
            <w:r>
              <w:rPr>
                <w:rFonts w:hint="eastAsia"/>
                <w:color w:val="auto"/>
              </w:rPr>
              <w:t>清水池</w:t>
            </w:r>
            <w:r>
              <w:rPr>
                <w:rFonts w:hint="eastAsia"/>
                <w:color w:val="auto"/>
                <w:lang w:val="en-US" w:eastAsia="zh-CN"/>
              </w:rPr>
              <w:t>1座</w:t>
            </w:r>
            <w:r>
              <w:rPr>
                <w:rFonts w:hint="eastAsia"/>
                <w:color w:val="auto"/>
              </w:rPr>
              <w:t>，收集沉淀处理</w:t>
            </w:r>
            <w:r>
              <w:rPr>
                <w:rFonts w:hint="eastAsia"/>
                <w:color w:val="auto"/>
                <w:lang w:eastAsia="zh-CN"/>
              </w:rPr>
              <w:t>后清水</w:t>
            </w:r>
            <w:r>
              <w:rPr>
                <w:rFonts w:hint="eastAsia"/>
                <w:color w:val="auto"/>
              </w:rPr>
              <w:t>。</w:t>
            </w:r>
          </w:p>
          <w:p w14:paraId="11E95531">
            <w:pPr>
              <w:pStyle w:val="3361"/>
              <w:rPr>
                <w:rFonts w:hint="eastAsia"/>
                <w:color w:val="auto"/>
              </w:rPr>
            </w:pPr>
            <w:r>
              <w:rPr>
                <w:rFonts w:hint="eastAsia"/>
                <w:color w:val="auto"/>
              </w:rPr>
              <w:t>主要包括清水池1个，设计总容积</w:t>
            </w:r>
            <w:r>
              <w:rPr>
                <w:rFonts w:hint="eastAsia"/>
                <w:color w:val="auto"/>
                <w:lang w:val="en-US" w:eastAsia="zh-CN"/>
              </w:rPr>
              <w:t>264</w:t>
            </w:r>
            <w:r>
              <w:rPr>
                <w:rFonts w:hint="eastAsia"/>
                <w:color w:val="auto"/>
              </w:rPr>
              <w:t xml:space="preserve"> m</w:t>
            </w:r>
            <w:r>
              <w:rPr>
                <w:rFonts w:hint="eastAsia"/>
                <w:color w:val="auto"/>
                <w:vertAlign w:val="superscript"/>
              </w:rPr>
              <w:t>3</w:t>
            </w:r>
            <w:r>
              <w:rPr>
                <w:rFonts w:hint="eastAsia"/>
                <w:color w:val="auto"/>
              </w:rPr>
              <w:t>，有效容积</w:t>
            </w:r>
            <w:r>
              <w:rPr>
                <w:rFonts w:hint="eastAsia"/>
                <w:color w:val="auto"/>
                <w:lang w:val="en-US" w:eastAsia="zh-CN"/>
              </w:rPr>
              <w:t>211</w:t>
            </w:r>
            <w:r>
              <w:rPr>
                <w:rFonts w:hint="eastAsia"/>
                <w:color w:val="auto"/>
              </w:rPr>
              <w:t>m</w:t>
            </w:r>
            <w:r>
              <w:rPr>
                <w:rFonts w:hint="eastAsia"/>
                <w:color w:val="auto"/>
                <w:vertAlign w:val="superscript"/>
              </w:rPr>
              <w:t>3</w:t>
            </w:r>
          </w:p>
        </w:tc>
        <w:tc>
          <w:tcPr>
            <w:tcW w:w="398" w:type="pct"/>
            <w:vMerge w:val="continue"/>
            <w:vAlign w:val="center"/>
          </w:tcPr>
          <w:p w14:paraId="385C1146">
            <w:pPr>
              <w:pStyle w:val="3361"/>
              <w:rPr>
                <w:color w:val="auto"/>
              </w:rPr>
            </w:pPr>
          </w:p>
        </w:tc>
      </w:tr>
      <w:tr w14:paraId="31897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48" w:type="pct"/>
            <w:vMerge w:val="continue"/>
            <w:vAlign w:val="center"/>
          </w:tcPr>
          <w:p w14:paraId="5596FCC8">
            <w:pPr>
              <w:pStyle w:val="3361"/>
              <w:rPr>
                <w:color w:val="auto"/>
              </w:rPr>
            </w:pPr>
          </w:p>
        </w:tc>
        <w:tc>
          <w:tcPr>
            <w:tcW w:w="506" w:type="pct"/>
            <w:vMerge w:val="continue"/>
            <w:tcMar>
              <w:left w:w="113" w:type="dxa"/>
              <w:right w:w="113" w:type="dxa"/>
            </w:tcMar>
            <w:vAlign w:val="center"/>
          </w:tcPr>
          <w:p w14:paraId="741FF75A">
            <w:pPr>
              <w:pStyle w:val="3361"/>
              <w:rPr>
                <w:color w:val="auto"/>
              </w:rPr>
            </w:pPr>
          </w:p>
        </w:tc>
        <w:tc>
          <w:tcPr>
            <w:tcW w:w="3846" w:type="pct"/>
            <w:vAlign w:val="center"/>
          </w:tcPr>
          <w:p w14:paraId="0305BF14">
            <w:pPr>
              <w:pStyle w:val="3361"/>
              <w:rPr>
                <w:color w:val="auto"/>
              </w:rPr>
            </w:pPr>
            <w:r>
              <w:rPr>
                <w:rFonts w:hint="eastAsia"/>
                <w:color w:val="auto"/>
              </w:rPr>
              <w:t>气浮工段：新增一体化气浮机</w:t>
            </w:r>
            <w:r>
              <w:rPr>
                <w:rFonts w:hint="eastAsia"/>
                <w:color w:val="auto"/>
                <w:lang w:val="en-US" w:eastAsia="zh-CN"/>
              </w:rPr>
              <w:t>2</w:t>
            </w:r>
            <w:r>
              <w:rPr>
                <w:rFonts w:hint="eastAsia"/>
                <w:color w:val="auto"/>
              </w:rPr>
              <w:t>台，</w:t>
            </w:r>
            <w:r>
              <w:rPr>
                <w:rFonts w:hint="eastAsia"/>
                <w:color w:val="auto"/>
                <w:lang w:eastAsia="zh-CN"/>
              </w:rPr>
              <w:t>单台</w:t>
            </w:r>
            <w:r>
              <w:rPr>
                <w:rFonts w:hint="eastAsia"/>
                <w:color w:val="auto"/>
              </w:rPr>
              <w:t>设计处理能力为50m</w:t>
            </w:r>
            <w:r>
              <w:rPr>
                <w:rFonts w:hint="eastAsia"/>
                <w:color w:val="auto"/>
                <w:vertAlign w:val="superscript"/>
              </w:rPr>
              <w:t>3</w:t>
            </w:r>
            <w:r>
              <w:rPr>
                <w:rFonts w:hint="eastAsia"/>
                <w:color w:val="auto"/>
              </w:rPr>
              <w:t>/h，回流比30%。主要功能为利用气浮原理将废水中的油和较大颗粒的悬浮物进行去除。</w:t>
            </w:r>
          </w:p>
        </w:tc>
        <w:tc>
          <w:tcPr>
            <w:tcW w:w="398" w:type="pct"/>
            <w:vMerge w:val="continue"/>
            <w:vAlign w:val="center"/>
          </w:tcPr>
          <w:p w14:paraId="3B2A2317">
            <w:pPr>
              <w:pStyle w:val="3361"/>
              <w:rPr>
                <w:color w:val="auto"/>
              </w:rPr>
            </w:pPr>
          </w:p>
        </w:tc>
      </w:tr>
      <w:tr w14:paraId="7B656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48" w:type="pct"/>
            <w:vMerge w:val="continue"/>
            <w:vAlign w:val="center"/>
          </w:tcPr>
          <w:p w14:paraId="2C6845FC">
            <w:pPr>
              <w:pStyle w:val="3361"/>
              <w:rPr>
                <w:color w:val="auto"/>
              </w:rPr>
            </w:pPr>
          </w:p>
        </w:tc>
        <w:tc>
          <w:tcPr>
            <w:tcW w:w="506" w:type="pct"/>
            <w:vMerge w:val="continue"/>
            <w:tcMar>
              <w:left w:w="113" w:type="dxa"/>
              <w:right w:w="113" w:type="dxa"/>
            </w:tcMar>
            <w:vAlign w:val="center"/>
          </w:tcPr>
          <w:p w14:paraId="09705E5C">
            <w:pPr>
              <w:pStyle w:val="3361"/>
              <w:rPr>
                <w:color w:val="auto"/>
              </w:rPr>
            </w:pPr>
          </w:p>
        </w:tc>
        <w:tc>
          <w:tcPr>
            <w:tcW w:w="3846" w:type="pct"/>
            <w:vAlign w:val="center"/>
          </w:tcPr>
          <w:p w14:paraId="402657E0">
            <w:pPr>
              <w:pStyle w:val="3361"/>
              <w:rPr>
                <w:color w:val="auto"/>
              </w:rPr>
            </w:pPr>
            <w:r>
              <w:rPr>
                <w:rFonts w:hint="eastAsia"/>
                <w:color w:val="auto"/>
                <w:lang w:eastAsia="zh-CN"/>
              </w:rPr>
              <w:t>新建</w:t>
            </w:r>
            <w:r>
              <w:rPr>
                <w:rFonts w:hint="eastAsia"/>
                <w:color w:val="auto"/>
              </w:rPr>
              <w:t>清水</w:t>
            </w:r>
            <w:r>
              <w:rPr>
                <w:rFonts w:hint="eastAsia"/>
                <w:color w:val="auto"/>
                <w:lang w:eastAsia="zh-CN"/>
              </w:rPr>
              <w:t>中间</w:t>
            </w:r>
            <w:r>
              <w:rPr>
                <w:rFonts w:hint="eastAsia"/>
                <w:color w:val="auto"/>
              </w:rPr>
              <w:t>池</w:t>
            </w:r>
            <w:r>
              <w:rPr>
                <w:rFonts w:hint="eastAsia"/>
                <w:color w:val="auto"/>
                <w:lang w:val="en-US" w:eastAsia="zh-CN"/>
              </w:rPr>
              <w:t>1座</w:t>
            </w:r>
            <w:r>
              <w:rPr>
                <w:rFonts w:hint="eastAsia"/>
                <w:color w:val="auto"/>
              </w:rPr>
              <w:t>，收集</w:t>
            </w:r>
            <w:r>
              <w:rPr>
                <w:rFonts w:hint="eastAsia"/>
                <w:color w:val="auto"/>
                <w:lang w:eastAsia="zh-CN"/>
              </w:rPr>
              <w:t>气浮</w:t>
            </w:r>
            <w:r>
              <w:rPr>
                <w:rFonts w:hint="eastAsia"/>
                <w:color w:val="auto"/>
              </w:rPr>
              <w:t>处理后的清水。</w:t>
            </w:r>
          </w:p>
          <w:p w14:paraId="167B1B84">
            <w:pPr>
              <w:pStyle w:val="3361"/>
              <w:rPr>
                <w:rFonts w:hint="eastAsia"/>
                <w:color w:val="auto"/>
              </w:rPr>
            </w:pPr>
            <w:r>
              <w:rPr>
                <w:rFonts w:hint="eastAsia"/>
                <w:color w:val="auto"/>
              </w:rPr>
              <w:t>主要包括清水</w:t>
            </w:r>
            <w:r>
              <w:rPr>
                <w:rFonts w:hint="eastAsia"/>
                <w:color w:val="auto"/>
                <w:lang w:eastAsia="zh-CN"/>
              </w:rPr>
              <w:t>中间</w:t>
            </w:r>
            <w:r>
              <w:rPr>
                <w:rFonts w:hint="eastAsia"/>
                <w:color w:val="auto"/>
              </w:rPr>
              <w:t>池1个，设计总容积</w:t>
            </w:r>
            <w:r>
              <w:rPr>
                <w:rFonts w:hint="eastAsia"/>
                <w:color w:val="auto"/>
                <w:lang w:val="en-US" w:eastAsia="zh-CN"/>
              </w:rPr>
              <w:t>726</w:t>
            </w:r>
            <w:r>
              <w:rPr>
                <w:rFonts w:hint="eastAsia"/>
                <w:color w:val="auto"/>
              </w:rPr>
              <w:t>m</w:t>
            </w:r>
            <w:r>
              <w:rPr>
                <w:rFonts w:hint="eastAsia"/>
                <w:color w:val="auto"/>
                <w:vertAlign w:val="superscript"/>
              </w:rPr>
              <w:t>3</w:t>
            </w:r>
            <w:r>
              <w:rPr>
                <w:rFonts w:hint="eastAsia"/>
                <w:color w:val="auto"/>
              </w:rPr>
              <w:t>，有效容积</w:t>
            </w:r>
            <w:r>
              <w:rPr>
                <w:rFonts w:hint="eastAsia"/>
                <w:color w:val="auto"/>
                <w:lang w:val="en-US" w:eastAsia="zh-CN"/>
              </w:rPr>
              <w:t>600</w:t>
            </w:r>
            <w:r>
              <w:rPr>
                <w:rFonts w:hint="eastAsia"/>
                <w:color w:val="auto"/>
              </w:rPr>
              <w:t>m</w:t>
            </w:r>
            <w:r>
              <w:rPr>
                <w:rFonts w:hint="eastAsia"/>
                <w:color w:val="auto"/>
                <w:vertAlign w:val="superscript"/>
              </w:rPr>
              <w:t>3</w:t>
            </w:r>
            <w:r>
              <w:rPr>
                <w:rFonts w:hint="eastAsia"/>
                <w:color w:val="auto"/>
              </w:rPr>
              <w:t>，收集</w:t>
            </w:r>
            <w:r>
              <w:rPr>
                <w:rFonts w:hint="eastAsia"/>
                <w:color w:val="auto"/>
                <w:lang w:eastAsia="zh-CN"/>
              </w:rPr>
              <w:t>气浮</w:t>
            </w:r>
            <w:r>
              <w:rPr>
                <w:rFonts w:hint="eastAsia"/>
                <w:color w:val="auto"/>
              </w:rPr>
              <w:t>处理后的清水</w:t>
            </w:r>
            <w:r>
              <w:rPr>
                <w:rFonts w:hint="eastAsia"/>
                <w:color w:val="auto"/>
                <w:lang w:eastAsia="zh-CN"/>
              </w:rPr>
              <w:t>。</w:t>
            </w:r>
          </w:p>
        </w:tc>
        <w:tc>
          <w:tcPr>
            <w:tcW w:w="398" w:type="pct"/>
            <w:vMerge w:val="continue"/>
            <w:vAlign w:val="center"/>
          </w:tcPr>
          <w:p w14:paraId="4B6377AE">
            <w:pPr>
              <w:pStyle w:val="3361"/>
              <w:rPr>
                <w:color w:val="auto"/>
              </w:rPr>
            </w:pPr>
          </w:p>
        </w:tc>
      </w:tr>
      <w:tr w14:paraId="10E3F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48" w:type="pct"/>
            <w:vMerge w:val="continue"/>
            <w:vAlign w:val="center"/>
          </w:tcPr>
          <w:p w14:paraId="13EC5F86">
            <w:pPr>
              <w:pStyle w:val="3361"/>
              <w:rPr>
                <w:color w:val="auto"/>
              </w:rPr>
            </w:pPr>
          </w:p>
        </w:tc>
        <w:tc>
          <w:tcPr>
            <w:tcW w:w="506" w:type="pct"/>
            <w:vMerge w:val="continue"/>
            <w:tcMar>
              <w:left w:w="113" w:type="dxa"/>
              <w:right w:w="113" w:type="dxa"/>
            </w:tcMar>
            <w:vAlign w:val="center"/>
          </w:tcPr>
          <w:p w14:paraId="2A056CB5">
            <w:pPr>
              <w:pStyle w:val="3361"/>
              <w:rPr>
                <w:color w:val="auto"/>
              </w:rPr>
            </w:pPr>
          </w:p>
        </w:tc>
        <w:tc>
          <w:tcPr>
            <w:tcW w:w="3846" w:type="pct"/>
            <w:vAlign w:val="center"/>
          </w:tcPr>
          <w:p w14:paraId="24C8B78E">
            <w:pPr>
              <w:pStyle w:val="3361"/>
              <w:rPr>
                <w:color w:val="auto"/>
              </w:rPr>
            </w:pPr>
            <w:r>
              <w:rPr>
                <w:rFonts w:hint="eastAsia"/>
                <w:color w:val="auto"/>
              </w:rPr>
              <w:t>新建石英砂过滤装置1套，设计处理能力为100m</w:t>
            </w:r>
            <w:r>
              <w:rPr>
                <w:rFonts w:hint="eastAsia"/>
                <w:color w:val="auto"/>
                <w:vertAlign w:val="superscript"/>
              </w:rPr>
              <w:t>3</w:t>
            </w:r>
            <w:r>
              <w:rPr>
                <w:rFonts w:hint="eastAsia"/>
                <w:color w:val="auto"/>
              </w:rPr>
              <w:t>/h，主要是对来水中悬浮物、颗粒物及胶体等物质进行去除，同时对来水中的浊度、色度起到降低作用。该设备可以滤除经絮凝加药所生成的矾花和原水带来的颗粒、藻类等</w:t>
            </w:r>
          </w:p>
        </w:tc>
        <w:tc>
          <w:tcPr>
            <w:tcW w:w="398" w:type="pct"/>
            <w:vMerge w:val="continue"/>
            <w:vAlign w:val="center"/>
          </w:tcPr>
          <w:p w14:paraId="0D2EDF0E">
            <w:pPr>
              <w:pStyle w:val="3361"/>
              <w:rPr>
                <w:color w:val="auto"/>
              </w:rPr>
            </w:pPr>
          </w:p>
        </w:tc>
      </w:tr>
      <w:tr w14:paraId="7E4B0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48" w:type="pct"/>
            <w:vMerge w:val="continue"/>
            <w:vAlign w:val="center"/>
          </w:tcPr>
          <w:p w14:paraId="28582031">
            <w:pPr>
              <w:pStyle w:val="3361"/>
              <w:rPr>
                <w:color w:val="auto"/>
              </w:rPr>
            </w:pPr>
          </w:p>
        </w:tc>
        <w:tc>
          <w:tcPr>
            <w:tcW w:w="506" w:type="pct"/>
            <w:vMerge w:val="continue"/>
            <w:tcMar>
              <w:left w:w="113" w:type="dxa"/>
              <w:right w:w="113" w:type="dxa"/>
            </w:tcMar>
            <w:vAlign w:val="center"/>
          </w:tcPr>
          <w:p w14:paraId="7DD685AE">
            <w:pPr>
              <w:pStyle w:val="3361"/>
              <w:rPr>
                <w:color w:val="auto"/>
              </w:rPr>
            </w:pPr>
          </w:p>
        </w:tc>
        <w:tc>
          <w:tcPr>
            <w:tcW w:w="3846" w:type="pct"/>
            <w:vAlign w:val="center"/>
          </w:tcPr>
          <w:p w14:paraId="0A5247BC">
            <w:pPr>
              <w:pStyle w:val="3361"/>
              <w:rPr>
                <w:color w:val="auto"/>
              </w:rPr>
            </w:pPr>
            <w:r>
              <w:rPr>
                <w:rFonts w:hint="eastAsia"/>
                <w:color w:val="auto"/>
              </w:rPr>
              <w:t>新建</w:t>
            </w:r>
            <w:r>
              <w:rPr>
                <w:rFonts w:hint="eastAsia"/>
                <w:color w:val="auto"/>
                <w:lang w:eastAsia="zh-CN"/>
              </w:rPr>
              <w:t>陶瓷过滤装置</w:t>
            </w:r>
            <w:r>
              <w:rPr>
                <w:rFonts w:hint="eastAsia"/>
                <w:color w:val="auto"/>
              </w:rPr>
              <w:t>1套，设计处理能力为100m</w:t>
            </w:r>
            <w:r>
              <w:rPr>
                <w:rFonts w:hint="eastAsia"/>
                <w:color w:val="auto"/>
                <w:vertAlign w:val="superscript"/>
              </w:rPr>
              <w:t>3</w:t>
            </w:r>
            <w:r>
              <w:rPr>
                <w:rFonts w:hint="eastAsia"/>
                <w:color w:val="auto"/>
              </w:rPr>
              <w:t>/h，主要功能为通过</w:t>
            </w:r>
            <w:r>
              <w:rPr>
                <w:rFonts w:hint="eastAsia"/>
                <w:color w:val="auto"/>
                <w:lang w:eastAsia="zh-CN"/>
              </w:rPr>
              <w:t>陶瓷过滤</w:t>
            </w:r>
            <w:r>
              <w:rPr>
                <w:rFonts w:hint="eastAsia"/>
                <w:color w:val="auto"/>
              </w:rPr>
              <w:t>进一步对水中悬浮物、颗粒物及胶体等物质进行去除。</w:t>
            </w:r>
          </w:p>
        </w:tc>
        <w:tc>
          <w:tcPr>
            <w:tcW w:w="398" w:type="pct"/>
            <w:vMerge w:val="continue"/>
            <w:vAlign w:val="center"/>
          </w:tcPr>
          <w:p w14:paraId="5D654609">
            <w:pPr>
              <w:pStyle w:val="3361"/>
              <w:rPr>
                <w:color w:val="auto"/>
              </w:rPr>
            </w:pPr>
          </w:p>
        </w:tc>
      </w:tr>
      <w:tr w14:paraId="21215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48" w:type="pct"/>
            <w:vMerge w:val="continue"/>
            <w:vAlign w:val="center"/>
          </w:tcPr>
          <w:p w14:paraId="50672F9B">
            <w:pPr>
              <w:pStyle w:val="3361"/>
              <w:rPr>
                <w:color w:val="auto"/>
              </w:rPr>
            </w:pPr>
          </w:p>
        </w:tc>
        <w:tc>
          <w:tcPr>
            <w:tcW w:w="506" w:type="pct"/>
            <w:vMerge w:val="continue"/>
            <w:tcMar>
              <w:left w:w="113" w:type="dxa"/>
              <w:right w:w="113" w:type="dxa"/>
            </w:tcMar>
            <w:vAlign w:val="center"/>
          </w:tcPr>
          <w:p w14:paraId="505D28BC">
            <w:pPr>
              <w:pStyle w:val="3361"/>
              <w:rPr>
                <w:color w:val="auto"/>
              </w:rPr>
            </w:pPr>
          </w:p>
        </w:tc>
        <w:tc>
          <w:tcPr>
            <w:tcW w:w="3846" w:type="pct"/>
            <w:vAlign w:val="center"/>
          </w:tcPr>
          <w:p w14:paraId="150A11CC">
            <w:pPr>
              <w:pStyle w:val="3361"/>
              <w:rPr>
                <w:color w:val="auto"/>
              </w:rPr>
            </w:pPr>
            <w:r>
              <w:rPr>
                <w:rFonts w:hint="eastAsia"/>
                <w:color w:val="auto"/>
              </w:rPr>
              <w:t>新建DTRO膜浓缩装置1套，设计处理能力为2000m</w:t>
            </w:r>
            <w:r>
              <w:rPr>
                <w:rFonts w:hint="eastAsia"/>
                <w:color w:val="auto"/>
                <w:vertAlign w:val="superscript"/>
              </w:rPr>
              <w:t>3</w:t>
            </w:r>
            <w:r>
              <w:rPr>
                <w:rFonts w:hint="eastAsia"/>
                <w:color w:val="auto"/>
              </w:rPr>
              <w:t>/d，主要功能为基于反渗透技术去除原水中的无机盐、重金属离子、有机物、胶体、细菌、病毒等杂质，从而实现对水的净化</w:t>
            </w:r>
          </w:p>
        </w:tc>
        <w:tc>
          <w:tcPr>
            <w:tcW w:w="398" w:type="pct"/>
            <w:vMerge w:val="continue"/>
            <w:vAlign w:val="center"/>
          </w:tcPr>
          <w:p w14:paraId="27AE32E1">
            <w:pPr>
              <w:pStyle w:val="3361"/>
              <w:rPr>
                <w:color w:val="auto"/>
              </w:rPr>
            </w:pPr>
          </w:p>
        </w:tc>
      </w:tr>
      <w:tr w14:paraId="6404F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48" w:type="pct"/>
            <w:vMerge w:val="continue"/>
            <w:vAlign w:val="center"/>
          </w:tcPr>
          <w:p w14:paraId="4483B6B3">
            <w:pPr>
              <w:pStyle w:val="3361"/>
              <w:rPr>
                <w:color w:val="auto"/>
              </w:rPr>
            </w:pPr>
          </w:p>
        </w:tc>
        <w:tc>
          <w:tcPr>
            <w:tcW w:w="506" w:type="pct"/>
            <w:vMerge w:val="continue"/>
            <w:tcMar>
              <w:left w:w="113" w:type="dxa"/>
              <w:right w:w="113" w:type="dxa"/>
            </w:tcMar>
            <w:vAlign w:val="center"/>
          </w:tcPr>
          <w:p w14:paraId="555C06C7">
            <w:pPr>
              <w:pStyle w:val="3361"/>
              <w:rPr>
                <w:color w:val="auto"/>
              </w:rPr>
            </w:pPr>
          </w:p>
        </w:tc>
        <w:tc>
          <w:tcPr>
            <w:tcW w:w="3846" w:type="pct"/>
            <w:vAlign w:val="center"/>
          </w:tcPr>
          <w:p w14:paraId="2105E76B">
            <w:pPr>
              <w:pStyle w:val="3361"/>
              <w:rPr>
                <w:color w:val="auto"/>
              </w:rPr>
            </w:pPr>
            <w:r>
              <w:rPr>
                <w:rFonts w:hint="eastAsia"/>
                <w:color w:val="auto"/>
                <w:lang w:eastAsia="zh-CN"/>
              </w:rPr>
              <w:t>新建排放中间</w:t>
            </w:r>
            <w:r>
              <w:rPr>
                <w:rFonts w:hint="eastAsia"/>
                <w:color w:val="auto"/>
              </w:rPr>
              <w:t>池</w:t>
            </w:r>
            <w:r>
              <w:rPr>
                <w:rFonts w:hint="eastAsia"/>
                <w:color w:val="auto"/>
                <w:lang w:val="en-US" w:eastAsia="zh-CN"/>
              </w:rPr>
              <w:t>1座</w:t>
            </w:r>
            <w:r>
              <w:rPr>
                <w:rFonts w:hint="eastAsia"/>
                <w:color w:val="auto"/>
              </w:rPr>
              <w:t>，收集DTRO膜浓缩处理后的清水</w:t>
            </w:r>
            <w:r>
              <w:rPr>
                <w:rFonts w:hint="eastAsia"/>
                <w:color w:val="auto"/>
                <w:lang w:eastAsia="zh-CN"/>
              </w:rPr>
              <w:t>和</w:t>
            </w:r>
            <w:r>
              <w:rPr>
                <w:rFonts w:hint="eastAsia"/>
                <w:color w:val="auto"/>
                <w:lang w:val="en-US" w:eastAsia="zh-CN"/>
              </w:rPr>
              <w:t>MVR蒸发后的清水</w:t>
            </w:r>
            <w:r>
              <w:rPr>
                <w:rFonts w:hint="eastAsia"/>
                <w:color w:val="auto"/>
              </w:rPr>
              <w:t>。</w:t>
            </w:r>
          </w:p>
          <w:p w14:paraId="7EE6CAEB">
            <w:pPr>
              <w:pStyle w:val="3361"/>
              <w:rPr>
                <w:rFonts w:hint="eastAsia" w:eastAsia="宋体"/>
                <w:color w:val="auto"/>
                <w:lang w:eastAsia="zh-CN"/>
              </w:rPr>
            </w:pPr>
            <w:r>
              <w:rPr>
                <w:rFonts w:hint="eastAsia"/>
                <w:color w:val="auto"/>
              </w:rPr>
              <w:t>主要包括</w:t>
            </w:r>
            <w:r>
              <w:rPr>
                <w:rFonts w:hint="eastAsia"/>
                <w:color w:val="auto"/>
                <w:lang w:eastAsia="zh-CN"/>
              </w:rPr>
              <w:t>排放中间</w:t>
            </w:r>
            <w:r>
              <w:rPr>
                <w:rFonts w:hint="eastAsia"/>
                <w:color w:val="auto"/>
              </w:rPr>
              <w:t>池1个，设计总容积</w:t>
            </w:r>
            <w:r>
              <w:rPr>
                <w:rFonts w:hint="eastAsia"/>
                <w:color w:val="auto"/>
                <w:lang w:val="en-US" w:eastAsia="zh-CN"/>
              </w:rPr>
              <w:t>324</w:t>
            </w:r>
            <w:r>
              <w:rPr>
                <w:rFonts w:hint="eastAsia"/>
                <w:color w:val="auto"/>
              </w:rPr>
              <w:t xml:space="preserve"> m</w:t>
            </w:r>
            <w:r>
              <w:rPr>
                <w:rFonts w:hint="eastAsia"/>
                <w:color w:val="auto"/>
                <w:vertAlign w:val="superscript"/>
              </w:rPr>
              <w:t>3</w:t>
            </w:r>
            <w:r>
              <w:rPr>
                <w:rFonts w:hint="eastAsia"/>
                <w:color w:val="auto"/>
              </w:rPr>
              <w:t>，有效容积</w:t>
            </w:r>
            <w:r>
              <w:rPr>
                <w:rFonts w:hint="eastAsia"/>
                <w:color w:val="auto"/>
                <w:lang w:val="en-US" w:eastAsia="zh-CN"/>
              </w:rPr>
              <w:t>259</w:t>
            </w:r>
            <w:r>
              <w:rPr>
                <w:rFonts w:hint="eastAsia"/>
                <w:color w:val="auto"/>
              </w:rPr>
              <w:t>m</w:t>
            </w:r>
            <w:r>
              <w:rPr>
                <w:rFonts w:hint="eastAsia"/>
                <w:color w:val="auto"/>
                <w:vertAlign w:val="superscript"/>
              </w:rPr>
              <w:t>3</w:t>
            </w:r>
            <w:r>
              <w:rPr>
                <w:rFonts w:hint="eastAsia"/>
                <w:color w:val="auto"/>
              </w:rPr>
              <w:t>，收集DTRO膜浓缩处理后的清水</w:t>
            </w:r>
            <w:r>
              <w:rPr>
                <w:rFonts w:hint="eastAsia"/>
                <w:color w:val="auto"/>
                <w:lang w:eastAsia="zh-CN"/>
              </w:rPr>
              <w:t>和</w:t>
            </w:r>
            <w:r>
              <w:rPr>
                <w:rFonts w:hint="eastAsia"/>
                <w:color w:val="auto"/>
                <w:lang w:val="en-US" w:eastAsia="zh-CN"/>
              </w:rPr>
              <w:t>MVR蒸发后的清水</w:t>
            </w:r>
            <w:r>
              <w:rPr>
                <w:rFonts w:hint="eastAsia"/>
                <w:color w:val="auto"/>
                <w:lang w:eastAsia="zh-CN"/>
              </w:rPr>
              <w:t>。</w:t>
            </w:r>
          </w:p>
        </w:tc>
        <w:tc>
          <w:tcPr>
            <w:tcW w:w="398" w:type="pct"/>
            <w:vMerge w:val="continue"/>
            <w:vAlign w:val="center"/>
          </w:tcPr>
          <w:p w14:paraId="1ABCC48F">
            <w:pPr>
              <w:pStyle w:val="3361"/>
              <w:rPr>
                <w:color w:val="auto"/>
              </w:rPr>
            </w:pPr>
          </w:p>
        </w:tc>
      </w:tr>
      <w:tr w14:paraId="08DCC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48" w:type="pct"/>
            <w:vMerge w:val="continue"/>
            <w:vAlign w:val="center"/>
          </w:tcPr>
          <w:p w14:paraId="46CA05A7">
            <w:pPr>
              <w:pStyle w:val="3361"/>
              <w:rPr>
                <w:color w:val="auto"/>
              </w:rPr>
            </w:pPr>
          </w:p>
        </w:tc>
        <w:tc>
          <w:tcPr>
            <w:tcW w:w="506" w:type="pct"/>
            <w:vMerge w:val="continue"/>
            <w:tcMar>
              <w:left w:w="113" w:type="dxa"/>
              <w:right w:w="113" w:type="dxa"/>
            </w:tcMar>
            <w:vAlign w:val="center"/>
          </w:tcPr>
          <w:p w14:paraId="41815609">
            <w:pPr>
              <w:pStyle w:val="3361"/>
              <w:rPr>
                <w:color w:val="auto"/>
              </w:rPr>
            </w:pPr>
          </w:p>
        </w:tc>
        <w:tc>
          <w:tcPr>
            <w:tcW w:w="3846" w:type="pct"/>
            <w:vAlign w:val="center"/>
          </w:tcPr>
          <w:p w14:paraId="586AE906">
            <w:pPr>
              <w:pStyle w:val="3361"/>
              <w:rPr>
                <w:color w:val="auto"/>
              </w:rPr>
            </w:pPr>
            <w:r>
              <w:rPr>
                <w:rFonts w:hint="eastAsia"/>
                <w:color w:val="auto"/>
              </w:rPr>
              <w:t>新建浓水</w:t>
            </w:r>
            <w:r>
              <w:rPr>
                <w:rFonts w:hint="eastAsia"/>
                <w:color w:val="auto"/>
                <w:lang w:eastAsia="zh-CN"/>
              </w:rPr>
              <w:t>罐</w:t>
            </w:r>
            <w:r>
              <w:rPr>
                <w:rFonts w:hint="eastAsia"/>
                <w:color w:val="auto"/>
                <w:lang w:val="en-US" w:eastAsia="zh-CN"/>
              </w:rPr>
              <w:t>2</w:t>
            </w:r>
            <w:r>
              <w:rPr>
                <w:rFonts w:hint="eastAsia"/>
                <w:color w:val="auto"/>
              </w:rPr>
              <w:t>个，收集DTRO膜浓缩处理后的浓水，保证后续设备的连续稳定运行，</w:t>
            </w:r>
            <w:r>
              <w:rPr>
                <w:rFonts w:hint="eastAsia"/>
                <w:color w:val="auto"/>
                <w:lang w:eastAsia="zh-CN"/>
              </w:rPr>
              <w:t>后续</w:t>
            </w:r>
            <w:r>
              <w:rPr>
                <w:rFonts w:hint="eastAsia"/>
                <w:color w:val="auto"/>
              </w:rPr>
              <w:t>蒸发浓缩处理。</w:t>
            </w:r>
          </w:p>
          <w:p w14:paraId="37466DE6">
            <w:pPr>
              <w:pStyle w:val="3361"/>
              <w:rPr>
                <w:color w:val="auto"/>
              </w:rPr>
            </w:pPr>
            <w:r>
              <w:rPr>
                <w:rFonts w:hint="eastAsia"/>
                <w:color w:val="auto"/>
              </w:rPr>
              <w:t>主要包括浓水</w:t>
            </w:r>
            <w:r>
              <w:rPr>
                <w:rFonts w:hint="eastAsia"/>
                <w:color w:val="auto"/>
                <w:lang w:eastAsia="zh-CN"/>
              </w:rPr>
              <w:t>罐</w:t>
            </w:r>
            <w:r>
              <w:rPr>
                <w:rFonts w:hint="eastAsia"/>
                <w:color w:val="auto"/>
                <w:lang w:val="en-US" w:eastAsia="zh-CN"/>
              </w:rPr>
              <w:t>2</w:t>
            </w:r>
            <w:r>
              <w:rPr>
                <w:rFonts w:hint="eastAsia"/>
                <w:color w:val="auto"/>
              </w:rPr>
              <w:t>个，</w:t>
            </w:r>
            <w:r>
              <w:rPr>
                <w:rFonts w:hint="eastAsia"/>
                <w:color w:val="auto"/>
                <w:lang w:eastAsia="zh-CN"/>
              </w:rPr>
              <w:t>单个</w:t>
            </w:r>
            <w:r>
              <w:rPr>
                <w:rFonts w:hint="eastAsia"/>
                <w:color w:val="auto"/>
              </w:rPr>
              <w:t>设计</w:t>
            </w:r>
            <w:r>
              <w:rPr>
                <w:rFonts w:hint="eastAsia"/>
                <w:color w:val="auto"/>
                <w:lang w:eastAsia="zh-CN"/>
              </w:rPr>
              <w:t>有效</w:t>
            </w:r>
            <w:r>
              <w:rPr>
                <w:rFonts w:hint="eastAsia"/>
                <w:color w:val="auto"/>
              </w:rPr>
              <w:t>容积</w:t>
            </w:r>
            <w:r>
              <w:rPr>
                <w:rFonts w:hint="eastAsia"/>
                <w:color w:val="auto"/>
                <w:lang w:val="en-US" w:eastAsia="zh-CN"/>
              </w:rPr>
              <w:t>300</w:t>
            </w:r>
            <w:r>
              <w:rPr>
                <w:rFonts w:hint="eastAsia"/>
                <w:color w:val="auto"/>
              </w:rPr>
              <w:t>m</w:t>
            </w:r>
            <w:r>
              <w:rPr>
                <w:rFonts w:hint="eastAsia"/>
                <w:color w:val="auto"/>
                <w:vertAlign w:val="superscript"/>
              </w:rPr>
              <w:t>3</w:t>
            </w:r>
            <w:r>
              <w:rPr>
                <w:rFonts w:hint="eastAsia"/>
                <w:color w:val="auto"/>
              </w:rPr>
              <w:t>，</w:t>
            </w:r>
            <w:r>
              <w:rPr>
                <w:rFonts w:hint="eastAsia"/>
                <w:color w:val="auto"/>
                <w:lang w:eastAsia="zh-CN"/>
              </w:rPr>
              <w:t>合计有效</w:t>
            </w:r>
            <w:r>
              <w:rPr>
                <w:rFonts w:hint="eastAsia"/>
                <w:color w:val="auto"/>
              </w:rPr>
              <w:t>容积</w:t>
            </w:r>
            <w:r>
              <w:rPr>
                <w:rFonts w:hint="eastAsia"/>
                <w:color w:val="auto"/>
                <w:lang w:val="en-US" w:eastAsia="zh-CN"/>
              </w:rPr>
              <w:t>600</w:t>
            </w:r>
            <w:r>
              <w:rPr>
                <w:rFonts w:hint="eastAsia"/>
                <w:color w:val="auto"/>
              </w:rPr>
              <w:t>m</w:t>
            </w:r>
            <w:r>
              <w:rPr>
                <w:rFonts w:hint="eastAsia"/>
                <w:color w:val="auto"/>
                <w:vertAlign w:val="superscript"/>
              </w:rPr>
              <w:t>3</w:t>
            </w:r>
          </w:p>
        </w:tc>
        <w:tc>
          <w:tcPr>
            <w:tcW w:w="398" w:type="pct"/>
            <w:vMerge w:val="continue"/>
            <w:vAlign w:val="center"/>
          </w:tcPr>
          <w:p w14:paraId="1FD502CB">
            <w:pPr>
              <w:pStyle w:val="3361"/>
              <w:rPr>
                <w:color w:val="auto"/>
              </w:rPr>
            </w:pPr>
          </w:p>
        </w:tc>
      </w:tr>
      <w:tr w14:paraId="05E10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48" w:type="pct"/>
            <w:vMerge w:val="continue"/>
            <w:vAlign w:val="center"/>
          </w:tcPr>
          <w:p w14:paraId="469DD031">
            <w:pPr>
              <w:pStyle w:val="3361"/>
              <w:rPr>
                <w:color w:val="auto"/>
              </w:rPr>
            </w:pPr>
          </w:p>
        </w:tc>
        <w:tc>
          <w:tcPr>
            <w:tcW w:w="506" w:type="pct"/>
            <w:vMerge w:val="continue"/>
            <w:tcMar>
              <w:left w:w="113" w:type="dxa"/>
              <w:right w:w="113" w:type="dxa"/>
            </w:tcMar>
            <w:vAlign w:val="center"/>
          </w:tcPr>
          <w:p w14:paraId="15D41085">
            <w:pPr>
              <w:pStyle w:val="3361"/>
              <w:rPr>
                <w:color w:val="auto"/>
              </w:rPr>
            </w:pPr>
          </w:p>
        </w:tc>
        <w:tc>
          <w:tcPr>
            <w:tcW w:w="3846" w:type="pct"/>
            <w:vAlign w:val="center"/>
          </w:tcPr>
          <w:p w14:paraId="707C4048">
            <w:pPr>
              <w:pStyle w:val="3361"/>
              <w:rPr>
                <w:color w:val="auto"/>
              </w:rPr>
            </w:pPr>
            <w:r>
              <w:rPr>
                <w:rFonts w:hint="eastAsia"/>
                <w:color w:val="auto"/>
              </w:rPr>
              <w:t>浓水蒸发浓缩系统新建</w:t>
            </w:r>
            <w:r>
              <w:rPr>
                <w:rFonts w:hint="eastAsia"/>
                <w:color w:val="auto"/>
                <w:lang w:eastAsia="zh-CN"/>
              </w:rPr>
              <w:t>蒸发</w:t>
            </w:r>
            <w:r>
              <w:rPr>
                <w:rFonts w:hint="eastAsia"/>
                <w:color w:val="auto"/>
              </w:rPr>
              <w:t>装置1套，设计处理能力为800m</w:t>
            </w:r>
            <w:r>
              <w:rPr>
                <w:rFonts w:hint="eastAsia"/>
                <w:color w:val="auto"/>
                <w:vertAlign w:val="superscript"/>
              </w:rPr>
              <w:t>3</w:t>
            </w:r>
            <w:r>
              <w:rPr>
                <w:rFonts w:hint="eastAsia"/>
                <w:color w:val="auto"/>
              </w:rPr>
              <w:t>/d，主要配备MVR蒸发器2台（采用电加热），单台处理能力为20m</w:t>
            </w:r>
            <w:r>
              <w:rPr>
                <w:rFonts w:hint="eastAsia"/>
                <w:color w:val="auto"/>
                <w:vertAlign w:val="superscript"/>
              </w:rPr>
              <w:t>3</w:t>
            </w:r>
            <w:r>
              <w:rPr>
                <w:rFonts w:hint="eastAsia"/>
                <w:color w:val="auto"/>
              </w:rPr>
              <w:t>/h。</w:t>
            </w:r>
          </w:p>
          <w:p w14:paraId="7DD9EF21">
            <w:pPr>
              <w:pStyle w:val="3361"/>
              <w:rPr>
                <w:color w:val="auto"/>
              </w:rPr>
            </w:pPr>
            <w:r>
              <w:rPr>
                <w:rFonts w:hint="eastAsia"/>
                <w:color w:val="auto"/>
              </w:rPr>
              <w:t>软化后的膜浓缩液，进入蒸发系统，进行盐水分离。膜浓缩液中的水通过升温的方式变为蒸汽，使浓缩液由稀变浓，继续蒸发盐分呈晶体析出，从而实现盐水分离</w:t>
            </w:r>
          </w:p>
        </w:tc>
        <w:tc>
          <w:tcPr>
            <w:tcW w:w="398" w:type="pct"/>
            <w:vAlign w:val="center"/>
          </w:tcPr>
          <w:p w14:paraId="03A90587">
            <w:pPr>
              <w:pStyle w:val="3361"/>
              <w:rPr>
                <w:color w:val="auto"/>
              </w:rPr>
            </w:pPr>
            <w:r>
              <w:rPr>
                <w:rFonts w:hint="eastAsia"/>
                <w:color w:val="auto"/>
              </w:rPr>
              <w:t>浓水蒸发浓缩</w:t>
            </w:r>
          </w:p>
        </w:tc>
      </w:tr>
      <w:tr w14:paraId="5B902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27" w:hRule="atLeast"/>
          <w:jc w:val="center"/>
        </w:trPr>
        <w:tc>
          <w:tcPr>
            <w:tcW w:w="248" w:type="pct"/>
            <w:vMerge w:val="continue"/>
            <w:vAlign w:val="center"/>
          </w:tcPr>
          <w:p w14:paraId="64DCF7D1">
            <w:pPr>
              <w:pStyle w:val="3361"/>
              <w:rPr>
                <w:color w:val="auto"/>
              </w:rPr>
            </w:pPr>
          </w:p>
        </w:tc>
        <w:tc>
          <w:tcPr>
            <w:tcW w:w="506" w:type="pct"/>
            <w:vMerge w:val="continue"/>
            <w:tcMar>
              <w:left w:w="113" w:type="dxa"/>
              <w:right w:w="113" w:type="dxa"/>
            </w:tcMar>
            <w:vAlign w:val="center"/>
          </w:tcPr>
          <w:p w14:paraId="00BB54E9">
            <w:pPr>
              <w:pStyle w:val="3361"/>
              <w:rPr>
                <w:color w:val="auto"/>
              </w:rPr>
            </w:pPr>
          </w:p>
        </w:tc>
        <w:tc>
          <w:tcPr>
            <w:tcW w:w="3846" w:type="pct"/>
            <w:vAlign w:val="center"/>
          </w:tcPr>
          <w:p w14:paraId="3962CDCB">
            <w:pPr>
              <w:pStyle w:val="3361"/>
              <w:rPr>
                <w:color w:val="auto"/>
              </w:rPr>
            </w:pPr>
            <w:r>
              <w:rPr>
                <w:rFonts w:hint="eastAsia"/>
                <w:color w:val="auto"/>
                <w:lang w:eastAsia="zh-CN"/>
              </w:rPr>
              <w:t>新建</w:t>
            </w:r>
            <w:r>
              <w:rPr>
                <w:rFonts w:hint="eastAsia"/>
                <w:color w:val="auto"/>
              </w:rPr>
              <w:t>污泥</w:t>
            </w:r>
            <w:r>
              <w:rPr>
                <w:rFonts w:hint="eastAsia"/>
                <w:color w:val="auto"/>
                <w:lang w:eastAsia="zh-CN"/>
              </w:rPr>
              <w:t>浓缩沉淀</w:t>
            </w:r>
            <w:r>
              <w:rPr>
                <w:rFonts w:hint="eastAsia"/>
                <w:color w:val="auto"/>
              </w:rPr>
              <w:t>池</w:t>
            </w:r>
            <w:r>
              <w:rPr>
                <w:rFonts w:hint="eastAsia"/>
                <w:color w:val="auto"/>
                <w:lang w:val="en-US" w:eastAsia="zh-CN"/>
              </w:rPr>
              <w:t>1座</w:t>
            </w:r>
            <w:r>
              <w:rPr>
                <w:rFonts w:hint="eastAsia"/>
                <w:color w:val="auto"/>
              </w:rPr>
              <w:t>，主要功能为储存气浮池、高密软化池和沉淀池的污泥。</w:t>
            </w:r>
          </w:p>
          <w:p w14:paraId="52D286E2">
            <w:pPr>
              <w:pStyle w:val="3361"/>
              <w:rPr>
                <w:color w:val="auto"/>
                <w:sz w:val="21"/>
                <w:lang w:val="zh-CN"/>
              </w:rPr>
            </w:pPr>
            <w:r>
              <w:rPr>
                <w:rFonts w:hint="eastAsia"/>
                <w:color w:val="auto"/>
              </w:rPr>
              <w:t>主要包括过排污泥池1个，设计总容积</w:t>
            </w:r>
            <w:r>
              <w:rPr>
                <w:rFonts w:hint="eastAsia"/>
                <w:color w:val="auto"/>
                <w:lang w:val="en-US" w:eastAsia="zh-CN"/>
              </w:rPr>
              <w:t>88</w:t>
            </w:r>
            <w:r>
              <w:rPr>
                <w:rFonts w:hint="eastAsia"/>
                <w:color w:val="auto"/>
              </w:rPr>
              <w:t>m</w:t>
            </w:r>
            <w:r>
              <w:rPr>
                <w:rFonts w:hint="eastAsia"/>
                <w:color w:val="auto"/>
                <w:vertAlign w:val="superscript"/>
              </w:rPr>
              <w:t>3</w:t>
            </w:r>
            <w:r>
              <w:rPr>
                <w:rFonts w:hint="eastAsia"/>
                <w:color w:val="auto"/>
              </w:rPr>
              <w:t>，有效容积</w:t>
            </w:r>
            <w:r>
              <w:rPr>
                <w:rFonts w:hint="eastAsia"/>
                <w:color w:val="auto"/>
                <w:lang w:val="en-US" w:eastAsia="zh-CN"/>
              </w:rPr>
              <w:t>80</w:t>
            </w:r>
            <w:r>
              <w:rPr>
                <w:rFonts w:hint="eastAsia"/>
                <w:color w:val="auto"/>
              </w:rPr>
              <w:t>m</w:t>
            </w:r>
            <w:r>
              <w:rPr>
                <w:rFonts w:hint="eastAsia"/>
                <w:color w:val="auto"/>
                <w:vertAlign w:val="superscript"/>
              </w:rPr>
              <w:t>3</w:t>
            </w:r>
          </w:p>
        </w:tc>
        <w:tc>
          <w:tcPr>
            <w:tcW w:w="398" w:type="pct"/>
            <w:vMerge w:val="restart"/>
            <w:vAlign w:val="center"/>
          </w:tcPr>
          <w:p w14:paraId="0FE494FC">
            <w:pPr>
              <w:pStyle w:val="3361"/>
              <w:rPr>
                <w:color w:val="auto"/>
              </w:rPr>
            </w:pPr>
            <w:r>
              <w:rPr>
                <w:rFonts w:hint="eastAsia"/>
                <w:color w:val="auto"/>
              </w:rPr>
              <w:t>污泥系统</w:t>
            </w:r>
          </w:p>
        </w:tc>
      </w:tr>
      <w:tr w14:paraId="7C7A8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48" w:type="pct"/>
            <w:vMerge w:val="continue"/>
            <w:vAlign w:val="center"/>
          </w:tcPr>
          <w:p w14:paraId="0A378BB4">
            <w:pPr>
              <w:pStyle w:val="3361"/>
              <w:rPr>
                <w:color w:val="auto"/>
              </w:rPr>
            </w:pPr>
          </w:p>
        </w:tc>
        <w:tc>
          <w:tcPr>
            <w:tcW w:w="506" w:type="pct"/>
            <w:vMerge w:val="continue"/>
            <w:tcMar>
              <w:left w:w="113" w:type="dxa"/>
              <w:right w:w="113" w:type="dxa"/>
            </w:tcMar>
            <w:vAlign w:val="center"/>
          </w:tcPr>
          <w:p w14:paraId="310927D7">
            <w:pPr>
              <w:pStyle w:val="3361"/>
              <w:rPr>
                <w:color w:val="auto"/>
              </w:rPr>
            </w:pPr>
          </w:p>
        </w:tc>
        <w:tc>
          <w:tcPr>
            <w:tcW w:w="3846" w:type="pct"/>
            <w:vAlign w:val="center"/>
          </w:tcPr>
          <w:p w14:paraId="6800AF70">
            <w:pPr>
              <w:pStyle w:val="3361"/>
              <w:rPr>
                <w:color w:val="auto"/>
              </w:rPr>
            </w:pPr>
            <w:r>
              <w:rPr>
                <w:rFonts w:hint="eastAsia"/>
                <w:color w:val="auto"/>
              </w:rPr>
              <w:t>新建1个污泥</w:t>
            </w:r>
            <w:r>
              <w:rPr>
                <w:rFonts w:hint="eastAsia"/>
                <w:color w:val="auto"/>
                <w:lang w:eastAsia="zh-CN"/>
              </w:rPr>
              <w:t>压滤</w:t>
            </w:r>
            <w:r>
              <w:rPr>
                <w:rFonts w:hint="eastAsia"/>
                <w:color w:val="auto"/>
              </w:rPr>
              <w:t>间</w:t>
            </w:r>
            <w:r>
              <w:rPr>
                <w:rFonts w:hint="eastAsia"/>
                <w:color w:val="auto"/>
                <w:lang w:val="en-US" w:eastAsia="zh-CN"/>
              </w:rPr>
              <w:t>1个</w:t>
            </w:r>
            <w:r>
              <w:rPr>
                <w:rFonts w:hint="eastAsia"/>
                <w:color w:val="auto"/>
              </w:rPr>
              <w:t>，设计建筑面积</w:t>
            </w:r>
            <w:r>
              <w:rPr>
                <w:rFonts w:hint="eastAsia"/>
                <w:color w:val="auto"/>
                <w:lang w:eastAsia="zh-CN"/>
              </w:rPr>
              <w:t>约</w:t>
            </w:r>
            <w:r>
              <w:rPr>
                <w:rFonts w:hint="eastAsia"/>
                <w:color w:val="auto"/>
              </w:rPr>
              <w:t>为</w:t>
            </w:r>
            <w:r>
              <w:rPr>
                <w:rFonts w:hint="eastAsia"/>
                <w:color w:val="auto"/>
                <w:lang w:val="en-US" w:eastAsia="zh-CN"/>
              </w:rPr>
              <w:t>6</w:t>
            </w:r>
            <w:r>
              <w:rPr>
                <w:rFonts w:hint="eastAsia"/>
                <w:color w:val="auto"/>
              </w:rPr>
              <w:t>0m</w:t>
            </w:r>
            <w:r>
              <w:rPr>
                <w:rFonts w:hint="eastAsia"/>
                <w:color w:val="auto"/>
                <w:vertAlign w:val="superscript"/>
              </w:rPr>
              <w:t>2</w:t>
            </w:r>
            <w:r>
              <w:rPr>
                <w:rFonts w:hint="eastAsia"/>
                <w:color w:val="auto"/>
              </w:rPr>
              <w:t>，</w:t>
            </w:r>
            <w:r>
              <w:rPr>
                <w:rFonts w:hint="eastAsia"/>
                <w:color w:val="auto"/>
                <w:lang w:eastAsia="zh-CN"/>
              </w:rPr>
              <w:t>设计配备污泥压滤机</w:t>
            </w:r>
            <w:r>
              <w:rPr>
                <w:rFonts w:hint="eastAsia"/>
                <w:color w:val="auto"/>
                <w:lang w:val="en-US" w:eastAsia="zh-CN"/>
              </w:rPr>
              <w:t>2台，</w:t>
            </w:r>
            <w:r>
              <w:rPr>
                <w:rFonts w:hint="eastAsia"/>
                <w:color w:val="auto"/>
              </w:rPr>
              <w:t>用于污泥池污泥压滤脱水</w:t>
            </w:r>
          </w:p>
        </w:tc>
        <w:tc>
          <w:tcPr>
            <w:tcW w:w="398" w:type="pct"/>
            <w:vMerge w:val="continue"/>
            <w:vAlign w:val="center"/>
          </w:tcPr>
          <w:p w14:paraId="53BA38CF">
            <w:pPr>
              <w:pStyle w:val="3361"/>
              <w:rPr>
                <w:color w:val="auto"/>
              </w:rPr>
            </w:pPr>
          </w:p>
        </w:tc>
      </w:tr>
      <w:tr w14:paraId="543C3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48" w:type="pct"/>
            <w:vMerge w:val="continue"/>
            <w:vAlign w:val="center"/>
          </w:tcPr>
          <w:p w14:paraId="79451D8B">
            <w:pPr>
              <w:pStyle w:val="3361"/>
              <w:rPr>
                <w:color w:val="auto"/>
              </w:rPr>
            </w:pPr>
          </w:p>
        </w:tc>
        <w:tc>
          <w:tcPr>
            <w:tcW w:w="506" w:type="pct"/>
            <w:tcMar>
              <w:left w:w="113" w:type="dxa"/>
              <w:right w:w="113" w:type="dxa"/>
            </w:tcMar>
            <w:vAlign w:val="center"/>
          </w:tcPr>
          <w:p w14:paraId="5BDB2428">
            <w:pPr>
              <w:pStyle w:val="3361"/>
              <w:rPr>
                <w:color w:val="auto"/>
              </w:rPr>
            </w:pPr>
            <w:r>
              <w:rPr>
                <w:rFonts w:hint="eastAsia"/>
                <w:color w:val="auto"/>
              </w:rPr>
              <w:t>管网工程</w:t>
            </w:r>
          </w:p>
        </w:tc>
        <w:tc>
          <w:tcPr>
            <w:tcW w:w="3846" w:type="pct"/>
            <w:vAlign w:val="center"/>
          </w:tcPr>
          <w:p w14:paraId="4E1D977A">
            <w:pPr>
              <w:pStyle w:val="3361"/>
              <w:rPr>
                <w:color w:val="auto"/>
              </w:rPr>
            </w:pPr>
            <w:r>
              <w:rPr>
                <w:rFonts w:hint="eastAsia"/>
                <w:color w:val="auto"/>
              </w:rPr>
              <w:t>拟建项目管网建设仅涉及</w:t>
            </w:r>
            <w:r>
              <w:rPr>
                <w:rFonts w:hint="eastAsia"/>
                <w:color w:val="auto"/>
                <w:lang w:eastAsia="zh-CN"/>
              </w:rPr>
              <w:t>污水处理厂</w:t>
            </w:r>
            <w:r>
              <w:rPr>
                <w:rFonts w:hint="eastAsia"/>
                <w:color w:val="auto"/>
              </w:rPr>
              <w:t>厂内管网建设，不涉及厂外管网建设，外来废水均通过罐车运至厂区内</w:t>
            </w:r>
          </w:p>
        </w:tc>
        <w:tc>
          <w:tcPr>
            <w:tcW w:w="398" w:type="pct"/>
            <w:vAlign w:val="center"/>
          </w:tcPr>
          <w:p w14:paraId="247F9CDD">
            <w:pPr>
              <w:pStyle w:val="3361"/>
              <w:rPr>
                <w:color w:val="auto"/>
              </w:rPr>
            </w:pPr>
            <w:r>
              <w:rPr>
                <w:rFonts w:hint="eastAsia"/>
                <w:color w:val="auto"/>
              </w:rPr>
              <w:t>新建</w:t>
            </w:r>
          </w:p>
        </w:tc>
      </w:tr>
      <w:tr w14:paraId="6FC5A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48" w:type="pct"/>
            <w:vMerge w:val="restart"/>
            <w:vAlign w:val="center"/>
          </w:tcPr>
          <w:p w14:paraId="644D5133">
            <w:pPr>
              <w:pStyle w:val="3361"/>
              <w:rPr>
                <w:color w:val="auto"/>
              </w:rPr>
            </w:pPr>
            <w:r>
              <w:rPr>
                <w:rFonts w:hint="eastAsia"/>
                <w:color w:val="auto"/>
              </w:rPr>
              <w:t>辅助工程</w:t>
            </w:r>
          </w:p>
        </w:tc>
        <w:tc>
          <w:tcPr>
            <w:tcW w:w="506" w:type="pct"/>
            <w:tcMar>
              <w:left w:w="113" w:type="dxa"/>
              <w:right w:w="113" w:type="dxa"/>
            </w:tcMar>
            <w:vAlign w:val="center"/>
          </w:tcPr>
          <w:p w14:paraId="25DADA3E">
            <w:pPr>
              <w:pStyle w:val="2121"/>
              <w:rPr>
                <w:rStyle w:val="3380"/>
                <w:color w:val="auto"/>
              </w:rPr>
            </w:pPr>
            <w:r>
              <w:rPr>
                <w:rStyle w:val="3380"/>
                <w:rFonts w:hint="eastAsia"/>
                <w:color w:val="auto"/>
              </w:rPr>
              <w:t>办公区</w:t>
            </w:r>
          </w:p>
        </w:tc>
        <w:tc>
          <w:tcPr>
            <w:tcW w:w="3846" w:type="pct"/>
            <w:vAlign w:val="center"/>
          </w:tcPr>
          <w:p w14:paraId="331F776B">
            <w:pPr>
              <w:pStyle w:val="2121"/>
              <w:rPr>
                <w:rStyle w:val="3380"/>
                <w:color w:val="auto"/>
              </w:rPr>
            </w:pPr>
            <w:r>
              <w:rPr>
                <w:rStyle w:val="3380"/>
                <w:rFonts w:hint="eastAsia"/>
                <w:color w:val="auto"/>
              </w:rPr>
              <w:t>设置检测办公室</w:t>
            </w:r>
            <w:r>
              <w:rPr>
                <w:rStyle w:val="3380"/>
                <w:rFonts w:hint="eastAsia"/>
                <w:color w:val="auto"/>
                <w:lang w:val="en-US"/>
              </w:rPr>
              <w:t>1个</w:t>
            </w:r>
            <w:r>
              <w:rPr>
                <w:rStyle w:val="3380"/>
                <w:rFonts w:hint="eastAsia"/>
                <w:color w:val="auto"/>
              </w:rPr>
              <w:t>，占地面积</w:t>
            </w:r>
            <w:r>
              <w:rPr>
                <w:rStyle w:val="3380"/>
                <w:rFonts w:hint="eastAsia"/>
                <w:color w:val="auto"/>
                <w:lang w:val="en-US"/>
              </w:rPr>
              <w:t>66.4</w:t>
            </w:r>
            <w:r>
              <w:rPr>
                <w:rStyle w:val="3380"/>
                <w:rFonts w:hint="eastAsia"/>
                <w:color w:val="auto"/>
              </w:rPr>
              <w:t>m</w:t>
            </w:r>
            <w:r>
              <w:rPr>
                <w:rStyle w:val="3380"/>
                <w:rFonts w:hint="eastAsia"/>
                <w:color w:val="auto"/>
                <w:vertAlign w:val="superscript"/>
              </w:rPr>
              <w:t>2</w:t>
            </w:r>
            <w:r>
              <w:rPr>
                <w:rStyle w:val="3380"/>
                <w:rFonts w:hint="eastAsia"/>
                <w:color w:val="auto"/>
              </w:rPr>
              <w:t>；主要布置办公室、控制室和测试分析等。</w:t>
            </w:r>
          </w:p>
        </w:tc>
        <w:tc>
          <w:tcPr>
            <w:tcW w:w="398" w:type="pct"/>
            <w:vAlign w:val="center"/>
          </w:tcPr>
          <w:p w14:paraId="2BF8C016">
            <w:pPr>
              <w:pStyle w:val="3361"/>
              <w:rPr>
                <w:color w:val="auto"/>
              </w:rPr>
            </w:pPr>
            <w:r>
              <w:rPr>
                <w:rFonts w:hint="eastAsia"/>
                <w:color w:val="auto"/>
              </w:rPr>
              <w:t>新建</w:t>
            </w:r>
          </w:p>
        </w:tc>
      </w:tr>
      <w:tr w14:paraId="4C1C5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48" w:type="pct"/>
            <w:vMerge w:val="continue"/>
            <w:vAlign w:val="center"/>
          </w:tcPr>
          <w:p w14:paraId="346600B2">
            <w:pPr>
              <w:pStyle w:val="3361"/>
              <w:rPr>
                <w:color w:val="auto"/>
              </w:rPr>
            </w:pPr>
          </w:p>
        </w:tc>
        <w:tc>
          <w:tcPr>
            <w:tcW w:w="506" w:type="pct"/>
            <w:tcMar>
              <w:left w:w="113" w:type="dxa"/>
              <w:right w:w="113" w:type="dxa"/>
            </w:tcMar>
            <w:vAlign w:val="center"/>
          </w:tcPr>
          <w:p w14:paraId="2598103F">
            <w:pPr>
              <w:pStyle w:val="2121"/>
              <w:rPr>
                <w:rStyle w:val="3380"/>
                <w:color w:val="auto"/>
              </w:rPr>
            </w:pPr>
            <w:r>
              <w:rPr>
                <w:rStyle w:val="3380"/>
                <w:rFonts w:hint="eastAsia"/>
                <w:color w:val="auto"/>
              </w:rPr>
              <w:t>实验室</w:t>
            </w:r>
          </w:p>
        </w:tc>
        <w:tc>
          <w:tcPr>
            <w:tcW w:w="3846" w:type="pct"/>
            <w:vAlign w:val="center"/>
          </w:tcPr>
          <w:p w14:paraId="65A2FE16">
            <w:pPr>
              <w:pStyle w:val="2121"/>
              <w:rPr>
                <w:rStyle w:val="3380"/>
                <w:color w:val="auto"/>
              </w:rPr>
            </w:pPr>
            <w:r>
              <w:rPr>
                <w:rStyle w:val="3380"/>
                <w:rFonts w:hint="eastAsia"/>
                <w:color w:val="auto"/>
                <w:lang w:val="zh-CN"/>
              </w:rPr>
              <w:t>项目于车间内设置实验室</w:t>
            </w:r>
            <w:r>
              <w:rPr>
                <w:rStyle w:val="3380"/>
                <w:color w:val="auto"/>
                <w:lang w:val="zh-CN"/>
              </w:rPr>
              <w:t>1</w:t>
            </w:r>
            <w:r>
              <w:rPr>
                <w:rStyle w:val="3380"/>
                <w:rFonts w:hint="eastAsia"/>
                <w:color w:val="auto"/>
                <w:lang w:val="zh-CN"/>
              </w:rPr>
              <w:t>间，占地面积约</w:t>
            </w:r>
            <w:r>
              <w:rPr>
                <w:rStyle w:val="3380"/>
                <w:rFonts w:hint="eastAsia"/>
                <w:color w:val="auto"/>
                <w:lang w:val="en-US"/>
              </w:rPr>
              <w:t>40</w:t>
            </w:r>
            <w:r>
              <w:rPr>
                <w:rStyle w:val="3380"/>
                <w:rFonts w:hint="eastAsia"/>
                <w:color w:val="auto"/>
              </w:rPr>
              <w:t>m</w:t>
            </w:r>
            <w:r>
              <w:rPr>
                <w:rStyle w:val="3380"/>
                <w:rFonts w:hint="eastAsia"/>
                <w:color w:val="auto"/>
                <w:vertAlign w:val="superscript"/>
              </w:rPr>
              <w:t>2</w:t>
            </w:r>
            <w:r>
              <w:rPr>
                <w:rStyle w:val="3380"/>
                <w:rFonts w:hint="eastAsia"/>
                <w:color w:val="auto"/>
                <w:lang w:val="zh-CN"/>
              </w:rPr>
              <w:t>，用于对各类废水中的</w:t>
            </w:r>
            <w:r>
              <w:rPr>
                <w:rStyle w:val="3380"/>
                <w:color w:val="auto"/>
                <w:lang w:val="zh-CN"/>
              </w:rPr>
              <w:t>TDS</w:t>
            </w:r>
            <w:r>
              <w:rPr>
                <w:rStyle w:val="3380"/>
                <w:rFonts w:hint="eastAsia"/>
                <w:color w:val="auto"/>
                <w:lang w:val="zh-CN"/>
              </w:rPr>
              <w:t>、氯化物</w:t>
            </w:r>
            <w:r>
              <w:rPr>
                <w:rStyle w:val="3380"/>
                <w:rFonts w:hint="eastAsia"/>
                <w:color w:val="auto"/>
              </w:rPr>
              <w:t>、</w:t>
            </w:r>
            <w:r>
              <w:rPr>
                <w:rStyle w:val="3380"/>
                <w:color w:val="auto"/>
                <w:lang w:val="zh-CN"/>
              </w:rPr>
              <w:t>COD</w:t>
            </w:r>
            <w:r>
              <w:rPr>
                <w:rStyle w:val="3380"/>
                <w:rFonts w:hint="eastAsia"/>
                <w:color w:val="auto"/>
                <w:lang w:val="zh-CN"/>
              </w:rPr>
              <w:t>、氨氮及硬度等常规水质因子进行检验分析。实验室主要设备包括</w:t>
            </w:r>
            <w:r>
              <w:rPr>
                <w:rStyle w:val="3380"/>
                <w:color w:val="auto"/>
                <w:lang w:val="zh-CN"/>
              </w:rPr>
              <w:t>TDS</w:t>
            </w:r>
            <w:r>
              <w:rPr>
                <w:rStyle w:val="3380"/>
                <w:rFonts w:hint="eastAsia"/>
                <w:color w:val="auto"/>
                <w:lang w:val="zh-CN"/>
              </w:rPr>
              <w:t>分析仪、氯化物分析仪、</w:t>
            </w:r>
            <w:r>
              <w:rPr>
                <w:rStyle w:val="3380"/>
                <w:color w:val="auto"/>
                <w:lang w:val="zh-CN"/>
              </w:rPr>
              <w:t xml:space="preserve"> COD</w:t>
            </w:r>
            <w:r>
              <w:rPr>
                <w:rStyle w:val="3380"/>
                <w:rFonts w:hint="eastAsia"/>
                <w:color w:val="auto"/>
                <w:lang w:val="zh-CN"/>
              </w:rPr>
              <w:t>分析仪、氨氮分析仪和硬度分析仪等，检测试剂主要采用外购化学试剂，不涉及配药</w:t>
            </w:r>
          </w:p>
        </w:tc>
        <w:tc>
          <w:tcPr>
            <w:tcW w:w="398" w:type="pct"/>
            <w:vAlign w:val="center"/>
          </w:tcPr>
          <w:p w14:paraId="3EAC2ABE">
            <w:pPr>
              <w:pStyle w:val="2121"/>
              <w:rPr>
                <w:rStyle w:val="3380"/>
                <w:color w:val="auto"/>
              </w:rPr>
            </w:pPr>
            <w:r>
              <w:rPr>
                <w:rStyle w:val="3380"/>
                <w:rFonts w:hint="eastAsia"/>
                <w:color w:val="auto"/>
              </w:rPr>
              <w:t>新建</w:t>
            </w:r>
          </w:p>
        </w:tc>
      </w:tr>
      <w:tr w14:paraId="53779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48" w:type="pct"/>
            <w:vMerge w:val="continue"/>
            <w:vAlign w:val="center"/>
          </w:tcPr>
          <w:p w14:paraId="7F9EE9F6">
            <w:pPr>
              <w:pStyle w:val="3361"/>
              <w:rPr>
                <w:color w:val="auto"/>
              </w:rPr>
            </w:pPr>
          </w:p>
        </w:tc>
        <w:tc>
          <w:tcPr>
            <w:tcW w:w="506" w:type="pct"/>
            <w:tcMar>
              <w:left w:w="113" w:type="dxa"/>
              <w:right w:w="113" w:type="dxa"/>
            </w:tcMar>
            <w:vAlign w:val="center"/>
          </w:tcPr>
          <w:p w14:paraId="08E420C4">
            <w:pPr>
              <w:pStyle w:val="2121"/>
              <w:rPr>
                <w:rStyle w:val="3380"/>
                <w:color w:val="auto"/>
              </w:rPr>
            </w:pPr>
            <w:r>
              <w:rPr>
                <w:rStyle w:val="3380"/>
                <w:rFonts w:hint="eastAsia"/>
                <w:color w:val="auto"/>
              </w:rPr>
              <w:t>机修间</w:t>
            </w:r>
          </w:p>
        </w:tc>
        <w:tc>
          <w:tcPr>
            <w:tcW w:w="3846" w:type="pct"/>
            <w:vAlign w:val="center"/>
          </w:tcPr>
          <w:p w14:paraId="48E4FDC5">
            <w:pPr>
              <w:pStyle w:val="2121"/>
              <w:rPr>
                <w:rStyle w:val="3380"/>
                <w:color w:val="auto"/>
              </w:rPr>
            </w:pPr>
            <w:r>
              <w:rPr>
                <w:rStyle w:val="3380"/>
                <w:rFonts w:hint="eastAsia"/>
                <w:color w:val="auto"/>
              </w:rPr>
              <w:t>新建机修间，占地面积</w:t>
            </w:r>
            <w:r>
              <w:rPr>
                <w:rStyle w:val="3380"/>
                <w:rFonts w:hint="eastAsia"/>
                <w:color w:val="auto"/>
                <w:lang w:val="en-US"/>
              </w:rPr>
              <w:t>40</w:t>
            </w:r>
            <w:r>
              <w:rPr>
                <w:rStyle w:val="3380"/>
                <w:rFonts w:hint="eastAsia"/>
                <w:color w:val="auto"/>
              </w:rPr>
              <w:t>m</w:t>
            </w:r>
            <w:r>
              <w:rPr>
                <w:rStyle w:val="3380"/>
                <w:rFonts w:hint="eastAsia"/>
                <w:color w:val="auto"/>
                <w:vertAlign w:val="superscript"/>
              </w:rPr>
              <w:t>2</w:t>
            </w:r>
            <w:r>
              <w:rPr>
                <w:rStyle w:val="3380"/>
                <w:rFonts w:hint="eastAsia"/>
                <w:color w:val="auto"/>
              </w:rPr>
              <w:t>，钢架，主要用于设备维护检修。</w:t>
            </w:r>
          </w:p>
        </w:tc>
        <w:tc>
          <w:tcPr>
            <w:tcW w:w="398" w:type="pct"/>
            <w:vAlign w:val="center"/>
          </w:tcPr>
          <w:p w14:paraId="1FD58EDE">
            <w:pPr>
              <w:pStyle w:val="3361"/>
              <w:rPr>
                <w:color w:val="auto"/>
              </w:rPr>
            </w:pPr>
            <w:r>
              <w:rPr>
                <w:rStyle w:val="3380"/>
                <w:rFonts w:hint="eastAsia"/>
                <w:color w:val="auto"/>
              </w:rPr>
              <w:t>新建</w:t>
            </w:r>
          </w:p>
        </w:tc>
      </w:tr>
      <w:tr w14:paraId="3CBA3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48" w:type="pct"/>
            <w:vMerge w:val="continue"/>
            <w:vAlign w:val="center"/>
          </w:tcPr>
          <w:p w14:paraId="4749F85D">
            <w:pPr>
              <w:pStyle w:val="3361"/>
              <w:rPr>
                <w:color w:val="auto"/>
              </w:rPr>
            </w:pPr>
          </w:p>
        </w:tc>
        <w:tc>
          <w:tcPr>
            <w:tcW w:w="506" w:type="pct"/>
            <w:tcMar>
              <w:left w:w="113" w:type="dxa"/>
              <w:right w:w="113" w:type="dxa"/>
            </w:tcMar>
            <w:vAlign w:val="center"/>
          </w:tcPr>
          <w:p w14:paraId="795605A4">
            <w:pPr>
              <w:pStyle w:val="2121"/>
              <w:rPr>
                <w:rStyle w:val="3380"/>
                <w:color w:val="auto"/>
              </w:rPr>
            </w:pPr>
            <w:r>
              <w:rPr>
                <w:rStyle w:val="3380"/>
                <w:rFonts w:hint="eastAsia"/>
                <w:color w:val="auto"/>
              </w:rPr>
              <w:t>地磅</w:t>
            </w:r>
          </w:p>
        </w:tc>
        <w:tc>
          <w:tcPr>
            <w:tcW w:w="3846" w:type="pct"/>
            <w:vAlign w:val="center"/>
          </w:tcPr>
          <w:p w14:paraId="0DBFC479">
            <w:pPr>
              <w:pStyle w:val="2121"/>
              <w:rPr>
                <w:rStyle w:val="3380"/>
                <w:color w:val="auto"/>
              </w:rPr>
            </w:pPr>
            <w:r>
              <w:rPr>
                <w:rStyle w:val="3380"/>
                <w:rFonts w:hint="eastAsia"/>
                <w:color w:val="auto"/>
              </w:rPr>
              <w:t>于厂区内新建地磅</w:t>
            </w:r>
            <w:r>
              <w:rPr>
                <w:rStyle w:val="3380"/>
                <w:rFonts w:hint="eastAsia"/>
                <w:color w:val="auto"/>
                <w:lang w:val="en-US"/>
              </w:rPr>
              <w:t>1座</w:t>
            </w:r>
            <w:r>
              <w:rPr>
                <w:rStyle w:val="3380"/>
                <w:rFonts w:hint="eastAsia"/>
                <w:color w:val="auto"/>
              </w:rPr>
              <w:t>，主要用于运输车辆计量。</w:t>
            </w:r>
          </w:p>
        </w:tc>
        <w:tc>
          <w:tcPr>
            <w:tcW w:w="398" w:type="pct"/>
            <w:vAlign w:val="center"/>
          </w:tcPr>
          <w:p w14:paraId="451BACA6">
            <w:pPr>
              <w:pStyle w:val="3361"/>
              <w:rPr>
                <w:rFonts w:hint="eastAsia" w:eastAsia="宋体"/>
                <w:color w:val="auto"/>
                <w:lang w:eastAsia="zh-CN"/>
              </w:rPr>
            </w:pPr>
            <w:r>
              <w:rPr>
                <w:rFonts w:hint="eastAsia"/>
                <w:color w:val="auto"/>
                <w:lang w:eastAsia="zh-CN"/>
              </w:rPr>
              <w:t>新建</w:t>
            </w:r>
          </w:p>
        </w:tc>
      </w:tr>
      <w:tr w14:paraId="20187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8" w:type="pct"/>
            <w:vMerge w:val="restart"/>
            <w:vAlign w:val="center"/>
          </w:tcPr>
          <w:p w14:paraId="6A5EA935">
            <w:pPr>
              <w:pStyle w:val="3361"/>
              <w:rPr>
                <w:color w:val="auto"/>
              </w:rPr>
            </w:pPr>
            <w:r>
              <w:rPr>
                <w:rFonts w:hint="eastAsia"/>
                <w:color w:val="auto"/>
              </w:rPr>
              <w:t>公用工程</w:t>
            </w:r>
          </w:p>
        </w:tc>
        <w:tc>
          <w:tcPr>
            <w:tcW w:w="506" w:type="pct"/>
            <w:vAlign w:val="center"/>
          </w:tcPr>
          <w:p w14:paraId="578EC04E">
            <w:pPr>
              <w:pStyle w:val="3361"/>
              <w:rPr>
                <w:color w:val="auto"/>
              </w:rPr>
            </w:pPr>
            <w:r>
              <w:rPr>
                <w:rFonts w:hint="eastAsia"/>
                <w:color w:val="auto"/>
              </w:rPr>
              <w:t>给水</w:t>
            </w:r>
          </w:p>
        </w:tc>
        <w:tc>
          <w:tcPr>
            <w:tcW w:w="3846" w:type="pct"/>
            <w:shd w:val="clear" w:color="auto" w:fill="auto"/>
            <w:vAlign w:val="center"/>
          </w:tcPr>
          <w:p w14:paraId="41991173">
            <w:pPr>
              <w:pStyle w:val="3361"/>
              <w:rPr>
                <w:color w:val="auto"/>
              </w:rPr>
            </w:pPr>
            <w:r>
              <w:rPr>
                <w:rFonts w:hint="eastAsia"/>
                <w:color w:val="auto"/>
              </w:rPr>
              <w:t>生活用水由市政给水管网供水</w:t>
            </w:r>
          </w:p>
        </w:tc>
        <w:tc>
          <w:tcPr>
            <w:tcW w:w="398" w:type="pct"/>
            <w:vAlign w:val="center"/>
          </w:tcPr>
          <w:p w14:paraId="7D47AE50">
            <w:pPr>
              <w:pStyle w:val="3361"/>
              <w:rPr>
                <w:color w:val="auto"/>
              </w:rPr>
            </w:pPr>
            <w:r>
              <w:rPr>
                <w:rFonts w:hint="eastAsia"/>
                <w:color w:val="auto"/>
              </w:rPr>
              <w:t>依托园区</w:t>
            </w:r>
          </w:p>
        </w:tc>
      </w:tr>
      <w:tr w14:paraId="057A6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8" w:type="pct"/>
            <w:vMerge w:val="continue"/>
            <w:vAlign w:val="center"/>
          </w:tcPr>
          <w:p w14:paraId="62B74968">
            <w:pPr>
              <w:pStyle w:val="3361"/>
              <w:rPr>
                <w:color w:val="auto"/>
              </w:rPr>
            </w:pPr>
          </w:p>
        </w:tc>
        <w:tc>
          <w:tcPr>
            <w:tcW w:w="506" w:type="pct"/>
            <w:vAlign w:val="center"/>
          </w:tcPr>
          <w:p w14:paraId="4FD44509">
            <w:pPr>
              <w:pStyle w:val="3361"/>
              <w:rPr>
                <w:color w:val="auto"/>
              </w:rPr>
            </w:pPr>
            <w:r>
              <w:rPr>
                <w:rFonts w:hint="eastAsia"/>
                <w:color w:val="auto"/>
              </w:rPr>
              <w:t>排水</w:t>
            </w:r>
          </w:p>
        </w:tc>
        <w:tc>
          <w:tcPr>
            <w:tcW w:w="3846" w:type="pct"/>
            <w:shd w:val="clear" w:color="auto" w:fill="auto"/>
            <w:vAlign w:val="center"/>
          </w:tcPr>
          <w:p w14:paraId="712F276B">
            <w:pPr>
              <w:pStyle w:val="3361"/>
              <w:rPr>
                <w:color w:val="auto"/>
              </w:rPr>
            </w:pPr>
            <w:r>
              <w:rPr>
                <w:rFonts w:hint="eastAsia"/>
                <w:color w:val="auto"/>
              </w:rPr>
              <w:t>厂区排水采用雨污分流制，雨水经雨水管网收集后排入市政雨水管网；其他废水经处理达标后排入园区污水管网</w:t>
            </w:r>
          </w:p>
        </w:tc>
        <w:tc>
          <w:tcPr>
            <w:tcW w:w="398" w:type="pct"/>
            <w:vAlign w:val="center"/>
          </w:tcPr>
          <w:p w14:paraId="6DE3B740">
            <w:pPr>
              <w:pStyle w:val="3361"/>
              <w:rPr>
                <w:color w:val="auto"/>
              </w:rPr>
            </w:pPr>
            <w:r>
              <w:rPr>
                <w:rFonts w:hint="eastAsia"/>
                <w:color w:val="auto"/>
              </w:rPr>
              <w:t>依托园区</w:t>
            </w:r>
          </w:p>
        </w:tc>
      </w:tr>
      <w:tr w14:paraId="090B7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8" w:type="pct"/>
            <w:vMerge w:val="continue"/>
            <w:vAlign w:val="center"/>
          </w:tcPr>
          <w:p w14:paraId="6773ED59">
            <w:pPr>
              <w:pStyle w:val="3361"/>
              <w:rPr>
                <w:color w:val="auto"/>
              </w:rPr>
            </w:pPr>
          </w:p>
        </w:tc>
        <w:tc>
          <w:tcPr>
            <w:tcW w:w="506" w:type="pct"/>
            <w:vAlign w:val="center"/>
          </w:tcPr>
          <w:p w14:paraId="6BDDF0FE">
            <w:pPr>
              <w:pStyle w:val="3361"/>
              <w:rPr>
                <w:color w:val="auto"/>
              </w:rPr>
            </w:pPr>
            <w:r>
              <w:rPr>
                <w:rFonts w:hint="eastAsia"/>
                <w:color w:val="auto"/>
              </w:rPr>
              <w:t>供电</w:t>
            </w:r>
          </w:p>
        </w:tc>
        <w:tc>
          <w:tcPr>
            <w:tcW w:w="3846" w:type="pct"/>
            <w:shd w:val="clear" w:color="auto" w:fill="auto"/>
            <w:vAlign w:val="center"/>
          </w:tcPr>
          <w:p w14:paraId="5AB12D35">
            <w:pPr>
              <w:pStyle w:val="3361"/>
              <w:rPr>
                <w:color w:val="auto"/>
              </w:rPr>
            </w:pPr>
            <w:r>
              <w:rPr>
                <w:rFonts w:hint="eastAsia"/>
                <w:color w:val="auto"/>
              </w:rPr>
              <w:t>由市政供电管网供给，依托</w:t>
            </w:r>
            <w:r>
              <w:rPr>
                <w:rFonts w:hint="eastAsia"/>
                <w:color w:val="auto"/>
                <w:lang w:eastAsia="zh-CN"/>
              </w:rPr>
              <w:t>园区污水处理厂</w:t>
            </w:r>
            <w:r>
              <w:rPr>
                <w:rFonts w:hint="eastAsia"/>
                <w:color w:val="auto"/>
              </w:rPr>
              <w:t>应急备用电源</w:t>
            </w:r>
          </w:p>
        </w:tc>
        <w:tc>
          <w:tcPr>
            <w:tcW w:w="398" w:type="pct"/>
            <w:vAlign w:val="center"/>
          </w:tcPr>
          <w:p w14:paraId="124FF358">
            <w:pPr>
              <w:pStyle w:val="3361"/>
              <w:rPr>
                <w:color w:val="auto"/>
              </w:rPr>
            </w:pPr>
            <w:r>
              <w:rPr>
                <w:rFonts w:hint="eastAsia"/>
                <w:color w:val="auto"/>
              </w:rPr>
              <w:t>依托园区</w:t>
            </w:r>
          </w:p>
        </w:tc>
      </w:tr>
      <w:tr w14:paraId="7AFE0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8" w:type="pct"/>
            <w:vMerge w:val="restart"/>
            <w:vAlign w:val="center"/>
          </w:tcPr>
          <w:p w14:paraId="29C5532F">
            <w:pPr>
              <w:pStyle w:val="3361"/>
              <w:rPr>
                <w:color w:val="auto"/>
              </w:rPr>
            </w:pPr>
            <w:r>
              <w:rPr>
                <w:rFonts w:hint="eastAsia"/>
                <w:color w:val="auto"/>
              </w:rPr>
              <w:t>贮运工程</w:t>
            </w:r>
          </w:p>
        </w:tc>
        <w:tc>
          <w:tcPr>
            <w:tcW w:w="506" w:type="pct"/>
            <w:shd w:val="clear" w:color="auto" w:fill="auto"/>
            <w:vAlign w:val="center"/>
          </w:tcPr>
          <w:p w14:paraId="4D7F635A">
            <w:pPr>
              <w:pStyle w:val="3361"/>
              <w:rPr>
                <w:color w:val="auto"/>
              </w:rPr>
            </w:pPr>
            <w:r>
              <w:rPr>
                <w:rFonts w:hint="eastAsia"/>
                <w:color w:val="auto"/>
              </w:rPr>
              <w:t>1#药剂储存罐区</w:t>
            </w:r>
          </w:p>
        </w:tc>
        <w:tc>
          <w:tcPr>
            <w:tcW w:w="3846" w:type="pct"/>
            <w:shd w:val="clear" w:color="auto" w:fill="auto"/>
            <w:vAlign w:val="center"/>
          </w:tcPr>
          <w:p w14:paraId="2253C628">
            <w:pPr>
              <w:pStyle w:val="3361"/>
              <w:rPr>
                <w:color w:val="auto"/>
              </w:rPr>
            </w:pPr>
            <w:r>
              <w:rPr>
                <w:rFonts w:hint="eastAsia"/>
                <w:color w:val="auto"/>
              </w:rPr>
              <w:t>在污水处理区域</w:t>
            </w:r>
            <w:r>
              <w:rPr>
                <w:rFonts w:hint="eastAsia"/>
                <w:color w:val="auto"/>
                <w:lang w:eastAsia="zh-CN"/>
              </w:rPr>
              <w:t>西侧</w:t>
            </w:r>
            <w:r>
              <w:rPr>
                <w:rFonts w:hint="eastAsia"/>
                <w:color w:val="auto"/>
              </w:rPr>
              <w:t>布置1#药剂储存罐区，占地面积约</w:t>
            </w:r>
            <w:r>
              <w:rPr>
                <w:rFonts w:hint="eastAsia"/>
                <w:color w:val="auto"/>
                <w:lang w:val="en-US" w:eastAsia="zh-CN"/>
              </w:rPr>
              <w:t>5</w:t>
            </w:r>
            <w:r>
              <w:rPr>
                <w:rFonts w:hint="eastAsia"/>
                <w:color w:val="auto"/>
              </w:rPr>
              <w:t>0m</w:t>
            </w:r>
            <w:r>
              <w:rPr>
                <w:rFonts w:hint="eastAsia"/>
                <w:color w:val="auto"/>
                <w:vertAlign w:val="superscript"/>
              </w:rPr>
              <w:t>2</w:t>
            </w:r>
            <w:r>
              <w:rPr>
                <w:rFonts w:hint="eastAsia"/>
                <w:color w:val="auto"/>
              </w:rPr>
              <w:t>，主要设置5m</w:t>
            </w:r>
            <w:r>
              <w:rPr>
                <w:rFonts w:hint="eastAsia"/>
                <w:color w:val="auto"/>
                <w:vertAlign w:val="superscript"/>
              </w:rPr>
              <w:t>3</w:t>
            </w:r>
            <w:r>
              <w:rPr>
                <w:rFonts w:hint="eastAsia"/>
                <w:color w:val="auto"/>
              </w:rPr>
              <w:t>储罐（φ1600×2900mm）</w:t>
            </w:r>
            <w:r>
              <w:rPr>
                <w:rFonts w:hint="eastAsia"/>
                <w:color w:val="auto"/>
                <w:lang w:val="en-US" w:eastAsia="zh-CN"/>
              </w:rPr>
              <w:t>4</w:t>
            </w:r>
            <w:r>
              <w:rPr>
                <w:rFonts w:hint="eastAsia"/>
                <w:color w:val="auto"/>
              </w:rPr>
              <w:t>个，分别用于储存30%双氧水。</w:t>
            </w:r>
          </w:p>
        </w:tc>
        <w:tc>
          <w:tcPr>
            <w:tcW w:w="398" w:type="pct"/>
            <w:shd w:val="clear" w:color="auto" w:fill="auto"/>
            <w:vAlign w:val="center"/>
          </w:tcPr>
          <w:p w14:paraId="557332E3">
            <w:pPr>
              <w:pStyle w:val="3361"/>
              <w:ind w:firstLine="0" w:firstLineChars="0"/>
              <w:rPr>
                <w:rFonts w:ascii="Times New Roman" w:hAnsi="Times New Roman" w:eastAsia="宋体" w:cs="Times New Roman"/>
                <w:color w:val="auto"/>
                <w:kern w:val="2"/>
                <w:sz w:val="21"/>
                <w:szCs w:val="21"/>
                <w:lang w:val="zh-CN" w:eastAsia="zh-CN" w:bidi="ar-SA"/>
              </w:rPr>
            </w:pPr>
            <w:r>
              <w:rPr>
                <w:rFonts w:hint="eastAsia"/>
                <w:color w:val="auto"/>
              </w:rPr>
              <w:t>新建</w:t>
            </w:r>
          </w:p>
        </w:tc>
      </w:tr>
      <w:tr w14:paraId="23D5A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8" w:type="pct"/>
            <w:vMerge w:val="continue"/>
            <w:vAlign w:val="center"/>
          </w:tcPr>
          <w:p w14:paraId="34BA4F14">
            <w:pPr>
              <w:pStyle w:val="3361"/>
              <w:rPr>
                <w:color w:val="auto"/>
              </w:rPr>
            </w:pPr>
          </w:p>
        </w:tc>
        <w:tc>
          <w:tcPr>
            <w:tcW w:w="506" w:type="pct"/>
            <w:shd w:val="clear" w:color="auto" w:fill="auto"/>
            <w:vAlign w:val="center"/>
          </w:tcPr>
          <w:p w14:paraId="03D6DAD6">
            <w:pPr>
              <w:pStyle w:val="3361"/>
              <w:ind w:firstLine="0" w:firstLineChars="0"/>
              <w:rPr>
                <w:rFonts w:ascii="Times New Roman" w:hAnsi="Times New Roman" w:eastAsia="宋体" w:cs="Times New Roman"/>
                <w:color w:val="auto"/>
                <w:kern w:val="2"/>
                <w:sz w:val="21"/>
                <w:szCs w:val="21"/>
                <w:lang w:val="zh-CN" w:eastAsia="zh-CN" w:bidi="ar-SA"/>
              </w:rPr>
            </w:pPr>
            <w:r>
              <w:rPr>
                <w:rFonts w:hint="eastAsia"/>
                <w:color w:val="auto"/>
                <w:lang w:val="en-US" w:eastAsia="zh-CN"/>
              </w:rPr>
              <w:t>2</w:t>
            </w:r>
            <w:r>
              <w:rPr>
                <w:rFonts w:hint="eastAsia"/>
                <w:color w:val="auto"/>
              </w:rPr>
              <w:t>#药剂储存罐区</w:t>
            </w:r>
          </w:p>
        </w:tc>
        <w:tc>
          <w:tcPr>
            <w:tcW w:w="3846" w:type="pct"/>
            <w:shd w:val="clear" w:color="auto" w:fill="auto"/>
            <w:vAlign w:val="center"/>
          </w:tcPr>
          <w:p w14:paraId="2DD48575">
            <w:pPr>
              <w:pStyle w:val="3361"/>
              <w:ind w:firstLine="0" w:firstLineChars="0"/>
              <w:rPr>
                <w:rFonts w:ascii="Times New Roman" w:hAnsi="Times New Roman" w:eastAsia="宋体" w:cs="Times New Roman"/>
                <w:color w:val="auto"/>
                <w:kern w:val="2"/>
                <w:sz w:val="21"/>
                <w:szCs w:val="21"/>
                <w:lang w:val="zh-CN" w:eastAsia="zh-CN" w:bidi="ar-SA"/>
              </w:rPr>
            </w:pPr>
            <w:r>
              <w:rPr>
                <w:rFonts w:hint="eastAsia"/>
                <w:color w:val="auto"/>
              </w:rPr>
              <w:t>在厂区西北侧污水处理区域布置3#药剂储存罐区，占地面积</w:t>
            </w:r>
            <w:r>
              <w:rPr>
                <w:rFonts w:hint="eastAsia"/>
                <w:color w:val="auto"/>
                <w:lang w:val="en-US" w:eastAsia="zh-CN"/>
              </w:rPr>
              <w:t>50</w:t>
            </w:r>
            <w:r>
              <w:rPr>
                <w:rFonts w:hint="eastAsia"/>
                <w:color w:val="auto"/>
              </w:rPr>
              <w:t>m</w:t>
            </w:r>
            <w:r>
              <w:rPr>
                <w:rFonts w:hint="eastAsia"/>
                <w:color w:val="auto"/>
                <w:vertAlign w:val="superscript"/>
              </w:rPr>
              <w:t>2</w:t>
            </w:r>
            <w:r>
              <w:rPr>
                <w:rFonts w:hint="eastAsia"/>
                <w:color w:val="auto"/>
              </w:rPr>
              <w:t>，主要设置 5m</w:t>
            </w:r>
            <w:r>
              <w:rPr>
                <w:rFonts w:hint="eastAsia"/>
                <w:color w:val="auto"/>
                <w:vertAlign w:val="superscript"/>
              </w:rPr>
              <w:t>3</w:t>
            </w:r>
            <w:r>
              <w:rPr>
                <w:rFonts w:hint="eastAsia"/>
                <w:color w:val="auto"/>
              </w:rPr>
              <w:t>储罐（φ1600×2900mm）</w:t>
            </w:r>
            <w:r>
              <w:rPr>
                <w:rFonts w:hint="eastAsia"/>
                <w:color w:val="auto"/>
                <w:lang w:val="en-US" w:eastAsia="zh-CN"/>
              </w:rPr>
              <w:t>6</w:t>
            </w:r>
            <w:r>
              <w:rPr>
                <w:rFonts w:hint="eastAsia"/>
                <w:color w:val="auto"/>
              </w:rPr>
              <w:t>个，</w:t>
            </w:r>
            <w:r>
              <w:rPr>
                <w:rFonts w:hint="eastAsia"/>
                <w:color w:val="auto"/>
                <w:lang w:eastAsia="zh-CN"/>
              </w:rPr>
              <w:t>分别</w:t>
            </w:r>
            <w:r>
              <w:rPr>
                <w:rFonts w:hint="eastAsia"/>
                <w:color w:val="auto"/>
              </w:rPr>
              <w:t>用于储存</w:t>
            </w:r>
            <w:r>
              <w:rPr>
                <w:rFonts w:hint="eastAsia"/>
                <w:color w:val="auto"/>
                <w:lang w:val="en-US" w:eastAsia="zh-CN"/>
              </w:rPr>
              <w:t>50%硫酸储罐2个，</w:t>
            </w:r>
            <w:r>
              <w:rPr>
                <w:rFonts w:hint="eastAsia"/>
                <w:color w:val="auto"/>
              </w:rPr>
              <w:t>30%盐酸</w:t>
            </w:r>
            <w:r>
              <w:rPr>
                <w:rFonts w:hint="eastAsia"/>
                <w:color w:val="auto"/>
                <w:lang w:val="en-US" w:eastAsia="zh-CN"/>
              </w:rPr>
              <w:t>1个，备用储罐2个</w:t>
            </w:r>
            <w:r>
              <w:rPr>
                <w:rFonts w:hint="eastAsia"/>
                <w:color w:val="auto"/>
              </w:rPr>
              <w:t>。</w:t>
            </w:r>
          </w:p>
        </w:tc>
        <w:tc>
          <w:tcPr>
            <w:tcW w:w="398" w:type="pct"/>
            <w:shd w:val="clear" w:color="auto" w:fill="auto"/>
            <w:vAlign w:val="center"/>
          </w:tcPr>
          <w:p w14:paraId="1E5BB6CF">
            <w:pPr>
              <w:pStyle w:val="3361"/>
              <w:ind w:firstLine="0" w:firstLineChars="0"/>
              <w:rPr>
                <w:rFonts w:ascii="Times New Roman" w:hAnsi="Times New Roman" w:eastAsia="宋体" w:cs="Times New Roman"/>
                <w:color w:val="auto"/>
                <w:kern w:val="2"/>
                <w:sz w:val="21"/>
                <w:szCs w:val="21"/>
                <w:lang w:val="zh-CN" w:eastAsia="zh-CN" w:bidi="ar-SA"/>
              </w:rPr>
            </w:pPr>
            <w:r>
              <w:rPr>
                <w:rFonts w:hint="eastAsia"/>
                <w:color w:val="auto"/>
              </w:rPr>
              <w:t>新建</w:t>
            </w:r>
          </w:p>
        </w:tc>
      </w:tr>
      <w:tr w14:paraId="1125F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8" w:type="pct"/>
            <w:vMerge w:val="continue"/>
            <w:vAlign w:val="center"/>
          </w:tcPr>
          <w:p w14:paraId="0E52F058">
            <w:pPr>
              <w:pStyle w:val="3361"/>
              <w:rPr>
                <w:color w:val="auto"/>
              </w:rPr>
            </w:pPr>
          </w:p>
        </w:tc>
        <w:tc>
          <w:tcPr>
            <w:tcW w:w="506" w:type="pct"/>
            <w:shd w:val="clear" w:color="auto" w:fill="auto"/>
            <w:vAlign w:val="center"/>
          </w:tcPr>
          <w:p w14:paraId="441815D2">
            <w:pPr>
              <w:pStyle w:val="3361"/>
              <w:ind w:firstLine="0" w:firstLineChars="0"/>
              <w:rPr>
                <w:rFonts w:ascii="Times New Roman" w:hAnsi="Times New Roman" w:eastAsia="宋体" w:cs="Times New Roman"/>
                <w:color w:val="auto"/>
                <w:kern w:val="2"/>
                <w:sz w:val="21"/>
                <w:szCs w:val="21"/>
                <w:lang w:val="zh-CN" w:eastAsia="zh-CN" w:bidi="ar-SA"/>
              </w:rPr>
            </w:pPr>
            <w:r>
              <w:rPr>
                <w:rFonts w:hint="eastAsia"/>
                <w:color w:val="auto"/>
              </w:rPr>
              <w:t>药品储存间</w:t>
            </w:r>
          </w:p>
        </w:tc>
        <w:tc>
          <w:tcPr>
            <w:tcW w:w="3846" w:type="pct"/>
            <w:shd w:val="clear" w:color="auto" w:fill="auto"/>
            <w:vAlign w:val="center"/>
          </w:tcPr>
          <w:p w14:paraId="3D21A05F">
            <w:pPr>
              <w:pStyle w:val="3361"/>
              <w:ind w:firstLine="0" w:firstLineChars="0"/>
              <w:rPr>
                <w:rFonts w:ascii="Times New Roman" w:hAnsi="Times New Roman" w:eastAsia="宋体" w:cs="Times New Roman"/>
                <w:color w:val="auto"/>
                <w:kern w:val="2"/>
                <w:sz w:val="21"/>
                <w:szCs w:val="21"/>
                <w:lang w:val="zh-CN" w:eastAsia="zh-CN" w:bidi="ar-SA"/>
              </w:rPr>
            </w:pPr>
            <w:r>
              <w:rPr>
                <w:rFonts w:hint="eastAsia"/>
                <w:color w:val="auto"/>
              </w:rPr>
              <w:t>在厂房内中部压滤脱水区域布置2#药剂储存区，占地面积</w:t>
            </w:r>
            <w:r>
              <w:rPr>
                <w:rFonts w:hint="eastAsia"/>
                <w:color w:val="auto"/>
                <w:lang w:val="en-US" w:eastAsia="zh-CN"/>
              </w:rPr>
              <w:t>35</w:t>
            </w:r>
            <w:r>
              <w:rPr>
                <w:rFonts w:hint="eastAsia"/>
                <w:color w:val="auto"/>
              </w:rPr>
              <w:t>m</w:t>
            </w:r>
            <w:r>
              <w:rPr>
                <w:rFonts w:hint="eastAsia"/>
                <w:color w:val="auto"/>
                <w:vertAlign w:val="superscript"/>
              </w:rPr>
              <w:t>2</w:t>
            </w:r>
            <w:r>
              <w:rPr>
                <w:rFonts w:hint="eastAsia"/>
                <w:color w:val="auto"/>
              </w:rPr>
              <w:t>，主要储存PAC、PAM、片碱、硫酸亚铁</w:t>
            </w:r>
            <w:r>
              <w:rPr>
                <w:rFonts w:hint="eastAsia"/>
                <w:color w:val="auto"/>
                <w:lang w:eastAsia="zh-CN"/>
              </w:rPr>
              <w:t>、</w:t>
            </w:r>
            <w:r>
              <w:rPr>
                <w:rFonts w:hint="eastAsia"/>
                <w:color w:val="auto"/>
              </w:rPr>
              <w:t>氨氮去除剂等药剂。</w:t>
            </w:r>
          </w:p>
        </w:tc>
        <w:tc>
          <w:tcPr>
            <w:tcW w:w="398" w:type="pct"/>
            <w:vAlign w:val="center"/>
          </w:tcPr>
          <w:p w14:paraId="23721EF4">
            <w:pPr>
              <w:pStyle w:val="3361"/>
              <w:rPr>
                <w:color w:val="auto"/>
              </w:rPr>
            </w:pPr>
            <w:r>
              <w:rPr>
                <w:rFonts w:hint="eastAsia"/>
                <w:color w:val="auto"/>
              </w:rPr>
              <w:t>新建</w:t>
            </w:r>
          </w:p>
        </w:tc>
      </w:tr>
      <w:tr w14:paraId="3E5B4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8" w:type="pct"/>
            <w:vMerge w:val="continue"/>
            <w:vAlign w:val="center"/>
          </w:tcPr>
          <w:p w14:paraId="2C8E3D79">
            <w:pPr>
              <w:pStyle w:val="3361"/>
              <w:rPr>
                <w:color w:val="auto"/>
              </w:rPr>
            </w:pPr>
          </w:p>
        </w:tc>
        <w:tc>
          <w:tcPr>
            <w:tcW w:w="506" w:type="pct"/>
            <w:shd w:val="clear" w:color="auto" w:fill="auto"/>
            <w:vAlign w:val="center"/>
          </w:tcPr>
          <w:p w14:paraId="28858510">
            <w:pPr>
              <w:pStyle w:val="3361"/>
              <w:rPr>
                <w:rFonts w:hint="eastAsia" w:eastAsia="宋体"/>
                <w:color w:val="auto"/>
                <w:lang w:eastAsia="zh-CN"/>
              </w:rPr>
            </w:pPr>
            <w:r>
              <w:rPr>
                <w:rFonts w:hint="eastAsia"/>
                <w:color w:val="auto"/>
              </w:rPr>
              <w:t>污泥贮存</w:t>
            </w:r>
            <w:r>
              <w:rPr>
                <w:rFonts w:hint="eastAsia"/>
                <w:color w:val="auto"/>
                <w:lang w:eastAsia="zh-CN"/>
              </w:rPr>
              <w:t>区</w:t>
            </w:r>
          </w:p>
        </w:tc>
        <w:tc>
          <w:tcPr>
            <w:tcW w:w="3846" w:type="pct"/>
            <w:shd w:val="clear" w:color="auto" w:fill="auto"/>
            <w:vAlign w:val="center"/>
          </w:tcPr>
          <w:p w14:paraId="4A6A4034">
            <w:pPr>
              <w:pStyle w:val="3361"/>
              <w:rPr>
                <w:color w:val="auto"/>
              </w:rPr>
            </w:pPr>
            <w:r>
              <w:rPr>
                <w:rFonts w:hint="eastAsia"/>
                <w:color w:val="auto"/>
              </w:rPr>
              <w:t>新建1个污泥贮存</w:t>
            </w:r>
            <w:r>
              <w:rPr>
                <w:rFonts w:hint="eastAsia"/>
                <w:color w:val="auto"/>
                <w:lang w:eastAsia="zh-CN"/>
              </w:rPr>
              <w:t>区</w:t>
            </w:r>
            <w:r>
              <w:rPr>
                <w:rFonts w:hint="eastAsia"/>
                <w:color w:val="auto"/>
              </w:rPr>
              <w:t>，位于</w:t>
            </w:r>
            <w:r>
              <w:rPr>
                <w:rFonts w:hint="eastAsia"/>
                <w:color w:val="auto"/>
                <w:lang w:eastAsia="zh-CN"/>
              </w:rPr>
              <w:t>危废贮存库</w:t>
            </w:r>
            <w:r>
              <w:rPr>
                <w:rFonts w:hint="eastAsia"/>
                <w:color w:val="auto"/>
              </w:rPr>
              <w:t>，</w:t>
            </w:r>
            <w:r>
              <w:rPr>
                <w:rFonts w:hint="eastAsia"/>
                <w:color w:val="auto"/>
                <w:lang w:val="en-US"/>
              </w:rPr>
              <w:t>建筑</w:t>
            </w:r>
            <w:r>
              <w:rPr>
                <w:rFonts w:hint="eastAsia"/>
                <w:color w:val="auto"/>
              </w:rPr>
              <w:t>面积约为</w:t>
            </w:r>
            <w:r>
              <w:rPr>
                <w:rFonts w:hint="eastAsia"/>
                <w:color w:val="auto"/>
                <w:lang w:val="en-US" w:eastAsia="zh-CN"/>
              </w:rPr>
              <w:t>35</w:t>
            </w:r>
            <w:r>
              <w:rPr>
                <w:rFonts w:hint="eastAsia"/>
                <w:color w:val="auto"/>
              </w:rPr>
              <w:t>m</w:t>
            </w:r>
            <w:r>
              <w:rPr>
                <w:rFonts w:hint="eastAsia"/>
                <w:color w:val="auto"/>
                <w:vertAlign w:val="superscript"/>
              </w:rPr>
              <w:t>2</w:t>
            </w:r>
            <w:r>
              <w:rPr>
                <w:rFonts w:hint="eastAsia"/>
                <w:color w:val="auto"/>
              </w:rPr>
              <w:t>，用于储存污泥。按《危险废物贮存污染控制标准》（GB 18597-2023）相关要求设置，采取必要的防风、防晒、防雨、防漏、防渗、防腐以及其他环境污染防治措施</w:t>
            </w:r>
          </w:p>
        </w:tc>
        <w:tc>
          <w:tcPr>
            <w:tcW w:w="398" w:type="pct"/>
            <w:vAlign w:val="center"/>
          </w:tcPr>
          <w:p w14:paraId="7753BDCC">
            <w:pPr>
              <w:pStyle w:val="3361"/>
              <w:rPr>
                <w:color w:val="auto"/>
              </w:rPr>
            </w:pPr>
            <w:r>
              <w:rPr>
                <w:rFonts w:hint="eastAsia"/>
                <w:color w:val="auto"/>
              </w:rPr>
              <w:t>新建</w:t>
            </w:r>
          </w:p>
        </w:tc>
      </w:tr>
      <w:tr w14:paraId="7DCAE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8" w:type="pct"/>
            <w:vMerge w:val="continue"/>
            <w:vAlign w:val="center"/>
          </w:tcPr>
          <w:p w14:paraId="7C75C824">
            <w:pPr>
              <w:pStyle w:val="3361"/>
              <w:rPr>
                <w:color w:val="auto"/>
              </w:rPr>
            </w:pPr>
          </w:p>
        </w:tc>
        <w:tc>
          <w:tcPr>
            <w:tcW w:w="506" w:type="pct"/>
            <w:shd w:val="clear" w:color="auto" w:fill="auto"/>
            <w:vAlign w:val="center"/>
          </w:tcPr>
          <w:p w14:paraId="64AE5EF4">
            <w:pPr>
              <w:pStyle w:val="3361"/>
              <w:rPr>
                <w:rFonts w:hint="eastAsia" w:eastAsia="宋体"/>
                <w:color w:val="auto"/>
                <w:lang w:eastAsia="zh-CN"/>
              </w:rPr>
            </w:pPr>
            <w:r>
              <w:rPr>
                <w:rFonts w:hint="eastAsia"/>
                <w:color w:val="auto"/>
              </w:rPr>
              <w:t>盐贮存</w:t>
            </w:r>
            <w:r>
              <w:rPr>
                <w:rFonts w:hint="eastAsia"/>
                <w:color w:val="auto"/>
                <w:lang w:eastAsia="zh-CN"/>
              </w:rPr>
              <w:t>区</w:t>
            </w:r>
          </w:p>
        </w:tc>
        <w:tc>
          <w:tcPr>
            <w:tcW w:w="3846" w:type="pct"/>
            <w:shd w:val="clear" w:color="auto" w:fill="auto"/>
            <w:vAlign w:val="center"/>
          </w:tcPr>
          <w:p w14:paraId="60FF44C2">
            <w:pPr>
              <w:pStyle w:val="3361"/>
              <w:rPr>
                <w:color w:val="auto"/>
              </w:rPr>
            </w:pPr>
            <w:r>
              <w:rPr>
                <w:rFonts w:hint="eastAsia"/>
                <w:color w:val="auto"/>
              </w:rPr>
              <w:t>新建1个盐贮存</w:t>
            </w:r>
            <w:r>
              <w:rPr>
                <w:rFonts w:hint="eastAsia"/>
                <w:color w:val="auto"/>
                <w:lang w:eastAsia="zh-CN"/>
              </w:rPr>
              <w:t>区</w:t>
            </w:r>
            <w:r>
              <w:rPr>
                <w:rFonts w:hint="eastAsia"/>
                <w:color w:val="auto"/>
              </w:rPr>
              <w:t>，位于</w:t>
            </w:r>
            <w:r>
              <w:rPr>
                <w:rFonts w:hint="eastAsia"/>
                <w:color w:val="auto"/>
                <w:lang w:eastAsia="zh-CN"/>
              </w:rPr>
              <w:t>危废贮存库，</w:t>
            </w:r>
            <w:r>
              <w:rPr>
                <w:rFonts w:hint="eastAsia"/>
                <w:color w:val="auto"/>
                <w:lang w:val="en-US"/>
              </w:rPr>
              <w:t>建筑</w:t>
            </w:r>
            <w:r>
              <w:rPr>
                <w:rFonts w:hint="eastAsia"/>
                <w:color w:val="auto"/>
              </w:rPr>
              <w:t>面积约为</w:t>
            </w:r>
            <w:r>
              <w:rPr>
                <w:rFonts w:hint="eastAsia"/>
                <w:color w:val="auto"/>
                <w:lang w:val="en-US" w:eastAsia="zh-CN"/>
              </w:rPr>
              <w:t>7</w:t>
            </w:r>
            <w:r>
              <w:rPr>
                <w:rFonts w:hint="eastAsia"/>
                <w:color w:val="auto"/>
                <w:lang w:val="en-US"/>
              </w:rPr>
              <w:t>0</w:t>
            </w:r>
            <w:r>
              <w:rPr>
                <w:rFonts w:hint="eastAsia"/>
                <w:color w:val="auto"/>
              </w:rPr>
              <w:t>m</w:t>
            </w:r>
            <w:r>
              <w:rPr>
                <w:rFonts w:hint="eastAsia"/>
                <w:color w:val="auto"/>
                <w:vertAlign w:val="superscript"/>
              </w:rPr>
              <w:t>2</w:t>
            </w:r>
            <w:r>
              <w:rPr>
                <w:rFonts w:hint="eastAsia"/>
                <w:color w:val="auto"/>
              </w:rPr>
              <w:t>，用于储存结晶盐。按《危险废物贮存污染控制标准》（GB 18597-2023）相关要求设置，采取必要的防风、防晒、防雨、防漏、防渗、防腐以及其他环境污染防治措施</w:t>
            </w:r>
          </w:p>
        </w:tc>
        <w:tc>
          <w:tcPr>
            <w:tcW w:w="398" w:type="pct"/>
            <w:vAlign w:val="center"/>
          </w:tcPr>
          <w:p w14:paraId="768046A1">
            <w:pPr>
              <w:pStyle w:val="3361"/>
              <w:rPr>
                <w:color w:val="auto"/>
              </w:rPr>
            </w:pPr>
            <w:r>
              <w:rPr>
                <w:rFonts w:hint="eastAsia"/>
                <w:color w:val="auto"/>
              </w:rPr>
              <w:t>新建</w:t>
            </w:r>
          </w:p>
        </w:tc>
      </w:tr>
      <w:tr w14:paraId="6FD22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8" w:type="pct"/>
            <w:vMerge w:val="continue"/>
            <w:vAlign w:val="center"/>
          </w:tcPr>
          <w:p w14:paraId="0CE3FCDD">
            <w:pPr>
              <w:pStyle w:val="3361"/>
              <w:rPr>
                <w:color w:val="auto"/>
              </w:rPr>
            </w:pPr>
          </w:p>
        </w:tc>
        <w:tc>
          <w:tcPr>
            <w:tcW w:w="506" w:type="pct"/>
            <w:shd w:val="clear" w:color="auto" w:fill="auto"/>
            <w:vAlign w:val="center"/>
          </w:tcPr>
          <w:p w14:paraId="7D964392">
            <w:pPr>
              <w:pStyle w:val="3361"/>
              <w:rPr>
                <w:color w:val="auto"/>
              </w:rPr>
            </w:pPr>
            <w:r>
              <w:rPr>
                <w:rFonts w:hint="eastAsia"/>
                <w:color w:val="auto"/>
              </w:rPr>
              <w:t>厂内道路</w:t>
            </w:r>
          </w:p>
        </w:tc>
        <w:tc>
          <w:tcPr>
            <w:tcW w:w="3846" w:type="pct"/>
            <w:shd w:val="clear" w:color="auto" w:fill="auto"/>
            <w:vAlign w:val="center"/>
          </w:tcPr>
          <w:p w14:paraId="0337AF45">
            <w:pPr>
              <w:pStyle w:val="3361"/>
              <w:rPr>
                <w:color w:val="auto"/>
                <w:lang w:val="en-US"/>
              </w:rPr>
            </w:pPr>
            <w:r>
              <w:rPr>
                <w:rFonts w:hint="eastAsia"/>
                <w:color w:val="auto"/>
              </w:rPr>
              <w:t>厂区道路呈环形布置，保证消防通道畅通，厂区公路宽4.0～6.0m，道路净空高度不小于4.5m，污水处理厂出入口与厂外道路相连，满足消防车对通行的要求，同时转弯半径≥9.0m，满足消防车转弯需求</w:t>
            </w:r>
          </w:p>
        </w:tc>
        <w:tc>
          <w:tcPr>
            <w:tcW w:w="398" w:type="pct"/>
            <w:vAlign w:val="center"/>
          </w:tcPr>
          <w:p w14:paraId="007F3A0B">
            <w:pPr>
              <w:pStyle w:val="3361"/>
              <w:rPr>
                <w:color w:val="auto"/>
              </w:rPr>
            </w:pPr>
            <w:r>
              <w:rPr>
                <w:rFonts w:hint="eastAsia"/>
                <w:color w:val="auto"/>
              </w:rPr>
              <w:t>依托现有</w:t>
            </w:r>
          </w:p>
        </w:tc>
      </w:tr>
      <w:tr w14:paraId="63FA7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2" w:hRule="atLeast"/>
          <w:jc w:val="center"/>
        </w:trPr>
        <w:tc>
          <w:tcPr>
            <w:tcW w:w="248" w:type="pct"/>
            <w:vMerge w:val="restart"/>
            <w:vAlign w:val="center"/>
          </w:tcPr>
          <w:p w14:paraId="3786D7EC">
            <w:pPr>
              <w:pStyle w:val="3361"/>
              <w:rPr>
                <w:color w:val="auto"/>
              </w:rPr>
            </w:pPr>
            <w:r>
              <w:rPr>
                <w:rFonts w:hint="eastAsia"/>
                <w:color w:val="auto"/>
              </w:rPr>
              <w:t>环保工程</w:t>
            </w:r>
          </w:p>
        </w:tc>
        <w:tc>
          <w:tcPr>
            <w:tcW w:w="506" w:type="pct"/>
            <w:vMerge w:val="restart"/>
            <w:shd w:val="clear" w:color="auto" w:fill="auto"/>
            <w:vAlign w:val="center"/>
          </w:tcPr>
          <w:p w14:paraId="0E2B379A">
            <w:pPr>
              <w:pStyle w:val="3361"/>
              <w:rPr>
                <w:color w:val="auto"/>
              </w:rPr>
            </w:pPr>
            <w:r>
              <w:rPr>
                <w:rFonts w:hint="eastAsia"/>
                <w:color w:val="auto"/>
              </w:rPr>
              <w:t>废水</w:t>
            </w:r>
          </w:p>
        </w:tc>
        <w:tc>
          <w:tcPr>
            <w:tcW w:w="3846" w:type="pct"/>
            <w:shd w:val="clear" w:color="auto" w:fill="auto"/>
            <w:vAlign w:val="center"/>
          </w:tcPr>
          <w:p w14:paraId="7987037F">
            <w:pPr>
              <w:pStyle w:val="3361"/>
              <w:rPr>
                <w:rFonts w:hint="eastAsia" w:eastAsia="宋体"/>
                <w:color w:val="auto"/>
                <w:lang w:eastAsia="zh-CN"/>
              </w:rPr>
            </w:pPr>
            <w:r>
              <w:rPr>
                <w:rFonts w:hint="eastAsia"/>
                <w:color w:val="auto"/>
              </w:rPr>
              <w:t>拟建项目对外接收废水、生产废水（包括实验室废水）和初期雨水等经油气田钻采废水</w:t>
            </w:r>
            <w:r>
              <w:rPr>
                <w:rFonts w:hint="eastAsia"/>
                <w:color w:val="auto"/>
                <w:lang w:eastAsia="zh-CN"/>
              </w:rPr>
              <w:t>处理</w:t>
            </w:r>
            <w:r>
              <w:rPr>
                <w:rFonts w:hint="eastAsia"/>
                <w:color w:val="auto"/>
              </w:rPr>
              <w:t>设施（处理规模</w:t>
            </w:r>
            <w:r>
              <w:rPr>
                <w:rFonts w:hint="eastAsia"/>
                <w:color w:val="auto"/>
                <w:szCs w:val="24"/>
              </w:rPr>
              <w:t>2000m</w:t>
            </w:r>
            <w:r>
              <w:rPr>
                <w:rFonts w:hint="eastAsia"/>
                <w:color w:val="auto"/>
                <w:szCs w:val="24"/>
                <w:vertAlign w:val="superscript"/>
              </w:rPr>
              <w:t>3</w:t>
            </w:r>
            <w:r>
              <w:rPr>
                <w:rFonts w:hint="eastAsia"/>
                <w:color w:val="auto"/>
                <w:szCs w:val="24"/>
              </w:rPr>
              <w:t>/d</w:t>
            </w:r>
            <w:r>
              <w:rPr>
                <w:rFonts w:hint="eastAsia"/>
                <w:color w:val="auto"/>
              </w:rPr>
              <w:t>）处理达到</w:t>
            </w:r>
            <w:r>
              <w:rPr>
                <w:rFonts w:hint="eastAsia"/>
                <w:bCs/>
                <w:color w:val="auto"/>
                <w:lang w:eastAsia="zh-CN"/>
              </w:rPr>
              <w:t>《页岩气开采水污染物排放标准》（DB50/1806-2025）间接排放标准限值</w:t>
            </w:r>
            <w:r>
              <w:rPr>
                <w:rFonts w:hint="eastAsia"/>
                <w:color w:val="auto"/>
                <w:lang w:eastAsia="zh-CN"/>
              </w:rPr>
              <w:t>后直接接入乌杨组团园区污水处理厂</w:t>
            </w:r>
            <w:r>
              <w:rPr>
                <w:rFonts w:hint="eastAsia"/>
                <w:color w:val="auto"/>
              </w:rPr>
              <w:t>进行深度处理达《城镇污水处理厂污染物排放标准》（GB18918-2002）一级 A 标准后排入</w:t>
            </w:r>
            <w:r>
              <w:rPr>
                <w:rFonts w:hint="eastAsia"/>
                <w:color w:val="auto"/>
                <w:lang w:eastAsia="zh-CN"/>
              </w:rPr>
              <w:t>长江</w:t>
            </w:r>
          </w:p>
        </w:tc>
        <w:tc>
          <w:tcPr>
            <w:tcW w:w="398" w:type="pct"/>
            <w:vAlign w:val="center"/>
          </w:tcPr>
          <w:p w14:paraId="503372CC">
            <w:pPr>
              <w:pStyle w:val="3361"/>
              <w:rPr>
                <w:color w:val="auto"/>
              </w:rPr>
            </w:pPr>
            <w:r>
              <w:rPr>
                <w:rFonts w:hint="eastAsia"/>
                <w:color w:val="auto"/>
              </w:rPr>
              <w:t>新建</w:t>
            </w:r>
          </w:p>
        </w:tc>
      </w:tr>
      <w:tr w14:paraId="73988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8" w:type="pct"/>
            <w:vMerge w:val="continue"/>
            <w:vAlign w:val="center"/>
          </w:tcPr>
          <w:p w14:paraId="43877290">
            <w:pPr>
              <w:pStyle w:val="3361"/>
              <w:rPr>
                <w:color w:val="auto"/>
              </w:rPr>
            </w:pPr>
          </w:p>
        </w:tc>
        <w:tc>
          <w:tcPr>
            <w:tcW w:w="506" w:type="pct"/>
            <w:vMerge w:val="continue"/>
            <w:shd w:val="clear" w:color="auto" w:fill="auto"/>
            <w:vAlign w:val="center"/>
          </w:tcPr>
          <w:p w14:paraId="70756876">
            <w:pPr>
              <w:pStyle w:val="3361"/>
              <w:rPr>
                <w:color w:val="auto"/>
              </w:rPr>
            </w:pPr>
          </w:p>
        </w:tc>
        <w:tc>
          <w:tcPr>
            <w:tcW w:w="3846" w:type="pct"/>
            <w:shd w:val="clear" w:color="auto" w:fill="auto"/>
            <w:vAlign w:val="center"/>
          </w:tcPr>
          <w:p w14:paraId="2E2F89C4">
            <w:pPr>
              <w:pStyle w:val="3361"/>
              <w:rPr>
                <w:rFonts w:hint="eastAsia" w:eastAsia="宋体"/>
                <w:color w:val="auto"/>
                <w:lang w:eastAsia="zh-CN"/>
              </w:rPr>
            </w:pPr>
            <w:r>
              <w:rPr>
                <w:rFonts w:hint="eastAsia"/>
                <w:color w:val="auto"/>
              </w:rPr>
              <w:t>厂区生活污水经生化池（处理规模</w:t>
            </w:r>
            <w:r>
              <w:rPr>
                <w:rFonts w:hint="eastAsia"/>
                <w:color w:val="auto"/>
                <w:lang w:val="en-US" w:eastAsia="zh-CN"/>
              </w:rPr>
              <w:t>10</w:t>
            </w:r>
            <w:r>
              <w:rPr>
                <w:rFonts w:hint="eastAsia"/>
                <w:color w:val="auto"/>
                <w:szCs w:val="24"/>
              </w:rPr>
              <w:t>m</w:t>
            </w:r>
            <w:r>
              <w:rPr>
                <w:rFonts w:hint="eastAsia"/>
                <w:color w:val="auto"/>
                <w:szCs w:val="24"/>
                <w:vertAlign w:val="superscript"/>
              </w:rPr>
              <w:t>3</w:t>
            </w:r>
            <w:r>
              <w:rPr>
                <w:rFonts w:hint="eastAsia"/>
                <w:color w:val="auto"/>
                <w:szCs w:val="24"/>
              </w:rPr>
              <w:t>/d</w:t>
            </w:r>
            <w:r>
              <w:rPr>
                <w:rFonts w:hint="eastAsia"/>
                <w:color w:val="auto"/>
              </w:rPr>
              <w:t>）处理达</w:t>
            </w:r>
            <w:r>
              <w:rPr>
                <w:rFonts w:hint="eastAsia"/>
                <w:bCs/>
                <w:color w:val="auto"/>
                <w:lang w:eastAsia="zh-CN"/>
              </w:rPr>
              <w:t>标后</w:t>
            </w:r>
            <w:r>
              <w:rPr>
                <w:rFonts w:hint="eastAsia"/>
                <w:color w:val="auto"/>
                <w:lang w:eastAsia="zh-CN"/>
              </w:rPr>
              <w:t>直接接入乌杨组团园区污水处理厂</w:t>
            </w:r>
            <w:r>
              <w:rPr>
                <w:rFonts w:hint="eastAsia"/>
                <w:color w:val="auto"/>
              </w:rPr>
              <w:t>进行深度处理达《城镇污水处理厂污染物排放标准》（GB18918-2002）一级 A 标准后排入</w:t>
            </w:r>
            <w:r>
              <w:rPr>
                <w:rFonts w:hint="eastAsia"/>
                <w:color w:val="auto"/>
                <w:lang w:eastAsia="zh-CN"/>
              </w:rPr>
              <w:t>长江</w:t>
            </w:r>
          </w:p>
        </w:tc>
        <w:tc>
          <w:tcPr>
            <w:tcW w:w="398" w:type="pct"/>
            <w:vAlign w:val="center"/>
          </w:tcPr>
          <w:p w14:paraId="6D33A68D">
            <w:pPr>
              <w:pStyle w:val="3361"/>
              <w:rPr>
                <w:rFonts w:hint="eastAsia" w:eastAsia="宋体"/>
                <w:color w:val="auto"/>
                <w:lang w:eastAsia="zh-CN"/>
              </w:rPr>
            </w:pPr>
            <w:r>
              <w:rPr>
                <w:rFonts w:hint="eastAsia"/>
                <w:color w:val="auto"/>
                <w:lang w:eastAsia="zh-CN"/>
              </w:rPr>
              <w:t>新建</w:t>
            </w:r>
          </w:p>
        </w:tc>
      </w:tr>
      <w:tr w14:paraId="2FCD4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8" w:type="pct"/>
            <w:vMerge w:val="continue"/>
            <w:vAlign w:val="center"/>
          </w:tcPr>
          <w:p w14:paraId="614F74A4">
            <w:pPr>
              <w:pStyle w:val="3361"/>
              <w:rPr>
                <w:color w:val="auto"/>
              </w:rPr>
            </w:pPr>
          </w:p>
        </w:tc>
        <w:tc>
          <w:tcPr>
            <w:tcW w:w="506" w:type="pct"/>
            <w:shd w:val="clear" w:color="auto" w:fill="auto"/>
            <w:vAlign w:val="center"/>
          </w:tcPr>
          <w:p w14:paraId="1C52677E">
            <w:pPr>
              <w:pStyle w:val="3361"/>
              <w:rPr>
                <w:color w:val="auto"/>
              </w:rPr>
            </w:pPr>
            <w:r>
              <w:rPr>
                <w:rFonts w:hint="eastAsia"/>
                <w:color w:val="auto"/>
              </w:rPr>
              <w:t>废气</w:t>
            </w:r>
          </w:p>
        </w:tc>
        <w:tc>
          <w:tcPr>
            <w:tcW w:w="3846" w:type="pct"/>
            <w:shd w:val="clear" w:color="auto" w:fill="auto"/>
            <w:vAlign w:val="center"/>
          </w:tcPr>
          <w:p w14:paraId="391B58F9">
            <w:pPr>
              <w:pStyle w:val="3361"/>
              <w:rPr>
                <w:color w:val="auto"/>
              </w:rPr>
            </w:pPr>
            <w:r>
              <w:rPr>
                <w:rFonts w:hint="eastAsia"/>
                <w:color w:val="auto"/>
                <w:lang w:eastAsia="zh-CN"/>
              </w:rPr>
              <w:t>收集池</w:t>
            </w:r>
            <w:r>
              <w:rPr>
                <w:rFonts w:hint="eastAsia"/>
                <w:color w:val="auto"/>
              </w:rPr>
              <w:t>、调节池、气浮池、高密软化沉淀池、芬顿氧化池、中和沉淀池、</w:t>
            </w:r>
            <w:r>
              <w:rPr>
                <w:rFonts w:hint="eastAsia"/>
                <w:color w:val="auto"/>
                <w:lang w:eastAsia="zh-CN"/>
              </w:rPr>
              <w:t>浓水罐</w:t>
            </w:r>
            <w:r>
              <w:rPr>
                <w:rFonts w:hint="eastAsia"/>
                <w:color w:val="auto"/>
              </w:rPr>
              <w:t>、污泥池等主要产臭构筑物采取加盖等密闭方式对臭气进行收集，</w:t>
            </w:r>
            <w:r>
              <w:rPr>
                <w:rFonts w:hint="eastAsia"/>
                <w:color w:val="auto"/>
                <w:lang w:val="en-US" w:eastAsia="zh-CN"/>
              </w:rPr>
              <w:t>污泥压滤间</w:t>
            </w:r>
            <w:r>
              <w:rPr>
                <w:rFonts w:hint="eastAsia"/>
                <w:color w:val="auto"/>
                <w:lang w:val="en-US"/>
              </w:rPr>
              <w:t>、</w:t>
            </w:r>
            <w:r>
              <w:rPr>
                <w:rFonts w:hint="eastAsia"/>
                <w:color w:val="auto"/>
                <w:lang w:val="en-US" w:eastAsia="zh-CN"/>
              </w:rPr>
              <w:t>危废贮存库采取负压抽风</w:t>
            </w:r>
            <w:r>
              <w:rPr>
                <w:rFonts w:hint="eastAsia"/>
                <w:color w:val="auto"/>
                <w:lang w:val="en-US"/>
              </w:rPr>
              <w:t>收集臭气，废气</w:t>
            </w:r>
            <w:r>
              <w:rPr>
                <w:rFonts w:hint="eastAsia"/>
                <w:color w:val="auto"/>
              </w:rPr>
              <w:t>收集后经</w:t>
            </w:r>
            <w:r>
              <w:rPr>
                <w:rFonts w:hint="eastAsia"/>
                <w:color w:val="auto"/>
                <w:lang w:val="en-US"/>
              </w:rPr>
              <w:t>1套</w:t>
            </w:r>
            <w:r>
              <w:rPr>
                <w:rFonts w:hint="eastAsia"/>
                <w:color w:val="auto"/>
              </w:rPr>
              <w:t>“</w:t>
            </w:r>
            <w:r>
              <w:rPr>
                <w:rFonts w:hint="eastAsia"/>
                <w:color w:val="auto"/>
                <w:lang w:val="en-US"/>
              </w:rPr>
              <w:t>碱喷淋+除湿+活性炭吸附</w:t>
            </w:r>
            <w:r>
              <w:rPr>
                <w:rFonts w:hint="eastAsia"/>
                <w:color w:val="auto"/>
              </w:rPr>
              <w:t>”处置达标后15m高</w:t>
            </w:r>
            <w:r>
              <w:rPr>
                <w:rFonts w:hint="eastAsia"/>
                <w:color w:val="auto"/>
                <w:lang w:val="en-US"/>
              </w:rPr>
              <w:t>DA001</w:t>
            </w:r>
            <w:r>
              <w:rPr>
                <w:rFonts w:hint="eastAsia"/>
                <w:color w:val="auto"/>
              </w:rPr>
              <w:t>排气筒排放</w:t>
            </w:r>
          </w:p>
        </w:tc>
        <w:tc>
          <w:tcPr>
            <w:tcW w:w="398" w:type="pct"/>
            <w:vAlign w:val="center"/>
          </w:tcPr>
          <w:p w14:paraId="71F3DBE7">
            <w:pPr>
              <w:pStyle w:val="3361"/>
              <w:rPr>
                <w:color w:val="auto"/>
              </w:rPr>
            </w:pPr>
            <w:r>
              <w:rPr>
                <w:rFonts w:hint="eastAsia"/>
                <w:color w:val="auto"/>
              </w:rPr>
              <w:t>新建</w:t>
            </w:r>
          </w:p>
        </w:tc>
      </w:tr>
      <w:tr w14:paraId="2EF28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8" w:type="pct"/>
            <w:vMerge w:val="continue"/>
            <w:vAlign w:val="center"/>
          </w:tcPr>
          <w:p w14:paraId="7ED4F74A">
            <w:pPr>
              <w:pStyle w:val="3361"/>
              <w:rPr>
                <w:color w:val="auto"/>
              </w:rPr>
            </w:pPr>
          </w:p>
        </w:tc>
        <w:tc>
          <w:tcPr>
            <w:tcW w:w="506" w:type="pct"/>
            <w:shd w:val="clear" w:color="auto" w:fill="auto"/>
            <w:vAlign w:val="center"/>
          </w:tcPr>
          <w:p w14:paraId="76FDC06B">
            <w:pPr>
              <w:pStyle w:val="3361"/>
              <w:rPr>
                <w:color w:val="auto"/>
              </w:rPr>
            </w:pPr>
            <w:r>
              <w:rPr>
                <w:rFonts w:hint="eastAsia"/>
                <w:color w:val="auto"/>
              </w:rPr>
              <w:t>噪声</w:t>
            </w:r>
          </w:p>
        </w:tc>
        <w:tc>
          <w:tcPr>
            <w:tcW w:w="3846" w:type="pct"/>
            <w:shd w:val="clear" w:color="auto" w:fill="auto"/>
            <w:vAlign w:val="center"/>
          </w:tcPr>
          <w:p w14:paraId="096ABEE5">
            <w:pPr>
              <w:pStyle w:val="3361"/>
              <w:rPr>
                <w:color w:val="auto"/>
              </w:rPr>
            </w:pPr>
            <w:r>
              <w:rPr>
                <w:rFonts w:hint="eastAsia"/>
                <w:color w:val="auto"/>
              </w:rPr>
              <w:t>新建设施设备均采取低噪声设备、建筑隔声、基础减振等降噪措施，厂界噪声能够满足《工业企业厂界环境噪声排放标准》3类标准要求</w:t>
            </w:r>
          </w:p>
        </w:tc>
        <w:tc>
          <w:tcPr>
            <w:tcW w:w="398" w:type="pct"/>
            <w:vAlign w:val="center"/>
          </w:tcPr>
          <w:p w14:paraId="16874862">
            <w:pPr>
              <w:pStyle w:val="3361"/>
              <w:rPr>
                <w:color w:val="auto"/>
              </w:rPr>
            </w:pPr>
            <w:r>
              <w:rPr>
                <w:rFonts w:hint="eastAsia"/>
                <w:color w:val="auto"/>
              </w:rPr>
              <w:t>新建</w:t>
            </w:r>
          </w:p>
        </w:tc>
      </w:tr>
      <w:tr w14:paraId="36823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8" w:type="pct"/>
            <w:vMerge w:val="continue"/>
            <w:vAlign w:val="center"/>
          </w:tcPr>
          <w:p w14:paraId="757954DB">
            <w:pPr>
              <w:pStyle w:val="3361"/>
              <w:rPr>
                <w:color w:val="auto"/>
              </w:rPr>
            </w:pPr>
          </w:p>
        </w:tc>
        <w:tc>
          <w:tcPr>
            <w:tcW w:w="506" w:type="pct"/>
            <w:vMerge w:val="restart"/>
            <w:shd w:val="clear" w:color="auto" w:fill="auto"/>
            <w:vAlign w:val="center"/>
          </w:tcPr>
          <w:p w14:paraId="52B38C60">
            <w:pPr>
              <w:pStyle w:val="3361"/>
              <w:rPr>
                <w:color w:val="auto"/>
              </w:rPr>
            </w:pPr>
            <w:r>
              <w:rPr>
                <w:rFonts w:hint="eastAsia"/>
                <w:color w:val="auto"/>
              </w:rPr>
              <w:t>固体废物</w:t>
            </w:r>
          </w:p>
        </w:tc>
        <w:tc>
          <w:tcPr>
            <w:tcW w:w="3846" w:type="pct"/>
            <w:shd w:val="clear" w:color="auto" w:fill="auto"/>
            <w:vAlign w:val="center"/>
          </w:tcPr>
          <w:p w14:paraId="1600C25E">
            <w:pPr>
              <w:spacing w:line="360" w:lineRule="auto"/>
              <w:ind w:firstLine="480"/>
              <w:rPr>
                <w:rFonts w:hint="eastAsia" w:ascii="Times New Roman" w:hAnsi="Times New Roman" w:eastAsia="宋体" w:cs="Times New Roman"/>
                <w:color w:val="auto"/>
                <w:kern w:val="2"/>
                <w:sz w:val="21"/>
                <w:szCs w:val="21"/>
                <w:lang w:val="zh-CN" w:eastAsia="zh-CN" w:bidi="ar-SA"/>
              </w:rPr>
            </w:pPr>
            <w:r>
              <w:rPr>
                <w:rFonts w:hint="eastAsia" w:ascii="Times New Roman" w:hAnsi="Times New Roman" w:eastAsia="宋体" w:cs="Times New Roman"/>
                <w:color w:val="auto"/>
                <w:kern w:val="2"/>
                <w:sz w:val="21"/>
                <w:szCs w:val="21"/>
                <w:lang w:val="zh-CN" w:eastAsia="zh-CN" w:bidi="ar-SA"/>
              </w:rPr>
              <w:t>危险废物：新建危险贮存库</w:t>
            </w:r>
            <w:r>
              <w:rPr>
                <w:rFonts w:hint="eastAsia" w:ascii="Times New Roman" w:hAnsi="Times New Roman" w:eastAsia="宋体" w:cs="Times New Roman"/>
                <w:color w:val="auto"/>
                <w:kern w:val="2"/>
                <w:sz w:val="21"/>
                <w:szCs w:val="21"/>
                <w:lang w:val="en-US" w:eastAsia="zh-CN" w:bidi="ar-SA"/>
              </w:rPr>
              <w:t>1个，主要包括污泥贮存区</w:t>
            </w:r>
            <w:r>
              <w:rPr>
                <w:rFonts w:hint="eastAsia" w:ascii="Times New Roman" w:hAnsi="Times New Roman" w:eastAsia="宋体" w:cs="Times New Roman"/>
                <w:color w:val="auto"/>
                <w:kern w:val="2"/>
                <w:sz w:val="21"/>
                <w:szCs w:val="21"/>
                <w:lang w:val="zh-CN" w:eastAsia="zh-CN" w:bidi="ar-SA"/>
              </w:rPr>
              <w:t>，占地面积约</w:t>
            </w:r>
            <w:r>
              <w:rPr>
                <w:rFonts w:hint="eastAsia" w:ascii="Times New Roman" w:hAnsi="Times New Roman" w:eastAsia="宋体" w:cs="Times New Roman"/>
                <w:color w:val="auto"/>
                <w:kern w:val="2"/>
                <w:sz w:val="21"/>
                <w:szCs w:val="21"/>
                <w:lang w:val="en-US" w:eastAsia="zh-CN" w:bidi="ar-SA"/>
              </w:rPr>
              <w:t>35</w:t>
            </w:r>
            <w:r>
              <w:rPr>
                <w:rFonts w:hint="eastAsia" w:ascii="Times New Roman" w:hAnsi="Times New Roman" w:eastAsia="宋体" w:cs="Times New Roman"/>
                <w:color w:val="auto"/>
                <w:kern w:val="2"/>
                <w:sz w:val="21"/>
                <w:szCs w:val="21"/>
                <w:lang w:val="zh-CN" w:eastAsia="zh-CN" w:bidi="ar-SA"/>
              </w:rPr>
              <w:t>m</w:t>
            </w:r>
            <w:r>
              <w:rPr>
                <w:rFonts w:hint="eastAsia" w:ascii="Times New Roman" w:hAnsi="Times New Roman" w:eastAsia="宋体" w:cs="Times New Roman"/>
                <w:color w:val="auto"/>
                <w:kern w:val="2"/>
                <w:sz w:val="21"/>
                <w:szCs w:val="21"/>
                <w:vertAlign w:val="superscript"/>
                <w:lang w:val="zh-CN" w:eastAsia="zh-CN" w:bidi="ar-SA"/>
              </w:rPr>
              <w:t>2</w:t>
            </w:r>
            <w:r>
              <w:rPr>
                <w:rFonts w:hint="eastAsia" w:ascii="Times New Roman" w:hAnsi="Times New Roman" w:eastAsia="宋体" w:cs="Times New Roman"/>
                <w:color w:val="auto"/>
                <w:kern w:val="2"/>
                <w:sz w:val="21"/>
                <w:szCs w:val="21"/>
                <w:lang w:val="zh-CN" w:eastAsia="zh-CN" w:bidi="ar-SA"/>
              </w:rPr>
              <w:t>，蒸发结晶盐</w:t>
            </w:r>
            <w:r>
              <w:rPr>
                <w:rFonts w:hint="eastAsia" w:ascii="Times New Roman" w:hAnsi="Times New Roman" w:eastAsia="宋体" w:cs="Times New Roman"/>
                <w:color w:val="auto"/>
                <w:kern w:val="2"/>
                <w:sz w:val="21"/>
                <w:szCs w:val="21"/>
                <w:lang w:val="en-US" w:eastAsia="zh-CN" w:bidi="ar-SA"/>
              </w:rPr>
              <w:t>贮存区</w:t>
            </w:r>
            <w:r>
              <w:rPr>
                <w:rFonts w:hint="eastAsia" w:ascii="Times New Roman" w:hAnsi="Times New Roman" w:eastAsia="宋体" w:cs="Times New Roman"/>
                <w:color w:val="auto"/>
                <w:kern w:val="2"/>
                <w:sz w:val="21"/>
                <w:szCs w:val="21"/>
                <w:lang w:val="zh-CN" w:eastAsia="zh-CN" w:bidi="ar-SA"/>
              </w:rPr>
              <w:t>，占地面积约</w:t>
            </w:r>
            <w:r>
              <w:rPr>
                <w:rFonts w:hint="eastAsia" w:ascii="Times New Roman" w:hAnsi="Times New Roman" w:eastAsia="宋体" w:cs="Times New Roman"/>
                <w:color w:val="auto"/>
                <w:kern w:val="2"/>
                <w:sz w:val="21"/>
                <w:szCs w:val="21"/>
                <w:lang w:val="en-US" w:eastAsia="zh-CN" w:bidi="ar-SA"/>
              </w:rPr>
              <w:t>70</w:t>
            </w:r>
            <w:r>
              <w:rPr>
                <w:rFonts w:hint="eastAsia" w:ascii="Times New Roman" w:hAnsi="Times New Roman" w:eastAsia="宋体" w:cs="Times New Roman"/>
                <w:color w:val="auto"/>
                <w:kern w:val="2"/>
                <w:sz w:val="21"/>
                <w:szCs w:val="21"/>
                <w:lang w:val="zh-CN" w:eastAsia="zh-CN" w:bidi="ar-SA"/>
              </w:rPr>
              <w:t>m</w:t>
            </w:r>
            <w:r>
              <w:rPr>
                <w:rFonts w:hint="eastAsia" w:ascii="Times New Roman" w:hAnsi="Times New Roman" w:eastAsia="宋体" w:cs="Times New Roman"/>
                <w:color w:val="auto"/>
                <w:kern w:val="2"/>
                <w:sz w:val="21"/>
                <w:szCs w:val="21"/>
                <w:vertAlign w:val="superscript"/>
                <w:lang w:val="zh-CN" w:eastAsia="zh-CN" w:bidi="ar-SA"/>
              </w:rPr>
              <w:t>2</w:t>
            </w:r>
            <w:r>
              <w:rPr>
                <w:rFonts w:hint="eastAsia" w:ascii="Times New Roman" w:hAnsi="Times New Roman" w:eastAsia="宋体" w:cs="Times New Roman"/>
                <w:color w:val="auto"/>
                <w:kern w:val="2"/>
                <w:sz w:val="21"/>
                <w:szCs w:val="21"/>
                <w:lang w:val="zh-CN" w:eastAsia="zh-CN" w:bidi="ar-SA"/>
              </w:rPr>
              <w:t>，其他危险废物贮存区，占地面积约</w:t>
            </w:r>
            <w:r>
              <w:rPr>
                <w:rFonts w:hint="eastAsia" w:ascii="Times New Roman" w:hAnsi="Times New Roman" w:eastAsia="宋体" w:cs="Times New Roman"/>
                <w:color w:val="auto"/>
                <w:kern w:val="2"/>
                <w:sz w:val="21"/>
                <w:szCs w:val="21"/>
                <w:lang w:val="en-US" w:eastAsia="zh-CN" w:bidi="ar-SA"/>
              </w:rPr>
              <w:t>10</w:t>
            </w:r>
            <w:r>
              <w:rPr>
                <w:rFonts w:hint="eastAsia" w:ascii="Times New Roman" w:hAnsi="Times New Roman" w:eastAsia="宋体" w:cs="Times New Roman"/>
                <w:color w:val="auto"/>
                <w:kern w:val="2"/>
                <w:sz w:val="21"/>
                <w:szCs w:val="21"/>
                <w:lang w:val="zh-CN" w:eastAsia="zh-CN" w:bidi="ar-SA"/>
              </w:rPr>
              <w:t>m</w:t>
            </w:r>
            <w:r>
              <w:rPr>
                <w:rFonts w:hint="eastAsia" w:ascii="Times New Roman" w:hAnsi="Times New Roman" w:eastAsia="宋体" w:cs="Times New Roman"/>
                <w:color w:val="auto"/>
                <w:kern w:val="2"/>
                <w:sz w:val="21"/>
                <w:szCs w:val="21"/>
                <w:vertAlign w:val="superscript"/>
                <w:lang w:val="zh-CN" w:eastAsia="zh-CN" w:bidi="ar-SA"/>
              </w:rPr>
              <w:t>2</w:t>
            </w:r>
            <w:r>
              <w:rPr>
                <w:rFonts w:hint="eastAsia" w:ascii="Times New Roman" w:hAnsi="Times New Roman" w:eastAsia="宋体" w:cs="Times New Roman"/>
                <w:color w:val="auto"/>
                <w:kern w:val="2"/>
                <w:sz w:val="21"/>
                <w:szCs w:val="21"/>
                <w:lang w:val="zh-CN" w:eastAsia="zh-CN" w:bidi="ar-SA"/>
              </w:rPr>
              <w:t>，危险废物分类收集后交有资质的单位处置。</w:t>
            </w:r>
          </w:p>
        </w:tc>
        <w:tc>
          <w:tcPr>
            <w:tcW w:w="398" w:type="pct"/>
            <w:vAlign w:val="center"/>
          </w:tcPr>
          <w:p w14:paraId="7F805FF6">
            <w:pPr>
              <w:pStyle w:val="3361"/>
              <w:rPr>
                <w:rFonts w:hint="eastAsia" w:ascii="Times New Roman" w:hAnsi="Times New Roman" w:eastAsia="宋体" w:cs="Times New Roman"/>
                <w:color w:val="auto"/>
                <w:kern w:val="2"/>
                <w:sz w:val="21"/>
                <w:szCs w:val="21"/>
                <w:lang w:val="zh-CN" w:eastAsia="zh-CN" w:bidi="ar-SA"/>
              </w:rPr>
            </w:pPr>
            <w:r>
              <w:rPr>
                <w:rFonts w:hint="eastAsia" w:ascii="Times New Roman" w:hAnsi="Times New Roman" w:eastAsia="宋体" w:cs="Times New Roman"/>
                <w:color w:val="auto"/>
                <w:kern w:val="2"/>
                <w:sz w:val="21"/>
                <w:szCs w:val="21"/>
                <w:lang w:val="zh-CN" w:eastAsia="zh-CN" w:bidi="ar-SA"/>
              </w:rPr>
              <w:t>新建</w:t>
            </w:r>
          </w:p>
        </w:tc>
      </w:tr>
      <w:tr w14:paraId="6303B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8" w:type="pct"/>
            <w:vMerge w:val="continue"/>
            <w:vAlign w:val="center"/>
          </w:tcPr>
          <w:p w14:paraId="24AD53E6">
            <w:pPr>
              <w:pStyle w:val="3361"/>
              <w:rPr>
                <w:color w:val="auto"/>
              </w:rPr>
            </w:pPr>
          </w:p>
        </w:tc>
        <w:tc>
          <w:tcPr>
            <w:tcW w:w="506" w:type="pct"/>
            <w:vMerge w:val="continue"/>
            <w:shd w:val="clear" w:color="auto" w:fill="auto"/>
            <w:vAlign w:val="center"/>
          </w:tcPr>
          <w:p w14:paraId="3508D2F2">
            <w:pPr>
              <w:pStyle w:val="3361"/>
              <w:rPr>
                <w:color w:val="auto"/>
              </w:rPr>
            </w:pPr>
          </w:p>
        </w:tc>
        <w:tc>
          <w:tcPr>
            <w:tcW w:w="3846" w:type="pct"/>
            <w:shd w:val="clear" w:color="auto" w:fill="auto"/>
            <w:vAlign w:val="center"/>
          </w:tcPr>
          <w:p w14:paraId="0196D203">
            <w:pPr>
              <w:pStyle w:val="3361"/>
              <w:rPr>
                <w:color w:val="auto"/>
              </w:rPr>
            </w:pPr>
            <w:r>
              <w:rPr>
                <w:rFonts w:hint="eastAsia"/>
                <w:color w:val="auto"/>
              </w:rPr>
              <w:t>一般工业固体废物：</w:t>
            </w:r>
            <w:r>
              <w:rPr>
                <w:rFonts w:hint="eastAsia"/>
                <w:color w:val="auto"/>
                <w:lang w:eastAsia="zh-CN"/>
              </w:rPr>
              <w:t>新建</w:t>
            </w:r>
            <w:r>
              <w:rPr>
                <w:rFonts w:hint="eastAsia"/>
                <w:color w:val="auto"/>
              </w:rPr>
              <w:t>一般工业固废暂存间</w:t>
            </w:r>
            <w:r>
              <w:rPr>
                <w:rFonts w:hint="eastAsia"/>
                <w:color w:val="auto"/>
                <w:lang w:val="en-US" w:eastAsia="zh-CN"/>
              </w:rPr>
              <w:t>1个</w:t>
            </w:r>
            <w:r>
              <w:rPr>
                <w:rFonts w:hint="eastAsia"/>
                <w:color w:val="auto"/>
              </w:rPr>
              <w:t>，占地面积约</w:t>
            </w:r>
            <w:r>
              <w:rPr>
                <w:rFonts w:hint="eastAsia"/>
                <w:color w:val="auto"/>
                <w:lang w:val="en-US" w:eastAsia="zh-CN"/>
              </w:rPr>
              <w:t>20</w:t>
            </w:r>
            <w:r>
              <w:rPr>
                <w:rFonts w:hint="eastAsia"/>
                <w:color w:val="auto"/>
              </w:rPr>
              <w:t>m</w:t>
            </w:r>
            <w:r>
              <w:rPr>
                <w:rFonts w:hint="eastAsia"/>
                <w:color w:val="auto"/>
                <w:vertAlign w:val="superscript"/>
              </w:rPr>
              <w:t>2</w:t>
            </w:r>
            <w:r>
              <w:rPr>
                <w:rFonts w:hint="eastAsia"/>
                <w:color w:val="auto"/>
              </w:rPr>
              <w:t>，暂存点满足“防渗漏、防雨淋、防扬尘”等相关要求，主要用于一般工业固体废物的储存。</w:t>
            </w:r>
          </w:p>
        </w:tc>
        <w:tc>
          <w:tcPr>
            <w:tcW w:w="398" w:type="pct"/>
            <w:vAlign w:val="center"/>
          </w:tcPr>
          <w:p w14:paraId="24C1E6BB">
            <w:pPr>
              <w:pStyle w:val="3361"/>
              <w:rPr>
                <w:rFonts w:hint="eastAsia" w:eastAsia="宋体"/>
                <w:color w:val="auto"/>
                <w:lang w:eastAsia="zh-CN"/>
              </w:rPr>
            </w:pPr>
            <w:r>
              <w:rPr>
                <w:rFonts w:hint="eastAsia"/>
                <w:color w:val="auto"/>
                <w:lang w:eastAsia="zh-CN"/>
              </w:rPr>
              <w:t>新建</w:t>
            </w:r>
          </w:p>
        </w:tc>
      </w:tr>
      <w:tr w14:paraId="3D322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8" w:type="pct"/>
            <w:vMerge w:val="continue"/>
            <w:vAlign w:val="center"/>
          </w:tcPr>
          <w:p w14:paraId="66D10FDD">
            <w:pPr>
              <w:pStyle w:val="3361"/>
              <w:rPr>
                <w:color w:val="auto"/>
              </w:rPr>
            </w:pPr>
          </w:p>
        </w:tc>
        <w:tc>
          <w:tcPr>
            <w:tcW w:w="506" w:type="pct"/>
            <w:vMerge w:val="continue"/>
            <w:shd w:val="clear" w:color="auto" w:fill="auto"/>
            <w:vAlign w:val="center"/>
          </w:tcPr>
          <w:p w14:paraId="5CC1355B">
            <w:pPr>
              <w:pStyle w:val="3361"/>
              <w:rPr>
                <w:color w:val="auto"/>
              </w:rPr>
            </w:pPr>
          </w:p>
        </w:tc>
        <w:tc>
          <w:tcPr>
            <w:tcW w:w="3846" w:type="pct"/>
            <w:shd w:val="clear" w:color="auto" w:fill="auto"/>
            <w:vAlign w:val="center"/>
          </w:tcPr>
          <w:p w14:paraId="149B4C94">
            <w:pPr>
              <w:pStyle w:val="3361"/>
              <w:rPr>
                <w:color w:val="auto"/>
              </w:rPr>
            </w:pPr>
            <w:r>
              <w:rPr>
                <w:rFonts w:hint="eastAsia"/>
                <w:color w:val="auto"/>
              </w:rPr>
              <w:t>生活垃圾：依托现有生活垃圾收集设施，生活垃圾集中收集后交环卫部门处置</w:t>
            </w:r>
          </w:p>
        </w:tc>
        <w:tc>
          <w:tcPr>
            <w:tcW w:w="398" w:type="pct"/>
            <w:vAlign w:val="center"/>
          </w:tcPr>
          <w:p w14:paraId="36C0AF4D">
            <w:pPr>
              <w:pStyle w:val="3361"/>
              <w:rPr>
                <w:rFonts w:hint="eastAsia" w:eastAsia="宋体"/>
                <w:color w:val="auto"/>
                <w:lang w:eastAsia="zh-CN"/>
              </w:rPr>
            </w:pPr>
            <w:r>
              <w:rPr>
                <w:rFonts w:hint="eastAsia"/>
                <w:color w:val="auto"/>
                <w:lang w:eastAsia="zh-CN"/>
              </w:rPr>
              <w:t>新建</w:t>
            </w:r>
          </w:p>
        </w:tc>
      </w:tr>
      <w:tr w14:paraId="322F0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8" w:type="pct"/>
            <w:vMerge w:val="continue"/>
            <w:vAlign w:val="center"/>
          </w:tcPr>
          <w:p w14:paraId="2368D50C">
            <w:pPr>
              <w:pStyle w:val="3361"/>
              <w:rPr>
                <w:color w:val="auto"/>
              </w:rPr>
            </w:pPr>
          </w:p>
        </w:tc>
        <w:tc>
          <w:tcPr>
            <w:tcW w:w="506" w:type="pct"/>
            <w:shd w:val="clear" w:color="auto" w:fill="auto"/>
            <w:vAlign w:val="center"/>
          </w:tcPr>
          <w:p w14:paraId="7A2A4C2C">
            <w:pPr>
              <w:pStyle w:val="3361"/>
              <w:rPr>
                <w:color w:val="auto"/>
              </w:rPr>
            </w:pPr>
            <w:r>
              <w:rPr>
                <w:rFonts w:hint="eastAsia"/>
                <w:color w:val="auto"/>
              </w:rPr>
              <w:t>地下水和土壤</w:t>
            </w:r>
          </w:p>
        </w:tc>
        <w:tc>
          <w:tcPr>
            <w:tcW w:w="4244" w:type="pct"/>
            <w:gridSpan w:val="2"/>
            <w:shd w:val="clear" w:color="auto" w:fill="auto"/>
            <w:vAlign w:val="center"/>
          </w:tcPr>
          <w:p w14:paraId="7B457B6A">
            <w:pPr>
              <w:pStyle w:val="3361"/>
              <w:rPr>
                <w:color w:val="auto"/>
              </w:rPr>
            </w:pPr>
            <w:r>
              <w:rPr>
                <w:rFonts w:hint="eastAsia"/>
                <w:color w:val="auto"/>
              </w:rPr>
              <w:t>按地下水分区防渗相关要求采取分区防渗措施；罐区设置围堰，厂区设置事故池，并采取重点防渗措施；定期对地下水和土壤进行跟踪监测</w:t>
            </w:r>
          </w:p>
        </w:tc>
      </w:tr>
      <w:tr w14:paraId="7B473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8" w:type="pct"/>
            <w:vMerge w:val="continue"/>
            <w:vAlign w:val="center"/>
          </w:tcPr>
          <w:p w14:paraId="138F7EB6">
            <w:pPr>
              <w:pStyle w:val="3361"/>
              <w:rPr>
                <w:color w:val="auto"/>
              </w:rPr>
            </w:pPr>
          </w:p>
        </w:tc>
        <w:tc>
          <w:tcPr>
            <w:tcW w:w="506" w:type="pct"/>
            <w:shd w:val="clear" w:color="auto" w:fill="auto"/>
            <w:vAlign w:val="center"/>
          </w:tcPr>
          <w:p w14:paraId="44E610BC">
            <w:pPr>
              <w:pStyle w:val="3361"/>
              <w:rPr>
                <w:color w:val="auto"/>
              </w:rPr>
            </w:pPr>
            <w:r>
              <w:rPr>
                <w:rFonts w:hint="eastAsia"/>
                <w:color w:val="auto"/>
              </w:rPr>
              <w:t>环境风险</w:t>
            </w:r>
          </w:p>
        </w:tc>
        <w:tc>
          <w:tcPr>
            <w:tcW w:w="4244" w:type="pct"/>
            <w:gridSpan w:val="2"/>
            <w:shd w:val="clear" w:color="auto" w:fill="auto"/>
            <w:vAlign w:val="center"/>
          </w:tcPr>
          <w:p w14:paraId="6BA941EB">
            <w:pPr>
              <w:pStyle w:val="3361"/>
              <w:rPr>
                <w:color w:val="auto"/>
              </w:rPr>
            </w:pPr>
            <w:r>
              <w:rPr>
                <w:rFonts w:hint="eastAsia"/>
                <w:color w:val="auto"/>
              </w:rPr>
              <w:t>①加强管理，定期巡检、调节、保养、维修；严格控制处理单元的相关工艺参数，确保处理效果的稳定性；</w:t>
            </w:r>
          </w:p>
          <w:p w14:paraId="0AD1E37E">
            <w:pPr>
              <w:pStyle w:val="3361"/>
              <w:rPr>
                <w:color w:val="auto"/>
              </w:rPr>
            </w:pPr>
            <w:r>
              <w:rPr>
                <w:rFonts w:hint="eastAsia"/>
                <w:color w:val="auto"/>
              </w:rPr>
              <w:t>②严格按照地下水和土壤污染防治措施要求，对厂区进行防渗分区，并严格落实各区域的分区防渗措施；</w:t>
            </w:r>
          </w:p>
          <w:p w14:paraId="08EBC27F">
            <w:pPr>
              <w:pStyle w:val="3361"/>
              <w:rPr>
                <w:color w:val="auto"/>
              </w:rPr>
            </w:pPr>
            <w:r>
              <w:rPr>
                <w:rFonts w:hint="eastAsia"/>
                <w:color w:val="auto"/>
              </w:rPr>
              <w:t>③污泥贮存库和盐贮存库应按《危险废物贮存污染控制标准》（GB 18597-2023）相关要求设置，采取必要的防风、防晒、防雨、防漏、防渗、防腐以及其他环境污染防治措施；</w:t>
            </w:r>
          </w:p>
          <w:p w14:paraId="387FC9ED">
            <w:pPr>
              <w:pStyle w:val="3361"/>
              <w:rPr>
                <w:color w:val="auto"/>
              </w:rPr>
            </w:pPr>
            <w:r>
              <w:rPr>
                <w:rFonts w:hint="eastAsia"/>
                <w:color w:val="auto"/>
              </w:rPr>
              <w:t>④页岩气开采废水卸水和浓水装车过程均采取全密闭管道装卸方式，废水卸车区和浓水装车区设置环形应急收集沟，就近接入废水收集池；罐区设置围堰，</w:t>
            </w:r>
            <w:r>
              <w:rPr>
                <w:rFonts w:hint="eastAsia"/>
                <w:color w:val="auto"/>
                <w:lang w:eastAsia="zh-CN"/>
              </w:rPr>
              <w:t>厂区南侧新建1座事故池</w:t>
            </w:r>
            <w:r>
              <w:rPr>
                <w:rFonts w:hint="eastAsia"/>
                <w:color w:val="auto"/>
              </w:rPr>
              <w:t>，有效容积不低于</w:t>
            </w:r>
            <w:r>
              <w:rPr>
                <w:rFonts w:hint="eastAsia"/>
                <w:color w:val="auto"/>
                <w:lang w:val="en-US" w:eastAsia="zh-CN"/>
              </w:rPr>
              <w:t>1</w:t>
            </w:r>
            <w:r>
              <w:rPr>
                <w:rFonts w:hint="eastAsia"/>
                <w:color w:val="auto"/>
                <w:lang w:val="en-US"/>
              </w:rPr>
              <w:t>000</w:t>
            </w:r>
            <w:r>
              <w:rPr>
                <w:rFonts w:hint="eastAsia"/>
                <w:color w:val="auto"/>
              </w:rPr>
              <w:t>m</w:t>
            </w:r>
            <w:r>
              <w:rPr>
                <w:rFonts w:hint="eastAsia"/>
                <w:color w:val="auto"/>
                <w:vertAlign w:val="superscript"/>
              </w:rPr>
              <w:t>3</w:t>
            </w:r>
            <w:r>
              <w:rPr>
                <w:rFonts w:hint="eastAsia"/>
                <w:color w:val="auto"/>
              </w:rPr>
              <w:t>；</w:t>
            </w:r>
          </w:p>
          <w:p w14:paraId="7F0DFE4E">
            <w:pPr>
              <w:pStyle w:val="3361"/>
              <w:jc w:val="left"/>
              <w:rPr>
                <w:color w:val="auto"/>
              </w:rPr>
            </w:pPr>
            <w:r>
              <w:rPr>
                <w:rFonts w:hint="eastAsia"/>
                <w:color w:val="auto"/>
              </w:rPr>
              <w:t>⑤</w:t>
            </w:r>
            <w:r>
              <w:rPr>
                <w:rFonts w:hint="eastAsia"/>
                <w:color w:val="auto"/>
                <w:lang w:eastAsia="zh-CN"/>
              </w:rPr>
              <w:t>编制突发事件环境风险评估及应急预案</w:t>
            </w:r>
            <w:r>
              <w:rPr>
                <w:rFonts w:hint="eastAsia"/>
                <w:color w:val="auto"/>
              </w:rPr>
              <w:t>，并报区生态环境局备案。</w:t>
            </w:r>
          </w:p>
        </w:tc>
      </w:tr>
    </w:tbl>
    <w:p w14:paraId="1D56B379">
      <w:pPr>
        <w:spacing w:line="360" w:lineRule="auto"/>
        <w:ind w:firstLine="480"/>
        <w:rPr>
          <w:color w:val="auto"/>
          <w:szCs w:val="24"/>
          <w:lang w:val="zh-CN"/>
        </w:rPr>
      </w:pPr>
    </w:p>
    <w:p w14:paraId="265A5AF1">
      <w:pPr>
        <w:spacing w:line="360" w:lineRule="auto"/>
        <w:ind w:firstLine="480"/>
        <w:rPr>
          <w:color w:val="auto"/>
          <w:szCs w:val="24"/>
          <w:lang w:val="zh-CN"/>
        </w:rPr>
      </w:pPr>
      <w:r>
        <w:rPr>
          <w:rFonts w:hint="eastAsia"/>
          <w:color w:val="auto"/>
          <w:szCs w:val="24"/>
          <w:lang w:val="zh-CN"/>
        </w:rPr>
        <w:t>（2）项目</w:t>
      </w:r>
      <w:r>
        <w:rPr>
          <w:color w:val="auto"/>
          <w:szCs w:val="24"/>
          <w:lang w:val="zh-CN"/>
        </w:rPr>
        <w:t>原辅材料</w:t>
      </w:r>
      <w:r>
        <w:rPr>
          <w:rFonts w:hint="eastAsia"/>
          <w:color w:val="auto"/>
          <w:szCs w:val="24"/>
          <w:lang w:val="zh-CN"/>
        </w:rPr>
        <w:t>消耗</w:t>
      </w:r>
      <w:r>
        <w:rPr>
          <w:color w:val="auto"/>
          <w:szCs w:val="24"/>
          <w:lang w:val="zh-CN"/>
        </w:rPr>
        <w:t>情况</w:t>
      </w:r>
    </w:p>
    <w:p w14:paraId="1CBFCFDB">
      <w:pPr>
        <w:spacing w:line="360" w:lineRule="auto"/>
        <w:ind w:firstLine="198" w:firstLineChars="82"/>
        <w:jc w:val="center"/>
        <w:rPr>
          <w:b/>
          <w:snapToGrid w:val="0"/>
          <w:color w:val="auto"/>
          <w:kern w:val="0"/>
          <w:szCs w:val="24"/>
        </w:rPr>
      </w:pPr>
      <w:r>
        <w:rPr>
          <w:b/>
          <w:snapToGrid w:val="0"/>
          <w:color w:val="auto"/>
          <w:kern w:val="0"/>
          <w:szCs w:val="24"/>
        </w:rPr>
        <w:t xml:space="preserve">表10.4-2  </w:t>
      </w:r>
      <w:r>
        <w:rPr>
          <w:rFonts w:hint="eastAsia"/>
          <w:b/>
          <w:snapToGrid w:val="0"/>
          <w:color w:val="auto"/>
          <w:kern w:val="0"/>
          <w:szCs w:val="24"/>
        </w:rPr>
        <w:t>拟建项目</w:t>
      </w:r>
      <w:r>
        <w:rPr>
          <w:b/>
          <w:snapToGrid w:val="0"/>
          <w:color w:val="auto"/>
          <w:kern w:val="0"/>
          <w:szCs w:val="24"/>
        </w:rPr>
        <w:t>主要原辅材料消耗一览表</w:t>
      </w:r>
    </w:p>
    <w:tbl>
      <w:tblPr>
        <w:tblStyle w:val="88"/>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560"/>
        <w:gridCol w:w="1134"/>
        <w:gridCol w:w="1304"/>
        <w:gridCol w:w="1389"/>
        <w:gridCol w:w="3224"/>
      </w:tblGrid>
      <w:tr w14:paraId="5F281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shd w:val="clear" w:color="auto" w:fill="auto"/>
            <w:vAlign w:val="center"/>
          </w:tcPr>
          <w:p w14:paraId="5AF38159">
            <w:pPr>
              <w:spacing w:line="240" w:lineRule="auto"/>
              <w:ind w:firstLine="0" w:firstLineChars="0"/>
              <w:jc w:val="center"/>
              <w:rPr>
                <w:color w:val="auto"/>
                <w:sz w:val="21"/>
                <w:szCs w:val="21"/>
              </w:rPr>
            </w:pPr>
            <w:r>
              <w:rPr>
                <w:rFonts w:hint="eastAsia"/>
                <w:color w:val="auto"/>
                <w:sz w:val="21"/>
                <w:szCs w:val="21"/>
              </w:rPr>
              <w:t>序号</w:t>
            </w:r>
          </w:p>
        </w:tc>
        <w:tc>
          <w:tcPr>
            <w:tcW w:w="1560" w:type="dxa"/>
            <w:shd w:val="clear" w:color="auto" w:fill="auto"/>
            <w:vAlign w:val="center"/>
          </w:tcPr>
          <w:p w14:paraId="009A8C28">
            <w:pPr>
              <w:spacing w:line="240" w:lineRule="auto"/>
              <w:ind w:firstLine="0" w:firstLineChars="0"/>
              <w:jc w:val="center"/>
              <w:rPr>
                <w:color w:val="auto"/>
                <w:sz w:val="21"/>
                <w:szCs w:val="21"/>
              </w:rPr>
            </w:pPr>
            <w:r>
              <w:rPr>
                <w:rFonts w:hint="eastAsia"/>
                <w:color w:val="auto"/>
                <w:sz w:val="21"/>
                <w:szCs w:val="21"/>
              </w:rPr>
              <w:t>物料名称</w:t>
            </w:r>
          </w:p>
        </w:tc>
        <w:tc>
          <w:tcPr>
            <w:tcW w:w="1134" w:type="dxa"/>
            <w:shd w:val="clear" w:color="auto" w:fill="auto"/>
            <w:vAlign w:val="center"/>
          </w:tcPr>
          <w:p w14:paraId="7F9AFF3D">
            <w:pPr>
              <w:spacing w:line="240" w:lineRule="auto"/>
              <w:ind w:firstLine="0" w:firstLineChars="0"/>
              <w:jc w:val="center"/>
              <w:rPr>
                <w:color w:val="auto"/>
                <w:sz w:val="21"/>
                <w:szCs w:val="21"/>
              </w:rPr>
            </w:pPr>
            <w:r>
              <w:rPr>
                <w:rFonts w:hint="eastAsia"/>
                <w:color w:val="auto"/>
                <w:sz w:val="21"/>
                <w:szCs w:val="21"/>
              </w:rPr>
              <w:t>物料形状</w:t>
            </w:r>
          </w:p>
        </w:tc>
        <w:tc>
          <w:tcPr>
            <w:tcW w:w="1304" w:type="dxa"/>
            <w:vAlign w:val="center"/>
          </w:tcPr>
          <w:p w14:paraId="29006DDA">
            <w:pPr>
              <w:spacing w:line="240" w:lineRule="auto"/>
              <w:ind w:firstLine="0" w:firstLineChars="0"/>
              <w:jc w:val="center"/>
              <w:rPr>
                <w:color w:val="auto"/>
                <w:sz w:val="21"/>
                <w:szCs w:val="21"/>
              </w:rPr>
            </w:pPr>
            <w:r>
              <w:rPr>
                <w:rFonts w:hint="eastAsia"/>
                <w:color w:val="auto"/>
                <w:sz w:val="21"/>
                <w:szCs w:val="21"/>
              </w:rPr>
              <w:t>年用量</w:t>
            </w:r>
            <w:r>
              <w:rPr>
                <w:rFonts w:hint="eastAsia"/>
                <w:color w:val="auto"/>
                <w:sz w:val="21"/>
                <w:szCs w:val="21"/>
                <w:lang w:eastAsia="zh-CN"/>
              </w:rPr>
              <w:t>（</w:t>
            </w:r>
            <w:r>
              <w:rPr>
                <w:rFonts w:hint="eastAsia"/>
                <w:color w:val="auto"/>
                <w:sz w:val="21"/>
                <w:szCs w:val="21"/>
              </w:rPr>
              <w:t>t/a</w:t>
            </w:r>
            <w:r>
              <w:rPr>
                <w:rFonts w:hint="eastAsia"/>
                <w:color w:val="auto"/>
                <w:sz w:val="21"/>
                <w:szCs w:val="21"/>
                <w:lang w:eastAsia="zh-CN"/>
              </w:rPr>
              <w:t>）</w:t>
            </w:r>
          </w:p>
        </w:tc>
        <w:tc>
          <w:tcPr>
            <w:tcW w:w="1389" w:type="dxa"/>
            <w:vAlign w:val="center"/>
          </w:tcPr>
          <w:p w14:paraId="61548E3B">
            <w:pPr>
              <w:spacing w:line="240" w:lineRule="auto"/>
              <w:ind w:firstLine="0" w:firstLineChars="0"/>
              <w:jc w:val="center"/>
              <w:rPr>
                <w:color w:val="auto"/>
                <w:sz w:val="21"/>
                <w:szCs w:val="21"/>
              </w:rPr>
            </w:pPr>
            <w:r>
              <w:rPr>
                <w:rFonts w:hint="eastAsia"/>
                <w:color w:val="auto"/>
                <w:sz w:val="21"/>
                <w:szCs w:val="21"/>
              </w:rPr>
              <w:t>储存量t</w:t>
            </w:r>
          </w:p>
        </w:tc>
        <w:tc>
          <w:tcPr>
            <w:tcW w:w="3224" w:type="dxa"/>
            <w:vAlign w:val="center"/>
          </w:tcPr>
          <w:p w14:paraId="6199D982">
            <w:pPr>
              <w:spacing w:line="240" w:lineRule="auto"/>
              <w:ind w:firstLine="0" w:firstLineChars="0"/>
              <w:jc w:val="center"/>
              <w:rPr>
                <w:color w:val="auto"/>
                <w:sz w:val="21"/>
                <w:szCs w:val="21"/>
              </w:rPr>
            </w:pPr>
            <w:r>
              <w:rPr>
                <w:rFonts w:hint="eastAsia"/>
                <w:color w:val="auto"/>
                <w:sz w:val="21"/>
                <w:szCs w:val="21"/>
              </w:rPr>
              <w:t>厂区储存位置</w:t>
            </w:r>
          </w:p>
        </w:tc>
      </w:tr>
      <w:tr w14:paraId="32AB5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shd w:val="clear" w:color="auto" w:fill="auto"/>
            <w:vAlign w:val="center"/>
          </w:tcPr>
          <w:p w14:paraId="156EE8B7">
            <w:pPr>
              <w:spacing w:line="240" w:lineRule="auto"/>
              <w:ind w:firstLine="0" w:firstLineChars="0"/>
              <w:jc w:val="center"/>
              <w:rPr>
                <w:color w:val="auto"/>
                <w:sz w:val="21"/>
                <w:szCs w:val="21"/>
              </w:rPr>
            </w:pPr>
            <w:r>
              <w:rPr>
                <w:rFonts w:hint="eastAsia"/>
                <w:color w:val="auto"/>
                <w:sz w:val="21"/>
                <w:szCs w:val="21"/>
              </w:rPr>
              <w:t>1</w:t>
            </w:r>
          </w:p>
        </w:tc>
        <w:tc>
          <w:tcPr>
            <w:tcW w:w="1560" w:type="dxa"/>
            <w:shd w:val="clear" w:color="auto" w:fill="auto"/>
            <w:vAlign w:val="center"/>
          </w:tcPr>
          <w:p w14:paraId="55975D3F">
            <w:pPr>
              <w:spacing w:line="240" w:lineRule="auto"/>
              <w:ind w:firstLine="0" w:firstLineChars="0"/>
              <w:jc w:val="center"/>
              <w:rPr>
                <w:color w:val="auto"/>
                <w:sz w:val="21"/>
                <w:szCs w:val="21"/>
              </w:rPr>
            </w:pPr>
            <w:r>
              <w:rPr>
                <w:rFonts w:hint="eastAsia"/>
                <w:color w:val="auto"/>
                <w:sz w:val="21"/>
                <w:szCs w:val="21"/>
              </w:rPr>
              <w:t>PAC</w:t>
            </w:r>
          </w:p>
        </w:tc>
        <w:tc>
          <w:tcPr>
            <w:tcW w:w="1134" w:type="dxa"/>
            <w:shd w:val="clear" w:color="auto" w:fill="auto"/>
            <w:vAlign w:val="center"/>
          </w:tcPr>
          <w:p w14:paraId="58AD63D4">
            <w:pPr>
              <w:spacing w:line="240" w:lineRule="auto"/>
              <w:ind w:firstLine="0" w:firstLineChars="0"/>
              <w:jc w:val="center"/>
              <w:rPr>
                <w:color w:val="auto"/>
                <w:sz w:val="21"/>
                <w:szCs w:val="21"/>
              </w:rPr>
            </w:pPr>
            <w:r>
              <w:rPr>
                <w:rFonts w:hint="eastAsia"/>
                <w:color w:val="auto"/>
                <w:sz w:val="21"/>
                <w:szCs w:val="21"/>
              </w:rPr>
              <w:t>固态</w:t>
            </w:r>
          </w:p>
        </w:tc>
        <w:tc>
          <w:tcPr>
            <w:tcW w:w="1304" w:type="dxa"/>
            <w:vAlign w:val="center"/>
          </w:tcPr>
          <w:p w14:paraId="0E44D47F">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70</w:t>
            </w:r>
          </w:p>
        </w:tc>
        <w:tc>
          <w:tcPr>
            <w:tcW w:w="1389" w:type="dxa"/>
            <w:vAlign w:val="center"/>
          </w:tcPr>
          <w:p w14:paraId="318AB3EB">
            <w:pPr>
              <w:spacing w:line="240" w:lineRule="auto"/>
              <w:ind w:firstLine="0" w:firstLineChars="0"/>
              <w:jc w:val="center"/>
              <w:rPr>
                <w:color w:val="auto"/>
                <w:sz w:val="21"/>
                <w:szCs w:val="21"/>
              </w:rPr>
            </w:pPr>
            <w:r>
              <w:rPr>
                <w:rFonts w:hint="eastAsia"/>
                <w:color w:val="auto"/>
                <w:sz w:val="21"/>
                <w:szCs w:val="21"/>
              </w:rPr>
              <w:t>5</w:t>
            </w:r>
          </w:p>
        </w:tc>
        <w:tc>
          <w:tcPr>
            <w:tcW w:w="3224" w:type="dxa"/>
            <w:vAlign w:val="center"/>
          </w:tcPr>
          <w:p w14:paraId="7571E46E">
            <w:pPr>
              <w:spacing w:line="240" w:lineRule="auto"/>
              <w:ind w:firstLine="0" w:firstLineChars="0"/>
              <w:jc w:val="center"/>
              <w:rPr>
                <w:rFonts w:hint="eastAsia"/>
                <w:color w:val="auto"/>
                <w:sz w:val="21"/>
                <w:szCs w:val="21"/>
              </w:rPr>
            </w:pPr>
            <w:r>
              <w:rPr>
                <w:rFonts w:hint="eastAsia"/>
                <w:color w:val="auto"/>
                <w:sz w:val="21"/>
                <w:szCs w:val="21"/>
              </w:rPr>
              <w:t>药品储存间，25kg/袋</w:t>
            </w:r>
          </w:p>
        </w:tc>
      </w:tr>
      <w:tr w14:paraId="3E538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shd w:val="clear" w:color="auto" w:fill="auto"/>
            <w:vAlign w:val="center"/>
          </w:tcPr>
          <w:p w14:paraId="0E00E457">
            <w:pPr>
              <w:spacing w:line="240" w:lineRule="auto"/>
              <w:ind w:firstLine="0" w:firstLineChars="0"/>
              <w:jc w:val="center"/>
              <w:rPr>
                <w:color w:val="auto"/>
                <w:sz w:val="21"/>
                <w:szCs w:val="21"/>
              </w:rPr>
            </w:pPr>
            <w:r>
              <w:rPr>
                <w:rFonts w:hint="eastAsia"/>
                <w:color w:val="auto"/>
                <w:sz w:val="21"/>
                <w:szCs w:val="21"/>
              </w:rPr>
              <w:t>2</w:t>
            </w:r>
          </w:p>
        </w:tc>
        <w:tc>
          <w:tcPr>
            <w:tcW w:w="1560" w:type="dxa"/>
            <w:shd w:val="clear" w:color="auto" w:fill="auto"/>
            <w:vAlign w:val="center"/>
          </w:tcPr>
          <w:p w14:paraId="2DDAC36A">
            <w:pPr>
              <w:spacing w:line="240" w:lineRule="auto"/>
              <w:ind w:firstLine="0" w:firstLineChars="0"/>
              <w:jc w:val="center"/>
              <w:rPr>
                <w:color w:val="auto"/>
                <w:sz w:val="21"/>
                <w:szCs w:val="21"/>
              </w:rPr>
            </w:pPr>
            <w:r>
              <w:rPr>
                <w:rFonts w:hint="eastAsia"/>
                <w:color w:val="auto"/>
                <w:sz w:val="21"/>
                <w:szCs w:val="21"/>
              </w:rPr>
              <w:t>PAM</w:t>
            </w:r>
          </w:p>
        </w:tc>
        <w:tc>
          <w:tcPr>
            <w:tcW w:w="1134" w:type="dxa"/>
            <w:shd w:val="clear" w:color="auto" w:fill="auto"/>
            <w:vAlign w:val="center"/>
          </w:tcPr>
          <w:p w14:paraId="5B851B37">
            <w:pPr>
              <w:spacing w:line="240" w:lineRule="auto"/>
              <w:ind w:firstLine="0" w:firstLineChars="0"/>
              <w:jc w:val="center"/>
              <w:rPr>
                <w:color w:val="auto"/>
                <w:sz w:val="21"/>
                <w:szCs w:val="21"/>
              </w:rPr>
            </w:pPr>
            <w:r>
              <w:rPr>
                <w:rFonts w:hint="eastAsia"/>
                <w:color w:val="auto"/>
                <w:sz w:val="21"/>
                <w:szCs w:val="21"/>
              </w:rPr>
              <w:t>固态</w:t>
            </w:r>
          </w:p>
        </w:tc>
        <w:tc>
          <w:tcPr>
            <w:tcW w:w="1304" w:type="dxa"/>
            <w:vAlign w:val="center"/>
          </w:tcPr>
          <w:p w14:paraId="0B042FE5">
            <w:pPr>
              <w:spacing w:line="240" w:lineRule="auto"/>
              <w:ind w:firstLine="0" w:firstLineChars="0"/>
              <w:jc w:val="center"/>
              <w:rPr>
                <w:color w:val="auto"/>
                <w:sz w:val="21"/>
                <w:szCs w:val="21"/>
              </w:rPr>
            </w:pPr>
            <w:r>
              <w:rPr>
                <w:rFonts w:hint="eastAsia"/>
                <w:color w:val="auto"/>
                <w:sz w:val="21"/>
                <w:szCs w:val="21"/>
              </w:rPr>
              <w:t>12</w:t>
            </w:r>
          </w:p>
        </w:tc>
        <w:tc>
          <w:tcPr>
            <w:tcW w:w="1389" w:type="dxa"/>
            <w:vAlign w:val="center"/>
          </w:tcPr>
          <w:p w14:paraId="240EAACA">
            <w:pPr>
              <w:spacing w:line="240" w:lineRule="auto"/>
              <w:ind w:firstLine="0" w:firstLineChars="0"/>
              <w:jc w:val="center"/>
              <w:rPr>
                <w:color w:val="auto"/>
                <w:sz w:val="21"/>
                <w:szCs w:val="21"/>
              </w:rPr>
            </w:pPr>
            <w:r>
              <w:rPr>
                <w:rFonts w:hint="eastAsia"/>
                <w:color w:val="auto"/>
                <w:sz w:val="21"/>
                <w:szCs w:val="21"/>
              </w:rPr>
              <w:t>1</w:t>
            </w:r>
          </w:p>
        </w:tc>
        <w:tc>
          <w:tcPr>
            <w:tcW w:w="3224" w:type="dxa"/>
            <w:vAlign w:val="center"/>
          </w:tcPr>
          <w:p w14:paraId="7958D90C">
            <w:pPr>
              <w:spacing w:line="240" w:lineRule="auto"/>
              <w:ind w:firstLine="0" w:firstLineChars="0"/>
              <w:jc w:val="center"/>
              <w:rPr>
                <w:rFonts w:hint="eastAsia"/>
                <w:color w:val="auto"/>
                <w:sz w:val="21"/>
                <w:szCs w:val="21"/>
              </w:rPr>
            </w:pPr>
            <w:r>
              <w:rPr>
                <w:rFonts w:hint="eastAsia"/>
                <w:color w:val="auto"/>
                <w:sz w:val="21"/>
                <w:szCs w:val="21"/>
              </w:rPr>
              <w:t>药品储存间，25kg/袋</w:t>
            </w:r>
          </w:p>
        </w:tc>
      </w:tr>
      <w:tr w14:paraId="0256E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shd w:val="clear" w:color="auto" w:fill="auto"/>
            <w:vAlign w:val="center"/>
          </w:tcPr>
          <w:p w14:paraId="4DCCAEE7">
            <w:pPr>
              <w:spacing w:line="240" w:lineRule="auto"/>
              <w:ind w:firstLine="0" w:firstLineChars="0"/>
              <w:jc w:val="center"/>
              <w:rPr>
                <w:color w:val="auto"/>
                <w:sz w:val="21"/>
                <w:szCs w:val="21"/>
              </w:rPr>
            </w:pPr>
            <w:r>
              <w:rPr>
                <w:rFonts w:hint="eastAsia"/>
                <w:color w:val="auto"/>
                <w:sz w:val="21"/>
                <w:szCs w:val="21"/>
              </w:rPr>
              <w:t>3</w:t>
            </w:r>
          </w:p>
        </w:tc>
        <w:tc>
          <w:tcPr>
            <w:tcW w:w="1560" w:type="dxa"/>
            <w:shd w:val="clear" w:color="auto" w:fill="auto"/>
            <w:vAlign w:val="center"/>
          </w:tcPr>
          <w:p w14:paraId="75D55597">
            <w:pPr>
              <w:spacing w:line="240" w:lineRule="auto"/>
              <w:ind w:firstLine="0" w:firstLineChars="0"/>
              <w:jc w:val="center"/>
              <w:rPr>
                <w:color w:val="auto"/>
                <w:sz w:val="21"/>
                <w:szCs w:val="21"/>
              </w:rPr>
            </w:pPr>
            <w:r>
              <w:rPr>
                <w:rFonts w:hint="eastAsia"/>
                <w:color w:val="auto"/>
                <w:sz w:val="21"/>
                <w:szCs w:val="21"/>
              </w:rPr>
              <w:t>碳酸钠</w:t>
            </w:r>
          </w:p>
        </w:tc>
        <w:tc>
          <w:tcPr>
            <w:tcW w:w="1134" w:type="dxa"/>
            <w:shd w:val="clear" w:color="auto" w:fill="auto"/>
            <w:vAlign w:val="center"/>
          </w:tcPr>
          <w:p w14:paraId="60C8B842">
            <w:pPr>
              <w:spacing w:line="240" w:lineRule="auto"/>
              <w:ind w:firstLine="0" w:firstLineChars="0"/>
              <w:jc w:val="center"/>
              <w:rPr>
                <w:color w:val="auto"/>
                <w:sz w:val="21"/>
                <w:szCs w:val="21"/>
              </w:rPr>
            </w:pPr>
            <w:r>
              <w:rPr>
                <w:rFonts w:hint="eastAsia"/>
                <w:color w:val="auto"/>
                <w:sz w:val="21"/>
                <w:szCs w:val="21"/>
              </w:rPr>
              <w:t>固态</w:t>
            </w:r>
          </w:p>
        </w:tc>
        <w:tc>
          <w:tcPr>
            <w:tcW w:w="1304" w:type="dxa"/>
            <w:vAlign w:val="center"/>
          </w:tcPr>
          <w:p w14:paraId="32AD92CB">
            <w:pPr>
              <w:spacing w:line="240" w:lineRule="auto"/>
              <w:ind w:firstLine="0" w:firstLineChars="0"/>
              <w:jc w:val="center"/>
              <w:rPr>
                <w:rFonts w:hint="default" w:eastAsia="宋体"/>
                <w:color w:val="auto"/>
                <w:sz w:val="21"/>
                <w:szCs w:val="21"/>
                <w:lang w:val="en-US" w:eastAsia="zh-CN"/>
              </w:rPr>
            </w:pPr>
            <w:r>
              <w:rPr>
                <w:rFonts w:hint="eastAsia"/>
                <w:color w:val="auto"/>
                <w:sz w:val="21"/>
                <w:szCs w:val="21"/>
              </w:rPr>
              <w:t>2</w:t>
            </w:r>
            <w:r>
              <w:rPr>
                <w:rFonts w:hint="eastAsia"/>
                <w:color w:val="auto"/>
                <w:sz w:val="21"/>
                <w:szCs w:val="21"/>
                <w:lang w:val="en-US" w:eastAsia="zh-CN"/>
              </w:rPr>
              <w:t>00</w:t>
            </w:r>
          </w:p>
        </w:tc>
        <w:tc>
          <w:tcPr>
            <w:tcW w:w="1389" w:type="dxa"/>
            <w:vAlign w:val="center"/>
          </w:tcPr>
          <w:p w14:paraId="65AAE421">
            <w:pPr>
              <w:spacing w:line="240" w:lineRule="auto"/>
              <w:ind w:firstLine="0" w:firstLineChars="0"/>
              <w:jc w:val="center"/>
              <w:rPr>
                <w:color w:val="auto"/>
                <w:sz w:val="21"/>
                <w:szCs w:val="21"/>
              </w:rPr>
            </w:pPr>
            <w:r>
              <w:rPr>
                <w:rFonts w:hint="eastAsia"/>
                <w:color w:val="auto"/>
                <w:sz w:val="21"/>
                <w:szCs w:val="21"/>
              </w:rPr>
              <w:t>20</w:t>
            </w:r>
          </w:p>
        </w:tc>
        <w:tc>
          <w:tcPr>
            <w:tcW w:w="3224" w:type="dxa"/>
            <w:vAlign w:val="center"/>
          </w:tcPr>
          <w:p w14:paraId="0F620388">
            <w:pPr>
              <w:spacing w:line="240" w:lineRule="auto"/>
              <w:ind w:firstLine="0" w:firstLineChars="0"/>
              <w:jc w:val="center"/>
              <w:rPr>
                <w:color w:val="auto"/>
                <w:sz w:val="21"/>
                <w:szCs w:val="21"/>
              </w:rPr>
            </w:pPr>
            <w:r>
              <w:rPr>
                <w:rFonts w:hint="eastAsia"/>
                <w:color w:val="auto"/>
                <w:sz w:val="21"/>
                <w:szCs w:val="21"/>
              </w:rPr>
              <w:t>药品储存间，25kg/袋</w:t>
            </w:r>
          </w:p>
        </w:tc>
      </w:tr>
      <w:tr w14:paraId="591BF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shd w:val="clear" w:color="auto" w:fill="auto"/>
            <w:vAlign w:val="center"/>
          </w:tcPr>
          <w:p w14:paraId="0410BA64">
            <w:pPr>
              <w:spacing w:line="240" w:lineRule="auto"/>
              <w:ind w:firstLine="0" w:firstLineChars="0"/>
              <w:jc w:val="center"/>
              <w:rPr>
                <w:color w:val="auto"/>
                <w:sz w:val="21"/>
                <w:szCs w:val="21"/>
              </w:rPr>
            </w:pPr>
            <w:r>
              <w:rPr>
                <w:rFonts w:hint="eastAsia"/>
                <w:color w:val="auto"/>
                <w:sz w:val="21"/>
                <w:szCs w:val="21"/>
              </w:rPr>
              <w:t>4</w:t>
            </w:r>
          </w:p>
        </w:tc>
        <w:tc>
          <w:tcPr>
            <w:tcW w:w="1560" w:type="dxa"/>
            <w:shd w:val="clear" w:color="auto" w:fill="auto"/>
            <w:vAlign w:val="center"/>
          </w:tcPr>
          <w:p w14:paraId="650888E6">
            <w:pPr>
              <w:spacing w:line="240" w:lineRule="auto"/>
              <w:ind w:firstLine="0" w:firstLineChars="0"/>
              <w:jc w:val="center"/>
              <w:rPr>
                <w:color w:val="auto"/>
                <w:sz w:val="21"/>
                <w:szCs w:val="21"/>
              </w:rPr>
            </w:pPr>
            <w:r>
              <w:rPr>
                <w:rFonts w:hint="eastAsia"/>
                <w:color w:val="auto"/>
                <w:sz w:val="21"/>
                <w:szCs w:val="21"/>
              </w:rPr>
              <w:t>氢氧化钠（片碱）</w:t>
            </w:r>
          </w:p>
        </w:tc>
        <w:tc>
          <w:tcPr>
            <w:tcW w:w="1134" w:type="dxa"/>
            <w:shd w:val="clear" w:color="auto" w:fill="auto"/>
            <w:vAlign w:val="center"/>
          </w:tcPr>
          <w:p w14:paraId="700953F7">
            <w:pPr>
              <w:spacing w:line="240" w:lineRule="auto"/>
              <w:ind w:firstLine="0" w:firstLineChars="0"/>
              <w:jc w:val="center"/>
              <w:rPr>
                <w:color w:val="auto"/>
                <w:sz w:val="21"/>
                <w:szCs w:val="21"/>
              </w:rPr>
            </w:pPr>
            <w:r>
              <w:rPr>
                <w:rFonts w:hint="eastAsia"/>
                <w:color w:val="auto"/>
                <w:sz w:val="21"/>
                <w:szCs w:val="21"/>
              </w:rPr>
              <w:t>固态</w:t>
            </w:r>
          </w:p>
        </w:tc>
        <w:tc>
          <w:tcPr>
            <w:tcW w:w="1304" w:type="dxa"/>
            <w:vAlign w:val="center"/>
          </w:tcPr>
          <w:p w14:paraId="14315F2C">
            <w:pPr>
              <w:spacing w:line="240" w:lineRule="auto"/>
              <w:ind w:firstLine="0" w:firstLineChars="0"/>
              <w:jc w:val="center"/>
              <w:rPr>
                <w:color w:val="auto"/>
                <w:sz w:val="21"/>
                <w:szCs w:val="21"/>
              </w:rPr>
            </w:pPr>
            <w:r>
              <w:rPr>
                <w:rFonts w:hint="eastAsia"/>
                <w:color w:val="auto"/>
                <w:sz w:val="21"/>
                <w:szCs w:val="21"/>
              </w:rPr>
              <w:t>110</w:t>
            </w:r>
          </w:p>
        </w:tc>
        <w:tc>
          <w:tcPr>
            <w:tcW w:w="1389" w:type="dxa"/>
            <w:vAlign w:val="center"/>
          </w:tcPr>
          <w:p w14:paraId="75787496">
            <w:pPr>
              <w:spacing w:line="240" w:lineRule="auto"/>
              <w:ind w:firstLine="0" w:firstLineChars="0"/>
              <w:jc w:val="center"/>
              <w:rPr>
                <w:color w:val="auto"/>
                <w:sz w:val="21"/>
                <w:szCs w:val="21"/>
              </w:rPr>
            </w:pPr>
            <w:r>
              <w:rPr>
                <w:rFonts w:hint="eastAsia"/>
                <w:color w:val="auto"/>
                <w:sz w:val="21"/>
                <w:szCs w:val="21"/>
              </w:rPr>
              <w:t>10</w:t>
            </w:r>
          </w:p>
        </w:tc>
        <w:tc>
          <w:tcPr>
            <w:tcW w:w="3224" w:type="dxa"/>
            <w:vAlign w:val="center"/>
          </w:tcPr>
          <w:p w14:paraId="00DBC178">
            <w:pPr>
              <w:spacing w:line="240" w:lineRule="auto"/>
              <w:ind w:firstLine="0" w:firstLineChars="0"/>
              <w:jc w:val="center"/>
              <w:rPr>
                <w:color w:val="auto"/>
                <w:sz w:val="21"/>
                <w:szCs w:val="21"/>
              </w:rPr>
            </w:pPr>
            <w:r>
              <w:rPr>
                <w:rFonts w:hint="eastAsia"/>
                <w:color w:val="auto"/>
                <w:sz w:val="21"/>
                <w:szCs w:val="21"/>
              </w:rPr>
              <w:t>药品储存间，25kg/袋</w:t>
            </w:r>
          </w:p>
        </w:tc>
      </w:tr>
      <w:tr w14:paraId="6063B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shd w:val="clear" w:color="auto" w:fill="auto"/>
            <w:vAlign w:val="center"/>
          </w:tcPr>
          <w:p w14:paraId="37DFC742">
            <w:pPr>
              <w:spacing w:line="240" w:lineRule="auto"/>
              <w:ind w:firstLine="0" w:firstLineChars="0"/>
              <w:jc w:val="center"/>
              <w:rPr>
                <w:color w:val="auto"/>
                <w:sz w:val="21"/>
                <w:szCs w:val="21"/>
              </w:rPr>
            </w:pPr>
            <w:r>
              <w:rPr>
                <w:rFonts w:hint="eastAsia"/>
                <w:color w:val="auto"/>
                <w:sz w:val="21"/>
                <w:szCs w:val="21"/>
              </w:rPr>
              <w:t>5</w:t>
            </w:r>
          </w:p>
        </w:tc>
        <w:tc>
          <w:tcPr>
            <w:tcW w:w="1560" w:type="dxa"/>
            <w:shd w:val="clear" w:color="auto" w:fill="auto"/>
            <w:vAlign w:val="center"/>
          </w:tcPr>
          <w:p w14:paraId="21852476">
            <w:pPr>
              <w:spacing w:line="240" w:lineRule="auto"/>
              <w:ind w:firstLine="0" w:firstLineChars="0"/>
              <w:jc w:val="center"/>
              <w:rPr>
                <w:color w:val="auto"/>
                <w:sz w:val="21"/>
                <w:szCs w:val="21"/>
              </w:rPr>
            </w:pPr>
            <w:r>
              <w:rPr>
                <w:rFonts w:hint="eastAsia"/>
                <w:color w:val="auto"/>
                <w:sz w:val="21"/>
                <w:szCs w:val="21"/>
              </w:rPr>
              <w:t>硫酸亚铁</w:t>
            </w:r>
          </w:p>
        </w:tc>
        <w:tc>
          <w:tcPr>
            <w:tcW w:w="1134" w:type="dxa"/>
            <w:shd w:val="clear" w:color="auto" w:fill="auto"/>
            <w:vAlign w:val="center"/>
          </w:tcPr>
          <w:p w14:paraId="28C6B367">
            <w:pPr>
              <w:spacing w:line="240" w:lineRule="auto"/>
              <w:ind w:firstLine="0" w:firstLineChars="0"/>
              <w:jc w:val="center"/>
              <w:rPr>
                <w:color w:val="auto"/>
                <w:sz w:val="21"/>
                <w:szCs w:val="21"/>
              </w:rPr>
            </w:pPr>
            <w:r>
              <w:rPr>
                <w:rFonts w:hint="eastAsia"/>
                <w:color w:val="auto"/>
                <w:sz w:val="21"/>
                <w:szCs w:val="21"/>
              </w:rPr>
              <w:t>固态</w:t>
            </w:r>
          </w:p>
        </w:tc>
        <w:tc>
          <w:tcPr>
            <w:tcW w:w="1304" w:type="dxa"/>
            <w:vAlign w:val="center"/>
          </w:tcPr>
          <w:p w14:paraId="39708A53">
            <w:pPr>
              <w:spacing w:line="240" w:lineRule="auto"/>
              <w:ind w:firstLine="0" w:firstLineChars="0"/>
              <w:jc w:val="center"/>
              <w:rPr>
                <w:color w:val="auto"/>
                <w:sz w:val="21"/>
                <w:szCs w:val="21"/>
              </w:rPr>
            </w:pPr>
            <w:r>
              <w:rPr>
                <w:rFonts w:hint="eastAsia"/>
                <w:color w:val="auto"/>
                <w:sz w:val="21"/>
                <w:szCs w:val="21"/>
              </w:rPr>
              <w:t>120</w:t>
            </w:r>
          </w:p>
        </w:tc>
        <w:tc>
          <w:tcPr>
            <w:tcW w:w="1389" w:type="dxa"/>
            <w:vAlign w:val="center"/>
          </w:tcPr>
          <w:p w14:paraId="118E8DDA">
            <w:pPr>
              <w:spacing w:line="240" w:lineRule="auto"/>
              <w:ind w:firstLine="0" w:firstLineChars="0"/>
              <w:jc w:val="center"/>
              <w:rPr>
                <w:color w:val="auto"/>
                <w:sz w:val="21"/>
                <w:szCs w:val="21"/>
              </w:rPr>
            </w:pPr>
            <w:r>
              <w:rPr>
                <w:rFonts w:hint="eastAsia"/>
                <w:color w:val="auto"/>
                <w:sz w:val="21"/>
                <w:szCs w:val="21"/>
              </w:rPr>
              <w:t>10</w:t>
            </w:r>
          </w:p>
        </w:tc>
        <w:tc>
          <w:tcPr>
            <w:tcW w:w="3224" w:type="dxa"/>
            <w:vAlign w:val="center"/>
          </w:tcPr>
          <w:p w14:paraId="2D79DC2D">
            <w:pPr>
              <w:spacing w:line="240" w:lineRule="auto"/>
              <w:ind w:firstLine="0" w:firstLineChars="0"/>
              <w:jc w:val="center"/>
              <w:rPr>
                <w:color w:val="auto"/>
                <w:sz w:val="21"/>
                <w:szCs w:val="21"/>
              </w:rPr>
            </w:pPr>
            <w:r>
              <w:rPr>
                <w:rFonts w:hint="eastAsia"/>
                <w:color w:val="auto"/>
                <w:sz w:val="21"/>
                <w:szCs w:val="21"/>
              </w:rPr>
              <w:t>药品储存间，25kg/袋</w:t>
            </w:r>
          </w:p>
        </w:tc>
      </w:tr>
      <w:tr w14:paraId="1FB90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shd w:val="clear" w:color="auto" w:fill="auto"/>
            <w:vAlign w:val="center"/>
          </w:tcPr>
          <w:p w14:paraId="20F9EDB6">
            <w:pPr>
              <w:spacing w:line="240" w:lineRule="auto"/>
              <w:ind w:firstLine="0" w:firstLineChars="0"/>
              <w:jc w:val="center"/>
              <w:rPr>
                <w:color w:val="auto"/>
                <w:sz w:val="21"/>
                <w:szCs w:val="21"/>
              </w:rPr>
            </w:pPr>
            <w:r>
              <w:rPr>
                <w:rFonts w:hint="eastAsia"/>
                <w:color w:val="auto"/>
                <w:sz w:val="21"/>
                <w:szCs w:val="21"/>
              </w:rPr>
              <w:t>6</w:t>
            </w:r>
          </w:p>
        </w:tc>
        <w:tc>
          <w:tcPr>
            <w:tcW w:w="1560" w:type="dxa"/>
            <w:shd w:val="clear" w:color="auto" w:fill="auto"/>
            <w:vAlign w:val="center"/>
          </w:tcPr>
          <w:p w14:paraId="5521D633">
            <w:pPr>
              <w:spacing w:line="240" w:lineRule="auto"/>
              <w:ind w:firstLine="0" w:firstLineChars="0"/>
              <w:jc w:val="center"/>
              <w:rPr>
                <w:color w:val="auto"/>
                <w:sz w:val="21"/>
                <w:szCs w:val="21"/>
              </w:rPr>
            </w:pPr>
            <w:r>
              <w:rPr>
                <w:rFonts w:hint="eastAsia"/>
                <w:color w:val="auto"/>
                <w:sz w:val="21"/>
                <w:szCs w:val="21"/>
              </w:rPr>
              <w:t>除重剂</w:t>
            </w:r>
          </w:p>
        </w:tc>
        <w:tc>
          <w:tcPr>
            <w:tcW w:w="1134" w:type="dxa"/>
            <w:shd w:val="clear" w:color="auto" w:fill="auto"/>
            <w:vAlign w:val="center"/>
          </w:tcPr>
          <w:p w14:paraId="4DD5C387">
            <w:pPr>
              <w:spacing w:line="240" w:lineRule="auto"/>
              <w:ind w:firstLine="0" w:firstLineChars="0"/>
              <w:jc w:val="center"/>
              <w:rPr>
                <w:color w:val="auto"/>
                <w:sz w:val="21"/>
                <w:szCs w:val="21"/>
              </w:rPr>
            </w:pPr>
            <w:r>
              <w:rPr>
                <w:rFonts w:hint="eastAsia"/>
                <w:color w:val="auto"/>
                <w:sz w:val="21"/>
                <w:szCs w:val="21"/>
              </w:rPr>
              <w:t>固态</w:t>
            </w:r>
          </w:p>
        </w:tc>
        <w:tc>
          <w:tcPr>
            <w:tcW w:w="1304" w:type="dxa"/>
            <w:vAlign w:val="center"/>
          </w:tcPr>
          <w:p w14:paraId="5E807EAA">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50</w:t>
            </w:r>
          </w:p>
        </w:tc>
        <w:tc>
          <w:tcPr>
            <w:tcW w:w="1389" w:type="dxa"/>
            <w:vAlign w:val="center"/>
          </w:tcPr>
          <w:p w14:paraId="2144897F">
            <w:pPr>
              <w:spacing w:line="240" w:lineRule="auto"/>
              <w:ind w:firstLine="0" w:firstLineChars="0"/>
              <w:jc w:val="center"/>
              <w:rPr>
                <w:color w:val="auto"/>
                <w:sz w:val="21"/>
                <w:szCs w:val="21"/>
              </w:rPr>
            </w:pPr>
            <w:r>
              <w:rPr>
                <w:rFonts w:hint="eastAsia"/>
                <w:color w:val="auto"/>
                <w:sz w:val="21"/>
                <w:szCs w:val="21"/>
              </w:rPr>
              <w:t>5</w:t>
            </w:r>
          </w:p>
        </w:tc>
        <w:tc>
          <w:tcPr>
            <w:tcW w:w="3224" w:type="dxa"/>
            <w:vAlign w:val="center"/>
          </w:tcPr>
          <w:p w14:paraId="6F54E158">
            <w:pPr>
              <w:spacing w:line="240" w:lineRule="auto"/>
              <w:ind w:firstLine="0" w:firstLineChars="0"/>
              <w:jc w:val="center"/>
              <w:rPr>
                <w:color w:val="auto"/>
                <w:sz w:val="21"/>
                <w:szCs w:val="21"/>
              </w:rPr>
            </w:pPr>
            <w:r>
              <w:rPr>
                <w:rFonts w:hint="eastAsia"/>
                <w:color w:val="auto"/>
                <w:sz w:val="21"/>
                <w:szCs w:val="21"/>
              </w:rPr>
              <w:t>药品储存间，25kg/袋</w:t>
            </w:r>
          </w:p>
        </w:tc>
      </w:tr>
      <w:tr w14:paraId="78220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shd w:val="clear" w:color="auto" w:fill="auto"/>
            <w:vAlign w:val="center"/>
          </w:tcPr>
          <w:p w14:paraId="36920E58">
            <w:pPr>
              <w:spacing w:line="240" w:lineRule="auto"/>
              <w:ind w:firstLine="0" w:firstLineChars="0"/>
              <w:jc w:val="center"/>
              <w:rPr>
                <w:color w:val="auto"/>
                <w:sz w:val="21"/>
                <w:szCs w:val="21"/>
              </w:rPr>
            </w:pPr>
            <w:r>
              <w:rPr>
                <w:rFonts w:hint="eastAsia"/>
                <w:color w:val="auto"/>
                <w:sz w:val="21"/>
                <w:szCs w:val="21"/>
              </w:rPr>
              <w:t>7</w:t>
            </w:r>
          </w:p>
        </w:tc>
        <w:tc>
          <w:tcPr>
            <w:tcW w:w="1560" w:type="dxa"/>
            <w:shd w:val="clear" w:color="auto" w:fill="auto"/>
            <w:vAlign w:val="center"/>
          </w:tcPr>
          <w:p w14:paraId="73092D1E">
            <w:pPr>
              <w:spacing w:line="240" w:lineRule="auto"/>
              <w:ind w:firstLine="0" w:firstLineChars="0"/>
              <w:jc w:val="center"/>
              <w:rPr>
                <w:color w:val="auto"/>
                <w:sz w:val="21"/>
                <w:szCs w:val="21"/>
              </w:rPr>
            </w:pPr>
            <w:r>
              <w:rPr>
                <w:rFonts w:hint="eastAsia"/>
                <w:color w:val="auto"/>
                <w:sz w:val="21"/>
                <w:szCs w:val="21"/>
              </w:rPr>
              <w:t>膜阻垢剂</w:t>
            </w:r>
          </w:p>
        </w:tc>
        <w:tc>
          <w:tcPr>
            <w:tcW w:w="1134" w:type="dxa"/>
            <w:shd w:val="clear" w:color="auto" w:fill="auto"/>
            <w:vAlign w:val="center"/>
          </w:tcPr>
          <w:p w14:paraId="70F8D1DC">
            <w:pPr>
              <w:spacing w:line="240" w:lineRule="auto"/>
              <w:ind w:firstLine="0" w:firstLineChars="0"/>
              <w:jc w:val="center"/>
              <w:rPr>
                <w:color w:val="auto"/>
                <w:sz w:val="21"/>
                <w:szCs w:val="21"/>
              </w:rPr>
            </w:pPr>
            <w:r>
              <w:rPr>
                <w:rFonts w:hint="eastAsia"/>
                <w:color w:val="auto"/>
                <w:sz w:val="21"/>
                <w:szCs w:val="21"/>
              </w:rPr>
              <w:t>固态</w:t>
            </w:r>
          </w:p>
        </w:tc>
        <w:tc>
          <w:tcPr>
            <w:tcW w:w="1304" w:type="dxa"/>
            <w:vAlign w:val="center"/>
          </w:tcPr>
          <w:p w14:paraId="430F0CB6">
            <w:pPr>
              <w:spacing w:line="240" w:lineRule="auto"/>
              <w:ind w:firstLine="0" w:firstLineChars="0"/>
              <w:jc w:val="center"/>
              <w:rPr>
                <w:color w:val="auto"/>
                <w:sz w:val="21"/>
                <w:szCs w:val="21"/>
              </w:rPr>
            </w:pPr>
            <w:r>
              <w:rPr>
                <w:rFonts w:hint="eastAsia"/>
                <w:color w:val="auto"/>
                <w:sz w:val="21"/>
                <w:szCs w:val="21"/>
              </w:rPr>
              <w:t>3</w:t>
            </w:r>
          </w:p>
        </w:tc>
        <w:tc>
          <w:tcPr>
            <w:tcW w:w="1389" w:type="dxa"/>
            <w:tcBorders>
              <w:bottom w:val="single" w:color="auto" w:sz="2" w:space="0"/>
            </w:tcBorders>
            <w:vAlign w:val="center"/>
          </w:tcPr>
          <w:p w14:paraId="30B3B451">
            <w:pPr>
              <w:spacing w:line="240" w:lineRule="auto"/>
              <w:ind w:firstLine="0" w:firstLineChars="0"/>
              <w:jc w:val="center"/>
              <w:rPr>
                <w:color w:val="auto"/>
                <w:sz w:val="21"/>
                <w:szCs w:val="21"/>
              </w:rPr>
            </w:pPr>
            <w:r>
              <w:rPr>
                <w:rFonts w:hint="eastAsia"/>
                <w:color w:val="auto"/>
                <w:sz w:val="21"/>
                <w:szCs w:val="21"/>
              </w:rPr>
              <w:t>0.5</w:t>
            </w:r>
          </w:p>
        </w:tc>
        <w:tc>
          <w:tcPr>
            <w:tcW w:w="3224" w:type="dxa"/>
            <w:tcBorders>
              <w:bottom w:val="single" w:color="auto" w:sz="2" w:space="0"/>
            </w:tcBorders>
            <w:vAlign w:val="center"/>
          </w:tcPr>
          <w:p w14:paraId="0EA0E2E7">
            <w:pPr>
              <w:spacing w:line="240" w:lineRule="auto"/>
              <w:ind w:firstLine="0" w:firstLineChars="0"/>
              <w:jc w:val="center"/>
              <w:rPr>
                <w:color w:val="auto"/>
                <w:sz w:val="21"/>
                <w:szCs w:val="21"/>
              </w:rPr>
            </w:pPr>
            <w:r>
              <w:rPr>
                <w:rFonts w:hint="eastAsia"/>
                <w:color w:val="auto"/>
                <w:sz w:val="21"/>
                <w:szCs w:val="21"/>
              </w:rPr>
              <w:t>药品储存间，25kg/袋</w:t>
            </w:r>
          </w:p>
        </w:tc>
      </w:tr>
      <w:tr w14:paraId="12BAC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75" w:type="dxa"/>
            <w:shd w:val="clear" w:color="auto" w:fill="auto"/>
            <w:vAlign w:val="center"/>
          </w:tcPr>
          <w:p w14:paraId="48745F4E">
            <w:pPr>
              <w:spacing w:line="240" w:lineRule="auto"/>
              <w:ind w:firstLine="0" w:firstLineChars="0"/>
              <w:jc w:val="center"/>
              <w:rPr>
                <w:color w:val="auto"/>
                <w:sz w:val="21"/>
                <w:szCs w:val="21"/>
              </w:rPr>
            </w:pPr>
            <w:r>
              <w:rPr>
                <w:rFonts w:hint="eastAsia"/>
                <w:color w:val="auto"/>
                <w:sz w:val="21"/>
                <w:szCs w:val="21"/>
              </w:rPr>
              <w:t>8</w:t>
            </w:r>
          </w:p>
        </w:tc>
        <w:tc>
          <w:tcPr>
            <w:tcW w:w="1560" w:type="dxa"/>
            <w:shd w:val="clear" w:color="auto" w:fill="auto"/>
            <w:vAlign w:val="center"/>
          </w:tcPr>
          <w:p w14:paraId="23FF64D7">
            <w:pPr>
              <w:spacing w:line="240" w:lineRule="auto"/>
              <w:ind w:firstLine="0" w:firstLineChars="0"/>
              <w:jc w:val="center"/>
              <w:rPr>
                <w:color w:val="auto"/>
                <w:sz w:val="21"/>
                <w:szCs w:val="21"/>
              </w:rPr>
            </w:pPr>
            <w:r>
              <w:rPr>
                <w:rFonts w:hint="eastAsia"/>
                <w:color w:val="auto"/>
                <w:sz w:val="21"/>
                <w:szCs w:val="21"/>
              </w:rPr>
              <w:t>硫酸（50%）</w:t>
            </w:r>
          </w:p>
        </w:tc>
        <w:tc>
          <w:tcPr>
            <w:tcW w:w="1134" w:type="dxa"/>
            <w:shd w:val="clear" w:color="auto" w:fill="auto"/>
            <w:vAlign w:val="center"/>
          </w:tcPr>
          <w:p w14:paraId="42CD7072">
            <w:pPr>
              <w:spacing w:line="240" w:lineRule="auto"/>
              <w:ind w:firstLine="0" w:firstLineChars="0"/>
              <w:jc w:val="center"/>
              <w:rPr>
                <w:color w:val="auto"/>
                <w:sz w:val="21"/>
                <w:szCs w:val="21"/>
              </w:rPr>
            </w:pPr>
            <w:r>
              <w:rPr>
                <w:rFonts w:hint="eastAsia"/>
                <w:color w:val="auto"/>
                <w:sz w:val="21"/>
                <w:szCs w:val="21"/>
              </w:rPr>
              <w:t>液体</w:t>
            </w:r>
          </w:p>
        </w:tc>
        <w:tc>
          <w:tcPr>
            <w:tcW w:w="1304" w:type="dxa"/>
            <w:tcBorders>
              <w:right w:val="single" w:color="auto" w:sz="2" w:space="0"/>
            </w:tcBorders>
            <w:vAlign w:val="center"/>
          </w:tcPr>
          <w:p w14:paraId="206E2481">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150</w:t>
            </w:r>
          </w:p>
        </w:tc>
        <w:tc>
          <w:tcPr>
            <w:tcW w:w="1389" w:type="dxa"/>
            <w:tcBorders>
              <w:top w:val="single" w:color="auto" w:sz="2" w:space="0"/>
              <w:left w:val="single" w:color="auto" w:sz="2" w:space="0"/>
              <w:bottom w:val="single" w:color="auto" w:sz="2" w:space="0"/>
              <w:right w:val="single" w:color="auto" w:sz="2" w:space="0"/>
            </w:tcBorders>
            <w:vAlign w:val="center"/>
          </w:tcPr>
          <w:p w14:paraId="3711F399">
            <w:pPr>
              <w:spacing w:line="240" w:lineRule="auto"/>
              <w:ind w:firstLine="0" w:firstLineChars="0"/>
              <w:jc w:val="center"/>
              <w:rPr>
                <w:color w:val="auto"/>
                <w:sz w:val="21"/>
                <w:szCs w:val="21"/>
              </w:rPr>
            </w:pPr>
            <w:r>
              <w:rPr>
                <w:rFonts w:hint="eastAsia"/>
                <w:color w:val="auto"/>
                <w:sz w:val="21"/>
                <w:szCs w:val="21"/>
              </w:rPr>
              <w:t>5</w:t>
            </w:r>
          </w:p>
        </w:tc>
        <w:tc>
          <w:tcPr>
            <w:tcW w:w="3224" w:type="dxa"/>
            <w:tcBorders>
              <w:top w:val="single" w:color="auto" w:sz="2" w:space="0"/>
              <w:left w:val="single" w:color="auto" w:sz="2" w:space="0"/>
              <w:bottom w:val="single" w:color="auto" w:sz="2" w:space="0"/>
              <w:right w:val="single" w:color="auto" w:sz="2" w:space="0"/>
            </w:tcBorders>
            <w:vAlign w:val="center"/>
          </w:tcPr>
          <w:p w14:paraId="5DEEB15E">
            <w:pPr>
              <w:spacing w:line="240" w:lineRule="auto"/>
              <w:ind w:firstLine="0" w:firstLineChars="0"/>
              <w:jc w:val="center"/>
              <w:rPr>
                <w:color w:val="auto"/>
                <w:sz w:val="21"/>
                <w:szCs w:val="21"/>
              </w:rPr>
            </w:pPr>
            <w:r>
              <w:rPr>
                <w:rFonts w:hint="eastAsia"/>
                <w:color w:val="auto"/>
                <w:sz w:val="21"/>
                <w:szCs w:val="21"/>
              </w:rPr>
              <w:t>1#药剂储存罐区，5m</w:t>
            </w:r>
            <w:r>
              <w:rPr>
                <w:rFonts w:hint="eastAsia"/>
                <w:color w:val="auto"/>
                <w:sz w:val="21"/>
                <w:szCs w:val="21"/>
                <w:vertAlign w:val="superscript"/>
              </w:rPr>
              <w:t>3</w:t>
            </w:r>
            <w:r>
              <w:rPr>
                <w:rFonts w:hint="eastAsia"/>
                <w:color w:val="auto"/>
                <w:sz w:val="21"/>
                <w:szCs w:val="21"/>
              </w:rPr>
              <w:t>储罐</w:t>
            </w:r>
            <w:r>
              <w:rPr>
                <w:rFonts w:hint="eastAsia"/>
                <w:color w:val="auto"/>
                <w:sz w:val="21"/>
                <w:szCs w:val="21"/>
                <w:lang w:val="en-US" w:eastAsia="zh-CN"/>
              </w:rPr>
              <w:t>2</w:t>
            </w:r>
            <w:r>
              <w:rPr>
                <w:rFonts w:hint="eastAsia"/>
                <w:color w:val="auto"/>
                <w:sz w:val="21"/>
                <w:szCs w:val="21"/>
              </w:rPr>
              <w:t>个</w:t>
            </w:r>
          </w:p>
        </w:tc>
      </w:tr>
      <w:tr w14:paraId="4CC86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75" w:type="dxa"/>
            <w:shd w:val="clear" w:color="auto" w:fill="auto"/>
            <w:vAlign w:val="center"/>
          </w:tcPr>
          <w:p w14:paraId="389648B1">
            <w:pPr>
              <w:spacing w:line="240" w:lineRule="auto"/>
              <w:ind w:firstLine="0" w:firstLineChars="0"/>
              <w:jc w:val="center"/>
              <w:rPr>
                <w:color w:val="auto"/>
                <w:sz w:val="21"/>
                <w:szCs w:val="21"/>
              </w:rPr>
            </w:pPr>
            <w:r>
              <w:rPr>
                <w:rFonts w:hint="eastAsia"/>
                <w:color w:val="auto"/>
                <w:sz w:val="21"/>
                <w:szCs w:val="21"/>
              </w:rPr>
              <w:t>9</w:t>
            </w:r>
          </w:p>
        </w:tc>
        <w:tc>
          <w:tcPr>
            <w:tcW w:w="1560" w:type="dxa"/>
            <w:shd w:val="clear" w:color="auto" w:fill="auto"/>
            <w:vAlign w:val="center"/>
          </w:tcPr>
          <w:p w14:paraId="184BB007">
            <w:pPr>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rPr>
              <w:t>盐酸（30%）</w:t>
            </w:r>
          </w:p>
        </w:tc>
        <w:tc>
          <w:tcPr>
            <w:tcW w:w="1134" w:type="dxa"/>
            <w:shd w:val="clear" w:color="auto" w:fill="auto"/>
            <w:vAlign w:val="center"/>
          </w:tcPr>
          <w:p w14:paraId="25D60B04">
            <w:pPr>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rPr>
              <w:t>液体</w:t>
            </w:r>
          </w:p>
        </w:tc>
        <w:tc>
          <w:tcPr>
            <w:tcW w:w="1304" w:type="dxa"/>
            <w:tcBorders>
              <w:right w:val="single" w:color="auto" w:sz="2" w:space="0"/>
            </w:tcBorders>
            <w:shd w:val="clear" w:color="auto" w:fill="auto"/>
            <w:vAlign w:val="center"/>
          </w:tcPr>
          <w:p w14:paraId="755728BD">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rPr>
              <w:t>10</w:t>
            </w:r>
          </w:p>
        </w:tc>
        <w:tc>
          <w:tcPr>
            <w:tcW w:w="1389" w:type="dxa"/>
            <w:tcBorders>
              <w:top w:val="single" w:color="auto" w:sz="2" w:space="0"/>
              <w:left w:val="single" w:color="auto" w:sz="2" w:space="0"/>
              <w:bottom w:val="single" w:color="auto" w:sz="2" w:space="0"/>
              <w:right w:val="single" w:color="auto" w:sz="2" w:space="0"/>
            </w:tcBorders>
            <w:shd w:val="clear" w:color="auto" w:fill="auto"/>
            <w:vAlign w:val="center"/>
          </w:tcPr>
          <w:p w14:paraId="0F2A4D50">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rPr>
              <w:t>5</w:t>
            </w:r>
          </w:p>
        </w:tc>
        <w:tc>
          <w:tcPr>
            <w:tcW w:w="3224" w:type="dxa"/>
            <w:tcBorders>
              <w:top w:val="single" w:color="auto" w:sz="2" w:space="0"/>
              <w:left w:val="single" w:color="auto" w:sz="2" w:space="0"/>
              <w:bottom w:val="single" w:color="auto" w:sz="2" w:space="0"/>
              <w:right w:val="single" w:color="auto" w:sz="2" w:space="0"/>
            </w:tcBorders>
            <w:shd w:val="clear" w:color="auto" w:fill="auto"/>
            <w:vAlign w:val="center"/>
          </w:tcPr>
          <w:p w14:paraId="699720CA">
            <w:pPr>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w:t>
            </w:r>
            <w:r>
              <w:rPr>
                <w:rFonts w:hint="eastAsia"/>
                <w:color w:val="auto"/>
                <w:sz w:val="21"/>
                <w:szCs w:val="21"/>
              </w:rPr>
              <w:t>#药剂储存罐区，5m</w:t>
            </w:r>
            <w:r>
              <w:rPr>
                <w:rFonts w:hint="eastAsia"/>
                <w:color w:val="auto"/>
                <w:sz w:val="21"/>
                <w:szCs w:val="21"/>
                <w:vertAlign w:val="superscript"/>
              </w:rPr>
              <w:t>3</w:t>
            </w:r>
            <w:r>
              <w:rPr>
                <w:rFonts w:hint="eastAsia"/>
                <w:color w:val="auto"/>
                <w:sz w:val="21"/>
                <w:szCs w:val="21"/>
              </w:rPr>
              <w:t>储罐1个</w:t>
            </w:r>
          </w:p>
        </w:tc>
      </w:tr>
      <w:tr w14:paraId="4099B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5" w:type="dxa"/>
            <w:shd w:val="clear" w:color="auto" w:fill="auto"/>
            <w:vAlign w:val="center"/>
          </w:tcPr>
          <w:p w14:paraId="1F0CFE59">
            <w:pPr>
              <w:spacing w:line="240" w:lineRule="auto"/>
              <w:ind w:firstLine="0" w:firstLineChars="0"/>
              <w:jc w:val="center"/>
              <w:rPr>
                <w:color w:val="auto"/>
                <w:sz w:val="21"/>
                <w:szCs w:val="21"/>
              </w:rPr>
            </w:pPr>
            <w:r>
              <w:rPr>
                <w:rFonts w:hint="eastAsia"/>
                <w:color w:val="auto"/>
                <w:sz w:val="21"/>
                <w:szCs w:val="21"/>
              </w:rPr>
              <w:t>10</w:t>
            </w:r>
          </w:p>
        </w:tc>
        <w:tc>
          <w:tcPr>
            <w:tcW w:w="1560" w:type="dxa"/>
            <w:shd w:val="clear" w:color="auto" w:fill="auto"/>
            <w:vAlign w:val="center"/>
          </w:tcPr>
          <w:p w14:paraId="672AB0B8">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双氧水（30%）</w:t>
            </w:r>
          </w:p>
        </w:tc>
        <w:tc>
          <w:tcPr>
            <w:tcW w:w="1134" w:type="dxa"/>
            <w:shd w:val="clear" w:color="auto" w:fill="auto"/>
            <w:vAlign w:val="center"/>
          </w:tcPr>
          <w:p w14:paraId="7DA0878A">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液体</w:t>
            </w:r>
          </w:p>
        </w:tc>
        <w:tc>
          <w:tcPr>
            <w:tcW w:w="1304" w:type="dxa"/>
            <w:tcBorders>
              <w:right w:val="single" w:color="auto" w:sz="2" w:space="0"/>
            </w:tcBorders>
            <w:shd w:val="clear" w:color="auto" w:fill="auto"/>
            <w:vAlign w:val="center"/>
          </w:tcPr>
          <w:p w14:paraId="7025AEAB">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1400</w:t>
            </w:r>
          </w:p>
        </w:tc>
        <w:tc>
          <w:tcPr>
            <w:tcW w:w="1389" w:type="dxa"/>
            <w:tcBorders>
              <w:top w:val="single" w:color="auto" w:sz="2" w:space="0"/>
              <w:left w:val="single" w:color="auto" w:sz="2" w:space="0"/>
              <w:bottom w:val="single" w:color="auto" w:sz="2" w:space="0"/>
              <w:right w:val="single" w:color="auto" w:sz="2" w:space="0"/>
            </w:tcBorders>
            <w:shd w:val="clear" w:color="auto" w:fill="auto"/>
            <w:vAlign w:val="center"/>
          </w:tcPr>
          <w:p w14:paraId="62D7CAA4">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20</w:t>
            </w:r>
          </w:p>
        </w:tc>
        <w:tc>
          <w:tcPr>
            <w:tcW w:w="3224" w:type="dxa"/>
            <w:tcBorders>
              <w:top w:val="single" w:color="auto" w:sz="2" w:space="0"/>
              <w:left w:val="single" w:color="auto" w:sz="2" w:space="0"/>
              <w:bottom w:val="single" w:color="auto" w:sz="2" w:space="0"/>
              <w:right w:val="single" w:color="auto" w:sz="2" w:space="0"/>
            </w:tcBorders>
            <w:shd w:val="clear" w:color="auto" w:fill="auto"/>
            <w:vAlign w:val="center"/>
          </w:tcPr>
          <w:p w14:paraId="7F5BC002">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2</w:t>
            </w:r>
            <w:r>
              <w:rPr>
                <w:rFonts w:hint="eastAsia"/>
                <w:color w:val="auto"/>
                <w:sz w:val="21"/>
                <w:szCs w:val="21"/>
              </w:rPr>
              <w:t>#药剂储存罐区，5m</w:t>
            </w:r>
            <w:r>
              <w:rPr>
                <w:rFonts w:hint="eastAsia"/>
                <w:color w:val="auto"/>
                <w:sz w:val="21"/>
                <w:szCs w:val="21"/>
                <w:vertAlign w:val="superscript"/>
              </w:rPr>
              <w:t>3</w:t>
            </w:r>
            <w:r>
              <w:rPr>
                <w:rFonts w:hint="eastAsia"/>
                <w:color w:val="auto"/>
                <w:sz w:val="21"/>
                <w:szCs w:val="21"/>
              </w:rPr>
              <w:t>储罐</w:t>
            </w:r>
            <w:r>
              <w:rPr>
                <w:rFonts w:hint="eastAsia"/>
                <w:color w:val="auto"/>
                <w:sz w:val="21"/>
                <w:szCs w:val="21"/>
                <w:lang w:val="en-US" w:eastAsia="zh-CN"/>
              </w:rPr>
              <w:t>4</w:t>
            </w:r>
            <w:r>
              <w:rPr>
                <w:rFonts w:hint="eastAsia"/>
                <w:color w:val="auto"/>
                <w:sz w:val="21"/>
                <w:szCs w:val="21"/>
              </w:rPr>
              <w:t>个</w:t>
            </w:r>
          </w:p>
        </w:tc>
      </w:tr>
      <w:tr w14:paraId="7D261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shd w:val="clear" w:color="auto" w:fill="auto"/>
            <w:vAlign w:val="center"/>
          </w:tcPr>
          <w:p w14:paraId="1B326E77">
            <w:pPr>
              <w:spacing w:line="240" w:lineRule="auto"/>
              <w:ind w:firstLine="0" w:firstLineChars="0"/>
              <w:jc w:val="center"/>
              <w:rPr>
                <w:color w:val="auto"/>
                <w:sz w:val="21"/>
                <w:szCs w:val="21"/>
              </w:rPr>
            </w:pPr>
            <w:r>
              <w:rPr>
                <w:rFonts w:hint="eastAsia"/>
                <w:color w:val="auto"/>
                <w:sz w:val="21"/>
                <w:szCs w:val="21"/>
              </w:rPr>
              <w:t>11</w:t>
            </w:r>
          </w:p>
        </w:tc>
        <w:tc>
          <w:tcPr>
            <w:tcW w:w="1560" w:type="dxa"/>
            <w:shd w:val="clear" w:color="auto" w:fill="auto"/>
            <w:vAlign w:val="center"/>
          </w:tcPr>
          <w:p w14:paraId="4D5684FF">
            <w:pPr>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rPr>
              <w:t>氢氧化钠（30%）</w:t>
            </w:r>
          </w:p>
        </w:tc>
        <w:tc>
          <w:tcPr>
            <w:tcW w:w="1134" w:type="dxa"/>
            <w:shd w:val="clear" w:color="auto" w:fill="auto"/>
            <w:vAlign w:val="center"/>
          </w:tcPr>
          <w:p w14:paraId="542F5E34">
            <w:pPr>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rPr>
              <w:t>液体</w:t>
            </w:r>
          </w:p>
        </w:tc>
        <w:tc>
          <w:tcPr>
            <w:tcW w:w="1304" w:type="dxa"/>
            <w:tcBorders>
              <w:right w:val="single" w:color="auto" w:sz="2" w:space="0"/>
            </w:tcBorders>
            <w:shd w:val="clear" w:color="auto" w:fill="auto"/>
            <w:vAlign w:val="center"/>
          </w:tcPr>
          <w:p w14:paraId="7C01DE89">
            <w:pPr>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rPr>
              <w:t>/</w:t>
            </w:r>
          </w:p>
        </w:tc>
        <w:tc>
          <w:tcPr>
            <w:tcW w:w="1389" w:type="dxa"/>
            <w:tcBorders>
              <w:top w:val="single" w:color="auto" w:sz="2" w:space="0"/>
              <w:left w:val="single" w:color="auto" w:sz="2" w:space="0"/>
              <w:bottom w:val="single" w:color="auto" w:sz="2" w:space="0"/>
              <w:right w:val="single" w:color="auto" w:sz="2" w:space="0"/>
            </w:tcBorders>
            <w:shd w:val="clear" w:color="auto" w:fill="auto"/>
            <w:vAlign w:val="center"/>
          </w:tcPr>
          <w:p w14:paraId="343FF39B">
            <w:pPr>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rPr>
              <w:t>5</w:t>
            </w:r>
          </w:p>
        </w:tc>
        <w:tc>
          <w:tcPr>
            <w:tcW w:w="3224" w:type="dxa"/>
            <w:tcBorders>
              <w:top w:val="single" w:color="auto" w:sz="2" w:space="0"/>
              <w:left w:val="single" w:color="auto" w:sz="2" w:space="0"/>
              <w:bottom w:val="single" w:color="auto" w:sz="2" w:space="0"/>
              <w:right w:val="single" w:color="auto" w:sz="2" w:space="0"/>
            </w:tcBorders>
            <w:shd w:val="clear" w:color="auto" w:fill="auto"/>
            <w:vAlign w:val="center"/>
          </w:tcPr>
          <w:p w14:paraId="1F12BD10">
            <w:pPr>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2</w:t>
            </w:r>
            <w:r>
              <w:rPr>
                <w:rFonts w:hint="eastAsia"/>
                <w:color w:val="auto"/>
                <w:sz w:val="21"/>
                <w:szCs w:val="21"/>
              </w:rPr>
              <w:t>#药剂储存罐区，5m</w:t>
            </w:r>
            <w:r>
              <w:rPr>
                <w:rFonts w:hint="eastAsia"/>
                <w:color w:val="auto"/>
                <w:sz w:val="21"/>
                <w:szCs w:val="21"/>
                <w:vertAlign w:val="superscript"/>
              </w:rPr>
              <w:t>3</w:t>
            </w:r>
            <w:r>
              <w:rPr>
                <w:rFonts w:hint="eastAsia"/>
                <w:color w:val="auto"/>
                <w:sz w:val="21"/>
                <w:szCs w:val="21"/>
              </w:rPr>
              <w:t>储罐1个，由氢氧化钠（片碱）调配</w:t>
            </w:r>
          </w:p>
        </w:tc>
      </w:tr>
      <w:tr w14:paraId="6B484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shd w:val="clear" w:color="auto" w:fill="auto"/>
            <w:vAlign w:val="center"/>
          </w:tcPr>
          <w:p w14:paraId="6F1FB04D">
            <w:pPr>
              <w:spacing w:line="240" w:lineRule="auto"/>
              <w:ind w:firstLine="0" w:firstLineChars="0"/>
              <w:jc w:val="center"/>
              <w:rPr>
                <w:color w:val="auto"/>
                <w:sz w:val="21"/>
                <w:szCs w:val="21"/>
              </w:rPr>
            </w:pPr>
            <w:r>
              <w:rPr>
                <w:rFonts w:hint="eastAsia"/>
                <w:color w:val="auto"/>
                <w:sz w:val="21"/>
                <w:szCs w:val="21"/>
              </w:rPr>
              <w:t>12</w:t>
            </w:r>
          </w:p>
        </w:tc>
        <w:tc>
          <w:tcPr>
            <w:tcW w:w="1560" w:type="dxa"/>
            <w:shd w:val="clear" w:color="auto" w:fill="auto"/>
            <w:vAlign w:val="center"/>
          </w:tcPr>
          <w:p w14:paraId="2D88993C">
            <w:pPr>
              <w:spacing w:line="320" w:lineRule="exact"/>
              <w:ind w:firstLine="0" w:firstLineChars="0"/>
              <w:jc w:val="center"/>
              <w:rPr>
                <w:color w:val="auto"/>
                <w:sz w:val="21"/>
                <w:szCs w:val="21"/>
              </w:rPr>
            </w:pPr>
            <w:r>
              <w:rPr>
                <w:rFonts w:hint="eastAsia"/>
                <w:color w:val="auto"/>
                <w:sz w:val="21"/>
                <w:szCs w:val="21"/>
              </w:rPr>
              <w:t>机油/润滑油</w:t>
            </w:r>
          </w:p>
        </w:tc>
        <w:tc>
          <w:tcPr>
            <w:tcW w:w="1134" w:type="dxa"/>
            <w:shd w:val="clear" w:color="auto" w:fill="auto"/>
            <w:vAlign w:val="center"/>
          </w:tcPr>
          <w:p w14:paraId="0A27A46C">
            <w:pPr>
              <w:spacing w:line="320" w:lineRule="exact"/>
              <w:ind w:firstLine="0" w:firstLineChars="0"/>
              <w:jc w:val="center"/>
              <w:rPr>
                <w:color w:val="auto"/>
                <w:sz w:val="21"/>
                <w:szCs w:val="21"/>
              </w:rPr>
            </w:pPr>
          </w:p>
        </w:tc>
        <w:tc>
          <w:tcPr>
            <w:tcW w:w="1304" w:type="dxa"/>
            <w:vAlign w:val="center"/>
          </w:tcPr>
          <w:p w14:paraId="5E9BEA3D">
            <w:pPr>
              <w:spacing w:line="240" w:lineRule="auto"/>
              <w:ind w:firstLine="0" w:firstLineChars="0"/>
              <w:jc w:val="center"/>
              <w:rPr>
                <w:rFonts w:hint="eastAsia" w:eastAsia="宋体"/>
                <w:color w:val="auto"/>
                <w:sz w:val="21"/>
                <w:szCs w:val="21"/>
                <w:lang w:eastAsia="zh-CN"/>
              </w:rPr>
            </w:pPr>
            <w:r>
              <w:rPr>
                <w:rFonts w:hint="eastAsia"/>
                <w:color w:val="auto"/>
                <w:sz w:val="21"/>
                <w:szCs w:val="21"/>
                <w:lang w:val="en-US" w:eastAsia="zh-CN"/>
              </w:rPr>
              <w:t>8</w:t>
            </w:r>
          </w:p>
        </w:tc>
        <w:tc>
          <w:tcPr>
            <w:tcW w:w="1389" w:type="dxa"/>
            <w:tcBorders>
              <w:top w:val="single" w:color="auto" w:sz="2" w:space="0"/>
            </w:tcBorders>
            <w:vAlign w:val="center"/>
          </w:tcPr>
          <w:p w14:paraId="632AC284">
            <w:pPr>
              <w:spacing w:line="240" w:lineRule="auto"/>
              <w:ind w:firstLine="0" w:firstLineChars="0"/>
              <w:jc w:val="center"/>
              <w:rPr>
                <w:color w:val="auto"/>
                <w:sz w:val="21"/>
                <w:szCs w:val="21"/>
              </w:rPr>
            </w:pPr>
            <w:r>
              <w:rPr>
                <w:rFonts w:hint="eastAsia"/>
                <w:color w:val="auto"/>
                <w:sz w:val="21"/>
                <w:szCs w:val="21"/>
              </w:rPr>
              <w:t>2</w:t>
            </w:r>
          </w:p>
        </w:tc>
        <w:tc>
          <w:tcPr>
            <w:tcW w:w="3224" w:type="dxa"/>
            <w:tcBorders>
              <w:top w:val="single" w:color="auto" w:sz="2" w:space="0"/>
            </w:tcBorders>
            <w:vAlign w:val="center"/>
          </w:tcPr>
          <w:p w14:paraId="1709C356">
            <w:pPr>
              <w:spacing w:line="240" w:lineRule="auto"/>
              <w:ind w:firstLine="0" w:firstLineChars="0"/>
              <w:jc w:val="center"/>
              <w:rPr>
                <w:color w:val="auto"/>
                <w:sz w:val="21"/>
                <w:szCs w:val="21"/>
              </w:rPr>
            </w:pPr>
            <w:r>
              <w:rPr>
                <w:rFonts w:hint="eastAsia"/>
                <w:color w:val="auto"/>
                <w:sz w:val="21"/>
                <w:szCs w:val="21"/>
              </w:rPr>
              <w:t>机修间，25kg/桶</w:t>
            </w:r>
          </w:p>
        </w:tc>
      </w:tr>
      <w:tr w14:paraId="476C2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shd w:val="clear" w:color="auto" w:fill="auto"/>
            <w:vAlign w:val="center"/>
          </w:tcPr>
          <w:p w14:paraId="4E02E0A6">
            <w:pPr>
              <w:spacing w:line="240" w:lineRule="auto"/>
              <w:ind w:firstLine="0" w:firstLineChars="0"/>
              <w:jc w:val="center"/>
              <w:rPr>
                <w:color w:val="auto"/>
                <w:sz w:val="21"/>
                <w:szCs w:val="21"/>
              </w:rPr>
            </w:pPr>
            <w:r>
              <w:rPr>
                <w:rFonts w:hint="eastAsia"/>
                <w:color w:val="auto"/>
                <w:sz w:val="21"/>
                <w:szCs w:val="21"/>
              </w:rPr>
              <w:t>13</w:t>
            </w:r>
          </w:p>
        </w:tc>
        <w:tc>
          <w:tcPr>
            <w:tcW w:w="1560" w:type="dxa"/>
            <w:shd w:val="clear" w:color="auto" w:fill="auto"/>
            <w:vAlign w:val="center"/>
          </w:tcPr>
          <w:p w14:paraId="44BF11B5">
            <w:pPr>
              <w:spacing w:line="240" w:lineRule="auto"/>
              <w:ind w:firstLine="0" w:firstLineChars="0"/>
              <w:jc w:val="center"/>
              <w:rPr>
                <w:color w:val="auto"/>
                <w:sz w:val="21"/>
                <w:szCs w:val="21"/>
              </w:rPr>
            </w:pPr>
            <w:r>
              <w:rPr>
                <w:rFonts w:hint="eastAsia"/>
                <w:color w:val="auto"/>
                <w:sz w:val="21"/>
                <w:szCs w:val="21"/>
              </w:rPr>
              <w:t>活性炭</w:t>
            </w:r>
          </w:p>
        </w:tc>
        <w:tc>
          <w:tcPr>
            <w:tcW w:w="1134" w:type="dxa"/>
            <w:shd w:val="clear" w:color="auto" w:fill="auto"/>
            <w:vAlign w:val="center"/>
          </w:tcPr>
          <w:p w14:paraId="600D2613">
            <w:pPr>
              <w:spacing w:line="240" w:lineRule="auto"/>
              <w:ind w:firstLine="0" w:firstLineChars="0"/>
              <w:jc w:val="center"/>
              <w:rPr>
                <w:color w:val="auto"/>
                <w:sz w:val="21"/>
                <w:szCs w:val="21"/>
              </w:rPr>
            </w:pPr>
            <w:r>
              <w:rPr>
                <w:rFonts w:hint="eastAsia"/>
                <w:color w:val="auto"/>
                <w:sz w:val="21"/>
                <w:szCs w:val="21"/>
              </w:rPr>
              <w:t>固态</w:t>
            </w:r>
          </w:p>
        </w:tc>
        <w:tc>
          <w:tcPr>
            <w:tcW w:w="1304" w:type="dxa"/>
            <w:vAlign w:val="center"/>
          </w:tcPr>
          <w:p w14:paraId="3C627F64">
            <w:pPr>
              <w:spacing w:line="240" w:lineRule="auto"/>
              <w:ind w:firstLine="0" w:firstLineChars="0"/>
              <w:jc w:val="center"/>
              <w:rPr>
                <w:color w:val="auto"/>
                <w:sz w:val="21"/>
                <w:szCs w:val="21"/>
              </w:rPr>
            </w:pPr>
            <w:r>
              <w:rPr>
                <w:rFonts w:hint="eastAsia"/>
                <w:color w:val="auto"/>
                <w:sz w:val="21"/>
                <w:szCs w:val="21"/>
              </w:rPr>
              <w:t>2</w:t>
            </w:r>
          </w:p>
        </w:tc>
        <w:tc>
          <w:tcPr>
            <w:tcW w:w="1389" w:type="dxa"/>
            <w:vAlign w:val="center"/>
          </w:tcPr>
          <w:p w14:paraId="2B6A5F2B">
            <w:pPr>
              <w:spacing w:line="240" w:lineRule="auto"/>
              <w:ind w:firstLine="0" w:firstLineChars="0"/>
              <w:jc w:val="center"/>
              <w:rPr>
                <w:color w:val="auto"/>
                <w:sz w:val="21"/>
                <w:szCs w:val="21"/>
              </w:rPr>
            </w:pPr>
            <w:r>
              <w:rPr>
                <w:rFonts w:hint="eastAsia"/>
                <w:color w:val="auto"/>
                <w:sz w:val="21"/>
                <w:szCs w:val="21"/>
              </w:rPr>
              <w:t>/</w:t>
            </w:r>
          </w:p>
        </w:tc>
        <w:tc>
          <w:tcPr>
            <w:tcW w:w="3224" w:type="dxa"/>
            <w:vAlign w:val="center"/>
          </w:tcPr>
          <w:p w14:paraId="1673B63C">
            <w:pPr>
              <w:spacing w:line="240" w:lineRule="auto"/>
              <w:ind w:firstLine="0" w:firstLineChars="0"/>
              <w:jc w:val="center"/>
              <w:rPr>
                <w:color w:val="auto"/>
                <w:sz w:val="21"/>
                <w:szCs w:val="21"/>
              </w:rPr>
            </w:pPr>
            <w:r>
              <w:rPr>
                <w:rFonts w:hint="eastAsia"/>
                <w:color w:val="auto"/>
                <w:sz w:val="21"/>
                <w:szCs w:val="21"/>
              </w:rPr>
              <w:t>由供应商现场更换，厂区不暂存</w:t>
            </w:r>
          </w:p>
        </w:tc>
      </w:tr>
      <w:tr w14:paraId="26272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shd w:val="clear" w:color="auto" w:fill="auto"/>
            <w:vAlign w:val="center"/>
          </w:tcPr>
          <w:p w14:paraId="67D41FD6">
            <w:pPr>
              <w:spacing w:line="240" w:lineRule="auto"/>
              <w:ind w:firstLine="0" w:firstLineChars="0"/>
              <w:jc w:val="center"/>
              <w:rPr>
                <w:color w:val="auto"/>
                <w:sz w:val="21"/>
                <w:szCs w:val="21"/>
              </w:rPr>
            </w:pPr>
            <w:r>
              <w:rPr>
                <w:rFonts w:hint="eastAsia"/>
                <w:color w:val="auto"/>
                <w:sz w:val="21"/>
                <w:szCs w:val="21"/>
              </w:rPr>
              <w:t>14</w:t>
            </w:r>
          </w:p>
        </w:tc>
        <w:tc>
          <w:tcPr>
            <w:tcW w:w="1560" w:type="dxa"/>
            <w:shd w:val="clear" w:color="auto" w:fill="auto"/>
            <w:vAlign w:val="center"/>
          </w:tcPr>
          <w:p w14:paraId="7D5E50A5">
            <w:pPr>
              <w:spacing w:line="240" w:lineRule="auto"/>
              <w:ind w:firstLine="0" w:firstLineChars="0"/>
              <w:jc w:val="center"/>
              <w:rPr>
                <w:color w:val="auto"/>
                <w:sz w:val="21"/>
                <w:szCs w:val="21"/>
              </w:rPr>
            </w:pPr>
            <w:r>
              <w:rPr>
                <w:rFonts w:hint="eastAsia"/>
                <w:color w:val="auto"/>
                <w:sz w:val="21"/>
                <w:szCs w:val="21"/>
              </w:rPr>
              <w:t>水</w:t>
            </w:r>
          </w:p>
        </w:tc>
        <w:tc>
          <w:tcPr>
            <w:tcW w:w="1134" w:type="dxa"/>
            <w:shd w:val="clear" w:color="auto" w:fill="auto"/>
            <w:vAlign w:val="center"/>
          </w:tcPr>
          <w:p w14:paraId="145AB9F5">
            <w:pPr>
              <w:spacing w:line="240" w:lineRule="auto"/>
              <w:ind w:firstLine="0" w:firstLineChars="0"/>
              <w:jc w:val="center"/>
              <w:rPr>
                <w:color w:val="auto"/>
                <w:sz w:val="21"/>
                <w:szCs w:val="21"/>
              </w:rPr>
            </w:pPr>
            <w:r>
              <w:rPr>
                <w:rFonts w:hint="eastAsia"/>
                <w:color w:val="auto"/>
                <w:sz w:val="21"/>
                <w:szCs w:val="21"/>
              </w:rPr>
              <w:t>液体</w:t>
            </w:r>
          </w:p>
        </w:tc>
        <w:tc>
          <w:tcPr>
            <w:tcW w:w="1304" w:type="dxa"/>
            <w:vAlign w:val="center"/>
          </w:tcPr>
          <w:p w14:paraId="2520CC44">
            <w:pPr>
              <w:spacing w:line="240" w:lineRule="auto"/>
              <w:ind w:firstLine="0" w:firstLineChars="0"/>
              <w:jc w:val="center"/>
              <w:rPr>
                <w:color w:val="auto"/>
                <w:sz w:val="21"/>
                <w:szCs w:val="21"/>
              </w:rPr>
            </w:pPr>
            <w:r>
              <w:rPr>
                <w:rFonts w:hint="eastAsia"/>
                <w:color w:val="auto"/>
                <w:sz w:val="21"/>
                <w:szCs w:val="21"/>
              </w:rPr>
              <w:t>600m</w:t>
            </w:r>
            <w:r>
              <w:rPr>
                <w:rFonts w:hint="eastAsia"/>
                <w:color w:val="auto"/>
                <w:sz w:val="21"/>
                <w:szCs w:val="21"/>
                <w:vertAlign w:val="superscript"/>
              </w:rPr>
              <w:t>3</w:t>
            </w:r>
          </w:p>
        </w:tc>
        <w:tc>
          <w:tcPr>
            <w:tcW w:w="1389" w:type="dxa"/>
            <w:vAlign w:val="center"/>
          </w:tcPr>
          <w:p w14:paraId="3A7246AA">
            <w:pPr>
              <w:spacing w:line="240" w:lineRule="auto"/>
              <w:ind w:firstLine="0" w:firstLineChars="0"/>
              <w:jc w:val="center"/>
              <w:rPr>
                <w:color w:val="auto"/>
                <w:sz w:val="21"/>
                <w:szCs w:val="21"/>
              </w:rPr>
            </w:pPr>
            <w:r>
              <w:rPr>
                <w:rFonts w:hint="eastAsia"/>
                <w:color w:val="auto"/>
                <w:sz w:val="21"/>
                <w:szCs w:val="21"/>
              </w:rPr>
              <w:t>/</w:t>
            </w:r>
          </w:p>
        </w:tc>
        <w:tc>
          <w:tcPr>
            <w:tcW w:w="3224" w:type="dxa"/>
            <w:vAlign w:val="center"/>
          </w:tcPr>
          <w:p w14:paraId="12551D44">
            <w:pPr>
              <w:spacing w:line="240" w:lineRule="auto"/>
              <w:ind w:firstLine="0" w:firstLineChars="0"/>
              <w:jc w:val="center"/>
              <w:rPr>
                <w:color w:val="auto"/>
                <w:sz w:val="21"/>
                <w:szCs w:val="21"/>
              </w:rPr>
            </w:pPr>
            <w:r>
              <w:rPr>
                <w:rFonts w:hint="eastAsia"/>
                <w:color w:val="auto"/>
                <w:sz w:val="21"/>
                <w:szCs w:val="21"/>
              </w:rPr>
              <w:t>/</w:t>
            </w:r>
          </w:p>
        </w:tc>
      </w:tr>
      <w:tr w14:paraId="47C8A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shd w:val="clear" w:color="auto" w:fill="auto"/>
            <w:vAlign w:val="center"/>
          </w:tcPr>
          <w:p w14:paraId="24E3FA64">
            <w:pPr>
              <w:spacing w:line="240" w:lineRule="auto"/>
              <w:ind w:firstLine="0" w:firstLineChars="0"/>
              <w:jc w:val="center"/>
              <w:rPr>
                <w:color w:val="auto"/>
                <w:sz w:val="21"/>
                <w:szCs w:val="21"/>
              </w:rPr>
            </w:pPr>
            <w:r>
              <w:rPr>
                <w:rFonts w:hint="eastAsia"/>
                <w:color w:val="auto"/>
                <w:sz w:val="21"/>
                <w:szCs w:val="21"/>
              </w:rPr>
              <w:t>14</w:t>
            </w:r>
          </w:p>
        </w:tc>
        <w:tc>
          <w:tcPr>
            <w:tcW w:w="1560" w:type="dxa"/>
            <w:shd w:val="clear" w:color="auto" w:fill="auto"/>
            <w:vAlign w:val="center"/>
          </w:tcPr>
          <w:p w14:paraId="5AEF4251">
            <w:pPr>
              <w:spacing w:line="240" w:lineRule="auto"/>
              <w:ind w:firstLine="0" w:firstLineChars="0"/>
              <w:jc w:val="center"/>
              <w:rPr>
                <w:color w:val="auto"/>
                <w:sz w:val="21"/>
                <w:szCs w:val="21"/>
              </w:rPr>
            </w:pPr>
            <w:r>
              <w:rPr>
                <w:rFonts w:hint="eastAsia"/>
                <w:color w:val="auto"/>
                <w:sz w:val="21"/>
                <w:szCs w:val="21"/>
              </w:rPr>
              <w:t>电</w:t>
            </w:r>
          </w:p>
        </w:tc>
        <w:tc>
          <w:tcPr>
            <w:tcW w:w="1134" w:type="dxa"/>
            <w:shd w:val="clear" w:color="auto" w:fill="auto"/>
            <w:vAlign w:val="center"/>
          </w:tcPr>
          <w:p w14:paraId="0487EB54">
            <w:pPr>
              <w:spacing w:line="240" w:lineRule="auto"/>
              <w:ind w:firstLine="0" w:firstLineChars="0"/>
              <w:jc w:val="center"/>
              <w:rPr>
                <w:color w:val="auto"/>
                <w:sz w:val="21"/>
                <w:szCs w:val="21"/>
              </w:rPr>
            </w:pPr>
            <w:r>
              <w:rPr>
                <w:rFonts w:hint="eastAsia"/>
                <w:color w:val="auto"/>
                <w:sz w:val="21"/>
                <w:szCs w:val="21"/>
              </w:rPr>
              <w:t>/</w:t>
            </w:r>
          </w:p>
        </w:tc>
        <w:tc>
          <w:tcPr>
            <w:tcW w:w="1304" w:type="dxa"/>
            <w:vAlign w:val="center"/>
          </w:tcPr>
          <w:p w14:paraId="63DFC5B3">
            <w:pPr>
              <w:spacing w:line="240" w:lineRule="auto"/>
              <w:ind w:firstLine="0" w:firstLineChars="0"/>
              <w:jc w:val="center"/>
              <w:rPr>
                <w:color w:val="auto"/>
                <w:sz w:val="21"/>
                <w:szCs w:val="21"/>
              </w:rPr>
            </w:pPr>
            <w:r>
              <w:rPr>
                <w:rFonts w:hint="eastAsia"/>
                <w:color w:val="auto"/>
                <w:sz w:val="21"/>
                <w:szCs w:val="21"/>
              </w:rPr>
              <w:t>2</w:t>
            </w:r>
            <w:r>
              <w:rPr>
                <w:rFonts w:hint="eastAsia"/>
                <w:color w:val="auto"/>
                <w:sz w:val="21"/>
                <w:szCs w:val="21"/>
                <w:lang w:val="en-US" w:eastAsia="zh-CN"/>
              </w:rPr>
              <w:t>0</w:t>
            </w:r>
            <w:r>
              <w:rPr>
                <w:rFonts w:hint="eastAsia"/>
                <w:color w:val="auto"/>
                <w:sz w:val="21"/>
                <w:szCs w:val="21"/>
              </w:rPr>
              <w:t>0万度</w:t>
            </w:r>
          </w:p>
        </w:tc>
        <w:tc>
          <w:tcPr>
            <w:tcW w:w="1389" w:type="dxa"/>
            <w:vAlign w:val="center"/>
          </w:tcPr>
          <w:p w14:paraId="309C718D">
            <w:pPr>
              <w:spacing w:line="240" w:lineRule="auto"/>
              <w:ind w:firstLine="0" w:firstLineChars="0"/>
              <w:jc w:val="center"/>
              <w:rPr>
                <w:color w:val="auto"/>
                <w:sz w:val="21"/>
                <w:szCs w:val="21"/>
              </w:rPr>
            </w:pPr>
            <w:r>
              <w:rPr>
                <w:rFonts w:hint="eastAsia"/>
                <w:color w:val="auto"/>
                <w:sz w:val="21"/>
                <w:szCs w:val="21"/>
              </w:rPr>
              <w:t>/</w:t>
            </w:r>
          </w:p>
        </w:tc>
        <w:tc>
          <w:tcPr>
            <w:tcW w:w="3224" w:type="dxa"/>
            <w:vAlign w:val="center"/>
          </w:tcPr>
          <w:p w14:paraId="53EDA836">
            <w:pPr>
              <w:spacing w:line="240" w:lineRule="auto"/>
              <w:ind w:firstLine="0" w:firstLineChars="0"/>
              <w:jc w:val="center"/>
              <w:rPr>
                <w:color w:val="auto"/>
                <w:sz w:val="21"/>
                <w:szCs w:val="21"/>
              </w:rPr>
            </w:pPr>
            <w:r>
              <w:rPr>
                <w:rFonts w:hint="eastAsia"/>
                <w:color w:val="auto"/>
                <w:sz w:val="21"/>
                <w:szCs w:val="21"/>
              </w:rPr>
              <w:t>/</w:t>
            </w:r>
          </w:p>
        </w:tc>
      </w:tr>
    </w:tbl>
    <w:p w14:paraId="5DE34E8D">
      <w:pPr>
        <w:spacing w:line="360" w:lineRule="auto"/>
        <w:ind w:firstLine="196" w:firstLineChars="82"/>
        <w:jc w:val="center"/>
        <w:rPr>
          <w:color w:val="auto"/>
          <w:lang w:val="zh-CN"/>
        </w:rPr>
      </w:pPr>
    </w:p>
    <w:p w14:paraId="1A178FF8">
      <w:pPr>
        <w:spacing w:line="360" w:lineRule="auto"/>
        <w:ind w:firstLine="196" w:firstLineChars="82"/>
        <w:rPr>
          <w:color w:val="auto"/>
          <w:szCs w:val="24"/>
          <w:lang w:val="zh-CN"/>
        </w:rPr>
      </w:pPr>
      <w:r>
        <w:rPr>
          <w:rFonts w:hint="eastAsia"/>
          <w:color w:val="auto"/>
          <w:szCs w:val="24"/>
          <w:lang w:val="zh-CN"/>
        </w:rPr>
        <w:t>（3）污染源</w:t>
      </w:r>
      <w:r>
        <w:rPr>
          <w:color w:val="auto"/>
          <w:szCs w:val="24"/>
          <w:lang w:val="zh-CN"/>
        </w:rPr>
        <w:t>排放清单</w:t>
      </w:r>
    </w:p>
    <w:p w14:paraId="2C0412D1">
      <w:pPr>
        <w:spacing w:line="360" w:lineRule="auto"/>
        <w:ind w:firstLine="480"/>
        <w:rPr>
          <w:color w:val="auto"/>
          <w:lang w:val="zh-CN"/>
        </w:rPr>
      </w:pPr>
      <w:r>
        <w:rPr>
          <w:color w:val="auto"/>
          <w:szCs w:val="24"/>
          <w:lang w:val="zh-CN"/>
        </w:rPr>
        <w:t>拟建项目废水、废气</w:t>
      </w:r>
      <w:r>
        <w:rPr>
          <w:color w:val="auto"/>
          <w:lang w:val="zh-CN"/>
        </w:rPr>
        <w:t>、固废、噪声排放情况见表10.4-3</w:t>
      </w:r>
      <w:r>
        <w:rPr>
          <w:rFonts w:hint="eastAsia"/>
          <w:color w:val="auto"/>
          <w:lang w:val="zh-CN"/>
        </w:rPr>
        <w:t>~</w:t>
      </w:r>
      <w:r>
        <w:rPr>
          <w:color w:val="auto"/>
          <w:lang w:val="zh-CN"/>
        </w:rPr>
        <w:t>表10.4-6。</w:t>
      </w:r>
    </w:p>
    <w:p w14:paraId="5C78FDEC">
      <w:pPr>
        <w:pStyle w:val="185"/>
        <w:rPr>
          <w:color w:val="auto"/>
        </w:rPr>
      </w:pPr>
      <w:r>
        <w:rPr>
          <w:color w:val="auto"/>
        </w:rPr>
        <w:t xml:space="preserve">表10.4-3   </w:t>
      </w:r>
      <w:r>
        <w:rPr>
          <w:rFonts w:hint="eastAsia"/>
          <w:color w:val="auto"/>
          <w:lang w:eastAsia="zh-CN"/>
        </w:rPr>
        <w:t>项目</w:t>
      </w:r>
      <w:r>
        <w:rPr>
          <w:rFonts w:hint="eastAsia"/>
          <w:color w:val="auto"/>
        </w:rPr>
        <w:t>建成后全厂</w:t>
      </w:r>
      <w:r>
        <w:rPr>
          <w:color w:val="auto"/>
        </w:rPr>
        <w:t>废水污染物排放标准及排放量</w:t>
      </w:r>
    </w:p>
    <w:tbl>
      <w:tblPr>
        <w:tblStyle w:val="88"/>
        <w:tblW w:w="91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956"/>
        <w:gridCol w:w="1195"/>
        <w:gridCol w:w="1510"/>
        <w:gridCol w:w="2142"/>
        <w:gridCol w:w="1915"/>
        <w:gridCol w:w="1440"/>
      </w:tblGrid>
      <w:tr w14:paraId="63F58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49" w:hRule="atLeast"/>
          <w:tblHeader/>
          <w:jc w:val="center"/>
        </w:trPr>
        <w:tc>
          <w:tcPr>
            <w:tcW w:w="956" w:type="dxa"/>
            <w:vAlign w:val="center"/>
          </w:tcPr>
          <w:p w14:paraId="63CFD3BB">
            <w:pPr>
              <w:spacing w:line="240" w:lineRule="auto"/>
              <w:ind w:firstLine="0" w:firstLineChars="0"/>
              <w:jc w:val="center"/>
              <w:rPr>
                <w:color w:val="auto"/>
                <w:sz w:val="21"/>
                <w:szCs w:val="21"/>
              </w:rPr>
            </w:pPr>
            <w:r>
              <w:rPr>
                <w:rFonts w:hint="eastAsia"/>
                <w:color w:val="auto"/>
                <w:sz w:val="21"/>
                <w:szCs w:val="21"/>
              </w:rPr>
              <w:t>污染源</w:t>
            </w:r>
          </w:p>
        </w:tc>
        <w:tc>
          <w:tcPr>
            <w:tcW w:w="1195" w:type="dxa"/>
            <w:vAlign w:val="center"/>
          </w:tcPr>
          <w:p w14:paraId="290C576E">
            <w:pPr>
              <w:spacing w:line="240" w:lineRule="auto"/>
              <w:ind w:firstLine="0" w:firstLineChars="0"/>
              <w:jc w:val="center"/>
              <w:rPr>
                <w:color w:val="auto"/>
                <w:sz w:val="21"/>
                <w:szCs w:val="21"/>
              </w:rPr>
            </w:pPr>
            <w:r>
              <w:rPr>
                <w:rFonts w:hint="eastAsia"/>
                <w:color w:val="auto"/>
                <w:sz w:val="21"/>
                <w:szCs w:val="21"/>
              </w:rPr>
              <w:t>年废水排放量（万m</w:t>
            </w:r>
            <w:r>
              <w:rPr>
                <w:rFonts w:hint="eastAsia"/>
                <w:color w:val="auto"/>
                <w:sz w:val="21"/>
                <w:szCs w:val="21"/>
                <w:vertAlign w:val="superscript"/>
              </w:rPr>
              <w:t>3</w:t>
            </w:r>
            <w:r>
              <w:rPr>
                <w:rFonts w:hint="eastAsia"/>
                <w:color w:val="auto"/>
                <w:sz w:val="21"/>
                <w:szCs w:val="21"/>
              </w:rPr>
              <w:t>）</w:t>
            </w:r>
          </w:p>
        </w:tc>
        <w:tc>
          <w:tcPr>
            <w:tcW w:w="1510" w:type="dxa"/>
            <w:vAlign w:val="center"/>
          </w:tcPr>
          <w:p w14:paraId="3225EDB6">
            <w:pPr>
              <w:spacing w:line="240" w:lineRule="auto"/>
              <w:ind w:firstLine="0" w:firstLineChars="0"/>
              <w:jc w:val="center"/>
              <w:rPr>
                <w:color w:val="auto"/>
                <w:sz w:val="21"/>
                <w:szCs w:val="21"/>
              </w:rPr>
            </w:pPr>
            <w:r>
              <w:rPr>
                <w:rFonts w:hint="eastAsia"/>
                <w:color w:val="auto"/>
                <w:sz w:val="21"/>
                <w:szCs w:val="21"/>
              </w:rPr>
              <w:t>排放标准及标准号</w:t>
            </w:r>
          </w:p>
        </w:tc>
        <w:tc>
          <w:tcPr>
            <w:tcW w:w="2142" w:type="dxa"/>
            <w:vAlign w:val="center"/>
          </w:tcPr>
          <w:p w14:paraId="17DD448A">
            <w:pPr>
              <w:spacing w:line="240" w:lineRule="auto"/>
              <w:ind w:firstLine="0" w:firstLineChars="0"/>
              <w:jc w:val="center"/>
              <w:rPr>
                <w:color w:val="auto"/>
                <w:sz w:val="21"/>
                <w:szCs w:val="21"/>
              </w:rPr>
            </w:pPr>
            <w:r>
              <w:rPr>
                <w:rFonts w:hint="eastAsia"/>
                <w:color w:val="auto"/>
                <w:sz w:val="21"/>
                <w:szCs w:val="21"/>
              </w:rPr>
              <w:t>污染因子</w:t>
            </w:r>
          </w:p>
        </w:tc>
        <w:tc>
          <w:tcPr>
            <w:tcW w:w="1915" w:type="dxa"/>
            <w:vAlign w:val="center"/>
          </w:tcPr>
          <w:p w14:paraId="0CA5CDD2">
            <w:pPr>
              <w:spacing w:line="240" w:lineRule="auto"/>
              <w:ind w:firstLine="0" w:firstLineChars="0"/>
              <w:jc w:val="center"/>
              <w:rPr>
                <w:color w:val="auto"/>
                <w:sz w:val="21"/>
                <w:szCs w:val="21"/>
              </w:rPr>
            </w:pPr>
            <w:r>
              <w:rPr>
                <w:rFonts w:hint="eastAsia"/>
                <w:color w:val="auto"/>
                <w:sz w:val="21"/>
                <w:szCs w:val="21"/>
              </w:rPr>
              <w:t>浓度限值</w:t>
            </w:r>
            <w:r>
              <w:rPr>
                <w:rFonts w:hint="eastAsia"/>
                <w:color w:val="auto"/>
                <w:sz w:val="21"/>
                <w:szCs w:val="21"/>
                <w:lang w:eastAsia="zh-CN"/>
              </w:rPr>
              <w:t>（</w:t>
            </w:r>
            <w:r>
              <w:rPr>
                <w:rFonts w:hint="eastAsia"/>
                <w:color w:val="auto"/>
                <w:sz w:val="21"/>
                <w:szCs w:val="21"/>
              </w:rPr>
              <w:t>mg/L</w:t>
            </w:r>
            <w:r>
              <w:rPr>
                <w:rFonts w:hint="eastAsia"/>
                <w:color w:val="auto"/>
                <w:sz w:val="21"/>
                <w:szCs w:val="21"/>
                <w:lang w:eastAsia="zh-CN"/>
              </w:rPr>
              <w:t>）</w:t>
            </w:r>
          </w:p>
        </w:tc>
        <w:tc>
          <w:tcPr>
            <w:tcW w:w="1440" w:type="dxa"/>
            <w:vAlign w:val="center"/>
          </w:tcPr>
          <w:p w14:paraId="066C1FE2">
            <w:pPr>
              <w:spacing w:line="240" w:lineRule="auto"/>
              <w:ind w:firstLine="0" w:firstLineChars="0"/>
              <w:jc w:val="center"/>
              <w:rPr>
                <w:color w:val="auto"/>
                <w:sz w:val="21"/>
                <w:szCs w:val="21"/>
              </w:rPr>
            </w:pPr>
            <w:r>
              <w:rPr>
                <w:rFonts w:hint="eastAsia"/>
                <w:color w:val="auto"/>
                <w:sz w:val="21"/>
                <w:szCs w:val="21"/>
              </w:rPr>
              <w:t>排放量</w:t>
            </w:r>
            <w:r>
              <w:rPr>
                <w:rFonts w:hint="eastAsia"/>
                <w:color w:val="auto"/>
                <w:sz w:val="21"/>
                <w:szCs w:val="21"/>
                <w:lang w:eastAsia="zh-CN"/>
              </w:rPr>
              <w:t>（</w:t>
            </w:r>
            <w:r>
              <w:rPr>
                <w:rFonts w:hint="eastAsia"/>
                <w:color w:val="auto"/>
                <w:sz w:val="21"/>
                <w:szCs w:val="21"/>
              </w:rPr>
              <w:t>t/a</w:t>
            </w:r>
            <w:r>
              <w:rPr>
                <w:rFonts w:hint="eastAsia"/>
                <w:color w:val="auto"/>
                <w:sz w:val="21"/>
                <w:szCs w:val="21"/>
                <w:lang w:eastAsia="zh-CN"/>
              </w:rPr>
              <w:t>）</w:t>
            </w:r>
          </w:p>
        </w:tc>
      </w:tr>
      <w:tr w14:paraId="1E3D8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9" w:hRule="atLeast"/>
          <w:jc w:val="center"/>
        </w:trPr>
        <w:tc>
          <w:tcPr>
            <w:tcW w:w="956" w:type="dxa"/>
            <w:vMerge w:val="restart"/>
            <w:vAlign w:val="center"/>
          </w:tcPr>
          <w:p w14:paraId="3288ACC5">
            <w:pPr>
              <w:spacing w:line="240" w:lineRule="auto"/>
              <w:ind w:firstLine="0" w:firstLineChars="0"/>
              <w:jc w:val="center"/>
              <w:rPr>
                <w:color w:val="auto"/>
                <w:sz w:val="21"/>
                <w:szCs w:val="21"/>
              </w:rPr>
            </w:pPr>
            <w:r>
              <w:rPr>
                <w:rFonts w:hint="eastAsia"/>
                <w:color w:val="auto"/>
                <w:sz w:val="21"/>
                <w:szCs w:val="21"/>
              </w:rPr>
              <w:t>油气田压裂返水、压滤水、气田水和现有工程生产废水</w:t>
            </w:r>
          </w:p>
        </w:tc>
        <w:tc>
          <w:tcPr>
            <w:tcW w:w="1195" w:type="dxa"/>
            <w:vMerge w:val="restart"/>
            <w:vAlign w:val="center"/>
          </w:tcPr>
          <w:p w14:paraId="1B83057E">
            <w:pPr>
              <w:spacing w:line="240" w:lineRule="auto"/>
              <w:ind w:firstLine="0" w:firstLineChars="0"/>
              <w:jc w:val="center"/>
              <w:rPr>
                <w:rFonts w:hint="default" w:eastAsia="宋体"/>
                <w:color w:val="auto"/>
                <w:sz w:val="21"/>
                <w:szCs w:val="21"/>
                <w:lang w:val="en-US" w:eastAsia="zh-CN"/>
              </w:rPr>
            </w:pPr>
            <w:r>
              <w:rPr>
                <w:rFonts w:hint="eastAsia"/>
                <w:color w:val="auto"/>
                <w:sz w:val="21"/>
                <w:szCs w:val="21"/>
              </w:rPr>
              <w:t>58.</w:t>
            </w:r>
            <w:r>
              <w:rPr>
                <w:rFonts w:hint="eastAsia"/>
                <w:color w:val="auto"/>
                <w:sz w:val="21"/>
                <w:szCs w:val="21"/>
                <w:lang w:val="en-US" w:eastAsia="zh-CN"/>
              </w:rPr>
              <w:t>734</w:t>
            </w:r>
          </w:p>
        </w:tc>
        <w:tc>
          <w:tcPr>
            <w:tcW w:w="1510" w:type="dxa"/>
            <w:vMerge w:val="restart"/>
            <w:vAlign w:val="center"/>
          </w:tcPr>
          <w:p w14:paraId="455246F4">
            <w:pPr>
              <w:spacing w:line="240" w:lineRule="auto"/>
              <w:ind w:firstLine="0" w:firstLineChars="0"/>
              <w:jc w:val="center"/>
              <w:rPr>
                <w:rFonts w:hint="eastAsia" w:eastAsia="宋体"/>
                <w:color w:val="auto"/>
                <w:sz w:val="21"/>
                <w:szCs w:val="21"/>
                <w:lang w:eastAsia="zh-CN"/>
              </w:rPr>
            </w:pPr>
            <w:r>
              <w:rPr>
                <w:rFonts w:hint="eastAsia"/>
                <w:color w:val="auto"/>
                <w:sz w:val="21"/>
                <w:szCs w:val="21"/>
                <w:lang w:eastAsia="zh-CN"/>
              </w:rPr>
              <w:t>《页岩气开采水污染物排放标准》（DB50/1806-2025）间接排放标准限值</w:t>
            </w:r>
          </w:p>
        </w:tc>
        <w:tc>
          <w:tcPr>
            <w:tcW w:w="2142" w:type="dxa"/>
            <w:vAlign w:val="center"/>
          </w:tcPr>
          <w:p w14:paraId="06708B13">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pH</w:t>
            </w:r>
            <w:r>
              <w:rPr>
                <w:rFonts w:hint="eastAsia" w:ascii="宋体" w:hAnsi="宋体"/>
                <w:color w:val="auto"/>
                <w:kern w:val="0"/>
                <w:sz w:val="21"/>
                <w:szCs w:val="21"/>
              </w:rPr>
              <w:t>（无量纲）</w:t>
            </w:r>
          </w:p>
        </w:tc>
        <w:tc>
          <w:tcPr>
            <w:tcW w:w="1915" w:type="dxa"/>
            <w:vAlign w:val="center"/>
          </w:tcPr>
          <w:p w14:paraId="55BA0CD1">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6~9</w:t>
            </w:r>
          </w:p>
        </w:tc>
        <w:tc>
          <w:tcPr>
            <w:tcW w:w="1440" w:type="dxa"/>
            <w:vAlign w:val="center"/>
          </w:tcPr>
          <w:p w14:paraId="56DD59C6">
            <w:pPr>
              <w:pStyle w:val="276"/>
              <w:rPr>
                <w:color w:val="auto"/>
              </w:rPr>
            </w:pPr>
            <w:r>
              <w:rPr>
                <w:rFonts w:hint="eastAsia"/>
                <w:color w:val="auto"/>
              </w:rPr>
              <w:t>/</w:t>
            </w:r>
          </w:p>
        </w:tc>
      </w:tr>
      <w:tr w14:paraId="36D55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9" w:hRule="atLeast"/>
          <w:jc w:val="center"/>
        </w:trPr>
        <w:tc>
          <w:tcPr>
            <w:tcW w:w="956" w:type="dxa"/>
            <w:vMerge w:val="continue"/>
            <w:vAlign w:val="center"/>
          </w:tcPr>
          <w:p w14:paraId="430F10FA">
            <w:pPr>
              <w:spacing w:line="240" w:lineRule="auto"/>
              <w:ind w:firstLine="0" w:firstLineChars="0"/>
              <w:jc w:val="center"/>
              <w:rPr>
                <w:color w:val="auto"/>
                <w:sz w:val="21"/>
                <w:szCs w:val="21"/>
              </w:rPr>
            </w:pPr>
          </w:p>
        </w:tc>
        <w:tc>
          <w:tcPr>
            <w:tcW w:w="1195" w:type="dxa"/>
            <w:vMerge w:val="continue"/>
            <w:vAlign w:val="center"/>
          </w:tcPr>
          <w:p w14:paraId="571F7525">
            <w:pPr>
              <w:spacing w:line="240" w:lineRule="auto"/>
              <w:ind w:firstLine="0" w:firstLineChars="0"/>
              <w:jc w:val="center"/>
              <w:rPr>
                <w:color w:val="auto"/>
                <w:sz w:val="21"/>
                <w:szCs w:val="21"/>
              </w:rPr>
            </w:pPr>
          </w:p>
        </w:tc>
        <w:tc>
          <w:tcPr>
            <w:tcW w:w="1510" w:type="dxa"/>
            <w:vMerge w:val="continue"/>
            <w:vAlign w:val="center"/>
          </w:tcPr>
          <w:p w14:paraId="52CB6846">
            <w:pPr>
              <w:spacing w:line="240" w:lineRule="auto"/>
              <w:ind w:firstLine="0" w:firstLineChars="0"/>
              <w:jc w:val="center"/>
              <w:rPr>
                <w:color w:val="auto"/>
                <w:sz w:val="21"/>
                <w:szCs w:val="21"/>
              </w:rPr>
            </w:pPr>
          </w:p>
        </w:tc>
        <w:tc>
          <w:tcPr>
            <w:tcW w:w="2142" w:type="dxa"/>
            <w:vAlign w:val="center"/>
          </w:tcPr>
          <w:p w14:paraId="6E1DE769">
            <w:pPr>
              <w:widowControl/>
              <w:adjustRightInd/>
              <w:snapToGrid/>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色度（稀释倍数）</w:t>
            </w:r>
          </w:p>
        </w:tc>
        <w:tc>
          <w:tcPr>
            <w:tcW w:w="1915" w:type="dxa"/>
            <w:vAlign w:val="center"/>
          </w:tcPr>
          <w:p w14:paraId="18524388">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64</w:t>
            </w:r>
          </w:p>
        </w:tc>
        <w:tc>
          <w:tcPr>
            <w:tcW w:w="1440" w:type="dxa"/>
            <w:vAlign w:val="center"/>
          </w:tcPr>
          <w:p w14:paraId="58103975">
            <w:pPr>
              <w:pStyle w:val="276"/>
              <w:rPr>
                <w:color w:val="auto"/>
              </w:rPr>
            </w:pPr>
            <w:r>
              <w:rPr>
                <w:rFonts w:hint="eastAsia"/>
                <w:color w:val="auto"/>
              </w:rPr>
              <w:t>/</w:t>
            </w:r>
          </w:p>
        </w:tc>
      </w:tr>
      <w:tr w14:paraId="45DC9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4" w:hRule="atLeast"/>
          <w:jc w:val="center"/>
        </w:trPr>
        <w:tc>
          <w:tcPr>
            <w:tcW w:w="956" w:type="dxa"/>
            <w:vMerge w:val="continue"/>
            <w:vAlign w:val="center"/>
          </w:tcPr>
          <w:p w14:paraId="25D3DA8B">
            <w:pPr>
              <w:spacing w:line="240" w:lineRule="auto"/>
              <w:ind w:firstLine="0" w:firstLineChars="0"/>
              <w:jc w:val="center"/>
              <w:rPr>
                <w:color w:val="auto"/>
                <w:sz w:val="21"/>
                <w:szCs w:val="21"/>
              </w:rPr>
            </w:pPr>
          </w:p>
        </w:tc>
        <w:tc>
          <w:tcPr>
            <w:tcW w:w="1195" w:type="dxa"/>
            <w:vMerge w:val="continue"/>
            <w:vAlign w:val="center"/>
          </w:tcPr>
          <w:p w14:paraId="35728B9A">
            <w:pPr>
              <w:spacing w:line="240" w:lineRule="auto"/>
              <w:ind w:firstLine="0" w:firstLineChars="0"/>
              <w:jc w:val="center"/>
              <w:rPr>
                <w:color w:val="auto"/>
                <w:sz w:val="21"/>
                <w:szCs w:val="21"/>
              </w:rPr>
            </w:pPr>
          </w:p>
        </w:tc>
        <w:tc>
          <w:tcPr>
            <w:tcW w:w="1510" w:type="dxa"/>
            <w:vMerge w:val="continue"/>
            <w:vAlign w:val="center"/>
          </w:tcPr>
          <w:p w14:paraId="323C29F5">
            <w:pPr>
              <w:spacing w:line="240" w:lineRule="auto"/>
              <w:ind w:firstLine="0" w:firstLineChars="0"/>
              <w:jc w:val="center"/>
              <w:rPr>
                <w:color w:val="auto"/>
                <w:sz w:val="21"/>
                <w:szCs w:val="21"/>
              </w:rPr>
            </w:pPr>
          </w:p>
        </w:tc>
        <w:tc>
          <w:tcPr>
            <w:tcW w:w="2142" w:type="dxa"/>
            <w:shd w:val="clear" w:color="auto" w:fill="auto"/>
            <w:vAlign w:val="center"/>
          </w:tcPr>
          <w:p w14:paraId="0311E94D">
            <w:pPr>
              <w:widowControl/>
              <w:adjustRightInd/>
              <w:snapToGrid/>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悬浮物（</w:t>
            </w:r>
            <w:r>
              <w:rPr>
                <w:rFonts w:hint="eastAsia"/>
                <w:color w:val="auto"/>
                <w:kern w:val="0"/>
                <w:sz w:val="21"/>
                <w:szCs w:val="21"/>
              </w:rPr>
              <w:t>SS</w:t>
            </w:r>
            <w:r>
              <w:rPr>
                <w:rFonts w:hint="eastAsia" w:ascii="宋体" w:hAnsi="宋体" w:cs="宋体"/>
                <w:color w:val="auto"/>
                <w:kern w:val="0"/>
                <w:sz w:val="21"/>
                <w:szCs w:val="21"/>
              </w:rPr>
              <w:t>）</w:t>
            </w:r>
          </w:p>
        </w:tc>
        <w:tc>
          <w:tcPr>
            <w:tcW w:w="1915" w:type="dxa"/>
            <w:shd w:val="clear" w:color="auto" w:fill="auto"/>
            <w:vAlign w:val="center"/>
          </w:tcPr>
          <w:p w14:paraId="67636EF1">
            <w:pPr>
              <w:pStyle w:val="178"/>
              <w:bidi w:val="0"/>
              <w:ind w:firstLine="0" w:firstLineChars="0"/>
              <w:rPr>
                <w:color w:val="auto"/>
                <w:kern w:val="0"/>
                <w:sz w:val="21"/>
                <w:szCs w:val="21"/>
              </w:rPr>
            </w:pPr>
            <w:r>
              <w:rPr>
                <w:rFonts w:hint="default"/>
                <w:color w:val="auto"/>
                <w:lang w:val="en-US" w:eastAsia="zh-CN"/>
              </w:rPr>
              <w:t>400</w:t>
            </w:r>
          </w:p>
        </w:tc>
        <w:tc>
          <w:tcPr>
            <w:tcW w:w="1440" w:type="dxa"/>
            <w:shd w:val="clear" w:color="auto" w:fill="auto"/>
            <w:vAlign w:val="center"/>
          </w:tcPr>
          <w:p w14:paraId="1AE4410A">
            <w:pPr>
              <w:pStyle w:val="178"/>
              <w:bidi w:val="0"/>
              <w:ind w:firstLine="0" w:firstLineChars="0"/>
              <w:rPr>
                <w:rFonts w:hint="default"/>
                <w:color w:val="auto"/>
                <w:lang w:val="en-US" w:eastAsia="zh-CN"/>
              </w:rPr>
            </w:pPr>
            <w:r>
              <w:rPr>
                <w:rFonts w:hint="default"/>
                <w:color w:val="auto"/>
                <w:lang w:val="en-US" w:eastAsia="zh-CN"/>
              </w:rPr>
              <w:t>5.87</w:t>
            </w:r>
          </w:p>
        </w:tc>
      </w:tr>
      <w:tr w14:paraId="4C6F2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4" w:hRule="atLeast"/>
          <w:jc w:val="center"/>
        </w:trPr>
        <w:tc>
          <w:tcPr>
            <w:tcW w:w="956" w:type="dxa"/>
            <w:vMerge w:val="continue"/>
            <w:vAlign w:val="center"/>
          </w:tcPr>
          <w:p w14:paraId="02F19F32">
            <w:pPr>
              <w:spacing w:line="240" w:lineRule="auto"/>
              <w:ind w:firstLine="0" w:firstLineChars="0"/>
              <w:jc w:val="center"/>
              <w:rPr>
                <w:color w:val="auto"/>
                <w:sz w:val="21"/>
                <w:szCs w:val="21"/>
              </w:rPr>
            </w:pPr>
          </w:p>
        </w:tc>
        <w:tc>
          <w:tcPr>
            <w:tcW w:w="1195" w:type="dxa"/>
            <w:vMerge w:val="continue"/>
            <w:vAlign w:val="center"/>
          </w:tcPr>
          <w:p w14:paraId="7355CBA9">
            <w:pPr>
              <w:spacing w:line="240" w:lineRule="auto"/>
              <w:ind w:firstLine="0" w:firstLineChars="0"/>
              <w:jc w:val="center"/>
              <w:rPr>
                <w:color w:val="auto"/>
                <w:sz w:val="21"/>
                <w:szCs w:val="21"/>
              </w:rPr>
            </w:pPr>
          </w:p>
        </w:tc>
        <w:tc>
          <w:tcPr>
            <w:tcW w:w="1510" w:type="dxa"/>
            <w:vMerge w:val="continue"/>
            <w:vAlign w:val="center"/>
          </w:tcPr>
          <w:p w14:paraId="10E11E58">
            <w:pPr>
              <w:spacing w:line="240" w:lineRule="auto"/>
              <w:ind w:firstLine="0" w:firstLineChars="0"/>
              <w:jc w:val="center"/>
              <w:rPr>
                <w:color w:val="auto"/>
                <w:sz w:val="21"/>
                <w:szCs w:val="21"/>
              </w:rPr>
            </w:pPr>
          </w:p>
        </w:tc>
        <w:tc>
          <w:tcPr>
            <w:tcW w:w="2142" w:type="dxa"/>
            <w:shd w:val="clear" w:color="auto" w:fill="auto"/>
            <w:vAlign w:val="center"/>
          </w:tcPr>
          <w:p w14:paraId="4467E15A">
            <w:pPr>
              <w:widowControl/>
              <w:adjustRightInd/>
              <w:snapToGrid/>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化学需氧量（</w:t>
            </w:r>
            <w:r>
              <w:rPr>
                <w:rFonts w:hint="eastAsia"/>
                <w:color w:val="auto"/>
                <w:kern w:val="0"/>
                <w:sz w:val="21"/>
                <w:szCs w:val="21"/>
              </w:rPr>
              <w:t>COD</w:t>
            </w:r>
            <w:r>
              <w:rPr>
                <w:rFonts w:hint="eastAsia" w:ascii="宋体" w:hAnsi="宋体" w:cs="宋体"/>
                <w:color w:val="auto"/>
                <w:kern w:val="0"/>
                <w:sz w:val="21"/>
                <w:szCs w:val="21"/>
              </w:rPr>
              <w:t>）</w:t>
            </w:r>
          </w:p>
        </w:tc>
        <w:tc>
          <w:tcPr>
            <w:tcW w:w="1915" w:type="dxa"/>
            <w:shd w:val="clear" w:color="auto" w:fill="auto"/>
            <w:vAlign w:val="center"/>
          </w:tcPr>
          <w:p w14:paraId="1937D5A0">
            <w:pPr>
              <w:pStyle w:val="178"/>
              <w:bidi w:val="0"/>
              <w:ind w:firstLine="0" w:firstLineChars="0"/>
              <w:rPr>
                <w:color w:val="auto"/>
                <w:kern w:val="0"/>
                <w:sz w:val="21"/>
                <w:szCs w:val="21"/>
              </w:rPr>
            </w:pPr>
            <w:r>
              <w:rPr>
                <w:rFonts w:hint="default"/>
                <w:color w:val="auto"/>
                <w:lang w:val="en-US" w:eastAsia="zh-CN"/>
              </w:rPr>
              <w:t>500</w:t>
            </w:r>
          </w:p>
        </w:tc>
        <w:tc>
          <w:tcPr>
            <w:tcW w:w="1440" w:type="dxa"/>
            <w:shd w:val="clear" w:color="auto" w:fill="auto"/>
            <w:vAlign w:val="center"/>
          </w:tcPr>
          <w:p w14:paraId="1336B5E9">
            <w:pPr>
              <w:pStyle w:val="178"/>
              <w:bidi w:val="0"/>
              <w:ind w:firstLine="0" w:firstLineChars="0"/>
              <w:rPr>
                <w:rFonts w:hint="default"/>
                <w:color w:val="auto"/>
                <w:lang w:val="en-US" w:eastAsia="zh-CN"/>
              </w:rPr>
            </w:pPr>
            <w:r>
              <w:rPr>
                <w:rFonts w:hint="default"/>
                <w:color w:val="auto"/>
                <w:lang w:val="en-US" w:eastAsia="zh-CN"/>
              </w:rPr>
              <w:t>29.37</w:t>
            </w:r>
          </w:p>
        </w:tc>
      </w:tr>
      <w:tr w14:paraId="5B7F6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4" w:hRule="atLeast"/>
          <w:jc w:val="center"/>
        </w:trPr>
        <w:tc>
          <w:tcPr>
            <w:tcW w:w="956" w:type="dxa"/>
            <w:vMerge w:val="continue"/>
            <w:vAlign w:val="center"/>
          </w:tcPr>
          <w:p w14:paraId="031F53BA">
            <w:pPr>
              <w:spacing w:line="240" w:lineRule="auto"/>
              <w:ind w:firstLine="0" w:firstLineChars="0"/>
              <w:jc w:val="center"/>
              <w:rPr>
                <w:color w:val="auto"/>
                <w:sz w:val="21"/>
                <w:szCs w:val="21"/>
              </w:rPr>
            </w:pPr>
          </w:p>
        </w:tc>
        <w:tc>
          <w:tcPr>
            <w:tcW w:w="1195" w:type="dxa"/>
            <w:vMerge w:val="continue"/>
            <w:vAlign w:val="center"/>
          </w:tcPr>
          <w:p w14:paraId="541BBFBC">
            <w:pPr>
              <w:spacing w:line="240" w:lineRule="auto"/>
              <w:ind w:firstLine="0" w:firstLineChars="0"/>
              <w:jc w:val="center"/>
              <w:rPr>
                <w:color w:val="auto"/>
                <w:sz w:val="21"/>
                <w:szCs w:val="21"/>
              </w:rPr>
            </w:pPr>
          </w:p>
        </w:tc>
        <w:tc>
          <w:tcPr>
            <w:tcW w:w="1510" w:type="dxa"/>
            <w:vMerge w:val="continue"/>
            <w:vAlign w:val="center"/>
          </w:tcPr>
          <w:p w14:paraId="1F83F61F">
            <w:pPr>
              <w:spacing w:line="240" w:lineRule="auto"/>
              <w:ind w:firstLine="0" w:firstLineChars="0"/>
              <w:jc w:val="center"/>
              <w:rPr>
                <w:color w:val="auto"/>
                <w:sz w:val="21"/>
                <w:szCs w:val="21"/>
              </w:rPr>
            </w:pPr>
          </w:p>
        </w:tc>
        <w:tc>
          <w:tcPr>
            <w:tcW w:w="2142" w:type="dxa"/>
            <w:shd w:val="clear" w:color="auto" w:fill="auto"/>
            <w:vAlign w:val="center"/>
          </w:tcPr>
          <w:p w14:paraId="77F3AF83">
            <w:pPr>
              <w:widowControl/>
              <w:adjustRightInd/>
              <w:snapToGrid/>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五日生化需氧量（</w:t>
            </w:r>
            <w:r>
              <w:rPr>
                <w:rFonts w:hint="eastAsia"/>
                <w:color w:val="auto"/>
                <w:kern w:val="0"/>
                <w:sz w:val="21"/>
                <w:szCs w:val="21"/>
              </w:rPr>
              <w:t>BOD</w:t>
            </w:r>
            <w:r>
              <w:rPr>
                <w:rFonts w:hint="eastAsia"/>
                <w:color w:val="auto"/>
                <w:kern w:val="0"/>
                <w:sz w:val="21"/>
                <w:szCs w:val="21"/>
                <w:vertAlign w:val="subscript"/>
              </w:rPr>
              <w:t>5</w:t>
            </w:r>
            <w:r>
              <w:rPr>
                <w:rFonts w:hint="eastAsia" w:ascii="宋体" w:hAnsi="宋体" w:cs="宋体"/>
                <w:color w:val="auto"/>
                <w:kern w:val="0"/>
                <w:sz w:val="21"/>
                <w:szCs w:val="21"/>
              </w:rPr>
              <w:t>）</w:t>
            </w:r>
          </w:p>
        </w:tc>
        <w:tc>
          <w:tcPr>
            <w:tcW w:w="1915" w:type="dxa"/>
            <w:shd w:val="clear" w:color="auto" w:fill="auto"/>
            <w:vAlign w:val="center"/>
          </w:tcPr>
          <w:p w14:paraId="765531CF">
            <w:pPr>
              <w:pStyle w:val="178"/>
              <w:bidi w:val="0"/>
              <w:ind w:firstLine="0" w:firstLineChars="0"/>
              <w:rPr>
                <w:color w:val="auto"/>
                <w:kern w:val="0"/>
                <w:sz w:val="21"/>
                <w:szCs w:val="21"/>
              </w:rPr>
            </w:pPr>
            <w:r>
              <w:rPr>
                <w:rFonts w:hint="default"/>
                <w:color w:val="auto"/>
                <w:lang w:val="en-US" w:eastAsia="zh-CN"/>
              </w:rPr>
              <w:t>300</w:t>
            </w:r>
          </w:p>
        </w:tc>
        <w:tc>
          <w:tcPr>
            <w:tcW w:w="1440" w:type="dxa"/>
            <w:shd w:val="clear" w:color="auto" w:fill="auto"/>
            <w:vAlign w:val="center"/>
          </w:tcPr>
          <w:p w14:paraId="218B58CE">
            <w:pPr>
              <w:pStyle w:val="178"/>
              <w:bidi w:val="0"/>
              <w:ind w:firstLine="0" w:firstLineChars="0"/>
              <w:rPr>
                <w:rFonts w:hint="default"/>
                <w:color w:val="auto"/>
                <w:lang w:val="en-US" w:eastAsia="zh-CN"/>
              </w:rPr>
            </w:pPr>
            <w:r>
              <w:rPr>
                <w:rFonts w:hint="default"/>
                <w:color w:val="auto"/>
                <w:lang w:val="en-US" w:eastAsia="zh-CN"/>
              </w:rPr>
              <w:t>5.87</w:t>
            </w:r>
          </w:p>
        </w:tc>
      </w:tr>
      <w:tr w14:paraId="240EC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4" w:hRule="atLeast"/>
          <w:jc w:val="center"/>
        </w:trPr>
        <w:tc>
          <w:tcPr>
            <w:tcW w:w="956" w:type="dxa"/>
            <w:vMerge w:val="continue"/>
            <w:vAlign w:val="center"/>
          </w:tcPr>
          <w:p w14:paraId="7510CB8F">
            <w:pPr>
              <w:spacing w:line="240" w:lineRule="auto"/>
              <w:ind w:firstLine="0" w:firstLineChars="0"/>
              <w:jc w:val="center"/>
              <w:rPr>
                <w:color w:val="auto"/>
                <w:sz w:val="21"/>
                <w:szCs w:val="21"/>
              </w:rPr>
            </w:pPr>
          </w:p>
        </w:tc>
        <w:tc>
          <w:tcPr>
            <w:tcW w:w="1195" w:type="dxa"/>
            <w:vMerge w:val="continue"/>
            <w:vAlign w:val="center"/>
          </w:tcPr>
          <w:p w14:paraId="1FF22CB0">
            <w:pPr>
              <w:spacing w:line="240" w:lineRule="auto"/>
              <w:ind w:firstLine="0" w:firstLineChars="0"/>
              <w:jc w:val="center"/>
              <w:rPr>
                <w:color w:val="auto"/>
                <w:sz w:val="21"/>
                <w:szCs w:val="21"/>
              </w:rPr>
            </w:pPr>
          </w:p>
        </w:tc>
        <w:tc>
          <w:tcPr>
            <w:tcW w:w="1510" w:type="dxa"/>
            <w:vMerge w:val="continue"/>
            <w:vAlign w:val="center"/>
          </w:tcPr>
          <w:p w14:paraId="58480C57">
            <w:pPr>
              <w:spacing w:line="240" w:lineRule="auto"/>
              <w:ind w:firstLine="0" w:firstLineChars="0"/>
              <w:jc w:val="center"/>
              <w:rPr>
                <w:color w:val="auto"/>
                <w:sz w:val="21"/>
                <w:szCs w:val="21"/>
              </w:rPr>
            </w:pPr>
          </w:p>
        </w:tc>
        <w:tc>
          <w:tcPr>
            <w:tcW w:w="2142" w:type="dxa"/>
            <w:shd w:val="clear" w:color="auto" w:fill="auto"/>
            <w:vAlign w:val="center"/>
          </w:tcPr>
          <w:p w14:paraId="7BE365CF">
            <w:pPr>
              <w:widowControl/>
              <w:adjustRightInd/>
              <w:snapToGrid/>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氨氮（以</w:t>
            </w:r>
            <w:r>
              <w:rPr>
                <w:rFonts w:hint="eastAsia"/>
                <w:color w:val="auto"/>
                <w:kern w:val="0"/>
                <w:sz w:val="21"/>
                <w:szCs w:val="21"/>
              </w:rPr>
              <w:t>N</w:t>
            </w:r>
            <w:r>
              <w:rPr>
                <w:rFonts w:hint="eastAsia" w:ascii="宋体" w:hAnsi="宋体" w:cs="宋体"/>
                <w:color w:val="auto"/>
                <w:kern w:val="0"/>
                <w:sz w:val="21"/>
                <w:szCs w:val="21"/>
              </w:rPr>
              <w:t>计）</w:t>
            </w:r>
          </w:p>
        </w:tc>
        <w:tc>
          <w:tcPr>
            <w:tcW w:w="1915" w:type="dxa"/>
            <w:shd w:val="clear" w:color="auto" w:fill="auto"/>
            <w:vAlign w:val="center"/>
          </w:tcPr>
          <w:p w14:paraId="14ED5812">
            <w:pPr>
              <w:pStyle w:val="178"/>
              <w:bidi w:val="0"/>
              <w:ind w:firstLine="0" w:firstLineChars="0"/>
              <w:rPr>
                <w:color w:val="auto"/>
                <w:kern w:val="0"/>
                <w:sz w:val="21"/>
                <w:szCs w:val="21"/>
              </w:rPr>
            </w:pPr>
            <w:r>
              <w:rPr>
                <w:rFonts w:hint="default"/>
                <w:color w:val="auto"/>
                <w:lang w:val="en-US" w:eastAsia="zh-CN"/>
              </w:rPr>
              <w:t>45</w:t>
            </w:r>
          </w:p>
        </w:tc>
        <w:tc>
          <w:tcPr>
            <w:tcW w:w="1440" w:type="dxa"/>
            <w:shd w:val="clear" w:color="auto" w:fill="auto"/>
            <w:vAlign w:val="center"/>
          </w:tcPr>
          <w:p w14:paraId="6E50D8C6">
            <w:pPr>
              <w:pStyle w:val="178"/>
              <w:bidi w:val="0"/>
              <w:ind w:firstLine="0" w:firstLineChars="0"/>
              <w:rPr>
                <w:rFonts w:hint="default"/>
                <w:color w:val="auto"/>
                <w:lang w:val="en-US" w:eastAsia="zh-CN"/>
              </w:rPr>
            </w:pPr>
            <w:r>
              <w:rPr>
                <w:rFonts w:hint="default"/>
                <w:color w:val="auto"/>
                <w:lang w:val="en-US" w:eastAsia="zh-CN"/>
              </w:rPr>
              <w:t>4.7</w:t>
            </w:r>
          </w:p>
        </w:tc>
      </w:tr>
      <w:tr w14:paraId="6FC01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9" w:hRule="atLeast"/>
          <w:jc w:val="center"/>
        </w:trPr>
        <w:tc>
          <w:tcPr>
            <w:tcW w:w="956" w:type="dxa"/>
            <w:vMerge w:val="continue"/>
            <w:vAlign w:val="center"/>
          </w:tcPr>
          <w:p w14:paraId="17AAF225">
            <w:pPr>
              <w:spacing w:line="240" w:lineRule="auto"/>
              <w:ind w:firstLine="0" w:firstLineChars="0"/>
              <w:jc w:val="center"/>
              <w:rPr>
                <w:color w:val="auto"/>
                <w:sz w:val="21"/>
                <w:szCs w:val="21"/>
              </w:rPr>
            </w:pPr>
          </w:p>
        </w:tc>
        <w:tc>
          <w:tcPr>
            <w:tcW w:w="1195" w:type="dxa"/>
            <w:vMerge w:val="continue"/>
            <w:vAlign w:val="center"/>
          </w:tcPr>
          <w:p w14:paraId="361CFB51">
            <w:pPr>
              <w:spacing w:line="240" w:lineRule="auto"/>
              <w:ind w:firstLine="0" w:firstLineChars="0"/>
              <w:jc w:val="center"/>
              <w:rPr>
                <w:color w:val="auto"/>
                <w:sz w:val="21"/>
                <w:szCs w:val="21"/>
              </w:rPr>
            </w:pPr>
          </w:p>
        </w:tc>
        <w:tc>
          <w:tcPr>
            <w:tcW w:w="1510" w:type="dxa"/>
            <w:vMerge w:val="continue"/>
            <w:vAlign w:val="center"/>
          </w:tcPr>
          <w:p w14:paraId="280179F8">
            <w:pPr>
              <w:spacing w:line="240" w:lineRule="auto"/>
              <w:ind w:firstLine="0" w:firstLineChars="0"/>
              <w:jc w:val="center"/>
              <w:rPr>
                <w:color w:val="auto"/>
                <w:sz w:val="21"/>
                <w:szCs w:val="21"/>
              </w:rPr>
            </w:pPr>
          </w:p>
        </w:tc>
        <w:tc>
          <w:tcPr>
            <w:tcW w:w="2142" w:type="dxa"/>
            <w:shd w:val="clear" w:color="auto" w:fill="auto"/>
            <w:vAlign w:val="center"/>
          </w:tcPr>
          <w:p w14:paraId="1D4018C3">
            <w:pPr>
              <w:widowControl/>
              <w:adjustRightInd/>
              <w:snapToGrid/>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总氮（以</w:t>
            </w:r>
            <w:r>
              <w:rPr>
                <w:rFonts w:hint="eastAsia"/>
                <w:color w:val="auto"/>
                <w:kern w:val="0"/>
                <w:sz w:val="21"/>
                <w:szCs w:val="21"/>
              </w:rPr>
              <w:t>N</w:t>
            </w:r>
            <w:r>
              <w:rPr>
                <w:rFonts w:hint="eastAsia" w:ascii="宋体" w:hAnsi="宋体" w:cs="宋体"/>
                <w:color w:val="auto"/>
                <w:kern w:val="0"/>
                <w:sz w:val="21"/>
                <w:szCs w:val="21"/>
              </w:rPr>
              <w:t>计）</w:t>
            </w:r>
          </w:p>
        </w:tc>
        <w:tc>
          <w:tcPr>
            <w:tcW w:w="1915" w:type="dxa"/>
            <w:shd w:val="clear" w:color="auto" w:fill="auto"/>
            <w:vAlign w:val="center"/>
          </w:tcPr>
          <w:p w14:paraId="4793B407">
            <w:pPr>
              <w:pStyle w:val="178"/>
              <w:bidi w:val="0"/>
              <w:ind w:firstLine="0" w:firstLineChars="0"/>
              <w:rPr>
                <w:color w:val="auto"/>
                <w:kern w:val="0"/>
                <w:sz w:val="21"/>
                <w:szCs w:val="21"/>
              </w:rPr>
            </w:pPr>
            <w:r>
              <w:rPr>
                <w:rFonts w:hint="default"/>
                <w:color w:val="auto"/>
                <w:lang w:val="en-US" w:eastAsia="zh-CN"/>
              </w:rPr>
              <w:t>70</w:t>
            </w:r>
          </w:p>
        </w:tc>
        <w:tc>
          <w:tcPr>
            <w:tcW w:w="1440" w:type="dxa"/>
            <w:shd w:val="clear" w:color="auto" w:fill="auto"/>
            <w:vAlign w:val="center"/>
          </w:tcPr>
          <w:p w14:paraId="54B69482">
            <w:pPr>
              <w:pStyle w:val="178"/>
              <w:bidi w:val="0"/>
              <w:ind w:firstLine="0" w:firstLineChars="0"/>
              <w:rPr>
                <w:rFonts w:hint="default"/>
                <w:color w:val="auto"/>
                <w:lang w:val="en-US" w:eastAsia="zh-CN"/>
              </w:rPr>
            </w:pPr>
            <w:r>
              <w:rPr>
                <w:rFonts w:hint="default"/>
                <w:color w:val="auto"/>
                <w:lang w:val="en-US" w:eastAsia="zh-CN"/>
              </w:rPr>
              <w:t>8.81</w:t>
            </w:r>
          </w:p>
        </w:tc>
      </w:tr>
      <w:tr w14:paraId="0556B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4" w:hRule="atLeast"/>
          <w:jc w:val="center"/>
        </w:trPr>
        <w:tc>
          <w:tcPr>
            <w:tcW w:w="956" w:type="dxa"/>
            <w:vMerge w:val="continue"/>
            <w:vAlign w:val="center"/>
          </w:tcPr>
          <w:p w14:paraId="08D0C0CF">
            <w:pPr>
              <w:spacing w:line="240" w:lineRule="auto"/>
              <w:ind w:firstLine="0" w:firstLineChars="0"/>
              <w:jc w:val="center"/>
              <w:rPr>
                <w:color w:val="auto"/>
                <w:sz w:val="21"/>
                <w:szCs w:val="21"/>
              </w:rPr>
            </w:pPr>
          </w:p>
        </w:tc>
        <w:tc>
          <w:tcPr>
            <w:tcW w:w="1195" w:type="dxa"/>
            <w:vMerge w:val="continue"/>
            <w:vAlign w:val="center"/>
          </w:tcPr>
          <w:p w14:paraId="44F8D98C">
            <w:pPr>
              <w:spacing w:line="240" w:lineRule="auto"/>
              <w:ind w:firstLine="0" w:firstLineChars="0"/>
              <w:jc w:val="center"/>
              <w:rPr>
                <w:color w:val="auto"/>
                <w:sz w:val="21"/>
                <w:szCs w:val="21"/>
              </w:rPr>
            </w:pPr>
          </w:p>
        </w:tc>
        <w:tc>
          <w:tcPr>
            <w:tcW w:w="1510" w:type="dxa"/>
            <w:vMerge w:val="continue"/>
            <w:vAlign w:val="center"/>
          </w:tcPr>
          <w:p w14:paraId="24107CB9">
            <w:pPr>
              <w:spacing w:line="240" w:lineRule="auto"/>
              <w:ind w:firstLine="0" w:firstLineChars="0"/>
              <w:jc w:val="center"/>
              <w:rPr>
                <w:color w:val="auto"/>
                <w:sz w:val="21"/>
                <w:szCs w:val="21"/>
              </w:rPr>
            </w:pPr>
          </w:p>
        </w:tc>
        <w:tc>
          <w:tcPr>
            <w:tcW w:w="2142" w:type="dxa"/>
            <w:shd w:val="clear" w:color="auto" w:fill="auto"/>
            <w:vAlign w:val="center"/>
          </w:tcPr>
          <w:p w14:paraId="6C07F00A">
            <w:pPr>
              <w:widowControl/>
              <w:adjustRightInd/>
              <w:snapToGrid/>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总磷（以</w:t>
            </w:r>
            <w:r>
              <w:rPr>
                <w:rFonts w:hint="eastAsia"/>
                <w:color w:val="auto"/>
                <w:kern w:val="0"/>
                <w:sz w:val="21"/>
                <w:szCs w:val="21"/>
              </w:rPr>
              <w:t>P</w:t>
            </w:r>
            <w:r>
              <w:rPr>
                <w:rFonts w:hint="eastAsia" w:ascii="宋体" w:hAnsi="宋体" w:cs="宋体"/>
                <w:color w:val="auto"/>
                <w:kern w:val="0"/>
                <w:sz w:val="21"/>
                <w:szCs w:val="21"/>
              </w:rPr>
              <w:t>计）</w:t>
            </w:r>
          </w:p>
        </w:tc>
        <w:tc>
          <w:tcPr>
            <w:tcW w:w="1915" w:type="dxa"/>
            <w:shd w:val="clear" w:color="auto" w:fill="auto"/>
            <w:vAlign w:val="center"/>
          </w:tcPr>
          <w:p w14:paraId="55FD751B">
            <w:pPr>
              <w:pStyle w:val="178"/>
              <w:bidi w:val="0"/>
              <w:ind w:firstLine="0" w:firstLineChars="0"/>
              <w:rPr>
                <w:color w:val="auto"/>
                <w:kern w:val="0"/>
                <w:sz w:val="21"/>
                <w:szCs w:val="21"/>
              </w:rPr>
            </w:pPr>
            <w:r>
              <w:rPr>
                <w:rFonts w:hint="default"/>
                <w:color w:val="auto"/>
                <w:lang w:val="en-US" w:eastAsia="zh-CN"/>
              </w:rPr>
              <w:t>8</w:t>
            </w:r>
          </w:p>
        </w:tc>
        <w:tc>
          <w:tcPr>
            <w:tcW w:w="1440" w:type="dxa"/>
            <w:shd w:val="clear" w:color="auto" w:fill="auto"/>
            <w:vAlign w:val="center"/>
          </w:tcPr>
          <w:p w14:paraId="5D20A84A">
            <w:pPr>
              <w:pStyle w:val="178"/>
              <w:bidi w:val="0"/>
              <w:ind w:firstLine="0" w:firstLineChars="0"/>
              <w:rPr>
                <w:rFonts w:hint="default"/>
                <w:color w:val="auto"/>
                <w:lang w:val="en-US" w:eastAsia="zh-CN"/>
              </w:rPr>
            </w:pPr>
            <w:r>
              <w:rPr>
                <w:rFonts w:hint="default"/>
                <w:color w:val="auto"/>
                <w:lang w:val="en-US" w:eastAsia="zh-CN"/>
              </w:rPr>
              <w:t>0.29</w:t>
            </w:r>
          </w:p>
        </w:tc>
      </w:tr>
      <w:tr w14:paraId="660E2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4" w:hRule="atLeast"/>
          <w:jc w:val="center"/>
        </w:trPr>
        <w:tc>
          <w:tcPr>
            <w:tcW w:w="956" w:type="dxa"/>
            <w:vMerge w:val="continue"/>
          </w:tcPr>
          <w:p w14:paraId="2B9EBD6B">
            <w:pPr>
              <w:spacing w:line="240" w:lineRule="auto"/>
              <w:ind w:firstLine="0" w:firstLineChars="0"/>
              <w:jc w:val="center"/>
              <w:rPr>
                <w:color w:val="auto"/>
                <w:sz w:val="21"/>
                <w:szCs w:val="21"/>
              </w:rPr>
            </w:pPr>
          </w:p>
        </w:tc>
        <w:tc>
          <w:tcPr>
            <w:tcW w:w="1195" w:type="dxa"/>
            <w:vMerge w:val="continue"/>
          </w:tcPr>
          <w:p w14:paraId="5DC625C4">
            <w:pPr>
              <w:spacing w:line="240" w:lineRule="auto"/>
              <w:ind w:firstLine="0" w:firstLineChars="0"/>
              <w:jc w:val="center"/>
              <w:rPr>
                <w:color w:val="auto"/>
                <w:sz w:val="21"/>
                <w:szCs w:val="21"/>
              </w:rPr>
            </w:pPr>
          </w:p>
        </w:tc>
        <w:tc>
          <w:tcPr>
            <w:tcW w:w="1510" w:type="dxa"/>
            <w:vMerge w:val="continue"/>
          </w:tcPr>
          <w:p w14:paraId="7B4A0494">
            <w:pPr>
              <w:spacing w:line="240" w:lineRule="auto"/>
              <w:ind w:firstLine="0" w:firstLineChars="0"/>
              <w:jc w:val="center"/>
              <w:rPr>
                <w:color w:val="auto"/>
                <w:sz w:val="21"/>
                <w:szCs w:val="21"/>
              </w:rPr>
            </w:pPr>
          </w:p>
        </w:tc>
        <w:tc>
          <w:tcPr>
            <w:tcW w:w="2142" w:type="dxa"/>
            <w:shd w:val="clear" w:color="auto" w:fill="auto"/>
            <w:vAlign w:val="center"/>
          </w:tcPr>
          <w:p w14:paraId="1D016196">
            <w:pPr>
              <w:widowControl/>
              <w:adjustRightInd/>
              <w:snapToGrid/>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总有机碳（</w:t>
            </w:r>
            <w:r>
              <w:rPr>
                <w:rFonts w:hint="eastAsia"/>
                <w:color w:val="auto"/>
                <w:kern w:val="0"/>
                <w:sz w:val="21"/>
                <w:szCs w:val="21"/>
              </w:rPr>
              <w:t>TOC</w:t>
            </w:r>
            <w:r>
              <w:rPr>
                <w:rFonts w:hint="eastAsia" w:ascii="宋体" w:hAnsi="宋体" w:cs="宋体"/>
                <w:color w:val="auto"/>
                <w:kern w:val="0"/>
                <w:sz w:val="21"/>
                <w:szCs w:val="21"/>
              </w:rPr>
              <w:t>）</w:t>
            </w:r>
          </w:p>
        </w:tc>
        <w:tc>
          <w:tcPr>
            <w:tcW w:w="1915" w:type="dxa"/>
            <w:shd w:val="clear" w:color="auto" w:fill="auto"/>
            <w:vAlign w:val="center"/>
          </w:tcPr>
          <w:p w14:paraId="4F953134">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150</w:t>
            </w:r>
          </w:p>
        </w:tc>
        <w:tc>
          <w:tcPr>
            <w:tcW w:w="1440" w:type="dxa"/>
            <w:shd w:val="clear" w:color="auto" w:fill="auto"/>
            <w:vAlign w:val="center"/>
          </w:tcPr>
          <w:p w14:paraId="51657A5B">
            <w:pPr>
              <w:pStyle w:val="178"/>
              <w:bidi w:val="0"/>
              <w:ind w:firstLine="0" w:firstLineChars="0"/>
              <w:rPr>
                <w:rFonts w:hint="default"/>
                <w:color w:val="auto"/>
                <w:lang w:val="en-US" w:eastAsia="zh-CN"/>
              </w:rPr>
            </w:pPr>
            <w:r>
              <w:rPr>
                <w:rFonts w:hint="default"/>
                <w:color w:val="auto"/>
                <w:lang w:val="en-US" w:eastAsia="zh-CN"/>
              </w:rPr>
              <w:t>88.02</w:t>
            </w:r>
          </w:p>
        </w:tc>
      </w:tr>
      <w:tr w14:paraId="20418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4" w:hRule="atLeast"/>
          <w:jc w:val="center"/>
        </w:trPr>
        <w:tc>
          <w:tcPr>
            <w:tcW w:w="956" w:type="dxa"/>
            <w:vMerge w:val="continue"/>
          </w:tcPr>
          <w:p w14:paraId="273D0D9A">
            <w:pPr>
              <w:spacing w:line="240" w:lineRule="auto"/>
              <w:ind w:firstLine="0" w:firstLineChars="0"/>
              <w:jc w:val="center"/>
              <w:rPr>
                <w:color w:val="auto"/>
                <w:sz w:val="21"/>
                <w:szCs w:val="21"/>
              </w:rPr>
            </w:pPr>
          </w:p>
        </w:tc>
        <w:tc>
          <w:tcPr>
            <w:tcW w:w="1195" w:type="dxa"/>
            <w:vMerge w:val="continue"/>
          </w:tcPr>
          <w:p w14:paraId="55796404">
            <w:pPr>
              <w:spacing w:line="240" w:lineRule="auto"/>
              <w:ind w:firstLine="0" w:firstLineChars="0"/>
              <w:jc w:val="center"/>
              <w:rPr>
                <w:color w:val="auto"/>
                <w:sz w:val="21"/>
                <w:szCs w:val="21"/>
              </w:rPr>
            </w:pPr>
          </w:p>
        </w:tc>
        <w:tc>
          <w:tcPr>
            <w:tcW w:w="1510" w:type="dxa"/>
            <w:vMerge w:val="continue"/>
          </w:tcPr>
          <w:p w14:paraId="552E7D09">
            <w:pPr>
              <w:spacing w:line="240" w:lineRule="auto"/>
              <w:ind w:firstLine="0" w:firstLineChars="0"/>
              <w:jc w:val="center"/>
              <w:rPr>
                <w:color w:val="auto"/>
                <w:sz w:val="21"/>
                <w:szCs w:val="21"/>
              </w:rPr>
            </w:pPr>
          </w:p>
        </w:tc>
        <w:tc>
          <w:tcPr>
            <w:tcW w:w="2142" w:type="dxa"/>
            <w:shd w:val="clear" w:color="auto" w:fill="auto"/>
            <w:vAlign w:val="center"/>
          </w:tcPr>
          <w:p w14:paraId="062100E6">
            <w:pPr>
              <w:widowControl/>
              <w:adjustRightInd/>
              <w:snapToGrid/>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石油类</w:t>
            </w:r>
          </w:p>
        </w:tc>
        <w:tc>
          <w:tcPr>
            <w:tcW w:w="1915" w:type="dxa"/>
            <w:shd w:val="clear" w:color="auto" w:fill="auto"/>
            <w:vAlign w:val="center"/>
          </w:tcPr>
          <w:p w14:paraId="267C647D">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15</w:t>
            </w:r>
          </w:p>
        </w:tc>
        <w:tc>
          <w:tcPr>
            <w:tcW w:w="1440" w:type="dxa"/>
            <w:shd w:val="clear" w:color="auto" w:fill="auto"/>
            <w:vAlign w:val="center"/>
          </w:tcPr>
          <w:p w14:paraId="3A572BAA">
            <w:pPr>
              <w:pStyle w:val="178"/>
              <w:bidi w:val="0"/>
              <w:ind w:firstLine="0" w:firstLineChars="0"/>
              <w:rPr>
                <w:rFonts w:hint="default"/>
                <w:color w:val="auto"/>
                <w:lang w:val="en-US" w:eastAsia="zh-CN"/>
              </w:rPr>
            </w:pPr>
            <w:r>
              <w:rPr>
                <w:rFonts w:hint="default"/>
                <w:color w:val="auto"/>
                <w:lang w:val="en-US" w:eastAsia="zh-CN"/>
              </w:rPr>
              <w:t>0.59</w:t>
            </w:r>
          </w:p>
        </w:tc>
      </w:tr>
      <w:tr w14:paraId="2395C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9" w:hRule="atLeast"/>
          <w:jc w:val="center"/>
        </w:trPr>
        <w:tc>
          <w:tcPr>
            <w:tcW w:w="956" w:type="dxa"/>
            <w:vMerge w:val="continue"/>
          </w:tcPr>
          <w:p w14:paraId="57017EA4">
            <w:pPr>
              <w:spacing w:line="240" w:lineRule="auto"/>
              <w:ind w:firstLine="0" w:firstLineChars="0"/>
              <w:jc w:val="center"/>
              <w:rPr>
                <w:color w:val="auto"/>
                <w:sz w:val="21"/>
                <w:szCs w:val="21"/>
              </w:rPr>
            </w:pPr>
          </w:p>
        </w:tc>
        <w:tc>
          <w:tcPr>
            <w:tcW w:w="1195" w:type="dxa"/>
            <w:vMerge w:val="continue"/>
          </w:tcPr>
          <w:p w14:paraId="294C7959">
            <w:pPr>
              <w:spacing w:line="240" w:lineRule="auto"/>
              <w:ind w:firstLine="0" w:firstLineChars="0"/>
              <w:jc w:val="center"/>
              <w:rPr>
                <w:color w:val="auto"/>
                <w:sz w:val="21"/>
                <w:szCs w:val="21"/>
              </w:rPr>
            </w:pPr>
          </w:p>
        </w:tc>
        <w:tc>
          <w:tcPr>
            <w:tcW w:w="1510" w:type="dxa"/>
            <w:vMerge w:val="continue"/>
          </w:tcPr>
          <w:p w14:paraId="49A09E88">
            <w:pPr>
              <w:spacing w:line="240" w:lineRule="auto"/>
              <w:ind w:firstLine="0" w:firstLineChars="0"/>
              <w:jc w:val="center"/>
              <w:rPr>
                <w:color w:val="auto"/>
                <w:sz w:val="21"/>
                <w:szCs w:val="21"/>
              </w:rPr>
            </w:pPr>
          </w:p>
        </w:tc>
        <w:tc>
          <w:tcPr>
            <w:tcW w:w="2142" w:type="dxa"/>
            <w:shd w:val="clear" w:color="auto" w:fill="auto"/>
            <w:vAlign w:val="center"/>
          </w:tcPr>
          <w:p w14:paraId="0928049A">
            <w:pPr>
              <w:widowControl/>
              <w:adjustRightInd/>
              <w:snapToGrid/>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硫化物</w:t>
            </w:r>
          </w:p>
        </w:tc>
        <w:tc>
          <w:tcPr>
            <w:tcW w:w="1915" w:type="dxa"/>
            <w:shd w:val="clear" w:color="auto" w:fill="auto"/>
            <w:vAlign w:val="center"/>
          </w:tcPr>
          <w:p w14:paraId="0C1B9CCC">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1</w:t>
            </w:r>
          </w:p>
        </w:tc>
        <w:tc>
          <w:tcPr>
            <w:tcW w:w="1440" w:type="dxa"/>
            <w:shd w:val="clear" w:color="auto" w:fill="auto"/>
            <w:vAlign w:val="center"/>
          </w:tcPr>
          <w:p w14:paraId="24B8706D">
            <w:pPr>
              <w:pStyle w:val="178"/>
              <w:bidi w:val="0"/>
              <w:ind w:firstLine="0" w:firstLineChars="0"/>
              <w:rPr>
                <w:rFonts w:hint="default"/>
                <w:color w:val="auto"/>
                <w:lang w:val="en-US" w:eastAsia="zh-CN"/>
              </w:rPr>
            </w:pPr>
            <w:r>
              <w:rPr>
                <w:rFonts w:hint="default"/>
                <w:color w:val="auto"/>
                <w:lang w:val="en-US" w:eastAsia="zh-CN"/>
              </w:rPr>
              <w:t>0.59</w:t>
            </w:r>
          </w:p>
        </w:tc>
      </w:tr>
      <w:tr w14:paraId="2213F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9" w:hRule="atLeast"/>
          <w:jc w:val="center"/>
        </w:trPr>
        <w:tc>
          <w:tcPr>
            <w:tcW w:w="956" w:type="dxa"/>
            <w:vMerge w:val="continue"/>
          </w:tcPr>
          <w:p w14:paraId="32EBE796">
            <w:pPr>
              <w:spacing w:line="240" w:lineRule="auto"/>
              <w:ind w:firstLine="0" w:firstLineChars="0"/>
              <w:jc w:val="center"/>
              <w:rPr>
                <w:color w:val="auto"/>
                <w:sz w:val="21"/>
                <w:szCs w:val="21"/>
              </w:rPr>
            </w:pPr>
          </w:p>
        </w:tc>
        <w:tc>
          <w:tcPr>
            <w:tcW w:w="1195" w:type="dxa"/>
            <w:vMerge w:val="continue"/>
          </w:tcPr>
          <w:p w14:paraId="66FA5AEA">
            <w:pPr>
              <w:spacing w:line="240" w:lineRule="auto"/>
              <w:ind w:firstLine="0" w:firstLineChars="0"/>
              <w:jc w:val="center"/>
              <w:rPr>
                <w:color w:val="auto"/>
                <w:sz w:val="21"/>
                <w:szCs w:val="21"/>
              </w:rPr>
            </w:pPr>
          </w:p>
        </w:tc>
        <w:tc>
          <w:tcPr>
            <w:tcW w:w="1510" w:type="dxa"/>
            <w:vMerge w:val="continue"/>
          </w:tcPr>
          <w:p w14:paraId="64E8E86B">
            <w:pPr>
              <w:spacing w:line="240" w:lineRule="auto"/>
              <w:ind w:firstLine="0" w:firstLineChars="0"/>
              <w:jc w:val="center"/>
              <w:rPr>
                <w:color w:val="auto"/>
                <w:sz w:val="21"/>
                <w:szCs w:val="21"/>
              </w:rPr>
            </w:pPr>
          </w:p>
        </w:tc>
        <w:tc>
          <w:tcPr>
            <w:tcW w:w="2142" w:type="dxa"/>
            <w:shd w:val="clear" w:color="auto" w:fill="auto"/>
            <w:vAlign w:val="center"/>
          </w:tcPr>
          <w:p w14:paraId="4F760CF4">
            <w:pPr>
              <w:widowControl/>
              <w:adjustRightInd/>
              <w:snapToGrid/>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氟化物</w:t>
            </w:r>
          </w:p>
        </w:tc>
        <w:tc>
          <w:tcPr>
            <w:tcW w:w="1915" w:type="dxa"/>
            <w:shd w:val="clear" w:color="auto" w:fill="auto"/>
            <w:vAlign w:val="center"/>
          </w:tcPr>
          <w:p w14:paraId="5782869A">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20</w:t>
            </w:r>
          </w:p>
        </w:tc>
        <w:tc>
          <w:tcPr>
            <w:tcW w:w="1440" w:type="dxa"/>
            <w:shd w:val="clear" w:color="auto" w:fill="auto"/>
            <w:vAlign w:val="center"/>
          </w:tcPr>
          <w:p w14:paraId="2BF4A7AB">
            <w:pPr>
              <w:pStyle w:val="178"/>
              <w:bidi w:val="0"/>
              <w:ind w:firstLine="0" w:firstLineChars="0"/>
              <w:rPr>
                <w:rFonts w:hint="default"/>
                <w:color w:val="auto"/>
                <w:lang w:val="en-US" w:eastAsia="zh-CN"/>
              </w:rPr>
            </w:pPr>
            <w:r>
              <w:rPr>
                <w:rFonts w:hint="default"/>
                <w:color w:val="auto"/>
                <w:lang w:val="en-US" w:eastAsia="zh-CN"/>
              </w:rPr>
              <w:t>11.71</w:t>
            </w:r>
          </w:p>
        </w:tc>
      </w:tr>
      <w:tr w14:paraId="7CAFE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9" w:hRule="atLeast"/>
          <w:jc w:val="center"/>
        </w:trPr>
        <w:tc>
          <w:tcPr>
            <w:tcW w:w="956" w:type="dxa"/>
            <w:vMerge w:val="continue"/>
          </w:tcPr>
          <w:p w14:paraId="3EA301D2">
            <w:pPr>
              <w:spacing w:line="240" w:lineRule="auto"/>
              <w:ind w:firstLine="0" w:firstLineChars="0"/>
              <w:jc w:val="center"/>
              <w:rPr>
                <w:color w:val="auto"/>
                <w:sz w:val="21"/>
                <w:szCs w:val="21"/>
              </w:rPr>
            </w:pPr>
          </w:p>
        </w:tc>
        <w:tc>
          <w:tcPr>
            <w:tcW w:w="1195" w:type="dxa"/>
            <w:vMerge w:val="continue"/>
          </w:tcPr>
          <w:p w14:paraId="19807DD9">
            <w:pPr>
              <w:spacing w:line="240" w:lineRule="auto"/>
              <w:ind w:firstLine="0" w:firstLineChars="0"/>
              <w:jc w:val="center"/>
              <w:rPr>
                <w:color w:val="auto"/>
                <w:sz w:val="21"/>
                <w:szCs w:val="21"/>
              </w:rPr>
            </w:pPr>
          </w:p>
        </w:tc>
        <w:tc>
          <w:tcPr>
            <w:tcW w:w="1510" w:type="dxa"/>
            <w:vMerge w:val="continue"/>
          </w:tcPr>
          <w:p w14:paraId="5D4BAAE9">
            <w:pPr>
              <w:spacing w:line="240" w:lineRule="auto"/>
              <w:ind w:firstLine="0" w:firstLineChars="0"/>
              <w:jc w:val="center"/>
              <w:rPr>
                <w:color w:val="auto"/>
                <w:sz w:val="21"/>
                <w:szCs w:val="21"/>
              </w:rPr>
            </w:pPr>
          </w:p>
        </w:tc>
        <w:tc>
          <w:tcPr>
            <w:tcW w:w="2142" w:type="dxa"/>
            <w:shd w:val="clear" w:color="auto" w:fill="auto"/>
            <w:vAlign w:val="center"/>
          </w:tcPr>
          <w:p w14:paraId="65A92430">
            <w:pPr>
              <w:widowControl/>
              <w:adjustRightInd/>
              <w:snapToGrid/>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氯化物（以</w:t>
            </w:r>
            <w:r>
              <w:rPr>
                <w:rFonts w:hint="eastAsia"/>
                <w:color w:val="auto"/>
                <w:kern w:val="0"/>
                <w:sz w:val="21"/>
                <w:szCs w:val="21"/>
              </w:rPr>
              <w:t>Cl</w:t>
            </w:r>
            <w:r>
              <w:rPr>
                <w:rFonts w:hint="eastAsia" w:ascii="宋体" w:hAnsi="宋体" w:cs="宋体"/>
                <w:color w:val="auto"/>
                <w:kern w:val="0"/>
                <w:sz w:val="21"/>
                <w:szCs w:val="21"/>
              </w:rPr>
              <w:t>计）</w:t>
            </w:r>
          </w:p>
        </w:tc>
        <w:tc>
          <w:tcPr>
            <w:tcW w:w="1915" w:type="dxa"/>
            <w:shd w:val="clear" w:color="auto" w:fill="auto"/>
            <w:vAlign w:val="center"/>
          </w:tcPr>
          <w:p w14:paraId="0801DEF9">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3000</w:t>
            </w:r>
          </w:p>
        </w:tc>
        <w:tc>
          <w:tcPr>
            <w:tcW w:w="1440" w:type="dxa"/>
            <w:shd w:val="clear" w:color="auto" w:fill="auto"/>
            <w:vAlign w:val="center"/>
          </w:tcPr>
          <w:p w14:paraId="1759A39E">
            <w:pPr>
              <w:pStyle w:val="178"/>
              <w:bidi w:val="0"/>
              <w:ind w:firstLine="0" w:firstLineChars="0"/>
              <w:rPr>
                <w:rFonts w:hint="default"/>
                <w:color w:val="auto"/>
                <w:lang w:val="en-US" w:eastAsia="zh-CN"/>
              </w:rPr>
            </w:pPr>
            <w:r>
              <w:rPr>
                <w:rFonts w:hint="default"/>
                <w:color w:val="auto"/>
                <w:lang w:val="en-US" w:eastAsia="zh-CN"/>
              </w:rPr>
              <w:t>1760.4</w:t>
            </w:r>
          </w:p>
        </w:tc>
      </w:tr>
      <w:tr w14:paraId="22A42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9" w:hRule="atLeast"/>
          <w:jc w:val="center"/>
        </w:trPr>
        <w:tc>
          <w:tcPr>
            <w:tcW w:w="956" w:type="dxa"/>
            <w:vMerge w:val="continue"/>
          </w:tcPr>
          <w:p w14:paraId="12CD60A2">
            <w:pPr>
              <w:spacing w:line="240" w:lineRule="auto"/>
              <w:ind w:firstLine="0" w:firstLineChars="0"/>
              <w:jc w:val="center"/>
              <w:rPr>
                <w:color w:val="auto"/>
                <w:sz w:val="21"/>
                <w:szCs w:val="21"/>
              </w:rPr>
            </w:pPr>
          </w:p>
        </w:tc>
        <w:tc>
          <w:tcPr>
            <w:tcW w:w="1195" w:type="dxa"/>
            <w:vMerge w:val="continue"/>
          </w:tcPr>
          <w:p w14:paraId="6AF40D27">
            <w:pPr>
              <w:spacing w:line="240" w:lineRule="auto"/>
              <w:ind w:firstLine="0" w:firstLineChars="0"/>
              <w:jc w:val="center"/>
              <w:rPr>
                <w:color w:val="auto"/>
                <w:sz w:val="21"/>
                <w:szCs w:val="21"/>
              </w:rPr>
            </w:pPr>
          </w:p>
        </w:tc>
        <w:tc>
          <w:tcPr>
            <w:tcW w:w="1510" w:type="dxa"/>
            <w:vMerge w:val="continue"/>
          </w:tcPr>
          <w:p w14:paraId="733F09FC">
            <w:pPr>
              <w:spacing w:line="240" w:lineRule="auto"/>
              <w:ind w:firstLine="0" w:firstLineChars="0"/>
              <w:jc w:val="center"/>
              <w:rPr>
                <w:color w:val="auto"/>
                <w:sz w:val="21"/>
                <w:szCs w:val="21"/>
              </w:rPr>
            </w:pPr>
          </w:p>
        </w:tc>
        <w:tc>
          <w:tcPr>
            <w:tcW w:w="2142" w:type="dxa"/>
            <w:shd w:val="clear" w:color="auto" w:fill="auto"/>
            <w:vAlign w:val="center"/>
          </w:tcPr>
          <w:p w14:paraId="1FF4D3D3">
            <w:pPr>
              <w:widowControl/>
              <w:adjustRightInd/>
              <w:snapToGrid/>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溶解性总固体（</w:t>
            </w:r>
            <w:r>
              <w:rPr>
                <w:rFonts w:hint="eastAsia"/>
                <w:color w:val="auto"/>
                <w:kern w:val="0"/>
                <w:sz w:val="21"/>
                <w:szCs w:val="21"/>
              </w:rPr>
              <w:t>TDS</w:t>
            </w:r>
            <w:r>
              <w:rPr>
                <w:rFonts w:hint="eastAsia" w:ascii="宋体" w:hAnsi="宋体" w:cs="宋体"/>
                <w:color w:val="auto"/>
                <w:kern w:val="0"/>
                <w:sz w:val="21"/>
                <w:szCs w:val="21"/>
              </w:rPr>
              <w:t>）</w:t>
            </w:r>
          </w:p>
        </w:tc>
        <w:tc>
          <w:tcPr>
            <w:tcW w:w="1915" w:type="dxa"/>
            <w:shd w:val="clear" w:color="auto" w:fill="auto"/>
            <w:vAlign w:val="center"/>
          </w:tcPr>
          <w:p w14:paraId="5E6F4F3C">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4000</w:t>
            </w:r>
          </w:p>
        </w:tc>
        <w:tc>
          <w:tcPr>
            <w:tcW w:w="1440" w:type="dxa"/>
            <w:shd w:val="clear" w:color="auto" w:fill="auto"/>
            <w:vAlign w:val="center"/>
          </w:tcPr>
          <w:p w14:paraId="73801CD4">
            <w:pPr>
              <w:pStyle w:val="178"/>
              <w:bidi w:val="0"/>
              <w:ind w:firstLine="0" w:firstLineChars="0"/>
              <w:rPr>
                <w:rFonts w:hint="default"/>
                <w:color w:val="auto"/>
                <w:lang w:val="en-US" w:eastAsia="zh-CN"/>
              </w:rPr>
            </w:pPr>
            <w:r>
              <w:rPr>
                <w:rFonts w:hint="default"/>
                <w:color w:val="auto"/>
                <w:lang w:val="en-US" w:eastAsia="zh-CN"/>
              </w:rPr>
              <w:t>2347.2</w:t>
            </w:r>
          </w:p>
        </w:tc>
      </w:tr>
      <w:tr w14:paraId="6DFEE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9" w:hRule="atLeast"/>
          <w:jc w:val="center"/>
        </w:trPr>
        <w:tc>
          <w:tcPr>
            <w:tcW w:w="956" w:type="dxa"/>
            <w:vMerge w:val="continue"/>
          </w:tcPr>
          <w:p w14:paraId="6209D52B">
            <w:pPr>
              <w:spacing w:line="240" w:lineRule="auto"/>
              <w:ind w:firstLine="0" w:firstLineChars="0"/>
              <w:jc w:val="center"/>
              <w:rPr>
                <w:color w:val="auto"/>
                <w:sz w:val="21"/>
                <w:szCs w:val="21"/>
              </w:rPr>
            </w:pPr>
          </w:p>
        </w:tc>
        <w:tc>
          <w:tcPr>
            <w:tcW w:w="1195" w:type="dxa"/>
            <w:vMerge w:val="continue"/>
          </w:tcPr>
          <w:p w14:paraId="4F46F72C">
            <w:pPr>
              <w:spacing w:line="240" w:lineRule="auto"/>
              <w:ind w:firstLine="0" w:firstLineChars="0"/>
              <w:jc w:val="center"/>
              <w:rPr>
                <w:color w:val="auto"/>
                <w:sz w:val="21"/>
                <w:szCs w:val="21"/>
              </w:rPr>
            </w:pPr>
          </w:p>
        </w:tc>
        <w:tc>
          <w:tcPr>
            <w:tcW w:w="1510" w:type="dxa"/>
            <w:vMerge w:val="continue"/>
          </w:tcPr>
          <w:p w14:paraId="373BF1C0">
            <w:pPr>
              <w:spacing w:line="240" w:lineRule="auto"/>
              <w:ind w:firstLine="0" w:firstLineChars="0"/>
              <w:jc w:val="center"/>
              <w:rPr>
                <w:color w:val="auto"/>
                <w:sz w:val="21"/>
                <w:szCs w:val="21"/>
              </w:rPr>
            </w:pPr>
          </w:p>
        </w:tc>
        <w:tc>
          <w:tcPr>
            <w:tcW w:w="2142" w:type="dxa"/>
            <w:shd w:val="clear" w:color="auto" w:fill="auto"/>
            <w:vAlign w:val="center"/>
          </w:tcPr>
          <w:p w14:paraId="7CE4B36F">
            <w:pPr>
              <w:widowControl/>
              <w:adjustRightInd/>
              <w:snapToGrid/>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阴离子表面活性剂（</w:t>
            </w:r>
            <w:r>
              <w:rPr>
                <w:rFonts w:hint="eastAsia"/>
                <w:color w:val="auto"/>
                <w:kern w:val="0"/>
                <w:sz w:val="21"/>
                <w:szCs w:val="21"/>
              </w:rPr>
              <w:t>LAS</w:t>
            </w:r>
            <w:r>
              <w:rPr>
                <w:rFonts w:hint="eastAsia" w:ascii="宋体" w:hAnsi="宋体" w:cs="宋体"/>
                <w:color w:val="auto"/>
                <w:kern w:val="0"/>
                <w:sz w:val="21"/>
                <w:szCs w:val="21"/>
              </w:rPr>
              <w:t>）</w:t>
            </w:r>
          </w:p>
        </w:tc>
        <w:tc>
          <w:tcPr>
            <w:tcW w:w="1915" w:type="dxa"/>
            <w:shd w:val="clear" w:color="auto" w:fill="auto"/>
            <w:vAlign w:val="center"/>
          </w:tcPr>
          <w:p w14:paraId="6C098F84">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20</w:t>
            </w:r>
          </w:p>
        </w:tc>
        <w:tc>
          <w:tcPr>
            <w:tcW w:w="1440" w:type="dxa"/>
            <w:shd w:val="clear" w:color="auto" w:fill="auto"/>
            <w:vAlign w:val="center"/>
          </w:tcPr>
          <w:p w14:paraId="32DCEC44">
            <w:pPr>
              <w:pStyle w:val="178"/>
              <w:bidi w:val="0"/>
              <w:ind w:firstLine="0" w:firstLineChars="0"/>
              <w:rPr>
                <w:rFonts w:hint="default"/>
                <w:color w:val="auto"/>
                <w:lang w:val="en-US" w:eastAsia="zh-CN"/>
              </w:rPr>
            </w:pPr>
            <w:r>
              <w:rPr>
                <w:rFonts w:hint="default"/>
                <w:color w:val="auto"/>
                <w:lang w:val="en-US" w:eastAsia="zh-CN"/>
              </w:rPr>
              <w:t>0.29</w:t>
            </w:r>
          </w:p>
        </w:tc>
      </w:tr>
      <w:tr w14:paraId="680E7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9" w:hRule="atLeast"/>
          <w:jc w:val="center"/>
        </w:trPr>
        <w:tc>
          <w:tcPr>
            <w:tcW w:w="956" w:type="dxa"/>
            <w:vMerge w:val="continue"/>
          </w:tcPr>
          <w:p w14:paraId="43035A65">
            <w:pPr>
              <w:spacing w:line="240" w:lineRule="auto"/>
              <w:ind w:firstLine="0" w:firstLineChars="0"/>
              <w:jc w:val="center"/>
              <w:rPr>
                <w:color w:val="auto"/>
                <w:sz w:val="21"/>
                <w:szCs w:val="21"/>
              </w:rPr>
            </w:pPr>
          </w:p>
        </w:tc>
        <w:tc>
          <w:tcPr>
            <w:tcW w:w="1195" w:type="dxa"/>
            <w:vMerge w:val="continue"/>
          </w:tcPr>
          <w:p w14:paraId="6A9C3661">
            <w:pPr>
              <w:spacing w:line="240" w:lineRule="auto"/>
              <w:ind w:firstLine="0" w:firstLineChars="0"/>
              <w:jc w:val="center"/>
              <w:rPr>
                <w:color w:val="auto"/>
                <w:sz w:val="21"/>
                <w:szCs w:val="21"/>
              </w:rPr>
            </w:pPr>
          </w:p>
        </w:tc>
        <w:tc>
          <w:tcPr>
            <w:tcW w:w="1510" w:type="dxa"/>
            <w:vMerge w:val="continue"/>
          </w:tcPr>
          <w:p w14:paraId="24A06B97">
            <w:pPr>
              <w:spacing w:line="240" w:lineRule="auto"/>
              <w:ind w:firstLine="0" w:firstLineChars="0"/>
              <w:jc w:val="center"/>
              <w:rPr>
                <w:color w:val="auto"/>
                <w:sz w:val="21"/>
                <w:szCs w:val="21"/>
              </w:rPr>
            </w:pPr>
          </w:p>
        </w:tc>
        <w:tc>
          <w:tcPr>
            <w:tcW w:w="2142" w:type="dxa"/>
            <w:shd w:val="clear" w:color="auto" w:fill="auto"/>
            <w:vAlign w:val="center"/>
          </w:tcPr>
          <w:p w14:paraId="64E5A7AE">
            <w:pPr>
              <w:widowControl/>
              <w:adjustRightInd/>
              <w:snapToGrid/>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挥发酚</w:t>
            </w:r>
          </w:p>
        </w:tc>
        <w:tc>
          <w:tcPr>
            <w:tcW w:w="1915" w:type="dxa"/>
            <w:shd w:val="clear" w:color="auto" w:fill="auto"/>
            <w:vAlign w:val="center"/>
          </w:tcPr>
          <w:p w14:paraId="3FFACF79">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0.5</w:t>
            </w:r>
          </w:p>
        </w:tc>
        <w:tc>
          <w:tcPr>
            <w:tcW w:w="1440" w:type="dxa"/>
            <w:shd w:val="clear" w:color="auto" w:fill="auto"/>
            <w:vAlign w:val="center"/>
          </w:tcPr>
          <w:p w14:paraId="2C1EB9F8">
            <w:pPr>
              <w:pStyle w:val="178"/>
              <w:bidi w:val="0"/>
              <w:ind w:firstLine="0" w:firstLineChars="0"/>
              <w:rPr>
                <w:rFonts w:hint="default"/>
                <w:color w:val="auto"/>
                <w:lang w:val="en-US" w:eastAsia="zh-CN"/>
              </w:rPr>
            </w:pPr>
            <w:r>
              <w:rPr>
                <w:rFonts w:hint="default"/>
                <w:color w:val="auto"/>
                <w:lang w:val="en-US" w:eastAsia="zh-CN"/>
              </w:rPr>
              <w:t>0.29</w:t>
            </w:r>
          </w:p>
        </w:tc>
      </w:tr>
      <w:tr w14:paraId="690AA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9" w:hRule="atLeast"/>
          <w:jc w:val="center"/>
        </w:trPr>
        <w:tc>
          <w:tcPr>
            <w:tcW w:w="956" w:type="dxa"/>
            <w:vMerge w:val="continue"/>
          </w:tcPr>
          <w:p w14:paraId="5EF022AA">
            <w:pPr>
              <w:spacing w:line="240" w:lineRule="auto"/>
              <w:ind w:firstLine="0" w:firstLineChars="0"/>
              <w:jc w:val="center"/>
              <w:rPr>
                <w:color w:val="auto"/>
                <w:sz w:val="21"/>
                <w:szCs w:val="21"/>
              </w:rPr>
            </w:pPr>
          </w:p>
        </w:tc>
        <w:tc>
          <w:tcPr>
            <w:tcW w:w="1195" w:type="dxa"/>
            <w:vMerge w:val="continue"/>
          </w:tcPr>
          <w:p w14:paraId="4FA9A924">
            <w:pPr>
              <w:spacing w:line="240" w:lineRule="auto"/>
              <w:ind w:firstLine="0" w:firstLineChars="0"/>
              <w:jc w:val="center"/>
              <w:rPr>
                <w:color w:val="auto"/>
                <w:sz w:val="21"/>
                <w:szCs w:val="21"/>
              </w:rPr>
            </w:pPr>
          </w:p>
        </w:tc>
        <w:tc>
          <w:tcPr>
            <w:tcW w:w="1510" w:type="dxa"/>
            <w:vMerge w:val="continue"/>
          </w:tcPr>
          <w:p w14:paraId="56BB7E17">
            <w:pPr>
              <w:spacing w:line="240" w:lineRule="auto"/>
              <w:ind w:firstLine="0" w:firstLineChars="0"/>
              <w:jc w:val="center"/>
              <w:rPr>
                <w:color w:val="auto"/>
                <w:sz w:val="21"/>
                <w:szCs w:val="21"/>
              </w:rPr>
            </w:pPr>
          </w:p>
        </w:tc>
        <w:tc>
          <w:tcPr>
            <w:tcW w:w="2142" w:type="dxa"/>
            <w:shd w:val="clear" w:color="auto" w:fill="auto"/>
            <w:vAlign w:val="center"/>
          </w:tcPr>
          <w:p w14:paraId="3525AA9A">
            <w:pPr>
              <w:widowControl/>
              <w:adjustRightInd/>
              <w:snapToGrid/>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硼</w:t>
            </w:r>
          </w:p>
        </w:tc>
        <w:tc>
          <w:tcPr>
            <w:tcW w:w="1915" w:type="dxa"/>
            <w:shd w:val="clear" w:color="auto" w:fill="auto"/>
            <w:vAlign w:val="center"/>
          </w:tcPr>
          <w:p w14:paraId="047A9E06">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3</w:t>
            </w:r>
          </w:p>
        </w:tc>
        <w:tc>
          <w:tcPr>
            <w:tcW w:w="1440" w:type="dxa"/>
            <w:shd w:val="clear" w:color="auto" w:fill="auto"/>
            <w:vAlign w:val="center"/>
          </w:tcPr>
          <w:p w14:paraId="4BFFC900">
            <w:pPr>
              <w:pStyle w:val="178"/>
              <w:bidi w:val="0"/>
              <w:ind w:firstLine="0" w:firstLineChars="0"/>
              <w:rPr>
                <w:rFonts w:hint="default"/>
                <w:color w:val="auto"/>
                <w:lang w:val="en-US" w:eastAsia="zh-CN"/>
              </w:rPr>
            </w:pPr>
            <w:r>
              <w:rPr>
                <w:rFonts w:hint="default"/>
                <w:color w:val="auto"/>
                <w:lang w:val="en-US" w:eastAsia="zh-CN"/>
              </w:rPr>
              <w:t>1.76</w:t>
            </w:r>
          </w:p>
        </w:tc>
      </w:tr>
      <w:tr w14:paraId="1DE5C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9" w:hRule="atLeast"/>
          <w:jc w:val="center"/>
        </w:trPr>
        <w:tc>
          <w:tcPr>
            <w:tcW w:w="956" w:type="dxa"/>
            <w:vMerge w:val="continue"/>
          </w:tcPr>
          <w:p w14:paraId="754F39FB">
            <w:pPr>
              <w:spacing w:line="240" w:lineRule="auto"/>
              <w:ind w:firstLine="0" w:firstLineChars="0"/>
              <w:jc w:val="center"/>
              <w:rPr>
                <w:color w:val="auto"/>
                <w:sz w:val="21"/>
                <w:szCs w:val="21"/>
              </w:rPr>
            </w:pPr>
          </w:p>
        </w:tc>
        <w:tc>
          <w:tcPr>
            <w:tcW w:w="1195" w:type="dxa"/>
            <w:vMerge w:val="continue"/>
          </w:tcPr>
          <w:p w14:paraId="65BD8076">
            <w:pPr>
              <w:spacing w:line="240" w:lineRule="auto"/>
              <w:ind w:firstLine="0" w:firstLineChars="0"/>
              <w:jc w:val="center"/>
              <w:rPr>
                <w:color w:val="auto"/>
                <w:sz w:val="21"/>
                <w:szCs w:val="21"/>
              </w:rPr>
            </w:pPr>
          </w:p>
        </w:tc>
        <w:tc>
          <w:tcPr>
            <w:tcW w:w="1510" w:type="dxa"/>
            <w:vMerge w:val="continue"/>
          </w:tcPr>
          <w:p w14:paraId="7EA43647">
            <w:pPr>
              <w:spacing w:line="240" w:lineRule="auto"/>
              <w:ind w:firstLine="0" w:firstLineChars="0"/>
              <w:jc w:val="center"/>
              <w:rPr>
                <w:color w:val="auto"/>
                <w:sz w:val="21"/>
                <w:szCs w:val="21"/>
              </w:rPr>
            </w:pPr>
          </w:p>
        </w:tc>
        <w:tc>
          <w:tcPr>
            <w:tcW w:w="2142" w:type="dxa"/>
            <w:shd w:val="clear" w:color="auto" w:fill="auto"/>
            <w:vAlign w:val="center"/>
          </w:tcPr>
          <w:p w14:paraId="1EF1DA7D">
            <w:pPr>
              <w:widowControl/>
              <w:adjustRightInd/>
              <w:snapToGrid/>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可溶性钡</w:t>
            </w:r>
          </w:p>
        </w:tc>
        <w:tc>
          <w:tcPr>
            <w:tcW w:w="1915" w:type="dxa"/>
            <w:shd w:val="clear" w:color="auto" w:fill="auto"/>
            <w:vAlign w:val="center"/>
          </w:tcPr>
          <w:p w14:paraId="24E81C47">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2</w:t>
            </w:r>
          </w:p>
        </w:tc>
        <w:tc>
          <w:tcPr>
            <w:tcW w:w="1440" w:type="dxa"/>
            <w:shd w:val="clear" w:color="auto" w:fill="auto"/>
            <w:vAlign w:val="center"/>
          </w:tcPr>
          <w:p w14:paraId="2A3DC81B">
            <w:pPr>
              <w:pStyle w:val="178"/>
              <w:bidi w:val="0"/>
              <w:ind w:firstLine="0" w:firstLineChars="0"/>
              <w:rPr>
                <w:rFonts w:hint="default"/>
                <w:color w:val="auto"/>
                <w:lang w:val="en-US" w:eastAsia="zh-CN"/>
              </w:rPr>
            </w:pPr>
            <w:r>
              <w:rPr>
                <w:rFonts w:hint="default"/>
                <w:color w:val="auto"/>
                <w:lang w:val="en-US" w:eastAsia="zh-CN"/>
              </w:rPr>
              <w:t>1.17</w:t>
            </w:r>
          </w:p>
        </w:tc>
      </w:tr>
      <w:tr w14:paraId="5C136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9" w:hRule="atLeast"/>
          <w:jc w:val="center"/>
        </w:trPr>
        <w:tc>
          <w:tcPr>
            <w:tcW w:w="956" w:type="dxa"/>
            <w:vMerge w:val="continue"/>
          </w:tcPr>
          <w:p w14:paraId="3F2C15A9">
            <w:pPr>
              <w:spacing w:line="240" w:lineRule="auto"/>
              <w:ind w:firstLine="0" w:firstLineChars="0"/>
              <w:jc w:val="center"/>
              <w:rPr>
                <w:color w:val="auto"/>
                <w:sz w:val="21"/>
                <w:szCs w:val="21"/>
              </w:rPr>
            </w:pPr>
          </w:p>
        </w:tc>
        <w:tc>
          <w:tcPr>
            <w:tcW w:w="1195" w:type="dxa"/>
            <w:vMerge w:val="continue"/>
          </w:tcPr>
          <w:p w14:paraId="01E8FFB4">
            <w:pPr>
              <w:spacing w:line="240" w:lineRule="auto"/>
              <w:ind w:firstLine="0" w:firstLineChars="0"/>
              <w:jc w:val="center"/>
              <w:rPr>
                <w:color w:val="auto"/>
                <w:sz w:val="21"/>
                <w:szCs w:val="21"/>
              </w:rPr>
            </w:pPr>
          </w:p>
        </w:tc>
        <w:tc>
          <w:tcPr>
            <w:tcW w:w="1510" w:type="dxa"/>
            <w:vMerge w:val="continue"/>
          </w:tcPr>
          <w:p w14:paraId="1EA2AA8A">
            <w:pPr>
              <w:spacing w:line="240" w:lineRule="auto"/>
              <w:ind w:firstLine="0" w:firstLineChars="0"/>
              <w:jc w:val="center"/>
              <w:rPr>
                <w:color w:val="auto"/>
                <w:sz w:val="21"/>
                <w:szCs w:val="21"/>
              </w:rPr>
            </w:pPr>
          </w:p>
        </w:tc>
        <w:tc>
          <w:tcPr>
            <w:tcW w:w="2142" w:type="dxa"/>
            <w:shd w:val="clear" w:color="auto" w:fill="auto"/>
            <w:vAlign w:val="center"/>
          </w:tcPr>
          <w:p w14:paraId="27FED9C1">
            <w:pPr>
              <w:widowControl/>
              <w:adjustRightInd/>
              <w:snapToGrid/>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总</w:t>
            </w:r>
            <w:r>
              <w:rPr>
                <w:rFonts w:hint="eastAsia"/>
                <w:color w:val="auto"/>
                <w:kern w:val="0"/>
                <w:sz w:val="21"/>
                <w:szCs w:val="21"/>
              </w:rPr>
              <w:t>α</w:t>
            </w:r>
            <w:r>
              <w:rPr>
                <w:rFonts w:hint="eastAsia" w:ascii="宋体" w:hAnsi="宋体" w:cs="宋体"/>
                <w:color w:val="auto"/>
                <w:kern w:val="0"/>
                <w:sz w:val="21"/>
                <w:szCs w:val="21"/>
              </w:rPr>
              <w:t>放射性</w:t>
            </w:r>
            <w:r>
              <w:rPr>
                <w:rFonts w:hint="eastAsia" w:ascii="宋体" w:hAnsi="宋体" w:cs="宋体"/>
                <w:color w:val="auto"/>
                <w:kern w:val="0"/>
                <w:sz w:val="21"/>
                <w:szCs w:val="21"/>
                <w:lang w:eastAsia="zh-CN"/>
              </w:rPr>
              <w:t>（</w:t>
            </w:r>
            <w:r>
              <w:rPr>
                <w:rFonts w:hint="eastAsia"/>
                <w:color w:val="auto"/>
                <w:kern w:val="0"/>
                <w:sz w:val="21"/>
                <w:szCs w:val="21"/>
              </w:rPr>
              <w:t>Bq/L</w:t>
            </w:r>
            <w:r>
              <w:rPr>
                <w:rFonts w:hint="eastAsia"/>
                <w:color w:val="auto"/>
                <w:kern w:val="0"/>
                <w:sz w:val="21"/>
                <w:szCs w:val="21"/>
                <w:lang w:eastAsia="zh-CN"/>
              </w:rPr>
              <w:t>）</w:t>
            </w:r>
          </w:p>
        </w:tc>
        <w:tc>
          <w:tcPr>
            <w:tcW w:w="1915" w:type="dxa"/>
            <w:shd w:val="clear" w:color="auto" w:fill="auto"/>
            <w:vAlign w:val="center"/>
          </w:tcPr>
          <w:p w14:paraId="7953BEBA">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1</w:t>
            </w:r>
          </w:p>
        </w:tc>
        <w:tc>
          <w:tcPr>
            <w:tcW w:w="1440" w:type="dxa"/>
            <w:shd w:val="clear" w:color="auto" w:fill="auto"/>
            <w:vAlign w:val="center"/>
          </w:tcPr>
          <w:p w14:paraId="23AA46F2">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w:t>
            </w:r>
          </w:p>
        </w:tc>
      </w:tr>
      <w:tr w14:paraId="258AE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9" w:hRule="atLeast"/>
          <w:jc w:val="center"/>
        </w:trPr>
        <w:tc>
          <w:tcPr>
            <w:tcW w:w="956" w:type="dxa"/>
            <w:vMerge w:val="continue"/>
          </w:tcPr>
          <w:p w14:paraId="179B716D">
            <w:pPr>
              <w:spacing w:line="240" w:lineRule="auto"/>
              <w:ind w:firstLine="0" w:firstLineChars="0"/>
              <w:jc w:val="center"/>
              <w:rPr>
                <w:color w:val="auto"/>
                <w:sz w:val="21"/>
                <w:szCs w:val="21"/>
              </w:rPr>
            </w:pPr>
          </w:p>
        </w:tc>
        <w:tc>
          <w:tcPr>
            <w:tcW w:w="1195" w:type="dxa"/>
            <w:vMerge w:val="continue"/>
          </w:tcPr>
          <w:p w14:paraId="7FAC2FAD">
            <w:pPr>
              <w:spacing w:line="240" w:lineRule="auto"/>
              <w:ind w:firstLine="0" w:firstLineChars="0"/>
              <w:jc w:val="center"/>
              <w:rPr>
                <w:color w:val="auto"/>
                <w:sz w:val="21"/>
                <w:szCs w:val="21"/>
              </w:rPr>
            </w:pPr>
          </w:p>
        </w:tc>
        <w:tc>
          <w:tcPr>
            <w:tcW w:w="1510" w:type="dxa"/>
            <w:vMerge w:val="continue"/>
          </w:tcPr>
          <w:p w14:paraId="21D16F2D">
            <w:pPr>
              <w:spacing w:line="240" w:lineRule="auto"/>
              <w:ind w:firstLine="0" w:firstLineChars="0"/>
              <w:jc w:val="center"/>
              <w:rPr>
                <w:color w:val="auto"/>
                <w:sz w:val="21"/>
                <w:szCs w:val="21"/>
              </w:rPr>
            </w:pPr>
          </w:p>
        </w:tc>
        <w:tc>
          <w:tcPr>
            <w:tcW w:w="2142" w:type="dxa"/>
            <w:shd w:val="clear" w:color="auto" w:fill="auto"/>
            <w:vAlign w:val="center"/>
          </w:tcPr>
          <w:p w14:paraId="187747D5">
            <w:pPr>
              <w:widowControl/>
              <w:adjustRightInd/>
              <w:snapToGrid/>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总</w:t>
            </w:r>
            <w:r>
              <w:rPr>
                <w:rFonts w:hint="eastAsia"/>
                <w:color w:val="auto"/>
                <w:kern w:val="0"/>
                <w:sz w:val="21"/>
                <w:szCs w:val="21"/>
              </w:rPr>
              <w:t>β</w:t>
            </w:r>
            <w:r>
              <w:rPr>
                <w:rFonts w:hint="eastAsia" w:ascii="宋体" w:hAnsi="宋体" w:cs="宋体"/>
                <w:color w:val="auto"/>
                <w:kern w:val="0"/>
                <w:sz w:val="21"/>
                <w:szCs w:val="21"/>
              </w:rPr>
              <w:t>放射性</w:t>
            </w:r>
            <w:r>
              <w:rPr>
                <w:rFonts w:hint="eastAsia" w:ascii="宋体" w:hAnsi="宋体" w:cs="宋体"/>
                <w:color w:val="auto"/>
                <w:kern w:val="0"/>
                <w:sz w:val="21"/>
                <w:szCs w:val="21"/>
                <w:lang w:eastAsia="zh-CN"/>
              </w:rPr>
              <w:t>（</w:t>
            </w:r>
            <w:r>
              <w:rPr>
                <w:rFonts w:hint="eastAsia"/>
                <w:color w:val="auto"/>
                <w:kern w:val="0"/>
                <w:sz w:val="21"/>
                <w:szCs w:val="21"/>
              </w:rPr>
              <w:t>Bq/L</w:t>
            </w:r>
            <w:r>
              <w:rPr>
                <w:rFonts w:hint="eastAsia"/>
                <w:color w:val="auto"/>
                <w:kern w:val="0"/>
                <w:sz w:val="21"/>
                <w:szCs w:val="21"/>
                <w:lang w:eastAsia="zh-CN"/>
              </w:rPr>
              <w:t>）</w:t>
            </w:r>
          </w:p>
        </w:tc>
        <w:tc>
          <w:tcPr>
            <w:tcW w:w="1915" w:type="dxa"/>
            <w:shd w:val="clear" w:color="auto" w:fill="auto"/>
            <w:vAlign w:val="center"/>
          </w:tcPr>
          <w:p w14:paraId="18117FA3">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10</w:t>
            </w:r>
          </w:p>
        </w:tc>
        <w:tc>
          <w:tcPr>
            <w:tcW w:w="1440" w:type="dxa"/>
            <w:shd w:val="clear" w:color="auto" w:fill="auto"/>
            <w:vAlign w:val="center"/>
          </w:tcPr>
          <w:p w14:paraId="6CBE1C18">
            <w:pPr>
              <w:widowControl/>
              <w:adjustRightInd/>
              <w:snapToGrid/>
              <w:spacing w:line="240" w:lineRule="auto"/>
              <w:ind w:firstLine="0" w:firstLineChars="0"/>
              <w:jc w:val="center"/>
              <w:rPr>
                <w:color w:val="auto"/>
                <w:kern w:val="0"/>
                <w:sz w:val="21"/>
                <w:szCs w:val="21"/>
              </w:rPr>
            </w:pPr>
            <w:r>
              <w:rPr>
                <w:rFonts w:hint="eastAsia"/>
                <w:color w:val="auto"/>
                <w:kern w:val="0"/>
                <w:sz w:val="21"/>
                <w:szCs w:val="21"/>
              </w:rPr>
              <w:t>/</w:t>
            </w:r>
          </w:p>
        </w:tc>
      </w:tr>
    </w:tbl>
    <w:p w14:paraId="38533660">
      <w:pPr>
        <w:pStyle w:val="185"/>
        <w:rPr>
          <w:color w:val="auto"/>
        </w:rPr>
      </w:pPr>
    </w:p>
    <w:p w14:paraId="721A6B9A">
      <w:pPr>
        <w:pStyle w:val="185"/>
        <w:rPr>
          <w:color w:val="auto"/>
        </w:rPr>
      </w:pPr>
      <w:r>
        <w:rPr>
          <w:color w:val="auto"/>
        </w:rPr>
        <w:t>表10.4-4   废气污染物排放标准及排放量</w:t>
      </w:r>
    </w:p>
    <w:tbl>
      <w:tblPr>
        <w:tblStyle w:val="88"/>
        <w:tblW w:w="91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16"/>
        <w:gridCol w:w="1880"/>
        <w:gridCol w:w="872"/>
        <w:gridCol w:w="759"/>
        <w:gridCol w:w="872"/>
        <w:gridCol w:w="876"/>
        <w:gridCol w:w="1141"/>
        <w:gridCol w:w="1141"/>
        <w:gridCol w:w="869"/>
      </w:tblGrid>
      <w:tr w14:paraId="3ADDB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16" w:type="dxa"/>
            <w:vMerge w:val="restart"/>
            <w:vAlign w:val="center"/>
          </w:tcPr>
          <w:p w14:paraId="7677EB24">
            <w:pPr>
              <w:spacing w:line="240" w:lineRule="auto"/>
              <w:ind w:firstLine="0" w:firstLineChars="0"/>
              <w:jc w:val="center"/>
              <w:rPr>
                <w:color w:val="auto"/>
                <w:sz w:val="21"/>
                <w:szCs w:val="21"/>
              </w:rPr>
            </w:pPr>
            <w:r>
              <w:rPr>
                <w:rFonts w:hint="eastAsia"/>
                <w:color w:val="auto"/>
                <w:sz w:val="21"/>
                <w:szCs w:val="21"/>
              </w:rPr>
              <w:t>污染源</w:t>
            </w:r>
          </w:p>
        </w:tc>
        <w:tc>
          <w:tcPr>
            <w:tcW w:w="1880" w:type="dxa"/>
            <w:vMerge w:val="restart"/>
            <w:vAlign w:val="center"/>
          </w:tcPr>
          <w:p w14:paraId="26D4C8AD">
            <w:pPr>
              <w:spacing w:line="240" w:lineRule="auto"/>
              <w:ind w:firstLine="0" w:firstLineChars="0"/>
              <w:jc w:val="center"/>
              <w:rPr>
                <w:color w:val="auto"/>
                <w:sz w:val="21"/>
                <w:szCs w:val="21"/>
              </w:rPr>
            </w:pPr>
            <w:r>
              <w:rPr>
                <w:rFonts w:hint="eastAsia"/>
                <w:color w:val="auto"/>
                <w:sz w:val="21"/>
                <w:szCs w:val="21"/>
              </w:rPr>
              <w:t>排放标准及标准号</w:t>
            </w:r>
          </w:p>
        </w:tc>
        <w:tc>
          <w:tcPr>
            <w:tcW w:w="872" w:type="dxa"/>
            <w:vMerge w:val="restart"/>
            <w:vAlign w:val="center"/>
          </w:tcPr>
          <w:p w14:paraId="1057B9D9">
            <w:pPr>
              <w:spacing w:line="240" w:lineRule="auto"/>
              <w:ind w:firstLine="0" w:firstLineChars="0"/>
              <w:jc w:val="center"/>
              <w:rPr>
                <w:color w:val="auto"/>
                <w:sz w:val="21"/>
                <w:szCs w:val="21"/>
              </w:rPr>
            </w:pPr>
            <w:r>
              <w:rPr>
                <w:rFonts w:hint="eastAsia"/>
                <w:color w:val="auto"/>
                <w:sz w:val="21"/>
                <w:szCs w:val="21"/>
              </w:rPr>
              <w:t>污染</w:t>
            </w:r>
          </w:p>
          <w:p w14:paraId="76355852">
            <w:pPr>
              <w:spacing w:line="240" w:lineRule="auto"/>
              <w:ind w:firstLine="0" w:firstLineChars="0"/>
              <w:jc w:val="center"/>
              <w:rPr>
                <w:color w:val="auto"/>
                <w:sz w:val="21"/>
                <w:szCs w:val="21"/>
              </w:rPr>
            </w:pPr>
            <w:r>
              <w:rPr>
                <w:rFonts w:hint="eastAsia"/>
                <w:color w:val="auto"/>
                <w:sz w:val="21"/>
                <w:szCs w:val="21"/>
              </w:rPr>
              <w:t>因子</w:t>
            </w:r>
          </w:p>
        </w:tc>
        <w:tc>
          <w:tcPr>
            <w:tcW w:w="3648" w:type="dxa"/>
            <w:gridSpan w:val="4"/>
            <w:vAlign w:val="center"/>
          </w:tcPr>
          <w:p w14:paraId="51EB053A">
            <w:pPr>
              <w:spacing w:line="240" w:lineRule="auto"/>
              <w:ind w:firstLine="0" w:firstLineChars="0"/>
              <w:jc w:val="center"/>
              <w:rPr>
                <w:color w:val="auto"/>
                <w:sz w:val="21"/>
                <w:szCs w:val="21"/>
              </w:rPr>
            </w:pPr>
            <w:r>
              <w:rPr>
                <w:rFonts w:hint="eastAsia"/>
                <w:color w:val="auto"/>
                <w:sz w:val="21"/>
                <w:szCs w:val="21"/>
              </w:rPr>
              <w:t>有组织排放</w:t>
            </w:r>
          </w:p>
        </w:tc>
        <w:tc>
          <w:tcPr>
            <w:tcW w:w="2010" w:type="dxa"/>
            <w:gridSpan w:val="2"/>
            <w:vAlign w:val="center"/>
          </w:tcPr>
          <w:p w14:paraId="2BA42AFE">
            <w:pPr>
              <w:spacing w:line="240" w:lineRule="auto"/>
              <w:ind w:firstLine="0" w:firstLineChars="0"/>
              <w:jc w:val="center"/>
              <w:rPr>
                <w:color w:val="auto"/>
                <w:sz w:val="21"/>
                <w:szCs w:val="21"/>
              </w:rPr>
            </w:pPr>
            <w:r>
              <w:rPr>
                <w:rFonts w:hint="eastAsia"/>
                <w:color w:val="auto"/>
                <w:sz w:val="21"/>
                <w:szCs w:val="21"/>
              </w:rPr>
              <w:t>无组织排放</w:t>
            </w:r>
          </w:p>
        </w:tc>
      </w:tr>
      <w:tr w14:paraId="79223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16" w:type="dxa"/>
            <w:vMerge w:val="continue"/>
            <w:vAlign w:val="center"/>
          </w:tcPr>
          <w:p w14:paraId="63F6B35B">
            <w:pPr>
              <w:spacing w:line="240" w:lineRule="auto"/>
              <w:ind w:firstLine="0" w:firstLineChars="0"/>
              <w:jc w:val="center"/>
              <w:rPr>
                <w:color w:val="auto"/>
                <w:sz w:val="21"/>
                <w:szCs w:val="21"/>
              </w:rPr>
            </w:pPr>
          </w:p>
        </w:tc>
        <w:tc>
          <w:tcPr>
            <w:tcW w:w="1880" w:type="dxa"/>
            <w:vMerge w:val="continue"/>
            <w:vAlign w:val="center"/>
          </w:tcPr>
          <w:p w14:paraId="5E81898F">
            <w:pPr>
              <w:spacing w:line="240" w:lineRule="auto"/>
              <w:ind w:firstLine="0" w:firstLineChars="0"/>
              <w:jc w:val="center"/>
              <w:rPr>
                <w:color w:val="auto"/>
                <w:sz w:val="21"/>
                <w:szCs w:val="21"/>
              </w:rPr>
            </w:pPr>
          </w:p>
        </w:tc>
        <w:tc>
          <w:tcPr>
            <w:tcW w:w="872" w:type="dxa"/>
            <w:vMerge w:val="continue"/>
            <w:vAlign w:val="center"/>
          </w:tcPr>
          <w:p w14:paraId="47EBF0F0">
            <w:pPr>
              <w:spacing w:line="240" w:lineRule="auto"/>
              <w:ind w:firstLine="0" w:firstLineChars="0"/>
              <w:jc w:val="center"/>
              <w:rPr>
                <w:color w:val="auto"/>
                <w:sz w:val="21"/>
                <w:szCs w:val="21"/>
              </w:rPr>
            </w:pPr>
          </w:p>
        </w:tc>
        <w:tc>
          <w:tcPr>
            <w:tcW w:w="759" w:type="dxa"/>
            <w:vAlign w:val="center"/>
          </w:tcPr>
          <w:p w14:paraId="5860664F">
            <w:pPr>
              <w:spacing w:line="240" w:lineRule="auto"/>
              <w:ind w:firstLine="0" w:firstLineChars="0"/>
              <w:jc w:val="center"/>
              <w:rPr>
                <w:color w:val="auto"/>
                <w:sz w:val="21"/>
                <w:szCs w:val="21"/>
              </w:rPr>
            </w:pPr>
            <w:r>
              <w:rPr>
                <w:rFonts w:hint="eastAsia"/>
                <w:color w:val="auto"/>
                <w:sz w:val="21"/>
                <w:szCs w:val="21"/>
              </w:rPr>
              <w:t>排放口高度</w:t>
            </w:r>
            <w:r>
              <w:rPr>
                <w:rFonts w:hint="eastAsia"/>
                <w:color w:val="auto"/>
                <w:sz w:val="21"/>
                <w:szCs w:val="21"/>
                <w:lang w:eastAsia="zh-CN"/>
              </w:rPr>
              <w:t>（</w:t>
            </w:r>
            <w:r>
              <w:rPr>
                <w:rFonts w:hint="eastAsia"/>
                <w:color w:val="auto"/>
                <w:sz w:val="21"/>
                <w:szCs w:val="21"/>
              </w:rPr>
              <w:t>m</w:t>
            </w:r>
            <w:r>
              <w:rPr>
                <w:rFonts w:hint="eastAsia"/>
                <w:color w:val="auto"/>
                <w:sz w:val="21"/>
                <w:szCs w:val="21"/>
                <w:lang w:eastAsia="zh-CN"/>
              </w:rPr>
              <w:t>）</w:t>
            </w:r>
          </w:p>
        </w:tc>
        <w:tc>
          <w:tcPr>
            <w:tcW w:w="872" w:type="dxa"/>
            <w:vAlign w:val="center"/>
          </w:tcPr>
          <w:p w14:paraId="72508466">
            <w:pPr>
              <w:spacing w:line="240" w:lineRule="auto"/>
              <w:ind w:firstLine="0" w:firstLineChars="0"/>
              <w:jc w:val="center"/>
              <w:rPr>
                <w:color w:val="auto"/>
                <w:sz w:val="21"/>
                <w:szCs w:val="21"/>
              </w:rPr>
            </w:pPr>
            <w:r>
              <w:rPr>
                <w:rFonts w:hint="eastAsia"/>
                <w:color w:val="auto"/>
                <w:sz w:val="21"/>
                <w:szCs w:val="21"/>
              </w:rPr>
              <w:t>排放浓度</w:t>
            </w:r>
            <w:r>
              <w:rPr>
                <w:rFonts w:hint="eastAsia"/>
                <w:color w:val="auto"/>
                <w:sz w:val="21"/>
                <w:szCs w:val="21"/>
                <w:lang w:eastAsia="zh-CN"/>
              </w:rPr>
              <w:t>（</w:t>
            </w:r>
            <w:r>
              <w:rPr>
                <w:rFonts w:hint="eastAsia"/>
                <w:color w:val="auto"/>
                <w:sz w:val="21"/>
                <w:szCs w:val="21"/>
              </w:rPr>
              <w:t>mg/m</w:t>
            </w:r>
            <w:r>
              <w:rPr>
                <w:rFonts w:hint="eastAsia"/>
                <w:color w:val="auto"/>
                <w:sz w:val="21"/>
                <w:szCs w:val="21"/>
                <w:vertAlign w:val="superscript"/>
              </w:rPr>
              <w:t>3</w:t>
            </w:r>
            <w:r>
              <w:rPr>
                <w:rFonts w:hint="eastAsia"/>
                <w:color w:val="auto"/>
                <w:sz w:val="21"/>
                <w:szCs w:val="21"/>
                <w:vertAlign w:val="superscript"/>
                <w:lang w:eastAsia="zh-CN"/>
              </w:rPr>
              <w:t>）</w:t>
            </w:r>
          </w:p>
        </w:tc>
        <w:tc>
          <w:tcPr>
            <w:tcW w:w="876" w:type="dxa"/>
            <w:vAlign w:val="center"/>
          </w:tcPr>
          <w:p w14:paraId="30D155E2">
            <w:pPr>
              <w:spacing w:line="240" w:lineRule="auto"/>
              <w:ind w:firstLine="0" w:firstLineChars="0"/>
              <w:jc w:val="center"/>
              <w:rPr>
                <w:color w:val="auto"/>
                <w:sz w:val="21"/>
                <w:szCs w:val="21"/>
              </w:rPr>
            </w:pPr>
            <w:r>
              <w:rPr>
                <w:rFonts w:hint="eastAsia"/>
                <w:color w:val="auto"/>
                <w:sz w:val="21"/>
                <w:szCs w:val="21"/>
              </w:rPr>
              <w:t>速率限值</w:t>
            </w:r>
            <w:r>
              <w:rPr>
                <w:rFonts w:hint="eastAsia"/>
                <w:color w:val="auto"/>
                <w:sz w:val="21"/>
                <w:szCs w:val="21"/>
                <w:lang w:eastAsia="zh-CN"/>
              </w:rPr>
              <w:t>（</w:t>
            </w:r>
            <w:r>
              <w:rPr>
                <w:rFonts w:hint="eastAsia"/>
                <w:color w:val="auto"/>
                <w:sz w:val="21"/>
                <w:szCs w:val="21"/>
              </w:rPr>
              <w:t>kg/h</w:t>
            </w:r>
            <w:r>
              <w:rPr>
                <w:rFonts w:hint="eastAsia"/>
                <w:color w:val="auto"/>
                <w:sz w:val="21"/>
                <w:szCs w:val="21"/>
                <w:lang w:eastAsia="zh-CN"/>
              </w:rPr>
              <w:t>）</w:t>
            </w:r>
          </w:p>
        </w:tc>
        <w:tc>
          <w:tcPr>
            <w:tcW w:w="1141" w:type="dxa"/>
            <w:vAlign w:val="center"/>
          </w:tcPr>
          <w:p w14:paraId="065A33E0">
            <w:pPr>
              <w:spacing w:line="240" w:lineRule="auto"/>
              <w:ind w:firstLine="0" w:firstLineChars="0"/>
              <w:jc w:val="center"/>
              <w:rPr>
                <w:color w:val="auto"/>
                <w:sz w:val="21"/>
                <w:szCs w:val="21"/>
              </w:rPr>
            </w:pPr>
            <w:r>
              <w:rPr>
                <w:rFonts w:hint="eastAsia"/>
                <w:color w:val="auto"/>
                <w:sz w:val="21"/>
                <w:szCs w:val="21"/>
              </w:rPr>
              <w:t>排放量</w:t>
            </w:r>
            <w:r>
              <w:rPr>
                <w:rFonts w:hint="eastAsia"/>
                <w:color w:val="auto"/>
                <w:sz w:val="21"/>
                <w:szCs w:val="21"/>
                <w:lang w:eastAsia="zh-CN"/>
              </w:rPr>
              <w:t>（</w:t>
            </w:r>
            <w:r>
              <w:rPr>
                <w:rFonts w:hint="eastAsia"/>
                <w:color w:val="auto"/>
                <w:sz w:val="21"/>
                <w:szCs w:val="21"/>
              </w:rPr>
              <w:t>t/a</w:t>
            </w:r>
            <w:r>
              <w:rPr>
                <w:rFonts w:hint="eastAsia"/>
                <w:color w:val="auto"/>
                <w:sz w:val="21"/>
                <w:szCs w:val="21"/>
                <w:lang w:eastAsia="zh-CN"/>
              </w:rPr>
              <w:t>）</w:t>
            </w:r>
          </w:p>
        </w:tc>
        <w:tc>
          <w:tcPr>
            <w:tcW w:w="1141" w:type="dxa"/>
            <w:vAlign w:val="center"/>
          </w:tcPr>
          <w:p w14:paraId="265E1E0B">
            <w:pPr>
              <w:spacing w:line="240" w:lineRule="auto"/>
              <w:ind w:firstLine="0" w:firstLineChars="0"/>
              <w:jc w:val="center"/>
              <w:rPr>
                <w:color w:val="auto"/>
                <w:sz w:val="21"/>
                <w:szCs w:val="21"/>
              </w:rPr>
            </w:pPr>
            <w:r>
              <w:rPr>
                <w:rFonts w:hint="eastAsia"/>
                <w:color w:val="auto"/>
                <w:sz w:val="21"/>
                <w:szCs w:val="21"/>
              </w:rPr>
              <w:t>排放浓度</w:t>
            </w:r>
            <w:r>
              <w:rPr>
                <w:rFonts w:hint="eastAsia"/>
                <w:color w:val="auto"/>
                <w:sz w:val="21"/>
                <w:szCs w:val="21"/>
                <w:lang w:eastAsia="zh-CN"/>
              </w:rPr>
              <w:t>（</w:t>
            </w:r>
            <w:r>
              <w:rPr>
                <w:rFonts w:hint="eastAsia"/>
                <w:color w:val="auto"/>
                <w:sz w:val="21"/>
                <w:szCs w:val="21"/>
              </w:rPr>
              <w:t>mg/m</w:t>
            </w:r>
            <w:r>
              <w:rPr>
                <w:rFonts w:hint="eastAsia"/>
                <w:color w:val="auto"/>
                <w:sz w:val="21"/>
                <w:szCs w:val="21"/>
                <w:vertAlign w:val="superscript"/>
              </w:rPr>
              <w:t>3</w:t>
            </w:r>
            <w:r>
              <w:rPr>
                <w:rFonts w:hint="eastAsia"/>
                <w:color w:val="auto"/>
                <w:sz w:val="21"/>
                <w:szCs w:val="21"/>
                <w:vertAlign w:val="superscript"/>
                <w:lang w:eastAsia="zh-CN"/>
              </w:rPr>
              <w:t>）</w:t>
            </w:r>
          </w:p>
        </w:tc>
        <w:tc>
          <w:tcPr>
            <w:tcW w:w="869" w:type="dxa"/>
            <w:vAlign w:val="center"/>
          </w:tcPr>
          <w:p w14:paraId="50830AD0">
            <w:pPr>
              <w:spacing w:line="240" w:lineRule="auto"/>
              <w:ind w:firstLine="0" w:firstLineChars="0"/>
              <w:jc w:val="center"/>
              <w:rPr>
                <w:color w:val="auto"/>
                <w:sz w:val="21"/>
                <w:szCs w:val="21"/>
              </w:rPr>
            </w:pPr>
            <w:r>
              <w:rPr>
                <w:rFonts w:hint="eastAsia"/>
                <w:color w:val="auto"/>
                <w:sz w:val="21"/>
                <w:szCs w:val="21"/>
              </w:rPr>
              <w:t>排放量</w:t>
            </w:r>
            <w:r>
              <w:rPr>
                <w:rFonts w:hint="eastAsia"/>
                <w:color w:val="auto"/>
                <w:sz w:val="21"/>
                <w:szCs w:val="21"/>
                <w:lang w:eastAsia="zh-CN"/>
              </w:rPr>
              <w:t>（</w:t>
            </w:r>
            <w:r>
              <w:rPr>
                <w:rFonts w:hint="eastAsia"/>
                <w:color w:val="auto"/>
                <w:sz w:val="21"/>
                <w:szCs w:val="21"/>
              </w:rPr>
              <w:t>t/a</w:t>
            </w:r>
            <w:r>
              <w:rPr>
                <w:rFonts w:hint="eastAsia"/>
                <w:color w:val="auto"/>
                <w:sz w:val="21"/>
                <w:szCs w:val="21"/>
                <w:lang w:eastAsia="zh-CN"/>
              </w:rPr>
              <w:t>）</w:t>
            </w:r>
          </w:p>
        </w:tc>
      </w:tr>
      <w:tr w14:paraId="4D0E0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16" w:type="dxa"/>
            <w:vMerge w:val="restart"/>
            <w:vAlign w:val="center"/>
          </w:tcPr>
          <w:p w14:paraId="4FB78F7B">
            <w:pPr>
              <w:spacing w:line="240" w:lineRule="auto"/>
              <w:ind w:firstLine="0" w:firstLineChars="0"/>
              <w:jc w:val="center"/>
              <w:rPr>
                <w:color w:val="auto"/>
                <w:sz w:val="21"/>
                <w:szCs w:val="21"/>
              </w:rPr>
            </w:pPr>
            <w:r>
              <w:rPr>
                <w:rFonts w:hint="eastAsia"/>
                <w:color w:val="auto"/>
                <w:sz w:val="21"/>
                <w:szCs w:val="21"/>
              </w:rPr>
              <w:t>污水处理单元</w:t>
            </w:r>
          </w:p>
        </w:tc>
        <w:tc>
          <w:tcPr>
            <w:tcW w:w="1880" w:type="dxa"/>
            <w:vMerge w:val="restart"/>
            <w:vAlign w:val="center"/>
          </w:tcPr>
          <w:p w14:paraId="6424E2B2">
            <w:pPr>
              <w:spacing w:line="240" w:lineRule="auto"/>
              <w:ind w:firstLine="0" w:firstLineChars="0"/>
              <w:jc w:val="center"/>
              <w:rPr>
                <w:color w:val="auto"/>
                <w:sz w:val="21"/>
                <w:szCs w:val="21"/>
              </w:rPr>
            </w:pPr>
            <w:r>
              <w:rPr>
                <w:rFonts w:hint="eastAsia"/>
                <w:color w:val="auto"/>
                <w:sz w:val="21"/>
                <w:szCs w:val="21"/>
              </w:rPr>
              <w:t>《恶臭污染物排放标准》（GB14554-93）、《大气污染物综合排放标准》（DB 50/418－2016）</w:t>
            </w:r>
          </w:p>
        </w:tc>
        <w:tc>
          <w:tcPr>
            <w:tcW w:w="872" w:type="dxa"/>
            <w:vAlign w:val="center"/>
          </w:tcPr>
          <w:p w14:paraId="2E5C7968">
            <w:pPr>
              <w:spacing w:line="240" w:lineRule="auto"/>
              <w:ind w:firstLine="0" w:firstLineChars="0"/>
              <w:jc w:val="center"/>
              <w:rPr>
                <w:color w:val="auto"/>
                <w:sz w:val="21"/>
                <w:szCs w:val="21"/>
              </w:rPr>
            </w:pPr>
            <w:r>
              <w:rPr>
                <w:rFonts w:hint="eastAsia"/>
                <w:color w:val="auto"/>
                <w:sz w:val="21"/>
                <w:szCs w:val="21"/>
              </w:rPr>
              <w:t>NH</w:t>
            </w:r>
            <w:r>
              <w:rPr>
                <w:rFonts w:hint="eastAsia"/>
                <w:color w:val="auto"/>
                <w:sz w:val="21"/>
                <w:szCs w:val="21"/>
                <w:vertAlign w:val="subscript"/>
              </w:rPr>
              <w:t>3</w:t>
            </w:r>
          </w:p>
        </w:tc>
        <w:tc>
          <w:tcPr>
            <w:tcW w:w="759" w:type="dxa"/>
            <w:vMerge w:val="restart"/>
            <w:vAlign w:val="center"/>
          </w:tcPr>
          <w:p w14:paraId="127D39C7">
            <w:pPr>
              <w:spacing w:line="240" w:lineRule="auto"/>
              <w:ind w:firstLine="0" w:firstLineChars="0"/>
              <w:jc w:val="center"/>
              <w:rPr>
                <w:color w:val="auto"/>
                <w:sz w:val="21"/>
                <w:szCs w:val="21"/>
              </w:rPr>
            </w:pPr>
            <w:r>
              <w:rPr>
                <w:rFonts w:hint="eastAsia"/>
                <w:color w:val="auto"/>
                <w:sz w:val="21"/>
                <w:szCs w:val="21"/>
              </w:rPr>
              <w:t>15</w:t>
            </w:r>
          </w:p>
        </w:tc>
        <w:tc>
          <w:tcPr>
            <w:tcW w:w="872" w:type="dxa"/>
            <w:vAlign w:val="center"/>
          </w:tcPr>
          <w:p w14:paraId="55C4B9DC">
            <w:pPr>
              <w:spacing w:line="240" w:lineRule="auto"/>
              <w:ind w:firstLine="0" w:firstLineChars="0"/>
              <w:jc w:val="center"/>
              <w:rPr>
                <w:color w:val="auto"/>
                <w:sz w:val="21"/>
                <w:szCs w:val="21"/>
              </w:rPr>
            </w:pPr>
            <w:r>
              <w:rPr>
                <w:rFonts w:hint="eastAsia"/>
                <w:color w:val="auto"/>
                <w:sz w:val="21"/>
                <w:szCs w:val="21"/>
              </w:rPr>
              <w:t>/</w:t>
            </w:r>
          </w:p>
        </w:tc>
        <w:tc>
          <w:tcPr>
            <w:tcW w:w="876" w:type="dxa"/>
            <w:vAlign w:val="center"/>
          </w:tcPr>
          <w:p w14:paraId="34A5BF81">
            <w:pPr>
              <w:spacing w:line="240" w:lineRule="auto"/>
              <w:ind w:firstLine="0" w:firstLineChars="0"/>
              <w:jc w:val="center"/>
              <w:rPr>
                <w:color w:val="auto"/>
                <w:sz w:val="21"/>
                <w:szCs w:val="21"/>
              </w:rPr>
            </w:pPr>
            <w:r>
              <w:rPr>
                <w:rFonts w:hint="eastAsia"/>
                <w:color w:val="auto"/>
                <w:sz w:val="21"/>
                <w:szCs w:val="21"/>
              </w:rPr>
              <w:t>0.33</w:t>
            </w:r>
          </w:p>
        </w:tc>
        <w:tc>
          <w:tcPr>
            <w:tcW w:w="1141" w:type="dxa"/>
            <w:shd w:val="clear" w:color="auto" w:fill="auto"/>
          </w:tcPr>
          <w:p w14:paraId="0D9BD53D">
            <w:pPr>
              <w:pStyle w:val="3127"/>
              <w:rPr>
                <w:rFonts w:eastAsia="等线"/>
                <w:color w:val="auto"/>
              </w:rPr>
            </w:pPr>
            <w:r>
              <w:rPr>
                <w:rFonts w:hint="eastAsia" w:eastAsia="等线"/>
                <w:color w:val="auto"/>
              </w:rPr>
              <w:t>0.037</w:t>
            </w:r>
          </w:p>
        </w:tc>
        <w:tc>
          <w:tcPr>
            <w:tcW w:w="1141" w:type="dxa"/>
            <w:vAlign w:val="center"/>
          </w:tcPr>
          <w:p w14:paraId="731626F6">
            <w:pPr>
              <w:spacing w:line="240" w:lineRule="auto"/>
              <w:ind w:firstLine="0" w:firstLineChars="0"/>
              <w:jc w:val="center"/>
              <w:rPr>
                <w:color w:val="auto"/>
                <w:sz w:val="21"/>
                <w:szCs w:val="21"/>
              </w:rPr>
            </w:pPr>
            <w:r>
              <w:rPr>
                <w:rFonts w:hint="eastAsia"/>
                <w:color w:val="auto"/>
                <w:sz w:val="21"/>
                <w:szCs w:val="21"/>
              </w:rPr>
              <w:t>1.5</w:t>
            </w:r>
          </w:p>
        </w:tc>
        <w:tc>
          <w:tcPr>
            <w:tcW w:w="869" w:type="dxa"/>
            <w:shd w:val="clear" w:color="auto" w:fill="auto"/>
          </w:tcPr>
          <w:p w14:paraId="22337207">
            <w:pPr>
              <w:pStyle w:val="3127"/>
              <w:rPr>
                <w:rFonts w:eastAsia="等线"/>
                <w:color w:val="auto"/>
              </w:rPr>
            </w:pPr>
            <w:r>
              <w:rPr>
                <w:rFonts w:hint="eastAsia" w:eastAsia="等线"/>
                <w:color w:val="auto"/>
              </w:rPr>
              <w:t>0.01</w:t>
            </w:r>
          </w:p>
        </w:tc>
      </w:tr>
      <w:tr w14:paraId="53927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5" w:hRule="atLeast"/>
          <w:jc w:val="center"/>
        </w:trPr>
        <w:tc>
          <w:tcPr>
            <w:tcW w:w="716" w:type="dxa"/>
            <w:vMerge w:val="continue"/>
            <w:vAlign w:val="center"/>
          </w:tcPr>
          <w:p w14:paraId="7FBA90F8">
            <w:pPr>
              <w:spacing w:line="240" w:lineRule="auto"/>
              <w:ind w:firstLine="0" w:firstLineChars="0"/>
              <w:jc w:val="center"/>
              <w:rPr>
                <w:color w:val="auto"/>
                <w:sz w:val="21"/>
                <w:szCs w:val="21"/>
              </w:rPr>
            </w:pPr>
          </w:p>
        </w:tc>
        <w:tc>
          <w:tcPr>
            <w:tcW w:w="1880" w:type="dxa"/>
            <w:vMerge w:val="continue"/>
            <w:vAlign w:val="center"/>
          </w:tcPr>
          <w:p w14:paraId="4F7345D4">
            <w:pPr>
              <w:spacing w:line="240" w:lineRule="auto"/>
              <w:ind w:firstLine="0" w:firstLineChars="0"/>
              <w:jc w:val="center"/>
              <w:rPr>
                <w:color w:val="auto"/>
                <w:sz w:val="21"/>
                <w:szCs w:val="21"/>
              </w:rPr>
            </w:pPr>
          </w:p>
        </w:tc>
        <w:tc>
          <w:tcPr>
            <w:tcW w:w="872" w:type="dxa"/>
            <w:vAlign w:val="center"/>
          </w:tcPr>
          <w:p w14:paraId="12074471">
            <w:pPr>
              <w:spacing w:line="240" w:lineRule="auto"/>
              <w:ind w:firstLine="0" w:firstLineChars="0"/>
              <w:jc w:val="center"/>
              <w:rPr>
                <w:color w:val="auto"/>
                <w:sz w:val="21"/>
                <w:szCs w:val="21"/>
              </w:rPr>
            </w:pPr>
            <w:r>
              <w:rPr>
                <w:rFonts w:hint="eastAsia"/>
                <w:color w:val="auto"/>
                <w:sz w:val="21"/>
                <w:szCs w:val="21"/>
              </w:rPr>
              <w:t>H</w:t>
            </w:r>
            <w:r>
              <w:rPr>
                <w:rFonts w:hint="eastAsia"/>
                <w:color w:val="auto"/>
                <w:sz w:val="21"/>
                <w:szCs w:val="21"/>
                <w:vertAlign w:val="subscript"/>
              </w:rPr>
              <w:t>2</w:t>
            </w:r>
            <w:r>
              <w:rPr>
                <w:rFonts w:hint="eastAsia"/>
                <w:color w:val="auto"/>
                <w:sz w:val="21"/>
                <w:szCs w:val="21"/>
              </w:rPr>
              <w:t>S</w:t>
            </w:r>
          </w:p>
        </w:tc>
        <w:tc>
          <w:tcPr>
            <w:tcW w:w="759" w:type="dxa"/>
            <w:vMerge w:val="continue"/>
            <w:vAlign w:val="center"/>
          </w:tcPr>
          <w:p w14:paraId="485A0484">
            <w:pPr>
              <w:spacing w:line="240" w:lineRule="auto"/>
              <w:ind w:firstLine="0" w:firstLineChars="0"/>
              <w:jc w:val="center"/>
              <w:rPr>
                <w:color w:val="auto"/>
                <w:sz w:val="21"/>
                <w:szCs w:val="21"/>
              </w:rPr>
            </w:pPr>
          </w:p>
        </w:tc>
        <w:tc>
          <w:tcPr>
            <w:tcW w:w="872" w:type="dxa"/>
            <w:vAlign w:val="center"/>
          </w:tcPr>
          <w:p w14:paraId="34B85CC7">
            <w:pPr>
              <w:spacing w:line="240" w:lineRule="auto"/>
              <w:ind w:firstLine="0" w:firstLineChars="0"/>
              <w:jc w:val="center"/>
              <w:rPr>
                <w:color w:val="auto"/>
                <w:sz w:val="21"/>
                <w:szCs w:val="21"/>
              </w:rPr>
            </w:pPr>
            <w:r>
              <w:rPr>
                <w:rFonts w:hint="eastAsia"/>
                <w:color w:val="auto"/>
                <w:sz w:val="21"/>
                <w:szCs w:val="21"/>
              </w:rPr>
              <w:t>/</w:t>
            </w:r>
          </w:p>
        </w:tc>
        <w:tc>
          <w:tcPr>
            <w:tcW w:w="876" w:type="dxa"/>
            <w:vAlign w:val="center"/>
          </w:tcPr>
          <w:p w14:paraId="51CA3DDB">
            <w:pPr>
              <w:spacing w:line="240" w:lineRule="auto"/>
              <w:ind w:firstLine="0" w:firstLineChars="0"/>
              <w:jc w:val="center"/>
              <w:rPr>
                <w:color w:val="auto"/>
                <w:sz w:val="21"/>
                <w:szCs w:val="21"/>
              </w:rPr>
            </w:pPr>
            <w:r>
              <w:rPr>
                <w:rFonts w:hint="eastAsia"/>
                <w:color w:val="auto"/>
                <w:sz w:val="21"/>
                <w:szCs w:val="21"/>
              </w:rPr>
              <w:t>4.9</w:t>
            </w:r>
          </w:p>
        </w:tc>
        <w:tc>
          <w:tcPr>
            <w:tcW w:w="1141" w:type="dxa"/>
            <w:shd w:val="clear" w:color="auto" w:fill="auto"/>
          </w:tcPr>
          <w:p w14:paraId="70CAEC66">
            <w:pPr>
              <w:pStyle w:val="3127"/>
              <w:rPr>
                <w:rFonts w:eastAsia="等线"/>
                <w:color w:val="auto"/>
              </w:rPr>
            </w:pPr>
            <w:r>
              <w:rPr>
                <w:rFonts w:hint="eastAsia" w:eastAsia="等线"/>
                <w:color w:val="auto"/>
              </w:rPr>
              <w:t>0.004</w:t>
            </w:r>
          </w:p>
        </w:tc>
        <w:tc>
          <w:tcPr>
            <w:tcW w:w="1141" w:type="dxa"/>
            <w:vAlign w:val="center"/>
          </w:tcPr>
          <w:p w14:paraId="793ADD50">
            <w:pPr>
              <w:spacing w:line="240" w:lineRule="auto"/>
              <w:ind w:firstLine="0" w:firstLineChars="0"/>
              <w:jc w:val="center"/>
              <w:rPr>
                <w:color w:val="auto"/>
                <w:sz w:val="21"/>
                <w:szCs w:val="21"/>
              </w:rPr>
            </w:pPr>
            <w:r>
              <w:rPr>
                <w:rFonts w:hint="eastAsia"/>
                <w:color w:val="auto"/>
                <w:sz w:val="21"/>
                <w:szCs w:val="21"/>
              </w:rPr>
              <w:t>0.06</w:t>
            </w:r>
          </w:p>
        </w:tc>
        <w:tc>
          <w:tcPr>
            <w:tcW w:w="869" w:type="dxa"/>
            <w:shd w:val="clear" w:color="auto" w:fill="auto"/>
          </w:tcPr>
          <w:p w14:paraId="46C53B99">
            <w:pPr>
              <w:pStyle w:val="3127"/>
              <w:rPr>
                <w:rFonts w:eastAsia="等线"/>
                <w:color w:val="auto"/>
              </w:rPr>
            </w:pPr>
            <w:r>
              <w:rPr>
                <w:rFonts w:hint="eastAsia" w:eastAsia="等线"/>
                <w:color w:val="auto"/>
              </w:rPr>
              <w:t>0.001</w:t>
            </w:r>
          </w:p>
        </w:tc>
      </w:tr>
      <w:tr w14:paraId="4DC5C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5" w:hRule="atLeast"/>
          <w:jc w:val="center"/>
        </w:trPr>
        <w:tc>
          <w:tcPr>
            <w:tcW w:w="716" w:type="dxa"/>
            <w:vMerge w:val="continue"/>
            <w:vAlign w:val="center"/>
          </w:tcPr>
          <w:p w14:paraId="356528D2">
            <w:pPr>
              <w:spacing w:line="240" w:lineRule="auto"/>
              <w:ind w:firstLine="0" w:firstLineChars="0"/>
              <w:jc w:val="center"/>
              <w:rPr>
                <w:color w:val="auto"/>
                <w:sz w:val="21"/>
                <w:szCs w:val="21"/>
              </w:rPr>
            </w:pPr>
          </w:p>
        </w:tc>
        <w:tc>
          <w:tcPr>
            <w:tcW w:w="1880" w:type="dxa"/>
            <w:vMerge w:val="continue"/>
            <w:vAlign w:val="center"/>
          </w:tcPr>
          <w:p w14:paraId="221DC7D5">
            <w:pPr>
              <w:spacing w:line="240" w:lineRule="auto"/>
              <w:ind w:firstLine="0" w:firstLineChars="0"/>
              <w:jc w:val="center"/>
              <w:rPr>
                <w:color w:val="auto"/>
                <w:sz w:val="21"/>
                <w:szCs w:val="21"/>
              </w:rPr>
            </w:pPr>
          </w:p>
        </w:tc>
        <w:tc>
          <w:tcPr>
            <w:tcW w:w="872" w:type="dxa"/>
            <w:vAlign w:val="center"/>
          </w:tcPr>
          <w:p w14:paraId="22A38B9C">
            <w:pPr>
              <w:spacing w:line="240" w:lineRule="auto"/>
              <w:ind w:firstLine="0" w:firstLineChars="0"/>
              <w:jc w:val="center"/>
              <w:rPr>
                <w:color w:val="auto"/>
                <w:sz w:val="21"/>
                <w:szCs w:val="21"/>
              </w:rPr>
            </w:pPr>
            <w:r>
              <w:rPr>
                <w:rFonts w:hint="eastAsia"/>
                <w:color w:val="auto"/>
                <w:kern w:val="0"/>
                <w:sz w:val="21"/>
                <w:szCs w:val="21"/>
                <w:lang w:bidi="ar"/>
              </w:rPr>
              <w:t>VOC</w:t>
            </w:r>
            <w:r>
              <w:rPr>
                <w:rFonts w:hint="eastAsia"/>
                <w:color w:val="auto"/>
                <w:kern w:val="0"/>
                <w:sz w:val="21"/>
                <w:szCs w:val="21"/>
                <w:vertAlign w:val="subscript"/>
                <w:lang w:bidi="ar"/>
              </w:rPr>
              <w:t>S</w:t>
            </w:r>
          </w:p>
        </w:tc>
        <w:tc>
          <w:tcPr>
            <w:tcW w:w="759" w:type="dxa"/>
            <w:vMerge w:val="continue"/>
            <w:vAlign w:val="center"/>
          </w:tcPr>
          <w:p w14:paraId="23B52426">
            <w:pPr>
              <w:spacing w:line="240" w:lineRule="auto"/>
              <w:ind w:firstLine="0" w:firstLineChars="0"/>
              <w:jc w:val="center"/>
              <w:rPr>
                <w:color w:val="auto"/>
                <w:sz w:val="21"/>
                <w:szCs w:val="21"/>
              </w:rPr>
            </w:pPr>
          </w:p>
        </w:tc>
        <w:tc>
          <w:tcPr>
            <w:tcW w:w="872" w:type="dxa"/>
            <w:vAlign w:val="center"/>
          </w:tcPr>
          <w:p w14:paraId="60E3A3AC">
            <w:pPr>
              <w:spacing w:line="240" w:lineRule="auto"/>
              <w:ind w:firstLine="0" w:firstLineChars="0"/>
              <w:jc w:val="center"/>
              <w:rPr>
                <w:color w:val="auto"/>
                <w:sz w:val="21"/>
                <w:szCs w:val="21"/>
              </w:rPr>
            </w:pPr>
            <w:r>
              <w:rPr>
                <w:rFonts w:hint="eastAsia"/>
                <w:color w:val="auto"/>
                <w:sz w:val="21"/>
                <w:szCs w:val="21"/>
              </w:rPr>
              <w:t>120</w:t>
            </w:r>
          </w:p>
        </w:tc>
        <w:tc>
          <w:tcPr>
            <w:tcW w:w="876" w:type="dxa"/>
            <w:vAlign w:val="center"/>
          </w:tcPr>
          <w:p w14:paraId="28752B19">
            <w:pPr>
              <w:spacing w:line="240" w:lineRule="auto"/>
              <w:ind w:firstLine="0" w:firstLineChars="0"/>
              <w:jc w:val="center"/>
              <w:rPr>
                <w:color w:val="auto"/>
                <w:sz w:val="21"/>
                <w:szCs w:val="21"/>
              </w:rPr>
            </w:pPr>
            <w:r>
              <w:rPr>
                <w:rFonts w:hint="eastAsia"/>
                <w:color w:val="auto"/>
                <w:sz w:val="21"/>
                <w:szCs w:val="21"/>
              </w:rPr>
              <w:t>10</w:t>
            </w:r>
          </w:p>
        </w:tc>
        <w:tc>
          <w:tcPr>
            <w:tcW w:w="1141" w:type="dxa"/>
            <w:shd w:val="clear" w:color="auto" w:fill="auto"/>
            <w:vAlign w:val="center"/>
          </w:tcPr>
          <w:p w14:paraId="311E6389">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 xml:space="preserve">0.238 </w:t>
            </w:r>
          </w:p>
        </w:tc>
        <w:tc>
          <w:tcPr>
            <w:tcW w:w="1141" w:type="dxa"/>
            <w:vAlign w:val="center"/>
          </w:tcPr>
          <w:p w14:paraId="5C82205E">
            <w:pPr>
              <w:spacing w:line="240" w:lineRule="auto"/>
              <w:ind w:firstLine="0" w:firstLineChars="0"/>
              <w:jc w:val="center"/>
              <w:rPr>
                <w:color w:val="auto"/>
                <w:sz w:val="21"/>
                <w:szCs w:val="21"/>
              </w:rPr>
            </w:pPr>
            <w:r>
              <w:rPr>
                <w:rFonts w:hint="eastAsia"/>
                <w:color w:val="auto"/>
                <w:sz w:val="21"/>
                <w:szCs w:val="21"/>
              </w:rPr>
              <w:t>4</w:t>
            </w:r>
          </w:p>
        </w:tc>
        <w:tc>
          <w:tcPr>
            <w:tcW w:w="869" w:type="dxa"/>
            <w:shd w:val="clear" w:color="auto" w:fill="auto"/>
            <w:vAlign w:val="center"/>
          </w:tcPr>
          <w:p w14:paraId="63A3D2E6">
            <w:pPr>
              <w:pStyle w:val="348"/>
              <w:rPr>
                <w:color w:val="auto"/>
              </w:rPr>
            </w:pPr>
            <w:r>
              <w:rPr>
                <w:rFonts w:hint="eastAsia"/>
                <w:color w:val="auto"/>
                <w:lang w:bidi="ar"/>
              </w:rPr>
              <w:t>0.066</w:t>
            </w:r>
          </w:p>
        </w:tc>
      </w:tr>
      <w:tr w14:paraId="7CAE9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16" w:type="dxa"/>
            <w:vMerge w:val="continue"/>
            <w:vAlign w:val="center"/>
          </w:tcPr>
          <w:p w14:paraId="2D0508E3">
            <w:pPr>
              <w:spacing w:line="240" w:lineRule="auto"/>
              <w:ind w:firstLine="0" w:firstLineChars="0"/>
              <w:jc w:val="center"/>
              <w:rPr>
                <w:color w:val="auto"/>
                <w:sz w:val="21"/>
                <w:szCs w:val="21"/>
              </w:rPr>
            </w:pPr>
          </w:p>
        </w:tc>
        <w:tc>
          <w:tcPr>
            <w:tcW w:w="1880" w:type="dxa"/>
            <w:vMerge w:val="continue"/>
            <w:vAlign w:val="center"/>
          </w:tcPr>
          <w:p w14:paraId="64B2F668">
            <w:pPr>
              <w:spacing w:line="240" w:lineRule="auto"/>
              <w:ind w:firstLine="0" w:firstLineChars="0"/>
              <w:jc w:val="center"/>
              <w:rPr>
                <w:color w:val="auto"/>
                <w:sz w:val="21"/>
                <w:szCs w:val="21"/>
              </w:rPr>
            </w:pPr>
          </w:p>
        </w:tc>
        <w:tc>
          <w:tcPr>
            <w:tcW w:w="872" w:type="dxa"/>
            <w:vAlign w:val="center"/>
          </w:tcPr>
          <w:p w14:paraId="7B0F06D0">
            <w:pPr>
              <w:spacing w:line="240" w:lineRule="auto"/>
              <w:ind w:firstLine="0" w:firstLineChars="0"/>
              <w:jc w:val="center"/>
              <w:rPr>
                <w:color w:val="auto"/>
                <w:sz w:val="21"/>
                <w:szCs w:val="21"/>
              </w:rPr>
            </w:pPr>
            <w:r>
              <w:rPr>
                <w:rFonts w:hint="eastAsia"/>
                <w:color w:val="auto"/>
                <w:sz w:val="21"/>
                <w:szCs w:val="21"/>
              </w:rPr>
              <w:t>臭气浓度</w:t>
            </w:r>
          </w:p>
        </w:tc>
        <w:tc>
          <w:tcPr>
            <w:tcW w:w="759" w:type="dxa"/>
            <w:vMerge w:val="continue"/>
            <w:vAlign w:val="center"/>
          </w:tcPr>
          <w:p w14:paraId="41537C64">
            <w:pPr>
              <w:spacing w:line="240" w:lineRule="auto"/>
              <w:ind w:firstLine="0" w:firstLineChars="0"/>
              <w:jc w:val="center"/>
              <w:rPr>
                <w:color w:val="auto"/>
                <w:sz w:val="21"/>
                <w:szCs w:val="21"/>
              </w:rPr>
            </w:pPr>
          </w:p>
        </w:tc>
        <w:tc>
          <w:tcPr>
            <w:tcW w:w="872" w:type="dxa"/>
            <w:vAlign w:val="center"/>
          </w:tcPr>
          <w:p w14:paraId="6BE1D75D">
            <w:pPr>
              <w:spacing w:line="240" w:lineRule="auto"/>
              <w:ind w:firstLine="0" w:firstLineChars="0"/>
              <w:jc w:val="center"/>
              <w:rPr>
                <w:color w:val="auto"/>
                <w:sz w:val="21"/>
                <w:szCs w:val="21"/>
              </w:rPr>
            </w:pPr>
            <w:r>
              <w:rPr>
                <w:rFonts w:hint="eastAsia"/>
                <w:color w:val="auto"/>
                <w:sz w:val="21"/>
                <w:szCs w:val="21"/>
              </w:rPr>
              <w:t>/</w:t>
            </w:r>
          </w:p>
        </w:tc>
        <w:tc>
          <w:tcPr>
            <w:tcW w:w="876" w:type="dxa"/>
            <w:vAlign w:val="center"/>
          </w:tcPr>
          <w:p w14:paraId="6613BF71">
            <w:pPr>
              <w:spacing w:line="240" w:lineRule="auto"/>
              <w:ind w:firstLine="0" w:firstLineChars="0"/>
              <w:jc w:val="center"/>
              <w:rPr>
                <w:color w:val="auto"/>
                <w:sz w:val="21"/>
                <w:szCs w:val="21"/>
              </w:rPr>
            </w:pPr>
            <w:r>
              <w:rPr>
                <w:rFonts w:hint="eastAsia"/>
                <w:color w:val="auto"/>
                <w:sz w:val="21"/>
                <w:szCs w:val="21"/>
              </w:rPr>
              <w:t>2000（无量纲）</w:t>
            </w:r>
          </w:p>
        </w:tc>
        <w:tc>
          <w:tcPr>
            <w:tcW w:w="1141" w:type="dxa"/>
            <w:vAlign w:val="center"/>
          </w:tcPr>
          <w:p w14:paraId="673D877F">
            <w:pPr>
              <w:spacing w:line="240" w:lineRule="auto"/>
              <w:ind w:firstLine="0" w:firstLineChars="0"/>
              <w:jc w:val="center"/>
              <w:rPr>
                <w:color w:val="auto"/>
                <w:sz w:val="21"/>
                <w:szCs w:val="21"/>
              </w:rPr>
            </w:pPr>
            <w:r>
              <w:rPr>
                <w:rFonts w:hint="eastAsia"/>
                <w:color w:val="auto"/>
                <w:sz w:val="21"/>
                <w:szCs w:val="21"/>
              </w:rPr>
              <w:t>/</w:t>
            </w:r>
          </w:p>
        </w:tc>
        <w:tc>
          <w:tcPr>
            <w:tcW w:w="1141" w:type="dxa"/>
            <w:vAlign w:val="center"/>
          </w:tcPr>
          <w:p w14:paraId="732BD007">
            <w:pPr>
              <w:spacing w:line="240" w:lineRule="auto"/>
              <w:ind w:firstLine="0" w:firstLineChars="0"/>
              <w:jc w:val="center"/>
              <w:rPr>
                <w:color w:val="auto"/>
                <w:sz w:val="21"/>
                <w:szCs w:val="21"/>
              </w:rPr>
            </w:pPr>
            <w:r>
              <w:rPr>
                <w:rFonts w:hint="eastAsia"/>
                <w:color w:val="auto"/>
                <w:sz w:val="21"/>
                <w:szCs w:val="21"/>
              </w:rPr>
              <w:t>20</w:t>
            </w:r>
          </w:p>
          <w:p w14:paraId="2D2A03B1">
            <w:pPr>
              <w:spacing w:line="240" w:lineRule="auto"/>
              <w:ind w:firstLine="0" w:firstLineChars="0"/>
              <w:jc w:val="center"/>
              <w:rPr>
                <w:color w:val="auto"/>
                <w:sz w:val="21"/>
                <w:szCs w:val="21"/>
              </w:rPr>
            </w:pPr>
            <w:r>
              <w:rPr>
                <w:rFonts w:hint="eastAsia"/>
                <w:color w:val="auto"/>
                <w:sz w:val="21"/>
                <w:szCs w:val="21"/>
              </w:rPr>
              <w:t>（无量纲）</w:t>
            </w:r>
          </w:p>
        </w:tc>
        <w:tc>
          <w:tcPr>
            <w:tcW w:w="869" w:type="dxa"/>
            <w:vAlign w:val="center"/>
          </w:tcPr>
          <w:p w14:paraId="402F2458">
            <w:pPr>
              <w:spacing w:line="240" w:lineRule="auto"/>
              <w:ind w:firstLine="0" w:firstLineChars="0"/>
              <w:jc w:val="center"/>
              <w:rPr>
                <w:color w:val="auto"/>
                <w:sz w:val="21"/>
                <w:szCs w:val="21"/>
              </w:rPr>
            </w:pPr>
            <w:r>
              <w:rPr>
                <w:rFonts w:hint="eastAsia"/>
                <w:color w:val="auto"/>
                <w:sz w:val="21"/>
                <w:szCs w:val="21"/>
              </w:rPr>
              <w:t>/</w:t>
            </w:r>
          </w:p>
        </w:tc>
      </w:tr>
    </w:tbl>
    <w:p w14:paraId="38927522">
      <w:pPr>
        <w:pStyle w:val="185"/>
        <w:rPr>
          <w:color w:val="auto"/>
        </w:rPr>
      </w:pPr>
    </w:p>
    <w:p w14:paraId="69EE1313">
      <w:pPr>
        <w:pStyle w:val="185"/>
        <w:rPr>
          <w:color w:val="auto"/>
        </w:rPr>
      </w:pPr>
    </w:p>
    <w:p w14:paraId="5E8FC54E">
      <w:pPr>
        <w:pStyle w:val="185"/>
        <w:rPr>
          <w:color w:val="auto"/>
        </w:rPr>
      </w:pPr>
      <w:r>
        <w:rPr>
          <w:color w:val="auto"/>
        </w:rPr>
        <w:t>表10.4-5  噪声排放标准</w:t>
      </w:r>
    </w:p>
    <w:tbl>
      <w:tblPr>
        <w:tblStyle w:val="88"/>
        <w:tblW w:w="91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342"/>
        <w:gridCol w:w="765"/>
        <w:gridCol w:w="1677"/>
        <w:gridCol w:w="1681"/>
        <w:gridCol w:w="1661"/>
      </w:tblGrid>
      <w:tr w14:paraId="4D51E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107" w:type="dxa"/>
            <w:gridSpan w:val="2"/>
            <w:vMerge w:val="restart"/>
            <w:vAlign w:val="center"/>
          </w:tcPr>
          <w:p w14:paraId="26F165BC">
            <w:pPr>
              <w:spacing w:line="240" w:lineRule="auto"/>
              <w:ind w:firstLine="0" w:firstLineChars="0"/>
              <w:jc w:val="center"/>
              <w:rPr>
                <w:color w:val="auto"/>
                <w:sz w:val="21"/>
                <w:szCs w:val="21"/>
              </w:rPr>
            </w:pPr>
            <w:r>
              <w:rPr>
                <w:rFonts w:hint="eastAsia"/>
                <w:color w:val="auto"/>
                <w:sz w:val="21"/>
                <w:szCs w:val="21"/>
              </w:rPr>
              <w:t>排放标准及标准号</w:t>
            </w:r>
          </w:p>
        </w:tc>
        <w:tc>
          <w:tcPr>
            <w:tcW w:w="3358" w:type="dxa"/>
            <w:gridSpan w:val="2"/>
            <w:vAlign w:val="center"/>
          </w:tcPr>
          <w:p w14:paraId="2F3ABC71">
            <w:pPr>
              <w:spacing w:line="240" w:lineRule="auto"/>
              <w:ind w:firstLine="0" w:firstLineChars="0"/>
              <w:jc w:val="center"/>
              <w:rPr>
                <w:color w:val="auto"/>
                <w:sz w:val="21"/>
                <w:szCs w:val="21"/>
              </w:rPr>
            </w:pPr>
            <w:r>
              <w:rPr>
                <w:rFonts w:hint="eastAsia"/>
                <w:color w:val="auto"/>
                <w:sz w:val="21"/>
                <w:szCs w:val="21"/>
              </w:rPr>
              <w:t>最大允许排放值</w:t>
            </w:r>
          </w:p>
        </w:tc>
        <w:tc>
          <w:tcPr>
            <w:tcW w:w="1661" w:type="dxa"/>
            <w:vMerge w:val="restart"/>
            <w:vAlign w:val="center"/>
          </w:tcPr>
          <w:p w14:paraId="491DB07E">
            <w:pPr>
              <w:spacing w:line="240" w:lineRule="auto"/>
              <w:ind w:firstLine="0" w:firstLineChars="0"/>
              <w:jc w:val="center"/>
              <w:rPr>
                <w:color w:val="auto"/>
                <w:sz w:val="21"/>
                <w:szCs w:val="21"/>
              </w:rPr>
            </w:pPr>
            <w:r>
              <w:rPr>
                <w:rFonts w:hint="eastAsia"/>
                <w:color w:val="auto"/>
                <w:sz w:val="21"/>
                <w:szCs w:val="21"/>
              </w:rPr>
              <w:t>备注</w:t>
            </w:r>
          </w:p>
        </w:tc>
      </w:tr>
      <w:tr w14:paraId="02C3F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107" w:type="dxa"/>
            <w:gridSpan w:val="2"/>
            <w:vMerge w:val="continue"/>
            <w:vAlign w:val="center"/>
          </w:tcPr>
          <w:p w14:paraId="7747537F">
            <w:pPr>
              <w:spacing w:line="240" w:lineRule="auto"/>
              <w:ind w:firstLine="0" w:firstLineChars="0"/>
              <w:jc w:val="center"/>
              <w:rPr>
                <w:color w:val="auto"/>
                <w:sz w:val="21"/>
                <w:szCs w:val="21"/>
              </w:rPr>
            </w:pPr>
          </w:p>
        </w:tc>
        <w:tc>
          <w:tcPr>
            <w:tcW w:w="1677" w:type="dxa"/>
            <w:vAlign w:val="center"/>
          </w:tcPr>
          <w:p w14:paraId="14A26FDC">
            <w:pPr>
              <w:spacing w:line="240" w:lineRule="auto"/>
              <w:ind w:firstLine="0" w:firstLineChars="0"/>
              <w:jc w:val="center"/>
              <w:rPr>
                <w:color w:val="auto"/>
                <w:sz w:val="21"/>
                <w:szCs w:val="21"/>
              </w:rPr>
            </w:pPr>
            <w:r>
              <w:rPr>
                <w:rFonts w:hint="eastAsia"/>
                <w:color w:val="auto"/>
                <w:sz w:val="21"/>
                <w:szCs w:val="21"/>
              </w:rPr>
              <w:t>昼间 〔dB(A)〕</w:t>
            </w:r>
          </w:p>
        </w:tc>
        <w:tc>
          <w:tcPr>
            <w:tcW w:w="1681" w:type="dxa"/>
            <w:vAlign w:val="center"/>
          </w:tcPr>
          <w:p w14:paraId="3D87EDDB">
            <w:pPr>
              <w:spacing w:line="240" w:lineRule="auto"/>
              <w:ind w:firstLine="0" w:firstLineChars="0"/>
              <w:jc w:val="center"/>
              <w:rPr>
                <w:color w:val="auto"/>
                <w:sz w:val="21"/>
                <w:szCs w:val="21"/>
              </w:rPr>
            </w:pPr>
            <w:r>
              <w:rPr>
                <w:rFonts w:hint="eastAsia"/>
                <w:color w:val="auto"/>
                <w:sz w:val="21"/>
                <w:szCs w:val="21"/>
              </w:rPr>
              <w:t>夜间 〔dB(A)〕</w:t>
            </w:r>
          </w:p>
        </w:tc>
        <w:tc>
          <w:tcPr>
            <w:tcW w:w="1661" w:type="dxa"/>
            <w:vMerge w:val="continue"/>
            <w:vAlign w:val="center"/>
          </w:tcPr>
          <w:p w14:paraId="5DC682D3">
            <w:pPr>
              <w:spacing w:line="240" w:lineRule="auto"/>
              <w:ind w:firstLine="0" w:firstLineChars="0"/>
              <w:jc w:val="center"/>
              <w:rPr>
                <w:color w:val="auto"/>
                <w:sz w:val="21"/>
                <w:szCs w:val="21"/>
              </w:rPr>
            </w:pPr>
          </w:p>
        </w:tc>
      </w:tr>
      <w:tr w14:paraId="19473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342" w:type="dxa"/>
            <w:vAlign w:val="center"/>
          </w:tcPr>
          <w:p w14:paraId="33A4B173">
            <w:pPr>
              <w:spacing w:line="240" w:lineRule="auto"/>
              <w:ind w:firstLine="0" w:firstLineChars="0"/>
              <w:jc w:val="center"/>
              <w:rPr>
                <w:color w:val="auto"/>
                <w:sz w:val="21"/>
                <w:szCs w:val="21"/>
              </w:rPr>
            </w:pPr>
            <w:r>
              <w:rPr>
                <w:rFonts w:hint="eastAsia"/>
                <w:color w:val="auto"/>
                <w:sz w:val="21"/>
                <w:szCs w:val="21"/>
              </w:rPr>
              <w:t>《工业企业厂界环境噪声排放标准》</w:t>
            </w:r>
            <w:r>
              <w:rPr>
                <w:rFonts w:hint="eastAsia"/>
                <w:color w:val="auto"/>
                <w:sz w:val="21"/>
                <w:szCs w:val="21"/>
                <w:lang w:eastAsia="zh-CN"/>
              </w:rPr>
              <w:t>（</w:t>
            </w:r>
            <w:r>
              <w:rPr>
                <w:rFonts w:hint="eastAsia"/>
                <w:color w:val="auto"/>
                <w:sz w:val="21"/>
                <w:szCs w:val="21"/>
              </w:rPr>
              <w:t>GB12348-2008)</w:t>
            </w:r>
          </w:p>
        </w:tc>
        <w:tc>
          <w:tcPr>
            <w:tcW w:w="765" w:type="dxa"/>
            <w:vAlign w:val="center"/>
          </w:tcPr>
          <w:p w14:paraId="77B51026">
            <w:pPr>
              <w:spacing w:line="240" w:lineRule="auto"/>
              <w:ind w:firstLine="0" w:firstLineChars="0"/>
              <w:jc w:val="center"/>
              <w:rPr>
                <w:color w:val="auto"/>
                <w:sz w:val="21"/>
                <w:szCs w:val="21"/>
              </w:rPr>
            </w:pPr>
            <w:r>
              <w:rPr>
                <w:rFonts w:hint="eastAsia"/>
                <w:color w:val="auto"/>
                <w:sz w:val="21"/>
                <w:szCs w:val="21"/>
              </w:rPr>
              <w:t>3类</w:t>
            </w:r>
          </w:p>
        </w:tc>
        <w:tc>
          <w:tcPr>
            <w:tcW w:w="1677" w:type="dxa"/>
            <w:vAlign w:val="center"/>
          </w:tcPr>
          <w:p w14:paraId="201652AF">
            <w:pPr>
              <w:spacing w:line="240" w:lineRule="auto"/>
              <w:ind w:firstLine="0" w:firstLineChars="0"/>
              <w:jc w:val="center"/>
              <w:rPr>
                <w:color w:val="auto"/>
                <w:sz w:val="21"/>
                <w:szCs w:val="21"/>
              </w:rPr>
            </w:pPr>
            <w:r>
              <w:rPr>
                <w:rFonts w:hint="eastAsia"/>
                <w:color w:val="auto"/>
                <w:sz w:val="21"/>
                <w:szCs w:val="21"/>
              </w:rPr>
              <w:t>65</w:t>
            </w:r>
          </w:p>
        </w:tc>
        <w:tc>
          <w:tcPr>
            <w:tcW w:w="1681" w:type="dxa"/>
            <w:vAlign w:val="center"/>
          </w:tcPr>
          <w:p w14:paraId="03D17F9A">
            <w:pPr>
              <w:spacing w:line="240" w:lineRule="auto"/>
              <w:ind w:firstLine="0" w:firstLineChars="0"/>
              <w:jc w:val="center"/>
              <w:rPr>
                <w:color w:val="auto"/>
                <w:sz w:val="21"/>
                <w:szCs w:val="21"/>
              </w:rPr>
            </w:pPr>
            <w:r>
              <w:rPr>
                <w:rFonts w:hint="eastAsia"/>
                <w:color w:val="auto"/>
                <w:sz w:val="21"/>
                <w:szCs w:val="21"/>
              </w:rPr>
              <w:t>55</w:t>
            </w:r>
          </w:p>
        </w:tc>
        <w:tc>
          <w:tcPr>
            <w:tcW w:w="1661" w:type="dxa"/>
            <w:vAlign w:val="center"/>
          </w:tcPr>
          <w:p w14:paraId="32FF36CF">
            <w:pPr>
              <w:spacing w:line="240" w:lineRule="auto"/>
              <w:ind w:firstLine="0" w:firstLineChars="0"/>
              <w:jc w:val="center"/>
              <w:rPr>
                <w:color w:val="auto"/>
                <w:sz w:val="21"/>
                <w:szCs w:val="21"/>
              </w:rPr>
            </w:pPr>
            <w:r>
              <w:rPr>
                <w:rFonts w:hint="eastAsia"/>
                <w:color w:val="auto"/>
                <w:sz w:val="21"/>
                <w:szCs w:val="21"/>
              </w:rPr>
              <w:t>四周厂界</w:t>
            </w:r>
          </w:p>
        </w:tc>
      </w:tr>
    </w:tbl>
    <w:p w14:paraId="49002EBC">
      <w:pPr>
        <w:pStyle w:val="185"/>
        <w:rPr>
          <w:color w:val="auto"/>
        </w:rPr>
      </w:pPr>
      <w:r>
        <w:rPr>
          <w:color w:val="auto"/>
        </w:rPr>
        <w:tab/>
      </w:r>
    </w:p>
    <w:p w14:paraId="477194DC">
      <w:pPr>
        <w:pStyle w:val="185"/>
        <w:rPr>
          <w:color w:val="auto"/>
        </w:rPr>
      </w:pPr>
      <w:r>
        <w:rPr>
          <w:color w:val="auto"/>
        </w:rPr>
        <w:t>表10.4-6   固体废物处理处置方式</w:t>
      </w:r>
    </w:p>
    <w:tbl>
      <w:tblPr>
        <w:tblStyle w:val="88"/>
        <w:tblW w:w="91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996"/>
        <w:gridCol w:w="1129"/>
        <w:gridCol w:w="3013"/>
        <w:gridCol w:w="1112"/>
        <w:gridCol w:w="876"/>
      </w:tblGrid>
      <w:tr w14:paraId="496B3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2996" w:type="dxa"/>
            <w:vMerge w:val="restart"/>
            <w:vAlign w:val="center"/>
          </w:tcPr>
          <w:p w14:paraId="502EAE39">
            <w:pPr>
              <w:spacing w:line="240" w:lineRule="auto"/>
              <w:ind w:firstLine="0" w:firstLineChars="0"/>
              <w:jc w:val="center"/>
              <w:rPr>
                <w:color w:val="auto"/>
                <w:sz w:val="21"/>
                <w:szCs w:val="21"/>
              </w:rPr>
            </w:pPr>
            <w:r>
              <w:rPr>
                <w:rFonts w:hint="eastAsia"/>
                <w:color w:val="auto"/>
                <w:sz w:val="21"/>
                <w:szCs w:val="21"/>
              </w:rPr>
              <w:t>固体废物名称</w:t>
            </w:r>
          </w:p>
        </w:tc>
        <w:tc>
          <w:tcPr>
            <w:tcW w:w="1129" w:type="dxa"/>
            <w:vMerge w:val="restart"/>
            <w:vAlign w:val="center"/>
          </w:tcPr>
          <w:p w14:paraId="4381EE8D">
            <w:pPr>
              <w:spacing w:line="240" w:lineRule="auto"/>
              <w:ind w:firstLine="0" w:firstLineChars="0"/>
              <w:jc w:val="center"/>
              <w:rPr>
                <w:color w:val="auto"/>
                <w:sz w:val="21"/>
                <w:szCs w:val="21"/>
              </w:rPr>
            </w:pPr>
            <w:r>
              <w:rPr>
                <w:rFonts w:hint="eastAsia"/>
                <w:color w:val="auto"/>
                <w:sz w:val="21"/>
                <w:szCs w:val="21"/>
              </w:rPr>
              <w:t>产生量</w:t>
            </w:r>
            <w:r>
              <w:rPr>
                <w:rFonts w:hint="eastAsia"/>
                <w:color w:val="auto"/>
                <w:sz w:val="21"/>
                <w:szCs w:val="21"/>
                <w:lang w:eastAsia="zh-CN"/>
              </w:rPr>
              <w:t>（</w:t>
            </w:r>
            <w:r>
              <w:rPr>
                <w:rFonts w:hint="eastAsia"/>
                <w:color w:val="auto"/>
                <w:sz w:val="21"/>
                <w:szCs w:val="21"/>
              </w:rPr>
              <w:t>t/a</w:t>
            </w:r>
            <w:r>
              <w:rPr>
                <w:rFonts w:hint="eastAsia"/>
                <w:color w:val="auto"/>
                <w:sz w:val="21"/>
                <w:szCs w:val="21"/>
                <w:lang w:eastAsia="zh-CN"/>
              </w:rPr>
              <w:t>）</w:t>
            </w:r>
          </w:p>
        </w:tc>
        <w:tc>
          <w:tcPr>
            <w:tcW w:w="5001" w:type="dxa"/>
            <w:gridSpan w:val="3"/>
            <w:vAlign w:val="center"/>
          </w:tcPr>
          <w:p w14:paraId="5BD23F48">
            <w:pPr>
              <w:spacing w:line="240" w:lineRule="auto"/>
              <w:ind w:firstLine="0" w:firstLineChars="0"/>
              <w:jc w:val="center"/>
              <w:rPr>
                <w:color w:val="auto"/>
                <w:sz w:val="21"/>
                <w:szCs w:val="21"/>
              </w:rPr>
            </w:pPr>
            <w:r>
              <w:rPr>
                <w:rFonts w:hint="eastAsia"/>
                <w:color w:val="auto"/>
                <w:sz w:val="21"/>
                <w:szCs w:val="21"/>
              </w:rPr>
              <w:t>处置方式及数量</w:t>
            </w:r>
            <w:r>
              <w:rPr>
                <w:rFonts w:hint="eastAsia"/>
                <w:color w:val="auto"/>
                <w:sz w:val="21"/>
                <w:szCs w:val="21"/>
                <w:lang w:eastAsia="zh-CN"/>
              </w:rPr>
              <w:t>（</w:t>
            </w:r>
            <w:r>
              <w:rPr>
                <w:rFonts w:hint="eastAsia"/>
                <w:color w:val="auto"/>
                <w:sz w:val="21"/>
                <w:szCs w:val="21"/>
              </w:rPr>
              <w:t>t/a</w:t>
            </w:r>
            <w:r>
              <w:rPr>
                <w:rFonts w:hint="eastAsia"/>
                <w:color w:val="auto"/>
                <w:sz w:val="21"/>
                <w:szCs w:val="21"/>
                <w:lang w:eastAsia="zh-CN"/>
              </w:rPr>
              <w:t>）</w:t>
            </w:r>
          </w:p>
        </w:tc>
      </w:tr>
      <w:tr w14:paraId="43CA4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2996" w:type="dxa"/>
            <w:vMerge w:val="continue"/>
            <w:vAlign w:val="center"/>
          </w:tcPr>
          <w:p w14:paraId="0CDF02D3">
            <w:pPr>
              <w:spacing w:line="240" w:lineRule="auto"/>
              <w:ind w:firstLine="0" w:firstLineChars="0"/>
              <w:jc w:val="center"/>
              <w:rPr>
                <w:color w:val="auto"/>
                <w:sz w:val="21"/>
                <w:szCs w:val="21"/>
              </w:rPr>
            </w:pPr>
          </w:p>
        </w:tc>
        <w:tc>
          <w:tcPr>
            <w:tcW w:w="1129" w:type="dxa"/>
            <w:vMerge w:val="continue"/>
            <w:vAlign w:val="center"/>
          </w:tcPr>
          <w:p w14:paraId="75BFE96F">
            <w:pPr>
              <w:spacing w:line="240" w:lineRule="auto"/>
              <w:ind w:firstLine="0" w:firstLineChars="0"/>
              <w:jc w:val="center"/>
              <w:rPr>
                <w:color w:val="auto"/>
                <w:sz w:val="21"/>
                <w:szCs w:val="21"/>
              </w:rPr>
            </w:pPr>
          </w:p>
        </w:tc>
        <w:tc>
          <w:tcPr>
            <w:tcW w:w="3013" w:type="dxa"/>
            <w:vAlign w:val="center"/>
          </w:tcPr>
          <w:p w14:paraId="1B7787BE">
            <w:pPr>
              <w:spacing w:line="240" w:lineRule="auto"/>
              <w:ind w:firstLine="0" w:firstLineChars="0"/>
              <w:jc w:val="center"/>
              <w:rPr>
                <w:color w:val="auto"/>
                <w:sz w:val="21"/>
                <w:szCs w:val="21"/>
              </w:rPr>
            </w:pPr>
            <w:r>
              <w:rPr>
                <w:rFonts w:hint="eastAsia"/>
                <w:color w:val="auto"/>
                <w:sz w:val="21"/>
                <w:szCs w:val="21"/>
              </w:rPr>
              <w:t>方式</w:t>
            </w:r>
          </w:p>
        </w:tc>
        <w:tc>
          <w:tcPr>
            <w:tcW w:w="1112" w:type="dxa"/>
            <w:vAlign w:val="center"/>
          </w:tcPr>
          <w:p w14:paraId="6758563A">
            <w:pPr>
              <w:spacing w:line="240" w:lineRule="auto"/>
              <w:ind w:firstLine="0" w:firstLineChars="0"/>
              <w:jc w:val="center"/>
              <w:rPr>
                <w:color w:val="auto"/>
                <w:sz w:val="21"/>
                <w:szCs w:val="21"/>
              </w:rPr>
            </w:pPr>
            <w:r>
              <w:rPr>
                <w:rFonts w:hint="eastAsia"/>
                <w:color w:val="auto"/>
                <w:sz w:val="21"/>
                <w:szCs w:val="21"/>
              </w:rPr>
              <w:t>数量</w:t>
            </w:r>
            <w:r>
              <w:rPr>
                <w:rFonts w:hint="eastAsia"/>
                <w:color w:val="auto"/>
                <w:sz w:val="21"/>
                <w:szCs w:val="21"/>
                <w:lang w:eastAsia="zh-CN"/>
              </w:rPr>
              <w:t>（</w:t>
            </w:r>
            <w:r>
              <w:rPr>
                <w:rFonts w:hint="eastAsia"/>
                <w:color w:val="auto"/>
                <w:sz w:val="21"/>
                <w:szCs w:val="21"/>
              </w:rPr>
              <w:t>t/a</w:t>
            </w:r>
            <w:r>
              <w:rPr>
                <w:rFonts w:hint="eastAsia"/>
                <w:color w:val="auto"/>
                <w:sz w:val="21"/>
                <w:szCs w:val="21"/>
                <w:lang w:eastAsia="zh-CN"/>
              </w:rPr>
              <w:t>）</w:t>
            </w:r>
          </w:p>
        </w:tc>
        <w:tc>
          <w:tcPr>
            <w:tcW w:w="876" w:type="dxa"/>
            <w:vAlign w:val="center"/>
          </w:tcPr>
          <w:p w14:paraId="7785B32F">
            <w:pPr>
              <w:spacing w:line="240" w:lineRule="auto"/>
              <w:ind w:firstLine="0" w:firstLineChars="0"/>
              <w:jc w:val="center"/>
              <w:rPr>
                <w:color w:val="auto"/>
                <w:sz w:val="21"/>
                <w:szCs w:val="21"/>
              </w:rPr>
            </w:pPr>
            <w:r>
              <w:rPr>
                <w:rFonts w:hint="eastAsia"/>
                <w:color w:val="auto"/>
                <w:sz w:val="21"/>
                <w:szCs w:val="21"/>
              </w:rPr>
              <w:t>比例</w:t>
            </w:r>
          </w:p>
        </w:tc>
      </w:tr>
      <w:tr w14:paraId="2517B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2996" w:type="dxa"/>
            <w:vAlign w:val="center"/>
          </w:tcPr>
          <w:p w14:paraId="2D2B2893">
            <w:pPr>
              <w:pStyle w:val="276"/>
              <w:rPr>
                <w:color w:val="auto"/>
              </w:rPr>
            </w:pPr>
            <w:r>
              <w:rPr>
                <w:rFonts w:hint="eastAsia"/>
                <w:color w:val="auto"/>
              </w:rPr>
              <w:t>废包装材料（一般固废）</w:t>
            </w:r>
          </w:p>
        </w:tc>
        <w:tc>
          <w:tcPr>
            <w:tcW w:w="1129" w:type="dxa"/>
            <w:vAlign w:val="center"/>
          </w:tcPr>
          <w:p w14:paraId="30E83798">
            <w:pPr>
              <w:pStyle w:val="276"/>
              <w:rPr>
                <w:color w:val="auto"/>
                <w:lang w:val="en-US"/>
              </w:rPr>
            </w:pPr>
            <w:r>
              <w:rPr>
                <w:rFonts w:hint="eastAsia"/>
                <w:color w:val="auto"/>
              </w:rPr>
              <w:t>5</w:t>
            </w:r>
          </w:p>
        </w:tc>
        <w:tc>
          <w:tcPr>
            <w:tcW w:w="3013" w:type="dxa"/>
            <w:vAlign w:val="center"/>
          </w:tcPr>
          <w:p w14:paraId="5B770A44">
            <w:pPr>
              <w:pStyle w:val="276"/>
              <w:rPr>
                <w:color w:val="auto"/>
              </w:rPr>
            </w:pPr>
            <w:r>
              <w:rPr>
                <w:rFonts w:hint="eastAsia"/>
                <w:color w:val="auto"/>
              </w:rPr>
              <w:t>交有处置能力单位综合利用</w:t>
            </w:r>
          </w:p>
        </w:tc>
        <w:tc>
          <w:tcPr>
            <w:tcW w:w="1112" w:type="dxa"/>
            <w:vAlign w:val="center"/>
          </w:tcPr>
          <w:p w14:paraId="7E1562B2">
            <w:pPr>
              <w:pStyle w:val="276"/>
              <w:rPr>
                <w:color w:val="auto"/>
              </w:rPr>
            </w:pPr>
            <w:r>
              <w:rPr>
                <w:rFonts w:hint="eastAsia"/>
                <w:color w:val="auto"/>
              </w:rPr>
              <w:t>5</w:t>
            </w:r>
          </w:p>
        </w:tc>
        <w:tc>
          <w:tcPr>
            <w:tcW w:w="876" w:type="dxa"/>
            <w:vAlign w:val="center"/>
          </w:tcPr>
          <w:p w14:paraId="754BF2ED">
            <w:pPr>
              <w:spacing w:line="240" w:lineRule="auto"/>
              <w:ind w:firstLine="0" w:firstLineChars="0"/>
              <w:jc w:val="center"/>
              <w:rPr>
                <w:color w:val="auto"/>
                <w:sz w:val="21"/>
                <w:szCs w:val="21"/>
              </w:rPr>
            </w:pPr>
            <w:r>
              <w:rPr>
                <w:rFonts w:hint="eastAsia"/>
                <w:color w:val="auto"/>
                <w:sz w:val="21"/>
                <w:szCs w:val="21"/>
              </w:rPr>
              <w:t>100%</w:t>
            </w:r>
          </w:p>
        </w:tc>
      </w:tr>
      <w:tr w14:paraId="2D878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2" w:hRule="atLeast"/>
          <w:jc w:val="center"/>
        </w:trPr>
        <w:tc>
          <w:tcPr>
            <w:tcW w:w="2996" w:type="dxa"/>
            <w:vAlign w:val="center"/>
          </w:tcPr>
          <w:p w14:paraId="6FB30DEB">
            <w:pPr>
              <w:pStyle w:val="276"/>
              <w:rPr>
                <w:color w:val="auto"/>
              </w:rPr>
            </w:pPr>
            <w:r>
              <w:rPr>
                <w:rFonts w:hint="eastAsia"/>
                <w:color w:val="auto"/>
              </w:rPr>
              <w:t>废包装材料（危险废物）</w:t>
            </w:r>
          </w:p>
        </w:tc>
        <w:tc>
          <w:tcPr>
            <w:tcW w:w="1129" w:type="dxa"/>
            <w:vAlign w:val="center"/>
          </w:tcPr>
          <w:p w14:paraId="458340D5">
            <w:pPr>
              <w:pStyle w:val="276"/>
              <w:rPr>
                <w:color w:val="auto"/>
              </w:rPr>
            </w:pPr>
            <w:r>
              <w:rPr>
                <w:rFonts w:hint="eastAsia"/>
                <w:color w:val="auto"/>
              </w:rPr>
              <w:t>1</w:t>
            </w:r>
          </w:p>
        </w:tc>
        <w:tc>
          <w:tcPr>
            <w:tcW w:w="3013" w:type="dxa"/>
            <w:vMerge w:val="restart"/>
            <w:vAlign w:val="center"/>
          </w:tcPr>
          <w:p w14:paraId="44A58872">
            <w:pPr>
              <w:pStyle w:val="276"/>
              <w:rPr>
                <w:color w:val="auto"/>
              </w:rPr>
            </w:pPr>
            <w:r>
              <w:rPr>
                <w:rFonts w:hint="eastAsia"/>
                <w:color w:val="auto"/>
              </w:rPr>
              <w:t>委托有资质单位处置</w:t>
            </w:r>
          </w:p>
        </w:tc>
        <w:tc>
          <w:tcPr>
            <w:tcW w:w="1112" w:type="dxa"/>
            <w:vAlign w:val="center"/>
          </w:tcPr>
          <w:p w14:paraId="0943FA0A">
            <w:pPr>
              <w:pStyle w:val="276"/>
              <w:rPr>
                <w:color w:val="auto"/>
              </w:rPr>
            </w:pPr>
            <w:r>
              <w:rPr>
                <w:rFonts w:hint="eastAsia"/>
                <w:color w:val="auto"/>
              </w:rPr>
              <w:t>1</w:t>
            </w:r>
          </w:p>
        </w:tc>
        <w:tc>
          <w:tcPr>
            <w:tcW w:w="876" w:type="dxa"/>
            <w:vAlign w:val="center"/>
          </w:tcPr>
          <w:p w14:paraId="760CE8CD">
            <w:pPr>
              <w:spacing w:line="240" w:lineRule="auto"/>
              <w:ind w:firstLine="0" w:firstLineChars="0"/>
              <w:jc w:val="center"/>
              <w:rPr>
                <w:color w:val="auto"/>
                <w:sz w:val="21"/>
                <w:szCs w:val="21"/>
              </w:rPr>
            </w:pPr>
            <w:r>
              <w:rPr>
                <w:rFonts w:hint="eastAsia"/>
                <w:color w:val="auto"/>
                <w:sz w:val="21"/>
                <w:szCs w:val="21"/>
              </w:rPr>
              <w:t>100%</w:t>
            </w:r>
          </w:p>
        </w:tc>
      </w:tr>
      <w:tr w14:paraId="18E0E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2" w:hRule="atLeast"/>
          <w:jc w:val="center"/>
        </w:trPr>
        <w:tc>
          <w:tcPr>
            <w:tcW w:w="2996" w:type="dxa"/>
            <w:vAlign w:val="center"/>
          </w:tcPr>
          <w:p w14:paraId="34E26A48">
            <w:pPr>
              <w:pStyle w:val="276"/>
              <w:rPr>
                <w:color w:val="auto"/>
              </w:rPr>
            </w:pPr>
            <w:r>
              <w:rPr>
                <w:rFonts w:hint="eastAsia"/>
                <w:color w:val="auto"/>
              </w:rPr>
              <w:t>废活性炭</w:t>
            </w:r>
          </w:p>
        </w:tc>
        <w:tc>
          <w:tcPr>
            <w:tcW w:w="1129" w:type="dxa"/>
            <w:vAlign w:val="center"/>
          </w:tcPr>
          <w:p w14:paraId="58CD2806">
            <w:pPr>
              <w:pStyle w:val="276"/>
              <w:rPr>
                <w:color w:val="auto"/>
              </w:rPr>
            </w:pPr>
            <w:r>
              <w:rPr>
                <w:rFonts w:hint="eastAsia"/>
                <w:color w:val="auto"/>
              </w:rPr>
              <w:t>2.5</w:t>
            </w:r>
          </w:p>
        </w:tc>
        <w:tc>
          <w:tcPr>
            <w:tcW w:w="3013" w:type="dxa"/>
            <w:vMerge w:val="continue"/>
            <w:vAlign w:val="center"/>
          </w:tcPr>
          <w:p w14:paraId="654F9C69">
            <w:pPr>
              <w:pStyle w:val="276"/>
              <w:rPr>
                <w:color w:val="auto"/>
              </w:rPr>
            </w:pPr>
          </w:p>
        </w:tc>
        <w:tc>
          <w:tcPr>
            <w:tcW w:w="1112" w:type="dxa"/>
            <w:vAlign w:val="center"/>
          </w:tcPr>
          <w:p w14:paraId="5F34FD8A">
            <w:pPr>
              <w:pStyle w:val="276"/>
              <w:rPr>
                <w:color w:val="auto"/>
              </w:rPr>
            </w:pPr>
            <w:r>
              <w:rPr>
                <w:rFonts w:hint="eastAsia"/>
                <w:color w:val="auto"/>
              </w:rPr>
              <w:t>2.5</w:t>
            </w:r>
          </w:p>
        </w:tc>
        <w:tc>
          <w:tcPr>
            <w:tcW w:w="876" w:type="dxa"/>
            <w:vAlign w:val="center"/>
          </w:tcPr>
          <w:p w14:paraId="390B47EE">
            <w:pPr>
              <w:spacing w:line="240" w:lineRule="auto"/>
              <w:ind w:firstLine="0" w:firstLineChars="0"/>
              <w:jc w:val="center"/>
              <w:rPr>
                <w:color w:val="auto"/>
                <w:sz w:val="21"/>
                <w:szCs w:val="21"/>
              </w:rPr>
            </w:pPr>
            <w:r>
              <w:rPr>
                <w:rFonts w:hint="eastAsia"/>
                <w:color w:val="auto"/>
                <w:sz w:val="21"/>
                <w:szCs w:val="21"/>
              </w:rPr>
              <w:t>100%</w:t>
            </w:r>
          </w:p>
        </w:tc>
      </w:tr>
      <w:tr w14:paraId="3A274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2" w:hRule="atLeast"/>
          <w:jc w:val="center"/>
        </w:trPr>
        <w:tc>
          <w:tcPr>
            <w:tcW w:w="2996" w:type="dxa"/>
            <w:vAlign w:val="center"/>
          </w:tcPr>
          <w:p w14:paraId="321D5C31">
            <w:pPr>
              <w:pStyle w:val="276"/>
              <w:rPr>
                <w:color w:val="auto"/>
              </w:rPr>
            </w:pPr>
            <w:r>
              <w:rPr>
                <w:rFonts w:hint="eastAsia"/>
                <w:color w:val="auto"/>
              </w:rPr>
              <w:t>实验室废物</w:t>
            </w:r>
          </w:p>
        </w:tc>
        <w:tc>
          <w:tcPr>
            <w:tcW w:w="1129" w:type="dxa"/>
            <w:vAlign w:val="center"/>
          </w:tcPr>
          <w:p w14:paraId="2F9D24E4">
            <w:pPr>
              <w:pStyle w:val="276"/>
              <w:rPr>
                <w:color w:val="auto"/>
                <w:lang w:val="en-US"/>
              </w:rPr>
            </w:pPr>
            <w:r>
              <w:rPr>
                <w:rFonts w:hint="eastAsia"/>
                <w:color w:val="auto"/>
                <w:lang w:val="en-US"/>
              </w:rPr>
              <w:t>3.5</w:t>
            </w:r>
          </w:p>
        </w:tc>
        <w:tc>
          <w:tcPr>
            <w:tcW w:w="3013" w:type="dxa"/>
            <w:vMerge w:val="continue"/>
            <w:vAlign w:val="center"/>
          </w:tcPr>
          <w:p w14:paraId="0C79D4C5">
            <w:pPr>
              <w:pStyle w:val="276"/>
              <w:rPr>
                <w:color w:val="auto"/>
              </w:rPr>
            </w:pPr>
          </w:p>
        </w:tc>
        <w:tc>
          <w:tcPr>
            <w:tcW w:w="1112" w:type="dxa"/>
            <w:vAlign w:val="center"/>
          </w:tcPr>
          <w:p w14:paraId="67FE5ED7">
            <w:pPr>
              <w:pStyle w:val="276"/>
              <w:rPr>
                <w:color w:val="auto"/>
                <w:lang w:val="en-US"/>
              </w:rPr>
            </w:pPr>
            <w:r>
              <w:rPr>
                <w:rFonts w:hint="eastAsia"/>
                <w:color w:val="auto"/>
                <w:lang w:val="en-US"/>
              </w:rPr>
              <w:t>3.5</w:t>
            </w:r>
          </w:p>
        </w:tc>
        <w:tc>
          <w:tcPr>
            <w:tcW w:w="876" w:type="dxa"/>
            <w:vAlign w:val="center"/>
          </w:tcPr>
          <w:p w14:paraId="1298011C">
            <w:pPr>
              <w:spacing w:line="240" w:lineRule="auto"/>
              <w:ind w:firstLine="0" w:firstLineChars="0"/>
              <w:jc w:val="center"/>
              <w:rPr>
                <w:color w:val="auto"/>
                <w:sz w:val="21"/>
                <w:szCs w:val="21"/>
              </w:rPr>
            </w:pPr>
            <w:r>
              <w:rPr>
                <w:rFonts w:hint="eastAsia"/>
                <w:color w:val="auto"/>
                <w:sz w:val="21"/>
                <w:szCs w:val="21"/>
              </w:rPr>
              <w:t>100%</w:t>
            </w:r>
          </w:p>
        </w:tc>
      </w:tr>
      <w:tr w14:paraId="3792A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2996" w:type="dxa"/>
            <w:vAlign w:val="center"/>
          </w:tcPr>
          <w:p w14:paraId="5A542FB5">
            <w:pPr>
              <w:pStyle w:val="276"/>
              <w:rPr>
                <w:color w:val="auto"/>
              </w:rPr>
            </w:pPr>
            <w:r>
              <w:rPr>
                <w:rFonts w:hint="eastAsia"/>
                <w:color w:val="auto"/>
              </w:rPr>
              <w:t>废油类、废油桶及含油废物</w:t>
            </w:r>
          </w:p>
        </w:tc>
        <w:tc>
          <w:tcPr>
            <w:tcW w:w="1129" w:type="dxa"/>
            <w:vAlign w:val="center"/>
          </w:tcPr>
          <w:p w14:paraId="264D30AD">
            <w:pPr>
              <w:pStyle w:val="276"/>
              <w:rPr>
                <w:color w:val="auto"/>
              </w:rPr>
            </w:pPr>
            <w:r>
              <w:rPr>
                <w:rFonts w:hint="eastAsia"/>
                <w:color w:val="auto"/>
              </w:rPr>
              <w:t>12</w:t>
            </w:r>
          </w:p>
        </w:tc>
        <w:tc>
          <w:tcPr>
            <w:tcW w:w="3013" w:type="dxa"/>
            <w:vMerge w:val="continue"/>
            <w:vAlign w:val="center"/>
          </w:tcPr>
          <w:p w14:paraId="6D7F0663">
            <w:pPr>
              <w:pStyle w:val="276"/>
              <w:rPr>
                <w:color w:val="auto"/>
              </w:rPr>
            </w:pPr>
          </w:p>
        </w:tc>
        <w:tc>
          <w:tcPr>
            <w:tcW w:w="1112" w:type="dxa"/>
            <w:vAlign w:val="center"/>
          </w:tcPr>
          <w:p w14:paraId="38B3A887">
            <w:pPr>
              <w:pStyle w:val="276"/>
              <w:rPr>
                <w:color w:val="auto"/>
              </w:rPr>
            </w:pPr>
            <w:r>
              <w:rPr>
                <w:rFonts w:hint="eastAsia"/>
                <w:color w:val="auto"/>
              </w:rPr>
              <w:t>12</w:t>
            </w:r>
          </w:p>
        </w:tc>
        <w:tc>
          <w:tcPr>
            <w:tcW w:w="876" w:type="dxa"/>
            <w:vAlign w:val="center"/>
          </w:tcPr>
          <w:p w14:paraId="4A888922">
            <w:pPr>
              <w:spacing w:line="240" w:lineRule="auto"/>
              <w:ind w:firstLine="0" w:firstLineChars="0"/>
              <w:jc w:val="center"/>
              <w:rPr>
                <w:color w:val="auto"/>
                <w:sz w:val="21"/>
                <w:szCs w:val="21"/>
              </w:rPr>
            </w:pPr>
            <w:r>
              <w:rPr>
                <w:rFonts w:hint="eastAsia"/>
                <w:color w:val="auto"/>
                <w:sz w:val="21"/>
                <w:szCs w:val="21"/>
              </w:rPr>
              <w:t>100%</w:t>
            </w:r>
          </w:p>
        </w:tc>
      </w:tr>
      <w:tr w14:paraId="513ED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2996" w:type="dxa"/>
            <w:vAlign w:val="center"/>
          </w:tcPr>
          <w:p w14:paraId="03D07677">
            <w:pPr>
              <w:pStyle w:val="276"/>
              <w:rPr>
                <w:bCs/>
                <w:color w:val="auto"/>
                <w:sz w:val="24"/>
              </w:rPr>
            </w:pPr>
            <w:r>
              <w:rPr>
                <w:rFonts w:hint="eastAsia"/>
                <w:color w:val="auto"/>
              </w:rPr>
              <w:t>废膜</w:t>
            </w:r>
          </w:p>
        </w:tc>
        <w:tc>
          <w:tcPr>
            <w:tcW w:w="1129" w:type="dxa"/>
            <w:vAlign w:val="center"/>
          </w:tcPr>
          <w:p w14:paraId="7741014A">
            <w:pPr>
              <w:pStyle w:val="276"/>
              <w:rPr>
                <w:color w:val="auto"/>
              </w:rPr>
            </w:pPr>
            <w:r>
              <w:rPr>
                <w:rFonts w:hint="eastAsia"/>
                <w:color w:val="auto"/>
              </w:rPr>
              <w:t>1</w:t>
            </w:r>
          </w:p>
        </w:tc>
        <w:tc>
          <w:tcPr>
            <w:tcW w:w="3013" w:type="dxa"/>
            <w:vMerge w:val="continue"/>
            <w:vAlign w:val="center"/>
          </w:tcPr>
          <w:p w14:paraId="59F880C6">
            <w:pPr>
              <w:pStyle w:val="276"/>
              <w:rPr>
                <w:color w:val="auto"/>
              </w:rPr>
            </w:pPr>
          </w:p>
        </w:tc>
        <w:tc>
          <w:tcPr>
            <w:tcW w:w="1112" w:type="dxa"/>
            <w:vAlign w:val="center"/>
          </w:tcPr>
          <w:p w14:paraId="199E471C">
            <w:pPr>
              <w:pStyle w:val="276"/>
              <w:rPr>
                <w:color w:val="auto"/>
              </w:rPr>
            </w:pPr>
            <w:r>
              <w:rPr>
                <w:rFonts w:hint="eastAsia"/>
                <w:color w:val="auto"/>
              </w:rPr>
              <w:t>1</w:t>
            </w:r>
          </w:p>
        </w:tc>
        <w:tc>
          <w:tcPr>
            <w:tcW w:w="876" w:type="dxa"/>
            <w:vAlign w:val="center"/>
          </w:tcPr>
          <w:p w14:paraId="5FD637BE">
            <w:pPr>
              <w:spacing w:line="240" w:lineRule="auto"/>
              <w:ind w:firstLine="0" w:firstLineChars="0"/>
              <w:jc w:val="center"/>
              <w:rPr>
                <w:color w:val="auto"/>
                <w:sz w:val="21"/>
                <w:szCs w:val="21"/>
              </w:rPr>
            </w:pPr>
            <w:r>
              <w:rPr>
                <w:rFonts w:hint="eastAsia"/>
                <w:color w:val="auto"/>
                <w:sz w:val="21"/>
                <w:szCs w:val="21"/>
              </w:rPr>
              <w:t>100%</w:t>
            </w:r>
          </w:p>
        </w:tc>
      </w:tr>
      <w:tr w14:paraId="0EC71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2996" w:type="dxa"/>
            <w:vAlign w:val="center"/>
          </w:tcPr>
          <w:p w14:paraId="1C054D4C">
            <w:pPr>
              <w:pStyle w:val="276"/>
              <w:rPr>
                <w:color w:val="auto"/>
              </w:rPr>
            </w:pPr>
            <w:r>
              <w:rPr>
                <w:rFonts w:hint="eastAsia"/>
                <w:color w:val="auto"/>
              </w:rPr>
              <w:t>污泥</w:t>
            </w:r>
          </w:p>
        </w:tc>
        <w:tc>
          <w:tcPr>
            <w:tcW w:w="1129" w:type="dxa"/>
            <w:vAlign w:val="center"/>
          </w:tcPr>
          <w:p w14:paraId="18BCA8A7">
            <w:pPr>
              <w:pStyle w:val="276"/>
              <w:rPr>
                <w:color w:val="auto"/>
              </w:rPr>
            </w:pPr>
            <w:r>
              <w:rPr>
                <w:rFonts w:hint="eastAsia"/>
                <w:color w:val="auto"/>
              </w:rPr>
              <w:t>2100</w:t>
            </w:r>
          </w:p>
        </w:tc>
        <w:tc>
          <w:tcPr>
            <w:tcW w:w="3013" w:type="dxa"/>
            <w:vMerge w:val="restart"/>
            <w:vAlign w:val="center"/>
          </w:tcPr>
          <w:p w14:paraId="7E8BE414">
            <w:pPr>
              <w:pStyle w:val="276"/>
              <w:rPr>
                <w:color w:val="auto"/>
              </w:rPr>
            </w:pPr>
            <w:r>
              <w:rPr>
                <w:rFonts w:hint="eastAsia"/>
                <w:color w:val="auto"/>
              </w:rPr>
              <w:t>进行危险特性鉴别，根据鉴别结果按相关政策进行处置，鉴别前，按照危险废物从严管理</w:t>
            </w:r>
          </w:p>
        </w:tc>
        <w:tc>
          <w:tcPr>
            <w:tcW w:w="1112" w:type="dxa"/>
            <w:vAlign w:val="center"/>
          </w:tcPr>
          <w:p w14:paraId="1815B9DA">
            <w:pPr>
              <w:pStyle w:val="276"/>
              <w:rPr>
                <w:color w:val="auto"/>
              </w:rPr>
            </w:pPr>
            <w:r>
              <w:rPr>
                <w:rFonts w:hint="eastAsia"/>
                <w:color w:val="auto"/>
              </w:rPr>
              <w:t>2100</w:t>
            </w:r>
          </w:p>
        </w:tc>
        <w:tc>
          <w:tcPr>
            <w:tcW w:w="876" w:type="dxa"/>
            <w:vAlign w:val="center"/>
          </w:tcPr>
          <w:p w14:paraId="2F936522">
            <w:pPr>
              <w:spacing w:line="240" w:lineRule="auto"/>
              <w:ind w:firstLine="0" w:firstLineChars="0"/>
              <w:jc w:val="center"/>
              <w:rPr>
                <w:color w:val="auto"/>
                <w:sz w:val="21"/>
                <w:szCs w:val="21"/>
              </w:rPr>
            </w:pPr>
            <w:r>
              <w:rPr>
                <w:rFonts w:hint="eastAsia"/>
                <w:color w:val="auto"/>
                <w:sz w:val="21"/>
                <w:szCs w:val="21"/>
              </w:rPr>
              <w:t>100%</w:t>
            </w:r>
          </w:p>
        </w:tc>
      </w:tr>
      <w:tr w14:paraId="46961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2996" w:type="dxa"/>
            <w:vAlign w:val="center"/>
          </w:tcPr>
          <w:p w14:paraId="183A7424">
            <w:pPr>
              <w:pStyle w:val="276"/>
              <w:rPr>
                <w:color w:val="auto"/>
              </w:rPr>
            </w:pPr>
            <w:r>
              <w:rPr>
                <w:rFonts w:hint="eastAsia"/>
                <w:color w:val="auto"/>
              </w:rPr>
              <w:t>蒸发结晶盐</w:t>
            </w:r>
          </w:p>
        </w:tc>
        <w:tc>
          <w:tcPr>
            <w:tcW w:w="1129" w:type="dxa"/>
            <w:vAlign w:val="center"/>
          </w:tcPr>
          <w:p w14:paraId="7B4BF040">
            <w:pPr>
              <w:pStyle w:val="276"/>
              <w:rPr>
                <w:bCs/>
                <w:color w:val="auto"/>
              </w:rPr>
            </w:pPr>
            <w:r>
              <w:rPr>
                <w:rFonts w:hint="eastAsia"/>
                <w:color w:val="auto"/>
              </w:rPr>
              <w:t>22800</w:t>
            </w:r>
          </w:p>
        </w:tc>
        <w:tc>
          <w:tcPr>
            <w:tcW w:w="3013" w:type="dxa"/>
            <w:vMerge w:val="continue"/>
            <w:vAlign w:val="center"/>
          </w:tcPr>
          <w:p w14:paraId="55966606">
            <w:pPr>
              <w:pStyle w:val="276"/>
              <w:rPr>
                <w:color w:val="auto"/>
              </w:rPr>
            </w:pPr>
          </w:p>
        </w:tc>
        <w:tc>
          <w:tcPr>
            <w:tcW w:w="1112" w:type="dxa"/>
            <w:vAlign w:val="center"/>
          </w:tcPr>
          <w:p w14:paraId="2B65DFC3">
            <w:pPr>
              <w:pStyle w:val="276"/>
              <w:rPr>
                <w:bCs/>
                <w:color w:val="auto"/>
              </w:rPr>
            </w:pPr>
            <w:r>
              <w:rPr>
                <w:rFonts w:hint="eastAsia"/>
                <w:color w:val="auto"/>
              </w:rPr>
              <w:t>22800</w:t>
            </w:r>
          </w:p>
        </w:tc>
        <w:tc>
          <w:tcPr>
            <w:tcW w:w="876" w:type="dxa"/>
            <w:vAlign w:val="center"/>
          </w:tcPr>
          <w:p w14:paraId="14377351">
            <w:pPr>
              <w:spacing w:line="240" w:lineRule="auto"/>
              <w:ind w:firstLine="0" w:firstLineChars="0"/>
              <w:jc w:val="center"/>
              <w:rPr>
                <w:color w:val="auto"/>
                <w:sz w:val="21"/>
                <w:szCs w:val="21"/>
              </w:rPr>
            </w:pPr>
            <w:r>
              <w:rPr>
                <w:rFonts w:hint="eastAsia"/>
                <w:color w:val="auto"/>
                <w:sz w:val="21"/>
                <w:szCs w:val="21"/>
              </w:rPr>
              <w:t>100%</w:t>
            </w:r>
          </w:p>
        </w:tc>
      </w:tr>
      <w:tr w14:paraId="27AC3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2996" w:type="dxa"/>
            <w:vAlign w:val="center"/>
          </w:tcPr>
          <w:p w14:paraId="49F34727">
            <w:pPr>
              <w:pStyle w:val="276"/>
              <w:rPr>
                <w:color w:val="auto"/>
              </w:rPr>
            </w:pPr>
            <w:r>
              <w:rPr>
                <w:rFonts w:hint="eastAsia"/>
                <w:color w:val="auto"/>
              </w:rPr>
              <w:t>生活垃圾</w:t>
            </w:r>
          </w:p>
        </w:tc>
        <w:tc>
          <w:tcPr>
            <w:tcW w:w="1129" w:type="dxa"/>
            <w:vAlign w:val="center"/>
          </w:tcPr>
          <w:p w14:paraId="1253917F">
            <w:pPr>
              <w:pStyle w:val="276"/>
              <w:rPr>
                <w:color w:val="auto"/>
              </w:rPr>
            </w:pPr>
            <w:r>
              <w:rPr>
                <w:rFonts w:hint="eastAsia"/>
                <w:color w:val="auto"/>
              </w:rPr>
              <w:t>3</w:t>
            </w:r>
          </w:p>
        </w:tc>
        <w:tc>
          <w:tcPr>
            <w:tcW w:w="3013" w:type="dxa"/>
          </w:tcPr>
          <w:p w14:paraId="2F88D383">
            <w:pPr>
              <w:pStyle w:val="276"/>
              <w:rPr>
                <w:color w:val="auto"/>
              </w:rPr>
            </w:pPr>
            <w:r>
              <w:rPr>
                <w:rFonts w:hint="eastAsia"/>
                <w:color w:val="auto"/>
              </w:rPr>
              <w:t>委托环卫部门清运处置</w:t>
            </w:r>
          </w:p>
        </w:tc>
        <w:tc>
          <w:tcPr>
            <w:tcW w:w="1112" w:type="dxa"/>
            <w:vAlign w:val="center"/>
          </w:tcPr>
          <w:p w14:paraId="6530C130">
            <w:pPr>
              <w:pStyle w:val="276"/>
              <w:rPr>
                <w:color w:val="auto"/>
              </w:rPr>
            </w:pPr>
            <w:r>
              <w:rPr>
                <w:rFonts w:hint="eastAsia"/>
                <w:color w:val="auto"/>
              </w:rPr>
              <w:t>3</w:t>
            </w:r>
          </w:p>
        </w:tc>
        <w:tc>
          <w:tcPr>
            <w:tcW w:w="876" w:type="dxa"/>
          </w:tcPr>
          <w:p w14:paraId="62B91904">
            <w:pPr>
              <w:spacing w:line="240" w:lineRule="auto"/>
              <w:ind w:firstLine="0" w:firstLineChars="0"/>
              <w:jc w:val="center"/>
              <w:rPr>
                <w:color w:val="auto"/>
                <w:sz w:val="21"/>
                <w:szCs w:val="21"/>
              </w:rPr>
            </w:pPr>
            <w:r>
              <w:rPr>
                <w:rFonts w:hint="eastAsia"/>
                <w:color w:val="auto"/>
                <w:sz w:val="21"/>
                <w:szCs w:val="21"/>
              </w:rPr>
              <w:t>100%</w:t>
            </w:r>
          </w:p>
        </w:tc>
      </w:tr>
    </w:tbl>
    <w:p w14:paraId="4C075B34">
      <w:pPr>
        <w:pStyle w:val="5"/>
        <w:numPr>
          <w:ilvl w:val="0"/>
          <w:numId w:val="0"/>
        </w:numPr>
        <w:rPr>
          <w:color w:val="auto"/>
        </w:rPr>
      </w:pPr>
      <w:r>
        <w:rPr>
          <w:rFonts w:hint="eastAsia"/>
          <w:color w:val="auto"/>
        </w:rPr>
        <w:t>1</w:t>
      </w:r>
      <w:r>
        <w:rPr>
          <w:color w:val="auto"/>
        </w:rPr>
        <w:t>0</w:t>
      </w:r>
      <w:r>
        <w:rPr>
          <w:rFonts w:hint="eastAsia"/>
          <w:color w:val="auto"/>
        </w:rPr>
        <w:t>.</w:t>
      </w:r>
      <w:r>
        <w:rPr>
          <w:color w:val="auto"/>
        </w:rPr>
        <w:t>4.2环保竣工验收要求</w:t>
      </w:r>
    </w:p>
    <w:p w14:paraId="7E516EB9">
      <w:pPr>
        <w:spacing w:line="440" w:lineRule="exact"/>
        <w:ind w:firstLine="480"/>
        <w:rPr>
          <w:color w:val="auto"/>
        </w:rPr>
      </w:pPr>
      <w:r>
        <w:rPr>
          <w:rFonts w:hint="eastAsia"/>
          <w:color w:val="auto"/>
        </w:rPr>
        <w:t>拟建项目竣工后，建设单位应当依据《建设项目环境保护管理条例》（中华人民共和国国务院令第682号）和《建设项目竣工环境保护验收暂行办法》等文件，按照国务院环境保护行政主管部门规定的标准和程序，对配套建设的环境保护设施进行验收，编制验收报告。建设单位在环境保护设施验收过程中，应当如实查验、监测、记载建设项目环境保护设施的建设和调试情况，不得弄虚作假。除按照国家规定需要保密的情形外，建设单位应当依法向社会公开验收报告。同时，建设单位还应按照《排污许可管理办法（试行）》（部令第48号）、《排污许可证申请与核发技术规范水处理（试行）》（HJ978-2018）等要求进行排污许可证申请，并按照相关要求在国家排污许可信息公开系统进行申请、公示。</w:t>
      </w:r>
      <w:r>
        <w:rPr>
          <w:color w:val="auto"/>
        </w:rPr>
        <w:t>拟建项目环保设施竣工验收内容及要求见表1</w:t>
      </w:r>
      <w:r>
        <w:rPr>
          <w:rFonts w:hint="eastAsia"/>
          <w:color w:val="auto"/>
        </w:rPr>
        <w:t>0</w:t>
      </w:r>
      <w:r>
        <w:rPr>
          <w:color w:val="auto"/>
        </w:rPr>
        <w:t>.4-7。验收时还必须统一考虑的有关内容：</w:t>
      </w:r>
    </w:p>
    <w:p w14:paraId="227BDBFB">
      <w:pPr>
        <w:ind w:firstLine="480"/>
        <w:rPr>
          <w:color w:val="auto"/>
        </w:rPr>
      </w:pPr>
      <w:r>
        <w:rPr>
          <w:color w:val="auto"/>
        </w:rPr>
        <w:t>（1）建设前期环境保护审查、审批手续完备。技术资料与环境保护档案资料齐全。</w:t>
      </w:r>
    </w:p>
    <w:p w14:paraId="10A71B2A">
      <w:pPr>
        <w:ind w:firstLine="480"/>
        <w:rPr>
          <w:color w:val="auto"/>
        </w:rPr>
      </w:pPr>
      <w:r>
        <w:rPr>
          <w:color w:val="auto"/>
        </w:rPr>
        <w:t>（2）环境保护设施及其它措施等已按批准的环境影响报告书和设计文件的要求建成或落实，环境保护设施经负荷试车检测合格，其防治污染能力适应主体工程的需要。</w:t>
      </w:r>
    </w:p>
    <w:p w14:paraId="5E6BC90C">
      <w:pPr>
        <w:ind w:firstLine="480"/>
        <w:rPr>
          <w:color w:val="auto"/>
        </w:rPr>
      </w:pPr>
      <w:r>
        <w:rPr>
          <w:color w:val="auto"/>
        </w:rPr>
        <w:t>（3）环境保护设施安装质量符合国家和有关部门颁发的专业工程验收规范、规程和检验评定标准。</w:t>
      </w:r>
    </w:p>
    <w:p w14:paraId="085A05B1">
      <w:pPr>
        <w:ind w:firstLine="480"/>
        <w:rPr>
          <w:color w:val="auto"/>
        </w:rPr>
      </w:pPr>
      <w:r>
        <w:rPr>
          <w:color w:val="auto"/>
        </w:rPr>
        <w:t>（4）具备环境保护设施正常运转的条件，包括：经培训合格的操作人员、健全的岗位操作规程及相应的规章制度，原料、动力供应落实，符合交付使用的</w:t>
      </w:r>
      <w:r>
        <w:rPr>
          <w:rFonts w:hint="eastAsia"/>
          <w:color w:val="auto"/>
          <w:lang w:eastAsia="zh-CN"/>
        </w:rPr>
        <w:t>其他</w:t>
      </w:r>
      <w:r>
        <w:rPr>
          <w:color w:val="auto"/>
        </w:rPr>
        <w:t>要求。</w:t>
      </w:r>
    </w:p>
    <w:p w14:paraId="75C957B9">
      <w:pPr>
        <w:ind w:firstLine="480"/>
        <w:rPr>
          <w:color w:val="auto"/>
        </w:rPr>
      </w:pPr>
      <w:r>
        <w:rPr>
          <w:color w:val="auto"/>
        </w:rPr>
        <w:t>（5）污染物排放符合环境影响报告书和设计文件中提出的标准及核定的污染物排放总量控制指标的要求。</w:t>
      </w:r>
    </w:p>
    <w:p w14:paraId="123E0C75">
      <w:pPr>
        <w:ind w:firstLine="480"/>
        <w:rPr>
          <w:color w:val="auto"/>
        </w:rPr>
      </w:pPr>
      <w:r>
        <w:rPr>
          <w:color w:val="auto"/>
        </w:rPr>
        <w:t>（6）环境监测计划、点位、机构设置及人员配备，符合环境影响报告书和有关规定的要求。</w:t>
      </w:r>
    </w:p>
    <w:p w14:paraId="5D810424">
      <w:pPr>
        <w:ind w:firstLine="480"/>
        <w:rPr>
          <w:color w:val="auto"/>
        </w:rPr>
      </w:pPr>
      <w:r>
        <w:rPr>
          <w:color w:val="auto"/>
        </w:rPr>
        <w:t>（7）环保投资单列</w:t>
      </w:r>
      <w:r>
        <w:rPr>
          <w:rFonts w:hint="eastAsia"/>
          <w:color w:val="auto"/>
          <w:lang w:eastAsia="zh-CN"/>
        </w:rPr>
        <w:t>台账并</w:t>
      </w:r>
      <w:r>
        <w:rPr>
          <w:color w:val="auto"/>
        </w:rPr>
        <w:t>得到了落实，无</w:t>
      </w:r>
      <w:r>
        <w:rPr>
          <w:rFonts w:hint="eastAsia"/>
          <w:color w:val="auto"/>
        </w:rPr>
        <w:t>环保</w:t>
      </w:r>
      <w:r>
        <w:rPr>
          <w:color w:val="auto"/>
        </w:rPr>
        <w:t>投诉或环保投诉得到了妥善解决。</w:t>
      </w:r>
    </w:p>
    <w:p w14:paraId="50BEDA7E">
      <w:pPr>
        <w:pStyle w:val="674"/>
        <w:rPr>
          <w:color w:val="auto"/>
        </w:rPr>
      </w:pPr>
    </w:p>
    <w:p w14:paraId="74413C97">
      <w:pPr>
        <w:pStyle w:val="674"/>
        <w:rPr>
          <w:color w:val="auto"/>
        </w:rPr>
      </w:pPr>
      <w:r>
        <w:rPr>
          <w:rFonts w:hint="eastAsia"/>
          <w:color w:val="auto"/>
        </w:rPr>
        <w:t>表1</w:t>
      </w:r>
      <w:r>
        <w:rPr>
          <w:color w:val="auto"/>
        </w:rPr>
        <w:t>0</w:t>
      </w:r>
      <w:r>
        <w:rPr>
          <w:rFonts w:hint="eastAsia"/>
          <w:color w:val="auto"/>
        </w:rPr>
        <w:t>.</w:t>
      </w:r>
      <w:r>
        <w:rPr>
          <w:color w:val="auto"/>
        </w:rPr>
        <w:t xml:space="preserve">4-7  </w:t>
      </w:r>
      <w:r>
        <w:rPr>
          <w:rFonts w:hint="eastAsia"/>
          <w:color w:val="auto"/>
        </w:rPr>
        <w:t>拟建项目竣工环保</w:t>
      </w:r>
      <w:r>
        <w:rPr>
          <w:color w:val="auto"/>
        </w:rPr>
        <w:t>验收内容及要求一览表</w:t>
      </w:r>
    </w:p>
    <w:tbl>
      <w:tblPr>
        <w:tblStyle w:val="88"/>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851"/>
        <w:gridCol w:w="1984"/>
        <w:gridCol w:w="4163"/>
        <w:gridCol w:w="1613"/>
      </w:tblGrid>
      <w:tr w14:paraId="6E359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5A0E4201">
            <w:pPr>
              <w:spacing w:line="240" w:lineRule="auto"/>
              <w:ind w:firstLine="0" w:firstLineChars="0"/>
              <w:jc w:val="center"/>
              <w:rPr>
                <w:color w:val="auto"/>
                <w:sz w:val="21"/>
                <w:szCs w:val="21"/>
              </w:rPr>
            </w:pPr>
            <w:r>
              <w:rPr>
                <w:rFonts w:hint="eastAsia"/>
                <w:color w:val="auto"/>
                <w:sz w:val="21"/>
                <w:szCs w:val="21"/>
              </w:rPr>
              <w:t>项目</w:t>
            </w:r>
          </w:p>
        </w:tc>
        <w:tc>
          <w:tcPr>
            <w:tcW w:w="851" w:type="dxa"/>
            <w:vAlign w:val="center"/>
          </w:tcPr>
          <w:p w14:paraId="3AEE0EBC">
            <w:pPr>
              <w:spacing w:line="240" w:lineRule="auto"/>
              <w:ind w:firstLine="0" w:firstLineChars="0"/>
              <w:jc w:val="center"/>
              <w:rPr>
                <w:color w:val="auto"/>
                <w:sz w:val="21"/>
                <w:szCs w:val="21"/>
              </w:rPr>
            </w:pPr>
            <w:r>
              <w:rPr>
                <w:rFonts w:hint="eastAsia"/>
                <w:color w:val="auto"/>
                <w:sz w:val="21"/>
                <w:szCs w:val="21"/>
              </w:rPr>
              <w:t>验收点</w:t>
            </w:r>
          </w:p>
        </w:tc>
        <w:tc>
          <w:tcPr>
            <w:tcW w:w="1984" w:type="dxa"/>
            <w:vAlign w:val="center"/>
          </w:tcPr>
          <w:p w14:paraId="4CE97BF2">
            <w:pPr>
              <w:spacing w:line="240" w:lineRule="auto"/>
              <w:ind w:firstLine="0" w:firstLineChars="0"/>
              <w:jc w:val="center"/>
              <w:rPr>
                <w:color w:val="auto"/>
                <w:sz w:val="21"/>
                <w:szCs w:val="21"/>
              </w:rPr>
            </w:pPr>
            <w:r>
              <w:rPr>
                <w:rFonts w:hint="eastAsia"/>
                <w:color w:val="auto"/>
                <w:sz w:val="21"/>
                <w:szCs w:val="21"/>
              </w:rPr>
              <w:t>验收因子</w:t>
            </w:r>
          </w:p>
        </w:tc>
        <w:tc>
          <w:tcPr>
            <w:tcW w:w="4163" w:type="dxa"/>
            <w:vAlign w:val="center"/>
          </w:tcPr>
          <w:p w14:paraId="0DF3B5D0">
            <w:pPr>
              <w:spacing w:line="240" w:lineRule="auto"/>
              <w:ind w:firstLine="0" w:firstLineChars="0"/>
              <w:jc w:val="center"/>
              <w:rPr>
                <w:color w:val="auto"/>
                <w:sz w:val="21"/>
                <w:szCs w:val="21"/>
              </w:rPr>
            </w:pPr>
            <w:r>
              <w:rPr>
                <w:rFonts w:hint="eastAsia"/>
                <w:color w:val="auto"/>
                <w:sz w:val="21"/>
                <w:szCs w:val="21"/>
              </w:rPr>
              <w:t>验收内容</w:t>
            </w:r>
          </w:p>
        </w:tc>
        <w:tc>
          <w:tcPr>
            <w:tcW w:w="1613" w:type="dxa"/>
            <w:vAlign w:val="center"/>
          </w:tcPr>
          <w:p w14:paraId="3A53841C">
            <w:pPr>
              <w:spacing w:line="240" w:lineRule="auto"/>
              <w:ind w:firstLine="0" w:firstLineChars="0"/>
              <w:jc w:val="center"/>
              <w:rPr>
                <w:color w:val="auto"/>
                <w:sz w:val="21"/>
                <w:szCs w:val="21"/>
              </w:rPr>
            </w:pPr>
            <w:r>
              <w:rPr>
                <w:rFonts w:hint="eastAsia"/>
                <w:color w:val="auto"/>
                <w:sz w:val="21"/>
                <w:szCs w:val="21"/>
              </w:rPr>
              <w:t>要求</w:t>
            </w:r>
          </w:p>
        </w:tc>
      </w:tr>
      <w:tr w14:paraId="6848C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0A4C3E81">
            <w:pPr>
              <w:spacing w:line="240" w:lineRule="auto"/>
              <w:ind w:firstLine="0" w:firstLineChars="0"/>
              <w:jc w:val="center"/>
              <w:rPr>
                <w:color w:val="auto"/>
                <w:sz w:val="21"/>
                <w:szCs w:val="21"/>
              </w:rPr>
            </w:pPr>
            <w:r>
              <w:rPr>
                <w:rFonts w:hint="eastAsia"/>
                <w:color w:val="auto"/>
                <w:sz w:val="21"/>
                <w:szCs w:val="21"/>
              </w:rPr>
              <w:t>废水</w:t>
            </w:r>
          </w:p>
        </w:tc>
        <w:tc>
          <w:tcPr>
            <w:tcW w:w="851" w:type="dxa"/>
            <w:vAlign w:val="center"/>
          </w:tcPr>
          <w:p w14:paraId="4FC11AEF">
            <w:pPr>
              <w:spacing w:line="240" w:lineRule="auto"/>
              <w:ind w:firstLine="0" w:firstLineChars="0"/>
              <w:jc w:val="center"/>
              <w:rPr>
                <w:color w:val="auto"/>
                <w:sz w:val="21"/>
                <w:szCs w:val="21"/>
              </w:rPr>
            </w:pPr>
            <w:r>
              <w:rPr>
                <w:rFonts w:hint="eastAsia"/>
                <w:color w:val="auto"/>
                <w:sz w:val="21"/>
                <w:szCs w:val="21"/>
              </w:rPr>
              <w:t>废水排放口</w:t>
            </w:r>
          </w:p>
        </w:tc>
        <w:tc>
          <w:tcPr>
            <w:tcW w:w="1984" w:type="dxa"/>
            <w:vAlign w:val="center"/>
          </w:tcPr>
          <w:p w14:paraId="329B6A80">
            <w:pPr>
              <w:pStyle w:val="66"/>
              <w:adjustRightInd w:val="0"/>
              <w:snapToGrid w:val="0"/>
              <w:ind w:firstLine="0" w:firstLineChars="0"/>
              <w:jc w:val="left"/>
              <w:rPr>
                <w:b w:val="0"/>
                <w:color w:val="auto"/>
                <w:sz w:val="21"/>
                <w:szCs w:val="21"/>
                <w:lang w:val="en-US"/>
              </w:rPr>
            </w:pPr>
            <w:r>
              <w:rPr>
                <w:rFonts w:hint="eastAsia"/>
                <w:b w:val="0"/>
                <w:color w:val="auto"/>
                <w:sz w:val="21"/>
                <w:szCs w:val="21"/>
                <w:lang w:val="en-US"/>
              </w:rPr>
              <w:t>流量、pH、水温、COD、NH</w:t>
            </w:r>
            <w:r>
              <w:rPr>
                <w:rFonts w:hint="eastAsia"/>
                <w:b w:val="0"/>
                <w:color w:val="auto"/>
                <w:sz w:val="21"/>
                <w:szCs w:val="21"/>
                <w:vertAlign w:val="subscript"/>
                <w:lang w:val="en-US"/>
              </w:rPr>
              <w:t>3</w:t>
            </w:r>
            <w:r>
              <w:rPr>
                <w:rFonts w:hint="eastAsia"/>
                <w:b w:val="0"/>
                <w:color w:val="auto"/>
                <w:sz w:val="21"/>
                <w:szCs w:val="21"/>
                <w:lang w:val="en-US"/>
              </w:rPr>
              <w:t>-N、TP、TN、BOD</w:t>
            </w:r>
            <w:r>
              <w:rPr>
                <w:rFonts w:hint="eastAsia"/>
                <w:b w:val="0"/>
                <w:color w:val="auto"/>
                <w:sz w:val="21"/>
                <w:szCs w:val="21"/>
                <w:vertAlign w:val="subscript"/>
                <w:lang w:val="en-US"/>
              </w:rPr>
              <w:t>5</w:t>
            </w:r>
            <w:r>
              <w:rPr>
                <w:rFonts w:hint="eastAsia"/>
                <w:b w:val="0"/>
                <w:color w:val="auto"/>
                <w:sz w:val="21"/>
                <w:szCs w:val="21"/>
                <w:lang w:val="en-US"/>
              </w:rPr>
              <w:t>、石油类、总有机碳（TOC）、硫化物、氟化物、氯化物（以Cl计）、溶解性总固体（TDS）、阴离子表面活性剂（LAS）、挥发酚、硼、可溶性钡、总α放射性、总β放射性、铬（六价）、砷、汞、铅、镉</w:t>
            </w:r>
          </w:p>
        </w:tc>
        <w:tc>
          <w:tcPr>
            <w:tcW w:w="4163" w:type="dxa"/>
            <w:vAlign w:val="center"/>
          </w:tcPr>
          <w:p w14:paraId="228463BF">
            <w:pPr>
              <w:pStyle w:val="66"/>
              <w:adjustRightInd w:val="0"/>
              <w:snapToGrid w:val="0"/>
              <w:ind w:firstLine="0" w:firstLineChars="0"/>
              <w:jc w:val="left"/>
              <w:rPr>
                <w:b w:val="0"/>
                <w:bCs/>
                <w:color w:val="auto"/>
                <w:sz w:val="21"/>
                <w:szCs w:val="21"/>
                <w:lang w:val="en-US"/>
              </w:rPr>
            </w:pPr>
            <w:r>
              <w:rPr>
                <w:rFonts w:hint="eastAsia"/>
                <w:b w:val="0"/>
                <w:color w:val="auto"/>
                <w:sz w:val="21"/>
                <w:szCs w:val="21"/>
                <w:lang w:val="en-US"/>
              </w:rPr>
              <w:t>采用“</w:t>
            </w:r>
            <w:r>
              <w:rPr>
                <w:rFonts w:hint="eastAsia"/>
                <w:b w:val="0"/>
                <w:color w:val="auto"/>
                <w:sz w:val="21"/>
                <w:szCs w:val="21"/>
                <w:lang w:val="en-US" w:eastAsia="zh-CN"/>
              </w:rPr>
              <w:t>调节+气浮+化学除重+高密软化沉淀+芬顿氧化+中和沉淀+精密过滤+DTRO膜浓缩+浓水蒸发结晶</w:t>
            </w:r>
            <w:r>
              <w:rPr>
                <w:rFonts w:hint="eastAsia"/>
                <w:b w:val="0"/>
                <w:color w:val="auto"/>
                <w:sz w:val="21"/>
                <w:szCs w:val="21"/>
                <w:lang w:val="en-US"/>
              </w:rPr>
              <w:t>”处理工艺，设计处理规模2000m</w:t>
            </w:r>
            <w:r>
              <w:rPr>
                <w:rFonts w:hint="eastAsia"/>
                <w:b w:val="0"/>
                <w:color w:val="auto"/>
                <w:sz w:val="21"/>
                <w:szCs w:val="21"/>
                <w:vertAlign w:val="superscript"/>
                <w:lang w:val="en-US"/>
              </w:rPr>
              <w:t>3</w:t>
            </w:r>
            <w:r>
              <w:rPr>
                <w:rFonts w:hint="eastAsia"/>
                <w:b w:val="0"/>
                <w:color w:val="auto"/>
                <w:sz w:val="21"/>
                <w:szCs w:val="21"/>
                <w:lang w:val="en-US"/>
              </w:rPr>
              <w:t>/d；废水处理达标后排入园区污水处理厂</w:t>
            </w:r>
            <w:r>
              <w:rPr>
                <w:rFonts w:hint="eastAsia"/>
                <w:b w:val="0"/>
                <w:bCs/>
                <w:color w:val="auto"/>
                <w:sz w:val="21"/>
                <w:szCs w:val="21"/>
              </w:rPr>
              <w:t>，</w:t>
            </w:r>
            <w:r>
              <w:rPr>
                <w:rFonts w:hint="eastAsia"/>
                <w:b w:val="0"/>
                <w:bCs/>
                <w:color w:val="auto"/>
                <w:sz w:val="21"/>
                <w:szCs w:val="21"/>
                <w:lang w:eastAsia="zh-CN"/>
              </w:rPr>
              <w:t>污水处理厂</w:t>
            </w:r>
            <w:r>
              <w:rPr>
                <w:rFonts w:hint="eastAsia"/>
                <w:b w:val="0"/>
                <w:bCs/>
                <w:color w:val="auto"/>
                <w:sz w:val="21"/>
                <w:szCs w:val="21"/>
              </w:rPr>
              <w:t>总排污口按《排污口规范化整治技术要求</w:t>
            </w:r>
            <w:r>
              <w:rPr>
                <w:rFonts w:hint="eastAsia"/>
                <w:b w:val="0"/>
                <w:bCs/>
                <w:color w:val="auto"/>
                <w:sz w:val="21"/>
                <w:szCs w:val="21"/>
                <w:lang w:eastAsia="zh-CN"/>
              </w:rPr>
              <w:t>（</w:t>
            </w:r>
            <w:r>
              <w:rPr>
                <w:rFonts w:hint="eastAsia"/>
                <w:b w:val="0"/>
                <w:bCs/>
                <w:color w:val="auto"/>
                <w:sz w:val="21"/>
                <w:szCs w:val="21"/>
              </w:rPr>
              <w:t>试行</w:t>
            </w:r>
            <w:r>
              <w:rPr>
                <w:rFonts w:hint="eastAsia"/>
                <w:b w:val="0"/>
                <w:bCs/>
                <w:color w:val="auto"/>
                <w:sz w:val="21"/>
                <w:szCs w:val="21"/>
                <w:lang w:eastAsia="zh-CN"/>
              </w:rPr>
              <w:t>）</w:t>
            </w:r>
            <w:r>
              <w:rPr>
                <w:rFonts w:hint="eastAsia"/>
                <w:b w:val="0"/>
                <w:bCs/>
                <w:color w:val="auto"/>
                <w:sz w:val="21"/>
                <w:szCs w:val="21"/>
              </w:rPr>
              <w:t>》执行，</w:t>
            </w:r>
            <w:r>
              <w:rPr>
                <w:rFonts w:hint="eastAsia"/>
                <w:b w:val="0"/>
                <w:bCs/>
                <w:color w:val="auto"/>
                <w:sz w:val="21"/>
                <w:szCs w:val="21"/>
                <w:lang w:val="en-US"/>
              </w:rPr>
              <w:t>废水</w:t>
            </w:r>
            <w:r>
              <w:rPr>
                <w:rFonts w:hint="eastAsia"/>
                <w:b w:val="0"/>
                <w:bCs/>
                <w:color w:val="auto"/>
                <w:sz w:val="21"/>
                <w:szCs w:val="21"/>
              </w:rPr>
              <w:t>总排口按要求安装在线监测设备；对外排废水五类重金属按《地表水环境质量标准》（GB3838-2002）Ⅲ类标准限值进行管控</w:t>
            </w:r>
          </w:p>
        </w:tc>
        <w:tc>
          <w:tcPr>
            <w:tcW w:w="1613" w:type="dxa"/>
            <w:vAlign w:val="center"/>
          </w:tcPr>
          <w:p w14:paraId="6CB988FA">
            <w:pPr>
              <w:spacing w:line="240" w:lineRule="auto"/>
              <w:ind w:firstLine="0" w:firstLineChars="0"/>
              <w:jc w:val="center"/>
              <w:rPr>
                <w:rFonts w:hint="eastAsia" w:eastAsia="宋体"/>
                <w:color w:val="auto"/>
                <w:sz w:val="21"/>
                <w:szCs w:val="21"/>
                <w:lang w:eastAsia="zh-CN"/>
              </w:rPr>
            </w:pPr>
            <w:r>
              <w:rPr>
                <w:rFonts w:hint="eastAsia"/>
                <w:snapToGrid w:val="0"/>
                <w:color w:val="auto"/>
                <w:kern w:val="44"/>
                <w:sz w:val="21"/>
                <w:szCs w:val="21"/>
              </w:rPr>
              <w:t>执行</w:t>
            </w:r>
            <w:r>
              <w:rPr>
                <w:rFonts w:hint="eastAsia"/>
                <w:snapToGrid w:val="0"/>
                <w:color w:val="auto"/>
                <w:kern w:val="44"/>
                <w:sz w:val="21"/>
                <w:szCs w:val="21"/>
                <w:lang w:eastAsia="zh-CN"/>
              </w:rPr>
              <w:t>《页岩气开采水污染物排放标准》（DB50/1806-2025）间接排放标准限值</w:t>
            </w:r>
          </w:p>
        </w:tc>
      </w:tr>
      <w:tr w14:paraId="24D47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restart"/>
            <w:vAlign w:val="center"/>
          </w:tcPr>
          <w:p w14:paraId="1084C0FF">
            <w:pPr>
              <w:spacing w:line="240" w:lineRule="auto"/>
              <w:ind w:firstLine="0" w:firstLineChars="0"/>
              <w:jc w:val="center"/>
              <w:rPr>
                <w:color w:val="auto"/>
                <w:sz w:val="21"/>
                <w:szCs w:val="21"/>
              </w:rPr>
            </w:pPr>
            <w:r>
              <w:rPr>
                <w:rFonts w:hint="eastAsia"/>
                <w:color w:val="auto"/>
                <w:sz w:val="21"/>
                <w:szCs w:val="21"/>
              </w:rPr>
              <w:t>废气</w:t>
            </w:r>
          </w:p>
        </w:tc>
        <w:tc>
          <w:tcPr>
            <w:tcW w:w="851" w:type="dxa"/>
            <w:vAlign w:val="center"/>
          </w:tcPr>
          <w:p w14:paraId="1CE7511B">
            <w:pPr>
              <w:spacing w:line="240" w:lineRule="auto"/>
              <w:ind w:firstLine="0" w:firstLineChars="0"/>
              <w:jc w:val="center"/>
              <w:rPr>
                <w:color w:val="auto"/>
                <w:sz w:val="21"/>
                <w:szCs w:val="21"/>
              </w:rPr>
            </w:pPr>
            <w:r>
              <w:rPr>
                <w:rFonts w:hint="eastAsia"/>
                <w:color w:val="auto"/>
                <w:sz w:val="21"/>
                <w:szCs w:val="21"/>
              </w:rPr>
              <w:t>厂界</w:t>
            </w:r>
          </w:p>
        </w:tc>
        <w:tc>
          <w:tcPr>
            <w:tcW w:w="1984" w:type="dxa"/>
            <w:vMerge w:val="restart"/>
            <w:vAlign w:val="center"/>
          </w:tcPr>
          <w:p w14:paraId="7FCE9306">
            <w:pPr>
              <w:adjustRightInd/>
              <w:snapToGrid/>
              <w:spacing w:line="240" w:lineRule="auto"/>
              <w:ind w:firstLine="0" w:firstLineChars="0"/>
              <w:jc w:val="center"/>
              <w:rPr>
                <w:color w:val="auto"/>
                <w:sz w:val="21"/>
                <w:szCs w:val="21"/>
              </w:rPr>
            </w:pPr>
            <w:r>
              <w:rPr>
                <w:rFonts w:hint="eastAsia"/>
                <w:color w:val="auto"/>
                <w:sz w:val="21"/>
                <w:szCs w:val="21"/>
              </w:rPr>
              <w:t>NH</w:t>
            </w:r>
            <w:r>
              <w:rPr>
                <w:rFonts w:hint="eastAsia"/>
                <w:color w:val="auto"/>
                <w:sz w:val="21"/>
                <w:szCs w:val="21"/>
                <w:vertAlign w:val="subscript"/>
              </w:rPr>
              <w:t>3</w:t>
            </w:r>
            <w:r>
              <w:rPr>
                <w:rFonts w:hint="eastAsia"/>
                <w:color w:val="auto"/>
                <w:sz w:val="21"/>
                <w:szCs w:val="21"/>
              </w:rPr>
              <w:t>、H</w:t>
            </w:r>
            <w:r>
              <w:rPr>
                <w:rFonts w:hint="eastAsia"/>
                <w:color w:val="auto"/>
                <w:sz w:val="21"/>
                <w:szCs w:val="21"/>
                <w:vertAlign w:val="subscript"/>
              </w:rPr>
              <w:t>2</w:t>
            </w:r>
            <w:r>
              <w:rPr>
                <w:rFonts w:hint="eastAsia"/>
                <w:color w:val="auto"/>
                <w:sz w:val="21"/>
                <w:szCs w:val="21"/>
              </w:rPr>
              <w:t>S、</w:t>
            </w:r>
            <w:bookmarkStart w:id="397" w:name="_Hlk186293328"/>
            <w:r>
              <w:rPr>
                <w:rFonts w:hint="eastAsia"/>
                <w:color w:val="auto"/>
                <w:sz w:val="21"/>
                <w:szCs w:val="21"/>
              </w:rPr>
              <w:t>非甲烷总烃</w:t>
            </w:r>
            <w:bookmarkEnd w:id="397"/>
            <w:r>
              <w:rPr>
                <w:rFonts w:hint="eastAsia"/>
                <w:color w:val="auto"/>
                <w:sz w:val="21"/>
                <w:szCs w:val="21"/>
              </w:rPr>
              <w:t>、</w:t>
            </w:r>
          </w:p>
          <w:p w14:paraId="7EC9AE68">
            <w:pPr>
              <w:spacing w:line="240" w:lineRule="auto"/>
              <w:ind w:firstLine="0" w:firstLineChars="0"/>
              <w:jc w:val="center"/>
              <w:rPr>
                <w:color w:val="auto"/>
                <w:sz w:val="21"/>
                <w:szCs w:val="21"/>
              </w:rPr>
            </w:pPr>
            <w:r>
              <w:rPr>
                <w:rFonts w:hint="eastAsia"/>
                <w:color w:val="auto"/>
                <w:sz w:val="21"/>
                <w:szCs w:val="21"/>
              </w:rPr>
              <w:t>臭气浓度</w:t>
            </w:r>
          </w:p>
        </w:tc>
        <w:tc>
          <w:tcPr>
            <w:tcW w:w="4163" w:type="dxa"/>
            <w:vAlign w:val="center"/>
          </w:tcPr>
          <w:p w14:paraId="58029340">
            <w:pPr>
              <w:spacing w:line="240" w:lineRule="auto"/>
              <w:ind w:firstLine="0" w:firstLineChars="0"/>
              <w:rPr>
                <w:color w:val="auto"/>
                <w:sz w:val="21"/>
                <w:szCs w:val="21"/>
              </w:rPr>
            </w:pPr>
            <w:r>
              <w:rPr>
                <w:rFonts w:hint="eastAsia"/>
                <w:color w:val="auto"/>
                <w:sz w:val="21"/>
                <w:szCs w:val="21"/>
              </w:rPr>
              <w:t>加强</w:t>
            </w:r>
            <w:r>
              <w:rPr>
                <w:rFonts w:hint="eastAsia"/>
                <w:color w:val="auto"/>
                <w:sz w:val="21"/>
                <w:szCs w:val="21"/>
                <w:lang w:eastAsia="zh-CN"/>
              </w:rPr>
              <w:t>污水处理厂</w:t>
            </w:r>
            <w:r>
              <w:rPr>
                <w:rFonts w:hint="eastAsia"/>
                <w:color w:val="auto"/>
                <w:sz w:val="21"/>
                <w:szCs w:val="21"/>
              </w:rPr>
              <w:t>厂区绿化；污泥及时清运，恶臭产生单元边界向外划定50米的卫生防护距离，该防护距离内不得规划居民区、文教、医院等环境保护目标等</w:t>
            </w:r>
          </w:p>
        </w:tc>
        <w:tc>
          <w:tcPr>
            <w:tcW w:w="1613" w:type="dxa"/>
            <w:vMerge w:val="restart"/>
            <w:vAlign w:val="center"/>
          </w:tcPr>
          <w:p w14:paraId="1ABFB35E">
            <w:pPr>
              <w:spacing w:line="240" w:lineRule="auto"/>
              <w:ind w:firstLine="0" w:firstLineChars="0"/>
              <w:jc w:val="center"/>
              <w:rPr>
                <w:color w:val="auto"/>
                <w:sz w:val="21"/>
                <w:szCs w:val="21"/>
              </w:rPr>
            </w:pPr>
            <w:r>
              <w:rPr>
                <w:rFonts w:hint="eastAsia"/>
                <w:color w:val="auto"/>
                <w:sz w:val="21"/>
                <w:szCs w:val="21"/>
              </w:rPr>
              <w:t>《恶臭污染物排放标准》（GB14554-93）、《大气污染物综合排放标准》（DB 50/418－2016）</w:t>
            </w:r>
          </w:p>
        </w:tc>
      </w:tr>
      <w:tr w14:paraId="501C4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vAlign w:val="center"/>
          </w:tcPr>
          <w:p w14:paraId="0BFC3E65">
            <w:pPr>
              <w:spacing w:line="240" w:lineRule="auto"/>
              <w:ind w:firstLine="0" w:firstLineChars="0"/>
              <w:jc w:val="center"/>
              <w:rPr>
                <w:color w:val="auto"/>
                <w:sz w:val="21"/>
                <w:szCs w:val="21"/>
              </w:rPr>
            </w:pPr>
          </w:p>
        </w:tc>
        <w:tc>
          <w:tcPr>
            <w:tcW w:w="851" w:type="dxa"/>
            <w:vAlign w:val="center"/>
          </w:tcPr>
          <w:p w14:paraId="01B877E8">
            <w:pPr>
              <w:spacing w:line="240" w:lineRule="auto"/>
              <w:ind w:firstLine="0" w:firstLineChars="0"/>
              <w:jc w:val="center"/>
              <w:rPr>
                <w:color w:val="auto"/>
                <w:sz w:val="21"/>
                <w:szCs w:val="21"/>
              </w:rPr>
            </w:pPr>
            <w:r>
              <w:rPr>
                <w:rFonts w:hint="eastAsia"/>
                <w:color w:val="auto"/>
                <w:sz w:val="21"/>
                <w:szCs w:val="21"/>
              </w:rPr>
              <w:t>DA001排气筒</w:t>
            </w:r>
          </w:p>
        </w:tc>
        <w:tc>
          <w:tcPr>
            <w:tcW w:w="1984" w:type="dxa"/>
            <w:vMerge w:val="continue"/>
            <w:vAlign w:val="center"/>
          </w:tcPr>
          <w:p w14:paraId="131E030F">
            <w:pPr>
              <w:adjustRightInd/>
              <w:snapToGrid/>
              <w:spacing w:line="240" w:lineRule="auto"/>
              <w:ind w:firstLine="0" w:firstLineChars="0"/>
              <w:jc w:val="center"/>
              <w:rPr>
                <w:color w:val="auto"/>
                <w:sz w:val="21"/>
                <w:szCs w:val="21"/>
              </w:rPr>
            </w:pPr>
          </w:p>
        </w:tc>
        <w:tc>
          <w:tcPr>
            <w:tcW w:w="4163" w:type="dxa"/>
            <w:vAlign w:val="center"/>
          </w:tcPr>
          <w:p w14:paraId="1A3D9FFE">
            <w:pPr>
              <w:spacing w:line="240" w:lineRule="auto"/>
              <w:ind w:firstLine="0" w:firstLineChars="0"/>
              <w:rPr>
                <w:color w:val="auto"/>
                <w:sz w:val="21"/>
                <w:szCs w:val="21"/>
              </w:rPr>
            </w:pPr>
            <w:r>
              <w:rPr>
                <w:rFonts w:hint="eastAsia"/>
                <w:color w:val="auto"/>
                <w:sz w:val="21"/>
                <w:szCs w:val="21"/>
                <w:lang w:eastAsia="zh-CN"/>
              </w:rPr>
              <w:t>收集池</w:t>
            </w:r>
            <w:r>
              <w:rPr>
                <w:rFonts w:hint="eastAsia"/>
                <w:color w:val="auto"/>
                <w:sz w:val="21"/>
                <w:szCs w:val="21"/>
              </w:rPr>
              <w:t>、调节池、高密沉淀池、芬顿氧化池、沉淀池、</w:t>
            </w:r>
            <w:r>
              <w:rPr>
                <w:rFonts w:hint="eastAsia"/>
                <w:color w:val="auto"/>
                <w:sz w:val="21"/>
                <w:szCs w:val="21"/>
                <w:lang w:eastAsia="zh-CN"/>
              </w:rPr>
              <w:t>浓水罐</w:t>
            </w:r>
            <w:r>
              <w:rPr>
                <w:rFonts w:hint="eastAsia"/>
                <w:color w:val="auto"/>
                <w:sz w:val="21"/>
                <w:szCs w:val="21"/>
              </w:rPr>
              <w:t>和污泥池等主要产臭构筑物采取加盖等密闭方式对臭气进行收集，</w:t>
            </w:r>
            <w:r>
              <w:rPr>
                <w:rFonts w:hint="eastAsia"/>
                <w:color w:val="auto"/>
                <w:sz w:val="21"/>
                <w:szCs w:val="21"/>
                <w:lang w:eastAsia="zh-CN"/>
              </w:rPr>
              <w:t>污泥压滤间、危废贮存库</w:t>
            </w:r>
            <w:r>
              <w:rPr>
                <w:rFonts w:hint="eastAsia"/>
                <w:color w:val="auto"/>
                <w:sz w:val="21"/>
                <w:szCs w:val="21"/>
              </w:rPr>
              <w:t>采取负压抽风收集臭气，MVR蒸发不凝气采用管道收集，全部废气收集后经1套“碱喷淋+除湿+活性炭吸附”处置达标后15mDA001排气筒排放</w:t>
            </w:r>
          </w:p>
        </w:tc>
        <w:tc>
          <w:tcPr>
            <w:tcW w:w="1613" w:type="dxa"/>
            <w:vMerge w:val="continue"/>
            <w:vAlign w:val="center"/>
          </w:tcPr>
          <w:p w14:paraId="282FE05E">
            <w:pPr>
              <w:spacing w:line="240" w:lineRule="auto"/>
              <w:ind w:firstLine="0" w:firstLineChars="0"/>
              <w:rPr>
                <w:color w:val="auto"/>
                <w:sz w:val="21"/>
                <w:szCs w:val="21"/>
              </w:rPr>
            </w:pPr>
          </w:p>
        </w:tc>
      </w:tr>
      <w:tr w14:paraId="24205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675" w:type="dxa"/>
            <w:vAlign w:val="center"/>
          </w:tcPr>
          <w:p w14:paraId="0FE3F1B9">
            <w:pPr>
              <w:spacing w:line="240" w:lineRule="auto"/>
              <w:ind w:firstLine="0" w:firstLineChars="0"/>
              <w:jc w:val="center"/>
              <w:rPr>
                <w:color w:val="auto"/>
                <w:sz w:val="21"/>
                <w:szCs w:val="21"/>
              </w:rPr>
            </w:pPr>
            <w:r>
              <w:rPr>
                <w:rFonts w:hint="eastAsia"/>
                <w:color w:val="auto"/>
                <w:sz w:val="21"/>
                <w:szCs w:val="21"/>
              </w:rPr>
              <w:t>噪声</w:t>
            </w:r>
          </w:p>
        </w:tc>
        <w:tc>
          <w:tcPr>
            <w:tcW w:w="851" w:type="dxa"/>
            <w:vAlign w:val="center"/>
          </w:tcPr>
          <w:p w14:paraId="5908CA21">
            <w:pPr>
              <w:spacing w:line="240" w:lineRule="auto"/>
              <w:ind w:firstLine="0" w:firstLineChars="0"/>
              <w:jc w:val="center"/>
              <w:rPr>
                <w:color w:val="auto"/>
                <w:sz w:val="21"/>
                <w:szCs w:val="21"/>
              </w:rPr>
            </w:pPr>
            <w:r>
              <w:rPr>
                <w:rFonts w:hint="eastAsia"/>
                <w:bCs/>
                <w:color w:val="auto"/>
                <w:sz w:val="21"/>
                <w:szCs w:val="21"/>
              </w:rPr>
              <w:t>厂界外1m处</w:t>
            </w:r>
          </w:p>
        </w:tc>
        <w:tc>
          <w:tcPr>
            <w:tcW w:w="1984" w:type="dxa"/>
            <w:vAlign w:val="center"/>
          </w:tcPr>
          <w:p w14:paraId="7CC79347">
            <w:pPr>
              <w:spacing w:line="240" w:lineRule="auto"/>
              <w:ind w:firstLine="0" w:firstLineChars="0"/>
              <w:jc w:val="center"/>
              <w:rPr>
                <w:color w:val="auto"/>
                <w:sz w:val="21"/>
                <w:szCs w:val="21"/>
              </w:rPr>
            </w:pPr>
            <w:r>
              <w:rPr>
                <w:rFonts w:hint="eastAsia"/>
                <w:color w:val="auto"/>
                <w:sz w:val="21"/>
                <w:szCs w:val="21"/>
              </w:rPr>
              <w:t>设备噪声</w:t>
            </w:r>
          </w:p>
        </w:tc>
        <w:tc>
          <w:tcPr>
            <w:tcW w:w="4163" w:type="dxa"/>
            <w:vAlign w:val="center"/>
          </w:tcPr>
          <w:p w14:paraId="79426698">
            <w:pPr>
              <w:spacing w:line="240" w:lineRule="auto"/>
              <w:ind w:firstLine="0" w:firstLineChars="0"/>
              <w:jc w:val="center"/>
              <w:rPr>
                <w:bCs/>
                <w:color w:val="auto"/>
                <w:sz w:val="21"/>
                <w:szCs w:val="21"/>
                <w:lang w:val="zh-CN"/>
              </w:rPr>
            </w:pPr>
            <w:r>
              <w:rPr>
                <w:rFonts w:hint="eastAsia"/>
                <w:bCs/>
                <w:color w:val="auto"/>
                <w:sz w:val="21"/>
                <w:szCs w:val="21"/>
                <w:lang w:val="zh-CN"/>
              </w:rPr>
              <w:t>废水处理站机械设备等采取基础减振、建筑隔声等措施。</w:t>
            </w:r>
          </w:p>
        </w:tc>
        <w:tc>
          <w:tcPr>
            <w:tcW w:w="1613" w:type="dxa"/>
            <w:vAlign w:val="center"/>
          </w:tcPr>
          <w:p w14:paraId="2DEFC8A6">
            <w:pPr>
              <w:spacing w:line="240" w:lineRule="auto"/>
              <w:ind w:firstLine="0" w:firstLineChars="0"/>
              <w:rPr>
                <w:color w:val="auto"/>
                <w:sz w:val="21"/>
                <w:szCs w:val="21"/>
              </w:rPr>
            </w:pPr>
            <w:r>
              <w:rPr>
                <w:rFonts w:hint="eastAsia"/>
                <w:color w:val="auto"/>
                <w:sz w:val="21"/>
                <w:szCs w:val="21"/>
              </w:rPr>
              <w:t>厂界噪声满足《工业企业厂界环境噪声排放标准》（GB12348-2008）3类标准</w:t>
            </w:r>
          </w:p>
        </w:tc>
      </w:tr>
      <w:tr w14:paraId="25285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75" w:type="dxa"/>
            <w:vMerge w:val="restart"/>
            <w:vAlign w:val="center"/>
          </w:tcPr>
          <w:p w14:paraId="7723B2CC">
            <w:pPr>
              <w:spacing w:line="240" w:lineRule="auto"/>
              <w:ind w:firstLine="0" w:firstLineChars="0"/>
              <w:jc w:val="center"/>
              <w:rPr>
                <w:color w:val="auto"/>
                <w:sz w:val="21"/>
                <w:szCs w:val="21"/>
              </w:rPr>
            </w:pPr>
            <w:r>
              <w:rPr>
                <w:rFonts w:hint="eastAsia"/>
                <w:color w:val="auto"/>
                <w:sz w:val="21"/>
                <w:szCs w:val="21"/>
              </w:rPr>
              <w:t>固体</w:t>
            </w:r>
          </w:p>
          <w:p w14:paraId="27AC50F7">
            <w:pPr>
              <w:spacing w:line="240" w:lineRule="auto"/>
              <w:ind w:firstLine="0" w:firstLineChars="0"/>
              <w:jc w:val="center"/>
              <w:rPr>
                <w:color w:val="auto"/>
                <w:sz w:val="21"/>
                <w:szCs w:val="21"/>
              </w:rPr>
            </w:pPr>
            <w:r>
              <w:rPr>
                <w:rFonts w:hint="eastAsia"/>
                <w:color w:val="auto"/>
                <w:sz w:val="21"/>
                <w:szCs w:val="21"/>
              </w:rPr>
              <w:t>废物</w:t>
            </w:r>
          </w:p>
        </w:tc>
        <w:tc>
          <w:tcPr>
            <w:tcW w:w="851" w:type="dxa"/>
            <w:vMerge w:val="restart"/>
            <w:vAlign w:val="center"/>
          </w:tcPr>
          <w:p w14:paraId="08015DC6">
            <w:pPr>
              <w:spacing w:line="240" w:lineRule="auto"/>
              <w:ind w:firstLine="0" w:firstLineChars="0"/>
              <w:jc w:val="center"/>
              <w:rPr>
                <w:color w:val="auto"/>
                <w:sz w:val="21"/>
                <w:szCs w:val="21"/>
              </w:rPr>
            </w:pPr>
            <w:r>
              <w:rPr>
                <w:rFonts w:hint="eastAsia"/>
                <w:color w:val="auto"/>
                <w:sz w:val="21"/>
                <w:szCs w:val="21"/>
              </w:rPr>
              <w:t>厂区</w:t>
            </w:r>
          </w:p>
        </w:tc>
        <w:tc>
          <w:tcPr>
            <w:tcW w:w="1984" w:type="dxa"/>
            <w:vAlign w:val="center"/>
          </w:tcPr>
          <w:p w14:paraId="06F8E413">
            <w:pPr>
              <w:spacing w:line="240" w:lineRule="auto"/>
              <w:ind w:firstLine="0" w:firstLineChars="0"/>
              <w:jc w:val="center"/>
              <w:rPr>
                <w:color w:val="auto"/>
                <w:sz w:val="21"/>
                <w:szCs w:val="21"/>
              </w:rPr>
            </w:pPr>
            <w:r>
              <w:rPr>
                <w:rFonts w:hint="eastAsia"/>
                <w:color w:val="auto"/>
                <w:sz w:val="21"/>
                <w:szCs w:val="21"/>
              </w:rPr>
              <w:t>污泥</w:t>
            </w:r>
            <w:r>
              <w:rPr>
                <w:rFonts w:hint="eastAsia"/>
                <w:color w:val="auto"/>
                <w:sz w:val="21"/>
                <w:szCs w:val="21"/>
                <w:lang w:val="zh-CN"/>
              </w:rPr>
              <w:t>、蒸发结晶盐</w:t>
            </w:r>
          </w:p>
        </w:tc>
        <w:tc>
          <w:tcPr>
            <w:tcW w:w="4163" w:type="dxa"/>
            <w:vAlign w:val="center"/>
          </w:tcPr>
          <w:p w14:paraId="0A4953CE">
            <w:pPr>
              <w:spacing w:line="240" w:lineRule="auto"/>
              <w:ind w:firstLine="420"/>
              <w:jc w:val="left"/>
              <w:rPr>
                <w:color w:val="auto"/>
                <w:sz w:val="21"/>
                <w:szCs w:val="21"/>
              </w:rPr>
            </w:pPr>
            <w:r>
              <w:rPr>
                <w:rFonts w:hint="eastAsia"/>
                <w:color w:val="auto"/>
                <w:sz w:val="21"/>
                <w:szCs w:val="21"/>
              </w:rPr>
              <w:t>进行危险废物鉴别，鉴别前按照危险废物相关要求进行管控</w:t>
            </w:r>
          </w:p>
        </w:tc>
        <w:tc>
          <w:tcPr>
            <w:tcW w:w="1613" w:type="dxa"/>
            <w:vMerge w:val="restart"/>
            <w:vAlign w:val="center"/>
          </w:tcPr>
          <w:p w14:paraId="378C6DB5">
            <w:pPr>
              <w:spacing w:line="240" w:lineRule="auto"/>
              <w:ind w:firstLine="0" w:firstLineChars="0"/>
              <w:jc w:val="center"/>
              <w:rPr>
                <w:color w:val="auto"/>
                <w:sz w:val="21"/>
                <w:szCs w:val="21"/>
              </w:rPr>
            </w:pPr>
            <w:r>
              <w:rPr>
                <w:rFonts w:hint="eastAsia"/>
                <w:color w:val="auto"/>
                <w:sz w:val="21"/>
                <w:szCs w:val="21"/>
              </w:rPr>
              <w:t>满足相关要求</w:t>
            </w:r>
          </w:p>
        </w:tc>
      </w:tr>
      <w:tr w14:paraId="4CDE5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75" w:type="dxa"/>
            <w:vMerge w:val="continue"/>
            <w:vAlign w:val="center"/>
          </w:tcPr>
          <w:p w14:paraId="3F6064A0">
            <w:pPr>
              <w:spacing w:line="240" w:lineRule="auto"/>
              <w:ind w:firstLine="0" w:firstLineChars="0"/>
              <w:jc w:val="center"/>
              <w:rPr>
                <w:color w:val="auto"/>
                <w:sz w:val="21"/>
                <w:szCs w:val="21"/>
              </w:rPr>
            </w:pPr>
          </w:p>
        </w:tc>
        <w:tc>
          <w:tcPr>
            <w:tcW w:w="851" w:type="dxa"/>
            <w:vMerge w:val="continue"/>
            <w:vAlign w:val="center"/>
          </w:tcPr>
          <w:p w14:paraId="2FCC4017">
            <w:pPr>
              <w:spacing w:line="240" w:lineRule="auto"/>
              <w:ind w:firstLine="0" w:firstLineChars="0"/>
              <w:jc w:val="center"/>
              <w:rPr>
                <w:color w:val="auto"/>
                <w:sz w:val="21"/>
                <w:szCs w:val="21"/>
              </w:rPr>
            </w:pPr>
          </w:p>
        </w:tc>
        <w:tc>
          <w:tcPr>
            <w:tcW w:w="1984" w:type="dxa"/>
            <w:vAlign w:val="center"/>
          </w:tcPr>
          <w:p w14:paraId="50D21D9F">
            <w:pPr>
              <w:spacing w:line="240" w:lineRule="auto"/>
              <w:ind w:firstLine="0" w:firstLineChars="0"/>
              <w:jc w:val="center"/>
              <w:rPr>
                <w:color w:val="auto"/>
                <w:sz w:val="21"/>
                <w:szCs w:val="21"/>
              </w:rPr>
            </w:pPr>
            <w:r>
              <w:rPr>
                <w:rFonts w:hint="eastAsia"/>
                <w:color w:val="auto"/>
                <w:sz w:val="21"/>
                <w:szCs w:val="21"/>
              </w:rPr>
              <w:t>生活垃圾</w:t>
            </w:r>
          </w:p>
        </w:tc>
        <w:tc>
          <w:tcPr>
            <w:tcW w:w="4163" w:type="dxa"/>
            <w:vAlign w:val="center"/>
          </w:tcPr>
          <w:p w14:paraId="3515B6A2">
            <w:pPr>
              <w:spacing w:line="240" w:lineRule="auto"/>
              <w:ind w:firstLine="0" w:firstLineChars="0"/>
              <w:jc w:val="center"/>
              <w:rPr>
                <w:color w:val="auto"/>
                <w:sz w:val="21"/>
                <w:szCs w:val="21"/>
              </w:rPr>
            </w:pPr>
            <w:r>
              <w:rPr>
                <w:rFonts w:hint="eastAsia"/>
                <w:color w:val="auto"/>
                <w:sz w:val="21"/>
                <w:szCs w:val="21"/>
              </w:rPr>
              <w:t>委托环卫部门处理</w:t>
            </w:r>
          </w:p>
        </w:tc>
        <w:tc>
          <w:tcPr>
            <w:tcW w:w="1613" w:type="dxa"/>
            <w:vMerge w:val="continue"/>
            <w:vAlign w:val="center"/>
          </w:tcPr>
          <w:p w14:paraId="3FFADCF7">
            <w:pPr>
              <w:spacing w:line="240" w:lineRule="auto"/>
              <w:ind w:firstLine="0" w:firstLineChars="0"/>
              <w:jc w:val="center"/>
              <w:rPr>
                <w:color w:val="auto"/>
                <w:sz w:val="21"/>
                <w:szCs w:val="21"/>
              </w:rPr>
            </w:pPr>
          </w:p>
        </w:tc>
      </w:tr>
      <w:tr w14:paraId="32329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75" w:type="dxa"/>
            <w:vMerge w:val="continue"/>
            <w:vAlign w:val="center"/>
          </w:tcPr>
          <w:p w14:paraId="345C6AC2">
            <w:pPr>
              <w:spacing w:line="240" w:lineRule="auto"/>
              <w:ind w:firstLine="0" w:firstLineChars="0"/>
              <w:jc w:val="center"/>
              <w:rPr>
                <w:color w:val="auto"/>
                <w:sz w:val="21"/>
                <w:szCs w:val="21"/>
              </w:rPr>
            </w:pPr>
          </w:p>
        </w:tc>
        <w:tc>
          <w:tcPr>
            <w:tcW w:w="851" w:type="dxa"/>
            <w:vMerge w:val="continue"/>
            <w:vAlign w:val="center"/>
          </w:tcPr>
          <w:p w14:paraId="3AA55266">
            <w:pPr>
              <w:spacing w:line="240" w:lineRule="auto"/>
              <w:ind w:firstLine="0" w:firstLineChars="0"/>
              <w:jc w:val="center"/>
              <w:rPr>
                <w:color w:val="auto"/>
                <w:sz w:val="21"/>
                <w:szCs w:val="21"/>
              </w:rPr>
            </w:pPr>
          </w:p>
        </w:tc>
        <w:tc>
          <w:tcPr>
            <w:tcW w:w="1984" w:type="dxa"/>
            <w:vAlign w:val="center"/>
          </w:tcPr>
          <w:p w14:paraId="3FB1F365">
            <w:pPr>
              <w:spacing w:line="240" w:lineRule="auto"/>
              <w:ind w:firstLine="0" w:firstLineChars="0"/>
              <w:jc w:val="center"/>
              <w:rPr>
                <w:color w:val="auto"/>
                <w:sz w:val="21"/>
                <w:szCs w:val="21"/>
              </w:rPr>
            </w:pPr>
            <w:r>
              <w:rPr>
                <w:rFonts w:hint="eastAsia"/>
                <w:color w:val="auto"/>
                <w:sz w:val="21"/>
                <w:szCs w:val="21"/>
              </w:rPr>
              <w:t>不沾染危险化学品的</w:t>
            </w:r>
            <w:r>
              <w:rPr>
                <w:rFonts w:hint="eastAsia"/>
                <w:color w:val="auto"/>
                <w:sz w:val="21"/>
                <w:szCs w:val="21"/>
                <w:lang w:val="zh-CN"/>
              </w:rPr>
              <w:t>废包装材料</w:t>
            </w:r>
          </w:p>
        </w:tc>
        <w:tc>
          <w:tcPr>
            <w:tcW w:w="4163" w:type="dxa"/>
            <w:vAlign w:val="center"/>
          </w:tcPr>
          <w:p w14:paraId="3B89457E">
            <w:pPr>
              <w:spacing w:line="240" w:lineRule="auto"/>
              <w:ind w:firstLine="0" w:firstLineChars="0"/>
              <w:jc w:val="center"/>
              <w:rPr>
                <w:color w:val="auto"/>
                <w:sz w:val="21"/>
                <w:szCs w:val="21"/>
              </w:rPr>
            </w:pPr>
            <w:r>
              <w:rPr>
                <w:rFonts w:hint="eastAsia"/>
                <w:color w:val="auto"/>
                <w:sz w:val="21"/>
                <w:szCs w:val="21"/>
              </w:rPr>
              <w:t>外卖废品回收公司</w:t>
            </w:r>
          </w:p>
        </w:tc>
        <w:tc>
          <w:tcPr>
            <w:tcW w:w="1613" w:type="dxa"/>
            <w:vMerge w:val="continue"/>
            <w:vAlign w:val="center"/>
          </w:tcPr>
          <w:p w14:paraId="2A1DDA18">
            <w:pPr>
              <w:spacing w:line="240" w:lineRule="auto"/>
              <w:ind w:firstLine="420"/>
              <w:jc w:val="center"/>
              <w:rPr>
                <w:color w:val="auto"/>
                <w:sz w:val="21"/>
                <w:szCs w:val="21"/>
              </w:rPr>
            </w:pPr>
          </w:p>
        </w:tc>
      </w:tr>
      <w:tr w14:paraId="1FBA8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75" w:type="dxa"/>
            <w:vMerge w:val="continue"/>
            <w:vAlign w:val="center"/>
          </w:tcPr>
          <w:p w14:paraId="6D4EC4E7">
            <w:pPr>
              <w:spacing w:line="240" w:lineRule="auto"/>
              <w:ind w:firstLine="0" w:firstLineChars="0"/>
              <w:jc w:val="center"/>
              <w:rPr>
                <w:color w:val="auto"/>
                <w:sz w:val="21"/>
                <w:szCs w:val="21"/>
              </w:rPr>
            </w:pPr>
          </w:p>
        </w:tc>
        <w:tc>
          <w:tcPr>
            <w:tcW w:w="851" w:type="dxa"/>
            <w:vMerge w:val="continue"/>
            <w:vAlign w:val="center"/>
          </w:tcPr>
          <w:p w14:paraId="6F08D3B3">
            <w:pPr>
              <w:spacing w:line="240" w:lineRule="auto"/>
              <w:ind w:firstLine="0" w:firstLineChars="0"/>
              <w:jc w:val="center"/>
              <w:rPr>
                <w:color w:val="auto"/>
                <w:sz w:val="21"/>
                <w:szCs w:val="21"/>
              </w:rPr>
            </w:pPr>
          </w:p>
        </w:tc>
        <w:tc>
          <w:tcPr>
            <w:tcW w:w="1984" w:type="dxa"/>
            <w:vAlign w:val="center"/>
          </w:tcPr>
          <w:p w14:paraId="575C2C25">
            <w:pPr>
              <w:spacing w:line="240" w:lineRule="auto"/>
              <w:ind w:firstLine="0" w:firstLineChars="0"/>
              <w:jc w:val="center"/>
              <w:rPr>
                <w:color w:val="auto"/>
                <w:sz w:val="21"/>
                <w:szCs w:val="21"/>
              </w:rPr>
            </w:pPr>
            <w:r>
              <w:rPr>
                <w:rFonts w:hint="eastAsia"/>
                <w:color w:val="auto"/>
                <w:sz w:val="21"/>
                <w:szCs w:val="21"/>
                <w:lang w:val="zh-CN"/>
              </w:rPr>
              <w:t>废油、</w:t>
            </w:r>
            <w:r>
              <w:rPr>
                <w:rFonts w:hint="eastAsia"/>
                <w:color w:val="auto"/>
                <w:sz w:val="21"/>
                <w:szCs w:val="21"/>
              </w:rPr>
              <w:t>沾染危险化学品的废包装材料、</w:t>
            </w:r>
            <w:r>
              <w:rPr>
                <w:rFonts w:hint="eastAsia"/>
                <w:color w:val="auto"/>
                <w:sz w:val="21"/>
                <w:szCs w:val="21"/>
                <w:lang w:val="zh-CN"/>
              </w:rPr>
              <w:t>废活性炭、实验室废物、</w:t>
            </w:r>
            <w:r>
              <w:rPr>
                <w:rFonts w:hint="eastAsia"/>
                <w:color w:val="auto"/>
                <w:sz w:val="21"/>
                <w:szCs w:val="21"/>
              </w:rPr>
              <w:t>废机油及桶、含油棉纱手套、废膜</w:t>
            </w:r>
          </w:p>
        </w:tc>
        <w:tc>
          <w:tcPr>
            <w:tcW w:w="4163" w:type="dxa"/>
            <w:vAlign w:val="center"/>
          </w:tcPr>
          <w:p w14:paraId="6758F8A4">
            <w:pPr>
              <w:spacing w:line="240" w:lineRule="auto"/>
              <w:ind w:firstLine="0" w:firstLineChars="0"/>
              <w:jc w:val="center"/>
              <w:rPr>
                <w:color w:val="auto"/>
                <w:sz w:val="21"/>
                <w:szCs w:val="21"/>
              </w:rPr>
            </w:pPr>
            <w:r>
              <w:rPr>
                <w:rFonts w:hint="eastAsia"/>
                <w:color w:val="auto"/>
                <w:sz w:val="21"/>
                <w:szCs w:val="21"/>
              </w:rPr>
              <w:t>委托有资质单位处置</w:t>
            </w:r>
          </w:p>
        </w:tc>
        <w:tc>
          <w:tcPr>
            <w:tcW w:w="1613" w:type="dxa"/>
            <w:vMerge w:val="continue"/>
            <w:vAlign w:val="center"/>
          </w:tcPr>
          <w:p w14:paraId="15F92A14">
            <w:pPr>
              <w:spacing w:line="240" w:lineRule="auto"/>
              <w:ind w:firstLine="420"/>
              <w:jc w:val="center"/>
              <w:rPr>
                <w:color w:val="auto"/>
                <w:sz w:val="21"/>
                <w:szCs w:val="21"/>
              </w:rPr>
            </w:pPr>
          </w:p>
        </w:tc>
      </w:tr>
      <w:tr w14:paraId="73995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675" w:type="dxa"/>
            <w:vAlign w:val="center"/>
          </w:tcPr>
          <w:p w14:paraId="2F67A4A0">
            <w:pPr>
              <w:spacing w:line="240" w:lineRule="auto"/>
              <w:ind w:firstLine="0" w:firstLineChars="0"/>
              <w:jc w:val="center"/>
              <w:rPr>
                <w:color w:val="auto"/>
                <w:sz w:val="21"/>
                <w:szCs w:val="21"/>
              </w:rPr>
            </w:pPr>
            <w:r>
              <w:rPr>
                <w:rFonts w:hint="eastAsia"/>
                <w:color w:val="auto"/>
                <w:sz w:val="21"/>
                <w:szCs w:val="21"/>
              </w:rPr>
              <w:t>地下水和土壤</w:t>
            </w:r>
          </w:p>
        </w:tc>
        <w:tc>
          <w:tcPr>
            <w:tcW w:w="851" w:type="dxa"/>
            <w:vAlign w:val="center"/>
          </w:tcPr>
          <w:p w14:paraId="4010E6B3">
            <w:pPr>
              <w:spacing w:line="240" w:lineRule="auto"/>
              <w:ind w:firstLine="0" w:firstLineChars="0"/>
              <w:jc w:val="center"/>
              <w:rPr>
                <w:color w:val="auto"/>
                <w:sz w:val="21"/>
                <w:szCs w:val="21"/>
              </w:rPr>
            </w:pPr>
            <w:r>
              <w:rPr>
                <w:rFonts w:hint="eastAsia"/>
                <w:color w:val="auto"/>
                <w:sz w:val="21"/>
                <w:szCs w:val="21"/>
              </w:rPr>
              <w:t>厂区</w:t>
            </w:r>
          </w:p>
        </w:tc>
        <w:tc>
          <w:tcPr>
            <w:tcW w:w="1984" w:type="dxa"/>
            <w:vAlign w:val="center"/>
          </w:tcPr>
          <w:p w14:paraId="42B1BE4C">
            <w:pPr>
              <w:spacing w:line="240" w:lineRule="auto"/>
              <w:ind w:firstLine="0" w:firstLineChars="0"/>
              <w:jc w:val="center"/>
              <w:rPr>
                <w:color w:val="auto"/>
                <w:sz w:val="21"/>
                <w:szCs w:val="21"/>
              </w:rPr>
            </w:pPr>
            <w:r>
              <w:rPr>
                <w:rFonts w:hint="eastAsia"/>
                <w:color w:val="auto"/>
                <w:sz w:val="21"/>
                <w:szCs w:val="21"/>
              </w:rPr>
              <w:t>厂区采取分区防渗，设置地下水和土壤跟踪监测点</w:t>
            </w:r>
          </w:p>
        </w:tc>
        <w:tc>
          <w:tcPr>
            <w:tcW w:w="4163" w:type="dxa"/>
            <w:vAlign w:val="center"/>
          </w:tcPr>
          <w:p w14:paraId="3FC6A141">
            <w:pPr>
              <w:pStyle w:val="3361"/>
              <w:rPr>
                <w:color w:val="auto"/>
              </w:rPr>
            </w:pPr>
            <w:r>
              <w:rPr>
                <w:rFonts w:hint="eastAsia"/>
                <w:color w:val="auto"/>
              </w:rPr>
              <w:t>按地下水分区防渗相关要求采取分区防渗措施；页岩气开采废水卸水和浓水装车过程均采取全密闭管道装卸方式，废水卸车区和浓水装车区设置环形应急收集沟，就近接入废水收集池；罐区设置围堰，厂区设置事故池，并采取重点防渗措施；定期对地下水和土壤进行跟踪监测</w:t>
            </w:r>
          </w:p>
        </w:tc>
        <w:tc>
          <w:tcPr>
            <w:tcW w:w="1613" w:type="dxa"/>
            <w:vAlign w:val="center"/>
          </w:tcPr>
          <w:p w14:paraId="4FDE4F28">
            <w:pPr>
              <w:pStyle w:val="3361"/>
              <w:rPr>
                <w:color w:val="auto"/>
              </w:rPr>
            </w:pPr>
            <w:r>
              <w:rPr>
                <w:rFonts w:hint="eastAsia"/>
                <w:color w:val="auto"/>
              </w:rPr>
              <w:t>满足相关要求</w:t>
            </w:r>
          </w:p>
        </w:tc>
      </w:tr>
      <w:tr w14:paraId="317A5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5E188F08">
            <w:pPr>
              <w:spacing w:line="240" w:lineRule="auto"/>
              <w:ind w:firstLine="0" w:firstLineChars="0"/>
              <w:jc w:val="center"/>
              <w:rPr>
                <w:color w:val="auto"/>
                <w:sz w:val="21"/>
                <w:szCs w:val="21"/>
              </w:rPr>
            </w:pPr>
            <w:r>
              <w:rPr>
                <w:rFonts w:hint="eastAsia"/>
                <w:color w:val="auto"/>
                <w:sz w:val="21"/>
                <w:szCs w:val="21"/>
              </w:rPr>
              <w:t>风险</w:t>
            </w:r>
          </w:p>
        </w:tc>
        <w:tc>
          <w:tcPr>
            <w:tcW w:w="851" w:type="dxa"/>
            <w:vAlign w:val="center"/>
          </w:tcPr>
          <w:p w14:paraId="521E0FF2">
            <w:pPr>
              <w:spacing w:line="240" w:lineRule="auto"/>
              <w:ind w:firstLine="0" w:firstLineChars="0"/>
              <w:jc w:val="center"/>
              <w:rPr>
                <w:color w:val="auto"/>
                <w:sz w:val="21"/>
                <w:szCs w:val="21"/>
              </w:rPr>
            </w:pPr>
            <w:r>
              <w:rPr>
                <w:rFonts w:hint="eastAsia"/>
                <w:color w:val="auto"/>
                <w:sz w:val="21"/>
                <w:szCs w:val="21"/>
              </w:rPr>
              <w:t>厂区</w:t>
            </w:r>
          </w:p>
        </w:tc>
        <w:tc>
          <w:tcPr>
            <w:tcW w:w="1984" w:type="dxa"/>
            <w:vAlign w:val="center"/>
          </w:tcPr>
          <w:p w14:paraId="61A15CFF">
            <w:pPr>
              <w:spacing w:line="240" w:lineRule="auto"/>
              <w:ind w:firstLine="0" w:firstLineChars="0"/>
              <w:jc w:val="center"/>
              <w:rPr>
                <w:color w:val="auto"/>
                <w:sz w:val="21"/>
                <w:szCs w:val="21"/>
              </w:rPr>
            </w:pPr>
            <w:r>
              <w:rPr>
                <w:rFonts w:hint="eastAsia"/>
                <w:color w:val="auto"/>
                <w:sz w:val="21"/>
                <w:szCs w:val="21"/>
              </w:rPr>
              <w:t>构筑物防渗、应急措施</w:t>
            </w:r>
          </w:p>
        </w:tc>
        <w:tc>
          <w:tcPr>
            <w:tcW w:w="4163" w:type="dxa"/>
            <w:vAlign w:val="center"/>
          </w:tcPr>
          <w:p w14:paraId="7BDB8340">
            <w:pPr>
              <w:pStyle w:val="3361"/>
              <w:rPr>
                <w:color w:val="auto"/>
              </w:rPr>
            </w:pPr>
            <w:r>
              <w:rPr>
                <w:rFonts w:hint="eastAsia"/>
                <w:color w:val="auto"/>
              </w:rPr>
              <w:t>①加强管理，定期巡检、调节、保养、维修；严格控制处理单元的相关工艺参数，确保处理效果的稳定性；</w:t>
            </w:r>
          </w:p>
          <w:p w14:paraId="139A799A">
            <w:pPr>
              <w:pStyle w:val="3361"/>
              <w:rPr>
                <w:color w:val="auto"/>
              </w:rPr>
            </w:pPr>
            <w:r>
              <w:rPr>
                <w:rFonts w:hint="eastAsia"/>
                <w:color w:val="auto"/>
              </w:rPr>
              <w:t>②严格按照地下水和土壤污染防治措施要求，对厂区进行防渗分区，并严格落实各区域的分区防渗措施；</w:t>
            </w:r>
          </w:p>
          <w:p w14:paraId="387C0BB2">
            <w:pPr>
              <w:pStyle w:val="3361"/>
              <w:rPr>
                <w:color w:val="auto"/>
              </w:rPr>
            </w:pPr>
            <w:r>
              <w:rPr>
                <w:rFonts w:hint="eastAsia"/>
                <w:color w:val="auto"/>
              </w:rPr>
              <w:t>③污泥贮存库和盐贮存库应按《危险废物贮存污染控制标准》（GB 18597-2023）相关要求设置，采取必要的防风、防晒、防雨、防漏、防渗、防腐以及其他环境污染防治措施；</w:t>
            </w:r>
          </w:p>
          <w:p w14:paraId="475BDB31">
            <w:pPr>
              <w:pStyle w:val="3361"/>
              <w:rPr>
                <w:color w:val="auto"/>
              </w:rPr>
            </w:pPr>
            <w:r>
              <w:rPr>
                <w:rFonts w:hint="eastAsia"/>
                <w:color w:val="auto"/>
              </w:rPr>
              <w:t>④页岩气开采废水卸水和浓水装车过程均采取全密闭管道装卸方式，废水卸车区和浓水装车区设置环形应急收集沟，就近接入废水收集池；罐区设置围堰，</w:t>
            </w:r>
            <w:r>
              <w:rPr>
                <w:rFonts w:hint="eastAsia"/>
                <w:color w:val="auto"/>
                <w:lang w:eastAsia="zh-CN"/>
              </w:rPr>
              <w:t>厂区南侧新建1座事故池</w:t>
            </w:r>
            <w:r>
              <w:rPr>
                <w:rFonts w:hint="eastAsia"/>
                <w:color w:val="auto"/>
              </w:rPr>
              <w:t>，有效容积不低于</w:t>
            </w:r>
            <w:r>
              <w:rPr>
                <w:rFonts w:hint="eastAsia"/>
                <w:color w:val="auto"/>
                <w:lang w:val="en-US" w:eastAsia="zh-CN"/>
              </w:rPr>
              <w:t>1</w:t>
            </w:r>
            <w:r>
              <w:rPr>
                <w:rFonts w:hint="eastAsia"/>
                <w:color w:val="auto"/>
                <w:lang w:val="en-US"/>
              </w:rPr>
              <w:t>000</w:t>
            </w:r>
            <w:r>
              <w:rPr>
                <w:rFonts w:hint="eastAsia"/>
                <w:color w:val="auto"/>
              </w:rPr>
              <w:t>m</w:t>
            </w:r>
            <w:r>
              <w:rPr>
                <w:rFonts w:hint="eastAsia"/>
                <w:color w:val="auto"/>
                <w:vertAlign w:val="superscript"/>
              </w:rPr>
              <w:t>3</w:t>
            </w:r>
            <w:r>
              <w:rPr>
                <w:rFonts w:hint="eastAsia"/>
                <w:color w:val="auto"/>
              </w:rPr>
              <w:t>；</w:t>
            </w:r>
          </w:p>
          <w:p w14:paraId="0B022198">
            <w:pPr>
              <w:spacing w:line="240" w:lineRule="auto"/>
              <w:ind w:firstLine="0" w:firstLineChars="0"/>
              <w:rPr>
                <w:color w:val="auto"/>
                <w:sz w:val="21"/>
                <w:szCs w:val="21"/>
              </w:rPr>
            </w:pPr>
            <w:r>
              <w:rPr>
                <w:rFonts w:hint="eastAsia"/>
                <w:color w:val="auto"/>
                <w:sz w:val="21"/>
                <w:szCs w:val="21"/>
              </w:rPr>
              <w:t>⑤</w:t>
            </w:r>
            <w:r>
              <w:rPr>
                <w:rFonts w:hint="eastAsia"/>
                <w:color w:val="auto"/>
                <w:sz w:val="21"/>
                <w:szCs w:val="21"/>
                <w:lang w:eastAsia="zh-CN"/>
              </w:rPr>
              <w:t>编制突发事件环境风险评估及应急预案</w:t>
            </w:r>
            <w:r>
              <w:rPr>
                <w:rFonts w:hint="eastAsia"/>
                <w:color w:val="auto"/>
                <w:sz w:val="21"/>
                <w:szCs w:val="21"/>
              </w:rPr>
              <w:t>，并报区生态环境局备案。</w:t>
            </w:r>
          </w:p>
        </w:tc>
        <w:tc>
          <w:tcPr>
            <w:tcW w:w="1613" w:type="dxa"/>
            <w:vAlign w:val="center"/>
          </w:tcPr>
          <w:p w14:paraId="657C10A2">
            <w:pPr>
              <w:spacing w:line="240" w:lineRule="auto"/>
              <w:ind w:firstLine="0" w:firstLineChars="0"/>
              <w:jc w:val="center"/>
              <w:rPr>
                <w:color w:val="auto"/>
                <w:sz w:val="21"/>
                <w:szCs w:val="21"/>
              </w:rPr>
            </w:pPr>
            <w:r>
              <w:rPr>
                <w:rFonts w:hint="eastAsia"/>
                <w:color w:val="auto"/>
                <w:sz w:val="21"/>
                <w:szCs w:val="21"/>
              </w:rPr>
              <w:t>满足环保要求</w:t>
            </w:r>
          </w:p>
        </w:tc>
      </w:tr>
      <w:tr w14:paraId="197A1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624FB2E3">
            <w:pPr>
              <w:pStyle w:val="276"/>
              <w:rPr>
                <w:color w:val="auto"/>
              </w:rPr>
            </w:pPr>
            <w:r>
              <w:rPr>
                <w:rFonts w:hint="eastAsia"/>
                <w:color w:val="auto"/>
              </w:rPr>
              <w:t>环境管理</w:t>
            </w:r>
          </w:p>
        </w:tc>
        <w:tc>
          <w:tcPr>
            <w:tcW w:w="8611" w:type="dxa"/>
            <w:gridSpan w:val="4"/>
            <w:vAlign w:val="center"/>
          </w:tcPr>
          <w:p w14:paraId="79988AEA">
            <w:pPr>
              <w:spacing w:line="240" w:lineRule="auto"/>
              <w:ind w:firstLine="0" w:firstLineChars="0"/>
              <w:jc w:val="center"/>
              <w:rPr>
                <w:color w:val="auto"/>
                <w:sz w:val="21"/>
                <w:szCs w:val="21"/>
              </w:rPr>
            </w:pPr>
            <w:r>
              <w:rPr>
                <w:rFonts w:hint="eastAsia"/>
                <w:color w:val="auto"/>
                <w:sz w:val="21"/>
                <w:szCs w:val="21"/>
              </w:rPr>
              <w:t>环保手续齐全，配专职环保人员1名，建立环境管理制度；建立剩余污泥管理台账，详细记录污泥</w:t>
            </w:r>
            <w:r>
              <w:rPr>
                <w:rFonts w:hint="eastAsia"/>
                <w:color w:val="auto"/>
                <w:sz w:val="21"/>
                <w:szCs w:val="21"/>
                <w:lang w:eastAsia="zh-CN"/>
              </w:rPr>
              <w:t>、蒸发结晶盐等</w:t>
            </w:r>
            <w:r>
              <w:rPr>
                <w:rFonts w:hint="eastAsia"/>
                <w:color w:val="auto"/>
                <w:sz w:val="21"/>
                <w:szCs w:val="21"/>
              </w:rPr>
              <w:t>产生量、转移量、处理处置量及其去向等情况。</w:t>
            </w:r>
          </w:p>
        </w:tc>
      </w:tr>
    </w:tbl>
    <w:p w14:paraId="6D0B1070">
      <w:pPr>
        <w:widowControl/>
        <w:adjustRightInd/>
        <w:snapToGrid/>
        <w:spacing w:line="240" w:lineRule="auto"/>
        <w:ind w:firstLine="0" w:firstLineChars="0"/>
        <w:jc w:val="left"/>
        <w:rPr>
          <w:color w:val="auto"/>
          <w:szCs w:val="24"/>
        </w:rPr>
      </w:pPr>
      <w:bookmarkStart w:id="398" w:name="_Toc472509352"/>
      <w:bookmarkStart w:id="399" w:name="_Toc462350367"/>
      <w:r>
        <w:rPr>
          <w:color w:val="auto"/>
          <w:szCs w:val="24"/>
        </w:rPr>
        <w:br w:type="page"/>
      </w:r>
    </w:p>
    <w:p w14:paraId="426D9A75">
      <w:pPr>
        <w:pStyle w:val="3"/>
        <w:numPr>
          <w:ilvl w:val="0"/>
          <w:numId w:val="0"/>
        </w:numPr>
        <w:spacing w:line="360" w:lineRule="auto"/>
        <w:rPr>
          <w:color w:val="auto"/>
          <w:sz w:val="24"/>
          <w:szCs w:val="24"/>
        </w:rPr>
      </w:pPr>
      <w:bookmarkStart w:id="400" w:name="_Toc21185"/>
      <w:r>
        <w:rPr>
          <w:rFonts w:hint="eastAsia"/>
          <w:color w:val="auto"/>
          <w:sz w:val="24"/>
          <w:szCs w:val="24"/>
        </w:rPr>
        <w:t>1</w:t>
      </w:r>
      <w:r>
        <w:rPr>
          <w:color w:val="auto"/>
          <w:sz w:val="24"/>
          <w:szCs w:val="24"/>
        </w:rPr>
        <w:t>1</w:t>
      </w:r>
      <w:r>
        <w:rPr>
          <w:rFonts w:hint="eastAsia"/>
          <w:color w:val="auto"/>
          <w:sz w:val="24"/>
          <w:szCs w:val="24"/>
        </w:rPr>
        <w:t>环境影响评价</w:t>
      </w:r>
      <w:r>
        <w:rPr>
          <w:color w:val="auto"/>
          <w:sz w:val="24"/>
          <w:szCs w:val="24"/>
        </w:rPr>
        <w:t>结论</w:t>
      </w:r>
      <w:bookmarkEnd w:id="398"/>
      <w:bookmarkEnd w:id="399"/>
      <w:r>
        <w:rPr>
          <w:rFonts w:hint="eastAsia"/>
          <w:color w:val="auto"/>
          <w:sz w:val="24"/>
          <w:szCs w:val="24"/>
        </w:rPr>
        <w:t>与建议</w:t>
      </w:r>
      <w:bookmarkEnd w:id="400"/>
    </w:p>
    <w:p w14:paraId="34A7206D">
      <w:pPr>
        <w:pStyle w:val="4"/>
        <w:numPr>
          <w:ilvl w:val="0"/>
          <w:numId w:val="0"/>
        </w:numPr>
        <w:spacing w:line="360" w:lineRule="auto"/>
        <w:rPr>
          <w:color w:val="auto"/>
          <w:szCs w:val="24"/>
        </w:rPr>
      </w:pPr>
      <w:bookmarkStart w:id="401" w:name="_Toc472509353"/>
      <w:bookmarkStart w:id="402" w:name="_Toc18986"/>
      <w:r>
        <w:rPr>
          <w:rFonts w:hint="eastAsia"/>
          <w:color w:val="auto"/>
          <w:szCs w:val="24"/>
        </w:rPr>
        <w:t>1</w:t>
      </w:r>
      <w:r>
        <w:rPr>
          <w:color w:val="auto"/>
          <w:szCs w:val="24"/>
        </w:rPr>
        <w:t>1.1建设概况</w:t>
      </w:r>
      <w:bookmarkEnd w:id="401"/>
      <w:bookmarkEnd w:id="402"/>
    </w:p>
    <w:p w14:paraId="2F2053C0">
      <w:pPr>
        <w:spacing w:line="360" w:lineRule="auto"/>
        <w:ind w:firstLine="480"/>
        <w:rPr>
          <w:color w:val="auto"/>
        </w:rPr>
      </w:pPr>
      <w:r>
        <w:rPr>
          <w:rFonts w:hint="eastAsia"/>
          <w:color w:val="auto"/>
          <w:lang w:val="en-US" w:eastAsia="zh-CN"/>
        </w:rPr>
        <w:t>拟建项目为</w:t>
      </w:r>
      <w:r>
        <w:rPr>
          <w:rFonts w:hint="eastAsia"/>
          <w:color w:val="auto"/>
          <w:szCs w:val="24"/>
          <w:lang w:val="en-US" w:eastAsia="zh-CN"/>
        </w:rPr>
        <w:t>页岩气开采废水集中处理设施</w:t>
      </w:r>
      <w:r>
        <w:rPr>
          <w:rFonts w:hint="eastAsia"/>
          <w:color w:val="auto"/>
          <w:szCs w:val="24"/>
        </w:rPr>
        <w:t>，</w:t>
      </w:r>
      <w:r>
        <w:rPr>
          <w:rFonts w:hint="eastAsia"/>
          <w:color w:val="auto"/>
          <w:szCs w:val="24"/>
          <w:lang w:val="en-US" w:eastAsia="zh-CN"/>
        </w:rPr>
        <w:t>位于</w:t>
      </w:r>
      <w:r>
        <w:rPr>
          <w:rFonts w:hint="eastAsia"/>
          <w:color w:val="auto"/>
          <w:szCs w:val="24"/>
          <w:lang w:eastAsia="zh-CN"/>
        </w:rPr>
        <w:t>忠县工业园乌杨组团，</w:t>
      </w:r>
      <w:r>
        <w:rPr>
          <w:rFonts w:hint="eastAsia"/>
          <w:color w:val="auto"/>
          <w:szCs w:val="24"/>
          <w:lang w:val="en-US" w:eastAsia="zh-CN"/>
        </w:rPr>
        <w:t>主要处理</w:t>
      </w:r>
      <w:r>
        <w:rPr>
          <w:rFonts w:hint="eastAsia"/>
          <w:color w:val="auto"/>
          <w:szCs w:val="24"/>
          <w:lang w:eastAsia="zh-CN"/>
        </w:rPr>
        <w:t>忠县、梁平、垫江、石柱和万州等周边区县</w:t>
      </w:r>
      <w:r>
        <w:rPr>
          <w:rFonts w:hint="eastAsia"/>
          <w:color w:val="auto"/>
          <w:szCs w:val="24"/>
          <w:lang w:val="en-US" w:eastAsia="zh-CN"/>
        </w:rPr>
        <w:t>页岩气开采过程中产生的页岩气开采废水</w:t>
      </w:r>
      <w:r>
        <w:rPr>
          <w:color w:val="auto"/>
          <w:szCs w:val="24"/>
        </w:rPr>
        <w:t>。</w:t>
      </w:r>
      <w:bookmarkStart w:id="403" w:name="_Toc472509355"/>
      <w:r>
        <w:rPr>
          <w:rFonts w:hint="eastAsia"/>
          <w:color w:val="auto"/>
          <w:szCs w:val="24"/>
          <w:lang w:val="en-US" w:eastAsia="zh-CN"/>
        </w:rPr>
        <w:t>设计采用</w:t>
      </w:r>
      <w:r>
        <w:rPr>
          <w:rFonts w:hint="eastAsia" w:cs="Tunga"/>
          <w:color w:val="auto"/>
        </w:rPr>
        <w:t>“</w:t>
      </w:r>
      <w:r>
        <w:rPr>
          <w:rFonts w:hint="eastAsia" w:cs="Tunga"/>
          <w:color w:val="auto"/>
          <w:lang w:eastAsia="zh-CN"/>
        </w:rPr>
        <w:t>调节+气浮+化学除重+高密软化沉淀+芬顿氧化+中和沉淀+精密过滤+DTRO膜浓缩+浓水蒸发结晶</w:t>
      </w:r>
      <w:r>
        <w:rPr>
          <w:rFonts w:hint="eastAsia" w:cs="Tunga"/>
          <w:color w:val="auto"/>
        </w:rPr>
        <w:t>”</w:t>
      </w:r>
      <w:r>
        <w:rPr>
          <w:rFonts w:hint="eastAsia" w:cs="Tunga"/>
          <w:color w:val="auto"/>
          <w:lang w:val="en-US" w:eastAsia="zh-CN"/>
        </w:rPr>
        <w:t>处理工艺，</w:t>
      </w:r>
      <w:r>
        <w:rPr>
          <w:rFonts w:hint="eastAsia"/>
          <w:color w:val="auto"/>
          <w:szCs w:val="24"/>
        </w:rPr>
        <w:t>设计</w:t>
      </w:r>
      <w:r>
        <w:rPr>
          <w:rFonts w:hint="eastAsia" w:cs="Tunga"/>
          <w:color w:val="auto"/>
        </w:rPr>
        <w:t>处理规模2</w:t>
      </w:r>
      <w:r>
        <w:rPr>
          <w:rFonts w:cs="Tunga"/>
          <w:color w:val="auto"/>
        </w:rPr>
        <w:t>0</w:t>
      </w:r>
      <w:r>
        <w:rPr>
          <w:rFonts w:hint="eastAsia" w:cs="Tunga"/>
          <w:color w:val="auto"/>
        </w:rPr>
        <w:t>0</w:t>
      </w:r>
      <w:r>
        <w:rPr>
          <w:rFonts w:cs="Tunga"/>
          <w:color w:val="auto"/>
        </w:rPr>
        <w:t>0</w:t>
      </w:r>
      <w:r>
        <w:rPr>
          <w:rFonts w:hint="eastAsia" w:cs="Tunga"/>
          <w:color w:val="auto"/>
        </w:rPr>
        <w:t>m</w:t>
      </w:r>
      <w:r>
        <w:rPr>
          <w:rFonts w:hint="eastAsia" w:cs="Tunga"/>
          <w:color w:val="auto"/>
          <w:vertAlign w:val="superscript"/>
        </w:rPr>
        <w:t>3</w:t>
      </w:r>
      <w:r>
        <w:rPr>
          <w:rFonts w:hint="eastAsia" w:cs="Tunga"/>
          <w:color w:val="auto"/>
        </w:rPr>
        <w:t>/d，</w:t>
      </w:r>
      <w:r>
        <w:rPr>
          <w:rFonts w:hint="eastAsia"/>
          <w:bCs/>
          <w:color w:val="auto"/>
        </w:rPr>
        <w:t>出水水质达到</w:t>
      </w:r>
      <w:r>
        <w:rPr>
          <w:rFonts w:hint="eastAsia"/>
          <w:color w:val="auto"/>
          <w:lang w:eastAsia="zh-CN"/>
        </w:rPr>
        <w:t>《页岩气开采水污染物排放标准》（DB50/1806-2025）间接排放标准限值</w:t>
      </w:r>
      <w:r>
        <w:rPr>
          <w:rFonts w:hint="eastAsia"/>
          <w:bCs/>
          <w:color w:val="auto"/>
          <w:lang w:eastAsia="zh-CN"/>
        </w:rPr>
        <w:t>后直接接入乌杨组团园区污水处理厂</w:t>
      </w:r>
      <w:r>
        <w:rPr>
          <w:rFonts w:hint="eastAsia"/>
          <w:bCs/>
          <w:color w:val="auto"/>
        </w:rPr>
        <w:t>进行深度处理达《城镇污水处理厂污染物排放标准》（GB18918-2002）一级 A 标准后排入</w:t>
      </w:r>
      <w:r>
        <w:rPr>
          <w:rFonts w:hint="eastAsia"/>
          <w:bCs/>
          <w:color w:val="auto"/>
          <w:lang w:eastAsia="zh-CN"/>
        </w:rPr>
        <w:t>长江</w:t>
      </w:r>
      <w:r>
        <w:rPr>
          <w:color w:val="auto"/>
        </w:rPr>
        <w:t>。</w:t>
      </w:r>
    </w:p>
    <w:p w14:paraId="678B9C26">
      <w:pPr>
        <w:spacing w:line="360" w:lineRule="auto"/>
        <w:ind w:firstLine="480"/>
        <w:rPr>
          <w:color w:val="auto"/>
        </w:rPr>
      </w:pPr>
      <w:r>
        <w:rPr>
          <w:rFonts w:hint="eastAsia"/>
          <w:color w:val="auto"/>
          <w:szCs w:val="24"/>
        </w:rPr>
        <w:t>总投资</w:t>
      </w:r>
      <w:r>
        <w:rPr>
          <w:rFonts w:hint="eastAsia"/>
          <w:color w:val="auto"/>
          <w:lang w:val="en-US" w:eastAsia="zh-CN"/>
        </w:rPr>
        <w:t>2</w:t>
      </w:r>
      <w:r>
        <w:rPr>
          <w:rFonts w:hint="eastAsia"/>
          <w:color w:val="auto"/>
        </w:rPr>
        <w:t>000</w:t>
      </w:r>
      <w:r>
        <w:rPr>
          <w:color w:val="auto"/>
        </w:rPr>
        <w:t>万元</w:t>
      </w:r>
      <w:r>
        <w:rPr>
          <w:rFonts w:hint="eastAsia"/>
          <w:color w:val="auto"/>
          <w:szCs w:val="24"/>
        </w:rPr>
        <w:t>，其中环保投资约</w:t>
      </w:r>
      <w:r>
        <w:rPr>
          <w:rFonts w:hint="eastAsia"/>
          <w:color w:val="auto"/>
          <w:szCs w:val="24"/>
          <w:lang w:val="en-US" w:eastAsia="zh-CN"/>
        </w:rPr>
        <w:t>15</w:t>
      </w:r>
      <w:r>
        <w:rPr>
          <w:color w:val="auto"/>
          <w:szCs w:val="24"/>
        </w:rPr>
        <w:t>0</w:t>
      </w:r>
      <w:r>
        <w:rPr>
          <w:rFonts w:hint="eastAsia"/>
          <w:color w:val="auto"/>
          <w:szCs w:val="24"/>
        </w:rPr>
        <w:t>万元，占总投资的</w:t>
      </w:r>
      <w:r>
        <w:rPr>
          <w:rFonts w:hint="eastAsia"/>
          <w:color w:val="auto"/>
          <w:szCs w:val="24"/>
          <w:lang w:val="en-US" w:eastAsia="zh-CN"/>
        </w:rPr>
        <w:t>7.5</w:t>
      </w:r>
      <w:r>
        <w:rPr>
          <w:color w:val="auto"/>
          <w:szCs w:val="24"/>
        </w:rPr>
        <w:t>%</w:t>
      </w:r>
      <w:r>
        <w:rPr>
          <w:rFonts w:hint="eastAsia"/>
          <w:color w:val="auto"/>
          <w:szCs w:val="24"/>
        </w:rPr>
        <w:t>。</w:t>
      </w:r>
    </w:p>
    <w:p w14:paraId="49EE1BA8">
      <w:pPr>
        <w:pStyle w:val="4"/>
        <w:numPr>
          <w:ilvl w:val="0"/>
          <w:numId w:val="0"/>
        </w:numPr>
        <w:spacing w:line="360" w:lineRule="auto"/>
        <w:rPr>
          <w:color w:val="auto"/>
          <w:szCs w:val="24"/>
        </w:rPr>
      </w:pPr>
      <w:bookmarkStart w:id="404" w:name="_Toc27203"/>
      <w:r>
        <w:rPr>
          <w:rFonts w:hint="eastAsia"/>
          <w:color w:val="auto"/>
          <w:szCs w:val="24"/>
        </w:rPr>
        <w:t>1</w:t>
      </w:r>
      <w:r>
        <w:rPr>
          <w:color w:val="auto"/>
          <w:szCs w:val="24"/>
        </w:rPr>
        <w:t>1.2环境质量现状</w:t>
      </w:r>
      <w:bookmarkEnd w:id="403"/>
      <w:bookmarkEnd w:id="404"/>
    </w:p>
    <w:p w14:paraId="4AD0E52B">
      <w:pPr>
        <w:spacing w:line="360" w:lineRule="auto"/>
        <w:ind w:firstLine="480"/>
        <w:rPr>
          <w:color w:val="auto"/>
          <w:szCs w:val="24"/>
        </w:rPr>
      </w:pPr>
      <w:r>
        <w:rPr>
          <w:color w:val="auto"/>
          <w:szCs w:val="24"/>
        </w:rPr>
        <w:t>（1）环境空气</w:t>
      </w:r>
    </w:p>
    <w:p w14:paraId="104EFB0A">
      <w:pPr>
        <w:spacing w:line="360" w:lineRule="auto"/>
        <w:ind w:firstLine="480"/>
        <w:rPr>
          <w:color w:val="auto"/>
          <w:szCs w:val="24"/>
        </w:rPr>
      </w:pPr>
      <w:r>
        <w:rPr>
          <w:rFonts w:hint="eastAsia"/>
          <w:color w:val="auto"/>
          <w:szCs w:val="22"/>
        </w:rPr>
        <w:t>根据</w:t>
      </w:r>
      <w:r>
        <w:rPr>
          <w:rFonts w:hint="eastAsia"/>
          <w:color w:val="auto"/>
          <w:szCs w:val="24"/>
        </w:rPr>
        <w:t>《202</w:t>
      </w:r>
      <w:r>
        <w:rPr>
          <w:rFonts w:hint="eastAsia"/>
          <w:color w:val="auto"/>
          <w:szCs w:val="24"/>
          <w:lang w:val="en-US" w:eastAsia="zh-CN"/>
        </w:rPr>
        <w:t>4</w:t>
      </w:r>
      <w:r>
        <w:rPr>
          <w:rFonts w:hint="eastAsia"/>
          <w:color w:val="auto"/>
          <w:szCs w:val="24"/>
        </w:rPr>
        <w:t>年重庆市生态环境状况公报》</w:t>
      </w:r>
      <w:r>
        <w:rPr>
          <w:rFonts w:hint="eastAsia"/>
          <w:color w:val="auto"/>
          <w:szCs w:val="22"/>
        </w:rPr>
        <w:t>中的数据和结论</w:t>
      </w:r>
      <w:r>
        <w:rPr>
          <w:color w:val="auto"/>
          <w:szCs w:val="22"/>
        </w:rPr>
        <w:t>，</w:t>
      </w:r>
      <w:r>
        <w:rPr>
          <w:color w:val="auto"/>
          <w:szCs w:val="24"/>
        </w:rPr>
        <w:t>202</w:t>
      </w:r>
      <w:r>
        <w:rPr>
          <w:rFonts w:hint="eastAsia"/>
          <w:color w:val="auto"/>
          <w:szCs w:val="24"/>
          <w:lang w:val="en-US" w:eastAsia="zh-CN"/>
        </w:rPr>
        <w:t>4</w:t>
      </w:r>
      <w:r>
        <w:rPr>
          <w:color w:val="auto"/>
          <w:szCs w:val="24"/>
        </w:rPr>
        <w:t>年</w:t>
      </w:r>
      <w:r>
        <w:rPr>
          <w:rFonts w:hint="eastAsia"/>
          <w:color w:val="auto"/>
          <w:szCs w:val="24"/>
          <w:lang w:eastAsia="zh-CN"/>
        </w:rPr>
        <w:t>忠县</w:t>
      </w:r>
      <w:r>
        <w:rPr>
          <w:color w:val="auto"/>
          <w:szCs w:val="24"/>
        </w:rPr>
        <w:t>空气中</w:t>
      </w:r>
      <w:r>
        <w:rPr>
          <w:color w:val="auto"/>
          <w:kern w:val="0"/>
          <w:szCs w:val="24"/>
        </w:rPr>
        <w:t>SO</w:t>
      </w:r>
      <w:r>
        <w:rPr>
          <w:color w:val="auto"/>
          <w:kern w:val="0"/>
          <w:szCs w:val="24"/>
          <w:vertAlign w:val="subscript"/>
        </w:rPr>
        <w:t>2</w:t>
      </w:r>
      <w:r>
        <w:rPr>
          <w:color w:val="auto"/>
          <w:kern w:val="0"/>
          <w:szCs w:val="24"/>
        </w:rPr>
        <w:t>、NO</w:t>
      </w:r>
      <w:r>
        <w:rPr>
          <w:color w:val="auto"/>
          <w:kern w:val="0"/>
          <w:szCs w:val="24"/>
          <w:vertAlign w:val="subscript"/>
        </w:rPr>
        <w:t>2</w:t>
      </w:r>
      <w:r>
        <w:rPr>
          <w:color w:val="auto"/>
          <w:kern w:val="0"/>
          <w:szCs w:val="24"/>
        </w:rPr>
        <w:t>、PM</w:t>
      </w:r>
      <w:r>
        <w:rPr>
          <w:color w:val="auto"/>
          <w:kern w:val="0"/>
          <w:szCs w:val="24"/>
          <w:vertAlign w:val="subscript"/>
        </w:rPr>
        <w:t>10</w:t>
      </w:r>
      <w:r>
        <w:rPr>
          <w:color w:val="auto"/>
          <w:kern w:val="0"/>
          <w:szCs w:val="24"/>
        </w:rPr>
        <w:t>、</w:t>
      </w:r>
      <w:r>
        <w:rPr>
          <w:rFonts w:hint="eastAsia"/>
          <w:color w:val="auto"/>
          <w:szCs w:val="24"/>
        </w:rPr>
        <w:t>PM</w:t>
      </w:r>
      <w:r>
        <w:rPr>
          <w:rFonts w:hint="eastAsia"/>
          <w:color w:val="auto"/>
          <w:szCs w:val="24"/>
          <w:vertAlign w:val="subscript"/>
        </w:rPr>
        <w:t>2.5</w:t>
      </w:r>
      <w:r>
        <w:rPr>
          <w:rFonts w:hint="eastAsia"/>
          <w:color w:val="auto"/>
          <w:kern w:val="0"/>
          <w:szCs w:val="24"/>
          <w:lang w:eastAsia="zh-CN"/>
        </w:rPr>
        <w:t>、</w:t>
      </w:r>
      <w:r>
        <w:rPr>
          <w:color w:val="auto"/>
          <w:kern w:val="0"/>
          <w:szCs w:val="24"/>
        </w:rPr>
        <w:t>O</w:t>
      </w:r>
      <w:r>
        <w:rPr>
          <w:color w:val="auto"/>
          <w:kern w:val="0"/>
          <w:szCs w:val="24"/>
          <w:vertAlign w:val="subscript"/>
        </w:rPr>
        <w:t>3</w:t>
      </w:r>
      <w:r>
        <w:rPr>
          <w:color w:val="auto"/>
          <w:kern w:val="0"/>
          <w:szCs w:val="24"/>
        </w:rPr>
        <w:t>、CO均满足《环境空气质量标准》（GB3095-2012）中二级标准要求</w:t>
      </w:r>
      <w:r>
        <w:rPr>
          <w:rFonts w:hint="eastAsia"/>
          <w:color w:val="auto"/>
          <w:kern w:val="0"/>
          <w:szCs w:val="24"/>
        </w:rPr>
        <w:t>，据此判断</w:t>
      </w:r>
      <w:r>
        <w:rPr>
          <w:rFonts w:hint="eastAsia"/>
          <w:color w:val="auto"/>
          <w:lang w:eastAsia="zh-CN"/>
        </w:rPr>
        <w:t>忠县</w:t>
      </w:r>
      <w:r>
        <w:rPr>
          <w:rFonts w:hint="eastAsia"/>
          <w:color w:val="auto"/>
          <w:lang w:val="en-US" w:eastAsia="zh-CN"/>
        </w:rPr>
        <w:t>2024年</w:t>
      </w:r>
      <w:r>
        <w:rPr>
          <w:color w:val="auto"/>
          <w:kern w:val="0"/>
          <w:szCs w:val="24"/>
        </w:rPr>
        <w:t>属于</w:t>
      </w:r>
      <w:r>
        <w:rPr>
          <w:rFonts w:hint="eastAsia"/>
          <w:color w:val="auto"/>
          <w:kern w:val="0"/>
          <w:szCs w:val="24"/>
        </w:rPr>
        <w:t>环境空气</w:t>
      </w:r>
      <w:r>
        <w:rPr>
          <w:color w:val="auto"/>
          <w:kern w:val="0"/>
          <w:szCs w:val="24"/>
        </w:rPr>
        <w:t>达标区</w:t>
      </w:r>
      <w:r>
        <w:rPr>
          <w:rFonts w:hint="eastAsia"/>
          <w:color w:val="auto"/>
          <w:szCs w:val="24"/>
        </w:rPr>
        <w:t>；TVOC8小时平均浓度、氨、硫化氢小时平均浓度均</w:t>
      </w:r>
      <w:r>
        <w:rPr>
          <w:color w:val="auto"/>
          <w:szCs w:val="24"/>
        </w:rPr>
        <w:t>满足</w:t>
      </w:r>
      <w:r>
        <w:rPr>
          <w:rFonts w:hint="eastAsia"/>
          <w:color w:val="auto"/>
          <w:szCs w:val="24"/>
        </w:rPr>
        <w:t>《环境影响评价技术导则</w:t>
      </w:r>
      <w:r>
        <w:rPr>
          <w:color w:val="auto"/>
          <w:szCs w:val="24"/>
        </w:rPr>
        <w:t>大气环境</w:t>
      </w:r>
      <w:r>
        <w:rPr>
          <w:rFonts w:hint="eastAsia"/>
          <w:color w:val="auto"/>
          <w:szCs w:val="24"/>
        </w:rPr>
        <w:t>》</w:t>
      </w:r>
      <w:r>
        <w:rPr>
          <w:color w:val="auto"/>
          <w:szCs w:val="24"/>
        </w:rPr>
        <w:t>（HJ2.2-2018）</w:t>
      </w:r>
      <w:r>
        <w:rPr>
          <w:color w:val="auto"/>
        </w:rPr>
        <w:t>中</w:t>
      </w:r>
      <w:r>
        <w:rPr>
          <w:rFonts w:hint="eastAsia"/>
          <w:color w:val="auto"/>
        </w:rPr>
        <w:t>附录D中其他污染物空气质量浓度参考限值</w:t>
      </w:r>
      <w:r>
        <w:rPr>
          <w:color w:val="auto"/>
        </w:rPr>
        <w:t>要求</w:t>
      </w:r>
      <w:r>
        <w:rPr>
          <w:rFonts w:hint="eastAsia"/>
          <w:color w:val="auto"/>
        </w:rPr>
        <w:t>，</w:t>
      </w:r>
      <w:r>
        <w:rPr>
          <w:color w:val="auto"/>
        </w:rPr>
        <w:t>非甲烷总烃</w:t>
      </w:r>
      <w:r>
        <w:rPr>
          <w:rFonts w:hint="eastAsia"/>
          <w:color w:val="auto"/>
          <w:szCs w:val="24"/>
        </w:rPr>
        <w:t>小时平均浓度</w:t>
      </w:r>
      <w:r>
        <w:rPr>
          <w:color w:val="auto"/>
        </w:rPr>
        <w:t>满足</w:t>
      </w:r>
      <w:r>
        <w:rPr>
          <w:rFonts w:hint="eastAsia"/>
          <w:color w:val="auto"/>
        </w:rPr>
        <w:t>参照的</w:t>
      </w:r>
      <w:r>
        <w:rPr>
          <w:color w:val="auto"/>
        </w:rPr>
        <w:t>《河北省地方标准 环境空气质量 非甲烷总烃限值》（DB13/1577-2012），</w:t>
      </w:r>
      <w:r>
        <w:rPr>
          <w:rFonts w:hint="eastAsia"/>
          <w:color w:val="auto"/>
        </w:rPr>
        <w:t>环境空气质量良好，不会制约项目的建设</w:t>
      </w:r>
      <w:r>
        <w:rPr>
          <w:color w:val="auto"/>
        </w:rPr>
        <w:t>。</w:t>
      </w:r>
    </w:p>
    <w:p w14:paraId="05B653DE">
      <w:pPr>
        <w:spacing w:line="360" w:lineRule="auto"/>
        <w:ind w:firstLine="480"/>
        <w:rPr>
          <w:color w:val="auto"/>
          <w:szCs w:val="24"/>
        </w:rPr>
      </w:pPr>
      <w:r>
        <w:rPr>
          <w:rFonts w:hint="eastAsia"/>
          <w:color w:val="auto"/>
          <w:szCs w:val="24"/>
        </w:rPr>
        <w:t>（2）</w:t>
      </w:r>
      <w:r>
        <w:rPr>
          <w:color w:val="auto"/>
          <w:szCs w:val="24"/>
        </w:rPr>
        <w:t>地表水</w:t>
      </w:r>
    </w:p>
    <w:p w14:paraId="77017BE4">
      <w:pPr>
        <w:widowControl/>
        <w:adjustRightInd/>
        <w:snapToGrid/>
        <w:spacing w:line="360" w:lineRule="auto"/>
        <w:ind w:firstLine="480"/>
        <w:jc w:val="left"/>
        <w:rPr>
          <w:color w:val="auto"/>
          <w:lang w:val="zh-CN"/>
        </w:rPr>
      </w:pPr>
      <w:r>
        <w:rPr>
          <w:rFonts w:hint="eastAsia"/>
          <w:color w:val="auto"/>
          <w:szCs w:val="24"/>
        </w:rPr>
        <w:t>监测结果表明，</w:t>
      </w:r>
      <w:r>
        <w:rPr>
          <w:rFonts w:hint="eastAsia"/>
          <w:color w:val="auto"/>
          <w:kern w:val="0"/>
          <w:szCs w:val="24"/>
          <w:lang w:eastAsia="zh-CN"/>
        </w:rPr>
        <w:t>长江</w:t>
      </w:r>
      <w:r>
        <w:rPr>
          <w:rFonts w:hint="eastAsia"/>
          <w:color w:val="auto"/>
          <w:kern w:val="0"/>
          <w:szCs w:val="24"/>
        </w:rPr>
        <w:t>监测断面各监测指标主要包括pH、溶解氧、化学需氧量、五日生化需氧量、氨氮、总磷、铜、锌、氟化物、硒、砷、汞、镉、铬（六价）、铅、氰化物、挥发酚、石油类、阴离子表面活性剂</w:t>
      </w:r>
      <w:r>
        <w:rPr>
          <w:rFonts w:hint="eastAsia"/>
          <w:color w:val="auto"/>
          <w:kern w:val="0"/>
          <w:szCs w:val="24"/>
          <w:lang w:eastAsia="zh-CN"/>
        </w:rPr>
        <w:t>和</w:t>
      </w:r>
      <w:r>
        <w:rPr>
          <w:rFonts w:hint="eastAsia"/>
          <w:color w:val="auto"/>
          <w:kern w:val="0"/>
          <w:szCs w:val="24"/>
        </w:rPr>
        <w:t>硫化物等均满足《地表水环境质量标准》（GB3838-2002）Ⅲ类标准的要求</w:t>
      </w:r>
      <w:r>
        <w:rPr>
          <w:rFonts w:hint="eastAsia"/>
          <w:color w:val="auto"/>
          <w:lang w:val="zh-CN"/>
        </w:rPr>
        <w:t>。</w:t>
      </w:r>
    </w:p>
    <w:p w14:paraId="5C0F35D4">
      <w:pPr>
        <w:spacing w:line="360" w:lineRule="auto"/>
        <w:ind w:firstLine="480"/>
        <w:rPr>
          <w:color w:val="auto"/>
          <w:szCs w:val="24"/>
        </w:rPr>
      </w:pPr>
      <w:r>
        <w:rPr>
          <w:rFonts w:hint="eastAsia"/>
          <w:color w:val="auto"/>
          <w:szCs w:val="24"/>
        </w:rPr>
        <w:t>（3）</w:t>
      </w:r>
      <w:r>
        <w:rPr>
          <w:color w:val="auto"/>
          <w:szCs w:val="24"/>
        </w:rPr>
        <w:t>地下水</w:t>
      </w:r>
    </w:p>
    <w:p w14:paraId="2422E015">
      <w:pPr>
        <w:spacing w:line="360" w:lineRule="auto"/>
        <w:ind w:firstLine="480"/>
        <w:rPr>
          <w:snapToGrid w:val="0"/>
          <w:color w:val="auto"/>
          <w:kern w:val="0"/>
          <w:szCs w:val="24"/>
        </w:rPr>
      </w:pPr>
      <w:r>
        <w:rPr>
          <w:rFonts w:hint="eastAsia"/>
          <w:color w:val="auto"/>
          <w:szCs w:val="24"/>
        </w:rPr>
        <w:t>监测结果表明，</w:t>
      </w:r>
      <w:r>
        <w:rPr>
          <w:rFonts w:hint="eastAsia"/>
          <w:color w:val="auto"/>
        </w:rPr>
        <w:t>地下水监测点各监测因子均满足《地下水质量标准》</w:t>
      </w:r>
      <w:r>
        <w:rPr>
          <w:rFonts w:hint="eastAsia"/>
          <w:color w:val="auto"/>
          <w:lang w:eastAsia="zh-CN"/>
        </w:rPr>
        <w:t>（</w:t>
      </w:r>
      <w:r>
        <w:rPr>
          <w:rFonts w:hint="eastAsia"/>
          <w:color w:val="auto"/>
        </w:rPr>
        <w:t>GB/T14848-2017</w:t>
      </w:r>
      <w:r>
        <w:rPr>
          <w:rFonts w:hint="eastAsia"/>
          <w:color w:val="auto"/>
          <w:lang w:eastAsia="zh-CN"/>
        </w:rPr>
        <w:t>）</w:t>
      </w:r>
      <w:r>
        <w:rPr>
          <w:rFonts w:hint="eastAsia"/>
          <w:color w:val="auto"/>
        </w:rPr>
        <w:t>中Ⅲ类标准限值要求</w:t>
      </w:r>
      <w:r>
        <w:rPr>
          <w:rFonts w:hint="eastAsia"/>
          <w:snapToGrid w:val="0"/>
          <w:color w:val="auto"/>
          <w:kern w:val="0"/>
          <w:szCs w:val="24"/>
        </w:rPr>
        <w:t>。</w:t>
      </w:r>
    </w:p>
    <w:p w14:paraId="2B689400">
      <w:pPr>
        <w:spacing w:line="360" w:lineRule="auto"/>
        <w:ind w:firstLine="480"/>
        <w:rPr>
          <w:color w:val="auto"/>
          <w:szCs w:val="24"/>
        </w:rPr>
      </w:pPr>
      <w:r>
        <w:rPr>
          <w:rFonts w:hint="eastAsia"/>
          <w:color w:val="auto"/>
          <w:szCs w:val="24"/>
        </w:rPr>
        <w:t>（4）</w:t>
      </w:r>
      <w:r>
        <w:rPr>
          <w:color w:val="auto"/>
          <w:szCs w:val="24"/>
        </w:rPr>
        <w:t>声环境</w:t>
      </w:r>
    </w:p>
    <w:p w14:paraId="3AD7CFBE">
      <w:pPr>
        <w:spacing w:line="360" w:lineRule="auto"/>
        <w:ind w:firstLine="480"/>
        <w:rPr>
          <w:color w:val="auto"/>
        </w:rPr>
      </w:pPr>
      <w:r>
        <w:rPr>
          <w:rFonts w:hint="eastAsia"/>
          <w:color w:val="auto"/>
        </w:rPr>
        <w:t>根据监测结果，项目各厂界处声环境质量均满足《声环境质量标准》（GB 3096-2008）中3类声环境功能区噪声限值，评价区域声环境质量现状较好。</w:t>
      </w:r>
    </w:p>
    <w:p w14:paraId="07ACE368">
      <w:pPr>
        <w:spacing w:line="360" w:lineRule="auto"/>
        <w:ind w:firstLine="480"/>
        <w:rPr>
          <w:color w:val="auto"/>
          <w:szCs w:val="24"/>
        </w:rPr>
      </w:pPr>
      <w:r>
        <w:rPr>
          <w:rFonts w:hint="eastAsia"/>
          <w:color w:val="auto"/>
          <w:szCs w:val="24"/>
        </w:rPr>
        <w:t>（5）土壤</w:t>
      </w:r>
    </w:p>
    <w:p w14:paraId="77613756">
      <w:pPr>
        <w:spacing w:line="360" w:lineRule="auto"/>
        <w:ind w:firstLine="480"/>
        <w:rPr>
          <w:color w:val="auto"/>
          <w:szCs w:val="24"/>
        </w:rPr>
      </w:pPr>
      <w:r>
        <w:rPr>
          <w:rFonts w:hint="eastAsia"/>
          <w:color w:val="auto"/>
          <w:szCs w:val="24"/>
        </w:rPr>
        <w:t>根据监测结果可知，</w:t>
      </w:r>
      <w:r>
        <w:rPr>
          <w:rFonts w:hint="eastAsia"/>
          <w:color w:val="auto"/>
        </w:rPr>
        <w:t>项目地块内各</w:t>
      </w:r>
      <w:r>
        <w:rPr>
          <w:color w:val="auto"/>
        </w:rPr>
        <w:t>土壤环境质量现状监测点的各监测因子浓度均低于</w:t>
      </w:r>
      <w:r>
        <w:rPr>
          <w:rFonts w:hint="eastAsia"/>
          <w:color w:val="auto"/>
        </w:rPr>
        <w:t>《土壤环境质量建设用地土壤污染风险管控标准（试行）》（GB36600-2018）第二类用地筛选值，</w:t>
      </w:r>
      <w:r>
        <w:rPr>
          <w:color w:val="auto"/>
        </w:rPr>
        <w:t>区域</w:t>
      </w:r>
      <w:r>
        <w:rPr>
          <w:rFonts w:hint="eastAsia"/>
          <w:color w:val="auto"/>
        </w:rPr>
        <w:t>土壤环境质量现状较好</w:t>
      </w:r>
      <w:r>
        <w:rPr>
          <w:color w:val="auto"/>
          <w:szCs w:val="24"/>
        </w:rPr>
        <w:t>。</w:t>
      </w:r>
    </w:p>
    <w:p w14:paraId="18C2FF78">
      <w:pPr>
        <w:pStyle w:val="4"/>
        <w:numPr>
          <w:ilvl w:val="0"/>
          <w:numId w:val="0"/>
        </w:numPr>
        <w:spacing w:line="360" w:lineRule="auto"/>
        <w:rPr>
          <w:color w:val="auto"/>
          <w:szCs w:val="24"/>
          <w:lang w:val="en-US"/>
        </w:rPr>
      </w:pPr>
      <w:bookmarkStart w:id="405" w:name="_Toc7469"/>
      <w:r>
        <w:rPr>
          <w:color w:val="auto"/>
          <w:szCs w:val="24"/>
          <w:lang w:val="en-US"/>
        </w:rPr>
        <w:t>11.3</w:t>
      </w:r>
      <w:r>
        <w:rPr>
          <w:color w:val="auto"/>
          <w:szCs w:val="24"/>
        </w:rPr>
        <w:t>污染物排放总量</w:t>
      </w:r>
      <w:bookmarkEnd w:id="405"/>
    </w:p>
    <w:p w14:paraId="443CD6D5">
      <w:pPr>
        <w:pStyle w:val="35"/>
        <w:spacing w:line="360" w:lineRule="auto"/>
        <w:ind w:left="0" w:leftChars="0" w:firstLine="480"/>
        <w:rPr>
          <w:color w:val="auto"/>
          <w:szCs w:val="24"/>
        </w:rPr>
      </w:pPr>
      <w:bookmarkStart w:id="406" w:name="_Toc472509357"/>
      <w:r>
        <w:rPr>
          <w:color w:val="auto"/>
          <w:szCs w:val="24"/>
        </w:rPr>
        <w:t>拟建项目完成后污染物排放总量如下：</w:t>
      </w:r>
    </w:p>
    <w:p w14:paraId="0028BC8C">
      <w:pPr>
        <w:pStyle w:val="35"/>
        <w:spacing w:line="360" w:lineRule="auto"/>
        <w:ind w:left="0" w:leftChars="0" w:firstLine="480"/>
        <w:rPr>
          <w:color w:val="auto"/>
          <w:szCs w:val="24"/>
        </w:rPr>
      </w:pPr>
      <w:r>
        <w:rPr>
          <w:color w:val="auto"/>
          <w:szCs w:val="24"/>
        </w:rPr>
        <w:t>（1）废水</w:t>
      </w:r>
    </w:p>
    <w:p w14:paraId="0E4B4C31">
      <w:pPr>
        <w:spacing w:line="360" w:lineRule="auto"/>
        <w:ind w:firstLine="480"/>
        <w:rPr>
          <w:color w:val="auto"/>
        </w:rPr>
      </w:pPr>
      <w:r>
        <w:rPr>
          <w:rFonts w:hint="eastAsia"/>
          <w:color w:val="auto"/>
        </w:rPr>
        <w:t>拟建项目废水排放执行</w:t>
      </w:r>
      <w:r>
        <w:rPr>
          <w:rFonts w:hint="eastAsia"/>
          <w:color w:val="auto"/>
          <w:lang w:eastAsia="zh-CN"/>
        </w:rPr>
        <w:t>《页岩气开采水污染物排放标准》（DB50/1806-2025）间接排放标准限值后直接接入乌杨组团园区污水处理厂</w:t>
      </w:r>
      <w:r>
        <w:rPr>
          <w:rFonts w:hint="eastAsia"/>
          <w:color w:val="auto"/>
        </w:rPr>
        <w:t>进行深度处理达《城镇污水处理厂污染物排放标准》（GB18918-2002）一级 A 标准后排入</w:t>
      </w:r>
      <w:r>
        <w:rPr>
          <w:rFonts w:hint="eastAsia"/>
          <w:color w:val="auto"/>
          <w:lang w:eastAsia="zh-CN"/>
        </w:rPr>
        <w:t>长江</w:t>
      </w:r>
      <w:r>
        <w:rPr>
          <w:rFonts w:hint="eastAsia"/>
          <w:color w:val="auto"/>
        </w:rPr>
        <w:t>。</w:t>
      </w:r>
    </w:p>
    <w:p w14:paraId="22C1BF11">
      <w:pPr>
        <w:spacing w:line="360" w:lineRule="auto"/>
        <w:ind w:firstLine="480"/>
        <w:rPr>
          <w:color w:val="auto"/>
        </w:rPr>
      </w:pPr>
      <w:r>
        <w:rPr>
          <w:rFonts w:hint="eastAsia"/>
          <w:color w:val="auto"/>
          <w:lang w:eastAsia="zh-CN"/>
        </w:rPr>
        <w:t>水污染物排放总量</w:t>
      </w:r>
      <w:r>
        <w:rPr>
          <w:rFonts w:hint="eastAsia"/>
          <w:color w:val="auto"/>
        </w:rPr>
        <w:t>：</w:t>
      </w:r>
      <w:r>
        <w:rPr>
          <w:color w:val="auto"/>
        </w:rPr>
        <w:t>COD</w:t>
      </w:r>
      <w:r>
        <w:rPr>
          <w:rFonts w:hint="eastAsia"/>
          <w:color w:val="auto"/>
        </w:rPr>
        <w:t>：</w:t>
      </w:r>
      <w:r>
        <w:rPr>
          <w:rFonts w:hint="eastAsia"/>
          <w:color w:val="auto"/>
          <w:lang w:eastAsia="zh-CN"/>
        </w:rPr>
        <w:t>29.37t/a</w:t>
      </w:r>
      <w:r>
        <w:rPr>
          <w:color w:val="auto"/>
        </w:rPr>
        <w:t>；NH</w:t>
      </w:r>
      <w:r>
        <w:rPr>
          <w:color w:val="auto"/>
          <w:vertAlign w:val="subscript"/>
        </w:rPr>
        <w:t>3</w:t>
      </w:r>
      <w:r>
        <w:rPr>
          <w:color w:val="auto"/>
        </w:rPr>
        <w:t>-N</w:t>
      </w:r>
      <w:r>
        <w:rPr>
          <w:rFonts w:hint="eastAsia"/>
          <w:color w:val="auto"/>
        </w:rPr>
        <w:t>：</w:t>
      </w:r>
      <w:r>
        <w:rPr>
          <w:rFonts w:eastAsia="等线"/>
          <w:color w:val="auto"/>
          <w:szCs w:val="21"/>
        </w:rPr>
        <w:t>4.7</w:t>
      </w:r>
      <w:r>
        <w:rPr>
          <w:rFonts w:hint="eastAsia" w:eastAsia="等线"/>
          <w:color w:val="auto"/>
          <w:szCs w:val="21"/>
          <w:lang w:val="en-US" w:eastAsia="zh-CN"/>
        </w:rPr>
        <w:t>0</w:t>
      </w:r>
      <w:r>
        <w:rPr>
          <w:color w:val="auto"/>
        </w:rPr>
        <w:t>t/a。</w:t>
      </w:r>
    </w:p>
    <w:p w14:paraId="4AA533DF">
      <w:pPr>
        <w:pStyle w:val="35"/>
        <w:spacing w:line="360" w:lineRule="auto"/>
        <w:ind w:left="0" w:leftChars="0" w:firstLine="480"/>
        <w:rPr>
          <w:color w:val="auto"/>
          <w:szCs w:val="24"/>
          <w:lang w:val="en-US"/>
        </w:rPr>
      </w:pPr>
      <w:r>
        <w:rPr>
          <w:rFonts w:hint="eastAsia"/>
          <w:color w:val="auto"/>
          <w:szCs w:val="24"/>
          <w:lang w:val="en-US"/>
        </w:rPr>
        <w:t>（2）</w:t>
      </w:r>
      <w:r>
        <w:rPr>
          <w:rFonts w:hint="eastAsia"/>
          <w:color w:val="auto"/>
          <w:szCs w:val="24"/>
        </w:rPr>
        <w:t>废气</w:t>
      </w:r>
    </w:p>
    <w:p w14:paraId="773F13D7">
      <w:pPr>
        <w:spacing w:line="360" w:lineRule="auto"/>
        <w:ind w:firstLine="480"/>
        <w:rPr>
          <w:color w:val="auto"/>
          <w:szCs w:val="24"/>
        </w:rPr>
      </w:pPr>
      <w:r>
        <w:rPr>
          <w:rFonts w:hint="eastAsia"/>
          <w:color w:val="auto"/>
          <w:szCs w:val="24"/>
          <w:lang w:eastAsia="zh-CN"/>
        </w:rPr>
        <w:t>大气污染物排放总量：</w:t>
      </w:r>
      <w:r>
        <w:rPr>
          <w:rFonts w:hint="eastAsia"/>
          <w:color w:val="auto"/>
          <w:szCs w:val="24"/>
        </w:rPr>
        <w:t>氨：0</w:t>
      </w:r>
      <w:r>
        <w:rPr>
          <w:color w:val="auto"/>
          <w:szCs w:val="24"/>
        </w:rPr>
        <w:t>.037</w:t>
      </w:r>
      <w:r>
        <w:rPr>
          <w:rFonts w:hint="eastAsia"/>
          <w:color w:val="auto"/>
          <w:szCs w:val="24"/>
        </w:rPr>
        <w:t>t/a；硫化氢：0</w:t>
      </w:r>
      <w:r>
        <w:rPr>
          <w:color w:val="auto"/>
          <w:szCs w:val="24"/>
        </w:rPr>
        <w:t>.004</w:t>
      </w:r>
      <w:r>
        <w:rPr>
          <w:rFonts w:hint="eastAsia"/>
          <w:color w:val="auto"/>
          <w:szCs w:val="24"/>
        </w:rPr>
        <w:t>t/a；</w:t>
      </w:r>
      <w:r>
        <w:rPr>
          <w:rFonts w:hint="eastAsia"/>
          <w:color w:val="auto"/>
          <w:kern w:val="0"/>
          <w:szCs w:val="24"/>
          <w:lang w:bidi="ar"/>
        </w:rPr>
        <w:t>非甲烷总烃</w:t>
      </w:r>
      <w:r>
        <w:rPr>
          <w:rFonts w:hint="eastAsia"/>
          <w:color w:val="auto"/>
          <w:szCs w:val="24"/>
        </w:rPr>
        <w:t>：0.238t/a</w:t>
      </w:r>
      <w:r>
        <w:rPr>
          <w:color w:val="auto"/>
          <w:szCs w:val="24"/>
        </w:rPr>
        <w:t>。</w:t>
      </w:r>
    </w:p>
    <w:p w14:paraId="18EB85FF">
      <w:pPr>
        <w:pStyle w:val="4"/>
        <w:numPr>
          <w:ilvl w:val="0"/>
          <w:numId w:val="0"/>
        </w:numPr>
        <w:spacing w:line="360" w:lineRule="auto"/>
        <w:rPr>
          <w:color w:val="auto"/>
          <w:szCs w:val="24"/>
          <w:lang w:val="en-US"/>
        </w:rPr>
      </w:pPr>
      <w:bookmarkStart w:id="407" w:name="_Toc6208"/>
      <w:r>
        <w:rPr>
          <w:rFonts w:hint="eastAsia"/>
          <w:color w:val="auto"/>
          <w:szCs w:val="24"/>
          <w:lang w:val="en-US"/>
        </w:rPr>
        <w:t>1</w:t>
      </w:r>
      <w:r>
        <w:rPr>
          <w:color w:val="auto"/>
          <w:szCs w:val="24"/>
          <w:lang w:val="en-US"/>
        </w:rPr>
        <w:t>1.4环境保护措施及环境影响</w:t>
      </w:r>
      <w:bookmarkEnd w:id="406"/>
      <w:bookmarkEnd w:id="407"/>
    </w:p>
    <w:p w14:paraId="35BD608C">
      <w:pPr>
        <w:spacing w:line="360" w:lineRule="auto"/>
        <w:ind w:firstLine="480"/>
        <w:rPr>
          <w:color w:val="auto"/>
          <w:szCs w:val="24"/>
        </w:rPr>
      </w:pPr>
      <w:r>
        <w:rPr>
          <w:color w:val="auto"/>
          <w:szCs w:val="24"/>
        </w:rPr>
        <w:t>（1）</w:t>
      </w:r>
      <w:r>
        <w:rPr>
          <w:rFonts w:hint="eastAsia"/>
          <w:color w:val="auto"/>
          <w:szCs w:val="24"/>
        </w:rPr>
        <w:t>大气环境保护措施及环境影响分析</w:t>
      </w:r>
    </w:p>
    <w:p w14:paraId="073A3AF2">
      <w:pPr>
        <w:spacing w:line="360" w:lineRule="auto"/>
        <w:ind w:firstLine="480"/>
        <w:rPr>
          <w:color w:val="auto"/>
          <w:szCs w:val="24"/>
        </w:rPr>
      </w:pPr>
      <w:r>
        <w:rPr>
          <w:rFonts w:hint="eastAsia"/>
          <w:color w:val="auto"/>
          <w:lang w:val="zh-CN"/>
        </w:rPr>
        <w:t>拟建项目运行期环境空气污染物主要是臭气单元产生的H</w:t>
      </w:r>
      <w:r>
        <w:rPr>
          <w:rFonts w:hint="eastAsia"/>
          <w:color w:val="auto"/>
          <w:vertAlign w:val="subscript"/>
          <w:lang w:val="zh-CN"/>
        </w:rPr>
        <w:t>2</w:t>
      </w:r>
      <w:r>
        <w:rPr>
          <w:rFonts w:hint="eastAsia"/>
          <w:color w:val="auto"/>
          <w:lang w:val="zh-CN"/>
        </w:rPr>
        <w:t>S、NH</w:t>
      </w:r>
      <w:r>
        <w:rPr>
          <w:rFonts w:hint="eastAsia"/>
          <w:color w:val="auto"/>
          <w:vertAlign w:val="subscript"/>
          <w:lang w:val="zh-CN"/>
        </w:rPr>
        <w:t>3</w:t>
      </w:r>
      <w:r>
        <w:rPr>
          <w:rFonts w:hint="eastAsia"/>
          <w:color w:val="auto"/>
          <w:lang w:val="zh-CN"/>
        </w:rPr>
        <w:t>、</w:t>
      </w:r>
      <w:r>
        <w:rPr>
          <w:rFonts w:hint="eastAsia"/>
          <w:color w:val="auto"/>
        </w:rPr>
        <w:t>非甲烷总烃</w:t>
      </w:r>
      <w:r>
        <w:rPr>
          <w:rFonts w:hint="eastAsia"/>
          <w:color w:val="auto"/>
          <w:lang w:val="zh-CN"/>
        </w:rPr>
        <w:t>。收集池、调节池、高密沉淀池、芬顿氧化池、沉淀池、浓水罐和污泥池</w:t>
      </w:r>
      <w:r>
        <w:rPr>
          <w:rFonts w:hint="eastAsia"/>
          <w:color w:val="auto"/>
          <w:szCs w:val="21"/>
        </w:rPr>
        <w:t>等主要产臭构筑物采取加盖等密闭方式对臭气进行收集，</w:t>
      </w:r>
      <w:r>
        <w:rPr>
          <w:rFonts w:hint="eastAsia"/>
          <w:color w:val="auto"/>
          <w:szCs w:val="21"/>
          <w:lang w:eastAsia="zh-CN"/>
        </w:rPr>
        <w:t>污泥压滤间、危废贮存库</w:t>
      </w:r>
      <w:r>
        <w:rPr>
          <w:rFonts w:hint="eastAsia"/>
          <w:color w:val="auto"/>
          <w:szCs w:val="21"/>
        </w:rPr>
        <w:t>采取负压抽风收集臭气，废气收集后经1套“碱喷淋+除湿+活性炭吸附”处置达标后15mDA001排气筒排放</w:t>
      </w:r>
      <w:r>
        <w:rPr>
          <w:rFonts w:hint="eastAsia"/>
          <w:color w:val="auto"/>
          <w:szCs w:val="24"/>
        </w:rPr>
        <w:t>。同时厂区四周修建有围墙和绿化隔离带，绿化厂区环境的同时对恶臭气体有一定的阻隔或吸附作用。采取以上措施后</w:t>
      </w:r>
      <w:r>
        <w:rPr>
          <w:color w:val="auto"/>
          <w:szCs w:val="24"/>
        </w:rPr>
        <w:t>，废气污染源对环境空气影响较小，不会改变区域环境功能，环境可接受。</w:t>
      </w:r>
    </w:p>
    <w:p w14:paraId="6C41D605">
      <w:pPr>
        <w:spacing w:line="360" w:lineRule="auto"/>
        <w:ind w:firstLine="480"/>
        <w:rPr>
          <w:color w:val="auto"/>
          <w:szCs w:val="24"/>
        </w:rPr>
      </w:pPr>
      <w:r>
        <w:rPr>
          <w:color w:val="auto"/>
          <w:szCs w:val="24"/>
        </w:rPr>
        <w:t>（2）</w:t>
      </w:r>
      <w:r>
        <w:rPr>
          <w:rFonts w:hint="eastAsia"/>
          <w:color w:val="auto"/>
          <w:szCs w:val="24"/>
        </w:rPr>
        <w:t>地表水保护措施及环境影响分析</w:t>
      </w:r>
    </w:p>
    <w:p w14:paraId="20D29332">
      <w:pPr>
        <w:spacing w:line="360" w:lineRule="auto"/>
        <w:ind w:firstLine="480"/>
        <w:rPr>
          <w:color w:val="auto"/>
        </w:rPr>
      </w:pPr>
      <w:r>
        <w:rPr>
          <w:rFonts w:hint="eastAsia"/>
          <w:color w:val="auto"/>
        </w:rPr>
        <w:t>拟建项目的</w:t>
      </w:r>
      <w:r>
        <w:rPr>
          <w:rFonts w:hint="eastAsia"/>
          <w:color w:val="auto"/>
          <w:lang w:eastAsia="zh-CN"/>
        </w:rPr>
        <w:t>服务范围为</w:t>
      </w:r>
      <w:r>
        <w:rPr>
          <w:rFonts w:hint="eastAsia"/>
          <w:color w:val="auto"/>
          <w:szCs w:val="24"/>
          <w:lang w:eastAsia="zh-CN"/>
        </w:rPr>
        <w:t>忠县、梁平、垫江、石柱和万州等周边区县</w:t>
      </w:r>
      <w:r>
        <w:rPr>
          <w:rFonts w:hint="eastAsia"/>
          <w:color w:val="auto"/>
        </w:rPr>
        <w:t>。</w:t>
      </w:r>
      <w:r>
        <w:rPr>
          <w:color w:val="auto"/>
        </w:rPr>
        <w:t>项目处理对象为</w:t>
      </w:r>
      <w:r>
        <w:rPr>
          <w:rFonts w:hint="eastAsia"/>
          <w:color w:val="auto"/>
        </w:rPr>
        <w:t>服务范围内</w:t>
      </w:r>
      <w:r>
        <w:rPr>
          <w:rFonts w:hint="eastAsia"/>
          <w:color w:val="auto"/>
          <w:szCs w:val="24"/>
        </w:rPr>
        <w:t>油气田</w:t>
      </w:r>
      <w:r>
        <w:rPr>
          <w:rFonts w:hint="eastAsia"/>
          <w:color w:val="auto"/>
        </w:rPr>
        <w:t>产生的钻采废水（包括：压裂返排水、产气废水等）和生活污水等</w:t>
      </w:r>
      <w:r>
        <w:rPr>
          <w:rFonts w:hint="eastAsia"/>
          <w:color w:val="auto"/>
          <w:szCs w:val="24"/>
        </w:rPr>
        <w:t>。项目废水通过罐车运至厂区收集池，废水</w:t>
      </w:r>
      <w:r>
        <w:rPr>
          <w:rFonts w:hint="eastAsia" w:cs="Tunga"/>
          <w:color w:val="auto"/>
        </w:rPr>
        <w:t>处理工艺为“</w:t>
      </w:r>
      <w:r>
        <w:rPr>
          <w:rFonts w:hint="eastAsia" w:cs="Tunga"/>
          <w:color w:val="auto"/>
          <w:lang w:eastAsia="zh-CN"/>
        </w:rPr>
        <w:t>调节+气浮+化学除重+高密软化沉淀+芬顿氧化+中和沉淀+精密过滤+DTRO膜浓缩+浓水蒸发结晶</w:t>
      </w:r>
      <w:r>
        <w:rPr>
          <w:rFonts w:hint="eastAsia" w:cs="Tunga"/>
          <w:color w:val="auto"/>
        </w:rPr>
        <w:t>”</w:t>
      </w:r>
      <w:r>
        <w:rPr>
          <w:rFonts w:hint="eastAsia"/>
          <w:color w:val="auto"/>
        </w:rPr>
        <w:t>，</w:t>
      </w:r>
      <w:r>
        <w:rPr>
          <w:rFonts w:hint="eastAsia"/>
          <w:bCs/>
          <w:color w:val="auto"/>
        </w:rPr>
        <w:t>尾水</w:t>
      </w:r>
      <w:r>
        <w:rPr>
          <w:bCs/>
          <w:color w:val="auto"/>
        </w:rPr>
        <w:t>出水水质达到</w:t>
      </w:r>
      <w:r>
        <w:rPr>
          <w:rFonts w:hint="eastAsia"/>
          <w:color w:val="auto"/>
          <w:lang w:eastAsia="zh-CN"/>
        </w:rPr>
        <w:t>《页岩气开采水污染物排放标准》（DB50/1806-2025）间接排放标准限值后直接接入乌杨组团园区污水处理厂</w:t>
      </w:r>
      <w:r>
        <w:rPr>
          <w:rFonts w:hint="eastAsia"/>
          <w:color w:val="auto"/>
        </w:rPr>
        <w:t>进行深度处理达《城镇污水处理厂污染物排放标准》（GB18918-2002）一级 A 标准后排入</w:t>
      </w:r>
      <w:r>
        <w:rPr>
          <w:rFonts w:hint="eastAsia"/>
          <w:color w:val="auto"/>
          <w:lang w:eastAsia="zh-CN"/>
        </w:rPr>
        <w:t>长江</w:t>
      </w:r>
      <w:r>
        <w:rPr>
          <w:rFonts w:hint="eastAsia"/>
          <w:color w:val="auto"/>
        </w:rPr>
        <w:t>。</w:t>
      </w:r>
    </w:p>
    <w:p w14:paraId="365657FC">
      <w:pPr>
        <w:spacing w:line="360" w:lineRule="auto"/>
        <w:ind w:firstLine="480"/>
        <w:rPr>
          <w:color w:val="auto"/>
        </w:rPr>
      </w:pPr>
      <w:r>
        <w:rPr>
          <w:rFonts w:hint="eastAsia"/>
          <w:color w:val="auto"/>
          <w:szCs w:val="24"/>
        </w:rPr>
        <w:t>拟建项目位于</w:t>
      </w:r>
      <w:r>
        <w:rPr>
          <w:rFonts w:hint="eastAsia"/>
          <w:color w:val="auto"/>
          <w:kern w:val="0"/>
          <w:lang w:eastAsia="zh-CN"/>
        </w:rPr>
        <w:t>乌杨组团园区污水处理厂</w:t>
      </w:r>
      <w:r>
        <w:rPr>
          <w:rFonts w:hint="eastAsia"/>
          <w:color w:val="auto"/>
          <w:szCs w:val="24"/>
        </w:rPr>
        <w:t>服务范围内，</w:t>
      </w:r>
      <w:r>
        <w:rPr>
          <w:rFonts w:hint="eastAsia"/>
          <w:color w:val="auto"/>
          <w:szCs w:val="24"/>
          <w:lang w:eastAsia="zh-CN"/>
        </w:rPr>
        <w:t>项目</w:t>
      </w:r>
      <w:r>
        <w:rPr>
          <w:rFonts w:hint="eastAsia"/>
          <w:color w:val="auto"/>
          <w:szCs w:val="24"/>
        </w:rPr>
        <w:t>建成后全厂最大外排</w:t>
      </w:r>
      <w:r>
        <w:rPr>
          <w:color w:val="auto"/>
          <w:szCs w:val="24"/>
        </w:rPr>
        <w:t>废水量</w:t>
      </w:r>
      <w:r>
        <w:rPr>
          <w:rFonts w:hint="eastAsia"/>
          <w:color w:val="auto"/>
          <w:szCs w:val="24"/>
        </w:rPr>
        <w:t>约</w:t>
      </w:r>
      <w:r>
        <w:rPr>
          <w:color w:val="auto"/>
          <w:szCs w:val="24"/>
        </w:rPr>
        <w:t>为1957.8</w:t>
      </w:r>
      <w:r>
        <w:rPr>
          <w:color w:val="auto"/>
          <w:kern w:val="0"/>
        </w:rPr>
        <w:t>m</w:t>
      </w:r>
      <w:r>
        <w:rPr>
          <w:color w:val="auto"/>
          <w:kern w:val="0"/>
          <w:vertAlign w:val="superscript"/>
        </w:rPr>
        <w:t>3</w:t>
      </w:r>
      <w:r>
        <w:rPr>
          <w:color w:val="auto"/>
          <w:kern w:val="0"/>
        </w:rPr>
        <w:t>/d</w:t>
      </w:r>
      <w:r>
        <w:rPr>
          <w:rFonts w:hint="eastAsia"/>
          <w:color w:val="auto"/>
          <w:kern w:val="0"/>
        </w:rPr>
        <w:t>，</w:t>
      </w:r>
      <w:r>
        <w:rPr>
          <w:rFonts w:hint="eastAsia"/>
          <w:color w:val="auto"/>
          <w:kern w:val="0"/>
          <w:lang w:eastAsia="zh-CN"/>
        </w:rPr>
        <w:t>乌杨组团园区污水处理厂</w:t>
      </w:r>
      <w:r>
        <w:rPr>
          <w:rFonts w:hint="eastAsia"/>
          <w:color w:val="auto"/>
          <w:szCs w:val="24"/>
        </w:rPr>
        <w:t>剩余处理规模能满足项目废水处理量要求。同时，项目外排废水水质能达到</w:t>
      </w:r>
      <w:r>
        <w:rPr>
          <w:rFonts w:hint="eastAsia"/>
          <w:color w:val="auto"/>
        </w:rPr>
        <w:t>园</w:t>
      </w:r>
      <w:r>
        <w:rPr>
          <w:rFonts w:hint="eastAsia"/>
          <w:color w:val="auto"/>
          <w:lang w:eastAsia="zh-CN"/>
        </w:rPr>
        <w:t>《页岩气开采水污染物排放标准》（DB50/1806-2025）间接排放标准限值</w:t>
      </w:r>
      <w:r>
        <w:rPr>
          <w:rFonts w:hint="eastAsia"/>
          <w:color w:val="auto"/>
        </w:rPr>
        <w:t>要求。达标排放废水排放不会对</w:t>
      </w:r>
      <w:r>
        <w:rPr>
          <w:rFonts w:hint="eastAsia"/>
          <w:color w:val="auto"/>
          <w:kern w:val="0"/>
          <w:lang w:eastAsia="zh-CN"/>
        </w:rPr>
        <w:t>乌杨组团园区污水处理厂</w:t>
      </w:r>
      <w:r>
        <w:rPr>
          <w:rFonts w:hint="eastAsia"/>
          <w:color w:val="auto"/>
          <w:kern w:val="0"/>
        </w:rPr>
        <w:t>造成影响</w:t>
      </w:r>
      <w:r>
        <w:rPr>
          <w:rFonts w:hint="eastAsia"/>
          <w:color w:val="auto"/>
          <w:szCs w:val="24"/>
        </w:rPr>
        <w:t>，因此，</w:t>
      </w:r>
      <w:r>
        <w:rPr>
          <w:color w:val="auto"/>
          <w:szCs w:val="24"/>
        </w:rPr>
        <w:t>拟建项目</w:t>
      </w:r>
      <w:r>
        <w:rPr>
          <w:rFonts w:hint="eastAsia"/>
          <w:color w:val="auto"/>
          <w:szCs w:val="24"/>
        </w:rPr>
        <w:t>依托</w:t>
      </w:r>
      <w:r>
        <w:rPr>
          <w:rFonts w:hint="eastAsia"/>
          <w:color w:val="auto"/>
          <w:kern w:val="0"/>
          <w:lang w:eastAsia="zh-CN"/>
        </w:rPr>
        <w:t>乌杨组团园区污水处理厂</w:t>
      </w:r>
      <w:r>
        <w:rPr>
          <w:rFonts w:hint="eastAsia"/>
          <w:color w:val="auto"/>
          <w:szCs w:val="24"/>
        </w:rPr>
        <w:t>处理可行，地表水环境影响可接受。</w:t>
      </w:r>
    </w:p>
    <w:p w14:paraId="4369E890">
      <w:pPr>
        <w:spacing w:line="360" w:lineRule="auto"/>
        <w:ind w:firstLine="480"/>
        <w:jc w:val="left"/>
        <w:rPr>
          <w:color w:val="auto"/>
          <w:szCs w:val="24"/>
        </w:rPr>
      </w:pPr>
      <w:r>
        <w:rPr>
          <w:color w:val="auto"/>
          <w:szCs w:val="24"/>
        </w:rPr>
        <w:t>（3）</w:t>
      </w:r>
      <w:r>
        <w:rPr>
          <w:rFonts w:hint="eastAsia"/>
          <w:color w:val="auto"/>
          <w:szCs w:val="24"/>
        </w:rPr>
        <w:t>噪声污染防治措施及环境影响分析</w:t>
      </w:r>
    </w:p>
    <w:p w14:paraId="2F6457F6">
      <w:pPr>
        <w:spacing w:line="360" w:lineRule="auto"/>
        <w:ind w:firstLine="480"/>
        <w:rPr>
          <w:b/>
          <w:bCs/>
          <w:color w:val="auto"/>
          <w:szCs w:val="24"/>
        </w:rPr>
      </w:pPr>
      <w:r>
        <w:rPr>
          <w:snapToGrid w:val="0"/>
          <w:color w:val="auto"/>
          <w:kern w:val="0"/>
          <w:szCs w:val="24"/>
        </w:rPr>
        <w:t>拟建项目噪声源主要</w:t>
      </w:r>
      <w:r>
        <w:rPr>
          <w:rFonts w:hint="eastAsia"/>
          <w:color w:val="auto"/>
          <w:szCs w:val="24"/>
        </w:rPr>
        <w:t>为污水处理站的</w:t>
      </w:r>
      <w:r>
        <w:rPr>
          <w:rFonts w:hint="eastAsia"/>
          <w:color w:val="auto"/>
        </w:rPr>
        <w:t>搅拌机、气浮机、DTRO膜浓缩装置、MVR蒸发器、</w:t>
      </w:r>
      <w:r>
        <w:rPr>
          <w:rFonts w:hint="eastAsia"/>
          <w:color w:val="auto"/>
          <w:lang w:eastAsia="zh-CN"/>
        </w:rPr>
        <w:t>污泥压滤机</w:t>
      </w:r>
      <w:r>
        <w:rPr>
          <w:rFonts w:hint="eastAsia"/>
          <w:color w:val="auto"/>
        </w:rPr>
        <w:t>、各类泵和风机</w:t>
      </w:r>
      <w:r>
        <w:rPr>
          <w:rFonts w:hint="eastAsia"/>
          <w:color w:val="auto"/>
          <w:szCs w:val="24"/>
        </w:rPr>
        <w:t>等机械设备</w:t>
      </w:r>
      <w:r>
        <w:rPr>
          <w:snapToGrid w:val="0"/>
          <w:color w:val="auto"/>
          <w:kern w:val="0"/>
          <w:szCs w:val="24"/>
        </w:rPr>
        <w:t>，</w:t>
      </w:r>
      <w:r>
        <w:rPr>
          <w:rFonts w:hint="eastAsia"/>
          <w:color w:val="auto"/>
          <w:szCs w:val="24"/>
        </w:rPr>
        <w:t>主要集中于废水处理站各主体构筑物和生产车间内。项</w:t>
      </w:r>
      <w:r>
        <w:rPr>
          <w:rFonts w:hint="eastAsia"/>
          <w:color w:val="auto"/>
          <w:lang w:val="zh-CN"/>
        </w:rPr>
        <w:t>目采取了一系列的降噪措施，经基础减振、建筑隔声等有效的治理措施后，厂界昼、夜噪声能满足《工业企业厂界环境噪声排放标准》（GB 12348-2008）中3类标准要求，合理布置公用工程设备，进一步完善降噪措施，降低噪声对环境的影响</w:t>
      </w:r>
      <w:r>
        <w:rPr>
          <w:color w:val="auto"/>
          <w:szCs w:val="24"/>
        </w:rPr>
        <w:t>。</w:t>
      </w:r>
    </w:p>
    <w:p w14:paraId="1F3FDE4C">
      <w:pPr>
        <w:spacing w:line="360" w:lineRule="auto"/>
        <w:ind w:firstLine="480"/>
        <w:rPr>
          <w:color w:val="auto"/>
          <w:szCs w:val="24"/>
        </w:rPr>
      </w:pPr>
      <w:r>
        <w:rPr>
          <w:color w:val="auto"/>
          <w:szCs w:val="24"/>
        </w:rPr>
        <w:t>（4）</w:t>
      </w:r>
      <w:r>
        <w:rPr>
          <w:rFonts w:hint="eastAsia"/>
          <w:color w:val="auto"/>
          <w:szCs w:val="24"/>
        </w:rPr>
        <w:t>地下水环境保护措施及环境影响分析</w:t>
      </w:r>
    </w:p>
    <w:p w14:paraId="46F38218">
      <w:pPr>
        <w:spacing w:line="360" w:lineRule="auto"/>
        <w:ind w:firstLine="480"/>
        <w:rPr>
          <w:snapToGrid w:val="0"/>
          <w:color w:val="auto"/>
          <w:kern w:val="0"/>
          <w:szCs w:val="24"/>
        </w:rPr>
      </w:pPr>
      <w:r>
        <w:rPr>
          <w:rFonts w:hint="eastAsia"/>
          <w:snapToGrid w:val="0"/>
          <w:color w:val="auto"/>
          <w:kern w:val="0"/>
          <w:szCs w:val="24"/>
        </w:rPr>
        <w:t>按照“源头控制、分区防控、污染监控、应急响应”原则。废水处理站、罐区、生产车间和事故池等按要求采取分区防渗措施。项目对可能涉及地下水泄漏影响的区域均采取防渗措施，运营期定期开展地下水环境监测，在厂区及周边</w:t>
      </w:r>
      <w:r>
        <w:rPr>
          <w:rFonts w:hint="eastAsia"/>
          <w:snapToGrid w:val="0"/>
          <w:color w:val="auto"/>
          <w:kern w:val="0"/>
          <w:szCs w:val="24"/>
          <w:lang w:eastAsia="zh-CN"/>
        </w:rPr>
        <w:t>设置</w:t>
      </w:r>
      <w:r>
        <w:rPr>
          <w:rFonts w:hint="eastAsia"/>
          <w:snapToGrid w:val="0"/>
          <w:color w:val="auto"/>
          <w:kern w:val="0"/>
          <w:szCs w:val="24"/>
        </w:rPr>
        <w:t>地下水污染监控井，定期采集水井的水样，对所采水样中的污染物进行监测，一旦发现异常，立即排查泄漏点。同时，评价区域已经完成了农村供水工程改造，周边居民全部使用自来水作为饮用水源。所以，厂址区污染物泄漏不存在对周边居民饮用水水源的影响。</w:t>
      </w:r>
    </w:p>
    <w:p w14:paraId="651600F1">
      <w:pPr>
        <w:spacing w:line="360" w:lineRule="auto"/>
        <w:ind w:firstLine="480"/>
        <w:rPr>
          <w:color w:val="auto"/>
          <w:szCs w:val="24"/>
        </w:rPr>
      </w:pPr>
      <w:r>
        <w:rPr>
          <w:rFonts w:hint="eastAsia"/>
          <w:snapToGrid w:val="0"/>
          <w:color w:val="auto"/>
          <w:kern w:val="0"/>
          <w:szCs w:val="24"/>
        </w:rPr>
        <w:t>结合项目所在区域环境水文地质条件、地下水环境影响、地下水环境污染防控措施、项目总平面布置的合理性等方面进行综合评价，项目对地下水环境的影响可接受</w:t>
      </w:r>
      <w:r>
        <w:rPr>
          <w:color w:val="auto"/>
          <w:szCs w:val="24"/>
        </w:rPr>
        <w:t>。</w:t>
      </w:r>
    </w:p>
    <w:p w14:paraId="171DDA9F">
      <w:pPr>
        <w:spacing w:line="360" w:lineRule="auto"/>
        <w:ind w:firstLine="480"/>
        <w:rPr>
          <w:color w:val="auto"/>
          <w:szCs w:val="24"/>
        </w:rPr>
      </w:pPr>
      <w:r>
        <w:rPr>
          <w:color w:val="auto"/>
          <w:szCs w:val="24"/>
        </w:rPr>
        <w:t>（5）</w:t>
      </w:r>
      <w:r>
        <w:rPr>
          <w:rFonts w:hint="eastAsia"/>
          <w:color w:val="auto"/>
          <w:szCs w:val="24"/>
        </w:rPr>
        <w:t>固体废物处置措施及环境影响分析</w:t>
      </w:r>
    </w:p>
    <w:p w14:paraId="4D721E38">
      <w:pPr>
        <w:spacing w:line="360" w:lineRule="auto"/>
        <w:ind w:firstLine="480"/>
        <w:rPr>
          <w:color w:val="auto"/>
          <w:szCs w:val="24"/>
        </w:rPr>
      </w:pPr>
      <w:bookmarkStart w:id="408" w:name="_Toc472509358"/>
      <w:r>
        <w:rPr>
          <w:rFonts w:hint="eastAsia"/>
          <w:color w:val="auto"/>
          <w:lang w:val="zh-CN"/>
        </w:rPr>
        <w:t>一般固体废物集中收集后暂存于</w:t>
      </w:r>
      <w:r>
        <w:rPr>
          <w:rFonts w:hint="eastAsia"/>
          <w:color w:val="auto"/>
          <w:szCs w:val="21"/>
        </w:rPr>
        <w:t>一般固废暂存间</w:t>
      </w:r>
      <w:r>
        <w:rPr>
          <w:rFonts w:hint="eastAsia"/>
          <w:color w:val="auto"/>
          <w:lang w:val="zh-CN"/>
        </w:rPr>
        <w:t>，</w:t>
      </w:r>
      <w:r>
        <w:rPr>
          <w:rFonts w:hint="eastAsia"/>
          <w:color w:val="auto"/>
          <w:szCs w:val="21"/>
        </w:rPr>
        <w:t>定期外卖废品回收公司。</w:t>
      </w:r>
      <w:r>
        <w:rPr>
          <w:rFonts w:hint="eastAsia" w:eastAsiaTheme="minorEastAsia"/>
          <w:color w:val="auto"/>
          <w:szCs w:val="24"/>
        </w:rPr>
        <w:t>危险废物集中收集后暂存于危废贮存库</w:t>
      </w:r>
      <w:r>
        <w:rPr>
          <w:rFonts w:hint="eastAsia"/>
          <w:bCs/>
          <w:color w:val="auto"/>
        </w:rPr>
        <w:t>，定期交有资质单位处置。</w:t>
      </w:r>
      <w:r>
        <w:rPr>
          <w:rFonts w:hint="eastAsia" w:eastAsiaTheme="minorEastAsia"/>
          <w:color w:val="auto"/>
          <w:szCs w:val="24"/>
        </w:rPr>
        <w:t>废水处理产生污泥</w:t>
      </w:r>
      <w:r>
        <w:rPr>
          <w:rFonts w:hint="eastAsia"/>
          <w:color w:val="auto"/>
          <w:lang w:val="zh-CN"/>
        </w:rPr>
        <w:t>、蒸发结晶盐进行危险特性鉴别</w:t>
      </w:r>
      <w:r>
        <w:rPr>
          <w:color w:val="auto"/>
        </w:rPr>
        <w:t>，根据鉴别结果按相关政策进行处置，鉴别前，按照危险废物从严管理</w:t>
      </w:r>
      <w:r>
        <w:rPr>
          <w:rFonts w:hint="eastAsia"/>
          <w:color w:val="auto"/>
        </w:rPr>
        <w:t>，</w:t>
      </w:r>
      <w:r>
        <w:rPr>
          <w:color w:val="auto"/>
          <w:szCs w:val="24"/>
        </w:rPr>
        <w:t>严格按照《危险废物贮存污染控制标准》（GB18597-2023</w:t>
      </w:r>
      <w:r>
        <w:rPr>
          <w:color w:val="auto"/>
          <w:szCs w:val="24"/>
          <w:lang w:val="zh-CN"/>
        </w:rPr>
        <w:t>）</w:t>
      </w:r>
      <w:r>
        <w:rPr>
          <w:rFonts w:hint="eastAsia"/>
          <w:color w:val="auto"/>
          <w:szCs w:val="24"/>
        </w:rPr>
        <w:t>、《危险废物转移管理办法》（生态环境部 公安部 交通运输部 部令 第23号）相应要求储存及转移</w:t>
      </w:r>
      <w:r>
        <w:rPr>
          <w:color w:val="auto"/>
          <w:szCs w:val="24"/>
        </w:rPr>
        <w:t>，</w:t>
      </w:r>
      <w:r>
        <w:rPr>
          <w:rFonts w:hint="eastAsia"/>
          <w:color w:val="auto"/>
          <w:szCs w:val="24"/>
        </w:rPr>
        <w:t>定期交有</w:t>
      </w:r>
      <w:r>
        <w:rPr>
          <w:color w:val="auto"/>
          <w:szCs w:val="24"/>
        </w:rPr>
        <w:t>资质的单位处理。</w:t>
      </w:r>
    </w:p>
    <w:p w14:paraId="437748E9">
      <w:pPr>
        <w:spacing w:line="360" w:lineRule="auto"/>
        <w:ind w:firstLine="480"/>
        <w:rPr>
          <w:color w:val="auto"/>
          <w:szCs w:val="24"/>
        </w:rPr>
      </w:pPr>
      <w:r>
        <w:rPr>
          <w:rFonts w:hint="eastAsia"/>
          <w:color w:val="auto"/>
          <w:szCs w:val="24"/>
        </w:rPr>
        <w:t>固体废物的处置遵循分类原则、回收利用原则、减量化原则、无害化原则。固体废物需要进行分类收集、储存和处置，全部进行了有效的回收利用和合理的处置，体现了“变废为宝、综合利用”的原则，不会对周围环境造成二次污染影响。采取以上措施后，拟建项目固体废物对环境的影响可接受</w:t>
      </w:r>
      <w:r>
        <w:rPr>
          <w:color w:val="auto"/>
          <w:szCs w:val="24"/>
        </w:rPr>
        <w:t>。</w:t>
      </w:r>
    </w:p>
    <w:p w14:paraId="137A49DD">
      <w:pPr>
        <w:spacing w:line="360" w:lineRule="auto"/>
        <w:ind w:firstLine="480"/>
        <w:rPr>
          <w:color w:val="auto"/>
          <w:szCs w:val="24"/>
        </w:rPr>
      </w:pPr>
      <w:r>
        <w:rPr>
          <w:rFonts w:hint="eastAsia"/>
          <w:color w:val="auto"/>
          <w:szCs w:val="24"/>
        </w:rPr>
        <w:t>（6）土壤防治措施及环境影响分析</w:t>
      </w:r>
    </w:p>
    <w:p w14:paraId="3765B977">
      <w:pPr>
        <w:spacing w:line="360" w:lineRule="auto"/>
        <w:ind w:firstLine="480"/>
        <w:rPr>
          <w:color w:val="auto"/>
          <w:szCs w:val="24"/>
        </w:rPr>
      </w:pPr>
      <w:r>
        <w:rPr>
          <w:rFonts w:hint="eastAsia"/>
          <w:color w:val="auto"/>
          <w:szCs w:val="24"/>
        </w:rPr>
        <w:t>拟建项目土壤污染途径主要包括、垂直入渗、地面漫流等。通过采取废分区防渗和土壤环境跟踪监测等措施后，拟建项目土壤环境影响可以接受。</w:t>
      </w:r>
    </w:p>
    <w:p w14:paraId="409B3009">
      <w:pPr>
        <w:spacing w:line="360" w:lineRule="auto"/>
        <w:ind w:firstLine="480"/>
        <w:rPr>
          <w:color w:val="auto"/>
          <w:szCs w:val="24"/>
        </w:rPr>
      </w:pPr>
      <w:r>
        <w:rPr>
          <w:rFonts w:hint="eastAsia"/>
          <w:color w:val="auto"/>
          <w:szCs w:val="24"/>
        </w:rPr>
        <w:t>（7）生态环境影响</w:t>
      </w:r>
    </w:p>
    <w:p w14:paraId="238AA7D4">
      <w:pPr>
        <w:spacing w:line="360" w:lineRule="auto"/>
        <w:ind w:firstLine="480"/>
        <w:rPr>
          <w:color w:val="auto"/>
          <w:szCs w:val="24"/>
        </w:rPr>
      </w:pPr>
      <w:r>
        <w:rPr>
          <w:rFonts w:hint="eastAsia"/>
          <w:color w:val="auto"/>
          <w:szCs w:val="24"/>
        </w:rPr>
        <w:t>拟建项目的选址符合生态环境分区管控要求且位于已批准规划环评的产业园区（</w:t>
      </w:r>
      <w:r>
        <w:rPr>
          <w:rFonts w:hint="eastAsia"/>
          <w:color w:val="auto"/>
          <w:szCs w:val="24"/>
          <w:lang w:eastAsia="zh-CN"/>
        </w:rPr>
        <w:t>重庆忠县工业园乌杨组团</w:t>
      </w:r>
      <w:r>
        <w:rPr>
          <w:rFonts w:hint="eastAsia"/>
          <w:color w:val="auto"/>
          <w:szCs w:val="24"/>
        </w:rPr>
        <w:t>）内且符合规划环评要求、不涉及生态敏感区。营运期正常生产状态下，项目对生态环境较小。</w:t>
      </w:r>
    </w:p>
    <w:p w14:paraId="1A527FB7">
      <w:pPr>
        <w:pStyle w:val="4"/>
        <w:numPr>
          <w:ilvl w:val="0"/>
          <w:numId w:val="0"/>
        </w:numPr>
        <w:spacing w:line="360" w:lineRule="auto"/>
        <w:rPr>
          <w:color w:val="auto"/>
          <w:szCs w:val="24"/>
        </w:rPr>
      </w:pPr>
      <w:bookmarkStart w:id="409" w:name="_Toc17218"/>
      <w:r>
        <w:rPr>
          <w:rFonts w:hint="eastAsia"/>
          <w:color w:val="auto"/>
          <w:szCs w:val="24"/>
        </w:rPr>
        <w:t>1</w:t>
      </w:r>
      <w:r>
        <w:rPr>
          <w:color w:val="auto"/>
          <w:szCs w:val="24"/>
        </w:rPr>
        <w:t>1.5环境风险</w:t>
      </w:r>
      <w:bookmarkEnd w:id="408"/>
      <w:bookmarkEnd w:id="409"/>
    </w:p>
    <w:p w14:paraId="5BF09EC6">
      <w:pPr>
        <w:spacing w:line="360" w:lineRule="auto"/>
        <w:ind w:firstLine="480"/>
        <w:rPr>
          <w:color w:val="auto"/>
          <w:szCs w:val="24"/>
        </w:rPr>
      </w:pPr>
      <w:r>
        <w:rPr>
          <w:rFonts w:hint="eastAsia"/>
          <w:color w:val="auto"/>
          <w:kern w:val="0"/>
          <w:szCs w:val="24"/>
        </w:rPr>
        <w:t>建设单位按照本报告书做好各项风险的预防和应急措施，并制定完善的风险事故应急预案。在项目严格落实环评提出各项措施和要求的前提下，拟建项目环境风险可防控</w:t>
      </w:r>
      <w:r>
        <w:rPr>
          <w:color w:val="auto"/>
          <w:szCs w:val="24"/>
        </w:rPr>
        <w:t>，风险处于环境可接受的水平。</w:t>
      </w:r>
    </w:p>
    <w:p w14:paraId="7824D026">
      <w:pPr>
        <w:pStyle w:val="4"/>
        <w:numPr>
          <w:ilvl w:val="0"/>
          <w:numId w:val="0"/>
        </w:numPr>
        <w:spacing w:line="360" w:lineRule="auto"/>
        <w:rPr>
          <w:color w:val="auto"/>
          <w:szCs w:val="24"/>
          <w:lang w:val="en-US"/>
        </w:rPr>
      </w:pPr>
      <w:bookmarkStart w:id="410" w:name="_Toc472509359"/>
      <w:bookmarkStart w:id="411" w:name="_Toc9855"/>
      <w:r>
        <w:rPr>
          <w:rFonts w:hint="eastAsia"/>
          <w:color w:val="auto"/>
          <w:szCs w:val="24"/>
          <w:lang w:val="en-US"/>
        </w:rPr>
        <w:t>1</w:t>
      </w:r>
      <w:r>
        <w:rPr>
          <w:color w:val="auto"/>
          <w:szCs w:val="24"/>
          <w:lang w:val="en-US"/>
        </w:rPr>
        <w:t>1.6</w:t>
      </w:r>
      <w:r>
        <w:rPr>
          <w:color w:val="auto"/>
          <w:szCs w:val="24"/>
        </w:rPr>
        <w:t>公众意见采纳情况</w:t>
      </w:r>
      <w:bookmarkEnd w:id="410"/>
      <w:bookmarkEnd w:id="411"/>
    </w:p>
    <w:p w14:paraId="5571E02C">
      <w:pPr>
        <w:spacing w:line="360" w:lineRule="auto"/>
        <w:ind w:firstLine="480"/>
        <w:rPr>
          <w:color w:val="auto"/>
          <w:highlight w:val="none"/>
        </w:rPr>
      </w:pPr>
      <w:r>
        <w:rPr>
          <w:color w:val="auto"/>
          <w:kern w:val="0"/>
        </w:rPr>
        <w:t>根据《环境影响评价公众参与办法》</w:t>
      </w:r>
      <w:r>
        <w:rPr>
          <w:rFonts w:hint="eastAsia"/>
          <w:color w:val="auto"/>
          <w:kern w:val="0"/>
        </w:rPr>
        <w:t>（生态环境部令第4号）</w:t>
      </w:r>
      <w:r>
        <w:rPr>
          <w:color w:val="auto"/>
          <w:kern w:val="0"/>
        </w:rPr>
        <w:t>，建设单位</w:t>
      </w:r>
      <w:r>
        <w:rPr>
          <w:rFonts w:hint="eastAsia"/>
          <w:color w:val="auto"/>
          <w:kern w:val="0"/>
        </w:rPr>
        <w:t>于20</w:t>
      </w:r>
      <w:r>
        <w:rPr>
          <w:rFonts w:hint="eastAsia"/>
          <w:color w:val="auto"/>
          <w:kern w:val="0"/>
          <w:lang w:val="en-US" w:eastAsia="zh-CN"/>
        </w:rPr>
        <w:t>25</w:t>
      </w:r>
      <w:r>
        <w:rPr>
          <w:rFonts w:hint="eastAsia"/>
          <w:color w:val="auto"/>
          <w:kern w:val="0"/>
        </w:rPr>
        <w:t>年</w:t>
      </w:r>
      <w:r>
        <w:rPr>
          <w:rFonts w:hint="eastAsia"/>
          <w:color w:val="auto"/>
          <w:szCs w:val="24"/>
          <w:lang w:val="en-US" w:eastAsia="zh-CN"/>
        </w:rPr>
        <w:t>8</w:t>
      </w:r>
      <w:r>
        <w:rPr>
          <w:color w:val="auto"/>
          <w:szCs w:val="24"/>
        </w:rPr>
        <w:t>月</w:t>
      </w:r>
      <w:r>
        <w:rPr>
          <w:rFonts w:hint="eastAsia"/>
          <w:color w:val="auto"/>
          <w:szCs w:val="24"/>
          <w:lang w:val="en-US" w:eastAsia="zh-CN"/>
        </w:rPr>
        <w:t>22</w:t>
      </w:r>
      <w:r>
        <w:rPr>
          <w:color w:val="auto"/>
          <w:szCs w:val="24"/>
        </w:rPr>
        <w:t>日</w:t>
      </w:r>
      <w:r>
        <w:rPr>
          <w:rFonts w:hint="eastAsia"/>
          <w:color w:val="auto"/>
        </w:rPr>
        <w:t>（合同签订后7个工作日内）起通过</w:t>
      </w:r>
      <w:r>
        <w:rPr>
          <w:rFonts w:hint="eastAsia"/>
          <w:color w:val="auto"/>
          <w:lang w:eastAsia="zh-CN"/>
        </w:rPr>
        <w:t>重庆海宇环保科技有限公司</w:t>
      </w:r>
      <w:r>
        <w:rPr>
          <w:rFonts w:hint="eastAsia"/>
          <w:color w:val="auto"/>
        </w:rPr>
        <w:t>官方网站（https://www.haiyu1208.com/index.html）进行了首次公示。在项目初稿完成后，在20年月日～年月日分别通过网络公示、登报公示、现场张贴公示三种方式进行第二次公示。网络公示：建设单位通过</w:t>
      </w:r>
      <w:r>
        <w:rPr>
          <w:rFonts w:hint="eastAsia"/>
          <w:color w:val="auto"/>
          <w:lang w:eastAsia="zh-CN"/>
        </w:rPr>
        <w:t>重庆海宇环保科技有限公司</w:t>
      </w:r>
      <w:r>
        <w:rPr>
          <w:rFonts w:hint="eastAsia"/>
          <w:color w:val="auto"/>
        </w:rPr>
        <w:t>官方网站（https://www.haiyu1208.com/index.html）进行公示；登报公示</w:t>
      </w:r>
      <w:r>
        <w:rPr>
          <w:rFonts w:hint="eastAsia"/>
          <w:color w:val="auto"/>
          <w:highlight w:val="none"/>
        </w:rPr>
        <w:t>：建设单位分别于2025年10月15日和2025年10月20日在《重庆法治报》公示公告栏刊登第二次公示相关信息；现场张贴公示：在二次公示期间，建设单位在乌杨街道公示栏、将军社区公示栏、黄谷社区公示栏、文峰社区公示栏、较近居民点和项目场地进行了现场张贴公示。建设单位和环评单位在拟建项目公示期间均未收到公众反馈意见和建议。</w:t>
      </w:r>
    </w:p>
    <w:p w14:paraId="652B0D27">
      <w:pPr>
        <w:spacing w:line="360" w:lineRule="auto"/>
        <w:ind w:firstLine="480"/>
        <w:rPr>
          <w:color w:val="auto"/>
          <w:highlight w:val="none"/>
        </w:rPr>
      </w:pPr>
      <w:r>
        <w:rPr>
          <w:rFonts w:hint="eastAsia"/>
          <w:color w:val="auto"/>
          <w:highlight w:val="none"/>
        </w:rPr>
        <w:t>202</w:t>
      </w:r>
      <w:r>
        <w:rPr>
          <w:rFonts w:hint="eastAsia"/>
          <w:color w:val="auto"/>
          <w:highlight w:val="none"/>
          <w:lang w:val="en-US" w:eastAsia="zh-CN"/>
        </w:rPr>
        <w:t>5</w:t>
      </w:r>
      <w:r>
        <w:rPr>
          <w:rFonts w:hint="eastAsia"/>
          <w:color w:val="auto"/>
          <w:highlight w:val="none"/>
        </w:rPr>
        <w:t>年</w:t>
      </w:r>
      <w:r>
        <w:rPr>
          <w:rFonts w:hint="eastAsia"/>
          <w:color w:val="auto"/>
          <w:highlight w:val="none"/>
          <w:lang w:val="en-US" w:eastAsia="zh-CN"/>
        </w:rPr>
        <w:t>10</w:t>
      </w:r>
      <w:r>
        <w:rPr>
          <w:rFonts w:hint="eastAsia"/>
          <w:color w:val="auto"/>
          <w:highlight w:val="none"/>
        </w:rPr>
        <w:t>月</w:t>
      </w:r>
      <w:r>
        <w:rPr>
          <w:rFonts w:hint="eastAsia"/>
          <w:color w:val="auto"/>
          <w:highlight w:val="none"/>
          <w:lang w:val="en-US" w:eastAsia="zh-CN"/>
        </w:rPr>
        <w:t>26</w:t>
      </w:r>
      <w:r>
        <w:rPr>
          <w:rFonts w:hint="eastAsia"/>
          <w:color w:val="auto"/>
          <w:highlight w:val="none"/>
        </w:rPr>
        <w:t>日建设单位向生态环境主管部门报批拟建项目环境影响报告书前，在</w:t>
      </w:r>
      <w:r>
        <w:rPr>
          <w:rFonts w:hint="eastAsia"/>
          <w:color w:val="auto"/>
          <w:highlight w:val="none"/>
          <w:lang w:eastAsia="zh-CN"/>
        </w:rPr>
        <w:t>重庆海宇环保科技有限公司</w:t>
      </w:r>
      <w:r>
        <w:rPr>
          <w:rFonts w:hint="eastAsia"/>
          <w:color w:val="auto"/>
          <w:highlight w:val="none"/>
        </w:rPr>
        <w:t>官方网站（https://www.haiyu1208.com/index.html）信息公开专栏上公开了项目报告书全文和公众参与说明。</w:t>
      </w:r>
    </w:p>
    <w:p w14:paraId="18633B17">
      <w:pPr>
        <w:spacing w:line="360" w:lineRule="auto"/>
        <w:ind w:firstLine="480"/>
        <w:rPr>
          <w:color w:val="auto"/>
        </w:rPr>
      </w:pPr>
      <w:r>
        <w:rPr>
          <w:rFonts w:hint="eastAsia"/>
          <w:color w:val="auto"/>
        </w:rPr>
        <w:t>在整个环境影响评价过程中，建设单位作为责任主体将拟建项目环境影响评价的基本情况和内容成果向公众进行了公开，以广泛征集公众对拟建项目环境保护方面的意见。建设单位和环评单位在拟建项目公示期间均未收到公众反馈意见和建议。</w:t>
      </w:r>
    </w:p>
    <w:p w14:paraId="1CD6F0EE">
      <w:pPr>
        <w:pStyle w:val="4"/>
        <w:numPr>
          <w:ilvl w:val="0"/>
          <w:numId w:val="0"/>
        </w:numPr>
        <w:spacing w:line="360" w:lineRule="auto"/>
        <w:rPr>
          <w:color w:val="auto"/>
          <w:szCs w:val="24"/>
        </w:rPr>
      </w:pPr>
      <w:bookmarkStart w:id="412" w:name="_Toc472509361"/>
      <w:bookmarkStart w:id="413" w:name="_Toc25902"/>
      <w:r>
        <w:rPr>
          <w:rFonts w:hint="eastAsia"/>
          <w:color w:val="auto"/>
          <w:szCs w:val="24"/>
        </w:rPr>
        <w:t>1</w:t>
      </w:r>
      <w:r>
        <w:rPr>
          <w:color w:val="auto"/>
          <w:szCs w:val="24"/>
        </w:rPr>
        <w:t>1.7环境影响经济损益分析</w:t>
      </w:r>
      <w:bookmarkEnd w:id="412"/>
      <w:bookmarkEnd w:id="413"/>
    </w:p>
    <w:p w14:paraId="6D2F6B5B">
      <w:pPr>
        <w:spacing w:line="360" w:lineRule="auto"/>
        <w:ind w:firstLine="480"/>
        <w:rPr>
          <w:color w:val="auto"/>
          <w:szCs w:val="24"/>
        </w:rPr>
      </w:pPr>
      <w:r>
        <w:rPr>
          <w:color w:val="auto"/>
          <w:szCs w:val="24"/>
        </w:rPr>
        <w:t>拟建项目</w:t>
      </w:r>
      <w:r>
        <w:rPr>
          <w:rFonts w:hint="eastAsia"/>
          <w:color w:val="auto"/>
          <w:szCs w:val="24"/>
        </w:rPr>
        <w:t>属于污水处理工程，</w:t>
      </w:r>
      <w:r>
        <w:rPr>
          <w:color w:val="auto"/>
          <w:szCs w:val="24"/>
        </w:rPr>
        <w:t>是一项</w:t>
      </w:r>
      <w:r>
        <w:rPr>
          <w:rFonts w:hint="eastAsia"/>
          <w:bCs/>
          <w:color w:val="auto"/>
          <w:szCs w:val="24"/>
          <w:lang w:eastAsia="zh-CN"/>
        </w:rPr>
        <w:t>生态环境保护</w:t>
      </w:r>
      <w:r>
        <w:rPr>
          <w:rFonts w:hint="eastAsia"/>
          <w:bCs/>
          <w:color w:val="auto"/>
          <w:szCs w:val="24"/>
        </w:rPr>
        <w:t>工程</w:t>
      </w:r>
      <w:r>
        <w:rPr>
          <w:color w:val="auto"/>
          <w:szCs w:val="24"/>
        </w:rPr>
        <w:t>，具有较好的</w:t>
      </w:r>
      <w:r>
        <w:rPr>
          <w:rFonts w:hint="eastAsia"/>
          <w:color w:val="auto"/>
          <w:szCs w:val="24"/>
        </w:rPr>
        <w:t>社会、经济、</w:t>
      </w:r>
      <w:r>
        <w:rPr>
          <w:color w:val="auto"/>
          <w:szCs w:val="24"/>
        </w:rPr>
        <w:t>环境效益。</w:t>
      </w:r>
    </w:p>
    <w:p w14:paraId="66A57AE5">
      <w:pPr>
        <w:pStyle w:val="4"/>
        <w:numPr>
          <w:ilvl w:val="0"/>
          <w:numId w:val="0"/>
        </w:numPr>
        <w:spacing w:line="360" w:lineRule="auto"/>
        <w:rPr>
          <w:color w:val="auto"/>
          <w:szCs w:val="24"/>
        </w:rPr>
      </w:pPr>
      <w:bookmarkStart w:id="414" w:name="_Toc472509362"/>
      <w:bookmarkStart w:id="415" w:name="_Toc28768"/>
      <w:r>
        <w:rPr>
          <w:rFonts w:hint="eastAsia"/>
          <w:color w:val="auto"/>
          <w:szCs w:val="24"/>
        </w:rPr>
        <w:t>1</w:t>
      </w:r>
      <w:r>
        <w:rPr>
          <w:color w:val="auto"/>
          <w:szCs w:val="24"/>
        </w:rPr>
        <w:t>1.8环境管理与监测计划</w:t>
      </w:r>
      <w:bookmarkEnd w:id="414"/>
      <w:bookmarkEnd w:id="415"/>
    </w:p>
    <w:p w14:paraId="5F1E2374">
      <w:pPr>
        <w:spacing w:line="360" w:lineRule="auto"/>
        <w:ind w:firstLine="480"/>
        <w:rPr>
          <w:b/>
          <w:color w:val="auto"/>
          <w:szCs w:val="24"/>
        </w:rPr>
      </w:pPr>
      <w:r>
        <w:rPr>
          <w:color w:val="auto"/>
          <w:szCs w:val="24"/>
        </w:rPr>
        <w:t>企业应及时配置环保机构、监测人员及监测设备。按环境影响报告书的要求严格落实环保“三同时”，明确职责，专人管理，切实搞好环境管理和监测、验收工作，保证环保设施的正常运行，规范排污口</w:t>
      </w:r>
      <w:r>
        <w:rPr>
          <w:rFonts w:hint="eastAsia"/>
          <w:color w:val="auto"/>
          <w:szCs w:val="24"/>
        </w:rPr>
        <w:t>，</w:t>
      </w:r>
      <w:r>
        <w:rPr>
          <w:color w:val="auto"/>
          <w:szCs w:val="24"/>
        </w:rPr>
        <w:t>落实自行监测要求。</w:t>
      </w:r>
    </w:p>
    <w:p w14:paraId="4E9A9EB7">
      <w:pPr>
        <w:pStyle w:val="4"/>
        <w:numPr>
          <w:ilvl w:val="0"/>
          <w:numId w:val="0"/>
        </w:numPr>
        <w:spacing w:line="360" w:lineRule="auto"/>
        <w:rPr>
          <w:color w:val="auto"/>
          <w:szCs w:val="24"/>
        </w:rPr>
      </w:pPr>
      <w:bookmarkStart w:id="416" w:name="_Toc472509363"/>
      <w:bookmarkStart w:id="417" w:name="_Toc14265"/>
      <w:r>
        <w:rPr>
          <w:color w:val="auto"/>
          <w:szCs w:val="24"/>
          <w:lang w:val="en-US"/>
        </w:rPr>
        <w:t>11.9</w:t>
      </w:r>
      <w:r>
        <w:rPr>
          <w:color w:val="auto"/>
          <w:szCs w:val="24"/>
        </w:rPr>
        <w:t>综合结论</w:t>
      </w:r>
      <w:bookmarkEnd w:id="416"/>
      <w:bookmarkEnd w:id="417"/>
    </w:p>
    <w:p w14:paraId="42408AE0">
      <w:pPr>
        <w:spacing w:line="360" w:lineRule="auto"/>
        <w:ind w:firstLine="480"/>
        <w:rPr>
          <w:color w:val="auto"/>
          <w:szCs w:val="24"/>
        </w:rPr>
      </w:pPr>
      <w:r>
        <w:rPr>
          <w:rFonts w:hint="eastAsia"/>
          <w:color w:val="auto"/>
          <w:szCs w:val="24"/>
          <w:lang w:eastAsia="zh-CN"/>
        </w:rPr>
        <w:t>重庆海宇环保科技有限公司页岩气开采废水处理项目</w:t>
      </w:r>
      <w:r>
        <w:rPr>
          <w:rFonts w:hint="eastAsia"/>
          <w:color w:val="auto"/>
          <w:szCs w:val="24"/>
        </w:rPr>
        <w:t>设计废水处理规模2000m</w:t>
      </w:r>
      <w:r>
        <w:rPr>
          <w:rFonts w:hint="eastAsia"/>
          <w:color w:val="auto"/>
          <w:szCs w:val="24"/>
          <w:vertAlign w:val="superscript"/>
        </w:rPr>
        <w:t>3</w:t>
      </w:r>
      <w:r>
        <w:rPr>
          <w:rFonts w:hint="eastAsia"/>
          <w:color w:val="auto"/>
          <w:szCs w:val="24"/>
        </w:rPr>
        <w:t>/d，采用</w:t>
      </w:r>
      <w:r>
        <w:rPr>
          <w:rFonts w:hint="eastAsia" w:cs="Tunga"/>
          <w:color w:val="auto"/>
        </w:rPr>
        <w:t>“</w:t>
      </w:r>
      <w:r>
        <w:rPr>
          <w:rFonts w:hint="eastAsia" w:cs="Tunga"/>
          <w:color w:val="auto"/>
          <w:lang w:eastAsia="zh-CN"/>
        </w:rPr>
        <w:t>调节+气浮+化学除重+高密软化沉淀+芬顿氧化+中和沉淀+精密过滤+DTRO膜浓缩+浓水蒸发结晶</w:t>
      </w:r>
      <w:r>
        <w:rPr>
          <w:rFonts w:hint="eastAsia" w:cs="Tunga"/>
          <w:color w:val="auto"/>
        </w:rPr>
        <w:t>”处理工艺</w:t>
      </w:r>
      <w:r>
        <w:rPr>
          <w:rFonts w:hint="eastAsia"/>
          <w:color w:val="auto"/>
        </w:rPr>
        <w:t>。</w:t>
      </w:r>
      <w:r>
        <w:rPr>
          <w:rFonts w:hint="eastAsia"/>
          <w:bCs/>
          <w:color w:val="auto"/>
          <w:szCs w:val="24"/>
        </w:rPr>
        <w:t>项目建设符合国家及重庆市相关产业政策，符合国家及重庆市相关环境保护政策，符合规划及规划环评，符合重庆市及</w:t>
      </w:r>
      <w:r>
        <w:rPr>
          <w:rFonts w:hint="eastAsia"/>
          <w:bCs/>
          <w:color w:val="auto"/>
          <w:szCs w:val="24"/>
          <w:lang w:eastAsia="zh-CN"/>
        </w:rPr>
        <w:t>忠县“三线一单”</w:t>
      </w:r>
      <w:r>
        <w:rPr>
          <w:rFonts w:hint="eastAsia"/>
          <w:bCs/>
          <w:color w:val="auto"/>
          <w:szCs w:val="24"/>
        </w:rPr>
        <w:t>生态环境分区管控要求。项目是一项</w:t>
      </w:r>
      <w:r>
        <w:rPr>
          <w:rFonts w:hint="eastAsia"/>
          <w:bCs/>
          <w:color w:val="auto"/>
          <w:szCs w:val="24"/>
          <w:lang w:eastAsia="zh-CN"/>
        </w:rPr>
        <w:t>生态环境保护</w:t>
      </w:r>
      <w:r>
        <w:rPr>
          <w:rFonts w:hint="eastAsia"/>
          <w:bCs/>
          <w:color w:val="auto"/>
          <w:szCs w:val="24"/>
        </w:rPr>
        <w:t>工程，在严格落实各项目生态环境保护治理措施和风险防范措施的情况下，各污染物能达标排放</w:t>
      </w:r>
      <w:r>
        <w:rPr>
          <w:rFonts w:hint="eastAsia"/>
          <w:bCs/>
          <w:color w:val="auto"/>
          <w:szCs w:val="24"/>
          <w:lang w:eastAsia="zh-CN"/>
        </w:rPr>
        <w:t>，满足总量控制要求</w:t>
      </w:r>
      <w:r>
        <w:rPr>
          <w:rFonts w:hint="eastAsia"/>
          <w:bCs/>
          <w:color w:val="auto"/>
          <w:szCs w:val="24"/>
        </w:rPr>
        <w:t>，对环境影响较小，不会改变区域环境功能，环境风险可防控。从环境保护角度考虑，项目建设是合理可行的</w:t>
      </w:r>
      <w:r>
        <w:rPr>
          <w:color w:val="auto"/>
          <w:szCs w:val="24"/>
        </w:rPr>
        <w:t>。</w:t>
      </w:r>
    </w:p>
    <w:p w14:paraId="01D9CE2D">
      <w:pPr>
        <w:pStyle w:val="4"/>
        <w:numPr>
          <w:ilvl w:val="0"/>
          <w:numId w:val="0"/>
        </w:numPr>
        <w:spacing w:line="360" w:lineRule="auto"/>
        <w:rPr>
          <w:color w:val="auto"/>
          <w:szCs w:val="24"/>
        </w:rPr>
      </w:pPr>
      <w:bookmarkStart w:id="418" w:name="_Toc10959"/>
      <w:r>
        <w:rPr>
          <w:rFonts w:hint="eastAsia"/>
          <w:color w:val="auto"/>
          <w:szCs w:val="24"/>
        </w:rPr>
        <w:t>1</w:t>
      </w:r>
      <w:r>
        <w:rPr>
          <w:color w:val="auto"/>
          <w:szCs w:val="24"/>
        </w:rPr>
        <w:t>1.10建议</w:t>
      </w:r>
      <w:bookmarkEnd w:id="418"/>
    </w:p>
    <w:p w14:paraId="7BB326C6">
      <w:pPr>
        <w:spacing w:line="360" w:lineRule="auto"/>
        <w:ind w:firstLine="480"/>
        <w:rPr>
          <w:color w:val="auto"/>
          <w:szCs w:val="24"/>
          <w:lang w:val="zh-CN"/>
        </w:rPr>
      </w:pPr>
      <w:r>
        <w:rPr>
          <w:color w:val="auto"/>
          <w:szCs w:val="24"/>
        </w:rPr>
        <w:t>（1）加强污水处理厂进水水质管理，避免影响污水处理厂的正常运行。</w:t>
      </w:r>
    </w:p>
    <w:p w14:paraId="38E4ACA4">
      <w:pPr>
        <w:spacing w:line="360" w:lineRule="auto"/>
        <w:ind w:firstLine="480"/>
        <w:rPr>
          <w:color w:val="auto"/>
        </w:rPr>
      </w:pPr>
      <w:r>
        <w:rPr>
          <w:color w:val="auto"/>
          <w:szCs w:val="24"/>
          <w:lang w:val="zh-CN"/>
        </w:rPr>
        <w:t>（2）</w:t>
      </w:r>
      <w:r>
        <w:rPr>
          <w:color w:val="auto"/>
          <w:szCs w:val="24"/>
        </w:rPr>
        <w:t>加强</w:t>
      </w:r>
      <w:r>
        <w:rPr>
          <w:rFonts w:hint="eastAsia"/>
          <w:color w:val="auto"/>
          <w:szCs w:val="24"/>
        </w:rPr>
        <w:t>环保</w:t>
      </w:r>
      <w:r>
        <w:rPr>
          <w:color w:val="auto"/>
          <w:szCs w:val="24"/>
        </w:rPr>
        <w:t>管理，定期维护，确保污水处理处于良好的运行状况</w:t>
      </w:r>
      <w:r>
        <w:rPr>
          <w:rFonts w:hint="eastAsia"/>
          <w:color w:val="auto"/>
          <w:szCs w:val="24"/>
        </w:rPr>
        <w:t>，确保</w:t>
      </w:r>
      <w:r>
        <w:rPr>
          <w:color w:val="auto"/>
          <w:szCs w:val="24"/>
        </w:rPr>
        <w:t>污水处理厂长期、稳定</w:t>
      </w:r>
      <w:r>
        <w:rPr>
          <w:rFonts w:hint="eastAsia"/>
          <w:color w:val="auto"/>
          <w:szCs w:val="24"/>
        </w:rPr>
        <w:t>达标</w:t>
      </w:r>
      <w:r>
        <w:rPr>
          <w:color w:val="auto"/>
          <w:szCs w:val="24"/>
        </w:rPr>
        <w:t>排放</w:t>
      </w:r>
      <w:r>
        <w:rPr>
          <w:color w:val="auto"/>
        </w:rPr>
        <w:t>。</w:t>
      </w:r>
    </w:p>
    <w:p w14:paraId="61B895DF">
      <w:pPr>
        <w:spacing w:line="360" w:lineRule="auto"/>
        <w:ind w:firstLine="480"/>
        <w:rPr>
          <w:color w:val="auto"/>
        </w:rPr>
        <w:sectPr>
          <w:pgSz w:w="11906" w:h="16838"/>
          <w:pgMar w:top="1418" w:right="1418" w:bottom="1418" w:left="1418" w:header="851" w:footer="992" w:gutter="0"/>
          <w:pgBorders>
            <w:top w:val="none" w:sz="0" w:space="0"/>
            <w:left w:val="none" w:sz="0" w:space="0"/>
            <w:bottom w:val="none" w:sz="0" w:space="0"/>
            <w:right w:val="none" w:sz="0" w:space="0"/>
          </w:pgBorders>
          <w:cols w:space="425" w:num="1"/>
          <w:docGrid w:linePitch="312" w:charSpace="0"/>
        </w:sectPr>
      </w:pPr>
    </w:p>
    <w:p w14:paraId="20CD3648">
      <w:pPr>
        <w:spacing w:line="360" w:lineRule="auto"/>
        <w:ind w:firstLine="480"/>
        <w:rPr>
          <w:color w:val="auto"/>
        </w:rPr>
      </w:pPr>
      <w:r>
        <w:drawing>
          <wp:anchor distT="0" distB="0" distL="114300" distR="114300" simplePos="0" relativeHeight="251664384" behindDoc="0" locked="0" layoutInCell="1" allowOverlap="1">
            <wp:simplePos x="0" y="0"/>
            <wp:positionH relativeFrom="column">
              <wp:posOffset>-685800</wp:posOffset>
            </wp:positionH>
            <wp:positionV relativeFrom="paragraph">
              <wp:posOffset>-378460</wp:posOffset>
            </wp:positionV>
            <wp:extent cx="7124700" cy="9655175"/>
            <wp:effectExtent l="0" t="0" r="0" b="3175"/>
            <wp:wrapNone/>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61"/>
                    <a:stretch>
                      <a:fillRect/>
                    </a:stretch>
                  </pic:blipFill>
                  <pic:spPr>
                    <a:xfrm>
                      <a:off x="0" y="0"/>
                      <a:ext cx="7124700" cy="9655175"/>
                    </a:xfrm>
                    <a:prstGeom prst="rect">
                      <a:avLst/>
                    </a:prstGeom>
                    <a:noFill/>
                    <a:ln>
                      <a:noFill/>
                    </a:ln>
                  </pic:spPr>
                </pic:pic>
              </a:graphicData>
            </a:graphic>
          </wp:anchor>
        </w:drawing>
      </w:r>
    </w:p>
    <w:sectPr>
      <w:pgSz w:w="11906" w:h="16838"/>
      <w:pgMar w:top="1418" w:right="1418" w:bottom="1418" w:left="1418" w:header="851" w:footer="992" w:gutter="0"/>
      <w:pgBorders>
        <w:top w:val="none" w:sz="0" w:space="0"/>
        <w:left w:val="none" w:sz="0" w:space="0"/>
        <w:bottom w:val="none" w:sz="0" w:space="0"/>
        <w:right w:val="none" w:sz="0" w:space="0"/>
      </w:pgBorders>
      <w:cols w:space="425"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decorative"/>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Arial Narrow">
    <w:panose1 w:val="020B0606020202030204"/>
    <w:charset w:val="00"/>
    <w:family w:val="swiss"/>
    <w:pitch w:val="default"/>
    <w:sig w:usb0="00000287" w:usb1="00000800" w:usb2="00000000" w:usb3="00000000" w:csb0="2000009F" w:csb1="DFD7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方正魏碑简体">
    <w:altName w:val="宋体"/>
    <w:panose1 w:val="00000000000000000000"/>
    <w:charset w:val="86"/>
    <w:family w:val="auto"/>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6"/>
    <w:family w:val="swiss"/>
    <w:pitch w:val="default"/>
    <w:sig w:usb0="FFFFFFFF" w:usb1="E9FFFFFF" w:usb2="0000003F" w:usb3="00000000" w:csb0="603F01FF" w:csb1="FFFF0000"/>
  </w:font>
  <w:font w:name="Verdana">
    <w:panose1 w:val="020B0604030504040204"/>
    <w:charset w:val="00"/>
    <w:family w:val="swiss"/>
    <w:pitch w:val="default"/>
    <w:sig w:usb0="A10006FF" w:usb1="4000205B" w:usb2="00000010" w:usb3="00000000" w:csb0="2000019F" w:csb1="00000000"/>
  </w:font>
  <w:font w:name="Century Gothic">
    <w:panose1 w:val="020B0502020202020204"/>
    <w:charset w:val="00"/>
    <w:family w:val="swiss"/>
    <w:pitch w:val="default"/>
    <w:sig w:usb0="00000287" w:usb1="00000000" w:usb2="00000000" w:usb3="00000000" w:csb0="2000009F" w:csb1="DFD70000"/>
  </w:font>
  <w:font w:name="ˎ̥">
    <w:altName w:val="Times New Roman"/>
    <w:panose1 w:val="00000000000000000000"/>
    <w:charset w:val="00"/>
    <w:family w:val="auto"/>
    <w:pitch w:val="default"/>
    <w:sig w:usb0="00000000" w:usb1="00000000" w:usb2="00000000" w:usb3="00000000" w:csb0="00040001" w:csb1="00000000"/>
  </w:font>
  <w:font w:name="CommercialPi BT">
    <w:panose1 w:val="05020102010206080802"/>
    <w:charset w:val="02"/>
    <w:family w:val="roman"/>
    <w:pitch w:val="default"/>
    <w:sig w:usb0="00000000" w:usb1="00000000" w:usb2="00000000" w:usb3="00000000" w:csb0="00000000" w:csb1="00000000"/>
  </w:font>
  <w:font w:name="隶书">
    <w:panose1 w:val="02010509060101010101"/>
    <w:charset w:val="86"/>
    <w:family w:val="modern"/>
    <w:pitch w:val="default"/>
    <w:sig w:usb0="00000001" w:usb1="080E0000" w:usb2="00000000" w:usb3="00000000" w:csb0="00040000" w:csb1="00000000"/>
  </w:font>
  <w:font w:name="方正宋三简体">
    <w:altName w:val="宋体"/>
    <w:panose1 w:val="00000000000000000000"/>
    <w:charset w:val="86"/>
    <w:family w:val="auto"/>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仿宋体">
    <w:altName w:val="宋体"/>
    <w:panose1 w:val="00000000000000000000"/>
    <w:charset w:val="86"/>
    <w:family w:val="auto"/>
    <w:pitch w:val="default"/>
    <w:sig w:usb0="00000000" w:usb1="00000000" w:usb2="00000010" w:usb3="00000000" w:csb0="00040001" w:csb1="00000000"/>
  </w:font>
  <w:font w:name="微软雅黑">
    <w:panose1 w:val="020B0503020204020204"/>
    <w:charset w:val="86"/>
    <w:family w:val="swiss"/>
    <w:pitch w:val="default"/>
    <w:sig w:usb0="80000287" w:usb1="280F3C52" w:usb2="00000016" w:usb3="00000000" w:csb0="0004001F" w:csb1="00000000"/>
  </w:font>
  <w:font w:name="华文宋体">
    <w:panose1 w:val="02010600040101010101"/>
    <w:charset w:val="86"/>
    <w:family w:val="auto"/>
    <w:pitch w:val="default"/>
    <w:sig w:usb0="00000287" w:usb1="080F0000" w:usb2="00000000" w:usb3="00000000" w:csb0="0004009F" w:csb1="DFD70000"/>
  </w:font>
  <w:font w:name="新宋体">
    <w:panose1 w:val="02010609030101010101"/>
    <w:charset w:val="86"/>
    <w:family w:val="modern"/>
    <w:pitch w:val="default"/>
    <w:sig w:usb0="00000003" w:usb1="288F0000" w:usb2="00000006" w:usb3="00000000" w:csb0="00040001" w:csb1="00000000"/>
  </w:font>
  <w:font w:name="Arial Black">
    <w:panose1 w:val="020B0A04020102020204"/>
    <w:charset w:val="00"/>
    <w:family w:val="swiss"/>
    <w:pitch w:val="default"/>
    <w:sig w:usb0="00000287" w:usb1="00000000" w:usb2="00000000" w:usb3="00000000" w:csb0="2000009F" w:csb1="DFD70000"/>
  </w:font>
  <w:font w:name="华文仿宋">
    <w:panose1 w:val="02010600040101010101"/>
    <w:charset w:val="86"/>
    <w:family w:val="auto"/>
    <w:pitch w:val="default"/>
    <w:sig w:usb0="00000287" w:usb1="080F0000" w:usb2="00000000" w:usb3="00000000" w:csb0="0004009F" w:csb1="DFD70000"/>
  </w:font>
  <w:font w:name="方正小标宋简体">
    <w:altName w:val="Arial Unicode MS"/>
    <w:panose1 w:val="02010600010101010101"/>
    <w:charset w:val="86"/>
    <w:family w:val="script"/>
    <w:pitch w:val="default"/>
    <w:sig w:usb0="00000000" w:usb1="00000000" w:usb2="00000000" w:usb3="00000000" w:csb0="00040000" w:csb1="00000000"/>
  </w:font>
  <w:font w:name="方正仿宋简体">
    <w:altName w:val="Arial Unicode MS"/>
    <w:panose1 w:val="00000000000000000000"/>
    <w:charset w:val="86"/>
    <w:family w:val="script"/>
    <w:pitch w:val="default"/>
    <w:sig w:usb0="00000000" w:usb1="00000000" w:usb2="00000010" w:usb3="00000000" w:csb0="00040000" w:csb1="00000000"/>
  </w:font>
  <w:font w:name="方正黑体简体">
    <w:altName w:val="Arial Unicode MS"/>
    <w:panose1 w:val="00000000000000000000"/>
    <w:charset w:val="86"/>
    <w:family w:val="script"/>
    <w:pitch w:val="default"/>
    <w:sig w:usb0="00000000" w:usb1="00000000" w:usb2="00000010" w:usb3="00000000" w:csb0="00040000" w:csb1="00000000"/>
  </w:font>
  <w:font w:name="昆仑黑体">
    <w:altName w:val="黑体"/>
    <w:panose1 w:val="00000000000000000000"/>
    <w:charset w:val="86"/>
    <w:family w:val="modern"/>
    <w:pitch w:val="default"/>
    <w:sig w:usb0="00000000" w:usb1="00000000" w:usb2="00000010" w:usb3="00000000" w:csb0="00040000" w:csb1="00000000"/>
  </w:font>
  <w:font w:name="..">
    <w:altName w:val="Times New Roman"/>
    <w:panose1 w:val="00000000000000000000"/>
    <w:charset w:val="00"/>
    <w:family w:val="roman"/>
    <w:pitch w:val="default"/>
    <w:sig w:usb0="00000000" w:usb1="00000000" w:usb2="00000000" w:usb3="00000000" w:csb0="00000001" w:csb1="00000000"/>
  </w:font>
  <w:font w:name="Sim Sun">
    <w:altName w:val="宋体"/>
    <w:panose1 w:val="00000000000000000000"/>
    <w:charset w:val="86"/>
    <w:family w:val="roman"/>
    <w:pitch w:val="default"/>
    <w:sig w:usb0="00000000" w:usb1="00000000" w:usb2="0000001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华文细黑">
    <w:panose1 w:val="02010600040101010101"/>
    <w:charset w:val="86"/>
    <w:family w:val="auto"/>
    <w:pitch w:val="default"/>
    <w:sig w:usb0="00000287" w:usb1="080F0000" w:usb2="00000000" w:usb3="00000000" w:csb0="0004009F" w:csb1="DFD70000"/>
  </w:font>
  <w:font w:name="華康中楷體">
    <w:altName w:val="Microsoft JhengHei"/>
    <w:panose1 w:val="00000000000000000000"/>
    <w:charset w:val="88"/>
    <w:family w:val="modern"/>
    <w:pitch w:val="default"/>
    <w:sig w:usb0="00000000" w:usb1="00000000" w:usb2="00000010" w:usb3="00000000" w:csb0="00100000" w:csb1="00000000"/>
  </w:font>
  <w:font w:name="Microsoft JhengHei">
    <w:panose1 w:val="020B0604030504040204"/>
    <w:charset w:val="88"/>
    <w:family w:val="auto"/>
    <w:pitch w:val="default"/>
    <w:sig w:usb0="00000087" w:usb1="28AF4000" w:usb2="00000016" w:usb3="00000000" w:csb0="00100009" w:csb1="00000000"/>
  </w:font>
  <w:font w:name="?l?r ｨC?｡ｯ?">
    <w:altName w:val="MS Gothic"/>
    <w:panose1 w:val="00000000000000000000"/>
    <w:charset w:val="80"/>
    <w:family w:val="roman"/>
    <w:pitch w:val="default"/>
    <w:sig w:usb0="00000000" w:usb1="00000000" w:usb2="00000010" w:usb3="00000000" w:csb0="00020000" w:csb1="00000000"/>
  </w:font>
  <w:font w:name="MS Gothic">
    <w:panose1 w:val="020B0609070205080204"/>
    <w:charset w:val="80"/>
    <w:family w:val="auto"/>
    <w:pitch w:val="default"/>
    <w:sig w:usb0="E00002FF" w:usb1="6AC7FDFB" w:usb2="00000012" w:usb3="00000000" w:csb0="4002009F" w:csb1="DFD70000"/>
  </w:font>
  <w:font w:name="Tunga">
    <w:panose1 w:val="020B0502040204020203"/>
    <w:charset w:val="00"/>
    <w:family w:val="swiss"/>
    <w:pitch w:val="default"/>
    <w:sig w:usb0="00400003" w:usb1="00000000" w:usb2="00000000" w:usb3="00000000" w:csb0="00000001" w:csb1="00000000"/>
  </w:font>
  <w:font w:name="Calibri Light">
    <w:panose1 w:val="020F0302020204030204"/>
    <w:charset w:val="00"/>
    <w:family w:val="swiss"/>
    <w:pitch w:val="default"/>
    <w:sig w:usb0="A00002EF" w:usb1="4000207B" w:usb2="00000000" w:usb3="00000000" w:csb0="2000019F" w:csb1="00000000"/>
  </w:font>
  <w:font w:name="Dutch801 Rm BT">
    <w:panose1 w:val="02020603060505020304"/>
    <w:charset w:val="00"/>
    <w:family w:val="roman"/>
    <w:pitch w:val="default"/>
    <w:sig w:usb0="00000000" w:usb1="00000000" w:usb2="00000000" w:usb3="00000000" w:csb0="00000000" w:csb1="00000000"/>
  </w:font>
  <w:font w:name="”“Times New Roman”“">
    <w:altName w:val="宋体"/>
    <w:panose1 w:val="00000000000000000000"/>
    <w:charset w:val="86"/>
    <w:family w:val="roman"/>
    <w:pitch w:val="default"/>
    <w:sig w:usb0="00000000" w:usb1="00000000" w:usb2="00000010" w:usb3="00000000" w:csb0="00040000" w:csb1="00000000"/>
  </w:font>
  <w:font w:name="幼圆">
    <w:panose1 w:val="02010509060101010101"/>
    <w:charset w:val="86"/>
    <w:family w:val="modern"/>
    <w:pitch w:val="default"/>
    <w:sig w:usb0="00000001" w:usb1="080E0000" w:usb2="00000000" w:usb3="00000000" w:csb0="00040000" w:csb1="00000000"/>
  </w:font>
  <w:font w:name="Garamond">
    <w:panose1 w:val="02020404030301010803"/>
    <w:charset w:val="00"/>
    <w:family w:val="roman"/>
    <w:pitch w:val="default"/>
    <w:sig w:usb0="00000287" w:usb1="00000000" w:usb2="00000000" w:usb3="00000000" w:csb0="0000009F" w:csb1="DFD70000"/>
  </w:font>
  <w:font w:name="宋体繁体">
    <w:altName w:val="宋体"/>
    <w:panose1 w:val="00000000000000000000"/>
    <w:charset w:val="86"/>
    <w:family w:val="roman"/>
    <w:pitch w:val="default"/>
    <w:sig w:usb0="00000000" w:usb1="00000000" w:usb2="00000010" w:usb3="00000000" w:csb0="00040000" w:csb1="00000000"/>
  </w:font>
  <w:font w:name="五">
    <w:altName w:val="黑体"/>
    <w:panose1 w:val="00000000000000000000"/>
    <w:charset w:val="86"/>
    <w:family w:val="auto"/>
    <w:pitch w:val="default"/>
    <w:sig w:usb0="00000000" w:usb1="00000000" w:usb2="00000010" w:usb3="00000000" w:csb0="00040000" w:csb1="00000000"/>
  </w:font>
  <w:font w:name="Batang">
    <w:panose1 w:val="02030600000101010101"/>
    <w:charset w:val="81"/>
    <w:family w:val="roman"/>
    <w:pitch w:val="default"/>
    <w:sig w:usb0="B00002AF" w:usb1="69D77CFB" w:usb2="00000030" w:usb3="00000000" w:csb0="4008009F" w:csb1="DFD70000"/>
  </w:font>
  <w:font w:name="Symusic">
    <w:panose1 w:val="00000400000000000000"/>
    <w:charset w:val="00"/>
    <w:family w:val="auto"/>
    <w:pitch w:val="default"/>
    <w:sig w:usb0="00000001" w:usb1="00000000" w:usb2="00000000" w:usb3="00000000" w:csb0="000001FF" w:csb1="00000000"/>
  </w:font>
  <w:font w:name="TimesNewRomanPSMT">
    <w:altName w:val="Times New Roman"/>
    <w:panose1 w:val="00000000000000000000"/>
    <w:charset w:val="80"/>
    <w:family w:val="auto"/>
    <w:pitch w:val="default"/>
    <w:sig w:usb0="00000000" w:usb1="00000000" w:usb2="00000010" w:usb3="00000000" w:csb0="00020000" w:csb1="00000000"/>
  </w:font>
  <w:font w:name="@宋体">
    <w:panose1 w:val="02010600030101010101"/>
    <w:charset w:val="86"/>
    <w:family w:val="auto"/>
    <w:pitch w:val="default"/>
    <w:sig w:usb0="00000003" w:usb1="288F0000" w:usb2="00000006" w:usb3="00000000" w:csb0="00040001" w:csb1="00000000"/>
  </w:font>
  <w:font w:name="MS Mincho">
    <w:panose1 w:val="02020609040205080304"/>
    <w:charset w:val="80"/>
    <w:family w:val="modern"/>
    <w:pitch w:val="default"/>
    <w:sig w:usb0="E00002FF" w:usb1="6AC7FDFB" w:usb2="00000012" w:usb3="00000000" w:csb0="4002009F" w:csb1="DFD70000"/>
  </w:font>
  <w:font w:name="华文新魏">
    <w:panose1 w:val="02010800040101010101"/>
    <w:charset w:val="86"/>
    <w:family w:val="auto"/>
    <w:pitch w:val="default"/>
    <w:sig w:usb0="00000001" w:usb1="080F0000" w:usb2="00000000" w:usb3="00000000" w:csb0="00040000" w:csb1="00000000"/>
  </w:font>
  <w:font w:name="Book Antiqua">
    <w:panose1 w:val="02040602050305030304"/>
    <w:charset w:val="00"/>
    <w:family w:val="roman"/>
    <w:pitch w:val="default"/>
    <w:sig w:usb0="00000287" w:usb1="00000000" w:usb2="00000000" w:usb3="00000000" w:csb0="2000009F" w:csb1="DFD70000"/>
  </w:font>
  <w:font w:name="TimesNewRoman">
    <w:altName w:val="宋体"/>
    <w:panose1 w:val="00000000000000000000"/>
    <w:charset w:val="00"/>
    <w:family w:val="auto"/>
    <w:pitch w:val="default"/>
    <w:sig w:usb0="00000000" w:usb1="00000000" w:usb2="00000000" w:usb3="00000000" w:csb0="00040001" w:csb1="00000000"/>
  </w:font>
  <w:font w:name="CG Times (W1)">
    <w:altName w:val="Times New Roman"/>
    <w:panose1 w:val="00000000000000000000"/>
    <w:charset w:val="01"/>
    <w:family w:val="roman"/>
    <w:pitch w:val="default"/>
    <w:sig w:usb0="00000000" w:usb1="00000000" w:usb2="00000000" w:usb3="00000000" w:csb0="00000001" w:csb1="00000000"/>
  </w:font>
  <w:font w:name="_GB2312">
    <w:altName w:val="Times New Roman"/>
    <w:panose1 w:val="00000000000000000000"/>
    <w:charset w:val="00"/>
    <w:family w:val="roman"/>
    <w:pitch w:val="default"/>
    <w:sig w:usb0="00000000" w:usb1="00000000" w:usb2="00000000" w:usb3="00000000" w:csb0="00040001" w:csb1="00000000"/>
  </w:font>
  <w:font w:name="Angsana New">
    <w:panose1 w:val="02020603050405020304"/>
    <w:charset w:val="00"/>
    <w:family w:val="roman"/>
    <w:pitch w:val="default"/>
    <w:sig w:usb0="81000003" w:usb1="00000000" w:usb2="00000000" w:usb3="00000000" w:csb0="00010001" w:csb1="00000000"/>
  </w:font>
  <w:font w:name="方正楷体简体">
    <w:altName w:val="宋体"/>
    <w:panose1 w:val="00000000000000000000"/>
    <w:charset w:val="86"/>
    <w:family w:val="script"/>
    <w:pitch w:val="default"/>
    <w:sig w:usb0="00000000" w:usb1="00000000" w:usb2="00000010" w:usb3="00000000" w:csb0="00040000" w:csb1="00000000"/>
  </w:font>
  <w:font w:name="Century">
    <w:panose1 w:val="02040604050505020304"/>
    <w:charset w:val="00"/>
    <w:family w:val="roman"/>
    <w:pitch w:val="default"/>
    <w:sig w:usb0="00000287" w:usb1="00000000" w:usb2="00000000" w:usb3="00000000" w:csb0="2000009F" w:csb1="DFD70000"/>
  </w:font>
  <w:font w:name="Arial Rounded MT Bold">
    <w:panose1 w:val="020F0704030504030204"/>
    <w:charset w:val="00"/>
    <w:family w:val="swiss"/>
    <w:pitch w:val="default"/>
    <w:sig w:usb0="00000003" w:usb1="00000000" w:usb2="00000000" w:usb3="00000000" w:csb0="20000001" w:csb1="00000000"/>
  </w:font>
  <w:font w:name="Century Schoolbook">
    <w:panose1 w:val="02040604050505020304"/>
    <w:charset w:val="00"/>
    <w:family w:val="roman"/>
    <w:pitch w:val="default"/>
    <w:sig w:usb0="00000287" w:usb1="00000000" w:usb2="00000000" w:usb3="00000000" w:csb0="2000009F" w:csb1="DFD70000"/>
  </w:font>
  <w:font w:name="Kai Titling">
    <w:altName w:val="黑体"/>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Wingdings 2">
    <w:panose1 w:val="05020102010507070707"/>
    <w:charset w:val="02"/>
    <w:family w:val="roman"/>
    <w:pitch w:val="default"/>
    <w:sig w:usb0="00000000" w:usb1="00000000" w:usb2="00000000" w:usb3="00000000" w:csb0="80000000" w:csb1="00000000"/>
  </w:font>
  <w:font w:name="Segoe UI Symbol">
    <w:panose1 w:val="020B0502040204020203"/>
    <w:charset w:val="00"/>
    <w:family w:val="swiss"/>
    <w:pitch w:val="default"/>
    <w:sig w:usb0="8000006F" w:usb1="1200FBEF" w:usb2="0064C000" w:usb3="00000002" w:csb0="00000001" w:csb1="40000000"/>
  </w:font>
  <w:font w:name="Cambria Math">
    <w:panose1 w:val="02040503050406030204"/>
    <w:charset w:val="00"/>
    <w:family w:val="roman"/>
    <w:pitch w:val="default"/>
    <w:sig w:usb0="E00002FF" w:usb1="420024FF" w:usb2="00000000" w:usb3="00000000" w:csb0="2000019F" w:csb1="00000000"/>
  </w:font>
  <w:font w:name="Segoe UI Historic">
    <w:altName w:val="Segoe UI"/>
    <w:panose1 w:val="020B0502040204020203"/>
    <w:charset w:val="00"/>
    <w:family w:val="swiss"/>
    <w:pitch w:val="default"/>
    <w:sig w:usb0="00000000" w:usb1="00000000" w:usb2="0060C080" w:usb3="00000002" w:csb0="00000001" w:csb1="40000000"/>
  </w:font>
  <w:font w:name="Segoe UI">
    <w:panose1 w:val="020B0502040204020203"/>
    <w:charset w:val="00"/>
    <w:family w:val="auto"/>
    <w:pitch w:val="default"/>
    <w:sig w:usb0="E10022FF" w:usb1="C000E47F" w:usb2="00000029" w:usb3="00000000" w:csb0="200001DF" w:csb1="2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76955459"/>
      <w:showingPlcHdr/>
    </w:sdtPr>
    <w:sdtContent>
      <w:p w14:paraId="5589B1DD">
        <w:pPr>
          <w:pStyle w:val="55"/>
          <w:ind w:firstLine="360"/>
          <w:jc w:val="center"/>
        </w:pPr>
        <w:r>
          <w:t xml:space="preserve">     </w:t>
        </w:r>
      </w:p>
    </w:sdtContent>
  </w:sdt>
  <w:p w14:paraId="17E54453">
    <w:pPr>
      <w:pStyle w:val="5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6D3EEF">
    <w:pPr>
      <w:pStyle w:val="5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47F47E">
    <w:pPr>
      <w:pStyle w:val="5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6912465"/>
    </w:sdtPr>
    <w:sdtContent>
      <w:p w14:paraId="1A49EAEC">
        <w:pPr>
          <w:pStyle w:val="55"/>
          <w:ind w:firstLine="360"/>
          <w:jc w:val="center"/>
        </w:pPr>
        <w:r>
          <w:fldChar w:fldCharType="begin"/>
        </w:r>
        <w:r>
          <w:instrText xml:space="preserve">PAGE   \* MERGEFORMAT</w:instrText>
        </w:r>
        <w:r>
          <w:fldChar w:fldCharType="separate"/>
        </w:r>
        <w:r>
          <w:t>I</w:t>
        </w:r>
        <w:r>
          <w:fldChar w:fldCharType="end"/>
        </w:r>
      </w:p>
    </w:sdtContent>
  </w:sdt>
  <w:p w14:paraId="3A99994D">
    <w:pPr>
      <w:pStyle w:val="55"/>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60328811"/>
    </w:sdtPr>
    <w:sdtContent>
      <w:p w14:paraId="76A2C534">
        <w:pPr>
          <w:pStyle w:val="55"/>
          <w:ind w:firstLine="360"/>
          <w:jc w:val="center"/>
        </w:pPr>
        <w:r>
          <w:fldChar w:fldCharType="begin"/>
        </w:r>
        <w:r>
          <w:instrText xml:space="preserve">PAGE   \* MERGEFORMAT</w:instrText>
        </w:r>
        <w:r>
          <w:fldChar w:fldCharType="separate"/>
        </w:r>
        <w:r>
          <w:t>88</w:t>
        </w:r>
        <w:r>
          <w:fldChar w:fldCharType="end"/>
        </w:r>
      </w:p>
    </w:sdtContent>
  </w:sdt>
  <w:p w14:paraId="6D168181">
    <w:pPr>
      <w:pStyle w:val="55"/>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7CBAB">
    <w:pPr>
      <w:pStyle w:val="55"/>
      <w:spacing w:before="24" w:after="24"/>
      <w:ind w:firstLine="360"/>
      <w:jc w:val="center"/>
    </w:pPr>
    <w:r>
      <w:fldChar w:fldCharType="begin"/>
    </w:r>
    <w:r>
      <w:instrText xml:space="preserve">PAGE   \* MERGEFORMAT</w:instrText>
    </w:r>
    <w:r>
      <w:fldChar w:fldCharType="separate"/>
    </w:r>
    <w:r>
      <w:t>145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8A9504">
    <w:pPr>
      <w:pStyle w:val="2112"/>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EA95B2">
    <w:pPr>
      <w:pStyle w:val="5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7FFF7E">
    <w:pPr>
      <w:pStyle w:val="57"/>
      <w:pBdr>
        <w:bottom w:val="none" w:color="auto" w:sz="0" w:space="0"/>
      </w:pBdr>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A3EEBF">
    <w:pPr>
      <w:pStyle w:val="57"/>
      <w:ind w:firstLine="300"/>
      <w:rPr>
        <w:rFonts w:hint="eastAsia" w:eastAsia="宋体"/>
        <w:lang w:eastAsia="zh-CN"/>
      </w:rPr>
    </w:pPr>
    <w:r>
      <w:rPr>
        <w:rFonts w:hint="eastAsia"/>
        <w:sz w:val="15"/>
        <w:szCs w:val="15"/>
        <w:lang w:eastAsia="zh-CN"/>
      </w:rPr>
      <w:t>重庆海宇环保科技有限公司页岩气开采废水处理项目</w:t>
    </w:r>
    <w:r>
      <w:rPr>
        <w:rFonts w:hint="eastAsia"/>
        <w:sz w:val="15"/>
        <w:szCs w:val="15"/>
      </w:rPr>
      <w:t>环境影响报告书</w:t>
    </w:r>
    <w:r>
      <w:rPr>
        <w:rFonts w:hint="eastAsia"/>
        <w:sz w:val="15"/>
        <w:szCs w:val="15"/>
        <w:lang w:eastAsia="zh-CN"/>
      </w:rPr>
      <w:t>（公示版）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C3089DD"/>
    <w:multiLevelType w:val="singleLevel"/>
    <w:tmpl w:val="FC3089DD"/>
    <w:lvl w:ilvl="0" w:tentative="0">
      <w:start w:val="1"/>
      <w:numFmt w:val="decimal"/>
      <w:suff w:val="nothing"/>
      <w:lvlText w:val="（%1）"/>
      <w:lvlJc w:val="left"/>
    </w:lvl>
  </w:abstractNum>
  <w:abstractNum w:abstractNumId="1">
    <w:nsid w:val="FFFFFF7D"/>
    <w:multiLevelType w:val="singleLevel"/>
    <w:tmpl w:val="FFFFFF7D"/>
    <w:lvl w:ilvl="0" w:tentative="0">
      <w:start w:val="1"/>
      <w:numFmt w:val="decimal"/>
      <w:pStyle w:val="47"/>
      <w:lvlText w:val="%1."/>
      <w:lvlJc w:val="left"/>
      <w:pPr>
        <w:tabs>
          <w:tab w:val="left" w:pos="1620"/>
        </w:tabs>
        <w:ind w:left="1620" w:leftChars="600" w:hanging="360" w:hangingChars="200"/>
      </w:pPr>
    </w:lvl>
  </w:abstractNum>
  <w:abstractNum w:abstractNumId="2">
    <w:nsid w:val="FFFFFF7E"/>
    <w:multiLevelType w:val="singleLevel"/>
    <w:tmpl w:val="FFFFFF7E"/>
    <w:lvl w:ilvl="0" w:tentative="0">
      <w:start w:val="1"/>
      <w:numFmt w:val="decimal"/>
      <w:pStyle w:val="36"/>
      <w:lvlText w:val="%1."/>
      <w:lvlJc w:val="left"/>
      <w:pPr>
        <w:tabs>
          <w:tab w:val="left" w:pos="1200"/>
        </w:tabs>
        <w:ind w:left="1200" w:leftChars="400" w:hanging="360" w:hangingChars="200"/>
      </w:pPr>
    </w:lvl>
  </w:abstractNum>
  <w:abstractNum w:abstractNumId="3">
    <w:nsid w:val="FFFFFF7F"/>
    <w:multiLevelType w:val="singleLevel"/>
    <w:tmpl w:val="FFFFFF7F"/>
    <w:lvl w:ilvl="0" w:tentative="0">
      <w:start w:val="1"/>
      <w:numFmt w:val="decimal"/>
      <w:pStyle w:val="14"/>
      <w:lvlText w:val="%1."/>
      <w:lvlJc w:val="left"/>
      <w:pPr>
        <w:tabs>
          <w:tab w:val="left" w:pos="780"/>
        </w:tabs>
        <w:ind w:left="780" w:leftChars="200" w:hanging="360" w:hangingChars="200"/>
      </w:pPr>
    </w:lvl>
  </w:abstractNum>
  <w:abstractNum w:abstractNumId="4">
    <w:nsid w:val="FFFFFF80"/>
    <w:multiLevelType w:val="singleLevel"/>
    <w:tmpl w:val="FFFFFF80"/>
    <w:lvl w:ilvl="0" w:tentative="0">
      <w:start w:val="1"/>
      <w:numFmt w:val="bullet"/>
      <w:pStyle w:val="46"/>
      <w:lvlText w:val=""/>
      <w:lvlJc w:val="left"/>
      <w:pPr>
        <w:tabs>
          <w:tab w:val="left" w:pos="2040"/>
        </w:tabs>
        <w:ind w:left="2040" w:leftChars="800" w:hanging="360" w:hangingChars="200"/>
      </w:pPr>
      <w:rPr>
        <w:rFonts w:hint="default" w:ascii="Wingdings" w:hAnsi="Wingdings"/>
      </w:rPr>
    </w:lvl>
  </w:abstractNum>
  <w:abstractNum w:abstractNumId="5">
    <w:nsid w:val="FFFFFF81"/>
    <w:multiLevelType w:val="singleLevel"/>
    <w:tmpl w:val="FFFFFF81"/>
    <w:lvl w:ilvl="0" w:tentative="0">
      <w:start w:val="1"/>
      <w:numFmt w:val="bullet"/>
      <w:pStyle w:val="17"/>
      <w:lvlText w:val=""/>
      <w:lvlJc w:val="left"/>
      <w:pPr>
        <w:tabs>
          <w:tab w:val="left" w:pos="1620"/>
        </w:tabs>
        <w:ind w:left="1620" w:leftChars="600" w:hanging="360" w:hangingChars="200"/>
      </w:pPr>
      <w:rPr>
        <w:rFonts w:hint="default" w:ascii="Wingdings" w:hAnsi="Wingdings"/>
      </w:rPr>
    </w:lvl>
  </w:abstractNum>
  <w:abstractNum w:abstractNumId="6">
    <w:nsid w:val="FFFFFF83"/>
    <w:multiLevelType w:val="singleLevel"/>
    <w:tmpl w:val="FFFFFF83"/>
    <w:lvl w:ilvl="0" w:tentative="0">
      <w:start w:val="1"/>
      <w:numFmt w:val="bullet"/>
      <w:pStyle w:val="40"/>
      <w:lvlText w:val=""/>
      <w:lvlJc w:val="left"/>
      <w:pPr>
        <w:tabs>
          <w:tab w:val="left" w:pos="780"/>
        </w:tabs>
        <w:ind w:left="780" w:leftChars="200" w:hanging="360" w:hangingChars="200"/>
      </w:pPr>
      <w:rPr>
        <w:rFonts w:hint="default" w:ascii="Wingdings" w:hAnsi="Wingdings"/>
      </w:rPr>
    </w:lvl>
  </w:abstractNum>
  <w:abstractNum w:abstractNumId="7">
    <w:nsid w:val="01803C6A"/>
    <w:multiLevelType w:val="multilevel"/>
    <w:tmpl w:val="01803C6A"/>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0FFFFF89"/>
    <w:multiLevelType w:val="singleLevel"/>
    <w:tmpl w:val="0FFFFF89"/>
    <w:lvl w:ilvl="0" w:tentative="0">
      <w:start w:val="1"/>
      <w:numFmt w:val="bullet"/>
      <w:pStyle w:val="367"/>
      <w:lvlText w:val=""/>
      <w:lvlJc w:val="left"/>
      <w:pPr>
        <w:tabs>
          <w:tab w:val="left" w:pos="360"/>
        </w:tabs>
        <w:ind w:left="360" w:hanging="360"/>
      </w:pPr>
      <w:rPr>
        <w:rFonts w:hint="default" w:ascii="Wingdings" w:hAnsi="Wingdings"/>
      </w:rPr>
    </w:lvl>
  </w:abstractNum>
  <w:abstractNum w:abstractNumId="9">
    <w:nsid w:val="2AB17636"/>
    <w:multiLevelType w:val="multilevel"/>
    <w:tmpl w:val="2AB17636"/>
    <w:lvl w:ilvl="0" w:tentative="0">
      <w:start w:val="1"/>
      <w:numFmt w:val="decimal"/>
      <w:pStyle w:val="2197"/>
      <w:lvlText w:val="（%1）"/>
      <w:lvlJc w:val="left"/>
      <w:pPr>
        <w:tabs>
          <w:tab w:val="left" w:pos="1416"/>
        </w:tabs>
        <w:ind w:left="1416" w:hanging="720"/>
      </w:pPr>
      <w:rPr>
        <w:rFonts w:hint="eastAsia"/>
      </w:rPr>
    </w:lvl>
    <w:lvl w:ilvl="1" w:tentative="0">
      <w:start w:val="1"/>
      <w:numFmt w:val="lowerLetter"/>
      <w:lvlText w:val="%2)"/>
      <w:lvlJc w:val="left"/>
      <w:pPr>
        <w:tabs>
          <w:tab w:val="left" w:pos="420"/>
        </w:tabs>
        <w:ind w:left="420" w:hanging="420"/>
      </w:pPr>
    </w:lvl>
    <w:lvl w:ilvl="2" w:tentative="0">
      <w:start w:val="1"/>
      <w:numFmt w:val="lowerRoman"/>
      <w:lvlText w:val="%3."/>
      <w:lvlJc w:val="right"/>
      <w:pPr>
        <w:tabs>
          <w:tab w:val="left" w:pos="840"/>
        </w:tabs>
        <w:ind w:left="840" w:hanging="420"/>
      </w:pPr>
    </w:lvl>
    <w:lvl w:ilvl="3" w:tentative="0">
      <w:start w:val="1"/>
      <w:numFmt w:val="decimal"/>
      <w:lvlText w:val="%4."/>
      <w:lvlJc w:val="left"/>
      <w:pPr>
        <w:tabs>
          <w:tab w:val="left" w:pos="1260"/>
        </w:tabs>
        <w:ind w:left="1260" w:hanging="420"/>
      </w:pPr>
    </w:lvl>
    <w:lvl w:ilvl="4" w:tentative="0">
      <w:start w:val="1"/>
      <w:numFmt w:val="lowerLetter"/>
      <w:lvlText w:val="%5)"/>
      <w:lvlJc w:val="left"/>
      <w:pPr>
        <w:tabs>
          <w:tab w:val="left" w:pos="1680"/>
        </w:tabs>
        <w:ind w:left="1680" w:hanging="420"/>
      </w:pPr>
    </w:lvl>
    <w:lvl w:ilvl="5" w:tentative="0">
      <w:start w:val="1"/>
      <w:numFmt w:val="lowerRoman"/>
      <w:lvlText w:val="%6."/>
      <w:lvlJc w:val="right"/>
      <w:pPr>
        <w:tabs>
          <w:tab w:val="left" w:pos="2100"/>
        </w:tabs>
        <w:ind w:left="2100" w:hanging="420"/>
      </w:pPr>
    </w:lvl>
    <w:lvl w:ilvl="6" w:tentative="0">
      <w:start w:val="1"/>
      <w:numFmt w:val="decimal"/>
      <w:lvlText w:val="%7."/>
      <w:lvlJc w:val="left"/>
      <w:pPr>
        <w:tabs>
          <w:tab w:val="left" w:pos="2520"/>
        </w:tabs>
        <w:ind w:left="2520" w:hanging="420"/>
      </w:pPr>
    </w:lvl>
    <w:lvl w:ilvl="7" w:tentative="0">
      <w:start w:val="1"/>
      <w:numFmt w:val="lowerLetter"/>
      <w:lvlText w:val="%8)"/>
      <w:lvlJc w:val="left"/>
      <w:pPr>
        <w:tabs>
          <w:tab w:val="left" w:pos="2940"/>
        </w:tabs>
        <w:ind w:left="2940" w:hanging="420"/>
      </w:pPr>
    </w:lvl>
    <w:lvl w:ilvl="8" w:tentative="0">
      <w:start w:val="1"/>
      <w:numFmt w:val="lowerRoman"/>
      <w:lvlText w:val="%9."/>
      <w:lvlJc w:val="right"/>
      <w:pPr>
        <w:tabs>
          <w:tab w:val="left" w:pos="3360"/>
        </w:tabs>
        <w:ind w:left="3360" w:hanging="420"/>
      </w:pPr>
    </w:lvl>
  </w:abstractNum>
  <w:abstractNum w:abstractNumId="10">
    <w:nsid w:val="2B3F3991"/>
    <w:multiLevelType w:val="multilevel"/>
    <w:tmpl w:val="2B3F3991"/>
    <w:lvl w:ilvl="0" w:tentative="0">
      <w:start w:val="1"/>
      <w:numFmt w:val="decimal"/>
      <w:pStyle w:val="2398"/>
      <w:lvlText w:val="第%1章"/>
      <w:lvlJc w:val="center"/>
      <w:pPr>
        <w:tabs>
          <w:tab w:val="left" w:pos="680"/>
        </w:tabs>
        <w:ind w:left="851" w:hanging="851"/>
      </w:pPr>
      <w:rPr>
        <w:rFonts w:hint="default" w:ascii="Arial" w:hAnsi="Arial" w:cs="Times New Roman"/>
      </w:rPr>
    </w:lvl>
    <w:lvl w:ilvl="1" w:tentative="0">
      <w:start w:val="1"/>
      <w:numFmt w:val="decimal"/>
      <w:lvlText w:val="%1.%2"/>
      <w:lvlJc w:val="left"/>
      <w:pPr>
        <w:tabs>
          <w:tab w:val="left" w:pos="567"/>
        </w:tabs>
        <w:ind w:left="0" w:firstLine="0"/>
      </w:pPr>
      <w:rPr>
        <w:rFonts w:hint="default" w:ascii="Arial" w:hAnsi="Arial" w:cs="Times New Roman"/>
      </w:rPr>
    </w:lvl>
    <w:lvl w:ilvl="2" w:tentative="0">
      <w:start w:val="1"/>
      <w:numFmt w:val="decimal"/>
      <w:isLgl/>
      <w:lvlText w:val="%1.%2.%3"/>
      <w:lvlJc w:val="left"/>
      <w:pPr>
        <w:tabs>
          <w:tab w:val="left" w:pos="680"/>
        </w:tabs>
        <w:ind w:left="0" w:firstLine="0"/>
      </w:pPr>
      <w:rPr>
        <w:rFonts w:hint="default" w:ascii="Arial" w:hAnsi="Arial" w:cs="Times New Roman"/>
        <w:b w:val="0"/>
        <w:i w:val="0"/>
      </w:rPr>
    </w:lvl>
    <w:lvl w:ilvl="3" w:tentative="0">
      <w:start w:val="1"/>
      <w:numFmt w:val="decimal"/>
      <w:lvlText w:val="%1.%2.%3.%4"/>
      <w:lvlJc w:val="left"/>
      <w:pPr>
        <w:tabs>
          <w:tab w:val="left" w:pos="1080"/>
        </w:tabs>
        <w:ind w:left="1080" w:hanging="1080"/>
      </w:pPr>
      <w:rPr>
        <w:rFonts w:hint="default"/>
      </w:rPr>
    </w:lvl>
    <w:lvl w:ilvl="4" w:tentative="0">
      <w:start w:val="1"/>
      <w:numFmt w:val="decimal"/>
      <w:lvlText w:val="%1.%2.%3.%4.%5"/>
      <w:lvlJc w:val="left"/>
      <w:pPr>
        <w:tabs>
          <w:tab w:val="left" w:pos="1440"/>
        </w:tabs>
        <w:ind w:left="1440" w:hanging="1440"/>
      </w:pPr>
      <w:rPr>
        <w:rFonts w:hint="default"/>
      </w:rPr>
    </w:lvl>
    <w:lvl w:ilvl="5" w:tentative="0">
      <w:start w:val="1"/>
      <w:numFmt w:val="decimal"/>
      <w:lvlText w:val="%1.%2.%3.%4.%5.%6"/>
      <w:lvlJc w:val="left"/>
      <w:pPr>
        <w:tabs>
          <w:tab w:val="left" w:pos="1800"/>
        </w:tabs>
        <w:ind w:left="1800" w:hanging="1800"/>
      </w:pPr>
      <w:rPr>
        <w:rFonts w:hint="default"/>
      </w:rPr>
    </w:lvl>
    <w:lvl w:ilvl="6" w:tentative="0">
      <w:start w:val="1"/>
      <w:numFmt w:val="decimal"/>
      <w:lvlText w:val="%1.%2.%3.%4.%5.%6.%7"/>
      <w:lvlJc w:val="left"/>
      <w:pPr>
        <w:tabs>
          <w:tab w:val="left" w:pos="2160"/>
        </w:tabs>
        <w:ind w:left="2160" w:hanging="2160"/>
      </w:pPr>
      <w:rPr>
        <w:rFonts w:hint="default"/>
      </w:rPr>
    </w:lvl>
    <w:lvl w:ilvl="7" w:tentative="0">
      <w:start w:val="1"/>
      <w:numFmt w:val="decimal"/>
      <w:lvlText w:val="%1.%2.%3.%4.%5.%6.%7.%8"/>
      <w:lvlJc w:val="left"/>
      <w:pPr>
        <w:tabs>
          <w:tab w:val="left" w:pos="2160"/>
        </w:tabs>
        <w:ind w:left="2160" w:hanging="2160"/>
      </w:pPr>
      <w:rPr>
        <w:rFonts w:hint="default"/>
      </w:rPr>
    </w:lvl>
    <w:lvl w:ilvl="8" w:tentative="0">
      <w:start w:val="1"/>
      <w:numFmt w:val="decimal"/>
      <w:lvlText w:val="%1.%2.%3.%4.%5.%6.%7.%8.%9"/>
      <w:lvlJc w:val="left"/>
      <w:pPr>
        <w:tabs>
          <w:tab w:val="left" w:pos="2520"/>
        </w:tabs>
        <w:ind w:left="2520" w:hanging="2520"/>
      </w:pPr>
      <w:rPr>
        <w:rFonts w:hint="default"/>
      </w:rPr>
    </w:lvl>
  </w:abstractNum>
  <w:abstractNum w:abstractNumId="11">
    <w:nsid w:val="37EB5FDF"/>
    <w:multiLevelType w:val="multilevel"/>
    <w:tmpl w:val="37EB5FDF"/>
    <w:lvl w:ilvl="0" w:tentative="0">
      <w:start w:val="1"/>
      <w:numFmt w:val="decimal"/>
      <w:pStyle w:val="2649"/>
      <w:lvlText w:val="2.%1、"/>
      <w:lvlJc w:val="left"/>
      <w:pPr>
        <w:tabs>
          <w:tab w:val="left" w:pos="420"/>
        </w:tabs>
        <w:ind w:left="420" w:hanging="420"/>
      </w:pPr>
      <w:rPr>
        <w:rFonts w:hint="eastAsia"/>
      </w:rPr>
    </w:lvl>
    <w:lvl w:ilvl="1" w:tentative="0">
      <w:start w:val="1"/>
      <w:numFmt w:val="decimal"/>
      <w:lvlText w:val="（%2）"/>
      <w:lvlJc w:val="left"/>
      <w:pPr>
        <w:tabs>
          <w:tab w:val="left" w:pos="1140"/>
        </w:tabs>
        <w:ind w:left="1140" w:hanging="720"/>
      </w:pPr>
      <w:rPr>
        <w:rFonts w:hint="default"/>
      </w:rPr>
    </w:lvl>
    <w:lvl w:ilvl="2" w:tentative="0">
      <w:start w:val="1"/>
      <w:numFmt w:val="decimal"/>
      <w:lvlText w:val="（%3)"/>
      <w:lvlJc w:val="left"/>
      <w:pPr>
        <w:tabs>
          <w:tab w:val="left" w:pos="1200"/>
        </w:tabs>
        <w:ind w:left="1200" w:hanging="360"/>
      </w:pPr>
      <w:rPr>
        <w:rFonts w:hint="default"/>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394721B9"/>
    <w:multiLevelType w:val="multilevel"/>
    <w:tmpl w:val="394721B9"/>
    <w:lvl w:ilvl="0" w:tentative="0">
      <w:start w:val="1"/>
      <w:numFmt w:val="decimal"/>
      <w:pStyle w:val="2129"/>
      <w:suff w:val="nothing"/>
      <w:lvlText w:val="（%1）"/>
      <w:lvlJc w:val="left"/>
      <w:pPr>
        <w:tabs>
          <w:tab w:val="left" w:pos="0"/>
        </w:tabs>
        <w:ind w:left="0" w:firstLine="321"/>
      </w:pPr>
      <w:rPr>
        <w:rFonts w:hint="default" w:ascii="Tahoma" w:hAnsi="Tahoma" w:eastAsia="宋体"/>
        <w:sz w:val="26"/>
        <w:u w:val="none"/>
        <w:lang w:val="en-US"/>
      </w:rPr>
    </w:lvl>
    <w:lvl w:ilvl="1" w:tentative="0">
      <w:start w:val="1"/>
      <w:numFmt w:val="lowerLetter"/>
      <w:lvlText w:val="%2)"/>
      <w:lvlJc w:val="left"/>
      <w:pPr>
        <w:tabs>
          <w:tab w:val="left" w:pos="1320"/>
        </w:tabs>
        <w:ind w:left="1320" w:hanging="420"/>
      </w:pPr>
      <w:rPr>
        <w:rFonts w:hint="default"/>
        <w:u w:val="none"/>
      </w:rPr>
    </w:lvl>
    <w:lvl w:ilvl="2" w:tentative="0">
      <w:start w:val="1"/>
      <w:numFmt w:val="lowerRoman"/>
      <w:lvlText w:val="%3."/>
      <w:lvlJc w:val="right"/>
      <w:pPr>
        <w:tabs>
          <w:tab w:val="left" w:pos="1740"/>
        </w:tabs>
        <w:ind w:left="1740" w:hanging="420"/>
      </w:pPr>
      <w:rPr>
        <w:rFonts w:hint="default"/>
        <w:u w:val="none"/>
      </w:rPr>
    </w:lvl>
    <w:lvl w:ilvl="3" w:tentative="0">
      <w:start w:val="1"/>
      <w:numFmt w:val="decimal"/>
      <w:lvlText w:val="%4."/>
      <w:lvlJc w:val="left"/>
      <w:pPr>
        <w:tabs>
          <w:tab w:val="left" w:pos="2160"/>
        </w:tabs>
        <w:ind w:left="2160" w:hanging="420"/>
      </w:pPr>
      <w:rPr>
        <w:rFonts w:hint="default"/>
        <w:u w:val="none"/>
      </w:rPr>
    </w:lvl>
    <w:lvl w:ilvl="4" w:tentative="0">
      <w:start w:val="1"/>
      <w:numFmt w:val="lowerLetter"/>
      <w:lvlText w:val="%5)"/>
      <w:lvlJc w:val="left"/>
      <w:pPr>
        <w:tabs>
          <w:tab w:val="left" w:pos="2580"/>
        </w:tabs>
        <w:ind w:left="2580" w:hanging="420"/>
      </w:pPr>
      <w:rPr>
        <w:rFonts w:hint="default"/>
        <w:u w:val="none"/>
      </w:rPr>
    </w:lvl>
    <w:lvl w:ilvl="5" w:tentative="0">
      <w:start w:val="1"/>
      <w:numFmt w:val="lowerRoman"/>
      <w:lvlText w:val="%6."/>
      <w:lvlJc w:val="right"/>
      <w:pPr>
        <w:tabs>
          <w:tab w:val="left" w:pos="3000"/>
        </w:tabs>
        <w:ind w:left="3000" w:hanging="420"/>
      </w:pPr>
      <w:rPr>
        <w:rFonts w:hint="default"/>
        <w:u w:val="none"/>
      </w:rPr>
    </w:lvl>
    <w:lvl w:ilvl="6" w:tentative="0">
      <w:start w:val="1"/>
      <w:numFmt w:val="decimal"/>
      <w:lvlText w:val="%7."/>
      <w:lvlJc w:val="left"/>
      <w:pPr>
        <w:tabs>
          <w:tab w:val="left" w:pos="3420"/>
        </w:tabs>
        <w:ind w:left="3420" w:hanging="420"/>
      </w:pPr>
      <w:rPr>
        <w:rFonts w:hint="default"/>
        <w:u w:val="none"/>
      </w:rPr>
    </w:lvl>
    <w:lvl w:ilvl="7" w:tentative="0">
      <w:start w:val="1"/>
      <w:numFmt w:val="lowerLetter"/>
      <w:lvlText w:val="%8)"/>
      <w:lvlJc w:val="left"/>
      <w:pPr>
        <w:tabs>
          <w:tab w:val="left" w:pos="3840"/>
        </w:tabs>
        <w:ind w:left="3840" w:hanging="420"/>
      </w:pPr>
      <w:rPr>
        <w:rFonts w:hint="default"/>
        <w:u w:val="none"/>
      </w:rPr>
    </w:lvl>
    <w:lvl w:ilvl="8" w:tentative="0">
      <w:start w:val="1"/>
      <w:numFmt w:val="lowerRoman"/>
      <w:lvlText w:val="%9."/>
      <w:lvlJc w:val="right"/>
      <w:pPr>
        <w:tabs>
          <w:tab w:val="left" w:pos="4260"/>
        </w:tabs>
        <w:ind w:left="4260" w:hanging="420"/>
      </w:pPr>
      <w:rPr>
        <w:rFonts w:hint="default"/>
        <w:u w:val="none"/>
      </w:rPr>
    </w:lvl>
  </w:abstractNum>
  <w:abstractNum w:abstractNumId="13">
    <w:nsid w:val="39B771D5"/>
    <w:multiLevelType w:val="multilevel"/>
    <w:tmpl w:val="39B771D5"/>
    <w:lvl w:ilvl="0" w:tentative="0">
      <w:start w:val="1"/>
      <w:numFmt w:val="decimal"/>
      <w:pStyle w:val="2235"/>
      <w:lvlText w:val="%1"/>
      <w:lvlJc w:val="left"/>
      <w:pPr>
        <w:tabs>
          <w:tab w:val="left" w:pos="0"/>
        </w:tabs>
        <w:ind w:left="425" w:hanging="425"/>
      </w:pPr>
      <w:rPr>
        <w:rFonts w:hint="eastAsia"/>
      </w:rPr>
    </w:lvl>
    <w:lvl w:ilvl="1" w:tentative="0">
      <w:start w:val="1"/>
      <w:numFmt w:val="decimal"/>
      <w:lvlText w:val="%1.%2"/>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4">
    <w:nsid w:val="41F91E83"/>
    <w:multiLevelType w:val="multilevel"/>
    <w:tmpl w:val="41F91E83"/>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5">
    <w:nsid w:val="466C72E2"/>
    <w:multiLevelType w:val="multilevel"/>
    <w:tmpl w:val="466C72E2"/>
    <w:lvl w:ilvl="0" w:tentative="0">
      <w:start w:val="1"/>
      <w:numFmt w:val="decimal"/>
      <w:pStyle w:val="3"/>
      <w:lvlText w:val="%1"/>
      <w:lvlJc w:val="left"/>
      <w:pPr>
        <w:ind w:left="432" w:hanging="432"/>
      </w:pPr>
      <w:rPr>
        <w:rFonts w:hint="default" w:ascii="Times New Roman" w:hAnsi="Times New Roman" w:cs="Times New Roman"/>
        <w:color w:val="auto"/>
      </w:rPr>
    </w:lvl>
    <w:lvl w:ilvl="1" w:tentative="0">
      <w:start w:val="1"/>
      <w:numFmt w:val="decimal"/>
      <w:pStyle w:val="4"/>
      <w:lvlText w:val="%1.%2"/>
      <w:lvlJc w:val="left"/>
      <w:pPr>
        <w:ind w:left="576" w:hanging="576"/>
      </w:pPr>
      <w:rPr>
        <w:rFonts w:hint="eastAsia"/>
        <w:color w:val="auto"/>
      </w:rPr>
    </w:lvl>
    <w:lvl w:ilvl="2" w:tentative="0">
      <w:start w:val="1"/>
      <w:numFmt w:val="decimal"/>
      <w:pStyle w:val="5"/>
      <w:suff w:val="space"/>
      <w:lvlText w:val="%1.%2.%3"/>
      <w:lvlJc w:val="left"/>
      <w:rPr>
        <w:b w:val="0"/>
        <w:bCs w:val="0"/>
        <w:i w:val="0"/>
        <w:iCs w:val="0"/>
        <w:caps w:val="0"/>
        <w:smallCaps w:val="0"/>
        <w:strike w:val="0"/>
        <w:dstrike w:val="0"/>
        <w:vanish w:val="0"/>
        <w:spacing w:val="0"/>
        <w:position w:val="0"/>
        <w:u w:val="none"/>
        <w:vertAlign w:val="baseline"/>
      </w:rPr>
    </w:lvl>
    <w:lvl w:ilvl="3" w:tentative="0">
      <w:start w:val="1"/>
      <w:numFmt w:val="decimal"/>
      <w:pStyle w:val="6"/>
      <w:lvlText w:val="%1.%2.%3.%4"/>
      <w:lvlJc w:val="left"/>
      <w:pPr>
        <w:ind w:left="1571" w:hanging="720"/>
      </w:pPr>
      <w:rPr>
        <w:rFonts w:hint="eastAsia"/>
      </w:rPr>
    </w:lvl>
    <w:lvl w:ilvl="4" w:tentative="0">
      <w:start w:val="1"/>
      <w:numFmt w:val="decimal"/>
      <w:pStyle w:val="7"/>
      <w:lvlText w:val="%1.%2.%3.%4.%5"/>
      <w:lvlJc w:val="left"/>
      <w:pPr>
        <w:ind w:left="1008" w:hanging="1008"/>
      </w:pPr>
      <w:rPr>
        <w:rFonts w:hint="eastAsia"/>
      </w:rPr>
    </w:lvl>
    <w:lvl w:ilvl="5" w:tentative="0">
      <w:start w:val="1"/>
      <w:numFmt w:val="decimal"/>
      <w:pStyle w:val="8"/>
      <w:lvlText w:val="%1.%2.%3.%4.%5.%6"/>
      <w:lvlJc w:val="left"/>
      <w:pPr>
        <w:ind w:left="1152" w:hanging="1152"/>
      </w:pPr>
      <w:rPr>
        <w:rFonts w:hint="eastAsia"/>
      </w:rPr>
    </w:lvl>
    <w:lvl w:ilvl="6" w:tentative="0">
      <w:start w:val="1"/>
      <w:numFmt w:val="decimal"/>
      <w:pStyle w:val="9"/>
      <w:lvlText w:val="%1.%2.%3.%4.%5.%6.%7"/>
      <w:lvlJc w:val="left"/>
      <w:pPr>
        <w:ind w:left="1296" w:hanging="1296"/>
      </w:pPr>
      <w:rPr>
        <w:rFonts w:hint="eastAsia"/>
      </w:rPr>
    </w:lvl>
    <w:lvl w:ilvl="7" w:tentative="0">
      <w:start w:val="1"/>
      <w:numFmt w:val="decimal"/>
      <w:pStyle w:val="10"/>
      <w:lvlText w:val="%1.%2.%3.%4.%5.%6.%7.%8"/>
      <w:lvlJc w:val="left"/>
      <w:pPr>
        <w:ind w:left="1440" w:hanging="1440"/>
      </w:pPr>
      <w:rPr>
        <w:rFonts w:hint="eastAsia"/>
      </w:rPr>
    </w:lvl>
    <w:lvl w:ilvl="8" w:tentative="0">
      <w:start w:val="1"/>
      <w:numFmt w:val="decimal"/>
      <w:pStyle w:val="11"/>
      <w:lvlText w:val="%1.%2.%3.%4.%5.%6.%7.%8.%9"/>
      <w:lvlJc w:val="left"/>
      <w:pPr>
        <w:ind w:left="1584" w:hanging="1584"/>
      </w:pPr>
      <w:rPr>
        <w:rFonts w:hint="eastAsia"/>
      </w:rPr>
    </w:lvl>
  </w:abstractNum>
  <w:abstractNum w:abstractNumId="16">
    <w:nsid w:val="4EAF26EC"/>
    <w:multiLevelType w:val="singleLevel"/>
    <w:tmpl w:val="4EAF26EC"/>
    <w:lvl w:ilvl="0" w:tentative="0">
      <w:start w:val="7"/>
      <w:numFmt w:val="decimal"/>
      <w:suff w:val="nothing"/>
      <w:lvlText w:val="（%1）"/>
      <w:lvlJc w:val="left"/>
    </w:lvl>
  </w:abstractNum>
  <w:abstractNum w:abstractNumId="17">
    <w:nsid w:val="536B6F1D"/>
    <w:multiLevelType w:val="singleLevel"/>
    <w:tmpl w:val="536B6F1D"/>
    <w:lvl w:ilvl="0" w:tentative="0">
      <w:start w:val="1"/>
      <w:numFmt w:val="bullet"/>
      <w:pStyle w:val="2252"/>
      <w:lvlText w:val=""/>
      <w:lvlJc w:val="left"/>
      <w:pPr>
        <w:tabs>
          <w:tab w:val="left" w:pos="425"/>
        </w:tabs>
        <w:ind w:left="425" w:hanging="425"/>
      </w:pPr>
      <w:rPr>
        <w:rFonts w:hint="default" w:ascii="Wingdings" w:hAnsi="Wingdings"/>
        <w:sz w:val="21"/>
      </w:rPr>
    </w:lvl>
  </w:abstractNum>
  <w:abstractNum w:abstractNumId="18">
    <w:nsid w:val="5A326EAA"/>
    <w:multiLevelType w:val="multilevel"/>
    <w:tmpl w:val="5A326EAA"/>
    <w:lvl w:ilvl="0" w:tentative="0">
      <w:start w:val="1"/>
      <w:numFmt w:val="decimal"/>
      <w:pStyle w:val="2132"/>
      <w:lvlText w:val="第%1条 "/>
      <w:lvlJc w:val="left"/>
      <w:pPr>
        <w:ind w:left="987" w:hanging="420"/>
      </w:pPr>
      <w:rPr>
        <w:rFonts w:hint="eastAsia" w:ascii="宋体" w:hAnsi="宋体" w:eastAsia="宋体"/>
        <w:b/>
        <w:i w:val="0"/>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6A9473DF"/>
    <w:multiLevelType w:val="multilevel"/>
    <w:tmpl w:val="6A9473DF"/>
    <w:lvl w:ilvl="0" w:tentative="0">
      <w:start w:val="1"/>
      <w:numFmt w:val="decimal"/>
      <w:lvlText w:val="(%1)"/>
      <w:lvlJc w:val="left"/>
      <w:pPr>
        <w:ind w:left="845" w:hanging="420"/>
      </w:pPr>
      <w:rPr>
        <w:rFonts w:hint="eastAsia"/>
      </w:rPr>
    </w:lvl>
    <w:lvl w:ilvl="1" w:tentative="0">
      <w:start w:val="1"/>
      <w:numFmt w:val="lowerLetter"/>
      <w:lvlText w:val="%2)"/>
      <w:lvlJc w:val="left"/>
      <w:pPr>
        <w:ind w:left="1745" w:hanging="420"/>
      </w:pPr>
    </w:lvl>
    <w:lvl w:ilvl="2" w:tentative="0">
      <w:start w:val="1"/>
      <w:numFmt w:val="lowerRoman"/>
      <w:lvlText w:val="%3."/>
      <w:lvlJc w:val="right"/>
      <w:pPr>
        <w:ind w:left="2165" w:hanging="420"/>
      </w:pPr>
    </w:lvl>
    <w:lvl w:ilvl="3" w:tentative="0">
      <w:start w:val="1"/>
      <w:numFmt w:val="decimal"/>
      <w:lvlText w:val="%4."/>
      <w:lvlJc w:val="left"/>
      <w:pPr>
        <w:ind w:left="2585" w:hanging="420"/>
      </w:pPr>
    </w:lvl>
    <w:lvl w:ilvl="4" w:tentative="0">
      <w:start w:val="1"/>
      <w:numFmt w:val="lowerLetter"/>
      <w:lvlText w:val="%5)"/>
      <w:lvlJc w:val="left"/>
      <w:pPr>
        <w:ind w:left="3005" w:hanging="420"/>
      </w:pPr>
    </w:lvl>
    <w:lvl w:ilvl="5" w:tentative="0">
      <w:start w:val="1"/>
      <w:numFmt w:val="lowerRoman"/>
      <w:lvlText w:val="%6."/>
      <w:lvlJc w:val="right"/>
      <w:pPr>
        <w:ind w:left="3425" w:hanging="420"/>
      </w:pPr>
    </w:lvl>
    <w:lvl w:ilvl="6" w:tentative="0">
      <w:start w:val="1"/>
      <w:numFmt w:val="decimal"/>
      <w:lvlText w:val="%7."/>
      <w:lvlJc w:val="left"/>
      <w:pPr>
        <w:ind w:left="3845" w:hanging="420"/>
      </w:pPr>
    </w:lvl>
    <w:lvl w:ilvl="7" w:tentative="0">
      <w:start w:val="1"/>
      <w:numFmt w:val="lowerLetter"/>
      <w:lvlText w:val="%8)"/>
      <w:lvlJc w:val="left"/>
      <w:pPr>
        <w:ind w:left="4265" w:hanging="420"/>
      </w:pPr>
    </w:lvl>
    <w:lvl w:ilvl="8" w:tentative="0">
      <w:start w:val="1"/>
      <w:numFmt w:val="lowerRoman"/>
      <w:lvlText w:val="%9."/>
      <w:lvlJc w:val="right"/>
      <w:pPr>
        <w:ind w:left="4685" w:hanging="420"/>
      </w:pPr>
    </w:lvl>
  </w:abstractNum>
  <w:abstractNum w:abstractNumId="20">
    <w:nsid w:val="6A9C3B10"/>
    <w:multiLevelType w:val="multilevel"/>
    <w:tmpl w:val="6A9C3B10"/>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1">
    <w:nsid w:val="78B04D5B"/>
    <w:multiLevelType w:val="singleLevel"/>
    <w:tmpl w:val="78B04D5B"/>
    <w:lvl w:ilvl="0" w:tentative="0">
      <w:start w:val="1"/>
      <w:numFmt w:val="bullet"/>
      <w:pStyle w:val="2251"/>
      <w:lvlText w:val=""/>
      <w:lvlJc w:val="left"/>
      <w:pPr>
        <w:tabs>
          <w:tab w:val="left" w:pos="425"/>
        </w:tabs>
        <w:ind w:left="425" w:hanging="425"/>
      </w:pPr>
      <w:rPr>
        <w:rFonts w:hint="default" w:ascii="Wingdings" w:hAnsi="Wingdings"/>
      </w:rPr>
    </w:lvl>
  </w:abstractNum>
  <w:num w:numId="1">
    <w:abstractNumId w:val="15"/>
  </w:num>
  <w:num w:numId="2">
    <w:abstractNumId w:val="3"/>
  </w:num>
  <w:num w:numId="3">
    <w:abstractNumId w:val="5"/>
  </w:num>
  <w:num w:numId="4">
    <w:abstractNumId w:val="2"/>
  </w:num>
  <w:num w:numId="5">
    <w:abstractNumId w:val="6"/>
  </w:num>
  <w:num w:numId="6">
    <w:abstractNumId w:val="4"/>
  </w:num>
  <w:num w:numId="7">
    <w:abstractNumId w:val="1"/>
  </w:num>
  <w:num w:numId="8">
    <w:abstractNumId w:val="8"/>
  </w:num>
  <w:num w:numId="9">
    <w:abstractNumId w:val="12"/>
  </w:num>
  <w:num w:numId="10">
    <w:abstractNumId w:val="18"/>
  </w:num>
  <w:num w:numId="11">
    <w:abstractNumId w:val="9"/>
  </w:num>
  <w:num w:numId="12">
    <w:abstractNumId w:val="13"/>
  </w:num>
  <w:num w:numId="13">
    <w:abstractNumId w:val="21"/>
  </w:num>
  <w:num w:numId="14">
    <w:abstractNumId w:val="17"/>
  </w:num>
  <w:num w:numId="15">
    <w:abstractNumId w:val="10"/>
  </w:num>
  <w:num w:numId="16">
    <w:abstractNumId w:val="11"/>
  </w:num>
  <w:num w:numId="17">
    <w:abstractNumId w:val="14"/>
  </w:num>
  <w:num w:numId="18">
    <w:abstractNumId w:val="7"/>
  </w:num>
  <w:num w:numId="19">
    <w:abstractNumId w:val="20"/>
  </w:num>
  <w:num w:numId="20">
    <w:abstractNumId w:val="19"/>
  </w:num>
  <w:num w:numId="21">
    <w:abstractNumId w:val="0"/>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hideSpellingErrors/>
  <w:hideGrammaticalErrors/>
  <w:documentProtection w:enforcement="0"/>
  <w:defaultTabStop w:val="420"/>
  <w:drawingGridHorizontalSpacing w:val="1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QxZThiMjAyM2VmNTYxZWVmY2IzODJlYzA5M2Y2YWMifQ=="/>
  </w:docVars>
  <w:rsids>
    <w:rsidRoot w:val="00172A27"/>
    <w:rsid w:val="000000C0"/>
    <w:rsid w:val="000001D8"/>
    <w:rsid w:val="00000254"/>
    <w:rsid w:val="00000345"/>
    <w:rsid w:val="000004C5"/>
    <w:rsid w:val="000005E8"/>
    <w:rsid w:val="00000641"/>
    <w:rsid w:val="000006F6"/>
    <w:rsid w:val="00000764"/>
    <w:rsid w:val="000009D2"/>
    <w:rsid w:val="00000AAB"/>
    <w:rsid w:val="00000AF1"/>
    <w:rsid w:val="00000BD7"/>
    <w:rsid w:val="00000E06"/>
    <w:rsid w:val="00000E61"/>
    <w:rsid w:val="000011E4"/>
    <w:rsid w:val="000011EF"/>
    <w:rsid w:val="000014F2"/>
    <w:rsid w:val="00001553"/>
    <w:rsid w:val="000019C6"/>
    <w:rsid w:val="000019C7"/>
    <w:rsid w:val="00001B14"/>
    <w:rsid w:val="00001B37"/>
    <w:rsid w:val="00001D1B"/>
    <w:rsid w:val="00001E12"/>
    <w:rsid w:val="00002099"/>
    <w:rsid w:val="00002235"/>
    <w:rsid w:val="000024DD"/>
    <w:rsid w:val="00002599"/>
    <w:rsid w:val="0000261B"/>
    <w:rsid w:val="0000266C"/>
    <w:rsid w:val="0000296B"/>
    <w:rsid w:val="00002A8C"/>
    <w:rsid w:val="00002B79"/>
    <w:rsid w:val="00002C45"/>
    <w:rsid w:val="00002C93"/>
    <w:rsid w:val="000031A6"/>
    <w:rsid w:val="00003246"/>
    <w:rsid w:val="000032F5"/>
    <w:rsid w:val="00003396"/>
    <w:rsid w:val="00003601"/>
    <w:rsid w:val="0000388A"/>
    <w:rsid w:val="000038BB"/>
    <w:rsid w:val="00003B4F"/>
    <w:rsid w:val="00003D7E"/>
    <w:rsid w:val="00003E76"/>
    <w:rsid w:val="00003EDE"/>
    <w:rsid w:val="00003F52"/>
    <w:rsid w:val="0000407A"/>
    <w:rsid w:val="00004281"/>
    <w:rsid w:val="000045B7"/>
    <w:rsid w:val="0000473E"/>
    <w:rsid w:val="00004F77"/>
    <w:rsid w:val="000050EA"/>
    <w:rsid w:val="000056B2"/>
    <w:rsid w:val="00005833"/>
    <w:rsid w:val="0000597C"/>
    <w:rsid w:val="000059D5"/>
    <w:rsid w:val="00006022"/>
    <w:rsid w:val="00006043"/>
    <w:rsid w:val="00006141"/>
    <w:rsid w:val="000065BA"/>
    <w:rsid w:val="00006873"/>
    <w:rsid w:val="0000689F"/>
    <w:rsid w:val="00006987"/>
    <w:rsid w:val="00006B8E"/>
    <w:rsid w:val="00006D1C"/>
    <w:rsid w:val="0000709C"/>
    <w:rsid w:val="000070F1"/>
    <w:rsid w:val="000072F3"/>
    <w:rsid w:val="000073EB"/>
    <w:rsid w:val="00007437"/>
    <w:rsid w:val="00007747"/>
    <w:rsid w:val="00007ED9"/>
    <w:rsid w:val="00010331"/>
    <w:rsid w:val="0001049D"/>
    <w:rsid w:val="00010627"/>
    <w:rsid w:val="00010712"/>
    <w:rsid w:val="00010721"/>
    <w:rsid w:val="000107C4"/>
    <w:rsid w:val="00010B85"/>
    <w:rsid w:val="00010BF6"/>
    <w:rsid w:val="00010E32"/>
    <w:rsid w:val="00010EAB"/>
    <w:rsid w:val="00010F32"/>
    <w:rsid w:val="00010FB3"/>
    <w:rsid w:val="00010FB9"/>
    <w:rsid w:val="00011075"/>
    <w:rsid w:val="00011300"/>
    <w:rsid w:val="000113FF"/>
    <w:rsid w:val="00011465"/>
    <w:rsid w:val="00011475"/>
    <w:rsid w:val="000118A3"/>
    <w:rsid w:val="000118E0"/>
    <w:rsid w:val="00011C34"/>
    <w:rsid w:val="000124D6"/>
    <w:rsid w:val="00012AF4"/>
    <w:rsid w:val="00012B1D"/>
    <w:rsid w:val="00012BE5"/>
    <w:rsid w:val="00012D4A"/>
    <w:rsid w:val="00012E43"/>
    <w:rsid w:val="00012E8B"/>
    <w:rsid w:val="00012F41"/>
    <w:rsid w:val="00012FA6"/>
    <w:rsid w:val="000132A4"/>
    <w:rsid w:val="00013607"/>
    <w:rsid w:val="0001369B"/>
    <w:rsid w:val="0001375B"/>
    <w:rsid w:val="00013A61"/>
    <w:rsid w:val="00013C72"/>
    <w:rsid w:val="00013D6E"/>
    <w:rsid w:val="00013E5D"/>
    <w:rsid w:val="00014173"/>
    <w:rsid w:val="000141CD"/>
    <w:rsid w:val="000142D3"/>
    <w:rsid w:val="00014364"/>
    <w:rsid w:val="000143FB"/>
    <w:rsid w:val="00014547"/>
    <w:rsid w:val="00014551"/>
    <w:rsid w:val="000145BA"/>
    <w:rsid w:val="00014725"/>
    <w:rsid w:val="00014911"/>
    <w:rsid w:val="00014A78"/>
    <w:rsid w:val="00014A88"/>
    <w:rsid w:val="00014B64"/>
    <w:rsid w:val="00014B93"/>
    <w:rsid w:val="00014DB1"/>
    <w:rsid w:val="00014DEB"/>
    <w:rsid w:val="00014F28"/>
    <w:rsid w:val="00014FA9"/>
    <w:rsid w:val="00014FCE"/>
    <w:rsid w:val="0001524D"/>
    <w:rsid w:val="00015294"/>
    <w:rsid w:val="0001550B"/>
    <w:rsid w:val="000156D3"/>
    <w:rsid w:val="000159AB"/>
    <w:rsid w:val="00015C19"/>
    <w:rsid w:val="00015D5C"/>
    <w:rsid w:val="00015E10"/>
    <w:rsid w:val="000161E4"/>
    <w:rsid w:val="00016217"/>
    <w:rsid w:val="0001646B"/>
    <w:rsid w:val="000164B2"/>
    <w:rsid w:val="00016518"/>
    <w:rsid w:val="00016837"/>
    <w:rsid w:val="00016919"/>
    <w:rsid w:val="00016A67"/>
    <w:rsid w:val="00016C04"/>
    <w:rsid w:val="00016CA4"/>
    <w:rsid w:val="00016CFD"/>
    <w:rsid w:val="00016D53"/>
    <w:rsid w:val="0001704D"/>
    <w:rsid w:val="00017247"/>
    <w:rsid w:val="000172B5"/>
    <w:rsid w:val="000172E1"/>
    <w:rsid w:val="00017318"/>
    <w:rsid w:val="0001787F"/>
    <w:rsid w:val="000178BB"/>
    <w:rsid w:val="00017964"/>
    <w:rsid w:val="00017B2D"/>
    <w:rsid w:val="00017D51"/>
    <w:rsid w:val="00017E8B"/>
    <w:rsid w:val="00017F14"/>
    <w:rsid w:val="00020100"/>
    <w:rsid w:val="00020138"/>
    <w:rsid w:val="00020150"/>
    <w:rsid w:val="00020219"/>
    <w:rsid w:val="0002034C"/>
    <w:rsid w:val="000205E8"/>
    <w:rsid w:val="000206AC"/>
    <w:rsid w:val="00020811"/>
    <w:rsid w:val="00020ADC"/>
    <w:rsid w:val="0002123D"/>
    <w:rsid w:val="000212EE"/>
    <w:rsid w:val="00021412"/>
    <w:rsid w:val="000214F8"/>
    <w:rsid w:val="0002154B"/>
    <w:rsid w:val="000215DE"/>
    <w:rsid w:val="000217F2"/>
    <w:rsid w:val="00021989"/>
    <w:rsid w:val="00021E45"/>
    <w:rsid w:val="000225C0"/>
    <w:rsid w:val="00022A7F"/>
    <w:rsid w:val="00022A8E"/>
    <w:rsid w:val="00022D88"/>
    <w:rsid w:val="00022DD5"/>
    <w:rsid w:val="00022F57"/>
    <w:rsid w:val="000231AA"/>
    <w:rsid w:val="00023391"/>
    <w:rsid w:val="00023507"/>
    <w:rsid w:val="000237DF"/>
    <w:rsid w:val="00023D5B"/>
    <w:rsid w:val="000241FC"/>
    <w:rsid w:val="00024513"/>
    <w:rsid w:val="00024569"/>
    <w:rsid w:val="00024783"/>
    <w:rsid w:val="0002490B"/>
    <w:rsid w:val="00024989"/>
    <w:rsid w:val="000249FE"/>
    <w:rsid w:val="00024A04"/>
    <w:rsid w:val="00024A05"/>
    <w:rsid w:val="0002548B"/>
    <w:rsid w:val="0002552E"/>
    <w:rsid w:val="00025851"/>
    <w:rsid w:val="000258E9"/>
    <w:rsid w:val="000258FA"/>
    <w:rsid w:val="00025A5D"/>
    <w:rsid w:val="00025C91"/>
    <w:rsid w:val="00025CDD"/>
    <w:rsid w:val="00025D56"/>
    <w:rsid w:val="00025D7E"/>
    <w:rsid w:val="00025FE3"/>
    <w:rsid w:val="00026127"/>
    <w:rsid w:val="00026194"/>
    <w:rsid w:val="00026403"/>
    <w:rsid w:val="00026599"/>
    <w:rsid w:val="00026772"/>
    <w:rsid w:val="00026A20"/>
    <w:rsid w:val="00026B71"/>
    <w:rsid w:val="00026F7D"/>
    <w:rsid w:val="00026FDE"/>
    <w:rsid w:val="000270F6"/>
    <w:rsid w:val="00027373"/>
    <w:rsid w:val="0002769C"/>
    <w:rsid w:val="00027700"/>
    <w:rsid w:val="000278F1"/>
    <w:rsid w:val="00027E40"/>
    <w:rsid w:val="00027EF8"/>
    <w:rsid w:val="00027FCC"/>
    <w:rsid w:val="00030156"/>
    <w:rsid w:val="00030412"/>
    <w:rsid w:val="00030602"/>
    <w:rsid w:val="00030818"/>
    <w:rsid w:val="00030BB6"/>
    <w:rsid w:val="00030C72"/>
    <w:rsid w:val="00030D36"/>
    <w:rsid w:val="00030DDD"/>
    <w:rsid w:val="00030F3D"/>
    <w:rsid w:val="000311C3"/>
    <w:rsid w:val="000314F9"/>
    <w:rsid w:val="0003182D"/>
    <w:rsid w:val="00031849"/>
    <w:rsid w:val="00031995"/>
    <w:rsid w:val="00031E37"/>
    <w:rsid w:val="0003216E"/>
    <w:rsid w:val="000325AF"/>
    <w:rsid w:val="000325D9"/>
    <w:rsid w:val="00032750"/>
    <w:rsid w:val="000328FD"/>
    <w:rsid w:val="000329F7"/>
    <w:rsid w:val="00032ADC"/>
    <w:rsid w:val="00032C94"/>
    <w:rsid w:val="00032D15"/>
    <w:rsid w:val="00032FD8"/>
    <w:rsid w:val="00033193"/>
    <w:rsid w:val="00033329"/>
    <w:rsid w:val="0003345A"/>
    <w:rsid w:val="000336CF"/>
    <w:rsid w:val="0003371C"/>
    <w:rsid w:val="0003375F"/>
    <w:rsid w:val="0003386A"/>
    <w:rsid w:val="000338D1"/>
    <w:rsid w:val="00033B6B"/>
    <w:rsid w:val="00033F1A"/>
    <w:rsid w:val="00033F78"/>
    <w:rsid w:val="00034237"/>
    <w:rsid w:val="000343B2"/>
    <w:rsid w:val="000344D2"/>
    <w:rsid w:val="000345FF"/>
    <w:rsid w:val="0003488D"/>
    <w:rsid w:val="000349EB"/>
    <w:rsid w:val="00034AB9"/>
    <w:rsid w:val="00034D35"/>
    <w:rsid w:val="00034E94"/>
    <w:rsid w:val="00034E9C"/>
    <w:rsid w:val="00034F53"/>
    <w:rsid w:val="000351CC"/>
    <w:rsid w:val="0003544B"/>
    <w:rsid w:val="00035568"/>
    <w:rsid w:val="00035584"/>
    <w:rsid w:val="0003592C"/>
    <w:rsid w:val="00035963"/>
    <w:rsid w:val="0003599C"/>
    <w:rsid w:val="000359BF"/>
    <w:rsid w:val="000359C0"/>
    <w:rsid w:val="000359C2"/>
    <w:rsid w:val="00035BBD"/>
    <w:rsid w:val="00035C11"/>
    <w:rsid w:val="000361B5"/>
    <w:rsid w:val="000361EE"/>
    <w:rsid w:val="00036336"/>
    <w:rsid w:val="0003647C"/>
    <w:rsid w:val="00036567"/>
    <w:rsid w:val="00036823"/>
    <w:rsid w:val="00036930"/>
    <w:rsid w:val="00036993"/>
    <w:rsid w:val="00036BCC"/>
    <w:rsid w:val="00036C5B"/>
    <w:rsid w:val="00036FDA"/>
    <w:rsid w:val="00036FEA"/>
    <w:rsid w:val="00036FFE"/>
    <w:rsid w:val="00037162"/>
    <w:rsid w:val="00037184"/>
    <w:rsid w:val="0003746B"/>
    <w:rsid w:val="00037614"/>
    <w:rsid w:val="0003776A"/>
    <w:rsid w:val="00037827"/>
    <w:rsid w:val="00037F6B"/>
    <w:rsid w:val="000404A3"/>
    <w:rsid w:val="000406B5"/>
    <w:rsid w:val="00040828"/>
    <w:rsid w:val="0004093C"/>
    <w:rsid w:val="00040E44"/>
    <w:rsid w:val="0004119D"/>
    <w:rsid w:val="000411F6"/>
    <w:rsid w:val="0004131E"/>
    <w:rsid w:val="000414F9"/>
    <w:rsid w:val="000416E9"/>
    <w:rsid w:val="0004173F"/>
    <w:rsid w:val="000417F4"/>
    <w:rsid w:val="00041830"/>
    <w:rsid w:val="00041AF6"/>
    <w:rsid w:val="00041C15"/>
    <w:rsid w:val="00042193"/>
    <w:rsid w:val="0004220A"/>
    <w:rsid w:val="000423ED"/>
    <w:rsid w:val="0004263A"/>
    <w:rsid w:val="000427F2"/>
    <w:rsid w:val="000429D2"/>
    <w:rsid w:val="00042B28"/>
    <w:rsid w:val="00042DB0"/>
    <w:rsid w:val="00043277"/>
    <w:rsid w:val="000433F0"/>
    <w:rsid w:val="0004380D"/>
    <w:rsid w:val="000439FB"/>
    <w:rsid w:val="00043CE1"/>
    <w:rsid w:val="00043D3A"/>
    <w:rsid w:val="00043DE8"/>
    <w:rsid w:val="00043F57"/>
    <w:rsid w:val="000440C3"/>
    <w:rsid w:val="00044277"/>
    <w:rsid w:val="000444A3"/>
    <w:rsid w:val="00044645"/>
    <w:rsid w:val="00044909"/>
    <w:rsid w:val="000449AA"/>
    <w:rsid w:val="000449C5"/>
    <w:rsid w:val="00044C01"/>
    <w:rsid w:val="00044E21"/>
    <w:rsid w:val="00044E4A"/>
    <w:rsid w:val="00044ED8"/>
    <w:rsid w:val="00045158"/>
    <w:rsid w:val="0004559E"/>
    <w:rsid w:val="0004562C"/>
    <w:rsid w:val="000456C3"/>
    <w:rsid w:val="00045B1E"/>
    <w:rsid w:val="00045CAB"/>
    <w:rsid w:val="00045D46"/>
    <w:rsid w:val="0004606B"/>
    <w:rsid w:val="00046397"/>
    <w:rsid w:val="000464C0"/>
    <w:rsid w:val="000469B9"/>
    <w:rsid w:val="000469F1"/>
    <w:rsid w:val="0004706D"/>
    <w:rsid w:val="000471E6"/>
    <w:rsid w:val="0004730F"/>
    <w:rsid w:val="0004740A"/>
    <w:rsid w:val="0004740C"/>
    <w:rsid w:val="00047722"/>
    <w:rsid w:val="00047B27"/>
    <w:rsid w:val="00047B65"/>
    <w:rsid w:val="00047C26"/>
    <w:rsid w:val="00047C3D"/>
    <w:rsid w:val="00047C89"/>
    <w:rsid w:val="000500B2"/>
    <w:rsid w:val="0005014A"/>
    <w:rsid w:val="00050397"/>
    <w:rsid w:val="00050460"/>
    <w:rsid w:val="000505E9"/>
    <w:rsid w:val="000506F7"/>
    <w:rsid w:val="00050718"/>
    <w:rsid w:val="000507A9"/>
    <w:rsid w:val="000507B8"/>
    <w:rsid w:val="00050937"/>
    <w:rsid w:val="00050A42"/>
    <w:rsid w:val="00050AFB"/>
    <w:rsid w:val="00050B8D"/>
    <w:rsid w:val="00050D06"/>
    <w:rsid w:val="00050D51"/>
    <w:rsid w:val="000512A6"/>
    <w:rsid w:val="000512BE"/>
    <w:rsid w:val="00051321"/>
    <w:rsid w:val="0005157C"/>
    <w:rsid w:val="000518E6"/>
    <w:rsid w:val="000519EF"/>
    <w:rsid w:val="00051A24"/>
    <w:rsid w:val="00051C1D"/>
    <w:rsid w:val="00051F4D"/>
    <w:rsid w:val="0005214F"/>
    <w:rsid w:val="000525DF"/>
    <w:rsid w:val="00052D64"/>
    <w:rsid w:val="000530DA"/>
    <w:rsid w:val="0005332F"/>
    <w:rsid w:val="00053627"/>
    <w:rsid w:val="000538D9"/>
    <w:rsid w:val="00053A31"/>
    <w:rsid w:val="00053A98"/>
    <w:rsid w:val="00053B12"/>
    <w:rsid w:val="00053BD9"/>
    <w:rsid w:val="00053FF1"/>
    <w:rsid w:val="00054062"/>
    <w:rsid w:val="00054466"/>
    <w:rsid w:val="000544FE"/>
    <w:rsid w:val="00054F2D"/>
    <w:rsid w:val="00054FFC"/>
    <w:rsid w:val="00055041"/>
    <w:rsid w:val="000551F6"/>
    <w:rsid w:val="0005522D"/>
    <w:rsid w:val="0005525F"/>
    <w:rsid w:val="000552B7"/>
    <w:rsid w:val="000554C5"/>
    <w:rsid w:val="00055544"/>
    <w:rsid w:val="00055756"/>
    <w:rsid w:val="00055B2F"/>
    <w:rsid w:val="00055D98"/>
    <w:rsid w:val="00055E7D"/>
    <w:rsid w:val="00056196"/>
    <w:rsid w:val="00056254"/>
    <w:rsid w:val="000563B7"/>
    <w:rsid w:val="000569B5"/>
    <w:rsid w:val="00056ABA"/>
    <w:rsid w:val="0005727D"/>
    <w:rsid w:val="00057380"/>
    <w:rsid w:val="00057472"/>
    <w:rsid w:val="0005752C"/>
    <w:rsid w:val="00057567"/>
    <w:rsid w:val="00057948"/>
    <w:rsid w:val="00057E52"/>
    <w:rsid w:val="00057EAC"/>
    <w:rsid w:val="00057F41"/>
    <w:rsid w:val="0006064E"/>
    <w:rsid w:val="000608CC"/>
    <w:rsid w:val="000609AB"/>
    <w:rsid w:val="00060AEA"/>
    <w:rsid w:val="00060DB0"/>
    <w:rsid w:val="00060DF0"/>
    <w:rsid w:val="0006100D"/>
    <w:rsid w:val="00061031"/>
    <w:rsid w:val="00061091"/>
    <w:rsid w:val="0006170E"/>
    <w:rsid w:val="00061950"/>
    <w:rsid w:val="00061979"/>
    <w:rsid w:val="00061BA1"/>
    <w:rsid w:val="00061E95"/>
    <w:rsid w:val="00061F11"/>
    <w:rsid w:val="00061FFE"/>
    <w:rsid w:val="00062195"/>
    <w:rsid w:val="0006253A"/>
    <w:rsid w:val="000626EF"/>
    <w:rsid w:val="000628B1"/>
    <w:rsid w:val="000628E9"/>
    <w:rsid w:val="000629EC"/>
    <w:rsid w:val="00062BA4"/>
    <w:rsid w:val="00062DDB"/>
    <w:rsid w:val="00062EC1"/>
    <w:rsid w:val="000632B3"/>
    <w:rsid w:val="000636EA"/>
    <w:rsid w:val="0006379D"/>
    <w:rsid w:val="0006380F"/>
    <w:rsid w:val="00063A3C"/>
    <w:rsid w:val="00063CE0"/>
    <w:rsid w:val="00063CE2"/>
    <w:rsid w:val="00063DAC"/>
    <w:rsid w:val="00063DC7"/>
    <w:rsid w:val="0006407C"/>
    <w:rsid w:val="00064315"/>
    <w:rsid w:val="00064364"/>
    <w:rsid w:val="000643AB"/>
    <w:rsid w:val="0006471C"/>
    <w:rsid w:val="00064755"/>
    <w:rsid w:val="000647EE"/>
    <w:rsid w:val="00064818"/>
    <w:rsid w:val="0006490E"/>
    <w:rsid w:val="00064B59"/>
    <w:rsid w:val="00064C1A"/>
    <w:rsid w:val="00064E10"/>
    <w:rsid w:val="00064ECD"/>
    <w:rsid w:val="00064F0A"/>
    <w:rsid w:val="00064FD9"/>
    <w:rsid w:val="00065163"/>
    <w:rsid w:val="00065405"/>
    <w:rsid w:val="000655FF"/>
    <w:rsid w:val="00065BB3"/>
    <w:rsid w:val="00065D3B"/>
    <w:rsid w:val="00065DC2"/>
    <w:rsid w:val="00065F13"/>
    <w:rsid w:val="00065F4C"/>
    <w:rsid w:val="00066284"/>
    <w:rsid w:val="000667F2"/>
    <w:rsid w:val="0006684D"/>
    <w:rsid w:val="00066854"/>
    <w:rsid w:val="000668D9"/>
    <w:rsid w:val="00066AFA"/>
    <w:rsid w:val="00066B01"/>
    <w:rsid w:val="00066D60"/>
    <w:rsid w:val="00066EEC"/>
    <w:rsid w:val="000670BE"/>
    <w:rsid w:val="000672B5"/>
    <w:rsid w:val="000672D9"/>
    <w:rsid w:val="0006749E"/>
    <w:rsid w:val="00067829"/>
    <w:rsid w:val="00067A4A"/>
    <w:rsid w:val="00067AA7"/>
    <w:rsid w:val="00067AB4"/>
    <w:rsid w:val="00067B7F"/>
    <w:rsid w:val="00067E7F"/>
    <w:rsid w:val="0007010E"/>
    <w:rsid w:val="00070385"/>
    <w:rsid w:val="000703FB"/>
    <w:rsid w:val="0007067C"/>
    <w:rsid w:val="000707CD"/>
    <w:rsid w:val="00070A04"/>
    <w:rsid w:val="00070A65"/>
    <w:rsid w:val="00070A74"/>
    <w:rsid w:val="00070ACF"/>
    <w:rsid w:val="00070D6B"/>
    <w:rsid w:val="00070EC0"/>
    <w:rsid w:val="000710D9"/>
    <w:rsid w:val="00071373"/>
    <w:rsid w:val="000713D6"/>
    <w:rsid w:val="00071420"/>
    <w:rsid w:val="00071574"/>
    <w:rsid w:val="000715C3"/>
    <w:rsid w:val="00071779"/>
    <w:rsid w:val="00071796"/>
    <w:rsid w:val="00071B04"/>
    <w:rsid w:val="00071BCA"/>
    <w:rsid w:val="00071C26"/>
    <w:rsid w:val="00071C7C"/>
    <w:rsid w:val="00071D17"/>
    <w:rsid w:val="00071D70"/>
    <w:rsid w:val="00072188"/>
    <w:rsid w:val="000724E1"/>
    <w:rsid w:val="000725C0"/>
    <w:rsid w:val="0007285E"/>
    <w:rsid w:val="00072DDC"/>
    <w:rsid w:val="00072FB4"/>
    <w:rsid w:val="00073081"/>
    <w:rsid w:val="000730B7"/>
    <w:rsid w:val="00073289"/>
    <w:rsid w:val="00073731"/>
    <w:rsid w:val="00073A0A"/>
    <w:rsid w:val="00073A11"/>
    <w:rsid w:val="0007412B"/>
    <w:rsid w:val="000741C1"/>
    <w:rsid w:val="000743ED"/>
    <w:rsid w:val="00074433"/>
    <w:rsid w:val="000745A2"/>
    <w:rsid w:val="00074853"/>
    <w:rsid w:val="00074899"/>
    <w:rsid w:val="00074938"/>
    <w:rsid w:val="00074C84"/>
    <w:rsid w:val="00074CF7"/>
    <w:rsid w:val="00074EA2"/>
    <w:rsid w:val="00074FD9"/>
    <w:rsid w:val="00075311"/>
    <w:rsid w:val="000754AE"/>
    <w:rsid w:val="000755E5"/>
    <w:rsid w:val="0007570A"/>
    <w:rsid w:val="00075D5D"/>
    <w:rsid w:val="00076226"/>
    <w:rsid w:val="000762EF"/>
    <w:rsid w:val="0007652E"/>
    <w:rsid w:val="000766C5"/>
    <w:rsid w:val="00076715"/>
    <w:rsid w:val="00076961"/>
    <w:rsid w:val="00076978"/>
    <w:rsid w:val="00076FE1"/>
    <w:rsid w:val="00077318"/>
    <w:rsid w:val="00077425"/>
    <w:rsid w:val="00077496"/>
    <w:rsid w:val="00077654"/>
    <w:rsid w:val="000777BF"/>
    <w:rsid w:val="00077968"/>
    <w:rsid w:val="00077B0A"/>
    <w:rsid w:val="00077B5F"/>
    <w:rsid w:val="00077C3D"/>
    <w:rsid w:val="00077E21"/>
    <w:rsid w:val="00077FF4"/>
    <w:rsid w:val="000802C2"/>
    <w:rsid w:val="000804A0"/>
    <w:rsid w:val="000804F3"/>
    <w:rsid w:val="00080636"/>
    <w:rsid w:val="000809A2"/>
    <w:rsid w:val="00080AD7"/>
    <w:rsid w:val="00080B0D"/>
    <w:rsid w:val="00080C72"/>
    <w:rsid w:val="00080E10"/>
    <w:rsid w:val="0008106E"/>
    <w:rsid w:val="000810AB"/>
    <w:rsid w:val="000813E2"/>
    <w:rsid w:val="0008150A"/>
    <w:rsid w:val="000815D5"/>
    <w:rsid w:val="000815E3"/>
    <w:rsid w:val="00081D0E"/>
    <w:rsid w:val="000821C2"/>
    <w:rsid w:val="00082875"/>
    <w:rsid w:val="00082943"/>
    <w:rsid w:val="00082BE6"/>
    <w:rsid w:val="00082C1E"/>
    <w:rsid w:val="00082CCB"/>
    <w:rsid w:val="00082F98"/>
    <w:rsid w:val="0008312F"/>
    <w:rsid w:val="000834ED"/>
    <w:rsid w:val="00083773"/>
    <w:rsid w:val="00083B22"/>
    <w:rsid w:val="00083D5F"/>
    <w:rsid w:val="00083D90"/>
    <w:rsid w:val="000841AD"/>
    <w:rsid w:val="0008465F"/>
    <w:rsid w:val="0008470E"/>
    <w:rsid w:val="000849D8"/>
    <w:rsid w:val="00084AEC"/>
    <w:rsid w:val="00084C73"/>
    <w:rsid w:val="00084CAD"/>
    <w:rsid w:val="00084D9A"/>
    <w:rsid w:val="00085289"/>
    <w:rsid w:val="000852B9"/>
    <w:rsid w:val="000853EC"/>
    <w:rsid w:val="000854A6"/>
    <w:rsid w:val="00085521"/>
    <w:rsid w:val="0008556B"/>
    <w:rsid w:val="00085A21"/>
    <w:rsid w:val="00085A26"/>
    <w:rsid w:val="00085ADC"/>
    <w:rsid w:val="00085B3F"/>
    <w:rsid w:val="00085B94"/>
    <w:rsid w:val="00085BBA"/>
    <w:rsid w:val="00085BEA"/>
    <w:rsid w:val="00085CF4"/>
    <w:rsid w:val="00085F6A"/>
    <w:rsid w:val="00085FA3"/>
    <w:rsid w:val="000860C3"/>
    <w:rsid w:val="00086277"/>
    <w:rsid w:val="0008645C"/>
    <w:rsid w:val="00086530"/>
    <w:rsid w:val="0008667F"/>
    <w:rsid w:val="00086BD3"/>
    <w:rsid w:val="00086CD2"/>
    <w:rsid w:val="00087328"/>
    <w:rsid w:val="00087793"/>
    <w:rsid w:val="0008779F"/>
    <w:rsid w:val="000877A7"/>
    <w:rsid w:val="0008789A"/>
    <w:rsid w:val="00087A98"/>
    <w:rsid w:val="00087BA9"/>
    <w:rsid w:val="00087D62"/>
    <w:rsid w:val="00087DFE"/>
    <w:rsid w:val="00090617"/>
    <w:rsid w:val="0009070A"/>
    <w:rsid w:val="00090802"/>
    <w:rsid w:val="00090ACA"/>
    <w:rsid w:val="00090C90"/>
    <w:rsid w:val="00090CC2"/>
    <w:rsid w:val="00090F10"/>
    <w:rsid w:val="000910F3"/>
    <w:rsid w:val="00091259"/>
    <w:rsid w:val="00091497"/>
    <w:rsid w:val="000915C6"/>
    <w:rsid w:val="00091945"/>
    <w:rsid w:val="00091AA6"/>
    <w:rsid w:val="00091B17"/>
    <w:rsid w:val="00091FDF"/>
    <w:rsid w:val="00092006"/>
    <w:rsid w:val="00092233"/>
    <w:rsid w:val="000922AA"/>
    <w:rsid w:val="000925D7"/>
    <w:rsid w:val="00092796"/>
    <w:rsid w:val="00092834"/>
    <w:rsid w:val="000928F1"/>
    <w:rsid w:val="00093006"/>
    <w:rsid w:val="000930C8"/>
    <w:rsid w:val="000933E8"/>
    <w:rsid w:val="00093542"/>
    <w:rsid w:val="000937DF"/>
    <w:rsid w:val="000939A8"/>
    <w:rsid w:val="00093BB9"/>
    <w:rsid w:val="00093DD3"/>
    <w:rsid w:val="00093EB9"/>
    <w:rsid w:val="00094027"/>
    <w:rsid w:val="00094157"/>
    <w:rsid w:val="00094224"/>
    <w:rsid w:val="00094231"/>
    <w:rsid w:val="00094235"/>
    <w:rsid w:val="00094619"/>
    <w:rsid w:val="00094792"/>
    <w:rsid w:val="00094968"/>
    <w:rsid w:val="00094A0F"/>
    <w:rsid w:val="00094A92"/>
    <w:rsid w:val="00094AFF"/>
    <w:rsid w:val="00094F6F"/>
    <w:rsid w:val="00095079"/>
    <w:rsid w:val="0009516F"/>
    <w:rsid w:val="00095196"/>
    <w:rsid w:val="00095328"/>
    <w:rsid w:val="000954A8"/>
    <w:rsid w:val="00095689"/>
    <w:rsid w:val="000956EB"/>
    <w:rsid w:val="0009582C"/>
    <w:rsid w:val="00095971"/>
    <w:rsid w:val="00095A3E"/>
    <w:rsid w:val="00095BCE"/>
    <w:rsid w:val="00095BEE"/>
    <w:rsid w:val="00095C75"/>
    <w:rsid w:val="00095D2B"/>
    <w:rsid w:val="00095DD0"/>
    <w:rsid w:val="000961C1"/>
    <w:rsid w:val="000961F2"/>
    <w:rsid w:val="0009625E"/>
    <w:rsid w:val="0009646D"/>
    <w:rsid w:val="000967F4"/>
    <w:rsid w:val="00096A4A"/>
    <w:rsid w:val="00096B57"/>
    <w:rsid w:val="00096E3D"/>
    <w:rsid w:val="00096EEB"/>
    <w:rsid w:val="000970C0"/>
    <w:rsid w:val="00097101"/>
    <w:rsid w:val="000974C0"/>
    <w:rsid w:val="000974EE"/>
    <w:rsid w:val="00097564"/>
    <w:rsid w:val="000975A8"/>
    <w:rsid w:val="00097650"/>
    <w:rsid w:val="000979E2"/>
    <w:rsid w:val="00097CB3"/>
    <w:rsid w:val="00097ED7"/>
    <w:rsid w:val="00097FBB"/>
    <w:rsid w:val="000A004F"/>
    <w:rsid w:val="000A0339"/>
    <w:rsid w:val="000A037B"/>
    <w:rsid w:val="000A0737"/>
    <w:rsid w:val="000A095E"/>
    <w:rsid w:val="000A0A67"/>
    <w:rsid w:val="000A0C80"/>
    <w:rsid w:val="000A0C89"/>
    <w:rsid w:val="000A0E0A"/>
    <w:rsid w:val="000A14CF"/>
    <w:rsid w:val="000A15DE"/>
    <w:rsid w:val="000A1640"/>
    <w:rsid w:val="000A17CB"/>
    <w:rsid w:val="000A17EE"/>
    <w:rsid w:val="000A1C1D"/>
    <w:rsid w:val="000A1CBF"/>
    <w:rsid w:val="000A1EAF"/>
    <w:rsid w:val="000A216B"/>
    <w:rsid w:val="000A22E9"/>
    <w:rsid w:val="000A235D"/>
    <w:rsid w:val="000A242C"/>
    <w:rsid w:val="000A24E3"/>
    <w:rsid w:val="000A2656"/>
    <w:rsid w:val="000A2A70"/>
    <w:rsid w:val="000A2A94"/>
    <w:rsid w:val="000A2C3A"/>
    <w:rsid w:val="000A2C63"/>
    <w:rsid w:val="000A2DC4"/>
    <w:rsid w:val="000A2F8B"/>
    <w:rsid w:val="000A3170"/>
    <w:rsid w:val="000A320E"/>
    <w:rsid w:val="000A332F"/>
    <w:rsid w:val="000A3379"/>
    <w:rsid w:val="000A3495"/>
    <w:rsid w:val="000A358D"/>
    <w:rsid w:val="000A38A4"/>
    <w:rsid w:val="000A3C0C"/>
    <w:rsid w:val="000A3F1B"/>
    <w:rsid w:val="000A3FBF"/>
    <w:rsid w:val="000A4082"/>
    <w:rsid w:val="000A46EE"/>
    <w:rsid w:val="000A4983"/>
    <w:rsid w:val="000A4C00"/>
    <w:rsid w:val="000A4E16"/>
    <w:rsid w:val="000A5040"/>
    <w:rsid w:val="000A5089"/>
    <w:rsid w:val="000A517E"/>
    <w:rsid w:val="000A538F"/>
    <w:rsid w:val="000A591A"/>
    <w:rsid w:val="000A59D1"/>
    <w:rsid w:val="000A5BAA"/>
    <w:rsid w:val="000A5E90"/>
    <w:rsid w:val="000A5FE2"/>
    <w:rsid w:val="000A624B"/>
    <w:rsid w:val="000A629F"/>
    <w:rsid w:val="000A6317"/>
    <w:rsid w:val="000A6809"/>
    <w:rsid w:val="000A683D"/>
    <w:rsid w:val="000A6D75"/>
    <w:rsid w:val="000A6EAB"/>
    <w:rsid w:val="000A7124"/>
    <w:rsid w:val="000A71DC"/>
    <w:rsid w:val="000A7274"/>
    <w:rsid w:val="000A728B"/>
    <w:rsid w:val="000A7309"/>
    <w:rsid w:val="000A7596"/>
    <w:rsid w:val="000A75B7"/>
    <w:rsid w:val="000A7701"/>
    <w:rsid w:val="000A7AE3"/>
    <w:rsid w:val="000B06D8"/>
    <w:rsid w:val="000B079E"/>
    <w:rsid w:val="000B09B4"/>
    <w:rsid w:val="000B09D1"/>
    <w:rsid w:val="000B0A62"/>
    <w:rsid w:val="000B0C1B"/>
    <w:rsid w:val="000B0C24"/>
    <w:rsid w:val="000B0D1A"/>
    <w:rsid w:val="000B0D3B"/>
    <w:rsid w:val="000B0E60"/>
    <w:rsid w:val="000B0F01"/>
    <w:rsid w:val="000B1515"/>
    <w:rsid w:val="000B18F7"/>
    <w:rsid w:val="000B19A7"/>
    <w:rsid w:val="000B1A42"/>
    <w:rsid w:val="000B1C61"/>
    <w:rsid w:val="000B1CAE"/>
    <w:rsid w:val="000B1CC6"/>
    <w:rsid w:val="000B1CDB"/>
    <w:rsid w:val="000B1D9B"/>
    <w:rsid w:val="000B1E91"/>
    <w:rsid w:val="000B203A"/>
    <w:rsid w:val="000B231A"/>
    <w:rsid w:val="000B248A"/>
    <w:rsid w:val="000B2614"/>
    <w:rsid w:val="000B2810"/>
    <w:rsid w:val="000B2823"/>
    <w:rsid w:val="000B2876"/>
    <w:rsid w:val="000B28E7"/>
    <w:rsid w:val="000B2AFA"/>
    <w:rsid w:val="000B2F45"/>
    <w:rsid w:val="000B2FAE"/>
    <w:rsid w:val="000B31C8"/>
    <w:rsid w:val="000B3204"/>
    <w:rsid w:val="000B3644"/>
    <w:rsid w:val="000B3828"/>
    <w:rsid w:val="000B38B0"/>
    <w:rsid w:val="000B39FB"/>
    <w:rsid w:val="000B3CA0"/>
    <w:rsid w:val="000B3E8B"/>
    <w:rsid w:val="000B414D"/>
    <w:rsid w:val="000B43B3"/>
    <w:rsid w:val="000B442E"/>
    <w:rsid w:val="000B4505"/>
    <w:rsid w:val="000B45C9"/>
    <w:rsid w:val="000B46BA"/>
    <w:rsid w:val="000B47B2"/>
    <w:rsid w:val="000B491E"/>
    <w:rsid w:val="000B4922"/>
    <w:rsid w:val="000B4C37"/>
    <w:rsid w:val="000B4C9C"/>
    <w:rsid w:val="000B506B"/>
    <w:rsid w:val="000B5192"/>
    <w:rsid w:val="000B5252"/>
    <w:rsid w:val="000B531A"/>
    <w:rsid w:val="000B53A4"/>
    <w:rsid w:val="000B543F"/>
    <w:rsid w:val="000B547B"/>
    <w:rsid w:val="000B5790"/>
    <w:rsid w:val="000B598A"/>
    <w:rsid w:val="000B598B"/>
    <w:rsid w:val="000B5CEB"/>
    <w:rsid w:val="000B5F87"/>
    <w:rsid w:val="000B6017"/>
    <w:rsid w:val="000B603E"/>
    <w:rsid w:val="000B60D2"/>
    <w:rsid w:val="000B6177"/>
    <w:rsid w:val="000B6292"/>
    <w:rsid w:val="000B66FC"/>
    <w:rsid w:val="000B6726"/>
    <w:rsid w:val="000B6C16"/>
    <w:rsid w:val="000B6D9A"/>
    <w:rsid w:val="000B6E0B"/>
    <w:rsid w:val="000B6F2E"/>
    <w:rsid w:val="000B7087"/>
    <w:rsid w:val="000B71C7"/>
    <w:rsid w:val="000B723F"/>
    <w:rsid w:val="000B72B8"/>
    <w:rsid w:val="000B75C5"/>
    <w:rsid w:val="000B7782"/>
    <w:rsid w:val="000B7966"/>
    <w:rsid w:val="000B7A3F"/>
    <w:rsid w:val="000B7C83"/>
    <w:rsid w:val="000B7EFA"/>
    <w:rsid w:val="000B7FCD"/>
    <w:rsid w:val="000C0027"/>
    <w:rsid w:val="000C013B"/>
    <w:rsid w:val="000C0238"/>
    <w:rsid w:val="000C061A"/>
    <w:rsid w:val="000C0686"/>
    <w:rsid w:val="000C0797"/>
    <w:rsid w:val="000C0993"/>
    <w:rsid w:val="000C0EC1"/>
    <w:rsid w:val="000C0ED8"/>
    <w:rsid w:val="000C0F1D"/>
    <w:rsid w:val="000C0F84"/>
    <w:rsid w:val="000C17CF"/>
    <w:rsid w:val="000C1B1A"/>
    <w:rsid w:val="000C1B2E"/>
    <w:rsid w:val="000C1F0C"/>
    <w:rsid w:val="000C207A"/>
    <w:rsid w:val="000C23EE"/>
    <w:rsid w:val="000C26B8"/>
    <w:rsid w:val="000C2A1E"/>
    <w:rsid w:val="000C2B82"/>
    <w:rsid w:val="000C2BBB"/>
    <w:rsid w:val="000C2BDD"/>
    <w:rsid w:val="000C30C2"/>
    <w:rsid w:val="000C3565"/>
    <w:rsid w:val="000C389C"/>
    <w:rsid w:val="000C390E"/>
    <w:rsid w:val="000C3A16"/>
    <w:rsid w:val="000C3D97"/>
    <w:rsid w:val="000C3DD6"/>
    <w:rsid w:val="000C429D"/>
    <w:rsid w:val="000C436E"/>
    <w:rsid w:val="000C4752"/>
    <w:rsid w:val="000C47F6"/>
    <w:rsid w:val="000C4A9B"/>
    <w:rsid w:val="000C4AD0"/>
    <w:rsid w:val="000C4AE3"/>
    <w:rsid w:val="000C4BCC"/>
    <w:rsid w:val="000C5000"/>
    <w:rsid w:val="000C56EC"/>
    <w:rsid w:val="000C573A"/>
    <w:rsid w:val="000C5977"/>
    <w:rsid w:val="000C5C83"/>
    <w:rsid w:val="000C5E2A"/>
    <w:rsid w:val="000C5FFB"/>
    <w:rsid w:val="000C61F9"/>
    <w:rsid w:val="000C63AF"/>
    <w:rsid w:val="000C64DA"/>
    <w:rsid w:val="000C6578"/>
    <w:rsid w:val="000C65B8"/>
    <w:rsid w:val="000C6971"/>
    <w:rsid w:val="000C6AE8"/>
    <w:rsid w:val="000C6BED"/>
    <w:rsid w:val="000C6D05"/>
    <w:rsid w:val="000C6FF4"/>
    <w:rsid w:val="000C70AA"/>
    <w:rsid w:val="000C7414"/>
    <w:rsid w:val="000C7435"/>
    <w:rsid w:val="000C778E"/>
    <w:rsid w:val="000C7883"/>
    <w:rsid w:val="000C7A4D"/>
    <w:rsid w:val="000C7C7B"/>
    <w:rsid w:val="000D018B"/>
    <w:rsid w:val="000D037C"/>
    <w:rsid w:val="000D079B"/>
    <w:rsid w:val="000D08DB"/>
    <w:rsid w:val="000D0A07"/>
    <w:rsid w:val="000D0B34"/>
    <w:rsid w:val="000D0F28"/>
    <w:rsid w:val="000D1359"/>
    <w:rsid w:val="000D1904"/>
    <w:rsid w:val="000D1C02"/>
    <w:rsid w:val="000D1D7A"/>
    <w:rsid w:val="000D1DE1"/>
    <w:rsid w:val="000D1E8F"/>
    <w:rsid w:val="000D20AE"/>
    <w:rsid w:val="000D26DE"/>
    <w:rsid w:val="000D28C6"/>
    <w:rsid w:val="000D2984"/>
    <w:rsid w:val="000D29E2"/>
    <w:rsid w:val="000D2B4D"/>
    <w:rsid w:val="000D2B5F"/>
    <w:rsid w:val="000D2C14"/>
    <w:rsid w:val="000D2C25"/>
    <w:rsid w:val="000D2FBB"/>
    <w:rsid w:val="000D302F"/>
    <w:rsid w:val="000D32D5"/>
    <w:rsid w:val="000D3448"/>
    <w:rsid w:val="000D34CD"/>
    <w:rsid w:val="000D3A99"/>
    <w:rsid w:val="000D3BDD"/>
    <w:rsid w:val="000D3C18"/>
    <w:rsid w:val="000D3CA1"/>
    <w:rsid w:val="000D3E6A"/>
    <w:rsid w:val="000D4176"/>
    <w:rsid w:val="000D4236"/>
    <w:rsid w:val="000D443F"/>
    <w:rsid w:val="000D44DB"/>
    <w:rsid w:val="000D4548"/>
    <w:rsid w:val="000D4626"/>
    <w:rsid w:val="000D4659"/>
    <w:rsid w:val="000D4846"/>
    <w:rsid w:val="000D49D2"/>
    <w:rsid w:val="000D4ACF"/>
    <w:rsid w:val="000D4BB5"/>
    <w:rsid w:val="000D4E00"/>
    <w:rsid w:val="000D4FA8"/>
    <w:rsid w:val="000D5161"/>
    <w:rsid w:val="000D5238"/>
    <w:rsid w:val="000D585B"/>
    <w:rsid w:val="000D5C11"/>
    <w:rsid w:val="000D5F1B"/>
    <w:rsid w:val="000D5FEB"/>
    <w:rsid w:val="000D600E"/>
    <w:rsid w:val="000D633A"/>
    <w:rsid w:val="000D635F"/>
    <w:rsid w:val="000D664F"/>
    <w:rsid w:val="000D66DB"/>
    <w:rsid w:val="000D6805"/>
    <w:rsid w:val="000D6A10"/>
    <w:rsid w:val="000D6E66"/>
    <w:rsid w:val="000D7150"/>
    <w:rsid w:val="000D7849"/>
    <w:rsid w:val="000D7F5C"/>
    <w:rsid w:val="000E008A"/>
    <w:rsid w:val="000E00E6"/>
    <w:rsid w:val="000E04A1"/>
    <w:rsid w:val="000E0568"/>
    <w:rsid w:val="000E0593"/>
    <w:rsid w:val="000E0818"/>
    <w:rsid w:val="000E0CFD"/>
    <w:rsid w:val="000E0D0E"/>
    <w:rsid w:val="000E0FE2"/>
    <w:rsid w:val="000E11E0"/>
    <w:rsid w:val="000E1624"/>
    <w:rsid w:val="000E1672"/>
    <w:rsid w:val="000E1A64"/>
    <w:rsid w:val="000E1AAE"/>
    <w:rsid w:val="000E1C0C"/>
    <w:rsid w:val="000E1DE8"/>
    <w:rsid w:val="000E217B"/>
    <w:rsid w:val="000E219F"/>
    <w:rsid w:val="000E28F6"/>
    <w:rsid w:val="000E29DF"/>
    <w:rsid w:val="000E2A8A"/>
    <w:rsid w:val="000E2C2E"/>
    <w:rsid w:val="000E2CB0"/>
    <w:rsid w:val="000E2D19"/>
    <w:rsid w:val="000E2D5B"/>
    <w:rsid w:val="000E2E63"/>
    <w:rsid w:val="000E31E0"/>
    <w:rsid w:val="000E31FE"/>
    <w:rsid w:val="000E3233"/>
    <w:rsid w:val="000E3698"/>
    <w:rsid w:val="000E38DD"/>
    <w:rsid w:val="000E3ACC"/>
    <w:rsid w:val="000E3B43"/>
    <w:rsid w:val="000E3C9C"/>
    <w:rsid w:val="000E3F33"/>
    <w:rsid w:val="000E3FC3"/>
    <w:rsid w:val="000E44C1"/>
    <w:rsid w:val="000E44F9"/>
    <w:rsid w:val="000E463D"/>
    <w:rsid w:val="000E4B7D"/>
    <w:rsid w:val="000E4EDC"/>
    <w:rsid w:val="000E4F0F"/>
    <w:rsid w:val="000E50D0"/>
    <w:rsid w:val="000E50F4"/>
    <w:rsid w:val="000E50F5"/>
    <w:rsid w:val="000E5355"/>
    <w:rsid w:val="000E5575"/>
    <w:rsid w:val="000E563D"/>
    <w:rsid w:val="000E569B"/>
    <w:rsid w:val="000E56B6"/>
    <w:rsid w:val="000E580A"/>
    <w:rsid w:val="000E5920"/>
    <w:rsid w:val="000E5A37"/>
    <w:rsid w:val="000E5E30"/>
    <w:rsid w:val="000E5FB5"/>
    <w:rsid w:val="000E603A"/>
    <w:rsid w:val="000E6051"/>
    <w:rsid w:val="000E608B"/>
    <w:rsid w:val="000E6B94"/>
    <w:rsid w:val="000E6D21"/>
    <w:rsid w:val="000E6E89"/>
    <w:rsid w:val="000E71A1"/>
    <w:rsid w:val="000E759D"/>
    <w:rsid w:val="000E75E6"/>
    <w:rsid w:val="000E7750"/>
    <w:rsid w:val="000E7D73"/>
    <w:rsid w:val="000E7E61"/>
    <w:rsid w:val="000E7FDF"/>
    <w:rsid w:val="000F0073"/>
    <w:rsid w:val="000F0250"/>
    <w:rsid w:val="000F03FB"/>
    <w:rsid w:val="000F04BD"/>
    <w:rsid w:val="000F070A"/>
    <w:rsid w:val="000F0985"/>
    <w:rsid w:val="000F0C47"/>
    <w:rsid w:val="000F1510"/>
    <w:rsid w:val="000F163D"/>
    <w:rsid w:val="000F1952"/>
    <w:rsid w:val="000F1AEC"/>
    <w:rsid w:val="000F1D0D"/>
    <w:rsid w:val="000F1E43"/>
    <w:rsid w:val="000F2151"/>
    <w:rsid w:val="000F2164"/>
    <w:rsid w:val="000F266E"/>
    <w:rsid w:val="000F267D"/>
    <w:rsid w:val="000F2728"/>
    <w:rsid w:val="000F2A3B"/>
    <w:rsid w:val="000F2AE4"/>
    <w:rsid w:val="000F2B36"/>
    <w:rsid w:val="000F2B6A"/>
    <w:rsid w:val="000F2D54"/>
    <w:rsid w:val="000F2DCE"/>
    <w:rsid w:val="000F2E25"/>
    <w:rsid w:val="000F350B"/>
    <w:rsid w:val="000F35AB"/>
    <w:rsid w:val="000F3692"/>
    <w:rsid w:val="000F373D"/>
    <w:rsid w:val="000F37E8"/>
    <w:rsid w:val="000F3848"/>
    <w:rsid w:val="000F38CE"/>
    <w:rsid w:val="000F3AE3"/>
    <w:rsid w:val="000F3B1A"/>
    <w:rsid w:val="000F3B71"/>
    <w:rsid w:val="000F3CDA"/>
    <w:rsid w:val="000F4063"/>
    <w:rsid w:val="000F4428"/>
    <w:rsid w:val="000F45EB"/>
    <w:rsid w:val="000F46E6"/>
    <w:rsid w:val="000F4ACB"/>
    <w:rsid w:val="000F4B85"/>
    <w:rsid w:val="000F4C51"/>
    <w:rsid w:val="000F4D51"/>
    <w:rsid w:val="000F4E80"/>
    <w:rsid w:val="000F4FE3"/>
    <w:rsid w:val="000F57C0"/>
    <w:rsid w:val="000F5CE7"/>
    <w:rsid w:val="000F5F16"/>
    <w:rsid w:val="000F5F2A"/>
    <w:rsid w:val="000F5F64"/>
    <w:rsid w:val="000F5FD8"/>
    <w:rsid w:val="000F6042"/>
    <w:rsid w:val="000F60B2"/>
    <w:rsid w:val="000F613A"/>
    <w:rsid w:val="000F64C2"/>
    <w:rsid w:val="000F6552"/>
    <w:rsid w:val="000F68FF"/>
    <w:rsid w:val="000F6B6A"/>
    <w:rsid w:val="000F6CBD"/>
    <w:rsid w:val="000F6FBE"/>
    <w:rsid w:val="000F779F"/>
    <w:rsid w:val="000F7944"/>
    <w:rsid w:val="000F7BB9"/>
    <w:rsid w:val="0010046A"/>
    <w:rsid w:val="0010070D"/>
    <w:rsid w:val="001009C6"/>
    <w:rsid w:val="00100B47"/>
    <w:rsid w:val="00100D8D"/>
    <w:rsid w:val="00100E16"/>
    <w:rsid w:val="00100E64"/>
    <w:rsid w:val="00100F27"/>
    <w:rsid w:val="00101245"/>
    <w:rsid w:val="0010153C"/>
    <w:rsid w:val="00101A64"/>
    <w:rsid w:val="00101C9F"/>
    <w:rsid w:val="00101DB9"/>
    <w:rsid w:val="001024FE"/>
    <w:rsid w:val="00102574"/>
    <w:rsid w:val="00102580"/>
    <w:rsid w:val="001025F9"/>
    <w:rsid w:val="0010273C"/>
    <w:rsid w:val="001027C3"/>
    <w:rsid w:val="001027F5"/>
    <w:rsid w:val="001029F9"/>
    <w:rsid w:val="00102DCB"/>
    <w:rsid w:val="00102EF2"/>
    <w:rsid w:val="00102FDD"/>
    <w:rsid w:val="00103187"/>
    <w:rsid w:val="001032E1"/>
    <w:rsid w:val="001033AF"/>
    <w:rsid w:val="00103662"/>
    <w:rsid w:val="001037DB"/>
    <w:rsid w:val="00103A68"/>
    <w:rsid w:val="00103CC2"/>
    <w:rsid w:val="00103D46"/>
    <w:rsid w:val="00104530"/>
    <w:rsid w:val="001045AC"/>
    <w:rsid w:val="0010461C"/>
    <w:rsid w:val="0010469F"/>
    <w:rsid w:val="0010474E"/>
    <w:rsid w:val="0010478E"/>
    <w:rsid w:val="00104953"/>
    <w:rsid w:val="00104B22"/>
    <w:rsid w:val="00104BD3"/>
    <w:rsid w:val="00104BD8"/>
    <w:rsid w:val="00104BF7"/>
    <w:rsid w:val="00104FC9"/>
    <w:rsid w:val="001050EE"/>
    <w:rsid w:val="00105125"/>
    <w:rsid w:val="001051DF"/>
    <w:rsid w:val="001052CF"/>
    <w:rsid w:val="001055D5"/>
    <w:rsid w:val="001058B4"/>
    <w:rsid w:val="001058B7"/>
    <w:rsid w:val="0010592F"/>
    <w:rsid w:val="00105A54"/>
    <w:rsid w:val="00105CC1"/>
    <w:rsid w:val="00105D94"/>
    <w:rsid w:val="00105E4A"/>
    <w:rsid w:val="00105EAC"/>
    <w:rsid w:val="00106082"/>
    <w:rsid w:val="00106214"/>
    <w:rsid w:val="00106308"/>
    <w:rsid w:val="001067BC"/>
    <w:rsid w:val="001068E1"/>
    <w:rsid w:val="00106AA7"/>
    <w:rsid w:val="00106D05"/>
    <w:rsid w:val="00106D19"/>
    <w:rsid w:val="00106D27"/>
    <w:rsid w:val="00106D3B"/>
    <w:rsid w:val="00106F7B"/>
    <w:rsid w:val="0010703C"/>
    <w:rsid w:val="001073E5"/>
    <w:rsid w:val="00107429"/>
    <w:rsid w:val="001075A1"/>
    <w:rsid w:val="001076C7"/>
    <w:rsid w:val="00107C75"/>
    <w:rsid w:val="00107D0A"/>
    <w:rsid w:val="00107D9C"/>
    <w:rsid w:val="001100B8"/>
    <w:rsid w:val="00110165"/>
    <w:rsid w:val="001102E9"/>
    <w:rsid w:val="0011042C"/>
    <w:rsid w:val="00110503"/>
    <w:rsid w:val="0011054D"/>
    <w:rsid w:val="00110629"/>
    <w:rsid w:val="00110AFC"/>
    <w:rsid w:val="00110B27"/>
    <w:rsid w:val="00110F6E"/>
    <w:rsid w:val="00110FFF"/>
    <w:rsid w:val="0011105E"/>
    <w:rsid w:val="0011108D"/>
    <w:rsid w:val="001112C6"/>
    <w:rsid w:val="00111438"/>
    <w:rsid w:val="00111440"/>
    <w:rsid w:val="001118EE"/>
    <w:rsid w:val="00111937"/>
    <w:rsid w:val="00111CA6"/>
    <w:rsid w:val="00111CE3"/>
    <w:rsid w:val="00111FA2"/>
    <w:rsid w:val="001121F2"/>
    <w:rsid w:val="00112230"/>
    <w:rsid w:val="001125EA"/>
    <w:rsid w:val="001127D9"/>
    <w:rsid w:val="00112B97"/>
    <w:rsid w:val="00112CD9"/>
    <w:rsid w:val="00112D6F"/>
    <w:rsid w:val="00112F0B"/>
    <w:rsid w:val="0011303C"/>
    <w:rsid w:val="0011394D"/>
    <w:rsid w:val="00113CE1"/>
    <w:rsid w:val="00113D04"/>
    <w:rsid w:val="00113DA8"/>
    <w:rsid w:val="0011403D"/>
    <w:rsid w:val="00114067"/>
    <w:rsid w:val="0011407C"/>
    <w:rsid w:val="001140CE"/>
    <w:rsid w:val="001140FB"/>
    <w:rsid w:val="001141D5"/>
    <w:rsid w:val="00114219"/>
    <w:rsid w:val="00114262"/>
    <w:rsid w:val="001142F5"/>
    <w:rsid w:val="001142F9"/>
    <w:rsid w:val="0011452C"/>
    <w:rsid w:val="0011456E"/>
    <w:rsid w:val="0011459C"/>
    <w:rsid w:val="001146D0"/>
    <w:rsid w:val="001148EA"/>
    <w:rsid w:val="00114B1B"/>
    <w:rsid w:val="00114C3F"/>
    <w:rsid w:val="00114C62"/>
    <w:rsid w:val="00114D13"/>
    <w:rsid w:val="00114D34"/>
    <w:rsid w:val="00114ED6"/>
    <w:rsid w:val="00114ED7"/>
    <w:rsid w:val="0011506F"/>
    <w:rsid w:val="001154CB"/>
    <w:rsid w:val="001155DC"/>
    <w:rsid w:val="0011568B"/>
    <w:rsid w:val="00115788"/>
    <w:rsid w:val="00115DEB"/>
    <w:rsid w:val="00115FD8"/>
    <w:rsid w:val="001161C9"/>
    <w:rsid w:val="00116375"/>
    <w:rsid w:val="00116417"/>
    <w:rsid w:val="001165B3"/>
    <w:rsid w:val="001169BD"/>
    <w:rsid w:val="00116D23"/>
    <w:rsid w:val="00116D61"/>
    <w:rsid w:val="00116DF9"/>
    <w:rsid w:val="00116E8C"/>
    <w:rsid w:val="00116E99"/>
    <w:rsid w:val="00116F5E"/>
    <w:rsid w:val="00116FE6"/>
    <w:rsid w:val="001170CF"/>
    <w:rsid w:val="001170F1"/>
    <w:rsid w:val="00117906"/>
    <w:rsid w:val="001179E0"/>
    <w:rsid w:val="00117C4D"/>
    <w:rsid w:val="00117EB7"/>
    <w:rsid w:val="00117EBF"/>
    <w:rsid w:val="00117F52"/>
    <w:rsid w:val="001204A2"/>
    <w:rsid w:val="00120622"/>
    <w:rsid w:val="001209FC"/>
    <w:rsid w:val="00120A39"/>
    <w:rsid w:val="00120AE8"/>
    <w:rsid w:val="00120B45"/>
    <w:rsid w:val="00120B4A"/>
    <w:rsid w:val="00120BA6"/>
    <w:rsid w:val="00120DC5"/>
    <w:rsid w:val="00120DD4"/>
    <w:rsid w:val="00121122"/>
    <w:rsid w:val="001211BA"/>
    <w:rsid w:val="001212A7"/>
    <w:rsid w:val="001213B2"/>
    <w:rsid w:val="00121495"/>
    <w:rsid w:val="001215C0"/>
    <w:rsid w:val="00121641"/>
    <w:rsid w:val="001217BF"/>
    <w:rsid w:val="00121FD2"/>
    <w:rsid w:val="00122715"/>
    <w:rsid w:val="001229CD"/>
    <w:rsid w:val="00122A28"/>
    <w:rsid w:val="00122A38"/>
    <w:rsid w:val="00122AF2"/>
    <w:rsid w:val="00122B72"/>
    <w:rsid w:val="00122DCD"/>
    <w:rsid w:val="0012300E"/>
    <w:rsid w:val="001230A4"/>
    <w:rsid w:val="001231D6"/>
    <w:rsid w:val="001232E0"/>
    <w:rsid w:val="001235E5"/>
    <w:rsid w:val="0012379B"/>
    <w:rsid w:val="00123A9F"/>
    <w:rsid w:val="00123AA0"/>
    <w:rsid w:val="00123B84"/>
    <w:rsid w:val="00123BAA"/>
    <w:rsid w:val="00123C7A"/>
    <w:rsid w:val="001240D1"/>
    <w:rsid w:val="0012487B"/>
    <w:rsid w:val="001249FA"/>
    <w:rsid w:val="00124AC2"/>
    <w:rsid w:val="00124E53"/>
    <w:rsid w:val="0012542E"/>
    <w:rsid w:val="001256F7"/>
    <w:rsid w:val="00125AF0"/>
    <w:rsid w:val="00125C6F"/>
    <w:rsid w:val="00126273"/>
    <w:rsid w:val="00126300"/>
    <w:rsid w:val="00126478"/>
    <w:rsid w:val="001266A1"/>
    <w:rsid w:val="001268BD"/>
    <w:rsid w:val="001268E4"/>
    <w:rsid w:val="00126960"/>
    <w:rsid w:val="00126ADF"/>
    <w:rsid w:val="00126B26"/>
    <w:rsid w:val="00126EA9"/>
    <w:rsid w:val="00126FE8"/>
    <w:rsid w:val="001270F2"/>
    <w:rsid w:val="001270F8"/>
    <w:rsid w:val="00127134"/>
    <w:rsid w:val="00127179"/>
    <w:rsid w:val="0012722C"/>
    <w:rsid w:val="00127253"/>
    <w:rsid w:val="001272E2"/>
    <w:rsid w:val="0012737A"/>
    <w:rsid w:val="0012742A"/>
    <w:rsid w:val="0012757C"/>
    <w:rsid w:val="00127A40"/>
    <w:rsid w:val="00127A57"/>
    <w:rsid w:val="00127C1F"/>
    <w:rsid w:val="00127EAA"/>
    <w:rsid w:val="00127FFB"/>
    <w:rsid w:val="0013000F"/>
    <w:rsid w:val="001300B3"/>
    <w:rsid w:val="001300D4"/>
    <w:rsid w:val="001302B2"/>
    <w:rsid w:val="001302E3"/>
    <w:rsid w:val="00130473"/>
    <w:rsid w:val="00130486"/>
    <w:rsid w:val="0013064B"/>
    <w:rsid w:val="00130D0C"/>
    <w:rsid w:val="00130DE6"/>
    <w:rsid w:val="00130FA4"/>
    <w:rsid w:val="0013110C"/>
    <w:rsid w:val="0013114A"/>
    <w:rsid w:val="001312A8"/>
    <w:rsid w:val="00131403"/>
    <w:rsid w:val="0013149F"/>
    <w:rsid w:val="0013182E"/>
    <w:rsid w:val="00131B93"/>
    <w:rsid w:val="00131D0D"/>
    <w:rsid w:val="00131EA6"/>
    <w:rsid w:val="00131EBA"/>
    <w:rsid w:val="00132215"/>
    <w:rsid w:val="00132234"/>
    <w:rsid w:val="00132307"/>
    <w:rsid w:val="00132555"/>
    <w:rsid w:val="001329BA"/>
    <w:rsid w:val="00132B7B"/>
    <w:rsid w:val="00132C1E"/>
    <w:rsid w:val="00132D5A"/>
    <w:rsid w:val="00132DDB"/>
    <w:rsid w:val="00132F17"/>
    <w:rsid w:val="0013379C"/>
    <w:rsid w:val="001338C3"/>
    <w:rsid w:val="001338F6"/>
    <w:rsid w:val="00133B35"/>
    <w:rsid w:val="00133B5F"/>
    <w:rsid w:val="00133D92"/>
    <w:rsid w:val="00133EB5"/>
    <w:rsid w:val="0013401C"/>
    <w:rsid w:val="0013417D"/>
    <w:rsid w:val="001342D5"/>
    <w:rsid w:val="001342E6"/>
    <w:rsid w:val="00134351"/>
    <w:rsid w:val="001343D1"/>
    <w:rsid w:val="0013457B"/>
    <w:rsid w:val="00134632"/>
    <w:rsid w:val="0013465C"/>
    <w:rsid w:val="00134A99"/>
    <w:rsid w:val="00134BFC"/>
    <w:rsid w:val="00134F0F"/>
    <w:rsid w:val="00134F16"/>
    <w:rsid w:val="001352B6"/>
    <w:rsid w:val="0013533D"/>
    <w:rsid w:val="001353AB"/>
    <w:rsid w:val="001354F7"/>
    <w:rsid w:val="0013555F"/>
    <w:rsid w:val="001359DC"/>
    <w:rsid w:val="00135B77"/>
    <w:rsid w:val="00135DBE"/>
    <w:rsid w:val="00135E69"/>
    <w:rsid w:val="00135F53"/>
    <w:rsid w:val="001361CF"/>
    <w:rsid w:val="00136309"/>
    <w:rsid w:val="001363B3"/>
    <w:rsid w:val="00136886"/>
    <w:rsid w:val="00136910"/>
    <w:rsid w:val="00136955"/>
    <w:rsid w:val="00136B5B"/>
    <w:rsid w:val="00136C15"/>
    <w:rsid w:val="00136CA0"/>
    <w:rsid w:val="00136D88"/>
    <w:rsid w:val="001370DD"/>
    <w:rsid w:val="0013738F"/>
    <w:rsid w:val="00137446"/>
    <w:rsid w:val="001375AA"/>
    <w:rsid w:val="00137603"/>
    <w:rsid w:val="001377E7"/>
    <w:rsid w:val="00137840"/>
    <w:rsid w:val="001378F4"/>
    <w:rsid w:val="00137A5F"/>
    <w:rsid w:val="00137CA2"/>
    <w:rsid w:val="00137CE9"/>
    <w:rsid w:val="00137F83"/>
    <w:rsid w:val="00140183"/>
    <w:rsid w:val="001403BA"/>
    <w:rsid w:val="00140406"/>
    <w:rsid w:val="00140417"/>
    <w:rsid w:val="001405D1"/>
    <w:rsid w:val="001407B1"/>
    <w:rsid w:val="00140841"/>
    <w:rsid w:val="001408F8"/>
    <w:rsid w:val="001408FE"/>
    <w:rsid w:val="00140AFB"/>
    <w:rsid w:val="00140BC6"/>
    <w:rsid w:val="0014103E"/>
    <w:rsid w:val="001415E1"/>
    <w:rsid w:val="00141717"/>
    <w:rsid w:val="00141763"/>
    <w:rsid w:val="00141807"/>
    <w:rsid w:val="00141A35"/>
    <w:rsid w:val="00141C3E"/>
    <w:rsid w:val="00142166"/>
    <w:rsid w:val="001421F6"/>
    <w:rsid w:val="00142420"/>
    <w:rsid w:val="001424A0"/>
    <w:rsid w:val="0014270B"/>
    <w:rsid w:val="00142A9E"/>
    <w:rsid w:val="00142AFB"/>
    <w:rsid w:val="00142D24"/>
    <w:rsid w:val="00142D46"/>
    <w:rsid w:val="00142F58"/>
    <w:rsid w:val="0014309D"/>
    <w:rsid w:val="001430B8"/>
    <w:rsid w:val="00143575"/>
    <w:rsid w:val="00143649"/>
    <w:rsid w:val="001437E0"/>
    <w:rsid w:val="001438CA"/>
    <w:rsid w:val="001438D7"/>
    <w:rsid w:val="00143A66"/>
    <w:rsid w:val="00143A98"/>
    <w:rsid w:val="00143BC2"/>
    <w:rsid w:val="00143DEF"/>
    <w:rsid w:val="00144154"/>
    <w:rsid w:val="001442B3"/>
    <w:rsid w:val="001442F9"/>
    <w:rsid w:val="00144424"/>
    <w:rsid w:val="0014444D"/>
    <w:rsid w:val="00144503"/>
    <w:rsid w:val="0014462B"/>
    <w:rsid w:val="001447F1"/>
    <w:rsid w:val="00144BD0"/>
    <w:rsid w:val="00144CA5"/>
    <w:rsid w:val="00144DC3"/>
    <w:rsid w:val="00145062"/>
    <w:rsid w:val="001454E1"/>
    <w:rsid w:val="0014554E"/>
    <w:rsid w:val="0014568A"/>
    <w:rsid w:val="001456A4"/>
    <w:rsid w:val="001456EE"/>
    <w:rsid w:val="00145715"/>
    <w:rsid w:val="00145BC0"/>
    <w:rsid w:val="00145D81"/>
    <w:rsid w:val="00145F13"/>
    <w:rsid w:val="00146128"/>
    <w:rsid w:val="0014638F"/>
    <w:rsid w:val="001463A5"/>
    <w:rsid w:val="00146430"/>
    <w:rsid w:val="00146541"/>
    <w:rsid w:val="001466DD"/>
    <w:rsid w:val="00146771"/>
    <w:rsid w:val="0014695A"/>
    <w:rsid w:val="00146C20"/>
    <w:rsid w:val="001473E7"/>
    <w:rsid w:val="001474EE"/>
    <w:rsid w:val="00147602"/>
    <w:rsid w:val="0014768F"/>
    <w:rsid w:val="00147B6E"/>
    <w:rsid w:val="00150A25"/>
    <w:rsid w:val="00150A29"/>
    <w:rsid w:val="00150F3E"/>
    <w:rsid w:val="00150FB1"/>
    <w:rsid w:val="00150FE0"/>
    <w:rsid w:val="001510CD"/>
    <w:rsid w:val="00151129"/>
    <w:rsid w:val="00151161"/>
    <w:rsid w:val="0015121B"/>
    <w:rsid w:val="0015130F"/>
    <w:rsid w:val="001513A6"/>
    <w:rsid w:val="0015145D"/>
    <w:rsid w:val="0015150C"/>
    <w:rsid w:val="001516E8"/>
    <w:rsid w:val="00151983"/>
    <w:rsid w:val="00151C03"/>
    <w:rsid w:val="00151ED5"/>
    <w:rsid w:val="00151FF0"/>
    <w:rsid w:val="0015201C"/>
    <w:rsid w:val="0015201E"/>
    <w:rsid w:val="001520CB"/>
    <w:rsid w:val="001521D4"/>
    <w:rsid w:val="001522F3"/>
    <w:rsid w:val="001524B9"/>
    <w:rsid w:val="0015253B"/>
    <w:rsid w:val="00152857"/>
    <w:rsid w:val="0015289E"/>
    <w:rsid w:val="0015293A"/>
    <w:rsid w:val="00152DDB"/>
    <w:rsid w:val="00152DEC"/>
    <w:rsid w:val="00153025"/>
    <w:rsid w:val="001530CC"/>
    <w:rsid w:val="001532A1"/>
    <w:rsid w:val="001535E6"/>
    <w:rsid w:val="001536F8"/>
    <w:rsid w:val="001537C8"/>
    <w:rsid w:val="00153928"/>
    <w:rsid w:val="00153A6D"/>
    <w:rsid w:val="00153AB5"/>
    <w:rsid w:val="00153AC1"/>
    <w:rsid w:val="00153AED"/>
    <w:rsid w:val="00153BD1"/>
    <w:rsid w:val="00154323"/>
    <w:rsid w:val="0015433D"/>
    <w:rsid w:val="0015439D"/>
    <w:rsid w:val="00154996"/>
    <w:rsid w:val="00154E1B"/>
    <w:rsid w:val="00154E9A"/>
    <w:rsid w:val="001554DA"/>
    <w:rsid w:val="00155510"/>
    <w:rsid w:val="001556BA"/>
    <w:rsid w:val="001559C7"/>
    <w:rsid w:val="00155F31"/>
    <w:rsid w:val="0015631A"/>
    <w:rsid w:val="00156458"/>
    <w:rsid w:val="001564A9"/>
    <w:rsid w:val="001566B4"/>
    <w:rsid w:val="00156783"/>
    <w:rsid w:val="00156806"/>
    <w:rsid w:val="001568C8"/>
    <w:rsid w:val="001568DA"/>
    <w:rsid w:val="00156A95"/>
    <w:rsid w:val="00156AF0"/>
    <w:rsid w:val="00157106"/>
    <w:rsid w:val="00157379"/>
    <w:rsid w:val="00157647"/>
    <w:rsid w:val="001576A2"/>
    <w:rsid w:val="001576C8"/>
    <w:rsid w:val="00157745"/>
    <w:rsid w:val="00157DF4"/>
    <w:rsid w:val="00157F2A"/>
    <w:rsid w:val="0016010C"/>
    <w:rsid w:val="0016011D"/>
    <w:rsid w:val="001603A1"/>
    <w:rsid w:val="00160569"/>
    <w:rsid w:val="00160A62"/>
    <w:rsid w:val="00160AD7"/>
    <w:rsid w:val="00160CD9"/>
    <w:rsid w:val="00160F42"/>
    <w:rsid w:val="00160FE5"/>
    <w:rsid w:val="001612E6"/>
    <w:rsid w:val="001613FA"/>
    <w:rsid w:val="00161436"/>
    <w:rsid w:val="0016144E"/>
    <w:rsid w:val="001614F1"/>
    <w:rsid w:val="00161681"/>
    <w:rsid w:val="00161708"/>
    <w:rsid w:val="0016190A"/>
    <w:rsid w:val="00161935"/>
    <w:rsid w:val="00161F0E"/>
    <w:rsid w:val="001621CE"/>
    <w:rsid w:val="0016220C"/>
    <w:rsid w:val="0016260C"/>
    <w:rsid w:val="00162757"/>
    <w:rsid w:val="001627BE"/>
    <w:rsid w:val="001628AF"/>
    <w:rsid w:val="00162BAF"/>
    <w:rsid w:val="00162DB1"/>
    <w:rsid w:val="001632A5"/>
    <w:rsid w:val="0016346B"/>
    <w:rsid w:val="00163618"/>
    <w:rsid w:val="00163745"/>
    <w:rsid w:val="0016400F"/>
    <w:rsid w:val="001640EC"/>
    <w:rsid w:val="00164186"/>
    <w:rsid w:val="001641F7"/>
    <w:rsid w:val="00164201"/>
    <w:rsid w:val="001643E0"/>
    <w:rsid w:val="001643F6"/>
    <w:rsid w:val="0016476A"/>
    <w:rsid w:val="001647E2"/>
    <w:rsid w:val="001649AB"/>
    <w:rsid w:val="00164A4F"/>
    <w:rsid w:val="00164AF1"/>
    <w:rsid w:val="00164B57"/>
    <w:rsid w:val="00164FA5"/>
    <w:rsid w:val="001651A7"/>
    <w:rsid w:val="001651B7"/>
    <w:rsid w:val="001655BB"/>
    <w:rsid w:val="00165A3A"/>
    <w:rsid w:val="00165B9F"/>
    <w:rsid w:val="00165D16"/>
    <w:rsid w:val="001663B0"/>
    <w:rsid w:val="00166585"/>
    <w:rsid w:val="0016683B"/>
    <w:rsid w:val="001669A2"/>
    <w:rsid w:val="00166AD5"/>
    <w:rsid w:val="00166AF4"/>
    <w:rsid w:val="00166B6B"/>
    <w:rsid w:val="00166D95"/>
    <w:rsid w:val="00166E26"/>
    <w:rsid w:val="00166E6B"/>
    <w:rsid w:val="00166E8F"/>
    <w:rsid w:val="00166F59"/>
    <w:rsid w:val="00166F5D"/>
    <w:rsid w:val="00166F8B"/>
    <w:rsid w:val="00167070"/>
    <w:rsid w:val="00167341"/>
    <w:rsid w:val="00167362"/>
    <w:rsid w:val="00167493"/>
    <w:rsid w:val="00167736"/>
    <w:rsid w:val="001678CE"/>
    <w:rsid w:val="0016798B"/>
    <w:rsid w:val="00167A4C"/>
    <w:rsid w:val="00167AE1"/>
    <w:rsid w:val="00167C39"/>
    <w:rsid w:val="00167C40"/>
    <w:rsid w:val="00167E3A"/>
    <w:rsid w:val="00167E48"/>
    <w:rsid w:val="00167E83"/>
    <w:rsid w:val="001701CF"/>
    <w:rsid w:val="001701D2"/>
    <w:rsid w:val="00170240"/>
    <w:rsid w:val="0017036E"/>
    <w:rsid w:val="001703B0"/>
    <w:rsid w:val="0017092B"/>
    <w:rsid w:val="00170BAC"/>
    <w:rsid w:val="00170D5C"/>
    <w:rsid w:val="001710EA"/>
    <w:rsid w:val="0017117F"/>
    <w:rsid w:val="001712B1"/>
    <w:rsid w:val="00171466"/>
    <w:rsid w:val="00171508"/>
    <w:rsid w:val="00171584"/>
    <w:rsid w:val="00171594"/>
    <w:rsid w:val="001717E0"/>
    <w:rsid w:val="00171875"/>
    <w:rsid w:val="0017208D"/>
    <w:rsid w:val="0017209A"/>
    <w:rsid w:val="0017254A"/>
    <w:rsid w:val="00172723"/>
    <w:rsid w:val="00172742"/>
    <w:rsid w:val="0017277C"/>
    <w:rsid w:val="0017280E"/>
    <w:rsid w:val="00172856"/>
    <w:rsid w:val="0017294F"/>
    <w:rsid w:val="0017299D"/>
    <w:rsid w:val="00172A27"/>
    <w:rsid w:val="00172A40"/>
    <w:rsid w:val="00172D17"/>
    <w:rsid w:val="00172DE7"/>
    <w:rsid w:val="00172F6A"/>
    <w:rsid w:val="00172FF6"/>
    <w:rsid w:val="001731F2"/>
    <w:rsid w:val="001732C4"/>
    <w:rsid w:val="001732F9"/>
    <w:rsid w:val="001733CD"/>
    <w:rsid w:val="00173591"/>
    <w:rsid w:val="0017370F"/>
    <w:rsid w:val="0017371E"/>
    <w:rsid w:val="00173B51"/>
    <w:rsid w:val="00173BFC"/>
    <w:rsid w:val="00173C10"/>
    <w:rsid w:val="00173DC6"/>
    <w:rsid w:val="00173EC1"/>
    <w:rsid w:val="00173F4F"/>
    <w:rsid w:val="00173FB8"/>
    <w:rsid w:val="001745AC"/>
    <w:rsid w:val="001747EA"/>
    <w:rsid w:val="001748BC"/>
    <w:rsid w:val="00174B12"/>
    <w:rsid w:val="00174B24"/>
    <w:rsid w:val="00174C2F"/>
    <w:rsid w:val="00174CA8"/>
    <w:rsid w:val="00174D57"/>
    <w:rsid w:val="00175020"/>
    <w:rsid w:val="001752C2"/>
    <w:rsid w:val="00175B88"/>
    <w:rsid w:val="00175C90"/>
    <w:rsid w:val="00175CF4"/>
    <w:rsid w:val="00175DBD"/>
    <w:rsid w:val="00176137"/>
    <w:rsid w:val="00176B24"/>
    <w:rsid w:val="00176F04"/>
    <w:rsid w:val="00177029"/>
    <w:rsid w:val="001770F5"/>
    <w:rsid w:val="001772A4"/>
    <w:rsid w:val="00177764"/>
    <w:rsid w:val="00180088"/>
    <w:rsid w:val="00180327"/>
    <w:rsid w:val="00180405"/>
    <w:rsid w:val="001807C3"/>
    <w:rsid w:val="00180842"/>
    <w:rsid w:val="00180843"/>
    <w:rsid w:val="0018098A"/>
    <w:rsid w:val="001809AF"/>
    <w:rsid w:val="00180AB5"/>
    <w:rsid w:val="00180B0F"/>
    <w:rsid w:val="00180BCC"/>
    <w:rsid w:val="00180C80"/>
    <w:rsid w:val="00180EDE"/>
    <w:rsid w:val="00181124"/>
    <w:rsid w:val="001812C4"/>
    <w:rsid w:val="00181357"/>
    <w:rsid w:val="00181459"/>
    <w:rsid w:val="0018159D"/>
    <w:rsid w:val="0018162C"/>
    <w:rsid w:val="00181664"/>
    <w:rsid w:val="001817EA"/>
    <w:rsid w:val="00181810"/>
    <w:rsid w:val="00181A4D"/>
    <w:rsid w:val="00181AA5"/>
    <w:rsid w:val="00181D39"/>
    <w:rsid w:val="00182365"/>
    <w:rsid w:val="00182620"/>
    <w:rsid w:val="00182727"/>
    <w:rsid w:val="0018272E"/>
    <w:rsid w:val="0018274F"/>
    <w:rsid w:val="00182AA2"/>
    <w:rsid w:val="00182AC9"/>
    <w:rsid w:val="00182B0A"/>
    <w:rsid w:val="00182FAE"/>
    <w:rsid w:val="00183232"/>
    <w:rsid w:val="00183647"/>
    <w:rsid w:val="0018364D"/>
    <w:rsid w:val="001836BD"/>
    <w:rsid w:val="001837E1"/>
    <w:rsid w:val="001837EF"/>
    <w:rsid w:val="00183B48"/>
    <w:rsid w:val="00183C00"/>
    <w:rsid w:val="001842AF"/>
    <w:rsid w:val="001846E5"/>
    <w:rsid w:val="00184A49"/>
    <w:rsid w:val="00184A88"/>
    <w:rsid w:val="00184A8B"/>
    <w:rsid w:val="00184ADE"/>
    <w:rsid w:val="00184B06"/>
    <w:rsid w:val="00184EA6"/>
    <w:rsid w:val="00184EBE"/>
    <w:rsid w:val="00184FC8"/>
    <w:rsid w:val="0018510A"/>
    <w:rsid w:val="001851EE"/>
    <w:rsid w:val="001851FF"/>
    <w:rsid w:val="001852BA"/>
    <w:rsid w:val="00185304"/>
    <w:rsid w:val="001855D9"/>
    <w:rsid w:val="00185A51"/>
    <w:rsid w:val="00185BD0"/>
    <w:rsid w:val="00185BEE"/>
    <w:rsid w:val="00185C8B"/>
    <w:rsid w:val="00185E45"/>
    <w:rsid w:val="00185F78"/>
    <w:rsid w:val="00185FA0"/>
    <w:rsid w:val="00185FC1"/>
    <w:rsid w:val="001861AF"/>
    <w:rsid w:val="0018628F"/>
    <w:rsid w:val="001862ED"/>
    <w:rsid w:val="00186524"/>
    <w:rsid w:val="00186602"/>
    <w:rsid w:val="0018663C"/>
    <w:rsid w:val="00186754"/>
    <w:rsid w:val="00186779"/>
    <w:rsid w:val="00186B8A"/>
    <w:rsid w:val="00186BEB"/>
    <w:rsid w:val="00186CA4"/>
    <w:rsid w:val="00186D7B"/>
    <w:rsid w:val="0018721E"/>
    <w:rsid w:val="0018774F"/>
    <w:rsid w:val="001877F0"/>
    <w:rsid w:val="00187B3A"/>
    <w:rsid w:val="00187E6D"/>
    <w:rsid w:val="00187FC6"/>
    <w:rsid w:val="0019038E"/>
    <w:rsid w:val="001903CD"/>
    <w:rsid w:val="001905D6"/>
    <w:rsid w:val="0019070E"/>
    <w:rsid w:val="00190AB4"/>
    <w:rsid w:val="00190B5F"/>
    <w:rsid w:val="00190E11"/>
    <w:rsid w:val="00191025"/>
    <w:rsid w:val="00191141"/>
    <w:rsid w:val="0019115E"/>
    <w:rsid w:val="00191633"/>
    <w:rsid w:val="00191D86"/>
    <w:rsid w:val="00191FEE"/>
    <w:rsid w:val="0019238B"/>
    <w:rsid w:val="001925E8"/>
    <w:rsid w:val="0019265D"/>
    <w:rsid w:val="0019286B"/>
    <w:rsid w:val="00192AFC"/>
    <w:rsid w:val="00193110"/>
    <w:rsid w:val="0019316D"/>
    <w:rsid w:val="001933BD"/>
    <w:rsid w:val="001934A6"/>
    <w:rsid w:val="00193690"/>
    <w:rsid w:val="0019373D"/>
    <w:rsid w:val="00193760"/>
    <w:rsid w:val="001939FD"/>
    <w:rsid w:val="00193B0A"/>
    <w:rsid w:val="00193B91"/>
    <w:rsid w:val="00193B9B"/>
    <w:rsid w:val="00193C3D"/>
    <w:rsid w:val="00193D2D"/>
    <w:rsid w:val="001943CF"/>
    <w:rsid w:val="00194535"/>
    <w:rsid w:val="00194719"/>
    <w:rsid w:val="00194849"/>
    <w:rsid w:val="0019494F"/>
    <w:rsid w:val="001949A2"/>
    <w:rsid w:val="001949D1"/>
    <w:rsid w:val="00194A3B"/>
    <w:rsid w:val="00194EA8"/>
    <w:rsid w:val="0019547B"/>
    <w:rsid w:val="001959AE"/>
    <w:rsid w:val="00195EC2"/>
    <w:rsid w:val="00196013"/>
    <w:rsid w:val="001961F8"/>
    <w:rsid w:val="0019650C"/>
    <w:rsid w:val="00196728"/>
    <w:rsid w:val="00196A59"/>
    <w:rsid w:val="00196B56"/>
    <w:rsid w:val="00196D22"/>
    <w:rsid w:val="00196DFD"/>
    <w:rsid w:val="00197069"/>
    <w:rsid w:val="001971B9"/>
    <w:rsid w:val="0019766D"/>
    <w:rsid w:val="00197747"/>
    <w:rsid w:val="001977F2"/>
    <w:rsid w:val="0019781B"/>
    <w:rsid w:val="0019794F"/>
    <w:rsid w:val="00197A08"/>
    <w:rsid w:val="00197C1E"/>
    <w:rsid w:val="00197C51"/>
    <w:rsid w:val="00197C64"/>
    <w:rsid w:val="00197D0D"/>
    <w:rsid w:val="001A0487"/>
    <w:rsid w:val="001A04C6"/>
    <w:rsid w:val="001A054B"/>
    <w:rsid w:val="001A0668"/>
    <w:rsid w:val="001A0735"/>
    <w:rsid w:val="001A0B9A"/>
    <w:rsid w:val="001A1457"/>
    <w:rsid w:val="001A14B2"/>
    <w:rsid w:val="001A14B7"/>
    <w:rsid w:val="001A1532"/>
    <w:rsid w:val="001A161B"/>
    <w:rsid w:val="001A19FE"/>
    <w:rsid w:val="001A1A4F"/>
    <w:rsid w:val="001A1B9C"/>
    <w:rsid w:val="001A1C77"/>
    <w:rsid w:val="001A1F84"/>
    <w:rsid w:val="001A2055"/>
    <w:rsid w:val="001A2286"/>
    <w:rsid w:val="001A2369"/>
    <w:rsid w:val="001A260D"/>
    <w:rsid w:val="001A2995"/>
    <w:rsid w:val="001A2A6D"/>
    <w:rsid w:val="001A2CDD"/>
    <w:rsid w:val="001A2DC2"/>
    <w:rsid w:val="001A2DED"/>
    <w:rsid w:val="001A2EFE"/>
    <w:rsid w:val="001A30FB"/>
    <w:rsid w:val="001A318A"/>
    <w:rsid w:val="001A32F3"/>
    <w:rsid w:val="001A385E"/>
    <w:rsid w:val="001A3C07"/>
    <w:rsid w:val="001A3DC1"/>
    <w:rsid w:val="001A40B5"/>
    <w:rsid w:val="001A44D2"/>
    <w:rsid w:val="001A4581"/>
    <w:rsid w:val="001A4824"/>
    <w:rsid w:val="001A4987"/>
    <w:rsid w:val="001A4A52"/>
    <w:rsid w:val="001A4B4F"/>
    <w:rsid w:val="001A4DDF"/>
    <w:rsid w:val="001A555C"/>
    <w:rsid w:val="001A5BCD"/>
    <w:rsid w:val="001A5D84"/>
    <w:rsid w:val="001A5F40"/>
    <w:rsid w:val="001A6126"/>
    <w:rsid w:val="001A6164"/>
    <w:rsid w:val="001A625C"/>
    <w:rsid w:val="001A634E"/>
    <w:rsid w:val="001A64A0"/>
    <w:rsid w:val="001A661E"/>
    <w:rsid w:val="001A692B"/>
    <w:rsid w:val="001A6980"/>
    <w:rsid w:val="001A6A71"/>
    <w:rsid w:val="001A6C33"/>
    <w:rsid w:val="001A6C53"/>
    <w:rsid w:val="001A6CB4"/>
    <w:rsid w:val="001A6CDE"/>
    <w:rsid w:val="001A6D7B"/>
    <w:rsid w:val="001A7299"/>
    <w:rsid w:val="001A733B"/>
    <w:rsid w:val="001A7530"/>
    <w:rsid w:val="001A7959"/>
    <w:rsid w:val="001A7B03"/>
    <w:rsid w:val="001A7C68"/>
    <w:rsid w:val="001A7F38"/>
    <w:rsid w:val="001B05BE"/>
    <w:rsid w:val="001B05DE"/>
    <w:rsid w:val="001B0A34"/>
    <w:rsid w:val="001B0A54"/>
    <w:rsid w:val="001B0BDF"/>
    <w:rsid w:val="001B0C2E"/>
    <w:rsid w:val="001B0EDD"/>
    <w:rsid w:val="001B11C8"/>
    <w:rsid w:val="001B16BC"/>
    <w:rsid w:val="001B16CB"/>
    <w:rsid w:val="001B2024"/>
    <w:rsid w:val="001B2050"/>
    <w:rsid w:val="001B2264"/>
    <w:rsid w:val="001B23BE"/>
    <w:rsid w:val="001B26D1"/>
    <w:rsid w:val="001B282C"/>
    <w:rsid w:val="001B283E"/>
    <w:rsid w:val="001B2855"/>
    <w:rsid w:val="001B28D8"/>
    <w:rsid w:val="001B2A91"/>
    <w:rsid w:val="001B2BDF"/>
    <w:rsid w:val="001B2CD5"/>
    <w:rsid w:val="001B2FBC"/>
    <w:rsid w:val="001B2FDA"/>
    <w:rsid w:val="001B321D"/>
    <w:rsid w:val="001B3356"/>
    <w:rsid w:val="001B368E"/>
    <w:rsid w:val="001B3733"/>
    <w:rsid w:val="001B3791"/>
    <w:rsid w:val="001B3823"/>
    <w:rsid w:val="001B3A0D"/>
    <w:rsid w:val="001B3A72"/>
    <w:rsid w:val="001B415F"/>
    <w:rsid w:val="001B4201"/>
    <w:rsid w:val="001B4296"/>
    <w:rsid w:val="001B42C0"/>
    <w:rsid w:val="001B42D9"/>
    <w:rsid w:val="001B448B"/>
    <w:rsid w:val="001B4599"/>
    <w:rsid w:val="001B45E6"/>
    <w:rsid w:val="001B45F3"/>
    <w:rsid w:val="001B4654"/>
    <w:rsid w:val="001B4665"/>
    <w:rsid w:val="001B4BAB"/>
    <w:rsid w:val="001B4C6A"/>
    <w:rsid w:val="001B4EDD"/>
    <w:rsid w:val="001B4F0B"/>
    <w:rsid w:val="001B4FB1"/>
    <w:rsid w:val="001B518F"/>
    <w:rsid w:val="001B51B2"/>
    <w:rsid w:val="001B5213"/>
    <w:rsid w:val="001B524F"/>
    <w:rsid w:val="001B539E"/>
    <w:rsid w:val="001B57C5"/>
    <w:rsid w:val="001B57E6"/>
    <w:rsid w:val="001B5807"/>
    <w:rsid w:val="001B58AE"/>
    <w:rsid w:val="001B5BCF"/>
    <w:rsid w:val="001B5C14"/>
    <w:rsid w:val="001B5ED8"/>
    <w:rsid w:val="001B5EE1"/>
    <w:rsid w:val="001B5F00"/>
    <w:rsid w:val="001B607B"/>
    <w:rsid w:val="001B60BD"/>
    <w:rsid w:val="001B6255"/>
    <w:rsid w:val="001B6279"/>
    <w:rsid w:val="001B637E"/>
    <w:rsid w:val="001B6827"/>
    <w:rsid w:val="001B68E0"/>
    <w:rsid w:val="001B69B0"/>
    <w:rsid w:val="001B6A24"/>
    <w:rsid w:val="001B6C6B"/>
    <w:rsid w:val="001B6DF8"/>
    <w:rsid w:val="001B70CE"/>
    <w:rsid w:val="001B7392"/>
    <w:rsid w:val="001B73DD"/>
    <w:rsid w:val="001B7523"/>
    <w:rsid w:val="001B7534"/>
    <w:rsid w:val="001B7814"/>
    <w:rsid w:val="001B7926"/>
    <w:rsid w:val="001B7A30"/>
    <w:rsid w:val="001B7B7F"/>
    <w:rsid w:val="001C010F"/>
    <w:rsid w:val="001C033B"/>
    <w:rsid w:val="001C04A5"/>
    <w:rsid w:val="001C04D9"/>
    <w:rsid w:val="001C07A2"/>
    <w:rsid w:val="001C080D"/>
    <w:rsid w:val="001C08A5"/>
    <w:rsid w:val="001C0912"/>
    <w:rsid w:val="001C0A47"/>
    <w:rsid w:val="001C0C21"/>
    <w:rsid w:val="001C0D9B"/>
    <w:rsid w:val="001C1019"/>
    <w:rsid w:val="001C11DC"/>
    <w:rsid w:val="001C11F6"/>
    <w:rsid w:val="001C12E2"/>
    <w:rsid w:val="001C134F"/>
    <w:rsid w:val="001C16C4"/>
    <w:rsid w:val="001C184F"/>
    <w:rsid w:val="001C1864"/>
    <w:rsid w:val="001C18A6"/>
    <w:rsid w:val="001C1A49"/>
    <w:rsid w:val="001C1A94"/>
    <w:rsid w:val="001C1AA2"/>
    <w:rsid w:val="001C1CAA"/>
    <w:rsid w:val="001C1D93"/>
    <w:rsid w:val="001C215B"/>
    <w:rsid w:val="001C22D4"/>
    <w:rsid w:val="001C23BD"/>
    <w:rsid w:val="001C241E"/>
    <w:rsid w:val="001C25B5"/>
    <w:rsid w:val="001C2892"/>
    <w:rsid w:val="001C29B1"/>
    <w:rsid w:val="001C2ABF"/>
    <w:rsid w:val="001C3005"/>
    <w:rsid w:val="001C3239"/>
    <w:rsid w:val="001C3293"/>
    <w:rsid w:val="001C341F"/>
    <w:rsid w:val="001C37B2"/>
    <w:rsid w:val="001C3AF8"/>
    <w:rsid w:val="001C3B3B"/>
    <w:rsid w:val="001C4236"/>
    <w:rsid w:val="001C425E"/>
    <w:rsid w:val="001C4428"/>
    <w:rsid w:val="001C45CF"/>
    <w:rsid w:val="001C4855"/>
    <w:rsid w:val="001C4932"/>
    <w:rsid w:val="001C4E99"/>
    <w:rsid w:val="001C4F6C"/>
    <w:rsid w:val="001C50DA"/>
    <w:rsid w:val="001C5241"/>
    <w:rsid w:val="001C556E"/>
    <w:rsid w:val="001C5D49"/>
    <w:rsid w:val="001C615E"/>
    <w:rsid w:val="001C649D"/>
    <w:rsid w:val="001C64A5"/>
    <w:rsid w:val="001C67AC"/>
    <w:rsid w:val="001C68C0"/>
    <w:rsid w:val="001C6B6B"/>
    <w:rsid w:val="001C6D53"/>
    <w:rsid w:val="001C6D60"/>
    <w:rsid w:val="001C6DCB"/>
    <w:rsid w:val="001C70E1"/>
    <w:rsid w:val="001C72F5"/>
    <w:rsid w:val="001C738A"/>
    <w:rsid w:val="001C77E9"/>
    <w:rsid w:val="001C7A54"/>
    <w:rsid w:val="001C7AC4"/>
    <w:rsid w:val="001C7C0F"/>
    <w:rsid w:val="001C7E40"/>
    <w:rsid w:val="001C7EE0"/>
    <w:rsid w:val="001C7F90"/>
    <w:rsid w:val="001D0112"/>
    <w:rsid w:val="001D0238"/>
    <w:rsid w:val="001D026A"/>
    <w:rsid w:val="001D02C9"/>
    <w:rsid w:val="001D0486"/>
    <w:rsid w:val="001D058F"/>
    <w:rsid w:val="001D05C3"/>
    <w:rsid w:val="001D06FE"/>
    <w:rsid w:val="001D08C9"/>
    <w:rsid w:val="001D0C79"/>
    <w:rsid w:val="001D137B"/>
    <w:rsid w:val="001D18AA"/>
    <w:rsid w:val="001D18F1"/>
    <w:rsid w:val="001D1943"/>
    <w:rsid w:val="001D1B9F"/>
    <w:rsid w:val="001D2256"/>
    <w:rsid w:val="001D2451"/>
    <w:rsid w:val="001D2478"/>
    <w:rsid w:val="001D27A2"/>
    <w:rsid w:val="001D281B"/>
    <w:rsid w:val="001D3442"/>
    <w:rsid w:val="001D3832"/>
    <w:rsid w:val="001D3888"/>
    <w:rsid w:val="001D3D97"/>
    <w:rsid w:val="001D3E38"/>
    <w:rsid w:val="001D4013"/>
    <w:rsid w:val="001D4810"/>
    <w:rsid w:val="001D4829"/>
    <w:rsid w:val="001D4914"/>
    <w:rsid w:val="001D4943"/>
    <w:rsid w:val="001D494C"/>
    <w:rsid w:val="001D49D1"/>
    <w:rsid w:val="001D49F7"/>
    <w:rsid w:val="001D547C"/>
    <w:rsid w:val="001D54AF"/>
    <w:rsid w:val="001D5661"/>
    <w:rsid w:val="001D57FF"/>
    <w:rsid w:val="001D5928"/>
    <w:rsid w:val="001D5936"/>
    <w:rsid w:val="001D5F05"/>
    <w:rsid w:val="001D5F29"/>
    <w:rsid w:val="001D6345"/>
    <w:rsid w:val="001D64DF"/>
    <w:rsid w:val="001D665E"/>
    <w:rsid w:val="001D67F1"/>
    <w:rsid w:val="001D68A9"/>
    <w:rsid w:val="001D695E"/>
    <w:rsid w:val="001D6B8B"/>
    <w:rsid w:val="001D6DC5"/>
    <w:rsid w:val="001D6EA4"/>
    <w:rsid w:val="001D7011"/>
    <w:rsid w:val="001D70DF"/>
    <w:rsid w:val="001D7171"/>
    <w:rsid w:val="001D73BF"/>
    <w:rsid w:val="001D73F8"/>
    <w:rsid w:val="001D7412"/>
    <w:rsid w:val="001D7463"/>
    <w:rsid w:val="001D7528"/>
    <w:rsid w:val="001D775D"/>
    <w:rsid w:val="001D7A51"/>
    <w:rsid w:val="001D7B50"/>
    <w:rsid w:val="001D7CBE"/>
    <w:rsid w:val="001D7E79"/>
    <w:rsid w:val="001E005A"/>
    <w:rsid w:val="001E02D3"/>
    <w:rsid w:val="001E03A1"/>
    <w:rsid w:val="001E03C2"/>
    <w:rsid w:val="001E04D8"/>
    <w:rsid w:val="001E05A9"/>
    <w:rsid w:val="001E0ADE"/>
    <w:rsid w:val="001E0AF8"/>
    <w:rsid w:val="001E0BA0"/>
    <w:rsid w:val="001E13CA"/>
    <w:rsid w:val="001E14AA"/>
    <w:rsid w:val="001E182A"/>
    <w:rsid w:val="001E19F7"/>
    <w:rsid w:val="001E1A31"/>
    <w:rsid w:val="001E1A38"/>
    <w:rsid w:val="001E1A44"/>
    <w:rsid w:val="001E1AF0"/>
    <w:rsid w:val="001E1E15"/>
    <w:rsid w:val="001E1E9D"/>
    <w:rsid w:val="001E209E"/>
    <w:rsid w:val="001E258E"/>
    <w:rsid w:val="001E28C7"/>
    <w:rsid w:val="001E2F06"/>
    <w:rsid w:val="001E3197"/>
    <w:rsid w:val="001E32B2"/>
    <w:rsid w:val="001E3625"/>
    <w:rsid w:val="001E36E3"/>
    <w:rsid w:val="001E3BBC"/>
    <w:rsid w:val="001E437E"/>
    <w:rsid w:val="001E44D0"/>
    <w:rsid w:val="001E45AD"/>
    <w:rsid w:val="001E480E"/>
    <w:rsid w:val="001E4A1B"/>
    <w:rsid w:val="001E4D6F"/>
    <w:rsid w:val="001E4F9F"/>
    <w:rsid w:val="001E4FF7"/>
    <w:rsid w:val="001E50D2"/>
    <w:rsid w:val="001E5389"/>
    <w:rsid w:val="001E551D"/>
    <w:rsid w:val="001E5698"/>
    <w:rsid w:val="001E5923"/>
    <w:rsid w:val="001E5C84"/>
    <w:rsid w:val="001E63AE"/>
    <w:rsid w:val="001E6431"/>
    <w:rsid w:val="001E65B7"/>
    <w:rsid w:val="001E677C"/>
    <w:rsid w:val="001E6923"/>
    <w:rsid w:val="001E69E5"/>
    <w:rsid w:val="001E6D1F"/>
    <w:rsid w:val="001E6EAB"/>
    <w:rsid w:val="001E6F93"/>
    <w:rsid w:val="001E6FA7"/>
    <w:rsid w:val="001E7146"/>
    <w:rsid w:val="001E719E"/>
    <w:rsid w:val="001E7240"/>
    <w:rsid w:val="001E72A4"/>
    <w:rsid w:val="001E74DC"/>
    <w:rsid w:val="001E7712"/>
    <w:rsid w:val="001E7B2E"/>
    <w:rsid w:val="001E7BCB"/>
    <w:rsid w:val="001E7C27"/>
    <w:rsid w:val="001E7DDD"/>
    <w:rsid w:val="001F001B"/>
    <w:rsid w:val="001F00C4"/>
    <w:rsid w:val="001F0182"/>
    <w:rsid w:val="001F0226"/>
    <w:rsid w:val="001F047D"/>
    <w:rsid w:val="001F05EE"/>
    <w:rsid w:val="001F066F"/>
    <w:rsid w:val="001F08B0"/>
    <w:rsid w:val="001F09B6"/>
    <w:rsid w:val="001F09E9"/>
    <w:rsid w:val="001F0C4E"/>
    <w:rsid w:val="001F0DB4"/>
    <w:rsid w:val="001F0EEF"/>
    <w:rsid w:val="001F0FBB"/>
    <w:rsid w:val="001F1112"/>
    <w:rsid w:val="001F13DD"/>
    <w:rsid w:val="001F13F2"/>
    <w:rsid w:val="001F163B"/>
    <w:rsid w:val="001F17D7"/>
    <w:rsid w:val="001F1AE2"/>
    <w:rsid w:val="001F1B38"/>
    <w:rsid w:val="001F1CDB"/>
    <w:rsid w:val="001F1EC9"/>
    <w:rsid w:val="001F20DA"/>
    <w:rsid w:val="001F2146"/>
    <w:rsid w:val="001F2533"/>
    <w:rsid w:val="001F273F"/>
    <w:rsid w:val="001F28CB"/>
    <w:rsid w:val="001F2C0A"/>
    <w:rsid w:val="001F2D0E"/>
    <w:rsid w:val="001F2D2C"/>
    <w:rsid w:val="001F3080"/>
    <w:rsid w:val="001F31EF"/>
    <w:rsid w:val="001F32B0"/>
    <w:rsid w:val="001F3AB5"/>
    <w:rsid w:val="001F3B69"/>
    <w:rsid w:val="001F3C99"/>
    <w:rsid w:val="001F3E82"/>
    <w:rsid w:val="001F44D8"/>
    <w:rsid w:val="001F45DA"/>
    <w:rsid w:val="001F46FB"/>
    <w:rsid w:val="001F4709"/>
    <w:rsid w:val="001F4762"/>
    <w:rsid w:val="001F4BD1"/>
    <w:rsid w:val="001F4E76"/>
    <w:rsid w:val="001F4FAB"/>
    <w:rsid w:val="001F4FF0"/>
    <w:rsid w:val="001F501D"/>
    <w:rsid w:val="001F506B"/>
    <w:rsid w:val="001F51A7"/>
    <w:rsid w:val="001F52A3"/>
    <w:rsid w:val="001F530A"/>
    <w:rsid w:val="001F56D4"/>
    <w:rsid w:val="001F5979"/>
    <w:rsid w:val="001F5B3C"/>
    <w:rsid w:val="001F5B8A"/>
    <w:rsid w:val="001F5BBF"/>
    <w:rsid w:val="001F6277"/>
    <w:rsid w:val="001F63E4"/>
    <w:rsid w:val="001F66BE"/>
    <w:rsid w:val="001F68F0"/>
    <w:rsid w:val="001F6AAA"/>
    <w:rsid w:val="001F6D8A"/>
    <w:rsid w:val="001F6DD9"/>
    <w:rsid w:val="001F7016"/>
    <w:rsid w:val="001F709F"/>
    <w:rsid w:val="001F7159"/>
    <w:rsid w:val="001F71E5"/>
    <w:rsid w:val="001F7421"/>
    <w:rsid w:val="001F7564"/>
    <w:rsid w:val="001F788B"/>
    <w:rsid w:val="001F7917"/>
    <w:rsid w:val="001F7C41"/>
    <w:rsid w:val="001F7DB4"/>
    <w:rsid w:val="001F7E4E"/>
    <w:rsid w:val="001F7EC8"/>
    <w:rsid w:val="001F7FBE"/>
    <w:rsid w:val="001F7FD4"/>
    <w:rsid w:val="002001BB"/>
    <w:rsid w:val="00200277"/>
    <w:rsid w:val="00200409"/>
    <w:rsid w:val="002004F6"/>
    <w:rsid w:val="00200519"/>
    <w:rsid w:val="002006B5"/>
    <w:rsid w:val="002006B9"/>
    <w:rsid w:val="00200EC4"/>
    <w:rsid w:val="00200F1F"/>
    <w:rsid w:val="00201009"/>
    <w:rsid w:val="002011BB"/>
    <w:rsid w:val="0020158C"/>
    <w:rsid w:val="00201616"/>
    <w:rsid w:val="00201754"/>
    <w:rsid w:val="00201810"/>
    <w:rsid w:val="00201836"/>
    <w:rsid w:val="00201A86"/>
    <w:rsid w:val="00201C11"/>
    <w:rsid w:val="00201C14"/>
    <w:rsid w:val="00201EC8"/>
    <w:rsid w:val="00202074"/>
    <w:rsid w:val="00202564"/>
    <w:rsid w:val="00202677"/>
    <w:rsid w:val="002027D7"/>
    <w:rsid w:val="002029B3"/>
    <w:rsid w:val="00202D85"/>
    <w:rsid w:val="00202E2D"/>
    <w:rsid w:val="00202EAB"/>
    <w:rsid w:val="00202F33"/>
    <w:rsid w:val="00202FFD"/>
    <w:rsid w:val="00203083"/>
    <w:rsid w:val="002031AE"/>
    <w:rsid w:val="002032A4"/>
    <w:rsid w:val="002032C6"/>
    <w:rsid w:val="0020332A"/>
    <w:rsid w:val="002035ED"/>
    <w:rsid w:val="00203767"/>
    <w:rsid w:val="0020378E"/>
    <w:rsid w:val="002037C2"/>
    <w:rsid w:val="00203827"/>
    <w:rsid w:val="00203846"/>
    <w:rsid w:val="002038A9"/>
    <w:rsid w:val="00203919"/>
    <w:rsid w:val="0020394E"/>
    <w:rsid w:val="002039F7"/>
    <w:rsid w:val="00203D11"/>
    <w:rsid w:val="00203D18"/>
    <w:rsid w:val="00203D3C"/>
    <w:rsid w:val="00203F93"/>
    <w:rsid w:val="00203FC8"/>
    <w:rsid w:val="00204188"/>
    <w:rsid w:val="00204201"/>
    <w:rsid w:val="00204664"/>
    <w:rsid w:val="0020472E"/>
    <w:rsid w:val="00204A0E"/>
    <w:rsid w:val="00204A4D"/>
    <w:rsid w:val="00204E0A"/>
    <w:rsid w:val="00204ED6"/>
    <w:rsid w:val="00205168"/>
    <w:rsid w:val="002056BD"/>
    <w:rsid w:val="002059F9"/>
    <w:rsid w:val="00205ACB"/>
    <w:rsid w:val="00205DF9"/>
    <w:rsid w:val="00205E13"/>
    <w:rsid w:val="00205F67"/>
    <w:rsid w:val="00205F75"/>
    <w:rsid w:val="002060B1"/>
    <w:rsid w:val="002060C3"/>
    <w:rsid w:val="002063EF"/>
    <w:rsid w:val="0020643A"/>
    <w:rsid w:val="0020645F"/>
    <w:rsid w:val="00206687"/>
    <w:rsid w:val="002067CF"/>
    <w:rsid w:val="0020695A"/>
    <w:rsid w:val="00206BCE"/>
    <w:rsid w:val="00206DB6"/>
    <w:rsid w:val="00206EFC"/>
    <w:rsid w:val="00206F33"/>
    <w:rsid w:val="00207396"/>
    <w:rsid w:val="0020770D"/>
    <w:rsid w:val="002078AC"/>
    <w:rsid w:val="00207F71"/>
    <w:rsid w:val="002100A1"/>
    <w:rsid w:val="002101D7"/>
    <w:rsid w:val="002103CB"/>
    <w:rsid w:val="002103DF"/>
    <w:rsid w:val="002105DD"/>
    <w:rsid w:val="00210AEB"/>
    <w:rsid w:val="00210ED2"/>
    <w:rsid w:val="002112B6"/>
    <w:rsid w:val="0021151C"/>
    <w:rsid w:val="002117C3"/>
    <w:rsid w:val="002118FE"/>
    <w:rsid w:val="002119D6"/>
    <w:rsid w:val="00211C3A"/>
    <w:rsid w:val="00212393"/>
    <w:rsid w:val="00212538"/>
    <w:rsid w:val="0021254A"/>
    <w:rsid w:val="002128E2"/>
    <w:rsid w:val="00212982"/>
    <w:rsid w:val="00212B25"/>
    <w:rsid w:val="00212B36"/>
    <w:rsid w:val="00212D03"/>
    <w:rsid w:val="00212ED8"/>
    <w:rsid w:val="00212FD1"/>
    <w:rsid w:val="00213045"/>
    <w:rsid w:val="002130CA"/>
    <w:rsid w:val="00213132"/>
    <w:rsid w:val="0021316A"/>
    <w:rsid w:val="00213633"/>
    <w:rsid w:val="0021378D"/>
    <w:rsid w:val="00213907"/>
    <w:rsid w:val="0021390A"/>
    <w:rsid w:val="0021391B"/>
    <w:rsid w:val="00213B0A"/>
    <w:rsid w:val="00213C4D"/>
    <w:rsid w:val="00213F0E"/>
    <w:rsid w:val="00213F7F"/>
    <w:rsid w:val="00214613"/>
    <w:rsid w:val="0021493F"/>
    <w:rsid w:val="00214B1F"/>
    <w:rsid w:val="00214C6F"/>
    <w:rsid w:val="00214EB3"/>
    <w:rsid w:val="002150A2"/>
    <w:rsid w:val="002159DB"/>
    <w:rsid w:val="00215A55"/>
    <w:rsid w:val="00215BD4"/>
    <w:rsid w:val="00215C20"/>
    <w:rsid w:val="00215D55"/>
    <w:rsid w:val="00216282"/>
    <w:rsid w:val="0021641F"/>
    <w:rsid w:val="0021688A"/>
    <w:rsid w:val="002168B3"/>
    <w:rsid w:val="002168D4"/>
    <w:rsid w:val="0021698B"/>
    <w:rsid w:val="00216A9E"/>
    <w:rsid w:val="00216C09"/>
    <w:rsid w:val="00216D05"/>
    <w:rsid w:val="00216D8F"/>
    <w:rsid w:val="00217026"/>
    <w:rsid w:val="002170C1"/>
    <w:rsid w:val="002171CD"/>
    <w:rsid w:val="00217340"/>
    <w:rsid w:val="00217425"/>
    <w:rsid w:val="00217A12"/>
    <w:rsid w:val="00217E94"/>
    <w:rsid w:val="00217F6C"/>
    <w:rsid w:val="00220486"/>
    <w:rsid w:val="00220655"/>
    <w:rsid w:val="00220665"/>
    <w:rsid w:val="00220921"/>
    <w:rsid w:val="002209D5"/>
    <w:rsid w:val="002209F5"/>
    <w:rsid w:val="00220A77"/>
    <w:rsid w:val="00220FDA"/>
    <w:rsid w:val="002214F7"/>
    <w:rsid w:val="002215FB"/>
    <w:rsid w:val="00221638"/>
    <w:rsid w:val="00221655"/>
    <w:rsid w:val="00221785"/>
    <w:rsid w:val="002217CF"/>
    <w:rsid w:val="00221BB0"/>
    <w:rsid w:val="00221BB2"/>
    <w:rsid w:val="00221CDB"/>
    <w:rsid w:val="00221F46"/>
    <w:rsid w:val="00222141"/>
    <w:rsid w:val="0022237E"/>
    <w:rsid w:val="002224A8"/>
    <w:rsid w:val="002225EE"/>
    <w:rsid w:val="00222A75"/>
    <w:rsid w:val="00222AB3"/>
    <w:rsid w:val="00222DFC"/>
    <w:rsid w:val="00222E57"/>
    <w:rsid w:val="002230FD"/>
    <w:rsid w:val="00223282"/>
    <w:rsid w:val="0022341B"/>
    <w:rsid w:val="0022347D"/>
    <w:rsid w:val="002238D4"/>
    <w:rsid w:val="00223B80"/>
    <w:rsid w:val="00223CA2"/>
    <w:rsid w:val="00223EF6"/>
    <w:rsid w:val="0022402B"/>
    <w:rsid w:val="00224031"/>
    <w:rsid w:val="002240A9"/>
    <w:rsid w:val="002245DE"/>
    <w:rsid w:val="002248DF"/>
    <w:rsid w:val="00224B5F"/>
    <w:rsid w:val="00224B6E"/>
    <w:rsid w:val="00224E02"/>
    <w:rsid w:val="00224EAF"/>
    <w:rsid w:val="0022502D"/>
    <w:rsid w:val="00225394"/>
    <w:rsid w:val="00225676"/>
    <w:rsid w:val="0022567E"/>
    <w:rsid w:val="00225774"/>
    <w:rsid w:val="00225776"/>
    <w:rsid w:val="002259E2"/>
    <w:rsid w:val="002259FB"/>
    <w:rsid w:val="00225A0E"/>
    <w:rsid w:val="00225A40"/>
    <w:rsid w:val="00225B3C"/>
    <w:rsid w:val="00225B40"/>
    <w:rsid w:val="00225CE2"/>
    <w:rsid w:val="00225F24"/>
    <w:rsid w:val="002260C1"/>
    <w:rsid w:val="00226467"/>
    <w:rsid w:val="002265DA"/>
    <w:rsid w:val="00226931"/>
    <w:rsid w:val="00226C12"/>
    <w:rsid w:val="00226D58"/>
    <w:rsid w:val="00226DC6"/>
    <w:rsid w:val="00226FEF"/>
    <w:rsid w:val="002271F2"/>
    <w:rsid w:val="00227284"/>
    <w:rsid w:val="00227695"/>
    <w:rsid w:val="002276BA"/>
    <w:rsid w:val="002279BB"/>
    <w:rsid w:val="002279EF"/>
    <w:rsid w:val="00227B4B"/>
    <w:rsid w:val="00227C25"/>
    <w:rsid w:val="00227EF7"/>
    <w:rsid w:val="00227F68"/>
    <w:rsid w:val="00230200"/>
    <w:rsid w:val="00230297"/>
    <w:rsid w:val="002304AC"/>
    <w:rsid w:val="002307DB"/>
    <w:rsid w:val="002308F5"/>
    <w:rsid w:val="00230A0C"/>
    <w:rsid w:val="00231049"/>
    <w:rsid w:val="002312F5"/>
    <w:rsid w:val="002313D7"/>
    <w:rsid w:val="00231484"/>
    <w:rsid w:val="00231507"/>
    <w:rsid w:val="00231572"/>
    <w:rsid w:val="00231593"/>
    <w:rsid w:val="0023168C"/>
    <w:rsid w:val="00231827"/>
    <w:rsid w:val="002319B5"/>
    <w:rsid w:val="00231B3D"/>
    <w:rsid w:val="00231B52"/>
    <w:rsid w:val="00231C94"/>
    <w:rsid w:val="00231D46"/>
    <w:rsid w:val="00231D87"/>
    <w:rsid w:val="00231EBF"/>
    <w:rsid w:val="00232119"/>
    <w:rsid w:val="0023228C"/>
    <w:rsid w:val="002325B3"/>
    <w:rsid w:val="002326B8"/>
    <w:rsid w:val="0023273A"/>
    <w:rsid w:val="0023297B"/>
    <w:rsid w:val="00232A12"/>
    <w:rsid w:val="00232BC6"/>
    <w:rsid w:val="00232CD8"/>
    <w:rsid w:val="00232D91"/>
    <w:rsid w:val="00232E25"/>
    <w:rsid w:val="00232E83"/>
    <w:rsid w:val="00233334"/>
    <w:rsid w:val="002336B5"/>
    <w:rsid w:val="0023372F"/>
    <w:rsid w:val="00233AF0"/>
    <w:rsid w:val="00233CEF"/>
    <w:rsid w:val="00233F1B"/>
    <w:rsid w:val="00233F63"/>
    <w:rsid w:val="00234259"/>
    <w:rsid w:val="0023448E"/>
    <w:rsid w:val="0023464D"/>
    <w:rsid w:val="00234978"/>
    <w:rsid w:val="00234B58"/>
    <w:rsid w:val="00234CF3"/>
    <w:rsid w:val="00234D8B"/>
    <w:rsid w:val="0023557E"/>
    <w:rsid w:val="002355F2"/>
    <w:rsid w:val="00235798"/>
    <w:rsid w:val="00235952"/>
    <w:rsid w:val="002359B2"/>
    <w:rsid w:val="00235AD5"/>
    <w:rsid w:val="00235B3B"/>
    <w:rsid w:val="00235B6F"/>
    <w:rsid w:val="00235B7A"/>
    <w:rsid w:val="00235B95"/>
    <w:rsid w:val="00235BA9"/>
    <w:rsid w:val="00235D36"/>
    <w:rsid w:val="00236168"/>
    <w:rsid w:val="00236200"/>
    <w:rsid w:val="002362A8"/>
    <w:rsid w:val="002363B3"/>
    <w:rsid w:val="002363FD"/>
    <w:rsid w:val="002364BF"/>
    <w:rsid w:val="00236622"/>
    <w:rsid w:val="0023672E"/>
    <w:rsid w:val="002368A8"/>
    <w:rsid w:val="002368DC"/>
    <w:rsid w:val="00236CB4"/>
    <w:rsid w:val="002370B8"/>
    <w:rsid w:val="0023723D"/>
    <w:rsid w:val="00237380"/>
    <w:rsid w:val="002376BE"/>
    <w:rsid w:val="00237879"/>
    <w:rsid w:val="00237D21"/>
    <w:rsid w:val="00237D82"/>
    <w:rsid w:val="0024007C"/>
    <w:rsid w:val="002400E3"/>
    <w:rsid w:val="00240148"/>
    <w:rsid w:val="0024021B"/>
    <w:rsid w:val="002409BC"/>
    <w:rsid w:val="00240B6B"/>
    <w:rsid w:val="00240B7C"/>
    <w:rsid w:val="00240E06"/>
    <w:rsid w:val="00240F17"/>
    <w:rsid w:val="00240F45"/>
    <w:rsid w:val="00241497"/>
    <w:rsid w:val="00241641"/>
    <w:rsid w:val="00241691"/>
    <w:rsid w:val="00241955"/>
    <w:rsid w:val="0024199D"/>
    <w:rsid w:val="00241C3F"/>
    <w:rsid w:val="00241D9F"/>
    <w:rsid w:val="00241DF0"/>
    <w:rsid w:val="00241E0E"/>
    <w:rsid w:val="002420B6"/>
    <w:rsid w:val="002424B0"/>
    <w:rsid w:val="00242702"/>
    <w:rsid w:val="0024272C"/>
    <w:rsid w:val="00242828"/>
    <w:rsid w:val="0024284B"/>
    <w:rsid w:val="00242926"/>
    <w:rsid w:val="00242CB3"/>
    <w:rsid w:val="002434A6"/>
    <w:rsid w:val="00243511"/>
    <w:rsid w:val="002435EC"/>
    <w:rsid w:val="00243813"/>
    <w:rsid w:val="0024387D"/>
    <w:rsid w:val="00243980"/>
    <w:rsid w:val="002439EF"/>
    <w:rsid w:val="00243A7C"/>
    <w:rsid w:val="00243B5A"/>
    <w:rsid w:val="00243D74"/>
    <w:rsid w:val="00243EBF"/>
    <w:rsid w:val="002442D6"/>
    <w:rsid w:val="0024442D"/>
    <w:rsid w:val="002447BE"/>
    <w:rsid w:val="00244AF9"/>
    <w:rsid w:val="00244BA0"/>
    <w:rsid w:val="00244D85"/>
    <w:rsid w:val="00244EF1"/>
    <w:rsid w:val="00244EF4"/>
    <w:rsid w:val="00244F12"/>
    <w:rsid w:val="00244F84"/>
    <w:rsid w:val="00245193"/>
    <w:rsid w:val="0024527D"/>
    <w:rsid w:val="00245299"/>
    <w:rsid w:val="002456D1"/>
    <w:rsid w:val="00245768"/>
    <w:rsid w:val="0024579B"/>
    <w:rsid w:val="00245AC3"/>
    <w:rsid w:val="00245B50"/>
    <w:rsid w:val="00245D56"/>
    <w:rsid w:val="00245DE9"/>
    <w:rsid w:val="00245F33"/>
    <w:rsid w:val="00245FB3"/>
    <w:rsid w:val="00245FDE"/>
    <w:rsid w:val="00246068"/>
    <w:rsid w:val="0024629B"/>
    <w:rsid w:val="002462C8"/>
    <w:rsid w:val="002465A7"/>
    <w:rsid w:val="00246641"/>
    <w:rsid w:val="00246751"/>
    <w:rsid w:val="0024683E"/>
    <w:rsid w:val="00246D17"/>
    <w:rsid w:val="00246E30"/>
    <w:rsid w:val="00246E8C"/>
    <w:rsid w:val="00247048"/>
    <w:rsid w:val="00247222"/>
    <w:rsid w:val="002477E0"/>
    <w:rsid w:val="00247A49"/>
    <w:rsid w:val="00247AEC"/>
    <w:rsid w:val="00247D47"/>
    <w:rsid w:val="00250305"/>
    <w:rsid w:val="00250353"/>
    <w:rsid w:val="002503E1"/>
    <w:rsid w:val="002509A5"/>
    <w:rsid w:val="00250BAC"/>
    <w:rsid w:val="00250E0D"/>
    <w:rsid w:val="00250E83"/>
    <w:rsid w:val="00251029"/>
    <w:rsid w:val="0025113B"/>
    <w:rsid w:val="0025160D"/>
    <w:rsid w:val="002516C3"/>
    <w:rsid w:val="00251AC0"/>
    <w:rsid w:val="00251AD7"/>
    <w:rsid w:val="00251BB8"/>
    <w:rsid w:val="00251E67"/>
    <w:rsid w:val="002521A2"/>
    <w:rsid w:val="00252210"/>
    <w:rsid w:val="002526DB"/>
    <w:rsid w:val="0025270B"/>
    <w:rsid w:val="00252A9E"/>
    <w:rsid w:val="00252E37"/>
    <w:rsid w:val="002532DA"/>
    <w:rsid w:val="00253679"/>
    <w:rsid w:val="002536DB"/>
    <w:rsid w:val="002538D8"/>
    <w:rsid w:val="00253B01"/>
    <w:rsid w:val="00253DAE"/>
    <w:rsid w:val="00253F1C"/>
    <w:rsid w:val="00253F7A"/>
    <w:rsid w:val="002541C3"/>
    <w:rsid w:val="002543B7"/>
    <w:rsid w:val="002544BA"/>
    <w:rsid w:val="00254549"/>
    <w:rsid w:val="00254636"/>
    <w:rsid w:val="00254907"/>
    <w:rsid w:val="00254952"/>
    <w:rsid w:val="00254A90"/>
    <w:rsid w:val="00254BD1"/>
    <w:rsid w:val="00254BEA"/>
    <w:rsid w:val="0025532E"/>
    <w:rsid w:val="0025538A"/>
    <w:rsid w:val="00255692"/>
    <w:rsid w:val="00255751"/>
    <w:rsid w:val="002558C1"/>
    <w:rsid w:val="00255C95"/>
    <w:rsid w:val="00255CF6"/>
    <w:rsid w:val="00255D2F"/>
    <w:rsid w:val="00255DDD"/>
    <w:rsid w:val="00256153"/>
    <w:rsid w:val="002561D2"/>
    <w:rsid w:val="0025642E"/>
    <w:rsid w:val="00256526"/>
    <w:rsid w:val="0025652E"/>
    <w:rsid w:val="002568EC"/>
    <w:rsid w:val="00256BBD"/>
    <w:rsid w:val="00256C8D"/>
    <w:rsid w:val="00256D27"/>
    <w:rsid w:val="00256F9D"/>
    <w:rsid w:val="00257195"/>
    <w:rsid w:val="002572C0"/>
    <w:rsid w:val="00257445"/>
    <w:rsid w:val="002574EB"/>
    <w:rsid w:val="00257588"/>
    <w:rsid w:val="0025769B"/>
    <w:rsid w:val="00257B0E"/>
    <w:rsid w:val="00257D2D"/>
    <w:rsid w:val="00257DE3"/>
    <w:rsid w:val="00257F90"/>
    <w:rsid w:val="0026000D"/>
    <w:rsid w:val="002604D7"/>
    <w:rsid w:val="00260634"/>
    <w:rsid w:val="002609E7"/>
    <w:rsid w:val="00260C0F"/>
    <w:rsid w:val="00260F0B"/>
    <w:rsid w:val="002614FD"/>
    <w:rsid w:val="00261521"/>
    <w:rsid w:val="00261602"/>
    <w:rsid w:val="00261741"/>
    <w:rsid w:val="00261B44"/>
    <w:rsid w:val="00261B6E"/>
    <w:rsid w:val="00261F08"/>
    <w:rsid w:val="0026222A"/>
    <w:rsid w:val="002622A2"/>
    <w:rsid w:val="0026237D"/>
    <w:rsid w:val="00262A80"/>
    <w:rsid w:val="00262AB5"/>
    <w:rsid w:val="00262B34"/>
    <w:rsid w:val="00262DC1"/>
    <w:rsid w:val="002630AC"/>
    <w:rsid w:val="002630E2"/>
    <w:rsid w:val="0026357A"/>
    <w:rsid w:val="0026375B"/>
    <w:rsid w:val="002639EC"/>
    <w:rsid w:val="00263C1B"/>
    <w:rsid w:val="002643B9"/>
    <w:rsid w:val="002643CD"/>
    <w:rsid w:val="0026453F"/>
    <w:rsid w:val="00264F6C"/>
    <w:rsid w:val="0026500A"/>
    <w:rsid w:val="0026526B"/>
    <w:rsid w:val="00265339"/>
    <w:rsid w:val="002658AF"/>
    <w:rsid w:val="002659F9"/>
    <w:rsid w:val="00265A34"/>
    <w:rsid w:val="00265BFA"/>
    <w:rsid w:val="00265DBA"/>
    <w:rsid w:val="002660CC"/>
    <w:rsid w:val="00266203"/>
    <w:rsid w:val="0026621D"/>
    <w:rsid w:val="002663EE"/>
    <w:rsid w:val="00266597"/>
    <w:rsid w:val="00266674"/>
    <w:rsid w:val="00266A26"/>
    <w:rsid w:val="00266C5D"/>
    <w:rsid w:val="00266FB9"/>
    <w:rsid w:val="0026733C"/>
    <w:rsid w:val="002674CF"/>
    <w:rsid w:val="002674D3"/>
    <w:rsid w:val="00267510"/>
    <w:rsid w:val="00267749"/>
    <w:rsid w:val="00267778"/>
    <w:rsid w:val="00267837"/>
    <w:rsid w:val="00267854"/>
    <w:rsid w:val="00267A09"/>
    <w:rsid w:val="00267B9F"/>
    <w:rsid w:val="00267C61"/>
    <w:rsid w:val="00267D27"/>
    <w:rsid w:val="00267D8D"/>
    <w:rsid w:val="00267E0A"/>
    <w:rsid w:val="00267F45"/>
    <w:rsid w:val="00267F9F"/>
    <w:rsid w:val="00270170"/>
    <w:rsid w:val="00270270"/>
    <w:rsid w:val="0027028C"/>
    <w:rsid w:val="0027046E"/>
    <w:rsid w:val="00270858"/>
    <w:rsid w:val="00270AB4"/>
    <w:rsid w:val="00270EE3"/>
    <w:rsid w:val="00270F43"/>
    <w:rsid w:val="0027109C"/>
    <w:rsid w:val="002710BA"/>
    <w:rsid w:val="002710DA"/>
    <w:rsid w:val="00271104"/>
    <w:rsid w:val="0027143E"/>
    <w:rsid w:val="0027184B"/>
    <w:rsid w:val="00271868"/>
    <w:rsid w:val="002718B1"/>
    <w:rsid w:val="00271CFC"/>
    <w:rsid w:val="00271EA1"/>
    <w:rsid w:val="00271EDB"/>
    <w:rsid w:val="00271F3A"/>
    <w:rsid w:val="00271F8A"/>
    <w:rsid w:val="0027200F"/>
    <w:rsid w:val="00272072"/>
    <w:rsid w:val="0027210F"/>
    <w:rsid w:val="0027290A"/>
    <w:rsid w:val="00272983"/>
    <w:rsid w:val="00272AAF"/>
    <w:rsid w:val="00272B29"/>
    <w:rsid w:val="00272C33"/>
    <w:rsid w:val="00273026"/>
    <w:rsid w:val="00273167"/>
    <w:rsid w:val="00273336"/>
    <w:rsid w:val="0027365D"/>
    <w:rsid w:val="00273761"/>
    <w:rsid w:val="00273838"/>
    <w:rsid w:val="00273907"/>
    <w:rsid w:val="00273986"/>
    <w:rsid w:val="002739F0"/>
    <w:rsid w:val="00273A1E"/>
    <w:rsid w:val="00273B6D"/>
    <w:rsid w:val="00273D1F"/>
    <w:rsid w:val="00273EF4"/>
    <w:rsid w:val="00274180"/>
    <w:rsid w:val="0027418A"/>
    <w:rsid w:val="0027456A"/>
    <w:rsid w:val="002745D8"/>
    <w:rsid w:val="0027468E"/>
    <w:rsid w:val="00274960"/>
    <w:rsid w:val="00274A40"/>
    <w:rsid w:val="00274AA6"/>
    <w:rsid w:val="00274CE3"/>
    <w:rsid w:val="00274F6D"/>
    <w:rsid w:val="00274FBA"/>
    <w:rsid w:val="002750E2"/>
    <w:rsid w:val="002751B7"/>
    <w:rsid w:val="0027531B"/>
    <w:rsid w:val="00275439"/>
    <w:rsid w:val="0027547E"/>
    <w:rsid w:val="00275556"/>
    <w:rsid w:val="002755CA"/>
    <w:rsid w:val="00275768"/>
    <w:rsid w:val="002758B5"/>
    <w:rsid w:val="0027598D"/>
    <w:rsid w:val="00275D3E"/>
    <w:rsid w:val="00276009"/>
    <w:rsid w:val="00276238"/>
    <w:rsid w:val="00276282"/>
    <w:rsid w:val="002764A3"/>
    <w:rsid w:val="00276602"/>
    <w:rsid w:val="00276681"/>
    <w:rsid w:val="00276687"/>
    <w:rsid w:val="00276740"/>
    <w:rsid w:val="00276743"/>
    <w:rsid w:val="002768C2"/>
    <w:rsid w:val="00276B94"/>
    <w:rsid w:val="00276E99"/>
    <w:rsid w:val="00276EE4"/>
    <w:rsid w:val="0027713F"/>
    <w:rsid w:val="00277245"/>
    <w:rsid w:val="002772D1"/>
    <w:rsid w:val="002774D7"/>
    <w:rsid w:val="0027795C"/>
    <w:rsid w:val="00277B1A"/>
    <w:rsid w:val="00277E46"/>
    <w:rsid w:val="00277E49"/>
    <w:rsid w:val="00277EA5"/>
    <w:rsid w:val="00277EE9"/>
    <w:rsid w:val="00277FD8"/>
    <w:rsid w:val="00277FDF"/>
    <w:rsid w:val="00277FF9"/>
    <w:rsid w:val="0028008B"/>
    <w:rsid w:val="0028022E"/>
    <w:rsid w:val="00280313"/>
    <w:rsid w:val="002805A2"/>
    <w:rsid w:val="00280869"/>
    <w:rsid w:val="00280A64"/>
    <w:rsid w:val="00280C93"/>
    <w:rsid w:val="0028136A"/>
    <w:rsid w:val="0028165A"/>
    <w:rsid w:val="0028192F"/>
    <w:rsid w:val="00281996"/>
    <w:rsid w:val="00281CF6"/>
    <w:rsid w:val="00281E14"/>
    <w:rsid w:val="002827CC"/>
    <w:rsid w:val="00282843"/>
    <w:rsid w:val="00282ADB"/>
    <w:rsid w:val="00282B2B"/>
    <w:rsid w:val="00282C0C"/>
    <w:rsid w:val="00282C59"/>
    <w:rsid w:val="00282DDF"/>
    <w:rsid w:val="00283013"/>
    <w:rsid w:val="002831BF"/>
    <w:rsid w:val="002835CD"/>
    <w:rsid w:val="00283742"/>
    <w:rsid w:val="0028381E"/>
    <w:rsid w:val="0028385B"/>
    <w:rsid w:val="00283A36"/>
    <w:rsid w:val="00283B10"/>
    <w:rsid w:val="00283B8D"/>
    <w:rsid w:val="00283DCE"/>
    <w:rsid w:val="00284004"/>
    <w:rsid w:val="002840C5"/>
    <w:rsid w:val="002842BE"/>
    <w:rsid w:val="002843E2"/>
    <w:rsid w:val="00284505"/>
    <w:rsid w:val="00284760"/>
    <w:rsid w:val="002847D9"/>
    <w:rsid w:val="00284813"/>
    <w:rsid w:val="00284819"/>
    <w:rsid w:val="0028493E"/>
    <w:rsid w:val="00284A01"/>
    <w:rsid w:val="00284C1E"/>
    <w:rsid w:val="00284ED0"/>
    <w:rsid w:val="00284F1F"/>
    <w:rsid w:val="00285628"/>
    <w:rsid w:val="002856D7"/>
    <w:rsid w:val="00285792"/>
    <w:rsid w:val="002858F3"/>
    <w:rsid w:val="00285BBE"/>
    <w:rsid w:val="00285E39"/>
    <w:rsid w:val="00285F10"/>
    <w:rsid w:val="00286055"/>
    <w:rsid w:val="0028617C"/>
    <w:rsid w:val="0028640D"/>
    <w:rsid w:val="0028643F"/>
    <w:rsid w:val="00286480"/>
    <w:rsid w:val="0028658A"/>
    <w:rsid w:val="002866B7"/>
    <w:rsid w:val="002866EC"/>
    <w:rsid w:val="0028692B"/>
    <w:rsid w:val="00286949"/>
    <w:rsid w:val="00286AAA"/>
    <w:rsid w:val="00286B5E"/>
    <w:rsid w:val="00286D80"/>
    <w:rsid w:val="00286F06"/>
    <w:rsid w:val="00287061"/>
    <w:rsid w:val="0028715A"/>
    <w:rsid w:val="0028727B"/>
    <w:rsid w:val="0028730F"/>
    <w:rsid w:val="002873BF"/>
    <w:rsid w:val="002874AF"/>
    <w:rsid w:val="00287510"/>
    <w:rsid w:val="0028752F"/>
    <w:rsid w:val="00287AFA"/>
    <w:rsid w:val="00287B71"/>
    <w:rsid w:val="00287CE9"/>
    <w:rsid w:val="00287D63"/>
    <w:rsid w:val="00287F2A"/>
    <w:rsid w:val="002902F9"/>
    <w:rsid w:val="0029045D"/>
    <w:rsid w:val="00290651"/>
    <w:rsid w:val="0029088E"/>
    <w:rsid w:val="00290980"/>
    <w:rsid w:val="002910F5"/>
    <w:rsid w:val="002913D2"/>
    <w:rsid w:val="002914CC"/>
    <w:rsid w:val="00291D0D"/>
    <w:rsid w:val="00292000"/>
    <w:rsid w:val="002920B6"/>
    <w:rsid w:val="0029211C"/>
    <w:rsid w:val="0029222A"/>
    <w:rsid w:val="0029225D"/>
    <w:rsid w:val="0029283E"/>
    <w:rsid w:val="00292A6A"/>
    <w:rsid w:val="00292D16"/>
    <w:rsid w:val="00292E50"/>
    <w:rsid w:val="00292FED"/>
    <w:rsid w:val="00293045"/>
    <w:rsid w:val="00293058"/>
    <w:rsid w:val="00293296"/>
    <w:rsid w:val="002932DF"/>
    <w:rsid w:val="00293519"/>
    <w:rsid w:val="002938A9"/>
    <w:rsid w:val="00293908"/>
    <w:rsid w:val="00293E77"/>
    <w:rsid w:val="00293F32"/>
    <w:rsid w:val="0029403B"/>
    <w:rsid w:val="002940E8"/>
    <w:rsid w:val="0029411F"/>
    <w:rsid w:val="0029414B"/>
    <w:rsid w:val="002943B9"/>
    <w:rsid w:val="002945CE"/>
    <w:rsid w:val="002948C4"/>
    <w:rsid w:val="00294953"/>
    <w:rsid w:val="00294ABF"/>
    <w:rsid w:val="00294F07"/>
    <w:rsid w:val="00295199"/>
    <w:rsid w:val="0029555E"/>
    <w:rsid w:val="00295667"/>
    <w:rsid w:val="0029590F"/>
    <w:rsid w:val="00295A30"/>
    <w:rsid w:val="00295D05"/>
    <w:rsid w:val="00295D3F"/>
    <w:rsid w:val="00295DA7"/>
    <w:rsid w:val="00295DE1"/>
    <w:rsid w:val="00295EDE"/>
    <w:rsid w:val="00295EE4"/>
    <w:rsid w:val="00295F57"/>
    <w:rsid w:val="00295FE1"/>
    <w:rsid w:val="00296283"/>
    <w:rsid w:val="002963E6"/>
    <w:rsid w:val="00296685"/>
    <w:rsid w:val="0029676F"/>
    <w:rsid w:val="002967C2"/>
    <w:rsid w:val="0029687B"/>
    <w:rsid w:val="002969D7"/>
    <w:rsid w:val="00296D9F"/>
    <w:rsid w:val="00296EF8"/>
    <w:rsid w:val="00296F38"/>
    <w:rsid w:val="002970F8"/>
    <w:rsid w:val="0029711B"/>
    <w:rsid w:val="002971ED"/>
    <w:rsid w:val="00297300"/>
    <w:rsid w:val="002976AE"/>
    <w:rsid w:val="0029770C"/>
    <w:rsid w:val="002977BC"/>
    <w:rsid w:val="00297C21"/>
    <w:rsid w:val="00297D8F"/>
    <w:rsid w:val="00297E4E"/>
    <w:rsid w:val="002A0030"/>
    <w:rsid w:val="002A0226"/>
    <w:rsid w:val="002A0230"/>
    <w:rsid w:val="002A04E7"/>
    <w:rsid w:val="002A0665"/>
    <w:rsid w:val="002A06AA"/>
    <w:rsid w:val="002A0843"/>
    <w:rsid w:val="002A099D"/>
    <w:rsid w:val="002A0B9D"/>
    <w:rsid w:val="002A0DD7"/>
    <w:rsid w:val="002A0F9B"/>
    <w:rsid w:val="002A13D3"/>
    <w:rsid w:val="002A189D"/>
    <w:rsid w:val="002A1AD4"/>
    <w:rsid w:val="002A1CB4"/>
    <w:rsid w:val="002A21F6"/>
    <w:rsid w:val="002A22AB"/>
    <w:rsid w:val="002A22E1"/>
    <w:rsid w:val="002A24E3"/>
    <w:rsid w:val="002A263E"/>
    <w:rsid w:val="002A27ED"/>
    <w:rsid w:val="002A2AB3"/>
    <w:rsid w:val="002A32CB"/>
    <w:rsid w:val="002A3A9F"/>
    <w:rsid w:val="002A3ACD"/>
    <w:rsid w:val="002A3D22"/>
    <w:rsid w:val="002A3FE9"/>
    <w:rsid w:val="002A3FF9"/>
    <w:rsid w:val="002A412D"/>
    <w:rsid w:val="002A4139"/>
    <w:rsid w:val="002A4234"/>
    <w:rsid w:val="002A4289"/>
    <w:rsid w:val="002A42DB"/>
    <w:rsid w:val="002A4300"/>
    <w:rsid w:val="002A43C0"/>
    <w:rsid w:val="002A4453"/>
    <w:rsid w:val="002A4888"/>
    <w:rsid w:val="002A4ADA"/>
    <w:rsid w:val="002A4BE3"/>
    <w:rsid w:val="002A4E1A"/>
    <w:rsid w:val="002A4E35"/>
    <w:rsid w:val="002A4E88"/>
    <w:rsid w:val="002A51FD"/>
    <w:rsid w:val="002A534B"/>
    <w:rsid w:val="002A55B2"/>
    <w:rsid w:val="002A5607"/>
    <w:rsid w:val="002A5966"/>
    <w:rsid w:val="002A5976"/>
    <w:rsid w:val="002A5980"/>
    <w:rsid w:val="002A5AAD"/>
    <w:rsid w:val="002A5B2F"/>
    <w:rsid w:val="002A5C31"/>
    <w:rsid w:val="002A5EE9"/>
    <w:rsid w:val="002A629B"/>
    <w:rsid w:val="002A6595"/>
    <w:rsid w:val="002A66B3"/>
    <w:rsid w:val="002A6AD1"/>
    <w:rsid w:val="002A6E05"/>
    <w:rsid w:val="002A6EBF"/>
    <w:rsid w:val="002A6F6C"/>
    <w:rsid w:val="002A7348"/>
    <w:rsid w:val="002A746A"/>
    <w:rsid w:val="002A7740"/>
    <w:rsid w:val="002A7749"/>
    <w:rsid w:val="002A7A61"/>
    <w:rsid w:val="002B00BE"/>
    <w:rsid w:val="002B0156"/>
    <w:rsid w:val="002B0210"/>
    <w:rsid w:val="002B026C"/>
    <w:rsid w:val="002B0431"/>
    <w:rsid w:val="002B09C4"/>
    <w:rsid w:val="002B0B0C"/>
    <w:rsid w:val="002B0C95"/>
    <w:rsid w:val="002B0E59"/>
    <w:rsid w:val="002B0E66"/>
    <w:rsid w:val="002B0FA8"/>
    <w:rsid w:val="002B16D6"/>
    <w:rsid w:val="002B1AC4"/>
    <w:rsid w:val="002B1D08"/>
    <w:rsid w:val="002B1FB5"/>
    <w:rsid w:val="002B229B"/>
    <w:rsid w:val="002B24C4"/>
    <w:rsid w:val="002B264B"/>
    <w:rsid w:val="002B267C"/>
    <w:rsid w:val="002B26FD"/>
    <w:rsid w:val="002B29D1"/>
    <w:rsid w:val="002B2A01"/>
    <w:rsid w:val="002B2F29"/>
    <w:rsid w:val="002B3138"/>
    <w:rsid w:val="002B3195"/>
    <w:rsid w:val="002B3217"/>
    <w:rsid w:val="002B32B9"/>
    <w:rsid w:val="002B3555"/>
    <w:rsid w:val="002B36A3"/>
    <w:rsid w:val="002B36C1"/>
    <w:rsid w:val="002B39AA"/>
    <w:rsid w:val="002B3A76"/>
    <w:rsid w:val="002B3BCB"/>
    <w:rsid w:val="002B3C46"/>
    <w:rsid w:val="002B3D1E"/>
    <w:rsid w:val="002B3F9F"/>
    <w:rsid w:val="002B4330"/>
    <w:rsid w:val="002B4381"/>
    <w:rsid w:val="002B447F"/>
    <w:rsid w:val="002B454D"/>
    <w:rsid w:val="002B4611"/>
    <w:rsid w:val="002B46C6"/>
    <w:rsid w:val="002B4701"/>
    <w:rsid w:val="002B4BD0"/>
    <w:rsid w:val="002B4F14"/>
    <w:rsid w:val="002B5020"/>
    <w:rsid w:val="002B5061"/>
    <w:rsid w:val="002B5137"/>
    <w:rsid w:val="002B52A0"/>
    <w:rsid w:val="002B5720"/>
    <w:rsid w:val="002B5797"/>
    <w:rsid w:val="002B5816"/>
    <w:rsid w:val="002B599F"/>
    <w:rsid w:val="002B59BF"/>
    <w:rsid w:val="002B59D4"/>
    <w:rsid w:val="002B5DD6"/>
    <w:rsid w:val="002B5DFB"/>
    <w:rsid w:val="002B5E16"/>
    <w:rsid w:val="002B5E36"/>
    <w:rsid w:val="002B5F6B"/>
    <w:rsid w:val="002B6200"/>
    <w:rsid w:val="002B6435"/>
    <w:rsid w:val="002B645B"/>
    <w:rsid w:val="002B64BB"/>
    <w:rsid w:val="002B6671"/>
    <w:rsid w:val="002B6740"/>
    <w:rsid w:val="002B69BC"/>
    <w:rsid w:val="002B6BA7"/>
    <w:rsid w:val="002B6EF2"/>
    <w:rsid w:val="002B705D"/>
    <w:rsid w:val="002B720A"/>
    <w:rsid w:val="002B751F"/>
    <w:rsid w:val="002B7663"/>
    <w:rsid w:val="002B7796"/>
    <w:rsid w:val="002B786B"/>
    <w:rsid w:val="002B7954"/>
    <w:rsid w:val="002B79D3"/>
    <w:rsid w:val="002B7A50"/>
    <w:rsid w:val="002B7F4B"/>
    <w:rsid w:val="002B7F56"/>
    <w:rsid w:val="002C0207"/>
    <w:rsid w:val="002C02BF"/>
    <w:rsid w:val="002C06B6"/>
    <w:rsid w:val="002C093B"/>
    <w:rsid w:val="002C0D35"/>
    <w:rsid w:val="002C0D8E"/>
    <w:rsid w:val="002C0DB2"/>
    <w:rsid w:val="002C0EB2"/>
    <w:rsid w:val="002C12C1"/>
    <w:rsid w:val="002C15E2"/>
    <w:rsid w:val="002C16C7"/>
    <w:rsid w:val="002C18EE"/>
    <w:rsid w:val="002C19BF"/>
    <w:rsid w:val="002C1F76"/>
    <w:rsid w:val="002C2130"/>
    <w:rsid w:val="002C21B8"/>
    <w:rsid w:val="002C23D2"/>
    <w:rsid w:val="002C2552"/>
    <w:rsid w:val="002C28C8"/>
    <w:rsid w:val="002C2ADA"/>
    <w:rsid w:val="002C2C37"/>
    <w:rsid w:val="002C2F18"/>
    <w:rsid w:val="002C3042"/>
    <w:rsid w:val="002C338C"/>
    <w:rsid w:val="002C34A7"/>
    <w:rsid w:val="002C35B0"/>
    <w:rsid w:val="002C3930"/>
    <w:rsid w:val="002C39B2"/>
    <w:rsid w:val="002C3C3A"/>
    <w:rsid w:val="002C3C42"/>
    <w:rsid w:val="002C3E35"/>
    <w:rsid w:val="002C401C"/>
    <w:rsid w:val="002C40CA"/>
    <w:rsid w:val="002C427D"/>
    <w:rsid w:val="002C433B"/>
    <w:rsid w:val="002C4361"/>
    <w:rsid w:val="002C4648"/>
    <w:rsid w:val="002C4CC7"/>
    <w:rsid w:val="002C4D58"/>
    <w:rsid w:val="002C5188"/>
    <w:rsid w:val="002C523B"/>
    <w:rsid w:val="002C527F"/>
    <w:rsid w:val="002C552F"/>
    <w:rsid w:val="002C5A03"/>
    <w:rsid w:val="002C5A33"/>
    <w:rsid w:val="002C5D57"/>
    <w:rsid w:val="002C634C"/>
    <w:rsid w:val="002C6476"/>
    <w:rsid w:val="002C666D"/>
    <w:rsid w:val="002C66A1"/>
    <w:rsid w:val="002C6C52"/>
    <w:rsid w:val="002C6CB4"/>
    <w:rsid w:val="002C6ED4"/>
    <w:rsid w:val="002C6FC4"/>
    <w:rsid w:val="002C6FD7"/>
    <w:rsid w:val="002C7080"/>
    <w:rsid w:val="002C70B5"/>
    <w:rsid w:val="002C710A"/>
    <w:rsid w:val="002C7151"/>
    <w:rsid w:val="002C7237"/>
    <w:rsid w:val="002C7412"/>
    <w:rsid w:val="002C75AD"/>
    <w:rsid w:val="002C77FC"/>
    <w:rsid w:val="002C7A35"/>
    <w:rsid w:val="002C7B84"/>
    <w:rsid w:val="002C7D2F"/>
    <w:rsid w:val="002C7E32"/>
    <w:rsid w:val="002C7E56"/>
    <w:rsid w:val="002C7F4F"/>
    <w:rsid w:val="002D0289"/>
    <w:rsid w:val="002D070D"/>
    <w:rsid w:val="002D0899"/>
    <w:rsid w:val="002D08F8"/>
    <w:rsid w:val="002D0B56"/>
    <w:rsid w:val="002D0C11"/>
    <w:rsid w:val="002D0D44"/>
    <w:rsid w:val="002D0E76"/>
    <w:rsid w:val="002D0E8D"/>
    <w:rsid w:val="002D0F2A"/>
    <w:rsid w:val="002D0F59"/>
    <w:rsid w:val="002D0FB9"/>
    <w:rsid w:val="002D103D"/>
    <w:rsid w:val="002D10EE"/>
    <w:rsid w:val="002D17B6"/>
    <w:rsid w:val="002D1BBE"/>
    <w:rsid w:val="002D1CDB"/>
    <w:rsid w:val="002D1DB1"/>
    <w:rsid w:val="002D1F8E"/>
    <w:rsid w:val="002D2423"/>
    <w:rsid w:val="002D253F"/>
    <w:rsid w:val="002D256A"/>
    <w:rsid w:val="002D257D"/>
    <w:rsid w:val="002D285E"/>
    <w:rsid w:val="002D29A5"/>
    <w:rsid w:val="002D2CC3"/>
    <w:rsid w:val="002D2E32"/>
    <w:rsid w:val="002D307B"/>
    <w:rsid w:val="002D3136"/>
    <w:rsid w:val="002D32BB"/>
    <w:rsid w:val="002D331C"/>
    <w:rsid w:val="002D337E"/>
    <w:rsid w:val="002D35ED"/>
    <w:rsid w:val="002D37C0"/>
    <w:rsid w:val="002D380A"/>
    <w:rsid w:val="002D38F2"/>
    <w:rsid w:val="002D3CAB"/>
    <w:rsid w:val="002D4189"/>
    <w:rsid w:val="002D439D"/>
    <w:rsid w:val="002D46E7"/>
    <w:rsid w:val="002D4748"/>
    <w:rsid w:val="002D4C4D"/>
    <w:rsid w:val="002D4CFA"/>
    <w:rsid w:val="002D4DB0"/>
    <w:rsid w:val="002D4DB8"/>
    <w:rsid w:val="002D4DC7"/>
    <w:rsid w:val="002D4E06"/>
    <w:rsid w:val="002D4E68"/>
    <w:rsid w:val="002D4EE1"/>
    <w:rsid w:val="002D5080"/>
    <w:rsid w:val="002D50C3"/>
    <w:rsid w:val="002D5445"/>
    <w:rsid w:val="002D5483"/>
    <w:rsid w:val="002D5A27"/>
    <w:rsid w:val="002D5AE4"/>
    <w:rsid w:val="002D5B0C"/>
    <w:rsid w:val="002D5B0F"/>
    <w:rsid w:val="002D5E5F"/>
    <w:rsid w:val="002D5F1B"/>
    <w:rsid w:val="002D5F6C"/>
    <w:rsid w:val="002D6293"/>
    <w:rsid w:val="002D639C"/>
    <w:rsid w:val="002D64FE"/>
    <w:rsid w:val="002D6519"/>
    <w:rsid w:val="002D659B"/>
    <w:rsid w:val="002D6685"/>
    <w:rsid w:val="002D67A4"/>
    <w:rsid w:val="002D6AAD"/>
    <w:rsid w:val="002D6FD7"/>
    <w:rsid w:val="002D6FF1"/>
    <w:rsid w:val="002D747D"/>
    <w:rsid w:val="002D7493"/>
    <w:rsid w:val="002D74CE"/>
    <w:rsid w:val="002D78DB"/>
    <w:rsid w:val="002D7A30"/>
    <w:rsid w:val="002D7B6B"/>
    <w:rsid w:val="002E002B"/>
    <w:rsid w:val="002E0172"/>
    <w:rsid w:val="002E0394"/>
    <w:rsid w:val="002E03FB"/>
    <w:rsid w:val="002E05B0"/>
    <w:rsid w:val="002E05C2"/>
    <w:rsid w:val="002E0975"/>
    <w:rsid w:val="002E0F73"/>
    <w:rsid w:val="002E0FEE"/>
    <w:rsid w:val="002E102E"/>
    <w:rsid w:val="002E1180"/>
    <w:rsid w:val="002E1194"/>
    <w:rsid w:val="002E1299"/>
    <w:rsid w:val="002E131C"/>
    <w:rsid w:val="002E1503"/>
    <w:rsid w:val="002E1569"/>
    <w:rsid w:val="002E1643"/>
    <w:rsid w:val="002E1682"/>
    <w:rsid w:val="002E16E1"/>
    <w:rsid w:val="002E174B"/>
    <w:rsid w:val="002E1815"/>
    <w:rsid w:val="002E1913"/>
    <w:rsid w:val="002E1972"/>
    <w:rsid w:val="002E197A"/>
    <w:rsid w:val="002E1C9A"/>
    <w:rsid w:val="002E2170"/>
    <w:rsid w:val="002E2519"/>
    <w:rsid w:val="002E2541"/>
    <w:rsid w:val="002E25FA"/>
    <w:rsid w:val="002E2A49"/>
    <w:rsid w:val="002E2F4C"/>
    <w:rsid w:val="002E311D"/>
    <w:rsid w:val="002E315D"/>
    <w:rsid w:val="002E32ED"/>
    <w:rsid w:val="002E359E"/>
    <w:rsid w:val="002E382B"/>
    <w:rsid w:val="002E3DCD"/>
    <w:rsid w:val="002E3F03"/>
    <w:rsid w:val="002E4000"/>
    <w:rsid w:val="002E4418"/>
    <w:rsid w:val="002E4627"/>
    <w:rsid w:val="002E4664"/>
    <w:rsid w:val="002E485D"/>
    <w:rsid w:val="002E4C51"/>
    <w:rsid w:val="002E4E04"/>
    <w:rsid w:val="002E4F3A"/>
    <w:rsid w:val="002E501D"/>
    <w:rsid w:val="002E5027"/>
    <w:rsid w:val="002E534A"/>
    <w:rsid w:val="002E5555"/>
    <w:rsid w:val="002E55D8"/>
    <w:rsid w:val="002E56D0"/>
    <w:rsid w:val="002E5936"/>
    <w:rsid w:val="002E5BCD"/>
    <w:rsid w:val="002E5CA1"/>
    <w:rsid w:val="002E5DC5"/>
    <w:rsid w:val="002E6022"/>
    <w:rsid w:val="002E6292"/>
    <w:rsid w:val="002E62FA"/>
    <w:rsid w:val="002E673E"/>
    <w:rsid w:val="002E6BB5"/>
    <w:rsid w:val="002E6D5E"/>
    <w:rsid w:val="002E6DB5"/>
    <w:rsid w:val="002E6F40"/>
    <w:rsid w:val="002E7121"/>
    <w:rsid w:val="002E769F"/>
    <w:rsid w:val="002E7732"/>
    <w:rsid w:val="002E7C0B"/>
    <w:rsid w:val="002E7FF8"/>
    <w:rsid w:val="002F01C8"/>
    <w:rsid w:val="002F02A1"/>
    <w:rsid w:val="002F048E"/>
    <w:rsid w:val="002F06D2"/>
    <w:rsid w:val="002F0C20"/>
    <w:rsid w:val="002F0CC5"/>
    <w:rsid w:val="002F0D87"/>
    <w:rsid w:val="002F1040"/>
    <w:rsid w:val="002F1198"/>
    <w:rsid w:val="002F13C9"/>
    <w:rsid w:val="002F14CD"/>
    <w:rsid w:val="002F1C81"/>
    <w:rsid w:val="002F1DC5"/>
    <w:rsid w:val="002F1F5E"/>
    <w:rsid w:val="002F2351"/>
    <w:rsid w:val="002F23AD"/>
    <w:rsid w:val="002F2661"/>
    <w:rsid w:val="002F2761"/>
    <w:rsid w:val="002F28C3"/>
    <w:rsid w:val="002F2B7F"/>
    <w:rsid w:val="002F2C9A"/>
    <w:rsid w:val="002F3007"/>
    <w:rsid w:val="002F31B3"/>
    <w:rsid w:val="002F323C"/>
    <w:rsid w:val="002F3276"/>
    <w:rsid w:val="002F3330"/>
    <w:rsid w:val="002F3451"/>
    <w:rsid w:val="002F3739"/>
    <w:rsid w:val="002F375E"/>
    <w:rsid w:val="002F3959"/>
    <w:rsid w:val="002F3BF5"/>
    <w:rsid w:val="002F3E93"/>
    <w:rsid w:val="002F3F43"/>
    <w:rsid w:val="002F46F1"/>
    <w:rsid w:val="002F47A1"/>
    <w:rsid w:val="002F4888"/>
    <w:rsid w:val="002F48C3"/>
    <w:rsid w:val="002F4937"/>
    <w:rsid w:val="002F4A30"/>
    <w:rsid w:val="002F4C66"/>
    <w:rsid w:val="002F4C98"/>
    <w:rsid w:val="002F4EB5"/>
    <w:rsid w:val="002F4F1A"/>
    <w:rsid w:val="002F5401"/>
    <w:rsid w:val="002F551D"/>
    <w:rsid w:val="002F5642"/>
    <w:rsid w:val="002F5910"/>
    <w:rsid w:val="002F5BC2"/>
    <w:rsid w:val="002F5E95"/>
    <w:rsid w:val="002F5EF1"/>
    <w:rsid w:val="002F5F98"/>
    <w:rsid w:val="002F6423"/>
    <w:rsid w:val="002F649D"/>
    <w:rsid w:val="002F65A4"/>
    <w:rsid w:val="002F65F7"/>
    <w:rsid w:val="002F65FD"/>
    <w:rsid w:val="002F6A0F"/>
    <w:rsid w:val="002F6BAA"/>
    <w:rsid w:val="002F6C28"/>
    <w:rsid w:val="002F6CF3"/>
    <w:rsid w:val="002F6E31"/>
    <w:rsid w:val="002F7192"/>
    <w:rsid w:val="002F71F2"/>
    <w:rsid w:val="002F751E"/>
    <w:rsid w:val="002F765B"/>
    <w:rsid w:val="002F7733"/>
    <w:rsid w:val="002F7818"/>
    <w:rsid w:val="002F7C35"/>
    <w:rsid w:val="002F7C49"/>
    <w:rsid w:val="002F7C65"/>
    <w:rsid w:val="002F7CB9"/>
    <w:rsid w:val="002F7EDC"/>
    <w:rsid w:val="002F7F7C"/>
    <w:rsid w:val="002F7FA4"/>
    <w:rsid w:val="002F7FE3"/>
    <w:rsid w:val="003000A3"/>
    <w:rsid w:val="00300132"/>
    <w:rsid w:val="0030017F"/>
    <w:rsid w:val="00300626"/>
    <w:rsid w:val="003006F8"/>
    <w:rsid w:val="003007B1"/>
    <w:rsid w:val="00300ADB"/>
    <w:rsid w:val="00300F3B"/>
    <w:rsid w:val="0030101D"/>
    <w:rsid w:val="0030116F"/>
    <w:rsid w:val="0030135F"/>
    <w:rsid w:val="00301365"/>
    <w:rsid w:val="0030144B"/>
    <w:rsid w:val="00301472"/>
    <w:rsid w:val="003015EF"/>
    <w:rsid w:val="0030163E"/>
    <w:rsid w:val="00301784"/>
    <w:rsid w:val="0030197F"/>
    <w:rsid w:val="003019E5"/>
    <w:rsid w:val="0030213E"/>
    <w:rsid w:val="00302213"/>
    <w:rsid w:val="0030234E"/>
    <w:rsid w:val="003023A2"/>
    <w:rsid w:val="003025B7"/>
    <w:rsid w:val="003027E4"/>
    <w:rsid w:val="0030281C"/>
    <w:rsid w:val="003028DD"/>
    <w:rsid w:val="00302934"/>
    <w:rsid w:val="003029AE"/>
    <w:rsid w:val="003029F3"/>
    <w:rsid w:val="00302AF6"/>
    <w:rsid w:val="00302AF7"/>
    <w:rsid w:val="00302D3A"/>
    <w:rsid w:val="00302D63"/>
    <w:rsid w:val="00302F51"/>
    <w:rsid w:val="003030F3"/>
    <w:rsid w:val="0030318E"/>
    <w:rsid w:val="003031A4"/>
    <w:rsid w:val="0030387C"/>
    <w:rsid w:val="00303982"/>
    <w:rsid w:val="00303D24"/>
    <w:rsid w:val="00303D90"/>
    <w:rsid w:val="00303FAB"/>
    <w:rsid w:val="0030412F"/>
    <w:rsid w:val="0030414F"/>
    <w:rsid w:val="00304214"/>
    <w:rsid w:val="00304260"/>
    <w:rsid w:val="00304282"/>
    <w:rsid w:val="003043BD"/>
    <w:rsid w:val="0030462A"/>
    <w:rsid w:val="0030467E"/>
    <w:rsid w:val="0030484B"/>
    <w:rsid w:val="0030485B"/>
    <w:rsid w:val="003049C0"/>
    <w:rsid w:val="00304A89"/>
    <w:rsid w:val="00304AE8"/>
    <w:rsid w:val="00304C68"/>
    <w:rsid w:val="00304D20"/>
    <w:rsid w:val="00304DF6"/>
    <w:rsid w:val="00304E04"/>
    <w:rsid w:val="00304FD5"/>
    <w:rsid w:val="003055A9"/>
    <w:rsid w:val="003055BE"/>
    <w:rsid w:val="003057C7"/>
    <w:rsid w:val="00305819"/>
    <w:rsid w:val="00305823"/>
    <w:rsid w:val="00305AE4"/>
    <w:rsid w:val="00305B05"/>
    <w:rsid w:val="00305B0E"/>
    <w:rsid w:val="0030607C"/>
    <w:rsid w:val="003065A2"/>
    <w:rsid w:val="003066D9"/>
    <w:rsid w:val="00306808"/>
    <w:rsid w:val="0030699E"/>
    <w:rsid w:val="00306D32"/>
    <w:rsid w:val="003071A9"/>
    <w:rsid w:val="0030737B"/>
    <w:rsid w:val="0030746F"/>
    <w:rsid w:val="003076A7"/>
    <w:rsid w:val="0030774B"/>
    <w:rsid w:val="00307AB9"/>
    <w:rsid w:val="00307ACE"/>
    <w:rsid w:val="00307DD3"/>
    <w:rsid w:val="0031003C"/>
    <w:rsid w:val="00310121"/>
    <w:rsid w:val="0031029C"/>
    <w:rsid w:val="00310361"/>
    <w:rsid w:val="00310364"/>
    <w:rsid w:val="0031041F"/>
    <w:rsid w:val="003105D3"/>
    <w:rsid w:val="00310602"/>
    <w:rsid w:val="00310828"/>
    <w:rsid w:val="0031096F"/>
    <w:rsid w:val="00310A5A"/>
    <w:rsid w:val="00310B83"/>
    <w:rsid w:val="00310DD5"/>
    <w:rsid w:val="00310F39"/>
    <w:rsid w:val="003110FE"/>
    <w:rsid w:val="00311127"/>
    <w:rsid w:val="00311271"/>
    <w:rsid w:val="00311407"/>
    <w:rsid w:val="00311914"/>
    <w:rsid w:val="00312066"/>
    <w:rsid w:val="00312250"/>
    <w:rsid w:val="00312544"/>
    <w:rsid w:val="00312563"/>
    <w:rsid w:val="003128EF"/>
    <w:rsid w:val="00312C84"/>
    <w:rsid w:val="00313095"/>
    <w:rsid w:val="003130C1"/>
    <w:rsid w:val="003133EC"/>
    <w:rsid w:val="00313590"/>
    <w:rsid w:val="00313606"/>
    <w:rsid w:val="0031367D"/>
    <w:rsid w:val="00313737"/>
    <w:rsid w:val="00313765"/>
    <w:rsid w:val="00313A54"/>
    <w:rsid w:val="00313DE9"/>
    <w:rsid w:val="00314055"/>
    <w:rsid w:val="00314B99"/>
    <w:rsid w:val="00314CB1"/>
    <w:rsid w:val="00314CE5"/>
    <w:rsid w:val="00314E54"/>
    <w:rsid w:val="00314EA6"/>
    <w:rsid w:val="0031524E"/>
    <w:rsid w:val="003152A6"/>
    <w:rsid w:val="003152C9"/>
    <w:rsid w:val="00315450"/>
    <w:rsid w:val="003155B8"/>
    <w:rsid w:val="00315929"/>
    <w:rsid w:val="003159B5"/>
    <w:rsid w:val="00315A81"/>
    <w:rsid w:val="00315B64"/>
    <w:rsid w:val="00316101"/>
    <w:rsid w:val="00316129"/>
    <w:rsid w:val="00316324"/>
    <w:rsid w:val="00316328"/>
    <w:rsid w:val="003166E5"/>
    <w:rsid w:val="00316759"/>
    <w:rsid w:val="003168D9"/>
    <w:rsid w:val="003169BF"/>
    <w:rsid w:val="00316CFE"/>
    <w:rsid w:val="00316EC4"/>
    <w:rsid w:val="00316F4B"/>
    <w:rsid w:val="003171DC"/>
    <w:rsid w:val="003172EE"/>
    <w:rsid w:val="00317396"/>
    <w:rsid w:val="003177A8"/>
    <w:rsid w:val="003179CD"/>
    <w:rsid w:val="00317B51"/>
    <w:rsid w:val="00320030"/>
    <w:rsid w:val="00320235"/>
    <w:rsid w:val="00320457"/>
    <w:rsid w:val="00320A82"/>
    <w:rsid w:val="00320AF6"/>
    <w:rsid w:val="00320C00"/>
    <w:rsid w:val="00320C89"/>
    <w:rsid w:val="00320DE2"/>
    <w:rsid w:val="00320F64"/>
    <w:rsid w:val="0032101E"/>
    <w:rsid w:val="0032107E"/>
    <w:rsid w:val="00321181"/>
    <w:rsid w:val="00321283"/>
    <w:rsid w:val="00321991"/>
    <w:rsid w:val="00321F38"/>
    <w:rsid w:val="00322080"/>
    <w:rsid w:val="003223A1"/>
    <w:rsid w:val="00322505"/>
    <w:rsid w:val="00322753"/>
    <w:rsid w:val="0032297C"/>
    <w:rsid w:val="00322B3F"/>
    <w:rsid w:val="00322CE6"/>
    <w:rsid w:val="00322D82"/>
    <w:rsid w:val="003230D0"/>
    <w:rsid w:val="003231C2"/>
    <w:rsid w:val="003234FA"/>
    <w:rsid w:val="00323672"/>
    <w:rsid w:val="0032376E"/>
    <w:rsid w:val="00323786"/>
    <w:rsid w:val="00323ADE"/>
    <w:rsid w:val="00323E33"/>
    <w:rsid w:val="00323EAE"/>
    <w:rsid w:val="00323F33"/>
    <w:rsid w:val="00323FDC"/>
    <w:rsid w:val="00324266"/>
    <w:rsid w:val="0032461A"/>
    <w:rsid w:val="003246A4"/>
    <w:rsid w:val="00324918"/>
    <w:rsid w:val="00324AC7"/>
    <w:rsid w:val="00324D71"/>
    <w:rsid w:val="00325561"/>
    <w:rsid w:val="00325696"/>
    <w:rsid w:val="00325907"/>
    <w:rsid w:val="00325A6E"/>
    <w:rsid w:val="00325AE6"/>
    <w:rsid w:val="00325FD4"/>
    <w:rsid w:val="00326153"/>
    <w:rsid w:val="00326179"/>
    <w:rsid w:val="003262E5"/>
    <w:rsid w:val="0032688C"/>
    <w:rsid w:val="00326C00"/>
    <w:rsid w:val="00326CDC"/>
    <w:rsid w:val="00327338"/>
    <w:rsid w:val="00327B7D"/>
    <w:rsid w:val="00327E1B"/>
    <w:rsid w:val="00327F4D"/>
    <w:rsid w:val="003302E4"/>
    <w:rsid w:val="003303A2"/>
    <w:rsid w:val="00330678"/>
    <w:rsid w:val="003307C8"/>
    <w:rsid w:val="00330A2E"/>
    <w:rsid w:val="00330AB1"/>
    <w:rsid w:val="00330C46"/>
    <w:rsid w:val="00330D6F"/>
    <w:rsid w:val="003311A7"/>
    <w:rsid w:val="003315E1"/>
    <w:rsid w:val="003316D7"/>
    <w:rsid w:val="00331818"/>
    <w:rsid w:val="0033181B"/>
    <w:rsid w:val="00331888"/>
    <w:rsid w:val="003319E4"/>
    <w:rsid w:val="003319E5"/>
    <w:rsid w:val="00331ADD"/>
    <w:rsid w:val="00331B3D"/>
    <w:rsid w:val="00331C05"/>
    <w:rsid w:val="00332014"/>
    <w:rsid w:val="00332380"/>
    <w:rsid w:val="0033245D"/>
    <w:rsid w:val="00332613"/>
    <w:rsid w:val="003326BB"/>
    <w:rsid w:val="003327A2"/>
    <w:rsid w:val="00332896"/>
    <w:rsid w:val="00332A8F"/>
    <w:rsid w:val="00332B13"/>
    <w:rsid w:val="00332C3B"/>
    <w:rsid w:val="00332C73"/>
    <w:rsid w:val="00333238"/>
    <w:rsid w:val="0033342C"/>
    <w:rsid w:val="00333437"/>
    <w:rsid w:val="003334A7"/>
    <w:rsid w:val="003334C8"/>
    <w:rsid w:val="00333E41"/>
    <w:rsid w:val="00334150"/>
    <w:rsid w:val="003342A3"/>
    <w:rsid w:val="003343DE"/>
    <w:rsid w:val="00334542"/>
    <w:rsid w:val="00334820"/>
    <w:rsid w:val="00334887"/>
    <w:rsid w:val="003348F5"/>
    <w:rsid w:val="00334B55"/>
    <w:rsid w:val="00334B7A"/>
    <w:rsid w:val="00334B97"/>
    <w:rsid w:val="00334BDC"/>
    <w:rsid w:val="00334D29"/>
    <w:rsid w:val="00334ECA"/>
    <w:rsid w:val="00334F16"/>
    <w:rsid w:val="003350C0"/>
    <w:rsid w:val="003350CB"/>
    <w:rsid w:val="00335146"/>
    <w:rsid w:val="0033520E"/>
    <w:rsid w:val="00335688"/>
    <w:rsid w:val="0033587F"/>
    <w:rsid w:val="00335DFF"/>
    <w:rsid w:val="00336239"/>
    <w:rsid w:val="0033625F"/>
    <w:rsid w:val="0033652F"/>
    <w:rsid w:val="0033670F"/>
    <w:rsid w:val="00336A91"/>
    <w:rsid w:val="00336F32"/>
    <w:rsid w:val="00336F90"/>
    <w:rsid w:val="003370F4"/>
    <w:rsid w:val="003370F6"/>
    <w:rsid w:val="00337152"/>
    <w:rsid w:val="0033720C"/>
    <w:rsid w:val="003372CA"/>
    <w:rsid w:val="0033734B"/>
    <w:rsid w:val="00337360"/>
    <w:rsid w:val="003374CD"/>
    <w:rsid w:val="00337606"/>
    <w:rsid w:val="00337619"/>
    <w:rsid w:val="00337645"/>
    <w:rsid w:val="0033771B"/>
    <w:rsid w:val="00337CDF"/>
    <w:rsid w:val="00337FB3"/>
    <w:rsid w:val="0034014A"/>
    <w:rsid w:val="0034025A"/>
    <w:rsid w:val="00340337"/>
    <w:rsid w:val="0034049A"/>
    <w:rsid w:val="00340809"/>
    <w:rsid w:val="00340859"/>
    <w:rsid w:val="003408B5"/>
    <w:rsid w:val="00340A89"/>
    <w:rsid w:val="00340B15"/>
    <w:rsid w:val="00340C98"/>
    <w:rsid w:val="00340CB7"/>
    <w:rsid w:val="00340D98"/>
    <w:rsid w:val="00340E36"/>
    <w:rsid w:val="003416C9"/>
    <w:rsid w:val="00341773"/>
    <w:rsid w:val="003417C8"/>
    <w:rsid w:val="00341895"/>
    <w:rsid w:val="003419CC"/>
    <w:rsid w:val="00341D62"/>
    <w:rsid w:val="00341D7C"/>
    <w:rsid w:val="003420AA"/>
    <w:rsid w:val="003426F3"/>
    <w:rsid w:val="0034287E"/>
    <w:rsid w:val="0034288C"/>
    <w:rsid w:val="003428BF"/>
    <w:rsid w:val="003428FF"/>
    <w:rsid w:val="0034297A"/>
    <w:rsid w:val="00342A4A"/>
    <w:rsid w:val="00342A89"/>
    <w:rsid w:val="00342BE4"/>
    <w:rsid w:val="00342CF5"/>
    <w:rsid w:val="00343232"/>
    <w:rsid w:val="00343259"/>
    <w:rsid w:val="003433F3"/>
    <w:rsid w:val="003434B9"/>
    <w:rsid w:val="003435EF"/>
    <w:rsid w:val="003439BC"/>
    <w:rsid w:val="00343A18"/>
    <w:rsid w:val="00343AC4"/>
    <w:rsid w:val="00343ACF"/>
    <w:rsid w:val="00343BF3"/>
    <w:rsid w:val="00343D42"/>
    <w:rsid w:val="00343DC7"/>
    <w:rsid w:val="00343E1D"/>
    <w:rsid w:val="00343E4D"/>
    <w:rsid w:val="00343F6B"/>
    <w:rsid w:val="00343F97"/>
    <w:rsid w:val="00343FF3"/>
    <w:rsid w:val="003440CE"/>
    <w:rsid w:val="00344148"/>
    <w:rsid w:val="00344233"/>
    <w:rsid w:val="00344458"/>
    <w:rsid w:val="003445E9"/>
    <w:rsid w:val="003446AF"/>
    <w:rsid w:val="00344755"/>
    <w:rsid w:val="003447D2"/>
    <w:rsid w:val="003447F4"/>
    <w:rsid w:val="00344AB7"/>
    <w:rsid w:val="00344DB9"/>
    <w:rsid w:val="00344E38"/>
    <w:rsid w:val="00344F00"/>
    <w:rsid w:val="00344FE7"/>
    <w:rsid w:val="0034501F"/>
    <w:rsid w:val="0034518A"/>
    <w:rsid w:val="00345372"/>
    <w:rsid w:val="0034545E"/>
    <w:rsid w:val="00345712"/>
    <w:rsid w:val="0034597A"/>
    <w:rsid w:val="0034599D"/>
    <w:rsid w:val="00345A1A"/>
    <w:rsid w:val="00345C8D"/>
    <w:rsid w:val="00345D63"/>
    <w:rsid w:val="00345F45"/>
    <w:rsid w:val="0034623D"/>
    <w:rsid w:val="003465AF"/>
    <w:rsid w:val="00346624"/>
    <w:rsid w:val="003468A1"/>
    <w:rsid w:val="003468A4"/>
    <w:rsid w:val="00346AA9"/>
    <w:rsid w:val="00346D3F"/>
    <w:rsid w:val="00347075"/>
    <w:rsid w:val="003470C2"/>
    <w:rsid w:val="003470D4"/>
    <w:rsid w:val="0034737E"/>
    <w:rsid w:val="003475B1"/>
    <w:rsid w:val="00347673"/>
    <w:rsid w:val="0034782A"/>
    <w:rsid w:val="00347834"/>
    <w:rsid w:val="00347839"/>
    <w:rsid w:val="00347997"/>
    <w:rsid w:val="00347A2B"/>
    <w:rsid w:val="00347ABA"/>
    <w:rsid w:val="00347ABD"/>
    <w:rsid w:val="00347B3F"/>
    <w:rsid w:val="00347C68"/>
    <w:rsid w:val="00347DD3"/>
    <w:rsid w:val="00347DFA"/>
    <w:rsid w:val="00347F6D"/>
    <w:rsid w:val="003501C5"/>
    <w:rsid w:val="00350251"/>
    <w:rsid w:val="003502C8"/>
    <w:rsid w:val="00350A24"/>
    <w:rsid w:val="00350BAF"/>
    <w:rsid w:val="00350EB1"/>
    <w:rsid w:val="00350F7A"/>
    <w:rsid w:val="00350FAE"/>
    <w:rsid w:val="0035154E"/>
    <w:rsid w:val="00351562"/>
    <w:rsid w:val="003515E1"/>
    <w:rsid w:val="0035187D"/>
    <w:rsid w:val="003519DE"/>
    <w:rsid w:val="00351C20"/>
    <w:rsid w:val="00351C72"/>
    <w:rsid w:val="00351C88"/>
    <w:rsid w:val="00351D00"/>
    <w:rsid w:val="00351D68"/>
    <w:rsid w:val="00351E56"/>
    <w:rsid w:val="00351E59"/>
    <w:rsid w:val="00351E5F"/>
    <w:rsid w:val="00352207"/>
    <w:rsid w:val="00352453"/>
    <w:rsid w:val="0035249A"/>
    <w:rsid w:val="003526C6"/>
    <w:rsid w:val="003526D0"/>
    <w:rsid w:val="003528E2"/>
    <w:rsid w:val="00352971"/>
    <w:rsid w:val="00352C45"/>
    <w:rsid w:val="00352C59"/>
    <w:rsid w:val="00352C9D"/>
    <w:rsid w:val="00353297"/>
    <w:rsid w:val="003533A6"/>
    <w:rsid w:val="003533AA"/>
    <w:rsid w:val="00353570"/>
    <w:rsid w:val="00353874"/>
    <w:rsid w:val="00353937"/>
    <w:rsid w:val="0035394F"/>
    <w:rsid w:val="003540CB"/>
    <w:rsid w:val="0035418D"/>
    <w:rsid w:val="003541F7"/>
    <w:rsid w:val="003542F7"/>
    <w:rsid w:val="003542FD"/>
    <w:rsid w:val="00354336"/>
    <w:rsid w:val="0035437A"/>
    <w:rsid w:val="003544A6"/>
    <w:rsid w:val="003549A2"/>
    <w:rsid w:val="00355006"/>
    <w:rsid w:val="00355043"/>
    <w:rsid w:val="003553F7"/>
    <w:rsid w:val="0035565B"/>
    <w:rsid w:val="00355899"/>
    <w:rsid w:val="0035591A"/>
    <w:rsid w:val="00355CB4"/>
    <w:rsid w:val="00355CF3"/>
    <w:rsid w:val="00355E32"/>
    <w:rsid w:val="0035628F"/>
    <w:rsid w:val="003568AB"/>
    <w:rsid w:val="00356C59"/>
    <w:rsid w:val="00356C9D"/>
    <w:rsid w:val="00356CC6"/>
    <w:rsid w:val="00356D71"/>
    <w:rsid w:val="00356FA1"/>
    <w:rsid w:val="0035700A"/>
    <w:rsid w:val="003572E2"/>
    <w:rsid w:val="003573FC"/>
    <w:rsid w:val="00357425"/>
    <w:rsid w:val="0035753F"/>
    <w:rsid w:val="003575EF"/>
    <w:rsid w:val="00357728"/>
    <w:rsid w:val="00357765"/>
    <w:rsid w:val="0035793E"/>
    <w:rsid w:val="00357CFA"/>
    <w:rsid w:val="00357D0D"/>
    <w:rsid w:val="00357D5C"/>
    <w:rsid w:val="00357E6B"/>
    <w:rsid w:val="00357EBA"/>
    <w:rsid w:val="00357ECB"/>
    <w:rsid w:val="00357F4F"/>
    <w:rsid w:val="00360331"/>
    <w:rsid w:val="00360717"/>
    <w:rsid w:val="00360C38"/>
    <w:rsid w:val="00360DA0"/>
    <w:rsid w:val="00361069"/>
    <w:rsid w:val="003610D5"/>
    <w:rsid w:val="0036115C"/>
    <w:rsid w:val="003617D7"/>
    <w:rsid w:val="00361B52"/>
    <w:rsid w:val="00361BC0"/>
    <w:rsid w:val="00361D3E"/>
    <w:rsid w:val="00361E0D"/>
    <w:rsid w:val="00361EA7"/>
    <w:rsid w:val="00361EAC"/>
    <w:rsid w:val="00361EEB"/>
    <w:rsid w:val="00362041"/>
    <w:rsid w:val="00362295"/>
    <w:rsid w:val="00362415"/>
    <w:rsid w:val="00362596"/>
    <w:rsid w:val="00362742"/>
    <w:rsid w:val="00362830"/>
    <w:rsid w:val="00362836"/>
    <w:rsid w:val="00362C04"/>
    <w:rsid w:val="00362C98"/>
    <w:rsid w:val="00362F3B"/>
    <w:rsid w:val="00362FF9"/>
    <w:rsid w:val="00363025"/>
    <w:rsid w:val="003630CF"/>
    <w:rsid w:val="0036371D"/>
    <w:rsid w:val="003637BE"/>
    <w:rsid w:val="0036381C"/>
    <w:rsid w:val="00363826"/>
    <w:rsid w:val="0036394F"/>
    <w:rsid w:val="00363986"/>
    <w:rsid w:val="003642F1"/>
    <w:rsid w:val="0036434B"/>
    <w:rsid w:val="003643CD"/>
    <w:rsid w:val="003643F6"/>
    <w:rsid w:val="00364416"/>
    <w:rsid w:val="0036448D"/>
    <w:rsid w:val="00364649"/>
    <w:rsid w:val="00364710"/>
    <w:rsid w:val="0036476E"/>
    <w:rsid w:val="00364B52"/>
    <w:rsid w:val="00364D04"/>
    <w:rsid w:val="00364F2A"/>
    <w:rsid w:val="00365210"/>
    <w:rsid w:val="003655AC"/>
    <w:rsid w:val="003656C9"/>
    <w:rsid w:val="00365799"/>
    <w:rsid w:val="00365B0C"/>
    <w:rsid w:val="00365BFD"/>
    <w:rsid w:val="00365C68"/>
    <w:rsid w:val="00365CD0"/>
    <w:rsid w:val="00365ED9"/>
    <w:rsid w:val="00365F24"/>
    <w:rsid w:val="00365FA7"/>
    <w:rsid w:val="00365FF0"/>
    <w:rsid w:val="003660AE"/>
    <w:rsid w:val="003660D0"/>
    <w:rsid w:val="00366560"/>
    <w:rsid w:val="00366991"/>
    <w:rsid w:val="003669AF"/>
    <w:rsid w:val="00366FED"/>
    <w:rsid w:val="00367023"/>
    <w:rsid w:val="00367676"/>
    <w:rsid w:val="00367783"/>
    <w:rsid w:val="00367ABC"/>
    <w:rsid w:val="00367D8E"/>
    <w:rsid w:val="00367F14"/>
    <w:rsid w:val="00367FF3"/>
    <w:rsid w:val="0037008F"/>
    <w:rsid w:val="003701B4"/>
    <w:rsid w:val="003702BB"/>
    <w:rsid w:val="003702EF"/>
    <w:rsid w:val="00370347"/>
    <w:rsid w:val="00370462"/>
    <w:rsid w:val="00370545"/>
    <w:rsid w:val="00370726"/>
    <w:rsid w:val="00370755"/>
    <w:rsid w:val="003707D5"/>
    <w:rsid w:val="003708D7"/>
    <w:rsid w:val="0037095D"/>
    <w:rsid w:val="00370EB7"/>
    <w:rsid w:val="0037105B"/>
    <w:rsid w:val="0037112C"/>
    <w:rsid w:val="003711DF"/>
    <w:rsid w:val="003713D8"/>
    <w:rsid w:val="0037142F"/>
    <w:rsid w:val="003716DF"/>
    <w:rsid w:val="00371814"/>
    <w:rsid w:val="00371B8A"/>
    <w:rsid w:val="00371CC1"/>
    <w:rsid w:val="00371D46"/>
    <w:rsid w:val="00372020"/>
    <w:rsid w:val="00372044"/>
    <w:rsid w:val="003722BE"/>
    <w:rsid w:val="00372349"/>
    <w:rsid w:val="00372474"/>
    <w:rsid w:val="003725A1"/>
    <w:rsid w:val="003725B8"/>
    <w:rsid w:val="00372738"/>
    <w:rsid w:val="00372777"/>
    <w:rsid w:val="003728C2"/>
    <w:rsid w:val="00372B6C"/>
    <w:rsid w:val="00372D3D"/>
    <w:rsid w:val="003731E5"/>
    <w:rsid w:val="00373224"/>
    <w:rsid w:val="00373293"/>
    <w:rsid w:val="0037330B"/>
    <w:rsid w:val="00373498"/>
    <w:rsid w:val="003735D9"/>
    <w:rsid w:val="00373640"/>
    <w:rsid w:val="0037371F"/>
    <w:rsid w:val="0037392F"/>
    <w:rsid w:val="00373934"/>
    <w:rsid w:val="00373985"/>
    <w:rsid w:val="003741CD"/>
    <w:rsid w:val="0037422E"/>
    <w:rsid w:val="003745C4"/>
    <w:rsid w:val="003746B4"/>
    <w:rsid w:val="00374761"/>
    <w:rsid w:val="003747A4"/>
    <w:rsid w:val="00374851"/>
    <w:rsid w:val="00374C02"/>
    <w:rsid w:val="00374F20"/>
    <w:rsid w:val="00375066"/>
    <w:rsid w:val="00375224"/>
    <w:rsid w:val="003752F3"/>
    <w:rsid w:val="00375598"/>
    <w:rsid w:val="00375A26"/>
    <w:rsid w:val="00375E2D"/>
    <w:rsid w:val="00375E4A"/>
    <w:rsid w:val="00375FEF"/>
    <w:rsid w:val="003761A6"/>
    <w:rsid w:val="00376211"/>
    <w:rsid w:val="003762F2"/>
    <w:rsid w:val="00376334"/>
    <w:rsid w:val="003765BD"/>
    <w:rsid w:val="00376862"/>
    <w:rsid w:val="00376865"/>
    <w:rsid w:val="003768F5"/>
    <w:rsid w:val="00376A38"/>
    <w:rsid w:val="00376CA1"/>
    <w:rsid w:val="00376D83"/>
    <w:rsid w:val="00376DAD"/>
    <w:rsid w:val="00376E4D"/>
    <w:rsid w:val="00377144"/>
    <w:rsid w:val="003771E2"/>
    <w:rsid w:val="00377321"/>
    <w:rsid w:val="00377786"/>
    <w:rsid w:val="0037799D"/>
    <w:rsid w:val="00377B00"/>
    <w:rsid w:val="00377DA7"/>
    <w:rsid w:val="00377F23"/>
    <w:rsid w:val="00380075"/>
    <w:rsid w:val="00380139"/>
    <w:rsid w:val="003802F0"/>
    <w:rsid w:val="003804AE"/>
    <w:rsid w:val="003804B7"/>
    <w:rsid w:val="003804BD"/>
    <w:rsid w:val="0038073F"/>
    <w:rsid w:val="003808DF"/>
    <w:rsid w:val="00380951"/>
    <w:rsid w:val="00380AA9"/>
    <w:rsid w:val="00380AD6"/>
    <w:rsid w:val="00380D38"/>
    <w:rsid w:val="003811C4"/>
    <w:rsid w:val="003811DF"/>
    <w:rsid w:val="00381296"/>
    <w:rsid w:val="00381595"/>
    <w:rsid w:val="0038183A"/>
    <w:rsid w:val="003819DA"/>
    <w:rsid w:val="003822FD"/>
    <w:rsid w:val="00382353"/>
    <w:rsid w:val="0038264D"/>
    <w:rsid w:val="003826D5"/>
    <w:rsid w:val="00382921"/>
    <w:rsid w:val="003829E9"/>
    <w:rsid w:val="00382D12"/>
    <w:rsid w:val="00382D18"/>
    <w:rsid w:val="00382EE4"/>
    <w:rsid w:val="00382F27"/>
    <w:rsid w:val="00382FA0"/>
    <w:rsid w:val="003830FA"/>
    <w:rsid w:val="003835D5"/>
    <w:rsid w:val="003836FA"/>
    <w:rsid w:val="003837D7"/>
    <w:rsid w:val="00383B5D"/>
    <w:rsid w:val="00383DC1"/>
    <w:rsid w:val="003840AC"/>
    <w:rsid w:val="00384637"/>
    <w:rsid w:val="00384C20"/>
    <w:rsid w:val="00384CFD"/>
    <w:rsid w:val="00384D9B"/>
    <w:rsid w:val="00384EE7"/>
    <w:rsid w:val="0038524B"/>
    <w:rsid w:val="003852DD"/>
    <w:rsid w:val="00385741"/>
    <w:rsid w:val="0038588D"/>
    <w:rsid w:val="00385994"/>
    <w:rsid w:val="00385C32"/>
    <w:rsid w:val="00385D81"/>
    <w:rsid w:val="00385DFD"/>
    <w:rsid w:val="00385E8B"/>
    <w:rsid w:val="00385FC5"/>
    <w:rsid w:val="0038600A"/>
    <w:rsid w:val="0038601B"/>
    <w:rsid w:val="003865AF"/>
    <w:rsid w:val="0038666E"/>
    <w:rsid w:val="0038680F"/>
    <w:rsid w:val="00386817"/>
    <w:rsid w:val="00386E02"/>
    <w:rsid w:val="00386E8E"/>
    <w:rsid w:val="003870CE"/>
    <w:rsid w:val="00387103"/>
    <w:rsid w:val="003872A0"/>
    <w:rsid w:val="0038747A"/>
    <w:rsid w:val="003877E2"/>
    <w:rsid w:val="003877E7"/>
    <w:rsid w:val="00387BE3"/>
    <w:rsid w:val="00387D6F"/>
    <w:rsid w:val="00387F2F"/>
    <w:rsid w:val="00390160"/>
    <w:rsid w:val="00390264"/>
    <w:rsid w:val="0039037B"/>
    <w:rsid w:val="00390800"/>
    <w:rsid w:val="00390874"/>
    <w:rsid w:val="003908A8"/>
    <w:rsid w:val="00390913"/>
    <w:rsid w:val="003909F9"/>
    <w:rsid w:val="00390D95"/>
    <w:rsid w:val="00390DDF"/>
    <w:rsid w:val="00390F63"/>
    <w:rsid w:val="0039107D"/>
    <w:rsid w:val="0039111A"/>
    <w:rsid w:val="00391309"/>
    <w:rsid w:val="0039141B"/>
    <w:rsid w:val="00391701"/>
    <w:rsid w:val="003918F4"/>
    <w:rsid w:val="00391953"/>
    <w:rsid w:val="00391D08"/>
    <w:rsid w:val="00391D19"/>
    <w:rsid w:val="00391DAD"/>
    <w:rsid w:val="00391E02"/>
    <w:rsid w:val="00391F7C"/>
    <w:rsid w:val="0039228B"/>
    <w:rsid w:val="00392351"/>
    <w:rsid w:val="00392482"/>
    <w:rsid w:val="00392609"/>
    <w:rsid w:val="0039271E"/>
    <w:rsid w:val="003929C8"/>
    <w:rsid w:val="003929D7"/>
    <w:rsid w:val="00392C08"/>
    <w:rsid w:val="00392C53"/>
    <w:rsid w:val="00392D21"/>
    <w:rsid w:val="00392EFF"/>
    <w:rsid w:val="00393054"/>
    <w:rsid w:val="003930B3"/>
    <w:rsid w:val="003931E6"/>
    <w:rsid w:val="0039326F"/>
    <w:rsid w:val="0039328E"/>
    <w:rsid w:val="003935D8"/>
    <w:rsid w:val="00393B29"/>
    <w:rsid w:val="00393BB5"/>
    <w:rsid w:val="00393D3E"/>
    <w:rsid w:val="00394186"/>
    <w:rsid w:val="003943A9"/>
    <w:rsid w:val="00394442"/>
    <w:rsid w:val="0039457F"/>
    <w:rsid w:val="0039458D"/>
    <w:rsid w:val="003945D0"/>
    <w:rsid w:val="00394A0F"/>
    <w:rsid w:val="00394D06"/>
    <w:rsid w:val="00394E31"/>
    <w:rsid w:val="003950BC"/>
    <w:rsid w:val="0039544D"/>
    <w:rsid w:val="0039568D"/>
    <w:rsid w:val="003957FC"/>
    <w:rsid w:val="0039584D"/>
    <w:rsid w:val="00395982"/>
    <w:rsid w:val="00395B64"/>
    <w:rsid w:val="00395C16"/>
    <w:rsid w:val="00395D0B"/>
    <w:rsid w:val="00395E3B"/>
    <w:rsid w:val="00395F74"/>
    <w:rsid w:val="00396406"/>
    <w:rsid w:val="003965D8"/>
    <w:rsid w:val="00396777"/>
    <w:rsid w:val="00397033"/>
    <w:rsid w:val="00397048"/>
    <w:rsid w:val="00397325"/>
    <w:rsid w:val="003975A1"/>
    <w:rsid w:val="00397698"/>
    <w:rsid w:val="003977A3"/>
    <w:rsid w:val="003977DF"/>
    <w:rsid w:val="00397A35"/>
    <w:rsid w:val="00397BDB"/>
    <w:rsid w:val="00397C37"/>
    <w:rsid w:val="00397D7E"/>
    <w:rsid w:val="00397F2D"/>
    <w:rsid w:val="003A027C"/>
    <w:rsid w:val="003A0412"/>
    <w:rsid w:val="003A059F"/>
    <w:rsid w:val="003A066B"/>
    <w:rsid w:val="003A08BB"/>
    <w:rsid w:val="003A0A58"/>
    <w:rsid w:val="003A0AD5"/>
    <w:rsid w:val="003A0B4C"/>
    <w:rsid w:val="003A0BD6"/>
    <w:rsid w:val="003A0D2E"/>
    <w:rsid w:val="003A0D82"/>
    <w:rsid w:val="003A122A"/>
    <w:rsid w:val="003A18C9"/>
    <w:rsid w:val="003A1B99"/>
    <w:rsid w:val="003A1CB3"/>
    <w:rsid w:val="003A1EA3"/>
    <w:rsid w:val="003A1F68"/>
    <w:rsid w:val="003A2003"/>
    <w:rsid w:val="003A203E"/>
    <w:rsid w:val="003A2100"/>
    <w:rsid w:val="003A2103"/>
    <w:rsid w:val="003A23AD"/>
    <w:rsid w:val="003A250D"/>
    <w:rsid w:val="003A28CF"/>
    <w:rsid w:val="003A2905"/>
    <w:rsid w:val="003A2B7E"/>
    <w:rsid w:val="003A2BD8"/>
    <w:rsid w:val="003A2F3B"/>
    <w:rsid w:val="003A309E"/>
    <w:rsid w:val="003A33DA"/>
    <w:rsid w:val="003A33FC"/>
    <w:rsid w:val="003A34E7"/>
    <w:rsid w:val="003A3718"/>
    <w:rsid w:val="003A3777"/>
    <w:rsid w:val="003A3860"/>
    <w:rsid w:val="003A3B54"/>
    <w:rsid w:val="003A3BAE"/>
    <w:rsid w:val="003A3CD0"/>
    <w:rsid w:val="003A3DAB"/>
    <w:rsid w:val="003A4344"/>
    <w:rsid w:val="003A4562"/>
    <w:rsid w:val="003A4823"/>
    <w:rsid w:val="003A4A6B"/>
    <w:rsid w:val="003A4ACF"/>
    <w:rsid w:val="003A4C84"/>
    <w:rsid w:val="003A4D3B"/>
    <w:rsid w:val="003A5062"/>
    <w:rsid w:val="003A53F6"/>
    <w:rsid w:val="003A5563"/>
    <w:rsid w:val="003A5856"/>
    <w:rsid w:val="003A5A0D"/>
    <w:rsid w:val="003A5A85"/>
    <w:rsid w:val="003A5D0F"/>
    <w:rsid w:val="003A5DEA"/>
    <w:rsid w:val="003A5E0B"/>
    <w:rsid w:val="003A5E43"/>
    <w:rsid w:val="003A5E54"/>
    <w:rsid w:val="003A6320"/>
    <w:rsid w:val="003A6690"/>
    <w:rsid w:val="003A6AFD"/>
    <w:rsid w:val="003A6BE5"/>
    <w:rsid w:val="003A6BF4"/>
    <w:rsid w:val="003A6E8E"/>
    <w:rsid w:val="003A6F6D"/>
    <w:rsid w:val="003A7336"/>
    <w:rsid w:val="003A76D0"/>
    <w:rsid w:val="003A77A5"/>
    <w:rsid w:val="003A78C2"/>
    <w:rsid w:val="003A78E0"/>
    <w:rsid w:val="003A7971"/>
    <w:rsid w:val="003A7A64"/>
    <w:rsid w:val="003B0005"/>
    <w:rsid w:val="003B0132"/>
    <w:rsid w:val="003B0BD2"/>
    <w:rsid w:val="003B0C1D"/>
    <w:rsid w:val="003B0CEA"/>
    <w:rsid w:val="003B0D94"/>
    <w:rsid w:val="003B0FA4"/>
    <w:rsid w:val="003B0FE5"/>
    <w:rsid w:val="003B1078"/>
    <w:rsid w:val="003B10F7"/>
    <w:rsid w:val="003B111F"/>
    <w:rsid w:val="003B1216"/>
    <w:rsid w:val="003B137C"/>
    <w:rsid w:val="003B139C"/>
    <w:rsid w:val="003B172A"/>
    <w:rsid w:val="003B1769"/>
    <w:rsid w:val="003B17F8"/>
    <w:rsid w:val="003B19C7"/>
    <w:rsid w:val="003B1B4F"/>
    <w:rsid w:val="003B1B7A"/>
    <w:rsid w:val="003B1B85"/>
    <w:rsid w:val="003B1D4E"/>
    <w:rsid w:val="003B205A"/>
    <w:rsid w:val="003B209E"/>
    <w:rsid w:val="003B22F8"/>
    <w:rsid w:val="003B2415"/>
    <w:rsid w:val="003B24B9"/>
    <w:rsid w:val="003B25FF"/>
    <w:rsid w:val="003B2610"/>
    <w:rsid w:val="003B2642"/>
    <w:rsid w:val="003B284D"/>
    <w:rsid w:val="003B2873"/>
    <w:rsid w:val="003B29B2"/>
    <w:rsid w:val="003B2C2C"/>
    <w:rsid w:val="003B2CD9"/>
    <w:rsid w:val="003B2FF9"/>
    <w:rsid w:val="003B32A1"/>
    <w:rsid w:val="003B32E4"/>
    <w:rsid w:val="003B3341"/>
    <w:rsid w:val="003B336F"/>
    <w:rsid w:val="003B373F"/>
    <w:rsid w:val="003B3882"/>
    <w:rsid w:val="003B3A5A"/>
    <w:rsid w:val="003B3BB4"/>
    <w:rsid w:val="003B3C22"/>
    <w:rsid w:val="003B3D23"/>
    <w:rsid w:val="003B3DAE"/>
    <w:rsid w:val="003B3DC2"/>
    <w:rsid w:val="003B4018"/>
    <w:rsid w:val="003B446A"/>
    <w:rsid w:val="003B446D"/>
    <w:rsid w:val="003B44C5"/>
    <w:rsid w:val="003B44F9"/>
    <w:rsid w:val="003B4501"/>
    <w:rsid w:val="003B4607"/>
    <w:rsid w:val="003B485E"/>
    <w:rsid w:val="003B4942"/>
    <w:rsid w:val="003B49C1"/>
    <w:rsid w:val="003B4B58"/>
    <w:rsid w:val="003B4B7B"/>
    <w:rsid w:val="003B4CAF"/>
    <w:rsid w:val="003B4D3A"/>
    <w:rsid w:val="003B4D54"/>
    <w:rsid w:val="003B4D7B"/>
    <w:rsid w:val="003B51C5"/>
    <w:rsid w:val="003B51E9"/>
    <w:rsid w:val="003B53E3"/>
    <w:rsid w:val="003B546B"/>
    <w:rsid w:val="003B54CD"/>
    <w:rsid w:val="003B557F"/>
    <w:rsid w:val="003B57A0"/>
    <w:rsid w:val="003B5811"/>
    <w:rsid w:val="003B598A"/>
    <w:rsid w:val="003B59E4"/>
    <w:rsid w:val="003B5AAE"/>
    <w:rsid w:val="003B5B12"/>
    <w:rsid w:val="003B5BED"/>
    <w:rsid w:val="003B5C70"/>
    <w:rsid w:val="003B5F91"/>
    <w:rsid w:val="003B609C"/>
    <w:rsid w:val="003B614A"/>
    <w:rsid w:val="003B61CB"/>
    <w:rsid w:val="003B6240"/>
    <w:rsid w:val="003B624B"/>
    <w:rsid w:val="003B660C"/>
    <w:rsid w:val="003B689C"/>
    <w:rsid w:val="003B6BD8"/>
    <w:rsid w:val="003B6E9E"/>
    <w:rsid w:val="003B6FE3"/>
    <w:rsid w:val="003B70FA"/>
    <w:rsid w:val="003B7577"/>
    <w:rsid w:val="003B75A6"/>
    <w:rsid w:val="003B77DC"/>
    <w:rsid w:val="003B78BF"/>
    <w:rsid w:val="003C023B"/>
    <w:rsid w:val="003C0411"/>
    <w:rsid w:val="003C06ED"/>
    <w:rsid w:val="003C08B5"/>
    <w:rsid w:val="003C0A00"/>
    <w:rsid w:val="003C0CC1"/>
    <w:rsid w:val="003C0D27"/>
    <w:rsid w:val="003C0FB0"/>
    <w:rsid w:val="003C110C"/>
    <w:rsid w:val="003C12A7"/>
    <w:rsid w:val="003C1374"/>
    <w:rsid w:val="003C1453"/>
    <w:rsid w:val="003C14EC"/>
    <w:rsid w:val="003C15E7"/>
    <w:rsid w:val="003C165D"/>
    <w:rsid w:val="003C1726"/>
    <w:rsid w:val="003C17DC"/>
    <w:rsid w:val="003C18E0"/>
    <w:rsid w:val="003C19A6"/>
    <w:rsid w:val="003C1C7B"/>
    <w:rsid w:val="003C1DCE"/>
    <w:rsid w:val="003C1E6E"/>
    <w:rsid w:val="003C21D1"/>
    <w:rsid w:val="003C2568"/>
    <w:rsid w:val="003C2621"/>
    <w:rsid w:val="003C269A"/>
    <w:rsid w:val="003C27BD"/>
    <w:rsid w:val="003C29BC"/>
    <w:rsid w:val="003C2B9C"/>
    <w:rsid w:val="003C2C8B"/>
    <w:rsid w:val="003C2E8D"/>
    <w:rsid w:val="003C31BD"/>
    <w:rsid w:val="003C334D"/>
    <w:rsid w:val="003C3378"/>
    <w:rsid w:val="003C34F7"/>
    <w:rsid w:val="003C3690"/>
    <w:rsid w:val="003C3C05"/>
    <w:rsid w:val="003C3C38"/>
    <w:rsid w:val="003C3E5F"/>
    <w:rsid w:val="003C4506"/>
    <w:rsid w:val="003C47C7"/>
    <w:rsid w:val="003C4C54"/>
    <w:rsid w:val="003C4CCC"/>
    <w:rsid w:val="003C4F87"/>
    <w:rsid w:val="003C5588"/>
    <w:rsid w:val="003C55EA"/>
    <w:rsid w:val="003C5630"/>
    <w:rsid w:val="003C5750"/>
    <w:rsid w:val="003C5A8A"/>
    <w:rsid w:val="003C5AD4"/>
    <w:rsid w:val="003C5B09"/>
    <w:rsid w:val="003C6142"/>
    <w:rsid w:val="003C6434"/>
    <w:rsid w:val="003C65BD"/>
    <w:rsid w:val="003C6672"/>
    <w:rsid w:val="003C6741"/>
    <w:rsid w:val="003C687B"/>
    <w:rsid w:val="003C68BC"/>
    <w:rsid w:val="003C6AC7"/>
    <w:rsid w:val="003C6AF0"/>
    <w:rsid w:val="003C6C20"/>
    <w:rsid w:val="003C7285"/>
    <w:rsid w:val="003C733B"/>
    <w:rsid w:val="003C742F"/>
    <w:rsid w:val="003C7488"/>
    <w:rsid w:val="003C7798"/>
    <w:rsid w:val="003C79C7"/>
    <w:rsid w:val="003C7E2D"/>
    <w:rsid w:val="003C7E57"/>
    <w:rsid w:val="003D00DD"/>
    <w:rsid w:val="003D017C"/>
    <w:rsid w:val="003D035D"/>
    <w:rsid w:val="003D06F1"/>
    <w:rsid w:val="003D0753"/>
    <w:rsid w:val="003D09AF"/>
    <w:rsid w:val="003D09F8"/>
    <w:rsid w:val="003D0A3C"/>
    <w:rsid w:val="003D0D33"/>
    <w:rsid w:val="003D1168"/>
    <w:rsid w:val="003D1556"/>
    <w:rsid w:val="003D1A75"/>
    <w:rsid w:val="003D1F1B"/>
    <w:rsid w:val="003D2348"/>
    <w:rsid w:val="003D23CE"/>
    <w:rsid w:val="003D23F7"/>
    <w:rsid w:val="003D25A9"/>
    <w:rsid w:val="003D284D"/>
    <w:rsid w:val="003D2909"/>
    <w:rsid w:val="003D2AD2"/>
    <w:rsid w:val="003D2D8B"/>
    <w:rsid w:val="003D2FC3"/>
    <w:rsid w:val="003D30AB"/>
    <w:rsid w:val="003D3242"/>
    <w:rsid w:val="003D3272"/>
    <w:rsid w:val="003D3704"/>
    <w:rsid w:val="003D3875"/>
    <w:rsid w:val="003D3899"/>
    <w:rsid w:val="003D39B9"/>
    <w:rsid w:val="003D3A22"/>
    <w:rsid w:val="003D3AAC"/>
    <w:rsid w:val="003D3B4C"/>
    <w:rsid w:val="003D3F5B"/>
    <w:rsid w:val="003D3FAA"/>
    <w:rsid w:val="003D4043"/>
    <w:rsid w:val="003D4177"/>
    <w:rsid w:val="003D4195"/>
    <w:rsid w:val="003D42FA"/>
    <w:rsid w:val="003D4AFB"/>
    <w:rsid w:val="003D4B76"/>
    <w:rsid w:val="003D4D37"/>
    <w:rsid w:val="003D4F9E"/>
    <w:rsid w:val="003D4FBB"/>
    <w:rsid w:val="003D513D"/>
    <w:rsid w:val="003D53B8"/>
    <w:rsid w:val="003D572D"/>
    <w:rsid w:val="003D5790"/>
    <w:rsid w:val="003D5A7F"/>
    <w:rsid w:val="003D5AB9"/>
    <w:rsid w:val="003D5D50"/>
    <w:rsid w:val="003D5E05"/>
    <w:rsid w:val="003D5E37"/>
    <w:rsid w:val="003D60B3"/>
    <w:rsid w:val="003D621B"/>
    <w:rsid w:val="003D6274"/>
    <w:rsid w:val="003D628D"/>
    <w:rsid w:val="003D6C78"/>
    <w:rsid w:val="003D71FF"/>
    <w:rsid w:val="003D729C"/>
    <w:rsid w:val="003D7592"/>
    <w:rsid w:val="003D775F"/>
    <w:rsid w:val="003D7796"/>
    <w:rsid w:val="003D7B5B"/>
    <w:rsid w:val="003D7ED8"/>
    <w:rsid w:val="003D7FD8"/>
    <w:rsid w:val="003E0036"/>
    <w:rsid w:val="003E0273"/>
    <w:rsid w:val="003E0542"/>
    <w:rsid w:val="003E0B80"/>
    <w:rsid w:val="003E12EB"/>
    <w:rsid w:val="003E1301"/>
    <w:rsid w:val="003E1508"/>
    <w:rsid w:val="003E17E0"/>
    <w:rsid w:val="003E182A"/>
    <w:rsid w:val="003E1B76"/>
    <w:rsid w:val="003E1B77"/>
    <w:rsid w:val="003E1CF5"/>
    <w:rsid w:val="003E1DD7"/>
    <w:rsid w:val="003E1DE3"/>
    <w:rsid w:val="003E1E2A"/>
    <w:rsid w:val="003E21D8"/>
    <w:rsid w:val="003E2661"/>
    <w:rsid w:val="003E2683"/>
    <w:rsid w:val="003E27A6"/>
    <w:rsid w:val="003E297B"/>
    <w:rsid w:val="003E2A22"/>
    <w:rsid w:val="003E2BE5"/>
    <w:rsid w:val="003E302E"/>
    <w:rsid w:val="003E3154"/>
    <w:rsid w:val="003E3274"/>
    <w:rsid w:val="003E3491"/>
    <w:rsid w:val="003E3790"/>
    <w:rsid w:val="003E3982"/>
    <w:rsid w:val="003E3A12"/>
    <w:rsid w:val="003E3AF5"/>
    <w:rsid w:val="003E3BEB"/>
    <w:rsid w:val="003E3E1F"/>
    <w:rsid w:val="003E40F3"/>
    <w:rsid w:val="003E42DA"/>
    <w:rsid w:val="003E42FF"/>
    <w:rsid w:val="003E451D"/>
    <w:rsid w:val="003E4588"/>
    <w:rsid w:val="003E45BC"/>
    <w:rsid w:val="003E4A1C"/>
    <w:rsid w:val="003E543D"/>
    <w:rsid w:val="003E5458"/>
    <w:rsid w:val="003E54C5"/>
    <w:rsid w:val="003E55C6"/>
    <w:rsid w:val="003E57D9"/>
    <w:rsid w:val="003E59F9"/>
    <w:rsid w:val="003E5B40"/>
    <w:rsid w:val="003E5C80"/>
    <w:rsid w:val="003E5C8B"/>
    <w:rsid w:val="003E5E35"/>
    <w:rsid w:val="003E600D"/>
    <w:rsid w:val="003E60EC"/>
    <w:rsid w:val="003E6319"/>
    <w:rsid w:val="003E65D6"/>
    <w:rsid w:val="003E675C"/>
    <w:rsid w:val="003E6DA8"/>
    <w:rsid w:val="003E6FD8"/>
    <w:rsid w:val="003E7036"/>
    <w:rsid w:val="003E708F"/>
    <w:rsid w:val="003E70F8"/>
    <w:rsid w:val="003E72A5"/>
    <w:rsid w:val="003E7830"/>
    <w:rsid w:val="003E793A"/>
    <w:rsid w:val="003E7B27"/>
    <w:rsid w:val="003E7CE1"/>
    <w:rsid w:val="003E7FAC"/>
    <w:rsid w:val="003F01BA"/>
    <w:rsid w:val="003F02CD"/>
    <w:rsid w:val="003F0313"/>
    <w:rsid w:val="003F03B3"/>
    <w:rsid w:val="003F05F8"/>
    <w:rsid w:val="003F0661"/>
    <w:rsid w:val="003F07A8"/>
    <w:rsid w:val="003F08BB"/>
    <w:rsid w:val="003F0D46"/>
    <w:rsid w:val="003F0DA3"/>
    <w:rsid w:val="003F0DC9"/>
    <w:rsid w:val="003F0DFC"/>
    <w:rsid w:val="003F0E08"/>
    <w:rsid w:val="003F0F6F"/>
    <w:rsid w:val="003F1369"/>
    <w:rsid w:val="003F141C"/>
    <w:rsid w:val="003F1431"/>
    <w:rsid w:val="003F14F4"/>
    <w:rsid w:val="003F182F"/>
    <w:rsid w:val="003F1DC1"/>
    <w:rsid w:val="003F2080"/>
    <w:rsid w:val="003F2095"/>
    <w:rsid w:val="003F2160"/>
    <w:rsid w:val="003F219D"/>
    <w:rsid w:val="003F2981"/>
    <w:rsid w:val="003F29B0"/>
    <w:rsid w:val="003F2B82"/>
    <w:rsid w:val="003F2BF8"/>
    <w:rsid w:val="003F2D09"/>
    <w:rsid w:val="003F2F4B"/>
    <w:rsid w:val="003F2FEE"/>
    <w:rsid w:val="003F3231"/>
    <w:rsid w:val="003F323F"/>
    <w:rsid w:val="003F3537"/>
    <w:rsid w:val="003F3622"/>
    <w:rsid w:val="003F37D2"/>
    <w:rsid w:val="003F3F22"/>
    <w:rsid w:val="003F3FA6"/>
    <w:rsid w:val="003F41E1"/>
    <w:rsid w:val="003F41F2"/>
    <w:rsid w:val="003F423B"/>
    <w:rsid w:val="003F4B59"/>
    <w:rsid w:val="003F5029"/>
    <w:rsid w:val="003F52D0"/>
    <w:rsid w:val="003F556D"/>
    <w:rsid w:val="003F55EB"/>
    <w:rsid w:val="003F5626"/>
    <w:rsid w:val="003F5759"/>
    <w:rsid w:val="003F5A2E"/>
    <w:rsid w:val="003F5AA3"/>
    <w:rsid w:val="003F5ABC"/>
    <w:rsid w:val="003F5D41"/>
    <w:rsid w:val="003F5DF3"/>
    <w:rsid w:val="003F5E6E"/>
    <w:rsid w:val="003F5E7E"/>
    <w:rsid w:val="003F61EB"/>
    <w:rsid w:val="003F6295"/>
    <w:rsid w:val="003F62B8"/>
    <w:rsid w:val="003F6350"/>
    <w:rsid w:val="003F6570"/>
    <w:rsid w:val="003F65ED"/>
    <w:rsid w:val="003F6B6C"/>
    <w:rsid w:val="003F6C9E"/>
    <w:rsid w:val="003F6CD5"/>
    <w:rsid w:val="003F7090"/>
    <w:rsid w:val="003F7360"/>
    <w:rsid w:val="003F792A"/>
    <w:rsid w:val="003F798A"/>
    <w:rsid w:val="003F7B4A"/>
    <w:rsid w:val="003F7C64"/>
    <w:rsid w:val="003F7F60"/>
    <w:rsid w:val="00400648"/>
    <w:rsid w:val="0040086B"/>
    <w:rsid w:val="0040091D"/>
    <w:rsid w:val="00400A1C"/>
    <w:rsid w:val="00400AA2"/>
    <w:rsid w:val="00400BE8"/>
    <w:rsid w:val="00400F66"/>
    <w:rsid w:val="0040101A"/>
    <w:rsid w:val="0040105E"/>
    <w:rsid w:val="00401206"/>
    <w:rsid w:val="0040135B"/>
    <w:rsid w:val="00401462"/>
    <w:rsid w:val="00401904"/>
    <w:rsid w:val="00401A3B"/>
    <w:rsid w:val="00401E3B"/>
    <w:rsid w:val="0040252B"/>
    <w:rsid w:val="004027F0"/>
    <w:rsid w:val="00402CC5"/>
    <w:rsid w:val="00402D55"/>
    <w:rsid w:val="00402EB1"/>
    <w:rsid w:val="00402F3E"/>
    <w:rsid w:val="00403118"/>
    <w:rsid w:val="0040328D"/>
    <w:rsid w:val="0040329B"/>
    <w:rsid w:val="00403341"/>
    <w:rsid w:val="0040385C"/>
    <w:rsid w:val="00403954"/>
    <w:rsid w:val="00403B1E"/>
    <w:rsid w:val="00403BD6"/>
    <w:rsid w:val="00403D3E"/>
    <w:rsid w:val="00403EB4"/>
    <w:rsid w:val="00403EF3"/>
    <w:rsid w:val="0040403C"/>
    <w:rsid w:val="004040A8"/>
    <w:rsid w:val="0040410A"/>
    <w:rsid w:val="00404169"/>
    <w:rsid w:val="0040431A"/>
    <w:rsid w:val="0040482E"/>
    <w:rsid w:val="00404A48"/>
    <w:rsid w:val="00404D05"/>
    <w:rsid w:val="00404DB3"/>
    <w:rsid w:val="00404E6B"/>
    <w:rsid w:val="00405152"/>
    <w:rsid w:val="004053E9"/>
    <w:rsid w:val="004055BB"/>
    <w:rsid w:val="00405619"/>
    <w:rsid w:val="004056A8"/>
    <w:rsid w:val="00405710"/>
    <w:rsid w:val="00405799"/>
    <w:rsid w:val="00405989"/>
    <w:rsid w:val="00405BD2"/>
    <w:rsid w:val="00405C77"/>
    <w:rsid w:val="00405E1D"/>
    <w:rsid w:val="00405F70"/>
    <w:rsid w:val="00405F74"/>
    <w:rsid w:val="004060D0"/>
    <w:rsid w:val="00406325"/>
    <w:rsid w:val="00406382"/>
    <w:rsid w:val="0040649E"/>
    <w:rsid w:val="004067B5"/>
    <w:rsid w:val="004067F3"/>
    <w:rsid w:val="00406A7F"/>
    <w:rsid w:val="00406C0C"/>
    <w:rsid w:val="00406F9B"/>
    <w:rsid w:val="00406FF3"/>
    <w:rsid w:val="00407457"/>
    <w:rsid w:val="00407576"/>
    <w:rsid w:val="004077CC"/>
    <w:rsid w:val="004077F7"/>
    <w:rsid w:val="00407993"/>
    <w:rsid w:val="00407D22"/>
    <w:rsid w:val="00407DEE"/>
    <w:rsid w:val="0041009A"/>
    <w:rsid w:val="004103FC"/>
    <w:rsid w:val="00410678"/>
    <w:rsid w:val="004106F2"/>
    <w:rsid w:val="00410984"/>
    <w:rsid w:val="00410D7B"/>
    <w:rsid w:val="00410DB9"/>
    <w:rsid w:val="00410E51"/>
    <w:rsid w:val="00410F8B"/>
    <w:rsid w:val="004110BE"/>
    <w:rsid w:val="004111FA"/>
    <w:rsid w:val="0041140E"/>
    <w:rsid w:val="00411475"/>
    <w:rsid w:val="00411562"/>
    <w:rsid w:val="0041158F"/>
    <w:rsid w:val="004115C9"/>
    <w:rsid w:val="00411776"/>
    <w:rsid w:val="00411814"/>
    <w:rsid w:val="00411824"/>
    <w:rsid w:val="00411A62"/>
    <w:rsid w:val="00411D80"/>
    <w:rsid w:val="00412098"/>
    <w:rsid w:val="0041235F"/>
    <w:rsid w:val="004125AE"/>
    <w:rsid w:val="004126D2"/>
    <w:rsid w:val="004128D8"/>
    <w:rsid w:val="004129B5"/>
    <w:rsid w:val="00412AFB"/>
    <w:rsid w:val="00412CB8"/>
    <w:rsid w:val="00412EF8"/>
    <w:rsid w:val="00412F04"/>
    <w:rsid w:val="00413075"/>
    <w:rsid w:val="004133FE"/>
    <w:rsid w:val="00413428"/>
    <w:rsid w:val="00413A20"/>
    <w:rsid w:val="00413CB9"/>
    <w:rsid w:val="00413E21"/>
    <w:rsid w:val="0041402E"/>
    <w:rsid w:val="00414180"/>
    <w:rsid w:val="004141CB"/>
    <w:rsid w:val="004141CF"/>
    <w:rsid w:val="004148D7"/>
    <w:rsid w:val="00414909"/>
    <w:rsid w:val="00414D6C"/>
    <w:rsid w:val="00415192"/>
    <w:rsid w:val="004151EB"/>
    <w:rsid w:val="00415296"/>
    <w:rsid w:val="00415383"/>
    <w:rsid w:val="004153C7"/>
    <w:rsid w:val="00415714"/>
    <w:rsid w:val="00415798"/>
    <w:rsid w:val="00415824"/>
    <w:rsid w:val="00415865"/>
    <w:rsid w:val="00415C6A"/>
    <w:rsid w:val="00415D6F"/>
    <w:rsid w:val="00415FB3"/>
    <w:rsid w:val="00415FC0"/>
    <w:rsid w:val="00416189"/>
    <w:rsid w:val="00416606"/>
    <w:rsid w:val="004167C3"/>
    <w:rsid w:val="0041684A"/>
    <w:rsid w:val="0041686D"/>
    <w:rsid w:val="00416916"/>
    <w:rsid w:val="004169A4"/>
    <w:rsid w:val="00416BC3"/>
    <w:rsid w:val="00416C75"/>
    <w:rsid w:val="00416D3A"/>
    <w:rsid w:val="00416F67"/>
    <w:rsid w:val="00416FE8"/>
    <w:rsid w:val="00416FFB"/>
    <w:rsid w:val="00417358"/>
    <w:rsid w:val="004176E6"/>
    <w:rsid w:val="004179B1"/>
    <w:rsid w:val="00417A73"/>
    <w:rsid w:val="00417ACD"/>
    <w:rsid w:val="00417B9F"/>
    <w:rsid w:val="00417BB1"/>
    <w:rsid w:val="00417DD3"/>
    <w:rsid w:val="004200D4"/>
    <w:rsid w:val="004201FA"/>
    <w:rsid w:val="00420338"/>
    <w:rsid w:val="0042057B"/>
    <w:rsid w:val="0042063C"/>
    <w:rsid w:val="004208E0"/>
    <w:rsid w:val="00420C7B"/>
    <w:rsid w:val="00420D94"/>
    <w:rsid w:val="00420E9F"/>
    <w:rsid w:val="00421778"/>
    <w:rsid w:val="004218BF"/>
    <w:rsid w:val="00421E26"/>
    <w:rsid w:val="00422157"/>
    <w:rsid w:val="00422184"/>
    <w:rsid w:val="00422397"/>
    <w:rsid w:val="0042256C"/>
    <w:rsid w:val="00422653"/>
    <w:rsid w:val="004228F0"/>
    <w:rsid w:val="00422C41"/>
    <w:rsid w:val="00423208"/>
    <w:rsid w:val="004232F9"/>
    <w:rsid w:val="00423521"/>
    <w:rsid w:val="00423527"/>
    <w:rsid w:val="00423619"/>
    <w:rsid w:val="004238E0"/>
    <w:rsid w:val="00423AF0"/>
    <w:rsid w:val="00423D3E"/>
    <w:rsid w:val="00423D97"/>
    <w:rsid w:val="00423DFB"/>
    <w:rsid w:val="00423F48"/>
    <w:rsid w:val="004240CE"/>
    <w:rsid w:val="00424225"/>
    <w:rsid w:val="00424596"/>
    <w:rsid w:val="00424946"/>
    <w:rsid w:val="00424968"/>
    <w:rsid w:val="00424A14"/>
    <w:rsid w:val="00424B3D"/>
    <w:rsid w:val="00424DF0"/>
    <w:rsid w:val="00424DFD"/>
    <w:rsid w:val="00425095"/>
    <w:rsid w:val="004250BB"/>
    <w:rsid w:val="00425596"/>
    <w:rsid w:val="00425700"/>
    <w:rsid w:val="00425AF0"/>
    <w:rsid w:val="00425B42"/>
    <w:rsid w:val="004260B8"/>
    <w:rsid w:val="004260FB"/>
    <w:rsid w:val="00426273"/>
    <w:rsid w:val="004263BD"/>
    <w:rsid w:val="00426412"/>
    <w:rsid w:val="00426441"/>
    <w:rsid w:val="004268FA"/>
    <w:rsid w:val="00426BBF"/>
    <w:rsid w:val="00426E5F"/>
    <w:rsid w:val="00427054"/>
    <w:rsid w:val="0042722A"/>
    <w:rsid w:val="00427355"/>
    <w:rsid w:val="00427487"/>
    <w:rsid w:val="004275E6"/>
    <w:rsid w:val="004276A6"/>
    <w:rsid w:val="00427917"/>
    <w:rsid w:val="004279D2"/>
    <w:rsid w:val="004279DF"/>
    <w:rsid w:val="00427A37"/>
    <w:rsid w:val="00427A5A"/>
    <w:rsid w:val="00427A9F"/>
    <w:rsid w:val="00430005"/>
    <w:rsid w:val="0043006D"/>
    <w:rsid w:val="004300AB"/>
    <w:rsid w:val="0043015A"/>
    <w:rsid w:val="004301E9"/>
    <w:rsid w:val="004302FB"/>
    <w:rsid w:val="00430377"/>
    <w:rsid w:val="00430471"/>
    <w:rsid w:val="0043055E"/>
    <w:rsid w:val="0043060E"/>
    <w:rsid w:val="00430688"/>
    <w:rsid w:val="00430A3D"/>
    <w:rsid w:val="00430A84"/>
    <w:rsid w:val="00430C17"/>
    <w:rsid w:val="0043106C"/>
    <w:rsid w:val="0043125F"/>
    <w:rsid w:val="00431322"/>
    <w:rsid w:val="0043132D"/>
    <w:rsid w:val="00431433"/>
    <w:rsid w:val="0043143C"/>
    <w:rsid w:val="004315EE"/>
    <w:rsid w:val="004316A1"/>
    <w:rsid w:val="004316AE"/>
    <w:rsid w:val="0043193B"/>
    <w:rsid w:val="00431ADA"/>
    <w:rsid w:val="00431C5E"/>
    <w:rsid w:val="00431CE2"/>
    <w:rsid w:val="00431F82"/>
    <w:rsid w:val="004321A4"/>
    <w:rsid w:val="00432245"/>
    <w:rsid w:val="0043260A"/>
    <w:rsid w:val="00432688"/>
    <w:rsid w:val="00432728"/>
    <w:rsid w:val="004328AD"/>
    <w:rsid w:val="00432D93"/>
    <w:rsid w:val="00432E92"/>
    <w:rsid w:val="00433079"/>
    <w:rsid w:val="00433401"/>
    <w:rsid w:val="0043365F"/>
    <w:rsid w:val="004338B8"/>
    <w:rsid w:val="00433961"/>
    <w:rsid w:val="00433AD3"/>
    <w:rsid w:val="00433D7E"/>
    <w:rsid w:val="00434027"/>
    <w:rsid w:val="0043436F"/>
    <w:rsid w:val="0043438C"/>
    <w:rsid w:val="004343B9"/>
    <w:rsid w:val="004343D6"/>
    <w:rsid w:val="004345E3"/>
    <w:rsid w:val="00434861"/>
    <w:rsid w:val="00434AD0"/>
    <w:rsid w:val="00434B16"/>
    <w:rsid w:val="00434B9D"/>
    <w:rsid w:val="00434C70"/>
    <w:rsid w:val="00434CCD"/>
    <w:rsid w:val="00434E82"/>
    <w:rsid w:val="00434E8B"/>
    <w:rsid w:val="00434ED6"/>
    <w:rsid w:val="00434F46"/>
    <w:rsid w:val="00434FC6"/>
    <w:rsid w:val="0043549A"/>
    <w:rsid w:val="00435597"/>
    <w:rsid w:val="004355EE"/>
    <w:rsid w:val="0043574F"/>
    <w:rsid w:val="0043580B"/>
    <w:rsid w:val="0043587B"/>
    <w:rsid w:val="00435FBC"/>
    <w:rsid w:val="00436182"/>
    <w:rsid w:val="00436318"/>
    <w:rsid w:val="00436437"/>
    <w:rsid w:val="0043655A"/>
    <w:rsid w:val="00436B01"/>
    <w:rsid w:val="00436B6E"/>
    <w:rsid w:val="00436BF6"/>
    <w:rsid w:val="00436D8A"/>
    <w:rsid w:val="00436DF5"/>
    <w:rsid w:val="00436E8D"/>
    <w:rsid w:val="0043706A"/>
    <w:rsid w:val="004372C9"/>
    <w:rsid w:val="0043736C"/>
    <w:rsid w:val="00437895"/>
    <w:rsid w:val="00437979"/>
    <w:rsid w:val="004379DD"/>
    <w:rsid w:val="004379EE"/>
    <w:rsid w:val="00437BC9"/>
    <w:rsid w:val="00437D9C"/>
    <w:rsid w:val="00437F2D"/>
    <w:rsid w:val="00440023"/>
    <w:rsid w:val="004402AB"/>
    <w:rsid w:val="0044063A"/>
    <w:rsid w:val="00440782"/>
    <w:rsid w:val="004408B8"/>
    <w:rsid w:val="00440A42"/>
    <w:rsid w:val="00440B90"/>
    <w:rsid w:val="00440BCA"/>
    <w:rsid w:val="004411C6"/>
    <w:rsid w:val="004412AD"/>
    <w:rsid w:val="0044150C"/>
    <w:rsid w:val="004416D4"/>
    <w:rsid w:val="004416FC"/>
    <w:rsid w:val="00441A05"/>
    <w:rsid w:val="00441FCB"/>
    <w:rsid w:val="00442280"/>
    <w:rsid w:val="0044239E"/>
    <w:rsid w:val="00442606"/>
    <w:rsid w:val="00442928"/>
    <w:rsid w:val="00442E1D"/>
    <w:rsid w:val="00442F37"/>
    <w:rsid w:val="00442F68"/>
    <w:rsid w:val="0044306F"/>
    <w:rsid w:val="00443342"/>
    <w:rsid w:val="004434A6"/>
    <w:rsid w:val="00443898"/>
    <w:rsid w:val="00443CAE"/>
    <w:rsid w:val="00443E12"/>
    <w:rsid w:val="004440AE"/>
    <w:rsid w:val="0044436B"/>
    <w:rsid w:val="004443EA"/>
    <w:rsid w:val="0044469D"/>
    <w:rsid w:val="00444A1D"/>
    <w:rsid w:val="00444BBA"/>
    <w:rsid w:val="00444BE2"/>
    <w:rsid w:val="00444C73"/>
    <w:rsid w:val="00444D09"/>
    <w:rsid w:val="00444D43"/>
    <w:rsid w:val="00445152"/>
    <w:rsid w:val="004454AB"/>
    <w:rsid w:val="00445683"/>
    <w:rsid w:val="004456B2"/>
    <w:rsid w:val="00445A72"/>
    <w:rsid w:val="00445D24"/>
    <w:rsid w:val="00445D65"/>
    <w:rsid w:val="00445DC2"/>
    <w:rsid w:val="00446184"/>
    <w:rsid w:val="00446200"/>
    <w:rsid w:val="00446322"/>
    <w:rsid w:val="0044641D"/>
    <w:rsid w:val="0044657D"/>
    <w:rsid w:val="004469D3"/>
    <w:rsid w:val="004469E6"/>
    <w:rsid w:val="00446A50"/>
    <w:rsid w:val="00446C21"/>
    <w:rsid w:val="00446D4D"/>
    <w:rsid w:val="00446DF3"/>
    <w:rsid w:val="00446E9E"/>
    <w:rsid w:val="00446F28"/>
    <w:rsid w:val="00447167"/>
    <w:rsid w:val="004478A1"/>
    <w:rsid w:val="004478CB"/>
    <w:rsid w:val="00447928"/>
    <w:rsid w:val="00447938"/>
    <w:rsid w:val="00447950"/>
    <w:rsid w:val="004479CC"/>
    <w:rsid w:val="004479EC"/>
    <w:rsid w:val="00447C17"/>
    <w:rsid w:val="00447D2A"/>
    <w:rsid w:val="00450073"/>
    <w:rsid w:val="004503B7"/>
    <w:rsid w:val="00450489"/>
    <w:rsid w:val="004509C8"/>
    <w:rsid w:val="00450CDD"/>
    <w:rsid w:val="00450DC6"/>
    <w:rsid w:val="0045102E"/>
    <w:rsid w:val="004511C9"/>
    <w:rsid w:val="00451757"/>
    <w:rsid w:val="00451967"/>
    <w:rsid w:val="00451B68"/>
    <w:rsid w:val="00451D9A"/>
    <w:rsid w:val="00451DF5"/>
    <w:rsid w:val="00451E5F"/>
    <w:rsid w:val="00452064"/>
    <w:rsid w:val="0045238E"/>
    <w:rsid w:val="0045243F"/>
    <w:rsid w:val="004528C3"/>
    <w:rsid w:val="00452AA5"/>
    <w:rsid w:val="00452BC1"/>
    <w:rsid w:val="00452CD5"/>
    <w:rsid w:val="00452DDB"/>
    <w:rsid w:val="00452F29"/>
    <w:rsid w:val="00453392"/>
    <w:rsid w:val="0045341C"/>
    <w:rsid w:val="00453617"/>
    <w:rsid w:val="00453A64"/>
    <w:rsid w:val="00453B5D"/>
    <w:rsid w:val="00453E1D"/>
    <w:rsid w:val="00453EA5"/>
    <w:rsid w:val="0045420E"/>
    <w:rsid w:val="00454575"/>
    <w:rsid w:val="0045469C"/>
    <w:rsid w:val="0045496E"/>
    <w:rsid w:val="00454C01"/>
    <w:rsid w:val="00454C75"/>
    <w:rsid w:val="00454D35"/>
    <w:rsid w:val="00454F2F"/>
    <w:rsid w:val="004550A8"/>
    <w:rsid w:val="00455485"/>
    <w:rsid w:val="00455515"/>
    <w:rsid w:val="004555B7"/>
    <w:rsid w:val="0045562F"/>
    <w:rsid w:val="00455857"/>
    <w:rsid w:val="00455EE4"/>
    <w:rsid w:val="00455F26"/>
    <w:rsid w:val="00455F34"/>
    <w:rsid w:val="00455FD9"/>
    <w:rsid w:val="0045606F"/>
    <w:rsid w:val="00456284"/>
    <w:rsid w:val="004562C6"/>
    <w:rsid w:val="0045643D"/>
    <w:rsid w:val="00456469"/>
    <w:rsid w:val="0045657C"/>
    <w:rsid w:val="004566A8"/>
    <w:rsid w:val="004566BB"/>
    <w:rsid w:val="00456E8B"/>
    <w:rsid w:val="00457473"/>
    <w:rsid w:val="004574A1"/>
    <w:rsid w:val="004575D9"/>
    <w:rsid w:val="0045776D"/>
    <w:rsid w:val="004578B8"/>
    <w:rsid w:val="004579E4"/>
    <w:rsid w:val="00457A0E"/>
    <w:rsid w:val="00457B31"/>
    <w:rsid w:val="00457B6E"/>
    <w:rsid w:val="00457CC2"/>
    <w:rsid w:val="00460167"/>
    <w:rsid w:val="004603CB"/>
    <w:rsid w:val="004604CB"/>
    <w:rsid w:val="004606D4"/>
    <w:rsid w:val="00460742"/>
    <w:rsid w:val="0046085A"/>
    <w:rsid w:val="004608F6"/>
    <w:rsid w:val="0046091A"/>
    <w:rsid w:val="00460A2E"/>
    <w:rsid w:val="00460C51"/>
    <w:rsid w:val="004611AA"/>
    <w:rsid w:val="004612EB"/>
    <w:rsid w:val="004613C9"/>
    <w:rsid w:val="004615A1"/>
    <w:rsid w:val="0046165B"/>
    <w:rsid w:val="00461676"/>
    <w:rsid w:val="004616D9"/>
    <w:rsid w:val="0046177B"/>
    <w:rsid w:val="004618F7"/>
    <w:rsid w:val="00461986"/>
    <w:rsid w:val="00461CFD"/>
    <w:rsid w:val="00461F96"/>
    <w:rsid w:val="004620EA"/>
    <w:rsid w:val="004620F8"/>
    <w:rsid w:val="0046214D"/>
    <w:rsid w:val="004621A4"/>
    <w:rsid w:val="004622D4"/>
    <w:rsid w:val="00462350"/>
    <w:rsid w:val="004623BD"/>
    <w:rsid w:val="0046266A"/>
    <w:rsid w:val="004626C6"/>
    <w:rsid w:val="00462787"/>
    <w:rsid w:val="0046289A"/>
    <w:rsid w:val="0046289D"/>
    <w:rsid w:val="00462993"/>
    <w:rsid w:val="00462AAE"/>
    <w:rsid w:val="00462E6B"/>
    <w:rsid w:val="00462F03"/>
    <w:rsid w:val="00462F24"/>
    <w:rsid w:val="004632F2"/>
    <w:rsid w:val="004633D8"/>
    <w:rsid w:val="00463576"/>
    <w:rsid w:val="004637B3"/>
    <w:rsid w:val="0046387E"/>
    <w:rsid w:val="004639DD"/>
    <w:rsid w:val="00463A7C"/>
    <w:rsid w:val="00463CE0"/>
    <w:rsid w:val="0046404A"/>
    <w:rsid w:val="004642BD"/>
    <w:rsid w:val="004643C3"/>
    <w:rsid w:val="004643E0"/>
    <w:rsid w:val="0046442B"/>
    <w:rsid w:val="004644D3"/>
    <w:rsid w:val="00464619"/>
    <w:rsid w:val="004647EF"/>
    <w:rsid w:val="0046480E"/>
    <w:rsid w:val="00464EF3"/>
    <w:rsid w:val="00464F76"/>
    <w:rsid w:val="00465064"/>
    <w:rsid w:val="004650AB"/>
    <w:rsid w:val="004650B6"/>
    <w:rsid w:val="00465170"/>
    <w:rsid w:val="00465173"/>
    <w:rsid w:val="00465411"/>
    <w:rsid w:val="00465484"/>
    <w:rsid w:val="004655EB"/>
    <w:rsid w:val="00465AB0"/>
    <w:rsid w:val="00465C21"/>
    <w:rsid w:val="00465CB7"/>
    <w:rsid w:val="00465D85"/>
    <w:rsid w:val="00465EE7"/>
    <w:rsid w:val="0046605E"/>
    <w:rsid w:val="00466153"/>
    <w:rsid w:val="004665D0"/>
    <w:rsid w:val="00466741"/>
    <w:rsid w:val="00466934"/>
    <w:rsid w:val="00466B20"/>
    <w:rsid w:val="00466B32"/>
    <w:rsid w:val="00466B42"/>
    <w:rsid w:val="00466C06"/>
    <w:rsid w:val="00466DE2"/>
    <w:rsid w:val="00466E51"/>
    <w:rsid w:val="00466E9A"/>
    <w:rsid w:val="0046725C"/>
    <w:rsid w:val="00467267"/>
    <w:rsid w:val="004672B2"/>
    <w:rsid w:val="00467497"/>
    <w:rsid w:val="00467711"/>
    <w:rsid w:val="0046777E"/>
    <w:rsid w:val="004677B4"/>
    <w:rsid w:val="004679AF"/>
    <w:rsid w:val="00467B30"/>
    <w:rsid w:val="00467C5E"/>
    <w:rsid w:val="00467C93"/>
    <w:rsid w:val="004702BD"/>
    <w:rsid w:val="004703A8"/>
    <w:rsid w:val="00470562"/>
    <w:rsid w:val="00470613"/>
    <w:rsid w:val="00470AE3"/>
    <w:rsid w:val="00470CAD"/>
    <w:rsid w:val="00470D0B"/>
    <w:rsid w:val="0047102F"/>
    <w:rsid w:val="00471325"/>
    <w:rsid w:val="0047161A"/>
    <w:rsid w:val="00471714"/>
    <w:rsid w:val="00471770"/>
    <w:rsid w:val="004719F3"/>
    <w:rsid w:val="00471C67"/>
    <w:rsid w:val="004720BA"/>
    <w:rsid w:val="004720E9"/>
    <w:rsid w:val="00472207"/>
    <w:rsid w:val="00472212"/>
    <w:rsid w:val="0047234C"/>
    <w:rsid w:val="00472360"/>
    <w:rsid w:val="004725F0"/>
    <w:rsid w:val="00472636"/>
    <w:rsid w:val="00472780"/>
    <w:rsid w:val="0047289B"/>
    <w:rsid w:val="00472A16"/>
    <w:rsid w:val="00472AE2"/>
    <w:rsid w:val="00472E49"/>
    <w:rsid w:val="00472E93"/>
    <w:rsid w:val="00473111"/>
    <w:rsid w:val="00473650"/>
    <w:rsid w:val="00473AAF"/>
    <w:rsid w:val="00473B93"/>
    <w:rsid w:val="00473C09"/>
    <w:rsid w:val="00473F03"/>
    <w:rsid w:val="00474907"/>
    <w:rsid w:val="00474A18"/>
    <w:rsid w:val="00474A91"/>
    <w:rsid w:val="00474EAD"/>
    <w:rsid w:val="0047554A"/>
    <w:rsid w:val="00475633"/>
    <w:rsid w:val="00475ADE"/>
    <w:rsid w:val="00475AE4"/>
    <w:rsid w:val="00475C0D"/>
    <w:rsid w:val="00475E5D"/>
    <w:rsid w:val="004760EF"/>
    <w:rsid w:val="004762FD"/>
    <w:rsid w:val="00476375"/>
    <w:rsid w:val="0047637F"/>
    <w:rsid w:val="004764B3"/>
    <w:rsid w:val="0047654E"/>
    <w:rsid w:val="004765F8"/>
    <w:rsid w:val="00476989"/>
    <w:rsid w:val="00476A44"/>
    <w:rsid w:val="00476BA3"/>
    <w:rsid w:val="00476C1B"/>
    <w:rsid w:val="00476D94"/>
    <w:rsid w:val="00477058"/>
    <w:rsid w:val="0047706C"/>
    <w:rsid w:val="00477118"/>
    <w:rsid w:val="0047744D"/>
    <w:rsid w:val="00477610"/>
    <w:rsid w:val="0047792F"/>
    <w:rsid w:val="00477976"/>
    <w:rsid w:val="00477B52"/>
    <w:rsid w:val="0048022E"/>
    <w:rsid w:val="00480618"/>
    <w:rsid w:val="0048062E"/>
    <w:rsid w:val="00480844"/>
    <w:rsid w:val="00480913"/>
    <w:rsid w:val="0048095D"/>
    <w:rsid w:val="00480987"/>
    <w:rsid w:val="00480CCA"/>
    <w:rsid w:val="00480DA1"/>
    <w:rsid w:val="00480DD8"/>
    <w:rsid w:val="0048105D"/>
    <w:rsid w:val="00481062"/>
    <w:rsid w:val="00481581"/>
    <w:rsid w:val="0048163B"/>
    <w:rsid w:val="00481787"/>
    <w:rsid w:val="004817FC"/>
    <w:rsid w:val="00481AF3"/>
    <w:rsid w:val="00481B33"/>
    <w:rsid w:val="00481CC5"/>
    <w:rsid w:val="00481E52"/>
    <w:rsid w:val="004820E4"/>
    <w:rsid w:val="0048219C"/>
    <w:rsid w:val="004821A1"/>
    <w:rsid w:val="004821F5"/>
    <w:rsid w:val="0048223A"/>
    <w:rsid w:val="00482240"/>
    <w:rsid w:val="00482258"/>
    <w:rsid w:val="0048245F"/>
    <w:rsid w:val="0048291F"/>
    <w:rsid w:val="00482A8D"/>
    <w:rsid w:val="00482BF0"/>
    <w:rsid w:val="00482C1B"/>
    <w:rsid w:val="00482C32"/>
    <w:rsid w:val="00482F79"/>
    <w:rsid w:val="00483225"/>
    <w:rsid w:val="00483335"/>
    <w:rsid w:val="00483356"/>
    <w:rsid w:val="004836AD"/>
    <w:rsid w:val="00483B8B"/>
    <w:rsid w:val="00483D4A"/>
    <w:rsid w:val="00483E73"/>
    <w:rsid w:val="004841A4"/>
    <w:rsid w:val="004845A4"/>
    <w:rsid w:val="00484681"/>
    <w:rsid w:val="00484858"/>
    <w:rsid w:val="004848B1"/>
    <w:rsid w:val="0048492F"/>
    <w:rsid w:val="00484991"/>
    <w:rsid w:val="00484CFD"/>
    <w:rsid w:val="00484DD0"/>
    <w:rsid w:val="00484F90"/>
    <w:rsid w:val="00484FAF"/>
    <w:rsid w:val="004850AB"/>
    <w:rsid w:val="004851A4"/>
    <w:rsid w:val="004851F7"/>
    <w:rsid w:val="00485444"/>
    <w:rsid w:val="00485497"/>
    <w:rsid w:val="004858B3"/>
    <w:rsid w:val="0048599B"/>
    <w:rsid w:val="00485A35"/>
    <w:rsid w:val="00485B3A"/>
    <w:rsid w:val="00485B6B"/>
    <w:rsid w:val="00485DB1"/>
    <w:rsid w:val="00485E0F"/>
    <w:rsid w:val="00485E92"/>
    <w:rsid w:val="00485FB7"/>
    <w:rsid w:val="004860B7"/>
    <w:rsid w:val="00486219"/>
    <w:rsid w:val="00486671"/>
    <w:rsid w:val="0048669A"/>
    <w:rsid w:val="004867AE"/>
    <w:rsid w:val="00486940"/>
    <w:rsid w:val="00486D48"/>
    <w:rsid w:val="00486EC0"/>
    <w:rsid w:val="00486F8E"/>
    <w:rsid w:val="004870AF"/>
    <w:rsid w:val="0048799E"/>
    <w:rsid w:val="00487A44"/>
    <w:rsid w:val="00487CB8"/>
    <w:rsid w:val="00487CEA"/>
    <w:rsid w:val="00487FFD"/>
    <w:rsid w:val="004902E7"/>
    <w:rsid w:val="004905A5"/>
    <w:rsid w:val="004907F6"/>
    <w:rsid w:val="0049089E"/>
    <w:rsid w:val="00490981"/>
    <w:rsid w:val="004909A1"/>
    <w:rsid w:val="00490AF8"/>
    <w:rsid w:val="00490B88"/>
    <w:rsid w:val="00490BDE"/>
    <w:rsid w:val="00490C9C"/>
    <w:rsid w:val="00491034"/>
    <w:rsid w:val="004912F5"/>
    <w:rsid w:val="004913A7"/>
    <w:rsid w:val="004914DD"/>
    <w:rsid w:val="004917E9"/>
    <w:rsid w:val="00491980"/>
    <w:rsid w:val="00491A99"/>
    <w:rsid w:val="00491BA8"/>
    <w:rsid w:val="00491E3B"/>
    <w:rsid w:val="00491FBD"/>
    <w:rsid w:val="00492172"/>
    <w:rsid w:val="0049217C"/>
    <w:rsid w:val="004924AB"/>
    <w:rsid w:val="004924C3"/>
    <w:rsid w:val="00492688"/>
    <w:rsid w:val="004928D4"/>
    <w:rsid w:val="00492B47"/>
    <w:rsid w:val="00493326"/>
    <w:rsid w:val="0049368C"/>
    <w:rsid w:val="004936C0"/>
    <w:rsid w:val="0049373E"/>
    <w:rsid w:val="00493DB4"/>
    <w:rsid w:val="00493E29"/>
    <w:rsid w:val="00493E5E"/>
    <w:rsid w:val="00493FFE"/>
    <w:rsid w:val="0049408E"/>
    <w:rsid w:val="004943AC"/>
    <w:rsid w:val="004946C1"/>
    <w:rsid w:val="0049479C"/>
    <w:rsid w:val="00494898"/>
    <w:rsid w:val="0049489D"/>
    <w:rsid w:val="00494E53"/>
    <w:rsid w:val="00494EB8"/>
    <w:rsid w:val="004951B7"/>
    <w:rsid w:val="00495395"/>
    <w:rsid w:val="0049540A"/>
    <w:rsid w:val="00495738"/>
    <w:rsid w:val="00495B63"/>
    <w:rsid w:val="00495C8E"/>
    <w:rsid w:val="00495F7F"/>
    <w:rsid w:val="00495FDE"/>
    <w:rsid w:val="004960AD"/>
    <w:rsid w:val="004960D6"/>
    <w:rsid w:val="004960DA"/>
    <w:rsid w:val="00496528"/>
    <w:rsid w:val="004966FE"/>
    <w:rsid w:val="00496773"/>
    <w:rsid w:val="00496ADD"/>
    <w:rsid w:val="00496BD3"/>
    <w:rsid w:val="0049703E"/>
    <w:rsid w:val="00497176"/>
    <w:rsid w:val="00497340"/>
    <w:rsid w:val="0049737A"/>
    <w:rsid w:val="0049762E"/>
    <w:rsid w:val="004976B8"/>
    <w:rsid w:val="004977B5"/>
    <w:rsid w:val="0049782D"/>
    <w:rsid w:val="004978A6"/>
    <w:rsid w:val="00497AD8"/>
    <w:rsid w:val="00497B2C"/>
    <w:rsid w:val="00497DC2"/>
    <w:rsid w:val="00497EA7"/>
    <w:rsid w:val="004A01CF"/>
    <w:rsid w:val="004A0218"/>
    <w:rsid w:val="004A022F"/>
    <w:rsid w:val="004A0366"/>
    <w:rsid w:val="004A03F5"/>
    <w:rsid w:val="004A04F4"/>
    <w:rsid w:val="004A051F"/>
    <w:rsid w:val="004A065C"/>
    <w:rsid w:val="004A0678"/>
    <w:rsid w:val="004A0E19"/>
    <w:rsid w:val="004A0E62"/>
    <w:rsid w:val="004A0E93"/>
    <w:rsid w:val="004A1015"/>
    <w:rsid w:val="004A11EE"/>
    <w:rsid w:val="004A11FF"/>
    <w:rsid w:val="004A129C"/>
    <w:rsid w:val="004A1685"/>
    <w:rsid w:val="004A18DA"/>
    <w:rsid w:val="004A1A95"/>
    <w:rsid w:val="004A1CD5"/>
    <w:rsid w:val="004A1D3B"/>
    <w:rsid w:val="004A1E80"/>
    <w:rsid w:val="004A2077"/>
    <w:rsid w:val="004A21FA"/>
    <w:rsid w:val="004A22FC"/>
    <w:rsid w:val="004A242B"/>
    <w:rsid w:val="004A258F"/>
    <w:rsid w:val="004A2838"/>
    <w:rsid w:val="004A28FD"/>
    <w:rsid w:val="004A2A3E"/>
    <w:rsid w:val="004A2D07"/>
    <w:rsid w:val="004A3115"/>
    <w:rsid w:val="004A3165"/>
    <w:rsid w:val="004A3258"/>
    <w:rsid w:val="004A334C"/>
    <w:rsid w:val="004A335E"/>
    <w:rsid w:val="004A355B"/>
    <w:rsid w:val="004A35FB"/>
    <w:rsid w:val="004A3658"/>
    <w:rsid w:val="004A3793"/>
    <w:rsid w:val="004A390E"/>
    <w:rsid w:val="004A3A1B"/>
    <w:rsid w:val="004A3CB2"/>
    <w:rsid w:val="004A3DFA"/>
    <w:rsid w:val="004A419B"/>
    <w:rsid w:val="004A4322"/>
    <w:rsid w:val="004A457C"/>
    <w:rsid w:val="004A470E"/>
    <w:rsid w:val="004A4C42"/>
    <w:rsid w:val="004A502D"/>
    <w:rsid w:val="004A51B5"/>
    <w:rsid w:val="004A5965"/>
    <w:rsid w:val="004A5A62"/>
    <w:rsid w:val="004A5B50"/>
    <w:rsid w:val="004A608C"/>
    <w:rsid w:val="004A6353"/>
    <w:rsid w:val="004A6530"/>
    <w:rsid w:val="004A657F"/>
    <w:rsid w:val="004A6587"/>
    <w:rsid w:val="004A66F2"/>
    <w:rsid w:val="004A6FBC"/>
    <w:rsid w:val="004A6FF1"/>
    <w:rsid w:val="004A7317"/>
    <w:rsid w:val="004A74C8"/>
    <w:rsid w:val="004A7515"/>
    <w:rsid w:val="004A75B0"/>
    <w:rsid w:val="004A75E3"/>
    <w:rsid w:val="004A76ED"/>
    <w:rsid w:val="004A7BD6"/>
    <w:rsid w:val="004B00ED"/>
    <w:rsid w:val="004B04C0"/>
    <w:rsid w:val="004B04C1"/>
    <w:rsid w:val="004B0689"/>
    <w:rsid w:val="004B0A96"/>
    <w:rsid w:val="004B0BBC"/>
    <w:rsid w:val="004B0EA7"/>
    <w:rsid w:val="004B0ECA"/>
    <w:rsid w:val="004B0F9A"/>
    <w:rsid w:val="004B0FB7"/>
    <w:rsid w:val="004B119E"/>
    <w:rsid w:val="004B11E9"/>
    <w:rsid w:val="004B1454"/>
    <w:rsid w:val="004B15FA"/>
    <w:rsid w:val="004B1739"/>
    <w:rsid w:val="004B17F9"/>
    <w:rsid w:val="004B1EE3"/>
    <w:rsid w:val="004B1FDD"/>
    <w:rsid w:val="004B2103"/>
    <w:rsid w:val="004B2150"/>
    <w:rsid w:val="004B21F1"/>
    <w:rsid w:val="004B2522"/>
    <w:rsid w:val="004B271C"/>
    <w:rsid w:val="004B2842"/>
    <w:rsid w:val="004B28BA"/>
    <w:rsid w:val="004B2B19"/>
    <w:rsid w:val="004B2B7D"/>
    <w:rsid w:val="004B2C1A"/>
    <w:rsid w:val="004B2F6E"/>
    <w:rsid w:val="004B3283"/>
    <w:rsid w:val="004B3360"/>
    <w:rsid w:val="004B33A2"/>
    <w:rsid w:val="004B351A"/>
    <w:rsid w:val="004B3593"/>
    <w:rsid w:val="004B36ED"/>
    <w:rsid w:val="004B39BA"/>
    <w:rsid w:val="004B3A60"/>
    <w:rsid w:val="004B3C94"/>
    <w:rsid w:val="004B3E4A"/>
    <w:rsid w:val="004B3F62"/>
    <w:rsid w:val="004B40A5"/>
    <w:rsid w:val="004B443D"/>
    <w:rsid w:val="004B45F0"/>
    <w:rsid w:val="004B4654"/>
    <w:rsid w:val="004B4797"/>
    <w:rsid w:val="004B47EB"/>
    <w:rsid w:val="004B49CC"/>
    <w:rsid w:val="004B4B45"/>
    <w:rsid w:val="004B4D5D"/>
    <w:rsid w:val="004B4ED1"/>
    <w:rsid w:val="004B5037"/>
    <w:rsid w:val="004B50C8"/>
    <w:rsid w:val="004B5305"/>
    <w:rsid w:val="004B5463"/>
    <w:rsid w:val="004B5569"/>
    <w:rsid w:val="004B5768"/>
    <w:rsid w:val="004B58D9"/>
    <w:rsid w:val="004B594E"/>
    <w:rsid w:val="004B5A58"/>
    <w:rsid w:val="004B5E87"/>
    <w:rsid w:val="004B5EBC"/>
    <w:rsid w:val="004B61E2"/>
    <w:rsid w:val="004B64D4"/>
    <w:rsid w:val="004B663B"/>
    <w:rsid w:val="004B66A2"/>
    <w:rsid w:val="004B66B3"/>
    <w:rsid w:val="004B671D"/>
    <w:rsid w:val="004B680D"/>
    <w:rsid w:val="004B6BEB"/>
    <w:rsid w:val="004B70D7"/>
    <w:rsid w:val="004B72B9"/>
    <w:rsid w:val="004B731E"/>
    <w:rsid w:val="004B7983"/>
    <w:rsid w:val="004B7996"/>
    <w:rsid w:val="004B7A09"/>
    <w:rsid w:val="004B7E1F"/>
    <w:rsid w:val="004B7F33"/>
    <w:rsid w:val="004C034D"/>
    <w:rsid w:val="004C0350"/>
    <w:rsid w:val="004C0455"/>
    <w:rsid w:val="004C0518"/>
    <w:rsid w:val="004C081A"/>
    <w:rsid w:val="004C0917"/>
    <w:rsid w:val="004C0978"/>
    <w:rsid w:val="004C0A30"/>
    <w:rsid w:val="004C0D25"/>
    <w:rsid w:val="004C0E55"/>
    <w:rsid w:val="004C0EF7"/>
    <w:rsid w:val="004C0F91"/>
    <w:rsid w:val="004C1376"/>
    <w:rsid w:val="004C179C"/>
    <w:rsid w:val="004C19C8"/>
    <w:rsid w:val="004C1B34"/>
    <w:rsid w:val="004C1B5D"/>
    <w:rsid w:val="004C1B62"/>
    <w:rsid w:val="004C1CA2"/>
    <w:rsid w:val="004C1E73"/>
    <w:rsid w:val="004C1EFE"/>
    <w:rsid w:val="004C1F1C"/>
    <w:rsid w:val="004C1FB1"/>
    <w:rsid w:val="004C2157"/>
    <w:rsid w:val="004C2200"/>
    <w:rsid w:val="004C22FE"/>
    <w:rsid w:val="004C251D"/>
    <w:rsid w:val="004C29DD"/>
    <w:rsid w:val="004C2F6C"/>
    <w:rsid w:val="004C3360"/>
    <w:rsid w:val="004C376C"/>
    <w:rsid w:val="004C396C"/>
    <w:rsid w:val="004C3BDD"/>
    <w:rsid w:val="004C3BE8"/>
    <w:rsid w:val="004C3D63"/>
    <w:rsid w:val="004C3E1D"/>
    <w:rsid w:val="004C3E72"/>
    <w:rsid w:val="004C3FB7"/>
    <w:rsid w:val="004C42DD"/>
    <w:rsid w:val="004C4610"/>
    <w:rsid w:val="004C4719"/>
    <w:rsid w:val="004C475C"/>
    <w:rsid w:val="004C4850"/>
    <w:rsid w:val="004C5379"/>
    <w:rsid w:val="004C5405"/>
    <w:rsid w:val="004C5453"/>
    <w:rsid w:val="004C548D"/>
    <w:rsid w:val="004C552E"/>
    <w:rsid w:val="004C582C"/>
    <w:rsid w:val="004C58E7"/>
    <w:rsid w:val="004C59DD"/>
    <w:rsid w:val="004C5F3A"/>
    <w:rsid w:val="004C65B3"/>
    <w:rsid w:val="004C676A"/>
    <w:rsid w:val="004C676D"/>
    <w:rsid w:val="004C6A3C"/>
    <w:rsid w:val="004C7A83"/>
    <w:rsid w:val="004C7B75"/>
    <w:rsid w:val="004C7DCE"/>
    <w:rsid w:val="004C7FD3"/>
    <w:rsid w:val="004C7FFE"/>
    <w:rsid w:val="004D0120"/>
    <w:rsid w:val="004D0141"/>
    <w:rsid w:val="004D03BD"/>
    <w:rsid w:val="004D04B8"/>
    <w:rsid w:val="004D069B"/>
    <w:rsid w:val="004D076B"/>
    <w:rsid w:val="004D0816"/>
    <w:rsid w:val="004D098E"/>
    <w:rsid w:val="004D0A1E"/>
    <w:rsid w:val="004D0A75"/>
    <w:rsid w:val="004D0AF9"/>
    <w:rsid w:val="004D0B98"/>
    <w:rsid w:val="004D0BA4"/>
    <w:rsid w:val="004D0BA5"/>
    <w:rsid w:val="004D0F87"/>
    <w:rsid w:val="004D0F8C"/>
    <w:rsid w:val="004D1158"/>
    <w:rsid w:val="004D116C"/>
    <w:rsid w:val="004D1210"/>
    <w:rsid w:val="004D15E0"/>
    <w:rsid w:val="004D15E8"/>
    <w:rsid w:val="004D16A1"/>
    <w:rsid w:val="004D18B1"/>
    <w:rsid w:val="004D1B08"/>
    <w:rsid w:val="004D1C85"/>
    <w:rsid w:val="004D1D1A"/>
    <w:rsid w:val="004D1F97"/>
    <w:rsid w:val="004D235A"/>
    <w:rsid w:val="004D248F"/>
    <w:rsid w:val="004D25DE"/>
    <w:rsid w:val="004D27D6"/>
    <w:rsid w:val="004D289D"/>
    <w:rsid w:val="004D29FB"/>
    <w:rsid w:val="004D2A23"/>
    <w:rsid w:val="004D2BF6"/>
    <w:rsid w:val="004D2E88"/>
    <w:rsid w:val="004D2FBF"/>
    <w:rsid w:val="004D3257"/>
    <w:rsid w:val="004D3314"/>
    <w:rsid w:val="004D3338"/>
    <w:rsid w:val="004D33AC"/>
    <w:rsid w:val="004D371B"/>
    <w:rsid w:val="004D3763"/>
    <w:rsid w:val="004D377C"/>
    <w:rsid w:val="004D37CB"/>
    <w:rsid w:val="004D3EAE"/>
    <w:rsid w:val="004D4005"/>
    <w:rsid w:val="004D41B9"/>
    <w:rsid w:val="004D445D"/>
    <w:rsid w:val="004D44CB"/>
    <w:rsid w:val="004D45B6"/>
    <w:rsid w:val="004D4600"/>
    <w:rsid w:val="004D47BC"/>
    <w:rsid w:val="004D48BB"/>
    <w:rsid w:val="004D4AC4"/>
    <w:rsid w:val="004D4E29"/>
    <w:rsid w:val="004D4F6B"/>
    <w:rsid w:val="004D5263"/>
    <w:rsid w:val="004D5325"/>
    <w:rsid w:val="004D53B7"/>
    <w:rsid w:val="004D5807"/>
    <w:rsid w:val="004D5DEE"/>
    <w:rsid w:val="004D5FE3"/>
    <w:rsid w:val="004D632C"/>
    <w:rsid w:val="004D64CF"/>
    <w:rsid w:val="004D662A"/>
    <w:rsid w:val="004D67DB"/>
    <w:rsid w:val="004D684E"/>
    <w:rsid w:val="004D6EA0"/>
    <w:rsid w:val="004D7110"/>
    <w:rsid w:val="004D7182"/>
    <w:rsid w:val="004D72A9"/>
    <w:rsid w:val="004D7404"/>
    <w:rsid w:val="004D7470"/>
    <w:rsid w:val="004D74D9"/>
    <w:rsid w:val="004D78DA"/>
    <w:rsid w:val="004D793D"/>
    <w:rsid w:val="004D7A55"/>
    <w:rsid w:val="004E0157"/>
    <w:rsid w:val="004E0A0E"/>
    <w:rsid w:val="004E0BAA"/>
    <w:rsid w:val="004E105A"/>
    <w:rsid w:val="004E1230"/>
    <w:rsid w:val="004E1518"/>
    <w:rsid w:val="004E16E1"/>
    <w:rsid w:val="004E196C"/>
    <w:rsid w:val="004E1A0A"/>
    <w:rsid w:val="004E2407"/>
    <w:rsid w:val="004E2571"/>
    <w:rsid w:val="004E25E8"/>
    <w:rsid w:val="004E26B9"/>
    <w:rsid w:val="004E272A"/>
    <w:rsid w:val="004E2745"/>
    <w:rsid w:val="004E276E"/>
    <w:rsid w:val="004E299C"/>
    <w:rsid w:val="004E29E5"/>
    <w:rsid w:val="004E2C73"/>
    <w:rsid w:val="004E2D13"/>
    <w:rsid w:val="004E2D8B"/>
    <w:rsid w:val="004E2F56"/>
    <w:rsid w:val="004E30FA"/>
    <w:rsid w:val="004E3110"/>
    <w:rsid w:val="004E3284"/>
    <w:rsid w:val="004E33C7"/>
    <w:rsid w:val="004E3400"/>
    <w:rsid w:val="004E3404"/>
    <w:rsid w:val="004E35EC"/>
    <w:rsid w:val="004E3730"/>
    <w:rsid w:val="004E3AB3"/>
    <w:rsid w:val="004E3CA0"/>
    <w:rsid w:val="004E3E80"/>
    <w:rsid w:val="004E3F60"/>
    <w:rsid w:val="004E436B"/>
    <w:rsid w:val="004E440C"/>
    <w:rsid w:val="004E4608"/>
    <w:rsid w:val="004E47C4"/>
    <w:rsid w:val="004E496F"/>
    <w:rsid w:val="004E49BC"/>
    <w:rsid w:val="004E4AFD"/>
    <w:rsid w:val="004E4CEA"/>
    <w:rsid w:val="004E4D4A"/>
    <w:rsid w:val="004E4E37"/>
    <w:rsid w:val="004E51F6"/>
    <w:rsid w:val="004E5422"/>
    <w:rsid w:val="004E5651"/>
    <w:rsid w:val="004E5AA5"/>
    <w:rsid w:val="004E5E05"/>
    <w:rsid w:val="004E5E7D"/>
    <w:rsid w:val="004E5E8A"/>
    <w:rsid w:val="004E6260"/>
    <w:rsid w:val="004E63BB"/>
    <w:rsid w:val="004E67F7"/>
    <w:rsid w:val="004E6A43"/>
    <w:rsid w:val="004E6AA7"/>
    <w:rsid w:val="004E6ADE"/>
    <w:rsid w:val="004E6BB9"/>
    <w:rsid w:val="004E6DBE"/>
    <w:rsid w:val="004E6EB2"/>
    <w:rsid w:val="004E6FF1"/>
    <w:rsid w:val="004E7252"/>
    <w:rsid w:val="004E72D1"/>
    <w:rsid w:val="004E73D0"/>
    <w:rsid w:val="004E7502"/>
    <w:rsid w:val="004E7546"/>
    <w:rsid w:val="004E75E0"/>
    <w:rsid w:val="004E762D"/>
    <w:rsid w:val="004E7718"/>
    <w:rsid w:val="004E78DF"/>
    <w:rsid w:val="004E79AE"/>
    <w:rsid w:val="004E7D6C"/>
    <w:rsid w:val="004E7FF1"/>
    <w:rsid w:val="004F003B"/>
    <w:rsid w:val="004F00CE"/>
    <w:rsid w:val="004F0200"/>
    <w:rsid w:val="004F0228"/>
    <w:rsid w:val="004F044B"/>
    <w:rsid w:val="004F0496"/>
    <w:rsid w:val="004F04E7"/>
    <w:rsid w:val="004F0674"/>
    <w:rsid w:val="004F08B8"/>
    <w:rsid w:val="004F0968"/>
    <w:rsid w:val="004F0D72"/>
    <w:rsid w:val="004F0DA7"/>
    <w:rsid w:val="004F1265"/>
    <w:rsid w:val="004F1387"/>
    <w:rsid w:val="004F14D1"/>
    <w:rsid w:val="004F1609"/>
    <w:rsid w:val="004F18C9"/>
    <w:rsid w:val="004F1A3C"/>
    <w:rsid w:val="004F1F3C"/>
    <w:rsid w:val="004F1F7D"/>
    <w:rsid w:val="004F2036"/>
    <w:rsid w:val="004F2234"/>
    <w:rsid w:val="004F235B"/>
    <w:rsid w:val="004F256F"/>
    <w:rsid w:val="004F2939"/>
    <w:rsid w:val="004F2A7D"/>
    <w:rsid w:val="004F2D7D"/>
    <w:rsid w:val="004F2FEB"/>
    <w:rsid w:val="004F31B2"/>
    <w:rsid w:val="004F34AF"/>
    <w:rsid w:val="004F3AA3"/>
    <w:rsid w:val="004F3ACE"/>
    <w:rsid w:val="004F3C81"/>
    <w:rsid w:val="004F3CCB"/>
    <w:rsid w:val="004F4482"/>
    <w:rsid w:val="004F462E"/>
    <w:rsid w:val="004F480C"/>
    <w:rsid w:val="004F4939"/>
    <w:rsid w:val="004F4A29"/>
    <w:rsid w:val="004F4C21"/>
    <w:rsid w:val="004F5076"/>
    <w:rsid w:val="004F5186"/>
    <w:rsid w:val="004F538D"/>
    <w:rsid w:val="004F54F6"/>
    <w:rsid w:val="004F58D9"/>
    <w:rsid w:val="004F58FB"/>
    <w:rsid w:val="004F5CC7"/>
    <w:rsid w:val="004F5D4A"/>
    <w:rsid w:val="004F6045"/>
    <w:rsid w:val="004F621B"/>
    <w:rsid w:val="004F6415"/>
    <w:rsid w:val="004F65B2"/>
    <w:rsid w:val="004F693A"/>
    <w:rsid w:val="004F6C2E"/>
    <w:rsid w:val="004F6DD3"/>
    <w:rsid w:val="004F6E72"/>
    <w:rsid w:val="004F7021"/>
    <w:rsid w:val="004F720A"/>
    <w:rsid w:val="004F725C"/>
    <w:rsid w:val="004F79AA"/>
    <w:rsid w:val="004F79F7"/>
    <w:rsid w:val="004F7A9A"/>
    <w:rsid w:val="004F7CB6"/>
    <w:rsid w:val="004F7F78"/>
    <w:rsid w:val="004F7FED"/>
    <w:rsid w:val="0050063A"/>
    <w:rsid w:val="0050080B"/>
    <w:rsid w:val="00500ACA"/>
    <w:rsid w:val="00500EF2"/>
    <w:rsid w:val="00500F9A"/>
    <w:rsid w:val="005018F9"/>
    <w:rsid w:val="0050192F"/>
    <w:rsid w:val="0050193A"/>
    <w:rsid w:val="00502172"/>
    <w:rsid w:val="00502265"/>
    <w:rsid w:val="00502344"/>
    <w:rsid w:val="00502395"/>
    <w:rsid w:val="00502510"/>
    <w:rsid w:val="00502652"/>
    <w:rsid w:val="00502660"/>
    <w:rsid w:val="00502738"/>
    <w:rsid w:val="005028CC"/>
    <w:rsid w:val="00502AC4"/>
    <w:rsid w:val="00502AF7"/>
    <w:rsid w:val="00502C7A"/>
    <w:rsid w:val="00502DB4"/>
    <w:rsid w:val="00502EEC"/>
    <w:rsid w:val="005032DD"/>
    <w:rsid w:val="00503313"/>
    <w:rsid w:val="0050341B"/>
    <w:rsid w:val="0050344B"/>
    <w:rsid w:val="0050347B"/>
    <w:rsid w:val="0050359B"/>
    <w:rsid w:val="00503610"/>
    <w:rsid w:val="00503ACC"/>
    <w:rsid w:val="00503B06"/>
    <w:rsid w:val="00503B3B"/>
    <w:rsid w:val="0050410B"/>
    <w:rsid w:val="00504134"/>
    <w:rsid w:val="005041E5"/>
    <w:rsid w:val="005046BE"/>
    <w:rsid w:val="005048B7"/>
    <w:rsid w:val="005048F3"/>
    <w:rsid w:val="00504968"/>
    <w:rsid w:val="0050497E"/>
    <w:rsid w:val="00504A9F"/>
    <w:rsid w:val="00504AD7"/>
    <w:rsid w:val="00504E75"/>
    <w:rsid w:val="0050542C"/>
    <w:rsid w:val="00505717"/>
    <w:rsid w:val="005057DD"/>
    <w:rsid w:val="005059C6"/>
    <w:rsid w:val="00505CDE"/>
    <w:rsid w:val="005061CA"/>
    <w:rsid w:val="005061FA"/>
    <w:rsid w:val="00506429"/>
    <w:rsid w:val="0050682F"/>
    <w:rsid w:val="00506B02"/>
    <w:rsid w:val="00506BB0"/>
    <w:rsid w:val="00506D90"/>
    <w:rsid w:val="00506E52"/>
    <w:rsid w:val="00506F24"/>
    <w:rsid w:val="005071FB"/>
    <w:rsid w:val="005072A2"/>
    <w:rsid w:val="005073C7"/>
    <w:rsid w:val="00507482"/>
    <w:rsid w:val="00507564"/>
    <w:rsid w:val="0050772F"/>
    <w:rsid w:val="00507B28"/>
    <w:rsid w:val="00507DCF"/>
    <w:rsid w:val="00507F76"/>
    <w:rsid w:val="00510322"/>
    <w:rsid w:val="005103F8"/>
    <w:rsid w:val="00510BEB"/>
    <w:rsid w:val="00510F84"/>
    <w:rsid w:val="00511444"/>
    <w:rsid w:val="005116D0"/>
    <w:rsid w:val="00511779"/>
    <w:rsid w:val="00511BBB"/>
    <w:rsid w:val="00511BE1"/>
    <w:rsid w:val="00511D1D"/>
    <w:rsid w:val="00512072"/>
    <w:rsid w:val="005122FD"/>
    <w:rsid w:val="0051240B"/>
    <w:rsid w:val="00512532"/>
    <w:rsid w:val="005125E9"/>
    <w:rsid w:val="00512775"/>
    <w:rsid w:val="005128F2"/>
    <w:rsid w:val="00512A01"/>
    <w:rsid w:val="00512EDD"/>
    <w:rsid w:val="005132C9"/>
    <w:rsid w:val="005133DB"/>
    <w:rsid w:val="005135B5"/>
    <w:rsid w:val="005136E8"/>
    <w:rsid w:val="005138D7"/>
    <w:rsid w:val="00513AD0"/>
    <w:rsid w:val="00513F8D"/>
    <w:rsid w:val="005140E1"/>
    <w:rsid w:val="005146E5"/>
    <w:rsid w:val="00514AD6"/>
    <w:rsid w:val="00514B33"/>
    <w:rsid w:val="00514BA2"/>
    <w:rsid w:val="00514CAA"/>
    <w:rsid w:val="00514D75"/>
    <w:rsid w:val="005150A8"/>
    <w:rsid w:val="00515248"/>
    <w:rsid w:val="0051539D"/>
    <w:rsid w:val="00515421"/>
    <w:rsid w:val="005154B5"/>
    <w:rsid w:val="0051558B"/>
    <w:rsid w:val="005158AF"/>
    <w:rsid w:val="00515AFD"/>
    <w:rsid w:val="00515B38"/>
    <w:rsid w:val="00515EDF"/>
    <w:rsid w:val="0051633A"/>
    <w:rsid w:val="00516515"/>
    <w:rsid w:val="0051651E"/>
    <w:rsid w:val="00516570"/>
    <w:rsid w:val="00516583"/>
    <w:rsid w:val="005165CE"/>
    <w:rsid w:val="005168EC"/>
    <w:rsid w:val="00516B2E"/>
    <w:rsid w:val="0051700D"/>
    <w:rsid w:val="00517035"/>
    <w:rsid w:val="00517357"/>
    <w:rsid w:val="00517508"/>
    <w:rsid w:val="0051751C"/>
    <w:rsid w:val="005176A8"/>
    <w:rsid w:val="00517B1D"/>
    <w:rsid w:val="00517D47"/>
    <w:rsid w:val="00517E0D"/>
    <w:rsid w:val="00517E3C"/>
    <w:rsid w:val="00517EBA"/>
    <w:rsid w:val="00517ED4"/>
    <w:rsid w:val="0052024D"/>
    <w:rsid w:val="00520264"/>
    <w:rsid w:val="00520279"/>
    <w:rsid w:val="0052035C"/>
    <w:rsid w:val="0052053C"/>
    <w:rsid w:val="00520A15"/>
    <w:rsid w:val="00520A8A"/>
    <w:rsid w:val="00520BBB"/>
    <w:rsid w:val="00520D03"/>
    <w:rsid w:val="00520D68"/>
    <w:rsid w:val="00520FCA"/>
    <w:rsid w:val="00520FDE"/>
    <w:rsid w:val="00521200"/>
    <w:rsid w:val="0052123B"/>
    <w:rsid w:val="005212DC"/>
    <w:rsid w:val="00521302"/>
    <w:rsid w:val="00521364"/>
    <w:rsid w:val="005214C4"/>
    <w:rsid w:val="005214E2"/>
    <w:rsid w:val="0052150B"/>
    <w:rsid w:val="0052169C"/>
    <w:rsid w:val="005218D8"/>
    <w:rsid w:val="00521A2A"/>
    <w:rsid w:val="00521C3B"/>
    <w:rsid w:val="00521C54"/>
    <w:rsid w:val="00521D9D"/>
    <w:rsid w:val="00521FBF"/>
    <w:rsid w:val="005224B0"/>
    <w:rsid w:val="0052257B"/>
    <w:rsid w:val="0052280A"/>
    <w:rsid w:val="00522B10"/>
    <w:rsid w:val="00522DF3"/>
    <w:rsid w:val="00522F97"/>
    <w:rsid w:val="005230F0"/>
    <w:rsid w:val="005230F1"/>
    <w:rsid w:val="0052339D"/>
    <w:rsid w:val="00523429"/>
    <w:rsid w:val="0052359D"/>
    <w:rsid w:val="0052365F"/>
    <w:rsid w:val="0052389F"/>
    <w:rsid w:val="00523B27"/>
    <w:rsid w:val="00523BD4"/>
    <w:rsid w:val="00523E97"/>
    <w:rsid w:val="005240CC"/>
    <w:rsid w:val="005242F1"/>
    <w:rsid w:val="00524358"/>
    <w:rsid w:val="005243EF"/>
    <w:rsid w:val="005244CE"/>
    <w:rsid w:val="005244FF"/>
    <w:rsid w:val="0052482D"/>
    <w:rsid w:val="00524A6A"/>
    <w:rsid w:val="00524E27"/>
    <w:rsid w:val="00524E7B"/>
    <w:rsid w:val="00524F9C"/>
    <w:rsid w:val="00525045"/>
    <w:rsid w:val="005257C0"/>
    <w:rsid w:val="005257F1"/>
    <w:rsid w:val="0052589B"/>
    <w:rsid w:val="00525A04"/>
    <w:rsid w:val="00525A38"/>
    <w:rsid w:val="00525D2A"/>
    <w:rsid w:val="00526696"/>
    <w:rsid w:val="00526707"/>
    <w:rsid w:val="0052696E"/>
    <w:rsid w:val="00526999"/>
    <w:rsid w:val="00526B9C"/>
    <w:rsid w:val="00526F22"/>
    <w:rsid w:val="00527187"/>
    <w:rsid w:val="005271F7"/>
    <w:rsid w:val="005272BC"/>
    <w:rsid w:val="005274CF"/>
    <w:rsid w:val="0052763E"/>
    <w:rsid w:val="005276E9"/>
    <w:rsid w:val="0052770E"/>
    <w:rsid w:val="00527719"/>
    <w:rsid w:val="00527770"/>
    <w:rsid w:val="00527852"/>
    <w:rsid w:val="005278FF"/>
    <w:rsid w:val="0052799E"/>
    <w:rsid w:val="005301A7"/>
    <w:rsid w:val="005301EB"/>
    <w:rsid w:val="005306E8"/>
    <w:rsid w:val="00530DDE"/>
    <w:rsid w:val="00530EBA"/>
    <w:rsid w:val="0053131B"/>
    <w:rsid w:val="0053138D"/>
    <w:rsid w:val="005315CF"/>
    <w:rsid w:val="00531938"/>
    <w:rsid w:val="00531991"/>
    <w:rsid w:val="00531A09"/>
    <w:rsid w:val="00531D6D"/>
    <w:rsid w:val="00531E86"/>
    <w:rsid w:val="00531E95"/>
    <w:rsid w:val="00531F02"/>
    <w:rsid w:val="005320D2"/>
    <w:rsid w:val="00532330"/>
    <w:rsid w:val="005323B8"/>
    <w:rsid w:val="00532622"/>
    <w:rsid w:val="0053280F"/>
    <w:rsid w:val="00532D92"/>
    <w:rsid w:val="00532DD2"/>
    <w:rsid w:val="00532EBB"/>
    <w:rsid w:val="00532F7F"/>
    <w:rsid w:val="005330AE"/>
    <w:rsid w:val="00533102"/>
    <w:rsid w:val="005335D9"/>
    <w:rsid w:val="0053373B"/>
    <w:rsid w:val="00533936"/>
    <w:rsid w:val="00533A75"/>
    <w:rsid w:val="00533DB4"/>
    <w:rsid w:val="00533F7D"/>
    <w:rsid w:val="00533FD3"/>
    <w:rsid w:val="005340BA"/>
    <w:rsid w:val="005341B1"/>
    <w:rsid w:val="00534764"/>
    <w:rsid w:val="00534BB8"/>
    <w:rsid w:val="00534C31"/>
    <w:rsid w:val="00534EA8"/>
    <w:rsid w:val="005350E5"/>
    <w:rsid w:val="005356AF"/>
    <w:rsid w:val="005357EE"/>
    <w:rsid w:val="00535CDD"/>
    <w:rsid w:val="00535E95"/>
    <w:rsid w:val="00536209"/>
    <w:rsid w:val="0053654C"/>
    <w:rsid w:val="005365D3"/>
    <w:rsid w:val="005367D3"/>
    <w:rsid w:val="00536A6D"/>
    <w:rsid w:val="00536E09"/>
    <w:rsid w:val="00536F8B"/>
    <w:rsid w:val="005375BC"/>
    <w:rsid w:val="00537842"/>
    <w:rsid w:val="00537A56"/>
    <w:rsid w:val="00537CE9"/>
    <w:rsid w:val="00540075"/>
    <w:rsid w:val="005404C4"/>
    <w:rsid w:val="00540502"/>
    <w:rsid w:val="0054063E"/>
    <w:rsid w:val="0054065B"/>
    <w:rsid w:val="00540701"/>
    <w:rsid w:val="00540781"/>
    <w:rsid w:val="00540873"/>
    <w:rsid w:val="00540A54"/>
    <w:rsid w:val="00540C4C"/>
    <w:rsid w:val="0054103A"/>
    <w:rsid w:val="00541347"/>
    <w:rsid w:val="00541441"/>
    <w:rsid w:val="00541448"/>
    <w:rsid w:val="00541543"/>
    <w:rsid w:val="0054157A"/>
    <w:rsid w:val="0054169A"/>
    <w:rsid w:val="0054185A"/>
    <w:rsid w:val="005419BA"/>
    <w:rsid w:val="00541CBE"/>
    <w:rsid w:val="00541D7F"/>
    <w:rsid w:val="00542001"/>
    <w:rsid w:val="00542131"/>
    <w:rsid w:val="0054216F"/>
    <w:rsid w:val="00542203"/>
    <w:rsid w:val="00542359"/>
    <w:rsid w:val="005423F5"/>
    <w:rsid w:val="00542699"/>
    <w:rsid w:val="005427CB"/>
    <w:rsid w:val="00542872"/>
    <w:rsid w:val="00542A77"/>
    <w:rsid w:val="00542CD8"/>
    <w:rsid w:val="0054313B"/>
    <w:rsid w:val="0054341A"/>
    <w:rsid w:val="00543464"/>
    <w:rsid w:val="005434A5"/>
    <w:rsid w:val="005435BE"/>
    <w:rsid w:val="00543761"/>
    <w:rsid w:val="00543773"/>
    <w:rsid w:val="00543D88"/>
    <w:rsid w:val="0054422C"/>
    <w:rsid w:val="005448AF"/>
    <w:rsid w:val="005448F5"/>
    <w:rsid w:val="0054542C"/>
    <w:rsid w:val="005457DC"/>
    <w:rsid w:val="005458C1"/>
    <w:rsid w:val="00545948"/>
    <w:rsid w:val="00545AC7"/>
    <w:rsid w:val="00545B4E"/>
    <w:rsid w:val="00545BC6"/>
    <w:rsid w:val="00545BC9"/>
    <w:rsid w:val="00545C16"/>
    <w:rsid w:val="00545C35"/>
    <w:rsid w:val="00545E6F"/>
    <w:rsid w:val="00545EDA"/>
    <w:rsid w:val="00545F6A"/>
    <w:rsid w:val="0054652C"/>
    <w:rsid w:val="00546533"/>
    <w:rsid w:val="00546876"/>
    <w:rsid w:val="0054694C"/>
    <w:rsid w:val="00546C23"/>
    <w:rsid w:val="00546E0C"/>
    <w:rsid w:val="00546E8C"/>
    <w:rsid w:val="00547074"/>
    <w:rsid w:val="00547191"/>
    <w:rsid w:val="0054724E"/>
    <w:rsid w:val="00547371"/>
    <w:rsid w:val="00547379"/>
    <w:rsid w:val="0054742C"/>
    <w:rsid w:val="00547448"/>
    <w:rsid w:val="00547615"/>
    <w:rsid w:val="00547841"/>
    <w:rsid w:val="0054786A"/>
    <w:rsid w:val="00547A90"/>
    <w:rsid w:val="00547B9E"/>
    <w:rsid w:val="005500F2"/>
    <w:rsid w:val="0055019B"/>
    <w:rsid w:val="00550632"/>
    <w:rsid w:val="00550B6C"/>
    <w:rsid w:val="00550CE5"/>
    <w:rsid w:val="00551074"/>
    <w:rsid w:val="00551255"/>
    <w:rsid w:val="00551375"/>
    <w:rsid w:val="00551461"/>
    <w:rsid w:val="00551799"/>
    <w:rsid w:val="00551A39"/>
    <w:rsid w:val="00551B89"/>
    <w:rsid w:val="00551BCF"/>
    <w:rsid w:val="00551C64"/>
    <w:rsid w:val="00551D49"/>
    <w:rsid w:val="00551DE1"/>
    <w:rsid w:val="00551F22"/>
    <w:rsid w:val="005521D3"/>
    <w:rsid w:val="00552210"/>
    <w:rsid w:val="0055223D"/>
    <w:rsid w:val="005524B5"/>
    <w:rsid w:val="0055270C"/>
    <w:rsid w:val="0055278E"/>
    <w:rsid w:val="005527C8"/>
    <w:rsid w:val="00552EC0"/>
    <w:rsid w:val="00552F07"/>
    <w:rsid w:val="005531D7"/>
    <w:rsid w:val="005538C6"/>
    <w:rsid w:val="00553BEE"/>
    <w:rsid w:val="00553D4C"/>
    <w:rsid w:val="00553E0D"/>
    <w:rsid w:val="00553F41"/>
    <w:rsid w:val="00553FDA"/>
    <w:rsid w:val="00553FDE"/>
    <w:rsid w:val="0055437E"/>
    <w:rsid w:val="0055477F"/>
    <w:rsid w:val="0055499C"/>
    <w:rsid w:val="00554EF7"/>
    <w:rsid w:val="00555187"/>
    <w:rsid w:val="005554D1"/>
    <w:rsid w:val="005559CC"/>
    <w:rsid w:val="005559F3"/>
    <w:rsid w:val="00555BBC"/>
    <w:rsid w:val="00555C7B"/>
    <w:rsid w:val="00555DCB"/>
    <w:rsid w:val="00555F7F"/>
    <w:rsid w:val="005560B9"/>
    <w:rsid w:val="0055630A"/>
    <w:rsid w:val="00556348"/>
    <w:rsid w:val="005563EC"/>
    <w:rsid w:val="0055643E"/>
    <w:rsid w:val="00556657"/>
    <w:rsid w:val="005568BF"/>
    <w:rsid w:val="005568F3"/>
    <w:rsid w:val="00556A92"/>
    <w:rsid w:val="00556DA8"/>
    <w:rsid w:val="0055700D"/>
    <w:rsid w:val="005570BE"/>
    <w:rsid w:val="00557237"/>
    <w:rsid w:val="005573BB"/>
    <w:rsid w:val="005574DC"/>
    <w:rsid w:val="005576E7"/>
    <w:rsid w:val="00557CAE"/>
    <w:rsid w:val="00560363"/>
    <w:rsid w:val="005605AD"/>
    <w:rsid w:val="00560650"/>
    <w:rsid w:val="00560733"/>
    <w:rsid w:val="00560795"/>
    <w:rsid w:val="00560C7F"/>
    <w:rsid w:val="00560E35"/>
    <w:rsid w:val="00560ECB"/>
    <w:rsid w:val="0056109A"/>
    <w:rsid w:val="005610C1"/>
    <w:rsid w:val="00561242"/>
    <w:rsid w:val="0056155C"/>
    <w:rsid w:val="005616CE"/>
    <w:rsid w:val="005616DD"/>
    <w:rsid w:val="00561A8C"/>
    <w:rsid w:val="00561AA7"/>
    <w:rsid w:val="00561BCF"/>
    <w:rsid w:val="00561EC2"/>
    <w:rsid w:val="005622CF"/>
    <w:rsid w:val="005622D4"/>
    <w:rsid w:val="005624D3"/>
    <w:rsid w:val="0056296C"/>
    <w:rsid w:val="00562C86"/>
    <w:rsid w:val="00563502"/>
    <w:rsid w:val="00563532"/>
    <w:rsid w:val="00563546"/>
    <w:rsid w:val="005635A2"/>
    <w:rsid w:val="00563769"/>
    <w:rsid w:val="0056379F"/>
    <w:rsid w:val="0056381E"/>
    <w:rsid w:val="0056385A"/>
    <w:rsid w:val="0056386E"/>
    <w:rsid w:val="00563C3A"/>
    <w:rsid w:val="00563F07"/>
    <w:rsid w:val="00563FD6"/>
    <w:rsid w:val="0056422B"/>
    <w:rsid w:val="0056432C"/>
    <w:rsid w:val="005645B9"/>
    <w:rsid w:val="005645D9"/>
    <w:rsid w:val="00564787"/>
    <w:rsid w:val="005648A7"/>
    <w:rsid w:val="005649CA"/>
    <w:rsid w:val="00564A31"/>
    <w:rsid w:val="00564D89"/>
    <w:rsid w:val="00564EEC"/>
    <w:rsid w:val="00564F9B"/>
    <w:rsid w:val="00564FF5"/>
    <w:rsid w:val="00565117"/>
    <w:rsid w:val="00565146"/>
    <w:rsid w:val="005654A2"/>
    <w:rsid w:val="0056565F"/>
    <w:rsid w:val="0056575F"/>
    <w:rsid w:val="0056583D"/>
    <w:rsid w:val="0056584A"/>
    <w:rsid w:val="00565D7E"/>
    <w:rsid w:val="0056613D"/>
    <w:rsid w:val="00566320"/>
    <w:rsid w:val="005666E9"/>
    <w:rsid w:val="005666FC"/>
    <w:rsid w:val="005669D7"/>
    <w:rsid w:val="0056714C"/>
    <w:rsid w:val="005671F1"/>
    <w:rsid w:val="00567219"/>
    <w:rsid w:val="005672BF"/>
    <w:rsid w:val="005672EE"/>
    <w:rsid w:val="00567819"/>
    <w:rsid w:val="00567BF9"/>
    <w:rsid w:val="00567CD5"/>
    <w:rsid w:val="00567F35"/>
    <w:rsid w:val="00570025"/>
    <w:rsid w:val="00570195"/>
    <w:rsid w:val="00570366"/>
    <w:rsid w:val="0057036E"/>
    <w:rsid w:val="00570599"/>
    <w:rsid w:val="00570675"/>
    <w:rsid w:val="0057074F"/>
    <w:rsid w:val="005708C5"/>
    <w:rsid w:val="00570929"/>
    <w:rsid w:val="00570A09"/>
    <w:rsid w:val="00570E81"/>
    <w:rsid w:val="00570F01"/>
    <w:rsid w:val="00570F91"/>
    <w:rsid w:val="00570FF5"/>
    <w:rsid w:val="00571419"/>
    <w:rsid w:val="00571664"/>
    <w:rsid w:val="00571754"/>
    <w:rsid w:val="00571781"/>
    <w:rsid w:val="00571785"/>
    <w:rsid w:val="00571798"/>
    <w:rsid w:val="005719CB"/>
    <w:rsid w:val="00571AF8"/>
    <w:rsid w:val="00571C4F"/>
    <w:rsid w:val="00571D0A"/>
    <w:rsid w:val="00571F13"/>
    <w:rsid w:val="00572359"/>
    <w:rsid w:val="0057244F"/>
    <w:rsid w:val="0057246B"/>
    <w:rsid w:val="005728C0"/>
    <w:rsid w:val="00572A0D"/>
    <w:rsid w:val="00572C65"/>
    <w:rsid w:val="00572E50"/>
    <w:rsid w:val="00572EDF"/>
    <w:rsid w:val="00573144"/>
    <w:rsid w:val="00573240"/>
    <w:rsid w:val="00573305"/>
    <w:rsid w:val="00573327"/>
    <w:rsid w:val="005733ED"/>
    <w:rsid w:val="00573536"/>
    <w:rsid w:val="005735E6"/>
    <w:rsid w:val="00573785"/>
    <w:rsid w:val="005738B1"/>
    <w:rsid w:val="00573AF3"/>
    <w:rsid w:val="00573CC0"/>
    <w:rsid w:val="00573CF9"/>
    <w:rsid w:val="00573D34"/>
    <w:rsid w:val="00573E23"/>
    <w:rsid w:val="00573F02"/>
    <w:rsid w:val="00573F6A"/>
    <w:rsid w:val="00574253"/>
    <w:rsid w:val="005745C3"/>
    <w:rsid w:val="005749DB"/>
    <w:rsid w:val="00574D20"/>
    <w:rsid w:val="00574EB4"/>
    <w:rsid w:val="00575008"/>
    <w:rsid w:val="00575166"/>
    <w:rsid w:val="005756DA"/>
    <w:rsid w:val="00575759"/>
    <w:rsid w:val="00575AFF"/>
    <w:rsid w:val="00575DDC"/>
    <w:rsid w:val="00575DE7"/>
    <w:rsid w:val="0057600A"/>
    <w:rsid w:val="00576175"/>
    <w:rsid w:val="00576239"/>
    <w:rsid w:val="005765F8"/>
    <w:rsid w:val="005766FA"/>
    <w:rsid w:val="005767D0"/>
    <w:rsid w:val="00576962"/>
    <w:rsid w:val="00576A22"/>
    <w:rsid w:val="00576E4A"/>
    <w:rsid w:val="005770E6"/>
    <w:rsid w:val="0057716E"/>
    <w:rsid w:val="0057729E"/>
    <w:rsid w:val="005773A0"/>
    <w:rsid w:val="00577485"/>
    <w:rsid w:val="0057751F"/>
    <w:rsid w:val="00577957"/>
    <w:rsid w:val="00577A6D"/>
    <w:rsid w:val="00577AEC"/>
    <w:rsid w:val="00577BB2"/>
    <w:rsid w:val="00577E1F"/>
    <w:rsid w:val="00577FF5"/>
    <w:rsid w:val="00580295"/>
    <w:rsid w:val="005805B8"/>
    <w:rsid w:val="005807B0"/>
    <w:rsid w:val="005808AD"/>
    <w:rsid w:val="00580EFA"/>
    <w:rsid w:val="005811DB"/>
    <w:rsid w:val="0058123C"/>
    <w:rsid w:val="00581268"/>
    <w:rsid w:val="00581358"/>
    <w:rsid w:val="00581373"/>
    <w:rsid w:val="0058147D"/>
    <w:rsid w:val="0058148C"/>
    <w:rsid w:val="005817F7"/>
    <w:rsid w:val="00581826"/>
    <w:rsid w:val="00581943"/>
    <w:rsid w:val="00581D04"/>
    <w:rsid w:val="005822D1"/>
    <w:rsid w:val="005823C4"/>
    <w:rsid w:val="005825C2"/>
    <w:rsid w:val="005825F9"/>
    <w:rsid w:val="0058271B"/>
    <w:rsid w:val="00582763"/>
    <w:rsid w:val="005827AF"/>
    <w:rsid w:val="005827C0"/>
    <w:rsid w:val="005827D8"/>
    <w:rsid w:val="005828B6"/>
    <w:rsid w:val="00582E49"/>
    <w:rsid w:val="00582E50"/>
    <w:rsid w:val="00582F0C"/>
    <w:rsid w:val="00582F9B"/>
    <w:rsid w:val="00583178"/>
    <w:rsid w:val="00583290"/>
    <w:rsid w:val="0058346B"/>
    <w:rsid w:val="0058350D"/>
    <w:rsid w:val="00583896"/>
    <w:rsid w:val="00583AFA"/>
    <w:rsid w:val="00583B1F"/>
    <w:rsid w:val="00583CD8"/>
    <w:rsid w:val="00583DAF"/>
    <w:rsid w:val="005840BE"/>
    <w:rsid w:val="00584266"/>
    <w:rsid w:val="00584454"/>
    <w:rsid w:val="005845E6"/>
    <w:rsid w:val="005847D4"/>
    <w:rsid w:val="005848CA"/>
    <w:rsid w:val="00584A79"/>
    <w:rsid w:val="00584B3D"/>
    <w:rsid w:val="00584B5E"/>
    <w:rsid w:val="00584BFC"/>
    <w:rsid w:val="00584C02"/>
    <w:rsid w:val="00584C5A"/>
    <w:rsid w:val="00584CA7"/>
    <w:rsid w:val="00584CEE"/>
    <w:rsid w:val="00585321"/>
    <w:rsid w:val="00585486"/>
    <w:rsid w:val="0058567C"/>
    <w:rsid w:val="0058567E"/>
    <w:rsid w:val="005856EC"/>
    <w:rsid w:val="0058596A"/>
    <w:rsid w:val="00585D07"/>
    <w:rsid w:val="00585D76"/>
    <w:rsid w:val="00585F4B"/>
    <w:rsid w:val="0058636D"/>
    <w:rsid w:val="00586762"/>
    <w:rsid w:val="005867A4"/>
    <w:rsid w:val="0058695E"/>
    <w:rsid w:val="005869D1"/>
    <w:rsid w:val="00586A36"/>
    <w:rsid w:val="00586A77"/>
    <w:rsid w:val="00586B14"/>
    <w:rsid w:val="00586BFE"/>
    <w:rsid w:val="00586CA1"/>
    <w:rsid w:val="00586CF0"/>
    <w:rsid w:val="00587026"/>
    <w:rsid w:val="005873AD"/>
    <w:rsid w:val="005874C3"/>
    <w:rsid w:val="0058777A"/>
    <w:rsid w:val="00587838"/>
    <w:rsid w:val="00587C21"/>
    <w:rsid w:val="00587CAE"/>
    <w:rsid w:val="00587CE6"/>
    <w:rsid w:val="00590271"/>
    <w:rsid w:val="005902AC"/>
    <w:rsid w:val="0059055E"/>
    <w:rsid w:val="005905AE"/>
    <w:rsid w:val="00590726"/>
    <w:rsid w:val="00590A0C"/>
    <w:rsid w:val="00590A2F"/>
    <w:rsid w:val="0059103F"/>
    <w:rsid w:val="005910E6"/>
    <w:rsid w:val="0059162B"/>
    <w:rsid w:val="00591730"/>
    <w:rsid w:val="0059185C"/>
    <w:rsid w:val="0059202F"/>
    <w:rsid w:val="00592082"/>
    <w:rsid w:val="005920FF"/>
    <w:rsid w:val="0059212E"/>
    <w:rsid w:val="00592182"/>
    <w:rsid w:val="00592232"/>
    <w:rsid w:val="00592387"/>
    <w:rsid w:val="00592897"/>
    <w:rsid w:val="005928FF"/>
    <w:rsid w:val="00592A05"/>
    <w:rsid w:val="00592AAF"/>
    <w:rsid w:val="00592CE5"/>
    <w:rsid w:val="00592D13"/>
    <w:rsid w:val="00593056"/>
    <w:rsid w:val="0059317D"/>
    <w:rsid w:val="00593369"/>
    <w:rsid w:val="0059353B"/>
    <w:rsid w:val="00593540"/>
    <w:rsid w:val="005936B3"/>
    <w:rsid w:val="005937F2"/>
    <w:rsid w:val="00593CFB"/>
    <w:rsid w:val="005941A0"/>
    <w:rsid w:val="005942FC"/>
    <w:rsid w:val="005945C9"/>
    <w:rsid w:val="005946D7"/>
    <w:rsid w:val="00594786"/>
    <w:rsid w:val="0059490D"/>
    <w:rsid w:val="005949C4"/>
    <w:rsid w:val="00594B3E"/>
    <w:rsid w:val="00594CCF"/>
    <w:rsid w:val="005950F4"/>
    <w:rsid w:val="00595298"/>
    <w:rsid w:val="00595351"/>
    <w:rsid w:val="00595370"/>
    <w:rsid w:val="00595558"/>
    <w:rsid w:val="00595B0B"/>
    <w:rsid w:val="00595C38"/>
    <w:rsid w:val="00595C9B"/>
    <w:rsid w:val="00595CFA"/>
    <w:rsid w:val="00595D5C"/>
    <w:rsid w:val="00595EF2"/>
    <w:rsid w:val="005960E8"/>
    <w:rsid w:val="0059610C"/>
    <w:rsid w:val="0059613B"/>
    <w:rsid w:val="005961F6"/>
    <w:rsid w:val="0059629A"/>
    <w:rsid w:val="00596983"/>
    <w:rsid w:val="0059698E"/>
    <w:rsid w:val="00596A19"/>
    <w:rsid w:val="00596FC8"/>
    <w:rsid w:val="005971A6"/>
    <w:rsid w:val="0059725D"/>
    <w:rsid w:val="005972B5"/>
    <w:rsid w:val="005973AC"/>
    <w:rsid w:val="005973B1"/>
    <w:rsid w:val="00597669"/>
    <w:rsid w:val="00597743"/>
    <w:rsid w:val="00597BA3"/>
    <w:rsid w:val="00597BDF"/>
    <w:rsid w:val="00597C7F"/>
    <w:rsid w:val="005A04F8"/>
    <w:rsid w:val="005A063B"/>
    <w:rsid w:val="005A0808"/>
    <w:rsid w:val="005A0C58"/>
    <w:rsid w:val="005A0CE1"/>
    <w:rsid w:val="005A101D"/>
    <w:rsid w:val="005A10A0"/>
    <w:rsid w:val="005A12B9"/>
    <w:rsid w:val="005A13BA"/>
    <w:rsid w:val="005A143B"/>
    <w:rsid w:val="005A14F9"/>
    <w:rsid w:val="005A17A8"/>
    <w:rsid w:val="005A183E"/>
    <w:rsid w:val="005A19DB"/>
    <w:rsid w:val="005A1A9A"/>
    <w:rsid w:val="005A1CD6"/>
    <w:rsid w:val="005A1D66"/>
    <w:rsid w:val="005A1FEB"/>
    <w:rsid w:val="005A20AA"/>
    <w:rsid w:val="005A241E"/>
    <w:rsid w:val="005A247B"/>
    <w:rsid w:val="005A24B5"/>
    <w:rsid w:val="005A24E2"/>
    <w:rsid w:val="005A2911"/>
    <w:rsid w:val="005A2A9E"/>
    <w:rsid w:val="005A2ACE"/>
    <w:rsid w:val="005A2AE1"/>
    <w:rsid w:val="005A2DA7"/>
    <w:rsid w:val="005A2E30"/>
    <w:rsid w:val="005A2E6E"/>
    <w:rsid w:val="005A3300"/>
    <w:rsid w:val="005A34FF"/>
    <w:rsid w:val="005A362B"/>
    <w:rsid w:val="005A38FF"/>
    <w:rsid w:val="005A39B0"/>
    <w:rsid w:val="005A3A73"/>
    <w:rsid w:val="005A3BC7"/>
    <w:rsid w:val="005A3BD1"/>
    <w:rsid w:val="005A3D49"/>
    <w:rsid w:val="005A3E3D"/>
    <w:rsid w:val="005A3E8C"/>
    <w:rsid w:val="005A4217"/>
    <w:rsid w:val="005A46AC"/>
    <w:rsid w:val="005A4725"/>
    <w:rsid w:val="005A475E"/>
    <w:rsid w:val="005A47D1"/>
    <w:rsid w:val="005A4976"/>
    <w:rsid w:val="005A4A86"/>
    <w:rsid w:val="005A4ACA"/>
    <w:rsid w:val="005A4EFD"/>
    <w:rsid w:val="005A54B4"/>
    <w:rsid w:val="005A573C"/>
    <w:rsid w:val="005A5874"/>
    <w:rsid w:val="005A591B"/>
    <w:rsid w:val="005A5ABB"/>
    <w:rsid w:val="005A5ACD"/>
    <w:rsid w:val="005A5D5D"/>
    <w:rsid w:val="005A5D93"/>
    <w:rsid w:val="005A5DE3"/>
    <w:rsid w:val="005A5F18"/>
    <w:rsid w:val="005A62D1"/>
    <w:rsid w:val="005A63F1"/>
    <w:rsid w:val="005A6774"/>
    <w:rsid w:val="005A68AD"/>
    <w:rsid w:val="005A69E7"/>
    <w:rsid w:val="005A6C08"/>
    <w:rsid w:val="005A7029"/>
    <w:rsid w:val="005A71D6"/>
    <w:rsid w:val="005A720E"/>
    <w:rsid w:val="005A722F"/>
    <w:rsid w:val="005A7272"/>
    <w:rsid w:val="005A7491"/>
    <w:rsid w:val="005A74A7"/>
    <w:rsid w:val="005A77AE"/>
    <w:rsid w:val="005B0011"/>
    <w:rsid w:val="005B003B"/>
    <w:rsid w:val="005B00A0"/>
    <w:rsid w:val="005B0152"/>
    <w:rsid w:val="005B0378"/>
    <w:rsid w:val="005B04A3"/>
    <w:rsid w:val="005B0AFA"/>
    <w:rsid w:val="005B0C8C"/>
    <w:rsid w:val="005B0D00"/>
    <w:rsid w:val="005B0DE3"/>
    <w:rsid w:val="005B103A"/>
    <w:rsid w:val="005B106C"/>
    <w:rsid w:val="005B1313"/>
    <w:rsid w:val="005B13CF"/>
    <w:rsid w:val="005B15AD"/>
    <w:rsid w:val="005B180D"/>
    <w:rsid w:val="005B1848"/>
    <w:rsid w:val="005B1AF3"/>
    <w:rsid w:val="005B22C6"/>
    <w:rsid w:val="005B2338"/>
    <w:rsid w:val="005B2493"/>
    <w:rsid w:val="005B2578"/>
    <w:rsid w:val="005B25EC"/>
    <w:rsid w:val="005B2607"/>
    <w:rsid w:val="005B284B"/>
    <w:rsid w:val="005B2932"/>
    <w:rsid w:val="005B29A0"/>
    <w:rsid w:val="005B2ABB"/>
    <w:rsid w:val="005B31D5"/>
    <w:rsid w:val="005B32F9"/>
    <w:rsid w:val="005B34CE"/>
    <w:rsid w:val="005B35C4"/>
    <w:rsid w:val="005B3652"/>
    <w:rsid w:val="005B368A"/>
    <w:rsid w:val="005B3712"/>
    <w:rsid w:val="005B3A56"/>
    <w:rsid w:val="005B3A8B"/>
    <w:rsid w:val="005B3E0D"/>
    <w:rsid w:val="005B4011"/>
    <w:rsid w:val="005B4101"/>
    <w:rsid w:val="005B41C0"/>
    <w:rsid w:val="005B4350"/>
    <w:rsid w:val="005B441D"/>
    <w:rsid w:val="005B455F"/>
    <w:rsid w:val="005B46B4"/>
    <w:rsid w:val="005B46C0"/>
    <w:rsid w:val="005B46CD"/>
    <w:rsid w:val="005B4814"/>
    <w:rsid w:val="005B4999"/>
    <w:rsid w:val="005B4A69"/>
    <w:rsid w:val="005B4C2A"/>
    <w:rsid w:val="005B4DA5"/>
    <w:rsid w:val="005B50E3"/>
    <w:rsid w:val="005B5442"/>
    <w:rsid w:val="005B5947"/>
    <w:rsid w:val="005B596F"/>
    <w:rsid w:val="005B5B46"/>
    <w:rsid w:val="005B5B47"/>
    <w:rsid w:val="005B5CD3"/>
    <w:rsid w:val="005B5D62"/>
    <w:rsid w:val="005B5E0F"/>
    <w:rsid w:val="005B6665"/>
    <w:rsid w:val="005B681A"/>
    <w:rsid w:val="005B6B20"/>
    <w:rsid w:val="005B6C92"/>
    <w:rsid w:val="005B6EA4"/>
    <w:rsid w:val="005B6EBA"/>
    <w:rsid w:val="005B6F8D"/>
    <w:rsid w:val="005B7290"/>
    <w:rsid w:val="005B74B1"/>
    <w:rsid w:val="005B7C59"/>
    <w:rsid w:val="005B7C5B"/>
    <w:rsid w:val="005B7EE1"/>
    <w:rsid w:val="005B7F65"/>
    <w:rsid w:val="005C0021"/>
    <w:rsid w:val="005C0327"/>
    <w:rsid w:val="005C0442"/>
    <w:rsid w:val="005C04BD"/>
    <w:rsid w:val="005C055B"/>
    <w:rsid w:val="005C057B"/>
    <w:rsid w:val="005C0636"/>
    <w:rsid w:val="005C065D"/>
    <w:rsid w:val="005C08D5"/>
    <w:rsid w:val="005C0A04"/>
    <w:rsid w:val="005C0B2B"/>
    <w:rsid w:val="005C0FE7"/>
    <w:rsid w:val="005C100C"/>
    <w:rsid w:val="005C124B"/>
    <w:rsid w:val="005C126A"/>
    <w:rsid w:val="005C13ED"/>
    <w:rsid w:val="005C1507"/>
    <w:rsid w:val="005C17FA"/>
    <w:rsid w:val="005C180D"/>
    <w:rsid w:val="005C191B"/>
    <w:rsid w:val="005C1964"/>
    <w:rsid w:val="005C1A88"/>
    <w:rsid w:val="005C1C9F"/>
    <w:rsid w:val="005C1D37"/>
    <w:rsid w:val="005C1D9B"/>
    <w:rsid w:val="005C1F03"/>
    <w:rsid w:val="005C2120"/>
    <w:rsid w:val="005C2516"/>
    <w:rsid w:val="005C2AF5"/>
    <w:rsid w:val="005C2B1C"/>
    <w:rsid w:val="005C2C26"/>
    <w:rsid w:val="005C2E8D"/>
    <w:rsid w:val="005C2ED6"/>
    <w:rsid w:val="005C31E3"/>
    <w:rsid w:val="005C3237"/>
    <w:rsid w:val="005C3577"/>
    <w:rsid w:val="005C36B2"/>
    <w:rsid w:val="005C36E8"/>
    <w:rsid w:val="005C37C3"/>
    <w:rsid w:val="005C3C48"/>
    <w:rsid w:val="005C3CA4"/>
    <w:rsid w:val="005C3D70"/>
    <w:rsid w:val="005C4134"/>
    <w:rsid w:val="005C45E7"/>
    <w:rsid w:val="005C47A0"/>
    <w:rsid w:val="005C482B"/>
    <w:rsid w:val="005C4858"/>
    <w:rsid w:val="005C4866"/>
    <w:rsid w:val="005C4A31"/>
    <w:rsid w:val="005C4A49"/>
    <w:rsid w:val="005C4B21"/>
    <w:rsid w:val="005C4CAC"/>
    <w:rsid w:val="005C4CAF"/>
    <w:rsid w:val="005C4EA5"/>
    <w:rsid w:val="005C4F66"/>
    <w:rsid w:val="005C4F8C"/>
    <w:rsid w:val="005C51C7"/>
    <w:rsid w:val="005C5338"/>
    <w:rsid w:val="005C53E5"/>
    <w:rsid w:val="005C5846"/>
    <w:rsid w:val="005C59B7"/>
    <w:rsid w:val="005C5A48"/>
    <w:rsid w:val="005C5A61"/>
    <w:rsid w:val="005C5D5D"/>
    <w:rsid w:val="005C5F8B"/>
    <w:rsid w:val="005C61D6"/>
    <w:rsid w:val="005C662D"/>
    <w:rsid w:val="005C6811"/>
    <w:rsid w:val="005C68F1"/>
    <w:rsid w:val="005C6F2F"/>
    <w:rsid w:val="005C7185"/>
    <w:rsid w:val="005C752F"/>
    <w:rsid w:val="005C79A0"/>
    <w:rsid w:val="005C7AD6"/>
    <w:rsid w:val="005C7C13"/>
    <w:rsid w:val="005C7C78"/>
    <w:rsid w:val="005C7D50"/>
    <w:rsid w:val="005C7D81"/>
    <w:rsid w:val="005C7DD5"/>
    <w:rsid w:val="005C7E42"/>
    <w:rsid w:val="005C7EC6"/>
    <w:rsid w:val="005D0033"/>
    <w:rsid w:val="005D00BE"/>
    <w:rsid w:val="005D0278"/>
    <w:rsid w:val="005D04CB"/>
    <w:rsid w:val="005D04DD"/>
    <w:rsid w:val="005D067A"/>
    <w:rsid w:val="005D09CA"/>
    <w:rsid w:val="005D0AF3"/>
    <w:rsid w:val="005D0CA4"/>
    <w:rsid w:val="005D0D1B"/>
    <w:rsid w:val="005D160D"/>
    <w:rsid w:val="005D18C8"/>
    <w:rsid w:val="005D18E8"/>
    <w:rsid w:val="005D1931"/>
    <w:rsid w:val="005D1A07"/>
    <w:rsid w:val="005D1AAC"/>
    <w:rsid w:val="005D1BA6"/>
    <w:rsid w:val="005D22B8"/>
    <w:rsid w:val="005D265B"/>
    <w:rsid w:val="005D267C"/>
    <w:rsid w:val="005D26B2"/>
    <w:rsid w:val="005D277B"/>
    <w:rsid w:val="005D2AE9"/>
    <w:rsid w:val="005D2B5D"/>
    <w:rsid w:val="005D2CCE"/>
    <w:rsid w:val="005D2EBA"/>
    <w:rsid w:val="005D2F9A"/>
    <w:rsid w:val="005D30FC"/>
    <w:rsid w:val="005D31D0"/>
    <w:rsid w:val="005D3234"/>
    <w:rsid w:val="005D350C"/>
    <w:rsid w:val="005D3724"/>
    <w:rsid w:val="005D3887"/>
    <w:rsid w:val="005D3AF6"/>
    <w:rsid w:val="005D3E8C"/>
    <w:rsid w:val="005D46A2"/>
    <w:rsid w:val="005D49C4"/>
    <w:rsid w:val="005D4A05"/>
    <w:rsid w:val="005D4B79"/>
    <w:rsid w:val="005D4BC4"/>
    <w:rsid w:val="005D4BFE"/>
    <w:rsid w:val="005D4D4C"/>
    <w:rsid w:val="005D52C3"/>
    <w:rsid w:val="005D5311"/>
    <w:rsid w:val="005D5376"/>
    <w:rsid w:val="005D537A"/>
    <w:rsid w:val="005D5463"/>
    <w:rsid w:val="005D5501"/>
    <w:rsid w:val="005D5723"/>
    <w:rsid w:val="005D5C33"/>
    <w:rsid w:val="005D5CBD"/>
    <w:rsid w:val="005D6209"/>
    <w:rsid w:val="005D6305"/>
    <w:rsid w:val="005D637A"/>
    <w:rsid w:val="005D6397"/>
    <w:rsid w:val="005D6595"/>
    <w:rsid w:val="005D6980"/>
    <w:rsid w:val="005D6AD1"/>
    <w:rsid w:val="005D6E4D"/>
    <w:rsid w:val="005D6FB6"/>
    <w:rsid w:val="005D7162"/>
    <w:rsid w:val="005D72D9"/>
    <w:rsid w:val="005D75CA"/>
    <w:rsid w:val="005D75FC"/>
    <w:rsid w:val="005D776E"/>
    <w:rsid w:val="005D7863"/>
    <w:rsid w:val="005D78A9"/>
    <w:rsid w:val="005D7998"/>
    <w:rsid w:val="005D7A08"/>
    <w:rsid w:val="005D7C1F"/>
    <w:rsid w:val="005D7FDF"/>
    <w:rsid w:val="005E0127"/>
    <w:rsid w:val="005E03A0"/>
    <w:rsid w:val="005E050B"/>
    <w:rsid w:val="005E06E9"/>
    <w:rsid w:val="005E079A"/>
    <w:rsid w:val="005E0831"/>
    <w:rsid w:val="005E0D67"/>
    <w:rsid w:val="005E0FDF"/>
    <w:rsid w:val="005E10F4"/>
    <w:rsid w:val="005E1B67"/>
    <w:rsid w:val="005E1BD4"/>
    <w:rsid w:val="005E1EE0"/>
    <w:rsid w:val="005E1F9E"/>
    <w:rsid w:val="005E205F"/>
    <w:rsid w:val="005E20DF"/>
    <w:rsid w:val="005E2180"/>
    <w:rsid w:val="005E21CB"/>
    <w:rsid w:val="005E232F"/>
    <w:rsid w:val="005E2393"/>
    <w:rsid w:val="005E2419"/>
    <w:rsid w:val="005E241A"/>
    <w:rsid w:val="005E265D"/>
    <w:rsid w:val="005E2842"/>
    <w:rsid w:val="005E2A6C"/>
    <w:rsid w:val="005E2BB2"/>
    <w:rsid w:val="005E2DD1"/>
    <w:rsid w:val="005E2F8F"/>
    <w:rsid w:val="005E3129"/>
    <w:rsid w:val="005E32E7"/>
    <w:rsid w:val="005E33CD"/>
    <w:rsid w:val="005E396F"/>
    <w:rsid w:val="005E39CB"/>
    <w:rsid w:val="005E3C0A"/>
    <w:rsid w:val="005E4489"/>
    <w:rsid w:val="005E44BA"/>
    <w:rsid w:val="005E4619"/>
    <w:rsid w:val="005E4628"/>
    <w:rsid w:val="005E4A05"/>
    <w:rsid w:val="005E4AC2"/>
    <w:rsid w:val="005E4C3C"/>
    <w:rsid w:val="005E4CF1"/>
    <w:rsid w:val="005E4D9F"/>
    <w:rsid w:val="005E4EC8"/>
    <w:rsid w:val="005E52B7"/>
    <w:rsid w:val="005E5463"/>
    <w:rsid w:val="005E5555"/>
    <w:rsid w:val="005E572F"/>
    <w:rsid w:val="005E5AD3"/>
    <w:rsid w:val="005E5BCE"/>
    <w:rsid w:val="005E6019"/>
    <w:rsid w:val="005E61A2"/>
    <w:rsid w:val="005E626A"/>
    <w:rsid w:val="005E64BF"/>
    <w:rsid w:val="005E6510"/>
    <w:rsid w:val="005E6742"/>
    <w:rsid w:val="005E6AD2"/>
    <w:rsid w:val="005E6BF0"/>
    <w:rsid w:val="005E6D97"/>
    <w:rsid w:val="005E713E"/>
    <w:rsid w:val="005E72A5"/>
    <w:rsid w:val="005E75CF"/>
    <w:rsid w:val="005E7618"/>
    <w:rsid w:val="005E784E"/>
    <w:rsid w:val="005E79AE"/>
    <w:rsid w:val="005E7B24"/>
    <w:rsid w:val="005E7BDF"/>
    <w:rsid w:val="005E7BFF"/>
    <w:rsid w:val="005E7D1F"/>
    <w:rsid w:val="005E7E2F"/>
    <w:rsid w:val="005F0270"/>
    <w:rsid w:val="005F031C"/>
    <w:rsid w:val="005F03C6"/>
    <w:rsid w:val="005F061F"/>
    <w:rsid w:val="005F0678"/>
    <w:rsid w:val="005F0789"/>
    <w:rsid w:val="005F09FC"/>
    <w:rsid w:val="005F0A48"/>
    <w:rsid w:val="005F0DB6"/>
    <w:rsid w:val="005F0E18"/>
    <w:rsid w:val="005F1082"/>
    <w:rsid w:val="005F116F"/>
    <w:rsid w:val="005F1243"/>
    <w:rsid w:val="005F133C"/>
    <w:rsid w:val="005F14BF"/>
    <w:rsid w:val="005F16B6"/>
    <w:rsid w:val="005F1713"/>
    <w:rsid w:val="005F1822"/>
    <w:rsid w:val="005F195A"/>
    <w:rsid w:val="005F19FA"/>
    <w:rsid w:val="005F1AF7"/>
    <w:rsid w:val="005F1B7D"/>
    <w:rsid w:val="005F200F"/>
    <w:rsid w:val="005F2433"/>
    <w:rsid w:val="005F29B3"/>
    <w:rsid w:val="005F2BEE"/>
    <w:rsid w:val="005F2CAC"/>
    <w:rsid w:val="005F2FC0"/>
    <w:rsid w:val="005F2FF6"/>
    <w:rsid w:val="005F3060"/>
    <w:rsid w:val="005F3063"/>
    <w:rsid w:val="005F335A"/>
    <w:rsid w:val="005F336B"/>
    <w:rsid w:val="005F347D"/>
    <w:rsid w:val="005F3490"/>
    <w:rsid w:val="005F385C"/>
    <w:rsid w:val="005F3AE0"/>
    <w:rsid w:val="005F3B7D"/>
    <w:rsid w:val="005F3EB9"/>
    <w:rsid w:val="005F401E"/>
    <w:rsid w:val="005F40D6"/>
    <w:rsid w:val="005F4207"/>
    <w:rsid w:val="005F43DA"/>
    <w:rsid w:val="005F44DC"/>
    <w:rsid w:val="005F486E"/>
    <w:rsid w:val="005F4889"/>
    <w:rsid w:val="005F4944"/>
    <w:rsid w:val="005F4A1D"/>
    <w:rsid w:val="005F539B"/>
    <w:rsid w:val="005F53D1"/>
    <w:rsid w:val="005F5711"/>
    <w:rsid w:val="005F59E8"/>
    <w:rsid w:val="005F5B79"/>
    <w:rsid w:val="005F5C64"/>
    <w:rsid w:val="005F6437"/>
    <w:rsid w:val="005F648A"/>
    <w:rsid w:val="005F65CD"/>
    <w:rsid w:val="005F683B"/>
    <w:rsid w:val="005F69B0"/>
    <w:rsid w:val="005F6A18"/>
    <w:rsid w:val="005F6E51"/>
    <w:rsid w:val="005F7258"/>
    <w:rsid w:val="005F76C4"/>
    <w:rsid w:val="005F7941"/>
    <w:rsid w:val="005F7B0E"/>
    <w:rsid w:val="005F7C01"/>
    <w:rsid w:val="005F7CD2"/>
    <w:rsid w:val="005F7D63"/>
    <w:rsid w:val="005F7DA2"/>
    <w:rsid w:val="005F7E47"/>
    <w:rsid w:val="0060009B"/>
    <w:rsid w:val="006005E1"/>
    <w:rsid w:val="00600CE1"/>
    <w:rsid w:val="00600D70"/>
    <w:rsid w:val="00600F62"/>
    <w:rsid w:val="00601156"/>
    <w:rsid w:val="006012B6"/>
    <w:rsid w:val="006012F5"/>
    <w:rsid w:val="0060147C"/>
    <w:rsid w:val="00601889"/>
    <w:rsid w:val="00601D37"/>
    <w:rsid w:val="0060261D"/>
    <w:rsid w:val="0060273F"/>
    <w:rsid w:val="00602905"/>
    <w:rsid w:val="006029E9"/>
    <w:rsid w:val="00602E7C"/>
    <w:rsid w:val="00602F4B"/>
    <w:rsid w:val="006031F0"/>
    <w:rsid w:val="0060333A"/>
    <w:rsid w:val="006035EE"/>
    <w:rsid w:val="006036D1"/>
    <w:rsid w:val="00603792"/>
    <w:rsid w:val="00603932"/>
    <w:rsid w:val="00603D16"/>
    <w:rsid w:val="00604144"/>
    <w:rsid w:val="006042FF"/>
    <w:rsid w:val="0060453D"/>
    <w:rsid w:val="00604765"/>
    <w:rsid w:val="00604788"/>
    <w:rsid w:val="00604A2A"/>
    <w:rsid w:val="00604A2C"/>
    <w:rsid w:val="00604A56"/>
    <w:rsid w:val="00604C6C"/>
    <w:rsid w:val="00604C96"/>
    <w:rsid w:val="00604CF5"/>
    <w:rsid w:val="00604D82"/>
    <w:rsid w:val="00604DBE"/>
    <w:rsid w:val="00604F08"/>
    <w:rsid w:val="0060502A"/>
    <w:rsid w:val="006050AC"/>
    <w:rsid w:val="00605292"/>
    <w:rsid w:val="00605532"/>
    <w:rsid w:val="00605B82"/>
    <w:rsid w:val="00605DA1"/>
    <w:rsid w:val="00606380"/>
    <w:rsid w:val="006064FD"/>
    <w:rsid w:val="006069B6"/>
    <w:rsid w:val="006069D5"/>
    <w:rsid w:val="00606A22"/>
    <w:rsid w:val="00606AC7"/>
    <w:rsid w:val="00606AE5"/>
    <w:rsid w:val="00606B0E"/>
    <w:rsid w:val="00606C81"/>
    <w:rsid w:val="00606EBA"/>
    <w:rsid w:val="00606F38"/>
    <w:rsid w:val="00607197"/>
    <w:rsid w:val="00607686"/>
    <w:rsid w:val="00607929"/>
    <w:rsid w:val="006079AE"/>
    <w:rsid w:val="0061013B"/>
    <w:rsid w:val="00610262"/>
    <w:rsid w:val="00610357"/>
    <w:rsid w:val="0061070D"/>
    <w:rsid w:val="00610A4E"/>
    <w:rsid w:val="00610B9F"/>
    <w:rsid w:val="00610E0E"/>
    <w:rsid w:val="00610E89"/>
    <w:rsid w:val="00611025"/>
    <w:rsid w:val="00611048"/>
    <w:rsid w:val="006110C0"/>
    <w:rsid w:val="006113DD"/>
    <w:rsid w:val="006116EC"/>
    <w:rsid w:val="0061176E"/>
    <w:rsid w:val="00611B48"/>
    <w:rsid w:val="00611B59"/>
    <w:rsid w:val="0061238F"/>
    <w:rsid w:val="00612634"/>
    <w:rsid w:val="00612653"/>
    <w:rsid w:val="00612736"/>
    <w:rsid w:val="0061293E"/>
    <w:rsid w:val="00612992"/>
    <w:rsid w:val="00613050"/>
    <w:rsid w:val="0061310E"/>
    <w:rsid w:val="006132A5"/>
    <w:rsid w:val="006132EB"/>
    <w:rsid w:val="006133BC"/>
    <w:rsid w:val="00613E41"/>
    <w:rsid w:val="0061415F"/>
    <w:rsid w:val="00614248"/>
    <w:rsid w:val="00614361"/>
    <w:rsid w:val="00614364"/>
    <w:rsid w:val="006145A2"/>
    <w:rsid w:val="00614A19"/>
    <w:rsid w:val="00614D4F"/>
    <w:rsid w:val="00614F7B"/>
    <w:rsid w:val="00615086"/>
    <w:rsid w:val="006151DA"/>
    <w:rsid w:val="00615401"/>
    <w:rsid w:val="0061565D"/>
    <w:rsid w:val="006157BB"/>
    <w:rsid w:val="006158A5"/>
    <w:rsid w:val="00615CA7"/>
    <w:rsid w:val="00615D0B"/>
    <w:rsid w:val="00615D2B"/>
    <w:rsid w:val="00615EF4"/>
    <w:rsid w:val="00616051"/>
    <w:rsid w:val="006160B6"/>
    <w:rsid w:val="0061612A"/>
    <w:rsid w:val="0061615D"/>
    <w:rsid w:val="006162F8"/>
    <w:rsid w:val="006166E1"/>
    <w:rsid w:val="006166F1"/>
    <w:rsid w:val="0061676C"/>
    <w:rsid w:val="006167B1"/>
    <w:rsid w:val="00616A47"/>
    <w:rsid w:val="00616A7D"/>
    <w:rsid w:val="00616BC4"/>
    <w:rsid w:val="00616D69"/>
    <w:rsid w:val="00616E15"/>
    <w:rsid w:val="00616EF1"/>
    <w:rsid w:val="00616F44"/>
    <w:rsid w:val="00616F4B"/>
    <w:rsid w:val="00616F54"/>
    <w:rsid w:val="006171F7"/>
    <w:rsid w:val="00617643"/>
    <w:rsid w:val="00617A5D"/>
    <w:rsid w:val="00617D47"/>
    <w:rsid w:val="00620151"/>
    <w:rsid w:val="00620272"/>
    <w:rsid w:val="0062032D"/>
    <w:rsid w:val="00620CE2"/>
    <w:rsid w:val="00620E55"/>
    <w:rsid w:val="00620E95"/>
    <w:rsid w:val="00620F20"/>
    <w:rsid w:val="006210DB"/>
    <w:rsid w:val="0062111F"/>
    <w:rsid w:val="00621265"/>
    <w:rsid w:val="00621557"/>
    <w:rsid w:val="0062156B"/>
    <w:rsid w:val="006215D4"/>
    <w:rsid w:val="006216D7"/>
    <w:rsid w:val="006218F8"/>
    <w:rsid w:val="00621932"/>
    <w:rsid w:val="006219B5"/>
    <w:rsid w:val="00621B0A"/>
    <w:rsid w:val="00621C83"/>
    <w:rsid w:val="00621CF3"/>
    <w:rsid w:val="00621E72"/>
    <w:rsid w:val="00621F50"/>
    <w:rsid w:val="00622170"/>
    <w:rsid w:val="0062222A"/>
    <w:rsid w:val="0062234F"/>
    <w:rsid w:val="006223D5"/>
    <w:rsid w:val="00622700"/>
    <w:rsid w:val="00622AE5"/>
    <w:rsid w:val="00622B76"/>
    <w:rsid w:val="00622D6A"/>
    <w:rsid w:val="00622D9A"/>
    <w:rsid w:val="00622ED6"/>
    <w:rsid w:val="0062324C"/>
    <w:rsid w:val="0062324D"/>
    <w:rsid w:val="006238BF"/>
    <w:rsid w:val="006239DA"/>
    <w:rsid w:val="00623BA5"/>
    <w:rsid w:val="00623CC1"/>
    <w:rsid w:val="006240B7"/>
    <w:rsid w:val="006241BB"/>
    <w:rsid w:val="00624389"/>
    <w:rsid w:val="006243F9"/>
    <w:rsid w:val="0062451F"/>
    <w:rsid w:val="00624B31"/>
    <w:rsid w:val="00624BCD"/>
    <w:rsid w:val="00624D4D"/>
    <w:rsid w:val="00624E6D"/>
    <w:rsid w:val="00625081"/>
    <w:rsid w:val="006252B4"/>
    <w:rsid w:val="0062533F"/>
    <w:rsid w:val="0062545B"/>
    <w:rsid w:val="00625677"/>
    <w:rsid w:val="006257DF"/>
    <w:rsid w:val="00625C1B"/>
    <w:rsid w:val="00625EBA"/>
    <w:rsid w:val="00625F95"/>
    <w:rsid w:val="00625F98"/>
    <w:rsid w:val="0062617A"/>
    <w:rsid w:val="006261B8"/>
    <w:rsid w:val="006261C5"/>
    <w:rsid w:val="006261C6"/>
    <w:rsid w:val="00626245"/>
    <w:rsid w:val="00626255"/>
    <w:rsid w:val="00626337"/>
    <w:rsid w:val="0062639D"/>
    <w:rsid w:val="0062653C"/>
    <w:rsid w:val="006266BC"/>
    <w:rsid w:val="006266F8"/>
    <w:rsid w:val="00626771"/>
    <w:rsid w:val="00626975"/>
    <w:rsid w:val="006269CE"/>
    <w:rsid w:val="00626AC0"/>
    <w:rsid w:val="00626BD9"/>
    <w:rsid w:val="00626D23"/>
    <w:rsid w:val="00626E94"/>
    <w:rsid w:val="00626F29"/>
    <w:rsid w:val="00627894"/>
    <w:rsid w:val="00627929"/>
    <w:rsid w:val="00627A3C"/>
    <w:rsid w:val="00627B7A"/>
    <w:rsid w:val="00627E15"/>
    <w:rsid w:val="00627FDE"/>
    <w:rsid w:val="0063022C"/>
    <w:rsid w:val="006302E1"/>
    <w:rsid w:val="00630507"/>
    <w:rsid w:val="006305E6"/>
    <w:rsid w:val="0063075B"/>
    <w:rsid w:val="0063076A"/>
    <w:rsid w:val="006307EC"/>
    <w:rsid w:val="00630976"/>
    <w:rsid w:val="0063097F"/>
    <w:rsid w:val="00630992"/>
    <w:rsid w:val="00630DBE"/>
    <w:rsid w:val="0063109A"/>
    <w:rsid w:val="00631219"/>
    <w:rsid w:val="006312BA"/>
    <w:rsid w:val="0063131A"/>
    <w:rsid w:val="0063161A"/>
    <w:rsid w:val="00631631"/>
    <w:rsid w:val="00631973"/>
    <w:rsid w:val="00631994"/>
    <w:rsid w:val="006319D9"/>
    <w:rsid w:val="00631A03"/>
    <w:rsid w:val="00631D38"/>
    <w:rsid w:val="00631E0F"/>
    <w:rsid w:val="0063225B"/>
    <w:rsid w:val="006322CE"/>
    <w:rsid w:val="00632437"/>
    <w:rsid w:val="006327BE"/>
    <w:rsid w:val="0063280E"/>
    <w:rsid w:val="006328BE"/>
    <w:rsid w:val="006329B6"/>
    <w:rsid w:val="00632B9B"/>
    <w:rsid w:val="00632C8B"/>
    <w:rsid w:val="00632CC9"/>
    <w:rsid w:val="00632F18"/>
    <w:rsid w:val="0063316D"/>
    <w:rsid w:val="0063325E"/>
    <w:rsid w:val="00633625"/>
    <w:rsid w:val="00633641"/>
    <w:rsid w:val="00633955"/>
    <w:rsid w:val="006339E9"/>
    <w:rsid w:val="00633BD2"/>
    <w:rsid w:val="00633FA3"/>
    <w:rsid w:val="0063452B"/>
    <w:rsid w:val="0063460A"/>
    <w:rsid w:val="0063471F"/>
    <w:rsid w:val="00634760"/>
    <w:rsid w:val="006347A2"/>
    <w:rsid w:val="006348ED"/>
    <w:rsid w:val="00634A03"/>
    <w:rsid w:val="00634BC8"/>
    <w:rsid w:val="00634BE4"/>
    <w:rsid w:val="00634D28"/>
    <w:rsid w:val="00635334"/>
    <w:rsid w:val="006354FD"/>
    <w:rsid w:val="00635773"/>
    <w:rsid w:val="006357B6"/>
    <w:rsid w:val="00635B45"/>
    <w:rsid w:val="00635BA3"/>
    <w:rsid w:val="00635CE7"/>
    <w:rsid w:val="00635F2E"/>
    <w:rsid w:val="00635FD6"/>
    <w:rsid w:val="00636118"/>
    <w:rsid w:val="006361C8"/>
    <w:rsid w:val="006363D0"/>
    <w:rsid w:val="0063651A"/>
    <w:rsid w:val="00636722"/>
    <w:rsid w:val="00636A8B"/>
    <w:rsid w:val="00636B20"/>
    <w:rsid w:val="00636C3A"/>
    <w:rsid w:val="00636D88"/>
    <w:rsid w:val="00636E1A"/>
    <w:rsid w:val="00636E7D"/>
    <w:rsid w:val="00636F6A"/>
    <w:rsid w:val="0063791C"/>
    <w:rsid w:val="00637A6E"/>
    <w:rsid w:val="00637BAC"/>
    <w:rsid w:val="00637BD0"/>
    <w:rsid w:val="00637BD6"/>
    <w:rsid w:val="00637C08"/>
    <w:rsid w:val="00637D49"/>
    <w:rsid w:val="00637EEA"/>
    <w:rsid w:val="00637F20"/>
    <w:rsid w:val="00640065"/>
    <w:rsid w:val="0064025C"/>
    <w:rsid w:val="00640371"/>
    <w:rsid w:val="0064059B"/>
    <w:rsid w:val="00640895"/>
    <w:rsid w:val="006409B4"/>
    <w:rsid w:val="00640AB5"/>
    <w:rsid w:val="00640E98"/>
    <w:rsid w:val="00640F69"/>
    <w:rsid w:val="0064139E"/>
    <w:rsid w:val="00641554"/>
    <w:rsid w:val="006415FD"/>
    <w:rsid w:val="006417D2"/>
    <w:rsid w:val="00641AC5"/>
    <w:rsid w:val="00641BDA"/>
    <w:rsid w:val="00641E7A"/>
    <w:rsid w:val="00641F6D"/>
    <w:rsid w:val="00641FF9"/>
    <w:rsid w:val="00642DCB"/>
    <w:rsid w:val="00642E0F"/>
    <w:rsid w:val="00643010"/>
    <w:rsid w:val="0064307C"/>
    <w:rsid w:val="0064311A"/>
    <w:rsid w:val="006431B5"/>
    <w:rsid w:val="00643437"/>
    <w:rsid w:val="006434FE"/>
    <w:rsid w:val="0064365C"/>
    <w:rsid w:val="0064368D"/>
    <w:rsid w:val="00643B0A"/>
    <w:rsid w:val="00643B9C"/>
    <w:rsid w:val="00643C9F"/>
    <w:rsid w:val="00643DA7"/>
    <w:rsid w:val="00643EF3"/>
    <w:rsid w:val="00643F62"/>
    <w:rsid w:val="006441A0"/>
    <w:rsid w:val="0064447C"/>
    <w:rsid w:val="0064482F"/>
    <w:rsid w:val="00644850"/>
    <w:rsid w:val="0064491D"/>
    <w:rsid w:val="00644990"/>
    <w:rsid w:val="00644A56"/>
    <w:rsid w:val="00644A88"/>
    <w:rsid w:val="00644B45"/>
    <w:rsid w:val="00644F5F"/>
    <w:rsid w:val="0064501C"/>
    <w:rsid w:val="00645165"/>
    <w:rsid w:val="00645197"/>
    <w:rsid w:val="0064533A"/>
    <w:rsid w:val="006453C6"/>
    <w:rsid w:val="0064540B"/>
    <w:rsid w:val="00645A3C"/>
    <w:rsid w:val="00645CB4"/>
    <w:rsid w:val="00645D17"/>
    <w:rsid w:val="00645ED3"/>
    <w:rsid w:val="006460BA"/>
    <w:rsid w:val="00646189"/>
    <w:rsid w:val="00646311"/>
    <w:rsid w:val="006463C6"/>
    <w:rsid w:val="0064643E"/>
    <w:rsid w:val="00646D58"/>
    <w:rsid w:val="00646EE9"/>
    <w:rsid w:val="00646FE7"/>
    <w:rsid w:val="00647632"/>
    <w:rsid w:val="00647674"/>
    <w:rsid w:val="00647866"/>
    <w:rsid w:val="00647CBA"/>
    <w:rsid w:val="00647CBF"/>
    <w:rsid w:val="00647DAA"/>
    <w:rsid w:val="00647DFC"/>
    <w:rsid w:val="0065013F"/>
    <w:rsid w:val="00650151"/>
    <w:rsid w:val="00650242"/>
    <w:rsid w:val="0065031B"/>
    <w:rsid w:val="00650413"/>
    <w:rsid w:val="0065041E"/>
    <w:rsid w:val="006504A7"/>
    <w:rsid w:val="00650698"/>
    <w:rsid w:val="006506A2"/>
    <w:rsid w:val="0065080B"/>
    <w:rsid w:val="006509A9"/>
    <w:rsid w:val="00650BBC"/>
    <w:rsid w:val="00650D48"/>
    <w:rsid w:val="00650F84"/>
    <w:rsid w:val="006510C1"/>
    <w:rsid w:val="00651173"/>
    <w:rsid w:val="006511D1"/>
    <w:rsid w:val="006512F1"/>
    <w:rsid w:val="00651471"/>
    <w:rsid w:val="00651557"/>
    <w:rsid w:val="00651623"/>
    <w:rsid w:val="006516B3"/>
    <w:rsid w:val="006518B4"/>
    <w:rsid w:val="00651A77"/>
    <w:rsid w:val="00651AE6"/>
    <w:rsid w:val="00651B3D"/>
    <w:rsid w:val="00651C7A"/>
    <w:rsid w:val="00651D5C"/>
    <w:rsid w:val="00651F2D"/>
    <w:rsid w:val="006522A5"/>
    <w:rsid w:val="00652601"/>
    <w:rsid w:val="00652614"/>
    <w:rsid w:val="00652755"/>
    <w:rsid w:val="006527B1"/>
    <w:rsid w:val="00652C6B"/>
    <w:rsid w:val="00652CF0"/>
    <w:rsid w:val="00652D2F"/>
    <w:rsid w:val="00652DB6"/>
    <w:rsid w:val="006530C9"/>
    <w:rsid w:val="0065324D"/>
    <w:rsid w:val="006534DF"/>
    <w:rsid w:val="0065365F"/>
    <w:rsid w:val="006537F9"/>
    <w:rsid w:val="00653837"/>
    <w:rsid w:val="00653A1F"/>
    <w:rsid w:val="00653CF8"/>
    <w:rsid w:val="00654142"/>
    <w:rsid w:val="00654251"/>
    <w:rsid w:val="006544B0"/>
    <w:rsid w:val="00654661"/>
    <w:rsid w:val="00654865"/>
    <w:rsid w:val="00654A03"/>
    <w:rsid w:val="00654A0E"/>
    <w:rsid w:val="00654C3C"/>
    <w:rsid w:val="00655388"/>
    <w:rsid w:val="006555F1"/>
    <w:rsid w:val="006559B0"/>
    <w:rsid w:val="006559C2"/>
    <w:rsid w:val="00655B9C"/>
    <w:rsid w:val="00655C12"/>
    <w:rsid w:val="00655C21"/>
    <w:rsid w:val="00655C6B"/>
    <w:rsid w:val="00655E1D"/>
    <w:rsid w:val="00655ED2"/>
    <w:rsid w:val="00655EDD"/>
    <w:rsid w:val="00656060"/>
    <w:rsid w:val="006560C8"/>
    <w:rsid w:val="006565BA"/>
    <w:rsid w:val="006566B7"/>
    <w:rsid w:val="006566C6"/>
    <w:rsid w:val="006566CC"/>
    <w:rsid w:val="00656765"/>
    <w:rsid w:val="00656F28"/>
    <w:rsid w:val="00656F56"/>
    <w:rsid w:val="006572E7"/>
    <w:rsid w:val="006573DE"/>
    <w:rsid w:val="006574BE"/>
    <w:rsid w:val="00657561"/>
    <w:rsid w:val="00657636"/>
    <w:rsid w:val="006576EF"/>
    <w:rsid w:val="00657BDF"/>
    <w:rsid w:val="00657E9C"/>
    <w:rsid w:val="0066031A"/>
    <w:rsid w:val="006605AD"/>
    <w:rsid w:val="00660698"/>
    <w:rsid w:val="006606AC"/>
    <w:rsid w:val="00660CEA"/>
    <w:rsid w:val="00660D81"/>
    <w:rsid w:val="00660FC7"/>
    <w:rsid w:val="0066101B"/>
    <w:rsid w:val="006611D5"/>
    <w:rsid w:val="0066138B"/>
    <w:rsid w:val="006615C9"/>
    <w:rsid w:val="00661742"/>
    <w:rsid w:val="00661877"/>
    <w:rsid w:val="006618A2"/>
    <w:rsid w:val="00661A2B"/>
    <w:rsid w:val="00661C81"/>
    <w:rsid w:val="00661D9D"/>
    <w:rsid w:val="00661E7A"/>
    <w:rsid w:val="00661EB2"/>
    <w:rsid w:val="00661FB7"/>
    <w:rsid w:val="0066202B"/>
    <w:rsid w:val="00662141"/>
    <w:rsid w:val="0066237D"/>
    <w:rsid w:val="006624B8"/>
    <w:rsid w:val="006628F9"/>
    <w:rsid w:val="00662941"/>
    <w:rsid w:val="00662B47"/>
    <w:rsid w:val="00662E47"/>
    <w:rsid w:val="00662E9F"/>
    <w:rsid w:val="00662FFE"/>
    <w:rsid w:val="006630B7"/>
    <w:rsid w:val="006634BF"/>
    <w:rsid w:val="00663652"/>
    <w:rsid w:val="0066379F"/>
    <w:rsid w:val="00663869"/>
    <w:rsid w:val="00663BE0"/>
    <w:rsid w:val="00663C66"/>
    <w:rsid w:val="00663D53"/>
    <w:rsid w:val="0066413D"/>
    <w:rsid w:val="00664145"/>
    <w:rsid w:val="006641FD"/>
    <w:rsid w:val="00664ABC"/>
    <w:rsid w:val="00664EBF"/>
    <w:rsid w:val="00664EE7"/>
    <w:rsid w:val="00664FB8"/>
    <w:rsid w:val="006651DB"/>
    <w:rsid w:val="0066543F"/>
    <w:rsid w:val="0066550D"/>
    <w:rsid w:val="006656F1"/>
    <w:rsid w:val="0066593E"/>
    <w:rsid w:val="00665BD9"/>
    <w:rsid w:val="00665DA8"/>
    <w:rsid w:val="00665DFE"/>
    <w:rsid w:val="00665E66"/>
    <w:rsid w:val="00665EA5"/>
    <w:rsid w:val="00665F0C"/>
    <w:rsid w:val="0066618B"/>
    <w:rsid w:val="00666205"/>
    <w:rsid w:val="006662D3"/>
    <w:rsid w:val="006662F5"/>
    <w:rsid w:val="00666317"/>
    <w:rsid w:val="00666606"/>
    <w:rsid w:val="006668AE"/>
    <w:rsid w:val="00666959"/>
    <w:rsid w:val="00666B08"/>
    <w:rsid w:val="00666CEB"/>
    <w:rsid w:val="00666F38"/>
    <w:rsid w:val="00667094"/>
    <w:rsid w:val="00667235"/>
    <w:rsid w:val="0066743E"/>
    <w:rsid w:val="00667456"/>
    <w:rsid w:val="006674FD"/>
    <w:rsid w:val="006675B4"/>
    <w:rsid w:val="00667738"/>
    <w:rsid w:val="00667864"/>
    <w:rsid w:val="006679F6"/>
    <w:rsid w:val="00667AEB"/>
    <w:rsid w:val="00670191"/>
    <w:rsid w:val="006701F5"/>
    <w:rsid w:val="00670E8B"/>
    <w:rsid w:val="00670F2C"/>
    <w:rsid w:val="0067115C"/>
    <w:rsid w:val="0067132A"/>
    <w:rsid w:val="00671A15"/>
    <w:rsid w:val="00671DEB"/>
    <w:rsid w:val="00671E90"/>
    <w:rsid w:val="00671FA9"/>
    <w:rsid w:val="00672031"/>
    <w:rsid w:val="00672191"/>
    <w:rsid w:val="0067221C"/>
    <w:rsid w:val="006723EB"/>
    <w:rsid w:val="00672776"/>
    <w:rsid w:val="00672891"/>
    <w:rsid w:val="006728A0"/>
    <w:rsid w:val="006728BC"/>
    <w:rsid w:val="006729C4"/>
    <w:rsid w:val="00672F02"/>
    <w:rsid w:val="00673237"/>
    <w:rsid w:val="00673439"/>
    <w:rsid w:val="006736F3"/>
    <w:rsid w:val="0067379A"/>
    <w:rsid w:val="00673957"/>
    <w:rsid w:val="00673A8E"/>
    <w:rsid w:val="00673BE8"/>
    <w:rsid w:val="0067402A"/>
    <w:rsid w:val="00674109"/>
    <w:rsid w:val="00674457"/>
    <w:rsid w:val="00674850"/>
    <w:rsid w:val="00674957"/>
    <w:rsid w:val="00674A71"/>
    <w:rsid w:val="00674EEE"/>
    <w:rsid w:val="00674F3D"/>
    <w:rsid w:val="00675205"/>
    <w:rsid w:val="00675229"/>
    <w:rsid w:val="006753D9"/>
    <w:rsid w:val="00675695"/>
    <w:rsid w:val="0067578D"/>
    <w:rsid w:val="006759A5"/>
    <w:rsid w:val="00675A06"/>
    <w:rsid w:val="00675AB6"/>
    <w:rsid w:val="00675BD7"/>
    <w:rsid w:val="00675D24"/>
    <w:rsid w:val="00675EA1"/>
    <w:rsid w:val="0067617E"/>
    <w:rsid w:val="006761BB"/>
    <w:rsid w:val="0067623D"/>
    <w:rsid w:val="006768B2"/>
    <w:rsid w:val="0067694D"/>
    <w:rsid w:val="00676964"/>
    <w:rsid w:val="00676FC1"/>
    <w:rsid w:val="006772D4"/>
    <w:rsid w:val="006778DA"/>
    <w:rsid w:val="00677A56"/>
    <w:rsid w:val="00677D7A"/>
    <w:rsid w:val="00680260"/>
    <w:rsid w:val="0068041F"/>
    <w:rsid w:val="00680839"/>
    <w:rsid w:val="00680BD2"/>
    <w:rsid w:val="00680FE7"/>
    <w:rsid w:val="00681149"/>
    <w:rsid w:val="006811C2"/>
    <w:rsid w:val="006813CA"/>
    <w:rsid w:val="006813ED"/>
    <w:rsid w:val="00681430"/>
    <w:rsid w:val="006815F3"/>
    <w:rsid w:val="0068186F"/>
    <w:rsid w:val="00681A63"/>
    <w:rsid w:val="00681AE4"/>
    <w:rsid w:val="00681AE8"/>
    <w:rsid w:val="00682289"/>
    <w:rsid w:val="00682321"/>
    <w:rsid w:val="0068240F"/>
    <w:rsid w:val="00682537"/>
    <w:rsid w:val="00682975"/>
    <w:rsid w:val="00682BB2"/>
    <w:rsid w:val="00682EFE"/>
    <w:rsid w:val="00682F56"/>
    <w:rsid w:val="00682FEE"/>
    <w:rsid w:val="00683129"/>
    <w:rsid w:val="0068319F"/>
    <w:rsid w:val="0068344E"/>
    <w:rsid w:val="00683653"/>
    <w:rsid w:val="00684041"/>
    <w:rsid w:val="00684150"/>
    <w:rsid w:val="00684162"/>
    <w:rsid w:val="006842E0"/>
    <w:rsid w:val="006842F9"/>
    <w:rsid w:val="00684533"/>
    <w:rsid w:val="00684744"/>
    <w:rsid w:val="00684B21"/>
    <w:rsid w:val="00684F0B"/>
    <w:rsid w:val="0068509B"/>
    <w:rsid w:val="0068522C"/>
    <w:rsid w:val="00685243"/>
    <w:rsid w:val="006852DE"/>
    <w:rsid w:val="00685560"/>
    <w:rsid w:val="00685A0A"/>
    <w:rsid w:val="00685B44"/>
    <w:rsid w:val="00685B80"/>
    <w:rsid w:val="00685F43"/>
    <w:rsid w:val="00686005"/>
    <w:rsid w:val="00686090"/>
    <w:rsid w:val="0068642F"/>
    <w:rsid w:val="006864AB"/>
    <w:rsid w:val="006866CD"/>
    <w:rsid w:val="006867DA"/>
    <w:rsid w:val="006868B6"/>
    <w:rsid w:val="0068694A"/>
    <w:rsid w:val="0068694C"/>
    <w:rsid w:val="0068698E"/>
    <w:rsid w:val="006869DE"/>
    <w:rsid w:val="00686B04"/>
    <w:rsid w:val="00686B9E"/>
    <w:rsid w:val="00686CC8"/>
    <w:rsid w:val="0068706D"/>
    <w:rsid w:val="006873AD"/>
    <w:rsid w:val="006875C3"/>
    <w:rsid w:val="00687817"/>
    <w:rsid w:val="00687987"/>
    <w:rsid w:val="00687F19"/>
    <w:rsid w:val="00690490"/>
    <w:rsid w:val="00690D2D"/>
    <w:rsid w:val="00690D6E"/>
    <w:rsid w:val="00690EE2"/>
    <w:rsid w:val="00691007"/>
    <w:rsid w:val="00691265"/>
    <w:rsid w:val="0069152E"/>
    <w:rsid w:val="006916E5"/>
    <w:rsid w:val="006918BA"/>
    <w:rsid w:val="006918D4"/>
    <w:rsid w:val="0069190B"/>
    <w:rsid w:val="00691A60"/>
    <w:rsid w:val="00691C42"/>
    <w:rsid w:val="00691C8A"/>
    <w:rsid w:val="00691CB7"/>
    <w:rsid w:val="00691CF9"/>
    <w:rsid w:val="00692054"/>
    <w:rsid w:val="006920DB"/>
    <w:rsid w:val="006923E8"/>
    <w:rsid w:val="006925CC"/>
    <w:rsid w:val="00692771"/>
    <w:rsid w:val="006928FE"/>
    <w:rsid w:val="00692989"/>
    <w:rsid w:val="006929C0"/>
    <w:rsid w:val="006929C3"/>
    <w:rsid w:val="00692A79"/>
    <w:rsid w:val="00692B50"/>
    <w:rsid w:val="00692D3E"/>
    <w:rsid w:val="00692EA7"/>
    <w:rsid w:val="00692EB6"/>
    <w:rsid w:val="0069306C"/>
    <w:rsid w:val="0069322F"/>
    <w:rsid w:val="006933A8"/>
    <w:rsid w:val="006933AF"/>
    <w:rsid w:val="0069350E"/>
    <w:rsid w:val="00693595"/>
    <w:rsid w:val="006936EE"/>
    <w:rsid w:val="006938F5"/>
    <w:rsid w:val="00693956"/>
    <w:rsid w:val="00693A2C"/>
    <w:rsid w:val="00693BA1"/>
    <w:rsid w:val="00693C66"/>
    <w:rsid w:val="00693D4D"/>
    <w:rsid w:val="00693E6B"/>
    <w:rsid w:val="006941B5"/>
    <w:rsid w:val="0069437B"/>
    <w:rsid w:val="00694490"/>
    <w:rsid w:val="0069468F"/>
    <w:rsid w:val="00694779"/>
    <w:rsid w:val="00694DC8"/>
    <w:rsid w:val="00694DE1"/>
    <w:rsid w:val="00694F4B"/>
    <w:rsid w:val="0069517F"/>
    <w:rsid w:val="00695196"/>
    <w:rsid w:val="006955CB"/>
    <w:rsid w:val="00695837"/>
    <w:rsid w:val="0069592E"/>
    <w:rsid w:val="00695C13"/>
    <w:rsid w:val="00695D04"/>
    <w:rsid w:val="00695D8B"/>
    <w:rsid w:val="00695E81"/>
    <w:rsid w:val="00695F1F"/>
    <w:rsid w:val="006960DA"/>
    <w:rsid w:val="00696182"/>
    <w:rsid w:val="00696257"/>
    <w:rsid w:val="0069625A"/>
    <w:rsid w:val="006963A3"/>
    <w:rsid w:val="00696482"/>
    <w:rsid w:val="0069662B"/>
    <w:rsid w:val="006969FE"/>
    <w:rsid w:val="00696A07"/>
    <w:rsid w:val="00696A13"/>
    <w:rsid w:val="00696A68"/>
    <w:rsid w:val="00696A91"/>
    <w:rsid w:val="00696CB3"/>
    <w:rsid w:val="00697043"/>
    <w:rsid w:val="006971D9"/>
    <w:rsid w:val="00697250"/>
    <w:rsid w:val="00697735"/>
    <w:rsid w:val="00697A79"/>
    <w:rsid w:val="00697DB7"/>
    <w:rsid w:val="00697E26"/>
    <w:rsid w:val="00697EB9"/>
    <w:rsid w:val="00697EDB"/>
    <w:rsid w:val="006A0207"/>
    <w:rsid w:val="006A02CD"/>
    <w:rsid w:val="006A035C"/>
    <w:rsid w:val="006A03C5"/>
    <w:rsid w:val="006A042A"/>
    <w:rsid w:val="006A09E9"/>
    <w:rsid w:val="006A0BF1"/>
    <w:rsid w:val="006A0E84"/>
    <w:rsid w:val="006A0F99"/>
    <w:rsid w:val="006A154F"/>
    <w:rsid w:val="006A1849"/>
    <w:rsid w:val="006A1AAA"/>
    <w:rsid w:val="006A1BD8"/>
    <w:rsid w:val="006A1C82"/>
    <w:rsid w:val="006A21FD"/>
    <w:rsid w:val="006A28AD"/>
    <w:rsid w:val="006A298D"/>
    <w:rsid w:val="006A2B09"/>
    <w:rsid w:val="006A2B99"/>
    <w:rsid w:val="006A2EDB"/>
    <w:rsid w:val="006A2FF3"/>
    <w:rsid w:val="006A3429"/>
    <w:rsid w:val="006A3608"/>
    <w:rsid w:val="006A37A6"/>
    <w:rsid w:val="006A3B4A"/>
    <w:rsid w:val="006A3D96"/>
    <w:rsid w:val="006A3E45"/>
    <w:rsid w:val="006A3E92"/>
    <w:rsid w:val="006A41CD"/>
    <w:rsid w:val="006A420E"/>
    <w:rsid w:val="006A4ABE"/>
    <w:rsid w:val="006A4B11"/>
    <w:rsid w:val="006A4D31"/>
    <w:rsid w:val="006A5255"/>
    <w:rsid w:val="006A5503"/>
    <w:rsid w:val="006A5633"/>
    <w:rsid w:val="006A568C"/>
    <w:rsid w:val="006A595C"/>
    <w:rsid w:val="006A5A89"/>
    <w:rsid w:val="006A5DAB"/>
    <w:rsid w:val="006A5DD2"/>
    <w:rsid w:val="006A5E19"/>
    <w:rsid w:val="006A60CE"/>
    <w:rsid w:val="006A6192"/>
    <w:rsid w:val="006A68ED"/>
    <w:rsid w:val="006A69BB"/>
    <w:rsid w:val="006A6EE0"/>
    <w:rsid w:val="006A6F81"/>
    <w:rsid w:val="006A70CD"/>
    <w:rsid w:val="006A741A"/>
    <w:rsid w:val="006A76B5"/>
    <w:rsid w:val="006A7D7B"/>
    <w:rsid w:val="006A7DD2"/>
    <w:rsid w:val="006B0156"/>
    <w:rsid w:val="006B0290"/>
    <w:rsid w:val="006B0292"/>
    <w:rsid w:val="006B03D0"/>
    <w:rsid w:val="006B045C"/>
    <w:rsid w:val="006B06C4"/>
    <w:rsid w:val="006B077B"/>
    <w:rsid w:val="006B09CF"/>
    <w:rsid w:val="006B0A1A"/>
    <w:rsid w:val="006B0A2D"/>
    <w:rsid w:val="006B0A73"/>
    <w:rsid w:val="006B0ABA"/>
    <w:rsid w:val="006B0BA7"/>
    <w:rsid w:val="006B0D83"/>
    <w:rsid w:val="006B0E15"/>
    <w:rsid w:val="006B126D"/>
    <w:rsid w:val="006B17B2"/>
    <w:rsid w:val="006B1C39"/>
    <w:rsid w:val="006B1C76"/>
    <w:rsid w:val="006B1CD0"/>
    <w:rsid w:val="006B1DE6"/>
    <w:rsid w:val="006B1E0C"/>
    <w:rsid w:val="006B1FBA"/>
    <w:rsid w:val="006B2068"/>
    <w:rsid w:val="006B20C3"/>
    <w:rsid w:val="006B2162"/>
    <w:rsid w:val="006B21B5"/>
    <w:rsid w:val="006B2384"/>
    <w:rsid w:val="006B24CD"/>
    <w:rsid w:val="006B2A9E"/>
    <w:rsid w:val="006B2C89"/>
    <w:rsid w:val="006B2FA6"/>
    <w:rsid w:val="006B3221"/>
    <w:rsid w:val="006B343A"/>
    <w:rsid w:val="006B3ABE"/>
    <w:rsid w:val="006B3CE1"/>
    <w:rsid w:val="006B3D8C"/>
    <w:rsid w:val="006B3DDA"/>
    <w:rsid w:val="006B40E8"/>
    <w:rsid w:val="006B4370"/>
    <w:rsid w:val="006B447C"/>
    <w:rsid w:val="006B449D"/>
    <w:rsid w:val="006B45F5"/>
    <w:rsid w:val="006B4A93"/>
    <w:rsid w:val="006B4ED2"/>
    <w:rsid w:val="006B50BF"/>
    <w:rsid w:val="006B5474"/>
    <w:rsid w:val="006B5739"/>
    <w:rsid w:val="006B583D"/>
    <w:rsid w:val="006B5923"/>
    <w:rsid w:val="006B5E0A"/>
    <w:rsid w:val="006B6152"/>
    <w:rsid w:val="006B627D"/>
    <w:rsid w:val="006B6627"/>
    <w:rsid w:val="006B6671"/>
    <w:rsid w:val="006B66CD"/>
    <w:rsid w:val="006B695E"/>
    <w:rsid w:val="006B6AFA"/>
    <w:rsid w:val="006B6BB1"/>
    <w:rsid w:val="006B6F65"/>
    <w:rsid w:val="006B6FF4"/>
    <w:rsid w:val="006B738D"/>
    <w:rsid w:val="006B74AD"/>
    <w:rsid w:val="006B74CC"/>
    <w:rsid w:val="006B7B19"/>
    <w:rsid w:val="006B7C0C"/>
    <w:rsid w:val="006B7C88"/>
    <w:rsid w:val="006B7DED"/>
    <w:rsid w:val="006B7EF7"/>
    <w:rsid w:val="006C0037"/>
    <w:rsid w:val="006C0417"/>
    <w:rsid w:val="006C06B7"/>
    <w:rsid w:val="006C077B"/>
    <w:rsid w:val="006C079F"/>
    <w:rsid w:val="006C0AB5"/>
    <w:rsid w:val="006C0C35"/>
    <w:rsid w:val="006C0D46"/>
    <w:rsid w:val="006C0E42"/>
    <w:rsid w:val="006C106C"/>
    <w:rsid w:val="006C117F"/>
    <w:rsid w:val="006C13C4"/>
    <w:rsid w:val="006C1508"/>
    <w:rsid w:val="006C154E"/>
    <w:rsid w:val="006C166E"/>
    <w:rsid w:val="006C1994"/>
    <w:rsid w:val="006C1995"/>
    <w:rsid w:val="006C1A08"/>
    <w:rsid w:val="006C1B16"/>
    <w:rsid w:val="006C1BAC"/>
    <w:rsid w:val="006C1F51"/>
    <w:rsid w:val="006C1FBD"/>
    <w:rsid w:val="006C20AD"/>
    <w:rsid w:val="006C217D"/>
    <w:rsid w:val="006C224E"/>
    <w:rsid w:val="006C2461"/>
    <w:rsid w:val="006C24E6"/>
    <w:rsid w:val="006C2880"/>
    <w:rsid w:val="006C2B57"/>
    <w:rsid w:val="006C2CE7"/>
    <w:rsid w:val="006C2D73"/>
    <w:rsid w:val="006C2E62"/>
    <w:rsid w:val="006C2F87"/>
    <w:rsid w:val="006C2FAE"/>
    <w:rsid w:val="006C31A9"/>
    <w:rsid w:val="006C3212"/>
    <w:rsid w:val="006C3410"/>
    <w:rsid w:val="006C3485"/>
    <w:rsid w:val="006C352A"/>
    <w:rsid w:val="006C353B"/>
    <w:rsid w:val="006C3579"/>
    <w:rsid w:val="006C35B0"/>
    <w:rsid w:val="006C35BB"/>
    <w:rsid w:val="006C3782"/>
    <w:rsid w:val="006C3DAA"/>
    <w:rsid w:val="006C3E43"/>
    <w:rsid w:val="006C3F95"/>
    <w:rsid w:val="006C3FAF"/>
    <w:rsid w:val="006C3FDA"/>
    <w:rsid w:val="006C4048"/>
    <w:rsid w:val="006C4267"/>
    <w:rsid w:val="006C42C1"/>
    <w:rsid w:val="006C43C4"/>
    <w:rsid w:val="006C46A5"/>
    <w:rsid w:val="006C4834"/>
    <w:rsid w:val="006C4925"/>
    <w:rsid w:val="006C49B0"/>
    <w:rsid w:val="006C4A64"/>
    <w:rsid w:val="006C4B8D"/>
    <w:rsid w:val="006C5494"/>
    <w:rsid w:val="006C5768"/>
    <w:rsid w:val="006C59D6"/>
    <w:rsid w:val="006C60C3"/>
    <w:rsid w:val="006C62C4"/>
    <w:rsid w:val="006C6317"/>
    <w:rsid w:val="006C636B"/>
    <w:rsid w:val="006C640A"/>
    <w:rsid w:val="006C6560"/>
    <w:rsid w:val="006C689B"/>
    <w:rsid w:val="006C6A06"/>
    <w:rsid w:val="006C6EBD"/>
    <w:rsid w:val="006C6F3C"/>
    <w:rsid w:val="006C7129"/>
    <w:rsid w:val="006C71F6"/>
    <w:rsid w:val="006C7462"/>
    <w:rsid w:val="006C7585"/>
    <w:rsid w:val="006C7604"/>
    <w:rsid w:val="006C764A"/>
    <w:rsid w:val="006C77E1"/>
    <w:rsid w:val="006C7C81"/>
    <w:rsid w:val="006C7D6D"/>
    <w:rsid w:val="006C7DA1"/>
    <w:rsid w:val="006C7EAF"/>
    <w:rsid w:val="006C7ED6"/>
    <w:rsid w:val="006C7FA1"/>
    <w:rsid w:val="006D0356"/>
    <w:rsid w:val="006D06BB"/>
    <w:rsid w:val="006D0845"/>
    <w:rsid w:val="006D08B5"/>
    <w:rsid w:val="006D08CA"/>
    <w:rsid w:val="006D0AB0"/>
    <w:rsid w:val="006D0AC8"/>
    <w:rsid w:val="006D0C19"/>
    <w:rsid w:val="006D0C52"/>
    <w:rsid w:val="006D0DB5"/>
    <w:rsid w:val="006D10F5"/>
    <w:rsid w:val="006D16C4"/>
    <w:rsid w:val="006D1A7A"/>
    <w:rsid w:val="006D1D42"/>
    <w:rsid w:val="006D1D4C"/>
    <w:rsid w:val="006D1DD2"/>
    <w:rsid w:val="006D2096"/>
    <w:rsid w:val="006D2153"/>
    <w:rsid w:val="006D222F"/>
    <w:rsid w:val="006D2252"/>
    <w:rsid w:val="006D2669"/>
    <w:rsid w:val="006D26CB"/>
    <w:rsid w:val="006D2733"/>
    <w:rsid w:val="006D2FF4"/>
    <w:rsid w:val="006D307B"/>
    <w:rsid w:val="006D335D"/>
    <w:rsid w:val="006D33CB"/>
    <w:rsid w:val="006D352F"/>
    <w:rsid w:val="006D3757"/>
    <w:rsid w:val="006D3A69"/>
    <w:rsid w:val="006D3B33"/>
    <w:rsid w:val="006D3E6E"/>
    <w:rsid w:val="006D3F74"/>
    <w:rsid w:val="006D3FF8"/>
    <w:rsid w:val="006D4131"/>
    <w:rsid w:val="006D4486"/>
    <w:rsid w:val="006D4641"/>
    <w:rsid w:val="006D4AD6"/>
    <w:rsid w:val="006D4C14"/>
    <w:rsid w:val="006D4FA2"/>
    <w:rsid w:val="006D501D"/>
    <w:rsid w:val="006D51C4"/>
    <w:rsid w:val="006D521D"/>
    <w:rsid w:val="006D53BD"/>
    <w:rsid w:val="006D54A1"/>
    <w:rsid w:val="006D55E2"/>
    <w:rsid w:val="006D5665"/>
    <w:rsid w:val="006D566A"/>
    <w:rsid w:val="006D57AC"/>
    <w:rsid w:val="006D5806"/>
    <w:rsid w:val="006D5A1E"/>
    <w:rsid w:val="006D5A67"/>
    <w:rsid w:val="006D5B10"/>
    <w:rsid w:val="006D5E71"/>
    <w:rsid w:val="006D5F3A"/>
    <w:rsid w:val="006D6159"/>
    <w:rsid w:val="006D63AB"/>
    <w:rsid w:val="006D678F"/>
    <w:rsid w:val="006D67B5"/>
    <w:rsid w:val="006D67BF"/>
    <w:rsid w:val="006D68D7"/>
    <w:rsid w:val="006D6CF3"/>
    <w:rsid w:val="006D6DCF"/>
    <w:rsid w:val="006D6F6C"/>
    <w:rsid w:val="006D7201"/>
    <w:rsid w:val="006D7454"/>
    <w:rsid w:val="006D7509"/>
    <w:rsid w:val="006D76C3"/>
    <w:rsid w:val="006D76D6"/>
    <w:rsid w:val="006D76DC"/>
    <w:rsid w:val="006D7875"/>
    <w:rsid w:val="006D788E"/>
    <w:rsid w:val="006D7ED7"/>
    <w:rsid w:val="006D7FBC"/>
    <w:rsid w:val="006E0089"/>
    <w:rsid w:val="006E01E4"/>
    <w:rsid w:val="006E04AF"/>
    <w:rsid w:val="006E07A7"/>
    <w:rsid w:val="006E0CD5"/>
    <w:rsid w:val="006E0DB5"/>
    <w:rsid w:val="006E0E39"/>
    <w:rsid w:val="006E12FA"/>
    <w:rsid w:val="006E144A"/>
    <w:rsid w:val="006E1847"/>
    <w:rsid w:val="006E19F4"/>
    <w:rsid w:val="006E1A3A"/>
    <w:rsid w:val="006E1A41"/>
    <w:rsid w:val="006E1C3E"/>
    <w:rsid w:val="006E1E70"/>
    <w:rsid w:val="006E1F83"/>
    <w:rsid w:val="006E2252"/>
    <w:rsid w:val="006E268A"/>
    <w:rsid w:val="006E27DA"/>
    <w:rsid w:val="006E2AE1"/>
    <w:rsid w:val="006E2CA3"/>
    <w:rsid w:val="006E2E86"/>
    <w:rsid w:val="006E2FAE"/>
    <w:rsid w:val="006E2FFF"/>
    <w:rsid w:val="006E3251"/>
    <w:rsid w:val="006E351E"/>
    <w:rsid w:val="006E3522"/>
    <w:rsid w:val="006E3571"/>
    <w:rsid w:val="006E37DA"/>
    <w:rsid w:val="006E3843"/>
    <w:rsid w:val="006E3C17"/>
    <w:rsid w:val="006E3CDA"/>
    <w:rsid w:val="006E3D18"/>
    <w:rsid w:val="006E3FC9"/>
    <w:rsid w:val="006E401C"/>
    <w:rsid w:val="006E4102"/>
    <w:rsid w:val="006E414F"/>
    <w:rsid w:val="006E42E8"/>
    <w:rsid w:val="006E498E"/>
    <w:rsid w:val="006E4995"/>
    <w:rsid w:val="006E4A43"/>
    <w:rsid w:val="006E4B09"/>
    <w:rsid w:val="006E4B3F"/>
    <w:rsid w:val="006E4C30"/>
    <w:rsid w:val="006E4E7B"/>
    <w:rsid w:val="006E4ED9"/>
    <w:rsid w:val="006E50A1"/>
    <w:rsid w:val="006E5332"/>
    <w:rsid w:val="006E58FC"/>
    <w:rsid w:val="006E59E2"/>
    <w:rsid w:val="006E5B15"/>
    <w:rsid w:val="006E5B51"/>
    <w:rsid w:val="006E5E53"/>
    <w:rsid w:val="006E5EA9"/>
    <w:rsid w:val="006E606A"/>
    <w:rsid w:val="006E6420"/>
    <w:rsid w:val="006E6633"/>
    <w:rsid w:val="006E6751"/>
    <w:rsid w:val="006E693D"/>
    <w:rsid w:val="006E6C22"/>
    <w:rsid w:val="006E6E37"/>
    <w:rsid w:val="006E6E7D"/>
    <w:rsid w:val="006E6EAF"/>
    <w:rsid w:val="006E6EC8"/>
    <w:rsid w:val="006E7001"/>
    <w:rsid w:val="006E70B4"/>
    <w:rsid w:val="006E721D"/>
    <w:rsid w:val="006E731F"/>
    <w:rsid w:val="006E749B"/>
    <w:rsid w:val="006E7844"/>
    <w:rsid w:val="006E7907"/>
    <w:rsid w:val="006E79E4"/>
    <w:rsid w:val="006E7A66"/>
    <w:rsid w:val="006E7B56"/>
    <w:rsid w:val="006E7B62"/>
    <w:rsid w:val="006E7C15"/>
    <w:rsid w:val="006E7C6E"/>
    <w:rsid w:val="006E7CB9"/>
    <w:rsid w:val="006E7F1E"/>
    <w:rsid w:val="006F0619"/>
    <w:rsid w:val="006F0D2E"/>
    <w:rsid w:val="006F0F94"/>
    <w:rsid w:val="006F1042"/>
    <w:rsid w:val="006F1127"/>
    <w:rsid w:val="006F1137"/>
    <w:rsid w:val="006F1295"/>
    <w:rsid w:val="006F12E0"/>
    <w:rsid w:val="006F13C1"/>
    <w:rsid w:val="006F1622"/>
    <w:rsid w:val="006F1917"/>
    <w:rsid w:val="006F1C62"/>
    <w:rsid w:val="006F1CCB"/>
    <w:rsid w:val="006F244C"/>
    <w:rsid w:val="006F2513"/>
    <w:rsid w:val="006F2878"/>
    <w:rsid w:val="006F2880"/>
    <w:rsid w:val="006F2908"/>
    <w:rsid w:val="006F2A34"/>
    <w:rsid w:val="006F2A5B"/>
    <w:rsid w:val="006F2AAC"/>
    <w:rsid w:val="006F2C94"/>
    <w:rsid w:val="006F2CCD"/>
    <w:rsid w:val="006F2D2B"/>
    <w:rsid w:val="006F3018"/>
    <w:rsid w:val="006F32E2"/>
    <w:rsid w:val="006F340A"/>
    <w:rsid w:val="006F34EC"/>
    <w:rsid w:val="006F36CA"/>
    <w:rsid w:val="006F385E"/>
    <w:rsid w:val="006F39E9"/>
    <w:rsid w:val="006F3FFB"/>
    <w:rsid w:val="006F4791"/>
    <w:rsid w:val="006F481B"/>
    <w:rsid w:val="006F494B"/>
    <w:rsid w:val="006F4BBE"/>
    <w:rsid w:val="006F4C9B"/>
    <w:rsid w:val="006F4CBD"/>
    <w:rsid w:val="006F5089"/>
    <w:rsid w:val="006F5256"/>
    <w:rsid w:val="006F539A"/>
    <w:rsid w:val="006F5593"/>
    <w:rsid w:val="006F5806"/>
    <w:rsid w:val="006F59C6"/>
    <w:rsid w:val="006F59FC"/>
    <w:rsid w:val="006F5C7B"/>
    <w:rsid w:val="006F5C8A"/>
    <w:rsid w:val="006F5E0B"/>
    <w:rsid w:val="006F60CB"/>
    <w:rsid w:val="006F61FC"/>
    <w:rsid w:val="006F633F"/>
    <w:rsid w:val="006F67E2"/>
    <w:rsid w:val="006F6912"/>
    <w:rsid w:val="006F6F49"/>
    <w:rsid w:val="006F70FE"/>
    <w:rsid w:val="006F729C"/>
    <w:rsid w:val="006F7423"/>
    <w:rsid w:val="006F770A"/>
    <w:rsid w:val="006F7927"/>
    <w:rsid w:val="006F797E"/>
    <w:rsid w:val="006F7A53"/>
    <w:rsid w:val="006F7D1E"/>
    <w:rsid w:val="006F7E23"/>
    <w:rsid w:val="007001F8"/>
    <w:rsid w:val="0070029E"/>
    <w:rsid w:val="007002B1"/>
    <w:rsid w:val="00700346"/>
    <w:rsid w:val="00700456"/>
    <w:rsid w:val="00700581"/>
    <w:rsid w:val="00700652"/>
    <w:rsid w:val="007007EE"/>
    <w:rsid w:val="007009BC"/>
    <w:rsid w:val="007009E2"/>
    <w:rsid w:val="00700AA5"/>
    <w:rsid w:val="00700C66"/>
    <w:rsid w:val="00700E03"/>
    <w:rsid w:val="00700E90"/>
    <w:rsid w:val="0070109A"/>
    <w:rsid w:val="00701113"/>
    <w:rsid w:val="007011A2"/>
    <w:rsid w:val="007011EE"/>
    <w:rsid w:val="00701326"/>
    <w:rsid w:val="007016CA"/>
    <w:rsid w:val="00701F88"/>
    <w:rsid w:val="00701F97"/>
    <w:rsid w:val="007020B1"/>
    <w:rsid w:val="00702117"/>
    <w:rsid w:val="00702265"/>
    <w:rsid w:val="00702269"/>
    <w:rsid w:val="0070227C"/>
    <w:rsid w:val="00702618"/>
    <w:rsid w:val="00702B43"/>
    <w:rsid w:val="00702B8B"/>
    <w:rsid w:val="00702D1A"/>
    <w:rsid w:val="00702FCD"/>
    <w:rsid w:val="00703028"/>
    <w:rsid w:val="0070340F"/>
    <w:rsid w:val="007034C9"/>
    <w:rsid w:val="00703570"/>
    <w:rsid w:val="00703594"/>
    <w:rsid w:val="007036AD"/>
    <w:rsid w:val="007038A8"/>
    <w:rsid w:val="00703A4C"/>
    <w:rsid w:val="00703B4A"/>
    <w:rsid w:val="00703DC3"/>
    <w:rsid w:val="00703E60"/>
    <w:rsid w:val="007042D3"/>
    <w:rsid w:val="00704462"/>
    <w:rsid w:val="007047C4"/>
    <w:rsid w:val="007048D0"/>
    <w:rsid w:val="00704ACC"/>
    <w:rsid w:val="00704B64"/>
    <w:rsid w:val="00704EAE"/>
    <w:rsid w:val="00704F62"/>
    <w:rsid w:val="00705347"/>
    <w:rsid w:val="00705447"/>
    <w:rsid w:val="00705677"/>
    <w:rsid w:val="00705D91"/>
    <w:rsid w:val="00706086"/>
    <w:rsid w:val="007063E8"/>
    <w:rsid w:val="007063F4"/>
    <w:rsid w:val="007064C2"/>
    <w:rsid w:val="007065F5"/>
    <w:rsid w:val="00706970"/>
    <w:rsid w:val="007069D3"/>
    <w:rsid w:val="00706ACC"/>
    <w:rsid w:val="00706C3C"/>
    <w:rsid w:val="00706C88"/>
    <w:rsid w:val="00706FB7"/>
    <w:rsid w:val="007071CD"/>
    <w:rsid w:val="0070723F"/>
    <w:rsid w:val="007073E5"/>
    <w:rsid w:val="00707464"/>
    <w:rsid w:val="007075FE"/>
    <w:rsid w:val="00707682"/>
    <w:rsid w:val="00707AE8"/>
    <w:rsid w:val="00707B97"/>
    <w:rsid w:val="00707D2C"/>
    <w:rsid w:val="00707E7B"/>
    <w:rsid w:val="00707F29"/>
    <w:rsid w:val="00710130"/>
    <w:rsid w:val="00710234"/>
    <w:rsid w:val="007102A3"/>
    <w:rsid w:val="0071059C"/>
    <w:rsid w:val="0071080A"/>
    <w:rsid w:val="00710904"/>
    <w:rsid w:val="00710951"/>
    <w:rsid w:val="00710A47"/>
    <w:rsid w:val="00710E0B"/>
    <w:rsid w:val="00710FA7"/>
    <w:rsid w:val="00711242"/>
    <w:rsid w:val="00711694"/>
    <w:rsid w:val="00711700"/>
    <w:rsid w:val="0071170B"/>
    <w:rsid w:val="00711989"/>
    <w:rsid w:val="00711A3F"/>
    <w:rsid w:val="00711B60"/>
    <w:rsid w:val="00711C6B"/>
    <w:rsid w:val="00711CEE"/>
    <w:rsid w:val="00711E95"/>
    <w:rsid w:val="00711FA4"/>
    <w:rsid w:val="00711FA8"/>
    <w:rsid w:val="00712111"/>
    <w:rsid w:val="00712A6C"/>
    <w:rsid w:val="00712DDD"/>
    <w:rsid w:val="00712F64"/>
    <w:rsid w:val="00712F8A"/>
    <w:rsid w:val="007137D2"/>
    <w:rsid w:val="007137E3"/>
    <w:rsid w:val="00713806"/>
    <w:rsid w:val="0071385A"/>
    <w:rsid w:val="007139E7"/>
    <w:rsid w:val="00713C48"/>
    <w:rsid w:val="00713D12"/>
    <w:rsid w:val="007140B6"/>
    <w:rsid w:val="007142CA"/>
    <w:rsid w:val="007142EF"/>
    <w:rsid w:val="00714384"/>
    <w:rsid w:val="0071448B"/>
    <w:rsid w:val="00714493"/>
    <w:rsid w:val="007144C0"/>
    <w:rsid w:val="0071475D"/>
    <w:rsid w:val="0071491A"/>
    <w:rsid w:val="00714F7A"/>
    <w:rsid w:val="00715030"/>
    <w:rsid w:val="00715169"/>
    <w:rsid w:val="0071543E"/>
    <w:rsid w:val="0071563B"/>
    <w:rsid w:val="0071579B"/>
    <w:rsid w:val="0071586B"/>
    <w:rsid w:val="0071594F"/>
    <w:rsid w:val="007159E5"/>
    <w:rsid w:val="00715B5B"/>
    <w:rsid w:val="00715BD5"/>
    <w:rsid w:val="00715CB2"/>
    <w:rsid w:val="00715D70"/>
    <w:rsid w:val="00715DB8"/>
    <w:rsid w:val="00715F57"/>
    <w:rsid w:val="007160D5"/>
    <w:rsid w:val="00716286"/>
    <w:rsid w:val="0071639E"/>
    <w:rsid w:val="0071650E"/>
    <w:rsid w:val="00716691"/>
    <w:rsid w:val="0071697F"/>
    <w:rsid w:val="00716C66"/>
    <w:rsid w:val="0071713B"/>
    <w:rsid w:val="00717166"/>
    <w:rsid w:val="007171ED"/>
    <w:rsid w:val="0071725A"/>
    <w:rsid w:val="007172D2"/>
    <w:rsid w:val="007173F3"/>
    <w:rsid w:val="00717400"/>
    <w:rsid w:val="0071763E"/>
    <w:rsid w:val="0071764A"/>
    <w:rsid w:val="00717752"/>
    <w:rsid w:val="0071776E"/>
    <w:rsid w:val="00717977"/>
    <w:rsid w:val="00717BA4"/>
    <w:rsid w:val="00717BE0"/>
    <w:rsid w:val="00717CCD"/>
    <w:rsid w:val="00717DCA"/>
    <w:rsid w:val="00717EE7"/>
    <w:rsid w:val="00720088"/>
    <w:rsid w:val="00720155"/>
    <w:rsid w:val="00720281"/>
    <w:rsid w:val="00720344"/>
    <w:rsid w:val="0072040C"/>
    <w:rsid w:val="0072045E"/>
    <w:rsid w:val="007206E2"/>
    <w:rsid w:val="00720951"/>
    <w:rsid w:val="00720B3F"/>
    <w:rsid w:val="00720DFD"/>
    <w:rsid w:val="00720F00"/>
    <w:rsid w:val="007210BD"/>
    <w:rsid w:val="00721101"/>
    <w:rsid w:val="0072116E"/>
    <w:rsid w:val="007212DF"/>
    <w:rsid w:val="007214C9"/>
    <w:rsid w:val="007215BD"/>
    <w:rsid w:val="00721CCB"/>
    <w:rsid w:val="00721DB1"/>
    <w:rsid w:val="0072214E"/>
    <w:rsid w:val="0072240C"/>
    <w:rsid w:val="0072244E"/>
    <w:rsid w:val="00722560"/>
    <w:rsid w:val="00722632"/>
    <w:rsid w:val="00722776"/>
    <w:rsid w:val="007228DB"/>
    <w:rsid w:val="00722C0D"/>
    <w:rsid w:val="00722C71"/>
    <w:rsid w:val="00722DC0"/>
    <w:rsid w:val="00722E0E"/>
    <w:rsid w:val="00722ECF"/>
    <w:rsid w:val="00722FE1"/>
    <w:rsid w:val="00723115"/>
    <w:rsid w:val="00723536"/>
    <w:rsid w:val="00723828"/>
    <w:rsid w:val="00723A27"/>
    <w:rsid w:val="00723CC9"/>
    <w:rsid w:val="00723DBC"/>
    <w:rsid w:val="00723F9A"/>
    <w:rsid w:val="00724330"/>
    <w:rsid w:val="0072443B"/>
    <w:rsid w:val="007245A9"/>
    <w:rsid w:val="007246D6"/>
    <w:rsid w:val="007246D9"/>
    <w:rsid w:val="0072497D"/>
    <w:rsid w:val="00724B35"/>
    <w:rsid w:val="00724ECC"/>
    <w:rsid w:val="00724F87"/>
    <w:rsid w:val="0072508E"/>
    <w:rsid w:val="00725235"/>
    <w:rsid w:val="007255DF"/>
    <w:rsid w:val="007256FD"/>
    <w:rsid w:val="00725B94"/>
    <w:rsid w:val="00725C14"/>
    <w:rsid w:val="00725E18"/>
    <w:rsid w:val="00725E43"/>
    <w:rsid w:val="00725EAE"/>
    <w:rsid w:val="00726392"/>
    <w:rsid w:val="007263AC"/>
    <w:rsid w:val="00726571"/>
    <w:rsid w:val="007265CF"/>
    <w:rsid w:val="007265EF"/>
    <w:rsid w:val="0072664D"/>
    <w:rsid w:val="0072673F"/>
    <w:rsid w:val="00726786"/>
    <w:rsid w:val="007268CD"/>
    <w:rsid w:val="00726905"/>
    <w:rsid w:val="00726BD6"/>
    <w:rsid w:val="00726BF7"/>
    <w:rsid w:val="00726C06"/>
    <w:rsid w:val="00726EAE"/>
    <w:rsid w:val="00726FDA"/>
    <w:rsid w:val="007272F9"/>
    <w:rsid w:val="007273C6"/>
    <w:rsid w:val="0072766E"/>
    <w:rsid w:val="007277A0"/>
    <w:rsid w:val="00727C5B"/>
    <w:rsid w:val="0073017B"/>
    <w:rsid w:val="0073022A"/>
    <w:rsid w:val="0073025D"/>
    <w:rsid w:val="00730853"/>
    <w:rsid w:val="00730C55"/>
    <w:rsid w:val="00730C7A"/>
    <w:rsid w:val="00730CFA"/>
    <w:rsid w:val="00730D7F"/>
    <w:rsid w:val="00730DEA"/>
    <w:rsid w:val="00730E97"/>
    <w:rsid w:val="00730F42"/>
    <w:rsid w:val="00731264"/>
    <w:rsid w:val="007312C9"/>
    <w:rsid w:val="007312FC"/>
    <w:rsid w:val="00731307"/>
    <w:rsid w:val="007313EE"/>
    <w:rsid w:val="0073174E"/>
    <w:rsid w:val="00731822"/>
    <w:rsid w:val="00731928"/>
    <w:rsid w:val="0073196C"/>
    <w:rsid w:val="00731CFA"/>
    <w:rsid w:val="00731E14"/>
    <w:rsid w:val="00731E82"/>
    <w:rsid w:val="00731FD0"/>
    <w:rsid w:val="00732001"/>
    <w:rsid w:val="007321FE"/>
    <w:rsid w:val="007323E4"/>
    <w:rsid w:val="007329B8"/>
    <w:rsid w:val="007329FB"/>
    <w:rsid w:val="00732A75"/>
    <w:rsid w:val="00732ACC"/>
    <w:rsid w:val="00732B28"/>
    <w:rsid w:val="00732E22"/>
    <w:rsid w:val="00733312"/>
    <w:rsid w:val="007333B3"/>
    <w:rsid w:val="00733AC7"/>
    <w:rsid w:val="00733BAC"/>
    <w:rsid w:val="00733E09"/>
    <w:rsid w:val="007343D5"/>
    <w:rsid w:val="007344EB"/>
    <w:rsid w:val="00734891"/>
    <w:rsid w:val="007348DF"/>
    <w:rsid w:val="00734985"/>
    <w:rsid w:val="007349A2"/>
    <w:rsid w:val="00734A4F"/>
    <w:rsid w:val="00734BCC"/>
    <w:rsid w:val="00734CC9"/>
    <w:rsid w:val="00734D4B"/>
    <w:rsid w:val="007351B5"/>
    <w:rsid w:val="00735568"/>
    <w:rsid w:val="00735695"/>
    <w:rsid w:val="0073593E"/>
    <w:rsid w:val="00735A97"/>
    <w:rsid w:val="00735B2D"/>
    <w:rsid w:val="0073600A"/>
    <w:rsid w:val="007360CD"/>
    <w:rsid w:val="007363F3"/>
    <w:rsid w:val="007366A5"/>
    <w:rsid w:val="007366DD"/>
    <w:rsid w:val="0073676E"/>
    <w:rsid w:val="00736918"/>
    <w:rsid w:val="00736949"/>
    <w:rsid w:val="0073699A"/>
    <w:rsid w:val="00736A89"/>
    <w:rsid w:val="00736C30"/>
    <w:rsid w:val="00736CEF"/>
    <w:rsid w:val="00736F4A"/>
    <w:rsid w:val="0073702A"/>
    <w:rsid w:val="00737060"/>
    <w:rsid w:val="007372E8"/>
    <w:rsid w:val="007378B3"/>
    <w:rsid w:val="00737913"/>
    <w:rsid w:val="00737AB6"/>
    <w:rsid w:val="00737B7B"/>
    <w:rsid w:val="00737E2C"/>
    <w:rsid w:val="007400B4"/>
    <w:rsid w:val="0074097B"/>
    <w:rsid w:val="00740B8E"/>
    <w:rsid w:val="007410E6"/>
    <w:rsid w:val="0074110E"/>
    <w:rsid w:val="007411B1"/>
    <w:rsid w:val="0074125B"/>
    <w:rsid w:val="00741275"/>
    <w:rsid w:val="00741331"/>
    <w:rsid w:val="007414E3"/>
    <w:rsid w:val="00741972"/>
    <w:rsid w:val="007419DE"/>
    <w:rsid w:val="00741B83"/>
    <w:rsid w:val="00741DE0"/>
    <w:rsid w:val="007421B4"/>
    <w:rsid w:val="00742237"/>
    <w:rsid w:val="00742AF5"/>
    <w:rsid w:val="00742E1C"/>
    <w:rsid w:val="0074306A"/>
    <w:rsid w:val="0074326A"/>
    <w:rsid w:val="00743336"/>
    <w:rsid w:val="00743363"/>
    <w:rsid w:val="007433C2"/>
    <w:rsid w:val="00743B83"/>
    <w:rsid w:val="00743D60"/>
    <w:rsid w:val="007440B9"/>
    <w:rsid w:val="007440C4"/>
    <w:rsid w:val="0074425E"/>
    <w:rsid w:val="0074444E"/>
    <w:rsid w:val="0074499D"/>
    <w:rsid w:val="00744DE9"/>
    <w:rsid w:val="00744EC5"/>
    <w:rsid w:val="00744FC9"/>
    <w:rsid w:val="007451E6"/>
    <w:rsid w:val="007452BE"/>
    <w:rsid w:val="007453AC"/>
    <w:rsid w:val="0074551E"/>
    <w:rsid w:val="00745710"/>
    <w:rsid w:val="007457CB"/>
    <w:rsid w:val="00745BB9"/>
    <w:rsid w:val="00745D8F"/>
    <w:rsid w:val="007461B5"/>
    <w:rsid w:val="00746224"/>
    <w:rsid w:val="00746355"/>
    <w:rsid w:val="00746405"/>
    <w:rsid w:val="007464E9"/>
    <w:rsid w:val="00746621"/>
    <w:rsid w:val="00746B06"/>
    <w:rsid w:val="00746B4C"/>
    <w:rsid w:val="00746D23"/>
    <w:rsid w:val="00746F55"/>
    <w:rsid w:val="00746FCC"/>
    <w:rsid w:val="00747426"/>
    <w:rsid w:val="00747714"/>
    <w:rsid w:val="007478DC"/>
    <w:rsid w:val="0074791F"/>
    <w:rsid w:val="00747A07"/>
    <w:rsid w:val="00747B0F"/>
    <w:rsid w:val="00747E03"/>
    <w:rsid w:val="007500B3"/>
    <w:rsid w:val="00750148"/>
    <w:rsid w:val="007506B4"/>
    <w:rsid w:val="0075085A"/>
    <w:rsid w:val="00750A01"/>
    <w:rsid w:val="00750A6B"/>
    <w:rsid w:val="00750EAA"/>
    <w:rsid w:val="0075103F"/>
    <w:rsid w:val="0075121E"/>
    <w:rsid w:val="007518E5"/>
    <w:rsid w:val="0075190B"/>
    <w:rsid w:val="00751CB4"/>
    <w:rsid w:val="00751D74"/>
    <w:rsid w:val="00751E82"/>
    <w:rsid w:val="00751F95"/>
    <w:rsid w:val="0075234B"/>
    <w:rsid w:val="00752531"/>
    <w:rsid w:val="0075265C"/>
    <w:rsid w:val="00752856"/>
    <w:rsid w:val="0075298F"/>
    <w:rsid w:val="00752A45"/>
    <w:rsid w:val="00752C68"/>
    <w:rsid w:val="00752D3F"/>
    <w:rsid w:val="00753184"/>
    <w:rsid w:val="00753187"/>
    <w:rsid w:val="00753210"/>
    <w:rsid w:val="007536A7"/>
    <w:rsid w:val="007536FE"/>
    <w:rsid w:val="00753C06"/>
    <w:rsid w:val="00753D9C"/>
    <w:rsid w:val="00753DB3"/>
    <w:rsid w:val="00754026"/>
    <w:rsid w:val="0075411C"/>
    <w:rsid w:val="007545AD"/>
    <w:rsid w:val="007545C4"/>
    <w:rsid w:val="00754723"/>
    <w:rsid w:val="007547F4"/>
    <w:rsid w:val="00754830"/>
    <w:rsid w:val="00754CB0"/>
    <w:rsid w:val="00754DAE"/>
    <w:rsid w:val="0075508F"/>
    <w:rsid w:val="00755305"/>
    <w:rsid w:val="00755499"/>
    <w:rsid w:val="0075554E"/>
    <w:rsid w:val="00755670"/>
    <w:rsid w:val="007559F6"/>
    <w:rsid w:val="00755A4C"/>
    <w:rsid w:val="00755C18"/>
    <w:rsid w:val="00755FDC"/>
    <w:rsid w:val="007560B0"/>
    <w:rsid w:val="00756301"/>
    <w:rsid w:val="0075669E"/>
    <w:rsid w:val="00756777"/>
    <w:rsid w:val="007567B4"/>
    <w:rsid w:val="007567F8"/>
    <w:rsid w:val="00756A30"/>
    <w:rsid w:val="00756B1C"/>
    <w:rsid w:val="00756B91"/>
    <w:rsid w:val="00756BC0"/>
    <w:rsid w:val="00757101"/>
    <w:rsid w:val="00757123"/>
    <w:rsid w:val="0075721A"/>
    <w:rsid w:val="00757228"/>
    <w:rsid w:val="007577C4"/>
    <w:rsid w:val="00757C35"/>
    <w:rsid w:val="00757F1B"/>
    <w:rsid w:val="0076001F"/>
    <w:rsid w:val="007604E8"/>
    <w:rsid w:val="007605EF"/>
    <w:rsid w:val="007605F2"/>
    <w:rsid w:val="00760953"/>
    <w:rsid w:val="007609F3"/>
    <w:rsid w:val="00760AA3"/>
    <w:rsid w:val="00760B4C"/>
    <w:rsid w:val="00760C0F"/>
    <w:rsid w:val="0076113F"/>
    <w:rsid w:val="0076127A"/>
    <w:rsid w:val="00761306"/>
    <w:rsid w:val="00761334"/>
    <w:rsid w:val="00761638"/>
    <w:rsid w:val="0076163A"/>
    <w:rsid w:val="00761676"/>
    <w:rsid w:val="00761858"/>
    <w:rsid w:val="00761865"/>
    <w:rsid w:val="00761905"/>
    <w:rsid w:val="007619BB"/>
    <w:rsid w:val="00761BA4"/>
    <w:rsid w:val="00761C32"/>
    <w:rsid w:val="00761DDF"/>
    <w:rsid w:val="00761F2E"/>
    <w:rsid w:val="00761F98"/>
    <w:rsid w:val="00761F9C"/>
    <w:rsid w:val="00762369"/>
    <w:rsid w:val="00762417"/>
    <w:rsid w:val="007624CE"/>
    <w:rsid w:val="0076250E"/>
    <w:rsid w:val="007625E5"/>
    <w:rsid w:val="00762762"/>
    <w:rsid w:val="00762777"/>
    <w:rsid w:val="007628C1"/>
    <w:rsid w:val="0076293A"/>
    <w:rsid w:val="00762C0D"/>
    <w:rsid w:val="00762D77"/>
    <w:rsid w:val="00762DE3"/>
    <w:rsid w:val="00762F1B"/>
    <w:rsid w:val="0076329A"/>
    <w:rsid w:val="007632AA"/>
    <w:rsid w:val="00763388"/>
    <w:rsid w:val="007634B9"/>
    <w:rsid w:val="007634C5"/>
    <w:rsid w:val="00763734"/>
    <w:rsid w:val="0076388D"/>
    <w:rsid w:val="00763B18"/>
    <w:rsid w:val="00763BC0"/>
    <w:rsid w:val="00763CED"/>
    <w:rsid w:val="00763FCA"/>
    <w:rsid w:val="00764086"/>
    <w:rsid w:val="007640F0"/>
    <w:rsid w:val="00764352"/>
    <w:rsid w:val="00764357"/>
    <w:rsid w:val="00764448"/>
    <w:rsid w:val="00764837"/>
    <w:rsid w:val="007649B9"/>
    <w:rsid w:val="00764A22"/>
    <w:rsid w:val="00764D1E"/>
    <w:rsid w:val="00764FFE"/>
    <w:rsid w:val="00765245"/>
    <w:rsid w:val="007652D2"/>
    <w:rsid w:val="00765334"/>
    <w:rsid w:val="00765497"/>
    <w:rsid w:val="007659D3"/>
    <w:rsid w:val="00765A0A"/>
    <w:rsid w:val="00765ACD"/>
    <w:rsid w:val="00765C0E"/>
    <w:rsid w:val="00765FB5"/>
    <w:rsid w:val="0076632B"/>
    <w:rsid w:val="007663A5"/>
    <w:rsid w:val="00766434"/>
    <w:rsid w:val="0076646D"/>
    <w:rsid w:val="00766499"/>
    <w:rsid w:val="00766547"/>
    <w:rsid w:val="00766556"/>
    <w:rsid w:val="007666DE"/>
    <w:rsid w:val="00766822"/>
    <w:rsid w:val="00766A88"/>
    <w:rsid w:val="00766E0B"/>
    <w:rsid w:val="00766E0C"/>
    <w:rsid w:val="00766F71"/>
    <w:rsid w:val="00767044"/>
    <w:rsid w:val="00767101"/>
    <w:rsid w:val="0076736F"/>
    <w:rsid w:val="00767472"/>
    <w:rsid w:val="00767B33"/>
    <w:rsid w:val="00767B88"/>
    <w:rsid w:val="00767B9D"/>
    <w:rsid w:val="00767CBC"/>
    <w:rsid w:val="00767DE4"/>
    <w:rsid w:val="0077003E"/>
    <w:rsid w:val="00770230"/>
    <w:rsid w:val="00770683"/>
    <w:rsid w:val="00770BC6"/>
    <w:rsid w:val="00771014"/>
    <w:rsid w:val="0077131F"/>
    <w:rsid w:val="007717A2"/>
    <w:rsid w:val="007719DE"/>
    <w:rsid w:val="00771A34"/>
    <w:rsid w:val="00771B35"/>
    <w:rsid w:val="00771EB4"/>
    <w:rsid w:val="00771FC5"/>
    <w:rsid w:val="00771FE5"/>
    <w:rsid w:val="0077202F"/>
    <w:rsid w:val="007721E4"/>
    <w:rsid w:val="0077228F"/>
    <w:rsid w:val="007723DD"/>
    <w:rsid w:val="007724EF"/>
    <w:rsid w:val="00772634"/>
    <w:rsid w:val="00772BB0"/>
    <w:rsid w:val="00773166"/>
    <w:rsid w:val="00773263"/>
    <w:rsid w:val="00773315"/>
    <w:rsid w:val="00773AA9"/>
    <w:rsid w:val="00773DB2"/>
    <w:rsid w:val="00773EB2"/>
    <w:rsid w:val="00773FE3"/>
    <w:rsid w:val="00774348"/>
    <w:rsid w:val="007744FB"/>
    <w:rsid w:val="00774520"/>
    <w:rsid w:val="007746FA"/>
    <w:rsid w:val="007747D4"/>
    <w:rsid w:val="00774865"/>
    <w:rsid w:val="007748DF"/>
    <w:rsid w:val="00774B0A"/>
    <w:rsid w:val="00774B7E"/>
    <w:rsid w:val="00774C89"/>
    <w:rsid w:val="00775333"/>
    <w:rsid w:val="0077554D"/>
    <w:rsid w:val="00775634"/>
    <w:rsid w:val="007758C0"/>
    <w:rsid w:val="0077599B"/>
    <w:rsid w:val="00775A23"/>
    <w:rsid w:val="00775E43"/>
    <w:rsid w:val="00775F2D"/>
    <w:rsid w:val="00775FA5"/>
    <w:rsid w:val="007760CE"/>
    <w:rsid w:val="00776377"/>
    <w:rsid w:val="00776473"/>
    <w:rsid w:val="00776826"/>
    <w:rsid w:val="00776867"/>
    <w:rsid w:val="00776931"/>
    <w:rsid w:val="00776A25"/>
    <w:rsid w:val="00776DD5"/>
    <w:rsid w:val="00776DFC"/>
    <w:rsid w:val="00776E5D"/>
    <w:rsid w:val="00776FF2"/>
    <w:rsid w:val="0077704D"/>
    <w:rsid w:val="007770D8"/>
    <w:rsid w:val="007770F4"/>
    <w:rsid w:val="0077732C"/>
    <w:rsid w:val="007773BC"/>
    <w:rsid w:val="00777663"/>
    <w:rsid w:val="007777F3"/>
    <w:rsid w:val="007779AC"/>
    <w:rsid w:val="00777ADA"/>
    <w:rsid w:val="00777B3F"/>
    <w:rsid w:val="00777CD0"/>
    <w:rsid w:val="00777D56"/>
    <w:rsid w:val="00777F2D"/>
    <w:rsid w:val="0078020A"/>
    <w:rsid w:val="007803B8"/>
    <w:rsid w:val="00780497"/>
    <w:rsid w:val="0078056E"/>
    <w:rsid w:val="00780613"/>
    <w:rsid w:val="0078098C"/>
    <w:rsid w:val="00780A21"/>
    <w:rsid w:val="00780F24"/>
    <w:rsid w:val="00780F35"/>
    <w:rsid w:val="00781246"/>
    <w:rsid w:val="00781302"/>
    <w:rsid w:val="00781307"/>
    <w:rsid w:val="00781478"/>
    <w:rsid w:val="0078154D"/>
    <w:rsid w:val="007815A1"/>
    <w:rsid w:val="00781696"/>
    <w:rsid w:val="00781778"/>
    <w:rsid w:val="00781AAF"/>
    <w:rsid w:val="00781DFD"/>
    <w:rsid w:val="00781EAA"/>
    <w:rsid w:val="00781F12"/>
    <w:rsid w:val="00782397"/>
    <w:rsid w:val="0078262A"/>
    <w:rsid w:val="00782B1F"/>
    <w:rsid w:val="00782B7C"/>
    <w:rsid w:val="007832F9"/>
    <w:rsid w:val="00783590"/>
    <w:rsid w:val="0078369A"/>
    <w:rsid w:val="007837FC"/>
    <w:rsid w:val="007838B5"/>
    <w:rsid w:val="00783D47"/>
    <w:rsid w:val="00783DC4"/>
    <w:rsid w:val="00783E11"/>
    <w:rsid w:val="00783E5E"/>
    <w:rsid w:val="00783EF0"/>
    <w:rsid w:val="0078431A"/>
    <w:rsid w:val="00784328"/>
    <w:rsid w:val="00784375"/>
    <w:rsid w:val="007843B3"/>
    <w:rsid w:val="0078448F"/>
    <w:rsid w:val="0078481A"/>
    <w:rsid w:val="0078481C"/>
    <w:rsid w:val="00784829"/>
    <w:rsid w:val="00784CE7"/>
    <w:rsid w:val="00784F55"/>
    <w:rsid w:val="00784F73"/>
    <w:rsid w:val="0078506E"/>
    <w:rsid w:val="0078509C"/>
    <w:rsid w:val="007852A9"/>
    <w:rsid w:val="007852C8"/>
    <w:rsid w:val="007856A7"/>
    <w:rsid w:val="00785744"/>
    <w:rsid w:val="00785775"/>
    <w:rsid w:val="00785C35"/>
    <w:rsid w:val="0078608F"/>
    <w:rsid w:val="0078622E"/>
    <w:rsid w:val="007864AB"/>
    <w:rsid w:val="0078652F"/>
    <w:rsid w:val="00786579"/>
    <w:rsid w:val="0078676F"/>
    <w:rsid w:val="007867FD"/>
    <w:rsid w:val="007868A7"/>
    <w:rsid w:val="00786934"/>
    <w:rsid w:val="00786C85"/>
    <w:rsid w:val="00786CE1"/>
    <w:rsid w:val="00786D6D"/>
    <w:rsid w:val="007870D3"/>
    <w:rsid w:val="0078712F"/>
    <w:rsid w:val="00787152"/>
    <w:rsid w:val="0078719D"/>
    <w:rsid w:val="007872F7"/>
    <w:rsid w:val="00787383"/>
    <w:rsid w:val="0078759D"/>
    <w:rsid w:val="007876FB"/>
    <w:rsid w:val="00787915"/>
    <w:rsid w:val="00787ABB"/>
    <w:rsid w:val="00787AF4"/>
    <w:rsid w:val="00787B20"/>
    <w:rsid w:val="00787B5D"/>
    <w:rsid w:val="00787CE5"/>
    <w:rsid w:val="0079007E"/>
    <w:rsid w:val="00790178"/>
    <w:rsid w:val="007903F9"/>
    <w:rsid w:val="007904B2"/>
    <w:rsid w:val="00790743"/>
    <w:rsid w:val="00790752"/>
    <w:rsid w:val="00790BC0"/>
    <w:rsid w:val="00790BE8"/>
    <w:rsid w:val="00790C74"/>
    <w:rsid w:val="00790CF2"/>
    <w:rsid w:val="00790DA1"/>
    <w:rsid w:val="00791105"/>
    <w:rsid w:val="0079129E"/>
    <w:rsid w:val="00791331"/>
    <w:rsid w:val="00791346"/>
    <w:rsid w:val="00791554"/>
    <w:rsid w:val="00791D69"/>
    <w:rsid w:val="00791E35"/>
    <w:rsid w:val="00791E5C"/>
    <w:rsid w:val="00791F22"/>
    <w:rsid w:val="0079216F"/>
    <w:rsid w:val="0079219B"/>
    <w:rsid w:val="00792461"/>
    <w:rsid w:val="00792572"/>
    <w:rsid w:val="00792730"/>
    <w:rsid w:val="007929AB"/>
    <w:rsid w:val="00792BB0"/>
    <w:rsid w:val="00792FA9"/>
    <w:rsid w:val="007930CB"/>
    <w:rsid w:val="00793264"/>
    <w:rsid w:val="007933CE"/>
    <w:rsid w:val="0079340E"/>
    <w:rsid w:val="00793484"/>
    <w:rsid w:val="007934F5"/>
    <w:rsid w:val="00793526"/>
    <w:rsid w:val="0079365A"/>
    <w:rsid w:val="00793736"/>
    <w:rsid w:val="0079376C"/>
    <w:rsid w:val="00793917"/>
    <w:rsid w:val="0079391F"/>
    <w:rsid w:val="007939C3"/>
    <w:rsid w:val="007939E2"/>
    <w:rsid w:val="00793A03"/>
    <w:rsid w:val="00793A06"/>
    <w:rsid w:val="00793AEB"/>
    <w:rsid w:val="00793C4F"/>
    <w:rsid w:val="007941D1"/>
    <w:rsid w:val="007941D2"/>
    <w:rsid w:val="007943E7"/>
    <w:rsid w:val="0079458F"/>
    <w:rsid w:val="00794737"/>
    <w:rsid w:val="0079480B"/>
    <w:rsid w:val="007948BE"/>
    <w:rsid w:val="00794D81"/>
    <w:rsid w:val="00794E3E"/>
    <w:rsid w:val="0079560D"/>
    <w:rsid w:val="007958EA"/>
    <w:rsid w:val="007959CC"/>
    <w:rsid w:val="00795A21"/>
    <w:rsid w:val="00795F52"/>
    <w:rsid w:val="007963B7"/>
    <w:rsid w:val="00796421"/>
    <w:rsid w:val="0079650D"/>
    <w:rsid w:val="0079660B"/>
    <w:rsid w:val="00796ABE"/>
    <w:rsid w:val="00796C77"/>
    <w:rsid w:val="00796D66"/>
    <w:rsid w:val="00797063"/>
    <w:rsid w:val="0079716D"/>
    <w:rsid w:val="00797292"/>
    <w:rsid w:val="00797533"/>
    <w:rsid w:val="007976D6"/>
    <w:rsid w:val="00797830"/>
    <w:rsid w:val="0079784E"/>
    <w:rsid w:val="00797A9B"/>
    <w:rsid w:val="00797BD1"/>
    <w:rsid w:val="00797C69"/>
    <w:rsid w:val="00797E0E"/>
    <w:rsid w:val="00797F64"/>
    <w:rsid w:val="007A039C"/>
    <w:rsid w:val="007A04FA"/>
    <w:rsid w:val="007A05A0"/>
    <w:rsid w:val="007A07B9"/>
    <w:rsid w:val="007A07F0"/>
    <w:rsid w:val="007A09A5"/>
    <w:rsid w:val="007A0A6A"/>
    <w:rsid w:val="007A0E11"/>
    <w:rsid w:val="007A118D"/>
    <w:rsid w:val="007A126D"/>
    <w:rsid w:val="007A1325"/>
    <w:rsid w:val="007A1696"/>
    <w:rsid w:val="007A1796"/>
    <w:rsid w:val="007A17DC"/>
    <w:rsid w:val="007A181B"/>
    <w:rsid w:val="007A18F6"/>
    <w:rsid w:val="007A1960"/>
    <w:rsid w:val="007A19E0"/>
    <w:rsid w:val="007A1E64"/>
    <w:rsid w:val="007A1E90"/>
    <w:rsid w:val="007A1E97"/>
    <w:rsid w:val="007A1FE5"/>
    <w:rsid w:val="007A23B9"/>
    <w:rsid w:val="007A23E2"/>
    <w:rsid w:val="007A240E"/>
    <w:rsid w:val="007A2600"/>
    <w:rsid w:val="007A26CE"/>
    <w:rsid w:val="007A2733"/>
    <w:rsid w:val="007A2788"/>
    <w:rsid w:val="007A2A61"/>
    <w:rsid w:val="007A2EBA"/>
    <w:rsid w:val="007A2EF0"/>
    <w:rsid w:val="007A2F49"/>
    <w:rsid w:val="007A307C"/>
    <w:rsid w:val="007A3185"/>
    <w:rsid w:val="007A31D6"/>
    <w:rsid w:val="007A33CF"/>
    <w:rsid w:val="007A34B5"/>
    <w:rsid w:val="007A35B2"/>
    <w:rsid w:val="007A3749"/>
    <w:rsid w:val="007A3800"/>
    <w:rsid w:val="007A3902"/>
    <w:rsid w:val="007A3B15"/>
    <w:rsid w:val="007A3DE8"/>
    <w:rsid w:val="007A3ECB"/>
    <w:rsid w:val="007A3EF5"/>
    <w:rsid w:val="007A4012"/>
    <w:rsid w:val="007A4209"/>
    <w:rsid w:val="007A4371"/>
    <w:rsid w:val="007A45EC"/>
    <w:rsid w:val="007A4671"/>
    <w:rsid w:val="007A48C7"/>
    <w:rsid w:val="007A4B6B"/>
    <w:rsid w:val="007A4B71"/>
    <w:rsid w:val="007A4CBC"/>
    <w:rsid w:val="007A4CE9"/>
    <w:rsid w:val="007A4E22"/>
    <w:rsid w:val="007A4F9F"/>
    <w:rsid w:val="007A5187"/>
    <w:rsid w:val="007A5270"/>
    <w:rsid w:val="007A57EC"/>
    <w:rsid w:val="007A5AEB"/>
    <w:rsid w:val="007A5AF2"/>
    <w:rsid w:val="007A5CD9"/>
    <w:rsid w:val="007A5D91"/>
    <w:rsid w:val="007A5E46"/>
    <w:rsid w:val="007A6001"/>
    <w:rsid w:val="007A60D4"/>
    <w:rsid w:val="007A62B3"/>
    <w:rsid w:val="007A630D"/>
    <w:rsid w:val="007A63C5"/>
    <w:rsid w:val="007A64C7"/>
    <w:rsid w:val="007A6740"/>
    <w:rsid w:val="007A6AC6"/>
    <w:rsid w:val="007A6B27"/>
    <w:rsid w:val="007A6B4E"/>
    <w:rsid w:val="007A6BD9"/>
    <w:rsid w:val="007A6DF0"/>
    <w:rsid w:val="007A766B"/>
    <w:rsid w:val="007A788E"/>
    <w:rsid w:val="007A791B"/>
    <w:rsid w:val="007A79AF"/>
    <w:rsid w:val="007A7B8A"/>
    <w:rsid w:val="007A7C3D"/>
    <w:rsid w:val="007A7C52"/>
    <w:rsid w:val="007A7C98"/>
    <w:rsid w:val="007A7E89"/>
    <w:rsid w:val="007B019C"/>
    <w:rsid w:val="007B0405"/>
    <w:rsid w:val="007B06E7"/>
    <w:rsid w:val="007B0709"/>
    <w:rsid w:val="007B07FB"/>
    <w:rsid w:val="007B083A"/>
    <w:rsid w:val="007B0A74"/>
    <w:rsid w:val="007B0B9D"/>
    <w:rsid w:val="007B0DBE"/>
    <w:rsid w:val="007B0FE5"/>
    <w:rsid w:val="007B11A5"/>
    <w:rsid w:val="007B1A44"/>
    <w:rsid w:val="007B1A4B"/>
    <w:rsid w:val="007B1A71"/>
    <w:rsid w:val="007B1B69"/>
    <w:rsid w:val="007B1D44"/>
    <w:rsid w:val="007B1E2D"/>
    <w:rsid w:val="007B1F6D"/>
    <w:rsid w:val="007B1FC0"/>
    <w:rsid w:val="007B2004"/>
    <w:rsid w:val="007B2034"/>
    <w:rsid w:val="007B2388"/>
    <w:rsid w:val="007B2731"/>
    <w:rsid w:val="007B27C1"/>
    <w:rsid w:val="007B28C2"/>
    <w:rsid w:val="007B29E5"/>
    <w:rsid w:val="007B2B70"/>
    <w:rsid w:val="007B2DAA"/>
    <w:rsid w:val="007B2E59"/>
    <w:rsid w:val="007B2E5B"/>
    <w:rsid w:val="007B2F20"/>
    <w:rsid w:val="007B3042"/>
    <w:rsid w:val="007B309E"/>
    <w:rsid w:val="007B33D0"/>
    <w:rsid w:val="007B358C"/>
    <w:rsid w:val="007B3B54"/>
    <w:rsid w:val="007B40BB"/>
    <w:rsid w:val="007B4130"/>
    <w:rsid w:val="007B4394"/>
    <w:rsid w:val="007B4510"/>
    <w:rsid w:val="007B45F1"/>
    <w:rsid w:val="007B4A20"/>
    <w:rsid w:val="007B4BD9"/>
    <w:rsid w:val="007B4CBB"/>
    <w:rsid w:val="007B4FCF"/>
    <w:rsid w:val="007B5017"/>
    <w:rsid w:val="007B5107"/>
    <w:rsid w:val="007B549B"/>
    <w:rsid w:val="007B566F"/>
    <w:rsid w:val="007B58D9"/>
    <w:rsid w:val="007B5C6A"/>
    <w:rsid w:val="007B5D38"/>
    <w:rsid w:val="007B5E4B"/>
    <w:rsid w:val="007B63C6"/>
    <w:rsid w:val="007B6515"/>
    <w:rsid w:val="007B678E"/>
    <w:rsid w:val="007B6934"/>
    <w:rsid w:val="007B6AB6"/>
    <w:rsid w:val="007B6D26"/>
    <w:rsid w:val="007B6D68"/>
    <w:rsid w:val="007B6E20"/>
    <w:rsid w:val="007B70D3"/>
    <w:rsid w:val="007B73AE"/>
    <w:rsid w:val="007B7529"/>
    <w:rsid w:val="007B7550"/>
    <w:rsid w:val="007B7613"/>
    <w:rsid w:val="007B799C"/>
    <w:rsid w:val="007B79B3"/>
    <w:rsid w:val="007B7A26"/>
    <w:rsid w:val="007B7AA6"/>
    <w:rsid w:val="007B7C15"/>
    <w:rsid w:val="007B7C58"/>
    <w:rsid w:val="007B7CF1"/>
    <w:rsid w:val="007B7D47"/>
    <w:rsid w:val="007C00EA"/>
    <w:rsid w:val="007C027F"/>
    <w:rsid w:val="007C045F"/>
    <w:rsid w:val="007C04D3"/>
    <w:rsid w:val="007C069A"/>
    <w:rsid w:val="007C0713"/>
    <w:rsid w:val="007C07D8"/>
    <w:rsid w:val="007C09B1"/>
    <w:rsid w:val="007C0EB7"/>
    <w:rsid w:val="007C0FE4"/>
    <w:rsid w:val="007C1150"/>
    <w:rsid w:val="007C137C"/>
    <w:rsid w:val="007C1932"/>
    <w:rsid w:val="007C1A89"/>
    <w:rsid w:val="007C1C14"/>
    <w:rsid w:val="007C1EB3"/>
    <w:rsid w:val="007C1FFA"/>
    <w:rsid w:val="007C2057"/>
    <w:rsid w:val="007C2119"/>
    <w:rsid w:val="007C2245"/>
    <w:rsid w:val="007C23E4"/>
    <w:rsid w:val="007C2513"/>
    <w:rsid w:val="007C2741"/>
    <w:rsid w:val="007C2799"/>
    <w:rsid w:val="007C2848"/>
    <w:rsid w:val="007C284B"/>
    <w:rsid w:val="007C291D"/>
    <w:rsid w:val="007C29CD"/>
    <w:rsid w:val="007C2B0C"/>
    <w:rsid w:val="007C2E3D"/>
    <w:rsid w:val="007C2EC4"/>
    <w:rsid w:val="007C2F1A"/>
    <w:rsid w:val="007C3013"/>
    <w:rsid w:val="007C3123"/>
    <w:rsid w:val="007C33C4"/>
    <w:rsid w:val="007C3424"/>
    <w:rsid w:val="007C36A4"/>
    <w:rsid w:val="007C370A"/>
    <w:rsid w:val="007C371B"/>
    <w:rsid w:val="007C3771"/>
    <w:rsid w:val="007C391D"/>
    <w:rsid w:val="007C39F5"/>
    <w:rsid w:val="007C3CC1"/>
    <w:rsid w:val="007C3D6C"/>
    <w:rsid w:val="007C3EED"/>
    <w:rsid w:val="007C4111"/>
    <w:rsid w:val="007C4236"/>
    <w:rsid w:val="007C4396"/>
    <w:rsid w:val="007C47C9"/>
    <w:rsid w:val="007C47EE"/>
    <w:rsid w:val="007C47FA"/>
    <w:rsid w:val="007C488A"/>
    <w:rsid w:val="007C4986"/>
    <w:rsid w:val="007C4A6E"/>
    <w:rsid w:val="007C4C49"/>
    <w:rsid w:val="007C4F7B"/>
    <w:rsid w:val="007C50B6"/>
    <w:rsid w:val="007C510C"/>
    <w:rsid w:val="007C530B"/>
    <w:rsid w:val="007C535B"/>
    <w:rsid w:val="007C5391"/>
    <w:rsid w:val="007C59EA"/>
    <w:rsid w:val="007C5C94"/>
    <w:rsid w:val="007C5D30"/>
    <w:rsid w:val="007C5DBB"/>
    <w:rsid w:val="007C5E5B"/>
    <w:rsid w:val="007C5FD0"/>
    <w:rsid w:val="007C6000"/>
    <w:rsid w:val="007C6187"/>
    <w:rsid w:val="007C6231"/>
    <w:rsid w:val="007C62F2"/>
    <w:rsid w:val="007C6544"/>
    <w:rsid w:val="007C6662"/>
    <w:rsid w:val="007C6E96"/>
    <w:rsid w:val="007C6F60"/>
    <w:rsid w:val="007C6FB2"/>
    <w:rsid w:val="007C7271"/>
    <w:rsid w:val="007C72B9"/>
    <w:rsid w:val="007C733D"/>
    <w:rsid w:val="007C734C"/>
    <w:rsid w:val="007C7681"/>
    <w:rsid w:val="007C7710"/>
    <w:rsid w:val="007C7828"/>
    <w:rsid w:val="007C7ECF"/>
    <w:rsid w:val="007D02CE"/>
    <w:rsid w:val="007D094F"/>
    <w:rsid w:val="007D0BF4"/>
    <w:rsid w:val="007D0BF5"/>
    <w:rsid w:val="007D0D76"/>
    <w:rsid w:val="007D0E79"/>
    <w:rsid w:val="007D12FD"/>
    <w:rsid w:val="007D155E"/>
    <w:rsid w:val="007D15C7"/>
    <w:rsid w:val="007D15F1"/>
    <w:rsid w:val="007D1869"/>
    <w:rsid w:val="007D1B54"/>
    <w:rsid w:val="007D1C26"/>
    <w:rsid w:val="007D1E40"/>
    <w:rsid w:val="007D1EB4"/>
    <w:rsid w:val="007D208D"/>
    <w:rsid w:val="007D2159"/>
    <w:rsid w:val="007D252B"/>
    <w:rsid w:val="007D2689"/>
    <w:rsid w:val="007D29F0"/>
    <w:rsid w:val="007D2AB6"/>
    <w:rsid w:val="007D2C23"/>
    <w:rsid w:val="007D316B"/>
    <w:rsid w:val="007D3328"/>
    <w:rsid w:val="007D354E"/>
    <w:rsid w:val="007D35A7"/>
    <w:rsid w:val="007D3662"/>
    <w:rsid w:val="007D3879"/>
    <w:rsid w:val="007D3A14"/>
    <w:rsid w:val="007D3A36"/>
    <w:rsid w:val="007D3B96"/>
    <w:rsid w:val="007D3D0D"/>
    <w:rsid w:val="007D3FBD"/>
    <w:rsid w:val="007D405A"/>
    <w:rsid w:val="007D4240"/>
    <w:rsid w:val="007D42E2"/>
    <w:rsid w:val="007D4325"/>
    <w:rsid w:val="007D4438"/>
    <w:rsid w:val="007D44CC"/>
    <w:rsid w:val="007D45A1"/>
    <w:rsid w:val="007D461D"/>
    <w:rsid w:val="007D471C"/>
    <w:rsid w:val="007D4A15"/>
    <w:rsid w:val="007D4BB6"/>
    <w:rsid w:val="007D4C78"/>
    <w:rsid w:val="007D4D63"/>
    <w:rsid w:val="007D50A8"/>
    <w:rsid w:val="007D5344"/>
    <w:rsid w:val="007D5396"/>
    <w:rsid w:val="007D54CA"/>
    <w:rsid w:val="007D54CE"/>
    <w:rsid w:val="007D572B"/>
    <w:rsid w:val="007D58EB"/>
    <w:rsid w:val="007D599E"/>
    <w:rsid w:val="007D59E5"/>
    <w:rsid w:val="007D5D09"/>
    <w:rsid w:val="007D5EC7"/>
    <w:rsid w:val="007D5F23"/>
    <w:rsid w:val="007D61A7"/>
    <w:rsid w:val="007D63D8"/>
    <w:rsid w:val="007D6487"/>
    <w:rsid w:val="007D64D7"/>
    <w:rsid w:val="007D6A53"/>
    <w:rsid w:val="007D6A76"/>
    <w:rsid w:val="007D6BF6"/>
    <w:rsid w:val="007D6C8C"/>
    <w:rsid w:val="007D6D27"/>
    <w:rsid w:val="007D6E68"/>
    <w:rsid w:val="007D6E96"/>
    <w:rsid w:val="007D6EF0"/>
    <w:rsid w:val="007D6F34"/>
    <w:rsid w:val="007D6FE1"/>
    <w:rsid w:val="007D6FEF"/>
    <w:rsid w:val="007D721D"/>
    <w:rsid w:val="007D72A3"/>
    <w:rsid w:val="007D72A8"/>
    <w:rsid w:val="007D74A4"/>
    <w:rsid w:val="007D75E0"/>
    <w:rsid w:val="007D7661"/>
    <w:rsid w:val="007D76B5"/>
    <w:rsid w:val="007D76DB"/>
    <w:rsid w:val="007D7894"/>
    <w:rsid w:val="007D7A7F"/>
    <w:rsid w:val="007D7BEE"/>
    <w:rsid w:val="007E022D"/>
    <w:rsid w:val="007E04A7"/>
    <w:rsid w:val="007E0A56"/>
    <w:rsid w:val="007E0D03"/>
    <w:rsid w:val="007E0D5E"/>
    <w:rsid w:val="007E10BA"/>
    <w:rsid w:val="007E12B5"/>
    <w:rsid w:val="007E12F1"/>
    <w:rsid w:val="007E13DD"/>
    <w:rsid w:val="007E1734"/>
    <w:rsid w:val="007E1913"/>
    <w:rsid w:val="007E19D6"/>
    <w:rsid w:val="007E1C38"/>
    <w:rsid w:val="007E1C60"/>
    <w:rsid w:val="007E1D2F"/>
    <w:rsid w:val="007E1E75"/>
    <w:rsid w:val="007E1E7C"/>
    <w:rsid w:val="007E1EC2"/>
    <w:rsid w:val="007E24C0"/>
    <w:rsid w:val="007E2649"/>
    <w:rsid w:val="007E2815"/>
    <w:rsid w:val="007E297D"/>
    <w:rsid w:val="007E2A9C"/>
    <w:rsid w:val="007E2C55"/>
    <w:rsid w:val="007E2C69"/>
    <w:rsid w:val="007E3492"/>
    <w:rsid w:val="007E38D1"/>
    <w:rsid w:val="007E3A8D"/>
    <w:rsid w:val="007E3C18"/>
    <w:rsid w:val="007E3C7B"/>
    <w:rsid w:val="007E3C92"/>
    <w:rsid w:val="007E3E2C"/>
    <w:rsid w:val="007E4185"/>
    <w:rsid w:val="007E41C5"/>
    <w:rsid w:val="007E41E6"/>
    <w:rsid w:val="007E42B7"/>
    <w:rsid w:val="007E44F3"/>
    <w:rsid w:val="007E483C"/>
    <w:rsid w:val="007E4862"/>
    <w:rsid w:val="007E4BDF"/>
    <w:rsid w:val="007E4C6F"/>
    <w:rsid w:val="007E4D5D"/>
    <w:rsid w:val="007E4EE0"/>
    <w:rsid w:val="007E50BB"/>
    <w:rsid w:val="007E50C5"/>
    <w:rsid w:val="007E5779"/>
    <w:rsid w:val="007E57E9"/>
    <w:rsid w:val="007E597F"/>
    <w:rsid w:val="007E59FD"/>
    <w:rsid w:val="007E5CEB"/>
    <w:rsid w:val="007E5DD5"/>
    <w:rsid w:val="007E61A5"/>
    <w:rsid w:val="007E630C"/>
    <w:rsid w:val="007E6448"/>
    <w:rsid w:val="007E6511"/>
    <w:rsid w:val="007E65B6"/>
    <w:rsid w:val="007E66CF"/>
    <w:rsid w:val="007E6891"/>
    <w:rsid w:val="007E6A39"/>
    <w:rsid w:val="007E6B15"/>
    <w:rsid w:val="007E6DED"/>
    <w:rsid w:val="007E71CC"/>
    <w:rsid w:val="007E7283"/>
    <w:rsid w:val="007E7589"/>
    <w:rsid w:val="007E7783"/>
    <w:rsid w:val="007E7939"/>
    <w:rsid w:val="007E797E"/>
    <w:rsid w:val="007E7AA6"/>
    <w:rsid w:val="007E7CC8"/>
    <w:rsid w:val="007F007F"/>
    <w:rsid w:val="007F00BB"/>
    <w:rsid w:val="007F04D7"/>
    <w:rsid w:val="007F0864"/>
    <w:rsid w:val="007F0A0F"/>
    <w:rsid w:val="007F0A63"/>
    <w:rsid w:val="007F0AAD"/>
    <w:rsid w:val="007F0BAE"/>
    <w:rsid w:val="007F0E05"/>
    <w:rsid w:val="007F1046"/>
    <w:rsid w:val="007F1163"/>
    <w:rsid w:val="007F11F8"/>
    <w:rsid w:val="007F1239"/>
    <w:rsid w:val="007F18F2"/>
    <w:rsid w:val="007F193A"/>
    <w:rsid w:val="007F1B38"/>
    <w:rsid w:val="007F216B"/>
    <w:rsid w:val="007F231F"/>
    <w:rsid w:val="007F269C"/>
    <w:rsid w:val="007F2818"/>
    <w:rsid w:val="007F2AB2"/>
    <w:rsid w:val="007F2B40"/>
    <w:rsid w:val="007F2C89"/>
    <w:rsid w:val="007F30D0"/>
    <w:rsid w:val="007F32D7"/>
    <w:rsid w:val="007F34D9"/>
    <w:rsid w:val="007F38E7"/>
    <w:rsid w:val="007F3DA1"/>
    <w:rsid w:val="007F4128"/>
    <w:rsid w:val="007F45EB"/>
    <w:rsid w:val="007F49F1"/>
    <w:rsid w:val="007F49FB"/>
    <w:rsid w:val="007F4A6F"/>
    <w:rsid w:val="007F4AB0"/>
    <w:rsid w:val="007F4F62"/>
    <w:rsid w:val="007F5220"/>
    <w:rsid w:val="007F52A9"/>
    <w:rsid w:val="007F5396"/>
    <w:rsid w:val="007F5484"/>
    <w:rsid w:val="007F55A7"/>
    <w:rsid w:val="007F5C7C"/>
    <w:rsid w:val="007F5D93"/>
    <w:rsid w:val="007F616D"/>
    <w:rsid w:val="007F6288"/>
    <w:rsid w:val="007F62D9"/>
    <w:rsid w:val="007F64DF"/>
    <w:rsid w:val="007F6616"/>
    <w:rsid w:val="007F6770"/>
    <w:rsid w:val="007F67D3"/>
    <w:rsid w:val="007F68B6"/>
    <w:rsid w:val="007F6964"/>
    <w:rsid w:val="007F6A86"/>
    <w:rsid w:val="007F6AE1"/>
    <w:rsid w:val="007F6C6F"/>
    <w:rsid w:val="007F6E3B"/>
    <w:rsid w:val="007F6F61"/>
    <w:rsid w:val="007F6FA4"/>
    <w:rsid w:val="007F7363"/>
    <w:rsid w:val="007F740D"/>
    <w:rsid w:val="007F75B4"/>
    <w:rsid w:val="007F766F"/>
    <w:rsid w:val="007F7983"/>
    <w:rsid w:val="007F7BE0"/>
    <w:rsid w:val="007F7DF2"/>
    <w:rsid w:val="0080009A"/>
    <w:rsid w:val="00800295"/>
    <w:rsid w:val="0080041F"/>
    <w:rsid w:val="008005F7"/>
    <w:rsid w:val="00800B55"/>
    <w:rsid w:val="00800B5A"/>
    <w:rsid w:val="00800DCB"/>
    <w:rsid w:val="00800E88"/>
    <w:rsid w:val="00801111"/>
    <w:rsid w:val="0080116E"/>
    <w:rsid w:val="008011CF"/>
    <w:rsid w:val="00801222"/>
    <w:rsid w:val="00801337"/>
    <w:rsid w:val="00801511"/>
    <w:rsid w:val="008015A2"/>
    <w:rsid w:val="00801631"/>
    <w:rsid w:val="00801634"/>
    <w:rsid w:val="0080185F"/>
    <w:rsid w:val="0080197B"/>
    <w:rsid w:val="00801CF9"/>
    <w:rsid w:val="00801D91"/>
    <w:rsid w:val="00801E96"/>
    <w:rsid w:val="0080204D"/>
    <w:rsid w:val="00802251"/>
    <w:rsid w:val="008023C7"/>
    <w:rsid w:val="00802440"/>
    <w:rsid w:val="0080253C"/>
    <w:rsid w:val="0080260D"/>
    <w:rsid w:val="008026AA"/>
    <w:rsid w:val="00802822"/>
    <w:rsid w:val="00802B17"/>
    <w:rsid w:val="00802BE2"/>
    <w:rsid w:val="00803182"/>
    <w:rsid w:val="008031F1"/>
    <w:rsid w:val="00803353"/>
    <w:rsid w:val="008035F4"/>
    <w:rsid w:val="008038EC"/>
    <w:rsid w:val="00803AD8"/>
    <w:rsid w:val="00803D0A"/>
    <w:rsid w:val="00803F19"/>
    <w:rsid w:val="00803FB2"/>
    <w:rsid w:val="00804550"/>
    <w:rsid w:val="00804663"/>
    <w:rsid w:val="0080468B"/>
    <w:rsid w:val="008046D3"/>
    <w:rsid w:val="008047B5"/>
    <w:rsid w:val="00804B6A"/>
    <w:rsid w:val="00804B6D"/>
    <w:rsid w:val="00804D72"/>
    <w:rsid w:val="00804E2A"/>
    <w:rsid w:val="00804FA9"/>
    <w:rsid w:val="00804FBD"/>
    <w:rsid w:val="00805326"/>
    <w:rsid w:val="0080537A"/>
    <w:rsid w:val="008054BE"/>
    <w:rsid w:val="00805708"/>
    <w:rsid w:val="00805952"/>
    <w:rsid w:val="00805A0F"/>
    <w:rsid w:val="00805A5D"/>
    <w:rsid w:val="00805BB6"/>
    <w:rsid w:val="00805CEA"/>
    <w:rsid w:val="00805CFF"/>
    <w:rsid w:val="00805DCD"/>
    <w:rsid w:val="0080662A"/>
    <w:rsid w:val="00806754"/>
    <w:rsid w:val="00806B26"/>
    <w:rsid w:val="00806CDA"/>
    <w:rsid w:val="00806D17"/>
    <w:rsid w:val="00806E3B"/>
    <w:rsid w:val="00807018"/>
    <w:rsid w:val="0080720A"/>
    <w:rsid w:val="0080723B"/>
    <w:rsid w:val="00807415"/>
    <w:rsid w:val="008074DF"/>
    <w:rsid w:val="00807515"/>
    <w:rsid w:val="00807585"/>
    <w:rsid w:val="00807692"/>
    <w:rsid w:val="0080771A"/>
    <w:rsid w:val="0080776A"/>
    <w:rsid w:val="008077ED"/>
    <w:rsid w:val="008078D8"/>
    <w:rsid w:val="00807A8D"/>
    <w:rsid w:val="00807AD4"/>
    <w:rsid w:val="00807CA6"/>
    <w:rsid w:val="00807CF5"/>
    <w:rsid w:val="00807CF9"/>
    <w:rsid w:val="00810537"/>
    <w:rsid w:val="008106C0"/>
    <w:rsid w:val="00810716"/>
    <w:rsid w:val="008108FF"/>
    <w:rsid w:val="00810B0F"/>
    <w:rsid w:val="00810BA3"/>
    <w:rsid w:val="00810BD7"/>
    <w:rsid w:val="00810C50"/>
    <w:rsid w:val="00810D32"/>
    <w:rsid w:val="00811264"/>
    <w:rsid w:val="008112D7"/>
    <w:rsid w:val="008113C2"/>
    <w:rsid w:val="00811482"/>
    <w:rsid w:val="008114B6"/>
    <w:rsid w:val="008114D1"/>
    <w:rsid w:val="008115FE"/>
    <w:rsid w:val="00811626"/>
    <w:rsid w:val="00811797"/>
    <w:rsid w:val="00811AAB"/>
    <w:rsid w:val="00811AE9"/>
    <w:rsid w:val="00811D4A"/>
    <w:rsid w:val="00811D5E"/>
    <w:rsid w:val="00811DC2"/>
    <w:rsid w:val="00811F26"/>
    <w:rsid w:val="00812C43"/>
    <w:rsid w:val="00812EF4"/>
    <w:rsid w:val="00812F4B"/>
    <w:rsid w:val="00812FDD"/>
    <w:rsid w:val="00813069"/>
    <w:rsid w:val="00813126"/>
    <w:rsid w:val="008131DA"/>
    <w:rsid w:val="0081325A"/>
    <w:rsid w:val="008134C6"/>
    <w:rsid w:val="0081351D"/>
    <w:rsid w:val="00813567"/>
    <w:rsid w:val="008139EA"/>
    <w:rsid w:val="00813A23"/>
    <w:rsid w:val="00813A53"/>
    <w:rsid w:val="00813B72"/>
    <w:rsid w:val="00814040"/>
    <w:rsid w:val="008140BD"/>
    <w:rsid w:val="0081423E"/>
    <w:rsid w:val="008143AB"/>
    <w:rsid w:val="008145CF"/>
    <w:rsid w:val="008147AC"/>
    <w:rsid w:val="00814C2F"/>
    <w:rsid w:val="00815062"/>
    <w:rsid w:val="00815431"/>
    <w:rsid w:val="00815637"/>
    <w:rsid w:val="00815AF8"/>
    <w:rsid w:val="00815B7D"/>
    <w:rsid w:val="00815E3E"/>
    <w:rsid w:val="0081600F"/>
    <w:rsid w:val="0081609A"/>
    <w:rsid w:val="008160D5"/>
    <w:rsid w:val="0081624C"/>
    <w:rsid w:val="00816543"/>
    <w:rsid w:val="0081662E"/>
    <w:rsid w:val="00816705"/>
    <w:rsid w:val="00816750"/>
    <w:rsid w:val="008167BD"/>
    <w:rsid w:val="008167DE"/>
    <w:rsid w:val="00816A69"/>
    <w:rsid w:val="00816B47"/>
    <w:rsid w:val="00816BB8"/>
    <w:rsid w:val="00816CB1"/>
    <w:rsid w:val="00816EAA"/>
    <w:rsid w:val="0081714B"/>
    <w:rsid w:val="00817176"/>
    <w:rsid w:val="00817540"/>
    <w:rsid w:val="008175F0"/>
    <w:rsid w:val="00817DE0"/>
    <w:rsid w:val="00817FDB"/>
    <w:rsid w:val="0082026B"/>
    <w:rsid w:val="008202ED"/>
    <w:rsid w:val="00820340"/>
    <w:rsid w:val="00820630"/>
    <w:rsid w:val="00820679"/>
    <w:rsid w:val="0082072D"/>
    <w:rsid w:val="00820878"/>
    <w:rsid w:val="00820932"/>
    <w:rsid w:val="00820951"/>
    <w:rsid w:val="00820C64"/>
    <w:rsid w:val="00820DCF"/>
    <w:rsid w:val="00820F42"/>
    <w:rsid w:val="00820FD9"/>
    <w:rsid w:val="008214F4"/>
    <w:rsid w:val="0082178B"/>
    <w:rsid w:val="00821857"/>
    <w:rsid w:val="0082189B"/>
    <w:rsid w:val="00821912"/>
    <w:rsid w:val="00821993"/>
    <w:rsid w:val="00821AEA"/>
    <w:rsid w:val="00821CBE"/>
    <w:rsid w:val="00821DA7"/>
    <w:rsid w:val="00822187"/>
    <w:rsid w:val="00822213"/>
    <w:rsid w:val="008222AA"/>
    <w:rsid w:val="0082245A"/>
    <w:rsid w:val="00822520"/>
    <w:rsid w:val="008229C0"/>
    <w:rsid w:val="00822B8E"/>
    <w:rsid w:val="00822D55"/>
    <w:rsid w:val="00823381"/>
    <w:rsid w:val="00823441"/>
    <w:rsid w:val="00823522"/>
    <w:rsid w:val="00823531"/>
    <w:rsid w:val="00823598"/>
    <w:rsid w:val="00823856"/>
    <w:rsid w:val="00823AE1"/>
    <w:rsid w:val="00823C15"/>
    <w:rsid w:val="00823C6E"/>
    <w:rsid w:val="00823CAC"/>
    <w:rsid w:val="0082416B"/>
    <w:rsid w:val="008248CC"/>
    <w:rsid w:val="00825211"/>
    <w:rsid w:val="00825359"/>
    <w:rsid w:val="00825361"/>
    <w:rsid w:val="00825575"/>
    <w:rsid w:val="00825879"/>
    <w:rsid w:val="0082588C"/>
    <w:rsid w:val="008259EE"/>
    <w:rsid w:val="00825A12"/>
    <w:rsid w:val="00825B13"/>
    <w:rsid w:val="00825FD6"/>
    <w:rsid w:val="008263C4"/>
    <w:rsid w:val="008269A6"/>
    <w:rsid w:val="008269A8"/>
    <w:rsid w:val="00826A16"/>
    <w:rsid w:val="00826A4D"/>
    <w:rsid w:val="00826DED"/>
    <w:rsid w:val="00826E45"/>
    <w:rsid w:val="008273A4"/>
    <w:rsid w:val="0082754F"/>
    <w:rsid w:val="0082757F"/>
    <w:rsid w:val="00827642"/>
    <w:rsid w:val="0082766D"/>
    <w:rsid w:val="0082777E"/>
    <w:rsid w:val="00827BD6"/>
    <w:rsid w:val="00827D4F"/>
    <w:rsid w:val="00827E04"/>
    <w:rsid w:val="00827F8B"/>
    <w:rsid w:val="008301CD"/>
    <w:rsid w:val="008302CF"/>
    <w:rsid w:val="008305A3"/>
    <w:rsid w:val="00830788"/>
    <w:rsid w:val="00830835"/>
    <w:rsid w:val="0083099A"/>
    <w:rsid w:val="00830B67"/>
    <w:rsid w:val="00830F02"/>
    <w:rsid w:val="00830F18"/>
    <w:rsid w:val="00831422"/>
    <w:rsid w:val="008314BF"/>
    <w:rsid w:val="0083164C"/>
    <w:rsid w:val="00831711"/>
    <w:rsid w:val="008317B8"/>
    <w:rsid w:val="008317DC"/>
    <w:rsid w:val="00831A68"/>
    <w:rsid w:val="00831EC5"/>
    <w:rsid w:val="00831FB9"/>
    <w:rsid w:val="008320A7"/>
    <w:rsid w:val="008320AA"/>
    <w:rsid w:val="00832403"/>
    <w:rsid w:val="00832467"/>
    <w:rsid w:val="00832A47"/>
    <w:rsid w:val="00832AC0"/>
    <w:rsid w:val="00832B9D"/>
    <w:rsid w:val="00832E5D"/>
    <w:rsid w:val="00832E96"/>
    <w:rsid w:val="00833340"/>
    <w:rsid w:val="008335E7"/>
    <w:rsid w:val="00833795"/>
    <w:rsid w:val="00833914"/>
    <w:rsid w:val="00833D7F"/>
    <w:rsid w:val="00833DAE"/>
    <w:rsid w:val="008340A2"/>
    <w:rsid w:val="008341B4"/>
    <w:rsid w:val="0083424D"/>
    <w:rsid w:val="008343EA"/>
    <w:rsid w:val="008345FF"/>
    <w:rsid w:val="00834699"/>
    <w:rsid w:val="00834701"/>
    <w:rsid w:val="00834771"/>
    <w:rsid w:val="008349BA"/>
    <w:rsid w:val="00834A25"/>
    <w:rsid w:val="00834B23"/>
    <w:rsid w:val="00834B99"/>
    <w:rsid w:val="00834C39"/>
    <w:rsid w:val="00834C77"/>
    <w:rsid w:val="00834D96"/>
    <w:rsid w:val="00834E7D"/>
    <w:rsid w:val="00834EF9"/>
    <w:rsid w:val="00835100"/>
    <w:rsid w:val="008351F0"/>
    <w:rsid w:val="00835514"/>
    <w:rsid w:val="0083581E"/>
    <w:rsid w:val="00835866"/>
    <w:rsid w:val="0083608A"/>
    <w:rsid w:val="0083609B"/>
    <w:rsid w:val="00836144"/>
    <w:rsid w:val="008363BB"/>
    <w:rsid w:val="0083645B"/>
    <w:rsid w:val="008364AD"/>
    <w:rsid w:val="00836597"/>
    <w:rsid w:val="008366EE"/>
    <w:rsid w:val="008368D0"/>
    <w:rsid w:val="00836A31"/>
    <w:rsid w:val="00836B9A"/>
    <w:rsid w:val="00836BA8"/>
    <w:rsid w:val="00836C4D"/>
    <w:rsid w:val="00836E0B"/>
    <w:rsid w:val="00836FBA"/>
    <w:rsid w:val="008373F9"/>
    <w:rsid w:val="0083742D"/>
    <w:rsid w:val="0083748D"/>
    <w:rsid w:val="008376D2"/>
    <w:rsid w:val="008376E7"/>
    <w:rsid w:val="008376FE"/>
    <w:rsid w:val="00837A40"/>
    <w:rsid w:val="00837CA7"/>
    <w:rsid w:val="00837D0A"/>
    <w:rsid w:val="00837F20"/>
    <w:rsid w:val="00840187"/>
    <w:rsid w:val="008402F1"/>
    <w:rsid w:val="0084034A"/>
    <w:rsid w:val="0084051F"/>
    <w:rsid w:val="00840718"/>
    <w:rsid w:val="0084071A"/>
    <w:rsid w:val="00840B9B"/>
    <w:rsid w:val="008410B7"/>
    <w:rsid w:val="008411D7"/>
    <w:rsid w:val="0084202E"/>
    <w:rsid w:val="008420EA"/>
    <w:rsid w:val="008427C2"/>
    <w:rsid w:val="00842819"/>
    <w:rsid w:val="008429A2"/>
    <w:rsid w:val="00842A7F"/>
    <w:rsid w:val="00842DBA"/>
    <w:rsid w:val="00842F08"/>
    <w:rsid w:val="00842FAB"/>
    <w:rsid w:val="00842FC0"/>
    <w:rsid w:val="00842FF9"/>
    <w:rsid w:val="00843041"/>
    <w:rsid w:val="00843093"/>
    <w:rsid w:val="008435A3"/>
    <w:rsid w:val="0084361D"/>
    <w:rsid w:val="008436C5"/>
    <w:rsid w:val="008436DD"/>
    <w:rsid w:val="008437B7"/>
    <w:rsid w:val="00843939"/>
    <w:rsid w:val="0084396B"/>
    <w:rsid w:val="00843BB3"/>
    <w:rsid w:val="00843CE5"/>
    <w:rsid w:val="00843E5E"/>
    <w:rsid w:val="00844025"/>
    <w:rsid w:val="00844062"/>
    <w:rsid w:val="008441B4"/>
    <w:rsid w:val="008442CE"/>
    <w:rsid w:val="00844484"/>
    <w:rsid w:val="008444E8"/>
    <w:rsid w:val="008448A5"/>
    <w:rsid w:val="00844D06"/>
    <w:rsid w:val="00844DF1"/>
    <w:rsid w:val="00844E03"/>
    <w:rsid w:val="00844ED5"/>
    <w:rsid w:val="00845444"/>
    <w:rsid w:val="008454C9"/>
    <w:rsid w:val="0084575D"/>
    <w:rsid w:val="0084577B"/>
    <w:rsid w:val="0084584D"/>
    <w:rsid w:val="008459A8"/>
    <w:rsid w:val="00845ABC"/>
    <w:rsid w:val="00845B46"/>
    <w:rsid w:val="00845E6F"/>
    <w:rsid w:val="00846337"/>
    <w:rsid w:val="0084653C"/>
    <w:rsid w:val="00846999"/>
    <w:rsid w:val="00846A50"/>
    <w:rsid w:val="00846D11"/>
    <w:rsid w:val="00846E58"/>
    <w:rsid w:val="00846EA6"/>
    <w:rsid w:val="008474B8"/>
    <w:rsid w:val="008475ED"/>
    <w:rsid w:val="008477A6"/>
    <w:rsid w:val="00847896"/>
    <w:rsid w:val="00847C5E"/>
    <w:rsid w:val="00847E32"/>
    <w:rsid w:val="00847F87"/>
    <w:rsid w:val="0085008B"/>
    <w:rsid w:val="008504D4"/>
    <w:rsid w:val="00850583"/>
    <w:rsid w:val="00850680"/>
    <w:rsid w:val="00850685"/>
    <w:rsid w:val="008507C7"/>
    <w:rsid w:val="00850878"/>
    <w:rsid w:val="00850962"/>
    <w:rsid w:val="00850BC0"/>
    <w:rsid w:val="00850CE3"/>
    <w:rsid w:val="00850FCD"/>
    <w:rsid w:val="008510BD"/>
    <w:rsid w:val="008510C2"/>
    <w:rsid w:val="008510D1"/>
    <w:rsid w:val="00851154"/>
    <w:rsid w:val="008511F0"/>
    <w:rsid w:val="00851294"/>
    <w:rsid w:val="008512ED"/>
    <w:rsid w:val="008515D0"/>
    <w:rsid w:val="00851706"/>
    <w:rsid w:val="008517BB"/>
    <w:rsid w:val="008518AB"/>
    <w:rsid w:val="0085192B"/>
    <w:rsid w:val="00851FC0"/>
    <w:rsid w:val="00852283"/>
    <w:rsid w:val="008524F4"/>
    <w:rsid w:val="008529D3"/>
    <w:rsid w:val="00852C98"/>
    <w:rsid w:val="00852D2A"/>
    <w:rsid w:val="00852D53"/>
    <w:rsid w:val="008532BB"/>
    <w:rsid w:val="00853734"/>
    <w:rsid w:val="008538EC"/>
    <w:rsid w:val="00853A4C"/>
    <w:rsid w:val="00853BA1"/>
    <w:rsid w:val="00853C4D"/>
    <w:rsid w:val="00853C61"/>
    <w:rsid w:val="00853E96"/>
    <w:rsid w:val="00853F06"/>
    <w:rsid w:val="00854290"/>
    <w:rsid w:val="00854499"/>
    <w:rsid w:val="0085455E"/>
    <w:rsid w:val="00854915"/>
    <w:rsid w:val="00854A4F"/>
    <w:rsid w:val="00854D6A"/>
    <w:rsid w:val="00854EB0"/>
    <w:rsid w:val="00854F86"/>
    <w:rsid w:val="008551C8"/>
    <w:rsid w:val="008553C9"/>
    <w:rsid w:val="00855618"/>
    <w:rsid w:val="008556F1"/>
    <w:rsid w:val="00855702"/>
    <w:rsid w:val="0085576F"/>
    <w:rsid w:val="00855A37"/>
    <w:rsid w:val="00855CE1"/>
    <w:rsid w:val="00856156"/>
    <w:rsid w:val="00856258"/>
    <w:rsid w:val="00856381"/>
    <w:rsid w:val="0085689B"/>
    <w:rsid w:val="0085690C"/>
    <w:rsid w:val="00856B1C"/>
    <w:rsid w:val="00856C8E"/>
    <w:rsid w:val="00856EC3"/>
    <w:rsid w:val="008570B8"/>
    <w:rsid w:val="0085725E"/>
    <w:rsid w:val="00857368"/>
    <w:rsid w:val="0085742B"/>
    <w:rsid w:val="0085743C"/>
    <w:rsid w:val="00857589"/>
    <w:rsid w:val="0085763B"/>
    <w:rsid w:val="0085773A"/>
    <w:rsid w:val="00857876"/>
    <w:rsid w:val="008578A5"/>
    <w:rsid w:val="008578D8"/>
    <w:rsid w:val="00857921"/>
    <w:rsid w:val="00857A5F"/>
    <w:rsid w:val="00857C9A"/>
    <w:rsid w:val="00857CA3"/>
    <w:rsid w:val="00860171"/>
    <w:rsid w:val="008601D7"/>
    <w:rsid w:val="00860403"/>
    <w:rsid w:val="00860857"/>
    <w:rsid w:val="00860876"/>
    <w:rsid w:val="0086091B"/>
    <w:rsid w:val="00860B0D"/>
    <w:rsid w:val="00860D14"/>
    <w:rsid w:val="00860FAB"/>
    <w:rsid w:val="008610E3"/>
    <w:rsid w:val="008614DD"/>
    <w:rsid w:val="0086175C"/>
    <w:rsid w:val="008617E0"/>
    <w:rsid w:val="0086181F"/>
    <w:rsid w:val="00861842"/>
    <w:rsid w:val="00861A44"/>
    <w:rsid w:val="00861AF7"/>
    <w:rsid w:val="00861D57"/>
    <w:rsid w:val="00861EF3"/>
    <w:rsid w:val="008620AE"/>
    <w:rsid w:val="008620C6"/>
    <w:rsid w:val="00862259"/>
    <w:rsid w:val="00862397"/>
    <w:rsid w:val="00862686"/>
    <w:rsid w:val="00862702"/>
    <w:rsid w:val="00862AEB"/>
    <w:rsid w:val="00862BA6"/>
    <w:rsid w:val="00862E2B"/>
    <w:rsid w:val="008631CE"/>
    <w:rsid w:val="00863564"/>
    <w:rsid w:val="008635A9"/>
    <w:rsid w:val="008635B1"/>
    <w:rsid w:val="00863A42"/>
    <w:rsid w:val="00863B2D"/>
    <w:rsid w:val="00863FC9"/>
    <w:rsid w:val="008640DF"/>
    <w:rsid w:val="00864121"/>
    <w:rsid w:val="008642AD"/>
    <w:rsid w:val="008642C4"/>
    <w:rsid w:val="008642F9"/>
    <w:rsid w:val="0086430A"/>
    <w:rsid w:val="008647E2"/>
    <w:rsid w:val="00864C7C"/>
    <w:rsid w:val="00864E58"/>
    <w:rsid w:val="00864F3A"/>
    <w:rsid w:val="00865226"/>
    <w:rsid w:val="008654F5"/>
    <w:rsid w:val="008656A1"/>
    <w:rsid w:val="00865708"/>
    <w:rsid w:val="008657F9"/>
    <w:rsid w:val="00865908"/>
    <w:rsid w:val="00865F7A"/>
    <w:rsid w:val="008661E3"/>
    <w:rsid w:val="008662CC"/>
    <w:rsid w:val="008662EE"/>
    <w:rsid w:val="008663D5"/>
    <w:rsid w:val="0086650C"/>
    <w:rsid w:val="00866573"/>
    <w:rsid w:val="0086667F"/>
    <w:rsid w:val="008667D5"/>
    <w:rsid w:val="0086684C"/>
    <w:rsid w:val="0086689F"/>
    <w:rsid w:val="008668DC"/>
    <w:rsid w:val="00866BF5"/>
    <w:rsid w:val="00866C49"/>
    <w:rsid w:val="008670B0"/>
    <w:rsid w:val="00867199"/>
    <w:rsid w:val="00867279"/>
    <w:rsid w:val="00867557"/>
    <w:rsid w:val="00867575"/>
    <w:rsid w:val="00867671"/>
    <w:rsid w:val="00867693"/>
    <w:rsid w:val="008676C0"/>
    <w:rsid w:val="00867964"/>
    <w:rsid w:val="00867B1C"/>
    <w:rsid w:val="00867DA0"/>
    <w:rsid w:val="0087008B"/>
    <w:rsid w:val="008701CF"/>
    <w:rsid w:val="00870261"/>
    <w:rsid w:val="00870341"/>
    <w:rsid w:val="008704A3"/>
    <w:rsid w:val="008705D6"/>
    <w:rsid w:val="0087099B"/>
    <w:rsid w:val="008709F0"/>
    <w:rsid w:val="008710C4"/>
    <w:rsid w:val="008712B1"/>
    <w:rsid w:val="00871492"/>
    <w:rsid w:val="008714DB"/>
    <w:rsid w:val="00871810"/>
    <w:rsid w:val="008718B5"/>
    <w:rsid w:val="00871C1D"/>
    <w:rsid w:val="00872064"/>
    <w:rsid w:val="008720A7"/>
    <w:rsid w:val="008721CC"/>
    <w:rsid w:val="00872237"/>
    <w:rsid w:val="008722E4"/>
    <w:rsid w:val="008722F8"/>
    <w:rsid w:val="00872474"/>
    <w:rsid w:val="00872618"/>
    <w:rsid w:val="00872AB5"/>
    <w:rsid w:val="00872B0B"/>
    <w:rsid w:val="0087303E"/>
    <w:rsid w:val="008730DA"/>
    <w:rsid w:val="00873168"/>
    <w:rsid w:val="00873181"/>
    <w:rsid w:val="0087332B"/>
    <w:rsid w:val="00873440"/>
    <w:rsid w:val="00873692"/>
    <w:rsid w:val="0087392C"/>
    <w:rsid w:val="00873A19"/>
    <w:rsid w:val="00873B07"/>
    <w:rsid w:val="00873FA2"/>
    <w:rsid w:val="00874212"/>
    <w:rsid w:val="00874360"/>
    <w:rsid w:val="00874426"/>
    <w:rsid w:val="00874636"/>
    <w:rsid w:val="00874836"/>
    <w:rsid w:val="008749C7"/>
    <w:rsid w:val="00874A0D"/>
    <w:rsid w:val="00875158"/>
    <w:rsid w:val="008751AD"/>
    <w:rsid w:val="00875291"/>
    <w:rsid w:val="00875342"/>
    <w:rsid w:val="008753A1"/>
    <w:rsid w:val="008753E1"/>
    <w:rsid w:val="008755AC"/>
    <w:rsid w:val="008756A0"/>
    <w:rsid w:val="0087570E"/>
    <w:rsid w:val="008757FA"/>
    <w:rsid w:val="00875B41"/>
    <w:rsid w:val="00875B8C"/>
    <w:rsid w:val="00875B8D"/>
    <w:rsid w:val="00875CB2"/>
    <w:rsid w:val="00875CC7"/>
    <w:rsid w:val="00875F8A"/>
    <w:rsid w:val="00876489"/>
    <w:rsid w:val="0087687F"/>
    <w:rsid w:val="00876900"/>
    <w:rsid w:val="00876942"/>
    <w:rsid w:val="00876E57"/>
    <w:rsid w:val="00876F72"/>
    <w:rsid w:val="0087711A"/>
    <w:rsid w:val="00877183"/>
    <w:rsid w:val="0087724D"/>
    <w:rsid w:val="0087728F"/>
    <w:rsid w:val="0087770D"/>
    <w:rsid w:val="008777B3"/>
    <w:rsid w:val="00877899"/>
    <w:rsid w:val="00877B64"/>
    <w:rsid w:val="00877D7E"/>
    <w:rsid w:val="0088005C"/>
    <w:rsid w:val="008804BA"/>
    <w:rsid w:val="00880630"/>
    <w:rsid w:val="0088085F"/>
    <w:rsid w:val="00880987"/>
    <w:rsid w:val="00880A35"/>
    <w:rsid w:val="00880DA3"/>
    <w:rsid w:val="00880F86"/>
    <w:rsid w:val="0088109F"/>
    <w:rsid w:val="00881421"/>
    <w:rsid w:val="0088165D"/>
    <w:rsid w:val="008817A0"/>
    <w:rsid w:val="00881941"/>
    <w:rsid w:val="008819ED"/>
    <w:rsid w:val="00881A40"/>
    <w:rsid w:val="00881C16"/>
    <w:rsid w:val="00881D9E"/>
    <w:rsid w:val="00882005"/>
    <w:rsid w:val="008820CD"/>
    <w:rsid w:val="008821B7"/>
    <w:rsid w:val="00882476"/>
    <w:rsid w:val="008824DA"/>
    <w:rsid w:val="0088289A"/>
    <w:rsid w:val="00882BAE"/>
    <w:rsid w:val="00882C83"/>
    <w:rsid w:val="00882D0A"/>
    <w:rsid w:val="00882D9E"/>
    <w:rsid w:val="00882F31"/>
    <w:rsid w:val="00882F97"/>
    <w:rsid w:val="008833B6"/>
    <w:rsid w:val="008833BC"/>
    <w:rsid w:val="00883534"/>
    <w:rsid w:val="00883660"/>
    <w:rsid w:val="0088396A"/>
    <w:rsid w:val="008839DE"/>
    <w:rsid w:val="00883AD0"/>
    <w:rsid w:val="00883DA3"/>
    <w:rsid w:val="00883E6F"/>
    <w:rsid w:val="00883E85"/>
    <w:rsid w:val="0088401D"/>
    <w:rsid w:val="00884075"/>
    <w:rsid w:val="008841F0"/>
    <w:rsid w:val="00884225"/>
    <w:rsid w:val="00884331"/>
    <w:rsid w:val="0088452F"/>
    <w:rsid w:val="00884540"/>
    <w:rsid w:val="00884872"/>
    <w:rsid w:val="00884AAE"/>
    <w:rsid w:val="00884EE0"/>
    <w:rsid w:val="00884F05"/>
    <w:rsid w:val="00884FCC"/>
    <w:rsid w:val="0088518F"/>
    <w:rsid w:val="008854A2"/>
    <w:rsid w:val="008854F2"/>
    <w:rsid w:val="00885954"/>
    <w:rsid w:val="00885983"/>
    <w:rsid w:val="00885998"/>
    <w:rsid w:val="00885CD2"/>
    <w:rsid w:val="00885D4F"/>
    <w:rsid w:val="00886062"/>
    <w:rsid w:val="008862B7"/>
    <w:rsid w:val="00886378"/>
    <w:rsid w:val="008864E0"/>
    <w:rsid w:val="008865D7"/>
    <w:rsid w:val="00886705"/>
    <w:rsid w:val="00886934"/>
    <w:rsid w:val="008869CA"/>
    <w:rsid w:val="00886AD2"/>
    <w:rsid w:val="00886B2D"/>
    <w:rsid w:val="00886B6E"/>
    <w:rsid w:val="00886C31"/>
    <w:rsid w:val="00886C44"/>
    <w:rsid w:val="00886CD4"/>
    <w:rsid w:val="00886DF7"/>
    <w:rsid w:val="00887009"/>
    <w:rsid w:val="00887034"/>
    <w:rsid w:val="00887104"/>
    <w:rsid w:val="00887260"/>
    <w:rsid w:val="008873DB"/>
    <w:rsid w:val="00887826"/>
    <w:rsid w:val="008878E1"/>
    <w:rsid w:val="00887B8D"/>
    <w:rsid w:val="00887C6A"/>
    <w:rsid w:val="00887E56"/>
    <w:rsid w:val="00887EB9"/>
    <w:rsid w:val="008903F7"/>
    <w:rsid w:val="00890499"/>
    <w:rsid w:val="008904A1"/>
    <w:rsid w:val="00890755"/>
    <w:rsid w:val="00890964"/>
    <w:rsid w:val="00890A9D"/>
    <w:rsid w:val="00890BD4"/>
    <w:rsid w:val="00890CA7"/>
    <w:rsid w:val="00890D5B"/>
    <w:rsid w:val="00890FFC"/>
    <w:rsid w:val="008910C6"/>
    <w:rsid w:val="00891169"/>
    <w:rsid w:val="0089125C"/>
    <w:rsid w:val="008913E1"/>
    <w:rsid w:val="00891B77"/>
    <w:rsid w:val="00891D7A"/>
    <w:rsid w:val="00891DA7"/>
    <w:rsid w:val="00891E8F"/>
    <w:rsid w:val="00891F87"/>
    <w:rsid w:val="0089228C"/>
    <w:rsid w:val="00892394"/>
    <w:rsid w:val="00892556"/>
    <w:rsid w:val="00892623"/>
    <w:rsid w:val="00892644"/>
    <w:rsid w:val="0089274A"/>
    <w:rsid w:val="008929E5"/>
    <w:rsid w:val="008929F0"/>
    <w:rsid w:val="00892A1A"/>
    <w:rsid w:val="00892B80"/>
    <w:rsid w:val="00892FD3"/>
    <w:rsid w:val="0089347F"/>
    <w:rsid w:val="00893660"/>
    <w:rsid w:val="008936A9"/>
    <w:rsid w:val="00893A59"/>
    <w:rsid w:val="00893BA4"/>
    <w:rsid w:val="00893C86"/>
    <w:rsid w:val="00893CB9"/>
    <w:rsid w:val="0089406D"/>
    <w:rsid w:val="00894100"/>
    <w:rsid w:val="00894177"/>
    <w:rsid w:val="0089418F"/>
    <w:rsid w:val="00894245"/>
    <w:rsid w:val="00894265"/>
    <w:rsid w:val="00894429"/>
    <w:rsid w:val="008944E1"/>
    <w:rsid w:val="00894860"/>
    <w:rsid w:val="0089496C"/>
    <w:rsid w:val="00894DD9"/>
    <w:rsid w:val="00895119"/>
    <w:rsid w:val="008951C2"/>
    <w:rsid w:val="0089521C"/>
    <w:rsid w:val="00895274"/>
    <w:rsid w:val="00895627"/>
    <w:rsid w:val="00895699"/>
    <w:rsid w:val="00895A90"/>
    <w:rsid w:val="00895B8E"/>
    <w:rsid w:val="00895C72"/>
    <w:rsid w:val="00895CFC"/>
    <w:rsid w:val="00895EB3"/>
    <w:rsid w:val="00896084"/>
    <w:rsid w:val="00896407"/>
    <w:rsid w:val="008964F1"/>
    <w:rsid w:val="00896878"/>
    <w:rsid w:val="008968B6"/>
    <w:rsid w:val="00896995"/>
    <w:rsid w:val="00896A0B"/>
    <w:rsid w:val="00896D99"/>
    <w:rsid w:val="008974C2"/>
    <w:rsid w:val="00897510"/>
    <w:rsid w:val="008979A1"/>
    <w:rsid w:val="00897A77"/>
    <w:rsid w:val="00897BA6"/>
    <w:rsid w:val="00897CC4"/>
    <w:rsid w:val="00897DF9"/>
    <w:rsid w:val="00897FF7"/>
    <w:rsid w:val="008A0033"/>
    <w:rsid w:val="008A003E"/>
    <w:rsid w:val="008A0115"/>
    <w:rsid w:val="008A0473"/>
    <w:rsid w:val="008A06D5"/>
    <w:rsid w:val="008A087C"/>
    <w:rsid w:val="008A08B7"/>
    <w:rsid w:val="008A0A38"/>
    <w:rsid w:val="008A0A62"/>
    <w:rsid w:val="008A0BD8"/>
    <w:rsid w:val="008A0D22"/>
    <w:rsid w:val="008A15B3"/>
    <w:rsid w:val="008A160E"/>
    <w:rsid w:val="008A180F"/>
    <w:rsid w:val="008A1A6F"/>
    <w:rsid w:val="008A1AF6"/>
    <w:rsid w:val="008A1FB6"/>
    <w:rsid w:val="008A2625"/>
    <w:rsid w:val="008A26F6"/>
    <w:rsid w:val="008A2BA7"/>
    <w:rsid w:val="008A2C06"/>
    <w:rsid w:val="008A2C7D"/>
    <w:rsid w:val="008A2EA9"/>
    <w:rsid w:val="008A342B"/>
    <w:rsid w:val="008A362B"/>
    <w:rsid w:val="008A37E7"/>
    <w:rsid w:val="008A3873"/>
    <w:rsid w:val="008A392B"/>
    <w:rsid w:val="008A3B5F"/>
    <w:rsid w:val="008A3B9A"/>
    <w:rsid w:val="008A3C94"/>
    <w:rsid w:val="008A3DAD"/>
    <w:rsid w:val="008A3F6C"/>
    <w:rsid w:val="008A43AA"/>
    <w:rsid w:val="008A4589"/>
    <w:rsid w:val="008A4A7D"/>
    <w:rsid w:val="008A4E07"/>
    <w:rsid w:val="008A51B3"/>
    <w:rsid w:val="008A54F0"/>
    <w:rsid w:val="008A56CD"/>
    <w:rsid w:val="008A5894"/>
    <w:rsid w:val="008A58E2"/>
    <w:rsid w:val="008A5AC9"/>
    <w:rsid w:val="008A5D48"/>
    <w:rsid w:val="008A5E8C"/>
    <w:rsid w:val="008A603A"/>
    <w:rsid w:val="008A630E"/>
    <w:rsid w:val="008A63D7"/>
    <w:rsid w:val="008A65D6"/>
    <w:rsid w:val="008A69F5"/>
    <w:rsid w:val="008A6C56"/>
    <w:rsid w:val="008A6C97"/>
    <w:rsid w:val="008A6CEC"/>
    <w:rsid w:val="008A70E7"/>
    <w:rsid w:val="008A70EE"/>
    <w:rsid w:val="008A723D"/>
    <w:rsid w:val="008A72A8"/>
    <w:rsid w:val="008A72FB"/>
    <w:rsid w:val="008A7344"/>
    <w:rsid w:val="008A7495"/>
    <w:rsid w:val="008A77B4"/>
    <w:rsid w:val="008A7896"/>
    <w:rsid w:val="008A7A99"/>
    <w:rsid w:val="008A7AB4"/>
    <w:rsid w:val="008A7B4F"/>
    <w:rsid w:val="008A7F3A"/>
    <w:rsid w:val="008A7F73"/>
    <w:rsid w:val="008B0179"/>
    <w:rsid w:val="008B02AD"/>
    <w:rsid w:val="008B0394"/>
    <w:rsid w:val="008B047C"/>
    <w:rsid w:val="008B0494"/>
    <w:rsid w:val="008B0D1A"/>
    <w:rsid w:val="008B0F95"/>
    <w:rsid w:val="008B1519"/>
    <w:rsid w:val="008B1697"/>
    <w:rsid w:val="008B170C"/>
    <w:rsid w:val="008B19A6"/>
    <w:rsid w:val="008B1A44"/>
    <w:rsid w:val="008B1A4F"/>
    <w:rsid w:val="008B2083"/>
    <w:rsid w:val="008B2158"/>
    <w:rsid w:val="008B2363"/>
    <w:rsid w:val="008B237E"/>
    <w:rsid w:val="008B23D2"/>
    <w:rsid w:val="008B2453"/>
    <w:rsid w:val="008B25AA"/>
    <w:rsid w:val="008B27B2"/>
    <w:rsid w:val="008B2822"/>
    <w:rsid w:val="008B2E2F"/>
    <w:rsid w:val="008B2EBE"/>
    <w:rsid w:val="008B320F"/>
    <w:rsid w:val="008B3631"/>
    <w:rsid w:val="008B366E"/>
    <w:rsid w:val="008B36B1"/>
    <w:rsid w:val="008B38B4"/>
    <w:rsid w:val="008B3DAA"/>
    <w:rsid w:val="008B4010"/>
    <w:rsid w:val="008B410A"/>
    <w:rsid w:val="008B4396"/>
    <w:rsid w:val="008B4424"/>
    <w:rsid w:val="008B4426"/>
    <w:rsid w:val="008B44AF"/>
    <w:rsid w:val="008B44B2"/>
    <w:rsid w:val="008B4564"/>
    <w:rsid w:val="008B45CD"/>
    <w:rsid w:val="008B476D"/>
    <w:rsid w:val="008B4A95"/>
    <w:rsid w:val="008B4F82"/>
    <w:rsid w:val="008B4F9D"/>
    <w:rsid w:val="008B521D"/>
    <w:rsid w:val="008B5247"/>
    <w:rsid w:val="008B5274"/>
    <w:rsid w:val="008B533B"/>
    <w:rsid w:val="008B5417"/>
    <w:rsid w:val="008B5528"/>
    <w:rsid w:val="008B567E"/>
    <w:rsid w:val="008B57CB"/>
    <w:rsid w:val="008B59B7"/>
    <w:rsid w:val="008B5BC8"/>
    <w:rsid w:val="008B5DCF"/>
    <w:rsid w:val="008B6141"/>
    <w:rsid w:val="008B6162"/>
    <w:rsid w:val="008B6303"/>
    <w:rsid w:val="008B65A5"/>
    <w:rsid w:val="008B670E"/>
    <w:rsid w:val="008B687C"/>
    <w:rsid w:val="008B6CB6"/>
    <w:rsid w:val="008B6CC7"/>
    <w:rsid w:val="008B6FAD"/>
    <w:rsid w:val="008B6FE3"/>
    <w:rsid w:val="008B7085"/>
    <w:rsid w:val="008B723F"/>
    <w:rsid w:val="008B72CA"/>
    <w:rsid w:val="008B72D6"/>
    <w:rsid w:val="008B73C8"/>
    <w:rsid w:val="008B7458"/>
    <w:rsid w:val="008B74AA"/>
    <w:rsid w:val="008B7578"/>
    <w:rsid w:val="008B7831"/>
    <w:rsid w:val="008B78BD"/>
    <w:rsid w:val="008B79FD"/>
    <w:rsid w:val="008B7A58"/>
    <w:rsid w:val="008B7B5E"/>
    <w:rsid w:val="008B7F71"/>
    <w:rsid w:val="008C02D1"/>
    <w:rsid w:val="008C03AA"/>
    <w:rsid w:val="008C03BF"/>
    <w:rsid w:val="008C070D"/>
    <w:rsid w:val="008C08F3"/>
    <w:rsid w:val="008C0911"/>
    <w:rsid w:val="008C0B73"/>
    <w:rsid w:val="008C0C6D"/>
    <w:rsid w:val="008C0DCB"/>
    <w:rsid w:val="008C0EA4"/>
    <w:rsid w:val="008C0F33"/>
    <w:rsid w:val="008C1172"/>
    <w:rsid w:val="008C1639"/>
    <w:rsid w:val="008C1E4E"/>
    <w:rsid w:val="008C2163"/>
    <w:rsid w:val="008C228B"/>
    <w:rsid w:val="008C26C2"/>
    <w:rsid w:val="008C2A2F"/>
    <w:rsid w:val="008C2A75"/>
    <w:rsid w:val="008C2B61"/>
    <w:rsid w:val="008C2CA7"/>
    <w:rsid w:val="008C2D56"/>
    <w:rsid w:val="008C2DBD"/>
    <w:rsid w:val="008C2E12"/>
    <w:rsid w:val="008C2EBD"/>
    <w:rsid w:val="008C33B2"/>
    <w:rsid w:val="008C36A7"/>
    <w:rsid w:val="008C3AC0"/>
    <w:rsid w:val="008C3ACA"/>
    <w:rsid w:val="008C3BC8"/>
    <w:rsid w:val="008C3DA6"/>
    <w:rsid w:val="008C3DC5"/>
    <w:rsid w:val="008C3FC9"/>
    <w:rsid w:val="008C45F7"/>
    <w:rsid w:val="008C4972"/>
    <w:rsid w:val="008C4A34"/>
    <w:rsid w:val="008C4D13"/>
    <w:rsid w:val="008C5051"/>
    <w:rsid w:val="008C52B0"/>
    <w:rsid w:val="008C547D"/>
    <w:rsid w:val="008C54CD"/>
    <w:rsid w:val="008C592E"/>
    <w:rsid w:val="008C5BF2"/>
    <w:rsid w:val="008C5CF4"/>
    <w:rsid w:val="008C5F92"/>
    <w:rsid w:val="008C62A7"/>
    <w:rsid w:val="008C62CF"/>
    <w:rsid w:val="008C66B1"/>
    <w:rsid w:val="008C673B"/>
    <w:rsid w:val="008C694A"/>
    <w:rsid w:val="008C6A56"/>
    <w:rsid w:val="008C6C05"/>
    <w:rsid w:val="008C6CA8"/>
    <w:rsid w:val="008C6CB4"/>
    <w:rsid w:val="008C7229"/>
    <w:rsid w:val="008C752C"/>
    <w:rsid w:val="008C76E8"/>
    <w:rsid w:val="008C797F"/>
    <w:rsid w:val="008C7A9C"/>
    <w:rsid w:val="008C7E5E"/>
    <w:rsid w:val="008C7F44"/>
    <w:rsid w:val="008C7F7A"/>
    <w:rsid w:val="008C7F89"/>
    <w:rsid w:val="008D0349"/>
    <w:rsid w:val="008D03FD"/>
    <w:rsid w:val="008D0A39"/>
    <w:rsid w:val="008D0B47"/>
    <w:rsid w:val="008D0B8F"/>
    <w:rsid w:val="008D0CF9"/>
    <w:rsid w:val="008D0D1F"/>
    <w:rsid w:val="008D0F39"/>
    <w:rsid w:val="008D0F9C"/>
    <w:rsid w:val="008D0FF6"/>
    <w:rsid w:val="008D1051"/>
    <w:rsid w:val="008D1221"/>
    <w:rsid w:val="008D1222"/>
    <w:rsid w:val="008D1473"/>
    <w:rsid w:val="008D14C7"/>
    <w:rsid w:val="008D14F4"/>
    <w:rsid w:val="008D16D6"/>
    <w:rsid w:val="008D16E9"/>
    <w:rsid w:val="008D1810"/>
    <w:rsid w:val="008D184C"/>
    <w:rsid w:val="008D1C7D"/>
    <w:rsid w:val="008D1F30"/>
    <w:rsid w:val="008D1F62"/>
    <w:rsid w:val="008D2035"/>
    <w:rsid w:val="008D203C"/>
    <w:rsid w:val="008D20CF"/>
    <w:rsid w:val="008D23BB"/>
    <w:rsid w:val="008D26F1"/>
    <w:rsid w:val="008D2741"/>
    <w:rsid w:val="008D281A"/>
    <w:rsid w:val="008D29A9"/>
    <w:rsid w:val="008D2AFF"/>
    <w:rsid w:val="008D2BC4"/>
    <w:rsid w:val="008D2DAF"/>
    <w:rsid w:val="008D2FE4"/>
    <w:rsid w:val="008D3056"/>
    <w:rsid w:val="008D31B0"/>
    <w:rsid w:val="008D327B"/>
    <w:rsid w:val="008D348C"/>
    <w:rsid w:val="008D3550"/>
    <w:rsid w:val="008D35FD"/>
    <w:rsid w:val="008D36A5"/>
    <w:rsid w:val="008D3984"/>
    <w:rsid w:val="008D3BA8"/>
    <w:rsid w:val="008D3C87"/>
    <w:rsid w:val="008D3ED1"/>
    <w:rsid w:val="008D3F33"/>
    <w:rsid w:val="008D411B"/>
    <w:rsid w:val="008D4415"/>
    <w:rsid w:val="008D45F3"/>
    <w:rsid w:val="008D483D"/>
    <w:rsid w:val="008D4996"/>
    <w:rsid w:val="008D4A25"/>
    <w:rsid w:val="008D4A30"/>
    <w:rsid w:val="008D4AE2"/>
    <w:rsid w:val="008D4BEB"/>
    <w:rsid w:val="008D4C4A"/>
    <w:rsid w:val="008D4C59"/>
    <w:rsid w:val="008D4D38"/>
    <w:rsid w:val="008D4E7B"/>
    <w:rsid w:val="008D4F56"/>
    <w:rsid w:val="008D4F5F"/>
    <w:rsid w:val="008D5194"/>
    <w:rsid w:val="008D5290"/>
    <w:rsid w:val="008D53D9"/>
    <w:rsid w:val="008D5449"/>
    <w:rsid w:val="008D54C8"/>
    <w:rsid w:val="008D595E"/>
    <w:rsid w:val="008D5DDC"/>
    <w:rsid w:val="008D6649"/>
    <w:rsid w:val="008D666D"/>
    <w:rsid w:val="008D66AA"/>
    <w:rsid w:val="008D66EC"/>
    <w:rsid w:val="008D6896"/>
    <w:rsid w:val="008D68F6"/>
    <w:rsid w:val="008D69B9"/>
    <w:rsid w:val="008D6AE8"/>
    <w:rsid w:val="008D6C56"/>
    <w:rsid w:val="008D6C9F"/>
    <w:rsid w:val="008D6CF2"/>
    <w:rsid w:val="008D6DDF"/>
    <w:rsid w:val="008D6E0F"/>
    <w:rsid w:val="008D6E70"/>
    <w:rsid w:val="008D6F80"/>
    <w:rsid w:val="008D7701"/>
    <w:rsid w:val="008D775B"/>
    <w:rsid w:val="008D7A5F"/>
    <w:rsid w:val="008D7A72"/>
    <w:rsid w:val="008D7BD3"/>
    <w:rsid w:val="008D7C2C"/>
    <w:rsid w:val="008D7CA1"/>
    <w:rsid w:val="008D7E96"/>
    <w:rsid w:val="008D7F59"/>
    <w:rsid w:val="008E013F"/>
    <w:rsid w:val="008E0249"/>
    <w:rsid w:val="008E03F6"/>
    <w:rsid w:val="008E04DE"/>
    <w:rsid w:val="008E0FEF"/>
    <w:rsid w:val="008E1076"/>
    <w:rsid w:val="008E1632"/>
    <w:rsid w:val="008E18DE"/>
    <w:rsid w:val="008E1ABC"/>
    <w:rsid w:val="008E1B99"/>
    <w:rsid w:val="008E1EA8"/>
    <w:rsid w:val="008E1F06"/>
    <w:rsid w:val="008E204D"/>
    <w:rsid w:val="008E2063"/>
    <w:rsid w:val="008E2286"/>
    <w:rsid w:val="008E2406"/>
    <w:rsid w:val="008E2944"/>
    <w:rsid w:val="008E29CA"/>
    <w:rsid w:val="008E2F65"/>
    <w:rsid w:val="008E2FA0"/>
    <w:rsid w:val="008E2FD3"/>
    <w:rsid w:val="008E3179"/>
    <w:rsid w:val="008E3282"/>
    <w:rsid w:val="008E34C2"/>
    <w:rsid w:val="008E350C"/>
    <w:rsid w:val="008E3B29"/>
    <w:rsid w:val="008E3C28"/>
    <w:rsid w:val="008E3D31"/>
    <w:rsid w:val="008E3E57"/>
    <w:rsid w:val="008E4011"/>
    <w:rsid w:val="008E4459"/>
    <w:rsid w:val="008E486F"/>
    <w:rsid w:val="008E4D5A"/>
    <w:rsid w:val="008E4D85"/>
    <w:rsid w:val="008E4EF9"/>
    <w:rsid w:val="008E4FDF"/>
    <w:rsid w:val="008E580E"/>
    <w:rsid w:val="008E58A9"/>
    <w:rsid w:val="008E59A6"/>
    <w:rsid w:val="008E59ED"/>
    <w:rsid w:val="008E5C94"/>
    <w:rsid w:val="008E5CDD"/>
    <w:rsid w:val="008E5DF5"/>
    <w:rsid w:val="008E6074"/>
    <w:rsid w:val="008E608A"/>
    <w:rsid w:val="008E60BE"/>
    <w:rsid w:val="008E6287"/>
    <w:rsid w:val="008E67F6"/>
    <w:rsid w:val="008E6821"/>
    <w:rsid w:val="008E6AC7"/>
    <w:rsid w:val="008E6B30"/>
    <w:rsid w:val="008E6D92"/>
    <w:rsid w:val="008E7018"/>
    <w:rsid w:val="008E71AD"/>
    <w:rsid w:val="008E73D9"/>
    <w:rsid w:val="008E74EC"/>
    <w:rsid w:val="008E77E4"/>
    <w:rsid w:val="008E7908"/>
    <w:rsid w:val="008E7AF8"/>
    <w:rsid w:val="008E7B42"/>
    <w:rsid w:val="008E7BF5"/>
    <w:rsid w:val="008E7D67"/>
    <w:rsid w:val="008E7F80"/>
    <w:rsid w:val="008F0182"/>
    <w:rsid w:val="008F01A8"/>
    <w:rsid w:val="008F0314"/>
    <w:rsid w:val="008F03BE"/>
    <w:rsid w:val="008F0D7B"/>
    <w:rsid w:val="008F1350"/>
    <w:rsid w:val="008F15EA"/>
    <w:rsid w:val="008F19AB"/>
    <w:rsid w:val="008F1F82"/>
    <w:rsid w:val="008F1F95"/>
    <w:rsid w:val="008F2566"/>
    <w:rsid w:val="008F28F4"/>
    <w:rsid w:val="008F2993"/>
    <w:rsid w:val="008F2B54"/>
    <w:rsid w:val="008F2F45"/>
    <w:rsid w:val="008F3169"/>
    <w:rsid w:val="008F36DC"/>
    <w:rsid w:val="008F3952"/>
    <w:rsid w:val="008F3A2C"/>
    <w:rsid w:val="008F3B9F"/>
    <w:rsid w:val="008F3C08"/>
    <w:rsid w:val="008F3D06"/>
    <w:rsid w:val="008F3FAA"/>
    <w:rsid w:val="008F4039"/>
    <w:rsid w:val="008F4344"/>
    <w:rsid w:val="008F44CD"/>
    <w:rsid w:val="008F4636"/>
    <w:rsid w:val="008F4799"/>
    <w:rsid w:val="008F48E3"/>
    <w:rsid w:val="008F4AEF"/>
    <w:rsid w:val="008F4AFF"/>
    <w:rsid w:val="008F4E0A"/>
    <w:rsid w:val="008F4ED8"/>
    <w:rsid w:val="008F4FC0"/>
    <w:rsid w:val="008F5302"/>
    <w:rsid w:val="008F554A"/>
    <w:rsid w:val="008F563F"/>
    <w:rsid w:val="008F5951"/>
    <w:rsid w:val="008F5A15"/>
    <w:rsid w:val="008F5B01"/>
    <w:rsid w:val="008F6269"/>
    <w:rsid w:val="008F66B4"/>
    <w:rsid w:val="008F6790"/>
    <w:rsid w:val="008F6C1D"/>
    <w:rsid w:val="008F6CC7"/>
    <w:rsid w:val="008F6DB2"/>
    <w:rsid w:val="008F75B0"/>
    <w:rsid w:val="008F78E7"/>
    <w:rsid w:val="008F7B83"/>
    <w:rsid w:val="008F7BDA"/>
    <w:rsid w:val="008F7E3D"/>
    <w:rsid w:val="009002AE"/>
    <w:rsid w:val="009003D4"/>
    <w:rsid w:val="00900459"/>
    <w:rsid w:val="009005E1"/>
    <w:rsid w:val="00900602"/>
    <w:rsid w:val="0090075B"/>
    <w:rsid w:val="00900C58"/>
    <w:rsid w:val="00900D82"/>
    <w:rsid w:val="00900FD8"/>
    <w:rsid w:val="0090104C"/>
    <w:rsid w:val="0090145E"/>
    <w:rsid w:val="00901665"/>
    <w:rsid w:val="00901690"/>
    <w:rsid w:val="00901ABD"/>
    <w:rsid w:val="00901AC8"/>
    <w:rsid w:val="00901B83"/>
    <w:rsid w:val="00901BA0"/>
    <w:rsid w:val="00901C86"/>
    <w:rsid w:val="00901C9A"/>
    <w:rsid w:val="00901E69"/>
    <w:rsid w:val="00901F77"/>
    <w:rsid w:val="00902374"/>
    <w:rsid w:val="009025AB"/>
    <w:rsid w:val="009027C7"/>
    <w:rsid w:val="009027EA"/>
    <w:rsid w:val="00902855"/>
    <w:rsid w:val="00902A3B"/>
    <w:rsid w:val="00902A62"/>
    <w:rsid w:val="00902BAA"/>
    <w:rsid w:val="00902CE4"/>
    <w:rsid w:val="00902DBF"/>
    <w:rsid w:val="00902E52"/>
    <w:rsid w:val="00902F46"/>
    <w:rsid w:val="00903030"/>
    <w:rsid w:val="00903695"/>
    <w:rsid w:val="009037E8"/>
    <w:rsid w:val="00903846"/>
    <w:rsid w:val="009041F9"/>
    <w:rsid w:val="00904231"/>
    <w:rsid w:val="0090430F"/>
    <w:rsid w:val="009045E3"/>
    <w:rsid w:val="009046BA"/>
    <w:rsid w:val="009046E9"/>
    <w:rsid w:val="00904924"/>
    <w:rsid w:val="00904AEB"/>
    <w:rsid w:val="00904B06"/>
    <w:rsid w:val="00904EE1"/>
    <w:rsid w:val="00904F2B"/>
    <w:rsid w:val="00904FB5"/>
    <w:rsid w:val="009054B9"/>
    <w:rsid w:val="0090564B"/>
    <w:rsid w:val="009056E0"/>
    <w:rsid w:val="00905764"/>
    <w:rsid w:val="00905792"/>
    <w:rsid w:val="00905813"/>
    <w:rsid w:val="0090581B"/>
    <w:rsid w:val="0090583D"/>
    <w:rsid w:val="00905A86"/>
    <w:rsid w:val="00905E23"/>
    <w:rsid w:val="00905F9E"/>
    <w:rsid w:val="00906101"/>
    <w:rsid w:val="009065F7"/>
    <w:rsid w:val="009066AD"/>
    <w:rsid w:val="009066D6"/>
    <w:rsid w:val="00906783"/>
    <w:rsid w:val="0090689C"/>
    <w:rsid w:val="00906AC4"/>
    <w:rsid w:val="00906BD5"/>
    <w:rsid w:val="00906CAA"/>
    <w:rsid w:val="00906D6C"/>
    <w:rsid w:val="00906D92"/>
    <w:rsid w:val="00906E6A"/>
    <w:rsid w:val="009070D3"/>
    <w:rsid w:val="00907382"/>
    <w:rsid w:val="009073FE"/>
    <w:rsid w:val="00907517"/>
    <w:rsid w:val="009077E8"/>
    <w:rsid w:val="00907903"/>
    <w:rsid w:val="00907AA8"/>
    <w:rsid w:val="00907DC1"/>
    <w:rsid w:val="00907E04"/>
    <w:rsid w:val="009100F2"/>
    <w:rsid w:val="009100F4"/>
    <w:rsid w:val="00910304"/>
    <w:rsid w:val="009106FC"/>
    <w:rsid w:val="00910BC2"/>
    <w:rsid w:val="00910BCE"/>
    <w:rsid w:val="00910C84"/>
    <w:rsid w:val="00910EC4"/>
    <w:rsid w:val="00910FE7"/>
    <w:rsid w:val="009110C5"/>
    <w:rsid w:val="00911107"/>
    <w:rsid w:val="0091135D"/>
    <w:rsid w:val="00911408"/>
    <w:rsid w:val="00911520"/>
    <w:rsid w:val="00911685"/>
    <w:rsid w:val="00911B0C"/>
    <w:rsid w:val="009123D2"/>
    <w:rsid w:val="009126A8"/>
    <w:rsid w:val="00912801"/>
    <w:rsid w:val="00912928"/>
    <w:rsid w:val="00912BF1"/>
    <w:rsid w:val="00912FCB"/>
    <w:rsid w:val="0091316E"/>
    <w:rsid w:val="009132DB"/>
    <w:rsid w:val="00913380"/>
    <w:rsid w:val="00913408"/>
    <w:rsid w:val="00913435"/>
    <w:rsid w:val="00913565"/>
    <w:rsid w:val="00913599"/>
    <w:rsid w:val="00913744"/>
    <w:rsid w:val="009137DD"/>
    <w:rsid w:val="009138FC"/>
    <w:rsid w:val="00913A35"/>
    <w:rsid w:val="00913E5F"/>
    <w:rsid w:val="00914100"/>
    <w:rsid w:val="00914131"/>
    <w:rsid w:val="0091421A"/>
    <w:rsid w:val="0091431E"/>
    <w:rsid w:val="00914763"/>
    <w:rsid w:val="0091482F"/>
    <w:rsid w:val="009148A0"/>
    <w:rsid w:val="00914958"/>
    <w:rsid w:val="00914999"/>
    <w:rsid w:val="00914AA9"/>
    <w:rsid w:val="00914B32"/>
    <w:rsid w:val="00914D7A"/>
    <w:rsid w:val="00914D8E"/>
    <w:rsid w:val="00915131"/>
    <w:rsid w:val="00915315"/>
    <w:rsid w:val="00915545"/>
    <w:rsid w:val="00915549"/>
    <w:rsid w:val="00915662"/>
    <w:rsid w:val="0091572F"/>
    <w:rsid w:val="0091578A"/>
    <w:rsid w:val="0091590A"/>
    <w:rsid w:val="00915981"/>
    <w:rsid w:val="00915D69"/>
    <w:rsid w:val="00915D75"/>
    <w:rsid w:val="00915F15"/>
    <w:rsid w:val="00915F54"/>
    <w:rsid w:val="00915FE8"/>
    <w:rsid w:val="00915FEE"/>
    <w:rsid w:val="009160A9"/>
    <w:rsid w:val="00916477"/>
    <w:rsid w:val="009164DF"/>
    <w:rsid w:val="009165DE"/>
    <w:rsid w:val="00916A86"/>
    <w:rsid w:val="00916A9E"/>
    <w:rsid w:val="00916CDD"/>
    <w:rsid w:val="00917334"/>
    <w:rsid w:val="009173BE"/>
    <w:rsid w:val="0091772F"/>
    <w:rsid w:val="009177A1"/>
    <w:rsid w:val="00917C27"/>
    <w:rsid w:val="00917C90"/>
    <w:rsid w:val="009205C4"/>
    <w:rsid w:val="009205D5"/>
    <w:rsid w:val="009205E1"/>
    <w:rsid w:val="009207B2"/>
    <w:rsid w:val="009207E8"/>
    <w:rsid w:val="00920A66"/>
    <w:rsid w:val="00920D72"/>
    <w:rsid w:val="00920E33"/>
    <w:rsid w:val="00920EC1"/>
    <w:rsid w:val="00920ECD"/>
    <w:rsid w:val="00920EE7"/>
    <w:rsid w:val="009212D1"/>
    <w:rsid w:val="00921386"/>
    <w:rsid w:val="009213FF"/>
    <w:rsid w:val="0092146F"/>
    <w:rsid w:val="00921475"/>
    <w:rsid w:val="0092168B"/>
    <w:rsid w:val="00921A30"/>
    <w:rsid w:val="00921A74"/>
    <w:rsid w:val="00921BBA"/>
    <w:rsid w:val="00921E6E"/>
    <w:rsid w:val="00921F5D"/>
    <w:rsid w:val="0092206F"/>
    <w:rsid w:val="0092220D"/>
    <w:rsid w:val="009224B5"/>
    <w:rsid w:val="009226C8"/>
    <w:rsid w:val="009229E1"/>
    <w:rsid w:val="00922AC4"/>
    <w:rsid w:val="00922BD3"/>
    <w:rsid w:val="00922D3E"/>
    <w:rsid w:val="00923212"/>
    <w:rsid w:val="0092332C"/>
    <w:rsid w:val="009233B8"/>
    <w:rsid w:val="0092380F"/>
    <w:rsid w:val="0092382F"/>
    <w:rsid w:val="009239B0"/>
    <w:rsid w:val="00923B5E"/>
    <w:rsid w:val="00923BEC"/>
    <w:rsid w:val="009240A8"/>
    <w:rsid w:val="00924105"/>
    <w:rsid w:val="00924121"/>
    <w:rsid w:val="00924166"/>
    <w:rsid w:val="009241B4"/>
    <w:rsid w:val="009241BC"/>
    <w:rsid w:val="00924216"/>
    <w:rsid w:val="0092424D"/>
    <w:rsid w:val="0092439E"/>
    <w:rsid w:val="0092450A"/>
    <w:rsid w:val="009245A3"/>
    <w:rsid w:val="00924631"/>
    <w:rsid w:val="0092478A"/>
    <w:rsid w:val="009247A3"/>
    <w:rsid w:val="009248A2"/>
    <w:rsid w:val="00924922"/>
    <w:rsid w:val="0092494F"/>
    <w:rsid w:val="0092495B"/>
    <w:rsid w:val="00924A69"/>
    <w:rsid w:val="00924C13"/>
    <w:rsid w:val="00924E9F"/>
    <w:rsid w:val="00924F22"/>
    <w:rsid w:val="009252FF"/>
    <w:rsid w:val="00925658"/>
    <w:rsid w:val="0092570C"/>
    <w:rsid w:val="0092574B"/>
    <w:rsid w:val="009257E5"/>
    <w:rsid w:val="00925A30"/>
    <w:rsid w:val="00925C6E"/>
    <w:rsid w:val="00925E3E"/>
    <w:rsid w:val="00925F03"/>
    <w:rsid w:val="009260A0"/>
    <w:rsid w:val="00926508"/>
    <w:rsid w:val="00926518"/>
    <w:rsid w:val="00926651"/>
    <w:rsid w:val="009266AB"/>
    <w:rsid w:val="009267E4"/>
    <w:rsid w:val="0092682A"/>
    <w:rsid w:val="0092690A"/>
    <w:rsid w:val="009269D8"/>
    <w:rsid w:val="00926A1E"/>
    <w:rsid w:val="009270B0"/>
    <w:rsid w:val="009270B6"/>
    <w:rsid w:val="009271CD"/>
    <w:rsid w:val="00927260"/>
    <w:rsid w:val="009273F5"/>
    <w:rsid w:val="0092764A"/>
    <w:rsid w:val="00927A8F"/>
    <w:rsid w:val="0093024D"/>
    <w:rsid w:val="009304AB"/>
    <w:rsid w:val="009304CF"/>
    <w:rsid w:val="009305DF"/>
    <w:rsid w:val="00930CE0"/>
    <w:rsid w:val="00930EA4"/>
    <w:rsid w:val="00930F58"/>
    <w:rsid w:val="0093113D"/>
    <w:rsid w:val="009312B2"/>
    <w:rsid w:val="0093132C"/>
    <w:rsid w:val="009314DF"/>
    <w:rsid w:val="009315B0"/>
    <w:rsid w:val="009316EE"/>
    <w:rsid w:val="00931713"/>
    <w:rsid w:val="00931BA4"/>
    <w:rsid w:val="00931F92"/>
    <w:rsid w:val="0093215C"/>
    <w:rsid w:val="009321FF"/>
    <w:rsid w:val="00932319"/>
    <w:rsid w:val="00932368"/>
    <w:rsid w:val="00932608"/>
    <w:rsid w:val="00932885"/>
    <w:rsid w:val="0093290E"/>
    <w:rsid w:val="00932975"/>
    <w:rsid w:val="00932D23"/>
    <w:rsid w:val="00933033"/>
    <w:rsid w:val="0093340A"/>
    <w:rsid w:val="009337EA"/>
    <w:rsid w:val="00933CEE"/>
    <w:rsid w:val="00933E1F"/>
    <w:rsid w:val="00933F4A"/>
    <w:rsid w:val="00933F7B"/>
    <w:rsid w:val="0093401B"/>
    <w:rsid w:val="0093409B"/>
    <w:rsid w:val="00934193"/>
    <w:rsid w:val="009343B7"/>
    <w:rsid w:val="009345D9"/>
    <w:rsid w:val="00934875"/>
    <w:rsid w:val="00934984"/>
    <w:rsid w:val="00934988"/>
    <w:rsid w:val="00934A08"/>
    <w:rsid w:val="00934B1F"/>
    <w:rsid w:val="00934D42"/>
    <w:rsid w:val="00934E8E"/>
    <w:rsid w:val="00934F22"/>
    <w:rsid w:val="00935036"/>
    <w:rsid w:val="009354BF"/>
    <w:rsid w:val="009356B0"/>
    <w:rsid w:val="0093586B"/>
    <w:rsid w:val="00935EAC"/>
    <w:rsid w:val="00935EFD"/>
    <w:rsid w:val="00935FFC"/>
    <w:rsid w:val="00936136"/>
    <w:rsid w:val="00936311"/>
    <w:rsid w:val="009363AE"/>
    <w:rsid w:val="00936524"/>
    <w:rsid w:val="00936593"/>
    <w:rsid w:val="009365BE"/>
    <w:rsid w:val="00936907"/>
    <w:rsid w:val="009369B7"/>
    <w:rsid w:val="00936A3F"/>
    <w:rsid w:val="00936C73"/>
    <w:rsid w:val="00937015"/>
    <w:rsid w:val="0093755B"/>
    <w:rsid w:val="00937698"/>
    <w:rsid w:val="0093769E"/>
    <w:rsid w:val="00937716"/>
    <w:rsid w:val="00937B66"/>
    <w:rsid w:val="00937C08"/>
    <w:rsid w:val="00937C13"/>
    <w:rsid w:val="00940373"/>
    <w:rsid w:val="0094055C"/>
    <w:rsid w:val="00940758"/>
    <w:rsid w:val="00940963"/>
    <w:rsid w:val="009409AE"/>
    <w:rsid w:val="00940B9B"/>
    <w:rsid w:val="00940E6E"/>
    <w:rsid w:val="00940FA4"/>
    <w:rsid w:val="00941025"/>
    <w:rsid w:val="009410B7"/>
    <w:rsid w:val="00941233"/>
    <w:rsid w:val="0094172E"/>
    <w:rsid w:val="0094187F"/>
    <w:rsid w:val="00941BC8"/>
    <w:rsid w:val="00941E2B"/>
    <w:rsid w:val="009421AD"/>
    <w:rsid w:val="009426CE"/>
    <w:rsid w:val="009428AB"/>
    <w:rsid w:val="009429D6"/>
    <w:rsid w:val="00942A1B"/>
    <w:rsid w:val="00943095"/>
    <w:rsid w:val="009430FC"/>
    <w:rsid w:val="0094319C"/>
    <w:rsid w:val="0094319F"/>
    <w:rsid w:val="0094336B"/>
    <w:rsid w:val="00943465"/>
    <w:rsid w:val="0094351C"/>
    <w:rsid w:val="009435B8"/>
    <w:rsid w:val="0094377F"/>
    <w:rsid w:val="00943840"/>
    <w:rsid w:val="00943A25"/>
    <w:rsid w:val="00943D48"/>
    <w:rsid w:val="00943E74"/>
    <w:rsid w:val="009441FC"/>
    <w:rsid w:val="00944262"/>
    <w:rsid w:val="00944291"/>
    <w:rsid w:val="0094434E"/>
    <w:rsid w:val="00944532"/>
    <w:rsid w:val="00944B91"/>
    <w:rsid w:val="00944C9B"/>
    <w:rsid w:val="009450F5"/>
    <w:rsid w:val="00945174"/>
    <w:rsid w:val="0094533C"/>
    <w:rsid w:val="0094552F"/>
    <w:rsid w:val="009458D0"/>
    <w:rsid w:val="00945A96"/>
    <w:rsid w:val="00945B27"/>
    <w:rsid w:val="00945DF9"/>
    <w:rsid w:val="009460CA"/>
    <w:rsid w:val="00946126"/>
    <w:rsid w:val="00946158"/>
    <w:rsid w:val="009461FF"/>
    <w:rsid w:val="0094637C"/>
    <w:rsid w:val="009463B8"/>
    <w:rsid w:val="00946B64"/>
    <w:rsid w:val="00946BE5"/>
    <w:rsid w:val="00946D00"/>
    <w:rsid w:val="009472C6"/>
    <w:rsid w:val="009474A6"/>
    <w:rsid w:val="00947670"/>
    <w:rsid w:val="0094775B"/>
    <w:rsid w:val="00947A92"/>
    <w:rsid w:val="00947D9C"/>
    <w:rsid w:val="0095043A"/>
    <w:rsid w:val="00950658"/>
    <w:rsid w:val="009506B5"/>
    <w:rsid w:val="00950842"/>
    <w:rsid w:val="009508A1"/>
    <w:rsid w:val="00950B22"/>
    <w:rsid w:val="00950D00"/>
    <w:rsid w:val="00950E33"/>
    <w:rsid w:val="00950ED9"/>
    <w:rsid w:val="00950F6C"/>
    <w:rsid w:val="00950F98"/>
    <w:rsid w:val="009510B5"/>
    <w:rsid w:val="009510C3"/>
    <w:rsid w:val="00951101"/>
    <w:rsid w:val="0095135A"/>
    <w:rsid w:val="00951565"/>
    <w:rsid w:val="009515A6"/>
    <w:rsid w:val="0095166E"/>
    <w:rsid w:val="009517C0"/>
    <w:rsid w:val="009518A9"/>
    <w:rsid w:val="00951DAF"/>
    <w:rsid w:val="00951ECE"/>
    <w:rsid w:val="0095227C"/>
    <w:rsid w:val="00952427"/>
    <w:rsid w:val="0095244D"/>
    <w:rsid w:val="00952620"/>
    <w:rsid w:val="009526F8"/>
    <w:rsid w:val="00952CE2"/>
    <w:rsid w:val="00952E7D"/>
    <w:rsid w:val="00952E9F"/>
    <w:rsid w:val="0095303D"/>
    <w:rsid w:val="009531F6"/>
    <w:rsid w:val="009532A0"/>
    <w:rsid w:val="009532DA"/>
    <w:rsid w:val="0095335B"/>
    <w:rsid w:val="00953508"/>
    <w:rsid w:val="0095351C"/>
    <w:rsid w:val="00953559"/>
    <w:rsid w:val="009538A6"/>
    <w:rsid w:val="009539F7"/>
    <w:rsid w:val="009539FF"/>
    <w:rsid w:val="00953ACF"/>
    <w:rsid w:val="00953C14"/>
    <w:rsid w:val="00953F9F"/>
    <w:rsid w:val="009546BD"/>
    <w:rsid w:val="009546D0"/>
    <w:rsid w:val="009549F4"/>
    <w:rsid w:val="00954AD8"/>
    <w:rsid w:val="00954C1E"/>
    <w:rsid w:val="00954D30"/>
    <w:rsid w:val="00954FE8"/>
    <w:rsid w:val="009550A9"/>
    <w:rsid w:val="0095532A"/>
    <w:rsid w:val="00955370"/>
    <w:rsid w:val="00955490"/>
    <w:rsid w:val="00955ADE"/>
    <w:rsid w:val="00955B83"/>
    <w:rsid w:val="00955DD4"/>
    <w:rsid w:val="00955F1E"/>
    <w:rsid w:val="009561D1"/>
    <w:rsid w:val="009561D6"/>
    <w:rsid w:val="00956240"/>
    <w:rsid w:val="00956452"/>
    <w:rsid w:val="0095657E"/>
    <w:rsid w:val="009566D5"/>
    <w:rsid w:val="00956796"/>
    <w:rsid w:val="009567B7"/>
    <w:rsid w:val="009569C1"/>
    <w:rsid w:val="00956A62"/>
    <w:rsid w:val="00956ADF"/>
    <w:rsid w:val="00956E50"/>
    <w:rsid w:val="00957064"/>
    <w:rsid w:val="00957C11"/>
    <w:rsid w:val="00957C79"/>
    <w:rsid w:val="00960148"/>
    <w:rsid w:val="009603CE"/>
    <w:rsid w:val="00960489"/>
    <w:rsid w:val="009605FE"/>
    <w:rsid w:val="00960653"/>
    <w:rsid w:val="00960783"/>
    <w:rsid w:val="00960929"/>
    <w:rsid w:val="009609D3"/>
    <w:rsid w:val="00960B31"/>
    <w:rsid w:val="00961459"/>
    <w:rsid w:val="009616CC"/>
    <w:rsid w:val="0096179B"/>
    <w:rsid w:val="00961B2F"/>
    <w:rsid w:val="00961D97"/>
    <w:rsid w:val="00961EA5"/>
    <w:rsid w:val="00961EFE"/>
    <w:rsid w:val="00962011"/>
    <w:rsid w:val="0096205A"/>
    <w:rsid w:val="00962269"/>
    <w:rsid w:val="009622B1"/>
    <w:rsid w:val="009622FD"/>
    <w:rsid w:val="00962311"/>
    <w:rsid w:val="0096239C"/>
    <w:rsid w:val="009628C9"/>
    <w:rsid w:val="00962C27"/>
    <w:rsid w:val="00962DFF"/>
    <w:rsid w:val="00962E67"/>
    <w:rsid w:val="00962F87"/>
    <w:rsid w:val="009630F0"/>
    <w:rsid w:val="009630FB"/>
    <w:rsid w:val="0096311F"/>
    <w:rsid w:val="009634FB"/>
    <w:rsid w:val="00963618"/>
    <w:rsid w:val="009636F7"/>
    <w:rsid w:val="009639E3"/>
    <w:rsid w:val="00963D0F"/>
    <w:rsid w:val="00963E8C"/>
    <w:rsid w:val="00964317"/>
    <w:rsid w:val="009645E1"/>
    <w:rsid w:val="00964637"/>
    <w:rsid w:val="0096466E"/>
    <w:rsid w:val="00964893"/>
    <w:rsid w:val="00964A77"/>
    <w:rsid w:val="0096506E"/>
    <w:rsid w:val="009652FD"/>
    <w:rsid w:val="00965889"/>
    <w:rsid w:val="00965A3A"/>
    <w:rsid w:val="00965E03"/>
    <w:rsid w:val="00965EF8"/>
    <w:rsid w:val="009664B4"/>
    <w:rsid w:val="009665E6"/>
    <w:rsid w:val="009666EC"/>
    <w:rsid w:val="00966859"/>
    <w:rsid w:val="0096685D"/>
    <w:rsid w:val="009668C4"/>
    <w:rsid w:val="009668F0"/>
    <w:rsid w:val="00966BB3"/>
    <w:rsid w:val="00966C6E"/>
    <w:rsid w:val="00966D35"/>
    <w:rsid w:val="00966E6C"/>
    <w:rsid w:val="00967123"/>
    <w:rsid w:val="009675E2"/>
    <w:rsid w:val="00967681"/>
    <w:rsid w:val="00967784"/>
    <w:rsid w:val="009679C8"/>
    <w:rsid w:val="00967C1B"/>
    <w:rsid w:val="00967E1F"/>
    <w:rsid w:val="00967EAA"/>
    <w:rsid w:val="00970073"/>
    <w:rsid w:val="009702AF"/>
    <w:rsid w:val="009702E7"/>
    <w:rsid w:val="0097037B"/>
    <w:rsid w:val="00970485"/>
    <w:rsid w:val="009707D1"/>
    <w:rsid w:val="009708BE"/>
    <w:rsid w:val="00970995"/>
    <w:rsid w:val="00970AB6"/>
    <w:rsid w:val="00970CDD"/>
    <w:rsid w:val="00970F62"/>
    <w:rsid w:val="00970F92"/>
    <w:rsid w:val="009710E8"/>
    <w:rsid w:val="009712B5"/>
    <w:rsid w:val="00971304"/>
    <w:rsid w:val="009714CB"/>
    <w:rsid w:val="009718B0"/>
    <w:rsid w:val="009718D1"/>
    <w:rsid w:val="009719D5"/>
    <w:rsid w:val="00971C3F"/>
    <w:rsid w:val="00971C9F"/>
    <w:rsid w:val="00971D8F"/>
    <w:rsid w:val="00971DE8"/>
    <w:rsid w:val="00972193"/>
    <w:rsid w:val="00972208"/>
    <w:rsid w:val="00972241"/>
    <w:rsid w:val="009727A0"/>
    <w:rsid w:val="009727CD"/>
    <w:rsid w:val="00972833"/>
    <w:rsid w:val="00972900"/>
    <w:rsid w:val="009729EF"/>
    <w:rsid w:val="00972A79"/>
    <w:rsid w:val="0097325C"/>
    <w:rsid w:val="00973286"/>
    <w:rsid w:val="00973412"/>
    <w:rsid w:val="0097358D"/>
    <w:rsid w:val="00973592"/>
    <w:rsid w:val="00973649"/>
    <w:rsid w:val="009736C2"/>
    <w:rsid w:val="00973852"/>
    <w:rsid w:val="00973870"/>
    <w:rsid w:val="00973B39"/>
    <w:rsid w:val="00973C51"/>
    <w:rsid w:val="00973DF1"/>
    <w:rsid w:val="00974057"/>
    <w:rsid w:val="00974194"/>
    <w:rsid w:val="00974220"/>
    <w:rsid w:val="00974245"/>
    <w:rsid w:val="00974282"/>
    <w:rsid w:val="009744CC"/>
    <w:rsid w:val="00974500"/>
    <w:rsid w:val="0097462A"/>
    <w:rsid w:val="009746E0"/>
    <w:rsid w:val="009747CF"/>
    <w:rsid w:val="00974B88"/>
    <w:rsid w:val="00974C85"/>
    <w:rsid w:val="00974CAF"/>
    <w:rsid w:val="00974D7B"/>
    <w:rsid w:val="00974DFA"/>
    <w:rsid w:val="009750CA"/>
    <w:rsid w:val="009750D0"/>
    <w:rsid w:val="0097527D"/>
    <w:rsid w:val="009754B4"/>
    <w:rsid w:val="00975731"/>
    <w:rsid w:val="0097588D"/>
    <w:rsid w:val="009759C6"/>
    <w:rsid w:val="00975A49"/>
    <w:rsid w:val="00975C49"/>
    <w:rsid w:val="00975EB2"/>
    <w:rsid w:val="009761ED"/>
    <w:rsid w:val="0097622A"/>
    <w:rsid w:val="00976230"/>
    <w:rsid w:val="00976368"/>
    <w:rsid w:val="00976469"/>
    <w:rsid w:val="00976521"/>
    <w:rsid w:val="009767B8"/>
    <w:rsid w:val="00976838"/>
    <w:rsid w:val="009768A8"/>
    <w:rsid w:val="00976A6E"/>
    <w:rsid w:val="00976B24"/>
    <w:rsid w:val="00976FA6"/>
    <w:rsid w:val="009773C0"/>
    <w:rsid w:val="00977473"/>
    <w:rsid w:val="0097756A"/>
    <w:rsid w:val="009777A6"/>
    <w:rsid w:val="009777B1"/>
    <w:rsid w:val="0097784A"/>
    <w:rsid w:val="009779CD"/>
    <w:rsid w:val="00977B07"/>
    <w:rsid w:val="00977C18"/>
    <w:rsid w:val="00977CE9"/>
    <w:rsid w:val="00977EC9"/>
    <w:rsid w:val="009801DD"/>
    <w:rsid w:val="009805FA"/>
    <w:rsid w:val="009808C4"/>
    <w:rsid w:val="00980EA5"/>
    <w:rsid w:val="00980EC4"/>
    <w:rsid w:val="0098109C"/>
    <w:rsid w:val="0098114F"/>
    <w:rsid w:val="00981156"/>
    <w:rsid w:val="009815D9"/>
    <w:rsid w:val="00981961"/>
    <w:rsid w:val="00981DE6"/>
    <w:rsid w:val="00981DEC"/>
    <w:rsid w:val="00982016"/>
    <w:rsid w:val="009820CC"/>
    <w:rsid w:val="0098235A"/>
    <w:rsid w:val="00982408"/>
    <w:rsid w:val="00982480"/>
    <w:rsid w:val="00982583"/>
    <w:rsid w:val="00982635"/>
    <w:rsid w:val="0098276E"/>
    <w:rsid w:val="00982957"/>
    <w:rsid w:val="00982987"/>
    <w:rsid w:val="00982A50"/>
    <w:rsid w:val="00982AE7"/>
    <w:rsid w:val="00982B35"/>
    <w:rsid w:val="00982C67"/>
    <w:rsid w:val="00982D2C"/>
    <w:rsid w:val="00982D56"/>
    <w:rsid w:val="00982E33"/>
    <w:rsid w:val="009831F3"/>
    <w:rsid w:val="009832C7"/>
    <w:rsid w:val="00983365"/>
    <w:rsid w:val="009833E8"/>
    <w:rsid w:val="0098343E"/>
    <w:rsid w:val="00983444"/>
    <w:rsid w:val="009837BF"/>
    <w:rsid w:val="0098380D"/>
    <w:rsid w:val="009839F3"/>
    <w:rsid w:val="00983CD2"/>
    <w:rsid w:val="00983F26"/>
    <w:rsid w:val="00983F81"/>
    <w:rsid w:val="00984130"/>
    <w:rsid w:val="009847F7"/>
    <w:rsid w:val="00984D49"/>
    <w:rsid w:val="00984DF5"/>
    <w:rsid w:val="00984F5E"/>
    <w:rsid w:val="00985137"/>
    <w:rsid w:val="009852B4"/>
    <w:rsid w:val="00985365"/>
    <w:rsid w:val="00985C16"/>
    <w:rsid w:val="00985C6C"/>
    <w:rsid w:val="00985CF2"/>
    <w:rsid w:val="00985EAE"/>
    <w:rsid w:val="00985EB6"/>
    <w:rsid w:val="009861C8"/>
    <w:rsid w:val="0098622F"/>
    <w:rsid w:val="00986560"/>
    <w:rsid w:val="00986B99"/>
    <w:rsid w:val="00986BCC"/>
    <w:rsid w:val="00986D23"/>
    <w:rsid w:val="0098725B"/>
    <w:rsid w:val="009872D7"/>
    <w:rsid w:val="00987316"/>
    <w:rsid w:val="00987598"/>
    <w:rsid w:val="009875A5"/>
    <w:rsid w:val="0098770D"/>
    <w:rsid w:val="00987C2B"/>
    <w:rsid w:val="00987CE6"/>
    <w:rsid w:val="00990220"/>
    <w:rsid w:val="0099063D"/>
    <w:rsid w:val="0099093F"/>
    <w:rsid w:val="00990A73"/>
    <w:rsid w:val="00990ED0"/>
    <w:rsid w:val="00991187"/>
    <w:rsid w:val="00991532"/>
    <w:rsid w:val="00991C76"/>
    <w:rsid w:val="00991CE9"/>
    <w:rsid w:val="00991DBB"/>
    <w:rsid w:val="00991F34"/>
    <w:rsid w:val="00992332"/>
    <w:rsid w:val="00992EDB"/>
    <w:rsid w:val="00993006"/>
    <w:rsid w:val="009930C5"/>
    <w:rsid w:val="0099312A"/>
    <w:rsid w:val="009931B7"/>
    <w:rsid w:val="009931E2"/>
    <w:rsid w:val="009937F1"/>
    <w:rsid w:val="0099381C"/>
    <w:rsid w:val="0099387D"/>
    <w:rsid w:val="0099404D"/>
    <w:rsid w:val="009941AE"/>
    <w:rsid w:val="00994359"/>
    <w:rsid w:val="00994668"/>
    <w:rsid w:val="0099476E"/>
    <w:rsid w:val="009947DF"/>
    <w:rsid w:val="00994E61"/>
    <w:rsid w:val="0099532F"/>
    <w:rsid w:val="00995429"/>
    <w:rsid w:val="00995528"/>
    <w:rsid w:val="00995B80"/>
    <w:rsid w:val="00995B98"/>
    <w:rsid w:val="00995C71"/>
    <w:rsid w:val="00995D59"/>
    <w:rsid w:val="00995EAE"/>
    <w:rsid w:val="0099601F"/>
    <w:rsid w:val="009962A3"/>
    <w:rsid w:val="00996485"/>
    <w:rsid w:val="00996743"/>
    <w:rsid w:val="00996814"/>
    <w:rsid w:val="00996834"/>
    <w:rsid w:val="009968FE"/>
    <w:rsid w:val="00996CDF"/>
    <w:rsid w:val="00996D0E"/>
    <w:rsid w:val="00996D3E"/>
    <w:rsid w:val="00996D70"/>
    <w:rsid w:val="00997179"/>
    <w:rsid w:val="009976F3"/>
    <w:rsid w:val="009978F0"/>
    <w:rsid w:val="00997AAF"/>
    <w:rsid w:val="00997AC3"/>
    <w:rsid w:val="00997CB5"/>
    <w:rsid w:val="00997D3B"/>
    <w:rsid w:val="00997DEF"/>
    <w:rsid w:val="009A00D6"/>
    <w:rsid w:val="009A04DD"/>
    <w:rsid w:val="009A05F0"/>
    <w:rsid w:val="009A0735"/>
    <w:rsid w:val="009A07FC"/>
    <w:rsid w:val="009A0B44"/>
    <w:rsid w:val="009A0F0D"/>
    <w:rsid w:val="009A0F29"/>
    <w:rsid w:val="009A0F41"/>
    <w:rsid w:val="009A1093"/>
    <w:rsid w:val="009A1165"/>
    <w:rsid w:val="009A16CE"/>
    <w:rsid w:val="009A191C"/>
    <w:rsid w:val="009A19CA"/>
    <w:rsid w:val="009A1B93"/>
    <w:rsid w:val="009A1BA4"/>
    <w:rsid w:val="009A1C28"/>
    <w:rsid w:val="009A1E66"/>
    <w:rsid w:val="009A20BA"/>
    <w:rsid w:val="009A2306"/>
    <w:rsid w:val="009A2377"/>
    <w:rsid w:val="009A23AB"/>
    <w:rsid w:val="009A23E8"/>
    <w:rsid w:val="009A296B"/>
    <w:rsid w:val="009A2C0B"/>
    <w:rsid w:val="009A2EDF"/>
    <w:rsid w:val="009A3351"/>
    <w:rsid w:val="009A3361"/>
    <w:rsid w:val="009A34EC"/>
    <w:rsid w:val="009A3670"/>
    <w:rsid w:val="009A3804"/>
    <w:rsid w:val="009A3DA2"/>
    <w:rsid w:val="009A3DEB"/>
    <w:rsid w:val="009A3EFA"/>
    <w:rsid w:val="009A3FCE"/>
    <w:rsid w:val="009A4171"/>
    <w:rsid w:val="009A423A"/>
    <w:rsid w:val="009A43A8"/>
    <w:rsid w:val="009A4479"/>
    <w:rsid w:val="009A44BA"/>
    <w:rsid w:val="009A4752"/>
    <w:rsid w:val="009A49CC"/>
    <w:rsid w:val="009A4CE1"/>
    <w:rsid w:val="009A4FA8"/>
    <w:rsid w:val="009A516E"/>
    <w:rsid w:val="009A51C1"/>
    <w:rsid w:val="009A5297"/>
    <w:rsid w:val="009A54F1"/>
    <w:rsid w:val="009A54F4"/>
    <w:rsid w:val="009A56A6"/>
    <w:rsid w:val="009A587C"/>
    <w:rsid w:val="009A59AF"/>
    <w:rsid w:val="009A5C60"/>
    <w:rsid w:val="009A5C91"/>
    <w:rsid w:val="009A6129"/>
    <w:rsid w:val="009A6340"/>
    <w:rsid w:val="009A6390"/>
    <w:rsid w:val="009A6586"/>
    <w:rsid w:val="009A6928"/>
    <w:rsid w:val="009A6A14"/>
    <w:rsid w:val="009A6A4C"/>
    <w:rsid w:val="009A6BEC"/>
    <w:rsid w:val="009A6D01"/>
    <w:rsid w:val="009A6DC0"/>
    <w:rsid w:val="009A6EA0"/>
    <w:rsid w:val="009A6F04"/>
    <w:rsid w:val="009A6F52"/>
    <w:rsid w:val="009A6F9F"/>
    <w:rsid w:val="009A70BA"/>
    <w:rsid w:val="009A72B6"/>
    <w:rsid w:val="009A752E"/>
    <w:rsid w:val="009A7925"/>
    <w:rsid w:val="009A79D5"/>
    <w:rsid w:val="009A7C6B"/>
    <w:rsid w:val="009A7C8C"/>
    <w:rsid w:val="009A7D7A"/>
    <w:rsid w:val="009A7DFB"/>
    <w:rsid w:val="009A7E4A"/>
    <w:rsid w:val="009A7E94"/>
    <w:rsid w:val="009A7EBB"/>
    <w:rsid w:val="009A7EF3"/>
    <w:rsid w:val="009A7F56"/>
    <w:rsid w:val="009A7FF0"/>
    <w:rsid w:val="009B0146"/>
    <w:rsid w:val="009B047A"/>
    <w:rsid w:val="009B065F"/>
    <w:rsid w:val="009B0801"/>
    <w:rsid w:val="009B0A55"/>
    <w:rsid w:val="009B0B38"/>
    <w:rsid w:val="009B0BF3"/>
    <w:rsid w:val="009B0D3B"/>
    <w:rsid w:val="009B0D4D"/>
    <w:rsid w:val="009B13B0"/>
    <w:rsid w:val="009B143A"/>
    <w:rsid w:val="009B15FD"/>
    <w:rsid w:val="009B1706"/>
    <w:rsid w:val="009B17ED"/>
    <w:rsid w:val="009B17F6"/>
    <w:rsid w:val="009B1C2F"/>
    <w:rsid w:val="009B1D34"/>
    <w:rsid w:val="009B1D50"/>
    <w:rsid w:val="009B1D79"/>
    <w:rsid w:val="009B1E4E"/>
    <w:rsid w:val="009B228D"/>
    <w:rsid w:val="009B2341"/>
    <w:rsid w:val="009B2485"/>
    <w:rsid w:val="009B2818"/>
    <w:rsid w:val="009B2916"/>
    <w:rsid w:val="009B2985"/>
    <w:rsid w:val="009B2BBC"/>
    <w:rsid w:val="009B2C5C"/>
    <w:rsid w:val="009B3211"/>
    <w:rsid w:val="009B3239"/>
    <w:rsid w:val="009B3361"/>
    <w:rsid w:val="009B33AF"/>
    <w:rsid w:val="009B35F7"/>
    <w:rsid w:val="009B3769"/>
    <w:rsid w:val="009B381F"/>
    <w:rsid w:val="009B3B0D"/>
    <w:rsid w:val="009B3BE5"/>
    <w:rsid w:val="009B3C21"/>
    <w:rsid w:val="009B3E8B"/>
    <w:rsid w:val="009B3F97"/>
    <w:rsid w:val="009B3FA2"/>
    <w:rsid w:val="009B4042"/>
    <w:rsid w:val="009B4061"/>
    <w:rsid w:val="009B4224"/>
    <w:rsid w:val="009B42B7"/>
    <w:rsid w:val="009B442D"/>
    <w:rsid w:val="009B45EE"/>
    <w:rsid w:val="009B4619"/>
    <w:rsid w:val="009B48D5"/>
    <w:rsid w:val="009B4EE5"/>
    <w:rsid w:val="009B5660"/>
    <w:rsid w:val="009B56F3"/>
    <w:rsid w:val="009B5878"/>
    <w:rsid w:val="009B5B48"/>
    <w:rsid w:val="009B5CDE"/>
    <w:rsid w:val="009B5F17"/>
    <w:rsid w:val="009B65DC"/>
    <w:rsid w:val="009B67ED"/>
    <w:rsid w:val="009B68D4"/>
    <w:rsid w:val="009B69D5"/>
    <w:rsid w:val="009B6B24"/>
    <w:rsid w:val="009B6B8B"/>
    <w:rsid w:val="009B6BDF"/>
    <w:rsid w:val="009B6FE1"/>
    <w:rsid w:val="009B7160"/>
    <w:rsid w:val="009B72C6"/>
    <w:rsid w:val="009B73B3"/>
    <w:rsid w:val="009B77DC"/>
    <w:rsid w:val="009B77F1"/>
    <w:rsid w:val="009B787F"/>
    <w:rsid w:val="009B7ACC"/>
    <w:rsid w:val="009B7BF1"/>
    <w:rsid w:val="009B7F89"/>
    <w:rsid w:val="009C0082"/>
    <w:rsid w:val="009C00EA"/>
    <w:rsid w:val="009C0103"/>
    <w:rsid w:val="009C0159"/>
    <w:rsid w:val="009C01D5"/>
    <w:rsid w:val="009C01FD"/>
    <w:rsid w:val="009C0226"/>
    <w:rsid w:val="009C0441"/>
    <w:rsid w:val="009C0512"/>
    <w:rsid w:val="009C05FE"/>
    <w:rsid w:val="009C0858"/>
    <w:rsid w:val="009C0ADF"/>
    <w:rsid w:val="009C1051"/>
    <w:rsid w:val="009C1193"/>
    <w:rsid w:val="009C12F0"/>
    <w:rsid w:val="009C13E1"/>
    <w:rsid w:val="009C14A1"/>
    <w:rsid w:val="009C170E"/>
    <w:rsid w:val="009C175C"/>
    <w:rsid w:val="009C197A"/>
    <w:rsid w:val="009C19E8"/>
    <w:rsid w:val="009C1B11"/>
    <w:rsid w:val="009C2050"/>
    <w:rsid w:val="009C2123"/>
    <w:rsid w:val="009C225B"/>
    <w:rsid w:val="009C2398"/>
    <w:rsid w:val="009C249E"/>
    <w:rsid w:val="009C3123"/>
    <w:rsid w:val="009C3439"/>
    <w:rsid w:val="009C384C"/>
    <w:rsid w:val="009C39F5"/>
    <w:rsid w:val="009C3BFB"/>
    <w:rsid w:val="009C3C13"/>
    <w:rsid w:val="009C3C28"/>
    <w:rsid w:val="009C3D24"/>
    <w:rsid w:val="009C3DA6"/>
    <w:rsid w:val="009C3EBD"/>
    <w:rsid w:val="009C3F2D"/>
    <w:rsid w:val="009C3F6C"/>
    <w:rsid w:val="009C4036"/>
    <w:rsid w:val="009C413B"/>
    <w:rsid w:val="009C42A9"/>
    <w:rsid w:val="009C44DE"/>
    <w:rsid w:val="009C4718"/>
    <w:rsid w:val="009C4820"/>
    <w:rsid w:val="009C49E8"/>
    <w:rsid w:val="009C4A95"/>
    <w:rsid w:val="009C4A96"/>
    <w:rsid w:val="009C4AB7"/>
    <w:rsid w:val="009C4B8B"/>
    <w:rsid w:val="009C4BAC"/>
    <w:rsid w:val="009C4BCA"/>
    <w:rsid w:val="009C4BF7"/>
    <w:rsid w:val="009C4C5C"/>
    <w:rsid w:val="009C4D54"/>
    <w:rsid w:val="009C5096"/>
    <w:rsid w:val="009C528A"/>
    <w:rsid w:val="009C52B5"/>
    <w:rsid w:val="009C5306"/>
    <w:rsid w:val="009C559B"/>
    <w:rsid w:val="009C5614"/>
    <w:rsid w:val="009C58F9"/>
    <w:rsid w:val="009C594D"/>
    <w:rsid w:val="009C6379"/>
    <w:rsid w:val="009C6422"/>
    <w:rsid w:val="009C64E2"/>
    <w:rsid w:val="009C6517"/>
    <w:rsid w:val="009C65AC"/>
    <w:rsid w:val="009C6925"/>
    <w:rsid w:val="009C6D41"/>
    <w:rsid w:val="009C6D46"/>
    <w:rsid w:val="009C6F1A"/>
    <w:rsid w:val="009C6FC4"/>
    <w:rsid w:val="009C70BF"/>
    <w:rsid w:val="009C7292"/>
    <w:rsid w:val="009C72DF"/>
    <w:rsid w:val="009C73BB"/>
    <w:rsid w:val="009C76EA"/>
    <w:rsid w:val="009C7720"/>
    <w:rsid w:val="009C78FD"/>
    <w:rsid w:val="009C79F8"/>
    <w:rsid w:val="009C7AA2"/>
    <w:rsid w:val="009C7ABC"/>
    <w:rsid w:val="009C7D31"/>
    <w:rsid w:val="009C7DC1"/>
    <w:rsid w:val="009D0068"/>
    <w:rsid w:val="009D011C"/>
    <w:rsid w:val="009D0353"/>
    <w:rsid w:val="009D048B"/>
    <w:rsid w:val="009D06DC"/>
    <w:rsid w:val="009D077E"/>
    <w:rsid w:val="009D08A0"/>
    <w:rsid w:val="009D090F"/>
    <w:rsid w:val="009D0956"/>
    <w:rsid w:val="009D0A51"/>
    <w:rsid w:val="009D0B98"/>
    <w:rsid w:val="009D0BAC"/>
    <w:rsid w:val="009D0C54"/>
    <w:rsid w:val="009D0D6C"/>
    <w:rsid w:val="009D0DF5"/>
    <w:rsid w:val="009D0F63"/>
    <w:rsid w:val="009D0FB3"/>
    <w:rsid w:val="009D114A"/>
    <w:rsid w:val="009D11B8"/>
    <w:rsid w:val="009D1259"/>
    <w:rsid w:val="009D13DB"/>
    <w:rsid w:val="009D1883"/>
    <w:rsid w:val="009D19DD"/>
    <w:rsid w:val="009D1D09"/>
    <w:rsid w:val="009D209D"/>
    <w:rsid w:val="009D2394"/>
    <w:rsid w:val="009D24EA"/>
    <w:rsid w:val="009D25B4"/>
    <w:rsid w:val="009D275A"/>
    <w:rsid w:val="009D29A7"/>
    <w:rsid w:val="009D2A39"/>
    <w:rsid w:val="009D2AE4"/>
    <w:rsid w:val="009D2AEB"/>
    <w:rsid w:val="009D2CB8"/>
    <w:rsid w:val="009D2D0D"/>
    <w:rsid w:val="009D2F2D"/>
    <w:rsid w:val="009D30C1"/>
    <w:rsid w:val="009D314C"/>
    <w:rsid w:val="009D31A6"/>
    <w:rsid w:val="009D3221"/>
    <w:rsid w:val="009D327F"/>
    <w:rsid w:val="009D33F8"/>
    <w:rsid w:val="009D3664"/>
    <w:rsid w:val="009D36CF"/>
    <w:rsid w:val="009D36E7"/>
    <w:rsid w:val="009D38AA"/>
    <w:rsid w:val="009D3C92"/>
    <w:rsid w:val="009D3D72"/>
    <w:rsid w:val="009D3F46"/>
    <w:rsid w:val="009D4058"/>
    <w:rsid w:val="009D4107"/>
    <w:rsid w:val="009D4573"/>
    <w:rsid w:val="009D48A8"/>
    <w:rsid w:val="009D4AB5"/>
    <w:rsid w:val="009D4AD5"/>
    <w:rsid w:val="009D4C7D"/>
    <w:rsid w:val="009D5573"/>
    <w:rsid w:val="009D643B"/>
    <w:rsid w:val="009D6448"/>
    <w:rsid w:val="009D64A6"/>
    <w:rsid w:val="009D65BA"/>
    <w:rsid w:val="009D6731"/>
    <w:rsid w:val="009D6886"/>
    <w:rsid w:val="009D6DD4"/>
    <w:rsid w:val="009D6F95"/>
    <w:rsid w:val="009D714F"/>
    <w:rsid w:val="009D76FC"/>
    <w:rsid w:val="009D7914"/>
    <w:rsid w:val="009D7B13"/>
    <w:rsid w:val="009D7B3C"/>
    <w:rsid w:val="009D7B3D"/>
    <w:rsid w:val="009D7BB0"/>
    <w:rsid w:val="009D7E8E"/>
    <w:rsid w:val="009D7EB6"/>
    <w:rsid w:val="009E046C"/>
    <w:rsid w:val="009E05E5"/>
    <w:rsid w:val="009E0649"/>
    <w:rsid w:val="009E06AC"/>
    <w:rsid w:val="009E071D"/>
    <w:rsid w:val="009E072A"/>
    <w:rsid w:val="009E0A42"/>
    <w:rsid w:val="009E0BD1"/>
    <w:rsid w:val="009E0C1D"/>
    <w:rsid w:val="009E0D38"/>
    <w:rsid w:val="009E0E6C"/>
    <w:rsid w:val="009E0FB7"/>
    <w:rsid w:val="009E1182"/>
    <w:rsid w:val="009E11F4"/>
    <w:rsid w:val="009E1256"/>
    <w:rsid w:val="009E12EE"/>
    <w:rsid w:val="009E133C"/>
    <w:rsid w:val="009E1483"/>
    <w:rsid w:val="009E1590"/>
    <w:rsid w:val="009E15CB"/>
    <w:rsid w:val="009E1784"/>
    <w:rsid w:val="009E1812"/>
    <w:rsid w:val="009E1C7F"/>
    <w:rsid w:val="009E1D17"/>
    <w:rsid w:val="009E1DC5"/>
    <w:rsid w:val="009E1F24"/>
    <w:rsid w:val="009E1F27"/>
    <w:rsid w:val="009E202D"/>
    <w:rsid w:val="009E21BD"/>
    <w:rsid w:val="009E221E"/>
    <w:rsid w:val="009E2229"/>
    <w:rsid w:val="009E236E"/>
    <w:rsid w:val="009E244A"/>
    <w:rsid w:val="009E2490"/>
    <w:rsid w:val="009E2655"/>
    <w:rsid w:val="009E265C"/>
    <w:rsid w:val="009E2804"/>
    <w:rsid w:val="009E2886"/>
    <w:rsid w:val="009E28D0"/>
    <w:rsid w:val="009E2A21"/>
    <w:rsid w:val="009E2CF3"/>
    <w:rsid w:val="009E2FC2"/>
    <w:rsid w:val="009E3286"/>
    <w:rsid w:val="009E331F"/>
    <w:rsid w:val="009E334E"/>
    <w:rsid w:val="009E34BF"/>
    <w:rsid w:val="009E360C"/>
    <w:rsid w:val="009E38D5"/>
    <w:rsid w:val="009E3934"/>
    <w:rsid w:val="009E3B14"/>
    <w:rsid w:val="009E3C81"/>
    <w:rsid w:val="009E3C84"/>
    <w:rsid w:val="009E3FDF"/>
    <w:rsid w:val="009E45EB"/>
    <w:rsid w:val="009E47CD"/>
    <w:rsid w:val="009E4A3B"/>
    <w:rsid w:val="009E4E76"/>
    <w:rsid w:val="009E4FA9"/>
    <w:rsid w:val="009E521B"/>
    <w:rsid w:val="009E526B"/>
    <w:rsid w:val="009E5343"/>
    <w:rsid w:val="009E54FE"/>
    <w:rsid w:val="009E5588"/>
    <w:rsid w:val="009E57CC"/>
    <w:rsid w:val="009E5877"/>
    <w:rsid w:val="009E5A63"/>
    <w:rsid w:val="009E5AD2"/>
    <w:rsid w:val="009E5C39"/>
    <w:rsid w:val="009E5CE3"/>
    <w:rsid w:val="009E5D8F"/>
    <w:rsid w:val="009E5EF7"/>
    <w:rsid w:val="009E602B"/>
    <w:rsid w:val="009E6208"/>
    <w:rsid w:val="009E621B"/>
    <w:rsid w:val="009E662A"/>
    <w:rsid w:val="009E6689"/>
    <w:rsid w:val="009E674F"/>
    <w:rsid w:val="009E67DC"/>
    <w:rsid w:val="009E6965"/>
    <w:rsid w:val="009E6C48"/>
    <w:rsid w:val="009E6CA9"/>
    <w:rsid w:val="009E6F79"/>
    <w:rsid w:val="009E75FE"/>
    <w:rsid w:val="009E778D"/>
    <w:rsid w:val="009E7A1D"/>
    <w:rsid w:val="009E7B70"/>
    <w:rsid w:val="009E7C4A"/>
    <w:rsid w:val="009E7FDA"/>
    <w:rsid w:val="009F003A"/>
    <w:rsid w:val="009F0064"/>
    <w:rsid w:val="009F01A6"/>
    <w:rsid w:val="009F03BD"/>
    <w:rsid w:val="009F055D"/>
    <w:rsid w:val="009F0843"/>
    <w:rsid w:val="009F0979"/>
    <w:rsid w:val="009F09FD"/>
    <w:rsid w:val="009F0A15"/>
    <w:rsid w:val="009F0F20"/>
    <w:rsid w:val="009F0FFD"/>
    <w:rsid w:val="009F10C4"/>
    <w:rsid w:val="009F1127"/>
    <w:rsid w:val="009F1317"/>
    <w:rsid w:val="009F1335"/>
    <w:rsid w:val="009F149E"/>
    <w:rsid w:val="009F170B"/>
    <w:rsid w:val="009F1752"/>
    <w:rsid w:val="009F17EC"/>
    <w:rsid w:val="009F1A1A"/>
    <w:rsid w:val="009F1CAA"/>
    <w:rsid w:val="009F1F65"/>
    <w:rsid w:val="009F2162"/>
    <w:rsid w:val="009F240C"/>
    <w:rsid w:val="009F2524"/>
    <w:rsid w:val="009F268B"/>
    <w:rsid w:val="009F26A5"/>
    <w:rsid w:val="009F2855"/>
    <w:rsid w:val="009F2946"/>
    <w:rsid w:val="009F2A99"/>
    <w:rsid w:val="009F2B00"/>
    <w:rsid w:val="009F2C1A"/>
    <w:rsid w:val="009F2C4B"/>
    <w:rsid w:val="009F2CA4"/>
    <w:rsid w:val="009F2F55"/>
    <w:rsid w:val="009F30D2"/>
    <w:rsid w:val="009F341D"/>
    <w:rsid w:val="009F341E"/>
    <w:rsid w:val="009F34C8"/>
    <w:rsid w:val="009F3519"/>
    <w:rsid w:val="009F36DD"/>
    <w:rsid w:val="009F384D"/>
    <w:rsid w:val="009F3850"/>
    <w:rsid w:val="009F38F9"/>
    <w:rsid w:val="009F3BB2"/>
    <w:rsid w:val="009F3D48"/>
    <w:rsid w:val="009F409A"/>
    <w:rsid w:val="009F4266"/>
    <w:rsid w:val="009F43D2"/>
    <w:rsid w:val="009F4632"/>
    <w:rsid w:val="009F47A7"/>
    <w:rsid w:val="009F4A7E"/>
    <w:rsid w:val="009F4A81"/>
    <w:rsid w:val="009F4CC7"/>
    <w:rsid w:val="009F4EA5"/>
    <w:rsid w:val="009F53E6"/>
    <w:rsid w:val="009F5411"/>
    <w:rsid w:val="009F5473"/>
    <w:rsid w:val="009F5519"/>
    <w:rsid w:val="009F57F6"/>
    <w:rsid w:val="009F59CE"/>
    <w:rsid w:val="009F5BCF"/>
    <w:rsid w:val="009F60C9"/>
    <w:rsid w:val="009F6119"/>
    <w:rsid w:val="009F6539"/>
    <w:rsid w:val="009F66D1"/>
    <w:rsid w:val="009F6834"/>
    <w:rsid w:val="009F68AF"/>
    <w:rsid w:val="009F71CE"/>
    <w:rsid w:val="009F735A"/>
    <w:rsid w:val="009F736C"/>
    <w:rsid w:val="009F74D6"/>
    <w:rsid w:val="009F7509"/>
    <w:rsid w:val="009F7550"/>
    <w:rsid w:val="009F7827"/>
    <w:rsid w:val="009F7BBC"/>
    <w:rsid w:val="009F7C37"/>
    <w:rsid w:val="009F7CE5"/>
    <w:rsid w:val="009F7DBC"/>
    <w:rsid w:val="009F7E80"/>
    <w:rsid w:val="00A003E8"/>
    <w:rsid w:val="00A0075C"/>
    <w:rsid w:val="00A008FE"/>
    <w:rsid w:val="00A00DC5"/>
    <w:rsid w:val="00A00EC7"/>
    <w:rsid w:val="00A00F65"/>
    <w:rsid w:val="00A013DB"/>
    <w:rsid w:val="00A01404"/>
    <w:rsid w:val="00A016E2"/>
    <w:rsid w:val="00A0178A"/>
    <w:rsid w:val="00A01955"/>
    <w:rsid w:val="00A01D35"/>
    <w:rsid w:val="00A01F5F"/>
    <w:rsid w:val="00A02146"/>
    <w:rsid w:val="00A02254"/>
    <w:rsid w:val="00A0227F"/>
    <w:rsid w:val="00A0253D"/>
    <w:rsid w:val="00A02933"/>
    <w:rsid w:val="00A02A7E"/>
    <w:rsid w:val="00A02C2A"/>
    <w:rsid w:val="00A02E4C"/>
    <w:rsid w:val="00A02FDB"/>
    <w:rsid w:val="00A033EB"/>
    <w:rsid w:val="00A036E2"/>
    <w:rsid w:val="00A03864"/>
    <w:rsid w:val="00A039B4"/>
    <w:rsid w:val="00A03AFF"/>
    <w:rsid w:val="00A046A4"/>
    <w:rsid w:val="00A04742"/>
    <w:rsid w:val="00A0475D"/>
    <w:rsid w:val="00A049F9"/>
    <w:rsid w:val="00A04A3A"/>
    <w:rsid w:val="00A04AB4"/>
    <w:rsid w:val="00A04ACF"/>
    <w:rsid w:val="00A04C69"/>
    <w:rsid w:val="00A05186"/>
    <w:rsid w:val="00A0527F"/>
    <w:rsid w:val="00A05438"/>
    <w:rsid w:val="00A055ED"/>
    <w:rsid w:val="00A0566D"/>
    <w:rsid w:val="00A057C2"/>
    <w:rsid w:val="00A057FC"/>
    <w:rsid w:val="00A05CBC"/>
    <w:rsid w:val="00A05D01"/>
    <w:rsid w:val="00A05DC6"/>
    <w:rsid w:val="00A05E80"/>
    <w:rsid w:val="00A0600C"/>
    <w:rsid w:val="00A065BF"/>
    <w:rsid w:val="00A06604"/>
    <w:rsid w:val="00A067F0"/>
    <w:rsid w:val="00A069E0"/>
    <w:rsid w:val="00A06BEC"/>
    <w:rsid w:val="00A06D13"/>
    <w:rsid w:val="00A06DAE"/>
    <w:rsid w:val="00A06F10"/>
    <w:rsid w:val="00A071BA"/>
    <w:rsid w:val="00A075D9"/>
    <w:rsid w:val="00A07699"/>
    <w:rsid w:val="00A07751"/>
    <w:rsid w:val="00A07C32"/>
    <w:rsid w:val="00A07E6D"/>
    <w:rsid w:val="00A1000B"/>
    <w:rsid w:val="00A1001B"/>
    <w:rsid w:val="00A1013C"/>
    <w:rsid w:val="00A10151"/>
    <w:rsid w:val="00A102BD"/>
    <w:rsid w:val="00A104BC"/>
    <w:rsid w:val="00A104E5"/>
    <w:rsid w:val="00A10520"/>
    <w:rsid w:val="00A106F5"/>
    <w:rsid w:val="00A1076F"/>
    <w:rsid w:val="00A1094E"/>
    <w:rsid w:val="00A10A3B"/>
    <w:rsid w:val="00A10CA4"/>
    <w:rsid w:val="00A10D75"/>
    <w:rsid w:val="00A113E9"/>
    <w:rsid w:val="00A1158B"/>
    <w:rsid w:val="00A1160B"/>
    <w:rsid w:val="00A1173C"/>
    <w:rsid w:val="00A119C5"/>
    <w:rsid w:val="00A11CAF"/>
    <w:rsid w:val="00A11DCA"/>
    <w:rsid w:val="00A11E90"/>
    <w:rsid w:val="00A11F07"/>
    <w:rsid w:val="00A11FFD"/>
    <w:rsid w:val="00A12470"/>
    <w:rsid w:val="00A128EF"/>
    <w:rsid w:val="00A12F49"/>
    <w:rsid w:val="00A13620"/>
    <w:rsid w:val="00A137E2"/>
    <w:rsid w:val="00A13898"/>
    <w:rsid w:val="00A13D69"/>
    <w:rsid w:val="00A13EFC"/>
    <w:rsid w:val="00A1405B"/>
    <w:rsid w:val="00A14266"/>
    <w:rsid w:val="00A14356"/>
    <w:rsid w:val="00A1446E"/>
    <w:rsid w:val="00A144CD"/>
    <w:rsid w:val="00A1461D"/>
    <w:rsid w:val="00A14733"/>
    <w:rsid w:val="00A14AB9"/>
    <w:rsid w:val="00A14B8B"/>
    <w:rsid w:val="00A14E77"/>
    <w:rsid w:val="00A14FB9"/>
    <w:rsid w:val="00A15181"/>
    <w:rsid w:val="00A152F6"/>
    <w:rsid w:val="00A1549B"/>
    <w:rsid w:val="00A159D6"/>
    <w:rsid w:val="00A15A19"/>
    <w:rsid w:val="00A15A3D"/>
    <w:rsid w:val="00A15B74"/>
    <w:rsid w:val="00A15D8F"/>
    <w:rsid w:val="00A163B3"/>
    <w:rsid w:val="00A1653A"/>
    <w:rsid w:val="00A165C6"/>
    <w:rsid w:val="00A165F9"/>
    <w:rsid w:val="00A16633"/>
    <w:rsid w:val="00A166CD"/>
    <w:rsid w:val="00A1670A"/>
    <w:rsid w:val="00A16960"/>
    <w:rsid w:val="00A16980"/>
    <w:rsid w:val="00A16A0A"/>
    <w:rsid w:val="00A16D2F"/>
    <w:rsid w:val="00A17306"/>
    <w:rsid w:val="00A17308"/>
    <w:rsid w:val="00A174FF"/>
    <w:rsid w:val="00A17518"/>
    <w:rsid w:val="00A1772D"/>
    <w:rsid w:val="00A1776F"/>
    <w:rsid w:val="00A17BF6"/>
    <w:rsid w:val="00A17D6F"/>
    <w:rsid w:val="00A17FC5"/>
    <w:rsid w:val="00A2006C"/>
    <w:rsid w:val="00A20109"/>
    <w:rsid w:val="00A20539"/>
    <w:rsid w:val="00A20626"/>
    <w:rsid w:val="00A206FB"/>
    <w:rsid w:val="00A2071D"/>
    <w:rsid w:val="00A2079E"/>
    <w:rsid w:val="00A208C9"/>
    <w:rsid w:val="00A20A5C"/>
    <w:rsid w:val="00A20AA9"/>
    <w:rsid w:val="00A20B9C"/>
    <w:rsid w:val="00A20F9A"/>
    <w:rsid w:val="00A2104D"/>
    <w:rsid w:val="00A21077"/>
    <w:rsid w:val="00A2118F"/>
    <w:rsid w:val="00A212C2"/>
    <w:rsid w:val="00A212C8"/>
    <w:rsid w:val="00A21387"/>
    <w:rsid w:val="00A21420"/>
    <w:rsid w:val="00A21520"/>
    <w:rsid w:val="00A215C2"/>
    <w:rsid w:val="00A218D5"/>
    <w:rsid w:val="00A21ABE"/>
    <w:rsid w:val="00A21D6C"/>
    <w:rsid w:val="00A2218F"/>
    <w:rsid w:val="00A222EA"/>
    <w:rsid w:val="00A224E1"/>
    <w:rsid w:val="00A22648"/>
    <w:rsid w:val="00A228C3"/>
    <w:rsid w:val="00A22A17"/>
    <w:rsid w:val="00A22C50"/>
    <w:rsid w:val="00A22CC0"/>
    <w:rsid w:val="00A22E00"/>
    <w:rsid w:val="00A22E43"/>
    <w:rsid w:val="00A22EEF"/>
    <w:rsid w:val="00A22F55"/>
    <w:rsid w:val="00A2306B"/>
    <w:rsid w:val="00A23205"/>
    <w:rsid w:val="00A233DB"/>
    <w:rsid w:val="00A23ABD"/>
    <w:rsid w:val="00A23D38"/>
    <w:rsid w:val="00A23E76"/>
    <w:rsid w:val="00A2403A"/>
    <w:rsid w:val="00A2406E"/>
    <w:rsid w:val="00A241CE"/>
    <w:rsid w:val="00A24309"/>
    <w:rsid w:val="00A24365"/>
    <w:rsid w:val="00A24379"/>
    <w:rsid w:val="00A244D7"/>
    <w:rsid w:val="00A24600"/>
    <w:rsid w:val="00A24879"/>
    <w:rsid w:val="00A249C5"/>
    <w:rsid w:val="00A24DC8"/>
    <w:rsid w:val="00A24E7F"/>
    <w:rsid w:val="00A2530B"/>
    <w:rsid w:val="00A253F1"/>
    <w:rsid w:val="00A25424"/>
    <w:rsid w:val="00A25501"/>
    <w:rsid w:val="00A25625"/>
    <w:rsid w:val="00A256BC"/>
    <w:rsid w:val="00A25837"/>
    <w:rsid w:val="00A2598A"/>
    <w:rsid w:val="00A25A89"/>
    <w:rsid w:val="00A25D24"/>
    <w:rsid w:val="00A25DB1"/>
    <w:rsid w:val="00A25E2B"/>
    <w:rsid w:val="00A25E40"/>
    <w:rsid w:val="00A2603D"/>
    <w:rsid w:val="00A26126"/>
    <w:rsid w:val="00A26132"/>
    <w:rsid w:val="00A26143"/>
    <w:rsid w:val="00A2630C"/>
    <w:rsid w:val="00A263C1"/>
    <w:rsid w:val="00A2648A"/>
    <w:rsid w:val="00A264ED"/>
    <w:rsid w:val="00A266E7"/>
    <w:rsid w:val="00A26783"/>
    <w:rsid w:val="00A2678B"/>
    <w:rsid w:val="00A2691D"/>
    <w:rsid w:val="00A26926"/>
    <w:rsid w:val="00A26A3A"/>
    <w:rsid w:val="00A27083"/>
    <w:rsid w:val="00A2743B"/>
    <w:rsid w:val="00A279FF"/>
    <w:rsid w:val="00A27A73"/>
    <w:rsid w:val="00A27E3D"/>
    <w:rsid w:val="00A27F2B"/>
    <w:rsid w:val="00A3025F"/>
    <w:rsid w:val="00A302CF"/>
    <w:rsid w:val="00A30579"/>
    <w:rsid w:val="00A30773"/>
    <w:rsid w:val="00A3079A"/>
    <w:rsid w:val="00A30921"/>
    <w:rsid w:val="00A30AA3"/>
    <w:rsid w:val="00A30BDF"/>
    <w:rsid w:val="00A3106F"/>
    <w:rsid w:val="00A31071"/>
    <w:rsid w:val="00A31211"/>
    <w:rsid w:val="00A31237"/>
    <w:rsid w:val="00A3126B"/>
    <w:rsid w:val="00A314D1"/>
    <w:rsid w:val="00A315B1"/>
    <w:rsid w:val="00A31663"/>
    <w:rsid w:val="00A3176C"/>
    <w:rsid w:val="00A31AAE"/>
    <w:rsid w:val="00A31BBE"/>
    <w:rsid w:val="00A31D59"/>
    <w:rsid w:val="00A31F4B"/>
    <w:rsid w:val="00A32176"/>
    <w:rsid w:val="00A3223A"/>
    <w:rsid w:val="00A323FD"/>
    <w:rsid w:val="00A3249F"/>
    <w:rsid w:val="00A3267F"/>
    <w:rsid w:val="00A32738"/>
    <w:rsid w:val="00A32D31"/>
    <w:rsid w:val="00A32EEC"/>
    <w:rsid w:val="00A33083"/>
    <w:rsid w:val="00A331AB"/>
    <w:rsid w:val="00A33853"/>
    <w:rsid w:val="00A3398D"/>
    <w:rsid w:val="00A33A96"/>
    <w:rsid w:val="00A33A9A"/>
    <w:rsid w:val="00A33B7A"/>
    <w:rsid w:val="00A33BFE"/>
    <w:rsid w:val="00A33C33"/>
    <w:rsid w:val="00A33D36"/>
    <w:rsid w:val="00A341CA"/>
    <w:rsid w:val="00A34544"/>
    <w:rsid w:val="00A345B1"/>
    <w:rsid w:val="00A347C8"/>
    <w:rsid w:val="00A347DF"/>
    <w:rsid w:val="00A34802"/>
    <w:rsid w:val="00A34A85"/>
    <w:rsid w:val="00A34AC4"/>
    <w:rsid w:val="00A34EFA"/>
    <w:rsid w:val="00A350B9"/>
    <w:rsid w:val="00A35176"/>
    <w:rsid w:val="00A35212"/>
    <w:rsid w:val="00A352F7"/>
    <w:rsid w:val="00A353E8"/>
    <w:rsid w:val="00A354D1"/>
    <w:rsid w:val="00A35628"/>
    <w:rsid w:val="00A35A8B"/>
    <w:rsid w:val="00A35AF4"/>
    <w:rsid w:val="00A35DCD"/>
    <w:rsid w:val="00A3659A"/>
    <w:rsid w:val="00A365BE"/>
    <w:rsid w:val="00A365E4"/>
    <w:rsid w:val="00A36819"/>
    <w:rsid w:val="00A3694E"/>
    <w:rsid w:val="00A36BF1"/>
    <w:rsid w:val="00A36C45"/>
    <w:rsid w:val="00A36C5B"/>
    <w:rsid w:val="00A36DD1"/>
    <w:rsid w:val="00A36ECF"/>
    <w:rsid w:val="00A3700C"/>
    <w:rsid w:val="00A3702A"/>
    <w:rsid w:val="00A3712B"/>
    <w:rsid w:val="00A375AE"/>
    <w:rsid w:val="00A375CD"/>
    <w:rsid w:val="00A375F3"/>
    <w:rsid w:val="00A37728"/>
    <w:rsid w:val="00A37B4C"/>
    <w:rsid w:val="00A37CD7"/>
    <w:rsid w:val="00A37E3F"/>
    <w:rsid w:val="00A37F42"/>
    <w:rsid w:val="00A37F58"/>
    <w:rsid w:val="00A40161"/>
    <w:rsid w:val="00A401B7"/>
    <w:rsid w:val="00A40205"/>
    <w:rsid w:val="00A40417"/>
    <w:rsid w:val="00A406DA"/>
    <w:rsid w:val="00A407F7"/>
    <w:rsid w:val="00A40A71"/>
    <w:rsid w:val="00A40D07"/>
    <w:rsid w:val="00A40DB3"/>
    <w:rsid w:val="00A40F4A"/>
    <w:rsid w:val="00A41085"/>
    <w:rsid w:val="00A41183"/>
    <w:rsid w:val="00A414B8"/>
    <w:rsid w:val="00A414C7"/>
    <w:rsid w:val="00A41712"/>
    <w:rsid w:val="00A41AE3"/>
    <w:rsid w:val="00A41CCF"/>
    <w:rsid w:val="00A41E53"/>
    <w:rsid w:val="00A425EA"/>
    <w:rsid w:val="00A428D8"/>
    <w:rsid w:val="00A42BA0"/>
    <w:rsid w:val="00A4309F"/>
    <w:rsid w:val="00A43114"/>
    <w:rsid w:val="00A431D1"/>
    <w:rsid w:val="00A43545"/>
    <w:rsid w:val="00A435EA"/>
    <w:rsid w:val="00A43623"/>
    <w:rsid w:val="00A43FD0"/>
    <w:rsid w:val="00A440C1"/>
    <w:rsid w:val="00A44671"/>
    <w:rsid w:val="00A446EB"/>
    <w:rsid w:val="00A44918"/>
    <w:rsid w:val="00A44922"/>
    <w:rsid w:val="00A44A6B"/>
    <w:rsid w:val="00A44DB8"/>
    <w:rsid w:val="00A451C3"/>
    <w:rsid w:val="00A45549"/>
    <w:rsid w:val="00A4568A"/>
    <w:rsid w:val="00A45889"/>
    <w:rsid w:val="00A4593D"/>
    <w:rsid w:val="00A4598C"/>
    <w:rsid w:val="00A459C4"/>
    <w:rsid w:val="00A45BC9"/>
    <w:rsid w:val="00A45CCD"/>
    <w:rsid w:val="00A45E99"/>
    <w:rsid w:val="00A464CB"/>
    <w:rsid w:val="00A464E1"/>
    <w:rsid w:val="00A464F1"/>
    <w:rsid w:val="00A46516"/>
    <w:rsid w:val="00A46578"/>
    <w:rsid w:val="00A46DD9"/>
    <w:rsid w:val="00A46DEA"/>
    <w:rsid w:val="00A46EB3"/>
    <w:rsid w:val="00A46F1C"/>
    <w:rsid w:val="00A473D3"/>
    <w:rsid w:val="00A47672"/>
    <w:rsid w:val="00A47716"/>
    <w:rsid w:val="00A4781A"/>
    <w:rsid w:val="00A4782B"/>
    <w:rsid w:val="00A47A69"/>
    <w:rsid w:val="00A47D60"/>
    <w:rsid w:val="00A47DF1"/>
    <w:rsid w:val="00A47F13"/>
    <w:rsid w:val="00A50056"/>
    <w:rsid w:val="00A504D7"/>
    <w:rsid w:val="00A505F9"/>
    <w:rsid w:val="00A506F3"/>
    <w:rsid w:val="00A508E3"/>
    <w:rsid w:val="00A509AF"/>
    <w:rsid w:val="00A50AF8"/>
    <w:rsid w:val="00A50C13"/>
    <w:rsid w:val="00A50D20"/>
    <w:rsid w:val="00A50D40"/>
    <w:rsid w:val="00A5107B"/>
    <w:rsid w:val="00A51263"/>
    <w:rsid w:val="00A5160C"/>
    <w:rsid w:val="00A517D7"/>
    <w:rsid w:val="00A51DA9"/>
    <w:rsid w:val="00A5217A"/>
    <w:rsid w:val="00A521BD"/>
    <w:rsid w:val="00A524D6"/>
    <w:rsid w:val="00A52543"/>
    <w:rsid w:val="00A525F2"/>
    <w:rsid w:val="00A52A63"/>
    <w:rsid w:val="00A52CCD"/>
    <w:rsid w:val="00A52FB2"/>
    <w:rsid w:val="00A530E6"/>
    <w:rsid w:val="00A53136"/>
    <w:rsid w:val="00A53143"/>
    <w:rsid w:val="00A53185"/>
    <w:rsid w:val="00A531EC"/>
    <w:rsid w:val="00A53553"/>
    <w:rsid w:val="00A5357C"/>
    <w:rsid w:val="00A536E7"/>
    <w:rsid w:val="00A53860"/>
    <w:rsid w:val="00A53978"/>
    <w:rsid w:val="00A53A2D"/>
    <w:rsid w:val="00A53B7F"/>
    <w:rsid w:val="00A53B98"/>
    <w:rsid w:val="00A53C74"/>
    <w:rsid w:val="00A53CE8"/>
    <w:rsid w:val="00A53D34"/>
    <w:rsid w:val="00A53DCB"/>
    <w:rsid w:val="00A53E74"/>
    <w:rsid w:val="00A53FE2"/>
    <w:rsid w:val="00A544F2"/>
    <w:rsid w:val="00A5463A"/>
    <w:rsid w:val="00A54751"/>
    <w:rsid w:val="00A54832"/>
    <w:rsid w:val="00A54C89"/>
    <w:rsid w:val="00A54CF0"/>
    <w:rsid w:val="00A54ECA"/>
    <w:rsid w:val="00A55038"/>
    <w:rsid w:val="00A5532C"/>
    <w:rsid w:val="00A55878"/>
    <w:rsid w:val="00A558DD"/>
    <w:rsid w:val="00A55AFF"/>
    <w:rsid w:val="00A55B58"/>
    <w:rsid w:val="00A55D6B"/>
    <w:rsid w:val="00A55D9D"/>
    <w:rsid w:val="00A55DEF"/>
    <w:rsid w:val="00A55F0D"/>
    <w:rsid w:val="00A56015"/>
    <w:rsid w:val="00A5630F"/>
    <w:rsid w:val="00A56486"/>
    <w:rsid w:val="00A5664E"/>
    <w:rsid w:val="00A566EE"/>
    <w:rsid w:val="00A569B0"/>
    <w:rsid w:val="00A569BF"/>
    <w:rsid w:val="00A56D5B"/>
    <w:rsid w:val="00A570B6"/>
    <w:rsid w:val="00A57734"/>
    <w:rsid w:val="00A57995"/>
    <w:rsid w:val="00A57ABA"/>
    <w:rsid w:val="00A57CA8"/>
    <w:rsid w:val="00A57FB6"/>
    <w:rsid w:val="00A6000A"/>
    <w:rsid w:val="00A6001C"/>
    <w:rsid w:val="00A60046"/>
    <w:rsid w:val="00A60258"/>
    <w:rsid w:val="00A60383"/>
    <w:rsid w:val="00A604FD"/>
    <w:rsid w:val="00A605F5"/>
    <w:rsid w:val="00A60805"/>
    <w:rsid w:val="00A6091B"/>
    <w:rsid w:val="00A6096A"/>
    <w:rsid w:val="00A60B5B"/>
    <w:rsid w:val="00A60CF6"/>
    <w:rsid w:val="00A60F11"/>
    <w:rsid w:val="00A6121B"/>
    <w:rsid w:val="00A6144D"/>
    <w:rsid w:val="00A61924"/>
    <w:rsid w:val="00A61AE7"/>
    <w:rsid w:val="00A61BE3"/>
    <w:rsid w:val="00A61BEC"/>
    <w:rsid w:val="00A61E9E"/>
    <w:rsid w:val="00A61FAD"/>
    <w:rsid w:val="00A62287"/>
    <w:rsid w:val="00A62305"/>
    <w:rsid w:val="00A62308"/>
    <w:rsid w:val="00A62827"/>
    <w:rsid w:val="00A62A3B"/>
    <w:rsid w:val="00A62A97"/>
    <w:rsid w:val="00A62CD1"/>
    <w:rsid w:val="00A62D81"/>
    <w:rsid w:val="00A62DD5"/>
    <w:rsid w:val="00A6312F"/>
    <w:rsid w:val="00A6342E"/>
    <w:rsid w:val="00A6343D"/>
    <w:rsid w:val="00A637F6"/>
    <w:rsid w:val="00A638FE"/>
    <w:rsid w:val="00A63C51"/>
    <w:rsid w:val="00A63DEE"/>
    <w:rsid w:val="00A63F09"/>
    <w:rsid w:val="00A643DF"/>
    <w:rsid w:val="00A64442"/>
    <w:rsid w:val="00A6445F"/>
    <w:rsid w:val="00A64955"/>
    <w:rsid w:val="00A64C47"/>
    <w:rsid w:val="00A64CCC"/>
    <w:rsid w:val="00A6513E"/>
    <w:rsid w:val="00A6514A"/>
    <w:rsid w:val="00A6528E"/>
    <w:rsid w:val="00A65616"/>
    <w:rsid w:val="00A65643"/>
    <w:rsid w:val="00A659C4"/>
    <w:rsid w:val="00A65B19"/>
    <w:rsid w:val="00A65B81"/>
    <w:rsid w:val="00A65C9E"/>
    <w:rsid w:val="00A65E4A"/>
    <w:rsid w:val="00A6624A"/>
    <w:rsid w:val="00A66266"/>
    <w:rsid w:val="00A66312"/>
    <w:rsid w:val="00A663E5"/>
    <w:rsid w:val="00A6643B"/>
    <w:rsid w:val="00A6673E"/>
    <w:rsid w:val="00A6678E"/>
    <w:rsid w:val="00A66799"/>
    <w:rsid w:val="00A66847"/>
    <w:rsid w:val="00A669F9"/>
    <w:rsid w:val="00A66B8C"/>
    <w:rsid w:val="00A6705D"/>
    <w:rsid w:val="00A67286"/>
    <w:rsid w:val="00A672CB"/>
    <w:rsid w:val="00A674C5"/>
    <w:rsid w:val="00A674DD"/>
    <w:rsid w:val="00A67C88"/>
    <w:rsid w:val="00A67C89"/>
    <w:rsid w:val="00A67E25"/>
    <w:rsid w:val="00A67EE0"/>
    <w:rsid w:val="00A67F15"/>
    <w:rsid w:val="00A67F16"/>
    <w:rsid w:val="00A67FEC"/>
    <w:rsid w:val="00A70074"/>
    <w:rsid w:val="00A70130"/>
    <w:rsid w:val="00A70158"/>
    <w:rsid w:val="00A705D8"/>
    <w:rsid w:val="00A70609"/>
    <w:rsid w:val="00A706FE"/>
    <w:rsid w:val="00A7093E"/>
    <w:rsid w:val="00A709E6"/>
    <w:rsid w:val="00A70A3F"/>
    <w:rsid w:val="00A70AC4"/>
    <w:rsid w:val="00A70D68"/>
    <w:rsid w:val="00A70DC6"/>
    <w:rsid w:val="00A70FA3"/>
    <w:rsid w:val="00A7145F"/>
    <w:rsid w:val="00A71490"/>
    <w:rsid w:val="00A71675"/>
    <w:rsid w:val="00A71905"/>
    <w:rsid w:val="00A71BE5"/>
    <w:rsid w:val="00A71E38"/>
    <w:rsid w:val="00A71F17"/>
    <w:rsid w:val="00A72198"/>
    <w:rsid w:val="00A72A04"/>
    <w:rsid w:val="00A72A2B"/>
    <w:rsid w:val="00A72BE1"/>
    <w:rsid w:val="00A72DCE"/>
    <w:rsid w:val="00A72FB7"/>
    <w:rsid w:val="00A73480"/>
    <w:rsid w:val="00A7352A"/>
    <w:rsid w:val="00A739B3"/>
    <w:rsid w:val="00A73B50"/>
    <w:rsid w:val="00A73C17"/>
    <w:rsid w:val="00A73DEC"/>
    <w:rsid w:val="00A73E6A"/>
    <w:rsid w:val="00A73EB1"/>
    <w:rsid w:val="00A73F07"/>
    <w:rsid w:val="00A7403E"/>
    <w:rsid w:val="00A740AB"/>
    <w:rsid w:val="00A741A8"/>
    <w:rsid w:val="00A74375"/>
    <w:rsid w:val="00A746A3"/>
    <w:rsid w:val="00A746C4"/>
    <w:rsid w:val="00A748C1"/>
    <w:rsid w:val="00A748E0"/>
    <w:rsid w:val="00A74976"/>
    <w:rsid w:val="00A749BA"/>
    <w:rsid w:val="00A74AE3"/>
    <w:rsid w:val="00A74C02"/>
    <w:rsid w:val="00A7500B"/>
    <w:rsid w:val="00A75754"/>
    <w:rsid w:val="00A7578A"/>
    <w:rsid w:val="00A7595F"/>
    <w:rsid w:val="00A75AA9"/>
    <w:rsid w:val="00A75B64"/>
    <w:rsid w:val="00A75BDB"/>
    <w:rsid w:val="00A75E62"/>
    <w:rsid w:val="00A75E9F"/>
    <w:rsid w:val="00A75F74"/>
    <w:rsid w:val="00A761C7"/>
    <w:rsid w:val="00A76251"/>
    <w:rsid w:val="00A76329"/>
    <w:rsid w:val="00A7663C"/>
    <w:rsid w:val="00A76731"/>
    <w:rsid w:val="00A76C8E"/>
    <w:rsid w:val="00A76CEB"/>
    <w:rsid w:val="00A76D48"/>
    <w:rsid w:val="00A76ECD"/>
    <w:rsid w:val="00A7704A"/>
    <w:rsid w:val="00A7731D"/>
    <w:rsid w:val="00A77579"/>
    <w:rsid w:val="00A7778F"/>
    <w:rsid w:val="00A77863"/>
    <w:rsid w:val="00A77A33"/>
    <w:rsid w:val="00A77C8C"/>
    <w:rsid w:val="00A77CEB"/>
    <w:rsid w:val="00A80198"/>
    <w:rsid w:val="00A80266"/>
    <w:rsid w:val="00A805EC"/>
    <w:rsid w:val="00A80654"/>
    <w:rsid w:val="00A80780"/>
    <w:rsid w:val="00A807D5"/>
    <w:rsid w:val="00A807E4"/>
    <w:rsid w:val="00A808B9"/>
    <w:rsid w:val="00A80906"/>
    <w:rsid w:val="00A80A87"/>
    <w:rsid w:val="00A80AF9"/>
    <w:rsid w:val="00A80B94"/>
    <w:rsid w:val="00A80BE0"/>
    <w:rsid w:val="00A80C85"/>
    <w:rsid w:val="00A80CAB"/>
    <w:rsid w:val="00A80DEC"/>
    <w:rsid w:val="00A80E01"/>
    <w:rsid w:val="00A80F5E"/>
    <w:rsid w:val="00A8119A"/>
    <w:rsid w:val="00A81285"/>
    <w:rsid w:val="00A81586"/>
    <w:rsid w:val="00A815B5"/>
    <w:rsid w:val="00A81673"/>
    <w:rsid w:val="00A816F1"/>
    <w:rsid w:val="00A8183F"/>
    <w:rsid w:val="00A81D47"/>
    <w:rsid w:val="00A81DD1"/>
    <w:rsid w:val="00A824EB"/>
    <w:rsid w:val="00A83179"/>
    <w:rsid w:val="00A831E2"/>
    <w:rsid w:val="00A831FD"/>
    <w:rsid w:val="00A833D7"/>
    <w:rsid w:val="00A8346E"/>
    <w:rsid w:val="00A83786"/>
    <w:rsid w:val="00A8398C"/>
    <w:rsid w:val="00A83BCD"/>
    <w:rsid w:val="00A83C8E"/>
    <w:rsid w:val="00A83C94"/>
    <w:rsid w:val="00A83D5C"/>
    <w:rsid w:val="00A83E1A"/>
    <w:rsid w:val="00A83EBA"/>
    <w:rsid w:val="00A83FFE"/>
    <w:rsid w:val="00A84374"/>
    <w:rsid w:val="00A84724"/>
    <w:rsid w:val="00A84A5E"/>
    <w:rsid w:val="00A84B3B"/>
    <w:rsid w:val="00A84E5B"/>
    <w:rsid w:val="00A84E5F"/>
    <w:rsid w:val="00A84FA3"/>
    <w:rsid w:val="00A85059"/>
    <w:rsid w:val="00A8525F"/>
    <w:rsid w:val="00A852A5"/>
    <w:rsid w:val="00A85784"/>
    <w:rsid w:val="00A85A04"/>
    <w:rsid w:val="00A85AD9"/>
    <w:rsid w:val="00A85B88"/>
    <w:rsid w:val="00A85CFD"/>
    <w:rsid w:val="00A85F1B"/>
    <w:rsid w:val="00A86184"/>
    <w:rsid w:val="00A862E2"/>
    <w:rsid w:val="00A86395"/>
    <w:rsid w:val="00A8639E"/>
    <w:rsid w:val="00A864DA"/>
    <w:rsid w:val="00A86558"/>
    <w:rsid w:val="00A86614"/>
    <w:rsid w:val="00A86BBD"/>
    <w:rsid w:val="00A86C1B"/>
    <w:rsid w:val="00A86D66"/>
    <w:rsid w:val="00A87026"/>
    <w:rsid w:val="00A871DF"/>
    <w:rsid w:val="00A87236"/>
    <w:rsid w:val="00A8739F"/>
    <w:rsid w:val="00A874A6"/>
    <w:rsid w:val="00A876B8"/>
    <w:rsid w:val="00A87848"/>
    <w:rsid w:val="00A87969"/>
    <w:rsid w:val="00A87976"/>
    <w:rsid w:val="00A8797B"/>
    <w:rsid w:val="00A87B2D"/>
    <w:rsid w:val="00A87B6E"/>
    <w:rsid w:val="00A87C22"/>
    <w:rsid w:val="00A87CFF"/>
    <w:rsid w:val="00A87D0E"/>
    <w:rsid w:val="00A901AE"/>
    <w:rsid w:val="00A902BE"/>
    <w:rsid w:val="00A90321"/>
    <w:rsid w:val="00A9040C"/>
    <w:rsid w:val="00A90887"/>
    <w:rsid w:val="00A90B9E"/>
    <w:rsid w:val="00A90C04"/>
    <w:rsid w:val="00A90C53"/>
    <w:rsid w:val="00A90CC1"/>
    <w:rsid w:val="00A90EDD"/>
    <w:rsid w:val="00A90F27"/>
    <w:rsid w:val="00A910BC"/>
    <w:rsid w:val="00A91150"/>
    <w:rsid w:val="00A912A6"/>
    <w:rsid w:val="00A912F9"/>
    <w:rsid w:val="00A9150D"/>
    <w:rsid w:val="00A918FF"/>
    <w:rsid w:val="00A91932"/>
    <w:rsid w:val="00A91AC1"/>
    <w:rsid w:val="00A91B75"/>
    <w:rsid w:val="00A91DD6"/>
    <w:rsid w:val="00A91DEF"/>
    <w:rsid w:val="00A91F8B"/>
    <w:rsid w:val="00A9226E"/>
    <w:rsid w:val="00A92278"/>
    <w:rsid w:val="00A9230F"/>
    <w:rsid w:val="00A92412"/>
    <w:rsid w:val="00A92416"/>
    <w:rsid w:val="00A926E3"/>
    <w:rsid w:val="00A928A0"/>
    <w:rsid w:val="00A92B5F"/>
    <w:rsid w:val="00A92CA7"/>
    <w:rsid w:val="00A92E80"/>
    <w:rsid w:val="00A9310A"/>
    <w:rsid w:val="00A93793"/>
    <w:rsid w:val="00A93833"/>
    <w:rsid w:val="00A9384A"/>
    <w:rsid w:val="00A939BF"/>
    <w:rsid w:val="00A93EE8"/>
    <w:rsid w:val="00A93FE6"/>
    <w:rsid w:val="00A940C7"/>
    <w:rsid w:val="00A941CA"/>
    <w:rsid w:val="00A94222"/>
    <w:rsid w:val="00A943B0"/>
    <w:rsid w:val="00A943BF"/>
    <w:rsid w:val="00A9466B"/>
    <w:rsid w:val="00A94930"/>
    <w:rsid w:val="00A94C68"/>
    <w:rsid w:val="00A94D6B"/>
    <w:rsid w:val="00A94DD7"/>
    <w:rsid w:val="00A94EF0"/>
    <w:rsid w:val="00A94FDC"/>
    <w:rsid w:val="00A9505D"/>
    <w:rsid w:val="00A9516F"/>
    <w:rsid w:val="00A95183"/>
    <w:rsid w:val="00A954A0"/>
    <w:rsid w:val="00A954FB"/>
    <w:rsid w:val="00A95557"/>
    <w:rsid w:val="00A9590B"/>
    <w:rsid w:val="00A95AAF"/>
    <w:rsid w:val="00A95AEA"/>
    <w:rsid w:val="00A95B09"/>
    <w:rsid w:val="00A95B23"/>
    <w:rsid w:val="00A95BE8"/>
    <w:rsid w:val="00A95F9D"/>
    <w:rsid w:val="00A960A8"/>
    <w:rsid w:val="00A9661E"/>
    <w:rsid w:val="00A96713"/>
    <w:rsid w:val="00A96796"/>
    <w:rsid w:val="00A96A4F"/>
    <w:rsid w:val="00A96EA8"/>
    <w:rsid w:val="00A96F13"/>
    <w:rsid w:val="00A96F6A"/>
    <w:rsid w:val="00A970B1"/>
    <w:rsid w:val="00A975AA"/>
    <w:rsid w:val="00A97619"/>
    <w:rsid w:val="00A97725"/>
    <w:rsid w:val="00A97788"/>
    <w:rsid w:val="00A977B4"/>
    <w:rsid w:val="00A97AD9"/>
    <w:rsid w:val="00A97BC4"/>
    <w:rsid w:val="00A97BE7"/>
    <w:rsid w:val="00A97EF1"/>
    <w:rsid w:val="00A97F84"/>
    <w:rsid w:val="00AA011C"/>
    <w:rsid w:val="00AA0195"/>
    <w:rsid w:val="00AA0227"/>
    <w:rsid w:val="00AA0341"/>
    <w:rsid w:val="00AA03AA"/>
    <w:rsid w:val="00AA0537"/>
    <w:rsid w:val="00AA06DD"/>
    <w:rsid w:val="00AA098F"/>
    <w:rsid w:val="00AA09BD"/>
    <w:rsid w:val="00AA0A0F"/>
    <w:rsid w:val="00AA0AE9"/>
    <w:rsid w:val="00AA0EC1"/>
    <w:rsid w:val="00AA0ED2"/>
    <w:rsid w:val="00AA1146"/>
    <w:rsid w:val="00AA11AD"/>
    <w:rsid w:val="00AA136D"/>
    <w:rsid w:val="00AA16FD"/>
    <w:rsid w:val="00AA1739"/>
    <w:rsid w:val="00AA198C"/>
    <w:rsid w:val="00AA226E"/>
    <w:rsid w:val="00AA22B2"/>
    <w:rsid w:val="00AA2365"/>
    <w:rsid w:val="00AA25CF"/>
    <w:rsid w:val="00AA2742"/>
    <w:rsid w:val="00AA2800"/>
    <w:rsid w:val="00AA2B59"/>
    <w:rsid w:val="00AA2C54"/>
    <w:rsid w:val="00AA2E6B"/>
    <w:rsid w:val="00AA2EA5"/>
    <w:rsid w:val="00AA33E2"/>
    <w:rsid w:val="00AA354F"/>
    <w:rsid w:val="00AA3593"/>
    <w:rsid w:val="00AA3A3A"/>
    <w:rsid w:val="00AA3A6B"/>
    <w:rsid w:val="00AA3ACB"/>
    <w:rsid w:val="00AA3B56"/>
    <w:rsid w:val="00AA42D4"/>
    <w:rsid w:val="00AA4412"/>
    <w:rsid w:val="00AA450B"/>
    <w:rsid w:val="00AA45A4"/>
    <w:rsid w:val="00AA47F3"/>
    <w:rsid w:val="00AA48FE"/>
    <w:rsid w:val="00AA490A"/>
    <w:rsid w:val="00AA4B24"/>
    <w:rsid w:val="00AA4C4A"/>
    <w:rsid w:val="00AA4C5D"/>
    <w:rsid w:val="00AA5496"/>
    <w:rsid w:val="00AA57CE"/>
    <w:rsid w:val="00AA595B"/>
    <w:rsid w:val="00AA5983"/>
    <w:rsid w:val="00AA5A64"/>
    <w:rsid w:val="00AA5F95"/>
    <w:rsid w:val="00AA667B"/>
    <w:rsid w:val="00AA67B3"/>
    <w:rsid w:val="00AA6D38"/>
    <w:rsid w:val="00AA741E"/>
    <w:rsid w:val="00AA77CB"/>
    <w:rsid w:val="00AA7880"/>
    <w:rsid w:val="00AA7968"/>
    <w:rsid w:val="00AA7BAF"/>
    <w:rsid w:val="00AA7EC0"/>
    <w:rsid w:val="00AA7FEB"/>
    <w:rsid w:val="00AB0141"/>
    <w:rsid w:val="00AB01B5"/>
    <w:rsid w:val="00AB0332"/>
    <w:rsid w:val="00AB05D4"/>
    <w:rsid w:val="00AB06E8"/>
    <w:rsid w:val="00AB0807"/>
    <w:rsid w:val="00AB0880"/>
    <w:rsid w:val="00AB0893"/>
    <w:rsid w:val="00AB0938"/>
    <w:rsid w:val="00AB09C5"/>
    <w:rsid w:val="00AB0A45"/>
    <w:rsid w:val="00AB0AF4"/>
    <w:rsid w:val="00AB0B17"/>
    <w:rsid w:val="00AB0B6B"/>
    <w:rsid w:val="00AB0B6D"/>
    <w:rsid w:val="00AB0BC8"/>
    <w:rsid w:val="00AB0D49"/>
    <w:rsid w:val="00AB0EF8"/>
    <w:rsid w:val="00AB1002"/>
    <w:rsid w:val="00AB1126"/>
    <w:rsid w:val="00AB1207"/>
    <w:rsid w:val="00AB13B5"/>
    <w:rsid w:val="00AB154A"/>
    <w:rsid w:val="00AB1C67"/>
    <w:rsid w:val="00AB1D8D"/>
    <w:rsid w:val="00AB1E17"/>
    <w:rsid w:val="00AB20FC"/>
    <w:rsid w:val="00AB2214"/>
    <w:rsid w:val="00AB22FD"/>
    <w:rsid w:val="00AB2350"/>
    <w:rsid w:val="00AB237D"/>
    <w:rsid w:val="00AB263B"/>
    <w:rsid w:val="00AB2709"/>
    <w:rsid w:val="00AB283D"/>
    <w:rsid w:val="00AB2D15"/>
    <w:rsid w:val="00AB3044"/>
    <w:rsid w:val="00AB30C4"/>
    <w:rsid w:val="00AB33D5"/>
    <w:rsid w:val="00AB3499"/>
    <w:rsid w:val="00AB354B"/>
    <w:rsid w:val="00AB3677"/>
    <w:rsid w:val="00AB36E5"/>
    <w:rsid w:val="00AB37AD"/>
    <w:rsid w:val="00AB385B"/>
    <w:rsid w:val="00AB3A40"/>
    <w:rsid w:val="00AB3B12"/>
    <w:rsid w:val="00AB3CA8"/>
    <w:rsid w:val="00AB3E7A"/>
    <w:rsid w:val="00AB3F43"/>
    <w:rsid w:val="00AB41E3"/>
    <w:rsid w:val="00AB42C7"/>
    <w:rsid w:val="00AB45F1"/>
    <w:rsid w:val="00AB465A"/>
    <w:rsid w:val="00AB46BC"/>
    <w:rsid w:val="00AB4721"/>
    <w:rsid w:val="00AB4743"/>
    <w:rsid w:val="00AB491C"/>
    <w:rsid w:val="00AB49B6"/>
    <w:rsid w:val="00AB49F1"/>
    <w:rsid w:val="00AB4AA9"/>
    <w:rsid w:val="00AB4B56"/>
    <w:rsid w:val="00AB4D51"/>
    <w:rsid w:val="00AB525E"/>
    <w:rsid w:val="00AB528E"/>
    <w:rsid w:val="00AB5371"/>
    <w:rsid w:val="00AB553E"/>
    <w:rsid w:val="00AB584F"/>
    <w:rsid w:val="00AB5934"/>
    <w:rsid w:val="00AB5981"/>
    <w:rsid w:val="00AB5F79"/>
    <w:rsid w:val="00AB601A"/>
    <w:rsid w:val="00AB6026"/>
    <w:rsid w:val="00AB61B5"/>
    <w:rsid w:val="00AB6428"/>
    <w:rsid w:val="00AB6475"/>
    <w:rsid w:val="00AB6569"/>
    <w:rsid w:val="00AB65EC"/>
    <w:rsid w:val="00AB6765"/>
    <w:rsid w:val="00AB68B0"/>
    <w:rsid w:val="00AB690A"/>
    <w:rsid w:val="00AB6A16"/>
    <w:rsid w:val="00AB6A27"/>
    <w:rsid w:val="00AB6DB5"/>
    <w:rsid w:val="00AB7072"/>
    <w:rsid w:val="00AC00CD"/>
    <w:rsid w:val="00AC0A59"/>
    <w:rsid w:val="00AC0C06"/>
    <w:rsid w:val="00AC0D3F"/>
    <w:rsid w:val="00AC0F0F"/>
    <w:rsid w:val="00AC1317"/>
    <w:rsid w:val="00AC1401"/>
    <w:rsid w:val="00AC1457"/>
    <w:rsid w:val="00AC14B7"/>
    <w:rsid w:val="00AC172C"/>
    <w:rsid w:val="00AC17DD"/>
    <w:rsid w:val="00AC17F7"/>
    <w:rsid w:val="00AC1F9C"/>
    <w:rsid w:val="00AC208C"/>
    <w:rsid w:val="00AC213A"/>
    <w:rsid w:val="00AC21F3"/>
    <w:rsid w:val="00AC243A"/>
    <w:rsid w:val="00AC2441"/>
    <w:rsid w:val="00AC25E3"/>
    <w:rsid w:val="00AC26B2"/>
    <w:rsid w:val="00AC27E2"/>
    <w:rsid w:val="00AC2977"/>
    <w:rsid w:val="00AC2E50"/>
    <w:rsid w:val="00AC3187"/>
    <w:rsid w:val="00AC322F"/>
    <w:rsid w:val="00AC339F"/>
    <w:rsid w:val="00AC3572"/>
    <w:rsid w:val="00AC3575"/>
    <w:rsid w:val="00AC3595"/>
    <w:rsid w:val="00AC37A1"/>
    <w:rsid w:val="00AC37B1"/>
    <w:rsid w:val="00AC3AAE"/>
    <w:rsid w:val="00AC3EC1"/>
    <w:rsid w:val="00AC4026"/>
    <w:rsid w:val="00AC41C1"/>
    <w:rsid w:val="00AC41CD"/>
    <w:rsid w:val="00AC4276"/>
    <w:rsid w:val="00AC454D"/>
    <w:rsid w:val="00AC4942"/>
    <w:rsid w:val="00AC49E4"/>
    <w:rsid w:val="00AC4AF8"/>
    <w:rsid w:val="00AC4B79"/>
    <w:rsid w:val="00AC4BAD"/>
    <w:rsid w:val="00AC4CCB"/>
    <w:rsid w:val="00AC4DC2"/>
    <w:rsid w:val="00AC4FD7"/>
    <w:rsid w:val="00AC5080"/>
    <w:rsid w:val="00AC598F"/>
    <w:rsid w:val="00AC5F21"/>
    <w:rsid w:val="00AC611D"/>
    <w:rsid w:val="00AC63E7"/>
    <w:rsid w:val="00AC6A40"/>
    <w:rsid w:val="00AC6A5F"/>
    <w:rsid w:val="00AC6A8A"/>
    <w:rsid w:val="00AC6BFE"/>
    <w:rsid w:val="00AC6CD4"/>
    <w:rsid w:val="00AC6EE8"/>
    <w:rsid w:val="00AC6EF0"/>
    <w:rsid w:val="00AC7358"/>
    <w:rsid w:val="00AC74AD"/>
    <w:rsid w:val="00AC7617"/>
    <w:rsid w:val="00AC7882"/>
    <w:rsid w:val="00AC79A5"/>
    <w:rsid w:val="00AC7B2D"/>
    <w:rsid w:val="00AC7C9A"/>
    <w:rsid w:val="00AC7CAC"/>
    <w:rsid w:val="00AC7DDF"/>
    <w:rsid w:val="00AC7E0C"/>
    <w:rsid w:val="00AD0012"/>
    <w:rsid w:val="00AD063C"/>
    <w:rsid w:val="00AD063D"/>
    <w:rsid w:val="00AD0706"/>
    <w:rsid w:val="00AD07BC"/>
    <w:rsid w:val="00AD09B4"/>
    <w:rsid w:val="00AD0EEA"/>
    <w:rsid w:val="00AD156A"/>
    <w:rsid w:val="00AD159D"/>
    <w:rsid w:val="00AD15F4"/>
    <w:rsid w:val="00AD1654"/>
    <w:rsid w:val="00AD17A7"/>
    <w:rsid w:val="00AD17C3"/>
    <w:rsid w:val="00AD19D2"/>
    <w:rsid w:val="00AD1EC7"/>
    <w:rsid w:val="00AD210D"/>
    <w:rsid w:val="00AD22CD"/>
    <w:rsid w:val="00AD2351"/>
    <w:rsid w:val="00AD25D2"/>
    <w:rsid w:val="00AD2AC4"/>
    <w:rsid w:val="00AD2F93"/>
    <w:rsid w:val="00AD33F7"/>
    <w:rsid w:val="00AD3549"/>
    <w:rsid w:val="00AD35A6"/>
    <w:rsid w:val="00AD367F"/>
    <w:rsid w:val="00AD36DB"/>
    <w:rsid w:val="00AD3757"/>
    <w:rsid w:val="00AD38B1"/>
    <w:rsid w:val="00AD3B0D"/>
    <w:rsid w:val="00AD3B30"/>
    <w:rsid w:val="00AD3CDF"/>
    <w:rsid w:val="00AD401B"/>
    <w:rsid w:val="00AD4174"/>
    <w:rsid w:val="00AD4335"/>
    <w:rsid w:val="00AD435C"/>
    <w:rsid w:val="00AD4931"/>
    <w:rsid w:val="00AD4B75"/>
    <w:rsid w:val="00AD4EAF"/>
    <w:rsid w:val="00AD4EB8"/>
    <w:rsid w:val="00AD5356"/>
    <w:rsid w:val="00AD54D6"/>
    <w:rsid w:val="00AD5541"/>
    <w:rsid w:val="00AD5596"/>
    <w:rsid w:val="00AD55BC"/>
    <w:rsid w:val="00AD5876"/>
    <w:rsid w:val="00AD591C"/>
    <w:rsid w:val="00AD5C9E"/>
    <w:rsid w:val="00AD5DEA"/>
    <w:rsid w:val="00AD64F5"/>
    <w:rsid w:val="00AD658F"/>
    <w:rsid w:val="00AD6689"/>
    <w:rsid w:val="00AD6865"/>
    <w:rsid w:val="00AD68B2"/>
    <w:rsid w:val="00AD69B1"/>
    <w:rsid w:val="00AD6A5F"/>
    <w:rsid w:val="00AD6AB5"/>
    <w:rsid w:val="00AD6B6A"/>
    <w:rsid w:val="00AD6B99"/>
    <w:rsid w:val="00AD6D53"/>
    <w:rsid w:val="00AD6EBB"/>
    <w:rsid w:val="00AD7219"/>
    <w:rsid w:val="00AD75A9"/>
    <w:rsid w:val="00AD75E7"/>
    <w:rsid w:val="00AD769D"/>
    <w:rsid w:val="00AD76B4"/>
    <w:rsid w:val="00AD77C7"/>
    <w:rsid w:val="00AD7840"/>
    <w:rsid w:val="00AD7DAE"/>
    <w:rsid w:val="00AE01C5"/>
    <w:rsid w:val="00AE0212"/>
    <w:rsid w:val="00AE0383"/>
    <w:rsid w:val="00AE04E4"/>
    <w:rsid w:val="00AE0574"/>
    <w:rsid w:val="00AE062D"/>
    <w:rsid w:val="00AE06D6"/>
    <w:rsid w:val="00AE0816"/>
    <w:rsid w:val="00AE0B65"/>
    <w:rsid w:val="00AE0DFA"/>
    <w:rsid w:val="00AE0E6C"/>
    <w:rsid w:val="00AE0ECA"/>
    <w:rsid w:val="00AE104B"/>
    <w:rsid w:val="00AE11E7"/>
    <w:rsid w:val="00AE1549"/>
    <w:rsid w:val="00AE178C"/>
    <w:rsid w:val="00AE1831"/>
    <w:rsid w:val="00AE19FC"/>
    <w:rsid w:val="00AE1A36"/>
    <w:rsid w:val="00AE204D"/>
    <w:rsid w:val="00AE28EA"/>
    <w:rsid w:val="00AE29FA"/>
    <w:rsid w:val="00AE2A3E"/>
    <w:rsid w:val="00AE2C6D"/>
    <w:rsid w:val="00AE2DF7"/>
    <w:rsid w:val="00AE2E39"/>
    <w:rsid w:val="00AE3191"/>
    <w:rsid w:val="00AE32E8"/>
    <w:rsid w:val="00AE343A"/>
    <w:rsid w:val="00AE346F"/>
    <w:rsid w:val="00AE3490"/>
    <w:rsid w:val="00AE34BC"/>
    <w:rsid w:val="00AE3750"/>
    <w:rsid w:val="00AE376E"/>
    <w:rsid w:val="00AE38D9"/>
    <w:rsid w:val="00AE3906"/>
    <w:rsid w:val="00AE3A98"/>
    <w:rsid w:val="00AE3C2D"/>
    <w:rsid w:val="00AE40F5"/>
    <w:rsid w:val="00AE41A4"/>
    <w:rsid w:val="00AE4283"/>
    <w:rsid w:val="00AE4532"/>
    <w:rsid w:val="00AE467F"/>
    <w:rsid w:val="00AE4B54"/>
    <w:rsid w:val="00AE4E6B"/>
    <w:rsid w:val="00AE501D"/>
    <w:rsid w:val="00AE5342"/>
    <w:rsid w:val="00AE538B"/>
    <w:rsid w:val="00AE53D2"/>
    <w:rsid w:val="00AE53D6"/>
    <w:rsid w:val="00AE53E6"/>
    <w:rsid w:val="00AE5447"/>
    <w:rsid w:val="00AE55D1"/>
    <w:rsid w:val="00AE59B9"/>
    <w:rsid w:val="00AE5D56"/>
    <w:rsid w:val="00AE5E69"/>
    <w:rsid w:val="00AE5E9C"/>
    <w:rsid w:val="00AE5F04"/>
    <w:rsid w:val="00AE6073"/>
    <w:rsid w:val="00AE6089"/>
    <w:rsid w:val="00AE6729"/>
    <w:rsid w:val="00AE6969"/>
    <w:rsid w:val="00AE6A76"/>
    <w:rsid w:val="00AE6BE7"/>
    <w:rsid w:val="00AE70AA"/>
    <w:rsid w:val="00AE70ED"/>
    <w:rsid w:val="00AE7632"/>
    <w:rsid w:val="00AE7729"/>
    <w:rsid w:val="00AE7861"/>
    <w:rsid w:val="00AE787A"/>
    <w:rsid w:val="00AE787B"/>
    <w:rsid w:val="00AE798E"/>
    <w:rsid w:val="00AE7A08"/>
    <w:rsid w:val="00AE7CBA"/>
    <w:rsid w:val="00AE7E3F"/>
    <w:rsid w:val="00AE7E96"/>
    <w:rsid w:val="00AF0119"/>
    <w:rsid w:val="00AF0299"/>
    <w:rsid w:val="00AF0357"/>
    <w:rsid w:val="00AF058E"/>
    <w:rsid w:val="00AF0B94"/>
    <w:rsid w:val="00AF10B3"/>
    <w:rsid w:val="00AF149D"/>
    <w:rsid w:val="00AF1628"/>
    <w:rsid w:val="00AF1C78"/>
    <w:rsid w:val="00AF1C98"/>
    <w:rsid w:val="00AF1CB3"/>
    <w:rsid w:val="00AF20CA"/>
    <w:rsid w:val="00AF20F3"/>
    <w:rsid w:val="00AF253D"/>
    <w:rsid w:val="00AF25DB"/>
    <w:rsid w:val="00AF2754"/>
    <w:rsid w:val="00AF284B"/>
    <w:rsid w:val="00AF2941"/>
    <w:rsid w:val="00AF334E"/>
    <w:rsid w:val="00AF3432"/>
    <w:rsid w:val="00AF3547"/>
    <w:rsid w:val="00AF35C1"/>
    <w:rsid w:val="00AF3799"/>
    <w:rsid w:val="00AF379A"/>
    <w:rsid w:val="00AF37F4"/>
    <w:rsid w:val="00AF3AB3"/>
    <w:rsid w:val="00AF3C5C"/>
    <w:rsid w:val="00AF3EF2"/>
    <w:rsid w:val="00AF45BF"/>
    <w:rsid w:val="00AF47A8"/>
    <w:rsid w:val="00AF4A69"/>
    <w:rsid w:val="00AF4E66"/>
    <w:rsid w:val="00AF4F95"/>
    <w:rsid w:val="00AF5085"/>
    <w:rsid w:val="00AF5581"/>
    <w:rsid w:val="00AF55F3"/>
    <w:rsid w:val="00AF5708"/>
    <w:rsid w:val="00AF573E"/>
    <w:rsid w:val="00AF5D22"/>
    <w:rsid w:val="00AF5DBF"/>
    <w:rsid w:val="00AF6195"/>
    <w:rsid w:val="00AF629F"/>
    <w:rsid w:val="00AF6495"/>
    <w:rsid w:val="00AF652F"/>
    <w:rsid w:val="00AF656A"/>
    <w:rsid w:val="00AF6643"/>
    <w:rsid w:val="00AF66EE"/>
    <w:rsid w:val="00AF7008"/>
    <w:rsid w:val="00AF7136"/>
    <w:rsid w:val="00AF72AD"/>
    <w:rsid w:val="00AF7677"/>
    <w:rsid w:val="00AF7A09"/>
    <w:rsid w:val="00AF7B8B"/>
    <w:rsid w:val="00B00250"/>
    <w:rsid w:val="00B00426"/>
    <w:rsid w:val="00B004F8"/>
    <w:rsid w:val="00B00798"/>
    <w:rsid w:val="00B0090E"/>
    <w:rsid w:val="00B009C4"/>
    <w:rsid w:val="00B00CD1"/>
    <w:rsid w:val="00B00FE3"/>
    <w:rsid w:val="00B0147F"/>
    <w:rsid w:val="00B016C5"/>
    <w:rsid w:val="00B016CB"/>
    <w:rsid w:val="00B016EC"/>
    <w:rsid w:val="00B01705"/>
    <w:rsid w:val="00B019A5"/>
    <w:rsid w:val="00B01C3B"/>
    <w:rsid w:val="00B01E68"/>
    <w:rsid w:val="00B01EAA"/>
    <w:rsid w:val="00B02021"/>
    <w:rsid w:val="00B02253"/>
    <w:rsid w:val="00B0247A"/>
    <w:rsid w:val="00B026DC"/>
    <w:rsid w:val="00B02857"/>
    <w:rsid w:val="00B02928"/>
    <w:rsid w:val="00B0296D"/>
    <w:rsid w:val="00B02C5B"/>
    <w:rsid w:val="00B02E8E"/>
    <w:rsid w:val="00B032D0"/>
    <w:rsid w:val="00B0331F"/>
    <w:rsid w:val="00B035A2"/>
    <w:rsid w:val="00B035EE"/>
    <w:rsid w:val="00B0366D"/>
    <w:rsid w:val="00B03705"/>
    <w:rsid w:val="00B038FB"/>
    <w:rsid w:val="00B03961"/>
    <w:rsid w:val="00B039CB"/>
    <w:rsid w:val="00B03A00"/>
    <w:rsid w:val="00B03E84"/>
    <w:rsid w:val="00B03EF9"/>
    <w:rsid w:val="00B043B3"/>
    <w:rsid w:val="00B0445E"/>
    <w:rsid w:val="00B044DA"/>
    <w:rsid w:val="00B04582"/>
    <w:rsid w:val="00B04608"/>
    <w:rsid w:val="00B04645"/>
    <w:rsid w:val="00B04AF0"/>
    <w:rsid w:val="00B04BB5"/>
    <w:rsid w:val="00B04C13"/>
    <w:rsid w:val="00B04D6B"/>
    <w:rsid w:val="00B04DDA"/>
    <w:rsid w:val="00B051B2"/>
    <w:rsid w:val="00B053A5"/>
    <w:rsid w:val="00B054AB"/>
    <w:rsid w:val="00B0566E"/>
    <w:rsid w:val="00B05684"/>
    <w:rsid w:val="00B0568C"/>
    <w:rsid w:val="00B05702"/>
    <w:rsid w:val="00B05792"/>
    <w:rsid w:val="00B05839"/>
    <w:rsid w:val="00B05D11"/>
    <w:rsid w:val="00B0659E"/>
    <w:rsid w:val="00B06656"/>
    <w:rsid w:val="00B076A3"/>
    <w:rsid w:val="00B076EF"/>
    <w:rsid w:val="00B07717"/>
    <w:rsid w:val="00B07876"/>
    <w:rsid w:val="00B0788C"/>
    <w:rsid w:val="00B07C3A"/>
    <w:rsid w:val="00B07CBA"/>
    <w:rsid w:val="00B07E38"/>
    <w:rsid w:val="00B102A5"/>
    <w:rsid w:val="00B105C9"/>
    <w:rsid w:val="00B10661"/>
    <w:rsid w:val="00B10772"/>
    <w:rsid w:val="00B107ED"/>
    <w:rsid w:val="00B10CED"/>
    <w:rsid w:val="00B10F24"/>
    <w:rsid w:val="00B10F26"/>
    <w:rsid w:val="00B10F67"/>
    <w:rsid w:val="00B11030"/>
    <w:rsid w:val="00B11190"/>
    <w:rsid w:val="00B11313"/>
    <w:rsid w:val="00B11425"/>
    <w:rsid w:val="00B11549"/>
    <w:rsid w:val="00B11634"/>
    <w:rsid w:val="00B1167D"/>
    <w:rsid w:val="00B119A5"/>
    <w:rsid w:val="00B119A6"/>
    <w:rsid w:val="00B11D29"/>
    <w:rsid w:val="00B12386"/>
    <w:rsid w:val="00B123CA"/>
    <w:rsid w:val="00B12526"/>
    <w:rsid w:val="00B12572"/>
    <w:rsid w:val="00B12578"/>
    <w:rsid w:val="00B12728"/>
    <w:rsid w:val="00B1277C"/>
    <w:rsid w:val="00B12BE1"/>
    <w:rsid w:val="00B13172"/>
    <w:rsid w:val="00B13214"/>
    <w:rsid w:val="00B13479"/>
    <w:rsid w:val="00B1353E"/>
    <w:rsid w:val="00B137F6"/>
    <w:rsid w:val="00B13AB8"/>
    <w:rsid w:val="00B13B66"/>
    <w:rsid w:val="00B13D1E"/>
    <w:rsid w:val="00B13FF5"/>
    <w:rsid w:val="00B14078"/>
    <w:rsid w:val="00B1439C"/>
    <w:rsid w:val="00B1441C"/>
    <w:rsid w:val="00B14442"/>
    <w:rsid w:val="00B1446D"/>
    <w:rsid w:val="00B14663"/>
    <w:rsid w:val="00B146F3"/>
    <w:rsid w:val="00B14789"/>
    <w:rsid w:val="00B14CA1"/>
    <w:rsid w:val="00B14CE2"/>
    <w:rsid w:val="00B14E6A"/>
    <w:rsid w:val="00B14F1A"/>
    <w:rsid w:val="00B15128"/>
    <w:rsid w:val="00B151F1"/>
    <w:rsid w:val="00B1534F"/>
    <w:rsid w:val="00B15363"/>
    <w:rsid w:val="00B1538A"/>
    <w:rsid w:val="00B15431"/>
    <w:rsid w:val="00B15521"/>
    <w:rsid w:val="00B1560D"/>
    <w:rsid w:val="00B15970"/>
    <w:rsid w:val="00B159D1"/>
    <w:rsid w:val="00B15E42"/>
    <w:rsid w:val="00B15F19"/>
    <w:rsid w:val="00B1628E"/>
    <w:rsid w:val="00B16311"/>
    <w:rsid w:val="00B16A86"/>
    <w:rsid w:val="00B16F31"/>
    <w:rsid w:val="00B16FB1"/>
    <w:rsid w:val="00B17730"/>
    <w:rsid w:val="00B17734"/>
    <w:rsid w:val="00B17880"/>
    <w:rsid w:val="00B17B75"/>
    <w:rsid w:val="00B17BCC"/>
    <w:rsid w:val="00B17C41"/>
    <w:rsid w:val="00B17DAB"/>
    <w:rsid w:val="00B20001"/>
    <w:rsid w:val="00B20006"/>
    <w:rsid w:val="00B2014F"/>
    <w:rsid w:val="00B20216"/>
    <w:rsid w:val="00B20325"/>
    <w:rsid w:val="00B20342"/>
    <w:rsid w:val="00B203B0"/>
    <w:rsid w:val="00B203C4"/>
    <w:rsid w:val="00B203E3"/>
    <w:rsid w:val="00B204D7"/>
    <w:rsid w:val="00B20534"/>
    <w:rsid w:val="00B208A7"/>
    <w:rsid w:val="00B208BF"/>
    <w:rsid w:val="00B2093F"/>
    <w:rsid w:val="00B20D21"/>
    <w:rsid w:val="00B21056"/>
    <w:rsid w:val="00B21078"/>
    <w:rsid w:val="00B215ED"/>
    <w:rsid w:val="00B21827"/>
    <w:rsid w:val="00B218E4"/>
    <w:rsid w:val="00B21A69"/>
    <w:rsid w:val="00B21B66"/>
    <w:rsid w:val="00B21DA0"/>
    <w:rsid w:val="00B21E6E"/>
    <w:rsid w:val="00B21F7C"/>
    <w:rsid w:val="00B220BC"/>
    <w:rsid w:val="00B2219A"/>
    <w:rsid w:val="00B22277"/>
    <w:rsid w:val="00B22283"/>
    <w:rsid w:val="00B22320"/>
    <w:rsid w:val="00B22330"/>
    <w:rsid w:val="00B22347"/>
    <w:rsid w:val="00B22CBB"/>
    <w:rsid w:val="00B22F6F"/>
    <w:rsid w:val="00B230C0"/>
    <w:rsid w:val="00B23451"/>
    <w:rsid w:val="00B2370D"/>
    <w:rsid w:val="00B238A2"/>
    <w:rsid w:val="00B238EF"/>
    <w:rsid w:val="00B2404A"/>
    <w:rsid w:val="00B240D8"/>
    <w:rsid w:val="00B240DA"/>
    <w:rsid w:val="00B244C8"/>
    <w:rsid w:val="00B24666"/>
    <w:rsid w:val="00B246C2"/>
    <w:rsid w:val="00B24763"/>
    <w:rsid w:val="00B24D57"/>
    <w:rsid w:val="00B24D9B"/>
    <w:rsid w:val="00B24DFF"/>
    <w:rsid w:val="00B24E7D"/>
    <w:rsid w:val="00B24F37"/>
    <w:rsid w:val="00B24F91"/>
    <w:rsid w:val="00B25128"/>
    <w:rsid w:val="00B254F0"/>
    <w:rsid w:val="00B255F8"/>
    <w:rsid w:val="00B256D0"/>
    <w:rsid w:val="00B25AD0"/>
    <w:rsid w:val="00B25B6E"/>
    <w:rsid w:val="00B25BB2"/>
    <w:rsid w:val="00B25E71"/>
    <w:rsid w:val="00B26535"/>
    <w:rsid w:val="00B268F2"/>
    <w:rsid w:val="00B26A04"/>
    <w:rsid w:val="00B26CC7"/>
    <w:rsid w:val="00B26D7A"/>
    <w:rsid w:val="00B26F3B"/>
    <w:rsid w:val="00B27280"/>
    <w:rsid w:val="00B2782A"/>
    <w:rsid w:val="00B27876"/>
    <w:rsid w:val="00B27A19"/>
    <w:rsid w:val="00B30138"/>
    <w:rsid w:val="00B3018E"/>
    <w:rsid w:val="00B301BE"/>
    <w:rsid w:val="00B3022C"/>
    <w:rsid w:val="00B30308"/>
    <w:rsid w:val="00B30382"/>
    <w:rsid w:val="00B303BF"/>
    <w:rsid w:val="00B30478"/>
    <w:rsid w:val="00B30867"/>
    <w:rsid w:val="00B308B3"/>
    <w:rsid w:val="00B30E92"/>
    <w:rsid w:val="00B3100D"/>
    <w:rsid w:val="00B31048"/>
    <w:rsid w:val="00B3109D"/>
    <w:rsid w:val="00B312ED"/>
    <w:rsid w:val="00B313DE"/>
    <w:rsid w:val="00B31489"/>
    <w:rsid w:val="00B31493"/>
    <w:rsid w:val="00B314DA"/>
    <w:rsid w:val="00B3151F"/>
    <w:rsid w:val="00B31750"/>
    <w:rsid w:val="00B317EF"/>
    <w:rsid w:val="00B319D8"/>
    <w:rsid w:val="00B31A06"/>
    <w:rsid w:val="00B31AD7"/>
    <w:rsid w:val="00B31B23"/>
    <w:rsid w:val="00B31B6A"/>
    <w:rsid w:val="00B31EBF"/>
    <w:rsid w:val="00B31EE2"/>
    <w:rsid w:val="00B32250"/>
    <w:rsid w:val="00B327F4"/>
    <w:rsid w:val="00B32879"/>
    <w:rsid w:val="00B328AC"/>
    <w:rsid w:val="00B329A0"/>
    <w:rsid w:val="00B32BCC"/>
    <w:rsid w:val="00B32C25"/>
    <w:rsid w:val="00B32C7D"/>
    <w:rsid w:val="00B32C9B"/>
    <w:rsid w:val="00B32FFB"/>
    <w:rsid w:val="00B330BA"/>
    <w:rsid w:val="00B3311C"/>
    <w:rsid w:val="00B33147"/>
    <w:rsid w:val="00B336E8"/>
    <w:rsid w:val="00B33828"/>
    <w:rsid w:val="00B3387C"/>
    <w:rsid w:val="00B33CCA"/>
    <w:rsid w:val="00B33DCF"/>
    <w:rsid w:val="00B340BE"/>
    <w:rsid w:val="00B3442B"/>
    <w:rsid w:val="00B34438"/>
    <w:rsid w:val="00B3463D"/>
    <w:rsid w:val="00B3464A"/>
    <w:rsid w:val="00B3476D"/>
    <w:rsid w:val="00B347FD"/>
    <w:rsid w:val="00B3483F"/>
    <w:rsid w:val="00B349C9"/>
    <w:rsid w:val="00B34BF5"/>
    <w:rsid w:val="00B34D38"/>
    <w:rsid w:val="00B34DB7"/>
    <w:rsid w:val="00B3509A"/>
    <w:rsid w:val="00B3525F"/>
    <w:rsid w:val="00B352ED"/>
    <w:rsid w:val="00B3563B"/>
    <w:rsid w:val="00B35798"/>
    <w:rsid w:val="00B35875"/>
    <w:rsid w:val="00B35AC6"/>
    <w:rsid w:val="00B35ADB"/>
    <w:rsid w:val="00B35B83"/>
    <w:rsid w:val="00B35BB1"/>
    <w:rsid w:val="00B35CB1"/>
    <w:rsid w:val="00B35CE5"/>
    <w:rsid w:val="00B35DFF"/>
    <w:rsid w:val="00B35E00"/>
    <w:rsid w:val="00B36126"/>
    <w:rsid w:val="00B361B6"/>
    <w:rsid w:val="00B36478"/>
    <w:rsid w:val="00B371F2"/>
    <w:rsid w:val="00B37256"/>
    <w:rsid w:val="00B37278"/>
    <w:rsid w:val="00B37325"/>
    <w:rsid w:val="00B3736C"/>
    <w:rsid w:val="00B37392"/>
    <w:rsid w:val="00B37718"/>
    <w:rsid w:val="00B377A0"/>
    <w:rsid w:val="00B378E6"/>
    <w:rsid w:val="00B378F6"/>
    <w:rsid w:val="00B378F7"/>
    <w:rsid w:val="00B37CBF"/>
    <w:rsid w:val="00B401CB"/>
    <w:rsid w:val="00B40825"/>
    <w:rsid w:val="00B4083A"/>
    <w:rsid w:val="00B40969"/>
    <w:rsid w:val="00B40A28"/>
    <w:rsid w:val="00B40AA7"/>
    <w:rsid w:val="00B40B5D"/>
    <w:rsid w:val="00B40BE5"/>
    <w:rsid w:val="00B40C06"/>
    <w:rsid w:val="00B40C1C"/>
    <w:rsid w:val="00B40D9B"/>
    <w:rsid w:val="00B40E42"/>
    <w:rsid w:val="00B40EBA"/>
    <w:rsid w:val="00B410CA"/>
    <w:rsid w:val="00B41396"/>
    <w:rsid w:val="00B414FF"/>
    <w:rsid w:val="00B41618"/>
    <w:rsid w:val="00B41744"/>
    <w:rsid w:val="00B41CA5"/>
    <w:rsid w:val="00B41DCD"/>
    <w:rsid w:val="00B4239A"/>
    <w:rsid w:val="00B4246F"/>
    <w:rsid w:val="00B4252F"/>
    <w:rsid w:val="00B42706"/>
    <w:rsid w:val="00B4270A"/>
    <w:rsid w:val="00B42A32"/>
    <w:rsid w:val="00B42BD2"/>
    <w:rsid w:val="00B42D18"/>
    <w:rsid w:val="00B42DB3"/>
    <w:rsid w:val="00B42E6E"/>
    <w:rsid w:val="00B42F5F"/>
    <w:rsid w:val="00B4304C"/>
    <w:rsid w:val="00B43165"/>
    <w:rsid w:val="00B438E1"/>
    <w:rsid w:val="00B43A00"/>
    <w:rsid w:val="00B444AA"/>
    <w:rsid w:val="00B444FD"/>
    <w:rsid w:val="00B4460F"/>
    <w:rsid w:val="00B44672"/>
    <w:rsid w:val="00B448D3"/>
    <w:rsid w:val="00B44BE8"/>
    <w:rsid w:val="00B450B3"/>
    <w:rsid w:val="00B452BD"/>
    <w:rsid w:val="00B45D0D"/>
    <w:rsid w:val="00B45D57"/>
    <w:rsid w:val="00B45DF8"/>
    <w:rsid w:val="00B45FB1"/>
    <w:rsid w:val="00B46004"/>
    <w:rsid w:val="00B4629A"/>
    <w:rsid w:val="00B46399"/>
    <w:rsid w:val="00B46431"/>
    <w:rsid w:val="00B4650F"/>
    <w:rsid w:val="00B46712"/>
    <w:rsid w:val="00B467E2"/>
    <w:rsid w:val="00B46981"/>
    <w:rsid w:val="00B46F11"/>
    <w:rsid w:val="00B4722F"/>
    <w:rsid w:val="00B47402"/>
    <w:rsid w:val="00B474EF"/>
    <w:rsid w:val="00B47533"/>
    <w:rsid w:val="00B475E0"/>
    <w:rsid w:val="00B47773"/>
    <w:rsid w:val="00B478B1"/>
    <w:rsid w:val="00B47BD3"/>
    <w:rsid w:val="00B47D82"/>
    <w:rsid w:val="00B47F62"/>
    <w:rsid w:val="00B500CE"/>
    <w:rsid w:val="00B5017F"/>
    <w:rsid w:val="00B506AF"/>
    <w:rsid w:val="00B50837"/>
    <w:rsid w:val="00B509D9"/>
    <w:rsid w:val="00B50A0A"/>
    <w:rsid w:val="00B50C1E"/>
    <w:rsid w:val="00B50F7C"/>
    <w:rsid w:val="00B51068"/>
    <w:rsid w:val="00B511B0"/>
    <w:rsid w:val="00B5123B"/>
    <w:rsid w:val="00B512B2"/>
    <w:rsid w:val="00B5146B"/>
    <w:rsid w:val="00B514BB"/>
    <w:rsid w:val="00B51613"/>
    <w:rsid w:val="00B51656"/>
    <w:rsid w:val="00B51672"/>
    <w:rsid w:val="00B516B5"/>
    <w:rsid w:val="00B51843"/>
    <w:rsid w:val="00B51933"/>
    <w:rsid w:val="00B51B5C"/>
    <w:rsid w:val="00B51BA3"/>
    <w:rsid w:val="00B51DDA"/>
    <w:rsid w:val="00B51F51"/>
    <w:rsid w:val="00B523D2"/>
    <w:rsid w:val="00B5265E"/>
    <w:rsid w:val="00B5269D"/>
    <w:rsid w:val="00B52737"/>
    <w:rsid w:val="00B52750"/>
    <w:rsid w:val="00B5278C"/>
    <w:rsid w:val="00B527E0"/>
    <w:rsid w:val="00B52911"/>
    <w:rsid w:val="00B5297E"/>
    <w:rsid w:val="00B52A69"/>
    <w:rsid w:val="00B52A76"/>
    <w:rsid w:val="00B52D6D"/>
    <w:rsid w:val="00B52F8A"/>
    <w:rsid w:val="00B53064"/>
    <w:rsid w:val="00B5365F"/>
    <w:rsid w:val="00B5382A"/>
    <w:rsid w:val="00B53D63"/>
    <w:rsid w:val="00B541A1"/>
    <w:rsid w:val="00B54346"/>
    <w:rsid w:val="00B543C1"/>
    <w:rsid w:val="00B5443D"/>
    <w:rsid w:val="00B545CA"/>
    <w:rsid w:val="00B5462C"/>
    <w:rsid w:val="00B54676"/>
    <w:rsid w:val="00B546AF"/>
    <w:rsid w:val="00B548ED"/>
    <w:rsid w:val="00B54963"/>
    <w:rsid w:val="00B54B8E"/>
    <w:rsid w:val="00B550EB"/>
    <w:rsid w:val="00B5516A"/>
    <w:rsid w:val="00B551DE"/>
    <w:rsid w:val="00B552AA"/>
    <w:rsid w:val="00B553E0"/>
    <w:rsid w:val="00B55424"/>
    <w:rsid w:val="00B55443"/>
    <w:rsid w:val="00B55620"/>
    <w:rsid w:val="00B55B17"/>
    <w:rsid w:val="00B55B1B"/>
    <w:rsid w:val="00B55E21"/>
    <w:rsid w:val="00B55E5E"/>
    <w:rsid w:val="00B56067"/>
    <w:rsid w:val="00B56081"/>
    <w:rsid w:val="00B564B2"/>
    <w:rsid w:val="00B56A2F"/>
    <w:rsid w:val="00B56D0E"/>
    <w:rsid w:val="00B5746F"/>
    <w:rsid w:val="00B574B0"/>
    <w:rsid w:val="00B5755E"/>
    <w:rsid w:val="00B57754"/>
    <w:rsid w:val="00B5782C"/>
    <w:rsid w:val="00B579DB"/>
    <w:rsid w:val="00B57A7C"/>
    <w:rsid w:val="00B57BFA"/>
    <w:rsid w:val="00B602AD"/>
    <w:rsid w:val="00B60574"/>
    <w:rsid w:val="00B607BA"/>
    <w:rsid w:val="00B60852"/>
    <w:rsid w:val="00B60A2D"/>
    <w:rsid w:val="00B60AA3"/>
    <w:rsid w:val="00B60F52"/>
    <w:rsid w:val="00B61429"/>
    <w:rsid w:val="00B61516"/>
    <w:rsid w:val="00B615B2"/>
    <w:rsid w:val="00B616FB"/>
    <w:rsid w:val="00B6177E"/>
    <w:rsid w:val="00B61A6D"/>
    <w:rsid w:val="00B61C72"/>
    <w:rsid w:val="00B621B4"/>
    <w:rsid w:val="00B623DC"/>
    <w:rsid w:val="00B629A0"/>
    <w:rsid w:val="00B62CEB"/>
    <w:rsid w:val="00B62DE1"/>
    <w:rsid w:val="00B62EDE"/>
    <w:rsid w:val="00B62EEB"/>
    <w:rsid w:val="00B62FCF"/>
    <w:rsid w:val="00B630C9"/>
    <w:rsid w:val="00B6320F"/>
    <w:rsid w:val="00B635F2"/>
    <w:rsid w:val="00B637E6"/>
    <w:rsid w:val="00B63900"/>
    <w:rsid w:val="00B63A6D"/>
    <w:rsid w:val="00B63C89"/>
    <w:rsid w:val="00B63CDC"/>
    <w:rsid w:val="00B63FCD"/>
    <w:rsid w:val="00B6401F"/>
    <w:rsid w:val="00B6408C"/>
    <w:rsid w:val="00B641D5"/>
    <w:rsid w:val="00B64564"/>
    <w:rsid w:val="00B645AF"/>
    <w:rsid w:val="00B64641"/>
    <w:rsid w:val="00B64727"/>
    <w:rsid w:val="00B649A6"/>
    <w:rsid w:val="00B64C1F"/>
    <w:rsid w:val="00B64EDE"/>
    <w:rsid w:val="00B64F54"/>
    <w:rsid w:val="00B6549C"/>
    <w:rsid w:val="00B654C7"/>
    <w:rsid w:val="00B655AC"/>
    <w:rsid w:val="00B65700"/>
    <w:rsid w:val="00B65737"/>
    <w:rsid w:val="00B658EB"/>
    <w:rsid w:val="00B6596D"/>
    <w:rsid w:val="00B65AB6"/>
    <w:rsid w:val="00B65CF8"/>
    <w:rsid w:val="00B65D63"/>
    <w:rsid w:val="00B65E62"/>
    <w:rsid w:val="00B65E8C"/>
    <w:rsid w:val="00B66073"/>
    <w:rsid w:val="00B662BE"/>
    <w:rsid w:val="00B66422"/>
    <w:rsid w:val="00B66459"/>
    <w:rsid w:val="00B665AB"/>
    <w:rsid w:val="00B66A59"/>
    <w:rsid w:val="00B66B18"/>
    <w:rsid w:val="00B66C2C"/>
    <w:rsid w:val="00B66E5A"/>
    <w:rsid w:val="00B66EFA"/>
    <w:rsid w:val="00B66F51"/>
    <w:rsid w:val="00B66F60"/>
    <w:rsid w:val="00B66F80"/>
    <w:rsid w:val="00B67006"/>
    <w:rsid w:val="00B67369"/>
    <w:rsid w:val="00B673DC"/>
    <w:rsid w:val="00B674CD"/>
    <w:rsid w:val="00B676EE"/>
    <w:rsid w:val="00B6782C"/>
    <w:rsid w:val="00B67ABB"/>
    <w:rsid w:val="00B67AF6"/>
    <w:rsid w:val="00B67B4A"/>
    <w:rsid w:val="00B67E94"/>
    <w:rsid w:val="00B67F1E"/>
    <w:rsid w:val="00B70337"/>
    <w:rsid w:val="00B70464"/>
    <w:rsid w:val="00B7047B"/>
    <w:rsid w:val="00B706CF"/>
    <w:rsid w:val="00B707A6"/>
    <w:rsid w:val="00B70BF6"/>
    <w:rsid w:val="00B70EBE"/>
    <w:rsid w:val="00B70FEA"/>
    <w:rsid w:val="00B71021"/>
    <w:rsid w:val="00B7110C"/>
    <w:rsid w:val="00B71561"/>
    <w:rsid w:val="00B71590"/>
    <w:rsid w:val="00B71794"/>
    <w:rsid w:val="00B717E3"/>
    <w:rsid w:val="00B71838"/>
    <w:rsid w:val="00B71B2A"/>
    <w:rsid w:val="00B71B36"/>
    <w:rsid w:val="00B71CCC"/>
    <w:rsid w:val="00B71E7D"/>
    <w:rsid w:val="00B71F74"/>
    <w:rsid w:val="00B72155"/>
    <w:rsid w:val="00B7243C"/>
    <w:rsid w:val="00B7257D"/>
    <w:rsid w:val="00B725E0"/>
    <w:rsid w:val="00B72648"/>
    <w:rsid w:val="00B726A6"/>
    <w:rsid w:val="00B72C83"/>
    <w:rsid w:val="00B730F1"/>
    <w:rsid w:val="00B7319A"/>
    <w:rsid w:val="00B73386"/>
    <w:rsid w:val="00B735B7"/>
    <w:rsid w:val="00B735FD"/>
    <w:rsid w:val="00B7369C"/>
    <w:rsid w:val="00B7376F"/>
    <w:rsid w:val="00B73A97"/>
    <w:rsid w:val="00B73CD8"/>
    <w:rsid w:val="00B7406F"/>
    <w:rsid w:val="00B74195"/>
    <w:rsid w:val="00B7423E"/>
    <w:rsid w:val="00B7451F"/>
    <w:rsid w:val="00B746BA"/>
    <w:rsid w:val="00B74757"/>
    <w:rsid w:val="00B7485D"/>
    <w:rsid w:val="00B74AAF"/>
    <w:rsid w:val="00B74FCA"/>
    <w:rsid w:val="00B74FE8"/>
    <w:rsid w:val="00B7513F"/>
    <w:rsid w:val="00B7548C"/>
    <w:rsid w:val="00B75576"/>
    <w:rsid w:val="00B759D0"/>
    <w:rsid w:val="00B759DA"/>
    <w:rsid w:val="00B75A18"/>
    <w:rsid w:val="00B75AD7"/>
    <w:rsid w:val="00B75C42"/>
    <w:rsid w:val="00B75E8B"/>
    <w:rsid w:val="00B75F60"/>
    <w:rsid w:val="00B75F7A"/>
    <w:rsid w:val="00B76077"/>
    <w:rsid w:val="00B76451"/>
    <w:rsid w:val="00B7649E"/>
    <w:rsid w:val="00B76551"/>
    <w:rsid w:val="00B765AD"/>
    <w:rsid w:val="00B7694F"/>
    <w:rsid w:val="00B76AE1"/>
    <w:rsid w:val="00B77307"/>
    <w:rsid w:val="00B7744A"/>
    <w:rsid w:val="00B7750D"/>
    <w:rsid w:val="00B775A4"/>
    <w:rsid w:val="00B77646"/>
    <w:rsid w:val="00B778BB"/>
    <w:rsid w:val="00B77A62"/>
    <w:rsid w:val="00B77D26"/>
    <w:rsid w:val="00B77E7D"/>
    <w:rsid w:val="00B80048"/>
    <w:rsid w:val="00B801A7"/>
    <w:rsid w:val="00B801D3"/>
    <w:rsid w:val="00B806AF"/>
    <w:rsid w:val="00B806D1"/>
    <w:rsid w:val="00B80710"/>
    <w:rsid w:val="00B807D9"/>
    <w:rsid w:val="00B80870"/>
    <w:rsid w:val="00B8087C"/>
    <w:rsid w:val="00B80ADD"/>
    <w:rsid w:val="00B80BC9"/>
    <w:rsid w:val="00B80CB8"/>
    <w:rsid w:val="00B80FB5"/>
    <w:rsid w:val="00B810DC"/>
    <w:rsid w:val="00B811C3"/>
    <w:rsid w:val="00B812CE"/>
    <w:rsid w:val="00B81405"/>
    <w:rsid w:val="00B818E5"/>
    <w:rsid w:val="00B81B82"/>
    <w:rsid w:val="00B81C0D"/>
    <w:rsid w:val="00B81D64"/>
    <w:rsid w:val="00B81D7B"/>
    <w:rsid w:val="00B82682"/>
    <w:rsid w:val="00B8278C"/>
    <w:rsid w:val="00B828EB"/>
    <w:rsid w:val="00B82C1C"/>
    <w:rsid w:val="00B82C55"/>
    <w:rsid w:val="00B82C79"/>
    <w:rsid w:val="00B82F55"/>
    <w:rsid w:val="00B830D5"/>
    <w:rsid w:val="00B830F1"/>
    <w:rsid w:val="00B831E6"/>
    <w:rsid w:val="00B83619"/>
    <w:rsid w:val="00B83695"/>
    <w:rsid w:val="00B839BB"/>
    <w:rsid w:val="00B83A03"/>
    <w:rsid w:val="00B83A35"/>
    <w:rsid w:val="00B83AB5"/>
    <w:rsid w:val="00B83BAC"/>
    <w:rsid w:val="00B83D9F"/>
    <w:rsid w:val="00B83F2F"/>
    <w:rsid w:val="00B83F7B"/>
    <w:rsid w:val="00B84244"/>
    <w:rsid w:val="00B8466B"/>
    <w:rsid w:val="00B848D1"/>
    <w:rsid w:val="00B84B3D"/>
    <w:rsid w:val="00B84E11"/>
    <w:rsid w:val="00B84FBF"/>
    <w:rsid w:val="00B850EA"/>
    <w:rsid w:val="00B85129"/>
    <w:rsid w:val="00B85334"/>
    <w:rsid w:val="00B8554E"/>
    <w:rsid w:val="00B855D5"/>
    <w:rsid w:val="00B85A4B"/>
    <w:rsid w:val="00B85D73"/>
    <w:rsid w:val="00B85E48"/>
    <w:rsid w:val="00B85E78"/>
    <w:rsid w:val="00B860D4"/>
    <w:rsid w:val="00B861D7"/>
    <w:rsid w:val="00B8668E"/>
    <w:rsid w:val="00B868F5"/>
    <w:rsid w:val="00B86981"/>
    <w:rsid w:val="00B86BFB"/>
    <w:rsid w:val="00B86D1E"/>
    <w:rsid w:val="00B86DB7"/>
    <w:rsid w:val="00B86EBD"/>
    <w:rsid w:val="00B86F80"/>
    <w:rsid w:val="00B87311"/>
    <w:rsid w:val="00B87341"/>
    <w:rsid w:val="00B873E7"/>
    <w:rsid w:val="00B87834"/>
    <w:rsid w:val="00B878D8"/>
    <w:rsid w:val="00B878ED"/>
    <w:rsid w:val="00B8794F"/>
    <w:rsid w:val="00B87B29"/>
    <w:rsid w:val="00B87BE5"/>
    <w:rsid w:val="00B90407"/>
    <w:rsid w:val="00B9043C"/>
    <w:rsid w:val="00B905A7"/>
    <w:rsid w:val="00B905D7"/>
    <w:rsid w:val="00B9065B"/>
    <w:rsid w:val="00B907DD"/>
    <w:rsid w:val="00B9088C"/>
    <w:rsid w:val="00B9099F"/>
    <w:rsid w:val="00B90A2D"/>
    <w:rsid w:val="00B90DB3"/>
    <w:rsid w:val="00B90E1F"/>
    <w:rsid w:val="00B90E73"/>
    <w:rsid w:val="00B90EFE"/>
    <w:rsid w:val="00B9113E"/>
    <w:rsid w:val="00B911A2"/>
    <w:rsid w:val="00B91205"/>
    <w:rsid w:val="00B9162E"/>
    <w:rsid w:val="00B916B3"/>
    <w:rsid w:val="00B91A5E"/>
    <w:rsid w:val="00B91AE9"/>
    <w:rsid w:val="00B91DCB"/>
    <w:rsid w:val="00B91E34"/>
    <w:rsid w:val="00B9208F"/>
    <w:rsid w:val="00B921FA"/>
    <w:rsid w:val="00B92362"/>
    <w:rsid w:val="00B9262E"/>
    <w:rsid w:val="00B92692"/>
    <w:rsid w:val="00B927FF"/>
    <w:rsid w:val="00B928E5"/>
    <w:rsid w:val="00B92CBE"/>
    <w:rsid w:val="00B92F3D"/>
    <w:rsid w:val="00B93089"/>
    <w:rsid w:val="00B93618"/>
    <w:rsid w:val="00B93678"/>
    <w:rsid w:val="00B93781"/>
    <w:rsid w:val="00B93916"/>
    <w:rsid w:val="00B93B4C"/>
    <w:rsid w:val="00B93D31"/>
    <w:rsid w:val="00B93FE9"/>
    <w:rsid w:val="00B941A1"/>
    <w:rsid w:val="00B94258"/>
    <w:rsid w:val="00B94480"/>
    <w:rsid w:val="00B945AE"/>
    <w:rsid w:val="00B94640"/>
    <w:rsid w:val="00B94873"/>
    <w:rsid w:val="00B94C5E"/>
    <w:rsid w:val="00B94CD9"/>
    <w:rsid w:val="00B94CF0"/>
    <w:rsid w:val="00B94EBA"/>
    <w:rsid w:val="00B94F11"/>
    <w:rsid w:val="00B950F7"/>
    <w:rsid w:val="00B953DB"/>
    <w:rsid w:val="00B953F6"/>
    <w:rsid w:val="00B9549C"/>
    <w:rsid w:val="00B9580E"/>
    <w:rsid w:val="00B95901"/>
    <w:rsid w:val="00B959B3"/>
    <w:rsid w:val="00B95AE1"/>
    <w:rsid w:val="00B95D73"/>
    <w:rsid w:val="00B95DA0"/>
    <w:rsid w:val="00B964BD"/>
    <w:rsid w:val="00B96561"/>
    <w:rsid w:val="00B965D8"/>
    <w:rsid w:val="00B967A2"/>
    <w:rsid w:val="00B969EE"/>
    <w:rsid w:val="00B96DD7"/>
    <w:rsid w:val="00B96F59"/>
    <w:rsid w:val="00B9752C"/>
    <w:rsid w:val="00B977A0"/>
    <w:rsid w:val="00B977E4"/>
    <w:rsid w:val="00B97AFA"/>
    <w:rsid w:val="00B97BF7"/>
    <w:rsid w:val="00B97EC1"/>
    <w:rsid w:val="00BA007E"/>
    <w:rsid w:val="00BA0357"/>
    <w:rsid w:val="00BA053E"/>
    <w:rsid w:val="00BA0798"/>
    <w:rsid w:val="00BA0C8A"/>
    <w:rsid w:val="00BA0CD3"/>
    <w:rsid w:val="00BA0D27"/>
    <w:rsid w:val="00BA0FB8"/>
    <w:rsid w:val="00BA119F"/>
    <w:rsid w:val="00BA11EE"/>
    <w:rsid w:val="00BA1407"/>
    <w:rsid w:val="00BA1666"/>
    <w:rsid w:val="00BA16C2"/>
    <w:rsid w:val="00BA1792"/>
    <w:rsid w:val="00BA17A3"/>
    <w:rsid w:val="00BA194B"/>
    <w:rsid w:val="00BA1955"/>
    <w:rsid w:val="00BA19C2"/>
    <w:rsid w:val="00BA19CC"/>
    <w:rsid w:val="00BA1C01"/>
    <w:rsid w:val="00BA1D45"/>
    <w:rsid w:val="00BA1EC3"/>
    <w:rsid w:val="00BA20C1"/>
    <w:rsid w:val="00BA2220"/>
    <w:rsid w:val="00BA2232"/>
    <w:rsid w:val="00BA227C"/>
    <w:rsid w:val="00BA2313"/>
    <w:rsid w:val="00BA2430"/>
    <w:rsid w:val="00BA25A5"/>
    <w:rsid w:val="00BA282C"/>
    <w:rsid w:val="00BA2936"/>
    <w:rsid w:val="00BA2B4B"/>
    <w:rsid w:val="00BA2D83"/>
    <w:rsid w:val="00BA2D99"/>
    <w:rsid w:val="00BA312D"/>
    <w:rsid w:val="00BA3196"/>
    <w:rsid w:val="00BA343F"/>
    <w:rsid w:val="00BA35F2"/>
    <w:rsid w:val="00BA366D"/>
    <w:rsid w:val="00BA3718"/>
    <w:rsid w:val="00BA3C84"/>
    <w:rsid w:val="00BA3D05"/>
    <w:rsid w:val="00BA414E"/>
    <w:rsid w:val="00BA4301"/>
    <w:rsid w:val="00BA4673"/>
    <w:rsid w:val="00BA46EA"/>
    <w:rsid w:val="00BA47DA"/>
    <w:rsid w:val="00BA4920"/>
    <w:rsid w:val="00BA4B5C"/>
    <w:rsid w:val="00BA4E62"/>
    <w:rsid w:val="00BA5080"/>
    <w:rsid w:val="00BA50D6"/>
    <w:rsid w:val="00BA5112"/>
    <w:rsid w:val="00BA51D6"/>
    <w:rsid w:val="00BA51DF"/>
    <w:rsid w:val="00BA51E5"/>
    <w:rsid w:val="00BA51E8"/>
    <w:rsid w:val="00BA5512"/>
    <w:rsid w:val="00BA5566"/>
    <w:rsid w:val="00BA598C"/>
    <w:rsid w:val="00BA5A96"/>
    <w:rsid w:val="00BA5B33"/>
    <w:rsid w:val="00BA60AC"/>
    <w:rsid w:val="00BA61B1"/>
    <w:rsid w:val="00BA6627"/>
    <w:rsid w:val="00BA685E"/>
    <w:rsid w:val="00BA68D6"/>
    <w:rsid w:val="00BA6AD7"/>
    <w:rsid w:val="00BA6B7E"/>
    <w:rsid w:val="00BA6B8F"/>
    <w:rsid w:val="00BA6CA6"/>
    <w:rsid w:val="00BA6FFF"/>
    <w:rsid w:val="00BA73E0"/>
    <w:rsid w:val="00BA74BC"/>
    <w:rsid w:val="00BA74EF"/>
    <w:rsid w:val="00BA76ED"/>
    <w:rsid w:val="00BA7739"/>
    <w:rsid w:val="00BA7763"/>
    <w:rsid w:val="00BA7771"/>
    <w:rsid w:val="00BA779B"/>
    <w:rsid w:val="00BA77F0"/>
    <w:rsid w:val="00BA79CB"/>
    <w:rsid w:val="00BA7B3E"/>
    <w:rsid w:val="00BA7BE3"/>
    <w:rsid w:val="00BA7C2E"/>
    <w:rsid w:val="00BA7C3A"/>
    <w:rsid w:val="00BA7F25"/>
    <w:rsid w:val="00BB004B"/>
    <w:rsid w:val="00BB0160"/>
    <w:rsid w:val="00BB0611"/>
    <w:rsid w:val="00BB0763"/>
    <w:rsid w:val="00BB0B50"/>
    <w:rsid w:val="00BB0D00"/>
    <w:rsid w:val="00BB12BF"/>
    <w:rsid w:val="00BB194B"/>
    <w:rsid w:val="00BB1CB7"/>
    <w:rsid w:val="00BB205D"/>
    <w:rsid w:val="00BB221E"/>
    <w:rsid w:val="00BB22FD"/>
    <w:rsid w:val="00BB2368"/>
    <w:rsid w:val="00BB2376"/>
    <w:rsid w:val="00BB25EB"/>
    <w:rsid w:val="00BB296C"/>
    <w:rsid w:val="00BB2D9F"/>
    <w:rsid w:val="00BB2EA5"/>
    <w:rsid w:val="00BB30E0"/>
    <w:rsid w:val="00BB3290"/>
    <w:rsid w:val="00BB344D"/>
    <w:rsid w:val="00BB35F0"/>
    <w:rsid w:val="00BB3684"/>
    <w:rsid w:val="00BB3765"/>
    <w:rsid w:val="00BB3796"/>
    <w:rsid w:val="00BB39F7"/>
    <w:rsid w:val="00BB3BB1"/>
    <w:rsid w:val="00BB3BBA"/>
    <w:rsid w:val="00BB3CA7"/>
    <w:rsid w:val="00BB3CD9"/>
    <w:rsid w:val="00BB3D3C"/>
    <w:rsid w:val="00BB3EFA"/>
    <w:rsid w:val="00BB403B"/>
    <w:rsid w:val="00BB404F"/>
    <w:rsid w:val="00BB4441"/>
    <w:rsid w:val="00BB48CC"/>
    <w:rsid w:val="00BB4933"/>
    <w:rsid w:val="00BB4991"/>
    <w:rsid w:val="00BB5252"/>
    <w:rsid w:val="00BB52FA"/>
    <w:rsid w:val="00BB54A2"/>
    <w:rsid w:val="00BB55D7"/>
    <w:rsid w:val="00BB5BA4"/>
    <w:rsid w:val="00BB5CC0"/>
    <w:rsid w:val="00BB5EDB"/>
    <w:rsid w:val="00BB627F"/>
    <w:rsid w:val="00BB62B9"/>
    <w:rsid w:val="00BB6330"/>
    <w:rsid w:val="00BB6335"/>
    <w:rsid w:val="00BB637E"/>
    <w:rsid w:val="00BB64AC"/>
    <w:rsid w:val="00BB684E"/>
    <w:rsid w:val="00BB6ABC"/>
    <w:rsid w:val="00BB6D08"/>
    <w:rsid w:val="00BB6DE2"/>
    <w:rsid w:val="00BB7004"/>
    <w:rsid w:val="00BB7064"/>
    <w:rsid w:val="00BB71C5"/>
    <w:rsid w:val="00BB7509"/>
    <w:rsid w:val="00BB75BE"/>
    <w:rsid w:val="00BB7957"/>
    <w:rsid w:val="00BB79AA"/>
    <w:rsid w:val="00BB7E44"/>
    <w:rsid w:val="00BB7EC2"/>
    <w:rsid w:val="00BB7FC3"/>
    <w:rsid w:val="00BC02D2"/>
    <w:rsid w:val="00BC059B"/>
    <w:rsid w:val="00BC0A91"/>
    <w:rsid w:val="00BC0B13"/>
    <w:rsid w:val="00BC0CE4"/>
    <w:rsid w:val="00BC0D65"/>
    <w:rsid w:val="00BC105A"/>
    <w:rsid w:val="00BC1107"/>
    <w:rsid w:val="00BC12A3"/>
    <w:rsid w:val="00BC1328"/>
    <w:rsid w:val="00BC13AF"/>
    <w:rsid w:val="00BC1575"/>
    <w:rsid w:val="00BC1659"/>
    <w:rsid w:val="00BC1CA0"/>
    <w:rsid w:val="00BC1CEE"/>
    <w:rsid w:val="00BC1E65"/>
    <w:rsid w:val="00BC1FBA"/>
    <w:rsid w:val="00BC20FD"/>
    <w:rsid w:val="00BC2176"/>
    <w:rsid w:val="00BC2344"/>
    <w:rsid w:val="00BC2435"/>
    <w:rsid w:val="00BC25E5"/>
    <w:rsid w:val="00BC29D9"/>
    <w:rsid w:val="00BC29FB"/>
    <w:rsid w:val="00BC2B59"/>
    <w:rsid w:val="00BC2BA5"/>
    <w:rsid w:val="00BC2BB9"/>
    <w:rsid w:val="00BC2E1A"/>
    <w:rsid w:val="00BC2F47"/>
    <w:rsid w:val="00BC30C4"/>
    <w:rsid w:val="00BC3139"/>
    <w:rsid w:val="00BC33C4"/>
    <w:rsid w:val="00BC3485"/>
    <w:rsid w:val="00BC3563"/>
    <w:rsid w:val="00BC3810"/>
    <w:rsid w:val="00BC386C"/>
    <w:rsid w:val="00BC397E"/>
    <w:rsid w:val="00BC3AA4"/>
    <w:rsid w:val="00BC3BF9"/>
    <w:rsid w:val="00BC3C06"/>
    <w:rsid w:val="00BC3D1A"/>
    <w:rsid w:val="00BC3D9C"/>
    <w:rsid w:val="00BC3E58"/>
    <w:rsid w:val="00BC3F8D"/>
    <w:rsid w:val="00BC404B"/>
    <w:rsid w:val="00BC4444"/>
    <w:rsid w:val="00BC44FC"/>
    <w:rsid w:val="00BC45A3"/>
    <w:rsid w:val="00BC475E"/>
    <w:rsid w:val="00BC4768"/>
    <w:rsid w:val="00BC47CB"/>
    <w:rsid w:val="00BC4B34"/>
    <w:rsid w:val="00BC4C42"/>
    <w:rsid w:val="00BC4C76"/>
    <w:rsid w:val="00BC4D01"/>
    <w:rsid w:val="00BC4EE5"/>
    <w:rsid w:val="00BC4F1E"/>
    <w:rsid w:val="00BC4FBC"/>
    <w:rsid w:val="00BC4FFD"/>
    <w:rsid w:val="00BC5FBD"/>
    <w:rsid w:val="00BC6222"/>
    <w:rsid w:val="00BC63D9"/>
    <w:rsid w:val="00BC6897"/>
    <w:rsid w:val="00BC69E6"/>
    <w:rsid w:val="00BC6C6F"/>
    <w:rsid w:val="00BC6D4B"/>
    <w:rsid w:val="00BC6D8D"/>
    <w:rsid w:val="00BC7041"/>
    <w:rsid w:val="00BC7117"/>
    <w:rsid w:val="00BC723D"/>
    <w:rsid w:val="00BC7356"/>
    <w:rsid w:val="00BC7857"/>
    <w:rsid w:val="00BC79E1"/>
    <w:rsid w:val="00BC7D0E"/>
    <w:rsid w:val="00BC7E67"/>
    <w:rsid w:val="00BC7ED5"/>
    <w:rsid w:val="00BD003B"/>
    <w:rsid w:val="00BD0044"/>
    <w:rsid w:val="00BD0276"/>
    <w:rsid w:val="00BD02CF"/>
    <w:rsid w:val="00BD05D1"/>
    <w:rsid w:val="00BD0905"/>
    <w:rsid w:val="00BD0A53"/>
    <w:rsid w:val="00BD0C68"/>
    <w:rsid w:val="00BD0CF0"/>
    <w:rsid w:val="00BD0DFA"/>
    <w:rsid w:val="00BD104D"/>
    <w:rsid w:val="00BD131C"/>
    <w:rsid w:val="00BD1460"/>
    <w:rsid w:val="00BD1538"/>
    <w:rsid w:val="00BD1779"/>
    <w:rsid w:val="00BD1990"/>
    <w:rsid w:val="00BD1B1E"/>
    <w:rsid w:val="00BD1D95"/>
    <w:rsid w:val="00BD1DCE"/>
    <w:rsid w:val="00BD1F93"/>
    <w:rsid w:val="00BD270E"/>
    <w:rsid w:val="00BD27A0"/>
    <w:rsid w:val="00BD2816"/>
    <w:rsid w:val="00BD2952"/>
    <w:rsid w:val="00BD296A"/>
    <w:rsid w:val="00BD2C23"/>
    <w:rsid w:val="00BD2CE1"/>
    <w:rsid w:val="00BD2D07"/>
    <w:rsid w:val="00BD2F0F"/>
    <w:rsid w:val="00BD319C"/>
    <w:rsid w:val="00BD34AD"/>
    <w:rsid w:val="00BD36ED"/>
    <w:rsid w:val="00BD3895"/>
    <w:rsid w:val="00BD38B8"/>
    <w:rsid w:val="00BD38D2"/>
    <w:rsid w:val="00BD3ADA"/>
    <w:rsid w:val="00BD3AEB"/>
    <w:rsid w:val="00BD3F59"/>
    <w:rsid w:val="00BD3FAA"/>
    <w:rsid w:val="00BD414F"/>
    <w:rsid w:val="00BD42C0"/>
    <w:rsid w:val="00BD4473"/>
    <w:rsid w:val="00BD455C"/>
    <w:rsid w:val="00BD474A"/>
    <w:rsid w:val="00BD4E24"/>
    <w:rsid w:val="00BD4F08"/>
    <w:rsid w:val="00BD4F42"/>
    <w:rsid w:val="00BD5243"/>
    <w:rsid w:val="00BD53F8"/>
    <w:rsid w:val="00BD5643"/>
    <w:rsid w:val="00BD5652"/>
    <w:rsid w:val="00BD56A4"/>
    <w:rsid w:val="00BD5ECD"/>
    <w:rsid w:val="00BD5FD0"/>
    <w:rsid w:val="00BD6043"/>
    <w:rsid w:val="00BD6082"/>
    <w:rsid w:val="00BD614D"/>
    <w:rsid w:val="00BD633A"/>
    <w:rsid w:val="00BD64BD"/>
    <w:rsid w:val="00BD65F5"/>
    <w:rsid w:val="00BD676F"/>
    <w:rsid w:val="00BD6C24"/>
    <w:rsid w:val="00BD6C8F"/>
    <w:rsid w:val="00BD6DE3"/>
    <w:rsid w:val="00BD7068"/>
    <w:rsid w:val="00BD750A"/>
    <w:rsid w:val="00BD77EF"/>
    <w:rsid w:val="00BD77F2"/>
    <w:rsid w:val="00BD78B2"/>
    <w:rsid w:val="00BD79B4"/>
    <w:rsid w:val="00BD7C7A"/>
    <w:rsid w:val="00BD7ED6"/>
    <w:rsid w:val="00BD7F8B"/>
    <w:rsid w:val="00BE0039"/>
    <w:rsid w:val="00BE008F"/>
    <w:rsid w:val="00BE00C0"/>
    <w:rsid w:val="00BE01A4"/>
    <w:rsid w:val="00BE02CF"/>
    <w:rsid w:val="00BE04AE"/>
    <w:rsid w:val="00BE0644"/>
    <w:rsid w:val="00BE071F"/>
    <w:rsid w:val="00BE0787"/>
    <w:rsid w:val="00BE0864"/>
    <w:rsid w:val="00BE0B2D"/>
    <w:rsid w:val="00BE0B3E"/>
    <w:rsid w:val="00BE0B9F"/>
    <w:rsid w:val="00BE13B1"/>
    <w:rsid w:val="00BE14F5"/>
    <w:rsid w:val="00BE15E0"/>
    <w:rsid w:val="00BE17A4"/>
    <w:rsid w:val="00BE1804"/>
    <w:rsid w:val="00BE183A"/>
    <w:rsid w:val="00BE197E"/>
    <w:rsid w:val="00BE1A0F"/>
    <w:rsid w:val="00BE1B85"/>
    <w:rsid w:val="00BE1CC9"/>
    <w:rsid w:val="00BE1DE5"/>
    <w:rsid w:val="00BE2280"/>
    <w:rsid w:val="00BE24C4"/>
    <w:rsid w:val="00BE2522"/>
    <w:rsid w:val="00BE2B1F"/>
    <w:rsid w:val="00BE2C67"/>
    <w:rsid w:val="00BE32B3"/>
    <w:rsid w:val="00BE33DB"/>
    <w:rsid w:val="00BE3597"/>
    <w:rsid w:val="00BE3B48"/>
    <w:rsid w:val="00BE3CE7"/>
    <w:rsid w:val="00BE3D38"/>
    <w:rsid w:val="00BE426F"/>
    <w:rsid w:val="00BE4283"/>
    <w:rsid w:val="00BE44AF"/>
    <w:rsid w:val="00BE44D2"/>
    <w:rsid w:val="00BE47D9"/>
    <w:rsid w:val="00BE485C"/>
    <w:rsid w:val="00BE48ED"/>
    <w:rsid w:val="00BE4A98"/>
    <w:rsid w:val="00BE4D6D"/>
    <w:rsid w:val="00BE4F18"/>
    <w:rsid w:val="00BE5150"/>
    <w:rsid w:val="00BE51A2"/>
    <w:rsid w:val="00BE549E"/>
    <w:rsid w:val="00BE5532"/>
    <w:rsid w:val="00BE562A"/>
    <w:rsid w:val="00BE5956"/>
    <w:rsid w:val="00BE59BD"/>
    <w:rsid w:val="00BE59FA"/>
    <w:rsid w:val="00BE5A6C"/>
    <w:rsid w:val="00BE5B09"/>
    <w:rsid w:val="00BE61CC"/>
    <w:rsid w:val="00BE6664"/>
    <w:rsid w:val="00BE670B"/>
    <w:rsid w:val="00BE6A71"/>
    <w:rsid w:val="00BE73F5"/>
    <w:rsid w:val="00BE7538"/>
    <w:rsid w:val="00BE75FD"/>
    <w:rsid w:val="00BE767E"/>
    <w:rsid w:val="00BE76AB"/>
    <w:rsid w:val="00BE7724"/>
    <w:rsid w:val="00BE7728"/>
    <w:rsid w:val="00BE7AE1"/>
    <w:rsid w:val="00BE7B0F"/>
    <w:rsid w:val="00BE7B23"/>
    <w:rsid w:val="00BE7B2F"/>
    <w:rsid w:val="00BE7CF4"/>
    <w:rsid w:val="00BE7D33"/>
    <w:rsid w:val="00BE7D84"/>
    <w:rsid w:val="00BE7E41"/>
    <w:rsid w:val="00BE7E9A"/>
    <w:rsid w:val="00BE7FB0"/>
    <w:rsid w:val="00BF0144"/>
    <w:rsid w:val="00BF0232"/>
    <w:rsid w:val="00BF0422"/>
    <w:rsid w:val="00BF0968"/>
    <w:rsid w:val="00BF0B36"/>
    <w:rsid w:val="00BF0B6F"/>
    <w:rsid w:val="00BF0D71"/>
    <w:rsid w:val="00BF0E00"/>
    <w:rsid w:val="00BF0F2C"/>
    <w:rsid w:val="00BF0FD8"/>
    <w:rsid w:val="00BF1250"/>
    <w:rsid w:val="00BF12BE"/>
    <w:rsid w:val="00BF147D"/>
    <w:rsid w:val="00BF14DF"/>
    <w:rsid w:val="00BF1521"/>
    <w:rsid w:val="00BF1658"/>
    <w:rsid w:val="00BF1722"/>
    <w:rsid w:val="00BF17ED"/>
    <w:rsid w:val="00BF1A94"/>
    <w:rsid w:val="00BF20A1"/>
    <w:rsid w:val="00BF2305"/>
    <w:rsid w:val="00BF253D"/>
    <w:rsid w:val="00BF25C7"/>
    <w:rsid w:val="00BF2620"/>
    <w:rsid w:val="00BF27DB"/>
    <w:rsid w:val="00BF2A03"/>
    <w:rsid w:val="00BF2EA2"/>
    <w:rsid w:val="00BF2F8F"/>
    <w:rsid w:val="00BF3080"/>
    <w:rsid w:val="00BF3162"/>
    <w:rsid w:val="00BF33F1"/>
    <w:rsid w:val="00BF348C"/>
    <w:rsid w:val="00BF3A30"/>
    <w:rsid w:val="00BF3FD1"/>
    <w:rsid w:val="00BF4147"/>
    <w:rsid w:val="00BF4160"/>
    <w:rsid w:val="00BF41F3"/>
    <w:rsid w:val="00BF42AB"/>
    <w:rsid w:val="00BF42D3"/>
    <w:rsid w:val="00BF4367"/>
    <w:rsid w:val="00BF457F"/>
    <w:rsid w:val="00BF4AE9"/>
    <w:rsid w:val="00BF4D49"/>
    <w:rsid w:val="00BF4EBC"/>
    <w:rsid w:val="00BF5298"/>
    <w:rsid w:val="00BF54BF"/>
    <w:rsid w:val="00BF5754"/>
    <w:rsid w:val="00BF5C47"/>
    <w:rsid w:val="00BF601C"/>
    <w:rsid w:val="00BF616A"/>
    <w:rsid w:val="00BF641C"/>
    <w:rsid w:val="00BF66E4"/>
    <w:rsid w:val="00BF6789"/>
    <w:rsid w:val="00BF689A"/>
    <w:rsid w:val="00BF689D"/>
    <w:rsid w:val="00BF6CCB"/>
    <w:rsid w:val="00BF6D55"/>
    <w:rsid w:val="00BF6E8D"/>
    <w:rsid w:val="00BF70C7"/>
    <w:rsid w:val="00BF70FC"/>
    <w:rsid w:val="00BF7166"/>
    <w:rsid w:val="00BF7542"/>
    <w:rsid w:val="00BF7667"/>
    <w:rsid w:val="00BF778D"/>
    <w:rsid w:val="00BF77A8"/>
    <w:rsid w:val="00BF7AF1"/>
    <w:rsid w:val="00BF7D13"/>
    <w:rsid w:val="00BF7DF8"/>
    <w:rsid w:val="00BF7F55"/>
    <w:rsid w:val="00BF7FDF"/>
    <w:rsid w:val="00C002B0"/>
    <w:rsid w:val="00C002EB"/>
    <w:rsid w:val="00C004CC"/>
    <w:rsid w:val="00C0061F"/>
    <w:rsid w:val="00C00627"/>
    <w:rsid w:val="00C00668"/>
    <w:rsid w:val="00C006E1"/>
    <w:rsid w:val="00C00761"/>
    <w:rsid w:val="00C00B74"/>
    <w:rsid w:val="00C01018"/>
    <w:rsid w:val="00C010BB"/>
    <w:rsid w:val="00C0118C"/>
    <w:rsid w:val="00C012A7"/>
    <w:rsid w:val="00C014FB"/>
    <w:rsid w:val="00C01586"/>
    <w:rsid w:val="00C016E0"/>
    <w:rsid w:val="00C01D0A"/>
    <w:rsid w:val="00C01D63"/>
    <w:rsid w:val="00C02095"/>
    <w:rsid w:val="00C02715"/>
    <w:rsid w:val="00C02765"/>
    <w:rsid w:val="00C02D77"/>
    <w:rsid w:val="00C02EF0"/>
    <w:rsid w:val="00C0311A"/>
    <w:rsid w:val="00C0318C"/>
    <w:rsid w:val="00C031B4"/>
    <w:rsid w:val="00C031E7"/>
    <w:rsid w:val="00C0332F"/>
    <w:rsid w:val="00C033B4"/>
    <w:rsid w:val="00C034D0"/>
    <w:rsid w:val="00C036FD"/>
    <w:rsid w:val="00C0381A"/>
    <w:rsid w:val="00C03977"/>
    <w:rsid w:val="00C03AE7"/>
    <w:rsid w:val="00C03AEC"/>
    <w:rsid w:val="00C03EFC"/>
    <w:rsid w:val="00C0402A"/>
    <w:rsid w:val="00C0412A"/>
    <w:rsid w:val="00C04159"/>
    <w:rsid w:val="00C0420D"/>
    <w:rsid w:val="00C0433A"/>
    <w:rsid w:val="00C043ED"/>
    <w:rsid w:val="00C04473"/>
    <w:rsid w:val="00C045DB"/>
    <w:rsid w:val="00C0460B"/>
    <w:rsid w:val="00C0485F"/>
    <w:rsid w:val="00C049C3"/>
    <w:rsid w:val="00C049F8"/>
    <w:rsid w:val="00C04DAA"/>
    <w:rsid w:val="00C04DB0"/>
    <w:rsid w:val="00C04EF5"/>
    <w:rsid w:val="00C05217"/>
    <w:rsid w:val="00C05218"/>
    <w:rsid w:val="00C05395"/>
    <w:rsid w:val="00C0541A"/>
    <w:rsid w:val="00C05515"/>
    <w:rsid w:val="00C05531"/>
    <w:rsid w:val="00C05659"/>
    <w:rsid w:val="00C056FC"/>
    <w:rsid w:val="00C05737"/>
    <w:rsid w:val="00C05AD4"/>
    <w:rsid w:val="00C05AF9"/>
    <w:rsid w:val="00C05B30"/>
    <w:rsid w:val="00C05BE4"/>
    <w:rsid w:val="00C05C54"/>
    <w:rsid w:val="00C05D36"/>
    <w:rsid w:val="00C060A9"/>
    <w:rsid w:val="00C067E0"/>
    <w:rsid w:val="00C06B71"/>
    <w:rsid w:val="00C06C1D"/>
    <w:rsid w:val="00C06C30"/>
    <w:rsid w:val="00C06C76"/>
    <w:rsid w:val="00C06E5F"/>
    <w:rsid w:val="00C070AF"/>
    <w:rsid w:val="00C0742E"/>
    <w:rsid w:val="00C07B12"/>
    <w:rsid w:val="00C07C5E"/>
    <w:rsid w:val="00C07CBE"/>
    <w:rsid w:val="00C10022"/>
    <w:rsid w:val="00C101DE"/>
    <w:rsid w:val="00C1025D"/>
    <w:rsid w:val="00C10372"/>
    <w:rsid w:val="00C106DC"/>
    <w:rsid w:val="00C10B57"/>
    <w:rsid w:val="00C10D80"/>
    <w:rsid w:val="00C10F2F"/>
    <w:rsid w:val="00C1107B"/>
    <w:rsid w:val="00C110F5"/>
    <w:rsid w:val="00C111C5"/>
    <w:rsid w:val="00C111D8"/>
    <w:rsid w:val="00C112FC"/>
    <w:rsid w:val="00C11313"/>
    <w:rsid w:val="00C1161A"/>
    <w:rsid w:val="00C117DB"/>
    <w:rsid w:val="00C117FA"/>
    <w:rsid w:val="00C11A5A"/>
    <w:rsid w:val="00C11B34"/>
    <w:rsid w:val="00C11BCF"/>
    <w:rsid w:val="00C11E5E"/>
    <w:rsid w:val="00C11FD5"/>
    <w:rsid w:val="00C1246D"/>
    <w:rsid w:val="00C124B9"/>
    <w:rsid w:val="00C127EA"/>
    <w:rsid w:val="00C12A29"/>
    <w:rsid w:val="00C12B19"/>
    <w:rsid w:val="00C12F08"/>
    <w:rsid w:val="00C1310F"/>
    <w:rsid w:val="00C13110"/>
    <w:rsid w:val="00C1318B"/>
    <w:rsid w:val="00C1326E"/>
    <w:rsid w:val="00C133BA"/>
    <w:rsid w:val="00C1363F"/>
    <w:rsid w:val="00C136BF"/>
    <w:rsid w:val="00C13A67"/>
    <w:rsid w:val="00C13A8D"/>
    <w:rsid w:val="00C13D69"/>
    <w:rsid w:val="00C13F01"/>
    <w:rsid w:val="00C143EB"/>
    <w:rsid w:val="00C14560"/>
    <w:rsid w:val="00C14778"/>
    <w:rsid w:val="00C14858"/>
    <w:rsid w:val="00C149B4"/>
    <w:rsid w:val="00C14A23"/>
    <w:rsid w:val="00C14ACB"/>
    <w:rsid w:val="00C14AEF"/>
    <w:rsid w:val="00C14C8C"/>
    <w:rsid w:val="00C14D99"/>
    <w:rsid w:val="00C1504C"/>
    <w:rsid w:val="00C15077"/>
    <w:rsid w:val="00C1517E"/>
    <w:rsid w:val="00C151B2"/>
    <w:rsid w:val="00C152AD"/>
    <w:rsid w:val="00C15394"/>
    <w:rsid w:val="00C154EB"/>
    <w:rsid w:val="00C15695"/>
    <w:rsid w:val="00C15ABA"/>
    <w:rsid w:val="00C15BDE"/>
    <w:rsid w:val="00C15D26"/>
    <w:rsid w:val="00C15D99"/>
    <w:rsid w:val="00C15E50"/>
    <w:rsid w:val="00C15EDD"/>
    <w:rsid w:val="00C16026"/>
    <w:rsid w:val="00C16118"/>
    <w:rsid w:val="00C16134"/>
    <w:rsid w:val="00C16500"/>
    <w:rsid w:val="00C16536"/>
    <w:rsid w:val="00C167BD"/>
    <w:rsid w:val="00C16822"/>
    <w:rsid w:val="00C168A5"/>
    <w:rsid w:val="00C169BD"/>
    <w:rsid w:val="00C169D0"/>
    <w:rsid w:val="00C169F5"/>
    <w:rsid w:val="00C16C91"/>
    <w:rsid w:val="00C16E06"/>
    <w:rsid w:val="00C171B1"/>
    <w:rsid w:val="00C17265"/>
    <w:rsid w:val="00C1732E"/>
    <w:rsid w:val="00C1748C"/>
    <w:rsid w:val="00C1754C"/>
    <w:rsid w:val="00C17785"/>
    <w:rsid w:val="00C177B8"/>
    <w:rsid w:val="00C179CA"/>
    <w:rsid w:val="00C179E3"/>
    <w:rsid w:val="00C17C7C"/>
    <w:rsid w:val="00C17D8E"/>
    <w:rsid w:val="00C17EC6"/>
    <w:rsid w:val="00C205F8"/>
    <w:rsid w:val="00C2087F"/>
    <w:rsid w:val="00C20C82"/>
    <w:rsid w:val="00C20D6D"/>
    <w:rsid w:val="00C20DDB"/>
    <w:rsid w:val="00C20F9B"/>
    <w:rsid w:val="00C21305"/>
    <w:rsid w:val="00C21518"/>
    <w:rsid w:val="00C2155F"/>
    <w:rsid w:val="00C216C1"/>
    <w:rsid w:val="00C2183F"/>
    <w:rsid w:val="00C2189A"/>
    <w:rsid w:val="00C219D6"/>
    <w:rsid w:val="00C21A84"/>
    <w:rsid w:val="00C21A9E"/>
    <w:rsid w:val="00C21B2C"/>
    <w:rsid w:val="00C21B57"/>
    <w:rsid w:val="00C2205E"/>
    <w:rsid w:val="00C22446"/>
    <w:rsid w:val="00C225EC"/>
    <w:rsid w:val="00C22687"/>
    <w:rsid w:val="00C229CB"/>
    <w:rsid w:val="00C22B13"/>
    <w:rsid w:val="00C22BAD"/>
    <w:rsid w:val="00C22BEE"/>
    <w:rsid w:val="00C22D0B"/>
    <w:rsid w:val="00C22ECD"/>
    <w:rsid w:val="00C233CC"/>
    <w:rsid w:val="00C23585"/>
    <w:rsid w:val="00C235FB"/>
    <w:rsid w:val="00C23774"/>
    <w:rsid w:val="00C23D10"/>
    <w:rsid w:val="00C23E2C"/>
    <w:rsid w:val="00C23EAE"/>
    <w:rsid w:val="00C241E3"/>
    <w:rsid w:val="00C24203"/>
    <w:rsid w:val="00C242E0"/>
    <w:rsid w:val="00C24394"/>
    <w:rsid w:val="00C243B4"/>
    <w:rsid w:val="00C243F8"/>
    <w:rsid w:val="00C245D8"/>
    <w:rsid w:val="00C245F5"/>
    <w:rsid w:val="00C248FA"/>
    <w:rsid w:val="00C24A39"/>
    <w:rsid w:val="00C24AA8"/>
    <w:rsid w:val="00C25027"/>
    <w:rsid w:val="00C2508C"/>
    <w:rsid w:val="00C25307"/>
    <w:rsid w:val="00C25338"/>
    <w:rsid w:val="00C25532"/>
    <w:rsid w:val="00C256C6"/>
    <w:rsid w:val="00C2590B"/>
    <w:rsid w:val="00C25BFC"/>
    <w:rsid w:val="00C25F26"/>
    <w:rsid w:val="00C25F58"/>
    <w:rsid w:val="00C260A4"/>
    <w:rsid w:val="00C26151"/>
    <w:rsid w:val="00C261C6"/>
    <w:rsid w:val="00C26383"/>
    <w:rsid w:val="00C2647F"/>
    <w:rsid w:val="00C2651B"/>
    <w:rsid w:val="00C26C29"/>
    <w:rsid w:val="00C26D1D"/>
    <w:rsid w:val="00C26D58"/>
    <w:rsid w:val="00C26E12"/>
    <w:rsid w:val="00C26EEB"/>
    <w:rsid w:val="00C26FBF"/>
    <w:rsid w:val="00C275B1"/>
    <w:rsid w:val="00C27679"/>
    <w:rsid w:val="00C276DD"/>
    <w:rsid w:val="00C2796B"/>
    <w:rsid w:val="00C27BE4"/>
    <w:rsid w:val="00C27EAB"/>
    <w:rsid w:val="00C3010E"/>
    <w:rsid w:val="00C30244"/>
    <w:rsid w:val="00C303E4"/>
    <w:rsid w:val="00C30567"/>
    <w:rsid w:val="00C308A2"/>
    <w:rsid w:val="00C308F3"/>
    <w:rsid w:val="00C30B77"/>
    <w:rsid w:val="00C30C37"/>
    <w:rsid w:val="00C30CB6"/>
    <w:rsid w:val="00C30CB9"/>
    <w:rsid w:val="00C30ED9"/>
    <w:rsid w:val="00C31060"/>
    <w:rsid w:val="00C31751"/>
    <w:rsid w:val="00C31772"/>
    <w:rsid w:val="00C31863"/>
    <w:rsid w:val="00C31A20"/>
    <w:rsid w:val="00C31EC3"/>
    <w:rsid w:val="00C32049"/>
    <w:rsid w:val="00C3212E"/>
    <w:rsid w:val="00C32315"/>
    <w:rsid w:val="00C32327"/>
    <w:rsid w:val="00C3238B"/>
    <w:rsid w:val="00C32459"/>
    <w:rsid w:val="00C3280E"/>
    <w:rsid w:val="00C3296C"/>
    <w:rsid w:val="00C32BC0"/>
    <w:rsid w:val="00C33043"/>
    <w:rsid w:val="00C331ED"/>
    <w:rsid w:val="00C33474"/>
    <w:rsid w:val="00C334EC"/>
    <w:rsid w:val="00C33805"/>
    <w:rsid w:val="00C33B53"/>
    <w:rsid w:val="00C33BF0"/>
    <w:rsid w:val="00C33C7E"/>
    <w:rsid w:val="00C33D75"/>
    <w:rsid w:val="00C33DF4"/>
    <w:rsid w:val="00C33EDB"/>
    <w:rsid w:val="00C33F38"/>
    <w:rsid w:val="00C34032"/>
    <w:rsid w:val="00C342BC"/>
    <w:rsid w:val="00C3450B"/>
    <w:rsid w:val="00C345D4"/>
    <w:rsid w:val="00C34875"/>
    <w:rsid w:val="00C349FF"/>
    <w:rsid w:val="00C34DFF"/>
    <w:rsid w:val="00C34F67"/>
    <w:rsid w:val="00C34FF4"/>
    <w:rsid w:val="00C35087"/>
    <w:rsid w:val="00C350C8"/>
    <w:rsid w:val="00C352FC"/>
    <w:rsid w:val="00C35381"/>
    <w:rsid w:val="00C354A0"/>
    <w:rsid w:val="00C35589"/>
    <w:rsid w:val="00C35B00"/>
    <w:rsid w:val="00C35FB6"/>
    <w:rsid w:val="00C36008"/>
    <w:rsid w:val="00C36032"/>
    <w:rsid w:val="00C360B7"/>
    <w:rsid w:val="00C3611D"/>
    <w:rsid w:val="00C36186"/>
    <w:rsid w:val="00C365CA"/>
    <w:rsid w:val="00C367F8"/>
    <w:rsid w:val="00C36912"/>
    <w:rsid w:val="00C36940"/>
    <w:rsid w:val="00C36AEE"/>
    <w:rsid w:val="00C36B5B"/>
    <w:rsid w:val="00C36E7E"/>
    <w:rsid w:val="00C36F9D"/>
    <w:rsid w:val="00C36F9F"/>
    <w:rsid w:val="00C36FCD"/>
    <w:rsid w:val="00C3710D"/>
    <w:rsid w:val="00C3745D"/>
    <w:rsid w:val="00C37591"/>
    <w:rsid w:val="00C37595"/>
    <w:rsid w:val="00C375B8"/>
    <w:rsid w:val="00C37702"/>
    <w:rsid w:val="00C37782"/>
    <w:rsid w:val="00C377AD"/>
    <w:rsid w:val="00C37B4F"/>
    <w:rsid w:val="00C37FF6"/>
    <w:rsid w:val="00C401BD"/>
    <w:rsid w:val="00C40207"/>
    <w:rsid w:val="00C402A1"/>
    <w:rsid w:val="00C4037F"/>
    <w:rsid w:val="00C403A4"/>
    <w:rsid w:val="00C405C5"/>
    <w:rsid w:val="00C407A3"/>
    <w:rsid w:val="00C408C9"/>
    <w:rsid w:val="00C40BF9"/>
    <w:rsid w:val="00C40C3B"/>
    <w:rsid w:val="00C40C92"/>
    <w:rsid w:val="00C411B9"/>
    <w:rsid w:val="00C41218"/>
    <w:rsid w:val="00C41394"/>
    <w:rsid w:val="00C41697"/>
    <w:rsid w:val="00C41875"/>
    <w:rsid w:val="00C419D3"/>
    <w:rsid w:val="00C419EF"/>
    <w:rsid w:val="00C41BC2"/>
    <w:rsid w:val="00C41BF2"/>
    <w:rsid w:val="00C41F56"/>
    <w:rsid w:val="00C42051"/>
    <w:rsid w:val="00C423D0"/>
    <w:rsid w:val="00C423DB"/>
    <w:rsid w:val="00C42577"/>
    <w:rsid w:val="00C426AB"/>
    <w:rsid w:val="00C4280A"/>
    <w:rsid w:val="00C42CA3"/>
    <w:rsid w:val="00C42D12"/>
    <w:rsid w:val="00C431B7"/>
    <w:rsid w:val="00C4372D"/>
    <w:rsid w:val="00C43983"/>
    <w:rsid w:val="00C43BB7"/>
    <w:rsid w:val="00C43C6F"/>
    <w:rsid w:val="00C43C72"/>
    <w:rsid w:val="00C43EAC"/>
    <w:rsid w:val="00C44062"/>
    <w:rsid w:val="00C440EC"/>
    <w:rsid w:val="00C44154"/>
    <w:rsid w:val="00C44267"/>
    <w:rsid w:val="00C443E6"/>
    <w:rsid w:val="00C4467E"/>
    <w:rsid w:val="00C44718"/>
    <w:rsid w:val="00C4474C"/>
    <w:rsid w:val="00C44937"/>
    <w:rsid w:val="00C44D51"/>
    <w:rsid w:val="00C44D96"/>
    <w:rsid w:val="00C44E46"/>
    <w:rsid w:val="00C451EF"/>
    <w:rsid w:val="00C4541A"/>
    <w:rsid w:val="00C45563"/>
    <w:rsid w:val="00C456BC"/>
    <w:rsid w:val="00C459FE"/>
    <w:rsid w:val="00C45AA0"/>
    <w:rsid w:val="00C45EDE"/>
    <w:rsid w:val="00C46077"/>
    <w:rsid w:val="00C46123"/>
    <w:rsid w:val="00C4613B"/>
    <w:rsid w:val="00C46328"/>
    <w:rsid w:val="00C463B3"/>
    <w:rsid w:val="00C46453"/>
    <w:rsid w:val="00C467C3"/>
    <w:rsid w:val="00C4682C"/>
    <w:rsid w:val="00C4683D"/>
    <w:rsid w:val="00C46960"/>
    <w:rsid w:val="00C46C31"/>
    <w:rsid w:val="00C46CC8"/>
    <w:rsid w:val="00C46E07"/>
    <w:rsid w:val="00C47439"/>
    <w:rsid w:val="00C479EF"/>
    <w:rsid w:val="00C47B1E"/>
    <w:rsid w:val="00C47BB7"/>
    <w:rsid w:val="00C47DCB"/>
    <w:rsid w:val="00C47ED0"/>
    <w:rsid w:val="00C47FC1"/>
    <w:rsid w:val="00C5015C"/>
    <w:rsid w:val="00C504BF"/>
    <w:rsid w:val="00C50721"/>
    <w:rsid w:val="00C509E2"/>
    <w:rsid w:val="00C50B62"/>
    <w:rsid w:val="00C50BE9"/>
    <w:rsid w:val="00C50E58"/>
    <w:rsid w:val="00C514B0"/>
    <w:rsid w:val="00C51515"/>
    <w:rsid w:val="00C515A1"/>
    <w:rsid w:val="00C51607"/>
    <w:rsid w:val="00C517F5"/>
    <w:rsid w:val="00C517FF"/>
    <w:rsid w:val="00C5191A"/>
    <w:rsid w:val="00C51954"/>
    <w:rsid w:val="00C519D8"/>
    <w:rsid w:val="00C51B8D"/>
    <w:rsid w:val="00C51B95"/>
    <w:rsid w:val="00C51D76"/>
    <w:rsid w:val="00C51E25"/>
    <w:rsid w:val="00C51FAD"/>
    <w:rsid w:val="00C5201D"/>
    <w:rsid w:val="00C52037"/>
    <w:rsid w:val="00C52096"/>
    <w:rsid w:val="00C5218E"/>
    <w:rsid w:val="00C52216"/>
    <w:rsid w:val="00C52306"/>
    <w:rsid w:val="00C524C9"/>
    <w:rsid w:val="00C52A6D"/>
    <w:rsid w:val="00C52B16"/>
    <w:rsid w:val="00C52CE9"/>
    <w:rsid w:val="00C52D44"/>
    <w:rsid w:val="00C52E01"/>
    <w:rsid w:val="00C52EFB"/>
    <w:rsid w:val="00C53531"/>
    <w:rsid w:val="00C5358E"/>
    <w:rsid w:val="00C53A55"/>
    <w:rsid w:val="00C53B2B"/>
    <w:rsid w:val="00C53C94"/>
    <w:rsid w:val="00C53E10"/>
    <w:rsid w:val="00C53EFF"/>
    <w:rsid w:val="00C5402C"/>
    <w:rsid w:val="00C549E9"/>
    <w:rsid w:val="00C54C1E"/>
    <w:rsid w:val="00C54E66"/>
    <w:rsid w:val="00C55266"/>
    <w:rsid w:val="00C55290"/>
    <w:rsid w:val="00C55464"/>
    <w:rsid w:val="00C55572"/>
    <w:rsid w:val="00C55BB3"/>
    <w:rsid w:val="00C55CF9"/>
    <w:rsid w:val="00C55D12"/>
    <w:rsid w:val="00C55DB6"/>
    <w:rsid w:val="00C55F16"/>
    <w:rsid w:val="00C56197"/>
    <w:rsid w:val="00C5621B"/>
    <w:rsid w:val="00C56280"/>
    <w:rsid w:val="00C562C6"/>
    <w:rsid w:val="00C56393"/>
    <w:rsid w:val="00C56B18"/>
    <w:rsid w:val="00C56C9E"/>
    <w:rsid w:val="00C56CC2"/>
    <w:rsid w:val="00C56DB1"/>
    <w:rsid w:val="00C56E67"/>
    <w:rsid w:val="00C56E78"/>
    <w:rsid w:val="00C56FD9"/>
    <w:rsid w:val="00C5774B"/>
    <w:rsid w:val="00C5789D"/>
    <w:rsid w:val="00C57CA1"/>
    <w:rsid w:val="00C57D82"/>
    <w:rsid w:val="00C57EB9"/>
    <w:rsid w:val="00C57F7A"/>
    <w:rsid w:val="00C601B8"/>
    <w:rsid w:val="00C602E2"/>
    <w:rsid w:val="00C6037F"/>
    <w:rsid w:val="00C603AB"/>
    <w:rsid w:val="00C604EC"/>
    <w:rsid w:val="00C60694"/>
    <w:rsid w:val="00C607A6"/>
    <w:rsid w:val="00C60837"/>
    <w:rsid w:val="00C60A02"/>
    <w:rsid w:val="00C60EC5"/>
    <w:rsid w:val="00C61144"/>
    <w:rsid w:val="00C61248"/>
    <w:rsid w:val="00C61254"/>
    <w:rsid w:val="00C612E7"/>
    <w:rsid w:val="00C613E8"/>
    <w:rsid w:val="00C61609"/>
    <w:rsid w:val="00C61658"/>
    <w:rsid w:val="00C61928"/>
    <w:rsid w:val="00C61DD5"/>
    <w:rsid w:val="00C6200D"/>
    <w:rsid w:val="00C6216C"/>
    <w:rsid w:val="00C62600"/>
    <w:rsid w:val="00C62A28"/>
    <w:rsid w:val="00C62BF0"/>
    <w:rsid w:val="00C62EA5"/>
    <w:rsid w:val="00C6302F"/>
    <w:rsid w:val="00C63103"/>
    <w:rsid w:val="00C63464"/>
    <w:rsid w:val="00C6364B"/>
    <w:rsid w:val="00C6374A"/>
    <w:rsid w:val="00C638D7"/>
    <w:rsid w:val="00C63A0C"/>
    <w:rsid w:val="00C63ABD"/>
    <w:rsid w:val="00C63C7D"/>
    <w:rsid w:val="00C63C94"/>
    <w:rsid w:val="00C640DD"/>
    <w:rsid w:val="00C641B0"/>
    <w:rsid w:val="00C641ED"/>
    <w:rsid w:val="00C6428C"/>
    <w:rsid w:val="00C645D1"/>
    <w:rsid w:val="00C648B9"/>
    <w:rsid w:val="00C6497C"/>
    <w:rsid w:val="00C64C9E"/>
    <w:rsid w:val="00C65047"/>
    <w:rsid w:val="00C65102"/>
    <w:rsid w:val="00C65236"/>
    <w:rsid w:val="00C653A2"/>
    <w:rsid w:val="00C6562B"/>
    <w:rsid w:val="00C65B75"/>
    <w:rsid w:val="00C65E27"/>
    <w:rsid w:val="00C65EAF"/>
    <w:rsid w:val="00C66140"/>
    <w:rsid w:val="00C663F2"/>
    <w:rsid w:val="00C66495"/>
    <w:rsid w:val="00C664AE"/>
    <w:rsid w:val="00C665FB"/>
    <w:rsid w:val="00C668EB"/>
    <w:rsid w:val="00C66B35"/>
    <w:rsid w:val="00C66CA6"/>
    <w:rsid w:val="00C67224"/>
    <w:rsid w:val="00C67274"/>
    <w:rsid w:val="00C67374"/>
    <w:rsid w:val="00C673B5"/>
    <w:rsid w:val="00C679ED"/>
    <w:rsid w:val="00C67BDC"/>
    <w:rsid w:val="00C67F1D"/>
    <w:rsid w:val="00C67FED"/>
    <w:rsid w:val="00C701DA"/>
    <w:rsid w:val="00C701FD"/>
    <w:rsid w:val="00C7025A"/>
    <w:rsid w:val="00C702EF"/>
    <w:rsid w:val="00C704E6"/>
    <w:rsid w:val="00C705A5"/>
    <w:rsid w:val="00C705C0"/>
    <w:rsid w:val="00C7061F"/>
    <w:rsid w:val="00C7070B"/>
    <w:rsid w:val="00C70B86"/>
    <w:rsid w:val="00C70D69"/>
    <w:rsid w:val="00C70D75"/>
    <w:rsid w:val="00C70EEC"/>
    <w:rsid w:val="00C70EF1"/>
    <w:rsid w:val="00C70F98"/>
    <w:rsid w:val="00C710D3"/>
    <w:rsid w:val="00C7125A"/>
    <w:rsid w:val="00C71789"/>
    <w:rsid w:val="00C71922"/>
    <w:rsid w:val="00C71D81"/>
    <w:rsid w:val="00C71DCF"/>
    <w:rsid w:val="00C720FA"/>
    <w:rsid w:val="00C7230E"/>
    <w:rsid w:val="00C72732"/>
    <w:rsid w:val="00C727AD"/>
    <w:rsid w:val="00C72964"/>
    <w:rsid w:val="00C72B32"/>
    <w:rsid w:val="00C72CDF"/>
    <w:rsid w:val="00C72CE2"/>
    <w:rsid w:val="00C72E74"/>
    <w:rsid w:val="00C72EA0"/>
    <w:rsid w:val="00C72F48"/>
    <w:rsid w:val="00C7311A"/>
    <w:rsid w:val="00C7365D"/>
    <w:rsid w:val="00C738D4"/>
    <w:rsid w:val="00C73958"/>
    <w:rsid w:val="00C739B8"/>
    <w:rsid w:val="00C73A17"/>
    <w:rsid w:val="00C73BB2"/>
    <w:rsid w:val="00C73BEA"/>
    <w:rsid w:val="00C73C48"/>
    <w:rsid w:val="00C73CDD"/>
    <w:rsid w:val="00C73D24"/>
    <w:rsid w:val="00C73EB4"/>
    <w:rsid w:val="00C741C1"/>
    <w:rsid w:val="00C741FF"/>
    <w:rsid w:val="00C742FD"/>
    <w:rsid w:val="00C7448F"/>
    <w:rsid w:val="00C747C1"/>
    <w:rsid w:val="00C749BE"/>
    <w:rsid w:val="00C74D6E"/>
    <w:rsid w:val="00C74D87"/>
    <w:rsid w:val="00C74DCF"/>
    <w:rsid w:val="00C75021"/>
    <w:rsid w:val="00C759BC"/>
    <w:rsid w:val="00C75B33"/>
    <w:rsid w:val="00C75C35"/>
    <w:rsid w:val="00C75F1B"/>
    <w:rsid w:val="00C7601E"/>
    <w:rsid w:val="00C761FD"/>
    <w:rsid w:val="00C7649C"/>
    <w:rsid w:val="00C764D4"/>
    <w:rsid w:val="00C764E9"/>
    <w:rsid w:val="00C764F3"/>
    <w:rsid w:val="00C765C3"/>
    <w:rsid w:val="00C76773"/>
    <w:rsid w:val="00C767C9"/>
    <w:rsid w:val="00C768E7"/>
    <w:rsid w:val="00C76C59"/>
    <w:rsid w:val="00C76D80"/>
    <w:rsid w:val="00C772CA"/>
    <w:rsid w:val="00C774F7"/>
    <w:rsid w:val="00C77596"/>
    <w:rsid w:val="00C77DF0"/>
    <w:rsid w:val="00C77DF3"/>
    <w:rsid w:val="00C77ECE"/>
    <w:rsid w:val="00C77F83"/>
    <w:rsid w:val="00C80133"/>
    <w:rsid w:val="00C80549"/>
    <w:rsid w:val="00C8079C"/>
    <w:rsid w:val="00C809B1"/>
    <w:rsid w:val="00C809F9"/>
    <w:rsid w:val="00C80C76"/>
    <w:rsid w:val="00C80CE3"/>
    <w:rsid w:val="00C80CEA"/>
    <w:rsid w:val="00C80DA5"/>
    <w:rsid w:val="00C8135F"/>
    <w:rsid w:val="00C81461"/>
    <w:rsid w:val="00C81667"/>
    <w:rsid w:val="00C816AD"/>
    <w:rsid w:val="00C817FB"/>
    <w:rsid w:val="00C8189F"/>
    <w:rsid w:val="00C81A97"/>
    <w:rsid w:val="00C81D06"/>
    <w:rsid w:val="00C81D8F"/>
    <w:rsid w:val="00C81E7E"/>
    <w:rsid w:val="00C82187"/>
    <w:rsid w:val="00C825A6"/>
    <w:rsid w:val="00C8293B"/>
    <w:rsid w:val="00C82A89"/>
    <w:rsid w:val="00C82BB9"/>
    <w:rsid w:val="00C82DF5"/>
    <w:rsid w:val="00C83063"/>
    <w:rsid w:val="00C830EA"/>
    <w:rsid w:val="00C838CB"/>
    <w:rsid w:val="00C83F0C"/>
    <w:rsid w:val="00C84127"/>
    <w:rsid w:val="00C84172"/>
    <w:rsid w:val="00C841F1"/>
    <w:rsid w:val="00C84216"/>
    <w:rsid w:val="00C8454C"/>
    <w:rsid w:val="00C8455E"/>
    <w:rsid w:val="00C84885"/>
    <w:rsid w:val="00C84D2E"/>
    <w:rsid w:val="00C84DB6"/>
    <w:rsid w:val="00C84F6B"/>
    <w:rsid w:val="00C851EB"/>
    <w:rsid w:val="00C85247"/>
    <w:rsid w:val="00C85629"/>
    <w:rsid w:val="00C8572E"/>
    <w:rsid w:val="00C85734"/>
    <w:rsid w:val="00C85880"/>
    <w:rsid w:val="00C85AE2"/>
    <w:rsid w:val="00C85D6A"/>
    <w:rsid w:val="00C85D7E"/>
    <w:rsid w:val="00C85DCD"/>
    <w:rsid w:val="00C86166"/>
    <w:rsid w:val="00C861F5"/>
    <w:rsid w:val="00C862DC"/>
    <w:rsid w:val="00C865C5"/>
    <w:rsid w:val="00C865CE"/>
    <w:rsid w:val="00C865F1"/>
    <w:rsid w:val="00C86810"/>
    <w:rsid w:val="00C8690C"/>
    <w:rsid w:val="00C86BDA"/>
    <w:rsid w:val="00C86DA5"/>
    <w:rsid w:val="00C86F60"/>
    <w:rsid w:val="00C8714C"/>
    <w:rsid w:val="00C8748B"/>
    <w:rsid w:val="00C87575"/>
    <w:rsid w:val="00C876F2"/>
    <w:rsid w:val="00C87818"/>
    <w:rsid w:val="00C878F0"/>
    <w:rsid w:val="00C87CCD"/>
    <w:rsid w:val="00C87D30"/>
    <w:rsid w:val="00C87F6E"/>
    <w:rsid w:val="00C9003E"/>
    <w:rsid w:val="00C90288"/>
    <w:rsid w:val="00C906EB"/>
    <w:rsid w:val="00C9075C"/>
    <w:rsid w:val="00C90814"/>
    <w:rsid w:val="00C90860"/>
    <w:rsid w:val="00C9094E"/>
    <w:rsid w:val="00C909C4"/>
    <w:rsid w:val="00C90BE6"/>
    <w:rsid w:val="00C90D80"/>
    <w:rsid w:val="00C90DB1"/>
    <w:rsid w:val="00C90EE5"/>
    <w:rsid w:val="00C90F17"/>
    <w:rsid w:val="00C90F7E"/>
    <w:rsid w:val="00C90FC0"/>
    <w:rsid w:val="00C91064"/>
    <w:rsid w:val="00C91208"/>
    <w:rsid w:val="00C91389"/>
    <w:rsid w:val="00C9141F"/>
    <w:rsid w:val="00C91518"/>
    <w:rsid w:val="00C91551"/>
    <w:rsid w:val="00C91627"/>
    <w:rsid w:val="00C91658"/>
    <w:rsid w:val="00C91725"/>
    <w:rsid w:val="00C91907"/>
    <w:rsid w:val="00C91A1D"/>
    <w:rsid w:val="00C91C1E"/>
    <w:rsid w:val="00C91D0C"/>
    <w:rsid w:val="00C91D87"/>
    <w:rsid w:val="00C9203C"/>
    <w:rsid w:val="00C920E6"/>
    <w:rsid w:val="00C922DE"/>
    <w:rsid w:val="00C92332"/>
    <w:rsid w:val="00C927BF"/>
    <w:rsid w:val="00C9284F"/>
    <w:rsid w:val="00C92A38"/>
    <w:rsid w:val="00C92B47"/>
    <w:rsid w:val="00C92C4E"/>
    <w:rsid w:val="00C92D17"/>
    <w:rsid w:val="00C93311"/>
    <w:rsid w:val="00C9339D"/>
    <w:rsid w:val="00C93439"/>
    <w:rsid w:val="00C93571"/>
    <w:rsid w:val="00C93702"/>
    <w:rsid w:val="00C937ED"/>
    <w:rsid w:val="00C9387A"/>
    <w:rsid w:val="00C93A23"/>
    <w:rsid w:val="00C93A65"/>
    <w:rsid w:val="00C93AB5"/>
    <w:rsid w:val="00C93AFB"/>
    <w:rsid w:val="00C93B1A"/>
    <w:rsid w:val="00C93F2B"/>
    <w:rsid w:val="00C9446C"/>
    <w:rsid w:val="00C9448B"/>
    <w:rsid w:val="00C9452A"/>
    <w:rsid w:val="00C945B9"/>
    <w:rsid w:val="00C946F0"/>
    <w:rsid w:val="00C946F5"/>
    <w:rsid w:val="00C9483E"/>
    <w:rsid w:val="00C949AB"/>
    <w:rsid w:val="00C94D61"/>
    <w:rsid w:val="00C94E5A"/>
    <w:rsid w:val="00C94EF2"/>
    <w:rsid w:val="00C94FD7"/>
    <w:rsid w:val="00C95142"/>
    <w:rsid w:val="00C953B8"/>
    <w:rsid w:val="00C954DF"/>
    <w:rsid w:val="00C955EF"/>
    <w:rsid w:val="00C9561D"/>
    <w:rsid w:val="00C9591D"/>
    <w:rsid w:val="00C9599F"/>
    <w:rsid w:val="00C95AF4"/>
    <w:rsid w:val="00C95B8B"/>
    <w:rsid w:val="00C95CC8"/>
    <w:rsid w:val="00C95D22"/>
    <w:rsid w:val="00C95DAF"/>
    <w:rsid w:val="00C95F1D"/>
    <w:rsid w:val="00C95FC7"/>
    <w:rsid w:val="00C95FD4"/>
    <w:rsid w:val="00C96055"/>
    <w:rsid w:val="00C963BD"/>
    <w:rsid w:val="00C96502"/>
    <w:rsid w:val="00C96559"/>
    <w:rsid w:val="00C967CE"/>
    <w:rsid w:val="00C968FE"/>
    <w:rsid w:val="00C96B24"/>
    <w:rsid w:val="00C96E4A"/>
    <w:rsid w:val="00C96E99"/>
    <w:rsid w:val="00C96F0D"/>
    <w:rsid w:val="00C972D7"/>
    <w:rsid w:val="00C975B7"/>
    <w:rsid w:val="00C976E3"/>
    <w:rsid w:val="00C9793C"/>
    <w:rsid w:val="00C97AEB"/>
    <w:rsid w:val="00C97BE9"/>
    <w:rsid w:val="00C97FF3"/>
    <w:rsid w:val="00CA012F"/>
    <w:rsid w:val="00CA027D"/>
    <w:rsid w:val="00CA05A5"/>
    <w:rsid w:val="00CA05F2"/>
    <w:rsid w:val="00CA0A36"/>
    <w:rsid w:val="00CA0A8C"/>
    <w:rsid w:val="00CA0BF9"/>
    <w:rsid w:val="00CA0C03"/>
    <w:rsid w:val="00CA0DBF"/>
    <w:rsid w:val="00CA0E87"/>
    <w:rsid w:val="00CA1342"/>
    <w:rsid w:val="00CA1456"/>
    <w:rsid w:val="00CA177B"/>
    <w:rsid w:val="00CA1A50"/>
    <w:rsid w:val="00CA1C42"/>
    <w:rsid w:val="00CA1CDB"/>
    <w:rsid w:val="00CA22AB"/>
    <w:rsid w:val="00CA2361"/>
    <w:rsid w:val="00CA2483"/>
    <w:rsid w:val="00CA252D"/>
    <w:rsid w:val="00CA257C"/>
    <w:rsid w:val="00CA25A1"/>
    <w:rsid w:val="00CA25A5"/>
    <w:rsid w:val="00CA2637"/>
    <w:rsid w:val="00CA2963"/>
    <w:rsid w:val="00CA2CF9"/>
    <w:rsid w:val="00CA2D0E"/>
    <w:rsid w:val="00CA322A"/>
    <w:rsid w:val="00CA329B"/>
    <w:rsid w:val="00CA3551"/>
    <w:rsid w:val="00CA35D1"/>
    <w:rsid w:val="00CA37A8"/>
    <w:rsid w:val="00CA3914"/>
    <w:rsid w:val="00CA39E2"/>
    <w:rsid w:val="00CA3B82"/>
    <w:rsid w:val="00CA40CB"/>
    <w:rsid w:val="00CA439C"/>
    <w:rsid w:val="00CA4629"/>
    <w:rsid w:val="00CA4C0B"/>
    <w:rsid w:val="00CA4E0C"/>
    <w:rsid w:val="00CA5076"/>
    <w:rsid w:val="00CA543D"/>
    <w:rsid w:val="00CA54B1"/>
    <w:rsid w:val="00CA5548"/>
    <w:rsid w:val="00CA559B"/>
    <w:rsid w:val="00CA560D"/>
    <w:rsid w:val="00CA5709"/>
    <w:rsid w:val="00CA576B"/>
    <w:rsid w:val="00CA57D6"/>
    <w:rsid w:val="00CA5906"/>
    <w:rsid w:val="00CA59E0"/>
    <w:rsid w:val="00CA5A68"/>
    <w:rsid w:val="00CA5B11"/>
    <w:rsid w:val="00CA5B9A"/>
    <w:rsid w:val="00CA5C7C"/>
    <w:rsid w:val="00CA5D61"/>
    <w:rsid w:val="00CA614B"/>
    <w:rsid w:val="00CA617D"/>
    <w:rsid w:val="00CA62B6"/>
    <w:rsid w:val="00CA63E6"/>
    <w:rsid w:val="00CA64E6"/>
    <w:rsid w:val="00CA650C"/>
    <w:rsid w:val="00CA65F6"/>
    <w:rsid w:val="00CA6733"/>
    <w:rsid w:val="00CA6790"/>
    <w:rsid w:val="00CA684C"/>
    <w:rsid w:val="00CA6970"/>
    <w:rsid w:val="00CA6B26"/>
    <w:rsid w:val="00CA6BA8"/>
    <w:rsid w:val="00CA6EAC"/>
    <w:rsid w:val="00CA76CB"/>
    <w:rsid w:val="00CA7719"/>
    <w:rsid w:val="00CA7955"/>
    <w:rsid w:val="00CA7994"/>
    <w:rsid w:val="00CA7ECB"/>
    <w:rsid w:val="00CA7EEF"/>
    <w:rsid w:val="00CB0031"/>
    <w:rsid w:val="00CB09C3"/>
    <w:rsid w:val="00CB09DE"/>
    <w:rsid w:val="00CB0B4D"/>
    <w:rsid w:val="00CB0B5E"/>
    <w:rsid w:val="00CB0BD6"/>
    <w:rsid w:val="00CB0D28"/>
    <w:rsid w:val="00CB15EF"/>
    <w:rsid w:val="00CB167C"/>
    <w:rsid w:val="00CB1841"/>
    <w:rsid w:val="00CB1982"/>
    <w:rsid w:val="00CB1B24"/>
    <w:rsid w:val="00CB1B71"/>
    <w:rsid w:val="00CB1BD8"/>
    <w:rsid w:val="00CB1BE7"/>
    <w:rsid w:val="00CB1D2F"/>
    <w:rsid w:val="00CB1DF6"/>
    <w:rsid w:val="00CB1F89"/>
    <w:rsid w:val="00CB28F8"/>
    <w:rsid w:val="00CB2A10"/>
    <w:rsid w:val="00CB2A63"/>
    <w:rsid w:val="00CB2B9E"/>
    <w:rsid w:val="00CB2DE0"/>
    <w:rsid w:val="00CB3109"/>
    <w:rsid w:val="00CB3610"/>
    <w:rsid w:val="00CB381C"/>
    <w:rsid w:val="00CB3AF5"/>
    <w:rsid w:val="00CB3BC0"/>
    <w:rsid w:val="00CB3E7D"/>
    <w:rsid w:val="00CB404A"/>
    <w:rsid w:val="00CB40AE"/>
    <w:rsid w:val="00CB423E"/>
    <w:rsid w:val="00CB424F"/>
    <w:rsid w:val="00CB44C1"/>
    <w:rsid w:val="00CB44DD"/>
    <w:rsid w:val="00CB44E5"/>
    <w:rsid w:val="00CB4716"/>
    <w:rsid w:val="00CB475D"/>
    <w:rsid w:val="00CB483D"/>
    <w:rsid w:val="00CB4AE4"/>
    <w:rsid w:val="00CB4C53"/>
    <w:rsid w:val="00CB4CA6"/>
    <w:rsid w:val="00CB5063"/>
    <w:rsid w:val="00CB52AC"/>
    <w:rsid w:val="00CB5530"/>
    <w:rsid w:val="00CB56F5"/>
    <w:rsid w:val="00CB575E"/>
    <w:rsid w:val="00CB5DE1"/>
    <w:rsid w:val="00CB5DF7"/>
    <w:rsid w:val="00CB608F"/>
    <w:rsid w:val="00CB6541"/>
    <w:rsid w:val="00CB667E"/>
    <w:rsid w:val="00CB668C"/>
    <w:rsid w:val="00CB686C"/>
    <w:rsid w:val="00CB6A41"/>
    <w:rsid w:val="00CB6B21"/>
    <w:rsid w:val="00CB6CF5"/>
    <w:rsid w:val="00CB6D7A"/>
    <w:rsid w:val="00CB6DBF"/>
    <w:rsid w:val="00CB6FED"/>
    <w:rsid w:val="00CB6FF9"/>
    <w:rsid w:val="00CB719E"/>
    <w:rsid w:val="00CB74BD"/>
    <w:rsid w:val="00CB754A"/>
    <w:rsid w:val="00CB771A"/>
    <w:rsid w:val="00CB7937"/>
    <w:rsid w:val="00CB794C"/>
    <w:rsid w:val="00CB7979"/>
    <w:rsid w:val="00CB7A2A"/>
    <w:rsid w:val="00CB7B1E"/>
    <w:rsid w:val="00CB7C6B"/>
    <w:rsid w:val="00CB7F76"/>
    <w:rsid w:val="00CC01CB"/>
    <w:rsid w:val="00CC0293"/>
    <w:rsid w:val="00CC0526"/>
    <w:rsid w:val="00CC0876"/>
    <w:rsid w:val="00CC0C68"/>
    <w:rsid w:val="00CC0F82"/>
    <w:rsid w:val="00CC11D7"/>
    <w:rsid w:val="00CC11E8"/>
    <w:rsid w:val="00CC12D6"/>
    <w:rsid w:val="00CC147B"/>
    <w:rsid w:val="00CC1619"/>
    <w:rsid w:val="00CC1653"/>
    <w:rsid w:val="00CC1757"/>
    <w:rsid w:val="00CC1824"/>
    <w:rsid w:val="00CC1930"/>
    <w:rsid w:val="00CC1A98"/>
    <w:rsid w:val="00CC1C03"/>
    <w:rsid w:val="00CC1C3D"/>
    <w:rsid w:val="00CC200D"/>
    <w:rsid w:val="00CC2104"/>
    <w:rsid w:val="00CC21B5"/>
    <w:rsid w:val="00CC2320"/>
    <w:rsid w:val="00CC239E"/>
    <w:rsid w:val="00CC2499"/>
    <w:rsid w:val="00CC2980"/>
    <w:rsid w:val="00CC2AFB"/>
    <w:rsid w:val="00CC2B9E"/>
    <w:rsid w:val="00CC2D83"/>
    <w:rsid w:val="00CC2DDD"/>
    <w:rsid w:val="00CC2F56"/>
    <w:rsid w:val="00CC31F6"/>
    <w:rsid w:val="00CC3627"/>
    <w:rsid w:val="00CC363E"/>
    <w:rsid w:val="00CC367F"/>
    <w:rsid w:val="00CC398B"/>
    <w:rsid w:val="00CC3A76"/>
    <w:rsid w:val="00CC3BAD"/>
    <w:rsid w:val="00CC3CC6"/>
    <w:rsid w:val="00CC3FE9"/>
    <w:rsid w:val="00CC4075"/>
    <w:rsid w:val="00CC420C"/>
    <w:rsid w:val="00CC431E"/>
    <w:rsid w:val="00CC4336"/>
    <w:rsid w:val="00CC43F5"/>
    <w:rsid w:val="00CC4450"/>
    <w:rsid w:val="00CC44C9"/>
    <w:rsid w:val="00CC44FA"/>
    <w:rsid w:val="00CC47DC"/>
    <w:rsid w:val="00CC4808"/>
    <w:rsid w:val="00CC4995"/>
    <w:rsid w:val="00CC499A"/>
    <w:rsid w:val="00CC4A9F"/>
    <w:rsid w:val="00CC4BD0"/>
    <w:rsid w:val="00CC4BE7"/>
    <w:rsid w:val="00CC4C48"/>
    <w:rsid w:val="00CC4E67"/>
    <w:rsid w:val="00CC4E70"/>
    <w:rsid w:val="00CC50B6"/>
    <w:rsid w:val="00CC51B0"/>
    <w:rsid w:val="00CC5378"/>
    <w:rsid w:val="00CC5425"/>
    <w:rsid w:val="00CC5482"/>
    <w:rsid w:val="00CC561D"/>
    <w:rsid w:val="00CC5AFF"/>
    <w:rsid w:val="00CC5BB3"/>
    <w:rsid w:val="00CC5D0D"/>
    <w:rsid w:val="00CC6201"/>
    <w:rsid w:val="00CC641D"/>
    <w:rsid w:val="00CC6465"/>
    <w:rsid w:val="00CC656B"/>
    <w:rsid w:val="00CC65BC"/>
    <w:rsid w:val="00CC675F"/>
    <w:rsid w:val="00CC6B43"/>
    <w:rsid w:val="00CC6BEE"/>
    <w:rsid w:val="00CC6E70"/>
    <w:rsid w:val="00CC6FC3"/>
    <w:rsid w:val="00CC73EE"/>
    <w:rsid w:val="00CC747B"/>
    <w:rsid w:val="00CC74FE"/>
    <w:rsid w:val="00CC76CB"/>
    <w:rsid w:val="00CC7AC9"/>
    <w:rsid w:val="00CD027B"/>
    <w:rsid w:val="00CD047A"/>
    <w:rsid w:val="00CD049C"/>
    <w:rsid w:val="00CD04CF"/>
    <w:rsid w:val="00CD0B9F"/>
    <w:rsid w:val="00CD0BA3"/>
    <w:rsid w:val="00CD0C20"/>
    <w:rsid w:val="00CD0C22"/>
    <w:rsid w:val="00CD0CDB"/>
    <w:rsid w:val="00CD0EAF"/>
    <w:rsid w:val="00CD0FF3"/>
    <w:rsid w:val="00CD1424"/>
    <w:rsid w:val="00CD167E"/>
    <w:rsid w:val="00CD1826"/>
    <w:rsid w:val="00CD1A6B"/>
    <w:rsid w:val="00CD1A9E"/>
    <w:rsid w:val="00CD1BED"/>
    <w:rsid w:val="00CD1D02"/>
    <w:rsid w:val="00CD1E46"/>
    <w:rsid w:val="00CD1F00"/>
    <w:rsid w:val="00CD27F1"/>
    <w:rsid w:val="00CD2A3A"/>
    <w:rsid w:val="00CD2B9C"/>
    <w:rsid w:val="00CD2E59"/>
    <w:rsid w:val="00CD30BB"/>
    <w:rsid w:val="00CD3243"/>
    <w:rsid w:val="00CD3268"/>
    <w:rsid w:val="00CD3338"/>
    <w:rsid w:val="00CD3B5C"/>
    <w:rsid w:val="00CD3BE4"/>
    <w:rsid w:val="00CD3CA1"/>
    <w:rsid w:val="00CD3DDE"/>
    <w:rsid w:val="00CD411F"/>
    <w:rsid w:val="00CD42E1"/>
    <w:rsid w:val="00CD437D"/>
    <w:rsid w:val="00CD43A0"/>
    <w:rsid w:val="00CD46D8"/>
    <w:rsid w:val="00CD46F3"/>
    <w:rsid w:val="00CD4832"/>
    <w:rsid w:val="00CD498A"/>
    <w:rsid w:val="00CD49B6"/>
    <w:rsid w:val="00CD4DA3"/>
    <w:rsid w:val="00CD4E4A"/>
    <w:rsid w:val="00CD507C"/>
    <w:rsid w:val="00CD5098"/>
    <w:rsid w:val="00CD50D6"/>
    <w:rsid w:val="00CD51F0"/>
    <w:rsid w:val="00CD53F3"/>
    <w:rsid w:val="00CD5447"/>
    <w:rsid w:val="00CD54C6"/>
    <w:rsid w:val="00CD5AEE"/>
    <w:rsid w:val="00CD5DC7"/>
    <w:rsid w:val="00CD5F29"/>
    <w:rsid w:val="00CD6035"/>
    <w:rsid w:val="00CD61BA"/>
    <w:rsid w:val="00CD61D8"/>
    <w:rsid w:val="00CD6201"/>
    <w:rsid w:val="00CD6318"/>
    <w:rsid w:val="00CD6459"/>
    <w:rsid w:val="00CD680B"/>
    <w:rsid w:val="00CD6AF5"/>
    <w:rsid w:val="00CD728C"/>
    <w:rsid w:val="00CD7391"/>
    <w:rsid w:val="00CD7829"/>
    <w:rsid w:val="00CD78E0"/>
    <w:rsid w:val="00CD79D8"/>
    <w:rsid w:val="00CD7A4D"/>
    <w:rsid w:val="00CD7C24"/>
    <w:rsid w:val="00CD7C71"/>
    <w:rsid w:val="00CE06CA"/>
    <w:rsid w:val="00CE0873"/>
    <w:rsid w:val="00CE0995"/>
    <w:rsid w:val="00CE0D2A"/>
    <w:rsid w:val="00CE0DA4"/>
    <w:rsid w:val="00CE0F50"/>
    <w:rsid w:val="00CE1008"/>
    <w:rsid w:val="00CE1051"/>
    <w:rsid w:val="00CE118A"/>
    <w:rsid w:val="00CE1646"/>
    <w:rsid w:val="00CE1693"/>
    <w:rsid w:val="00CE1AE9"/>
    <w:rsid w:val="00CE1B66"/>
    <w:rsid w:val="00CE1C78"/>
    <w:rsid w:val="00CE1ECE"/>
    <w:rsid w:val="00CE20E6"/>
    <w:rsid w:val="00CE2264"/>
    <w:rsid w:val="00CE233C"/>
    <w:rsid w:val="00CE247E"/>
    <w:rsid w:val="00CE2778"/>
    <w:rsid w:val="00CE2993"/>
    <w:rsid w:val="00CE2C04"/>
    <w:rsid w:val="00CE2C98"/>
    <w:rsid w:val="00CE2DC8"/>
    <w:rsid w:val="00CE3403"/>
    <w:rsid w:val="00CE36E0"/>
    <w:rsid w:val="00CE36F9"/>
    <w:rsid w:val="00CE375B"/>
    <w:rsid w:val="00CE3816"/>
    <w:rsid w:val="00CE3989"/>
    <w:rsid w:val="00CE3B15"/>
    <w:rsid w:val="00CE3B94"/>
    <w:rsid w:val="00CE3E10"/>
    <w:rsid w:val="00CE3F53"/>
    <w:rsid w:val="00CE40E9"/>
    <w:rsid w:val="00CE4109"/>
    <w:rsid w:val="00CE43B9"/>
    <w:rsid w:val="00CE46F5"/>
    <w:rsid w:val="00CE4842"/>
    <w:rsid w:val="00CE48B4"/>
    <w:rsid w:val="00CE4A7B"/>
    <w:rsid w:val="00CE4A87"/>
    <w:rsid w:val="00CE4C5E"/>
    <w:rsid w:val="00CE513D"/>
    <w:rsid w:val="00CE5664"/>
    <w:rsid w:val="00CE5968"/>
    <w:rsid w:val="00CE597D"/>
    <w:rsid w:val="00CE5FB2"/>
    <w:rsid w:val="00CE6018"/>
    <w:rsid w:val="00CE61C7"/>
    <w:rsid w:val="00CE62BF"/>
    <w:rsid w:val="00CE6376"/>
    <w:rsid w:val="00CE63CC"/>
    <w:rsid w:val="00CE63E7"/>
    <w:rsid w:val="00CE669E"/>
    <w:rsid w:val="00CE6754"/>
    <w:rsid w:val="00CE696B"/>
    <w:rsid w:val="00CE6AB4"/>
    <w:rsid w:val="00CE6B0D"/>
    <w:rsid w:val="00CE6BE3"/>
    <w:rsid w:val="00CE6DD8"/>
    <w:rsid w:val="00CE71CA"/>
    <w:rsid w:val="00CE722B"/>
    <w:rsid w:val="00CE72F6"/>
    <w:rsid w:val="00CE730B"/>
    <w:rsid w:val="00CE73F4"/>
    <w:rsid w:val="00CE7459"/>
    <w:rsid w:val="00CE754B"/>
    <w:rsid w:val="00CE77B4"/>
    <w:rsid w:val="00CE7B36"/>
    <w:rsid w:val="00CE7D78"/>
    <w:rsid w:val="00CE7E8C"/>
    <w:rsid w:val="00CF0223"/>
    <w:rsid w:val="00CF0505"/>
    <w:rsid w:val="00CF07D3"/>
    <w:rsid w:val="00CF0815"/>
    <w:rsid w:val="00CF083B"/>
    <w:rsid w:val="00CF09EF"/>
    <w:rsid w:val="00CF0C11"/>
    <w:rsid w:val="00CF0E25"/>
    <w:rsid w:val="00CF1079"/>
    <w:rsid w:val="00CF1266"/>
    <w:rsid w:val="00CF126A"/>
    <w:rsid w:val="00CF130D"/>
    <w:rsid w:val="00CF14B2"/>
    <w:rsid w:val="00CF156E"/>
    <w:rsid w:val="00CF16AC"/>
    <w:rsid w:val="00CF181A"/>
    <w:rsid w:val="00CF190B"/>
    <w:rsid w:val="00CF1B9A"/>
    <w:rsid w:val="00CF1CC3"/>
    <w:rsid w:val="00CF1FB5"/>
    <w:rsid w:val="00CF219A"/>
    <w:rsid w:val="00CF2414"/>
    <w:rsid w:val="00CF2720"/>
    <w:rsid w:val="00CF27B8"/>
    <w:rsid w:val="00CF29A4"/>
    <w:rsid w:val="00CF2C0E"/>
    <w:rsid w:val="00CF2D08"/>
    <w:rsid w:val="00CF2E51"/>
    <w:rsid w:val="00CF2E57"/>
    <w:rsid w:val="00CF2FE0"/>
    <w:rsid w:val="00CF3047"/>
    <w:rsid w:val="00CF336D"/>
    <w:rsid w:val="00CF33EE"/>
    <w:rsid w:val="00CF3411"/>
    <w:rsid w:val="00CF356B"/>
    <w:rsid w:val="00CF384A"/>
    <w:rsid w:val="00CF3884"/>
    <w:rsid w:val="00CF3910"/>
    <w:rsid w:val="00CF3DD7"/>
    <w:rsid w:val="00CF411C"/>
    <w:rsid w:val="00CF4474"/>
    <w:rsid w:val="00CF4597"/>
    <w:rsid w:val="00CF465E"/>
    <w:rsid w:val="00CF47CE"/>
    <w:rsid w:val="00CF4821"/>
    <w:rsid w:val="00CF48CF"/>
    <w:rsid w:val="00CF4E77"/>
    <w:rsid w:val="00CF505B"/>
    <w:rsid w:val="00CF5272"/>
    <w:rsid w:val="00CF5819"/>
    <w:rsid w:val="00CF5A27"/>
    <w:rsid w:val="00CF5BF2"/>
    <w:rsid w:val="00CF5C82"/>
    <w:rsid w:val="00CF5DCF"/>
    <w:rsid w:val="00CF5E49"/>
    <w:rsid w:val="00CF612D"/>
    <w:rsid w:val="00CF645D"/>
    <w:rsid w:val="00CF6727"/>
    <w:rsid w:val="00CF6965"/>
    <w:rsid w:val="00CF6997"/>
    <w:rsid w:val="00CF6DD6"/>
    <w:rsid w:val="00CF6F0F"/>
    <w:rsid w:val="00CF6F98"/>
    <w:rsid w:val="00CF7084"/>
    <w:rsid w:val="00CF71B2"/>
    <w:rsid w:val="00CF73E9"/>
    <w:rsid w:val="00CF7B3B"/>
    <w:rsid w:val="00CF7EB6"/>
    <w:rsid w:val="00D00052"/>
    <w:rsid w:val="00D00061"/>
    <w:rsid w:val="00D0009E"/>
    <w:rsid w:val="00D0015F"/>
    <w:rsid w:val="00D001C7"/>
    <w:rsid w:val="00D0052E"/>
    <w:rsid w:val="00D00723"/>
    <w:rsid w:val="00D00A11"/>
    <w:rsid w:val="00D00BA4"/>
    <w:rsid w:val="00D00EB5"/>
    <w:rsid w:val="00D00EE3"/>
    <w:rsid w:val="00D00FA7"/>
    <w:rsid w:val="00D0107C"/>
    <w:rsid w:val="00D0124F"/>
    <w:rsid w:val="00D015B6"/>
    <w:rsid w:val="00D0160A"/>
    <w:rsid w:val="00D01747"/>
    <w:rsid w:val="00D017A3"/>
    <w:rsid w:val="00D0182B"/>
    <w:rsid w:val="00D01A56"/>
    <w:rsid w:val="00D01C30"/>
    <w:rsid w:val="00D01CCF"/>
    <w:rsid w:val="00D01E04"/>
    <w:rsid w:val="00D01E61"/>
    <w:rsid w:val="00D0207E"/>
    <w:rsid w:val="00D021BE"/>
    <w:rsid w:val="00D023AF"/>
    <w:rsid w:val="00D02693"/>
    <w:rsid w:val="00D02746"/>
    <w:rsid w:val="00D029E7"/>
    <w:rsid w:val="00D02A32"/>
    <w:rsid w:val="00D02D60"/>
    <w:rsid w:val="00D02F5A"/>
    <w:rsid w:val="00D03209"/>
    <w:rsid w:val="00D032CF"/>
    <w:rsid w:val="00D0364B"/>
    <w:rsid w:val="00D03F30"/>
    <w:rsid w:val="00D03F5C"/>
    <w:rsid w:val="00D0417E"/>
    <w:rsid w:val="00D041F6"/>
    <w:rsid w:val="00D04378"/>
    <w:rsid w:val="00D047F9"/>
    <w:rsid w:val="00D0483D"/>
    <w:rsid w:val="00D0488B"/>
    <w:rsid w:val="00D048A8"/>
    <w:rsid w:val="00D049C0"/>
    <w:rsid w:val="00D04A89"/>
    <w:rsid w:val="00D04AA2"/>
    <w:rsid w:val="00D04B4F"/>
    <w:rsid w:val="00D04BAB"/>
    <w:rsid w:val="00D04C71"/>
    <w:rsid w:val="00D04D16"/>
    <w:rsid w:val="00D04D89"/>
    <w:rsid w:val="00D05495"/>
    <w:rsid w:val="00D0566A"/>
    <w:rsid w:val="00D0590D"/>
    <w:rsid w:val="00D05AE0"/>
    <w:rsid w:val="00D05E07"/>
    <w:rsid w:val="00D05F17"/>
    <w:rsid w:val="00D05F25"/>
    <w:rsid w:val="00D05F34"/>
    <w:rsid w:val="00D05FD0"/>
    <w:rsid w:val="00D05FF0"/>
    <w:rsid w:val="00D06153"/>
    <w:rsid w:val="00D068BA"/>
    <w:rsid w:val="00D0693A"/>
    <w:rsid w:val="00D06F00"/>
    <w:rsid w:val="00D06FC8"/>
    <w:rsid w:val="00D07010"/>
    <w:rsid w:val="00D07013"/>
    <w:rsid w:val="00D0708C"/>
    <w:rsid w:val="00D073C6"/>
    <w:rsid w:val="00D073DF"/>
    <w:rsid w:val="00D074BF"/>
    <w:rsid w:val="00D075D3"/>
    <w:rsid w:val="00D078E0"/>
    <w:rsid w:val="00D079C2"/>
    <w:rsid w:val="00D079EF"/>
    <w:rsid w:val="00D10101"/>
    <w:rsid w:val="00D10217"/>
    <w:rsid w:val="00D102C1"/>
    <w:rsid w:val="00D103C2"/>
    <w:rsid w:val="00D10780"/>
    <w:rsid w:val="00D10850"/>
    <w:rsid w:val="00D108D3"/>
    <w:rsid w:val="00D10930"/>
    <w:rsid w:val="00D10F7C"/>
    <w:rsid w:val="00D110F0"/>
    <w:rsid w:val="00D11166"/>
    <w:rsid w:val="00D1129E"/>
    <w:rsid w:val="00D113D0"/>
    <w:rsid w:val="00D115E1"/>
    <w:rsid w:val="00D11753"/>
    <w:rsid w:val="00D11802"/>
    <w:rsid w:val="00D1182B"/>
    <w:rsid w:val="00D11838"/>
    <w:rsid w:val="00D11984"/>
    <w:rsid w:val="00D11E52"/>
    <w:rsid w:val="00D11F67"/>
    <w:rsid w:val="00D11F70"/>
    <w:rsid w:val="00D12183"/>
    <w:rsid w:val="00D12567"/>
    <w:rsid w:val="00D125B1"/>
    <w:rsid w:val="00D12E16"/>
    <w:rsid w:val="00D12E7E"/>
    <w:rsid w:val="00D12ED9"/>
    <w:rsid w:val="00D131F8"/>
    <w:rsid w:val="00D13212"/>
    <w:rsid w:val="00D136E5"/>
    <w:rsid w:val="00D13771"/>
    <w:rsid w:val="00D1378E"/>
    <w:rsid w:val="00D137D5"/>
    <w:rsid w:val="00D13966"/>
    <w:rsid w:val="00D13AA1"/>
    <w:rsid w:val="00D13AF6"/>
    <w:rsid w:val="00D13B8F"/>
    <w:rsid w:val="00D13C85"/>
    <w:rsid w:val="00D13E76"/>
    <w:rsid w:val="00D13EAE"/>
    <w:rsid w:val="00D13F2F"/>
    <w:rsid w:val="00D13FCC"/>
    <w:rsid w:val="00D14012"/>
    <w:rsid w:val="00D14101"/>
    <w:rsid w:val="00D141BE"/>
    <w:rsid w:val="00D14523"/>
    <w:rsid w:val="00D146DF"/>
    <w:rsid w:val="00D148F1"/>
    <w:rsid w:val="00D149C9"/>
    <w:rsid w:val="00D14A6F"/>
    <w:rsid w:val="00D14CCE"/>
    <w:rsid w:val="00D14D1F"/>
    <w:rsid w:val="00D14F39"/>
    <w:rsid w:val="00D14FF6"/>
    <w:rsid w:val="00D15090"/>
    <w:rsid w:val="00D150F0"/>
    <w:rsid w:val="00D151BD"/>
    <w:rsid w:val="00D1540D"/>
    <w:rsid w:val="00D15BDB"/>
    <w:rsid w:val="00D16732"/>
    <w:rsid w:val="00D16A7F"/>
    <w:rsid w:val="00D16F8B"/>
    <w:rsid w:val="00D1700D"/>
    <w:rsid w:val="00D17197"/>
    <w:rsid w:val="00D17269"/>
    <w:rsid w:val="00D178B9"/>
    <w:rsid w:val="00D179EA"/>
    <w:rsid w:val="00D17A9F"/>
    <w:rsid w:val="00D17B1A"/>
    <w:rsid w:val="00D17BFE"/>
    <w:rsid w:val="00D17D1B"/>
    <w:rsid w:val="00D17D98"/>
    <w:rsid w:val="00D203E4"/>
    <w:rsid w:val="00D206EB"/>
    <w:rsid w:val="00D20859"/>
    <w:rsid w:val="00D209E7"/>
    <w:rsid w:val="00D20ACE"/>
    <w:rsid w:val="00D20B2B"/>
    <w:rsid w:val="00D20E01"/>
    <w:rsid w:val="00D21309"/>
    <w:rsid w:val="00D213BC"/>
    <w:rsid w:val="00D2156A"/>
    <w:rsid w:val="00D21596"/>
    <w:rsid w:val="00D216D8"/>
    <w:rsid w:val="00D2175D"/>
    <w:rsid w:val="00D218F2"/>
    <w:rsid w:val="00D21A88"/>
    <w:rsid w:val="00D21B1E"/>
    <w:rsid w:val="00D21DAC"/>
    <w:rsid w:val="00D2201F"/>
    <w:rsid w:val="00D221F2"/>
    <w:rsid w:val="00D22393"/>
    <w:rsid w:val="00D22397"/>
    <w:rsid w:val="00D223B2"/>
    <w:rsid w:val="00D22442"/>
    <w:rsid w:val="00D224B1"/>
    <w:rsid w:val="00D224C5"/>
    <w:rsid w:val="00D22709"/>
    <w:rsid w:val="00D22992"/>
    <w:rsid w:val="00D229E5"/>
    <w:rsid w:val="00D22A6E"/>
    <w:rsid w:val="00D22D0C"/>
    <w:rsid w:val="00D22D1C"/>
    <w:rsid w:val="00D22FCE"/>
    <w:rsid w:val="00D2320E"/>
    <w:rsid w:val="00D232F6"/>
    <w:rsid w:val="00D23583"/>
    <w:rsid w:val="00D236B8"/>
    <w:rsid w:val="00D236F8"/>
    <w:rsid w:val="00D23934"/>
    <w:rsid w:val="00D23974"/>
    <w:rsid w:val="00D23A6F"/>
    <w:rsid w:val="00D23C48"/>
    <w:rsid w:val="00D23C93"/>
    <w:rsid w:val="00D241B8"/>
    <w:rsid w:val="00D243B6"/>
    <w:rsid w:val="00D24728"/>
    <w:rsid w:val="00D24755"/>
    <w:rsid w:val="00D24AD3"/>
    <w:rsid w:val="00D24B1A"/>
    <w:rsid w:val="00D24D7A"/>
    <w:rsid w:val="00D25009"/>
    <w:rsid w:val="00D25239"/>
    <w:rsid w:val="00D252D1"/>
    <w:rsid w:val="00D252FD"/>
    <w:rsid w:val="00D2557F"/>
    <w:rsid w:val="00D2593C"/>
    <w:rsid w:val="00D25A18"/>
    <w:rsid w:val="00D25B94"/>
    <w:rsid w:val="00D25D05"/>
    <w:rsid w:val="00D25D47"/>
    <w:rsid w:val="00D26066"/>
    <w:rsid w:val="00D26256"/>
    <w:rsid w:val="00D2628B"/>
    <w:rsid w:val="00D267FA"/>
    <w:rsid w:val="00D27005"/>
    <w:rsid w:val="00D2701F"/>
    <w:rsid w:val="00D27383"/>
    <w:rsid w:val="00D27500"/>
    <w:rsid w:val="00D275E3"/>
    <w:rsid w:val="00D277EF"/>
    <w:rsid w:val="00D27870"/>
    <w:rsid w:val="00D27AC9"/>
    <w:rsid w:val="00D30039"/>
    <w:rsid w:val="00D30044"/>
    <w:rsid w:val="00D300DA"/>
    <w:rsid w:val="00D301D7"/>
    <w:rsid w:val="00D30623"/>
    <w:rsid w:val="00D3063C"/>
    <w:rsid w:val="00D306D3"/>
    <w:rsid w:val="00D3071D"/>
    <w:rsid w:val="00D30980"/>
    <w:rsid w:val="00D30B1D"/>
    <w:rsid w:val="00D30D9C"/>
    <w:rsid w:val="00D311CC"/>
    <w:rsid w:val="00D312AC"/>
    <w:rsid w:val="00D3134A"/>
    <w:rsid w:val="00D313E8"/>
    <w:rsid w:val="00D3148D"/>
    <w:rsid w:val="00D31C72"/>
    <w:rsid w:val="00D31D86"/>
    <w:rsid w:val="00D31E91"/>
    <w:rsid w:val="00D31EB0"/>
    <w:rsid w:val="00D320FD"/>
    <w:rsid w:val="00D3215F"/>
    <w:rsid w:val="00D32928"/>
    <w:rsid w:val="00D32A0C"/>
    <w:rsid w:val="00D32ABD"/>
    <w:rsid w:val="00D32C67"/>
    <w:rsid w:val="00D32FC5"/>
    <w:rsid w:val="00D3313D"/>
    <w:rsid w:val="00D331B2"/>
    <w:rsid w:val="00D33451"/>
    <w:rsid w:val="00D335AE"/>
    <w:rsid w:val="00D336A4"/>
    <w:rsid w:val="00D336F9"/>
    <w:rsid w:val="00D33867"/>
    <w:rsid w:val="00D339DA"/>
    <w:rsid w:val="00D33AED"/>
    <w:rsid w:val="00D33B7B"/>
    <w:rsid w:val="00D33D08"/>
    <w:rsid w:val="00D33D47"/>
    <w:rsid w:val="00D33EEC"/>
    <w:rsid w:val="00D340A4"/>
    <w:rsid w:val="00D341C0"/>
    <w:rsid w:val="00D3467B"/>
    <w:rsid w:val="00D3479C"/>
    <w:rsid w:val="00D3480E"/>
    <w:rsid w:val="00D34833"/>
    <w:rsid w:val="00D34B9D"/>
    <w:rsid w:val="00D34CE9"/>
    <w:rsid w:val="00D34DE0"/>
    <w:rsid w:val="00D34F84"/>
    <w:rsid w:val="00D34FC7"/>
    <w:rsid w:val="00D34FCE"/>
    <w:rsid w:val="00D350EF"/>
    <w:rsid w:val="00D3546B"/>
    <w:rsid w:val="00D355A5"/>
    <w:rsid w:val="00D35826"/>
    <w:rsid w:val="00D35A7F"/>
    <w:rsid w:val="00D35BBA"/>
    <w:rsid w:val="00D35C66"/>
    <w:rsid w:val="00D35FF7"/>
    <w:rsid w:val="00D3602D"/>
    <w:rsid w:val="00D36177"/>
    <w:rsid w:val="00D36280"/>
    <w:rsid w:val="00D36547"/>
    <w:rsid w:val="00D3656D"/>
    <w:rsid w:val="00D36881"/>
    <w:rsid w:val="00D369AB"/>
    <w:rsid w:val="00D36D4B"/>
    <w:rsid w:val="00D36F8E"/>
    <w:rsid w:val="00D370FB"/>
    <w:rsid w:val="00D371AD"/>
    <w:rsid w:val="00D37232"/>
    <w:rsid w:val="00D37277"/>
    <w:rsid w:val="00D37674"/>
    <w:rsid w:val="00D3795F"/>
    <w:rsid w:val="00D37B44"/>
    <w:rsid w:val="00D37BBC"/>
    <w:rsid w:val="00D37C7F"/>
    <w:rsid w:val="00D37ED9"/>
    <w:rsid w:val="00D37F9E"/>
    <w:rsid w:val="00D400F6"/>
    <w:rsid w:val="00D4017A"/>
    <w:rsid w:val="00D40194"/>
    <w:rsid w:val="00D40332"/>
    <w:rsid w:val="00D40607"/>
    <w:rsid w:val="00D40775"/>
    <w:rsid w:val="00D408A5"/>
    <w:rsid w:val="00D408AE"/>
    <w:rsid w:val="00D4098F"/>
    <w:rsid w:val="00D40A00"/>
    <w:rsid w:val="00D40D02"/>
    <w:rsid w:val="00D40FA5"/>
    <w:rsid w:val="00D41250"/>
    <w:rsid w:val="00D41698"/>
    <w:rsid w:val="00D41744"/>
    <w:rsid w:val="00D417CD"/>
    <w:rsid w:val="00D420AF"/>
    <w:rsid w:val="00D42256"/>
    <w:rsid w:val="00D426F9"/>
    <w:rsid w:val="00D42B83"/>
    <w:rsid w:val="00D42D00"/>
    <w:rsid w:val="00D42D53"/>
    <w:rsid w:val="00D42DFE"/>
    <w:rsid w:val="00D42FAF"/>
    <w:rsid w:val="00D430BB"/>
    <w:rsid w:val="00D432D1"/>
    <w:rsid w:val="00D43790"/>
    <w:rsid w:val="00D43872"/>
    <w:rsid w:val="00D43910"/>
    <w:rsid w:val="00D43A55"/>
    <w:rsid w:val="00D43BFE"/>
    <w:rsid w:val="00D4402F"/>
    <w:rsid w:val="00D44085"/>
    <w:rsid w:val="00D441DA"/>
    <w:rsid w:val="00D44609"/>
    <w:rsid w:val="00D4460C"/>
    <w:rsid w:val="00D4478F"/>
    <w:rsid w:val="00D44A30"/>
    <w:rsid w:val="00D44BC1"/>
    <w:rsid w:val="00D44CB7"/>
    <w:rsid w:val="00D44D62"/>
    <w:rsid w:val="00D44D9F"/>
    <w:rsid w:val="00D45394"/>
    <w:rsid w:val="00D4541B"/>
    <w:rsid w:val="00D45533"/>
    <w:rsid w:val="00D4572B"/>
    <w:rsid w:val="00D45793"/>
    <w:rsid w:val="00D45881"/>
    <w:rsid w:val="00D45DAB"/>
    <w:rsid w:val="00D461FE"/>
    <w:rsid w:val="00D46407"/>
    <w:rsid w:val="00D46590"/>
    <w:rsid w:val="00D46947"/>
    <w:rsid w:val="00D469E1"/>
    <w:rsid w:val="00D46B43"/>
    <w:rsid w:val="00D46CE6"/>
    <w:rsid w:val="00D46F8B"/>
    <w:rsid w:val="00D472F4"/>
    <w:rsid w:val="00D47642"/>
    <w:rsid w:val="00D47BE4"/>
    <w:rsid w:val="00D47CBE"/>
    <w:rsid w:val="00D47D65"/>
    <w:rsid w:val="00D47E28"/>
    <w:rsid w:val="00D501F9"/>
    <w:rsid w:val="00D503CF"/>
    <w:rsid w:val="00D5057C"/>
    <w:rsid w:val="00D5058D"/>
    <w:rsid w:val="00D50859"/>
    <w:rsid w:val="00D50AD3"/>
    <w:rsid w:val="00D50F5C"/>
    <w:rsid w:val="00D5124D"/>
    <w:rsid w:val="00D5143D"/>
    <w:rsid w:val="00D518BC"/>
    <w:rsid w:val="00D51A28"/>
    <w:rsid w:val="00D51AF1"/>
    <w:rsid w:val="00D51BF0"/>
    <w:rsid w:val="00D52177"/>
    <w:rsid w:val="00D528B9"/>
    <w:rsid w:val="00D5297F"/>
    <w:rsid w:val="00D5299A"/>
    <w:rsid w:val="00D5299E"/>
    <w:rsid w:val="00D52A17"/>
    <w:rsid w:val="00D52A68"/>
    <w:rsid w:val="00D52C4A"/>
    <w:rsid w:val="00D52F40"/>
    <w:rsid w:val="00D53018"/>
    <w:rsid w:val="00D5311F"/>
    <w:rsid w:val="00D532D8"/>
    <w:rsid w:val="00D53411"/>
    <w:rsid w:val="00D534F4"/>
    <w:rsid w:val="00D535CB"/>
    <w:rsid w:val="00D5381D"/>
    <w:rsid w:val="00D539CF"/>
    <w:rsid w:val="00D53A56"/>
    <w:rsid w:val="00D53B2B"/>
    <w:rsid w:val="00D53BDC"/>
    <w:rsid w:val="00D53C2C"/>
    <w:rsid w:val="00D53C72"/>
    <w:rsid w:val="00D53CA5"/>
    <w:rsid w:val="00D53D2C"/>
    <w:rsid w:val="00D53F05"/>
    <w:rsid w:val="00D53FFB"/>
    <w:rsid w:val="00D5407D"/>
    <w:rsid w:val="00D544D5"/>
    <w:rsid w:val="00D545C3"/>
    <w:rsid w:val="00D54C63"/>
    <w:rsid w:val="00D54C99"/>
    <w:rsid w:val="00D5520A"/>
    <w:rsid w:val="00D55381"/>
    <w:rsid w:val="00D55457"/>
    <w:rsid w:val="00D5558E"/>
    <w:rsid w:val="00D555C9"/>
    <w:rsid w:val="00D558A9"/>
    <w:rsid w:val="00D55B7C"/>
    <w:rsid w:val="00D55C54"/>
    <w:rsid w:val="00D55D37"/>
    <w:rsid w:val="00D55D4F"/>
    <w:rsid w:val="00D5625F"/>
    <w:rsid w:val="00D564F2"/>
    <w:rsid w:val="00D5671B"/>
    <w:rsid w:val="00D567FF"/>
    <w:rsid w:val="00D569D3"/>
    <w:rsid w:val="00D56B37"/>
    <w:rsid w:val="00D56CD9"/>
    <w:rsid w:val="00D56CE0"/>
    <w:rsid w:val="00D56E1D"/>
    <w:rsid w:val="00D56F36"/>
    <w:rsid w:val="00D57411"/>
    <w:rsid w:val="00D57563"/>
    <w:rsid w:val="00D5789E"/>
    <w:rsid w:val="00D57993"/>
    <w:rsid w:val="00D57A4C"/>
    <w:rsid w:val="00D60153"/>
    <w:rsid w:val="00D6030E"/>
    <w:rsid w:val="00D603B6"/>
    <w:rsid w:val="00D603EF"/>
    <w:rsid w:val="00D6083C"/>
    <w:rsid w:val="00D60899"/>
    <w:rsid w:val="00D60C02"/>
    <w:rsid w:val="00D60D1A"/>
    <w:rsid w:val="00D611D4"/>
    <w:rsid w:val="00D6120C"/>
    <w:rsid w:val="00D615E3"/>
    <w:rsid w:val="00D616EA"/>
    <w:rsid w:val="00D61897"/>
    <w:rsid w:val="00D619DC"/>
    <w:rsid w:val="00D61AAA"/>
    <w:rsid w:val="00D61C7D"/>
    <w:rsid w:val="00D61C88"/>
    <w:rsid w:val="00D61EC2"/>
    <w:rsid w:val="00D62241"/>
    <w:rsid w:val="00D62579"/>
    <w:rsid w:val="00D626EA"/>
    <w:rsid w:val="00D627D8"/>
    <w:rsid w:val="00D62821"/>
    <w:rsid w:val="00D62ABF"/>
    <w:rsid w:val="00D62B0A"/>
    <w:rsid w:val="00D62CBC"/>
    <w:rsid w:val="00D62E7D"/>
    <w:rsid w:val="00D630E9"/>
    <w:rsid w:val="00D63256"/>
    <w:rsid w:val="00D6334B"/>
    <w:rsid w:val="00D63484"/>
    <w:rsid w:val="00D6352A"/>
    <w:rsid w:val="00D6361F"/>
    <w:rsid w:val="00D63814"/>
    <w:rsid w:val="00D63942"/>
    <w:rsid w:val="00D639AD"/>
    <w:rsid w:val="00D639AF"/>
    <w:rsid w:val="00D63A0A"/>
    <w:rsid w:val="00D63C89"/>
    <w:rsid w:val="00D64457"/>
    <w:rsid w:val="00D6453C"/>
    <w:rsid w:val="00D6471A"/>
    <w:rsid w:val="00D64A89"/>
    <w:rsid w:val="00D64B40"/>
    <w:rsid w:val="00D64CF0"/>
    <w:rsid w:val="00D64E41"/>
    <w:rsid w:val="00D64EC0"/>
    <w:rsid w:val="00D64F93"/>
    <w:rsid w:val="00D651BE"/>
    <w:rsid w:val="00D65465"/>
    <w:rsid w:val="00D657E3"/>
    <w:rsid w:val="00D65802"/>
    <w:rsid w:val="00D659A3"/>
    <w:rsid w:val="00D65C56"/>
    <w:rsid w:val="00D65ECD"/>
    <w:rsid w:val="00D65FC8"/>
    <w:rsid w:val="00D65FFB"/>
    <w:rsid w:val="00D6612C"/>
    <w:rsid w:val="00D662F4"/>
    <w:rsid w:val="00D66352"/>
    <w:rsid w:val="00D665E7"/>
    <w:rsid w:val="00D66695"/>
    <w:rsid w:val="00D666A6"/>
    <w:rsid w:val="00D666AD"/>
    <w:rsid w:val="00D66876"/>
    <w:rsid w:val="00D668CC"/>
    <w:rsid w:val="00D66995"/>
    <w:rsid w:val="00D67025"/>
    <w:rsid w:val="00D6708D"/>
    <w:rsid w:val="00D673C8"/>
    <w:rsid w:val="00D67460"/>
    <w:rsid w:val="00D675AD"/>
    <w:rsid w:val="00D67705"/>
    <w:rsid w:val="00D67ADB"/>
    <w:rsid w:val="00D67C12"/>
    <w:rsid w:val="00D67CC6"/>
    <w:rsid w:val="00D67E78"/>
    <w:rsid w:val="00D67F59"/>
    <w:rsid w:val="00D700DA"/>
    <w:rsid w:val="00D70103"/>
    <w:rsid w:val="00D701B3"/>
    <w:rsid w:val="00D7036C"/>
    <w:rsid w:val="00D7040B"/>
    <w:rsid w:val="00D70565"/>
    <w:rsid w:val="00D709F0"/>
    <w:rsid w:val="00D70B4E"/>
    <w:rsid w:val="00D70C7C"/>
    <w:rsid w:val="00D70CFF"/>
    <w:rsid w:val="00D70D01"/>
    <w:rsid w:val="00D70EDD"/>
    <w:rsid w:val="00D7151D"/>
    <w:rsid w:val="00D71765"/>
    <w:rsid w:val="00D719A1"/>
    <w:rsid w:val="00D71BF4"/>
    <w:rsid w:val="00D722B1"/>
    <w:rsid w:val="00D7241E"/>
    <w:rsid w:val="00D724C7"/>
    <w:rsid w:val="00D726F1"/>
    <w:rsid w:val="00D727BC"/>
    <w:rsid w:val="00D7286A"/>
    <w:rsid w:val="00D728DC"/>
    <w:rsid w:val="00D72998"/>
    <w:rsid w:val="00D7299B"/>
    <w:rsid w:val="00D72CAB"/>
    <w:rsid w:val="00D72D86"/>
    <w:rsid w:val="00D731BC"/>
    <w:rsid w:val="00D73367"/>
    <w:rsid w:val="00D7356C"/>
    <w:rsid w:val="00D7365B"/>
    <w:rsid w:val="00D736AF"/>
    <w:rsid w:val="00D7387E"/>
    <w:rsid w:val="00D74194"/>
    <w:rsid w:val="00D74673"/>
    <w:rsid w:val="00D746CD"/>
    <w:rsid w:val="00D74B4E"/>
    <w:rsid w:val="00D75428"/>
    <w:rsid w:val="00D755F6"/>
    <w:rsid w:val="00D75798"/>
    <w:rsid w:val="00D75870"/>
    <w:rsid w:val="00D75C8D"/>
    <w:rsid w:val="00D75DC2"/>
    <w:rsid w:val="00D75E88"/>
    <w:rsid w:val="00D7600D"/>
    <w:rsid w:val="00D760AA"/>
    <w:rsid w:val="00D76194"/>
    <w:rsid w:val="00D7634F"/>
    <w:rsid w:val="00D76383"/>
    <w:rsid w:val="00D7648B"/>
    <w:rsid w:val="00D765F8"/>
    <w:rsid w:val="00D767A5"/>
    <w:rsid w:val="00D76B98"/>
    <w:rsid w:val="00D76C12"/>
    <w:rsid w:val="00D76D95"/>
    <w:rsid w:val="00D7714A"/>
    <w:rsid w:val="00D77243"/>
    <w:rsid w:val="00D7762A"/>
    <w:rsid w:val="00D77648"/>
    <w:rsid w:val="00D77684"/>
    <w:rsid w:val="00D77A28"/>
    <w:rsid w:val="00D77A87"/>
    <w:rsid w:val="00D77CD8"/>
    <w:rsid w:val="00D77EF4"/>
    <w:rsid w:val="00D800EA"/>
    <w:rsid w:val="00D803C8"/>
    <w:rsid w:val="00D80564"/>
    <w:rsid w:val="00D80723"/>
    <w:rsid w:val="00D80A00"/>
    <w:rsid w:val="00D80FA0"/>
    <w:rsid w:val="00D81281"/>
    <w:rsid w:val="00D812A6"/>
    <w:rsid w:val="00D815E4"/>
    <w:rsid w:val="00D817C3"/>
    <w:rsid w:val="00D81873"/>
    <w:rsid w:val="00D81994"/>
    <w:rsid w:val="00D819A3"/>
    <w:rsid w:val="00D81D28"/>
    <w:rsid w:val="00D823EE"/>
    <w:rsid w:val="00D82666"/>
    <w:rsid w:val="00D826D1"/>
    <w:rsid w:val="00D828E3"/>
    <w:rsid w:val="00D82C00"/>
    <w:rsid w:val="00D82C06"/>
    <w:rsid w:val="00D82D39"/>
    <w:rsid w:val="00D82D44"/>
    <w:rsid w:val="00D82D5A"/>
    <w:rsid w:val="00D82E53"/>
    <w:rsid w:val="00D82F27"/>
    <w:rsid w:val="00D830D8"/>
    <w:rsid w:val="00D8312A"/>
    <w:rsid w:val="00D83352"/>
    <w:rsid w:val="00D83508"/>
    <w:rsid w:val="00D83962"/>
    <w:rsid w:val="00D839E9"/>
    <w:rsid w:val="00D83AB7"/>
    <w:rsid w:val="00D83BB3"/>
    <w:rsid w:val="00D83BB8"/>
    <w:rsid w:val="00D83C65"/>
    <w:rsid w:val="00D83C93"/>
    <w:rsid w:val="00D83D75"/>
    <w:rsid w:val="00D83E05"/>
    <w:rsid w:val="00D83E13"/>
    <w:rsid w:val="00D83EB8"/>
    <w:rsid w:val="00D842BE"/>
    <w:rsid w:val="00D842D2"/>
    <w:rsid w:val="00D846B8"/>
    <w:rsid w:val="00D8493B"/>
    <w:rsid w:val="00D84A54"/>
    <w:rsid w:val="00D84ABB"/>
    <w:rsid w:val="00D84B6E"/>
    <w:rsid w:val="00D84BD0"/>
    <w:rsid w:val="00D84E59"/>
    <w:rsid w:val="00D84E9A"/>
    <w:rsid w:val="00D85081"/>
    <w:rsid w:val="00D853A7"/>
    <w:rsid w:val="00D85923"/>
    <w:rsid w:val="00D859B3"/>
    <w:rsid w:val="00D85D3B"/>
    <w:rsid w:val="00D85DC0"/>
    <w:rsid w:val="00D85EC0"/>
    <w:rsid w:val="00D85FCA"/>
    <w:rsid w:val="00D86131"/>
    <w:rsid w:val="00D86458"/>
    <w:rsid w:val="00D86723"/>
    <w:rsid w:val="00D868FD"/>
    <w:rsid w:val="00D8692C"/>
    <w:rsid w:val="00D86A00"/>
    <w:rsid w:val="00D86EDB"/>
    <w:rsid w:val="00D86FC7"/>
    <w:rsid w:val="00D87024"/>
    <w:rsid w:val="00D870CF"/>
    <w:rsid w:val="00D8717E"/>
    <w:rsid w:val="00D87A08"/>
    <w:rsid w:val="00D87D55"/>
    <w:rsid w:val="00D87E4E"/>
    <w:rsid w:val="00D87EAC"/>
    <w:rsid w:val="00D87F76"/>
    <w:rsid w:val="00D87FB9"/>
    <w:rsid w:val="00D9011E"/>
    <w:rsid w:val="00D9038E"/>
    <w:rsid w:val="00D90501"/>
    <w:rsid w:val="00D90990"/>
    <w:rsid w:val="00D909A3"/>
    <w:rsid w:val="00D90C7B"/>
    <w:rsid w:val="00D90C81"/>
    <w:rsid w:val="00D90E30"/>
    <w:rsid w:val="00D910C2"/>
    <w:rsid w:val="00D910DB"/>
    <w:rsid w:val="00D910F8"/>
    <w:rsid w:val="00D91210"/>
    <w:rsid w:val="00D9130F"/>
    <w:rsid w:val="00D91475"/>
    <w:rsid w:val="00D914CE"/>
    <w:rsid w:val="00D91842"/>
    <w:rsid w:val="00D91AB1"/>
    <w:rsid w:val="00D91F36"/>
    <w:rsid w:val="00D91F99"/>
    <w:rsid w:val="00D92108"/>
    <w:rsid w:val="00D92144"/>
    <w:rsid w:val="00D92268"/>
    <w:rsid w:val="00D924D6"/>
    <w:rsid w:val="00D92809"/>
    <w:rsid w:val="00D92A0F"/>
    <w:rsid w:val="00D92BDD"/>
    <w:rsid w:val="00D92DC1"/>
    <w:rsid w:val="00D930CC"/>
    <w:rsid w:val="00D9325E"/>
    <w:rsid w:val="00D93261"/>
    <w:rsid w:val="00D93303"/>
    <w:rsid w:val="00D93431"/>
    <w:rsid w:val="00D9344E"/>
    <w:rsid w:val="00D935EC"/>
    <w:rsid w:val="00D936D5"/>
    <w:rsid w:val="00D9371A"/>
    <w:rsid w:val="00D937CC"/>
    <w:rsid w:val="00D93820"/>
    <w:rsid w:val="00D939F4"/>
    <w:rsid w:val="00D93ADB"/>
    <w:rsid w:val="00D93C02"/>
    <w:rsid w:val="00D93C28"/>
    <w:rsid w:val="00D93D0D"/>
    <w:rsid w:val="00D9407D"/>
    <w:rsid w:val="00D94103"/>
    <w:rsid w:val="00D94223"/>
    <w:rsid w:val="00D9474C"/>
    <w:rsid w:val="00D948D3"/>
    <w:rsid w:val="00D94AA3"/>
    <w:rsid w:val="00D94BF9"/>
    <w:rsid w:val="00D94E8E"/>
    <w:rsid w:val="00D94EA2"/>
    <w:rsid w:val="00D95159"/>
    <w:rsid w:val="00D95357"/>
    <w:rsid w:val="00D95450"/>
    <w:rsid w:val="00D9548D"/>
    <w:rsid w:val="00D95571"/>
    <w:rsid w:val="00D95859"/>
    <w:rsid w:val="00D95911"/>
    <w:rsid w:val="00D95B2D"/>
    <w:rsid w:val="00D95CE7"/>
    <w:rsid w:val="00D95EF5"/>
    <w:rsid w:val="00D9615C"/>
    <w:rsid w:val="00D961B5"/>
    <w:rsid w:val="00D962B1"/>
    <w:rsid w:val="00D965F0"/>
    <w:rsid w:val="00D967AF"/>
    <w:rsid w:val="00D969A2"/>
    <w:rsid w:val="00D96B89"/>
    <w:rsid w:val="00D96FF9"/>
    <w:rsid w:val="00D971BE"/>
    <w:rsid w:val="00D97201"/>
    <w:rsid w:val="00D97211"/>
    <w:rsid w:val="00D97252"/>
    <w:rsid w:val="00D9771A"/>
    <w:rsid w:val="00D97824"/>
    <w:rsid w:val="00D97827"/>
    <w:rsid w:val="00D97A24"/>
    <w:rsid w:val="00D97B6C"/>
    <w:rsid w:val="00D97C67"/>
    <w:rsid w:val="00D97E88"/>
    <w:rsid w:val="00D97ED6"/>
    <w:rsid w:val="00DA00B7"/>
    <w:rsid w:val="00DA025A"/>
    <w:rsid w:val="00DA02A4"/>
    <w:rsid w:val="00DA066F"/>
    <w:rsid w:val="00DA06AE"/>
    <w:rsid w:val="00DA06D3"/>
    <w:rsid w:val="00DA09FF"/>
    <w:rsid w:val="00DA0A30"/>
    <w:rsid w:val="00DA0A89"/>
    <w:rsid w:val="00DA0E10"/>
    <w:rsid w:val="00DA0EBE"/>
    <w:rsid w:val="00DA0ED2"/>
    <w:rsid w:val="00DA0F7C"/>
    <w:rsid w:val="00DA11E9"/>
    <w:rsid w:val="00DA134E"/>
    <w:rsid w:val="00DA138C"/>
    <w:rsid w:val="00DA196E"/>
    <w:rsid w:val="00DA1ABC"/>
    <w:rsid w:val="00DA1CB7"/>
    <w:rsid w:val="00DA1ED5"/>
    <w:rsid w:val="00DA258E"/>
    <w:rsid w:val="00DA2690"/>
    <w:rsid w:val="00DA2CF5"/>
    <w:rsid w:val="00DA2D39"/>
    <w:rsid w:val="00DA2DEE"/>
    <w:rsid w:val="00DA308C"/>
    <w:rsid w:val="00DA30A5"/>
    <w:rsid w:val="00DA3289"/>
    <w:rsid w:val="00DA3528"/>
    <w:rsid w:val="00DA369A"/>
    <w:rsid w:val="00DA3ACC"/>
    <w:rsid w:val="00DA3D15"/>
    <w:rsid w:val="00DA3DDD"/>
    <w:rsid w:val="00DA4132"/>
    <w:rsid w:val="00DA4188"/>
    <w:rsid w:val="00DA42BB"/>
    <w:rsid w:val="00DA4407"/>
    <w:rsid w:val="00DA44A4"/>
    <w:rsid w:val="00DA47B7"/>
    <w:rsid w:val="00DA4B5E"/>
    <w:rsid w:val="00DA4C71"/>
    <w:rsid w:val="00DA4DFF"/>
    <w:rsid w:val="00DA51BA"/>
    <w:rsid w:val="00DA5225"/>
    <w:rsid w:val="00DA5239"/>
    <w:rsid w:val="00DA5810"/>
    <w:rsid w:val="00DA584B"/>
    <w:rsid w:val="00DA59D5"/>
    <w:rsid w:val="00DA5A07"/>
    <w:rsid w:val="00DA5A6C"/>
    <w:rsid w:val="00DA5A9B"/>
    <w:rsid w:val="00DA5AD1"/>
    <w:rsid w:val="00DA5DEC"/>
    <w:rsid w:val="00DA5E01"/>
    <w:rsid w:val="00DA5F19"/>
    <w:rsid w:val="00DA5FF9"/>
    <w:rsid w:val="00DA6323"/>
    <w:rsid w:val="00DA68A7"/>
    <w:rsid w:val="00DA69BA"/>
    <w:rsid w:val="00DA69FD"/>
    <w:rsid w:val="00DA6A73"/>
    <w:rsid w:val="00DA6AE6"/>
    <w:rsid w:val="00DA6C45"/>
    <w:rsid w:val="00DA72BE"/>
    <w:rsid w:val="00DA763D"/>
    <w:rsid w:val="00DA79DC"/>
    <w:rsid w:val="00DA7A59"/>
    <w:rsid w:val="00DA7D19"/>
    <w:rsid w:val="00DB0296"/>
    <w:rsid w:val="00DB03AC"/>
    <w:rsid w:val="00DB045E"/>
    <w:rsid w:val="00DB04AA"/>
    <w:rsid w:val="00DB0513"/>
    <w:rsid w:val="00DB053C"/>
    <w:rsid w:val="00DB06D9"/>
    <w:rsid w:val="00DB09EE"/>
    <w:rsid w:val="00DB0BEC"/>
    <w:rsid w:val="00DB0C00"/>
    <w:rsid w:val="00DB0DDA"/>
    <w:rsid w:val="00DB0F5B"/>
    <w:rsid w:val="00DB1075"/>
    <w:rsid w:val="00DB1129"/>
    <w:rsid w:val="00DB1441"/>
    <w:rsid w:val="00DB17AB"/>
    <w:rsid w:val="00DB181B"/>
    <w:rsid w:val="00DB1C49"/>
    <w:rsid w:val="00DB1C59"/>
    <w:rsid w:val="00DB1D1B"/>
    <w:rsid w:val="00DB1FDF"/>
    <w:rsid w:val="00DB202B"/>
    <w:rsid w:val="00DB2032"/>
    <w:rsid w:val="00DB298B"/>
    <w:rsid w:val="00DB2A61"/>
    <w:rsid w:val="00DB2C6F"/>
    <w:rsid w:val="00DB2DA4"/>
    <w:rsid w:val="00DB2FFA"/>
    <w:rsid w:val="00DB3103"/>
    <w:rsid w:val="00DB32E2"/>
    <w:rsid w:val="00DB3329"/>
    <w:rsid w:val="00DB335D"/>
    <w:rsid w:val="00DB3799"/>
    <w:rsid w:val="00DB38E0"/>
    <w:rsid w:val="00DB3948"/>
    <w:rsid w:val="00DB3AE5"/>
    <w:rsid w:val="00DB3AEF"/>
    <w:rsid w:val="00DB3CBA"/>
    <w:rsid w:val="00DB406B"/>
    <w:rsid w:val="00DB419D"/>
    <w:rsid w:val="00DB4327"/>
    <w:rsid w:val="00DB4592"/>
    <w:rsid w:val="00DB486F"/>
    <w:rsid w:val="00DB48C6"/>
    <w:rsid w:val="00DB4D3B"/>
    <w:rsid w:val="00DB4E24"/>
    <w:rsid w:val="00DB52C5"/>
    <w:rsid w:val="00DB55FD"/>
    <w:rsid w:val="00DB564D"/>
    <w:rsid w:val="00DB584E"/>
    <w:rsid w:val="00DB58B8"/>
    <w:rsid w:val="00DB5B5A"/>
    <w:rsid w:val="00DB5E83"/>
    <w:rsid w:val="00DB5F6D"/>
    <w:rsid w:val="00DB5FCF"/>
    <w:rsid w:val="00DB60E5"/>
    <w:rsid w:val="00DB6197"/>
    <w:rsid w:val="00DB62C2"/>
    <w:rsid w:val="00DB63CA"/>
    <w:rsid w:val="00DB6D86"/>
    <w:rsid w:val="00DB6E02"/>
    <w:rsid w:val="00DB6F9A"/>
    <w:rsid w:val="00DB704A"/>
    <w:rsid w:val="00DB7144"/>
    <w:rsid w:val="00DB7382"/>
    <w:rsid w:val="00DB73CB"/>
    <w:rsid w:val="00DB74C3"/>
    <w:rsid w:val="00DB74CC"/>
    <w:rsid w:val="00DB79E4"/>
    <w:rsid w:val="00DB7A86"/>
    <w:rsid w:val="00DB7C8C"/>
    <w:rsid w:val="00DB7DFB"/>
    <w:rsid w:val="00DC01D1"/>
    <w:rsid w:val="00DC023A"/>
    <w:rsid w:val="00DC0800"/>
    <w:rsid w:val="00DC0838"/>
    <w:rsid w:val="00DC0844"/>
    <w:rsid w:val="00DC0902"/>
    <w:rsid w:val="00DC0A1A"/>
    <w:rsid w:val="00DC0F81"/>
    <w:rsid w:val="00DC115A"/>
    <w:rsid w:val="00DC1277"/>
    <w:rsid w:val="00DC12FC"/>
    <w:rsid w:val="00DC1544"/>
    <w:rsid w:val="00DC158D"/>
    <w:rsid w:val="00DC1936"/>
    <w:rsid w:val="00DC1A0E"/>
    <w:rsid w:val="00DC1B15"/>
    <w:rsid w:val="00DC1CA3"/>
    <w:rsid w:val="00DC1DFA"/>
    <w:rsid w:val="00DC1EE4"/>
    <w:rsid w:val="00DC2036"/>
    <w:rsid w:val="00DC20DF"/>
    <w:rsid w:val="00DC211C"/>
    <w:rsid w:val="00DC234E"/>
    <w:rsid w:val="00DC2539"/>
    <w:rsid w:val="00DC2722"/>
    <w:rsid w:val="00DC2787"/>
    <w:rsid w:val="00DC29E8"/>
    <w:rsid w:val="00DC2BE1"/>
    <w:rsid w:val="00DC2CCD"/>
    <w:rsid w:val="00DC2DCF"/>
    <w:rsid w:val="00DC2F07"/>
    <w:rsid w:val="00DC2F1F"/>
    <w:rsid w:val="00DC2F61"/>
    <w:rsid w:val="00DC3401"/>
    <w:rsid w:val="00DC3465"/>
    <w:rsid w:val="00DC3587"/>
    <w:rsid w:val="00DC3775"/>
    <w:rsid w:val="00DC37F9"/>
    <w:rsid w:val="00DC3839"/>
    <w:rsid w:val="00DC393D"/>
    <w:rsid w:val="00DC3F27"/>
    <w:rsid w:val="00DC3F58"/>
    <w:rsid w:val="00DC450F"/>
    <w:rsid w:val="00DC452B"/>
    <w:rsid w:val="00DC459D"/>
    <w:rsid w:val="00DC45E3"/>
    <w:rsid w:val="00DC4661"/>
    <w:rsid w:val="00DC4980"/>
    <w:rsid w:val="00DC498A"/>
    <w:rsid w:val="00DC49A1"/>
    <w:rsid w:val="00DC4DE7"/>
    <w:rsid w:val="00DC4E63"/>
    <w:rsid w:val="00DC5031"/>
    <w:rsid w:val="00DC5272"/>
    <w:rsid w:val="00DC54CA"/>
    <w:rsid w:val="00DC55E8"/>
    <w:rsid w:val="00DC5992"/>
    <w:rsid w:val="00DC5AFD"/>
    <w:rsid w:val="00DC5B96"/>
    <w:rsid w:val="00DC5BEC"/>
    <w:rsid w:val="00DC5CA6"/>
    <w:rsid w:val="00DC5E39"/>
    <w:rsid w:val="00DC5EC0"/>
    <w:rsid w:val="00DC5F86"/>
    <w:rsid w:val="00DC601F"/>
    <w:rsid w:val="00DC619D"/>
    <w:rsid w:val="00DC63F1"/>
    <w:rsid w:val="00DC6615"/>
    <w:rsid w:val="00DC6728"/>
    <w:rsid w:val="00DC68D4"/>
    <w:rsid w:val="00DC693D"/>
    <w:rsid w:val="00DC6EDB"/>
    <w:rsid w:val="00DC7582"/>
    <w:rsid w:val="00DC75BA"/>
    <w:rsid w:val="00DC77F7"/>
    <w:rsid w:val="00DC7883"/>
    <w:rsid w:val="00DC7C24"/>
    <w:rsid w:val="00DC7DF7"/>
    <w:rsid w:val="00DC7F73"/>
    <w:rsid w:val="00DD09A8"/>
    <w:rsid w:val="00DD0AC1"/>
    <w:rsid w:val="00DD0F72"/>
    <w:rsid w:val="00DD1077"/>
    <w:rsid w:val="00DD1154"/>
    <w:rsid w:val="00DD11CE"/>
    <w:rsid w:val="00DD1496"/>
    <w:rsid w:val="00DD1562"/>
    <w:rsid w:val="00DD172D"/>
    <w:rsid w:val="00DD190D"/>
    <w:rsid w:val="00DD1B21"/>
    <w:rsid w:val="00DD1CFB"/>
    <w:rsid w:val="00DD21BA"/>
    <w:rsid w:val="00DD22AB"/>
    <w:rsid w:val="00DD26D5"/>
    <w:rsid w:val="00DD28DC"/>
    <w:rsid w:val="00DD2A41"/>
    <w:rsid w:val="00DD2EDA"/>
    <w:rsid w:val="00DD3066"/>
    <w:rsid w:val="00DD3130"/>
    <w:rsid w:val="00DD3757"/>
    <w:rsid w:val="00DD3797"/>
    <w:rsid w:val="00DD379F"/>
    <w:rsid w:val="00DD3873"/>
    <w:rsid w:val="00DD3BFB"/>
    <w:rsid w:val="00DD404A"/>
    <w:rsid w:val="00DD4464"/>
    <w:rsid w:val="00DD44A1"/>
    <w:rsid w:val="00DD48CA"/>
    <w:rsid w:val="00DD49EE"/>
    <w:rsid w:val="00DD4E2E"/>
    <w:rsid w:val="00DD4F1C"/>
    <w:rsid w:val="00DD504A"/>
    <w:rsid w:val="00DD5123"/>
    <w:rsid w:val="00DD5212"/>
    <w:rsid w:val="00DD5223"/>
    <w:rsid w:val="00DD54C9"/>
    <w:rsid w:val="00DD578A"/>
    <w:rsid w:val="00DD587E"/>
    <w:rsid w:val="00DD5A15"/>
    <w:rsid w:val="00DD5ACE"/>
    <w:rsid w:val="00DD5C91"/>
    <w:rsid w:val="00DD5F3F"/>
    <w:rsid w:val="00DD5F54"/>
    <w:rsid w:val="00DD6675"/>
    <w:rsid w:val="00DD680A"/>
    <w:rsid w:val="00DD6B58"/>
    <w:rsid w:val="00DD6B61"/>
    <w:rsid w:val="00DD6D91"/>
    <w:rsid w:val="00DD7021"/>
    <w:rsid w:val="00DD73A6"/>
    <w:rsid w:val="00DD774F"/>
    <w:rsid w:val="00DD7A62"/>
    <w:rsid w:val="00DD7B04"/>
    <w:rsid w:val="00DD7C1F"/>
    <w:rsid w:val="00DD7C74"/>
    <w:rsid w:val="00DD7D98"/>
    <w:rsid w:val="00DD7F41"/>
    <w:rsid w:val="00DE01CA"/>
    <w:rsid w:val="00DE0492"/>
    <w:rsid w:val="00DE0532"/>
    <w:rsid w:val="00DE05D2"/>
    <w:rsid w:val="00DE061F"/>
    <w:rsid w:val="00DE08A3"/>
    <w:rsid w:val="00DE09CC"/>
    <w:rsid w:val="00DE0DA6"/>
    <w:rsid w:val="00DE1011"/>
    <w:rsid w:val="00DE1027"/>
    <w:rsid w:val="00DE103F"/>
    <w:rsid w:val="00DE14B2"/>
    <w:rsid w:val="00DE14E7"/>
    <w:rsid w:val="00DE1684"/>
    <w:rsid w:val="00DE17D5"/>
    <w:rsid w:val="00DE1CEE"/>
    <w:rsid w:val="00DE1D83"/>
    <w:rsid w:val="00DE1F5E"/>
    <w:rsid w:val="00DE2233"/>
    <w:rsid w:val="00DE271E"/>
    <w:rsid w:val="00DE28C1"/>
    <w:rsid w:val="00DE2950"/>
    <w:rsid w:val="00DE29AF"/>
    <w:rsid w:val="00DE29D3"/>
    <w:rsid w:val="00DE2A51"/>
    <w:rsid w:val="00DE2B11"/>
    <w:rsid w:val="00DE2CE0"/>
    <w:rsid w:val="00DE2DD0"/>
    <w:rsid w:val="00DE3049"/>
    <w:rsid w:val="00DE315B"/>
    <w:rsid w:val="00DE3258"/>
    <w:rsid w:val="00DE369E"/>
    <w:rsid w:val="00DE3747"/>
    <w:rsid w:val="00DE37B7"/>
    <w:rsid w:val="00DE393B"/>
    <w:rsid w:val="00DE455A"/>
    <w:rsid w:val="00DE49FB"/>
    <w:rsid w:val="00DE4D57"/>
    <w:rsid w:val="00DE4E81"/>
    <w:rsid w:val="00DE4F9A"/>
    <w:rsid w:val="00DE500F"/>
    <w:rsid w:val="00DE521E"/>
    <w:rsid w:val="00DE5254"/>
    <w:rsid w:val="00DE52BC"/>
    <w:rsid w:val="00DE539D"/>
    <w:rsid w:val="00DE54CA"/>
    <w:rsid w:val="00DE58DF"/>
    <w:rsid w:val="00DE591D"/>
    <w:rsid w:val="00DE5964"/>
    <w:rsid w:val="00DE5A46"/>
    <w:rsid w:val="00DE5BDE"/>
    <w:rsid w:val="00DE5C14"/>
    <w:rsid w:val="00DE5C61"/>
    <w:rsid w:val="00DE5CF2"/>
    <w:rsid w:val="00DE5E90"/>
    <w:rsid w:val="00DE5F7C"/>
    <w:rsid w:val="00DE6326"/>
    <w:rsid w:val="00DE634B"/>
    <w:rsid w:val="00DE6490"/>
    <w:rsid w:val="00DE6A30"/>
    <w:rsid w:val="00DE6A69"/>
    <w:rsid w:val="00DE6A91"/>
    <w:rsid w:val="00DE6D5A"/>
    <w:rsid w:val="00DE6D6F"/>
    <w:rsid w:val="00DE6E4E"/>
    <w:rsid w:val="00DE6EC6"/>
    <w:rsid w:val="00DE6F69"/>
    <w:rsid w:val="00DE6FCA"/>
    <w:rsid w:val="00DE70F4"/>
    <w:rsid w:val="00DE711F"/>
    <w:rsid w:val="00DE71D3"/>
    <w:rsid w:val="00DE72A1"/>
    <w:rsid w:val="00DE72B6"/>
    <w:rsid w:val="00DE744E"/>
    <w:rsid w:val="00DE7605"/>
    <w:rsid w:val="00DE7A34"/>
    <w:rsid w:val="00DE7B53"/>
    <w:rsid w:val="00DE7DED"/>
    <w:rsid w:val="00DF00CA"/>
    <w:rsid w:val="00DF04E3"/>
    <w:rsid w:val="00DF05AB"/>
    <w:rsid w:val="00DF05F7"/>
    <w:rsid w:val="00DF06C1"/>
    <w:rsid w:val="00DF0748"/>
    <w:rsid w:val="00DF07D5"/>
    <w:rsid w:val="00DF09F8"/>
    <w:rsid w:val="00DF0C03"/>
    <w:rsid w:val="00DF0C09"/>
    <w:rsid w:val="00DF0C53"/>
    <w:rsid w:val="00DF144F"/>
    <w:rsid w:val="00DF18C3"/>
    <w:rsid w:val="00DF19FA"/>
    <w:rsid w:val="00DF1FE0"/>
    <w:rsid w:val="00DF216B"/>
    <w:rsid w:val="00DF21A3"/>
    <w:rsid w:val="00DF21ED"/>
    <w:rsid w:val="00DF2822"/>
    <w:rsid w:val="00DF2862"/>
    <w:rsid w:val="00DF287B"/>
    <w:rsid w:val="00DF28FA"/>
    <w:rsid w:val="00DF2A3E"/>
    <w:rsid w:val="00DF2EF8"/>
    <w:rsid w:val="00DF32BE"/>
    <w:rsid w:val="00DF3430"/>
    <w:rsid w:val="00DF350C"/>
    <w:rsid w:val="00DF3582"/>
    <w:rsid w:val="00DF397C"/>
    <w:rsid w:val="00DF3B60"/>
    <w:rsid w:val="00DF407A"/>
    <w:rsid w:val="00DF40F3"/>
    <w:rsid w:val="00DF41F9"/>
    <w:rsid w:val="00DF42F8"/>
    <w:rsid w:val="00DF4792"/>
    <w:rsid w:val="00DF479E"/>
    <w:rsid w:val="00DF486A"/>
    <w:rsid w:val="00DF4A5B"/>
    <w:rsid w:val="00DF4B1A"/>
    <w:rsid w:val="00DF4E43"/>
    <w:rsid w:val="00DF4FC1"/>
    <w:rsid w:val="00DF5031"/>
    <w:rsid w:val="00DF514F"/>
    <w:rsid w:val="00DF54DC"/>
    <w:rsid w:val="00DF54F1"/>
    <w:rsid w:val="00DF58EA"/>
    <w:rsid w:val="00DF5A38"/>
    <w:rsid w:val="00DF5C03"/>
    <w:rsid w:val="00DF5D8A"/>
    <w:rsid w:val="00DF5DEC"/>
    <w:rsid w:val="00DF62D1"/>
    <w:rsid w:val="00DF631F"/>
    <w:rsid w:val="00DF6379"/>
    <w:rsid w:val="00DF63C5"/>
    <w:rsid w:val="00DF64A4"/>
    <w:rsid w:val="00DF65C2"/>
    <w:rsid w:val="00DF65D8"/>
    <w:rsid w:val="00DF66AE"/>
    <w:rsid w:val="00DF6739"/>
    <w:rsid w:val="00DF68F6"/>
    <w:rsid w:val="00DF6A25"/>
    <w:rsid w:val="00DF6D14"/>
    <w:rsid w:val="00DF6DDB"/>
    <w:rsid w:val="00DF6F70"/>
    <w:rsid w:val="00DF740A"/>
    <w:rsid w:val="00DF76F1"/>
    <w:rsid w:val="00DF779F"/>
    <w:rsid w:val="00DF77E2"/>
    <w:rsid w:val="00DF785B"/>
    <w:rsid w:val="00DF78C1"/>
    <w:rsid w:val="00E000C1"/>
    <w:rsid w:val="00E001BF"/>
    <w:rsid w:val="00E002CF"/>
    <w:rsid w:val="00E00413"/>
    <w:rsid w:val="00E0041E"/>
    <w:rsid w:val="00E004D0"/>
    <w:rsid w:val="00E004F6"/>
    <w:rsid w:val="00E00506"/>
    <w:rsid w:val="00E005FE"/>
    <w:rsid w:val="00E006CF"/>
    <w:rsid w:val="00E0094D"/>
    <w:rsid w:val="00E00A07"/>
    <w:rsid w:val="00E00BE3"/>
    <w:rsid w:val="00E00DBC"/>
    <w:rsid w:val="00E00F22"/>
    <w:rsid w:val="00E00FC5"/>
    <w:rsid w:val="00E01115"/>
    <w:rsid w:val="00E011BE"/>
    <w:rsid w:val="00E014F6"/>
    <w:rsid w:val="00E01694"/>
    <w:rsid w:val="00E0181A"/>
    <w:rsid w:val="00E0187F"/>
    <w:rsid w:val="00E0195A"/>
    <w:rsid w:val="00E01B1C"/>
    <w:rsid w:val="00E01B24"/>
    <w:rsid w:val="00E01B93"/>
    <w:rsid w:val="00E01CEA"/>
    <w:rsid w:val="00E01E93"/>
    <w:rsid w:val="00E01F4B"/>
    <w:rsid w:val="00E02067"/>
    <w:rsid w:val="00E02388"/>
    <w:rsid w:val="00E0268A"/>
    <w:rsid w:val="00E026A3"/>
    <w:rsid w:val="00E02749"/>
    <w:rsid w:val="00E02826"/>
    <w:rsid w:val="00E0288E"/>
    <w:rsid w:val="00E02A04"/>
    <w:rsid w:val="00E02A7C"/>
    <w:rsid w:val="00E02AA4"/>
    <w:rsid w:val="00E02B5C"/>
    <w:rsid w:val="00E02D53"/>
    <w:rsid w:val="00E030EF"/>
    <w:rsid w:val="00E03168"/>
    <w:rsid w:val="00E0326B"/>
    <w:rsid w:val="00E03573"/>
    <w:rsid w:val="00E03599"/>
    <w:rsid w:val="00E038B4"/>
    <w:rsid w:val="00E03BCD"/>
    <w:rsid w:val="00E03CB1"/>
    <w:rsid w:val="00E03D0B"/>
    <w:rsid w:val="00E040C5"/>
    <w:rsid w:val="00E04178"/>
    <w:rsid w:val="00E042EE"/>
    <w:rsid w:val="00E04851"/>
    <w:rsid w:val="00E04A28"/>
    <w:rsid w:val="00E04CB9"/>
    <w:rsid w:val="00E04FB0"/>
    <w:rsid w:val="00E05089"/>
    <w:rsid w:val="00E050C2"/>
    <w:rsid w:val="00E05191"/>
    <w:rsid w:val="00E051A1"/>
    <w:rsid w:val="00E051B6"/>
    <w:rsid w:val="00E0567E"/>
    <w:rsid w:val="00E0574A"/>
    <w:rsid w:val="00E05A24"/>
    <w:rsid w:val="00E05A69"/>
    <w:rsid w:val="00E05B2C"/>
    <w:rsid w:val="00E05B69"/>
    <w:rsid w:val="00E05D1D"/>
    <w:rsid w:val="00E05F22"/>
    <w:rsid w:val="00E0633A"/>
    <w:rsid w:val="00E0648F"/>
    <w:rsid w:val="00E066A2"/>
    <w:rsid w:val="00E0686C"/>
    <w:rsid w:val="00E06A01"/>
    <w:rsid w:val="00E06B37"/>
    <w:rsid w:val="00E06C30"/>
    <w:rsid w:val="00E06DD0"/>
    <w:rsid w:val="00E06ED5"/>
    <w:rsid w:val="00E0713D"/>
    <w:rsid w:val="00E0734E"/>
    <w:rsid w:val="00E0745F"/>
    <w:rsid w:val="00E07A79"/>
    <w:rsid w:val="00E07B7B"/>
    <w:rsid w:val="00E07D01"/>
    <w:rsid w:val="00E07F31"/>
    <w:rsid w:val="00E100BF"/>
    <w:rsid w:val="00E10484"/>
    <w:rsid w:val="00E1050D"/>
    <w:rsid w:val="00E105C9"/>
    <w:rsid w:val="00E10656"/>
    <w:rsid w:val="00E1097D"/>
    <w:rsid w:val="00E10AEA"/>
    <w:rsid w:val="00E10CE4"/>
    <w:rsid w:val="00E10D64"/>
    <w:rsid w:val="00E10E6B"/>
    <w:rsid w:val="00E11531"/>
    <w:rsid w:val="00E11532"/>
    <w:rsid w:val="00E11B6F"/>
    <w:rsid w:val="00E11CD5"/>
    <w:rsid w:val="00E1206D"/>
    <w:rsid w:val="00E1209A"/>
    <w:rsid w:val="00E122A7"/>
    <w:rsid w:val="00E123FE"/>
    <w:rsid w:val="00E124E4"/>
    <w:rsid w:val="00E125CA"/>
    <w:rsid w:val="00E128EB"/>
    <w:rsid w:val="00E12952"/>
    <w:rsid w:val="00E129EE"/>
    <w:rsid w:val="00E12B46"/>
    <w:rsid w:val="00E12DF7"/>
    <w:rsid w:val="00E13139"/>
    <w:rsid w:val="00E13224"/>
    <w:rsid w:val="00E13276"/>
    <w:rsid w:val="00E134B0"/>
    <w:rsid w:val="00E13596"/>
    <w:rsid w:val="00E136CC"/>
    <w:rsid w:val="00E13826"/>
    <w:rsid w:val="00E13AB5"/>
    <w:rsid w:val="00E13ADB"/>
    <w:rsid w:val="00E13B7C"/>
    <w:rsid w:val="00E13CC4"/>
    <w:rsid w:val="00E140EB"/>
    <w:rsid w:val="00E142AA"/>
    <w:rsid w:val="00E146C5"/>
    <w:rsid w:val="00E146CB"/>
    <w:rsid w:val="00E14740"/>
    <w:rsid w:val="00E147B5"/>
    <w:rsid w:val="00E148F4"/>
    <w:rsid w:val="00E14966"/>
    <w:rsid w:val="00E14AC0"/>
    <w:rsid w:val="00E14D6A"/>
    <w:rsid w:val="00E14DE8"/>
    <w:rsid w:val="00E151D4"/>
    <w:rsid w:val="00E15282"/>
    <w:rsid w:val="00E15291"/>
    <w:rsid w:val="00E15340"/>
    <w:rsid w:val="00E15415"/>
    <w:rsid w:val="00E15470"/>
    <w:rsid w:val="00E15501"/>
    <w:rsid w:val="00E15731"/>
    <w:rsid w:val="00E158BB"/>
    <w:rsid w:val="00E158D9"/>
    <w:rsid w:val="00E1596D"/>
    <w:rsid w:val="00E15A51"/>
    <w:rsid w:val="00E15ED7"/>
    <w:rsid w:val="00E16136"/>
    <w:rsid w:val="00E161FE"/>
    <w:rsid w:val="00E16257"/>
    <w:rsid w:val="00E1627B"/>
    <w:rsid w:val="00E162F5"/>
    <w:rsid w:val="00E1634F"/>
    <w:rsid w:val="00E16470"/>
    <w:rsid w:val="00E16977"/>
    <w:rsid w:val="00E169C6"/>
    <w:rsid w:val="00E169D3"/>
    <w:rsid w:val="00E16A41"/>
    <w:rsid w:val="00E16BC4"/>
    <w:rsid w:val="00E16BF0"/>
    <w:rsid w:val="00E16C4C"/>
    <w:rsid w:val="00E16C9B"/>
    <w:rsid w:val="00E16DC9"/>
    <w:rsid w:val="00E16F6C"/>
    <w:rsid w:val="00E170E5"/>
    <w:rsid w:val="00E171AF"/>
    <w:rsid w:val="00E1743B"/>
    <w:rsid w:val="00E177F1"/>
    <w:rsid w:val="00E177F6"/>
    <w:rsid w:val="00E17B30"/>
    <w:rsid w:val="00E17DCA"/>
    <w:rsid w:val="00E17F61"/>
    <w:rsid w:val="00E17FEC"/>
    <w:rsid w:val="00E17FFD"/>
    <w:rsid w:val="00E20027"/>
    <w:rsid w:val="00E20059"/>
    <w:rsid w:val="00E201BD"/>
    <w:rsid w:val="00E201EA"/>
    <w:rsid w:val="00E20206"/>
    <w:rsid w:val="00E202C2"/>
    <w:rsid w:val="00E20425"/>
    <w:rsid w:val="00E207F3"/>
    <w:rsid w:val="00E2094C"/>
    <w:rsid w:val="00E2098E"/>
    <w:rsid w:val="00E209AD"/>
    <w:rsid w:val="00E20C81"/>
    <w:rsid w:val="00E20EEC"/>
    <w:rsid w:val="00E2113E"/>
    <w:rsid w:val="00E21152"/>
    <w:rsid w:val="00E211B8"/>
    <w:rsid w:val="00E2128F"/>
    <w:rsid w:val="00E213E0"/>
    <w:rsid w:val="00E21617"/>
    <w:rsid w:val="00E217F2"/>
    <w:rsid w:val="00E2181C"/>
    <w:rsid w:val="00E219AD"/>
    <w:rsid w:val="00E219B9"/>
    <w:rsid w:val="00E21B71"/>
    <w:rsid w:val="00E21B76"/>
    <w:rsid w:val="00E21C37"/>
    <w:rsid w:val="00E21E66"/>
    <w:rsid w:val="00E21EB9"/>
    <w:rsid w:val="00E21EC4"/>
    <w:rsid w:val="00E220B3"/>
    <w:rsid w:val="00E22252"/>
    <w:rsid w:val="00E22470"/>
    <w:rsid w:val="00E22775"/>
    <w:rsid w:val="00E227F2"/>
    <w:rsid w:val="00E22BE2"/>
    <w:rsid w:val="00E22D25"/>
    <w:rsid w:val="00E22EAC"/>
    <w:rsid w:val="00E2313B"/>
    <w:rsid w:val="00E2318F"/>
    <w:rsid w:val="00E233BD"/>
    <w:rsid w:val="00E233D2"/>
    <w:rsid w:val="00E2393E"/>
    <w:rsid w:val="00E23A19"/>
    <w:rsid w:val="00E23A9E"/>
    <w:rsid w:val="00E23AB2"/>
    <w:rsid w:val="00E24041"/>
    <w:rsid w:val="00E2423E"/>
    <w:rsid w:val="00E2447A"/>
    <w:rsid w:val="00E2461E"/>
    <w:rsid w:val="00E247A1"/>
    <w:rsid w:val="00E24811"/>
    <w:rsid w:val="00E24889"/>
    <w:rsid w:val="00E248CE"/>
    <w:rsid w:val="00E24948"/>
    <w:rsid w:val="00E24965"/>
    <w:rsid w:val="00E249C3"/>
    <w:rsid w:val="00E24B33"/>
    <w:rsid w:val="00E24CBD"/>
    <w:rsid w:val="00E24F17"/>
    <w:rsid w:val="00E251C7"/>
    <w:rsid w:val="00E2534D"/>
    <w:rsid w:val="00E25394"/>
    <w:rsid w:val="00E254A2"/>
    <w:rsid w:val="00E2564F"/>
    <w:rsid w:val="00E257ED"/>
    <w:rsid w:val="00E258B0"/>
    <w:rsid w:val="00E25AC8"/>
    <w:rsid w:val="00E25C14"/>
    <w:rsid w:val="00E25C25"/>
    <w:rsid w:val="00E262FB"/>
    <w:rsid w:val="00E263D2"/>
    <w:rsid w:val="00E264A5"/>
    <w:rsid w:val="00E26550"/>
    <w:rsid w:val="00E26934"/>
    <w:rsid w:val="00E26A78"/>
    <w:rsid w:val="00E26B72"/>
    <w:rsid w:val="00E26C24"/>
    <w:rsid w:val="00E26C6C"/>
    <w:rsid w:val="00E26DED"/>
    <w:rsid w:val="00E27080"/>
    <w:rsid w:val="00E270B0"/>
    <w:rsid w:val="00E27425"/>
    <w:rsid w:val="00E27504"/>
    <w:rsid w:val="00E2752D"/>
    <w:rsid w:val="00E27709"/>
    <w:rsid w:val="00E2774A"/>
    <w:rsid w:val="00E277F7"/>
    <w:rsid w:val="00E279AE"/>
    <w:rsid w:val="00E27B6A"/>
    <w:rsid w:val="00E27B9B"/>
    <w:rsid w:val="00E27DFB"/>
    <w:rsid w:val="00E30045"/>
    <w:rsid w:val="00E302B2"/>
    <w:rsid w:val="00E302F5"/>
    <w:rsid w:val="00E30328"/>
    <w:rsid w:val="00E303CA"/>
    <w:rsid w:val="00E304A4"/>
    <w:rsid w:val="00E30782"/>
    <w:rsid w:val="00E30D8F"/>
    <w:rsid w:val="00E314EE"/>
    <w:rsid w:val="00E315DB"/>
    <w:rsid w:val="00E31A35"/>
    <w:rsid w:val="00E31AA2"/>
    <w:rsid w:val="00E320B1"/>
    <w:rsid w:val="00E3217B"/>
    <w:rsid w:val="00E327D2"/>
    <w:rsid w:val="00E32A01"/>
    <w:rsid w:val="00E32B5D"/>
    <w:rsid w:val="00E32C61"/>
    <w:rsid w:val="00E32DEF"/>
    <w:rsid w:val="00E32E9A"/>
    <w:rsid w:val="00E3364D"/>
    <w:rsid w:val="00E33791"/>
    <w:rsid w:val="00E33886"/>
    <w:rsid w:val="00E3388C"/>
    <w:rsid w:val="00E33957"/>
    <w:rsid w:val="00E33C63"/>
    <w:rsid w:val="00E341E6"/>
    <w:rsid w:val="00E34223"/>
    <w:rsid w:val="00E343BB"/>
    <w:rsid w:val="00E343F8"/>
    <w:rsid w:val="00E34443"/>
    <w:rsid w:val="00E34450"/>
    <w:rsid w:val="00E34778"/>
    <w:rsid w:val="00E347E2"/>
    <w:rsid w:val="00E34AB8"/>
    <w:rsid w:val="00E34F22"/>
    <w:rsid w:val="00E350E6"/>
    <w:rsid w:val="00E3516E"/>
    <w:rsid w:val="00E3551D"/>
    <w:rsid w:val="00E35548"/>
    <w:rsid w:val="00E3588A"/>
    <w:rsid w:val="00E35AE7"/>
    <w:rsid w:val="00E35BE2"/>
    <w:rsid w:val="00E35C7B"/>
    <w:rsid w:val="00E36009"/>
    <w:rsid w:val="00E361E4"/>
    <w:rsid w:val="00E365AB"/>
    <w:rsid w:val="00E366F4"/>
    <w:rsid w:val="00E36719"/>
    <w:rsid w:val="00E36873"/>
    <w:rsid w:val="00E369AC"/>
    <w:rsid w:val="00E3745D"/>
    <w:rsid w:val="00E374D9"/>
    <w:rsid w:val="00E37508"/>
    <w:rsid w:val="00E3753E"/>
    <w:rsid w:val="00E37544"/>
    <w:rsid w:val="00E375FC"/>
    <w:rsid w:val="00E375FE"/>
    <w:rsid w:val="00E37736"/>
    <w:rsid w:val="00E37892"/>
    <w:rsid w:val="00E37954"/>
    <w:rsid w:val="00E37DE5"/>
    <w:rsid w:val="00E37DFC"/>
    <w:rsid w:val="00E40107"/>
    <w:rsid w:val="00E402BE"/>
    <w:rsid w:val="00E403CB"/>
    <w:rsid w:val="00E40492"/>
    <w:rsid w:val="00E40662"/>
    <w:rsid w:val="00E406AE"/>
    <w:rsid w:val="00E408B3"/>
    <w:rsid w:val="00E40A76"/>
    <w:rsid w:val="00E40B69"/>
    <w:rsid w:val="00E410C4"/>
    <w:rsid w:val="00E4118F"/>
    <w:rsid w:val="00E4134F"/>
    <w:rsid w:val="00E4150B"/>
    <w:rsid w:val="00E415D7"/>
    <w:rsid w:val="00E41847"/>
    <w:rsid w:val="00E41AA0"/>
    <w:rsid w:val="00E41C7E"/>
    <w:rsid w:val="00E41EDB"/>
    <w:rsid w:val="00E41FD3"/>
    <w:rsid w:val="00E42086"/>
    <w:rsid w:val="00E42099"/>
    <w:rsid w:val="00E42164"/>
    <w:rsid w:val="00E42419"/>
    <w:rsid w:val="00E425F2"/>
    <w:rsid w:val="00E425F7"/>
    <w:rsid w:val="00E4289B"/>
    <w:rsid w:val="00E4293E"/>
    <w:rsid w:val="00E42A7D"/>
    <w:rsid w:val="00E42BB9"/>
    <w:rsid w:val="00E42C25"/>
    <w:rsid w:val="00E42E2C"/>
    <w:rsid w:val="00E42E6A"/>
    <w:rsid w:val="00E431D3"/>
    <w:rsid w:val="00E4325D"/>
    <w:rsid w:val="00E4353E"/>
    <w:rsid w:val="00E4358C"/>
    <w:rsid w:val="00E435A4"/>
    <w:rsid w:val="00E4391D"/>
    <w:rsid w:val="00E43ED3"/>
    <w:rsid w:val="00E43F64"/>
    <w:rsid w:val="00E440EB"/>
    <w:rsid w:val="00E4421A"/>
    <w:rsid w:val="00E44233"/>
    <w:rsid w:val="00E449D2"/>
    <w:rsid w:val="00E44D43"/>
    <w:rsid w:val="00E45004"/>
    <w:rsid w:val="00E4522C"/>
    <w:rsid w:val="00E453BD"/>
    <w:rsid w:val="00E45596"/>
    <w:rsid w:val="00E45661"/>
    <w:rsid w:val="00E45714"/>
    <w:rsid w:val="00E45850"/>
    <w:rsid w:val="00E458BD"/>
    <w:rsid w:val="00E45C71"/>
    <w:rsid w:val="00E45C7F"/>
    <w:rsid w:val="00E45F15"/>
    <w:rsid w:val="00E4636F"/>
    <w:rsid w:val="00E4637F"/>
    <w:rsid w:val="00E463FB"/>
    <w:rsid w:val="00E464C8"/>
    <w:rsid w:val="00E467B1"/>
    <w:rsid w:val="00E4690C"/>
    <w:rsid w:val="00E46B68"/>
    <w:rsid w:val="00E46D93"/>
    <w:rsid w:val="00E46E83"/>
    <w:rsid w:val="00E472A4"/>
    <w:rsid w:val="00E473BF"/>
    <w:rsid w:val="00E47509"/>
    <w:rsid w:val="00E47A73"/>
    <w:rsid w:val="00E47AF5"/>
    <w:rsid w:val="00E47B4F"/>
    <w:rsid w:val="00E47D1F"/>
    <w:rsid w:val="00E47F88"/>
    <w:rsid w:val="00E500C1"/>
    <w:rsid w:val="00E50364"/>
    <w:rsid w:val="00E503A7"/>
    <w:rsid w:val="00E503C4"/>
    <w:rsid w:val="00E504C2"/>
    <w:rsid w:val="00E50592"/>
    <w:rsid w:val="00E505E2"/>
    <w:rsid w:val="00E507CD"/>
    <w:rsid w:val="00E50834"/>
    <w:rsid w:val="00E50902"/>
    <w:rsid w:val="00E50C93"/>
    <w:rsid w:val="00E50C96"/>
    <w:rsid w:val="00E50D2C"/>
    <w:rsid w:val="00E51295"/>
    <w:rsid w:val="00E512AC"/>
    <w:rsid w:val="00E512BD"/>
    <w:rsid w:val="00E517BF"/>
    <w:rsid w:val="00E51946"/>
    <w:rsid w:val="00E51A1F"/>
    <w:rsid w:val="00E51E2B"/>
    <w:rsid w:val="00E51F01"/>
    <w:rsid w:val="00E51F23"/>
    <w:rsid w:val="00E523CE"/>
    <w:rsid w:val="00E52AB3"/>
    <w:rsid w:val="00E52DE0"/>
    <w:rsid w:val="00E5302A"/>
    <w:rsid w:val="00E53342"/>
    <w:rsid w:val="00E539CE"/>
    <w:rsid w:val="00E53EE0"/>
    <w:rsid w:val="00E543B5"/>
    <w:rsid w:val="00E54510"/>
    <w:rsid w:val="00E545A8"/>
    <w:rsid w:val="00E5478B"/>
    <w:rsid w:val="00E54953"/>
    <w:rsid w:val="00E54B21"/>
    <w:rsid w:val="00E54E19"/>
    <w:rsid w:val="00E54E5D"/>
    <w:rsid w:val="00E54E65"/>
    <w:rsid w:val="00E54ED1"/>
    <w:rsid w:val="00E54F1E"/>
    <w:rsid w:val="00E55025"/>
    <w:rsid w:val="00E550A9"/>
    <w:rsid w:val="00E5512E"/>
    <w:rsid w:val="00E55266"/>
    <w:rsid w:val="00E5537F"/>
    <w:rsid w:val="00E556FE"/>
    <w:rsid w:val="00E558FF"/>
    <w:rsid w:val="00E55979"/>
    <w:rsid w:val="00E559CB"/>
    <w:rsid w:val="00E55DF3"/>
    <w:rsid w:val="00E55F70"/>
    <w:rsid w:val="00E5633C"/>
    <w:rsid w:val="00E567B6"/>
    <w:rsid w:val="00E567BA"/>
    <w:rsid w:val="00E5682D"/>
    <w:rsid w:val="00E568C1"/>
    <w:rsid w:val="00E56B80"/>
    <w:rsid w:val="00E56D93"/>
    <w:rsid w:val="00E5717E"/>
    <w:rsid w:val="00E572DB"/>
    <w:rsid w:val="00E5738E"/>
    <w:rsid w:val="00E573B9"/>
    <w:rsid w:val="00E5750F"/>
    <w:rsid w:val="00E575CE"/>
    <w:rsid w:val="00E575CF"/>
    <w:rsid w:val="00E576DE"/>
    <w:rsid w:val="00E57BD7"/>
    <w:rsid w:val="00E57D5D"/>
    <w:rsid w:val="00E57DD4"/>
    <w:rsid w:val="00E60627"/>
    <w:rsid w:val="00E6074C"/>
    <w:rsid w:val="00E607AD"/>
    <w:rsid w:val="00E607E9"/>
    <w:rsid w:val="00E60809"/>
    <w:rsid w:val="00E6090B"/>
    <w:rsid w:val="00E609EA"/>
    <w:rsid w:val="00E60C90"/>
    <w:rsid w:val="00E60F29"/>
    <w:rsid w:val="00E60FFE"/>
    <w:rsid w:val="00E61100"/>
    <w:rsid w:val="00E61200"/>
    <w:rsid w:val="00E614D4"/>
    <w:rsid w:val="00E617D7"/>
    <w:rsid w:val="00E61C3F"/>
    <w:rsid w:val="00E61D9A"/>
    <w:rsid w:val="00E62760"/>
    <w:rsid w:val="00E62AFB"/>
    <w:rsid w:val="00E62C6C"/>
    <w:rsid w:val="00E62CDE"/>
    <w:rsid w:val="00E62DB2"/>
    <w:rsid w:val="00E630CE"/>
    <w:rsid w:val="00E631B4"/>
    <w:rsid w:val="00E6336F"/>
    <w:rsid w:val="00E633DB"/>
    <w:rsid w:val="00E6343D"/>
    <w:rsid w:val="00E63544"/>
    <w:rsid w:val="00E63775"/>
    <w:rsid w:val="00E63828"/>
    <w:rsid w:val="00E63BF9"/>
    <w:rsid w:val="00E63F00"/>
    <w:rsid w:val="00E6400A"/>
    <w:rsid w:val="00E64022"/>
    <w:rsid w:val="00E640C4"/>
    <w:rsid w:val="00E6434A"/>
    <w:rsid w:val="00E6461A"/>
    <w:rsid w:val="00E6481F"/>
    <w:rsid w:val="00E64AC9"/>
    <w:rsid w:val="00E64AF3"/>
    <w:rsid w:val="00E64C50"/>
    <w:rsid w:val="00E65147"/>
    <w:rsid w:val="00E65156"/>
    <w:rsid w:val="00E65650"/>
    <w:rsid w:val="00E65864"/>
    <w:rsid w:val="00E6587F"/>
    <w:rsid w:val="00E65979"/>
    <w:rsid w:val="00E65A0F"/>
    <w:rsid w:val="00E65CC0"/>
    <w:rsid w:val="00E6608E"/>
    <w:rsid w:val="00E6612E"/>
    <w:rsid w:val="00E66144"/>
    <w:rsid w:val="00E6620A"/>
    <w:rsid w:val="00E66465"/>
    <w:rsid w:val="00E6678C"/>
    <w:rsid w:val="00E66901"/>
    <w:rsid w:val="00E66A0D"/>
    <w:rsid w:val="00E66C42"/>
    <w:rsid w:val="00E66EEB"/>
    <w:rsid w:val="00E67051"/>
    <w:rsid w:val="00E6715B"/>
    <w:rsid w:val="00E67173"/>
    <w:rsid w:val="00E672DF"/>
    <w:rsid w:val="00E67414"/>
    <w:rsid w:val="00E6767D"/>
    <w:rsid w:val="00E67876"/>
    <w:rsid w:val="00E6788A"/>
    <w:rsid w:val="00E67914"/>
    <w:rsid w:val="00E67985"/>
    <w:rsid w:val="00E67D6A"/>
    <w:rsid w:val="00E700E5"/>
    <w:rsid w:val="00E7047C"/>
    <w:rsid w:val="00E7051A"/>
    <w:rsid w:val="00E70A65"/>
    <w:rsid w:val="00E70B2A"/>
    <w:rsid w:val="00E712C0"/>
    <w:rsid w:val="00E7140D"/>
    <w:rsid w:val="00E71556"/>
    <w:rsid w:val="00E71770"/>
    <w:rsid w:val="00E7186A"/>
    <w:rsid w:val="00E718DB"/>
    <w:rsid w:val="00E71B1A"/>
    <w:rsid w:val="00E71BA4"/>
    <w:rsid w:val="00E71CD5"/>
    <w:rsid w:val="00E7214B"/>
    <w:rsid w:val="00E72205"/>
    <w:rsid w:val="00E72500"/>
    <w:rsid w:val="00E72A2D"/>
    <w:rsid w:val="00E72E15"/>
    <w:rsid w:val="00E72F2B"/>
    <w:rsid w:val="00E73F8D"/>
    <w:rsid w:val="00E7404B"/>
    <w:rsid w:val="00E74064"/>
    <w:rsid w:val="00E74433"/>
    <w:rsid w:val="00E74498"/>
    <w:rsid w:val="00E745D0"/>
    <w:rsid w:val="00E746A3"/>
    <w:rsid w:val="00E746F5"/>
    <w:rsid w:val="00E74866"/>
    <w:rsid w:val="00E74AFB"/>
    <w:rsid w:val="00E74C36"/>
    <w:rsid w:val="00E74CA8"/>
    <w:rsid w:val="00E74D43"/>
    <w:rsid w:val="00E74D80"/>
    <w:rsid w:val="00E75301"/>
    <w:rsid w:val="00E75430"/>
    <w:rsid w:val="00E758B6"/>
    <w:rsid w:val="00E7590D"/>
    <w:rsid w:val="00E759CD"/>
    <w:rsid w:val="00E75B11"/>
    <w:rsid w:val="00E75B7D"/>
    <w:rsid w:val="00E75D28"/>
    <w:rsid w:val="00E761AB"/>
    <w:rsid w:val="00E761C4"/>
    <w:rsid w:val="00E763BE"/>
    <w:rsid w:val="00E76524"/>
    <w:rsid w:val="00E766D2"/>
    <w:rsid w:val="00E76984"/>
    <w:rsid w:val="00E77046"/>
    <w:rsid w:val="00E771D3"/>
    <w:rsid w:val="00E77529"/>
    <w:rsid w:val="00E775A5"/>
    <w:rsid w:val="00E775E4"/>
    <w:rsid w:val="00E77699"/>
    <w:rsid w:val="00E776E0"/>
    <w:rsid w:val="00E77798"/>
    <w:rsid w:val="00E77BC9"/>
    <w:rsid w:val="00E77D4A"/>
    <w:rsid w:val="00E77EB4"/>
    <w:rsid w:val="00E77F07"/>
    <w:rsid w:val="00E77F3D"/>
    <w:rsid w:val="00E8045F"/>
    <w:rsid w:val="00E805AA"/>
    <w:rsid w:val="00E80670"/>
    <w:rsid w:val="00E80697"/>
    <w:rsid w:val="00E808CA"/>
    <w:rsid w:val="00E809BB"/>
    <w:rsid w:val="00E80B04"/>
    <w:rsid w:val="00E80C7F"/>
    <w:rsid w:val="00E80D14"/>
    <w:rsid w:val="00E80DA3"/>
    <w:rsid w:val="00E80F2A"/>
    <w:rsid w:val="00E80FA8"/>
    <w:rsid w:val="00E81403"/>
    <w:rsid w:val="00E8144E"/>
    <w:rsid w:val="00E81516"/>
    <w:rsid w:val="00E81675"/>
    <w:rsid w:val="00E8171E"/>
    <w:rsid w:val="00E81855"/>
    <w:rsid w:val="00E81914"/>
    <w:rsid w:val="00E81AFF"/>
    <w:rsid w:val="00E81C53"/>
    <w:rsid w:val="00E81F40"/>
    <w:rsid w:val="00E820D1"/>
    <w:rsid w:val="00E8212C"/>
    <w:rsid w:val="00E82208"/>
    <w:rsid w:val="00E822E4"/>
    <w:rsid w:val="00E824F3"/>
    <w:rsid w:val="00E82837"/>
    <w:rsid w:val="00E82BAC"/>
    <w:rsid w:val="00E82BB9"/>
    <w:rsid w:val="00E82CED"/>
    <w:rsid w:val="00E82D28"/>
    <w:rsid w:val="00E830ED"/>
    <w:rsid w:val="00E831A8"/>
    <w:rsid w:val="00E831BD"/>
    <w:rsid w:val="00E834DE"/>
    <w:rsid w:val="00E835DC"/>
    <w:rsid w:val="00E839C2"/>
    <w:rsid w:val="00E83D9D"/>
    <w:rsid w:val="00E83F08"/>
    <w:rsid w:val="00E84069"/>
    <w:rsid w:val="00E84146"/>
    <w:rsid w:val="00E84448"/>
    <w:rsid w:val="00E844C0"/>
    <w:rsid w:val="00E84554"/>
    <w:rsid w:val="00E84F6A"/>
    <w:rsid w:val="00E850BD"/>
    <w:rsid w:val="00E8519D"/>
    <w:rsid w:val="00E851AD"/>
    <w:rsid w:val="00E8559E"/>
    <w:rsid w:val="00E855EF"/>
    <w:rsid w:val="00E8590E"/>
    <w:rsid w:val="00E859B2"/>
    <w:rsid w:val="00E85A7C"/>
    <w:rsid w:val="00E85AE3"/>
    <w:rsid w:val="00E85CBE"/>
    <w:rsid w:val="00E85CC3"/>
    <w:rsid w:val="00E85F38"/>
    <w:rsid w:val="00E8611E"/>
    <w:rsid w:val="00E863C3"/>
    <w:rsid w:val="00E8641C"/>
    <w:rsid w:val="00E86421"/>
    <w:rsid w:val="00E86551"/>
    <w:rsid w:val="00E86618"/>
    <w:rsid w:val="00E86659"/>
    <w:rsid w:val="00E8681B"/>
    <w:rsid w:val="00E8684D"/>
    <w:rsid w:val="00E86BDC"/>
    <w:rsid w:val="00E86C84"/>
    <w:rsid w:val="00E86D4B"/>
    <w:rsid w:val="00E86EA2"/>
    <w:rsid w:val="00E8730C"/>
    <w:rsid w:val="00E87A78"/>
    <w:rsid w:val="00E87C67"/>
    <w:rsid w:val="00E87EA9"/>
    <w:rsid w:val="00E87F05"/>
    <w:rsid w:val="00E87F8C"/>
    <w:rsid w:val="00E90082"/>
    <w:rsid w:val="00E90566"/>
    <w:rsid w:val="00E9087D"/>
    <w:rsid w:val="00E9091A"/>
    <w:rsid w:val="00E909FD"/>
    <w:rsid w:val="00E9129F"/>
    <w:rsid w:val="00E912A2"/>
    <w:rsid w:val="00E91715"/>
    <w:rsid w:val="00E91775"/>
    <w:rsid w:val="00E91A11"/>
    <w:rsid w:val="00E91B3A"/>
    <w:rsid w:val="00E91BA8"/>
    <w:rsid w:val="00E91CAA"/>
    <w:rsid w:val="00E91E39"/>
    <w:rsid w:val="00E92011"/>
    <w:rsid w:val="00E9211F"/>
    <w:rsid w:val="00E921E9"/>
    <w:rsid w:val="00E92273"/>
    <w:rsid w:val="00E92282"/>
    <w:rsid w:val="00E9232C"/>
    <w:rsid w:val="00E92680"/>
    <w:rsid w:val="00E9283D"/>
    <w:rsid w:val="00E928D8"/>
    <w:rsid w:val="00E929C7"/>
    <w:rsid w:val="00E92C0A"/>
    <w:rsid w:val="00E92C11"/>
    <w:rsid w:val="00E92CAD"/>
    <w:rsid w:val="00E92DCE"/>
    <w:rsid w:val="00E92E7E"/>
    <w:rsid w:val="00E9304A"/>
    <w:rsid w:val="00E9307A"/>
    <w:rsid w:val="00E9324E"/>
    <w:rsid w:val="00E932E2"/>
    <w:rsid w:val="00E9340E"/>
    <w:rsid w:val="00E934D2"/>
    <w:rsid w:val="00E938A5"/>
    <w:rsid w:val="00E93AC9"/>
    <w:rsid w:val="00E93C41"/>
    <w:rsid w:val="00E93DAA"/>
    <w:rsid w:val="00E93F6C"/>
    <w:rsid w:val="00E94180"/>
    <w:rsid w:val="00E941BB"/>
    <w:rsid w:val="00E94275"/>
    <w:rsid w:val="00E94433"/>
    <w:rsid w:val="00E944AE"/>
    <w:rsid w:val="00E944F8"/>
    <w:rsid w:val="00E94832"/>
    <w:rsid w:val="00E9483C"/>
    <w:rsid w:val="00E94B5D"/>
    <w:rsid w:val="00E94BD1"/>
    <w:rsid w:val="00E94E06"/>
    <w:rsid w:val="00E950E5"/>
    <w:rsid w:val="00E951D5"/>
    <w:rsid w:val="00E953A4"/>
    <w:rsid w:val="00E9542E"/>
    <w:rsid w:val="00E95522"/>
    <w:rsid w:val="00E9569B"/>
    <w:rsid w:val="00E956FB"/>
    <w:rsid w:val="00E95706"/>
    <w:rsid w:val="00E958EE"/>
    <w:rsid w:val="00E959D4"/>
    <w:rsid w:val="00E95B8E"/>
    <w:rsid w:val="00E95BD9"/>
    <w:rsid w:val="00E95E10"/>
    <w:rsid w:val="00E961D1"/>
    <w:rsid w:val="00E9626C"/>
    <w:rsid w:val="00E964C5"/>
    <w:rsid w:val="00E964F6"/>
    <w:rsid w:val="00E966AB"/>
    <w:rsid w:val="00E966D7"/>
    <w:rsid w:val="00E96722"/>
    <w:rsid w:val="00E96850"/>
    <w:rsid w:val="00E96BE7"/>
    <w:rsid w:val="00E96D38"/>
    <w:rsid w:val="00E96F4B"/>
    <w:rsid w:val="00E9716F"/>
    <w:rsid w:val="00E9735E"/>
    <w:rsid w:val="00E97370"/>
    <w:rsid w:val="00E974C3"/>
    <w:rsid w:val="00E974DA"/>
    <w:rsid w:val="00E97B4E"/>
    <w:rsid w:val="00E97DEC"/>
    <w:rsid w:val="00E97F9F"/>
    <w:rsid w:val="00EA022D"/>
    <w:rsid w:val="00EA02B4"/>
    <w:rsid w:val="00EA05B7"/>
    <w:rsid w:val="00EA0715"/>
    <w:rsid w:val="00EA0A1A"/>
    <w:rsid w:val="00EA0AAA"/>
    <w:rsid w:val="00EA0D3D"/>
    <w:rsid w:val="00EA0DF2"/>
    <w:rsid w:val="00EA0E70"/>
    <w:rsid w:val="00EA12B9"/>
    <w:rsid w:val="00EA1360"/>
    <w:rsid w:val="00EA1399"/>
    <w:rsid w:val="00EA162F"/>
    <w:rsid w:val="00EA1697"/>
    <w:rsid w:val="00EA177F"/>
    <w:rsid w:val="00EA1835"/>
    <w:rsid w:val="00EA1AF1"/>
    <w:rsid w:val="00EA1ECD"/>
    <w:rsid w:val="00EA1FB9"/>
    <w:rsid w:val="00EA1FBF"/>
    <w:rsid w:val="00EA221C"/>
    <w:rsid w:val="00EA2618"/>
    <w:rsid w:val="00EA27DD"/>
    <w:rsid w:val="00EA2B84"/>
    <w:rsid w:val="00EA2E1A"/>
    <w:rsid w:val="00EA2FA8"/>
    <w:rsid w:val="00EA353C"/>
    <w:rsid w:val="00EA360C"/>
    <w:rsid w:val="00EA3668"/>
    <w:rsid w:val="00EA3868"/>
    <w:rsid w:val="00EA396A"/>
    <w:rsid w:val="00EA3AC6"/>
    <w:rsid w:val="00EA3F87"/>
    <w:rsid w:val="00EA3FF5"/>
    <w:rsid w:val="00EA40BE"/>
    <w:rsid w:val="00EA4335"/>
    <w:rsid w:val="00EA4792"/>
    <w:rsid w:val="00EA4934"/>
    <w:rsid w:val="00EA4A04"/>
    <w:rsid w:val="00EA4A8E"/>
    <w:rsid w:val="00EA4AB4"/>
    <w:rsid w:val="00EA4B86"/>
    <w:rsid w:val="00EA4EB4"/>
    <w:rsid w:val="00EA509B"/>
    <w:rsid w:val="00EA523D"/>
    <w:rsid w:val="00EA5288"/>
    <w:rsid w:val="00EA53F0"/>
    <w:rsid w:val="00EA5589"/>
    <w:rsid w:val="00EA55AC"/>
    <w:rsid w:val="00EA586C"/>
    <w:rsid w:val="00EA5B0F"/>
    <w:rsid w:val="00EA5B9C"/>
    <w:rsid w:val="00EA5EAC"/>
    <w:rsid w:val="00EA5F2C"/>
    <w:rsid w:val="00EA685C"/>
    <w:rsid w:val="00EA6D36"/>
    <w:rsid w:val="00EA75FE"/>
    <w:rsid w:val="00EA772F"/>
    <w:rsid w:val="00EA7EA8"/>
    <w:rsid w:val="00EB032B"/>
    <w:rsid w:val="00EB0532"/>
    <w:rsid w:val="00EB0606"/>
    <w:rsid w:val="00EB06D6"/>
    <w:rsid w:val="00EB073B"/>
    <w:rsid w:val="00EB0802"/>
    <w:rsid w:val="00EB0818"/>
    <w:rsid w:val="00EB09FA"/>
    <w:rsid w:val="00EB0A59"/>
    <w:rsid w:val="00EB0A6B"/>
    <w:rsid w:val="00EB0BBB"/>
    <w:rsid w:val="00EB0BC8"/>
    <w:rsid w:val="00EB0EF2"/>
    <w:rsid w:val="00EB1090"/>
    <w:rsid w:val="00EB1172"/>
    <w:rsid w:val="00EB1331"/>
    <w:rsid w:val="00EB1830"/>
    <w:rsid w:val="00EB1837"/>
    <w:rsid w:val="00EB1B2D"/>
    <w:rsid w:val="00EB1C88"/>
    <w:rsid w:val="00EB1CDA"/>
    <w:rsid w:val="00EB1DF1"/>
    <w:rsid w:val="00EB1EC5"/>
    <w:rsid w:val="00EB2842"/>
    <w:rsid w:val="00EB2BC7"/>
    <w:rsid w:val="00EB2F24"/>
    <w:rsid w:val="00EB3046"/>
    <w:rsid w:val="00EB30B2"/>
    <w:rsid w:val="00EB32B1"/>
    <w:rsid w:val="00EB3595"/>
    <w:rsid w:val="00EB38D0"/>
    <w:rsid w:val="00EB3D53"/>
    <w:rsid w:val="00EB3EDF"/>
    <w:rsid w:val="00EB3FB5"/>
    <w:rsid w:val="00EB42D5"/>
    <w:rsid w:val="00EB4378"/>
    <w:rsid w:val="00EB4423"/>
    <w:rsid w:val="00EB44EE"/>
    <w:rsid w:val="00EB4563"/>
    <w:rsid w:val="00EB4769"/>
    <w:rsid w:val="00EB483C"/>
    <w:rsid w:val="00EB4A4F"/>
    <w:rsid w:val="00EB4A9C"/>
    <w:rsid w:val="00EB4D10"/>
    <w:rsid w:val="00EB4F45"/>
    <w:rsid w:val="00EB4FEB"/>
    <w:rsid w:val="00EB5051"/>
    <w:rsid w:val="00EB5132"/>
    <w:rsid w:val="00EB51A5"/>
    <w:rsid w:val="00EB51E9"/>
    <w:rsid w:val="00EB5257"/>
    <w:rsid w:val="00EB52B1"/>
    <w:rsid w:val="00EB547C"/>
    <w:rsid w:val="00EB54CE"/>
    <w:rsid w:val="00EB5A53"/>
    <w:rsid w:val="00EB5AB1"/>
    <w:rsid w:val="00EB5BB4"/>
    <w:rsid w:val="00EB5BB8"/>
    <w:rsid w:val="00EB5C14"/>
    <w:rsid w:val="00EB5D0F"/>
    <w:rsid w:val="00EB613F"/>
    <w:rsid w:val="00EB61C8"/>
    <w:rsid w:val="00EB62A5"/>
    <w:rsid w:val="00EB62D7"/>
    <w:rsid w:val="00EB62ED"/>
    <w:rsid w:val="00EB6350"/>
    <w:rsid w:val="00EB63A8"/>
    <w:rsid w:val="00EB654A"/>
    <w:rsid w:val="00EB66A9"/>
    <w:rsid w:val="00EB6A8A"/>
    <w:rsid w:val="00EB6C81"/>
    <w:rsid w:val="00EB6D41"/>
    <w:rsid w:val="00EB7219"/>
    <w:rsid w:val="00EB73EC"/>
    <w:rsid w:val="00EB77A5"/>
    <w:rsid w:val="00EB7803"/>
    <w:rsid w:val="00EB790D"/>
    <w:rsid w:val="00EB7A25"/>
    <w:rsid w:val="00EB7B5B"/>
    <w:rsid w:val="00EB7D1C"/>
    <w:rsid w:val="00EB7F2C"/>
    <w:rsid w:val="00EC005A"/>
    <w:rsid w:val="00EC02B2"/>
    <w:rsid w:val="00EC074E"/>
    <w:rsid w:val="00EC088B"/>
    <w:rsid w:val="00EC093E"/>
    <w:rsid w:val="00EC0C99"/>
    <w:rsid w:val="00EC0D70"/>
    <w:rsid w:val="00EC0DE2"/>
    <w:rsid w:val="00EC101E"/>
    <w:rsid w:val="00EC141C"/>
    <w:rsid w:val="00EC150D"/>
    <w:rsid w:val="00EC1559"/>
    <w:rsid w:val="00EC188C"/>
    <w:rsid w:val="00EC1978"/>
    <w:rsid w:val="00EC1CE3"/>
    <w:rsid w:val="00EC1E09"/>
    <w:rsid w:val="00EC205D"/>
    <w:rsid w:val="00EC215B"/>
    <w:rsid w:val="00EC2163"/>
    <w:rsid w:val="00EC216D"/>
    <w:rsid w:val="00EC2BD3"/>
    <w:rsid w:val="00EC2D7A"/>
    <w:rsid w:val="00EC2FF2"/>
    <w:rsid w:val="00EC30B2"/>
    <w:rsid w:val="00EC3239"/>
    <w:rsid w:val="00EC3369"/>
    <w:rsid w:val="00EC3663"/>
    <w:rsid w:val="00EC3B92"/>
    <w:rsid w:val="00EC3FE2"/>
    <w:rsid w:val="00EC3FE4"/>
    <w:rsid w:val="00EC40F6"/>
    <w:rsid w:val="00EC411C"/>
    <w:rsid w:val="00EC41AA"/>
    <w:rsid w:val="00EC42FA"/>
    <w:rsid w:val="00EC4444"/>
    <w:rsid w:val="00EC4880"/>
    <w:rsid w:val="00EC492A"/>
    <w:rsid w:val="00EC4A8C"/>
    <w:rsid w:val="00EC4CC1"/>
    <w:rsid w:val="00EC4E26"/>
    <w:rsid w:val="00EC5448"/>
    <w:rsid w:val="00EC5545"/>
    <w:rsid w:val="00EC5584"/>
    <w:rsid w:val="00EC5A44"/>
    <w:rsid w:val="00EC5AD3"/>
    <w:rsid w:val="00EC5BE4"/>
    <w:rsid w:val="00EC5D0F"/>
    <w:rsid w:val="00EC5E51"/>
    <w:rsid w:val="00EC5EB4"/>
    <w:rsid w:val="00EC60B7"/>
    <w:rsid w:val="00EC62E4"/>
    <w:rsid w:val="00EC661F"/>
    <w:rsid w:val="00EC69D1"/>
    <w:rsid w:val="00EC6BB6"/>
    <w:rsid w:val="00EC6D3B"/>
    <w:rsid w:val="00EC6DFE"/>
    <w:rsid w:val="00EC7010"/>
    <w:rsid w:val="00EC74AC"/>
    <w:rsid w:val="00EC7599"/>
    <w:rsid w:val="00EC786E"/>
    <w:rsid w:val="00EC794C"/>
    <w:rsid w:val="00EC7A4E"/>
    <w:rsid w:val="00EC7B14"/>
    <w:rsid w:val="00EC7BA9"/>
    <w:rsid w:val="00EC7CEE"/>
    <w:rsid w:val="00EC7ED9"/>
    <w:rsid w:val="00ED0158"/>
    <w:rsid w:val="00ED0247"/>
    <w:rsid w:val="00ED03DE"/>
    <w:rsid w:val="00ED0415"/>
    <w:rsid w:val="00ED0481"/>
    <w:rsid w:val="00ED050A"/>
    <w:rsid w:val="00ED0B23"/>
    <w:rsid w:val="00ED0B5B"/>
    <w:rsid w:val="00ED0CA9"/>
    <w:rsid w:val="00ED0E5A"/>
    <w:rsid w:val="00ED13CE"/>
    <w:rsid w:val="00ED1503"/>
    <w:rsid w:val="00ED19C6"/>
    <w:rsid w:val="00ED1A6B"/>
    <w:rsid w:val="00ED1B7A"/>
    <w:rsid w:val="00ED1D13"/>
    <w:rsid w:val="00ED1D55"/>
    <w:rsid w:val="00ED2102"/>
    <w:rsid w:val="00ED224B"/>
    <w:rsid w:val="00ED224E"/>
    <w:rsid w:val="00ED228D"/>
    <w:rsid w:val="00ED268A"/>
    <w:rsid w:val="00ED27AC"/>
    <w:rsid w:val="00ED2814"/>
    <w:rsid w:val="00ED297E"/>
    <w:rsid w:val="00ED2AE4"/>
    <w:rsid w:val="00ED2C51"/>
    <w:rsid w:val="00ED2F56"/>
    <w:rsid w:val="00ED309B"/>
    <w:rsid w:val="00ED3532"/>
    <w:rsid w:val="00ED3538"/>
    <w:rsid w:val="00ED3B3E"/>
    <w:rsid w:val="00ED3B63"/>
    <w:rsid w:val="00ED3C35"/>
    <w:rsid w:val="00ED3C59"/>
    <w:rsid w:val="00ED3CD7"/>
    <w:rsid w:val="00ED3CDB"/>
    <w:rsid w:val="00ED3D56"/>
    <w:rsid w:val="00ED3EEB"/>
    <w:rsid w:val="00ED3EF4"/>
    <w:rsid w:val="00ED3F89"/>
    <w:rsid w:val="00ED3FA5"/>
    <w:rsid w:val="00ED417D"/>
    <w:rsid w:val="00ED447E"/>
    <w:rsid w:val="00ED4AC0"/>
    <w:rsid w:val="00ED4AF0"/>
    <w:rsid w:val="00ED4C60"/>
    <w:rsid w:val="00ED4D33"/>
    <w:rsid w:val="00ED4F00"/>
    <w:rsid w:val="00ED4F38"/>
    <w:rsid w:val="00ED5173"/>
    <w:rsid w:val="00ED5538"/>
    <w:rsid w:val="00ED5593"/>
    <w:rsid w:val="00ED5A3E"/>
    <w:rsid w:val="00ED5F89"/>
    <w:rsid w:val="00ED6053"/>
    <w:rsid w:val="00ED631F"/>
    <w:rsid w:val="00ED637F"/>
    <w:rsid w:val="00ED648C"/>
    <w:rsid w:val="00ED66F3"/>
    <w:rsid w:val="00ED6F95"/>
    <w:rsid w:val="00ED723C"/>
    <w:rsid w:val="00ED72E6"/>
    <w:rsid w:val="00ED740F"/>
    <w:rsid w:val="00ED74A9"/>
    <w:rsid w:val="00ED74BF"/>
    <w:rsid w:val="00ED76A2"/>
    <w:rsid w:val="00ED782F"/>
    <w:rsid w:val="00ED7A56"/>
    <w:rsid w:val="00ED7B26"/>
    <w:rsid w:val="00ED7EB8"/>
    <w:rsid w:val="00ED7EE5"/>
    <w:rsid w:val="00EE0421"/>
    <w:rsid w:val="00EE0847"/>
    <w:rsid w:val="00EE08AB"/>
    <w:rsid w:val="00EE08C9"/>
    <w:rsid w:val="00EE0B53"/>
    <w:rsid w:val="00EE0E7F"/>
    <w:rsid w:val="00EE0E94"/>
    <w:rsid w:val="00EE0F2C"/>
    <w:rsid w:val="00EE10CE"/>
    <w:rsid w:val="00EE1442"/>
    <w:rsid w:val="00EE14E6"/>
    <w:rsid w:val="00EE160B"/>
    <w:rsid w:val="00EE18FC"/>
    <w:rsid w:val="00EE1B19"/>
    <w:rsid w:val="00EE1C74"/>
    <w:rsid w:val="00EE1CF0"/>
    <w:rsid w:val="00EE1E13"/>
    <w:rsid w:val="00EE1F08"/>
    <w:rsid w:val="00EE1F13"/>
    <w:rsid w:val="00EE1F95"/>
    <w:rsid w:val="00EE1FC0"/>
    <w:rsid w:val="00EE214A"/>
    <w:rsid w:val="00EE215B"/>
    <w:rsid w:val="00EE22F6"/>
    <w:rsid w:val="00EE2392"/>
    <w:rsid w:val="00EE2746"/>
    <w:rsid w:val="00EE27F3"/>
    <w:rsid w:val="00EE296E"/>
    <w:rsid w:val="00EE2E43"/>
    <w:rsid w:val="00EE3725"/>
    <w:rsid w:val="00EE38B3"/>
    <w:rsid w:val="00EE3955"/>
    <w:rsid w:val="00EE3B96"/>
    <w:rsid w:val="00EE3DBE"/>
    <w:rsid w:val="00EE3EA6"/>
    <w:rsid w:val="00EE3FB3"/>
    <w:rsid w:val="00EE4000"/>
    <w:rsid w:val="00EE40DC"/>
    <w:rsid w:val="00EE40E4"/>
    <w:rsid w:val="00EE4123"/>
    <w:rsid w:val="00EE4445"/>
    <w:rsid w:val="00EE4504"/>
    <w:rsid w:val="00EE458C"/>
    <w:rsid w:val="00EE48D0"/>
    <w:rsid w:val="00EE492F"/>
    <w:rsid w:val="00EE4C52"/>
    <w:rsid w:val="00EE4EFB"/>
    <w:rsid w:val="00EE4EFF"/>
    <w:rsid w:val="00EE52FF"/>
    <w:rsid w:val="00EE57E2"/>
    <w:rsid w:val="00EE58C8"/>
    <w:rsid w:val="00EE5926"/>
    <w:rsid w:val="00EE5B20"/>
    <w:rsid w:val="00EE5FD9"/>
    <w:rsid w:val="00EE6306"/>
    <w:rsid w:val="00EE6396"/>
    <w:rsid w:val="00EE63A9"/>
    <w:rsid w:val="00EE64B0"/>
    <w:rsid w:val="00EE6627"/>
    <w:rsid w:val="00EE6713"/>
    <w:rsid w:val="00EE67D7"/>
    <w:rsid w:val="00EE682E"/>
    <w:rsid w:val="00EE6934"/>
    <w:rsid w:val="00EE6C70"/>
    <w:rsid w:val="00EE6D0C"/>
    <w:rsid w:val="00EE6E7F"/>
    <w:rsid w:val="00EE70C3"/>
    <w:rsid w:val="00EE72D5"/>
    <w:rsid w:val="00EE72D8"/>
    <w:rsid w:val="00EE733B"/>
    <w:rsid w:val="00EE737A"/>
    <w:rsid w:val="00EE76B7"/>
    <w:rsid w:val="00EE76C4"/>
    <w:rsid w:val="00EE774E"/>
    <w:rsid w:val="00EE7947"/>
    <w:rsid w:val="00EE79C2"/>
    <w:rsid w:val="00EE7A6F"/>
    <w:rsid w:val="00EE7A9D"/>
    <w:rsid w:val="00EE7BE1"/>
    <w:rsid w:val="00EE7C1A"/>
    <w:rsid w:val="00EE7EE0"/>
    <w:rsid w:val="00EF0329"/>
    <w:rsid w:val="00EF0362"/>
    <w:rsid w:val="00EF046A"/>
    <w:rsid w:val="00EF051F"/>
    <w:rsid w:val="00EF060B"/>
    <w:rsid w:val="00EF0645"/>
    <w:rsid w:val="00EF06E5"/>
    <w:rsid w:val="00EF0768"/>
    <w:rsid w:val="00EF07B1"/>
    <w:rsid w:val="00EF08B2"/>
    <w:rsid w:val="00EF0917"/>
    <w:rsid w:val="00EF0D81"/>
    <w:rsid w:val="00EF1063"/>
    <w:rsid w:val="00EF1132"/>
    <w:rsid w:val="00EF1171"/>
    <w:rsid w:val="00EF11C7"/>
    <w:rsid w:val="00EF1234"/>
    <w:rsid w:val="00EF13D0"/>
    <w:rsid w:val="00EF159F"/>
    <w:rsid w:val="00EF17D9"/>
    <w:rsid w:val="00EF199F"/>
    <w:rsid w:val="00EF1C4E"/>
    <w:rsid w:val="00EF1CF8"/>
    <w:rsid w:val="00EF1D03"/>
    <w:rsid w:val="00EF1D32"/>
    <w:rsid w:val="00EF1D60"/>
    <w:rsid w:val="00EF1FB2"/>
    <w:rsid w:val="00EF2163"/>
    <w:rsid w:val="00EF21D5"/>
    <w:rsid w:val="00EF2341"/>
    <w:rsid w:val="00EF2692"/>
    <w:rsid w:val="00EF2711"/>
    <w:rsid w:val="00EF2B0B"/>
    <w:rsid w:val="00EF2B5B"/>
    <w:rsid w:val="00EF2C4F"/>
    <w:rsid w:val="00EF2D1C"/>
    <w:rsid w:val="00EF2D35"/>
    <w:rsid w:val="00EF2E80"/>
    <w:rsid w:val="00EF3060"/>
    <w:rsid w:val="00EF317A"/>
    <w:rsid w:val="00EF31E3"/>
    <w:rsid w:val="00EF3266"/>
    <w:rsid w:val="00EF3296"/>
    <w:rsid w:val="00EF3398"/>
    <w:rsid w:val="00EF34E3"/>
    <w:rsid w:val="00EF362B"/>
    <w:rsid w:val="00EF36B9"/>
    <w:rsid w:val="00EF37A5"/>
    <w:rsid w:val="00EF3B38"/>
    <w:rsid w:val="00EF3C3E"/>
    <w:rsid w:val="00EF3DAA"/>
    <w:rsid w:val="00EF3F70"/>
    <w:rsid w:val="00EF434D"/>
    <w:rsid w:val="00EF45E0"/>
    <w:rsid w:val="00EF4CCA"/>
    <w:rsid w:val="00EF4F0E"/>
    <w:rsid w:val="00EF4F28"/>
    <w:rsid w:val="00EF4F94"/>
    <w:rsid w:val="00EF5168"/>
    <w:rsid w:val="00EF5358"/>
    <w:rsid w:val="00EF536B"/>
    <w:rsid w:val="00EF558A"/>
    <w:rsid w:val="00EF55EA"/>
    <w:rsid w:val="00EF58D6"/>
    <w:rsid w:val="00EF5B6A"/>
    <w:rsid w:val="00EF5BAE"/>
    <w:rsid w:val="00EF5D58"/>
    <w:rsid w:val="00EF5E1B"/>
    <w:rsid w:val="00EF5F80"/>
    <w:rsid w:val="00EF604C"/>
    <w:rsid w:val="00EF6060"/>
    <w:rsid w:val="00EF616F"/>
    <w:rsid w:val="00EF628B"/>
    <w:rsid w:val="00EF64E0"/>
    <w:rsid w:val="00EF6587"/>
    <w:rsid w:val="00EF6B09"/>
    <w:rsid w:val="00EF6CF3"/>
    <w:rsid w:val="00EF6DD2"/>
    <w:rsid w:val="00EF7204"/>
    <w:rsid w:val="00EF7314"/>
    <w:rsid w:val="00EF7847"/>
    <w:rsid w:val="00EF7ED9"/>
    <w:rsid w:val="00F00132"/>
    <w:rsid w:val="00F00198"/>
    <w:rsid w:val="00F001B8"/>
    <w:rsid w:val="00F001F1"/>
    <w:rsid w:val="00F0085C"/>
    <w:rsid w:val="00F00920"/>
    <w:rsid w:val="00F00BDC"/>
    <w:rsid w:val="00F00C9A"/>
    <w:rsid w:val="00F00DA1"/>
    <w:rsid w:val="00F00DE5"/>
    <w:rsid w:val="00F00E37"/>
    <w:rsid w:val="00F01055"/>
    <w:rsid w:val="00F01238"/>
    <w:rsid w:val="00F012C4"/>
    <w:rsid w:val="00F01301"/>
    <w:rsid w:val="00F015BA"/>
    <w:rsid w:val="00F01686"/>
    <w:rsid w:val="00F0169C"/>
    <w:rsid w:val="00F017B2"/>
    <w:rsid w:val="00F018D3"/>
    <w:rsid w:val="00F01BFB"/>
    <w:rsid w:val="00F01DA4"/>
    <w:rsid w:val="00F02186"/>
    <w:rsid w:val="00F0229C"/>
    <w:rsid w:val="00F024A4"/>
    <w:rsid w:val="00F02623"/>
    <w:rsid w:val="00F0276E"/>
    <w:rsid w:val="00F027B4"/>
    <w:rsid w:val="00F02A8C"/>
    <w:rsid w:val="00F02CBA"/>
    <w:rsid w:val="00F02CEB"/>
    <w:rsid w:val="00F02EAA"/>
    <w:rsid w:val="00F03014"/>
    <w:rsid w:val="00F0303A"/>
    <w:rsid w:val="00F03044"/>
    <w:rsid w:val="00F030D3"/>
    <w:rsid w:val="00F031F6"/>
    <w:rsid w:val="00F03306"/>
    <w:rsid w:val="00F03476"/>
    <w:rsid w:val="00F0353D"/>
    <w:rsid w:val="00F03645"/>
    <w:rsid w:val="00F039D7"/>
    <w:rsid w:val="00F03A1A"/>
    <w:rsid w:val="00F03CA2"/>
    <w:rsid w:val="00F04119"/>
    <w:rsid w:val="00F04A19"/>
    <w:rsid w:val="00F04BC0"/>
    <w:rsid w:val="00F0527A"/>
    <w:rsid w:val="00F05332"/>
    <w:rsid w:val="00F0568E"/>
    <w:rsid w:val="00F058E7"/>
    <w:rsid w:val="00F05D1D"/>
    <w:rsid w:val="00F05DDD"/>
    <w:rsid w:val="00F05EDB"/>
    <w:rsid w:val="00F05FA6"/>
    <w:rsid w:val="00F06069"/>
    <w:rsid w:val="00F060C0"/>
    <w:rsid w:val="00F060D9"/>
    <w:rsid w:val="00F061CD"/>
    <w:rsid w:val="00F06221"/>
    <w:rsid w:val="00F06240"/>
    <w:rsid w:val="00F06498"/>
    <w:rsid w:val="00F06846"/>
    <w:rsid w:val="00F06948"/>
    <w:rsid w:val="00F069B4"/>
    <w:rsid w:val="00F06A00"/>
    <w:rsid w:val="00F06A46"/>
    <w:rsid w:val="00F06B14"/>
    <w:rsid w:val="00F06BF7"/>
    <w:rsid w:val="00F06DF4"/>
    <w:rsid w:val="00F06EDB"/>
    <w:rsid w:val="00F06FEF"/>
    <w:rsid w:val="00F073A8"/>
    <w:rsid w:val="00F075ED"/>
    <w:rsid w:val="00F0799A"/>
    <w:rsid w:val="00F07C7A"/>
    <w:rsid w:val="00F07C85"/>
    <w:rsid w:val="00F07E64"/>
    <w:rsid w:val="00F102CA"/>
    <w:rsid w:val="00F105B5"/>
    <w:rsid w:val="00F1065C"/>
    <w:rsid w:val="00F10790"/>
    <w:rsid w:val="00F10868"/>
    <w:rsid w:val="00F1096F"/>
    <w:rsid w:val="00F10A20"/>
    <w:rsid w:val="00F10A63"/>
    <w:rsid w:val="00F10B44"/>
    <w:rsid w:val="00F10B49"/>
    <w:rsid w:val="00F10E20"/>
    <w:rsid w:val="00F10EC5"/>
    <w:rsid w:val="00F11117"/>
    <w:rsid w:val="00F11256"/>
    <w:rsid w:val="00F11345"/>
    <w:rsid w:val="00F11364"/>
    <w:rsid w:val="00F113DD"/>
    <w:rsid w:val="00F115BB"/>
    <w:rsid w:val="00F118B8"/>
    <w:rsid w:val="00F11DCE"/>
    <w:rsid w:val="00F12095"/>
    <w:rsid w:val="00F120D8"/>
    <w:rsid w:val="00F125EB"/>
    <w:rsid w:val="00F1279C"/>
    <w:rsid w:val="00F12820"/>
    <w:rsid w:val="00F1289E"/>
    <w:rsid w:val="00F128D8"/>
    <w:rsid w:val="00F128F7"/>
    <w:rsid w:val="00F12DA5"/>
    <w:rsid w:val="00F133D6"/>
    <w:rsid w:val="00F13658"/>
    <w:rsid w:val="00F137A1"/>
    <w:rsid w:val="00F13905"/>
    <w:rsid w:val="00F139A2"/>
    <w:rsid w:val="00F139E6"/>
    <w:rsid w:val="00F139EF"/>
    <w:rsid w:val="00F13C55"/>
    <w:rsid w:val="00F13C76"/>
    <w:rsid w:val="00F13D45"/>
    <w:rsid w:val="00F13D7B"/>
    <w:rsid w:val="00F13F87"/>
    <w:rsid w:val="00F13FB6"/>
    <w:rsid w:val="00F14046"/>
    <w:rsid w:val="00F14323"/>
    <w:rsid w:val="00F1448A"/>
    <w:rsid w:val="00F144B1"/>
    <w:rsid w:val="00F145A5"/>
    <w:rsid w:val="00F1468A"/>
    <w:rsid w:val="00F146E1"/>
    <w:rsid w:val="00F14722"/>
    <w:rsid w:val="00F1472C"/>
    <w:rsid w:val="00F149CF"/>
    <w:rsid w:val="00F149D8"/>
    <w:rsid w:val="00F14AF7"/>
    <w:rsid w:val="00F14D3A"/>
    <w:rsid w:val="00F15384"/>
    <w:rsid w:val="00F154BD"/>
    <w:rsid w:val="00F15575"/>
    <w:rsid w:val="00F15667"/>
    <w:rsid w:val="00F1566C"/>
    <w:rsid w:val="00F156E5"/>
    <w:rsid w:val="00F158C5"/>
    <w:rsid w:val="00F15C52"/>
    <w:rsid w:val="00F15D29"/>
    <w:rsid w:val="00F15DD0"/>
    <w:rsid w:val="00F15F1F"/>
    <w:rsid w:val="00F15FCD"/>
    <w:rsid w:val="00F16184"/>
    <w:rsid w:val="00F16306"/>
    <w:rsid w:val="00F163ED"/>
    <w:rsid w:val="00F166B1"/>
    <w:rsid w:val="00F1699A"/>
    <w:rsid w:val="00F16ADA"/>
    <w:rsid w:val="00F16B9B"/>
    <w:rsid w:val="00F16BED"/>
    <w:rsid w:val="00F16D5C"/>
    <w:rsid w:val="00F16DA9"/>
    <w:rsid w:val="00F16DC6"/>
    <w:rsid w:val="00F17017"/>
    <w:rsid w:val="00F17036"/>
    <w:rsid w:val="00F170C4"/>
    <w:rsid w:val="00F1756F"/>
    <w:rsid w:val="00F175DE"/>
    <w:rsid w:val="00F1783B"/>
    <w:rsid w:val="00F17981"/>
    <w:rsid w:val="00F179C0"/>
    <w:rsid w:val="00F17EC0"/>
    <w:rsid w:val="00F17F4B"/>
    <w:rsid w:val="00F17FCC"/>
    <w:rsid w:val="00F200BA"/>
    <w:rsid w:val="00F20290"/>
    <w:rsid w:val="00F204D4"/>
    <w:rsid w:val="00F20540"/>
    <w:rsid w:val="00F207A3"/>
    <w:rsid w:val="00F209B5"/>
    <w:rsid w:val="00F209BF"/>
    <w:rsid w:val="00F20A7D"/>
    <w:rsid w:val="00F2110E"/>
    <w:rsid w:val="00F211F5"/>
    <w:rsid w:val="00F21328"/>
    <w:rsid w:val="00F215F2"/>
    <w:rsid w:val="00F2177D"/>
    <w:rsid w:val="00F2192C"/>
    <w:rsid w:val="00F21989"/>
    <w:rsid w:val="00F21A93"/>
    <w:rsid w:val="00F21CD5"/>
    <w:rsid w:val="00F222AF"/>
    <w:rsid w:val="00F222FF"/>
    <w:rsid w:val="00F223A7"/>
    <w:rsid w:val="00F223D5"/>
    <w:rsid w:val="00F22400"/>
    <w:rsid w:val="00F2240F"/>
    <w:rsid w:val="00F22735"/>
    <w:rsid w:val="00F227C9"/>
    <w:rsid w:val="00F227EC"/>
    <w:rsid w:val="00F228E7"/>
    <w:rsid w:val="00F22B20"/>
    <w:rsid w:val="00F22B43"/>
    <w:rsid w:val="00F22BFD"/>
    <w:rsid w:val="00F22DD9"/>
    <w:rsid w:val="00F22EE8"/>
    <w:rsid w:val="00F22F3C"/>
    <w:rsid w:val="00F22FC9"/>
    <w:rsid w:val="00F23031"/>
    <w:rsid w:val="00F23264"/>
    <w:rsid w:val="00F23976"/>
    <w:rsid w:val="00F23A65"/>
    <w:rsid w:val="00F23DF4"/>
    <w:rsid w:val="00F240A3"/>
    <w:rsid w:val="00F240EF"/>
    <w:rsid w:val="00F24135"/>
    <w:rsid w:val="00F244BC"/>
    <w:rsid w:val="00F245DD"/>
    <w:rsid w:val="00F24608"/>
    <w:rsid w:val="00F2477E"/>
    <w:rsid w:val="00F247A1"/>
    <w:rsid w:val="00F24975"/>
    <w:rsid w:val="00F24CC1"/>
    <w:rsid w:val="00F24D07"/>
    <w:rsid w:val="00F24DDD"/>
    <w:rsid w:val="00F24E8E"/>
    <w:rsid w:val="00F2502D"/>
    <w:rsid w:val="00F25091"/>
    <w:rsid w:val="00F25237"/>
    <w:rsid w:val="00F25238"/>
    <w:rsid w:val="00F256A1"/>
    <w:rsid w:val="00F25811"/>
    <w:rsid w:val="00F25873"/>
    <w:rsid w:val="00F259B2"/>
    <w:rsid w:val="00F259D5"/>
    <w:rsid w:val="00F25A32"/>
    <w:rsid w:val="00F25BCC"/>
    <w:rsid w:val="00F25BD8"/>
    <w:rsid w:val="00F25F70"/>
    <w:rsid w:val="00F25F78"/>
    <w:rsid w:val="00F26166"/>
    <w:rsid w:val="00F26195"/>
    <w:rsid w:val="00F2620D"/>
    <w:rsid w:val="00F2625F"/>
    <w:rsid w:val="00F2632A"/>
    <w:rsid w:val="00F26358"/>
    <w:rsid w:val="00F263E4"/>
    <w:rsid w:val="00F26518"/>
    <w:rsid w:val="00F269C4"/>
    <w:rsid w:val="00F26A4A"/>
    <w:rsid w:val="00F26DB8"/>
    <w:rsid w:val="00F26FA8"/>
    <w:rsid w:val="00F26FAE"/>
    <w:rsid w:val="00F271E4"/>
    <w:rsid w:val="00F273F5"/>
    <w:rsid w:val="00F2749A"/>
    <w:rsid w:val="00F274B7"/>
    <w:rsid w:val="00F27550"/>
    <w:rsid w:val="00F2755B"/>
    <w:rsid w:val="00F27663"/>
    <w:rsid w:val="00F27765"/>
    <w:rsid w:val="00F2782B"/>
    <w:rsid w:val="00F27E48"/>
    <w:rsid w:val="00F301ED"/>
    <w:rsid w:val="00F30221"/>
    <w:rsid w:val="00F30300"/>
    <w:rsid w:val="00F30302"/>
    <w:rsid w:val="00F30356"/>
    <w:rsid w:val="00F30557"/>
    <w:rsid w:val="00F30578"/>
    <w:rsid w:val="00F306DB"/>
    <w:rsid w:val="00F30999"/>
    <w:rsid w:val="00F30A2D"/>
    <w:rsid w:val="00F30A5B"/>
    <w:rsid w:val="00F30BE5"/>
    <w:rsid w:val="00F30C50"/>
    <w:rsid w:val="00F30D0F"/>
    <w:rsid w:val="00F30F29"/>
    <w:rsid w:val="00F30FE5"/>
    <w:rsid w:val="00F3126F"/>
    <w:rsid w:val="00F31401"/>
    <w:rsid w:val="00F31442"/>
    <w:rsid w:val="00F3176C"/>
    <w:rsid w:val="00F317D4"/>
    <w:rsid w:val="00F31D5A"/>
    <w:rsid w:val="00F31D78"/>
    <w:rsid w:val="00F31F50"/>
    <w:rsid w:val="00F31FBB"/>
    <w:rsid w:val="00F32227"/>
    <w:rsid w:val="00F32267"/>
    <w:rsid w:val="00F323B3"/>
    <w:rsid w:val="00F3243E"/>
    <w:rsid w:val="00F326D0"/>
    <w:rsid w:val="00F329C2"/>
    <w:rsid w:val="00F32D9D"/>
    <w:rsid w:val="00F32DAC"/>
    <w:rsid w:val="00F32DB8"/>
    <w:rsid w:val="00F32E76"/>
    <w:rsid w:val="00F33014"/>
    <w:rsid w:val="00F3307F"/>
    <w:rsid w:val="00F330A6"/>
    <w:rsid w:val="00F3316A"/>
    <w:rsid w:val="00F33182"/>
    <w:rsid w:val="00F332D8"/>
    <w:rsid w:val="00F332F6"/>
    <w:rsid w:val="00F3333B"/>
    <w:rsid w:val="00F33445"/>
    <w:rsid w:val="00F334A7"/>
    <w:rsid w:val="00F3352E"/>
    <w:rsid w:val="00F33538"/>
    <w:rsid w:val="00F3366D"/>
    <w:rsid w:val="00F33770"/>
    <w:rsid w:val="00F3380E"/>
    <w:rsid w:val="00F33B6D"/>
    <w:rsid w:val="00F33BB9"/>
    <w:rsid w:val="00F33DAA"/>
    <w:rsid w:val="00F33E9C"/>
    <w:rsid w:val="00F33FC3"/>
    <w:rsid w:val="00F3428A"/>
    <w:rsid w:val="00F346EB"/>
    <w:rsid w:val="00F3473B"/>
    <w:rsid w:val="00F34810"/>
    <w:rsid w:val="00F348C2"/>
    <w:rsid w:val="00F34C68"/>
    <w:rsid w:val="00F34C7B"/>
    <w:rsid w:val="00F34D5A"/>
    <w:rsid w:val="00F34DD7"/>
    <w:rsid w:val="00F3523C"/>
    <w:rsid w:val="00F353E8"/>
    <w:rsid w:val="00F3542D"/>
    <w:rsid w:val="00F3595A"/>
    <w:rsid w:val="00F35982"/>
    <w:rsid w:val="00F35A30"/>
    <w:rsid w:val="00F360E3"/>
    <w:rsid w:val="00F36168"/>
    <w:rsid w:val="00F3622D"/>
    <w:rsid w:val="00F36335"/>
    <w:rsid w:val="00F36471"/>
    <w:rsid w:val="00F36547"/>
    <w:rsid w:val="00F3656C"/>
    <w:rsid w:val="00F3667B"/>
    <w:rsid w:val="00F367BB"/>
    <w:rsid w:val="00F367CD"/>
    <w:rsid w:val="00F36AC5"/>
    <w:rsid w:val="00F36E08"/>
    <w:rsid w:val="00F36F89"/>
    <w:rsid w:val="00F37002"/>
    <w:rsid w:val="00F37116"/>
    <w:rsid w:val="00F37219"/>
    <w:rsid w:val="00F373C2"/>
    <w:rsid w:val="00F3774F"/>
    <w:rsid w:val="00F37AD0"/>
    <w:rsid w:val="00F4039F"/>
    <w:rsid w:val="00F404DB"/>
    <w:rsid w:val="00F40AC6"/>
    <w:rsid w:val="00F40B44"/>
    <w:rsid w:val="00F40C4E"/>
    <w:rsid w:val="00F40D6E"/>
    <w:rsid w:val="00F40D82"/>
    <w:rsid w:val="00F41140"/>
    <w:rsid w:val="00F41211"/>
    <w:rsid w:val="00F4146D"/>
    <w:rsid w:val="00F4157D"/>
    <w:rsid w:val="00F41B1B"/>
    <w:rsid w:val="00F41E2F"/>
    <w:rsid w:val="00F41E88"/>
    <w:rsid w:val="00F420CA"/>
    <w:rsid w:val="00F4233F"/>
    <w:rsid w:val="00F4241A"/>
    <w:rsid w:val="00F42554"/>
    <w:rsid w:val="00F4256D"/>
    <w:rsid w:val="00F426D6"/>
    <w:rsid w:val="00F4283C"/>
    <w:rsid w:val="00F42B28"/>
    <w:rsid w:val="00F42B4A"/>
    <w:rsid w:val="00F42B77"/>
    <w:rsid w:val="00F42EB4"/>
    <w:rsid w:val="00F42F22"/>
    <w:rsid w:val="00F430D5"/>
    <w:rsid w:val="00F433CA"/>
    <w:rsid w:val="00F43702"/>
    <w:rsid w:val="00F438CB"/>
    <w:rsid w:val="00F438E9"/>
    <w:rsid w:val="00F43CD7"/>
    <w:rsid w:val="00F43E6E"/>
    <w:rsid w:val="00F43F41"/>
    <w:rsid w:val="00F43F53"/>
    <w:rsid w:val="00F43F65"/>
    <w:rsid w:val="00F440A7"/>
    <w:rsid w:val="00F440FE"/>
    <w:rsid w:val="00F4416C"/>
    <w:rsid w:val="00F4436D"/>
    <w:rsid w:val="00F4442E"/>
    <w:rsid w:val="00F4445C"/>
    <w:rsid w:val="00F448BF"/>
    <w:rsid w:val="00F44F44"/>
    <w:rsid w:val="00F45281"/>
    <w:rsid w:val="00F45724"/>
    <w:rsid w:val="00F4574C"/>
    <w:rsid w:val="00F458A2"/>
    <w:rsid w:val="00F45937"/>
    <w:rsid w:val="00F45C3D"/>
    <w:rsid w:val="00F45CA0"/>
    <w:rsid w:val="00F45D93"/>
    <w:rsid w:val="00F45DFD"/>
    <w:rsid w:val="00F45EAB"/>
    <w:rsid w:val="00F45FFE"/>
    <w:rsid w:val="00F4600E"/>
    <w:rsid w:val="00F4623F"/>
    <w:rsid w:val="00F46259"/>
    <w:rsid w:val="00F46412"/>
    <w:rsid w:val="00F46754"/>
    <w:rsid w:val="00F46812"/>
    <w:rsid w:val="00F46922"/>
    <w:rsid w:val="00F46E0D"/>
    <w:rsid w:val="00F46ED8"/>
    <w:rsid w:val="00F470CB"/>
    <w:rsid w:val="00F4713C"/>
    <w:rsid w:val="00F47168"/>
    <w:rsid w:val="00F47345"/>
    <w:rsid w:val="00F47633"/>
    <w:rsid w:val="00F47988"/>
    <w:rsid w:val="00F479BE"/>
    <w:rsid w:val="00F47A47"/>
    <w:rsid w:val="00F47DA3"/>
    <w:rsid w:val="00F47E41"/>
    <w:rsid w:val="00F47F82"/>
    <w:rsid w:val="00F500CC"/>
    <w:rsid w:val="00F5027C"/>
    <w:rsid w:val="00F502AF"/>
    <w:rsid w:val="00F50369"/>
    <w:rsid w:val="00F503AB"/>
    <w:rsid w:val="00F50490"/>
    <w:rsid w:val="00F50539"/>
    <w:rsid w:val="00F5062A"/>
    <w:rsid w:val="00F50651"/>
    <w:rsid w:val="00F507DC"/>
    <w:rsid w:val="00F50862"/>
    <w:rsid w:val="00F50995"/>
    <w:rsid w:val="00F509B0"/>
    <w:rsid w:val="00F50DC7"/>
    <w:rsid w:val="00F50F2A"/>
    <w:rsid w:val="00F50FC8"/>
    <w:rsid w:val="00F51177"/>
    <w:rsid w:val="00F51236"/>
    <w:rsid w:val="00F512E2"/>
    <w:rsid w:val="00F51465"/>
    <w:rsid w:val="00F51610"/>
    <w:rsid w:val="00F51835"/>
    <w:rsid w:val="00F51868"/>
    <w:rsid w:val="00F51AC7"/>
    <w:rsid w:val="00F51B2D"/>
    <w:rsid w:val="00F51BFE"/>
    <w:rsid w:val="00F51C30"/>
    <w:rsid w:val="00F520CF"/>
    <w:rsid w:val="00F522E1"/>
    <w:rsid w:val="00F5267D"/>
    <w:rsid w:val="00F52ACE"/>
    <w:rsid w:val="00F52AD5"/>
    <w:rsid w:val="00F52AD6"/>
    <w:rsid w:val="00F52B21"/>
    <w:rsid w:val="00F52B5E"/>
    <w:rsid w:val="00F52E1E"/>
    <w:rsid w:val="00F531A6"/>
    <w:rsid w:val="00F531D5"/>
    <w:rsid w:val="00F53245"/>
    <w:rsid w:val="00F535B3"/>
    <w:rsid w:val="00F5361C"/>
    <w:rsid w:val="00F536BC"/>
    <w:rsid w:val="00F53A1F"/>
    <w:rsid w:val="00F54332"/>
    <w:rsid w:val="00F54433"/>
    <w:rsid w:val="00F5447B"/>
    <w:rsid w:val="00F545E5"/>
    <w:rsid w:val="00F54A1E"/>
    <w:rsid w:val="00F54A2E"/>
    <w:rsid w:val="00F55246"/>
    <w:rsid w:val="00F55319"/>
    <w:rsid w:val="00F55343"/>
    <w:rsid w:val="00F554DA"/>
    <w:rsid w:val="00F554FE"/>
    <w:rsid w:val="00F55A36"/>
    <w:rsid w:val="00F55B6E"/>
    <w:rsid w:val="00F55C4F"/>
    <w:rsid w:val="00F55D87"/>
    <w:rsid w:val="00F55D8F"/>
    <w:rsid w:val="00F561B1"/>
    <w:rsid w:val="00F563EA"/>
    <w:rsid w:val="00F564EF"/>
    <w:rsid w:val="00F56521"/>
    <w:rsid w:val="00F56581"/>
    <w:rsid w:val="00F56B31"/>
    <w:rsid w:val="00F56C29"/>
    <w:rsid w:val="00F56C2A"/>
    <w:rsid w:val="00F56C54"/>
    <w:rsid w:val="00F56CCB"/>
    <w:rsid w:val="00F56D11"/>
    <w:rsid w:val="00F57574"/>
    <w:rsid w:val="00F57A6B"/>
    <w:rsid w:val="00F57DA9"/>
    <w:rsid w:val="00F57DAB"/>
    <w:rsid w:val="00F60010"/>
    <w:rsid w:val="00F6062B"/>
    <w:rsid w:val="00F60CDD"/>
    <w:rsid w:val="00F613C1"/>
    <w:rsid w:val="00F613F5"/>
    <w:rsid w:val="00F613F9"/>
    <w:rsid w:val="00F61724"/>
    <w:rsid w:val="00F6176F"/>
    <w:rsid w:val="00F61A37"/>
    <w:rsid w:val="00F61B97"/>
    <w:rsid w:val="00F62146"/>
    <w:rsid w:val="00F62182"/>
    <w:rsid w:val="00F621FC"/>
    <w:rsid w:val="00F62284"/>
    <w:rsid w:val="00F62905"/>
    <w:rsid w:val="00F62975"/>
    <w:rsid w:val="00F62B1C"/>
    <w:rsid w:val="00F62B2A"/>
    <w:rsid w:val="00F62FCD"/>
    <w:rsid w:val="00F63058"/>
    <w:rsid w:val="00F630C5"/>
    <w:rsid w:val="00F631C9"/>
    <w:rsid w:val="00F6339C"/>
    <w:rsid w:val="00F63419"/>
    <w:rsid w:val="00F635DB"/>
    <w:rsid w:val="00F63657"/>
    <w:rsid w:val="00F636AF"/>
    <w:rsid w:val="00F63874"/>
    <w:rsid w:val="00F63991"/>
    <w:rsid w:val="00F63AFB"/>
    <w:rsid w:val="00F63CCF"/>
    <w:rsid w:val="00F63DAC"/>
    <w:rsid w:val="00F63E49"/>
    <w:rsid w:val="00F63EE0"/>
    <w:rsid w:val="00F643B9"/>
    <w:rsid w:val="00F644C7"/>
    <w:rsid w:val="00F64820"/>
    <w:rsid w:val="00F64934"/>
    <w:rsid w:val="00F64B1C"/>
    <w:rsid w:val="00F64BE0"/>
    <w:rsid w:val="00F64F64"/>
    <w:rsid w:val="00F64FB0"/>
    <w:rsid w:val="00F64FD5"/>
    <w:rsid w:val="00F650BB"/>
    <w:rsid w:val="00F65120"/>
    <w:rsid w:val="00F65379"/>
    <w:rsid w:val="00F653F3"/>
    <w:rsid w:val="00F65460"/>
    <w:rsid w:val="00F65624"/>
    <w:rsid w:val="00F65728"/>
    <w:rsid w:val="00F65851"/>
    <w:rsid w:val="00F65A6D"/>
    <w:rsid w:val="00F65B27"/>
    <w:rsid w:val="00F65C79"/>
    <w:rsid w:val="00F65D7C"/>
    <w:rsid w:val="00F65E95"/>
    <w:rsid w:val="00F66681"/>
    <w:rsid w:val="00F6696B"/>
    <w:rsid w:val="00F66C54"/>
    <w:rsid w:val="00F66ED7"/>
    <w:rsid w:val="00F66F6C"/>
    <w:rsid w:val="00F672E8"/>
    <w:rsid w:val="00F674D0"/>
    <w:rsid w:val="00F67B37"/>
    <w:rsid w:val="00F67B4E"/>
    <w:rsid w:val="00F67D9D"/>
    <w:rsid w:val="00F67E7F"/>
    <w:rsid w:val="00F67EAA"/>
    <w:rsid w:val="00F70532"/>
    <w:rsid w:val="00F70559"/>
    <w:rsid w:val="00F707A9"/>
    <w:rsid w:val="00F70D95"/>
    <w:rsid w:val="00F70ED4"/>
    <w:rsid w:val="00F71085"/>
    <w:rsid w:val="00F71147"/>
    <w:rsid w:val="00F711F3"/>
    <w:rsid w:val="00F712D6"/>
    <w:rsid w:val="00F71360"/>
    <w:rsid w:val="00F713E6"/>
    <w:rsid w:val="00F71504"/>
    <w:rsid w:val="00F71662"/>
    <w:rsid w:val="00F71692"/>
    <w:rsid w:val="00F7194C"/>
    <w:rsid w:val="00F719A2"/>
    <w:rsid w:val="00F71EBD"/>
    <w:rsid w:val="00F71F1D"/>
    <w:rsid w:val="00F72041"/>
    <w:rsid w:val="00F7207E"/>
    <w:rsid w:val="00F72088"/>
    <w:rsid w:val="00F7276E"/>
    <w:rsid w:val="00F727E3"/>
    <w:rsid w:val="00F72AF1"/>
    <w:rsid w:val="00F72B80"/>
    <w:rsid w:val="00F72BF0"/>
    <w:rsid w:val="00F72C40"/>
    <w:rsid w:val="00F72CD4"/>
    <w:rsid w:val="00F72D76"/>
    <w:rsid w:val="00F72D78"/>
    <w:rsid w:val="00F72E02"/>
    <w:rsid w:val="00F72F18"/>
    <w:rsid w:val="00F73081"/>
    <w:rsid w:val="00F733B9"/>
    <w:rsid w:val="00F73476"/>
    <w:rsid w:val="00F7362E"/>
    <w:rsid w:val="00F73AC4"/>
    <w:rsid w:val="00F73B01"/>
    <w:rsid w:val="00F73BFF"/>
    <w:rsid w:val="00F741C4"/>
    <w:rsid w:val="00F7429C"/>
    <w:rsid w:val="00F7432D"/>
    <w:rsid w:val="00F74484"/>
    <w:rsid w:val="00F746E7"/>
    <w:rsid w:val="00F74742"/>
    <w:rsid w:val="00F74C88"/>
    <w:rsid w:val="00F75185"/>
    <w:rsid w:val="00F752B3"/>
    <w:rsid w:val="00F7538E"/>
    <w:rsid w:val="00F75695"/>
    <w:rsid w:val="00F75795"/>
    <w:rsid w:val="00F75E4A"/>
    <w:rsid w:val="00F75EEE"/>
    <w:rsid w:val="00F75F27"/>
    <w:rsid w:val="00F75F5F"/>
    <w:rsid w:val="00F763D9"/>
    <w:rsid w:val="00F765AB"/>
    <w:rsid w:val="00F767ED"/>
    <w:rsid w:val="00F769B4"/>
    <w:rsid w:val="00F772A0"/>
    <w:rsid w:val="00F777C0"/>
    <w:rsid w:val="00F77916"/>
    <w:rsid w:val="00F77B0E"/>
    <w:rsid w:val="00F77BF0"/>
    <w:rsid w:val="00F77E1C"/>
    <w:rsid w:val="00F77F40"/>
    <w:rsid w:val="00F77FB1"/>
    <w:rsid w:val="00F80020"/>
    <w:rsid w:val="00F80309"/>
    <w:rsid w:val="00F8038A"/>
    <w:rsid w:val="00F805F9"/>
    <w:rsid w:val="00F8060F"/>
    <w:rsid w:val="00F807CF"/>
    <w:rsid w:val="00F80B0F"/>
    <w:rsid w:val="00F80C74"/>
    <w:rsid w:val="00F80D9E"/>
    <w:rsid w:val="00F80DFE"/>
    <w:rsid w:val="00F8112E"/>
    <w:rsid w:val="00F81157"/>
    <w:rsid w:val="00F8124D"/>
    <w:rsid w:val="00F81316"/>
    <w:rsid w:val="00F8175F"/>
    <w:rsid w:val="00F817B2"/>
    <w:rsid w:val="00F81840"/>
    <w:rsid w:val="00F81923"/>
    <w:rsid w:val="00F81935"/>
    <w:rsid w:val="00F81A64"/>
    <w:rsid w:val="00F81BB7"/>
    <w:rsid w:val="00F8215A"/>
    <w:rsid w:val="00F82239"/>
    <w:rsid w:val="00F8233A"/>
    <w:rsid w:val="00F823B8"/>
    <w:rsid w:val="00F823D8"/>
    <w:rsid w:val="00F82675"/>
    <w:rsid w:val="00F8294A"/>
    <w:rsid w:val="00F82C04"/>
    <w:rsid w:val="00F82E11"/>
    <w:rsid w:val="00F82E2A"/>
    <w:rsid w:val="00F8301F"/>
    <w:rsid w:val="00F83240"/>
    <w:rsid w:val="00F8372A"/>
    <w:rsid w:val="00F837CA"/>
    <w:rsid w:val="00F837DD"/>
    <w:rsid w:val="00F838FC"/>
    <w:rsid w:val="00F8391F"/>
    <w:rsid w:val="00F83D2E"/>
    <w:rsid w:val="00F83D94"/>
    <w:rsid w:val="00F83ECA"/>
    <w:rsid w:val="00F84086"/>
    <w:rsid w:val="00F842CC"/>
    <w:rsid w:val="00F84301"/>
    <w:rsid w:val="00F84317"/>
    <w:rsid w:val="00F844B2"/>
    <w:rsid w:val="00F844DC"/>
    <w:rsid w:val="00F846C9"/>
    <w:rsid w:val="00F84748"/>
    <w:rsid w:val="00F84778"/>
    <w:rsid w:val="00F84C3A"/>
    <w:rsid w:val="00F84D0C"/>
    <w:rsid w:val="00F84D1A"/>
    <w:rsid w:val="00F84E13"/>
    <w:rsid w:val="00F84ED7"/>
    <w:rsid w:val="00F84FCA"/>
    <w:rsid w:val="00F85052"/>
    <w:rsid w:val="00F85143"/>
    <w:rsid w:val="00F851E5"/>
    <w:rsid w:val="00F85352"/>
    <w:rsid w:val="00F85A86"/>
    <w:rsid w:val="00F85AF2"/>
    <w:rsid w:val="00F85CAE"/>
    <w:rsid w:val="00F85DB2"/>
    <w:rsid w:val="00F85E6E"/>
    <w:rsid w:val="00F85E89"/>
    <w:rsid w:val="00F8601F"/>
    <w:rsid w:val="00F8616C"/>
    <w:rsid w:val="00F861D5"/>
    <w:rsid w:val="00F863EA"/>
    <w:rsid w:val="00F867D3"/>
    <w:rsid w:val="00F867F1"/>
    <w:rsid w:val="00F86B6B"/>
    <w:rsid w:val="00F86D49"/>
    <w:rsid w:val="00F86E5C"/>
    <w:rsid w:val="00F86F52"/>
    <w:rsid w:val="00F87206"/>
    <w:rsid w:val="00F8759B"/>
    <w:rsid w:val="00F8783B"/>
    <w:rsid w:val="00F878E0"/>
    <w:rsid w:val="00F87979"/>
    <w:rsid w:val="00F87A25"/>
    <w:rsid w:val="00F87D52"/>
    <w:rsid w:val="00F87D84"/>
    <w:rsid w:val="00F907FF"/>
    <w:rsid w:val="00F9098E"/>
    <w:rsid w:val="00F90B81"/>
    <w:rsid w:val="00F91056"/>
    <w:rsid w:val="00F910DB"/>
    <w:rsid w:val="00F910DF"/>
    <w:rsid w:val="00F910F2"/>
    <w:rsid w:val="00F913A3"/>
    <w:rsid w:val="00F915C5"/>
    <w:rsid w:val="00F91824"/>
    <w:rsid w:val="00F918E4"/>
    <w:rsid w:val="00F91913"/>
    <w:rsid w:val="00F91C79"/>
    <w:rsid w:val="00F91E2B"/>
    <w:rsid w:val="00F91EE6"/>
    <w:rsid w:val="00F920F5"/>
    <w:rsid w:val="00F9269F"/>
    <w:rsid w:val="00F927E1"/>
    <w:rsid w:val="00F92B18"/>
    <w:rsid w:val="00F92B1D"/>
    <w:rsid w:val="00F92D86"/>
    <w:rsid w:val="00F92EA1"/>
    <w:rsid w:val="00F9309A"/>
    <w:rsid w:val="00F930D3"/>
    <w:rsid w:val="00F9357E"/>
    <w:rsid w:val="00F93589"/>
    <w:rsid w:val="00F936A7"/>
    <w:rsid w:val="00F9378E"/>
    <w:rsid w:val="00F93B99"/>
    <w:rsid w:val="00F93C96"/>
    <w:rsid w:val="00F93E81"/>
    <w:rsid w:val="00F93F49"/>
    <w:rsid w:val="00F93F5C"/>
    <w:rsid w:val="00F942F8"/>
    <w:rsid w:val="00F943F1"/>
    <w:rsid w:val="00F94790"/>
    <w:rsid w:val="00F948A5"/>
    <w:rsid w:val="00F94AE2"/>
    <w:rsid w:val="00F94B2C"/>
    <w:rsid w:val="00F94F20"/>
    <w:rsid w:val="00F95480"/>
    <w:rsid w:val="00F956D1"/>
    <w:rsid w:val="00F95AA7"/>
    <w:rsid w:val="00F95C1A"/>
    <w:rsid w:val="00F95CF2"/>
    <w:rsid w:val="00F96222"/>
    <w:rsid w:val="00F9622F"/>
    <w:rsid w:val="00F962CB"/>
    <w:rsid w:val="00F96345"/>
    <w:rsid w:val="00F9672A"/>
    <w:rsid w:val="00F969D3"/>
    <w:rsid w:val="00F96B98"/>
    <w:rsid w:val="00F96BF9"/>
    <w:rsid w:val="00F96C85"/>
    <w:rsid w:val="00F96CBB"/>
    <w:rsid w:val="00F96D84"/>
    <w:rsid w:val="00F96E51"/>
    <w:rsid w:val="00F96EA1"/>
    <w:rsid w:val="00F96EB3"/>
    <w:rsid w:val="00F96ECD"/>
    <w:rsid w:val="00F971AD"/>
    <w:rsid w:val="00F97227"/>
    <w:rsid w:val="00F97266"/>
    <w:rsid w:val="00F976AE"/>
    <w:rsid w:val="00F97893"/>
    <w:rsid w:val="00F97B68"/>
    <w:rsid w:val="00F97C91"/>
    <w:rsid w:val="00F97E27"/>
    <w:rsid w:val="00F97ED0"/>
    <w:rsid w:val="00FA0149"/>
    <w:rsid w:val="00FA0504"/>
    <w:rsid w:val="00FA09E4"/>
    <w:rsid w:val="00FA0B8B"/>
    <w:rsid w:val="00FA0E1B"/>
    <w:rsid w:val="00FA0E21"/>
    <w:rsid w:val="00FA0E98"/>
    <w:rsid w:val="00FA0F39"/>
    <w:rsid w:val="00FA10BB"/>
    <w:rsid w:val="00FA11CE"/>
    <w:rsid w:val="00FA14AF"/>
    <w:rsid w:val="00FA1933"/>
    <w:rsid w:val="00FA1B17"/>
    <w:rsid w:val="00FA1CA7"/>
    <w:rsid w:val="00FA1FD2"/>
    <w:rsid w:val="00FA2086"/>
    <w:rsid w:val="00FA22ED"/>
    <w:rsid w:val="00FA2434"/>
    <w:rsid w:val="00FA2861"/>
    <w:rsid w:val="00FA289F"/>
    <w:rsid w:val="00FA294E"/>
    <w:rsid w:val="00FA29D0"/>
    <w:rsid w:val="00FA2A7F"/>
    <w:rsid w:val="00FA2BDE"/>
    <w:rsid w:val="00FA309A"/>
    <w:rsid w:val="00FA3439"/>
    <w:rsid w:val="00FA356C"/>
    <w:rsid w:val="00FA36C4"/>
    <w:rsid w:val="00FA3801"/>
    <w:rsid w:val="00FA3918"/>
    <w:rsid w:val="00FA392F"/>
    <w:rsid w:val="00FA3B8C"/>
    <w:rsid w:val="00FA3EEE"/>
    <w:rsid w:val="00FA406C"/>
    <w:rsid w:val="00FA42E7"/>
    <w:rsid w:val="00FA4382"/>
    <w:rsid w:val="00FA43C0"/>
    <w:rsid w:val="00FA4555"/>
    <w:rsid w:val="00FA4987"/>
    <w:rsid w:val="00FA4B93"/>
    <w:rsid w:val="00FA4C5F"/>
    <w:rsid w:val="00FA4CE9"/>
    <w:rsid w:val="00FA4DAF"/>
    <w:rsid w:val="00FA4E67"/>
    <w:rsid w:val="00FA4F66"/>
    <w:rsid w:val="00FA5168"/>
    <w:rsid w:val="00FA52C8"/>
    <w:rsid w:val="00FA53BE"/>
    <w:rsid w:val="00FA5431"/>
    <w:rsid w:val="00FA54AD"/>
    <w:rsid w:val="00FA54C2"/>
    <w:rsid w:val="00FA5A7B"/>
    <w:rsid w:val="00FA5D23"/>
    <w:rsid w:val="00FA5FAD"/>
    <w:rsid w:val="00FA5FC5"/>
    <w:rsid w:val="00FA6140"/>
    <w:rsid w:val="00FA62B0"/>
    <w:rsid w:val="00FA6392"/>
    <w:rsid w:val="00FA6500"/>
    <w:rsid w:val="00FA65E8"/>
    <w:rsid w:val="00FA65FD"/>
    <w:rsid w:val="00FA6764"/>
    <w:rsid w:val="00FA6815"/>
    <w:rsid w:val="00FA69B4"/>
    <w:rsid w:val="00FA6C76"/>
    <w:rsid w:val="00FA6F14"/>
    <w:rsid w:val="00FA7194"/>
    <w:rsid w:val="00FA71BD"/>
    <w:rsid w:val="00FA71E9"/>
    <w:rsid w:val="00FA72E9"/>
    <w:rsid w:val="00FA7577"/>
    <w:rsid w:val="00FA76D3"/>
    <w:rsid w:val="00FA77C8"/>
    <w:rsid w:val="00FA7808"/>
    <w:rsid w:val="00FA78FE"/>
    <w:rsid w:val="00FA792F"/>
    <w:rsid w:val="00FA7A2B"/>
    <w:rsid w:val="00FA7B5B"/>
    <w:rsid w:val="00FA7E1A"/>
    <w:rsid w:val="00FA7E86"/>
    <w:rsid w:val="00FB02A1"/>
    <w:rsid w:val="00FB0534"/>
    <w:rsid w:val="00FB0589"/>
    <w:rsid w:val="00FB0777"/>
    <w:rsid w:val="00FB08D3"/>
    <w:rsid w:val="00FB0ADD"/>
    <w:rsid w:val="00FB0BE8"/>
    <w:rsid w:val="00FB0CCA"/>
    <w:rsid w:val="00FB0FF0"/>
    <w:rsid w:val="00FB101D"/>
    <w:rsid w:val="00FB17F0"/>
    <w:rsid w:val="00FB1CF2"/>
    <w:rsid w:val="00FB1DEF"/>
    <w:rsid w:val="00FB2077"/>
    <w:rsid w:val="00FB215D"/>
    <w:rsid w:val="00FB2234"/>
    <w:rsid w:val="00FB25B6"/>
    <w:rsid w:val="00FB260D"/>
    <w:rsid w:val="00FB27F2"/>
    <w:rsid w:val="00FB29CC"/>
    <w:rsid w:val="00FB2B23"/>
    <w:rsid w:val="00FB2BDC"/>
    <w:rsid w:val="00FB2C62"/>
    <w:rsid w:val="00FB2C71"/>
    <w:rsid w:val="00FB2D5A"/>
    <w:rsid w:val="00FB2DA5"/>
    <w:rsid w:val="00FB2DDC"/>
    <w:rsid w:val="00FB2E40"/>
    <w:rsid w:val="00FB2F82"/>
    <w:rsid w:val="00FB2FE9"/>
    <w:rsid w:val="00FB3440"/>
    <w:rsid w:val="00FB34DE"/>
    <w:rsid w:val="00FB3643"/>
    <w:rsid w:val="00FB3811"/>
    <w:rsid w:val="00FB3940"/>
    <w:rsid w:val="00FB3B28"/>
    <w:rsid w:val="00FB3BBF"/>
    <w:rsid w:val="00FB3EEF"/>
    <w:rsid w:val="00FB4071"/>
    <w:rsid w:val="00FB415C"/>
    <w:rsid w:val="00FB41F8"/>
    <w:rsid w:val="00FB43A7"/>
    <w:rsid w:val="00FB4501"/>
    <w:rsid w:val="00FB4581"/>
    <w:rsid w:val="00FB45EC"/>
    <w:rsid w:val="00FB46CE"/>
    <w:rsid w:val="00FB4788"/>
    <w:rsid w:val="00FB4E8B"/>
    <w:rsid w:val="00FB506F"/>
    <w:rsid w:val="00FB5987"/>
    <w:rsid w:val="00FB5A7E"/>
    <w:rsid w:val="00FB5C16"/>
    <w:rsid w:val="00FB5F7B"/>
    <w:rsid w:val="00FB6174"/>
    <w:rsid w:val="00FB6475"/>
    <w:rsid w:val="00FB665B"/>
    <w:rsid w:val="00FB67C6"/>
    <w:rsid w:val="00FB6A6B"/>
    <w:rsid w:val="00FB6A8C"/>
    <w:rsid w:val="00FB6AA1"/>
    <w:rsid w:val="00FB6FE0"/>
    <w:rsid w:val="00FB70B8"/>
    <w:rsid w:val="00FB720C"/>
    <w:rsid w:val="00FB73C7"/>
    <w:rsid w:val="00FB73F0"/>
    <w:rsid w:val="00FB7B7D"/>
    <w:rsid w:val="00FB7CAA"/>
    <w:rsid w:val="00FC008E"/>
    <w:rsid w:val="00FC0177"/>
    <w:rsid w:val="00FC02EE"/>
    <w:rsid w:val="00FC032F"/>
    <w:rsid w:val="00FC06DB"/>
    <w:rsid w:val="00FC06EB"/>
    <w:rsid w:val="00FC0834"/>
    <w:rsid w:val="00FC0C67"/>
    <w:rsid w:val="00FC1465"/>
    <w:rsid w:val="00FC14DD"/>
    <w:rsid w:val="00FC14EC"/>
    <w:rsid w:val="00FC157C"/>
    <w:rsid w:val="00FC1709"/>
    <w:rsid w:val="00FC1B4D"/>
    <w:rsid w:val="00FC1BB3"/>
    <w:rsid w:val="00FC1C4C"/>
    <w:rsid w:val="00FC1DBC"/>
    <w:rsid w:val="00FC2109"/>
    <w:rsid w:val="00FC23AF"/>
    <w:rsid w:val="00FC250E"/>
    <w:rsid w:val="00FC25C1"/>
    <w:rsid w:val="00FC25EA"/>
    <w:rsid w:val="00FC2638"/>
    <w:rsid w:val="00FC26AD"/>
    <w:rsid w:val="00FC2758"/>
    <w:rsid w:val="00FC27C0"/>
    <w:rsid w:val="00FC288F"/>
    <w:rsid w:val="00FC2CD4"/>
    <w:rsid w:val="00FC2D28"/>
    <w:rsid w:val="00FC3293"/>
    <w:rsid w:val="00FC33AC"/>
    <w:rsid w:val="00FC33D2"/>
    <w:rsid w:val="00FC33F3"/>
    <w:rsid w:val="00FC35FF"/>
    <w:rsid w:val="00FC3699"/>
    <w:rsid w:val="00FC36E2"/>
    <w:rsid w:val="00FC3709"/>
    <w:rsid w:val="00FC3892"/>
    <w:rsid w:val="00FC3BCE"/>
    <w:rsid w:val="00FC3C63"/>
    <w:rsid w:val="00FC42F0"/>
    <w:rsid w:val="00FC433A"/>
    <w:rsid w:val="00FC4416"/>
    <w:rsid w:val="00FC4679"/>
    <w:rsid w:val="00FC4758"/>
    <w:rsid w:val="00FC4958"/>
    <w:rsid w:val="00FC4ADA"/>
    <w:rsid w:val="00FC4BB5"/>
    <w:rsid w:val="00FC4C7E"/>
    <w:rsid w:val="00FC4D17"/>
    <w:rsid w:val="00FC4DB9"/>
    <w:rsid w:val="00FC4F43"/>
    <w:rsid w:val="00FC5144"/>
    <w:rsid w:val="00FC555E"/>
    <w:rsid w:val="00FC56F6"/>
    <w:rsid w:val="00FC573C"/>
    <w:rsid w:val="00FC57F5"/>
    <w:rsid w:val="00FC5A57"/>
    <w:rsid w:val="00FC5B62"/>
    <w:rsid w:val="00FC5B77"/>
    <w:rsid w:val="00FC5C82"/>
    <w:rsid w:val="00FC5CFA"/>
    <w:rsid w:val="00FC5FCE"/>
    <w:rsid w:val="00FC61EB"/>
    <w:rsid w:val="00FC6428"/>
    <w:rsid w:val="00FC64FA"/>
    <w:rsid w:val="00FC64FE"/>
    <w:rsid w:val="00FC65BD"/>
    <w:rsid w:val="00FC6604"/>
    <w:rsid w:val="00FC673E"/>
    <w:rsid w:val="00FC677E"/>
    <w:rsid w:val="00FC6828"/>
    <w:rsid w:val="00FC694F"/>
    <w:rsid w:val="00FC6E01"/>
    <w:rsid w:val="00FC6FDE"/>
    <w:rsid w:val="00FC71F4"/>
    <w:rsid w:val="00FC729A"/>
    <w:rsid w:val="00FC72A9"/>
    <w:rsid w:val="00FC7364"/>
    <w:rsid w:val="00FC7517"/>
    <w:rsid w:val="00FC790B"/>
    <w:rsid w:val="00FC7BEA"/>
    <w:rsid w:val="00FC7E8D"/>
    <w:rsid w:val="00FC7EAC"/>
    <w:rsid w:val="00FC7F1E"/>
    <w:rsid w:val="00FD0263"/>
    <w:rsid w:val="00FD02AD"/>
    <w:rsid w:val="00FD065F"/>
    <w:rsid w:val="00FD07AA"/>
    <w:rsid w:val="00FD07F4"/>
    <w:rsid w:val="00FD08BA"/>
    <w:rsid w:val="00FD09DA"/>
    <w:rsid w:val="00FD0A65"/>
    <w:rsid w:val="00FD0AF1"/>
    <w:rsid w:val="00FD0B56"/>
    <w:rsid w:val="00FD100A"/>
    <w:rsid w:val="00FD10EA"/>
    <w:rsid w:val="00FD1193"/>
    <w:rsid w:val="00FD11DE"/>
    <w:rsid w:val="00FD11FB"/>
    <w:rsid w:val="00FD14D7"/>
    <w:rsid w:val="00FD15B7"/>
    <w:rsid w:val="00FD1602"/>
    <w:rsid w:val="00FD164C"/>
    <w:rsid w:val="00FD171D"/>
    <w:rsid w:val="00FD180F"/>
    <w:rsid w:val="00FD19EF"/>
    <w:rsid w:val="00FD1A0D"/>
    <w:rsid w:val="00FD1A2B"/>
    <w:rsid w:val="00FD1B1D"/>
    <w:rsid w:val="00FD1BA0"/>
    <w:rsid w:val="00FD1BBD"/>
    <w:rsid w:val="00FD1D33"/>
    <w:rsid w:val="00FD1D84"/>
    <w:rsid w:val="00FD1FEC"/>
    <w:rsid w:val="00FD2110"/>
    <w:rsid w:val="00FD243D"/>
    <w:rsid w:val="00FD2A34"/>
    <w:rsid w:val="00FD2A7C"/>
    <w:rsid w:val="00FD2C27"/>
    <w:rsid w:val="00FD2CDA"/>
    <w:rsid w:val="00FD33F9"/>
    <w:rsid w:val="00FD3428"/>
    <w:rsid w:val="00FD350E"/>
    <w:rsid w:val="00FD35C5"/>
    <w:rsid w:val="00FD362D"/>
    <w:rsid w:val="00FD36BE"/>
    <w:rsid w:val="00FD3730"/>
    <w:rsid w:val="00FD3740"/>
    <w:rsid w:val="00FD38A4"/>
    <w:rsid w:val="00FD3AFF"/>
    <w:rsid w:val="00FD3D50"/>
    <w:rsid w:val="00FD3FE2"/>
    <w:rsid w:val="00FD42CD"/>
    <w:rsid w:val="00FD42E1"/>
    <w:rsid w:val="00FD43A9"/>
    <w:rsid w:val="00FD4607"/>
    <w:rsid w:val="00FD47A5"/>
    <w:rsid w:val="00FD47F6"/>
    <w:rsid w:val="00FD49E1"/>
    <w:rsid w:val="00FD4CF8"/>
    <w:rsid w:val="00FD4D18"/>
    <w:rsid w:val="00FD5185"/>
    <w:rsid w:val="00FD528F"/>
    <w:rsid w:val="00FD52CD"/>
    <w:rsid w:val="00FD5302"/>
    <w:rsid w:val="00FD535C"/>
    <w:rsid w:val="00FD53FA"/>
    <w:rsid w:val="00FD5423"/>
    <w:rsid w:val="00FD56AE"/>
    <w:rsid w:val="00FD5D18"/>
    <w:rsid w:val="00FD5DAD"/>
    <w:rsid w:val="00FD5EDD"/>
    <w:rsid w:val="00FD6003"/>
    <w:rsid w:val="00FD6460"/>
    <w:rsid w:val="00FD6831"/>
    <w:rsid w:val="00FD6A8B"/>
    <w:rsid w:val="00FD6EAB"/>
    <w:rsid w:val="00FD6F29"/>
    <w:rsid w:val="00FD6FAD"/>
    <w:rsid w:val="00FD6FCC"/>
    <w:rsid w:val="00FD704D"/>
    <w:rsid w:val="00FD723F"/>
    <w:rsid w:val="00FD72E5"/>
    <w:rsid w:val="00FD74A4"/>
    <w:rsid w:val="00FD76F3"/>
    <w:rsid w:val="00FD7B2F"/>
    <w:rsid w:val="00FD7B56"/>
    <w:rsid w:val="00FD7F56"/>
    <w:rsid w:val="00FD7F80"/>
    <w:rsid w:val="00FE0072"/>
    <w:rsid w:val="00FE01D1"/>
    <w:rsid w:val="00FE02C9"/>
    <w:rsid w:val="00FE0614"/>
    <w:rsid w:val="00FE07BC"/>
    <w:rsid w:val="00FE09D7"/>
    <w:rsid w:val="00FE0B47"/>
    <w:rsid w:val="00FE0BB4"/>
    <w:rsid w:val="00FE1005"/>
    <w:rsid w:val="00FE120F"/>
    <w:rsid w:val="00FE12ED"/>
    <w:rsid w:val="00FE1533"/>
    <w:rsid w:val="00FE1567"/>
    <w:rsid w:val="00FE183B"/>
    <w:rsid w:val="00FE1A37"/>
    <w:rsid w:val="00FE1E07"/>
    <w:rsid w:val="00FE1FDD"/>
    <w:rsid w:val="00FE1FE9"/>
    <w:rsid w:val="00FE1FEE"/>
    <w:rsid w:val="00FE2506"/>
    <w:rsid w:val="00FE2545"/>
    <w:rsid w:val="00FE2A1D"/>
    <w:rsid w:val="00FE2C5E"/>
    <w:rsid w:val="00FE332C"/>
    <w:rsid w:val="00FE34A2"/>
    <w:rsid w:val="00FE35F4"/>
    <w:rsid w:val="00FE3774"/>
    <w:rsid w:val="00FE397D"/>
    <w:rsid w:val="00FE3BD0"/>
    <w:rsid w:val="00FE3D87"/>
    <w:rsid w:val="00FE4004"/>
    <w:rsid w:val="00FE4162"/>
    <w:rsid w:val="00FE4291"/>
    <w:rsid w:val="00FE42F5"/>
    <w:rsid w:val="00FE462F"/>
    <w:rsid w:val="00FE4719"/>
    <w:rsid w:val="00FE48F6"/>
    <w:rsid w:val="00FE490E"/>
    <w:rsid w:val="00FE4939"/>
    <w:rsid w:val="00FE4BB4"/>
    <w:rsid w:val="00FE4DB6"/>
    <w:rsid w:val="00FE4ECA"/>
    <w:rsid w:val="00FE4F97"/>
    <w:rsid w:val="00FE5005"/>
    <w:rsid w:val="00FE5221"/>
    <w:rsid w:val="00FE529A"/>
    <w:rsid w:val="00FE564E"/>
    <w:rsid w:val="00FE574C"/>
    <w:rsid w:val="00FE5B87"/>
    <w:rsid w:val="00FE5CB1"/>
    <w:rsid w:val="00FE5D2F"/>
    <w:rsid w:val="00FE6636"/>
    <w:rsid w:val="00FE66E5"/>
    <w:rsid w:val="00FE6A1D"/>
    <w:rsid w:val="00FE6DFA"/>
    <w:rsid w:val="00FE70F6"/>
    <w:rsid w:val="00FE72E1"/>
    <w:rsid w:val="00FE74D4"/>
    <w:rsid w:val="00FE75C6"/>
    <w:rsid w:val="00FE7703"/>
    <w:rsid w:val="00FE7719"/>
    <w:rsid w:val="00FE7991"/>
    <w:rsid w:val="00FE7A4D"/>
    <w:rsid w:val="00FE7D69"/>
    <w:rsid w:val="00FE7E14"/>
    <w:rsid w:val="00FE7E96"/>
    <w:rsid w:val="00FF010E"/>
    <w:rsid w:val="00FF0149"/>
    <w:rsid w:val="00FF016A"/>
    <w:rsid w:val="00FF036D"/>
    <w:rsid w:val="00FF0643"/>
    <w:rsid w:val="00FF0711"/>
    <w:rsid w:val="00FF0779"/>
    <w:rsid w:val="00FF085F"/>
    <w:rsid w:val="00FF0C50"/>
    <w:rsid w:val="00FF0E81"/>
    <w:rsid w:val="00FF0ED3"/>
    <w:rsid w:val="00FF1111"/>
    <w:rsid w:val="00FF13EA"/>
    <w:rsid w:val="00FF17B0"/>
    <w:rsid w:val="00FF1845"/>
    <w:rsid w:val="00FF1887"/>
    <w:rsid w:val="00FF18AC"/>
    <w:rsid w:val="00FF1A7B"/>
    <w:rsid w:val="00FF1E3A"/>
    <w:rsid w:val="00FF1F5A"/>
    <w:rsid w:val="00FF20C9"/>
    <w:rsid w:val="00FF21BF"/>
    <w:rsid w:val="00FF2354"/>
    <w:rsid w:val="00FF2830"/>
    <w:rsid w:val="00FF2968"/>
    <w:rsid w:val="00FF29A6"/>
    <w:rsid w:val="00FF2A1F"/>
    <w:rsid w:val="00FF2BCB"/>
    <w:rsid w:val="00FF2CA5"/>
    <w:rsid w:val="00FF3159"/>
    <w:rsid w:val="00FF3472"/>
    <w:rsid w:val="00FF3674"/>
    <w:rsid w:val="00FF3883"/>
    <w:rsid w:val="00FF38D1"/>
    <w:rsid w:val="00FF3B70"/>
    <w:rsid w:val="00FF3BD4"/>
    <w:rsid w:val="00FF3F10"/>
    <w:rsid w:val="00FF405C"/>
    <w:rsid w:val="00FF42DB"/>
    <w:rsid w:val="00FF4696"/>
    <w:rsid w:val="00FF47D1"/>
    <w:rsid w:val="00FF47F9"/>
    <w:rsid w:val="00FF498A"/>
    <w:rsid w:val="00FF4A83"/>
    <w:rsid w:val="00FF4BA0"/>
    <w:rsid w:val="00FF4C2E"/>
    <w:rsid w:val="00FF4DF2"/>
    <w:rsid w:val="00FF4F63"/>
    <w:rsid w:val="00FF4F97"/>
    <w:rsid w:val="00FF5520"/>
    <w:rsid w:val="00FF5569"/>
    <w:rsid w:val="00FF56F4"/>
    <w:rsid w:val="00FF576F"/>
    <w:rsid w:val="00FF58A8"/>
    <w:rsid w:val="00FF58F5"/>
    <w:rsid w:val="00FF590E"/>
    <w:rsid w:val="00FF591D"/>
    <w:rsid w:val="00FF59C7"/>
    <w:rsid w:val="00FF5A43"/>
    <w:rsid w:val="00FF6462"/>
    <w:rsid w:val="00FF64CF"/>
    <w:rsid w:val="00FF6551"/>
    <w:rsid w:val="00FF67A5"/>
    <w:rsid w:val="00FF6EE2"/>
    <w:rsid w:val="00FF6F1A"/>
    <w:rsid w:val="00FF70B3"/>
    <w:rsid w:val="00FF70C6"/>
    <w:rsid w:val="00FF70D7"/>
    <w:rsid w:val="00FF72D9"/>
    <w:rsid w:val="00FF7688"/>
    <w:rsid w:val="00FF78E0"/>
    <w:rsid w:val="00FF7BDC"/>
    <w:rsid w:val="00FF7C16"/>
    <w:rsid w:val="00FF7C41"/>
    <w:rsid w:val="00FF7CB2"/>
    <w:rsid w:val="00FF7DC7"/>
    <w:rsid w:val="00FF7EEC"/>
    <w:rsid w:val="01017684"/>
    <w:rsid w:val="01184EFF"/>
    <w:rsid w:val="011C24F3"/>
    <w:rsid w:val="0136273B"/>
    <w:rsid w:val="01455B46"/>
    <w:rsid w:val="015B7EDE"/>
    <w:rsid w:val="016245C6"/>
    <w:rsid w:val="018207C5"/>
    <w:rsid w:val="01875DDB"/>
    <w:rsid w:val="018C0765"/>
    <w:rsid w:val="019978BC"/>
    <w:rsid w:val="01A517C0"/>
    <w:rsid w:val="01AA1AC9"/>
    <w:rsid w:val="01CE57B8"/>
    <w:rsid w:val="01D7751B"/>
    <w:rsid w:val="01EE7C08"/>
    <w:rsid w:val="020F2267"/>
    <w:rsid w:val="021109CB"/>
    <w:rsid w:val="02176812"/>
    <w:rsid w:val="02182ED7"/>
    <w:rsid w:val="02296E92"/>
    <w:rsid w:val="022F5414"/>
    <w:rsid w:val="023255B0"/>
    <w:rsid w:val="027A76EE"/>
    <w:rsid w:val="0283342C"/>
    <w:rsid w:val="028A615F"/>
    <w:rsid w:val="029C7664"/>
    <w:rsid w:val="02A34E53"/>
    <w:rsid w:val="02B31730"/>
    <w:rsid w:val="02C25431"/>
    <w:rsid w:val="02CE0BE8"/>
    <w:rsid w:val="02E244CB"/>
    <w:rsid w:val="02E36377"/>
    <w:rsid w:val="02F05C02"/>
    <w:rsid w:val="02F70D3E"/>
    <w:rsid w:val="03065425"/>
    <w:rsid w:val="030A68A4"/>
    <w:rsid w:val="031864C2"/>
    <w:rsid w:val="03262BD9"/>
    <w:rsid w:val="0336453C"/>
    <w:rsid w:val="035305C5"/>
    <w:rsid w:val="03641F07"/>
    <w:rsid w:val="03764359"/>
    <w:rsid w:val="037B0D90"/>
    <w:rsid w:val="037D78ED"/>
    <w:rsid w:val="038F2BF1"/>
    <w:rsid w:val="03CA5A9D"/>
    <w:rsid w:val="03D270B5"/>
    <w:rsid w:val="03DC0210"/>
    <w:rsid w:val="03DF192A"/>
    <w:rsid w:val="03F914B2"/>
    <w:rsid w:val="04146D82"/>
    <w:rsid w:val="04163BC4"/>
    <w:rsid w:val="041B6CAE"/>
    <w:rsid w:val="042207A6"/>
    <w:rsid w:val="043A3327"/>
    <w:rsid w:val="04504BAA"/>
    <w:rsid w:val="046D4D83"/>
    <w:rsid w:val="0472170A"/>
    <w:rsid w:val="0486237A"/>
    <w:rsid w:val="049D397B"/>
    <w:rsid w:val="04AA4267"/>
    <w:rsid w:val="04AC581A"/>
    <w:rsid w:val="04B63FA0"/>
    <w:rsid w:val="04B93A82"/>
    <w:rsid w:val="04BC2297"/>
    <w:rsid w:val="04DF5F2E"/>
    <w:rsid w:val="04E11CA6"/>
    <w:rsid w:val="04E43B64"/>
    <w:rsid w:val="04F16063"/>
    <w:rsid w:val="05025CD3"/>
    <w:rsid w:val="05070634"/>
    <w:rsid w:val="050E411D"/>
    <w:rsid w:val="05161624"/>
    <w:rsid w:val="051A6F66"/>
    <w:rsid w:val="051B51D3"/>
    <w:rsid w:val="051C2CDE"/>
    <w:rsid w:val="05246E83"/>
    <w:rsid w:val="052D0E58"/>
    <w:rsid w:val="052F6AFF"/>
    <w:rsid w:val="05340028"/>
    <w:rsid w:val="05540717"/>
    <w:rsid w:val="055F1D2B"/>
    <w:rsid w:val="057448C8"/>
    <w:rsid w:val="057B460B"/>
    <w:rsid w:val="058415B2"/>
    <w:rsid w:val="05926AFC"/>
    <w:rsid w:val="05A67D81"/>
    <w:rsid w:val="05A70A57"/>
    <w:rsid w:val="05BF2D80"/>
    <w:rsid w:val="05CF1AFF"/>
    <w:rsid w:val="05DF63C8"/>
    <w:rsid w:val="05F61781"/>
    <w:rsid w:val="05FE5C7E"/>
    <w:rsid w:val="060207FE"/>
    <w:rsid w:val="06021ED4"/>
    <w:rsid w:val="061416A1"/>
    <w:rsid w:val="061D7643"/>
    <w:rsid w:val="0639341C"/>
    <w:rsid w:val="0672181B"/>
    <w:rsid w:val="06754701"/>
    <w:rsid w:val="067D59FE"/>
    <w:rsid w:val="06886587"/>
    <w:rsid w:val="0689553F"/>
    <w:rsid w:val="068C5C42"/>
    <w:rsid w:val="06A4021B"/>
    <w:rsid w:val="06A44D39"/>
    <w:rsid w:val="06C52AC5"/>
    <w:rsid w:val="06C70A28"/>
    <w:rsid w:val="06DA2E85"/>
    <w:rsid w:val="06E34283"/>
    <w:rsid w:val="06F360CC"/>
    <w:rsid w:val="06FA2BAB"/>
    <w:rsid w:val="06FE0DA6"/>
    <w:rsid w:val="07016F9B"/>
    <w:rsid w:val="07101CBA"/>
    <w:rsid w:val="072072E5"/>
    <w:rsid w:val="07283BBC"/>
    <w:rsid w:val="077C1812"/>
    <w:rsid w:val="07A11279"/>
    <w:rsid w:val="07AA45D1"/>
    <w:rsid w:val="07CA5A23"/>
    <w:rsid w:val="07D22829"/>
    <w:rsid w:val="07D44241"/>
    <w:rsid w:val="07E94D14"/>
    <w:rsid w:val="07EA2F17"/>
    <w:rsid w:val="07FC0BA5"/>
    <w:rsid w:val="08033CE1"/>
    <w:rsid w:val="08144EEC"/>
    <w:rsid w:val="0817778D"/>
    <w:rsid w:val="08233E3E"/>
    <w:rsid w:val="0842376E"/>
    <w:rsid w:val="08462061"/>
    <w:rsid w:val="084B3FA6"/>
    <w:rsid w:val="085E6D37"/>
    <w:rsid w:val="0863072F"/>
    <w:rsid w:val="08645EBC"/>
    <w:rsid w:val="0889068B"/>
    <w:rsid w:val="088C1F29"/>
    <w:rsid w:val="08932B34"/>
    <w:rsid w:val="08A234FA"/>
    <w:rsid w:val="08AD1B9D"/>
    <w:rsid w:val="08AE00F1"/>
    <w:rsid w:val="08C4414C"/>
    <w:rsid w:val="08D062B9"/>
    <w:rsid w:val="08D71072"/>
    <w:rsid w:val="09054AF4"/>
    <w:rsid w:val="093D6591"/>
    <w:rsid w:val="094A004E"/>
    <w:rsid w:val="095401CE"/>
    <w:rsid w:val="09540C72"/>
    <w:rsid w:val="095F763D"/>
    <w:rsid w:val="09646104"/>
    <w:rsid w:val="096E7880"/>
    <w:rsid w:val="09A8467C"/>
    <w:rsid w:val="09A92503"/>
    <w:rsid w:val="09B07E99"/>
    <w:rsid w:val="09BA2AC6"/>
    <w:rsid w:val="09C0632E"/>
    <w:rsid w:val="09CB1127"/>
    <w:rsid w:val="09CC68A5"/>
    <w:rsid w:val="09DF1D71"/>
    <w:rsid w:val="09E55D95"/>
    <w:rsid w:val="0A121D7B"/>
    <w:rsid w:val="0A2E4A30"/>
    <w:rsid w:val="0A347112"/>
    <w:rsid w:val="0A481E7F"/>
    <w:rsid w:val="0A4827B2"/>
    <w:rsid w:val="0A4C0D82"/>
    <w:rsid w:val="0A56132F"/>
    <w:rsid w:val="0A5922DF"/>
    <w:rsid w:val="0A634ED8"/>
    <w:rsid w:val="0A6904EF"/>
    <w:rsid w:val="0A6A629A"/>
    <w:rsid w:val="0A82405D"/>
    <w:rsid w:val="0A86162B"/>
    <w:rsid w:val="0A963221"/>
    <w:rsid w:val="0AA03A6A"/>
    <w:rsid w:val="0AA514FF"/>
    <w:rsid w:val="0AB17370"/>
    <w:rsid w:val="0AC459AA"/>
    <w:rsid w:val="0AC51BB0"/>
    <w:rsid w:val="0AD61122"/>
    <w:rsid w:val="0ADD2F10"/>
    <w:rsid w:val="0AFB3396"/>
    <w:rsid w:val="0AFD710E"/>
    <w:rsid w:val="0B1701D0"/>
    <w:rsid w:val="0B2F23FC"/>
    <w:rsid w:val="0B413C35"/>
    <w:rsid w:val="0B4B4774"/>
    <w:rsid w:val="0B5F56D3"/>
    <w:rsid w:val="0B666A61"/>
    <w:rsid w:val="0B7360E9"/>
    <w:rsid w:val="0B7706A5"/>
    <w:rsid w:val="0B801CA8"/>
    <w:rsid w:val="0B8E217B"/>
    <w:rsid w:val="0BA17A99"/>
    <w:rsid w:val="0BB4407F"/>
    <w:rsid w:val="0BC65752"/>
    <w:rsid w:val="0BF741CD"/>
    <w:rsid w:val="0C0D0B2D"/>
    <w:rsid w:val="0C0E092C"/>
    <w:rsid w:val="0C164BAC"/>
    <w:rsid w:val="0C3C645E"/>
    <w:rsid w:val="0C3E178C"/>
    <w:rsid w:val="0C623DCE"/>
    <w:rsid w:val="0C6453E0"/>
    <w:rsid w:val="0C6A5BE2"/>
    <w:rsid w:val="0C8716DA"/>
    <w:rsid w:val="0C877D40"/>
    <w:rsid w:val="0C8A1B12"/>
    <w:rsid w:val="0C974BFF"/>
    <w:rsid w:val="0CBC3D48"/>
    <w:rsid w:val="0CBD0903"/>
    <w:rsid w:val="0CE55ECB"/>
    <w:rsid w:val="0CE9483D"/>
    <w:rsid w:val="0CFF6835"/>
    <w:rsid w:val="0D0A552D"/>
    <w:rsid w:val="0D0F1356"/>
    <w:rsid w:val="0D2602B8"/>
    <w:rsid w:val="0D2B61B4"/>
    <w:rsid w:val="0D3C216F"/>
    <w:rsid w:val="0D501777"/>
    <w:rsid w:val="0D6F0A6A"/>
    <w:rsid w:val="0D7A2C98"/>
    <w:rsid w:val="0D933D59"/>
    <w:rsid w:val="0D993578"/>
    <w:rsid w:val="0DAA0795"/>
    <w:rsid w:val="0DBA3094"/>
    <w:rsid w:val="0DBC069B"/>
    <w:rsid w:val="0DBF06AB"/>
    <w:rsid w:val="0DD95C10"/>
    <w:rsid w:val="0DDB4C60"/>
    <w:rsid w:val="0DEE0F90"/>
    <w:rsid w:val="0DF43BD6"/>
    <w:rsid w:val="0E0D58BA"/>
    <w:rsid w:val="0E10622A"/>
    <w:rsid w:val="0E1704E7"/>
    <w:rsid w:val="0E247683"/>
    <w:rsid w:val="0E43748B"/>
    <w:rsid w:val="0E4868F2"/>
    <w:rsid w:val="0E4D0222"/>
    <w:rsid w:val="0E611762"/>
    <w:rsid w:val="0E6574B2"/>
    <w:rsid w:val="0E6C0832"/>
    <w:rsid w:val="0E745939"/>
    <w:rsid w:val="0E8536A2"/>
    <w:rsid w:val="0E906D3E"/>
    <w:rsid w:val="0E9733D5"/>
    <w:rsid w:val="0E9E41B8"/>
    <w:rsid w:val="0EAC1A53"/>
    <w:rsid w:val="0ECF2B6F"/>
    <w:rsid w:val="0EDB7766"/>
    <w:rsid w:val="0EE53515"/>
    <w:rsid w:val="0EF80318"/>
    <w:rsid w:val="0EFB1BB6"/>
    <w:rsid w:val="0F113188"/>
    <w:rsid w:val="0F1313F0"/>
    <w:rsid w:val="0F180CA4"/>
    <w:rsid w:val="0F2864A1"/>
    <w:rsid w:val="0F29227F"/>
    <w:rsid w:val="0F3021AF"/>
    <w:rsid w:val="0F3A17D8"/>
    <w:rsid w:val="0F451097"/>
    <w:rsid w:val="0F48175C"/>
    <w:rsid w:val="0F4946D0"/>
    <w:rsid w:val="0F4E6313"/>
    <w:rsid w:val="0F4F4D1D"/>
    <w:rsid w:val="0F615EBD"/>
    <w:rsid w:val="0F7014AD"/>
    <w:rsid w:val="0F7B4AA5"/>
    <w:rsid w:val="0F7B696E"/>
    <w:rsid w:val="0FB51D65"/>
    <w:rsid w:val="0FC13517"/>
    <w:rsid w:val="0FC8703B"/>
    <w:rsid w:val="0FD556FA"/>
    <w:rsid w:val="0FDE15F5"/>
    <w:rsid w:val="0FE20680"/>
    <w:rsid w:val="0FF565B5"/>
    <w:rsid w:val="10046849"/>
    <w:rsid w:val="1021564D"/>
    <w:rsid w:val="10246B0B"/>
    <w:rsid w:val="10331486"/>
    <w:rsid w:val="103C338F"/>
    <w:rsid w:val="10562014"/>
    <w:rsid w:val="105C2B7D"/>
    <w:rsid w:val="106F4707"/>
    <w:rsid w:val="108A66C8"/>
    <w:rsid w:val="1096176D"/>
    <w:rsid w:val="10A34825"/>
    <w:rsid w:val="10AD5132"/>
    <w:rsid w:val="10EB2F5E"/>
    <w:rsid w:val="10F16DCD"/>
    <w:rsid w:val="10F22B45"/>
    <w:rsid w:val="11127128"/>
    <w:rsid w:val="113C38DE"/>
    <w:rsid w:val="1140499E"/>
    <w:rsid w:val="11627CCB"/>
    <w:rsid w:val="116648D2"/>
    <w:rsid w:val="116E6670"/>
    <w:rsid w:val="117B5B96"/>
    <w:rsid w:val="11815E8D"/>
    <w:rsid w:val="11877731"/>
    <w:rsid w:val="118B7221"/>
    <w:rsid w:val="11A17CDE"/>
    <w:rsid w:val="11A958FA"/>
    <w:rsid w:val="11B5117F"/>
    <w:rsid w:val="11DC5CCF"/>
    <w:rsid w:val="11DF69C6"/>
    <w:rsid w:val="11EE77B0"/>
    <w:rsid w:val="11FC5AF2"/>
    <w:rsid w:val="120E6791"/>
    <w:rsid w:val="122D2087"/>
    <w:rsid w:val="123151A4"/>
    <w:rsid w:val="12321539"/>
    <w:rsid w:val="12390D89"/>
    <w:rsid w:val="1240469E"/>
    <w:rsid w:val="12744159"/>
    <w:rsid w:val="128E4764"/>
    <w:rsid w:val="12B25D65"/>
    <w:rsid w:val="12B72298"/>
    <w:rsid w:val="12BB3DF3"/>
    <w:rsid w:val="12CD5618"/>
    <w:rsid w:val="12CF5853"/>
    <w:rsid w:val="12F42BA4"/>
    <w:rsid w:val="12F62DC0"/>
    <w:rsid w:val="12FA073C"/>
    <w:rsid w:val="13092D04"/>
    <w:rsid w:val="130F60A2"/>
    <w:rsid w:val="13113EB5"/>
    <w:rsid w:val="132A2A6A"/>
    <w:rsid w:val="13376429"/>
    <w:rsid w:val="133926E4"/>
    <w:rsid w:val="13623FB2"/>
    <w:rsid w:val="137552B7"/>
    <w:rsid w:val="138A55DC"/>
    <w:rsid w:val="13906D71"/>
    <w:rsid w:val="13B8124A"/>
    <w:rsid w:val="13B9148C"/>
    <w:rsid w:val="13B95867"/>
    <w:rsid w:val="13C62745"/>
    <w:rsid w:val="13CC63BB"/>
    <w:rsid w:val="13D06592"/>
    <w:rsid w:val="13D06596"/>
    <w:rsid w:val="13DA623E"/>
    <w:rsid w:val="13DF3855"/>
    <w:rsid w:val="13E175CD"/>
    <w:rsid w:val="13E35761"/>
    <w:rsid w:val="13E415F6"/>
    <w:rsid w:val="13F801A2"/>
    <w:rsid w:val="13FB3173"/>
    <w:rsid w:val="14047004"/>
    <w:rsid w:val="141B1890"/>
    <w:rsid w:val="14214C4A"/>
    <w:rsid w:val="142C45C0"/>
    <w:rsid w:val="144006A0"/>
    <w:rsid w:val="145315E4"/>
    <w:rsid w:val="145F228C"/>
    <w:rsid w:val="146367E1"/>
    <w:rsid w:val="146E4BD8"/>
    <w:rsid w:val="147F6DE6"/>
    <w:rsid w:val="1485453C"/>
    <w:rsid w:val="148B12E6"/>
    <w:rsid w:val="14934330"/>
    <w:rsid w:val="149E388B"/>
    <w:rsid w:val="14BC3B96"/>
    <w:rsid w:val="14BC5944"/>
    <w:rsid w:val="14DD4253"/>
    <w:rsid w:val="14EE1926"/>
    <w:rsid w:val="14FC201D"/>
    <w:rsid w:val="14FC7F81"/>
    <w:rsid w:val="150224A7"/>
    <w:rsid w:val="1504385E"/>
    <w:rsid w:val="15051099"/>
    <w:rsid w:val="15052357"/>
    <w:rsid w:val="15060317"/>
    <w:rsid w:val="15086A2A"/>
    <w:rsid w:val="1509523C"/>
    <w:rsid w:val="152658C0"/>
    <w:rsid w:val="152F63E2"/>
    <w:rsid w:val="154C6CC8"/>
    <w:rsid w:val="155408F6"/>
    <w:rsid w:val="15613ACF"/>
    <w:rsid w:val="1571672E"/>
    <w:rsid w:val="157E564F"/>
    <w:rsid w:val="159348F7"/>
    <w:rsid w:val="159E329B"/>
    <w:rsid w:val="15AC59B8"/>
    <w:rsid w:val="15BF2528"/>
    <w:rsid w:val="15D22960"/>
    <w:rsid w:val="15F058C1"/>
    <w:rsid w:val="15FD5999"/>
    <w:rsid w:val="16135A37"/>
    <w:rsid w:val="162D0B53"/>
    <w:rsid w:val="16745497"/>
    <w:rsid w:val="16791B72"/>
    <w:rsid w:val="167F6094"/>
    <w:rsid w:val="168A7DA3"/>
    <w:rsid w:val="16922E00"/>
    <w:rsid w:val="16A70E89"/>
    <w:rsid w:val="16B5271D"/>
    <w:rsid w:val="16B9000A"/>
    <w:rsid w:val="16BE69CE"/>
    <w:rsid w:val="16E42F30"/>
    <w:rsid w:val="16F00C59"/>
    <w:rsid w:val="16F11BF2"/>
    <w:rsid w:val="1706559A"/>
    <w:rsid w:val="17066A54"/>
    <w:rsid w:val="170A6E3A"/>
    <w:rsid w:val="17163A31"/>
    <w:rsid w:val="171C50AC"/>
    <w:rsid w:val="171F21BA"/>
    <w:rsid w:val="17290A30"/>
    <w:rsid w:val="174116A4"/>
    <w:rsid w:val="17444F7A"/>
    <w:rsid w:val="175E3A04"/>
    <w:rsid w:val="17803137"/>
    <w:rsid w:val="178D1819"/>
    <w:rsid w:val="17970792"/>
    <w:rsid w:val="17C05240"/>
    <w:rsid w:val="17CD36CD"/>
    <w:rsid w:val="17D04BA2"/>
    <w:rsid w:val="17D6727A"/>
    <w:rsid w:val="17E01981"/>
    <w:rsid w:val="17FD7AA6"/>
    <w:rsid w:val="180970F2"/>
    <w:rsid w:val="18381785"/>
    <w:rsid w:val="18416DCB"/>
    <w:rsid w:val="185C7097"/>
    <w:rsid w:val="18636BC3"/>
    <w:rsid w:val="1869193F"/>
    <w:rsid w:val="186C4228"/>
    <w:rsid w:val="18711035"/>
    <w:rsid w:val="18793308"/>
    <w:rsid w:val="187D7B75"/>
    <w:rsid w:val="18812024"/>
    <w:rsid w:val="18A53BC0"/>
    <w:rsid w:val="18A90011"/>
    <w:rsid w:val="18AE6106"/>
    <w:rsid w:val="18B708FC"/>
    <w:rsid w:val="18B77223"/>
    <w:rsid w:val="18F71640"/>
    <w:rsid w:val="18F97167"/>
    <w:rsid w:val="190A1635"/>
    <w:rsid w:val="190C750B"/>
    <w:rsid w:val="19120228"/>
    <w:rsid w:val="191731D1"/>
    <w:rsid w:val="192341E3"/>
    <w:rsid w:val="192D0BBE"/>
    <w:rsid w:val="19526877"/>
    <w:rsid w:val="196D2C99"/>
    <w:rsid w:val="198A6011"/>
    <w:rsid w:val="19940C3D"/>
    <w:rsid w:val="199B1FCC"/>
    <w:rsid w:val="19AE209F"/>
    <w:rsid w:val="19B412DF"/>
    <w:rsid w:val="19B71B00"/>
    <w:rsid w:val="19F17E3E"/>
    <w:rsid w:val="19FB4632"/>
    <w:rsid w:val="1A0E09F0"/>
    <w:rsid w:val="1A2011EA"/>
    <w:rsid w:val="1A243704"/>
    <w:rsid w:val="1A300A91"/>
    <w:rsid w:val="1A3F5273"/>
    <w:rsid w:val="1A5F749D"/>
    <w:rsid w:val="1A613215"/>
    <w:rsid w:val="1A633C55"/>
    <w:rsid w:val="1A667BB5"/>
    <w:rsid w:val="1A671E2B"/>
    <w:rsid w:val="1A770EDB"/>
    <w:rsid w:val="1A914029"/>
    <w:rsid w:val="1A9829AF"/>
    <w:rsid w:val="1AA43102"/>
    <w:rsid w:val="1AB24D9C"/>
    <w:rsid w:val="1AB71087"/>
    <w:rsid w:val="1ADA3D88"/>
    <w:rsid w:val="1ADD3836"/>
    <w:rsid w:val="1AEA2461"/>
    <w:rsid w:val="1AF2632B"/>
    <w:rsid w:val="1B077F8A"/>
    <w:rsid w:val="1B0A2C1E"/>
    <w:rsid w:val="1B105834"/>
    <w:rsid w:val="1B16226C"/>
    <w:rsid w:val="1B1C0EEA"/>
    <w:rsid w:val="1B1C713C"/>
    <w:rsid w:val="1B343E1D"/>
    <w:rsid w:val="1B412F54"/>
    <w:rsid w:val="1B662AAD"/>
    <w:rsid w:val="1B6A61A2"/>
    <w:rsid w:val="1B6C6C80"/>
    <w:rsid w:val="1B6D3826"/>
    <w:rsid w:val="1B721452"/>
    <w:rsid w:val="1B742AD4"/>
    <w:rsid w:val="1B886580"/>
    <w:rsid w:val="1B8E6B36"/>
    <w:rsid w:val="1B972889"/>
    <w:rsid w:val="1B9828DD"/>
    <w:rsid w:val="1BA01B1B"/>
    <w:rsid w:val="1BD737AA"/>
    <w:rsid w:val="1BD8671B"/>
    <w:rsid w:val="1BFD1AFD"/>
    <w:rsid w:val="1BFE7D04"/>
    <w:rsid w:val="1C031EA9"/>
    <w:rsid w:val="1C083CB8"/>
    <w:rsid w:val="1C130F12"/>
    <w:rsid w:val="1C182C76"/>
    <w:rsid w:val="1C204A0A"/>
    <w:rsid w:val="1C2A7637"/>
    <w:rsid w:val="1C2E35CB"/>
    <w:rsid w:val="1C2F6084"/>
    <w:rsid w:val="1C435672"/>
    <w:rsid w:val="1C5207A8"/>
    <w:rsid w:val="1C524DC1"/>
    <w:rsid w:val="1C5E6B70"/>
    <w:rsid w:val="1C631567"/>
    <w:rsid w:val="1C725757"/>
    <w:rsid w:val="1C7E172A"/>
    <w:rsid w:val="1C964CCC"/>
    <w:rsid w:val="1CA53161"/>
    <w:rsid w:val="1CAF0249"/>
    <w:rsid w:val="1CC01D49"/>
    <w:rsid w:val="1CC528B8"/>
    <w:rsid w:val="1CCC64DC"/>
    <w:rsid w:val="1CD83055"/>
    <w:rsid w:val="1CE14EC1"/>
    <w:rsid w:val="1CF06D28"/>
    <w:rsid w:val="1CFE11EF"/>
    <w:rsid w:val="1D01483C"/>
    <w:rsid w:val="1D0509C0"/>
    <w:rsid w:val="1D1D5176"/>
    <w:rsid w:val="1D382954"/>
    <w:rsid w:val="1D3C1C2B"/>
    <w:rsid w:val="1D497F91"/>
    <w:rsid w:val="1D5766A5"/>
    <w:rsid w:val="1D720C7B"/>
    <w:rsid w:val="1D81668A"/>
    <w:rsid w:val="1D9456B0"/>
    <w:rsid w:val="1D9E208B"/>
    <w:rsid w:val="1DB7000F"/>
    <w:rsid w:val="1DC51D0D"/>
    <w:rsid w:val="1DC87107"/>
    <w:rsid w:val="1DC934B1"/>
    <w:rsid w:val="1DDE2DCF"/>
    <w:rsid w:val="1DE304F7"/>
    <w:rsid w:val="1DF37E7E"/>
    <w:rsid w:val="1DF63C75"/>
    <w:rsid w:val="1E123A89"/>
    <w:rsid w:val="1E164317"/>
    <w:rsid w:val="1E17114D"/>
    <w:rsid w:val="1E252A2F"/>
    <w:rsid w:val="1E385B68"/>
    <w:rsid w:val="1E3B3E76"/>
    <w:rsid w:val="1E3E5A13"/>
    <w:rsid w:val="1E476532"/>
    <w:rsid w:val="1E4946EC"/>
    <w:rsid w:val="1E606685"/>
    <w:rsid w:val="1E6E5265"/>
    <w:rsid w:val="1E7A2110"/>
    <w:rsid w:val="1E8411D7"/>
    <w:rsid w:val="1E8D7EF7"/>
    <w:rsid w:val="1EA16EC0"/>
    <w:rsid w:val="1EAB2607"/>
    <w:rsid w:val="1EB85B74"/>
    <w:rsid w:val="1EBB4EBE"/>
    <w:rsid w:val="1ECE074D"/>
    <w:rsid w:val="1ED57EC8"/>
    <w:rsid w:val="1ED94728"/>
    <w:rsid w:val="1EDA17E8"/>
    <w:rsid w:val="1EDC047F"/>
    <w:rsid w:val="1EF012B6"/>
    <w:rsid w:val="1EF67CA4"/>
    <w:rsid w:val="1EFE230E"/>
    <w:rsid w:val="1F0B5FB2"/>
    <w:rsid w:val="1F334A54"/>
    <w:rsid w:val="1F374545"/>
    <w:rsid w:val="1F3A2287"/>
    <w:rsid w:val="1F7C1B65"/>
    <w:rsid w:val="1F903C55"/>
    <w:rsid w:val="1FA807DA"/>
    <w:rsid w:val="1FA83694"/>
    <w:rsid w:val="1FAE0CC5"/>
    <w:rsid w:val="1FB042F7"/>
    <w:rsid w:val="1FC02701"/>
    <w:rsid w:val="1FC5234A"/>
    <w:rsid w:val="1FD2752D"/>
    <w:rsid w:val="1FDB6D03"/>
    <w:rsid w:val="1FDC2118"/>
    <w:rsid w:val="1FDC50EC"/>
    <w:rsid w:val="1FE741BD"/>
    <w:rsid w:val="1FF16DE9"/>
    <w:rsid w:val="1FF7451A"/>
    <w:rsid w:val="1FF97891"/>
    <w:rsid w:val="200C59D1"/>
    <w:rsid w:val="201F7B62"/>
    <w:rsid w:val="202E1E06"/>
    <w:rsid w:val="20457135"/>
    <w:rsid w:val="204A77A5"/>
    <w:rsid w:val="206F5F60"/>
    <w:rsid w:val="2071749C"/>
    <w:rsid w:val="20717F2A"/>
    <w:rsid w:val="208F0B3C"/>
    <w:rsid w:val="20B6728A"/>
    <w:rsid w:val="20BB7399"/>
    <w:rsid w:val="20C33494"/>
    <w:rsid w:val="20D504B9"/>
    <w:rsid w:val="20DC314F"/>
    <w:rsid w:val="20E424AA"/>
    <w:rsid w:val="20E701EC"/>
    <w:rsid w:val="20E953DA"/>
    <w:rsid w:val="20EC75B1"/>
    <w:rsid w:val="20F37850"/>
    <w:rsid w:val="20FD542A"/>
    <w:rsid w:val="21091417"/>
    <w:rsid w:val="210B5397"/>
    <w:rsid w:val="21276E25"/>
    <w:rsid w:val="213A166E"/>
    <w:rsid w:val="213F08C8"/>
    <w:rsid w:val="21570ECE"/>
    <w:rsid w:val="215C3DE6"/>
    <w:rsid w:val="216F7324"/>
    <w:rsid w:val="217B5071"/>
    <w:rsid w:val="2194106F"/>
    <w:rsid w:val="21B51FA5"/>
    <w:rsid w:val="21BA320B"/>
    <w:rsid w:val="21C24573"/>
    <w:rsid w:val="21DA1AFF"/>
    <w:rsid w:val="21EE09AD"/>
    <w:rsid w:val="21F000E4"/>
    <w:rsid w:val="21F674DA"/>
    <w:rsid w:val="2210185F"/>
    <w:rsid w:val="221E77C8"/>
    <w:rsid w:val="222139C3"/>
    <w:rsid w:val="22573150"/>
    <w:rsid w:val="227F49FE"/>
    <w:rsid w:val="228054F5"/>
    <w:rsid w:val="22943A5C"/>
    <w:rsid w:val="22A75E85"/>
    <w:rsid w:val="22A77C33"/>
    <w:rsid w:val="22C829C3"/>
    <w:rsid w:val="22E22A19"/>
    <w:rsid w:val="22E417D9"/>
    <w:rsid w:val="22E67C91"/>
    <w:rsid w:val="22EC3898"/>
    <w:rsid w:val="22EF3388"/>
    <w:rsid w:val="22FD427B"/>
    <w:rsid w:val="22FF1B78"/>
    <w:rsid w:val="231B23CF"/>
    <w:rsid w:val="231E0C58"/>
    <w:rsid w:val="231F6004"/>
    <w:rsid w:val="23263C90"/>
    <w:rsid w:val="232D6E37"/>
    <w:rsid w:val="23384ABC"/>
    <w:rsid w:val="23476D20"/>
    <w:rsid w:val="23893548"/>
    <w:rsid w:val="238E68DC"/>
    <w:rsid w:val="239857CE"/>
    <w:rsid w:val="23A45F21"/>
    <w:rsid w:val="23A81EB5"/>
    <w:rsid w:val="23AE5C0A"/>
    <w:rsid w:val="23AF6E65"/>
    <w:rsid w:val="23C14D25"/>
    <w:rsid w:val="23C640E9"/>
    <w:rsid w:val="23CD5478"/>
    <w:rsid w:val="23D34A9B"/>
    <w:rsid w:val="23E80503"/>
    <w:rsid w:val="23E91CD3"/>
    <w:rsid w:val="23ED6BF0"/>
    <w:rsid w:val="242C4A59"/>
    <w:rsid w:val="242D2E48"/>
    <w:rsid w:val="243215A7"/>
    <w:rsid w:val="243579C6"/>
    <w:rsid w:val="243E030D"/>
    <w:rsid w:val="247D2B40"/>
    <w:rsid w:val="2480073C"/>
    <w:rsid w:val="24942439"/>
    <w:rsid w:val="249E6CBA"/>
    <w:rsid w:val="24B63818"/>
    <w:rsid w:val="24D40A88"/>
    <w:rsid w:val="24D72A1A"/>
    <w:rsid w:val="24DB1E16"/>
    <w:rsid w:val="24E94533"/>
    <w:rsid w:val="24EE1B79"/>
    <w:rsid w:val="251B66B7"/>
    <w:rsid w:val="251F7F55"/>
    <w:rsid w:val="252314D1"/>
    <w:rsid w:val="253432D4"/>
    <w:rsid w:val="253634F0"/>
    <w:rsid w:val="25401C79"/>
    <w:rsid w:val="255708B7"/>
    <w:rsid w:val="25576DCC"/>
    <w:rsid w:val="256622E7"/>
    <w:rsid w:val="256A4F48"/>
    <w:rsid w:val="256B552A"/>
    <w:rsid w:val="257007B0"/>
    <w:rsid w:val="257F798C"/>
    <w:rsid w:val="2580570A"/>
    <w:rsid w:val="258D1A39"/>
    <w:rsid w:val="25B05448"/>
    <w:rsid w:val="260902AF"/>
    <w:rsid w:val="261C26E6"/>
    <w:rsid w:val="261C6242"/>
    <w:rsid w:val="261D7313"/>
    <w:rsid w:val="26362DEA"/>
    <w:rsid w:val="264458BD"/>
    <w:rsid w:val="264571D8"/>
    <w:rsid w:val="26681488"/>
    <w:rsid w:val="267260ED"/>
    <w:rsid w:val="26775B6F"/>
    <w:rsid w:val="267A556E"/>
    <w:rsid w:val="267C13D7"/>
    <w:rsid w:val="267C4F33"/>
    <w:rsid w:val="26932E57"/>
    <w:rsid w:val="26A5448A"/>
    <w:rsid w:val="26B368B9"/>
    <w:rsid w:val="26BE554B"/>
    <w:rsid w:val="26CC7C68"/>
    <w:rsid w:val="26CD39E1"/>
    <w:rsid w:val="26E7019F"/>
    <w:rsid w:val="27075A38"/>
    <w:rsid w:val="2715302E"/>
    <w:rsid w:val="271D2FDF"/>
    <w:rsid w:val="271F19F6"/>
    <w:rsid w:val="27567D0F"/>
    <w:rsid w:val="275E25F2"/>
    <w:rsid w:val="275E333C"/>
    <w:rsid w:val="27606603"/>
    <w:rsid w:val="27691F03"/>
    <w:rsid w:val="2774593F"/>
    <w:rsid w:val="277D4859"/>
    <w:rsid w:val="278247CB"/>
    <w:rsid w:val="278617E9"/>
    <w:rsid w:val="27871801"/>
    <w:rsid w:val="278C73F8"/>
    <w:rsid w:val="27A43A41"/>
    <w:rsid w:val="27AB4FB8"/>
    <w:rsid w:val="27AC35F6"/>
    <w:rsid w:val="27AE30E8"/>
    <w:rsid w:val="27B30E37"/>
    <w:rsid w:val="27BA21B7"/>
    <w:rsid w:val="27BB37C2"/>
    <w:rsid w:val="27C74236"/>
    <w:rsid w:val="27EB6814"/>
    <w:rsid w:val="27FB7C13"/>
    <w:rsid w:val="280478D6"/>
    <w:rsid w:val="282E4770"/>
    <w:rsid w:val="28304227"/>
    <w:rsid w:val="283755B5"/>
    <w:rsid w:val="283C77D9"/>
    <w:rsid w:val="283F3AA8"/>
    <w:rsid w:val="28493497"/>
    <w:rsid w:val="28545BBF"/>
    <w:rsid w:val="28575C58"/>
    <w:rsid w:val="286839C1"/>
    <w:rsid w:val="286E4D4F"/>
    <w:rsid w:val="28742F28"/>
    <w:rsid w:val="288602EB"/>
    <w:rsid w:val="28881837"/>
    <w:rsid w:val="28904CC6"/>
    <w:rsid w:val="289A3473"/>
    <w:rsid w:val="289C690F"/>
    <w:rsid w:val="28A41EA3"/>
    <w:rsid w:val="28B9246E"/>
    <w:rsid w:val="28CC03F4"/>
    <w:rsid w:val="28D64DCE"/>
    <w:rsid w:val="28E64EED"/>
    <w:rsid w:val="29196462"/>
    <w:rsid w:val="292639D6"/>
    <w:rsid w:val="292A03A9"/>
    <w:rsid w:val="29302AC8"/>
    <w:rsid w:val="293F6365"/>
    <w:rsid w:val="29415831"/>
    <w:rsid w:val="2945752E"/>
    <w:rsid w:val="29492B6D"/>
    <w:rsid w:val="294B0318"/>
    <w:rsid w:val="294C5AD2"/>
    <w:rsid w:val="29542350"/>
    <w:rsid w:val="29687087"/>
    <w:rsid w:val="296A7E25"/>
    <w:rsid w:val="29712D49"/>
    <w:rsid w:val="297B7A47"/>
    <w:rsid w:val="29881808"/>
    <w:rsid w:val="29912DA0"/>
    <w:rsid w:val="29984596"/>
    <w:rsid w:val="299E0389"/>
    <w:rsid w:val="299F7B61"/>
    <w:rsid w:val="29C70AA4"/>
    <w:rsid w:val="29E30164"/>
    <w:rsid w:val="29E4176D"/>
    <w:rsid w:val="29EE7EF6"/>
    <w:rsid w:val="29F913DC"/>
    <w:rsid w:val="2A0B125B"/>
    <w:rsid w:val="2A133E00"/>
    <w:rsid w:val="2A264EFC"/>
    <w:rsid w:val="2A384756"/>
    <w:rsid w:val="2A4E4456"/>
    <w:rsid w:val="2A5A03AF"/>
    <w:rsid w:val="2A5E4FC3"/>
    <w:rsid w:val="2A6308E4"/>
    <w:rsid w:val="2A7304DD"/>
    <w:rsid w:val="2A7C0B78"/>
    <w:rsid w:val="2A9B0B6C"/>
    <w:rsid w:val="2AA16A48"/>
    <w:rsid w:val="2ACB71D7"/>
    <w:rsid w:val="2ACC2BBA"/>
    <w:rsid w:val="2ACE27C5"/>
    <w:rsid w:val="2ACF751A"/>
    <w:rsid w:val="2AD9215F"/>
    <w:rsid w:val="2AE313C5"/>
    <w:rsid w:val="2AF43C32"/>
    <w:rsid w:val="2AFB3B94"/>
    <w:rsid w:val="2B120295"/>
    <w:rsid w:val="2B280569"/>
    <w:rsid w:val="2B461C56"/>
    <w:rsid w:val="2B5277BB"/>
    <w:rsid w:val="2B553F84"/>
    <w:rsid w:val="2B5A4CDD"/>
    <w:rsid w:val="2B646626"/>
    <w:rsid w:val="2B6A7A50"/>
    <w:rsid w:val="2B6D50F5"/>
    <w:rsid w:val="2B7B3A0B"/>
    <w:rsid w:val="2B7F799F"/>
    <w:rsid w:val="2B8B2407"/>
    <w:rsid w:val="2B911481"/>
    <w:rsid w:val="2B976D6B"/>
    <w:rsid w:val="2BAE3DE1"/>
    <w:rsid w:val="2BB16143"/>
    <w:rsid w:val="2BFD6B16"/>
    <w:rsid w:val="2C163734"/>
    <w:rsid w:val="2C1A05D9"/>
    <w:rsid w:val="2C274021"/>
    <w:rsid w:val="2C404035"/>
    <w:rsid w:val="2C472487"/>
    <w:rsid w:val="2C475FE3"/>
    <w:rsid w:val="2C624BCB"/>
    <w:rsid w:val="2C8446D6"/>
    <w:rsid w:val="2C95501A"/>
    <w:rsid w:val="2CA42D5A"/>
    <w:rsid w:val="2CB74F17"/>
    <w:rsid w:val="2CB84FA2"/>
    <w:rsid w:val="2CD47877"/>
    <w:rsid w:val="2CE13D42"/>
    <w:rsid w:val="2CEE001D"/>
    <w:rsid w:val="2CF16BCB"/>
    <w:rsid w:val="2D0A2F03"/>
    <w:rsid w:val="2D122B4E"/>
    <w:rsid w:val="2D14247A"/>
    <w:rsid w:val="2D3136B7"/>
    <w:rsid w:val="2D480265"/>
    <w:rsid w:val="2D6B5622"/>
    <w:rsid w:val="2D963BC2"/>
    <w:rsid w:val="2D9826EF"/>
    <w:rsid w:val="2D9E1389"/>
    <w:rsid w:val="2DC0604D"/>
    <w:rsid w:val="2DC93154"/>
    <w:rsid w:val="2DCA6ECC"/>
    <w:rsid w:val="2DCC2C44"/>
    <w:rsid w:val="2DCF538A"/>
    <w:rsid w:val="2DDC25FC"/>
    <w:rsid w:val="2DE06077"/>
    <w:rsid w:val="2DE14764"/>
    <w:rsid w:val="2DE25FC3"/>
    <w:rsid w:val="2DE7182C"/>
    <w:rsid w:val="2E0E6A8A"/>
    <w:rsid w:val="2E11548D"/>
    <w:rsid w:val="2E162111"/>
    <w:rsid w:val="2E1D72E8"/>
    <w:rsid w:val="2E1F2D74"/>
    <w:rsid w:val="2E4F73D4"/>
    <w:rsid w:val="2E5E367A"/>
    <w:rsid w:val="2E6E74F1"/>
    <w:rsid w:val="2E70537D"/>
    <w:rsid w:val="2E833472"/>
    <w:rsid w:val="2E8A3797"/>
    <w:rsid w:val="2E9C7D57"/>
    <w:rsid w:val="2EA63495"/>
    <w:rsid w:val="2EA93FB1"/>
    <w:rsid w:val="2EB45BB2"/>
    <w:rsid w:val="2EBF3113"/>
    <w:rsid w:val="2EC95325"/>
    <w:rsid w:val="2ECD143A"/>
    <w:rsid w:val="2ED61573"/>
    <w:rsid w:val="2EE07091"/>
    <w:rsid w:val="2EED4C20"/>
    <w:rsid w:val="2F377218"/>
    <w:rsid w:val="2F3E04FF"/>
    <w:rsid w:val="2F4A0535"/>
    <w:rsid w:val="2F4D5BC1"/>
    <w:rsid w:val="2F505E12"/>
    <w:rsid w:val="2F5C7FF7"/>
    <w:rsid w:val="2F757EED"/>
    <w:rsid w:val="2F773E32"/>
    <w:rsid w:val="2F997048"/>
    <w:rsid w:val="2F9B28BE"/>
    <w:rsid w:val="2FB71820"/>
    <w:rsid w:val="2FC04888"/>
    <w:rsid w:val="2FD67CB4"/>
    <w:rsid w:val="2FE409BA"/>
    <w:rsid w:val="2FF10740"/>
    <w:rsid w:val="300C7DD0"/>
    <w:rsid w:val="300F6E18"/>
    <w:rsid w:val="303134C3"/>
    <w:rsid w:val="303643A5"/>
    <w:rsid w:val="30411D1F"/>
    <w:rsid w:val="304B1C2B"/>
    <w:rsid w:val="305865C8"/>
    <w:rsid w:val="305956BF"/>
    <w:rsid w:val="30790437"/>
    <w:rsid w:val="30875B6C"/>
    <w:rsid w:val="308B7DAA"/>
    <w:rsid w:val="309125DD"/>
    <w:rsid w:val="30B359F5"/>
    <w:rsid w:val="30C916BD"/>
    <w:rsid w:val="310821E5"/>
    <w:rsid w:val="310A4710"/>
    <w:rsid w:val="310C5FFB"/>
    <w:rsid w:val="310D77FB"/>
    <w:rsid w:val="31254A3F"/>
    <w:rsid w:val="31466CA2"/>
    <w:rsid w:val="3148394C"/>
    <w:rsid w:val="31573FE0"/>
    <w:rsid w:val="31657D76"/>
    <w:rsid w:val="317743D8"/>
    <w:rsid w:val="317E24A7"/>
    <w:rsid w:val="318E51CC"/>
    <w:rsid w:val="319770C5"/>
    <w:rsid w:val="31AB3BD5"/>
    <w:rsid w:val="31B639EF"/>
    <w:rsid w:val="31BB1005"/>
    <w:rsid w:val="31C87720"/>
    <w:rsid w:val="31EB6616"/>
    <w:rsid w:val="31F53155"/>
    <w:rsid w:val="31FE1C79"/>
    <w:rsid w:val="320F75A3"/>
    <w:rsid w:val="321D4C62"/>
    <w:rsid w:val="3224383C"/>
    <w:rsid w:val="32260BC4"/>
    <w:rsid w:val="322F554F"/>
    <w:rsid w:val="324E2FCC"/>
    <w:rsid w:val="324F7033"/>
    <w:rsid w:val="3255145A"/>
    <w:rsid w:val="32675162"/>
    <w:rsid w:val="32690A61"/>
    <w:rsid w:val="327D4796"/>
    <w:rsid w:val="328E0FAE"/>
    <w:rsid w:val="32A01FA9"/>
    <w:rsid w:val="32A47CEB"/>
    <w:rsid w:val="32CC7242"/>
    <w:rsid w:val="32E74FB5"/>
    <w:rsid w:val="33050DA1"/>
    <w:rsid w:val="33064502"/>
    <w:rsid w:val="33354DE7"/>
    <w:rsid w:val="333604F0"/>
    <w:rsid w:val="33436869"/>
    <w:rsid w:val="33480F8C"/>
    <w:rsid w:val="3359243A"/>
    <w:rsid w:val="33626880"/>
    <w:rsid w:val="336B6319"/>
    <w:rsid w:val="337748A0"/>
    <w:rsid w:val="337D627E"/>
    <w:rsid w:val="33944FCF"/>
    <w:rsid w:val="33960CE2"/>
    <w:rsid w:val="339C09C3"/>
    <w:rsid w:val="33AC35C9"/>
    <w:rsid w:val="33CC7ECB"/>
    <w:rsid w:val="33E41C09"/>
    <w:rsid w:val="33EF4F96"/>
    <w:rsid w:val="34013646"/>
    <w:rsid w:val="34031DE2"/>
    <w:rsid w:val="340A3924"/>
    <w:rsid w:val="340E0B64"/>
    <w:rsid w:val="340F7FB8"/>
    <w:rsid w:val="34126ED7"/>
    <w:rsid w:val="34155C30"/>
    <w:rsid w:val="342F5CDB"/>
    <w:rsid w:val="34343D91"/>
    <w:rsid w:val="344C4A3D"/>
    <w:rsid w:val="34504C29"/>
    <w:rsid w:val="34707E97"/>
    <w:rsid w:val="3474091A"/>
    <w:rsid w:val="347B6748"/>
    <w:rsid w:val="347F27BE"/>
    <w:rsid w:val="34844229"/>
    <w:rsid w:val="348858F8"/>
    <w:rsid w:val="348C1228"/>
    <w:rsid w:val="349F158C"/>
    <w:rsid w:val="349F255E"/>
    <w:rsid w:val="34C401D1"/>
    <w:rsid w:val="34C50624"/>
    <w:rsid w:val="34C5762B"/>
    <w:rsid w:val="34D13E25"/>
    <w:rsid w:val="34DA0225"/>
    <w:rsid w:val="34ED028D"/>
    <w:rsid w:val="34F1469D"/>
    <w:rsid w:val="350B78D7"/>
    <w:rsid w:val="35123632"/>
    <w:rsid w:val="354136FF"/>
    <w:rsid w:val="354740A6"/>
    <w:rsid w:val="35697251"/>
    <w:rsid w:val="35885AD5"/>
    <w:rsid w:val="359F0C3E"/>
    <w:rsid w:val="35B41C2A"/>
    <w:rsid w:val="35C91817"/>
    <w:rsid w:val="35D45AC1"/>
    <w:rsid w:val="35E12B4D"/>
    <w:rsid w:val="35E86141"/>
    <w:rsid w:val="35EB6BCF"/>
    <w:rsid w:val="35FC0E40"/>
    <w:rsid w:val="35FC399A"/>
    <w:rsid w:val="35FE5B10"/>
    <w:rsid w:val="360E6B9F"/>
    <w:rsid w:val="361A2073"/>
    <w:rsid w:val="361C403D"/>
    <w:rsid w:val="36243401"/>
    <w:rsid w:val="36522F84"/>
    <w:rsid w:val="3660217B"/>
    <w:rsid w:val="366E0019"/>
    <w:rsid w:val="368F4783"/>
    <w:rsid w:val="369B729A"/>
    <w:rsid w:val="36A52284"/>
    <w:rsid w:val="36A75CF0"/>
    <w:rsid w:val="36B6623F"/>
    <w:rsid w:val="36BA2CC8"/>
    <w:rsid w:val="36C3477C"/>
    <w:rsid w:val="36CF1098"/>
    <w:rsid w:val="36E0150E"/>
    <w:rsid w:val="36E034DA"/>
    <w:rsid w:val="36E81E7C"/>
    <w:rsid w:val="36F81565"/>
    <w:rsid w:val="36FC2258"/>
    <w:rsid w:val="3706131E"/>
    <w:rsid w:val="371B773A"/>
    <w:rsid w:val="37384DFD"/>
    <w:rsid w:val="373D3B50"/>
    <w:rsid w:val="373E198F"/>
    <w:rsid w:val="37415551"/>
    <w:rsid w:val="374B653A"/>
    <w:rsid w:val="375663BB"/>
    <w:rsid w:val="37621F23"/>
    <w:rsid w:val="376357F7"/>
    <w:rsid w:val="37AF1729"/>
    <w:rsid w:val="37B328AF"/>
    <w:rsid w:val="37B87D95"/>
    <w:rsid w:val="37CD1B5C"/>
    <w:rsid w:val="37D526F5"/>
    <w:rsid w:val="37E62B54"/>
    <w:rsid w:val="37EB7C62"/>
    <w:rsid w:val="380B4369"/>
    <w:rsid w:val="38283590"/>
    <w:rsid w:val="382F44FB"/>
    <w:rsid w:val="38313BCD"/>
    <w:rsid w:val="3843357E"/>
    <w:rsid w:val="385A3599"/>
    <w:rsid w:val="386B5172"/>
    <w:rsid w:val="387C010F"/>
    <w:rsid w:val="388867A3"/>
    <w:rsid w:val="388A34DF"/>
    <w:rsid w:val="389600D6"/>
    <w:rsid w:val="38C05568"/>
    <w:rsid w:val="38C54358"/>
    <w:rsid w:val="38C82582"/>
    <w:rsid w:val="38D351C0"/>
    <w:rsid w:val="38D66725"/>
    <w:rsid w:val="38D7747B"/>
    <w:rsid w:val="38F1355F"/>
    <w:rsid w:val="38F34AC9"/>
    <w:rsid w:val="38FF3F16"/>
    <w:rsid w:val="39072D82"/>
    <w:rsid w:val="390A3FD4"/>
    <w:rsid w:val="390E5946"/>
    <w:rsid w:val="39137979"/>
    <w:rsid w:val="391771F0"/>
    <w:rsid w:val="391F1F65"/>
    <w:rsid w:val="39455658"/>
    <w:rsid w:val="394B7499"/>
    <w:rsid w:val="39650654"/>
    <w:rsid w:val="39654A83"/>
    <w:rsid w:val="397B127F"/>
    <w:rsid w:val="3982065B"/>
    <w:rsid w:val="39C46EC5"/>
    <w:rsid w:val="39C80E81"/>
    <w:rsid w:val="39DC296C"/>
    <w:rsid w:val="3A03179B"/>
    <w:rsid w:val="3A052292"/>
    <w:rsid w:val="3A147C07"/>
    <w:rsid w:val="3A327A7E"/>
    <w:rsid w:val="3A362123"/>
    <w:rsid w:val="3A3951BD"/>
    <w:rsid w:val="3A3C066E"/>
    <w:rsid w:val="3A546DBE"/>
    <w:rsid w:val="3A5B3385"/>
    <w:rsid w:val="3A673DD6"/>
    <w:rsid w:val="3A994B6E"/>
    <w:rsid w:val="3AAF722D"/>
    <w:rsid w:val="3AB71B3F"/>
    <w:rsid w:val="3ABD5B16"/>
    <w:rsid w:val="3AD05DCC"/>
    <w:rsid w:val="3AD937A8"/>
    <w:rsid w:val="3ADE3A4D"/>
    <w:rsid w:val="3ADF1782"/>
    <w:rsid w:val="3AE50EA1"/>
    <w:rsid w:val="3AF04BC4"/>
    <w:rsid w:val="3AF37A62"/>
    <w:rsid w:val="3B18527C"/>
    <w:rsid w:val="3B1928CF"/>
    <w:rsid w:val="3B1C3C75"/>
    <w:rsid w:val="3B2714BA"/>
    <w:rsid w:val="3B34428A"/>
    <w:rsid w:val="3B4D0803"/>
    <w:rsid w:val="3B4E4C98"/>
    <w:rsid w:val="3B632649"/>
    <w:rsid w:val="3B895CD0"/>
    <w:rsid w:val="3BC034C2"/>
    <w:rsid w:val="3BCA11E2"/>
    <w:rsid w:val="3BCB1472"/>
    <w:rsid w:val="3BCB453B"/>
    <w:rsid w:val="3BD63389"/>
    <w:rsid w:val="3BDE590D"/>
    <w:rsid w:val="3BEF6D9B"/>
    <w:rsid w:val="3BF5780A"/>
    <w:rsid w:val="3C0664FC"/>
    <w:rsid w:val="3C0B2B89"/>
    <w:rsid w:val="3C395948"/>
    <w:rsid w:val="3C3A2E45"/>
    <w:rsid w:val="3C455406"/>
    <w:rsid w:val="3C485B8B"/>
    <w:rsid w:val="3C4B11D8"/>
    <w:rsid w:val="3C4B567C"/>
    <w:rsid w:val="3C534D04"/>
    <w:rsid w:val="3C613DCF"/>
    <w:rsid w:val="3C6A3DE8"/>
    <w:rsid w:val="3C6F171C"/>
    <w:rsid w:val="3CA110A6"/>
    <w:rsid w:val="3CA23939"/>
    <w:rsid w:val="3CBF2C8B"/>
    <w:rsid w:val="3CBF315F"/>
    <w:rsid w:val="3CC616E0"/>
    <w:rsid w:val="3CEA5618"/>
    <w:rsid w:val="3D106087"/>
    <w:rsid w:val="3D112A47"/>
    <w:rsid w:val="3D1B52EE"/>
    <w:rsid w:val="3D266F08"/>
    <w:rsid w:val="3D3E0D3C"/>
    <w:rsid w:val="3D424389"/>
    <w:rsid w:val="3D435DA2"/>
    <w:rsid w:val="3D436C82"/>
    <w:rsid w:val="3D4520CB"/>
    <w:rsid w:val="3D561D78"/>
    <w:rsid w:val="3D6720FF"/>
    <w:rsid w:val="3D6B0748"/>
    <w:rsid w:val="3D7604D6"/>
    <w:rsid w:val="3D7D7027"/>
    <w:rsid w:val="3D830794"/>
    <w:rsid w:val="3D87623F"/>
    <w:rsid w:val="3DAE000B"/>
    <w:rsid w:val="3DC47D28"/>
    <w:rsid w:val="3DD14949"/>
    <w:rsid w:val="3DDE7F8E"/>
    <w:rsid w:val="3DDF3AB1"/>
    <w:rsid w:val="3DF4553B"/>
    <w:rsid w:val="3E1B345A"/>
    <w:rsid w:val="3E23065E"/>
    <w:rsid w:val="3E2B7513"/>
    <w:rsid w:val="3E330175"/>
    <w:rsid w:val="3E342D63"/>
    <w:rsid w:val="3E3A6BED"/>
    <w:rsid w:val="3E5A656F"/>
    <w:rsid w:val="3E5B32B3"/>
    <w:rsid w:val="3E6759DE"/>
    <w:rsid w:val="3E740954"/>
    <w:rsid w:val="3E816DC2"/>
    <w:rsid w:val="3E8567C1"/>
    <w:rsid w:val="3E8569DB"/>
    <w:rsid w:val="3E8C7B8C"/>
    <w:rsid w:val="3EA07008"/>
    <w:rsid w:val="3ECD05CA"/>
    <w:rsid w:val="3EFF2482"/>
    <w:rsid w:val="3F0A7FA0"/>
    <w:rsid w:val="3F0D09C6"/>
    <w:rsid w:val="3F1E6DF6"/>
    <w:rsid w:val="3F2D0BCA"/>
    <w:rsid w:val="3F333BBF"/>
    <w:rsid w:val="3F3B26F7"/>
    <w:rsid w:val="3F544847"/>
    <w:rsid w:val="3F5805F1"/>
    <w:rsid w:val="3F5D7891"/>
    <w:rsid w:val="3F6668EF"/>
    <w:rsid w:val="3F871CA4"/>
    <w:rsid w:val="3F934A87"/>
    <w:rsid w:val="3FA53A04"/>
    <w:rsid w:val="3FC265D3"/>
    <w:rsid w:val="3FC302DF"/>
    <w:rsid w:val="3FC62130"/>
    <w:rsid w:val="3FC9704D"/>
    <w:rsid w:val="3FCA0084"/>
    <w:rsid w:val="3FCD55F4"/>
    <w:rsid w:val="3FDB1988"/>
    <w:rsid w:val="3FEA2C6C"/>
    <w:rsid w:val="3FF33DE3"/>
    <w:rsid w:val="400B13AA"/>
    <w:rsid w:val="40202D4E"/>
    <w:rsid w:val="40363F4D"/>
    <w:rsid w:val="40501DF6"/>
    <w:rsid w:val="40674587"/>
    <w:rsid w:val="40750F19"/>
    <w:rsid w:val="407D22C2"/>
    <w:rsid w:val="408C3632"/>
    <w:rsid w:val="408F37F6"/>
    <w:rsid w:val="40974727"/>
    <w:rsid w:val="40A26D62"/>
    <w:rsid w:val="40B21FD0"/>
    <w:rsid w:val="40BA692C"/>
    <w:rsid w:val="40BF7F58"/>
    <w:rsid w:val="40C31134"/>
    <w:rsid w:val="40CB061C"/>
    <w:rsid w:val="40CB1776"/>
    <w:rsid w:val="40CC0B68"/>
    <w:rsid w:val="40CD665F"/>
    <w:rsid w:val="40D3709F"/>
    <w:rsid w:val="40D82ED1"/>
    <w:rsid w:val="40D8548F"/>
    <w:rsid w:val="40D867B0"/>
    <w:rsid w:val="40E21FA4"/>
    <w:rsid w:val="40E92683"/>
    <w:rsid w:val="41007D73"/>
    <w:rsid w:val="41100EA9"/>
    <w:rsid w:val="41110C42"/>
    <w:rsid w:val="411E793B"/>
    <w:rsid w:val="41316733"/>
    <w:rsid w:val="414546A8"/>
    <w:rsid w:val="41561E4E"/>
    <w:rsid w:val="41665922"/>
    <w:rsid w:val="417A5783"/>
    <w:rsid w:val="41840C58"/>
    <w:rsid w:val="418B6BE2"/>
    <w:rsid w:val="41926DB6"/>
    <w:rsid w:val="41A50EAD"/>
    <w:rsid w:val="41C0099D"/>
    <w:rsid w:val="41D20C59"/>
    <w:rsid w:val="41DB2FFE"/>
    <w:rsid w:val="41E26EC7"/>
    <w:rsid w:val="42114C71"/>
    <w:rsid w:val="42274495"/>
    <w:rsid w:val="422A38E4"/>
    <w:rsid w:val="4233339D"/>
    <w:rsid w:val="42351614"/>
    <w:rsid w:val="42386B90"/>
    <w:rsid w:val="42447E25"/>
    <w:rsid w:val="424C7624"/>
    <w:rsid w:val="42633529"/>
    <w:rsid w:val="42805DAC"/>
    <w:rsid w:val="428359EA"/>
    <w:rsid w:val="429733C9"/>
    <w:rsid w:val="4298539A"/>
    <w:rsid w:val="42AB4472"/>
    <w:rsid w:val="42C45840"/>
    <w:rsid w:val="42C81160"/>
    <w:rsid w:val="42C972FA"/>
    <w:rsid w:val="42D521CC"/>
    <w:rsid w:val="430F54F9"/>
    <w:rsid w:val="43150013"/>
    <w:rsid w:val="43193DDE"/>
    <w:rsid w:val="431D00F9"/>
    <w:rsid w:val="432804C5"/>
    <w:rsid w:val="432B1D8D"/>
    <w:rsid w:val="434C281A"/>
    <w:rsid w:val="435527BA"/>
    <w:rsid w:val="43601C4C"/>
    <w:rsid w:val="43792BD4"/>
    <w:rsid w:val="438A4CDB"/>
    <w:rsid w:val="439E6707"/>
    <w:rsid w:val="43A5357B"/>
    <w:rsid w:val="43C7383A"/>
    <w:rsid w:val="43CF26EE"/>
    <w:rsid w:val="43DC22FB"/>
    <w:rsid w:val="43DD3392"/>
    <w:rsid w:val="43FB73B9"/>
    <w:rsid w:val="44191BBB"/>
    <w:rsid w:val="442E1B0B"/>
    <w:rsid w:val="44323381"/>
    <w:rsid w:val="44330ECF"/>
    <w:rsid w:val="443864E5"/>
    <w:rsid w:val="443D5F3B"/>
    <w:rsid w:val="44434CBA"/>
    <w:rsid w:val="445045EE"/>
    <w:rsid w:val="445773FA"/>
    <w:rsid w:val="446C0AB4"/>
    <w:rsid w:val="446F3E0A"/>
    <w:rsid w:val="447F00CA"/>
    <w:rsid w:val="44883918"/>
    <w:rsid w:val="448A37DF"/>
    <w:rsid w:val="44A31D57"/>
    <w:rsid w:val="44A81BCF"/>
    <w:rsid w:val="44AD057D"/>
    <w:rsid w:val="44B10046"/>
    <w:rsid w:val="44BB3DB6"/>
    <w:rsid w:val="44FC39B7"/>
    <w:rsid w:val="45296A4E"/>
    <w:rsid w:val="453749EF"/>
    <w:rsid w:val="45691EE4"/>
    <w:rsid w:val="457F2762"/>
    <w:rsid w:val="4584438A"/>
    <w:rsid w:val="458614D2"/>
    <w:rsid w:val="45C200E5"/>
    <w:rsid w:val="45E0774E"/>
    <w:rsid w:val="45F41271"/>
    <w:rsid w:val="461865CE"/>
    <w:rsid w:val="462C5BD6"/>
    <w:rsid w:val="46302710"/>
    <w:rsid w:val="464A0752"/>
    <w:rsid w:val="465B0FE9"/>
    <w:rsid w:val="46794158"/>
    <w:rsid w:val="4684725C"/>
    <w:rsid w:val="469B3EBE"/>
    <w:rsid w:val="469F284C"/>
    <w:rsid w:val="46A71700"/>
    <w:rsid w:val="46B10166"/>
    <w:rsid w:val="46B1257F"/>
    <w:rsid w:val="46BA3038"/>
    <w:rsid w:val="46BA58D8"/>
    <w:rsid w:val="46C10A14"/>
    <w:rsid w:val="46C91677"/>
    <w:rsid w:val="46D05BA6"/>
    <w:rsid w:val="46F32B98"/>
    <w:rsid w:val="46F50D32"/>
    <w:rsid w:val="47114FB4"/>
    <w:rsid w:val="471152BC"/>
    <w:rsid w:val="472F011B"/>
    <w:rsid w:val="47385407"/>
    <w:rsid w:val="47463930"/>
    <w:rsid w:val="476018DB"/>
    <w:rsid w:val="478446EB"/>
    <w:rsid w:val="47977407"/>
    <w:rsid w:val="479C322F"/>
    <w:rsid w:val="47A0012E"/>
    <w:rsid w:val="47A85461"/>
    <w:rsid w:val="47B55DC2"/>
    <w:rsid w:val="47D227AD"/>
    <w:rsid w:val="47D6098A"/>
    <w:rsid w:val="47E32C0C"/>
    <w:rsid w:val="47EB386F"/>
    <w:rsid w:val="480C50E6"/>
    <w:rsid w:val="482379D2"/>
    <w:rsid w:val="48277062"/>
    <w:rsid w:val="482F61CD"/>
    <w:rsid w:val="48313978"/>
    <w:rsid w:val="484418FD"/>
    <w:rsid w:val="487D6BBD"/>
    <w:rsid w:val="487E10C7"/>
    <w:rsid w:val="48874566"/>
    <w:rsid w:val="48877A3B"/>
    <w:rsid w:val="48897310"/>
    <w:rsid w:val="489363E0"/>
    <w:rsid w:val="489F4D85"/>
    <w:rsid w:val="48A4239B"/>
    <w:rsid w:val="48A56114"/>
    <w:rsid w:val="48A64365"/>
    <w:rsid w:val="48B25926"/>
    <w:rsid w:val="48BD520B"/>
    <w:rsid w:val="48D40BBB"/>
    <w:rsid w:val="48F63BD4"/>
    <w:rsid w:val="490378A2"/>
    <w:rsid w:val="4905068C"/>
    <w:rsid w:val="491E2C5B"/>
    <w:rsid w:val="492E6109"/>
    <w:rsid w:val="49520049"/>
    <w:rsid w:val="4958385C"/>
    <w:rsid w:val="495A5150"/>
    <w:rsid w:val="49635483"/>
    <w:rsid w:val="4968786D"/>
    <w:rsid w:val="497D56D5"/>
    <w:rsid w:val="49880C90"/>
    <w:rsid w:val="499A3C05"/>
    <w:rsid w:val="499C3CDD"/>
    <w:rsid w:val="49B6259D"/>
    <w:rsid w:val="49BB5BEF"/>
    <w:rsid w:val="49C8030C"/>
    <w:rsid w:val="49CD159E"/>
    <w:rsid w:val="4A203CA4"/>
    <w:rsid w:val="4A233794"/>
    <w:rsid w:val="4A27232A"/>
    <w:rsid w:val="4A314D53"/>
    <w:rsid w:val="4A5B2F2E"/>
    <w:rsid w:val="4A5B4CDC"/>
    <w:rsid w:val="4A791A90"/>
    <w:rsid w:val="4A9B3349"/>
    <w:rsid w:val="4A9C3861"/>
    <w:rsid w:val="4AA77F21"/>
    <w:rsid w:val="4AB8212E"/>
    <w:rsid w:val="4ABC5F02"/>
    <w:rsid w:val="4ACA7B33"/>
    <w:rsid w:val="4ACF6289"/>
    <w:rsid w:val="4AD827D0"/>
    <w:rsid w:val="4ADA6548"/>
    <w:rsid w:val="4ADC327B"/>
    <w:rsid w:val="4AF327B9"/>
    <w:rsid w:val="4AFD42C5"/>
    <w:rsid w:val="4B0167EE"/>
    <w:rsid w:val="4B06733D"/>
    <w:rsid w:val="4B2072B5"/>
    <w:rsid w:val="4B241572"/>
    <w:rsid w:val="4B2F78B4"/>
    <w:rsid w:val="4B457FAC"/>
    <w:rsid w:val="4B4D08EC"/>
    <w:rsid w:val="4B5310D8"/>
    <w:rsid w:val="4B5B1AA3"/>
    <w:rsid w:val="4B670A45"/>
    <w:rsid w:val="4B9B2641"/>
    <w:rsid w:val="4BB5689D"/>
    <w:rsid w:val="4BC114B6"/>
    <w:rsid w:val="4BCB48D4"/>
    <w:rsid w:val="4BE66F2B"/>
    <w:rsid w:val="4BE8259F"/>
    <w:rsid w:val="4BEB02E1"/>
    <w:rsid w:val="4BEB0728"/>
    <w:rsid w:val="4BF03B4A"/>
    <w:rsid w:val="4BF6367B"/>
    <w:rsid w:val="4BF90C50"/>
    <w:rsid w:val="4BFB27A3"/>
    <w:rsid w:val="4C143C11"/>
    <w:rsid w:val="4C15535E"/>
    <w:rsid w:val="4C2E08B8"/>
    <w:rsid w:val="4C302981"/>
    <w:rsid w:val="4C5E0AB3"/>
    <w:rsid w:val="4C6939FC"/>
    <w:rsid w:val="4C6C1422"/>
    <w:rsid w:val="4C6C31D0"/>
    <w:rsid w:val="4C7107E7"/>
    <w:rsid w:val="4C8C608C"/>
    <w:rsid w:val="4C8C7BE5"/>
    <w:rsid w:val="4CB47586"/>
    <w:rsid w:val="4CD4551D"/>
    <w:rsid w:val="4CEA575D"/>
    <w:rsid w:val="4CF8712B"/>
    <w:rsid w:val="4CFF2296"/>
    <w:rsid w:val="4D16313C"/>
    <w:rsid w:val="4D3B5560"/>
    <w:rsid w:val="4D47054C"/>
    <w:rsid w:val="4D626381"/>
    <w:rsid w:val="4D6920E8"/>
    <w:rsid w:val="4D753531"/>
    <w:rsid w:val="4D863560"/>
    <w:rsid w:val="4DA8648A"/>
    <w:rsid w:val="4DB72B71"/>
    <w:rsid w:val="4DB90BE0"/>
    <w:rsid w:val="4DD67D73"/>
    <w:rsid w:val="4DD86FC1"/>
    <w:rsid w:val="4DD92AE7"/>
    <w:rsid w:val="4DDC4386"/>
    <w:rsid w:val="4DF3315D"/>
    <w:rsid w:val="4E197388"/>
    <w:rsid w:val="4E1A1465"/>
    <w:rsid w:val="4E230242"/>
    <w:rsid w:val="4E3877DE"/>
    <w:rsid w:val="4E3F4692"/>
    <w:rsid w:val="4E431BCE"/>
    <w:rsid w:val="4E453CD9"/>
    <w:rsid w:val="4E474289"/>
    <w:rsid w:val="4E51661F"/>
    <w:rsid w:val="4E575A6E"/>
    <w:rsid w:val="4E683E6B"/>
    <w:rsid w:val="4E7627CC"/>
    <w:rsid w:val="4E7E368F"/>
    <w:rsid w:val="4E8B1908"/>
    <w:rsid w:val="4E962786"/>
    <w:rsid w:val="4EA67627"/>
    <w:rsid w:val="4EAA7FE0"/>
    <w:rsid w:val="4EB9590E"/>
    <w:rsid w:val="4EBB1B33"/>
    <w:rsid w:val="4ECD1134"/>
    <w:rsid w:val="4ECD1BF7"/>
    <w:rsid w:val="4ECD742E"/>
    <w:rsid w:val="4ED11A10"/>
    <w:rsid w:val="4ED17366"/>
    <w:rsid w:val="4ED54860"/>
    <w:rsid w:val="4F11005F"/>
    <w:rsid w:val="4F145898"/>
    <w:rsid w:val="4F165675"/>
    <w:rsid w:val="4F1B6942"/>
    <w:rsid w:val="4F1D395D"/>
    <w:rsid w:val="4F276791"/>
    <w:rsid w:val="4F440EC0"/>
    <w:rsid w:val="4F8477C6"/>
    <w:rsid w:val="4FA729B5"/>
    <w:rsid w:val="4FB235F0"/>
    <w:rsid w:val="4FBE3B38"/>
    <w:rsid w:val="4FC5668E"/>
    <w:rsid w:val="4FD74E04"/>
    <w:rsid w:val="4FEC2EB0"/>
    <w:rsid w:val="4FF04026"/>
    <w:rsid w:val="50166365"/>
    <w:rsid w:val="501E2A33"/>
    <w:rsid w:val="502A587C"/>
    <w:rsid w:val="502A762A"/>
    <w:rsid w:val="50333DA8"/>
    <w:rsid w:val="504B3F56"/>
    <w:rsid w:val="50586D12"/>
    <w:rsid w:val="505D37FB"/>
    <w:rsid w:val="50603067"/>
    <w:rsid w:val="5065534C"/>
    <w:rsid w:val="506D39BB"/>
    <w:rsid w:val="50892F6A"/>
    <w:rsid w:val="50A218B6"/>
    <w:rsid w:val="50A37BBF"/>
    <w:rsid w:val="50A62F41"/>
    <w:rsid w:val="50AC44E3"/>
    <w:rsid w:val="50AE5470"/>
    <w:rsid w:val="50C51101"/>
    <w:rsid w:val="50F1639A"/>
    <w:rsid w:val="50F66A11"/>
    <w:rsid w:val="510D4856"/>
    <w:rsid w:val="511B51C5"/>
    <w:rsid w:val="51254295"/>
    <w:rsid w:val="51295B34"/>
    <w:rsid w:val="5139389D"/>
    <w:rsid w:val="51426147"/>
    <w:rsid w:val="514C1822"/>
    <w:rsid w:val="514E7272"/>
    <w:rsid w:val="51510BE7"/>
    <w:rsid w:val="515F1555"/>
    <w:rsid w:val="51610CFB"/>
    <w:rsid w:val="51625EB7"/>
    <w:rsid w:val="5180327A"/>
    <w:rsid w:val="51BF0246"/>
    <w:rsid w:val="51C13FBE"/>
    <w:rsid w:val="51CD3E1C"/>
    <w:rsid w:val="51DB31D3"/>
    <w:rsid w:val="51DE5856"/>
    <w:rsid w:val="51EA4A53"/>
    <w:rsid w:val="51EF5BB9"/>
    <w:rsid w:val="52091D7B"/>
    <w:rsid w:val="52216125"/>
    <w:rsid w:val="5222739C"/>
    <w:rsid w:val="522615D6"/>
    <w:rsid w:val="523B1C48"/>
    <w:rsid w:val="525210BA"/>
    <w:rsid w:val="525615E0"/>
    <w:rsid w:val="526F0D33"/>
    <w:rsid w:val="52714CC2"/>
    <w:rsid w:val="52906AFF"/>
    <w:rsid w:val="52952D55"/>
    <w:rsid w:val="529A65BD"/>
    <w:rsid w:val="52A01E26"/>
    <w:rsid w:val="52A22E8C"/>
    <w:rsid w:val="52E01F7B"/>
    <w:rsid w:val="52E805F7"/>
    <w:rsid w:val="52F1326F"/>
    <w:rsid w:val="52F7756C"/>
    <w:rsid w:val="52F97788"/>
    <w:rsid w:val="53152211"/>
    <w:rsid w:val="531E2D4A"/>
    <w:rsid w:val="53220A8C"/>
    <w:rsid w:val="5329609A"/>
    <w:rsid w:val="53382FA7"/>
    <w:rsid w:val="534D4B64"/>
    <w:rsid w:val="5369650F"/>
    <w:rsid w:val="53721D2E"/>
    <w:rsid w:val="53842E58"/>
    <w:rsid w:val="5385189B"/>
    <w:rsid w:val="53886B25"/>
    <w:rsid w:val="538C6AEE"/>
    <w:rsid w:val="539E3289"/>
    <w:rsid w:val="53A40EB9"/>
    <w:rsid w:val="53AF1317"/>
    <w:rsid w:val="53B01EB6"/>
    <w:rsid w:val="53B21D92"/>
    <w:rsid w:val="53BD07B5"/>
    <w:rsid w:val="53BE1D37"/>
    <w:rsid w:val="53C20DFC"/>
    <w:rsid w:val="53C77F57"/>
    <w:rsid w:val="53C90ACD"/>
    <w:rsid w:val="53CC191E"/>
    <w:rsid w:val="53D37FD9"/>
    <w:rsid w:val="53DC50DF"/>
    <w:rsid w:val="53E06252"/>
    <w:rsid w:val="53F123F9"/>
    <w:rsid w:val="53F35F85"/>
    <w:rsid w:val="540D34EB"/>
    <w:rsid w:val="54160E6D"/>
    <w:rsid w:val="541929F4"/>
    <w:rsid w:val="54210FE4"/>
    <w:rsid w:val="54241966"/>
    <w:rsid w:val="54264A83"/>
    <w:rsid w:val="54322F51"/>
    <w:rsid w:val="54521C9F"/>
    <w:rsid w:val="546038E7"/>
    <w:rsid w:val="549B2CF5"/>
    <w:rsid w:val="549D2EF3"/>
    <w:rsid w:val="54AC4E44"/>
    <w:rsid w:val="54C21603"/>
    <w:rsid w:val="54EB739D"/>
    <w:rsid w:val="54EC26AA"/>
    <w:rsid w:val="55004DFD"/>
    <w:rsid w:val="551247B7"/>
    <w:rsid w:val="55132D18"/>
    <w:rsid w:val="5523777B"/>
    <w:rsid w:val="5539511D"/>
    <w:rsid w:val="553E068E"/>
    <w:rsid w:val="554673D9"/>
    <w:rsid w:val="554D393A"/>
    <w:rsid w:val="555F30AF"/>
    <w:rsid w:val="55A20082"/>
    <w:rsid w:val="55A97E6D"/>
    <w:rsid w:val="55AE2AAB"/>
    <w:rsid w:val="55B11240"/>
    <w:rsid w:val="55B36EFC"/>
    <w:rsid w:val="55BF0E36"/>
    <w:rsid w:val="55DC05B3"/>
    <w:rsid w:val="55E06161"/>
    <w:rsid w:val="560330AB"/>
    <w:rsid w:val="560B0AE4"/>
    <w:rsid w:val="56114DE8"/>
    <w:rsid w:val="56166898"/>
    <w:rsid w:val="561F5B08"/>
    <w:rsid w:val="5629761B"/>
    <w:rsid w:val="56472A27"/>
    <w:rsid w:val="56555E2E"/>
    <w:rsid w:val="565F3AEE"/>
    <w:rsid w:val="565F5B54"/>
    <w:rsid w:val="56777341"/>
    <w:rsid w:val="56816FF2"/>
    <w:rsid w:val="56847368"/>
    <w:rsid w:val="569D042A"/>
    <w:rsid w:val="56AD3EC1"/>
    <w:rsid w:val="56CC3204"/>
    <w:rsid w:val="56D54068"/>
    <w:rsid w:val="56F1264F"/>
    <w:rsid w:val="57016C0B"/>
    <w:rsid w:val="571D3A5F"/>
    <w:rsid w:val="571E77BD"/>
    <w:rsid w:val="57256D9D"/>
    <w:rsid w:val="572D62AD"/>
    <w:rsid w:val="574657F1"/>
    <w:rsid w:val="574E60B9"/>
    <w:rsid w:val="575779E1"/>
    <w:rsid w:val="57641F12"/>
    <w:rsid w:val="577264AF"/>
    <w:rsid w:val="577B0F01"/>
    <w:rsid w:val="577D6065"/>
    <w:rsid w:val="57907814"/>
    <w:rsid w:val="57BF0950"/>
    <w:rsid w:val="57D367F9"/>
    <w:rsid w:val="581035A9"/>
    <w:rsid w:val="581617A2"/>
    <w:rsid w:val="58201313"/>
    <w:rsid w:val="58211130"/>
    <w:rsid w:val="582157B7"/>
    <w:rsid w:val="583302AF"/>
    <w:rsid w:val="58450D79"/>
    <w:rsid w:val="58456B61"/>
    <w:rsid w:val="58523BC2"/>
    <w:rsid w:val="5854771F"/>
    <w:rsid w:val="585F00A2"/>
    <w:rsid w:val="58763D61"/>
    <w:rsid w:val="587D6765"/>
    <w:rsid w:val="58810D84"/>
    <w:rsid w:val="58864872"/>
    <w:rsid w:val="589F55FC"/>
    <w:rsid w:val="58A90B5F"/>
    <w:rsid w:val="58CA7BFC"/>
    <w:rsid w:val="58E407EA"/>
    <w:rsid w:val="590A624B"/>
    <w:rsid w:val="59133697"/>
    <w:rsid w:val="59365CCE"/>
    <w:rsid w:val="59427028"/>
    <w:rsid w:val="594F1EAF"/>
    <w:rsid w:val="59594DF9"/>
    <w:rsid w:val="595B6ACF"/>
    <w:rsid w:val="596A6CE9"/>
    <w:rsid w:val="59B17E77"/>
    <w:rsid w:val="59B63A4F"/>
    <w:rsid w:val="59C53DD7"/>
    <w:rsid w:val="59D6437F"/>
    <w:rsid w:val="59E869B6"/>
    <w:rsid w:val="59EA4662"/>
    <w:rsid w:val="59F27AC0"/>
    <w:rsid w:val="5A025A2D"/>
    <w:rsid w:val="5A075ABF"/>
    <w:rsid w:val="5A191BE6"/>
    <w:rsid w:val="5A28422F"/>
    <w:rsid w:val="5A2D3B5D"/>
    <w:rsid w:val="5A531AAA"/>
    <w:rsid w:val="5A595ABD"/>
    <w:rsid w:val="5A6B64ED"/>
    <w:rsid w:val="5A8464B1"/>
    <w:rsid w:val="5A8836A8"/>
    <w:rsid w:val="5A8A094E"/>
    <w:rsid w:val="5A9F20FE"/>
    <w:rsid w:val="5ADB0741"/>
    <w:rsid w:val="5AF21CB4"/>
    <w:rsid w:val="5AFD12A8"/>
    <w:rsid w:val="5B10566E"/>
    <w:rsid w:val="5B18349B"/>
    <w:rsid w:val="5B1973B5"/>
    <w:rsid w:val="5B1E5FDD"/>
    <w:rsid w:val="5B2B3293"/>
    <w:rsid w:val="5B2D6220"/>
    <w:rsid w:val="5B48305A"/>
    <w:rsid w:val="5B5F3F2D"/>
    <w:rsid w:val="5B656A51"/>
    <w:rsid w:val="5B912D75"/>
    <w:rsid w:val="5B9242D5"/>
    <w:rsid w:val="5B930516"/>
    <w:rsid w:val="5B985E8E"/>
    <w:rsid w:val="5B9B13DC"/>
    <w:rsid w:val="5BB773D7"/>
    <w:rsid w:val="5BB86614"/>
    <w:rsid w:val="5BBE7A08"/>
    <w:rsid w:val="5BC6290F"/>
    <w:rsid w:val="5BCF0236"/>
    <w:rsid w:val="5BD90156"/>
    <w:rsid w:val="5BDF6E15"/>
    <w:rsid w:val="5C0056E3"/>
    <w:rsid w:val="5C1A1820"/>
    <w:rsid w:val="5C1D2452"/>
    <w:rsid w:val="5C2417AA"/>
    <w:rsid w:val="5C650F52"/>
    <w:rsid w:val="5C69268E"/>
    <w:rsid w:val="5C961736"/>
    <w:rsid w:val="5C98591B"/>
    <w:rsid w:val="5C9F3FFC"/>
    <w:rsid w:val="5CA0787F"/>
    <w:rsid w:val="5CB91AEB"/>
    <w:rsid w:val="5CC7372A"/>
    <w:rsid w:val="5CC74453"/>
    <w:rsid w:val="5CD01559"/>
    <w:rsid w:val="5CD31049"/>
    <w:rsid w:val="5CE23B22"/>
    <w:rsid w:val="5CE35F9F"/>
    <w:rsid w:val="5CF053D5"/>
    <w:rsid w:val="5D003AD3"/>
    <w:rsid w:val="5D0134C1"/>
    <w:rsid w:val="5D02326E"/>
    <w:rsid w:val="5D0A7765"/>
    <w:rsid w:val="5D121B72"/>
    <w:rsid w:val="5D175BAD"/>
    <w:rsid w:val="5D192F00"/>
    <w:rsid w:val="5D1C6AD7"/>
    <w:rsid w:val="5D31251D"/>
    <w:rsid w:val="5D327B1E"/>
    <w:rsid w:val="5D486164"/>
    <w:rsid w:val="5D4E6B41"/>
    <w:rsid w:val="5D591684"/>
    <w:rsid w:val="5D7E2C26"/>
    <w:rsid w:val="5D7E4339"/>
    <w:rsid w:val="5D8710DA"/>
    <w:rsid w:val="5D8B51B1"/>
    <w:rsid w:val="5D8F36E8"/>
    <w:rsid w:val="5D982259"/>
    <w:rsid w:val="5DB52E0B"/>
    <w:rsid w:val="5DB70023"/>
    <w:rsid w:val="5DCA244C"/>
    <w:rsid w:val="5DD970EE"/>
    <w:rsid w:val="5DDD41D8"/>
    <w:rsid w:val="5DFB460D"/>
    <w:rsid w:val="5E1B3479"/>
    <w:rsid w:val="5E1D0836"/>
    <w:rsid w:val="5E1E00A2"/>
    <w:rsid w:val="5E216B61"/>
    <w:rsid w:val="5E245C5B"/>
    <w:rsid w:val="5E245DBC"/>
    <w:rsid w:val="5E2C0A11"/>
    <w:rsid w:val="5E2E5787"/>
    <w:rsid w:val="5E2F0BBB"/>
    <w:rsid w:val="5E3A60E6"/>
    <w:rsid w:val="5E7229A3"/>
    <w:rsid w:val="5E7B3747"/>
    <w:rsid w:val="5E7F33C9"/>
    <w:rsid w:val="5E816FA6"/>
    <w:rsid w:val="5E8571DB"/>
    <w:rsid w:val="5E8A6F60"/>
    <w:rsid w:val="5E8C325E"/>
    <w:rsid w:val="5E987E55"/>
    <w:rsid w:val="5EA85EEA"/>
    <w:rsid w:val="5EB506B9"/>
    <w:rsid w:val="5ECB0447"/>
    <w:rsid w:val="5ECB647C"/>
    <w:rsid w:val="5EDA221B"/>
    <w:rsid w:val="5EFB6D01"/>
    <w:rsid w:val="5EFE6E0A"/>
    <w:rsid w:val="5F0436BE"/>
    <w:rsid w:val="5F16681A"/>
    <w:rsid w:val="5F2136D8"/>
    <w:rsid w:val="5F3A53B0"/>
    <w:rsid w:val="5F3A715E"/>
    <w:rsid w:val="5F3E57D1"/>
    <w:rsid w:val="5F433FCF"/>
    <w:rsid w:val="5F675A73"/>
    <w:rsid w:val="5F6E316F"/>
    <w:rsid w:val="5F7C08EB"/>
    <w:rsid w:val="5F8D6007"/>
    <w:rsid w:val="5FBE1B3D"/>
    <w:rsid w:val="5FCB6008"/>
    <w:rsid w:val="5FDB0DE9"/>
    <w:rsid w:val="60047199"/>
    <w:rsid w:val="600B2B70"/>
    <w:rsid w:val="60163727"/>
    <w:rsid w:val="60232446"/>
    <w:rsid w:val="60235E44"/>
    <w:rsid w:val="603E2C7E"/>
    <w:rsid w:val="60446D39"/>
    <w:rsid w:val="60460101"/>
    <w:rsid w:val="60584392"/>
    <w:rsid w:val="606A6400"/>
    <w:rsid w:val="60712451"/>
    <w:rsid w:val="60996106"/>
    <w:rsid w:val="609D1252"/>
    <w:rsid w:val="60A057FE"/>
    <w:rsid w:val="60A56859"/>
    <w:rsid w:val="60C32E31"/>
    <w:rsid w:val="60CC64DC"/>
    <w:rsid w:val="60E6759D"/>
    <w:rsid w:val="61022BE2"/>
    <w:rsid w:val="61124939"/>
    <w:rsid w:val="61163776"/>
    <w:rsid w:val="611D0AE5"/>
    <w:rsid w:val="612956DC"/>
    <w:rsid w:val="612F3E61"/>
    <w:rsid w:val="61351D09"/>
    <w:rsid w:val="61377DF9"/>
    <w:rsid w:val="61380253"/>
    <w:rsid w:val="613F280A"/>
    <w:rsid w:val="61425ECF"/>
    <w:rsid w:val="614263B9"/>
    <w:rsid w:val="614425AD"/>
    <w:rsid w:val="616D6A24"/>
    <w:rsid w:val="61730C72"/>
    <w:rsid w:val="61736957"/>
    <w:rsid w:val="617677EF"/>
    <w:rsid w:val="617A1A94"/>
    <w:rsid w:val="61915776"/>
    <w:rsid w:val="6192502F"/>
    <w:rsid w:val="61950C6B"/>
    <w:rsid w:val="619565A7"/>
    <w:rsid w:val="61B44FA8"/>
    <w:rsid w:val="61B76844"/>
    <w:rsid w:val="61BA4CBE"/>
    <w:rsid w:val="61C13A09"/>
    <w:rsid w:val="61ED04B8"/>
    <w:rsid w:val="61F87184"/>
    <w:rsid w:val="620241A7"/>
    <w:rsid w:val="620970B6"/>
    <w:rsid w:val="621A5025"/>
    <w:rsid w:val="621A63C5"/>
    <w:rsid w:val="62207F37"/>
    <w:rsid w:val="62344D4C"/>
    <w:rsid w:val="62426A55"/>
    <w:rsid w:val="6247417E"/>
    <w:rsid w:val="626A1C3E"/>
    <w:rsid w:val="626C3AD2"/>
    <w:rsid w:val="626D01D1"/>
    <w:rsid w:val="626F5370"/>
    <w:rsid w:val="628B29B8"/>
    <w:rsid w:val="629D3C8C"/>
    <w:rsid w:val="62DE3608"/>
    <w:rsid w:val="62DF1B25"/>
    <w:rsid w:val="62DF7781"/>
    <w:rsid w:val="62F45876"/>
    <w:rsid w:val="62FA041A"/>
    <w:rsid w:val="630713AF"/>
    <w:rsid w:val="63201509"/>
    <w:rsid w:val="633218D5"/>
    <w:rsid w:val="633A053D"/>
    <w:rsid w:val="63440380"/>
    <w:rsid w:val="63743970"/>
    <w:rsid w:val="638D1F52"/>
    <w:rsid w:val="63A16A99"/>
    <w:rsid w:val="63B472ED"/>
    <w:rsid w:val="63B76FCF"/>
    <w:rsid w:val="63C60FC0"/>
    <w:rsid w:val="63D00F76"/>
    <w:rsid w:val="63EB78D5"/>
    <w:rsid w:val="63F41FD1"/>
    <w:rsid w:val="64023521"/>
    <w:rsid w:val="6408782B"/>
    <w:rsid w:val="640E44E7"/>
    <w:rsid w:val="641D00AF"/>
    <w:rsid w:val="642B176B"/>
    <w:rsid w:val="64433A80"/>
    <w:rsid w:val="64694B64"/>
    <w:rsid w:val="647B2E8F"/>
    <w:rsid w:val="64903FEE"/>
    <w:rsid w:val="649D011F"/>
    <w:rsid w:val="64AF5F9E"/>
    <w:rsid w:val="64B67C88"/>
    <w:rsid w:val="64B72961"/>
    <w:rsid w:val="65077F26"/>
    <w:rsid w:val="651128C6"/>
    <w:rsid w:val="6516428D"/>
    <w:rsid w:val="65332685"/>
    <w:rsid w:val="653D3504"/>
    <w:rsid w:val="65402FF4"/>
    <w:rsid w:val="656E313E"/>
    <w:rsid w:val="657E0E61"/>
    <w:rsid w:val="65814A10"/>
    <w:rsid w:val="658319DC"/>
    <w:rsid w:val="65861857"/>
    <w:rsid w:val="6589499B"/>
    <w:rsid w:val="65895ACC"/>
    <w:rsid w:val="65921AA2"/>
    <w:rsid w:val="6595362A"/>
    <w:rsid w:val="659609A9"/>
    <w:rsid w:val="65BC7192"/>
    <w:rsid w:val="65BC7F16"/>
    <w:rsid w:val="65DD0843"/>
    <w:rsid w:val="65E16AA2"/>
    <w:rsid w:val="65E362B1"/>
    <w:rsid w:val="65EB7404"/>
    <w:rsid w:val="66377785"/>
    <w:rsid w:val="66384C15"/>
    <w:rsid w:val="664A6108"/>
    <w:rsid w:val="665A1E94"/>
    <w:rsid w:val="665C5D1B"/>
    <w:rsid w:val="66632F17"/>
    <w:rsid w:val="667A1C2F"/>
    <w:rsid w:val="667A42E4"/>
    <w:rsid w:val="66886796"/>
    <w:rsid w:val="668B64F1"/>
    <w:rsid w:val="66921CD5"/>
    <w:rsid w:val="669642D6"/>
    <w:rsid w:val="66AE3090"/>
    <w:rsid w:val="66B861BB"/>
    <w:rsid w:val="66D71F2C"/>
    <w:rsid w:val="66DB1226"/>
    <w:rsid w:val="66E76BC8"/>
    <w:rsid w:val="66E9394A"/>
    <w:rsid w:val="67073449"/>
    <w:rsid w:val="671B2777"/>
    <w:rsid w:val="672369C9"/>
    <w:rsid w:val="672B6D3E"/>
    <w:rsid w:val="67391E53"/>
    <w:rsid w:val="673D5CE0"/>
    <w:rsid w:val="67616BD8"/>
    <w:rsid w:val="676B1CEC"/>
    <w:rsid w:val="677451B8"/>
    <w:rsid w:val="67774B40"/>
    <w:rsid w:val="677C600E"/>
    <w:rsid w:val="677F4BA9"/>
    <w:rsid w:val="67811331"/>
    <w:rsid w:val="67A126CB"/>
    <w:rsid w:val="67A27F96"/>
    <w:rsid w:val="67AB0BF9"/>
    <w:rsid w:val="67E54267"/>
    <w:rsid w:val="67E76F9A"/>
    <w:rsid w:val="68071BA7"/>
    <w:rsid w:val="68203D1B"/>
    <w:rsid w:val="682C4391"/>
    <w:rsid w:val="682F0F8D"/>
    <w:rsid w:val="6830220E"/>
    <w:rsid w:val="68362CD3"/>
    <w:rsid w:val="685E3EBD"/>
    <w:rsid w:val="68604A70"/>
    <w:rsid w:val="687A5A05"/>
    <w:rsid w:val="68A0360F"/>
    <w:rsid w:val="68A17E1F"/>
    <w:rsid w:val="68B34E58"/>
    <w:rsid w:val="68C030F7"/>
    <w:rsid w:val="68C36C59"/>
    <w:rsid w:val="68CC04DF"/>
    <w:rsid w:val="68CF2DCF"/>
    <w:rsid w:val="68D415F6"/>
    <w:rsid w:val="68DA74A9"/>
    <w:rsid w:val="68DE0B5A"/>
    <w:rsid w:val="68E86BFA"/>
    <w:rsid w:val="68EF39AB"/>
    <w:rsid w:val="69012A9A"/>
    <w:rsid w:val="69024ECB"/>
    <w:rsid w:val="690B569D"/>
    <w:rsid w:val="690C3919"/>
    <w:rsid w:val="69123D92"/>
    <w:rsid w:val="691722BE"/>
    <w:rsid w:val="69475D21"/>
    <w:rsid w:val="697563C2"/>
    <w:rsid w:val="697B45FB"/>
    <w:rsid w:val="69815DB5"/>
    <w:rsid w:val="6990454A"/>
    <w:rsid w:val="6992401E"/>
    <w:rsid w:val="69A753F0"/>
    <w:rsid w:val="69AF44B7"/>
    <w:rsid w:val="69C24241"/>
    <w:rsid w:val="69CD6553"/>
    <w:rsid w:val="69D94213"/>
    <w:rsid w:val="69DD7064"/>
    <w:rsid w:val="69E421A0"/>
    <w:rsid w:val="69F349F5"/>
    <w:rsid w:val="69F446AA"/>
    <w:rsid w:val="6A125A4F"/>
    <w:rsid w:val="6A134E0B"/>
    <w:rsid w:val="6A1F767C"/>
    <w:rsid w:val="6A3A44B6"/>
    <w:rsid w:val="6A4E464A"/>
    <w:rsid w:val="6A694D9B"/>
    <w:rsid w:val="6A6A6DFD"/>
    <w:rsid w:val="6A762D71"/>
    <w:rsid w:val="6A890F99"/>
    <w:rsid w:val="6A8E65B0"/>
    <w:rsid w:val="6A981923"/>
    <w:rsid w:val="6AC027EC"/>
    <w:rsid w:val="6AC22A0E"/>
    <w:rsid w:val="6AC56475"/>
    <w:rsid w:val="6AC80E8E"/>
    <w:rsid w:val="6ADA2580"/>
    <w:rsid w:val="6ADE468E"/>
    <w:rsid w:val="6AE51859"/>
    <w:rsid w:val="6AF26B3F"/>
    <w:rsid w:val="6AF705F9"/>
    <w:rsid w:val="6AFC2F65"/>
    <w:rsid w:val="6B023E01"/>
    <w:rsid w:val="6B1864C2"/>
    <w:rsid w:val="6B193A43"/>
    <w:rsid w:val="6B2018FE"/>
    <w:rsid w:val="6B2906ED"/>
    <w:rsid w:val="6B450E9F"/>
    <w:rsid w:val="6B485F70"/>
    <w:rsid w:val="6B61561E"/>
    <w:rsid w:val="6B6970BF"/>
    <w:rsid w:val="6B6A2B79"/>
    <w:rsid w:val="6B8F6D35"/>
    <w:rsid w:val="6B915546"/>
    <w:rsid w:val="6BBD2D69"/>
    <w:rsid w:val="6BBE52E8"/>
    <w:rsid w:val="6BE62AFE"/>
    <w:rsid w:val="6BEF1CAC"/>
    <w:rsid w:val="6C1B30CD"/>
    <w:rsid w:val="6C1F7722"/>
    <w:rsid w:val="6C3118E9"/>
    <w:rsid w:val="6C354444"/>
    <w:rsid w:val="6C3A079D"/>
    <w:rsid w:val="6C3F1435"/>
    <w:rsid w:val="6C4741A8"/>
    <w:rsid w:val="6C6B6BA9"/>
    <w:rsid w:val="6C6E55AB"/>
    <w:rsid w:val="6C72600E"/>
    <w:rsid w:val="6C863145"/>
    <w:rsid w:val="6C8753A4"/>
    <w:rsid w:val="6C8C279F"/>
    <w:rsid w:val="6C952FB6"/>
    <w:rsid w:val="6C97687E"/>
    <w:rsid w:val="6C9A56E0"/>
    <w:rsid w:val="6CA4030D"/>
    <w:rsid w:val="6CB57E24"/>
    <w:rsid w:val="6CB726FA"/>
    <w:rsid w:val="6CD209D6"/>
    <w:rsid w:val="6CD728A0"/>
    <w:rsid w:val="6CE512E9"/>
    <w:rsid w:val="6CF272CA"/>
    <w:rsid w:val="6CF37A4E"/>
    <w:rsid w:val="6D051540"/>
    <w:rsid w:val="6D2154B9"/>
    <w:rsid w:val="6D574D37"/>
    <w:rsid w:val="6D68722D"/>
    <w:rsid w:val="6D6967CC"/>
    <w:rsid w:val="6D7B106D"/>
    <w:rsid w:val="6D81394F"/>
    <w:rsid w:val="6D85704D"/>
    <w:rsid w:val="6D8D38F1"/>
    <w:rsid w:val="6D8D7B48"/>
    <w:rsid w:val="6D952DD1"/>
    <w:rsid w:val="6DA802AD"/>
    <w:rsid w:val="6DB079D9"/>
    <w:rsid w:val="6DBA61F5"/>
    <w:rsid w:val="6DC20A4A"/>
    <w:rsid w:val="6DF1132F"/>
    <w:rsid w:val="6DF63C86"/>
    <w:rsid w:val="6E0F6A32"/>
    <w:rsid w:val="6E16303B"/>
    <w:rsid w:val="6E192634"/>
    <w:rsid w:val="6E385B6C"/>
    <w:rsid w:val="6E386F5E"/>
    <w:rsid w:val="6E39208A"/>
    <w:rsid w:val="6E3B3819"/>
    <w:rsid w:val="6E4B3004"/>
    <w:rsid w:val="6E560BE9"/>
    <w:rsid w:val="6E6B42EC"/>
    <w:rsid w:val="6E80057A"/>
    <w:rsid w:val="6E91666F"/>
    <w:rsid w:val="6E9F3E8B"/>
    <w:rsid w:val="6EA14B04"/>
    <w:rsid w:val="6EBF31DC"/>
    <w:rsid w:val="6ECE19F3"/>
    <w:rsid w:val="6EFD49EE"/>
    <w:rsid w:val="6F63426E"/>
    <w:rsid w:val="6F652D82"/>
    <w:rsid w:val="6F683873"/>
    <w:rsid w:val="6F713D0F"/>
    <w:rsid w:val="6FB7142D"/>
    <w:rsid w:val="6FBB4455"/>
    <w:rsid w:val="6FC34D69"/>
    <w:rsid w:val="6FCC5BB0"/>
    <w:rsid w:val="6FD72EFF"/>
    <w:rsid w:val="6FE71078"/>
    <w:rsid w:val="6FEB2849"/>
    <w:rsid w:val="6FEB5C15"/>
    <w:rsid w:val="70004226"/>
    <w:rsid w:val="70057314"/>
    <w:rsid w:val="700C2451"/>
    <w:rsid w:val="7013793B"/>
    <w:rsid w:val="70173FA5"/>
    <w:rsid w:val="701E78EC"/>
    <w:rsid w:val="702A2886"/>
    <w:rsid w:val="70482BAF"/>
    <w:rsid w:val="70486572"/>
    <w:rsid w:val="70592B6A"/>
    <w:rsid w:val="709C7DB8"/>
    <w:rsid w:val="70C40F7D"/>
    <w:rsid w:val="70C8281B"/>
    <w:rsid w:val="70CC5659"/>
    <w:rsid w:val="70E9102D"/>
    <w:rsid w:val="70F42799"/>
    <w:rsid w:val="70FD18E8"/>
    <w:rsid w:val="71073488"/>
    <w:rsid w:val="710E0E18"/>
    <w:rsid w:val="71164507"/>
    <w:rsid w:val="712324FF"/>
    <w:rsid w:val="712A529F"/>
    <w:rsid w:val="71325EE7"/>
    <w:rsid w:val="71381023"/>
    <w:rsid w:val="71397275"/>
    <w:rsid w:val="713F09AE"/>
    <w:rsid w:val="713F6699"/>
    <w:rsid w:val="71634F44"/>
    <w:rsid w:val="7164448D"/>
    <w:rsid w:val="717604C9"/>
    <w:rsid w:val="7193274B"/>
    <w:rsid w:val="71956476"/>
    <w:rsid w:val="71997D14"/>
    <w:rsid w:val="71B2248F"/>
    <w:rsid w:val="71BE38AA"/>
    <w:rsid w:val="71C01745"/>
    <w:rsid w:val="71C669F9"/>
    <w:rsid w:val="71C72450"/>
    <w:rsid w:val="71F46A46"/>
    <w:rsid w:val="71F94C57"/>
    <w:rsid w:val="71FF5A16"/>
    <w:rsid w:val="720D387B"/>
    <w:rsid w:val="720F27CE"/>
    <w:rsid w:val="722417A6"/>
    <w:rsid w:val="72331F17"/>
    <w:rsid w:val="72342F77"/>
    <w:rsid w:val="72477F44"/>
    <w:rsid w:val="724C72B4"/>
    <w:rsid w:val="72513DDF"/>
    <w:rsid w:val="72612DA1"/>
    <w:rsid w:val="727B40A7"/>
    <w:rsid w:val="72922FBA"/>
    <w:rsid w:val="72BA2638"/>
    <w:rsid w:val="72F875C5"/>
    <w:rsid w:val="72FA283E"/>
    <w:rsid w:val="73191DEE"/>
    <w:rsid w:val="73215F87"/>
    <w:rsid w:val="732B49DE"/>
    <w:rsid w:val="73334198"/>
    <w:rsid w:val="73403702"/>
    <w:rsid w:val="734B1B9C"/>
    <w:rsid w:val="736A5C9B"/>
    <w:rsid w:val="73766CB7"/>
    <w:rsid w:val="738C30F5"/>
    <w:rsid w:val="73B30B17"/>
    <w:rsid w:val="73BE6DC0"/>
    <w:rsid w:val="73C54506"/>
    <w:rsid w:val="73C7645B"/>
    <w:rsid w:val="73DC0AD2"/>
    <w:rsid w:val="73EF00BF"/>
    <w:rsid w:val="740117C0"/>
    <w:rsid w:val="74057244"/>
    <w:rsid w:val="740653C2"/>
    <w:rsid w:val="741600B2"/>
    <w:rsid w:val="7416564C"/>
    <w:rsid w:val="742C3892"/>
    <w:rsid w:val="742C5DA8"/>
    <w:rsid w:val="742E4103"/>
    <w:rsid w:val="743038C7"/>
    <w:rsid w:val="744736F3"/>
    <w:rsid w:val="7453751A"/>
    <w:rsid w:val="74546174"/>
    <w:rsid w:val="745D053E"/>
    <w:rsid w:val="74786307"/>
    <w:rsid w:val="74823F2A"/>
    <w:rsid w:val="748A1028"/>
    <w:rsid w:val="748B7E3E"/>
    <w:rsid w:val="74944905"/>
    <w:rsid w:val="74B06C7C"/>
    <w:rsid w:val="74C327EC"/>
    <w:rsid w:val="74CB28DA"/>
    <w:rsid w:val="74D80B53"/>
    <w:rsid w:val="74EE7ACF"/>
    <w:rsid w:val="74F17F5A"/>
    <w:rsid w:val="750853EE"/>
    <w:rsid w:val="75226272"/>
    <w:rsid w:val="75243D99"/>
    <w:rsid w:val="75363ACC"/>
    <w:rsid w:val="753906DE"/>
    <w:rsid w:val="754C50C8"/>
    <w:rsid w:val="75731B38"/>
    <w:rsid w:val="757C1915"/>
    <w:rsid w:val="75826D11"/>
    <w:rsid w:val="75846F2D"/>
    <w:rsid w:val="75A30E4F"/>
    <w:rsid w:val="75AC2C6C"/>
    <w:rsid w:val="75BE43D9"/>
    <w:rsid w:val="75C07B2A"/>
    <w:rsid w:val="75D32D2F"/>
    <w:rsid w:val="75DE652A"/>
    <w:rsid w:val="75EF2888"/>
    <w:rsid w:val="75EF43A6"/>
    <w:rsid w:val="75F124EB"/>
    <w:rsid w:val="75F47C0F"/>
    <w:rsid w:val="76062B1F"/>
    <w:rsid w:val="760763B8"/>
    <w:rsid w:val="760836BA"/>
    <w:rsid w:val="7610256F"/>
    <w:rsid w:val="76157686"/>
    <w:rsid w:val="761958C7"/>
    <w:rsid w:val="76261D92"/>
    <w:rsid w:val="762709C1"/>
    <w:rsid w:val="76275B71"/>
    <w:rsid w:val="76444845"/>
    <w:rsid w:val="76602C56"/>
    <w:rsid w:val="76766876"/>
    <w:rsid w:val="769F7133"/>
    <w:rsid w:val="76A90849"/>
    <w:rsid w:val="76CC293A"/>
    <w:rsid w:val="77072CA8"/>
    <w:rsid w:val="77130B22"/>
    <w:rsid w:val="77147E3D"/>
    <w:rsid w:val="77242776"/>
    <w:rsid w:val="77297D8C"/>
    <w:rsid w:val="773457EA"/>
    <w:rsid w:val="77400C32"/>
    <w:rsid w:val="77536BB7"/>
    <w:rsid w:val="775553EE"/>
    <w:rsid w:val="77686C1C"/>
    <w:rsid w:val="776B7302"/>
    <w:rsid w:val="776C7EF0"/>
    <w:rsid w:val="777C4360"/>
    <w:rsid w:val="777F2C72"/>
    <w:rsid w:val="77897B31"/>
    <w:rsid w:val="779472B9"/>
    <w:rsid w:val="77A70986"/>
    <w:rsid w:val="77AE29E4"/>
    <w:rsid w:val="77C84DC0"/>
    <w:rsid w:val="77DD6EF2"/>
    <w:rsid w:val="77E60135"/>
    <w:rsid w:val="77FC3781"/>
    <w:rsid w:val="77FE2FC7"/>
    <w:rsid w:val="781668DE"/>
    <w:rsid w:val="783C108C"/>
    <w:rsid w:val="785030F6"/>
    <w:rsid w:val="78721C35"/>
    <w:rsid w:val="78767001"/>
    <w:rsid w:val="78776B2A"/>
    <w:rsid w:val="788435CF"/>
    <w:rsid w:val="78850FF2"/>
    <w:rsid w:val="788F1E71"/>
    <w:rsid w:val="789D40D9"/>
    <w:rsid w:val="78C22246"/>
    <w:rsid w:val="78D13B60"/>
    <w:rsid w:val="78D36201"/>
    <w:rsid w:val="78D41F79"/>
    <w:rsid w:val="78DB6E64"/>
    <w:rsid w:val="78EA354B"/>
    <w:rsid w:val="78F10436"/>
    <w:rsid w:val="78FB4AF5"/>
    <w:rsid w:val="78FC593C"/>
    <w:rsid w:val="79012A35"/>
    <w:rsid w:val="79082749"/>
    <w:rsid w:val="79110AD8"/>
    <w:rsid w:val="79164340"/>
    <w:rsid w:val="791F0A01"/>
    <w:rsid w:val="791F31F5"/>
    <w:rsid w:val="79200841"/>
    <w:rsid w:val="792902B8"/>
    <w:rsid w:val="793D6F2E"/>
    <w:rsid w:val="79633E2E"/>
    <w:rsid w:val="797404E8"/>
    <w:rsid w:val="797D4F0F"/>
    <w:rsid w:val="797F5A41"/>
    <w:rsid w:val="79815C5D"/>
    <w:rsid w:val="7997722F"/>
    <w:rsid w:val="79B93EFF"/>
    <w:rsid w:val="79BF2DC7"/>
    <w:rsid w:val="79C40CCC"/>
    <w:rsid w:val="79C92109"/>
    <w:rsid w:val="79CD0EA3"/>
    <w:rsid w:val="79D20267"/>
    <w:rsid w:val="79E104AA"/>
    <w:rsid w:val="79E625D0"/>
    <w:rsid w:val="79EC481E"/>
    <w:rsid w:val="7A106246"/>
    <w:rsid w:val="7A1D7C48"/>
    <w:rsid w:val="7A1F2D8B"/>
    <w:rsid w:val="7A276B4C"/>
    <w:rsid w:val="7A2A00A3"/>
    <w:rsid w:val="7A5672B5"/>
    <w:rsid w:val="7A5A025C"/>
    <w:rsid w:val="7A5F11AB"/>
    <w:rsid w:val="7A620EE8"/>
    <w:rsid w:val="7A674856"/>
    <w:rsid w:val="7A78243C"/>
    <w:rsid w:val="7A844557"/>
    <w:rsid w:val="7A8A01C7"/>
    <w:rsid w:val="7A9004FD"/>
    <w:rsid w:val="7A94376E"/>
    <w:rsid w:val="7AA15E8B"/>
    <w:rsid w:val="7AA5597C"/>
    <w:rsid w:val="7AA65250"/>
    <w:rsid w:val="7AAC030B"/>
    <w:rsid w:val="7AC95FA6"/>
    <w:rsid w:val="7ACA0249"/>
    <w:rsid w:val="7ACE0058"/>
    <w:rsid w:val="7AD31C5E"/>
    <w:rsid w:val="7ADA6BBB"/>
    <w:rsid w:val="7AF81037"/>
    <w:rsid w:val="7B043458"/>
    <w:rsid w:val="7B22692F"/>
    <w:rsid w:val="7B4056A4"/>
    <w:rsid w:val="7B4D1ED2"/>
    <w:rsid w:val="7B503B39"/>
    <w:rsid w:val="7B506C85"/>
    <w:rsid w:val="7B6202E7"/>
    <w:rsid w:val="7B641393"/>
    <w:rsid w:val="7B85677D"/>
    <w:rsid w:val="7BD1454E"/>
    <w:rsid w:val="7BE03191"/>
    <w:rsid w:val="7BEC3A56"/>
    <w:rsid w:val="7C0466D2"/>
    <w:rsid w:val="7C093CE8"/>
    <w:rsid w:val="7C217944"/>
    <w:rsid w:val="7C224DAA"/>
    <w:rsid w:val="7C3D05FE"/>
    <w:rsid w:val="7C42265A"/>
    <w:rsid w:val="7C701F38"/>
    <w:rsid w:val="7C7969BC"/>
    <w:rsid w:val="7C8141C6"/>
    <w:rsid w:val="7C8D70F0"/>
    <w:rsid w:val="7C970DA4"/>
    <w:rsid w:val="7CAA0D23"/>
    <w:rsid w:val="7CAD38A8"/>
    <w:rsid w:val="7CAE34DA"/>
    <w:rsid w:val="7CB5297B"/>
    <w:rsid w:val="7CBE2D25"/>
    <w:rsid w:val="7CCF0A8E"/>
    <w:rsid w:val="7CED360A"/>
    <w:rsid w:val="7CF865E6"/>
    <w:rsid w:val="7D00333D"/>
    <w:rsid w:val="7D0148E6"/>
    <w:rsid w:val="7D036C29"/>
    <w:rsid w:val="7D0D7F4E"/>
    <w:rsid w:val="7D1623D7"/>
    <w:rsid w:val="7D1D12BD"/>
    <w:rsid w:val="7D225061"/>
    <w:rsid w:val="7D54022B"/>
    <w:rsid w:val="7D580A83"/>
    <w:rsid w:val="7D597C6D"/>
    <w:rsid w:val="7D5E522E"/>
    <w:rsid w:val="7D603DDC"/>
    <w:rsid w:val="7D734142"/>
    <w:rsid w:val="7D954373"/>
    <w:rsid w:val="7DA243F4"/>
    <w:rsid w:val="7DA97531"/>
    <w:rsid w:val="7DB933B8"/>
    <w:rsid w:val="7DC223A1"/>
    <w:rsid w:val="7DD547CA"/>
    <w:rsid w:val="7DE839B9"/>
    <w:rsid w:val="7DF52776"/>
    <w:rsid w:val="7DFD20AA"/>
    <w:rsid w:val="7E2345E7"/>
    <w:rsid w:val="7E2C77F8"/>
    <w:rsid w:val="7E385937"/>
    <w:rsid w:val="7E3F60E7"/>
    <w:rsid w:val="7E4B683A"/>
    <w:rsid w:val="7E4D25B2"/>
    <w:rsid w:val="7E5020A2"/>
    <w:rsid w:val="7E5E656D"/>
    <w:rsid w:val="7E6B1946"/>
    <w:rsid w:val="7E70729B"/>
    <w:rsid w:val="7E7318ED"/>
    <w:rsid w:val="7E7C0C17"/>
    <w:rsid w:val="7E825820"/>
    <w:rsid w:val="7E861620"/>
    <w:rsid w:val="7E8F738C"/>
    <w:rsid w:val="7E93688B"/>
    <w:rsid w:val="7E9E58B8"/>
    <w:rsid w:val="7EB04282"/>
    <w:rsid w:val="7EB23EFF"/>
    <w:rsid w:val="7EB64B61"/>
    <w:rsid w:val="7EBB6DFE"/>
    <w:rsid w:val="7ECD2DC5"/>
    <w:rsid w:val="7EDB7BBE"/>
    <w:rsid w:val="7EDF17DB"/>
    <w:rsid w:val="7F036A77"/>
    <w:rsid w:val="7F0C7C6B"/>
    <w:rsid w:val="7F176B56"/>
    <w:rsid w:val="7F2312D0"/>
    <w:rsid w:val="7F273AD2"/>
    <w:rsid w:val="7F286E37"/>
    <w:rsid w:val="7F403EC5"/>
    <w:rsid w:val="7F43025A"/>
    <w:rsid w:val="7F6B7807"/>
    <w:rsid w:val="7F934B69"/>
    <w:rsid w:val="7F945B14"/>
    <w:rsid w:val="7F9F134E"/>
    <w:rsid w:val="7FAC155A"/>
    <w:rsid w:val="7FB81CAD"/>
    <w:rsid w:val="7FBC63A2"/>
    <w:rsid w:val="7FC7157F"/>
    <w:rsid w:val="7FC82C69"/>
    <w:rsid w:val="7FCA05C5"/>
    <w:rsid w:val="7FCE4F2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iPriority="0" w:semiHidden="0" w:name="header"/>
    <w:lsdException w:qFormat="1" w:uiPriority="0" w:semiHidden="0" w:name="footer"/>
    <w:lsdException w:qFormat="1" w:unhideWhenUsed="0" w:uiPriority="0" w:semiHidden="0" w:name="index heading"/>
    <w:lsdException w:qFormat="1" w:unhideWhenUsed="0" w:uiPriority="35"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99"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99"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iPriority="0" w:semiHidden="0" w:name="Body Text"/>
    <w:lsdException w:qFormat="1"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iPriority="0" w:semiHidden="0" w:name="Body Text First Indent"/>
    <w:lsdException w:qFormat="1"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99" w:semiHidden="0" w:name="Plain Text"/>
    <w:lsdException w:qFormat="1" w:unhideWhenUsed="0" w:uiPriority="0" w:semiHidden="0" w:name="E-mail Signature"/>
    <w:lsdException w:qFormat="1" w:unhideWhenUsed="0" w:uiPriority="99" w:semiHidden="0" w:name="Normal (Web)"/>
    <w:lsdException w:qFormat="1" w:unhideWhenUsed="0" w:uiPriority="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iPriority="0" w:semiHidden="0" w:name="annotation subject"/>
    <w:lsdException w:qFormat="1" w:unhideWhenUsed="0" w:uiPriority="0" w:semiHidden="0" w:name="Table Simple 1"/>
    <w:lsdException w:qFormat="1" w:unhideWhenUsed="0" w:uiPriority="0" w:name="Table Simple 2"/>
    <w:lsdException w:qFormat="1" w:unhideWhenUsed="0" w:uiPriority="0" w:name="Table Simple 3"/>
    <w:lsdException w:qFormat="1" w:unhideWhenUsed="0" w:uiPriority="0" w:name="Table Classic 1"/>
    <w:lsdException w:qFormat="1" w:unhideWhenUsed="0" w:uiPriority="0" w:name="Table Classic 2"/>
    <w:lsdException w:qFormat="1" w:unhideWhenUsed="0" w:uiPriority="0" w:name="Table Classic 3"/>
    <w:lsdException w:qFormat="1" w:unhideWhenUsed="0" w:uiPriority="0" w:name="Table Classic 4"/>
    <w:lsdException w:qFormat="1" w:unhideWhenUsed="0" w:uiPriority="0" w:semiHidden="0" w:name="Table Colorful 1"/>
    <w:lsdException w:qFormat="1" w:unhideWhenUsed="0" w:uiPriority="0" w:name="Table Colorful 2"/>
    <w:lsdException w:qFormat="1" w:unhideWhenUsed="0" w:uiPriority="0" w:name="Table Colorful 3"/>
    <w:lsdException w:qFormat="1" w:unhideWhenUsed="0" w:uiPriority="0" w:name="Table Columns 1"/>
    <w:lsdException w:qFormat="1" w:unhideWhenUsed="0" w:uiPriority="0" w:name="Table Columns 2"/>
    <w:lsdException w:qFormat="1" w:unhideWhenUsed="0" w:uiPriority="0" w:name="Table Columns 3"/>
    <w:lsdException w:qFormat="1" w:unhideWhenUsed="0" w:uiPriority="0" w:name="Table Columns 4"/>
    <w:lsdException w:qFormat="1" w:unhideWhenUsed="0" w:uiPriority="0" w:name="Table Columns 5"/>
    <w:lsdException w:qFormat="1" w:unhideWhenUsed="0" w:uiPriority="0" w:semiHidden="0" w:name="Table Grid 1"/>
    <w:lsdException w:qFormat="1" w:unhideWhenUsed="0" w:uiPriority="0" w:semiHidden="0" w:name="Table Grid 2"/>
    <w:lsdException w:qFormat="1" w:unhideWhenUsed="0" w:uiPriority="0" w:name="Table Grid 3"/>
    <w:lsdException w:qFormat="1" w:unhideWhenUsed="0" w:uiPriority="0" w:name="Table Grid 4"/>
    <w:lsdException w:qFormat="1" w:unhideWhenUsed="0" w:uiPriority="0" w:semiHidden="0" w:name="Table Grid 5"/>
    <w:lsdException w:qFormat="1" w:unhideWhenUsed="0" w:uiPriority="0" w:name="Table Grid 6"/>
    <w:lsdException w:qFormat="1" w:unhideWhenUsed="0" w:uiPriority="0" w:semiHidden="0" w:name="Table Grid 7"/>
    <w:lsdException w:qFormat="1" w:unhideWhenUsed="0" w:uiPriority="0" w:name="Table Grid 8"/>
    <w:lsdException w:qFormat="1" w:unhideWhenUsed="0" w:uiPriority="0" w:name="Table List 1"/>
    <w:lsdException w:qFormat="1" w:unhideWhenUsed="0" w:uiPriority="0" w:name="Table List 2"/>
    <w:lsdException w:qFormat="1" w:unhideWhenUsed="0" w:uiPriority="0" w:name="Table List 3"/>
    <w:lsdException w:qFormat="1" w:unhideWhenUsed="0" w:uiPriority="0" w:name="Table List 4"/>
    <w:lsdException w:qFormat="1" w:unhideWhenUsed="0" w:uiPriority="0" w:name="Table List 5"/>
    <w:lsdException w:qFormat="1" w:unhideWhenUsed="0" w:uiPriority="0" w:name="Table List 6"/>
    <w:lsdException w:qFormat="1" w:unhideWhenUsed="0" w:uiPriority="0" w:name="Table List 7"/>
    <w:lsdException w:qFormat="1" w:unhideWhenUsed="0" w:uiPriority="0" w:name="Table List 8"/>
    <w:lsdException w:qFormat="1" w:unhideWhenUsed="0" w:uiPriority="0" w:name="Table 3D effects 1"/>
    <w:lsdException w:qFormat="1" w:unhideWhenUsed="0" w:uiPriority="0" w:name="Table 3D effects 2"/>
    <w:lsdException w:qFormat="1" w:unhideWhenUsed="0" w:uiPriority="0" w:name="Table 3D effects 3"/>
    <w:lsdException w:qFormat="1" w:unhideWhenUsed="0" w:uiPriority="0" w:name="Table Contemporary"/>
    <w:lsdException w:qFormat="1" w:unhideWhenUsed="0" w:uiPriority="0" w:semiHidden="0" w:name="Table Elegant"/>
    <w:lsdException w:qFormat="1" w:unhideWhenUsed="0" w:uiPriority="0" w:name="Table Professional"/>
    <w:lsdException w:qFormat="1" w:unhideWhenUsed="0" w:uiPriority="0" w:name="Table Subtle 1"/>
    <w:lsdException w:qFormat="1" w:unhideWhenUsed="0" w:uiPriority="0" w:name="Table Subtle 2"/>
    <w:lsdException w:qFormat="1" w:unhideWhenUsed="0" w:uiPriority="0" w:name="Table Web 1"/>
    <w:lsdException w:qFormat="1" w:unhideWhenUsed="0" w:uiPriority="0" w:name="Table Web 2"/>
    <w:lsdException w:qFormat="1" w:unhideWhenUsed="0" w:uiPriority="0" w:semiHidden="0" w:name="Table Web 3"/>
    <w:lsdException w:qFormat="1" w:uiPriority="0" w:semiHidden="0" w:name="Balloon Text"/>
    <w:lsdException w:qFormat="1" w:unhideWhenUsed="0" w:uiPriority="39" w:semiHidden="0" w:name="Table Grid"/>
    <w:lsdException w:qFormat="1" w:unhideWhenUsed="0" w:uiPriority="0" w:semiHidden="0" w:name="Table Theme"/>
    <w:lsdException w:qFormat="1" w:unhideWhenUsed="0" w:uiPriority="99" w:name="Placeholder Text"/>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djustRightInd w:val="0"/>
      <w:snapToGrid w:val="0"/>
      <w:spacing w:line="480" w:lineRule="exact"/>
      <w:ind w:firstLine="200" w:firstLineChars="200"/>
      <w:jc w:val="both"/>
    </w:pPr>
    <w:rPr>
      <w:rFonts w:ascii="Times New Roman" w:hAnsi="Times New Roman" w:eastAsia="宋体" w:cs="Times New Roman"/>
      <w:kern w:val="2"/>
      <w:sz w:val="24"/>
      <w:lang w:val="en-US" w:eastAsia="zh-CN" w:bidi="ar-SA"/>
    </w:rPr>
  </w:style>
  <w:style w:type="paragraph" w:styleId="3">
    <w:name w:val="heading 1"/>
    <w:basedOn w:val="1"/>
    <w:next w:val="1"/>
    <w:link w:val="153"/>
    <w:autoRedefine/>
    <w:qFormat/>
    <w:uiPriority w:val="0"/>
    <w:pPr>
      <w:keepNext/>
      <w:keepLines/>
      <w:numPr>
        <w:ilvl w:val="0"/>
        <w:numId w:val="1"/>
      </w:numPr>
      <w:ind w:firstLine="0" w:firstLineChars="0"/>
      <w:jc w:val="left"/>
      <w:outlineLvl w:val="0"/>
    </w:pPr>
    <w:rPr>
      <w:b/>
      <w:bCs/>
      <w:kern w:val="44"/>
      <w:sz w:val="28"/>
      <w:szCs w:val="44"/>
      <w:lang w:val="zh-CN"/>
    </w:rPr>
  </w:style>
  <w:style w:type="paragraph" w:styleId="4">
    <w:name w:val="heading 2"/>
    <w:basedOn w:val="1"/>
    <w:next w:val="1"/>
    <w:link w:val="154"/>
    <w:autoRedefine/>
    <w:qFormat/>
    <w:uiPriority w:val="0"/>
    <w:pPr>
      <w:keepNext/>
      <w:keepLines/>
      <w:numPr>
        <w:ilvl w:val="1"/>
        <w:numId w:val="1"/>
      </w:numPr>
      <w:ind w:firstLine="0" w:firstLineChars="0"/>
      <w:outlineLvl w:val="1"/>
    </w:pPr>
    <w:rPr>
      <w:b/>
      <w:bCs/>
      <w:szCs w:val="32"/>
      <w:lang w:val="zh-CN"/>
    </w:rPr>
  </w:style>
  <w:style w:type="paragraph" w:styleId="5">
    <w:name w:val="heading 3"/>
    <w:basedOn w:val="1"/>
    <w:next w:val="1"/>
    <w:link w:val="155"/>
    <w:autoRedefine/>
    <w:qFormat/>
    <w:uiPriority w:val="0"/>
    <w:pPr>
      <w:keepNext/>
      <w:keepLines/>
      <w:numPr>
        <w:ilvl w:val="2"/>
        <w:numId w:val="1"/>
      </w:numPr>
      <w:ind w:firstLine="0" w:firstLineChars="0"/>
      <w:outlineLvl w:val="2"/>
    </w:pPr>
    <w:rPr>
      <w:b/>
      <w:bCs/>
      <w:szCs w:val="32"/>
      <w:lang w:val="zh-CN"/>
    </w:rPr>
  </w:style>
  <w:style w:type="paragraph" w:styleId="6">
    <w:name w:val="heading 4"/>
    <w:basedOn w:val="1"/>
    <w:next w:val="1"/>
    <w:link w:val="156"/>
    <w:autoRedefine/>
    <w:qFormat/>
    <w:uiPriority w:val="0"/>
    <w:pPr>
      <w:keepNext/>
      <w:keepLines/>
      <w:numPr>
        <w:ilvl w:val="3"/>
        <w:numId w:val="1"/>
      </w:numPr>
      <w:ind w:left="0" w:firstLine="0" w:firstLineChars="0"/>
      <w:jc w:val="left"/>
      <w:outlineLvl w:val="3"/>
    </w:pPr>
    <w:rPr>
      <w:b/>
      <w:bCs/>
      <w:szCs w:val="28"/>
      <w:lang w:val="zh-CN"/>
    </w:rPr>
  </w:style>
  <w:style w:type="paragraph" w:styleId="7">
    <w:name w:val="heading 5"/>
    <w:basedOn w:val="1"/>
    <w:next w:val="1"/>
    <w:link w:val="157"/>
    <w:autoRedefine/>
    <w:qFormat/>
    <w:uiPriority w:val="0"/>
    <w:pPr>
      <w:keepNext/>
      <w:keepLines/>
      <w:numPr>
        <w:ilvl w:val="4"/>
        <w:numId w:val="1"/>
      </w:numPr>
      <w:spacing w:before="280" w:after="290" w:line="376" w:lineRule="auto"/>
      <w:ind w:firstLine="0" w:firstLineChars="0"/>
      <w:outlineLvl w:val="4"/>
    </w:pPr>
    <w:rPr>
      <w:b/>
      <w:bCs/>
      <w:sz w:val="28"/>
      <w:szCs w:val="28"/>
      <w:lang w:val="zh-CN"/>
    </w:rPr>
  </w:style>
  <w:style w:type="paragraph" w:styleId="8">
    <w:name w:val="heading 6"/>
    <w:basedOn w:val="1"/>
    <w:next w:val="1"/>
    <w:link w:val="158"/>
    <w:autoRedefine/>
    <w:qFormat/>
    <w:uiPriority w:val="0"/>
    <w:pPr>
      <w:keepNext/>
      <w:keepLines/>
      <w:numPr>
        <w:ilvl w:val="5"/>
        <w:numId w:val="1"/>
      </w:numPr>
      <w:spacing w:before="240" w:after="64" w:line="320" w:lineRule="auto"/>
      <w:ind w:firstLine="0" w:firstLineChars="0"/>
      <w:outlineLvl w:val="5"/>
    </w:pPr>
    <w:rPr>
      <w:rFonts w:ascii="Cambria" w:hAnsi="Cambria"/>
      <w:b/>
      <w:bCs/>
      <w:szCs w:val="24"/>
      <w:lang w:val="zh-CN"/>
    </w:rPr>
  </w:style>
  <w:style w:type="paragraph" w:styleId="9">
    <w:name w:val="heading 7"/>
    <w:basedOn w:val="1"/>
    <w:next w:val="1"/>
    <w:link w:val="159"/>
    <w:autoRedefine/>
    <w:qFormat/>
    <w:uiPriority w:val="0"/>
    <w:pPr>
      <w:keepNext/>
      <w:keepLines/>
      <w:numPr>
        <w:ilvl w:val="6"/>
        <w:numId w:val="1"/>
      </w:numPr>
      <w:spacing w:before="240" w:after="64" w:line="320" w:lineRule="auto"/>
      <w:ind w:firstLine="0" w:firstLineChars="0"/>
      <w:outlineLvl w:val="6"/>
    </w:pPr>
    <w:rPr>
      <w:b/>
      <w:bCs/>
      <w:szCs w:val="24"/>
      <w:lang w:val="zh-CN"/>
    </w:rPr>
  </w:style>
  <w:style w:type="paragraph" w:styleId="10">
    <w:name w:val="heading 8"/>
    <w:basedOn w:val="1"/>
    <w:next w:val="1"/>
    <w:link w:val="160"/>
    <w:autoRedefine/>
    <w:qFormat/>
    <w:uiPriority w:val="0"/>
    <w:pPr>
      <w:keepNext/>
      <w:keepLines/>
      <w:numPr>
        <w:ilvl w:val="7"/>
        <w:numId w:val="1"/>
      </w:numPr>
      <w:spacing w:before="240" w:after="64" w:line="320" w:lineRule="auto"/>
      <w:ind w:firstLine="0" w:firstLineChars="0"/>
      <w:outlineLvl w:val="7"/>
    </w:pPr>
    <w:rPr>
      <w:rFonts w:ascii="Cambria" w:hAnsi="Cambria"/>
      <w:szCs w:val="24"/>
      <w:lang w:val="zh-CN"/>
    </w:rPr>
  </w:style>
  <w:style w:type="paragraph" w:styleId="11">
    <w:name w:val="heading 9"/>
    <w:basedOn w:val="1"/>
    <w:next w:val="1"/>
    <w:link w:val="161"/>
    <w:autoRedefine/>
    <w:qFormat/>
    <w:uiPriority w:val="0"/>
    <w:pPr>
      <w:keepNext/>
      <w:keepLines/>
      <w:numPr>
        <w:ilvl w:val="8"/>
        <w:numId w:val="1"/>
      </w:numPr>
      <w:spacing w:before="240" w:after="64" w:line="320" w:lineRule="auto"/>
      <w:ind w:firstLine="0" w:firstLineChars="0"/>
      <w:outlineLvl w:val="8"/>
    </w:pPr>
    <w:rPr>
      <w:rFonts w:ascii="Cambria" w:hAnsi="Cambria"/>
      <w:szCs w:val="21"/>
      <w:lang w:val="zh-CN"/>
    </w:rPr>
  </w:style>
  <w:style w:type="character" w:default="1" w:styleId="133">
    <w:name w:val="Default Paragraph Font"/>
    <w:semiHidden/>
    <w:unhideWhenUsed/>
    <w:qFormat/>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macro"/>
    <w:link w:val="1831"/>
    <w:autoRedefine/>
    <w:qFormat/>
    <w:uiPriority w:val="9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Times New Roman"/>
      <w:kern w:val="2"/>
      <w:sz w:val="24"/>
      <w:szCs w:val="24"/>
      <w:lang w:val="en-US" w:eastAsia="zh-CN" w:bidi="ar-SA"/>
    </w:rPr>
  </w:style>
  <w:style w:type="paragraph" w:styleId="12">
    <w:name w:val="List 3"/>
    <w:basedOn w:val="1"/>
    <w:next w:val="1"/>
    <w:link w:val="3481"/>
    <w:autoRedefine/>
    <w:qFormat/>
    <w:uiPriority w:val="0"/>
    <w:pPr>
      <w:adjustRightInd/>
      <w:snapToGrid/>
      <w:spacing w:line="240" w:lineRule="auto"/>
      <w:ind w:left="100" w:leftChars="400" w:hanging="200" w:hangingChars="200"/>
      <w:contextualSpacing/>
    </w:pPr>
    <w:rPr>
      <w:sz w:val="21"/>
      <w:szCs w:val="24"/>
    </w:rPr>
  </w:style>
  <w:style w:type="paragraph" w:styleId="13">
    <w:name w:val="toc 7"/>
    <w:basedOn w:val="1"/>
    <w:next w:val="1"/>
    <w:autoRedefine/>
    <w:qFormat/>
    <w:uiPriority w:val="39"/>
    <w:pPr>
      <w:ind w:left="1440"/>
      <w:jc w:val="left"/>
    </w:pPr>
    <w:rPr>
      <w:rFonts w:ascii="Calibri" w:hAnsi="Calibri"/>
      <w:sz w:val="18"/>
      <w:szCs w:val="18"/>
    </w:rPr>
  </w:style>
  <w:style w:type="paragraph" w:styleId="14">
    <w:name w:val="List Number 2"/>
    <w:basedOn w:val="1"/>
    <w:autoRedefine/>
    <w:qFormat/>
    <w:uiPriority w:val="0"/>
    <w:pPr>
      <w:numPr>
        <w:ilvl w:val="0"/>
        <w:numId w:val="2"/>
      </w:numPr>
      <w:spacing w:beforeLines="10" w:line="460" w:lineRule="exact"/>
    </w:pPr>
    <w:rPr>
      <w:snapToGrid w:val="0"/>
      <w:kern w:val="0"/>
      <w:szCs w:val="24"/>
    </w:rPr>
  </w:style>
  <w:style w:type="paragraph" w:styleId="15">
    <w:name w:val="table of authorities"/>
    <w:basedOn w:val="1"/>
    <w:next w:val="1"/>
    <w:autoRedefine/>
    <w:qFormat/>
    <w:uiPriority w:val="0"/>
    <w:pPr>
      <w:adjustRightInd/>
      <w:snapToGrid/>
      <w:spacing w:line="240" w:lineRule="auto"/>
      <w:ind w:firstLine="0" w:firstLineChars="0"/>
    </w:pPr>
    <w:rPr>
      <w:rFonts w:ascii="宋体"/>
      <w:sz w:val="28"/>
    </w:rPr>
  </w:style>
  <w:style w:type="paragraph" w:styleId="16">
    <w:name w:val="Note Heading"/>
    <w:basedOn w:val="1"/>
    <w:next w:val="1"/>
    <w:link w:val="172"/>
    <w:autoRedefine/>
    <w:qFormat/>
    <w:uiPriority w:val="0"/>
    <w:pPr>
      <w:adjustRightInd/>
      <w:snapToGrid/>
      <w:spacing w:line="240" w:lineRule="auto"/>
      <w:ind w:firstLine="0" w:firstLineChars="0"/>
      <w:jc w:val="center"/>
    </w:pPr>
    <w:rPr>
      <w:kern w:val="0"/>
      <w:sz w:val="21"/>
      <w:lang w:val="zh-CN"/>
    </w:rPr>
  </w:style>
  <w:style w:type="paragraph" w:styleId="17">
    <w:name w:val="List Bullet 4"/>
    <w:basedOn w:val="1"/>
    <w:autoRedefine/>
    <w:qFormat/>
    <w:uiPriority w:val="0"/>
    <w:pPr>
      <w:numPr>
        <w:ilvl w:val="0"/>
        <w:numId w:val="3"/>
      </w:numPr>
      <w:spacing w:beforeLines="10" w:line="460" w:lineRule="exact"/>
    </w:pPr>
    <w:rPr>
      <w:snapToGrid w:val="0"/>
      <w:kern w:val="0"/>
      <w:szCs w:val="24"/>
    </w:rPr>
  </w:style>
  <w:style w:type="paragraph" w:styleId="18">
    <w:name w:val="index 8"/>
    <w:basedOn w:val="1"/>
    <w:next w:val="1"/>
    <w:autoRedefine/>
    <w:qFormat/>
    <w:uiPriority w:val="0"/>
    <w:pPr>
      <w:adjustRightInd/>
      <w:snapToGrid/>
      <w:spacing w:line="300" w:lineRule="auto"/>
      <w:ind w:left="1400" w:leftChars="1400" w:firstLine="0" w:firstLineChars="0"/>
    </w:pPr>
    <w:rPr>
      <w:rFonts w:ascii="Arial Narrow" w:hAnsi="Arial Narrow" w:eastAsia="仿宋_GB2312"/>
      <w:szCs w:val="24"/>
    </w:rPr>
  </w:style>
  <w:style w:type="paragraph" w:styleId="19">
    <w:name w:val="E-mail Signature"/>
    <w:basedOn w:val="1"/>
    <w:link w:val="1709"/>
    <w:autoRedefine/>
    <w:qFormat/>
    <w:uiPriority w:val="0"/>
    <w:pPr>
      <w:widowControl/>
      <w:adjustRightInd/>
      <w:snapToGrid/>
      <w:spacing w:line="440" w:lineRule="exact"/>
    </w:pPr>
    <w:rPr>
      <w:rFonts w:ascii="Calibri" w:hAnsi="Calibri"/>
      <w:kern w:val="0"/>
      <w:szCs w:val="22"/>
      <w:lang w:val="zh-CN" w:eastAsia="en-US" w:bidi="en-US"/>
    </w:rPr>
  </w:style>
  <w:style w:type="paragraph" w:styleId="20">
    <w:name w:val="List Number"/>
    <w:basedOn w:val="1"/>
    <w:autoRedefine/>
    <w:qFormat/>
    <w:uiPriority w:val="0"/>
    <w:pPr>
      <w:widowControl/>
      <w:tabs>
        <w:tab w:val="left" w:pos="360"/>
      </w:tabs>
      <w:adjustRightInd/>
      <w:snapToGrid/>
      <w:spacing w:line="440" w:lineRule="exact"/>
      <w:ind w:left="360" w:hanging="360" w:hangingChars="200"/>
    </w:pPr>
    <w:rPr>
      <w:rFonts w:ascii="宋体" w:hAnsi="Calibri"/>
      <w:kern w:val="0"/>
    </w:rPr>
  </w:style>
  <w:style w:type="paragraph" w:styleId="21">
    <w:name w:val="Normal Indent"/>
    <w:basedOn w:val="1"/>
    <w:link w:val="179"/>
    <w:autoRedefine/>
    <w:qFormat/>
    <w:uiPriority w:val="0"/>
    <w:pPr>
      <w:adjustRightInd/>
      <w:snapToGrid/>
      <w:spacing w:line="240" w:lineRule="auto"/>
      <w:ind w:firstLine="420"/>
    </w:pPr>
    <w:rPr>
      <w:rFonts w:ascii="Calibri" w:hAnsi="Calibri"/>
      <w:sz w:val="21"/>
      <w:szCs w:val="24"/>
      <w:lang w:val="zh-CN"/>
    </w:rPr>
  </w:style>
  <w:style w:type="paragraph" w:styleId="22">
    <w:name w:val="caption"/>
    <w:basedOn w:val="1"/>
    <w:next w:val="1"/>
    <w:link w:val="383"/>
    <w:autoRedefine/>
    <w:qFormat/>
    <w:uiPriority w:val="35"/>
    <w:pPr>
      <w:spacing w:before="120"/>
      <w:ind w:firstLine="482"/>
      <w:jc w:val="center"/>
    </w:pPr>
    <w:rPr>
      <w:rFonts w:asciiTheme="majorEastAsia" w:hAnsiTheme="majorEastAsia" w:eastAsiaTheme="majorEastAsia"/>
      <w:b/>
      <w:bCs/>
      <w:szCs w:val="24"/>
      <w:lang w:val="zh-CN"/>
    </w:rPr>
  </w:style>
  <w:style w:type="paragraph" w:styleId="23">
    <w:name w:val="index 5"/>
    <w:basedOn w:val="1"/>
    <w:next w:val="1"/>
    <w:autoRedefine/>
    <w:unhideWhenUsed/>
    <w:qFormat/>
    <w:uiPriority w:val="0"/>
    <w:pPr>
      <w:adjustRightInd/>
      <w:snapToGrid/>
      <w:spacing w:line="360" w:lineRule="auto"/>
      <w:ind w:left="800" w:leftChars="800" w:firstLine="0" w:firstLineChars="0"/>
    </w:pPr>
    <w:rPr>
      <w:sz w:val="28"/>
      <w:szCs w:val="24"/>
    </w:rPr>
  </w:style>
  <w:style w:type="paragraph" w:styleId="24">
    <w:name w:val="List Bullet"/>
    <w:basedOn w:val="1"/>
    <w:autoRedefine/>
    <w:qFormat/>
    <w:uiPriority w:val="0"/>
    <w:pPr>
      <w:adjustRightInd/>
      <w:snapToGrid/>
      <w:spacing w:line="300" w:lineRule="auto"/>
      <w:ind w:left="425" w:hanging="425" w:firstLineChars="0"/>
    </w:pPr>
    <w:rPr>
      <w:szCs w:val="24"/>
    </w:rPr>
  </w:style>
  <w:style w:type="paragraph" w:styleId="25">
    <w:name w:val="envelope address"/>
    <w:basedOn w:val="1"/>
    <w:autoRedefine/>
    <w:qFormat/>
    <w:uiPriority w:val="0"/>
    <w:pPr>
      <w:framePr w:w="7920" w:h="1980" w:hRule="exact" w:hSpace="180" w:wrap="around" w:vAnchor="margin" w:hAnchor="page" w:xAlign="center" w:yAlign="bottom"/>
      <w:spacing w:beforeLines="10" w:line="460" w:lineRule="exact"/>
      <w:ind w:left="100" w:leftChars="1400"/>
    </w:pPr>
    <w:rPr>
      <w:rFonts w:ascii="Arial" w:hAnsi="Arial" w:cs="Arial"/>
      <w:snapToGrid w:val="0"/>
      <w:kern w:val="0"/>
      <w:szCs w:val="24"/>
    </w:rPr>
  </w:style>
  <w:style w:type="paragraph" w:styleId="26">
    <w:name w:val="Document Map"/>
    <w:basedOn w:val="1"/>
    <w:link w:val="173"/>
    <w:autoRedefine/>
    <w:unhideWhenUsed/>
    <w:qFormat/>
    <w:uiPriority w:val="0"/>
    <w:rPr>
      <w:rFonts w:ascii="宋体"/>
      <w:kern w:val="0"/>
      <w:sz w:val="18"/>
      <w:szCs w:val="18"/>
      <w:lang w:val="zh-CN"/>
    </w:rPr>
  </w:style>
  <w:style w:type="paragraph" w:styleId="27">
    <w:name w:val="toa heading"/>
    <w:basedOn w:val="1"/>
    <w:next w:val="1"/>
    <w:autoRedefine/>
    <w:qFormat/>
    <w:uiPriority w:val="0"/>
    <w:pPr>
      <w:snapToGrid/>
      <w:spacing w:before="240" w:after="720"/>
      <w:ind w:firstLine="0" w:firstLineChars="0"/>
      <w:jc w:val="center"/>
      <w:textAlignment w:val="baseline"/>
    </w:pPr>
    <w:rPr>
      <w:rFonts w:ascii="Arial" w:hAnsi="Arial"/>
      <w:b/>
      <w:caps/>
      <w:kern w:val="0"/>
      <w:sz w:val="44"/>
    </w:rPr>
  </w:style>
  <w:style w:type="paragraph" w:styleId="28">
    <w:name w:val="annotation text"/>
    <w:basedOn w:val="1"/>
    <w:link w:val="164"/>
    <w:autoRedefine/>
    <w:unhideWhenUsed/>
    <w:qFormat/>
    <w:uiPriority w:val="0"/>
    <w:pPr>
      <w:jc w:val="left"/>
    </w:pPr>
    <w:rPr>
      <w:kern w:val="0"/>
      <w:lang w:val="zh-CN"/>
    </w:rPr>
  </w:style>
  <w:style w:type="paragraph" w:styleId="29">
    <w:name w:val="index 6"/>
    <w:basedOn w:val="1"/>
    <w:next w:val="1"/>
    <w:autoRedefine/>
    <w:qFormat/>
    <w:uiPriority w:val="0"/>
    <w:pPr>
      <w:widowControl/>
      <w:adjustRightInd/>
      <w:snapToGrid/>
      <w:spacing w:line="440" w:lineRule="exact"/>
      <w:ind w:left="1000" w:leftChars="1000"/>
    </w:pPr>
    <w:rPr>
      <w:rFonts w:ascii="Calibri" w:hAnsi="Calibri"/>
      <w:kern w:val="0"/>
      <w:szCs w:val="22"/>
      <w:lang w:eastAsia="en-US" w:bidi="en-US"/>
    </w:rPr>
  </w:style>
  <w:style w:type="paragraph" w:styleId="30">
    <w:name w:val="Salutation"/>
    <w:basedOn w:val="1"/>
    <w:next w:val="1"/>
    <w:link w:val="1710"/>
    <w:autoRedefine/>
    <w:qFormat/>
    <w:uiPriority w:val="0"/>
    <w:pPr>
      <w:widowControl/>
      <w:adjustRightInd/>
      <w:snapToGrid/>
      <w:spacing w:before="100" w:beforeAutospacing="1" w:after="100" w:afterAutospacing="1" w:line="440" w:lineRule="exact"/>
    </w:pPr>
    <w:rPr>
      <w:rFonts w:ascii="宋体" w:hAnsi="宋体" w:cs="宋体"/>
      <w:kern w:val="0"/>
      <w:szCs w:val="22"/>
      <w:lang w:val="zh-CN" w:eastAsia="en-US" w:bidi="en-US"/>
    </w:rPr>
  </w:style>
  <w:style w:type="paragraph" w:styleId="31">
    <w:name w:val="Body Text 3"/>
    <w:basedOn w:val="1"/>
    <w:link w:val="422"/>
    <w:autoRedefine/>
    <w:qFormat/>
    <w:uiPriority w:val="0"/>
    <w:pPr>
      <w:widowControl/>
      <w:adjustRightInd/>
      <w:snapToGrid/>
      <w:spacing w:after="120" w:line="240" w:lineRule="auto"/>
      <w:ind w:firstLine="0" w:firstLineChars="0"/>
      <w:jc w:val="left"/>
    </w:pPr>
    <w:rPr>
      <w:rFonts w:ascii="宋体" w:hAnsi="宋体"/>
      <w:kern w:val="0"/>
      <w:sz w:val="16"/>
      <w:szCs w:val="16"/>
      <w:lang w:val="zh-CN"/>
    </w:rPr>
  </w:style>
  <w:style w:type="paragraph" w:styleId="32">
    <w:name w:val="Closing"/>
    <w:basedOn w:val="1"/>
    <w:link w:val="1855"/>
    <w:autoRedefine/>
    <w:qFormat/>
    <w:uiPriority w:val="0"/>
    <w:pPr>
      <w:spacing w:beforeLines="10" w:line="460" w:lineRule="exact"/>
      <w:ind w:left="100" w:leftChars="2100"/>
    </w:pPr>
    <w:rPr>
      <w:snapToGrid w:val="0"/>
      <w:kern w:val="0"/>
      <w:szCs w:val="24"/>
      <w:lang w:val="zh-CN"/>
    </w:rPr>
  </w:style>
  <w:style w:type="paragraph" w:styleId="33">
    <w:name w:val="List Bullet 3"/>
    <w:basedOn w:val="1"/>
    <w:link w:val="2000"/>
    <w:autoRedefine/>
    <w:qFormat/>
    <w:uiPriority w:val="0"/>
    <w:pPr>
      <w:widowControl/>
      <w:tabs>
        <w:tab w:val="left" w:pos="1200"/>
      </w:tabs>
      <w:adjustRightInd/>
      <w:snapToGrid/>
      <w:spacing w:line="440" w:lineRule="exact"/>
      <w:ind w:left="1200" w:leftChars="400" w:hanging="360" w:hangingChars="200"/>
    </w:pPr>
    <w:rPr>
      <w:rFonts w:ascii="宋体" w:hAnsi="Calibri"/>
      <w:snapToGrid w:val="0"/>
      <w:kern w:val="28"/>
      <w:sz w:val="26"/>
      <w:szCs w:val="26"/>
    </w:rPr>
  </w:style>
  <w:style w:type="paragraph" w:styleId="34">
    <w:name w:val="Body Text"/>
    <w:basedOn w:val="1"/>
    <w:next w:val="1"/>
    <w:link w:val="167"/>
    <w:autoRedefine/>
    <w:unhideWhenUsed/>
    <w:qFormat/>
    <w:uiPriority w:val="0"/>
    <w:pPr>
      <w:spacing w:after="120"/>
    </w:pPr>
    <w:rPr>
      <w:kern w:val="0"/>
      <w:lang w:val="zh-CN"/>
    </w:rPr>
  </w:style>
  <w:style w:type="paragraph" w:styleId="35">
    <w:name w:val="Body Text Indent"/>
    <w:basedOn w:val="1"/>
    <w:link w:val="168"/>
    <w:autoRedefine/>
    <w:unhideWhenUsed/>
    <w:qFormat/>
    <w:uiPriority w:val="0"/>
    <w:pPr>
      <w:spacing w:after="120"/>
      <w:ind w:left="420" w:leftChars="200"/>
    </w:pPr>
    <w:rPr>
      <w:kern w:val="0"/>
      <w:lang w:val="zh-CN"/>
    </w:rPr>
  </w:style>
  <w:style w:type="paragraph" w:styleId="36">
    <w:name w:val="List Number 3"/>
    <w:basedOn w:val="1"/>
    <w:autoRedefine/>
    <w:qFormat/>
    <w:uiPriority w:val="99"/>
    <w:pPr>
      <w:numPr>
        <w:ilvl w:val="0"/>
        <w:numId w:val="4"/>
      </w:numPr>
      <w:spacing w:beforeLines="10" w:line="460" w:lineRule="exact"/>
    </w:pPr>
    <w:rPr>
      <w:snapToGrid w:val="0"/>
      <w:kern w:val="0"/>
      <w:szCs w:val="24"/>
    </w:rPr>
  </w:style>
  <w:style w:type="paragraph" w:styleId="37">
    <w:name w:val="List 2"/>
    <w:basedOn w:val="1"/>
    <w:autoRedefine/>
    <w:qFormat/>
    <w:uiPriority w:val="0"/>
    <w:pPr>
      <w:adjustRightInd/>
      <w:snapToGrid/>
      <w:spacing w:line="240" w:lineRule="auto"/>
      <w:ind w:left="100" w:leftChars="200" w:hanging="200" w:hangingChars="200"/>
    </w:pPr>
    <w:rPr>
      <w:sz w:val="21"/>
      <w:szCs w:val="24"/>
    </w:rPr>
  </w:style>
  <w:style w:type="paragraph" w:styleId="38">
    <w:name w:val="List Continue"/>
    <w:basedOn w:val="1"/>
    <w:autoRedefine/>
    <w:qFormat/>
    <w:uiPriority w:val="0"/>
    <w:pPr>
      <w:widowControl/>
      <w:adjustRightInd/>
      <w:snapToGrid/>
      <w:spacing w:after="120" w:line="440" w:lineRule="exact"/>
      <w:ind w:left="420" w:leftChars="200"/>
    </w:pPr>
    <w:rPr>
      <w:rFonts w:ascii="Calibri" w:hAnsi="Calibri"/>
      <w:kern w:val="0"/>
      <w:szCs w:val="22"/>
      <w:lang w:eastAsia="en-US" w:bidi="en-US"/>
    </w:rPr>
  </w:style>
  <w:style w:type="paragraph" w:styleId="39">
    <w:name w:val="Block Text"/>
    <w:basedOn w:val="1"/>
    <w:link w:val="828"/>
    <w:autoRedefine/>
    <w:qFormat/>
    <w:uiPriority w:val="0"/>
    <w:pPr>
      <w:adjustRightInd/>
      <w:snapToGrid/>
      <w:spacing w:line="360" w:lineRule="auto"/>
      <w:ind w:left="720" w:right="-334" w:hanging="720" w:firstLineChars="0"/>
    </w:pPr>
    <w:rPr>
      <w:lang w:val="zh-CN"/>
    </w:rPr>
  </w:style>
  <w:style w:type="paragraph" w:styleId="40">
    <w:name w:val="List Bullet 2"/>
    <w:basedOn w:val="1"/>
    <w:autoRedefine/>
    <w:qFormat/>
    <w:uiPriority w:val="0"/>
    <w:pPr>
      <w:numPr>
        <w:ilvl w:val="0"/>
        <w:numId w:val="5"/>
      </w:numPr>
      <w:adjustRightInd/>
      <w:snapToGrid/>
    </w:pPr>
    <w:rPr>
      <w:sz w:val="26"/>
      <w:szCs w:val="24"/>
    </w:rPr>
  </w:style>
  <w:style w:type="paragraph" w:styleId="41">
    <w:name w:val="HTML Address"/>
    <w:basedOn w:val="1"/>
    <w:link w:val="1854"/>
    <w:autoRedefine/>
    <w:qFormat/>
    <w:uiPriority w:val="0"/>
    <w:pPr>
      <w:spacing w:beforeLines="10" w:line="460" w:lineRule="exact"/>
    </w:pPr>
    <w:rPr>
      <w:i/>
      <w:iCs/>
      <w:snapToGrid w:val="0"/>
      <w:kern w:val="0"/>
      <w:szCs w:val="24"/>
      <w:lang w:val="zh-CN"/>
    </w:rPr>
  </w:style>
  <w:style w:type="paragraph" w:styleId="42">
    <w:name w:val="index 4"/>
    <w:basedOn w:val="1"/>
    <w:next w:val="1"/>
    <w:autoRedefine/>
    <w:qFormat/>
    <w:uiPriority w:val="0"/>
    <w:pPr>
      <w:adjustRightInd/>
      <w:snapToGrid/>
      <w:spacing w:line="300" w:lineRule="auto"/>
      <w:ind w:left="600" w:leftChars="600" w:firstLine="0" w:firstLineChars="0"/>
    </w:pPr>
    <w:rPr>
      <w:rFonts w:ascii="Arial Narrow" w:hAnsi="Arial Narrow" w:eastAsia="仿宋_GB2312"/>
      <w:szCs w:val="24"/>
    </w:rPr>
  </w:style>
  <w:style w:type="paragraph" w:styleId="43">
    <w:name w:val="toc 5"/>
    <w:basedOn w:val="1"/>
    <w:next w:val="1"/>
    <w:autoRedefine/>
    <w:qFormat/>
    <w:uiPriority w:val="39"/>
    <w:pPr>
      <w:ind w:left="960"/>
      <w:jc w:val="left"/>
    </w:pPr>
    <w:rPr>
      <w:rFonts w:ascii="Calibri" w:hAnsi="Calibri"/>
      <w:sz w:val="18"/>
      <w:szCs w:val="18"/>
    </w:rPr>
  </w:style>
  <w:style w:type="paragraph" w:styleId="44">
    <w:name w:val="toc 3"/>
    <w:basedOn w:val="1"/>
    <w:next w:val="1"/>
    <w:autoRedefine/>
    <w:qFormat/>
    <w:uiPriority w:val="39"/>
    <w:pPr>
      <w:ind w:left="480"/>
      <w:jc w:val="left"/>
    </w:pPr>
    <w:rPr>
      <w:rFonts w:ascii="Calibri" w:hAnsi="Calibri"/>
      <w:i/>
      <w:iCs/>
      <w:sz w:val="20"/>
    </w:rPr>
  </w:style>
  <w:style w:type="paragraph" w:styleId="45">
    <w:name w:val="Plain Text"/>
    <w:basedOn w:val="1"/>
    <w:link w:val="347"/>
    <w:autoRedefine/>
    <w:qFormat/>
    <w:uiPriority w:val="99"/>
    <w:pPr>
      <w:adjustRightInd/>
      <w:snapToGrid/>
      <w:spacing w:line="240" w:lineRule="auto"/>
      <w:ind w:firstLine="0" w:firstLineChars="0"/>
    </w:pPr>
    <w:rPr>
      <w:rFonts w:ascii="宋体" w:hAnsi="Courier New"/>
      <w:sz w:val="21"/>
      <w:lang w:val="zh-CN"/>
    </w:rPr>
  </w:style>
  <w:style w:type="paragraph" w:styleId="46">
    <w:name w:val="List Bullet 5"/>
    <w:basedOn w:val="1"/>
    <w:autoRedefine/>
    <w:qFormat/>
    <w:uiPriority w:val="0"/>
    <w:pPr>
      <w:numPr>
        <w:ilvl w:val="0"/>
        <w:numId w:val="6"/>
      </w:numPr>
      <w:spacing w:beforeLines="10" w:line="460" w:lineRule="exact"/>
    </w:pPr>
    <w:rPr>
      <w:snapToGrid w:val="0"/>
      <w:kern w:val="0"/>
      <w:szCs w:val="24"/>
    </w:rPr>
  </w:style>
  <w:style w:type="paragraph" w:styleId="47">
    <w:name w:val="List Number 4"/>
    <w:basedOn w:val="1"/>
    <w:autoRedefine/>
    <w:qFormat/>
    <w:uiPriority w:val="0"/>
    <w:pPr>
      <w:numPr>
        <w:ilvl w:val="0"/>
        <w:numId w:val="7"/>
      </w:numPr>
      <w:spacing w:beforeLines="10" w:line="460" w:lineRule="exact"/>
    </w:pPr>
    <w:rPr>
      <w:snapToGrid w:val="0"/>
      <w:kern w:val="0"/>
      <w:szCs w:val="24"/>
    </w:rPr>
  </w:style>
  <w:style w:type="paragraph" w:styleId="48">
    <w:name w:val="toc 8"/>
    <w:basedOn w:val="1"/>
    <w:next w:val="1"/>
    <w:autoRedefine/>
    <w:qFormat/>
    <w:uiPriority w:val="39"/>
    <w:pPr>
      <w:ind w:left="1680"/>
      <w:jc w:val="left"/>
    </w:pPr>
    <w:rPr>
      <w:rFonts w:ascii="Calibri" w:hAnsi="Calibri"/>
      <w:sz w:val="18"/>
      <w:szCs w:val="18"/>
    </w:rPr>
  </w:style>
  <w:style w:type="paragraph" w:styleId="49">
    <w:name w:val="index 3"/>
    <w:basedOn w:val="1"/>
    <w:next w:val="1"/>
    <w:autoRedefine/>
    <w:qFormat/>
    <w:uiPriority w:val="0"/>
    <w:pPr>
      <w:widowControl/>
      <w:adjustRightInd/>
      <w:snapToGrid/>
      <w:spacing w:line="360" w:lineRule="auto"/>
      <w:ind w:firstLine="0" w:firstLineChars="0"/>
      <w:jc w:val="center"/>
    </w:pPr>
    <w:rPr>
      <w:rFonts w:ascii="仿宋_GB2312" w:hAnsi="宋体" w:eastAsia="仿宋_GB2312" w:cs="宋体"/>
      <w:color w:val="FF0000"/>
      <w:kern w:val="0"/>
      <w:sz w:val="28"/>
      <w:szCs w:val="24"/>
    </w:rPr>
  </w:style>
  <w:style w:type="paragraph" w:styleId="50">
    <w:name w:val="Date"/>
    <w:basedOn w:val="1"/>
    <w:next w:val="1"/>
    <w:link w:val="169"/>
    <w:autoRedefine/>
    <w:qFormat/>
    <w:uiPriority w:val="0"/>
    <w:pPr>
      <w:ind w:left="100" w:leftChars="2500"/>
    </w:pPr>
    <w:rPr>
      <w:kern w:val="0"/>
      <w:szCs w:val="21"/>
      <w:lang w:val="zh-CN"/>
    </w:rPr>
  </w:style>
  <w:style w:type="paragraph" w:styleId="51">
    <w:name w:val="Body Text Indent 2"/>
    <w:basedOn w:val="1"/>
    <w:next w:val="1"/>
    <w:link w:val="278"/>
    <w:autoRedefine/>
    <w:qFormat/>
    <w:uiPriority w:val="0"/>
    <w:pPr>
      <w:adjustRightInd/>
      <w:snapToGrid/>
      <w:spacing w:after="120" w:line="480" w:lineRule="auto"/>
      <w:ind w:left="420" w:leftChars="200" w:firstLine="0" w:firstLineChars="0"/>
    </w:pPr>
    <w:rPr>
      <w:sz w:val="21"/>
      <w:szCs w:val="24"/>
      <w:lang w:val="zh-CN"/>
    </w:rPr>
  </w:style>
  <w:style w:type="paragraph" w:styleId="52">
    <w:name w:val="endnote text"/>
    <w:basedOn w:val="1"/>
    <w:link w:val="520"/>
    <w:autoRedefine/>
    <w:qFormat/>
    <w:uiPriority w:val="0"/>
    <w:pPr>
      <w:adjustRightInd/>
      <w:spacing w:line="240" w:lineRule="auto"/>
      <w:ind w:firstLine="0" w:firstLineChars="0"/>
      <w:jc w:val="left"/>
    </w:pPr>
    <w:rPr>
      <w:sz w:val="21"/>
      <w:szCs w:val="24"/>
      <w:lang w:val="zh-CN"/>
    </w:rPr>
  </w:style>
  <w:style w:type="paragraph" w:styleId="53">
    <w:name w:val="List Continue 5"/>
    <w:basedOn w:val="1"/>
    <w:autoRedefine/>
    <w:qFormat/>
    <w:uiPriority w:val="0"/>
    <w:pPr>
      <w:spacing w:after="120" w:line="348" w:lineRule="auto"/>
      <w:ind w:left="2100" w:leftChars="1000" w:firstLine="0" w:firstLineChars="0"/>
    </w:pPr>
    <w:rPr>
      <w:snapToGrid w:val="0"/>
      <w:kern w:val="0"/>
      <w:sz w:val="28"/>
      <w:szCs w:val="24"/>
    </w:rPr>
  </w:style>
  <w:style w:type="paragraph" w:styleId="54">
    <w:name w:val="Balloon Text"/>
    <w:basedOn w:val="1"/>
    <w:link w:val="175"/>
    <w:autoRedefine/>
    <w:unhideWhenUsed/>
    <w:qFormat/>
    <w:uiPriority w:val="0"/>
    <w:pPr>
      <w:spacing w:line="240" w:lineRule="auto"/>
    </w:pPr>
    <w:rPr>
      <w:kern w:val="0"/>
      <w:sz w:val="18"/>
      <w:szCs w:val="18"/>
      <w:lang w:val="zh-CN"/>
    </w:rPr>
  </w:style>
  <w:style w:type="paragraph" w:styleId="55">
    <w:name w:val="footer"/>
    <w:basedOn w:val="1"/>
    <w:link w:val="166"/>
    <w:autoRedefine/>
    <w:unhideWhenUsed/>
    <w:qFormat/>
    <w:uiPriority w:val="0"/>
    <w:pPr>
      <w:tabs>
        <w:tab w:val="center" w:pos="4153"/>
        <w:tab w:val="right" w:pos="8306"/>
      </w:tabs>
      <w:spacing w:line="240" w:lineRule="auto"/>
      <w:jc w:val="left"/>
    </w:pPr>
    <w:rPr>
      <w:kern w:val="0"/>
      <w:sz w:val="18"/>
      <w:szCs w:val="18"/>
      <w:lang w:val="zh-CN"/>
    </w:rPr>
  </w:style>
  <w:style w:type="paragraph" w:styleId="56">
    <w:name w:val="envelope return"/>
    <w:basedOn w:val="1"/>
    <w:autoRedefine/>
    <w:qFormat/>
    <w:uiPriority w:val="0"/>
    <w:pPr>
      <w:spacing w:beforeLines="10" w:line="460" w:lineRule="exact"/>
    </w:pPr>
    <w:rPr>
      <w:rFonts w:ascii="Arial" w:hAnsi="Arial" w:cs="Arial"/>
      <w:snapToGrid w:val="0"/>
      <w:kern w:val="0"/>
      <w:szCs w:val="24"/>
    </w:rPr>
  </w:style>
  <w:style w:type="paragraph" w:styleId="57">
    <w:name w:val="header"/>
    <w:basedOn w:val="1"/>
    <w:link w:val="165"/>
    <w:autoRedefine/>
    <w:unhideWhenUsed/>
    <w:qFormat/>
    <w:uiPriority w:val="0"/>
    <w:pPr>
      <w:pBdr>
        <w:bottom w:val="single" w:color="auto" w:sz="6" w:space="1"/>
      </w:pBdr>
      <w:tabs>
        <w:tab w:val="center" w:pos="4153"/>
        <w:tab w:val="right" w:pos="8306"/>
      </w:tabs>
      <w:spacing w:line="240" w:lineRule="auto"/>
      <w:jc w:val="center"/>
    </w:pPr>
    <w:rPr>
      <w:kern w:val="0"/>
      <w:sz w:val="18"/>
      <w:szCs w:val="18"/>
      <w:lang w:val="zh-CN"/>
    </w:rPr>
  </w:style>
  <w:style w:type="paragraph" w:styleId="58">
    <w:name w:val="Signature"/>
    <w:basedOn w:val="1"/>
    <w:link w:val="1856"/>
    <w:autoRedefine/>
    <w:qFormat/>
    <w:uiPriority w:val="0"/>
    <w:pPr>
      <w:spacing w:beforeLines="10" w:line="460" w:lineRule="exact"/>
      <w:ind w:left="100" w:leftChars="2100"/>
    </w:pPr>
    <w:rPr>
      <w:snapToGrid w:val="0"/>
      <w:kern w:val="0"/>
      <w:szCs w:val="24"/>
      <w:lang w:val="zh-CN"/>
    </w:rPr>
  </w:style>
  <w:style w:type="paragraph" w:styleId="59">
    <w:name w:val="toc 1"/>
    <w:basedOn w:val="1"/>
    <w:next w:val="1"/>
    <w:autoRedefine/>
    <w:unhideWhenUsed/>
    <w:qFormat/>
    <w:uiPriority w:val="39"/>
    <w:pPr>
      <w:tabs>
        <w:tab w:val="left" w:pos="960"/>
        <w:tab w:val="right" w:leader="dot" w:pos="9060"/>
      </w:tabs>
      <w:spacing w:line="360" w:lineRule="auto"/>
      <w:ind w:firstLine="482" w:firstLineChars="0"/>
      <w:jc w:val="left"/>
    </w:pPr>
    <w:rPr>
      <w:rFonts w:ascii="Calibri" w:hAnsi="Calibri"/>
      <w:b/>
      <w:bCs/>
      <w:caps/>
    </w:rPr>
  </w:style>
  <w:style w:type="paragraph" w:styleId="60">
    <w:name w:val="List Continue 4"/>
    <w:basedOn w:val="1"/>
    <w:autoRedefine/>
    <w:qFormat/>
    <w:uiPriority w:val="0"/>
    <w:pPr>
      <w:spacing w:beforeLines="10" w:after="120" w:line="460" w:lineRule="exact"/>
      <w:ind w:left="1680" w:leftChars="800"/>
    </w:pPr>
    <w:rPr>
      <w:snapToGrid w:val="0"/>
      <w:kern w:val="0"/>
      <w:szCs w:val="24"/>
    </w:rPr>
  </w:style>
  <w:style w:type="paragraph" w:styleId="61">
    <w:name w:val="toc 4"/>
    <w:basedOn w:val="1"/>
    <w:next w:val="1"/>
    <w:autoRedefine/>
    <w:qFormat/>
    <w:uiPriority w:val="39"/>
    <w:pPr>
      <w:ind w:left="720"/>
      <w:jc w:val="left"/>
    </w:pPr>
    <w:rPr>
      <w:rFonts w:ascii="Calibri" w:hAnsi="Calibri"/>
      <w:sz w:val="18"/>
      <w:szCs w:val="18"/>
    </w:rPr>
  </w:style>
  <w:style w:type="paragraph" w:styleId="62">
    <w:name w:val="index heading"/>
    <w:basedOn w:val="1"/>
    <w:next w:val="63"/>
    <w:autoRedefine/>
    <w:qFormat/>
    <w:uiPriority w:val="0"/>
    <w:pPr>
      <w:adjustRightInd/>
      <w:snapToGrid/>
      <w:spacing w:line="240" w:lineRule="auto"/>
      <w:ind w:firstLine="0" w:firstLineChars="0"/>
    </w:pPr>
    <w:rPr>
      <w:sz w:val="21"/>
      <w:szCs w:val="24"/>
    </w:rPr>
  </w:style>
  <w:style w:type="paragraph" w:styleId="63">
    <w:name w:val="index 1"/>
    <w:basedOn w:val="1"/>
    <w:next w:val="1"/>
    <w:autoRedefine/>
    <w:unhideWhenUsed/>
    <w:qFormat/>
    <w:uiPriority w:val="0"/>
    <w:pPr>
      <w:ind w:firstLine="0"/>
    </w:pPr>
  </w:style>
  <w:style w:type="paragraph" w:styleId="64">
    <w:name w:val="Subtitle"/>
    <w:basedOn w:val="1"/>
    <w:next w:val="1"/>
    <w:link w:val="458"/>
    <w:autoRedefine/>
    <w:qFormat/>
    <w:uiPriority w:val="0"/>
    <w:pPr>
      <w:adjustRightInd/>
      <w:snapToGrid/>
      <w:spacing w:before="240" w:after="60" w:line="312" w:lineRule="auto"/>
      <w:ind w:firstLine="0" w:firstLineChars="0"/>
      <w:jc w:val="center"/>
      <w:outlineLvl w:val="1"/>
    </w:pPr>
    <w:rPr>
      <w:rFonts w:ascii="Cambria" w:hAnsi="Cambria"/>
      <w:b/>
      <w:bCs/>
      <w:kern w:val="28"/>
      <w:sz w:val="32"/>
      <w:szCs w:val="32"/>
      <w:lang w:val="zh-CN"/>
    </w:rPr>
  </w:style>
  <w:style w:type="paragraph" w:styleId="65">
    <w:name w:val="List Number 5"/>
    <w:basedOn w:val="1"/>
    <w:autoRedefine/>
    <w:qFormat/>
    <w:uiPriority w:val="0"/>
    <w:pPr>
      <w:widowControl/>
      <w:tabs>
        <w:tab w:val="left" w:pos="720"/>
      </w:tabs>
      <w:adjustRightInd/>
      <w:snapToGrid/>
      <w:spacing w:line="440" w:lineRule="exact"/>
      <w:ind w:left="720" w:hanging="360"/>
      <w:contextualSpacing/>
    </w:pPr>
    <w:rPr>
      <w:rFonts w:ascii="Calibri" w:hAnsi="Calibri"/>
      <w:kern w:val="0"/>
      <w:szCs w:val="22"/>
      <w:lang w:eastAsia="en-US" w:bidi="en-US"/>
    </w:rPr>
  </w:style>
  <w:style w:type="paragraph" w:styleId="66">
    <w:name w:val="List"/>
    <w:basedOn w:val="1"/>
    <w:link w:val="500"/>
    <w:autoRedefine/>
    <w:qFormat/>
    <w:uiPriority w:val="0"/>
    <w:pPr>
      <w:adjustRightInd/>
      <w:snapToGrid/>
      <w:spacing w:line="240" w:lineRule="auto"/>
    </w:pPr>
    <w:rPr>
      <w:b/>
      <w:szCs w:val="24"/>
      <w:lang w:val="zh-CN"/>
    </w:rPr>
  </w:style>
  <w:style w:type="paragraph" w:styleId="67">
    <w:name w:val="footnote text"/>
    <w:basedOn w:val="1"/>
    <w:link w:val="722"/>
    <w:autoRedefine/>
    <w:qFormat/>
    <w:uiPriority w:val="0"/>
    <w:pPr>
      <w:widowControl/>
      <w:adjustRightInd/>
      <w:spacing w:line="440" w:lineRule="exact"/>
    </w:pPr>
    <w:rPr>
      <w:rFonts w:ascii="Calibri" w:hAnsi="Calibri"/>
      <w:kern w:val="0"/>
      <w:sz w:val="18"/>
      <w:szCs w:val="18"/>
      <w:lang w:val="zh-CN" w:eastAsia="en-US"/>
    </w:rPr>
  </w:style>
  <w:style w:type="paragraph" w:styleId="68">
    <w:name w:val="toc 6"/>
    <w:basedOn w:val="1"/>
    <w:next w:val="1"/>
    <w:autoRedefine/>
    <w:qFormat/>
    <w:uiPriority w:val="39"/>
    <w:pPr>
      <w:ind w:left="1200"/>
      <w:jc w:val="left"/>
    </w:pPr>
    <w:rPr>
      <w:rFonts w:ascii="Calibri" w:hAnsi="Calibri"/>
      <w:sz w:val="18"/>
      <w:szCs w:val="18"/>
    </w:rPr>
  </w:style>
  <w:style w:type="paragraph" w:styleId="69">
    <w:name w:val="List 5"/>
    <w:basedOn w:val="1"/>
    <w:autoRedefine/>
    <w:qFormat/>
    <w:uiPriority w:val="0"/>
    <w:pPr>
      <w:widowControl/>
      <w:snapToGrid/>
      <w:spacing w:line="360" w:lineRule="atLeast"/>
      <w:ind w:left="2100" w:hanging="420"/>
      <w:textAlignment w:val="baseline"/>
    </w:pPr>
    <w:rPr>
      <w:rFonts w:ascii="Calibri" w:hAnsi="Calibri"/>
      <w:kern w:val="0"/>
      <w:lang w:eastAsia="en-US" w:bidi="en-US"/>
    </w:rPr>
  </w:style>
  <w:style w:type="paragraph" w:styleId="70">
    <w:name w:val="Body Text Indent 3"/>
    <w:basedOn w:val="1"/>
    <w:link w:val="280"/>
    <w:autoRedefine/>
    <w:qFormat/>
    <w:uiPriority w:val="0"/>
    <w:pPr>
      <w:adjustRightInd/>
      <w:snapToGrid/>
      <w:spacing w:after="120" w:line="240" w:lineRule="auto"/>
      <w:ind w:left="420" w:leftChars="200" w:firstLine="0" w:firstLineChars="0"/>
    </w:pPr>
    <w:rPr>
      <w:sz w:val="16"/>
      <w:szCs w:val="16"/>
      <w:lang w:val="zh-CN"/>
    </w:rPr>
  </w:style>
  <w:style w:type="paragraph" w:styleId="71">
    <w:name w:val="index 7"/>
    <w:basedOn w:val="1"/>
    <w:next w:val="1"/>
    <w:autoRedefine/>
    <w:qFormat/>
    <w:uiPriority w:val="0"/>
    <w:pPr>
      <w:adjustRightInd/>
      <w:snapToGrid/>
      <w:spacing w:line="300" w:lineRule="auto"/>
      <w:ind w:left="1200" w:leftChars="1200" w:firstLine="0" w:firstLineChars="0"/>
    </w:pPr>
    <w:rPr>
      <w:rFonts w:ascii="Arial Narrow" w:hAnsi="Arial Narrow" w:eastAsia="仿宋_GB2312"/>
      <w:szCs w:val="24"/>
    </w:rPr>
  </w:style>
  <w:style w:type="paragraph" w:styleId="72">
    <w:name w:val="index 9"/>
    <w:basedOn w:val="1"/>
    <w:next w:val="1"/>
    <w:autoRedefine/>
    <w:qFormat/>
    <w:uiPriority w:val="0"/>
    <w:pPr>
      <w:adjustRightInd/>
      <w:snapToGrid/>
      <w:spacing w:line="300" w:lineRule="auto"/>
      <w:ind w:left="1600" w:leftChars="1600" w:firstLine="0" w:firstLineChars="0"/>
    </w:pPr>
    <w:rPr>
      <w:rFonts w:ascii="Arial Narrow" w:hAnsi="Arial Narrow" w:eastAsia="仿宋_GB2312"/>
      <w:szCs w:val="24"/>
    </w:rPr>
  </w:style>
  <w:style w:type="paragraph" w:styleId="73">
    <w:name w:val="table of figures"/>
    <w:basedOn w:val="1"/>
    <w:next w:val="1"/>
    <w:autoRedefine/>
    <w:qFormat/>
    <w:uiPriority w:val="0"/>
    <w:pPr>
      <w:topLinePunct/>
      <w:adjustRightInd/>
      <w:snapToGrid/>
      <w:spacing w:line="240" w:lineRule="exact"/>
      <w:ind w:firstLine="0" w:firstLineChars="0"/>
    </w:pPr>
    <w:rPr>
      <w:rFonts w:ascii="宋体" w:hAnsi="宋体"/>
      <w:sz w:val="21"/>
      <w:szCs w:val="21"/>
    </w:rPr>
  </w:style>
  <w:style w:type="paragraph" w:styleId="74">
    <w:name w:val="toc 2"/>
    <w:basedOn w:val="1"/>
    <w:next w:val="1"/>
    <w:autoRedefine/>
    <w:unhideWhenUsed/>
    <w:qFormat/>
    <w:uiPriority w:val="39"/>
    <w:pPr>
      <w:tabs>
        <w:tab w:val="left" w:pos="1200"/>
        <w:tab w:val="right" w:leader="dot" w:pos="9060"/>
      </w:tabs>
      <w:spacing w:line="312" w:lineRule="auto"/>
      <w:ind w:left="238"/>
      <w:jc w:val="left"/>
    </w:pPr>
    <w:rPr>
      <w:rFonts w:ascii="Calibri" w:hAnsi="Calibri"/>
      <w:smallCaps/>
    </w:rPr>
  </w:style>
  <w:style w:type="paragraph" w:styleId="75">
    <w:name w:val="toc 9"/>
    <w:basedOn w:val="1"/>
    <w:next w:val="1"/>
    <w:autoRedefine/>
    <w:qFormat/>
    <w:uiPriority w:val="39"/>
    <w:pPr>
      <w:ind w:left="1920"/>
      <w:jc w:val="left"/>
    </w:pPr>
    <w:rPr>
      <w:rFonts w:ascii="Calibri" w:hAnsi="Calibri"/>
      <w:sz w:val="18"/>
      <w:szCs w:val="18"/>
    </w:rPr>
  </w:style>
  <w:style w:type="paragraph" w:styleId="76">
    <w:name w:val="Body Text 2"/>
    <w:basedOn w:val="1"/>
    <w:link w:val="297"/>
    <w:autoRedefine/>
    <w:qFormat/>
    <w:uiPriority w:val="0"/>
    <w:pPr>
      <w:adjustRightInd/>
      <w:snapToGrid/>
      <w:spacing w:after="120" w:line="480" w:lineRule="auto"/>
      <w:ind w:firstLine="0" w:firstLineChars="0"/>
    </w:pPr>
    <w:rPr>
      <w:sz w:val="21"/>
      <w:szCs w:val="24"/>
      <w:lang w:val="zh-CN"/>
    </w:rPr>
  </w:style>
  <w:style w:type="paragraph" w:styleId="77">
    <w:name w:val="List 4"/>
    <w:basedOn w:val="1"/>
    <w:autoRedefine/>
    <w:qFormat/>
    <w:uiPriority w:val="0"/>
    <w:pPr>
      <w:widowControl/>
      <w:adjustRightInd/>
      <w:snapToGrid/>
      <w:spacing w:line="440" w:lineRule="exact"/>
      <w:ind w:left="100" w:leftChars="600" w:hanging="200" w:hangingChars="200"/>
    </w:pPr>
    <w:rPr>
      <w:rFonts w:ascii="Calibri" w:hAnsi="Calibri"/>
      <w:snapToGrid w:val="0"/>
      <w:kern w:val="28"/>
      <w:sz w:val="26"/>
      <w:szCs w:val="26"/>
      <w:lang w:eastAsia="en-US" w:bidi="en-US"/>
    </w:rPr>
  </w:style>
  <w:style w:type="paragraph" w:styleId="78">
    <w:name w:val="List Continue 2"/>
    <w:basedOn w:val="1"/>
    <w:autoRedefine/>
    <w:qFormat/>
    <w:uiPriority w:val="0"/>
    <w:pPr>
      <w:widowControl/>
      <w:spacing w:line="344" w:lineRule="atLeast"/>
      <w:textAlignment w:val="baseline"/>
    </w:pPr>
    <w:rPr>
      <w:rFonts w:ascii="Calibri" w:hAnsi="Calibri"/>
      <w:kern w:val="0"/>
      <w:sz w:val="28"/>
      <w:lang w:eastAsia="en-US" w:bidi="en-US"/>
    </w:rPr>
  </w:style>
  <w:style w:type="paragraph" w:styleId="79">
    <w:name w:val="Message Header"/>
    <w:basedOn w:val="1"/>
    <w:link w:val="1857"/>
    <w:autoRedefine/>
    <w:qFormat/>
    <w:uiPriority w:val="0"/>
    <w:pPr>
      <w:pBdr>
        <w:top w:val="single" w:color="auto" w:sz="6" w:space="1"/>
        <w:left w:val="single" w:color="auto" w:sz="6" w:space="1"/>
        <w:bottom w:val="single" w:color="auto" w:sz="6" w:space="1"/>
        <w:right w:val="single" w:color="auto" w:sz="6" w:space="1"/>
      </w:pBdr>
      <w:shd w:val="pct20" w:color="auto" w:fill="auto"/>
      <w:spacing w:beforeLines="10" w:line="460" w:lineRule="exact"/>
      <w:ind w:left="1080" w:leftChars="500" w:hanging="1080" w:hangingChars="500"/>
    </w:pPr>
    <w:rPr>
      <w:rFonts w:ascii="Arial" w:hAnsi="Arial"/>
      <w:snapToGrid w:val="0"/>
      <w:kern w:val="0"/>
      <w:szCs w:val="24"/>
      <w:lang w:val="zh-CN"/>
    </w:rPr>
  </w:style>
  <w:style w:type="paragraph" w:styleId="80">
    <w:name w:val="HTML Preformatted"/>
    <w:basedOn w:val="1"/>
    <w:link w:val="369"/>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line="240" w:lineRule="auto"/>
      <w:ind w:firstLine="0" w:firstLineChars="0"/>
      <w:jc w:val="left"/>
    </w:pPr>
    <w:rPr>
      <w:rFonts w:ascii="宋体" w:hAnsi="宋体"/>
      <w:kern w:val="0"/>
      <w:szCs w:val="24"/>
      <w:lang w:val="zh-CN"/>
    </w:rPr>
  </w:style>
  <w:style w:type="paragraph" w:styleId="81">
    <w:name w:val="Normal (Web)"/>
    <w:basedOn w:val="1"/>
    <w:link w:val="638"/>
    <w:autoRedefine/>
    <w:qFormat/>
    <w:uiPriority w:val="99"/>
    <w:pPr>
      <w:widowControl/>
      <w:adjustRightInd/>
      <w:snapToGrid/>
      <w:spacing w:before="100" w:beforeAutospacing="1" w:after="100" w:afterAutospacing="1" w:line="240" w:lineRule="auto"/>
      <w:ind w:firstLine="0" w:firstLineChars="0"/>
      <w:jc w:val="left"/>
    </w:pPr>
    <w:rPr>
      <w:rFonts w:hAnsi="宋体"/>
      <w:kern w:val="0"/>
      <w:szCs w:val="24"/>
      <w:lang w:val="zh-CN"/>
    </w:rPr>
  </w:style>
  <w:style w:type="paragraph" w:styleId="82">
    <w:name w:val="List Continue 3"/>
    <w:basedOn w:val="1"/>
    <w:autoRedefine/>
    <w:qFormat/>
    <w:uiPriority w:val="0"/>
    <w:pPr>
      <w:spacing w:beforeLines="10" w:after="120" w:line="460" w:lineRule="exact"/>
      <w:ind w:left="1260" w:leftChars="600"/>
    </w:pPr>
    <w:rPr>
      <w:snapToGrid w:val="0"/>
      <w:kern w:val="0"/>
      <w:szCs w:val="24"/>
    </w:rPr>
  </w:style>
  <w:style w:type="paragraph" w:styleId="83">
    <w:name w:val="index 2"/>
    <w:basedOn w:val="1"/>
    <w:next w:val="1"/>
    <w:autoRedefine/>
    <w:qFormat/>
    <w:uiPriority w:val="0"/>
    <w:pPr>
      <w:widowControl/>
      <w:adjustRightInd/>
      <w:snapToGrid/>
      <w:spacing w:line="360" w:lineRule="auto"/>
      <w:ind w:left="-43" w:leftChars="-21" w:hanging="1" w:firstLineChars="0"/>
      <w:jc w:val="left"/>
    </w:pPr>
    <w:rPr>
      <w:rFonts w:ascii="仿宋_GB2312" w:hAnsi="宋体" w:eastAsia="仿宋_GB2312" w:cs="宋体"/>
      <w:kern w:val="0"/>
      <w:sz w:val="28"/>
      <w:szCs w:val="24"/>
    </w:rPr>
  </w:style>
  <w:style w:type="paragraph" w:styleId="84">
    <w:name w:val="Title"/>
    <w:basedOn w:val="1"/>
    <w:next w:val="1"/>
    <w:link w:val="430"/>
    <w:autoRedefine/>
    <w:qFormat/>
    <w:uiPriority w:val="0"/>
    <w:pPr>
      <w:adjustRightInd/>
      <w:snapToGrid/>
      <w:spacing w:before="240" w:after="60" w:line="240" w:lineRule="auto"/>
      <w:ind w:firstLine="0" w:firstLineChars="0"/>
      <w:jc w:val="center"/>
      <w:outlineLvl w:val="0"/>
    </w:pPr>
    <w:rPr>
      <w:rFonts w:ascii="Cambria" w:hAnsi="Cambria"/>
      <w:b/>
      <w:bCs/>
      <w:sz w:val="32"/>
      <w:szCs w:val="32"/>
      <w:lang w:val="zh-CN"/>
    </w:rPr>
  </w:style>
  <w:style w:type="paragraph" w:styleId="85">
    <w:name w:val="annotation subject"/>
    <w:basedOn w:val="28"/>
    <w:next w:val="28"/>
    <w:link w:val="174"/>
    <w:autoRedefine/>
    <w:unhideWhenUsed/>
    <w:qFormat/>
    <w:uiPriority w:val="0"/>
    <w:pPr>
      <w:adjustRightInd/>
      <w:snapToGrid/>
      <w:spacing w:line="240" w:lineRule="auto"/>
      <w:ind w:firstLine="0" w:firstLineChars="0"/>
    </w:pPr>
    <w:rPr>
      <w:b/>
      <w:bCs/>
      <w:sz w:val="21"/>
      <w:szCs w:val="24"/>
    </w:rPr>
  </w:style>
  <w:style w:type="paragraph" w:styleId="86">
    <w:name w:val="Body Text First Indent"/>
    <w:basedOn w:val="34"/>
    <w:link w:val="170"/>
    <w:autoRedefine/>
    <w:unhideWhenUsed/>
    <w:qFormat/>
    <w:uiPriority w:val="0"/>
    <w:pPr>
      <w:ind w:firstLine="420" w:firstLineChars="100"/>
    </w:pPr>
  </w:style>
  <w:style w:type="paragraph" w:styleId="87">
    <w:name w:val="Body Text First Indent 2"/>
    <w:basedOn w:val="35"/>
    <w:link w:val="171"/>
    <w:autoRedefine/>
    <w:unhideWhenUsed/>
    <w:qFormat/>
    <w:uiPriority w:val="0"/>
    <w:pPr>
      <w:ind w:firstLine="420"/>
    </w:pPr>
  </w:style>
  <w:style w:type="table" w:styleId="89">
    <w:name w:val="Table Grid"/>
    <w:basedOn w:val="88"/>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90">
    <w:name w:val="Table Theme"/>
    <w:basedOn w:val="88"/>
    <w:autoRedefine/>
    <w:qFormat/>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1">
    <w:name w:val="Table Colorful 1"/>
    <w:basedOn w:val="88"/>
    <w:autoRedefine/>
    <w:qFormat/>
    <w:uiPriority w:val="0"/>
    <w:pPr>
      <w:widowControl w:val="0"/>
      <w:adjustRightInd w:val="0"/>
      <w:snapToGrid w:val="0"/>
      <w:spacing w:beforeLines="10" w:line="460" w:lineRule="exact"/>
      <w:ind w:firstLine="200" w:firstLineChars="20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92">
    <w:name w:val="Table Colorful 2"/>
    <w:basedOn w:val="88"/>
    <w:autoRedefine/>
    <w:semiHidden/>
    <w:qFormat/>
    <w:uiPriority w:val="0"/>
    <w:pPr>
      <w:widowControl w:val="0"/>
      <w:adjustRightInd w:val="0"/>
      <w:snapToGrid w:val="0"/>
      <w:spacing w:beforeLines="10" w:line="460" w:lineRule="exact"/>
      <w:ind w:firstLine="200" w:firstLineChars="200"/>
      <w:jc w:val="both"/>
    </w:p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93">
    <w:name w:val="Table Colorful 3"/>
    <w:basedOn w:val="88"/>
    <w:autoRedefine/>
    <w:semiHidden/>
    <w:qFormat/>
    <w:uiPriority w:val="0"/>
    <w:pPr>
      <w:widowControl w:val="0"/>
      <w:adjustRightInd w:val="0"/>
      <w:snapToGrid w:val="0"/>
      <w:spacing w:beforeLines="10" w:line="460" w:lineRule="exact"/>
      <w:ind w:firstLine="200" w:firstLineChars="200"/>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il"/>
          <w:tr2bl w:val="nil"/>
        </w:tcBorders>
        <w:shd w:val="solid" w:color="008080" w:fill="FFFFFF"/>
      </w:tcPr>
    </w:tblStylePr>
    <w:tblStylePr w:type="firstCol">
      <w:tblPr/>
      <w:tcPr>
        <w:tcBorders>
          <w:left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94">
    <w:name w:val="Table Elegant"/>
    <w:basedOn w:val="88"/>
    <w:autoRedefine/>
    <w:qFormat/>
    <w:uiPriority w:val="0"/>
    <w:pPr>
      <w:widowControl w:val="0"/>
      <w:adjustRightInd w:val="0"/>
      <w:snapToGrid w:val="0"/>
      <w:spacing w:beforeLines="10" w:line="460" w:lineRule="exact"/>
      <w:ind w:firstLine="200" w:firstLineChars="20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95">
    <w:name w:val="Table Classic 1"/>
    <w:basedOn w:val="88"/>
    <w:autoRedefine/>
    <w:semiHidden/>
    <w:qFormat/>
    <w:uiPriority w:val="0"/>
    <w:pPr>
      <w:widowControl w:val="0"/>
      <w:adjustRightInd w:val="0"/>
      <w:snapToGrid w:val="0"/>
      <w:spacing w:beforeLines="10" w:line="460" w:lineRule="exact"/>
      <w:ind w:firstLine="200" w:firstLineChars="200"/>
      <w:jc w:val="both"/>
    </w:p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6">
    <w:name w:val="Table Classic 2"/>
    <w:basedOn w:val="88"/>
    <w:autoRedefine/>
    <w:semiHidden/>
    <w:qFormat/>
    <w:uiPriority w:val="0"/>
    <w:pPr>
      <w:widowControl w:val="0"/>
      <w:adjustRightInd w:val="0"/>
      <w:snapToGrid w:val="0"/>
      <w:spacing w:beforeLines="10" w:line="460" w:lineRule="exact"/>
      <w:ind w:firstLine="200" w:firstLineChars="200"/>
      <w:jc w:val="both"/>
    </w:p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7">
    <w:name w:val="Table Classic 3"/>
    <w:basedOn w:val="88"/>
    <w:autoRedefine/>
    <w:semiHidden/>
    <w:qFormat/>
    <w:uiPriority w:val="0"/>
    <w:pPr>
      <w:widowControl w:val="0"/>
      <w:adjustRightInd w:val="0"/>
      <w:snapToGrid w:val="0"/>
      <w:spacing w:beforeLines="10" w:line="460" w:lineRule="exact"/>
      <w:ind w:firstLine="200" w:firstLineChars="200"/>
      <w:jc w:val="both"/>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98">
    <w:name w:val="Table Classic 4"/>
    <w:basedOn w:val="88"/>
    <w:autoRedefine/>
    <w:semiHidden/>
    <w:qFormat/>
    <w:uiPriority w:val="0"/>
    <w:pPr>
      <w:widowControl w:val="0"/>
      <w:adjustRightInd w:val="0"/>
      <w:snapToGrid w:val="0"/>
      <w:spacing w:beforeLines="10" w:line="460" w:lineRule="exact"/>
      <w:ind w:firstLine="200" w:firstLineChars="20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il"/>
          <w:tr2bl w:val="nil"/>
        </w:tcBorders>
        <w:shd w:val="pct50" w:color="000080" w:fill="FFFFFF"/>
      </w:tcPr>
    </w:tblStylePr>
    <w:tblStylePr w:type="lastRow">
      <w:rPr>
        <w:color w:val="000080"/>
      </w:rPr>
      <w:tblPr/>
      <w:tcPr>
        <w:tcBorders>
          <w:bottom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99">
    <w:name w:val="Table Simple 1"/>
    <w:basedOn w:val="88"/>
    <w:autoRedefine/>
    <w:qFormat/>
    <w:uiPriority w:val="0"/>
    <w:pPr>
      <w:widowControl w:val="0"/>
      <w:adjustRightInd w:val="0"/>
      <w:snapToGrid w:val="0"/>
      <w:spacing w:beforeLines="10" w:line="460" w:lineRule="exact"/>
      <w:ind w:firstLine="200" w:firstLineChars="200"/>
      <w:jc w:val="both"/>
    </w:p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00">
    <w:name w:val="Table Simple 2"/>
    <w:basedOn w:val="88"/>
    <w:autoRedefine/>
    <w:semiHidden/>
    <w:qFormat/>
    <w:uiPriority w:val="0"/>
    <w:pPr>
      <w:widowControl w:val="0"/>
      <w:adjustRightInd w:val="0"/>
      <w:snapToGrid w:val="0"/>
      <w:spacing w:beforeLines="10" w:line="460" w:lineRule="exact"/>
      <w:ind w:firstLine="200" w:firstLineChars="200"/>
      <w:jc w:val="both"/>
    </w:pPr>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101">
    <w:name w:val="Table Simple 3"/>
    <w:basedOn w:val="88"/>
    <w:autoRedefine/>
    <w:semiHidden/>
    <w:qFormat/>
    <w:uiPriority w:val="0"/>
    <w:pPr>
      <w:widowControl w:val="0"/>
      <w:adjustRightInd w:val="0"/>
      <w:snapToGrid w:val="0"/>
      <w:spacing w:beforeLines="10" w:line="460" w:lineRule="exact"/>
      <w:ind w:firstLine="200" w:firstLineChars="20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02">
    <w:name w:val="Table Subtle 1"/>
    <w:basedOn w:val="88"/>
    <w:autoRedefine/>
    <w:semiHidden/>
    <w:qFormat/>
    <w:uiPriority w:val="0"/>
    <w:pPr>
      <w:widowControl w:val="0"/>
      <w:adjustRightInd w:val="0"/>
      <w:snapToGrid w:val="0"/>
      <w:spacing w:beforeLines="10" w:line="460" w:lineRule="exact"/>
      <w:ind w:firstLine="200" w:firstLineChars="200"/>
      <w:jc w:val="both"/>
    </w:pPr>
    <w:tblPr>
      <w:tblStyleRowBandSize w:val="1"/>
    </w:tblPr>
    <w:tblStylePr w:type="firstRow">
      <w:tblPr/>
      <w:tcPr>
        <w:tcBorders>
          <w:top w:val="single" w:color="000000" w:sz="6" w:space="0"/>
          <w:bottom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left w:val="single" w:color="000000" w:sz="12" w:space="0"/>
          <w:tl2br w:val="nil"/>
          <w:tr2bl w:val="nil"/>
        </w:tcBorders>
      </w:tcPr>
    </w:tblStylePr>
    <w:tblStylePr w:type="band1Horz">
      <w:tblPr/>
      <w:tcPr>
        <w:tcBorders>
          <w:bottom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3">
    <w:name w:val="Table Subtle 2"/>
    <w:basedOn w:val="88"/>
    <w:autoRedefine/>
    <w:semiHidden/>
    <w:qFormat/>
    <w:uiPriority w:val="0"/>
    <w:pPr>
      <w:widowControl w:val="0"/>
      <w:adjustRightInd w:val="0"/>
      <w:snapToGrid w:val="0"/>
      <w:spacing w:beforeLines="10" w:line="460" w:lineRule="exact"/>
      <w:ind w:firstLine="200" w:firstLineChars="200"/>
      <w:jc w:val="both"/>
    </w:pPr>
    <w:tblPr>
      <w:tblBorders>
        <w:left w:val="single" w:color="000000" w:sz="6" w:space="0"/>
        <w:right w:val="single" w:color="000000" w:sz="6" w:space="0"/>
      </w:tblBorders>
    </w:tblPr>
    <w:tblStylePr w:type="firstRow">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left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4">
    <w:name w:val="Table 3D effects 1"/>
    <w:basedOn w:val="88"/>
    <w:autoRedefine/>
    <w:semiHidden/>
    <w:qFormat/>
    <w:uiPriority w:val="0"/>
    <w:pPr>
      <w:widowControl w:val="0"/>
      <w:adjustRightInd w:val="0"/>
      <w:snapToGrid w:val="0"/>
      <w:spacing w:beforeLines="10" w:line="460" w:lineRule="exact"/>
      <w:ind w:firstLine="200" w:firstLineChars="200"/>
      <w:jc w:val="both"/>
    </w:pPr>
    <w:tblPr/>
    <w:tcPr>
      <w:shd w:val="solid" w:color="C0C0C0" w:fill="FFFFFF"/>
    </w:tcPr>
    <w:tblStylePr w:type="firstRow">
      <w:rPr>
        <w:b/>
        <w:bCs/>
        <w:color w:val="800080"/>
      </w:rPr>
      <w:tblPr/>
      <w:tcPr>
        <w:tcBorders>
          <w:bottom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left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105">
    <w:name w:val="Table 3D effects 2"/>
    <w:basedOn w:val="88"/>
    <w:autoRedefine/>
    <w:semiHidden/>
    <w:qFormat/>
    <w:uiPriority w:val="0"/>
    <w:pPr>
      <w:widowControl w:val="0"/>
      <w:adjustRightInd w:val="0"/>
      <w:snapToGrid w:val="0"/>
      <w:spacing w:beforeLines="10" w:line="460" w:lineRule="exact"/>
      <w:ind w:firstLine="200" w:firstLineChars="200"/>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6">
    <w:name w:val="Table 3D effects 3"/>
    <w:basedOn w:val="88"/>
    <w:autoRedefine/>
    <w:semiHidden/>
    <w:qFormat/>
    <w:uiPriority w:val="0"/>
    <w:pPr>
      <w:widowControl w:val="0"/>
      <w:adjustRightInd w:val="0"/>
      <w:snapToGrid w:val="0"/>
      <w:spacing w:beforeLines="10" w:line="460" w:lineRule="exact"/>
      <w:ind w:firstLine="200" w:firstLineChars="200"/>
      <w:jc w:val="both"/>
    </w:p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7">
    <w:name w:val="Table List 1"/>
    <w:basedOn w:val="88"/>
    <w:autoRedefine/>
    <w:semiHidden/>
    <w:qFormat/>
    <w:uiPriority w:val="0"/>
    <w:pPr>
      <w:widowControl w:val="0"/>
      <w:adjustRightInd w:val="0"/>
      <w:snapToGrid w:val="0"/>
      <w:spacing w:beforeLines="10" w:line="46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8">
    <w:name w:val="Table List 2"/>
    <w:basedOn w:val="88"/>
    <w:autoRedefine/>
    <w:semiHidden/>
    <w:qFormat/>
    <w:uiPriority w:val="0"/>
    <w:pPr>
      <w:widowControl w:val="0"/>
      <w:adjustRightInd w:val="0"/>
      <w:snapToGrid w:val="0"/>
      <w:spacing w:beforeLines="10" w:line="460" w:lineRule="exact"/>
      <w:ind w:firstLine="200" w:firstLineChars="200"/>
      <w:jc w:val="both"/>
    </w:pPr>
    <w:tblPr>
      <w:tblBorders>
        <w:bottom w:val="single" w:color="808080" w:sz="12" w:space="0"/>
      </w:tblBorders>
    </w:tblPr>
    <w:tblStylePr w:type="firstRow">
      <w:rPr>
        <w:b/>
        <w:bCs/>
        <w:color w:val="FFFFFF"/>
      </w:rPr>
      <w:tblPr/>
      <w:tcPr>
        <w:tcBorders>
          <w:bottom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9">
    <w:name w:val="Table List 3"/>
    <w:basedOn w:val="88"/>
    <w:autoRedefine/>
    <w:semiHidden/>
    <w:qFormat/>
    <w:uiPriority w:val="0"/>
    <w:pPr>
      <w:widowControl w:val="0"/>
      <w:adjustRightInd w:val="0"/>
      <w:snapToGrid w:val="0"/>
      <w:spacing w:beforeLines="10" w:line="460" w:lineRule="exact"/>
      <w:ind w:firstLine="200" w:firstLineChars="20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10">
    <w:name w:val="Table List 4"/>
    <w:basedOn w:val="88"/>
    <w:autoRedefine/>
    <w:semiHidden/>
    <w:qFormat/>
    <w:uiPriority w:val="0"/>
    <w:pPr>
      <w:widowControl w:val="0"/>
      <w:adjustRightInd w:val="0"/>
      <w:snapToGrid w:val="0"/>
      <w:spacing w:beforeLines="10" w:line="460" w:lineRule="exact"/>
      <w:ind w:firstLine="200" w:firstLineChars="200"/>
      <w:jc w:val="both"/>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il"/>
          <w:tr2bl w:val="nil"/>
        </w:tcBorders>
        <w:shd w:val="solid" w:color="808080" w:fill="FFFFFF"/>
      </w:tcPr>
    </w:tblStylePr>
  </w:style>
  <w:style w:type="table" w:styleId="111">
    <w:name w:val="Table List 5"/>
    <w:basedOn w:val="88"/>
    <w:autoRedefine/>
    <w:semiHidden/>
    <w:qFormat/>
    <w:uiPriority w:val="0"/>
    <w:pPr>
      <w:widowControl w:val="0"/>
      <w:adjustRightInd w:val="0"/>
      <w:snapToGrid w:val="0"/>
      <w:spacing w:beforeLines="10" w:line="460" w:lineRule="exact"/>
      <w:ind w:firstLine="200" w:firstLineChars="200"/>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il"/>
          <w:tr2bl w:val="nil"/>
        </w:tcBorders>
      </w:tcPr>
    </w:tblStylePr>
    <w:tblStylePr w:type="firstCol">
      <w:rPr>
        <w:b/>
        <w:bCs/>
      </w:rPr>
      <w:tblPr/>
      <w:tcPr>
        <w:tcBorders>
          <w:tl2br w:val="nil"/>
          <w:tr2bl w:val="nil"/>
        </w:tcBorders>
      </w:tcPr>
    </w:tblStylePr>
  </w:style>
  <w:style w:type="table" w:styleId="112">
    <w:name w:val="Table List 6"/>
    <w:basedOn w:val="88"/>
    <w:autoRedefine/>
    <w:semiHidden/>
    <w:qFormat/>
    <w:uiPriority w:val="0"/>
    <w:pPr>
      <w:widowControl w:val="0"/>
      <w:adjustRightInd w:val="0"/>
      <w:snapToGrid w:val="0"/>
      <w:spacing w:beforeLines="10" w:line="460" w:lineRule="exact"/>
      <w:ind w:firstLine="200" w:firstLineChars="20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13">
    <w:name w:val="Table List 7"/>
    <w:basedOn w:val="88"/>
    <w:autoRedefine/>
    <w:semiHidden/>
    <w:qFormat/>
    <w:uiPriority w:val="0"/>
    <w:pPr>
      <w:widowControl w:val="0"/>
      <w:adjustRightInd w:val="0"/>
      <w:snapToGrid w:val="0"/>
      <w:spacing w:beforeLines="10" w:line="460" w:lineRule="exact"/>
      <w:ind w:firstLine="200" w:firstLineChars="200"/>
      <w:jc w:val="both"/>
    </w:p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14">
    <w:name w:val="Table List 8"/>
    <w:basedOn w:val="88"/>
    <w:autoRedefine/>
    <w:semiHidden/>
    <w:qFormat/>
    <w:uiPriority w:val="0"/>
    <w:pPr>
      <w:widowControl w:val="0"/>
      <w:adjustRightInd w:val="0"/>
      <w:snapToGrid w:val="0"/>
      <w:spacing w:beforeLines="10" w:line="460" w:lineRule="exact"/>
      <w:ind w:firstLine="200" w:firstLineChars="200"/>
      <w:jc w:val="both"/>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table" w:styleId="115">
    <w:name w:val="Table Contemporary"/>
    <w:basedOn w:val="88"/>
    <w:autoRedefine/>
    <w:semiHidden/>
    <w:qFormat/>
    <w:uiPriority w:val="0"/>
    <w:pPr>
      <w:widowControl w:val="0"/>
      <w:adjustRightInd w:val="0"/>
      <w:snapToGrid w:val="0"/>
      <w:spacing w:beforeLines="10" w:line="460" w:lineRule="exact"/>
      <w:ind w:firstLine="200" w:firstLineChars="200"/>
      <w:jc w:val="both"/>
    </w:pPr>
    <w:tblPr>
      <w:tblBorders>
        <w:insideH w:val="single" w:color="FFFFFF" w:sz="18" w:space="0"/>
        <w:insideV w:val="single" w:color="FFFFFF" w:sz="18" w:space="0"/>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6">
    <w:name w:val="Table Columns 1"/>
    <w:basedOn w:val="88"/>
    <w:autoRedefine/>
    <w:semiHidden/>
    <w:qFormat/>
    <w:uiPriority w:val="0"/>
    <w:pPr>
      <w:widowControl w:val="0"/>
      <w:adjustRightInd w:val="0"/>
      <w:snapToGrid w:val="0"/>
      <w:spacing w:beforeLines="10" w:line="460" w:lineRule="exact"/>
      <w:ind w:firstLine="200" w:firstLineChars="200"/>
      <w:jc w:val="both"/>
    </w:pPr>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7">
    <w:name w:val="Table Columns 2"/>
    <w:basedOn w:val="88"/>
    <w:autoRedefine/>
    <w:semiHidden/>
    <w:qFormat/>
    <w:uiPriority w:val="0"/>
    <w:pPr>
      <w:widowControl w:val="0"/>
      <w:adjustRightInd w:val="0"/>
      <w:snapToGrid w:val="0"/>
      <w:spacing w:beforeLines="10" w:line="460" w:lineRule="exact"/>
      <w:ind w:firstLine="200" w:firstLineChars="200"/>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8">
    <w:name w:val="Table Columns 3"/>
    <w:basedOn w:val="88"/>
    <w:autoRedefine/>
    <w:semiHidden/>
    <w:qFormat/>
    <w:uiPriority w:val="0"/>
    <w:pPr>
      <w:widowControl w:val="0"/>
      <w:adjustRightInd w:val="0"/>
      <w:snapToGrid w:val="0"/>
      <w:spacing w:beforeLines="10" w:line="460" w:lineRule="exact"/>
      <w:ind w:firstLine="200" w:firstLineChars="20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19">
    <w:name w:val="Table Columns 4"/>
    <w:basedOn w:val="88"/>
    <w:autoRedefine/>
    <w:semiHidden/>
    <w:qFormat/>
    <w:uiPriority w:val="0"/>
    <w:pPr>
      <w:widowControl w:val="0"/>
      <w:adjustRightInd w:val="0"/>
      <w:snapToGrid w:val="0"/>
      <w:spacing w:beforeLines="10" w:line="460" w:lineRule="exact"/>
      <w:ind w:firstLine="200" w:firstLineChars="200"/>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20">
    <w:name w:val="Table Columns 5"/>
    <w:basedOn w:val="88"/>
    <w:autoRedefine/>
    <w:semiHidden/>
    <w:qFormat/>
    <w:uiPriority w:val="0"/>
    <w:pPr>
      <w:widowControl w:val="0"/>
      <w:adjustRightInd w:val="0"/>
      <w:snapToGrid w:val="0"/>
      <w:spacing w:beforeLines="10" w:line="460" w:lineRule="exact"/>
      <w:ind w:firstLine="200" w:firstLineChars="200"/>
      <w:jc w:val="both"/>
    </w:p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21">
    <w:name w:val="Table Grid 1"/>
    <w:basedOn w:val="88"/>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22">
    <w:name w:val="Table Grid 2"/>
    <w:basedOn w:val="88"/>
    <w:autoRedefine/>
    <w:qFormat/>
    <w:uiPriority w:val="0"/>
    <w:pPr>
      <w:widowControl w:val="0"/>
      <w:adjustRightInd w:val="0"/>
      <w:snapToGrid w:val="0"/>
      <w:spacing w:beforeLines="10" w:line="460" w:lineRule="exact"/>
      <w:ind w:firstLine="200" w:firstLineChars="200"/>
      <w:jc w:val="both"/>
    </w:pPr>
    <w:tblPr>
      <w:tblBorders>
        <w:insideH w:val="single" w:color="000000" w:sz="6" w:space="0"/>
        <w:insideV w:val="single" w:color="000000" w:sz="6" w:space="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23">
    <w:name w:val="Table Grid 3"/>
    <w:basedOn w:val="88"/>
    <w:autoRedefine/>
    <w:semiHidden/>
    <w:qFormat/>
    <w:uiPriority w:val="0"/>
    <w:pPr>
      <w:widowControl w:val="0"/>
      <w:adjustRightInd w:val="0"/>
      <w:snapToGrid w:val="0"/>
      <w:spacing w:beforeLines="10" w:line="460" w:lineRule="exact"/>
      <w:ind w:firstLine="200" w:firstLineChars="20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4">
    <w:name w:val="Table Grid 4"/>
    <w:basedOn w:val="88"/>
    <w:autoRedefine/>
    <w:semiHidden/>
    <w:qFormat/>
    <w:uiPriority w:val="0"/>
    <w:pPr>
      <w:widowControl w:val="0"/>
      <w:adjustRightInd w:val="0"/>
      <w:snapToGrid w:val="0"/>
      <w:spacing w:beforeLines="10" w:line="460" w:lineRule="exact"/>
      <w:ind w:firstLine="200" w:firstLineChars="200"/>
      <w:jc w:val="both"/>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25">
    <w:name w:val="Table Grid 5"/>
    <w:basedOn w:val="88"/>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6">
    <w:name w:val="Table Grid 6"/>
    <w:basedOn w:val="88"/>
    <w:autoRedefine/>
    <w:semiHidden/>
    <w:qFormat/>
    <w:uiPriority w:val="0"/>
    <w:pPr>
      <w:widowControl w:val="0"/>
      <w:adjustRightInd w:val="0"/>
      <w:snapToGrid w:val="0"/>
      <w:spacing w:beforeLines="10" w:line="460" w:lineRule="exact"/>
      <w:ind w:firstLine="200" w:firstLineChars="20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27">
    <w:name w:val="Table Grid 7"/>
    <w:basedOn w:val="88"/>
    <w:autoRedefine/>
    <w:qFormat/>
    <w:uiPriority w:val="0"/>
    <w:pPr>
      <w:widowControl w:val="0"/>
      <w:adjustRightInd w:val="0"/>
      <w:snapToGrid w:val="0"/>
      <w:spacing w:beforeLines="10" w:line="460" w:lineRule="exact"/>
      <w:ind w:firstLine="200" w:firstLineChars="20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28">
    <w:name w:val="Table Grid 8"/>
    <w:basedOn w:val="88"/>
    <w:autoRedefine/>
    <w:semiHidden/>
    <w:qFormat/>
    <w:uiPriority w:val="0"/>
    <w:pPr>
      <w:widowControl w:val="0"/>
      <w:adjustRightInd w:val="0"/>
      <w:snapToGrid w:val="0"/>
      <w:spacing w:beforeLines="10" w:line="460" w:lineRule="exact"/>
      <w:ind w:firstLine="200" w:firstLineChars="20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29">
    <w:name w:val="Table Web 1"/>
    <w:basedOn w:val="88"/>
    <w:autoRedefine/>
    <w:semiHidden/>
    <w:qFormat/>
    <w:uiPriority w:val="0"/>
    <w:pPr>
      <w:widowControl w:val="0"/>
      <w:adjustRightInd w:val="0"/>
      <w:snapToGrid w:val="0"/>
      <w:spacing w:beforeLines="10" w:line="460" w:lineRule="exact"/>
      <w:ind w:firstLine="200" w:firstLineChars="20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0">
    <w:name w:val="Table Web 2"/>
    <w:basedOn w:val="88"/>
    <w:autoRedefine/>
    <w:semiHidden/>
    <w:qFormat/>
    <w:uiPriority w:val="0"/>
    <w:pPr>
      <w:widowControl w:val="0"/>
      <w:adjustRightInd w:val="0"/>
      <w:snapToGrid w:val="0"/>
      <w:spacing w:beforeLines="10" w:line="460" w:lineRule="exact"/>
      <w:ind w:firstLine="200" w:firstLineChars="20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1">
    <w:name w:val="Table Web 3"/>
    <w:basedOn w:val="88"/>
    <w:autoRedefine/>
    <w:qFormat/>
    <w:uiPriority w:val="0"/>
    <w:pPr>
      <w:widowControl w:val="0"/>
      <w:adjustRightInd w:val="0"/>
      <w:snapToGrid w:val="0"/>
      <w:spacing w:beforeLines="10" w:line="460" w:lineRule="exact"/>
      <w:ind w:firstLine="200" w:firstLineChars="20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2">
    <w:name w:val="Table Professional"/>
    <w:basedOn w:val="88"/>
    <w:autoRedefine/>
    <w:semiHidden/>
    <w:qFormat/>
    <w:uiPriority w:val="0"/>
    <w:pPr>
      <w:widowControl w:val="0"/>
      <w:adjustRightInd w:val="0"/>
      <w:snapToGrid w:val="0"/>
      <w:spacing w:beforeLines="10" w:line="460" w:lineRule="exact"/>
      <w:ind w:firstLine="200" w:firstLineChars="20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character" w:styleId="134">
    <w:name w:val="Strong"/>
    <w:autoRedefine/>
    <w:qFormat/>
    <w:uiPriority w:val="0"/>
    <w:rPr>
      <w:b/>
      <w:bCs/>
    </w:rPr>
  </w:style>
  <w:style w:type="character" w:styleId="135">
    <w:name w:val="endnote reference"/>
    <w:autoRedefine/>
    <w:qFormat/>
    <w:uiPriority w:val="0"/>
    <w:rPr>
      <w:vertAlign w:val="superscript"/>
    </w:rPr>
  </w:style>
  <w:style w:type="character" w:styleId="136">
    <w:name w:val="page number"/>
    <w:autoRedefine/>
    <w:qFormat/>
    <w:uiPriority w:val="0"/>
    <w:rPr>
      <w:rFonts w:ascii="Times New Roman" w:hAnsi="Times New Roman" w:eastAsia="宋体"/>
      <w:sz w:val="18"/>
    </w:rPr>
  </w:style>
  <w:style w:type="character" w:styleId="137">
    <w:name w:val="FollowedHyperlink"/>
    <w:autoRedefine/>
    <w:unhideWhenUsed/>
    <w:qFormat/>
    <w:uiPriority w:val="99"/>
    <w:rPr>
      <w:color w:val="800080"/>
      <w:u w:val="single"/>
    </w:rPr>
  </w:style>
  <w:style w:type="character" w:styleId="138">
    <w:name w:val="Emphasis"/>
    <w:autoRedefine/>
    <w:qFormat/>
    <w:uiPriority w:val="0"/>
    <w:rPr>
      <w:i/>
      <w:iCs/>
    </w:rPr>
  </w:style>
  <w:style w:type="character" w:styleId="139">
    <w:name w:val="line number"/>
    <w:autoRedefine/>
    <w:qFormat/>
    <w:uiPriority w:val="0"/>
  </w:style>
  <w:style w:type="character" w:styleId="140">
    <w:name w:val="HTML Definition"/>
    <w:autoRedefine/>
    <w:qFormat/>
    <w:uiPriority w:val="0"/>
    <w:rPr>
      <w:i/>
      <w:iCs/>
    </w:rPr>
  </w:style>
  <w:style w:type="character" w:styleId="141">
    <w:name w:val="HTML Typewriter"/>
    <w:autoRedefine/>
    <w:qFormat/>
    <w:uiPriority w:val="0"/>
    <w:rPr>
      <w:rFonts w:ascii="宋体" w:hAnsi="宋体" w:eastAsia="宋体" w:cs="宋体"/>
      <w:sz w:val="18"/>
      <w:szCs w:val="18"/>
    </w:rPr>
  </w:style>
  <w:style w:type="character" w:styleId="142">
    <w:name w:val="HTML Acronym"/>
    <w:autoRedefine/>
    <w:semiHidden/>
    <w:qFormat/>
    <w:uiPriority w:val="0"/>
  </w:style>
  <w:style w:type="character" w:styleId="143">
    <w:name w:val="HTML Variable"/>
    <w:autoRedefine/>
    <w:qFormat/>
    <w:uiPriority w:val="0"/>
    <w:rPr>
      <w:i/>
      <w:iCs/>
    </w:rPr>
  </w:style>
  <w:style w:type="character" w:styleId="144">
    <w:name w:val="Hyperlink"/>
    <w:autoRedefine/>
    <w:unhideWhenUsed/>
    <w:qFormat/>
    <w:uiPriority w:val="99"/>
    <w:rPr>
      <w:color w:val="0000FF"/>
      <w:u w:val="single"/>
    </w:rPr>
  </w:style>
  <w:style w:type="character" w:styleId="145">
    <w:name w:val="HTML Code"/>
    <w:autoRedefine/>
    <w:qFormat/>
    <w:uiPriority w:val="0"/>
    <w:rPr>
      <w:rFonts w:ascii="Courier New" w:hAnsi="Courier New" w:cs="Courier New"/>
      <w:sz w:val="20"/>
      <w:szCs w:val="20"/>
    </w:rPr>
  </w:style>
  <w:style w:type="character" w:styleId="146">
    <w:name w:val="annotation reference"/>
    <w:autoRedefine/>
    <w:qFormat/>
    <w:uiPriority w:val="0"/>
    <w:rPr>
      <w:sz w:val="21"/>
      <w:szCs w:val="21"/>
    </w:rPr>
  </w:style>
  <w:style w:type="character" w:styleId="147">
    <w:name w:val="HTML Cite"/>
    <w:autoRedefine/>
    <w:qFormat/>
    <w:uiPriority w:val="0"/>
    <w:rPr>
      <w:i/>
      <w:iCs/>
    </w:rPr>
  </w:style>
  <w:style w:type="character" w:styleId="148">
    <w:name w:val="footnote reference"/>
    <w:autoRedefine/>
    <w:qFormat/>
    <w:uiPriority w:val="0"/>
    <w:rPr>
      <w:vertAlign w:val="superscript"/>
    </w:rPr>
  </w:style>
  <w:style w:type="character" w:styleId="149">
    <w:name w:val="HTML Keyboard"/>
    <w:autoRedefine/>
    <w:qFormat/>
    <w:uiPriority w:val="0"/>
    <w:rPr>
      <w:rFonts w:ascii="Courier New" w:hAnsi="Courier New" w:cs="Courier New"/>
      <w:sz w:val="20"/>
      <w:szCs w:val="20"/>
    </w:rPr>
  </w:style>
  <w:style w:type="character" w:styleId="150">
    <w:name w:val="HTML Sample"/>
    <w:autoRedefine/>
    <w:qFormat/>
    <w:uiPriority w:val="0"/>
    <w:rPr>
      <w:rFonts w:ascii="Courier New" w:hAnsi="Courier New" w:cs="Courier New"/>
    </w:rPr>
  </w:style>
  <w:style w:type="paragraph" w:customStyle="1" w:styleId="151">
    <w:name w:val="Default"/>
    <w:basedOn w:val="152"/>
    <w:next w:val="12"/>
    <w:link w:val="1055"/>
    <w:autoRedefine/>
    <w:qFormat/>
    <w:uiPriority w:val="0"/>
    <w:pPr>
      <w:widowControl w:val="0"/>
      <w:autoSpaceDE w:val="0"/>
      <w:autoSpaceDN w:val="0"/>
      <w:adjustRightInd w:val="0"/>
    </w:pPr>
    <w:rPr>
      <w:rFonts w:ascii="Times New Roman" w:hAnsi="Times New Roman"/>
      <w:color w:val="000000"/>
      <w:sz w:val="24"/>
      <w:szCs w:val="24"/>
      <w:lang w:val="en-US"/>
    </w:rPr>
  </w:style>
  <w:style w:type="paragraph" w:customStyle="1" w:styleId="152">
    <w:name w:val="纯文本1"/>
    <w:basedOn w:val="1"/>
    <w:link w:val="657"/>
    <w:autoRedefine/>
    <w:qFormat/>
    <w:uiPriority w:val="0"/>
    <w:pPr>
      <w:widowControl/>
      <w:adjustRightInd/>
      <w:snapToGrid/>
      <w:spacing w:line="440" w:lineRule="exact"/>
    </w:pPr>
    <w:rPr>
      <w:rFonts w:ascii="宋体" w:hAnsi="Courier New"/>
      <w:kern w:val="0"/>
      <w:sz w:val="20"/>
      <w:szCs w:val="21"/>
      <w:lang w:val="zh-CN"/>
    </w:rPr>
  </w:style>
  <w:style w:type="character" w:customStyle="1" w:styleId="153">
    <w:name w:val="标题 1 字符"/>
    <w:link w:val="3"/>
    <w:autoRedefine/>
    <w:qFormat/>
    <w:uiPriority w:val="0"/>
    <w:rPr>
      <w:b/>
      <w:bCs/>
      <w:kern w:val="44"/>
      <w:sz w:val="28"/>
      <w:szCs w:val="44"/>
      <w:lang w:val="zh-CN"/>
    </w:rPr>
  </w:style>
  <w:style w:type="character" w:customStyle="1" w:styleId="154">
    <w:name w:val="标题 2 字符"/>
    <w:link w:val="4"/>
    <w:autoRedefine/>
    <w:qFormat/>
    <w:uiPriority w:val="0"/>
    <w:rPr>
      <w:b/>
      <w:bCs/>
      <w:kern w:val="2"/>
      <w:sz w:val="24"/>
      <w:szCs w:val="32"/>
      <w:lang w:val="zh-CN"/>
    </w:rPr>
  </w:style>
  <w:style w:type="character" w:customStyle="1" w:styleId="155">
    <w:name w:val="标题 3 字符"/>
    <w:link w:val="5"/>
    <w:autoRedefine/>
    <w:qFormat/>
    <w:uiPriority w:val="0"/>
    <w:rPr>
      <w:b/>
      <w:bCs/>
      <w:kern w:val="2"/>
      <w:sz w:val="24"/>
      <w:szCs w:val="32"/>
      <w:lang w:val="zh-CN"/>
    </w:rPr>
  </w:style>
  <w:style w:type="character" w:customStyle="1" w:styleId="156">
    <w:name w:val="标题 4 字符"/>
    <w:link w:val="6"/>
    <w:autoRedefine/>
    <w:qFormat/>
    <w:uiPriority w:val="0"/>
    <w:rPr>
      <w:b/>
      <w:bCs/>
      <w:kern w:val="2"/>
      <w:sz w:val="24"/>
      <w:szCs w:val="28"/>
      <w:lang w:val="zh-CN"/>
    </w:rPr>
  </w:style>
  <w:style w:type="character" w:customStyle="1" w:styleId="157">
    <w:name w:val="标题 5 字符"/>
    <w:link w:val="7"/>
    <w:autoRedefine/>
    <w:qFormat/>
    <w:uiPriority w:val="0"/>
    <w:rPr>
      <w:b/>
      <w:bCs/>
      <w:kern w:val="2"/>
      <w:sz w:val="28"/>
      <w:szCs w:val="28"/>
      <w:lang w:val="zh-CN"/>
    </w:rPr>
  </w:style>
  <w:style w:type="character" w:customStyle="1" w:styleId="158">
    <w:name w:val="标题 6 字符"/>
    <w:link w:val="8"/>
    <w:autoRedefine/>
    <w:qFormat/>
    <w:uiPriority w:val="0"/>
    <w:rPr>
      <w:rFonts w:ascii="Cambria" w:hAnsi="Cambria"/>
      <w:b/>
      <w:bCs/>
      <w:kern w:val="2"/>
      <w:sz w:val="24"/>
      <w:szCs w:val="24"/>
      <w:lang w:val="zh-CN"/>
    </w:rPr>
  </w:style>
  <w:style w:type="character" w:customStyle="1" w:styleId="159">
    <w:name w:val="标题 7 字符"/>
    <w:link w:val="9"/>
    <w:autoRedefine/>
    <w:qFormat/>
    <w:uiPriority w:val="0"/>
    <w:rPr>
      <w:b/>
      <w:bCs/>
      <w:kern w:val="2"/>
      <w:sz w:val="24"/>
      <w:szCs w:val="24"/>
      <w:lang w:val="zh-CN"/>
    </w:rPr>
  </w:style>
  <w:style w:type="character" w:customStyle="1" w:styleId="160">
    <w:name w:val="标题 8 字符"/>
    <w:link w:val="10"/>
    <w:autoRedefine/>
    <w:qFormat/>
    <w:uiPriority w:val="0"/>
    <w:rPr>
      <w:rFonts w:ascii="Cambria" w:hAnsi="Cambria"/>
      <w:kern w:val="2"/>
      <w:sz w:val="24"/>
      <w:szCs w:val="24"/>
      <w:lang w:val="zh-CN"/>
    </w:rPr>
  </w:style>
  <w:style w:type="character" w:customStyle="1" w:styleId="161">
    <w:name w:val="标题 9 字符"/>
    <w:link w:val="11"/>
    <w:autoRedefine/>
    <w:qFormat/>
    <w:uiPriority w:val="0"/>
    <w:rPr>
      <w:rFonts w:ascii="Cambria" w:hAnsi="Cambria"/>
      <w:kern w:val="2"/>
      <w:sz w:val="24"/>
      <w:szCs w:val="21"/>
      <w:lang w:val="zh-CN"/>
    </w:rPr>
  </w:style>
  <w:style w:type="character" w:customStyle="1" w:styleId="162">
    <w:name w:val="正文缩进 Char1"/>
    <w:link w:val="163"/>
    <w:autoRedefine/>
    <w:qFormat/>
    <w:uiPriority w:val="0"/>
    <w:rPr>
      <w:kern w:val="2"/>
      <w:sz w:val="28"/>
      <w:lang w:bidi="ar-SA"/>
    </w:rPr>
  </w:style>
  <w:style w:type="paragraph" w:customStyle="1" w:styleId="163">
    <w:name w:val="文本"/>
    <w:basedOn w:val="1"/>
    <w:link w:val="162"/>
    <w:autoRedefine/>
    <w:qFormat/>
    <w:uiPriority w:val="99"/>
    <w:pPr>
      <w:spacing w:beforeLines="10" w:afterLines="10" w:line="360" w:lineRule="auto"/>
    </w:pPr>
    <w:rPr>
      <w:rFonts w:ascii="Calibri" w:hAnsi="Calibri"/>
      <w:sz w:val="28"/>
      <w:lang w:val="zh-CN"/>
    </w:rPr>
  </w:style>
  <w:style w:type="character" w:customStyle="1" w:styleId="164">
    <w:name w:val="批注文字 字符"/>
    <w:link w:val="28"/>
    <w:autoRedefine/>
    <w:qFormat/>
    <w:uiPriority w:val="0"/>
    <w:rPr>
      <w:rFonts w:ascii="Times New Roman" w:hAnsi="Times New Roman"/>
      <w:sz w:val="24"/>
    </w:rPr>
  </w:style>
  <w:style w:type="character" w:customStyle="1" w:styleId="165">
    <w:name w:val="页眉 字符"/>
    <w:link w:val="57"/>
    <w:autoRedefine/>
    <w:qFormat/>
    <w:uiPriority w:val="0"/>
    <w:rPr>
      <w:rFonts w:ascii="Times New Roman" w:hAnsi="Times New Roman"/>
      <w:sz w:val="18"/>
      <w:szCs w:val="18"/>
    </w:rPr>
  </w:style>
  <w:style w:type="character" w:customStyle="1" w:styleId="166">
    <w:name w:val="页脚 字符"/>
    <w:link w:val="55"/>
    <w:autoRedefine/>
    <w:qFormat/>
    <w:uiPriority w:val="0"/>
    <w:rPr>
      <w:rFonts w:ascii="Times New Roman" w:hAnsi="Times New Roman"/>
      <w:sz w:val="18"/>
      <w:szCs w:val="18"/>
    </w:rPr>
  </w:style>
  <w:style w:type="character" w:customStyle="1" w:styleId="167">
    <w:name w:val="正文文本 字符"/>
    <w:link w:val="34"/>
    <w:autoRedefine/>
    <w:qFormat/>
    <w:uiPriority w:val="0"/>
    <w:rPr>
      <w:rFonts w:ascii="Times New Roman" w:hAnsi="Times New Roman"/>
      <w:sz w:val="24"/>
    </w:rPr>
  </w:style>
  <w:style w:type="character" w:customStyle="1" w:styleId="168">
    <w:name w:val="正文文本缩进 字符"/>
    <w:link w:val="35"/>
    <w:autoRedefine/>
    <w:qFormat/>
    <w:uiPriority w:val="0"/>
    <w:rPr>
      <w:rFonts w:ascii="Times New Roman" w:hAnsi="Times New Roman"/>
      <w:sz w:val="24"/>
    </w:rPr>
  </w:style>
  <w:style w:type="character" w:customStyle="1" w:styleId="169">
    <w:name w:val="日期 字符"/>
    <w:link w:val="50"/>
    <w:autoRedefine/>
    <w:qFormat/>
    <w:uiPriority w:val="0"/>
    <w:rPr>
      <w:rFonts w:ascii="Times New Roman" w:hAnsi="Times New Roman"/>
      <w:sz w:val="24"/>
      <w:szCs w:val="21"/>
    </w:rPr>
  </w:style>
  <w:style w:type="character" w:customStyle="1" w:styleId="170">
    <w:name w:val="正文文本首行缩进 字符"/>
    <w:basedOn w:val="167"/>
    <w:link w:val="86"/>
    <w:autoRedefine/>
    <w:qFormat/>
    <w:uiPriority w:val="0"/>
    <w:rPr>
      <w:rFonts w:ascii="Times New Roman" w:hAnsi="Times New Roman"/>
      <w:sz w:val="24"/>
    </w:rPr>
  </w:style>
  <w:style w:type="character" w:customStyle="1" w:styleId="171">
    <w:name w:val="正文文本首行缩进 2 字符"/>
    <w:basedOn w:val="168"/>
    <w:link w:val="87"/>
    <w:autoRedefine/>
    <w:qFormat/>
    <w:uiPriority w:val="99"/>
    <w:rPr>
      <w:rFonts w:ascii="Times New Roman" w:hAnsi="Times New Roman"/>
      <w:sz w:val="24"/>
    </w:rPr>
  </w:style>
  <w:style w:type="character" w:customStyle="1" w:styleId="172">
    <w:name w:val="注释标题 字符"/>
    <w:link w:val="16"/>
    <w:autoRedefine/>
    <w:qFormat/>
    <w:uiPriority w:val="0"/>
    <w:rPr>
      <w:rFonts w:ascii="Times New Roman" w:hAnsi="Times New Roman"/>
      <w:sz w:val="21"/>
    </w:rPr>
  </w:style>
  <w:style w:type="character" w:customStyle="1" w:styleId="173">
    <w:name w:val="文档结构图 字符"/>
    <w:link w:val="26"/>
    <w:autoRedefine/>
    <w:qFormat/>
    <w:uiPriority w:val="0"/>
    <w:rPr>
      <w:rFonts w:ascii="宋体" w:hAnsi="Times New Roman"/>
      <w:sz w:val="18"/>
      <w:szCs w:val="18"/>
    </w:rPr>
  </w:style>
  <w:style w:type="character" w:customStyle="1" w:styleId="174">
    <w:name w:val="批注主题 字符"/>
    <w:link w:val="85"/>
    <w:autoRedefine/>
    <w:qFormat/>
    <w:uiPriority w:val="99"/>
    <w:rPr>
      <w:rFonts w:ascii="Times New Roman" w:hAnsi="Times New Roman"/>
      <w:b/>
      <w:bCs/>
      <w:sz w:val="21"/>
      <w:szCs w:val="24"/>
    </w:rPr>
  </w:style>
  <w:style w:type="character" w:customStyle="1" w:styleId="175">
    <w:name w:val="批注框文本 字符"/>
    <w:link w:val="54"/>
    <w:autoRedefine/>
    <w:qFormat/>
    <w:uiPriority w:val="99"/>
    <w:rPr>
      <w:rFonts w:ascii="Times New Roman" w:hAnsi="Times New Roman"/>
      <w:sz w:val="18"/>
      <w:szCs w:val="18"/>
    </w:rPr>
  </w:style>
  <w:style w:type="paragraph" w:customStyle="1" w:styleId="176">
    <w:name w:val="无间隔1"/>
    <w:link w:val="1719"/>
    <w:autoRedefine/>
    <w:qFormat/>
    <w:uiPriority w:val="0"/>
    <w:pPr>
      <w:widowControl w:val="0"/>
      <w:adjustRightInd w:val="0"/>
      <w:snapToGrid w:val="0"/>
      <w:ind w:firstLine="200" w:firstLineChars="200"/>
      <w:jc w:val="both"/>
    </w:pPr>
    <w:rPr>
      <w:rFonts w:ascii="Times New Roman" w:hAnsi="Times New Roman" w:eastAsia="仿宋_GB2312" w:cs="Times New Roman"/>
      <w:kern w:val="2"/>
      <w:sz w:val="24"/>
      <w:lang w:val="en-US" w:eastAsia="zh-CN" w:bidi="ar-SA"/>
    </w:rPr>
  </w:style>
  <w:style w:type="paragraph" w:customStyle="1" w:styleId="177">
    <w:name w:val="列表段落1"/>
    <w:basedOn w:val="1"/>
    <w:link w:val="389"/>
    <w:autoRedefine/>
    <w:qFormat/>
    <w:uiPriority w:val="0"/>
    <w:pPr>
      <w:adjustRightInd/>
      <w:snapToGrid/>
      <w:spacing w:line="240" w:lineRule="auto"/>
      <w:ind w:firstLine="420"/>
    </w:pPr>
    <w:rPr>
      <w:sz w:val="21"/>
      <w:szCs w:val="24"/>
      <w:lang w:val="zh-CN"/>
    </w:rPr>
  </w:style>
  <w:style w:type="paragraph" w:customStyle="1" w:styleId="178">
    <w:name w:val="表体"/>
    <w:basedOn w:val="1"/>
    <w:link w:val="3710"/>
    <w:autoRedefine/>
    <w:qFormat/>
    <w:uiPriority w:val="0"/>
    <w:pPr>
      <w:overflowPunct w:val="0"/>
      <w:spacing w:line="240" w:lineRule="auto"/>
      <w:ind w:firstLine="0" w:firstLineChars="0"/>
      <w:jc w:val="center"/>
      <w:textAlignment w:val="baseline"/>
    </w:pPr>
    <w:rPr>
      <w:color w:val="000000"/>
      <w:kern w:val="24"/>
      <w:sz w:val="21"/>
    </w:rPr>
  </w:style>
  <w:style w:type="character" w:customStyle="1" w:styleId="179">
    <w:name w:val="正文缩进 字符"/>
    <w:link w:val="21"/>
    <w:autoRedefine/>
    <w:qFormat/>
    <w:uiPriority w:val="0"/>
    <w:rPr>
      <w:kern w:val="2"/>
      <w:sz w:val="21"/>
      <w:szCs w:val="24"/>
    </w:rPr>
  </w:style>
  <w:style w:type="paragraph" w:customStyle="1" w:styleId="180">
    <w:name w:val="图名"/>
    <w:basedOn w:val="1"/>
    <w:link w:val="1001"/>
    <w:autoRedefine/>
    <w:qFormat/>
    <w:uiPriority w:val="0"/>
    <w:pPr>
      <w:spacing w:beforeLines="50" w:line="240" w:lineRule="auto"/>
      <w:ind w:firstLine="0" w:firstLineChars="0"/>
      <w:jc w:val="center"/>
    </w:pPr>
    <w:rPr>
      <w:szCs w:val="21"/>
      <w:lang w:val="zh-CN"/>
    </w:rPr>
  </w:style>
  <w:style w:type="paragraph" w:customStyle="1" w:styleId="181">
    <w:name w:val="表中文字"/>
    <w:basedOn w:val="1"/>
    <w:link w:val="915"/>
    <w:autoRedefine/>
    <w:qFormat/>
    <w:uiPriority w:val="0"/>
    <w:pPr>
      <w:adjustRightInd/>
      <w:spacing w:line="240" w:lineRule="auto"/>
      <w:ind w:firstLine="0" w:firstLineChars="0"/>
      <w:jc w:val="center"/>
    </w:pPr>
    <w:rPr>
      <w:sz w:val="21"/>
      <w:szCs w:val="18"/>
      <w:lang w:val="zh-CN"/>
    </w:rPr>
  </w:style>
  <w:style w:type="paragraph" w:customStyle="1" w:styleId="182">
    <w:name w:val="表格内容"/>
    <w:basedOn w:val="183"/>
    <w:link w:val="411"/>
    <w:autoRedefine/>
    <w:qFormat/>
    <w:uiPriority w:val="0"/>
    <w:pPr>
      <w:contextualSpacing/>
    </w:pPr>
    <w:rPr>
      <w:rFonts w:eastAsia="宋体"/>
      <w:sz w:val="18"/>
      <w:szCs w:val="18"/>
    </w:rPr>
  </w:style>
  <w:style w:type="paragraph" w:customStyle="1" w:styleId="183">
    <w:name w:val="表格标题"/>
    <w:basedOn w:val="22"/>
    <w:next w:val="1"/>
    <w:link w:val="1738"/>
    <w:autoRedefine/>
    <w:qFormat/>
    <w:uiPriority w:val="0"/>
    <w:pPr>
      <w:adjustRightInd/>
      <w:snapToGrid/>
      <w:spacing w:beforeLines="50" w:line="360" w:lineRule="auto"/>
      <w:ind w:firstLine="0" w:firstLineChars="0"/>
    </w:pPr>
    <w:rPr>
      <w:rFonts w:ascii="Calibri" w:hAnsi="Calibri"/>
      <w:bCs w:val="0"/>
      <w:szCs w:val="21"/>
    </w:rPr>
  </w:style>
  <w:style w:type="paragraph" w:customStyle="1" w:styleId="184">
    <w:name w:val="表格文字"/>
    <w:basedOn w:val="185"/>
    <w:link w:val="378"/>
    <w:autoRedefine/>
    <w:qFormat/>
    <w:uiPriority w:val="0"/>
    <w:pPr>
      <w:adjustRightInd/>
      <w:textAlignment w:val="center"/>
    </w:pPr>
    <w:rPr>
      <w:snapToGrid w:val="0"/>
      <w:sz w:val="21"/>
      <w:szCs w:val="21"/>
    </w:rPr>
  </w:style>
  <w:style w:type="paragraph" w:customStyle="1" w:styleId="185">
    <w:name w:val="表头"/>
    <w:basedOn w:val="1"/>
    <w:link w:val="285"/>
    <w:autoRedefine/>
    <w:qFormat/>
    <w:uiPriority w:val="0"/>
    <w:pPr>
      <w:spacing w:line="240" w:lineRule="auto"/>
      <w:ind w:firstLine="0" w:firstLineChars="0"/>
      <w:jc w:val="center"/>
    </w:pPr>
    <w:rPr>
      <w:b/>
      <w:lang w:val="zh-CN"/>
    </w:rPr>
  </w:style>
  <w:style w:type="character" w:customStyle="1" w:styleId="186">
    <w:name w:val="Char Char11"/>
    <w:autoRedefine/>
    <w:qFormat/>
    <w:uiPriority w:val="0"/>
    <w:rPr>
      <w:rFonts w:eastAsia="仿宋_GB2312"/>
      <w:bCs/>
      <w:kern w:val="2"/>
      <w:sz w:val="24"/>
      <w:szCs w:val="32"/>
    </w:rPr>
  </w:style>
  <w:style w:type="paragraph" w:customStyle="1" w:styleId="187">
    <w:name w:val="标题 3 + 首行缩进:  2 字符"/>
    <w:basedOn w:val="5"/>
    <w:autoRedefine/>
    <w:qFormat/>
    <w:uiPriority w:val="0"/>
    <w:pPr>
      <w:numPr>
        <w:ilvl w:val="0"/>
        <w:numId w:val="0"/>
      </w:numPr>
      <w:spacing w:before="120" w:afterLines="50"/>
      <w:ind w:firstLine="480" w:firstLineChars="200"/>
    </w:pPr>
    <w:rPr>
      <w:rFonts w:cs="宋体"/>
      <w:bCs w:val="0"/>
      <w:szCs w:val="20"/>
    </w:rPr>
  </w:style>
  <w:style w:type="paragraph" w:customStyle="1" w:styleId="188">
    <w:name w:val="标题4"/>
    <w:basedOn w:val="1"/>
    <w:link w:val="2142"/>
    <w:autoRedefine/>
    <w:qFormat/>
    <w:uiPriority w:val="0"/>
    <w:pPr>
      <w:adjustRightInd/>
      <w:snapToGrid/>
      <w:outlineLvl w:val="3"/>
    </w:pPr>
    <w:rPr>
      <w:szCs w:val="28"/>
    </w:rPr>
  </w:style>
  <w:style w:type="table" w:customStyle="1" w:styleId="189">
    <w:name w:val="表格样式"/>
    <w:basedOn w:val="88"/>
    <w:autoRedefine/>
    <w:qFormat/>
    <w:uiPriority w:val="0"/>
    <w:pPr>
      <w:snapToGrid w:val="0"/>
      <w:jc w:val="center"/>
      <w:textAlignment w:val="center"/>
    </w:pPr>
    <w:rPr>
      <w:rFonts w:eastAsia="仿宋_GB2312"/>
      <w:snapToGrid w:val="0"/>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bottom w:w="57" w:type="dxa"/>
      </w:tblCellMar>
    </w:tblPr>
    <w:trPr>
      <w:jc w:val="center"/>
    </w:trPr>
    <w:tcPr>
      <w:vAlign w:val="center"/>
    </w:tcPr>
  </w:style>
  <w:style w:type="paragraph" w:customStyle="1" w:styleId="190">
    <w:name w:val="表名"/>
    <w:basedOn w:val="1"/>
    <w:link w:val="1156"/>
    <w:autoRedefine/>
    <w:qFormat/>
    <w:uiPriority w:val="0"/>
    <w:rPr>
      <w:szCs w:val="21"/>
      <w:lang w:val="zh-CN"/>
    </w:rPr>
  </w:style>
  <w:style w:type="paragraph" w:customStyle="1" w:styleId="191">
    <w:name w:val="注释"/>
    <w:basedOn w:val="1"/>
    <w:link w:val="2141"/>
    <w:autoRedefine/>
    <w:qFormat/>
    <w:uiPriority w:val="0"/>
    <w:pPr>
      <w:spacing w:line="240" w:lineRule="auto"/>
    </w:pPr>
    <w:rPr>
      <w:sz w:val="21"/>
      <w:szCs w:val="21"/>
    </w:rPr>
  </w:style>
  <w:style w:type="paragraph" w:customStyle="1" w:styleId="192">
    <w:name w:val="图片文字"/>
    <w:basedOn w:val="191"/>
    <w:autoRedefine/>
    <w:qFormat/>
    <w:uiPriority w:val="0"/>
    <w:pPr>
      <w:ind w:firstLine="0" w:firstLineChars="0"/>
    </w:pPr>
  </w:style>
  <w:style w:type="paragraph" w:customStyle="1" w:styleId="193">
    <w:name w:val="样式 方正魏碑简体 50 磅 居中 行距: 多倍行距 1.25 字行"/>
    <w:basedOn w:val="1"/>
    <w:autoRedefine/>
    <w:qFormat/>
    <w:uiPriority w:val="0"/>
    <w:pPr>
      <w:spacing w:line="300" w:lineRule="auto"/>
      <w:ind w:firstLine="0" w:firstLineChars="0"/>
      <w:jc w:val="center"/>
    </w:pPr>
    <w:rPr>
      <w:rFonts w:ascii="方正魏碑简体" w:eastAsia="方正魏碑简体" w:cs="宋体"/>
      <w:spacing w:val="40"/>
      <w:sz w:val="100"/>
    </w:rPr>
  </w:style>
  <w:style w:type="paragraph" w:customStyle="1" w:styleId="194">
    <w:name w:val="Char2"/>
    <w:basedOn w:val="1"/>
    <w:autoRedefine/>
    <w:qFormat/>
    <w:uiPriority w:val="0"/>
    <w:pPr>
      <w:adjustRightInd/>
      <w:snapToGrid/>
      <w:spacing w:line="240" w:lineRule="auto"/>
      <w:ind w:firstLine="0" w:firstLineChars="0"/>
    </w:pPr>
    <w:rPr>
      <w:rFonts w:ascii="宋体" w:hAnsi="宋体" w:cs="Courier New"/>
      <w:sz w:val="32"/>
      <w:szCs w:val="32"/>
    </w:rPr>
  </w:style>
  <w:style w:type="paragraph" w:customStyle="1" w:styleId="195">
    <w:name w:val="表文字"/>
    <w:basedOn w:val="1"/>
    <w:link w:val="829"/>
    <w:autoRedefine/>
    <w:qFormat/>
    <w:uiPriority w:val="0"/>
    <w:pPr>
      <w:overflowPunct w:val="0"/>
      <w:autoSpaceDE w:val="0"/>
      <w:autoSpaceDN w:val="0"/>
      <w:snapToGrid/>
      <w:spacing w:beforeLines="10" w:afterLines="10" w:line="240" w:lineRule="auto"/>
      <w:ind w:firstLine="0" w:firstLineChars="0"/>
      <w:jc w:val="center"/>
      <w:textAlignment w:val="baseline"/>
    </w:pPr>
    <w:rPr>
      <w:kern w:val="0"/>
      <w:sz w:val="21"/>
      <w:lang w:val="zh-CN"/>
    </w:rPr>
  </w:style>
  <w:style w:type="paragraph" w:customStyle="1" w:styleId="196">
    <w:name w:val="Char21"/>
    <w:basedOn w:val="1"/>
    <w:autoRedefine/>
    <w:qFormat/>
    <w:uiPriority w:val="0"/>
    <w:pPr>
      <w:adjustRightInd/>
      <w:snapToGrid/>
      <w:spacing w:line="240" w:lineRule="auto"/>
      <w:ind w:firstLine="0" w:firstLineChars="0"/>
    </w:pPr>
    <w:rPr>
      <w:rFonts w:ascii="宋体" w:hAnsi="宋体" w:cs="Courier New"/>
      <w:sz w:val="32"/>
      <w:szCs w:val="32"/>
    </w:rPr>
  </w:style>
  <w:style w:type="paragraph" w:customStyle="1" w:styleId="197">
    <w:name w:val="格式正"/>
    <w:basedOn w:val="34"/>
    <w:autoRedefine/>
    <w:qFormat/>
    <w:uiPriority w:val="0"/>
    <w:pPr>
      <w:adjustRightInd/>
      <w:snapToGrid/>
      <w:spacing w:beforeLines="50" w:after="0"/>
      <w:ind w:firstLine="0" w:firstLineChars="0"/>
      <w:jc w:val="left"/>
    </w:pPr>
    <w:rPr>
      <w:rFonts w:ascii="楷体_GB2312" w:eastAsia="楷体_GB2312"/>
      <w:szCs w:val="24"/>
    </w:rPr>
  </w:style>
  <w:style w:type="paragraph" w:customStyle="1" w:styleId="198">
    <w:name w:val="文本框五号"/>
    <w:basedOn w:val="1"/>
    <w:autoRedefine/>
    <w:qFormat/>
    <w:uiPriority w:val="0"/>
    <w:pPr>
      <w:spacing w:line="240" w:lineRule="auto"/>
      <w:jc w:val="center"/>
    </w:pPr>
    <w:rPr>
      <w:sz w:val="21"/>
      <w:szCs w:val="21"/>
    </w:rPr>
  </w:style>
  <w:style w:type="character" w:customStyle="1" w:styleId="199">
    <w:name w:val="正文文本缩进 Char1"/>
    <w:autoRedefine/>
    <w:qFormat/>
    <w:uiPriority w:val="0"/>
    <w:rPr>
      <w:rFonts w:ascii="Times New Roman" w:hAnsi="Times New Roman" w:eastAsia="仿宋_GB2312"/>
      <w:kern w:val="2"/>
      <w:sz w:val="24"/>
      <w:szCs w:val="21"/>
    </w:rPr>
  </w:style>
  <w:style w:type="character" w:customStyle="1" w:styleId="200">
    <w:name w:val="正文首行缩进 2 Char1"/>
    <w:basedOn w:val="199"/>
    <w:autoRedefine/>
    <w:semiHidden/>
    <w:qFormat/>
    <w:uiPriority w:val="99"/>
    <w:rPr>
      <w:rFonts w:ascii="Times New Roman" w:hAnsi="Times New Roman" w:eastAsia="仿宋_GB2312"/>
      <w:kern w:val="2"/>
      <w:sz w:val="24"/>
      <w:szCs w:val="21"/>
    </w:rPr>
  </w:style>
  <w:style w:type="character" w:customStyle="1" w:styleId="201">
    <w:name w:val="批注主题 Char1"/>
    <w:autoRedefine/>
    <w:qFormat/>
    <w:uiPriority w:val="99"/>
    <w:rPr>
      <w:b/>
      <w:bCs/>
    </w:rPr>
  </w:style>
  <w:style w:type="paragraph" w:customStyle="1" w:styleId="202">
    <w:name w:val="样式1"/>
    <w:basedOn w:val="1"/>
    <w:link w:val="428"/>
    <w:autoRedefine/>
    <w:qFormat/>
    <w:uiPriority w:val="0"/>
    <w:pPr>
      <w:spacing w:line="240" w:lineRule="auto"/>
      <w:ind w:firstLine="0" w:firstLineChars="0"/>
      <w:jc w:val="center"/>
      <w:textAlignment w:val="baseline"/>
    </w:pPr>
    <w:rPr>
      <w:rFonts w:ascii="仿宋_GB2312"/>
      <w:sz w:val="21"/>
      <w:szCs w:val="21"/>
      <w:lang w:val="zh-CN"/>
    </w:rPr>
  </w:style>
  <w:style w:type="paragraph" w:customStyle="1" w:styleId="203">
    <w:name w:val="正文1"/>
    <w:basedOn w:val="1"/>
    <w:next w:val="1"/>
    <w:link w:val="483"/>
    <w:autoRedefine/>
    <w:qFormat/>
    <w:uiPriority w:val="0"/>
    <w:rPr>
      <w:rFonts w:ascii="宋体" w:hAnsi="宋体"/>
      <w:szCs w:val="26"/>
      <w:lang w:val="zh-CN"/>
    </w:rPr>
  </w:style>
  <w:style w:type="paragraph" w:customStyle="1" w:styleId="204">
    <w:name w:val="Char Char Char1 Char"/>
    <w:basedOn w:val="1"/>
    <w:autoRedefine/>
    <w:qFormat/>
    <w:uiPriority w:val="0"/>
    <w:pPr>
      <w:adjustRightInd/>
      <w:snapToGrid/>
      <w:spacing w:line="240" w:lineRule="auto"/>
      <w:ind w:firstLine="0" w:firstLineChars="0"/>
    </w:pPr>
    <w:rPr>
      <w:sz w:val="21"/>
      <w:szCs w:val="24"/>
    </w:rPr>
  </w:style>
  <w:style w:type="paragraph" w:customStyle="1" w:styleId="205">
    <w:name w:val="font5"/>
    <w:basedOn w:val="1"/>
    <w:autoRedefine/>
    <w:qFormat/>
    <w:uiPriority w:val="0"/>
    <w:pPr>
      <w:widowControl/>
      <w:adjustRightInd/>
      <w:snapToGrid/>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206">
    <w:name w:val="font6"/>
    <w:basedOn w:val="1"/>
    <w:autoRedefine/>
    <w:qFormat/>
    <w:uiPriority w:val="0"/>
    <w:pPr>
      <w:widowControl/>
      <w:adjustRightInd/>
      <w:snapToGrid/>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207">
    <w:name w:val="font7"/>
    <w:basedOn w:val="1"/>
    <w:autoRedefine/>
    <w:qFormat/>
    <w:uiPriority w:val="0"/>
    <w:pPr>
      <w:widowControl/>
      <w:adjustRightInd/>
      <w:snapToGrid/>
      <w:spacing w:before="100" w:beforeAutospacing="1" w:after="100" w:afterAutospacing="1" w:line="240" w:lineRule="auto"/>
      <w:ind w:firstLine="0" w:firstLineChars="0"/>
      <w:jc w:val="left"/>
    </w:pPr>
    <w:rPr>
      <w:rFonts w:ascii="宋体" w:hAnsi="宋体" w:cs="宋体"/>
      <w:b/>
      <w:bCs/>
      <w:color w:val="000000"/>
      <w:kern w:val="0"/>
      <w:sz w:val="18"/>
      <w:szCs w:val="18"/>
    </w:rPr>
  </w:style>
  <w:style w:type="paragraph" w:customStyle="1" w:styleId="208">
    <w:name w:val="font8"/>
    <w:basedOn w:val="1"/>
    <w:autoRedefine/>
    <w:qFormat/>
    <w:uiPriority w:val="0"/>
    <w:pPr>
      <w:widowControl/>
      <w:adjustRightInd/>
      <w:snapToGrid/>
      <w:spacing w:before="100" w:beforeAutospacing="1" w:after="100" w:afterAutospacing="1" w:line="240" w:lineRule="auto"/>
      <w:ind w:firstLine="0" w:firstLineChars="0"/>
      <w:jc w:val="left"/>
    </w:pPr>
    <w:rPr>
      <w:rFonts w:ascii="Tahoma" w:hAnsi="Tahoma" w:cs="Tahoma"/>
      <w:b/>
      <w:bCs/>
      <w:color w:val="000000"/>
      <w:kern w:val="0"/>
      <w:sz w:val="18"/>
      <w:szCs w:val="18"/>
    </w:rPr>
  </w:style>
  <w:style w:type="paragraph" w:customStyle="1" w:styleId="209">
    <w:name w:val="font9"/>
    <w:basedOn w:val="1"/>
    <w:autoRedefine/>
    <w:qFormat/>
    <w:uiPriority w:val="0"/>
    <w:pPr>
      <w:widowControl/>
      <w:adjustRightInd/>
      <w:snapToGrid/>
      <w:spacing w:before="100" w:beforeAutospacing="1" w:after="100" w:afterAutospacing="1" w:line="240" w:lineRule="auto"/>
      <w:ind w:firstLine="0" w:firstLineChars="0"/>
      <w:jc w:val="left"/>
    </w:pPr>
    <w:rPr>
      <w:rFonts w:ascii="Tahoma" w:hAnsi="Tahoma" w:cs="Tahoma"/>
      <w:color w:val="000000"/>
      <w:kern w:val="0"/>
      <w:sz w:val="18"/>
      <w:szCs w:val="18"/>
    </w:rPr>
  </w:style>
  <w:style w:type="paragraph" w:customStyle="1" w:styleId="210">
    <w:name w:val="font10"/>
    <w:basedOn w:val="1"/>
    <w:autoRedefine/>
    <w:qFormat/>
    <w:uiPriority w:val="0"/>
    <w:pPr>
      <w:widowControl/>
      <w:adjustRightInd/>
      <w:snapToGrid/>
      <w:spacing w:before="100" w:beforeAutospacing="1" w:after="100" w:afterAutospacing="1" w:line="240" w:lineRule="auto"/>
      <w:ind w:firstLine="0" w:firstLineChars="0"/>
      <w:jc w:val="left"/>
    </w:pPr>
    <w:rPr>
      <w:rFonts w:ascii="宋体" w:hAnsi="宋体" w:cs="宋体"/>
      <w:color w:val="000000"/>
      <w:kern w:val="0"/>
      <w:sz w:val="18"/>
      <w:szCs w:val="18"/>
    </w:rPr>
  </w:style>
  <w:style w:type="paragraph" w:customStyle="1" w:styleId="211">
    <w:name w:val="font11"/>
    <w:basedOn w:val="1"/>
    <w:autoRedefine/>
    <w:qFormat/>
    <w:uiPriority w:val="0"/>
    <w:pPr>
      <w:widowControl/>
      <w:adjustRightInd/>
      <w:snapToGrid/>
      <w:spacing w:before="100" w:beforeAutospacing="1" w:after="100" w:afterAutospacing="1" w:line="240" w:lineRule="auto"/>
      <w:ind w:firstLine="0" w:firstLineChars="0"/>
      <w:jc w:val="left"/>
    </w:pPr>
    <w:rPr>
      <w:rFonts w:ascii="仿宋_GB2312" w:hAnsi="宋体" w:cs="宋体"/>
      <w:kern w:val="0"/>
      <w:sz w:val="20"/>
    </w:rPr>
  </w:style>
  <w:style w:type="paragraph" w:customStyle="1" w:styleId="212">
    <w:name w:val="font12"/>
    <w:basedOn w:val="1"/>
    <w:autoRedefine/>
    <w:qFormat/>
    <w:uiPriority w:val="0"/>
    <w:pPr>
      <w:widowControl/>
      <w:adjustRightInd/>
      <w:snapToGrid/>
      <w:spacing w:before="100" w:beforeAutospacing="1" w:after="100" w:afterAutospacing="1" w:line="240" w:lineRule="auto"/>
      <w:ind w:firstLine="0" w:firstLineChars="0"/>
      <w:jc w:val="left"/>
    </w:pPr>
    <w:rPr>
      <w:kern w:val="0"/>
      <w:sz w:val="20"/>
    </w:rPr>
  </w:style>
  <w:style w:type="paragraph" w:customStyle="1" w:styleId="213">
    <w:name w:val="xl66"/>
    <w:basedOn w:val="1"/>
    <w:autoRedefine/>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kern w:val="0"/>
      <w:sz w:val="21"/>
      <w:szCs w:val="21"/>
    </w:rPr>
  </w:style>
  <w:style w:type="paragraph" w:customStyle="1" w:styleId="214">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仿宋_GB2312" w:hAnsi="宋体" w:cs="宋体"/>
      <w:kern w:val="0"/>
      <w:sz w:val="20"/>
    </w:rPr>
  </w:style>
  <w:style w:type="paragraph" w:customStyle="1" w:styleId="215">
    <w:name w:val="xl68"/>
    <w:basedOn w:val="1"/>
    <w:autoRedefine/>
    <w:qFormat/>
    <w:uiPriority w:val="0"/>
    <w:pPr>
      <w:widowControl/>
      <w:adjustRightInd/>
      <w:snapToGrid/>
      <w:spacing w:before="100" w:beforeAutospacing="1" w:after="100" w:afterAutospacing="1" w:line="240" w:lineRule="auto"/>
      <w:ind w:firstLine="0" w:firstLineChars="0"/>
      <w:jc w:val="left"/>
    </w:pPr>
    <w:rPr>
      <w:kern w:val="0"/>
      <w:szCs w:val="24"/>
    </w:rPr>
  </w:style>
  <w:style w:type="paragraph" w:customStyle="1" w:styleId="216">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kern w:val="0"/>
      <w:sz w:val="20"/>
    </w:rPr>
  </w:style>
  <w:style w:type="paragraph" w:customStyle="1" w:styleId="217">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kern w:val="0"/>
      <w:sz w:val="20"/>
    </w:rPr>
  </w:style>
  <w:style w:type="paragraph" w:customStyle="1" w:styleId="218">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kern w:val="0"/>
      <w:sz w:val="20"/>
    </w:rPr>
  </w:style>
  <w:style w:type="paragraph" w:customStyle="1" w:styleId="219">
    <w:name w:val="xl72"/>
    <w:basedOn w:val="1"/>
    <w:autoRedefine/>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kern w:val="0"/>
      <w:sz w:val="20"/>
    </w:rPr>
  </w:style>
  <w:style w:type="paragraph" w:customStyle="1" w:styleId="220">
    <w:name w:val="xl73"/>
    <w:basedOn w:val="1"/>
    <w:autoRedefine/>
    <w:qFormat/>
    <w:uiPriority w:val="0"/>
    <w:pPr>
      <w:widowControl/>
      <w:pBdr>
        <w:top w:val="single" w:color="auto" w:sz="4" w:space="0"/>
        <w:left w:val="single" w:color="auto" w:sz="4" w:space="0"/>
        <w:right w:val="single" w:color="auto" w:sz="4" w:space="0"/>
      </w:pBdr>
      <w:adjustRightInd/>
      <w:snapToGrid/>
      <w:spacing w:before="100" w:beforeAutospacing="1" w:after="100" w:afterAutospacing="1" w:line="240" w:lineRule="auto"/>
      <w:ind w:firstLine="0" w:firstLineChars="0"/>
      <w:jc w:val="center"/>
    </w:pPr>
    <w:rPr>
      <w:kern w:val="0"/>
      <w:sz w:val="20"/>
    </w:rPr>
  </w:style>
  <w:style w:type="paragraph" w:customStyle="1" w:styleId="221">
    <w:name w:val="xl74"/>
    <w:basedOn w:val="1"/>
    <w:autoRedefine/>
    <w:qFormat/>
    <w:uiPriority w:val="0"/>
    <w:pPr>
      <w:widowControl/>
      <w:pBdr>
        <w:left w:val="single" w:color="auto" w:sz="4" w:space="0"/>
        <w:right w:val="single" w:color="auto" w:sz="4" w:space="0"/>
      </w:pBdr>
      <w:adjustRightInd/>
      <w:snapToGrid/>
      <w:spacing w:before="100" w:beforeAutospacing="1" w:after="100" w:afterAutospacing="1" w:line="240" w:lineRule="auto"/>
      <w:ind w:firstLine="0" w:firstLineChars="0"/>
      <w:jc w:val="center"/>
    </w:pPr>
    <w:rPr>
      <w:kern w:val="0"/>
      <w:sz w:val="20"/>
    </w:rPr>
  </w:style>
  <w:style w:type="paragraph" w:customStyle="1" w:styleId="222">
    <w:name w:val="xl75"/>
    <w:basedOn w:val="1"/>
    <w:autoRedefine/>
    <w:qFormat/>
    <w:uiPriority w:val="0"/>
    <w:pPr>
      <w:widowControl/>
      <w:pBdr>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kern w:val="0"/>
      <w:sz w:val="20"/>
    </w:rPr>
  </w:style>
  <w:style w:type="paragraph" w:customStyle="1" w:styleId="223">
    <w:name w:val="xl76"/>
    <w:basedOn w:val="1"/>
    <w:autoRedefine/>
    <w:qFormat/>
    <w:uiPriority w:val="0"/>
    <w:pPr>
      <w:widowControl/>
      <w:pBdr>
        <w:top w:val="single" w:color="auto" w:sz="4" w:space="0"/>
        <w:left w:val="single" w:color="auto" w:sz="4" w:space="0"/>
        <w:right w:val="single" w:color="auto" w:sz="4" w:space="0"/>
      </w:pBdr>
      <w:adjustRightInd/>
      <w:snapToGrid/>
      <w:spacing w:before="100" w:beforeAutospacing="1" w:after="100" w:afterAutospacing="1" w:line="240" w:lineRule="auto"/>
      <w:ind w:firstLine="0" w:firstLineChars="0"/>
      <w:jc w:val="center"/>
    </w:pPr>
    <w:rPr>
      <w:rFonts w:ascii="仿宋_GB2312" w:hAnsi="宋体" w:cs="宋体"/>
      <w:kern w:val="0"/>
      <w:sz w:val="20"/>
    </w:rPr>
  </w:style>
  <w:style w:type="paragraph" w:customStyle="1" w:styleId="224">
    <w:name w:val="xl77"/>
    <w:basedOn w:val="1"/>
    <w:autoRedefine/>
    <w:qFormat/>
    <w:uiPriority w:val="0"/>
    <w:pPr>
      <w:widowControl/>
      <w:pBdr>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仿宋_GB2312" w:hAnsi="宋体" w:cs="宋体"/>
      <w:kern w:val="0"/>
      <w:sz w:val="20"/>
    </w:rPr>
  </w:style>
  <w:style w:type="paragraph" w:customStyle="1" w:styleId="225">
    <w:name w:val="font13"/>
    <w:basedOn w:val="1"/>
    <w:autoRedefine/>
    <w:qFormat/>
    <w:uiPriority w:val="0"/>
    <w:pPr>
      <w:widowControl/>
      <w:adjustRightInd/>
      <w:snapToGrid/>
      <w:spacing w:before="100" w:beforeAutospacing="1" w:after="100" w:afterAutospacing="1" w:line="240" w:lineRule="auto"/>
      <w:ind w:firstLine="0" w:firstLineChars="0"/>
      <w:jc w:val="left"/>
    </w:pPr>
    <w:rPr>
      <w:kern w:val="0"/>
      <w:sz w:val="21"/>
      <w:szCs w:val="21"/>
    </w:rPr>
  </w:style>
  <w:style w:type="paragraph" w:customStyle="1" w:styleId="226">
    <w:name w:val="font14"/>
    <w:basedOn w:val="1"/>
    <w:autoRedefine/>
    <w:qFormat/>
    <w:uiPriority w:val="0"/>
    <w:pPr>
      <w:widowControl/>
      <w:adjustRightInd/>
      <w:snapToGrid/>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227">
    <w:name w:val="font15"/>
    <w:basedOn w:val="1"/>
    <w:autoRedefine/>
    <w:qFormat/>
    <w:uiPriority w:val="0"/>
    <w:pPr>
      <w:widowControl/>
      <w:adjustRightInd/>
      <w:snapToGrid/>
      <w:spacing w:before="100" w:beforeAutospacing="1" w:after="100" w:afterAutospacing="1" w:line="240" w:lineRule="auto"/>
      <w:ind w:firstLine="0" w:firstLineChars="0"/>
      <w:jc w:val="left"/>
    </w:pPr>
    <w:rPr>
      <w:rFonts w:ascii="仿宋_GB2312" w:hAnsi="宋体" w:cs="宋体"/>
      <w:color w:val="000000"/>
      <w:kern w:val="0"/>
      <w:sz w:val="21"/>
      <w:szCs w:val="21"/>
    </w:rPr>
  </w:style>
  <w:style w:type="paragraph" w:customStyle="1" w:styleId="228">
    <w:name w:val="font16"/>
    <w:basedOn w:val="1"/>
    <w:autoRedefine/>
    <w:qFormat/>
    <w:uiPriority w:val="0"/>
    <w:pPr>
      <w:widowControl/>
      <w:adjustRightInd/>
      <w:snapToGrid/>
      <w:spacing w:before="100" w:beforeAutospacing="1" w:after="100" w:afterAutospacing="1" w:line="240" w:lineRule="auto"/>
      <w:ind w:firstLine="0" w:firstLineChars="0"/>
      <w:jc w:val="left"/>
    </w:pPr>
    <w:rPr>
      <w:color w:val="000000"/>
      <w:kern w:val="0"/>
      <w:sz w:val="21"/>
      <w:szCs w:val="21"/>
    </w:rPr>
  </w:style>
  <w:style w:type="paragraph" w:customStyle="1" w:styleId="229">
    <w:name w:val="font17"/>
    <w:basedOn w:val="1"/>
    <w:autoRedefine/>
    <w:qFormat/>
    <w:uiPriority w:val="0"/>
    <w:pPr>
      <w:widowControl/>
      <w:adjustRightInd/>
      <w:snapToGrid/>
      <w:spacing w:before="100" w:beforeAutospacing="1" w:after="100" w:afterAutospacing="1" w:line="240" w:lineRule="auto"/>
      <w:ind w:firstLine="0" w:firstLineChars="0"/>
      <w:jc w:val="left"/>
    </w:pPr>
    <w:rPr>
      <w:rFonts w:ascii="宋体" w:hAnsi="宋体" w:cs="宋体"/>
      <w:kern w:val="0"/>
      <w:sz w:val="21"/>
      <w:szCs w:val="21"/>
    </w:rPr>
  </w:style>
  <w:style w:type="paragraph" w:customStyle="1" w:styleId="230">
    <w:name w:val="font18"/>
    <w:basedOn w:val="1"/>
    <w:autoRedefine/>
    <w:qFormat/>
    <w:uiPriority w:val="0"/>
    <w:pPr>
      <w:widowControl/>
      <w:adjustRightInd/>
      <w:snapToGrid/>
      <w:spacing w:before="100" w:beforeAutospacing="1" w:after="100" w:afterAutospacing="1" w:line="240" w:lineRule="auto"/>
      <w:ind w:firstLine="0" w:firstLineChars="0"/>
      <w:jc w:val="left"/>
    </w:pPr>
    <w:rPr>
      <w:color w:val="000000"/>
      <w:kern w:val="0"/>
      <w:sz w:val="21"/>
      <w:szCs w:val="21"/>
    </w:rPr>
  </w:style>
  <w:style w:type="paragraph" w:customStyle="1" w:styleId="231">
    <w:name w:val="font19"/>
    <w:basedOn w:val="1"/>
    <w:autoRedefine/>
    <w:qFormat/>
    <w:uiPriority w:val="0"/>
    <w:pPr>
      <w:widowControl/>
      <w:adjustRightInd/>
      <w:snapToGrid/>
      <w:spacing w:before="100" w:beforeAutospacing="1" w:after="100" w:afterAutospacing="1" w:line="240" w:lineRule="auto"/>
      <w:ind w:firstLine="0" w:firstLineChars="0"/>
      <w:jc w:val="left"/>
    </w:pPr>
    <w:rPr>
      <w:rFonts w:ascii="仿宋_GB2312" w:hAnsi="宋体" w:cs="宋体"/>
      <w:color w:val="000000"/>
      <w:kern w:val="0"/>
      <w:sz w:val="21"/>
      <w:szCs w:val="21"/>
    </w:rPr>
  </w:style>
  <w:style w:type="paragraph" w:customStyle="1" w:styleId="232">
    <w:name w:val="xl155"/>
    <w:basedOn w:val="1"/>
    <w:autoRedefine/>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kern w:val="0"/>
      <w:sz w:val="21"/>
      <w:szCs w:val="21"/>
    </w:rPr>
  </w:style>
  <w:style w:type="paragraph" w:customStyle="1" w:styleId="233">
    <w:name w:val="xl156"/>
    <w:basedOn w:val="1"/>
    <w:autoRedefine/>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仿宋_GB2312" w:hAnsi="宋体" w:cs="宋体"/>
      <w:kern w:val="0"/>
      <w:sz w:val="21"/>
      <w:szCs w:val="21"/>
    </w:rPr>
  </w:style>
  <w:style w:type="paragraph" w:customStyle="1" w:styleId="234">
    <w:name w:val="xl157"/>
    <w:basedOn w:val="1"/>
    <w:autoRedefine/>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kern w:val="0"/>
      <w:sz w:val="21"/>
      <w:szCs w:val="21"/>
    </w:rPr>
  </w:style>
  <w:style w:type="paragraph" w:customStyle="1" w:styleId="235">
    <w:name w:val="xl158"/>
    <w:basedOn w:val="1"/>
    <w:autoRedefine/>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kern w:val="0"/>
      <w:sz w:val="21"/>
      <w:szCs w:val="21"/>
    </w:rPr>
  </w:style>
  <w:style w:type="paragraph" w:customStyle="1" w:styleId="236">
    <w:name w:val="xl159"/>
    <w:basedOn w:val="1"/>
    <w:autoRedefine/>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kern w:val="0"/>
      <w:sz w:val="21"/>
      <w:szCs w:val="21"/>
    </w:rPr>
  </w:style>
  <w:style w:type="paragraph" w:customStyle="1" w:styleId="237">
    <w:name w:val="xl160"/>
    <w:basedOn w:val="1"/>
    <w:autoRedefine/>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仿宋_GB2312" w:hAnsi="宋体" w:cs="宋体"/>
      <w:kern w:val="0"/>
      <w:sz w:val="21"/>
      <w:szCs w:val="21"/>
    </w:rPr>
  </w:style>
  <w:style w:type="paragraph" w:customStyle="1" w:styleId="238">
    <w:name w:val="xl161"/>
    <w:basedOn w:val="1"/>
    <w:autoRedefine/>
    <w:qFormat/>
    <w:uiPriority w:val="0"/>
    <w:pPr>
      <w:widowControl/>
      <w:adjustRightInd/>
      <w:snapToGrid/>
      <w:spacing w:before="100" w:beforeAutospacing="1" w:after="100" w:afterAutospacing="1" w:line="240" w:lineRule="auto"/>
      <w:ind w:firstLine="0" w:firstLineChars="0"/>
      <w:jc w:val="center"/>
      <w:textAlignment w:val="center"/>
    </w:pPr>
    <w:rPr>
      <w:color w:val="000000"/>
      <w:kern w:val="0"/>
      <w:sz w:val="22"/>
    </w:rPr>
  </w:style>
  <w:style w:type="paragraph" w:customStyle="1" w:styleId="239">
    <w:name w:val="xl162"/>
    <w:basedOn w:val="1"/>
    <w:autoRedefine/>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kern w:val="0"/>
      <w:sz w:val="21"/>
      <w:szCs w:val="21"/>
    </w:rPr>
  </w:style>
  <w:style w:type="paragraph" w:customStyle="1" w:styleId="240">
    <w:name w:val="xl163"/>
    <w:basedOn w:val="1"/>
    <w:autoRedefine/>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kern w:val="0"/>
      <w:sz w:val="21"/>
      <w:szCs w:val="21"/>
    </w:rPr>
  </w:style>
  <w:style w:type="paragraph" w:customStyle="1" w:styleId="241">
    <w:name w:val="xl164"/>
    <w:basedOn w:val="1"/>
    <w:autoRedefine/>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仿宋_GB2312" w:hAnsi="宋体" w:cs="宋体"/>
      <w:kern w:val="0"/>
      <w:sz w:val="21"/>
      <w:szCs w:val="21"/>
    </w:rPr>
  </w:style>
  <w:style w:type="paragraph" w:customStyle="1" w:styleId="242">
    <w:name w:val="xl165"/>
    <w:basedOn w:val="1"/>
    <w:autoRedefine/>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color w:val="000000"/>
      <w:kern w:val="0"/>
      <w:sz w:val="21"/>
      <w:szCs w:val="21"/>
    </w:rPr>
  </w:style>
  <w:style w:type="paragraph" w:customStyle="1" w:styleId="243">
    <w:name w:val="xl166"/>
    <w:basedOn w:val="1"/>
    <w:autoRedefine/>
    <w:qFormat/>
    <w:uiPriority w:val="0"/>
    <w:pPr>
      <w:widowControl/>
      <w:adjustRightInd/>
      <w:snapToGrid/>
      <w:spacing w:before="100" w:beforeAutospacing="1" w:after="100" w:afterAutospacing="1" w:line="240" w:lineRule="auto"/>
      <w:ind w:firstLine="0" w:firstLineChars="0"/>
      <w:jc w:val="center"/>
      <w:textAlignment w:val="center"/>
    </w:pPr>
    <w:rPr>
      <w:color w:val="000000"/>
      <w:kern w:val="0"/>
      <w:sz w:val="22"/>
    </w:rPr>
  </w:style>
  <w:style w:type="paragraph" w:customStyle="1" w:styleId="244">
    <w:name w:val="xl167"/>
    <w:basedOn w:val="1"/>
    <w:autoRedefine/>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pPr>
    <w:rPr>
      <w:rFonts w:ascii="宋体" w:hAnsi="宋体" w:cs="宋体"/>
      <w:kern w:val="0"/>
      <w:szCs w:val="24"/>
    </w:rPr>
  </w:style>
  <w:style w:type="paragraph" w:customStyle="1" w:styleId="245">
    <w:name w:val="xl168"/>
    <w:basedOn w:val="1"/>
    <w:autoRedefine/>
    <w:qFormat/>
    <w:uiPriority w:val="0"/>
    <w:pPr>
      <w:widowControl/>
      <w:adjustRightInd/>
      <w:snapToGrid/>
      <w:spacing w:before="100" w:beforeAutospacing="1" w:after="100" w:afterAutospacing="1" w:line="240" w:lineRule="auto"/>
      <w:ind w:firstLine="0" w:firstLineChars="0"/>
      <w:jc w:val="center"/>
      <w:textAlignment w:val="center"/>
    </w:pPr>
    <w:rPr>
      <w:color w:val="0000CC"/>
      <w:kern w:val="0"/>
      <w:sz w:val="22"/>
    </w:rPr>
  </w:style>
  <w:style w:type="paragraph" w:customStyle="1" w:styleId="246">
    <w:name w:val="xl169"/>
    <w:basedOn w:val="1"/>
    <w:autoRedefine/>
    <w:qFormat/>
    <w:uiPriority w:val="0"/>
    <w:pPr>
      <w:widowControl/>
      <w:adjustRightInd/>
      <w:snapToGrid/>
      <w:spacing w:before="100" w:beforeAutospacing="1" w:after="100" w:afterAutospacing="1" w:line="240" w:lineRule="auto"/>
      <w:ind w:firstLine="0" w:firstLineChars="0"/>
      <w:jc w:val="center"/>
      <w:textAlignment w:val="center"/>
    </w:pPr>
    <w:rPr>
      <w:kern w:val="0"/>
      <w:sz w:val="21"/>
      <w:szCs w:val="21"/>
    </w:rPr>
  </w:style>
  <w:style w:type="paragraph" w:customStyle="1" w:styleId="247">
    <w:name w:val="xl170"/>
    <w:basedOn w:val="1"/>
    <w:autoRedefine/>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color w:val="000000"/>
      <w:kern w:val="0"/>
      <w:sz w:val="21"/>
      <w:szCs w:val="21"/>
    </w:rPr>
  </w:style>
  <w:style w:type="paragraph" w:customStyle="1" w:styleId="248">
    <w:name w:val="xl171"/>
    <w:basedOn w:val="1"/>
    <w:autoRedefine/>
    <w:qFormat/>
    <w:uiPriority w:val="0"/>
    <w:pPr>
      <w:widowControl/>
      <w:pBdr>
        <w:top w:val="single" w:color="auto" w:sz="4" w:space="0"/>
        <w:bottom w:val="single" w:color="auto" w:sz="4" w:space="0"/>
      </w:pBdr>
      <w:adjustRightInd/>
      <w:snapToGrid/>
      <w:spacing w:before="100" w:beforeAutospacing="1" w:after="100" w:afterAutospacing="1" w:line="240" w:lineRule="auto"/>
      <w:ind w:firstLine="0" w:firstLineChars="0"/>
      <w:jc w:val="center"/>
      <w:textAlignment w:val="center"/>
    </w:pPr>
    <w:rPr>
      <w:kern w:val="0"/>
      <w:sz w:val="21"/>
      <w:szCs w:val="21"/>
    </w:rPr>
  </w:style>
  <w:style w:type="paragraph" w:customStyle="1" w:styleId="249">
    <w:name w:val="xl172"/>
    <w:basedOn w:val="1"/>
    <w:autoRedefine/>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color w:val="000000"/>
      <w:kern w:val="0"/>
      <w:sz w:val="22"/>
    </w:rPr>
  </w:style>
  <w:style w:type="paragraph" w:customStyle="1" w:styleId="250">
    <w:name w:val="xl173"/>
    <w:basedOn w:val="1"/>
    <w:autoRedefine/>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color w:val="000000"/>
      <w:kern w:val="0"/>
      <w:sz w:val="21"/>
      <w:szCs w:val="21"/>
    </w:rPr>
  </w:style>
  <w:style w:type="paragraph" w:customStyle="1" w:styleId="251">
    <w:name w:val="xl174"/>
    <w:basedOn w:val="1"/>
    <w:autoRedefine/>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color w:val="000000"/>
      <w:kern w:val="0"/>
      <w:sz w:val="22"/>
    </w:rPr>
  </w:style>
  <w:style w:type="paragraph" w:customStyle="1" w:styleId="252">
    <w:name w:val="xl175"/>
    <w:basedOn w:val="1"/>
    <w:autoRedefine/>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kern w:val="0"/>
      <w:sz w:val="21"/>
      <w:szCs w:val="21"/>
    </w:rPr>
  </w:style>
  <w:style w:type="paragraph" w:customStyle="1" w:styleId="253">
    <w:name w:val="xl176"/>
    <w:basedOn w:val="1"/>
    <w:autoRedefine/>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color w:val="000000"/>
      <w:kern w:val="0"/>
      <w:sz w:val="22"/>
    </w:rPr>
  </w:style>
  <w:style w:type="paragraph" w:customStyle="1" w:styleId="254">
    <w:name w:val="xl177"/>
    <w:basedOn w:val="1"/>
    <w:autoRedefine/>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kern w:val="0"/>
      <w:sz w:val="21"/>
      <w:szCs w:val="21"/>
    </w:rPr>
  </w:style>
  <w:style w:type="paragraph" w:customStyle="1" w:styleId="255">
    <w:name w:val="xl178"/>
    <w:basedOn w:val="1"/>
    <w:autoRedefine/>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color w:val="000000"/>
      <w:kern w:val="0"/>
      <w:sz w:val="21"/>
      <w:szCs w:val="21"/>
    </w:rPr>
  </w:style>
  <w:style w:type="paragraph" w:customStyle="1" w:styleId="256">
    <w:name w:val="xl179"/>
    <w:basedOn w:val="1"/>
    <w:autoRedefine/>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仿宋_GB2312" w:hAnsi="宋体" w:cs="宋体"/>
      <w:color w:val="000000"/>
      <w:kern w:val="0"/>
      <w:sz w:val="21"/>
      <w:szCs w:val="21"/>
    </w:rPr>
  </w:style>
  <w:style w:type="paragraph" w:customStyle="1" w:styleId="257">
    <w:name w:val="xl180"/>
    <w:basedOn w:val="1"/>
    <w:autoRedefine/>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color w:val="0000CC"/>
      <w:kern w:val="0"/>
      <w:sz w:val="22"/>
    </w:rPr>
  </w:style>
  <w:style w:type="paragraph" w:customStyle="1" w:styleId="258">
    <w:name w:val="xl181"/>
    <w:basedOn w:val="1"/>
    <w:autoRedefine/>
    <w:qFormat/>
    <w:uiPriority w:val="0"/>
    <w:pPr>
      <w:widowControl/>
      <w:pBdr>
        <w:top w:val="single" w:color="auto" w:sz="4" w:space="0"/>
        <w:bottom w:val="single" w:color="auto" w:sz="4" w:space="0"/>
      </w:pBdr>
      <w:adjustRightInd/>
      <w:snapToGrid/>
      <w:spacing w:before="100" w:beforeAutospacing="1" w:after="100" w:afterAutospacing="1" w:line="240" w:lineRule="auto"/>
      <w:ind w:firstLine="0" w:firstLineChars="0"/>
      <w:jc w:val="center"/>
    </w:pPr>
    <w:rPr>
      <w:kern w:val="0"/>
      <w:sz w:val="21"/>
      <w:szCs w:val="21"/>
    </w:rPr>
  </w:style>
  <w:style w:type="paragraph" w:customStyle="1" w:styleId="259">
    <w:name w:val="xl182"/>
    <w:basedOn w:val="1"/>
    <w:autoRedefine/>
    <w:qFormat/>
    <w:uiPriority w:val="0"/>
    <w:pPr>
      <w:widowControl/>
      <w:pBdr>
        <w:top w:val="single" w:color="auto" w:sz="4" w:space="0"/>
        <w:left w:val="single" w:color="auto" w:sz="4" w:space="0"/>
        <w:bottom w:val="single" w:color="auto" w:sz="4" w:space="0"/>
      </w:pBdr>
      <w:adjustRightInd/>
      <w:snapToGrid/>
      <w:spacing w:before="100" w:beforeAutospacing="1" w:after="100" w:afterAutospacing="1" w:line="240" w:lineRule="auto"/>
      <w:ind w:firstLine="0" w:firstLineChars="0"/>
      <w:jc w:val="center"/>
    </w:pPr>
    <w:rPr>
      <w:rFonts w:ascii="宋体" w:hAnsi="宋体" w:cs="宋体"/>
      <w:kern w:val="0"/>
      <w:sz w:val="21"/>
      <w:szCs w:val="21"/>
    </w:rPr>
  </w:style>
  <w:style w:type="paragraph" w:customStyle="1" w:styleId="260">
    <w:name w:val="xl183"/>
    <w:basedOn w:val="1"/>
    <w:autoRedefine/>
    <w:qFormat/>
    <w:uiPriority w:val="0"/>
    <w:pPr>
      <w:widowControl/>
      <w:pBdr>
        <w:top w:val="single" w:color="auto" w:sz="4" w:space="0"/>
        <w:bottom w:val="single" w:color="auto" w:sz="4" w:space="0"/>
      </w:pBdr>
      <w:adjustRightInd/>
      <w:snapToGrid/>
      <w:spacing w:before="100" w:beforeAutospacing="1" w:after="100" w:afterAutospacing="1" w:line="240" w:lineRule="auto"/>
      <w:ind w:firstLine="0" w:firstLineChars="0"/>
      <w:jc w:val="center"/>
      <w:textAlignment w:val="center"/>
    </w:pPr>
    <w:rPr>
      <w:color w:val="000000"/>
      <w:kern w:val="0"/>
      <w:sz w:val="22"/>
    </w:rPr>
  </w:style>
  <w:style w:type="paragraph" w:customStyle="1" w:styleId="261">
    <w:name w:val="xl184"/>
    <w:basedOn w:val="1"/>
    <w:autoRedefine/>
    <w:qFormat/>
    <w:uiPriority w:val="0"/>
    <w:pPr>
      <w:widowControl/>
      <w:pBdr>
        <w:top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color w:val="000000"/>
      <w:kern w:val="0"/>
      <w:sz w:val="22"/>
    </w:rPr>
  </w:style>
  <w:style w:type="paragraph" w:customStyle="1" w:styleId="262">
    <w:name w:val="xl185"/>
    <w:basedOn w:val="1"/>
    <w:autoRedefine/>
    <w:qFormat/>
    <w:uiPriority w:val="0"/>
    <w:pPr>
      <w:widowControl/>
      <w:pBdr>
        <w:top w:val="single" w:color="auto" w:sz="4" w:space="0"/>
        <w:bottom w:val="single" w:color="auto" w:sz="4" w:space="0"/>
      </w:pBdr>
      <w:adjustRightInd/>
      <w:snapToGrid/>
      <w:spacing w:before="100" w:beforeAutospacing="1" w:after="100" w:afterAutospacing="1" w:line="240" w:lineRule="auto"/>
      <w:ind w:firstLine="0" w:firstLineChars="0"/>
      <w:jc w:val="center"/>
    </w:pPr>
    <w:rPr>
      <w:color w:val="000000"/>
      <w:kern w:val="0"/>
      <w:sz w:val="21"/>
      <w:szCs w:val="21"/>
    </w:rPr>
  </w:style>
  <w:style w:type="paragraph" w:customStyle="1" w:styleId="263">
    <w:name w:val="xl186"/>
    <w:basedOn w:val="1"/>
    <w:autoRedefine/>
    <w:qFormat/>
    <w:uiPriority w:val="0"/>
    <w:pPr>
      <w:widowControl/>
      <w:pBdr>
        <w:top w:val="single" w:color="auto" w:sz="4" w:space="0"/>
        <w:bottom w:val="single" w:color="auto" w:sz="4" w:space="0"/>
      </w:pBdr>
      <w:adjustRightInd/>
      <w:snapToGrid/>
      <w:spacing w:before="100" w:beforeAutospacing="1" w:after="100" w:afterAutospacing="1" w:line="240" w:lineRule="auto"/>
      <w:ind w:firstLine="0" w:firstLineChars="0"/>
      <w:jc w:val="center"/>
      <w:textAlignment w:val="center"/>
    </w:pPr>
    <w:rPr>
      <w:color w:val="0000CC"/>
      <w:kern w:val="0"/>
      <w:sz w:val="22"/>
    </w:rPr>
  </w:style>
  <w:style w:type="paragraph" w:customStyle="1" w:styleId="264">
    <w:name w:val="xl187"/>
    <w:basedOn w:val="1"/>
    <w:autoRedefine/>
    <w:qFormat/>
    <w:uiPriority w:val="0"/>
    <w:pPr>
      <w:widowControl/>
      <w:pBdr>
        <w:top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color w:val="0000CC"/>
      <w:kern w:val="0"/>
      <w:sz w:val="22"/>
    </w:rPr>
  </w:style>
  <w:style w:type="paragraph" w:customStyle="1" w:styleId="265">
    <w:name w:val="xl188"/>
    <w:basedOn w:val="1"/>
    <w:autoRedefine/>
    <w:qFormat/>
    <w:uiPriority w:val="0"/>
    <w:pPr>
      <w:widowControl/>
      <w:pBdr>
        <w:top w:val="single" w:color="auto" w:sz="4" w:space="0"/>
        <w:left w:val="single" w:color="auto" w:sz="4" w:space="0"/>
        <w:bottom w:val="single" w:color="auto" w:sz="4" w:space="0"/>
      </w:pBdr>
      <w:adjustRightInd/>
      <w:snapToGrid/>
      <w:spacing w:before="100" w:beforeAutospacing="1" w:after="100" w:afterAutospacing="1" w:line="240" w:lineRule="auto"/>
      <w:ind w:firstLine="0" w:firstLineChars="0"/>
      <w:jc w:val="center"/>
    </w:pPr>
    <w:rPr>
      <w:rFonts w:ascii="仿宋_GB2312" w:hAnsi="宋体" w:cs="宋体"/>
      <w:kern w:val="0"/>
      <w:sz w:val="21"/>
      <w:szCs w:val="21"/>
    </w:rPr>
  </w:style>
  <w:style w:type="paragraph" w:customStyle="1" w:styleId="266">
    <w:name w:val="xl189"/>
    <w:basedOn w:val="1"/>
    <w:autoRedefine/>
    <w:qFormat/>
    <w:uiPriority w:val="0"/>
    <w:pPr>
      <w:widowControl/>
      <w:pBdr>
        <w:top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仿宋_GB2312" w:hAnsi="宋体" w:cs="宋体"/>
      <w:kern w:val="0"/>
      <w:sz w:val="21"/>
      <w:szCs w:val="21"/>
    </w:rPr>
  </w:style>
  <w:style w:type="paragraph" w:customStyle="1" w:styleId="267">
    <w:name w:val="xl190"/>
    <w:basedOn w:val="1"/>
    <w:autoRedefine/>
    <w:qFormat/>
    <w:uiPriority w:val="0"/>
    <w:pPr>
      <w:widowControl/>
      <w:pBdr>
        <w:top w:val="single" w:color="auto" w:sz="4" w:space="0"/>
        <w:left w:val="single" w:color="auto" w:sz="4" w:space="0"/>
        <w:bottom w:val="single" w:color="auto" w:sz="4" w:space="0"/>
      </w:pBdr>
      <w:adjustRightInd/>
      <w:snapToGrid/>
      <w:spacing w:before="100" w:beforeAutospacing="1" w:after="100" w:afterAutospacing="1" w:line="240" w:lineRule="auto"/>
      <w:ind w:firstLine="0" w:firstLineChars="0"/>
      <w:jc w:val="left"/>
    </w:pPr>
    <w:rPr>
      <w:rFonts w:ascii="仿宋_GB2312" w:hAnsi="宋体" w:cs="宋体"/>
      <w:kern w:val="0"/>
      <w:sz w:val="21"/>
      <w:szCs w:val="21"/>
    </w:rPr>
  </w:style>
  <w:style w:type="paragraph" w:customStyle="1" w:styleId="268">
    <w:name w:val="xl191"/>
    <w:basedOn w:val="1"/>
    <w:autoRedefine/>
    <w:qFormat/>
    <w:uiPriority w:val="0"/>
    <w:pPr>
      <w:widowControl/>
      <w:pBdr>
        <w:top w:val="single" w:color="auto" w:sz="4" w:space="0"/>
        <w:bottom w:val="single" w:color="auto" w:sz="4" w:space="0"/>
      </w:pBdr>
      <w:adjustRightInd/>
      <w:snapToGrid/>
      <w:spacing w:before="100" w:beforeAutospacing="1" w:after="100" w:afterAutospacing="1" w:line="240" w:lineRule="auto"/>
      <w:ind w:firstLine="0" w:firstLineChars="0"/>
      <w:jc w:val="left"/>
    </w:pPr>
    <w:rPr>
      <w:rFonts w:ascii="仿宋_GB2312" w:hAnsi="宋体" w:cs="宋体"/>
      <w:kern w:val="0"/>
      <w:sz w:val="21"/>
      <w:szCs w:val="21"/>
    </w:rPr>
  </w:style>
  <w:style w:type="paragraph" w:customStyle="1" w:styleId="269">
    <w:name w:val="xl192"/>
    <w:basedOn w:val="1"/>
    <w:autoRedefine/>
    <w:qFormat/>
    <w:uiPriority w:val="0"/>
    <w:pPr>
      <w:widowControl/>
      <w:pBdr>
        <w:top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pPr>
    <w:rPr>
      <w:rFonts w:ascii="仿宋_GB2312" w:hAnsi="宋体" w:cs="宋体"/>
      <w:kern w:val="0"/>
      <w:sz w:val="21"/>
      <w:szCs w:val="21"/>
    </w:rPr>
  </w:style>
  <w:style w:type="paragraph" w:customStyle="1" w:styleId="270">
    <w:name w:val="xl193"/>
    <w:basedOn w:val="1"/>
    <w:autoRedefine/>
    <w:qFormat/>
    <w:uiPriority w:val="0"/>
    <w:pPr>
      <w:widowControl/>
      <w:pBdr>
        <w:top w:val="single" w:color="auto" w:sz="4" w:space="0"/>
        <w:left w:val="single" w:color="auto" w:sz="4" w:space="0"/>
        <w:bottom w:val="single" w:color="auto" w:sz="4" w:space="0"/>
      </w:pBdr>
      <w:adjustRightInd/>
      <w:snapToGrid/>
      <w:spacing w:before="100" w:beforeAutospacing="1" w:after="100" w:afterAutospacing="1" w:line="240" w:lineRule="auto"/>
      <w:ind w:firstLine="0" w:firstLineChars="0"/>
      <w:jc w:val="left"/>
    </w:pPr>
    <w:rPr>
      <w:rFonts w:ascii="宋体" w:hAnsi="宋体" w:cs="宋体"/>
      <w:kern w:val="0"/>
      <w:sz w:val="21"/>
      <w:szCs w:val="21"/>
    </w:rPr>
  </w:style>
  <w:style w:type="paragraph" w:customStyle="1" w:styleId="271">
    <w:name w:val="xl194"/>
    <w:basedOn w:val="1"/>
    <w:autoRedefine/>
    <w:qFormat/>
    <w:uiPriority w:val="0"/>
    <w:pPr>
      <w:widowControl/>
      <w:pBdr>
        <w:top w:val="single" w:color="auto" w:sz="4" w:space="0"/>
        <w:bottom w:val="single" w:color="auto" w:sz="4" w:space="0"/>
      </w:pBdr>
      <w:adjustRightInd/>
      <w:snapToGrid/>
      <w:spacing w:before="100" w:beforeAutospacing="1" w:after="100" w:afterAutospacing="1" w:line="240" w:lineRule="auto"/>
      <w:ind w:firstLine="0" w:firstLineChars="0"/>
      <w:jc w:val="left"/>
    </w:pPr>
    <w:rPr>
      <w:rFonts w:ascii="宋体" w:hAnsi="宋体" w:cs="宋体"/>
      <w:kern w:val="0"/>
      <w:sz w:val="21"/>
      <w:szCs w:val="21"/>
    </w:rPr>
  </w:style>
  <w:style w:type="paragraph" w:customStyle="1" w:styleId="272">
    <w:name w:val="xl195"/>
    <w:basedOn w:val="1"/>
    <w:autoRedefine/>
    <w:qFormat/>
    <w:uiPriority w:val="0"/>
    <w:pPr>
      <w:widowControl/>
      <w:pBdr>
        <w:top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pPr>
    <w:rPr>
      <w:rFonts w:ascii="宋体" w:hAnsi="宋体" w:cs="宋体"/>
      <w:kern w:val="0"/>
      <w:sz w:val="21"/>
      <w:szCs w:val="21"/>
    </w:rPr>
  </w:style>
  <w:style w:type="paragraph" w:customStyle="1" w:styleId="273">
    <w:name w:val="正文(首行缩进)"/>
    <w:basedOn w:val="1"/>
    <w:link w:val="274"/>
    <w:autoRedefine/>
    <w:qFormat/>
    <w:uiPriority w:val="0"/>
    <w:pPr>
      <w:adjustRightInd/>
      <w:snapToGrid/>
      <w:spacing w:line="360" w:lineRule="auto"/>
      <w:ind w:firstLine="0" w:firstLineChars="0"/>
    </w:pPr>
    <w:rPr>
      <w:snapToGrid w:val="0"/>
      <w:kern w:val="0"/>
      <w:szCs w:val="24"/>
      <w:lang w:val="zh-CN"/>
    </w:rPr>
  </w:style>
  <w:style w:type="character" w:customStyle="1" w:styleId="274">
    <w:name w:val="正文(首行缩进) Char"/>
    <w:link w:val="273"/>
    <w:autoRedefine/>
    <w:qFormat/>
    <w:uiPriority w:val="0"/>
    <w:rPr>
      <w:rFonts w:ascii="Times New Roman" w:hAnsi="Times New Roman"/>
      <w:snapToGrid w:val="0"/>
      <w:sz w:val="24"/>
      <w:szCs w:val="24"/>
    </w:rPr>
  </w:style>
  <w:style w:type="paragraph" w:customStyle="1" w:styleId="275">
    <w:name w:val="表头1"/>
    <w:basedOn w:val="1"/>
    <w:next w:val="1"/>
    <w:link w:val="277"/>
    <w:autoRedefine/>
    <w:qFormat/>
    <w:uiPriority w:val="0"/>
    <w:pPr>
      <w:tabs>
        <w:tab w:val="left" w:pos="605"/>
      </w:tabs>
      <w:spacing w:line="240" w:lineRule="auto"/>
      <w:ind w:firstLine="0" w:firstLineChars="0"/>
      <w:jc w:val="center"/>
    </w:pPr>
    <w:rPr>
      <w:rFonts w:eastAsia="黑体"/>
      <w:kern w:val="0"/>
      <w:sz w:val="21"/>
      <w:szCs w:val="28"/>
      <w:lang w:val="zh-CN"/>
    </w:rPr>
  </w:style>
  <w:style w:type="paragraph" w:customStyle="1" w:styleId="276">
    <w:name w:val="表格"/>
    <w:basedOn w:val="1"/>
    <w:link w:val="290"/>
    <w:autoRedefine/>
    <w:qFormat/>
    <w:uiPriority w:val="0"/>
    <w:pPr>
      <w:spacing w:line="240" w:lineRule="auto"/>
      <w:ind w:firstLine="0" w:firstLineChars="0"/>
      <w:jc w:val="center"/>
    </w:pPr>
    <w:rPr>
      <w:sz w:val="21"/>
      <w:szCs w:val="21"/>
      <w:lang w:val="zh-CN"/>
    </w:rPr>
  </w:style>
  <w:style w:type="character" w:customStyle="1" w:styleId="277">
    <w:name w:val="表头1 Char"/>
    <w:link w:val="275"/>
    <w:autoRedefine/>
    <w:qFormat/>
    <w:uiPriority w:val="0"/>
    <w:rPr>
      <w:rFonts w:ascii="Times New Roman" w:hAnsi="Times New Roman" w:eastAsia="黑体"/>
      <w:sz w:val="21"/>
      <w:szCs w:val="28"/>
    </w:rPr>
  </w:style>
  <w:style w:type="character" w:customStyle="1" w:styleId="278">
    <w:name w:val="正文文本缩进 2 字符"/>
    <w:link w:val="51"/>
    <w:autoRedefine/>
    <w:qFormat/>
    <w:uiPriority w:val="0"/>
    <w:rPr>
      <w:rFonts w:ascii="Times New Roman" w:hAnsi="Times New Roman"/>
      <w:kern w:val="2"/>
      <w:sz w:val="21"/>
      <w:szCs w:val="24"/>
    </w:rPr>
  </w:style>
  <w:style w:type="paragraph" w:customStyle="1" w:styleId="279">
    <w:name w:val="xl22"/>
    <w:basedOn w:val="1"/>
    <w:autoRedefine/>
    <w:qFormat/>
    <w:uiPriority w:val="0"/>
    <w:pPr>
      <w:widowControl/>
      <w:adjustRightInd/>
      <w:snapToGrid/>
      <w:spacing w:before="100" w:beforeAutospacing="1" w:after="100" w:afterAutospacing="1" w:line="240" w:lineRule="auto"/>
      <w:ind w:firstLine="0" w:firstLineChars="0"/>
      <w:jc w:val="center"/>
    </w:pPr>
    <w:rPr>
      <w:rFonts w:ascii="宋体" w:hAnsi="宋体"/>
      <w:kern w:val="0"/>
      <w:szCs w:val="24"/>
    </w:rPr>
  </w:style>
  <w:style w:type="character" w:customStyle="1" w:styleId="280">
    <w:name w:val="正文文本缩进 3 字符"/>
    <w:link w:val="70"/>
    <w:autoRedefine/>
    <w:qFormat/>
    <w:uiPriority w:val="0"/>
    <w:rPr>
      <w:rFonts w:ascii="Times New Roman" w:hAnsi="Times New Roman"/>
      <w:kern w:val="2"/>
      <w:sz w:val="16"/>
      <w:szCs w:val="16"/>
    </w:rPr>
  </w:style>
  <w:style w:type="paragraph" w:customStyle="1" w:styleId="281">
    <w:name w:val="图中文字"/>
    <w:basedOn w:val="1"/>
    <w:next w:val="1"/>
    <w:autoRedefine/>
    <w:qFormat/>
    <w:uiPriority w:val="0"/>
    <w:pPr>
      <w:ind w:firstLine="480"/>
    </w:pPr>
    <w:rPr>
      <w:sz w:val="21"/>
    </w:rPr>
  </w:style>
  <w:style w:type="character" w:customStyle="1" w:styleId="282">
    <w:name w:val="正文四号 Char Char"/>
    <w:link w:val="283"/>
    <w:autoRedefine/>
    <w:qFormat/>
    <w:uiPriority w:val="0"/>
    <w:rPr>
      <w:kern w:val="2"/>
      <w:sz w:val="24"/>
      <w:szCs w:val="28"/>
    </w:rPr>
  </w:style>
  <w:style w:type="paragraph" w:customStyle="1" w:styleId="283">
    <w:name w:val="正文四号"/>
    <w:basedOn w:val="1"/>
    <w:link w:val="282"/>
    <w:autoRedefine/>
    <w:qFormat/>
    <w:uiPriority w:val="0"/>
    <w:pPr>
      <w:adjustRightInd/>
      <w:snapToGrid/>
      <w:spacing w:afterLines="50" w:line="360" w:lineRule="auto"/>
    </w:pPr>
    <w:rPr>
      <w:rFonts w:ascii="Calibri" w:hAnsi="Calibri"/>
      <w:szCs w:val="28"/>
      <w:lang w:val="zh-CN"/>
    </w:rPr>
  </w:style>
  <w:style w:type="paragraph" w:customStyle="1" w:styleId="284">
    <w:name w:val="环评正文"/>
    <w:basedOn w:val="1"/>
    <w:link w:val="337"/>
    <w:autoRedefine/>
    <w:qFormat/>
    <w:uiPriority w:val="0"/>
    <w:pPr>
      <w:adjustRightInd/>
      <w:snapToGrid/>
      <w:spacing w:before="60" w:after="60" w:line="400" w:lineRule="exact"/>
    </w:pPr>
    <w:rPr>
      <w:rFonts w:eastAsia="仿宋_GB2312"/>
      <w:szCs w:val="24"/>
      <w:lang w:val="zh-CN"/>
    </w:rPr>
  </w:style>
  <w:style w:type="character" w:customStyle="1" w:styleId="285">
    <w:name w:val="表头 Char"/>
    <w:link w:val="185"/>
    <w:autoRedefine/>
    <w:qFormat/>
    <w:uiPriority w:val="0"/>
    <w:rPr>
      <w:b/>
      <w:kern w:val="2"/>
      <w:sz w:val="24"/>
      <w:lang w:val="zh-CN"/>
    </w:rPr>
  </w:style>
  <w:style w:type="paragraph" w:customStyle="1" w:styleId="286">
    <w:name w:val="TOC 标题1"/>
    <w:basedOn w:val="3"/>
    <w:next w:val="1"/>
    <w:autoRedefine/>
    <w:qFormat/>
    <w:uiPriority w:val="39"/>
    <w:pPr>
      <w:widowControl/>
      <w:numPr>
        <w:numId w:val="0"/>
      </w:numPr>
      <w:adjustRightInd/>
      <w:snapToGrid/>
      <w:spacing w:before="480" w:line="276" w:lineRule="auto"/>
      <w:outlineLvl w:val="9"/>
    </w:pPr>
    <w:rPr>
      <w:rFonts w:ascii="Cambria" w:hAnsi="Cambria"/>
      <w:color w:val="365F91"/>
      <w:kern w:val="0"/>
      <w:szCs w:val="28"/>
    </w:rPr>
  </w:style>
  <w:style w:type="paragraph" w:customStyle="1" w:styleId="287">
    <w:name w:val="新格式表"/>
    <w:basedOn w:val="1"/>
    <w:link w:val="288"/>
    <w:autoRedefine/>
    <w:qFormat/>
    <w:uiPriority w:val="0"/>
    <w:pPr>
      <w:adjustRightInd/>
      <w:snapToGrid/>
      <w:spacing w:line="280" w:lineRule="exact"/>
      <w:ind w:firstLine="0" w:firstLineChars="0"/>
      <w:jc w:val="center"/>
    </w:pPr>
    <w:rPr>
      <w:rFonts w:hAnsi="宋体"/>
      <w:bCs/>
      <w:snapToGrid w:val="0"/>
      <w:sz w:val="21"/>
      <w:szCs w:val="21"/>
    </w:rPr>
  </w:style>
  <w:style w:type="character" w:customStyle="1" w:styleId="288">
    <w:name w:val="新格式表 Char"/>
    <w:link w:val="287"/>
    <w:autoRedefine/>
    <w:qFormat/>
    <w:uiPriority w:val="0"/>
    <w:rPr>
      <w:rFonts w:ascii="Times New Roman" w:hAnsi="宋体"/>
      <w:bCs/>
      <w:snapToGrid w:val="0"/>
      <w:kern w:val="2"/>
      <w:sz w:val="21"/>
      <w:szCs w:val="21"/>
      <w:lang w:val="en-US"/>
    </w:rPr>
  </w:style>
  <w:style w:type="paragraph" w:customStyle="1" w:styleId="289">
    <w:name w:val="默认段落字体 Para Char"/>
    <w:basedOn w:val="1"/>
    <w:next w:val="1"/>
    <w:link w:val="2402"/>
    <w:autoRedefine/>
    <w:qFormat/>
    <w:uiPriority w:val="0"/>
    <w:pPr>
      <w:adjustRightInd/>
      <w:snapToGrid/>
      <w:spacing w:line="360" w:lineRule="auto"/>
    </w:pPr>
    <w:rPr>
      <w:rFonts w:ascii="宋体" w:hAnsi="宋体" w:cs="宋体"/>
      <w:szCs w:val="24"/>
    </w:rPr>
  </w:style>
  <w:style w:type="character" w:customStyle="1" w:styleId="290">
    <w:name w:val="表格 Char"/>
    <w:link w:val="276"/>
    <w:autoRedefine/>
    <w:qFormat/>
    <w:uiPriority w:val="0"/>
    <w:rPr>
      <w:kern w:val="2"/>
      <w:sz w:val="21"/>
      <w:szCs w:val="21"/>
      <w:lang w:val="zh-CN"/>
    </w:rPr>
  </w:style>
  <w:style w:type="character" w:customStyle="1" w:styleId="291">
    <w:name w:val="正文四号 Char"/>
    <w:autoRedefine/>
    <w:qFormat/>
    <w:locked/>
    <w:uiPriority w:val="0"/>
    <w:rPr>
      <w:rFonts w:eastAsia="宋体"/>
      <w:kern w:val="2"/>
      <w:sz w:val="24"/>
      <w:szCs w:val="28"/>
      <w:lang w:val="en-US" w:eastAsia="zh-CN" w:bidi="ar-SA"/>
    </w:rPr>
  </w:style>
  <w:style w:type="character" w:customStyle="1" w:styleId="292">
    <w:name w:val="样式 13 磅 行距: 固定值 23 磅 首行缩进:  2 字符 Char"/>
    <w:link w:val="293"/>
    <w:autoRedefine/>
    <w:qFormat/>
    <w:uiPriority w:val="0"/>
    <w:rPr>
      <w:kern w:val="2"/>
      <w:sz w:val="26"/>
    </w:rPr>
  </w:style>
  <w:style w:type="paragraph" w:customStyle="1" w:styleId="293">
    <w:name w:val="样式 13 磅 行距: 固定值 23 磅 首行缩进:  2 字符"/>
    <w:basedOn w:val="1"/>
    <w:link w:val="292"/>
    <w:autoRedefine/>
    <w:qFormat/>
    <w:uiPriority w:val="0"/>
    <w:pPr>
      <w:adjustRightInd/>
      <w:snapToGrid/>
      <w:spacing w:line="460" w:lineRule="exact"/>
      <w:ind w:firstLine="520"/>
    </w:pPr>
    <w:rPr>
      <w:rFonts w:ascii="Calibri" w:hAnsi="Calibri"/>
      <w:sz w:val="26"/>
      <w:lang w:val="zh-CN"/>
    </w:rPr>
  </w:style>
  <w:style w:type="paragraph" w:customStyle="1" w:styleId="294">
    <w:name w:val="图标"/>
    <w:basedOn w:val="1"/>
    <w:next w:val="1"/>
    <w:autoRedefine/>
    <w:qFormat/>
    <w:uiPriority w:val="0"/>
    <w:pPr>
      <w:widowControl/>
      <w:ind w:firstLine="0" w:firstLineChars="0"/>
      <w:jc w:val="center"/>
    </w:pPr>
    <w:rPr>
      <w:rFonts w:cs="宋体"/>
      <w:kern w:val="0"/>
    </w:rPr>
  </w:style>
  <w:style w:type="paragraph" w:customStyle="1" w:styleId="295">
    <w:name w:val="正文楷体"/>
    <w:basedOn w:val="1"/>
    <w:autoRedefine/>
    <w:qFormat/>
    <w:uiPriority w:val="0"/>
    <w:pPr>
      <w:adjustRightInd/>
      <w:snapToGrid/>
      <w:spacing w:line="240" w:lineRule="auto"/>
      <w:ind w:firstLine="0" w:firstLineChars="0"/>
    </w:pPr>
    <w:rPr>
      <w:rFonts w:eastAsia="楷体_GB2312"/>
      <w:sz w:val="21"/>
    </w:rPr>
  </w:style>
  <w:style w:type="paragraph" w:customStyle="1" w:styleId="296">
    <w:name w:val="报告书正文"/>
    <w:basedOn w:val="51"/>
    <w:link w:val="695"/>
    <w:autoRedefine/>
    <w:qFormat/>
    <w:uiPriority w:val="0"/>
    <w:pPr>
      <w:tabs>
        <w:tab w:val="left" w:pos="6300"/>
      </w:tabs>
      <w:adjustRightInd w:val="0"/>
      <w:snapToGrid w:val="0"/>
      <w:spacing w:after="0" w:line="440" w:lineRule="exact"/>
      <w:ind w:left="0" w:leftChars="0" w:firstLine="480" w:firstLineChars="200"/>
    </w:pPr>
    <w:rPr>
      <w:rFonts w:ascii="宋体" w:hAnsi="宋体"/>
      <w:bCs/>
      <w:color w:val="FF0000"/>
      <w:sz w:val="24"/>
      <w:szCs w:val="28"/>
      <w:lang w:val="en-US"/>
    </w:rPr>
  </w:style>
  <w:style w:type="character" w:customStyle="1" w:styleId="297">
    <w:name w:val="正文文本 2 字符"/>
    <w:link w:val="76"/>
    <w:autoRedefine/>
    <w:qFormat/>
    <w:uiPriority w:val="0"/>
    <w:rPr>
      <w:rFonts w:ascii="Times New Roman" w:hAnsi="Times New Roman"/>
      <w:kern w:val="2"/>
      <w:sz w:val="21"/>
      <w:szCs w:val="24"/>
    </w:rPr>
  </w:style>
  <w:style w:type="paragraph" w:customStyle="1" w:styleId="298">
    <w:name w:val="p0"/>
    <w:basedOn w:val="1"/>
    <w:autoRedefine/>
    <w:qFormat/>
    <w:uiPriority w:val="0"/>
    <w:pPr>
      <w:widowControl/>
      <w:adjustRightInd/>
      <w:snapToGrid/>
      <w:spacing w:before="100" w:beforeAutospacing="1" w:after="100" w:afterAutospacing="1" w:line="240" w:lineRule="auto"/>
      <w:ind w:firstLine="0" w:firstLineChars="0"/>
      <w:jc w:val="left"/>
    </w:pPr>
    <w:rPr>
      <w:rFonts w:ascii="宋体" w:hAnsi="宋体" w:cs="宋体"/>
      <w:kern w:val="0"/>
      <w:szCs w:val="24"/>
    </w:rPr>
  </w:style>
  <w:style w:type="paragraph" w:customStyle="1" w:styleId="299">
    <w:name w:val="xl25"/>
    <w:basedOn w:val="1"/>
    <w:autoRedefine/>
    <w:qFormat/>
    <w:uiPriority w:val="0"/>
    <w:pPr>
      <w:widowControl/>
      <w:adjustRightInd/>
      <w:snapToGrid/>
      <w:spacing w:before="100" w:beforeAutospacing="1" w:after="100" w:afterAutospacing="1" w:line="240" w:lineRule="auto"/>
      <w:ind w:firstLine="0" w:firstLineChars="0"/>
      <w:jc w:val="center"/>
    </w:pPr>
    <w:rPr>
      <w:rFonts w:hint="eastAsia" w:ascii="宋体" w:hAnsi="宋体"/>
      <w:kern w:val="0"/>
      <w:szCs w:val="24"/>
    </w:rPr>
  </w:style>
  <w:style w:type="paragraph" w:customStyle="1" w:styleId="300">
    <w:name w:val="一级条标题"/>
    <w:basedOn w:val="1"/>
    <w:next w:val="1"/>
    <w:autoRedefine/>
    <w:qFormat/>
    <w:uiPriority w:val="0"/>
    <w:pPr>
      <w:widowControl/>
      <w:tabs>
        <w:tab w:val="left" w:pos="1125"/>
        <w:tab w:val="left" w:pos="1260"/>
        <w:tab w:val="left" w:pos="1830"/>
      </w:tabs>
      <w:adjustRightInd/>
      <w:snapToGrid/>
      <w:spacing w:line="240" w:lineRule="auto"/>
      <w:ind w:left="1830" w:hanging="420" w:firstLineChars="0"/>
      <w:outlineLvl w:val="2"/>
    </w:pPr>
    <w:rPr>
      <w:rFonts w:ascii="黑体" w:eastAsia="黑体"/>
      <w:kern w:val="0"/>
      <w:sz w:val="21"/>
    </w:rPr>
  </w:style>
  <w:style w:type="paragraph" w:customStyle="1" w:styleId="301">
    <w:name w:val="font1"/>
    <w:basedOn w:val="1"/>
    <w:autoRedefine/>
    <w:qFormat/>
    <w:uiPriority w:val="0"/>
    <w:pPr>
      <w:widowControl/>
      <w:adjustRightInd/>
      <w:snapToGrid/>
      <w:spacing w:before="100" w:beforeAutospacing="1" w:after="100" w:afterAutospacing="1" w:line="240" w:lineRule="auto"/>
      <w:ind w:firstLine="0" w:firstLineChars="0"/>
      <w:jc w:val="left"/>
    </w:pPr>
    <w:rPr>
      <w:rFonts w:ascii="宋体" w:hAnsi="宋体" w:cs="宋体"/>
      <w:color w:val="000000"/>
      <w:kern w:val="0"/>
      <w:sz w:val="22"/>
      <w:szCs w:val="22"/>
    </w:rPr>
  </w:style>
  <w:style w:type="paragraph" w:customStyle="1" w:styleId="302">
    <w:name w:val="font20"/>
    <w:basedOn w:val="1"/>
    <w:autoRedefine/>
    <w:qFormat/>
    <w:uiPriority w:val="0"/>
    <w:pPr>
      <w:widowControl/>
      <w:adjustRightInd/>
      <w:snapToGrid/>
      <w:spacing w:before="100" w:beforeAutospacing="1" w:after="100" w:afterAutospacing="1" w:line="240" w:lineRule="auto"/>
      <w:ind w:firstLine="0" w:firstLineChars="0"/>
      <w:jc w:val="left"/>
    </w:pPr>
    <w:rPr>
      <w:rFonts w:ascii="宋体" w:hAnsi="宋体" w:cs="宋体"/>
      <w:color w:val="000000"/>
      <w:kern w:val="0"/>
      <w:sz w:val="21"/>
      <w:szCs w:val="21"/>
    </w:rPr>
  </w:style>
  <w:style w:type="paragraph" w:customStyle="1" w:styleId="303">
    <w:name w:val="xl78"/>
    <w:basedOn w:val="1"/>
    <w:autoRedefine/>
    <w:qFormat/>
    <w:uiPriority w:val="0"/>
    <w:pPr>
      <w:widowControl/>
      <w:pBdr>
        <w:top w:val="single" w:color="auto" w:sz="4" w:space="0"/>
        <w:left w:val="single" w:color="auto" w:sz="4" w:space="0"/>
        <w:right w:val="single" w:color="auto" w:sz="4" w:space="0"/>
      </w:pBdr>
      <w:adjustRightInd/>
      <w:snapToGrid/>
      <w:spacing w:before="100" w:beforeAutospacing="1" w:after="100" w:afterAutospacing="1" w:line="240" w:lineRule="auto"/>
      <w:ind w:firstLine="0" w:firstLineChars="0"/>
      <w:jc w:val="center"/>
    </w:pPr>
    <w:rPr>
      <w:kern w:val="0"/>
      <w:sz w:val="21"/>
      <w:szCs w:val="21"/>
    </w:rPr>
  </w:style>
  <w:style w:type="paragraph" w:customStyle="1" w:styleId="304">
    <w:name w:val="xl79"/>
    <w:basedOn w:val="1"/>
    <w:autoRedefine/>
    <w:qFormat/>
    <w:uiPriority w:val="0"/>
    <w:pPr>
      <w:widowControl/>
      <w:pBdr>
        <w:left w:val="single" w:color="auto" w:sz="4" w:space="0"/>
        <w:right w:val="single" w:color="auto" w:sz="4" w:space="0"/>
      </w:pBdr>
      <w:adjustRightInd/>
      <w:snapToGrid/>
      <w:spacing w:before="100" w:beforeAutospacing="1" w:after="100" w:afterAutospacing="1" w:line="240" w:lineRule="auto"/>
      <w:ind w:firstLine="0" w:firstLineChars="0"/>
      <w:jc w:val="center"/>
    </w:pPr>
    <w:rPr>
      <w:kern w:val="0"/>
      <w:sz w:val="21"/>
      <w:szCs w:val="21"/>
    </w:rPr>
  </w:style>
  <w:style w:type="paragraph" w:customStyle="1" w:styleId="305">
    <w:name w:val="xl80"/>
    <w:basedOn w:val="1"/>
    <w:autoRedefine/>
    <w:qFormat/>
    <w:uiPriority w:val="0"/>
    <w:pPr>
      <w:widowControl/>
      <w:pBdr>
        <w:top w:val="single" w:color="auto" w:sz="4" w:space="0"/>
        <w:left w:val="single" w:color="auto" w:sz="4" w:space="0"/>
        <w:right w:val="single" w:color="auto" w:sz="4" w:space="0"/>
      </w:pBdr>
      <w:adjustRightInd/>
      <w:snapToGrid/>
      <w:spacing w:before="100" w:beforeAutospacing="1" w:after="100" w:afterAutospacing="1" w:line="240" w:lineRule="auto"/>
      <w:ind w:firstLine="0" w:firstLineChars="0"/>
      <w:jc w:val="center"/>
    </w:pPr>
    <w:rPr>
      <w:kern w:val="0"/>
      <w:sz w:val="21"/>
      <w:szCs w:val="21"/>
    </w:rPr>
  </w:style>
  <w:style w:type="paragraph" w:customStyle="1" w:styleId="306">
    <w:name w:val="xl81"/>
    <w:basedOn w:val="1"/>
    <w:autoRedefine/>
    <w:qFormat/>
    <w:uiPriority w:val="0"/>
    <w:pPr>
      <w:widowControl/>
      <w:pBdr>
        <w:left w:val="single" w:color="auto" w:sz="4" w:space="0"/>
        <w:right w:val="single" w:color="auto" w:sz="4" w:space="0"/>
      </w:pBdr>
      <w:adjustRightInd/>
      <w:snapToGrid/>
      <w:spacing w:before="100" w:beforeAutospacing="1" w:after="100" w:afterAutospacing="1" w:line="240" w:lineRule="auto"/>
      <w:ind w:firstLine="0" w:firstLineChars="0"/>
      <w:jc w:val="center"/>
    </w:pPr>
    <w:rPr>
      <w:kern w:val="0"/>
      <w:sz w:val="21"/>
      <w:szCs w:val="21"/>
    </w:rPr>
  </w:style>
  <w:style w:type="paragraph" w:customStyle="1" w:styleId="307">
    <w:name w:val="xl82"/>
    <w:basedOn w:val="1"/>
    <w:autoRedefine/>
    <w:qFormat/>
    <w:uiPriority w:val="0"/>
    <w:pPr>
      <w:widowControl/>
      <w:pBdr>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kern w:val="0"/>
      <w:sz w:val="21"/>
      <w:szCs w:val="21"/>
    </w:rPr>
  </w:style>
  <w:style w:type="paragraph" w:customStyle="1" w:styleId="308">
    <w:name w:val="xl83"/>
    <w:basedOn w:val="1"/>
    <w:autoRedefine/>
    <w:qFormat/>
    <w:uiPriority w:val="0"/>
    <w:pPr>
      <w:widowControl/>
      <w:pBdr>
        <w:top w:val="single" w:color="auto" w:sz="4" w:space="0"/>
        <w:left w:val="single" w:color="auto" w:sz="4" w:space="0"/>
        <w:right w:val="single" w:color="auto" w:sz="4" w:space="0"/>
      </w:pBdr>
      <w:adjustRightInd/>
      <w:snapToGrid/>
      <w:spacing w:before="100" w:beforeAutospacing="1" w:after="100" w:afterAutospacing="1" w:line="240" w:lineRule="auto"/>
      <w:ind w:firstLine="0" w:firstLineChars="0"/>
      <w:jc w:val="center"/>
    </w:pPr>
    <w:rPr>
      <w:kern w:val="0"/>
      <w:sz w:val="21"/>
      <w:szCs w:val="21"/>
    </w:rPr>
  </w:style>
  <w:style w:type="paragraph" w:customStyle="1" w:styleId="309">
    <w:name w:val="xl84"/>
    <w:basedOn w:val="1"/>
    <w:autoRedefine/>
    <w:qFormat/>
    <w:uiPriority w:val="0"/>
    <w:pPr>
      <w:widowControl/>
      <w:pBdr>
        <w:left w:val="single" w:color="auto" w:sz="4" w:space="0"/>
        <w:right w:val="single" w:color="auto" w:sz="4" w:space="0"/>
      </w:pBdr>
      <w:adjustRightInd/>
      <w:snapToGrid/>
      <w:spacing w:before="100" w:beforeAutospacing="1" w:after="100" w:afterAutospacing="1" w:line="240" w:lineRule="auto"/>
      <w:ind w:firstLine="0" w:firstLineChars="0"/>
      <w:jc w:val="center"/>
    </w:pPr>
    <w:rPr>
      <w:kern w:val="0"/>
      <w:sz w:val="21"/>
      <w:szCs w:val="21"/>
    </w:rPr>
  </w:style>
  <w:style w:type="paragraph" w:customStyle="1" w:styleId="310">
    <w:name w:val="xl85"/>
    <w:basedOn w:val="1"/>
    <w:autoRedefine/>
    <w:qFormat/>
    <w:uiPriority w:val="0"/>
    <w:pPr>
      <w:widowControl/>
      <w:pBdr>
        <w:left w:val="single" w:color="auto" w:sz="4" w:space="0"/>
        <w:right w:val="single" w:color="auto" w:sz="4" w:space="0"/>
      </w:pBdr>
      <w:adjustRightInd/>
      <w:snapToGrid/>
      <w:spacing w:before="100" w:beforeAutospacing="1" w:after="100" w:afterAutospacing="1" w:line="240" w:lineRule="auto"/>
      <w:ind w:firstLine="0" w:firstLineChars="0"/>
      <w:jc w:val="center"/>
    </w:pPr>
    <w:rPr>
      <w:color w:val="000000"/>
      <w:kern w:val="0"/>
      <w:sz w:val="21"/>
      <w:szCs w:val="21"/>
    </w:rPr>
  </w:style>
  <w:style w:type="paragraph" w:customStyle="1" w:styleId="311">
    <w:name w:val="xl86"/>
    <w:basedOn w:val="1"/>
    <w:autoRedefine/>
    <w:qFormat/>
    <w:uiPriority w:val="0"/>
    <w:pPr>
      <w:widowControl/>
      <w:pBdr>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color w:val="000000"/>
      <w:kern w:val="0"/>
      <w:sz w:val="21"/>
      <w:szCs w:val="21"/>
    </w:rPr>
  </w:style>
  <w:style w:type="paragraph" w:customStyle="1" w:styleId="312">
    <w:name w:val="xl87"/>
    <w:basedOn w:val="1"/>
    <w:autoRedefine/>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kern w:val="0"/>
      <w:sz w:val="21"/>
      <w:szCs w:val="21"/>
    </w:rPr>
  </w:style>
  <w:style w:type="paragraph" w:customStyle="1" w:styleId="313">
    <w:name w:val="xl88"/>
    <w:basedOn w:val="1"/>
    <w:autoRedefine/>
    <w:qFormat/>
    <w:uiPriority w:val="0"/>
    <w:pPr>
      <w:widowControl/>
      <w:adjustRightInd/>
      <w:snapToGrid/>
      <w:spacing w:before="100" w:beforeAutospacing="1" w:after="100" w:afterAutospacing="1" w:line="240" w:lineRule="auto"/>
      <w:ind w:firstLine="0" w:firstLineChars="0"/>
      <w:jc w:val="left"/>
    </w:pPr>
    <w:rPr>
      <w:kern w:val="0"/>
      <w:szCs w:val="24"/>
    </w:rPr>
  </w:style>
  <w:style w:type="paragraph" w:customStyle="1" w:styleId="314">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color w:val="000000"/>
      <w:kern w:val="0"/>
      <w:sz w:val="21"/>
      <w:szCs w:val="21"/>
    </w:rPr>
  </w:style>
  <w:style w:type="paragraph" w:customStyle="1" w:styleId="315">
    <w:name w:val="xl90"/>
    <w:basedOn w:val="1"/>
    <w:autoRedefine/>
    <w:qFormat/>
    <w:uiPriority w:val="0"/>
    <w:pPr>
      <w:widowControl/>
      <w:pBdr>
        <w:top w:val="single" w:color="auto" w:sz="4" w:space="0"/>
        <w:left w:val="single" w:color="auto" w:sz="4" w:space="0"/>
        <w:right w:val="single" w:color="auto" w:sz="4" w:space="0"/>
      </w:pBdr>
      <w:adjustRightInd/>
      <w:snapToGrid/>
      <w:spacing w:before="100" w:beforeAutospacing="1" w:after="100" w:afterAutospacing="1" w:line="240" w:lineRule="auto"/>
      <w:ind w:firstLine="0" w:firstLineChars="0"/>
      <w:jc w:val="center"/>
    </w:pPr>
    <w:rPr>
      <w:kern w:val="0"/>
      <w:sz w:val="21"/>
      <w:szCs w:val="21"/>
    </w:rPr>
  </w:style>
  <w:style w:type="paragraph" w:customStyle="1" w:styleId="316">
    <w:name w:val="xl91"/>
    <w:basedOn w:val="1"/>
    <w:autoRedefine/>
    <w:qFormat/>
    <w:uiPriority w:val="0"/>
    <w:pPr>
      <w:widowControl/>
      <w:pBdr>
        <w:left w:val="single" w:color="auto" w:sz="4" w:space="0"/>
        <w:right w:val="single" w:color="auto" w:sz="4" w:space="0"/>
      </w:pBdr>
      <w:adjustRightInd/>
      <w:snapToGrid/>
      <w:spacing w:before="100" w:beforeAutospacing="1" w:after="100" w:afterAutospacing="1" w:line="240" w:lineRule="auto"/>
      <w:ind w:firstLine="0" w:firstLineChars="0"/>
      <w:jc w:val="center"/>
    </w:pPr>
    <w:rPr>
      <w:kern w:val="0"/>
      <w:sz w:val="21"/>
      <w:szCs w:val="21"/>
    </w:rPr>
  </w:style>
  <w:style w:type="paragraph" w:customStyle="1" w:styleId="317">
    <w:name w:val="font21"/>
    <w:basedOn w:val="1"/>
    <w:autoRedefine/>
    <w:qFormat/>
    <w:uiPriority w:val="0"/>
    <w:pPr>
      <w:widowControl/>
      <w:adjustRightInd/>
      <w:snapToGrid/>
      <w:spacing w:before="100" w:beforeAutospacing="1" w:after="100" w:afterAutospacing="1" w:line="240" w:lineRule="auto"/>
      <w:ind w:firstLine="0" w:firstLineChars="0"/>
      <w:jc w:val="left"/>
    </w:pPr>
    <w:rPr>
      <w:rFonts w:ascii="宋体" w:hAnsi="宋体" w:cs="宋体"/>
      <w:color w:val="000000"/>
      <w:kern w:val="0"/>
      <w:sz w:val="21"/>
      <w:szCs w:val="21"/>
    </w:rPr>
  </w:style>
  <w:style w:type="paragraph" w:customStyle="1" w:styleId="318">
    <w:name w:val="font22"/>
    <w:basedOn w:val="1"/>
    <w:autoRedefine/>
    <w:qFormat/>
    <w:uiPriority w:val="0"/>
    <w:pPr>
      <w:widowControl/>
      <w:adjustRightInd/>
      <w:snapToGrid/>
      <w:spacing w:before="100" w:beforeAutospacing="1" w:after="100" w:afterAutospacing="1" w:line="240" w:lineRule="auto"/>
      <w:ind w:firstLine="0" w:firstLineChars="0"/>
      <w:jc w:val="left"/>
    </w:pPr>
    <w:rPr>
      <w:rFonts w:ascii="宋体" w:hAnsi="宋体" w:cs="宋体"/>
      <w:color w:val="000000"/>
      <w:kern w:val="0"/>
      <w:sz w:val="21"/>
      <w:szCs w:val="21"/>
    </w:rPr>
  </w:style>
  <w:style w:type="paragraph" w:customStyle="1" w:styleId="319">
    <w:name w:val="font23"/>
    <w:basedOn w:val="1"/>
    <w:autoRedefine/>
    <w:qFormat/>
    <w:uiPriority w:val="0"/>
    <w:pPr>
      <w:widowControl/>
      <w:adjustRightInd/>
      <w:snapToGrid/>
      <w:spacing w:before="100" w:beforeAutospacing="1" w:after="100" w:afterAutospacing="1" w:line="240" w:lineRule="auto"/>
      <w:ind w:firstLine="0" w:firstLineChars="0"/>
      <w:jc w:val="left"/>
    </w:pPr>
    <w:rPr>
      <w:color w:val="000000"/>
      <w:kern w:val="0"/>
      <w:sz w:val="21"/>
      <w:szCs w:val="21"/>
    </w:rPr>
  </w:style>
  <w:style w:type="paragraph" w:customStyle="1" w:styleId="320">
    <w:name w:val="font24"/>
    <w:basedOn w:val="1"/>
    <w:autoRedefine/>
    <w:qFormat/>
    <w:uiPriority w:val="0"/>
    <w:pPr>
      <w:widowControl/>
      <w:adjustRightInd/>
      <w:snapToGrid/>
      <w:spacing w:before="100" w:beforeAutospacing="1" w:after="100" w:afterAutospacing="1" w:line="240" w:lineRule="auto"/>
      <w:ind w:firstLine="0" w:firstLineChars="0"/>
      <w:jc w:val="left"/>
    </w:pPr>
    <w:rPr>
      <w:color w:val="000000"/>
      <w:kern w:val="0"/>
      <w:sz w:val="21"/>
      <w:szCs w:val="21"/>
    </w:rPr>
  </w:style>
  <w:style w:type="paragraph" w:customStyle="1" w:styleId="321">
    <w:name w:val="font25"/>
    <w:basedOn w:val="1"/>
    <w:autoRedefine/>
    <w:qFormat/>
    <w:uiPriority w:val="0"/>
    <w:pPr>
      <w:widowControl/>
      <w:adjustRightInd/>
      <w:snapToGrid/>
      <w:spacing w:before="100" w:beforeAutospacing="1" w:after="100" w:afterAutospacing="1" w:line="240" w:lineRule="auto"/>
      <w:ind w:firstLine="0" w:firstLineChars="0"/>
      <w:jc w:val="left"/>
    </w:pPr>
    <w:rPr>
      <w:rFonts w:ascii="宋体" w:hAnsi="宋体" w:cs="宋体"/>
      <w:color w:val="000000"/>
      <w:kern w:val="0"/>
      <w:sz w:val="21"/>
      <w:szCs w:val="21"/>
    </w:rPr>
  </w:style>
  <w:style w:type="paragraph" w:customStyle="1" w:styleId="322">
    <w:name w:val="xl92"/>
    <w:basedOn w:val="1"/>
    <w:autoRedefine/>
    <w:qFormat/>
    <w:uiPriority w:val="0"/>
    <w:pPr>
      <w:widowControl/>
      <w:pBdr>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kern w:val="0"/>
      <w:sz w:val="21"/>
      <w:szCs w:val="21"/>
    </w:rPr>
  </w:style>
  <w:style w:type="paragraph" w:customStyle="1" w:styleId="323">
    <w:name w:val="xl93"/>
    <w:basedOn w:val="1"/>
    <w:autoRedefine/>
    <w:qFormat/>
    <w:uiPriority w:val="0"/>
    <w:pPr>
      <w:widowControl/>
      <w:pBdr>
        <w:top w:val="single" w:color="auto" w:sz="4" w:space="0"/>
        <w:left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color w:val="000000"/>
      <w:kern w:val="0"/>
      <w:sz w:val="21"/>
      <w:szCs w:val="21"/>
    </w:rPr>
  </w:style>
  <w:style w:type="character" w:customStyle="1" w:styleId="324">
    <w:name w:val="环科院表格标题 Char Char"/>
    <w:link w:val="325"/>
    <w:autoRedefine/>
    <w:qFormat/>
    <w:uiPriority w:val="0"/>
    <w:rPr>
      <w:rFonts w:eastAsia="黑体"/>
      <w:bCs/>
      <w:sz w:val="21"/>
      <w:szCs w:val="21"/>
    </w:rPr>
  </w:style>
  <w:style w:type="paragraph" w:customStyle="1" w:styleId="325">
    <w:name w:val="环科院表格标题"/>
    <w:basedOn w:val="1"/>
    <w:link w:val="324"/>
    <w:autoRedefine/>
    <w:qFormat/>
    <w:uiPriority w:val="0"/>
    <w:pPr>
      <w:adjustRightInd/>
      <w:snapToGrid/>
      <w:spacing w:beforeLines="50" w:line="240" w:lineRule="auto"/>
      <w:ind w:firstLine="0" w:firstLineChars="0"/>
      <w:jc w:val="center"/>
    </w:pPr>
    <w:rPr>
      <w:rFonts w:ascii="Calibri" w:hAnsi="Calibri" w:eastAsia="黑体"/>
      <w:bCs/>
      <w:kern w:val="0"/>
      <w:sz w:val="21"/>
      <w:szCs w:val="21"/>
      <w:lang w:val="zh-CN"/>
    </w:rPr>
  </w:style>
  <w:style w:type="character" w:customStyle="1" w:styleId="326">
    <w:name w:val="环科院正文 Char Char"/>
    <w:link w:val="327"/>
    <w:autoRedefine/>
    <w:qFormat/>
    <w:uiPriority w:val="0"/>
    <w:rPr>
      <w:kern w:val="2"/>
      <w:sz w:val="24"/>
      <w:szCs w:val="24"/>
    </w:rPr>
  </w:style>
  <w:style w:type="paragraph" w:customStyle="1" w:styleId="327">
    <w:name w:val="环科院正文"/>
    <w:basedOn w:val="1"/>
    <w:link w:val="326"/>
    <w:autoRedefine/>
    <w:qFormat/>
    <w:uiPriority w:val="0"/>
    <w:pPr>
      <w:adjustRightInd/>
      <w:snapToGrid/>
      <w:spacing w:line="300" w:lineRule="auto"/>
      <w:ind w:firstLine="480"/>
    </w:pPr>
    <w:rPr>
      <w:rFonts w:ascii="Calibri" w:hAnsi="Calibri"/>
      <w:szCs w:val="24"/>
      <w:lang w:val="zh-CN"/>
    </w:rPr>
  </w:style>
  <w:style w:type="character" w:customStyle="1" w:styleId="328">
    <w:name w:val="环科院正文加粗 Char Char"/>
    <w:link w:val="329"/>
    <w:autoRedefine/>
    <w:qFormat/>
    <w:uiPriority w:val="0"/>
    <w:rPr>
      <w:rFonts w:ascii="宋体" w:hAnsi="宋体"/>
      <w:b/>
      <w:snapToGrid w:val="0"/>
      <w:color w:val="000000"/>
      <w:sz w:val="24"/>
      <w:szCs w:val="24"/>
    </w:rPr>
  </w:style>
  <w:style w:type="paragraph" w:customStyle="1" w:styleId="329">
    <w:name w:val="环科院正文加粗"/>
    <w:basedOn w:val="327"/>
    <w:link w:val="328"/>
    <w:autoRedefine/>
    <w:qFormat/>
    <w:uiPriority w:val="0"/>
    <w:pPr>
      <w:ind w:firstLine="482"/>
    </w:pPr>
    <w:rPr>
      <w:rFonts w:ascii="宋体" w:hAnsi="宋体"/>
      <w:b/>
      <w:snapToGrid w:val="0"/>
      <w:color w:val="000000"/>
      <w:kern w:val="0"/>
    </w:rPr>
  </w:style>
  <w:style w:type="paragraph" w:customStyle="1" w:styleId="330">
    <w:name w:val="Style40"/>
    <w:autoRedefine/>
    <w:qFormat/>
    <w:uiPriority w:val="0"/>
    <w:pPr>
      <w:jc w:val="both"/>
    </w:pPr>
    <w:rPr>
      <w:rFonts w:ascii="Arial" w:hAnsi="Arial" w:eastAsia="宋体" w:cs="Times New Roman"/>
      <w:snapToGrid w:val="0"/>
      <w:sz w:val="24"/>
      <w:lang w:val="fr-FR" w:eastAsia="fr-FR" w:bidi="ar-SA"/>
    </w:rPr>
  </w:style>
  <w:style w:type="paragraph" w:customStyle="1" w:styleId="331">
    <w:name w:val="章标题"/>
    <w:next w:val="1"/>
    <w:autoRedefine/>
    <w:qFormat/>
    <w:uiPriority w:val="0"/>
    <w:pPr>
      <w:tabs>
        <w:tab w:val="left" w:pos="360"/>
        <w:tab w:val="left" w:pos="903"/>
      </w:tabs>
      <w:spacing w:before="50" w:after="50"/>
      <w:ind w:left="903" w:hanging="315"/>
      <w:jc w:val="both"/>
      <w:outlineLvl w:val="1"/>
    </w:pPr>
    <w:rPr>
      <w:rFonts w:ascii="黑体" w:hAnsi="Times New Roman" w:eastAsia="黑体" w:cs="Times New Roman"/>
      <w:sz w:val="21"/>
      <w:lang w:val="en-US" w:eastAsia="zh-CN" w:bidi="ar-SA"/>
    </w:rPr>
  </w:style>
  <w:style w:type="paragraph" w:customStyle="1" w:styleId="332">
    <w:name w:val="前言、引言标题"/>
    <w:next w:val="1"/>
    <w:autoRedefine/>
    <w:qFormat/>
    <w:uiPriority w:val="0"/>
    <w:pPr>
      <w:shd w:val="clear" w:color="FFFFFF" w:fill="FFFFFF"/>
      <w:tabs>
        <w:tab w:val="left" w:pos="360"/>
        <w:tab w:val="left" w:pos="903"/>
      </w:tabs>
      <w:spacing w:before="640" w:after="560"/>
      <w:ind w:left="903" w:hanging="315"/>
      <w:jc w:val="center"/>
      <w:outlineLvl w:val="0"/>
    </w:pPr>
    <w:rPr>
      <w:rFonts w:ascii="黑体" w:hAnsi="Times New Roman" w:eastAsia="黑体" w:cs="Times New Roman"/>
      <w:sz w:val="32"/>
      <w:lang w:val="en-US" w:eastAsia="zh-CN" w:bidi="ar-SA"/>
    </w:rPr>
  </w:style>
  <w:style w:type="paragraph" w:customStyle="1" w:styleId="333">
    <w:name w:val="二级条标题"/>
    <w:basedOn w:val="300"/>
    <w:next w:val="1"/>
    <w:link w:val="525"/>
    <w:autoRedefine/>
    <w:qFormat/>
    <w:uiPriority w:val="0"/>
    <w:pPr>
      <w:tabs>
        <w:tab w:val="left" w:pos="360"/>
        <w:tab w:val="clear" w:pos="1125"/>
        <w:tab w:val="clear" w:pos="1260"/>
        <w:tab w:val="clear" w:pos="1830"/>
      </w:tabs>
      <w:ind w:left="0" w:firstLine="0"/>
      <w:outlineLvl w:val="3"/>
    </w:pPr>
    <w:rPr>
      <w:lang w:val="zh-CN"/>
    </w:rPr>
  </w:style>
  <w:style w:type="paragraph" w:customStyle="1" w:styleId="334">
    <w:name w:val="三级条标题"/>
    <w:basedOn w:val="333"/>
    <w:next w:val="1"/>
    <w:autoRedefine/>
    <w:qFormat/>
    <w:uiPriority w:val="0"/>
    <w:pPr>
      <w:outlineLvl w:val="4"/>
    </w:pPr>
  </w:style>
  <w:style w:type="paragraph" w:customStyle="1" w:styleId="335">
    <w:name w:val="四级条标题"/>
    <w:basedOn w:val="334"/>
    <w:next w:val="1"/>
    <w:autoRedefine/>
    <w:qFormat/>
    <w:uiPriority w:val="0"/>
    <w:pPr>
      <w:outlineLvl w:val="5"/>
    </w:pPr>
  </w:style>
  <w:style w:type="paragraph" w:customStyle="1" w:styleId="336">
    <w:name w:val="五级条标题"/>
    <w:basedOn w:val="335"/>
    <w:next w:val="1"/>
    <w:autoRedefine/>
    <w:qFormat/>
    <w:uiPriority w:val="0"/>
    <w:pPr>
      <w:outlineLvl w:val="6"/>
    </w:pPr>
  </w:style>
  <w:style w:type="character" w:customStyle="1" w:styleId="337">
    <w:name w:val="环评正文 Char"/>
    <w:link w:val="284"/>
    <w:autoRedefine/>
    <w:qFormat/>
    <w:uiPriority w:val="0"/>
    <w:rPr>
      <w:rFonts w:ascii="Times New Roman" w:hAnsi="Times New Roman" w:eastAsia="仿宋_GB2312"/>
      <w:kern w:val="2"/>
      <w:sz w:val="24"/>
      <w:szCs w:val="24"/>
    </w:rPr>
  </w:style>
  <w:style w:type="paragraph" w:customStyle="1" w:styleId="338">
    <w:name w:val="_Style 210"/>
    <w:basedOn w:val="1"/>
    <w:autoRedefine/>
    <w:qFormat/>
    <w:uiPriority w:val="0"/>
    <w:pPr>
      <w:adjustRightInd/>
      <w:snapToGrid/>
      <w:spacing w:line="240" w:lineRule="auto"/>
      <w:ind w:firstLine="0" w:firstLineChars="0"/>
    </w:pPr>
    <w:rPr>
      <w:rFonts w:ascii="宋体"/>
      <w:kern w:val="0"/>
    </w:rPr>
  </w:style>
  <w:style w:type="paragraph" w:customStyle="1" w:styleId="339">
    <w:name w:val="xl63"/>
    <w:basedOn w:val="1"/>
    <w:autoRedefine/>
    <w:qFormat/>
    <w:uiPriority w:val="0"/>
    <w:pPr>
      <w:widowControl/>
      <w:adjustRightInd/>
      <w:snapToGrid/>
      <w:spacing w:before="100" w:beforeAutospacing="1" w:after="100" w:afterAutospacing="1" w:line="240" w:lineRule="auto"/>
      <w:ind w:firstLine="0" w:firstLineChars="0"/>
      <w:jc w:val="center"/>
    </w:pPr>
    <w:rPr>
      <w:rFonts w:ascii="宋体" w:hAnsi="宋体" w:cs="宋体"/>
      <w:kern w:val="0"/>
      <w:szCs w:val="24"/>
    </w:rPr>
  </w:style>
  <w:style w:type="paragraph" w:customStyle="1" w:styleId="340">
    <w:name w:val="xl64"/>
    <w:basedOn w:val="1"/>
    <w:autoRedefine/>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kern w:val="0"/>
      <w:szCs w:val="24"/>
    </w:rPr>
  </w:style>
  <w:style w:type="paragraph" w:customStyle="1" w:styleId="341">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kern w:val="0"/>
      <w:szCs w:val="24"/>
    </w:rPr>
  </w:style>
  <w:style w:type="paragraph" w:customStyle="1" w:styleId="342">
    <w:name w:val="xl94"/>
    <w:basedOn w:val="1"/>
    <w:autoRedefine/>
    <w:qFormat/>
    <w:uiPriority w:val="0"/>
    <w:pPr>
      <w:widowControl/>
      <w:pBdr>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kern w:val="0"/>
      <w:sz w:val="21"/>
      <w:szCs w:val="21"/>
    </w:rPr>
  </w:style>
  <w:style w:type="paragraph" w:customStyle="1" w:styleId="343">
    <w:name w:val="xl95"/>
    <w:basedOn w:val="1"/>
    <w:autoRedefine/>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kern w:val="0"/>
      <w:szCs w:val="24"/>
    </w:rPr>
  </w:style>
  <w:style w:type="character" w:customStyle="1" w:styleId="344">
    <w:name w:val="s c c"/>
    <w:basedOn w:val="133"/>
    <w:autoRedefine/>
    <w:qFormat/>
    <w:uiPriority w:val="0"/>
  </w:style>
  <w:style w:type="paragraph" w:customStyle="1" w:styleId="345">
    <w:name w:val="缺省文本_宋体"/>
    <w:basedOn w:val="1"/>
    <w:autoRedefine/>
    <w:qFormat/>
    <w:uiPriority w:val="0"/>
    <w:pPr>
      <w:tabs>
        <w:tab w:val="left" w:pos="525"/>
        <w:tab w:val="center" w:pos="5670"/>
        <w:tab w:val="right" w:pos="7655"/>
      </w:tabs>
      <w:adjustRightInd/>
      <w:snapToGrid/>
      <w:spacing w:before="80" w:after="120" w:line="360" w:lineRule="auto"/>
      <w:ind w:firstLine="0" w:firstLineChars="0"/>
      <w:outlineLvl w:val="7"/>
    </w:pPr>
    <w:rPr>
      <w:spacing w:val="16"/>
      <w:kern w:val="28"/>
    </w:rPr>
  </w:style>
  <w:style w:type="paragraph" w:customStyle="1" w:styleId="346">
    <w:name w:val="表格内格式"/>
    <w:basedOn w:val="1"/>
    <w:autoRedefine/>
    <w:qFormat/>
    <w:uiPriority w:val="0"/>
    <w:pPr>
      <w:adjustRightInd/>
      <w:snapToGrid/>
      <w:spacing w:line="240" w:lineRule="exact"/>
      <w:ind w:firstLine="0" w:firstLineChars="0"/>
      <w:jc w:val="center"/>
    </w:pPr>
    <w:rPr>
      <w:rFonts w:ascii="宋体"/>
      <w:sz w:val="21"/>
      <w:szCs w:val="24"/>
    </w:rPr>
  </w:style>
  <w:style w:type="character" w:customStyle="1" w:styleId="347">
    <w:name w:val="纯文本 字符"/>
    <w:link w:val="45"/>
    <w:autoRedefine/>
    <w:qFormat/>
    <w:uiPriority w:val="99"/>
    <w:rPr>
      <w:rFonts w:ascii="宋体" w:hAnsi="Courier New"/>
      <w:kern w:val="2"/>
      <w:sz w:val="21"/>
    </w:rPr>
  </w:style>
  <w:style w:type="paragraph" w:customStyle="1" w:styleId="348">
    <w:name w:val="表格1"/>
    <w:basedOn w:val="1"/>
    <w:link w:val="1981"/>
    <w:autoRedefine/>
    <w:qFormat/>
    <w:uiPriority w:val="0"/>
    <w:pPr>
      <w:spacing w:line="280" w:lineRule="exact"/>
      <w:ind w:firstLine="0" w:firstLineChars="0"/>
      <w:jc w:val="center"/>
    </w:pPr>
    <w:rPr>
      <w:sz w:val="21"/>
      <w:szCs w:val="21"/>
      <w:lang w:val="zh-CN"/>
    </w:rPr>
  </w:style>
  <w:style w:type="paragraph" w:customStyle="1" w:styleId="349">
    <w:name w:val="三级标题"/>
    <w:basedOn w:val="1"/>
    <w:link w:val="920"/>
    <w:autoRedefine/>
    <w:qFormat/>
    <w:uiPriority w:val="0"/>
    <w:pPr>
      <w:widowControl/>
      <w:adjustRightInd/>
      <w:snapToGrid/>
      <w:spacing w:line="240" w:lineRule="exact"/>
      <w:ind w:firstLine="0" w:firstLineChars="0"/>
      <w:jc w:val="center"/>
    </w:pPr>
    <w:rPr>
      <w:rFonts w:ascii="宋体" w:hAnsi="宋体"/>
      <w:szCs w:val="24"/>
      <w:lang w:val="zh-CN"/>
    </w:rPr>
  </w:style>
  <w:style w:type="paragraph" w:customStyle="1" w:styleId="350">
    <w:name w:val="xl26"/>
    <w:basedOn w:val="1"/>
    <w:autoRedefine/>
    <w:qFormat/>
    <w:uiPriority w:val="0"/>
    <w:pPr>
      <w:widowControl/>
      <w:pBdr>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top"/>
    </w:pPr>
    <w:rPr>
      <w:rFonts w:ascii="宋体" w:hAnsi="宋体"/>
      <w:kern w:val="0"/>
      <w:sz w:val="21"/>
      <w:szCs w:val="21"/>
    </w:rPr>
  </w:style>
  <w:style w:type="paragraph" w:customStyle="1" w:styleId="351">
    <w:name w:val="Char1"/>
    <w:basedOn w:val="1"/>
    <w:autoRedefine/>
    <w:qFormat/>
    <w:uiPriority w:val="0"/>
    <w:pPr>
      <w:adjustRightInd/>
      <w:spacing w:line="360" w:lineRule="auto"/>
    </w:pPr>
    <w:rPr>
      <w:rFonts w:eastAsia="仿宋_GB2312"/>
      <w:szCs w:val="24"/>
    </w:rPr>
  </w:style>
  <w:style w:type="paragraph" w:customStyle="1" w:styleId="352">
    <w:name w:val="样式 样式 环评正文 + (西文) 仿宋_GB2312 (中文) 宋体 10.5 磅 首行缩进:  2 字符 + 首行缩进:  ..."/>
    <w:basedOn w:val="1"/>
    <w:autoRedefine/>
    <w:qFormat/>
    <w:uiPriority w:val="0"/>
    <w:pPr>
      <w:adjustRightInd/>
      <w:snapToGrid/>
      <w:spacing w:line="400" w:lineRule="exact"/>
    </w:pPr>
    <w:rPr>
      <w:rFonts w:ascii="仿宋_GB2312" w:hAnsi="仿宋_GB2312"/>
    </w:rPr>
  </w:style>
  <w:style w:type="paragraph" w:customStyle="1" w:styleId="353">
    <w:name w:val="日期1"/>
    <w:basedOn w:val="1"/>
    <w:next w:val="1"/>
    <w:autoRedefine/>
    <w:qFormat/>
    <w:uiPriority w:val="0"/>
    <w:pPr>
      <w:snapToGrid/>
      <w:spacing w:line="240" w:lineRule="auto"/>
      <w:ind w:firstLine="0" w:firstLineChars="0"/>
      <w:jc w:val="left"/>
      <w:textAlignment w:val="baseline"/>
    </w:pPr>
    <w:rPr>
      <w:rFonts w:ascii="宋体"/>
      <w:spacing w:val="24"/>
      <w:kern w:val="24"/>
    </w:rPr>
  </w:style>
  <w:style w:type="paragraph" w:customStyle="1" w:styleId="354">
    <w:name w:val="报告书表格"/>
    <w:basedOn w:val="1"/>
    <w:autoRedefine/>
    <w:qFormat/>
    <w:uiPriority w:val="0"/>
    <w:pPr>
      <w:snapToGrid/>
      <w:spacing w:before="60" w:after="60" w:line="240" w:lineRule="atLeast"/>
      <w:ind w:firstLine="0" w:firstLineChars="0"/>
      <w:jc w:val="center"/>
      <w:textAlignment w:val="baseline"/>
    </w:pPr>
    <w:rPr>
      <w:kern w:val="0"/>
      <w:sz w:val="21"/>
    </w:rPr>
  </w:style>
  <w:style w:type="paragraph" w:customStyle="1" w:styleId="355">
    <w:name w:val="Char Char Char Char Char Char Char"/>
    <w:basedOn w:val="1"/>
    <w:autoRedefine/>
    <w:qFormat/>
    <w:uiPriority w:val="0"/>
    <w:pPr>
      <w:adjustRightInd/>
      <w:snapToGrid/>
      <w:spacing w:line="240" w:lineRule="auto"/>
      <w:ind w:firstLine="0" w:firstLineChars="0"/>
    </w:pPr>
    <w:rPr>
      <w:sz w:val="21"/>
    </w:rPr>
  </w:style>
  <w:style w:type="paragraph" w:customStyle="1" w:styleId="356">
    <w:name w:val="表中"/>
    <w:autoRedefine/>
    <w:qFormat/>
    <w:uiPriority w:val="0"/>
    <w:pPr>
      <w:spacing w:line="280" w:lineRule="exact"/>
      <w:jc w:val="center"/>
    </w:pPr>
    <w:rPr>
      <w:rFonts w:ascii="Times New Roman" w:hAnsi="Times New Roman" w:eastAsia="宋体" w:cs="Times New Roman"/>
      <w:color w:val="000000"/>
      <w:spacing w:val="20"/>
      <w:kern w:val="44"/>
      <w:sz w:val="18"/>
      <w:lang w:val="en-US" w:eastAsia="zh-CN" w:bidi="ar-SA"/>
    </w:rPr>
  </w:style>
  <w:style w:type="paragraph" w:customStyle="1" w:styleId="357">
    <w:name w:val="样式4"/>
    <w:basedOn w:val="1"/>
    <w:next w:val="1"/>
    <w:link w:val="822"/>
    <w:autoRedefine/>
    <w:qFormat/>
    <w:uiPriority w:val="0"/>
    <w:pPr>
      <w:adjustRightInd/>
      <w:snapToGrid/>
      <w:spacing w:line="500" w:lineRule="exact"/>
      <w:ind w:firstLine="0" w:firstLineChars="0"/>
      <w:jc w:val="center"/>
    </w:pPr>
    <w:rPr>
      <w:rFonts w:ascii="楷体_GB2312" w:eastAsia="楷体_GB2312"/>
      <w:szCs w:val="24"/>
      <w:lang w:val="zh-CN"/>
    </w:rPr>
  </w:style>
  <w:style w:type="paragraph" w:customStyle="1" w:styleId="358">
    <w:name w:val="样式 样式1 + 首行缩进:  2 字符"/>
    <w:basedOn w:val="1"/>
    <w:autoRedefine/>
    <w:qFormat/>
    <w:uiPriority w:val="0"/>
    <w:pPr>
      <w:adjustRightInd/>
      <w:snapToGrid/>
      <w:spacing w:line="440" w:lineRule="exact"/>
      <w:ind w:firstLine="480"/>
    </w:pPr>
  </w:style>
  <w:style w:type="paragraph" w:customStyle="1" w:styleId="359">
    <w:name w:val="表、图名"/>
    <w:basedOn w:val="1"/>
    <w:link w:val="360"/>
    <w:autoRedefine/>
    <w:qFormat/>
    <w:uiPriority w:val="0"/>
    <w:pPr>
      <w:spacing w:line="240" w:lineRule="auto"/>
      <w:ind w:firstLine="0" w:firstLineChars="0"/>
      <w:jc w:val="center"/>
    </w:pPr>
    <w:rPr>
      <w:b/>
      <w:kern w:val="0"/>
      <w:szCs w:val="24"/>
      <w:lang w:val="zh-CN"/>
    </w:rPr>
  </w:style>
  <w:style w:type="character" w:customStyle="1" w:styleId="360">
    <w:name w:val="表、图名 Char"/>
    <w:link w:val="359"/>
    <w:autoRedefine/>
    <w:qFormat/>
    <w:uiPriority w:val="0"/>
    <w:rPr>
      <w:rFonts w:ascii="Times New Roman" w:hAnsi="Times New Roman"/>
      <w:b/>
      <w:sz w:val="24"/>
      <w:szCs w:val="24"/>
    </w:rPr>
  </w:style>
  <w:style w:type="character" w:customStyle="1" w:styleId="361">
    <w:name w:val="apple-style-span"/>
    <w:basedOn w:val="133"/>
    <w:autoRedefine/>
    <w:qFormat/>
    <w:uiPriority w:val="0"/>
  </w:style>
  <w:style w:type="paragraph" w:customStyle="1" w:styleId="362">
    <w:name w:val="Char Char Char Char Char Char Char Char Char Char"/>
    <w:basedOn w:val="1"/>
    <w:autoRedefine/>
    <w:qFormat/>
    <w:uiPriority w:val="0"/>
    <w:pPr>
      <w:adjustRightInd/>
      <w:snapToGrid/>
      <w:spacing w:line="240" w:lineRule="auto"/>
      <w:ind w:firstLine="0" w:firstLineChars="0"/>
    </w:pPr>
    <w:rPr>
      <w:sz w:val="21"/>
    </w:rPr>
  </w:style>
  <w:style w:type="paragraph" w:customStyle="1" w:styleId="363">
    <w:name w:val="样式 题注 + 首行缩进:  2 字符1"/>
    <w:basedOn w:val="22"/>
    <w:autoRedefine/>
    <w:qFormat/>
    <w:uiPriority w:val="0"/>
    <w:pPr>
      <w:adjustRightInd/>
      <w:spacing w:before="152" w:afterLines="40" w:line="440" w:lineRule="exact"/>
      <w:ind w:firstLine="0" w:firstLineChars="0"/>
    </w:pPr>
    <w:rPr>
      <w:rFonts w:ascii="宋体" w:hAnsi="宋体" w:eastAsia="宋体"/>
      <w:sz w:val="21"/>
    </w:rPr>
  </w:style>
  <w:style w:type="character" w:customStyle="1" w:styleId="364">
    <w:name w:val="Char Char1"/>
    <w:autoRedefine/>
    <w:qFormat/>
    <w:uiPriority w:val="0"/>
    <w:rPr>
      <w:rFonts w:eastAsia="宋体"/>
      <w:kern w:val="2"/>
      <w:sz w:val="18"/>
      <w:szCs w:val="18"/>
      <w:lang w:val="en-US" w:eastAsia="zh-CN" w:bidi="ar-SA"/>
    </w:rPr>
  </w:style>
  <w:style w:type="paragraph" w:customStyle="1" w:styleId="365">
    <w:name w:val="样式3"/>
    <w:basedOn w:val="1"/>
    <w:link w:val="397"/>
    <w:autoRedefine/>
    <w:qFormat/>
    <w:uiPriority w:val="0"/>
    <w:pPr>
      <w:keepNext/>
      <w:keepLines/>
      <w:widowControl/>
      <w:overflowPunct w:val="0"/>
      <w:spacing w:beforeLines="50" w:afterLines="50"/>
      <w:ind w:firstLine="480" w:firstLineChars="0"/>
      <w:textAlignment w:val="center"/>
      <w:outlineLvl w:val="2"/>
    </w:pPr>
    <w:rPr>
      <w:rFonts w:ascii="黑体" w:hAnsi="宋体" w:eastAsia="黑体"/>
      <w:b/>
      <w:bCs/>
      <w:snapToGrid w:val="0"/>
      <w:kern w:val="0"/>
      <w:sz w:val="28"/>
      <w:szCs w:val="16"/>
      <w:lang w:val="zh-CN"/>
    </w:rPr>
  </w:style>
  <w:style w:type="paragraph" w:customStyle="1" w:styleId="366">
    <w:name w:val="正文 首行缩进:  2 字符"/>
    <w:basedOn w:val="1"/>
    <w:autoRedefine/>
    <w:qFormat/>
    <w:uiPriority w:val="0"/>
    <w:pPr>
      <w:adjustRightInd/>
      <w:snapToGrid/>
      <w:spacing w:line="240" w:lineRule="auto"/>
      <w:ind w:firstLine="579"/>
    </w:pPr>
    <w:rPr>
      <w:sz w:val="28"/>
    </w:rPr>
  </w:style>
  <w:style w:type="paragraph" w:customStyle="1" w:styleId="367">
    <w:name w:val="xl32"/>
    <w:basedOn w:val="1"/>
    <w:autoRedefine/>
    <w:qFormat/>
    <w:uiPriority w:val="0"/>
    <w:pPr>
      <w:widowControl/>
      <w:numPr>
        <w:ilvl w:val="0"/>
        <w:numId w:val="8"/>
      </w:numPr>
      <w:pBdr>
        <w:top w:val="single" w:color="auto" w:sz="4" w:space="0"/>
        <w:left w:val="single" w:color="auto" w:sz="4" w:space="0"/>
        <w:bottom w:val="single" w:color="auto" w:sz="4" w:space="0"/>
        <w:right w:val="single" w:color="auto" w:sz="4" w:space="0"/>
      </w:pBdr>
      <w:tabs>
        <w:tab w:val="clear" w:pos="360"/>
      </w:tabs>
      <w:adjustRightInd/>
      <w:snapToGrid/>
      <w:spacing w:before="100" w:beforeAutospacing="1" w:after="100" w:afterAutospacing="1" w:line="240" w:lineRule="auto"/>
      <w:ind w:left="0" w:firstLine="0" w:firstLineChars="0"/>
      <w:jc w:val="center"/>
      <w:textAlignment w:val="center"/>
    </w:pPr>
    <w:rPr>
      <w:rFonts w:ascii="Arial Unicode MS" w:hAnsi="Arial Unicode MS" w:eastAsia="Arial Unicode MS" w:cs="Arial Unicode MS"/>
      <w:kern w:val="0"/>
      <w:sz w:val="21"/>
      <w:szCs w:val="21"/>
    </w:rPr>
  </w:style>
  <w:style w:type="character" w:customStyle="1" w:styleId="368">
    <w:name w:val="批注文字 Char1"/>
    <w:autoRedefine/>
    <w:qFormat/>
    <w:uiPriority w:val="99"/>
    <w:rPr>
      <w:rFonts w:eastAsia="宋体"/>
      <w:kern w:val="2"/>
      <w:sz w:val="21"/>
      <w:lang w:val="en-US" w:eastAsia="zh-CN" w:bidi="ar-SA"/>
    </w:rPr>
  </w:style>
  <w:style w:type="character" w:customStyle="1" w:styleId="369">
    <w:name w:val="HTML 预设格式 字符"/>
    <w:link w:val="80"/>
    <w:autoRedefine/>
    <w:qFormat/>
    <w:uiPriority w:val="0"/>
    <w:rPr>
      <w:rFonts w:ascii="宋体" w:hAnsi="宋体" w:cs="宋体"/>
      <w:sz w:val="24"/>
      <w:szCs w:val="24"/>
    </w:rPr>
  </w:style>
  <w:style w:type="paragraph" w:customStyle="1" w:styleId="370">
    <w:name w:val="Char8"/>
    <w:basedOn w:val="1"/>
    <w:autoRedefine/>
    <w:qFormat/>
    <w:uiPriority w:val="99"/>
    <w:pPr>
      <w:widowControl/>
      <w:adjustRightInd/>
      <w:snapToGrid/>
      <w:spacing w:after="160" w:line="240" w:lineRule="exact"/>
      <w:ind w:firstLine="0" w:firstLineChars="0"/>
      <w:jc w:val="left"/>
    </w:pPr>
    <w:rPr>
      <w:rFonts w:ascii="Verdana" w:hAnsi="Verdana" w:cs="Verdana"/>
      <w:kern w:val="0"/>
      <w:sz w:val="20"/>
      <w:lang w:eastAsia="en-US"/>
    </w:rPr>
  </w:style>
  <w:style w:type="paragraph" w:customStyle="1" w:styleId="371">
    <w:name w:val="4号标题"/>
    <w:basedOn w:val="21"/>
    <w:autoRedefine/>
    <w:qFormat/>
    <w:uiPriority w:val="99"/>
    <w:pPr>
      <w:spacing w:before="120" w:after="120" w:line="360" w:lineRule="auto"/>
      <w:ind w:firstLine="0" w:firstLineChars="0"/>
    </w:pPr>
    <w:rPr>
      <w:rFonts w:ascii="Century Gothic" w:hAnsi="Century Gothic" w:eastAsia="黑体"/>
      <w:b/>
      <w:kern w:val="0"/>
      <w:sz w:val="28"/>
      <w:szCs w:val="28"/>
    </w:rPr>
  </w:style>
  <w:style w:type="paragraph" w:customStyle="1" w:styleId="372">
    <w:name w:val="tb"/>
    <w:basedOn w:val="1"/>
    <w:link w:val="373"/>
    <w:autoRedefine/>
    <w:qFormat/>
    <w:uiPriority w:val="99"/>
    <w:pPr>
      <w:adjustRightInd/>
      <w:snapToGrid/>
      <w:spacing w:line="400" w:lineRule="atLeast"/>
      <w:ind w:firstLine="0" w:firstLineChars="0"/>
    </w:pPr>
    <w:rPr>
      <w:rFonts w:ascii="宋体" w:hAnsi="Arial"/>
      <w:szCs w:val="22"/>
      <w:lang w:val="zh-CN"/>
    </w:rPr>
  </w:style>
  <w:style w:type="character" w:customStyle="1" w:styleId="373">
    <w:name w:val="tb Char"/>
    <w:link w:val="372"/>
    <w:autoRedefine/>
    <w:qFormat/>
    <w:uiPriority w:val="0"/>
    <w:rPr>
      <w:rFonts w:ascii="宋体" w:hAnsi="Arial"/>
      <w:kern w:val="2"/>
      <w:sz w:val="24"/>
      <w:szCs w:val="22"/>
    </w:rPr>
  </w:style>
  <w:style w:type="paragraph" w:customStyle="1" w:styleId="374">
    <w:name w:val="大纲正文"/>
    <w:basedOn w:val="1"/>
    <w:link w:val="375"/>
    <w:autoRedefine/>
    <w:qFormat/>
    <w:uiPriority w:val="0"/>
    <w:pPr>
      <w:widowControl/>
      <w:spacing w:afterLines="50" w:line="300" w:lineRule="auto"/>
      <w:ind w:firstLine="480"/>
    </w:pPr>
    <w:rPr>
      <w:lang w:val="zh-CN"/>
    </w:rPr>
  </w:style>
  <w:style w:type="character" w:customStyle="1" w:styleId="375">
    <w:name w:val="大纲正文 Char"/>
    <w:link w:val="374"/>
    <w:autoRedefine/>
    <w:qFormat/>
    <w:uiPriority w:val="0"/>
    <w:rPr>
      <w:rFonts w:ascii="Times New Roman" w:hAnsi="Times New Roman" w:cs="宋体"/>
      <w:kern w:val="2"/>
      <w:sz w:val="24"/>
    </w:rPr>
  </w:style>
  <w:style w:type="paragraph" w:customStyle="1" w:styleId="376">
    <w:name w:val="_Style 4"/>
    <w:basedOn w:val="1"/>
    <w:autoRedefine/>
    <w:qFormat/>
    <w:uiPriority w:val="0"/>
    <w:pPr>
      <w:widowControl/>
      <w:adjustRightInd/>
      <w:snapToGrid/>
      <w:spacing w:after="160" w:line="240" w:lineRule="exact"/>
      <w:ind w:firstLine="0" w:firstLineChars="0"/>
      <w:jc w:val="left"/>
    </w:pPr>
    <w:rPr>
      <w:sz w:val="21"/>
    </w:rPr>
  </w:style>
  <w:style w:type="paragraph" w:customStyle="1" w:styleId="377">
    <w:name w:val="表文排版"/>
    <w:basedOn w:val="34"/>
    <w:autoRedefine/>
    <w:qFormat/>
    <w:uiPriority w:val="99"/>
    <w:pPr>
      <w:spacing w:after="0" w:line="240" w:lineRule="auto"/>
      <w:ind w:firstLine="0" w:firstLineChars="0"/>
      <w:jc w:val="center"/>
    </w:pPr>
    <w:rPr>
      <w:sz w:val="22"/>
      <w:szCs w:val="24"/>
    </w:rPr>
  </w:style>
  <w:style w:type="character" w:customStyle="1" w:styleId="378">
    <w:name w:val="表格文字 Char"/>
    <w:link w:val="184"/>
    <w:autoRedefine/>
    <w:qFormat/>
    <w:uiPriority w:val="0"/>
    <w:rPr>
      <w:rFonts w:ascii="Times New Roman" w:hAnsi="Times New Roman" w:cs="宋体"/>
      <w:snapToGrid w:val="0"/>
      <w:kern w:val="2"/>
      <w:sz w:val="21"/>
      <w:szCs w:val="21"/>
    </w:rPr>
  </w:style>
  <w:style w:type="paragraph" w:customStyle="1" w:styleId="379">
    <w:name w:val="开县表格1"/>
    <w:basedOn w:val="1"/>
    <w:link w:val="380"/>
    <w:autoRedefine/>
    <w:qFormat/>
    <w:uiPriority w:val="99"/>
    <w:pPr>
      <w:widowControl/>
      <w:adjustRightInd/>
      <w:snapToGrid/>
      <w:spacing w:line="240" w:lineRule="auto"/>
      <w:ind w:firstLine="0" w:firstLineChars="0"/>
      <w:jc w:val="left"/>
    </w:pPr>
    <w:rPr>
      <w:kern w:val="0"/>
      <w:sz w:val="21"/>
      <w:szCs w:val="21"/>
      <w:shd w:val="clear" w:color="auto" w:fill="FFFFFF"/>
      <w:lang w:val="zh-CN"/>
    </w:rPr>
  </w:style>
  <w:style w:type="character" w:customStyle="1" w:styleId="380">
    <w:name w:val="开县表格1 Char"/>
    <w:link w:val="379"/>
    <w:autoRedefine/>
    <w:qFormat/>
    <w:uiPriority w:val="0"/>
    <w:rPr>
      <w:rFonts w:ascii="Times New Roman" w:hAnsi="Times New Roman"/>
      <w:sz w:val="21"/>
      <w:szCs w:val="21"/>
    </w:rPr>
  </w:style>
  <w:style w:type="paragraph" w:customStyle="1" w:styleId="381">
    <w:name w:val="开县正文1"/>
    <w:basedOn w:val="1"/>
    <w:link w:val="382"/>
    <w:autoRedefine/>
    <w:qFormat/>
    <w:uiPriority w:val="99"/>
    <w:pPr>
      <w:adjustRightInd/>
      <w:snapToGrid/>
      <w:spacing w:before="120" w:after="120" w:line="400" w:lineRule="exact"/>
      <w:ind w:firstLine="480"/>
    </w:pPr>
    <w:rPr>
      <w:szCs w:val="24"/>
      <w:shd w:val="clear" w:color="auto" w:fill="FFFFFF"/>
      <w:lang w:val="zh-CN"/>
    </w:rPr>
  </w:style>
  <w:style w:type="character" w:customStyle="1" w:styleId="382">
    <w:name w:val="开县正文1 Char"/>
    <w:link w:val="381"/>
    <w:autoRedefine/>
    <w:qFormat/>
    <w:uiPriority w:val="0"/>
    <w:rPr>
      <w:rFonts w:ascii="Times New Roman" w:hAnsi="Times New Roman"/>
      <w:kern w:val="2"/>
      <w:sz w:val="24"/>
      <w:szCs w:val="24"/>
    </w:rPr>
  </w:style>
  <w:style w:type="character" w:customStyle="1" w:styleId="383">
    <w:name w:val="题注 字符"/>
    <w:link w:val="22"/>
    <w:autoRedefine/>
    <w:qFormat/>
    <w:uiPriority w:val="0"/>
    <w:rPr>
      <w:rFonts w:asciiTheme="majorEastAsia" w:hAnsiTheme="majorEastAsia" w:eastAsiaTheme="majorEastAsia"/>
      <w:b/>
      <w:bCs/>
      <w:kern w:val="2"/>
      <w:sz w:val="24"/>
      <w:szCs w:val="24"/>
      <w:lang w:val="zh-CN"/>
    </w:rPr>
  </w:style>
  <w:style w:type="table" w:customStyle="1" w:styleId="384">
    <w:name w:val="开县表格"/>
    <w:basedOn w:val="88"/>
    <w:autoRedefine/>
    <w:qFormat/>
    <w:uiPriority w:val="99"/>
    <w:tblPr>
      <w:jc w:val="center"/>
      <w:tblBorders>
        <w:top w:val="single" w:color="auto" w:sz="12" w:space="0"/>
        <w:bottom w:val="single" w:color="auto" w:sz="12" w:space="0"/>
        <w:insideH w:val="single" w:color="auto" w:sz="4" w:space="0"/>
        <w:insideV w:val="single" w:color="auto" w:sz="4" w:space="0"/>
      </w:tblBorders>
    </w:tblPr>
    <w:trPr>
      <w:jc w:val="center"/>
    </w:trPr>
  </w:style>
  <w:style w:type="paragraph" w:customStyle="1" w:styleId="385">
    <w:name w:val="表格样式开县"/>
    <w:basedOn w:val="184"/>
    <w:link w:val="386"/>
    <w:autoRedefine/>
    <w:qFormat/>
    <w:uiPriority w:val="99"/>
    <w:pPr>
      <w:widowControl/>
      <w:snapToGrid/>
      <w:textAlignment w:val="auto"/>
    </w:pPr>
    <w:rPr>
      <w:snapToGrid/>
      <w:color w:val="000000"/>
      <w:kern w:val="0"/>
    </w:rPr>
  </w:style>
  <w:style w:type="character" w:customStyle="1" w:styleId="386">
    <w:name w:val="表格样式开县 Char"/>
    <w:link w:val="385"/>
    <w:autoRedefine/>
    <w:qFormat/>
    <w:uiPriority w:val="0"/>
    <w:rPr>
      <w:rFonts w:ascii="Times New Roman" w:hAnsi="Times New Roman"/>
      <w:color w:val="000000"/>
      <w:sz w:val="21"/>
      <w:szCs w:val="21"/>
    </w:rPr>
  </w:style>
  <w:style w:type="paragraph" w:customStyle="1" w:styleId="387">
    <w:name w:val="正文段落"/>
    <w:basedOn w:val="1"/>
    <w:link w:val="388"/>
    <w:autoRedefine/>
    <w:qFormat/>
    <w:uiPriority w:val="0"/>
    <w:pPr>
      <w:adjustRightInd/>
      <w:snapToGrid/>
      <w:spacing w:before="120" w:after="120" w:line="400" w:lineRule="exact"/>
      <w:ind w:firstLine="480"/>
    </w:pPr>
    <w:rPr>
      <w:kern w:val="0"/>
      <w:szCs w:val="24"/>
      <w:lang w:val="zh-CN"/>
    </w:rPr>
  </w:style>
  <w:style w:type="character" w:customStyle="1" w:styleId="388">
    <w:name w:val="正文段落 Char1"/>
    <w:link w:val="387"/>
    <w:autoRedefine/>
    <w:qFormat/>
    <w:uiPriority w:val="0"/>
    <w:rPr>
      <w:rFonts w:ascii="Times New Roman" w:hAnsi="Times New Roman"/>
      <w:sz w:val="24"/>
      <w:szCs w:val="24"/>
    </w:rPr>
  </w:style>
  <w:style w:type="character" w:customStyle="1" w:styleId="389">
    <w:name w:val="列表段落 字符"/>
    <w:link w:val="177"/>
    <w:autoRedefine/>
    <w:qFormat/>
    <w:uiPriority w:val="0"/>
    <w:rPr>
      <w:rFonts w:ascii="Times New Roman" w:hAnsi="Times New Roman"/>
      <w:kern w:val="2"/>
      <w:sz w:val="21"/>
      <w:szCs w:val="24"/>
    </w:rPr>
  </w:style>
  <w:style w:type="paragraph" w:customStyle="1" w:styleId="390">
    <w:name w:val="引用1"/>
    <w:basedOn w:val="6"/>
    <w:next w:val="1"/>
    <w:link w:val="392"/>
    <w:autoRedefine/>
    <w:qFormat/>
    <w:uiPriority w:val="0"/>
    <w:pPr>
      <w:keepLines w:val="0"/>
      <w:adjustRightInd/>
      <w:snapToGrid/>
      <w:spacing w:line="440" w:lineRule="exact"/>
      <w:ind w:left="864" w:hanging="864"/>
    </w:pPr>
    <w:rPr>
      <w:bCs w:val="0"/>
      <w:iCs/>
      <w:color w:val="000000"/>
      <w:szCs w:val="20"/>
    </w:rPr>
  </w:style>
  <w:style w:type="character" w:customStyle="1" w:styleId="391">
    <w:name w:val="引用 Char"/>
    <w:autoRedefine/>
    <w:qFormat/>
    <w:uiPriority w:val="0"/>
    <w:rPr>
      <w:rFonts w:ascii="Times New Roman" w:hAnsi="Times New Roman"/>
      <w:i/>
      <w:iCs/>
      <w:color w:val="404040"/>
      <w:kern w:val="2"/>
      <w:sz w:val="24"/>
    </w:rPr>
  </w:style>
  <w:style w:type="character" w:customStyle="1" w:styleId="392">
    <w:name w:val="引用 字符"/>
    <w:link w:val="390"/>
    <w:autoRedefine/>
    <w:qFormat/>
    <w:uiPriority w:val="0"/>
    <w:rPr>
      <w:b/>
      <w:iCs/>
      <w:color w:val="000000"/>
      <w:kern w:val="2"/>
      <w:sz w:val="24"/>
      <w:lang w:val="zh-CN"/>
    </w:rPr>
  </w:style>
  <w:style w:type="character" w:customStyle="1" w:styleId="393">
    <w:name w:val="标题 3 Char Char Char Char Char Char Char Char"/>
    <w:autoRedefine/>
    <w:qFormat/>
    <w:uiPriority w:val="0"/>
    <w:rPr>
      <w:rFonts w:eastAsia="宋体"/>
      <w:b/>
      <w:bCs/>
      <w:kern w:val="2"/>
      <w:sz w:val="32"/>
      <w:szCs w:val="32"/>
      <w:lang w:val="en-US" w:eastAsia="zh-CN" w:bidi="ar-SA"/>
    </w:rPr>
  </w:style>
  <w:style w:type="paragraph" w:customStyle="1" w:styleId="394">
    <w:name w:val="表头/图标"/>
    <w:basedOn w:val="1"/>
    <w:next w:val="1"/>
    <w:link w:val="395"/>
    <w:autoRedefine/>
    <w:qFormat/>
    <w:uiPriority w:val="99"/>
    <w:pPr>
      <w:ind w:firstLine="0" w:firstLineChars="0"/>
      <w:jc w:val="center"/>
    </w:pPr>
    <w:rPr>
      <w:b/>
      <w:lang w:val="zh-CN"/>
    </w:rPr>
  </w:style>
  <w:style w:type="character" w:customStyle="1" w:styleId="395">
    <w:name w:val="表头/图标 Char"/>
    <w:link w:val="394"/>
    <w:autoRedefine/>
    <w:qFormat/>
    <w:uiPriority w:val="0"/>
    <w:rPr>
      <w:rFonts w:ascii="Times New Roman" w:hAnsi="Times New Roman"/>
      <w:b/>
      <w:kern w:val="2"/>
      <w:sz w:val="24"/>
      <w:lang w:val="zh-CN" w:eastAsia="zh-CN"/>
    </w:rPr>
  </w:style>
  <w:style w:type="paragraph" w:customStyle="1" w:styleId="396">
    <w:name w:val="五号表格文字"/>
    <w:basedOn w:val="183"/>
    <w:autoRedefine/>
    <w:qFormat/>
    <w:uiPriority w:val="99"/>
    <w:pPr>
      <w:spacing w:beforeLines="0" w:line="240" w:lineRule="atLeast"/>
    </w:pPr>
    <w:rPr>
      <w:b w:val="0"/>
      <w:sz w:val="21"/>
    </w:rPr>
  </w:style>
  <w:style w:type="character" w:customStyle="1" w:styleId="397">
    <w:name w:val="样式3 Char2"/>
    <w:link w:val="365"/>
    <w:autoRedefine/>
    <w:qFormat/>
    <w:uiPriority w:val="0"/>
    <w:rPr>
      <w:rFonts w:ascii="黑体" w:hAnsi="宋体" w:eastAsia="黑体" w:cs="Arial"/>
      <w:b/>
      <w:bCs/>
      <w:snapToGrid w:val="0"/>
      <w:sz w:val="28"/>
      <w:szCs w:val="16"/>
    </w:rPr>
  </w:style>
  <w:style w:type="paragraph" w:customStyle="1" w:styleId="398">
    <w:name w:val="小五表格文字"/>
    <w:basedOn w:val="183"/>
    <w:autoRedefine/>
    <w:qFormat/>
    <w:uiPriority w:val="99"/>
    <w:pPr>
      <w:spacing w:beforeLines="0" w:line="240" w:lineRule="atLeast"/>
    </w:pPr>
    <w:rPr>
      <w:b w:val="0"/>
      <w:sz w:val="18"/>
    </w:rPr>
  </w:style>
  <w:style w:type="paragraph" w:customStyle="1" w:styleId="399">
    <w:name w:val="文本11"/>
    <w:basedOn w:val="1"/>
    <w:link w:val="400"/>
    <w:autoRedefine/>
    <w:qFormat/>
    <w:uiPriority w:val="0"/>
    <w:pPr>
      <w:adjustRightInd/>
      <w:snapToGrid/>
      <w:spacing w:line="360" w:lineRule="auto"/>
    </w:pPr>
    <w:rPr>
      <w:color w:val="000000"/>
      <w:szCs w:val="24"/>
      <w:lang w:val="zh-CN"/>
    </w:rPr>
  </w:style>
  <w:style w:type="character" w:customStyle="1" w:styleId="400">
    <w:name w:val="文本11 Char"/>
    <w:link w:val="399"/>
    <w:autoRedefine/>
    <w:qFormat/>
    <w:uiPriority w:val="0"/>
    <w:rPr>
      <w:rFonts w:ascii="Times New Roman" w:hAnsi="Times New Roman"/>
      <w:color w:val="000000"/>
      <w:kern w:val="2"/>
      <w:sz w:val="24"/>
      <w:szCs w:val="24"/>
    </w:rPr>
  </w:style>
  <w:style w:type="paragraph" w:customStyle="1" w:styleId="401">
    <w:name w:val="Char Char Char Char Char2 Char"/>
    <w:basedOn w:val="1"/>
    <w:autoRedefine/>
    <w:qFormat/>
    <w:uiPriority w:val="0"/>
    <w:pPr>
      <w:spacing w:line="360" w:lineRule="auto"/>
    </w:pPr>
    <w:rPr>
      <w:rFonts w:ascii="宋体" w:hAnsi="宋体" w:cs="宋体"/>
      <w:szCs w:val="26"/>
    </w:rPr>
  </w:style>
  <w:style w:type="paragraph" w:customStyle="1" w:styleId="402">
    <w:name w:val="Char Char Char Char Char2 Char4"/>
    <w:basedOn w:val="1"/>
    <w:autoRedefine/>
    <w:qFormat/>
    <w:uiPriority w:val="0"/>
    <w:pPr>
      <w:spacing w:line="360" w:lineRule="auto"/>
    </w:pPr>
    <w:rPr>
      <w:rFonts w:ascii="宋体" w:hAnsi="宋体" w:cs="宋体"/>
      <w:szCs w:val="26"/>
    </w:rPr>
  </w:style>
  <w:style w:type="character" w:customStyle="1" w:styleId="403">
    <w:name w:val="short_text"/>
    <w:autoRedefine/>
    <w:qFormat/>
    <w:uiPriority w:val="0"/>
  </w:style>
  <w:style w:type="character" w:customStyle="1" w:styleId="404">
    <w:name w:val="atn"/>
    <w:autoRedefine/>
    <w:qFormat/>
    <w:uiPriority w:val="0"/>
  </w:style>
  <w:style w:type="paragraph" w:customStyle="1" w:styleId="405">
    <w:name w:val="表格体"/>
    <w:basedOn w:val="406"/>
    <w:link w:val="3939"/>
    <w:autoRedefine/>
    <w:qFormat/>
    <w:uiPriority w:val="0"/>
    <w:pPr>
      <w:adjustRightInd/>
      <w:snapToGrid/>
      <w:ind w:firstLine="0" w:firstLineChars="0"/>
      <w:jc w:val="center"/>
    </w:pPr>
    <w:rPr>
      <w:sz w:val="21"/>
      <w:szCs w:val="18"/>
    </w:rPr>
  </w:style>
  <w:style w:type="paragraph" w:styleId="406">
    <w:name w:val="No Spacing"/>
    <w:next w:val="1"/>
    <w:autoRedefine/>
    <w:qFormat/>
    <w:uiPriority w:val="99"/>
    <w:pPr>
      <w:widowControl w:val="0"/>
      <w:adjustRightInd w:val="0"/>
      <w:snapToGrid w:val="0"/>
      <w:spacing w:beforeAutospacing="1" w:afterLines="50"/>
      <w:ind w:firstLine="200" w:firstLineChars="200"/>
      <w:jc w:val="both"/>
    </w:pPr>
    <w:rPr>
      <w:rFonts w:ascii="Times New Roman" w:hAnsi="Times New Roman" w:eastAsia="宋体" w:cstheme="minorBidi"/>
      <w:kern w:val="2"/>
      <w:sz w:val="24"/>
      <w:szCs w:val="21"/>
      <w:lang w:val="en-US" w:eastAsia="zh-CN" w:bidi="ar-SA"/>
    </w:rPr>
  </w:style>
  <w:style w:type="paragraph" w:customStyle="1" w:styleId="407">
    <w:name w:val="6"/>
    <w:autoRedefine/>
    <w:qFormat/>
    <w:uiPriority w:val="99"/>
    <w:pPr>
      <w:widowControl w:val="0"/>
      <w:spacing w:line="360" w:lineRule="auto"/>
      <w:jc w:val="both"/>
    </w:pPr>
    <w:rPr>
      <w:rFonts w:ascii="Times New Roman" w:hAnsi="Times New Roman" w:eastAsia="宋体" w:cs="Times New Roman"/>
      <w:kern w:val="2"/>
      <w:sz w:val="28"/>
      <w:szCs w:val="24"/>
      <w:lang w:val="en-US" w:eastAsia="zh-CN" w:bidi="ar-SA"/>
    </w:rPr>
  </w:style>
  <w:style w:type="paragraph" w:customStyle="1" w:styleId="408">
    <w:name w:val="排版正文"/>
    <w:basedOn w:val="1"/>
    <w:link w:val="409"/>
    <w:autoRedefine/>
    <w:qFormat/>
    <w:uiPriority w:val="0"/>
    <w:pPr>
      <w:spacing w:line="440" w:lineRule="exact"/>
      <w:ind w:firstLine="480"/>
    </w:pPr>
    <w:rPr>
      <w:rFonts w:ascii="ˎ̥" w:hAnsi="ˎ̥"/>
      <w:szCs w:val="24"/>
      <w:lang w:val="zh-CN"/>
    </w:rPr>
  </w:style>
  <w:style w:type="character" w:customStyle="1" w:styleId="409">
    <w:name w:val="排版正文 Char"/>
    <w:link w:val="408"/>
    <w:autoRedefine/>
    <w:qFormat/>
    <w:uiPriority w:val="0"/>
    <w:rPr>
      <w:rFonts w:ascii="ˎ̥" w:hAnsi="ˎ̥"/>
      <w:kern w:val="2"/>
      <w:sz w:val="24"/>
      <w:szCs w:val="24"/>
    </w:rPr>
  </w:style>
  <w:style w:type="paragraph" w:customStyle="1" w:styleId="410">
    <w:name w:val="样式 标题 3 + 黑色"/>
    <w:basedOn w:val="5"/>
    <w:autoRedefine/>
    <w:qFormat/>
    <w:uiPriority w:val="0"/>
    <w:pPr>
      <w:keepNext w:val="0"/>
      <w:keepLines w:val="0"/>
      <w:numPr>
        <w:ilvl w:val="0"/>
        <w:numId w:val="0"/>
      </w:numPr>
      <w:spacing w:line="440" w:lineRule="atLeast"/>
      <w:ind w:firstLine="482" w:firstLineChars="200"/>
      <w:outlineLvl w:val="9"/>
    </w:pPr>
    <w:rPr>
      <w:rFonts w:hAnsi="宋体"/>
      <w:szCs w:val="24"/>
      <w:lang w:val="en-US"/>
    </w:rPr>
  </w:style>
  <w:style w:type="character" w:customStyle="1" w:styleId="411">
    <w:name w:val="表格内容 Char"/>
    <w:link w:val="182"/>
    <w:autoRedefine/>
    <w:qFormat/>
    <w:uiPriority w:val="0"/>
    <w:rPr>
      <w:rFonts w:ascii="Times New Roman" w:hAnsi="Times New Roman"/>
      <w:kern w:val="2"/>
      <w:sz w:val="18"/>
      <w:szCs w:val="18"/>
    </w:rPr>
  </w:style>
  <w:style w:type="paragraph" w:customStyle="1" w:styleId="412">
    <w:name w:val="姓名"/>
    <w:basedOn w:val="34"/>
    <w:autoRedefine/>
    <w:qFormat/>
    <w:uiPriority w:val="99"/>
    <w:pPr>
      <w:widowControl/>
      <w:overflowPunct w:val="0"/>
      <w:autoSpaceDE w:val="0"/>
      <w:autoSpaceDN w:val="0"/>
      <w:snapToGrid/>
      <w:spacing w:before="120" w:after="0" w:line="240" w:lineRule="auto"/>
      <w:ind w:left="-1800" w:right="1080" w:firstLine="0" w:firstLineChars="0"/>
      <w:jc w:val="center"/>
      <w:textAlignment w:val="baseline"/>
    </w:pPr>
    <w:rPr>
      <w:rFonts w:ascii="Arial" w:hAnsi="Arial"/>
      <w:b/>
      <w:i/>
      <w:lang w:val="en-US"/>
    </w:rPr>
  </w:style>
  <w:style w:type="paragraph" w:customStyle="1" w:styleId="413">
    <w:name w:val="地址"/>
    <w:basedOn w:val="34"/>
    <w:autoRedefine/>
    <w:qFormat/>
    <w:uiPriority w:val="99"/>
    <w:pPr>
      <w:keepLines/>
      <w:widowControl/>
      <w:overflowPunct w:val="0"/>
      <w:autoSpaceDE w:val="0"/>
      <w:autoSpaceDN w:val="0"/>
      <w:snapToGrid/>
      <w:spacing w:after="0" w:line="240" w:lineRule="auto"/>
      <w:ind w:left="-1800" w:right="1080" w:firstLine="0" w:firstLineChars="0"/>
      <w:jc w:val="center"/>
      <w:textAlignment w:val="baseline"/>
    </w:pPr>
    <w:rPr>
      <w:rFonts w:ascii="Arial" w:hAnsi="Arial"/>
      <w:i/>
      <w:sz w:val="22"/>
      <w:lang w:val="en-US"/>
    </w:rPr>
  </w:style>
  <w:style w:type="character" w:customStyle="1" w:styleId="414">
    <w:name w:val="Char Char16"/>
    <w:autoRedefine/>
    <w:qFormat/>
    <w:uiPriority w:val="0"/>
    <w:rPr>
      <w:rFonts w:eastAsia="宋体"/>
      <w:b/>
      <w:sz w:val="28"/>
      <w:lang w:val="en-US" w:eastAsia="zh-CN" w:bidi="ar-SA"/>
    </w:rPr>
  </w:style>
  <w:style w:type="paragraph" w:customStyle="1" w:styleId="415">
    <w:name w:val="列表标题"/>
    <w:basedOn w:val="1"/>
    <w:next w:val="1"/>
    <w:autoRedefine/>
    <w:qFormat/>
    <w:uiPriority w:val="99"/>
    <w:pPr>
      <w:adjustRightInd/>
      <w:snapToGrid/>
      <w:spacing w:line="240" w:lineRule="auto"/>
      <w:ind w:firstLine="0" w:firstLineChars="0"/>
      <w:jc w:val="center"/>
    </w:pPr>
  </w:style>
  <w:style w:type="paragraph" w:customStyle="1" w:styleId="416">
    <w:name w:val="圆环"/>
    <w:basedOn w:val="1"/>
    <w:autoRedefine/>
    <w:qFormat/>
    <w:uiPriority w:val="99"/>
    <w:pPr>
      <w:snapToGrid/>
      <w:spacing w:line="312" w:lineRule="atLeast"/>
      <w:ind w:firstLine="0" w:firstLineChars="0"/>
      <w:textAlignment w:val="baseline"/>
    </w:pPr>
    <w:rPr>
      <w:rFonts w:eastAsia="仿宋_GB2312"/>
      <w:spacing w:val="6"/>
      <w:kern w:val="0"/>
      <w:sz w:val="28"/>
    </w:rPr>
  </w:style>
  <w:style w:type="paragraph" w:customStyle="1" w:styleId="417">
    <w:name w:val="xl29"/>
    <w:basedOn w:val="1"/>
    <w:autoRedefine/>
    <w:qFormat/>
    <w:uiPriority w:val="0"/>
    <w:pPr>
      <w:widowControl/>
      <w:pBdr>
        <w:left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kern w:val="0"/>
      <w:szCs w:val="24"/>
    </w:rPr>
  </w:style>
  <w:style w:type="paragraph" w:customStyle="1" w:styleId="418">
    <w:name w:val="列出段落2"/>
    <w:basedOn w:val="1"/>
    <w:autoRedefine/>
    <w:qFormat/>
    <w:uiPriority w:val="34"/>
    <w:pPr>
      <w:widowControl/>
      <w:adjustRightInd/>
      <w:snapToGrid/>
      <w:spacing w:line="240" w:lineRule="auto"/>
      <w:ind w:firstLine="420"/>
      <w:jc w:val="left"/>
    </w:pPr>
    <w:rPr>
      <w:rFonts w:ascii="宋体" w:hAnsi="宋体" w:cs="宋体"/>
      <w:kern w:val="0"/>
      <w:szCs w:val="21"/>
    </w:rPr>
  </w:style>
  <w:style w:type="character" w:customStyle="1" w:styleId="419">
    <w:name w:val="txtcontent11"/>
    <w:autoRedefine/>
    <w:qFormat/>
    <w:uiPriority w:val="0"/>
    <w:rPr>
      <w:rFonts w:hint="default" w:ascii="ˎ̥" w:hAnsi="ˎ̥"/>
      <w:color w:val="000000"/>
      <w:sz w:val="21"/>
      <w:szCs w:val="21"/>
    </w:rPr>
  </w:style>
  <w:style w:type="paragraph" w:customStyle="1" w:styleId="420">
    <w:name w:val="表格小四"/>
    <w:basedOn w:val="1"/>
    <w:link w:val="3202"/>
    <w:autoRedefine/>
    <w:qFormat/>
    <w:uiPriority w:val="0"/>
    <w:pPr>
      <w:widowControl/>
      <w:adjustRightInd/>
      <w:snapToGrid/>
      <w:spacing w:line="240" w:lineRule="auto"/>
      <w:ind w:firstLine="0" w:firstLineChars="0"/>
      <w:jc w:val="center"/>
    </w:pPr>
    <w:rPr>
      <w:rFonts w:ascii="宋体" w:hAnsi="宋体" w:cs="宋体"/>
      <w:bCs/>
      <w:kern w:val="0"/>
      <w:szCs w:val="24"/>
    </w:rPr>
  </w:style>
  <w:style w:type="paragraph" w:customStyle="1" w:styleId="421">
    <w:name w:val="edri-正文"/>
    <w:basedOn w:val="1"/>
    <w:autoRedefine/>
    <w:qFormat/>
    <w:uiPriority w:val="99"/>
    <w:pPr>
      <w:widowControl/>
      <w:adjustRightInd/>
      <w:snapToGrid/>
      <w:spacing w:line="360" w:lineRule="auto"/>
      <w:ind w:firstLine="560"/>
      <w:jc w:val="left"/>
    </w:pPr>
    <w:rPr>
      <w:rFonts w:ascii="宋体" w:hAnsi="宋体" w:cs="CommercialPi BT"/>
      <w:snapToGrid w:val="0"/>
      <w:kern w:val="0"/>
      <w:sz w:val="28"/>
      <w:szCs w:val="28"/>
    </w:rPr>
  </w:style>
  <w:style w:type="character" w:customStyle="1" w:styleId="422">
    <w:name w:val="正文文本 3 字符"/>
    <w:link w:val="31"/>
    <w:autoRedefine/>
    <w:qFormat/>
    <w:uiPriority w:val="0"/>
    <w:rPr>
      <w:rFonts w:ascii="宋体" w:hAnsi="宋体" w:cs="宋体"/>
      <w:sz w:val="16"/>
      <w:szCs w:val="16"/>
    </w:rPr>
  </w:style>
  <w:style w:type="paragraph" w:customStyle="1" w:styleId="423">
    <w:name w:val="正文（行首缩进2字）"/>
    <w:basedOn w:val="1"/>
    <w:autoRedefine/>
    <w:qFormat/>
    <w:uiPriority w:val="99"/>
    <w:pPr>
      <w:widowControl/>
      <w:adjustRightInd/>
      <w:snapToGrid/>
      <w:spacing w:line="360" w:lineRule="auto"/>
      <w:jc w:val="left"/>
    </w:pPr>
    <w:rPr>
      <w:rFonts w:ascii="宋体" w:hAnsi="宋体" w:cs="宋体"/>
      <w:kern w:val="0"/>
      <w:szCs w:val="24"/>
    </w:rPr>
  </w:style>
  <w:style w:type="paragraph" w:customStyle="1" w:styleId="424">
    <w:name w:val="Default Text"/>
    <w:basedOn w:val="1"/>
    <w:autoRedefine/>
    <w:qFormat/>
    <w:uiPriority w:val="99"/>
    <w:pPr>
      <w:widowControl/>
      <w:autoSpaceDE w:val="0"/>
      <w:autoSpaceDN w:val="0"/>
      <w:snapToGrid/>
      <w:spacing w:line="240" w:lineRule="auto"/>
      <w:ind w:firstLine="0" w:firstLineChars="0"/>
      <w:jc w:val="left"/>
    </w:pPr>
    <w:rPr>
      <w:rFonts w:ascii="宋体" w:hAnsi="宋体" w:cs="宋体"/>
      <w:kern w:val="0"/>
      <w:szCs w:val="24"/>
    </w:rPr>
  </w:style>
  <w:style w:type="paragraph" w:customStyle="1" w:styleId="425">
    <w:name w:val="样式2"/>
    <w:basedOn w:val="1"/>
    <w:link w:val="580"/>
    <w:autoRedefine/>
    <w:qFormat/>
    <w:uiPriority w:val="0"/>
    <w:pPr>
      <w:widowControl/>
      <w:adjustRightInd/>
      <w:snapToGrid/>
      <w:spacing w:line="240" w:lineRule="auto"/>
      <w:ind w:firstLine="0" w:firstLineChars="0"/>
      <w:jc w:val="left"/>
    </w:pPr>
    <w:rPr>
      <w:rFonts w:ascii="宋体" w:hAnsi="宋体"/>
      <w:kern w:val="0"/>
      <w:szCs w:val="24"/>
      <w:lang w:val="zh-CN"/>
    </w:rPr>
  </w:style>
  <w:style w:type="paragraph" w:customStyle="1" w:styleId="426">
    <w:name w:val="Char6"/>
    <w:basedOn w:val="1"/>
    <w:autoRedefine/>
    <w:qFormat/>
    <w:uiPriority w:val="0"/>
    <w:pPr>
      <w:adjustRightInd/>
      <w:snapToGrid/>
      <w:spacing w:line="240" w:lineRule="auto"/>
      <w:ind w:firstLine="0" w:firstLineChars="0"/>
    </w:pPr>
    <w:rPr>
      <w:sz w:val="21"/>
      <w:szCs w:val="24"/>
    </w:rPr>
  </w:style>
  <w:style w:type="paragraph" w:customStyle="1" w:styleId="427">
    <w:name w:val="Char Char Char Char"/>
    <w:basedOn w:val="1"/>
    <w:autoRedefine/>
    <w:qFormat/>
    <w:uiPriority w:val="0"/>
    <w:pPr>
      <w:widowControl/>
      <w:adjustRightInd/>
      <w:snapToGrid/>
      <w:spacing w:after="160" w:line="240" w:lineRule="exact"/>
      <w:ind w:firstLine="0" w:firstLineChars="0"/>
      <w:jc w:val="left"/>
    </w:pPr>
    <w:rPr>
      <w:rFonts w:ascii="Verdana" w:hAnsi="Verdana" w:eastAsia="仿宋_GB2312"/>
      <w:kern w:val="0"/>
      <w:lang w:eastAsia="en-US"/>
    </w:rPr>
  </w:style>
  <w:style w:type="character" w:customStyle="1" w:styleId="428">
    <w:name w:val="样式1 Char"/>
    <w:link w:val="202"/>
    <w:autoRedefine/>
    <w:qFormat/>
    <w:uiPriority w:val="0"/>
    <w:rPr>
      <w:rFonts w:ascii="仿宋_GB2312" w:hAnsi="Times New Roman"/>
      <w:kern w:val="2"/>
      <w:sz w:val="21"/>
      <w:szCs w:val="21"/>
    </w:rPr>
  </w:style>
  <w:style w:type="character" w:customStyle="1" w:styleId="429">
    <w:name w:val="s1"/>
    <w:autoRedefine/>
    <w:qFormat/>
    <w:uiPriority w:val="0"/>
    <w:rPr>
      <w:sz w:val="18"/>
      <w:szCs w:val="18"/>
    </w:rPr>
  </w:style>
  <w:style w:type="character" w:customStyle="1" w:styleId="430">
    <w:name w:val="标题 字符"/>
    <w:link w:val="84"/>
    <w:autoRedefine/>
    <w:qFormat/>
    <w:uiPriority w:val="0"/>
    <w:rPr>
      <w:rFonts w:ascii="Cambria" w:hAnsi="Cambria" w:cs="Cambria"/>
      <w:b/>
      <w:bCs/>
      <w:kern w:val="2"/>
      <w:sz w:val="32"/>
      <w:szCs w:val="32"/>
    </w:rPr>
  </w:style>
  <w:style w:type="character" w:customStyle="1" w:styleId="431">
    <w:name w:val="H1 Char"/>
    <w:autoRedefine/>
    <w:qFormat/>
    <w:uiPriority w:val="0"/>
    <w:rPr>
      <w:rFonts w:ascii="Times New Roman" w:hAnsi="Times New Roman" w:eastAsia="宋体" w:cs="Times New Roman"/>
      <w:sz w:val="28"/>
      <w:szCs w:val="28"/>
    </w:rPr>
  </w:style>
  <w:style w:type="character" w:customStyle="1" w:styleId="432">
    <w:name w:val="Char Char15"/>
    <w:autoRedefine/>
    <w:qFormat/>
    <w:uiPriority w:val="0"/>
    <w:rPr>
      <w:sz w:val="18"/>
      <w:szCs w:val="18"/>
    </w:rPr>
  </w:style>
  <w:style w:type="character" w:customStyle="1" w:styleId="433">
    <w:name w:val="Char Char14"/>
    <w:autoRedefine/>
    <w:qFormat/>
    <w:uiPriority w:val="0"/>
    <w:rPr>
      <w:sz w:val="18"/>
      <w:szCs w:val="18"/>
    </w:rPr>
  </w:style>
  <w:style w:type="character" w:customStyle="1" w:styleId="434">
    <w:name w:val="Char Char13"/>
    <w:autoRedefine/>
    <w:qFormat/>
    <w:uiPriority w:val="0"/>
    <w:rPr>
      <w:sz w:val="18"/>
      <w:szCs w:val="18"/>
    </w:rPr>
  </w:style>
  <w:style w:type="paragraph" w:customStyle="1" w:styleId="435">
    <w:name w:val="列出段落1"/>
    <w:basedOn w:val="1"/>
    <w:autoRedefine/>
    <w:qFormat/>
    <w:uiPriority w:val="0"/>
    <w:pPr>
      <w:adjustRightInd/>
      <w:snapToGrid/>
      <w:spacing w:line="240" w:lineRule="auto"/>
      <w:ind w:firstLine="420"/>
    </w:pPr>
    <w:rPr>
      <w:rFonts w:ascii="Calibri" w:hAnsi="Calibri" w:cs="Calibri"/>
      <w:sz w:val="21"/>
      <w:szCs w:val="21"/>
    </w:rPr>
  </w:style>
  <w:style w:type="character" w:customStyle="1" w:styleId="436">
    <w:name w:val="Char Char9"/>
    <w:autoRedefine/>
    <w:qFormat/>
    <w:locked/>
    <w:uiPriority w:val="0"/>
    <w:rPr>
      <w:rFonts w:ascii="Times New Roman" w:hAnsi="Times New Roman" w:eastAsia="宋体" w:cs="Times New Roman"/>
      <w:sz w:val="28"/>
      <w:szCs w:val="28"/>
    </w:rPr>
  </w:style>
  <w:style w:type="paragraph" w:customStyle="1" w:styleId="437">
    <w:name w:val="- PAGE -"/>
    <w:autoRedefine/>
    <w:qFormat/>
    <w:uiPriority w:val="99"/>
    <w:rPr>
      <w:rFonts w:ascii="Times New Roman" w:hAnsi="Times New Roman" w:eastAsia="宋体" w:cs="Times New Roman"/>
      <w:sz w:val="24"/>
      <w:szCs w:val="24"/>
      <w:lang w:val="en-US" w:eastAsia="en-US" w:bidi="ar-SA"/>
    </w:rPr>
  </w:style>
  <w:style w:type="character" w:customStyle="1" w:styleId="438">
    <w:name w:val="Char Char8"/>
    <w:autoRedefine/>
    <w:qFormat/>
    <w:uiPriority w:val="0"/>
    <w:rPr>
      <w:rFonts w:ascii="宋体" w:hAnsi="宋体" w:eastAsia="宋体" w:cs="宋体"/>
      <w:kern w:val="0"/>
      <w:sz w:val="24"/>
      <w:szCs w:val="24"/>
    </w:rPr>
  </w:style>
  <w:style w:type="character" w:customStyle="1" w:styleId="439">
    <w:name w:val="Char Char7"/>
    <w:autoRedefine/>
    <w:qFormat/>
    <w:uiPriority w:val="0"/>
    <w:rPr>
      <w:rFonts w:ascii="Cambria" w:hAnsi="Cambria" w:eastAsia="宋体" w:cs="Cambria"/>
      <w:b/>
      <w:bCs/>
      <w:sz w:val="32"/>
      <w:szCs w:val="32"/>
    </w:rPr>
  </w:style>
  <w:style w:type="paragraph" w:customStyle="1" w:styleId="440">
    <w:name w:val="xl24"/>
    <w:basedOn w:val="1"/>
    <w:autoRedefine/>
    <w:qFormat/>
    <w:uiPriority w:val="0"/>
    <w:pPr>
      <w:widowControl/>
      <w:adjustRightInd/>
      <w:snapToGrid/>
      <w:spacing w:before="100" w:beforeAutospacing="1" w:after="100" w:afterAutospacing="1" w:line="240" w:lineRule="auto"/>
      <w:ind w:firstLine="0" w:firstLineChars="0"/>
      <w:jc w:val="center"/>
    </w:pPr>
    <w:rPr>
      <w:rFonts w:ascii="Arial Unicode MS" w:hAnsi="Arial Unicode MS" w:cs="Arial Unicode MS"/>
      <w:kern w:val="0"/>
      <w:szCs w:val="24"/>
    </w:rPr>
  </w:style>
  <w:style w:type="character" w:customStyle="1" w:styleId="441">
    <w:name w:val="style21"/>
    <w:autoRedefine/>
    <w:qFormat/>
    <w:uiPriority w:val="0"/>
  </w:style>
  <w:style w:type="character" w:customStyle="1" w:styleId="442">
    <w:name w:val="Char Char72"/>
    <w:autoRedefine/>
    <w:qFormat/>
    <w:locked/>
    <w:uiPriority w:val="0"/>
    <w:rPr>
      <w:rFonts w:eastAsia="宋体"/>
      <w:kern w:val="2"/>
      <w:sz w:val="28"/>
      <w:szCs w:val="28"/>
      <w:lang w:val="en-US" w:eastAsia="zh-CN"/>
    </w:rPr>
  </w:style>
  <w:style w:type="character" w:customStyle="1" w:styleId="443">
    <w:name w:val="Char Char142"/>
    <w:autoRedefine/>
    <w:qFormat/>
    <w:locked/>
    <w:uiPriority w:val="0"/>
    <w:rPr>
      <w:rFonts w:eastAsia="宋体"/>
      <w:b/>
      <w:bCs/>
      <w:kern w:val="44"/>
      <w:sz w:val="44"/>
      <w:szCs w:val="44"/>
      <w:lang w:val="en-US" w:eastAsia="zh-CN"/>
    </w:rPr>
  </w:style>
  <w:style w:type="character" w:customStyle="1" w:styleId="444">
    <w:name w:val="Char Char132"/>
    <w:autoRedefine/>
    <w:qFormat/>
    <w:locked/>
    <w:uiPriority w:val="0"/>
    <w:rPr>
      <w:rFonts w:ascii="Arial" w:hAnsi="Arial" w:eastAsia="黑体" w:cs="Arial"/>
      <w:b/>
      <w:bCs/>
      <w:kern w:val="2"/>
      <w:sz w:val="32"/>
      <w:szCs w:val="32"/>
      <w:lang w:val="en-US" w:eastAsia="zh-CN"/>
    </w:rPr>
  </w:style>
  <w:style w:type="character" w:customStyle="1" w:styleId="445">
    <w:name w:val="Char Char10"/>
    <w:autoRedefine/>
    <w:qFormat/>
    <w:locked/>
    <w:uiPriority w:val="0"/>
    <w:rPr>
      <w:rFonts w:eastAsia="仿宋_GB2312"/>
      <w:kern w:val="2"/>
      <w:sz w:val="28"/>
      <w:szCs w:val="28"/>
      <w:lang w:val="en-US" w:eastAsia="zh-CN"/>
    </w:rPr>
  </w:style>
  <w:style w:type="character" w:customStyle="1" w:styleId="446">
    <w:name w:val="Char Char92"/>
    <w:autoRedefine/>
    <w:qFormat/>
    <w:locked/>
    <w:uiPriority w:val="0"/>
    <w:rPr>
      <w:rFonts w:ascii="Calibri" w:hAnsi="Calibri" w:eastAsia="宋体" w:cs="Calibri"/>
      <w:kern w:val="2"/>
      <w:sz w:val="18"/>
      <w:szCs w:val="18"/>
      <w:lang w:val="en-US" w:eastAsia="zh-CN"/>
    </w:rPr>
  </w:style>
  <w:style w:type="character" w:customStyle="1" w:styleId="447">
    <w:name w:val="Char Char82"/>
    <w:autoRedefine/>
    <w:qFormat/>
    <w:locked/>
    <w:uiPriority w:val="0"/>
    <w:rPr>
      <w:rFonts w:ascii="Calibri" w:hAnsi="Calibri" w:eastAsia="宋体" w:cs="Calibri"/>
      <w:kern w:val="2"/>
      <w:sz w:val="18"/>
      <w:szCs w:val="18"/>
      <w:lang w:val="en-US" w:eastAsia="zh-CN"/>
    </w:rPr>
  </w:style>
  <w:style w:type="character" w:customStyle="1" w:styleId="448">
    <w:name w:val="Char Char6"/>
    <w:autoRedefine/>
    <w:qFormat/>
    <w:locked/>
    <w:uiPriority w:val="0"/>
    <w:rPr>
      <w:rFonts w:eastAsia="宋体"/>
      <w:kern w:val="2"/>
      <w:sz w:val="18"/>
      <w:szCs w:val="18"/>
      <w:lang w:val="en-US" w:eastAsia="zh-CN"/>
    </w:rPr>
  </w:style>
  <w:style w:type="character" w:customStyle="1" w:styleId="449">
    <w:name w:val="Char Char4"/>
    <w:autoRedefine/>
    <w:qFormat/>
    <w:locked/>
    <w:uiPriority w:val="0"/>
    <w:rPr>
      <w:rFonts w:eastAsia="楷体_GB2312"/>
      <w:kern w:val="2"/>
      <w:sz w:val="24"/>
      <w:szCs w:val="24"/>
      <w:lang w:val="en-US" w:eastAsia="zh-CN"/>
    </w:rPr>
  </w:style>
  <w:style w:type="paragraph" w:customStyle="1" w:styleId="450">
    <w:name w:val="5 Char"/>
    <w:basedOn w:val="1"/>
    <w:autoRedefine/>
    <w:qFormat/>
    <w:uiPriority w:val="99"/>
    <w:pPr>
      <w:adjustRightInd/>
      <w:snapToGrid/>
      <w:spacing w:line="240" w:lineRule="auto"/>
      <w:ind w:firstLine="0" w:firstLineChars="0"/>
    </w:pPr>
    <w:rPr>
      <w:rFonts w:ascii="宋体" w:hAnsi="宋体"/>
      <w:kern w:val="0"/>
      <w:szCs w:val="21"/>
    </w:rPr>
  </w:style>
  <w:style w:type="paragraph" w:customStyle="1" w:styleId="451">
    <w:name w:val="样式 标题 3条标题1.1.1H3BOD 0Heading 3 - oldLevel 3 Headh33rd le..."/>
    <w:basedOn w:val="5"/>
    <w:link w:val="452"/>
    <w:autoRedefine/>
    <w:qFormat/>
    <w:uiPriority w:val="99"/>
    <w:pPr>
      <w:numPr>
        <w:ilvl w:val="0"/>
        <w:numId w:val="0"/>
      </w:numPr>
      <w:spacing w:line="500" w:lineRule="exact"/>
      <w:jc w:val="left"/>
    </w:pPr>
    <w:rPr>
      <w:rFonts w:ascii="宋体" w:hAnsi="宋体"/>
      <w:kern w:val="24"/>
      <w:szCs w:val="20"/>
    </w:rPr>
  </w:style>
  <w:style w:type="character" w:customStyle="1" w:styleId="452">
    <w:name w:val="样式 标题 3条标题1.1.1H3BOD 0Heading 3 - oldLevel 3 Headh33rd le... Char"/>
    <w:link w:val="451"/>
    <w:autoRedefine/>
    <w:qFormat/>
    <w:uiPriority w:val="0"/>
    <w:rPr>
      <w:rFonts w:ascii="宋体" w:hAnsi="宋体" w:cs="宋体"/>
      <w:b/>
      <w:bCs/>
      <w:kern w:val="24"/>
      <w:sz w:val="24"/>
    </w:rPr>
  </w:style>
  <w:style w:type="paragraph" w:customStyle="1" w:styleId="453">
    <w:name w:val="Char2 Char Char Char Char Char Char Char Char Char Char Char Char Char Char Char Char Char Char Char Char Char"/>
    <w:basedOn w:val="1"/>
    <w:autoRedefine/>
    <w:qFormat/>
    <w:uiPriority w:val="99"/>
    <w:pPr>
      <w:adjustRightInd/>
      <w:spacing w:line="360" w:lineRule="auto"/>
    </w:pPr>
    <w:rPr>
      <w:rFonts w:eastAsia="仿宋_GB2312"/>
      <w:szCs w:val="24"/>
    </w:rPr>
  </w:style>
  <w:style w:type="paragraph" w:customStyle="1" w:styleId="454">
    <w:name w:val="无间隔11"/>
    <w:autoRedefine/>
    <w:qFormat/>
    <w:uiPriority w:val="0"/>
    <w:pPr>
      <w:widowControl w:val="0"/>
      <w:jc w:val="both"/>
    </w:pPr>
    <w:rPr>
      <w:rFonts w:ascii="Calibri" w:hAnsi="Calibri" w:eastAsia="宋体" w:cs="Calibri"/>
      <w:kern w:val="2"/>
      <w:sz w:val="21"/>
      <w:szCs w:val="21"/>
      <w:lang w:val="en-US" w:eastAsia="zh-CN" w:bidi="ar-SA"/>
    </w:rPr>
  </w:style>
  <w:style w:type="paragraph" w:customStyle="1" w:styleId="455">
    <w:name w:val="样式 宋体 小四 行距: 固定值 24 磅"/>
    <w:basedOn w:val="1"/>
    <w:autoRedefine/>
    <w:qFormat/>
    <w:uiPriority w:val="99"/>
    <w:pPr>
      <w:framePr w:hSpace="180" w:wrap="around" w:vAnchor="text" w:hAnchor="margin" w:y="112"/>
      <w:adjustRightInd/>
      <w:snapToGrid/>
      <w:ind w:firstLine="0" w:firstLineChars="0"/>
      <w:jc w:val="left"/>
    </w:pPr>
    <w:rPr>
      <w:rFonts w:ascii="宋体" w:hAnsi="宋体" w:cs="宋体"/>
      <w:color w:val="000000"/>
      <w:kern w:val="0"/>
      <w:sz w:val="21"/>
      <w:szCs w:val="21"/>
    </w:rPr>
  </w:style>
  <w:style w:type="paragraph" w:customStyle="1" w:styleId="456">
    <w:name w:val="样式 样式 样式1 + 首行缩进:  2 字符 + 首行缩进:  2 字符1"/>
    <w:basedOn w:val="1"/>
    <w:autoRedefine/>
    <w:qFormat/>
    <w:uiPriority w:val="99"/>
    <w:pPr>
      <w:tabs>
        <w:tab w:val="left" w:pos="2265"/>
        <w:tab w:val="left" w:pos="3075"/>
      </w:tabs>
      <w:adjustRightInd/>
      <w:snapToGrid/>
      <w:spacing w:line="400" w:lineRule="exact"/>
      <w:ind w:firstLine="482"/>
      <w:jc w:val="left"/>
    </w:pPr>
    <w:rPr>
      <w:rFonts w:ascii="宋体" w:hAnsi="宋体" w:cs="宋体"/>
      <w:b/>
      <w:kern w:val="0"/>
      <w:szCs w:val="24"/>
    </w:rPr>
  </w:style>
  <w:style w:type="character" w:customStyle="1" w:styleId="457">
    <w:name w:val="样式1 Char2"/>
    <w:autoRedefine/>
    <w:qFormat/>
    <w:uiPriority w:val="0"/>
    <w:rPr>
      <w:rFonts w:cs="Calibri"/>
      <w:sz w:val="18"/>
      <w:szCs w:val="18"/>
      <w:lang w:val="en-US" w:eastAsia="zh-CN" w:bidi="ar-SA"/>
    </w:rPr>
  </w:style>
  <w:style w:type="character" w:customStyle="1" w:styleId="458">
    <w:name w:val="副标题 字符"/>
    <w:link w:val="64"/>
    <w:autoRedefine/>
    <w:qFormat/>
    <w:uiPriority w:val="0"/>
    <w:rPr>
      <w:rFonts w:ascii="Cambria" w:hAnsi="Cambria"/>
      <w:b/>
      <w:bCs/>
      <w:kern w:val="28"/>
      <w:sz w:val="32"/>
      <w:szCs w:val="32"/>
    </w:rPr>
  </w:style>
  <w:style w:type="paragraph" w:customStyle="1" w:styleId="459">
    <w:name w:val="无间隔3"/>
    <w:autoRedefine/>
    <w:qFormat/>
    <w:uiPriority w:val="0"/>
    <w:pPr>
      <w:widowControl w:val="0"/>
      <w:jc w:val="both"/>
    </w:pPr>
    <w:rPr>
      <w:rFonts w:ascii="Calibri" w:hAnsi="Calibri" w:eastAsia="宋体" w:cs="Calibri"/>
      <w:kern w:val="2"/>
      <w:sz w:val="21"/>
      <w:szCs w:val="21"/>
      <w:lang w:val="en-US" w:eastAsia="zh-CN" w:bidi="ar-SA"/>
    </w:rPr>
  </w:style>
  <w:style w:type="paragraph" w:customStyle="1" w:styleId="460">
    <w:name w:val="_书名"/>
    <w:basedOn w:val="1"/>
    <w:autoRedefine/>
    <w:qFormat/>
    <w:uiPriority w:val="99"/>
    <w:pPr>
      <w:adjustRightInd/>
      <w:snapToGrid/>
      <w:spacing w:line="240" w:lineRule="auto"/>
      <w:ind w:firstLine="0" w:firstLineChars="0"/>
      <w:jc w:val="center"/>
    </w:pPr>
    <w:rPr>
      <w:b/>
      <w:sz w:val="96"/>
      <w:szCs w:val="96"/>
    </w:rPr>
  </w:style>
  <w:style w:type="paragraph" w:customStyle="1" w:styleId="461">
    <w:name w:val="建设单位名称"/>
    <w:basedOn w:val="1"/>
    <w:autoRedefine/>
    <w:qFormat/>
    <w:uiPriority w:val="99"/>
    <w:pPr>
      <w:adjustRightInd/>
      <w:snapToGrid/>
      <w:spacing w:line="240" w:lineRule="auto"/>
      <w:ind w:firstLine="0" w:firstLineChars="0"/>
      <w:jc w:val="center"/>
    </w:pPr>
    <w:rPr>
      <w:b/>
      <w:sz w:val="36"/>
      <w:szCs w:val="36"/>
    </w:rPr>
  </w:style>
  <w:style w:type="paragraph" w:customStyle="1" w:styleId="462">
    <w:name w:val="样式 正文 首行缩进:  2 字符 + 首行缩进:  2 字符"/>
    <w:basedOn w:val="1"/>
    <w:autoRedefine/>
    <w:qFormat/>
    <w:uiPriority w:val="99"/>
    <w:pPr>
      <w:adjustRightInd/>
      <w:snapToGrid/>
      <w:ind w:firstLine="480" w:firstLineChars="0"/>
      <w:jc w:val="left"/>
    </w:pPr>
    <w:rPr>
      <w:rFonts w:cs="宋体"/>
      <w:b/>
      <w:bCs/>
      <w:sz w:val="32"/>
      <w:szCs w:val="24"/>
    </w:rPr>
  </w:style>
  <w:style w:type="paragraph" w:customStyle="1" w:styleId="463">
    <w:name w:val="无间隔4"/>
    <w:autoRedefine/>
    <w:qFormat/>
    <w:uiPriority w:val="99"/>
    <w:pPr>
      <w:widowControl w:val="0"/>
      <w:jc w:val="both"/>
    </w:pPr>
    <w:rPr>
      <w:rFonts w:ascii="Calibri" w:hAnsi="Calibri" w:eastAsia="宋体" w:cs="Calibri"/>
      <w:kern w:val="2"/>
      <w:sz w:val="21"/>
      <w:szCs w:val="21"/>
      <w:lang w:val="en-US" w:eastAsia="zh-CN" w:bidi="ar-SA"/>
    </w:rPr>
  </w:style>
  <w:style w:type="paragraph" w:customStyle="1" w:styleId="464">
    <w:name w:val="无间隔5"/>
    <w:autoRedefine/>
    <w:qFormat/>
    <w:uiPriority w:val="99"/>
    <w:pPr>
      <w:widowControl w:val="0"/>
      <w:jc w:val="both"/>
    </w:pPr>
    <w:rPr>
      <w:rFonts w:ascii="Calibri" w:hAnsi="Calibri" w:eastAsia="宋体" w:cs="Calibri"/>
      <w:kern w:val="2"/>
      <w:sz w:val="21"/>
      <w:szCs w:val="21"/>
      <w:lang w:val="en-US" w:eastAsia="zh-CN" w:bidi="ar-SA"/>
    </w:rPr>
  </w:style>
  <w:style w:type="paragraph" w:customStyle="1" w:styleId="465">
    <w:name w:val="无间隔6"/>
    <w:autoRedefine/>
    <w:qFormat/>
    <w:uiPriority w:val="99"/>
    <w:pPr>
      <w:widowControl w:val="0"/>
      <w:jc w:val="both"/>
    </w:pPr>
    <w:rPr>
      <w:rFonts w:ascii="Calibri" w:hAnsi="Calibri" w:eastAsia="宋体" w:cs="Calibri"/>
      <w:kern w:val="2"/>
      <w:sz w:val="21"/>
      <w:szCs w:val="21"/>
      <w:lang w:val="en-US" w:eastAsia="zh-CN" w:bidi="ar-SA"/>
    </w:rPr>
  </w:style>
  <w:style w:type="paragraph" w:customStyle="1" w:styleId="466">
    <w:name w:val="样式 楷体_GB2312 四号 首行缩进:  2 字符"/>
    <w:basedOn w:val="1"/>
    <w:autoRedefine/>
    <w:qFormat/>
    <w:uiPriority w:val="99"/>
    <w:pPr>
      <w:adjustRightInd/>
      <w:snapToGrid/>
      <w:spacing w:line="240" w:lineRule="auto"/>
      <w:ind w:firstLine="560"/>
    </w:pPr>
    <w:rPr>
      <w:rFonts w:ascii="楷体_GB2312" w:hAnsi="楷体_GB2312" w:eastAsia="仿宋_GB2312"/>
      <w:sz w:val="28"/>
    </w:rPr>
  </w:style>
  <w:style w:type="character" w:customStyle="1" w:styleId="467">
    <w:name w:val="hangju1"/>
    <w:autoRedefine/>
    <w:qFormat/>
    <w:uiPriority w:val="0"/>
  </w:style>
  <w:style w:type="paragraph" w:customStyle="1" w:styleId="468">
    <w:name w:val="列出段落3"/>
    <w:basedOn w:val="1"/>
    <w:autoRedefine/>
    <w:qFormat/>
    <w:uiPriority w:val="34"/>
    <w:pPr>
      <w:adjustRightInd/>
      <w:snapToGrid/>
      <w:spacing w:line="240" w:lineRule="auto"/>
      <w:ind w:firstLine="420"/>
    </w:pPr>
    <w:rPr>
      <w:rFonts w:ascii="Calibri" w:hAnsi="Calibri" w:cs="Calibri"/>
      <w:sz w:val="21"/>
      <w:szCs w:val="21"/>
    </w:rPr>
  </w:style>
  <w:style w:type="character" w:customStyle="1" w:styleId="469">
    <w:name w:val="批注文字 Char Char"/>
    <w:autoRedefine/>
    <w:qFormat/>
    <w:uiPriority w:val="0"/>
  </w:style>
  <w:style w:type="paragraph" w:customStyle="1" w:styleId="470">
    <w:name w:val="样式 表格 + 首行缩进:  2.19 字符1"/>
    <w:basedOn w:val="276"/>
    <w:autoRedefine/>
    <w:qFormat/>
    <w:uiPriority w:val="99"/>
    <w:pPr>
      <w:snapToGrid/>
      <w:spacing w:line="360" w:lineRule="exact"/>
    </w:pPr>
    <w:rPr>
      <w:rFonts w:cs="宋体"/>
      <w:spacing w:val="10"/>
      <w:kern w:val="0"/>
      <w:lang w:val="en-US"/>
    </w:rPr>
  </w:style>
  <w:style w:type="paragraph" w:customStyle="1" w:styleId="471">
    <w:name w:val="图表标题"/>
    <w:basedOn w:val="1"/>
    <w:next w:val="1"/>
    <w:link w:val="965"/>
    <w:autoRedefine/>
    <w:qFormat/>
    <w:uiPriority w:val="0"/>
    <w:pPr>
      <w:adjustRightInd/>
      <w:snapToGrid/>
      <w:spacing w:line="360" w:lineRule="auto"/>
      <w:ind w:firstLine="0" w:firstLineChars="0"/>
      <w:jc w:val="center"/>
      <w:textAlignment w:val="baseline"/>
    </w:pPr>
    <w:rPr>
      <w:rFonts w:ascii="黑体" w:eastAsia="黑体"/>
      <w:szCs w:val="24"/>
      <w:lang w:val="zh-CN"/>
    </w:rPr>
  </w:style>
  <w:style w:type="paragraph" w:customStyle="1" w:styleId="472">
    <w:name w:val="Char4 Char Char Char"/>
    <w:basedOn w:val="1"/>
    <w:autoRedefine/>
    <w:qFormat/>
    <w:uiPriority w:val="0"/>
    <w:pPr>
      <w:spacing w:line="360" w:lineRule="auto"/>
    </w:pPr>
    <w:rPr>
      <w:rFonts w:ascii="宋体" w:hAnsi="宋体" w:cs="宋体"/>
      <w:szCs w:val="26"/>
    </w:rPr>
  </w:style>
  <w:style w:type="paragraph" w:customStyle="1" w:styleId="473">
    <w:name w:val="Char Char3 Char Char Char Char Char Char"/>
    <w:basedOn w:val="1"/>
    <w:autoRedefine/>
    <w:qFormat/>
    <w:uiPriority w:val="0"/>
    <w:pPr>
      <w:widowControl/>
      <w:tabs>
        <w:tab w:val="left" w:pos="480"/>
      </w:tabs>
      <w:adjustRightInd/>
      <w:snapToGrid/>
      <w:spacing w:after="160" w:line="240" w:lineRule="exact"/>
      <w:ind w:firstLine="0" w:firstLineChars="0"/>
      <w:jc w:val="left"/>
    </w:pPr>
    <w:rPr>
      <w:rFonts w:ascii="Verdana" w:hAnsi="Verdana"/>
      <w:kern w:val="0"/>
      <w:sz w:val="20"/>
      <w:lang w:eastAsia="en-US"/>
    </w:rPr>
  </w:style>
  <w:style w:type="paragraph" w:customStyle="1" w:styleId="474">
    <w:name w:val="Char Char Char Char Char Char Char Char Char Char Char Char Char Char Char Char"/>
    <w:basedOn w:val="1"/>
    <w:autoRedefine/>
    <w:qFormat/>
    <w:uiPriority w:val="0"/>
    <w:pPr>
      <w:adjustRightInd/>
      <w:snapToGrid/>
      <w:spacing w:line="240" w:lineRule="auto"/>
      <w:ind w:firstLine="0" w:firstLineChars="0"/>
    </w:pPr>
    <w:rPr>
      <w:sz w:val="21"/>
      <w:szCs w:val="24"/>
    </w:rPr>
  </w:style>
  <w:style w:type="character" w:customStyle="1" w:styleId="475">
    <w:name w:val="bold1"/>
    <w:autoRedefine/>
    <w:qFormat/>
    <w:uiPriority w:val="0"/>
    <w:rPr>
      <w:b/>
      <w:bCs/>
    </w:rPr>
  </w:style>
  <w:style w:type="paragraph" w:customStyle="1" w:styleId="476">
    <w:name w:val="首页页眉样式"/>
    <w:basedOn w:val="1"/>
    <w:autoRedefine/>
    <w:qFormat/>
    <w:uiPriority w:val="0"/>
    <w:pPr>
      <w:adjustRightInd/>
      <w:snapToGrid/>
      <w:spacing w:line="320" w:lineRule="exact"/>
      <w:ind w:firstLine="0" w:firstLineChars="0"/>
      <w:jc w:val="center"/>
    </w:pPr>
    <w:rPr>
      <w:rFonts w:ascii="宋体" w:hAnsi="宋体"/>
      <w:sz w:val="21"/>
    </w:rPr>
  </w:style>
  <w:style w:type="character" w:customStyle="1" w:styleId="477">
    <w:name w:val="unnamed21"/>
    <w:autoRedefine/>
    <w:qFormat/>
    <w:uiPriority w:val="0"/>
  </w:style>
  <w:style w:type="paragraph" w:customStyle="1" w:styleId="478">
    <w:name w:val="表号"/>
    <w:basedOn w:val="1"/>
    <w:next w:val="1"/>
    <w:link w:val="964"/>
    <w:autoRedefine/>
    <w:qFormat/>
    <w:uiPriority w:val="0"/>
    <w:pPr>
      <w:widowControl/>
      <w:adjustRightInd/>
      <w:snapToGrid/>
      <w:spacing w:before="120" w:line="240" w:lineRule="atLeast"/>
      <w:ind w:firstLine="0" w:firstLineChars="0"/>
      <w:jc w:val="center"/>
    </w:pPr>
    <w:rPr>
      <w:rFonts w:ascii="黑体" w:eastAsia="黑体"/>
      <w:color w:val="000000"/>
      <w:spacing w:val="6"/>
      <w:kern w:val="0"/>
      <w:sz w:val="26"/>
      <w:szCs w:val="26"/>
      <w:lang w:val="zh-CN"/>
    </w:rPr>
  </w:style>
  <w:style w:type="paragraph" w:customStyle="1" w:styleId="479">
    <w:name w:val=".."/>
    <w:basedOn w:val="1"/>
    <w:next w:val="1"/>
    <w:autoRedefine/>
    <w:qFormat/>
    <w:uiPriority w:val="0"/>
    <w:pPr>
      <w:autoSpaceDE w:val="0"/>
      <w:autoSpaceDN w:val="0"/>
      <w:snapToGrid/>
      <w:spacing w:line="240" w:lineRule="auto"/>
      <w:ind w:firstLine="0" w:firstLineChars="0"/>
      <w:jc w:val="left"/>
    </w:pPr>
    <w:rPr>
      <w:rFonts w:ascii="宋体"/>
      <w:kern w:val="0"/>
      <w:sz w:val="20"/>
      <w:szCs w:val="24"/>
    </w:rPr>
  </w:style>
  <w:style w:type="paragraph" w:customStyle="1" w:styleId="480">
    <w:name w:val="Char Char Char Char1"/>
    <w:basedOn w:val="1"/>
    <w:autoRedefine/>
    <w:qFormat/>
    <w:uiPriority w:val="0"/>
    <w:pPr>
      <w:adjustRightInd/>
      <w:snapToGrid/>
      <w:spacing w:line="360" w:lineRule="auto"/>
    </w:pPr>
    <w:rPr>
      <w:rFonts w:ascii="宋体" w:hAnsi="宋体" w:cs="宋体"/>
      <w:szCs w:val="24"/>
    </w:rPr>
  </w:style>
  <w:style w:type="paragraph" w:customStyle="1" w:styleId="481">
    <w:name w:val="Body Text 21"/>
    <w:basedOn w:val="1"/>
    <w:autoRedefine/>
    <w:qFormat/>
    <w:uiPriority w:val="0"/>
    <w:pPr>
      <w:tabs>
        <w:tab w:val="left" w:pos="567"/>
      </w:tabs>
      <w:snapToGrid/>
      <w:spacing w:line="410" w:lineRule="atLeast"/>
      <w:ind w:firstLine="480" w:firstLineChars="0"/>
      <w:textAlignment w:val="baseline"/>
    </w:pPr>
    <w:rPr>
      <w:rFonts w:ascii="宋体"/>
      <w:kern w:val="0"/>
    </w:rPr>
  </w:style>
  <w:style w:type="paragraph" w:customStyle="1" w:styleId="482">
    <w:name w:val="标准"/>
    <w:basedOn w:val="1"/>
    <w:autoRedefine/>
    <w:qFormat/>
    <w:uiPriority w:val="0"/>
    <w:pPr>
      <w:snapToGrid/>
      <w:spacing w:line="600" w:lineRule="atLeast"/>
      <w:ind w:firstLine="0" w:firstLineChars="0"/>
      <w:textAlignment w:val="baseline"/>
    </w:pPr>
    <w:rPr>
      <w:kern w:val="0"/>
      <w:sz w:val="28"/>
    </w:rPr>
  </w:style>
  <w:style w:type="character" w:customStyle="1" w:styleId="483">
    <w:name w:val="正文1 Char"/>
    <w:link w:val="203"/>
    <w:autoRedefine/>
    <w:qFormat/>
    <w:uiPriority w:val="0"/>
    <w:rPr>
      <w:rFonts w:ascii="宋体" w:hAnsi="宋体" w:cs="宋体"/>
      <w:kern w:val="2"/>
      <w:sz w:val="24"/>
      <w:szCs w:val="26"/>
    </w:rPr>
  </w:style>
  <w:style w:type="paragraph" w:customStyle="1" w:styleId="484">
    <w:name w:val="表内式样"/>
    <w:autoRedefine/>
    <w:qFormat/>
    <w:uiPriority w:val="0"/>
    <w:pPr>
      <w:keepLines/>
      <w:widowControl w:val="0"/>
      <w:kinsoku w:val="0"/>
      <w:overflowPunct w:val="0"/>
      <w:adjustRightInd w:val="0"/>
      <w:jc w:val="center"/>
    </w:pPr>
    <w:rPr>
      <w:rFonts w:ascii="宋体" w:hAnsi="Times New Roman" w:eastAsia="宋体" w:cs="Times New Roman"/>
      <w:sz w:val="21"/>
      <w:szCs w:val="21"/>
      <w:lang w:val="en-US" w:eastAsia="zh-CN" w:bidi="ar-SA"/>
    </w:rPr>
  </w:style>
  <w:style w:type="paragraph" w:customStyle="1" w:styleId="485">
    <w:name w:val="封面正文"/>
    <w:autoRedefine/>
    <w:qFormat/>
    <w:uiPriority w:val="0"/>
    <w:pPr>
      <w:jc w:val="both"/>
    </w:pPr>
    <w:rPr>
      <w:rFonts w:ascii="Times New Roman" w:hAnsi="Times New Roman" w:eastAsia="宋体" w:cs="Times New Roman"/>
      <w:lang w:val="en-US" w:eastAsia="zh-CN" w:bidi="ar-SA"/>
    </w:rPr>
  </w:style>
  <w:style w:type="paragraph" w:customStyle="1" w:styleId="486">
    <w:name w:val="样式 宋体 小四 左 行距: 固定值 22 磅"/>
    <w:basedOn w:val="1"/>
    <w:autoRedefine/>
    <w:qFormat/>
    <w:uiPriority w:val="0"/>
    <w:pPr>
      <w:adjustRightInd/>
      <w:snapToGrid/>
      <w:spacing w:line="440" w:lineRule="exact"/>
      <w:jc w:val="left"/>
    </w:pPr>
    <w:rPr>
      <w:rFonts w:ascii="宋体" w:hAnsi="宋体" w:cs="宋体"/>
    </w:rPr>
  </w:style>
  <w:style w:type="paragraph" w:customStyle="1" w:styleId="487">
    <w:name w:val="基准页脚样式"/>
    <w:basedOn w:val="34"/>
    <w:autoRedefine/>
    <w:qFormat/>
    <w:uiPriority w:val="0"/>
    <w:pPr>
      <w:adjustRightInd/>
      <w:snapToGrid/>
      <w:spacing w:after="0" w:line="240" w:lineRule="exact"/>
      <w:ind w:firstLine="0" w:firstLineChars="0"/>
      <w:jc w:val="center"/>
    </w:pPr>
    <w:rPr>
      <w:rFonts w:ascii="宋体" w:hAnsi="宋体"/>
      <w:bCs/>
      <w:kern w:val="2"/>
      <w:sz w:val="21"/>
      <w:szCs w:val="21"/>
      <w:lang w:val="en-US"/>
    </w:rPr>
  </w:style>
  <w:style w:type="paragraph" w:customStyle="1" w:styleId="488">
    <w:name w:val="CM40"/>
    <w:basedOn w:val="151"/>
    <w:next w:val="151"/>
    <w:autoRedefine/>
    <w:qFormat/>
    <w:uiPriority w:val="0"/>
    <w:pPr>
      <w:spacing w:after="138"/>
    </w:pPr>
    <w:rPr>
      <w:rFonts w:ascii="隶书" w:eastAsia="隶书"/>
      <w:color w:val="auto"/>
    </w:rPr>
  </w:style>
  <w:style w:type="paragraph" w:customStyle="1" w:styleId="489">
    <w:name w:val="CM101"/>
    <w:basedOn w:val="151"/>
    <w:next w:val="151"/>
    <w:autoRedefine/>
    <w:qFormat/>
    <w:uiPriority w:val="0"/>
    <w:pPr>
      <w:spacing w:after="325"/>
    </w:pPr>
    <w:rPr>
      <w:rFonts w:ascii="宋体"/>
      <w:color w:val="auto"/>
    </w:rPr>
  </w:style>
  <w:style w:type="paragraph" w:customStyle="1" w:styleId="490">
    <w:name w:val="CM105"/>
    <w:basedOn w:val="151"/>
    <w:next w:val="151"/>
    <w:autoRedefine/>
    <w:qFormat/>
    <w:uiPriority w:val="0"/>
    <w:pPr>
      <w:spacing w:after="225"/>
    </w:pPr>
    <w:rPr>
      <w:rFonts w:ascii="宋体"/>
      <w:color w:val="auto"/>
    </w:rPr>
  </w:style>
  <w:style w:type="paragraph" w:customStyle="1" w:styleId="491">
    <w:name w:val="CM18"/>
    <w:basedOn w:val="151"/>
    <w:next w:val="151"/>
    <w:autoRedefine/>
    <w:qFormat/>
    <w:uiPriority w:val="0"/>
    <w:pPr>
      <w:spacing w:line="468" w:lineRule="atLeast"/>
    </w:pPr>
    <w:rPr>
      <w:rFonts w:ascii="隶书" w:eastAsia="隶书"/>
      <w:color w:val="auto"/>
    </w:rPr>
  </w:style>
  <w:style w:type="character" w:customStyle="1" w:styleId="492">
    <w:name w:val="题注 Char1"/>
    <w:autoRedefine/>
    <w:qFormat/>
    <w:uiPriority w:val="0"/>
    <w:rPr>
      <w:rFonts w:ascii="Arial" w:hAnsi="Arial" w:eastAsia="黑体" w:cs="Arial"/>
      <w:sz w:val="20"/>
      <w:szCs w:val="20"/>
    </w:rPr>
  </w:style>
  <w:style w:type="paragraph" w:customStyle="1" w:styleId="493">
    <w:name w:val="正文2"/>
    <w:basedOn w:val="1"/>
    <w:link w:val="494"/>
    <w:autoRedefine/>
    <w:qFormat/>
    <w:uiPriority w:val="0"/>
    <w:pPr>
      <w:snapToGrid/>
      <w:spacing w:before="120" w:line="315" w:lineRule="atLeast"/>
      <w:ind w:firstLine="0" w:firstLineChars="0"/>
      <w:jc w:val="left"/>
      <w:textAlignment w:val="baseline"/>
    </w:pPr>
    <w:rPr>
      <w:rFonts w:ascii="宋体"/>
      <w:kern w:val="0"/>
      <w:lang w:val="zh-CN"/>
    </w:rPr>
  </w:style>
  <w:style w:type="character" w:customStyle="1" w:styleId="494">
    <w:name w:val="正文 Char"/>
    <w:link w:val="493"/>
    <w:autoRedefine/>
    <w:qFormat/>
    <w:uiPriority w:val="0"/>
    <w:rPr>
      <w:rFonts w:ascii="宋体" w:hAnsi="Times New Roman"/>
      <w:sz w:val="24"/>
    </w:rPr>
  </w:style>
  <w:style w:type="character" w:customStyle="1" w:styleId="495">
    <w:name w:val="样式3 Char"/>
    <w:autoRedefine/>
    <w:qFormat/>
    <w:uiPriority w:val="0"/>
    <w:rPr>
      <w:snapToGrid w:val="0"/>
      <w:color w:val="000000"/>
      <w:sz w:val="21"/>
    </w:rPr>
  </w:style>
  <w:style w:type="paragraph" w:customStyle="1" w:styleId="496">
    <w:name w:val="亚行正文"/>
    <w:basedOn w:val="1"/>
    <w:link w:val="497"/>
    <w:autoRedefine/>
    <w:qFormat/>
    <w:uiPriority w:val="0"/>
    <w:pPr>
      <w:wordWrap w:val="0"/>
      <w:adjustRightInd/>
      <w:snapToGrid/>
      <w:spacing w:line="360" w:lineRule="auto"/>
      <w:ind w:left="-2" w:leftChars="-1" w:firstLine="473" w:firstLineChars="197"/>
    </w:pPr>
    <w:rPr>
      <w:snapToGrid w:val="0"/>
      <w:kern w:val="0"/>
      <w:szCs w:val="24"/>
      <w:lang w:val="zh-CN"/>
    </w:rPr>
  </w:style>
  <w:style w:type="character" w:customStyle="1" w:styleId="497">
    <w:name w:val="亚行正文 Char"/>
    <w:link w:val="496"/>
    <w:autoRedefine/>
    <w:qFormat/>
    <w:uiPriority w:val="0"/>
    <w:rPr>
      <w:rFonts w:ascii="Times New Roman" w:hAnsi="Times New Roman"/>
      <w:snapToGrid w:val="0"/>
      <w:sz w:val="24"/>
      <w:szCs w:val="24"/>
    </w:rPr>
  </w:style>
  <w:style w:type="paragraph" w:customStyle="1" w:styleId="498">
    <w:name w:val="小四正文"/>
    <w:link w:val="499"/>
    <w:autoRedefine/>
    <w:qFormat/>
    <w:uiPriority w:val="0"/>
    <w:pPr>
      <w:spacing w:line="480" w:lineRule="exact"/>
      <w:jc w:val="both"/>
    </w:pPr>
    <w:rPr>
      <w:rFonts w:ascii="Times New Roman" w:hAnsi="宋体" w:eastAsia="宋体" w:cs="Times New Roman"/>
      <w:b/>
      <w:color w:val="000000"/>
      <w:kern w:val="2"/>
      <w:sz w:val="24"/>
      <w:szCs w:val="24"/>
      <w:lang w:val="en-US" w:eastAsia="zh-CN" w:bidi="ar-SA"/>
    </w:rPr>
  </w:style>
  <w:style w:type="character" w:customStyle="1" w:styleId="499">
    <w:name w:val="小四正文 Char"/>
    <w:link w:val="498"/>
    <w:autoRedefine/>
    <w:qFormat/>
    <w:uiPriority w:val="0"/>
    <w:rPr>
      <w:rFonts w:ascii="Times New Roman" w:hAnsi="宋体"/>
      <w:b/>
      <w:color w:val="000000"/>
      <w:kern w:val="2"/>
      <w:sz w:val="24"/>
      <w:szCs w:val="24"/>
      <w:lang w:bidi="ar-SA"/>
    </w:rPr>
  </w:style>
  <w:style w:type="character" w:customStyle="1" w:styleId="500">
    <w:name w:val="列表 字符"/>
    <w:link w:val="66"/>
    <w:autoRedefine/>
    <w:qFormat/>
    <w:uiPriority w:val="0"/>
    <w:rPr>
      <w:rFonts w:ascii="Times New Roman" w:hAnsi="Times New Roman"/>
      <w:b/>
      <w:kern w:val="2"/>
      <w:sz w:val="24"/>
      <w:szCs w:val="24"/>
    </w:rPr>
  </w:style>
  <w:style w:type="paragraph" w:customStyle="1" w:styleId="501">
    <w:name w:val="样式7"/>
    <w:basedOn w:val="1"/>
    <w:link w:val="502"/>
    <w:autoRedefine/>
    <w:qFormat/>
    <w:uiPriority w:val="0"/>
    <w:rPr>
      <w:sz w:val="26"/>
      <w:szCs w:val="26"/>
      <w:lang w:val="zh-CN"/>
    </w:rPr>
  </w:style>
  <w:style w:type="character" w:customStyle="1" w:styleId="502">
    <w:name w:val="样式7 Char"/>
    <w:link w:val="501"/>
    <w:autoRedefine/>
    <w:qFormat/>
    <w:uiPriority w:val="0"/>
    <w:rPr>
      <w:rFonts w:ascii="Times New Roman" w:hAnsi="Times New Roman"/>
      <w:kern w:val="2"/>
      <w:sz w:val="26"/>
      <w:szCs w:val="26"/>
    </w:rPr>
  </w:style>
  <w:style w:type="paragraph" w:customStyle="1" w:styleId="503">
    <w:name w:val="正文王"/>
    <w:basedOn w:val="45"/>
    <w:autoRedefine/>
    <w:qFormat/>
    <w:uiPriority w:val="0"/>
    <w:pPr>
      <w:spacing w:line="440" w:lineRule="exact"/>
    </w:pPr>
    <w:rPr>
      <w:rFonts w:ascii="Arial" w:hAnsi="Arial"/>
      <w:snapToGrid w:val="0"/>
      <w:kern w:val="0"/>
      <w:sz w:val="24"/>
      <w:lang w:val="en-US"/>
    </w:rPr>
  </w:style>
  <w:style w:type="paragraph" w:customStyle="1" w:styleId="504">
    <w:name w:val="表内字"/>
    <w:autoRedefine/>
    <w:qFormat/>
    <w:uiPriority w:val="0"/>
    <w:pPr>
      <w:widowControl w:val="0"/>
      <w:autoSpaceDE w:val="0"/>
      <w:autoSpaceDN w:val="0"/>
      <w:adjustRightInd w:val="0"/>
      <w:spacing w:line="300" w:lineRule="exact"/>
      <w:jc w:val="both"/>
    </w:pPr>
    <w:rPr>
      <w:rFonts w:ascii="宋体" w:hAnsi="宋体" w:eastAsia="方正宋三简体" w:cs="Times New Roman"/>
      <w:sz w:val="21"/>
      <w:szCs w:val="21"/>
      <w:lang w:val="en-US" w:eastAsia="zh-CN" w:bidi="ar-SA"/>
    </w:rPr>
  </w:style>
  <w:style w:type="paragraph" w:customStyle="1" w:styleId="505">
    <w:name w:val="正文缩"/>
    <w:basedOn w:val="1"/>
    <w:autoRedefine/>
    <w:qFormat/>
    <w:uiPriority w:val="0"/>
    <w:pPr>
      <w:snapToGrid/>
      <w:spacing w:line="480" w:lineRule="atLeast"/>
      <w:ind w:firstLine="567" w:firstLineChars="0"/>
      <w:textAlignment w:val="baseline"/>
    </w:pPr>
    <w:rPr>
      <w:rFonts w:ascii="宋体"/>
      <w:spacing w:val="6"/>
      <w:kern w:val="0"/>
      <w:sz w:val="28"/>
    </w:rPr>
  </w:style>
  <w:style w:type="paragraph" w:customStyle="1" w:styleId="506">
    <w:name w:val="蒲正文"/>
    <w:basedOn w:val="1"/>
    <w:link w:val="3015"/>
    <w:autoRedefine/>
    <w:qFormat/>
    <w:uiPriority w:val="0"/>
    <w:pPr>
      <w:spacing w:line="440" w:lineRule="exact"/>
      <w:ind w:firstLine="0" w:firstLineChars="0"/>
    </w:pPr>
    <w:rPr>
      <w:rFonts w:ascii="宋体" w:hAnsi="宋体"/>
      <w:b/>
      <w:kern w:val="0"/>
      <w:szCs w:val="24"/>
    </w:rPr>
  </w:style>
  <w:style w:type="paragraph" w:customStyle="1" w:styleId="507">
    <w:name w:val="正文11111111"/>
    <w:basedOn w:val="1"/>
    <w:autoRedefine/>
    <w:qFormat/>
    <w:uiPriority w:val="0"/>
    <w:pPr>
      <w:adjustRightInd/>
      <w:snapToGrid/>
      <w:spacing w:line="440" w:lineRule="exact"/>
    </w:pPr>
    <w:rPr>
      <w:rFonts w:cs="宋体"/>
    </w:rPr>
  </w:style>
  <w:style w:type="paragraph" w:customStyle="1" w:styleId="508">
    <w:name w:val="样式 正文11111111 + 左侧:  0.85 厘米 首行缩进:  2 字符"/>
    <w:basedOn w:val="507"/>
    <w:autoRedefine/>
    <w:qFormat/>
    <w:uiPriority w:val="0"/>
    <w:pPr>
      <w:ind w:firstLine="480"/>
    </w:pPr>
  </w:style>
  <w:style w:type="paragraph" w:customStyle="1" w:styleId="509">
    <w:name w:val="正文一"/>
    <w:basedOn w:val="1"/>
    <w:autoRedefine/>
    <w:qFormat/>
    <w:uiPriority w:val="0"/>
    <w:pPr>
      <w:widowControl/>
      <w:spacing w:line="480" w:lineRule="atLeast"/>
      <w:ind w:firstLine="0" w:firstLineChars="0"/>
    </w:pPr>
    <w:rPr>
      <w:rFonts w:ascii="宋体" w:cs="宋体"/>
      <w:spacing w:val="6"/>
      <w:kern w:val="0"/>
      <w:szCs w:val="24"/>
    </w:rPr>
  </w:style>
  <w:style w:type="paragraph" w:customStyle="1" w:styleId="510">
    <w:name w:val="二级无标题条"/>
    <w:basedOn w:val="1"/>
    <w:autoRedefine/>
    <w:qFormat/>
    <w:uiPriority w:val="0"/>
    <w:pPr>
      <w:adjustRightInd/>
      <w:snapToGrid/>
      <w:spacing w:line="240" w:lineRule="auto"/>
      <w:ind w:firstLine="0" w:firstLineChars="0"/>
    </w:pPr>
    <w:rPr>
      <w:sz w:val="21"/>
      <w:szCs w:val="24"/>
    </w:rPr>
  </w:style>
  <w:style w:type="paragraph" w:customStyle="1" w:styleId="511">
    <w:name w:val="Date1"/>
    <w:basedOn w:val="1"/>
    <w:next w:val="1"/>
    <w:autoRedefine/>
    <w:qFormat/>
    <w:uiPriority w:val="0"/>
    <w:pPr>
      <w:snapToGrid/>
      <w:spacing w:line="240" w:lineRule="auto"/>
      <w:ind w:firstLine="0" w:firstLineChars="0"/>
      <w:textAlignment w:val="baseline"/>
    </w:pPr>
    <w:rPr>
      <w:sz w:val="21"/>
    </w:rPr>
  </w:style>
  <w:style w:type="paragraph" w:customStyle="1" w:styleId="512">
    <w:name w:val="样式5"/>
    <w:basedOn w:val="1"/>
    <w:link w:val="748"/>
    <w:autoRedefine/>
    <w:qFormat/>
    <w:uiPriority w:val="0"/>
    <w:pPr>
      <w:spacing w:beforeLines="50"/>
      <w:ind w:firstLine="0" w:firstLineChars="0"/>
      <w:jc w:val="center"/>
      <w:outlineLvl w:val="4"/>
    </w:pPr>
    <w:rPr>
      <w:bCs/>
      <w:sz w:val="26"/>
      <w:szCs w:val="26"/>
      <w:lang w:val="zh-CN"/>
    </w:rPr>
  </w:style>
  <w:style w:type="paragraph" w:customStyle="1" w:styleId="513">
    <w:name w:val="图表名称"/>
    <w:next w:val="1"/>
    <w:link w:val="514"/>
    <w:autoRedefine/>
    <w:qFormat/>
    <w:uiPriority w:val="0"/>
    <w:pPr>
      <w:spacing w:before="25" w:after="25" w:line="360" w:lineRule="auto"/>
      <w:jc w:val="center"/>
    </w:pPr>
    <w:rPr>
      <w:rFonts w:ascii="Times New Roman" w:hAnsi="Times New Roman" w:eastAsia="黑体" w:cs="Times New Roman"/>
      <w:b/>
      <w:bCs/>
      <w:kern w:val="2"/>
      <w:sz w:val="24"/>
      <w:szCs w:val="21"/>
      <w:lang w:val="en-US" w:eastAsia="zh-CN" w:bidi="ar-SA"/>
    </w:rPr>
  </w:style>
  <w:style w:type="character" w:customStyle="1" w:styleId="514">
    <w:name w:val="图表名称 Char"/>
    <w:link w:val="513"/>
    <w:autoRedefine/>
    <w:qFormat/>
    <w:uiPriority w:val="0"/>
    <w:rPr>
      <w:rFonts w:ascii="Times New Roman" w:hAnsi="Times New Roman" w:eastAsia="黑体"/>
      <w:b/>
      <w:bCs/>
      <w:kern w:val="2"/>
      <w:sz w:val="24"/>
      <w:szCs w:val="21"/>
      <w:lang w:bidi="ar-SA"/>
    </w:rPr>
  </w:style>
  <w:style w:type="paragraph" w:customStyle="1" w:styleId="515">
    <w:name w:val="川维5"/>
    <w:basedOn w:val="1"/>
    <w:link w:val="516"/>
    <w:autoRedefine/>
    <w:qFormat/>
    <w:uiPriority w:val="0"/>
    <w:pPr>
      <w:adjustRightInd/>
      <w:snapToGrid/>
      <w:spacing w:line="360" w:lineRule="auto"/>
    </w:pPr>
    <w:rPr>
      <w:kern w:val="24"/>
      <w:szCs w:val="24"/>
      <w:lang w:val="zh-CN"/>
    </w:rPr>
  </w:style>
  <w:style w:type="character" w:customStyle="1" w:styleId="516">
    <w:name w:val="川维5 Char"/>
    <w:link w:val="515"/>
    <w:autoRedefine/>
    <w:qFormat/>
    <w:uiPriority w:val="0"/>
    <w:rPr>
      <w:rFonts w:ascii="Times New Roman" w:hAnsi="Times New Roman"/>
      <w:kern w:val="24"/>
      <w:sz w:val="24"/>
      <w:szCs w:val="24"/>
    </w:rPr>
  </w:style>
  <w:style w:type="paragraph" w:customStyle="1" w:styleId="517">
    <w:name w:val="1正文段落"/>
    <w:basedOn w:val="1"/>
    <w:link w:val="518"/>
    <w:autoRedefine/>
    <w:qFormat/>
    <w:uiPriority w:val="0"/>
    <w:pPr>
      <w:adjustRightInd/>
      <w:snapToGrid/>
      <w:spacing w:line="360" w:lineRule="auto"/>
      <w:ind w:firstLine="480"/>
      <w:jc w:val="left"/>
    </w:pPr>
    <w:rPr>
      <w:snapToGrid w:val="0"/>
      <w:kern w:val="0"/>
      <w:szCs w:val="24"/>
      <w:lang w:val="zh-CN"/>
    </w:rPr>
  </w:style>
  <w:style w:type="character" w:customStyle="1" w:styleId="518">
    <w:name w:val="1正文段落 Char"/>
    <w:link w:val="517"/>
    <w:autoRedefine/>
    <w:qFormat/>
    <w:uiPriority w:val="0"/>
    <w:rPr>
      <w:rFonts w:ascii="Times New Roman" w:hAnsi="Times New Roman"/>
      <w:snapToGrid w:val="0"/>
      <w:sz w:val="24"/>
      <w:szCs w:val="24"/>
    </w:rPr>
  </w:style>
  <w:style w:type="paragraph" w:customStyle="1" w:styleId="519">
    <w:name w:val="标注"/>
    <w:basedOn w:val="52"/>
    <w:next w:val="1"/>
    <w:link w:val="521"/>
    <w:autoRedefine/>
    <w:qFormat/>
    <w:uiPriority w:val="0"/>
    <w:pPr>
      <w:ind w:right="360"/>
      <w:jc w:val="both"/>
    </w:pPr>
    <w:rPr>
      <w:color w:val="000000"/>
      <w:szCs w:val="21"/>
    </w:rPr>
  </w:style>
  <w:style w:type="character" w:customStyle="1" w:styleId="520">
    <w:name w:val="尾注文本 字符"/>
    <w:link w:val="52"/>
    <w:autoRedefine/>
    <w:qFormat/>
    <w:uiPriority w:val="0"/>
    <w:rPr>
      <w:rFonts w:ascii="Times New Roman" w:hAnsi="Times New Roman"/>
      <w:kern w:val="2"/>
      <w:sz w:val="21"/>
      <w:szCs w:val="24"/>
    </w:rPr>
  </w:style>
  <w:style w:type="character" w:customStyle="1" w:styleId="521">
    <w:name w:val="标注 Char"/>
    <w:link w:val="519"/>
    <w:autoRedefine/>
    <w:qFormat/>
    <w:uiPriority w:val="0"/>
    <w:rPr>
      <w:rFonts w:ascii="Times New Roman" w:hAnsi="Times New Roman"/>
      <w:color w:val="000000"/>
      <w:kern w:val="2"/>
      <w:sz w:val="21"/>
      <w:szCs w:val="21"/>
    </w:rPr>
  </w:style>
  <w:style w:type="paragraph" w:customStyle="1" w:styleId="522">
    <w:name w:val="楷体加粗"/>
    <w:basedOn w:val="1"/>
    <w:link w:val="523"/>
    <w:autoRedefine/>
    <w:qFormat/>
    <w:uiPriority w:val="0"/>
    <w:pPr>
      <w:adjustRightInd/>
      <w:snapToGrid/>
      <w:spacing w:line="440" w:lineRule="exact"/>
      <w:ind w:firstLine="470" w:firstLineChars="196"/>
      <w:jc w:val="left"/>
    </w:pPr>
    <w:rPr>
      <w:rFonts w:ascii="宋体" w:hAnsi="宋体"/>
      <w:szCs w:val="24"/>
      <w:lang w:val="zh-CN"/>
    </w:rPr>
  </w:style>
  <w:style w:type="character" w:customStyle="1" w:styleId="523">
    <w:name w:val="楷体加粗 Char"/>
    <w:link w:val="522"/>
    <w:autoRedefine/>
    <w:qFormat/>
    <w:uiPriority w:val="0"/>
    <w:rPr>
      <w:rFonts w:ascii="宋体" w:hAnsi="宋体"/>
      <w:kern w:val="2"/>
      <w:sz w:val="24"/>
      <w:szCs w:val="24"/>
    </w:rPr>
  </w:style>
  <w:style w:type="paragraph" w:customStyle="1" w:styleId="524">
    <w:name w:val="单位"/>
    <w:basedOn w:val="519"/>
    <w:autoRedefine/>
    <w:qFormat/>
    <w:uiPriority w:val="0"/>
  </w:style>
  <w:style w:type="character" w:customStyle="1" w:styleId="525">
    <w:name w:val="二级条标题 Char"/>
    <w:link w:val="333"/>
    <w:autoRedefine/>
    <w:qFormat/>
    <w:uiPriority w:val="0"/>
    <w:rPr>
      <w:rFonts w:ascii="黑体" w:hAnsi="Times New Roman" w:eastAsia="黑体"/>
      <w:sz w:val="21"/>
    </w:rPr>
  </w:style>
  <w:style w:type="paragraph" w:customStyle="1" w:styleId="526">
    <w:name w:val="样式"/>
    <w:basedOn w:val="1"/>
    <w:next w:val="70"/>
    <w:autoRedefine/>
    <w:qFormat/>
    <w:uiPriority w:val="0"/>
    <w:pPr>
      <w:tabs>
        <w:tab w:val="left" w:pos="6720"/>
      </w:tabs>
      <w:adjustRightInd/>
      <w:snapToGrid/>
      <w:spacing w:line="360" w:lineRule="auto"/>
      <w:ind w:firstLine="480"/>
    </w:pPr>
    <w:rPr>
      <w:rFonts w:ascii="楷体_GB2312" w:eastAsia="楷体_GB2312"/>
      <w:szCs w:val="24"/>
    </w:rPr>
  </w:style>
  <w:style w:type="character" w:customStyle="1" w:styleId="527">
    <w:name w:val="zhenwen14"/>
    <w:autoRedefine/>
    <w:qFormat/>
    <w:uiPriority w:val="0"/>
  </w:style>
  <w:style w:type="paragraph" w:customStyle="1" w:styleId="528">
    <w:name w:val="附录表标题"/>
    <w:next w:val="5"/>
    <w:autoRedefine/>
    <w:qFormat/>
    <w:uiPriority w:val="0"/>
    <w:pPr>
      <w:tabs>
        <w:tab w:val="left" w:pos="360"/>
      </w:tabs>
      <w:jc w:val="center"/>
      <w:textAlignment w:val="baseline"/>
    </w:pPr>
    <w:rPr>
      <w:rFonts w:ascii="黑体" w:hAnsi="Times New Roman" w:eastAsia="黑体" w:cs="Times New Roman"/>
      <w:kern w:val="21"/>
      <w:sz w:val="21"/>
      <w:lang w:val="en-US" w:eastAsia="zh-CN" w:bidi="ar-SA"/>
    </w:rPr>
  </w:style>
  <w:style w:type="character" w:customStyle="1" w:styleId="529">
    <w:name w:val="样式 四号"/>
    <w:autoRedefine/>
    <w:qFormat/>
    <w:uiPriority w:val="0"/>
    <w:rPr>
      <w:sz w:val="28"/>
    </w:rPr>
  </w:style>
  <w:style w:type="character" w:customStyle="1" w:styleId="530">
    <w:name w:val="title162"/>
    <w:autoRedefine/>
    <w:qFormat/>
    <w:uiPriority w:val="0"/>
    <w:rPr>
      <w:b/>
      <w:bCs/>
      <w:color w:val="900000"/>
      <w:sz w:val="23"/>
      <w:szCs w:val="23"/>
    </w:rPr>
  </w:style>
  <w:style w:type="paragraph" w:customStyle="1" w:styleId="531">
    <w:name w:val="样式 样式1 + 宋体 首行缩进:  2 字符"/>
    <w:basedOn w:val="1"/>
    <w:autoRedefine/>
    <w:qFormat/>
    <w:uiPriority w:val="0"/>
    <w:pPr>
      <w:adjustRightInd/>
      <w:snapToGrid/>
      <w:spacing w:line="180" w:lineRule="atLeast"/>
      <w:ind w:firstLine="520"/>
    </w:pPr>
    <w:rPr>
      <w:rFonts w:ascii="宋体" w:hAnsi="宋体"/>
      <w:sz w:val="28"/>
      <w:szCs w:val="28"/>
    </w:rPr>
  </w:style>
  <w:style w:type="paragraph" w:customStyle="1" w:styleId="532">
    <w:name w:val="hcr3"/>
    <w:autoRedefine/>
    <w:qFormat/>
    <w:uiPriority w:val="0"/>
    <w:pPr>
      <w:ind w:firstLine="200" w:firstLineChars="200"/>
    </w:pPr>
    <w:rPr>
      <w:rFonts w:ascii="仿宋_GB2312" w:hAnsi="Times New Roman" w:eastAsia="仿宋_GB2312" w:cs="Times New Roman"/>
      <w:bCs/>
      <w:sz w:val="28"/>
      <w:lang w:val="en-US" w:eastAsia="zh-CN" w:bidi="ar-SA"/>
    </w:rPr>
  </w:style>
  <w:style w:type="paragraph" w:customStyle="1" w:styleId="533">
    <w:name w:val="表格内文字"/>
    <w:basedOn w:val="1"/>
    <w:link w:val="1813"/>
    <w:autoRedefine/>
    <w:qFormat/>
    <w:uiPriority w:val="0"/>
    <w:pPr>
      <w:spacing w:before="80" w:line="240" w:lineRule="exact"/>
      <w:ind w:firstLine="0" w:firstLineChars="0"/>
      <w:jc w:val="center"/>
    </w:pPr>
    <w:rPr>
      <w:snapToGrid w:val="0"/>
      <w:spacing w:val="6"/>
      <w:kern w:val="0"/>
      <w:lang w:val="zh-CN"/>
    </w:rPr>
  </w:style>
  <w:style w:type="character" w:customStyle="1" w:styleId="534">
    <w:name w:val="样式1 Char1"/>
    <w:autoRedefine/>
    <w:qFormat/>
    <w:uiPriority w:val="0"/>
    <w:rPr>
      <w:rFonts w:eastAsia="宋体"/>
      <w:kern w:val="2"/>
      <w:sz w:val="24"/>
      <w:szCs w:val="24"/>
      <w:lang w:val="en-US" w:eastAsia="zh-CN" w:bidi="ar-SA"/>
    </w:rPr>
  </w:style>
  <w:style w:type="paragraph" w:customStyle="1" w:styleId="535">
    <w:name w:val="Date2"/>
    <w:basedOn w:val="1"/>
    <w:next w:val="1"/>
    <w:autoRedefine/>
    <w:qFormat/>
    <w:uiPriority w:val="0"/>
    <w:pPr>
      <w:snapToGrid/>
      <w:spacing w:line="240" w:lineRule="auto"/>
      <w:ind w:firstLine="0" w:firstLineChars="0"/>
      <w:jc w:val="left"/>
      <w:textAlignment w:val="baseline"/>
    </w:pPr>
    <w:rPr>
      <w:rFonts w:ascii="宋体"/>
      <w:spacing w:val="24"/>
      <w:kern w:val="24"/>
    </w:rPr>
  </w:style>
  <w:style w:type="paragraph" w:customStyle="1" w:styleId="536">
    <w:name w:val="表格正文"/>
    <w:basedOn w:val="1"/>
    <w:next w:val="1"/>
    <w:link w:val="821"/>
    <w:autoRedefine/>
    <w:qFormat/>
    <w:uiPriority w:val="0"/>
    <w:pPr>
      <w:adjustRightInd/>
      <w:snapToGrid/>
      <w:spacing w:line="300" w:lineRule="exact"/>
      <w:ind w:firstLine="0" w:firstLineChars="0"/>
    </w:pPr>
    <w:rPr>
      <w:rFonts w:ascii="宋体" w:hAnsi="宋体"/>
      <w:color w:val="000000"/>
      <w:kern w:val="0"/>
      <w:sz w:val="18"/>
      <w:szCs w:val="18"/>
      <w:lang w:val="zh-CN"/>
    </w:rPr>
  </w:style>
  <w:style w:type="paragraph" w:customStyle="1" w:styleId="537">
    <w:name w:val="节以下序号1"/>
    <w:basedOn w:val="1"/>
    <w:next w:val="1"/>
    <w:link w:val="538"/>
    <w:autoRedefine/>
    <w:qFormat/>
    <w:uiPriority w:val="0"/>
    <w:pPr>
      <w:tabs>
        <w:tab w:val="right" w:pos="18"/>
        <w:tab w:val="left" w:pos="3615"/>
        <w:tab w:val="right" w:pos="4804"/>
      </w:tabs>
      <w:spacing w:line="440" w:lineRule="exact"/>
      <w:ind w:firstLine="480"/>
    </w:pPr>
    <w:rPr>
      <w:rFonts w:hAnsi="宋体"/>
      <w:szCs w:val="28"/>
      <w:lang w:val="zh-CN"/>
    </w:rPr>
  </w:style>
  <w:style w:type="character" w:customStyle="1" w:styleId="538">
    <w:name w:val="节以下序号1 Char"/>
    <w:link w:val="537"/>
    <w:autoRedefine/>
    <w:qFormat/>
    <w:uiPriority w:val="0"/>
    <w:rPr>
      <w:rFonts w:ascii="Times New Roman" w:hAnsi="宋体"/>
      <w:kern w:val="2"/>
      <w:sz w:val="24"/>
      <w:szCs w:val="28"/>
    </w:rPr>
  </w:style>
  <w:style w:type="character" w:customStyle="1" w:styleId="539">
    <w:name w:val="zw1"/>
    <w:autoRedefine/>
    <w:qFormat/>
    <w:uiPriority w:val="0"/>
    <w:rPr>
      <w:rFonts w:hint="eastAsia" w:ascii="宋体" w:hAnsi="宋体" w:eastAsia="宋体"/>
      <w:sz w:val="22"/>
      <w:szCs w:val="22"/>
    </w:rPr>
  </w:style>
  <w:style w:type="paragraph" w:customStyle="1" w:styleId="540">
    <w:name w:val="正文文本 21"/>
    <w:basedOn w:val="1"/>
    <w:autoRedefine/>
    <w:qFormat/>
    <w:uiPriority w:val="0"/>
    <w:pPr>
      <w:overflowPunct w:val="0"/>
      <w:autoSpaceDE w:val="0"/>
      <w:autoSpaceDN w:val="0"/>
      <w:snapToGrid/>
      <w:spacing w:after="120" w:line="360" w:lineRule="auto"/>
      <w:ind w:firstLine="0" w:firstLineChars="0"/>
      <w:textAlignment w:val="baseline"/>
    </w:pPr>
  </w:style>
  <w:style w:type="character" w:customStyle="1" w:styleId="541">
    <w:name w:val="正 文 1 Char Char"/>
    <w:autoRedefine/>
    <w:qFormat/>
    <w:uiPriority w:val="0"/>
    <w:rPr>
      <w:rFonts w:ascii="宋体" w:hAnsi="Courier New" w:eastAsia="宋体"/>
      <w:kern w:val="2"/>
      <w:sz w:val="21"/>
      <w:lang w:val="en-US" w:eastAsia="zh-CN" w:bidi="ar-SA"/>
    </w:rPr>
  </w:style>
  <w:style w:type="character" w:customStyle="1" w:styleId="542">
    <w:name w:val="表 Char"/>
    <w:autoRedefine/>
    <w:qFormat/>
    <w:uiPriority w:val="0"/>
    <w:rPr>
      <w:rFonts w:ascii="Arial" w:hAnsi="Arial" w:eastAsia="黑体" w:cs="Arial"/>
      <w:kern w:val="2"/>
      <w:lang w:val="en-US" w:eastAsia="zh-CN" w:bidi="ar-SA"/>
    </w:rPr>
  </w:style>
  <w:style w:type="character" w:customStyle="1" w:styleId="543">
    <w:name w:val="apple-converted-space"/>
    <w:autoRedefine/>
    <w:qFormat/>
    <w:uiPriority w:val="0"/>
  </w:style>
  <w:style w:type="paragraph" w:customStyle="1" w:styleId="544">
    <w:name w:val="Char Char Char Char3"/>
    <w:basedOn w:val="1"/>
    <w:autoRedefine/>
    <w:qFormat/>
    <w:uiPriority w:val="0"/>
    <w:pPr>
      <w:adjustRightInd/>
      <w:snapToGrid/>
      <w:spacing w:line="240" w:lineRule="auto"/>
      <w:ind w:firstLine="0" w:firstLineChars="0"/>
    </w:pPr>
    <w:rPr>
      <w:rFonts w:ascii="宋体"/>
      <w:kern w:val="0"/>
    </w:rPr>
  </w:style>
  <w:style w:type="paragraph" w:customStyle="1" w:styleId="545">
    <w:name w:val="样式 题注 + 首行缩进:  2 字符"/>
    <w:basedOn w:val="22"/>
    <w:autoRedefine/>
    <w:qFormat/>
    <w:uiPriority w:val="0"/>
    <w:pPr>
      <w:adjustRightInd/>
      <w:snapToGrid/>
      <w:spacing w:before="152" w:after="160" w:line="500" w:lineRule="exact"/>
      <w:ind w:firstLine="400"/>
    </w:pPr>
    <w:rPr>
      <w:rFonts w:ascii="Arial" w:hAnsi="Arial" w:eastAsia="宋体"/>
      <w:b w:val="0"/>
      <w:lang w:val="en-US"/>
    </w:rPr>
  </w:style>
  <w:style w:type="paragraph" w:customStyle="1" w:styleId="546">
    <w:name w:val="0"/>
    <w:basedOn w:val="1"/>
    <w:autoRedefine/>
    <w:qFormat/>
    <w:uiPriority w:val="0"/>
    <w:pPr>
      <w:widowControl/>
      <w:adjustRightInd/>
      <w:spacing w:line="240" w:lineRule="auto"/>
      <w:ind w:firstLine="0" w:firstLineChars="0"/>
    </w:pPr>
    <w:rPr>
      <w:kern w:val="0"/>
      <w:sz w:val="20"/>
    </w:rPr>
  </w:style>
  <w:style w:type="paragraph" w:customStyle="1" w:styleId="547">
    <w:name w:val="正文首行缩进:  2 字符"/>
    <w:basedOn w:val="1"/>
    <w:autoRedefine/>
    <w:qFormat/>
    <w:uiPriority w:val="0"/>
    <w:pPr>
      <w:adjustRightInd/>
      <w:snapToGrid/>
      <w:spacing w:line="500" w:lineRule="exact"/>
      <w:ind w:firstLine="480"/>
    </w:pPr>
  </w:style>
  <w:style w:type="paragraph" w:customStyle="1" w:styleId="548">
    <w:name w:val="Char12"/>
    <w:basedOn w:val="1"/>
    <w:autoRedefine/>
    <w:qFormat/>
    <w:uiPriority w:val="0"/>
    <w:pPr>
      <w:adjustRightInd/>
      <w:snapToGrid/>
      <w:spacing w:line="240" w:lineRule="auto"/>
      <w:ind w:firstLine="0" w:firstLineChars="0"/>
    </w:pPr>
    <w:rPr>
      <w:rFonts w:ascii="Tahoma" w:hAnsi="Tahoma"/>
    </w:rPr>
  </w:style>
  <w:style w:type="character" w:customStyle="1" w:styleId="549">
    <w:name w:val="表格 Char1"/>
    <w:autoRedefine/>
    <w:qFormat/>
    <w:uiPriority w:val="0"/>
    <w:rPr>
      <w:rFonts w:eastAsia="宋体"/>
      <w:b/>
      <w:snapToGrid w:val="0"/>
      <w:sz w:val="21"/>
      <w:szCs w:val="21"/>
      <w:lang w:val="en-US" w:eastAsia="zh-CN" w:bidi="ar-SA"/>
    </w:rPr>
  </w:style>
  <w:style w:type="paragraph" w:customStyle="1" w:styleId="550">
    <w:name w:val="正文（首行缩进2字）"/>
    <w:basedOn w:val="1"/>
    <w:autoRedefine/>
    <w:qFormat/>
    <w:uiPriority w:val="0"/>
    <w:pPr>
      <w:adjustRightInd/>
      <w:snapToGrid/>
      <w:spacing w:line="440" w:lineRule="exact"/>
      <w:ind w:firstLine="480"/>
    </w:pPr>
    <w:rPr>
      <w:rFonts w:ascii="宋体" w:hAnsi="宋体" w:cs="宋体"/>
      <w:bCs/>
      <w:szCs w:val="24"/>
    </w:rPr>
  </w:style>
  <w:style w:type="paragraph" w:customStyle="1" w:styleId="551">
    <w:name w:val="Char Char1 Char Char Char Char Char Char Char"/>
    <w:basedOn w:val="1"/>
    <w:autoRedefine/>
    <w:qFormat/>
    <w:uiPriority w:val="99"/>
    <w:pPr>
      <w:pageBreakBefore/>
      <w:adjustRightInd/>
      <w:snapToGrid/>
      <w:spacing w:line="480" w:lineRule="auto"/>
    </w:pPr>
    <w:rPr>
      <w:rFonts w:ascii="宋体" w:hAnsi="宋体" w:eastAsia="仿宋_GB2312" w:cs="宋体"/>
      <w:sz w:val="28"/>
      <w:szCs w:val="28"/>
    </w:rPr>
  </w:style>
  <w:style w:type="table" w:customStyle="1" w:styleId="552">
    <w:name w:val="专业网格1"/>
    <w:basedOn w:val="8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53">
    <w:name w:val="Char Char161"/>
    <w:autoRedefine/>
    <w:qFormat/>
    <w:uiPriority w:val="0"/>
    <w:rPr>
      <w:rFonts w:eastAsia="宋体"/>
      <w:b/>
      <w:sz w:val="28"/>
      <w:lang w:val="en-US" w:eastAsia="zh-CN" w:bidi="ar-SA"/>
    </w:rPr>
  </w:style>
  <w:style w:type="paragraph" w:customStyle="1" w:styleId="554">
    <w:name w:val="Char5"/>
    <w:basedOn w:val="1"/>
    <w:autoRedefine/>
    <w:qFormat/>
    <w:uiPriority w:val="0"/>
    <w:pPr>
      <w:widowControl/>
      <w:adjustRightInd/>
      <w:snapToGrid/>
      <w:spacing w:line="360" w:lineRule="auto"/>
      <w:jc w:val="left"/>
    </w:pPr>
    <w:rPr>
      <w:rFonts w:ascii="宋体" w:hAnsi="宋体" w:cs="宋体"/>
      <w:kern w:val="0"/>
      <w:szCs w:val="24"/>
    </w:rPr>
  </w:style>
  <w:style w:type="paragraph" w:customStyle="1" w:styleId="555">
    <w:name w:val="Char Char Char Char2"/>
    <w:basedOn w:val="1"/>
    <w:autoRedefine/>
    <w:qFormat/>
    <w:uiPriority w:val="0"/>
    <w:pPr>
      <w:widowControl/>
      <w:adjustRightInd/>
      <w:snapToGrid/>
      <w:spacing w:after="160" w:line="240" w:lineRule="exact"/>
      <w:ind w:firstLine="0" w:firstLineChars="0"/>
      <w:jc w:val="left"/>
    </w:pPr>
    <w:rPr>
      <w:rFonts w:ascii="Verdana" w:hAnsi="Verdana" w:eastAsia="仿宋_GB2312"/>
      <w:kern w:val="0"/>
      <w:lang w:eastAsia="en-US"/>
    </w:rPr>
  </w:style>
  <w:style w:type="character" w:customStyle="1" w:styleId="556">
    <w:name w:val="Char Char151"/>
    <w:autoRedefine/>
    <w:qFormat/>
    <w:uiPriority w:val="0"/>
    <w:rPr>
      <w:sz w:val="18"/>
      <w:szCs w:val="18"/>
    </w:rPr>
  </w:style>
  <w:style w:type="character" w:customStyle="1" w:styleId="557">
    <w:name w:val="Char Char141"/>
    <w:autoRedefine/>
    <w:qFormat/>
    <w:uiPriority w:val="0"/>
    <w:rPr>
      <w:sz w:val="18"/>
      <w:szCs w:val="18"/>
    </w:rPr>
  </w:style>
  <w:style w:type="character" w:customStyle="1" w:styleId="558">
    <w:name w:val="Char Char131"/>
    <w:autoRedefine/>
    <w:qFormat/>
    <w:uiPriority w:val="0"/>
    <w:rPr>
      <w:sz w:val="18"/>
      <w:szCs w:val="18"/>
    </w:rPr>
  </w:style>
  <w:style w:type="character" w:customStyle="1" w:styleId="559">
    <w:name w:val="Char Char91"/>
    <w:autoRedefine/>
    <w:qFormat/>
    <w:locked/>
    <w:uiPriority w:val="0"/>
    <w:rPr>
      <w:rFonts w:ascii="Times New Roman" w:hAnsi="Times New Roman" w:eastAsia="宋体" w:cs="Times New Roman"/>
      <w:sz w:val="28"/>
      <w:szCs w:val="28"/>
    </w:rPr>
  </w:style>
  <w:style w:type="character" w:customStyle="1" w:styleId="560">
    <w:name w:val="Char Char81"/>
    <w:autoRedefine/>
    <w:qFormat/>
    <w:uiPriority w:val="0"/>
    <w:rPr>
      <w:rFonts w:ascii="宋体" w:hAnsi="宋体" w:eastAsia="宋体" w:cs="宋体"/>
      <w:kern w:val="0"/>
      <w:sz w:val="24"/>
      <w:szCs w:val="24"/>
    </w:rPr>
  </w:style>
  <w:style w:type="character" w:customStyle="1" w:styleId="561">
    <w:name w:val="Char Char71"/>
    <w:autoRedefine/>
    <w:qFormat/>
    <w:uiPriority w:val="0"/>
    <w:rPr>
      <w:rFonts w:ascii="Cambria" w:hAnsi="Cambria" w:eastAsia="宋体" w:cs="Cambria"/>
      <w:b/>
      <w:bCs/>
      <w:sz w:val="32"/>
      <w:szCs w:val="32"/>
    </w:rPr>
  </w:style>
  <w:style w:type="paragraph" w:customStyle="1" w:styleId="562">
    <w:name w:val="列出段落4"/>
    <w:basedOn w:val="1"/>
    <w:autoRedefine/>
    <w:qFormat/>
    <w:uiPriority w:val="99"/>
    <w:pPr>
      <w:adjustRightInd/>
      <w:snapToGrid/>
      <w:spacing w:line="240" w:lineRule="auto"/>
      <w:ind w:firstLine="420"/>
    </w:pPr>
    <w:rPr>
      <w:rFonts w:ascii="Calibri" w:hAnsi="Calibri" w:cs="Calibri"/>
      <w:sz w:val="21"/>
      <w:szCs w:val="21"/>
    </w:rPr>
  </w:style>
  <w:style w:type="paragraph" w:customStyle="1" w:styleId="563">
    <w:name w:val="Char4 Char Char Char1"/>
    <w:basedOn w:val="1"/>
    <w:autoRedefine/>
    <w:qFormat/>
    <w:uiPriority w:val="0"/>
    <w:pPr>
      <w:spacing w:line="360" w:lineRule="auto"/>
    </w:pPr>
    <w:rPr>
      <w:rFonts w:ascii="宋体" w:hAnsi="宋体" w:cs="宋体"/>
      <w:szCs w:val="26"/>
    </w:rPr>
  </w:style>
  <w:style w:type="table" w:customStyle="1" w:styleId="564">
    <w:name w:val="表格主题1"/>
    <w:basedOn w:val="88"/>
    <w:autoRedefine/>
    <w:qFormat/>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65">
    <w:name w:val="正文文本 22"/>
    <w:basedOn w:val="1"/>
    <w:autoRedefine/>
    <w:qFormat/>
    <w:uiPriority w:val="0"/>
    <w:pPr>
      <w:overflowPunct w:val="0"/>
      <w:autoSpaceDE w:val="0"/>
      <w:autoSpaceDN w:val="0"/>
      <w:snapToGrid/>
      <w:spacing w:after="120" w:line="360" w:lineRule="auto"/>
      <w:ind w:firstLine="0" w:firstLineChars="0"/>
      <w:textAlignment w:val="baseline"/>
    </w:pPr>
  </w:style>
  <w:style w:type="paragraph" w:customStyle="1" w:styleId="566">
    <w:name w:val="Char Char Char Char Char2 Char1"/>
    <w:basedOn w:val="1"/>
    <w:autoRedefine/>
    <w:qFormat/>
    <w:uiPriority w:val="0"/>
    <w:pPr>
      <w:spacing w:line="360" w:lineRule="auto"/>
    </w:pPr>
    <w:rPr>
      <w:rFonts w:ascii="宋体" w:hAnsi="宋体" w:cs="宋体"/>
      <w:szCs w:val="26"/>
    </w:rPr>
  </w:style>
  <w:style w:type="paragraph" w:customStyle="1" w:styleId="567">
    <w:name w:val="Char11"/>
    <w:basedOn w:val="1"/>
    <w:autoRedefine/>
    <w:qFormat/>
    <w:uiPriority w:val="0"/>
    <w:pPr>
      <w:adjustRightInd/>
      <w:snapToGrid/>
      <w:spacing w:line="240" w:lineRule="auto"/>
      <w:ind w:firstLine="0" w:firstLineChars="0"/>
    </w:pPr>
    <w:rPr>
      <w:rFonts w:ascii="Tahoma" w:hAnsi="Tahoma"/>
    </w:rPr>
  </w:style>
  <w:style w:type="paragraph" w:customStyle="1" w:styleId="568">
    <w:name w:val="Char4"/>
    <w:basedOn w:val="1"/>
    <w:autoRedefine/>
    <w:qFormat/>
    <w:uiPriority w:val="0"/>
    <w:pPr>
      <w:widowControl/>
      <w:adjustRightInd/>
      <w:snapToGrid/>
      <w:spacing w:line="240" w:lineRule="auto"/>
      <w:ind w:firstLine="0" w:firstLineChars="0"/>
      <w:jc w:val="left"/>
    </w:pPr>
    <w:rPr>
      <w:rFonts w:ascii="Tahoma" w:hAnsi="Tahoma"/>
      <w:kern w:val="0"/>
      <w:lang w:eastAsia="en-US"/>
    </w:rPr>
  </w:style>
  <w:style w:type="paragraph" w:customStyle="1" w:styleId="569">
    <w:name w:val="Char3"/>
    <w:basedOn w:val="1"/>
    <w:autoRedefine/>
    <w:qFormat/>
    <w:uiPriority w:val="99"/>
    <w:pPr>
      <w:widowControl/>
      <w:adjustRightInd/>
      <w:snapToGrid/>
      <w:spacing w:line="240" w:lineRule="auto"/>
      <w:ind w:firstLine="0" w:firstLineChars="0"/>
      <w:jc w:val="left"/>
    </w:pPr>
    <w:rPr>
      <w:rFonts w:ascii="Tahoma" w:hAnsi="Tahoma"/>
      <w:kern w:val="0"/>
      <w:lang w:eastAsia="en-US"/>
    </w:rPr>
  </w:style>
  <w:style w:type="paragraph" w:customStyle="1" w:styleId="570">
    <w:name w:val="换行"/>
    <w:basedOn w:val="1"/>
    <w:autoRedefine/>
    <w:qFormat/>
    <w:uiPriority w:val="99"/>
    <w:pPr>
      <w:adjustRightInd/>
      <w:snapToGrid/>
      <w:spacing w:line="240" w:lineRule="auto"/>
      <w:ind w:firstLine="480"/>
    </w:pPr>
    <w:rPr>
      <w:rFonts w:ascii="Arial" w:hAnsi="Arial"/>
      <w:sz w:val="18"/>
      <w:szCs w:val="24"/>
    </w:rPr>
  </w:style>
  <w:style w:type="paragraph" w:customStyle="1" w:styleId="571">
    <w:name w:val="reader-word-layer"/>
    <w:basedOn w:val="1"/>
    <w:autoRedefine/>
    <w:qFormat/>
    <w:uiPriority w:val="0"/>
    <w:pPr>
      <w:widowControl/>
      <w:adjustRightInd/>
      <w:snapToGrid/>
      <w:spacing w:before="100" w:beforeAutospacing="1" w:after="100" w:afterAutospacing="1" w:line="240" w:lineRule="auto"/>
      <w:ind w:firstLine="0" w:firstLineChars="0"/>
      <w:jc w:val="left"/>
    </w:pPr>
    <w:rPr>
      <w:rFonts w:ascii="宋体" w:hAnsi="宋体" w:cs="宋体"/>
      <w:kern w:val="0"/>
      <w:szCs w:val="24"/>
    </w:rPr>
  </w:style>
  <w:style w:type="character" w:customStyle="1" w:styleId="572">
    <w:name w:val="jc zi14"/>
    <w:autoRedefine/>
    <w:qFormat/>
    <w:uiPriority w:val="0"/>
  </w:style>
  <w:style w:type="paragraph" w:customStyle="1" w:styleId="573">
    <w:name w:val="Char Char Char Char Char Char Char Char Char Char Char Char Char Char Char Char Char Char Char Char Char Char Char Char"/>
    <w:basedOn w:val="1"/>
    <w:autoRedefine/>
    <w:qFormat/>
    <w:uiPriority w:val="99"/>
    <w:pPr>
      <w:adjustRightInd/>
      <w:snapToGrid/>
      <w:spacing w:line="240" w:lineRule="auto"/>
      <w:ind w:firstLine="0" w:firstLineChars="0"/>
    </w:pPr>
    <w:rPr>
      <w:sz w:val="21"/>
      <w:szCs w:val="24"/>
    </w:rPr>
  </w:style>
  <w:style w:type="character" w:customStyle="1" w:styleId="574">
    <w:name w:val="正文1 Char Char"/>
    <w:autoRedefine/>
    <w:qFormat/>
    <w:uiPriority w:val="0"/>
    <w:rPr>
      <w:rFonts w:ascii="Times New Roman" w:hAnsi="Times New Roman" w:eastAsia="宋体" w:cs="Times New Roman"/>
      <w:snapToGrid w:val="0"/>
      <w:kern w:val="21"/>
      <w:szCs w:val="20"/>
      <w:lang w:val="zh-CN" w:eastAsia="zh-CN"/>
    </w:rPr>
  </w:style>
  <w:style w:type="character" w:customStyle="1" w:styleId="575">
    <w:name w:val="infodetail1"/>
    <w:autoRedefine/>
    <w:qFormat/>
    <w:uiPriority w:val="0"/>
    <w:rPr>
      <w:rFonts w:hint="default" w:ascii="ˎ̥" w:hAnsi="ˎ̥"/>
      <w:color w:val="000000"/>
      <w:sz w:val="24"/>
      <w:szCs w:val="24"/>
      <w:u w:val="none"/>
    </w:rPr>
  </w:style>
  <w:style w:type="character" w:customStyle="1" w:styleId="576">
    <w:name w:val="谢谢谢谢 Char"/>
    <w:link w:val="577"/>
    <w:autoRedefine/>
    <w:qFormat/>
    <w:locked/>
    <w:uiPriority w:val="0"/>
    <w:rPr>
      <w:rFonts w:ascii="Times New Roman" w:hAnsi="Times New Roman"/>
      <w:sz w:val="24"/>
      <w:szCs w:val="24"/>
    </w:rPr>
  </w:style>
  <w:style w:type="paragraph" w:customStyle="1" w:styleId="577">
    <w:name w:val="谢谢谢谢"/>
    <w:basedOn w:val="1"/>
    <w:link w:val="576"/>
    <w:autoRedefine/>
    <w:qFormat/>
    <w:uiPriority w:val="0"/>
    <w:pPr>
      <w:adjustRightInd/>
      <w:snapToGrid/>
      <w:spacing w:line="440" w:lineRule="exact"/>
      <w:jc w:val="left"/>
    </w:pPr>
    <w:rPr>
      <w:kern w:val="0"/>
      <w:szCs w:val="24"/>
      <w:lang w:val="zh-CN"/>
    </w:rPr>
  </w:style>
  <w:style w:type="paragraph" w:customStyle="1" w:styleId="578">
    <w:name w:val="5"/>
    <w:autoRedefine/>
    <w:qFormat/>
    <w:uiPriority w:val="0"/>
    <w:pPr>
      <w:widowControl w:val="0"/>
      <w:spacing w:line="360" w:lineRule="auto"/>
      <w:jc w:val="both"/>
    </w:pPr>
    <w:rPr>
      <w:rFonts w:ascii="Times New Roman" w:hAnsi="Times New Roman" w:eastAsia="宋体" w:cs="Times New Roman"/>
      <w:kern w:val="2"/>
      <w:sz w:val="28"/>
      <w:szCs w:val="24"/>
      <w:lang w:val="en-US" w:eastAsia="zh-CN" w:bidi="ar-SA"/>
    </w:rPr>
  </w:style>
  <w:style w:type="character" w:customStyle="1" w:styleId="579">
    <w:name w:val="f141"/>
    <w:autoRedefine/>
    <w:qFormat/>
    <w:uiPriority w:val="0"/>
    <w:rPr>
      <w:sz w:val="21"/>
      <w:szCs w:val="21"/>
    </w:rPr>
  </w:style>
  <w:style w:type="character" w:customStyle="1" w:styleId="580">
    <w:name w:val="样式2 Char"/>
    <w:link w:val="425"/>
    <w:autoRedefine/>
    <w:qFormat/>
    <w:uiPriority w:val="0"/>
    <w:rPr>
      <w:rFonts w:ascii="宋体" w:hAnsi="宋体" w:cs="宋体"/>
      <w:sz w:val="24"/>
      <w:szCs w:val="24"/>
    </w:rPr>
  </w:style>
  <w:style w:type="character" w:customStyle="1" w:styleId="581">
    <w:name w:val="样式3 Char1"/>
    <w:autoRedefine/>
    <w:qFormat/>
    <w:uiPriority w:val="0"/>
    <w:rPr>
      <w:rFonts w:ascii="宋体" w:hAnsi="宋体" w:eastAsia="宋体"/>
      <w:kern w:val="2"/>
      <w:sz w:val="24"/>
      <w:szCs w:val="24"/>
      <w:lang w:val="en-US" w:eastAsia="zh-CN" w:bidi="ar-SA"/>
    </w:rPr>
  </w:style>
  <w:style w:type="paragraph" w:customStyle="1" w:styleId="582">
    <w:name w:val="样式11"/>
    <w:basedOn w:val="1"/>
    <w:link w:val="1895"/>
    <w:autoRedefine/>
    <w:unhideWhenUsed/>
    <w:qFormat/>
    <w:uiPriority w:val="0"/>
    <w:pPr>
      <w:widowControl/>
      <w:tabs>
        <w:tab w:val="left" w:pos="540"/>
      </w:tabs>
      <w:adjustRightInd/>
      <w:snapToGrid/>
      <w:spacing w:line="400" w:lineRule="exact"/>
      <w:ind w:left="2" w:firstLine="2" w:firstLineChars="0"/>
      <w:jc w:val="left"/>
    </w:pPr>
    <w:rPr>
      <w:spacing w:val="20"/>
      <w:szCs w:val="24"/>
      <w:lang w:val="zh-CN"/>
    </w:rPr>
  </w:style>
  <w:style w:type="paragraph" w:customStyle="1" w:styleId="583">
    <w:name w:val="样式 样式3 + 小四"/>
    <w:basedOn w:val="365"/>
    <w:autoRedefine/>
    <w:qFormat/>
    <w:uiPriority w:val="99"/>
    <w:pPr>
      <w:keepNext w:val="0"/>
      <w:keepLines w:val="0"/>
      <w:widowControl w:val="0"/>
      <w:overflowPunct/>
      <w:adjustRightInd/>
      <w:snapToGrid/>
      <w:spacing w:beforeLines="0" w:afterLines="0" w:line="360" w:lineRule="auto"/>
      <w:ind w:firstLine="200" w:firstLineChars="200"/>
      <w:jc w:val="left"/>
      <w:textAlignment w:val="auto"/>
      <w:outlineLvl w:val="9"/>
    </w:pPr>
    <w:rPr>
      <w:rFonts w:ascii="宋体" w:eastAsia="宋体"/>
      <w:b w:val="0"/>
      <w:bCs w:val="0"/>
      <w:snapToGrid/>
      <w:kern w:val="2"/>
      <w:sz w:val="24"/>
      <w:szCs w:val="24"/>
    </w:rPr>
  </w:style>
  <w:style w:type="paragraph" w:customStyle="1" w:styleId="584">
    <w:name w:val="xl38"/>
    <w:basedOn w:val="1"/>
    <w:autoRedefine/>
    <w:qFormat/>
    <w:uiPriority w:val="0"/>
    <w:pPr>
      <w:widowControl/>
      <w:adjustRightInd/>
      <w:snapToGrid/>
      <w:spacing w:before="100" w:beforeAutospacing="1" w:after="100" w:afterAutospacing="1" w:line="240" w:lineRule="auto"/>
      <w:ind w:firstLine="0" w:firstLineChars="0"/>
      <w:jc w:val="center"/>
      <w:textAlignment w:val="center"/>
    </w:pPr>
    <w:rPr>
      <w:rFonts w:ascii="宋体" w:hAnsi="宋体"/>
      <w:b/>
      <w:bCs/>
      <w:kern w:val="0"/>
      <w:sz w:val="40"/>
      <w:szCs w:val="40"/>
    </w:rPr>
  </w:style>
  <w:style w:type="paragraph" w:customStyle="1" w:styleId="585">
    <w:name w:val="xl58"/>
    <w:basedOn w:val="1"/>
    <w:autoRedefine/>
    <w:qFormat/>
    <w:uiPriority w:val="0"/>
    <w:pPr>
      <w:widowControl/>
      <w:pBdr>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Arial Unicode MS" w:hAnsi="Arial Unicode MS" w:eastAsia="Arial Unicode MS" w:cs="Arial Unicode MS"/>
      <w:kern w:val="0"/>
      <w:szCs w:val="24"/>
    </w:rPr>
  </w:style>
  <w:style w:type="paragraph" w:customStyle="1" w:styleId="586">
    <w:name w:val="font0"/>
    <w:basedOn w:val="1"/>
    <w:autoRedefine/>
    <w:qFormat/>
    <w:uiPriority w:val="0"/>
    <w:pPr>
      <w:widowControl/>
      <w:adjustRightInd/>
      <w:snapToGrid/>
      <w:spacing w:before="100" w:beforeAutospacing="1" w:after="100" w:afterAutospacing="1" w:line="240" w:lineRule="auto"/>
      <w:ind w:firstLine="0" w:firstLineChars="0"/>
      <w:jc w:val="left"/>
    </w:pPr>
    <w:rPr>
      <w:rFonts w:hint="eastAsia" w:ascii="宋体" w:hAnsi="宋体"/>
      <w:kern w:val="0"/>
      <w:szCs w:val="24"/>
    </w:rPr>
  </w:style>
  <w:style w:type="paragraph" w:customStyle="1" w:styleId="587">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pPr>
    <w:rPr>
      <w:rFonts w:ascii="宋体" w:hAnsi="宋体"/>
      <w:b/>
      <w:bCs/>
      <w:kern w:val="0"/>
      <w:szCs w:val="24"/>
    </w:rPr>
  </w:style>
  <w:style w:type="paragraph" w:customStyle="1" w:styleId="588">
    <w:name w:val="xl41"/>
    <w:basedOn w:val="1"/>
    <w:autoRedefine/>
    <w:qFormat/>
    <w:uiPriority w:val="0"/>
    <w:pPr>
      <w:widowControl/>
      <w:pBdr>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宋体" w:hAnsi="宋体"/>
      <w:kern w:val="0"/>
      <w:szCs w:val="24"/>
    </w:rPr>
  </w:style>
  <w:style w:type="paragraph" w:customStyle="1" w:styleId="589">
    <w:name w:val="样式 样式3 + 首行缩进:  2 字符"/>
    <w:basedOn w:val="365"/>
    <w:autoRedefine/>
    <w:qFormat/>
    <w:uiPriority w:val="99"/>
    <w:pPr>
      <w:keepNext w:val="0"/>
      <w:keepLines w:val="0"/>
      <w:widowControl w:val="0"/>
      <w:overflowPunct/>
      <w:adjustRightInd/>
      <w:snapToGrid/>
      <w:spacing w:beforeLines="0" w:afterLines="0" w:line="360" w:lineRule="auto"/>
      <w:ind w:firstLine="200" w:firstLineChars="200"/>
      <w:jc w:val="left"/>
      <w:textAlignment w:val="auto"/>
      <w:outlineLvl w:val="9"/>
    </w:pPr>
    <w:rPr>
      <w:rFonts w:ascii="宋体" w:eastAsia="宋体" w:cs="宋体"/>
      <w:b w:val="0"/>
      <w:bCs w:val="0"/>
      <w:snapToGrid/>
      <w:kern w:val="2"/>
      <w:sz w:val="24"/>
      <w:szCs w:val="20"/>
    </w:rPr>
  </w:style>
  <w:style w:type="paragraph" w:customStyle="1" w:styleId="590">
    <w:name w:val="表格小五"/>
    <w:basedOn w:val="1"/>
    <w:autoRedefine/>
    <w:qFormat/>
    <w:uiPriority w:val="99"/>
    <w:pPr>
      <w:spacing w:line="360" w:lineRule="auto"/>
      <w:ind w:left="-56" w:leftChars="-20" w:right="-56" w:rightChars="-20" w:firstLine="0" w:firstLineChars="0"/>
      <w:jc w:val="center"/>
      <w:textAlignment w:val="baseline"/>
    </w:pPr>
    <w:rPr>
      <w:rFonts w:ascii="Arial" w:hAnsi="Arial" w:cs="Arial"/>
      <w:snapToGrid w:val="0"/>
      <w:kern w:val="28"/>
      <w:szCs w:val="24"/>
    </w:rPr>
  </w:style>
  <w:style w:type="paragraph" w:customStyle="1" w:styleId="591">
    <w:name w:val="xl33"/>
    <w:basedOn w:val="1"/>
    <w:autoRedefine/>
    <w:qFormat/>
    <w:uiPriority w:val="0"/>
    <w:pPr>
      <w:widowControl/>
      <w:pBdr>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宋体" w:hAnsi="宋体"/>
      <w:kern w:val="0"/>
      <w:szCs w:val="24"/>
    </w:rPr>
  </w:style>
  <w:style w:type="paragraph" w:customStyle="1" w:styleId="592">
    <w:name w:val="xl39"/>
    <w:basedOn w:val="1"/>
    <w:autoRedefine/>
    <w:qFormat/>
    <w:uiPriority w:val="0"/>
    <w:pPr>
      <w:widowControl/>
      <w:pBdr>
        <w:bottom w:val="single" w:color="auto" w:sz="4" w:space="0"/>
      </w:pBdr>
      <w:adjustRightInd/>
      <w:snapToGrid/>
      <w:spacing w:before="100" w:beforeAutospacing="1" w:after="100" w:afterAutospacing="1" w:line="240" w:lineRule="auto"/>
      <w:ind w:firstLine="0" w:firstLineChars="0"/>
      <w:jc w:val="center"/>
      <w:textAlignment w:val="center"/>
    </w:pPr>
    <w:rPr>
      <w:rFonts w:ascii="宋体" w:hAnsi="宋体"/>
      <w:b/>
      <w:bCs/>
      <w:kern w:val="0"/>
      <w:sz w:val="40"/>
      <w:szCs w:val="40"/>
    </w:rPr>
  </w:style>
  <w:style w:type="paragraph" w:customStyle="1" w:styleId="593">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right"/>
    </w:pPr>
    <w:rPr>
      <w:rFonts w:ascii="宋体" w:hAnsi="宋体"/>
      <w:kern w:val="0"/>
      <w:szCs w:val="24"/>
    </w:rPr>
  </w:style>
  <w:style w:type="paragraph" w:customStyle="1" w:styleId="594">
    <w:name w:val="普通(网站)1"/>
    <w:basedOn w:val="1"/>
    <w:autoRedefine/>
    <w:qFormat/>
    <w:uiPriority w:val="0"/>
    <w:pPr>
      <w:widowControl/>
      <w:adjustRightInd/>
      <w:snapToGrid/>
      <w:spacing w:before="100" w:beforeAutospacing="1" w:after="100" w:afterAutospacing="1" w:line="240" w:lineRule="auto"/>
      <w:ind w:firstLine="0" w:firstLineChars="0"/>
      <w:jc w:val="left"/>
    </w:pPr>
    <w:rPr>
      <w:rFonts w:ascii="宋体" w:hAnsi="宋体" w:cs="宋体"/>
      <w:kern w:val="0"/>
      <w:szCs w:val="24"/>
    </w:rPr>
  </w:style>
  <w:style w:type="paragraph" w:customStyle="1" w:styleId="595">
    <w:name w:val="xl30"/>
    <w:basedOn w:val="1"/>
    <w:autoRedefine/>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kern w:val="0"/>
      <w:szCs w:val="24"/>
    </w:rPr>
  </w:style>
  <w:style w:type="paragraph" w:customStyle="1" w:styleId="596">
    <w:name w:val="zw"/>
    <w:basedOn w:val="1"/>
    <w:autoRedefine/>
    <w:qFormat/>
    <w:uiPriority w:val="0"/>
    <w:pPr>
      <w:widowControl/>
      <w:adjustRightInd/>
      <w:snapToGrid/>
      <w:spacing w:before="100" w:beforeAutospacing="1" w:after="100" w:afterAutospacing="1" w:line="440" w:lineRule="atLeast"/>
      <w:ind w:firstLine="0" w:firstLineChars="0"/>
      <w:jc w:val="left"/>
    </w:pPr>
    <w:rPr>
      <w:rFonts w:ascii="宋体" w:hAnsi="宋体" w:cs="宋体"/>
      <w:kern w:val="0"/>
      <w:sz w:val="22"/>
      <w:szCs w:val="22"/>
    </w:rPr>
  </w:style>
  <w:style w:type="paragraph" w:customStyle="1" w:styleId="597">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kern w:val="0"/>
      <w:szCs w:val="24"/>
    </w:rPr>
  </w:style>
  <w:style w:type="paragraph" w:customStyle="1" w:styleId="598">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right"/>
    </w:pPr>
    <w:rPr>
      <w:kern w:val="0"/>
      <w:szCs w:val="24"/>
    </w:rPr>
  </w:style>
  <w:style w:type="paragraph" w:customStyle="1" w:styleId="599">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right"/>
    </w:pPr>
    <w:rPr>
      <w:rFonts w:ascii="宋体" w:hAnsi="宋体"/>
      <w:kern w:val="0"/>
      <w:szCs w:val="24"/>
    </w:rPr>
  </w:style>
  <w:style w:type="paragraph" w:customStyle="1" w:styleId="600">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宋体" w:hAnsi="宋体"/>
      <w:kern w:val="0"/>
      <w:szCs w:val="24"/>
    </w:rPr>
  </w:style>
  <w:style w:type="paragraph" w:customStyle="1" w:styleId="601">
    <w:name w:val="Char Char Char1 Char Char Char1 Char Char Char Char Char Char Char Char Char Char Char Char1 Char Char Char Char Char Char Char"/>
    <w:basedOn w:val="1"/>
    <w:autoRedefine/>
    <w:qFormat/>
    <w:uiPriority w:val="99"/>
    <w:pPr>
      <w:widowControl/>
      <w:adjustRightInd/>
      <w:snapToGrid/>
      <w:spacing w:after="160" w:line="240" w:lineRule="exact"/>
      <w:ind w:firstLine="0" w:firstLineChars="0"/>
      <w:jc w:val="left"/>
    </w:pPr>
    <w:rPr>
      <w:sz w:val="21"/>
    </w:rPr>
  </w:style>
  <w:style w:type="paragraph" w:customStyle="1" w:styleId="602">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pPr>
    <w:rPr>
      <w:rFonts w:ascii="宋体" w:hAnsi="宋体"/>
      <w:kern w:val="0"/>
      <w:szCs w:val="24"/>
    </w:rPr>
  </w:style>
  <w:style w:type="paragraph" w:customStyle="1" w:styleId="603">
    <w:name w:val="xl40"/>
    <w:basedOn w:val="1"/>
    <w:autoRedefine/>
    <w:qFormat/>
    <w:uiPriority w:val="0"/>
    <w:pPr>
      <w:widowControl/>
      <w:pBdr>
        <w:top w:val="single" w:color="auto" w:sz="4" w:space="0"/>
        <w:left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宋体" w:hAnsi="宋体"/>
      <w:kern w:val="0"/>
      <w:szCs w:val="24"/>
    </w:rPr>
  </w:style>
  <w:style w:type="character" w:customStyle="1" w:styleId="604">
    <w:name w:val="font31"/>
    <w:basedOn w:val="133"/>
    <w:autoRedefine/>
    <w:qFormat/>
    <w:uiPriority w:val="0"/>
    <w:rPr>
      <w:rFonts w:hint="default" w:ascii="Times New Roman" w:hAnsi="Times New Roman" w:cs="Times New Roman"/>
      <w:color w:val="000000"/>
      <w:sz w:val="20"/>
      <w:szCs w:val="20"/>
      <w:u w:val="none"/>
    </w:rPr>
  </w:style>
  <w:style w:type="character" w:customStyle="1" w:styleId="605">
    <w:name w:val="font61"/>
    <w:autoRedefine/>
    <w:qFormat/>
    <w:uiPriority w:val="0"/>
    <w:rPr>
      <w:rFonts w:hint="eastAsia" w:ascii="宋体" w:hAnsi="宋体" w:eastAsia="宋体"/>
      <w:color w:val="000000"/>
      <w:sz w:val="20"/>
      <w:szCs w:val="20"/>
      <w:u w:val="none"/>
    </w:rPr>
  </w:style>
  <w:style w:type="character" w:customStyle="1" w:styleId="606">
    <w:name w:val="font01"/>
    <w:basedOn w:val="133"/>
    <w:autoRedefine/>
    <w:qFormat/>
    <w:uiPriority w:val="0"/>
    <w:rPr>
      <w:rFonts w:hint="eastAsia" w:ascii="宋体" w:hAnsi="宋体" w:eastAsia="宋体"/>
      <w:color w:val="000000"/>
      <w:sz w:val="20"/>
      <w:szCs w:val="20"/>
      <w:u w:val="none"/>
    </w:rPr>
  </w:style>
  <w:style w:type="character" w:customStyle="1" w:styleId="607">
    <w:name w:val="font41"/>
    <w:autoRedefine/>
    <w:qFormat/>
    <w:uiPriority w:val="0"/>
    <w:rPr>
      <w:rFonts w:hint="eastAsia" w:ascii="宋体" w:hAnsi="宋体" w:eastAsia="宋体"/>
      <w:color w:val="000000"/>
      <w:sz w:val="20"/>
      <w:szCs w:val="20"/>
      <w:u w:val="none"/>
    </w:rPr>
  </w:style>
  <w:style w:type="character" w:customStyle="1" w:styleId="608">
    <w:name w:val="font91"/>
    <w:autoRedefine/>
    <w:qFormat/>
    <w:uiPriority w:val="0"/>
    <w:rPr>
      <w:rFonts w:hint="eastAsia" w:ascii="宋体" w:hAnsi="宋体" w:eastAsia="宋体"/>
      <w:color w:val="0000FF"/>
      <w:sz w:val="20"/>
      <w:szCs w:val="20"/>
      <w:u w:val="none"/>
    </w:rPr>
  </w:style>
  <w:style w:type="character" w:customStyle="1" w:styleId="609">
    <w:name w:val="font131"/>
    <w:autoRedefine/>
    <w:qFormat/>
    <w:uiPriority w:val="0"/>
    <w:rPr>
      <w:rFonts w:hint="default" w:ascii="Times New Roman" w:hAnsi="Times New Roman" w:cs="Times New Roman"/>
      <w:color w:val="0000FF"/>
      <w:sz w:val="20"/>
      <w:szCs w:val="20"/>
      <w:u w:val="none"/>
    </w:rPr>
  </w:style>
  <w:style w:type="character" w:customStyle="1" w:styleId="610">
    <w:name w:val="textblack"/>
    <w:autoRedefine/>
    <w:qFormat/>
    <w:uiPriority w:val="0"/>
  </w:style>
  <w:style w:type="paragraph" w:customStyle="1" w:styleId="611">
    <w:name w:val="textblack1"/>
    <w:basedOn w:val="1"/>
    <w:autoRedefine/>
    <w:qFormat/>
    <w:uiPriority w:val="99"/>
    <w:pPr>
      <w:widowControl/>
      <w:adjustRightInd/>
      <w:snapToGrid/>
      <w:spacing w:before="100" w:beforeAutospacing="1" w:after="100" w:afterAutospacing="1" w:line="240" w:lineRule="auto"/>
      <w:ind w:firstLine="0" w:firstLineChars="0"/>
      <w:jc w:val="left"/>
    </w:pPr>
    <w:rPr>
      <w:rFonts w:ascii="宋体" w:hAnsi="宋体" w:cs="宋体"/>
      <w:kern w:val="0"/>
      <w:szCs w:val="24"/>
    </w:rPr>
  </w:style>
  <w:style w:type="character" w:customStyle="1" w:styleId="612">
    <w:name w:val="a14"/>
    <w:autoRedefine/>
    <w:qFormat/>
    <w:uiPriority w:val="0"/>
  </w:style>
  <w:style w:type="character" w:customStyle="1" w:styleId="613">
    <w:name w:val="font141"/>
    <w:autoRedefine/>
    <w:qFormat/>
    <w:uiPriority w:val="0"/>
    <w:rPr>
      <w:rFonts w:hint="default" w:ascii="Arial" w:hAnsi="Arial" w:cs="Arial"/>
      <w:color w:val="000000"/>
      <w:sz w:val="24"/>
      <w:szCs w:val="24"/>
      <w:u w:val="none"/>
    </w:rPr>
  </w:style>
  <w:style w:type="character" w:customStyle="1" w:styleId="614">
    <w:name w:val="font71"/>
    <w:autoRedefine/>
    <w:qFormat/>
    <w:uiPriority w:val="0"/>
    <w:rPr>
      <w:rFonts w:hint="default" w:ascii="Arial" w:hAnsi="Arial" w:cs="Arial"/>
      <w:color w:val="000000"/>
      <w:sz w:val="24"/>
      <w:szCs w:val="24"/>
      <w:u w:val="none"/>
      <w:vertAlign w:val="superscript"/>
    </w:rPr>
  </w:style>
  <w:style w:type="character" w:customStyle="1" w:styleId="615">
    <w:name w:val="font51"/>
    <w:autoRedefine/>
    <w:qFormat/>
    <w:uiPriority w:val="0"/>
    <w:rPr>
      <w:rFonts w:hint="default" w:ascii="Arial" w:hAnsi="Arial" w:cs="Arial"/>
      <w:color w:val="000000"/>
      <w:sz w:val="20"/>
      <w:szCs w:val="20"/>
      <w:u w:val="none"/>
    </w:rPr>
  </w:style>
  <w:style w:type="character" w:customStyle="1" w:styleId="616">
    <w:name w:val="font81"/>
    <w:autoRedefine/>
    <w:qFormat/>
    <w:uiPriority w:val="0"/>
    <w:rPr>
      <w:rFonts w:hint="eastAsia" w:ascii="宋体" w:hAnsi="宋体" w:eastAsia="宋体"/>
      <w:color w:val="000000"/>
      <w:sz w:val="20"/>
      <w:szCs w:val="20"/>
      <w:u w:val="none"/>
    </w:rPr>
  </w:style>
  <w:style w:type="character" w:customStyle="1" w:styleId="617">
    <w:name w:val="font121"/>
    <w:autoRedefine/>
    <w:qFormat/>
    <w:uiPriority w:val="0"/>
    <w:rPr>
      <w:rFonts w:hint="eastAsia" w:ascii="宋体" w:hAnsi="宋体" w:eastAsia="宋体"/>
      <w:color w:val="000000"/>
      <w:sz w:val="22"/>
      <w:szCs w:val="22"/>
      <w:u w:val="none"/>
    </w:rPr>
  </w:style>
  <w:style w:type="paragraph" w:customStyle="1" w:styleId="618">
    <w:name w:val="p15"/>
    <w:basedOn w:val="1"/>
    <w:autoRedefine/>
    <w:qFormat/>
    <w:uiPriority w:val="0"/>
    <w:pPr>
      <w:widowControl/>
      <w:adjustRightInd/>
      <w:snapToGrid/>
      <w:spacing w:line="240" w:lineRule="auto"/>
      <w:ind w:firstLine="420" w:firstLineChars="0"/>
    </w:pPr>
    <w:rPr>
      <w:rFonts w:ascii="Calibri" w:hAnsi="Calibri" w:cs="Calibri"/>
      <w:kern w:val="0"/>
      <w:sz w:val="21"/>
      <w:szCs w:val="21"/>
    </w:rPr>
  </w:style>
  <w:style w:type="paragraph" w:customStyle="1" w:styleId="619">
    <w:name w:val="默认段落字体 Para Char Char Char Char"/>
    <w:basedOn w:val="1"/>
    <w:autoRedefine/>
    <w:qFormat/>
    <w:uiPriority w:val="0"/>
    <w:pPr>
      <w:adjustRightInd/>
      <w:spacing w:line="240" w:lineRule="auto"/>
      <w:ind w:firstLine="0" w:firstLineChars="0"/>
    </w:pPr>
    <w:rPr>
      <w:rFonts w:ascii="Arial" w:hAnsi="Arial"/>
      <w:sz w:val="21"/>
      <w:szCs w:val="21"/>
    </w:rPr>
  </w:style>
  <w:style w:type="paragraph" w:customStyle="1" w:styleId="620">
    <w:name w:val="正文111111111"/>
    <w:basedOn w:val="1"/>
    <w:link w:val="621"/>
    <w:autoRedefine/>
    <w:qFormat/>
    <w:uiPriority w:val="0"/>
    <w:pPr>
      <w:adjustRightInd/>
      <w:snapToGrid/>
      <w:spacing w:line="360" w:lineRule="auto"/>
      <w:ind w:firstLine="480"/>
    </w:pPr>
    <w:rPr>
      <w:rFonts w:ascii="Calibri" w:hAnsi="Calibri"/>
      <w:lang w:val="zh-CN"/>
    </w:rPr>
  </w:style>
  <w:style w:type="character" w:customStyle="1" w:styleId="621">
    <w:name w:val="正文111111111 Char"/>
    <w:link w:val="620"/>
    <w:autoRedefine/>
    <w:qFormat/>
    <w:uiPriority w:val="0"/>
    <w:rPr>
      <w:rFonts w:cs="宋体"/>
      <w:kern w:val="2"/>
      <w:sz w:val="24"/>
    </w:rPr>
  </w:style>
  <w:style w:type="paragraph" w:customStyle="1" w:styleId="622">
    <w:name w:val="样式 标题 4Char1.1.1.1标题 4.1.1.1.1款1.1.1.1 Char标4§1.1.1.1§1....1"/>
    <w:basedOn w:val="6"/>
    <w:autoRedefine/>
    <w:qFormat/>
    <w:uiPriority w:val="0"/>
    <w:pPr>
      <w:keepNext w:val="0"/>
      <w:keepLines w:val="0"/>
      <w:numPr>
        <w:ilvl w:val="0"/>
        <w:numId w:val="0"/>
      </w:numPr>
      <w:tabs>
        <w:tab w:val="left" w:pos="980"/>
      </w:tabs>
      <w:spacing w:line="276" w:lineRule="auto"/>
    </w:pPr>
    <w:rPr>
      <w:rFonts w:ascii="Arial Narrow" w:hAnsi="Arial Narrow" w:cs="宋体"/>
      <w:b w:val="0"/>
      <w:bCs w:val="0"/>
      <w:szCs w:val="20"/>
      <w:lang w:val="en-GB"/>
    </w:rPr>
  </w:style>
  <w:style w:type="paragraph" w:customStyle="1" w:styleId="623">
    <w:name w:val="font26"/>
    <w:basedOn w:val="1"/>
    <w:autoRedefine/>
    <w:qFormat/>
    <w:uiPriority w:val="99"/>
    <w:pPr>
      <w:widowControl/>
      <w:adjustRightInd/>
      <w:snapToGrid/>
      <w:spacing w:before="100" w:beforeAutospacing="1" w:after="100" w:afterAutospacing="1" w:line="240" w:lineRule="auto"/>
      <w:ind w:firstLine="0" w:firstLineChars="0"/>
      <w:jc w:val="left"/>
    </w:pPr>
    <w:rPr>
      <w:rFonts w:ascii="宋体" w:hAnsi="宋体" w:cs="宋体"/>
      <w:kern w:val="0"/>
      <w:sz w:val="20"/>
    </w:rPr>
  </w:style>
  <w:style w:type="paragraph" w:customStyle="1" w:styleId="624">
    <w:name w:val="xl96"/>
    <w:basedOn w:val="1"/>
    <w:autoRedefine/>
    <w:qFormat/>
    <w:uiPriority w:val="0"/>
    <w:pPr>
      <w:widowControl/>
      <w:pBdr>
        <w:left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b/>
      <w:bCs/>
      <w:kern w:val="0"/>
      <w:szCs w:val="24"/>
    </w:rPr>
  </w:style>
  <w:style w:type="paragraph" w:customStyle="1" w:styleId="625">
    <w:name w:val="xl97"/>
    <w:basedOn w:val="1"/>
    <w:autoRedefine/>
    <w:qFormat/>
    <w:uiPriority w:val="0"/>
    <w:pPr>
      <w:widowControl/>
      <w:pBdr>
        <w:top w:val="single" w:color="auto" w:sz="8" w:space="0"/>
        <w:left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b/>
      <w:bCs/>
      <w:kern w:val="0"/>
      <w:szCs w:val="24"/>
    </w:rPr>
  </w:style>
  <w:style w:type="paragraph" w:customStyle="1" w:styleId="626">
    <w:name w:val="xl98"/>
    <w:basedOn w:val="1"/>
    <w:autoRedefine/>
    <w:qFormat/>
    <w:uiPriority w:val="0"/>
    <w:pPr>
      <w:widowControl/>
      <w:pBdr>
        <w:left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b/>
      <w:bCs/>
      <w:kern w:val="0"/>
      <w:szCs w:val="24"/>
    </w:rPr>
  </w:style>
  <w:style w:type="paragraph" w:customStyle="1" w:styleId="627">
    <w:name w:val="xl99"/>
    <w:basedOn w:val="1"/>
    <w:autoRedefine/>
    <w:qFormat/>
    <w:uiPriority w:val="0"/>
    <w:pPr>
      <w:widowControl/>
      <w:pBdr>
        <w:top w:val="single" w:color="auto" w:sz="8" w:space="0"/>
        <w:left w:val="single" w:color="auto" w:sz="4" w:space="0"/>
      </w:pBdr>
      <w:adjustRightInd/>
      <w:snapToGrid/>
      <w:spacing w:before="100" w:beforeAutospacing="1" w:after="100" w:afterAutospacing="1" w:line="240" w:lineRule="auto"/>
      <w:ind w:firstLine="0" w:firstLineChars="0"/>
      <w:jc w:val="center"/>
    </w:pPr>
    <w:rPr>
      <w:rFonts w:ascii="宋体" w:hAnsi="宋体" w:cs="宋体"/>
      <w:b/>
      <w:bCs/>
      <w:kern w:val="0"/>
      <w:szCs w:val="24"/>
    </w:rPr>
  </w:style>
  <w:style w:type="paragraph" w:customStyle="1" w:styleId="628">
    <w:name w:val="xl100"/>
    <w:basedOn w:val="1"/>
    <w:autoRedefine/>
    <w:qFormat/>
    <w:uiPriority w:val="0"/>
    <w:pPr>
      <w:widowControl/>
      <w:pBdr>
        <w:top w:val="single" w:color="auto" w:sz="8" w:space="0"/>
        <w:right w:val="single" w:color="auto" w:sz="8" w:space="0"/>
      </w:pBdr>
      <w:adjustRightInd/>
      <w:snapToGrid/>
      <w:spacing w:before="100" w:beforeAutospacing="1" w:after="100" w:afterAutospacing="1" w:line="240" w:lineRule="auto"/>
      <w:ind w:firstLine="0" w:firstLineChars="0"/>
      <w:jc w:val="center"/>
    </w:pPr>
    <w:rPr>
      <w:rFonts w:ascii="宋体" w:hAnsi="宋体" w:cs="宋体"/>
      <w:b/>
      <w:bCs/>
      <w:kern w:val="0"/>
      <w:szCs w:val="24"/>
    </w:rPr>
  </w:style>
  <w:style w:type="paragraph" w:customStyle="1" w:styleId="629">
    <w:name w:val="xl101"/>
    <w:basedOn w:val="1"/>
    <w:autoRedefine/>
    <w:qFormat/>
    <w:uiPriority w:val="0"/>
    <w:pPr>
      <w:widowControl/>
      <w:pBdr>
        <w:left w:val="single" w:color="auto" w:sz="4" w:space="0"/>
        <w:bottom w:val="single" w:color="auto" w:sz="8" w:space="0"/>
      </w:pBdr>
      <w:adjustRightInd/>
      <w:snapToGrid/>
      <w:spacing w:before="100" w:beforeAutospacing="1" w:after="100" w:afterAutospacing="1" w:line="240" w:lineRule="auto"/>
      <w:ind w:firstLine="0" w:firstLineChars="0"/>
      <w:jc w:val="center"/>
    </w:pPr>
    <w:rPr>
      <w:rFonts w:ascii="宋体" w:hAnsi="宋体" w:cs="宋体"/>
      <w:b/>
      <w:bCs/>
      <w:kern w:val="0"/>
      <w:szCs w:val="24"/>
    </w:rPr>
  </w:style>
  <w:style w:type="paragraph" w:customStyle="1" w:styleId="630">
    <w:name w:val="xl102"/>
    <w:basedOn w:val="1"/>
    <w:autoRedefine/>
    <w:qFormat/>
    <w:uiPriority w:val="0"/>
    <w:pPr>
      <w:widowControl/>
      <w:pBdr>
        <w:bottom w:val="single" w:color="auto" w:sz="8" w:space="0"/>
        <w:right w:val="single" w:color="auto" w:sz="8" w:space="0"/>
      </w:pBdr>
      <w:adjustRightInd/>
      <w:snapToGrid/>
      <w:spacing w:before="100" w:beforeAutospacing="1" w:after="100" w:afterAutospacing="1" w:line="240" w:lineRule="auto"/>
      <w:ind w:firstLine="0" w:firstLineChars="0"/>
      <w:jc w:val="center"/>
    </w:pPr>
    <w:rPr>
      <w:rFonts w:ascii="宋体" w:hAnsi="宋体" w:cs="宋体"/>
      <w:b/>
      <w:bCs/>
      <w:kern w:val="0"/>
      <w:szCs w:val="24"/>
    </w:rPr>
  </w:style>
  <w:style w:type="character" w:customStyle="1" w:styleId="631">
    <w:name w:val="表格文字居中 Char"/>
    <w:autoRedefine/>
    <w:qFormat/>
    <w:uiPriority w:val="0"/>
    <w:rPr>
      <w:rFonts w:eastAsia="宋体"/>
      <w:snapToGrid w:val="0"/>
      <w:color w:val="000000"/>
      <w:kern w:val="2"/>
      <w:sz w:val="22"/>
      <w:szCs w:val="22"/>
      <w:lang w:val="en-US" w:eastAsia="zh-CN" w:bidi="ar-SA"/>
    </w:rPr>
  </w:style>
  <w:style w:type="character" w:customStyle="1" w:styleId="632">
    <w:name w:val="纯文本 Char1"/>
    <w:autoRedefine/>
    <w:qFormat/>
    <w:uiPriority w:val="0"/>
    <w:rPr>
      <w:rFonts w:ascii="宋体" w:hAnsi="Courier New" w:eastAsia="宋体"/>
      <w:kern w:val="2"/>
      <w:sz w:val="21"/>
      <w:lang w:val="en-US" w:eastAsia="zh-CN" w:bidi="ar-SA"/>
    </w:rPr>
  </w:style>
  <w:style w:type="paragraph" w:customStyle="1" w:styleId="633">
    <w:name w:val="图表文字"/>
    <w:autoRedefine/>
    <w:qFormat/>
    <w:uiPriority w:val="0"/>
    <w:pPr>
      <w:adjustRightInd w:val="0"/>
      <w:snapToGrid w:val="0"/>
      <w:spacing w:line="380" w:lineRule="exact"/>
      <w:jc w:val="center"/>
    </w:pPr>
    <w:rPr>
      <w:rFonts w:ascii="Times New Roman" w:hAnsi="Times New Roman" w:eastAsia="宋体" w:cs="Times New Roman"/>
      <w:sz w:val="21"/>
      <w:lang w:val="en-US" w:eastAsia="zh-CN" w:bidi="ar-SA"/>
    </w:rPr>
  </w:style>
  <w:style w:type="paragraph" w:customStyle="1" w:styleId="634">
    <w:name w:val="列出段落5"/>
    <w:basedOn w:val="1"/>
    <w:autoRedefine/>
    <w:qFormat/>
    <w:uiPriority w:val="99"/>
    <w:pPr>
      <w:widowControl/>
      <w:adjustRightInd/>
      <w:snapToGrid/>
      <w:spacing w:line="440" w:lineRule="exact"/>
      <w:ind w:left="720"/>
      <w:contextualSpacing/>
    </w:pPr>
    <w:rPr>
      <w:rFonts w:ascii="宋体" w:hAnsi="Calibri"/>
      <w:kern w:val="0"/>
    </w:rPr>
  </w:style>
  <w:style w:type="paragraph" w:customStyle="1" w:styleId="635">
    <w:name w:val="wg"/>
    <w:basedOn w:val="1"/>
    <w:autoRedefine/>
    <w:qFormat/>
    <w:uiPriority w:val="0"/>
    <w:pPr>
      <w:adjustRightInd/>
      <w:snapToGrid/>
      <w:spacing w:line="240" w:lineRule="auto"/>
      <w:ind w:firstLine="0" w:firstLineChars="0"/>
    </w:pPr>
    <w:rPr>
      <w:sz w:val="28"/>
    </w:rPr>
  </w:style>
  <w:style w:type="character" w:customStyle="1" w:styleId="636">
    <w:name w:val="不明显强调1"/>
    <w:autoRedefine/>
    <w:qFormat/>
    <w:uiPriority w:val="0"/>
    <w:rPr>
      <w:rFonts w:eastAsia="Times New Roman"/>
      <w:iCs/>
      <w:color w:val="000000"/>
      <w:sz w:val="24"/>
    </w:rPr>
  </w:style>
  <w:style w:type="paragraph" w:customStyle="1" w:styleId="637">
    <w:name w:val="中等深浅网格 21"/>
    <w:basedOn w:val="7"/>
    <w:autoRedefine/>
    <w:qFormat/>
    <w:uiPriority w:val="99"/>
    <w:pPr>
      <w:numPr>
        <w:ilvl w:val="0"/>
        <w:numId w:val="0"/>
      </w:numPr>
      <w:adjustRightInd/>
      <w:snapToGrid/>
      <w:spacing w:before="120" w:after="120" w:line="240" w:lineRule="auto"/>
    </w:pPr>
    <w:rPr>
      <w:sz w:val="24"/>
      <w:szCs w:val="24"/>
      <w:lang w:val="en-US"/>
    </w:rPr>
  </w:style>
  <w:style w:type="character" w:customStyle="1" w:styleId="638">
    <w:name w:val="普通(网站) 字符"/>
    <w:link w:val="81"/>
    <w:autoRedefine/>
    <w:qFormat/>
    <w:uiPriority w:val="99"/>
    <w:rPr>
      <w:rFonts w:ascii="Times New Roman" w:hAnsi="宋体" w:cs="宋体"/>
      <w:sz w:val="24"/>
      <w:szCs w:val="24"/>
    </w:rPr>
  </w:style>
  <w:style w:type="character" w:customStyle="1" w:styleId="639">
    <w:name w:val="环评正文 Char1"/>
    <w:autoRedefine/>
    <w:qFormat/>
    <w:uiPriority w:val="0"/>
    <w:rPr>
      <w:rFonts w:eastAsia="仿宋_GB2312"/>
      <w:kern w:val="44"/>
      <w:sz w:val="24"/>
      <w:lang w:val="en-US" w:eastAsia="zh-CN" w:bidi="ar-SA"/>
    </w:rPr>
  </w:style>
  <w:style w:type="paragraph" w:customStyle="1" w:styleId="640">
    <w:name w:val="【正文】"/>
    <w:basedOn w:val="1"/>
    <w:link w:val="641"/>
    <w:autoRedefine/>
    <w:qFormat/>
    <w:uiPriority w:val="0"/>
    <w:pPr>
      <w:adjustRightInd/>
      <w:snapToGrid/>
      <w:spacing w:line="440" w:lineRule="exact"/>
      <w:ind w:firstLine="544"/>
    </w:pPr>
    <w:rPr>
      <w:lang w:val="zh-CN"/>
    </w:rPr>
  </w:style>
  <w:style w:type="character" w:customStyle="1" w:styleId="641">
    <w:name w:val="【正文】 Char"/>
    <w:link w:val="640"/>
    <w:autoRedefine/>
    <w:qFormat/>
    <w:uiPriority w:val="0"/>
    <w:rPr>
      <w:rFonts w:ascii="Times New Roman" w:hAnsi="Times New Roman"/>
      <w:kern w:val="2"/>
      <w:sz w:val="24"/>
      <w:lang w:val="zh-CN" w:eastAsia="zh-CN"/>
    </w:rPr>
  </w:style>
  <w:style w:type="paragraph" w:customStyle="1" w:styleId="642">
    <w:name w:val="Char Char Char Char Char2 Char3"/>
    <w:basedOn w:val="1"/>
    <w:autoRedefine/>
    <w:qFormat/>
    <w:uiPriority w:val="0"/>
    <w:pPr>
      <w:spacing w:line="360" w:lineRule="auto"/>
    </w:pPr>
    <w:rPr>
      <w:rFonts w:ascii="宋体" w:hAnsi="宋体" w:cs="宋体"/>
      <w:szCs w:val="26"/>
    </w:rPr>
  </w:style>
  <w:style w:type="paragraph" w:customStyle="1" w:styleId="643">
    <w:name w:val="Char Char Char Char Char2 Char2"/>
    <w:basedOn w:val="1"/>
    <w:autoRedefine/>
    <w:semiHidden/>
    <w:qFormat/>
    <w:uiPriority w:val="0"/>
    <w:pPr>
      <w:spacing w:line="360" w:lineRule="auto"/>
    </w:pPr>
    <w:rPr>
      <w:rFonts w:ascii="宋体" w:hAnsi="宋体" w:cs="宋体"/>
      <w:szCs w:val="26"/>
    </w:rPr>
  </w:style>
  <w:style w:type="character" w:customStyle="1" w:styleId="644">
    <w:name w:val="批注文字 Char2"/>
    <w:autoRedefine/>
    <w:semiHidden/>
    <w:qFormat/>
    <w:uiPriority w:val="99"/>
    <w:rPr>
      <w:rFonts w:ascii="Calibri" w:hAnsi="Calibri" w:eastAsia="宋体" w:cs="Times New Roman"/>
    </w:rPr>
  </w:style>
  <w:style w:type="character" w:customStyle="1" w:styleId="645">
    <w:name w:val="尾注文本 Char1"/>
    <w:autoRedefine/>
    <w:semiHidden/>
    <w:qFormat/>
    <w:uiPriority w:val="99"/>
    <w:rPr>
      <w:rFonts w:ascii="Calibri" w:hAnsi="Calibri" w:eastAsia="宋体" w:cs="Times New Roman"/>
    </w:rPr>
  </w:style>
  <w:style w:type="character" w:customStyle="1" w:styleId="646">
    <w:name w:val="正文文本缩进 3 Char1"/>
    <w:autoRedefine/>
    <w:qFormat/>
    <w:uiPriority w:val="0"/>
    <w:rPr>
      <w:rFonts w:ascii="Calibri" w:hAnsi="Calibri" w:eastAsia="宋体" w:cs="Times New Roman"/>
      <w:sz w:val="16"/>
      <w:szCs w:val="16"/>
    </w:rPr>
  </w:style>
  <w:style w:type="character" w:customStyle="1" w:styleId="647">
    <w:name w:val="正文文本 Char1"/>
    <w:autoRedefine/>
    <w:qFormat/>
    <w:uiPriority w:val="0"/>
    <w:rPr>
      <w:rFonts w:ascii="Calibri" w:hAnsi="Calibri" w:eastAsia="宋体" w:cs="Times New Roman"/>
    </w:rPr>
  </w:style>
  <w:style w:type="character" w:customStyle="1" w:styleId="648">
    <w:name w:val="正文首行缩进 Char1"/>
    <w:link w:val="649"/>
    <w:autoRedefine/>
    <w:qFormat/>
    <w:uiPriority w:val="0"/>
  </w:style>
  <w:style w:type="paragraph" w:customStyle="1" w:styleId="649">
    <w:name w:val="正文首行缩进1"/>
    <w:basedOn w:val="34"/>
    <w:link w:val="648"/>
    <w:autoRedefine/>
    <w:qFormat/>
    <w:uiPriority w:val="0"/>
    <w:pPr>
      <w:widowControl/>
      <w:adjustRightInd/>
      <w:snapToGrid/>
      <w:spacing w:line="240" w:lineRule="auto"/>
      <w:ind w:firstLine="420" w:firstLineChars="100"/>
    </w:pPr>
    <w:rPr>
      <w:rFonts w:ascii="Calibri" w:hAnsi="Calibri"/>
      <w:sz w:val="20"/>
      <w:lang w:val="en-US"/>
    </w:rPr>
  </w:style>
  <w:style w:type="character" w:customStyle="1" w:styleId="650">
    <w:name w:val="HTML 预设格式 Char1"/>
    <w:autoRedefine/>
    <w:semiHidden/>
    <w:qFormat/>
    <w:uiPriority w:val="99"/>
    <w:rPr>
      <w:rFonts w:ascii="Courier New" w:hAnsi="Courier New" w:eastAsia="宋体" w:cs="Courier New"/>
      <w:sz w:val="20"/>
      <w:szCs w:val="20"/>
    </w:rPr>
  </w:style>
  <w:style w:type="character" w:customStyle="1" w:styleId="651">
    <w:name w:val="副标题 Char1"/>
    <w:autoRedefine/>
    <w:qFormat/>
    <w:uiPriority w:val="0"/>
    <w:rPr>
      <w:rFonts w:ascii="Cambria" w:hAnsi="Cambria" w:eastAsia="宋体" w:cs="Times New Roman"/>
      <w:b/>
      <w:bCs/>
      <w:kern w:val="28"/>
      <w:sz w:val="32"/>
      <w:szCs w:val="32"/>
    </w:rPr>
  </w:style>
  <w:style w:type="character" w:customStyle="1" w:styleId="652">
    <w:name w:val="正文文本缩进 2 Char1"/>
    <w:autoRedefine/>
    <w:qFormat/>
    <w:uiPriority w:val="99"/>
    <w:rPr>
      <w:rFonts w:ascii="Calibri" w:hAnsi="Calibri" w:eastAsia="宋体" w:cs="Times New Roman"/>
    </w:rPr>
  </w:style>
  <w:style w:type="character" w:customStyle="1" w:styleId="653">
    <w:name w:val="正文文本 3 Char1"/>
    <w:autoRedefine/>
    <w:qFormat/>
    <w:uiPriority w:val="0"/>
    <w:rPr>
      <w:rFonts w:ascii="Calibri" w:hAnsi="Calibri" w:eastAsia="宋体" w:cs="Times New Roman"/>
      <w:sz w:val="16"/>
      <w:szCs w:val="16"/>
    </w:rPr>
  </w:style>
  <w:style w:type="character" w:customStyle="1" w:styleId="654">
    <w:name w:val="正文文本 2 Char1"/>
    <w:autoRedefine/>
    <w:qFormat/>
    <w:uiPriority w:val="0"/>
    <w:rPr>
      <w:rFonts w:ascii="Calibri" w:hAnsi="Calibri" w:eastAsia="宋体" w:cs="Times New Roman"/>
    </w:rPr>
  </w:style>
  <w:style w:type="character" w:customStyle="1" w:styleId="655">
    <w:name w:val="批注框文本 Char1"/>
    <w:autoRedefine/>
    <w:qFormat/>
    <w:uiPriority w:val="99"/>
    <w:rPr>
      <w:rFonts w:ascii="Calibri" w:hAnsi="Calibri" w:eastAsia="宋体" w:cs="Times New Roman"/>
      <w:sz w:val="18"/>
      <w:szCs w:val="18"/>
    </w:rPr>
  </w:style>
  <w:style w:type="character" w:customStyle="1" w:styleId="656">
    <w:name w:val="日期 Char1"/>
    <w:autoRedefine/>
    <w:qFormat/>
    <w:uiPriority w:val="99"/>
    <w:rPr>
      <w:rFonts w:ascii="Calibri" w:hAnsi="Calibri" w:eastAsia="宋体" w:cs="Times New Roman"/>
    </w:rPr>
  </w:style>
  <w:style w:type="character" w:customStyle="1" w:styleId="657">
    <w:name w:val="纯文本 Char2"/>
    <w:link w:val="152"/>
    <w:autoRedefine/>
    <w:qFormat/>
    <w:uiPriority w:val="0"/>
    <w:rPr>
      <w:rFonts w:ascii="宋体" w:hAnsi="Courier New" w:eastAsia="宋体" w:cs="Courier New"/>
      <w:szCs w:val="21"/>
    </w:rPr>
  </w:style>
  <w:style w:type="character" w:customStyle="1" w:styleId="658">
    <w:name w:val="文档结构图 Char1"/>
    <w:autoRedefine/>
    <w:qFormat/>
    <w:uiPriority w:val="99"/>
    <w:rPr>
      <w:rFonts w:ascii="宋体" w:hAnsi="Calibri" w:eastAsia="宋体" w:cs="Times New Roman"/>
      <w:sz w:val="18"/>
      <w:szCs w:val="18"/>
    </w:rPr>
  </w:style>
  <w:style w:type="character" w:customStyle="1" w:styleId="659">
    <w:name w:val="标题 Char1"/>
    <w:autoRedefine/>
    <w:qFormat/>
    <w:uiPriority w:val="0"/>
    <w:rPr>
      <w:rFonts w:ascii="Cambria" w:hAnsi="Cambria" w:eastAsia="宋体" w:cs="Times New Roman"/>
      <w:b/>
      <w:bCs/>
      <w:sz w:val="32"/>
      <w:szCs w:val="32"/>
    </w:rPr>
  </w:style>
  <w:style w:type="table" w:customStyle="1" w:styleId="660">
    <w:name w:val="网格型 51"/>
    <w:basedOn w:val="88"/>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661">
    <w:name w:val="网格型 11"/>
    <w:basedOn w:val="88"/>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662">
    <w:name w:val="Table Normal"/>
    <w:autoRedefine/>
    <w:qFormat/>
    <w:uiPriority w:val="0"/>
    <w:pPr>
      <w:widowControl w:val="0"/>
    </w:pPr>
    <w:rPr>
      <w:rFonts w:eastAsia="Times New Roman"/>
      <w:sz w:val="22"/>
      <w:szCs w:val="22"/>
      <w:lang w:eastAsia="en-US"/>
    </w:rPr>
    <w:tblPr>
      <w:tblCellMar>
        <w:top w:w="0" w:type="dxa"/>
        <w:left w:w="0" w:type="dxa"/>
        <w:bottom w:w="0" w:type="dxa"/>
        <w:right w:w="0" w:type="dxa"/>
      </w:tblCellMar>
    </w:tblPr>
  </w:style>
  <w:style w:type="character" w:customStyle="1" w:styleId="663">
    <w:name w:val="description"/>
    <w:autoRedefine/>
    <w:qFormat/>
    <w:uiPriority w:val="0"/>
  </w:style>
  <w:style w:type="character" w:customStyle="1" w:styleId="664">
    <w:name w:val="font191"/>
    <w:autoRedefine/>
    <w:qFormat/>
    <w:uiPriority w:val="0"/>
    <w:rPr>
      <w:rFonts w:hint="eastAsia" w:ascii="宋体" w:hAnsi="宋体" w:eastAsia="宋体"/>
      <w:color w:val="000000"/>
      <w:sz w:val="24"/>
      <w:szCs w:val="24"/>
      <w:u w:val="none"/>
    </w:rPr>
  </w:style>
  <w:style w:type="paragraph" w:customStyle="1" w:styleId="665">
    <w:name w:val="Char Char Char"/>
    <w:basedOn w:val="1"/>
    <w:autoRedefine/>
    <w:qFormat/>
    <w:uiPriority w:val="0"/>
    <w:pPr>
      <w:adjustRightInd/>
      <w:snapToGrid/>
      <w:spacing w:line="360" w:lineRule="auto"/>
      <w:ind w:firstLine="420"/>
      <w:jc w:val="left"/>
    </w:pPr>
    <w:rPr>
      <w:rFonts w:ascii="Tahoma" w:hAnsi="Tahoma"/>
    </w:rPr>
  </w:style>
  <w:style w:type="paragraph" w:customStyle="1" w:styleId="666">
    <w:name w:val="Char Char Char Char11"/>
    <w:basedOn w:val="1"/>
    <w:autoRedefine/>
    <w:qFormat/>
    <w:uiPriority w:val="0"/>
    <w:pPr>
      <w:widowControl/>
      <w:adjustRightInd/>
      <w:snapToGrid/>
      <w:spacing w:line="240" w:lineRule="auto"/>
      <w:ind w:firstLine="0" w:firstLineChars="0"/>
      <w:jc w:val="left"/>
    </w:pPr>
    <w:rPr>
      <w:rFonts w:ascii="宋体" w:hAnsi="宋体" w:cs="宋体"/>
      <w:kern w:val="0"/>
      <w:szCs w:val="24"/>
    </w:rPr>
  </w:style>
  <w:style w:type="paragraph" w:customStyle="1" w:styleId="667">
    <w:name w:val="表格内居中文字"/>
    <w:basedOn w:val="536"/>
    <w:autoRedefine/>
    <w:qFormat/>
    <w:uiPriority w:val="0"/>
    <w:pPr>
      <w:spacing w:line="320" w:lineRule="atLeast"/>
      <w:jc w:val="center"/>
    </w:pPr>
    <w:rPr>
      <w:rFonts w:ascii="Calibri" w:hAnsi="Calibri"/>
      <w:color w:val="auto"/>
      <w:kern w:val="2"/>
      <w:sz w:val="22"/>
      <w:szCs w:val="24"/>
    </w:rPr>
  </w:style>
  <w:style w:type="character" w:customStyle="1" w:styleId="668">
    <w:name w:val="zl标题2 Char"/>
    <w:link w:val="669"/>
    <w:autoRedefine/>
    <w:qFormat/>
    <w:uiPriority w:val="0"/>
    <w:rPr>
      <w:b/>
      <w:bCs/>
      <w:kern w:val="2"/>
      <w:sz w:val="32"/>
      <w:szCs w:val="22"/>
    </w:rPr>
  </w:style>
  <w:style w:type="paragraph" w:customStyle="1" w:styleId="669">
    <w:name w:val="zl标题2"/>
    <w:basedOn w:val="4"/>
    <w:link w:val="668"/>
    <w:autoRedefine/>
    <w:qFormat/>
    <w:uiPriority w:val="99"/>
    <w:pPr>
      <w:numPr>
        <w:ilvl w:val="0"/>
        <w:numId w:val="0"/>
      </w:numPr>
      <w:adjustRightInd/>
      <w:snapToGrid/>
      <w:spacing w:beforeLines="15" w:line="360" w:lineRule="auto"/>
    </w:pPr>
    <w:rPr>
      <w:rFonts w:ascii="Calibri" w:hAnsi="Calibri"/>
      <w:sz w:val="32"/>
      <w:szCs w:val="22"/>
    </w:rPr>
  </w:style>
  <w:style w:type="paragraph" w:customStyle="1" w:styleId="670">
    <w:name w:val="zl标题3"/>
    <w:basedOn w:val="5"/>
    <w:autoRedefine/>
    <w:qFormat/>
    <w:uiPriority w:val="99"/>
    <w:pPr>
      <w:numPr>
        <w:ilvl w:val="0"/>
        <w:numId w:val="0"/>
      </w:numPr>
      <w:adjustRightInd/>
      <w:snapToGrid/>
      <w:spacing w:line="360" w:lineRule="auto"/>
    </w:pPr>
    <w:rPr>
      <w:sz w:val="30"/>
      <w:szCs w:val="22"/>
      <w:lang w:val="en-US"/>
    </w:rPr>
  </w:style>
  <w:style w:type="paragraph" w:customStyle="1" w:styleId="671">
    <w:name w:val="zl标题1"/>
    <w:basedOn w:val="3"/>
    <w:autoRedefine/>
    <w:qFormat/>
    <w:uiPriority w:val="99"/>
    <w:pPr>
      <w:numPr>
        <w:numId w:val="0"/>
      </w:numPr>
      <w:adjustRightInd/>
      <w:snapToGrid/>
      <w:spacing w:afterLines="50" w:line="360" w:lineRule="auto"/>
      <w:jc w:val="both"/>
    </w:pPr>
    <w:rPr>
      <w:sz w:val="36"/>
      <w:lang w:val="en-US"/>
    </w:rPr>
  </w:style>
  <w:style w:type="paragraph" w:customStyle="1" w:styleId="672">
    <w:name w:val="表格样式1"/>
    <w:basedOn w:val="1"/>
    <w:link w:val="673"/>
    <w:autoRedefine/>
    <w:qFormat/>
    <w:uiPriority w:val="99"/>
    <w:pPr>
      <w:adjustRightInd/>
      <w:snapToGrid/>
      <w:spacing w:line="320" w:lineRule="exact"/>
      <w:ind w:firstLine="0" w:firstLineChars="0"/>
      <w:jc w:val="center"/>
    </w:pPr>
    <w:rPr>
      <w:bCs/>
      <w:sz w:val="21"/>
      <w:szCs w:val="22"/>
      <w:lang w:val="zh-CN"/>
    </w:rPr>
  </w:style>
  <w:style w:type="character" w:customStyle="1" w:styleId="673">
    <w:name w:val="表格样式1 Char"/>
    <w:link w:val="672"/>
    <w:autoRedefine/>
    <w:qFormat/>
    <w:uiPriority w:val="0"/>
    <w:rPr>
      <w:rFonts w:ascii="Times New Roman" w:hAnsi="Times New Roman"/>
      <w:bCs/>
      <w:kern w:val="2"/>
      <w:sz w:val="21"/>
      <w:szCs w:val="22"/>
    </w:rPr>
  </w:style>
  <w:style w:type="paragraph" w:customStyle="1" w:styleId="674">
    <w:name w:val="表图题"/>
    <w:basedOn w:val="1"/>
    <w:link w:val="675"/>
    <w:autoRedefine/>
    <w:qFormat/>
    <w:uiPriority w:val="0"/>
    <w:pPr>
      <w:spacing w:line="400" w:lineRule="exact"/>
      <w:ind w:firstLine="0" w:firstLineChars="0"/>
      <w:jc w:val="center"/>
    </w:pPr>
    <w:rPr>
      <w:b/>
      <w:szCs w:val="22"/>
      <w:lang w:val="zh-CN"/>
    </w:rPr>
  </w:style>
  <w:style w:type="character" w:customStyle="1" w:styleId="675">
    <w:name w:val="表图题 Char"/>
    <w:link w:val="674"/>
    <w:autoRedefine/>
    <w:qFormat/>
    <w:uiPriority w:val="0"/>
    <w:rPr>
      <w:rFonts w:ascii="Times New Roman" w:hAnsi="Times New Roman"/>
      <w:b/>
      <w:kern w:val="2"/>
      <w:sz w:val="24"/>
      <w:szCs w:val="22"/>
    </w:rPr>
  </w:style>
  <w:style w:type="paragraph" w:customStyle="1" w:styleId="676">
    <w:name w:val="表格内居中"/>
    <w:basedOn w:val="1"/>
    <w:link w:val="677"/>
    <w:autoRedefine/>
    <w:qFormat/>
    <w:uiPriority w:val="99"/>
    <w:pPr>
      <w:spacing w:line="240" w:lineRule="auto"/>
      <w:ind w:firstLine="0" w:firstLineChars="0"/>
      <w:jc w:val="center"/>
    </w:pPr>
    <w:rPr>
      <w:sz w:val="21"/>
      <w:lang w:val="zh-CN"/>
    </w:rPr>
  </w:style>
  <w:style w:type="character" w:customStyle="1" w:styleId="677">
    <w:name w:val="表格内居中 Char"/>
    <w:link w:val="676"/>
    <w:autoRedefine/>
    <w:qFormat/>
    <w:uiPriority w:val="0"/>
    <w:rPr>
      <w:rFonts w:ascii="Times New Roman" w:hAnsi="Times New Roman"/>
      <w:kern w:val="2"/>
      <w:sz w:val="21"/>
    </w:rPr>
  </w:style>
  <w:style w:type="paragraph" w:customStyle="1" w:styleId="678">
    <w:name w:val="Char Char93"/>
    <w:basedOn w:val="1"/>
    <w:autoRedefine/>
    <w:qFormat/>
    <w:uiPriority w:val="99"/>
    <w:pPr>
      <w:adjustRightInd/>
      <w:snapToGrid/>
      <w:spacing w:line="240" w:lineRule="auto"/>
      <w:ind w:firstLine="0" w:firstLineChars="0"/>
    </w:pPr>
    <w:rPr>
      <w:kern w:val="0"/>
      <w:sz w:val="20"/>
    </w:rPr>
  </w:style>
  <w:style w:type="paragraph" w:customStyle="1" w:styleId="679">
    <w:name w:val="表格 宋体 居中"/>
    <w:basedOn w:val="1"/>
    <w:autoRedefine/>
    <w:qFormat/>
    <w:uiPriority w:val="99"/>
    <w:pPr>
      <w:adjustRightInd/>
      <w:snapToGrid/>
      <w:spacing w:line="240" w:lineRule="auto"/>
      <w:ind w:firstLine="0" w:firstLineChars="0"/>
      <w:jc w:val="center"/>
    </w:pPr>
    <w:rPr>
      <w:rFonts w:ascii="宋体" w:hAnsi="宋体" w:cs="宋体"/>
      <w:kern w:val="0"/>
      <w:sz w:val="21"/>
    </w:rPr>
  </w:style>
  <w:style w:type="paragraph" w:customStyle="1" w:styleId="680">
    <w:name w:val="表题注 正文 + 小四 居中"/>
    <w:basedOn w:val="1"/>
    <w:next w:val="1"/>
    <w:autoRedefine/>
    <w:qFormat/>
    <w:uiPriority w:val="99"/>
    <w:pPr>
      <w:keepNext/>
      <w:adjustRightInd/>
      <w:snapToGrid/>
      <w:spacing w:afterLines="50" w:line="360" w:lineRule="auto"/>
      <w:ind w:firstLine="0" w:firstLineChars="0"/>
      <w:jc w:val="center"/>
    </w:pPr>
    <w:rPr>
      <w:rFonts w:ascii="宋体" w:hAnsi="宋体" w:cs="宋体"/>
      <w:sz w:val="28"/>
      <w:szCs w:val="24"/>
    </w:rPr>
  </w:style>
  <w:style w:type="paragraph" w:customStyle="1" w:styleId="681">
    <w:name w:val="样式 标题 2 + (西文) 黑体 (中文) 黑体 (符号) Times New Roman 四号 非加粗 段前: 0..."/>
    <w:basedOn w:val="4"/>
    <w:autoRedefine/>
    <w:qFormat/>
    <w:uiPriority w:val="99"/>
    <w:pPr>
      <w:numPr>
        <w:ilvl w:val="0"/>
        <w:numId w:val="0"/>
      </w:numPr>
      <w:adjustRightInd/>
      <w:snapToGrid/>
      <w:spacing w:beforeLines="50" w:afterLines="50" w:line="360" w:lineRule="auto"/>
    </w:pPr>
    <w:rPr>
      <w:rFonts w:ascii="黑体" w:eastAsia="黑体" w:cs="宋体"/>
      <w:b w:val="0"/>
      <w:bCs w:val="0"/>
      <w:sz w:val="30"/>
      <w:szCs w:val="20"/>
      <w:lang w:val="en-US"/>
    </w:rPr>
  </w:style>
  <w:style w:type="paragraph" w:customStyle="1" w:styleId="682">
    <w:name w:val="样式333333"/>
    <w:basedOn w:val="1"/>
    <w:link w:val="683"/>
    <w:autoRedefine/>
    <w:qFormat/>
    <w:uiPriority w:val="99"/>
    <w:pPr>
      <w:spacing w:beforeLines="10" w:afterLines="50" w:line="460" w:lineRule="exact"/>
      <w:ind w:firstLine="0" w:firstLineChars="0"/>
      <w:jc w:val="left"/>
      <w:outlineLvl w:val="2"/>
    </w:pPr>
    <w:rPr>
      <w:b/>
      <w:snapToGrid w:val="0"/>
      <w:kern w:val="0"/>
      <w:szCs w:val="26"/>
      <w:lang w:val="zh-CN"/>
    </w:rPr>
  </w:style>
  <w:style w:type="character" w:customStyle="1" w:styleId="683">
    <w:name w:val="样式333333 Char"/>
    <w:link w:val="682"/>
    <w:autoRedefine/>
    <w:qFormat/>
    <w:uiPriority w:val="0"/>
    <w:rPr>
      <w:rFonts w:ascii="Times New Roman" w:hAnsi="Times New Roman"/>
      <w:b/>
      <w:snapToGrid w:val="0"/>
      <w:sz w:val="24"/>
      <w:szCs w:val="26"/>
    </w:rPr>
  </w:style>
  <w:style w:type="paragraph" w:customStyle="1" w:styleId="684">
    <w:name w:val="表头11"/>
    <w:basedOn w:val="1"/>
    <w:link w:val="685"/>
    <w:autoRedefine/>
    <w:qFormat/>
    <w:uiPriority w:val="0"/>
    <w:pPr>
      <w:spacing w:beforeLines="30" w:line="460" w:lineRule="exact"/>
      <w:ind w:firstLine="0" w:firstLineChars="0"/>
      <w:jc w:val="center"/>
    </w:pPr>
    <w:rPr>
      <w:b/>
      <w:snapToGrid w:val="0"/>
      <w:kern w:val="0"/>
      <w:szCs w:val="24"/>
      <w:lang w:val="zh-CN"/>
    </w:rPr>
  </w:style>
  <w:style w:type="character" w:customStyle="1" w:styleId="685">
    <w:name w:val="表头11 Char"/>
    <w:link w:val="684"/>
    <w:autoRedefine/>
    <w:qFormat/>
    <w:uiPriority w:val="0"/>
    <w:rPr>
      <w:rFonts w:ascii="Times New Roman" w:hAnsi="Times New Roman"/>
      <w:b/>
      <w:snapToGrid w:val="0"/>
      <w:sz w:val="24"/>
      <w:szCs w:val="24"/>
    </w:rPr>
  </w:style>
  <w:style w:type="paragraph" w:customStyle="1" w:styleId="686">
    <w:name w:val="Char Char Char Char Char Char Char Char Char Char Char Char Char Char Char Char Char Char Char Char Char Char"/>
    <w:basedOn w:val="1"/>
    <w:autoRedefine/>
    <w:qFormat/>
    <w:uiPriority w:val="0"/>
    <w:pPr>
      <w:adjustRightInd/>
      <w:snapToGrid/>
      <w:spacing w:line="240" w:lineRule="auto"/>
      <w:ind w:firstLine="0" w:firstLineChars="0"/>
    </w:pPr>
    <w:rPr>
      <w:rFonts w:ascii="宋体" w:hAnsi="宋体" w:eastAsia="仿宋_GB2312" w:cs="Courier New"/>
      <w:sz w:val="32"/>
      <w:szCs w:val="32"/>
    </w:rPr>
  </w:style>
  <w:style w:type="paragraph" w:customStyle="1" w:styleId="687">
    <w:name w:val="图头11"/>
    <w:basedOn w:val="684"/>
    <w:link w:val="688"/>
    <w:autoRedefine/>
    <w:qFormat/>
    <w:uiPriority w:val="0"/>
    <w:pPr>
      <w:spacing w:beforeLines="0" w:line="0" w:lineRule="atLeast"/>
    </w:pPr>
  </w:style>
  <w:style w:type="character" w:customStyle="1" w:styleId="688">
    <w:name w:val="图头11 Char"/>
    <w:basedOn w:val="685"/>
    <w:link w:val="687"/>
    <w:autoRedefine/>
    <w:qFormat/>
    <w:uiPriority w:val="0"/>
    <w:rPr>
      <w:rFonts w:ascii="Times New Roman" w:hAnsi="Times New Roman"/>
      <w:snapToGrid w:val="0"/>
      <w:sz w:val="24"/>
      <w:szCs w:val="24"/>
    </w:rPr>
  </w:style>
  <w:style w:type="paragraph" w:customStyle="1" w:styleId="689">
    <w:name w:val="样式22222"/>
    <w:basedOn w:val="1"/>
    <w:link w:val="690"/>
    <w:autoRedefine/>
    <w:qFormat/>
    <w:uiPriority w:val="99"/>
    <w:pPr>
      <w:spacing w:beforeLines="10" w:afterLines="50" w:line="460" w:lineRule="exact"/>
      <w:ind w:firstLine="0" w:firstLineChars="0"/>
      <w:jc w:val="left"/>
      <w:outlineLvl w:val="1"/>
    </w:pPr>
    <w:rPr>
      <w:b/>
      <w:snapToGrid w:val="0"/>
      <w:kern w:val="0"/>
      <w:szCs w:val="24"/>
      <w:lang w:val="zh-CN"/>
    </w:rPr>
  </w:style>
  <w:style w:type="character" w:customStyle="1" w:styleId="690">
    <w:name w:val="样式22222 Char"/>
    <w:link w:val="689"/>
    <w:autoRedefine/>
    <w:qFormat/>
    <w:uiPriority w:val="0"/>
    <w:rPr>
      <w:rFonts w:ascii="Times New Roman" w:hAnsi="Times New Roman"/>
      <w:b/>
      <w:snapToGrid w:val="0"/>
      <w:sz w:val="24"/>
      <w:szCs w:val="24"/>
    </w:rPr>
  </w:style>
  <w:style w:type="paragraph" w:customStyle="1" w:styleId="691">
    <w:name w:val="表内字体111"/>
    <w:basedOn w:val="1"/>
    <w:link w:val="692"/>
    <w:autoRedefine/>
    <w:qFormat/>
    <w:uiPriority w:val="0"/>
    <w:pPr>
      <w:spacing w:line="240" w:lineRule="auto"/>
      <w:ind w:firstLine="0" w:firstLineChars="0"/>
      <w:jc w:val="center"/>
    </w:pPr>
    <w:rPr>
      <w:snapToGrid w:val="0"/>
      <w:kern w:val="0"/>
      <w:sz w:val="21"/>
      <w:szCs w:val="24"/>
      <w:lang w:val="zh-CN"/>
    </w:rPr>
  </w:style>
  <w:style w:type="character" w:customStyle="1" w:styleId="692">
    <w:name w:val="表内字体111 Char"/>
    <w:link w:val="691"/>
    <w:autoRedefine/>
    <w:qFormat/>
    <w:uiPriority w:val="0"/>
    <w:rPr>
      <w:rFonts w:ascii="Times New Roman" w:hAnsi="Times New Roman"/>
      <w:snapToGrid w:val="0"/>
      <w:sz w:val="21"/>
      <w:szCs w:val="24"/>
    </w:rPr>
  </w:style>
  <w:style w:type="character" w:customStyle="1" w:styleId="693">
    <w:name w:val="新格式表 Char Char"/>
    <w:autoRedefine/>
    <w:qFormat/>
    <w:uiPriority w:val="0"/>
    <w:rPr>
      <w:b/>
      <w:color w:val="FF0000"/>
      <w:kern w:val="2"/>
      <w:sz w:val="21"/>
      <w:szCs w:val="21"/>
    </w:rPr>
  </w:style>
  <w:style w:type="paragraph" w:customStyle="1" w:styleId="694">
    <w:name w:val="正文文本缩进1"/>
    <w:basedOn w:val="1"/>
    <w:autoRedefine/>
    <w:qFormat/>
    <w:uiPriority w:val="0"/>
    <w:pPr>
      <w:widowControl/>
      <w:adjustRightInd/>
      <w:snapToGrid/>
      <w:spacing w:after="120" w:line="360" w:lineRule="auto"/>
      <w:ind w:left="420" w:leftChars="200"/>
    </w:pPr>
    <w:rPr>
      <w:rFonts w:ascii="Calibri" w:hAnsi="Calibri"/>
      <w:kern w:val="0"/>
      <w:szCs w:val="24"/>
      <w:lang w:val="zh-CN"/>
    </w:rPr>
  </w:style>
  <w:style w:type="character" w:customStyle="1" w:styleId="695">
    <w:name w:val="报告书正文 Char Char"/>
    <w:link w:val="296"/>
    <w:autoRedefine/>
    <w:qFormat/>
    <w:uiPriority w:val="0"/>
    <w:rPr>
      <w:rFonts w:ascii="宋体" w:hAnsi="宋体" w:cs="宋体"/>
      <w:bCs/>
      <w:color w:val="FF0000"/>
      <w:kern w:val="2"/>
      <w:sz w:val="24"/>
      <w:szCs w:val="28"/>
      <w:lang w:val="en-US" w:eastAsia="zh-CN"/>
    </w:rPr>
  </w:style>
  <w:style w:type="paragraph" w:customStyle="1" w:styleId="696">
    <w:name w:val="Char Char61"/>
    <w:basedOn w:val="1"/>
    <w:autoRedefine/>
    <w:qFormat/>
    <w:uiPriority w:val="99"/>
    <w:pPr>
      <w:adjustRightInd/>
      <w:snapToGrid/>
      <w:spacing w:line="240" w:lineRule="auto"/>
      <w:ind w:firstLine="0" w:firstLineChars="0"/>
    </w:pPr>
    <w:rPr>
      <w:rFonts w:eastAsia="仿宋" w:cs="黑体"/>
      <w:sz w:val="21"/>
      <w:szCs w:val="22"/>
    </w:rPr>
  </w:style>
  <w:style w:type="paragraph" w:customStyle="1" w:styleId="697">
    <w:name w:val="3级标题"/>
    <w:basedOn w:val="1"/>
    <w:link w:val="3232"/>
    <w:autoRedefine/>
    <w:qFormat/>
    <w:uiPriority w:val="0"/>
    <w:pPr>
      <w:widowControl/>
      <w:adjustRightInd/>
      <w:spacing w:before="300" w:line="460" w:lineRule="exact"/>
      <w:outlineLvl w:val="2"/>
    </w:pPr>
    <w:rPr>
      <w:rFonts w:ascii="宋体" w:hAnsi="Calibri"/>
      <w:b/>
      <w:kern w:val="0"/>
    </w:rPr>
  </w:style>
  <w:style w:type="paragraph" w:customStyle="1" w:styleId="698">
    <w:name w:val="Char1 Char Char Char"/>
    <w:basedOn w:val="1"/>
    <w:autoRedefine/>
    <w:qFormat/>
    <w:uiPriority w:val="0"/>
    <w:pPr>
      <w:spacing w:line="360" w:lineRule="auto"/>
    </w:pPr>
    <w:rPr>
      <w:rFonts w:ascii="宋体" w:hAnsi="宋体" w:cs="宋体"/>
      <w:szCs w:val="26"/>
    </w:rPr>
  </w:style>
  <w:style w:type="paragraph" w:customStyle="1" w:styleId="699">
    <w:name w:val="正文首行缩进 21"/>
    <w:basedOn w:val="694"/>
    <w:autoRedefine/>
    <w:qFormat/>
    <w:uiPriority w:val="99"/>
    <w:pPr>
      <w:spacing w:line="240" w:lineRule="auto"/>
      <w:ind w:firstLine="420"/>
    </w:pPr>
    <w:rPr>
      <w:lang w:eastAsia="en-US"/>
    </w:rPr>
  </w:style>
  <w:style w:type="paragraph" w:customStyle="1" w:styleId="700">
    <w:name w:val="正文文本缩进 21"/>
    <w:basedOn w:val="1"/>
    <w:autoRedefine/>
    <w:qFormat/>
    <w:uiPriority w:val="0"/>
    <w:pPr>
      <w:widowControl/>
      <w:adjustRightInd/>
      <w:snapToGrid/>
      <w:spacing w:after="120" w:line="480" w:lineRule="auto"/>
      <w:ind w:left="420" w:leftChars="200"/>
    </w:pPr>
    <w:rPr>
      <w:rFonts w:ascii="Calibri" w:hAnsi="Calibri"/>
      <w:kern w:val="0"/>
      <w:lang w:val="zh-CN" w:eastAsia="en-US"/>
    </w:rPr>
  </w:style>
  <w:style w:type="character" w:customStyle="1" w:styleId="701">
    <w:name w:val="电子邮件签名 Char"/>
    <w:link w:val="702"/>
    <w:autoRedefine/>
    <w:qFormat/>
    <w:uiPriority w:val="0"/>
    <w:rPr>
      <w:sz w:val="24"/>
      <w:lang w:eastAsia="en-US"/>
    </w:rPr>
  </w:style>
  <w:style w:type="paragraph" w:customStyle="1" w:styleId="702">
    <w:name w:val="电子邮件签名1"/>
    <w:basedOn w:val="1"/>
    <w:link w:val="701"/>
    <w:autoRedefine/>
    <w:qFormat/>
    <w:uiPriority w:val="99"/>
    <w:pPr>
      <w:widowControl/>
      <w:adjustRightInd/>
      <w:snapToGrid/>
      <w:spacing w:line="440" w:lineRule="exact"/>
    </w:pPr>
    <w:rPr>
      <w:rFonts w:ascii="Calibri" w:hAnsi="Calibri"/>
      <w:kern w:val="0"/>
      <w:lang w:val="zh-CN" w:eastAsia="en-US"/>
    </w:rPr>
  </w:style>
  <w:style w:type="character" w:customStyle="1" w:styleId="703">
    <w:name w:val="明显引用 Char"/>
    <w:link w:val="704"/>
    <w:autoRedefine/>
    <w:qFormat/>
    <w:uiPriority w:val="0"/>
    <w:rPr>
      <w:b/>
      <w:bCs/>
      <w:i/>
      <w:iCs/>
      <w:color w:val="4F81BD"/>
      <w:sz w:val="24"/>
      <w:lang w:eastAsia="en-US"/>
    </w:rPr>
  </w:style>
  <w:style w:type="paragraph" w:customStyle="1" w:styleId="704">
    <w:name w:val="明显引用1"/>
    <w:basedOn w:val="1"/>
    <w:next w:val="1"/>
    <w:link w:val="703"/>
    <w:autoRedefine/>
    <w:qFormat/>
    <w:uiPriority w:val="0"/>
    <w:pPr>
      <w:widowControl/>
      <w:pBdr>
        <w:bottom w:val="single" w:color="4F81BD" w:sz="4" w:space="4"/>
      </w:pBdr>
      <w:adjustRightInd/>
      <w:snapToGrid/>
      <w:spacing w:before="200" w:after="280" w:line="440" w:lineRule="exact"/>
      <w:ind w:left="936" w:right="936"/>
    </w:pPr>
    <w:rPr>
      <w:rFonts w:ascii="Calibri" w:hAnsi="Calibri"/>
      <w:b/>
      <w:bCs/>
      <w:i/>
      <w:iCs/>
      <w:color w:val="4F81BD"/>
      <w:kern w:val="0"/>
      <w:lang w:val="zh-CN" w:eastAsia="en-US"/>
    </w:rPr>
  </w:style>
  <w:style w:type="character" w:customStyle="1" w:styleId="705">
    <w:name w:val="正文首行缩进 Char3"/>
    <w:autoRedefine/>
    <w:qFormat/>
    <w:uiPriority w:val="0"/>
    <w:rPr>
      <w:rFonts w:eastAsia="宋体"/>
      <w:snapToGrid w:val="0"/>
      <w:kern w:val="28"/>
      <w:sz w:val="26"/>
      <w:szCs w:val="26"/>
      <w:lang w:val="en-US" w:eastAsia="zh-CN"/>
    </w:rPr>
  </w:style>
  <w:style w:type="character" w:customStyle="1" w:styleId="706">
    <w:name w:val="宏文本 Char"/>
    <w:link w:val="707"/>
    <w:autoRedefine/>
    <w:qFormat/>
    <w:uiPriority w:val="0"/>
    <w:rPr>
      <w:rFonts w:ascii="Courier New" w:hAnsi="Courier New" w:cs="Courier New"/>
      <w:sz w:val="24"/>
      <w:szCs w:val="24"/>
      <w:lang w:val="en-US" w:eastAsia="zh-CN" w:bidi="ar-SA"/>
    </w:rPr>
  </w:style>
  <w:style w:type="paragraph" w:customStyle="1" w:styleId="707">
    <w:name w:val="宏文本1"/>
    <w:link w:val="706"/>
    <w:autoRedefine/>
    <w:qFormat/>
    <w:uiPriority w:val="9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sz w:val="24"/>
      <w:szCs w:val="24"/>
      <w:lang w:val="en-US" w:eastAsia="zh-CN" w:bidi="ar-SA"/>
    </w:rPr>
  </w:style>
  <w:style w:type="paragraph" w:customStyle="1" w:styleId="708">
    <w:name w:val="文档结构图1"/>
    <w:basedOn w:val="1"/>
    <w:autoRedefine/>
    <w:qFormat/>
    <w:uiPriority w:val="0"/>
    <w:pPr>
      <w:widowControl/>
      <w:adjustRightInd/>
      <w:snapToGrid/>
      <w:spacing w:line="440" w:lineRule="exact"/>
    </w:pPr>
    <w:rPr>
      <w:rFonts w:ascii="宋体" w:hAnsi="Calibri"/>
      <w:kern w:val="0"/>
      <w:sz w:val="18"/>
      <w:szCs w:val="18"/>
      <w:lang w:val="zh-CN" w:eastAsia="en-US"/>
    </w:rPr>
  </w:style>
  <w:style w:type="paragraph" w:customStyle="1" w:styleId="709">
    <w:name w:val="注释标题2"/>
    <w:basedOn w:val="1"/>
    <w:next w:val="1"/>
    <w:autoRedefine/>
    <w:qFormat/>
    <w:uiPriority w:val="99"/>
    <w:pPr>
      <w:adjustRightInd/>
      <w:snapToGrid/>
      <w:spacing w:line="240" w:lineRule="auto"/>
      <w:ind w:firstLine="0" w:firstLineChars="0"/>
      <w:jc w:val="center"/>
    </w:pPr>
    <w:rPr>
      <w:kern w:val="0"/>
      <w:sz w:val="20"/>
      <w:lang w:val="zh-CN"/>
    </w:rPr>
  </w:style>
  <w:style w:type="paragraph" w:customStyle="1" w:styleId="710">
    <w:name w:val="正文文本缩进 31"/>
    <w:basedOn w:val="1"/>
    <w:autoRedefine/>
    <w:qFormat/>
    <w:uiPriority w:val="0"/>
    <w:pPr>
      <w:widowControl/>
      <w:adjustRightInd/>
      <w:snapToGrid/>
      <w:spacing w:before="60" w:after="60" w:line="360" w:lineRule="exact"/>
      <w:ind w:firstLine="480"/>
    </w:pPr>
    <w:rPr>
      <w:rFonts w:ascii="仿宋_GB2312" w:hAnsi="Calibri" w:eastAsia="仿宋_GB2312"/>
      <w:b/>
      <w:bCs/>
      <w:kern w:val="0"/>
      <w:lang w:val="zh-CN"/>
    </w:rPr>
  </w:style>
  <w:style w:type="paragraph" w:customStyle="1" w:styleId="711">
    <w:name w:val="Char Char Char Char Char2 Char5"/>
    <w:basedOn w:val="1"/>
    <w:autoRedefine/>
    <w:qFormat/>
    <w:uiPriority w:val="0"/>
    <w:pPr>
      <w:spacing w:line="360" w:lineRule="auto"/>
    </w:pPr>
    <w:rPr>
      <w:rFonts w:ascii="宋体" w:hAnsi="宋体" w:cs="宋体"/>
      <w:szCs w:val="26"/>
    </w:rPr>
  </w:style>
  <w:style w:type="paragraph" w:customStyle="1" w:styleId="712">
    <w:name w:val="小标题2"/>
    <w:basedOn w:val="1"/>
    <w:autoRedefine/>
    <w:qFormat/>
    <w:uiPriority w:val="0"/>
    <w:pPr>
      <w:adjustRightInd/>
      <w:snapToGrid/>
      <w:spacing w:line="360" w:lineRule="auto"/>
      <w:ind w:firstLine="480"/>
    </w:pPr>
    <w:rPr>
      <w:rFonts w:ascii="宋体" w:hAnsi="宋体"/>
      <w:color w:val="000000"/>
      <w:szCs w:val="24"/>
    </w:rPr>
  </w:style>
  <w:style w:type="character" w:customStyle="1" w:styleId="713">
    <w:name w:val="页眉 Char1"/>
    <w:autoRedefine/>
    <w:qFormat/>
    <w:uiPriority w:val="0"/>
    <w:rPr>
      <w:rFonts w:ascii="Times New Roman" w:hAnsi="Times New Roman"/>
      <w:kern w:val="2"/>
      <w:sz w:val="18"/>
      <w:szCs w:val="18"/>
    </w:rPr>
  </w:style>
  <w:style w:type="paragraph" w:customStyle="1" w:styleId="714">
    <w:name w:val="日期2"/>
    <w:basedOn w:val="1"/>
    <w:next w:val="1"/>
    <w:autoRedefine/>
    <w:qFormat/>
    <w:uiPriority w:val="0"/>
    <w:pPr>
      <w:widowControl/>
      <w:adjustRightInd/>
      <w:snapToGrid/>
      <w:spacing w:line="460" w:lineRule="exact"/>
      <w:ind w:left="100" w:leftChars="2500"/>
    </w:pPr>
    <w:rPr>
      <w:rFonts w:ascii="Calibri" w:hAnsi="Calibri"/>
      <w:kern w:val="0"/>
      <w:sz w:val="26"/>
      <w:lang w:val="zh-CN" w:eastAsia="en-US"/>
    </w:rPr>
  </w:style>
  <w:style w:type="character" w:customStyle="1" w:styleId="715">
    <w:name w:val="正文文本缩进 Char2"/>
    <w:autoRedefine/>
    <w:qFormat/>
    <w:uiPriority w:val="0"/>
    <w:rPr>
      <w:rFonts w:ascii="Calibri" w:hAnsi="Calibri" w:eastAsia="宋体" w:cs="Times New Roman"/>
      <w:kern w:val="0"/>
      <w:sz w:val="24"/>
      <w:lang w:eastAsia="en-US"/>
    </w:rPr>
  </w:style>
  <w:style w:type="character" w:customStyle="1" w:styleId="716">
    <w:name w:val="称呼 Char"/>
    <w:link w:val="717"/>
    <w:autoRedefine/>
    <w:qFormat/>
    <w:uiPriority w:val="0"/>
    <w:rPr>
      <w:rFonts w:ascii="宋体" w:hAnsi="宋体" w:cs="宋体"/>
      <w:sz w:val="24"/>
      <w:lang w:eastAsia="en-US"/>
    </w:rPr>
  </w:style>
  <w:style w:type="paragraph" w:customStyle="1" w:styleId="717">
    <w:name w:val="称呼1"/>
    <w:basedOn w:val="1"/>
    <w:link w:val="716"/>
    <w:autoRedefine/>
    <w:qFormat/>
    <w:uiPriority w:val="99"/>
    <w:pPr>
      <w:widowControl/>
      <w:adjustRightInd/>
      <w:snapToGrid/>
      <w:spacing w:before="100" w:beforeAutospacing="1" w:after="100" w:afterAutospacing="1" w:line="440" w:lineRule="exact"/>
    </w:pPr>
    <w:rPr>
      <w:rFonts w:ascii="宋体" w:hAnsi="宋体"/>
      <w:kern w:val="0"/>
      <w:lang w:val="zh-CN" w:eastAsia="en-US"/>
    </w:rPr>
  </w:style>
  <w:style w:type="paragraph" w:customStyle="1" w:styleId="718">
    <w:name w:val="批注主题1"/>
    <w:basedOn w:val="28"/>
    <w:next w:val="28"/>
    <w:autoRedefine/>
    <w:qFormat/>
    <w:uiPriority w:val="99"/>
    <w:pPr>
      <w:widowControl/>
      <w:adjustRightInd/>
      <w:snapToGrid/>
      <w:spacing w:line="360" w:lineRule="auto"/>
      <w:jc w:val="both"/>
    </w:pPr>
    <w:rPr>
      <w:rFonts w:ascii="Calibri" w:hAnsi="Calibri"/>
      <w:b/>
      <w:bCs/>
      <w:lang w:eastAsia="en-US"/>
    </w:rPr>
  </w:style>
  <w:style w:type="paragraph" w:customStyle="1" w:styleId="719">
    <w:name w:val="样式 纯文本表内文字 + 楷体_GB2312 左"/>
    <w:basedOn w:val="1"/>
    <w:autoRedefine/>
    <w:qFormat/>
    <w:uiPriority w:val="0"/>
    <w:pPr>
      <w:tabs>
        <w:tab w:val="left" w:pos="1350"/>
      </w:tabs>
      <w:autoSpaceDE w:val="0"/>
      <w:autoSpaceDN w:val="0"/>
      <w:spacing w:line="320" w:lineRule="exact"/>
      <w:ind w:firstLine="0" w:firstLineChars="0"/>
      <w:jc w:val="left"/>
    </w:pPr>
    <w:rPr>
      <w:rFonts w:ascii="Arial" w:hAnsi="Arial" w:eastAsia="楷体_GB2312"/>
      <w:sz w:val="21"/>
    </w:rPr>
  </w:style>
  <w:style w:type="character" w:customStyle="1" w:styleId="720">
    <w:name w:val="页脚 Char1"/>
    <w:autoRedefine/>
    <w:qFormat/>
    <w:uiPriority w:val="99"/>
    <w:rPr>
      <w:rFonts w:ascii="Times New Roman" w:hAnsi="Times New Roman"/>
      <w:kern w:val="2"/>
      <w:sz w:val="18"/>
      <w:szCs w:val="18"/>
    </w:rPr>
  </w:style>
  <w:style w:type="paragraph" w:customStyle="1" w:styleId="721">
    <w:name w:val="HTML 预设格式1"/>
    <w:basedOn w:val="1"/>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line="440" w:lineRule="exact"/>
    </w:pPr>
    <w:rPr>
      <w:rFonts w:ascii="宋体" w:hAnsi="宋体"/>
      <w:kern w:val="0"/>
      <w:lang w:val="zh-CN" w:eastAsia="en-US"/>
    </w:rPr>
  </w:style>
  <w:style w:type="character" w:customStyle="1" w:styleId="722">
    <w:name w:val="脚注文本 字符"/>
    <w:link w:val="67"/>
    <w:autoRedefine/>
    <w:qFormat/>
    <w:uiPriority w:val="0"/>
    <w:rPr>
      <w:sz w:val="18"/>
      <w:szCs w:val="18"/>
      <w:lang w:eastAsia="en-US"/>
    </w:rPr>
  </w:style>
  <w:style w:type="character" w:customStyle="1" w:styleId="723">
    <w:name w:val="脚注文本 Char1"/>
    <w:autoRedefine/>
    <w:semiHidden/>
    <w:qFormat/>
    <w:uiPriority w:val="99"/>
    <w:rPr>
      <w:rFonts w:ascii="Times New Roman" w:hAnsi="Times New Roman"/>
      <w:kern w:val="2"/>
      <w:sz w:val="18"/>
      <w:szCs w:val="18"/>
    </w:rPr>
  </w:style>
  <w:style w:type="paragraph" w:customStyle="1" w:styleId="724">
    <w:name w:val="正文文本 31"/>
    <w:basedOn w:val="1"/>
    <w:autoRedefine/>
    <w:qFormat/>
    <w:uiPriority w:val="99"/>
    <w:pPr>
      <w:widowControl/>
      <w:adjustRightInd/>
      <w:snapToGrid/>
      <w:spacing w:before="60" w:after="60" w:line="440" w:lineRule="exact"/>
    </w:pPr>
    <w:rPr>
      <w:rFonts w:ascii="Calibri" w:hAnsi="Calibri" w:eastAsia="仿宋_GB2312"/>
      <w:bCs/>
      <w:kern w:val="0"/>
      <w:lang w:eastAsia="en-US"/>
    </w:rPr>
  </w:style>
  <w:style w:type="paragraph" w:customStyle="1" w:styleId="725">
    <w:name w:val="正文缩进3"/>
    <w:basedOn w:val="1"/>
    <w:autoRedefine/>
    <w:qFormat/>
    <w:uiPriority w:val="99"/>
    <w:pPr>
      <w:widowControl/>
      <w:adjustRightInd/>
      <w:snapToGrid/>
      <w:spacing w:before="60" w:after="60" w:line="360" w:lineRule="exact"/>
      <w:ind w:firstLine="420"/>
    </w:pPr>
    <w:rPr>
      <w:rFonts w:ascii="Calibri" w:hAnsi="Calibri" w:eastAsia="仿宋_GB2312"/>
      <w:bCs/>
      <w:kern w:val="0"/>
      <w:lang w:val="zh-CN"/>
    </w:rPr>
  </w:style>
  <w:style w:type="character" w:customStyle="1" w:styleId="726">
    <w:name w:val="纯文本 Char4"/>
    <w:autoRedefine/>
    <w:qFormat/>
    <w:uiPriority w:val="0"/>
    <w:rPr>
      <w:rFonts w:ascii="宋体" w:hAnsi="Courier New" w:eastAsia="宋体" w:cs="Courier New"/>
      <w:kern w:val="2"/>
      <w:sz w:val="21"/>
      <w:szCs w:val="21"/>
      <w:lang w:val="en-US" w:eastAsia="zh-CN"/>
    </w:rPr>
  </w:style>
  <w:style w:type="character" w:customStyle="1" w:styleId="727">
    <w:name w:val="!正文(alt+c) Char Char"/>
    <w:link w:val="728"/>
    <w:autoRedefine/>
    <w:qFormat/>
    <w:uiPriority w:val="0"/>
    <w:rPr>
      <w:szCs w:val="21"/>
      <w:lang w:val="en-US" w:eastAsia="zh-CN" w:bidi="ar-SA"/>
    </w:rPr>
  </w:style>
  <w:style w:type="paragraph" w:customStyle="1" w:styleId="728">
    <w:name w:val="!正文(alt+c)"/>
    <w:link w:val="727"/>
    <w:autoRedefine/>
    <w:qFormat/>
    <w:uiPriority w:val="0"/>
    <w:pPr>
      <w:adjustRightInd w:val="0"/>
      <w:snapToGrid w:val="0"/>
      <w:spacing w:after="200" w:line="360" w:lineRule="auto"/>
      <w:ind w:firstLine="420" w:firstLineChars="200"/>
    </w:pPr>
    <w:rPr>
      <w:rFonts w:ascii="Calibri" w:hAnsi="Calibri" w:eastAsia="宋体" w:cs="Times New Roman"/>
      <w:szCs w:val="21"/>
      <w:lang w:val="en-US" w:eastAsia="zh-CN" w:bidi="ar-SA"/>
    </w:rPr>
  </w:style>
  <w:style w:type="character" w:customStyle="1" w:styleId="729">
    <w:name w:val="样式8 Char Char"/>
    <w:link w:val="730"/>
    <w:autoRedefine/>
    <w:qFormat/>
    <w:uiPriority w:val="0"/>
    <w:rPr>
      <w:bCs/>
      <w:snapToGrid w:val="0"/>
      <w:sz w:val="26"/>
      <w:szCs w:val="26"/>
    </w:rPr>
  </w:style>
  <w:style w:type="paragraph" w:customStyle="1" w:styleId="730">
    <w:name w:val="样式8"/>
    <w:basedOn w:val="1"/>
    <w:link w:val="729"/>
    <w:autoRedefine/>
    <w:qFormat/>
    <w:uiPriority w:val="0"/>
    <w:pPr>
      <w:widowControl/>
      <w:adjustRightInd/>
      <w:snapToGrid/>
      <w:ind w:firstLine="522"/>
    </w:pPr>
    <w:rPr>
      <w:rFonts w:ascii="Calibri" w:hAnsi="Calibri"/>
      <w:bCs/>
      <w:snapToGrid w:val="0"/>
      <w:kern w:val="0"/>
      <w:sz w:val="26"/>
      <w:szCs w:val="26"/>
      <w:lang w:val="zh-CN"/>
    </w:rPr>
  </w:style>
  <w:style w:type="character" w:customStyle="1" w:styleId="731">
    <w:name w:val="正文首行缩进 2 + Times New Roman Char1"/>
    <w:link w:val="732"/>
    <w:autoRedefine/>
    <w:qFormat/>
    <w:uiPriority w:val="0"/>
    <w:rPr>
      <w:sz w:val="24"/>
      <w:szCs w:val="24"/>
    </w:rPr>
  </w:style>
  <w:style w:type="paragraph" w:customStyle="1" w:styleId="732">
    <w:name w:val="正文首行缩进 2 + Times New Roman"/>
    <w:basedOn w:val="1"/>
    <w:link w:val="731"/>
    <w:autoRedefine/>
    <w:qFormat/>
    <w:uiPriority w:val="0"/>
    <w:pPr>
      <w:autoSpaceDE w:val="0"/>
      <w:autoSpaceDN w:val="0"/>
      <w:spacing w:line="360" w:lineRule="auto"/>
    </w:pPr>
    <w:rPr>
      <w:rFonts w:ascii="Calibri" w:hAnsi="Calibri"/>
      <w:kern w:val="0"/>
      <w:szCs w:val="24"/>
      <w:lang w:val="zh-CN"/>
    </w:rPr>
  </w:style>
  <w:style w:type="character" w:customStyle="1" w:styleId="733">
    <w:name w:val="con1"/>
    <w:autoRedefine/>
    <w:qFormat/>
    <w:uiPriority w:val="0"/>
    <w:rPr>
      <w:rFonts w:hint="eastAsia" w:ascii="宋体" w:hAnsi="宋体" w:eastAsia="宋体"/>
      <w:color w:val="666666"/>
      <w:sz w:val="18"/>
      <w:szCs w:val="18"/>
      <w:u w:val="none"/>
    </w:rPr>
  </w:style>
  <w:style w:type="character" w:customStyle="1" w:styleId="734">
    <w:name w:val="样式 标题 2 + Times New Roman Char Char Char Char"/>
    <w:link w:val="735"/>
    <w:autoRedefine/>
    <w:qFormat/>
    <w:uiPriority w:val="0"/>
    <w:rPr>
      <w:rFonts w:eastAsia="华文中宋"/>
      <w:b/>
      <w:bCs/>
      <w:sz w:val="26"/>
      <w:szCs w:val="32"/>
    </w:rPr>
  </w:style>
  <w:style w:type="paragraph" w:customStyle="1" w:styleId="735">
    <w:name w:val="样式 标题 2 + Times New Roman Char Char"/>
    <w:basedOn w:val="4"/>
    <w:link w:val="734"/>
    <w:autoRedefine/>
    <w:qFormat/>
    <w:uiPriority w:val="99"/>
    <w:pPr>
      <w:keepNext w:val="0"/>
      <w:keepLines w:val="0"/>
      <w:widowControl/>
      <w:numPr>
        <w:ilvl w:val="0"/>
        <w:numId w:val="0"/>
      </w:numPr>
      <w:tabs>
        <w:tab w:val="left" w:pos="4990"/>
      </w:tabs>
      <w:spacing w:line="360" w:lineRule="auto"/>
      <w:ind w:left="431" w:firstLine="512" w:firstLineChars="196"/>
    </w:pPr>
    <w:rPr>
      <w:rFonts w:ascii="Calibri" w:hAnsi="Calibri" w:eastAsia="华文中宋"/>
      <w:kern w:val="0"/>
      <w:sz w:val="26"/>
    </w:rPr>
  </w:style>
  <w:style w:type="character" w:customStyle="1" w:styleId="736">
    <w:name w:val="普 Char Char"/>
    <w:autoRedefine/>
    <w:qFormat/>
    <w:uiPriority w:val="0"/>
    <w:rPr>
      <w:rFonts w:ascii="宋体" w:hAnsi="Courier New" w:eastAsia="宋体"/>
      <w:kern w:val="44"/>
      <w:sz w:val="21"/>
      <w:lang w:val="en-US" w:eastAsia="zh-CN"/>
    </w:rPr>
  </w:style>
  <w:style w:type="character" w:customStyle="1" w:styleId="737">
    <w:name w:val="t_tag"/>
    <w:autoRedefine/>
    <w:qFormat/>
    <w:uiPriority w:val="0"/>
  </w:style>
  <w:style w:type="character" w:customStyle="1" w:styleId="738">
    <w:name w:val="ourfont"/>
    <w:autoRedefine/>
    <w:qFormat/>
    <w:uiPriority w:val="0"/>
  </w:style>
  <w:style w:type="character" w:customStyle="1" w:styleId="739">
    <w:name w:val="明显强调1"/>
    <w:autoRedefine/>
    <w:qFormat/>
    <w:uiPriority w:val="0"/>
    <w:rPr>
      <w:b/>
      <w:bCs/>
      <w:i/>
      <w:iCs/>
      <w:color w:val="4F81BD"/>
    </w:rPr>
  </w:style>
  <w:style w:type="character" w:customStyle="1" w:styleId="740">
    <w:name w:val="表头排版 Char Char"/>
    <w:link w:val="741"/>
    <w:autoRedefine/>
    <w:qFormat/>
    <w:uiPriority w:val="0"/>
    <w:rPr>
      <w:sz w:val="26"/>
      <w:szCs w:val="21"/>
    </w:rPr>
  </w:style>
  <w:style w:type="paragraph" w:customStyle="1" w:styleId="741">
    <w:name w:val="表头排版"/>
    <w:basedOn w:val="1"/>
    <w:link w:val="740"/>
    <w:autoRedefine/>
    <w:qFormat/>
    <w:uiPriority w:val="99"/>
    <w:pPr>
      <w:widowControl/>
      <w:adjustRightInd/>
      <w:snapToGrid/>
      <w:spacing w:line="440" w:lineRule="exact"/>
      <w:jc w:val="right"/>
    </w:pPr>
    <w:rPr>
      <w:rFonts w:ascii="Calibri" w:hAnsi="Calibri"/>
      <w:kern w:val="0"/>
      <w:sz w:val="26"/>
      <w:szCs w:val="21"/>
      <w:lang w:val="zh-CN"/>
    </w:rPr>
  </w:style>
  <w:style w:type="character" w:customStyle="1" w:styleId="742">
    <w:name w:val="书籍标题1"/>
    <w:autoRedefine/>
    <w:qFormat/>
    <w:uiPriority w:val="0"/>
    <w:rPr>
      <w:b/>
      <w:bCs/>
      <w:smallCaps/>
      <w:spacing w:val="5"/>
    </w:rPr>
  </w:style>
  <w:style w:type="character" w:customStyle="1" w:styleId="743">
    <w:name w:val="unnamed1"/>
    <w:autoRedefine/>
    <w:qFormat/>
    <w:uiPriority w:val="0"/>
  </w:style>
  <w:style w:type="character" w:customStyle="1" w:styleId="744">
    <w:name w:val="君邦正文 Char2"/>
    <w:link w:val="745"/>
    <w:autoRedefine/>
    <w:qFormat/>
    <w:uiPriority w:val="0"/>
    <w:rPr>
      <w:bCs/>
      <w:snapToGrid w:val="0"/>
      <w:sz w:val="24"/>
      <w:lang w:val="en-US" w:eastAsia="zh-CN" w:bidi="ar-SA"/>
    </w:rPr>
  </w:style>
  <w:style w:type="paragraph" w:customStyle="1" w:styleId="745">
    <w:name w:val="君邦正文"/>
    <w:link w:val="744"/>
    <w:autoRedefine/>
    <w:qFormat/>
    <w:uiPriority w:val="0"/>
    <w:pPr>
      <w:spacing w:after="60" w:line="360" w:lineRule="auto"/>
      <w:ind w:firstLine="480" w:firstLineChars="200"/>
      <w:jc w:val="both"/>
    </w:pPr>
    <w:rPr>
      <w:rFonts w:ascii="Calibri" w:hAnsi="Calibri" w:eastAsia="宋体" w:cs="Times New Roman"/>
      <w:bCs/>
      <w:snapToGrid w:val="0"/>
      <w:sz w:val="24"/>
      <w:lang w:val="en-US" w:eastAsia="zh-CN" w:bidi="ar-SA"/>
    </w:rPr>
  </w:style>
  <w:style w:type="character" w:customStyle="1" w:styleId="746">
    <w:name w:val="Char Char20"/>
    <w:autoRedefine/>
    <w:qFormat/>
    <w:uiPriority w:val="0"/>
    <w:rPr>
      <w:rFonts w:eastAsia="华文中宋"/>
      <w:b/>
      <w:bCs/>
      <w:kern w:val="2"/>
      <w:sz w:val="32"/>
      <w:szCs w:val="28"/>
      <w:lang w:val="en-US" w:eastAsia="zh-CN"/>
    </w:rPr>
  </w:style>
  <w:style w:type="character" w:customStyle="1" w:styleId="747">
    <w:name w:val="大节标题 Char"/>
    <w:autoRedefine/>
    <w:qFormat/>
    <w:uiPriority w:val="0"/>
    <w:rPr>
      <w:rFonts w:eastAsia="黑体"/>
      <w:b/>
      <w:bCs/>
      <w:kern w:val="2"/>
      <w:sz w:val="24"/>
      <w:szCs w:val="32"/>
      <w:lang w:val="en-US" w:eastAsia="zh-CN"/>
    </w:rPr>
  </w:style>
  <w:style w:type="character" w:customStyle="1" w:styleId="748">
    <w:name w:val="样式5 Char Char"/>
    <w:link w:val="512"/>
    <w:autoRedefine/>
    <w:qFormat/>
    <w:uiPriority w:val="0"/>
    <w:rPr>
      <w:rFonts w:ascii="Times New Roman" w:hAnsi="Times New Roman"/>
      <w:bCs/>
      <w:kern w:val="2"/>
      <w:sz w:val="26"/>
      <w:szCs w:val="26"/>
    </w:rPr>
  </w:style>
  <w:style w:type="character" w:customStyle="1" w:styleId="749">
    <w:name w:val="样式 (中文) 仿宋_GB2312 小四 行距: 1.5 倍行距 Char Char Char"/>
    <w:autoRedefine/>
    <w:qFormat/>
    <w:uiPriority w:val="0"/>
    <w:rPr>
      <w:rFonts w:eastAsia="仿宋_GB2312" w:cs="宋体"/>
      <w:sz w:val="24"/>
      <w:szCs w:val="24"/>
    </w:rPr>
  </w:style>
  <w:style w:type="character" w:customStyle="1" w:styleId="750">
    <w:name w:val="44标题4 Char Char"/>
    <w:autoRedefine/>
    <w:qFormat/>
    <w:uiPriority w:val="0"/>
    <w:rPr>
      <w:rFonts w:eastAsia="宋体"/>
      <w:b/>
      <w:bCs/>
      <w:kern w:val="44"/>
      <w:sz w:val="30"/>
      <w:szCs w:val="44"/>
      <w:lang w:val="en-US" w:eastAsia="zh-CN"/>
    </w:rPr>
  </w:style>
  <w:style w:type="character" w:customStyle="1" w:styleId="751">
    <w:name w:val="标题 2 Char Char"/>
    <w:autoRedefine/>
    <w:qFormat/>
    <w:uiPriority w:val="0"/>
    <w:rPr>
      <w:rFonts w:ascii="Arial" w:hAnsi="Arial" w:eastAsia="黑体"/>
      <w:bCs/>
      <w:kern w:val="2"/>
      <w:sz w:val="28"/>
      <w:szCs w:val="32"/>
      <w:lang w:val="en-US" w:eastAsia="zh-CN"/>
    </w:rPr>
  </w:style>
  <w:style w:type="character" w:customStyle="1" w:styleId="752">
    <w:name w:val="明显参考1"/>
    <w:autoRedefine/>
    <w:qFormat/>
    <w:uiPriority w:val="0"/>
    <w:rPr>
      <w:b/>
      <w:bCs/>
      <w:smallCaps/>
      <w:color w:val="C0504D"/>
      <w:spacing w:val="5"/>
      <w:u w:val="single"/>
    </w:rPr>
  </w:style>
  <w:style w:type="character" w:customStyle="1" w:styleId="753">
    <w:name w:val="正文缩进 Char Char Char Char Char Char"/>
    <w:autoRedefine/>
    <w:qFormat/>
    <w:uiPriority w:val="0"/>
    <w:rPr>
      <w:rFonts w:ascii="宋体" w:hAnsi="宋体" w:eastAsia="宋体"/>
      <w:kern w:val="2"/>
      <w:sz w:val="24"/>
      <w:lang w:val="en-US" w:eastAsia="zh-CN"/>
    </w:rPr>
  </w:style>
  <w:style w:type="character" w:customStyle="1" w:styleId="754">
    <w:name w:val="stylenew1"/>
    <w:autoRedefine/>
    <w:qFormat/>
    <w:uiPriority w:val="0"/>
    <w:rPr>
      <w:rFonts w:hint="default" w:ascii="Verdana" w:hAnsi="Verdana"/>
      <w:sz w:val="22"/>
      <w:szCs w:val="22"/>
    </w:rPr>
  </w:style>
  <w:style w:type="character" w:customStyle="1" w:styleId="755">
    <w:name w:val="16"/>
    <w:autoRedefine/>
    <w:qFormat/>
    <w:uiPriority w:val="0"/>
    <w:rPr>
      <w:rFonts w:hint="eastAsia" w:ascii="仿宋体" w:hAnsi="仿宋体" w:eastAsia="仿宋体"/>
      <w:sz w:val="21"/>
      <w:szCs w:val="21"/>
    </w:rPr>
  </w:style>
  <w:style w:type="character" w:customStyle="1" w:styleId="756">
    <w:name w:val="样式 宋体 加粗"/>
    <w:autoRedefine/>
    <w:qFormat/>
    <w:uiPriority w:val="0"/>
    <w:rPr>
      <w:rFonts w:ascii="Times New Roman" w:hAnsi="Times New Roman" w:eastAsia="宋体"/>
      <w:b/>
      <w:bCs/>
    </w:rPr>
  </w:style>
  <w:style w:type="character" w:customStyle="1" w:styleId="757">
    <w:name w:val="样式10 Char Char"/>
    <w:link w:val="758"/>
    <w:autoRedefine/>
    <w:qFormat/>
    <w:uiPriority w:val="0"/>
    <w:rPr>
      <w:bCs/>
      <w:sz w:val="26"/>
      <w:szCs w:val="26"/>
    </w:rPr>
  </w:style>
  <w:style w:type="paragraph" w:customStyle="1" w:styleId="758">
    <w:name w:val="样式10"/>
    <w:basedOn w:val="759"/>
    <w:link w:val="757"/>
    <w:autoRedefine/>
    <w:qFormat/>
    <w:uiPriority w:val="0"/>
    <w:pPr>
      <w:tabs>
        <w:tab w:val="center" w:pos="9648"/>
        <w:tab w:val="right" w:pos="19440"/>
      </w:tabs>
      <w:adjustRightInd w:val="0"/>
      <w:snapToGrid w:val="0"/>
      <w:spacing w:line="240" w:lineRule="auto"/>
      <w:ind w:firstLine="520"/>
    </w:pPr>
    <w:rPr>
      <w:b w:val="0"/>
      <w:bCs/>
      <w:sz w:val="26"/>
      <w:szCs w:val="26"/>
    </w:rPr>
  </w:style>
  <w:style w:type="paragraph" w:customStyle="1" w:styleId="759">
    <w:name w:val="样式6"/>
    <w:basedOn w:val="512"/>
    <w:link w:val="760"/>
    <w:autoRedefine/>
    <w:qFormat/>
    <w:uiPriority w:val="0"/>
    <w:pPr>
      <w:widowControl/>
      <w:tabs>
        <w:tab w:val="center" w:pos="9648"/>
        <w:tab w:val="right" w:pos="19440"/>
      </w:tabs>
      <w:adjustRightInd/>
      <w:snapToGrid/>
      <w:spacing w:beforeLines="0" w:line="480" w:lineRule="atLeast"/>
      <w:ind w:firstLine="200" w:firstLineChars="200"/>
      <w:jc w:val="both"/>
      <w:outlineLvl w:val="9"/>
    </w:pPr>
    <w:rPr>
      <w:rFonts w:ascii="Calibri" w:hAnsi="Calibri"/>
      <w:b/>
      <w:bCs w:val="0"/>
      <w:kern w:val="0"/>
      <w:sz w:val="24"/>
      <w:szCs w:val="24"/>
    </w:rPr>
  </w:style>
  <w:style w:type="character" w:customStyle="1" w:styleId="760">
    <w:name w:val="样式6 Char Char"/>
    <w:link w:val="759"/>
    <w:autoRedefine/>
    <w:qFormat/>
    <w:uiPriority w:val="0"/>
    <w:rPr>
      <w:b/>
      <w:sz w:val="24"/>
      <w:szCs w:val="24"/>
      <w:lang w:val="zh-CN" w:eastAsia="zh-CN"/>
    </w:rPr>
  </w:style>
  <w:style w:type="character" w:customStyle="1" w:styleId="761">
    <w:name w:val="style1"/>
    <w:autoRedefine/>
    <w:qFormat/>
    <w:uiPriority w:val="0"/>
  </w:style>
  <w:style w:type="character" w:customStyle="1" w:styleId="762">
    <w:name w:val="txt"/>
    <w:autoRedefine/>
    <w:qFormat/>
    <w:uiPriority w:val="0"/>
  </w:style>
  <w:style w:type="character" w:customStyle="1" w:styleId="763">
    <w:name w:val="批注引用1"/>
    <w:autoRedefine/>
    <w:qFormat/>
    <w:uiPriority w:val="0"/>
    <w:rPr>
      <w:sz w:val="21"/>
      <w:szCs w:val="21"/>
    </w:rPr>
  </w:style>
  <w:style w:type="character" w:customStyle="1" w:styleId="764">
    <w:name w:val="页码1"/>
    <w:autoRedefine/>
    <w:qFormat/>
    <w:uiPriority w:val="0"/>
  </w:style>
  <w:style w:type="character" w:customStyle="1" w:styleId="765">
    <w:name w:val="纯文本 Char3"/>
    <w:autoRedefine/>
    <w:qFormat/>
    <w:uiPriority w:val="0"/>
    <w:rPr>
      <w:rFonts w:ascii="宋体" w:hAnsi="Courier New" w:eastAsia="宋体" w:cs="Courier New"/>
      <w:kern w:val="0"/>
      <w:szCs w:val="21"/>
      <w:lang w:eastAsia="en-US"/>
    </w:rPr>
  </w:style>
  <w:style w:type="character" w:customStyle="1" w:styleId="766">
    <w:name w:val="HTML 打字机1"/>
    <w:autoRedefine/>
    <w:qFormat/>
    <w:uiPriority w:val="0"/>
    <w:rPr>
      <w:rFonts w:ascii="宋体" w:hAnsi="宋体" w:eastAsia="宋体" w:cs="宋体"/>
      <w:sz w:val="18"/>
      <w:szCs w:val="18"/>
    </w:rPr>
  </w:style>
  <w:style w:type="character" w:customStyle="1" w:styleId="767">
    <w:name w:val="cs14"/>
    <w:autoRedefine/>
    <w:qFormat/>
    <w:uiPriority w:val="0"/>
  </w:style>
  <w:style w:type="character" w:customStyle="1" w:styleId="768">
    <w:name w:val="表头 Char2"/>
    <w:autoRedefine/>
    <w:qFormat/>
    <w:uiPriority w:val="0"/>
    <w:rPr>
      <w:rFonts w:ascii="黑体" w:eastAsia="黑体"/>
      <w:bCs/>
      <w:kern w:val="2"/>
      <w:sz w:val="24"/>
      <w:szCs w:val="24"/>
      <w:lang w:val="en-US" w:eastAsia="zh-CN"/>
    </w:rPr>
  </w:style>
  <w:style w:type="character" w:customStyle="1" w:styleId="769">
    <w:name w:val="标题 2- Char Char"/>
    <w:link w:val="770"/>
    <w:autoRedefine/>
    <w:qFormat/>
    <w:uiPriority w:val="0"/>
    <w:rPr>
      <w:rFonts w:ascii="Arial" w:hAnsi="Arial" w:eastAsia="华文中宋"/>
      <w:b/>
      <w:sz w:val="32"/>
      <w:szCs w:val="24"/>
    </w:rPr>
  </w:style>
  <w:style w:type="paragraph" w:customStyle="1" w:styleId="770">
    <w:name w:val="标题 2-"/>
    <w:basedOn w:val="4"/>
    <w:link w:val="769"/>
    <w:autoRedefine/>
    <w:qFormat/>
    <w:uiPriority w:val="99"/>
    <w:pPr>
      <w:widowControl/>
      <w:numPr>
        <w:ilvl w:val="0"/>
        <w:numId w:val="0"/>
      </w:numPr>
      <w:spacing w:beforeLines="100" w:line="480" w:lineRule="auto"/>
      <w:ind w:left="431"/>
    </w:pPr>
    <w:rPr>
      <w:rFonts w:ascii="Arial" w:hAnsi="Arial" w:eastAsia="华文中宋"/>
      <w:bCs w:val="0"/>
      <w:kern w:val="0"/>
      <w:sz w:val="32"/>
      <w:szCs w:val="24"/>
    </w:rPr>
  </w:style>
  <w:style w:type="character" w:customStyle="1" w:styleId="771">
    <w:name w:val="fs12"/>
    <w:autoRedefine/>
    <w:qFormat/>
    <w:uiPriority w:val="0"/>
  </w:style>
  <w:style w:type="character" w:customStyle="1" w:styleId="772">
    <w:name w:val="样式1 Char Char"/>
    <w:autoRedefine/>
    <w:qFormat/>
    <w:uiPriority w:val="0"/>
    <w:rPr>
      <w:rFonts w:ascii="仿宋_GB2312" w:hAnsi="Times New Roman"/>
      <w:kern w:val="2"/>
      <w:sz w:val="21"/>
      <w:szCs w:val="21"/>
    </w:rPr>
  </w:style>
  <w:style w:type="character" w:customStyle="1" w:styleId="773">
    <w:name w:val="txtbreak"/>
    <w:autoRedefine/>
    <w:qFormat/>
    <w:uiPriority w:val="0"/>
  </w:style>
  <w:style w:type="character" w:customStyle="1" w:styleId="774">
    <w:name w:val="文本_hunqiu Char Char"/>
    <w:link w:val="775"/>
    <w:autoRedefine/>
    <w:qFormat/>
    <w:uiPriority w:val="0"/>
    <w:rPr>
      <w:rFonts w:cs="宋体"/>
      <w:color w:val="000000"/>
      <w:sz w:val="28"/>
    </w:rPr>
  </w:style>
  <w:style w:type="paragraph" w:customStyle="1" w:styleId="775">
    <w:name w:val="文本_hunqiu"/>
    <w:basedOn w:val="1"/>
    <w:link w:val="774"/>
    <w:autoRedefine/>
    <w:qFormat/>
    <w:uiPriority w:val="99"/>
    <w:pPr>
      <w:widowControl/>
      <w:adjustRightInd/>
      <w:snapToGrid/>
      <w:spacing w:line="360" w:lineRule="auto"/>
      <w:ind w:firstLine="560"/>
    </w:pPr>
    <w:rPr>
      <w:rFonts w:ascii="Calibri" w:hAnsi="Calibri"/>
      <w:color w:val="000000"/>
      <w:kern w:val="0"/>
      <w:sz w:val="28"/>
      <w:lang w:val="zh-CN"/>
    </w:rPr>
  </w:style>
  <w:style w:type="character" w:customStyle="1" w:styleId="776">
    <w:name w:val="表格数字 Char Char"/>
    <w:link w:val="777"/>
    <w:autoRedefine/>
    <w:qFormat/>
    <w:uiPriority w:val="0"/>
    <w:rPr>
      <w:rFonts w:ascii="Arial" w:hAnsi="Arial" w:cs="宋体"/>
    </w:rPr>
  </w:style>
  <w:style w:type="paragraph" w:customStyle="1" w:styleId="777">
    <w:name w:val="表格数字"/>
    <w:basedOn w:val="1"/>
    <w:link w:val="776"/>
    <w:autoRedefine/>
    <w:qFormat/>
    <w:uiPriority w:val="99"/>
    <w:pPr>
      <w:widowControl/>
      <w:adjustRightInd/>
      <w:snapToGrid/>
      <w:spacing w:line="360" w:lineRule="exact"/>
      <w:jc w:val="center"/>
    </w:pPr>
    <w:rPr>
      <w:rFonts w:ascii="Arial" w:hAnsi="Arial"/>
      <w:kern w:val="0"/>
      <w:sz w:val="20"/>
      <w:lang w:val="zh-CN"/>
    </w:rPr>
  </w:style>
  <w:style w:type="character" w:customStyle="1" w:styleId="778">
    <w:name w:val="样式2 Char Char Char Char"/>
    <w:autoRedefine/>
    <w:qFormat/>
    <w:uiPriority w:val="0"/>
    <w:rPr>
      <w:rFonts w:eastAsia="楷体_GB2312"/>
      <w:sz w:val="26"/>
      <w:szCs w:val="26"/>
    </w:rPr>
  </w:style>
  <w:style w:type="character" w:customStyle="1" w:styleId="779">
    <w:name w:val="文本_zxj Char Char"/>
    <w:link w:val="780"/>
    <w:autoRedefine/>
    <w:qFormat/>
    <w:uiPriority w:val="0"/>
    <w:rPr>
      <w:rFonts w:cs="宋体"/>
      <w:sz w:val="28"/>
    </w:rPr>
  </w:style>
  <w:style w:type="paragraph" w:customStyle="1" w:styleId="780">
    <w:name w:val="文本_zxj"/>
    <w:basedOn w:val="1"/>
    <w:link w:val="779"/>
    <w:autoRedefine/>
    <w:qFormat/>
    <w:uiPriority w:val="99"/>
    <w:pPr>
      <w:widowControl/>
      <w:adjustRightInd/>
      <w:snapToGrid/>
      <w:spacing w:line="360" w:lineRule="auto"/>
      <w:ind w:firstLine="560"/>
    </w:pPr>
    <w:rPr>
      <w:rFonts w:ascii="Calibri" w:hAnsi="Calibri"/>
      <w:kern w:val="0"/>
      <w:sz w:val="28"/>
      <w:lang w:val="zh-CN"/>
    </w:rPr>
  </w:style>
  <w:style w:type="character" w:customStyle="1" w:styleId="781">
    <w:name w:val="样式 左 Char Char"/>
    <w:link w:val="782"/>
    <w:autoRedefine/>
    <w:qFormat/>
    <w:uiPriority w:val="0"/>
    <w:rPr>
      <w:rFonts w:cs="宋体"/>
    </w:rPr>
  </w:style>
  <w:style w:type="paragraph" w:customStyle="1" w:styleId="782">
    <w:name w:val="样式 左"/>
    <w:basedOn w:val="1"/>
    <w:link w:val="781"/>
    <w:autoRedefine/>
    <w:qFormat/>
    <w:uiPriority w:val="0"/>
    <w:pPr>
      <w:widowControl/>
      <w:adjustRightInd/>
      <w:snapToGrid/>
      <w:spacing w:line="440" w:lineRule="exact"/>
      <w:ind w:firstLine="420"/>
    </w:pPr>
    <w:rPr>
      <w:rFonts w:ascii="Calibri" w:hAnsi="Calibri"/>
      <w:kern w:val="0"/>
      <w:sz w:val="20"/>
      <w:lang w:val="zh-CN"/>
    </w:rPr>
  </w:style>
  <w:style w:type="character" w:customStyle="1" w:styleId="783">
    <w:name w:val="排版正文 Char Char"/>
    <w:autoRedefine/>
    <w:qFormat/>
    <w:uiPriority w:val="0"/>
    <w:rPr>
      <w:rFonts w:ascii="宋体" w:hAnsi="宋体"/>
      <w:sz w:val="26"/>
      <w:szCs w:val="26"/>
    </w:rPr>
  </w:style>
  <w:style w:type="character" w:customStyle="1" w:styleId="784">
    <w:name w:val="content1"/>
    <w:autoRedefine/>
    <w:qFormat/>
    <w:uiPriority w:val="0"/>
    <w:rPr>
      <w:rFonts w:hint="default" w:ascii="Tahoma" w:hAnsi="Tahoma" w:cs="Tahoma"/>
      <w:color w:val="4B0000"/>
      <w:spacing w:val="336"/>
      <w:w w:val="75"/>
      <w:sz w:val="21"/>
      <w:szCs w:val="21"/>
    </w:rPr>
  </w:style>
  <w:style w:type="character" w:customStyle="1" w:styleId="785">
    <w:name w:val="标题 3-1"/>
    <w:autoRedefine/>
    <w:qFormat/>
    <w:uiPriority w:val="0"/>
    <w:rPr>
      <w:rFonts w:ascii="Times New Roman" w:hAnsi="Times New Roman" w:eastAsia="宋体" w:cs="Times New Roman"/>
      <w:bCs/>
      <w:color w:val="auto"/>
      <w:kern w:val="0"/>
      <w:sz w:val="28"/>
      <w:szCs w:val="32"/>
      <w:lang w:val="en-US" w:eastAsia="en-US"/>
    </w:rPr>
  </w:style>
  <w:style w:type="character" w:customStyle="1" w:styleId="786">
    <w:name w:val="大纲正文 Char Char"/>
    <w:autoRedefine/>
    <w:qFormat/>
    <w:uiPriority w:val="0"/>
    <w:rPr>
      <w:rFonts w:cs="宋体"/>
      <w:sz w:val="24"/>
    </w:rPr>
  </w:style>
  <w:style w:type="character" w:customStyle="1" w:styleId="787">
    <w:name w:val="样式 小四 Char Char"/>
    <w:link w:val="788"/>
    <w:autoRedefine/>
    <w:qFormat/>
    <w:uiPriority w:val="0"/>
    <w:rPr>
      <w:rFonts w:cs="宋体"/>
      <w:sz w:val="24"/>
    </w:rPr>
  </w:style>
  <w:style w:type="paragraph" w:customStyle="1" w:styleId="788">
    <w:name w:val="样式 小四"/>
    <w:basedOn w:val="1"/>
    <w:link w:val="787"/>
    <w:autoRedefine/>
    <w:qFormat/>
    <w:uiPriority w:val="99"/>
    <w:pPr>
      <w:widowControl/>
      <w:adjustRightInd/>
      <w:snapToGrid/>
      <w:spacing w:line="440" w:lineRule="exact"/>
      <w:ind w:firstLine="480"/>
    </w:pPr>
    <w:rPr>
      <w:rFonts w:ascii="Calibri" w:hAnsi="Calibri"/>
      <w:kern w:val="0"/>
      <w:lang w:val="zh-CN"/>
    </w:rPr>
  </w:style>
  <w:style w:type="character" w:customStyle="1" w:styleId="789">
    <w:name w:val="图题 Char Char"/>
    <w:autoRedefine/>
    <w:qFormat/>
    <w:uiPriority w:val="0"/>
    <w:rPr>
      <w:rFonts w:ascii="黑体" w:eastAsia="黑体"/>
      <w:szCs w:val="21"/>
    </w:rPr>
  </w:style>
  <w:style w:type="character" w:customStyle="1" w:styleId="790">
    <w:name w:val="表格内容 Char Char"/>
    <w:autoRedefine/>
    <w:qFormat/>
    <w:uiPriority w:val="0"/>
    <w:rPr>
      <w:rFonts w:ascii="Times New Roman" w:hAnsi="Times New Roman"/>
      <w:kern w:val="2"/>
      <w:sz w:val="18"/>
      <w:szCs w:val="18"/>
    </w:rPr>
  </w:style>
  <w:style w:type="character" w:customStyle="1" w:styleId="791">
    <w:name w:val="表题 Char Char"/>
    <w:autoRedefine/>
    <w:qFormat/>
    <w:uiPriority w:val="0"/>
    <w:rPr>
      <w:rFonts w:ascii="黑体" w:eastAsia="黑体"/>
      <w:szCs w:val="21"/>
    </w:rPr>
  </w:style>
  <w:style w:type="character" w:customStyle="1" w:styleId="792">
    <w:name w:val="样式 13 磅 行距: 固定值 23 磅 首行缩进:  2 字符 Char Char"/>
    <w:autoRedefine/>
    <w:qFormat/>
    <w:uiPriority w:val="0"/>
    <w:rPr>
      <w:rFonts w:ascii="Calibri" w:hAnsi="Calibri" w:eastAsia="宋体" w:cs="ˎ̥"/>
      <w:sz w:val="26"/>
    </w:rPr>
  </w:style>
  <w:style w:type="character" w:customStyle="1" w:styleId="793">
    <w:name w:val="detail1"/>
    <w:autoRedefine/>
    <w:qFormat/>
    <w:uiPriority w:val="0"/>
    <w:rPr>
      <w:rFonts w:hint="default" w:ascii="ˎ̥" w:hAnsi="ˎ̥"/>
      <w:sz w:val="21"/>
      <w:szCs w:val="21"/>
      <w:u w:val="none"/>
    </w:rPr>
  </w:style>
  <w:style w:type="character" w:customStyle="1" w:styleId="794">
    <w:name w:val="图表名称 Char Char"/>
    <w:autoRedefine/>
    <w:qFormat/>
    <w:uiPriority w:val="0"/>
    <w:rPr>
      <w:rFonts w:eastAsia="黑体"/>
      <w:b/>
      <w:bCs/>
      <w:sz w:val="24"/>
      <w:szCs w:val="21"/>
    </w:rPr>
  </w:style>
  <w:style w:type="character" w:customStyle="1" w:styleId="795">
    <w:name w:val="cf14pxb"/>
    <w:autoRedefine/>
    <w:qFormat/>
    <w:uiPriority w:val="0"/>
  </w:style>
  <w:style w:type="character" w:customStyle="1" w:styleId="796">
    <w:name w:val="编辑正文 Char Char"/>
    <w:link w:val="797"/>
    <w:autoRedefine/>
    <w:qFormat/>
    <w:uiPriority w:val="0"/>
    <w:rPr>
      <w:rFonts w:hAnsi="宋体"/>
      <w:sz w:val="26"/>
      <w:szCs w:val="26"/>
    </w:rPr>
  </w:style>
  <w:style w:type="paragraph" w:customStyle="1" w:styleId="797">
    <w:name w:val="编辑正文"/>
    <w:basedOn w:val="1"/>
    <w:link w:val="796"/>
    <w:autoRedefine/>
    <w:qFormat/>
    <w:uiPriority w:val="99"/>
    <w:pPr>
      <w:widowControl/>
      <w:adjustRightInd/>
      <w:snapToGrid/>
      <w:ind w:firstLine="520"/>
    </w:pPr>
    <w:rPr>
      <w:rFonts w:ascii="Calibri" w:hAnsi="宋体"/>
      <w:kern w:val="0"/>
      <w:sz w:val="26"/>
      <w:szCs w:val="26"/>
      <w:lang w:val="zh-CN"/>
    </w:rPr>
  </w:style>
  <w:style w:type="character" w:customStyle="1" w:styleId="798">
    <w:name w:val="样式 左 首行缩进:  1.01 厘米 Char Char Char Char"/>
    <w:link w:val="799"/>
    <w:autoRedefine/>
    <w:qFormat/>
    <w:uiPriority w:val="0"/>
    <w:rPr>
      <w:rFonts w:cs="宋体"/>
      <w:sz w:val="26"/>
      <w:szCs w:val="26"/>
    </w:rPr>
  </w:style>
  <w:style w:type="paragraph" w:customStyle="1" w:styleId="799">
    <w:name w:val="样式 左 首行缩进:  1.01 厘米"/>
    <w:basedOn w:val="1"/>
    <w:link w:val="798"/>
    <w:autoRedefine/>
    <w:qFormat/>
    <w:uiPriority w:val="0"/>
    <w:pPr>
      <w:widowControl/>
      <w:spacing w:line="460" w:lineRule="exact"/>
    </w:pPr>
    <w:rPr>
      <w:rFonts w:ascii="Calibri" w:hAnsi="Calibri"/>
      <w:kern w:val="0"/>
      <w:sz w:val="26"/>
      <w:szCs w:val="26"/>
      <w:lang w:val="zh-CN"/>
    </w:rPr>
  </w:style>
  <w:style w:type="character" w:customStyle="1" w:styleId="800">
    <w:name w:val="large"/>
    <w:autoRedefine/>
    <w:qFormat/>
    <w:uiPriority w:val="0"/>
  </w:style>
  <w:style w:type="character" w:customStyle="1" w:styleId="801">
    <w:name w:val="articlelink"/>
    <w:autoRedefine/>
    <w:qFormat/>
    <w:uiPriority w:val="0"/>
  </w:style>
  <w:style w:type="character" w:customStyle="1" w:styleId="802">
    <w:name w:val="main"/>
    <w:autoRedefine/>
    <w:qFormat/>
    <w:uiPriority w:val="0"/>
  </w:style>
  <w:style w:type="character" w:customStyle="1" w:styleId="803">
    <w:name w:val="标题7"/>
    <w:autoRedefine/>
    <w:qFormat/>
    <w:uiPriority w:val="0"/>
  </w:style>
  <w:style w:type="character" w:customStyle="1" w:styleId="804">
    <w:name w:val="表格题头 Char Char"/>
    <w:link w:val="805"/>
    <w:autoRedefine/>
    <w:qFormat/>
    <w:uiPriority w:val="0"/>
    <w:rPr>
      <w:rFonts w:eastAsia="黑体"/>
      <w:b/>
      <w:sz w:val="24"/>
      <w:szCs w:val="24"/>
      <w:lang w:val="en-US" w:eastAsia="zh-CN" w:bidi="ar-SA"/>
    </w:rPr>
  </w:style>
  <w:style w:type="paragraph" w:customStyle="1" w:styleId="805">
    <w:name w:val="表格题头"/>
    <w:next w:val="1"/>
    <w:link w:val="804"/>
    <w:autoRedefine/>
    <w:qFormat/>
    <w:uiPriority w:val="99"/>
    <w:pPr>
      <w:spacing w:beforeLines="50" w:after="120" w:line="276" w:lineRule="auto"/>
      <w:jc w:val="center"/>
    </w:pPr>
    <w:rPr>
      <w:rFonts w:ascii="Calibri" w:hAnsi="Calibri" w:eastAsia="黑体" w:cs="Times New Roman"/>
      <w:b/>
      <w:sz w:val="24"/>
      <w:szCs w:val="24"/>
      <w:lang w:val="en-US" w:eastAsia="zh-CN" w:bidi="ar-SA"/>
    </w:rPr>
  </w:style>
  <w:style w:type="character" w:customStyle="1" w:styleId="806">
    <w:name w:val="表格文字1 Char Char"/>
    <w:autoRedefine/>
    <w:qFormat/>
    <w:uiPriority w:val="0"/>
    <w:rPr>
      <w:iCs/>
      <w:szCs w:val="24"/>
    </w:rPr>
  </w:style>
  <w:style w:type="character" w:customStyle="1" w:styleId="807">
    <w:name w:val="公式描述 Char Char"/>
    <w:link w:val="808"/>
    <w:autoRedefine/>
    <w:qFormat/>
    <w:uiPriority w:val="0"/>
    <w:rPr>
      <w:rFonts w:eastAsia="仿宋_GB2312"/>
      <w:sz w:val="24"/>
      <w:szCs w:val="24"/>
      <w:lang w:val="en-US" w:eastAsia="zh-CN" w:bidi="ar-SA"/>
    </w:rPr>
  </w:style>
  <w:style w:type="paragraph" w:customStyle="1" w:styleId="808">
    <w:name w:val="公式描述"/>
    <w:next w:val="1"/>
    <w:link w:val="807"/>
    <w:autoRedefine/>
    <w:qFormat/>
    <w:uiPriority w:val="99"/>
    <w:pPr>
      <w:spacing w:after="200" w:line="360" w:lineRule="auto"/>
      <w:ind w:firstLine="500" w:firstLineChars="500"/>
    </w:pPr>
    <w:rPr>
      <w:rFonts w:ascii="Calibri" w:hAnsi="Calibri" w:eastAsia="仿宋_GB2312" w:cs="Times New Roman"/>
      <w:sz w:val="24"/>
      <w:szCs w:val="24"/>
      <w:lang w:val="en-US" w:eastAsia="zh-CN" w:bidi="ar-SA"/>
    </w:rPr>
  </w:style>
  <w:style w:type="character" w:customStyle="1" w:styleId="809">
    <w:name w:val="样式 标题 2 + 仿宋_GB2312 四号 非加粗 Char"/>
    <w:autoRedefine/>
    <w:qFormat/>
    <w:uiPriority w:val="0"/>
    <w:rPr>
      <w:rFonts w:eastAsia="仿宋_GB2312"/>
      <w:bCs/>
      <w:kern w:val="2"/>
      <w:sz w:val="28"/>
      <w:szCs w:val="28"/>
      <w:lang w:val="en-US" w:eastAsia="zh-CN"/>
    </w:rPr>
  </w:style>
  <w:style w:type="character" w:customStyle="1" w:styleId="810">
    <w:name w:val="标注 Char Char"/>
    <w:autoRedefine/>
    <w:qFormat/>
    <w:uiPriority w:val="0"/>
    <w:rPr>
      <w:rFonts w:ascii="黑体"/>
      <w:sz w:val="18"/>
      <w:szCs w:val="24"/>
    </w:rPr>
  </w:style>
  <w:style w:type="character" w:customStyle="1" w:styleId="811">
    <w:name w:val="yqlink"/>
    <w:autoRedefine/>
    <w:qFormat/>
    <w:uiPriority w:val="0"/>
  </w:style>
  <w:style w:type="character" w:customStyle="1" w:styleId="812">
    <w:name w:val="普通文字 Char Char Char Char"/>
    <w:autoRedefine/>
    <w:qFormat/>
    <w:uiPriority w:val="0"/>
    <w:rPr>
      <w:rFonts w:ascii="宋体" w:hAnsi="Courier New" w:eastAsia="宋体"/>
      <w:kern w:val="2"/>
      <w:sz w:val="21"/>
      <w:lang w:val="en-US" w:eastAsia="zh-CN"/>
    </w:rPr>
  </w:style>
  <w:style w:type="character" w:customStyle="1" w:styleId="813">
    <w:name w:val="qq"/>
    <w:autoRedefine/>
    <w:qFormat/>
    <w:uiPriority w:val="0"/>
  </w:style>
  <w:style w:type="character" w:customStyle="1" w:styleId="814">
    <w:name w:val="n正文 Char Char"/>
    <w:link w:val="815"/>
    <w:autoRedefine/>
    <w:qFormat/>
    <w:uiPriority w:val="0"/>
    <w:rPr>
      <w:rFonts w:ascii="宋体" w:hAnsi="宋体"/>
      <w:sz w:val="24"/>
      <w:szCs w:val="24"/>
    </w:rPr>
  </w:style>
  <w:style w:type="paragraph" w:customStyle="1" w:styleId="815">
    <w:name w:val="n正文"/>
    <w:basedOn w:val="1"/>
    <w:link w:val="814"/>
    <w:autoRedefine/>
    <w:qFormat/>
    <w:uiPriority w:val="99"/>
    <w:pPr>
      <w:widowControl/>
      <w:adjustRightInd/>
      <w:snapToGrid/>
      <w:spacing w:after="120" w:line="264" w:lineRule="auto"/>
    </w:pPr>
    <w:rPr>
      <w:rFonts w:ascii="宋体" w:hAnsi="宋体"/>
      <w:kern w:val="0"/>
      <w:szCs w:val="24"/>
      <w:lang w:val="zh-CN"/>
    </w:rPr>
  </w:style>
  <w:style w:type="character" w:customStyle="1" w:styleId="816">
    <w:name w:val="样式20 Char Char"/>
    <w:link w:val="817"/>
    <w:autoRedefine/>
    <w:qFormat/>
    <w:uiPriority w:val="0"/>
    <w:rPr>
      <w:rFonts w:ascii="宋体" w:hAnsi="宋体"/>
      <w:sz w:val="26"/>
      <w:szCs w:val="26"/>
    </w:rPr>
  </w:style>
  <w:style w:type="paragraph" w:customStyle="1" w:styleId="817">
    <w:name w:val="样式20"/>
    <w:basedOn w:val="1"/>
    <w:link w:val="816"/>
    <w:autoRedefine/>
    <w:qFormat/>
    <w:uiPriority w:val="0"/>
    <w:pPr>
      <w:widowControl/>
      <w:adjustRightInd/>
      <w:snapToGrid/>
      <w:ind w:firstLine="514"/>
    </w:pPr>
    <w:rPr>
      <w:rFonts w:ascii="宋体" w:hAnsi="宋体"/>
      <w:kern w:val="0"/>
      <w:sz w:val="26"/>
      <w:szCs w:val="26"/>
      <w:lang w:val="zh-CN"/>
    </w:rPr>
  </w:style>
  <w:style w:type="character" w:customStyle="1" w:styleId="818">
    <w:name w:val="正文01 Char Char"/>
    <w:link w:val="819"/>
    <w:autoRedefine/>
    <w:qFormat/>
    <w:uiPriority w:val="0"/>
    <w:rPr>
      <w:sz w:val="24"/>
    </w:rPr>
  </w:style>
  <w:style w:type="paragraph" w:customStyle="1" w:styleId="819">
    <w:name w:val="正文01"/>
    <w:basedOn w:val="1"/>
    <w:link w:val="818"/>
    <w:autoRedefine/>
    <w:qFormat/>
    <w:uiPriority w:val="0"/>
    <w:pPr>
      <w:widowControl/>
      <w:snapToGrid/>
      <w:spacing w:before="60" w:line="460" w:lineRule="exact"/>
      <w:textAlignment w:val="baseline"/>
    </w:pPr>
    <w:rPr>
      <w:rFonts w:ascii="Calibri" w:hAnsi="Calibri"/>
      <w:kern w:val="0"/>
      <w:lang w:val="zh-CN"/>
    </w:rPr>
  </w:style>
  <w:style w:type="character" w:customStyle="1" w:styleId="820">
    <w:name w:val="f_12_267700"/>
    <w:autoRedefine/>
    <w:qFormat/>
    <w:uiPriority w:val="0"/>
  </w:style>
  <w:style w:type="character" w:customStyle="1" w:styleId="821">
    <w:name w:val="表格正文 Char Char"/>
    <w:link w:val="536"/>
    <w:autoRedefine/>
    <w:qFormat/>
    <w:uiPriority w:val="0"/>
    <w:rPr>
      <w:rFonts w:ascii="宋体" w:hAnsi="宋体"/>
      <w:color w:val="000000"/>
      <w:sz w:val="18"/>
      <w:szCs w:val="18"/>
    </w:rPr>
  </w:style>
  <w:style w:type="character" w:customStyle="1" w:styleId="822">
    <w:name w:val="样式4 Char Char"/>
    <w:link w:val="357"/>
    <w:autoRedefine/>
    <w:qFormat/>
    <w:uiPriority w:val="0"/>
    <w:rPr>
      <w:rFonts w:ascii="楷体_GB2312" w:hAnsi="Times New Roman" w:eastAsia="楷体_GB2312"/>
      <w:kern w:val="2"/>
      <w:sz w:val="24"/>
      <w:szCs w:val="24"/>
    </w:rPr>
  </w:style>
  <w:style w:type="character" w:customStyle="1" w:styleId="823">
    <w:name w:val="gans"/>
    <w:autoRedefine/>
    <w:qFormat/>
    <w:uiPriority w:val="0"/>
  </w:style>
  <w:style w:type="character" w:customStyle="1" w:styleId="824">
    <w:name w:val="grame"/>
    <w:autoRedefine/>
    <w:qFormat/>
    <w:uiPriority w:val="0"/>
  </w:style>
  <w:style w:type="character" w:customStyle="1" w:styleId="825">
    <w:name w:val="表格题注 Char Char"/>
    <w:link w:val="826"/>
    <w:autoRedefine/>
    <w:qFormat/>
    <w:uiPriority w:val="0"/>
    <w:rPr>
      <w:b/>
      <w:color w:val="000000"/>
      <w:szCs w:val="21"/>
    </w:rPr>
  </w:style>
  <w:style w:type="paragraph" w:customStyle="1" w:styleId="826">
    <w:name w:val="表格题注"/>
    <w:basedOn w:val="1"/>
    <w:link w:val="825"/>
    <w:autoRedefine/>
    <w:qFormat/>
    <w:uiPriority w:val="99"/>
    <w:pPr>
      <w:widowControl/>
      <w:autoSpaceDE w:val="0"/>
      <w:autoSpaceDN w:val="0"/>
      <w:snapToGrid/>
      <w:spacing w:line="460" w:lineRule="exact"/>
      <w:jc w:val="center"/>
    </w:pPr>
    <w:rPr>
      <w:rFonts w:ascii="Calibri" w:hAnsi="Calibri"/>
      <w:b/>
      <w:color w:val="000000"/>
      <w:kern w:val="0"/>
      <w:sz w:val="20"/>
      <w:szCs w:val="21"/>
      <w:lang w:val="zh-CN"/>
    </w:rPr>
  </w:style>
  <w:style w:type="character" w:customStyle="1" w:styleId="827">
    <w:name w:val="表头 Char Char"/>
    <w:autoRedefine/>
    <w:qFormat/>
    <w:uiPriority w:val="0"/>
    <w:rPr>
      <w:rFonts w:ascii="Arial" w:hAnsi="Arial" w:eastAsia="黑体"/>
      <w:b/>
      <w:kern w:val="2"/>
      <w:sz w:val="24"/>
      <w:szCs w:val="24"/>
      <w:lang w:val="en-US" w:eastAsia="zh-CN"/>
    </w:rPr>
  </w:style>
  <w:style w:type="character" w:customStyle="1" w:styleId="828">
    <w:name w:val="文本块 字符"/>
    <w:link w:val="39"/>
    <w:autoRedefine/>
    <w:qFormat/>
    <w:uiPriority w:val="0"/>
    <w:rPr>
      <w:rFonts w:ascii="Times New Roman" w:hAnsi="Times New Roman"/>
      <w:kern w:val="2"/>
      <w:sz w:val="24"/>
    </w:rPr>
  </w:style>
  <w:style w:type="character" w:customStyle="1" w:styleId="829">
    <w:name w:val="表文字 Char1"/>
    <w:link w:val="195"/>
    <w:autoRedefine/>
    <w:qFormat/>
    <w:uiPriority w:val="0"/>
    <w:rPr>
      <w:rFonts w:ascii="Times New Roman" w:hAnsi="Times New Roman"/>
      <w:sz w:val="21"/>
    </w:rPr>
  </w:style>
  <w:style w:type="character" w:customStyle="1" w:styleId="830">
    <w:name w:val="投标标题1 Char Char"/>
    <w:link w:val="831"/>
    <w:autoRedefine/>
    <w:qFormat/>
    <w:uiPriority w:val="0"/>
    <w:rPr>
      <w:rFonts w:ascii="黑体" w:hAnsi="宋体" w:eastAsia="黑体"/>
      <w:bCs/>
      <w:kern w:val="44"/>
      <w:sz w:val="30"/>
      <w:szCs w:val="30"/>
    </w:rPr>
  </w:style>
  <w:style w:type="paragraph" w:customStyle="1" w:styleId="831">
    <w:name w:val="投标标题1"/>
    <w:basedOn w:val="1"/>
    <w:link w:val="830"/>
    <w:autoRedefine/>
    <w:qFormat/>
    <w:uiPriority w:val="99"/>
    <w:pPr>
      <w:keepNext/>
      <w:keepLines/>
      <w:widowControl/>
      <w:adjustRightInd/>
      <w:snapToGrid/>
      <w:spacing w:beforeLines="100" w:afterLines="50" w:line="312" w:lineRule="auto"/>
      <w:outlineLvl w:val="0"/>
    </w:pPr>
    <w:rPr>
      <w:rFonts w:ascii="黑体" w:hAnsi="宋体" w:eastAsia="黑体"/>
      <w:bCs/>
      <w:kern w:val="44"/>
      <w:sz w:val="30"/>
      <w:szCs w:val="30"/>
      <w:lang w:val="zh-CN"/>
    </w:rPr>
  </w:style>
  <w:style w:type="character" w:customStyle="1" w:styleId="832">
    <w:name w:val="text51"/>
    <w:autoRedefine/>
    <w:qFormat/>
    <w:uiPriority w:val="0"/>
    <w:rPr>
      <w:color w:val="FF0000"/>
      <w:spacing w:val="0"/>
      <w:sz w:val="18"/>
      <w:szCs w:val="18"/>
    </w:rPr>
  </w:style>
  <w:style w:type="character" w:customStyle="1" w:styleId="833">
    <w:name w:val="样式3 Char Char"/>
    <w:autoRedefine/>
    <w:qFormat/>
    <w:uiPriority w:val="0"/>
    <w:rPr>
      <w:rFonts w:ascii="黑体" w:hAnsi="宋体" w:eastAsia="黑体" w:cs="Arial"/>
      <w:b/>
      <w:bCs/>
      <w:snapToGrid w:val="0"/>
      <w:sz w:val="28"/>
      <w:szCs w:val="16"/>
    </w:rPr>
  </w:style>
  <w:style w:type="character" w:customStyle="1" w:styleId="834">
    <w:name w:val="谢谢谢谢谢 Char Char"/>
    <w:link w:val="835"/>
    <w:autoRedefine/>
    <w:qFormat/>
    <w:uiPriority w:val="0"/>
    <w:rPr>
      <w:sz w:val="24"/>
      <w:szCs w:val="24"/>
    </w:rPr>
  </w:style>
  <w:style w:type="paragraph" w:customStyle="1" w:styleId="835">
    <w:name w:val="谢谢谢谢谢"/>
    <w:basedOn w:val="1"/>
    <w:link w:val="834"/>
    <w:autoRedefine/>
    <w:qFormat/>
    <w:uiPriority w:val="0"/>
    <w:pPr>
      <w:adjustRightInd/>
      <w:snapToGrid/>
      <w:spacing w:line="440" w:lineRule="exact"/>
      <w:jc w:val="left"/>
    </w:pPr>
    <w:rPr>
      <w:rFonts w:ascii="Calibri" w:hAnsi="Calibri"/>
      <w:kern w:val="0"/>
      <w:szCs w:val="24"/>
      <w:lang w:val="zh-CN"/>
    </w:rPr>
  </w:style>
  <w:style w:type="character" w:customStyle="1" w:styleId="836">
    <w:name w:val="wenzi"/>
    <w:autoRedefine/>
    <w:qFormat/>
    <w:uiPriority w:val="0"/>
  </w:style>
  <w:style w:type="character" w:customStyle="1" w:styleId="837">
    <w:name w:val="样式 段前: 0.5 行 首行缩进:  2 字符 Char Char"/>
    <w:autoRedefine/>
    <w:qFormat/>
    <w:uiPriority w:val="0"/>
    <w:rPr>
      <w:rFonts w:ascii="Calibri" w:hAnsi="Calibri" w:eastAsia="宋体" w:cs="宋体"/>
      <w:sz w:val="28"/>
    </w:rPr>
  </w:style>
  <w:style w:type="character" w:customStyle="1" w:styleId="838">
    <w:name w:val="样式7 Char Char"/>
    <w:autoRedefine/>
    <w:qFormat/>
    <w:uiPriority w:val="0"/>
    <w:rPr>
      <w:rFonts w:ascii="微软雅黑" w:hAnsi="微软雅黑" w:eastAsia="黑体"/>
      <w:b/>
      <w:bCs/>
      <w:sz w:val="28"/>
      <w:szCs w:val="28"/>
    </w:rPr>
  </w:style>
  <w:style w:type="character" w:customStyle="1" w:styleId="839">
    <w:name w:val="报告正文-连续目录 Char Char"/>
    <w:link w:val="840"/>
    <w:autoRedefine/>
    <w:qFormat/>
    <w:uiPriority w:val="0"/>
    <w:rPr>
      <w:rFonts w:ascii="Arial" w:hAnsi="Arial"/>
      <w:snapToGrid w:val="0"/>
      <w:sz w:val="24"/>
      <w:szCs w:val="24"/>
    </w:rPr>
  </w:style>
  <w:style w:type="paragraph" w:customStyle="1" w:styleId="840">
    <w:name w:val="报告正文-连续目录"/>
    <w:basedOn w:val="1"/>
    <w:link w:val="839"/>
    <w:autoRedefine/>
    <w:qFormat/>
    <w:uiPriority w:val="0"/>
    <w:pPr>
      <w:widowControl/>
      <w:adjustRightInd/>
      <w:snapToGrid/>
      <w:spacing w:line="440" w:lineRule="exact"/>
    </w:pPr>
    <w:rPr>
      <w:rFonts w:ascii="Arial" w:hAnsi="Arial"/>
      <w:snapToGrid w:val="0"/>
      <w:kern w:val="0"/>
      <w:szCs w:val="24"/>
      <w:lang w:val="zh-CN"/>
    </w:rPr>
  </w:style>
  <w:style w:type="character" w:customStyle="1" w:styleId="841">
    <w:name w:val="样式9 Char Char"/>
    <w:link w:val="842"/>
    <w:autoRedefine/>
    <w:qFormat/>
    <w:uiPriority w:val="0"/>
    <w:rPr>
      <w:rFonts w:eastAsia="黑体"/>
      <w:b/>
      <w:sz w:val="36"/>
      <w:szCs w:val="32"/>
    </w:rPr>
  </w:style>
  <w:style w:type="paragraph" w:customStyle="1" w:styleId="842">
    <w:name w:val="样式9"/>
    <w:basedOn w:val="1"/>
    <w:link w:val="841"/>
    <w:autoRedefine/>
    <w:qFormat/>
    <w:uiPriority w:val="0"/>
    <w:pPr>
      <w:widowControl/>
      <w:spacing w:beforeLines="100" w:afterLines="100"/>
      <w:jc w:val="center"/>
      <w:outlineLvl w:val="0"/>
    </w:pPr>
    <w:rPr>
      <w:rFonts w:ascii="Calibri" w:hAnsi="Calibri" w:eastAsia="黑体"/>
      <w:b/>
      <w:kern w:val="0"/>
      <w:sz w:val="36"/>
      <w:szCs w:val="32"/>
      <w:lang w:val="zh-CN"/>
    </w:rPr>
  </w:style>
  <w:style w:type="character" w:customStyle="1" w:styleId="843">
    <w:name w:val="报告表正文 Char Char"/>
    <w:link w:val="844"/>
    <w:autoRedefine/>
    <w:qFormat/>
    <w:uiPriority w:val="0"/>
    <w:rPr>
      <w:rFonts w:ascii="Arial" w:hAnsi="Arial" w:cs="Arial"/>
      <w:snapToGrid w:val="0"/>
      <w:color w:val="000000"/>
      <w:sz w:val="21"/>
      <w:szCs w:val="21"/>
    </w:rPr>
  </w:style>
  <w:style w:type="paragraph" w:customStyle="1" w:styleId="844">
    <w:name w:val="报告表正文"/>
    <w:basedOn w:val="1"/>
    <w:link w:val="843"/>
    <w:autoRedefine/>
    <w:qFormat/>
    <w:uiPriority w:val="0"/>
    <w:pPr>
      <w:widowControl/>
      <w:snapToGrid/>
      <w:spacing w:line="312" w:lineRule="auto"/>
      <w:ind w:left="113" w:right="113" w:firstLine="482"/>
      <w:textAlignment w:val="baseline"/>
    </w:pPr>
    <w:rPr>
      <w:rFonts w:ascii="Arial" w:hAnsi="Arial"/>
      <w:snapToGrid w:val="0"/>
      <w:color w:val="000000"/>
      <w:kern w:val="0"/>
      <w:sz w:val="21"/>
      <w:szCs w:val="21"/>
      <w:lang w:val="zh-CN"/>
    </w:rPr>
  </w:style>
  <w:style w:type="character" w:customStyle="1" w:styleId="845">
    <w:name w:val="defaultfont1"/>
    <w:autoRedefine/>
    <w:qFormat/>
    <w:uiPriority w:val="0"/>
  </w:style>
  <w:style w:type="character" w:customStyle="1" w:styleId="846">
    <w:name w:val="样式 标题 1 + 黑体 四号 非加粗 Char"/>
    <w:autoRedefine/>
    <w:qFormat/>
    <w:uiPriority w:val="0"/>
    <w:rPr>
      <w:rFonts w:eastAsia="黑体"/>
      <w:bCs/>
      <w:kern w:val="44"/>
      <w:sz w:val="28"/>
      <w:szCs w:val="28"/>
      <w:lang w:val="en-US" w:eastAsia="zh-CN"/>
    </w:rPr>
  </w:style>
  <w:style w:type="character" w:customStyle="1" w:styleId="847">
    <w:name w:val="f14b1"/>
    <w:autoRedefine/>
    <w:qFormat/>
    <w:uiPriority w:val="0"/>
    <w:rPr>
      <w:b/>
      <w:bCs/>
      <w:sz w:val="23"/>
      <w:szCs w:val="23"/>
    </w:rPr>
  </w:style>
  <w:style w:type="character" w:customStyle="1" w:styleId="848">
    <w:name w:val="编号1. Char Char"/>
    <w:link w:val="849"/>
    <w:autoRedefine/>
    <w:qFormat/>
    <w:uiPriority w:val="0"/>
    <w:rPr>
      <w:sz w:val="24"/>
      <w:szCs w:val="24"/>
    </w:rPr>
  </w:style>
  <w:style w:type="paragraph" w:customStyle="1" w:styleId="849">
    <w:name w:val="编号1."/>
    <w:basedOn w:val="1"/>
    <w:link w:val="848"/>
    <w:autoRedefine/>
    <w:qFormat/>
    <w:uiPriority w:val="99"/>
    <w:pPr>
      <w:widowControl/>
      <w:tabs>
        <w:tab w:val="left" w:pos="547"/>
        <w:tab w:val="left" w:pos="907"/>
        <w:tab w:val="left" w:pos="1080"/>
      </w:tabs>
      <w:adjustRightInd/>
      <w:snapToGrid/>
      <w:spacing w:line="480" w:lineRule="atLeast"/>
      <w:ind w:firstLine="547"/>
    </w:pPr>
    <w:rPr>
      <w:rFonts w:ascii="Calibri" w:hAnsi="Calibri"/>
      <w:kern w:val="0"/>
      <w:szCs w:val="24"/>
      <w:lang w:val="zh-CN"/>
    </w:rPr>
  </w:style>
  <w:style w:type="character" w:customStyle="1" w:styleId="850">
    <w:name w:val="表格备注"/>
    <w:autoRedefine/>
    <w:qFormat/>
    <w:uiPriority w:val="0"/>
    <w:rPr>
      <w:rFonts w:ascii="Times New Roman" w:hAnsi="Times New Roman"/>
      <w:color w:val="000000"/>
      <w:kern w:val="0"/>
      <w:sz w:val="20"/>
    </w:rPr>
  </w:style>
  <w:style w:type="character" w:customStyle="1" w:styleId="851">
    <w:name w:val="框图文字 Char Char"/>
    <w:link w:val="852"/>
    <w:autoRedefine/>
    <w:qFormat/>
    <w:uiPriority w:val="0"/>
    <w:rPr>
      <w:rFonts w:hAnsi="Arial"/>
      <w:sz w:val="18"/>
      <w:szCs w:val="24"/>
      <w:lang w:eastAsia="zh-TW"/>
    </w:rPr>
  </w:style>
  <w:style w:type="paragraph" w:customStyle="1" w:styleId="852">
    <w:name w:val="框图文字"/>
    <w:basedOn w:val="1"/>
    <w:link w:val="851"/>
    <w:autoRedefine/>
    <w:qFormat/>
    <w:uiPriority w:val="99"/>
    <w:pPr>
      <w:widowControl/>
      <w:adjustRightInd/>
      <w:spacing w:line="500" w:lineRule="exact"/>
      <w:jc w:val="center"/>
    </w:pPr>
    <w:rPr>
      <w:rFonts w:ascii="Calibri" w:hAnsi="Arial"/>
      <w:kern w:val="0"/>
      <w:sz w:val="18"/>
      <w:szCs w:val="24"/>
      <w:lang w:val="zh-CN" w:eastAsia="zh-TW"/>
    </w:rPr>
  </w:style>
  <w:style w:type="character" w:customStyle="1" w:styleId="853">
    <w:name w:val="样式 正文缩进正文（首行缩进两字） Char正文（首行缩进两字）正文（首行缩进两字） Char Char Char Cha... Char Char"/>
    <w:link w:val="854"/>
    <w:autoRedefine/>
    <w:qFormat/>
    <w:uiPriority w:val="0"/>
    <w:rPr>
      <w:rFonts w:ascii="Arial" w:hAnsi="宋体" w:cs="Arial"/>
      <w:sz w:val="26"/>
      <w:szCs w:val="26"/>
    </w:rPr>
  </w:style>
  <w:style w:type="paragraph" w:customStyle="1" w:styleId="854">
    <w:name w:val="样式 正文缩进正文（首行缩进两字） Char正文（首行缩进两字）正文（首行缩进两字） Char Char Char Cha..."/>
    <w:basedOn w:val="725"/>
    <w:link w:val="853"/>
    <w:autoRedefine/>
    <w:qFormat/>
    <w:uiPriority w:val="99"/>
    <w:pPr>
      <w:adjustRightInd w:val="0"/>
      <w:snapToGrid w:val="0"/>
      <w:spacing w:before="0" w:after="0" w:line="480" w:lineRule="exact"/>
      <w:ind w:firstLine="0" w:firstLineChars="0"/>
      <w:jc w:val="center"/>
      <w:textAlignment w:val="baseline"/>
    </w:pPr>
    <w:rPr>
      <w:rFonts w:ascii="Arial" w:hAnsi="宋体" w:eastAsia="宋体"/>
      <w:bCs w:val="0"/>
      <w:sz w:val="26"/>
      <w:szCs w:val="26"/>
    </w:rPr>
  </w:style>
  <w:style w:type="character" w:customStyle="1" w:styleId="855">
    <w:name w:val="表格 Char Char"/>
    <w:autoRedefine/>
    <w:qFormat/>
    <w:uiPriority w:val="0"/>
    <w:rPr>
      <w:rFonts w:ascii="宋体" w:hAnsi="Courier New" w:eastAsia="宋体"/>
      <w:kern w:val="2"/>
      <w:sz w:val="21"/>
      <w:lang w:val="en-US" w:eastAsia="zh-CN"/>
    </w:rPr>
  </w:style>
  <w:style w:type="character" w:customStyle="1" w:styleId="856">
    <w:name w:val="小节标题 Char Char Char"/>
    <w:autoRedefine/>
    <w:qFormat/>
    <w:uiPriority w:val="0"/>
    <w:rPr>
      <w:rFonts w:eastAsia="宋体"/>
      <w:b/>
      <w:bCs/>
      <w:kern w:val="2"/>
      <w:sz w:val="26"/>
      <w:szCs w:val="32"/>
      <w:lang w:val="en-US" w:eastAsia="zh-CN"/>
    </w:rPr>
  </w:style>
  <w:style w:type="character" w:customStyle="1" w:styleId="857">
    <w:name w:val="样式 段前: 0.5 行 首行缩进:  2 字符 Char Char Char Char Char Char Char Char Char"/>
    <w:link w:val="858"/>
    <w:autoRedefine/>
    <w:qFormat/>
    <w:uiPriority w:val="0"/>
    <w:rPr>
      <w:rFonts w:cs="宋体"/>
      <w:sz w:val="24"/>
    </w:rPr>
  </w:style>
  <w:style w:type="paragraph" w:customStyle="1" w:styleId="858">
    <w:name w:val="样式 段前: 0.5 行 首行缩进:  2 字符 Char Char Char Char Char Char Char"/>
    <w:basedOn w:val="1"/>
    <w:link w:val="857"/>
    <w:autoRedefine/>
    <w:qFormat/>
    <w:uiPriority w:val="99"/>
    <w:pPr>
      <w:widowControl/>
      <w:adjustRightInd/>
      <w:snapToGrid/>
      <w:spacing w:beforeLines="50" w:line="288" w:lineRule="auto"/>
      <w:ind w:firstLine="480"/>
    </w:pPr>
    <w:rPr>
      <w:rFonts w:ascii="Calibri" w:hAnsi="Calibri"/>
      <w:kern w:val="0"/>
      <w:lang w:val="zh-CN"/>
    </w:rPr>
  </w:style>
  <w:style w:type="character" w:customStyle="1" w:styleId="859">
    <w:name w:val="unnamed11"/>
    <w:autoRedefine/>
    <w:qFormat/>
    <w:uiPriority w:val="0"/>
    <w:rPr>
      <w:rFonts w:hint="eastAsia" w:ascii="宋体" w:hAnsi="宋体" w:eastAsia="宋体"/>
      <w:sz w:val="14"/>
      <w:szCs w:val="14"/>
      <w:u w:val="none"/>
    </w:rPr>
  </w:style>
  <w:style w:type="character" w:customStyle="1" w:styleId="860">
    <w:name w:val="样式 (中文) 仿宋_GB2312 小四 行距: 1.5 倍行距 Char Char"/>
    <w:link w:val="861"/>
    <w:autoRedefine/>
    <w:qFormat/>
    <w:uiPriority w:val="0"/>
    <w:rPr>
      <w:rFonts w:eastAsia="仿宋_GB2312"/>
      <w:sz w:val="24"/>
      <w:szCs w:val="24"/>
    </w:rPr>
  </w:style>
  <w:style w:type="paragraph" w:customStyle="1" w:styleId="861">
    <w:name w:val="样式 (中文) 仿宋_GB2312 小四 行距: 1.5 倍行距"/>
    <w:basedOn w:val="1"/>
    <w:link w:val="860"/>
    <w:autoRedefine/>
    <w:qFormat/>
    <w:uiPriority w:val="0"/>
    <w:pPr>
      <w:adjustRightInd/>
      <w:snapToGrid/>
      <w:spacing w:line="360" w:lineRule="auto"/>
      <w:ind w:firstLine="480"/>
    </w:pPr>
    <w:rPr>
      <w:rFonts w:ascii="Calibri" w:hAnsi="Calibri" w:eastAsia="仿宋_GB2312"/>
      <w:kern w:val="0"/>
      <w:szCs w:val="24"/>
      <w:lang w:val="zh-CN"/>
    </w:rPr>
  </w:style>
  <w:style w:type="character" w:customStyle="1" w:styleId="862">
    <w:name w:val="标准文本 首行缩进: 2 字符 行距: 单倍 Char Char"/>
    <w:link w:val="863"/>
    <w:autoRedefine/>
    <w:qFormat/>
    <w:uiPriority w:val="0"/>
    <w:rPr>
      <w:rFonts w:ascii="宋体" w:hAnsi="宋体" w:cs="宋体"/>
      <w:sz w:val="24"/>
      <w:szCs w:val="24"/>
    </w:rPr>
  </w:style>
  <w:style w:type="paragraph" w:customStyle="1" w:styleId="863">
    <w:name w:val="标准文本 首行缩进: 2 字符 行距: 单倍"/>
    <w:basedOn w:val="1"/>
    <w:link w:val="862"/>
    <w:autoRedefine/>
    <w:qFormat/>
    <w:uiPriority w:val="99"/>
    <w:pPr>
      <w:widowControl/>
      <w:spacing w:line="360" w:lineRule="auto"/>
      <w:ind w:firstLine="480"/>
      <w:textAlignment w:val="baseline"/>
    </w:pPr>
    <w:rPr>
      <w:rFonts w:ascii="宋体" w:hAnsi="宋体"/>
      <w:kern w:val="0"/>
      <w:szCs w:val="24"/>
      <w:lang w:val="zh-CN"/>
    </w:rPr>
  </w:style>
  <w:style w:type="character" w:customStyle="1" w:styleId="864">
    <w:name w:val="正文 Char1"/>
    <w:autoRedefine/>
    <w:qFormat/>
    <w:uiPriority w:val="0"/>
    <w:rPr>
      <w:rFonts w:eastAsia="宋体" w:cs="宋体"/>
      <w:sz w:val="24"/>
      <w:szCs w:val="24"/>
      <w:lang w:val="en-US" w:eastAsia="zh-CN"/>
    </w:rPr>
  </w:style>
  <w:style w:type="character" w:customStyle="1" w:styleId="865">
    <w:name w:val="样式 首行缩进:  0.85 厘米 Char Char Char Char Char Char Char Char Char Char Char Char Char Char Char Char Char Char Char"/>
    <w:link w:val="866"/>
    <w:autoRedefine/>
    <w:qFormat/>
    <w:uiPriority w:val="0"/>
    <w:rPr>
      <w:rFonts w:cs="宋体"/>
      <w:sz w:val="24"/>
    </w:rPr>
  </w:style>
  <w:style w:type="paragraph" w:customStyle="1" w:styleId="866">
    <w:name w:val="样式 首行缩进:  0.85 厘米 Char Char Char Char Char Char Char Char Char Char Char Char Char Char Char Char Char"/>
    <w:basedOn w:val="1"/>
    <w:link w:val="865"/>
    <w:autoRedefine/>
    <w:qFormat/>
    <w:uiPriority w:val="99"/>
    <w:pPr>
      <w:widowControl/>
      <w:adjustRightInd/>
      <w:snapToGrid/>
      <w:spacing w:beforeLines="50" w:line="360" w:lineRule="auto"/>
      <w:ind w:firstLine="482"/>
    </w:pPr>
    <w:rPr>
      <w:rFonts w:ascii="Calibri" w:hAnsi="Calibri"/>
      <w:kern w:val="0"/>
      <w:lang w:val="zh-CN"/>
    </w:rPr>
  </w:style>
  <w:style w:type="character" w:customStyle="1" w:styleId="867">
    <w:name w:val="样式 首行缩进:  0.85 厘米 Char Char"/>
    <w:link w:val="868"/>
    <w:autoRedefine/>
    <w:qFormat/>
    <w:uiPriority w:val="0"/>
    <w:rPr>
      <w:rFonts w:cs="宋体"/>
      <w:sz w:val="24"/>
    </w:rPr>
  </w:style>
  <w:style w:type="paragraph" w:customStyle="1" w:styleId="868">
    <w:name w:val="样式 首行缩进:  0.85 厘米"/>
    <w:basedOn w:val="1"/>
    <w:link w:val="867"/>
    <w:autoRedefine/>
    <w:qFormat/>
    <w:uiPriority w:val="0"/>
    <w:pPr>
      <w:widowControl/>
      <w:adjustRightInd/>
      <w:snapToGrid/>
      <w:spacing w:beforeLines="50" w:line="360" w:lineRule="auto"/>
      <w:ind w:firstLine="482"/>
    </w:pPr>
    <w:rPr>
      <w:rFonts w:ascii="Calibri" w:hAnsi="Calibri"/>
      <w:kern w:val="0"/>
      <w:lang w:val="zh-CN"/>
    </w:rPr>
  </w:style>
  <w:style w:type="character" w:customStyle="1" w:styleId="869">
    <w:name w:val="px14"/>
    <w:autoRedefine/>
    <w:qFormat/>
    <w:uiPriority w:val="0"/>
  </w:style>
  <w:style w:type="character" w:customStyle="1" w:styleId="870">
    <w:name w:val="样式 样式 段前: 0.5 行 + 首行缩进:  2 字符 段前: 0.5 行 Char Char"/>
    <w:link w:val="871"/>
    <w:autoRedefine/>
    <w:qFormat/>
    <w:uiPriority w:val="0"/>
    <w:rPr>
      <w:rFonts w:cs="宋体"/>
      <w:color w:val="000000"/>
      <w:sz w:val="24"/>
    </w:rPr>
  </w:style>
  <w:style w:type="paragraph" w:customStyle="1" w:styleId="871">
    <w:name w:val="样式 样式 段前: 0.5 行 + 首行缩进:  2 字符 段前: 0.5 行"/>
    <w:basedOn w:val="1"/>
    <w:link w:val="870"/>
    <w:autoRedefine/>
    <w:qFormat/>
    <w:uiPriority w:val="99"/>
    <w:pPr>
      <w:widowControl/>
      <w:autoSpaceDE w:val="0"/>
      <w:autoSpaceDN w:val="0"/>
      <w:adjustRightInd/>
      <w:snapToGrid/>
      <w:spacing w:beforeLines="50" w:line="360" w:lineRule="auto"/>
      <w:ind w:firstLine="480"/>
    </w:pPr>
    <w:rPr>
      <w:rFonts w:ascii="Calibri" w:hAnsi="Calibri"/>
      <w:color w:val="000000"/>
      <w:kern w:val="0"/>
      <w:lang w:val="zh-CN"/>
    </w:rPr>
  </w:style>
  <w:style w:type="character" w:customStyle="1" w:styleId="872">
    <w:name w:val="正文(首行缩进) Char1"/>
    <w:autoRedefine/>
    <w:qFormat/>
    <w:uiPriority w:val="0"/>
    <w:rPr>
      <w:rFonts w:hAnsi="宋体" w:eastAsia="宋体"/>
      <w:snapToGrid w:val="0"/>
      <w:kern w:val="2"/>
      <w:sz w:val="24"/>
      <w:szCs w:val="24"/>
      <w:lang w:val="en-US" w:eastAsia="zh-CN"/>
    </w:rPr>
  </w:style>
  <w:style w:type="character" w:customStyle="1" w:styleId="873">
    <w:name w:val="zhengwen"/>
    <w:autoRedefine/>
    <w:qFormat/>
    <w:uiPriority w:val="0"/>
  </w:style>
  <w:style w:type="character" w:customStyle="1" w:styleId="874">
    <w:name w:val="文本框五号1.5倍行距 Char Char"/>
    <w:autoRedefine/>
    <w:qFormat/>
    <w:uiPriority w:val="0"/>
    <w:rPr>
      <w:rFonts w:eastAsia="仿宋_GB2312"/>
      <w:kern w:val="2"/>
      <w:sz w:val="21"/>
      <w:szCs w:val="21"/>
      <w:lang w:val="en-US" w:eastAsia="zh-CN"/>
    </w:rPr>
  </w:style>
  <w:style w:type="character" w:customStyle="1" w:styleId="875">
    <w:name w:val="11111正式正文 Char Char"/>
    <w:link w:val="876"/>
    <w:autoRedefine/>
    <w:qFormat/>
    <w:uiPriority w:val="0"/>
    <w:rPr>
      <w:sz w:val="24"/>
      <w:szCs w:val="28"/>
      <w:lang w:val="en-US" w:eastAsia="zh-CN" w:bidi="ar-SA"/>
    </w:rPr>
  </w:style>
  <w:style w:type="paragraph" w:customStyle="1" w:styleId="876">
    <w:name w:val="11111正式正文"/>
    <w:link w:val="875"/>
    <w:autoRedefine/>
    <w:qFormat/>
    <w:uiPriority w:val="99"/>
    <w:pPr>
      <w:spacing w:after="200" w:line="500" w:lineRule="exact"/>
      <w:ind w:firstLine="200" w:firstLineChars="200"/>
    </w:pPr>
    <w:rPr>
      <w:rFonts w:ascii="Calibri" w:hAnsi="Calibri" w:eastAsia="宋体" w:cs="Times New Roman"/>
      <w:sz w:val="24"/>
      <w:szCs w:val="28"/>
      <w:lang w:val="en-US" w:eastAsia="zh-CN" w:bidi="ar-SA"/>
    </w:rPr>
  </w:style>
  <w:style w:type="character" w:customStyle="1" w:styleId="877">
    <w:name w:val="title_black_141"/>
    <w:autoRedefine/>
    <w:qFormat/>
    <w:uiPriority w:val="0"/>
    <w:rPr>
      <w:color w:val="000000"/>
      <w:sz w:val="21"/>
      <w:szCs w:val="21"/>
      <w:u w:val="none"/>
    </w:rPr>
  </w:style>
  <w:style w:type="character" w:customStyle="1" w:styleId="878">
    <w:name w:val="样式 样式9 + 宋体 Char Char"/>
    <w:link w:val="879"/>
    <w:autoRedefine/>
    <w:qFormat/>
    <w:uiPriority w:val="0"/>
    <w:rPr>
      <w:sz w:val="26"/>
      <w:szCs w:val="26"/>
    </w:rPr>
  </w:style>
  <w:style w:type="paragraph" w:customStyle="1" w:styleId="879">
    <w:name w:val="样式 样式9 + 宋体"/>
    <w:basedOn w:val="1"/>
    <w:link w:val="878"/>
    <w:autoRedefine/>
    <w:qFormat/>
    <w:uiPriority w:val="99"/>
    <w:pPr>
      <w:widowControl/>
    </w:pPr>
    <w:rPr>
      <w:rFonts w:ascii="Calibri" w:hAnsi="Calibri"/>
      <w:kern w:val="0"/>
      <w:sz w:val="26"/>
      <w:szCs w:val="26"/>
      <w:lang w:val="zh-CN"/>
    </w:rPr>
  </w:style>
  <w:style w:type="character" w:customStyle="1" w:styleId="880">
    <w:name w:val="wenben2"/>
    <w:autoRedefine/>
    <w:qFormat/>
    <w:uiPriority w:val="0"/>
    <w:rPr>
      <w:color w:val="1C1C1C"/>
      <w:sz w:val="21"/>
      <w:szCs w:val="21"/>
      <w:u w:val="none"/>
    </w:rPr>
  </w:style>
  <w:style w:type="character" w:customStyle="1" w:styleId="881">
    <w:name w:val="表 Char Char"/>
    <w:autoRedefine/>
    <w:qFormat/>
    <w:uiPriority w:val="0"/>
    <w:rPr>
      <w:rFonts w:eastAsia="仿宋_GB2312"/>
      <w:sz w:val="24"/>
      <w:szCs w:val="24"/>
    </w:rPr>
  </w:style>
  <w:style w:type="character" w:customStyle="1" w:styleId="882">
    <w:name w:val="正文四号 Char1"/>
    <w:autoRedefine/>
    <w:qFormat/>
    <w:uiPriority w:val="0"/>
    <w:rPr>
      <w:rFonts w:eastAsia="宋体"/>
      <w:kern w:val="2"/>
      <w:sz w:val="28"/>
      <w:szCs w:val="28"/>
      <w:lang w:val="en-US" w:eastAsia="zh-CN"/>
    </w:rPr>
  </w:style>
  <w:style w:type="character" w:customStyle="1" w:styleId="883">
    <w:name w:val="f9"/>
    <w:autoRedefine/>
    <w:qFormat/>
    <w:uiPriority w:val="0"/>
    <w:rPr>
      <w:rFonts w:ascii="Times New Roman" w:hAnsi="Times New Roman" w:eastAsia="仿宋_GB2312"/>
      <w:sz w:val="24"/>
    </w:rPr>
  </w:style>
  <w:style w:type="character" w:customStyle="1" w:styleId="884">
    <w:name w:val="样式 样式4 + 首行缩进:  1.92 字符 Char Char"/>
    <w:link w:val="885"/>
    <w:autoRedefine/>
    <w:qFormat/>
    <w:uiPriority w:val="0"/>
    <w:rPr>
      <w:rFonts w:ascii="宋体" w:hAnsi="宋体" w:cs="宋体"/>
      <w:sz w:val="28"/>
    </w:rPr>
  </w:style>
  <w:style w:type="paragraph" w:customStyle="1" w:styleId="885">
    <w:name w:val="样式 样式4 + 首行缩进:  1.92 字符"/>
    <w:basedOn w:val="1"/>
    <w:link w:val="884"/>
    <w:autoRedefine/>
    <w:qFormat/>
    <w:uiPriority w:val="0"/>
    <w:pPr>
      <w:widowControl/>
      <w:adjustRightInd/>
      <w:spacing w:line="300" w:lineRule="auto"/>
      <w:ind w:firstLine="538" w:firstLineChars="192"/>
    </w:pPr>
    <w:rPr>
      <w:rFonts w:ascii="宋体" w:hAnsi="宋体"/>
      <w:kern w:val="0"/>
      <w:sz w:val="28"/>
      <w:lang w:val="zh-CN"/>
    </w:rPr>
  </w:style>
  <w:style w:type="character" w:customStyle="1" w:styleId="886">
    <w:name w:val="表头样式1 Char1"/>
    <w:link w:val="887"/>
    <w:autoRedefine/>
    <w:qFormat/>
    <w:uiPriority w:val="0"/>
    <w:rPr>
      <w:rFonts w:eastAsia="黑体"/>
      <w:b/>
      <w:sz w:val="24"/>
    </w:rPr>
  </w:style>
  <w:style w:type="paragraph" w:customStyle="1" w:styleId="887">
    <w:name w:val="表头样式1"/>
    <w:basedOn w:val="1"/>
    <w:link w:val="886"/>
    <w:autoRedefine/>
    <w:qFormat/>
    <w:uiPriority w:val="0"/>
    <w:pPr>
      <w:widowControl/>
      <w:adjustRightInd/>
      <w:snapToGrid/>
      <w:spacing w:after="80" w:line="480" w:lineRule="atLeast"/>
      <w:jc w:val="center"/>
    </w:pPr>
    <w:rPr>
      <w:rFonts w:ascii="Calibri" w:hAnsi="Calibri" w:eastAsia="黑体"/>
      <w:b/>
      <w:kern w:val="0"/>
      <w:lang w:val="zh-CN"/>
    </w:rPr>
  </w:style>
  <w:style w:type="character" w:customStyle="1" w:styleId="888">
    <w:name w:val="keywords1"/>
    <w:autoRedefine/>
    <w:qFormat/>
    <w:uiPriority w:val="0"/>
    <w:rPr>
      <w:b/>
      <w:bCs/>
      <w:color w:val="FF6600"/>
    </w:rPr>
  </w:style>
  <w:style w:type="character" w:customStyle="1" w:styleId="889">
    <w:name w:val="lulu正文0 Char Char"/>
    <w:link w:val="890"/>
    <w:autoRedefine/>
    <w:qFormat/>
    <w:uiPriority w:val="0"/>
    <w:rPr>
      <w:rFonts w:cs="宋体"/>
      <w:sz w:val="26"/>
    </w:rPr>
  </w:style>
  <w:style w:type="paragraph" w:customStyle="1" w:styleId="890">
    <w:name w:val="lulu正文0"/>
    <w:basedOn w:val="1"/>
    <w:link w:val="889"/>
    <w:autoRedefine/>
    <w:qFormat/>
    <w:uiPriority w:val="99"/>
    <w:pPr>
      <w:adjustRightInd/>
      <w:snapToGrid/>
      <w:ind w:firstLine="520"/>
    </w:pPr>
    <w:rPr>
      <w:rFonts w:ascii="Calibri" w:hAnsi="Calibri"/>
      <w:kern w:val="0"/>
      <w:sz w:val="26"/>
      <w:lang w:val="zh-CN"/>
    </w:rPr>
  </w:style>
  <w:style w:type="character" w:customStyle="1" w:styleId="891">
    <w:name w:val="标准样式 Char1"/>
    <w:link w:val="892"/>
    <w:autoRedefine/>
    <w:qFormat/>
    <w:uiPriority w:val="0"/>
    <w:rPr>
      <w:rFonts w:ascii="宋体"/>
      <w:sz w:val="28"/>
      <w:szCs w:val="26"/>
    </w:rPr>
  </w:style>
  <w:style w:type="paragraph" w:customStyle="1" w:styleId="892">
    <w:name w:val="标准样式"/>
    <w:basedOn w:val="1"/>
    <w:link w:val="891"/>
    <w:autoRedefine/>
    <w:qFormat/>
    <w:uiPriority w:val="0"/>
    <w:pPr>
      <w:widowControl/>
      <w:spacing w:line="600" w:lineRule="exact"/>
      <w:ind w:firstLine="567"/>
    </w:pPr>
    <w:rPr>
      <w:rFonts w:ascii="宋体" w:hAnsi="Calibri"/>
      <w:kern w:val="0"/>
      <w:sz w:val="28"/>
      <w:szCs w:val="26"/>
      <w:lang w:val="zh-CN"/>
    </w:rPr>
  </w:style>
  <w:style w:type="character" w:customStyle="1" w:styleId="893">
    <w:name w:val="textindent"/>
    <w:autoRedefine/>
    <w:qFormat/>
    <w:uiPriority w:val="0"/>
  </w:style>
  <w:style w:type="character" w:customStyle="1" w:styleId="894">
    <w:name w:val="正文文本1 Char Char"/>
    <w:autoRedefine/>
    <w:qFormat/>
    <w:uiPriority w:val="0"/>
    <w:rPr>
      <w:rFonts w:ascii="宋体" w:hAnsi="华文宋体" w:eastAsia="宋体" w:cs="宋体"/>
      <w:w w:val="80"/>
      <w:kern w:val="2"/>
      <w:sz w:val="28"/>
      <w:lang w:val="en-US" w:eastAsia="zh-CN"/>
    </w:rPr>
  </w:style>
  <w:style w:type="character" w:customStyle="1" w:styleId="895">
    <w:name w:val="unnamed31"/>
    <w:autoRedefine/>
    <w:qFormat/>
    <w:uiPriority w:val="0"/>
    <w:rPr>
      <w:color w:val="000000"/>
      <w:sz w:val="18"/>
      <w:szCs w:val="18"/>
    </w:rPr>
  </w:style>
  <w:style w:type="character" w:customStyle="1" w:styleId="896">
    <w:name w:val="标准样式 Char Char Char Char"/>
    <w:autoRedefine/>
    <w:qFormat/>
    <w:uiPriority w:val="0"/>
    <w:rPr>
      <w:rFonts w:ascii="宋体" w:eastAsia="宋体"/>
      <w:kern w:val="2"/>
      <w:sz w:val="28"/>
      <w:szCs w:val="26"/>
      <w:lang w:val="en-US" w:eastAsia="zh-CN"/>
    </w:rPr>
  </w:style>
  <w:style w:type="character" w:customStyle="1" w:styleId="897">
    <w:name w:val="ldblue1"/>
    <w:autoRedefine/>
    <w:qFormat/>
    <w:uiPriority w:val="0"/>
    <w:rPr>
      <w:rFonts w:hint="default" w:ascii="Verdana" w:hAnsi="Verdana"/>
      <w:color w:val="003CD9"/>
      <w:sz w:val="22"/>
      <w:szCs w:val="22"/>
    </w:rPr>
  </w:style>
  <w:style w:type="character" w:customStyle="1" w:styleId="898">
    <w:name w:val="f14b"/>
    <w:autoRedefine/>
    <w:qFormat/>
    <w:uiPriority w:val="0"/>
  </w:style>
  <w:style w:type="character" w:customStyle="1" w:styleId="899">
    <w:name w:val="正文(首行缩进) Char Char"/>
    <w:autoRedefine/>
    <w:qFormat/>
    <w:uiPriority w:val="0"/>
    <w:rPr>
      <w:rFonts w:eastAsia="宋体"/>
      <w:snapToGrid w:val="0"/>
      <w:sz w:val="24"/>
      <w:szCs w:val="24"/>
    </w:rPr>
  </w:style>
  <w:style w:type="character" w:customStyle="1" w:styleId="900">
    <w:name w:val="表头 Char1"/>
    <w:autoRedefine/>
    <w:qFormat/>
    <w:uiPriority w:val="0"/>
    <w:rPr>
      <w:rFonts w:eastAsia="宋体"/>
      <w:spacing w:val="2"/>
      <w:kern w:val="2"/>
      <w:sz w:val="26"/>
      <w:szCs w:val="26"/>
      <w:lang w:val="en-US" w:eastAsia="zh-CN"/>
    </w:rPr>
  </w:style>
  <w:style w:type="character" w:customStyle="1" w:styleId="901">
    <w:name w:val="排版正文 Char Char Char Char Char"/>
    <w:link w:val="902"/>
    <w:autoRedefine/>
    <w:qFormat/>
    <w:uiPriority w:val="0"/>
    <w:rPr>
      <w:color w:val="000000"/>
      <w:sz w:val="26"/>
      <w:szCs w:val="26"/>
    </w:rPr>
  </w:style>
  <w:style w:type="paragraph" w:customStyle="1" w:styleId="902">
    <w:name w:val="排版正文 Char Char Char"/>
    <w:basedOn w:val="1"/>
    <w:link w:val="901"/>
    <w:autoRedefine/>
    <w:qFormat/>
    <w:uiPriority w:val="99"/>
    <w:pPr>
      <w:widowControl/>
      <w:spacing w:line="460" w:lineRule="exact"/>
    </w:pPr>
    <w:rPr>
      <w:rFonts w:ascii="Calibri" w:hAnsi="Calibri"/>
      <w:color w:val="000000"/>
      <w:kern w:val="0"/>
      <w:sz w:val="26"/>
      <w:szCs w:val="26"/>
      <w:lang w:val="zh-CN"/>
    </w:rPr>
  </w:style>
  <w:style w:type="character" w:customStyle="1" w:styleId="903">
    <w:name w:val="main_141"/>
    <w:autoRedefine/>
    <w:qFormat/>
    <w:uiPriority w:val="0"/>
    <w:rPr>
      <w:rFonts w:hint="default" w:ascii="Verdana" w:hAnsi="Verdana"/>
      <w:color w:val="333333"/>
      <w:sz w:val="23"/>
      <w:szCs w:val="23"/>
    </w:rPr>
  </w:style>
  <w:style w:type="character" w:customStyle="1" w:styleId="904">
    <w:name w:val="11标题1 Char1"/>
    <w:link w:val="905"/>
    <w:autoRedefine/>
    <w:qFormat/>
    <w:uiPriority w:val="0"/>
    <w:rPr>
      <w:rFonts w:ascii="宋体" w:hAnsi="宋体" w:eastAsia="微软雅黑" w:cs="宋体"/>
      <w:b/>
      <w:bCs/>
      <w:kern w:val="44"/>
      <w:sz w:val="30"/>
    </w:rPr>
  </w:style>
  <w:style w:type="paragraph" w:customStyle="1" w:styleId="905">
    <w:name w:val="11标题1"/>
    <w:basedOn w:val="3"/>
    <w:link w:val="904"/>
    <w:autoRedefine/>
    <w:qFormat/>
    <w:uiPriority w:val="99"/>
    <w:pPr>
      <w:widowControl/>
      <w:numPr>
        <w:numId w:val="0"/>
      </w:numPr>
      <w:adjustRightInd/>
      <w:snapToGrid/>
      <w:spacing w:beforeLines="100" w:afterLines="100" w:line="360" w:lineRule="auto"/>
      <w:jc w:val="center"/>
    </w:pPr>
    <w:rPr>
      <w:rFonts w:ascii="宋体" w:hAnsi="宋体" w:eastAsia="微软雅黑"/>
      <w:sz w:val="30"/>
      <w:szCs w:val="20"/>
    </w:rPr>
  </w:style>
  <w:style w:type="character" w:customStyle="1" w:styleId="906">
    <w:name w:val="标题2 Char Char"/>
    <w:autoRedefine/>
    <w:qFormat/>
    <w:uiPriority w:val="0"/>
    <w:rPr>
      <w:rFonts w:ascii="Arial" w:hAnsi="Arial" w:eastAsia="宋体"/>
      <w:b/>
      <w:bCs/>
      <w:kern w:val="2"/>
      <w:sz w:val="28"/>
      <w:szCs w:val="32"/>
      <w:lang w:val="en-US" w:eastAsia="zh-CN"/>
    </w:rPr>
  </w:style>
  <w:style w:type="character" w:customStyle="1" w:styleId="907">
    <w:name w:val="样式12 Char Char"/>
    <w:link w:val="908"/>
    <w:autoRedefine/>
    <w:qFormat/>
    <w:uiPriority w:val="0"/>
    <w:rPr>
      <w:b/>
      <w:sz w:val="26"/>
      <w:szCs w:val="26"/>
    </w:rPr>
  </w:style>
  <w:style w:type="paragraph" w:customStyle="1" w:styleId="908">
    <w:name w:val="样式12"/>
    <w:basedOn w:val="1"/>
    <w:link w:val="907"/>
    <w:autoRedefine/>
    <w:qFormat/>
    <w:uiPriority w:val="0"/>
    <w:pPr>
      <w:widowControl/>
      <w:spacing w:line="240" w:lineRule="exact"/>
    </w:pPr>
    <w:rPr>
      <w:rFonts w:ascii="Calibri" w:hAnsi="Calibri"/>
      <w:b/>
      <w:kern w:val="0"/>
      <w:sz w:val="26"/>
      <w:szCs w:val="26"/>
      <w:lang w:val="zh-CN"/>
    </w:rPr>
  </w:style>
  <w:style w:type="character" w:customStyle="1" w:styleId="909">
    <w:name w:val="样式39 Char Char"/>
    <w:link w:val="910"/>
    <w:autoRedefine/>
    <w:qFormat/>
    <w:uiPriority w:val="0"/>
    <w:rPr>
      <w:rFonts w:ascii="宋体" w:hAnsi="宋体"/>
      <w:sz w:val="26"/>
      <w:szCs w:val="26"/>
    </w:rPr>
  </w:style>
  <w:style w:type="paragraph" w:customStyle="1" w:styleId="910">
    <w:name w:val="样式39"/>
    <w:basedOn w:val="1"/>
    <w:link w:val="909"/>
    <w:autoRedefine/>
    <w:qFormat/>
    <w:uiPriority w:val="99"/>
    <w:pPr>
      <w:widowControl/>
      <w:ind w:firstLine="520"/>
    </w:pPr>
    <w:rPr>
      <w:rFonts w:ascii="宋体" w:hAnsi="宋体"/>
      <w:kern w:val="0"/>
      <w:sz w:val="26"/>
      <w:szCs w:val="26"/>
      <w:lang w:val="zh-CN"/>
    </w:rPr>
  </w:style>
  <w:style w:type="character" w:customStyle="1" w:styleId="911">
    <w:name w:val="Char Char12"/>
    <w:autoRedefine/>
    <w:qFormat/>
    <w:uiPriority w:val="0"/>
    <w:rPr>
      <w:rFonts w:ascii="Arial" w:hAnsi="Arial" w:eastAsia="黑体"/>
      <w:b/>
      <w:bCs/>
      <w:kern w:val="2"/>
      <w:sz w:val="32"/>
      <w:szCs w:val="32"/>
      <w:lang w:val="en-US" w:eastAsia="zh-CN"/>
    </w:rPr>
  </w:style>
  <w:style w:type="character" w:customStyle="1" w:styleId="912">
    <w:name w:val="样式19 Char Char"/>
    <w:link w:val="913"/>
    <w:autoRedefine/>
    <w:qFormat/>
    <w:uiPriority w:val="0"/>
    <w:rPr>
      <w:rFonts w:ascii="宋体" w:hAnsi="宋体" w:cs="宋体"/>
      <w:sz w:val="26"/>
      <w:szCs w:val="26"/>
    </w:rPr>
  </w:style>
  <w:style w:type="paragraph" w:customStyle="1" w:styleId="913">
    <w:name w:val="样式19"/>
    <w:basedOn w:val="1"/>
    <w:link w:val="912"/>
    <w:autoRedefine/>
    <w:qFormat/>
    <w:uiPriority w:val="0"/>
    <w:pPr>
      <w:widowControl/>
      <w:spacing w:line="460" w:lineRule="exact"/>
      <w:ind w:firstLine="520"/>
    </w:pPr>
    <w:rPr>
      <w:rFonts w:ascii="宋体" w:hAnsi="宋体"/>
      <w:kern w:val="0"/>
      <w:sz w:val="26"/>
      <w:szCs w:val="26"/>
      <w:lang w:val="zh-CN"/>
    </w:rPr>
  </w:style>
  <w:style w:type="character" w:customStyle="1" w:styleId="914">
    <w:name w:val="文本 Char Char"/>
    <w:autoRedefine/>
    <w:qFormat/>
    <w:uiPriority w:val="0"/>
    <w:rPr>
      <w:rFonts w:eastAsia="宋体"/>
      <w:snapToGrid w:val="0"/>
      <w:kern w:val="28"/>
      <w:sz w:val="26"/>
      <w:szCs w:val="26"/>
      <w:lang w:val="en-US" w:eastAsia="zh-CN"/>
    </w:rPr>
  </w:style>
  <w:style w:type="character" w:customStyle="1" w:styleId="915">
    <w:name w:val="表中文字 Char Char"/>
    <w:link w:val="181"/>
    <w:autoRedefine/>
    <w:qFormat/>
    <w:uiPriority w:val="0"/>
    <w:rPr>
      <w:rFonts w:ascii="Times New Roman" w:hAnsi="Times New Roman"/>
      <w:kern w:val="2"/>
      <w:sz w:val="21"/>
      <w:szCs w:val="18"/>
    </w:rPr>
  </w:style>
  <w:style w:type="character" w:customStyle="1" w:styleId="916">
    <w:name w:val="样式 样式 四号 黑色 + 首行缩进:  2 字符 Char Char"/>
    <w:link w:val="917"/>
    <w:autoRedefine/>
    <w:qFormat/>
    <w:uiPriority w:val="0"/>
    <w:rPr>
      <w:rFonts w:cs="宋体"/>
      <w:color w:val="000000"/>
      <w:sz w:val="28"/>
      <w:lang w:val="en-US" w:eastAsia="zh-CN" w:bidi="ar-SA"/>
    </w:rPr>
  </w:style>
  <w:style w:type="paragraph" w:customStyle="1" w:styleId="917">
    <w:name w:val="样式 样式 四号 黑色 + 首行缩进:  2 字符"/>
    <w:link w:val="916"/>
    <w:autoRedefine/>
    <w:qFormat/>
    <w:uiPriority w:val="99"/>
    <w:pPr>
      <w:spacing w:after="200" w:line="360" w:lineRule="auto"/>
      <w:ind w:firstLine="200" w:firstLineChars="200"/>
    </w:pPr>
    <w:rPr>
      <w:rFonts w:ascii="Calibri" w:hAnsi="Calibri" w:eastAsia="宋体" w:cs="宋体"/>
      <w:color w:val="000000"/>
      <w:sz w:val="28"/>
      <w:lang w:val="en-US" w:eastAsia="zh-CN" w:bidi="ar-SA"/>
    </w:rPr>
  </w:style>
  <w:style w:type="character" w:customStyle="1" w:styleId="918">
    <w:name w:val="表格表格 Char Char"/>
    <w:link w:val="919"/>
    <w:autoRedefine/>
    <w:qFormat/>
    <w:uiPriority w:val="0"/>
    <w:rPr>
      <w:rFonts w:cs="宋体"/>
      <w:color w:val="000000"/>
      <w:szCs w:val="21"/>
    </w:rPr>
  </w:style>
  <w:style w:type="paragraph" w:customStyle="1" w:styleId="919">
    <w:name w:val="表格表格"/>
    <w:basedOn w:val="1"/>
    <w:link w:val="918"/>
    <w:autoRedefine/>
    <w:qFormat/>
    <w:uiPriority w:val="99"/>
    <w:pPr>
      <w:widowControl/>
      <w:adjustRightInd/>
      <w:snapToGrid/>
      <w:spacing w:line="440" w:lineRule="exact"/>
    </w:pPr>
    <w:rPr>
      <w:rFonts w:ascii="Calibri" w:hAnsi="Calibri"/>
      <w:color w:val="000000"/>
      <w:kern w:val="0"/>
      <w:sz w:val="20"/>
      <w:szCs w:val="21"/>
      <w:lang w:val="zh-CN"/>
    </w:rPr>
  </w:style>
  <w:style w:type="character" w:customStyle="1" w:styleId="920">
    <w:name w:val="三级标题 Char Char"/>
    <w:link w:val="349"/>
    <w:autoRedefine/>
    <w:qFormat/>
    <w:uiPriority w:val="0"/>
    <w:rPr>
      <w:rFonts w:ascii="宋体" w:hAnsi="宋体"/>
      <w:kern w:val="2"/>
      <w:sz w:val="24"/>
      <w:szCs w:val="24"/>
    </w:rPr>
  </w:style>
  <w:style w:type="character" w:customStyle="1" w:styleId="921">
    <w:name w:val="contenttext1"/>
    <w:autoRedefine/>
    <w:qFormat/>
    <w:uiPriority w:val="0"/>
  </w:style>
  <w:style w:type="character" w:customStyle="1" w:styleId="922">
    <w:name w:val="样式 表格文字 + 10 磅 Char Char"/>
    <w:link w:val="923"/>
    <w:autoRedefine/>
    <w:qFormat/>
    <w:uiPriority w:val="0"/>
  </w:style>
  <w:style w:type="paragraph" w:customStyle="1" w:styleId="923">
    <w:name w:val="样式 表格文字 + 10 磅"/>
    <w:basedOn w:val="184"/>
    <w:link w:val="922"/>
    <w:autoRedefine/>
    <w:qFormat/>
    <w:uiPriority w:val="99"/>
    <w:pPr>
      <w:widowControl/>
      <w:snapToGrid/>
      <w:spacing w:line="440" w:lineRule="exact"/>
      <w:ind w:firstLine="200" w:firstLineChars="200"/>
      <w:textAlignment w:val="auto"/>
    </w:pPr>
    <w:rPr>
      <w:rFonts w:ascii="Calibri" w:hAnsi="Calibri"/>
      <w:snapToGrid/>
      <w:kern w:val="0"/>
      <w:sz w:val="20"/>
      <w:szCs w:val="20"/>
      <w:lang w:val="en-US"/>
    </w:rPr>
  </w:style>
  <w:style w:type="character" w:customStyle="1" w:styleId="924">
    <w:name w:val="表格文字 Char Char"/>
    <w:autoRedefine/>
    <w:qFormat/>
    <w:uiPriority w:val="0"/>
    <w:rPr>
      <w:rFonts w:ascii="Times New Roman" w:hAnsi="Times New Roman" w:cs="宋体"/>
      <w:snapToGrid w:val="0"/>
      <w:kern w:val="2"/>
      <w:sz w:val="21"/>
      <w:szCs w:val="21"/>
    </w:rPr>
  </w:style>
  <w:style w:type="character" w:customStyle="1" w:styleId="925">
    <w:name w:val="页眉00 Char Char"/>
    <w:autoRedefine/>
    <w:qFormat/>
    <w:uiPriority w:val="0"/>
    <w:rPr>
      <w:rFonts w:eastAsia="宋体"/>
      <w:kern w:val="2"/>
      <w:sz w:val="18"/>
      <w:szCs w:val="18"/>
      <w:lang w:val="en-US" w:eastAsia="zh-CN"/>
    </w:rPr>
  </w:style>
  <w:style w:type="character" w:customStyle="1" w:styleId="926">
    <w:name w:val="style31"/>
    <w:autoRedefine/>
    <w:qFormat/>
    <w:uiPriority w:val="0"/>
    <w:rPr>
      <w:color w:val="auto"/>
      <w:sz w:val="18"/>
      <w:szCs w:val="18"/>
      <w:u w:val="none"/>
    </w:rPr>
  </w:style>
  <w:style w:type="character" w:customStyle="1" w:styleId="927">
    <w:name w:val="样式 宋体 四号 行距: 1.5 倍行距 Char Char"/>
    <w:autoRedefine/>
    <w:qFormat/>
    <w:uiPriority w:val="0"/>
    <w:rPr>
      <w:rFonts w:ascii="宋体" w:hAnsi="宋体" w:eastAsia="宋体" w:cs="宋体"/>
      <w:kern w:val="2"/>
      <w:sz w:val="28"/>
      <w:szCs w:val="28"/>
      <w:lang w:val="en-US" w:eastAsia="zh-CN"/>
    </w:rPr>
  </w:style>
  <w:style w:type="character" w:customStyle="1" w:styleId="928">
    <w:name w:val="13b1"/>
    <w:autoRedefine/>
    <w:qFormat/>
    <w:uiPriority w:val="0"/>
    <w:rPr>
      <w:color w:val="000000"/>
      <w:sz w:val="26"/>
      <w:szCs w:val="26"/>
    </w:rPr>
  </w:style>
  <w:style w:type="character" w:customStyle="1" w:styleId="929">
    <w:name w:val="图名中文 Char Char Char"/>
    <w:autoRedefine/>
    <w:qFormat/>
    <w:uiPriority w:val="0"/>
    <w:rPr>
      <w:rFonts w:ascii="宋体" w:hAnsi="宋体"/>
      <w:sz w:val="21"/>
      <w:szCs w:val="21"/>
      <w:lang w:eastAsia="en-US"/>
    </w:rPr>
  </w:style>
  <w:style w:type="character" w:customStyle="1" w:styleId="930">
    <w:name w:val="3zw"/>
    <w:autoRedefine/>
    <w:qFormat/>
    <w:uiPriority w:val="0"/>
  </w:style>
  <w:style w:type="character" w:customStyle="1" w:styleId="931">
    <w:name w:val="iyz5991"/>
    <w:autoRedefine/>
    <w:qFormat/>
    <w:uiPriority w:val="0"/>
  </w:style>
  <w:style w:type="character" w:customStyle="1" w:styleId="932">
    <w:name w:val="样式 四号 黑色 Char Char"/>
    <w:link w:val="933"/>
    <w:autoRedefine/>
    <w:qFormat/>
    <w:uiPriority w:val="0"/>
    <w:rPr>
      <w:rFonts w:cs="宋体"/>
      <w:sz w:val="24"/>
      <w:szCs w:val="24"/>
    </w:rPr>
  </w:style>
  <w:style w:type="paragraph" w:customStyle="1" w:styleId="933">
    <w:name w:val="样式 四号 黑色"/>
    <w:basedOn w:val="1"/>
    <w:link w:val="932"/>
    <w:autoRedefine/>
    <w:qFormat/>
    <w:uiPriority w:val="99"/>
    <w:pPr>
      <w:widowControl/>
      <w:adjustRightInd/>
      <w:snapToGrid/>
      <w:spacing w:line="360" w:lineRule="auto"/>
      <w:ind w:firstLine="560"/>
    </w:pPr>
    <w:rPr>
      <w:rFonts w:ascii="Calibri" w:hAnsi="Calibri"/>
      <w:kern w:val="0"/>
      <w:szCs w:val="24"/>
      <w:lang w:val="zh-CN"/>
    </w:rPr>
  </w:style>
  <w:style w:type="character" w:customStyle="1" w:styleId="934">
    <w:name w:val="3213213213 Char Char"/>
    <w:link w:val="935"/>
    <w:autoRedefine/>
    <w:qFormat/>
    <w:uiPriority w:val="0"/>
    <w:rPr>
      <w:rFonts w:cs="宋体"/>
      <w:sz w:val="28"/>
    </w:rPr>
  </w:style>
  <w:style w:type="paragraph" w:customStyle="1" w:styleId="935">
    <w:name w:val="3213213213"/>
    <w:basedOn w:val="1"/>
    <w:link w:val="934"/>
    <w:autoRedefine/>
    <w:qFormat/>
    <w:uiPriority w:val="99"/>
    <w:pPr>
      <w:widowControl/>
      <w:adjustRightInd/>
      <w:snapToGrid/>
      <w:spacing w:line="360" w:lineRule="auto"/>
      <w:ind w:firstLine="480"/>
    </w:pPr>
    <w:rPr>
      <w:rFonts w:ascii="Calibri" w:hAnsi="Calibri"/>
      <w:kern w:val="0"/>
      <w:sz w:val="28"/>
      <w:lang w:val="zh-CN"/>
    </w:rPr>
  </w:style>
  <w:style w:type="character" w:customStyle="1" w:styleId="936">
    <w:name w:val="样式 标题 3 Char Char Char Char Char Char Char Char Char Char Char C..."/>
    <w:autoRedefine/>
    <w:qFormat/>
    <w:uiPriority w:val="0"/>
    <w:rPr>
      <w:rFonts w:ascii="Times New Roman" w:hAnsi="Times New Roman" w:eastAsia="仿宋_GB2312"/>
      <w:bCs/>
      <w:smallCaps/>
      <w:color w:val="000000"/>
      <w:spacing w:val="8"/>
      <w:sz w:val="28"/>
      <w:szCs w:val="32"/>
      <w:vertAlign w:val="baseline"/>
    </w:rPr>
  </w:style>
  <w:style w:type="character" w:customStyle="1" w:styleId="937">
    <w:name w:val="纯文本 Char Char"/>
    <w:autoRedefine/>
    <w:qFormat/>
    <w:uiPriority w:val="0"/>
    <w:rPr>
      <w:rFonts w:ascii="宋体" w:hAnsi="宋体" w:eastAsia="宋体" w:cs="宋体"/>
      <w:color w:val="000000"/>
      <w:sz w:val="24"/>
      <w:szCs w:val="24"/>
      <w:lang w:val="en-US" w:eastAsia="zh-CN"/>
    </w:rPr>
  </w:style>
  <w:style w:type="character" w:customStyle="1" w:styleId="938">
    <w:name w:val="明显引用 Char1"/>
    <w:autoRedefine/>
    <w:qFormat/>
    <w:uiPriority w:val="30"/>
    <w:rPr>
      <w:rFonts w:ascii="Calibri" w:hAnsi="Calibri" w:eastAsia="宋体" w:cs="Times New Roman"/>
      <w:b/>
      <w:bCs/>
      <w:i/>
      <w:iCs/>
      <w:color w:val="4F81BD"/>
      <w:kern w:val="0"/>
      <w:sz w:val="24"/>
      <w:lang w:eastAsia="en-US"/>
    </w:rPr>
  </w:style>
  <w:style w:type="character" w:customStyle="1" w:styleId="939">
    <w:name w:val="frd1"/>
    <w:autoRedefine/>
    <w:qFormat/>
    <w:uiPriority w:val="0"/>
    <w:rPr>
      <w:color w:val="E10900"/>
    </w:rPr>
  </w:style>
  <w:style w:type="character" w:customStyle="1" w:styleId="940">
    <w:name w:val="search_content1"/>
    <w:autoRedefine/>
    <w:qFormat/>
    <w:uiPriority w:val="0"/>
    <w:rPr>
      <w:sz w:val="20"/>
      <w:szCs w:val="20"/>
    </w:rPr>
  </w:style>
  <w:style w:type="character" w:customStyle="1" w:styleId="941">
    <w:name w:val="小节标题 Char1"/>
    <w:autoRedefine/>
    <w:qFormat/>
    <w:uiPriority w:val="0"/>
    <w:rPr>
      <w:rFonts w:eastAsia="宋体"/>
      <w:b/>
      <w:bCs/>
      <w:kern w:val="2"/>
      <w:sz w:val="32"/>
      <w:szCs w:val="32"/>
      <w:lang w:val="en-US" w:eastAsia="zh-CN"/>
    </w:rPr>
  </w:style>
  <w:style w:type="character" w:customStyle="1" w:styleId="942">
    <w:name w:val="节标题 Char Char"/>
    <w:autoRedefine/>
    <w:qFormat/>
    <w:uiPriority w:val="0"/>
    <w:rPr>
      <w:rFonts w:ascii="Arial" w:hAnsi="Arial" w:eastAsia="黑体"/>
      <w:b/>
      <w:bCs/>
      <w:kern w:val="2"/>
      <w:sz w:val="32"/>
      <w:szCs w:val="32"/>
      <w:lang w:val="en-US" w:eastAsia="zh-CN"/>
    </w:rPr>
  </w:style>
  <w:style w:type="character" w:customStyle="1" w:styleId="943">
    <w:name w:val="11p1"/>
    <w:autoRedefine/>
    <w:qFormat/>
    <w:uiPriority w:val="0"/>
    <w:rPr>
      <w:sz w:val="30"/>
      <w:szCs w:val="30"/>
    </w:rPr>
  </w:style>
  <w:style w:type="character" w:customStyle="1" w:styleId="944">
    <w:name w:val="表文字 Char Char Char Char Char"/>
    <w:link w:val="945"/>
    <w:autoRedefine/>
    <w:qFormat/>
    <w:uiPriority w:val="0"/>
    <w:rPr>
      <w:szCs w:val="21"/>
      <w:lang w:val="en-US" w:eastAsia="zh-CN" w:bidi="ar-SA"/>
    </w:rPr>
  </w:style>
  <w:style w:type="paragraph" w:customStyle="1" w:styleId="945">
    <w:name w:val="表文字 Char Char Char"/>
    <w:link w:val="944"/>
    <w:autoRedefine/>
    <w:qFormat/>
    <w:uiPriority w:val="99"/>
    <w:pPr>
      <w:widowControl w:val="0"/>
      <w:adjustRightInd w:val="0"/>
      <w:spacing w:after="200" w:line="240" w:lineRule="exact"/>
      <w:jc w:val="center"/>
      <w:textAlignment w:val="baseline"/>
    </w:pPr>
    <w:rPr>
      <w:rFonts w:ascii="Calibri" w:hAnsi="Calibri" w:eastAsia="宋体" w:cs="Times New Roman"/>
      <w:szCs w:val="21"/>
      <w:lang w:val="en-US" w:eastAsia="zh-CN" w:bidi="ar-SA"/>
    </w:rPr>
  </w:style>
  <w:style w:type="character" w:customStyle="1" w:styleId="946">
    <w:name w:val="标准样式 Char Char Char Char Char"/>
    <w:link w:val="947"/>
    <w:autoRedefine/>
    <w:qFormat/>
    <w:uiPriority w:val="0"/>
    <w:rPr>
      <w:sz w:val="28"/>
      <w:lang w:val="en-US" w:eastAsia="zh-CN" w:bidi="ar-SA"/>
    </w:rPr>
  </w:style>
  <w:style w:type="paragraph" w:customStyle="1" w:styleId="947">
    <w:name w:val="标准样式 Char Char"/>
    <w:link w:val="946"/>
    <w:autoRedefine/>
    <w:qFormat/>
    <w:uiPriority w:val="99"/>
    <w:pPr>
      <w:widowControl w:val="0"/>
      <w:spacing w:after="200" w:line="600" w:lineRule="exact"/>
      <w:ind w:firstLine="200" w:firstLineChars="200"/>
      <w:jc w:val="both"/>
    </w:pPr>
    <w:rPr>
      <w:rFonts w:ascii="Calibri" w:hAnsi="Calibri" w:eastAsia="宋体" w:cs="Times New Roman"/>
      <w:sz w:val="28"/>
      <w:lang w:val="en-US" w:eastAsia="zh-CN" w:bidi="ar-SA"/>
    </w:rPr>
  </w:style>
  <w:style w:type="character" w:customStyle="1" w:styleId="948">
    <w:name w:val="样式 左 首行缩进:  1.01 厘米 Char Char Char Char Char"/>
    <w:link w:val="949"/>
    <w:autoRedefine/>
    <w:qFormat/>
    <w:uiPriority w:val="0"/>
    <w:rPr>
      <w:rFonts w:cs="宋体"/>
      <w:sz w:val="26"/>
      <w:szCs w:val="26"/>
    </w:rPr>
  </w:style>
  <w:style w:type="paragraph" w:customStyle="1" w:styleId="949">
    <w:name w:val="样式 左 首行缩进:  1.01 厘米 Char Char"/>
    <w:basedOn w:val="1"/>
    <w:link w:val="948"/>
    <w:autoRedefine/>
    <w:qFormat/>
    <w:uiPriority w:val="99"/>
    <w:pPr>
      <w:widowControl/>
      <w:spacing w:line="460" w:lineRule="exact"/>
    </w:pPr>
    <w:rPr>
      <w:rFonts w:ascii="Calibri" w:hAnsi="Calibri"/>
      <w:kern w:val="0"/>
      <w:sz w:val="26"/>
      <w:szCs w:val="26"/>
      <w:lang w:val="zh-CN"/>
    </w:rPr>
  </w:style>
  <w:style w:type="character" w:customStyle="1" w:styleId="950">
    <w:name w:val="样式 仿宋_GB2312 小四2"/>
    <w:autoRedefine/>
    <w:qFormat/>
    <w:uiPriority w:val="0"/>
    <w:rPr>
      <w:rFonts w:ascii="Times New Roman" w:hAnsi="Times New Roman" w:eastAsia="仿宋_GB2312"/>
      <w:sz w:val="24"/>
      <w:szCs w:val="24"/>
    </w:rPr>
  </w:style>
  <w:style w:type="character" w:customStyle="1" w:styleId="951">
    <w:name w:val="正文四号 Char Char Char Char Char"/>
    <w:link w:val="952"/>
    <w:autoRedefine/>
    <w:qFormat/>
    <w:uiPriority w:val="0"/>
    <w:rPr>
      <w:rFonts w:cs="宋体"/>
      <w:sz w:val="24"/>
      <w:szCs w:val="24"/>
    </w:rPr>
  </w:style>
  <w:style w:type="paragraph" w:customStyle="1" w:styleId="952">
    <w:name w:val="正文四号 Char Char Char"/>
    <w:basedOn w:val="1"/>
    <w:link w:val="951"/>
    <w:autoRedefine/>
    <w:qFormat/>
    <w:uiPriority w:val="99"/>
    <w:pPr>
      <w:widowControl/>
      <w:adjustRightInd/>
      <w:snapToGrid/>
      <w:spacing w:line="360" w:lineRule="auto"/>
    </w:pPr>
    <w:rPr>
      <w:rFonts w:ascii="Calibri" w:hAnsi="Calibri"/>
      <w:kern w:val="0"/>
      <w:szCs w:val="24"/>
      <w:lang w:val="zh-CN"/>
    </w:rPr>
  </w:style>
  <w:style w:type="character" w:customStyle="1" w:styleId="953">
    <w:name w:val="图名中文 Char Char"/>
    <w:link w:val="954"/>
    <w:autoRedefine/>
    <w:qFormat/>
    <w:uiPriority w:val="0"/>
    <w:rPr>
      <w:rFonts w:ascii="宋体" w:hAnsi="宋体"/>
      <w:szCs w:val="21"/>
      <w:lang w:eastAsia="en-US"/>
    </w:rPr>
  </w:style>
  <w:style w:type="paragraph" w:customStyle="1" w:styleId="954">
    <w:name w:val="图名中文"/>
    <w:basedOn w:val="1"/>
    <w:link w:val="953"/>
    <w:autoRedefine/>
    <w:qFormat/>
    <w:uiPriority w:val="99"/>
    <w:pPr>
      <w:widowControl/>
      <w:adjustRightInd/>
      <w:spacing w:line="300" w:lineRule="auto"/>
      <w:ind w:firstLine="480"/>
      <w:jc w:val="center"/>
    </w:pPr>
    <w:rPr>
      <w:rFonts w:ascii="宋体" w:hAnsi="宋体"/>
      <w:kern w:val="0"/>
      <w:sz w:val="20"/>
      <w:szCs w:val="21"/>
      <w:lang w:val="zh-CN" w:eastAsia="en-US"/>
    </w:rPr>
  </w:style>
  <w:style w:type="character" w:customStyle="1" w:styleId="955">
    <w:name w:val="xb"/>
    <w:autoRedefine/>
    <w:qFormat/>
    <w:uiPriority w:val="0"/>
  </w:style>
  <w:style w:type="character" w:customStyle="1" w:styleId="956">
    <w:name w:val="list_link"/>
    <w:autoRedefine/>
    <w:qFormat/>
    <w:uiPriority w:val="0"/>
  </w:style>
  <w:style w:type="character" w:customStyle="1" w:styleId="957">
    <w:name w:val="sb"/>
    <w:autoRedefine/>
    <w:qFormat/>
    <w:uiPriority w:val="0"/>
  </w:style>
  <w:style w:type="character" w:customStyle="1" w:styleId="958">
    <w:name w:val="报告 Char Char"/>
    <w:link w:val="959"/>
    <w:autoRedefine/>
    <w:qFormat/>
    <w:uiPriority w:val="0"/>
    <w:rPr>
      <w:sz w:val="24"/>
    </w:rPr>
  </w:style>
  <w:style w:type="paragraph" w:customStyle="1" w:styleId="959">
    <w:name w:val="报告"/>
    <w:basedOn w:val="1"/>
    <w:link w:val="958"/>
    <w:autoRedefine/>
    <w:qFormat/>
    <w:uiPriority w:val="0"/>
    <w:pPr>
      <w:widowControl/>
      <w:snapToGrid/>
      <w:spacing w:line="360" w:lineRule="auto"/>
      <w:ind w:firstLine="505"/>
      <w:textAlignment w:val="center"/>
    </w:pPr>
    <w:rPr>
      <w:rFonts w:ascii="Calibri" w:hAnsi="Calibri"/>
      <w:kern w:val="0"/>
      <w:lang w:val="zh-CN"/>
    </w:rPr>
  </w:style>
  <w:style w:type="character" w:customStyle="1" w:styleId="960">
    <w:name w:val="n表名 Char Char"/>
    <w:link w:val="961"/>
    <w:autoRedefine/>
    <w:qFormat/>
    <w:uiPriority w:val="0"/>
    <w:rPr>
      <w:rFonts w:ascii="黑体" w:hAnsi="Cambria" w:eastAsia="黑体"/>
    </w:rPr>
  </w:style>
  <w:style w:type="paragraph" w:customStyle="1" w:styleId="961">
    <w:name w:val="n表名"/>
    <w:basedOn w:val="22"/>
    <w:link w:val="960"/>
    <w:autoRedefine/>
    <w:qFormat/>
    <w:uiPriority w:val="99"/>
    <w:pPr>
      <w:widowControl/>
      <w:suppressAutoHyphens/>
      <w:adjustRightInd/>
      <w:snapToGrid/>
      <w:spacing w:beforeLines="50" w:afterLines="50" w:line="240" w:lineRule="auto"/>
      <w:ind w:firstLine="0" w:firstLineChars="0"/>
    </w:pPr>
    <w:rPr>
      <w:rFonts w:ascii="黑体"/>
      <w:kern w:val="0"/>
    </w:rPr>
  </w:style>
  <w:style w:type="character" w:customStyle="1" w:styleId="962">
    <w:name w:val="标题 4 Char Char"/>
    <w:autoRedefine/>
    <w:qFormat/>
    <w:uiPriority w:val="0"/>
    <w:rPr>
      <w:rFonts w:ascii="Arial" w:hAnsi="Arial" w:eastAsia="黑体"/>
      <w:bCs/>
      <w:kern w:val="2"/>
      <w:sz w:val="24"/>
      <w:szCs w:val="28"/>
      <w:lang w:val="en-US" w:eastAsia="zh-CN"/>
    </w:rPr>
  </w:style>
  <w:style w:type="character" w:customStyle="1" w:styleId="963">
    <w:name w:val="样式 样式1 Char2 + 宋体 五号 黑色"/>
    <w:autoRedefine/>
    <w:qFormat/>
    <w:uiPriority w:val="0"/>
    <w:rPr>
      <w:rFonts w:ascii="宋体" w:hAnsi="宋体" w:eastAsia="宋体"/>
      <w:color w:val="000000"/>
      <w:kern w:val="2"/>
      <w:sz w:val="24"/>
      <w:szCs w:val="24"/>
      <w:lang w:val="en-US" w:eastAsia="zh-CN"/>
    </w:rPr>
  </w:style>
  <w:style w:type="character" w:customStyle="1" w:styleId="964">
    <w:name w:val="表号 Char Char"/>
    <w:link w:val="478"/>
    <w:autoRedefine/>
    <w:qFormat/>
    <w:uiPriority w:val="0"/>
    <w:rPr>
      <w:rFonts w:ascii="黑体" w:hAnsi="Times New Roman" w:eastAsia="黑体"/>
      <w:color w:val="000000"/>
      <w:spacing w:val="6"/>
      <w:sz w:val="26"/>
      <w:szCs w:val="26"/>
    </w:rPr>
  </w:style>
  <w:style w:type="character" w:customStyle="1" w:styleId="965">
    <w:name w:val="图表标题 Char Char"/>
    <w:link w:val="471"/>
    <w:autoRedefine/>
    <w:qFormat/>
    <w:uiPriority w:val="0"/>
    <w:rPr>
      <w:rFonts w:ascii="黑体" w:hAnsi="Times New Roman" w:eastAsia="黑体"/>
      <w:kern w:val="2"/>
      <w:sz w:val="24"/>
      <w:szCs w:val="24"/>
    </w:rPr>
  </w:style>
  <w:style w:type="character" w:customStyle="1" w:styleId="966">
    <w:name w:val="表注 Char Char"/>
    <w:link w:val="967"/>
    <w:autoRedefine/>
    <w:qFormat/>
    <w:uiPriority w:val="0"/>
    <w:rPr>
      <w:rFonts w:eastAsia="新宋体" w:cs="Arial"/>
      <w:b/>
      <w:szCs w:val="21"/>
    </w:rPr>
  </w:style>
  <w:style w:type="paragraph" w:customStyle="1" w:styleId="967">
    <w:name w:val="表注"/>
    <w:basedOn w:val="1"/>
    <w:link w:val="966"/>
    <w:autoRedefine/>
    <w:qFormat/>
    <w:uiPriority w:val="0"/>
    <w:pPr>
      <w:widowControl/>
      <w:autoSpaceDE w:val="0"/>
      <w:autoSpaceDN w:val="0"/>
      <w:snapToGrid/>
      <w:spacing w:beforeLines="50" w:afterLines="50" w:line="440" w:lineRule="exact"/>
      <w:jc w:val="center"/>
    </w:pPr>
    <w:rPr>
      <w:rFonts w:ascii="Calibri" w:hAnsi="Calibri" w:eastAsia="新宋体"/>
      <w:b/>
      <w:kern w:val="0"/>
      <w:sz w:val="20"/>
      <w:szCs w:val="21"/>
      <w:lang w:val="zh-CN"/>
    </w:rPr>
  </w:style>
  <w:style w:type="character" w:customStyle="1" w:styleId="968">
    <w:name w:val="lff Char Char"/>
    <w:link w:val="969"/>
    <w:autoRedefine/>
    <w:qFormat/>
    <w:uiPriority w:val="0"/>
    <w:rPr>
      <w:rFonts w:ascii="宋体" w:hAnsi="宋体"/>
      <w:snapToGrid w:val="0"/>
      <w:color w:val="000000"/>
      <w:sz w:val="28"/>
      <w:szCs w:val="28"/>
    </w:rPr>
  </w:style>
  <w:style w:type="paragraph" w:customStyle="1" w:styleId="969">
    <w:name w:val="lff"/>
    <w:basedOn w:val="649"/>
    <w:link w:val="968"/>
    <w:autoRedefine/>
    <w:qFormat/>
    <w:uiPriority w:val="0"/>
    <w:pPr>
      <w:widowControl w:val="0"/>
      <w:spacing w:after="0" w:line="360" w:lineRule="auto"/>
      <w:ind w:firstLine="560" w:firstLineChars="200"/>
    </w:pPr>
    <w:rPr>
      <w:rFonts w:ascii="宋体" w:hAnsi="宋体"/>
      <w:snapToGrid w:val="0"/>
      <w:color w:val="000000"/>
      <w:sz w:val="28"/>
      <w:szCs w:val="28"/>
      <w:lang w:val="zh-CN"/>
    </w:rPr>
  </w:style>
  <w:style w:type="character" w:customStyle="1" w:styleId="970">
    <w:name w:val="二级标题 Char Char"/>
    <w:autoRedefine/>
    <w:qFormat/>
    <w:uiPriority w:val="0"/>
    <w:rPr>
      <w:rFonts w:ascii="Calibri" w:hAnsi="Calibri" w:eastAsia="仿宋_GB2312"/>
      <w:b/>
      <w:bCs/>
      <w:sz w:val="30"/>
    </w:rPr>
  </w:style>
  <w:style w:type="character" w:customStyle="1" w:styleId="971">
    <w:name w:val="样式 样式 首行缩进:  2 字符 段后: 0.5 行 + 首行缩进:  2 字符 段后: 0.5 行 Char Char"/>
    <w:link w:val="972"/>
    <w:autoRedefine/>
    <w:qFormat/>
    <w:uiPriority w:val="0"/>
    <w:rPr>
      <w:rFonts w:cs="宋体"/>
      <w:sz w:val="28"/>
    </w:rPr>
  </w:style>
  <w:style w:type="paragraph" w:customStyle="1" w:styleId="972">
    <w:name w:val="样式 样式 首行缩进:  2 字符 段后: 0.5 行 + 首行缩进:  2 字符 段后: 0.5 行"/>
    <w:basedOn w:val="1"/>
    <w:link w:val="971"/>
    <w:autoRedefine/>
    <w:qFormat/>
    <w:uiPriority w:val="99"/>
    <w:pPr>
      <w:widowControl/>
      <w:adjustRightInd/>
      <w:snapToGrid/>
      <w:spacing w:afterLines="50" w:line="360" w:lineRule="auto"/>
      <w:ind w:firstLine="560"/>
    </w:pPr>
    <w:rPr>
      <w:rFonts w:ascii="Calibri" w:hAnsi="Calibri"/>
      <w:kern w:val="0"/>
      <w:sz w:val="28"/>
      <w:lang w:val="zh-CN"/>
    </w:rPr>
  </w:style>
  <w:style w:type="character" w:customStyle="1" w:styleId="973">
    <w:name w:val="样式 正文四号 + 自动设置 Char Char"/>
    <w:link w:val="974"/>
    <w:autoRedefine/>
    <w:qFormat/>
    <w:uiPriority w:val="0"/>
    <w:rPr>
      <w:sz w:val="28"/>
      <w:szCs w:val="24"/>
    </w:rPr>
  </w:style>
  <w:style w:type="paragraph" w:customStyle="1" w:styleId="974">
    <w:name w:val="样式 正文四号 + 自动设置"/>
    <w:basedOn w:val="283"/>
    <w:link w:val="973"/>
    <w:autoRedefine/>
    <w:qFormat/>
    <w:uiPriority w:val="99"/>
    <w:pPr>
      <w:widowControl/>
      <w:adjustRightInd w:val="0"/>
      <w:snapToGrid w:val="0"/>
      <w:spacing w:after="156"/>
    </w:pPr>
    <w:rPr>
      <w:kern w:val="0"/>
      <w:sz w:val="28"/>
      <w:szCs w:val="24"/>
    </w:rPr>
  </w:style>
  <w:style w:type="character" w:customStyle="1" w:styleId="975">
    <w:name w:val="headline-content2"/>
    <w:autoRedefine/>
    <w:qFormat/>
    <w:uiPriority w:val="0"/>
  </w:style>
  <w:style w:type="character" w:customStyle="1" w:styleId="976">
    <w:name w:val="环评正文 Char Char"/>
    <w:autoRedefine/>
    <w:qFormat/>
    <w:uiPriority w:val="0"/>
    <w:rPr>
      <w:rFonts w:ascii="Calibri" w:hAnsi="Calibri" w:eastAsia="宋体"/>
      <w:bCs/>
      <w:color w:val="000000"/>
      <w:sz w:val="28"/>
      <w:szCs w:val="28"/>
    </w:rPr>
  </w:style>
  <w:style w:type="character" w:customStyle="1" w:styleId="977">
    <w:name w:val="Char Char3"/>
    <w:autoRedefine/>
    <w:qFormat/>
    <w:uiPriority w:val="0"/>
    <w:rPr>
      <w:rFonts w:hint="eastAsia" w:ascii="宋体" w:hAnsi="宋体" w:eastAsia="宋体"/>
      <w:sz w:val="28"/>
      <w:lang w:val="en-US" w:eastAsia="zh-CN"/>
    </w:rPr>
  </w:style>
  <w:style w:type="character" w:customStyle="1" w:styleId="978">
    <w:name w:val="Char Char21"/>
    <w:autoRedefine/>
    <w:qFormat/>
    <w:uiPriority w:val="0"/>
    <w:rPr>
      <w:rFonts w:hint="eastAsia" w:ascii="宋体" w:hAnsi="宋体" w:eastAsia="宋体"/>
      <w:sz w:val="28"/>
      <w:lang w:val="en-US" w:eastAsia="zh-CN"/>
    </w:rPr>
  </w:style>
  <w:style w:type="character" w:customStyle="1" w:styleId="979">
    <w:name w:val="正文11111111111111111111111 Char Char"/>
    <w:link w:val="980"/>
    <w:autoRedefine/>
    <w:qFormat/>
    <w:uiPriority w:val="0"/>
    <w:rPr>
      <w:rFonts w:cs="宋体"/>
      <w:sz w:val="24"/>
    </w:rPr>
  </w:style>
  <w:style w:type="paragraph" w:customStyle="1" w:styleId="980">
    <w:name w:val="正文11111111111111111111111"/>
    <w:basedOn w:val="1"/>
    <w:link w:val="979"/>
    <w:autoRedefine/>
    <w:qFormat/>
    <w:uiPriority w:val="99"/>
    <w:pPr>
      <w:adjustRightInd/>
      <w:snapToGrid/>
      <w:ind w:firstLine="480"/>
    </w:pPr>
    <w:rPr>
      <w:rFonts w:ascii="Calibri" w:hAnsi="Calibri"/>
      <w:kern w:val="0"/>
      <w:lang w:val="zh-CN"/>
    </w:rPr>
  </w:style>
  <w:style w:type="character" w:customStyle="1" w:styleId="981">
    <w:name w:val="正文文字缩进 3 Char Char"/>
    <w:autoRedefine/>
    <w:qFormat/>
    <w:uiPriority w:val="0"/>
    <w:rPr>
      <w:kern w:val="2"/>
      <w:sz w:val="16"/>
      <w:szCs w:val="16"/>
    </w:rPr>
  </w:style>
  <w:style w:type="character" w:customStyle="1" w:styleId="982">
    <w:name w:val="段落 Char Char Char Char"/>
    <w:link w:val="983"/>
    <w:autoRedefine/>
    <w:qFormat/>
    <w:uiPriority w:val="0"/>
    <w:rPr>
      <w:sz w:val="24"/>
      <w:szCs w:val="24"/>
    </w:rPr>
  </w:style>
  <w:style w:type="paragraph" w:customStyle="1" w:styleId="983">
    <w:name w:val="段落 Char"/>
    <w:basedOn w:val="1"/>
    <w:link w:val="982"/>
    <w:autoRedefine/>
    <w:qFormat/>
    <w:uiPriority w:val="99"/>
    <w:pPr>
      <w:widowControl/>
      <w:topLinePunct/>
      <w:adjustRightInd/>
      <w:spacing w:line="360" w:lineRule="auto"/>
    </w:pPr>
    <w:rPr>
      <w:rFonts w:ascii="Calibri" w:hAnsi="Calibri"/>
      <w:kern w:val="0"/>
      <w:szCs w:val="24"/>
      <w:lang w:val="zh-CN"/>
    </w:rPr>
  </w:style>
  <w:style w:type="character" w:customStyle="1" w:styleId="984">
    <w:name w:val="正文-biao Char Char"/>
    <w:link w:val="985"/>
    <w:autoRedefine/>
    <w:qFormat/>
    <w:uiPriority w:val="0"/>
    <w:rPr>
      <w:rFonts w:hAnsi="宋体"/>
      <w:sz w:val="24"/>
      <w:szCs w:val="24"/>
    </w:rPr>
  </w:style>
  <w:style w:type="paragraph" w:customStyle="1" w:styleId="985">
    <w:name w:val="正文-biao"/>
    <w:basedOn w:val="1"/>
    <w:link w:val="984"/>
    <w:autoRedefine/>
    <w:qFormat/>
    <w:uiPriority w:val="99"/>
    <w:pPr>
      <w:widowControl/>
      <w:adjustRightInd/>
      <w:snapToGrid/>
      <w:spacing w:before="60" w:line="460" w:lineRule="exact"/>
      <w:ind w:firstLine="482"/>
    </w:pPr>
    <w:rPr>
      <w:rFonts w:ascii="Calibri" w:hAnsi="宋体"/>
      <w:kern w:val="0"/>
      <w:szCs w:val="24"/>
      <w:lang w:val="zh-CN"/>
    </w:rPr>
  </w:style>
  <w:style w:type="character" w:customStyle="1" w:styleId="986">
    <w:name w:val="正文01 Char1"/>
    <w:autoRedefine/>
    <w:qFormat/>
    <w:uiPriority w:val="0"/>
    <w:rPr>
      <w:rFonts w:eastAsia="宋体"/>
      <w:bCs/>
      <w:kern w:val="2"/>
      <w:sz w:val="24"/>
      <w:szCs w:val="24"/>
      <w:lang w:val="en-US" w:eastAsia="zh-CN"/>
    </w:rPr>
  </w:style>
  <w:style w:type="character" w:customStyle="1" w:styleId="987">
    <w:name w:val="样式 (西文) Times New Roman (中文) 宋体 (符号) 宋体 行距: 固定值 20 磅 首行缩进:  ... Char Char"/>
    <w:link w:val="988"/>
    <w:autoRedefine/>
    <w:qFormat/>
    <w:uiPriority w:val="0"/>
    <w:rPr>
      <w:rFonts w:hAnsi="宋体"/>
      <w:sz w:val="24"/>
      <w:lang w:eastAsia="zh-CN"/>
    </w:rPr>
  </w:style>
  <w:style w:type="paragraph" w:customStyle="1" w:styleId="988">
    <w:name w:val="样式 (西文) Times New Roman (中文) 宋体 (符号) 宋体 行距: 固定值 20 磅 首行缩进:  ..."/>
    <w:basedOn w:val="1"/>
    <w:link w:val="987"/>
    <w:autoRedefine/>
    <w:qFormat/>
    <w:uiPriority w:val="99"/>
    <w:pPr>
      <w:widowControl/>
      <w:adjustRightInd/>
      <w:snapToGrid/>
      <w:spacing w:line="400" w:lineRule="exact"/>
    </w:pPr>
    <w:rPr>
      <w:rFonts w:ascii="Calibri" w:hAnsi="宋体"/>
      <w:kern w:val="0"/>
      <w:lang w:val="zh-CN"/>
    </w:rPr>
  </w:style>
  <w:style w:type="character" w:customStyle="1" w:styleId="989">
    <w:name w:val="tit2"/>
    <w:autoRedefine/>
    <w:qFormat/>
    <w:uiPriority w:val="0"/>
    <w:rPr>
      <w:b/>
      <w:bCs/>
      <w:sz w:val="48"/>
      <w:szCs w:val="48"/>
    </w:rPr>
  </w:style>
  <w:style w:type="character" w:customStyle="1" w:styleId="990">
    <w:name w:val="Char Char32"/>
    <w:autoRedefine/>
    <w:qFormat/>
    <w:uiPriority w:val="0"/>
    <w:rPr>
      <w:rFonts w:eastAsia="宋体"/>
      <w:sz w:val="21"/>
      <w:lang w:val="en-US" w:eastAsia="zh-CN"/>
    </w:rPr>
  </w:style>
  <w:style w:type="character" w:customStyle="1" w:styleId="991">
    <w:name w:val="样式 样式1 + 首行缩进:  2 字符 Char1"/>
    <w:autoRedefine/>
    <w:qFormat/>
    <w:uiPriority w:val="0"/>
    <w:rPr>
      <w:rFonts w:eastAsia="宋体" w:cs="宋体"/>
      <w:bCs/>
      <w:kern w:val="2"/>
      <w:sz w:val="24"/>
      <w:lang w:val="en-US" w:eastAsia="zh-CN"/>
    </w:rPr>
  </w:style>
  <w:style w:type="character" w:customStyle="1" w:styleId="992">
    <w:name w:val="list_title"/>
    <w:autoRedefine/>
    <w:qFormat/>
    <w:uiPriority w:val="0"/>
  </w:style>
  <w:style w:type="character" w:customStyle="1" w:styleId="993">
    <w:name w:val="样式 标题 3 + 小四 非加粗 Char"/>
    <w:autoRedefine/>
    <w:qFormat/>
    <w:uiPriority w:val="0"/>
    <w:rPr>
      <w:rFonts w:eastAsia="仿宋_GB2312"/>
      <w:b/>
      <w:bCs/>
      <w:kern w:val="2"/>
      <w:sz w:val="24"/>
      <w:szCs w:val="24"/>
      <w:lang w:val="en-US" w:eastAsia="zh-CN"/>
    </w:rPr>
  </w:style>
  <w:style w:type="character" w:customStyle="1" w:styleId="994">
    <w:name w:val="样式 标题 2 + (西文) Times New Roman (中文) 仿宋_GB2312 四号 非加粗 Char"/>
    <w:autoRedefine/>
    <w:qFormat/>
    <w:uiPriority w:val="0"/>
    <w:rPr>
      <w:rFonts w:eastAsia="仿宋_GB2312"/>
      <w:bCs/>
      <w:kern w:val="2"/>
      <w:sz w:val="28"/>
      <w:szCs w:val="28"/>
      <w:lang w:val="en-US" w:eastAsia="zh-CN"/>
    </w:rPr>
  </w:style>
  <w:style w:type="character" w:customStyle="1" w:styleId="995">
    <w:name w:val="不明显强调2"/>
    <w:autoRedefine/>
    <w:qFormat/>
    <w:uiPriority w:val="0"/>
    <w:rPr>
      <w:i/>
      <w:iCs/>
      <w:color w:val="808080"/>
    </w:rPr>
  </w:style>
  <w:style w:type="character" w:customStyle="1" w:styleId="996">
    <w:name w:val="不明显参考1"/>
    <w:autoRedefine/>
    <w:qFormat/>
    <w:uiPriority w:val="0"/>
    <w:rPr>
      <w:smallCaps/>
      <w:color w:val="C0504D"/>
      <w:u w:val="single"/>
    </w:rPr>
  </w:style>
  <w:style w:type="character" w:customStyle="1" w:styleId="997">
    <w:name w:val="lemmatitleh11"/>
    <w:autoRedefine/>
    <w:qFormat/>
    <w:uiPriority w:val="0"/>
  </w:style>
  <w:style w:type="character" w:customStyle="1" w:styleId="998">
    <w:name w:val="报告书表头 Char Char"/>
    <w:link w:val="999"/>
    <w:autoRedefine/>
    <w:qFormat/>
    <w:uiPriority w:val="0"/>
    <w:rPr>
      <w:rFonts w:ascii="Arial" w:hAnsi="Arial" w:eastAsia="黑体" w:cs="Arial"/>
      <w:b/>
      <w:color w:val="000000"/>
      <w:spacing w:val="2"/>
      <w:sz w:val="24"/>
      <w:szCs w:val="24"/>
    </w:rPr>
  </w:style>
  <w:style w:type="paragraph" w:customStyle="1" w:styleId="999">
    <w:name w:val="报告书表头"/>
    <w:basedOn w:val="1"/>
    <w:link w:val="998"/>
    <w:autoRedefine/>
    <w:qFormat/>
    <w:uiPriority w:val="0"/>
    <w:pPr>
      <w:spacing w:line="240" w:lineRule="auto"/>
      <w:ind w:firstLine="0" w:firstLineChars="0"/>
      <w:jc w:val="center"/>
    </w:pPr>
    <w:rPr>
      <w:rFonts w:ascii="Arial" w:hAnsi="Arial" w:eastAsia="黑体"/>
      <w:b/>
      <w:color w:val="000000"/>
      <w:spacing w:val="2"/>
      <w:kern w:val="0"/>
      <w:szCs w:val="24"/>
      <w:lang w:val="zh-CN"/>
    </w:rPr>
  </w:style>
  <w:style w:type="character" w:customStyle="1" w:styleId="1000">
    <w:name w:val="注 Char Char"/>
    <w:autoRedefine/>
    <w:qFormat/>
    <w:uiPriority w:val="0"/>
    <w:rPr>
      <w:rFonts w:ascii="Arial" w:hAnsi="Arial" w:eastAsia="宋体"/>
      <w:kern w:val="2"/>
      <w:sz w:val="18"/>
      <w:szCs w:val="24"/>
      <w:lang w:val="en-US" w:eastAsia="zh-CN"/>
    </w:rPr>
  </w:style>
  <w:style w:type="character" w:customStyle="1" w:styleId="1001">
    <w:name w:val="图名 Char Char"/>
    <w:link w:val="180"/>
    <w:autoRedefine/>
    <w:qFormat/>
    <w:uiPriority w:val="0"/>
    <w:rPr>
      <w:rFonts w:ascii="Times New Roman" w:hAnsi="Times New Roman"/>
      <w:kern w:val="2"/>
      <w:sz w:val="24"/>
      <w:szCs w:val="21"/>
    </w:rPr>
  </w:style>
  <w:style w:type="character" w:customStyle="1" w:styleId="1002">
    <w:name w:val="正文文字1 Char Char"/>
    <w:autoRedefine/>
    <w:qFormat/>
    <w:uiPriority w:val="0"/>
    <w:rPr>
      <w:rFonts w:ascii="宋体" w:eastAsia="宋体"/>
      <w:kern w:val="2"/>
      <w:sz w:val="24"/>
      <w:lang w:val="en-US" w:eastAsia="zh-CN"/>
    </w:rPr>
  </w:style>
  <w:style w:type="character" w:customStyle="1" w:styleId="1003">
    <w:name w:val="MFS单位 Char Char"/>
    <w:link w:val="1004"/>
    <w:autoRedefine/>
    <w:qFormat/>
    <w:uiPriority w:val="0"/>
    <w:rPr>
      <w:sz w:val="18"/>
      <w:szCs w:val="24"/>
    </w:rPr>
  </w:style>
  <w:style w:type="paragraph" w:customStyle="1" w:styleId="1004">
    <w:name w:val="MFS单位"/>
    <w:basedOn w:val="1"/>
    <w:link w:val="1003"/>
    <w:autoRedefine/>
    <w:qFormat/>
    <w:uiPriority w:val="99"/>
    <w:pPr>
      <w:adjustRightInd/>
      <w:snapToGrid/>
      <w:spacing w:line="240" w:lineRule="auto"/>
      <w:ind w:firstLine="0" w:firstLineChars="0"/>
      <w:jc w:val="right"/>
    </w:pPr>
    <w:rPr>
      <w:rFonts w:ascii="Calibri" w:hAnsi="Calibri"/>
      <w:kern w:val="0"/>
      <w:sz w:val="18"/>
      <w:szCs w:val="24"/>
      <w:lang w:val="zh-CN"/>
    </w:rPr>
  </w:style>
  <w:style w:type="character" w:customStyle="1" w:styleId="1005">
    <w:name w:val="正文111111111 Char Char"/>
    <w:autoRedefine/>
    <w:qFormat/>
    <w:uiPriority w:val="0"/>
    <w:rPr>
      <w:rFonts w:cs="宋体"/>
      <w:sz w:val="24"/>
    </w:rPr>
  </w:style>
  <w:style w:type="character" w:customStyle="1" w:styleId="1006">
    <w:name w:val="正文（首行缩进两字） Char Char Char Char Char Char Char Char1"/>
    <w:autoRedefine/>
    <w:qFormat/>
    <w:uiPriority w:val="0"/>
    <w:rPr>
      <w:rFonts w:eastAsia="宋体"/>
      <w:kern w:val="2"/>
      <w:sz w:val="28"/>
      <w:lang w:val="en-US" w:eastAsia="zh-CN"/>
    </w:rPr>
  </w:style>
  <w:style w:type="character" w:customStyle="1" w:styleId="1007">
    <w:name w:val="H3 Char1"/>
    <w:autoRedefine/>
    <w:qFormat/>
    <w:uiPriority w:val="0"/>
    <w:rPr>
      <w:b/>
      <w:bCs/>
      <w:kern w:val="2"/>
      <w:sz w:val="32"/>
      <w:szCs w:val="32"/>
    </w:rPr>
  </w:style>
  <w:style w:type="character" w:customStyle="1" w:styleId="1008">
    <w:name w:val="Char Char2"/>
    <w:autoRedefine/>
    <w:qFormat/>
    <w:uiPriority w:val="0"/>
    <w:rPr>
      <w:rFonts w:eastAsia="宋体"/>
      <w:kern w:val="2"/>
      <w:sz w:val="18"/>
      <w:szCs w:val="18"/>
      <w:lang w:val="en-US" w:eastAsia="zh-CN"/>
    </w:rPr>
  </w:style>
  <w:style w:type="character" w:customStyle="1" w:styleId="1009">
    <w:name w:val="正文文字缩进 Char Char1"/>
    <w:autoRedefine/>
    <w:qFormat/>
    <w:uiPriority w:val="0"/>
    <w:rPr>
      <w:rFonts w:eastAsia="宋体"/>
      <w:kern w:val="2"/>
      <w:sz w:val="21"/>
      <w:szCs w:val="24"/>
      <w:lang w:val="en-US" w:eastAsia="zh-CN"/>
    </w:rPr>
  </w:style>
  <w:style w:type="character" w:customStyle="1" w:styleId="1010">
    <w:name w:val="正文缩进 Char2"/>
    <w:autoRedefine/>
    <w:qFormat/>
    <w:uiPriority w:val="0"/>
    <w:rPr>
      <w:rFonts w:eastAsia="宋体"/>
      <w:kern w:val="2"/>
      <w:sz w:val="28"/>
      <w:lang w:val="en-US" w:eastAsia="zh-CN"/>
    </w:rPr>
  </w:style>
  <w:style w:type="character" w:customStyle="1" w:styleId="1011">
    <w:name w:val="样式2 Char Char1"/>
    <w:autoRedefine/>
    <w:qFormat/>
    <w:uiPriority w:val="0"/>
    <w:rPr>
      <w:rFonts w:ascii="Arial" w:hAnsi="Arial" w:eastAsia="宋体" w:cs="Arial"/>
      <w:bCs/>
      <w:color w:val="000000"/>
      <w:sz w:val="24"/>
      <w:szCs w:val="24"/>
      <w:lang w:val="zh-CN" w:eastAsia="zh-CN"/>
    </w:rPr>
  </w:style>
  <w:style w:type="character" w:customStyle="1" w:styleId="1012">
    <w:name w:val="haha Char Char Char"/>
    <w:autoRedefine/>
    <w:qFormat/>
    <w:uiPriority w:val="0"/>
    <w:rPr>
      <w:rFonts w:eastAsia="仿宋_GB2312"/>
      <w:kern w:val="2"/>
      <w:sz w:val="24"/>
      <w:lang w:val="en-US" w:eastAsia="zh-CN"/>
    </w:rPr>
  </w:style>
  <w:style w:type="character" w:customStyle="1" w:styleId="1013">
    <w:name w:val="lff Char Char Char"/>
    <w:autoRedefine/>
    <w:qFormat/>
    <w:uiPriority w:val="0"/>
    <w:rPr>
      <w:rFonts w:ascii="宋体" w:hAnsi="宋体" w:eastAsia="宋体"/>
      <w:snapToGrid w:val="0"/>
      <w:color w:val="000000"/>
      <w:sz w:val="28"/>
      <w:szCs w:val="28"/>
      <w:lang w:val="en-US" w:eastAsia="zh-CN"/>
    </w:rPr>
  </w:style>
  <w:style w:type="character" w:customStyle="1" w:styleId="1014">
    <w:name w:val="样式5 Char Char Char"/>
    <w:autoRedefine/>
    <w:qFormat/>
    <w:uiPriority w:val="0"/>
    <w:rPr>
      <w:rFonts w:eastAsia="仿宋_GB2312"/>
      <w:kern w:val="2"/>
      <w:sz w:val="24"/>
      <w:szCs w:val="24"/>
      <w:lang w:val="en-US" w:eastAsia="zh-CN"/>
    </w:rPr>
  </w:style>
  <w:style w:type="character" w:customStyle="1" w:styleId="1015">
    <w:name w:val="haha Char Char"/>
    <w:link w:val="1016"/>
    <w:autoRedefine/>
    <w:qFormat/>
    <w:uiPriority w:val="0"/>
    <w:rPr>
      <w:rFonts w:eastAsia="仿宋_GB2312"/>
      <w:sz w:val="24"/>
    </w:rPr>
  </w:style>
  <w:style w:type="paragraph" w:customStyle="1" w:styleId="1016">
    <w:name w:val="haha"/>
    <w:basedOn w:val="649"/>
    <w:link w:val="1015"/>
    <w:autoRedefine/>
    <w:qFormat/>
    <w:uiPriority w:val="0"/>
    <w:pPr>
      <w:widowControl w:val="0"/>
      <w:spacing w:after="0" w:line="360" w:lineRule="auto"/>
      <w:ind w:firstLine="480" w:firstLineChars="200"/>
    </w:pPr>
    <w:rPr>
      <w:rFonts w:eastAsia="仿宋_GB2312"/>
      <w:sz w:val="24"/>
      <w:lang w:val="zh-CN"/>
    </w:rPr>
  </w:style>
  <w:style w:type="character" w:customStyle="1" w:styleId="1017">
    <w:name w:val="g Char Char"/>
    <w:autoRedefine/>
    <w:qFormat/>
    <w:uiPriority w:val="0"/>
    <w:rPr>
      <w:rFonts w:eastAsia="宋体"/>
      <w:bCs/>
      <w:kern w:val="2"/>
      <w:sz w:val="18"/>
      <w:szCs w:val="18"/>
      <w:lang w:val="en-US" w:eastAsia="zh-CN"/>
    </w:rPr>
  </w:style>
  <w:style w:type="character" w:customStyle="1" w:styleId="1018">
    <w:name w:val="标题 3 Char Char1"/>
    <w:autoRedefine/>
    <w:qFormat/>
    <w:uiPriority w:val="0"/>
    <w:rPr>
      <w:rFonts w:eastAsia="宋体"/>
      <w:b/>
      <w:bCs/>
      <w:kern w:val="2"/>
      <w:sz w:val="32"/>
      <w:szCs w:val="32"/>
      <w:lang w:val="en-US" w:eastAsia="zh-CN"/>
    </w:rPr>
  </w:style>
  <w:style w:type="character" w:customStyle="1" w:styleId="1019">
    <w:name w:val="标题 4 Char Char Char Char Char Char Char Char Char Char Char Char Char Char Char Char Char Char Char"/>
    <w:autoRedefine/>
    <w:qFormat/>
    <w:uiPriority w:val="0"/>
    <w:rPr>
      <w:rFonts w:ascii="Arial" w:hAnsi="Arial" w:eastAsia="黑体"/>
      <w:b/>
      <w:bCs/>
      <w:snapToGrid w:val="0"/>
      <w:sz w:val="24"/>
      <w:szCs w:val="28"/>
      <w:lang w:val="en-US" w:eastAsia="zh-CN"/>
    </w:rPr>
  </w:style>
  <w:style w:type="character" w:customStyle="1" w:styleId="1020">
    <w:name w:val="陈光的正文 Char Char"/>
    <w:link w:val="1021"/>
    <w:autoRedefine/>
    <w:qFormat/>
    <w:uiPriority w:val="0"/>
    <w:rPr>
      <w:sz w:val="28"/>
    </w:rPr>
  </w:style>
  <w:style w:type="paragraph" w:customStyle="1" w:styleId="1021">
    <w:name w:val="陈光的正文"/>
    <w:basedOn w:val="1"/>
    <w:link w:val="1020"/>
    <w:autoRedefine/>
    <w:qFormat/>
    <w:uiPriority w:val="99"/>
    <w:pPr>
      <w:spacing w:beforeLines="10" w:afterLines="10" w:line="360" w:lineRule="auto"/>
      <w:ind w:firstLine="560"/>
    </w:pPr>
    <w:rPr>
      <w:rFonts w:ascii="Calibri" w:hAnsi="Calibri"/>
      <w:kern w:val="0"/>
      <w:sz w:val="28"/>
      <w:lang w:val="zh-CN"/>
    </w:rPr>
  </w:style>
  <w:style w:type="character" w:customStyle="1" w:styleId="1022">
    <w:name w:val="g Char Char1"/>
    <w:autoRedefine/>
    <w:qFormat/>
    <w:uiPriority w:val="0"/>
    <w:rPr>
      <w:rFonts w:eastAsia="宋体"/>
      <w:kern w:val="2"/>
      <w:sz w:val="18"/>
      <w:lang w:val="en-US" w:eastAsia="zh-CN"/>
    </w:rPr>
  </w:style>
  <w:style w:type="character" w:customStyle="1" w:styleId="1023">
    <w:name w:val="1首行缩进 Char"/>
    <w:autoRedefine/>
    <w:qFormat/>
    <w:uiPriority w:val="0"/>
    <w:rPr>
      <w:rFonts w:ascii="Arial" w:hAnsi="Arial" w:eastAsia="宋体"/>
      <w:snapToGrid w:val="0"/>
      <w:sz w:val="28"/>
      <w:szCs w:val="28"/>
      <w:lang w:val="en-US" w:eastAsia="zh-CN"/>
    </w:rPr>
  </w:style>
  <w:style w:type="character" w:customStyle="1" w:styleId="1024">
    <w:name w:val="样式 Arial 小四"/>
    <w:autoRedefine/>
    <w:qFormat/>
    <w:uiPriority w:val="0"/>
    <w:rPr>
      <w:rFonts w:ascii="Arial" w:hAnsi="Arial"/>
      <w:sz w:val="24"/>
    </w:rPr>
  </w:style>
  <w:style w:type="character" w:customStyle="1" w:styleId="1025">
    <w:name w:val="样式 样式 样式 标题 2 + (西文) Times New Roman (中文) 仿宋_GB2312 四号 非加粗 + Ari... Char"/>
    <w:autoRedefine/>
    <w:qFormat/>
    <w:uiPriority w:val="0"/>
    <w:rPr>
      <w:rFonts w:eastAsia="仿宋_GB2312"/>
      <w:bCs/>
      <w:kern w:val="2"/>
      <w:sz w:val="28"/>
      <w:szCs w:val="28"/>
      <w:lang w:val="en-US" w:eastAsia="zh-CN"/>
    </w:rPr>
  </w:style>
  <w:style w:type="character" w:customStyle="1" w:styleId="1026">
    <w:name w:val="样式 样式 标题 3 + 小四 非加粗 + Char"/>
    <w:autoRedefine/>
    <w:qFormat/>
    <w:uiPriority w:val="0"/>
  </w:style>
  <w:style w:type="character" w:customStyle="1" w:styleId="1027">
    <w:name w:val="H1 Char2"/>
    <w:autoRedefine/>
    <w:qFormat/>
    <w:uiPriority w:val="9"/>
    <w:rPr>
      <w:bCs/>
      <w:color w:val="000000"/>
      <w:kern w:val="44"/>
      <w:sz w:val="28"/>
      <w:szCs w:val="28"/>
    </w:rPr>
  </w:style>
  <w:style w:type="character" w:customStyle="1" w:styleId="1028">
    <w:name w:val="样式 样式 样式 标题 3 + 小四 非加粗 + + Char"/>
    <w:autoRedefine/>
    <w:qFormat/>
    <w:uiPriority w:val="0"/>
  </w:style>
  <w:style w:type="character" w:customStyle="1" w:styleId="1029">
    <w:name w:val="f91"/>
    <w:autoRedefine/>
    <w:qFormat/>
    <w:uiPriority w:val="0"/>
    <w:rPr>
      <w:sz w:val="18"/>
      <w:szCs w:val="18"/>
      <w:u w:val="none"/>
    </w:rPr>
  </w:style>
  <w:style w:type="character" w:customStyle="1" w:styleId="1030">
    <w:name w:val="文本框五号 Char Char Char"/>
    <w:autoRedefine/>
    <w:qFormat/>
    <w:uiPriority w:val="0"/>
    <w:rPr>
      <w:rFonts w:eastAsia="仿宋_GB2312"/>
      <w:kern w:val="2"/>
      <w:sz w:val="21"/>
      <w:szCs w:val="21"/>
      <w:lang w:val="en-US" w:eastAsia="zh-CN"/>
    </w:rPr>
  </w:style>
  <w:style w:type="character" w:customStyle="1" w:styleId="1031">
    <w:name w:val="文本框五号1.5倍行距 Char Char Char"/>
    <w:autoRedefine/>
    <w:qFormat/>
    <w:uiPriority w:val="0"/>
  </w:style>
  <w:style w:type="character" w:customStyle="1" w:styleId="1032">
    <w:name w:val="文本框五号 Char Char Char Char"/>
    <w:autoRedefine/>
    <w:qFormat/>
    <w:uiPriority w:val="0"/>
    <w:rPr>
      <w:rFonts w:eastAsia="仿宋_GB2312"/>
      <w:kern w:val="2"/>
      <w:sz w:val="21"/>
      <w:szCs w:val="21"/>
      <w:lang w:val="en-US" w:eastAsia="zh-CN"/>
    </w:rPr>
  </w:style>
  <w:style w:type="character" w:customStyle="1" w:styleId="1033">
    <w:name w:val="td11"/>
    <w:autoRedefine/>
    <w:qFormat/>
    <w:uiPriority w:val="0"/>
    <w:rPr>
      <w:rFonts w:hint="default" w:ascii="ˎ̥" w:hAnsi="ˎ̥"/>
      <w:color w:val="000000"/>
      <w:sz w:val="18"/>
      <w:szCs w:val="18"/>
    </w:rPr>
  </w:style>
  <w:style w:type="character" w:customStyle="1" w:styleId="1034">
    <w:name w:val="style11"/>
    <w:autoRedefine/>
    <w:qFormat/>
    <w:uiPriority w:val="0"/>
    <w:rPr>
      <w:color w:val="333333"/>
      <w:sz w:val="19"/>
      <w:szCs w:val="19"/>
      <w:u w:val="none"/>
    </w:rPr>
  </w:style>
  <w:style w:type="character" w:customStyle="1" w:styleId="1035">
    <w:name w:val="highlight1"/>
    <w:autoRedefine/>
    <w:qFormat/>
    <w:uiPriority w:val="0"/>
    <w:rPr>
      <w:sz w:val="21"/>
      <w:szCs w:val="21"/>
    </w:rPr>
  </w:style>
  <w:style w:type="character" w:customStyle="1" w:styleId="1036">
    <w:name w:val="ch1"/>
    <w:autoRedefine/>
    <w:qFormat/>
    <w:uiPriority w:val="0"/>
    <w:rPr>
      <w:rFonts w:hint="default"/>
      <w:sz w:val="18"/>
    </w:rPr>
  </w:style>
  <w:style w:type="character" w:customStyle="1" w:styleId="1037">
    <w:name w:val="da"/>
    <w:autoRedefine/>
    <w:qFormat/>
    <w:uiPriority w:val="0"/>
  </w:style>
  <w:style w:type="character" w:customStyle="1" w:styleId="1038">
    <w:name w:val="样式 首行缩进:  2 字符 Char Char"/>
    <w:link w:val="1039"/>
    <w:autoRedefine/>
    <w:qFormat/>
    <w:uiPriority w:val="0"/>
    <w:rPr>
      <w:rFonts w:cs="宋体"/>
      <w:sz w:val="28"/>
      <w:lang w:eastAsia="en-US"/>
    </w:rPr>
  </w:style>
  <w:style w:type="paragraph" w:customStyle="1" w:styleId="1039">
    <w:name w:val="样式 首行缩进:  2 字符"/>
    <w:basedOn w:val="1"/>
    <w:link w:val="1038"/>
    <w:autoRedefine/>
    <w:qFormat/>
    <w:uiPriority w:val="0"/>
    <w:pPr>
      <w:widowControl/>
      <w:spacing w:line="360" w:lineRule="auto"/>
      <w:ind w:firstLine="480"/>
    </w:pPr>
    <w:rPr>
      <w:rFonts w:ascii="Calibri" w:hAnsi="Calibri"/>
      <w:kern w:val="0"/>
      <w:sz w:val="28"/>
      <w:lang w:val="zh-CN" w:eastAsia="en-US"/>
    </w:rPr>
  </w:style>
  <w:style w:type="character" w:customStyle="1" w:styleId="1040">
    <w:name w:val="样式 标题 3 Char Char"/>
    <w:link w:val="1041"/>
    <w:autoRedefine/>
    <w:qFormat/>
    <w:uiPriority w:val="0"/>
    <w:rPr>
      <w:snapToGrid w:val="0"/>
      <w:sz w:val="28"/>
      <w:szCs w:val="28"/>
    </w:rPr>
  </w:style>
  <w:style w:type="paragraph" w:customStyle="1" w:styleId="1041">
    <w:name w:val="样式 标题 3"/>
    <w:basedOn w:val="5"/>
    <w:link w:val="1040"/>
    <w:autoRedefine/>
    <w:qFormat/>
    <w:uiPriority w:val="0"/>
    <w:pPr>
      <w:numPr>
        <w:ilvl w:val="0"/>
        <w:numId w:val="0"/>
      </w:numPr>
      <w:spacing w:line="348" w:lineRule="auto"/>
      <w:jc w:val="left"/>
      <w:textAlignment w:val="baseline"/>
    </w:pPr>
    <w:rPr>
      <w:rFonts w:ascii="Calibri" w:hAnsi="Calibri"/>
      <w:b w:val="0"/>
      <w:bCs w:val="0"/>
      <w:snapToGrid w:val="0"/>
      <w:kern w:val="0"/>
      <w:sz w:val="28"/>
      <w:szCs w:val="28"/>
    </w:rPr>
  </w:style>
  <w:style w:type="character" w:customStyle="1" w:styleId="1042">
    <w:name w:val="haha Char Char Char Char"/>
    <w:autoRedefine/>
    <w:qFormat/>
    <w:uiPriority w:val="0"/>
    <w:rPr>
      <w:rFonts w:eastAsia="仿宋_GB2312"/>
      <w:kern w:val="2"/>
      <w:sz w:val="24"/>
      <w:szCs w:val="24"/>
      <w:lang w:val="en-US" w:eastAsia="zh-CN"/>
    </w:rPr>
  </w:style>
  <w:style w:type="character" w:customStyle="1" w:styleId="1043">
    <w:name w:val="湛江钢铁表 Char Char"/>
    <w:link w:val="1044"/>
    <w:autoRedefine/>
    <w:qFormat/>
    <w:uiPriority w:val="0"/>
    <w:rPr>
      <w:rFonts w:eastAsia="仿宋_GB2312"/>
      <w:snapToGrid w:val="0"/>
      <w:szCs w:val="21"/>
    </w:rPr>
  </w:style>
  <w:style w:type="paragraph" w:customStyle="1" w:styleId="1044">
    <w:name w:val="湛江钢铁表"/>
    <w:basedOn w:val="276"/>
    <w:link w:val="1043"/>
    <w:autoRedefine/>
    <w:qFormat/>
    <w:uiPriority w:val="0"/>
    <w:pPr>
      <w:spacing w:beforeLines="20" w:afterLines="20" w:line="348" w:lineRule="auto"/>
      <w:textAlignment w:val="baseline"/>
    </w:pPr>
    <w:rPr>
      <w:rFonts w:ascii="Calibri" w:hAnsi="Calibri" w:eastAsia="仿宋_GB2312"/>
      <w:snapToGrid w:val="0"/>
      <w:kern w:val="0"/>
      <w:sz w:val="20"/>
    </w:rPr>
  </w:style>
  <w:style w:type="character" w:customStyle="1" w:styleId="1045">
    <w:name w:val="标题 3 Char Char Char Char Char Char Char Char Char Char Char Char Char Char Char Char"/>
    <w:autoRedefine/>
    <w:qFormat/>
    <w:uiPriority w:val="0"/>
    <w:rPr>
      <w:rFonts w:ascii="Times New Roman" w:hAnsi="Times New Roman" w:eastAsia="仿宋_GB2312"/>
      <w:sz w:val="24"/>
      <w:szCs w:val="32"/>
    </w:rPr>
  </w:style>
  <w:style w:type="character" w:customStyle="1" w:styleId="1046">
    <w:name w:val="样式 湛江钢铁表 + Char Char"/>
    <w:link w:val="1047"/>
    <w:autoRedefine/>
    <w:qFormat/>
    <w:uiPriority w:val="0"/>
  </w:style>
  <w:style w:type="paragraph" w:customStyle="1" w:styleId="1047">
    <w:name w:val="样式 湛江钢铁表 +"/>
    <w:basedOn w:val="1044"/>
    <w:next w:val="1044"/>
    <w:link w:val="1046"/>
    <w:autoRedefine/>
    <w:qFormat/>
    <w:uiPriority w:val="0"/>
    <w:pPr>
      <w:spacing w:beforeLines="0" w:afterLines="0"/>
    </w:pPr>
    <w:rPr>
      <w:rFonts w:eastAsia="宋体"/>
      <w:snapToGrid/>
      <w:szCs w:val="20"/>
    </w:rPr>
  </w:style>
  <w:style w:type="character" w:customStyle="1" w:styleId="1048">
    <w:name w:val="样式 仿宋_GB2312 小四 黑色"/>
    <w:autoRedefine/>
    <w:qFormat/>
    <w:uiPriority w:val="0"/>
    <w:rPr>
      <w:rFonts w:ascii="Times New Roman" w:hAnsi="Times New Roman" w:eastAsia="仿宋_GB2312"/>
      <w:color w:val="000000"/>
      <w:sz w:val="24"/>
      <w:szCs w:val="24"/>
    </w:rPr>
  </w:style>
  <w:style w:type="character" w:customStyle="1" w:styleId="1049">
    <w:name w:val="t1"/>
    <w:autoRedefine/>
    <w:qFormat/>
    <w:uiPriority w:val="0"/>
  </w:style>
  <w:style w:type="character" w:customStyle="1" w:styleId="1050">
    <w:name w:val="表格标题 Char Char"/>
    <w:autoRedefine/>
    <w:qFormat/>
    <w:uiPriority w:val="0"/>
    <w:rPr>
      <w:rFonts w:eastAsia="宋体"/>
      <w:kern w:val="2"/>
      <w:sz w:val="21"/>
      <w:lang w:val="en-US" w:eastAsia="zh-CN"/>
    </w:rPr>
  </w:style>
  <w:style w:type="character" w:customStyle="1" w:styleId="1051">
    <w:name w:val="list_description"/>
    <w:autoRedefine/>
    <w:qFormat/>
    <w:uiPriority w:val="0"/>
  </w:style>
  <w:style w:type="character" w:customStyle="1" w:styleId="1052">
    <w:name w:val="Char Char18"/>
    <w:autoRedefine/>
    <w:qFormat/>
    <w:uiPriority w:val="0"/>
    <w:rPr>
      <w:rFonts w:eastAsia="宋体"/>
      <w:bCs/>
      <w:kern w:val="2"/>
      <w:sz w:val="28"/>
      <w:szCs w:val="32"/>
      <w:lang w:val="en-US" w:eastAsia="zh-CN"/>
    </w:rPr>
  </w:style>
  <w:style w:type="character" w:customStyle="1" w:styleId="1053">
    <w:name w:val="正文表格 Char Char"/>
    <w:link w:val="1054"/>
    <w:autoRedefine/>
    <w:qFormat/>
    <w:uiPriority w:val="0"/>
    <w:rPr>
      <w:sz w:val="28"/>
      <w:lang w:eastAsia="en-US"/>
    </w:rPr>
  </w:style>
  <w:style w:type="paragraph" w:customStyle="1" w:styleId="1054">
    <w:name w:val="正文表格"/>
    <w:basedOn w:val="1"/>
    <w:link w:val="1053"/>
    <w:autoRedefine/>
    <w:qFormat/>
    <w:uiPriority w:val="0"/>
    <w:pPr>
      <w:keepNext/>
      <w:keepLines/>
      <w:widowControl/>
      <w:overflowPunct w:val="0"/>
      <w:snapToGrid/>
      <w:spacing w:before="80" w:line="440" w:lineRule="exact"/>
      <w:jc w:val="center"/>
      <w:textAlignment w:val="bottom"/>
    </w:pPr>
    <w:rPr>
      <w:rFonts w:ascii="Calibri" w:hAnsi="Calibri"/>
      <w:kern w:val="0"/>
      <w:sz w:val="28"/>
      <w:lang w:val="zh-CN" w:eastAsia="en-US"/>
    </w:rPr>
  </w:style>
  <w:style w:type="character" w:customStyle="1" w:styleId="1055">
    <w:name w:val="Default Char Char"/>
    <w:link w:val="151"/>
    <w:autoRedefine/>
    <w:qFormat/>
    <w:uiPriority w:val="0"/>
    <w:rPr>
      <w:rFonts w:ascii="Times New Roman" w:hAnsi="Times New Roman"/>
      <w:color w:val="000000"/>
      <w:sz w:val="24"/>
      <w:szCs w:val="24"/>
      <w:lang w:bidi="ar-SA"/>
    </w:rPr>
  </w:style>
  <w:style w:type="character" w:customStyle="1" w:styleId="1056">
    <w:name w:val="表格文字-大表-小五"/>
    <w:autoRedefine/>
    <w:qFormat/>
    <w:uiPriority w:val="0"/>
    <w:rPr>
      <w:color w:val="000000"/>
      <w:sz w:val="18"/>
    </w:rPr>
  </w:style>
  <w:style w:type="character" w:customStyle="1" w:styleId="1057">
    <w:name w:val="Char Char101"/>
    <w:autoRedefine/>
    <w:qFormat/>
    <w:uiPriority w:val="0"/>
    <w:rPr>
      <w:rFonts w:eastAsia="宋体"/>
      <w:snapToGrid w:val="0"/>
      <w:spacing w:val="8"/>
      <w:kern w:val="2"/>
      <w:sz w:val="18"/>
      <w:szCs w:val="18"/>
      <w:lang w:val="en-US" w:eastAsia="zh-CN"/>
    </w:rPr>
  </w:style>
  <w:style w:type="character" w:customStyle="1" w:styleId="1058">
    <w:name w:val="标题 2 Char Char Char Char Char Char Char"/>
    <w:autoRedefine/>
    <w:qFormat/>
    <w:uiPriority w:val="0"/>
    <w:rPr>
      <w:rFonts w:eastAsia="黑体"/>
      <w:b/>
      <w:kern w:val="2"/>
      <w:sz w:val="32"/>
      <w:lang w:val="en-US" w:eastAsia="zh-CN"/>
    </w:rPr>
  </w:style>
  <w:style w:type="character" w:customStyle="1" w:styleId="1059">
    <w:name w:val="10"/>
    <w:autoRedefine/>
    <w:qFormat/>
    <w:uiPriority w:val="0"/>
    <w:rPr>
      <w:rFonts w:hint="default" w:ascii="Times New Roman" w:hAnsi="Times New Roman" w:cs="Times New Roman"/>
      <w:sz w:val="20"/>
      <w:szCs w:val="20"/>
    </w:rPr>
  </w:style>
  <w:style w:type="character" w:customStyle="1" w:styleId="1060">
    <w:name w:val="15"/>
    <w:autoRedefine/>
    <w:qFormat/>
    <w:uiPriority w:val="0"/>
    <w:rPr>
      <w:rFonts w:hint="default" w:ascii="Times New Roman" w:hAnsi="Times New Roman" w:cs="Times New Roman"/>
      <w:b/>
      <w:bCs/>
      <w:sz w:val="32"/>
      <w:szCs w:val="32"/>
    </w:rPr>
  </w:style>
  <w:style w:type="character" w:customStyle="1" w:styleId="1061">
    <w:name w:val="正文首行缩进 Char2"/>
    <w:autoRedefine/>
    <w:qFormat/>
    <w:uiPriority w:val="0"/>
  </w:style>
  <w:style w:type="character" w:customStyle="1" w:styleId="1062">
    <w:name w:val="z-窗体顶端 Char"/>
    <w:link w:val="1063"/>
    <w:autoRedefine/>
    <w:qFormat/>
    <w:uiPriority w:val="0"/>
    <w:rPr>
      <w:rFonts w:ascii="Arial" w:hAnsi="Arial" w:cs="Arial"/>
      <w:vanish/>
      <w:sz w:val="16"/>
      <w:szCs w:val="16"/>
      <w:lang w:eastAsia="en-US"/>
    </w:rPr>
  </w:style>
  <w:style w:type="paragraph" w:customStyle="1" w:styleId="1063">
    <w:name w:val="z-窗体顶端1"/>
    <w:basedOn w:val="1"/>
    <w:next w:val="1"/>
    <w:link w:val="1062"/>
    <w:autoRedefine/>
    <w:qFormat/>
    <w:uiPriority w:val="0"/>
    <w:pPr>
      <w:widowControl/>
      <w:pBdr>
        <w:bottom w:val="single" w:color="auto" w:sz="6" w:space="1"/>
      </w:pBdr>
      <w:adjustRightInd/>
      <w:snapToGrid/>
      <w:spacing w:line="440" w:lineRule="exact"/>
      <w:jc w:val="center"/>
    </w:pPr>
    <w:rPr>
      <w:rFonts w:ascii="Arial" w:hAnsi="Arial"/>
      <w:vanish/>
      <w:kern w:val="0"/>
      <w:sz w:val="16"/>
      <w:szCs w:val="16"/>
      <w:lang w:val="zh-CN" w:eastAsia="en-US"/>
    </w:rPr>
  </w:style>
  <w:style w:type="character" w:customStyle="1" w:styleId="1064">
    <w:name w:val="z-窗体底端 Char"/>
    <w:link w:val="1065"/>
    <w:autoRedefine/>
    <w:qFormat/>
    <w:uiPriority w:val="0"/>
    <w:rPr>
      <w:rFonts w:ascii="Arial" w:hAnsi="Arial" w:cs="Arial"/>
      <w:vanish/>
      <w:sz w:val="16"/>
      <w:szCs w:val="16"/>
      <w:lang w:eastAsia="en-US"/>
    </w:rPr>
  </w:style>
  <w:style w:type="paragraph" w:customStyle="1" w:styleId="1065">
    <w:name w:val="z-窗体底端1"/>
    <w:basedOn w:val="1"/>
    <w:next w:val="1"/>
    <w:link w:val="1064"/>
    <w:autoRedefine/>
    <w:qFormat/>
    <w:uiPriority w:val="0"/>
    <w:pPr>
      <w:widowControl/>
      <w:pBdr>
        <w:top w:val="single" w:color="auto" w:sz="6" w:space="1"/>
      </w:pBdr>
      <w:adjustRightInd/>
      <w:snapToGrid/>
      <w:spacing w:line="440" w:lineRule="exact"/>
      <w:jc w:val="center"/>
    </w:pPr>
    <w:rPr>
      <w:rFonts w:ascii="Arial" w:hAnsi="Arial"/>
      <w:vanish/>
      <w:kern w:val="0"/>
      <w:sz w:val="16"/>
      <w:szCs w:val="16"/>
      <w:lang w:val="zh-CN" w:eastAsia="en-US"/>
    </w:rPr>
  </w:style>
  <w:style w:type="character" w:customStyle="1" w:styleId="1066">
    <w:name w:val="引用 Char2"/>
    <w:autoRedefine/>
    <w:qFormat/>
    <w:uiPriority w:val="29"/>
    <w:rPr>
      <w:rFonts w:ascii="Calibri" w:hAnsi="Calibri" w:eastAsia="宋体" w:cs="Times New Roman"/>
      <w:i/>
      <w:iCs/>
      <w:color w:val="000000"/>
      <w:kern w:val="0"/>
      <w:sz w:val="24"/>
      <w:lang w:eastAsia="en-US"/>
    </w:rPr>
  </w:style>
  <w:style w:type="paragraph" w:customStyle="1" w:styleId="1067">
    <w:name w:val="索引 11"/>
    <w:basedOn w:val="1"/>
    <w:next w:val="1"/>
    <w:autoRedefine/>
    <w:qFormat/>
    <w:uiPriority w:val="99"/>
    <w:pPr>
      <w:widowControl/>
      <w:adjustRightInd/>
      <w:snapToGrid/>
      <w:spacing w:line="440" w:lineRule="exact"/>
    </w:pPr>
    <w:rPr>
      <w:rFonts w:ascii="宋体" w:hAnsi="Calibri"/>
      <w:kern w:val="0"/>
      <w:sz w:val="26"/>
    </w:rPr>
  </w:style>
  <w:style w:type="paragraph" w:customStyle="1" w:styleId="1068">
    <w:name w:val="xl117"/>
    <w:basedOn w:val="1"/>
    <w:autoRedefine/>
    <w:qFormat/>
    <w:uiPriority w:val="0"/>
    <w:pPr>
      <w:widowControl/>
      <w:pBdr>
        <w:left w:val="single" w:color="auto" w:sz="4" w:space="0"/>
        <w:bottom w:val="single" w:color="auto" w:sz="4" w:space="0"/>
      </w:pBdr>
      <w:adjustRightInd/>
      <w:snapToGrid/>
      <w:spacing w:before="100" w:beforeAutospacing="1" w:after="100" w:afterAutospacing="1" w:line="440" w:lineRule="exact"/>
      <w:textAlignment w:val="center"/>
    </w:pPr>
    <w:rPr>
      <w:rFonts w:ascii="宋体" w:hAnsi="宋体" w:cs="宋体"/>
      <w:kern w:val="0"/>
      <w:sz w:val="22"/>
    </w:rPr>
  </w:style>
  <w:style w:type="paragraph" w:customStyle="1" w:styleId="1069">
    <w:name w:val="xl108"/>
    <w:basedOn w:val="1"/>
    <w:autoRedefine/>
    <w:qFormat/>
    <w:uiPriority w:val="0"/>
    <w:pPr>
      <w:widowControl/>
      <w:pBdr>
        <w:left w:val="single" w:color="auto" w:sz="4" w:space="0"/>
        <w:bottom w:val="single" w:color="auto" w:sz="4" w:space="0"/>
        <w:right w:val="single" w:color="auto" w:sz="4" w:space="0"/>
      </w:pBdr>
      <w:adjustRightInd/>
      <w:snapToGrid/>
      <w:spacing w:before="100" w:beforeAutospacing="1" w:after="100" w:afterAutospacing="1" w:line="440" w:lineRule="exact"/>
      <w:jc w:val="right"/>
      <w:textAlignment w:val="center"/>
    </w:pPr>
    <w:rPr>
      <w:rFonts w:ascii="宋体" w:hAnsi="宋体" w:cs="宋体"/>
      <w:b/>
      <w:bCs/>
      <w:kern w:val="0"/>
      <w:sz w:val="22"/>
    </w:rPr>
  </w:style>
  <w:style w:type="paragraph" w:customStyle="1" w:styleId="1070">
    <w:name w:val="Char Char Char Char Char Char1 Char4"/>
    <w:basedOn w:val="1"/>
    <w:autoRedefine/>
    <w:qFormat/>
    <w:uiPriority w:val="0"/>
    <w:pPr>
      <w:adjustRightInd/>
      <w:snapToGrid/>
      <w:spacing w:line="240" w:lineRule="auto"/>
      <w:ind w:firstLine="0" w:firstLineChars="0"/>
    </w:pPr>
    <w:rPr>
      <w:sz w:val="21"/>
      <w:szCs w:val="24"/>
    </w:rPr>
  </w:style>
  <w:style w:type="paragraph" w:customStyle="1" w:styleId="1071">
    <w:name w:val="xl118"/>
    <w:basedOn w:val="1"/>
    <w:autoRedefine/>
    <w:qFormat/>
    <w:uiPriority w:val="0"/>
    <w:pPr>
      <w:widowControl/>
      <w:pBdr>
        <w:top w:val="single" w:color="auto" w:sz="4" w:space="0"/>
        <w:left w:val="single" w:color="auto" w:sz="4" w:space="0"/>
        <w:bottom w:val="single" w:color="auto" w:sz="4" w:space="0"/>
      </w:pBdr>
      <w:adjustRightInd/>
      <w:snapToGrid/>
      <w:spacing w:before="100" w:beforeAutospacing="1" w:after="100" w:afterAutospacing="1" w:line="440" w:lineRule="exact"/>
      <w:textAlignment w:val="center"/>
    </w:pPr>
    <w:rPr>
      <w:rFonts w:ascii="宋体" w:hAnsi="宋体" w:cs="宋体"/>
      <w:kern w:val="0"/>
      <w:sz w:val="22"/>
    </w:rPr>
  </w:style>
  <w:style w:type="paragraph" w:customStyle="1" w:styleId="1072">
    <w:name w:val="表格下五号"/>
    <w:basedOn w:val="1073"/>
    <w:autoRedefine/>
    <w:qFormat/>
    <w:uiPriority w:val="0"/>
    <w:pPr>
      <w:spacing w:beforeLines="50" w:afterLines="0"/>
      <w:ind w:firstLine="420" w:firstLineChars="200"/>
      <w:jc w:val="left"/>
    </w:pPr>
    <w:rPr>
      <w:bCs w:val="0"/>
      <w:sz w:val="21"/>
      <w:szCs w:val="20"/>
      <w:lang w:val="en-US"/>
    </w:rPr>
  </w:style>
  <w:style w:type="paragraph" w:customStyle="1" w:styleId="1073">
    <w:name w:val="表格五号"/>
    <w:basedOn w:val="1"/>
    <w:autoRedefine/>
    <w:qFormat/>
    <w:uiPriority w:val="0"/>
    <w:pPr>
      <w:autoSpaceDE w:val="0"/>
      <w:autoSpaceDN w:val="0"/>
      <w:spacing w:beforeLines="20" w:afterLines="20" w:line="240" w:lineRule="auto"/>
      <w:ind w:firstLine="0" w:firstLineChars="0"/>
      <w:jc w:val="center"/>
    </w:pPr>
    <w:rPr>
      <w:rFonts w:ascii="Arial" w:hAnsi="Arial" w:cs="Arial"/>
      <w:bCs/>
      <w:kern w:val="0"/>
      <w:sz w:val="18"/>
      <w:szCs w:val="21"/>
      <w:lang w:val="zh-CN"/>
    </w:rPr>
  </w:style>
  <w:style w:type="paragraph" w:customStyle="1" w:styleId="1074">
    <w:name w:val="公式 新"/>
    <w:basedOn w:val="1"/>
    <w:autoRedefine/>
    <w:qFormat/>
    <w:uiPriority w:val="99"/>
    <w:pPr>
      <w:widowControl/>
      <w:adjustRightInd/>
      <w:snapToGrid/>
      <w:spacing w:beforeLines="50" w:afterLines="50" w:line="360" w:lineRule="auto"/>
      <w:jc w:val="center"/>
    </w:pPr>
    <w:rPr>
      <w:rFonts w:ascii="宋体" w:hAnsi="Calibri" w:cs="宋体"/>
      <w:kern w:val="0"/>
    </w:rPr>
  </w:style>
  <w:style w:type="paragraph" w:customStyle="1" w:styleId="1075">
    <w:name w:val="标题41"/>
    <w:basedOn w:val="1"/>
    <w:next w:val="725"/>
    <w:autoRedefine/>
    <w:qFormat/>
    <w:uiPriority w:val="99"/>
    <w:pPr>
      <w:widowControl/>
      <w:tabs>
        <w:tab w:val="left" w:pos="840"/>
      </w:tabs>
      <w:adjustRightInd/>
      <w:snapToGrid/>
      <w:spacing w:line="440" w:lineRule="exact"/>
      <w:ind w:left="840"/>
      <w:jc w:val="center"/>
    </w:pPr>
    <w:rPr>
      <w:rFonts w:ascii="宋体" w:hAnsi="Calibri" w:eastAsia="仿宋_GB2312"/>
      <w:bCs/>
      <w:kern w:val="0"/>
    </w:rPr>
  </w:style>
  <w:style w:type="paragraph" w:customStyle="1" w:styleId="1076">
    <w:name w:val="td1"/>
    <w:basedOn w:val="1"/>
    <w:autoRedefine/>
    <w:qFormat/>
    <w:uiPriority w:val="0"/>
    <w:pPr>
      <w:widowControl/>
      <w:adjustRightInd/>
      <w:snapToGrid/>
      <w:spacing w:before="100" w:beforeAutospacing="1" w:after="100" w:afterAutospacing="1" w:line="300" w:lineRule="atLeast"/>
    </w:pPr>
    <w:rPr>
      <w:rFonts w:ascii="宋体" w:hAnsi="Calibri"/>
      <w:color w:val="000000"/>
      <w:kern w:val="0"/>
      <w:sz w:val="18"/>
      <w:szCs w:val="18"/>
    </w:rPr>
  </w:style>
  <w:style w:type="paragraph" w:customStyle="1" w:styleId="1077">
    <w:name w:val="样式1."/>
    <w:basedOn w:val="1"/>
    <w:autoRedefine/>
    <w:qFormat/>
    <w:uiPriority w:val="0"/>
    <w:pPr>
      <w:widowControl/>
      <w:spacing w:line="460" w:lineRule="exact"/>
    </w:pPr>
    <w:rPr>
      <w:rFonts w:ascii="黑体" w:hAnsi="Calibri" w:eastAsia="黑体"/>
      <w:b/>
      <w:kern w:val="0"/>
      <w:sz w:val="30"/>
    </w:rPr>
  </w:style>
  <w:style w:type="paragraph" w:customStyle="1" w:styleId="1078">
    <w:name w:val="样式 小四 居中 行距: 1.5 倍行距"/>
    <w:basedOn w:val="1"/>
    <w:autoRedefine/>
    <w:qFormat/>
    <w:uiPriority w:val="99"/>
    <w:pPr>
      <w:widowControl/>
      <w:adjustRightInd/>
      <w:snapToGrid/>
      <w:spacing w:beforeLines="50" w:line="440" w:lineRule="exact"/>
      <w:jc w:val="center"/>
    </w:pPr>
    <w:rPr>
      <w:rFonts w:ascii="宋体" w:hAnsi="Calibri" w:eastAsia="黑体" w:cs="宋体"/>
      <w:kern w:val="0"/>
    </w:rPr>
  </w:style>
  <w:style w:type="paragraph" w:customStyle="1" w:styleId="1079">
    <w:name w:val="样式 四号 首行缩进:  0.99 厘米 行距: 固定值 23 磅"/>
    <w:basedOn w:val="1"/>
    <w:autoRedefine/>
    <w:qFormat/>
    <w:uiPriority w:val="99"/>
    <w:pPr>
      <w:widowControl/>
      <w:adjustRightInd/>
      <w:snapToGrid/>
      <w:spacing w:line="460" w:lineRule="exact"/>
      <w:ind w:firstLine="560"/>
    </w:pPr>
    <w:rPr>
      <w:rFonts w:ascii="宋体" w:hAnsi="Calibri" w:cs="宋体"/>
      <w:kern w:val="0"/>
      <w:sz w:val="28"/>
    </w:rPr>
  </w:style>
  <w:style w:type="paragraph" w:customStyle="1" w:styleId="1080">
    <w:name w:val="wpsplain"/>
    <w:basedOn w:val="1"/>
    <w:autoRedefine/>
    <w:qFormat/>
    <w:uiPriority w:val="99"/>
    <w:pPr>
      <w:widowControl/>
      <w:adjustRightInd/>
      <w:snapToGrid/>
      <w:spacing w:line="440" w:lineRule="exact"/>
    </w:pPr>
    <w:rPr>
      <w:rFonts w:ascii="宋体" w:hAnsi="Calibri"/>
      <w:kern w:val="0"/>
      <w:sz w:val="20"/>
    </w:rPr>
  </w:style>
  <w:style w:type="paragraph" w:customStyle="1" w:styleId="1081">
    <w:name w:val="样式 正文缩进正文（首行缩进两字）正文（首行缩进两字） Char Char Char Char Char Char Char..."/>
    <w:basedOn w:val="725"/>
    <w:autoRedefine/>
    <w:qFormat/>
    <w:uiPriority w:val="0"/>
    <w:pPr>
      <w:widowControl w:val="0"/>
      <w:tabs>
        <w:tab w:val="left" w:pos="3360"/>
      </w:tabs>
      <w:adjustRightInd w:val="0"/>
      <w:snapToGrid w:val="0"/>
      <w:spacing w:before="0" w:after="0" w:line="360" w:lineRule="auto"/>
      <w:ind w:firstLine="480"/>
      <w:jc w:val="center"/>
      <w:textAlignment w:val="baseline"/>
    </w:pPr>
    <w:rPr>
      <w:rFonts w:ascii="Times New Roman" w:hAnsi="Times New Roman"/>
      <w:bCs w:val="0"/>
      <w:snapToGrid w:val="0"/>
      <w:color w:val="000000"/>
      <w:szCs w:val="24"/>
    </w:rPr>
  </w:style>
  <w:style w:type="paragraph" w:customStyle="1" w:styleId="1082">
    <w:name w:val="正文图小四"/>
    <w:basedOn w:val="1"/>
    <w:autoRedefine/>
    <w:qFormat/>
    <w:uiPriority w:val="0"/>
    <w:pPr>
      <w:spacing w:line="240" w:lineRule="auto"/>
      <w:ind w:firstLine="0" w:firstLineChars="0"/>
      <w:jc w:val="center"/>
      <w:textAlignment w:val="baseline"/>
    </w:pPr>
    <w:rPr>
      <w:rFonts w:ascii="宋体"/>
      <w:kern w:val="0"/>
      <w:szCs w:val="24"/>
    </w:rPr>
  </w:style>
  <w:style w:type="paragraph" w:customStyle="1" w:styleId="1083">
    <w:name w:val="表biao"/>
    <w:basedOn w:val="1"/>
    <w:autoRedefine/>
    <w:qFormat/>
    <w:uiPriority w:val="0"/>
    <w:pPr>
      <w:widowControl/>
      <w:adjustRightInd/>
      <w:snapToGrid/>
      <w:spacing w:line="280" w:lineRule="exact"/>
      <w:jc w:val="center"/>
    </w:pPr>
    <w:rPr>
      <w:rFonts w:ascii="宋体" w:hAnsi="Calibri"/>
      <w:kern w:val="0"/>
      <w:szCs w:val="21"/>
    </w:rPr>
  </w:style>
  <w:style w:type="paragraph" w:customStyle="1" w:styleId="1084">
    <w:name w:val="正文首行缩进13"/>
    <w:basedOn w:val="34"/>
    <w:autoRedefine/>
    <w:qFormat/>
    <w:uiPriority w:val="99"/>
    <w:pPr>
      <w:snapToGrid/>
      <w:spacing w:after="0" w:line="312" w:lineRule="auto"/>
      <w:ind w:firstLine="567" w:firstLineChars="0"/>
      <w:jc w:val="left"/>
      <w:textAlignment w:val="baseline"/>
    </w:pPr>
    <w:rPr>
      <w:sz w:val="28"/>
    </w:rPr>
  </w:style>
  <w:style w:type="paragraph" w:customStyle="1" w:styleId="1085">
    <w:name w:val="Char Char Char1 Char Char Char Char Char Char Char Char Char Char4"/>
    <w:basedOn w:val="1"/>
    <w:autoRedefine/>
    <w:qFormat/>
    <w:uiPriority w:val="99"/>
    <w:pPr>
      <w:adjustRightInd/>
      <w:snapToGrid/>
      <w:spacing w:line="240" w:lineRule="auto"/>
      <w:ind w:firstLine="0" w:firstLineChars="0"/>
    </w:pPr>
    <w:rPr>
      <w:sz w:val="21"/>
      <w:szCs w:val="24"/>
    </w:rPr>
  </w:style>
  <w:style w:type="paragraph" w:customStyle="1" w:styleId="1086">
    <w:name w:val="样式 样式 样式 四号 黑色 + 首行缩进:  2 字符 + 小四 下划线 居中"/>
    <w:basedOn w:val="917"/>
    <w:autoRedefine/>
    <w:qFormat/>
    <w:uiPriority w:val="99"/>
    <w:pPr>
      <w:ind w:firstLine="0" w:firstLineChars="0"/>
      <w:jc w:val="center"/>
    </w:pPr>
    <w:rPr>
      <w:sz w:val="24"/>
      <w:u w:val="single"/>
    </w:rPr>
  </w:style>
  <w:style w:type="paragraph" w:customStyle="1" w:styleId="1087">
    <w:name w:val="p25"/>
    <w:basedOn w:val="1"/>
    <w:autoRedefine/>
    <w:qFormat/>
    <w:uiPriority w:val="99"/>
    <w:pPr>
      <w:widowControl/>
      <w:adjustRightInd/>
      <w:snapToGrid/>
      <w:spacing w:line="240" w:lineRule="auto"/>
      <w:ind w:firstLine="0" w:firstLineChars="0"/>
      <w:jc w:val="center"/>
    </w:pPr>
    <w:rPr>
      <w:kern w:val="0"/>
      <w:sz w:val="21"/>
      <w:szCs w:val="21"/>
    </w:rPr>
  </w:style>
  <w:style w:type="paragraph" w:customStyle="1" w:styleId="1088">
    <w:name w:val="正文图四"/>
    <w:basedOn w:val="1089"/>
    <w:autoRedefine/>
    <w:qFormat/>
    <w:uiPriority w:val="0"/>
    <w:pPr>
      <w:spacing w:beforeLines="20"/>
    </w:pPr>
    <w:rPr>
      <w:sz w:val="28"/>
    </w:rPr>
  </w:style>
  <w:style w:type="paragraph" w:customStyle="1" w:styleId="1089">
    <w:name w:val="正文图"/>
    <w:basedOn w:val="1"/>
    <w:autoRedefine/>
    <w:qFormat/>
    <w:uiPriority w:val="0"/>
    <w:pPr>
      <w:spacing w:before="40" w:line="240" w:lineRule="auto"/>
      <w:ind w:firstLine="0" w:firstLineChars="0"/>
      <w:jc w:val="center"/>
      <w:textAlignment w:val="baseline"/>
    </w:pPr>
    <w:rPr>
      <w:rFonts w:ascii="宋体"/>
      <w:kern w:val="0"/>
    </w:rPr>
  </w:style>
  <w:style w:type="paragraph" w:customStyle="1" w:styleId="1090">
    <w:name w:val="xl48"/>
    <w:basedOn w:val="1"/>
    <w:autoRedefine/>
    <w:qFormat/>
    <w:uiPriority w:val="0"/>
    <w:pPr>
      <w:widowControl/>
      <w:pBdr>
        <w:left w:val="single" w:color="auto" w:sz="4" w:space="0"/>
        <w:right w:val="double" w:color="auto" w:sz="6" w:space="0"/>
      </w:pBdr>
      <w:shd w:val="clear" w:color="auto" w:fill="FFFFFF"/>
      <w:adjustRightInd/>
      <w:snapToGrid/>
      <w:spacing w:before="100" w:beforeAutospacing="1" w:after="100" w:afterAutospacing="1" w:line="440" w:lineRule="exact"/>
      <w:jc w:val="right"/>
      <w:textAlignment w:val="top"/>
    </w:pPr>
    <w:rPr>
      <w:rFonts w:ascii="Arial" w:hAnsi="Arial" w:eastAsia="Arial Unicode MS" w:cs="Arial"/>
      <w:color w:val="000000"/>
      <w:kern w:val="0"/>
    </w:rPr>
  </w:style>
  <w:style w:type="paragraph" w:customStyle="1" w:styleId="1091">
    <w:name w:val="表格居中"/>
    <w:autoRedefine/>
    <w:qFormat/>
    <w:uiPriority w:val="0"/>
    <w:pPr>
      <w:widowControl w:val="0"/>
      <w:jc w:val="center"/>
    </w:pPr>
    <w:rPr>
      <w:rFonts w:hint="eastAsia" w:ascii="宋体" w:hAnsi="Arial" w:eastAsia="宋体" w:cs="Times New Roman"/>
      <w:lang w:val="en-US" w:eastAsia="zh-CN" w:bidi="ar-SA"/>
    </w:rPr>
  </w:style>
  <w:style w:type="paragraph" w:customStyle="1" w:styleId="1092">
    <w:name w:val="样式 样式 样式 首行缩进:  2 字符 段后: 0.5 行 + 首行缩进:  2 字符 段后: 0.5 行 + 段后: 0.5...1"/>
    <w:basedOn w:val="972"/>
    <w:autoRedefine/>
    <w:qFormat/>
    <w:uiPriority w:val="99"/>
    <w:pPr>
      <w:spacing w:afterLines="0"/>
    </w:pPr>
  </w:style>
  <w:style w:type="paragraph" w:customStyle="1" w:styleId="1093">
    <w:name w:val="样式 标题 3 + (中文) 黑体 小四 非加粗 段前: 7.8 磅 段后: 7.8 磅 行距: 1.5 倍行距"/>
    <w:basedOn w:val="5"/>
    <w:autoRedefine/>
    <w:qFormat/>
    <w:uiPriority w:val="99"/>
    <w:pPr>
      <w:widowControl/>
      <w:numPr>
        <w:ilvl w:val="0"/>
        <w:numId w:val="0"/>
      </w:numPr>
      <w:adjustRightInd/>
      <w:spacing w:beforeLines="50" w:afterLines="50" w:line="360" w:lineRule="auto"/>
    </w:pPr>
    <w:rPr>
      <w:rFonts w:eastAsia="黑体" w:cs="宋体"/>
      <w:b w:val="0"/>
      <w:bCs w:val="0"/>
      <w:sz w:val="28"/>
      <w:szCs w:val="20"/>
    </w:rPr>
  </w:style>
  <w:style w:type="paragraph" w:customStyle="1" w:styleId="1094">
    <w:name w:val="正文文本1"/>
    <w:basedOn w:val="1"/>
    <w:autoRedefine/>
    <w:qFormat/>
    <w:uiPriority w:val="0"/>
    <w:pPr>
      <w:spacing w:line="348" w:lineRule="auto"/>
      <w:ind w:firstLine="560"/>
      <w:jc w:val="center"/>
    </w:pPr>
    <w:rPr>
      <w:rFonts w:ascii="宋体" w:hAnsi="华文宋体" w:cs="宋体"/>
      <w:w w:val="80"/>
      <w:sz w:val="28"/>
    </w:rPr>
  </w:style>
  <w:style w:type="paragraph" w:customStyle="1" w:styleId="1095">
    <w:name w:val="样式 标题 1标题 1 CharH1H11H12Heading 11level 1Level 1 Head章章..."/>
    <w:basedOn w:val="3"/>
    <w:autoRedefine/>
    <w:qFormat/>
    <w:uiPriority w:val="99"/>
    <w:pPr>
      <w:numPr>
        <w:numId w:val="0"/>
      </w:numPr>
      <w:spacing w:beforeLines="100" w:afterLines="100" w:line="348" w:lineRule="auto"/>
      <w:ind w:firstLine="200" w:firstLineChars="200"/>
      <w:textAlignment w:val="baseline"/>
    </w:pPr>
    <w:rPr>
      <w:rFonts w:cs="宋体"/>
      <w:color w:val="000000"/>
      <w:szCs w:val="20"/>
    </w:rPr>
  </w:style>
  <w:style w:type="paragraph" w:customStyle="1" w:styleId="1096">
    <w:name w:val="引文目录标题1"/>
    <w:basedOn w:val="1"/>
    <w:next w:val="1"/>
    <w:autoRedefine/>
    <w:qFormat/>
    <w:uiPriority w:val="99"/>
    <w:pPr>
      <w:widowControl/>
      <w:adjustRightInd/>
      <w:snapToGrid/>
      <w:spacing w:before="120"/>
    </w:pPr>
    <w:rPr>
      <w:rFonts w:ascii="Arial" w:hAnsi="Arial"/>
      <w:b/>
      <w:bCs/>
      <w:kern w:val="0"/>
    </w:rPr>
  </w:style>
  <w:style w:type="paragraph" w:customStyle="1" w:styleId="1097">
    <w:name w:val="p33"/>
    <w:basedOn w:val="1"/>
    <w:autoRedefine/>
    <w:qFormat/>
    <w:uiPriority w:val="99"/>
    <w:pPr>
      <w:widowControl/>
      <w:adjustRightInd/>
      <w:spacing w:line="240" w:lineRule="auto"/>
      <w:ind w:left="2" w:right="-105" w:hanging="2" w:firstLineChars="0"/>
      <w:jc w:val="center"/>
    </w:pPr>
    <w:rPr>
      <w:b/>
      <w:bCs/>
      <w:spacing w:val="8"/>
      <w:kern w:val="0"/>
      <w:szCs w:val="24"/>
    </w:rPr>
  </w:style>
  <w:style w:type="paragraph" w:customStyle="1" w:styleId="1098">
    <w:name w:val="列表接续1"/>
    <w:basedOn w:val="1"/>
    <w:autoRedefine/>
    <w:qFormat/>
    <w:uiPriority w:val="99"/>
    <w:pPr>
      <w:widowControl/>
      <w:adjustRightInd/>
      <w:snapToGrid/>
      <w:spacing w:after="120" w:line="440" w:lineRule="exact"/>
      <w:ind w:left="420" w:leftChars="200"/>
    </w:pPr>
    <w:rPr>
      <w:rFonts w:ascii="宋体" w:hAnsi="Calibri"/>
      <w:kern w:val="0"/>
    </w:rPr>
  </w:style>
  <w:style w:type="paragraph" w:customStyle="1" w:styleId="1099">
    <w:name w:val="样式 样式 段前: 0.5 行 + 首行缩进:  2 字符"/>
    <w:basedOn w:val="1100"/>
    <w:autoRedefine/>
    <w:qFormat/>
    <w:uiPriority w:val="99"/>
    <w:pPr>
      <w:spacing w:beforeLines="0"/>
    </w:pPr>
  </w:style>
  <w:style w:type="paragraph" w:customStyle="1" w:styleId="1100">
    <w:name w:val="样式 段前: 0.5 行"/>
    <w:basedOn w:val="1"/>
    <w:autoRedefine/>
    <w:qFormat/>
    <w:uiPriority w:val="99"/>
    <w:pPr>
      <w:widowControl/>
      <w:spacing w:beforeLines="50" w:line="360" w:lineRule="auto"/>
    </w:pPr>
    <w:rPr>
      <w:rFonts w:ascii="宋体" w:hAnsi="Calibri" w:cs="宋体"/>
      <w:kern w:val="0"/>
    </w:rPr>
  </w:style>
  <w:style w:type="paragraph" w:customStyle="1" w:styleId="1101">
    <w:name w:val="xl60"/>
    <w:basedOn w:val="1"/>
    <w:autoRedefine/>
    <w:qFormat/>
    <w:uiPriority w:val="0"/>
    <w:pPr>
      <w:widowControl/>
      <w:pBdr>
        <w:top w:val="single" w:color="auto" w:sz="4" w:space="0"/>
        <w:left w:val="single" w:color="auto" w:sz="4" w:space="0"/>
        <w:bottom w:val="single" w:color="auto" w:sz="4" w:space="0"/>
      </w:pBdr>
      <w:adjustRightInd/>
      <w:snapToGrid/>
      <w:spacing w:before="100" w:beforeAutospacing="1" w:afterLines="25" w:afterAutospacing="1" w:line="240" w:lineRule="auto"/>
      <w:jc w:val="center"/>
    </w:pPr>
    <w:rPr>
      <w:rFonts w:ascii="Arial Unicode MS" w:hAnsi="Arial Unicode MS" w:eastAsia="Arial Unicode MS"/>
      <w:kern w:val="0"/>
      <w:sz w:val="18"/>
      <w:szCs w:val="18"/>
    </w:rPr>
  </w:style>
  <w:style w:type="paragraph" w:customStyle="1" w:styleId="1102">
    <w:name w:val="Title 1"/>
    <w:basedOn w:val="3"/>
    <w:next w:val="1"/>
    <w:autoRedefine/>
    <w:qFormat/>
    <w:uiPriority w:val="99"/>
    <w:pPr>
      <w:pageBreakBefore/>
      <w:widowControl/>
      <w:numPr>
        <w:numId w:val="0"/>
      </w:numPr>
      <w:adjustRightInd/>
      <w:snapToGrid/>
      <w:spacing w:before="480" w:after="360" w:line="240" w:lineRule="auto"/>
      <w:ind w:left="927" w:hanging="360"/>
    </w:pPr>
    <w:rPr>
      <w:rFonts w:ascii="Cambria" w:hAnsi="Cambria" w:eastAsia="黑体" w:cs="Arial"/>
      <w:bCs w:val="0"/>
      <w:kern w:val="0"/>
      <w:sz w:val="32"/>
      <w:szCs w:val="20"/>
    </w:rPr>
  </w:style>
  <w:style w:type="paragraph" w:customStyle="1" w:styleId="1103">
    <w:name w:val="bw1"/>
    <w:basedOn w:val="1"/>
    <w:autoRedefine/>
    <w:qFormat/>
    <w:uiPriority w:val="0"/>
    <w:pPr>
      <w:spacing w:line="240" w:lineRule="atLeast"/>
      <w:ind w:left="-57" w:right="-57" w:firstLine="0" w:firstLineChars="0"/>
      <w:jc w:val="center"/>
    </w:pPr>
    <w:rPr>
      <w:rFonts w:ascii="Arial Narrow" w:hAnsi="Arial Narrow" w:eastAsia="楷体_GB2312"/>
      <w:w w:val="90"/>
      <w:sz w:val="18"/>
    </w:rPr>
  </w:style>
  <w:style w:type="paragraph" w:customStyle="1" w:styleId="1104">
    <w:name w:val="样式 表中文字 + 段后: 0.5 行1"/>
    <w:basedOn w:val="181"/>
    <w:autoRedefine/>
    <w:qFormat/>
    <w:uiPriority w:val="99"/>
    <w:pPr>
      <w:widowControl/>
      <w:snapToGrid/>
      <w:spacing w:line="340" w:lineRule="exact"/>
      <w:ind w:firstLine="200" w:firstLineChars="200"/>
    </w:pPr>
    <w:rPr>
      <w:rFonts w:ascii="Arial" w:hAnsi="Arial" w:eastAsia="仿宋_GB2312" w:cs="宋体"/>
      <w:kern w:val="0"/>
      <w:sz w:val="20"/>
      <w:szCs w:val="21"/>
      <w:lang w:eastAsia="zh-TW"/>
    </w:rPr>
  </w:style>
  <w:style w:type="paragraph" w:customStyle="1" w:styleId="1105">
    <w:name w:val="资料来源"/>
    <w:basedOn w:val="1"/>
    <w:next w:val="374"/>
    <w:autoRedefine/>
    <w:qFormat/>
    <w:uiPriority w:val="99"/>
    <w:pPr>
      <w:widowControl/>
      <w:spacing w:beforeLines="25" w:line="440" w:lineRule="exact"/>
    </w:pPr>
    <w:rPr>
      <w:rFonts w:ascii="宋体" w:hAnsi="Calibri"/>
      <w:kern w:val="0"/>
      <w:sz w:val="20"/>
    </w:rPr>
  </w:style>
  <w:style w:type="paragraph" w:customStyle="1" w:styleId="1106">
    <w:name w:val="生物附录"/>
    <w:autoRedefine/>
    <w:qFormat/>
    <w:uiPriority w:val="0"/>
    <w:pPr>
      <w:jc w:val="both"/>
    </w:pPr>
    <w:rPr>
      <w:rFonts w:ascii="Times New Roman" w:hAnsi="Times New Roman" w:eastAsia="宋体" w:cs="Times New Roman"/>
      <w:b/>
      <w:spacing w:val="20"/>
      <w:sz w:val="28"/>
      <w:lang w:val="en-US" w:eastAsia="zh-CN" w:bidi="ar-SA"/>
    </w:rPr>
  </w:style>
  <w:style w:type="paragraph" w:customStyle="1" w:styleId="1107">
    <w:name w:val="文本框五号 Char"/>
    <w:autoRedefine/>
    <w:qFormat/>
    <w:uiPriority w:val="0"/>
    <w:pPr>
      <w:jc w:val="center"/>
    </w:pPr>
    <w:rPr>
      <w:rFonts w:ascii="Times New Roman" w:hAnsi="Times New Roman" w:eastAsia="仿宋_GB2312" w:cs="Times New Roman"/>
      <w:szCs w:val="21"/>
      <w:lang w:val="en-US" w:eastAsia="zh-CN" w:bidi="ar-SA"/>
    </w:rPr>
  </w:style>
  <w:style w:type="paragraph" w:customStyle="1" w:styleId="1108">
    <w:name w:val="表格文字2"/>
    <w:basedOn w:val="1"/>
    <w:autoRedefine/>
    <w:qFormat/>
    <w:uiPriority w:val="0"/>
    <w:pPr>
      <w:spacing w:line="240" w:lineRule="auto"/>
      <w:ind w:left="-105" w:leftChars="-50" w:right="-105" w:rightChars="-50" w:firstLine="0" w:firstLineChars="0"/>
      <w:jc w:val="center"/>
      <w:textAlignment w:val="baseline"/>
    </w:pPr>
    <w:rPr>
      <w:rFonts w:eastAsia="仿宋_GB2312"/>
      <w:sz w:val="21"/>
      <w:szCs w:val="21"/>
    </w:rPr>
  </w:style>
  <w:style w:type="paragraph" w:customStyle="1" w:styleId="1109">
    <w:name w:val="xl55"/>
    <w:basedOn w:val="1"/>
    <w:autoRedefine/>
    <w:qFormat/>
    <w:uiPriority w:val="0"/>
    <w:pPr>
      <w:widowControl/>
      <w:pBdr>
        <w:top w:val="single" w:color="auto" w:sz="4" w:space="0"/>
        <w:bottom w:val="single" w:color="auto" w:sz="4" w:space="0"/>
        <w:right w:val="single" w:color="auto" w:sz="4" w:space="0"/>
      </w:pBdr>
      <w:adjustRightInd/>
      <w:snapToGrid/>
      <w:spacing w:before="100" w:beforeAutospacing="1" w:afterLines="25" w:afterAutospacing="1" w:line="240" w:lineRule="auto"/>
      <w:jc w:val="center"/>
    </w:pPr>
    <w:rPr>
      <w:rFonts w:ascii="Arial Unicode MS" w:hAnsi="Arial Unicode MS" w:eastAsia="Arial Unicode MS"/>
      <w:kern w:val="0"/>
      <w:sz w:val="18"/>
      <w:szCs w:val="18"/>
    </w:rPr>
  </w:style>
  <w:style w:type="paragraph" w:customStyle="1" w:styleId="1110">
    <w:name w:val="小四表格"/>
    <w:basedOn w:val="1"/>
    <w:autoRedefine/>
    <w:qFormat/>
    <w:uiPriority w:val="99"/>
    <w:pPr>
      <w:widowControl/>
      <w:adjustRightInd/>
      <w:spacing w:line="440" w:lineRule="exact"/>
      <w:jc w:val="center"/>
    </w:pPr>
    <w:rPr>
      <w:rFonts w:ascii="宋体" w:hAnsi="Calibri"/>
      <w:kern w:val="0"/>
    </w:rPr>
  </w:style>
  <w:style w:type="paragraph" w:customStyle="1" w:styleId="1111">
    <w:name w:val="612正文"/>
    <w:basedOn w:val="1"/>
    <w:autoRedefine/>
    <w:qFormat/>
    <w:uiPriority w:val="99"/>
    <w:pPr>
      <w:widowControl/>
      <w:spacing w:line="480" w:lineRule="atLeast"/>
      <w:ind w:firstLine="480"/>
    </w:pPr>
    <w:rPr>
      <w:rFonts w:ascii="宋体" w:hAnsi="Calibri"/>
      <w:snapToGrid w:val="0"/>
      <w:kern w:val="0"/>
    </w:rPr>
  </w:style>
  <w:style w:type="paragraph" w:customStyle="1" w:styleId="1112">
    <w:name w:val="样式 图表 + 首行缩进:  2 字符1"/>
    <w:basedOn w:val="1"/>
    <w:autoRedefine/>
    <w:qFormat/>
    <w:uiPriority w:val="0"/>
    <w:pPr>
      <w:spacing w:beforeLines="20" w:afterLines="20" w:line="240" w:lineRule="auto"/>
      <w:ind w:left="-105" w:leftChars="-50" w:right="-105" w:rightChars="-50" w:firstLine="0" w:firstLineChars="0"/>
      <w:jc w:val="center"/>
    </w:pPr>
    <w:rPr>
      <w:rFonts w:eastAsia="仿宋_GB2312"/>
      <w:color w:val="000000"/>
      <w:sz w:val="21"/>
      <w:szCs w:val="24"/>
    </w:rPr>
  </w:style>
  <w:style w:type="paragraph" w:customStyle="1" w:styleId="1113">
    <w:name w:val="索引 61"/>
    <w:basedOn w:val="1"/>
    <w:next w:val="1"/>
    <w:autoRedefine/>
    <w:qFormat/>
    <w:uiPriority w:val="99"/>
    <w:pPr>
      <w:widowControl/>
      <w:adjustRightInd/>
      <w:snapToGrid/>
      <w:spacing w:line="440" w:lineRule="exact"/>
      <w:ind w:left="1000" w:leftChars="1000"/>
    </w:pPr>
    <w:rPr>
      <w:rFonts w:ascii="宋体" w:hAnsi="Calibri"/>
      <w:kern w:val="0"/>
    </w:rPr>
  </w:style>
  <w:style w:type="paragraph" w:customStyle="1" w:styleId="1114">
    <w:name w:val="Char Char Char1 Char Char Char Char Char Char Char1"/>
    <w:basedOn w:val="1"/>
    <w:autoRedefine/>
    <w:qFormat/>
    <w:uiPriority w:val="0"/>
    <w:pPr>
      <w:adjustRightInd/>
      <w:snapToGrid/>
      <w:spacing w:line="240" w:lineRule="auto"/>
      <w:ind w:firstLine="0" w:firstLineChars="0"/>
    </w:pPr>
    <w:rPr>
      <w:rFonts w:ascii="Tahoma" w:hAnsi="Tahoma"/>
    </w:rPr>
  </w:style>
  <w:style w:type="paragraph" w:customStyle="1" w:styleId="1115">
    <w:name w:val="Char Char Char1 Char Char Char Char Char Char Char2"/>
    <w:basedOn w:val="1"/>
    <w:autoRedefine/>
    <w:qFormat/>
    <w:uiPriority w:val="99"/>
    <w:pPr>
      <w:adjustRightInd/>
      <w:snapToGrid/>
      <w:spacing w:line="240" w:lineRule="auto"/>
      <w:ind w:firstLine="0" w:firstLineChars="0"/>
    </w:pPr>
    <w:rPr>
      <w:rFonts w:ascii="Tahoma" w:hAnsi="Tahoma"/>
    </w:rPr>
  </w:style>
  <w:style w:type="paragraph" w:customStyle="1" w:styleId="1116">
    <w:name w:val="正文首行缩进2"/>
    <w:basedOn w:val="34"/>
    <w:autoRedefine/>
    <w:qFormat/>
    <w:uiPriority w:val="0"/>
    <w:pPr>
      <w:snapToGrid/>
      <w:spacing w:after="0" w:line="312" w:lineRule="auto"/>
      <w:ind w:firstLine="567" w:firstLineChars="0"/>
      <w:jc w:val="left"/>
      <w:textAlignment w:val="baseline"/>
    </w:pPr>
    <w:rPr>
      <w:sz w:val="28"/>
    </w:rPr>
  </w:style>
  <w:style w:type="paragraph" w:customStyle="1" w:styleId="1117">
    <w:name w:val="Char Char Char Char Char Char Char Char Char Char2"/>
    <w:basedOn w:val="1"/>
    <w:autoRedefine/>
    <w:qFormat/>
    <w:uiPriority w:val="0"/>
    <w:pPr>
      <w:adjustRightInd/>
      <w:snapToGrid/>
      <w:spacing w:line="240" w:lineRule="auto"/>
      <w:ind w:firstLine="0" w:firstLineChars="0"/>
    </w:pPr>
    <w:rPr>
      <w:rFonts w:ascii="宋体" w:hAnsi="宋体" w:cs="宋体"/>
      <w:color w:val="000000"/>
      <w:sz w:val="21"/>
      <w:szCs w:val="21"/>
    </w:rPr>
  </w:style>
  <w:style w:type="paragraph" w:customStyle="1" w:styleId="1118">
    <w:name w:val="大表左紧"/>
    <w:basedOn w:val="1119"/>
    <w:autoRedefine/>
    <w:qFormat/>
    <w:uiPriority w:val="99"/>
    <w:pPr>
      <w:tabs>
        <w:tab w:val="left" w:pos="1701"/>
      </w:tabs>
      <w:spacing w:line="276" w:lineRule="auto"/>
    </w:pPr>
    <w:rPr>
      <w:spacing w:val="-6"/>
    </w:rPr>
  </w:style>
  <w:style w:type="paragraph" w:customStyle="1" w:styleId="1119">
    <w:name w:val="大表文左对"/>
    <w:basedOn w:val="1120"/>
    <w:autoRedefine/>
    <w:qFormat/>
    <w:uiPriority w:val="0"/>
    <w:pPr>
      <w:tabs>
        <w:tab w:val="left" w:pos="1701"/>
      </w:tabs>
      <w:jc w:val="left"/>
    </w:pPr>
  </w:style>
  <w:style w:type="paragraph" w:customStyle="1" w:styleId="1120">
    <w:name w:val="大表格文字"/>
    <w:basedOn w:val="1"/>
    <w:autoRedefine/>
    <w:qFormat/>
    <w:uiPriority w:val="0"/>
    <w:pPr>
      <w:tabs>
        <w:tab w:val="left" w:pos="1701"/>
      </w:tabs>
      <w:spacing w:line="300" w:lineRule="auto"/>
      <w:ind w:firstLine="0" w:firstLineChars="0"/>
      <w:jc w:val="center"/>
    </w:pPr>
    <w:rPr>
      <w:rFonts w:cs="宋体"/>
      <w:color w:val="000000"/>
      <w:sz w:val="18"/>
    </w:rPr>
  </w:style>
  <w:style w:type="paragraph" w:customStyle="1" w:styleId="1121">
    <w:name w:val="样式 标题 2节Head2A2b2H2H21Heading 2 HiddenHeading 2 CCBSHD2..."/>
    <w:basedOn w:val="4"/>
    <w:autoRedefine/>
    <w:qFormat/>
    <w:uiPriority w:val="99"/>
    <w:pPr>
      <w:numPr>
        <w:ilvl w:val="0"/>
        <w:numId w:val="0"/>
      </w:numPr>
      <w:spacing w:line="348" w:lineRule="auto"/>
      <w:ind w:firstLine="200" w:firstLineChars="200"/>
      <w:textAlignment w:val="baseline"/>
    </w:pPr>
    <w:rPr>
      <w:rFonts w:cs="宋体"/>
      <w:b w:val="0"/>
      <w:bCs w:val="0"/>
      <w:color w:val="000000"/>
      <w:spacing w:val="8"/>
      <w:kern w:val="0"/>
      <w:sz w:val="28"/>
      <w:szCs w:val="20"/>
    </w:rPr>
  </w:style>
  <w:style w:type="paragraph" w:customStyle="1" w:styleId="1122">
    <w:name w:val="图表目录1"/>
    <w:basedOn w:val="1"/>
    <w:next w:val="1"/>
    <w:autoRedefine/>
    <w:qFormat/>
    <w:uiPriority w:val="99"/>
    <w:pPr>
      <w:topLinePunct/>
      <w:adjustRightInd/>
      <w:snapToGrid/>
      <w:spacing w:line="240" w:lineRule="exact"/>
      <w:ind w:firstLine="0" w:firstLineChars="0"/>
    </w:pPr>
    <w:rPr>
      <w:rFonts w:ascii="宋体" w:hAnsi="宋体"/>
      <w:sz w:val="21"/>
      <w:szCs w:val="21"/>
    </w:rPr>
  </w:style>
  <w:style w:type="paragraph" w:customStyle="1" w:styleId="1123">
    <w:name w:val="列表 31"/>
    <w:basedOn w:val="1"/>
    <w:autoRedefine/>
    <w:qFormat/>
    <w:uiPriority w:val="99"/>
    <w:pPr>
      <w:widowControl/>
      <w:adjustRightInd/>
      <w:snapToGrid/>
      <w:spacing w:line="440" w:lineRule="exact"/>
      <w:ind w:left="100" w:leftChars="400" w:hanging="200" w:hangingChars="200"/>
    </w:pPr>
    <w:rPr>
      <w:rFonts w:ascii="宋体" w:hAnsi="Calibri"/>
      <w:snapToGrid w:val="0"/>
      <w:kern w:val="28"/>
      <w:sz w:val="26"/>
      <w:szCs w:val="26"/>
    </w:rPr>
  </w:style>
  <w:style w:type="paragraph" w:customStyle="1" w:styleId="1124">
    <w:name w:val="Char1 Char Char Char2"/>
    <w:basedOn w:val="5"/>
    <w:autoRedefine/>
    <w:qFormat/>
    <w:uiPriority w:val="99"/>
    <w:pPr>
      <w:numPr>
        <w:ilvl w:val="0"/>
        <w:numId w:val="0"/>
      </w:numPr>
      <w:tabs>
        <w:tab w:val="left" w:pos="360"/>
        <w:tab w:val="left" w:pos="900"/>
      </w:tabs>
      <w:adjustRightInd/>
      <w:spacing w:before="120" w:after="120" w:line="360" w:lineRule="auto"/>
      <w:ind w:left="542" w:leftChars="-12" w:firstLine="200" w:firstLineChars="200"/>
      <w:jc w:val="left"/>
    </w:pPr>
    <w:rPr>
      <w:rFonts w:ascii="宋体"/>
      <w:spacing w:val="5"/>
      <w:sz w:val="32"/>
    </w:rPr>
  </w:style>
  <w:style w:type="paragraph" w:customStyle="1" w:styleId="1125">
    <w:name w:val="样式 样式 标题 2节Head2A2b2H2H21Heading 2 HiddenHeading 2 CCBSHD2... + ..."/>
    <w:basedOn w:val="1121"/>
    <w:autoRedefine/>
    <w:qFormat/>
    <w:uiPriority w:val="99"/>
    <w:pPr>
      <w:ind w:firstLine="0" w:firstLineChars="0"/>
    </w:pPr>
  </w:style>
  <w:style w:type="paragraph" w:customStyle="1" w:styleId="1126">
    <w:name w:val="表格 + 小五"/>
    <w:basedOn w:val="512"/>
    <w:autoRedefine/>
    <w:qFormat/>
    <w:uiPriority w:val="99"/>
    <w:pPr>
      <w:widowControl/>
      <w:adjustRightInd/>
      <w:snapToGrid/>
      <w:spacing w:beforeLines="0" w:line="240" w:lineRule="auto"/>
      <w:ind w:firstLine="200" w:firstLineChars="200"/>
      <w:outlineLvl w:val="9"/>
    </w:pPr>
    <w:rPr>
      <w:rFonts w:ascii="Calibri" w:hAnsi="Calibri"/>
      <w:bCs w:val="0"/>
      <w:sz w:val="18"/>
      <w:szCs w:val="24"/>
    </w:rPr>
  </w:style>
  <w:style w:type="paragraph" w:customStyle="1" w:styleId="1127">
    <w:name w:val="样式 居中"/>
    <w:basedOn w:val="1"/>
    <w:autoRedefine/>
    <w:qFormat/>
    <w:uiPriority w:val="0"/>
    <w:pPr>
      <w:widowControl/>
      <w:spacing w:line="360" w:lineRule="auto"/>
      <w:jc w:val="center"/>
      <w:textAlignment w:val="center"/>
    </w:pPr>
    <w:rPr>
      <w:rFonts w:ascii="宋体" w:hAnsi="Calibri" w:cs="宋体"/>
      <w:kern w:val="0"/>
    </w:rPr>
  </w:style>
  <w:style w:type="paragraph" w:customStyle="1" w:styleId="1128">
    <w:name w:val="公式文字"/>
    <w:basedOn w:val="694"/>
    <w:autoRedefine/>
    <w:qFormat/>
    <w:uiPriority w:val="99"/>
    <w:pPr>
      <w:spacing w:after="0" w:line="500" w:lineRule="exact"/>
      <w:ind w:left="0" w:leftChars="0"/>
    </w:pPr>
    <w:rPr>
      <w:sz w:val="28"/>
      <w:szCs w:val="28"/>
    </w:rPr>
  </w:style>
  <w:style w:type="paragraph" w:customStyle="1" w:styleId="1129">
    <w:name w:val="xl109"/>
    <w:basedOn w:val="1"/>
    <w:autoRedefine/>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440" w:lineRule="exact"/>
      <w:jc w:val="right"/>
      <w:textAlignment w:val="center"/>
    </w:pPr>
    <w:rPr>
      <w:rFonts w:ascii="宋体" w:hAnsi="宋体" w:cs="宋体"/>
      <w:b/>
      <w:bCs/>
      <w:kern w:val="0"/>
      <w:sz w:val="22"/>
    </w:rPr>
  </w:style>
  <w:style w:type="paragraph" w:customStyle="1" w:styleId="1130">
    <w:name w:val="z正文 Char Char Char"/>
    <w:basedOn w:val="1"/>
    <w:autoRedefine/>
    <w:qFormat/>
    <w:uiPriority w:val="99"/>
    <w:pPr>
      <w:widowControl/>
      <w:adjustRightInd/>
      <w:snapToGrid/>
      <w:spacing w:line="360" w:lineRule="auto"/>
    </w:pPr>
    <w:rPr>
      <w:rFonts w:ascii="宋体" w:hAnsi="宋体" w:eastAsia="仿宋_GB2312" w:cs="宋体"/>
      <w:kern w:val="0"/>
      <w:sz w:val="28"/>
      <w:szCs w:val="28"/>
    </w:rPr>
  </w:style>
  <w:style w:type="paragraph" w:customStyle="1" w:styleId="1131">
    <w:name w:val="样式 标题 3标题 3 Char标题 3 Char Char标题 3 Char2标题 3 Char1 Char标题 3...1"/>
    <w:basedOn w:val="5"/>
    <w:autoRedefine/>
    <w:qFormat/>
    <w:uiPriority w:val="99"/>
    <w:pPr>
      <w:widowControl/>
      <w:numPr>
        <w:ilvl w:val="0"/>
        <w:numId w:val="0"/>
      </w:numPr>
      <w:tabs>
        <w:tab w:val="left" w:pos="720"/>
        <w:tab w:val="left" w:pos="1931"/>
      </w:tabs>
      <w:spacing w:before="120" w:line="240" w:lineRule="auto"/>
      <w:ind w:left="1418" w:hanging="567"/>
    </w:pPr>
    <w:rPr>
      <w:b w:val="0"/>
      <w:bCs w:val="0"/>
      <w:sz w:val="30"/>
      <w:szCs w:val="20"/>
    </w:rPr>
  </w:style>
  <w:style w:type="paragraph" w:customStyle="1" w:styleId="1132">
    <w:name w:val="引文目录1"/>
    <w:basedOn w:val="1"/>
    <w:next w:val="1"/>
    <w:autoRedefine/>
    <w:qFormat/>
    <w:uiPriority w:val="99"/>
    <w:pPr>
      <w:widowControl/>
      <w:adjustRightInd/>
      <w:snapToGrid/>
      <w:spacing w:line="440" w:lineRule="exact"/>
    </w:pPr>
    <w:rPr>
      <w:rFonts w:ascii="宋体" w:hAnsi="Calibri"/>
      <w:kern w:val="0"/>
      <w:sz w:val="28"/>
    </w:rPr>
  </w:style>
  <w:style w:type="paragraph" w:customStyle="1" w:styleId="1133">
    <w:name w:val="样式15"/>
    <w:basedOn w:val="1"/>
    <w:link w:val="2618"/>
    <w:autoRedefine/>
    <w:qFormat/>
    <w:uiPriority w:val="0"/>
    <w:pPr>
      <w:widowControl/>
      <w:ind w:firstLine="520"/>
    </w:pPr>
    <w:rPr>
      <w:rFonts w:ascii="宋体" w:hAnsi="Calibri"/>
      <w:kern w:val="0"/>
      <w:sz w:val="26"/>
      <w:szCs w:val="26"/>
    </w:rPr>
  </w:style>
  <w:style w:type="paragraph" w:customStyle="1" w:styleId="1134">
    <w:name w:val="简单回函地址"/>
    <w:basedOn w:val="1"/>
    <w:autoRedefine/>
    <w:qFormat/>
    <w:uiPriority w:val="0"/>
    <w:pPr>
      <w:widowControl/>
      <w:adjustRightInd/>
      <w:snapToGrid/>
      <w:spacing w:line="440" w:lineRule="exact"/>
    </w:pPr>
    <w:rPr>
      <w:rFonts w:ascii="宋体" w:hAnsi="Calibri" w:eastAsia="仿宋_GB2312"/>
      <w:kern w:val="0"/>
      <w:sz w:val="28"/>
      <w:szCs w:val="28"/>
    </w:rPr>
  </w:style>
  <w:style w:type="paragraph" w:customStyle="1" w:styleId="1135">
    <w:name w:val="样式 标题 3标题 3 Char Char标题 3 Char1H3Heading 3 - old标题 3 Char C..."/>
    <w:basedOn w:val="5"/>
    <w:autoRedefine/>
    <w:qFormat/>
    <w:uiPriority w:val="99"/>
    <w:pPr>
      <w:widowControl/>
      <w:numPr>
        <w:ilvl w:val="0"/>
        <w:numId w:val="0"/>
      </w:numPr>
      <w:adjustRightInd/>
      <w:spacing w:before="120" w:after="120" w:line="415" w:lineRule="auto"/>
      <w:ind w:left="1474" w:hanging="1474"/>
    </w:pPr>
    <w:rPr>
      <w:rFonts w:cs="宋体"/>
      <w:b w:val="0"/>
      <w:sz w:val="28"/>
      <w:szCs w:val="20"/>
    </w:rPr>
  </w:style>
  <w:style w:type="paragraph" w:customStyle="1" w:styleId="1136">
    <w:name w:val="公式说明"/>
    <w:next w:val="1"/>
    <w:link w:val="3142"/>
    <w:autoRedefine/>
    <w:qFormat/>
    <w:uiPriority w:val="0"/>
    <w:pPr>
      <w:spacing w:after="200" w:line="360" w:lineRule="auto"/>
      <w:ind w:firstLine="1200" w:firstLineChars="500"/>
    </w:pPr>
    <w:rPr>
      <w:rFonts w:ascii="Times New Roman" w:hAnsi="Times New Roman" w:eastAsia="仿宋_GB2312" w:cs="宋体"/>
      <w:sz w:val="24"/>
      <w:lang w:val="en-US" w:eastAsia="zh-CN" w:bidi="ar-SA"/>
    </w:rPr>
  </w:style>
  <w:style w:type="paragraph" w:customStyle="1" w:styleId="1137">
    <w:name w:val="正文标准样式"/>
    <w:basedOn w:val="1"/>
    <w:autoRedefine/>
    <w:qFormat/>
    <w:uiPriority w:val="0"/>
    <w:pPr>
      <w:widowControl/>
      <w:adjustRightInd/>
      <w:snapToGrid/>
      <w:spacing w:line="360" w:lineRule="auto"/>
      <w:ind w:firstLine="560"/>
    </w:pPr>
    <w:rPr>
      <w:rFonts w:ascii="宋体" w:hAnsi="Calibri"/>
      <w:kern w:val="0"/>
      <w:sz w:val="28"/>
    </w:rPr>
  </w:style>
  <w:style w:type="paragraph" w:customStyle="1" w:styleId="1138">
    <w:name w:val="1111表中文字"/>
    <w:basedOn w:val="1"/>
    <w:autoRedefine/>
    <w:qFormat/>
    <w:uiPriority w:val="99"/>
    <w:pPr>
      <w:widowControl/>
      <w:spacing w:line="440" w:lineRule="exact"/>
      <w:jc w:val="center"/>
    </w:pPr>
    <w:rPr>
      <w:rFonts w:ascii="宋体" w:hAnsi="Calibri"/>
      <w:kern w:val="0"/>
    </w:rPr>
  </w:style>
  <w:style w:type="paragraph" w:customStyle="1" w:styleId="1139">
    <w:name w:val="列表 21"/>
    <w:basedOn w:val="1"/>
    <w:autoRedefine/>
    <w:qFormat/>
    <w:uiPriority w:val="99"/>
    <w:pPr>
      <w:widowControl/>
      <w:adjustRightInd/>
      <w:snapToGrid/>
      <w:spacing w:line="440" w:lineRule="exact"/>
      <w:ind w:left="100" w:leftChars="200" w:hanging="200" w:hangingChars="200"/>
    </w:pPr>
    <w:rPr>
      <w:rFonts w:ascii="宋体" w:hAnsi="Calibri"/>
      <w:snapToGrid w:val="0"/>
      <w:kern w:val="28"/>
      <w:sz w:val="26"/>
      <w:szCs w:val="26"/>
    </w:rPr>
  </w:style>
  <w:style w:type="paragraph" w:customStyle="1" w:styleId="1140">
    <w:name w:val="文本块1"/>
    <w:basedOn w:val="1"/>
    <w:autoRedefine/>
    <w:qFormat/>
    <w:uiPriority w:val="99"/>
    <w:pPr>
      <w:widowControl/>
      <w:adjustRightInd/>
      <w:snapToGrid/>
      <w:spacing w:line="440" w:lineRule="exact"/>
      <w:ind w:left="-120" w:leftChars="-50" w:right="-120" w:rightChars="-50"/>
    </w:pPr>
    <w:rPr>
      <w:rFonts w:ascii="宋体" w:hAnsi="Calibri" w:eastAsia="仿宋_GB2312"/>
      <w:kern w:val="0"/>
    </w:rPr>
  </w:style>
  <w:style w:type="paragraph" w:customStyle="1" w:styleId="1141">
    <w:name w:val="列表接续 21"/>
    <w:basedOn w:val="1"/>
    <w:autoRedefine/>
    <w:qFormat/>
    <w:uiPriority w:val="99"/>
    <w:pPr>
      <w:widowControl/>
      <w:spacing w:line="344" w:lineRule="atLeast"/>
      <w:textAlignment w:val="baseline"/>
    </w:pPr>
    <w:rPr>
      <w:rFonts w:ascii="宋体" w:hAnsi="Calibri"/>
      <w:kern w:val="0"/>
      <w:sz w:val="28"/>
    </w:rPr>
  </w:style>
  <w:style w:type="paragraph" w:customStyle="1" w:styleId="1142">
    <w:name w:val="修订1"/>
    <w:autoRedefine/>
    <w:qFormat/>
    <w:uiPriority w:val="99"/>
    <w:rPr>
      <w:rFonts w:ascii="Times New Roman" w:hAnsi="Times New Roman" w:eastAsia="宋体" w:cs="Times New Roman"/>
      <w:sz w:val="28"/>
      <w:szCs w:val="24"/>
      <w:lang w:val="en-US" w:eastAsia="zh-CN" w:bidi="ar-SA"/>
    </w:rPr>
  </w:style>
  <w:style w:type="paragraph" w:customStyle="1" w:styleId="1143">
    <w:name w:val="xl124"/>
    <w:basedOn w:val="1"/>
    <w:autoRedefine/>
    <w:qFormat/>
    <w:uiPriority w:val="99"/>
    <w:pPr>
      <w:widowControl/>
      <w:pBdr>
        <w:left w:val="single" w:color="auto" w:sz="4" w:space="0"/>
        <w:bottom w:val="single" w:color="auto" w:sz="4" w:space="0"/>
        <w:right w:val="single" w:color="auto" w:sz="4" w:space="0"/>
      </w:pBdr>
      <w:adjustRightInd/>
      <w:snapToGrid/>
      <w:spacing w:before="100" w:beforeAutospacing="1" w:after="100" w:afterAutospacing="1" w:line="440" w:lineRule="exact"/>
      <w:jc w:val="center"/>
      <w:textAlignment w:val="center"/>
    </w:pPr>
    <w:rPr>
      <w:rFonts w:ascii="宋体" w:hAnsi="Calibri"/>
      <w:kern w:val="0"/>
      <w:sz w:val="22"/>
    </w:rPr>
  </w:style>
  <w:style w:type="paragraph" w:customStyle="1" w:styleId="1144">
    <w:name w:val="xl114"/>
    <w:basedOn w:val="1"/>
    <w:autoRedefine/>
    <w:qFormat/>
    <w:uiPriority w:val="0"/>
    <w:pPr>
      <w:widowControl/>
      <w:pBdr>
        <w:left w:val="single" w:color="auto" w:sz="4" w:space="0"/>
        <w:bottom w:val="single" w:color="auto" w:sz="4" w:space="0"/>
      </w:pBdr>
      <w:adjustRightInd/>
      <w:snapToGrid/>
      <w:spacing w:before="100" w:beforeAutospacing="1" w:after="100" w:afterAutospacing="1" w:line="440" w:lineRule="exact"/>
      <w:textAlignment w:val="center"/>
    </w:pPr>
    <w:rPr>
      <w:rFonts w:ascii="宋体" w:hAnsi="宋体" w:cs="宋体"/>
      <w:kern w:val="0"/>
      <w:sz w:val="22"/>
    </w:rPr>
  </w:style>
  <w:style w:type="paragraph" w:customStyle="1" w:styleId="1145">
    <w:name w:val="正文文本 211"/>
    <w:basedOn w:val="1"/>
    <w:autoRedefine/>
    <w:qFormat/>
    <w:uiPriority w:val="99"/>
    <w:pPr>
      <w:autoSpaceDE w:val="0"/>
      <w:autoSpaceDN w:val="0"/>
      <w:spacing w:line="365" w:lineRule="auto"/>
      <w:jc w:val="center"/>
      <w:textAlignment w:val="bottom"/>
    </w:pPr>
    <w:rPr>
      <w:color w:val="000000"/>
      <w:spacing w:val="10"/>
      <w:kern w:val="10"/>
    </w:rPr>
  </w:style>
  <w:style w:type="paragraph" w:customStyle="1" w:styleId="1146">
    <w:name w:val="环评"/>
    <w:basedOn w:val="1"/>
    <w:autoRedefine/>
    <w:qFormat/>
    <w:uiPriority w:val="0"/>
    <w:pPr>
      <w:widowControl/>
      <w:adjustRightInd/>
      <w:snapToGrid/>
      <w:spacing w:before="60" w:after="60" w:line="360" w:lineRule="exact"/>
    </w:pPr>
    <w:rPr>
      <w:rFonts w:ascii="宋体" w:hAnsi="Calibri" w:eastAsia="仿宋_GB2312"/>
      <w:bCs/>
      <w:kern w:val="0"/>
    </w:rPr>
  </w:style>
  <w:style w:type="paragraph" w:customStyle="1" w:styleId="1147">
    <w:name w:val="xl111"/>
    <w:basedOn w:val="1"/>
    <w:autoRedefine/>
    <w:qFormat/>
    <w:uiPriority w:val="0"/>
    <w:pPr>
      <w:widowControl/>
      <w:pBdr>
        <w:top w:val="single" w:color="auto" w:sz="4" w:space="0"/>
        <w:bottom w:val="single" w:color="auto" w:sz="4" w:space="0"/>
        <w:right w:val="single" w:color="auto" w:sz="4" w:space="0"/>
      </w:pBdr>
      <w:adjustRightInd/>
      <w:snapToGrid/>
      <w:spacing w:before="100" w:beforeAutospacing="1" w:after="100" w:afterAutospacing="1" w:line="440" w:lineRule="exact"/>
      <w:textAlignment w:val="center"/>
    </w:pPr>
    <w:rPr>
      <w:rFonts w:ascii="宋体" w:hAnsi="宋体" w:cs="宋体"/>
      <w:kern w:val="0"/>
    </w:rPr>
  </w:style>
  <w:style w:type="paragraph" w:customStyle="1" w:styleId="1148">
    <w:name w:val="Char Char Char1 Char Char Char Char Char Char Char Char Char Char3"/>
    <w:basedOn w:val="1"/>
    <w:autoRedefine/>
    <w:qFormat/>
    <w:uiPriority w:val="99"/>
    <w:pPr>
      <w:spacing w:line="360" w:lineRule="auto"/>
    </w:pPr>
    <w:rPr>
      <w:rFonts w:ascii="宋体" w:hAnsi="宋体" w:cs="宋体"/>
      <w:szCs w:val="26"/>
    </w:rPr>
  </w:style>
  <w:style w:type="paragraph" w:customStyle="1" w:styleId="1149">
    <w:name w:val="样式 (中文) 黑体 小三 加粗 黑色 行距: 1.5 倍行距"/>
    <w:basedOn w:val="1"/>
    <w:autoRedefine/>
    <w:qFormat/>
    <w:uiPriority w:val="99"/>
    <w:pPr>
      <w:adjustRightInd/>
      <w:snapToGrid/>
      <w:spacing w:line="360" w:lineRule="auto"/>
      <w:ind w:firstLine="0" w:firstLineChars="0"/>
    </w:pPr>
    <w:rPr>
      <w:rFonts w:cs="宋体"/>
      <w:b/>
      <w:bCs/>
      <w:color w:val="000000"/>
      <w:sz w:val="30"/>
    </w:rPr>
  </w:style>
  <w:style w:type="paragraph" w:customStyle="1" w:styleId="1150">
    <w:name w:val="列表接续 51"/>
    <w:basedOn w:val="1"/>
    <w:autoRedefine/>
    <w:qFormat/>
    <w:uiPriority w:val="99"/>
    <w:pPr>
      <w:spacing w:after="120" w:line="348" w:lineRule="auto"/>
      <w:ind w:left="2100" w:leftChars="1000" w:firstLine="0" w:firstLineChars="0"/>
    </w:pPr>
    <w:rPr>
      <w:snapToGrid w:val="0"/>
      <w:kern w:val="0"/>
      <w:sz w:val="28"/>
      <w:szCs w:val="24"/>
    </w:rPr>
  </w:style>
  <w:style w:type="paragraph" w:customStyle="1" w:styleId="1151">
    <w:name w:val="p29"/>
    <w:basedOn w:val="1"/>
    <w:autoRedefine/>
    <w:qFormat/>
    <w:uiPriority w:val="99"/>
    <w:pPr>
      <w:widowControl/>
      <w:adjustRightInd/>
      <w:snapToGrid/>
      <w:spacing w:line="360" w:lineRule="auto"/>
      <w:ind w:firstLine="0" w:firstLineChars="0"/>
      <w:jc w:val="center"/>
    </w:pPr>
    <w:rPr>
      <w:rFonts w:ascii="宋体" w:hAnsi="宋体" w:cs="宋体"/>
      <w:b/>
      <w:bCs/>
      <w:kern w:val="0"/>
      <w:szCs w:val="24"/>
    </w:rPr>
  </w:style>
  <w:style w:type="paragraph" w:customStyle="1" w:styleId="1152">
    <w:name w:val="样式 样式 正文 楷体_GB2312 四号 行距: 固定值 30 磅 + 首行缩进:  2 字符1 + 首行缩进:  2 字符"/>
    <w:basedOn w:val="1"/>
    <w:autoRedefine/>
    <w:qFormat/>
    <w:uiPriority w:val="0"/>
    <w:pPr>
      <w:spacing w:line="348" w:lineRule="auto"/>
      <w:ind w:firstLine="560"/>
      <w:jc w:val="center"/>
    </w:pPr>
    <w:rPr>
      <w:rFonts w:hAnsi="宋体"/>
      <w:color w:val="000000"/>
      <w:kern w:val="0"/>
      <w:sz w:val="28"/>
    </w:rPr>
  </w:style>
  <w:style w:type="paragraph" w:customStyle="1" w:styleId="1153">
    <w:name w:val="xl115"/>
    <w:basedOn w:val="1"/>
    <w:autoRedefine/>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440" w:lineRule="exact"/>
      <w:jc w:val="right"/>
      <w:textAlignment w:val="center"/>
    </w:pPr>
    <w:rPr>
      <w:rFonts w:ascii="宋体" w:hAnsi="Calibri"/>
      <w:b/>
      <w:bCs/>
      <w:kern w:val="0"/>
      <w:sz w:val="22"/>
    </w:rPr>
  </w:style>
  <w:style w:type="paragraph" w:customStyle="1" w:styleId="1154">
    <w:name w:val="样式 小四 首行缩进:  2.5 字符"/>
    <w:basedOn w:val="1"/>
    <w:autoRedefine/>
    <w:qFormat/>
    <w:uiPriority w:val="0"/>
    <w:pPr>
      <w:adjustRightInd/>
      <w:snapToGrid/>
      <w:spacing w:afterLines="25" w:line="240" w:lineRule="auto"/>
    </w:pPr>
  </w:style>
  <w:style w:type="paragraph" w:customStyle="1" w:styleId="1155">
    <w:name w:val="样式 首行缩进:  0.85 厘米1"/>
    <w:basedOn w:val="1"/>
    <w:autoRedefine/>
    <w:qFormat/>
    <w:uiPriority w:val="99"/>
    <w:pPr>
      <w:widowControl/>
      <w:adjustRightInd/>
      <w:snapToGrid/>
      <w:spacing w:line="460" w:lineRule="exact"/>
      <w:ind w:firstLine="520"/>
    </w:pPr>
    <w:rPr>
      <w:rFonts w:ascii="宋体" w:hAnsi="Calibri" w:cs="宋体"/>
      <w:color w:val="000000"/>
      <w:kern w:val="0"/>
      <w:sz w:val="26"/>
      <w:szCs w:val="26"/>
    </w:rPr>
  </w:style>
  <w:style w:type="character" w:customStyle="1" w:styleId="1156">
    <w:name w:val="表名 Char"/>
    <w:link w:val="190"/>
    <w:autoRedefine/>
    <w:qFormat/>
    <w:uiPriority w:val="0"/>
    <w:rPr>
      <w:rFonts w:ascii="Times New Roman" w:hAnsi="Times New Roman"/>
      <w:kern w:val="2"/>
      <w:sz w:val="24"/>
      <w:szCs w:val="21"/>
    </w:rPr>
  </w:style>
  <w:style w:type="paragraph" w:customStyle="1" w:styleId="1157">
    <w:name w:val="正文首行缩进  2字符"/>
    <w:basedOn w:val="1"/>
    <w:autoRedefine/>
    <w:qFormat/>
    <w:uiPriority w:val="99"/>
    <w:pPr>
      <w:widowControl/>
      <w:adjustRightInd/>
      <w:snapToGrid/>
      <w:spacing w:line="360" w:lineRule="auto"/>
      <w:ind w:firstLine="480"/>
    </w:pPr>
    <w:rPr>
      <w:rFonts w:ascii="宋体" w:hAnsi="Calibri"/>
      <w:kern w:val="0"/>
    </w:rPr>
  </w:style>
  <w:style w:type="paragraph" w:customStyle="1" w:styleId="1158">
    <w:name w:val="索引标题1"/>
    <w:basedOn w:val="1"/>
    <w:next w:val="1067"/>
    <w:autoRedefine/>
    <w:qFormat/>
    <w:uiPriority w:val="99"/>
    <w:pPr>
      <w:adjustRightInd/>
      <w:snapToGrid/>
      <w:spacing w:line="240" w:lineRule="auto"/>
      <w:ind w:firstLine="0" w:firstLineChars="0"/>
    </w:pPr>
    <w:rPr>
      <w:sz w:val="21"/>
      <w:szCs w:val="24"/>
    </w:rPr>
  </w:style>
  <w:style w:type="paragraph" w:customStyle="1" w:styleId="1159">
    <w:name w:val="样式 标题 2节标题 + Times New Roman 红色"/>
    <w:basedOn w:val="4"/>
    <w:autoRedefine/>
    <w:qFormat/>
    <w:uiPriority w:val="99"/>
    <w:pPr>
      <w:widowControl/>
      <w:numPr>
        <w:ilvl w:val="0"/>
        <w:numId w:val="0"/>
      </w:numPr>
      <w:tabs>
        <w:tab w:val="left" w:pos="4990"/>
      </w:tabs>
      <w:adjustRightInd/>
      <w:snapToGrid/>
      <w:spacing w:before="120" w:after="60" w:line="240" w:lineRule="auto"/>
      <w:ind w:left="431"/>
    </w:pPr>
    <w:rPr>
      <w:rFonts w:eastAsia="华文中宋" w:cs="宋体"/>
      <w:color w:val="FF0000"/>
      <w:kern w:val="0"/>
      <w:sz w:val="26"/>
      <w:szCs w:val="20"/>
      <w:lang w:eastAsia="en-US"/>
    </w:rPr>
  </w:style>
  <w:style w:type="paragraph" w:customStyle="1" w:styleId="1160">
    <w:name w:val="列表 51"/>
    <w:basedOn w:val="1"/>
    <w:autoRedefine/>
    <w:qFormat/>
    <w:uiPriority w:val="99"/>
    <w:pPr>
      <w:widowControl/>
      <w:snapToGrid/>
      <w:spacing w:line="360" w:lineRule="atLeast"/>
      <w:ind w:left="2100" w:hanging="420"/>
      <w:textAlignment w:val="baseline"/>
    </w:pPr>
    <w:rPr>
      <w:rFonts w:ascii="宋体" w:hAnsi="Calibri"/>
      <w:kern w:val="0"/>
    </w:rPr>
  </w:style>
  <w:style w:type="paragraph" w:customStyle="1" w:styleId="1161">
    <w:name w:val="备注"/>
    <w:next w:val="1"/>
    <w:autoRedefine/>
    <w:qFormat/>
    <w:uiPriority w:val="0"/>
    <w:pPr>
      <w:spacing w:after="200" w:line="276" w:lineRule="auto"/>
    </w:pPr>
    <w:rPr>
      <w:rFonts w:ascii="Calibri" w:hAnsi="Calibri" w:eastAsia="仿宋_GB2312" w:cs="Times New Roman"/>
      <w:szCs w:val="24"/>
      <w:lang w:val="en-US" w:eastAsia="zh-CN" w:bidi="ar-SA"/>
    </w:rPr>
  </w:style>
  <w:style w:type="paragraph" w:customStyle="1" w:styleId="1162">
    <w:name w:val="列表编号 51"/>
    <w:basedOn w:val="1"/>
    <w:autoRedefine/>
    <w:qFormat/>
    <w:uiPriority w:val="99"/>
    <w:pPr>
      <w:widowControl/>
      <w:tabs>
        <w:tab w:val="left" w:pos="720"/>
      </w:tabs>
      <w:adjustRightInd/>
      <w:snapToGrid/>
      <w:spacing w:line="440" w:lineRule="exact"/>
      <w:ind w:left="720" w:hanging="360"/>
      <w:contextualSpacing/>
    </w:pPr>
    <w:rPr>
      <w:rFonts w:ascii="宋体" w:hAnsi="Calibri"/>
      <w:kern w:val="0"/>
    </w:rPr>
  </w:style>
  <w:style w:type="paragraph" w:customStyle="1" w:styleId="1163">
    <w:name w:val="Char Char Char1 Char Char Char Char Char Char Char Char Char Char"/>
    <w:basedOn w:val="1"/>
    <w:autoRedefine/>
    <w:qFormat/>
    <w:uiPriority w:val="0"/>
    <w:pPr>
      <w:widowControl/>
      <w:spacing w:line="360" w:lineRule="auto"/>
    </w:pPr>
    <w:rPr>
      <w:rFonts w:ascii="宋体" w:hAnsi="宋体" w:cs="宋体"/>
      <w:kern w:val="0"/>
      <w:szCs w:val="26"/>
    </w:rPr>
  </w:style>
  <w:style w:type="paragraph" w:customStyle="1" w:styleId="1164">
    <w:name w:val="样式 正文文本正文文本 Char + 首行缩进:  0.85 厘米"/>
    <w:basedOn w:val="34"/>
    <w:autoRedefine/>
    <w:qFormat/>
    <w:uiPriority w:val="99"/>
    <w:pPr>
      <w:widowControl/>
      <w:snapToGrid/>
      <w:spacing w:after="4" w:line="300" w:lineRule="auto"/>
      <w:ind w:firstLine="482" w:firstLineChars="0"/>
      <w:textAlignment w:val="baseline"/>
    </w:pPr>
    <w:rPr>
      <w:rFonts w:ascii="Arial" w:hAnsi="Arial" w:cs="Arial"/>
    </w:rPr>
  </w:style>
  <w:style w:type="paragraph" w:customStyle="1" w:styleId="1165">
    <w:name w:val="五号表格"/>
    <w:basedOn w:val="1"/>
    <w:autoRedefine/>
    <w:qFormat/>
    <w:uiPriority w:val="99"/>
    <w:pPr>
      <w:widowControl/>
      <w:adjustRightInd/>
      <w:snapToGrid/>
      <w:spacing w:line="360" w:lineRule="auto"/>
      <w:jc w:val="center"/>
    </w:pPr>
    <w:rPr>
      <w:rFonts w:ascii="宋体" w:hAnsi="Calibri"/>
      <w:kern w:val="0"/>
    </w:rPr>
  </w:style>
  <w:style w:type="paragraph" w:customStyle="1" w:styleId="1166">
    <w:name w:val="列表1"/>
    <w:basedOn w:val="1"/>
    <w:autoRedefine/>
    <w:qFormat/>
    <w:uiPriority w:val="0"/>
    <w:pPr>
      <w:widowControl/>
      <w:adjustRightInd/>
      <w:snapToGrid/>
      <w:spacing w:line="440" w:lineRule="exact"/>
      <w:jc w:val="center"/>
    </w:pPr>
    <w:rPr>
      <w:rFonts w:ascii="宋体" w:hAnsi="Calibri"/>
      <w:kern w:val="0"/>
    </w:rPr>
  </w:style>
  <w:style w:type="paragraph" w:customStyle="1" w:styleId="1167">
    <w:name w:val="样式 标题 1一、1.标题 1 + 段前: 7.8 磅 段后: 7.8 磅"/>
    <w:basedOn w:val="3"/>
    <w:autoRedefine/>
    <w:qFormat/>
    <w:uiPriority w:val="99"/>
    <w:pPr>
      <w:widowControl/>
      <w:numPr>
        <w:numId w:val="0"/>
      </w:numPr>
      <w:tabs>
        <w:tab w:val="left" w:pos="425"/>
      </w:tabs>
      <w:spacing w:beforeLines="100" w:after="156" w:line="240" w:lineRule="auto"/>
      <w:ind w:left="425" w:hanging="425"/>
      <w:jc w:val="center"/>
    </w:pPr>
    <w:rPr>
      <w:rFonts w:ascii="微软雅黑" w:hAnsi="微软雅黑" w:eastAsia="黑体" w:cs="宋体"/>
      <w:b w:val="0"/>
      <w:bCs w:val="0"/>
      <w:kern w:val="0"/>
      <w:sz w:val="32"/>
      <w:szCs w:val="20"/>
    </w:rPr>
  </w:style>
  <w:style w:type="paragraph" w:customStyle="1" w:styleId="1168">
    <w:name w:val="Char Char Char Char Char Char Char Char Char"/>
    <w:basedOn w:val="1"/>
    <w:autoRedefine/>
    <w:qFormat/>
    <w:uiPriority w:val="0"/>
    <w:pPr>
      <w:widowControl/>
      <w:adjustRightInd/>
      <w:snapToGrid/>
      <w:spacing w:line="440" w:lineRule="exact"/>
    </w:pPr>
    <w:rPr>
      <w:rFonts w:ascii="宋体" w:hAnsi="Calibri"/>
      <w:kern w:val="0"/>
    </w:rPr>
  </w:style>
  <w:style w:type="paragraph" w:customStyle="1" w:styleId="1169">
    <w:name w:val="表1表2"/>
    <w:basedOn w:val="1"/>
    <w:autoRedefine/>
    <w:qFormat/>
    <w:uiPriority w:val="99"/>
    <w:pPr>
      <w:widowControl/>
      <w:autoSpaceDE w:val="0"/>
      <w:autoSpaceDN w:val="0"/>
      <w:snapToGrid/>
      <w:spacing w:line="360" w:lineRule="auto"/>
      <w:jc w:val="center"/>
      <w:textAlignment w:val="center"/>
    </w:pPr>
    <w:rPr>
      <w:rFonts w:ascii="宋体" w:hAnsi="Calibri" w:eastAsia="仿宋体"/>
      <w:kern w:val="0"/>
    </w:rPr>
  </w:style>
  <w:style w:type="paragraph" w:customStyle="1" w:styleId="1170">
    <w:name w:val="样式 样式 段前: 0.5 行 首行缩进:  2 字符 + 五号 居中 段前: 0.5 行 行距: 单倍行距"/>
    <w:autoRedefine/>
    <w:qFormat/>
    <w:uiPriority w:val="99"/>
    <w:pPr>
      <w:jc w:val="center"/>
    </w:pPr>
    <w:rPr>
      <w:rFonts w:ascii="Times New Roman" w:hAnsi="Times New Roman" w:eastAsia="宋体" w:cs="Times New Roman"/>
      <w:sz w:val="21"/>
      <w:lang w:val="en-US" w:eastAsia="zh-CN" w:bidi="ar-SA"/>
    </w:rPr>
  </w:style>
  <w:style w:type="paragraph" w:customStyle="1" w:styleId="1171">
    <w:name w:val="zww"/>
    <w:basedOn w:val="152"/>
    <w:autoRedefine/>
    <w:qFormat/>
    <w:uiPriority w:val="99"/>
    <w:pPr>
      <w:adjustRightInd w:val="0"/>
      <w:snapToGrid w:val="0"/>
      <w:spacing w:line="400" w:lineRule="atLeast"/>
      <w:ind w:firstLine="397"/>
    </w:pPr>
    <w:rPr>
      <w:rFonts w:ascii="Arial Narrow" w:hAnsi="Arial Narrow" w:cs="Arial Narrow"/>
      <w:kern w:val="32"/>
      <w:sz w:val="22"/>
      <w:szCs w:val="22"/>
    </w:rPr>
  </w:style>
  <w:style w:type="paragraph" w:customStyle="1" w:styleId="1172">
    <w:name w:val="Char Char Char Char Char Char Char Char Char Char Char Char Char Char Char1 Char"/>
    <w:basedOn w:val="1"/>
    <w:autoRedefine/>
    <w:qFormat/>
    <w:uiPriority w:val="99"/>
    <w:pPr>
      <w:widowControl/>
      <w:adjustRightInd/>
      <w:snapToGrid/>
      <w:spacing w:line="440" w:lineRule="exact"/>
    </w:pPr>
    <w:rPr>
      <w:rFonts w:ascii="宋体" w:hAnsi="宋体" w:cs="宋体"/>
      <w:kern w:val="0"/>
    </w:rPr>
  </w:style>
  <w:style w:type="paragraph" w:customStyle="1" w:styleId="1173">
    <w:name w:val="样式 首行缩进:  0.99 厘米"/>
    <w:basedOn w:val="1"/>
    <w:autoRedefine/>
    <w:qFormat/>
    <w:uiPriority w:val="99"/>
    <w:pPr>
      <w:widowControl/>
      <w:adjustRightInd/>
      <w:snapToGrid/>
      <w:spacing w:line="360" w:lineRule="auto"/>
      <w:ind w:firstLine="560"/>
    </w:pPr>
    <w:rPr>
      <w:rFonts w:ascii="宋体" w:hAnsi="Calibri" w:cs="宋体"/>
      <w:kern w:val="0"/>
    </w:rPr>
  </w:style>
  <w:style w:type="paragraph" w:customStyle="1" w:styleId="1174">
    <w:name w:val="列表 41"/>
    <w:basedOn w:val="1"/>
    <w:autoRedefine/>
    <w:qFormat/>
    <w:uiPriority w:val="99"/>
    <w:pPr>
      <w:widowControl/>
      <w:adjustRightInd/>
      <w:snapToGrid/>
      <w:spacing w:line="440" w:lineRule="exact"/>
      <w:ind w:left="100" w:leftChars="600" w:hanging="200" w:hangingChars="200"/>
    </w:pPr>
    <w:rPr>
      <w:rFonts w:ascii="宋体" w:hAnsi="Calibri"/>
      <w:snapToGrid w:val="0"/>
      <w:kern w:val="28"/>
      <w:sz w:val="26"/>
      <w:szCs w:val="26"/>
    </w:rPr>
  </w:style>
  <w:style w:type="paragraph" w:customStyle="1" w:styleId="1175">
    <w:name w:val="普通(网站)2"/>
    <w:basedOn w:val="1"/>
    <w:autoRedefine/>
    <w:qFormat/>
    <w:uiPriority w:val="0"/>
    <w:pPr>
      <w:widowControl/>
      <w:adjustRightInd/>
      <w:snapToGrid/>
      <w:spacing w:before="100" w:beforeAutospacing="1" w:after="100" w:afterAutospacing="1" w:line="440" w:lineRule="exact"/>
    </w:pPr>
    <w:rPr>
      <w:rFonts w:ascii="宋体" w:hAnsi="宋体" w:cs="宋体"/>
      <w:kern w:val="0"/>
    </w:rPr>
  </w:style>
  <w:style w:type="paragraph" w:customStyle="1" w:styleId="1176">
    <w:name w:val="索引 21"/>
    <w:basedOn w:val="1"/>
    <w:next w:val="1"/>
    <w:autoRedefine/>
    <w:qFormat/>
    <w:uiPriority w:val="99"/>
    <w:pPr>
      <w:widowControl/>
      <w:adjustRightInd/>
      <w:snapToGrid/>
      <w:spacing w:line="500" w:lineRule="exact"/>
      <w:ind w:left="200" w:leftChars="200"/>
    </w:pPr>
    <w:rPr>
      <w:rFonts w:ascii="宋体" w:hAnsi="Calibri"/>
      <w:kern w:val="0"/>
    </w:rPr>
  </w:style>
  <w:style w:type="paragraph" w:customStyle="1" w:styleId="1177">
    <w:name w:val="zxz5"/>
    <w:next w:val="1"/>
    <w:autoRedefine/>
    <w:qFormat/>
    <w:uiPriority w:val="0"/>
    <w:pPr>
      <w:tabs>
        <w:tab w:val="left" w:pos="0"/>
      </w:tabs>
      <w:spacing w:after="200" w:line="276" w:lineRule="auto"/>
      <w:jc w:val="center"/>
    </w:pPr>
    <w:rPr>
      <w:rFonts w:ascii="宋体" w:hAnsi="宋体" w:eastAsia="Times New Roman" w:cs="宋体"/>
      <w:bCs/>
      <w:sz w:val="18"/>
      <w:szCs w:val="18"/>
      <w:lang w:val="en-US" w:eastAsia="zh-CN" w:bidi="ar-SA"/>
    </w:rPr>
  </w:style>
  <w:style w:type="paragraph" w:customStyle="1" w:styleId="1178">
    <w:name w:val="图形"/>
    <w:basedOn w:val="1"/>
    <w:autoRedefine/>
    <w:qFormat/>
    <w:uiPriority w:val="99"/>
    <w:pPr>
      <w:widowControl/>
      <w:adjustRightInd/>
      <w:snapToGrid/>
      <w:spacing w:line="440" w:lineRule="exact"/>
      <w:jc w:val="center"/>
    </w:pPr>
    <w:rPr>
      <w:rFonts w:ascii="宋体" w:hAnsi="Calibri"/>
      <w:kern w:val="0"/>
      <w:szCs w:val="21"/>
      <w:shd w:val="clear" w:color="auto" w:fill="FFFFFF"/>
      <w:lang w:val="zh-CN"/>
    </w:rPr>
  </w:style>
  <w:style w:type="paragraph" w:customStyle="1" w:styleId="1179">
    <w:name w:val="p16"/>
    <w:basedOn w:val="1"/>
    <w:autoRedefine/>
    <w:qFormat/>
    <w:uiPriority w:val="0"/>
    <w:pPr>
      <w:widowControl/>
      <w:adjustRightInd/>
      <w:snapToGrid/>
      <w:spacing w:before="156" w:line="360" w:lineRule="auto"/>
      <w:ind w:firstLine="420" w:firstLineChars="0"/>
      <w:jc w:val="left"/>
    </w:pPr>
    <w:rPr>
      <w:rFonts w:ascii="Arial" w:hAnsi="Arial" w:cs="Arial"/>
      <w:b/>
      <w:bCs/>
      <w:kern w:val="0"/>
      <w:szCs w:val="24"/>
    </w:rPr>
  </w:style>
  <w:style w:type="paragraph" w:customStyle="1" w:styleId="1180">
    <w:name w:val="表文"/>
    <w:basedOn w:val="1"/>
    <w:link w:val="2930"/>
    <w:autoRedefine/>
    <w:qFormat/>
    <w:uiPriority w:val="0"/>
    <w:pPr>
      <w:widowControl/>
      <w:autoSpaceDE w:val="0"/>
      <w:autoSpaceDN w:val="0"/>
      <w:spacing w:line="440" w:lineRule="exact"/>
      <w:jc w:val="center"/>
      <w:textAlignment w:val="baseline"/>
    </w:pPr>
    <w:rPr>
      <w:rFonts w:ascii="宋体" w:hAnsi="Calibri" w:cs="宋体"/>
      <w:kern w:val="0"/>
      <w:sz w:val="22"/>
    </w:rPr>
  </w:style>
  <w:style w:type="paragraph" w:customStyle="1" w:styleId="1181">
    <w:name w:val="纯文本12"/>
    <w:basedOn w:val="1"/>
    <w:autoRedefine/>
    <w:qFormat/>
    <w:uiPriority w:val="99"/>
    <w:pPr>
      <w:widowControl/>
      <w:snapToGrid/>
      <w:spacing w:line="440" w:lineRule="exact"/>
      <w:textAlignment w:val="baseline"/>
    </w:pPr>
    <w:rPr>
      <w:rFonts w:ascii="宋体" w:hAnsi="Courier New"/>
      <w:kern w:val="0"/>
    </w:rPr>
  </w:style>
  <w:style w:type="paragraph" w:customStyle="1" w:styleId="1182">
    <w:name w:val="xl112"/>
    <w:basedOn w:val="1"/>
    <w:autoRedefine/>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440" w:lineRule="exact"/>
      <w:textAlignment w:val="center"/>
    </w:pPr>
    <w:rPr>
      <w:rFonts w:ascii="宋体" w:hAnsi="宋体" w:cs="宋体"/>
      <w:b/>
      <w:bCs/>
      <w:kern w:val="0"/>
      <w:sz w:val="22"/>
    </w:rPr>
  </w:style>
  <w:style w:type="paragraph" w:customStyle="1" w:styleId="1183">
    <w:name w:val="Char Char Char Char Char Char Char2"/>
    <w:basedOn w:val="1"/>
    <w:link w:val="2838"/>
    <w:autoRedefine/>
    <w:qFormat/>
    <w:uiPriority w:val="0"/>
    <w:pPr>
      <w:adjustRightInd/>
      <w:snapToGrid/>
      <w:spacing w:line="240" w:lineRule="auto"/>
      <w:ind w:firstLine="0" w:firstLineChars="0"/>
    </w:pPr>
    <w:rPr>
      <w:sz w:val="21"/>
      <w:szCs w:val="24"/>
    </w:rPr>
  </w:style>
  <w:style w:type="paragraph" w:customStyle="1" w:styleId="1184">
    <w:name w:val="文档结构图13"/>
    <w:basedOn w:val="1"/>
    <w:autoRedefine/>
    <w:qFormat/>
    <w:uiPriority w:val="99"/>
    <w:pPr>
      <w:shd w:val="clear" w:color="auto" w:fill="000080"/>
      <w:snapToGrid/>
      <w:spacing w:line="360" w:lineRule="atLeast"/>
      <w:ind w:firstLine="0" w:firstLineChars="0"/>
      <w:jc w:val="left"/>
      <w:textAlignment w:val="baseline"/>
    </w:pPr>
    <w:rPr>
      <w:rFonts w:eastAsia="Wingdings"/>
      <w:kern w:val="0"/>
    </w:rPr>
  </w:style>
  <w:style w:type="paragraph" w:customStyle="1" w:styleId="1185">
    <w:name w:val="样式 黑体 小四 行距: 固定值 24 磅"/>
    <w:basedOn w:val="1"/>
    <w:autoRedefine/>
    <w:qFormat/>
    <w:uiPriority w:val="99"/>
    <w:pPr>
      <w:widowControl/>
      <w:adjustRightInd/>
      <w:snapToGrid/>
    </w:pPr>
    <w:rPr>
      <w:rFonts w:ascii="黑体" w:hAnsi="Calibri" w:eastAsia="黑体"/>
      <w:kern w:val="0"/>
    </w:rPr>
  </w:style>
  <w:style w:type="paragraph" w:customStyle="1" w:styleId="1186">
    <w:name w:val="正1"/>
    <w:basedOn w:val="1"/>
    <w:autoRedefine/>
    <w:qFormat/>
    <w:uiPriority w:val="0"/>
    <w:pPr>
      <w:widowControl/>
      <w:adjustRightInd/>
      <w:snapToGrid/>
      <w:spacing w:before="60" w:after="60" w:line="400" w:lineRule="exact"/>
      <w:ind w:right="32" w:firstLine="612"/>
    </w:pPr>
    <w:rPr>
      <w:rFonts w:ascii="宋体" w:hAnsi="Calibri"/>
      <w:kern w:val="0"/>
      <w:sz w:val="28"/>
    </w:rPr>
  </w:style>
  <w:style w:type="paragraph" w:customStyle="1" w:styleId="1187">
    <w:name w:val="样式 表文 + 首行缩进:  2 字符"/>
    <w:basedOn w:val="1"/>
    <w:autoRedefine/>
    <w:qFormat/>
    <w:uiPriority w:val="0"/>
    <w:pPr>
      <w:widowControl/>
      <w:overflowPunct w:val="0"/>
      <w:adjustRightInd/>
      <w:snapToGrid/>
      <w:spacing w:line="440" w:lineRule="exact"/>
      <w:jc w:val="center"/>
      <w:textAlignment w:val="baseline"/>
    </w:pPr>
    <w:rPr>
      <w:rFonts w:ascii="宋体" w:hAnsi="Calibri"/>
      <w:color w:val="000000"/>
      <w:kern w:val="0"/>
    </w:rPr>
  </w:style>
  <w:style w:type="paragraph" w:customStyle="1" w:styleId="1188">
    <w:name w:val="样式 表名 + 首行缩进:  0.74 厘米"/>
    <w:basedOn w:val="1"/>
    <w:autoRedefine/>
    <w:qFormat/>
    <w:uiPriority w:val="0"/>
    <w:pPr>
      <w:widowControl/>
      <w:overflowPunct w:val="0"/>
      <w:adjustRightInd/>
      <w:snapToGrid/>
      <w:spacing w:line="360" w:lineRule="auto"/>
      <w:jc w:val="center"/>
      <w:textAlignment w:val="baseline"/>
    </w:pPr>
    <w:rPr>
      <w:rFonts w:ascii="Arial" w:hAnsi="Arial" w:eastAsia="黑体"/>
      <w:color w:val="000000"/>
      <w:kern w:val="0"/>
    </w:rPr>
  </w:style>
  <w:style w:type="paragraph" w:customStyle="1" w:styleId="1189">
    <w:name w:val="样式 正文缩进 + 首行缩进:  2 字符"/>
    <w:basedOn w:val="725"/>
    <w:link w:val="2614"/>
    <w:autoRedefine/>
    <w:qFormat/>
    <w:uiPriority w:val="0"/>
    <w:pPr>
      <w:widowControl w:val="0"/>
      <w:adjustRightInd w:val="0"/>
      <w:snapToGrid w:val="0"/>
      <w:spacing w:before="0" w:after="0" w:line="348" w:lineRule="auto"/>
      <w:ind w:firstLine="200"/>
      <w:textAlignment w:val="baseline"/>
    </w:pPr>
    <w:rPr>
      <w:rFonts w:ascii="Times New Roman" w:hAnsi="Times New Roman" w:eastAsia="宋体"/>
      <w:bCs w:val="0"/>
      <w:snapToGrid w:val="0"/>
      <w:sz w:val="28"/>
    </w:rPr>
  </w:style>
  <w:style w:type="paragraph" w:customStyle="1" w:styleId="1190">
    <w:name w:val="表文-左"/>
    <w:basedOn w:val="184"/>
    <w:autoRedefine/>
    <w:qFormat/>
    <w:uiPriority w:val="99"/>
    <w:pPr>
      <w:widowControl/>
      <w:snapToGrid/>
      <w:spacing w:line="440" w:lineRule="exact"/>
      <w:ind w:firstLine="200" w:firstLineChars="200"/>
      <w:textAlignment w:val="auto"/>
    </w:pPr>
    <w:rPr>
      <w:rFonts w:ascii="仿宋_GB2312" w:hAnsi="Arial Black" w:eastAsia="仿宋_GB2312"/>
      <w:snapToGrid/>
      <w:kern w:val="44"/>
      <w:sz w:val="24"/>
      <w:szCs w:val="20"/>
      <w:lang w:val="en-US"/>
    </w:rPr>
  </w:style>
  <w:style w:type="paragraph" w:customStyle="1" w:styleId="1191">
    <w:name w:val="样式 样式 段前: 0.5 行 段后: 7.8 磅 首行缩进:  2 字符 + 首行缩进:  2 字符 段前: 0.5 行1"/>
    <w:basedOn w:val="1"/>
    <w:autoRedefine/>
    <w:qFormat/>
    <w:uiPriority w:val="99"/>
    <w:pPr>
      <w:widowControl/>
      <w:adjustRightInd/>
      <w:snapToGrid/>
      <w:spacing w:beforeLines="50" w:line="360" w:lineRule="auto"/>
    </w:pPr>
    <w:rPr>
      <w:rFonts w:ascii="宋体" w:hAnsi="Calibri" w:cs="宋体"/>
      <w:kern w:val="0"/>
    </w:rPr>
  </w:style>
  <w:style w:type="paragraph" w:customStyle="1" w:styleId="1192">
    <w:name w:val="样式 报告正文"/>
    <w:basedOn w:val="1"/>
    <w:autoRedefine/>
    <w:qFormat/>
    <w:uiPriority w:val="99"/>
    <w:pPr>
      <w:widowControl/>
      <w:adjustRightInd/>
      <w:snapToGrid/>
      <w:spacing w:line="440" w:lineRule="exact"/>
      <w:ind w:firstLine="480"/>
      <w:jc w:val="center"/>
    </w:pPr>
    <w:rPr>
      <w:rFonts w:ascii="宋体" w:hAnsi="宋体" w:cs="Verdana"/>
      <w:bCs/>
      <w:kern w:val="0"/>
      <w:sz w:val="18"/>
      <w:szCs w:val="18"/>
    </w:rPr>
  </w:style>
  <w:style w:type="paragraph" w:customStyle="1" w:styleId="1193">
    <w:name w:val="Char4 Char Char Char Char Char Char1"/>
    <w:basedOn w:val="1"/>
    <w:autoRedefine/>
    <w:qFormat/>
    <w:uiPriority w:val="0"/>
    <w:pPr>
      <w:widowControl/>
      <w:adjustRightInd/>
      <w:snapToGrid/>
      <w:spacing w:line="360" w:lineRule="auto"/>
    </w:pPr>
    <w:rPr>
      <w:rFonts w:ascii="宋体" w:hAnsi="宋体" w:cs="宋体"/>
      <w:kern w:val="0"/>
    </w:rPr>
  </w:style>
  <w:style w:type="paragraph" w:customStyle="1" w:styleId="1194">
    <w:name w:val="默认段落字体 Para Char Char Char Char Char Char Char Char Char Char"/>
    <w:basedOn w:val="1"/>
    <w:autoRedefine/>
    <w:qFormat/>
    <w:uiPriority w:val="0"/>
    <w:pPr>
      <w:widowControl/>
      <w:adjustRightInd/>
      <w:snapToGrid/>
      <w:spacing w:line="440" w:lineRule="exact"/>
    </w:pPr>
    <w:rPr>
      <w:rFonts w:ascii="宋体" w:hAnsi="Calibri"/>
      <w:kern w:val="0"/>
    </w:rPr>
  </w:style>
  <w:style w:type="paragraph" w:customStyle="1" w:styleId="1195">
    <w:name w:val="2级标题"/>
    <w:basedOn w:val="1"/>
    <w:link w:val="3233"/>
    <w:autoRedefine/>
    <w:qFormat/>
    <w:uiPriority w:val="0"/>
    <w:pPr>
      <w:widowControl/>
      <w:adjustRightInd/>
      <w:snapToGrid/>
      <w:spacing w:line="460" w:lineRule="exact"/>
    </w:pPr>
    <w:rPr>
      <w:rFonts w:ascii="宋体" w:hAnsi="Calibri" w:cs="宋体"/>
      <w:b/>
      <w:kern w:val="0"/>
      <w:sz w:val="26"/>
      <w:szCs w:val="26"/>
    </w:rPr>
  </w:style>
  <w:style w:type="paragraph" w:customStyle="1" w:styleId="1196">
    <w:name w:val="样式 标题 4 + 段后: 0.5 行"/>
    <w:basedOn w:val="6"/>
    <w:autoRedefine/>
    <w:qFormat/>
    <w:uiPriority w:val="99"/>
    <w:pPr>
      <w:widowControl/>
      <w:numPr>
        <w:ilvl w:val="0"/>
        <w:numId w:val="0"/>
      </w:numPr>
      <w:tabs>
        <w:tab w:val="left" w:pos="720"/>
        <w:tab w:val="left" w:pos="864"/>
      </w:tabs>
      <w:adjustRightInd/>
      <w:snapToGrid/>
      <w:spacing w:line="460" w:lineRule="exact"/>
      <w:ind w:left="864" w:hanging="864"/>
      <w:jc w:val="both"/>
    </w:pPr>
    <w:rPr>
      <w:rFonts w:cs="宋体"/>
      <w:bCs w:val="0"/>
      <w:kern w:val="0"/>
      <w:sz w:val="32"/>
      <w:szCs w:val="32"/>
    </w:rPr>
  </w:style>
  <w:style w:type="paragraph" w:customStyle="1" w:styleId="1197">
    <w:name w:val="样式 标题 3标题 3 Char + 段前: 1 行 段后: 1 行"/>
    <w:basedOn w:val="5"/>
    <w:autoRedefine/>
    <w:qFormat/>
    <w:uiPriority w:val="99"/>
    <w:pPr>
      <w:widowControl/>
      <w:numPr>
        <w:ilvl w:val="0"/>
        <w:numId w:val="0"/>
      </w:numPr>
      <w:tabs>
        <w:tab w:val="left" w:pos="720"/>
        <w:tab w:val="left" w:pos="1931"/>
      </w:tabs>
      <w:spacing w:beforeLines="100" w:afterLines="100" w:line="240" w:lineRule="auto"/>
      <w:ind w:left="1418" w:hanging="567"/>
    </w:pPr>
    <w:rPr>
      <w:rFonts w:cs="宋体"/>
      <w:b w:val="0"/>
      <w:bCs w:val="0"/>
      <w:sz w:val="28"/>
      <w:szCs w:val="20"/>
    </w:rPr>
  </w:style>
  <w:style w:type="paragraph" w:customStyle="1" w:styleId="1198">
    <w:name w:val="册除格式 Char Char"/>
    <w:autoRedefine/>
    <w:qFormat/>
    <w:uiPriority w:val="0"/>
    <w:pPr>
      <w:spacing w:after="200" w:line="360" w:lineRule="auto"/>
      <w:ind w:firstLine="482"/>
    </w:pPr>
    <w:rPr>
      <w:rFonts w:ascii="黑体" w:hAnsi="Arial" w:eastAsia="宋体" w:cs="Arial"/>
      <w:snapToGrid w:val="0"/>
      <w:spacing w:val="4"/>
      <w:kern w:val="18"/>
      <w:sz w:val="24"/>
      <w:szCs w:val="28"/>
      <w:lang w:val="en-US" w:eastAsia="zh-CN" w:bidi="ar-SA"/>
    </w:rPr>
  </w:style>
  <w:style w:type="paragraph" w:customStyle="1" w:styleId="1199">
    <w:name w:val="缩格正文"/>
    <w:basedOn w:val="1"/>
    <w:autoRedefine/>
    <w:qFormat/>
    <w:uiPriority w:val="99"/>
    <w:pPr>
      <w:widowControl/>
      <w:spacing w:line="440" w:lineRule="exact"/>
      <w:ind w:firstLine="600"/>
    </w:pPr>
    <w:rPr>
      <w:rFonts w:ascii="宋体" w:hAnsi="Calibri"/>
      <w:kern w:val="0"/>
      <w:sz w:val="28"/>
    </w:rPr>
  </w:style>
  <w:style w:type="paragraph" w:customStyle="1" w:styleId="1200">
    <w:name w:val="表格文字样式"/>
    <w:basedOn w:val="1"/>
    <w:autoRedefine/>
    <w:qFormat/>
    <w:uiPriority w:val="99"/>
    <w:pPr>
      <w:widowControl/>
      <w:spacing w:line="440" w:lineRule="exact"/>
      <w:jc w:val="center"/>
    </w:pPr>
    <w:rPr>
      <w:rFonts w:ascii="Arial" w:hAnsi="Arial" w:cs="Arial"/>
      <w:kern w:val="0"/>
    </w:rPr>
  </w:style>
  <w:style w:type="paragraph" w:customStyle="1" w:styleId="1201">
    <w:name w:val="标题2 Char Char Char"/>
    <w:basedOn w:val="1"/>
    <w:autoRedefine/>
    <w:qFormat/>
    <w:uiPriority w:val="0"/>
    <w:pPr>
      <w:adjustRightInd/>
      <w:snapToGrid/>
      <w:spacing w:line="240" w:lineRule="auto"/>
      <w:ind w:firstLine="0" w:firstLineChars="0"/>
    </w:pPr>
    <w:rPr>
      <w:sz w:val="30"/>
      <w:szCs w:val="24"/>
    </w:rPr>
  </w:style>
  <w:style w:type="paragraph" w:customStyle="1" w:styleId="1202">
    <w:name w:val="样式1.1.1"/>
    <w:basedOn w:val="1"/>
    <w:autoRedefine/>
    <w:qFormat/>
    <w:uiPriority w:val="0"/>
    <w:pPr>
      <w:widowControl/>
      <w:adjustRightInd/>
      <w:snapToGrid/>
      <w:spacing w:line="360" w:lineRule="auto"/>
    </w:pPr>
    <w:rPr>
      <w:rFonts w:ascii="宋体" w:hAnsi="宋体"/>
      <w:b/>
      <w:kern w:val="0"/>
      <w:sz w:val="28"/>
    </w:rPr>
  </w:style>
  <w:style w:type="paragraph" w:customStyle="1" w:styleId="1203">
    <w:name w:val="小标题(1)"/>
    <w:basedOn w:val="34"/>
    <w:autoRedefine/>
    <w:qFormat/>
    <w:uiPriority w:val="99"/>
    <w:pPr>
      <w:widowControl/>
      <w:snapToGrid/>
      <w:spacing w:before="60" w:after="60" w:line="264" w:lineRule="auto"/>
      <w:ind w:firstLine="240" w:firstLineChars="100"/>
      <w:textAlignment w:val="baseline"/>
    </w:pPr>
    <w:rPr>
      <w:rFonts w:ascii="Calibri" w:hAnsi="Calibri"/>
      <w:kern w:val="2"/>
    </w:rPr>
  </w:style>
  <w:style w:type="paragraph" w:customStyle="1" w:styleId="1204">
    <w:name w:val="样式 标题 3 + Times New Roman"/>
    <w:basedOn w:val="5"/>
    <w:autoRedefine/>
    <w:qFormat/>
    <w:uiPriority w:val="99"/>
    <w:pPr>
      <w:widowControl/>
      <w:numPr>
        <w:ilvl w:val="0"/>
        <w:numId w:val="0"/>
      </w:numPr>
      <w:tabs>
        <w:tab w:val="left" w:pos="280"/>
      </w:tabs>
      <w:spacing w:beforeLines="100" w:afterLines="100" w:line="240" w:lineRule="auto"/>
    </w:pPr>
    <w:rPr>
      <w:b w:val="0"/>
      <w:sz w:val="30"/>
      <w:szCs w:val="30"/>
    </w:rPr>
  </w:style>
  <w:style w:type="paragraph" w:customStyle="1" w:styleId="1205">
    <w:name w:val="表格文本 五号 居中 单倍行距"/>
    <w:basedOn w:val="1"/>
    <w:next w:val="1"/>
    <w:autoRedefine/>
    <w:qFormat/>
    <w:uiPriority w:val="99"/>
    <w:pPr>
      <w:widowControl/>
      <w:snapToGrid/>
      <w:spacing w:line="440" w:lineRule="exact"/>
      <w:jc w:val="center"/>
      <w:textAlignment w:val="baseline"/>
    </w:pPr>
    <w:rPr>
      <w:rFonts w:ascii="宋体" w:hAnsi="Courier New" w:cs="宋体"/>
      <w:kern w:val="0"/>
    </w:rPr>
  </w:style>
  <w:style w:type="paragraph" w:customStyle="1" w:styleId="1206">
    <w:name w:val="123"/>
    <w:basedOn w:val="1"/>
    <w:next w:val="1"/>
    <w:autoRedefine/>
    <w:qFormat/>
    <w:uiPriority w:val="0"/>
    <w:pPr>
      <w:widowControl/>
      <w:adjustRightInd/>
      <w:snapToGrid/>
      <w:spacing w:line="360" w:lineRule="auto"/>
      <w:ind w:firstLine="562"/>
    </w:pPr>
    <w:rPr>
      <w:rFonts w:ascii="宋体" w:hAnsi="Calibri"/>
      <w:b/>
      <w:bCs/>
      <w:color w:val="000000"/>
      <w:kern w:val="0"/>
      <w:sz w:val="28"/>
    </w:rPr>
  </w:style>
  <w:style w:type="paragraph" w:customStyle="1" w:styleId="1207">
    <w:name w:val="juzhong"/>
    <w:basedOn w:val="1"/>
    <w:autoRedefine/>
    <w:qFormat/>
    <w:uiPriority w:val="99"/>
    <w:pPr>
      <w:widowControl/>
      <w:adjustRightInd/>
      <w:snapToGrid/>
      <w:spacing w:before="100" w:beforeAutospacing="1" w:after="100" w:afterAutospacing="1" w:line="440" w:lineRule="exact"/>
    </w:pPr>
    <w:rPr>
      <w:rFonts w:ascii="宋体" w:hAnsi="宋体" w:cs="宋体"/>
      <w:color w:val="000000"/>
      <w:kern w:val="0"/>
    </w:rPr>
  </w:style>
  <w:style w:type="paragraph" w:customStyle="1" w:styleId="1208">
    <w:name w:val="表1"/>
    <w:basedOn w:val="1"/>
    <w:link w:val="3761"/>
    <w:autoRedefine/>
    <w:qFormat/>
    <w:uiPriority w:val="0"/>
    <w:pPr>
      <w:widowControl/>
      <w:adjustRightInd/>
      <w:snapToGrid/>
      <w:spacing w:before="40" w:line="0" w:lineRule="atLeast"/>
      <w:jc w:val="center"/>
    </w:pPr>
    <w:rPr>
      <w:rFonts w:ascii="宋体" w:hAnsi="Calibri"/>
      <w:kern w:val="0"/>
    </w:rPr>
  </w:style>
  <w:style w:type="paragraph" w:customStyle="1" w:styleId="1209">
    <w:name w:val="样式 标题 1 + 段前: 0.5 行 段后: 0.5 行1"/>
    <w:basedOn w:val="3"/>
    <w:autoRedefine/>
    <w:qFormat/>
    <w:uiPriority w:val="99"/>
    <w:pPr>
      <w:widowControl/>
      <w:numPr>
        <w:numId w:val="0"/>
      </w:numPr>
      <w:spacing w:beforeLines="100" w:afterLines="100" w:line="240" w:lineRule="auto"/>
      <w:jc w:val="center"/>
    </w:pPr>
    <w:rPr>
      <w:rFonts w:ascii="微软雅黑" w:hAnsi="微软雅黑" w:eastAsia="黑体" w:cs="宋体"/>
      <w:b w:val="0"/>
      <w:bCs w:val="0"/>
      <w:kern w:val="0"/>
      <w:sz w:val="32"/>
      <w:szCs w:val="20"/>
    </w:rPr>
  </w:style>
  <w:style w:type="paragraph" w:customStyle="1" w:styleId="1210">
    <w:name w:val="样式 样式 样式 样式 样式 样式 段前: 0.5 行 首行缩进:  2 字符 + 首行缩进:  2 字符 Char + 首行缩..."/>
    <w:basedOn w:val="1"/>
    <w:autoRedefine/>
    <w:qFormat/>
    <w:uiPriority w:val="99"/>
    <w:pPr>
      <w:widowControl/>
      <w:spacing w:line="460" w:lineRule="exact"/>
      <w:ind w:firstLine="560"/>
    </w:pPr>
    <w:rPr>
      <w:rFonts w:ascii="宋体" w:hAnsi="Calibri" w:eastAsia="华文仿宋" w:cs="宋体"/>
      <w:kern w:val="0"/>
      <w:sz w:val="28"/>
      <w:szCs w:val="28"/>
    </w:rPr>
  </w:style>
  <w:style w:type="paragraph" w:customStyle="1" w:styleId="1211">
    <w:name w:val="公式文字1"/>
    <w:basedOn w:val="1128"/>
    <w:autoRedefine/>
    <w:qFormat/>
    <w:uiPriority w:val="99"/>
    <w:pPr>
      <w:spacing w:beforeLines="50"/>
      <w:ind w:firstLine="562"/>
    </w:pPr>
    <w:rPr>
      <w:b/>
      <w:bCs/>
    </w:rPr>
  </w:style>
  <w:style w:type="paragraph" w:customStyle="1" w:styleId="1212">
    <w:name w:val="样式14"/>
    <w:basedOn w:val="1"/>
    <w:autoRedefine/>
    <w:qFormat/>
    <w:uiPriority w:val="0"/>
    <w:pPr>
      <w:keepNext/>
      <w:keepLines/>
      <w:widowControl/>
      <w:outlineLvl w:val="2"/>
    </w:pPr>
    <w:rPr>
      <w:rFonts w:ascii="宋体" w:hAnsi="Calibri"/>
      <w:b/>
      <w:bCs/>
      <w:kern w:val="0"/>
      <w:sz w:val="26"/>
    </w:rPr>
  </w:style>
  <w:style w:type="paragraph" w:customStyle="1" w:styleId="1213">
    <w:name w:val="样式 标题 1 + 段后: 1.5 行"/>
    <w:basedOn w:val="3"/>
    <w:autoRedefine/>
    <w:qFormat/>
    <w:uiPriority w:val="99"/>
    <w:pPr>
      <w:widowControl/>
      <w:numPr>
        <w:numId w:val="0"/>
      </w:numPr>
      <w:spacing w:beforeLines="100" w:afterLines="100" w:line="460" w:lineRule="exact"/>
      <w:jc w:val="center"/>
    </w:pPr>
    <w:rPr>
      <w:rFonts w:ascii="微软雅黑" w:hAnsi="微软雅黑" w:eastAsia="微软雅黑" w:cs="宋体"/>
      <w:bCs w:val="0"/>
      <w:kern w:val="0"/>
      <w:sz w:val="32"/>
      <w:szCs w:val="20"/>
    </w:rPr>
  </w:style>
  <w:style w:type="paragraph" w:customStyle="1" w:styleId="1214">
    <w:name w:val="样式 宋体 五号 首行缩进:  2 字符"/>
    <w:basedOn w:val="1"/>
    <w:next w:val="1"/>
    <w:autoRedefine/>
    <w:qFormat/>
    <w:uiPriority w:val="0"/>
    <w:pPr>
      <w:widowControl/>
      <w:adjustRightInd/>
      <w:snapToGrid/>
      <w:spacing w:line="440" w:lineRule="exact"/>
      <w:jc w:val="center"/>
    </w:pPr>
    <w:rPr>
      <w:rFonts w:ascii="宋体" w:hAnsi="Calibri" w:cs="宋体"/>
      <w:kern w:val="0"/>
      <w:szCs w:val="21"/>
    </w:rPr>
  </w:style>
  <w:style w:type="paragraph" w:customStyle="1" w:styleId="1215">
    <w:name w:val="样式 正文 + 首行缩进:  2 字符"/>
    <w:basedOn w:val="1"/>
    <w:autoRedefine/>
    <w:qFormat/>
    <w:uiPriority w:val="99"/>
    <w:pPr>
      <w:widowControl/>
      <w:snapToGrid/>
      <w:spacing w:line="529" w:lineRule="exact"/>
      <w:ind w:firstLine="480"/>
      <w:textAlignment w:val="baseline"/>
    </w:pPr>
    <w:rPr>
      <w:rFonts w:ascii="宋体" w:hAnsi="Calibri" w:cs="宋体"/>
      <w:kern w:val="0"/>
    </w:rPr>
  </w:style>
  <w:style w:type="paragraph" w:customStyle="1" w:styleId="1216">
    <w:name w:val="33标题3"/>
    <w:basedOn w:val="1"/>
    <w:autoRedefine/>
    <w:qFormat/>
    <w:uiPriority w:val="99"/>
    <w:pPr>
      <w:keepNext/>
      <w:keepLines/>
      <w:widowControl/>
      <w:adjustRightInd/>
      <w:snapToGrid/>
      <w:spacing w:line="360" w:lineRule="auto"/>
      <w:outlineLvl w:val="0"/>
    </w:pPr>
    <w:rPr>
      <w:rFonts w:ascii="宋体" w:hAnsi="宋体" w:cs="宋体"/>
      <w:b/>
      <w:bCs/>
      <w:kern w:val="44"/>
      <w:sz w:val="30"/>
    </w:rPr>
  </w:style>
  <w:style w:type="paragraph" w:customStyle="1" w:styleId="1217">
    <w:name w:val="样式 标题 3标题 3 Char标题 3 Char Char标题 3 Char2标题 3 Char1 Char标题 3..."/>
    <w:basedOn w:val="5"/>
    <w:autoRedefine/>
    <w:qFormat/>
    <w:uiPriority w:val="99"/>
    <w:pPr>
      <w:widowControl/>
      <w:numPr>
        <w:ilvl w:val="0"/>
        <w:numId w:val="0"/>
      </w:numPr>
      <w:tabs>
        <w:tab w:val="left" w:pos="720"/>
      </w:tabs>
      <w:spacing w:after="120" w:line="360" w:lineRule="exact"/>
    </w:pPr>
    <w:rPr>
      <w:rFonts w:cs="宋体"/>
      <w:b w:val="0"/>
      <w:bCs w:val="0"/>
      <w:sz w:val="28"/>
      <w:szCs w:val="20"/>
    </w:rPr>
  </w:style>
  <w:style w:type="paragraph" w:customStyle="1" w:styleId="1218">
    <w:name w:val="模型公式-居中"/>
    <w:next w:val="1"/>
    <w:autoRedefine/>
    <w:qFormat/>
    <w:uiPriority w:val="99"/>
    <w:pPr>
      <w:spacing w:after="200" w:line="360" w:lineRule="auto"/>
      <w:jc w:val="center"/>
    </w:pPr>
    <w:rPr>
      <w:rFonts w:ascii="Times New Roman" w:hAnsi="Times New Roman" w:eastAsia="仿宋_GB2312" w:cs="Times New Roman"/>
      <w:bCs/>
      <w:sz w:val="24"/>
      <w:szCs w:val="24"/>
      <w:lang w:val="en-US" w:eastAsia="zh-CN" w:bidi="ar-SA"/>
    </w:rPr>
  </w:style>
  <w:style w:type="paragraph" w:customStyle="1" w:styleId="1219">
    <w:name w:val="样式 样式 标题 1章标题 + 加粗 段前: 1 行 段后: 1 行 行距: 2 倍行距 + 行距: 单倍行距"/>
    <w:basedOn w:val="1"/>
    <w:autoRedefine/>
    <w:qFormat/>
    <w:uiPriority w:val="99"/>
    <w:pPr>
      <w:keepNext/>
      <w:keepLines/>
      <w:widowControl/>
      <w:tabs>
        <w:tab w:val="left" w:pos="432"/>
      </w:tabs>
      <w:spacing w:beforeLines="100" w:afterLines="100" w:line="440" w:lineRule="exact"/>
      <w:ind w:left="432" w:hanging="432"/>
      <w:outlineLvl w:val="0"/>
    </w:pPr>
    <w:rPr>
      <w:rFonts w:ascii="宋体" w:hAnsi="Calibri" w:eastAsia="黑体" w:cs="宋体"/>
      <w:bCs/>
      <w:kern w:val="44"/>
      <w:sz w:val="44"/>
      <w:szCs w:val="44"/>
    </w:rPr>
  </w:style>
  <w:style w:type="paragraph" w:customStyle="1" w:styleId="1220">
    <w:name w:val="bks138"/>
    <w:basedOn w:val="1"/>
    <w:autoRedefine/>
    <w:qFormat/>
    <w:uiPriority w:val="99"/>
    <w:pPr>
      <w:widowControl/>
      <w:adjustRightInd/>
      <w:snapToGrid/>
      <w:spacing w:before="100" w:beforeAutospacing="1" w:after="100" w:afterAutospacing="1" w:line="440" w:lineRule="exact"/>
    </w:pPr>
    <w:rPr>
      <w:rFonts w:ascii="宋体" w:hAnsi="宋体" w:cs="宋体"/>
      <w:kern w:val="0"/>
    </w:rPr>
  </w:style>
  <w:style w:type="paragraph" w:customStyle="1" w:styleId="1221">
    <w:name w:val="6表格"/>
    <w:basedOn w:val="1"/>
    <w:autoRedefine/>
    <w:qFormat/>
    <w:uiPriority w:val="0"/>
    <w:pPr>
      <w:widowControl/>
      <w:spacing w:before="120" w:line="440" w:lineRule="exact"/>
      <w:jc w:val="center"/>
    </w:pPr>
    <w:rPr>
      <w:rFonts w:ascii="宋体" w:hAnsi="Calibri"/>
      <w:snapToGrid w:val="0"/>
      <w:kern w:val="0"/>
    </w:rPr>
  </w:style>
  <w:style w:type="paragraph" w:customStyle="1" w:styleId="1222">
    <w:name w:val="13"/>
    <w:basedOn w:val="5"/>
    <w:autoRedefine/>
    <w:qFormat/>
    <w:uiPriority w:val="0"/>
    <w:pPr>
      <w:widowControl/>
      <w:numPr>
        <w:ilvl w:val="0"/>
        <w:numId w:val="0"/>
      </w:numPr>
      <w:spacing w:line="440" w:lineRule="atLeast"/>
    </w:pPr>
    <w:rPr>
      <w:rFonts w:ascii="宋体"/>
      <w:b w:val="0"/>
      <w:bCs w:val="0"/>
      <w:sz w:val="26"/>
      <w:szCs w:val="20"/>
    </w:rPr>
  </w:style>
  <w:style w:type="paragraph" w:customStyle="1" w:styleId="1223">
    <w:name w:val="Char Char Char Char Char Char Char Char Char Char Char Char Char Char Char"/>
    <w:basedOn w:val="1"/>
    <w:autoRedefine/>
    <w:qFormat/>
    <w:uiPriority w:val="99"/>
    <w:pPr>
      <w:widowControl/>
      <w:adjustRightInd/>
      <w:snapToGrid/>
      <w:spacing w:line="440" w:lineRule="exact"/>
    </w:pPr>
    <w:rPr>
      <w:rFonts w:ascii="宋体" w:hAnsi="Calibri"/>
      <w:kern w:val="0"/>
    </w:rPr>
  </w:style>
  <w:style w:type="paragraph" w:customStyle="1" w:styleId="1224">
    <w:name w:val="样式 标题 2标题节标题 2 Char Char + 段前: 2 行"/>
    <w:basedOn w:val="4"/>
    <w:next w:val="1"/>
    <w:autoRedefine/>
    <w:qFormat/>
    <w:uiPriority w:val="99"/>
    <w:pPr>
      <w:widowControl/>
      <w:numPr>
        <w:ilvl w:val="0"/>
        <w:numId w:val="0"/>
      </w:numPr>
      <w:spacing w:line="460" w:lineRule="exact"/>
      <w:ind w:left="431" w:firstLine="200"/>
    </w:pPr>
    <w:rPr>
      <w:rFonts w:ascii="微软雅黑" w:hAnsi="微软雅黑" w:eastAsia="微软雅黑" w:cs="宋体"/>
      <w:color w:val="4F81BD"/>
      <w:kern w:val="0"/>
      <w:sz w:val="26"/>
      <w:szCs w:val="20"/>
      <w:lang w:eastAsia="en-US"/>
    </w:rPr>
  </w:style>
  <w:style w:type="paragraph" w:customStyle="1" w:styleId="1225">
    <w:name w:val="样式13"/>
    <w:basedOn w:val="1"/>
    <w:autoRedefine/>
    <w:qFormat/>
    <w:uiPriority w:val="0"/>
    <w:pPr>
      <w:keepNext/>
      <w:keepLines/>
      <w:widowControl/>
      <w:spacing w:beforeLines="50" w:afterLines="50"/>
      <w:outlineLvl w:val="1"/>
    </w:pPr>
    <w:rPr>
      <w:rFonts w:ascii="宋体" w:hAnsi="Calibri" w:eastAsia="黑体"/>
      <w:b/>
      <w:bCs/>
      <w:snapToGrid w:val="0"/>
      <w:kern w:val="0"/>
      <w:sz w:val="28"/>
      <w:szCs w:val="28"/>
    </w:rPr>
  </w:style>
  <w:style w:type="paragraph" w:customStyle="1" w:styleId="1226">
    <w:name w:val="表格2"/>
    <w:basedOn w:val="1"/>
    <w:autoRedefine/>
    <w:qFormat/>
    <w:uiPriority w:val="0"/>
    <w:pPr>
      <w:widowControl/>
      <w:adjustRightInd/>
      <w:snapToGrid/>
      <w:spacing w:beforeLines="5" w:line="440" w:lineRule="exact"/>
      <w:jc w:val="center"/>
    </w:pPr>
    <w:rPr>
      <w:rFonts w:ascii="宋体" w:hAnsi="Calibri"/>
      <w:kern w:val="0"/>
    </w:rPr>
  </w:style>
  <w:style w:type="paragraph" w:customStyle="1" w:styleId="1227">
    <w:name w:val="Char Char Char Char Char2 Char Char Char Char"/>
    <w:basedOn w:val="1"/>
    <w:next w:val="1"/>
    <w:autoRedefine/>
    <w:qFormat/>
    <w:uiPriority w:val="0"/>
    <w:pPr>
      <w:widowControl/>
      <w:spacing w:line="360" w:lineRule="auto"/>
    </w:pPr>
    <w:rPr>
      <w:rFonts w:ascii="宋体" w:hAnsi="宋体" w:cs="宋体"/>
      <w:kern w:val="0"/>
      <w:szCs w:val="26"/>
    </w:rPr>
  </w:style>
  <w:style w:type="paragraph" w:customStyle="1" w:styleId="1228">
    <w:name w:val="Char Char Char Char Char Char Char Char Char Char Char Char Char Char Char Char Char Char Char Char Char Char1"/>
    <w:basedOn w:val="1"/>
    <w:autoRedefine/>
    <w:qFormat/>
    <w:uiPriority w:val="99"/>
    <w:pPr>
      <w:widowControl/>
      <w:adjustRightInd/>
      <w:snapToGrid/>
      <w:spacing w:line="440" w:lineRule="exact"/>
    </w:pPr>
    <w:rPr>
      <w:rFonts w:ascii="宋体" w:hAnsi="宋体" w:eastAsia="仿宋_GB2312" w:cs="Courier New"/>
      <w:kern w:val="0"/>
      <w:sz w:val="32"/>
      <w:szCs w:val="32"/>
    </w:rPr>
  </w:style>
  <w:style w:type="paragraph" w:customStyle="1" w:styleId="1229">
    <w:name w:val="样式 纯文本普通文字 + (中文) 宋体 四号"/>
    <w:basedOn w:val="152"/>
    <w:autoRedefine/>
    <w:qFormat/>
    <w:uiPriority w:val="99"/>
    <w:pPr>
      <w:spacing w:line="360" w:lineRule="auto"/>
      <w:ind w:firstLine="480"/>
    </w:pPr>
    <w:rPr>
      <w:rFonts w:hAnsi="宋体"/>
      <w:color w:val="000000"/>
      <w:kern w:val="21"/>
      <w:sz w:val="24"/>
      <w:szCs w:val="24"/>
    </w:rPr>
  </w:style>
  <w:style w:type="paragraph" w:customStyle="1" w:styleId="1230">
    <w:name w:val="正文3"/>
    <w:link w:val="1231"/>
    <w:autoRedefine/>
    <w:qFormat/>
    <w:uiPriority w:val="0"/>
    <w:pPr>
      <w:widowControl w:val="0"/>
      <w:adjustRightInd w:val="0"/>
      <w:spacing w:after="200" w:line="312" w:lineRule="atLeast"/>
      <w:jc w:val="both"/>
      <w:textAlignment w:val="baseline"/>
    </w:pPr>
    <w:rPr>
      <w:rFonts w:ascii="宋体" w:hAnsi="Times New Roman" w:eastAsia="宋体" w:cs="Times New Roman"/>
      <w:sz w:val="34"/>
      <w:lang w:val="en-US" w:eastAsia="zh-CN" w:bidi="ar-SA"/>
    </w:rPr>
  </w:style>
  <w:style w:type="character" w:customStyle="1" w:styleId="1231">
    <w:name w:val="正文 Char Char"/>
    <w:link w:val="1230"/>
    <w:autoRedefine/>
    <w:qFormat/>
    <w:uiPriority w:val="0"/>
    <w:rPr>
      <w:rFonts w:ascii="宋体" w:hAnsi="Times New Roman"/>
      <w:sz w:val="34"/>
      <w:lang w:bidi="ar-SA"/>
    </w:rPr>
  </w:style>
  <w:style w:type="paragraph" w:customStyle="1" w:styleId="1232">
    <w:name w:val="样式 标题 21标题21 Char标题 2 Char Char节标题节H2h2第一层条二级 标题 2标题 ..."/>
    <w:basedOn w:val="4"/>
    <w:autoRedefine/>
    <w:qFormat/>
    <w:uiPriority w:val="99"/>
    <w:pPr>
      <w:widowControl/>
      <w:numPr>
        <w:ilvl w:val="0"/>
        <w:numId w:val="0"/>
      </w:numPr>
      <w:tabs>
        <w:tab w:val="left" w:pos="1107"/>
      </w:tabs>
      <w:spacing w:line="360" w:lineRule="auto"/>
      <w:ind w:left="431"/>
    </w:pPr>
    <w:rPr>
      <w:rFonts w:ascii="Cambria" w:hAnsi="Cambria" w:cs="宋体"/>
      <w:b w:val="0"/>
      <w:bCs w:val="0"/>
      <w:color w:val="4F81BD"/>
      <w:kern w:val="0"/>
      <w:sz w:val="30"/>
      <w:szCs w:val="20"/>
      <w:lang w:eastAsia="en-US"/>
    </w:rPr>
  </w:style>
  <w:style w:type="paragraph" w:customStyle="1" w:styleId="1233">
    <w:name w:val="样式 标题 3标题 3 Char + 左侧:  1 字符 右侧:  1 字符"/>
    <w:basedOn w:val="5"/>
    <w:autoRedefine/>
    <w:qFormat/>
    <w:uiPriority w:val="99"/>
    <w:pPr>
      <w:widowControl/>
      <w:numPr>
        <w:ilvl w:val="0"/>
        <w:numId w:val="0"/>
      </w:numPr>
      <w:spacing w:line="460" w:lineRule="exact"/>
      <w:ind w:firstLine="200"/>
    </w:pPr>
    <w:rPr>
      <w:rFonts w:cs="宋体"/>
      <w:b w:val="0"/>
      <w:kern w:val="0"/>
      <w:sz w:val="26"/>
      <w:szCs w:val="26"/>
    </w:rPr>
  </w:style>
  <w:style w:type="paragraph" w:customStyle="1" w:styleId="1234">
    <w:name w:val="样式 13 磅 行距: 固定值 23 磅"/>
    <w:basedOn w:val="1"/>
    <w:autoRedefine/>
    <w:qFormat/>
    <w:uiPriority w:val="99"/>
    <w:pPr>
      <w:widowControl/>
      <w:adjustRightInd/>
      <w:snapToGrid/>
      <w:spacing w:line="460" w:lineRule="exact"/>
      <w:ind w:firstLine="520"/>
    </w:pPr>
    <w:rPr>
      <w:rFonts w:ascii="宋体" w:hAnsi="Calibri"/>
      <w:kern w:val="0"/>
      <w:sz w:val="26"/>
    </w:rPr>
  </w:style>
  <w:style w:type="paragraph" w:customStyle="1" w:styleId="1235">
    <w:name w:val="mtitle"/>
    <w:basedOn w:val="1"/>
    <w:autoRedefine/>
    <w:qFormat/>
    <w:uiPriority w:val="99"/>
    <w:pPr>
      <w:widowControl/>
      <w:adjustRightInd/>
      <w:snapToGrid/>
      <w:spacing w:before="30" w:line="440" w:lineRule="exact"/>
      <w:jc w:val="center"/>
    </w:pPr>
    <w:rPr>
      <w:rFonts w:ascii="方正小标宋简体" w:hAnsi="宋体" w:eastAsia="方正小标宋简体"/>
      <w:color w:val="000000"/>
      <w:kern w:val="0"/>
      <w:sz w:val="44"/>
      <w:szCs w:val="44"/>
    </w:rPr>
  </w:style>
  <w:style w:type="paragraph" w:customStyle="1" w:styleId="1236">
    <w:name w:val="td4"/>
    <w:basedOn w:val="1"/>
    <w:autoRedefine/>
    <w:qFormat/>
    <w:uiPriority w:val="99"/>
    <w:pPr>
      <w:widowControl/>
      <w:adjustRightInd/>
      <w:snapToGrid/>
      <w:spacing w:before="100" w:beforeAutospacing="1" w:after="100" w:afterAutospacing="1" w:line="300" w:lineRule="atLeast"/>
    </w:pPr>
    <w:rPr>
      <w:rFonts w:ascii="宋体" w:hAnsi="宋体" w:cs="宋体"/>
      <w:color w:val="000000"/>
      <w:kern w:val="0"/>
      <w:sz w:val="18"/>
      <w:szCs w:val="18"/>
    </w:rPr>
  </w:style>
  <w:style w:type="paragraph" w:customStyle="1" w:styleId="1237">
    <w:name w:val="样式 段前: 0.5 行 首行缩进:  2 字符"/>
    <w:basedOn w:val="1"/>
    <w:autoRedefine/>
    <w:qFormat/>
    <w:uiPriority w:val="99"/>
    <w:pPr>
      <w:widowControl/>
      <w:spacing w:before="156" w:line="360" w:lineRule="auto"/>
      <w:ind w:firstLine="480"/>
    </w:pPr>
    <w:rPr>
      <w:rFonts w:ascii="宋体" w:hAnsi="Calibri" w:cs="宋体"/>
      <w:kern w:val="0"/>
      <w:sz w:val="28"/>
    </w:rPr>
  </w:style>
  <w:style w:type="paragraph" w:customStyle="1" w:styleId="1238">
    <w:name w:val="Char Char Char Char Char Char Char Char Char Char Char Char Char Char Char Char Char Char Char Char Char Char Char Char Char Char Char Char Char Char Char Char Char"/>
    <w:basedOn w:val="1"/>
    <w:autoRedefine/>
    <w:qFormat/>
    <w:uiPriority w:val="0"/>
    <w:pPr>
      <w:widowControl/>
      <w:adjustRightInd/>
      <w:snapToGrid/>
      <w:spacing w:after="160" w:line="240" w:lineRule="exact"/>
    </w:pPr>
    <w:rPr>
      <w:rFonts w:ascii="Verdana" w:hAnsi="Verdana" w:eastAsia="仿宋_GB2312" w:cs="Verdana"/>
      <w:kern w:val="0"/>
    </w:rPr>
  </w:style>
  <w:style w:type="paragraph" w:customStyle="1" w:styleId="1239">
    <w:name w:val="正文样式 Char"/>
    <w:basedOn w:val="1"/>
    <w:autoRedefine/>
    <w:qFormat/>
    <w:uiPriority w:val="0"/>
    <w:pPr>
      <w:widowControl/>
      <w:spacing w:line="460" w:lineRule="exact"/>
    </w:pPr>
    <w:rPr>
      <w:rFonts w:ascii="宋体" w:hAnsi="Calibri"/>
      <w:color w:val="000000"/>
      <w:kern w:val="0"/>
      <w:sz w:val="26"/>
      <w:szCs w:val="26"/>
    </w:rPr>
  </w:style>
  <w:style w:type="paragraph" w:customStyle="1" w:styleId="1240">
    <w:name w:val="Char Char Char Char Char Char Char Char Char Char Char Char Char"/>
    <w:basedOn w:val="1"/>
    <w:autoRedefine/>
    <w:qFormat/>
    <w:uiPriority w:val="0"/>
    <w:pPr>
      <w:widowControl/>
      <w:adjustRightInd/>
      <w:snapToGrid/>
      <w:spacing w:line="440" w:lineRule="exact"/>
    </w:pPr>
    <w:rPr>
      <w:rFonts w:ascii="宋体" w:hAnsi="Calibri"/>
      <w:kern w:val="0"/>
      <w:sz w:val="28"/>
      <w:szCs w:val="28"/>
    </w:rPr>
  </w:style>
  <w:style w:type="paragraph" w:customStyle="1" w:styleId="1241">
    <w:name w:val="rw"/>
    <w:basedOn w:val="1"/>
    <w:autoRedefine/>
    <w:qFormat/>
    <w:uiPriority w:val="99"/>
    <w:pPr>
      <w:widowControl/>
      <w:adjustRightInd/>
      <w:snapToGrid/>
      <w:spacing w:before="30" w:line="440" w:lineRule="exact"/>
      <w:ind w:left="100" w:right="100"/>
      <w:jc w:val="right"/>
    </w:pPr>
    <w:rPr>
      <w:rFonts w:ascii="方正仿宋简体" w:hAnsi="宋体" w:eastAsia="方正仿宋简体"/>
      <w:color w:val="000000"/>
      <w:kern w:val="0"/>
      <w:szCs w:val="21"/>
    </w:rPr>
  </w:style>
  <w:style w:type="paragraph" w:customStyle="1" w:styleId="1242">
    <w:name w:val="样式 样式 标题 2标题节标题 2 Char Char + 段前: 2 行 + 左侧:  1 字符 右侧:  1 字符"/>
    <w:basedOn w:val="1"/>
    <w:autoRedefine/>
    <w:qFormat/>
    <w:uiPriority w:val="99"/>
    <w:pPr>
      <w:keepNext/>
      <w:keepLines/>
      <w:widowControl/>
      <w:spacing w:line="460" w:lineRule="exact"/>
      <w:outlineLvl w:val="1"/>
    </w:pPr>
    <w:rPr>
      <w:rFonts w:ascii="宋体" w:hAnsi="Calibri"/>
      <w:b/>
      <w:bCs/>
      <w:kern w:val="0"/>
      <w:sz w:val="26"/>
      <w:szCs w:val="26"/>
    </w:rPr>
  </w:style>
  <w:style w:type="paragraph" w:customStyle="1" w:styleId="1243">
    <w:name w:val="列出段落6"/>
    <w:basedOn w:val="1"/>
    <w:autoRedefine/>
    <w:qFormat/>
    <w:uiPriority w:val="99"/>
    <w:pPr>
      <w:widowControl/>
      <w:adjustRightInd/>
      <w:snapToGrid/>
      <w:spacing w:line="440" w:lineRule="exact"/>
      <w:ind w:left="720"/>
      <w:contextualSpacing/>
    </w:pPr>
    <w:rPr>
      <w:rFonts w:ascii="宋体" w:hAnsi="Calibri"/>
      <w:kern w:val="0"/>
    </w:rPr>
  </w:style>
  <w:style w:type="paragraph" w:customStyle="1" w:styleId="1244">
    <w:name w:val="文本框内文字"/>
    <w:basedOn w:val="1"/>
    <w:autoRedefine/>
    <w:qFormat/>
    <w:uiPriority w:val="0"/>
    <w:pPr>
      <w:widowControl/>
      <w:adjustRightInd/>
      <w:snapToGrid/>
      <w:spacing w:line="240" w:lineRule="exact"/>
      <w:ind w:left="-120" w:leftChars="-50" w:right="-120" w:rightChars="-50"/>
      <w:jc w:val="center"/>
    </w:pPr>
    <w:rPr>
      <w:rFonts w:ascii="仿宋_GB2312" w:hAnsi="Calibri" w:eastAsia="仿宋_GB2312"/>
      <w:kern w:val="0"/>
    </w:rPr>
  </w:style>
  <w:style w:type="paragraph" w:customStyle="1" w:styleId="1245">
    <w:name w:val="样式 小四1"/>
    <w:basedOn w:val="1"/>
    <w:autoRedefine/>
    <w:qFormat/>
    <w:uiPriority w:val="99"/>
    <w:pPr>
      <w:widowControl/>
      <w:spacing w:beforeLines="50" w:line="360" w:lineRule="auto"/>
    </w:pPr>
    <w:rPr>
      <w:rFonts w:ascii="宋体" w:hAnsi="Calibri" w:cs="宋体"/>
      <w:kern w:val="0"/>
    </w:rPr>
  </w:style>
  <w:style w:type="paragraph" w:customStyle="1" w:styleId="1246">
    <w:name w:val="编号A."/>
    <w:basedOn w:val="1"/>
    <w:autoRedefine/>
    <w:qFormat/>
    <w:uiPriority w:val="99"/>
    <w:pPr>
      <w:widowControl/>
      <w:tabs>
        <w:tab w:val="left" w:pos="547"/>
        <w:tab w:val="left" w:pos="907"/>
        <w:tab w:val="left" w:pos="1080"/>
      </w:tabs>
      <w:adjustRightInd/>
      <w:snapToGrid/>
      <w:spacing w:line="480" w:lineRule="atLeast"/>
      <w:ind w:firstLine="547"/>
    </w:pPr>
    <w:rPr>
      <w:rFonts w:ascii="宋体" w:hAnsi="Calibri"/>
      <w:kern w:val="0"/>
    </w:rPr>
  </w:style>
  <w:style w:type="paragraph" w:customStyle="1" w:styleId="1247">
    <w:name w:val="样式 样式 标题 1一、1.标题 1 + 段前: 1 行 段后: 1 行 + 段前: 1 行 段后: 1 行"/>
    <w:basedOn w:val="1"/>
    <w:autoRedefine/>
    <w:qFormat/>
    <w:uiPriority w:val="99"/>
    <w:pPr>
      <w:keepNext/>
      <w:keepLines/>
      <w:pageBreakBefore/>
      <w:widowControl/>
      <w:tabs>
        <w:tab w:val="left" w:pos="280"/>
        <w:tab w:val="left" w:pos="425"/>
      </w:tabs>
      <w:spacing w:beforeLines="100" w:afterLines="100" w:line="360" w:lineRule="auto"/>
      <w:ind w:left="431" w:hanging="431"/>
      <w:outlineLvl w:val="0"/>
    </w:pPr>
    <w:rPr>
      <w:rFonts w:ascii="宋体" w:hAnsi="Calibri" w:eastAsia="黑体" w:cs="宋体"/>
      <w:kern w:val="44"/>
      <w:sz w:val="44"/>
    </w:rPr>
  </w:style>
  <w:style w:type="paragraph" w:customStyle="1" w:styleId="1248">
    <w:name w:val="样式 样式 样式 段前: 0.5 行 首行缩进:  2 字符 + 首行缩进:  2 字符 Char + 段前: 0.5 行"/>
    <w:basedOn w:val="1"/>
    <w:autoRedefine/>
    <w:qFormat/>
    <w:uiPriority w:val="99"/>
    <w:pPr>
      <w:widowControl/>
      <w:spacing w:line="460" w:lineRule="exact"/>
    </w:pPr>
    <w:rPr>
      <w:rFonts w:ascii="宋体" w:hAnsi="Calibri" w:eastAsia="华文仿宋" w:cs="宋体"/>
      <w:kern w:val="0"/>
      <w:sz w:val="28"/>
      <w:szCs w:val="28"/>
    </w:rPr>
  </w:style>
  <w:style w:type="paragraph" w:customStyle="1" w:styleId="1249">
    <w:name w:val="f2"/>
    <w:basedOn w:val="1"/>
    <w:autoRedefine/>
    <w:qFormat/>
    <w:uiPriority w:val="99"/>
    <w:pPr>
      <w:widowControl/>
      <w:adjustRightInd/>
      <w:snapToGrid/>
      <w:spacing w:before="100" w:beforeAutospacing="1" w:after="100" w:afterAutospacing="1" w:line="440" w:lineRule="exact"/>
    </w:pPr>
    <w:rPr>
      <w:rFonts w:ascii="宋体" w:hAnsi="宋体" w:cs="宋体"/>
      <w:kern w:val="0"/>
      <w:szCs w:val="21"/>
    </w:rPr>
  </w:style>
  <w:style w:type="paragraph" w:customStyle="1" w:styleId="1250">
    <w:name w:val="样式 13 磅 黑色 行距: 固定值 23 磅"/>
    <w:basedOn w:val="1"/>
    <w:autoRedefine/>
    <w:qFormat/>
    <w:uiPriority w:val="99"/>
    <w:pPr>
      <w:widowControl/>
      <w:spacing w:line="460" w:lineRule="exact"/>
      <w:ind w:firstLine="520"/>
    </w:pPr>
    <w:rPr>
      <w:rFonts w:ascii="宋体" w:hAnsi="Calibri"/>
      <w:kern w:val="0"/>
      <w:sz w:val="26"/>
    </w:rPr>
  </w:style>
  <w:style w:type="paragraph" w:customStyle="1" w:styleId="1251">
    <w:name w:val="Char Char Char Char Char Char Char Char Char Char Char Char Char Char Char1"/>
    <w:basedOn w:val="1"/>
    <w:autoRedefine/>
    <w:qFormat/>
    <w:uiPriority w:val="99"/>
    <w:pPr>
      <w:widowControl/>
      <w:adjustRightInd/>
      <w:snapToGrid/>
      <w:spacing w:line="440" w:lineRule="exact"/>
    </w:pPr>
    <w:rPr>
      <w:rFonts w:ascii="宋体" w:hAnsi="Calibri"/>
      <w:kern w:val="0"/>
    </w:rPr>
  </w:style>
  <w:style w:type="paragraph" w:customStyle="1" w:styleId="1252">
    <w:name w:val="样式 样式 标题 2标题节标题 2 Char Char + 段前: 2 行 + 段前: 0.5 行 段后: 0.5 行1"/>
    <w:basedOn w:val="1224"/>
    <w:autoRedefine/>
    <w:qFormat/>
    <w:uiPriority w:val="99"/>
  </w:style>
  <w:style w:type="paragraph" w:customStyle="1" w:styleId="1253">
    <w:name w:val="样式 样式 标题 3 + Times New Roman + 段前: 1 行 段后: 1 行"/>
    <w:basedOn w:val="1"/>
    <w:autoRedefine/>
    <w:qFormat/>
    <w:uiPriority w:val="99"/>
    <w:pPr>
      <w:keepNext/>
      <w:keepLines/>
      <w:widowControl/>
      <w:tabs>
        <w:tab w:val="left" w:pos="280"/>
        <w:tab w:val="left" w:pos="1931"/>
      </w:tabs>
      <w:spacing w:beforeLines="100" w:afterLines="100" w:line="440" w:lineRule="exact"/>
      <w:ind w:left="1418" w:hanging="567"/>
      <w:outlineLvl w:val="2"/>
    </w:pPr>
    <w:rPr>
      <w:rFonts w:ascii="宋体" w:hAnsi="Calibri" w:eastAsia="黑体" w:cs="宋体"/>
      <w:kern w:val="0"/>
      <w:sz w:val="30"/>
    </w:rPr>
  </w:style>
  <w:style w:type="paragraph" w:customStyle="1" w:styleId="1254">
    <w:name w:val="表头格式"/>
    <w:basedOn w:val="1"/>
    <w:autoRedefine/>
    <w:qFormat/>
    <w:uiPriority w:val="99"/>
    <w:pPr>
      <w:widowControl/>
      <w:adjustRightInd/>
      <w:snapToGrid/>
      <w:spacing w:beforeLines="50" w:line="360" w:lineRule="exact"/>
      <w:jc w:val="center"/>
    </w:pPr>
    <w:rPr>
      <w:rFonts w:ascii="宋体" w:hAnsi="Calibri" w:eastAsia="方正黑体简体"/>
      <w:kern w:val="0"/>
    </w:rPr>
  </w:style>
  <w:style w:type="paragraph" w:customStyle="1" w:styleId="1255">
    <w:name w:val="样式 样式 样式1 + 首行缩进:  2 字符 + 首行缩进:  2 字符"/>
    <w:basedOn w:val="1"/>
    <w:autoRedefine/>
    <w:qFormat/>
    <w:uiPriority w:val="0"/>
    <w:pPr>
      <w:widowControl/>
      <w:tabs>
        <w:tab w:val="left" w:pos="2265"/>
        <w:tab w:val="left" w:pos="3075"/>
      </w:tabs>
      <w:adjustRightInd/>
      <w:snapToGrid/>
      <w:spacing w:line="360" w:lineRule="auto"/>
      <w:jc w:val="center"/>
    </w:pPr>
    <w:rPr>
      <w:rFonts w:ascii="宋体" w:hAnsi="宋体" w:cs="宋体"/>
      <w:kern w:val="0"/>
    </w:rPr>
  </w:style>
  <w:style w:type="paragraph" w:customStyle="1" w:styleId="1256">
    <w:name w:val="正文+加粗"/>
    <w:basedOn w:val="1"/>
    <w:autoRedefine/>
    <w:qFormat/>
    <w:uiPriority w:val="99"/>
    <w:pPr>
      <w:widowControl/>
      <w:adjustRightInd/>
      <w:snapToGrid/>
      <w:spacing w:line="500" w:lineRule="exact"/>
    </w:pPr>
    <w:rPr>
      <w:rFonts w:ascii="宋体" w:hAnsi="Calibri"/>
      <w:b/>
      <w:kern w:val="0"/>
    </w:rPr>
  </w:style>
  <w:style w:type="paragraph" w:customStyle="1" w:styleId="1257">
    <w:name w:val="11号线正文缩进4字符"/>
    <w:basedOn w:val="1"/>
    <w:autoRedefine/>
    <w:qFormat/>
    <w:uiPriority w:val="99"/>
    <w:pPr>
      <w:widowControl/>
      <w:adjustRightInd/>
      <w:snapToGrid/>
      <w:spacing w:line="500" w:lineRule="exact"/>
      <w:ind w:left="200" w:leftChars="200"/>
    </w:pPr>
    <w:rPr>
      <w:rFonts w:ascii="宋体" w:hAnsi="宋体" w:cs="宋体"/>
      <w:kern w:val="0"/>
      <w:sz w:val="28"/>
      <w:szCs w:val="28"/>
    </w:rPr>
  </w:style>
  <w:style w:type="paragraph" w:customStyle="1" w:styleId="1258">
    <w:name w:val="文本框1"/>
    <w:basedOn w:val="1"/>
    <w:autoRedefine/>
    <w:qFormat/>
    <w:uiPriority w:val="99"/>
    <w:pPr>
      <w:widowControl/>
      <w:adjustRightInd/>
      <w:snapToGrid/>
      <w:spacing w:after="60" w:line="340" w:lineRule="atLeast"/>
      <w:ind w:firstLine="567"/>
    </w:pPr>
    <w:rPr>
      <w:rFonts w:ascii="宋体" w:hAnsi="宋体"/>
      <w:kern w:val="0"/>
      <w:sz w:val="28"/>
    </w:rPr>
  </w:style>
  <w:style w:type="paragraph" w:customStyle="1" w:styleId="1259">
    <w:name w:val="编号(1)"/>
    <w:basedOn w:val="1"/>
    <w:autoRedefine/>
    <w:qFormat/>
    <w:uiPriority w:val="99"/>
    <w:pPr>
      <w:widowControl/>
      <w:tabs>
        <w:tab w:val="left" w:pos="547"/>
        <w:tab w:val="left" w:pos="907"/>
        <w:tab w:val="left" w:pos="1080"/>
      </w:tabs>
      <w:adjustRightInd/>
      <w:snapToGrid/>
      <w:spacing w:line="480" w:lineRule="atLeast"/>
      <w:ind w:firstLine="547"/>
    </w:pPr>
    <w:rPr>
      <w:rFonts w:ascii="宋体" w:hAnsi="Calibri"/>
      <w:kern w:val="0"/>
    </w:rPr>
  </w:style>
  <w:style w:type="paragraph" w:customStyle="1" w:styleId="1260">
    <w:name w:val="Char Char Char Char Char1 Char"/>
    <w:basedOn w:val="1"/>
    <w:autoRedefine/>
    <w:qFormat/>
    <w:uiPriority w:val="99"/>
    <w:pPr>
      <w:widowControl/>
      <w:snapToGrid/>
      <w:spacing w:line="360" w:lineRule="auto"/>
    </w:pPr>
    <w:rPr>
      <w:rFonts w:ascii="宋体" w:hAnsi="Calibri" w:eastAsia="黑体"/>
      <w:spacing w:val="20"/>
      <w:kern w:val="0"/>
      <w:sz w:val="32"/>
      <w:szCs w:val="32"/>
    </w:rPr>
  </w:style>
  <w:style w:type="paragraph" w:customStyle="1" w:styleId="1261">
    <w:name w:val="样式 标题 1 + 段前: 0.5 行 段后: 0.5 行"/>
    <w:basedOn w:val="3"/>
    <w:autoRedefine/>
    <w:qFormat/>
    <w:uiPriority w:val="0"/>
    <w:pPr>
      <w:widowControl/>
      <w:numPr>
        <w:numId w:val="0"/>
      </w:numPr>
      <w:tabs>
        <w:tab w:val="left" w:pos="425"/>
      </w:tabs>
      <w:spacing w:beforeLines="100" w:afterLines="100" w:line="240" w:lineRule="auto"/>
      <w:jc w:val="center"/>
    </w:pPr>
    <w:rPr>
      <w:rFonts w:ascii="微软雅黑" w:hAnsi="微软雅黑" w:eastAsia="黑体" w:cs="宋体"/>
      <w:b w:val="0"/>
      <w:bCs w:val="0"/>
      <w:kern w:val="0"/>
      <w:sz w:val="32"/>
      <w:szCs w:val="20"/>
    </w:rPr>
  </w:style>
  <w:style w:type="paragraph" w:customStyle="1" w:styleId="1262">
    <w:name w:val="样式 样式 四号 + 首行缩进:  2 字符"/>
    <w:basedOn w:val="1"/>
    <w:autoRedefine/>
    <w:qFormat/>
    <w:uiPriority w:val="99"/>
    <w:pPr>
      <w:widowControl/>
      <w:adjustRightInd/>
      <w:snapToGrid/>
      <w:spacing w:line="240" w:lineRule="atLeast"/>
    </w:pPr>
    <w:rPr>
      <w:rFonts w:ascii="宋体" w:hAnsi="Calibri" w:cs="宋体"/>
      <w:kern w:val="0"/>
      <w:sz w:val="28"/>
    </w:rPr>
  </w:style>
  <w:style w:type="paragraph" w:customStyle="1" w:styleId="1263">
    <w:name w:val="样式 标题 1一、1.标题 1 + (西文) 昆仑黑体"/>
    <w:basedOn w:val="3"/>
    <w:autoRedefine/>
    <w:qFormat/>
    <w:uiPriority w:val="99"/>
    <w:pPr>
      <w:widowControl/>
      <w:numPr>
        <w:numId w:val="0"/>
      </w:numPr>
      <w:tabs>
        <w:tab w:val="left" w:pos="1200"/>
      </w:tabs>
      <w:spacing w:beforeLines="100" w:afterLines="100" w:line="240" w:lineRule="auto"/>
      <w:ind w:left="1200" w:hanging="720"/>
      <w:jc w:val="center"/>
    </w:pPr>
    <w:rPr>
      <w:rFonts w:ascii="昆仑黑体" w:hAnsi="昆仑黑体" w:eastAsia="黑体"/>
      <w:b w:val="0"/>
      <w:bCs w:val="0"/>
      <w:kern w:val="0"/>
      <w:sz w:val="32"/>
      <w:szCs w:val="20"/>
    </w:rPr>
  </w:style>
  <w:style w:type="paragraph" w:customStyle="1" w:styleId="1264">
    <w:name w:val="样式 标题 3 + (符号) 宋体"/>
    <w:basedOn w:val="5"/>
    <w:autoRedefine/>
    <w:qFormat/>
    <w:uiPriority w:val="99"/>
    <w:pPr>
      <w:widowControl/>
      <w:numPr>
        <w:ilvl w:val="0"/>
        <w:numId w:val="0"/>
      </w:numPr>
      <w:tabs>
        <w:tab w:val="left" w:pos="425"/>
        <w:tab w:val="left" w:pos="720"/>
      </w:tabs>
      <w:adjustRightInd/>
      <w:spacing w:before="120" w:afterLines="50" w:line="440" w:lineRule="exact"/>
      <w:ind w:left="720" w:hanging="720"/>
    </w:pPr>
    <w:rPr>
      <w:rFonts w:ascii="Arial" w:hAnsi="Arial"/>
      <w:b w:val="0"/>
      <w:sz w:val="28"/>
      <w:szCs w:val="28"/>
    </w:rPr>
  </w:style>
  <w:style w:type="paragraph" w:customStyle="1" w:styleId="1265">
    <w:name w:val="样式 样式 表名 + 段后: 0.5 行 + 段后: 0.2 行"/>
    <w:basedOn w:val="1"/>
    <w:autoRedefine/>
    <w:qFormat/>
    <w:uiPriority w:val="99"/>
    <w:pPr>
      <w:widowControl/>
      <w:adjustRightInd/>
      <w:snapToGrid/>
      <w:spacing w:before="120" w:afterLines="20" w:line="360" w:lineRule="auto"/>
      <w:jc w:val="center"/>
    </w:pPr>
    <w:rPr>
      <w:rFonts w:ascii="Arial" w:hAnsi="Arial" w:eastAsia="仿宋_GB2312" w:cs="宋体"/>
      <w:b/>
      <w:bCs/>
      <w:kern w:val="0"/>
    </w:rPr>
  </w:style>
  <w:style w:type="paragraph" w:customStyle="1" w:styleId="1266">
    <w:name w:val="文本框"/>
    <w:basedOn w:val="1"/>
    <w:autoRedefine/>
    <w:qFormat/>
    <w:uiPriority w:val="0"/>
    <w:pPr>
      <w:widowControl/>
      <w:spacing w:after="6" w:line="440" w:lineRule="exact"/>
      <w:jc w:val="center"/>
    </w:pPr>
    <w:rPr>
      <w:rFonts w:ascii="宋体" w:hAnsi="Calibri" w:eastAsia="仿宋_GB2312"/>
      <w:bCs/>
      <w:kern w:val="0"/>
    </w:rPr>
  </w:style>
  <w:style w:type="paragraph" w:customStyle="1" w:styleId="1267">
    <w:name w:val="文本正文"/>
    <w:basedOn w:val="1"/>
    <w:autoRedefine/>
    <w:qFormat/>
    <w:uiPriority w:val="0"/>
    <w:pPr>
      <w:adjustRightInd/>
      <w:spacing w:line="240" w:lineRule="auto"/>
      <w:ind w:firstLine="0" w:firstLineChars="0"/>
      <w:jc w:val="center"/>
    </w:pPr>
    <w:rPr>
      <w:rFonts w:hAnsi="宋体"/>
      <w:sz w:val="21"/>
      <w:szCs w:val="21"/>
    </w:rPr>
  </w:style>
  <w:style w:type="paragraph" w:customStyle="1" w:styleId="1268">
    <w:name w:val="acee正文"/>
    <w:basedOn w:val="1"/>
    <w:autoRedefine/>
    <w:qFormat/>
    <w:uiPriority w:val="99"/>
    <w:pPr>
      <w:widowControl/>
      <w:adjustRightInd/>
      <w:snapToGrid/>
      <w:ind w:firstLine="640"/>
    </w:pPr>
    <w:rPr>
      <w:rFonts w:ascii="仿宋_GB2312" w:hAnsi="宋体" w:eastAsia="仿宋_GB2312"/>
      <w:kern w:val="0"/>
      <w:sz w:val="32"/>
    </w:rPr>
  </w:style>
  <w:style w:type="paragraph" w:customStyle="1" w:styleId="1269">
    <w:name w:val="环评标题三级"/>
    <w:basedOn w:val="4"/>
    <w:autoRedefine/>
    <w:qFormat/>
    <w:uiPriority w:val="0"/>
    <w:pPr>
      <w:widowControl/>
      <w:numPr>
        <w:ilvl w:val="0"/>
        <w:numId w:val="0"/>
      </w:numPr>
      <w:tabs>
        <w:tab w:val="left" w:pos="4990"/>
      </w:tabs>
      <w:adjustRightInd/>
      <w:snapToGrid/>
      <w:spacing w:before="163" w:afterLines="50" w:line="360" w:lineRule="exact"/>
      <w:ind w:left="431"/>
      <w:outlineLvl w:val="2"/>
    </w:pPr>
    <w:rPr>
      <w:rFonts w:eastAsia="华文中宋"/>
      <w:color w:val="4F81BD"/>
      <w:kern w:val="0"/>
      <w:szCs w:val="26"/>
      <w:lang w:eastAsia="en-US"/>
    </w:rPr>
  </w:style>
  <w:style w:type="paragraph" w:customStyle="1" w:styleId="1270">
    <w:name w:val="MFS正文 Char Char"/>
    <w:basedOn w:val="649"/>
    <w:autoRedefine/>
    <w:qFormat/>
    <w:uiPriority w:val="0"/>
    <w:pPr>
      <w:adjustRightInd w:val="0"/>
      <w:snapToGrid w:val="0"/>
      <w:spacing w:before="93" w:line="360" w:lineRule="auto"/>
      <w:ind w:firstLine="487" w:firstLineChars="200"/>
    </w:pPr>
    <w:rPr>
      <w:rFonts w:eastAsia="楷体_GB2312"/>
      <w:sz w:val="24"/>
    </w:rPr>
  </w:style>
  <w:style w:type="paragraph" w:customStyle="1" w:styleId="1271">
    <w:name w:val="xl23"/>
    <w:basedOn w:val="1"/>
    <w:autoRedefine/>
    <w:qFormat/>
    <w:uiPriority w:val="0"/>
    <w:pPr>
      <w:widowControl/>
      <w:adjustRightInd/>
      <w:snapToGrid/>
      <w:spacing w:before="100" w:beforeAutospacing="1" w:after="100" w:afterAutospacing="1" w:line="440" w:lineRule="exact"/>
      <w:jc w:val="center"/>
    </w:pPr>
    <w:rPr>
      <w:rFonts w:ascii="宋体" w:hAnsi="宋体" w:cs="宋体"/>
      <w:kern w:val="0"/>
      <w:sz w:val="20"/>
    </w:rPr>
  </w:style>
  <w:style w:type="paragraph" w:customStyle="1" w:styleId="1272">
    <w:name w:val="表名/图名"/>
    <w:basedOn w:val="1"/>
    <w:autoRedefine/>
    <w:qFormat/>
    <w:uiPriority w:val="99"/>
    <w:pPr>
      <w:snapToGrid/>
      <w:spacing w:line="240" w:lineRule="atLeast"/>
      <w:ind w:firstLine="210" w:firstLineChars="0"/>
      <w:jc w:val="center"/>
      <w:textAlignment w:val="baseline"/>
    </w:pPr>
    <w:rPr>
      <w:rFonts w:ascii="宋体" w:hAnsi="宋体"/>
      <w:b/>
      <w:kern w:val="0"/>
      <w:sz w:val="21"/>
      <w:szCs w:val="21"/>
    </w:rPr>
  </w:style>
  <w:style w:type="paragraph" w:customStyle="1" w:styleId="1273">
    <w:name w:val="样式 样式 样式 表格样式 + 五号 + +"/>
    <w:basedOn w:val="1"/>
    <w:autoRedefine/>
    <w:qFormat/>
    <w:uiPriority w:val="99"/>
    <w:pPr>
      <w:widowControl/>
      <w:spacing w:line="440" w:lineRule="exact"/>
      <w:jc w:val="center"/>
      <w:textAlignment w:val="baseline"/>
    </w:pPr>
    <w:rPr>
      <w:rFonts w:ascii="Arial" w:hAnsi="Arial"/>
      <w:kern w:val="0"/>
    </w:rPr>
  </w:style>
  <w:style w:type="paragraph" w:customStyle="1" w:styleId="1274">
    <w:name w:val="样式 正文首行缩进 2 + 首行缩进:  2 字符"/>
    <w:basedOn w:val="699"/>
    <w:autoRedefine/>
    <w:qFormat/>
    <w:uiPriority w:val="99"/>
    <w:pPr>
      <w:spacing w:after="0" w:line="360" w:lineRule="auto"/>
      <w:ind w:left="0" w:leftChars="0" w:firstLine="480"/>
    </w:pPr>
    <w:rPr>
      <w:rFonts w:cs="宋体"/>
      <w:szCs w:val="20"/>
    </w:rPr>
  </w:style>
  <w:style w:type="paragraph" w:customStyle="1" w:styleId="1275">
    <w:name w:val="1.1.1 标题"/>
    <w:basedOn w:val="1"/>
    <w:autoRedefine/>
    <w:qFormat/>
    <w:uiPriority w:val="99"/>
    <w:pPr>
      <w:keepNext/>
      <w:keepLines/>
      <w:spacing w:line="460" w:lineRule="exact"/>
      <w:ind w:firstLine="482"/>
      <w:outlineLvl w:val="2"/>
    </w:pPr>
    <w:rPr>
      <w:rFonts w:ascii="Arial" w:hAnsi="Arial" w:eastAsia="黑体" w:cs="Arial"/>
      <w:b/>
      <w:bCs/>
      <w:snapToGrid w:val="0"/>
      <w:color w:val="000000"/>
      <w:szCs w:val="24"/>
    </w:rPr>
  </w:style>
  <w:style w:type="paragraph" w:customStyle="1" w:styleId="1276">
    <w:name w:val="表格文本：5+居中+单倍行距"/>
    <w:basedOn w:val="1"/>
    <w:autoRedefine/>
    <w:qFormat/>
    <w:uiPriority w:val="99"/>
    <w:pPr>
      <w:widowControl/>
      <w:spacing w:beforeLines="50" w:line="440" w:lineRule="exact"/>
      <w:jc w:val="center"/>
      <w:textAlignment w:val="center"/>
    </w:pPr>
    <w:rPr>
      <w:rFonts w:ascii="宋体" w:hAnsi="Calibri" w:cs="宋体"/>
      <w:kern w:val="0"/>
      <w:szCs w:val="21"/>
    </w:rPr>
  </w:style>
  <w:style w:type="paragraph" w:customStyle="1" w:styleId="1277">
    <w:name w:val="Char Char Char1 Char Char Char Char"/>
    <w:basedOn w:val="1"/>
    <w:autoRedefine/>
    <w:qFormat/>
    <w:uiPriority w:val="0"/>
    <w:pPr>
      <w:widowControl/>
      <w:spacing w:line="360" w:lineRule="auto"/>
    </w:pPr>
    <w:rPr>
      <w:rFonts w:ascii="宋体" w:hAnsi="宋体" w:cs="宋体"/>
      <w:kern w:val="0"/>
      <w:szCs w:val="26"/>
    </w:rPr>
  </w:style>
  <w:style w:type="paragraph" w:customStyle="1" w:styleId="1278">
    <w:name w:val="样式 正文段落青岛 + 首行缩进:  2 字符"/>
    <w:basedOn w:val="1279"/>
    <w:autoRedefine/>
    <w:qFormat/>
    <w:uiPriority w:val="99"/>
    <w:pPr>
      <w:spacing w:beforeLines="50" w:after="156" w:line="360" w:lineRule="auto"/>
      <w:ind w:firstLine="0" w:firstLineChars="0"/>
      <w:jc w:val="both"/>
    </w:pPr>
    <w:rPr>
      <w:rFonts w:ascii="宋体" w:hAnsi="宋体" w:cs="宋体"/>
      <w:sz w:val="24"/>
      <w:szCs w:val="24"/>
    </w:rPr>
  </w:style>
  <w:style w:type="paragraph" w:customStyle="1" w:styleId="1279">
    <w:name w:val="正文段落青岛"/>
    <w:autoRedefine/>
    <w:qFormat/>
    <w:uiPriority w:val="99"/>
    <w:pPr>
      <w:spacing w:after="200" w:line="520" w:lineRule="exact"/>
      <w:ind w:firstLine="200" w:firstLineChars="200"/>
    </w:pPr>
    <w:rPr>
      <w:rFonts w:ascii="Times New Roman" w:hAnsi="Times New Roman" w:eastAsia="宋体" w:cs="Times New Roman"/>
      <w:sz w:val="28"/>
      <w:szCs w:val="28"/>
      <w:lang w:val="en-US" w:eastAsia="zh-CN" w:bidi="ar-SA"/>
    </w:rPr>
  </w:style>
  <w:style w:type="paragraph" w:customStyle="1" w:styleId="1280">
    <w:name w:val="首行缩进 Char Char Char"/>
    <w:basedOn w:val="1"/>
    <w:autoRedefine/>
    <w:qFormat/>
    <w:uiPriority w:val="99"/>
    <w:pPr>
      <w:widowControl/>
      <w:adjustRightInd/>
      <w:spacing w:line="360" w:lineRule="auto"/>
      <w:ind w:firstLine="499"/>
    </w:pPr>
    <w:rPr>
      <w:rFonts w:ascii="宋体" w:hAnsi="Calibri"/>
      <w:kern w:val="0"/>
    </w:rPr>
  </w:style>
  <w:style w:type="paragraph" w:customStyle="1" w:styleId="1281">
    <w:name w:val="表头[BT]"/>
    <w:basedOn w:val="1"/>
    <w:autoRedefine/>
    <w:qFormat/>
    <w:uiPriority w:val="99"/>
    <w:pPr>
      <w:widowControl/>
      <w:snapToGrid/>
      <w:spacing w:before="120" w:after="120" w:line="440" w:lineRule="exact"/>
      <w:jc w:val="center"/>
      <w:textAlignment w:val="baseline"/>
    </w:pPr>
    <w:rPr>
      <w:rFonts w:ascii="楷体_GB2312" w:hAnsi="Calibri" w:eastAsia="楷体_GB2312"/>
      <w:kern w:val="0"/>
    </w:rPr>
  </w:style>
  <w:style w:type="paragraph" w:customStyle="1" w:styleId="1282">
    <w:name w:val="，"/>
    <w:basedOn w:val="1"/>
    <w:autoRedefine/>
    <w:qFormat/>
    <w:uiPriority w:val="99"/>
    <w:pPr>
      <w:widowControl/>
      <w:adjustRightInd/>
      <w:snapToGrid/>
      <w:spacing w:line="440" w:lineRule="exact"/>
    </w:pPr>
    <w:rPr>
      <w:rFonts w:ascii="宋体" w:hAnsi="Calibri"/>
      <w:kern w:val="0"/>
      <w:sz w:val="28"/>
    </w:rPr>
  </w:style>
  <w:style w:type="paragraph" w:customStyle="1" w:styleId="1283">
    <w:name w:val="表格文本：5+两端对齐+单倍行距"/>
    <w:basedOn w:val="1276"/>
    <w:autoRedefine/>
    <w:qFormat/>
    <w:uiPriority w:val="99"/>
    <w:pPr>
      <w:jc w:val="both"/>
    </w:pPr>
  </w:style>
  <w:style w:type="paragraph" w:customStyle="1" w:styleId="1284">
    <w:name w:val="样式 样式 样式 样式 样式 标题 21标题21 Char标题 2 Char Char + Times New Roman 段前...2"/>
    <w:basedOn w:val="1"/>
    <w:autoRedefine/>
    <w:qFormat/>
    <w:uiPriority w:val="99"/>
    <w:pPr>
      <w:keepNext/>
      <w:keepLines/>
      <w:widowControl/>
      <w:tabs>
        <w:tab w:val="left" w:pos="992"/>
      </w:tabs>
      <w:adjustRightInd/>
      <w:snapToGrid/>
      <w:spacing w:beforeLines="50" w:afterLines="50" w:line="440" w:lineRule="exact"/>
      <w:outlineLvl w:val="1"/>
    </w:pPr>
    <w:rPr>
      <w:rFonts w:ascii="宋体" w:hAnsi="Calibri" w:eastAsia="黑体" w:cs="宋体"/>
      <w:kern w:val="0"/>
      <w:sz w:val="30"/>
    </w:rPr>
  </w:style>
  <w:style w:type="paragraph" w:customStyle="1" w:styleId="1285">
    <w:name w:val="样式 样式 标题 3 + 段后: 0.5 行 + 段后: 0.5 行"/>
    <w:basedOn w:val="1"/>
    <w:autoRedefine/>
    <w:qFormat/>
    <w:uiPriority w:val="99"/>
    <w:pPr>
      <w:keepNext/>
      <w:keepLines/>
      <w:widowControl/>
      <w:adjustRightInd/>
      <w:snapToGrid/>
      <w:spacing w:line="360" w:lineRule="auto"/>
      <w:outlineLvl w:val="2"/>
    </w:pPr>
    <w:rPr>
      <w:rFonts w:ascii="宋体" w:hAnsi="Calibri" w:eastAsia="黑体" w:cs="宋体"/>
      <w:kern w:val="0"/>
      <w:sz w:val="28"/>
    </w:rPr>
  </w:style>
  <w:style w:type="paragraph" w:customStyle="1" w:styleId="1286">
    <w:name w:val="样式 样式 标题 21 + 段前: 1 行 段后: 1 行 + 段前: 1 行 段后: 1 行"/>
    <w:basedOn w:val="1"/>
    <w:autoRedefine/>
    <w:qFormat/>
    <w:uiPriority w:val="99"/>
    <w:pPr>
      <w:keepNext/>
      <w:keepLines/>
      <w:widowControl/>
      <w:tabs>
        <w:tab w:val="left" w:pos="280"/>
        <w:tab w:val="left" w:pos="648"/>
        <w:tab w:val="left" w:pos="992"/>
      </w:tabs>
      <w:adjustRightInd/>
      <w:snapToGrid/>
      <w:spacing w:beforeLines="50" w:afterLines="50" w:line="360" w:lineRule="auto"/>
      <w:ind w:left="578" w:hanging="578"/>
      <w:outlineLvl w:val="1"/>
    </w:pPr>
    <w:rPr>
      <w:rFonts w:ascii="宋体" w:hAnsi="Calibri" w:eastAsia="黑体" w:cs="宋体"/>
      <w:kern w:val="0"/>
      <w:sz w:val="32"/>
      <w:szCs w:val="32"/>
    </w:rPr>
  </w:style>
  <w:style w:type="paragraph" w:customStyle="1" w:styleId="1287">
    <w:name w:val="样式 宋体 四号 行距: 1.5 倍行距"/>
    <w:basedOn w:val="1"/>
    <w:autoRedefine/>
    <w:qFormat/>
    <w:uiPriority w:val="0"/>
    <w:pPr>
      <w:widowControl/>
      <w:adjustRightInd/>
      <w:snapToGrid/>
      <w:spacing w:afterLines="50" w:line="360" w:lineRule="auto"/>
      <w:ind w:firstLine="560"/>
    </w:pPr>
    <w:rPr>
      <w:rFonts w:ascii="宋体" w:hAnsi="宋体" w:cs="宋体"/>
      <w:kern w:val="0"/>
      <w:sz w:val="28"/>
      <w:szCs w:val="28"/>
    </w:rPr>
  </w:style>
  <w:style w:type="paragraph" w:customStyle="1" w:styleId="1288">
    <w:name w:val="样式 标题 4 + (中文) 宋体"/>
    <w:basedOn w:val="6"/>
    <w:autoRedefine/>
    <w:qFormat/>
    <w:uiPriority w:val="99"/>
    <w:pPr>
      <w:widowControl/>
      <w:numPr>
        <w:ilvl w:val="0"/>
        <w:numId w:val="0"/>
      </w:numPr>
      <w:tabs>
        <w:tab w:val="left" w:pos="1271"/>
      </w:tabs>
      <w:adjustRightInd/>
      <w:snapToGrid/>
      <w:spacing w:before="200" w:after="156" w:line="377" w:lineRule="auto"/>
      <w:ind w:left="1271" w:hanging="851"/>
      <w:jc w:val="both"/>
    </w:pPr>
    <w:rPr>
      <w:rFonts w:ascii="Arial" w:hAnsi="Arial"/>
      <w:b w:val="0"/>
      <w:kern w:val="0"/>
      <w:szCs w:val="24"/>
      <w:shd w:val="clear" w:color="auto" w:fill="FFFFFF"/>
    </w:rPr>
  </w:style>
  <w:style w:type="paragraph" w:customStyle="1" w:styleId="1289">
    <w:name w:val="样式 样式 四号 黑色 + 首行缩进:  2 字符1"/>
    <w:basedOn w:val="933"/>
    <w:autoRedefine/>
    <w:qFormat/>
    <w:uiPriority w:val="99"/>
    <w:rPr>
      <w:szCs w:val="20"/>
    </w:rPr>
  </w:style>
  <w:style w:type="paragraph" w:customStyle="1" w:styleId="1290">
    <w:name w:val="表下注释"/>
    <w:basedOn w:val="284"/>
    <w:autoRedefine/>
    <w:qFormat/>
    <w:uiPriority w:val="0"/>
    <w:pPr>
      <w:keepNext/>
      <w:keepLines/>
      <w:widowControl/>
      <w:adjustRightInd w:val="0"/>
      <w:snapToGrid w:val="0"/>
      <w:spacing w:line="240" w:lineRule="exact"/>
      <w:jc w:val="center"/>
    </w:pPr>
    <w:rPr>
      <w:rFonts w:ascii="Calibri"/>
      <w:bCs/>
      <w:color w:val="000000"/>
      <w:kern w:val="44"/>
      <w:sz w:val="21"/>
      <w:szCs w:val="44"/>
    </w:rPr>
  </w:style>
  <w:style w:type="paragraph" w:customStyle="1" w:styleId="1291">
    <w:name w:val="图文框"/>
    <w:basedOn w:val="1"/>
    <w:autoRedefine/>
    <w:qFormat/>
    <w:uiPriority w:val="0"/>
    <w:pPr>
      <w:widowControl/>
      <w:autoSpaceDE w:val="0"/>
      <w:autoSpaceDN w:val="0"/>
      <w:spacing w:line="320" w:lineRule="exact"/>
      <w:jc w:val="center"/>
      <w:textAlignment w:val="baseline"/>
    </w:pPr>
    <w:rPr>
      <w:rFonts w:ascii="宋体" w:hAnsi="Calibri" w:eastAsia="仿宋_GB2312"/>
      <w:kern w:val="0"/>
    </w:rPr>
  </w:style>
  <w:style w:type="paragraph" w:customStyle="1" w:styleId="1292">
    <w:name w:val="图样式"/>
    <w:next w:val="1"/>
    <w:autoRedefine/>
    <w:qFormat/>
    <w:uiPriority w:val="99"/>
    <w:pPr>
      <w:spacing w:after="200" w:line="276" w:lineRule="auto"/>
      <w:jc w:val="center"/>
    </w:pPr>
    <w:rPr>
      <w:rFonts w:ascii="Arial" w:hAnsi="Arial" w:eastAsia="宋体" w:cs="Times New Roman"/>
      <w:sz w:val="24"/>
      <w:lang w:val="en-US" w:eastAsia="zh-CN" w:bidi="ar-SA"/>
    </w:rPr>
  </w:style>
  <w:style w:type="paragraph" w:customStyle="1" w:styleId="1293">
    <w:name w:val="CM15"/>
    <w:basedOn w:val="151"/>
    <w:next w:val="151"/>
    <w:autoRedefine/>
    <w:qFormat/>
    <w:uiPriority w:val="0"/>
    <w:pPr>
      <w:spacing w:after="108" w:line="276" w:lineRule="auto"/>
    </w:pPr>
    <w:rPr>
      <w:rFonts w:ascii=".." w:eastAsia="Times New Roman" w:cs=".."/>
      <w:color w:val="auto"/>
    </w:rPr>
  </w:style>
  <w:style w:type="paragraph" w:customStyle="1" w:styleId="1294">
    <w:name w:val="内容"/>
    <w:basedOn w:val="1"/>
    <w:autoRedefine/>
    <w:qFormat/>
    <w:uiPriority w:val="0"/>
    <w:pPr>
      <w:widowControl/>
      <w:adjustRightInd/>
      <w:spacing w:line="360" w:lineRule="auto"/>
    </w:pPr>
    <w:rPr>
      <w:rFonts w:ascii="宋体" w:hAnsi="Calibri" w:cs="宋体"/>
      <w:kern w:val="0"/>
      <w:sz w:val="28"/>
      <w:szCs w:val="28"/>
    </w:rPr>
  </w:style>
  <w:style w:type="paragraph" w:customStyle="1" w:styleId="1295">
    <w:name w:val="样式 表中文字 + 段后: 0.5 行"/>
    <w:basedOn w:val="181"/>
    <w:autoRedefine/>
    <w:qFormat/>
    <w:uiPriority w:val="99"/>
    <w:pPr>
      <w:widowControl/>
      <w:snapToGrid/>
      <w:spacing w:line="340" w:lineRule="exact"/>
      <w:ind w:firstLine="200" w:firstLineChars="200"/>
    </w:pPr>
    <w:rPr>
      <w:rFonts w:ascii="Arial" w:hAnsi="Arial" w:eastAsia="仿宋_GB2312" w:cs="宋体"/>
      <w:kern w:val="0"/>
      <w:sz w:val="20"/>
      <w:szCs w:val="24"/>
      <w:lang w:eastAsia="zh-TW"/>
    </w:rPr>
  </w:style>
  <w:style w:type="paragraph" w:customStyle="1" w:styleId="1296">
    <w:name w:val="居中"/>
    <w:basedOn w:val="1"/>
    <w:autoRedefine/>
    <w:qFormat/>
    <w:uiPriority w:val="0"/>
    <w:pPr>
      <w:widowControl/>
      <w:adjustRightInd/>
      <w:snapToGrid/>
      <w:spacing w:line="440" w:lineRule="exact"/>
      <w:jc w:val="center"/>
    </w:pPr>
    <w:rPr>
      <w:rFonts w:ascii="宋体" w:hAnsi="Calibri" w:cs="宋体"/>
      <w:kern w:val="0"/>
    </w:rPr>
  </w:style>
  <w:style w:type="paragraph" w:customStyle="1" w:styleId="1297">
    <w:name w:val="样式 (符号) 宋体 小四 行距: 单倍行距"/>
    <w:basedOn w:val="1"/>
    <w:autoRedefine/>
    <w:qFormat/>
    <w:uiPriority w:val="99"/>
    <w:pPr>
      <w:widowControl/>
      <w:adjustRightInd/>
      <w:snapToGrid/>
      <w:spacing w:line="440" w:lineRule="exact"/>
      <w:ind w:firstLine="480"/>
    </w:pPr>
    <w:rPr>
      <w:rFonts w:ascii="宋体" w:hAnsi="宋体" w:cs="宋体"/>
      <w:kern w:val="0"/>
    </w:rPr>
  </w:style>
  <w:style w:type="paragraph" w:customStyle="1" w:styleId="1298">
    <w:name w:val="样式 样式 标题 3 + Arial 四号 左 段前: 6 磅 段后: 6 磅 行距: 多倍行距 1.73 字行 + (符号) ..."/>
    <w:basedOn w:val="1"/>
    <w:autoRedefine/>
    <w:qFormat/>
    <w:uiPriority w:val="99"/>
    <w:pPr>
      <w:keepNext/>
      <w:keepLines/>
      <w:widowControl/>
      <w:tabs>
        <w:tab w:val="left" w:pos="1440"/>
      </w:tabs>
      <w:adjustRightInd/>
      <w:snapToGrid/>
      <w:spacing w:before="120" w:after="120" w:line="415" w:lineRule="auto"/>
      <w:ind w:left="1440" w:hanging="720"/>
      <w:outlineLvl w:val="2"/>
    </w:pPr>
    <w:rPr>
      <w:rFonts w:ascii="Arial" w:hAnsi="Arial" w:cs="宋体"/>
      <w:b/>
      <w:bCs/>
      <w:kern w:val="0"/>
      <w:sz w:val="28"/>
      <w:szCs w:val="28"/>
    </w:rPr>
  </w:style>
  <w:style w:type="paragraph" w:customStyle="1" w:styleId="1299">
    <w:name w:val="正文版本"/>
    <w:basedOn w:val="1"/>
    <w:autoRedefine/>
    <w:qFormat/>
    <w:uiPriority w:val="99"/>
    <w:pPr>
      <w:widowControl/>
      <w:autoSpaceDE w:val="0"/>
      <w:autoSpaceDN w:val="0"/>
      <w:snapToGrid/>
      <w:spacing w:afterLines="50" w:line="300" w:lineRule="auto"/>
      <w:ind w:firstLine="480"/>
    </w:pPr>
    <w:rPr>
      <w:rFonts w:ascii="宋体" w:hAnsi="Calibri"/>
      <w:kern w:val="0"/>
      <w:lang w:val="zh-CN"/>
    </w:rPr>
  </w:style>
  <w:style w:type="paragraph" w:customStyle="1" w:styleId="1300">
    <w:name w:val="正文格式"/>
    <w:basedOn w:val="1"/>
    <w:link w:val="2505"/>
    <w:autoRedefine/>
    <w:qFormat/>
    <w:uiPriority w:val="0"/>
    <w:pPr>
      <w:widowControl/>
      <w:adjustRightInd/>
      <w:snapToGrid/>
      <w:spacing w:line="360" w:lineRule="auto"/>
      <w:ind w:firstLine="482"/>
    </w:pPr>
    <w:rPr>
      <w:rFonts w:ascii="宋体" w:hAnsi="Calibri" w:cs="宋体"/>
      <w:kern w:val="0"/>
    </w:rPr>
  </w:style>
  <w:style w:type="paragraph" w:customStyle="1" w:styleId="1301">
    <w:name w:val="Char Char Char Char Char Char Char Char Char Char1"/>
    <w:basedOn w:val="1"/>
    <w:autoRedefine/>
    <w:qFormat/>
    <w:uiPriority w:val="0"/>
    <w:pPr>
      <w:widowControl/>
      <w:adjustRightInd/>
      <w:spacing w:line="360" w:lineRule="auto"/>
    </w:pPr>
    <w:rPr>
      <w:rFonts w:ascii="宋体" w:hAnsi="Calibri"/>
      <w:kern w:val="0"/>
    </w:rPr>
  </w:style>
  <w:style w:type="paragraph" w:customStyle="1" w:styleId="1302">
    <w:name w:val="样式 正文文本缩进 + 段后: 2.4 磅"/>
    <w:basedOn w:val="694"/>
    <w:autoRedefine/>
    <w:qFormat/>
    <w:uiPriority w:val="99"/>
    <w:pPr>
      <w:adjustRightInd w:val="0"/>
      <w:spacing w:after="4" w:line="300" w:lineRule="auto"/>
      <w:ind w:left="0" w:leftChars="0" w:firstLine="482" w:firstLineChars="0"/>
      <w:textAlignment w:val="baseline"/>
    </w:pPr>
    <w:rPr>
      <w:rFonts w:cs="宋体"/>
      <w:szCs w:val="20"/>
    </w:rPr>
  </w:style>
  <w:style w:type="paragraph" w:customStyle="1" w:styleId="1303">
    <w:name w:val="样式 标题 3 +"/>
    <w:basedOn w:val="5"/>
    <w:autoRedefine/>
    <w:qFormat/>
    <w:uiPriority w:val="0"/>
    <w:pPr>
      <w:widowControl/>
      <w:numPr>
        <w:ilvl w:val="0"/>
        <w:numId w:val="0"/>
      </w:numPr>
      <w:tabs>
        <w:tab w:val="left" w:pos="709"/>
      </w:tabs>
      <w:adjustRightInd/>
      <w:spacing w:before="120" w:afterLines="50" w:line="440" w:lineRule="exact"/>
      <w:ind w:left="709" w:hanging="709"/>
    </w:pPr>
    <w:rPr>
      <w:rFonts w:ascii="Arial" w:hAnsi="Arial"/>
      <w:b w:val="0"/>
      <w:kern w:val="0"/>
      <w:sz w:val="28"/>
      <w:szCs w:val="28"/>
    </w:rPr>
  </w:style>
  <w:style w:type="paragraph" w:customStyle="1" w:styleId="1304">
    <w:name w:val="样式 样式 正文首行缩进 + 段前: 10.2 磅 行距: 固定值 18 磅 + 首行缩进:  2 字符"/>
    <w:basedOn w:val="1"/>
    <w:autoRedefine/>
    <w:qFormat/>
    <w:uiPriority w:val="99"/>
    <w:pPr>
      <w:widowControl/>
      <w:adjustRightInd/>
      <w:snapToGrid/>
      <w:spacing w:line="500" w:lineRule="exact"/>
      <w:ind w:firstLine="470" w:firstLineChars="196"/>
    </w:pPr>
    <w:rPr>
      <w:rFonts w:ascii="宋体" w:hAnsi="Calibri"/>
      <w:kern w:val="0"/>
    </w:rPr>
  </w:style>
  <w:style w:type="paragraph" w:customStyle="1" w:styleId="1305">
    <w:name w:val="hb3"/>
    <w:basedOn w:val="5"/>
    <w:autoRedefine/>
    <w:qFormat/>
    <w:uiPriority w:val="99"/>
    <w:pPr>
      <w:widowControl/>
      <w:numPr>
        <w:ilvl w:val="0"/>
        <w:numId w:val="0"/>
      </w:numPr>
      <w:tabs>
        <w:tab w:val="left" w:pos="1872"/>
      </w:tabs>
      <w:spacing w:before="360" w:after="180" w:line="240" w:lineRule="auto"/>
      <w:ind w:left="1872" w:hanging="432"/>
      <w:textAlignment w:val="baseline"/>
    </w:pPr>
    <w:rPr>
      <w:rFonts w:ascii="宋体" w:hAnsi="Arial Narrow"/>
      <w:b w:val="0"/>
      <w:bCs w:val="0"/>
      <w:kern w:val="0"/>
      <w:szCs w:val="24"/>
    </w:rPr>
  </w:style>
  <w:style w:type="paragraph" w:customStyle="1" w:styleId="1306">
    <w:name w:val="样式 标题 3条标题1.1.13h33rd levelH3l3CT三级标题 + 段后: 0.5 行"/>
    <w:basedOn w:val="5"/>
    <w:autoRedefine/>
    <w:qFormat/>
    <w:uiPriority w:val="99"/>
    <w:pPr>
      <w:widowControl/>
      <w:numPr>
        <w:ilvl w:val="0"/>
        <w:numId w:val="0"/>
      </w:numPr>
      <w:tabs>
        <w:tab w:val="left" w:pos="240"/>
      </w:tabs>
      <w:adjustRightInd/>
      <w:spacing w:before="160" w:afterLines="50" w:line="300" w:lineRule="auto"/>
      <w:ind w:left="284" w:hanging="284"/>
    </w:pPr>
    <w:rPr>
      <w:rFonts w:ascii="Arial" w:hAnsi="Arial" w:eastAsia="仿宋_GB2312" w:cs="宋体"/>
      <w:b w:val="0"/>
      <w:kern w:val="0"/>
      <w:sz w:val="28"/>
      <w:szCs w:val="20"/>
    </w:rPr>
  </w:style>
  <w:style w:type="paragraph" w:customStyle="1" w:styleId="1307">
    <w:name w:val="样式 四号 首行缩进:  2 字符"/>
    <w:basedOn w:val="1"/>
    <w:autoRedefine/>
    <w:qFormat/>
    <w:uiPriority w:val="0"/>
    <w:pPr>
      <w:widowControl/>
      <w:adjustRightInd/>
      <w:snapToGrid/>
      <w:spacing w:line="480" w:lineRule="atLeast"/>
    </w:pPr>
    <w:rPr>
      <w:rFonts w:ascii="宋体" w:hAnsi="Calibri"/>
      <w:kern w:val="0"/>
    </w:rPr>
  </w:style>
  <w:style w:type="paragraph" w:customStyle="1" w:styleId="1308">
    <w:name w:val="样式 表中文字 + 五号"/>
    <w:basedOn w:val="181"/>
    <w:autoRedefine/>
    <w:qFormat/>
    <w:uiPriority w:val="99"/>
    <w:pPr>
      <w:widowControl/>
      <w:spacing w:afterLines="20" w:line="340" w:lineRule="exact"/>
      <w:ind w:firstLine="200" w:firstLineChars="200"/>
    </w:pPr>
    <w:rPr>
      <w:rFonts w:ascii="Calibri" w:hAnsi="Calibri" w:eastAsia="仿宋_GB2312"/>
      <w:kern w:val="0"/>
      <w:sz w:val="20"/>
      <w:szCs w:val="24"/>
      <w:lang w:eastAsia="zh-TW"/>
    </w:rPr>
  </w:style>
  <w:style w:type="paragraph" w:customStyle="1" w:styleId="1309">
    <w:name w:val="环评标题一级"/>
    <w:basedOn w:val="3"/>
    <w:autoRedefine/>
    <w:qFormat/>
    <w:uiPriority w:val="0"/>
    <w:pPr>
      <w:widowControl/>
      <w:numPr>
        <w:numId w:val="0"/>
      </w:numPr>
      <w:adjustRightInd/>
      <w:snapToGrid/>
      <w:spacing w:before="163" w:after="163" w:line="360" w:lineRule="exact"/>
      <w:jc w:val="center"/>
    </w:pPr>
    <w:rPr>
      <w:rFonts w:ascii="Cambria" w:hAnsi="Cambria" w:eastAsia="黑体"/>
      <w:bCs w:val="0"/>
      <w:kern w:val="0"/>
      <w:sz w:val="32"/>
      <w:szCs w:val="28"/>
    </w:rPr>
  </w:style>
  <w:style w:type="paragraph" w:customStyle="1" w:styleId="1310">
    <w:name w:val="样式 标题 3小节标题条标题1.1.1 + 首行缩进:  2 字符"/>
    <w:basedOn w:val="5"/>
    <w:autoRedefine/>
    <w:qFormat/>
    <w:uiPriority w:val="99"/>
    <w:pPr>
      <w:widowControl/>
      <w:numPr>
        <w:ilvl w:val="0"/>
        <w:numId w:val="0"/>
      </w:numPr>
      <w:adjustRightInd/>
      <w:spacing w:before="200" w:line="480" w:lineRule="auto"/>
      <w:ind w:firstLine="561" w:firstLineChars="200"/>
    </w:pPr>
    <w:rPr>
      <w:rFonts w:cs="宋体"/>
      <w:b w:val="0"/>
      <w:kern w:val="0"/>
      <w:sz w:val="28"/>
      <w:szCs w:val="20"/>
    </w:rPr>
  </w:style>
  <w:style w:type="paragraph" w:customStyle="1" w:styleId="1311">
    <w:name w:val="CM37"/>
    <w:basedOn w:val="151"/>
    <w:next w:val="151"/>
    <w:autoRedefine/>
    <w:qFormat/>
    <w:uiPriority w:val="99"/>
    <w:pPr>
      <w:spacing w:line="503" w:lineRule="atLeast"/>
    </w:pPr>
    <w:rPr>
      <w:rFonts w:ascii="Sim Sun" w:eastAsia="Sim Sun"/>
      <w:color w:val="auto"/>
    </w:rPr>
  </w:style>
  <w:style w:type="paragraph" w:customStyle="1" w:styleId="1312">
    <w:name w:val="样式 小四 行距: 1.5 倍行距"/>
    <w:basedOn w:val="1"/>
    <w:autoRedefine/>
    <w:qFormat/>
    <w:uiPriority w:val="0"/>
    <w:pPr>
      <w:widowControl/>
      <w:adjustRightInd/>
      <w:snapToGrid/>
      <w:spacing w:line="360" w:lineRule="auto"/>
      <w:ind w:firstLine="480"/>
    </w:pPr>
    <w:rPr>
      <w:rFonts w:ascii="宋体" w:hAnsi="Calibri" w:cs="宋体"/>
      <w:kern w:val="0"/>
    </w:rPr>
  </w:style>
  <w:style w:type="paragraph" w:customStyle="1" w:styleId="1313">
    <w:name w:val="Char4 Char Char Char2"/>
    <w:basedOn w:val="1"/>
    <w:autoRedefine/>
    <w:qFormat/>
    <w:uiPriority w:val="0"/>
    <w:pPr>
      <w:widowControl/>
      <w:spacing w:line="360" w:lineRule="auto"/>
    </w:pPr>
    <w:rPr>
      <w:rFonts w:ascii="宋体" w:hAnsi="宋体" w:cs="宋体"/>
      <w:kern w:val="0"/>
    </w:rPr>
  </w:style>
  <w:style w:type="paragraph" w:customStyle="1" w:styleId="1314">
    <w:name w:val="表格内容自定"/>
    <w:basedOn w:val="1"/>
    <w:autoRedefine/>
    <w:qFormat/>
    <w:uiPriority w:val="99"/>
    <w:pPr>
      <w:widowControl/>
      <w:adjustRightInd/>
      <w:snapToGrid/>
      <w:spacing w:line="280" w:lineRule="exact"/>
      <w:jc w:val="center"/>
    </w:pPr>
    <w:rPr>
      <w:rFonts w:ascii="宋体" w:hAnsi="Calibri"/>
      <w:kern w:val="0"/>
      <w:sz w:val="18"/>
      <w:szCs w:val="21"/>
    </w:rPr>
  </w:style>
  <w:style w:type="paragraph" w:customStyle="1" w:styleId="1315">
    <w:name w:val="样式 标题 2 + (符号) 宋体"/>
    <w:basedOn w:val="4"/>
    <w:autoRedefine/>
    <w:qFormat/>
    <w:uiPriority w:val="99"/>
    <w:pPr>
      <w:widowControl/>
      <w:numPr>
        <w:ilvl w:val="0"/>
        <w:numId w:val="0"/>
      </w:numPr>
      <w:tabs>
        <w:tab w:val="left" w:pos="0"/>
        <w:tab w:val="left" w:pos="987"/>
      </w:tabs>
      <w:adjustRightInd/>
      <w:snapToGrid/>
      <w:spacing w:before="120" w:after="120" w:line="415" w:lineRule="auto"/>
      <w:ind w:left="226" w:hanging="113"/>
    </w:pPr>
    <w:rPr>
      <w:rFonts w:ascii="Cambria" w:hAnsi="Cambria" w:eastAsia="微软雅黑"/>
      <w:color w:val="4F81BD"/>
      <w:kern w:val="0"/>
      <w:sz w:val="30"/>
      <w:szCs w:val="30"/>
      <w:lang w:eastAsia="en-US"/>
    </w:rPr>
  </w:style>
  <w:style w:type="paragraph" w:customStyle="1" w:styleId="1316">
    <w:name w:val="Char Char4 Char Char1 Char Char Char Char"/>
    <w:basedOn w:val="1"/>
    <w:autoRedefine/>
    <w:qFormat/>
    <w:uiPriority w:val="99"/>
    <w:pPr>
      <w:widowControl/>
      <w:spacing w:line="360" w:lineRule="auto"/>
    </w:pPr>
    <w:rPr>
      <w:rFonts w:ascii="宋体" w:hAnsi="宋体" w:cs="宋体"/>
      <w:kern w:val="0"/>
      <w:szCs w:val="26"/>
    </w:rPr>
  </w:style>
  <w:style w:type="paragraph" w:customStyle="1" w:styleId="1317">
    <w:name w:val="图表名"/>
    <w:basedOn w:val="1"/>
    <w:link w:val="2924"/>
    <w:autoRedefine/>
    <w:qFormat/>
    <w:uiPriority w:val="0"/>
    <w:pPr>
      <w:widowControl/>
      <w:snapToGrid/>
      <w:spacing w:after="120" w:line="312" w:lineRule="atLeast"/>
      <w:jc w:val="center"/>
      <w:textAlignment w:val="baseline"/>
    </w:pPr>
    <w:rPr>
      <w:rFonts w:ascii="宋体" w:hAnsi="Calibri" w:eastAsia="黑体"/>
      <w:kern w:val="0"/>
    </w:rPr>
  </w:style>
  <w:style w:type="paragraph" w:customStyle="1" w:styleId="1318">
    <w:name w:val="Char Char2 Char Char"/>
    <w:basedOn w:val="1"/>
    <w:autoRedefine/>
    <w:qFormat/>
    <w:uiPriority w:val="0"/>
    <w:pPr>
      <w:widowControl/>
      <w:adjustRightInd/>
      <w:snapToGrid/>
      <w:spacing w:line="360" w:lineRule="auto"/>
    </w:pPr>
    <w:rPr>
      <w:rFonts w:ascii="宋体" w:hAnsi="Calibri"/>
      <w:kern w:val="0"/>
    </w:rPr>
  </w:style>
  <w:style w:type="paragraph" w:customStyle="1" w:styleId="1319">
    <w:name w:val="图框"/>
    <w:basedOn w:val="1"/>
    <w:next w:val="1"/>
    <w:autoRedefine/>
    <w:qFormat/>
    <w:uiPriority w:val="99"/>
    <w:pPr>
      <w:widowControl/>
      <w:adjustRightInd/>
      <w:snapToGrid/>
      <w:spacing w:line="320" w:lineRule="exact"/>
      <w:jc w:val="center"/>
    </w:pPr>
    <w:rPr>
      <w:rFonts w:ascii="宋体" w:hAnsi="Calibri"/>
      <w:kern w:val="0"/>
      <w:szCs w:val="21"/>
    </w:rPr>
  </w:style>
  <w:style w:type="paragraph" w:customStyle="1" w:styleId="1320">
    <w:name w:val="表样式"/>
    <w:basedOn w:val="1"/>
    <w:autoRedefine/>
    <w:qFormat/>
    <w:uiPriority w:val="0"/>
    <w:pPr>
      <w:widowControl/>
      <w:adjustRightInd/>
      <w:snapToGrid/>
      <w:spacing w:beforeLines="50" w:afterLines="50" w:line="440" w:lineRule="exact"/>
      <w:jc w:val="center"/>
    </w:pPr>
    <w:rPr>
      <w:rFonts w:ascii="Arial" w:hAnsi="Arial"/>
      <w:kern w:val="0"/>
      <w:sz w:val="28"/>
    </w:rPr>
  </w:style>
  <w:style w:type="paragraph" w:customStyle="1" w:styleId="1321">
    <w:name w:val="目录1"/>
    <w:basedOn w:val="1"/>
    <w:autoRedefine/>
    <w:qFormat/>
    <w:uiPriority w:val="0"/>
    <w:pPr>
      <w:widowControl/>
      <w:adjustRightInd/>
      <w:snapToGrid/>
      <w:spacing w:line="360" w:lineRule="auto"/>
    </w:pPr>
    <w:rPr>
      <w:rFonts w:ascii="宋体" w:hAnsi="Calibri" w:eastAsia="黑体"/>
      <w:kern w:val="0"/>
    </w:rPr>
  </w:style>
  <w:style w:type="paragraph" w:customStyle="1" w:styleId="1322">
    <w:name w:val="正文标准格式"/>
    <w:basedOn w:val="1"/>
    <w:autoRedefine/>
    <w:qFormat/>
    <w:uiPriority w:val="99"/>
    <w:pPr>
      <w:widowControl/>
      <w:adjustRightInd/>
      <w:snapToGrid/>
      <w:spacing w:line="360" w:lineRule="auto"/>
      <w:ind w:firstLine="560"/>
    </w:pPr>
    <w:rPr>
      <w:rFonts w:ascii="宋体" w:hAnsi="Calibri"/>
      <w:color w:val="000000"/>
      <w:kern w:val="0"/>
      <w:sz w:val="28"/>
      <w:szCs w:val="28"/>
      <w:shd w:val="clear" w:color="auto" w:fill="FFFFFF"/>
    </w:rPr>
  </w:style>
  <w:style w:type="paragraph" w:customStyle="1" w:styleId="1323">
    <w:name w:val="样式 左侧:  2 字符 段前: 0.5 行 段后: 0.5 行"/>
    <w:basedOn w:val="1"/>
    <w:autoRedefine/>
    <w:qFormat/>
    <w:uiPriority w:val="99"/>
    <w:pPr>
      <w:widowControl/>
      <w:spacing w:beforeLines="50" w:afterLines="50" w:line="300" w:lineRule="auto"/>
    </w:pPr>
    <w:rPr>
      <w:rFonts w:ascii="Arial" w:hAnsi="Arial" w:cs="宋体"/>
      <w:kern w:val="0"/>
    </w:rPr>
  </w:style>
  <w:style w:type="paragraph" w:customStyle="1" w:styleId="1324">
    <w:name w:val="xl47"/>
    <w:basedOn w:val="1"/>
    <w:autoRedefine/>
    <w:qFormat/>
    <w:uiPriority w:val="0"/>
    <w:pPr>
      <w:widowControl/>
      <w:pBdr>
        <w:left w:val="single" w:color="auto" w:sz="4" w:space="0"/>
      </w:pBdr>
      <w:adjustRightInd/>
      <w:snapToGrid/>
      <w:spacing w:before="100" w:beforeAutospacing="1" w:after="100" w:afterAutospacing="1" w:line="440" w:lineRule="exact"/>
      <w:jc w:val="center"/>
      <w:textAlignment w:val="center"/>
    </w:pPr>
    <w:rPr>
      <w:rFonts w:ascii="Arial Unicode MS" w:hAnsi="Arial Unicode MS" w:eastAsia="Arial Unicode MS" w:cs="Arial Unicode MS"/>
      <w:kern w:val="0"/>
    </w:rPr>
  </w:style>
  <w:style w:type="paragraph" w:customStyle="1" w:styleId="1325">
    <w:name w:val="样式 标题 4款标题1.1.1.1 + 段后: 0.5 行"/>
    <w:basedOn w:val="6"/>
    <w:autoRedefine/>
    <w:qFormat/>
    <w:uiPriority w:val="99"/>
    <w:pPr>
      <w:widowControl/>
      <w:numPr>
        <w:ilvl w:val="0"/>
        <w:numId w:val="0"/>
      </w:numPr>
      <w:adjustRightInd/>
      <w:snapToGrid/>
      <w:spacing w:before="120" w:afterLines="50" w:line="440" w:lineRule="exact"/>
      <w:jc w:val="both"/>
    </w:pPr>
    <w:rPr>
      <w:rFonts w:ascii="Arial" w:hAnsi="Arial" w:eastAsia="仿宋_GB2312" w:cs="宋体"/>
      <w:kern w:val="0"/>
      <w:szCs w:val="20"/>
      <w:shd w:val="clear" w:color="auto" w:fill="FFFFFF"/>
    </w:rPr>
  </w:style>
  <w:style w:type="paragraph" w:customStyle="1" w:styleId="1326">
    <w:name w:val="样式 标题 4 +1"/>
    <w:basedOn w:val="6"/>
    <w:autoRedefine/>
    <w:qFormat/>
    <w:uiPriority w:val="99"/>
    <w:pPr>
      <w:widowControl/>
      <w:numPr>
        <w:ilvl w:val="0"/>
        <w:numId w:val="0"/>
      </w:numPr>
      <w:tabs>
        <w:tab w:val="left" w:pos="360"/>
      </w:tabs>
      <w:adjustRightInd/>
      <w:snapToGrid/>
      <w:spacing w:before="120" w:after="50" w:line="377" w:lineRule="auto"/>
      <w:ind w:left="360" w:hanging="360" w:hangingChars="200"/>
      <w:jc w:val="both"/>
    </w:pPr>
    <w:rPr>
      <w:rFonts w:ascii="Arial" w:hAnsi="Arial"/>
      <w:kern w:val="0"/>
      <w:szCs w:val="24"/>
      <w:shd w:val="clear" w:color="auto" w:fill="FFFFFF"/>
    </w:rPr>
  </w:style>
  <w:style w:type="paragraph" w:customStyle="1" w:styleId="1327">
    <w:name w:val="_Style 8"/>
    <w:basedOn w:val="1"/>
    <w:autoRedefine/>
    <w:qFormat/>
    <w:uiPriority w:val="99"/>
    <w:pPr>
      <w:widowControl/>
      <w:adjustRightInd/>
      <w:snapToGrid/>
      <w:spacing w:line="360" w:lineRule="auto"/>
    </w:pPr>
    <w:rPr>
      <w:rFonts w:ascii="宋体" w:hAnsi="Calibri"/>
      <w:kern w:val="0"/>
    </w:rPr>
  </w:style>
  <w:style w:type="paragraph" w:customStyle="1" w:styleId="1328">
    <w:name w:val="Char Char Char Char Char Char Char Char Char1 Char Char Char Char"/>
    <w:basedOn w:val="1"/>
    <w:autoRedefine/>
    <w:qFormat/>
    <w:uiPriority w:val="0"/>
    <w:pPr>
      <w:widowControl/>
      <w:adjustRightInd/>
      <w:snapToGrid/>
      <w:spacing w:line="360" w:lineRule="auto"/>
    </w:pPr>
    <w:rPr>
      <w:rFonts w:ascii="宋体" w:hAnsi="宋体" w:cs="宋体"/>
      <w:kern w:val="0"/>
      <w:szCs w:val="26"/>
    </w:rPr>
  </w:style>
  <w:style w:type="paragraph" w:customStyle="1" w:styleId="1329">
    <w:name w:val="Char Char Char Char Char Char Char Char Char Char Char Char Char Char Char Char Char Char1 Char Char Char Char Char Char Char Char Char Char Char Char Char"/>
    <w:basedOn w:val="1"/>
    <w:autoRedefine/>
    <w:qFormat/>
    <w:uiPriority w:val="99"/>
    <w:pPr>
      <w:widowControl/>
      <w:adjustRightInd/>
      <w:snapToGrid/>
      <w:spacing w:line="360" w:lineRule="auto"/>
    </w:pPr>
    <w:rPr>
      <w:rFonts w:ascii="宋体" w:hAnsi="宋体" w:cs="宋体"/>
      <w:kern w:val="0"/>
    </w:rPr>
  </w:style>
  <w:style w:type="paragraph" w:customStyle="1" w:styleId="1330">
    <w:name w:val="1.1大标题"/>
    <w:basedOn w:val="1"/>
    <w:autoRedefine/>
    <w:qFormat/>
    <w:uiPriority w:val="99"/>
    <w:pPr>
      <w:keepNext/>
      <w:keepLines/>
      <w:spacing w:line="460" w:lineRule="exact"/>
      <w:ind w:firstLine="482"/>
      <w:outlineLvl w:val="1"/>
    </w:pPr>
    <w:rPr>
      <w:rFonts w:ascii="Arial" w:hAnsi="Arial" w:eastAsia="黑体" w:cs="Arial"/>
      <w:b/>
      <w:bCs/>
      <w:snapToGrid w:val="0"/>
      <w:color w:val="000000"/>
      <w:szCs w:val="24"/>
    </w:rPr>
  </w:style>
  <w:style w:type="paragraph" w:customStyle="1" w:styleId="1331">
    <w:name w:val="环评标题二级"/>
    <w:basedOn w:val="3"/>
    <w:autoRedefine/>
    <w:qFormat/>
    <w:uiPriority w:val="0"/>
    <w:pPr>
      <w:widowControl/>
      <w:numPr>
        <w:numId w:val="0"/>
      </w:numPr>
      <w:adjustRightInd/>
      <w:snapToGrid/>
      <w:spacing w:before="163" w:after="163" w:line="360" w:lineRule="exact"/>
    </w:pPr>
    <w:rPr>
      <w:rFonts w:ascii="Cambria" w:hAnsi="Cambria" w:eastAsia="黑体"/>
      <w:bCs w:val="0"/>
      <w:kern w:val="0"/>
      <w:sz w:val="36"/>
      <w:szCs w:val="28"/>
    </w:rPr>
  </w:style>
  <w:style w:type="paragraph" w:customStyle="1" w:styleId="1332">
    <w:name w:val="样式 标题 3 + 段后: 0.5 行"/>
    <w:basedOn w:val="5"/>
    <w:autoRedefine/>
    <w:qFormat/>
    <w:uiPriority w:val="0"/>
    <w:pPr>
      <w:widowControl/>
      <w:numPr>
        <w:ilvl w:val="0"/>
        <w:numId w:val="0"/>
      </w:numPr>
      <w:adjustRightInd/>
      <w:spacing w:afterLines="50" w:line="360" w:lineRule="auto"/>
    </w:pPr>
    <w:rPr>
      <w:rFonts w:eastAsia="黑体" w:cs="宋体"/>
      <w:b w:val="0"/>
      <w:sz w:val="28"/>
      <w:szCs w:val="20"/>
    </w:rPr>
  </w:style>
  <w:style w:type="paragraph" w:customStyle="1" w:styleId="1333">
    <w:name w:val="样式 样式 样式 样式 样式 样式 标题 2 + 首行缩进:  2 字符 段后: 0.5 行 + 首行缩进:  2 字符 + 段..."/>
    <w:basedOn w:val="1"/>
    <w:autoRedefine/>
    <w:qFormat/>
    <w:uiPriority w:val="99"/>
    <w:pPr>
      <w:keepNext/>
      <w:keepLines/>
      <w:widowControl/>
      <w:adjustRightInd/>
      <w:snapToGrid/>
      <w:spacing w:before="260" w:afterLines="50" w:line="440" w:lineRule="exact"/>
      <w:outlineLvl w:val="1"/>
    </w:pPr>
    <w:rPr>
      <w:rFonts w:ascii="宋体" w:hAnsi="Calibri" w:eastAsia="黑体" w:cs="宋体"/>
      <w:kern w:val="44"/>
      <w:sz w:val="30"/>
    </w:rPr>
  </w:style>
  <w:style w:type="paragraph" w:customStyle="1" w:styleId="1334">
    <w:name w:val="p19"/>
    <w:basedOn w:val="1"/>
    <w:autoRedefine/>
    <w:qFormat/>
    <w:uiPriority w:val="99"/>
    <w:pPr>
      <w:widowControl/>
      <w:adjustRightInd/>
      <w:snapToGrid/>
      <w:spacing w:line="240" w:lineRule="auto"/>
      <w:ind w:firstLine="0" w:firstLineChars="0"/>
      <w:jc w:val="center"/>
    </w:pPr>
    <w:rPr>
      <w:rFonts w:ascii="Arial" w:hAnsi="Arial" w:cs="Arial"/>
      <w:kern w:val="0"/>
      <w:sz w:val="21"/>
      <w:szCs w:val="21"/>
    </w:rPr>
  </w:style>
  <w:style w:type="paragraph" w:customStyle="1" w:styleId="1335">
    <w:name w:val="样式 首行缩进:  0 字符1"/>
    <w:basedOn w:val="1"/>
    <w:autoRedefine/>
    <w:qFormat/>
    <w:uiPriority w:val="99"/>
    <w:pPr>
      <w:widowControl/>
      <w:tabs>
        <w:tab w:val="left" w:pos="432"/>
      </w:tabs>
      <w:adjustRightInd/>
      <w:snapToGrid/>
      <w:spacing w:line="360" w:lineRule="auto"/>
      <w:ind w:left="432" w:hanging="432"/>
    </w:pPr>
    <w:rPr>
      <w:rFonts w:ascii="Times" w:hAnsi="Times" w:cs="宋体"/>
      <w:kern w:val="0"/>
      <w:sz w:val="28"/>
    </w:rPr>
  </w:style>
  <w:style w:type="paragraph" w:customStyle="1" w:styleId="1336">
    <w:name w:val="样式 标题 3小节标题条标题1.1.1 + 非加粗"/>
    <w:basedOn w:val="5"/>
    <w:autoRedefine/>
    <w:qFormat/>
    <w:uiPriority w:val="99"/>
    <w:pPr>
      <w:widowControl/>
      <w:numPr>
        <w:ilvl w:val="0"/>
        <w:numId w:val="0"/>
      </w:numPr>
      <w:adjustRightInd/>
      <w:spacing w:before="200" w:line="480" w:lineRule="auto"/>
      <w:ind w:firstLine="560" w:firstLineChars="200"/>
    </w:pPr>
    <w:rPr>
      <w:b w:val="0"/>
      <w:bCs w:val="0"/>
      <w:kern w:val="0"/>
      <w:sz w:val="28"/>
      <w:szCs w:val="28"/>
    </w:rPr>
  </w:style>
  <w:style w:type="paragraph" w:customStyle="1" w:styleId="1337">
    <w:name w:val="样式 内容 + 宋体 首行缩进:  2 字符 行距: 固定值 28 磅"/>
    <w:basedOn w:val="1294"/>
    <w:autoRedefine/>
    <w:qFormat/>
    <w:uiPriority w:val="99"/>
    <w:pPr>
      <w:spacing w:line="560" w:lineRule="exact"/>
      <w:ind w:firstLine="560"/>
    </w:pPr>
    <w:rPr>
      <w:szCs w:val="20"/>
    </w:rPr>
  </w:style>
  <w:style w:type="paragraph" w:customStyle="1" w:styleId="1338">
    <w:name w:val="样式 (中文) 宋体 11.5 磅 右 段前: 5 磅 段后: 5 磅 顶端: (单实线 自动设置  1 磅 行宽..."/>
    <w:basedOn w:val="1"/>
    <w:autoRedefine/>
    <w:qFormat/>
    <w:uiPriority w:val="99"/>
    <w:pPr>
      <w:widowControl/>
      <w:adjustRightInd/>
      <w:snapToGrid/>
      <w:spacing w:before="100" w:after="100" w:line="440" w:lineRule="exact"/>
      <w:jc w:val="right"/>
    </w:pPr>
    <w:rPr>
      <w:rFonts w:ascii="宋体" w:hAnsi="Calibri" w:cs="宋体"/>
      <w:kern w:val="0"/>
      <w:szCs w:val="21"/>
    </w:rPr>
  </w:style>
  <w:style w:type="paragraph" w:customStyle="1" w:styleId="1339">
    <w:name w:val="样式18"/>
    <w:basedOn w:val="1"/>
    <w:autoRedefine/>
    <w:qFormat/>
    <w:uiPriority w:val="0"/>
    <w:pPr>
      <w:widowControl/>
      <w:tabs>
        <w:tab w:val="left" w:pos="2265"/>
      </w:tabs>
      <w:adjustRightInd/>
      <w:snapToGrid/>
      <w:spacing w:before="100" w:beforeAutospacing="1" w:after="100" w:afterAutospacing="1" w:line="320" w:lineRule="exact"/>
      <w:jc w:val="center"/>
    </w:pPr>
    <w:rPr>
      <w:rFonts w:ascii="宋体" w:hAnsi="宋体" w:cs="宋体"/>
      <w:kern w:val="0"/>
      <w:szCs w:val="21"/>
    </w:rPr>
  </w:style>
  <w:style w:type="paragraph" w:customStyle="1" w:styleId="1340">
    <w:name w:val="UC标题1"/>
    <w:basedOn w:val="1"/>
    <w:autoRedefine/>
    <w:qFormat/>
    <w:uiPriority w:val="99"/>
    <w:pPr>
      <w:widowControl/>
      <w:tabs>
        <w:tab w:val="left" w:pos="425"/>
      </w:tabs>
      <w:autoSpaceDE w:val="0"/>
      <w:spacing w:after="160" w:line="240" w:lineRule="exact"/>
      <w:ind w:left="425" w:hanging="425"/>
    </w:pPr>
    <w:rPr>
      <w:rFonts w:ascii="Verdana" w:hAnsi="Verdana" w:cs="Verdana"/>
      <w:kern w:val="0"/>
      <w:sz w:val="20"/>
    </w:rPr>
  </w:style>
  <w:style w:type="paragraph" w:customStyle="1" w:styleId="1341">
    <w:name w:val="正文21"/>
    <w:basedOn w:val="1"/>
    <w:autoRedefine/>
    <w:qFormat/>
    <w:uiPriority w:val="99"/>
    <w:pPr>
      <w:widowControl/>
      <w:overflowPunct w:val="0"/>
      <w:topLinePunct/>
      <w:autoSpaceDE w:val="0"/>
      <w:autoSpaceDN w:val="0"/>
      <w:spacing w:line="460" w:lineRule="exact"/>
      <w:textAlignment w:val="baseline"/>
    </w:pPr>
    <w:rPr>
      <w:rFonts w:ascii="宋体" w:hAnsi="Calibri"/>
      <w:kern w:val="0"/>
    </w:rPr>
  </w:style>
  <w:style w:type="paragraph" w:customStyle="1" w:styleId="1342">
    <w:name w:val="表格下文字5号"/>
    <w:basedOn w:val="1"/>
    <w:autoRedefine/>
    <w:qFormat/>
    <w:uiPriority w:val="0"/>
    <w:pPr>
      <w:spacing w:beforeLines="50" w:line="264" w:lineRule="auto"/>
      <w:ind w:left="938" w:leftChars="200" w:hanging="378" w:hangingChars="180"/>
      <w:textAlignment w:val="baseline"/>
    </w:pPr>
    <w:rPr>
      <w:rFonts w:ascii="Arial" w:hAnsi="Arial" w:cs="Arial"/>
      <w:kern w:val="0"/>
      <w:sz w:val="21"/>
    </w:rPr>
  </w:style>
  <w:style w:type="paragraph" w:customStyle="1" w:styleId="1343">
    <w:name w:val="缩进2个字"/>
    <w:basedOn w:val="1"/>
    <w:autoRedefine/>
    <w:qFormat/>
    <w:uiPriority w:val="99"/>
    <w:pPr>
      <w:widowControl/>
      <w:adjustRightInd/>
      <w:snapToGrid/>
      <w:spacing w:line="440" w:lineRule="exact"/>
      <w:jc w:val="center"/>
    </w:pPr>
    <w:rPr>
      <w:rFonts w:ascii="宋体" w:hAnsi="Calibri"/>
      <w:color w:val="000000"/>
      <w:kern w:val="0"/>
      <w:szCs w:val="21"/>
    </w:rPr>
  </w:style>
  <w:style w:type="paragraph" w:customStyle="1" w:styleId="1344">
    <w:name w:val="图形中文字"/>
    <w:basedOn w:val="1"/>
    <w:autoRedefine/>
    <w:qFormat/>
    <w:uiPriority w:val="0"/>
    <w:pPr>
      <w:widowControl/>
      <w:autoSpaceDE w:val="0"/>
      <w:autoSpaceDN w:val="0"/>
      <w:snapToGrid/>
      <w:spacing w:line="440" w:lineRule="exact"/>
      <w:jc w:val="center"/>
    </w:pPr>
    <w:rPr>
      <w:rFonts w:ascii="宋体" w:hAnsi="Calibri"/>
      <w:kern w:val="0"/>
    </w:rPr>
  </w:style>
  <w:style w:type="paragraph" w:customStyle="1" w:styleId="1345">
    <w:name w:val="xl45"/>
    <w:basedOn w:val="1"/>
    <w:autoRedefine/>
    <w:qFormat/>
    <w:uiPriority w:val="0"/>
    <w:pPr>
      <w:widowControl/>
      <w:pBdr>
        <w:top w:val="single" w:color="000000" w:sz="4" w:space="0"/>
        <w:left w:val="single" w:color="000000" w:sz="4" w:space="0"/>
        <w:right w:val="single" w:color="000000" w:sz="4" w:space="0"/>
      </w:pBdr>
      <w:adjustRightInd/>
      <w:snapToGrid/>
      <w:spacing w:before="100" w:beforeAutospacing="1" w:after="100" w:afterAutospacing="1" w:line="440" w:lineRule="exact"/>
    </w:pPr>
    <w:rPr>
      <w:rFonts w:hint="eastAsia" w:ascii="宋体" w:hAnsi="宋体"/>
      <w:kern w:val="0"/>
    </w:rPr>
  </w:style>
  <w:style w:type="paragraph" w:customStyle="1" w:styleId="1346">
    <w:name w:val="正文图废z"/>
    <w:basedOn w:val="1089"/>
    <w:autoRedefine/>
    <w:qFormat/>
    <w:uiPriority w:val="0"/>
    <w:pPr>
      <w:spacing w:before="0"/>
      <w:jc w:val="left"/>
    </w:pPr>
    <w:rPr>
      <w:rFonts w:ascii="Arial" w:hAnsi="Arial" w:cs="Arial"/>
      <w:sz w:val="21"/>
    </w:rPr>
  </w:style>
  <w:style w:type="paragraph" w:customStyle="1" w:styleId="1347">
    <w:name w:val="样式 样式 样式 样式 首行缩进:  2 字符 段后: 0.5 行 + 首行缩进:  2 字符 段后: 0.5 行 + 黑体 小...1"/>
    <w:basedOn w:val="1"/>
    <w:autoRedefine/>
    <w:qFormat/>
    <w:uiPriority w:val="99"/>
    <w:pPr>
      <w:widowControl/>
      <w:snapToGrid/>
      <w:spacing w:before="120" w:afterLines="50" w:line="440" w:lineRule="exact"/>
      <w:jc w:val="center"/>
    </w:pPr>
    <w:rPr>
      <w:rFonts w:ascii="黑体" w:hAnsi="Calibri" w:eastAsia="黑体" w:cs="宋体"/>
      <w:kern w:val="0"/>
    </w:rPr>
  </w:style>
  <w:style w:type="paragraph" w:customStyle="1" w:styleId="1348">
    <w:name w:val="Plain Text1"/>
    <w:basedOn w:val="1"/>
    <w:autoRedefine/>
    <w:qFormat/>
    <w:uiPriority w:val="0"/>
    <w:pPr>
      <w:widowControl/>
      <w:autoSpaceDE w:val="0"/>
      <w:autoSpaceDN w:val="0"/>
      <w:snapToGrid/>
      <w:spacing w:line="440" w:lineRule="exact"/>
    </w:pPr>
    <w:rPr>
      <w:rFonts w:ascii="宋体" w:hAnsi="Calibri"/>
      <w:kern w:val="0"/>
    </w:rPr>
  </w:style>
  <w:style w:type="paragraph" w:customStyle="1" w:styleId="1349">
    <w:name w:val="xyb自建表格名称"/>
    <w:basedOn w:val="1"/>
    <w:autoRedefine/>
    <w:qFormat/>
    <w:uiPriority w:val="99"/>
    <w:pPr>
      <w:widowControl/>
      <w:adjustRightInd/>
      <w:snapToGrid/>
      <w:spacing w:line="360" w:lineRule="auto"/>
      <w:jc w:val="center"/>
    </w:pPr>
    <w:rPr>
      <w:rFonts w:ascii="宋体" w:hAnsi="宋体"/>
      <w:kern w:val="0"/>
    </w:rPr>
  </w:style>
  <w:style w:type="paragraph" w:customStyle="1" w:styleId="1350">
    <w:name w:val="标题样式"/>
    <w:basedOn w:val="1351"/>
    <w:autoRedefine/>
    <w:qFormat/>
    <w:uiPriority w:val="0"/>
    <w:pPr>
      <w:widowControl w:val="0"/>
      <w:autoSpaceDE w:val="0"/>
      <w:autoSpaceDN w:val="0"/>
      <w:adjustRightInd w:val="0"/>
      <w:spacing w:line="288" w:lineRule="auto"/>
      <w:ind w:firstLine="0" w:firstLineChars="0"/>
      <w:jc w:val="left"/>
      <w:textAlignment w:val="baseline"/>
    </w:pPr>
    <w:rPr>
      <w:rFonts w:ascii="Times New Roman" w:hAnsi="Times New Roman" w:eastAsia="Wingdings"/>
      <w:spacing w:val="10"/>
      <w:sz w:val="28"/>
    </w:rPr>
  </w:style>
  <w:style w:type="paragraph" w:customStyle="1" w:styleId="1351">
    <w:name w:val="正文样式"/>
    <w:basedOn w:val="1"/>
    <w:link w:val="3341"/>
    <w:autoRedefine/>
    <w:qFormat/>
    <w:uiPriority w:val="0"/>
    <w:pPr>
      <w:widowControl/>
      <w:adjustRightInd/>
      <w:snapToGrid/>
      <w:spacing w:line="400" w:lineRule="exact"/>
    </w:pPr>
    <w:rPr>
      <w:rFonts w:ascii="宋体" w:hAnsi="Calibri"/>
      <w:kern w:val="0"/>
    </w:rPr>
  </w:style>
  <w:style w:type="paragraph" w:customStyle="1" w:styleId="1352">
    <w:name w:val="正文图五"/>
    <w:basedOn w:val="1"/>
    <w:autoRedefine/>
    <w:qFormat/>
    <w:uiPriority w:val="0"/>
    <w:pPr>
      <w:spacing w:line="240" w:lineRule="auto"/>
      <w:ind w:firstLine="0" w:firstLineChars="0"/>
      <w:jc w:val="center"/>
    </w:pPr>
    <w:rPr>
      <w:rFonts w:ascii="仿宋_GB2312" w:hAnsi="华文宋体" w:eastAsia="仿宋_GB2312"/>
      <w:snapToGrid w:val="0"/>
      <w:spacing w:val="6"/>
      <w:sz w:val="18"/>
      <w:szCs w:val="18"/>
    </w:rPr>
  </w:style>
  <w:style w:type="paragraph" w:customStyle="1" w:styleId="1353">
    <w:name w:val="p24"/>
    <w:basedOn w:val="1"/>
    <w:autoRedefine/>
    <w:qFormat/>
    <w:uiPriority w:val="99"/>
    <w:pPr>
      <w:widowControl/>
      <w:adjustRightInd/>
      <w:snapToGrid/>
      <w:spacing w:line="240" w:lineRule="auto"/>
      <w:ind w:firstLine="420" w:firstLineChars="0"/>
    </w:pPr>
    <w:rPr>
      <w:kern w:val="0"/>
      <w:sz w:val="28"/>
      <w:szCs w:val="28"/>
    </w:rPr>
  </w:style>
  <w:style w:type="paragraph" w:customStyle="1" w:styleId="1354">
    <w:name w:val="表格文字小五号"/>
    <w:basedOn w:val="1355"/>
    <w:autoRedefine/>
    <w:qFormat/>
    <w:uiPriority w:val="0"/>
    <w:rPr>
      <w:rFonts w:ascii="宋体" w:hAnsi="宋体"/>
      <w:bCs w:val="0"/>
    </w:rPr>
  </w:style>
  <w:style w:type="paragraph" w:customStyle="1" w:styleId="1355">
    <w:name w:val="表格文字五号"/>
    <w:basedOn w:val="45"/>
    <w:autoRedefine/>
    <w:qFormat/>
    <w:uiPriority w:val="0"/>
    <w:pPr>
      <w:autoSpaceDE w:val="0"/>
      <w:autoSpaceDN w:val="0"/>
      <w:adjustRightInd w:val="0"/>
      <w:snapToGrid w:val="0"/>
      <w:spacing w:beforeLines="20" w:afterLines="20"/>
      <w:jc w:val="left"/>
    </w:pPr>
    <w:rPr>
      <w:rFonts w:ascii="Arial" w:hAnsi="Arial" w:cs="Arial"/>
      <w:bCs/>
      <w:snapToGrid w:val="0"/>
      <w:color w:val="000000"/>
      <w:kern w:val="0"/>
      <w:sz w:val="20"/>
      <w:lang w:val="en-US"/>
    </w:rPr>
  </w:style>
  <w:style w:type="paragraph" w:customStyle="1" w:styleId="1356">
    <w:name w:val="xl113"/>
    <w:basedOn w:val="1"/>
    <w:autoRedefine/>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440" w:lineRule="exact"/>
      <w:jc w:val="right"/>
      <w:textAlignment w:val="center"/>
    </w:pPr>
    <w:rPr>
      <w:rFonts w:ascii="宋体" w:hAnsi="宋体" w:cs="宋体"/>
      <w:kern w:val="0"/>
    </w:rPr>
  </w:style>
  <w:style w:type="paragraph" w:customStyle="1" w:styleId="1357">
    <w:name w:val="xl125"/>
    <w:basedOn w:val="1"/>
    <w:autoRedefine/>
    <w:qFormat/>
    <w:uiPriority w:val="99"/>
    <w:pPr>
      <w:widowControl/>
      <w:pBdr>
        <w:top w:val="single" w:color="auto" w:sz="4" w:space="0"/>
        <w:right w:val="single" w:color="auto" w:sz="4" w:space="0"/>
      </w:pBdr>
      <w:adjustRightInd/>
      <w:snapToGrid/>
      <w:spacing w:before="100" w:beforeAutospacing="1" w:after="100" w:afterAutospacing="1" w:line="440" w:lineRule="exact"/>
      <w:jc w:val="center"/>
      <w:textAlignment w:val="center"/>
    </w:pPr>
    <w:rPr>
      <w:rFonts w:ascii="宋体" w:hAnsi="宋体" w:cs="宋体"/>
      <w:kern w:val="0"/>
      <w:sz w:val="22"/>
    </w:rPr>
  </w:style>
  <w:style w:type="paragraph" w:customStyle="1" w:styleId="1358">
    <w:name w:val="注："/>
    <w:next w:val="1"/>
    <w:autoRedefine/>
    <w:qFormat/>
    <w:uiPriority w:val="0"/>
    <w:pPr>
      <w:widowControl w:val="0"/>
      <w:tabs>
        <w:tab w:val="left" w:pos="360"/>
      </w:tabs>
      <w:autoSpaceDE w:val="0"/>
      <w:autoSpaceDN w:val="0"/>
      <w:ind w:left="360" w:hanging="360"/>
      <w:jc w:val="both"/>
    </w:pPr>
    <w:rPr>
      <w:rFonts w:ascii="宋体" w:hAnsi="Times New Roman" w:eastAsia="宋体" w:cs="Times New Roman"/>
      <w:sz w:val="18"/>
      <w:lang w:val="en-US" w:eastAsia="zh-CN" w:bidi="ar-SA"/>
    </w:rPr>
  </w:style>
  <w:style w:type="paragraph" w:customStyle="1" w:styleId="1359">
    <w:name w:val="xl107"/>
    <w:basedOn w:val="1"/>
    <w:autoRedefine/>
    <w:qFormat/>
    <w:uiPriority w:val="0"/>
    <w:pPr>
      <w:widowControl/>
      <w:pBdr>
        <w:bottom w:val="single" w:color="auto" w:sz="4" w:space="0"/>
        <w:right w:val="single" w:color="auto" w:sz="4" w:space="0"/>
      </w:pBdr>
      <w:adjustRightInd/>
      <w:snapToGrid/>
      <w:spacing w:before="100" w:beforeAutospacing="1" w:after="100" w:afterAutospacing="1" w:line="440" w:lineRule="exact"/>
      <w:jc w:val="right"/>
      <w:textAlignment w:val="center"/>
    </w:pPr>
    <w:rPr>
      <w:rFonts w:ascii="宋体" w:hAnsi="宋体" w:cs="宋体"/>
      <w:b/>
      <w:bCs/>
      <w:kern w:val="0"/>
      <w:sz w:val="22"/>
    </w:rPr>
  </w:style>
  <w:style w:type="paragraph" w:customStyle="1" w:styleId="1360">
    <w:name w:val="样式 标题 3H3H31H32H33u3标题 3 Char Char Char标题 3 Char Char Cha..."/>
    <w:basedOn w:val="5"/>
    <w:autoRedefine/>
    <w:qFormat/>
    <w:uiPriority w:val="99"/>
    <w:pPr>
      <w:numPr>
        <w:ilvl w:val="0"/>
        <w:numId w:val="0"/>
      </w:numPr>
      <w:spacing w:line="348" w:lineRule="auto"/>
      <w:ind w:firstLine="200" w:firstLineChars="200"/>
      <w:jc w:val="left"/>
    </w:pPr>
    <w:rPr>
      <w:rFonts w:cs="宋体"/>
      <w:b w:val="0"/>
      <w:bCs w:val="0"/>
      <w:color w:val="000000"/>
      <w:spacing w:val="8"/>
      <w:sz w:val="28"/>
      <w:szCs w:val="20"/>
    </w:rPr>
  </w:style>
  <w:style w:type="paragraph" w:customStyle="1" w:styleId="1361">
    <w:name w:val="xl52"/>
    <w:basedOn w:val="1"/>
    <w:autoRedefine/>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Lines="25" w:afterAutospacing="1" w:line="240" w:lineRule="auto"/>
      <w:jc w:val="center"/>
    </w:pPr>
    <w:rPr>
      <w:rFonts w:ascii="Arial Unicode MS" w:hAnsi="Arial Unicode MS" w:eastAsia="Arial Unicode MS"/>
      <w:b/>
      <w:bCs/>
      <w:kern w:val="0"/>
      <w:sz w:val="18"/>
      <w:szCs w:val="18"/>
    </w:rPr>
  </w:style>
  <w:style w:type="paragraph" w:customStyle="1" w:styleId="1362">
    <w:name w:val="xl119"/>
    <w:basedOn w:val="1"/>
    <w:autoRedefine/>
    <w:qFormat/>
    <w:uiPriority w:val="0"/>
    <w:pPr>
      <w:widowControl/>
      <w:pBdr>
        <w:top w:val="single" w:color="auto" w:sz="4" w:space="0"/>
        <w:bottom w:val="single" w:color="auto" w:sz="4" w:space="0"/>
      </w:pBdr>
      <w:adjustRightInd/>
      <w:snapToGrid/>
      <w:spacing w:before="100" w:beforeAutospacing="1" w:after="100" w:afterAutospacing="1" w:line="440" w:lineRule="exact"/>
      <w:textAlignment w:val="center"/>
    </w:pPr>
    <w:rPr>
      <w:rFonts w:ascii="宋体" w:hAnsi="宋体" w:cs="宋体"/>
      <w:kern w:val="0"/>
    </w:rPr>
  </w:style>
  <w:style w:type="paragraph" w:customStyle="1" w:styleId="1363">
    <w:name w:val="p26"/>
    <w:basedOn w:val="1"/>
    <w:autoRedefine/>
    <w:qFormat/>
    <w:uiPriority w:val="99"/>
    <w:pPr>
      <w:widowControl/>
      <w:adjustRightInd/>
      <w:snapToGrid/>
      <w:spacing w:line="360" w:lineRule="auto"/>
      <w:ind w:firstLine="0" w:firstLineChars="0"/>
      <w:jc w:val="center"/>
    </w:pPr>
    <w:rPr>
      <w:rFonts w:ascii="Arial" w:hAnsi="Arial" w:cs="Arial"/>
      <w:b/>
      <w:bCs/>
      <w:kern w:val="0"/>
      <w:szCs w:val="24"/>
    </w:rPr>
  </w:style>
  <w:style w:type="paragraph" w:customStyle="1" w:styleId="1364">
    <w:name w:val="p28"/>
    <w:basedOn w:val="1"/>
    <w:autoRedefine/>
    <w:qFormat/>
    <w:uiPriority w:val="99"/>
    <w:pPr>
      <w:widowControl/>
      <w:adjustRightInd/>
      <w:snapToGrid/>
      <w:spacing w:after="120" w:line="240" w:lineRule="auto"/>
      <w:ind w:firstLine="0" w:firstLineChars="0"/>
    </w:pPr>
    <w:rPr>
      <w:kern w:val="0"/>
      <w:sz w:val="21"/>
      <w:szCs w:val="21"/>
    </w:rPr>
  </w:style>
  <w:style w:type="paragraph" w:customStyle="1" w:styleId="1365">
    <w:name w:val="报告书"/>
    <w:basedOn w:val="1"/>
    <w:autoRedefine/>
    <w:qFormat/>
    <w:uiPriority w:val="0"/>
    <w:pPr>
      <w:autoSpaceDE w:val="0"/>
      <w:autoSpaceDN w:val="0"/>
      <w:snapToGrid/>
      <w:spacing w:line="360" w:lineRule="auto"/>
      <w:ind w:firstLine="505" w:firstLineChars="0"/>
      <w:jc w:val="left"/>
      <w:textAlignment w:val="bottom"/>
    </w:pPr>
    <w:rPr>
      <w:kern w:val="0"/>
    </w:rPr>
  </w:style>
  <w:style w:type="paragraph" w:customStyle="1" w:styleId="1366">
    <w:name w:val="表格文字左"/>
    <w:basedOn w:val="1"/>
    <w:autoRedefine/>
    <w:qFormat/>
    <w:uiPriority w:val="0"/>
    <w:pPr>
      <w:spacing w:line="240" w:lineRule="auto"/>
      <w:ind w:firstLine="0" w:firstLineChars="0"/>
      <w:jc w:val="left"/>
      <w:textAlignment w:val="baseline"/>
    </w:pPr>
    <w:rPr>
      <w:rFonts w:ascii="Arial" w:hAnsi="Arial"/>
      <w:snapToGrid w:val="0"/>
      <w:spacing w:val="6"/>
      <w:kern w:val="0"/>
      <w:szCs w:val="26"/>
      <w:lang w:eastAsia="zh-TW"/>
    </w:rPr>
  </w:style>
  <w:style w:type="paragraph" w:customStyle="1" w:styleId="1367">
    <w:name w:val="xl53"/>
    <w:basedOn w:val="1"/>
    <w:autoRedefine/>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Lines="25" w:afterAutospacing="1" w:line="240" w:lineRule="auto"/>
      <w:jc w:val="center"/>
    </w:pPr>
    <w:rPr>
      <w:rFonts w:ascii="Arial Unicode MS" w:hAnsi="Arial Unicode MS" w:eastAsia="Arial Unicode MS"/>
      <w:kern w:val="0"/>
      <w:sz w:val="18"/>
      <w:szCs w:val="18"/>
    </w:rPr>
  </w:style>
  <w:style w:type="paragraph" w:customStyle="1" w:styleId="1368">
    <w:name w:val="水平衡"/>
    <w:basedOn w:val="152"/>
    <w:autoRedefine/>
    <w:qFormat/>
    <w:uiPriority w:val="0"/>
    <w:pPr>
      <w:widowControl w:val="0"/>
      <w:autoSpaceDE w:val="0"/>
      <w:autoSpaceDN w:val="0"/>
      <w:adjustRightInd w:val="0"/>
      <w:snapToGrid w:val="0"/>
      <w:spacing w:line="240" w:lineRule="auto"/>
      <w:ind w:firstLine="0" w:firstLineChars="0"/>
      <w:textAlignment w:val="baseline"/>
    </w:pPr>
    <w:rPr>
      <w:rFonts w:ascii="Arial" w:hAnsi="Arial" w:cs="Arial"/>
      <w:spacing w:val="-10"/>
      <w:szCs w:val="20"/>
    </w:rPr>
  </w:style>
  <w:style w:type="paragraph" w:customStyle="1" w:styleId="1369">
    <w:name w:val="p22"/>
    <w:basedOn w:val="1"/>
    <w:autoRedefine/>
    <w:qFormat/>
    <w:uiPriority w:val="99"/>
    <w:pPr>
      <w:widowControl/>
      <w:adjustRightInd/>
      <w:spacing w:line="300" w:lineRule="auto"/>
      <w:ind w:firstLine="0" w:firstLineChars="0"/>
    </w:pPr>
    <w:rPr>
      <w:kern w:val="0"/>
      <w:sz w:val="21"/>
      <w:szCs w:val="21"/>
    </w:rPr>
  </w:style>
  <w:style w:type="paragraph" w:customStyle="1" w:styleId="1370">
    <w:name w:val="p21"/>
    <w:basedOn w:val="1"/>
    <w:autoRedefine/>
    <w:qFormat/>
    <w:uiPriority w:val="0"/>
    <w:pPr>
      <w:widowControl/>
      <w:adjustRightInd/>
      <w:snapToGrid/>
      <w:spacing w:line="360" w:lineRule="auto"/>
      <w:ind w:firstLine="0" w:firstLineChars="0"/>
      <w:jc w:val="center"/>
    </w:pPr>
    <w:rPr>
      <w:rFonts w:ascii="宋体" w:hAnsi="宋体" w:cs="宋体"/>
      <w:b/>
      <w:bCs/>
      <w:kern w:val="0"/>
      <w:szCs w:val="24"/>
    </w:rPr>
  </w:style>
  <w:style w:type="paragraph" w:customStyle="1" w:styleId="1371">
    <w:name w:val="p31"/>
    <w:basedOn w:val="1"/>
    <w:autoRedefine/>
    <w:qFormat/>
    <w:uiPriority w:val="99"/>
    <w:pPr>
      <w:widowControl/>
      <w:adjustRightInd/>
      <w:snapToGrid/>
      <w:spacing w:line="480" w:lineRule="atLeast"/>
      <w:ind w:firstLine="0" w:firstLineChars="0"/>
      <w:jc w:val="left"/>
    </w:pPr>
    <w:rPr>
      <w:kern w:val="0"/>
      <w:sz w:val="28"/>
      <w:szCs w:val="28"/>
    </w:rPr>
  </w:style>
  <w:style w:type="paragraph" w:customStyle="1" w:styleId="1372">
    <w:name w:val="正文图小五"/>
    <w:basedOn w:val="1"/>
    <w:autoRedefine/>
    <w:qFormat/>
    <w:uiPriority w:val="0"/>
    <w:pPr>
      <w:adjustRightInd/>
      <w:spacing w:line="240" w:lineRule="atLeast"/>
      <w:ind w:firstLine="0" w:firstLineChars="0"/>
      <w:jc w:val="center"/>
    </w:pPr>
    <w:rPr>
      <w:rFonts w:ascii="Arial" w:hAnsi="Arial" w:cs="Arial"/>
      <w:spacing w:val="6"/>
      <w:sz w:val="18"/>
    </w:rPr>
  </w:style>
  <w:style w:type="paragraph" w:customStyle="1" w:styleId="1373">
    <w:name w:val="xl121"/>
    <w:basedOn w:val="1"/>
    <w:autoRedefine/>
    <w:qFormat/>
    <w:uiPriority w:val="99"/>
    <w:pPr>
      <w:widowControl/>
      <w:pBdr>
        <w:top w:val="single" w:color="auto" w:sz="4" w:space="0"/>
        <w:left w:val="single" w:color="auto" w:sz="4" w:space="0"/>
        <w:right w:val="single" w:color="auto" w:sz="4" w:space="0"/>
      </w:pBdr>
      <w:adjustRightInd/>
      <w:snapToGrid/>
      <w:spacing w:before="100" w:beforeAutospacing="1" w:after="100" w:afterAutospacing="1" w:line="440" w:lineRule="exact"/>
      <w:jc w:val="center"/>
      <w:textAlignment w:val="center"/>
    </w:pPr>
    <w:rPr>
      <w:rFonts w:ascii="宋体" w:hAnsi="宋体" w:cs="宋体"/>
      <w:kern w:val="0"/>
      <w:sz w:val="22"/>
    </w:rPr>
  </w:style>
  <w:style w:type="paragraph" w:customStyle="1" w:styleId="1374">
    <w:name w:val="正文文本缩进 23"/>
    <w:basedOn w:val="1"/>
    <w:autoRedefine/>
    <w:qFormat/>
    <w:uiPriority w:val="0"/>
    <w:pPr>
      <w:snapToGrid/>
      <w:spacing w:line="348" w:lineRule="auto"/>
      <w:ind w:firstLine="573" w:firstLineChars="0"/>
      <w:textAlignment w:val="baseline"/>
    </w:pPr>
    <w:rPr>
      <w:rFonts w:eastAsia="Wingdings"/>
      <w:sz w:val="28"/>
    </w:rPr>
  </w:style>
  <w:style w:type="paragraph" w:customStyle="1" w:styleId="1375">
    <w:name w:val="xl103"/>
    <w:basedOn w:val="1"/>
    <w:autoRedefine/>
    <w:qFormat/>
    <w:uiPriority w:val="0"/>
    <w:pPr>
      <w:widowControl/>
      <w:pBdr>
        <w:left w:val="single" w:color="auto" w:sz="4" w:space="0"/>
        <w:bottom w:val="single" w:color="auto" w:sz="4" w:space="0"/>
      </w:pBdr>
      <w:adjustRightInd/>
      <w:snapToGrid/>
      <w:spacing w:before="100" w:beforeAutospacing="1" w:after="100" w:afterAutospacing="1" w:line="440" w:lineRule="exact"/>
      <w:jc w:val="center"/>
      <w:textAlignment w:val="center"/>
    </w:pPr>
    <w:rPr>
      <w:rFonts w:ascii="宋体" w:hAnsi="宋体" w:cs="宋体"/>
      <w:kern w:val="0"/>
      <w:sz w:val="22"/>
    </w:rPr>
  </w:style>
  <w:style w:type="paragraph" w:customStyle="1" w:styleId="1376">
    <w:name w:val="p23"/>
    <w:basedOn w:val="1"/>
    <w:autoRedefine/>
    <w:qFormat/>
    <w:uiPriority w:val="99"/>
    <w:pPr>
      <w:widowControl/>
      <w:adjustRightInd/>
      <w:snapToGrid/>
      <w:spacing w:line="240" w:lineRule="auto"/>
      <w:ind w:firstLine="0" w:firstLineChars="0"/>
      <w:jc w:val="left"/>
    </w:pPr>
    <w:rPr>
      <w:kern w:val="0"/>
      <w:sz w:val="18"/>
      <w:szCs w:val="18"/>
    </w:rPr>
  </w:style>
  <w:style w:type="paragraph" w:customStyle="1" w:styleId="1377">
    <w:name w:val="p27"/>
    <w:basedOn w:val="1"/>
    <w:autoRedefine/>
    <w:qFormat/>
    <w:uiPriority w:val="99"/>
    <w:pPr>
      <w:widowControl/>
      <w:adjustRightInd/>
      <w:spacing w:before="78" w:after="78" w:line="300" w:lineRule="auto"/>
      <w:ind w:firstLine="420" w:firstLineChars="0"/>
      <w:jc w:val="left"/>
    </w:pPr>
    <w:rPr>
      <w:rFonts w:ascii="宋体" w:hAnsi="宋体" w:cs="宋体"/>
      <w:kern w:val="0"/>
      <w:szCs w:val="24"/>
    </w:rPr>
  </w:style>
  <w:style w:type="paragraph" w:customStyle="1" w:styleId="1378">
    <w:name w:val="xl138"/>
    <w:basedOn w:val="1"/>
    <w:autoRedefine/>
    <w:qFormat/>
    <w:uiPriority w:val="99"/>
    <w:pPr>
      <w:widowControl/>
      <w:pBdr>
        <w:bottom w:val="single" w:color="auto" w:sz="4" w:space="0"/>
        <w:right w:val="single" w:color="auto" w:sz="4" w:space="0"/>
      </w:pBdr>
      <w:adjustRightInd/>
      <w:snapToGrid/>
      <w:spacing w:before="100" w:beforeAutospacing="1" w:after="100" w:afterAutospacing="1" w:line="440" w:lineRule="exact"/>
      <w:jc w:val="center"/>
      <w:textAlignment w:val="center"/>
    </w:pPr>
    <w:rPr>
      <w:rFonts w:ascii="宋体" w:hAnsi="宋体" w:cs="宋体"/>
      <w:kern w:val="0"/>
      <w:sz w:val="20"/>
    </w:rPr>
  </w:style>
  <w:style w:type="paragraph" w:customStyle="1" w:styleId="1379">
    <w:name w:val="安评－正文"/>
    <w:basedOn w:val="1"/>
    <w:autoRedefine/>
    <w:qFormat/>
    <w:uiPriority w:val="99"/>
    <w:pPr>
      <w:spacing w:before="78" w:after="78" w:line="300" w:lineRule="auto"/>
      <w:jc w:val="left"/>
    </w:pPr>
    <w:rPr>
      <w:rFonts w:hint="eastAsia" w:ascii="宋体" w:hAnsi="宋体"/>
    </w:rPr>
  </w:style>
  <w:style w:type="paragraph" w:customStyle="1" w:styleId="1380">
    <w:name w:val="xl135"/>
    <w:basedOn w:val="1"/>
    <w:autoRedefine/>
    <w:qFormat/>
    <w:uiPriority w:val="99"/>
    <w:pPr>
      <w:widowControl/>
      <w:pBdr>
        <w:left w:val="single" w:color="auto" w:sz="4" w:space="0"/>
        <w:right w:val="single" w:color="auto" w:sz="4" w:space="0"/>
      </w:pBdr>
      <w:adjustRightInd/>
      <w:snapToGrid/>
      <w:spacing w:before="100" w:beforeAutospacing="1" w:after="100" w:afterAutospacing="1" w:line="440" w:lineRule="exact"/>
      <w:jc w:val="center"/>
      <w:textAlignment w:val="center"/>
    </w:pPr>
    <w:rPr>
      <w:rFonts w:ascii="宋体" w:hAnsi="宋体" w:cs="宋体"/>
      <w:kern w:val="0"/>
      <w:sz w:val="20"/>
    </w:rPr>
  </w:style>
  <w:style w:type="paragraph" w:customStyle="1" w:styleId="1381">
    <w:name w:val="xl104"/>
    <w:basedOn w:val="1"/>
    <w:autoRedefine/>
    <w:qFormat/>
    <w:uiPriority w:val="0"/>
    <w:pPr>
      <w:widowControl/>
      <w:pBdr>
        <w:left w:val="single" w:color="auto" w:sz="4" w:space="0"/>
        <w:bottom w:val="single" w:color="auto" w:sz="4" w:space="0"/>
        <w:right w:val="single" w:color="auto" w:sz="4" w:space="0"/>
      </w:pBdr>
      <w:adjustRightInd/>
      <w:snapToGrid/>
      <w:spacing w:before="100" w:beforeAutospacing="1" w:after="100" w:afterAutospacing="1" w:line="440" w:lineRule="exact"/>
      <w:jc w:val="right"/>
      <w:textAlignment w:val="center"/>
    </w:pPr>
    <w:rPr>
      <w:rFonts w:ascii="宋体" w:hAnsi="宋体" w:cs="宋体"/>
      <w:kern w:val="0"/>
    </w:rPr>
  </w:style>
  <w:style w:type="paragraph" w:customStyle="1" w:styleId="1382">
    <w:name w:val="xl105"/>
    <w:basedOn w:val="1"/>
    <w:autoRedefine/>
    <w:qFormat/>
    <w:uiPriority w:val="0"/>
    <w:pPr>
      <w:widowControl/>
      <w:pBdr>
        <w:left w:val="single" w:color="auto" w:sz="4" w:space="0"/>
        <w:bottom w:val="single" w:color="auto" w:sz="4" w:space="0"/>
      </w:pBdr>
      <w:adjustRightInd/>
      <w:snapToGrid/>
      <w:spacing w:before="100" w:beforeAutospacing="1" w:after="100" w:afterAutospacing="1" w:line="440" w:lineRule="exact"/>
      <w:jc w:val="center"/>
      <w:textAlignment w:val="center"/>
    </w:pPr>
    <w:rPr>
      <w:rFonts w:ascii="宋体" w:hAnsi="宋体" w:cs="宋体"/>
      <w:b/>
      <w:bCs/>
      <w:kern w:val="0"/>
      <w:sz w:val="22"/>
    </w:rPr>
  </w:style>
  <w:style w:type="paragraph" w:customStyle="1" w:styleId="1383">
    <w:name w:val="xl106"/>
    <w:basedOn w:val="1"/>
    <w:autoRedefine/>
    <w:qFormat/>
    <w:uiPriority w:val="0"/>
    <w:pPr>
      <w:widowControl/>
      <w:pBdr>
        <w:left w:val="single" w:color="auto" w:sz="4" w:space="0"/>
        <w:bottom w:val="single" w:color="auto" w:sz="4" w:space="0"/>
        <w:right w:val="single" w:color="auto" w:sz="4" w:space="0"/>
      </w:pBdr>
      <w:adjustRightInd/>
      <w:snapToGrid/>
      <w:spacing w:before="100" w:beforeAutospacing="1" w:after="100" w:afterAutospacing="1" w:line="440" w:lineRule="exact"/>
      <w:jc w:val="right"/>
      <w:textAlignment w:val="center"/>
    </w:pPr>
    <w:rPr>
      <w:rFonts w:ascii="宋体" w:hAnsi="宋体" w:cs="宋体"/>
      <w:b/>
      <w:bCs/>
      <w:kern w:val="0"/>
    </w:rPr>
  </w:style>
  <w:style w:type="paragraph" w:customStyle="1" w:styleId="1384">
    <w:name w:val="MFS表格文字"/>
    <w:basedOn w:val="34"/>
    <w:autoRedefine/>
    <w:qFormat/>
    <w:uiPriority w:val="99"/>
    <w:pPr>
      <w:spacing w:after="0" w:line="300" w:lineRule="auto"/>
      <w:ind w:firstLine="0" w:firstLineChars="0"/>
    </w:pPr>
    <w:rPr>
      <w:rFonts w:eastAsia="楷体_GB2312"/>
      <w:kern w:val="2"/>
      <w:sz w:val="21"/>
      <w:szCs w:val="21"/>
    </w:rPr>
  </w:style>
  <w:style w:type="paragraph" w:customStyle="1" w:styleId="1385">
    <w:name w:val="xl123"/>
    <w:basedOn w:val="1"/>
    <w:autoRedefine/>
    <w:qFormat/>
    <w:uiPriority w:val="99"/>
    <w:pPr>
      <w:widowControl/>
      <w:pBdr>
        <w:left w:val="single" w:color="auto" w:sz="4" w:space="0"/>
        <w:right w:val="single" w:color="auto" w:sz="4" w:space="0"/>
      </w:pBdr>
      <w:adjustRightInd/>
      <w:snapToGrid/>
      <w:spacing w:before="100" w:beforeAutospacing="1" w:after="100" w:afterAutospacing="1" w:line="440" w:lineRule="exact"/>
      <w:jc w:val="center"/>
      <w:textAlignment w:val="center"/>
    </w:pPr>
    <w:rPr>
      <w:rFonts w:ascii="宋体" w:hAnsi="宋体" w:cs="宋体"/>
      <w:kern w:val="0"/>
      <w:sz w:val="22"/>
    </w:rPr>
  </w:style>
  <w:style w:type="paragraph" w:customStyle="1" w:styleId="1386">
    <w:name w:val="xl110"/>
    <w:basedOn w:val="1"/>
    <w:autoRedefine/>
    <w:qFormat/>
    <w:uiPriority w:val="0"/>
    <w:pPr>
      <w:widowControl/>
      <w:pBdr>
        <w:top w:val="single" w:color="auto" w:sz="4" w:space="0"/>
        <w:bottom w:val="single" w:color="auto" w:sz="4" w:space="0"/>
      </w:pBdr>
      <w:adjustRightInd/>
      <w:snapToGrid/>
      <w:spacing w:before="100" w:beforeAutospacing="1" w:after="100" w:afterAutospacing="1" w:line="440" w:lineRule="exact"/>
      <w:textAlignment w:val="center"/>
    </w:pPr>
    <w:rPr>
      <w:rFonts w:ascii="宋体" w:hAnsi="宋体" w:cs="宋体"/>
      <w:kern w:val="0"/>
    </w:rPr>
  </w:style>
  <w:style w:type="paragraph" w:customStyle="1" w:styleId="1387">
    <w:name w:val="xl116"/>
    <w:basedOn w:val="1"/>
    <w:autoRedefine/>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440" w:lineRule="exact"/>
      <w:textAlignment w:val="center"/>
    </w:pPr>
    <w:rPr>
      <w:rFonts w:ascii="宋体" w:hAnsi="宋体" w:cs="宋体"/>
      <w:kern w:val="0"/>
    </w:rPr>
  </w:style>
  <w:style w:type="paragraph" w:customStyle="1" w:styleId="1388">
    <w:name w:val="TY"/>
    <w:basedOn w:val="1"/>
    <w:autoRedefine/>
    <w:qFormat/>
    <w:uiPriority w:val="99"/>
    <w:pPr>
      <w:spacing w:before="40" w:after="40" w:line="240" w:lineRule="auto"/>
      <w:ind w:firstLine="0" w:firstLineChars="0"/>
    </w:pPr>
    <w:rPr>
      <w:rFonts w:ascii="宋体" w:hAnsi="宋体"/>
    </w:rPr>
  </w:style>
  <w:style w:type="paragraph" w:customStyle="1" w:styleId="1389">
    <w:name w:val="xl120"/>
    <w:basedOn w:val="1"/>
    <w:autoRedefine/>
    <w:qFormat/>
    <w:uiPriority w:val="0"/>
    <w:pPr>
      <w:widowControl/>
      <w:pBdr>
        <w:top w:val="single" w:color="auto" w:sz="4" w:space="0"/>
        <w:bottom w:val="single" w:color="auto" w:sz="4" w:space="0"/>
        <w:right w:val="single" w:color="auto" w:sz="4" w:space="0"/>
      </w:pBdr>
      <w:adjustRightInd/>
      <w:snapToGrid/>
      <w:spacing w:before="100" w:beforeAutospacing="1" w:after="100" w:afterAutospacing="1" w:line="440" w:lineRule="exact"/>
      <w:textAlignment w:val="center"/>
    </w:pPr>
    <w:rPr>
      <w:rFonts w:ascii="宋体" w:hAnsi="宋体" w:cs="宋体"/>
      <w:kern w:val="0"/>
    </w:rPr>
  </w:style>
  <w:style w:type="paragraph" w:customStyle="1" w:styleId="1390">
    <w:name w:val="xl122"/>
    <w:basedOn w:val="1"/>
    <w:autoRedefine/>
    <w:qFormat/>
    <w:uiPriority w:val="99"/>
    <w:pPr>
      <w:widowControl/>
      <w:pBdr>
        <w:top w:val="single" w:color="auto" w:sz="4" w:space="0"/>
        <w:left w:val="single" w:color="auto" w:sz="4" w:space="0"/>
        <w:right w:val="single" w:color="auto" w:sz="4" w:space="0"/>
      </w:pBdr>
      <w:adjustRightInd/>
      <w:snapToGrid/>
      <w:spacing w:before="100" w:beforeAutospacing="1" w:after="100" w:afterAutospacing="1" w:line="440" w:lineRule="exact"/>
      <w:jc w:val="center"/>
      <w:textAlignment w:val="center"/>
    </w:pPr>
    <w:rPr>
      <w:rFonts w:ascii="宋体" w:hAnsi="宋体" w:cs="宋体"/>
      <w:kern w:val="0"/>
      <w:sz w:val="22"/>
    </w:rPr>
  </w:style>
  <w:style w:type="paragraph" w:customStyle="1" w:styleId="1391">
    <w:name w:val="xl126"/>
    <w:basedOn w:val="1"/>
    <w:autoRedefine/>
    <w:qFormat/>
    <w:uiPriority w:val="99"/>
    <w:pPr>
      <w:widowControl/>
      <w:pBdr>
        <w:bottom w:val="single" w:color="auto" w:sz="4" w:space="0"/>
        <w:right w:val="single" w:color="auto" w:sz="4" w:space="0"/>
      </w:pBdr>
      <w:adjustRightInd/>
      <w:snapToGrid/>
      <w:spacing w:before="100" w:beforeAutospacing="1" w:after="100" w:afterAutospacing="1" w:line="440" w:lineRule="exact"/>
      <w:jc w:val="center"/>
      <w:textAlignment w:val="center"/>
    </w:pPr>
    <w:rPr>
      <w:rFonts w:ascii="宋体" w:hAnsi="宋体" w:cs="宋体"/>
      <w:kern w:val="0"/>
    </w:rPr>
  </w:style>
  <w:style w:type="paragraph" w:customStyle="1" w:styleId="1392">
    <w:name w:val="xl127"/>
    <w:basedOn w:val="1"/>
    <w:autoRedefine/>
    <w:qFormat/>
    <w:uiPriority w:val="99"/>
    <w:pPr>
      <w:widowControl/>
      <w:pBdr>
        <w:left w:val="single" w:color="auto" w:sz="4" w:space="0"/>
        <w:right w:val="single" w:color="auto" w:sz="4" w:space="0"/>
      </w:pBdr>
      <w:adjustRightInd/>
      <w:snapToGrid/>
      <w:spacing w:before="100" w:beforeAutospacing="1" w:after="100" w:afterAutospacing="1" w:line="440" w:lineRule="exact"/>
      <w:jc w:val="center"/>
      <w:textAlignment w:val="center"/>
    </w:pPr>
    <w:rPr>
      <w:rFonts w:ascii="宋体" w:hAnsi="宋体" w:cs="宋体"/>
      <w:kern w:val="0"/>
      <w:sz w:val="22"/>
    </w:rPr>
  </w:style>
  <w:style w:type="paragraph" w:customStyle="1" w:styleId="1393">
    <w:name w:val="xl128"/>
    <w:basedOn w:val="1"/>
    <w:autoRedefine/>
    <w:qFormat/>
    <w:uiPriority w:val="99"/>
    <w:pPr>
      <w:widowControl/>
      <w:pBdr>
        <w:left w:val="single" w:color="auto" w:sz="4" w:space="0"/>
        <w:bottom w:val="single" w:color="auto" w:sz="4" w:space="0"/>
        <w:right w:val="single" w:color="auto" w:sz="4" w:space="0"/>
      </w:pBdr>
      <w:adjustRightInd/>
      <w:snapToGrid/>
      <w:spacing w:before="100" w:beforeAutospacing="1" w:after="100" w:afterAutospacing="1" w:line="440" w:lineRule="exact"/>
      <w:jc w:val="center"/>
      <w:textAlignment w:val="center"/>
    </w:pPr>
    <w:rPr>
      <w:rFonts w:ascii="宋体" w:hAnsi="宋体" w:cs="宋体"/>
      <w:kern w:val="0"/>
      <w:sz w:val="22"/>
    </w:rPr>
  </w:style>
  <w:style w:type="paragraph" w:customStyle="1" w:styleId="1394">
    <w:name w:val="xl129"/>
    <w:basedOn w:val="1"/>
    <w:autoRedefine/>
    <w:qFormat/>
    <w:uiPriority w:val="99"/>
    <w:pPr>
      <w:widowControl/>
      <w:pBdr>
        <w:top w:val="single" w:color="auto" w:sz="4" w:space="0"/>
        <w:bottom w:val="single" w:color="auto" w:sz="4" w:space="0"/>
      </w:pBdr>
      <w:adjustRightInd/>
      <w:snapToGrid/>
      <w:spacing w:before="100" w:beforeAutospacing="1" w:after="100" w:afterAutospacing="1" w:line="440" w:lineRule="exact"/>
      <w:textAlignment w:val="center"/>
    </w:pPr>
    <w:rPr>
      <w:rFonts w:ascii="Arial Narrow" w:hAnsi="Arial Narrow" w:cs="宋体"/>
      <w:kern w:val="0"/>
      <w:sz w:val="22"/>
    </w:rPr>
  </w:style>
  <w:style w:type="paragraph" w:customStyle="1" w:styleId="1395">
    <w:name w:val="xl130"/>
    <w:basedOn w:val="1"/>
    <w:autoRedefine/>
    <w:qFormat/>
    <w:uiPriority w:val="99"/>
    <w:pPr>
      <w:widowControl/>
      <w:pBdr>
        <w:top w:val="single" w:color="auto" w:sz="4" w:space="0"/>
        <w:bottom w:val="single" w:color="auto" w:sz="4" w:space="0"/>
        <w:right w:val="single" w:color="auto" w:sz="4" w:space="0"/>
      </w:pBdr>
      <w:adjustRightInd/>
      <w:snapToGrid/>
      <w:spacing w:before="100" w:beforeAutospacing="1" w:after="100" w:afterAutospacing="1" w:line="440" w:lineRule="exact"/>
      <w:textAlignment w:val="center"/>
    </w:pPr>
    <w:rPr>
      <w:rFonts w:ascii="Arial Narrow" w:hAnsi="Arial Narrow" w:cs="宋体"/>
      <w:kern w:val="0"/>
      <w:sz w:val="22"/>
    </w:rPr>
  </w:style>
  <w:style w:type="paragraph" w:customStyle="1" w:styleId="1396">
    <w:name w:val="码头表"/>
    <w:basedOn w:val="1"/>
    <w:autoRedefine/>
    <w:qFormat/>
    <w:uiPriority w:val="0"/>
    <w:pPr>
      <w:adjustRightInd/>
      <w:snapToGrid/>
      <w:spacing w:line="240" w:lineRule="auto"/>
      <w:ind w:firstLine="0" w:firstLineChars="0"/>
      <w:jc w:val="center"/>
    </w:pPr>
    <w:rPr>
      <w:rFonts w:eastAsia="仿宋_GB2312"/>
      <w:color w:val="FF6600"/>
      <w:sz w:val="21"/>
      <w:szCs w:val="24"/>
    </w:rPr>
  </w:style>
  <w:style w:type="paragraph" w:customStyle="1" w:styleId="1397">
    <w:name w:val="xl131"/>
    <w:basedOn w:val="1"/>
    <w:autoRedefine/>
    <w:qFormat/>
    <w:uiPriority w:val="99"/>
    <w:pPr>
      <w:widowControl/>
      <w:pBdr>
        <w:top w:val="single" w:color="auto" w:sz="4" w:space="0"/>
        <w:left w:val="single" w:color="auto" w:sz="4" w:space="0"/>
        <w:bottom w:val="single" w:color="auto" w:sz="4" w:space="0"/>
      </w:pBdr>
      <w:adjustRightInd/>
      <w:snapToGrid/>
      <w:spacing w:before="100" w:beforeAutospacing="1" w:after="100" w:afterAutospacing="1" w:line="440" w:lineRule="exact"/>
      <w:textAlignment w:val="center"/>
    </w:pPr>
    <w:rPr>
      <w:rFonts w:ascii="宋体" w:hAnsi="宋体" w:cs="宋体"/>
      <w:kern w:val="0"/>
      <w:sz w:val="20"/>
    </w:rPr>
  </w:style>
  <w:style w:type="paragraph" w:customStyle="1" w:styleId="1398">
    <w:name w:val="xl132"/>
    <w:basedOn w:val="1"/>
    <w:autoRedefine/>
    <w:qFormat/>
    <w:uiPriority w:val="99"/>
    <w:pPr>
      <w:widowControl/>
      <w:pBdr>
        <w:top w:val="single" w:color="auto" w:sz="4" w:space="0"/>
        <w:bottom w:val="single" w:color="auto" w:sz="4" w:space="0"/>
      </w:pBdr>
      <w:adjustRightInd/>
      <w:snapToGrid/>
      <w:spacing w:before="100" w:beforeAutospacing="1" w:after="100" w:afterAutospacing="1" w:line="440" w:lineRule="exact"/>
      <w:textAlignment w:val="center"/>
    </w:pPr>
    <w:rPr>
      <w:rFonts w:ascii="宋体" w:hAnsi="宋体" w:cs="宋体"/>
      <w:kern w:val="0"/>
      <w:sz w:val="20"/>
    </w:rPr>
  </w:style>
  <w:style w:type="paragraph" w:customStyle="1" w:styleId="1399">
    <w:name w:val="xl133"/>
    <w:basedOn w:val="1"/>
    <w:autoRedefine/>
    <w:qFormat/>
    <w:uiPriority w:val="99"/>
    <w:pPr>
      <w:widowControl/>
      <w:pBdr>
        <w:top w:val="single" w:color="auto" w:sz="4" w:space="0"/>
        <w:bottom w:val="single" w:color="auto" w:sz="4" w:space="0"/>
        <w:right w:val="single" w:color="auto" w:sz="4" w:space="0"/>
      </w:pBdr>
      <w:adjustRightInd/>
      <w:snapToGrid/>
      <w:spacing w:before="100" w:beforeAutospacing="1" w:after="100" w:afterAutospacing="1" w:line="440" w:lineRule="exact"/>
      <w:textAlignment w:val="center"/>
    </w:pPr>
    <w:rPr>
      <w:rFonts w:ascii="宋体" w:hAnsi="宋体" w:cs="宋体"/>
      <w:kern w:val="0"/>
      <w:sz w:val="20"/>
    </w:rPr>
  </w:style>
  <w:style w:type="paragraph" w:customStyle="1" w:styleId="1400">
    <w:name w:val="xl134"/>
    <w:basedOn w:val="1"/>
    <w:autoRedefine/>
    <w:qFormat/>
    <w:uiPriority w:val="99"/>
    <w:pPr>
      <w:widowControl/>
      <w:pBdr>
        <w:top w:val="single" w:color="auto" w:sz="4" w:space="0"/>
        <w:left w:val="single" w:color="auto" w:sz="4" w:space="0"/>
        <w:right w:val="single" w:color="auto" w:sz="4" w:space="0"/>
      </w:pBdr>
      <w:adjustRightInd/>
      <w:snapToGrid/>
      <w:spacing w:before="100" w:beforeAutospacing="1" w:after="100" w:afterAutospacing="1" w:line="440" w:lineRule="exact"/>
      <w:jc w:val="center"/>
      <w:textAlignment w:val="center"/>
    </w:pPr>
    <w:rPr>
      <w:rFonts w:ascii="宋体" w:hAnsi="宋体" w:cs="宋体"/>
      <w:kern w:val="0"/>
      <w:sz w:val="20"/>
    </w:rPr>
  </w:style>
  <w:style w:type="paragraph" w:customStyle="1" w:styleId="1401">
    <w:name w:val="xl136"/>
    <w:basedOn w:val="1"/>
    <w:autoRedefine/>
    <w:qFormat/>
    <w:uiPriority w:val="99"/>
    <w:pPr>
      <w:widowControl/>
      <w:pBdr>
        <w:left w:val="single" w:color="auto" w:sz="4" w:space="0"/>
        <w:bottom w:val="single" w:color="auto" w:sz="4" w:space="0"/>
        <w:right w:val="single" w:color="auto" w:sz="4" w:space="0"/>
      </w:pBdr>
      <w:adjustRightInd/>
      <w:snapToGrid/>
      <w:spacing w:before="100" w:beforeAutospacing="1" w:after="100" w:afterAutospacing="1" w:line="440" w:lineRule="exact"/>
      <w:jc w:val="center"/>
      <w:textAlignment w:val="center"/>
    </w:pPr>
    <w:rPr>
      <w:rFonts w:ascii="宋体" w:hAnsi="Calibri"/>
      <w:kern w:val="0"/>
      <w:sz w:val="20"/>
    </w:rPr>
  </w:style>
  <w:style w:type="paragraph" w:customStyle="1" w:styleId="1402">
    <w:name w:val="xl137"/>
    <w:basedOn w:val="1"/>
    <w:autoRedefine/>
    <w:qFormat/>
    <w:uiPriority w:val="99"/>
    <w:pPr>
      <w:widowControl/>
      <w:pBdr>
        <w:top w:val="single" w:color="auto" w:sz="4" w:space="0"/>
        <w:right w:val="single" w:color="auto" w:sz="4" w:space="0"/>
      </w:pBdr>
      <w:adjustRightInd/>
      <w:snapToGrid/>
      <w:spacing w:before="100" w:beforeAutospacing="1" w:after="100" w:afterAutospacing="1" w:line="440" w:lineRule="exact"/>
      <w:jc w:val="center"/>
      <w:textAlignment w:val="center"/>
    </w:pPr>
    <w:rPr>
      <w:rFonts w:ascii="宋体" w:hAnsi="宋体" w:cs="宋体"/>
      <w:kern w:val="0"/>
      <w:sz w:val="20"/>
    </w:rPr>
  </w:style>
  <w:style w:type="paragraph" w:customStyle="1" w:styleId="1403">
    <w:name w:val="标题111 Char Char Char Char"/>
    <w:basedOn w:val="1"/>
    <w:autoRedefine/>
    <w:qFormat/>
    <w:uiPriority w:val="99"/>
    <w:pPr>
      <w:widowControl/>
      <w:adjustRightInd/>
      <w:snapToGrid/>
      <w:spacing w:line="360" w:lineRule="auto"/>
    </w:pPr>
    <w:rPr>
      <w:rFonts w:ascii="宋体" w:hAnsi="宋体" w:cs="宋体"/>
      <w:kern w:val="0"/>
    </w:rPr>
  </w:style>
  <w:style w:type="paragraph" w:customStyle="1" w:styleId="1404">
    <w:name w:val="9"/>
    <w:basedOn w:val="1"/>
    <w:next w:val="700"/>
    <w:autoRedefine/>
    <w:qFormat/>
    <w:uiPriority w:val="0"/>
    <w:pPr>
      <w:snapToGrid/>
      <w:spacing w:line="520" w:lineRule="exact"/>
      <w:ind w:firstLine="560"/>
    </w:pPr>
    <w:rPr>
      <w:sz w:val="28"/>
      <w:szCs w:val="24"/>
    </w:rPr>
  </w:style>
  <w:style w:type="paragraph" w:customStyle="1" w:styleId="1405">
    <w:name w:val="样式 正文文字 + 首行缩进:  2 字符"/>
    <w:basedOn w:val="1"/>
    <w:autoRedefine/>
    <w:qFormat/>
    <w:uiPriority w:val="0"/>
    <w:pPr>
      <w:adjustRightInd/>
      <w:spacing w:before="20" w:line="348" w:lineRule="auto"/>
    </w:pPr>
    <w:rPr>
      <w:snapToGrid w:val="0"/>
      <w:color w:val="000000"/>
      <w:kern w:val="0"/>
      <w:sz w:val="28"/>
    </w:rPr>
  </w:style>
  <w:style w:type="paragraph" w:customStyle="1" w:styleId="1406">
    <w:name w:val="字元 字元"/>
    <w:basedOn w:val="1"/>
    <w:autoRedefine/>
    <w:qFormat/>
    <w:uiPriority w:val="99"/>
    <w:pPr>
      <w:widowControl/>
      <w:adjustRightInd/>
      <w:snapToGrid/>
      <w:spacing w:line="440" w:lineRule="exact"/>
    </w:pPr>
    <w:rPr>
      <w:rFonts w:ascii="宋体" w:hAnsi="Calibri"/>
      <w:kern w:val="0"/>
      <w:szCs w:val="21"/>
    </w:rPr>
  </w:style>
  <w:style w:type="paragraph" w:customStyle="1" w:styleId="1407">
    <w:name w:val="Char Char Char Char Char Char1 Char"/>
    <w:basedOn w:val="1"/>
    <w:autoRedefine/>
    <w:qFormat/>
    <w:uiPriority w:val="0"/>
    <w:pPr>
      <w:adjustRightInd/>
      <w:snapToGrid/>
      <w:spacing w:line="240" w:lineRule="auto"/>
      <w:ind w:firstLine="0" w:firstLineChars="0"/>
    </w:pPr>
    <w:rPr>
      <w:sz w:val="21"/>
      <w:szCs w:val="24"/>
    </w:rPr>
  </w:style>
  <w:style w:type="paragraph" w:customStyle="1" w:styleId="1408">
    <w:name w:val="王志臣"/>
    <w:basedOn w:val="1"/>
    <w:autoRedefine/>
    <w:qFormat/>
    <w:uiPriority w:val="99"/>
    <w:pPr>
      <w:widowControl/>
      <w:adjustRightInd/>
      <w:snapToGrid/>
      <w:spacing w:line="500" w:lineRule="exact"/>
      <w:ind w:firstLine="556"/>
    </w:pPr>
    <w:rPr>
      <w:rFonts w:ascii="楷体_GB2312" w:hAnsi="Calibri" w:eastAsia="楷体_GB2312"/>
      <w:kern w:val="0"/>
      <w:sz w:val="28"/>
    </w:rPr>
  </w:style>
  <w:style w:type="paragraph" w:customStyle="1" w:styleId="1409">
    <w:name w:val="样式 样式 样式 (符号) 宋体 14 磅 行距: 1.5 倍行距 首行缩进:  2 字符 + 首行缩进:  2 字符 + 首行..."/>
    <w:basedOn w:val="1"/>
    <w:autoRedefine/>
    <w:qFormat/>
    <w:uiPriority w:val="99"/>
    <w:pPr>
      <w:widowControl/>
      <w:adjustRightInd/>
      <w:snapToGrid/>
      <w:spacing w:line="400" w:lineRule="exact"/>
    </w:pPr>
    <w:rPr>
      <w:rFonts w:ascii="宋体" w:hAnsi="宋体" w:cs="宋体"/>
      <w:kern w:val="0"/>
    </w:rPr>
  </w:style>
  <w:style w:type="paragraph" w:customStyle="1" w:styleId="1410">
    <w:name w:val="xl715"/>
    <w:basedOn w:val="1"/>
    <w:autoRedefine/>
    <w:qFormat/>
    <w:uiPriority w:val="99"/>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440" w:lineRule="exact"/>
      <w:textAlignment w:val="center"/>
    </w:pPr>
    <w:rPr>
      <w:rFonts w:ascii="宋体" w:hAnsi="宋体" w:cs="宋体"/>
      <w:b/>
      <w:bCs/>
      <w:kern w:val="0"/>
      <w:sz w:val="20"/>
    </w:rPr>
  </w:style>
  <w:style w:type="paragraph" w:customStyle="1" w:styleId="1411">
    <w:name w:val="xl54"/>
    <w:basedOn w:val="1"/>
    <w:autoRedefine/>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Lines="25" w:afterAutospacing="1" w:line="240" w:lineRule="auto"/>
      <w:jc w:val="center"/>
    </w:pPr>
    <w:rPr>
      <w:rFonts w:ascii="Arial Unicode MS" w:hAnsi="Arial Unicode MS" w:eastAsia="Arial Unicode MS"/>
      <w:kern w:val="0"/>
      <w:sz w:val="18"/>
      <w:szCs w:val="18"/>
    </w:rPr>
  </w:style>
  <w:style w:type="paragraph" w:customStyle="1" w:styleId="1412">
    <w:name w:val="xl46"/>
    <w:basedOn w:val="1"/>
    <w:autoRedefine/>
    <w:qFormat/>
    <w:uiPriority w:val="0"/>
    <w:pPr>
      <w:widowControl/>
      <w:pBdr>
        <w:left w:val="single" w:color="auto" w:sz="4" w:space="0"/>
        <w:bottom w:val="single" w:color="auto" w:sz="4" w:space="0"/>
        <w:right w:val="single" w:color="auto" w:sz="4" w:space="0"/>
      </w:pBdr>
      <w:adjustRightInd/>
      <w:snapToGrid/>
      <w:spacing w:before="100" w:beforeAutospacing="1" w:afterLines="25" w:afterAutospacing="1" w:line="240" w:lineRule="auto"/>
      <w:jc w:val="center"/>
      <w:textAlignment w:val="top"/>
    </w:pPr>
    <w:rPr>
      <w:rFonts w:ascii="Arial Unicode MS" w:hAnsi="Arial Unicode MS" w:eastAsia="Arial Unicode MS"/>
      <w:b/>
      <w:bCs/>
      <w:color w:val="000000"/>
      <w:kern w:val="0"/>
      <w:sz w:val="18"/>
      <w:szCs w:val="18"/>
    </w:rPr>
  </w:style>
  <w:style w:type="paragraph" w:customStyle="1" w:styleId="1413">
    <w:name w:val="Title 4"/>
    <w:basedOn w:val="6"/>
    <w:next w:val="1"/>
    <w:autoRedefine/>
    <w:qFormat/>
    <w:uiPriority w:val="99"/>
    <w:pPr>
      <w:widowControl/>
      <w:numPr>
        <w:ilvl w:val="0"/>
        <w:numId w:val="0"/>
      </w:numPr>
      <w:tabs>
        <w:tab w:val="left" w:pos="0"/>
      </w:tabs>
      <w:adjustRightInd/>
      <w:snapToGrid/>
      <w:spacing w:before="120" w:line="400" w:lineRule="exact"/>
      <w:ind w:hanging="420"/>
      <w:jc w:val="both"/>
    </w:pPr>
    <w:rPr>
      <w:rFonts w:ascii="宋体" w:hAnsi="宋体" w:cs="Arial"/>
      <w:kern w:val="0"/>
      <w:szCs w:val="24"/>
    </w:rPr>
  </w:style>
  <w:style w:type="paragraph" w:customStyle="1" w:styleId="1414">
    <w:name w:val="Title 5"/>
    <w:basedOn w:val="7"/>
    <w:next w:val="1"/>
    <w:autoRedefine/>
    <w:qFormat/>
    <w:uiPriority w:val="99"/>
    <w:pPr>
      <w:widowControl/>
      <w:numPr>
        <w:ilvl w:val="0"/>
        <w:numId w:val="0"/>
      </w:numPr>
      <w:adjustRightInd/>
      <w:snapToGrid/>
      <w:spacing w:before="240" w:after="0" w:line="240" w:lineRule="auto"/>
      <w:ind w:left="2100" w:hanging="420"/>
    </w:pPr>
    <w:rPr>
      <w:rFonts w:ascii="Arial" w:hAnsi="Arial" w:eastAsia="华文细黑"/>
      <w:b w:val="0"/>
      <w:bCs w:val="0"/>
      <w:color w:val="243F60"/>
      <w:kern w:val="0"/>
      <w:sz w:val="20"/>
      <w:szCs w:val="26"/>
    </w:rPr>
  </w:style>
  <w:style w:type="paragraph" w:customStyle="1" w:styleId="1415">
    <w:name w:val="xl49"/>
    <w:basedOn w:val="1"/>
    <w:autoRedefine/>
    <w:qFormat/>
    <w:uiPriority w:val="0"/>
    <w:pPr>
      <w:widowControl/>
      <w:pBdr>
        <w:left w:val="single" w:color="auto" w:sz="4" w:space="0"/>
        <w:bottom w:val="single" w:color="auto" w:sz="4" w:space="0"/>
      </w:pBdr>
      <w:adjustRightInd/>
      <w:snapToGrid/>
      <w:spacing w:before="100" w:beforeAutospacing="1" w:afterLines="25" w:afterAutospacing="1" w:line="240" w:lineRule="auto"/>
      <w:textAlignment w:val="top"/>
    </w:pPr>
    <w:rPr>
      <w:rFonts w:ascii="Arial Unicode MS" w:hAnsi="Arial Unicode MS" w:eastAsia="Arial Unicode MS"/>
      <w:b/>
      <w:bCs/>
      <w:color w:val="000000"/>
      <w:kern w:val="0"/>
      <w:sz w:val="18"/>
      <w:szCs w:val="18"/>
    </w:rPr>
  </w:style>
  <w:style w:type="paragraph" w:customStyle="1" w:styleId="1416">
    <w:name w:val="Title 2"/>
    <w:basedOn w:val="4"/>
    <w:next w:val="1"/>
    <w:autoRedefine/>
    <w:qFormat/>
    <w:uiPriority w:val="99"/>
    <w:pPr>
      <w:keepNext w:val="0"/>
      <w:keepLines w:val="0"/>
      <w:widowControl/>
      <w:numPr>
        <w:ilvl w:val="0"/>
        <w:numId w:val="0"/>
      </w:numPr>
      <w:tabs>
        <w:tab w:val="left" w:pos="0"/>
      </w:tabs>
      <w:adjustRightInd/>
      <w:snapToGrid/>
      <w:spacing w:before="300" w:after="120" w:line="400" w:lineRule="exact"/>
      <w:ind w:left="431" w:hanging="420"/>
    </w:pPr>
    <w:rPr>
      <w:rFonts w:ascii="宋体" w:hAnsi="宋体" w:cs="Arial"/>
      <w:bCs w:val="0"/>
      <w:color w:val="4F81BD"/>
      <w:kern w:val="0"/>
      <w:sz w:val="28"/>
      <w:szCs w:val="22"/>
      <w:lang w:eastAsia="en-US"/>
    </w:rPr>
  </w:style>
  <w:style w:type="paragraph" w:customStyle="1" w:styleId="1417">
    <w:name w:val="Title 3"/>
    <w:basedOn w:val="5"/>
    <w:next w:val="1"/>
    <w:autoRedefine/>
    <w:qFormat/>
    <w:uiPriority w:val="99"/>
    <w:pPr>
      <w:widowControl/>
      <w:numPr>
        <w:ilvl w:val="0"/>
        <w:numId w:val="0"/>
      </w:numPr>
      <w:tabs>
        <w:tab w:val="left" w:pos="0"/>
      </w:tabs>
      <w:adjustRightInd/>
      <w:spacing w:before="240" w:after="120" w:line="400" w:lineRule="exact"/>
      <w:ind w:hanging="420"/>
    </w:pPr>
    <w:rPr>
      <w:rFonts w:cs="Arial"/>
      <w:b w:val="0"/>
      <w:bCs w:val="0"/>
      <w:color w:val="000000"/>
      <w:kern w:val="0"/>
      <w:szCs w:val="26"/>
    </w:rPr>
  </w:style>
  <w:style w:type="paragraph" w:customStyle="1" w:styleId="1418">
    <w:name w:val="xl719"/>
    <w:basedOn w:val="1"/>
    <w:autoRedefine/>
    <w:qFormat/>
    <w:uiPriority w:val="99"/>
    <w:pPr>
      <w:widowControl/>
      <w:pBdr>
        <w:top w:val="single" w:color="auto" w:sz="4" w:space="0"/>
        <w:bottom w:val="single" w:color="auto" w:sz="4" w:space="0"/>
        <w:right w:val="single" w:color="auto" w:sz="4" w:space="0"/>
      </w:pBdr>
      <w:adjustRightInd/>
      <w:snapToGrid/>
      <w:spacing w:before="100" w:beforeAutospacing="1" w:after="100" w:afterAutospacing="1" w:line="440" w:lineRule="exact"/>
      <w:jc w:val="center"/>
      <w:textAlignment w:val="center"/>
    </w:pPr>
    <w:rPr>
      <w:rFonts w:ascii="宋体" w:hAnsi="宋体" w:cs="宋体"/>
      <w:kern w:val="0"/>
      <w:sz w:val="20"/>
    </w:rPr>
  </w:style>
  <w:style w:type="paragraph" w:customStyle="1" w:styleId="1419">
    <w:name w:val="样式 首行缩进:  2 字符2"/>
    <w:basedOn w:val="1"/>
    <w:autoRedefine/>
    <w:qFormat/>
    <w:uiPriority w:val="0"/>
    <w:pPr>
      <w:widowControl/>
      <w:adjustRightInd/>
      <w:spacing w:line="300" w:lineRule="auto"/>
    </w:pPr>
    <w:rPr>
      <w:rFonts w:ascii="宋体" w:hAnsi="Calibri" w:cs="宋体"/>
      <w:kern w:val="0"/>
      <w:sz w:val="28"/>
      <w:szCs w:val="28"/>
    </w:rPr>
  </w:style>
  <w:style w:type="paragraph" w:customStyle="1" w:styleId="1420">
    <w:name w:val="封面标准文稿编辑信息"/>
    <w:autoRedefine/>
    <w:qFormat/>
    <w:uiPriority w:val="0"/>
    <w:pPr>
      <w:spacing w:before="180" w:after="200" w:line="180" w:lineRule="exact"/>
      <w:jc w:val="center"/>
    </w:pPr>
    <w:rPr>
      <w:rFonts w:ascii="宋体" w:hAnsi="Times New Roman" w:eastAsia="宋体" w:cs="Times New Roman"/>
      <w:lang w:val="en-US" w:eastAsia="zh-CN" w:bidi="ar-SA"/>
    </w:rPr>
  </w:style>
  <w:style w:type="paragraph" w:customStyle="1" w:styleId="1421">
    <w:name w:val="正文仿宋"/>
    <w:basedOn w:val="1"/>
    <w:autoRedefine/>
    <w:qFormat/>
    <w:uiPriority w:val="0"/>
    <w:pPr>
      <w:spacing w:line="360" w:lineRule="auto"/>
      <w:ind w:firstLine="567" w:firstLineChars="0"/>
    </w:pPr>
    <w:rPr>
      <w:rFonts w:eastAsia="仿宋_GB2312"/>
      <w:snapToGrid w:val="0"/>
      <w:kern w:val="0"/>
    </w:rPr>
  </w:style>
  <w:style w:type="paragraph" w:customStyle="1" w:styleId="1422">
    <w:name w:val="表样"/>
    <w:basedOn w:val="1"/>
    <w:autoRedefine/>
    <w:qFormat/>
    <w:uiPriority w:val="99"/>
    <w:pPr>
      <w:widowControl/>
      <w:autoSpaceDE w:val="0"/>
      <w:autoSpaceDN w:val="0"/>
      <w:snapToGrid/>
      <w:spacing w:afterLines="50" w:line="360" w:lineRule="exact"/>
      <w:jc w:val="center"/>
      <w:textAlignment w:val="bottom"/>
    </w:pPr>
    <w:rPr>
      <w:rFonts w:ascii="宋体" w:hAnsi="Calibri" w:eastAsia="仿宋_GB2312"/>
      <w:color w:val="000000"/>
      <w:kern w:val="0"/>
    </w:rPr>
  </w:style>
  <w:style w:type="paragraph" w:customStyle="1" w:styleId="1423">
    <w:name w:val="标题 2-1"/>
    <w:basedOn w:val="4"/>
    <w:next w:val="1"/>
    <w:autoRedefine/>
    <w:qFormat/>
    <w:uiPriority w:val="99"/>
    <w:pPr>
      <w:widowControl/>
      <w:numPr>
        <w:ilvl w:val="0"/>
        <w:numId w:val="0"/>
      </w:numPr>
      <w:tabs>
        <w:tab w:val="left" w:pos="0"/>
      </w:tabs>
      <w:adjustRightInd/>
      <w:snapToGrid/>
      <w:spacing w:beforeLines="100" w:line="360" w:lineRule="auto"/>
    </w:pPr>
    <w:rPr>
      <w:rFonts w:ascii="Cambria" w:hAnsi="Cambria"/>
      <w:kern w:val="0"/>
      <w:sz w:val="28"/>
      <w:szCs w:val="30"/>
      <w:lang w:eastAsia="en-US"/>
    </w:rPr>
  </w:style>
  <w:style w:type="paragraph" w:customStyle="1" w:styleId="1424">
    <w:name w:val="样式 样式 标题 1标题 1 CharH1H11H12Heading 11level 1Level 1 Head章章... + ..."/>
    <w:basedOn w:val="1"/>
    <w:autoRedefine/>
    <w:qFormat/>
    <w:uiPriority w:val="99"/>
    <w:pPr>
      <w:keepNext/>
      <w:keepLines/>
      <w:spacing w:line="348" w:lineRule="auto"/>
      <w:ind w:firstLine="0" w:firstLineChars="0"/>
      <w:jc w:val="left"/>
      <w:textAlignment w:val="baseline"/>
      <w:outlineLvl w:val="0"/>
    </w:pPr>
    <w:rPr>
      <w:rFonts w:cs="宋体"/>
      <w:b/>
      <w:bCs/>
      <w:color w:val="000000"/>
      <w:kern w:val="44"/>
      <w:sz w:val="28"/>
    </w:rPr>
  </w:style>
  <w:style w:type="paragraph" w:customStyle="1" w:styleId="1425">
    <w:name w:val="ST20_11"/>
    <w:basedOn w:val="1"/>
    <w:autoRedefine/>
    <w:qFormat/>
    <w:uiPriority w:val="99"/>
    <w:pPr>
      <w:widowControl/>
      <w:snapToGrid/>
      <w:spacing w:line="440" w:lineRule="exact"/>
      <w:jc w:val="center"/>
      <w:textAlignment w:val="baseline"/>
    </w:pPr>
    <w:rPr>
      <w:rFonts w:ascii="宋体" w:hAnsi="Calibri"/>
      <w:kern w:val="0"/>
    </w:rPr>
  </w:style>
  <w:style w:type="paragraph" w:customStyle="1" w:styleId="1426">
    <w:name w:val="xl56"/>
    <w:basedOn w:val="1"/>
    <w:autoRedefine/>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Lines="25" w:afterAutospacing="1" w:line="240" w:lineRule="auto"/>
      <w:jc w:val="center"/>
    </w:pPr>
    <w:rPr>
      <w:rFonts w:eastAsia="Arial Unicode MS"/>
      <w:kern w:val="0"/>
      <w:sz w:val="18"/>
      <w:szCs w:val="18"/>
    </w:rPr>
  </w:style>
  <w:style w:type="paragraph" w:customStyle="1" w:styleId="1427">
    <w:name w:val="样式 标题 2 + 宋体 四号"/>
    <w:basedOn w:val="4"/>
    <w:autoRedefine/>
    <w:qFormat/>
    <w:uiPriority w:val="99"/>
    <w:pPr>
      <w:widowControl/>
      <w:numPr>
        <w:ilvl w:val="0"/>
        <w:numId w:val="0"/>
      </w:numPr>
      <w:adjustRightInd/>
      <w:snapToGrid/>
      <w:spacing w:before="200" w:afterLines="50" w:line="240" w:lineRule="auto"/>
      <w:ind w:left="431"/>
    </w:pPr>
    <w:rPr>
      <w:rFonts w:ascii="宋体" w:hAnsi="宋体"/>
      <w:b w:val="0"/>
      <w:color w:val="4F81BD"/>
      <w:spacing w:val="1"/>
      <w:kern w:val="0"/>
      <w:szCs w:val="26"/>
      <w:lang w:eastAsia="en-US"/>
    </w:rPr>
  </w:style>
  <w:style w:type="paragraph" w:customStyle="1" w:styleId="1428">
    <w:name w:val="612表头"/>
    <w:basedOn w:val="1"/>
    <w:autoRedefine/>
    <w:qFormat/>
    <w:uiPriority w:val="99"/>
    <w:pPr>
      <w:widowControl/>
      <w:adjustRightInd/>
      <w:snapToGrid/>
      <w:spacing w:before="120" w:line="360" w:lineRule="auto"/>
      <w:jc w:val="center"/>
    </w:pPr>
    <w:rPr>
      <w:rFonts w:ascii="宋体" w:hAnsi="Calibri" w:eastAsia="黑体"/>
      <w:bCs/>
      <w:kern w:val="0"/>
    </w:rPr>
  </w:style>
  <w:style w:type="paragraph" w:customStyle="1" w:styleId="1429">
    <w:name w:val="612表格"/>
    <w:basedOn w:val="1"/>
    <w:autoRedefine/>
    <w:qFormat/>
    <w:uiPriority w:val="99"/>
    <w:pPr>
      <w:widowControl/>
      <w:adjustRightInd/>
      <w:snapToGrid/>
      <w:spacing w:line="360" w:lineRule="atLeast"/>
      <w:jc w:val="center"/>
    </w:pPr>
    <w:rPr>
      <w:rFonts w:ascii="宋体" w:hAnsi="Calibri" w:eastAsia="仿宋_GB2312"/>
      <w:kern w:val="0"/>
    </w:rPr>
  </w:style>
  <w:style w:type="paragraph" w:customStyle="1" w:styleId="1430">
    <w:name w:val="p18"/>
    <w:basedOn w:val="1"/>
    <w:autoRedefine/>
    <w:qFormat/>
    <w:uiPriority w:val="99"/>
    <w:pPr>
      <w:widowControl/>
      <w:adjustRightInd/>
      <w:snapToGrid/>
      <w:spacing w:line="240" w:lineRule="auto"/>
      <w:ind w:firstLine="420" w:firstLineChars="0"/>
    </w:pPr>
    <w:rPr>
      <w:rFonts w:ascii="Arial" w:hAnsi="Arial" w:cs="Arial"/>
      <w:kern w:val="0"/>
      <w:sz w:val="18"/>
      <w:szCs w:val="18"/>
    </w:rPr>
  </w:style>
  <w:style w:type="paragraph" w:customStyle="1" w:styleId="1431">
    <w:name w:val="样式 正文文字 + 宋体"/>
    <w:basedOn w:val="34"/>
    <w:autoRedefine/>
    <w:qFormat/>
    <w:uiPriority w:val="0"/>
    <w:pPr>
      <w:adjustRightInd/>
      <w:spacing w:before="20" w:after="0" w:line="348" w:lineRule="auto"/>
    </w:pPr>
    <w:rPr>
      <w:snapToGrid w:val="0"/>
      <w:color w:val="000000"/>
      <w:sz w:val="28"/>
      <w:szCs w:val="28"/>
    </w:rPr>
  </w:style>
  <w:style w:type="paragraph" w:customStyle="1" w:styleId="1432">
    <w:name w:val="目录2"/>
    <w:basedOn w:val="1"/>
    <w:autoRedefine/>
    <w:qFormat/>
    <w:uiPriority w:val="0"/>
    <w:pPr>
      <w:widowControl/>
      <w:adjustRightInd/>
      <w:snapToGrid/>
    </w:pPr>
    <w:rPr>
      <w:rFonts w:ascii="黑体" w:hAnsi="Calibri" w:eastAsia="黑体"/>
      <w:b/>
      <w:kern w:val="0"/>
      <w:sz w:val="28"/>
      <w:szCs w:val="28"/>
    </w:rPr>
  </w:style>
  <w:style w:type="paragraph" w:customStyle="1" w:styleId="1433">
    <w:name w:val="p20"/>
    <w:basedOn w:val="1"/>
    <w:autoRedefine/>
    <w:qFormat/>
    <w:uiPriority w:val="99"/>
    <w:pPr>
      <w:widowControl/>
      <w:adjustRightInd/>
      <w:snapToGrid/>
      <w:spacing w:line="240" w:lineRule="auto"/>
      <w:ind w:firstLine="420" w:firstLineChars="0"/>
    </w:pPr>
    <w:rPr>
      <w:rFonts w:ascii="Arial" w:hAnsi="Arial" w:cs="Arial"/>
      <w:kern w:val="0"/>
      <w:sz w:val="18"/>
      <w:szCs w:val="18"/>
    </w:rPr>
  </w:style>
  <w:style w:type="paragraph" w:customStyle="1" w:styleId="1434">
    <w:name w:val="Char Char Char1 Char Char Char Char Char Char Char Char Char Char Char Char Char"/>
    <w:basedOn w:val="1"/>
    <w:autoRedefine/>
    <w:qFormat/>
    <w:uiPriority w:val="99"/>
    <w:pPr>
      <w:adjustRightInd/>
      <w:snapToGrid/>
      <w:spacing w:line="240" w:lineRule="auto"/>
      <w:ind w:firstLine="0" w:firstLineChars="0"/>
    </w:pPr>
    <w:rPr>
      <w:rFonts w:ascii="Tahoma" w:hAnsi="Tahoma"/>
    </w:rPr>
  </w:style>
  <w:style w:type="paragraph" w:customStyle="1" w:styleId="1435">
    <w:name w:val="IDC A-Head (2nd Line)"/>
    <w:basedOn w:val="1"/>
    <w:next w:val="1"/>
    <w:autoRedefine/>
    <w:qFormat/>
    <w:uiPriority w:val="99"/>
    <w:pPr>
      <w:widowControl/>
      <w:adjustRightInd/>
      <w:snapToGrid/>
      <w:spacing w:line="240" w:lineRule="auto"/>
      <w:ind w:firstLine="0" w:firstLineChars="0"/>
      <w:jc w:val="center"/>
    </w:pPr>
    <w:rPr>
      <w:caps/>
      <w:kern w:val="0"/>
    </w:rPr>
  </w:style>
  <w:style w:type="paragraph" w:customStyle="1" w:styleId="1436">
    <w:name w:val="Char Char Char Char Char Char Char4"/>
    <w:basedOn w:val="1"/>
    <w:link w:val="3061"/>
    <w:autoRedefine/>
    <w:qFormat/>
    <w:uiPriority w:val="0"/>
    <w:pPr>
      <w:adjustRightInd/>
      <w:snapToGrid/>
      <w:spacing w:line="240" w:lineRule="auto"/>
      <w:ind w:firstLine="0" w:firstLineChars="0"/>
    </w:pPr>
    <w:rPr>
      <w:sz w:val="21"/>
      <w:szCs w:val="24"/>
    </w:rPr>
  </w:style>
  <w:style w:type="paragraph" w:customStyle="1" w:styleId="1437">
    <w:name w:val="无间隔7"/>
    <w:autoRedefine/>
    <w:qFormat/>
    <w:uiPriority w:val="99"/>
    <w:rPr>
      <w:rFonts w:ascii="Calibri" w:hAnsi="Calibri" w:eastAsia="宋体" w:cs="Times New Roman"/>
      <w:sz w:val="22"/>
      <w:szCs w:val="22"/>
      <w:lang w:val="en-US" w:eastAsia="en-US" w:bidi="ar-SA"/>
    </w:rPr>
  </w:style>
  <w:style w:type="paragraph" w:customStyle="1" w:styleId="1438">
    <w:name w:val="表格文字居中"/>
    <w:basedOn w:val="1"/>
    <w:autoRedefine/>
    <w:qFormat/>
    <w:uiPriority w:val="0"/>
    <w:pPr>
      <w:adjustRightInd/>
      <w:spacing w:beforeLines="20" w:line="288" w:lineRule="auto"/>
      <w:ind w:firstLine="0" w:firstLineChars="0"/>
      <w:jc w:val="center"/>
    </w:pPr>
    <w:rPr>
      <w:sz w:val="21"/>
    </w:rPr>
  </w:style>
  <w:style w:type="paragraph" w:customStyle="1" w:styleId="1439">
    <w:name w:val="Header Base"/>
    <w:basedOn w:val="34"/>
    <w:autoRedefine/>
    <w:qFormat/>
    <w:uiPriority w:val="0"/>
    <w:pPr>
      <w:keepLines/>
      <w:widowControl/>
      <w:tabs>
        <w:tab w:val="center" w:pos="4320"/>
        <w:tab w:val="right" w:pos="8640"/>
      </w:tabs>
      <w:adjustRightInd/>
      <w:snapToGrid/>
      <w:spacing w:after="0" w:line="180" w:lineRule="atLeast"/>
      <w:ind w:firstLine="0" w:firstLineChars="0"/>
    </w:pPr>
    <w:rPr>
      <w:rFonts w:ascii="Arial" w:hAnsi="Arial"/>
      <w:spacing w:val="-5"/>
      <w:sz w:val="20"/>
    </w:rPr>
  </w:style>
  <w:style w:type="paragraph" w:customStyle="1" w:styleId="1440">
    <w:name w:val="TOC 标题11"/>
    <w:basedOn w:val="3"/>
    <w:next w:val="1"/>
    <w:autoRedefine/>
    <w:qFormat/>
    <w:uiPriority w:val="39"/>
    <w:pPr>
      <w:widowControl/>
      <w:numPr>
        <w:numId w:val="0"/>
      </w:numPr>
      <w:adjustRightInd/>
      <w:snapToGrid/>
      <w:spacing w:beforeLines="100" w:afterLines="100" w:line="360" w:lineRule="auto"/>
      <w:jc w:val="center"/>
      <w:outlineLvl w:val="9"/>
    </w:pPr>
    <w:rPr>
      <w:rFonts w:ascii="Cambria" w:hAnsi="Cambria" w:eastAsia="黑体"/>
      <w:bCs w:val="0"/>
      <w:kern w:val="0"/>
      <w:sz w:val="32"/>
      <w:szCs w:val="28"/>
    </w:rPr>
  </w:style>
  <w:style w:type="paragraph" w:customStyle="1" w:styleId="1441">
    <w:name w:val="CM145"/>
    <w:basedOn w:val="151"/>
    <w:next w:val="151"/>
    <w:autoRedefine/>
    <w:qFormat/>
    <w:uiPriority w:val="99"/>
    <w:pPr>
      <w:spacing w:after="333"/>
    </w:pPr>
    <w:rPr>
      <w:rFonts w:ascii="Sim Sun" w:eastAsia="Sim Sun"/>
      <w:color w:val="auto"/>
    </w:rPr>
  </w:style>
  <w:style w:type="paragraph" w:customStyle="1" w:styleId="1442">
    <w:name w:val="CM25"/>
    <w:basedOn w:val="151"/>
    <w:next w:val="151"/>
    <w:autoRedefine/>
    <w:qFormat/>
    <w:uiPriority w:val="0"/>
    <w:pPr>
      <w:spacing w:line="471" w:lineRule="atLeast"/>
    </w:pPr>
    <w:rPr>
      <w:rFonts w:ascii="Sim Sun" w:eastAsia="Sim Sun"/>
      <w:color w:val="auto"/>
    </w:rPr>
  </w:style>
  <w:style w:type="paragraph" w:customStyle="1" w:styleId="1443">
    <w:name w:val="标题正文"/>
    <w:basedOn w:val="1"/>
    <w:autoRedefine/>
    <w:qFormat/>
    <w:uiPriority w:val="0"/>
    <w:pPr>
      <w:adjustRightInd/>
      <w:snapToGrid/>
      <w:spacing w:line="360" w:lineRule="auto"/>
      <w:ind w:firstLine="480"/>
    </w:pPr>
    <w:rPr>
      <w:rFonts w:eastAsia="仿宋_GB2312"/>
    </w:rPr>
  </w:style>
  <w:style w:type="paragraph" w:customStyle="1" w:styleId="1444">
    <w:name w:val="bh1"/>
    <w:basedOn w:val="1"/>
    <w:autoRedefine/>
    <w:qFormat/>
    <w:uiPriority w:val="99"/>
    <w:pPr>
      <w:widowControl/>
      <w:adjustRightInd/>
      <w:snapToGrid/>
      <w:spacing w:line="240" w:lineRule="auto"/>
      <w:ind w:firstLine="0" w:firstLineChars="0"/>
      <w:jc w:val="left"/>
    </w:pPr>
    <w:rPr>
      <w:rFonts w:ascii="宋体" w:hAnsi="宋体" w:cs="宋体"/>
      <w:kern w:val="0"/>
      <w:szCs w:val="24"/>
    </w:rPr>
  </w:style>
  <w:style w:type="paragraph" w:customStyle="1" w:styleId="1445">
    <w:name w:val="p17"/>
    <w:basedOn w:val="1"/>
    <w:autoRedefine/>
    <w:qFormat/>
    <w:uiPriority w:val="99"/>
    <w:pPr>
      <w:widowControl/>
      <w:adjustRightInd/>
      <w:snapToGrid/>
      <w:spacing w:line="240" w:lineRule="auto"/>
      <w:ind w:firstLine="0" w:firstLineChars="0"/>
      <w:jc w:val="center"/>
    </w:pPr>
    <w:rPr>
      <w:rFonts w:ascii="Arial" w:hAnsi="Arial" w:cs="Arial"/>
      <w:kern w:val="0"/>
      <w:sz w:val="21"/>
      <w:szCs w:val="21"/>
    </w:rPr>
  </w:style>
  <w:style w:type="paragraph" w:customStyle="1" w:styleId="1446">
    <w:name w:val="Char Char1 Char Char Char Char"/>
    <w:basedOn w:val="1"/>
    <w:autoRedefine/>
    <w:qFormat/>
    <w:uiPriority w:val="0"/>
    <w:pPr>
      <w:adjustRightInd/>
      <w:snapToGrid/>
      <w:spacing w:line="240" w:lineRule="auto"/>
      <w:ind w:firstLine="0" w:firstLineChars="0"/>
    </w:pPr>
    <w:rPr>
      <w:szCs w:val="24"/>
    </w:rPr>
  </w:style>
  <w:style w:type="paragraph" w:customStyle="1" w:styleId="1447">
    <w:name w:val="1.1.1.1标题"/>
    <w:basedOn w:val="1"/>
    <w:autoRedefine/>
    <w:qFormat/>
    <w:uiPriority w:val="99"/>
    <w:pPr>
      <w:spacing w:line="460" w:lineRule="exact"/>
      <w:ind w:firstLine="472" w:firstLineChars="196"/>
      <w:outlineLvl w:val="3"/>
    </w:pPr>
    <w:rPr>
      <w:rFonts w:ascii="Arial" w:hAnsi="Arial" w:eastAsia="黑体" w:cs="Arial"/>
      <w:b/>
      <w:bCs/>
      <w:snapToGrid w:val="0"/>
      <w:color w:val="000000"/>
      <w:kern w:val="0"/>
      <w:szCs w:val="24"/>
    </w:rPr>
  </w:style>
  <w:style w:type="paragraph" w:customStyle="1" w:styleId="1448">
    <w:name w:val="xl43"/>
    <w:basedOn w:val="1"/>
    <w:autoRedefine/>
    <w:qFormat/>
    <w:uiPriority w:val="0"/>
    <w:pPr>
      <w:widowControl/>
      <w:pBdr>
        <w:left w:val="single" w:color="auto" w:sz="4" w:space="0"/>
        <w:right w:val="single" w:color="auto" w:sz="4" w:space="0"/>
      </w:pBdr>
      <w:adjustRightInd/>
      <w:snapToGrid/>
      <w:spacing w:before="100" w:beforeAutospacing="1" w:afterLines="25" w:afterAutospacing="1" w:line="240" w:lineRule="auto"/>
      <w:jc w:val="center"/>
    </w:pPr>
    <w:rPr>
      <w:rFonts w:hint="eastAsia" w:ascii="仿宋_GB2312" w:hAnsi="Arial Unicode MS" w:eastAsia="仿宋_GB2312"/>
      <w:kern w:val="0"/>
      <w:sz w:val="18"/>
      <w:szCs w:val="18"/>
    </w:rPr>
  </w:style>
  <w:style w:type="paragraph" w:customStyle="1" w:styleId="1449">
    <w:name w:val="tit"/>
    <w:basedOn w:val="1"/>
    <w:autoRedefine/>
    <w:qFormat/>
    <w:uiPriority w:val="0"/>
    <w:pPr>
      <w:adjustRightInd/>
      <w:spacing w:line="240" w:lineRule="auto"/>
      <w:ind w:firstLine="0" w:firstLineChars="0"/>
      <w:jc w:val="center"/>
    </w:pPr>
    <w:rPr>
      <w:kern w:val="0"/>
      <w:sz w:val="21"/>
    </w:rPr>
  </w:style>
  <w:style w:type="paragraph" w:customStyle="1" w:styleId="1450">
    <w:name w:val="Body Text First Indent2"/>
    <w:basedOn w:val="34"/>
    <w:autoRedefine/>
    <w:qFormat/>
    <w:uiPriority w:val="0"/>
    <w:pPr>
      <w:snapToGrid/>
      <w:spacing w:after="0" w:line="312" w:lineRule="auto"/>
      <w:ind w:firstLine="567" w:firstLineChars="0"/>
      <w:textAlignment w:val="baseline"/>
    </w:pPr>
    <w:rPr>
      <w:rFonts w:eastAsia="Wingdings"/>
      <w:sz w:val="28"/>
    </w:rPr>
  </w:style>
  <w:style w:type="paragraph" w:customStyle="1" w:styleId="1451">
    <w:name w:val="CC Char Char Char Char Char Char"/>
    <w:basedOn w:val="700"/>
    <w:next w:val="700"/>
    <w:autoRedefine/>
    <w:qFormat/>
    <w:uiPriority w:val="0"/>
    <w:pPr>
      <w:widowControl w:val="0"/>
      <w:ind w:left="630" w:leftChars="100" w:right="100" w:rightChars="100" w:firstLine="0" w:firstLineChars="0"/>
    </w:pPr>
    <w:rPr>
      <w:rFonts w:ascii="Times New Roman" w:hAnsi="Times New Roman"/>
      <w:sz w:val="28"/>
      <w:szCs w:val="28"/>
      <w:lang w:eastAsia="zh-CN"/>
    </w:rPr>
  </w:style>
  <w:style w:type="paragraph" w:customStyle="1" w:styleId="1452">
    <w:name w:val="纯文本3"/>
    <w:basedOn w:val="1"/>
    <w:autoRedefine/>
    <w:qFormat/>
    <w:uiPriority w:val="0"/>
    <w:pPr>
      <w:snapToGrid/>
      <w:spacing w:line="240" w:lineRule="auto"/>
      <w:ind w:firstLine="0" w:firstLineChars="0"/>
      <w:textAlignment w:val="baseline"/>
    </w:pPr>
    <w:rPr>
      <w:rFonts w:ascii="宋体" w:hAnsi="Courier New"/>
      <w:sz w:val="21"/>
    </w:rPr>
  </w:style>
  <w:style w:type="paragraph" w:customStyle="1" w:styleId="1453">
    <w:name w:val="表格头"/>
    <w:autoRedefine/>
    <w:qFormat/>
    <w:uiPriority w:val="0"/>
    <w:pPr>
      <w:adjustRightInd w:val="0"/>
      <w:snapToGrid w:val="0"/>
      <w:spacing w:line="348" w:lineRule="auto"/>
      <w:jc w:val="center"/>
    </w:pPr>
    <w:rPr>
      <w:rFonts w:ascii="Times New Roman" w:hAnsi="Times New Roman" w:eastAsia="宋体" w:cs="Times New Roman"/>
      <w:sz w:val="28"/>
      <w:lang w:val="en-US" w:eastAsia="zh-CN" w:bidi="ar-SA"/>
    </w:rPr>
  </w:style>
  <w:style w:type="paragraph" w:customStyle="1" w:styleId="1454">
    <w:name w:val="Char Char Char1 Char Char Char Char Char Char Char Char Char Char2"/>
    <w:basedOn w:val="1"/>
    <w:autoRedefine/>
    <w:qFormat/>
    <w:uiPriority w:val="99"/>
    <w:pPr>
      <w:spacing w:line="360" w:lineRule="auto"/>
    </w:pPr>
    <w:rPr>
      <w:rFonts w:ascii="宋体" w:hAnsi="宋体" w:cs="宋体"/>
      <w:szCs w:val="26"/>
    </w:rPr>
  </w:style>
  <w:style w:type="paragraph" w:customStyle="1" w:styleId="1455">
    <w:name w:val="封面标准名称"/>
    <w:autoRedefine/>
    <w:qFormat/>
    <w:uiPriority w:val="0"/>
    <w:pPr>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456">
    <w:name w:val="MFS正文 Char"/>
    <w:basedOn w:val="649"/>
    <w:autoRedefine/>
    <w:qFormat/>
    <w:uiPriority w:val="99"/>
    <w:pPr>
      <w:widowControl w:val="0"/>
      <w:adjustRightInd w:val="0"/>
      <w:snapToGrid w:val="0"/>
      <w:spacing w:before="93" w:line="360" w:lineRule="auto"/>
      <w:ind w:firstLine="200" w:firstLineChars="200"/>
    </w:pPr>
    <w:rPr>
      <w:rFonts w:ascii="Times New Roman" w:hAnsi="Times New Roman" w:eastAsia="楷体_GB2312"/>
      <w:sz w:val="24"/>
    </w:rPr>
  </w:style>
  <w:style w:type="paragraph" w:customStyle="1" w:styleId="1457">
    <w:name w:val="MFS表格表头"/>
    <w:basedOn w:val="1"/>
    <w:autoRedefine/>
    <w:qFormat/>
    <w:uiPriority w:val="99"/>
    <w:pPr>
      <w:adjustRightInd/>
      <w:snapToGrid/>
      <w:spacing w:line="360" w:lineRule="auto"/>
      <w:ind w:firstLine="0" w:firstLineChars="0"/>
      <w:jc w:val="center"/>
    </w:pPr>
    <w:rPr>
      <w:rFonts w:ascii="宋体" w:hAnsi="宋体"/>
      <w:b/>
      <w:szCs w:val="24"/>
    </w:rPr>
  </w:style>
  <w:style w:type="paragraph" w:customStyle="1" w:styleId="1458">
    <w:name w:val="样式 正文文本缩进正文文字缩进特点标题表内左齐 + (中文) 仿宋_GB2312 11.5 磅 两端对齐 行距: 1..."/>
    <w:basedOn w:val="700"/>
    <w:autoRedefine/>
    <w:qFormat/>
    <w:uiPriority w:val="0"/>
    <w:pPr>
      <w:spacing w:after="0" w:line="360" w:lineRule="auto"/>
      <w:ind w:left="0" w:leftChars="0" w:firstLine="460"/>
    </w:pPr>
    <w:rPr>
      <w:rFonts w:ascii="Times New Roman" w:hAnsi="Times New Roman" w:eastAsia="仿宋_GB2312"/>
      <w:sz w:val="23"/>
      <w:lang w:eastAsia="zh-CN"/>
    </w:rPr>
  </w:style>
  <w:style w:type="paragraph" w:customStyle="1" w:styleId="1459">
    <w:name w:val="样式17"/>
    <w:basedOn w:val="1"/>
    <w:link w:val="2619"/>
    <w:autoRedefine/>
    <w:qFormat/>
    <w:uiPriority w:val="0"/>
    <w:pPr>
      <w:keepNext/>
      <w:keepLines/>
      <w:adjustRightInd/>
      <w:spacing w:line="348" w:lineRule="auto"/>
      <w:ind w:firstLine="0" w:firstLineChars="0"/>
      <w:outlineLvl w:val="2"/>
    </w:pPr>
    <w:rPr>
      <w:bCs/>
      <w:snapToGrid w:val="0"/>
      <w:spacing w:val="8"/>
      <w:sz w:val="28"/>
      <w:szCs w:val="28"/>
    </w:rPr>
  </w:style>
  <w:style w:type="paragraph" w:customStyle="1" w:styleId="1460">
    <w:name w:val="body 1"/>
    <w:basedOn w:val="1"/>
    <w:autoRedefine/>
    <w:qFormat/>
    <w:uiPriority w:val="99"/>
    <w:pPr>
      <w:snapToGrid/>
      <w:spacing w:line="360" w:lineRule="atLeast"/>
      <w:ind w:firstLine="0" w:firstLineChars="0"/>
      <w:textAlignment w:val="baseline"/>
    </w:pPr>
    <w:rPr>
      <w:rFonts w:ascii="華康中楷體" w:eastAsia="華康中楷體"/>
      <w:spacing w:val="60"/>
      <w:kern w:val="0"/>
      <w:lang w:eastAsia="zh-TW"/>
    </w:rPr>
  </w:style>
  <w:style w:type="paragraph" w:customStyle="1" w:styleId="1461">
    <w:name w:val="AFTERTITLE"/>
    <w:basedOn w:val="1"/>
    <w:autoRedefine/>
    <w:qFormat/>
    <w:uiPriority w:val="0"/>
    <w:pPr>
      <w:widowControl/>
      <w:adjustRightInd/>
      <w:snapToGrid/>
      <w:spacing w:afterLines="25" w:line="360" w:lineRule="atLeast"/>
      <w:jc w:val="center"/>
    </w:pPr>
    <w:rPr>
      <w:b/>
      <w:caps/>
      <w:kern w:val="0"/>
    </w:rPr>
  </w:style>
  <w:style w:type="paragraph" w:customStyle="1" w:styleId="1462">
    <w:name w:val="文档结构图12"/>
    <w:basedOn w:val="1"/>
    <w:autoRedefine/>
    <w:qFormat/>
    <w:uiPriority w:val="99"/>
    <w:pPr>
      <w:shd w:val="clear" w:color="auto" w:fill="000080"/>
      <w:snapToGrid/>
      <w:spacing w:line="360" w:lineRule="atLeast"/>
      <w:ind w:firstLine="0" w:firstLineChars="0"/>
      <w:jc w:val="left"/>
      <w:textAlignment w:val="baseline"/>
    </w:pPr>
    <w:rPr>
      <w:rFonts w:eastAsia="Wingdings"/>
      <w:kern w:val="0"/>
    </w:rPr>
  </w:style>
  <w:style w:type="paragraph" w:customStyle="1" w:styleId="1463">
    <w:name w:val="new"/>
    <w:basedOn w:val="1"/>
    <w:autoRedefine/>
    <w:qFormat/>
    <w:uiPriority w:val="0"/>
    <w:pPr>
      <w:adjustRightInd/>
      <w:spacing w:line="360" w:lineRule="auto"/>
      <w:ind w:firstLine="480"/>
    </w:pPr>
    <w:rPr>
      <w:rFonts w:eastAsia="仿宋_GB2312"/>
      <w:szCs w:val="24"/>
    </w:rPr>
  </w:style>
  <w:style w:type="paragraph" w:customStyle="1" w:styleId="1464">
    <w:name w:val="ST20_1"/>
    <w:basedOn w:val="1"/>
    <w:autoRedefine/>
    <w:qFormat/>
    <w:uiPriority w:val="99"/>
    <w:pPr>
      <w:snapToGrid/>
      <w:spacing w:line="240" w:lineRule="auto"/>
      <w:ind w:firstLine="0" w:firstLineChars="0"/>
      <w:jc w:val="center"/>
      <w:textAlignment w:val="baseline"/>
    </w:pPr>
    <w:rPr>
      <w:rFonts w:ascii="宋体"/>
      <w:kern w:val="0"/>
      <w:sz w:val="21"/>
    </w:rPr>
  </w:style>
  <w:style w:type="paragraph" w:customStyle="1" w:styleId="1465">
    <w:name w:val="论文标题2"/>
    <w:basedOn w:val="1"/>
    <w:autoRedefine/>
    <w:qFormat/>
    <w:uiPriority w:val="99"/>
    <w:pPr>
      <w:adjustRightInd/>
      <w:snapToGrid/>
      <w:spacing w:line="360" w:lineRule="auto"/>
      <w:ind w:firstLine="0" w:firstLineChars="0"/>
      <w:jc w:val="center"/>
    </w:pPr>
    <w:rPr>
      <w:rFonts w:ascii="黑体" w:eastAsia="黑体"/>
      <w:sz w:val="21"/>
    </w:rPr>
  </w:style>
  <w:style w:type="paragraph" w:customStyle="1" w:styleId="1466">
    <w:name w:val="文档结构图2"/>
    <w:basedOn w:val="1"/>
    <w:autoRedefine/>
    <w:qFormat/>
    <w:uiPriority w:val="0"/>
    <w:pPr>
      <w:shd w:val="clear" w:color="auto" w:fill="000080"/>
      <w:snapToGrid/>
      <w:spacing w:line="360" w:lineRule="atLeast"/>
      <w:ind w:firstLine="0" w:firstLineChars="0"/>
      <w:jc w:val="left"/>
      <w:textAlignment w:val="baseline"/>
    </w:pPr>
    <w:rPr>
      <w:rFonts w:eastAsia="Wingdings"/>
      <w:kern w:val="0"/>
    </w:rPr>
  </w:style>
  <w:style w:type="paragraph" w:customStyle="1" w:styleId="1467">
    <w:name w:val="表格尾格式"/>
    <w:basedOn w:val="1"/>
    <w:autoRedefine/>
    <w:qFormat/>
    <w:uiPriority w:val="99"/>
    <w:pPr>
      <w:tabs>
        <w:tab w:val="left" w:pos="1701"/>
      </w:tabs>
      <w:spacing w:line="240" w:lineRule="exact"/>
      <w:ind w:left="561" w:firstLine="0" w:firstLineChars="0"/>
      <w:jc w:val="left"/>
    </w:pPr>
    <w:rPr>
      <w:sz w:val="10"/>
      <w:szCs w:val="24"/>
    </w:rPr>
  </w:style>
  <w:style w:type="paragraph" w:customStyle="1" w:styleId="1468">
    <w:name w:val="纯文本2"/>
    <w:basedOn w:val="1"/>
    <w:autoRedefine/>
    <w:qFormat/>
    <w:uiPriority w:val="99"/>
    <w:pPr>
      <w:adjustRightInd/>
      <w:snapToGrid/>
      <w:spacing w:line="460" w:lineRule="exact"/>
      <w:ind w:firstLine="0" w:firstLineChars="0"/>
    </w:pPr>
    <w:rPr>
      <w:szCs w:val="24"/>
    </w:rPr>
  </w:style>
  <w:style w:type="paragraph" w:customStyle="1" w:styleId="1469">
    <w:name w:val="正文首行缩进11"/>
    <w:basedOn w:val="34"/>
    <w:autoRedefine/>
    <w:qFormat/>
    <w:uiPriority w:val="99"/>
    <w:pPr>
      <w:spacing w:after="0" w:line="312" w:lineRule="auto"/>
      <w:ind w:firstLine="567"/>
      <w:jc w:val="left"/>
      <w:textAlignment w:val="baseline"/>
    </w:pPr>
    <w:rPr>
      <w:sz w:val="28"/>
    </w:rPr>
  </w:style>
  <w:style w:type="paragraph" w:customStyle="1" w:styleId="1470">
    <w:name w:val="Char Char Char1 Char Char Char Char Char Char Char"/>
    <w:basedOn w:val="1"/>
    <w:autoRedefine/>
    <w:qFormat/>
    <w:uiPriority w:val="0"/>
    <w:pPr>
      <w:adjustRightInd/>
      <w:snapToGrid/>
      <w:spacing w:line="240" w:lineRule="auto"/>
      <w:ind w:firstLine="0" w:firstLineChars="0"/>
    </w:pPr>
    <w:rPr>
      <w:rFonts w:ascii="Tahoma" w:hAnsi="Tahoma"/>
    </w:rPr>
  </w:style>
  <w:style w:type="paragraph" w:customStyle="1" w:styleId="1471">
    <w:name w:val="Bullet_Indent"/>
    <w:basedOn w:val="1"/>
    <w:autoRedefine/>
    <w:qFormat/>
    <w:uiPriority w:val="99"/>
    <w:pPr>
      <w:widowControl/>
      <w:spacing w:after="240" w:line="360" w:lineRule="auto"/>
      <w:ind w:left="1440" w:hanging="720" w:firstLineChars="0"/>
      <w:jc w:val="left"/>
    </w:pPr>
    <w:rPr>
      <w:kern w:val="0"/>
    </w:rPr>
  </w:style>
  <w:style w:type="paragraph" w:customStyle="1" w:styleId="1472">
    <w:name w:val="Char1 Char Char Char1"/>
    <w:basedOn w:val="1"/>
    <w:autoRedefine/>
    <w:qFormat/>
    <w:uiPriority w:val="0"/>
    <w:pPr>
      <w:adjustRightInd/>
      <w:snapToGrid/>
      <w:spacing w:line="240" w:lineRule="auto"/>
      <w:ind w:firstLine="0" w:firstLineChars="0"/>
    </w:pPr>
    <w:rPr>
      <w:rFonts w:eastAsia="仿宋_GB2312"/>
    </w:rPr>
  </w:style>
  <w:style w:type="paragraph" w:customStyle="1" w:styleId="1473">
    <w:name w:val="正文文字 3"/>
    <w:basedOn w:val="151"/>
    <w:next w:val="151"/>
    <w:autoRedefine/>
    <w:qFormat/>
    <w:uiPriority w:val="99"/>
    <w:rPr>
      <w:rFonts w:ascii="宋体"/>
      <w:color w:val="auto"/>
      <w:szCs w:val="20"/>
    </w:rPr>
  </w:style>
  <w:style w:type="paragraph" w:customStyle="1" w:styleId="1474">
    <w:name w:val="p2"/>
    <w:basedOn w:val="1"/>
    <w:autoRedefine/>
    <w:qFormat/>
    <w:uiPriority w:val="99"/>
    <w:pPr>
      <w:widowControl/>
      <w:adjustRightInd/>
      <w:snapToGrid/>
      <w:spacing w:before="100" w:beforeAutospacing="1" w:after="100" w:afterAutospacing="1" w:line="240" w:lineRule="auto"/>
      <w:ind w:firstLine="0" w:firstLineChars="0"/>
      <w:jc w:val="left"/>
    </w:pPr>
    <w:rPr>
      <w:rFonts w:ascii="宋体" w:hAnsi="宋体"/>
      <w:kern w:val="0"/>
      <w:sz w:val="21"/>
      <w:szCs w:val="21"/>
    </w:rPr>
  </w:style>
  <w:style w:type="paragraph" w:customStyle="1" w:styleId="1475">
    <w:name w:val="文本框五号1.5倍行距"/>
    <w:basedOn w:val="1107"/>
    <w:autoRedefine/>
    <w:qFormat/>
    <w:uiPriority w:val="0"/>
    <w:pPr>
      <w:spacing w:line="360" w:lineRule="auto"/>
    </w:pPr>
  </w:style>
  <w:style w:type="paragraph" w:customStyle="1" w:styleId="1476">
    <w:name w:val="正文文本缩进 212"/>
    <w:basedOn w:val="1"/>
    <w:autoRedefine/>
    <w:qFormat/>
    <w:uiPriority w:val="99"/>
    <w:pPr>
      <w:snapToGrid/>
      <w:spacing w:line="348" w:lineRule="auto"/>
      <w:ind w:firstLine="573" w:firstLineChars="0"/>
      <w:textAlignment w:val="baseline"/>
    </w:pPr>
    <w:rPr>
      <w:rFonts w:eastAsia="Wingdings"/>
      <w:sz w:val="28"/>
    </w:rPr>
  </w:style>
  <w:style w:type="paragraph" w:customStyle="1" w:styleId="1477">
    <w:name w:val="Char Char Char Char Char Char"/>
    <w:basedOn w:val="1"/>
    <w:autoRedefine/>
    <w:qFormat/>
    <w:uiPriority w:val="0"/>
    <w:pPr>
      <w:adjustRightInd/>
      <w:snapToGrid/>
      <w:spacing w:line="240" w:lineRule="auto"/>
      <w:ind w:firstLine="0" w:firstLineChars="0"/>
    </w:pPr>
    <w:rPr>
      <w:szCs w:val="24"/>
    </w:rPr>
  </w:style>
  <w:style w:type="paragraph" w:customStyle="1" w:styleId="1478">
    <w:name w:val="日期22"/>
    <w:basedOn w:val="1"/>
    <w:next w:val="1"/>
    <w:autoRedefine/>
    <w:qFormat/>
    <w:uiPriority w:val="99"/>
    <w:pPr>
      <w:snapToGrid/>
      <w:spacing w:line="360" w:lineRule="atLeast"/>
      <w:ind w:firstLine="0" w:firstLineChars="0"/>
    </w:pPr>
    <w:rPr>
      <w:rFonts w:hint="eastAsia" w:ascii="宋体"/>
      <w:spacing w:val="20"/>
      <w:kern w:val="0"/>
      <w:sz w:val="28"/>
    </w:rPr>
  </w:style>
  <w:style w:type="paragraph" w:customStyle="1" w:styleId="1479">
    <w:name w:val="xl50"/>
    <w:basedOn w:val="1"/>
    <w:autoRedefine/>
    <w:qFormat/>
    <w:uiPriority w:val="0"/>
    <w:pPr>
      <w:widowControl/>
      <w:pBdr>
        <w:left w:val="single" w:color="auto" w:sz="4" w:space="0"/>
        <w:right w:val="single" w:color="auto" w:sz="4" w:space="0"/>
      </w:pBdr>
      <w:adjustRightInd/>
      <w:snapToGrid/>
      <w:spacing w:before="100" w:after="100" w:line="240" w:lineRule="auto"/>
      <w:ind w:firstLine="0" w:firstLineChars="0"/>
      <w:jc w:val="center"/>
      <w:textAlignment w:val="center"/>
    </w:pPr>
    <w:rPr>
      <w:rFonts w:ascii="宋体" w:hAnsi="宋体"/>
      <w:kern w:val="0"/>
    </w:rPr>
  </w:style>
  <w:style w:type="paragraph" w:customStyle="1" w:styleId="1480">
    <w:name w:val="样式 四号 行距: 多倍行距 1.45 字行"/>
    <w:basedOn w:val="1"/>
    <w:autoRedefine/>
    <w:qFormat/>
    <w:uiPriority w:val="0"/>
    <w:pPr>
      <w:adjustRightInd/>
      <w:spacing w:line="348" w:lineRule="auto"/>
      <w:ind w:firstLine="0" w:firstLineChars="0"/>
    </w:pPr>
    <w:rPr>
      <w:rFonts w:cs="宋体"/>
      <w:sz w:val="28"/>
    </w:rPr>
  </w:style>
  <w:style w:type="paragraph" w:customStyle="1" w:styleId="1481">
    <w:name w:val="Char2 Char Char Char Char Char Char"/>
    <w:basedOn w:val="1"/>
    <w:next w:val="707"/>
    <w:autoRedefine/>
    <w:qFormat/>
    <w:uiPriority w:val="0"/>
    <w:pPr>
      <w:adjustRightInd/>
      <w:snapToGrid/>
      <w:spacing w:line="240" w:lineRule="auto"/>
      <w:ind w:firstLine="0" w:firstLineChars="0"/>
    </w:pPr>
    <w:rPr>
      <w:sz w:val="28"/>
    </w:rPr>
  </w:style>
  <w:style w:type="paragraph" w:customStyle="1" w:styleId="1482">
    <w:name w:val="xl44"/>
    <w:basedOn w:val="1"/>
    <w:autoRedefine/>
    <w:qFormat/>
    <w:uiPriority w:val="0"/>
    <w:pPr>
      <w:widowControl/>
      <w:pBdr>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Arial Unicode MS" w:hAnsi="Arial Unicode MS" w:eastAsia="Arial Unicode MS"/>
      <w:kern w:val="0"/>
    </w:rPr>
  </w:style>
  <w:style w:type="paragraph" w:customStyle="1" w:styleId="1483">
    <w:name w:val="CM6"/>
    <w:basedOn w:val="1"/>
    <w:next w:val="1"/>
    <w:autoRedefine/>
    <w:qFormat/>
    <w:uiPriority w:val="0"/>
    <w:pPr>
      <w:autoSpaceDE w:val="0"/>
      <w:autoSpaceDN w:val="0"/>
      <w:snapToGrid/>
      <w:spacing w:line="411" w:lineRule="atLeast"/>
      <w:ind w:firstLine="0" w:firstLineChars="0"/>
      <w:jc w:val="left"/>
    </w:pPr>
    <w:rPr>
      <w:rFonts w:ascii="宋体"/>
      <w:kern w:val="0"/>
      <w:szCs w:val="24"/>
    </w:rPr>
  </w:style>
  <w:style w:type="paragraph" w:customStyle="1" w:styleId="1484">
    <w:name w:val="段落"/>
    <w:basedOn w:val="1"/>
    <w:autoRedefine/>
    <w:qFormat/>
    <w:uiPriority w:val="0"/>
    <w:pPr>
      <w:snapToGrid/>
      <w:spacing w:afterLines="25" w:line="240" w:lineRule="auto"/>
      <w:ind w:firstLine="510"/>
      <w:jc w:val="left"/>
      <w:textAlignment w:val="baseline"/>
    </w:pPr>
    <w:rPr>
      <w:rFonts w:eastAsia="楷体"/>
      <w:kern w:val="0"/>
      <w:sz w:val="28"/>
    </w:rPr>
  </w:style>
  <w:style w:type="paragraph" w:customStyle="1" w:styleId="1485">
    <w:name w:val="大表内容"/>
    <w:autoRedefine/>
    <w:qFormat/>
    <w:uiPriority w:val="0"/>
    <w:pPr>
      <w:snapToGrid w:val="0"/>
      <w:jc w:val="center"/>
    </w:pPr>
    <w:rPr>
      <w:rFonts w:ascii="Times New Roman" w:hAnsi="Times New Roman" w:eastAsia="宋体" w:cs="Times New Roman"/>
      <w:lang w:val="en-US" w:eastAsia="zh-CN" w:bidi="ar-SA"/>
    </w:rPr>
  </w:style>
  <w:style w:type="paragraph" w:customStyle="1" w:styleId="1486">
    <w:name w:val="公式"/>
    <w:basedOn w:val="1"/>
    <w:link w:val="3141"/>
    <w:autoRedefine/>
    <w:qFormat/>
    <w:uiPriority w:val="0"/>
    <w:pPr>
      <w:snapToGrid/>
      <w:spacing w:afterLines="25" w:line="394" w:lineRule="atLeast"/>
      <w:ind w:firstLine="510"/>
      <w:jc w:val="center"/>
      <w:textAlignment w:val="baseline"/>
    </w:pPr>
    <w:rPr>
      <w:rFonts w:ascii="宋体"/>
      <w:kern w:val="0"/>
      <w:sz w:val="28"/>
      <w:szCs w:val="28"/>
    </w:rPr>
  </w:style>
  <w:style w:type="paragraph" w:customStyle="1" w:styleId="1487">
    <w:name w:val="表标题"/>
    <w:basedOn w:val="1"/>
    <w:link w:val="1488"/>
    <w:autoRedefine/>
    <w:qFormat/>
    <w:uiPriority w:val="0"/>
    <w:pPr>
      <w:keepNext/>
      <w:snapToGrid/>
      <w:spacing w:before="60" w:afterLines="25" w:line="397" w:lineRule="atLeast"/>
      <w:jc w:val="center"/>
    </w:pPr>
    <w:rPr>
      <w:b/>
      <w:color w:val="000000"/>
      <w:kern w:val="0"/>
      <w:lang w:val="zh-CN"/>
    </w:rPr>
  </w:style>
  <w:style w:type="character" w:customStyle="1" w:styleId="1488">
    <w:name w:val="表标题 Char Char"/>
    <w:link w:val="1487"/>
    <w:autoRedefine/>
    <w:qFormat/>
    <w:uiPriority w:val="0"/>
    <w:rPr>
      <w:rFonts w:ascii="Times New Roman" w:hAnsi="Times New Roman"/>
      <w:b/>
      <w:color w:val="000000"/>
      <w:sz w:val="24"/>
    </w:rPr>
  </w:style>
  <w:style w:type="paragraph" w:customStyle="1" w:styleId="1489">
    <w:name w:val="样式 正文文本缩进特点标题表内左齐 + 首行缩进:  2 字符"/>
    <w:basedOn w:val="694"/>
    <w:autoRedefine/>
    <w:qFormat/>
    <w:uiPriority w:val="0"/>
    <w:pPr>
      <w:widowControl w:val="0"/>
      <w:spacing w:after="0"/>
      <w:ind w:left="0" w:leftChars="0"/>
    </w:pPr>
    <w:rPr>
      <w:rFonts w:ascii="Times New Roman" w:hAnsi="Times New Roman" w:eastAsia="仿宋_GB2312"/>
      <w:snapToGrid w:val="0"/>
      <w:color w:val="000000"/>
      <w:spacing w:val="4"/>
    </w:rPr>
  </w:style>
  <w:style w:type="paragraph" w:customStyle="1" w:styleId="1490">
    <w:name w:val="xl42"/>
    <w:basedOn w:val="1"/>
    <w:autoRedefine/>
    <w:qFormat/>
    <w:uiPriority w:val="0"/>
    <w:pPr>
      <w:widowControl/>
      <w:pBdr>
        <w:left w:val="single" w:color="auto" w:sz="4" w:space="0"/>
        <w:right w:val="single" w:color="auto" w:sz="4" w:space="0"/>
      </w:pBdr>
      <w:adjustRightInd/>
      <w:snapToGrid/>
      <w:spacing w:before="100" w:beforeAutospacing="1" w:afterLines="25" w:afterAutospacing="1" w:line="240" w:lineRule="auto"/>
      <w:jc w:val="center"/>
    </w:pPr>
    <w:rPr>
      <w:rFonts w:ascii="Arial Unicode MS" w:hAnsi="Arial Unicode MS" w:eastAsia="Arial Unicode MS"/>
      <w:b/>
      <w:bCs/>
      <w:kern w:val="0"/>
      <w:sz w:val="18"/>
      <w:szCs w:val="18"/>
    </w:rPr>
  </w:style>
  <w:style w:type="paragraph" w:customStyle="1" w:styleId="1491">
    <w:name w:val="xl62"/>
    <w:basedOn w:val="1"/>
    <w:autoRedefine/>
    <w:qFormat/>
    <w:uiPriority w:val="0"/>
    <w:pPr>
      <w:widowControl/>
      <w:adjustRightInd/>
      <w:snapToGrid/>
      <w:spacing w:before="100" w:beforeAutospacing="1" w:afterLines="25" w:afterAutospacing="1" w:line="240" w:lineRule="auto"/>
      <w:jc w:val="center"/>
    </w:pPr>
    <w:rPr>
      <w:rFonts w:hint="eastAsia" w:ascii="黑体" w:hAnsi="Arial Unicode MS" w:eastAsia="黑体"/>
      <w:b/>
      <w:bCs/>
      <w:kern w:val="0"/>
      <w:sz w:val="28"/>
      <w:szCs w:val="28"/>
    </w:rPr>
  </w:style>
  <w:style w:type="paragraph" w:customStyle="1" w:styleId="1492">
    <w:name w:val="xl51"/>
    <w:basedOn w:val="1"/>
    <w:autoRedefine/>
    <w:qFormat/>
    <w:uiPriority w:val="0"/>
    <w:pPr>
      <w:widowControl/>
      <w:pBdr>
        <w:bottom w:val="single" w:color="auto" w:sz="4" w:space="0"/>
        <w:right w:val="single" w:color="auto" w:sz="4" w:space="0"/>
      </w:pBdr>
      <w:adjustRightInd/>
      <w:snapToGrid/>
      <w:spacing w:before="100" w:beforeAutospacing="1" w:afterLines="25" w:afterAutospacing="1" w:line="240" w:lineRule="auto"/>
      <w:jc w:val="center"/>
    </w:pPr>
    <w:rPr>
      <w:rFonts w:eastAsia="Arial Unicode MS"/>
      <w:kern w:val="0"/>
      <w:sz w:val="18"/>
      <w:szCs w:val="18"/>
    </w:rPr>
  </w:style>
  <w:style w:type="paragraph" w:customStyle="1" w:styleId="1493">
    <w:name w:val="xl57"/>
    <w:basedOn w:val="1"/>
    <w:autoRedefine/>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Lines="25" w:afterAutospacing="1" w:line="240" w:lineRule="auto"/>
      <w:jc w:val="left"/>
    </w:pPr>
    <w:rPr>
      <w:rFonts w:ascii="Arial Unicode MS" w:hAnsi="Arial Unicode MS" w:eastAsia="Arial Unicode MS"/>
      <w:kern w:val="0"/>
      <w:sz w:val="18"/>
      <w:szCs w:val="18"/>
    </w:rPr>
  </w:style>
  <w:style w:type="paragraph" w:customStyle="1" w:styleId="1494">
    <w:name w:val="xl59"/>
    <w:basedOn w:val="1"/>
    <w:autoRedefine/>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Lines="25" w:afterAutospacing="1" w:line="240" w:lineRule="auto"/>
      <w:jc w:val="center"/>
    </w:pPr>
    <w:rPr>
      <w:rFonts w:ascii="Arial Unicode MS" w:hAnsi="Arial Unicode MS" w:eastAsia="Arial Unicode MS"/>
      <w:kern w:val="0"/>
      <w:sz w:val="18"/>
      <w:szCs w:val="18"/>
    </w:rPr>
  </w:style>
  <w:style w:type="paragraph" w:customStyle="1" w:styleId="1495">
    <w:name w:val="Char Char Char Char Char Char Char Char Char Char Char Char Char3"/>
    <w:basedOn w:val="1"/>
    <w:autoRedefine/>
    <w:qFormat/>
    <w:uiPriority w:val="0"/>
    <w:pPr>
      <w:adjustRightInd/>
      <w:spacing w:line="360" w:lineRule="auto"/>
    </w:pPr>
    <w:rPr>
      <w:rFonts w:eastAsia="仿宋_GB2312"/>
      <w:szCs w:val="24"/>
    </w:rPr>
  </w:style>
  <w:style w:type="paragraph" w:customStyle="1" w:styleId="1496">
    <w:name w:val="xl61"/>
    <w:basedOn w:val="1"/>
    <w:autoRedefine/>
    <w:qFormat/>
    <w:uiPriority w:val="0"/>
    <w:pPr>
      <w:widowControl/>
      <w:adjustRightInd/>
      <w:snapToGrid/>
      <w:spacing w:before="100" w:beforeAutospacing="1" w:afterLines="25" w:afterAutospacing="1" w:line="240" w:lineRule="auto"/>
      <w:jc w:val="center"/>
    </w:pPr>
    <w:rPr>
      <w:rFonts w:ascii="Arial Unicode MS" w:hAnsi="Arial Unicode MS" w:eastAsia="Arial Unicode MS"/>
      <w:b/>
      <w:bCs/>
      <w:kern w:val="0"/>
      <w:sz w:val="18"/>
      <w:szCs w:val="18"/>
    </w:rPr>
  </w:style>
  <w:style w:type="paragraph" w:customStyle="1" w:styleId="1497">
    <w:name w:val="Char Char Char Char Char Char Char Char Char Char Char Char Char2"/>
    <w:basedOn w:val="1"/>
    <w:autoRedefine/>
    <w:qFormat/>
    <w:uiPriority w:val="0"/>
    <w:pPr>
      <w:adjustRightInd/>
      <w:spacing w:line="360" w:lineRule="auto"/>
    </w:pPr>
    <w:rPr>
      <w:rFonts w:eastAsia="仿宋_GB2312"/>
      <w:szCs w:val="24"/>
    </w:rPr>
  </w:style>
  <w:style w:type="paragraph" w:customStyle="1" w:styleId="1498">
    <w:name w:val="样式 标题 2 + 宋体 小四"/>
    <w:basedOn w:val="4"/>
    <w:autoRedefine/>
    <w:qFormat/>
    <w:uiPriority w:val="0"/>
    <w:pPr>
      <w:numPr>
        <w:ilvl w:val="0"/>
        <w:numId w:val="0"/>
      </w:numPr>
      <w:adjustRightInd/>
      <w:snapToGrid/>
      <w:spacing w:before="260" w:afterLines="25" w:line="288" w:lineRule="auto"/>
      <w:ind w:firstLine="200" w:firstLineChars="200"/>
    </w:pPr>
    <w:rPr>
      <w:rFonts w:ascii="宋体" w:hAnsi="宋体"/>
      <w:szCs w:val="24"/>
    </w:rPr>
  </w:style>
  <w:style w:type="paragraph" w:customStyle="1" w:styleId="1499">
    <w:name w:val="Char Char Char1 Char Char Char Char Char Char Char3"/>
    <w:basedOn w:val="1"/>
    <w:autoRedefine/>
    <w:qFormat/>
    <w:uiPriority w:val="99"/>
    <w:pPr>
      <w:adjustRightInd/>
      <w:spacing w:line="348" w:lineRule="auto"/>
      <w:ind w:firstLine="0" w:firstLineChars="0"/>
    </w:pPr>
    <w:rPr>
      <w:rFonts w:ascii="Tahoma" w:hAnsi="Tahoma"/>
    </w:rPr>
  </w:style>
  <w:style w:type="paragraph" w:customStyle="1" w:styleId="1500">
    <w:name w:val="Char Char Char Char Char Char1 Char2"/>
    <w:basedOn w:val="1"/>
    <w:autoRedefine/>
    <w:qFormat/>
    <w:uiPriority w:val="0"/>
    <w:pPr>
      <w:adjustRightInd/>
      <w:snapToGrid/>
      <w:spacing w:line="240" w:lineRule="auto"/>
      <w:ind w:firstLine="0" w:firstLineChars="0"/>
    </w:pPr>
    <w:rPr>
      <w:sz w:val="21"/>
      <w:szCs w:val="24"/>
    </w:rPr>
  </w:style>
  <w:style w:type="paragraph" w:customStyle="1" w:styleId="1501">
    <w:name w:val="样式2 Char Char"/>
    <w:basedOn w:val="725"/>
    <w:autoRedefine/>
    <w:qFormat/>
    <w:uiPriority w:val="0"/>
    <w:pPr>
      <w:tabs>
        <w:tab w:val="left" w:pos="3360"/>
      </w:tabs>
      <w:adjustRightInd w:val="0"/>
      <w:snapToGrid w:val="0"/>
      <w:spacing w:before="0" w:after="0" w:line="360" w:lineRule="auto"/>
      <w:ind w:left="-2" w:leftChars="-1" w:firstLine="567" w:firstLineChars="0"/>
      <w:textAlignment w:val="baseline"/>
    </w:pPr>
    <w:rPr>
      <w:rFonts w:ascii="Arial" w:hAnsi="Arial" w:eastAsia="宋体" w:cs="Arial"/>
      <w:spacing w:val="6"/>
      <w:szCs w:val="24"/>
    </w:rPr>
  </w:style>
  <w:style w:type="paragraph" w:customStyle="1" w:styleId="1502">
    <w:name w:val="正文图五左"/>
    <w:basedOn w:val="1352"/>
    <w:autoRedefine/>
    <w:qFormat/>
    <w:uiPriority w:val="0"/>
  </w:style>
  <w:style w:type="paragraph" w:customStyle="1" w:styleId="1503">
    <w:name w:val="正文（首行缩进两字） Char Char Char Char Char"/>
    <w:basedOn w:val="1"/>
    <w:next w:val="725"/>
    <w:autoRedefine/>
    <w:qFormat/>
    <w:uiPriority w:val="99"/>
    <w:pPr>
      <w:adjustRightInd/>
      <w:snapToGrid/>
      <w:spacing w:line="240" w:lineRule="auto"/>
      <w:ind w:firstLine="420"/>
    </w:pPr>
    <w:rPr>
      <w:szCs w:val="24"/>
    </w:rPr>
  </w:style>
  <w:style w:type="paragraph" w:customStyle="1" w:styleId="1504">
    <w:name w:val="样式 标题 2 + 加粗 行距: 1.5 倍行距"/>
    <w:basedOn w:val="4"/>
    <w:autoRedefine/>
    <w:qFormat/>
    <w:uiPriority w:val="0"/>
    <w:pPr>
      <w:numPr>
        <w:ilvl w:val="0"/>
        <w:numId w:val="0"/>
      </w:numPr>
      <w:adjustRightInd/>
      <w:snapToGrid/>
      <w:spacing w:line="360" w:lineRule="auto"/>
    </w:pPr>
    <w:rPr>
      <w:rFonts w:eastAsia="仿宋_GB2312"/>
      <w:szCs w:val="20"/>
    </w:rPr>
  </w:style>
  <w:style w:type="paragraph" w:customStyle="1" w:styleId="1505">
    <w:name w:val="框图sq"/>
    <w:basedOn w:val="1"/>
    <w:autoRedefine/>
    <w:qFormat/>
    <w:uiPriority w:val="0"/>
    <w:pPr>
      <w:snapToGrid/>
      <w:spacing w:line="0" w:lineRule="atLeast"/>
      <w:ind w:firstLine="0" w:firstLineChars="0"/>
      <w:textAlignment w:val="baseline"/>
    </w:pPr>
    <w:rPr>
      <w:rFonts w:ascii="宋体"/>
      <w:kern w:val="0"/>
      <w:sz w:val="21"/>
    </w:rPr>
  </w:style>
  <w:style w:type="paragraph" w:customStyle="1" w:styleId="1506">
    <w:name w:val="列项——"/>
    <w:autoRedefine/>
    <w:qFormat/>
    <w:uiPriority w:val="0"/>
    <w:pPr>
      <w:widowControl w:val="0"/>
      <w:tabs>
        <w:tab w:val="left" w:pos="630"/>
      </w:tabs>
      <w:ind w:left="630" w:hanging="630"/>
      <w:jc w:val="both"/>
    </w:pPr>
    <w:rPr>
      <w:rFonts w:ascii="宋体" w:hAnsi="Times New Roman" w:eastAsia="宋体" w:cs="Times New Roman"/>
      <w:lang w:val="en-US" w:eastAsia="zh-CN" w:bidi="ar-SA"/>
    </w:rPr>
  </w:style>
  <w:style w:type="paragraph" w:customStyle="1" w:styleId="1507">
    <w:name w:val="iyz599"/>
    <w:basedOn w:val="1"/>
    <w:autoRedefine/>
    <w:qFormat/>
    <w:uiPriority w:val="99"/>
    <w:pPr>
      <w:widowControl/>
      <w:adjustRightInd/>
      <w:snapToGrid/>
      <w:spacing w:before="100" w:beforeAutospacing="1" w:after="100" w:afterAutospacing="1" w:line="240" w:lineRule="auto"/>
      <w:ind w:firstLine="0" w:firstLineChars="0"/>
      <w:jc w:val="left"/>
    </w:pPr>
    <w:rPr>
      <w:rFonts w:ascii="宋体" w:hAnsi="宋体" w:cs="宋体"/>
      <w:kern w:val="0"/>
      <w:szCs w:val="24"/>
    </w:rPr>
  </w:style>
  <w:style w:type="paragraph" w:customStyle="1" w:styleId="1508">
    <w:name w:val="样式 正文文本缩进正文文字缩进特点标题表内左齐 + (中文) 仿宋_GB2312 11 磅 两端对齐 行距: 1.5..."/>
    <w:basedOn w:val="694"/>
    <w:autoRedefine/>
    <w:qFormat/>
    <w:uiPriority w:val="0"/>
    <w:pPr>
      <w:widowControl w:val="0"/>
      <w:autoSpaceDE w:val="0"/>
      <w:autoSpaceDN w:val="0"/>
      <w:snapToGrid w:val="0"/>
      <w:spacing w:after="0"/>
      <w:ind w:left="0" w:leftChars="0" w:firstLine="440"/>
    </w:pPr>
    <w:rPr>
      <w:rFonts w:ascii="Times New Roman" w:hAnsi="Times New Roman" w:eastAsia="仿宋_GB2312"/>
      <w:sz w:val="22"/>
    </w:rPr>
  </w:style>
  <w:style w:type="paragraph" w:customStyle="1" w:styleId="1509">
    <w:name w:val="样式 正文文本缩进正文文字缩进特点标题表内左齐 + (中文) 仿宋_GB2312 11 磅 两端对齐 行距: 1.5...1"/>
    <w:basedOn w:val="694"/>
    <w:autoRedefine/>
    <w:qFormat/>
    <w:uiPriority w:val="0"/>
    <w:pPr>
      <w:widowControl w:val="0"/>
      <w:autoSpaceDE w:val="0"/>
      <w:autoSpaceDN w:val="0"/>
      <w:snapToGrid w:val="0"/>
      <w:spacing w:after="0"/>
      <w:ind w:left="0" w:leftChars="0" w:firstLine="440"/>
    </w:pPr>
    <w:rPr>
      <w:rFonts w:ascii="Times New Roman" w:hAnsi="Times New Roman" w:eastAsia="仿宋_GB2312"/>
      <w:sz w:val="22"/>
    </w:rPr>
  </w:style>
  <w:style w:type="paragraph" w:customStyle="1" w:styleId="1510">
    <w:name w:val="样式 正文文字缩进 3 + (西文) Times New Roman (中文) 仿宋_GB2312 11 磅"/>
    <w:basedOn w:val="699"/>
    <w:next w:val="1509"/>
    <w:autoRedefine/>
    <w:qFormat/>
    <w:uiPriority w:val="0"/>
    <w:pPr>
      <w:widowControl w:val="0"/>
      <w:snapToGrid w:val="0"/>
      <w:spacing w:after="0" w:line="312" w:lineRule="auto"/>
      <w:ind w:left="0" w:leftChars="0" w:firstLine="330" w:firstLineChars="150"/>
      <w:textAlignment w:val="baseline"/>
    </w:pPr>
    <w:rPr>
      <w:rFonts w:ascii="Times New Roman" w:hAnsi="Arial" w:eastAsia="仿宋_GB2312"/>
      <w:snapToGrid w:val="0"/>
      <w:spacing w:val="6"/>
      <w:sz w:val="22"/>
    </w:rPr>
  </w:style>
  <w:style w:type="paragraph" w:customStyle="1" w:styleId="1511">
    <w:name w:val="样式 表头 + 两端对齐"/>
    <w:basedOn w:val="394"/>
    <w:autoRedefine/>
    <w:qFormat/>
    <w:uiPriority w:val="0"/>
    <w:pPr>
      <w:keepNext/>
      <w:keepLines/>
      <w:spacing w:before="60" w:line="360" w:lineRule="auto"/>
      <w:ind w:firstLine="200" w:firstLineChars="200"/>
      <w:jc w:val="both"/>
    </w:pPr>
    <w:rPr>
      <w:rFonts w:eastAsia="仿宋_GB2312"/>
      <w:b w:val="0"/>
      <w:snapToGrid w:val="0"/>
      <w:szCs w:val="24"/>
      <w:lang w:val="en-US"/>
    </w:rPr>
  </w:style>
  <w:style w:type="paragraph" w:customStyle="1" w:styleId="1512">
    <w:name w:val="bt1"/>
    <w:basedOn w:val="1"/>
    <w:autoRedefine/>
    <w:qFormat/>
    <w:uiPriority w:val="0"/>
    <w:pPr>
      <w:adjustRightInd/>
      <w:spacing w:before="240" w:line="380" w:lineRule="atLeast"/>
      <w:ind w:firstLine="1201" w:firstLineChars="491"/>
    </w:pPr>
    <w:rPr>
      <w:rFonts w:ascii="Arial Narrow" w:hAnsi="Arial Narrow" w:eastAsia="黑体"/>
      <w:spacing w:val="-4"/>
      <w:w w:val="90"/>
      <w:sz w:val="28"/>
      <w:szCs w:val="28"/>
    </w:rPr>
  </w:style>
  <w:style w:type="paragraph" w:customStyle="1" w:styleId="1513">
    <w:name w:val="编号4号"/>
    <w:basedOn w:val="1"/>
    <w:autoRedefine/>
    <w:qFormat/>
    <w:uiPriority w:val="0"/>
    <w:pPr>
      <w:widowControl/>
      <w:adjustRightInd/>
      <w:spacing w:line="312" w:lineRule="auto"/>
      <w:ind w:firstLine="0" w:firstLineChars="0"/>
    </w:pPr>
    <w:rPr>
      <w:rFonts w:ascii="Arial" w:hAnsi="Arial" w:cs="Arial"/>
      <w:sz w:val="21"/>
      <w:szCs w:val="24"/>
    </w:rPr>
  </w:style>
  <w:style w:type="paragraph" w:customStyle="1" w:styleId="1514">
    <w:name w:val="样式 表格文字 + 五号 黑色"/>
    <w:basedOn w:val="184"/>
    <w:autoRedefine/>
    <w:qFormat/>
    <w:uiPriority w:val="0"/>
    <w:pPr>
      <w:widowControl/>
      <w:snapToGrid/>
      <w:spacing w:line="440" w:lineRule="exact"/>
      <w:ind w:firstLine="200" w:firstLineChars="200"/>
      <w:textAlignment w:val="auto"/>
    </w:pPr>
    <w:rPr>
      <w:rFonts w:ascii="仿宋_GB2312" w:hAnsi="Arial Black" w:eastAsia="仿宋_GB2312"/>
      <w:snapToGrid/>
      <w:kern w:val="44"/>
      <w:sz w:val="24"/>
      <w:szCs w:val="20"/>
      <w:lang w:val="en-US"/>
    </w:rPr>
  </w:style>
  <w:style w:type="paragraph" w:customStyle="1" w:styleId="1515">
    <w:name w:val="样式 表标题 + 段前: 0.5 行"/>
    <w:basedOn w:val="1487"/>
    <w:autoRedefine/>
    <w:qFormat/>
    <w:uiPriority w:val="0"/>
    <w:pPr>
      <w:keepLines/>
      <w:snapToGrid w:val="0"/>
      <w:spacing w:beforeLines="50" w:line="348" w:lineRule="auto"/>
      <w:ind w:firstLine="0" w:firstLineChars="0"/>
    </w:pPr>
    <w:rPr>
      <w:b w:val="0"/>
      <w:snapToGrid w:val="0"/>
      <w:color w:val="auto"/>
      <w:szCs w:val="24"/>
    </w:rPr>
  </w:style>
  <w:style w:type="paragraph" w:customStyle="1" w:styleId="1516">
    <w:name w:val="纯文本11"/>
    <w:basedOn w:val="1"/>
    <w:autoRedefine/>
    <w:qFormat/>
    <w:uiPriority w:val="99"/>
    <w:pPr>
      <w:spacing w:line="348" w:lineRule="auto"/>
      <w:textAlignment w:val="baseline"/>
    </w:pPr>
    <w:rPr>
      <w:rFonts w:ascii="宋体" w:hAnsi="Courier New"/>
      <w:color w:val="000000"/>
      <w:sz w:val="28"/>
    </w:rPr>
  </w:style>
  <w:style w:type="paragraph" w:customStyle="1" w:styleId="1517">
    <w:name w:val="样式 标题 1 + 仿宋_GB2312 加粗 首行缩进:  2 字符"/>
    <w:basedOn w:val="3"/>
    <w:autoRedefine/>
    <w:qFormat/>
    <w:uiPriority w:val="0"/>
    <w:pPr>
      <w:numPr>
        <w:numId w:val="0"/>
      </w:numPr>
      <w:spacing w:beforeLines="100" w:afterLines="100" w:line="360" w:lineRule="auto"/>
      <w:ind w:firstLine="562" w:firstLineChars="200"/>
      <w:jc w:val="both"/>
      <w:textAlignment w:val="baseline"/>
    </w:pPr>
    <w:rPr>
      <w:rFonts w:ascii="仿宋_GB2312" w:eastAsia="Times New Roman"/>
      <w:b w:val="0"/>
      <w:snapToGrid w:val="0"/>
      <w:kern w:val="0"/>
      <w:szCs w:val="20"/>
    </w:rPr>
  </w:style>
  <w:style w:type="paragraph" w:customStyle="1" w:styleId="1518">
    <w:name w:val="文本框5号两端齐"/>
    <w:basedOn w:val="1107"/>
    <w:autoRedefine/>
    <w:qFormat/>
    <w:uiPriority w:val="0"/>
    <w:pPr>
      <w:jc w:val="both"/>
    </w:pPr>
    <w:rPr>
      <w:sz w:val="15"/>
      <w:szCs w:val="15"/>
    </w:rPr>
  </w:style>
  <w:style w:type="paragraph" w:customStyle="1" w:styleId="1519">
    <w:name w:val="正文单倍行距"/>
    <w:basedOn w:val="1"/>
    <w:autoRedefine/>
    <w:qFormat/>
    <w:uiPriority w:val="0"/>
    <w:pPr>
      <w:tabs>
        <w:tab w:val="left" w:pos="8640"/>
      </w:tabs>
      <w:spacing w:line="360" w:lineRule="auto"/>
      <w:ind w:firstLine="0" w:firstLineChars="0"/>
      <w:jc w:val="center"/>
    </w:pPr>
    <w:rPr>
      <w:rFonts w:eastAsia="仿宋_GB2312"/>
      <w:sz w:val="18"/>
      <w:szCs w:val="18"/>
    </w:rPr>
  </w:style>
  <w:style w:type="paragraph" w:customStyle="1" w:styleId="1520">
    <w:name w:val="湛江码头表"/>
    <w:basedOn w:val="1"/>
    <w:autoRedefine/>
    <w:qFormat/>
    <w:uiPriority w:val="0"/>
    <w:pPr>
      <w:adjustRightInd/>
      <w:snapToGrid/>
      <w:spacing w:line="240" w:lineRule="auto"/>
      <w:ind w:firstLine="0" w:firstLineChars="0"/>
      <w:jc w:val="center"/>
    </w:pPr>
    <w:rPr>
      <w:rFonts w:eastAsia="仿宋_GB2312"/>
      <w:kern w:val="0"/>
      <w:sz w:val="21"/>
      <w:szCs w:val="24"/>
      <w:lang w:eastAsia="zh-TW"/>
    </w:rPr>
  </w:style>
  <w:style w:type="paragraph" w:customStyle="1" w:styleId="1521">
    <w:name w:val="表格文字五"/>
    <w:basedOn w:val="1"/>
    <w:autoRedefine/>
    <w:qFormat/>
    <w:uiPriority w:val="0"/>
    <w:pPr>
      <w:spacing w:beforeLines="20" w:afterLines="20" w:line="312" w:lineRule="auto"/>
      <w:ind w:firstLine="0" w:firstLineChars="0"/>
    </w:pPr>
    <w:rPr>
      <w:rFonts w:eastAsia="仿宋_GB2312"/>
      <w:sz w:val="21"/>
      <w:szCs w:val="21"/>
    </w:rPr>
  </w:style>
  <w:style w:type="paragraph" w:customStyle="1" w:styleId="1522">
    <w:name w:val="日期3"/>
    <w:basedOn w:val="1"/>
    <w:next w:val="1"/>
    <w:autoRedefine/>
    <w:qFormat/>
    <w:uiPriority w:val="0"/>
    <w:pPr>
      <w:snapToGrid/>
      <w:spacing w:line="360" w:lineRule="atLeast"/>
      <w:ind w:firstLine="0" w:firstLineChars="0"/>
      <w:textAlignment w:val="baseline"/>
    </w:pPr>
    <w:rPr>
      <w:rFonts w:ascii="宋体"/>
      <w:spacing w:val="20"/>
      <w:kern w:val="0"/>
      <w:sz w:val="28"/>
    </w:rPr>
  </w:style>
  <w:style w:type="paragraph" w:customStyle="1" w:styleId="1523">
    <w:name w:val="表名称"/>
    <w:basedOn w:val="1"/>
    <w:autoRedefine/>
    <w:qFormat/>
    <w:uiPriority w:val="0"/>
    <w:pPr>
      <w:tabs>
        <w:tab w:val="left" w:pos="-120"/>
      </w:tabs>
      <w:overflowPunct w:val="0"/>
      <w:topLinePunct/>
      <w:autoSpaceDE w:val="0"/>
      <w:spacing w:before="240" w:after="120" w:line="240" w:lineRule="atLeast"/>
      <w:ind w:firstLine="0" w:firstLineChars="0"/>
      <w:jc w:val="left"/>
      <w:textAlignment w:val="baseline"/>
    </w:pPr>
    <w:rPr>
      <w:rFonts w:eastAsia="仿宋_GB2312"/>
      <w:spacing w:val="16"/>
      <w:kern w:val="0"/>
      <w:szCs w:val="24"/>
    </w:rPr>
  </w:style>
  <w:style w:type="paragraph" w:customStyle="1" w:styleId="1524">
    <w:name w:val="样式 样式4 + 字距调整小四"/>
    <w:basedOn w:val="1"/>
    <w:autoRedefine/>
    <w:qFormat/>
    <w:uiPriority w:val="0"/>
    <w:pPr>
      <w:adjustRightInd/>
      <w:snapToGrid/>
      <w:spacing w:line="240" w:lineRule="auto"/>
      <w:ind w:firstLine="0" w:firstLineChars="0"/>
    </w:pPr>
    <w:rPr>
      <w:rFonts w:ascii="Arial" w:hAnsi="Arial" w:eastAsia="楷体_GB2312" w:cs="Arial"/>
      <w:kern w:val="24"/>
      <w:szCs w:val="24"/>
    </w:rPr>
  </w:style>
  <w:style w:type="paragraph" w:customStyle="1" w:styleId="1525">
    <w:name w:val="表格五中"/>
    <w:autoRedefine/>
    <w:qFormat/>
    <w:uiPriority w:val="0"/>
    <w:pPr>
      <w:adjustRightInd w:val="0"/>
      <w:snapToGrid w:val="0"/>
      <w:spacing w:line="240" w:lineRule="atLeast"/>
      <w:jc w:val="center"/>
    </w:pPr>
    <w:rPr>
      <w:rFonts w:ascii="Times New Roman" w:hAnsi="Times New Roman" w:eastAsia="宋体" w:cs="Times New Roman"/>
      <w:lang w:val="en-US" w:eastAsia="zh-CN" w:bidi="ar-SA"/>
    </w:rPr>
  </w:style>
  <w:style w:type="paragraph" w:customStyle="1" w:styleId="1526">
    <w:name w:val="样式 标题 2节标题 1.1b21.1标题2h2l22nd levelTitre2Header 2标题2b2..."/>
    <w:basedOn w:val="4"/>
    <w:autoRedefine/>
    <w:qFormat/>
    <w:uiPriority w:val="0"/>
    <w:pPr>
      <w:keepNext w:val="0"/>
      <w:keepLines w:val="0"/>
      <w:widowControl/>
      <w:numPr>
        <w:ilvl w:val="0"/>
        <w:numId w:val="0"/>
      </w:numPr>
      <w:snapToGrid/>
      <w:spacing w:line="360" w:lineRule="auto"/>
      <w:jc w:val="left"/>
      <w:textAlignment w:val="baseline"/>
    </w:pPr>
    <w:rPr>
      <w:rFonts w:eastAsia="仿宋_GB2312" w:cs="宋体"/>
      <w:kern w:val="0"/>
      <w:szCs w:val="20"/>
    </w:rPr>
  </w:style>
  <w:style w:type="paragraph" w:customStyle="1" w:styleId="1527">
    <w:name w:val="Heading Base"/>
    <w:basedOn w:val="34"/>
    <w:next w:val="34"/>
    <w:autoRedefine/>
    <w:qFormat/>
    <w:uiPriority w:val="0"/>
    <w:pPr>
      <w:keepNext/>
      <w:keepLines/>
      <w:widowControl/>
      <w:adjustRightInd/>
      <w:snapToGrid/>
      <w:spacing w:after="0" w:line="180" w:lineRule="atLeast"/>
      <w:ind w:firstLine="0" w:firstLineChars="0"/>
      <w:jc w:val="left"/>
    </w:pPr>
    <w:rPr>
      <w:rFonts w:ascii="Arial Black" w:hAnsi="Arial Black"/>
      <w:spacing w:val="-10"/>
      <w:kern w:val="28"/>
      <w:sz w:val="20"/>
    </w:rPr>
  </w:style>
  <w:style w:type="paragraph" w:customStyle="1" w:styleId="1528">
    <w:name w:val="Body Text First Indent1"/>
    <w:basedOn w:val="34"/>
    <w:autoRedefine/>
    <w:qFormat/>
    <w:uiPriority w:val="0"/>
    <w:pPr>
      <w:snapToGrid/>
      <w:spacing w:after="0"/>
      <w:ind w:firstLine="567" w:firstLineChars="0"/>
      <w:textAlignment w:val="baseline"/>
    </w:pPr>
    <w:rPr>
      <w:rFonts w:eastAsia="Wingdings"/>
      <w:sz w:val="28"/>
    </w:rPr>
  </w:style>
  <w:style w:type="paragraph" w:customStyle="1" w:styleId="1529">
    <w:name w:val="正文文本缩进 213"/>
    <w:basedOn w:val="1"/>
    <w:autoRedefine/>
    <w:qFormat/>
    <w:uiPriority w:val="99"/>
    <w:pPr>
      <w:snapToGrid/>
      <w:spacing w:line="348" w:lineRule="auto"/>
      <w:ind w:firstLine="573" w:firstLineChars="0"/>
      <w:textAlignment w:val="baseline"/>
    </w:pPr>
    <w:rPr>
      <w:rFonts w:eastAsia="Wingdings"/>
      <w:sz w:val="28"/>
    </w:rPr>
  </w:style>
  <w:style w:type="paragraph" w:customStyle="1" w:styleId="1530">
    <w:name w:val="样式 正文文本1 + 首行缩进:  2 字符2"/>
    <w:basedOn w:val="1"/>
    <w:autoRedefine/>
    <w:qFormat/>
    <w:uiPriority w:val="0"/>
    <w:pPr>
      <w:spacing w:line="348" w:lineRule="auto"/>
      <w:ind w:firstLine="0" w:firstLineChars="0"/>
    </w:pPr>
    <w:rPr>
      <w:sz w:val="28"/>
    </w:rPr>
  </w:style>
  <w:style w:type="paragraph" w:customStyle="1" w:styleId="1531">
    <w:name w:val="正文 楷体_GB2312 四号 行距: 固定值 30 磅"/>
    <w:basedOn w:val="1"/>
    <w:autoRedefine/>
    <w:qFormat/>
    <w:uiPriority w:val="0"/>
    <w:pPr>
      <w:adjustRightInd/>
      <w:snapToGrid/>
      <w:spacing w:line="400" w:lineRule="exact"/>
      <w:ind w:firstLine="0" w:firstLineChars="0"/>
      <w:jc w:val="center"/>
    </w:pPr>
    <w:rPr>
      <w:rFonts w:ascii="Arial" w:hAnsi="Arial" w:cs="Arial"/>
      <w:sz w:val="21"/>
      <w:szCs w:val="21"/>
    </w:rPr>
  </w:style>
  <w:style w:type="paragraph" w:customStyle="1" w:styleId="1532">
    <w:name w:val="样式 正文首行缩进 + 段后: 0 磅"/>
    <w:basedOn w:val="649"/>
    <w:autoRedefine/>
    <w:qFormat/>
    <w:uiPriority w:val="0"/>
    <w:pPr>
      <w:widowControl w:val="0"/>
      <w:adjustRightInd w:val="0"/>
      <w:snapToGrid w:val="0"/>
      <w:spacing w:after="0" w:line="348" w:lineRule="auto"/>
      <w:ind w:firstLine="200" w:firstLineChars="200"/>
      <w:jc w:val="left"/>
      <w:textAlignment w:val="baseline"/>
    </w:pPr>
    <w:rPr>
      <w:rFonts w:ascii="Times New Roman" w:hAnsi="Times New Roman" w:cs="宋体"/>
      <w:snapToGrid w:val="0"/>
      <w:sz w:val="28"/>
    </w:rPr>
  </w:style>
  <w:style w:type="paragraph" w:customStyle="1" w:styleId="1533">
    <w:name w:val="样式 样式 正文文字 + 首行缩进:  2 字符 + 首行缩进:  2 字符"/>
    <w:basedOn w:val="1405"/>
    <w:autoRedefine/>
    <w:qFormat/>
    <w:uiPriority w:val="0"/>
    <w:pPr>
      <w:spacing w:before="0"/>
    </w:pPr>
    <w:rPr>
      <w:rFonts w:cs="宋体"/>
      <w:szCs w:val="28"/>
    </w:rPr>
  </w:style>
  <w:style w:type="paragraph" w:customStyle="1" w:styleId="1534">
    <w:name w:val="正文缩进（首行缩进两字）"/>
    <w:basedOn w:val="1"/>
    <w:autoRedefine/>
    <w:qFormat/>
    <w:uiPriority w:val="0"/>
    <w:pPr>
      <w:spacing w:line="348" w:lineRule="auto"/>
      <w:ind w:firstLine="560"/>
      <w:textAlignment w:val="baseline"/>
    </w:pPr>
    <w:rPr>
      <w:rFonts w:cs="宋体"/>
      <w:snapToGrid w:val="0"/>
      <w:color w:val="000000"/>
      <w:kern w:val="16"/>
      <w:sz w:val="28"/>
    </w:rPr>
  </w:style>
  <w:style w:type="paragraph" w:customStyle="1" w:styleId="1535">
    <w:name w:val="样式 正文缩进正文（首行缩进两字）."/>
    <w:basedOn w:val="725"/>
    <w:autoRedefine/>
    <w:qFormat/>
    <w:uiPriority w:val="0"/>
    <w:pPr>
      <w:widowControl w:val="0"/>
      <w:adjustRightInd w:val="0"/>
      <w:snapToGrid w:val="0"/>
      <w:spacing w:before="0" w:after="0" w:line="348" w:lineRule="auto"/>
      <w:ind w:firstLine="200"/>
      <w:textAlignment w:val="baseline"/>
    </w:pPr>
    <w:rPr>
      <w:rFonts w:ascii="Times New Roman" w:hAnsi="Times New Roman" w:eastAsia="宋体" w:cs="宋体"/>
      <w:bCs w:val="0"/>
      <w:snapToGrid w:val="0"/>
      <w:sz w:val="28"/>
      <w:szCs w:val="28"/>
    </w:rPr>
  </w:style>
  <w:style w:type="paragraph" w:customStyle="1" w:styleId="1536">
    <w:name w:val="両ｶｯｺ"/>
    <w:basedOn w:val="1"/>
    <w:autoRedefine/>
    <w:qFormat/>
    <w:uiPriority w:val="99"/>
    <w:pPr>
      <w:tabs>
        <w:tab w:val="left" w:pos="1060"/>
      </w:tabs>
      <w:autoSpaceDE w:val="0"/>
      <w:autoSpaceDN w:val="0"/>
      <w:snapToGrid/>
      <w:spacing w:after="120" w:line="360" w:lineRule="atLeast"/>
      <w:ind w:left="1418" w:hanging="567" w:firstLineChars="0"/>
      <w:jc w:val="left"/>
      <w:textAlignment w:val="baseline"/>
    </w:pPr>
    <w:rPr>
      <w:rFonts w:ascii="Arial" w:hAnsi="Arial" w:eastAsia="?l?r ｨC?｡ｯ?"/>
      <w:kern w:val="0"/>
      <w:szCs w:val="24"/>
      <w:lang w:eastAsia="ja-JP"/>
    </w:rPr>
  </w:style>
  <w:style w:type="paragraph" w:customStyle="1" w:styleId="1537">
    <w:name w:val="样式 正文文字 + 宋体 首行缩进:  2 字符"/>
    <w:basedOn w:val="34"/>
    <w:autoRedefine/>
    <w:qFormat/>
    <w:uiPriority w:val="0"/>
    <w:pPr>
      <w:adjustRightInd/>
      <w:spacing w:before="20" w:after="0" w:line="348" w:lineRule="auto"/>
      <w:ind w:firstLine="560"/>
    </w:pPr>
    <w:rPr>
      <w:rFonts w:cs="宋体"/>
      <w:snapToGrid w:val="0"/>
      <w:color w:val="000000"/>
      <w:sz w:val="28"/>
      <w:szCs w:val="28"/>
    </w:rPr>
  </w:style>
  <w:style w:type="paragraph" w:customStyle="1" w:styleId="1538">
    <w:name w:val="样式 正文首行缩进 + 首行缩进:  0.99 厘米"/>
    <w:basedOn w:val="649"/>
    <w:autoRedefine/>
    <w:qFormat/>
    <w:uiPriority w:val="0"/>
    <w:pPr>
      <w:widowControl w:val="0"/>
      <w:adjustRightInd w:val="0"/>
      <w:snapToGrid w:val="0"/>
      <w:spacing w:after="0" w:line="348" w:lineRule="auto"/>
      <w:ind w:firstLine="200" w:firstLineChars="200"/>
      <w:jc w:val="left"/>
      <w:textAlignment w:val="baseline"/>
    </w:pPr>
    <w:rPr>
      <w:rFonts w:ascii="Times New Roman" w:hAnsi="Times New Roman" w:cs="宋体"/>
      <w:snapToGrid w:val="0"/>
      <w:sz w:val="28"/>
      <w:szCs w:val="28"/>
    </w:rPr>
  </w:style>
  <w:style w:type="paragraph" w:customStyle="1" w:styleId="1539">
    <w:name w:val="初设段落"/>
    <w:basedOn w:val="1"/>
    <w:autoRedefine/>
    <w:qFormat/>
    <w:uiPriority w:val="0"/>
    <w:pPr>
      <w:spacing w:line="348" w:lineRule="auto"/>
      <w:ind w:firstLine="0" w:firstLineChars="0"/>
    </w:pPr>
    <w:rPr>
      <w:snapToGrid w:val="0"/>
      <w:sz w:val="28"/>
      <w:szCs w:val="24"/>
    </w:rPr>
  </w:style>
  <w:style w:type="paragraph" w:customStyle="1" w:styleId="1540">
    <w:name w:val="小标题a)"/>
    <w:basedOn w:val="1"/>
    <w:autoRedefine/>
    <w:qFormat/>
    <w:uiPriority w:val="0"/>
    <w:pPr>
      <w:overflowPunct w:val="0"/>
      <w:topLinePunct/>
      <w:adjustRightInd/>
      <w:snapToGrid/>
      <w:spacing w:line="348" w:lineRule="auto"/>
      <w:ind w:firstLine="0" w:firstLineChars="0"/>
    </w:pPr>
    <w:rPr>
      <w:kern w:val="0"/>
      <w:sz w:val="28"/>
    </w:rPr>
  </w:style>
  <w:style w:type="paragraph" w:customStyle="1" w:styleId="1541">
    <w:name w:val="样式 四号 行距: 多倍行距 1.45 字行1"/>
    <w:basedOn w:val="1"/>
    <w:autoRedefine/>
    <w:qFormat/>
    <w:uiPriority w:val="0"/>
    <w:pPr>
      <w:adjustRightInd/>
      <w:spacing w:line="348" w:lineRule="auto"/>
      <w:ind w:firstLine="0" w:firstLineChars="0"/>
    </w:pPr>
    <w:rPr>
      <w:rFonts w:cs="宋体"/>
      <w:sz w:val="28"/>
    </w:rPr>
  </w:style>
  <w:style w:type="paragraph" w:customStyle="1" w:styleId="1542">
    <w:name w:val="样式 湛江钢铁正文 +"/>
    <w:basedOn w:val="1"/>
    <w:autoRedefine/>
    <w:qFormat/>
    <w:uiPriority w:val="0"/>
    <w:pPr>
      <w:spacing w:afterLines="25" w:line="360" w:lineRule="auto"/>
      <w:ind w:firstLine="480"/>
      <w:jc w:val="left"/>
      <w:textAlignment w:val="baseline"/>
    </w:pPr>
    <w:rPr>
      <w:rFonts w:eastAsia="仿宋_GB2312"/>
      <w:color w:val="000000"/>
      <w:kern w:val="0"/>
      <w:szCs w:val="24"/>
    </w:rPr>
  </w:style>
  <w:style w:type="paragraph" w:customStyle="1" w:styleId="1543">
    <w:name w:val="正文首行缩进12"/>
    <w:basedOn w:val="34"/>
    <w:autoRedefine/>
    <w:qFormat/>
    <w:uiPriority w:val="99"/>
    <w:pPr>
      <w:snapToGrid/>
      <w:spacing w:after="0" w:line="312" w:lineRule="auto"/>
      <w:ind w:firstLine="567" w:firstLineChars="0"/>
      <w:jc w:val="left"/>
      <w:textAlignment w:val="baseline"/>
    </w:pPr>
    <w:rPr>
      <w:sz w:val="28"/>
    </w:rPr>
  </w:style>
  <w:style w:type="paragraph" w:customStyle="1" w:styleId="1544">
    <w:name w:val="日期21"/>
    <w:basedOn w:val="1"/>
    <w:next w:val="1"/>
    <w:autoRedefine/>
    <w:qFormat/>
    <w:uiPriority w:val="99"/>
    <w:pPr>
      <w:snapToGrid/>
      <w:spacing w:line="360" w:lineRule="atLeast"/>
      <w:ind w:firstLine="0" w:firstLineChars="0"/>
      <w:textAlignment w:val="baseline"/>
    </w:pPr>
    <w:rPr>
      <w:rFonts w:ascii="宋体"/>
      <w:spacing w:val="20"/>
      <w:kern w:val="0"/>
      <w:sz w:val="28"/>
    </w:rPr>
  </w:style>
  <w:style w:type="paragraph" w:customStyle="1" w:styleId="1545">
    <w:name w:val="佛表"/>
    <w:basedOn w:val="1166"/>
    <w:autoRedefine/>
    <w:qFormat/>
    <w:uiPriority w:val="0"/>
    <w:pPr>
      <w:widowControl w:val="0"/>
      <w:adjustRightInd w:val="0"/>
      <w:snapToGrid w:val="0"/>
      <w:spacing w:line="348" w:lineRule="auto"/>
      <w:ind w:firstLine="0" w:firstLineChars="0"/>
    </w:pPr>
    <w:rPr>
      <w:rFonts w:ascii="Times New Roman" w:hAnsi="Times New Roman"/>
      <w:color w:val="000000"/>
      <w:kern w:val="2"/>
      <w:sz w:val="28"/>
      <w:szCs w:val="24"/>
    </w:rPr>
  </w:style>
  <w:style w:type="paragraph" w:customStyle="1" w:styleId="1546">
    <w:name w:val="湛江钢铁正文"/>
    <w:basedOn w:val="1"/>
    <w:autoRedefine/>
    <w:qFormat/>
    <w:uiPriority w:val="0"/>
    <w:pPr>
      <w:spacing w:line="360" w:lineRule="auto"/>
      <w:ind w:firstLine="420"/>
      <w:jc w:val="left"/>
      <w:textAlignment w:val="baseline"/>
    </w:pPr>
    <w:rPr>
      <w:rFonts w:eastAsia="仿宋_GB2312"/>
      <w:color w:val="000000"/>
      <w:kern w:val="0"/>
      <w:sz w:val="28"/>
      <w:szCs w:val="21"/>
    </w:rPr>
  </w:style>
  <w:style w:type="paragraph" w:customStyle="1" w:styleId="1547">
    <w:name w:val="样式 湛江钢铁表 + 段前: 0.2 行 段后: 0.2 行"/>
    <w:basedOn w:val="1044"/>
    <w:autoRedefine/>
    <w:qFormat/>
    <w:uiPriority w:val="0"/>
    <w:rPr>
      <w:rFonts w:cs="宋体"/>
    </w:rPr>
  </w:style>
  <w:style w:type="paragraph" w:customStyle="1" w:styleId="1548">
    <w:name w:val="湛江沥青表"/>
    <w:basedOn w:val="1"/>
    <w:autoRedefine/>
    <w:qFormat/>
    <w:uiPriority w:val="0"/>
    <w:pPr>
      <w:autoSpaceDE w:val="0"/>
      <w:autoSpaceDN w:val="0"/>
      <w:adjustRightInd/>
      <w:spacing w:before="100" w:line="0" w:lineRule="atLeast"/>
      <w:ind w:left="102" w:hanging="102" w:firstLineChars="0"/>
      <w:jc w:val="center"/>
    </w:pPr>
    <w:rPr>
      <w:bCs/>
      <w:sz w:val="28"/>
      <w:szCs w:val="21"/>
      <w:u w:color="000000"/>
    </w:rPr>
  </w:style>
  <w:style w:type="paragraph" w:customStyle="1" w:styleId="1549">
    <w:name w:val="湛江钢铁表标题"/>
    <w:basedOn w:val="1"/>
    <w:autoRedefine/>
    <w:qFormat/>
    <w:uiPriority w:val="0"/>
    <w:pPr>
      <w:adjustRightInd/>
      <w:spacing w:line="360" w:lineRule="auto"/>
      <w:ind w:firstLine="480"/>
      <w:jc w:val="center"/>
    </w:pPr>
    <w:rPr>
      <w:rFonts w:eastAsia="仿宋_GB2312"/>
      <w:color w:val="000000"/>
      <w:kern w:val="0"/>
      <w:szCs w:val="24"/>
    </w:rPr>
  </w:style>
  <w:style w:type="paragraph" w:customStyle="1" w:styleId="1550">
    <w:name w:val="表头王"/>
    <w:basedOn w:val="1"/>
    <w:autoRedefine/>
    <w:qFormat/>
    <w:uiPriority w:val="0"/>
    <w:pPr>
      <w:spacing w:line="360" w:lineRule="auto"/>
      <w:ind w:firstLine="0" w:firstLineChars="0"/>
      <w:jc w:val="center"/>
    </w:pPr>
    <w:rPr>
      <w:rFonts w:ascii="黑体" w:eastAsia="黑体"/>
      <w:b/>
      <w:bCs/>
      <w:color w:val="000000"/>
      <w:szCs w:val="24"/>
    </w:rPr>
  </w:style>
  <w:style w:type="paragraph" w:customStyle="1" w:styleId="1551">
    <w:name w:val="表格文字独行"/>
    <w:next w:val="1"/>
    <w:autoRedefine/>
    <w:qFormat/>
    <w:uiPriority w:val="0"/>
    <w:pPr>
      <w:spacing w:beforeLines="20" w:afterLines="20" w:line="264" w:lineRule="auto"/>
      <w:jc w:val="center"/>
    </w:pPr>
    <w:rPr>
      <w:rFonts w:ascii="Times New Roman" w:hAnsi="Times New Roman" w:eastAsia="仿宋_GB2312" w:cs="Times New Roman"/>
      <w:szCs w:val="24"/>
      <w:lang w:val="en-US" w:eastAsia="zh-CN" w:bidi="ar-SA"/>
    </w:rPr>
  </w:style>
  <w:style w:type="paragraph" w:customStyle="1" w:styleId="1552">
    <w:name w:val="表格式"/>
    <w:basedOn w:val="1166"/>
    <w:autoRedefine/>
    <w:qFormat/>
    <w:uiPriority w:val="99"/>
    <w:pPr>
      <w:widowControl w:val="0"/>
      <w:spacing w:beforeLines="50" w:afterLines="50" w:line="200" w:lineRule="exact"/>
      <w:ind w:firstLine="0" w:firstLineChars="0"/>
    </w:pPr>
    <w:rPr>
      <w:rFonts w:ascii="Times New Roman" w:hAnsi="Times New Roman"/>
      <w:kern w:val="2"/>
      <w:sz w:val="21"/>
    </w:rPr>
  </w:style>
  <w:style w:type="paragraph" w:customStyle="1" w:styleId="1553">
    <w:name w:val="样式 (符号) 宋体"/>
    <w:basedOn w:val="1"/>
    <w:autoRedefine/>
    <w:qFormat/>
    <w:uiPriority w:val="0"/>
    <w:pPr>
      <w:adjustRightInd/>
      <w:spacing w:line="348" w:lineRule="auto"/>
      <w:ind w:firstLine="560"/>
    </w:pPr>
    <w:rPr>
      <w:rFonts w:hAnsi="宋体" w:eastAsia="Times New Roman" w:cs="宋体"/>
      <w:sz w:val="28"/>
    </w:rPr>
  </w:style>
  <w:style w:type="paragraph" w:customStyle="1" w:styleId="1554">
    <w:name w:val="CM104"/>
    <w:basedOn w:val="151"/>
    <w:next w:val="151"/>
    <w:autoRedefine/>
    <w:qFormat/>
    <w:uiPriority w:val="99"/>
    <w:pPr>
      <w:spacing w:line="531" w:lineRule="atLeast"/>
    </w:pPr>
    <w:rPr>
      <w:rFonts w:ascii="宋体"/>
      <w:color w:val="auto"/>
    </w:rPr>
  </w:style>
  <w:style w:type="paragraph" w:customStyle="1" w:styleId="1555">
    <w:name w:val="news"/>
    <w:basedOn w:val="1"/>
    <w:autoRedefine/>
    <w:qFormat/>
    <w:uiPriority w:val="0"/>
    <w:pPr>
      <w:widowControl/>
      <w:adjustRightInd/>
      <w:snapToGrid/>
      <w:spacing w:before="100" w:beforeAutospacing="1" w:after="100" w:afterAutospacing="1" w:line="240" w:lineRule="auto"/>
      <w:ind w:firstLine="0" w:firstLineChars="0"/>
      <w:jc w:val="left"/>
    </w:pPr>
    <w:rPr>
      <w:rFonts w:hint="eastAsia" w:ascii="宋体" w:hAnsi="宋体"/>
      <w:kern w:val="0"/>
      <w:sz w:val="20"/>
    </w:rPr>
  </w:style>
  <w:style w:type="paragraph" w:customStyle="1" w:styleId="1556">
    <w:name w:val="正文居中"/>
    <w:basedOn w:val="649"/>
    <w:autoRedefine/>
    <w:qFormat/>
    <w:uiPriority w:val="0"/>
    <w:pPr>
      <w:widowControl w:val="0"/>
      <w:adjustRightInd w:val="0"/>
      <w:snapToGrid w:val="0"/>
      <w:spacing w:after="0" w:line="312" w:lineRule="auto"/>
      <w:ind w:firstLine="0" w:firstLineChars="0"/>
      <w:jc w:val="center"/>
      <w:textAlignment w:val="baseline"/>
    </w:pPr>
    <w:rPr>
      <w:rFonts w:ascii="Arial" w:hAnsi="Arial" w:eastAsia="黑体" w:cs="Arial"/>
      <w:spacing w:val="6"/>
      <w:sz w:val="28"/>
      <w:szCs w:val="28"/>
      <w:u w:val="double"/>
      <w:lang w:val="zh-CN"/>
    </w:rPr>
  </w:style>
  <w:style w:type="paragraph" w:customStyle="1" w:styleId="1557">
    <w:name w:val="表格文字小四"/>
    <w:basedOn w:val="1"/>
    <w:autoRedefine/>
    <w:qFormat/>
    <w:uiPriority w:val="0"/>
    <w:pPr>
      <w:spacing w:beforeLines="20" w:afterLines="20" w:line="240" w:lineRule="auto"/>
      <w:ind w:firstLine="0" w:firstLineChars="0"/>
      <w:jc w:val="center"/>
    </w:pPr>
    <w:rPr>
      <w:rFonts w:ascii="Arial" w:hAnsi="Arial" w:cs="Arial"/>
      <w:color w:val="000000"/>
      <w:kern w:val="0"/>
      <w:szCs w:val="24"/>
    </w:rPr>
  </w:style>
  <w:style w:type="paragraph" w:customStyle="1" w:styleId="1558">
    <w:name w:val="表格文字1左"/>
    <w:basedOn w:val="45"/>
    <w:autoRedefine/>
    <w:qFormat/>
    <w:uiPriority w:val="0"/>
    <w:pPr>
      <w:autoSpaceDE w:val="0"/>
      <w:autoSpaceDN w:val="0"/>
      <w:adjustRightInd w:val="0"/>
      <w:snapToGrid w:val="0"/>
      <w:spacing w:beforeLines="20" w:afterLines="20"/>
      <w:ind w:firstLine="470" w:firstLineChars="224"/>
      <w:jc w:val="left"/>
    </w:pPr>
    <w:rPr>
      <w:rFonts w:ascii="Arial" w:hAnsi="Arial" w:cs="Arial"/>
      <w:bCs/>
      <w:snapToGrid w:val="0"/>
      <w:color w:val="000000"/>
      <w:kern w:val="0"/>
      <w:sz w:val="20"/>
      <w:lang w:val="en-US"/>
    </w:rPr>
  </w:style>
  <w:style w:type="paragraph" w:customStyle="1" w:styleId="1559">
    <w:name w:val="表格文字小四宽"/>
    <w:basedOn w:val="1557"/>
    <w:autoRedefine/>
    <w:qFormat/>
    <w:uiPriority w:val="0"/>
    <w:pPr>
      <w:spacing w:beforeLines="10" w:afterLines="10"/>
    </w:pPr>
    <w:rPr>
      <w:rFonts w:cs="Times New Roman"/>
      <w:color w:val="auto"/>
      <w:spacing w:val="-6"/>
    </w:rPr>
  </w:style>
  <w:style w:type="paragraph" w:customStyle="1" w:styleId="1560">
    <w:name w:val="表格文字小四左"/>
    <w:basedOn w:val="1557"/>
    <w:autoRedefine/>
    <w:qFormat/>
    <w:uiPriority w:val="0"/>
    <w:pPr>
      <w:jc w:val="left"/>
    </w:pPr>
    <w:rPr>
      <w:snapToGrid w:val="0"/>
      <w:color w:val="auto"/>
      <w:szCs w:val="20"/>
    </w:rPr>
  </w:style>
  <w:style w:type="paragraph" w:customStyle="1" w:styleId="1561">
    <w:name w:val="表格下文字5号-1"/>
    <w:basedOn w:val="1342"/>
    <w:autoRedefine/>
    <w:qFormat/>
    <w:uiPriority w:val="0"/>
    <w:pPr>
      <w:spacing w:beforeLines="0"/>
      <w:ind w:left="798"/>
    </w:pPr>
  </w:style>
  <w:style w:type="paragraph" w:customStyle="1" w:styleId="1562">
    <w:name w:val="leedl"/>
    <w:basedOn w:val="1"/>
    <w:autoRedefine/>
    <w:qFormat/>
    <w:uiPriority w:val="0"/>
    <w:pPr>
      <w:adjustRightInd/>
      <w:snapToGrid/>
      <w:spacing w:line="348" w:lineRule="auto"/>
    </w:pPr>
    <w:rPr>
      <w:spacing w:val="10"/>
      <w:sz w:val="28"/>
      <w:szCs w:val="28"/>
    </w:rPr>
  </w:style>
  <w:style w:type="paragraph" w:customStyle="1" w:styleId="1563">
    <w:name w:val="Char Char Char1 Char Char Char Char Char Char Char4"/>
    <w:basedOn w:val="1"/>
    <w:autoRedefine/>
    <w:qFormat/>
    <w:uiPriority w:val="99"/>
    <w:pPr>
      <w:adjustRightInd/>
      <w:snapToGrid/>
      <w:spacing w:line="240" w:lineRule="auto"/>
      <w:ind w:firstLine="0" w:firstLineChars="0"/>
    </w:pPr>
    <w:rPr>
      <w:rFonts w:ascii="Tahoma" w:hAnsi="Tahoma"/>
    </w:rPr>
  </w:style>
  <w:style w:type="paragraph" w:customStyle="1" w:styleId="1564">
    <w:name w:val="Char Char Char Char Char Char Char Char Char Char4"/>
    <w:basedOn w:val="1"/>
    <w:autoRedefine/>
    <w:qFormat/>
    <w:uiPriority w:val="0"/>
    <w:pPr>
      <w:adjustRightInd/>
      <w:snapToGrid/>
      <w:spacing w:line="240" w:lineRule="auto"/>
      <w:ind w:firstLine="0" w:firstLineChars="0"/>
    </w:pPr>
    <w:rPr>
      <w:rFonts w:ascii="宋体" w:hAnsi="宋体" w:cs="宋体"/>
      <w:color w:val="000000"/>
      <w:sz w:val="21"/>
      <w:szCs w:val="21"/>
    </w:rPr>
  </w:style>
  <w:style w:type="paragraph" w:customStyle="1" w:styleId="1565">
    <w:name w:val="Char Char Char Char Char Char Char1"/>
    <w:basedOn w:val="1"/>
    <w:autoRedefine/>
    <w:qFormat/>
    <w:uiPriority w:val="0"/>
    <w:pPr>
      <w:adjustRightInd/>
      <w:snapToGrid/>
      <w:spacing w:line="240" w:lineRule="auto"/>
      <w:ind w:firstLine="0" w:firstLineChars="0"/>
    </w:pPr>
    <w:rPr>
      <w:sz w:val="21"/>
      <w:szCs w:val="24"/>
    </w:rPr>
  </w:style>
  <w:style w:type="paragraph" w:customStyle="1" w:styleId="1566">
    <w:name w:val="Char Char Char1 Char Char Char Char Char Char Char Char Char Char1"/>
    <w:basedOn w:val="1"/>
    <w:autoRedefine/>
    <w:qFormat/>
    <w:uiPriority w:val="0"/>
    <w:pPr>
      <w:spacing w:line="360" w:lineRule="auto"/>
    </w:pPr>
    <w:rPr>
      <w:rFonts w:ascii="宋体" w:hAnsi="宋体" w:cs="宋体"/>
      <w:szCs w:val="26"/>
    </w:rPr>
  </w:style>
  <w:style w:type="paragraph" w:customStyle="1" w:styleId="1567">
    <w:name w:val="Char Char Char Char Char Char1 Char1"/>
    <w:basedOn w:val="1"/>
    <w:autoRedefine/>
    <w:qFormat/>
    <w:uiPriority w:val="0"/>
    <w:pPr>
      <w:adjustRightInd/>
      <w:snapToGrid/>
      <w:spacing w:line="240" w:lineRule="auto"/>
      <w:ind w:firstLine="0" w:firstLineChars="0"/>
    </w:pPr>
    <w:rPr>
      <w:sz w:val="21"/>
      <w:szCs w:val="24"/>
    </w:rPr>
  </w:style>
  <w:style w:type="paragraph" w:customStyle="1" w:styleId="1568">
    <w:name w:val="样式 表格 + 段前: 2 磅 行距: 最小值 12 磅1"/>
    <w:basedOn w:val="276"/>
    <w:autoRedefine/>
    <w:qFormat/>
    <w:uiPriority w:val="99"/>
    <w:pPr>
      <w:snapToGrid/>
      <w:spacing w:before="40" w:line="240" w:lineRule="atLeast"/>
    </w:pPr>
    <w:rPr>
      <w:snapToGrid w:val="0"/>
      <w:kern w:val="0"/>
      <w:lang w:val="en-US"/>
    </w:rPr>
  </w:style>
  <w:style w:type="paragraph" w:customStyle="1" w:styleId="1569">
    <w:name w:val="正文5号"/>
    <w:basedOn w:val="1"/>
    <w:autoRedefine/>
    <w:qFormat/>
    <w:uiPriority w:val="99"/>
    <w:pPr>
      <w:spacing w:line="324" w:lineRule="auto"/>
      <w:ind w:firstLine="1134" w:firstLineChars="0"/>
    </w:pPr>
    <w:rPr>
      <w:snapToGrid w:val="0"/>
      <w:kern w:val="0"/>
      <w:sz w:val="21"/>
    </w:rPr>
  </w:style>
  <w:style w:type="paragraph" w:customStyle="1" w:styleId="1570">
    <w:name w:val="列表11"/>
    <w:basedOn w:val="649"/>
    <w:autoRedefine/>
    <w:qFormat/>
    <w:uiPriority w:val="99"/>
    <w:pPr>
      <w:tabs>
        <w:tab w:val="left" w:pos="969"/>
        <w:tab w:val="left" w:pos="3640"/>
      </w:tabs>
      <w:topLinePunct/>
      <w:adjustRightInd w:val="0"/>
      <w:snapToGrid w:val="0"/>
      <w:spacing w:after="0" w:line="324" w:lineRule="auto"/>
      <w:ind w:left="1400" w:leftChars="400" w:hanging="1000" w:hangingChars="1000"/>
    </w:pPr>
    <w:rPr>
      <w:rFonts w:ascii="Times New Roman" w:hAnsi="Times New Roman"/>
      <w:snapToGrid w:val="0"/>
      <w:kern w:val="28"/>
      <w:sz w:val="28"/>
      <w:szCs w:val="28"/>
    </w:rPr>
  </w:style>
  <w:style w:type="paragraph" w:customStyle="1" w:styleId="1571">
    <w:name w:val="样式 标题 3 + 首行缩进:  2 字符"/>
    <w:basedOn w:val="5"/>
    <w:autoRedefine/>
    <w:qFormat/>
    <w:uiPriority w:val="99"/>
    <w:pPr>
      <w:widowControl/>
      <w:numPr>
        <w:ilvl w:val="0"/>
        <w:numId w:val="0"/>
      </w:numPr>
      <w:spacing w:line="348" w:lineRule="auto"/>
    </w:pPr>
    <w:rPr>
      <w:b w:val="0"/>
      <w:bCs w:val="0"/>
      <w:snapToGrid w:val="0"/>
      <w:color w:val="000000"/>
      <w:kern w:val="0"/>
      <w:sz w:val="28"/>
      <w:szCs w:val="20"/>
      <w:lang w:val="en-US"/>
    </w:rPr>
  </w:style>
  <w:style w:type="paragraph" w:customStyle="1" w:styleId="1572">
    <w:name w:val="样式 标题 4节 + 行距: 1.5 倍行距 + 首行缩进:  2 字符"/>
    <w:basedOn w:val="6"/>
    <w:autoRedefine/>
    <w:qFormat/>
    <w:uiPriority w:val="99"/>
    <w:pPr>
      <w:widowControl/>
      <w:numPr>
        <w:ilvl w:val="0"/>
        <w:numId w:val="0"/>
      </w:numPr>
      <w:spacing w:line="360" w:lineRule="auto"/>
      <w:ind w:firstLine="200" w:firstLineChars="200"/>
      <w:jc w:val="both"/>
    </w:pPr>
    <w:rPr>
      <w:b w:val="0"/>
      <w:bCs w:val="0"/>
      <w:snapToGrid w:val="0"/>
      <w:color w:val="000000"/>
      <w:kern w:val="0"/>
      <w:sz w:val="28"/>
      <w:szCs w:val="20"/>
      <w:lang w:val="en-US"/>
    </w:rPr>
  </w:style>
  <w:style w:type="paragraph" w:customStyle="1" w:styleId="1573">
    <w:name w:val="标题3 Char Char Char Char"/>
    <w:basedOn w:val="1"/>
    <w:next w:val="1"/>
    <w:autoRedefine/>
    <w:qFormat/>
    <w:uiPriority w:val="99"/>
    <w:pPr>
      <w:adjustRightInd/>
      <w:snapToGrid/>
      <w:spacing w:afterLines="50" w:line="560" w:lineRule="exact"/>
      <w:ind w:firstLine="0" w:firstLineChars="0"/>
    </w:pPr>
    <w:rPr>
      <w:szCs w:val="30"/>
    </w:rPr>
  </w:style>
  <w:style w:type="paragraph" w:customStyle="1" w:styleId="1574">
    <w:name w:val="content_noindent"/>
    <w:basedOn w:val="1"/>
    <w:autoRedefine/>
    <w:qFormat/>
    <w:uiPriority w:val="99"/>
    <w:pPr>
      <w:widowControl/>
      <w:adjustRightInd/>
      <w:snapToGrid/>
      <w:spacing w:before="100" w:beforeAutospacing="1" w:after="100" w:afterAutospacing="1" w:line="240" w:lineRule="auto"/>
      <w:ind w:firstLine="0" w:firstLineChars="0"/>
      <w:jc w:val="left"/>
    </w:pPr>
    <w:rPr>
      <w:rFonts w:ascii="宋体" w:hAnsi="宋体" w:cs="宋体"/>
      <w:kern w:val="0"/>
      <w:szCs w:val="24"/>
    </w:rPr>
  </w:style>
  <w:style w:type="paragraph" w:customStyle="1" w:styleId="1575">
    <w:name w:val="正文文本缩进 22"/>
    <w:basedOn w:val="1"/>
    <w:autoRedefine/>
    <w:qFormat/>
    <w:uiPriority w:val="0"/>
    <w:pPr>
      <w:snapToGrid/>
      <w:spacing w:line="348" w:lineRule="auto"/>
      <w:ind w:firstLine="573" w:firstLineChars="0"/>
      <w:textAlignment w:val="baseline"/>
    </w:pPr>
    <w:rPr>
      <w:rFonts w:eastAsia="Wingdings"/>
      <w:sz w:val="28"/>
    </w:rPr>
  </w:style>
  <w:style w:type="paragraph" w:customStyle="1" w:styleId="1576">
    <w:name w:val="Char Char Char Char Char Char Char Char Char Char Char Char Char1"/>
    <w:basedOn w:val="1"/>
    <w:autoRedefine/>
    <w:qFormat/>
    <w:uiPriority w:val="0"/>
    <w:pPr>
      <w:adjustRightInd/>
      <w:spacing w:line="360" w:lineRule="auto"/>
    </w:pPr>
    <w:rPr>
      <w:rFonts w:eastAsia="仿宋_GB2312"/>
      <w:szCs w:val="24"/>
    </w:rPr>
  </w:style>
  <w:style w:type="paragraph" w:customStyle="1" w:styleId="1577">
    <w:name w:val="Char Char Char Char Char Char Char Char Char Char Char Char Char Char Char Char Char Char Char"/>
    <w:basedOn w:val="1"/>
    <w:autoRedefine/>
    <w:qFormat/>
    <w:uiPriority w:val="0"/>
    <w:pPr>
      <w:adjustRightInd/>
      <w:snapToGrid/>
      <w:spacing w:line="240" w:lineRule="auto"/>
      <w:ind w:firstLine="0" w:firstLineChars="0"/>
    </w:pPr>
    <w:rPr>
      <w:sz w:val="21"/>
      <w:szCs w:val="24"/>
    </w:rPr>
  </w:style>
  <w:style w:type="paragraph" w:customStyle="1" w:styleId="1578">
    <w:name w:val="Char Char1 Char Char Char Char Char Char Char1"/>
    <w:basedOn w:val="1"/>
    <w:autoRedefine/>
    <w:qFormat/>
    <w:uiPriority w:val="99"/>
    <w:pPr>
      <w:widowControl/>
      <w:adjustRightInd/>
      <w:snapToGrid/>
      <w:spacing w:after="160" w:line="240" w:lineRule="exact"/>
      <w:ind w:firstLine="0" w:firstLineChars="0"/>
      <w:jc w:val="left"/>
    </w:pPr>
    <w:rPr>
      <w:szCs w:val="24"/>
    </w:rPr>
  </w:style>
  <w:style w:type="paragraph" w:customStyle="1" w:styleId="1579">
    <w:name w:val="大表紧缩"/>
    <w:basedOn w:val="1118"/>
    <w:autoRedefine/>
    <w:qFormat/>
    <w:uiPriority w:val="99"/>
    <w:pPr>
      <w:spacing w:line="252" w:lineRule="auto"/>
    </w:pPr>
  </w:style>
  <w:style w:type="paragraph" w:customStyle="1" w:styleId="1580">
    <w:name w:val="表格头单倍"/>
    <w:basedOn w:val="1"/>
    <w:autoRedefine/>
    <w:qFormat/>
    <w:uiPriority w:val="99"/>
    <w:pPr>
      <w:spacing w:line="240" w:lineRule="auto"/>
      <w:ind w:firstLine="0" w:firstLineChars="0"/>
      <w:jc w:val="center"/>
    </w:pPr>
    <w:rPr>
      <w:rFonts w:cs="宋体"/>
      <w:kern w:val="28"/>
      <w:sz w:val="28"/>
    </w:rPr>
  </w:style>
  <w:style w:type="paragraph" w:customStyle="1" w:styleId="1581">
    <w:name w:val="Char Char Char Char Char Char Char3"/>
    <w:basedOn w:val="1"/>
    <w:link w:val="3109"/>
    <w:autoRedefine/>
    <w:qFormat/>
    <w:uiPriority w:val="0"/>
    <w:pPr>
      <w:adjustRightInd/>
      <w:spacing w:line="348" w:lineRule="auto"/>
      <w:ind w:firstLine="0" w:firstLineChars="0"/>
    </w:pPr>
    <w:rPr>
      <w:sz w:val="28"/>
      <w:szCs w:val="24"/>
    </w:rPr>
  </w:style>
  <w:style w:type="paragraph" w:customStyle="1" w:styleId="1582">
    <w:name w:val="Char Char Char Char Char Char1 Char3"/>
    <w:basedOn w:val="1"/>
    <w:autoRedefine/>
    <w:qFormat/>
    <w:uiPriority w:val="0"/>
    <w:pPr>
      <w:adjustRightInd/>
      <w:spacing w:line="348" w:lineRule="auto"/>
      <w:ind w:firstLine="0" w:firstLineChars="0"/>
    </w:pPr>
    <w:rPr>
      <w:sz w:val="28"/>
      <w:szCs w:val="24"/>
    </w:rPr>
  </w:style>
  <w:style w:type="paragraph" w:customStyle="1" w:styleId="1583">
    <w:name w:val="Char Char Char Char Char Char Char Char Char Char3"/>
    <w:basedOn w:val="1"/>
    <w:autoRedefine/>
    <w:qFormat/>
    <w:uiPriority w:val="0"/>
    <w:pPr>
      <w:adjustRightInd/>
      <w:spacing w:line="348" w:lineRule="auto"/>
      <w:ind w:firstLine="0" w:firstLineChars="0"/>
    </w:pPr>
    <w:rPr>
      <w:rFonts w:ascii="宋体" w:hAnsi="宋体" w:cs="宋体"/>
      <w:color w:val="000000"/>
      <w:sz w:val="28"/>
      <w:szCs w:val="21"/>
    </w:rPr>
  </w:style>
  <w:style w:type="paragraph" w:customStyle="1" w:styleId="1584">
    <w:name w:val="连续正文文字"/>
    <w:basedOn w:val="34"/>
    <w:autoRedefine/>
    <w:qFormat/>
    <w:uiPriority w:val="99"/>
    <w:pPr>
      <w:keepNext/>
      <w:widowControl/>
      <w:adjustRightInd/>
      <w:snapToGrid/>
      <w:spacing w:after="220" w:line="280" w:lineRule="exact"/>
      <w:ind w:firstLine="0" w:firstLineChars="0"/>
      <w:jc w:val="center"/>
    </w:pPr>
    <w:rPr>
      <w:sz w:val="30"/>
    </w:rPr>
  </w:style>
  <w:style w:type="paragraph" w:customStyle="1" w:styleId="1585">
    <w:name w:val="正文文本 23"/>
    <w:basedOn w:val="1"/>
    <w:autoRedefine/>
    <w:qFormat/>
    <w:uiPriority w:val="0"/>
    <w:pPr>
      <w:autoSpaceDE w:val="0"/>
      <w:autoSpaceDN w:val="0"/>
      <w:snapToGrid/>
      <w:spacing w:line="365" w:lineRule="auto"/>
      <w:ind w:firstLine="0" w:firstLineChars="0"/>
      <w:jc w:val="center"/>
      <w:textAlignment w:val="bottom"/>
    </w:pPr>
    <w:rPr>
      <w:spacing w:val="10"/>
      <w:kern w:val="10"/>
    </w:rPr>
  </w:style>
  <w:style w:type="paragraph" w:customStyle="1" w:styleId="1586">
    <w:name w:val="纯文本4"/>
    <w:basedOn w:val="1"/>
    <w:autoRedefine/>
    <w:qFormat/>
    <w:uiPriority w:val="0"/>
    <w:pPr>
      <w:snapToGrid/>
      <w:spacing w:line="240" w:lineRule="auto"/>
      <w:ind w:firstLine="0" w:firstLineChars="0"/>
      <w:textAlignment w:val="baseline"/>
    </w:pPr>
    <w:rPr>
      <w:rFonts w:ascii="宋体" w:hAnsi="Courier New"/>
      <w:sz w:val="21"/>
    </w:rPr>
  </w:style>
  <w:style w:type="paragraph" w:customStyle="1" w:styleId="1587">
    <w:name w:val="正文首行缩进3"/>
    <w:basedOn w:val="34"/>
    <w:autoRedefine/>
    <w:qFormat/>
    <w:uiPriority w:val="0"/>
    <w:pPr>
      <w:snapToGrid/>
      <w:spacing w:after="0" w:line="312" w:lineRule="auto"/>
      <w:ind w:firstLine="567" w:firstLineChars="0"/>
      <w:jc w:val="left"/>
      <w:textAlignment w:val="baseline"/>
    </w:pPr>
    <w:rPr>
      <w:sz w:val="28"/>
    </w:rPr>
  </w:style>
  <w:style w:type="paragraph" w:customStyle="1" w:styleId="1588">
    <w:name w:val="文档结构图3"/>
    <w:basedOn w:val="1"/>
    <w:autoRedefine/>
    <w:qFormat/>
    <w:uiPriority w:val="0"/>
    <w:pPr>
      <w:shd w:val="clear" w:color="auto" w:fill="000080"/>
      <w:snapToGrid/>
      <w:spacing w:line="360" w:lineRule="atLeast"/>
      <w:ind w:firstLine="0" w:firstLineChars="0"/>
      <w:jc w:val="left"/>
      <w:textAlignment w:val="baseline"/>
    </w:pPr>
    <w:rPr>
      <w:rFonts w:eastAsia="Wingdings"/>
      <w:kern w:val="0"/>
    </w:rPr>
  </w:style>
  <w:style w:type="paragraph" w:customStyle="1" w:styleId="1589">
    <w:name w:val="样式 表格头 + 字距调整二号"/>
    <w:basedOn w:val="1453"/>
    <w:autoRedefine/>
    <w:qFormat/>
    <w:uiPriority w:val="99"/>
    <w:rPr>
      <w:kern w:val="44"/>
    </w:rPr>
  </w:style>
  <w:style w:type="paragraph" w:customStyle="1" w:styleId="1590">
    <w:name w:val="日期11"/>
    <w:basedOn w:val="1"/>
    <w:next w:val="1"/>
    <w:autoRedefine/>
    <w:qFormat/>
    <w:uiPriority w:val="99"/>
    <w:pPr>
      <w:spacing w:line="360" w:lineRule="atLeast"/>
      <w:textAlignment w:val="baseline"/>
    </w:pPr>
    <w:rPr>
      <w:rFonts w:ascii="宋体"/>
      <w:color w:val="000000"/>
      <w:spacing w:val="20"/>
      <w:kern w:val="0"/>
      <w:sz w:val="28"/>
    </w:rPr>
  </w:style>
  <w:style w:type="paragraph" w:customStyle="1" w:styleId="1591">
    <w:name w:val="正文文本缩进 211"/>
    <w:basedOn w:val="1"/>
    <w:autoRedefine/>
    <w:qFormat/>
    <w:uiPriority w:val="99"/>
    <w:pPr>
      <w:spacing w:line="348" w:lineRule="auto"/>
      <w:ind w:firstLine="573"/>
      <w:textAlignment w:val="baseline"/>
    </w:pPr>
    <w:rPr>
      <w:rFonts w:eastAsia="Wingdings"/>
      <w:color w:val="000000"/>
      <w:sz w:val="28"/>
    </w:rPr>
  </w:style>
  <w:style w:type="paragraph" w:customStyle="1" w:styleId="1592">
    <w:name w:val="文档结构图11"/>
    <w:basedOn w:val="1"/>
    <w:autoRedefine/>
    <w:qFormat/>
    <w:uiPriority w:val="99"/>
    <w:pPr>
      <w:shd w:val="clear" w:color="auto" w:fill="000080"/>
      <w:spacing w:line="360" w:lineRule="atLeast"/>
      <w:jc w:val="left"/>
      <w:textAlignment w:val="baseline"/>
    </w:pPr>
    <w:rPr>
      <w:rFonts w:eastAsia="Wingdings"/>
      <w:color w:val="000000"/>
      <w:kern w:val="0"/>
    </w:rPr>
  </w:style>
  <w:style w:type="paragraph" w:customStyle="1" w:styleId="1593">
    <w:name w:val="Char Char Char1 Char Char Char Char Char Char Char Char Char Char Char Char Char1"/>
    <w:basedOn w:val="1"/>
    <w:autoRedefine/>
    <w:qFormat/>
    <w:uiPriority w:val="99"/>
    <w:pPr>
      <w:spacing w:line="348" w:lineRule="auto"/>
    </w:pPr>
    <w:rPr>
      <w:rFonts w:ascii="Tahoma" w:hAnsi="Tahoma"/>
      <w:color w:val="000000"/>
    </w:rPr>
  </w:style>
  <w:style w:type="paragraph" w:customStyle="1" w:styleId="1594">
    <w:name w:val="p32"/>
    <w:basedOn w:val="1"/>
    <w:autoRedefine/>
    <w:qFormat/>
    <w:uiPriority w:val="99"/>
    <w:pPr>
      <w:widowControl/>
      <w:adjustRightInd/>
      <w:spacing w:line="300" w:lineRule="auto"/>
      <w:ind w:firstLine="0" w:firstLineChars="0"/>
      <w:jc w:val="center"/>
    </w:pPr>
    <w:rPr>
      <w:color w:val="000000"/>
      <w:kern w:val="0"/>
      <w:sz w:val="18"/>
      <w:szCs w:val="18"/>
    </w:rPr>
  </w:style>
  <w:style w:type="paragraph" w:customStyle="1" w:styleId="1595">
    <w:name w:val="Char Char Char Char Char Char Char Char Char Char Char Char Char Char Char Char Char Char Char1"/>
    <w:basedOn w:val="1"/>
    <w:autoRedefine/>
    <w:qFormat/>
    <w:uiPriority w:val="0"/>
    <w:pPr>
      <w:spacing w:line="348" w:lineRule="auto"/>
    </w:pPr>
    <w:rPr>
      <w:color w:val="000000"/>
      <w:sz w:val="28"/>
      <w:szCs w:val="24"/>
    </w:rPr>
  </w:style>
  <w:style w:type="paragraph" w:customStyle="1" w:styleId="1596">
    <w:name w:val="CM16"/>
    <w:basedOn w:val="1"/>
    <w:next w:val="1"/>
    <w:autoRedefine/>
    <w:qFormat/>
    <w:uiPriority w:val="99"/>
    <w:pPr>
      <w:autoSpaceDE w:val="0"/>
      <w:autoSpaceDN w:val="0"/>
      <w:spacing w:line="533" w:lineRule="atLeast"/>
      <w:jc w:val="left"/>
    </w:pPr>
    <w:rPr>
      <w:rFonts w:ascii="宋体"/>
      <w:color w:val="000000"/>
      <w:kern w:val="0"/>
      <w:szCs w:val="24"/>
    </w:rPr>
  </w:style>
  <w:style w:type="paragraph" w:customStyle="1" w:styleId="1597">
    <w:name w:val="样式 标题 3H3H31H32H33u3标题 3 Char Char Char标题 3 Char Char Cha...1"/>
    <w:basedOn w:val="5"/>
    <w:autoRedefine/>
    <w:qFormat/>
    <w:uiPriority w:val="99"/>
    <w:pPr>
      <w:numPr>
        <w:ilvl w:val="0"/>
        <w:numId w:val="0"/>
      </w:numPr>
      <w:spacing w:line="348" w:lineRule="auto"/>
      <w:ind w:firstLine="200" w:firstLineChars="200"/>
    </w:pPr>
    <w:rPr>
      <w:rFonts w:cs="宋体"/>
      <w:b w:val="0"/>
      <w:bCs w:val="0"/>
      <w:color w:val="000000"/>
      <w:spacing w:val="8"/>
      <w:sz w:val="28"/>
      <w:szCs w:val="20"/>
    </w:rPr>
  </w:style>
  <w:style w:type="paragraph" w:customStyle="1" w:styleId="1598">
    <w:name w:val="样式 样式 标题 3H3H31H32H33u3标题 3 Char Char Char标题 3 Char Char Cha...1..."/>
    <w:basedOn w:val="1597"/>
    <w:autoRedefine/>
    <w:qFormat/>
    <w:uiPriority w:val="99"/>
    <w:pPr>
      <w:ind w:firstLine="0" w:firstLineChars="0"/>
    </w:pPr>
  </w:style>
  <w:style w:type="paragraph" w:customStyle="1" w:styleId="1599">
    <w:name w:val="dandan6-13正文 Char Char Char"/>
    <w:basedOn w:val="1"/>
    <w:next w:val="1"/>
    <w:autoRedefine/>
    <w:qFormat/>
    <w:uiPriority w:val="99"/>
    <w:pPr>
      <w:keepNext/>
      <w:keepLines/>
      <w:widowControl/>
      <w:snapToGrid/>
      <w:spacing w:before="40" w:after="40" w:line="360" w:lineRule="auto"/>
      <w:textAlignment w:val="baseline"/>
    </w:pPr>
    <w:rPr>
      <w:rFonts w:cs="宋体"/>
      <w:kern w:val="0"/>
      <w:szCs w:val="28"/>
    </w:rPr>
  </w:style>
  <w:style w:type="paragraph" w:customStyle="1" w:styleId="1600">
    <w:name w:val="CM22"/>
    <w:basedOn w:val="151"/>
    <w:next w:val="151"/>
    <w:autoRedefine/>
    <w:qFormat/>
    <w:uiPriority w:val="0"/>
    <w:pPr>
      <w:spacing w:line="523" w:lineRule="atLeast"/>
    </w:pPr>
    <w:rPr>
      <w:rFonts w:ascii="黑体" w:eastAsia="黑体"/>
      <w:color w:val="auto"/>
    </w:rPr>
  </w:style>
  <w:style w:type="paragraph" w:customStyle="1" w:styleId="1601">
    <w:name w:val="p30"/>
    <w:basedOn w:val="1"/>
    <w:autoRedefine/>
    <w:qFormat/>
    <w:uiPriority w:val="99"/>
    <w:pPr>
      <w:widowControl/>
      <w:adjustRightInd/>
      <w:spacing w:before="62" w:line="240" w:lineRule="atLeast"/>
      <w:ind w:firstLine="0" w:firstLineChars="0"/>
      <w:jc w:val="center"/>
    </w:pPr>
    <w:rPr>
      <w:rFonts w:ascii="仿宋体" w:hAnsi="仿宋体" w:eastAsia="仿宋体" w:cs="宋体"/>
      <w:kern w:val="0"/>
      <w:sz w:val="21"/>
      <w:szCs w:val="21"/>
    </w:rPr>
  </w:style>
  <w:style w:type="paragraph" w:customStyle="1" w:styleId="1602">
    <w:name w:val="p34"/>
    <w:basedOn w:val="1"/>
    <w:autoRedefine/>
    <w:qFormat/>
    <w:uiPriority w:val="99"/>
    <w:pPr>
      <w:widowControl/>
      <w:adjustRightInd/>
      <w:snapToGrid/>
      <w:spacing w:line="240" w:lineRule="auto"/>
      <w:ind w:firstLine="0" w:firstLineChars="0"/>
    </w:pPr>
    <w:rPr>
      <w:kern w:val="0"/>
      <w:sz w:val="21"/>
      <w:szCs w:val="21"/>
    </w:rPr>
  </w:style>
  <w:style w:type="paragraph" w:customStyle="1" w:styleId="1603">
    <w:name w:val="p35"/>
    <w:basedOn w:val="1"/>
    <w:autoRedefine/>
    <w:qFormat/>
    <w:uiPriority w:val="99"/>
    <w:pPr>
      <w:widowControl/>
      <w:adjustRightInd/>
      <w:snapToGrid/>
      <w:spacing w:line="480" w:lineRule="atLeast"/>
      <w:ind w:firstLine="420" w:firstLineChars="0"/>
    </w:pPr>
    <w:rPr>
      <w:kern w:val="0"/>
      <w:sz w:val="26"/>
      <w:szCs w:val="26"/>
    </w:rPr>
  </w:style>
  <w:style w:type="paragraph" w:customStyle="1" w:styleId="1604">
    <w:name w:val="p36"/>
    <w:basedOn w:val="1"/>
    <w:autoRedefine/>
    <w:qFormat/>
    <w:uiPriority w:val="99"/>
    <w:pPr>
      <w:widowControl/>
      <w:adjustRightInd/>
      <w:snapToGrid/>
      <w:spacing w:line="480" w:lineRule="atLeast"/>
      <w:ind w:firstLine="420" w:firstLineChars="0"/>
    </w:pPr>
    <w:rPr>
      <w:kern w:val="0"/>
      <w:szCs w:val="24"/>
    </w:rPr>
  </w:style>
  <w:style w:type="paragraph" w:customStyle="1" w:styleId="1605">
    <w:name w:val="Char Char Char Char Char Char Char Char Char Char Char Char Char Char Char Char Char Char"/>
    <w:basedOn w:val="1"/>
    <w:autoRedefine/>
    <w:qFormat/>
    <w:uiPriority w:val="0"/>
    <w:pPr>
      <w:widowControl/>
      <w:adjustRightInd/>
      <w:snapToGrid/>
      <w:spacing w:line="240" w:lineRule="auto"/>
      <w:ind w:firstLine="0" w:firstLineChars="0"/>
      <w:jc w:val="left"/>
    </w:pPr>
    <w:rPr>
      <w:rFonts w:ascii="Tahoma" w:hAnsi="Tahoma"/>
      <w:kern w:val="0"/>
    </w:rPr>
  </w:style>
  <w:style w:type="character" w:customStyle="1" w:styleId="1606">
    <w:name w:val="文档结构图 Char2"/>
    <w:autoRedefine/>
    <w:qFormat/>
    <w:uiPriority w:val="0"/>
    <w:rPr>
      <w:rFonts w:ascii="宋体" w:hAnsi="Calibri"/>
      <w:sz w:val="18"/>
      <w:szCs w:val="18"/>
    </w:rPr>
  </w:style>
  <w:style w:type="character" w:customStyle="1" w:styleId="1607">
    <w:name w:val="样式 段前: 0.5 行 首行缩进:  2 字符 Char Char Char Char"/>
    <w:link w:val="1608"/>
    <w:autoRedefine/>
    <w:qFormat/>
    <w:uiPriority w:val="0"/>
    <w:rPr>
      <w:kern w:val="2"/>
      <w:sz w:val="28"/>
    </w:rPr>
  </w:style>
  <w:style w:type="paragraph" w:customStyle="1" w:styleId="1608">
    <w:name w:val="样式 段前: 0.5 行 首行缩进:  2 字符 Char"/>
    <w:basedOn w:val="1"/>
    <w:link w:val="1607"/>
    <w:autoRedefine/>
    <w:qFormat/>
    <w:uiPriority w:val="99"/>
    <w:pPr>
      <w:widowControl/>
      <w:spacing w:before="156" w:line="440" w:lineRule="exact"/>
      <w:ind w:firstLine="480"/>
    </w:pPr>
    <w:rPr>
      <w:rFonts w:ascii="Calibri" w:hAnsi="Calibri"/>
      <w:sz w:val="28"/>
      <w:lang w:val="zh-CN"/>
    </w:rPr>
  </w:style>
  <w:style w:type="character" w:customStyle="1" w:styleId="1609">
    <w:name w:val="文本 Char Char Char"/>
    <w:autoRedefine/>
    <w:qFormat/>
    <w:uiPriority w:val="0"/>
    <w:rPr>
      <w:sz w:val="24"/>
      <w:szCs w:val="24"/>
    </w:rPr>
  </w:style>
  <w:style w:type="character" w:customStyle="1" w:styleId="1610">
    <w:name w:val="表头11 Char Char"/>
    <w:autoRedefine/>
    <w:qFormat/>
    <w:uiPriority w:val="0"/>
    <w:rPr>
      <w:b/>
      <w:sz w:val="24"/>
      <w:szCs w:val="24"/>
    </w:rPr>
  </w:style>
  <w:style w:type="character" w:customStyle="1" w:styleId="1611">
    <w:name w:val="样式 13 磅 行距: 固定值 23 磅 首行缩进:  2 字符 Char Char Char Char"/>
    <w:autoRedefine/>
    <w:qFormat/>
    <w:uiPriority w:val="0"/>
    <w:rPr>
      <w:rFonts w:ascii="Calibri" w:hAnsi="Calibri" w:eastAsia="宋体"/>
      <w:kern w:val="2"/>
      <w:sz w:val="26"/>
      <w:lang w:val="en-US" w:eastAsia="zh-CN" w:bidi="ar-SA"/>
    </w:rPr>
  </w:style>
  <w:style w:type="character" w:customStyle="1" w:styleId="1612">
    <w:name w:val="正文文本缩进 Char3"/>
    <w:autoRedefine/>
    <w:qFormat/>
    <w:uiPriority w:val="0"/>
    <w:rPr>
      <w:rFonts w:ascii="宋体" w:hAnsi="Calibri" w:eastAsia="宋体"/>
      <w:sz w:val="24"/>
      <w:lang w:val="en-US" w:eastAsia="zh-CN" w:bidi="ar-SA"/>
    </w:rPr>
  </w:style>
  <w:style w:type="character" w:customStyle="1" w:styleId="1613">
    <w:name w:val="湛江钢铁表 Char"/>
    <w:autoRedefine/>
    <w:qFormat/>
    <w:uiPriority w:val="0"/>
    <w:rPr>
      <w:rFonts w:eastAsia="仿宋_GB2312"/>
      <w:snapToGrid w:val="0"/>
      <w:sz w:val="21"/>
      <w:szCs w:val="21"/>
      <w:lang w:val="en-US" w:eastAsia="zh-CN" w:bidi="ar-SA"/>
    </w:rPr>
  </w:style>
  <w:style w:type="character" w:customStyle="1" w:styleId="1614">
    <w:name w:val="引用 Char3"/>
    <w:autoRedefine/>
    <w:qFormat/>
    <w:uiPriority w:val="29"/>
    <w:rPr>
      <w:rFonts w:ascii="Times New Roman" w:hAnsi="Times New Roman"/>
      <w:i/>
      <w:iCs/>
      <w:color w:val="404040"/>
      <w:kern w:val="2"/>
      <w:sz w:val="24"/>
    </w:rPr>
  </w:style>
  <w:style w:type="character" w:customStyle="1" w:styleId="1615">
    <w:name w:val="Char Char27"/>
    <w:autoRedefine/>
    <w:qFormat/>
    <w:uiPriority w:val="0"/>
    <w:rPr>
      <w:sz w:val="18"/>
      <w:szCs w:val="18"/>
    </w:rPr>
  </w:style>
  <w:style w:type="character" w:customStyle="1" w:styleId="1616">
    <w:name w:val="Char Char26"/>
    <w:autoRedefine/>
    <w:qFormat/>
    <w:uiPriority w:val="0"/>
    <w:rPr>
      <w:sz w:val="18"/>
      <w:szCs w:val="18"/>
    </w:rPr>
  </w:style>
  <w:style w:type="character" w:customStyle="1" w:styleId="1617">
    <w:name w:val="Char Char31"/>
    <w:autoRedefine/>
    <w:qFormat/>
    <w:uiPriority w:val="0"/>
    <w:rPr>
      <w:rFonts w:ascii="Cambria" w:hAnsi="Cambria" w:eastAsia="宋体" w:cs="Times New Roman"/>
      <w:i/>
      <w:iCs/>
      <w:color w:val="243F60"/>
      <w:kern w:val="0"/>
      <w:sz w:val="24"/>
      <w:lang w:eastAsia="en-US" w:bidi="en-US"/>
    </w:rPr>
  </w:style>
  <w:style w:type="character" w:customStyle="1" w:styleId="1618">
    <w:name w:val="正文文本缩进 3 Char2"/>
    <w:autoRedefine/>
    <w:qFormat/>
    <w:uiPriority w:val="0"/>
    <w:rPr>
      <w:rFonts w:ascii="仿宋_GB2312" w:hAnsi="Calibri" w:eastAsia="仿宋_GB2312"/>
      <w:b/>
      <w:bCs/>
      <w:sz w:val="24"/>
      <w:lang w:bidi="ar-SA"/>
    </w:rPr>
  </w:style>
  <w:style w:type="paragraph" w:customStyle="1" w:styleId="1619">
    <w:name w:val="Char Char Char Char4"/>
    <w:basedOn w:val="1"/>
    <w:autoRedefine/>
    <w:qFormat/>
    <w:uiPriority w:val="0"/>
    <w:pPr>
      <w:adjustRightInd/>
      <w:snapToGrid/>
      <w:spacing w:line="240" w:lineRule="auto"/>
      <w:ind w:firstLine="0" w:firstLineChars="0"/>
    </w:pPr>
    <w:rPr>
      <w:sz w:val="21"/>
    </w:rPr>
  </w:style>
  <w:style w:type="character" w:customStyle="1" w:styleId="1620">
    <w:name w:val="Char Char36"/>
    <w:autoRedefine/>
    <w:qFormat/>
    <w:uiPriority w:val="0"/>
    <w:rPr>
      <w:rFonts w:ascii="Cambria" w:hAnsi="Cambria" w:eastAsia="黑体" w:cs="Times New Roman"/>
      <w:b/>
      <w:kern w:val="0"/>
      <w:sz w:val="32"/>
      <w:szCs w:val="28"/>
    </w:rPr>
  </w:style>
  <w:style w:type="character" w:customStyle="1" w:styleId="1621">
    <w:name w:val="Char Char35"/>
    <w:autoRedefine/>
    <w:qFormat/>
    <w:uiPriority w:val="0"/>
    <w:rPr>
      <w:rFonts w:ascii="Cambria" w:hAnsi="Cambria" w:eastAsia="宋体" w:cs="Times New Roman"/>
      <w:b/>
      <w:bCs/>
      <w:color w:val="4F81BD"/>
      <w:kern w:val="0"/>
      <w:sz w:val="26"/>
      <w:szCs w:val="26"/>
      <w:lang w:eastAsia="en-US" w:bidi="en-US"/>
    </w:rPr>
  </w:style>
  <w:style w:type="character" w:customStyle="1" w:styleId="1622">
    <w:name w:val="Char Char34"/>
    <w:autoRedefine/>
    <w:qFormat/>
    <w:uiPriority w:val="0"/>
    <w:rPr>
      <w:rFonts w:ascii="Times New Roman" w:hAnsi="Times New Roman" w:eastAsia="宋体" w:cs="Times New Roman"/>
      <w:bCs/>
      <w:kern w:val="0"/>
      <w:sz w:val="28"/>
      <w:szCs w:val="32"/>
      <w:lang w:eastAsia="en-US"/>
    </w:rPr>
  </w:style>
  <w:style w:type="character" w:customStyle="1" w:styleId="1623">
    <w:name w:val="Char Char33"/>
    <w:autoRedefine/>
    <w:qFormat/>
    <w:uiPriority w:val="0"/>
    <w:rPr>
      <w:rFonts w:ascii="Arial" w:hAnsi="Arial" w:eastAsia="黑体" w:cs="Times New Roman"/>
      <w:bCs/>
      <w:sz w:val="24"/>
      <w:szCs w:val="28"/>
    </w:rPr>
  </w:style>
  <w:style w:type="character" w:customStyle="1" w:styleId="1624">
    <w:name w:val="Char Char321"/>
    <w:autoRedefine/>
    <w:qFormat/>
    <w:uiPriority w:val="0"/>
    <w:rPr>
      <w:rFonts w:ascii="Cambria" w:hAnsi="Cambria" w:eastAsia="宋体" w:cs="Times New Roman"/>
      <w:color w:val="243F60"/>
      <w:kern w:val="0"/>
      <w:sz w:val="24"/>
      <w:lang w:eastAsia="en-US" w:bidi="en-US"/>
    </w:rPr>
  </w:style>
  <w:style w:type="character" w:customStyle="1" w:styleId="1625">
    <w:name w:val="Char Char30"/>
    <w:autoRedefine/>
    <w:qFormat/>
    <w:uiPriority w:val="0"/>
    <w:rPr>
      <w:rFonts w:ascii="Cambria" w:hAnsi="Cambria" w:eastAsia="宋体" w:cs="Times New Roman"/>
      <w:i/>
      <w:iCs/>
      <w:color w:val="404040"/>
      <w:kern w:val="0"/>
      <w:sz w:val="24"/>
      <w:lang w:eastAsia="en-US" w:bidi="en-US"/>
    </w:rPr>
  </w:style>
  <w:style w:type="character" w:customStyle="1" w:styleId="1626">
    <w:name w:val="Char Char29"/>
    <w:autoRedefine/>
    <w:qFormat/>
    <w:uiPriority w:val="0"/>
    <w:rPr>
      <w:rFonts w:ascii="Cambria" w:hAnsi="Cambria" w:eastAsia="宋体" w:cs="Times New Roman"/>
      <w:color w:val="4F81BD"/>
      <w:kern w:val="0"/>
      <w:sz w:val="20"/>
      <w:szCs w:val="20"/>
      <w:lang w:eastAsia="en-US" w:bidi="en-US"/>
    </w:rPr>
  </w:style>
  <w:style w:type="character" w:customStyle="1" w:styleId="1627">
    <w:name w:val="Char Char28"/>
    <w:autoRedefine/>
    <w:qFormat/>
    <w:uiPriority w:val="0"/>
    <w:rPr>
      <w:rFonts w:ascii="Cambria" w:hAnsi="Cambria" w:eastAsia="宋体" w:cs="Times New Roman"/>
      <w:i/>
      <w:iCs/>
      <w:color w:val="404040"/>
      <w:kern w:val="0"/>
      <w:sz w:val="20"/>
      <w:szCs w:val="20"/>
      <w:lang w:eastAsia="en-US" w:bidi="en-US"/>
    </w:rPr>
  </w:style>
  <w:style w:type="character" w:customStyle="1" w:styleId="1628">
    <w:name w:val="标题 2- Char"/>
    <w:autoRedefine/>
    <w:qFormat/>
    <w:uiPriority w:val="0"/>
    <w:rPr>
      <w:rFonts w:ascii="Arial" w:hAnsi="Arial" w:eastAsia="华文中宋"/>
      <w:b/>
      <w:sz w:val="32"/>
      <w:szCs w:val="24"/>
    </w:rPr>
  </w:style>
  <w:style w:type="character" w:customStyle="1" w:styleId="1629">
    <w:name w:val="表格数字 Char"/>
    <w:autoRedefine/>
    <w:qFormat/>
    <w:uiPriority w:val="0"/>
    <w:rPr>
      <w:rFonts w:ascii="Arial" w:hAnsi="Arial" w:eastAsia="宋体" w:cs="宋体"/>
    </w:rPr>
  </w:style>
  <w:style w:type="character" w:customStyle="1" w:styleId="1630">
    <w:name w:val="文本_zxj Char"/>
    <w:autoRedefine/>
    <w:qFormat/>
    <w:uiPriority w:val="0"/>
    <w:rPr>
      <w:rFonts w:ascii="Calibri" w:hAnsi="Calibri" w:eastAsia="宋体" w:cs="宋体"/>
      <w:sz w:val="28"/>
    </w:rPr>
  </w:style>
  <w:style w:type="character" w:customStyle="1" w:styleId="1631">
    <w:name w:val="样式 左 Char"/>
    <w:autoRedefine/>
    <w:qFormat/>
    <w:uiPriority w:val="0"/>
    <w:rPr>
      <w:rFonts w:ascii="Calibri" w:hAnsi="Calibri" w:eastAsia="宋体" w:cs="宋体"/>
    </w:rPr>
  </w:style>
  <w:style w:type="character" w:customStyle="1" w:styleId="1632">
    <w:name w:val="表题 Char"/>
    <w:autoRedefine/>
    <w:qFormat/>
    <w:uiPriority w:val="0"/>
    <w:rPr>
      <w:rFonts w:ascii="黑体" w:hAnsi="Calibri" w:eastAsia="黑体"/>
      <w:szCs w:val="21"/>
    </w:rPr>
  </w:style>
  <w:style w:type="character" w:customStyle="1" w:styleId="1633">
    <w:name w:val="样式 左 首行缩进:  1.01 厘米 Char"/>
    <w:autoRedefine/>
    <w:qFormat/>
    <w:uiPriority w:val="0"/>
    <w:rPr>
      <w:rFonts w:ascii="Calibri" w:hAnsi="Calibri" w:eastAsia="宋体" w:cs="宋体"/>
      <w:sz w:val="26"/>
      <w:szCs w:val="26"/>
    </w:rPr>
  </w:style>
  <w:style w:type="character" w:customStyle="1" w:styleId="1634">
    <w:name w:val="表格题头 Char"/>
    <w:autoRedefine/>
    <w:qFormat/>
    <w:uiPriority w:val="0"/>
    <w:rPr>
      <w:rFonts w:eastAsia="黑体"/>
      <w:b/>
      <w:kern w:val="2"/>
      <w:sz w:val="24"/>
      <w:szCs w:val="24"/>
      <w:lang w:val="en-US" w:eastAsia="zh-CN" w:bidi="ar-SA"/>
    </w:rPr>
  </w:style>
  <w:style w:type="character" w:customStyle="1" w:styleId="1635">
    <w:name w:val="表格文字1 Char"/>
    <w:autoRedefine/>
    <w:qFormat/>
    <w:uiPriority w:val="0"/>
    <w:rPr>
      <w:iCs/>
      <w:kern w:val="2"/>
      <w:sz w:val="21"/>
      <w:szCs w:val="24"/>
      <w:lang w:val="en-US" w:eastAsia="zh-CN" w:bidi="ar-SA"/>
    </w:rPr>
  </w:style>
  <w:style w:type="character" w:customStyle="1" w:styleId="1636">
    <w:name w:val="公式描述 Char"/>
    <w:autoRedefine/>
    <w:qFormat/>
    <w:uiPriority w:val="0"/>
    <w:rPr>
      <w:rFonts w:eastAsia="仿宋_GB2312"/>
      <w:kern w:val="2"/>
      <w:sz w:val="24"/>
      <w:szCs w:val="24"/>
      <w:lang w:val="en-US" w:eastAsia="zh-CN" w:bidi="ar-SA"/>
    </w:rPr>
  </w:style>
  <w:style w:type="character" w:customStyle="1" w:styleId="1637">
    <w:name w:val="样式20 Char"/>
    <w:autoRedefine/>
    <w:qFormat/>
    <w:uiPriority w:val="0"/>
    <w:rPr>
      <w:rFonts w:ascii="宋体" w:hAnsi="宋体" w:eastAsia="宋体"/>
      <w:sz w:val="26"/>
      <w:szCs w:val="26"/>
    </w:rPr>
  </w:style>
  <w:style w:type="character" w:customStyle="1" w:styleId="1638">
    <w:name w:val="正文01 Char"/>
    <w:autoRedefine/>
    <w:qFormat/>
    <w:uiPriority w:val="0"/>
    <w:rPr>
      <w:rFonts w:ascii="Calibri" w:hAnsi="Calibri" w:eastAsia="宋体"/>
      <w:sz w:val="24"/>
    </w:rPr>
  </w:style>
  <w:style w:type="character" w:customStyle="1" w:styleId="1639">
    <w:name w:val="表格正文 Char"/>
    <w:autoRedefine/>
    <w:qFormat/>
    <w:uiPriority w:val="0"/>
    <w:rPr>
      <w:rFonts w:ascii="Calibri" w:hAnsi="Calibri" w:eastAsia="宋体" w:cs="宋体"/>
    </w:rPr>
  </w:style>
  <w:style w:type="character" w:customStyle="1" w:styleId="1640">
    <w:name w:val="样式5 Char"/>
    <w:autoRedefine/>
    <w:qFormat/>
    <w:uiPriority w:val="0"/>
    <w:rPr>
      <w:rFonts w:ascii="Arial" w:hAnsi="Arial" w:eastAsia="仿宋_GB2312"/>
      <w:szCs w:val="24"/>
    </w:rPr>
  </w:style>
  <w:style w:type="character" w:customStyle="1" w:styleId="1641">
    <w:name w:val="样式4 Char"/>
    <w:autoRedefine/>
    <w:qFormat/>
    <w:uiPriority w:val="0"/>
    <w:rPr>
      <w:rFonts w:ascii="Calibri" w:hAnsi="Calibri" w:eastAsia="仿宋_GB2312"/>
      <w:sz w:val="28"/>
    </w:rPr>
  </w:style>
  <w:style w:type="character" w:customStyle="1" w:styleId="1642">
    <w:name w:val="样式8 Char"/>
    <w:autoRedefine/>
    <w:qFormat/>
    <w:uiPriority w:val="0"/>
    <w:rPr>
      <w:rFonts w:ascii="Calibri" w:hAnsi="Calibri" w:eastAsia="宋体"/>
      <w:bCs/>
      <w:snapToGrid w:val="0"/>
      <w:sz w:val="26"/>
      <w:szCs w:val="26"/>
    </w:rPr>
  </w:style>
  <w:style w:type="character" w:customStyle="1" w:styleId="1643">
    <w:name w:val="表格题注 Char"/>
    <w:autoRedefine/>
    <w:qFormat/>
    <w:uiPriority w:val="0"/>
    <w:rPr>
      <w:rFonts w:ascii="Calibri" w:hAnsi="Calibri" w:eastAsia="宋体"/>
      <w:b/>
      <w:color w:val="000000"/>
      <w:szCs w:val="21"/>
    </w:rPr>
  </w:style>
  <w:style w:type="character" w:customStyle="1" w:styleId="1644">
    <w:name w:val="!正文(alt+c) Char"/>
    <w:autoRedefine/>
    <w:qFormat/>
    <w:uiPriority w:val="0"/>
    <w:rPr>
      <w:kern w:val="2"/>
      <w:sz w:val="21"/>
      <w:szCs w:val="21"/>
      <w:lang w:val="en-US" w:eastAsia="zh-CN" w:bidi="ar-SA"/>
    </w:rPr>
  </w:style>
  <w:style w:type="character" w:customStyle="1" w:styleId="1645">
    <w:name w:val="表头排版 Char"/>
    <w:autoRedefine/>
    <w:qFormat/>
    <w:uiPriority w:val="0"/>
    <w:rPr>
      <w:rFonts w:ascii="Calibri" w:hAnsi="Calibri" w:eastAsia="宋体"/>
      <w:sz w:val="26"/>
      <w:szCs w:val="21"/>
    </w:rPr>
  </w:style>
  <w:style w:type="character" w:customStyle="1" w:styleId="1646">
    <w:name w:val="报告表正文 Char"/>
    <w:autoRedefine/>
    <w:qFormat/>
    <w:uiPriority w:val="0"/>
    <w:rPr>
      <w:rFonts w:ascii="Calibri" w:hAnsi="Calibri" w:eastAsia="宋体"/>
      <w:sz w:val="24"/>
    </w:rPr>
  </w:style>
  <w:style w:type="character" w:customStyle="1" w:styleId="1647">
    <w:name w:val="框图文字 Char"/>
    <w:autoRedefine/>
    <w:qFormat/>
    <w:uiPriority w:val="0"/>
    <w:rPr>
      <w:rFonts w:ascii="Calibri" w:hAnsi="Arial" w:eastAsia="宋体"/>
      <w:sz w:val="18"/>
      <w:szCs w:val="24"/>
      <w:lang w:eastAsia="zh-TW"/>
    </w:rPr>
  </w:style>
  <w:style w:type="character" w:customStyle="1" w:styleId="1648">
    <w:name w:val="样式 正文缩进正文（首行缩进两字） Char正文（首行缩进两字）正文（首行缩进两字） Char Char Char Cha... Char"/>
    <w:autoRedefine/>
    <w:qFormat/>
    <w:uiPriority w:val="0"/>
    <w:rPr>
      <w:rFonts w:ascii="Arial" w:hAnsi="宋体" w:eastAsia="宋体" w:cs="Arial"/>
      <w:sz w:val="26"/>
      <w:szCs w:val="26"/>
    </w:rPr>
  </w:style>
  <w:style w:type="character" w:customStyle="1" w:styleId="1649">
    <w:name w:val="样式6 Char"/>
    <w:autoRedefine/>
    <w:qFormat/>
    <w:uiPriority w:val="0"/>
    <w:rPr>
      <w:rFonts w:ascii="Calibri" w:hAnsi="Calibri" w:eastAsia="宋体"/>
      <w:b/>
      <w:sz w:val="24"/>
      <w:szCs w:val="24"/>
    </w:rPr>
  </w:style>
  <w:style w:type="character" w:customStyle="1" w:styleId="1650">
    <w:name w:val="样式 段前: 0.5 行 首行缩进:  2 字符 Char Char Char Char Char Char Char Char"/>
    <w:autoRedefine/>
    <w:qFormat/>
    <w:uiPriority w:val="0"/>
    <w:rPr>
      <w:rFonts w:ascii="Calibri" w:hAnsi="Calibri" w:eastAsia="宋体" w:cs="宋体"/>
      <w:sz w:val="24"/>
    </w:rPr>
  </w:style>
  <w:style w:type="character" w:customStyle="1" w:styleId="1651">
    <w:name w:val="标准文本 首行缩进: 2 字符 行距: 单倍 Char"/>
    <w:autoRedefine/>
    <w:qFormat/>
    <w:uiPriority w:val="0"/>
    <w:rPr>
      <w:rFonts w:ascii="宋体" w:hAnsi="宋体" w:eastAsia="宋体" w:cs="宋体"/>
      <w:sz w:val="24"/>
      <w:szCs w:val="24"/>
    </w:rPr>
  </w:style>
  <w:style w:type="character" w:customStyle="1" w:styleId="1652">
    <w:name w:val="样式 小四 Char"/>
    <w:autoRedefine/>
    <w:qFormat/>
    <w:uiPriority w:val="0"/>
    <w:rPr>
      <w:rFonts w:ascii="Calibri" w:hAnsi="Calibri" w:eastAsia="宋体" w:cs="宋体"/>
      <w:sz w:val="24"/>
    </w:rPr>
  </w:style>
  <w:style w:type="character" w:customStyle="1" w:styleId="1653">
    <w:name w:val="样式 首行缩进:  0.85 厘米 Char Char Char Char Char Char Char Char Char Char Char Char Char Char Char Char Char Char"/>
    <w:autoRedefine/>
    <w:qFormat/>
    <w:uiPriority w:val="0"/>
    <w:rPr>
      <w:rFonts w:ascii="Calibri" w:hAnsi="Calibri" w:eastAsia="宋体" w:cs="宋体"/>
      <w:sz w:val="24"/>
    </w:rPr>
  </w:style>
  <w:style w:type="character" w:customStyle="1" w:styleId="1654">
    <w:name w:val="样式 首行缩进:  0.85 厘米 Char"/>
    <w:autoRedefine/>
    <w:qFormat/>
    <w:uiPriority w:val="0"/>
    <w:rPr>
      <w:rFonts w:ascii="Calibri" w:hAnsi="Calibri" w:eastAsia="宋体" w:cs="宋体"/>
      <w:sz w:val="24"/>
    </w:rPr>
  </w:style>
  <w:style w:type="character" w:customStyle="1" w:styleId="1655">
    <w:name w:val="样式 样式 段前: 0.5 行 + 首行缩进:  2 字符 段前: 0.5 行 Char"/>
    <w:autoRedefine/>
    <w:qFormat/>
    <w:uiPriority w:val="0"/>
    <w:rPr>
      <w:rFonts w:ascii="Calibri" w:hAnsi="Calibri" w:eastAsia="宋体" w:cs="宋体"/>
      <w:color w:val="000000"/>
      <w:sz w:val="24"/>
    </w:rPr>
  </w:style>
  <w:style w:type="character" w:customStyle="1" w:styleId="1656">
    <w:name w:val="11111正式正文 Char"/>
    <w:autoRedefine/>
    <w:qFormat/>
    <w:uiPriority w:val="0"/>
    <w:rPr>
      <w:kern w:val="2"/>
      <w:sz w:val="24"/>
      <w:szCs w:val="28"/>
      <w:lang w:val="en-US" w:eastAsia="zh-CN" w:bidi="ar-SA"/>
    </w:rPr>
  </w:style>
  <w:style w:type="character" w:customStyle="1" w:styleId="1657">
    <w:name w:val="正文文本1 Char"/>
    <w:autoRedefine/>
    <w:qFormat/>
    <w:uiPriority w:val="0"/>
    <w:rPr>
      <w:rFonts w:ascii="宋体" w:hAnsi="华文宋体" w:eastAsia="宋体" w:cs="宋体"/>
      <w:w w:val="80"/>
      <w:kern w:val="2"/>
      <w:sz w:val="28"/>
      <w:lang w:val="en-US" w:eastAsia="zh-CN" w:bidi="ar-SA"/>
    </w:rPr>
  </w:style>
  <w:style w:type="character" w:customStyle="1" w:styleId="1658">
    <w:name w:val="标准样式 Char"/>
    <w:autoRedefine/>
    <w:qFormat/>
    <w:uiPriority w:val="0"/>
    <w:rPr>
      <w:rFonts w:ascii="宋体" w:eastAsia="宋体"/>
      <w:kern w:val="2"/>
      <w:sz w:val="28"/>
      <w:szCs w:val="26"/>
      <w:lang w:val="en-US" w:eastAsia="zh-CN" w:bidi="ar-SA"/>
    </w:rPr>
  </w:style>
  <w:style w:type="character" w:customStyle="1" w:styleId="1659">
    <w:name w:val="样式10 Char"/>
    <w:autoRedefine/>
    <w:qFormat/>
    <w:uiPriority w:val="0"/>
    <w:rPr>
      <w:rFonts w:ascii="Calibri" w:hAnsi="Calibri" w:eastAsia="宋体"/>
      <w:bCs/>
      <w:sz w:val="26"/>
      <w:szCs w:val="26"/>
    </w:rPr>
  </w:style>
  <w:style w:type="character" w:customStyle="1" w:styleId="1660">
    <w:name w:val="样式12 Char"/>
    <w:autoRedefine/>
    <w:qFormat/>
    <w:uiPriority w:val="0"/>
    <w:rPr>
      <w:rFonts w:ascii="Calibri" w:hAnsi="Calibri" w:eastAsia="宋体"/>
      <w:b/>
      <w:sz w:val="26"/>
      <w:szCs w:val="26"/>
    </w:rPr>
  </w:style>
  <w:style w:type="character" w:customStyle="1" w:styleId="1661">
    <w:name w:val="样式39 Char"/>
    <w:autoRedefine/>
    <w:qFormat/>
    <w:uiPriority w:val="0"/>
    <w:rPr>
      <w:rFonts w:ascii="宋体" w:hAnsi="宋体" w:eastAsia="宋体"/>
      <w:sz w:val="26"/>
      <w:szCs w:val="26"/>
    </w:rPr>
  </w:style>
  <w:style w:type="character" w:customStyle="1" w:styleId="1662">
    <w:name w:val="样式19 Char"/>
    <w:autoRedefine/>
    <w:qFormat/>
    <w:uiPriority w:val="0"/>
    <w:rPr>
      <w:rFonts w:ascii="宋体" w:hAnsi="宋体" w:eastAsia="宋体" w:cs="宋体"/>
      <w:sz w:val="26"/>
      <w:szCs w:val="26"/>
    </w:rPr>
  </w:style>
  <w:style w:type="character" w:customStyle="1" w:styleId="1663">
    <w:name w:val="样式 样式 四号 黑色 + 首行缩进:  2 字符 Char"/>
    <w:autoRedefine/>
    <w:qFormat/>
    <w:uiPriority w:val="0"/>
    <w:rPr>
      <w:rFonts w:cs="宋体"/>
      <w:color w:val="000000"/>
      <w:kern w:val="2"/>
      <w:sz w:val="28"/>
      <w:szCs w:val="22"/>
      <w:lang w:val="en-US" w:eastAsia="zh-CN" w:bidi="ar-SA"/>
    </w:rPr>
  </w:style>
  <w:style w:type="character" w:customStyle="1" w:styleId="1664">
    <w:name w:val="表格表格 Char"/>
    <w:autoRedefine/>
    <w:qFormat/>
    <w:uiPriority w:val="0"/>
    <w:rPr>
      <w:rFonts w:ascii="Calibri" w:hAnsi="Calibri" w:eastAsia="宋体" w:cs="宋体"/>
      <w:color w:val="000000"/>
      <w:szCs w:val="21"/>
    </w:rPr>
  </w:style>
  <w:style w:type="character" w:customStyle="1" w:styleId="1665">
    <w:name w:val="三级标题 Char"/>
    <w:autoRedefine/>
    <w:qFormat/>
    <w:uiPriority w:val="0"/>
    <w:rPr>
      <w:rFonts w:ascii="Calibri" w:hAnsi="Calibri" w:eastAsia="宋体"/>
      <w:bCs/>
      <w:sz w:val="26"/>
      <w:szCs w:val="26"/>
    </w:rPr>
  </w:style>
  <w:style w:type="character" w:customStyle="1" w:styleId="1666">
    <w:name w:val="样式 宋体 四号 行距: 1.5 倍行距 Char"/>
    <w:autoRedefine/>
    <w:qFormat/>
    <w:uiPriority w:val="0"/>
    <w:rPr>
      <w:rFonts w:ascii="宋体" w:hAnsi="宋体" w:eastAsia="宋体" w:cs="宋体"/>
      <w:kern w:val="2"/>
      <w:sz w:val="28"/>
      <w:szCs w:val="28"/>
      <w:lang w:val="en-US" w:eastAsia="zh-CN"/>
    </w:rPr>
  </w:style>
  <w:style w:type="character" w:customStyle="1" w:styleId="1667">
    <w:name w:val="样式 四号 黑色 Char"/>
    <w:autoRedefine/>
    <w:qFormat/>
    <w:uiPriority w:val="0"/>
    <w:rPr>
      <w:rFonts w:ascii="Calibri" w:hAnsi="Calibri" w:eastAsia="宋体" w:cs="宋体"/>
      <w:sz w:val="24"/>
      <w:szCs w:val="24"/>
    </w:rPr>
  </w:style>
  <w:style w:type="character" w:customStyle="1" w:styleId="1668">
    <w:name w:val="文本_hunqiu Char"/>
    <w:autoRedefine/>
    <w:qFormat/>
    <w:uiPriority w:val="0"/>
    <w:rPr>
      <w:rFonts w:ascii="Calibri" w:hAnsi="Calibri" w:eastAsia="宋体" w:cs="宋体"/>
      <w:color w:val="000000"/>
      <w:sz w:val="28"/>
    </w:rPr>
  </w:style>
  <w:style w:type="character" w:customStyle="1" w:styleId="1669">
    <w:name w:val="样式 标题 2 + Times New Roman Char Char Char"/>
    <w:autoRedefine/>
    <w:qFormat/>
    <w:uiPriority w:val="0"/>
    <w:rPr>
      <w:rFonts w:ascii="Calibri" w:hAnsi="Calibri" w:eastAsia="华文中宋"/>
      <w:b/>
      <w:bCs/>
      <w:sz w:val="26"/>
      <w:szCs w:val="32"/>
    </w:rPr>
  </w:style>
  <w:style w:type="character" w:customStyle="1" w:styleId="1670">
    <w:name w:val="表文字 Char Char Char Char"/>
    <w:autoRedefine/>
    <w:qFormat/>
    <w:uiPriority w:val="0"/>
    <w:rPr>
      <w:kern w:val="2"/>
      <w:sz w:val="21"/>
      <w:szCs w:val="21"/>
      <w:lang w:val="en-US" w:eastAsia="zh-CN" w:bidi="ar-SA"/>
    </w:rPr>
  </w:style>
  <w:style w:type="character" w:customStyle="1" w:styleId="1671">
    <w:name w:val="标准样式 Char Char Char"/>
    <w:autoRedefine/>
    <w:qFormat/>
    <w:uiPriority w:val="0"/>
    <w:rPr>
      <w:kern w:val="2"/>
      <w:sz w:val="28"/>
      <w:szCs w:val="22"/>
      <w:lang w:val="en-US" w:eastAsia="zh-CN" w:bidi="ar-SA"/>
    </w:rPr>
  </w:style>
  <w:style w:type="character" w:customStyle="1" w:styleId="1672">
    <w:name w:val="样式 左 首行缩进:  1.01 厘米 Char Char Char"/>
    <w:autoRedefine/>
    <w:qFormat/>
    <w:uiPriority w:val="0"/>
    <w:rPr>
      <w:rFonts w:ascii="Calibri" w:hAnsi="Calibri" w:eastAsia="宋体" w:cs="宋体"/>
      <w:sz w:val="26"/>
      <w:szCs w:val="26"/>
    </w:rPr>
  </w:style>
  <w:style w:type="character" w:customStyle="1" w:styleId="1673">
    <w:name w:val="正文四号 Char Char Char Char"/>
    <w:autoRedefine/>
    <w:qFormat/>
    <w:uiPriority w:val="0"/>
    <w:rPr>
      <w:rFonts w:ascii="Calibri" w:hAnsi="Calibri" w:eastAsia="宋体" w:cs="宋体"/>
      <w:sz w:val="24"/>
      <w:szCs w:val="24"/>
    </w:rPr>
  </w:style>
  <w:style w:type="character" w:customStyle="1" w:styleId="1674">
    <w:name w:val="报告 Char"/>
    <w:autoRedefine/>
    <w:qFormat/>
    <w:uiPriority w:val="0"/>
    <w:rPr>
      <w:rFonts w:ascii="Calibri" w:hAnsi="Calibri" w:eastAsia="宋体"/>
      <w:sz w:val="24"/>
    </w:rPr>
  </w:style>
  <w:style w:type="character" w:customStyle="1" w:styleId="1675">
    <w:name w:val="n表名 Char"/>
    <w:autoRedefine/>
    <w:qFormat/>
    <w:uiPriority w:val="0"/>
    <w:rPr>
      <w:rFonts w:ascii="黑体" w:hAnsi="Cambria" w:eastAsia="黑体"/>
    </w:rPr>
  </w:style>
  <w:style w:type="character" w:customStyle="1" w:styleId="1676">
    <w:name w:val="表号 Char"/>
    <w:autoRedefine/>
    <w:qFormat/>
    <w:locked/>
    <w:uiPriority w:val="0"/>
    <w:rPr>
      <w:kern w:val="2"/>
      <w:sz w:val="24"/>
      <w:szCs w:val="24"/>
      <w:lang w:val="en-US" w:eastAsia="zh-CN" w:bidi="ar-SA"/>
    </w:rPr>
  </w:style>
  <w:style w:type="character" w:customStyle="1" w:styleId="1677">
    <w:name w:val="图表标题 Char"/>
    <w:autoRedefine/>
    <w:qFormat/>
    <w:uiPriority w:val="0"/>
    <w:rPr>
      <w:rFonts w:ascii="Calibri" w:hAnsi="Calibri" w:eastAsia="宋体"/>
      <w:b/>
      <w:sz w:val="24"/>
      <w:szCs w:val="24"/>
    </w:rPr>
  </w:style>
  <w:style w:type="character" w:customStyle="1" w:styleId="1678">
    <w:name w:val="表注 Char"/>
    <w:autoRedefine/>
    <w:qFormat/>
    <w:uiPriority w:val="0"/>
    <w:rPr>
      <w:rFonts w:ascii="Calibri" w:hAnsi="Calibri" w:eastAsia="新宋体" w:cs="Arial"/>
      <w:b/>
      <w:szCs w:val="21"/>
    </w:rPr>
  </w:style>
  <w:style w:type="character" w:customStyle="1" w:styleId="1679">
    <w:name w:val="lff Char"/>
    <w:autoRedefine/>
    <w:qFormat/>
    <w:uiPriority w:val="0"/>
    <w:rPr>
      <w:rFonts w:eastAsia="仿宋_GB2312"/>
      <w:color w:val="000000"/>
      <w:kern w:val="2"/>
      <w:sz w:val="21"/>
      <w:szCs w:val="21"/>
      <w:lang w:val="en-US" w:eastAsia="zh-CN" w:bidi="ar-SA"/>
    </w:rPr>
  </w:style>
  <w:style w:type="character" w:customStyle="1" w:styleId="1680">
    <w:name w:val="样式 样式 首行缩进:  2 字符 段后: 0.5 行 + 首行缩进:  2 字符 段后: 0.5 行 Char"/>
    <w:autoRedefine/>
    <w:qFormat/>
    <w:uiPriority w:val="0"/>
    <w:rPr>
      <w:rFonts w:ascii="Calibri" w:hAnsi="Calibri" w:eastAsia="宋体" w:cs="宋体"/>
      <w:sz w:val="28"/>
    </w:rPr>
  </w:style>
  <w:style w:type="character" w:customStyle="1" w:styleId="1681">
    <w:name w:val="样式 正文四号 + 自动设置 Char"/>
    <w:autoRedefine/>
    <w:qFormat/>
    <w:uiPriority w:val="0"/>
    <w:rPr>
      <w:rFonts w:ascii="Calibri" w:hAnsi="Calibri" w:eastAsia="宋体"/>
      <w:sz w:val="28"/>
      <w:szCs w:val="24"/>
    </w:rPr>
  </w:style>
  <w:style w:type="character" w:customStyle="1" w:styleId="1682">
    <w:name w:val="段落 Char Char"/>
    <w:autoRedefine/>
    <w:qFormat/>
    <w:uiPriority w:val="0"/>
    <w:rPr>
      <w:rFonts w:ascii="Calibri" w:hAnsi="Calibri" w:eastAsia="宋体"/>
      <w:sz w:val="24"/>
      <w:szCs w:val="24"/>
    </w:rPr>
  </w:style>
  <w:style w:type="character" w:customStyle="1" w:styleId="1683">
    <w:name w:val="投标标题1 Char"/>
    <w:autoRedefine/>
    <w:qFormat/>
    <w:uiPriority w:val="0"/>
    <w:rPr>
      <w:rFonts w:ascii="黑体" w:hAnsi="宋体" w:eastAsia="黑体"/>
      <w:bCs/>
      <w:kern w:val="44"/>
      <w:sz w:val="30"/>
      <w:szCs w:val="30"/>
    </w:rPr>
  </w:style>
  <w:style w:type="character" w:customStyle="1" w:styleId="1684">
    <w:name w:val="正文-biao Char"/>
    <w:autoRedefine/>
    <w:qFormat/>
    <w:uiPriority w:val="0"/>
    <w:rPr>
      <w:rFonts w:ascii="Calibri" w:hAnsi="宋体" w:eastAsia="宋体"/>
      <w:sz w:val="24"/>
      <w:szCs w:val="24"/>
    </w:rPr>
  </w:style>
  <w:style w:type="character" w:customStyle="1" w:styleId="1685">
    <w:name w:val="编辑正文 Char"/>
    <w:autoRedefine/>
    <w:qFormat/>
    <w:uiPriority w:val="0"/>
    <w:rPr>
      <w:rFonts w:ascii="Calibri" w:hAnsi="宋体" w:eastAsia="宋体"/>
      <w:sz w:val="26"/>
      <w:szCs w:val="26"/>
    </w:rPr>
  </w:style>
  <w:style w:type="character" w:customStyle="1" w:styleId="1686">
    <w:name w:val="样式 (西文) Times New Roman (中文) 宋体 (符号) 宋体 行距: 固定值 20 磅 首行缩进:  ... Char"/>
    <w:autoRedefine/>
    <w:qFormat/>
    <w:uiPriority w:val="0"/>
    <w:rPr>
      <w:rFonts w:ascii="Calibri" w:hAnsi="宋体" w:eastAsia="宋体"/>
      <w:sz w:val="24"/>
      <w:lang w:eastAsia="de-DE"/>
    </w:rPr>
  </w:style>
  <w:style w:type="character" w:customStyle="1" w:styleId="1687">
    <w:name w:val="样式9 Char"/>
    <w:autoRedefine/>
    <w:qFormat/>
    <w:uiPriority w:val="0"/>
    <w:rPr>
      <w:rFonts w:ascii="Calibri" w:hAnsi="Calibri" w:eastAsia="黑体"/>
      <w:b/>
      <w:sz w:val="36"/>
      <w:szCs w:val="32"/>
    </w:rPr>
  </w:style>
  <w:style w:type="character" w:customStyle="1" w:styleId="1688">
    <w:name w:val="样式 样式9 + 宋体 Char"/>
    <w:autoRedefine/>
    <w:qFormat/>
    <w:uiPriority w:val="0"/>
    <w:rPr>
      <w:rFonts w:ascii="Calibri" w:hAnsi="Calibri" w:eastAsia="宋体"/>
      <w:sz w:val="26"/>
      <w:szCs w:val="26"/>
    </w:rPr>
  </w:style>
  <w:style w:type="character" w:customStyle="1" w:styleId="1689">
    <w:name w:val="样式 样式4 + 首行缩进:  1.92 字符 Char"/>
    <w:autoRedefine/>
    <w:qFormat/>
    <w:locked/>
    <w:uiPriority w:val="0"/>
    <w:rPr>
      <w:rFonts w:ascii="宋体" w:hAnsi="宋体" w:eastAsia="宋体" w:cs="宋体"/>
      <w:sz w:val="28"/>
    </w:rPr>
  </w:style>
  <w:style w:type="character" w:customStyle="1" w:styleId="1690">
    <w:name w:val="n正文 Char"/>
    <w:autoRedefine/>
    <w:qFormat/>
    <w:uiPriority w:val="0"/>
    <w:rPr>
      <w:rFonts w:ascii="宋体" w:hAnsi="宋体" w:eastAsia="宋体"/>
      <w:sz w:val="24"/>
      <w:szCs w:val="24"/>
    </w:rPr>
  </w:style>
  <w:style w:type="character" w:customStyle="1" w:styleId="1691">
    <w:name w:val="不明显强调3"/>
    <w:autoRedefine/>
    <w:qFormat/>
    <w:uiPriority w:val="0"/>
    <w:rPr>
      <w:i/>
      <w:iCs/>
      <w:color w:val="808080"/>
    </w:rPr>
  </w:style>
  <w:style w:type="character" w:customStyle="1" w:styleId="1692">
    <w:name w:val="明显强调2"/>
    <w:autoRedefine/>
    <w:qFormat/>
    <w:uiPriority w:val="0"/>
    <w:rPr>
      <w:b/>
      <w:bCs/>
      <w:i/>
      <w:iCs/>
      <w:color w:val="4F81BD"/>
    </w:rPr>
  </w:style>
  <w:style w:type="character" w:customStyle="1" w:styleId="1693">
    <w:name w:val="不明显参考2"/>
    <w:autoRedefine/>
    <w:qFormat/>
    <w:uiPriority w:val="0"/>
    <w:rPr>
      <w:smallCaps/>
      <w:color w:val="C0504D"/>
      <w:u w:val="single"/>
    </w:rPr>
  </w:style>
  <w:style w:type="character" w:customStyle="1" w:styleId="1694">
    <w:name w:val="明显参考2"/>
    <w:autoRedefine/>
    <w:qFormat/>
    <w:uiPriority w:val="0"/>
    <w:rPr>
      <w:b/>
      <w:bCs/>
      <w:smallCaps/>
      <w:color w:val="C0504D"/>
      <w:spacing w:val="5"/>
      <w:u w:val="single"/>
    </w:rPr>
  </w:style>
  <w:style w:type="character" w:customStyle="1" w:styleId="1695">
    <w:name w:val="书籍标题2"/>
    <w:autoRedefine/>
    <w:qFormat/>
    <w:uiPriority w:val="0"/>
    <w:rPr>
      <w:b/>
      <w:bCs/>
      <w:smallCaps/>
      <w:spacing w:val="5"/>
    </w:rPr>
  </w:style>
  <w:style w:type="character" w:customStyle="1" w:styleId="1696">
    <w:name w:val="谢谢谢谢谢 Char"/>
    <w:autoRedefine/>
    <w:qFormat/>
    <w:uiPriority w:val="0"/>
    <w:rPr>
      <w:rFonts w:eastAsia="宋体"/>
      <w:sz w:val="24"/>
      <w:szCs w:val="24"/>
    </w:rPr>
  </w:style>
  <w:style w:type="character" w:customStyle="1" w:styleId="1697">
    <w:name w:val="MFS单位 Char"/>
    <w:autoRedefine/>
    <w:qFormat/>
    <w:uiPriority w:val="0"/>
    <w:rPr>
      <w:sz w:val="18"/>
      <w:szCs w:val="24"/>
    </w:rPr>
  </w:style>
  <w:style w:type="character" w:customStyle="1" w:styleId="1698">
    <w:name w:val="陈光的正文 Char"/>
    <w:autoRedefine/>
    <w:qFormat/>
    <w:uiPriority w:val="0"/>
    <w:rPr>
      <w:rFonts w:eastAsia="宋体"/>
      <w:sz w:val="28"/>
    </w:rPr>
  </w:style>
  <w:style w:type="character" w:customStyle="1" w:styleId="1699">
    <w:name w:val="文本框五号 Char Char"/>
    <w:autoRedefine/>
    <w:qFormat/>
    <w:uiPriority w:val="0"/>
    <w:rPr>
      <w:rFonts w:eastAsia="仿宋_GB2312"/>
      <w:kern w:val="2"/>
      <w:sz w:val="21"/>
      <w:szCs w:val="21"/>
      <w:lang w:val="en-US" w:eastAsia="zh-CN" w:bidi="ar-SA"/>
    </w:rPr>
  </w:style>
  <w:style w:type="character" w:customStyle="1" w:styleId="1700">
    <w:name w:val="文本框五号1.5倍行距 Char"/>
    <w:autoRedefine/>
    <w:qFormat/>
    <w:uiPriority w:val="0"/>
  </w:style>
  <w:style w:type="character" w:customStyle="1" w:styleId="1701">
    <w:name w:val="样式 首行缩进:  2 字符 Char"/>
    <w:autoRedefine/>
    <w:qFormat/>
    <w:uiPriority w:val="0"/>
    <w:rPr>
      <w:rFonts w:ascii="Calibri" w:hAnsi="Calibri" w:eastAsia="宋体" w:cs="宋体"/>
      <w:sz w:val="28"/>
      <w:lang w:eastAsia="en-US" w:bidi="en-US"/>
    </w:rPr>
  </w:style>
  <w:style w:type="character" w:customStyle="1" w:styleId="1702">
    <w:name w:val="样式 标题 3 Char"/>
    <w:autoRedefine/>
    <w:qFormat/>
    <w:uiPriority w:val="0"/>
    <w:rPr>
      <w:rFonts w:eastAsia="宋体"/>
      <w:snapToGrid w:val="0"/>
      <w:sz w:val="28"/>
      <w:szCs w:val="28"/>
    </w:rPr>
  </w:style>
  <w:style w:type="character" w:customStyle="1" w:styleId="1703">
    <w:name w:val="haha Char"/>
    <w:autoRedefine/>
    <w:qFormat/>
    <w:uiPriority w:val="0"/>
    <w:rPr>
      <w:rFonts w:eastAsia="仿宋_GB2312"/>
      <w:kern w:val="2"/>
      <w:sz w:val="24"/>
      <w:szCs w:val="24"/>
      <w:lang w:val="en-US" w:eastAsia="zh-CN" w:bidi="ar-SA"/>
    </w:rPr>
  </w:style>
  <w:style w:type="character" w:customStyle="1" w:styleId="1704">
    <w:name w:val="样式 湛江钢铁表 + Char"/>
    <w:autoRedefine/>
    <w:qFormat/>
    <w:uiPriority w:val="0"/>
  </w:style>
  <w:style w:type="character" w:customStyle="1" w:styleId="1705">
    <w:name w:val="样式 表格文字 + 10 磅 Char"/>
    <w:autoRedefine/>
    <w:qFormat/>
    <w:uiPriority w:val="0"/>
    <w:rPr>
      <w:rFonts w:eastAsia="宋体"/>
    </w:rPr>
  </w:style>
  <w:style w:type="character" w:customStyle="1" w:styleId="1706">
    <w:name w:val="正文表格 Char"/>
    <w:autoRedefine/>
    <w:qFormat/>
    <w:uiPriority w:val="0"/>
    <w:rPr>
      <w:rFonts w:ascii="Calibri" w:hAnsi="Calibri" w:eastAsia="宋体"/>
      <w:sz w:val="28"/>
      <w:lang w:eastAsia="en-US" w:bidi="en-US"/>
    </w:rPr>
  </w:style>
  <w:style w:type="character" w:customStyle="1" w:styleId="1707">
    <w:name w:val="Default Char"/>
    <w:autoRedefine/>
    <w:qFormat/>
    <w:uiPriority w:val="0"/>
    <w:rPr>
      <w:rFonts w:ascii="仿宋_GB2312" w:eastAsia="仿宋_GB2312" w:cs="仿宋_GB2312"/>
      <w:color w:val="000000"/>
      <w:kern w:val="2"/>
      <w:sz w:val="24"/>
      <w:szCs w:val="24"/>
      <w:lang w:val="en-US" w:eastAsia="zh-CN" w:bidi="ar-SA"/>
    </w:rPr>
  </w:style>
  <w:style w:type="character" w:customStyle="1" w:styleId="1708">
    <w:name w:val="正文11111111111111111111111 Char"/>
    <w:autoRedefine/>
    <w:qFormat/>
    <w:uiPriority w:val="0"/>
    <w:rPr>
      <w:rFonts w:eastAsia="宋体" w:cs="宋体"/>
      <w:sz w:val="24"/>
    </w:rPr>
  </w:style>
  <w:style w:type="character" w:customStyle="1" w:styleId="1709">
    <w:name w:val="电子邮件签名 字符"/>
    <w:link w:val="19"/>
    <w:autoRedefine/>
    <w:qFormat/>
    <w:uiPriority w:val="0"/>
    <w:rPr>
      <w:sz w:val="24"/>
      <w:szCs w:val="22"/>
      <w:lang w:eastAsia="en-US" w:bidi="en-US"/>
    </w:rPr>
  </w:style>
  <w:style w:type="character" w:customStyle="1" w:styleId="1710">
    <w:name w:val="称呼 字符"/>
    <w:link w:val="30"/>
    <w:autoRedefine/>
    <w:qFormat/>
    <w:uiPriority w:val="0"/>
    <w:rPr>
      <w:rFonts w:ascii="宋体" w:hAnsi="宋体" w:cs="宋体"/>
      <w:sz w:val="24"/>
      <w:szCs w:val="22"/>
      <w:lang w:eastAsia="en-US" w:bidi="en-US"/>
    </w:rPr>
  </w:style>
  <w:style w:type="character" w:customStyle="1" w:styleId="1711">
    <w:name w:val="正文文本 3 Char2"/>
    <w:autoRedefine/>
    <w:qFormat/>
    <w:uiPriority w:val="0"/>
    <w:rPr>
      <w:rFonts w:eastAsia="仿宋_GB2312"/>
      <w:bCs/>
      <w:kern w:val="2"/>
      <w:sz w:val="24"/>
      <w:szCs w:val="22"/>
      <w:lang w:eastAsia="en-US" w:bidi="en-US"/>
    </w:rPr>
  </w:style>
  <w:style w:type="paragraph" w:customStyle="1" w:styleId="1712">
    <w:name w:val="Char7"/>
    <w:basedOn w:val="1"/>
    <w:autoRedefine/>
    <w:qFormat/>
    <w:uiPriority w:val="0"/>
    <w:pPr>
      <w:widowControl/>
      <w:adjustRightInd/>
      <w:snapToGrid/>
      <w:spacing w:line="360" w:lineRule="auto"/>
    </w:pPr>
    <w:rPr>
      <w:rFonts w:ascii="宋体" w:hAnsi="宋体" w:cs="宋体"/>
      <w:kern w:val="0"/>
      <w:szCs w:val="26"/>
      <w:lang w:eastAsia="en-US" w:bidi="en-US"/>
    </w:rPr>
  </w:style>
  <w:style w:type="paragraph" w:customStyle="1" w:styleId="1713">
    <w:name w:val="z-窗体顶端2"/>
    <w:basedOn w:val="1"/>
    <w:next w:val="1"/>
    <w:link w:val="1714"/>
    <w:autoRedefine/>
    <w:qFormat/>
    <w:uiPriority w:val="0"/>
    <w:pPr>
      <w:widowControl/>
      <w:pBdr>
        <w:bottom w:val="single" w:color="auto" w:sz="6" w:space="1"/>
      </w:pBdr>
      <w:adjustRightInd/>
      <w:snapToGrid/>
      <w:spacing w:line="440" w:lineRule="exact"/>
      <w:jc w:val="center"/>
    </w:pPr>
    <w:rPr>
      <w:rFonts w:ascii="Arial" w:hAnsi="Arial" w:cs="Arial"/>
      <w:vanish/>
      <w:kern w:val="0"/>
      <w:sz w:val="16"/>
      <w:szCs w:val="16"/>
      <w:lang w:val="zh-CN" w:eastAsia="en-US" w:bidi="en-US"/>
    </w:rPr>
  </w:style>
  <w:style w:type="character" w:customStyle="1" w:styleId="1714">
    <w:name w:val="z-窗体顶端 字符"/>
    <w:link w:val="1713"/>
    <w:autoRedefine/>
    <w:qFormat/>
    <w:uiPriority w:val="0"/>
    <w:rPr>
      <w:rFonts w:ascii="Arial" w:hAnsi="Arial" w:cs="Arial"/>
      <w:vanish/>
      <w:sz w:val="16"/>
      <w:szCs w:val="16"/>
      <w:lang w:eastAsia="en-US" w:bidi="en-US"/>
    </w:rPr>
  </w:style>
  <w:style w:type="paragraph" w:customStyle="1" w:styleId="1715">
    <w:name w:val="z-窗体底端2"/>
    <w:basedOn w:val="1"/>
    <w:next w:val="1"/>
    <w:link w:val="1716"/>
    <w:autoRedefine/>
    <w:qFormat/>
    <w:uiPriority w:val="0"/>
    <w:pPr>
      <w:widowControl/>
      <w:pBdr>
        <w:top w:val="single" w:color="auto" w:sz="6" w:space="1"/>
      </w:pBdr>
      <w:adjustRightInd/>
      <w:snapToGrid/>
      <w:spacing w:line="440" w:lineRule="exact"/>
      <w:jc w:val="center"/>
    </w:pPr>
    <w:rPr>
      <w:rFonts w:ascii="Arial" w:hAnsi="Arial" w:cs="Arial"/>
      <w:vanish/>
      <w:kern w:val="0"/>
      <w:sz w:val="16"/>
      <w:szCs w:val="16"/>
      <w:lang w:val="zh-CN" w:eastAsia="en-US" w:bidi="en-US"/>
    </w:rPr>
  </w:style>
  <w:style w:type="character" w:customStyle="1" w:styleId="1716">
    <w:name w:val="z-窗体底端 字符"/>
    <w:link w:val="1715"/>
    <w:autoRedefine/>
    <w:qFormat/>
    <w:uiPriority w:val="0"/>
    <w:rPr>
      <w:rFonts w:ascii="Arial" w:hAnsi="Arial" w:cs="Arial"/>
      <w:vanish/>
      <w:sz w:val="16"/>
      <w:szCs w:val="16"/>
      <w:lang w:eastAsia="en-US" w:bidi="en-US"/>
    </w:rPr>
  </w:style>
  <w:style w:type="paragraph" w:customStyle="1" w:styleId="1717">
    <w:name w:val="Char Char Char Char Char Char Char Char Char Char Char"/>
    <w:basedOn w:val="1"/>
    <w:autoRedefine/>
    <w:qFormat/>
    <w:uiPriority w:val="0"/>
    <w:pPr>
      <w:widowControl/>
      <w:adjustRightInd/>
      <w:snapToGrid/>
      <w:spacing w:line="440" w:lineRule="exact"/>
    </w:pPr>
    <w:rPr>
      <w:rFonts w:ascii="Calibri" w:hAnsi="Calibri"/>
      <w:kern w:val="0"/>
      <w:szCs w:val="22"/>
      <w:lang w:eastAsia="en-US" w:bidi="en-US"/>
    </w:rPr>
  </w:style>
  <w:style w:type="paragraph" w:customStyle="1" w:styleId="1718">
    <w:name w:val="Char Char Char Char Char Char Char Char Char Char Char Char"/>
    <w:basedOn w:val="1"/>
    <w:autoRedefine/>
    <w:qFormat/>
    <w:uiPriority w:val="0"/>
    <w:pPr>
      <w:widowControl/>
      <w:tabs>
        <w:tab w:val="left" w:pos="1723"/>
      </w:tabs>
      <w:adjustRightInd/>
      <w:snapToGrid/>
      <w:spacing w:line="440" w:lineRule="exact"/>
      <w:ind w:left="1723" w:hanging="1080"/>
    </w:pPr>
    <w:rPr>
      <w:rFonts w:ascii="Calibri" w:hAnsi="Calibri" w:eastAsia="仿宋_GB2312"/>
      <w:kern w:val="0"/>
      <w:szCs w:val="32"/>
      <w:lang w:eastAsia="en-US" w:bidi="en-US"/>
    </w:rPr>
  </w:style>
  <w:style w:type="character" w:customStyle="1" w:styleId="1719">
    <w:name w:val="无间隔 字符"/>
    <w:link w:val="176"/>
    <w:autoRedefine/>
    <w:qFormat/>
    <w:uiPriority w:val="0"/>
    <w:rPr>
      <w:rFonts w:ascii="Times New Roman" w:hAnsi="Times New Roman" w:eastAsia="仿宋_GB2312"/>
      <w:kern w:val="2"/>
      <w:sz w:val="24"/>
      <w:lang w:bidi="ar-SA"/>
    </w:rPr>
  </w:style>
  <w:style w:type="paragraph" w:customStyle="1" w:styleId="1720">
    <w:name w:val="明显引用2"/>
    <w:basedOn w:val="1"/>
    <w:next w:val="1"/>
    <w:link w:val="1721"/>
    <w:autoRedefine/>
    <w:qFormat/>
    <w:uiPriority w:val="0"/>
    <w:pPr>
      <w:widowControl/>
      <w:pBdr>
        <w:bottom w:val="single" w:color="4F81BD" w:sz="4" w:space="4"/>
      </w:pBdr>
      <w:adjustRightInd/>
      <w:snapToGrid/>
      <w:spacing w:before="200" w:after="280" w:line="440" w:lineRule="exact"/>
      <w:ind w:left="936" w:right="936"/>
    </w:pPr>
    <w:rPr>
      <w:rFonts w:ascii="Calibri" w:hAnsi="Calibri"/>
      <w:b/>
      <w:bCs/>
      <w:i/>
      <w:iCs/>
      <w:color w:val="4F81BD"/>
      <w:szCs w:val="22"/>
      <w:lang w:val="zh-CN" w:eastAsia="en-US" w:bidi="en-US"/>
    </w:rPr>
  </w:style>
  <w:style w:type="character" w:customStyle="1" w:styleId="1721">
    <w:name w:val="明显引用 字符"/>
    <w:link w:val="1720"/>
    <w:autoRedefine/>
    <w:qFormat/>
    <w:uiPriority w:val="30"/>
    <w:rPr>
      <w:b/>
      <w:bCs/>
      <w:i/>
      <w:iCs/>
      <w:color w:val="4F81BD"/>
      <w:kern w:val="2"/>
      <w:sz w:val="24"/>
      <w:szCs w:val="22"/>
      <w:lang w:eastAsia="en-US" w:bidi="en-US"/>
    </w:rPr>
  </w:style>
  <w:style w:type="character" w:customStyle="1" w:styleId="1722">
    <w:name w:val="标题 2－ch Char"/>
    <w:autoRedefine/>
    <w:qFormat/>
    <w:uiPriority w:val="0"/>
    <w:rPr>
      <w:rFonts w:ascii="Times New Roman" w:hAnsi="Times New Roman" w:eastAsia="宋体" w:cs="Times New Roman"/>
      <w:b/>
      <w:bCs/>
      <w:kern w:val="0"/>
      <w:sz w:val="30"/>
      <w:szCs w:val="32"/>
    </w:rPr>
  </w:style>
  <w:style w:type="character" w:customStyle="1" w:styleId="1723">
    <w:name w:val="Char Char24"/>
    <w:autoRedefine/>
    <w:qFormat/>
    <w:uiPriority w:val="0"/>
    <w:rPr>
      <w:rFonts w:ascii="Times New Roman" w:hAnsi="Times New Roman" w:eastAsia="宋体" w:cs="Times New Roman"/>
      <w:b/>
      <w:bCs/>
      <w:kern w:val="0"/>
      <w:sz w:val="28"/>
      <w:szCs w:val="32"/>
    </w:rPr>
  </w:style>
  <w:style w:type="character" w:customStyle="1" w:styleId="1724">
    <w:name w:val="Char Char22"/>
    <w:autoRedefine/>
    <w:qFormat/>
    <w:uiPriority w:val="0"/>
    <w:rPr>
      <w:rFonts w:ascii="Times New Roman" w:hAnsi="Times New Roman" w:eastAsia="黑体" w:cs="Times New Roman"/>
      <w:b/>
      <w:caps/>
      <w:color w:val="000000"/>
      <w:spacing w:val="10"/>
      <w:kern w:val="0"/>
      <w:sz w:val="24"/>
    </w:rPr>
  </w:style>
  <w:style w:type="character" w:customStyle="1" w:styleId="1725">
    <w:name w:val="Footer1 Char Char"/>
    <w:autoRedefine/>
    <w:qFormat/>
    <w:uiPriority w:val="0"/>
    <w:rPr>
      <w:sz w:val="18"/>
      <w:szCs w:val="18"/>
    </w:rPr>
  </w:style>
  <w:style w:type="character" w:customStyle="1" w:styleId="1726">
    <w:name w:val="标题3 Char Char"/>
    <w:autoRedefine/>
    <w:qFormat/>
    <w:uiPriority w:val="0"/>
    <w:rPr>
      <w:rFonts w:ascii="Times New Roman" w:hAnsi="Times New Roman" w:eastAsia="宋体" w:cs="Times New Roman"/>
      <w:b/>
      <w:bCs/>
      <w:kern w:val="0"/>
      <w:sz w:val="28"/>
      <w:szCs w:val="32"/>
    </w:rPr>
  </w:style>
  <w:style w:type="paragraph" w:customStyle="1" w:styleId="1727">
    <w:name w:val="(1)"/>
    <w:autoRedefine/>
    <w:qFormat/>
    <w:uiPriority w:val="0"/>
    <w:pPr>
      <w:spacing w:line="360" w:lineRule="auto"/>
      <w:ind w:firstLine="480" w:firstLineChars="200"/>
    </w:pPr>
    <w:rPr>
      <w:rFonts w:ascii="仿宋_GB2312" w:hAnsi="Times New Roman" w:eastAsia="仿宋_GB2312" w:cs="Times New Roman"/>
      <w:kern w:val="2"/>
      <w:sz w:val="24"/>
      <w:lang w:val="en-US" w:eastAsia="zh-CN" w:bidi="ar-SA"/>
    </w:rPr>
  </w:style>
  <w:style w:type="paragraph" w:customStyle="1" w:styleId="1728">
    <w:name w:val="标准条文"/>
    <w:autoRedefine/>
    <w:qFormat/>
    <w:uiPriority w:val="0"/>
    <w:pPr>
      <w:spacing w:beforeLines="20" w:afterLines="20"/>
      <w:ind w:firstLine="200" w:firstLineChars="200"/>
    </w:pPr>
    <w:rPr>
      <w:rFonts w:ascii="Times New Roman" w:hAnsi="Times New Roman" w:eastAsia="宋体" w:cs="Times New Roman"/>
      <w:bCs/>
      <w:kern w:val="2"/>
      <w:sz w:val="21"/>
      <w:szCs w:val="24"/>
      <w:lang w:val="en-US" w:eastAsia="zh-CN" w:bidi="ar-SA"/>
    </w:rPr>
  </w:style>
  <w:style w:type="paragraph" w:customStyle="1" w:styleId="1729">
    <w:name w:val="CM71"/>
    <w:basedOn w:val="151"/>
    <w:next w:val="151"/>
    <w:autoRedefine/>
    <w:qFormat/>
    <w:uiPriority w:val="0"/>
    <w:rPr>
      <w:rFonts w:ascii="黑体" w:hAnsi="Calibri" w:eastAsia="黑体"/>
      <w:color w:val="auto"/>
    </w:rPr>
  </w:style>
  <w:style w:type="paragraph" w:customStyle="1" w:styleId="1730">
    <w:name w:val="CM69"/>
    <w:basedOn w:val="151"/>
    <w:next w:val="151"/>
    <w:autoRedefine/>
    <w:qFormat/>
    <w:uiPriority w:val="0"/>
    <w:rPr>
      <w:rFonts w:ascii="黑体" w:hAnsi="Calibri" w:eastAsia="黑体"/>
      <w:color w:val="auto"/>
    </w:rPr>
  </w:style>
  <w:style w:type="paragraph" w:customStyle="1" w:styleId="1731">
    <w:name w:val="正文格式42"/>
    <w:basedOn w:val="1"/>
    <w:autoRedefine/>
    <w:qFormat/>
    <w:uiPriority w:val="99"/>
    <w:pPr>
      <w:adjustRightInd/>
      <w:snapToGrid/>
      <w:spacing w:line="360" w:lineRule="auto"/>
      <w:ind w:firstLine="482" w:firstLineChars="0"/>
    </w:pPr>
    <w:rPr>
      <w:rFonts w:ascii="宋体" w:hAnsi="宋体"/>
      <w:szCs w:val="24"/>
    </w:rPr>
  </w:style>
  <w:style w:type="paragraph" w:customStyle="1" w:styleId="1732">
    <w:name w:val="正文文"/>
    <w:basedOn w:val="1"/>
    <w:link w:val="1733"/>
    <w:autoRedefine/>
    <w:semiHidden/>
    <w:qFormat/>
    <w:uiPriority w:val="99"/>
    <w:pPr>
      <w:spacing w:line="288" w:lineRule="auto"/>
      <w:ind w:firstLine="480"/>
    </w:pPr>
    <w:rPr>
      <w:rFonts w:eastAsia="楷体_GB2312"/>
      <w:snapToGrid w:val="0"/>
      <w:kern w:val="0"/>
      <w:szCs w:val="24"/>
      <w:lang w:val="zh-CN"/>
    </w:rPr>
  </w:style>
  <w:style w:type="character" w:customStyle="1" w:styleId="1733">
    <w:name w:val="正文文 Char"/>
    <w:link w:val="1732"/>
    <w:autoRedefine/>
    <w:semiHidden/>
    <w:qFormat/>
    <w:uiPriority w:val="0"/>
    <w:rPr>
      <w:rFonts w:ascii="Times New Roman" w:hAnsi="Times New Roman" w:eastAsia="楷体_GB2312"/>
      <w:snapToGrid w:val="0"/>
      <w:sz w:val="24"/>
      <w:szCs w:val="24"/>
      <w:lang w:val="zh-CN" w:eastAsia="zh-CN"/>
    </w:rPr>
  </w:style>
  <w:style w:type="paragraph" w:customStyle="1" w:styleId="1734">
    <w:name w:val="报告正文"/>
    <w:link w:val="1735"/>
    <w:autoRedefine/>
    <w:qFormat/>
    <w:uiPriority w:val="0"/>
    <w:pPr>
      <w:spacing w:line="360" w:lineRule="auto"/>
      <w:ind w:firstLine="200" w:firstLineChars="200"/>
    </w:pPr>
    <w:rPr>
      <w:rFonts w:ascii="Times New Roman" w:hAnsi="Times New Roman" w:eastAsia="宋体" w:cs="Times New Roman"/>
      <w:bCs/>
      <w:kern w:val="44"/>
      <w:sz w:val="24"/>
      <w:szCs w:val="44"/>
      <w:lang w:val="en-US" w:eastAsia="zh-CN" w:bidi="ar-SA"/>
    </w:rPr>
  </w:style>
  <w:style w:type="character" w:customStyle="1" w:styleId="1735">
    <w:name w:val="报告正文 Char"/>
    <w:link w:val="1734"/>
    <w:autoRedefine/>
    <w:qFormat/>
    <w:uiPriority w:val="0"/>
    <w:rPr>
      <w:rFonts w:ascii="Times New Roman" w:hAnsi="Times New Roman"/>
      <w:bCs/>
      <w:kern w:val="44"/>
      <w:sz w:val="24"/>
      <w:szCs w:val="44"/>
      <w:lang w:bidi="ar-SA"/>
    </w:rPr>
  </w:style>
  <w:style w:type="paragraph" w:customStyle="1" w:styleId="1736">
    <w:name w:val="正文小四首缩1.3行距"/>
    <w:basedOn w:val="1"/>
    <w:link w:val="1737"/>
    <w:autoRedefine/>
    <w:qFormat/>
    <w:uiPriority w:val="0"/>
    <w:pPr>
      <w:adjustRightInd/>
      <w:snapToGrid/>
      <w:spacing w:line="360" w:lineRule="auto"/>
      <w:ind w:firstLine="480"/>
    </w:pPr>
    <w:rPr>
      <w:snapToGrid w:val="0"/>
      <w:kern w:val="0"/>
      <w:szCs w:val="24"/>
      <w:lang w:val="zh-CN"/>
    </w:rPr>
  </w:style>
  <w:style w:type="character" w:customStyle="1" w:styleId="1737">
    <w:name w:val="正文小四首缩1.3行距 Char"/>
    <w:link w:val="1736"/>
    <w:autoRedefine/>
    <w:qFormat/>
    <w:uiPriority w:val="0"/>
    <w:rPr>
      <w:rFonts w:ascii="Times New Roman" w:hAnsi="Times New Roman"/>
      <w:snapToGrid w:val="0"/>
      <w:sz w:val="24"/>
      <w:szCs w:val="24"/>
      <w:lang w:val="zh-CN" w:eastAsia="zh-CN"/>
    </w:rPr>
  </w:style>
  <w:style w:type="character" w:customStyle="1" w:styleId="1738">
    <w:name w:val="表格标题 Char"/>
    <w:link w:val="183"/>
    <w:autoRedefine/>
    <w:qFormat/>
    <w:uiPriority w:val="0"/>
    <w:rPr>
      <w:rFonts w:ascii="Calibri" w:hAnsi="Calibri" w:eastAsiaTheme="majorEastAsia"/>
      <w:b/>
      <w:kern w:val="2"/>
      <w:sz w:val="24"/>
      <w:szCs w:val="21"/>
      <w:lang w:val="zh-CN"/>
    </w:rPr>
  </w:style>
  <w:style w:type="paragraph" w:customStyle="1" w:styleId="1739">
    <w:name w:val="正文文本缩进11"/>
    <w:basedOn w:val="1"/>
    <w:autoRedefine/>
    <w:qFormat/>
    <w:uiPriority w:val="99"/>
    <w:pPr>
      <w:adjustRightInd/>
      <w:snapToGrid/>
      <w:spacing w:line="240" w:lineRule="auto"/>
      <w:ind w:firstLine="510" w:firstLineChars="0"/>
    </w:pPr>
    <w:rPr>
      <w:sz w:val="21"/>
      <w:szCs w:val="24"/>
    </w:rPr>
  </w:style>
  <w:style w:type="character" w:customStyle="1" w:styleId="1740">
    <w:name w:val="正文小四首缩1.3行距 Char Char"/>
    <w:autoRedefine/>
    <w:qFormat/>
    <w:uiPriority w:val="0"/>
    <w:rPr>
      <w:rFonts w:ascii="宋体" w:hAnsi="宋体"/>
      <w:kern w:val="28"/>
      <w:sz w:val="24"/>
      <w:szCs w:val="24"/>
    </w:rPr>
  </w:style>
  <w:style w:type="character" w:customStyle="1" w:styleId="1741">
    <w:name w:val="正文01 Char2"/>
    <w:autoRedefine/>
    <w:qFormat/>
    <w:uiPriority w:val="0"/>
    <w:rPr>
      <w:rFonts w:ascii="Times New Roman" w:hAnsi="Times New Roman" w:eastAsia="宋体" w:cs="Times New Roman"/>
      <w:color w:val="000000"/>
      <w:kern w:val="0"/>
      <w:sz w:val="24"/>
      <w:szCs w:val="18"/>
    </w:rPr>
  </w:style>
  <w:style w:type="character" w:customStyle="1" w:styleId="1742">
    <w:name w:val="报告正文 Char Char"/>
    <w:autoRedefine/>
    <w:qFormat/>
    <w:uiPriority w:val="0"/>
    <w:rPr>
      <w:bCs/>
      <w:kern w:val="44"/>
      <w:sz w:val="24"/>
      <w:szCs w:val="44"/>
      <w:lang w:bidi="ar-SA"/>
    </w:rPr>
  </w:style>
  <w:style w:type="paragraph" w:customStyle="1" w:styleId="1743">
    <w:name w:val="图标标题"/>
    <w:basedOn w:val="1"/>
    <w:autoRedefine/>
    <w:qFormat/>
    <w:uiPriority w:val="99"/>
    <w:pPr>
      <w:spacing w:line="360" w:lineRule="auto"/>
      <w:ind w:firstLine="0" w:firstLineChars="0"/>
      <w:jc w:val="center"/>
    </w:pPr>
    <w:rPr>
      <w:rFonts w:ascii="黑体" w:eastAsia="黑体"/>
      <w:sz w:val="28"/>
      <w:szCs w:val="28"/>
    </w:rPr>
  </w:style>
  <w:style w:type="character" w:customStyle="1" w:styleId="1744">
    <w:name w:val="zwb-正文 Char Char"/>
    <w:link w:val="1745"/>
    <w:autoRedefine/>
    <w:qFormat/>
    <w:uiPriority w:val="0"/>
    <w:rPr>
      <w:sz w:val="24"/>
      <w:szCs w:val="24"/>
    </w:rPr>
  </w:style>
  <w:style w:type="paragraph" w:customStyle="1" w:styleId="1745">
    <w:name w:val="zwb-正文"/>
    <w:basedOn w:val="1"/>
    <w:link w:val="1744"/>
    <w:autoRedefine/>
    <w:qFormat/>
    <w:uiPriority w:val="99"/>
    <w:pPr>
      <w:adjustRightInd/>
      <w:snapToGrid/>
      <w:spacing w:line="360" w:lineRule="auto"/>
      <w:ind w:firstLine="480"/>
    </w:pPr>
    <w:rPr>
      <w:rFonts w:ascii="Calibri" w:hAnsi="Calibri"/>
      <w:kern w:val="0"/>
      <w:szCs w:val="24"/>
      <w:lang w:val="zh-CN"/>
    </w:rPr>
  </w:style>
  <w:style w:type="paragraph" w:customStyle="1" w:styleId="1746">
    <w:name w:val="_Style 129"/>
    <w:basedOn w:val="1"/>
    <w:autoRedefine/>
    <w:qFormat/>
    <w:uiPriority w:val="99"/>
    <w:pPr>
      <w:adjustRightInd/>
      <w:snapToGrid/>
      <w:spacing w:line="240" w:lineRule="auto"/>
      <w:ind w:firstLine="0" w:firstLineChars="0"/>
    </w:pPr>
    <w:rPr>
      <w:sz w:val="21"/>
      <w:szCs w:val="24"/>
    </w:rPr>
  </w:style>
  <w:style w:type="character" w:customStyle="1" w:styleId="1747">
    <w:name w:val="zwb-正文 Char"/>
    <w:autoRedefine/>
    <w:qFormat/>
    <w:uiPriority w:val="0"/>
    <w:rPr>
      <w:kern w:val="2"/>
      <w:sz w:val="24"/>
      <w:szCs w:val="24"/>
    </w:rPr>
  </w:style>
  <w:style w:type="character" w:customStyle="1" w:styleId="1748">
    <w:name w:val="yyp Char"/>
    <w:link w:val="1749"/>
    <w:autoRedefine/>
    <w:qFormat/>
    <w:uiPriority w:val="0"/>
    <w:rPr>
      <w:sz w:val="24"/>
    </w:rPr>
  </w:style>
  <w:style w:type="paragraph" w:customStyle="1" w:styleId="1749">
    <w:name w:val="yyp"/>
    <w:basedOn w:val="1"/>
    <w:next w:val="1"/>
    <w:link w:val="1748"/>
    <w:autoRedefine/>
    <w:qFormat/>
    <w:uiPriority w:val="0"/>
    <w:pPr>
      <w:adjustRightInd/>
      <w:snapToGrid/>
      <w:spacing w:after="120" w:line="360" w:lineRule="auto"/>
      <w:ind w:firstLine="480"/>
    </w:pPr>
    <w:rPr>
      <w:rFonts w:ascii="Calibri" w:hAnsi="Calibri"/>
      <w:kern w:val="0"/>
      <w:lang w:val="zh-CN"/>
    </w:rPr>
  </w:style>
  <w:style w:type="paragraph" w:customStyle="1" w:styleId="1750">
    <w:name w:val="表内容"/>
    <w:link w:val="3147"/>
    <w:autoRedefine/>
    <w:qFormat/>
    <w:uiPriority w:val="0"/>
    <w:pPr>
      <w:jc w:val="center"/>
    </w:pPr>
    <w:rPr>
      <w:rFonts w:ascii="Times New Roman" w:hAnsi="Times New Roman" w:eastAsia="宋体" w:cs="Times New Roman"/>
      <w:lang w:val="en-US" w:eastAsia="zh-CN" w:bidi="ar-SA"/>
    </w:rPr>
  </w:style>
  <w:style w:type="character" w:customStyle="1" w:styleId="1751">
    <w:name w:val="【图片】 Char Char"/>
    <w:link w:val="1752"/>
    <w:autoRedefine/>
    <w:qFormat/>
    <w:uiPriority w:val="0"/>
    <w:rPr>
      <w:rFonts w:ascii="宋体"/>
      <w:kern w:val="2"/>
      <w:sz w:val="24"/>
      <w:szCs w:val="22"/>
      <w:lang w:val="en-US" w:eastAsia="zh-CN" w:bidi="ar-SA"/>
    </w:rPr>
  </w:style>
  <w:style w:type="paragraph" w:customStyle="1" w:styleId="1752">
    <w:name w:val="【图片】"/>
    <w:next w:val="1"/>
    <w:link w:val="1751"/>
    <w:autoRedefine/>
    <w:qFormat/>
    <w:uiPriority w:val="0"/>
    <w:pPr>
      <w:spacing w:line="360" w:lineRule="auto"/>
      <w:jc w:val="center"/>
    </w:pPr>
    <w:rPr>
      <w:rFonts w:ascii="宋体" w:hAnsi="Calibri" w:eastAsia="宋体" w:cs="Times New Roman"/>
      <w:kern w:val="2"/>
      <w:sz w:val="24"/>
      <w:szCs w:val="22"/>
      <w:lang w:val="en-US" w:eastAsia="zh-CN" w:bidi="ar-SA"/>
    </w:rPr>
  </w:style>
  <w:style w:type="character" w:customStyle="1" w:styleId="1753">
    <w:name w:val="段落缩进 Char Char"/>
    <w:link w:val="1754"/>
    <w:autoRedefine/>
    <w:qFormat/>
    <w:uiPriority w:val="0"/>
    <w:rPr>
      <w:sz w:val="24"/>
      <w:szCs w:val="24"/>
    </w:rPr>
  </w:style>
  <w:style w:type="paragraph" w:customStyle="1" w:styleId="1754">
    <w:name w:val="段落缩进"/>
    <w:basedOn w:val="34"/>
    <w:next w:val="34"/>
    <w:link w:val="1753"/>
    <w:autoRedefine/>
    <w:qFormat/>
    <w:uiPriority w:val="99"/>
    <w:pPr>
      <w:adjustRightInd/>
      <w:snapToGrid/>
      <w:spacing w:after="0" w:line="360" w:lineRule="auto"/>
      <w:ind w:firstLine="480"/>
    </w:pPr>
    <w:rPr>
      <w:rFonts w:ascii="Calibri" w:hAnsi="Calibri"/>
      <w:szCs w:val="24"/>
    </w:rPr>
  </w:style>
  <w:style w:type="character" w:customStyle="1" w:styleId="1755">
    <w:name w:val="标书样式标题2"/>
    <w:autoRedefine/>
    <w:qFormat/>
    <w:uiPriority w:val="0"/>
    <w:rPr>
      <w:sz w:val="21"/>
    </w:rPr>
  </w:style>
  <w:style w:type="character" w:customStyle="1" w:styleId="1756">
    <w:name w:val="1正文段落 Char Char"/>
    <w:autoRedefine/>
    <w:qFormat/>
    <w:uiPriority w:val="0"/>
    <w:rPr>
      <w:snapToGrid w:val="0"/>
      <w:sz w:val="24"/>
      <w:szCs w:val="24"/>
    </w:rPr>
  </w:style>
  <w:style w:type="character" w:customStyle="1" w:styleId="1757">
    <w:name w:val="post_inhd"/>
    <w:autoRedefine/>
    <w:qFormat/>
    <w:uiPriority w:val="0"/>
  </w:style>
  <w:style w:type="character" w:customStyle="1" w:styleId="1758">
    <w:name w:val="text1"/>
    <w:autoRedefine/>
    <w:qFormat/>
    <w:uiPriority w:val="0"/>
  </w:style>
  <w:style w:type="character" w:customStyle="1" w:styleId="1759">
    <w:name w:val="样式 样式2 + 非加粗 Char"/>
    <w:autoRedefine/>
    <w:qFormat/>
    <w:uiPriority w:val="0"/>
    <w:rPr>
      <w:rFonts w:eastAsia="宋体"/>
      <w:color w:val="000000"/>
      <w:kern w:val="2"/>
      <w:sz w:val="24"/>
      <w:szCs w:val="24"/>
      <w:lang w:val="en-US" w:eastAsia="zh-CN" w:bidi="ar-SA"/>
    </w:rPr>
  </w:style>
  <w:style w:type="character" w:customStyle="1" w:styleId="1760">
    <w:name w:val="顾文本 Char Char"/>
    <w:link w:val="1761"/>
    <w:autoRedefine/>
    <w:qFormat/>
    <w:uiPriority w:val="0"/>
    <w:rPr>
      <w:sz w:val="24"/>
    </w:rPr>
  </w:style>
  <w:style w:type="paragraph" w:customStyle="1" w:styleId="1761">
    <w:name w:val="顾文本"/>
    <w:basedOn w:val="1"/>
    <w:link w:val="1760"/>
    <w:autoRedefine/>
    <w:qFormat/>
    <w:uiPriority w:val="99"/>
    <w:pPr>
      <w:adjustRightInd/>
      <w:snapToGrid/>
      <w:spacing w:line="360" w:lineRule="auto"/>
    </w:pPr>
    <w:rPr>
      <w:rFonts w:ascii="Calibri" w:hAnsi="Calibri"/>
      <w:kern w:val="0"/>
      <w:lang w:val="zh-CN"/>
    </w:rPr>
  </w:style>
  <w:style w:type="character" w:customStyle="1" w:styleId="1762">
    <w:name w:val="二级条标题 Char Char"/>
    <w:autoRedefine/>
    <w:qFormat/>
    <w:uiPriority w:val="0"/>
    <w:rPr>
      <w:rFonts w:ascii="黑体" w:hAnsi="Times New Roman" w:eastAsia="黑体"/>
      <w:sz w:val="21"/>
    </w:rPr>
  </w:style>
  <w:style w:type="character" w:customStyle="1" w:styleId="1763">
    <w:name w:val="样式 题注 + (西文) Times New Roman (中文) 宋体 小四 加粗 黑色 Char Char Char"/>
    <w:link w:val="1764"/>
    <w:autoRedefine/>
    <w:qFormat/>
    <w:uiPriority w:val="0"/>
    <w:rPr>
      <w:b/>
      <w:bCs/>
      <w:color w:val="000000"/>
      <w:sz w:val="24"/>
      <w:szCs w:val="24"/>
    </w:rPr>
  </w:style>
  <w:style w:type="paragraph" w:customStyle="1" w:styleId="1764">
    <w:name w:val="样式 题注 + (西文) Times New Roman (中文) 宋体 小四 加粗 黑色 Char"/>
    <w:basedOn w:val="22"/>
    <w:link w:val="1763"/>
    <w:autoRedefine/>
    <w:qFormat/>
    <w:uiPriority w:val="0"/>
    <w:pPr>
      <w:snapToGrid/>
      <w:spacing w:beforeLines="100" w:line="360" w:lineRule="auto"/>
      <w:ind w:firstLine="0" w:firstLineChars="0"/>
      <w:textAlignment w:val="baseline"/>
    </w:pPr>
    <w:rPr>
      <w:rFonts w:ascii="Calibri" w:hAnsi="Calibri" w:eastAsia="宋体"/>
      <w:b w:val="0"/>
      <w:bCs w:val="0"/>
      <w:color w:val="000000"/>
      <w:kern w:val="0"/>
    </w:rPr>
  </w:style>
  <w:style w:type="character" w:customStyle="1" w:styleId="1765">
    <w:name w:val="川维5 Char Char"/>
    <w:autoRedefine/>
    <w:qFormat/>
    <w:uiPriority w:val="0"/>
    <w:rPr>
      <w:kern w:val="24"/>
      <w:sz w:val="24"/>
      <w:szCs w:val="24"/>
    </w:rPr>
  </w:style>
  <w:style w:type="character" w:customStyle="1" w:styleId="1766">
    <w:name w:val="style2"/>
    <w:autoRedefine/>
    <w:qFormat/>
    <w:uiPriority w:val="0"/>
  </w:style>
  <w:style w:type="character" w:customStyle="1" w:styleId="1767">
    <w:name w:val="Normal Char Char"/>
    <w:autoRedefine/>
    <w:qFormat/>
    <w:uiPriority w:val="0"/>
    <w:rPr>
      <w:rFonts w:ascii="宋体"/>
      <w:kern w:val="2"/>
      <w:sz w:val="24"/>
      <w:szCs w:val="22"/>
      <w:lang w:val="en-US" w:eastAsia="zh-CN" w:bidi="ar-SA"/>
    </w:rPr>
  </w:style>
  <w:style w:type="character" w:customStyle="1" w:styleId="1768">
    <w:name w:val="正文缩二 Char Char"/>
    <w:link w:val="1769"/>
    <w:autoRedefine/>
    <w:qFormat/>
    <w:uiPriority w:val="0"/>
    <w:rPr>
      <w:rFonts w:ascii="宋体" w:hAnsi="宋体"/>
      <w:sz w:val="24"/>
      <w:szCs w:val="72"/>
    </w:rPr>
  </w:style>
  <w:style w:type="paragraph" w:customStyle="1" w:styleId="1769">
    <w:name w:val="正文缩二"/>
    <w:basedOn w:val="1"/>
    <w:link w:val="1768"/>
    <w:autoRedefine/>
    <w:qFormat/>
    <w:uiPriority w:val="99"/>
    <w:pPr>
      <w:tabs>
        <w:tab w:val="left" w:pos="8820"/>
      </w:tabs>
      <w:adjustRightInd/>
      <w:snapToGrid/>
      <w:spacing w:line="360" w:lineRule="auto"/>
      <w:jc w:val="left"/>
    </w:pPr>
    <w:rPr>
      <w:rFonts w:ascii="宋体" w:hAnsi="宋体"/>
      <w:kern w:val="0"/>
      <w:szCs w:val="72"/>
      <w:lang w:val="zh-CN"/>
    </w:rPr>
  </w:style>
  <w:style w:type="character" w:customStyle="1" w:styleId="1770">
    <w:name w:val="样式 正文文本缩进 3 + 仿宋_GB2312 Char Char"/>
    <w:link w:val="1771"/>
    <w:autoRedefine/>
    <w:qFormat/>
    <w:uiPriority w:val="0"/>
    <w:rPr>
      <w:rFonts w:ascii="仿宋_GB2312" w:hAnsi="仿宋_GB2312" w:eastAsia="仿宋_GB2312"/>
      <w:sz w:val="28"/>
      <w:szCs w:val="24"/>
    </w:rPr>
  </w:style>
  <w:style w:type="paragraph" w:customStyle="1" w:styleId="1771">
    <w:name w:val="样式 正文文本缩进 3 + 仿宋_GB2312"/>
    <w:basedOn w:val="70"/>
    <w:link w:val="1770"/>
    <w:autoRedefine/>
    <w:qFormat/>
    <w:uiPriority w:val="99"/>
    <w:pPr>
      <w:spacing w:after="0" w:line="360" w:lineRule="auto"/>
      <w:ind w:left="0" w:leftChars="0" w:firstLine="200" w:firstLineChars="200"/>
    </w:pPr>
    <w:rPr>
      <w:rFonts w:ascii="仿宋_GB2312" w:hAnsi="仿宋_GB2312" w:eastAsia="仿宋_GB2312"/>
      <w:kern w:val="0"/>
      <w:sz w:val="28"/>
      <w:szCs w:val="24"/>
    </w:rPr>
  </w:style>
  <w:style w:type="character" w:customStyle="1" w:styleId="1772">
    <w:name w:val="标题 2-xh Char Char"/>
    <w:autoRedefine/>
    <w:qFormat/>
    <w:uiPriority w:val="0"/>
    <w:rPr>
      <w:rFonts w:ascii="Arial" w:hAnsi="Arial" w:eastAsia="黑体"/>
      <w:b/>
      <w:bCs/>
      <w:kern w:val="2"/>
      <w:sz w:val="32"/>
      <w:szCs w:val="32"/>
      <w:lang w:val="en-US" w:eastAsia="zh-CN" w:bidi="ar-SA"/>
    </w:rPr>
  </w:style>
  <w:style w:type="character" w:customStyle="1" w:styleId="1773">
    <w:name w:val="样式 样式 报告正文（瓮福） + 首行缩进:  2 字符 + 首行缩进:  2 字符 Char Char"/>
    <w:link w:val="1774"/>
    <w:autoRedefine/>
    <w:qFormat/>
    <w:uiPriority w:val="0"/>
    <w:rPr>
      <w:sz w:val="24"/>
    </w:rPr>
  </w:style>
  <w:style w:type="paragraph" w:customStyle="1" w:styleId="1774">
    <w:name w:val="样式 样式 报告正文（瓮福） + 首行缩进:  2 字符 + 首行缩进:  2 字符"/>
    <w:basedOn w:val="1"/>
    <w:link w:val="1773"/>
    <w:autoRedefine/>
    <w:qFormat/>
    <w:uiPriority w:val="99"/>
    <w:pPr>
      <w:adjustRightInd/>
      <w:snapToGrid/>
      <w:spacing w:line="360" w:lineRule="auto"/>
      <w:ind w:firstLine="480"/>
      <w:jc w:val="left"/>
    </w:pPr>
    <w:rPr>
      <w:rFonts w:ascii="Calibri" w:hAnsi="Calibri"/>
      <w:kern w:val="0"/>
      <w:lang w:val="zh-CN"/>
    </w:rPr>
  </w:style>
  <w:style w:type="character" w:customStyle="1" w:styleId="1775">
    <w:name w:val="textcontents"/>
    <w:autoRedefine/>
    <w:qFormat/>
    <w:uiPriority w:val="0"/>
  </w:style>
  <w:style w:type="character" w:customStyle="1" w:styleId="1776">
    <w:name w:val="正文部分 Char Char"/>
    <w:link w:val="1777"/>
    <w:autoRedefine/>
    <w:qFormat/>
    <w:uiPriority w:val="0"/>
    <w:rPr>
      <w:rFonts w:ascii="宋体" w:hAnsi="宋体"/>
      <w:bCs/>
      <w:sz w:val="28"/>
      <w:szCs w:val="32"/>
    </w:rPr>
  </w:style>
  <w:style w:type="paragraph" w:customStyle="1" w:styleId="1777">
    <w:name w:val="正文部分"/>
    <w:basedOn w:val="1"/>
    <w:link w:val="1776"/>
    <w:autoRedefine/>
    <w:qFormat/>
    <w:uiPriority w:val="0"/>
    <w:pPr>
      <w:adjustRightInd/>
      <w:snapToGrid/>
      <w:spacing w:line="500" w:lineRule="exact"/>
      <w:jc w:val="left"/>
    </w:pPr>
    <w:rPr>
      <w:rFonts w:ascii="宋体" w:hAnsi="宋体"/>
      <w:bCs/>
      <w:kern w:val="0"/>
      <w:sz w:val="28"/>
      <w:szCs w:val="32"/>
      <w:lang w:val="zh-CN"/>
    </w:rPr>
  </w:style>
  <w:style w:type="character" w:customStyle="1" w:styleId="1778">
    <w:name w:val="表格文字 Char Char Char"/>
    <w:autoRedefine/>
    <w:qFormat/>
    <w:uiPriority w:val="0"/>
    <w:rPr>
      <w:rFonts w:eastAsia="宋体"/>
      <w:kern w:val="28"/>
      <w:sz w:val="21"/>
      <w:lang w:val="en-US" w:eastAsia="zh-CN" w:bidi="ar-SA"/>
    </w:rPr>
  </w:style>
  <w:style w:type="character" w:customStyle="1" w:styleId="1779">
    <w:name w:val="yyp Char Char"/>
    <w:autoRedefine/>
    <w:qFormat/>
    <w:uiPriority w:val="0"/>
    <w:rPr>
      <w:kern w:val="2"/>
      <w:sz w:val="24"/>
      <w:szCs w:val="24"/>
    </w:rPr>
  </w:style>
  <w:style w:type="character" w:customStyle="1" w:styleId="1780">
    <w:name w:val="楷体加粗 Char Char"/>
    <w:autoRedefine/>
    <w:qFormat/>
    <w:uiPriority w:val="0"/>
    <w:rPr>
      <w:rFonts w:ascii="宋体" w:hAnsi="宋体"/>
      <w:sz w:val="24"/>
      <w:szCs w:val="24"/>
    </w:rPr>
  </w:style>
  <w:style w:type="character" w:customStyle="1" w:styleId="1781">
    <w:name w:val="正文不加粗 Char Char"/>
    <w:link w:val="1782"/>
    <w:autoRedefine/>
    <w:qFormat/>
    <w:uiPriority w:val="0"/>
    <w:rPr>
      <w:rFonts w:ascii="仿宋_GB2312" w:hAnsi="仿宋" w:eastAsia="仿宋_GB2312"/>
      <w:sz w:val="28"/>
      <w:szCs w:val="28"/>
    </w:rPr>
  </w:style>
  <w:style w:type="paragraph" w:customStyle="1" w:styleId="1782">
    <w:name w:val="正文不加粗"/>
    <w:basedOn w:val="1"/>
    <w:link w:val="1781"/>
    <w:autoRedefine/>
    <w:qFormat/>
    <w:uiPriority w:val="99"/>
    <w:pPr>
      <w:adjustRightInd/>
      <w:snapToGrid/>
      <w:spacing w:line="240" w:lineRule="auto"/>
    </w:pPr>
    <w:rPr>
      <w:rFonts w:ascii="仿宋_GB2312" w:hAnsi="仿宋" w:eastAsia="仿宋_GB2312"/>
      <w:kern w:val="0"/>
      <w:sz w:val="28"/>
      <w:szCs w:val="28"/>
      <w:lang w:val="zh-CN"/>
    </w:rPr>
  </w:style>
  <w:style w:type="character" w:customStyle="1" w:styleId="1783">
    <w:name w:val="p141"/>
    <w:autoRedefine/>
    <w:qFormat/>
    <w:uiPriority w:val="0"/>
    <w:rPr>
      <w:color w:val="000000"/>
      <w:sz w:val="21"/>
      <w:szCs w:val="21"/>
    </w:rPr>
  </w:style>
  <w:style w:type="paragraph" w:customStyle="1" w:styleId="1784">
    <w:name w:val="Char Char Char Char Char Char Char Char Char2"/>
    <w:basedOn w:val="1"/>
    <w:autoRedefine/>
    <w:qFormat/>
    <w:uiPriority w:val="0"/>
    <w:pPr>
      <w:adjustRightInd/>
      <w:snapToGrid/>
      <w:spacing w:line="240" w:lineRule="auto"/>
      <w:ind w:firstLine="0" w:firstLineChars="0"/>
    </w:pPr>
    <w:rPr>
      <w:sz w:val="21"/>
      <w:szCs w:val="24"/>
    </w:rPr>
  </w:style>
  <w:style w:type="paragraph" w:customStyle="1" w:styleId="1785">
    <w:name w:val="表格小四居中"/>
    <w:basedOn w:val="1"/>
    <w:autoRedefine/>
    <w:qFormat/>
    <w:uiPriority w:val="99"/>
    <w:pPr>
      <w:spacing w:line="300" w:lineRule="auto"/>
      <w:ind w:firstLine="0" w:firstLineChars="0"/>
      <w:jc w:val="center"/>
    </w:pPr>
    <w:rPr>
      <w:rFonts w:eastAsia="仿宋_GB2312"/>
      <w:szCs w:val="24"/>
    </w:rPr>
  </w:style>
  <w:style w:type="paragraph" w:customStyle="1" w:styleId="1786">
    <w:name w:val="样式  Char + 首行缩进:  2 字符1"/>
    <w:basedOn w:val="4"/>
    <w:autoRedefine/>
    <w:qFormat/>
    <w:uiPriority w:val="99"/>
    <w:pPr>
      <w:keepNext w:val="0"/>
      <w:keepLines w:val="0"/>
      <w:numPr>
        <w:ilvl w:val="0"/>
        <w:numId w:val="0"/>
      </w:numPr>
      <w:adjustRightInd/>
      <w:snapToGrid/>
      <w:spacing w:line="360" w:lineRule="auto"/>
      <w:ind w:firstLine="480" w:firstLineChars="200"/>
      <w:outlineLvl w:val="9"/>
    </w:pPr>
    <w:rPr>
      <w:rFonts w:ascii="宋体" w:hAnsi="宋体" w:cs="宋体"/>
      <w:b w:val="0"/>
      <w:bCs w:val="0"/>
      <w:szCs w:val="20"/>
      <w:lang w:val="en-US"/>
    </w:rPr>
  </w:style>
  <w:style w:type="paragraph" w:customStyle="1" w:styleId="1787">
    <w:name w:val="标题 1 + (中文) 宋体"/>
    <w:basedOn w:val="3"/>
    <w:autoRedefine/>
    <w:qFormat/>
    <w:uiPriority w:val="99"/>
    <w:pPr>
      <w:pageBreakBefore/>
      <w:numPr>
        <w:numId w:val="0"/>
      </w:numPr>
      <w:tabs>
        <w:tab w:val="left" w:pos="360"/>
      </w:tabs>
      <w:adjustRightInd/>
      <w:snapToGrid/>
      <w:spacing w:line="500" w:lineRule="atLeast"/>
      <w:jc w:val="both"/>
      <w:textAlignment w:val="center"/>
    </w:pPr>
    <w:rPr>
      <w:rFonts w:hAnsi="宋体"/>
      <w:bCs w:val="0"/>
      <w:kern w:val="32"/>
      <w:sz w:val="36"/>
      <w:szCs w:val="36"/>
    </w:rPr>
  </w:style>
  <w:style w:type="paragraph" w:customStyle="1" w:styleId="1788">
    <w:name w:val="样式 标题 2 + 宋体"/>
    <w:basedOn w:val="4"/>
    <w:autoRedefine/>
    <w:qFormat/>
    <w:uiPriority w:val="0"/>
    <w:pPr>
      <w:numPr>
        <w:ilvl w:val="0"/>
        <w:numId w:val="0"/>
      </w:numPr>
      <w:adjustRightInd/>
      <w:snapToGrid/>
      <w:spacing w:line="360" w:lineRule="auto"/>
    </w:pPr>
    <w:rPr>
      <w:rFonts w:ascii="宋体" w:hAnsi="宋体"/>
      <w:sz w:val="32"/>
    </w:rPr>
  </w:style>
  <w:style w:type="paragraph" w:customStyle="1" w:styleId="1789">
    <w:name w:val="Char1 Char"/>
    <w:basedOn w:val="1"/>
    <w:autoRedefine/>
    <w:qFormat/>
    <w:uiPriority w:val="0"/>
    <w:pPr>
      <w:adjustRightInd/>
      <w:snapToGrid/>
      <w:spacing w:line="360" w:lineRule="auto"/>
    </w:pPr>
    <w:rPr>
      <w:rFonts w:ascii="宋体" w:hAnsi="宋体" w:cs="宋体"/>
      <w:szCs w:val="24"/>
    </w:rPr>
  </w:style>
  <w:style w:type="paragraph" w:customStyle="1" w:styleId="1790">
    <w:name w:val="样式 宋体 小四 行距: 多倍行距 1.3 字行"/>
    <w:basedOn w:val="1"/>
    <w:autoRedefine/>
    <w:qFormat/>
    <w:uiPriority w:val="99"/>
    <w:pPr>
      <w:adjustRightInd/>
      <w:snapToGrid/>
      <w:spacing w:line="312" w:lineRule="auto"/>
      <w:ind w:firstLine="480"/>
    </w:pPr>
    <w:rPr>
      <w:rFonts w:ascii="宋体" w:hAnsi="宋体" w:cs="宋体"/>
    </w:rPr>
  </w:style>
  <w:style w:type="paragraph" w:customStyle="1" w:styleId="1791">
    <w:name w:val="表（左对齐）"/>
    <w:basedOn w:val="1"/>
    <w:autoRedefine/>
    <w:qFormat/>
    <w:uiPriority w:val="99"/>
    <w:pPr>
      <w:adjustRightInd/>
      <w:snapToGrid/>
      <w:spacing w:line="240" w:lineRule="auto"/>
      <w:ind w:left="-20" w:leftChars="-20" w:hanging="42" w:hangingChars="20"/>
      <w:jc w:val="center"/>
    </w:pPr>
    <w:rPr>
      <w:sz w:val="21"/>
      <w:szCs w:val="24"/>
    </w:rPr>
  </w:style>
  <w:style w:type="paragraph" w:customStyle="1" w:styleId="1792">
    <w:name w:val="text"/>
    <w:basedOn w:val="1"/>
    <w:autoRedefine/>
    <w:qFormat/>
    <w:uiPriority w:val="0"/>
    <w:pPr>
      <w:widowControl/>
      <w:adjustRightInd/>
      <w:snapToGrid/>
      <w:spacing w:before="100" w:beforeAutospacing="1" w:after="100" w:afterAutospacing="1" w:line="240" w:lineRule="auto"/>
      <w:ind w:firstLine="0" w:firstLineChars="0"/>
      <w:jc w:val="left"/>
    </w:pPr>
    <w:rPr>
      <w:rFonts w:ascii="宋体" w:hAnsi="宋体" w:cs="宋体"/>
      <w:kern w:val="0"/>
      <w:szCs w:val="24"/>
    </w:rPr>
  </w:style>
  <w:style w:type="paragraph" w:customStyle="1" w:styleId="1793">
    <w:name w:val="3级别标题王"/>
    <w:basedOn w:val="1"/>
    <w:autoRedefine/>
    <w:qFormat/>
    <w:uiPriority w:val="99"/>
    <w:pPr>
      <w:keepNext/>
      <w:keepLines/>
      <w:adjustRightInd/>
      <w:snapToGrid/>
      <w:spacing w:line="440" w:lineRule="exact"/>
      <w:ind w:firstLine="0" w:firstLineChars="0"/>
      <w:jc w:val="left"/>
    </w:pPr>
    <w:rPr>
      <w:b/>
      <w:kern w:val="0"/>
      <w:szCs w:val="24"/>
    </w:rPr>
  </w:style>
  <w:style w:type="paragraph" w:customStyle="1" w:styleId="1794">
    <w:name w:val="样式 表（左对齐） + 左侧:  12.35 厘米"/>
    <w:basedOn w:val="1"/>
    <w:autoRedefine/>
    <w:qFormat/>
    <w:uiPriority w:val="99"/>
    <w:pPr>
      <w:adjustRightInd/>
      <w:snapToGrid/>
      <w:spacing w:line="240" w:lineRule="auto"/>
      <w:ind w:firstLine="0" w:firstLineChars="0"/>
      <w:jc w:val="center"/>
    </w:pPr>
    <w:rPr>
      <w:sz w:val="21"/>
      <w:szCs w:val="21"/>
    </w:rPr>
  </w:style>
  <w:style w:type="paragraph" w:customStyle="1" w:styleId="1795">
    <w:name w:val="样式 题注 + (西文) Times New Roman (中文) 宋体 小四 加粗 黑色 居中 段前: 3 磅 ..."/>
    <w:basedOn w:val="22"/>
    <w:autoRedefine/>
    <w:qFormat/>
    <w:uiPriority w:val="0"/>
    <w:pPr>
      <w:snapToGrid/>
      <w:spacing w:afterLines="100" w:line="360" w:lineRule="auto"/>
      <w:ind w:firstLine="0" w:firstLineChars="0"/>
      <w:textAlignment w:val="baseline"/>
    </w:pPr>
    <w:rPr>
      <w:rFonts w:ascii="Times New Roman" w:hAnsi="Times New Roman" w:eastAsia="宋体" w:cs="宋体"/>
      <w:b w:val="0"/>
      <w:bCs w:val="0"/>
      <w:snapToGrid w:val="0"/>
      <w:color w:val="000000"/>
      <w:kern w:val="0"/>
      <w:lang w:val="en-US"/>
    </w:rPr>
  </w:style>
  <w:style w:type="paragraph" w:customStyle="1" w:styleId="1796">
    <w:name w:val="样式 标题 1 + 宋体"/>
    <w:basedOn w:val="3"/>
    <w:autoRedefine/>
    <w:qFormat/>
    <w:uiPriority w:val="0"/>
    <w:pPr>
      <w:numPr>
        <w:numId w:val="0"/>
      </w:numPr>
      <w:adjustRightInd/>
      <w:snapToGrid/>
      <w:spacing w:line="420" w:lineRule="auto"/>
      <w:jc w:val="both"/>
    </w:pPr>
    <w:rPr>
      <w:rFonts w:ascii="宋体" w:hAnsi="宋体"/>
      <w:sz w:val="32"/>
    </w:rPr>
  </w:style>
  <w:style w:type="paragraph" w:customStyle="1" w:styleId="1797">
    <w:name w:val="BG1"/>
    <w:basedOn w:val="1"/>
    <w:autoRedefine/>
    <w:qFormat/>
    <w:uiPriority w:val="0"/>
    <w:pPr>
      <w:widowControl/>
      <w:adjustRightInd/>
      <w:snapToGrid/>
      <w:spacing w:line="240" w:lineRule="auto"/>
      <w:ind w:firstLine="0" w:firstLineChars="0"/>
      <w:jc w:val="center"/>
    </w:pPr>
    <w:rPr>
      <w:kern w:val="0"/>
      <w:sz w:val="15"/>
      <w:szCs w:val="21"/>
    </w:rPr>
  </w:style>
  <w:style w:type="paragraph" w:customStyle="1" w:styleId="1798">
    <w:name w:val="表尾"/>
    <w:basedOn w:val="1"/>
    <w:autoRedefine/>
    <w:qFormat/>
    <w:uiPriority w:val="99"/>
    <w:pPr>
      <w:tabs>
        <w:tab w:val="left" w:pos="1021"/>
      </w:tabs>
      <w:adjustRightInd/>
      <w:snapToGrid/>
      <w:spacing w:line="200" w:lineRule="exact"/>
      <w:ind w:firstLine="0" w:firstLineChars="0"/>
    </w:pPr>
    <w:rPr>
      <w:sz w:val="10"/>
    </w:rPr>
  </w:style>
  <w:style w:type="paragraph" w:customStyle="1" w:styleId="1799">
    <w:name w:val="正文 + 宋体"/>
    <w:basedOn w:val="86"/>
    <w:autoRedefine/>
    <w:qFormat/>
    <w:uiPriority w:val="99"/>
    <w:pPr>
      <w:adjustRightInd/>
      <w:snapToGrid/>
      <w:spacing w:after="0" w:line="360" w:lineRule="auto"/>
      <w:ind w:firstLine="200" w:firstLineChars="200"/>
    </w:pPr>
    <w:rPr>
      <w:rFonts w:ascii="宋体" w:hAnsi="宋体"/>
      <w:sz w:val="20"/>
      <w:szCs w:val="24"/>
    </w:rPr>
  </w:style>
  <w:style w:type="paragraph" w:customStyle="1" w:styleId="1800">
    <w:name w:val="Char Char Char Char Char Char1 Char Char Char Char"/>
    <w:basedOn w:val="1"/>
    <w:autoRedefine/>
    <w:qFormat/>
    <w:uiPriority w:val="0"/>
    <w:pPr>
      <w:autoSpaceDE w:val="0"/>
      <w:autoSpaceDN w:val="0"/>
      <w:spacing w:before="50" w:after="50" w:line="360" w:lineRule="auto"/>
      <w:ind w:firstLine="560"/>
    </w:pPr>
    <w:rPr>
      <w:rFonts w:eastAsia="仿宋_GB2312"/>
      <w:color w:val="000000"/>
      <w:szCs w:val="24"/>
    </w:rPr>
  </w:style>
  <w:style w:type="paragraph" w:customStyle="1" w:styleId="1801">
    <w:name w:val="标题3-3"/>
    <w:basedOn w:val="5"/>
    <w:autoRedefine/>
    <w:qFormat/>
    <w:uiPriority w:val="0"/>
    <w:pPr>
      <w:keepNext w:val="0"/>
      <w:keepLines w:val="0"/>
      <w:numPr>
        <w:ilvl w:val="0"/>
        <w:numId w:val="0"/>
      </w:numPr>
      <w:tabs>
        <w:tab w:val="left" w:pos="1260"/>
      </w:tabs>
      <w:snapToGrid/>
      <w:spacing w:beforeLines="50" w:afterLines="25" w:line="360" w:lineRule="auto"/>
      <w:ind w:left="1260" w:hanging="420"/>
      <w:jc w:val="left"/>
      <w:textAlignment w:val="baseline"/>
    </w:pPr>
    <w:rPr>
      <w:rFonts w:ascii="Arial" w:hAnsi="Arial" w:eastAsia="黑体"/>
      <w:b w:val="0"/>
      <w:bCs w:val="0"/>
      <w:color w:val="000000"/>
      <w:kern w:val="0"/>
      <w:szCs w:val="24"/>
    </w:rPr>
  </w:style>
  <w:style w:type="paragraph" w:customStyle="1" w:styleId="1802">
    <w:name w:val="正文样式1"/>
    <w:basedOn w:val="1"/>
    <w:autoRedefine/>
    <w:qFormat/>
    <w:uiPriority w:val="0"/>
    <w:pPr>
      <w:snapToGrid/>
      <w:spacing w:beforeLines="10" w:afterLines="10" w:line="264" w:lineRule="auto"/>
      <w:ind w:firstLine="454" w:firstLineChars="0"/>
      <w:textAlignment w:val="baseline"/>
    </w:pPr>
    <w:rPr>
      <w:snapToGrid w:val="0"/>
      <w:kern w:val="0"/>
      <w:position w:val="-12"/>
    </w:rPr>
  </w:style>
  <w:style w:type="paragraph" w:customStyle="1" w:styleId="1803">
    <w:name w:val="样式 yyp + (西文) 宋体 (中文) 楷体_GB2312 四号 加粗"/>
    <w:basedOn w:val="1749"/>
    <w:autoRedefine/>
    <w:qFormat/>
    <w:uiPriority w:val="99"/>
    <w:rPr>
      <w:rFonts w:ascii="宋体" w:hAnsi="宋体" w:eastAsia="楷体_GB2312"/>
      <w:bCs/>
      <w:sz w:val="28"/>
      <w:szCs w:val="24"/>
    </w:rPr>
  </w:style>
  <w:style w:type="paragraph" w:customStyle="1" w:styleId="1804">
    <w:name w:val="表格标题01"/>
    <w:basedOn w:val="1"/>
    <w:autoRedefine/>
    <w:qFormat/>
    <w:uiPriority w:val="99"/>
    <w:pPr>
      <w:snapToGrid/>
      <w:ind w:firstLine="0" w:firstLineChars="0"/>
      <w:jc w:val="center"/>
      <w:textAlignment w:val="baseline"/>
    </w:pPr>
    <w:rPr>
      <w:snapToGrid w:val="0"/>
      <w:kern w:val="0"/>
      <w:sz w:val="28"/>
      <w:szCs w:val="28"/>
    </w:rPr>
  </w:style>
  <w:style w:type="paragraph" w:customStyle="1" w:styleId="1805">
    <w:name w:val="地质报告正文"/>
    <w:basedOn w:val="1"/>
    <w:autoRedefine/>
    <w:qFormat/>
    <w:uiPriority w:val="99"/>
    <w:pPr>
      <w:adjustRightInd/>
      <w:snapToGrid/>
      <w:spacing w:line="240" w:lineRule="auto"/>
    </w:pPr>
    <w:rPr>
      <w:sz w:val="28"/>
      <w:szCs w:val="24"/>
    </w:rPr>
  </w:style>
  <w:style w:type="paragraph" w:customStyle="1" w:styleId="1806">
    <w:name w:val="Char Char Char Char Char Char Char Char Char1 Char Char Char Char Char Char Char Char Char Char Char Char Char Char Char Char"/>
    <w:basedOn w:val="1"/>
    <w:autoRedefine/>
    <w:qFormat/>
    <w:uiPriority w:val="99"/>
    <w:pPr>
      <w:adjustRightInd/>
      <w:snapToGrid/>
      <w:spacing w:line="360" w:lineRule="auto"/>
    </w:pPr>
    <w:rPr>
      <w:rFonts w:ascii="宋体" w:hAnsi="宋体" w:cs="宋体"/>
      <w:sz w:val="26"/>
      <w:szCs w:val="26"/>
    </w:rPr>
  </w:style>
  <w:style w:type="paragraph" w:customStyle="1" w:styleId="1807">
    <w:name w:val="20"/>
    <w:basedOn w:val="1"/>
    <w:autoRedefine/>
    <w:qFormat/>
    <w:uiPriority w:val="99"/>
    <w:pPr>
      <w:widowControl/>
      <w:adjustRightInd/>
      <w:spacing w:before="100" w:beforeAutospacing="1" w:after="100" w:afterAutospacing="1" w:line="360" w:lineRule="atLeast"/>
      <w:ind w:left="200" w:firstLine="0" w:firstLineChars="0"/>
    </w:pPr>
    <w:rPr>
      <w:kern w:val="0"/>
      <w:szCs w:val="24"/>
    </w:rPr>
  </w:style>
  <w:style w:type="paragraph" w:customStyle="1" w:styleId="1808">
    <w:name w:val="Char Char Char Char Char Char6"/>
    <w:basedOn w:val="1"/>
    <w:autoRedefine/>
    <w:qFormat/>
    <w:uiPriority w:val="0"/>
    <w:pPr>
      <w:adjustRightInd/>
      <w:snapToGrid/>
      <w:spacing w:line="240" w:lineRule="auto"/>
      <w:ind w:firstLine="0" w:firstLineChars="0"/>
    </w:pPr>
    <w:rPr>
      <w:sz w:val="21"/>
      <w:szCs w:val="24"/>
    </w:rPr>
  </w:style>
  <w:style w:type="paragraph" w:customStyle="1" w:styleId="1809">
    <w:name w:val="Char Char Char Char Char Char Char Char"/>
    <w:basedOn w:val="1"/>
    <w:autoRedefine/>
    <w:qFormat/>
    <w:uiPriority w:val="99"/>
    <w:pPr>
      <w:adjustRightInd/>
      <w:snapToGrid/>
      <w:spacing w:line="240" w:lineRule="auto"/>
      <w:ind w:firstLine="0" w:firstLineChars="0"/>
    </w:pPr>
    <w:rPr>
      <w:sz w:val="21"/>
      <w:szCs w:val="24"/>
    </w:rPr>
  </w:style>
  <w:style w:type="character" w:customStyle="1" w:styleId="1810">
    <w:name w:val="【图片】 Char"/>
    <w:autoRedefine/>
    <w:qFormat/>
    <w:locked/>
    <w:uiPriority w:val="0"/>
    <w:rPr>
      <w:rFonts w:ascii="宋体" w:hAnsi="Times New Roman" w:eastAsia="宋体" w:cs="Times New Roman"/>
      <w:kern w:val="0"/>
      <w:sz w:val="24"/>
      <w:szCs w:val="20"/>
    </w:rPr>
  </w:style>
  <w:style w:type="paragraph" w:customStyle="1" w:styleId="1811">
    <w:name w:val="MTDisplayEquation"/>
    <w:basedOn w:val="1"/>
    <w:next w:val="1"/>
    <w:link w:val="1812"/>
    <w:autoRedefine/>
    <w:qFormat/>
    <w:uiPriority w:val="0"/>
    <w:pPr>
      <w:widowControl/>
      <w:tabs>
        <w:tab w:val="center" w:pos="4500"/>
        <w:tab w:val="right" w:pos="9000"/>
      </w:tabs>
      <w:adjustRightInd/>
      <w:snapToGrid/>
      <w:spacing w:before="60" w:after="120" w:line="360" w:lineRule="auto"/>
      <w:ind w:firstLine="0" w:firstLineChars="0"/>
      <w:jc w:val="left"/>
    </w:pPr>
    <w:rPr>
      <w:kern w:val="0"/>
      <w:szCs w:val="24"/>
      <w:lang w:val="zh-CN"/>
    </w:rPr>
  </w:style>
  <w:style w:type="character" w:customStyle="1" w:styleId="1812">
    <w:name w:val="MTDisplayEquation Char"/>
    <w:link w:val="1811"/>
    <w:autoRedefine/>
    <w:qFormat/>
    <w:uiPriority w:val="0"/>
    <w:rPr>
      <w:rFonts w:ascii="Times New Roman" w:hAnsi="Times New Roman"/>
      <w:sz w:val="24"/>
      <w:szCs w:val="24"/>
      <w:lang w:val="zh-CN" w:eastAsia="zh-CN"/>
    </w:rPr>
  </w:style>
  <w:style w:type="character" w:customStyle="1" w:styleId="1813">
    <w:name w:val="表格内文字 Char"/>
    <w:link w:val="533"/>
    <w:autoRedefine/>
    <w:qFormat/>
    <w:uiPriority w:val="0"/>
    <w:rPr>
      <w:rFonts w:ascii="Times New Roman" w:hAnsi="Times New Roman"/>
      <w:snapToGrid w:val="0"/>
      <w:spacing w:val="6"/>
      <w:sz w:val="24"/>
    </w:rPr>
  </w:style>
  <w:style w:type="paragraph" w:customStyle="1" w:styleId="1814">
    <w:name w:val="B"/>
    <w:basedOn w:val="5"/>
    <w:next w:val="34"/>
    <w:autoRedefine/>
    <w:qFormat/>
    <w:uiPriority w:val="99"/>
    <w:pPr>
      <w:numPr>
        <w:ilvl w:val="0"/>
        <w:numId w:val="0"/>
      </w:numPr>
      <w:spacing w:line="360" w:lineRule="auto"/>
    </w:pPr>
    <w:rPr>
      <w:rFonts w:eastAsia="黑体"/>
      <w:b w:val="0"/>
      <w:szCs w:val="24"/>
    </w:rPr>
  </w:style>
  <w:style w:type="paragraph" w:customStyle="1" w:styleId="1815">
    <w:name w:val="CM4"/>
    <w:basedOn w:val="1"/>
    <w:next w:val="1"/>
    <w:autoRedefine/>
    <w:qFormat/>
    <w:uiPriority w:val="0"/>
    <w:pPr>
      <w:autoSpaceDE w:val="0"/>
      <w:autoSpaceDN w:val="0"/>
      <w:snapToGrid/>
      <w:spacing w:line="243" w:lineRule="atLeast"/>
      <w:ind w:firstLine="0" w:firstLineChars="0"/>
      <w:jc w:val="left"/>
    </w:pPr>
    <w:rPr>
      <w:rFonts w:ascii="宋体" w:cs="宋体"/>
      <w:kern w:val="0"/>
      <w:szCs w:val="24"/>
    </w:rPr>
  </w:style>
  <w:style w:type="character" w:customStyle="1" w:styleId="1816">
    <w:name w:val="图名 Char"/>
    <w:autoRedefine/>
    <w:qFormat/>
    <w:locked/>
    <w:uiPriority w:val="0"/>
    <w:rPr>
      <w:rFonts w:ascii="Times New Roman" w:hAnsi="Times New Roman" w:eastAsia="黑体"/>
      <w:b/>
      <w:szCs w:val="24"/>
      <w:lang w:bidi="ar-SA"/>
    </w:rPr>
  </w:style>
  <w:style w:type="paragraph" w:customStyle="1" w:styleId="1817">
    <w:name w:val="正文 小四 行距: 1.5 倍行距"/>
    <w:basedOn w:val="1"/>
    <w:autoRedefine/>
    <w:qFormat/>
    <w:uiPriority w:val="0"/>
    <w:pPr>
      <w:adjustRightInd/>
      <w:snapToGrid/>
      <w:spacing w:before="120" w:line="360" w:lineRule="auto"/>
      <w:ind w:firstLine="480"/>
      <w:jc w:val="left"/>
    </w:pPr>
    <w:rPr>
      <w:rFonts w:cs="宋体"/>
    </w:rPr>
  </w:style>
  <w:style w:type="paragraph" w:customStyle="1" w:styleId="1818">
    <w:name w:val="文章"/>
    <w:autoRedefine/>
    <w:qFormat/>
    <w:uiPriority w:val="99"/>
    <w:pPr>
      <w:spacing w:line="360" w:lineRule="auto"/>
      <w:ind w:firstLine="200" w:firstLineChars="200"/>
      <w:jc w:val="both"/>
    </w:pPr>
    <w:rPr>
      <w:rFonts w:ascii="宋体" w:hAnsi="Times New Roman" w:eastAsia="宋体" w:cs="Times New Roman"/>
      <w:kern w:val="2"/>
      <w:sz w:val="26"/>
      <w:lang w:val="en-US" w:eastAsia="zh-CN" w:bidi="ar-SA"/>
    </w:rPr>
  </w:style>
  <w:style w:type="paragraph" w:customStyle="1" w:styleId="1819">
    <w:name w:val="reader-word-layer reader-word-s1-8"/>
    <w:basedOn w:val="1"/>
    <w:autoRedefine/>
    <w:qFormat/>
    <w:uiPriority w:val="0"/>
    <w:pPr>
      <w:widowControl/>
      <w:adjustRightInd/>
      <w:snapToGrid/>
      <w:spacing w:before="100" w:beforeAutospacing="1" w:after="100" w:afterAutospacing="1" w:line="240" w:lineRule="auto"/>
      <w:ind w:firstLine="0" w:firstLineChars="0"/>
      <w:jc w:val="left"/>
    </w:pPr>
    <w:rPr>
      <w:rFonts w:ascii="宋体" w:hAnsi="宋体" w:cs="宋体"/>
      <w:kern w:val="0"/>
      <w:szCs w:val="24"/>
    </w:rPr>
  </w:style>
  <w:style w:type="paragraph" w:customStyle="1" w:styleId="1820">
    <w:name w:val="reader-word-layer reader-word-s1-11"/>
    <w:basedOn w:val="1"/>
    <w:autoRedefine/>
    <w:qFormat/>
    <w:uiPriority w:val="99"/>
    <w:pPr>
      <w:widowControl/>
      <w:adjustRightInd/>
      <w:snapToGrid/>
      <w:spacing w:before="100" w:beforeAutospacing="1" w:after="100" w:afterAutospacing="1" w:line="240" w:lineRule="auto"/>
      <w:ind w:firstLine="0" w:firstLineChars="0"/>
      <w:jc w:val="left"/>
    </w:pPr>
    <w:rPr>
      <w:rFonts w:ascii="宋体" w:hAnsi="宋体" w:cs="宋体"/>
      <w:kern w:val="0"/>
      <w:szCs w:val="24"/>
    </w:rPr>
  </w:style>
  <w:style w:type="paragraph" w:customStyle="1" w:styleId="1821">
    <w:name w:val="reader-word-layer reader-word-s1-7"/>
    <w:basedOn w:val="1"/>
    <w:autoRedefine/>
    <w:qFormat/>
    <w:uiPriority w:val="99"/>
    <w:pPr>
      <w:widowControl/>
      <w:adjustRightInd/>
      <w:snapToGrid/>
      <w:spacing w:before="100" w:beforeAutospacing="1" w:after="100" w:afterAutospacing="1" w:line="240" w:lineRule="auto"/>
      <w:ind w:firstLine="0" w:firstLineChars="0"/>
      <w:jc w:val="left"/>
    </w:pPr>
    <w:rPr>
      <w:rFonts w:ascii="宋体" w:hAnsi="宋体" w:cs="宋体"/>
      <w:kern w:val="0"/>
      <w:szCs w:val="24"/>
    </w:rPr>
  </w:style>
  <w:style w:type="paragraph" w:customStyle="1" w:styleId="1822">
    <w:name w:val="reader-word-layer reader-word-s1-9"/>
    <w:basedOn w:val="1"/>
    <w:autoRedefine/>
    <w:qFormat/>
    <w:uiPriority w:val="99"/>
    <w:pPr>
      <w:widowControl/>
      <w:adjustRightInd/>
      <w:snapToGrid/>
      <w:spacing w:before="100" w:beforeAutospacing="1" w:after="100" w:afterAutospacing="1" w:line="240" w:lineRule="auto"/>
      <w:ind w:firstLine="0" w:firstLineChars="0"/>
      <w:jc w:val="left"/>
    </w:pPr>
    <w:rPr>
      <w:rFonts w:ascii="宋体" w:hAnsi="宋体" w:cs="宋体"/>
      <w:kern w:val="0"/>
      <w:szCs w:val="24"/>
    </w:rPr>
  </w:style>
  <w:style w:type="character" w:customStyle="1" w:styleId="1823">
    <w:name w:val="正文首行缩进 2 + Times New Roman Char"/>
    <w:autoRedefine/>
    <w:qFormat/>
    <w:uiPriority w:val="0"/>
    <w:rPr>
      <w:rFonts w:ascii="Times New Roman" w:hAnsi="Times New Roman"/>
      <w:sz w:val="24"/>
      <w:szCs w:val="24"/>
    </w:rPr>
  </w:style>
  <w:style w:type="character" w:customStyle="1" w:styleId="1824">
    <w:name w:val="排版正文 Char Char Char Char"/>
    <w:autoRedefine/>
    <w:qFormat/>
    <w:uiPriority w:val="0"/>
    <w:rPr>
      <w:rFonts w:ascii="Calibri" w:hAnsi="Calibri" w:eastAsia="宋体"/>
      <w:color w:val="000000"/>
      <w:kern w:val="2"/>
      <w:sz w:val="26"/>
      <w:szCs w:val="26"/>
      <w:lang w:val="en-US" w:eastAsia="zh-CN" w:bidi="ar-SA"/>
    </w:rPr>
  </w:style>
  <w:style w:type="paragraph" w:customStyle="1" w:styleId="1825">
    <w:name w:val="Char Char Char Char Char Char Char5"/>
    <w:basedOn w:val="1"/>
    <w:autoRedefine/>
    <w:qFormat/>
    <w:uiPriority w:val="0"/>
    <w:pPr>
      <w:adjustRightInd/>
      <w:snapToGrid/>
      <w:spacing w:line="240" w:lineRule="auto"/>
      <w:ind w:firstLine="0" w:firstLineChars="0"/>
    </w:pPr>
    <w:rPr>
      <w:sz w:val="21"/>
      <w:szCs w:val="24"/>
    </w:rPr>
  </w:style>
  <w:style w:type="paragraph" w:customStyle="1" w:styleId="1826">
    <w:name w:val="Char Char1 Char Char Char Char1"/>
    <w:basedOn w:val="1"/>
    <w:autoRedefine/>
    <w:qFormat/>
    <w:uiPriority w:val="0"/>
    <w:pPr>
      <w:adjustRightInd/>
      <w:snapToGrid/>
      <w:spacing w:line="240" w:lineRule="auto"/>
      <w:ind w:firstLine="0" w:firstLineChars="0"/>
    </w:pPr>
    <w:rPr>
      <w:szCs w:val="24"/>
    </w:rPr>
  </w:style>
  <w:style w:type="paragraph" w:customStyle="1" w:styleId="1827">
    <w:name w:val="条文-一般"/>
    <w:basedOn w:val="35"/>
    <w:link w:val="1829"/>
    <w:autoRedefine/>
    <w:qFormat/>
    <w:uiPriority w:val="99"/>
    <w:pPr>
      <w:adjustRightInd/>
      <w:snapToGrid/>
      <w:spacing w:after="0" w:line="400" w:lineRule="atLeast"/>
      <w:ind w:left="0" w:leftChars="0" w:firstLine="440"/>
    </w:pPr>
    <w:rPr>
      <w:rFonts w:ascii="宋体" w:hAnsi="宋体"/>
      <w:spacing w:val="-10"/>
      <w:kern w:val="2"/>
      <w:szCs w:val="24"/>
      <w:lang w:val="en-GB"/>
    </w:rPr>
  </w:style>
  <w:style w:type="paragraph" w:customStyle="1" w:styleId="1828">
    <w:name w:val="Char Char Char1 Char Char Char Char Char Char Char5"/>
    <w:basedOn w:val="1"/>
    <w:autoRedefine/>
    <w:qFormat/>
    <w:uiPriority w:val="99"/>
    <w:pPr>
      <w:adjustRightInd/>
      <w:snapToGrid/>
      <w:spacing w:line="240" w:lineRule="auto"/>
      <w:ind w:firstLine="0" w:firstLineChars="0"/>
    </w:pPr>
    <w:rPr>
      <w:rFonts w:ascii="Tahoma" w:hAnsi="Tahoma"/>
    </w:rPr>
  </w:style>
  <w:style w:type="character" w:customStyle="1" w:styleId="1829">
    <w:name w:val="条文-一般 Char"/>
    <w:link w:val="1827"/>
    <w:autoRedefine/>
    <w:qFormat/>
    <w:uiPriority w:val="0"/>
    <w:rPr>
      <w:rFonts w:ascii="宋体" w:hAnsi="宋体" w:cs="宋体"/>
      <w:spacing w:val="-10"/>
      <w:kern w:val="2"/>
      <w:sz w:val="24"/>
      <w:szCs w:val="24"/>
      <w:lang w:val="en-GB"/>
    </w:rPr>
  </w:style>
  <w:style w:type="paragraph" w:customStyle="1" w:styleId="1830">
    <w:name w:val="Char2 Char Char Char Char Char Char1"/>
    <w:basedOn w:val="1"/>
    <w:next w:val="2"/>
    <w:autoRedefine/>
    <w:qFormat/>
    <w:uiPriority w:val="0"/>
    <w:pPr>
      <w:adjustRightInd/>
      <w:snapToGrid/>
      <w:spacing w:line="240" w:lineRule="auto"/>
      <w:ind w:firstLine="0" w:firstLineChars="0"/>
    </w:pPr>
    <w:rPr>
      <w:sz w:val="28"/>
    </w:rPr>
  </w:style>
  <w:style w:type="character" w:customStyle="1" w:styleId="1831">
    <w:name w:val="宏文本 字符"/>
    <w:link w:val="2"/>
    <w:autoRedefine/>
    <w:qFormat/>
    <w:uiPriority w:val="99"/>
    <w:rPr>
      <w:rFonts w:ascii="Courier New" w:hAnsi="Courier New"/>
      <w:kern w:val="2"/>
      <w:sz w:val="24"/>
      <w:szCs w:val="24"/>
      <w:lang w:bidi="ar-SA"/>
    </w:rPr>
  </w:style>
  <w:style w:type="paragraph" w:customStyle="1" w:styleId="1832">
    <w:name w:val="Char Char Char1 Char Char Char Char Char Char Char Char Char Char5"/>
    <w:basedOn w:val="1"/>
    <w:autoRedefine/>
    <w:qFormat/>
    <w:uiPriority w:val="99"/>
    <w:pPr>
      <w:adjustRightInd/>
      <w:snapToGrid/>
      <w:spacing w:line="240" w:lineRule="auto"/>
      <w:ind w:firstLine="0" w:firstLineChars="0"/>
    </w:pPr>
    <w:rPr>
      <w:sz w:val="21"/>
      <w:szCs w:val="24"/>
    </w:rPr>
  </w:style>
  <w:style w:type="paragraph" w:customStyle="1" w:styleId="1833">
    <w:name w:val="Char Char Char Char Char Char Char Char Char Char Char Char Char4"/>
    <w:basedOn w:val="1"/>
    <w:autoRedefine/>
    <w:qFormat/>
    <w:uiPriority w:val="99"/>
    <w:pPr>
      <w:adjustRightInd/>
      <w:spacing w:line="360" w:lineRule="auto"/>
    </w:pPr>
    <w:rPr>
      <w:rFonts w:eastAsia="仿宋_GB2312"/>
      <w:szCs w:val="24"/>
    </w:rPr>
  </w:style>
  <w:style w:type="paragraph" w:customStyle="1" w:styleId="1834">
    <w:name w:val="Char4 Char Char Char3"/>
    <w:basedOn w:val="1"/>
    <w:autoRedefine/>
    <w:semiHidden/>
    <w:qFormat/>
    <w:uiPriority w:val="0"/>
    <w:pPr>
      <w:spacing w:line="360" w:lineRule="auto"/>
    </w:pPr>
    <w:rPr>
      <w:rFonts w:ascii="宋体" w:hAnsi="宋体" w:cs="宋体"/>
      <w:szCs w:val="26"/>
    </w:rPr>
  </w:style>
  <w:style w:type="paragraph" w:customStyle="1" w:styleId="1835">
    <w:name w:val="Char Char Char1 Char Char Char Char Char Char Char Char Char Char Char Char Char2"/>
    <w:basedOn w:val="1"/>
    <w:autoRedefine/>
    <w:qFormat/>
    <w:uiPriority w:val="99"/>
    <w:pPr>
      <w:adjustRightInd/>
      <w:snapToGrid/>
      <w:spacing w:line="240" w:lineRule="auto"/>
      <w:ind w:firstLine="0" w:firstLineChars="0"/>
    </w:pPr>
    <w:rPr>
      <w:rFonts w:ascii="Tahoma" w:hAnsi="Tahoma"/>
    </w:rPr>
  </w:style>
  <w:style w:type="paragraph" w:customStyle="1" w:styleId="1836">
    <w:name w:val="Char Char Char Char Char Char Char Char Char Char Char Char Char Char Char Char Char Char Char2"/>
    <w:basedOn w:val="1"/>
    <w:autoRedefine/>
    <w:qFormat/>
    <w:uiPriority w:val="0"/>
    <w:pPr>
      <w:adjustRightInd/>
      <w:snapToGrid/>
      <w:spacing w:line="240" w:lineRule="auto"/>
      <w:ind w:firstLine="0" w:firstLineChars="0"/>
    </w:pPr>
    <w:rPr>
      <w:sz w:val="21"/>
      <w:szCs w:val="24"/>
    </w:rPr>
  </w:style>
  <w:style w:type="paragraph" w:customStyle="1" w:styleId="1837">
    <w:name w:val="Char Char1 Char Char Char Char Char Char Char2"/>
    <w:basedOn w:val="1"/>
    <w:autoRedefine/>
    <w:qFormat/>
    <w:uiPriority w:val="99"/>
    <w:pPr>
      <w:widowControl/>
      <w:adjustRightInd/>
      <w:snapToGrid/>
      <w:spacing w:after="160" w:line="240" w:lineRule="exact"/>
      <w:ind w:firstLine="0" w:firstLineChars="0"/>
      <w:jc w:val="left"/>
    </w:pPr>
    <w:rPr>
      <w:szCs w:val="24"/>
    </w:rPr>
  </w:style>
  <w:style w:type="paragraph" w:customStyle="1" w:styleId="1838">
    <w:name w:val="样式 样式 纯文本 + (符号) 宋体 小四 段后: 0.5 行 行距: 1.5 倍行距 + 首行缩进:  1.5 字符"/>
    <w:basedOn w:val="1"/>
    <w:autoRedefine/>
    <w:qFormat/>
    <w:uiPriority w:val="0"/>
    <w:pPr>
      <w:adjustRightInd/>
      <w:snapToGrid/>
      <w:spacing w:beforeLines="30" w:afterLines="30" w:line="240" w:lineRule="auto"/>
    </w:pPr>
    <w:rPr>
      <w:rFonts w:ascii="新宋体" w:hAnsi="宋体" w:eastAsia="新宋体" w:cs="宋体"/>
      <w:w w:val="90"/>
      <w:kern w:val="0"/>
      <w:sz w:val="22"/>
      <w:szCs w:val="22"/>
    </w:rPr>
  </w:style>
  <w:style w:type="character" w:customStyle="1" w:styleId="1839">
    <w:name w:val="页眉 Char2"/>
    <w:autoRedefine/>
    <w:semiHidden/>
    <w:qFormat/>
    <w:uiPriority w:val="0"/>
    <w:rPr>
      <w:rFonts w:ascii="Times New Roman" w:hAnsi="Times New Roman"/>
      <w:kern w:val="2"/>
      <w:sz w:val="18"/>
      <w:szCs w:val="18"/>
    </w:rPr>
  </w:style>
  <w:style w:type="character" w:customStyle="1" w:styleId="1840">
    <w:name w:val="页脚 Char2"/>
    <w:autoRedefine/>
    <w:semiHidden/>
    <w:qFormat/>
    <w:uiPriority w:val="0"/>
    <w:rPr>
      <w:rFonts w:ascii="Times New Roman" w:hAnsi="Times New Roman"/>
      <w:kern w:val="2"/>
      <w:sz w:val="18"/>
      <w:szCs w:val="18"/>
    </w:rPr>
  </w:style>
  <w:style w:type="paragraph" w:customStyle="1" w:styleId="1841">
    <w:name w:val="Char Char Char Char Char Char1 Char5"/>
    <w:basedOn w:val="1"/>
    <w:autoRedefine/>
    <w:qFormat/>
    <w:uiPriority w:val="99"/>
    <w:pPr>
      <w:adjustRightInd/>
      <w:snapToGrid/>
      <w:spacing w:line="240" w:lineRule="auto"/>
      <w:ind w:firstLine="0" w:firstLineChars="0"/>
    </w:pPr>
    <w:rPr>
      <w:sz w:val="21"/>
      <w:szCs w:val="24"/>
    </w:rPr>
  </w:style>
  <w:style w:type="paragraph" w:customStyle="1" w:styleId="1842">
    <w:name w:val="Char Char Char Char Char Char Char Char Char Char Char Char Char Char Char Char2"/>
    <w:basedOn w:val="1"/>
    <w:autoRedefine/>
    <w:qFormat/>
    <w:uiPriority w:val="0"/>
    <w:pPr>
      <w:adjustRightInd/>
      <w:snapToGrid/>
      <w:spacing w:line="240" w:lineRule="auto"/>
      <w:ind w:firstLine="0" w:firstLineChars="0"/>
    </w:pPr>
    <w:rPr>
      <w:sz w:val="32"/>
      <w:szCs w:val="32"/>
    </w:rPr>
  </w:style>
  <w:style w:type="paragraph" w:customStyle="1" w:styleId="1843">
    <w:name w:val="Char Char Char Char Char Char1"/>
    <w:basedOn w:val="1"/>
    <w:autoRedefine/>
    <w:qFormat/>
    <w:uiPriority w:val="0"/>
    <w:pPr>
      <w:adjustRightInd/>
      <w:snapToGrid/>
      <w:spacing w:line="240" w:lineRule="auto"/>
      <w:ind w:firstLine="0" w:firstLineChars="0"/>
    </w:pPr>
    <w:rPr>
      <w:szCs w:val="24"/>
    </w:rPr>
  </w:style>
  <w:style w:type="paragraph" w:customStyle="1" w:styleId="1844">
    <w:name w:val="日期6"/>
    <w:basedOn w:val="1"/>
    <w:next w:val="1"/>
    <w:autoRedefine/>
    <w:qFormat/>
    <w:uiPriority w:val="0"/>
    <w:pPr>
      <w:snapToGrid/>
      <w:spacing w:line="240" w:lineRule="auto"/>
      <w:ind w:firstLine="0" w:firstLineChars="0"/>
      <w:textAlignment w:val="baseline"/>
    </w:pPr>
    <w:rPr>
      <w:sz w:val="21"/>
    </w:rPr>
  </w:style>
  <w:style w:type="paragraph" w:customStyle="1" w:styleId="1845">
    <w:name w:val="样式44444"/>
    <w:basedOn w:val="6"/>
    <w:link w:val="1846"/>
    <w:autoRedefine/>
    <w:qFormat/>
    <w:uiPriority w:val="99"/>
    <w:pPr>
      <w:keepNext w:val="0"/>
      <w:keepLines w:val="0"/>
      <w:numPr>
        <w:ilvl w:val="0"/>
        <w:numId w:val="0"/>
      </w:numPr>
      <w:spacing w:beforeLines="10" w:afterLines="50" w:line="460" w:lineRule="exact"/>
    </w:pPr>
    <w:rPr>
      <w:b w:val="0"/>
      <w:snapToGrid w:val="0"/>
      <w:kern w:val="0"/>
      <w:szCs w:val="26"/>
    </w:rPr>
  </w:style>
  <w:style w:type="character" w:customStyle="1" w:styleId="1846">
    <w:name w:val="样式44444 Char"/>
    <w:link w:val="1845"/>
    <w:autoRedefine/>
    <w:qFormat/>
    <w:uiPriority w:val="0"/>
    <w:rPr>
      <w:rFonts w:ascii="Times New Roman" w:hAnsi="Times New Roman"/>
      <w:bCs/>
      <w:snapToGrid w:val="0"/>
      <w:sz w:val="24"/>
      <w:szCs w:val="26"/>
    </w:rPr>
  </w:style>
  <w:style w:type="paragraph" w:customStyle="1" w:styleId="1847">
    <w:name w:val="PSPSPSPS"/>
    <w:basedOn w:val="1"/>
    <w:autoRedefine/>
    <w:qFormat/>
    <w:uiPriority w:val="0"/>
    <w:pPr>
      <w:snapToGrid/>
      <w:spacing w:line="600" w:lineRule="atLeast"/>
      <w:ind w:firstLine="0" w:firstLineChars="0"/>
      <w:textAlignment w:val="baseline"/>
    </w:pPr>
    <w:rPr>
      <w:kern w:val="0"/>
      <w:sz w:val="28"/>
    </w:rPr>
  </w:style>
  <w:style w:type="paragraph" w:customStyle="1" w:styleId="1848">
    <w:name w:val="正文（首行缩进）"/>
    <w:basedOn w:val="1"/>
    <w:link w:val="3550"/>
    <w:autoRedefine/>
    <w:qFormat/>
    <w:uiPriority w:val="0"/>
    <w:pPr>
      <w:spacing w:line="360" w:lineRule="auto"/>
    </w:pPr>
    <w:rPr>
      <w:snapToGrid w:val="0"/>
      <w:kern w:val="0"/>
      <w:szCs w:val="24"/>
    </w:rPr>
  </w:style>
  <w:style w:type="paragraph" w:customStyle="1" w:styleId="1849">
    <w:name w:val="样式 (符号) 宋体 首行缩进:  0.93 厘米 段前: 6 磅 段后: 6 磅 行距: 固定值 18 磅1"/>
    <w:basedOn w:val="1"/>
    <w:autoRedefine/>
    <w:qFormat/>
    <w:uiPriority w:val="99"/>
    <w:pPr>
      <w:adjustRightInd/>
      <w:snapToGrid/>
      <w:spacing w:after="160" w:line="320" w:lineRule="exact"/>
      <w:ind w:firstLine="527" w:firstLineChars="0"/>
    </w:pPr>
    <w:rPr>
      <w:rFonts w:hAnsi="宋体"/>
    </w:rPr>
  </w:style>
  <w:style w:type="paragraph" w:customStyle="1" w:styleId="1850">
    <w:name w:val="插图标题"/>
    <w:basedOn w:val="1"/>
    <w:link w:val="1860"/>
    <w:autoRedefine/>
    <w:qFormat/>
    <w:uiPriority w:val="0"/>
    <w:pPr>
      <w:spacing w:beforeLines="10" w:line="460" w:lineRule="exact"/>
      <w:ind w:firstLine="0" w:firstLineChars="0"/>
      <w:jc w:val="center"/>
    </w:pPr>
    <w:rPr>
      <w:b/>
      <w:snapToGrid w:val="0"/>
      <w:kern w:val="0"/>
      <w:szCs w:val="24"/>
      <w:lang w:val="zh-CN"/>
    </w:rPr>
  </w:style>
  <w:style w:type="paragraph" w:customStyle="1" w:styleId="1851">
    <w:name w:val="样式 表中文字 + 两端对齐"/>
    <w:basedOn w:val="181"/>
    <w:autoRedefine/>
    <w:semiHidden/>
    <w:qFormat/>
    <w:uiPriority w:val="99"/>
    <w:pPr>
      <w:tabs>
        <w:tab w:val="left" w:pos="3286"/>
        <w:tab w:val="left" w:pos="8362"/>
      </w:tabs>
      <w:spacing w:line="320" w:lineRule="exact"/>
      <w:jc w:val="both"/>
    </w:pPr>
    <w:rPr>
      <w:rFonts w:ascii="Arial" w:hAnsi="Arial" w:eastAsia="楷体_GB2312" w:cs="宋体"/>
      <w:szCs w:val="21"/>
      <w:shd w:val="clear" w:color="auto" w:fill="FFFFFF"/>
    </w:rPr>
  </w:style>
  <w:style w:type="paragraph" w:customStyle="1" w:styleId="1852">
    <w:name w:val="环正文"/>
    <w:basedOn w:val="1"/>
    <w:autoRedefine/>
    <w:qFormat/>
    <w:uiPriority w:val="0"/>
    <w:pPr>
      <w:widowControl/>
      <w:suppressAutoHyphens/>
      <w:spacing w:line="360" w:lineRule="auto"/>
      <w:ind w:firstLine="549"/>
      <w:textAlignment w:val="baseline"/>
    </w:pPr>
    <w:rPr>
      <w:rFonts w:eastAsia="仿宋_GB2312"/>
      <w:kern w:val="0"/>
    </w:rPr>
  </w:style>
  <w:style w:type="paragraph" w:customStyle="1" w:styleId="1853">
    <w:name w:val="表格名称"/>
    <w:basedOn w:val="34"/>
    <w:autoRedefine/>
    <w:qFormat/>
    <w:uiPriority w:val="0"/>
    <w:pPr>
      <w:tabs>
        <w:tab w:val="left" w:pos="2325"/>
      </w:tabs>
      <w:adjustRightInd/>
      <w:snapToGrid/>
      <w:spacing w:before="31" w:line="300" w:lineRule="auto"/>
      <w:ind w:firstLine="0" w:firstLineChars="0"/>
      <w:jc w:val="center"/>
    </w:pPr>
    <w:rPr>
      <w:rFonts w:ascii="Arial" w:hAnsi="Arial" w:eastAsia="楷体_GB2312" w:cs="Arial"/>
      <w:b/>
      <w:bCs/>
      <w:kern w:val="2"/>
      <w:szCs w:val="24"/>
      <w:shd w:val="clear" w:color="auto" w:fill="FFFFFF"/>
      <w:lang w:val="en-US"/>
    </w:rPr>
  </w:style>
  <w:style w:type="character" w:customStyle="1" w:styleId="1854">
    <w:name w:val="HTML 地址 字符"/>
    <w:link w:val="41"/>
    <w:autoRedefine/>
    <w:qFormat/>
    <w:uiPriority w:val="0"/>
    <w:rPr>
      <w:rFonts w:ascii="Times New Roman" w:hAnsi="Times New Roman"/>
      <w:i/>
      <w:iCs/>
      <w:snapToGrid w:val="0"/>
      <w:sz w:val="24"/>
      <w:szCs w:val="24"/>
    </w:rPr>
  </w:style>
  <w:style w:type="character" w:customStyle="1" w:styleId="1855">
    <w:name w:val="结束语 字符"/>
    <w:link w:val="32"/>
    <w:autoRedefine/>
    <w:qFormat/>
    <w:uiPriority w:val="0"/>
    <w:rPr>
      <w:rFonts w:ascii="Times New Roman" w:hAnsi="Times New Roman"/>
      <w:snapToGrid w:val="0"/>
      <w:sz w:val="24"/>
      <w:szCs w:val="24"/>
    </w:rPr>
  </w:style>
  <w:style w:type="character" w:customStyle="1" w:styleId="1856">
    <w:name w:val="签名 字符"/>
    <w:link w:val="58"/>
    <w:autoRedefine/>
    <w:qFormat/>
    <w:uiPriority w:val="0"/>
    <w:rPr>
      <w:rFonts w:ascii="Times New Roman" w:hAnsi="Times New Roman"/>
      <w:snapToGrid w:val="0"/>
      <w:sz w:val="24"/>
      <w:szCs w:val="24"/>
    </w:rPr>
  </w:style>
  <w:style w:type="character" w:customStyle="1" w:styleId="1857">
    <w:name w:val="信息标题 字符"/>
    <w:link w:val="79"/>
    <w:autoRedefine/>
    <w:qFormat/>
    <w:uiPriority w:val="0"/>
    <w:rPr>
      <w:rFonts w:ascii="Arial" w:hAnsi="Arial" w:cs="Arial"/>
      <w:snapToGrid w:val="0"/>
      <w:sz w:val="24"/>
      <w:szCs w:val="24"/>
      <w:shd w:val="pct20" w:color="auto" w:fill="auto"/>
    </w:rPr>
  </w:style>
  <w:style w:type="paragraph" w:customStyle="1" w:styleId="1858">
    <w:name w:val="样式 宋体 小四 首行缩进:  2 字符"/>
    <w:basedOn w:val="1"/>
    <w:autoRedefine/>
    <w:qFormat/>
    <w:uiPriority w:val="99"/>
    <w:pPr>
      <w:adjustRightInd/>
      <w:snapToGrid/>
      <w:spacing w:line="360" w:lineRule="exact"/>
      <w:ind w:firstLine="480"/>
    </w:pPr>
    <w:rPr>
      <w:rFonts w:ascii="宋体" w:hAnsi="宋体"/>
    </w:rPr>
  </w:style>
  <w:style w:type="paragraph" w:customStyle="1" w:styleId="1859">
    <w:name w:val="样式 标题3 + 段前: 4 磅 段后: 4 磅"/>
    <w:basedOn w:val="1"/>
    <w:autoRedefine/>
    <w:qFormat/>
    <w:uiPriority w:val="99"/>
    <w:pPr>
      <w:adjustRightInd/>
      <w:snapToGrid/>
      <w:spacing w:after="80" w:line="360" w:lineRule="exact"/>
      <w:ind w:firstLine="0" w:firstLineChars="0"/>
      <w:outlineLvl w:val="2"/>
    </w:pPr>
    <w:rPr>
      <w:rFonts w:ascii="宋体" w:hAnsi="宋体" w:cs="宋体"/>
    </w:rPr>
  </w:style>
  <w:style w:type="character" w:customStyle="1" w:styleId="1860">
    <w:name w:val="插图标题 Char"/>
    <w:link w:val="1850"/>
    <w:autoRedefine/>
    <w:qFormat/>
    <w:uiPriority w:val="0"/>
    <w:rPr>
      <w:rFonts w:ascii="Times New Roman" w:hAnsi="Times New Roman"/>
      <w:b/>
      <w:snapToGrid w:val="0"/>
      <w:sz w:val="24"/>
      <w:szCs w:val="24"/>
    </w:rPr>
  </w:style>
  <w:style w:type="paragraph" w:customStyle="1" w:styleId="1861">
    <w:name w:val="样式 标题 3标题 3 Char1标题 3 Char CharH3Heading 3 - old标题 3 Char C...7"/>
    <w:basedOn w:val="5"/>
    <w:autoRedefine/>
    <w:qFormat/>
    <w:uiPriority w:val="99"/>
    <w:pPr>
      <w:keepNext w:val="0"/>
      <w:keepLines w:val="0"/>
      <w:spacing w:beforeLines="10" w:line="460" w:lineRule="exact"/>
      <w:ind w:left="426"/>
      <w:jc w:val="left"/>
    </w:pPr>
    <w:rPr>
      <w:rFonts w:cs="宋体"/>
      <w:bCs w:val="0"/>
      <w:snapToGrid w:val="0"/>
      <w:kern w:val="0"/>
      <w:szCs w:val="20"/>
      <w:lang w:val="en-US"/>
    </w:rPr>
  </w:style>
  <w:style w:type="paragraph" w:customStyle="1" w:styleId="1862">
    <w:name w:val="样式 样式 标题 3标题 3 Char1标题 3 Char CharH3Heading 3 - old标题 3 Char C.....1"/>
    <w:basedOn w:val="1"/>
    <w:autoRedefine/>
    <w:qFormat/>
    <w:uiPriority w:val="99"/>
    <w:pPr>
      <w:spacing w:beforeLines="10" w:line="460" w:lineRule="exact"/>
      <w:ind w:firstLine="0" w:firstLineChars="0"/>
      <w:jc w:val="left"/>
      <w:outlineLvl w:val="2"/>
    </w:pPr>
    <w:rPr>
      <w:rFonts w:cs="宋体"/>
      <w:snapToGrid w:val="0"/>
      <w:kern w:val="0"/>
    </w:rPr>
  </w:style>
  <w:style w:type="paragraph" w:customStyle="1" w:styleId="1863">
    <w:name w:val="样式 标题 3标题 3 Char1标题 3 Char CharH3Heading 3 - old标题 3 Char C...8"/>
    <w:basedOn w:val="5"/>
    <w:autoRedefine/>
    <w:qFormat/>
    <w:uiPriority w:val="99"/>
    <w:pPr>
      <w:keepNext w:val="0"/>
      <w:keepLines w:val="0"/>
      <w:spacing w:beforeLines="10" w:line="470" w:lineRule="exact"/>
      <w:ind w:left="426"/>
      <w:jc w:val="left"/>
    </w:pPr>
    <w:rPr>
      <w:rFonts w:cs="宋体"/>
      <w:bCs w:val="0"/>
      <w:snapToGrid w:val="0"/>
      <w:kern w:val="0"/>
      <w:szCs w:val="20"/>
      <w:lang w:val="en-US"/>
    </w:rPr>
  </w:style>
  <w:style w:type="paragraph" w:customStyle="1" w:styleId="1864">
    <w:name w:val="01正文"/>
    <w:basedOn w:val="1"/>
    <w:link w:val="1865"/>
    <w:autoRedefine/>
    <w:qFormat/>
    <w:uiPriority w:val="99"/>
    <w:pPr>
      <w:ind w:firstLine="520"/>
    </w:pPr>
    <w:rPr>
      <w:sz w:val="26"/>
      <w:szCs w:val="26"/>
      <w:lang w:val="zh-CN"/>
    </w:rPr>
  </w:style>
  <w:style w:type="character" w:customStyle="1" w:styleId="1865">
    <w:name w:val="01正文 Char"/>
    <w:link w:val="1864"/>
    <w:autoRedefine/>
    <w:qFormat/>
    <w:uiPriority w:val="0"/>
    <w:rPr>
      <w:rFonts w:ascii="Times New Roman" w:hAnsi="Times New Roman"/>
      <w:kern w:val="2"/>
      <w:sz w:val="26"/>
      <w:szCs w:val="26"/>
    </w:rPr>
  </w:style>
  <w:style w:type="paragraph" w:customStyle="1" w:styleId="1866">
    <w:name w:val="02表格标题"/>
    <w:basedOn w:val="1"/>
    <w:link w:val="1867"/>
    <w:autoRedefine/>
    <w:qFormat/>
    <w:uiPriority w:val="0"/>
    <w:pPr>
      <w:spacing w:beforeLines="50"/>
      <w:ind w:firstLine="0" w:firstLineChars="0"/>
      <w:jc w:val="center"/>
      <w:outlineLvl w:val="4"/>
    </w:pPr>
    <w:rPr>
      <w:sz w:val="26"/>
      <w:szCs w:val="26"/>
      <w:lang w:val="zh-CN"/>
    </w:rPr>
  </w:style>
  <w:style w:type="character" w:customStyle="1" w:styleId="1867">
    <w:name w:val="02表格标题 Char"/>
    <w:link w:val="1866"/>
    <w:autoRedefine/>
    <w:qFormat/>
    <w:uiPriority w:val="0"/>
    <w:rPr>
      <w:rFonts w:ascii="Times New Roman" w:hAnsi="Times New Roman"/>
      <w:kern w:val="2"/>
      <w:sz w:val="26"/>
      <w:szCs w:val="26"/>
    </w:rPr>
  </w:style>
  <w:style w:type="paragraph" w:customStyle="1" w:styleId="1868">
    <w:name w:val="03表格文字"/>
    <w:basedOn w:val="1864"/>
    <w:link w:val="1870"/>
    <w:autoRedefine/>
    <w:qFormat/>
    <w:uiPriority w:val="0"/>
    <w:pPr>
      <w:spacing w:line="360" w:lineRule="exact"/>
      <w:ind w:firstLine="0" w:firstLineChars="0"/>
      <w:jc w:val="left"/>
    </w:pPr>
    <w:rPr>
      <w:sz w:val="22"/>
      <w:szCs w:val="22"/>
    </w:rPr>
  </w:style>
  <w:style w:type="paragraph" w:customStyle="1" w:styleId="1869">
    <w:name w:val="04表格结尾"/>
    <w:basedOn w:val="1"/>
    <w:autoRedefine/>
    <w:qFormat/>
    <w:uiPriority w:val="99"/>
    <w:pPr>
      <w:spacing w:line="240" w:lineRule="auto"/>
      <w:ind w:firstLine="420"/>
    </w:pPr>
    <w:rPr>
      <w:sz w:val="21"/>
      <w:szCs w:val="24"/>
    </w:rPr>
  </w:style>
  <w:style w:type="character" w:customStyle="1" w:styleId="1870">
    <w:name w:val="03表格文字 Char"/>
    <w:link w:val="1868"/>
    <w:autoRedefine/>
    <w:qFormat/>
    <w:uiPriority w:val="0"/>
    <w:rPr>
      <w:kern w:val="2"/>
      <w:sz w:val="22"/>
      <w:szCs w:val="22"/>
      <w:lang w:val="zh-CN"/>
    </w:rPr>
  </w:style>
  <w:style w:type="paragraph" w:customStyle="1" w:styleId="1871">
    <w:name w:val="01"/>
    <w:basedOn w:val="1"/>
    <w:autoRedefine/>
    <w:semiHidden/>
    <w:qFormat/>
    <w:uiPriority w:val="0"/>
    <w:pPr>
      <w:spacing w:line="360" w:lineRule="auto"/>
    </w:pPr>
    <w:rPr>
      <w:rFonts w:ascii="宋体" w:hAnsi="宋体" w:cs="宋体"/>
      <w:szCs w:val="26"/>
    </w:rPr>
  </w:style>
  <w:style w:type="paragraph" w:customStyle="1" w:styleId="1872">
    <w:name w:val="小表文居中"/>
    <w:basedOn w:val="1"/>
    <w:autoRedefine/>
    <w:qFormat/>
    <w:uiPriority w:val="0"/>
    <w:pPr>
      <w:autoSpaceDE w:val="0"/>
      <w:autoSpaceDN w:val="0"/>
      <w:snapToGrid/>
      <w:spacing w:before="20" w:line="240" w:lineRule="auto"/>
      <w:ind w:firstLine="0" w:firstLineChars="0"/>
      <w:jc w:val="center"/>
      <w:textAlignment w:val="baseline"/>
    </w:pPr>
    <w:rPr>
      <w:kern w:val="0"/>
      <w:sz w:val="18"/>
    </w:rPr>
  </w:style>
  <w:style w:type="paragraph" w:customStyle="1" w:styleId="1873">
    <w:name w:val="表文居中"/>
    <w:basedOn w:val="1"/>
    <w:autoRedefine/>
    <w:qFormat/>
    <w:uiPriority w:val="99"/>
    <w:pPr>
      <w:autoSpaceDE w:val="0"/>
      <w:autoSpaceDN w:val="0"/>
      <w:snapToGrid/>
      <w:spacing w:line="360" w:lineRule="auto"/>
      <w:ind w:firstLine="0" w:firstLineChars="0"/>
      <w:jc w:val="center"/>
      <w:textAlignment w:val="baseline"/>
    </w:pPr>
    <w:rPr>
      <w:kern w:val="0"/>
      <w:sz w:val="18"/>
    </w:rPr>
  </w:style>
  <w:style w:type="paragraph" w:customStyle="1" w:styleId="1874">
    <w:name w:val="正文a"/>
    <w:basedOn w:val="1"/>
    <w:autoRedefine/>
    <w:qFormat/>
    <w:uiPriority w:val="99"/>
    <w:pPr>
      <w:adjustRightInd/>
      <w:snapToGrid/>
      <w:spacing w:line="240" w:lineRule="auto"/>
      <w:ind w:firstLine="570" w:firstLineChars="0"/>
    </w:pPr>
    <w:rPr>
      <w:rFonts w:ascii="宋体"/>
      <w:sz w:val="28"/>
      <w:szCs w:val="24"/>
    </w:rPr>
  </w:style>
  <w:style w:type="paragraph" w:customStyle="1" w:styleId="1875">
    <w:name w:val="（一）"/>
    <w:basedOn w:val="1"/>
    <w:autoRedefine/>
    <w:qFormat/>
    <w:uiPriority w:val="99"/>
    <w:pPr>
      <w:spacing w:line="460" w:lineRule="exact"/>
      <w:ind w:firstLine="476" w:firstLineChars="0"/>
    </w:pPr>
    <w:rPr>
      <w:bCs/>
      <w:sz w:val="26"/>
      <w:szCs w:val="28"/>
    </w:rPr>
  </w:style>
  <w:style w:type="paragraph" w:customStyle="1" w:styleId="1876">
    <w:name w:val="样式 样式 标题 3 + 小三 行距: 固定值 28 磅 + (西文) Times New Roman (中文) 仿宋_GB2...1"/>
    <w:basedOn w:val="1"/>
    <w:autoRedefine/>
    <w:qFormat/>
    <w:uiPriority w:val="99"/>
    <w:pPr>
      <w:adjustRightInd/>
      <w:snapToGrid/>
      <w:spacing w:line="500" w:lineRule="exact"/>
      <w:ind w:firstLine="0" w:firstLineChars="0"/>
      <w:jc w:val="left"/>
      <w:outlineLvl w:val="2"/>
    </w:pPr>
    <w:rPr>
      <w:rFonts w:eastAsia="仿宋_GB2312" w:cs="宋体"/>
      <w:sz w:val="28"/>
    </w:rPr>
  </w:style>
  <w:style w:type="paragraph" w:customStyle="1" w:styleId="1877">
    <w:name w:val="!表标题(alt+h)"/>
    <w:next w:val="1"/>
    <w:link w:val="1878"/>
    <w:autoRedefine/>
    <w:qFormat/>
    <w:uiPriority w:val="0"/>
    <w:pPr>
      <w:adjustRightInd w:val="0"/>
      <w:snapToGrid w:val="0"/>
      <w:spacing w:line="460" w:lineRule="exact"/>
      <w:ind w:firstLine="556"/>
      <w:jc w:val="both"/>
    </w:pPr>
    <w:rPr>
      <w:rFonts w:ascii="Times New Roman" w:hAnsi="Times New Roman" w:eastAsia="宋体" w:cs="Times New Roman"/>
      <w:kern w:val="28"/>
      <w:sz w:val="26"/>
      <w:szCs w:val="26"/>
      <w:lang w:val="en-US" w:eastAsia="zh-CN" w:bidi="ar-SA"/>
    </w:rPr>
  </w:style>
  <w:style w:type="character" w:customStyle="1" w:styleId="1878">
    <w:name w:val="!表标题(alt+h) Char"/>
    <w:link w:val="1877"/>
    <w:autoRedefine/>
    <w:qFormat/>
    <w:uiPriority w:val="0"/>
    <w:rPr>
      <w:rFonts w:ascii="Times New Roman" w:hAnsi="Times New Roman"/>
      <w:kern w:val="28"/>
      <w:sz w:val="26"/>
      <w:szCs w:val="26"/>
      <w:lang w:bidi="ar-SA"/>
    </w:rPr>
  </w:style>
  <w:style w:type="paragraph" w:customStyle="1" w:styleId="1879">
    <w:name w:val="pic-info"/>
    <w:basedOn w:val="1"/>
    <w:autoRedefine/>
    <w:qFormat/>
    <w:uiPriority w:val="0"/>
    <w:pPr>
      <w:widowControl/>
      <w:adjustRightInd/>
      <w:snapToGrid/>
      <w:spacing w:before="100" w:beforeAutospacing="1" w:after="100" w:afterAutospacing="1" w:line="240" w:lineRule="auto"/>
      <w:ind w:firstLine="0" w:firstLineChars="0"/>
      <w:jc w:val="left"/>
    </w:pPr>
    <w:rPr>
      <w:rFonts w:ascii="宋体" w:hAnsi="宋体" w:cs="宋体"/>
      <w:kern w:val="0"/>
      <w:szCs w:val="24"/>
    </w:rPr>
  </w:style>
  <w:style w:type="paragraph" w:customStyle="1" w:styleId="1880">
    <w:name w:val="样式 标题 2节名节H22nd levelh2Header 2标题 1.1编号标题2head:2#2 hea..."/>
    <w:basedOn w:val="4"/>
    <w:autoRedefine/>
    <w:qFormat/>
    <w:uiPriority w:val="99"/>
    <w:pPr>
      <w:widowControl/>
      <w:numPr>
        <w:ilvl w:val="0"/>
        <w:numId w:val="0"/>
      </w:numPr>
      <w:tabs>
        <w:tab w:val="left" w:pos="576"/>
      </w:tabs>
      <w:adjustRightInd/>
      <w:snapToGrid/>
      <w:spacing w:before="60" w:after="60" w:line="500" w:lineRule="exact"/>
      <w:jc w:val="left"/>
    </w:pPr>
    <w:rPr>
      <w:rFonts w:eastAsia="黑体" w:cs="宋体"/>
      <w:bCs w:val="0"/>
      <w:color w:val="FF0000"/>
      <w:kern w:val="0"/>
      <w:sz w:val="28"/>
      <w:szCs w:val="24"/>
      <w:lang w:val="en-US"/>
    </w:rPr>
  </w:style>
  <w:style w:type="paragraph" w:customStyle="1" w:styleId="1881">
    <w:name w:val="000000表文字"/>
    <w:basedOn w:val="1"/>
    <w:autoRedefine/>
    <w:qFormat/>
    <w:uiPriority w:val="99"/>
    <w:pPr>
      <w:adjustRightInd/>
      <w:spacing w:line="320" w:lineRule="exact"/>
      <w:ind w:firstLine="0" w:firstLineChars="0"/>
      <w:jc w:val="left"/>
    </w:pPr>
    <w:rPr>
      <w:bCs/>
      <w:sz w:val="22"/>
      <w:szCs w:val="22"/>
    </w:rPr>
  </w:style>
  <w:style w:type="character" w:customStyle="1" w:styleId="1882">
    <w:name w:val="标题3 Char"/>
    <w:link w:val="1883"/>
    <w:autoRedefine/>
    <w:qFormat/>
    <w:uiPriority w:val="0"/>
    <w:rPr>
      <w:rFonts w:ascii="Times New Roman" w:hAnsi="Times New Roman" w:eastAsia="黑体" w:cs="Times New Roman"/>
      <w:kern w:val="0"/>
      <w:sz w:val="30"/>
      <w:szCs w:val="20"/>
    </w:rPr>
  </w:style>
  <w:style w:type="paragraph" w:customStyle="1" w:styleId="1883">
    <w:name w:val="标题3"/>
    <w:basedOn w:val="1"/>
    <w:link w:val="1882"/>
    <w:autoRedefine/>
    <w:qFormat/>
    <w:uiPriority w:val="0"/>
    <w:pPr>
      <w:adjustRightInd/>
      <w:snapToGrid/>
      <w:spacing w:beforeLines="50" w:line="360" w:lineRule="auto"/>
      <w:ind w:firstLine="0" w:firstLineChars="0"/>
      <w:outlineLvl w:val="2"/>
    </w:pPr>
    <w:rPr>
      <w:rFonts w:eastAsia="黑体"/>
      <w:kern w:val="0"/>
      <w:sz w:val="30"/>
    </w:rPr>
  </w:style>
  <w:style w:type="paragraph" w:customStyle="1" w:styleId="1884">
    <w:name w:val="表格（5号）"/>
    <w:basedOn w:val="1"/>
    <w:autoRedefine/>
    <w:qFormat/>
    <w:uiPriority w:val="0"/>
    <w:pPr>
      <w:adjustRightInd/>
      <w:snapToGrid/>
      <w:spacing w:line="360" w:lineRule="exact"/>
      <w:ind w:left="-113" w:firstLine="0" w:firstLineChars="0"/>
      <w:jc w:val="center"/>
    </w:pPr>
    <w:rPr>
      <w:rFonts w:ascii="宋体" w:hAnsi="宋体"/>
      <w:color w:val="000000"/>
      <w:sz w:val="18"/>
    </w:rPr>
  </w:style>
  <w:style w:type="character" w:customStyle="1" w:styleId="1885">
    <w:name w:val="样式 正文001 + 首行缩进:  2 字符 Char"/>
    <w:link w:val="1886"/>
    <w:autoRedefine/>
    <w:qFormat/>
    <w:uiPriority w:val="0"/>
    <w:rPr>
      <w:rFonts w:eastAsia="黑体"/>
      <w:sz w:val="24"/>
    </w:rPr>
  </w:style>
  <w:style w:type="paragraph" w:customStyle="1" w:styleId="1886">
    <w:name w:val="样式 正文001 + 首行缩进:  2 字符"/>
    <w:basedOn w:val="1"/>
    <w:link w:val="1885"/>
    <w:autoRedefine/>
    <w:qFormat/>
    <w:uiPriority w:val="99"/>
    <w:pPr>
      <w:adjustRightInd/>
      <w:snapToGrid/>
      <w:spacing w:line="500" w:lineRule="atLeast"/>
      <w:ind w:firstLine="480"/>
    </w:pPr>
    <w:rPr>
      <w:rFonts w:ascii="Calibri" w:hAnsi="Calibri" w:eastAsia="黑体"/>
      <w:kern w:val="0"/>
      <w:lang w:val="zh-CN"/>
    </w:rPr>
  </w:style>
  <w:style w:type="character" w:customStyle="1" w:styleId="1887">
    <w:name w:val="t11"/>
    <w:autoRedefine/>
    <w:qFormat/>
    <w:uiPriority w:val="0"/>
    <w:rPr>
      <w:rFonts w:hint="eastAsia" w:ascii="宋体" w:hAnsi="宋体" w:eastAsia="宋体"/>
      <w:spacing w:val="360"/>
      <w:sz w:val="18"/>
      <w:szCs w:val="18"/>
    </w:rPr>
  </w:style>
  <w:style w:type="character" w:customStyle="1" w:styleId="1888">
    <w:name w:val="javascript1"/>
    <w:autoRedefine/>
    <w:qFormat/>
    <w:uiPriority w:val="0"/>
    <w:rPr>
      <w:rFonts w:hint="default" w:ascii="Tahoma" w:hAnsi="Tahoma" w:cs="Tahoma"/>
      <w:spacing w:val="268"/>
      <w:sz w:val="20"/>
      <w:szCs w:val="20"/>
    </w:rPr>
  </w:style>
  <w:style w:type="paragraph" w:customStyle="1" w:styleId="1889">
    <w:name w:val="文章正文0"/>
    <w:basedOn w:val="1"/>
    <w:autoRedefine/>
    <w:qFormat/>
    <w:uiPriority w:val="99"/>
    <w:pPr>
      <w:adjustRightInd/>
      <w:snapToGrid/>
      <w:spacing w:line="360" w:lineRule="auto"/>
      <w:ind w:left="560" w:firstLine="0" w:firstLineChars="0"/>
    </w:pPr>
    <w:rPr>
      <w:rFonts w:ascii="宋体" w:hAnsi="宋体"/>
      <w:spacing w:val="6"/>
      <w:sz w:val="28"/>
      <w:szCs w:val="28"/>
    </w:rPr>
  </w:style>
  <w:style w:type="paragraph" w:customStyle="1" w:styleId="1890">
    <w:name w:val="tabletitle"/>
    <w:basedOn w:val="1"/>
    <w:autoRedefine/>
    <w:qFormat/>
    <w:uiPriority w:val="99"/>
    <w:pPr>
      <w:adjustRightInd/>
      <w:snapToGrid/>
      <w:spacing w:line="360" w:lineRule="auto"/>
      <w:ind w:firstLine="0" w:firstLineChars="0"/>
      <w:jc w:val="center"/>
    </w:pPr>
    <w:rPr>
      <w:rFonts w:eastAsia="黑体"/>
      <w:sz w:val="28"/>
      <w:szCs w:val="24"/>
    </w:rPr>
  </w:style>
  <w:style w:type="paragraph" w:customStyle="1" w:styleId="1891">
    <w:name w:val="默认段落字体 Char Char Char"/>
    <w:basedOn w:val="1"/>
    <w:autoRedefine/>
    <w:qFormat/>
    <w:uiPriority w:val="0"/>
    <w:pPr>
      <w:adjustRightInd/>
      <w:snapToGrid/>
      <w:spacing w:line="240" w:lineRule="auto"/>
      <w:ind w:firstLine="0" w:firstLineChars="0"/>
    </w:pPr>
    <w:rPr>
      <w:szCs w:val="24"/>
    </w:rPr>
  </w:style>
  <w:style w:type="character" w:customStyle="1" w:styleId="1892">
    <w:name w:val="Font Style99"/>
    <w:autoRedefine/>
    <w:qFormat/>
    <w:uiPriority w:val="0"/>
    <w:rPr>
      <w:rFonts w:ascii="黑体" w:eastAsia="黑体" w:cs="黑体"/>
      <w:b/>
      <w:bCs/>
      <w:sz w:val="28"/>
      <w:szCs w:val="28"/>
    </w:rPr>
  </w:style>
  <w:style w:type="character" w:customStyle="1" w:styleId="1893">
    <w:name w:val="Font Style118"/>
    <w:autoRedefine/>
    <w:qFormat/>
    <w:uiPriority w:val="0"/>
    <w:rPr>
      <w:rFonts w:ascii="黑体" w:eastAsia="黑体" w:cs="黑体"/>
      <w:spacing w:val="-20"/>
      <w:sz w:val="26"/>
      <w:szCs w:val="26"/>
    </w:rPr>
  </w:style>
  <w:style w:type="paragraph" w:customStyle="1" w:styleId="1894">
    <w:name w:val="样式 样式 样式 标题 4 + 段前: 0.5 行 段后: 0.5 行 + 段前: 0.5 行 段后: 0.5 行 + 段前: ..."/>
    <w:basedOn w:val="1"/>
    <w:autoRedefine/>
    <w:qFormat/>
    <w:uiPriority w:val="99"/>
    <w:pPr>
      <w:widowControl/>
      <w:tabs>
        <w:tab w:val="left" w:pos="864"/>
        <w:tab w:val="left" w:pos="1050"/>
      </w:tabs>
      <w:adjustRightInd/>
      <w:snapToGrid/>
      <w:spacing w:beforeLines="50" w:afterLines="50" w:line="360" w:lineRule="auto"/>
      <w:ind w:left="864" w:hanging="864" w:firstLineChars="0"/>
      <w:outlineLvl w:val="3"/>
    </w:pPr>
    <w:rPr>
      <w:rFonts w:eastAsia="黑体" w:cs="Courier New"/>
      <w:b/>
      <w:bCs/>
      <w:sz w:val="28"/>
    </w:rPr>
  </w:style>
  <w:style w:type="character" w:customStyle="1" w:styleId="1895">
    <w:name w:val="样式11 Char"/>
    <w:link w:val="582"/>
    <w:autoRedefine/>
    <w:qFormat/>
    <w:uiPriority w:val="0"/>
    <w:rPr>
      <w:rFonts w:ascii="Times New Roman" w:hAnsi="Times New Roman"/>
      <w:spacing w:val="20"/>
      <w:kern w:val="2"/>
      <w:sz w:val="24"/>
      <w:szCs w:val="24"/>
    </w:rPr>
  </w:style>
  <w:style w:type="character" w:customStyle="1" w:styleId="1896">
    <w:name w:val="正文粗 Char"/>
    <w:autoRedefine/>
    <w:qFormat/>
    <w:uiPriority w:val="0"/>
    <w:rPr>
      <w:rFonts w:ascii="Arial" w:hAnsi="Arial" w:eastAsia="宋体" w:cs="Arial"/>
      <w:b/>
      <w:snapToGrid w:val="0"/>
      <w:sz w:val="24"/>
      <w:szCs w:val="21"/>
      <w:lang w:val="en-US" w:eastAsia="zh-CN" w:bidi="ar-SA"/>
    </w:rPr>
  </w:style>
  <w:style w:type="paragraph" w:customStyle="1" w:styleId="1897">
    <w:name w:val="样式 Tunga 小四 青色 行距: 1.5 倍行距"/>
    <w:basedOn w:val="1"/>
    <w:autoRedefine/>
    <w:qFormat/>
    <w:uiPriority w:val="99"/>
    <w:pPr>
      <w:adjustRightInd/>
      <w:snapToGrid/>
      <w:spacing w:line="360" w:lineRule="auto"/>
      <w:ind w:firstLine="480"/>
    </w:pPr>
    <w:rPr>
      <w:rFonts w:ascii="Tunga" w:hAnsi="Tunga" w:cs="宋体"/>
      <w:color w:val="008080"/>
    </w:rPr>
  </w:style>
  <w:style w:type="character" w:customStyle="1" w:styleId="1898">
    <w:name w:val="报告书正文 Char"/>
    <w:autoRedefine/>
    <w:qFormat/>
    <w:uiPriority w:val="0"/>
    <w:rPr>
      <w:rFonts w:ascii="Times New Roman" w:hAnsi="Times New Roman" w:eastAsia="宋体" w:cs="Times New Roman"/>
      <w:sz w:val="24"/>
      <w:szCs w:val="20"/>
    </w:rPr>
  </w:style>
  <w:style w:type="paragraph" w:customStyle="1" w:styleId="1899">
    <w:name w:val="样式 !正文(alt+c) + 首行缩进:  2 字符"/>
    <w:basedOn w:val="1"/>
    <w:autoRedefine/>
    <w:qFormat/>
    <w:uiPriority w:val="0"/>
    <w:pPr>
      <w:widowControl/>
      <w:adjustRightInd/>
      <w:snapToGrid/>
      <w:spacing w:line="440" w:lineRule="exact"/>
      <w:jc w:val="left"/>
    </w:pPr>
    <w:rPr>
      <w:color w:val="000000"/>
      <w:kern w:val="0"/>
    </w:rPr>
  </w:style>
  <w:style w:type="character" w:customStyle="1" w:styleId="1900">
    <w:name w:val="表内字体 Char"/>
    <w:link w:val="1901"/>
    <w:autoRedefine/>
    <w:qFormat/>
    <w:uiPriority w:val="0"/>
    <w:rPr>
      <w:sz w:val="18"/>
      <w:szCs w:val="18"/>
    </w:rPr>
  </w:style>
  <w:style w:type="paragraph" w:customStyle="1" w:styleId="1901">
    <w:name w:val="表内字体"/>
    <w:basedOn w:val="1"/>
    <w:link w:val="1900"/>
    <w:autoRedefine/>
    <w:qFormat/>
    <w:uiPriority w:val="99"/>
    <w:pPr>
      <w:tabs>
        <w:tab w:val="left" w:pos="0"/>
      </w:tabs>
      <w:adjustRightInd/>
      <w:spacing w:line="240" w:lineRule="auto"/>
      <w:ind w:firstLine="0" w:firstLineChars="0"/>
      <w:jc w:val="center"/>
    </w:pPr>
    <w:rPr>
      <w:rFonts w:ascii="Calibri" w:hAnsi="Calibri"/>
      <w:kern w:val="0"/>
      <w:sz w:val="18"/>
      <w:szCs w:val="18"/>
      <w:lang w:val="zh-CN"/>
    </w:rPr>
  </w:style>
  <w:style w:type="character" w:customStyle="1" w:styleId="1902">
    <w:name w:val="表头字体 Char1"/>
    <w:link w:val="1903"/>
    <w:autoRedefine/>
    <w:qFormat/>
    <w:uiPriority w:val="0"/>
    <w:rPr>
      <w:rFonts w:eastAsia="黑体"/>
      <w:b/>
      <w:sz w:val="24"/>
      <w:szCs w:val="24"/>
    </w:rPr>
  </w:style>
  <w:style w:type="paragraph" w:customStyle="1" w:styleId="1903">
    <w:name w:val="表头字体"/>
    <w:basedOn w:val="1"/>
    <w:next w:val="1"/>
    <w:link w:val="1902"/>
    <w:autoRedefine/>
    <w:qFormat/>
    <w:uiPriority w:val="0"/>
    <w:pPr>
      <w:adjustRightInd/>
      <w:snapToGrid/>
      <w:spacing w:line="240" w:lineRule="auto"/>
      <w:ind w:firstLine="0" w:firstLineChars="0"/>
      <w:jc w:val="center"/>
    </w:pPr>
    <w:rPr>
      <w:rFonts w:ascii="Calibri" w:hAnsi="Calibri" w:eastAsia="黑体"/>
      <w:b/>
      <w:kern w:val="0"/>
      <w:szCs w:val="24"/>
      <w:lang w:val="zh-CN"/>
    </w:rPr>
  </w:style>
  <w:style w:type="character" w:customStyle="1" w:styleId="1904">
    <w:name w:val="表内格式 Char1"/>
    <w:link w:val="1905"/>
    <w:autoRedefine/>
    <w:qFormat/>
    <w:uiPriority w:val="0"/>
    <w:rPr>
      <w:rFonts w:eastAsia="楷体_GB2312"/>
      <w:sz w:val="18"/>
      <w:szCs w:val="18"/>
    </w:rPr>
  </w:style>
  <w:style w:type="paragraph" w:customStyle="1" w:styleId="1905">
    <w:name w:val="表内格式"/>
    <w:basedOn w:val="1"/>
    <w:link w:val="1904"/>
    <w:autoRedefine/>
    <w:qFormat/>
    <w:uiPriority w:val="99"/>
    <w:pPr>
      <w:adjustRightInd/>
      <w:snapToGrid/>
      <w:spacing w:line="240" w:lineRule="auto"/>
      <w:ind w:firstLine="0" w:firstLineChars="0"/>
      <w:jc w:val="center"/>
    </w:pPr>
    <w:rPr>
      <w:rFonts w:ascii="Calibri" w:hAnsi="Calibri" w:eastAsia="楷体_GB2312"/>
      <w:kern w:val="0"/>
      <w:sz w:val="18"/>
      <w:szCs w:val="18"/>
      <w:lang w:val="zh-CN"/>
    </w:rPr>
  </w:style>
  <w:style w:type="paragraph" w:customStyle="1" w:styleId="1906">
    <w:name w:val="样式 样式1 + 青色"/>
    <w:basedOn w:val="3"/>
    <w:autoRedefine/>
    <w:qFormat/>
    <w:uiPriority w:val="99"/>
    <w:pPr>
      <w:numPr>
        <w:numId w:val="0"/>
      </w:numPr>
      <w:adjustRightInd/>
      <w:snapToGrid/>
      <w:spacing w:line="360" w:lineRule="auto"/>
      <w:jc w:val="both"/>
    </w:pPr>
    <w:rPr>
      <w:bCs w:val="0"/>
      <w:color w:val="008080"/>
      <w:sz w:val="30"/>
      <w:lang w:val="en-US"/>
    </w:rPr>
  </w:style>
  <w:style w:type="paragraph" w:customStyle="1" w:styleId="1907">
    <w:name w:val="22标题"/>
    <w:basedOn w:val="1"/>
    <w:link w:val="1908"/>
    <w:autoRedefine/>
    <w:qFormat/>
    <w:uiPriority w:val="99"/>
    <w:pPr>
      <w:spacing w:beforeLines="10" w:line="460" w:lineRule="exact"/>
      <w:ind w:left="710" w:firstLine="0" w:firstLineChars="0"/>
      <w:jc w:val="left"/>
      <w:outlineLvl w:val="1"/>
    </w:pPr>
    <w:rPr>
      <w:b/>
      <w:snapToGrid w:val="0"/>
      <w:color w:val="943634"/>
      <w:kern w:val="0"/>
      <w:szCs w:val="24"/>
      <w:lang w:val="zh-CN"/>
    </w:rPr>
  </w:style>
  <w:style w:type="character" w:customStyle="1" w:styleId="1908">
    <w:name w:val="22标题 Char"/>
    <w:link w:val="1907"/>
    <w:autoRedefine/>
    <w:qFormat/>
    <w:uiPriority w:val="0"/>
    <w:rPr>
      <w:rFonts w:ascii="Times New Roman" w:hAnsi="Times New Roman"/>
      <w:b/>
      <w:snapToGrid w:val="0"/>
      <w:color w:val="943634"/>
      <w:sz w:val="24"/>
      <w:szCs w:val="24"/>
    </w:rPr>
  </w:style>
  <w:style w:type="paragraph" w:customStyle="1" w:styleId="1909">
    <w:name w:val="样式11111"/>
    <w:basedOn w:val="1"/>
    <w:link w:val="1910"/>
    <w:autoRedefine/>
    <w:qFormat/>
    <w:uiPriority w:val="0"/>
    <w:pPr>
      <w:spacing w:afterLines="100" w:line="460" w:lineRule="exact"/>
      <w:ind w:firstLine="0" w:firstLineChars="0"/>
      <w:jc w:val="center"/>
      <w:outlineLvl w:val="0"/>
    </w:pPr>
    <w:rPr>
      <w:rFonts w:eastAsia="黑体"/>
      <w:b/>
      <w:bCs/>
      <w:snapToGrid w:val="0"/>
      <w:kern w:val="0"/>
      <w:sz w:val="30"/>
      <w:szCs w:val="32"/>
      <w:lang w:val="zh-CN"/>
    </w:rPr>
  </w:style>
  <w:style w:type="character" w:customStyle="1" w:styleId="1910">
    <w:name w:val="样式11111 Char"/>
    <w:link w:val="1909"/>
    <w:autoRedefine/>
    <w:qFormat/>
    <w:uiPriority w:val="0"/>
    <w:rPr>
      <w:rFonts w:ascii="Times New Roman" w:hAnsi="Times New Roman" w:eastAsia="黑体" w:cs="Arial"/>
      <w:b/>
      <w:bCs/>
      <w:snapToGrid w:val="0"/>
      <w:sz w:val="30"/>
      <w:szCs w:val="32"/>
    </w:rPr>
  </w:style>
  <w:style w:type="character" w:customStyle="1" w:styleId="1911">
    <w:name w:val="Char Char102"/>
    <w:autoRedefine/>
    <w:qFormat/>
    <w:uiPriority w:val="0"/>
    <w:rPr>
      <w:spacing w:val="10"/>
      <w:kern w:val="2"/>
      <w:sz w:val="21"/>
    </w:rPr>
  </w:style>
  <w:style w:type="character" w:customStyle="1" w:styleId="1912">
    <w:name w:val="Char Char133"/>
    <w:autoRedefine/>
    <w:qFormat/>
    <w:uiPriority w:val="0"/>
    <w:rPr>
      <w:snapToGrid w:val="0"/>
      <w:spacing w:val="8"/>
      <w:kern w:val="2"/>
      <w:sz w:val="18"/>
      <w:szCs w:val="18"/>
    </w:rPr>
  </w:style>
  <w:style w:type="character" w:customStyle="1" w:styleId="1913">
    <w:name w:val="Char Char111"/>
    <w:autoRedefine/>
    <w:qFormat/>
    <w:uiPriority w:val="0"/>
    <w:rPr>
      <w:rFonts w:eastAsia="宋体"/>
      <w:kern w:val="2"/>
      <w:sz w:val="21"/>
      <w:szCs w:val="24"/>
      <w:lang w:val="en-US" w:eastAsia="zh-CN" w:bidi="ar-SA"/>
    </w:rPr>
  </w:style>
  <w:style w:type="paragraph" w:customStyle="1" w:styleId="1914">
    <w:name w:val="修订2"/>
    <w:autoRedefine/>
    <w:semiHidden/>
    <w:qFormat/>
    <w:uiPriority w:val="99"/>
    <w:rPr>
      <w:rFonts w:ascii="Times New Roman" w:hAnsi="Times New Roman" w:eastAsia="宋体" w:cs="Times New Roman"/>
      <w:kern w:val="2"/>
      <w:sz w:val="28"/>
      <w:szCs w:val="24"/>
      <w:lang w:val="en-US" w:eastAsia="zh-CN" w:bidi="ar-SA"/>
    </w:rPr>
  </w:style>
  <w:style w:type="table" w:customStyle="1" w:styleId="1915">
    <w:name w:val="网格型 61"/>
    <w:basedOn w:val="88"/>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916">
    <w:name w:val="网格型12"/>
    <w:basedOn w:val="88"/>
    <w:autoRedefine/>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7">
    <w:name w:val="简明型 11"/>
    <w:basedOn w:val="88"/>
    <w:autoRedefine/>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918">
    <w:name w:val="列表型 51"/>
    <w:basedOn w:val="88"/>
    <w:autoRedefine/>
    <w:qFormat/>
    <w:uiPriority w:val="0"/>
    <w:pPr>
      <w:widowControl w:val="0"/>
      <w:adjustRightInd w:val="0"/>
      <w:jc w:val="both"/>
      <w:textAlignment w:val="baseline"/>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919">
    <w:name w:val="列表型 61"/>
    <w:basedOn w:val="88"/>
    <w:autoRedefine/>
    <w:qFormat/>
    <w:uiPriority w:val="0"/>
    <w:pPr>
      <w:widowControl w:val="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920">
    <w:name w:val="网格型 71"/>
    <w:basedOn w:val="88"/>
    <w:autoRedefine/>
    <w:qFormat/>
    <w:uiPriority w:val="0"/>
    <w:pPr>
      <w:widowControl w:val="0"/>
      <w:snapToGrid w:val="0"/>
      <w:spacing w:line="348" w:lineRule="auto"/>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921">
    <w:name w:val="专业型1"/>
    <w:basedOn w:val="88"/>
    <w:autoRedefine/>
    <w:qFormat/>
    <w:uiPriority w:val="0"/>
    <w:pPr>
      <w:widowControl w:val="0"/>
      <w:spacing w:line="360" w:lineRule="auto"/>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1922">
    <w:name w:val="表格样式3"/>
    <w:basedOn w:val="88"/>
    <w:autoRedefine/>
    <w:qFormat/>
    <w:uiPriority w:val="0"/>
    <w:pPr>
      <w:snapToGrid w:val="0"/>
      <w:jc w:val="center"/>
      <w:textAlignment w:val="center"/>
    </w:pPr>
    <w:rPr>
      <w:rFonts w:eastAsia="仿宋_GB2312"/>
      <w:snapToGrid w:val="0"/>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tcMar>
        <w:top w:w="28" w:type="dxa"/>
        <w:bottom w:w="28" w:type="dxa"/>
      </w:tcMar>
      <w:vAlign w:val="center"/>
    </w:tcPr>
  </w:style>
  <w:style w:type="table" w:customStyle="1" w:styleId="1923">
    <w:name w:val="网格型 521"/>
    <w:basedOn w:val="88"/>
    <w:autoRedefine/>
    <w:qFormat/>
    <w:uiPriority w:val="0"/>
    <w:pPr>
      <w:widowControl w:val="0"/>
      <w:adjustRightInd w:val="0"/>
      <w:spacing w:line="288" w:lineRule="auto"/>
      <w:jc w:val="center"/>
      <w:textAlignment w:val="baseline"/>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924">
    <w:name w:val="网格型9"/>
    <w:basedOn w:val="88"/>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925">
    <w:name w:val="网格型 522"/>
    <w:basedOn w:val="88"/>
    <w:autoRedefine/>
    <w:qFormat/>
    <w:uiPriority w:val="0"/>
    <w:pPr>
      <w:widowControl w:val="0"/>
      <w:adjustRightInd w:val="0"/>
      <w:spacing w:line="288" w:lineRule="auto"/>
      <w:jc w:val="center"/>
      <w:textAlignment w:val="baseline"/>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926">
    <w:name w:val="表格样式2"/>
    <w:basedOn w:val="88"/>
    <w:autoRedefine/>
    <w:qFormat/>
    <w:uiPriority w:val="0"/>
    <w:pPr>
      <w:snapToGrid w:val="0"/>
      <w:jc w:val="center"/>
      <w:textAlignment w:val="center"/>
    </w:pPr>
    <w:rPr>
      <w:rFonts w:eastAsia="仿宋_GB2312"/>
      <w:snapToGrid w:val="0"/>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tcMar>
        <w:top w:w="28" w:type="dxa"/>
        <w:bottom w:w="28" w:type="dxa"/>
      </w:tcMar>
      <w:vAlign w:val="center"/>
    </w:tcPr>
  </w:style>
  <w:style w:type="table" w:customStyle="1" w:styleId="1927">
    <w:name w:val="表格样式12"/>
    <w:basedOn w:val="88"/>
    <w:autoRedefine/>
    <w:qFormat/>
    <w:uiPriority w:val="0"/>
    <w:pPr>
      <w:snapToGrid w:val="0"/>
      <w:jc w:val="center"/>
      <w:textAlignment w:val="center"/>
    </w:pPr>
    <w:rPr>
      <w:rFonts w:eastAsia="仿宋_GB2312"/>
      <w:snapToGrid w:val="0"/>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tcMar>
        <w:top w:w="28" w:type="dxa"/>
        <w:bottom w:w="28" w:type="dxa"/>
      </w:tcMar>
      <w:vAlign w:val="center"/>
    </w:tcPr>
  </w:style>
  <w:style w:type="table" w:customStyle="1" w:styleId="1928">
    <w:name w:val="网格型10"/>
    <w:basedOn w:val="88"/>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929">
    <w:name w:val="表格主题2"/>
    <w:basedOn w:val="88"/>
    <w:autoRedefine/>
    <w:qFormat/>
    <w:uiPriority w:val="0"/>
    <w:pPr>
      <w:widowControl w:val="0"/>
      <w:spacing w:line="240" w:lineRule="exact"/>
      <w:jc w:val="center"/>
    </w:p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trPr>
      <w:tblHeader/>
    </w:trPr>
    <w:tcPr>
      <w:vAlign w:val="center"/>
    </w:tcPr>
  </w:style>
  <w:style w:type="table" w:customStyle="1" w:styleId="1930">
    <w:name w:val="表格样式11"/>
    <w:basedOn w:val="88"/>
    <w:autoRedefine/>
    <w:qFormat/>
    <w:uiPriority w:val="0"/>
    <w:pPr>
      <w:snapToGrid w:val="0"/>
      <w:jc w:val="center"/>
      <w:textAlignment w:val="center"/>
    </w:pPr>
    <w:rPr>
      <w:rFonts w:eastAsia="仿宋_GB2312"/>
      <w:snapToGrid w:val="0"/>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tcMar>
        <w:top w:w="28" w:type="dxa"/>
        <w:bottom w:w="28" w:type="dxa"/>
      </w:tcMar>
      <w:vAlign w:val="center"/>
    </w:tcPr>
  </w:style>
  <w:style w:type="table" w:customStyle="1" w:styleId="1931">
    <w:name w:val="网格型 64"/>
    <w:basedOn w:val="88"/>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932">
    <w:name w:val="网格型 62"/>
    <w:basedOn w:val="88"/>
    <w:autoRedefine/>
    <w:qFormat/>
    <w:uiPriority w:val="0"/>
    <w:pPr>
      <w:widowControl w:val="0"/>
      <w:adjustRightInd w:val="0"/>
      <w:snapToGrid w:val="0"/>
      <w:spacing w:line="348" w:lineRule="auto"/>
      <w:ind w:firstLine="560" w:firstLineChars="20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933">
    <w:name w:val="MFS表格"/>
    <w:basedOn w:val="88"/>
    <w:autoRedefine/>
    <w:qFormat/>
    <w:uiPriority w:val="0"/>
    <w:pPr>
      <w:widowControl w:val="0"/>
      <w:snapToGrid w:val="0"/>
      <w:jc w:val="center"/>
    </w:pPr>
    <w:rPr>
      <w:sz w:val="18"/>
    </w:rPr>
    <w:tblPr>
      <w:tblBorders>
        <w:top w:val="single" w:color="000000" w:sz="12" w:space="0"/>
        <w:bottom w:val="single" w:color="000000" w:sz="12" w:space="0"/>
        <w:insideH w:val="single" w:color="000000" w:sz="6" w:space="0"/>
        <w:insideV w:val="single" w:color="000000" w:sz="6" w:space="0"/>
      </w:tblBorders>
    </w:tblPr>
    <w:tcPr>
      <w:shd w:val="clear" w:color="auto" w:fill="auto"/>
      <w:vAlign w:val="center"/>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934">
    <w:name w:val="网格型 5211"/>
    <w:basedOn w:val="88"/>
    <w:autoRedefine/>
    <w:qFormat/>
    <w:uiPriority w:val="0"/>
    <w:pPr>
      <w:widowControl w:val="0"/>
      <w:adjustRightInd w:val="0"/>
      <w:jc w:val="both"/>
      <w:textAlignment w:val="baseline"/>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935">
    <w:name w:val="网格型111"/>
    <w:basedOn w:val="88"/>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936">
    <w:name w:val="报告表格"/>
    <w:basedOn w:val="89"/>
    <w:autoRedefine/>
    <w:qFormat/>
    <w:uiPriority w:val="0"/>
    <w:pPr>
      <w:widowControl w:val="0"/>
      <w:jc w:val="center"/>
    </w:pPr>
    <w:rPr>
      <w:sz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vAlign w:val="center"/>
    </w:tcPr>
  </w:style>
  <w:style w:type="table" w:customStyle="1" w:styleId="1937">
    <w:name w:val="网格型 63"/>
    <w:basedOn w:val="88"/>
    <w:autoRedefine/>
    <w:qFormat/>
    <w:uiPriority w:val="0"/>
    <w:pPr>
      <w:widowControl w:val="0"/>
      <w:adjustRightInd w:val="0"/>
      <w:snapToGrid w:val="0"/>
      <w:spacing w:line="348" w:lineRule="auto"/>
      <w:ind w:firstLine="560" w:firstLineChars="20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938">
    <w:name w:val="网格型 511"/>
    <w:basedOn w:val="88"/>
    <w:autoRedefine/>
    <w:qFormat/>
    <w:uiPriority w:val="0"/>
    <w:pPr>
      <w:widowControl w:val="0"/>
      <w:adjustRightInd w:val="0"/>
      <w:snapToGrid w:val="0"/>
      <w:spacing w:line="348" w:lineRule="auto"/>
      <w:ind w:firstLine="200" w:firstLineChars="20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939">
    <w:name w:val="网格型6"/>
    <w:basedOn w:val="88"/>
    <w:autoRedefine/>
    <w:qFormat/>
    <w:uiPriority w:val="0"/>
    <w:pPr>
      <w:widowControl w:val="0"/>
      <w:adjustRightInd w:val="0"/>
      <w:snapToGrid w:val="0"/>
      <w:spacing w:line="348"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40">
    <w:name w:val="网格型 52111"/>
    <w:basedOn w:val="88"/>
    <w:autoRedefine/>
    <w:qFormat/>
    <w:uiPriority w:val="0"/>
    <w:pPr>
      <w:widowControl w:val="0"/>
      <w:adjustRightInd w:val="0"/>
      <w:spacing w:line="288" w:lineRule="auto"/>
      <w:jc w:val="center"/>
      <w:textAlignment w:val="baseline"/>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941">
    <w:name w:val="专业型11"/>
    <w:basedOn w:val="88"/>
    <w:autoRedefine/>
    <w:qFormat/>
    <w:uiPriority w:val="0"/>
    <w:pPr>
      <w:widowControl w:val="0"/>
      <w:jc w:val="center"/>
    </w:pPr>
    <w:rPr>
      <w:rFonts w:eastAsia="Times New Roman"/>
    </w:rPr>
    <w:tblPr>
      <w:tblBorders>
        <w:top w:val="single" w:color="000000" w:sz="12" w:space="0"/>
        <w:bottom w:val="single" w:color="000000" w:sz="12" w:space="0"/>
        <w:insideH w:val="single" w:color="000000" w:sz="6" w:space="0"/>
        <w:insideV w:val="single" w:color="000000" w:sz="6" w:space="0"/>
      </w:tblBorders>
    </w:tblPr>
    <w:tcPr>
      <w:shd w:val="clear" w:color="auto" w:fill="auto"/>
      <w:vAlign w:val="center"/>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1942">
    <w:name w:val="网格型2"/>
    <w:basedOn w:val="8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43">
    <w:name w:val="网格型3"/>
    <w:basedOn w:val="8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44">
    <w:name w:val="网格型4"/>
    <w:basedOn w:val="8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45">
    <w:name w:val="网格型5"/>
    <w:basedOn w:val="8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46">
    <w:name w:val="网格型 52"/>
    <w:basedOn w:val="88"/>
    <w:autoRedefine/>
    <w:qFormat/>
    <w:uiPriority w:val="0"/>
    <w:pPr>
      <w:widowControl w:val="0"/>
      <w:adjustRightInd w:val="0"/>
      <w:jc w:val="both"/>
      <w:textAlignment w:val="baseline"/>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947">
    <w:name w:val="网格型7"/>
    <w:basedOn w:val="88"/>
    <w:autoRedefine/>
    <w:qFormat/>
    <w:uiPriority w:val="0"/>
    <w:pPr>
      <w:widowControl w:val="0"/>
      <w:adjustRightInd w:val="0"/>
      <w:snapToGrid w:val="0"/>
      <w:spacing w:line="348" w:lineRule="auto"/>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48">
    <w:name w:val="网格型 53"/>
    <w:basedOn w:val="88"/>
    <w:autoRedefine/>
    <w:qFormat/>
    <w:uiPriority w:val="0"/>
    <w:pPr>
      <w:widowControl w:val="0"/>
      <w:adjustRightInd w:val="0"/>
      <w:snapToGrid w:val="0"/>
      <w:spacing w:line="288" w:lineRule="auto"/>
      <w:jc w:val="center"/>
    </w:pPr>
    <w:tblPr>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rPr>
      <w:jc w:val="center"/>
    </w:trPr>
    <w:tcPr>
      <w:shd w:val="clear" w:color="auto" w:fill="auto"/>
      <w:vAlign w:val="center"/>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949">
    <w:name w:val="网格型 54"/>
    <w:basedOn w:val="88"/>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950">
    <w:name w:val="表格主题11"/>
    <w:basedOn w:val="88"/>
    <w:autoRedefine/>
    <w:qFormat/>
    <w:uiPriority w:val="0"/>
    <w:pPr>
      <w:widowControl w:val="0"/>
      <w:spacing w:line="240" w:lineRule="exact"/>
      <w:jc w:val="center"/>
    </w:p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trPr>
      <w:tblHeader/>
    </w:trPr>
    <w:tcPr>
      <w:vAlign w:val="center"/>
    </w:tcPr>
  </w:style>
  <w:style w:type="table" w:customStyle="1" w:styleId="1951">
    <w:name w:val="网格型8"/>
    <w:basedOn w:val="88"/>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952">
    <w:name w:val="网格型 611"/>
    <w:basedOn w:val="88"/>
    <w:autoRedefine/>
    <w:qFormat/>
    <w:uiPriority w:val="0"/>
    <w:pPr>
      <w:widowControl w:val="0"/>
      <w:adjustRightInd w:val="0"/>
      <w:snapToGrid w:val="0"/>
      <w:spacing w:line="348" w:lineRule="auto"/>
      <w:ind w:firstLine="560" w:firstLineChars="20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953">
    <w:name w:val="表格主题3"/>
    <w:basedOn w:val="88"/>
    <w:autoRedefine/>
    <w:qFormat/>
    <w:uiPriority w:val="0"/>
    <w:pPr>
      <w:widowControl w:val="0"/>
      <w:spacing w:line="240" w:lineRule="exact"/>
      <w:jc w:val="center"/>
    </w:p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trPr>
      <w:tblHeader/>
    </w:trPr>
    <w:tcPr>
      <w:vAlign w:val="center"/>
    </w:tcPr>
  </w:style>
  <w:style w:type="table" w:customStyle="1" w:styleId="1954">
    <w:name w:val="表格样式4"/>
    <w:basedOn w:val="88"/>
    <w:autoRedefine/>
    <w:qFormat/>
    <w:uiPriority w:val="0"/>
    <w:pPr>
      <w:snapToGrid w:val="0"/>
      <w:jc w:val="center"/>
      <w:textAlignment w:val="center"/>
    </w:pPr>
    <w:rPr>
      <w:rFonts w:eastAsia="仿宋_GB2312"/>
      <w:snapToGrid w:val="0"/>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tcMar>
        <w:top w:w="28" w:type="dxa"/>
        <w:bottom w:w="28" w:type="dxa"/>
      </w:tcMar>
      <w:vAlign w:val="center"/>
    </w:tcPr>
  </w:style>
  <w:style w:type="table" w:customStyle="1" w:styleId="1955">
    <w:name w:val="网格型 523"/>
    <w:basedOn w:val="88"/>
    <w:autoRedefine/>
    <w:qFormat/>
    <w:uiPriority w:val="0"/>
    <w:pPr>
      <w:widowControl w:val="0"/>
      <w:adjustRightInd w:val="0"/>
      <w:spacing w:line="288" w:lineRule="auto"/>
      <w:jc w:val="center"/>
      <w:textAlignment w:val="baseline"/>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956">
    <w:name w:val="网格型81"/>
    <w:basedOn w:val="88"/>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7">
    <w:name w:val="表格样式13"/>
    <w:basedOn w:val="88"/>
    <w:autoRedefine/>
    <w:qFormat/>
    <w:uiPriority w:val="0"/>
    <w:pPr>
      <w:snapToGrid w:val="0"/>
      <w:jc w:val="center"/>
      <w:textAlignment w:val="center"/>
    </w:pPr>
    <w:rPr>
      <w:rFonts w:eastAsia="仿宋_GB2312"/>
      <w:snapToGrid w:val="0"/>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tcMar>
        <w:top w:w="28" w:type="dxa"/>
        <w:bottom w:w="28" w:type="dxa"/>
      </w:tcMar>
      <w:vAlign w:val="center"/>
    </w:tcPr>
  </w:style>
  <w:style w:type="table" w:customStyle="1" w:styleId="1958">
    <w:name w:val="网格型811"/>
    <w:basedOn w:val="88"/>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959">
    <w:name w:val="张红"/>
    <w:basedOn w:val="99"/>
    <w:autoRedefine/>
    <w:qFormat/>
    <w:uiPriority w:val="0"/>
    <w:pPr>
      <w:adjustRightInd/>
      <w:snapToGrid/>
      <w:spacing w:beforeLines="0" w:line="240" w:lineRule="auto"/>
      <w:ind w:firstLine="0" w:firstLineChars="0"/>
    </w:pPr>
    <w:rPr>
      <w:rFonts w:eastAsia="Times New Roman"/>
      <w:sz w:val="21"/>
    </w:rPr>
    <w:tblPr>
      <w:tblBorders>
        <w:top w:val="single" w:color="000000" w:sz="12" w:space="0"/>
        <w:bottom w:val="single" w:color="000000" w:sz="12" w:space="0"/>
        <w:insideH w:val="single" w:color="000000" w:sz="4" w:space="0"/>
        <w:insideV w:val="single" w:color="000000" w:sz="4"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960">
    <w:name w:val="简明型 111"/>
    <w:basedOn w:val="88"/>
    <w:autoRedefine/>
    <w:qFormat/>
    <w:uiPriority w:val="0"/>
    <w:pPr>
      <w:widowControl w:val="0"/>
      <w:adjustRightInd w:val="0"/>
      <w:snapToGrid w:val="0"/>
      <w:spacing w:line="348" w:lineRule="auto"/>
      <w:ind w:firstLine="200" w:firstLineChars="20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paragraph" w:customStyle="1" w:styleId="1961">
    <w:name w:val="样式 宋体 小五 居中 紧缩量  0.25 磅 行距: 单倍行距 首行缩进:  0 字符 右  0.22 字符"/>
    <w:basedOn w:val="1"/>
    <w:autoRedefine/>
    <w:qFormat/>
    <w:uiPriority w:val="99"/>
    <w:pPr>
      <w:tabs>
        <w:tab w:val="left" w:pos="1701"/>
      </w:tabs>
      <w:spacing w:line="240" w:lineRule="auto"/>
      <w:ind w:right="22" w:rightChars="22" w:firstLine="0" w:firstLineChars="0"/>
      <w:jc w:val="left"/>
    </w:pPr>
    <w:rPr>
      <w:rFonts w:ascii="宋体" w:hAnsi="宋体" w:cs="宋体"/>
      <w:spacing w:val="-5"/>
      <w:sz w:val="18"/>
    </w:rPr>
  </w:style>
  <w:style w:type="table" w:customStyle="1" w:styleId="1962">
    <w:name w:val="网格型13"/>
    <w:basedOn w:val="8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3">
    <w:name w:val="网格型14"/>
    <w:basedOn w:val="88"/>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4">
    <w:name w:val="网格型15"/>
    <w:basedOn w:val="88"/>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65">
    <w:name w:val="大气预测结果"/>
    <w:basedOn w:val="1"/>
    <w:autoRedefine/>
    <w:qFormat/>
    <w:uiPriority w:val="99"/>
    <w:pPr>
      <w:spacing w:line="240" w:lineRule="exact"/>
    </w:pPr>
  </w:style>
  <w:style w:type="paragraph" w:customStyle="1" w:styleId="1966">
    <w:name w:val="CQ一、"/>
    <w:basedOn w:val="5"/>
    <w:next w:val="1"/>
    <w:autoRedefine/>
    <w:qFormat/>
    <w:uiPriority w:val="99"/>
    <w:pPr>
      <w:keepNext w:val="0"/>
      <w:keepLines w:val="0"/>
      <w:numPr>
        <w:ilvl w:val="0"/>
        <w:numId w:val="0"/>
      </w:numPr>
      <w:adjustRightInd/>
      <w:snapToGrid/>
      <w:spacing w:line="360" w:lineRule="auto"/>
      <w:ind w:firstLine="200" w:firstLineChars="200"/>
    </w:pPr>
    <w:rPr>
      <w:rFonts w:eastAsia="黑体"/>
      <w:sz w:val="30"/>
      <w:lang w:val="en-US"/>
    </w:rPr>
  </w:style>
  <w:style w:type="paragraph" w:customStyle="1" w:styleId="1967">
    <w:name w:val="潼南文本正文"/>
    <w:basedOn w:val="1"/>
    <w:link w:val="1968"/>
    <w:autoRedefine/>
    <w:qFormat/>
    <w:uiPriority w:val="99"/>
    <w:pPr>
      <w:adjustRightInd/>
      <w:snapToGrid/>
      <w:spacing w:after="100" w:line="288" w:lineRule="auto"/>
      <w:ind w:left="350" w:leftChars="350" w:firstLine="0" w:firstLineChars="0"/>
    </w:pPr>
    <w:rPr>
      <w:rFonts w:ascii="Calibri" w:hAnsi="Calibri"/>
      <w:szCs w:val="24"/>
      <w:lang w:val="zh-CN"/>
    </w:rPr>
  </w:style>
  <w:style w:type="character" w:customStyle="1" w:styleId="1968">
    <w:name w:val="潼南文本正文 Char"/>
    <w:link w:val="1967"/>
    <w:autoRedefine/>
    <w:qFormat/>
    <w:uiPriority w:val="0"/>
    <w:rPr>
      <w:kern w:val="2"/>
      <w:sz w:val="24"/>
      <w:szCs w:val="24"/>
      <w:lang w:val="zh-CN" w:eastAsia="zh-CN"/>
    </w:rPr>
  </w:style>
  <w:style w:type="paragraph" w:customStyle="1" w:styleId="1969">
    <w:name w:val="正文文本缩进2"/>
    <w:basedOn w:val="1"/>
    <w:autoRedefine/>
    <w:qFormat/>
    <w:uiPriority w:val="0"/>
    <w:pPr>
      <w:widowControl/>
      <w:adjustRightInd/>
      <w:snapToGrid/>
      <w:spacing w:after="120" w:line="360" w:lineRule="auto"/>
      <w:ind w:left="420" w:leftChars="200"/>
    </w:pPr>
    <w:rPr>
      <w:rFonts w:ascii="Calibri" w:hAnsi="Calibri"/>
      <w:kern w:val="0"/>
      <w:szCs w:val="24"/>
      <w:lang w:val="zh-CN"/>
    </w:rPr>
  </w:style>
  <w:style w:type="paragraph" w:customStyle="1" w:styleId="1970">
    <w:name w:val="表格 仿宋 居中"/>
    <w:basedOn w:val="1"/>
    <w:autoRedefine/>
    <w:qFormat/>
    <w:uiPriority w:val="99"/>
    <w:pPr>
      <w:adjustRightInd/>
      <w:snapToGrid/>
      <w:spacing w:line="240" w:lineRule="auto"/>
      <w:ind w:firstLine="0" w:firstLineChars="0"/>
      <w:jc w:val="center"/>
    </w:pPr>
    <w:rPr>
      <w:rFonts w:ascii="仿宋_GB2312" w:hAnsi="宋体" w:eastAsia="仿宋_GB2312" w:cs="宋体"/>
      <w:kern w:val="0"/>
      <w:sz w:val="21"/>
    </w:rPr>
  </w:style>
  <w:style w:type="table" w:customStyle="1" w:styleId="1971">
    <w:name w:val="网格型 12"/>
    <w:basedOn w:val="88"/>
    <w:autoRedefine/>
    <w:qFormat/>
    <w:uiPriority w:val="0"/>
    <w:pPr>
      <w:widowControl w:val="0"/>
      <w:adjustRightInd w:val="0"/>
      <w:snapToGrid w:val="0"/>
      <w:spacing w:beforeLines="10" w:line="460" w:lineRule="exact"/>
      <w:ind w:firstLine="200" w:firstLineChars="20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1972">
    <w:name w:val="专业网格11"/>
    <w:basedOn w:val="88"/>
    <w:autoRedefine/>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3">
    <w:name w:val="网格型 111"/>
    <w:basedOn w:val="88"/>
    <w:autoRedefine/>
    <w:qFormat/>
    <w:uiPriority w:val="0"/>
    <w:pPr>
      <w:widowControl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974">
    <w:name w:val="表格主题21"/>
    <w:basedOn w:val="88"/>
    <w:autoRedefine/>
    <w:qFormat/>
    <w:uiPriority w:val="0"/>
    <w:pPr>
      <w:widowControl w:val="0"/>
      <w:spacing w:line="240" w:lineRule="exact"/>
      <w:jc w:val="center"/>
    </w:p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trPr>
      <w:tblHeader/>
    </w:trPr>
    <w:tcPr>
      <w:vAlign w:val="center"/>
    </w:tcPr>
  </w:style>
  <w:style w:type="table" w:customStyle="1" w:styleId="1975">
    <w:name w:val="网格型 5111"/>
    <w:basedOn w:val="88"/>
    <w:autoRedefine/>
    <w:qFormat/>
    <w:uiPriority w:val="0"/>
    <w:pPr>
      <w:widowControl w:val="0"/>
      <w:adjustRightInd w:val="0"/>
      <w:snapToGrid w:val="0"/>
      <w:spacing w:line="348" w:lineRule="auto"/>
      <w:ind w:firstLine="200" w:firstLineChars="20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976">
    <w:name w:val="表格主题111"/>
    <w:basedOn w:val="88"/>
    <w:autoRedefine/>
    <w:qFormat/>
    <w:uiPriority w:val="0"/>
    <w:pPr>
      <w:widowControl w:val="0"/>
      <w:spacing w:line="240" w:lineRule="exact"/>
      <w:jc w:val="center"/>
    </w:p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trPr>
      <w:tblHeader/>
    </w:trPr>
    <w:tcPr>
      <w:vAlign w:val="center"/>
    </w:tcPr>
  </w:style>
  <w:style w:type="table" w:customStyle="1" w:styleId="1977">
    <w:name w:val="网格型 5231"/>
    <w:basedOn w:val="88"/>
    <w:autoRedefine/>
    <w:qFormat/>
    <w:uiPriority w:val="0"/>
    <w:pPr>
      <w:widowControl w:val="0"/>
      <w:adjustRightInd w:val="0"/>
      <w:spacing w:line="288" w:lineRule="auto"/>
      <w:jc w:val="center"/>
      <w:textAlignment w:val="baseline"/>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paragraph" w:customStyle="1" w:styleId="1978">
    <w:name w:val="中文报告书样式"/>
    <w:basedOn w:val="1"/>
    <w:autoRedefine/>
    <w:qFormat/>
    <w:uiPriority w:val="0"/>
    <w:pPr>
      <w:snapToGrid/>
      <w:spacing w:line="480" w:lineRule="atLeast"/>
      <w:ind w:firstLine="482" w:firstLineChars="0"/>
      <w:textAlignment w:val="baseline"/>
    </w:pPr>
    <w:rPr>
      <w:kern w:val="24"/>
    </w:rPr>
  </w:style>
  <w:style w:type="character" w:customStyle="1" w:styleId="1979">
    <w:name w:val="样式 样式 首行缩进:  0.85 厘米 + 段前: 0.5 行 Char1"/>
    <w:link w:val="1980"/>
    <w:autoRedefine/>
    <w:qFormat/>
    <w:uiPriority w:val="0"/>
    <w:rPr>
      <w:kern w:val="2"/>
      <w:sz w:val="24"/>
    </w:rPr>
  </w:style>
  <w:style w:type="paragraph" w:customStyle="1" w:styleId="1980">
    <w:name w:val="样式 样式 首行缩进:  0.85 厘米 + 段前: 0.5 行"/>
    <w:basedOn w:val="1"/>
    <w:link w:val="1979"/>
    <w:autoRedefine/>
    <w:qFormat/>
    <w:uiPriority w:val="0"/>
    <w:pPr>
      <w:adjustRightInd/>
      <w:snapToGrid/>
      <w:spacing w:before="50" w:line="360" w:lineRule="auto"/>
      <w:ind w:firstLine="482" w:firstLineChars="0"/>
    </w:pPr>
    <w:rPr>
      <w:rFonts w:ascii="Calibri" w:hAnsi="Calibri"/>
      <w:lang w:val="zh-CN"/>
    </w:rPr>
  </w:style>
  <w:style w:type="character" w:customStyle="1" w:styleId="1981">
    <w:name w:val="表格1 Char"/>
    <w:link w:val="348"/>
    <w:autoRedefine/>
    <w:qFormat/>
    <w:uiPriority w:val="0"/>
    <w:rPr>
      <w:kern w:val="2"/>
      <w:sz w:val="21"/>
      <w:szCs w:val="21"/>
      <w:lang w:val="zh-CN"/>
    </w:rPr>
  </w:style>
  <w:style w:type="paragraph" w:customStyle="1" w:styleId="1982">
    <w:name w:val="gegg"/>
    <w:basedOn w:val="1"/>
    <w:autoRedefine/>
    <w:qFormat/>
    <w:uiPriority w:val="0"/>
    <w:pPr>
      <w:adjustRightInd/>
      <w:snapToGrid/>
      <w:spacing w:line="300" w:lineRule="exact"/>
      <w:ind w:firstLine="0" w:firstLineChars="0"/>
    </w:pPr>
    <w:rPr>
      <w:sz w:val="21"/>
      <w:szCs w:val="28"/>
    </w:rPr>
  </w:style>
  <w:style w:type="paragraph" w:customStyle="1" w:styleId="1983">
    <w:name w:val="表头图头"/>
    <w:basedOn w:val="1"/>
    <w:link w:val="1984"/>
    <w:autoRedefine/>
    <w:qFormat/>
    <w:uiPriority w:val="0"/>
    <w:pPr>
      <w:ind w:firstLine="0" w:firstLineChars="0"/>
      <w:jc w:val="center"/>
    </w:pPr>
    <w:rPr>
      <w:b/>
      <w:bCs/>
      <w:szCs w:val="22"/>
    </w:rPr>
  </w:style>
  <w:style w:type="character" w:customStyle="1" w:styleId="1984">
    <w:name w:val="表头图头 字符"/>
    <w:link w:val="1983"/>
    <w:autoRedefine/>
    <w:qFormat/>
    <w:uiPriority w:val="0"/>
    <w:rPr>
      <w:rFonts w:ascii="Times New Roman" w:hAnsi="Times New Roman"/>
      <w:b/>
      <w:bCs/>
      <w:kern w:val="2"/>
      <w:sz w:val="24"/>
      <w:szCs w:val="22"/>
    </w:rPr>
  </w:style>
  <w:style w:type="paragraph" w:customStyle="1" w:styleId="1985">
    <w:name w:val="zl正文"/>
    <w:basedOn w:val="1"/>
    <w:autoRedefine/>
    <w:qFormat/>
    <w:uiPriority w:val="0"/>
    <w:pPr>
      <w:adjustRightInd/>
      <w:snapToGrid/>
    </w:pPr>
    <w:rPr>
      <w:color w:val="000000"/>
      <w:szCs w:val="18"/>
    </w:rPr>
  </w:style>
  <w:style w:type="paragraph" w:customStyle="1" w:styleId="1986">
    <w:name w:val="标题  2"/>
    <w:basedOn w:val="4"/>
    <w:autoRedefine/>
    <w:qFormat/>
    <w:uiPriority w:val="0"/>
    <w:pPr>
      <w:textAlignment w:val="baseline"/>
    </w:pPr>
    <w:rPr>
      <w:rFonts w:cs="宋体"/>
      <w:snapToGrid w:val="0"/>
      <w:kern w:val="0"/>
      <w:szCs w:val="20"/>
      <w:lang w:val="en-US"/>
    </w:rPr>
  </w:style>
  <w:style w:type="paragraph" w:customStyle="1" w:styleId="1987">
    <w:name w:val="环评报告正文"/>
    <w:basedOn w:val="1"/>
    <w:link w:val="1988"/>
    <w:autoRedefine/>
    <w:qFormat/>
    <w:uiPriority w:val="0"/>
    <w:pPr>
      <w:adjustRightInd/>
      <w:snapToGrid/>
      <w:spacing w:line="360" w:lineRule="auto"/>
      <w:ind w:firstLine="480"/>
    </w:pPr>
    <w:rPr>
      <w:color w:val="000000"/>
      <w:szCs w:val="24"/>
    </w:rPr>
  </w:style>
  <w:style w:type="character" w:customStyle="1" w:styleId="1988">
    <w:name w:val="环评报告正文 Char"/>
    <w:basedOn w:val="133"/>
    <w:link w:val="1987"/>
    <w:autoRedefine/>
    <w:qFormat/>
    <w:uiPriority w:val="0"/>
    <w:rPr>
      <w:rFonts w:ascii="Times New Roman" w:hAnsi="Times New Roman"/>
      <w:color w:val="000000"/>
      <w:kern w:val="2"/>
      <w:sz w:val="24"/>
      <w:szCs w:val="24"/>
    </w:rPr>
  </w:style>
  <w:style w:type="paragraph" w:customStyle="1" w:styleId="1989">
    <w:name w:val="标题  3"/>
    <w:basedOn w:val="5"/>
    <w:autoRedefine/>
    <w:qFormat/>
    <w:uiPriority w:val="0"/>
    <w:pPr>
      <w:tabs>
        <w:tab w:val="left" w:pos="0"/>
      </w:tabs>
      <w:textAlignment w:val="baseline"/>
    </w:pPr>
    <w:rPr>
      <w:rFonts w:cs="宋体"/>
      <w:snapToGrid w:val="0"/>
      <w:kern w:val="0"/>
      <w:szCs w:val="20"/>
      <w:lang w:val="en-US"/>
    </w:rPr>
  </w:style>
  <w:style w:type="paragraph" w:customStyle="1" w:styleId="1990">
    <w:name w:val="我的正文"/>
    <w:basedOn w:val="1"/>
    <w:link w:val="2563"/>
    <w:autoRedefine/>
    <w:qFormat/>
    <w:uiPriority w:val="0"/>
    <w:pPr>
      <w:adjustRightInd/>
      <w:snapToGrid/>
      <w:spacing w:line="360" w:lineRule="auto"/>
      <w:ind w:firstLine="420"/>
    </w:pPr>
    <w:rPr>
      <w:szCs w:val="24"/>
    </w:rPr>
  </w:style>
  <w:style w:type="character" w:customStyle="1" w:styleId="1991">
    <w:name w:val="@他1"/>
    <w:autoRedefine/>
    <w:unhideWhenUsed/>
    <w:qFormat/>
    <w:uiPriority w:val="99"/>
    <w:rPr>
      <w:color w:val="2B579A"/>
      <w:shd w:val="clear" w:color="auto" w:fill="E6E6E6"/>
    </w:rPr>
  </w:style>
  <w:style w:type="character" w:customStyle="1" w:styleId="1992">
    <w:name w:val="font321"/>
    <w:autoRedefine/>
    <w:qFormat/>
    <w:uiPriority w:val="0"/>
    <w:rPr>
      <w:rFonts w:hint="eastAsia" w:ascii="宋体" w:hAnsi="宋体" w:eastAsia="宋体"/>
      <w:color w:val="000000"/>
      <w:sz w:val="24"/>
      <w:szCs w:val="24"/>
      <w:u w:val="none"/>
    </w:rPr>
  </w:style>
  <w:style w:type="character" w:customStyle="1" w:styleId="1993">
    <w:name w:val="font101"/>
    <w:basedOn w:val="133"/>
    <w:autoRedefine/>
    <w:qFormat/>
    <w:uiPriority w:val="0"/>
    <w:rPr>
      <w:rFonts w:hint="default" w:ascii="Times New Roman" w:hAnsi="Times New Roman" w:cs="Times New Roman"/>
      <w:color w:val="000000"/>
      <w:sz w:val="22"/>
      <w:szCs w:val="22"/>
      <w:u w:val="none"/>
      <w:vertAlign w:val="superscript"/>
    </w:rPr>
  </w:style>
  <w:style w:type="character" w:customStyle="1" w:styleId="1994">
    <w:name w:val="00000 Char"/>
    <w:link w:val="1995"/>
    <w:autoRedefine/>
    <w:qFormat/>
    <w:uiPriority w:val="0"/>
    <w:rPr>
      <w:rFonts w:ascii="Arial" w:hAnsi="Arial" w:cs="Arial"/>
      <w:color w:val="92D050"/>
      <w:kern w:val="2"/>
      <w:sz w:val="24"/>
      <w:szCs w:val="24"/>
    </w:rPr>
  </w:style>
  <w:style w:type="paragraph" w:customStyle="1" w:styleId="1995">
    <w:name w:val="00000"/>
    <w:basedOn w:val="1"/>
    <w:link w:val="1994"/>
    <w:autoRedefine/>
    <w:qFormat/>
    <w:uiPriority w:val="99"/>
    <w:pPr>
      <w:adjustRightInd/>
      <w:snapToGrid/>
      <w:spacing w:line="360" w:lineRule="auto"/>
      <w:ind w:firstLine="480" w:firstLineChars="0"/>
    </w:pPr>
    <w:rPr>
      <w:rFonts w:ascii="Arial" w:hAnsi="Arial" w:cs="Arial"/>
      <w:color w:val="92D050"/>
      <w:szCs w:val="24"/>
    </w:rPr>
  </w:style>
  <w:style w:type="character" w:customStyle="1" w:styleId="1996">
    <w:name w:val="font271"/>
    <w:autoRedefine/>
    <w:qFormat/>
    <w:uiPriority w:val="0"/>
    <w:rPr>
      <w:rFonts w:hint="eastAsia" w:ascii="宋体" w:hAnsi="宋体" w:eastAsia="宋体"/>
      <w:color w:val="000000"/>
      <w:sz w:val="22"/>
      <w:szCs w:val="22"/>
      <w:u w:val="none"/>
    </w:rPr>
  </w:style>
  <w:style w:type="character" w:customStyle="1" w:styleId="1997">
    <w:name w:val="font122"/>
    <w:basedOn w:val="133"/>
    <w:autoRedefine/>
    <w:qFormat/>
    <w:uiPriority w:val="0"/>
    <w:rPr>
      <w:rFonts w:hint="eastAsia" w:ascii="宋体" w:hAnsi="宋体" w:eastAsia="宋体" w:cs="宋体"/>
      <w:color w:val="000000"/>
      <w:sz w:val="24"/>
      <w:szCs w:val="24"/>
      <w:u w:val="none"/>
    </w:rPr>
  </w:style>
  <w:style w:type="character" w:customStyle="1" w:styleId="1998">
    <w:name w:val="表格内文本 Char"/>
    <w:link w:val="1999"/>
    <w:autoRedefine/>
    <w:qFormat/>
    <w:uiPriority w:val="0"/>
    <w:rPr>
      <w:rFonts w:eastAsia="Times New Roman"/>
      <w:sz w:val="24"/>
    </w:rPr>
  </w:style>
  <w:style w:type="paragraph" w:customStyle="1" w:styleId="1999">
    <w:name w:val="表格内文本"/>
    <w:basedOn w:val="1"/>
    <w:link w:val="1998"/>
    <w:autoRedefine/>
    <w:qFormat/>
    <w:uiPriority w:val="99"/>
    <w:pPr>
      <w:widowControl/>
      <w:adjustRightInd/>
      <w:snapToGrid/>
      <w:spacing w:line="360" w:lineRule="auto"/>
      <w:ind w:firstLine="0" w:firstLineChars="0"/>
      <w:jc w:val="center"/>
    </w:pPr>
    <w:rPr>
      <w:rFonts w:ascii="Calibri" w:hAnsi="Calibri" w:eastAsia="Times New Roman"/>
      <w:kern w:val="0"/>
    </w:rPr>
  </w:style>
  <w:style w:type="character" w:customStyle="1" w:styleId="2000">
    <w:name w:val="列表项目符号 3 字符"/>
    <w:link w:val="33"/>
    <w:autoRedefine/>
    <w:qFormat/>
    <w:uiPriority w:val="0"/>
    <w:rPr>
      <w:rFonts w:ascii="宋体"/>
      <w:snapToGrid w:val="0"/>
      <w:kern w:val="28"/>
      <w:sz w:val="26"/>
      <w:szCs w:val="26"/>
    </w:rPr>
  </w:style>
  <w:style w:type="character" w:customStyle="1" w:styleId="2001">
    <w:name w:val="font231"/>
    <w:basedOn w:val="133"/>
    <w:autoRedefine/>
    <w:qFormat/>
    <w:uiPriority w:val="0"/>
    <w:rPr>
      <w:rFonts w:hint="default" w:ascii="Times New Roman" w:hAnsi="Times New Roman" w:cs="Times New Roman"/>
      <w:color w:val="000000"/>
      <w:sz w:val="24"/>
      <w:szCs w:val="24"/>
      <w:u w:val="none"/>
      <w:vertAlign w:val="subscript"/>
    </w:rPr>
  </w:style>
  <w:style w:type="character" w:customStyle="1" w:styleId="2002">
    <w:name w:val="font161"/>
    <w:basedOn w:val="133"/>
    <w:autoRedefine/>
    <w:qFormat/>
    <w:uiPriority w:val="0"/>
    <w:rPr>
      <w:rFonts w:hint="eastAsia" w:ascii="宋体" w:hAnsi="宋体" w:eastAsia="宋体" w:cs="宋体"/>
      <w:color w:val="000000"/>
      <w:sz w:val="24"/>
      <w:szCs w:val="24"/>
      <w:u w:val="none"/>
    </w:rPr>
  </w:style>
  <w:style w:type="character" w:customStyle="1" w:styleId="2003">
    <w:name w:val="font111"/>
    <w:basedOn w:val="133"/>
    <w:autoRedefine/>
    <w:qFormat/>
    <w:uiPriority w:val="0"/>
    <w:rPr>
      <w:rFonts w:hint="eastAsia" w:ascii="宋体" w:hAnsi="宋体" w:eastAsia="宋体" w:cs="宋体"/>
      <w:b/>
      <w:color w:val="000000"/>
      <w:sz w:val="22"/>
      <w:szCs w:val="22"/>
      <w:u w:val="none"/>
    </w:rPr>
  </w:style>
  <w:style w:type="character" w:customStyle="1" w:styleId="2004">
    <w:name w:val="font112"/>
    <w:basedOn w:val="133"/>
    <w:autoRedefine/>
    <w:qFormat/>
    <w:uiPriority w:val="0"/>
    <w:rPr>
      <w:rFonts w:hint="default" w:ascii="Arial" w:hAnsi="Arial" w:cs="Arial"/>
      <w:color w:val="000000"/>
      <w:sz w:val="24"/>
      <w:szCs w:val="24"/>
      <w:u w:val="none"/>
      <w:vertAlign w:val="superscript"/>
    </w:rPr>
  </w:style>
  <w:style w:type="character" w:customStyle="1" w:styleId="2005">
    <w:name w:val="ziti1"/>
    <w:autoRedefine/>
    <w:qFormat/>
    <w:uiPriority w:val="0"/>
    <w:rPr>
      <w:rFonts w:hint="default" w:ascii="ˎ̥" w:hAnsi="ˎ̥"/>
      <w:color w:val="333333"/>
      <w:sz w:val="21"/>
      <w:szCs w:val="21"/>
      <w:u w:val="none"/>
    </w:rPr>
  </w:style>
  <w:style w:type="character" w:customStyle="1" w:styleId="2006">
    <w:name w:val="font221"/>
    <w:basedOn w:val="133"/>
    <w:autoRedefine/>
    <w:qFormat/>
    <w:uiPriority w:val="0"/>
    <w:rPr>
      <w:rFonts w:hint="default" w:ascii="Times New Roman" w:hAnsi="Times New Roman" w:cs="Times New Roman"/>
      <w:b/>
      <w:i/>
      <w:color w:val="000000"/>
      <w:sz w:val="24"/>
      <w:szCs w:val="24"/>
      <w:u w:val="none"/>
    </w:rPr>
  </w:style>
  <w:style w:type="character" w:customStyle="1" w:styleId="2007">
    <w:name w:val="标题10"/>
    <w:basedOn w:val="133"/>
    <w:autoRedefine/>
    <w:qFormat/>
    <w:uiPriority w:val="0"/>
  </w:style>
  <w:style w:type="character" w:customStyle="1" w:styleId="2008">
    <w:name w:val="font311"/>
    <w:autoRedefine/>
    <w:qFormat/>
    <w:uiPriority w:val="0"/>
    <w:rPr>
      <w:rFonts w:hint="default" w:ascii="Times New Roman" w:hAnsi="Times New Roman" w:cs="Times New Roman"/>
      <w:color w:val="000000"/>
      <w:sz w:val="24"/>
      <w:szCs w:val="24"/>
      <w:u w:val="none"/>
    </w:rPr>
  </w:style>
  <w:style w:type="character" w:customStyle="1" w:styleId="2009">
    <w:name w:val="fond1"/>
    <w:autoRedefine/>
    <w:qFormat/>
    <w:uiPriority w:val="0"/>
    <w:rPr>
      <w:sz w:val="22"/>
      <w:szCs w:val="22"/>
      <w:u w:val="none"/>
    </w:rPr>
  </w:style>
  <w:style w:type="character" w:customStyle="1" w:styleId="2010">
    <w:name w:val="样式 标题 2 + (西文) Times New Roman (中文) 宋体 Char"/>
    <w:link w:val="2011"/>
    <w:autoRedefine/>
    <w:qFormat/>
    <w:uiPriority w:val="99"/>
  </w:style>
  <w:style w:type="paragraph" w:customStyle="1" w:styleId="2011">
    <w:name w:val="样式 标题 2 + (西文) Times New Roman (中文) 宋体"/>
    <w:basedOn w:val="4"/>
    <w:link w:val="2010"/>
    <w:autoRedefine/>
    <w:qFormat/>
    <w:uiPriority w:val="99"/>
    <w:pPr>
      <w:tabs>
        <w:tab w:val="left" w:pos="0"/>
      </w:tabs>
      <w:adjustRightInd/>
      <w:snapToGrid/>
      <w:spacing w:beforeLines="100" w:afterLines="100" w:line="360" w:lineRule="auto"/>
      <w:ind w:left="0"/>
    </w:pPr>
    <w:rPr>
      <w:b w:val="0"/>
      <w:bCs w:val="0"/>
      <w:kern w:val="0"/>
      <w:sz w:val="20"/>
      <w:szCs w:val="20"/>
      <w:lang w:val="en-US"/>
    </w:rPr>
  </w:style>
  <w:style w:type="character" w:customStyle="1" w:styleId="2012">
    <w:name w:val="正文文本 Char2 Char1"/>
    <w:autoRedefine/>
    <w:qFormat/>
    <w:uiPriority w:val="0"/>
    <w:rPr>
      <w:rFonts w:eastAsia="宋体"/>
      <w:kern w:val="2"/>
      <w:sz w:val="24"/>
      <w:lang w:val="en-US" w:eastAsia="zh-CN" w:bidi="ar-SA"/>
    </w:rPr>
  </w:style>
  <w:style w:type="character" w:customStyle="1" w:styleId="2013">
    <w:name w:val="二级0000 Char"/>
    <w:link w:val="2014"/>
    <w:autoRedefine/>
    <w:qFormat/>
    <w:uiPriority w:val="99"/>
    <w:rPr>
      <w:rFonts w:ascii="Arial" w:hAnsi="Arial" w:eastAsia="黑体" w:cs="Arial"/>
      <w:b/>
      <w:bCs/>
      <w:color w:val="FF0000"/>
      <w:kern w:val="2"/>
      <w:sz w:val="28"/>
      <w:szCs w:val="28"/>
    </w:rPr>
  </w:style>
  <w:style w:type="paragraph" w:customStyle="1" w:styleId="2014">
    <w:name w:val="二级0000"/>
    <w:basedOn w:val="4"/>
    <w:link w:val="2013"/>
    <w:autoRedefine/>
    <w:qFormat/>
    <w:uiPriority w:val="99"/>
    <w:pPr>
      <w:tabs>
        <w:tab w:val="left" w:pos="0"/>
        <w:tab w:val="left" w:pos="210"/>
        <w:tab w:val="left" w:pos="283"/>
        <w:tab w:val="left" w:pos="420"/>
        <w:tab w:val="left" w:pos="567"/>
        <w:tab w:val="left" w:pos="2835"/>
      </w:tabs>
      <w:adjustRightInd/>
      <w:snapToGrid/>
      <w:spacing w:beforeLines="50" w:line="480" w:lineRule="auto"/>
      <w:ind w:left="0"/>
    </w:pPr>
    <w:rPr>
      <w:rFonts w:ascii="Arial" w:hAnsi="Arial" w:eastAsia="黑体" w:cs="Arial"/>
      <w:color w:val="FF0000"/>
      <w:sz w:val="28"/>
      <w:szCs w:val="28"/>
      <w:lang w:val="en-US"/>
    </w:rPr>
  </w:style>
  <w:style w:type="character" w:customStyle="1" w:styleId="2015">
    <w:name w:val="font201"/>
    <w:basedOn w:val="133"/>
    <w:autoRedefine/>
    <w:qFormat/>
    <w:uiPriority w:val="0"/>
    <w:rPr>
      <w:rFonts w:hint="default" w:ascii="Times New Roman" w:hAnsi="Times New Roman" w:cs="Times New Roman"/>
      <w:b/>
      <w:i/>
      <w:color w:val="000000"/>
      <w:sz w:val="24"/>
      <w:szCs w:val="24"/>
      <w:u w:val="none"/>
      <w:vertAlign w:val="superscript"/>
    </w:rPr>
  </w:style>
  <w:style w:type="character" w:customStyle="1" w:styleId="2016">
    <w:name w:val="font212"/>
    <w:basedOn w:val="133"/>
    <w:autoRedefine/>
    <w:qFormat/>
    <w:uiPriority w:val="0"/>
    <w:rPr>
      <w:rFonts w:hint="default" w:ascii="Times New Roman" w:hAnsi="Times New Roman" w:cs="Times New Roman"/>
      <w:b/>
      <w:i/>
      <w:color w:val="000000"/>
      <w:sz w:val="24"/>
      <w:szCs w:val="24"/>
      <w:u w:val="none"/>
      <w:vertAlign w:val="superscript"/>
    </w:rPr>
  </w:style>
  <w:style w:type="character" w:customStyle="1" w:styleId="2017">
    <w:name w:val="未处理的提及1"/>
    <w:autoRedefine/>
    <w:unhideWhenUsed/>
    <w:qFormat/>
    <w:uiPriority w:val="99"/>
    <w:rPr>
      <w:color w:val="808080"/>
      <w:shd w:val="clear" w:color="auto" w:fill="E6E6E6"/>
    </w:rPr>
  </w:style>
  <w:style w:type="character" w:customStyle="1" w:styleId="2018">
    <w:name w:val="digest1"/>
    <w:autoRedefine/>
    <w:qFormat/>
    <w:uiPriority w:val="0"/>
    <w:rPr>
      <w:color w:val="3A4343"/>
      <w:sz w:val="25"/>
      <w:szCs w:val="25"/>
    </w:rPr>
  </w:style>
  <w:style w:type="character" w:customStyle="1" w:styleId="2019">
    <w:name w:val="font301"/>
    <w:autoRedefine/>
    <w:qFormat/>
    <w:uiPriority w:val="0"/>
    <w:rPr>
      <w:rFonts w:hint="default" w:ascii="Times New Roman" w:hAnsi="Times New Roman" w:cs="Times New Roman"/>
      <w:color w:val="000000"/>
      <w:sz w:val="22"/>
      <w:szCs w:val="22"/>
      <w:u w:val="none"/>
    </w:rPr>
  </w:style>
  <w:style w:type="character" w:customStyle="1" w:styleId="2020">
    <w:name w:val="font171"/>
    <w:basedOn w:val="133"/>
    <w:autoRedefine/>
    <w:qFormat/>
    <w:uiPriority w:val="0"/>
    <w:rPr>
      <w:rFonts w:hint="eastAsia" w:ascii="宋体" w:hAnsi="宋体" w:eastAsia="宋体" w:cs="宋体"/>
      <w:b/>
      <w:i/>
      <w:color w:val="000000"/>
      <w:sz w:val="24"/>
      <w:szCs w:val="24"/>
      <w:u w:val="none"/>
      <w:vertAlign w:val="superscript"/>
    </w:rPr>
  </w:style>
  <w:style w:type="character" w:customStyle="1" w:styleId="2021">
    <w:name w:val="ca-41"/>
    <w:autoRedefine/>
    <w:qFormat/>
    <w:uiPriority w:val="0"/>
    <w:rPr>
      <w:rFonts w:hint="default" w:ascii="Times New Roman" w:hAnsi="Times New Roman" w:cs="Times New Roman"/>
      <w:sz w:val="18"/>
      <w:szCs w:val="18"/>
    </w:rPr>
  </w:style>
  <w:style w:type="character" w:customStyle="1" w:styleId="2022">
    <w:name w:val="红 Char"/>
    <w:link w:val="2023"/>
    <w:autoRedefine/>
    <w:qFormat/>
    <w:uiPriority w:val="0"/>
    <w:rPr>
      <w:rFonts w:ascii="Arial" w:hAnsi="Arial"/>
      <w:color w:val="FF0000"/>
      <w:kern w:val="2"/>
      <w:sz w:val="28"/>
      <w:szCs w:val="28"/>
    </w:rPr>
  </w:style>
  <w:style w:type="paragraph" w:customStyle="1" w:styleId="2023">
    <w:name w:val="红"/>
    <w:basedOn w:val="86"/>
    <w:link w:val="2022"/>
    <w:autoRedefine/>
    <w:qFormat/>
    <w:uiPriority w:val="99"/>
    <w:pPr>
      <w:tabs>
        <w:tab w:val="left" w:pos="420"/>
      </w:tabs>
      <w:adjustRightInd/>
      <w:snapToGrid/>
      <w:spacing w:after="0" w:line="360" w:lineRule="auto"/>
      <w:ind w:left="420" w:hanging="420" w:firstLineChars="0"/>
    </w:pPr>
    <w:rPr>
      <w:rFonts w:ascii="Arial" w:hAnsi="Arial"/>
      <w:color w:val="FF0000"/>
      <w:kern w:val="2"/>
      <w:sz w:val="28"/>
      <w:szCs w:val="28"/>
      <w:lang w:val="en-US"/>
    </w:rPr>
  </w:style>
  <w:style w:type="character" w:customStyle="1" w:styleId="2024">
    <w:name w:val="项目一级 Char"/>
    <w:link w:val="2025"/>
    <w:autoRedefine/>
    <w:qFormat/>
    <w:uiPriority w:val="99"/>
    <w:rPr>
      <w:rFonts w:ascii="宋体" w:hAnsi="宋体"/>
      <w:b/>
      <w:sz w:val="24"/>
    </w:rPr>
  </w:style>
  <w:style w:type="paragraph" w:customStyle="1" w:styleId="2025">
    <w:name w:val="项目一级"/>
    <w:basedOn w:val="1"/>
    <w:link w:val="2024"/>
    <w:autoRedefine/>
    <w:qFormat/>
    <w:uiPriority w:val="99"/>
    <w:pPr>
      <w:widowControl/>
      <w:tabs>
        <w:tab w:val="left" w:pos="425"/>
      </w:tabs>
      <w:adjustRightInd/>
      <w:snapToGrid/>
      <w:spacing w:line="360" w:lineRule="auto"/>
      <w:ind w:left="425" w:firstLine="0" w:firstLineChars="0"/>
      <w:jc w:val="left"/>
    </w:pPr>
    <w:rPr>
      <w:rFonts w:ascii="宋体" w:hAnsi="宋体"/>
      <w:b/>
      <w:kern w:val="0"/>
    </w:rPr>
  </w:style>
  <w:style w:type="character" w:customStyle="1" w:styleId="2026">
    <w:name w:val="font151"/>
    <w:basedOn w:val="133"/>
    <w:autoRedefine/>
    <w:qFormat/>
    <w:uiPriority w:val="0"/>
    <w:rPr>
      <w:rFonts w:hint="default" w:ascii="Arial" w:hAnsi="Arial" w:cs="Arial"/>
      <w:color w:val="000000"/>
      <w:sz w:val="24"/>
      <w:szCs w:val="24"/>
      <w:u w:val="none"/>
    </w:rPr>
  </w:style>
  <w:style w:type="character" w:customStyle="1" w:styleId="2027">
    <w:name w:val="font291"/>
    <w:autoRedefine/>
    <w:qFormat/>
    <w:uiPriority w:val="0"/>
    <w:rPr>
      <w:rFonts w:hint="eastAsia" w:ascii="宋体" w:hAnsi="宋体" w:eastAsia="宋体"/>
      <w:b/>
      <w:bCs/>
      <w:color w:val="000000"/>
      <w:sz w:val="24"/>
      <w:szCs w:val="24"/>
      <w:u w:val="none"/>
    </w:rPr>
  </w:style>
  <w:style w:type="character" w:customStyle="1" w:styleId="2028">
    <w:name w:val="font181"/>
    <w:basedOn w:val="133"/>
    <w:autoRedefine/>
    <w:qFormat/>
    <w:uiPriority w:val="0"/>
    <w:rPr>
      <w:rFonts w:hint="eastAsia" w:ascii="宋体" w:hAnsi="宋体" w:eastAsia="宋体" w:cs="宋体"/>
      <w:b/>
      <w:color w:val="000000"/>
      <w:sz w:val="24"/>
      <w:szCs w:val="24"/>
      <w:u w:val="none"/>
    </w:rPr>
  </w:style>
  <w:style w:type="character" w:customStyle="1" w:styleId="2029">
    <w:name w:val="ca-61"/>
    <w:autoRedefine/>
    <w:qFormat/>
    <w:uiPriority w:val="0"/>
    <w:rPr>
      <w:rFonts w:hint="eastAsia" w:ascii="宋体" w:hAnsi="宋体" w:eastAsia="宋体"/>
      <w:sz w:val="18"/>
      <w:szCs w:val="18"/>
    </w:rPr>
  </w:style>
  <w:style w:type="character" w:customStyle="1" w:styleId="2030">
    <w:name w:val="font241"/>
    <w:basedOn w:val="133"/>
    <w:autoRedefine/>
    <w:qFormat/>
    <w:uiPriority w:val="0"/>
    <w:rPr>
      <w:rFonts w:hint="eastAsia" w:ascii="宋体" w:hAnsi="宋体" w:eastAsia="宋体" w:cs="宋体"/>
      <w:color w:val="000000"/>
      <w:sz w:val="22"/>
      <w:szCs w:val="22"/>
      <w:u w:val="none"/>
    </w:rPr>
  </w:style>
  <w:style w:type="character" w:customStyle="1" w:styleId="2031">
    <w:name w:val="正文（首行缩进两字） Char Char Char Char Char Char Char Char Char Char C"/>
    <w:autoRedefine/>
    <w:qFormat/>
    <w:uiPriority w:val="0"/>
    <w:rPr>
      <w:rFonts w:eastAsia="宋体"/>
      <w:kern w:val="2"/>
      <w:sz w:val="24"/>
      <w:lang w:val="en-US" w:eastAsia="zh-CN" w:bidi="ar-SA"/>
    </w:rPr>
  </w:style>
  <w:style w:type="character" w:customStyle="1" w:styleId="2032">
    <w:name w:val="font251"/>
    <w:basedOn w:val="133"/>
    <w:autoRedefine/>
    <w:qFormat/>
    <w:uiPriority w:val="0"/>
    <w:rPr>
      <w:rFonts w:hint="default" w:ascii="Times New Roman" w:hAnsi="Times New Roman" w:cs="Times New Roman"/>
      <w:color w:val="000000"/>
      <w:sz w:val="22"/>
      <w:szCs w:val="22"/>
      <w:u w:val="none"/>
    </w:rPr>
  </w:style>
  <w:style w:type="character" w:customStyle="1" w:styleId="2033">
    <w:name w:val="正文内容 Char"/>
    <w:link w:val="2034"/>
    <w:autoRedefine/>
    <w:qFormat/>
    <w:uiPriority w:val="0"/>
    <w:rPr>
      <w:rFonts w:ascii="宋体" w:hAnsi="宋体" w:cs="宋体"/>
      <w:kern w:val="2"/>
      <w:sz w:val="24"/>
      <w:szCs w:val="24"/>
    </w:rPr>
  </w:style>
  <w:style w:type="paragraph" w:customStyle="1" w:styleId="2034">
    <w:name w:val="正文内容"/>
    <w:basedOn w:val="163"/>
    <w:link w:val="2033"/>
    <w:autoRedefine/>
    <w:qFormat/>
    <w:uiPriority w:val="0"/>
    <w:pPr>
      <w:widowControl/>
      <w:adjustRightInd/>
      <w:snapToGrid/>
      <w:spacing w:beforeLines="0" w:afterLines="0"/>
      <w:ind w:firstLine="480"/>
      <w:jc w:val="left"/>
    </w:pPr>
    <w:rPr>
      <w:rFonts w:ascii="宋体" w:hAnsi="宋体" w:cs="宋体"/>
      <w:sz w:val="24"/>
      <w:szCs w:val="24"/>
      <w:lang w:val="en-US"/>
    </w:rPr>
  </w:style>
  <w:style w:type="character" w:customStyle="1" w:styleId="2035">
    <w:name w:val="ca-51"/>
    <w:autoRedefine/>
    <w:qFormat/>
    <w:uiPriority w:val="0"/>
    <w:rPr>
      <w:rFonts w:hint="default" w:ascii="Times New Roman" w:hAnsi="Times New Roman" w:cs="Times New Roman"/>
      <w:sz w:val="9"/>
      <w:szCs w:val="9"/>
    </w:rPr>
  </w:style>
  <w:style w:type="paragraph" w:customStyle="1" w:styleId="2036">
    <w:name w:val="font29"/>
    <w:basedOn w:val="1"/>
    <w:autoRedefine/>
    <w:qFormat/>
    <w:uiPriority w:val="99"/>
    <w:pPr>
      <w:widowControl/>
      <w:adjustRightInd/>
      <w:snapToGrid/>
      <w:spacing w:before="100" w:beforeAutospacing="1" w:after="100" w:afterAutospacing="1" w:line="240" w:lineRule="auto"/>
      <w:ind w:firstLine="0" w:firstLineChars="0"/>
      <w:jc w:val="left"/>
    </w:pPr>
    <w:rPr>
      <w:rFonts w:ascii="宋体" w:hAnsi="宋体" w:cs="宋体"/>
      <w:b/>
      <w:bCs/>
      <w:color w:val="000000"/>
      <w:kern w:val="0"/>
      <w:szCs w:val="24"/>
    </w:rPr>
  </w:style>
  <w:style w:type="paragraph" w:customStyle="1" w:styleId="2037">
    <w:name w:val="样式 四号 加粗 行距: 2 倍行距"/>
    <w:basedOn w:val="1"/>
    <w:autoRedefine/>
    <w:qFormat/>
    <w:uiPriority w:val="99"/>
    <w:pPr>
      <w:adjustRightInd/>
      <w:snapToGrid/>
      <w:spacing w:line="480" w:lineRule="auto"/>
      <w:ind w:firstLine="138" w:firstLineChars="49"/>
    </w:pPr>
    <w:rPr>
      <w:rFonts w:cs="宋体"/>
      <w:b/>
      <w:bCs/>
      <w:sz w:val="28"/>
    </w:rPr>
  </w:style>
  <w:style w:type="paragraph" w:customStyle="1" w:styleId="2038">
    <w:name w:val="Normal_44_0"/>
    <w:autoRedefine/>
    <w:qFormat/>
    <w:uiPriority w:val="99"/>
    <w:pPr>
      <w:spacing w:before="120" w:after="240"/>
      <w:jc w:val="both"/>
    </w:pPr>
    <w:rPr>
      <w:rFonts w:ascii="Calibri" w:hAnsi="Calibri" w:eastAsia="Calibri" w:cs="Times New Roman"/>
      <w:sz w:val="22"/>
      <w:szCs w:val="22"/>
      <w:lang w:val="ru-RU" w:eastAsia="en-US" w:bidi="ar-SA"/>
    </w:rPr>
  </w:style>
  <w:style w:type="paragraph" w:customStyle="1" w:styleId="2039">
    <w:name w:val="样式 标题 3 + (中文) 黑体 小三 非加粗 段前: 0 磅 段后: 9 磅 行距: 最小值 26 磅"/>
    <w:basedOn w:val="5"/>
    <w:autoRedefine/>
    <w:qFormat/>
    <w:uiPriority w:val="99"/>
    <w:pPr>
      <w:tabs>
        <w:tab w:val="left" w:pos="0"/>
        <w:tab w:val="left" w:pos="210"/>
        <w:tab w:val="left" w:pos="283"/>
        <w:tab w:val="left" w:pos="420"/>
        <w:tab w:val="left" w:pos="567"/>
        <w:tab w:val="left" w:pos="2835"/>
      </w:tabs>
      <w:adjustRightInd/>
      <w:snapToGrid/>
      <w:spacing w:beforeLines="100" w:afterLines="50" w:line="520" w:lineRule="atLeast"/>
    </w:pPr>
    <w:rPr>
      <w:rFonts w:eastAsia="黑体" w:cs="宋体"/>
      <w:b w:val="0"/>
      <w:bCs w:val="0"/>
      <w:kern w:val="10"/>
      <w:sz w:val="30"/>
      <w:szCs w:val="20"/>
      <w:lang w:val="en-US"/>
    </w:rPr>
  </w:style>
  <w:style w:type="paragraph" w:customStyle="1" w:styleId="2040">
    <w:name w:val="xl316"/>
    <w:basedOn w:val="1"/>
    <w:autoRedefine/>
    <w:qFormat/>
    <w:uiPriority w:val="99"/>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kern w:val="0"/>
      <w:sz w:val="20"/>
    </w:rPr>
  </w:style>
  <w:style w:type="paragraph" w:customStyle="1" w:styleId="2041">
    <w:name w:val="xl312"/>
    <w:basedOn w:val="1"/>
    <w:autoRedefine/>
    <w:qFormat/>
    <w:uiPriority w:val="99"/>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textAlignment w:val="center"/>
    </w:pPr>
    <w:rPr>
      <w:kern w:val="0"/>
      <w:szCs w:val="24"/>
    </w:rPr>
  </w:style>
  <w:style w:type="paragraph" w:customStyle="1" w:styleId="2042">
    <w:name w:val="样式 小四 左侧:  0 毫米 悬挂缩进: 3.75 字符 行距: 最小值 26 磅"/>
    <w:basedOn w:val="1"/>
    <w:autoRedefine/>
    <w:qFormat/>
    <w:uiPriority w:val="99"/>
    <w:pPr>
      <w:adjustRightInd/>
      <w:snapToGrid/>
      <w:spacing w:line="520" w:lineRule="atLeast"/>
      <w:ind w:left="900" w:hanging="900" w:hangingChars="375"/>
    </w:pPr>
    <w:rPr>
      <w:rFonts w:cs="宋体"/>
    </w:rPr>
  </w:style>
  <w:style w:type="paragraph" w:customStyle="1" w:styleId="2043">
    <w:name w:val="Char Char"/>
    <w:basedOn w:val="1"/>
    <w:autoRedefine/>
    <w:qFormat/>
    <w:uiPriority w:val="0"/>
    <w:pPr>
      <w:adjustRightInd/>
      <w:snapToGrid/>
      <w:spacing w:line="330" w:lineRule="atLeast"/>
      <w:ind w:left="360" w:firstLine="360" w:firstLineChars="150"/>
      <w:jc w:val="left"/>
    </w:pPr>
    <w:rPr>
      <w:rFonts w:ascii="ˎ̥" w:hAnsi="ˎ̥" w:cs="宋体"/>
      <w:color w:val="51585D"/>
      <w:kern w:val="0"/>
      <w:szCs w:val="18"/>
    </w:rPr>
  </w:style>
  <w:style w:type="paragraph" w:customStyle="1" w:styleId="2044">
    <w:name w:val="样式 标题 2 + 加粗 行距: 最小值 29 磅"/>
    <w:basedOn w:val="4"/>
    <w:autoRedefine/>
    <w:qFormat/>
    <w:uiPriority w:val="99"/>
    <w:pPr>
      <w:keepNext w:val="0"/>
      <w:keepLines w:val="0"/>
      <w:pageBreakBefore/>
      <w:tabs>
        <w:tab w:val="left" w:pos="1740"/>
      </w:tabs>
      <w:adjustRightInd/>
      <w:snapToGrid/>
      <w:spacing w:beforeLines="100" w:line="580" w:lineRule="atLeast"/>
      <w:ind w:left="676"/>
      <w:jc w:val="center"/>
    </w:pPr>
    <w:rPr>
      <w:kern w:val="10"/>
      <w:sz w:val="36"/>
      <w:szCs w:val="20"/>
      <w:lang w:val="en-US"/>
    </w:rPr>
  </w:style>
  <w:style w:type="paragraph" w:customStyle="1" w:styleId="2045">
    <w:name w:val="Normal_26_1"/>
    <w:autoRedefine/>
    <w:qFormat/>
    <w:uiPriority w:val="99"/>
    <w:pPr>
      <w:spacing w:before="120" w:after="240"/>
      <w:jc w:val="both"/>
    </w:pPr>
    <w:rPr>
      <w:rFonts w:ascii="Calibri" w:hAnsi="Calibri" w:eastAsia="Calibri" w:cs="Times New Roman"/>
      <w:sz w:val="22"/>
      <w:szCs w:val="22"/>
      <w:lang w:val="ru-RU" w:eastAsia="en-US" w:bidi="ar-SA"/>
    </w:rPr>
  </w:style>
  <w:style w:type="paragraph" w:customStyle="1" w:styleId="2046">
    <w:name w:val="_Style 5"/>
    <w:basedOn w:val="1"/>
    <w:autoRedefine/>
    <w:qFormat/>
    <w:uiPriority w:val="0"/>
    <w:pPr>
      <w:adjustRightInd/>
      <w:snapToGrid/>
      <w:spacing w:line="240" w:lineRule="auto"/>
      <w:ind w:firstLine="420"/>
    </w:pPr>
    <w:rPr>
      <w:sz w:val="28"/>
      <w:szCs w:val="28"/>
    </w:rPr>
  </w:style>
  <w:style w:type="paragraph" w:customStyle="1" w:styleId="2047">
    <w:name w:val="xl314"/>
    <w:basedOn w:val="1"/>
    <w:autoRedefine/>
    <w:qFormat/>
    <w:uiPriority w:val="99"/>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kern w:val="0"/>
      <w:szCs w:val="24"/>
    </w:rPr>
  </w:style>
  <w:style w:type="paragraph" w:customStyle="1" w:styleId="2048">
    <w:name w:val="font28"/>
    <w:basedOn w:val="1"/>
    <w:autoRedefine/>
    <w:qFormat/>
    <w:uiPriority w:val="99"/>
    <w:pPr>
      <w:widowControl/>
      <w:adjustRightInd/>
      <w:snapToGrid/>
      <w:spacing w:before="100" w:beforeAutospacing="1" w:after="100" w:afterAutospacing="1" w:line="240" w:lineRule="auto"/>
      <w:ind w:firstLine="0" w:firstLineChars="0"/>
      <w:jc w:val="left"/>
    </w:pPr>
    <w:rPr>
      <w:rFonts w:ascii="宋体" w:hAnsi="宋体" w:cs="宋体"/>
      <w:b/>
      <w:bCs/>
      <w:kern w:val="0"/>
      <w:szCs w:val="24"/>
    </w:rPr>
  </w:style>
  <w:style w:type="paragraph" w:customStyle="1" w:styleId="2049">
    <w:name w:val="font27"/>
    <w:basedOn w:val="1"/>
    <w:autoRedefine/>
    <w:qFormat/>
    <w:uiPriority w:val="99"/>
    <w:pPr>
      <w:widowControl/>
      <w:adjustRightInd/>
      <w:snapToGrid/>
      <w:spacing w:before="100" w:beforeAutospacing="1" w:after="100" w:afterAutospacing="1" w:line="240" w:lineRule="auto"/>
      <w:ind w:firstLine="0" w:firstLineChars="0"/>
      <w:jc w:val="left"/>
    </w:pPr>
    <w:rPr>
      <w:rFonts w:ascii="宋体" w:hAnsi="宋体" w:cs="宋体"/>
      <w:b/>
      <w:bCs/>
      <w:kern w:val="0"/>
      <w:sz w:val="28"/>
      <w:szCs w:val="28"/>
    </w:rPr>
  </w:style>
  <w:style w:type="paragraph" w:customStyle="1" w:styleId="2050">
    <w:name w:val="xl311"/>
    <w:basedOn w:val="1"/>
    <w:autoRedefine/>
    <w:qFormat/>
    <w:uiPriority w:val="99"/>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textAlignment w:val="center"/>
    </w:pPr>
    <w:rPr>
      <w:rFonts w:ascii="宋体" w:hAnsi="宋体" w:cs="宋体"/>
      <w:kern w:val="0"/>
      <w:szCs w:val="24"/>
    </w:rPr>
  </w:style>
  <w:style w:type="paragraph" w:customStyle="1" w:styleId="2051">
    <w:name w:val="样式 标题 2 + 左侧:  0 毫米 首行缩进:  0 毫米 字距调整八号"/>
    <w:basedOn w:val="4"/>
    <w:next w:val="4"/>
    <w:autoRedefine/>
    <w:qFormat/>
    <w:uiPriority w:val="99"/>
    <w:pPr>
      <w:tabs>
        <w:tab w:val="left" w:pos="567"/>
        <w:tab w:val="left" w:pos="1260"/>
      </w:tabs>
      <w:adjustRightInd/>
      <w:snapToGrid/>
      <w:spacing w:beforeLines="50" w:line="360" w:lineRule="auto"/>
      <w:ind w:left="1260" w:hanging="420"/>
    </w:pPr>
    <w:rPr>
      <w:b w:val="0"/>
      <w:kern w:val="10"/>
      <w:sz w:val="30"/>
      <w:szCs w:val="20"/>
      <w:lang w:val="en-US"/>
    </w:rPr>
  </w:style>
  <w:style w:type="paragraph" w:customStyle="1" w:styleId="2052">
    <w:name w:val="样式 标题 1 + 居中 段前: 6 磅 段后: 12 磅 行距: 固定值 29 磅"/>
    <w:basedOn w:val="3"/>
    <w:autoRedefine/>
    <w:qFormat/>
    <w:uiPriority w:val="99"/>
    <w:pPr>
      <w:keepNext w:val="0"/>
      <w:keepLines w:val="0"/>
      <w:pageBreakBefore/>
      <w:tabs>
        <w:tab w:val="left" w:pos="3799"/>
      </w:tabs>
      <w:adjustRightInd/>
      <w:snapToGrid/>
      <w:spacing w:beforeLines="100" w:afterLines="100" w:line="580" w:lineRule="exact"/>
      <w:ind w:left="3799" w:hanging="1095"/>
      <w:jc w:val="center"/>
    </w:pPr>
    <w:rPr>
      <w:rFonts w:eastAsia="黑体" w:cs="宋体"/>
      <w:b w:val="0"/>
      <w:bCs w:val="0"/>
      <w:kern w:val="2"/>
      <w:sz w:val="36"/>
      <w:szCs w:val="20"/>
      <w:lang w:val="en-US"/>
    </w:rPr>
  </w:style>
  <w:style w:type="paragraph" w:customStyle="1" w:styleId="2053">
    <w:name w:val="样式 标题 1 + (中文) 黑体 小三 非加粗 左侧:  0 毫米 悬挂缩进: 2.81 字符"/>
    <w:basedOn w:val="3"/>
    <w:autoRedefine/>
    <w:qFormat/>
    <w:uiPriority w:val="99"/>
    <w:pPr>
      <w:keepNext w:val="0"/>
      <w:keepLines w:val="0"/>
      <w:pageBreakBefore/>
      <w:tabs>
        <w:tab w:val="left" w:pos="3799"/>
      </w:tabs>
      <w:adjustRightInd/>
      <w:snapToGrid/>
      <w:spacing w:beforeLines="100" w:afterLines="100" w:line="360" w:lineRule="auto"/>
      <w:ind w:left="843" w:hanging="843" w:hangingChars="281"/>
      <w:jc w:val="center"/>
    </w:pPr>
    <w:rPr>
      <w:rFonts w:eastAsia="黑体" w:cs="宋体"/>
      <w:b w:val="0"/>
      <w:kern w:val="2"/>
      <w:sz w:val="30"/>
      <w:szCs w:val="20"/>
      <w:lang w:val="en-US"/>
    </w:rPr>
  </w:style>
  <w:style w:type="paragraph" w:customStyle="1" w:styleId="2054">
    <w:name w:val="我的样式5"/>
    <w:basedOn w:val="1"/>
    <w:next w:val="1"/>
    <w:autoRedefine/>
    <w:qFormat/>
    <w:uiPriority w:val="99"/>
    <w:pPr>
      <w:tabs>
        <w:tab w:val="left" w:pos="720"/>
        <w:tab w:val="left" w:pos="932"/>
      </w:tabs>
      <w:adjustRightInd/>
      <w:snapToGrid/>
      <w:spacing w:line="520" w:lineRule="exact"/>
      <w:ind w:left="361" w:hanging="361" w:firstLineChars="0"/>
    </w:pPr>
    <w:rPr>
      <w:sz w:val="21"/>
      <w:szCs w:val="24"/>
      <w:lang w:val="zh-CN"/>
    </w:rPr>
  </w:style>
  <w:style w:type="paragraph" w:customStyle="1" w:styleId="2055">
    <w:name w:val="列表段落11"/>
    <w:basedOn w:val="1"/>
    <w:autoRedefine/>
    <w:qFormat/>
    <w:uiPriority w:val="34"/>
    <w:pPr>
      <w:adjustRightInd/>
      <w:snapToGrid/>
      <w:spacing w:line="240" w:lineRule="auto"/>
      <w:ind w:firstLine="420"/>
    </w:pPr>
    <w:rPr>
      <w:sz w:val="21"/>
      <w:szCs w:val="24"/>
    </w:rPr>
  </w:style>
  <w:style w:type="paragraph" w:customStyle="1" w:styleId="2056">
    <w:name w:val="xl288"/>
    <w:basedOn w:val="1"/>
    <w:autoRedefine/>
    <w:qFormat/>
    <w:uiPriority w:val="99"/>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宋体" w:hAnsi="宋体" w:cs="宋体"/>
      <w:kern w:val="0"/>
      <w:sz w:val="20"/>
    </w:rPr>
  </w:style>
  <w:style w:type="paragraph" w:customStyle="1" w:styleId="2057">
    <w:name w:val="Char Char1 Char Char Char Char Char Char Char Char Char Char Char Char Char Char Char Char Char Char Char Char Char Char Char Char Char Char Char Char Char Char1 Char Char Char Char"/>
    <w:basedOn w:val="1"/>
    <w:autoRedefine/>
    <w:qFormat/>
    <w:uiPriority w:val="99"/>
    <w:pPr>
      <w:adjustRightInd/>
      <w:snapToGrid/>
      <w:spacing w:line="240" w:lineRule="auto"/>
      <w:ind w:firstLine="0" w:firstLineChars="0"/>
    </w:pPr>
    <w:rPr>
      <w:sz w:val="21"/>
      <w:szCs w:val="24"/>
    </w:rPr>
  </w:style>
  <w:style w:type="paragraph" w:customStyle="1" w:styleId="2058">
    <w:name w:val="_Style 2"/>
    <w:autoRedefine/>
    <w:qFormat/>
    <w:uiPriority w:val="1"/>
    <w:rPr>
      <w:rFonts w:ascii="Calibri" w:hAnsi="Calibri" w:eastAsia="宋体" w:cs="Times New Roman"/>
      <w:sz w:val="22"/>
      <w:szCs w:val="22"/>
      <w:lang w:val="en-US" w:eastAsia="zh-CN" w:bidi="ar-SA"/>
    </w:rPr>
  </w:style>
  <w:style w:type="paragraph" w:customStyle="1" w:styleId="2059">
    <w:name w:val="xl305"/>
    <w:basedOn w:val="1"/>
    <w:autoRedefine/>
    <w:qFormat/>
    <w:uiPriority w:val="99"/>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宋体" w:hAnsi="宋体" w:cs="宋体"/>
      <w:b/>
      <w:bCs/>
      <w:kern w:val="0"/>
      <w:szCs w:val="24"/>
    </w:rPr>
  </w:style>
  <w:style w:type="paragraph" w:customStyle="1" w:styleId="2060">
    <w:name w:val="xl309"/>
    <w:basedOn w:val="1"/>
    <w:autoRedefine/>
    <w:qFormat/>
    <w:uiPriority w:val="99"/>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textAlignment w:val="center"/>
    </w:pPr>
    <w:rPr>
      <w:rFonts w:ascii="宋体" w:hAnsi="宋体" w:cs="宋体"/>
      <w:kern w:val="0"/>
      <w:szCs w:val="24"/>
    </w:rPr>
  </w:style>
  <w:style w:type="paragraph" w:customStyle="1" w:styleId="2061">
    <w:name w:val="font30"/>
    <w:basedOn w:val="1"/>
    <w:autoRedefine/>
    <w:qFormat/>
    <w:uiPriority w:val="99"/>
    <w:pPr>
      <w:widowControl/>
      <w:adjustRightInd/>
      <w:snapToGrid/>
      <w:spacing w:before="100" w:beforeAutospacing="1" w:after="100" w:afterAutospacing="1" w:line="240" w:lineRule="auto"/>
      <w:ind w:firstLine="0" w:firstLineChars="0"/>
      <w:jc w:val="left"/>
    </w:pPr>
    <w:rPr>
      <w:color w:val="000000"/>
      <w:kern w:val="0"/>
      <w:sz w:val="22"/>
      <w:szCs w:val="22"/>
    </w:rPr>
  </w:style>
  <w:style w:type="paragraph" w:customStyle="1" w:styleId="2062">
    <w:name w:val="标题 2 + 段前: 1 行 + 段前: 1 行"/>
    <w:basedOn w:val="1"/>
    <w:autoRedefine/>
    <w:qFormat/>
    <w:uiPriority w:val="99"/>
    <w:pPr>
      <w:adjustRightInd/>
      <w:snapToGrid/>
      <w:spacing w:beforeLines="150" w:line="360" w:lineRule="auto"/>
      <w:ind w:firstLine="0" w:firstLineChars="0"/>
      <w:jc w:val="left"/>
      <w:outlineLvl w:val="1"/>
    </w:pPr>
    <w:rPr>
      <w:rFonts w:eastAsia="黑体" w:cs="宋体"/>
      <w:b/>
      <w:sz w:val="32"/>
    </w:rPr>
  </w:style>
  <w:style w:type="paragraph" w:customStyle="1" w:styleId="2063">
    <w:name w:val="xl313"/>
    <w:basedOn w:val="1"/>
    <w:autoRedefine/>
    <w:qFormat/>
    <w:uiPriority w:val="99"/>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宋体" w:hAnsi="宋体" w:cs="宋体"/>
      <w:kern w:val="0"/>
      <w:sz w:val="20"/>
    </w:rPr>
  </w:style>
  <w:style w:type="paragraph" w:customStyle="1" w:styleId="2064">
    <w:name w:val="xl310"/>
    <w:basedOn w:val="1"/>
    <w:autoRedefine/>
    <w:qFormat/>
    <w:uiPriority w:val="99"/>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宋体" w:hAnsi="宋体" w:cs="宋体"/>
      <w:kern w:val="0"/>
      <w:szCs w:val="24"/>
    </w:rPr>
  </w:style>
  <w:style w:type="paragraph" w:customStyle="1" w:styleId="2065">
    <w:name w:val="font32"/>
    <w:basedOn w:val="1"/>
    <w:autoRedefine/>
    <w:qFormat/>
    <w:uiPriority w:val="99"/>
    <w:pPr>
      <w:widowControl/>
      <w:adjustRightInd/>
      <w:snapToGrid/>
      <w:spacing w:before="100" w:beforeAutospacing="1" w:after="100" w:afterAutospacing="1" w:line="240" w:lineRule="auto"/>
      <w:ind w:firstLine="0" w:firstLineChars="0"/>
      <w:jc w:val="left"/>
    </w:pPr>
    <w:rPr>
      <w:rFonts w:ascii="宋体" w:hAnsi="宋体" w:cs="宋体"/>
      <w:color w:val="000000"/>
      <w:kern w:val="0"/>
      <w:szCs w:val="24"/>
    </w:rPr>
  </w:style>
  <w:style w:type="paragraph" w:customStyle="1" w:styleId="2066">
    <w:name w:val="无间隔8"/>
    <w:autoRedefine/>
    <w:qFormat/>
    <w:uiPriority w:val="1"/>
    <w:rPr>
      <w:rFonts w:ascii="Calibri" w:hAnsi="Calibri" w:eastAsia="宋体" w:cs="Times New Roman"/>
      <w:sz w:val="22"/>
      <w:szCs w:val="22"/>
      <w:lang w:val="en-US" w:eastAsia="zh-CN" w:bidi="ar-SA"/>
    </w:rPr>
  </w:style>
  <w:style w:type="paragraph" w:customStyle="1" w:styleId="2067">
    <w:name w:val="样式 标题 2 + 段前: 1 行"/>
    <w:basedOn w:val="4"/>
    <w:autoRedefine/>
    <w:qFormat/>
    <w:uiPriority w:val="0"/>
    <w:pPr>
      <w:keepNext w:val="0"/>
      <w:keepLines w:val="0"/>
      <w:tabs>
        <w:tab w:val="left" w:pos="1740"/>
      </w:tabs>
      <w:adjustRightInd/>
      <w:snapToGrid/>
      <w:spacing w:beforeLines="100" w:line="360" w:lineRule="auto"/>
      <w:ind w:left="1740" w:hanging="420"/>
      <w:jc w:val="center"/>
    </w:pPr>
    <w:rPr>
      <w:rFonts w:cs="宋体"/>
      <w:b w:val="0"/>
      <w:sz w:val="32"/>
      <w:lang w:val="en-US"/>
    </w:rPr>
  </w:style>
  <w:style w:type="paragraph" w:customStyle="1" w:styleId="2068">
    <w:name w:val="xl320"/>
    <w:basedOn w:val="1"/>
    <w:autoRedefine/>
    <w:qFormat/>
    <w:uiPriority w:val="99"/>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textAlignment w:val="center"/>
    </w:pPr>
    <w:rPr>
      <w:color w:val="000000"/>
      <w:kern w:val="0"/>
      <w:szCs w:val="24"/>
    </w:rPr>
  </w:style>
  <w:style w:type="paragraph" w:customStyle="1" w:styleId="2069">
    <w:name w:val="xl306"/>
    <w:basedOn w:val="1"/>
    <w:autoRedefine/>
    <w:qFormat/>
    <w:uiPriority w:val="99"/>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textAlignment w:val="center"/>
    </w:pPr>
    <w:rPr>
      <w:rFonts w:ascii="宋体" w:hAnsi="宋体" w:cs="宋体"/>
      <w:b/>
      <w:bCs/>
      <w:kern w:val="0"/>
      <w:szCs w:val="24"/>
    </w:rPr>
  </w:style>
  <w:style w:type="paragraph" w:customStyle="1" w:styleId="2070">
    <w:name w:val="Normal_22_1"/>
    <w:autoRedefine/>
    <w:qFormat/>
    <w:uiPriority w:val="99"/>
    <w:pPr>
      <w:spacing w:before="120" w:after="240"/>
      <w:jc w:val="both"/>
    </w:pPr>
    <w:rPr>
      <w:rFonts w:ascii="Calibri" w:hAnsi="Calibri" w:eastAsia="Calibri" w:cs="Times New Roman"/>
      <w:sz w:val="22"/>
      <w:szCs w:val="22"/>
      <w:lang w:val="ru-RU" w:eastAsia="en-US" w:bidi="ar-SA"/>
    </w:rPr>
  </w:style>
  <w:style w:type="paragraph" w:customStyle="1" w:styleId="2071">
    <w:name w:val="msonormal"/>
    <w:basedOn w:val="1"/>
    <w:autoRedefine/>
    <w:qFormat/>
    <w:uiPriority w:val="0"/>
    <w:pPr>
      <w:widowControl/>
      <w:adjustRightInd/>
      <w:snapToGrid/>
      <w:spacing w:before="100" w:beforeAutospacing="1" w:after="100" w:afterAutospacing="1" w:line="240" w:lineRule="auto"/>
      <w:ind w:firstLine="0" w:firstLineChars="0"/>
      <w:jc w:val="left"/>
    </w:pPr>
    <w:rPr>
      <w:rFonts w:ascii="宋体" w:hAnsi="宋体" w:cs="宋体"/>
      <w:kern w:val="0"/>
      <w:szCs w:val="24"/>
    </w:rPr>
  </w:style>
  <w:style w:type="paragraph" w:customStyle="1" w:styleId="2072">
    <w:name w:val="xl307"/>
    <w:basedOn w:val="1"/>
    <w:autoRedefine/>
    <w:qFormat/>
    <w:uiPriority w:val="99"/>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textAlignment w:val="center"/>
    </w:pPr>
    <w:rPr>
      <w:b/>
      <w:bCs/>
      <w:color w:val="000000"/>
      <w:kern w:val="0"/>
      <w:szCs w:val="24"/>
    </w:rPr>
  </w:style>
  <w:style w:type="paragraph" w:customStyle="1" w:styleId="2073">
    <w:name w:val="正文4"/>
    <w:autoRedefine/>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paragraph" w:customStyle="1" w:styleId="2074">
    <w:name w:val="xl308"/>
    <w:basedOn w:val="1"/>
    <w:autoRedefine/>
    <w:qFormat/>
    <w:uiPriority w:val="99"/>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kern w:val="0"/>
      <w:szCs w:val="24"/>
    </w:rPr>
  </w:style>
  <w:style w:type="paragraph" w:customStyle="1" w:styleId="2075">
    <w:name w:val="xl315"/>
    <w:basedOn w:val="1"/>
    <w:autoRedefine/>
    <w:qFormat/>
    <w:uiPriority w:val="99"/>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宋体" w:hAnsi="宋体" w:cs="宋体"/>
      <w:kern w:val="0"/>
      <w:szCs w:val="24"/>
    </w:rPr>
  </w:style>
  <w:style w:type="paragraph" w:customStyle="1" w:styleId="2076">
    <w:name w:val="3 Char Char Char Char Char Char Char"/>
    <w:basedOn w:val="1"/>
    <w:autoRedefine/>
    <w:qFormat/>
    <w:uiPriority w:val="99"/>
    <w:pPr>
      <w:spacing w:line="400" w:lineRule="exact"/>
    </w:pPr>
  </w:style>
  <w:style w:type="paragraph" w:customStyle="1" w:styleId="2077">
    <w:name w:val="xl301"/>
    <w:basedOn w:val="1"/>
    <w:autoRedefine/>
    <w:qFormat/>
    <w:uiPriority w:val="99"/>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宋体" w:hAnsi="宋体" w:cs="宋体"/>
      <w:kern w:val="0"/>
      <w:sz w:val="20"/>
    </w:rPr>
  </w:style>
  <w:style w:type="paragraph" w:customStyle="1" w:styleId="2078">
    <w:name w:val="表格（小四号）"/>
    <w:basedOn w:val="1"/>
    <w:autoRedefine/>
    <w:qFormat/>
    <w:uiPriority w:val="99"/>
    <w:pPr>
      <w:adjustRightInd/>
      <w:snapToGrid/>
      <w:spacing w:line="0" w:lineRule="atLeast"/>
      <w:ind w:left="-38" w:leftChars="-18" w:right="-145" w:rightChars="-69" w:firstLine="36" w:firstLineChars="15"/>
      <w:jc w:val="center"/>
    </w:pPr>
    <w:rPr>
      <w:szCs w:val="21"/>
    </w:rPr>
  </w:style>
  <w:style w:type="paragraph" w:customStyle="1" w:styleId="2079">
    <w:name w:val="pa-2"/>
    <w:basedOn w:val="1"/>
    <w:autoRedefine/>
    <w:qFormat/>
    <w:uiPriority w:val="99"/>
    <w:pPr>
      <w:widowControl/>
      <w:adjustRightInd/>
      <w:snapToGrid/>
      <w:spacing w:line="276" w:lineRule="atLeast"/>
      <w:ind w:firstLine="0" w:firstLineChars="0"/>
    </w:pPr>
    <w:rPr>
      <w:rFonts w:ascii="宋体" w:hAnsi="宋体" w:cs="宋体"/>
      <w:kern w:val="0"/>
      <w:szCs w:val="24"/>
    </w:rPr>
  </w:style>
  <w:style w:type="paragraph" w:customStyle="1" w:styleId="2080">
    <w:name w:val="样式 标题 2 + 段前: 1 行 段后: 1 行"/>
    <w:basedOn w:val="4"/>
    <w:autoRedefine/>
    <w:qFormat/>
    <w:uiPriority w:val="99"/>
    <w:pPr>
      <w:keepNext w:val="0"/>
      <w:keepLines w:val="0"/>
      <w:tabs>
        <w:tab w:val="left" w:pos="851"/>
        <w:tab w:val="left" w:pos="1260"/>
      </w:tabs>
      <w:adjustRightInd/>
      <w:snapToGrid/>
      <w:spacing w:beforeLines="200" w:afterLines="50" w:line="360" w:lineRule="auto"/>
      <w:ind w:left="851" w:hanging="851"/>
      <w:jc w:val="left"/>
    </w:pPr>
    <w:rPr>
      <w:rFonts w:cs="宋体"/>
      <w:sz w:val="32"/>
      <w:szCs w:val="20"/>
      <w:lang w:val="en-US"/>
    </w:rPr>
  </w:style>
  <w:style w:type="paragraph" w:customStyle="1" w:styleId="2081">
    <w:name w:val="样式 13 磅 行距: 固定值 25 磅"/>
    <w:basedOn w:val="1"/>
    <w:autoRedefine/>
    <w:qFormat/>
    <w:uiPriority w:val="0"/>
    <w:pPr>
      <w:adjustRightInd/>
      <w:snapToGrid/>
      <w:spacing w:line="500" w:lineRule="exact"/>
      <w:ind w:firstLine="520"/>
    </w:pPr>
    <w:rPr>
      <w:rFonts w:cs="宋体"/>
      <w:sz w:val="26"/>
    </w:rPr>
  </w:style>
  <w:style w:type="paragraph" w:customStyle="1" w:styleId="2082">
    <w:name w:val="lulu表格"/>
    <w:basedOn w:val="1"/>
    <w:autoRedefine/>
    <w:qFormat/>
    <w:uiPriority w:val="0"/>
    <w:pPr>
      <w:widowControl/>
      <w:suppressAutoHyphens/>
      <w:autoSpaceDN w:val="0"/>
      <w:adjustRightInd/>
      <w:snapToGrid/>
      <w:spacing w:line="240" w:lineRule="auto"/>
      <w:ind w:firstLine="0" w:firstLineChars="0"/>
      <w:jc w:val="center"/>
    </w:pPr>
    <w:rPr>
      <w:rFonts w:cs="宋体"/>
      <w:kern w:val="0"/>
      <w:sz w:val="22"/>
      <w:szCs w:val="22"/>
    </w:rPr>
  </w:style>
  <w:style w:type="character" w:customStyle="1" w:styleId="2083">
    <w:name w:val="标题 2 Char1"/>
    <w:basedOn w:val="133"/>
    <w:autoRedefine/>
    <w:qFormat/>
    <w:uiPriority w:val="9"/>
    <w:rPr>
      <w:rFonts w:asciiTheme="majorHAnsi" w:hAnsiTheme="majorHAnsi" w:eastAsiaTheme="majorEastAsia" w:cstheme="majorBidi"/>
      <w:b/>
      <w:bCs/>
      <w:kern w:val="2"/>
      <w:sz w:val="32"/>
      <w:szCs w:val="32"/>
    </w:rPr>
  </w:style>
  <w:style w:type="character" w:customStyle="1" w:styleId="2084">
    <w:name w:val="标题 4 Char1"/>
    <w:basedOn w:val="133"/>
    <w:autoRedefine/>
    <w:qFormat/>
    <w:uiPriority w:val="0"/>
    <w:rPr>
      <w:rFonts w:asciiTheme="majorHAnsi" w:hAnsiTheme="majorHAnsi" w:eastAsiaTheme="majorEastAsia" w:cstheme="majorBidi"/>
      <w:b/>
      <w:bCs/>
      <w:kern w:val="2"/>
      <w:sz w:val="28"/>
      <w:szCs w:val="28"/>
    </w:rPr>
  </w:style>
  <w:style w:type="character" w:customStyle="1" w:styleId="2085">
    <w:name w:val="标题 6 Char2"/>
    <w:basedOn w:val="133"/>
    <w:autoRedefine/>
    <w:semiHidden/>
    <w:qFormat/>
    <w:uiPriority w:val="0"/>
    <w:rPr>
      <w:rFonts w:asciiTheme="majorHAnsi" w:hAnsiTheme="majorHAnsi" w:eastAsiaTheme="majorEastAsia" w:cstheme="majorBidi"/>
      <w:b/>
      <w:bCs/>
      <w:kern w:val="2"/>
      <w:sz w:val="24"/>
      <w:szCs w:val="24"/>
    </w:rPr>
  </w:style>
  <w:style w:type="character" w:customStyle="1" w:styleId="2086">
    <w:name w:val="标题 7 Char1"/>
    <w:basedOn w:val="133"/>
    <w:autoRedefine/>
    <w:semiHidden/>
    <w:qFormat/>
    <w:uiPriority w:val="0"/>
    <w:rPr>
      <w:rFonts w:ascii="Times New Roman" w:hAnsi="Times New Roman" w:cs="Times New Roman"/>
      <w:b/>
      <w:bCs/>
      <w:kern w:val="2"/>
      <w:sz w:val="24"/>
      <w:szCs w:val="24"/>
    </w:rPr>
  </w:style>
  <w:style w:type="character" w:customStyle="1" w:styleId="2087">
    <w:name w:val="标题 8 Char1"/>
    <w:basedOn w:val="133"/>
    <w:autoRedefine/>
    <w:semiHidden/>
    <w:qFormat/>
    <w:uiPriority w:val="0"/>
    <w:rPr>
      <w:rFonts w:asciiTheme="majorHAnsi" w:hAnsiTheme="majorHAnsi" w:eastAsiaTheme="majorEastAsia" w:cstheme="majorBidi"/>
      <w:kern w:val="2"/>
      <w:sz w:val="24"/>
      <w:szCs w:val="24"/>
    </w:rPr>
  </w:style>
  <w:style w:type="character" w:customStyle="1" w:styleId="2088">
    <w:name w:val="标题 9 Char1"/>
    <w:basedOn w:val="133"/>
    <w:autoRedefine/>
    <w:semiHidden/>
    <w:qFormat/>
    <w:uiPriority w:val="0"/>
    <w:rPr>
      <w:rFonts w:asciiTheme="majorHAnsi" w:hAnsiTheme="majorHAnsi" w:eastAsiaTheme="majorEastAsia" w:cstheme="majorBidi"/>
      <w:kern w:val="2"/>
      <w:sz w:val="21"/>
      <w:szCs w:val="21"/>
    </w:rPr>
  </w:style>
  <w:style w:type="character" w:customStyle="1" w:styleId="2089">
    <w:name w:val="注释标题 Char1"/>
    <w:basedOn w:val="133"/>
    <w:autoRedefine/>
    <w:semiHidden/>
    <w:qFormat/>
    <w:uiPriority w:val="0"/>
    <w:rPr>
      <w:rFonts w:ascii="Times New Roman" w:hAnsi="Times New Roman" w:cs="Times New Roman"/>
      <w:kern w:val="2"/>
      <w:sz w:val="24"/>
    </w:rPr>
  </w:style>
  <w:style w:type="paragraph" w:customStyle="1" w:styleId="2090">
    <w:name w:val="Char1 Char2"/>
    <w:basedOn w:val="1"/>
    <w:autoRedefine/>
    <w:qFormat/>
    <w:uiPriority w:val="99"/>
    <w:pPr>
      <w:adjustRightInd/>
      <w:snapToGrid/>
      <w:spacing w:line="360" w:lineRule="auto"/>
    </w:pPr>
    <w:rPr>
      <w:rFonts w:ascii="宋体" w:hAnsi="宋体" w:cs="宋体"/>
      <w:szCs w:val="24"/>
    </w:rPr>
  </w:style>
  <w:style w:type="character" w:customStyle="1" w:styleId="2091">
    <w:name w:val="正文文本 Char2"/>
    <w:basedOn w:val="133"/>
    <w:autoRedefine/>
    <w:semiHidden/>
    <w:qFormat/>
    <w:uiPriority w:val="99"/>
    <w:rPr>
      <w:rFonts w:ascii="Times New Roman" w:hAnsi="Times New Roman" w:eastAsia="仿宋_GB2312" w:cs="Times New Roman"/>
      <w:kern w:val="2"/>
      <w:sz w:val="24"/>
      <w:szCs w:val="24"/>
    </w:rPr>
  </w:style>
  <w:style w:type="character" w:customStyle="1" w:styleId="2092">
    <w:name w:val="宏文本 Char2"/>
    <w:basedOn w:val="133"/>
    <w:autoRedefine/>
    <w:semiHidden/>
    <w:qFormat/>
    <w:uiPriority w:val="0"/>
    <w:rPr>
      <w:rFonts w:ascii="Courier New" w:hAnsi="Courier New" w:cs="Courier New"/>
      <w:kern w:val="2"/>
      <w:sz w:val="24"/>
      <w:szCs w:val="24"/>
    </w:rPr>
  </w:style>
  <w:style w:type="character" w:customStyle="1" w:styleId="2093">
    <w:name w:val="电子邮件签名 Char2"/>
    <w:basedOn w:val="133"/>
    <w:autoRedefine/>
    <w:semiHidden/>
    <w:qFormat/>
    <w:uiPriority w:val="0"/>
    <w:rPr>
      <w:rFonts w:ascii="Times New Roman" w:hAnsi="Times New Roman" w:cs="Times New Roman"/>
      <w:kern w:val="2"/>
      <w:sz w:val="24"/>
    </w:rPr>
  </w:style>
  <w:style w:type="character" w:customStyle="1" w:styleId="2094">
    <w:name w:val="称呼 Char2"/>
    <w:basedOn w:val="133"/>
    <w:autoRedefine/>
    <w:semiHidden/>
    <w:qFormat/>
    <w:uiPriority w:val="0"/>
    <w:rPr>
      <w:rFonts w:ascii="Times New Roman" w:hAnsi="Times New Roman" w:cs="Times New Roman"/>
      <w:kern w:val="2"/>
      <w:sz w:val="24"/>
    </w:rPr>
  </w:style>
  <w:style w:type="character" w:customStyle="1" w:styleId="2095">
    <w:name w:val="明显引用 Char3"/>
    <w:basedOn w:val="133"/>
    <w:autoRedefine/>
    <w:qFormat/>
    <w:uiPriority w:val="0"/>
    <w:rPr>
      <w:rFonts w:ascii="Times New Roman" w:hAnsi="Times New Roman" w:cs="Times New Roman"/>
      <w:b/>
      <w:bCs/>
      <w:i/>
      <w:iCs/>
      <w:color w:val="5B9BD5" w:themeColor="accent1"/>
      <w:kern w:val="2"/>
      <w:sz w:val="24"/>
      <w14:textFill>
        <w14:solidFill>
          <w14:schemeClr w14:val="accent1"/>
        </w14:solidFill>
      </w14:textFill>
    </w:rPr>
  </w:style>
  <w:style w:type="character" w:customStyle="1" w:styleId="2096">
    <w:name w:val="结束语 Char1"/>
    <w:basedOn w:val="133"/>
    <w:autoRedefine/>
    <w:semiHidden/>
    <w:qFormat/>
    <w:uiPriority w:val="0"/>
    <w:rPr>
      <w:rFonts w:ascii="Times New Roman" w:hAnsi="Times New Roman" w:cs="Times New Roman"/>
      <w:kern w:val="2"/>
      <w:sz w:val="24"/>
    </w:rPr>
  </w:style>
  <w:style w:type="character" w:customStyle="1" w:styleId="2097">
    <w:name w:val="签名 Char1"/>
    <w:basedOn w:val="133"/>
    <w:autoRedefine/>
    <w:semiHidden/>
    <w:qFormat/>
    <w:uiPriority w:val="0"/>
    <w:rPr>
      <w:rFonts w:ascii="Times New Roman" w:hAnsi="Times New Roman" w:cs="Times New Roman"/>
      <w:kern w:val="2"/>
      <w:sz w:val="24"/>
    </w:rPr>
  </w:style>
  <w:style w:type="character" w:customStyle="1" w:styleId="2098">
    <w:name w:val="信息标题 Char1"/>
    <w:basedOn w:val="133"/>
    <w:autoRedefine/>
    <w:semiHidden/>
    <w:qFormat/>
    <w:uiPriority w:val="0"/>
    <w:rPr>
      <w:rFonts w:asciiTheme="majorHAnsi" w:hAnsiTheme="majorHAnsi" w:eastAsiaTheme="majorEastAsia" w:cstheme="majorBidi"/>
      <w:kern w:val="2"/>
      <w:sz w:val="24"/>
      <w:szCs w:val="24"/>
      <w:shd w:val="pct20" w:color="auto" w:fill="auto"/>
    </w:rPr>
  </w:style>
  <w:style w:type="paragraph" w:customStyle="1" w:styleId="2099">
    <w:name w:val="表格文字-hao-居中"/>
    <w:next w:val="1"/>
    <w:link w:val="2100"/>
    <w:autoRedefine/>
    <w:qFormat/>
    <w:uiPriority w:val="0"/>
    <w:pPr>
      <w:widowControl w:val="0"/>
      <w:adjustRightInd w:val="0"/>
      <w:snapToGrid w:val="0"/>
      <w:spacing w:line="320" w:lineRule="exact"/>
      <w:jc w:val="center"/>
      <w:textAlignment w:val="center"/>
    </w:pPr>
    <w:rPr>
      <w:rFonts w:ascii="Times New Roman" w:hAnsi="Times New Roman" w:eastAsia="宋体" w:cs="Times New Roman"/>
      <w:bCs/>
      <w:snapToGrid w:val="0"/>
      <w:kern w:val="2"/>
      <w:sz w:val="22"/>
      <w:szCs w:val="18"/>
      <w:lang w:val="en-US" w:eastAsia="zh-CN" w:bidi="ar-SA"/>
    </w:rPr>
  </w:style>
  <w:style w:type="character" w:customStyle="1" w:styleId="2100">
    <w:name w:val="表格文字-hao-居中 Char"/>
    <w:link w:val="2099"/>
    <w:autoRedefine/>
    <w:qFormat/>
    <w:uiPriority w:val="0"/>
    <w:rPr>
      <w:rFonts w:ascii="Times New Roman" w:hAnsi="Times New Roman"/>
      <w:bCs/>
      <w:snapToGrid w:val="0"/>
      <w:kern w:val="2"/>
      <w:sz w:val="22"/>
      <w:szCs w:val="18"/>
    </w:rPr>
  </w:style>
  <w:style w:type="paragraph" w:styleId="2101">
    <w:name w:val="List Paragraph"/>
    <w:basedOn w:val="1"/>
    <w:autoRedefine/>
    <w:qFormat/>
    <w:uiPriority w:val="0"/>
    <w:pPr>
      <w:ind w:firstLine="420"/>
    </w:pPr>
  </w:style>
  <w:style w:type="paragraph" w:customStyle="1" w:styleId="2102">
    <w:name w:val="修订3"/>
    <w:autoRedefine/>
    <w:hidden/>
    <w:semiHidden/>
    <w:qFormat/>
    <w:uiPriority w:val="99"/>
    <w:rPr>
      <w:rFonts w:ascii="Times New Roman" w:hAnsi="Times New Roman" w:eastAsia="宋体" w:cs="Times New Roman"/>
      <w:kern w:val="2"/>
      <w:sz w:val="24"/>
      <w:lang w:val="en-US" w:eastAsia="zh-CN" w:bidi="ar-SA"/>
    </w:rPr>
  </w:style>
  <w:style w:type="paragraph" w:customStyle="1" w:styleId="2103">
    <w:name w:val="标题 31"/>
    <w:basedOn w:val="1"/>
    <w:autoRedefine/>
    <w:qFormat/>
    <w:uiPriority w:val="0"/>
    <w:pPr>
      <w:adjustRightInd/>
      <w:snapToGrid/>
      <w:spacing w:line="240" w:lineRule="auto"/>
      <w:ind w:firstLine="0" w:firstLineChars="0"/>
      <w:jc w:val="left"/>
      <w:outlineLvl w:val="3"/>
    </w:pPr>
    <w:rPr>
      <w:rFonts w:ascii="宋体" w:hAnsi="宋体" w:cstheme="minorBidi"/>
      <w:b/>
      <w:bCs/>
      <w:kern w:val="0"/>
      <w:sz w:val="30"/>
      <w:szCs w:val="30"/>
      <w:lang w:eastAsia="en-US"/>
    </w:rPr>
  </w:style>
  <w:style w:type="character" w:customStyle="1" w:styleId="2104">
    <w:name w:val="正文缩进2字符 Char Char"/>
    <w:basedOn w:val="133"/>
    <w:link w:val="2105"/>
    <w:autoRedefine/>
    <w:qFormat/>
    <w:uiPriority w:val="0"/>
    <w:rPr>
      <w:kern w:val="2"/>
      <w:sz w:val="24"/>
      <w:szCs w:val="24"/>
    </w:rPr>
  </w:style>
  <w:style w:type="paragraph" w:customStyle="1" w:styleId="2105">
    <w:name w:val="正文缩进2字符"/>
    <w:basedOn w:val="1"/>
    <w:next w:val="1"/>
    <w:link w:val="2104"/>
    <w:autoRedefine/>
    <w:qFormat/>
    <w:uiPriority w:val="0"/>
    <w:pPr>
      <w:adjustRightInd/>
      <w:snapToGrid/>
      <w:spacing w:beforeLines="15" w:line="240" w:lineRule="auto"/>
    </w:pPr>
    <w:rPr>
      <w:szCs w:val="24"/>
    </w:rPr>
  </w:style>
  <w:style w:type="paragraph" w:customStyle="1" w:styleId="2106">
    <w:name w:val="Char1 Char Char Char Char Char Char Char Char1 Char Char Char"/>
    <w:basedOn w:val="1"/>
    <w:autoRedefine/>
    <w:qFormat/>
    <w:uiPriority w:val="0"/>
    <w:pPr>
      <w:adjustRightInd/>
      <w:spacing w:line="360" w:lineRule="auto"/>
    </w:pPr>
    <w:rPr>
      <w:szCs w:val="24"/>
    </w:rPr>
  </w:style>
  <w:style w:type="character" w:customStyle="1" w:styleId="2107">
    <w:name w:val="样式 四号 首行缩进:  0.95 厘米 Char Char"/>
    <w:link w:val="2108"/>
    <w:autoRedefine/>
    <w:qFormat/>
    <w:uiPriority w:val="0"/>
    <w:rPr>
      <w:rFonts w:ascii="宋体"/>
      <w:kern w:val="2"/>
      <w:sz w:val="24"/>
    </w:rPr>
  </w:style>
  <w:style w:type="paragraph" w:customStyle="1" w:styleId="2108">
    <w:name w:val="样式 四号 首行缩进:  0.95 厘米 Char"/>
    <w:basedOn w:val="1"/>
    <w:link w:val="2107"/>
    <w:autoRedefine/>
    <w:qFormat/>
    <w:uiPriority w:val="0"/>
    <w:pPr>
      <w:adjustRightInd/>
      <w:snapToGrid/>
      <w:spacing w:line="360" w:lineRule="auto"/>
      <w:ind w:firstLine="539" w:firstLineChars="0"/>
    </w:pPr>
    <w:rPr>
      <w:rFonts w:ascii="宋体"/>
    </w:rPr>
  </w:style>
  <w:style w:type="character" w:customStyle="1" w:styleId="2109">
    <w:name w:val="4级 Char"/>
    <w:link w:val="2110"/>
    <w:autoRedefine/>
    <w:qFormat/>
    <w:uiPriority w:val="0"/>
    <w:rPr>
      <w:rFonts w:ascii="Arial" w:hAnsi="Arial" w:eastAsia="黑体" w:cs="宋体"/>
      <w:b/>
      <w:bCs/>
      <w:kern w:val="2"/>
      <w:sz w:val="24"/>
      <w:szCs w:val="28"/>
    </w:rPr>
  </w:style>
  <w:style w:type="paragraph" w:customStyle="1" w:styleId="2110">
    <w:name w:val="4级"/>
    <w:basedOn w:val="6"/>
    <w:link w:val="2109"/>
    <w:autoRedefine/>
    <w:qFormat/>
    <w:uiPriority w:val="0"/>
    <w:pPr>
      <w:numPr>
        <w:ilvl w:val="0"/>
        <w:numId w:val="0"/>
      </w:numPr>
      <w:adjustRightInd/>
      <w:snapToGrid/>
      <w:spacing w:before="120" w:after="120" w:line="240" w:lineRule="auto"/>
    </w:pPr>
    <w:rPr>
      <w:rFonts w:ascii="Arial" w:hAnsi="Arial" w:eastAsia="黑体" w:cs="宋体"/>
      <w:lang w:val="en-US"/>
    </w:rPr>
  </w:style>
  <w:style w:type="character" w:customStyle="1" w:styleId="2111">
    <w:name w:val="!正文 Char"/>
    <w:link w:val="2112"/>
    <w:autoRedefine/>
    <w:qFormat/>
    <w:uiPriority w:val="0"/>
    <w:rPr>
      <w:sz w:val="24"/>
    </w:rPr>
  </w:style>
  <w:style w:type="paragraph" w:customStyle="1" w:styleId="2112">
    <w:name w:val="!正文"/>
    <w:basedOn w:val="1"/>
    <w:link w:val="2111"/>
    <w:autoRedefine/>
    <w:qFormat/>
    <w:uiPriority w:val="0"/>
    <w:pPr>
      <w:adjustRightInd/>
      <w:snapToGrid/>
      <w:spacing w:line="360" w:lineRule="auto"/>
    </w:pPr>
    <w:rPr>
      <w:kern w:val="0"/>
    </w:rPr>
  </w:style>
  <w:style w:type="paragraph" w:customStyle="1" w:styleId="2113">
    <w:name w:val="0730-表内文字"/>
    <w:basedOn w:val="1"/>
    <w:next w:val="2112"/>
    <w:autoRedefine/>
    <w:qFormat/>
    <w:uiPriority w:val="0"/>
    <w:pPr>
      <w:adjustRightInd/>
      <w:snapToGrid/>
      <w:spacing w:line="360" w:lineRule="auto"/>
      <w:ind w:firstLine="0" w:firstLineChars="0"/>
      <w:jc w:val="center"/>
    </w:pPr>
    <w:rPr>
      <w:sz w:val="21"/>
      <w:szCs w:val="24"/>
    </w:rPr>
  </w:style>
  <w:style w:type="character" w:customStyle="1" w:styleId="2114">
    <w:name w:val="3级 Char"/>
    <w:link w:val="2115"/>
    <w:autoRedefine/>
    <w:qFormat/>
    <w:uiPriority w:val="0"/>
    <w:rPr>
      <w:rFonts w:eastAsia="黑体"/>
      <w:bCs/>
      <w:kern w:val="2"/>
      <w:sz w:val="28"/>
      <w:szCs w:val="32"/>
    </w:rPr>
  </w:style>
  <w:style w:type="paragraph" w:customStyle="1" w:styleId="2115">
    <w:name w:val="3级"/>
    <w:basedOn w:val="5"/>
    <w:link w:val="2114"/>
    <w:autoRedefine/>
    <w:qFormat/>
    <w:uiPriority w:val="0"/>
    <w:pPr>
      <w:numPr>
        <w:ilvl w:val="0"/>
        <w:numId w:val="0"/>
      </w:numPr>
      <w:adjustRightInd/>
      <w:snapToGrid/>
      <w:spacing w:before="120" w:after="120" w:line="240" w:lineRule="auto"/>
      <w:jc w:val="left"/>
    </w:pPr>
    <w:rPr>
      <w:rFonts w:eastAsia="黑体"/>
      <w:b w:val="0"/>
      <w:sz w:val="28"/>
      <w:lang w:val="en-US"/>
    </w:rPr>
  </w:style>
  <w:style w:type="character" w:customStyle="1" w:styleId="2116">
    <w:name w:val="2级 Char"/>
    <w:link w:val="2117"/>
    <w:autoRedefine/>
    <w:qFormat/>
    <w:uiPriority w:val="0"/>
    <w:rPr>
      <w:rFonts w:ascii="Arial" w:hAnsi="Arial" w:eastAsia="黑体"/>
      <w:b/>
      <w:bCs/>
      <w:kern w:val="2"/>
      <w:sz w:val="30"/>
      <w:szCs w:val="32"/>
    </w:rPr>
  </w:style>
  <w:style w:type="paragraph" w:customStyle="1" w:styleId="2117">
    <w:name w:val="2级"/>
    <w:basedOn w:val="4"/>
    <w:link w:val="2116"/>
    <w:autoRedefine/>
    <w:qFormat/>
    <w:uiPriority w:val="0"/>
    <w:pPr>
      <w:numPr>
        <w:ilvl w:val="0"/>
        <w:numId w:val="0"/>
      </w:numPr>
      <w:adjustRightInd/>
      <w:snapToGrid/>
      <w:spacing w:beforeLines="40" w:afterLines="40" w:line="240" w:lineRule="auto"/>
      <w:jc w:val="left"/>
    </w:pPr>
    <w:rPr>
      <w:rFonts w:ascii="Arial" w:hAnsi="Arial" w:eastAsia="黑体"/>
      <w:sz w:val="30"/>
      <w:lang w:val="en-US"/>
    </w:rPr>
  </w:style>
  <w:style w:type="paragraph" w:customStyle="1" w:styleId="2118">
    <w:name w:val="Table Paragraph"/>
    <w:basedOn w:val="1"/>
    <w:autoRedefine/>
    <w:qFormat/>
    <w:uiPriority w:val="1"/>
    <w:pPr>
      <w:autoSpaceDE w:val="0"/>
      <w:autoSpaceDN w:val="0"/>
      <w:snapToGrid/>
      <w:spacing w:line="240" w:lineRule="auto"/>
      <w:ind w:firstLine="0" w:firstLineChars="0"/>
      <w:jc w:val="left"/>
    </w:pPr>
    <w:rPr>
      <w:rFonts w:eastAsiaTheme="minorEastAsia"/>
      <w:kern w:val="0"/>
      <w:szCs w:val="24"/>
    </w:rPr>
  </w:style>
  <w:style w:type="paragraph" w:customStyle="1" w:styleId="2119">
    <w:name w:val="标题 21"/>
    <w:basedOn w:val="1"/>
    <w:autoRedefine/>
    <w:qFormat/>
    <w:uiPriority w:val="1"/>
    <w:pPr>
      <w:adjustRightInd/>
      <w:snapToGrid/>
      <w:spacing w:line="240" w:lineRule="auto"/>
      <w:ind w:left="120" w:firstLine="0" w:firstLineChars="0"/>
      <w:jc w:val="left"/>
      <w:outlineLvl w:val="2"/>
    </w:pPr>
    <w:rPr>
      <w:rFonts w:ascii="宋体" w:hAnsi="宋体" w:cstheme="minorBidi"/>
      <w:b/>
      <w:bCs/>
      <w:kern w:val="0"/>
      <w:sz w:val="32"/>
      <w:szCs w:val="32"/>
      <w:lang w:eastAsia="en-US"/>
    </w:rPr>
  </w:style>
  <w:style w:type="character" w:customStyle="1" w:styleId="2120">
    <w:name w:val="纯文本 Char"/>
    <w:basedOn w:val="133"/>
    <w:autoRedefine/>
    <w:qFormat/>
    <w:uiPriority w:val="0"/>
    <w:rPr>
      <w:rFonts w:ascii="宋体" w:hAnsi="Courier New"/>
      <w:kern w:val="2"/>
      <w:sz w:val="21"/>
    </w:rPr>
  </w:style>
  <w:style w:type="paragraph" w:customStyle="1" w:styleId="2121">
    <w:name w:val="0-表格"/>
    <w:basedOn w:val="1"/>
    <w:autoRedefine/>
    <w:qFormat/>
    <w:uiPriority w:val="0"/>
    <w:pPr>
      <w:spacing w:line="240" w:lineRule="auto"/>
      <w:ind w:firstLine="0" w:firstLineChars="0"/>
      <w:jc w:val="center"/>
    </w:pPr>
    <w:rPr>
      <w:rFonts w:eastAsia="仿宋_GB2312"/>
      <w:kern w:val="0"/>
      <w:szCs w:val="21"/>
    </w:rPr>
  </w:style>
  <w:style w:type="character" w:customStyle="1" w:styleId="2122">
    <w:name w:val="未处理的提及2"/>
    <w:basedOn w:val="133"/>
    <w:autoRedefine/>
    <w:semiHidden/>
    <w:unhideWhenUsed/>
    <w:qFormat/>
    <w:uiPriority w:val="99"/>
    <w:rPr>
      <w:color w:val="605E5C"/>
      <w:shd w:val="clear" w:color="auto" w:fill="E1DFDD"/>
    </w:rPr>
  </w:style>
  <w:style w:type="paragraph" w:customStyle="1" w:styleId="2123">
    <w:name w:val="正文-L"/>
    <w:basedOn w:val="1"/>
    <w:link w:val="2124"/>
    <w:autoRedefine/>
    <w:qFormat/>
    <w:uiPriority w:val="0"/>
    <w:pPr>
      <w:spacing w:line="440" w:lineRule="exact"/>
      <w:ind w:firstLine="480"/>
    </w:pPr>
    <w:rPr>
      <w:rFonts w:cstheme="minorBidi"/>
      <w:szCs w:val="21"/>
    </w:rPr>
  </w:style>
  <w:style w:type="character" w:customStyle="1" w:styleId="2124">
    <w:name w:val="正文-L 字符"/>
    <w:basedOn w:val="133"/>
    <w:link w:val="2123"/>
    <w:autoRedefine/>
    <w:qFormat/>
    <w:uiPriority w:val="0"/>
    <w:rPr>
      <w:rFonts w:cstheme="minorBidi"/>
      <w:kern w:val="2"/>
      <w:sz w:val="24"/>
      <w:szCs w:val="21"/>
    </w:rPr>
  </w:style>
  <w:style w:type="paragraph" w:customStyle="1" w:styleId="2125">
    <w:name w:val="表内容-L"/>
    <w:basedOn w:val="676"/>
    <w:link w:val="2127"/>
    <w:autoRedefine/>
    <w:qFormat/>
    <w:uiPriority w:val="0"/>
    <w:rPr>
      <w:lang w:val="en-US"/>
    </w:rPr>
  </w:style>
  <w:style w:type="paragraph" w:customStyle="1" w:styleId="2126">
    <w:name w:val="表图头-L"/>
    <w:basedOn w:val="674"/>
    <w:link w:val="2128"/>
    <w:autoRedefine/>
    <w:qFormat/>
    <w:uiPriority w:val="0"/>
    <w:pPr>
      <w:spacing w:line="240" w:lineRule="auto"/>
    </w:pPr>
    <w:rPr>
      <w:rFonts w:cstheme="minorBidi"/>
      <w:sz w:val="21"/>
      <w:lang w:val="en-US"/>
    </w:rPr>
  </w:style>
  <w:style w:type="character" w:customStyle="1" w:styleId="2127">
    <w:name w:val="表内容-L 字符"/>
    <w:basedOn w:val="677"/>
    <w:link w:val="2125"/>
    <w:autoRedefine/>
    <w:qFormat/>
    <w:uiPriority w:val="0"/>
    <w:rPr>
      <w:rFonts w:ascii="Times New Roman" w:hAnsi="Times New Roman"/>
      <w:kern w:val="2"/>
      <w:sz w:val="21"/>
    </w:rPr>
  </w:style>
  <w:style w:type="character" w:customStyle="1" w:styleId="2128">
    <w:name w:val="表图头-L 字符"/>
    <w:basedOn w:val="675"/>
    <w:link w:val="2126"/>
    <w:autoRedefine/>
    <w:qFormat/>
    <w:uiPriority w:val="0"/>
    <w:rPr>
      <w:rFonts w:ascii="Times New Roman" w:hAnsi="Times New Roman" w:cstheme="minorBidi"/>
      <w:kern w:val="2"/>
      <w:sz w:val="21"/>
      <w:szCs w:val="22"/>
    </w:rPr>
  </w:style>
  <w:style w:type="paragraph" w:customStyle="1" w:styleId="2129">
    <w:name w:val="正文带符号"/>
    <w:basedOn w:val="1"/>
    <w:autoRedefine/>
    <w:unhideWhenUsed/>
    <w:qFormat/>
    <w:uiPriority w:val="0"/>
    <w:pPr>
      <w:numPr>
        <w:ilvl w:val="0"/>
        <w:numId w:val="9"/>
      </w:numPr>
      <w:tabs>
        <w:tab w:val="left" w:pos="300"/>
        <w:tab w:val="left" w:pos="423"/>
        <w:tab w:val="left" w:pos="525"/>
        <w:tab w:val="clear" w:pos="0"/>
      </w:tabs>
      <w:spacing w:line="240" w:lineRule="auto"/>
      <w:ind w:firstLine="0" w:firstLineChars="0"/>
    </w:pPr>
  </w:style>
  <w:style w:type="paragraph" w:customStyle="1" w:styleId="2130">
    <w:name w:val="Body Text 22"/>
    <w:basedOn w:val="1"/>
    <w:autoRedefine/>
    <w:qFormat/>
    <w:uiPriority w:val="0"/>
    <w:pPr>
      <w:widowControl/>
      <w:spacing w:after="200" w:line="440" w:lineRule="atLeast"/>
      <w:ind w:firstLine="480" w:firstLineChars="0"/>
      <w:jc w:val="left"/>
      <w:textAlignment w:val="baseline"/>
    </w:pPr>
    <w:rPr>
      <w:rFonts w:ascii="Tahoma" w:hAnsi="Tahoma" w:eastAsia="仿宋_GB2312" w:cs="Dutch801 Rm BT"/>
      <w:kern w:val="0"/>
    </w:rPr>
  </w:style>
  <w:style w:type="character" w:customStyle="1" w:styleId="2131">
    <w:name w:val="批注文字 字符1"/>
    <w:basedOn w:val="133"/>
    <w:autoRedefine/>
    <w:semiHidden/>
    <w:qFormat/>
    <w:uiPriority w:val="0"/>
    <w:rPr>
      <w:rFonts w:ascii="Calibri" w:hAnsi="Calibri"/>
      <w:kern w:val="2"/>
      <w:sz w:val="21"/>
      <w:szCs w:val="22"/>
    </w:rPr>
  </w:style>
  <w:style w:type="paragraph" w:customStyle="1" w:styleId="2132">
    <w:name w:val="标题4 第1条"/>
    <w:basedOn w:val="6"/>
    <w:autoRedefine/>
    <w:qFormat/>
    <w:uiPriority w:val="0"/>
    <w:pPr>
      <w:numPr>
        <w:ilvl w:val="0"/>
        <w:numId w:val="10"/>
      </w:numPr>
      <w:adjustRightInd/>
      <w:snapToGrid/>
      <w:spacing w:beforeLines="10" w:afterLines="10" w:line="288" w:lineRule="auto"/>
      <w:ind w:left="0" w:firstLine="0" w:firstLineChars="200"/>
      <w:jc w:val="both"/>
    </w:pPr>
    <w:rPr>
      <w:rFonts w:ascii="Cambria" w:hAnsi="Cambria"/>
      <w:b w:val="0"/>
      <w:lang w:val="en-US"/>
    </w:rPr>
  </w:style>
  <w:style w:type="character" w:customStyle="1" w:styleId="2133">
    <w:name w:val="表中文字 Char"/>
    <w:autoRedefine/>
    <w:qFormat/>
    <w:uiPriority w:val="0"/>
    <w:rPr>
      <w:rFonts w:ascii="Arial" w:hAnsi="Arial" w:eastAsia="楷体_GB2312"/>
    </w:rPr>
  </w:style>
  <w:style w:type="paragraph" w:customStyle="1" w:styleId="2134">
    <w:name w:val="CM26"/>
    <w:basedOn w:val="1"/>
    <w:next w:val="1"/>
    <w:autoRedefine/>
    <w:qFormat/>
    <w:uiPriority w:val="99"/>
    <w:pPr>
      <w:autoSpaceDE w:val="0"/>
      <w:autoSpaceDN w:val="0"/>
      <w:snapToGrid/>
      <w:spacing w:beforeLines="10" w:afterLines="10" w:line="471" w:lineRule="atLeast"/>
      <w:jc w:val="left"/>
    </w:pPr>
    <w:rPr>
      <w:rFonts w:ascii="宋体" w:cstheme="minorBidi"/>
      <w:kern w:val="0"/>
      <w:szCs w:val="24"/>
    </w:rPr>
  </w:style>
  <w:style w:type="paragraph" w:customStyle="1" w:styleId="2135">
    <w:name w:val="Char"/>
    <w:basedOn w:val="1"/>
    <w:autoRedefine/>
    <w:qFormat/>
    <w:uiPriority w:val="0"/>
    <w:pPr>
      <w:adjustRightInd/>
      <w:snapToGrid/>
      <w:spacing w:beforeLines="10" w:afterLines="10" w:line="360" w:lineRule="auto"/>
    </w:pPr>
    <w:rPr>
      <w:rFonts w:ascii="Tahoma" w:hAnsi="Tahoma"/>
    </w:rPr>
  </w:style>
  <w:style w:type="paragraph" w:customStyle="1" w:styleId="2136">
    <w:name w:val="char"/>
    <w:basedOn w:val="1"/>
    <w:autoRedefine/>
    <w:qFormat/>
    <w:uiPriority w:val="0"/>
    <w:pPr>
      <w:widowControl/>
      <w:adjustRightInd/>
      <w:snapToGrid/>
      <w:spacing w:beforeLines="10" w:afterLines="10" w:line="360" w:lineRule="auto"/>
      <w:jc w:val="left"/>
    </w:pPr>
    <w:rPr>
      <w:rFonts w:ascii="Verdana" w:hAnsi="Verdana" w:eastAsia="仿宋_GB2312" w:cs="”“Times New Roman”“"/>
      <w:kern w:val="0"/>
      <w:sz w:val="28"/>
      <w:szCs w:val="28"/>
      <w:lang w:eastAsia="en-US"/>
    </w:rPr>
  </w:style>
  <w:style w:type="paragraph" w:customStyle="1" w:styleId="2137">
    <w:name w:val="标题1"/>
    <w:basedOn w:val="1"/>
    <w:link w:val="2139"/>
    <w:autoRedefine/>
    <w:qFormat/>
    <w:uiPriority w:val="0"/>
    <w:pPr>
      <w:adjustRightInd/>
      <w:snapToGrid/>
      <w:spacing w:beforeLines="100" w:afterLines="100" w:line="360" w:lineRule="auto"/>
      <w:ind w:firstLine="0" w:firstLineChars="0"/>
      <w:jc w:val="center"/>
      <w:outlineLvl w:val="0"/>
    </w:pPr>
    <w:rPr>
      <w:rFonts w:cstheme="minorBidi"/>
      <w:b/>
      <w:color w:val="000000"/>
      <w:sz w:val="28"/>
      <w:szCs w:val="28"/>
    </w:rPr>
  </w:style>
  <w:style w:type="paragraph" w:customStyle="1" w:styleId="2138">
    <w:name w:val="标题2"/>
    <w:basedOn w:val="1"/>
    <w:link w:val="2140"/>
    <w:autoRedefine/>
    <w:qFormat/>
    <w:uiPriority w:val="0"/>
    <w:pPr>
      <w:adjustRightInd/>
      <w:snapToGrid/>
      <w:spacing w:beforeLines="50" w:afterLines="50" w:line="360" w:lineRule="auto"/>
      <w:ind w:firstLine="0" w:firstLineChars="0"/>
      <w:outlineLvl w:val="1"/>
    </w:pPr>
    <w:rPr>
      <w:rFonts w:cstheme="minorBidi"/>
      <w:b/>
      <w:color w:val="000000"/>
      <w:szCs w:val="22"/>
    </w:rPr>
  </w:style>
  <w:style w:type="character" w:customStyle="1" w:styleId="2139">
    <w:name w:val="标题1 Char"/>
    <w:basedOn w:val="133"/>
    <w:link w:val="2137"/>
    <w:autoRedefine/>
    <w:qFormat/>
    <w:uiPriority w:val="0"/>
    <w:rPr>
      <w:rFonts w:cstheme="minorBidi"/>
      <w:b/>
      <w:color w:val="000000"/>
      <w:kern w:val="2"/>
      <w:sz w:val="28"/>
      <w:szCs w:val="28"/>
    </w:rPr>
  </w:style>
  <w:style w:type="character" w:customStyle="1" w:styleId="2140">
    <w:name w:val="标题2 Char"/>
    <w:basedOn w:val="133"/>
    <w:link w:val="2138"/>
    <w:autoRedefine/>
    <w:qFormat/>
    <w:uiPriority w:val="0"/>
    <w:rPr>
      <w:rFonts w:cstheme="minorBidi"/>
      <w:b/>
      <w:color w:val="000000"/>
      <w:kern w:val="2"/>
      <w:sz w:val="24"/>
      <w:szCs w:val="22"/>
    </w:rPr>
  </w:style>
  <w:style w:type="character" w:customStyle="1" w:styleId="2141">
    <w:name w:val="注释 Char"/>
    <w:basedOn w:val="133"/>
    <w:link w:val="191"/>
    <w:autoRedefine/>
    <w:qFormat/>
    <w:uiPriority w:val="0"/>
    <w:rPr>
      <w:kern w:val="2"/>
      <w:sz w:val="21"/>
      <w:szCs w:val="21"/>
    </w:rPr>
  </w:style>
  <w:style w:type="character" w:customStyle="1" w:styleId="2142">
    <w:name w:val="标题4 Char"/>
    <w:basedOn w:val="133"/>
    <w:link w:val="188"/>
    <w:autoRedefine/>
    <w:qFormat/>
    <w:uiPriority w:val="0"/>
    <w:rPr>
      <w:kern w:val="2"/>
      <w:sz w:val="24"/>
      <w:szCs w:val="28"/>
    </w:rPr>
  </w:style>
  <w:style w:type="paragraph" w:customStyle="1" w:styleId="2143">
    <w:name w:val="TOC 标题2"/>
    <w:basedOn w:val="3"/>
    <w:next w:val="1"/>
    <w:autoRedefine/>
    <w:unhideWhenUsed/>
    <w:qFormat/>
    <w:uiPriority w:val="39"/>
    <w:pPr>
      <w:widowControl/>
      <w:numPr>
        <w:numId w:val="0"/>
      </w:numPr>
      <w:adjustRightInd/>
      <w:snapToGrid/>
      <w:spacing w:before="340" w:after="330" w:line="276" w:lineRule="auto"/>
      <w:outlineLvl w:val="9"/>
    </w:pPr>
    <w:rPr>
      <w:rFonts w:asciiTheme="majorHAnsi" w:hAnsiTheme="majorHAnsi" w:eastAsiaTheme="majorEastAsia" w:cstheme="majorBidi"/>
      <w:color w:val="2E75B6" w:themeColor="accent1" w:themeShade="BF"/>
      <w:kern w:val="0"/>
      <w:szCs w:val="28"/>
      <w:lang w:val="en-US"/>
    </w:rPr>
  </w:style>
  <w:style w:type="character" w:customStyle="1" w:styleId="2144">
    <w:name w:val="标题 5 Char"/>
    <w:basedOn w:val="133"/>
    <w:autoRedefine/>
    <w:qFormat/>
    <w:uiPriority w:val="0"/>
    <w:rPr>
      <w:rFonts w:ascii="Times New Roman" w:hAnsi="Times New Roman"/>
      <w:b/>
      <w:bCs/>
      <w:sz w:val="28"/>
      <w:szCs w:val="28"/>
    </w:rPr>
  </w:style>
  <w:style w:type="character" w:customStyle="1" w:styleId="2145">
    <w:name w:val="正文首行缩进 Char"/>
    <w:basedOn w:val="167"/>
    <w:autoRedefine/>
    <w:qFormat/>
    <w:uiPriority w:val="0"/>
    <w:rPr>
      <w:rFonts w:ascii="Times New Roman" w:hAnsi="Times New Roman"/>
      <w:sz w:val="24"/>
    </w:rPr>
  </w:style>
  <w:style w:type="character" w:customStyle="1" w:styleId="2146">
    <w:name w:val="表格正文 Char1"/>
    <w:autoRedefine/>
    <w:qFormat/>
    <w:uiPriority w:val="0"/>
    <w:rPr>
      <w:rFonts w:ascii="Times New Roman" w:hAnsi="Times New Roman" w:eastAsia="宋体" w:cs="Times New Roman"/>
      <w:kern w:val="0"/>
      <w:sz w:val="28"/>
      <w:szCs w:val="20"/>
      <w:lang w:val="zh-CN"/>
    </w:rPr>
  </w:style>
  <w:style w:type="character" w:customStyle="1" w:styleId="2147">
    <w:name w:val="普通文字 Char Char Char2"/>
    <w:autoRedefine/>
    <w:qFormat/>
    <w:uiPriority w:val="0"/>
    <w:rPr>
      <w:rFonts w:ascii="宋体" w:hAnsi="Courier New" w:eastAsia="宋体" w:cs="Times New Roman"/>
      <w:szCs w:val="20"/>
    </w:rPr>
  </w:style>
  <w:style w:type="paragraph" w:customStyle="1" w:styleId="2148">
    <w:name w:val="表题"/>
    <w:next w:val="66"/>
    <w:autoRedefine/>
    <w:qFormat/>
    <w:uiPriority w:val="0"/>
    <w:pPr>
      <w:spacing w:line="360" w:lineRule="auto"/>
      <w:jc w:val="center"/>
    </w:pPr>
    <w:rPr>
      <w:rFonts w:ascii="Times New Roman" w:hAnsi="Times New Roman" w:eastAsia="黑体" w:cs="Times New Roman"/>
      <w:b/>
      <w:kern w:val="2"/>
      <w:sz w:val="21"/>
      <w:szCs w:val="24"/>
      <w:lang w:val="en-US" w:eastAsia="zh-CN" w:bidi="ar-SA"/>
    </w:rPr>
  </w:style>
  <w:style w:type="paragraph" w:customStyle="1" w:styleId="2149">
    <w:name w:val="图"/>
    <w:basedOn w:val="1"/>
    <w:autoRedefine/>
    <w:semiHidden/>
    <w:qFormat/>
    <w:uiPriority w:val="0"/>
    <w:pPr>
      <w:adjustRightInd/>
      <w:snapToGrid/>
      <w:spacing w:beforeLines="35" w:afterLines="35" w:line="360" w:lineRule="auto"/>
      <w:ind w:firstLine="0" w:firstLineChars="0"/>
      <w:jc w:val="center"/>
    </w:pPr>
    <w:rPr>
      <w:b/>
      <w:szCs w:val="24"/>
    </w:rPr>
  </w:style>
  <w:style w:type="paragraph" w:customStyle="1" w:styleId="2150">
    <w:name w:val="样式 标题 2 + 段前: 0.5 行 段后: 0.5 行"/>
    <w:basedOn w:val="4"/>
    <w:autoRedefine/>
    <w:qFormat/>
    <w:uiPriority w:val="0"/>
    <w:pPr>
      <w:numPr>
        <w:ilvl w:val="0"/>
        <w:numId w:val="0"/>
      </w:numPr>
      <w:spacing w:before="260" w:after="260" w:line="415" w:lineRule="auto"/>
    </w:pPr>
    <w:rPr>
      <w:rFonts w:ascii="Arial" w:hAnsi="Arial" w:eastAsia="黑体"/>
      <w:color w:val="000000"/>
      <w:sz w:val="32"/>
      <w:lang w:val="en-US"/>
    </w:rPr>
  </w:style>
  <w:style w:type="paragraph" w:customStyle="1" w:styleId="2151">
    <w:name w:val="样式 四号 居中"/>
    <w:basedOn w:val="1"/>
    <w:autoRedefine/>
    <w:semiHidden/>
    <w:qFormat/>
    <w:uiPriority w:val="0"/>
    <w:pPr>
      <w:snapToGrid/>
      <w:spacing w:beforeLines="50" w:afterLines="50" w:line="460" w:lineRule="exact"/>
      <w:jc w:val="center"/>
      <w:textAlignment w:val="baseline"/>
    </w:pPr>
    <w:rPr>
      <w:rFonts w:cs="宋体"/>
    </w:rPr>
  </w:style>
  <w:style w:type="paragraph" w:customStyle="1" w:styleId="2152">
    <w:name w:val="样式 宋体 小四 行距: 固定值 23 磅"/>
    <w:basedOn w:val="1"/>
    <w:autoRedefine/>
    <w:semiHidden/>
    <w:qFormat/>
    <w:uiPriority w:val="0"/>
    <w:pPr>
      <w:adjustRightInd/>
      <w:snapToGrid/>
      <w:spacing w:beforeLines="50" w:afterLines="50" w:line="460" w:lineRule="exact"/>
      <w:ind w:firstLine="464"/>
    </w:pPr>
    <w:rPr>
      <w:rFonts w:ascii="宋体" w:hAnsi="宋体" w:cs="宋体"/>
    </w:rPr>
  </w:style>
  <w:style w:type="paragraph" w:customStyle="1" w:styleId="2153">
    <w:name w:val="样式 样式 样式 首行缩进:  2 字符 + 首行缩进:  2 字符 + 首行缩进:  2 字符"/>
    <w:basedOn w:val="1"/>
    <w:autoRedefine/>
    <w:semiHidden/>
    <w:qFormat/>
    <w:uiPriority w:val="0"/>
    <w:pPr>
      <w:adjustRightInd/>
      <w:snapToGrid/>
      <w:spacing w:beforeLines="50" w:afterLines="50" w:line="420" w:lineRule="atLeast"/>
    </w:pPr>
    <w:rPr>
      <w:rFonts w:eastAsia="仿宋_GB2312" w:cs="宋体"/>
    </w:rPr>
  </w:style>
  <w:style w:type="paragraph" w:customStyle="1" w:styleId="2154">
    <w:name w:val="样式 样式 样式 样式1 + 首行缩进:  2 字符 + 首行缩进:  2 字符 段前: 0.5 行 段后: 0.5 行 + 首..."/>
    <w:basedOn w:val="2155"/>
    <w:autoRedefine/>
    <w:semiHidden/>
    <w:qFormat/>
    <w:uiPriority w:val="0"/>
    <w:pPr>
      <w:ind w:firstLine="464"/>
    </w:pPr>
  </w:style>
  <w:style w:type="paragraph" w:customStyle="1" w:styleId="2155">
    <w:name w:val="样式 样式 样式1 + 首行缩进:  2 字符 + 首行缩进:  2 字符 段前: 0.5 行 段后: 0.5 行"/>
    <w:basedOn w:val="358"/>
    <w:autoRedefine/>
    <w:semiHidden/>
    <w:qFormat/>
    <w:uiPriority w:val="0"/>
    <w:pPr>
      <w:spacing w:beforeLines="50" w:afterLines="50" w:line="460" w:lineRule="exact"/>
      <w:ind w:firstLine="384"/>
    </w:pPr>
    <w:rPr>
      <w:rFonts w:ascii="仿宋_GB2312" w:cs="宋体"/>
    </w:rPr>
  </w:style>
  <w:style w:type="paragraph" w:customStyle="1" w:styleId="2156">
    <w:name w:val="样式 样式 样式 样式1 + 首行缩进:  2 字符 + 首行缩进:  2 字符 段前: 0.5 行 段后: 0.5 行 + 首...1"/>
    <w:basedOn w:val="2155"/>
    <w:autoRedefine/>
    <w:semiHidden/>
    <w:qFormat/>
    <w:uiPriority w:val="0"/>
    <w:pPr>
      <w:ind w:firstLine="464"/>
    </w:pPr>
  </w:style>
  <w:style w:type="paragraph" w:customStyle="1" w:styleId="2157">
    <w:name w:val="样式 样式1 + 首行缩进:  2 字符 Char Char Char Char Char Char"/>
    <w:basedOn w:val="1"/>
    <w:autoRedefine/>
    <w:semiHidden/>
    <w:qFormat/>
    <w:uiPriority w:val="0"/>
    <w:pPr>
      <w:adjustRightInd/>
      <w:snapToGrid/>
      <w:spacing w:beforeLines="50" w:afterLines="50" w:line="460" w:lineRule="exact"/>
      <w:ind w:firstLine="480"/>
    </w:pPr>
    <w:rPr>
      <w:rFonts w:cs="宋体"/>
      <w:kern w:val="0"/>
      <w:lang w:val="zh-CN"/>
    </w:rPr>
  </w:style>
  <w:style w:type="paragraph" w:customStyle="1" w:styleId="2158">
    <w:name w:val="样式 样式1 + 首行缩进:  2 字符 Char Char Char Char Char Char Char Char"/>
    <w:basedOn w:val="1"/>
    <w:autoRedefine/>
    <w:semiHidden/>
    <w:qFormat/>
    <w:uiPriority w:val="0"/>
    <w:pPr>
      <w:adjustRightInd/>
      <w:snapToGrid/>
      <w:spacing w:beforeLines="50" w:afterLines="50" w:line="460" w:lineRule="exact"/>
      <w:ind w:firstLine="480"/>
    </w:pPr>
    <w:rPr>
      <w:rFonts w:cs="宋体"/>
      <w:szCs w:val="21"/>
      <w:lang w:val="zh-CN"/>
    </w:rPr>
  </w:style>
  <w:style w:type="paragraph" w:customStyle="1" w:styleId="2159">
    <w:name w:val="Char Char3 Char Char Char Char"/>
    <w:basedOn w:val="1"/>
    <w:autoRedefine/>
    <w:qFormat/>
    <w:uiPriority w:val="0"/>
    <w:pPr>
      <w:widowControl/>
      <w:tabs>
        <w:tab w:val="left" w:pos="480"/>
      </w:tabs>
      <w:adjustRightInd/>
      <w:snapToGrid/>
      <w:spacing w:line="240" w:lineRule="exact"/>
      <w:ind w:firstLine="0" w:firstLineChars="0"/>
      <w:jc w:val="left"/>
    </w:pPr>
    <w:rPr>
      <w:rFonts w:ascii="Verdana" w:hAnsi="Verdana"/>
      <w:kern w:val="0"/>
      <w:sz w:val="20"/>
      <w:lang w:eastAsia="en-US"/>
    </w:rPr>
  </w:style>
  <w:style w:type="character" w:customStyle="1" w:styleId="2160">
    <w:name w:val="pt93"/>
    <w:autoRedefine/>
    <w:qFormat/>
    <w:uiPriority w:val="0"/>
    <w:rPr>
      <w:color w:val="000000"/>
      <w:sz w:val="18"/>
      <w:szCs w:val="18"/>
      <w:u w:val="none"/>
    </w:rPr>
  </w:style>
  <w:style w:type="paragraph" w:customStyle="1" w:styleId="2161">
    <w:name w:val="Char Char Char Char Char Char Char Char Char Char Char Char1 Char Char Char Char Char Char Char Char Char Char Char Char Char Char Char Char Char Char Char"/>
    <w:basedOn w:val="1"/>
    <w:autoRedefine/>
    <w:semiHidden/>
    <w:qFormat/>
    <w:uiPriority w:val="0"/>
    <w:pPr>
      <w:adjustRightInd/>
      <w:snapToGrid/>
      <w:spacing w:line="360" w:lineRule="auto"/>
    </w:pPr>
    <w:rPr>
      <w:rFonts w:ascii="宋体" w:hAnsi="宋体" w:cs="宋体"/>
      <w:szCs w:val="26"/>
    </w:rPr>
  </w:style>
  <w:style w:type="table" w:customStyle="1" w:styleId="2162">
    <w:name w:val="表格样式-ls"/>
    <w:basedOn w:val="88"/>
    <w:autoRedefine/>
    <w:qFormat/>
    <w:uiPriority w:val="0"/>
    <w:pPr>
      <w:widowControl w:val="0"/>
      <w:adjustRightInd w:val="0"/>
      <w:spacing w:line="360" w:lineRule="exact"/>
      <w:jc w:val="center"/>
      <w:textAlignment w:val="center"/>
    </w:pPr>
    <w:rPr>
      <w:szCs w:val="21"/>
    </w:rPr>
    <w:tblPr>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
    <w:trPr>
      <w:jc w:val="center"/>
    </w:trPr>
    <w:tcPr>
      <w:shd w:val="clear" w:color="auto" w:fill="auto"/>
      <w:tcMar>
        <w:left w:w="0" w:type="dxa"/>
        <w:right w:w="0" w:type="dxa"/>
      </w:tcMar>
      <w:vAlign w:val="center"/>
    </w:tcPr>
    <w:tblStylePr w:type="firstRow">
      <w:pPr>
        <w:jc w:val="center"/>
      </w:pPr>
      <w:rPr>
        <w:rFonts w:eastAsia="宋体"/>
        <w:b w:val="0"/>
        <w:bCs/>
        <w:color w:val="auto"/>
        <w:sz w:val="21"/>
      </w:rPr>
      <w:tcPr>
        <w:tcBorders>
          <w:tl2br w:val="nil"/>
          <w:tr2bl w:val="nil"/>
        </w:tcBorders>
        <w:shd w:val="pct20" w:color="000000" w:fill="FFFFFF"/>
      </w:tcPr>
    </w:tblStylePr>
  </w:style>
  <w:style w:type="paragraph" w:customStyle="1" w:styleId="2163">
    <w:name w:val="一级标题"/>
    <w:next w:val="2164"/>
    <w:autoRedefine/>
    <w:qFormat/>
    <w:uiPriority w:val="0"/>
    <w:pPr>
      <w:tabs>
        <w:tab w:val="left" w:pos="425"/>
        <w:tab w:val="left" w:pos="9720"/>
      </w:tabs>
      <w:ind w:left="425" w:hanging="425"/>
    </w:pPr>
    <w:rPr>
      <w:rFonts w:ascii="Times New Roman" w:hAnsi="Times New Roman" w:eastAsia="黑体" w:cs="Times New Roman"/>
      <w:sz w:val="30"/>
      <w:lang w:val="en-US" w:eastAsia="zh-CN" w:bidi="ar-SA"/>
    </w:rPr>
  </w:style>
  <w:style w:type="paragraph" w:customStyle="1" w:styleId="2164">
    <w:name w:val="二级标题"/>
    <w:next w:val="1"/>
    <w:autoRedefine/>
    <w:qFormat/>
    <w:uiPriority w:val="0"/>
    <w:pPr>
      <w:spacing w:before="120" w:after="120"/>
    </w:pPr>
    <w:rPr>
      <w:rFonts w:ascii="Times New Roman" w:hAnsi="Times New Roman" w:eastAsia="宋体" w:cs="Times New Roman"/>
      <w:b/>
      <w:sz w:val="28"/>
      <w:lang w:val="en-US" w:eastAsia="zh-CN" w:bidi="ar-SA"/>
    </w:rPr>
  </w:style>
  <w:style w:type="paragraph" w:customStyle="1" w:styleId="2165">
    <w:name w:val="正文11"/>
    <w:basedOn w:val="1"/>
    <w:autoRedefine/>
    <w:qFormat/>
    <w:uiPriority w:val="0"/>
    <w:pPr>
      <w:snapToGrid/>
      <w:spacing w:line="410" w:lineRule="atLeast"/>
      <w:ind w:firstLine="0" w:firstLineChars="0"/>
      <w:jc w:val="left"/>
      <w:textAlignment w:val="baseline"/>
    </w:pPr>
    <w:rPr>
      <w:rFonts w:ascii="宋体"/>
      <w:color w:val="000000"/>
      <w:kern w:val="0"/>
    </w:rPr>
  </w:style>
  <w:style w:type="paragraph" w:customStyle="1" w:styleId="2166">
    <w:name w:val="样式 标题 1 + 华文中宋 两端对齐 左侧:  0 厘米"/>
    <w:basedOn w:val="3"/>
    <w:autoRedefine/>
    <w:qFormat/>
    <w:uiPriority w:val="0"/>
    <w:pPr>
      <w:numPr>
        <w:numId w:val="0"/>
      </w:numPr>
      <w:adjustRightInd/>
      <w:snapToGrid/>
      <w:spacing w:before="340" w:after="330" w:line="560" w:lineRule="exact"/>
      <w:jc w:val="center"/>
    </w:pPr>
    <w:rPr>
      <w:bCs w:val="0"/>
      <w:kern w:val="0"/>
      <w:sz w:val="30"/>
      <w:szCs w:val="30"/>
      <w:lang w:val="en-US"/>
    </w:rPr>
  </w:style>
  <w:style w:type="paragraph" w:customStyle="1" w:styleId="2167">
    <w:name w:val="正文文字"/>
    <w:basedOn w:val="1"/>
    <w:autoRedefine/>
    <w:qFormat/>
    <w:uiPriority w:val="0"/>
    <w:pPr>
      <w:adjustRightInd/>
      <w:spacing w:beforeLines="50" w:line="312" w:lineRule="auto"/>
      <w:ind w:firstLine="540" w:firstLineChars="225"/>
    </w:pPr>
    <w:rPr>
      <w:rFonts w:ascii="Arial" w:hAnsi="Arial" w:eastAsia="仿宋_GB2312" w:cs="Arial"/>
      <w:bCs/>
      <w:kern w:val="0"/>
      <w:szCs w:val="24"/>
      <w:lang w:val="de-DE"/>
    </w:rPr>
  </w:style>
  <w:style w:type="paragraph" w:customStyle="1" w:styleId="2168">
    <w:name w:val="表"/>
    <w:basedOn w:val="1"/>
    <w:autoRedefine/>
    <w:qFormat/>
    <w:uiPriority w:val="0"/>
    <w:pPr>
      <w:snapToGrid/>
      <w:spacing w:line="240" w:lineRule="exact"/>
      <w:ind w:firstLine="0" w:firstLineChars="0"/>
      <w:textAlignment w:val="baseline"/>
    </w:pPr>
    <w:rPr>
      <w:rFonts w:eastAsia="仿宋_GB2312"/>
      <w:spacing w:val="-20"/>
      <w:kern w:val="21"/>
      <w:sz w:val="21"/>
    </w:rPr>
  </w:style>
  <w:style w:type="paragraph" w:customStyle="1" w:styleId="2169">
    <w:name w:val="2 Char"/>
    <w:basedOn w:val="1"/>
    <w:autoRedefine/>
    <w:qFormat/>
    <w:uiPriority w:val="0"/>
    <w:pPr>
      <w:adjustRightInd/>
      <w:snapToGrid/>
      <w:spacing w:line="560" w:lineRule="exact"/>
    </w:pPr>
    <w:rPr>
      <w:rFonts w:ascii="仿宋_GB2312" w:eastAsia="仿宋_GB2312"/>
      <w:sz w:val="28"/>
      <w:szCs w:val="28"/>
    </w:rPr>
  </w:style>
  <w:style w:type="paragraph" w:customStyle="1" w:styleId="2170">
    <w:name w:val="王向东正文"/>
    <w:autoRedefine/>
    <w:qFormat/>
    <w:uiPriority w:val="0"/>
    <w:pPr>
      <w:ind w:right="17" w:rightChars="8" w:firstLine="480" w:firstLineChars="200"/>
    </w:pPr>
    <w:rPr>
      <w:rFonts w:ascii="宋体" w:hAnsi="宋体" w:eastAsia="宋体" w:cs="幼圆"/>
      <w:kern w:val="2"/>
      <w:sz w:val="24"/>
      <w:szCs w:val="24"/>
      <w:lang w:val="en-US" w:eastAsia="zh-CN" w:bidi="ar-SA"/>
    </w:rPr>
  </w:style>
  <w:style w:type="paragraph" w:customStyle="1" w:styleId="2171">
    <w:name w:val="T表格"/>
    <w:autoRedefine/>
    <w:qFormat/>
    <w:uiPriority w:val="0"/>
    <w:pPr>
      <w:widowControl w:val="0"/>
      <w:spacing w:line="280" w:lineRule="exact"/>
      <w:jc w:val="center"/>
    </w:pPr>
    <w:rPr>
      <w:rFonts w:ascii="宋体" w:hAnsi="宋体" w:eastAsia="宋体" w:cs="Times New Roman"/>
      <w:sz w:val="21"/>
      <w:szCs w:val="21"/>
      <w:lang w:val="en-US" w:eastAsia="zh-CN" w:bidi="ar-SA"/>
    </w:rPr>
  </w:style>
  <w:style w:type="paragraph" w:customStyle="1" w:styleId="2172">
    <w:name w:val="z正文"/>
    <w:basedOn w:val="35"/>
    <w:autoRedefine/>
    <w:qFormat/>
    <w:uiPriority w:val="0"/>
    <w:pPr>
      <w:autoSpaceDE w:val="0"/>
      <w:autoSpaceDN w:val="0"/>
      <w:spacing w:line="360" w:lineRule="auto"/>
      <w:ind w:left="0" w:leftChars="0"/>
      <w:textAlignment w:val="baseline"/>
    </w:pPr>
    <w:rPr>
      <w:szCs w:val="24"/>
      <w:lang w:val="en-US"/>
    </w:rPr>
  </w:style>
  <w:style w:type="character" w:customStyle="1" w:styleId="2173">
    <w:name w:val="datatitle1"/>
    <w:autoRedefine/>
    <w:qFormat/>
    <w:uiPriority w:val="0"/>
    <w:rPr>
      <w:b/>
      <w:bCs/>
      <w:color w:val="10619F"/>
      <w:sz w:val="21"/>
      <w:szCs w:val="21"/>
    </w:rPr>
  </w:style>
  <w:style w:type="character" w:customStyle="1" w:styleId="2174">
    <w:name w:val="word3noad"/>
    <w:basedOn w:val="133"/>
    <w:autoRedefine/>
    <w:qFormat/>
    <w:uiPriority w:val="0"/>
  </w:style>
  <w:style w:type="paragraph" w:customStyle="1" w:styleId="2175">
    <w:name w:val="表格编号"/>
    <w:basedOn w:val="1"/>
    <w:next w:val="1"/>
    <w:link w:val="2176"/>
    <w:autoRedefine/>
    <w:qFormat/>
    <w:uiPriority w:val="0"/>
    <w:pPr>
      <w:adjustRightInd/>
      <w:snapToGrid/>
      <w:spacing w:line="240" w:lineRule="auto"/>
      <w:ind w:firstLine="0" w:firstLineChars="0"/>
      <w:jc w:val="center"/>
    </w:pPr>
  </w:style>
  <w:style w:type="character" w:customStyle="1" w:styleId="2176">
    <w:name w:val="表格编号 Char Char"/>
    <w:link w:val="2175"/>
    <w:autoRedefine/>
    <w:qFormat/>
    <w:uiPriority w:val="0"/>
    <w:rPr>
      <w:kern w:val="2"/>
      <w:sz w:val="24"/>
    </w:rPr>
  </w:style>
  <w:style w:type="paragraph" w:customStyle="1" w:styleId="2177">
    <w:name w:val="样式 样式 标题 3标题 3 Char Char1.1.1条标3§1.1.1.. (1.1.1)- 3rd Order ...2..."/>
    <w:basedOn w:val="1"/>
    <w:autoRedefine/>
    <w:qFormat/>
    <w:uiPriority w:val="0"/>
    <w:pPr>
      <w:tabs>
        <w:tab w:val="left" w:pos="578"/>
      </w:tabs>
      <w:adjustRightInd/>
      <w:snapToGrid/>
      <w:spacing w:line="300" w:lineRule="auto"/>
      <w:ind w:firstLine="0" w:firstLineChars="0"/>
      <w:outlineLvl w:val="2"/>
    </w:pPr>
    <w:rPr>
      <w:rFonts w:ascii="Arial" w:hAnsi="Arial Narrow"/>
      <w:b/>
      <w:bCs/>
      <w:kern w:val="0"/>
      <w:szCs w:val="24"/>
    </w:rPr>
  </w:style>
  <w:style w:type="paragraph" w:customStyle="1" w:styleId="2178">
    <w:name w:val="样式 样式 标题 2_Heading 2标题 2 Char标题21.1标题 21.1节标2可研-标题 2节 Char... + ..."/>
    <w:basedOn w:val="1"/>
    <w:autoRedefine/>
    <w:qFormat/>
    <w:uiPriority w:val="0"/>
    <w:pPr>
      <w:keepNext/>
      <w:tabs>
        <w:tab w:val="left" w:pos="57"/>
      </w:tabs>
      <w:spacing w:line="300" w:lineRule="auto"/>
      <w:ind w:firstLine="0" w:firstLineChars="0"/>
      <w:outlineLvl w:val="1"/>
    </w:pPr>
    <w:rPr>
      <w:rFonts w:ascii="Arial" w:hAnsi="Arial"/>
      <w:b/>
      <w:bCs/>
      <w:szCs w:val="24"/>
    </w:rPr>
  </w:style>
  <w:style w:type="paragraph" w:customStyle="1" w:styleId="2179">
    <w:name w:val="Char Char1 Char"/>
    <w:basedOn w:val="1"/>
    <w:autoRedefine/>
    <w:qFormat/>
    <w:uiPriority w:val="0"/>
    <w:pPr>
      <w:adjustRightInd/>
      <w:snapToGrid/>
      <w:spacing w:line="240" w:lineRule="auto"/>
      <w:ind w:firstLine="0" w:firstLineChars="0"/>
    </w:pPr>
    <w:rPr>
      <w:sz w:val="21"/>
      <w:szCs w:val="24"/>
    </w:rPr>
  </w:style>
  <w:style w:type="paragraph" w:customStyle="1" w:styleId="2180">
    <w:name w:val="样式 标题 1 + 小四 非加粗 段前: 6 磅 段后: 6 磅 行距: 最小值 4 磅"/>
    <w:basedOn w:val="3"/>
    <w:autoRedefine/>
    <w:qFormat/>
    <w:uiPriority w:val="0"/>
    <w:pPr>
      <w:numPr>
        <w:numId w:val="0"/>
      </w:numPr>
      <w:adjustRightInd/>
      <w:snapToGrid/>
      <w:spacing w:before="340" w:after="330" w:line="560" w:lineRule="exact"/>
      <w:jc w:val="center"/>
    </w:pPr>
    <w:rPr>
      <w:bCs w:val="0"/>
      <w:kern w:val="0"/>
      <w:sz w:val="30"/>
      <w:szCs w:val="30"/>
      <w:lang w:val="en-US"/>
    </w:rPr>
  </w:style>
  <w:style w:type="paragraph" w:customStyle="1" w:styleId="2181">
    <w:name w:val="样式 标题 1 + 小四 段前: 7.8 磅 段后: 7.8 磅 行距: 多倍行距 1.25 字行"/>
    <w:basedOn w:val="3"/>
    <w:autoRedefine/>
    <w:qFormat/>
    <w:uiPriority w:val="0"/>
    <w:pPr>
      <w:numPr>
        <w:numId w:val="0"/>
      </w:numPr>
      <w:adjustRightInd/>
      <w:snapToGrid/>
      <w:spacing w:before="340" w:after="330" w:line="560" w:lineRule="exact"/>
      <w:jc w:val="center"/>
    </w:pPr>
    <w:rPr>
      <w:bCs w:val="0"/>
      <w:kern w:val="0"/>
      <w:sz w:val="30"/>
      <w:szCs w:val="30"/>
      <w:lang w:val="en-US"/>
    </w:rPr>
  </w:style>
  <w:style w:type="paragraph" w:customStyle="1" w:styleId="2182">
    <w:name w:val="表格文字缩进"/>
    <w:basedOn w:val="1"/>
    <w:next w:val="1"/>
    <w:autoRedefine/>
    <w:qFormat/>
    <w:uiPriority w:val="0"/>
    <w:pPr>
      <w:adjustRightInd/>
      <w:snapToGrid/>
      <w:spacing w:line="300" w:lineRule="auto"/>
      <w:ind w:firstLine="420"/>
      <w:jc w:val="center"/>
    </w:pPr>
    <w:rPr>
      <w:color w:val="000000"/>
      <w:kern w:val="0"/>
      <w:sz w:val="21"/>
      <w:szCs w:val="24"/>
    </w:rPr>
  </w:style>
  <w:style w:type="paragraph" w:customStyle="1" w:styleId="2183">
    <w:name w:val="Tabelle"/>
    <w:basedOn w:val="1"/>
    <w:autoRedefine/>
    <w:qFormat/>
    <w:uiPriority w:val="0"/>
    <w:pPr>
      <w:widowControl/>
      <w:autoSpaceDE w:val="0"/>
      <w:autoSpaceDN w:val="0"/>
      <w:snapToGrid/>
      <w:spacing w:line="300" w:lineRule="auto"/>
      <w:ind w:firstLine="0" w:firstLineChars="0"/>
      <w:jc w:val="center"/>
    </w:pPr>
    <w:rPr>
      <w:rFonts w:ascii="Arial" w:hAnsi="Arial"/>
      <w:color w:val="000000"/>
      <w:kern w:val="0"/>
      <w:sz w:val="20"/>
      <w:lang w:val="en-GB"/>
    </w:rPr>
  </w:style>
  <w:style w:type="paragraph" w:customStyle="1" w:styleId="2184">
    <w:name w:val="表格文字左对齐"/>
    <w:basedOn w:val="504"/>
    <w:next w:val="504"/>
    <w:autoRedefine/>
    <w:qFormat/>
    <w:uiPriority w:val="0"/>
    <w:pPr>
      <w:autoSpaceDE/>
      <w:autoSpaceDN/>
      <w:snapToGrid w:val="0"/>
      <w:spacing w:line="300" w:lineRule="auto"/>
      <w:jc w:val="center"/>
    </w:pPr>
    <w:rPr>
      <w:rFonts w:ascii="Arial" w:hAnsi="Arial" w:eastAsia="宋体"/>
      <w:b/>
    </w:rPr>
  </w:style>
  <w:style w:type="paragraph" w:customStyle="1" w:styleId="2185">
    <w:name w:val="spalten"/>
    <w:basedOn w:val="1"/>
    <w:autoRedefine/>
    <w:qFormat/>
    <w:uiPriority w:val="0"/>
    <w:pPr>
      <w:widowControl/>
      <w:tabs>
        <w:tab w:val="left" w:pos="5670"/>
        <w:tab w:val="left" w:pos="7371"/>
      </w:tabs>
      <w:adjustRightInd/>
      <w:snapToGrid/>
      <w:spacing w:line="300" w:lineRule="auto"/>
      <w:ind w:left="3969" w:hanging="2835" w:firstLineChars="0"/>
      <w:jc w:val="left"/>
    </w:pPr>
    <w:rPr>
      <w:rFonts w:ascii="Arial" w:hAnsi="Arial" w:eastAsia="Times New Roman"/>
      <w:color w:val="000000"/>
      <w:kern w:val="0"/>
      <w:sz w:val="22"/>
      <w:lang w:val="de-DE"/>
    </w:rPr>
  </w:style>
  <w:style w:type="paragraph" w:customStyle="1" w:styleId="2186">
    <w:name w:val="正文首行不缩进"/>
    <w:basedOn w:val="1"/>
    <w:autoRedefine/>
    <w:qFormat/>
    <w:uiPriority w:val="0"/>
    <w:pPr>
      <w:keepNext/>
      <w:keepLines/>
      <w:spacing w:line="360" w:lineRule="auto"/>
      <w:ind w:firstLine="0" w:firstLineChars="0"/>
    </w:pPr>
    <w:rPr>
      <w:rFonts w:ascii="Arial Narrow" w:hAnsi="Arial Narrow"/>
      <w:color w:val="000000"/>
      <w:kern w:val="0"/>
      <w:sz w:val="28"/>
      <w:szCs w:val="24"/>
    </w:rPr>
  </w:style>
  <w:style w:type="paragraph" w:customStyle="1" w:styleId="2187">
    <w:name w:val="样式 五号 行距: 单倍行距 首行缩进:  0.5 字符"/>
    <w:basedOn w:val="1"/>
    <w:autoRedefine/>
    <w:qFormat/>
    <w:uiPriority w:val="0"/>
    <w:pPr>
      <w:adjustRightInd/>
      <w:snapToGrid/>
      <w:spacing w:line="240" w:lineRule="auto"/>
      <w:ind w:right="147" w:rightChars="147" w:firstLine="50" w:firstLineChars="50"/>
      <w:jc w:val="right"/>
    </w:pPr>
    <w:rPr>
      <w:rFonts w:ascii="Arial Narrow" w:hAnsi="Arial Narrow" w:eastAsia="仿宋_GB2312" w:cs="宋体"/>
      <w:color w:val="000000"/>
      <w:kern w:val="0"/>
      <w:sz w:val="21"/>
      <w:szCs w:val="21"/>
    </w:rPr>
  </w:style>
  <w:style w:type="paragraph" w:customStyle="1" w:styleId="2188">
    <w:name w:val="样式 样式 五号 行距: 单倍行距 首行缩进:  0.5 字符 + 首行缩进:  0.5 字符 右侧:  1.47 字符"/>
    <w:basedOn w:val="2187"/>
    <w:autoRedefine/>
    <w:qFormat/>
    <w:uiPriority w:val="0"/>
    <w:pPr>
      <w:ind w:right="353" w:firstLine="105"/>
      <w:jc w:val="left"/>
    </w:pPr>
    <w:rPr>
      <w:szCs w:val="20"/>
    </w:rPr>
  </w:style>
  <w:style w:type="paragraph" w:customStyle="1" w:styleId="2189">
    <w:name w:val="表格文字中对齐"/>
    <w:basedOn w:val="2182"/>
    <w:autoRedefine/>
    <w:qFormat/>
    <w:uiPriority w:val="0"/>
    <w:pPr>
      <w:tabs>
        <w:tab w:val="left" w:pos="3780"/>
      </w:tabs>
      <w:adjustRightInd w:val="0"/>
      <w:snapToGrid w:val="0"/>
      <w:ind w:firstLine="0" w:firstLineChars="0"/>
    </w:pPr>
    <w:rPr>
      <w:rFonts w:ascii="Arial" w:hAnsi="Arial" w:cs="Arial"/>
      <w:szCs w:val="20"/>
    </w:rPr>
  </w:style>
  <w:style w:type="paragraph" w:customStyle="1" w:styleId="2190">
    <w:name w:val="表格文字两端对齐"/>
    <w:basedOn w:val="2182"/>
    <w:autoRedefine/>
    <w:qFormat/>
    <w:uiPriority w:val="0"/>
    <w:pPr>
      <w:ind w:firstLine="0" w:firstLineChars="0"/>
    </w:pPr>
    <w:rPr>
      <w:rFonts w:ascii="Arial Narrow" w:hAnsi="Arial Narrow" w:eastAsia="仿宋_GB2312"/>
    </w:rPr>
  </w:style>
  <w:style w:type="paragraph" w:customStyle="1" w:styleId="2191">
    <w:name w:val="封面分册"/>
    <w:basedOn w:val="2192"/>
    <w:next w:val="2192"/>
    <w:autoRedefine/>
    <w:qFormat/>
    <w:uiPriority w:val="0"/>
    <w:rPr>
      <w:sz w:val="32"/>
    </w:rPr>
  </w:style>
  <w:style w:type="paragraph" w:customStyle="1" w:styleId="2192">
    <w:name w:val="封面项目名称"/>
    <w:basedOn w:val="1"/>
    <w:autoRedefine/>
    <w:qFormat/>
    <w:uiPriority w:val="0"/>
    <w:pPr>
      <w:adjustRightInd/>
      <w:snapToGrid/>
      <w:spacing w:line="300" w:lineRule="auto"/>
      <w:ind w:firstLine="0" w:firstLineChars="0"/>
      <w:jc w:val="center"/>
    </w:pPr>
    <w:rPr>
      <w:rFonts w:eastAsia="仿宋_GB2312"/>
      <w:b/>
      <w:color w:val="000000"/>
      <w:kern w:val="0"/>
      <w:sz w:val="44"/>
      <w:szCs w:val="24"/>
    </w:rPr>
  </w:style>
  <w:style w:type="paragraph" w:customStyle="1" w:styleId="2193">
    <w:name w:val="封面首行"/>
    <w:basedOn w:val="1"/>
    <w:next w:val="2192"/>
    <w:autoRedefine/>
    <w:qFormat/>
    <w:uiPriority w:val="0"/>
    <w:pPr>
      <w:adjustRightInd/>
      <w:snapToGrid/>
      <w:spacing w:line="300" w:lineRule="auto"/>
      <w:ind w:firstLine="0" w:firstLineChars="0"/>
    </w:pPr>
    <w:rPr>
      <w:rFonts w:eastAsia="仿宋_GB2312"/>
      <w:b/>
      <w:color w:val="000000"/>
      <w:kern w:val="0"/>
      <w:szCs w:val="24"/>
    </w:rPr>
  </w:style>
  <w:style w:type="paragraph" w:customStyle="1" w:styleId="2194">
    <w:name w:val="表中字"/>
    <w:autoRedefine/>
    <w:qFormat/>
    <w:uiPriority w:val="0"/>
    <w:pPr>
      <w:widowControl w:val="0"/>
      <w:adjustRightInd w:val="0"/>
      <w:snapToGrid w:val="0"/>
      <w:jc w:val="center"/>
    </w:pPr>
    <w:rPr>
      <w:rFonts w:ascii="Times New Roman" w:hAnsi="Times New Roman" w:eastAsia="宋体" w:cs="Times New Roman"/>
      <w:w w:val="90"/>
      <w:sz w:val="21"/>
      <w:lang w:val="en-US" w:eastAsia="zh-CN" w:bidi="ar-SA"/>
    </w:rPr>
  </w:style>
  <w:style w:type="paragraph" w:customStyle="1" w:styleId="2195">
    <w:name w:val="附表名称"/>
    <w:basedOn w:val="45"/>
    <w:autoRedefine/>
    <w:qFormat/>
    <w:uiPriority w:val="0"/>
    <w:pPr>
      <w:adjustRightInd w:val="0"/>
      <w:snapToGrid w:val="0"/>
      <w:spacing w:line="360" w:lineRule="auto"/>
      <w:jc w:val="center"/>
    </w:pPr>
    <w:rPr>
      <w:rFonts w:ascii="Arial Narrow" w:hAnsi="Arial Narrow" w:eastAsia="黑体" w:cs="Courier New"/>
      <w:color w:val="000000"/>
      <w:kern w:val="0"/>
      <w:sz w:val="28"/>
      <w:szCs w:val="21"/>
      <w:lang w:val="en-US"/>
    </w:rPr>
  </w:style>
  <w:style w:type="paragraph" w:customStyle="1" w:styleId="2196">
    <w:name w:val="样式 样式 样式 五号 行距: 单倍行距 首行缩进:  0.5 字符 + 首行缩进:  0.5 字符 右侧:  1.47 字符 ..."/>
    <w:basedOn w:val="2188"/>
    <w:autoRedefine/>
    <w:qFormat/>
    <w:uiPriority w:val="0"/>
    <w:pPr>
      <w:jc w:val="both"/>
    </w:pPr>
  </w:style>
  <w:style w:type="paragraph" w:customStyle="1" w:styleId="2197">
    <w:name w:val="标题5"/>
    <w:basedOn w:val="1"/>
    <w:autoRedefine/>
    <w:qFormat/>
    <w:uiPriority w:val="0"/>
    <w:pPr>
      <w:numPr>
        <w:ilvl w:val="0"/>
        <w:numId w:val="11"/>
      </w:numPr>
      <w:tabs>
        <w:tab w:val="left" w:pos="720"/>
        <w:tab w:val="clear" w:pos="1416"/>
      </w:tabs>
      <w:adjustRightInd/>
      <w:spacing w:line="300" w:lineRule="auto"/>
      <w:ind w:left="720" w:firstLine="0" w:firstLineChars="0"/>
      <w:outlineLvl w:val="2"/>
    </w:pPr>
    <w:rPr>
      <w:rFonts w:ascii="Arial Narrow" w:hAnsi="Arial Narrow" w:eastAsia="仿宋_GB2312"/>
      <w:color w:val="000000"/>
      <w:kern w:val="0"/>
      <w:szCs w:val="24"/>
    </w:rPr>
  </w:style>
  <w:style w:type="paragraph" w:customStyle="1" w:styleId="2198">
    <w:name w:val="表字"/>
    <w:basedOn w:val="1"/>
    <w:link w:val="3433"/>
    <w:autoRedefine/>
    <w:qFormat/>
    <w:uiPriority w:val="0"/>
    <w:pPr>
      <w:adjustRightInd/>
      <w:snapToGrid/>
      <w:spacing w:line="300" w:lineRule="auto"/>
      <w:ind w:firstLine="0" w:firstLineChars="0"/>
      <w:jc w:val="center"/>
    </w:pPr>
    <w:rPr>
      <w:rFonts w:ascii="宋体"/>
      <w:color w:val="000000"/>
      <w:kern w:val="0"/>
      <w:sz w:val="21"/>
    </w:rPr>
  </w:style>
  <w:style w:type="paragraph" w:customStyle="1" w:styleId="2199">
    <w:name w:val="表标"/>
    <w:basedOn w:val="1"/>
    <w:next w:val="2168"/>
    <w:autoRedefine/>
    <w:qFormat/>
    <w:uiPriority w:val="0"/>
    <w:pPr>
      <w:tabs>
        <w:tab w:val="left" w:pos="3750"/>
      </w:tabs>
      <w:spacing w:line="240" w:lineRule="auto"/>
      <w:ind w:firstLine="561"/>
      <w:jc w:val="center"/>
      <w:textAlignment w:val="baseline"/>
    </w:pPr>
    <w:rPr>
      <w:rFonts w:ascii="楷体_GB2312" w:eastAsia="黑体"/>
      <w:color w:val="000000"/>
      <w:kern w:val="0"/>
      <w:sz w:val="28"/>
    </w:rPr>
  </w:style>
  <w:style w:type="paragraph" w:customStyle="1" w:styleId="2200">
    <w:name w:val="正文首行缩进2字"/>
    <w:basedOn w:val="1"/>
    <w:autoRedefine/>
    <w:qFormat/>
    <w:uiPriority w:val="0"/>
    <w:pPr>
      <w:keepNext/>
      <w:keepLines/>
      <w:spacing w:line="360" w:lineRule="auto"/>
      <w:ind w:firstLine="563" w:firstLineChars="201"/>
    </w:pPr>
    <w:rPr>
      <w:rFonts w:ascii="Arial Narrow" w:hAnsi="Arial Narrow"/>
      <w:sz w:val="28"/>
      <w:szCs w:val="24"/>
    </w:rPr>
  </w:style>
  <w:style w:type="paragraph" w:customStyle="1" w:styleId="2201">
    <w:name w:val="封面大标题"/>
    <w:basedOn w:val="2192"/>
    <w:next w:val="2192"/>
    <w:autoRedefine/>
    <w:qFormat/>
    <w:uiPriority w:val="0"/>
    <w:rPr>
      <w:rFonts w:eastAsia="宋体"/>
      <w:b w:val="0"/>
      <w:color w:val="auto"/>
      <w:spacing w:val="100"/>
      <w:kern w:val="2"/>
      <w:sz w:val="52"/>
    </w:rPr>
  </w:style>
  <w:style w:type="paragraph" w:customStyle="1" w:styleId="2202">
    <w:name w:val="表格表头"/>
    <w:basedOn w:val="2182"/>
    <w:next w:val="2182"/>
    <w:autoRedefine/>
    <w:qFormat/>
    <w:uiPriority w:val="0"/>
    <w:pPr>
      <w:keepNext/>
      <w:keepLines/>
      <w:ind w:firstLine="2" w:firstLineChars="0"/>
    </w:pPr>
    <w:rPr>
      <w:b/>
      <w:color w:val="auto"/>
      <w:kern w:val="2"/>
    </w:rPr>
  </w:style>
  <w:style w:type="paragraph" w:customStyle="1" w:styleId="2203">
    <w:name w:val="表格文字右对齐"/>
    <w:basedOn w:val="2182"/>
    <w:autoRedefine/>
    <w:qFormat/>
    <w:uiPriority w:val="0"/>
    <w:pPr>
      <w:ind w:firstLine="0" w:firstLineChars="0"/>
      <w:jc w:val="right"/>
    </w:pPr>
    <w:rPr>
      <w:color w:val="auto"/>
      <w:kern w:val="2"/>
    </w:rPr>
  </w:style>
  <w:style w:type="paragraph" w:customStyle="1" w:styleId="2204">
    <w:name w:val="表格文字分散对齐"/>
    <w:basedOn w:val="2182"/>
    <w:autoRedefine/>
    <w:qFormat/>
    <w:uiPriority w:val="0"/>
    <w:pPr>
      <w:ind w:firstLine="0" w:firstLineChars="0"/>
      <w:jc w:val="distribute"/>
    </w:pPr>
    <w:rPr>
      <w:color w:val="auto"/>
      <w:kern w:val="2"/>
    </w:rPr>
  </w:style>
  <w:style w:type="paragraph" w:customStyle="1" w:styleId="2205">
    <w:name w:val="表格文字自调"/>
    <w:basedOn w:val="45"/>
    <w:autoRedefine/>
    <w:qFormat/>
    <w:uiPriority w:val="0"/>
    <w:pPr>
      <w:spacing w:line="300" w:lineRule="auto"/>
    </w:pPr>
    <w:rPr>
      <w:rFonts w:ascii="Times New Roman" w:hAnsi="Times New Roman" w:cs="Courier New"/>
      <w:szCs w:val="21"/>
      <w:lang w:val="en-US"/>
    </w:rPr>
  </w:style>
  <w:style w:type="paragraph" w:customStyle="1" w:styleId="2206">
    <w:name w:val="封面公司名称"/>
    <w:basedOn w:val="1"/>
    <w:autoRedefine/>
    <w:qFormat/>
    <w:uiPriority w:val="0"/>
    <w:pPr>
      <w:spacing w:line="300" w:lineRule="auto"/>
      <w:ind w:firstLine="0" w:firstLineChars="0"/>
      <w:jc w:val="center"/>
    </w:pPr>
    <w:rPr>
      <w:rFonts w:ascii="Arial Narrow" w:hAnsi="Arial Narrow" w:eastAsia="黑体"/>
      <w:sz w:val="32"/>
      <w:szCs w:val="24"/>
    </w:rPr>
  </w:style>
  <w:style w:type="paragraph" w:customStyle="1" w:styleId="2207">
    <w:name w:val="附表编号"/>
    <w:basedOn w:val="1"/>
    <w:autoRedefine/>
    <w:qFormat/>
    <w:uiPriority w:val="0"/>
    <w:pPr>
      <w:spacing w:line="360" w:lineRule="auto"/>
      <w:ind w:firstLine="0" w:firstLineChars="0"/>
    </w:pPr>
    <w:rPr>
      <w:rFonts w:ascii="Arial Narrow" w:hAnsi="Arial Narrow" w:eastAsia="黑体"/>
      <w:sz w:val="28"/>
      <w:szCs w:val="24"/>
    </w:rPr>
  </w:style>
  <w:style w:type="paragraph" w:customStyle="1" w:styleId="2208">
    <w:name w:val="ÕýÎÄ"/>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zh-CN" w:bidi="ar-SA"/>
    </w:rPr>
  </w:style>
  <w:style w:type="paragraph" w:customStyle="1" w:styleId="2209">
    <w:name w:val="注"/>
    <w:basedOn w:val="1"/>
    <w:next w:val="1"/>
    <w:autoRedefine/>
    <w:qFormat/>
    <w:uiPriority w:val="0"/>
    <w:pPr>
      <w:widowControl/>
      <w:tabs>
        <w:tab w:val="left" w:pos="540"/>
        <w:tab w:val="left" w:pos="600"/>
        <w:tab w:val="left" w:pos="720"/>
        <w:tab w:val="left" w:pos="1200"/>
        <w:tab w:val="left" w:pos="1440"/>
        <w:tab w:val="left" w:pos="2448"/>
        <w:tab w:val="left" w:pos="3000"/>
        <w:tab w:val="left" w:pos="3888"/>
        <w:tab w:val="left" w:pos="4800"/>
        <w:tab w:val="left" w:pos="5883"/>
        <w:tab w:val="left" w:pos="6300"/>
        <w:tab w:val="left" w:pos="7353"/>
        <w:tab w:val="left" w:pos="8613"/>
      </w:tabs>
      <w:autoSpaceDE w:val="0"/>
      <w:autoSpaceDN w:val="0"/>
      <w:spacing w:line="312" w:lineRule="auto"/>
      <w:ind w:firstLine="0" w:firstLineChars="0"/>
      <w:jc w:val="left"/>
    </w:pPr>
    <w:rPr>
      <w:rFonts w:ascii="宋体" w:hAnsi="宋体" w:eastAsia="黑体"/>
      <w:bCs/>
      <w:spacing w:val="6"/>
      <w:kern w:val="0"/>
      <w:sz w:val="28"/>
    </w:rPr>
  </w:style>
  <w:style w:type="paragraph" w:customStyle="1" w:styleId="2210">
    <w:name w:val="单级编号"/>
    <w:basedOn w:val="1"/>
    <w:autoRedefine/>
    <w:qFormat/>
    <w:uiPriority w:val="0"/>
    <w:pPr>
      <w:keepNext/>
      <w:tabs>
        <w:tab w:val="left" w:pos="830"/>
      </w:tabs>
      <w:adjustRightInd/>
      <w:snapToGrid/>
      <w:spacing w:line="300" w:lineRule="auto"/>
      <w:ind w:left="830" w:hanging="830" w:firstLineChars="0"/>
    </w:pPr>
    <w:rPr>
      <w:rFonts w:ascii="Arial Narrow" w:hAnsi="Arial Narrow" w:eastAsia="仿宋_GB2312"/>
      <w:szCs w:val="28"/>
    </w:rPr>
  </w:style>
  <w:style w:type="paragraph" w:customStyle="1" w:styleId="2211">
    <w:name w:val="页码章节"/>
    <w:basedOn w:val="3"/>
    <w:next w:val="1"/>
    <w:autoRedefine/>
    <w:qFormat/>
    <w:uiPriority w:val="0"/>
    <w:pPr>
      <w:numPr>
        <w:numId w:val="0"/>
      </w:numPr>
      <w:adjustRightInd/>
      <w:snapToGrid/>
      <w:spacing w:before="340" w:after="330" w:line="560" w:lineRule="exact"/>
      <w:jc w:val="center"/>
    </w:pPr>
    <w:rPr>
      <w:bCs w:val="0"/>
      <w:kern w:val="0"/>
      <w:sz w:val="30"/>
      <w:szCs w:val="30"/>
      <w:lang w:val="en-US"/>
    </w:rPr>
  </w:style>
  <w:style w:type="paragraph" w:customStyle="1" w:styleId="2212">
    <w:name w:val="表内字一"/>
    <w:basedOn w:val="504"/>
    <w:autoRedefine/>
    <w:qFormat/>
    <w:uiPriority w:val="0"/>
    <w:pPr>
      <w:autoSpaceDE/>
      <w:autoSpaceDN/>
      <w:adjustRightInd/>
      <w:snapToGrid w:val="0"/>
      <w:spacing w:line="300" w:lineRule="auto"/>
      <w:ind w:left="-105" w:right="-29"/>
      <w:jc w:val="center"/>
      <w:textAlignment w:val="baseline"/>
    </w:pPr>
    <w:rPr>
      <w:rFonts w:ascii="Arial" w:hAnsi="Arial" w:eastAsia="宋体"/>
      <w:kern w:val="11"/>
      <w:szCs w:val="20"/>
    </w:rPr>
  </w:style>
  <w:style w:type="paragraph" w:customStyle="1" w:styleId="2213">
    <w:name w:val="样式 样式 标题 2 + 段前: 0.5 行 段后: 0.5 行 + 段前: 0.5 行 段后: 0.5 行"/>
    <w:basedOn w:val="1"/>
    <w:autoRedefine/>
    <w:qFormat/>
    <w:uiPriority w:val="0"/>
    <w:pPr>
      <w:spacing w:beforeLines="50" w:afterLines="50" w:line="300" w:lineRule="auto"/>
      <w:ind w:firstLine="0" w:firstLineChars="0"/>
      <w:jc w:val="left"/>
      <w:outlineLvl w:val="1"/>
    </w:pPr>
    <w:rPr>
      <w:rFonts w:ascii="Arial Narrow" w:hAnsi="Arial Narrow" w:eastAsia="仿宋_GB2312"/>
      <w:b/>
      <w:bCs/>
      <w:kern w:val="0"/>
    </w:rPr>
  </w:style>
  <w:style w:type="paragraph" w:customStyle="1" w:styleId="2214">
    <w:name w:val="批注框文本1"/>
    <w:basedOn w:val="1"/>
    <w:autoRedefine/>
    <w:semiHidden/>
    <w:qFormat/>
    <w:uiPriority w:val="0"/>
    <w:pPr>
      <w:adjustRightInd/>
      <w:snapToGrid/>
      <w:spacing w:line="300" w:lineRule="auto"/>
      <w:ind w:firstLine="0" w:firstLineChars="0"/>
    </w:pPr>
    <w:rPr>
      <w:rFonts w:ascii="Arial Narrow" w:hAnsi="Arial Narrow" w:eastAsia="仿宋_GB2312"/>
      <w:sz w:val="18"/>
      <w:szCs w:val="18"/>
    </w:rPr>
  </w:style>
  <w:style w:type="character" w:customStyle="1" w:styleId="2215">
    <w:name w:val="style141"/>
    <w:autoRedefine/>
    <w:qFormat/>
    <w:uiPriority w:val="0"/>
    <w:rPr>
      <w:rFonts w:ascii="Verdana" w:hAnsi="Verdana" w:eastAsia="宋体"/>
      <w:color w:val="666666"/>
      <w:lang w:val="en-US" w:eastAsia="en-US" w:bidi="ar-SA"/>
    </w:rPr>
  </w:style>
  <w:style w:type="character" w:customStyle="1" w:styleId="2216">
    <w:name w:val="text3"/>
    <w:autoRedefine/>
    <w:qFormat/>
    <w:uiPriority w:val="0"/>
    <w:rPr>
      <w:rFonts w:ascii="Verdana" w:hAnsi="Verdana" w:eastAsia="宋体"/>
      <w:sz w:val="18"/>
      <w:szCs w:val="18"/>
      <w:lang w:val="en-US" w:eastAsia="en-US" w:bidi="ar-SA"/>
    </w:rPr>
  </w:style>
  <w:style w:type="paragraph" w:customStyle="1" w:styleId="2217">
    <w:name w:val="smj Char"/>
    <w:basedOn w:val="1"/>
    <w:autoRedefine/>
    <w:qFormat/>
    <w:uiPriority w:val="0"/>
    <w:pPr>
      <w:adjustRightInd/>
      <w:snapToGrid/>
      <w:spacing w:line="240" w:lineRule="auto"/>
      <w:ind w:firstLine="0" w:firstLineChars="0"/>
    </w:pPr>
    <w:rPr>
      <w:rFonts w:eastAsia="黑体"/>
      <w:sz w:val="21"/>
      <w:szCs w:val="24"/>
    </w:rPr>
  </w:style>
  <w:style w:type="paragraph" w:customStyle="1" w:styleId="2218">
    <w:name w:val="正文中对齐"/>
    <w:basedOn w:val="1"/>
    <w:autoRedefine/>
    <w:qFormat/>
    <w:uiPriority w:val="0"/>
    <w:pPr>
      <w:adjustRightInd/>
      <w:spacing w:line="60" w:lineRule="atLeast"/>
      <w:ind w:firstLine="0" w:firstLineChars="0"/>
      <w:jc w:val="center"/>
    </w:pPr>
  </w:style>
  <w:style w:type="paragraph" w:customStyle="1" w:styleId="2219">
    <w:name w:val="宏福正文-2"/>
    <w:basedOn w:val="86"/>
    <w:autoRedefine/>
    <w:qFormat/>
    <w:uiPriority w:val="0"/>
    <w:pPr>
      <w:adjustRightInd/>
      <w:spacing w:before="240" w:after="0" w:line="400" w:lineRule="atLeast"/>
      <w:ind w:firstLine="567" w:firstLineChars="0"/>
    </w:pPr>
    <w:rPr>
      <w:b/>
      <w:bCs/>
      <w:kern w:val="2"/>
      <w:sz w:val="28"/>
      <w:lang w:val="en-US"/>
    </w:rPr>
  </w:style>
  <w:style w:type="paragraph" w:customStyle="1" w:styleId="2220">
    <w:name w:val="宏福4"/>
    <w:basedOn w:val="2219"/>
    <w:autoRedefine/>
    <w:qFormat/>
    <w:uiPriority w:val="0"/>
  </w:style>
  <w:style w:type="paragraph" w:customStyle="1" w:styleId="2221">
    <w:name w:val="宏福3A"/>
    <w:basedOn w:val="1"/>
    <w:autoRedefine/>
    <w:qFormat/>
    <w:uiPriority w:val="0"/>
    <w:pPr>
      <w:keepNext/>
      <w:keepLines/>
      <w:adjustRightInd/>
      <w:spacing w:line="240" w:lineRule="auto"/>
      <w:ind w:firstLine="0" w:firstLineChars="0"/>
      <w:outlineLvl w:val="2"/>
    </w:pPr>
    <w:rPr>
      <w:b/>
    </w:rPr>
  </w:style>
  <w:style w:type="paragraph" w:customStyle="1" w:styleId="2222">
    <w:name w:val="文字缩"/>
    <w:basedOn w:val="1"/>
    <w:autoRedefine/>
    <w:qFormat/>
    <w:uiPriority w:val="0"/>
    <w:pPr>
      <w:autoSpaceDE w:val="0"/>
      <w:autoSpaceDN w:val="0"/>
      <w:spacing w:line="480" w:lineRule="atLeast"/>
      <w:jc w:val="left"/>
    </w:pPr>
    <w:rPr>
      <w:rFonts w:ascii="宋体"/>
      <w:snapToGrid w:val="0"/>
      <w:spacing w:val="6"/>
      <w:kern w:val="0"/>
      <w:sz w:val="28"/>
    </w:rPr>
  </w:style>
  <w:style w:type="character" w:customStyle="1" w:styleId="2223">
    <w:name w:val="§1. Char1"/>
    <w:autoRedefine/>
    <w:qFormat/>
    <w:uiPriority w:val="0"/>
    <w:rPr>
      <w:rFonts w:ascii="Arial Narrow" w:hAnsi="Arial Narrow" w:eastAsia="仿宋_GB2312" w:cs="Arial"/>
      <w:b/>
      <w:bCs/>
      <w:kern w:val="44"/>
      <w:sz w:val="32"/>
      <w:szCs w:val="44"/>
      <w:lang w:val="en-US" w:eastAsia="zh-CN" w:bidi="ar-SA"/>
    </w:rPr>
  </w:style>
  <w:style w:type="paragraph" w:customStyle="1" w:styleId="2224">
    <w:name w:val="样式 标题 51)项标5标题 5 Char21) Char2项 Char2 + 左侧:  -0.04 厘米"/>
    <w:basedOn w:val="2225"/>
    <w:autoRedefine/>
    <w:qFormat/>
    <w:uiPriority w:val="0"/>
    <w:pPr>
      <w:tabs>
        <w:tab w:val="left" w:pos="628"/>
        <w:tab w:val="left" w:pos="1727"/>
        <w:tab w:val="left" w:pos="1884"/>
        <w:tab w:val="left" w:pos="2660"/>
        <w:tab w:val="left" w:pos="5460"/>
      </w:tabs>
    </w:pPr>
    <w:rPr>
      <w:rFonts w:ascii="黑体" w:eastAsia="黑体"/>
      <w:color w:val="auto"/>
      <w:szCs w:val="28"/>
    </w:rPr>
  </w:style>
  <w:style w:type="paragraph" w:customStyle="1" w:styleId="2225">
    <w:name w:val="样式 标题 51)项标5标题 5 Char21) Char2项 Char2 + 黑色 行距: 1.5 倍行距"/>
    <w:basedOn w:val="2226"/>
    <w:autoRedefine/>
    <w:qFormat/>
    <w:uiPriority w:val="0"/>
    <w:pPr>
      <w:tabs>
        <w:tab w:val="left" w:pos="628"/>
        <w:tab w:val="left" w:pos="1727"/>
        <w:tab w:val="left" w:pos="1884"/>
        <w:tab w:val="left" w:pos="2660"/>
        <w:tab w:val="left" w:pos="5460"/>
      </w:tabs>
    </w:pPr>
    <w:rPr>
      <w:szCs w:val="20"/>
    </w:rPr>
  </w:style>
  <w:style w:type="paragraph" w:customStyle="1" w:styleId="2226">
    <w:name w:val="标题 55"/>
    <w:basedOn w:val="1"/>
    <w:autoRedefine/>
    <w:qFormat/>
    <w:uiPriority w:val="0"/>
    <w:pPr>
      <w:tabs>
        <w:tab w:val="left" w:pos="628"/>
        <w:tab w:val="left" w:pos="1727"/>
        <w:tab w:val="left" w:pos="1884"/>
        <w:tab w:val="left" w:pos="2660"/>
        <w:tab w:val="left" w:pos="5460"/>
      </w:tabs>
      <w:autoSpaceDE w:val="0"/>
      <w:autoSpaceDN w:val="0"/>
      <w:spacing w:line="300" w:lineRule="auto"/>
      <w:ind w:firstLine="0" w:firstLineChars="0"/>
      <w:jc w:val="center"/>
    </w:pPr>
    <w:rPr>
      <w:rFonts w:ascii="仿宋_GB2312" w:hAnsi="宋体" w:eastAsia="仿宋_GB2312"/>
      <w:color w:val="000000"/>
      <w:szCs w:val="24"/>
    </w:rPr>
  </w:style>
  <w:style w:type="paragraph" w:customStyle="1" w:styleId="2227">
    <w:name w:val="样式 表格文字居中 + 右侧:  -0.06 字符1"/>
    <w:autoRedefine/>
    <w:qFormat/>
    <w:uiPriority w:val="0"/>
    <w:pPr>
      <w:autoSpaceDE w:val="0"/>
      <w:autoSpaceDN w:val="0"/>
      <w:jc w:val="center"/>
    </w:pPr>
    <w:rPr>
      <w:rFonts w:ascii="仿宋_GB2312" w:hAnsi="宋体" w:eastAsia="仿宋_GB2312" w:cs="Times New Roman"/>
      <w:color w:val="000000"/>
      <w:lang w:val="en-US" w:eastAsia="zh-CN" w:bidi="ar-SA"/>
    </w:rPr>
  </w:style>
  <w:style w:type="character" w:customStyle="1" w:styleId="2228">
    <w:name w:val="font"/>
    <w:autoRedefine/>
    <w:qFormat/>
    <w:uiPriority w:val="0"/>
    <w:rPr>
      <w:rFonts w:ascii="Verdana" w:hAnsi="Verdana" w:eastAsia="宋体"/>
      <w:lang w:val="en-US" w:eastAsia="en-US" w:bidi="ar-SA"/>
    </w:rPr>
  </w:style>
  <w:style w:type="paragraph" w:customStyle="1" w:styleId="2229">
    <w:name w:val="样式 标题 3标题 3 Char Char1.1.1条标3§1.1.1.. (1.1.1)- 3rd Order ..."/>
    <w:basedOn w:val="5"/>
    <w:autoRedefine/>
    <w:qFormat/>
    <w:uiPriority w:val="0"/>
    <w:pPr>
      <w:numPr>
        <w:numId w:val="0"/>
      </w:numPr>
      <w:tabs>
        <w:tab w:val="left" w:pos="1260"/>
      </w:tabs>
      <w:adjustRightInd/>
      <w:snapToGrid/>
      <w:spacing w:before="260" w:after="260" w:line="416" w:lineRule="auto"/>
      <w:ind w:left="1260" w:hanging="420" w:firstLineChars="200"/>
    </w:pPr>
    <w:rPr>
      <w:sz w:val="32"/>
      <w:lang w:val="en-US"/>
    </w:rPr>
  </w:style>
  <w:style w:type="character" w:customStyle="1" w:styleId="2230">
    <w:name w:val="px141"/>
    <w:autoRedefine/>
    <w:qFormat/>
    <w:uiPriority w:val="0"/>
    <w:rPr>
      <w:rFonts w:hint="default" w:eastAsia="宋体"/>
      <w:sz w:val="21"/>
      <w:szCs w:val="21"/>
      <w:lang w:val="en-US" w:eastAsia="en-US" w:bidi="ar-SA"/>
    </w:rPr>
  </w:style>
  <w:style w:type="character" w:customStyle="1" w:styleId="2231">
    <w:name w:val="hand"/>
    <w:autoRedefine/>
    <w:qFormat/>
    <w:uiPriority w:val="0"/>
    <w:rPr>
      <w:rFonts w:ascii="Verdana" w:hAnsi="Verdana" w:eastAsia="宋体"/>
      <w:lang w:val="en-US" w:eastAsia="en-US" w:bidi="ar-SA"/>
    </w:rPr>
  </w:style>
  <w:style w:type="character" w:customStyle="1" w:styleId="2232">
    <w:name w:val="djcn2"/>
    <w:autoRedefine/>
    <w:qFormat/>
    <w:uiPriority w:val="0"/>
    <w:rPr>
      <w:rFonts w:ascii="Verdana" w:hAnsi="Verdana" w:eastAsia="宋体"/>
      <w:color w:val="666666"/>
      <w:lang w:val="en-US" w:eastAsia="en-US" w:bidi="ar-SA"/>
    </w:rPr>
  </w:style>
  <w:style w:type="character" w:customStyle="1" w:styleId="2233">
    <w:name w:val="c01"/>
    <w:autoRedefine/>
    <w:qFormat/>
    <w:uiPriority w:val="0"/>
    <w:rPr>
      <w:rFonts w:ascii="Verdana" w:hAnsi="Verdana" w:eastAsia="宋体"/>
      <w:sz w:val="22"/>
      <w:szCs w:val="22"/>
      <w:shd w:val="clear" w:color="auto" w:fill="FBF8E6"/>
      <w:lang w:val="en-US" w:eastAsia="en-US" w:bidi="ar-SA"/>
    </w:rPr>
  </w:style>
  <w:style w:type="paragraph" w:customStyle="1" w:styleId="2234">
    <w:name w:val="样式 标题 3标题 3 Char Char1.1.1条标3§1.1.1.. (1.1.1)- 3rd Order ...1"/>
    <w:basedOn w:val="5"/>
    <w:autoRedefine/>
    <w:qFormat/>
    <w:uiPriority w:val="0"/>
    <w:pPr>
      <w:numPr>
        <w:numId w:val="0"/>
      </w:numPr>
      <w:tabs>
        <w:tab w:val="left" w:pos="1260"/>
      </w:tabs>
      <w:adjustRightInd/>
      <w:snapToGrid/>
      <w:spacing w:before="260" w:after="260" w:line="416" w:lineRule="auto"/>
      <w:ind w:left="1260" w:hanging="420" w:firstLineChars="200"/>
    </w:pPr>
    <w:rPr>
      <w:sz w:val="32"/>
      <w:lang w:val="en-US"/>
    </w:rPr>
  </w:style>
  <w:style w:type="paragraph" w:customStyle="1" w:styleId="2235">
    <w:name w:val="样式 标题 4Char1.1.1.1标题 4.1.1.1.1款1.1.1.1 Char标4§1.1.1.1§1...."/>
    <w:basedOn w:val="6"/>
    <w:link w:val="2236"/>
    <w:autoRedefine/>
    <w:qFormat/>
    <w:uiPriority w:val="0"/>
    <w:pPr>
      <w:numPr>
        <w:ilvl w:val="0"/>
        <w:numId w:val="12"/>
      </w:numPr>
      <w:adjustRightInd/>
      <w:snapToGrid/>
      <w:spacing w:before="280" w:after="290" w:line="376" w:lineRule="auto"/>
      <w:ind w:left="864" w:hanging="144"/>
      <w:jc w:val="both"/>
    </w:pPr>
    <w:rPr>
      <w:rFonts w:ascii="Arial" w:hAnsi="Arial" w:eastAsia="黑体"/>
      <w:sz w:val="28"/>
      <w:lang w:val="en-US"/>
    </w:rPr>
  </w:style>
  <w:style w:type="character" w:customStyle="1" w:styleId="2236">
    <w:name w:val="样式 标题 4Char1.1.1.1标题 4.1.1.1.1款1.1.1.1 Char标4§1.1.1.1§1.... Char"/>
    <w:link w:val="2235"/>
    <w:autoRedefine/>
    <w:qFormat/>
    <w:uiPriority w:val="0"/>
    <w:rPr>
      <w:rFonts w:ascii="Arial" w:hAnsi="Arial" w:eastAsia="黑体"/>
      <w:b/>
      <w:bCs/>
      <w:kern w:val="2"/>
      <w:sz w:val="28"/>
      <w:szCs w:val="28"/>
    </w:rPr>
  </w:style>
  <w:style w:type="character" w:customStyle="1" w:styleId="2237">
    <w:name w:val="textsy1"/>
    <w:autoRedefine/>
    <w:qFormat/>
    <w:uiPriority w:val="0"/>
    <w:rPr>
      <w:rFonts w:ascii="Verdana" w:hAnsi="Verdana" w:eastAsia="宋体"/>
      <w:sz w:val="22"/>
      <w:szCs w:val="22"/>
      <w:lang w:val="en-US" w:eastAsia="en-US" w:bidi="ar-SA"/>
    </w:rPr>
  </w:style>
  <w:style w:type="paragraph" w:customStyle="1" w:styleId="2238">
    <w:name w:val="样式 标题 1 + 居中 段前: 12 磅 段后: 6 磅 行距: 多倍行距 1.25 字行"/>
    <w:basedOn w:val="3"/>
    <w:autoRedefine/>
    <w:qFormat/>
    <w:uiPriority w:val="0"/>
    <w:pPr>
      <w:numPr>
        <w:numId w:val="0"/>
      </w:numPr>
      <w:adjustRightInd/>
      <w:snapToGrid/>
      <w:spacing w:before="340" w:after="330" w:line="560" w:lineRule="exact"/>
      <w:jc w:val="center"/>
    </w:pPr>
    <w:rPr>
      <w:bCs w:val="0"/>
      <w:kern w:val="0"/>
      <w:sz w:val="30"/>
      <w:szCs w:val="30"/>
      <w:lang w:val="en-US"/>
    </w:rPr>
  </w:style>
  <w:style w:type="paragraph" w:customStyle="1" w:styleId="2239">
    <w:name w:val="proposal"/>
    <w:basedOn w:val="1"/>
    <w:autoRedefine/>
    <w:qFormat/>
    <w:uiPriority w:val="0"/>
    <w:pPr>
      <w:widowControl/>
      <w:adjustRightInd/>
      <w:snapToGrid/>
      <w:spacing w:line="300" w:lineRule="auto"/>
      <w:ind w:left="1440" w:hanging="1440" w:firstLineChars="0"/>
    </w:pPr>
    <w:rPr>
      <w:kern w:val="0"/>
      <w:lang w:val="en-GB" w:eastAsia="en-GB"/>
    </w:rPr>
  </w:style>
  <w:style w:type="paragraph" w:customStyle="1" w:styleId="2240">
    <w:name w:val="正文_01"/>
    <w:link w:val="2241"/>
    <w:autoRedefine/>
    <w:qFormat/>
    <w:uiPriority w:val="0"/>
    <w:pPr>
      <w:widowControl w:val="0"/>
      <w:spacing w:line="360" w:lineRule="auto"/>
      <w:ind w:firstLine="560" w:firstLineChars="200"/>
      <w:jc w:val="both"/>
      <w:textAlignment w:val="center"/>
    </w:pPr>
    <w:rPr>
      <w:rFonts w:ascii="Garamond" w:hAnsi="Garamond" w:eastAsia="宋体" w:cs="Times New Roman"/>
      <w:bCs/>
      <w:color w:val="000000"/>
      <w:kern w:val="28"/>
      <w:sz w:val="28"/>
      <w:szCs w:val="28"/>
      <w:lang w:val="en-US" w:eastAsia="zh-CN" w:bidi="ar-SA"/>
    </w:rPr>
  </w:style>
  <w:style w:type="character" w:customStyle="1" w:styleId="2241">
    <w:name w:val="正文_01 Char"/>
    <w:link w:val="2240"/>
    <w:autoRedefine/>
    <w:qFormat/>
    <w:uiPriority w:val="0"/>
    <w:rPr>
      <w:rFonts w:ascii="Garamond" w:hAnsi="Garamond"/>
      <w:bCs/>
      <w:color w:val="000000"/>
      <w:kern w:val="28"/>
      <w:sz w:val="28"/>
      <w:szCs w:val="28"/>
    </w:rPr>
  </w:style>
  <w:style w:type="paragraph" w:customStyle="1" w:styleId="2242">
    <w:name w:val="样式 标题 51)项标5标题 5 Char21) Char2项 Char2 + 左侧:  -0.04 厘米 首行缩..."/>
    <w:basedOn w:val="7"/>
    <w:autoRedefine/>
    <w:qFormat/>
    <w:uiPriority w:val="0"/>
    <w:pPr>
      <w:numPr>
        <w:numId w:val="0"/>
      </w:numPr>
      <w:tabs>
        <w:tab w:val="left" w:pos="2100"/>
      </w:tabs>
      <w:adjustRightInd/>
      <w:snapToGrid/>
      <w:spacing w:before="0" w:after="0"/>
      <w:ind w:left="2100" w:hanging="420"/>
    </w:pPr>
    <w:rPr>
      <w:rFonts w:ascii="宋体"/>
      <w:bCs w:val="0"/>
      <w:spacing w:val="6"/>
      <w:sz w:val="26"/>
      <w:szCs w:val="26"/>
      <w:lang w:val="en-US"/>
    </w:rPr>
  </w:style>
  <w:style w:type="paragraph" w:customStyle="1" w:styleId="2243">
    <w:name w:val="样式 标题 3标题 3 Char Char1.1.1条标3§1.1.1.. (1.1.1)- 3rd Order ...2"/>
    <w:basedOn w:val="5"/>
    <w:autoRedefine/>
    <w:qFormat/>
    <w:uiPriority w:val="0"/>
    <w:pPr>
      <w:numPr>
        <w:numId w:val="0"/>
      </w:numPr>
      <w:tabs>
        <w:tab w:val="left" w:pos="1260"/>
      </w:tabs>
      <w:adjustRightInd/>
      <w:snapToGrid/>
      <w:spacing w:before="260" w:after="260" w:line="416" w:lineRule="auto"/>
      <w:ind w:left="1260" w:hanging="420" w:firstLineChars="200"/>
    </w:pPr>
    <w:rPr>
      <w:sz w:val="32"/>
      <w:lang w:val="en-US"/>
    </w:rPr>
  </w:style>
  <w:style w:type="paragraph" w:customStyle="1" w:styleId="2244">
    <w:name w:val="a"/>
    <w:basedOn w:val="1"/>
    <w:autoRedefine/>
    <w:qFormat/>
    <w:uiPriority w:val="0"/>
    <w:pPr>
      <w:widowControl/>
      <w:autoSpaceDE w:val="0"/>
      <w:autoSpaceDN w:val="0"/>
      <w:adjustRightInd/>
      <w:spacing w:line="240" w:lineRule="auto"/>
      <w:ind w:left="34" w:hanging="34" w:firstLineChars="0"/>
      <w:jc w:val="center"/>
    </w:pPr>
    <w:rPr>
      <w:rFonts w:ascii="Arial Narrow" w:hAnsi="Arial Narrow" w:cs="宋体"/>
      <w:b/>
      <w:bCs/>
      <w:kern w:val="0"/>
      <w:sz w:val="21"/>
      <w:szCs w:val="21"/>
    </w:rPr>
  </w:style>
  <w:style w:type="paragraph" w:customStyle="1" w:styleId="2245">
    <w:name w:val="样式 标题 3标题 3 Char Char1.1.1条标3§1.1.1.. (1.1.1)- 3rd Order ...3"/>
    <w:basedOn w:val="5"/>
    <w:autoRedefine/>
    <w:qFormat/>
    <w:uiPriority w:val="0"/>
    <w:pPr>
      <w:numPr>
        <w:numId w:val="0"/>
      </w:numPr>
      <w:tabs>
        <w:tab w:val="left" w:pos="1260"/>
      </w:tabs>
      <w:adjustRightInd/>
      <w:snapToGrid/>
      <w:spacing w:before="260" w:after="260" w:line="416" w:lineRule="auto"/>
      <w:ind w:left="1260" w:hanging="420" w:firstLineChars="200"/>
    </w:pPr>
    <w:rPr>
      <w:sz w:val="32"/>
      <w:lang w:val="en-US"/>
    </w:rPr>
  </w:style>
  <w:style w:type="paragraph" w:customStyle="1" w:styleId="2246">
    <w:name w:val="基准标题"/>
    <w:basedOn w:val="34"/>
    <w:next w:val="34"/>
    <w:autoRedefine/>
    <w:qFormat/>
    <w:uiPriority w:val="0"/>
    <w:pPr>
      <w:widowControl/>
      <w:adjustRightInd/>
      <w:snapToGrid/>
      <w:spacing w:line="300" w:lineRule="exact"/>
      <w:ind w:firstLine="0" w:firstLineChars="0"/>
      <w:jc w:val="left"/>
    </w:pPr>
    <w:rPr>
      <w:rFonts w:ascii="宋体" w:hAnsi="Garamond"/>
      <w:b/>
      <w:lang w:val="en-US"/>
    </w:rPr>
  </w:style>
  <w:style w:type="paragraph" w:customStyle="1" w:styleId="2247">
    <w:name w:val="正文新"/>
    <w:basedOn w:val="45"/>
    <w:autoRedefine/>
    <w:qFormat/>
    <w:uiPriority w:val="0"/>
    <w:pPr>
      <w:spacing w:line="300" w:lineRule="auto"/>
      <w:ind w:firstLine="510"/>
    </w:pPr>
    <w:rPr>
      <w:rFonts w:hAnsi="Arial"/>
      <w:snapToGrid w:val="0"/>
      <w:kern w:val="0"/>
      <w:sz w:val="24"/>
      <w:lang w:val="en-US"/>
    </w:rPr>
  </w:style>
  <w:style w:type="paragraph" w:customStyle="1" w:styleId="2248">
    <w:name w:val="基准页眉样式"/>
    <w:basedOn w:val="34"/>
    <w:autoRedefine/>
    <w:qFormat/>
    <w:uiPriority w:val="0"/>
    <w:pPr>
      <w:widowControl/>
      <w:adjustRightInd/>
      <w:snapToGrid/>
      <w:spacing w:line="320" w:lineRule="exact"/>
      <w:ind w:firstLine="0" w:firstLineChars="0"/>
      <w:jc w:val="center"/>
    </w:pPr>
    <w:rPr>
      <w:spacing w:val="-20"/>
      <w:sz w:val="21"/>
      <w:lang w:val="en-US"/>
    </w:rPr>
  </w:style>
  <w:style w:type="paragraph" w:customStyle="1" w:styleId="2249">
    <w:name w:val="基准脚注"/>
    <w:basedOn w:val="1"/>
    <w:autoRedefine/>
    <w:qFormat/>
    <w:uiPriority w:val="0"/>
    <w:pPr>
      <w:widowControl/>
      <w:adjustRightInd/>
      <w:snapToGrid/>
      <w:spacing w:line="240" w:lineRule="auto"/>
      <w:ind w:firstLine="0" w:firstLineChars="0"/>
      <w:jc w:val="left"/>
    </w:pPr>
    <w:rPr>
      <w:rFonts w:ascii="Garamond" w:hAnsi="Garamond"/>
      <w:kern w:val="0"/>
      <w:sz w:val="22"/>
    </w:rPr>
  </w:style>
  <w:style w:type="paragraph" w:customStyle="1" w:styleId="2250">
    <w:name w:val="Paratitre"/>
    <w:basedOn w:val="1"/>
    <w:autoRedefine/>
    <w:qFormat/>
    <w:uiPriority w:val="0"/>
    <w:pPr>
      <w:widowControl/>
      <w:overflowPunct w:val="0"/>
      <w:autoSpaceDE w:val="0"/>
      <w:autoSpaceDN w:val="0"/>
      <w:snapToGrid/>
      <w:spacing w:line="240" w:lineRule="auto"/>
      <w:ind w:left="700" w:firstLine="0" w:firstLineChars="0"/>
      <w:textAlignment w:val="baseline"/>
    </w:pPr>
    <w:rPr>
      <w:rFonts w:ascii="Arial" w:hAnsi="Arial"/>
      <w:kern w:val="0"/>
      <w:sz w:val="20"/>
      <w:lang w:val="fr-FR"/>
    </w:rPr>
  </w:style>
  <w:style w:type="paragraph" w:customStyle="1" w:styleId="2251">
    <w:name w:val="项目符号1"/>
    <w:basedOn w:val="1"/>
    <w:autoRedefine/>
    <w:qFormat/>
    <w:uiPriority w:val="0"/>
    <w:pPr>
      <w:numPr>
        <w:ilvl w:val="0"/>
        <w:numId w:val="13"/>
      </w:numPr>
      <w:adjustRightInd/>
      <w:spacing w:line="312" w:lineRule="auto"/>
      <w:ind w:firstLine="0" w:firstLineChars="0"/>
    </w:pPr>
    <w:rPr>
      <w:rFonts w:ascii="Arial" w:hAnsi="Arial" w:eastAsia="楷体_GB2312"/>
      <w:b/>
      <w:sz w:val="28"/>
    </w:rPr>
  </w:style>
  <w:style w:type="paragraph" w:customStyle="1" w:styleId="2252">
    <w:name w:val="项目符号2"/>
    <w:basedOn w:val="2251"/>
    <w:autoRedefine/>
    <w:qFormat/>
    <w:uiPriority w:val="0"/>
    <w:pPr>
      <w:numPr>
        <w:numId w:val="14"/>
      </w:numPr>
      <w:tabs>
        <w:tab w:val="left" w:pos="360"/>
        <w:tab w:val="left" w:pos="720"/>
        <w:tab w:val="clear" w:pos="425"/>
      </w:tabs>
      <w:ind w:left="850" w:hanging="720"/>
    </w:pPr>
    <w:rPr>
      <w:b w:val="0"/>
    </w:rPr>
  </w:style>
  <w:style w:type="paragraph" w:customStyle="1" w:styleId="2253">
    <w:name w:val="样式 标题 2_Heading 2标题 2 Char标题21.1标题 21.1节标2可研-标题 2节 Char..."/>
    <w:basedOn w:val="4"/>
    <w:link w:val="2254"/>
    <w:autoRedefine/>
    <w:qFormat/>
    <w:uiPriority w:val="0"/>
    <w:pPr>
      <w:numPr>
        <w:ilvl w:val="0"/>
        <w:numId w:val="0"/>
      </w:numPr>
      <w:spacing w:before="260" w:after="260" w:line="415" w:lineRule="auto"/>
    </w:pPr>
    <w:rPr>
      <w:rFonts w:ascii="Arial" w:hAnsi="Arial" w:eastAsia="黑体"/>
      <w:color w:val="000000"/>
      <w:sz w:val="32"/>
      <w:lang w:val="en-US"/>
    </w:rPr>
  </w:style>
  <w:style w:type="character" w:customStyle="1" w:styleId="2254">
    <w:name w:val="样式 标题 2_Heading 2标题 2 Char标题21.1标题 21.1节标2可研-标题 2节 Char... Char Char"/>
    <w:link w:val="2253"/>
    <w:autoRedefine/>
    <w:qFormat/>
    <w:uiPriority w:val="0"/>
    <w:rPr>
      <w:rFonts w:ascii="Arial" w:hAnsi="Arial" w:eastAsia="黑体"/>
      <w:b/>
      <w:bCs/>
      <w:color w:val="000000"/>
      <w:kern w:val="2"/>
      <w:sz w:val="32"/>
      <w:szCs w:val="32"/>
    </w:rPr>
  </w:style>
  <w:style w:type="character" w:customStyle="1" w:styleId="2255">
    <w:name w:val="3zw1"/>
    <w:autoRedefine/>
    <w:qFormat/>
    <w:uiPriority w:val="0"/>
    <w:rPr>
      <w:rFonts w:ascii="Verdana" w:hAnsi="Verdana" w:eastAsia="宋体"/>
      <w:color w:val="000000"/>
      <w:sz w:val="21"/>
      <w:szCs w:val="21"/>
      <w:u w:val="none"/>
      <w:lang w:val="en-US" w:eastAsia="en-US" w:bidi="ar-SA"/>
    </w:rPr>
  </w:style>
  <w:style w:type="paragraph" w:customStyle="1" w:styleId="2256">
    <w:name w:val="段落 内容"/>
    <w:basedOn w:val="1"/>
    <w:autoRedefine/>
    <w:qFormat/>
    <w:uiPriority w:val="0"/>
    <w:pPr>
      <w:adjustRightInd/>
      <w:snapToGrid/>
      <w:spacing w:beforeLines="50" w:afterLines="20" w:line="360" w:lineRule="auto"/>
    </w:pPr>
    <w:rPr>
      <w:rFonts w:ascii="宋体" w:hAnsi="宋体" w:cs="宋体"/>
      <w:szCs w:val="24"/>
    </w:rPr>
  </w:style>
  <w:style w:type="paragraph" w:customStyle="1" w:styleId="2257">
    <w:name w:val="样式 标题 2_Heading 2标题 2 Char1.1标题 21.1标题2节标2可研-标题 2节 Char..."/>
    <w:basedOn w:val="4"/>
    <w:autoRedefine/>
    <w:qFormat/>
    <w:uiPriority w:val="0"/>
    <w:pPr>
      <w:numPr>
        <w:ilvl w:val="0"/>
        <w:numId w:val="0"/>
      </w:numPr>
      <w:spacing w:before="260" w:after="260" w:line="415" w:lineRule="auto"/>
    </w:pPr>
    <w:rPr>
      <w:rFonts w:ascii="Arial" w:hAnsi="Arial" w:eastAsia="黑体"/>
      <w:color w:val="000000"/>
      <w:sz w:val="32"/>
      <w:lang w:val="en-US"/>
    </w:rPr>
  </w:style>
  <w:style w:type="paragraph" w:customStyle="1" w:styleId="2258">
    <w:name w:val="样式 正文文本 + (中文) 宋体 首行缩进:  0.2 厘米"/>
    <w:basedOn w:val="34"/>
    <w:autoRedefine/>
    <w:qFormat/>
    <w:uiPriority w:val="0"/>
    <w:pPr>
      <w:spacing w:line="300" w:lineRule="auto"/>
      <w:ind w:firstLine="480"/>
      <w:textAlignment w:val="baseline"/>
    </w:pPr>
    <w:rPr>
      <w:rFonts w:ascii="Arial Narrow" w:hAnsi="Arial Narrow" w:cs="宋体"/>
      <w:color w:val="FF0000"/>
      <w:lang w:val="en-US"/>
    </w:rPr>
  </w:style>
  <w:style w:type="paragraph" w:customStyle="1" w:styleId="2259">
    <w:name w:val="标题 54"/>
    <w:basedOn w:val="2226"/>
    <w:autoRedefine/>
    <w:qFormat/>
    <w:uiPriority w:val="0"/>
    <w:rPr>
      <w:rFonts w:cs="宋体"/>
      <w:bCs/>
    </w:rPr>
  </w:style>
  <w:style w:type="paragraph" w:customStyle="1" w:styleId="2260">
    <w:name w:val="8"/>
    <w:basedOn w:val="1"/>
    <w:next w:val="31"/>
    <w:autoRedefine/>
    <w:qFormat/>
    <w:uiPriority w:val="0"/>
    <w:pPr>
      <w:adjustRightInd/>
      <w:snapToGrid/>
      <w:spacing w:line="300" w:lineRule="auto"/>
      <w:ind w:firstLine="0" w:firstLineChars="0"/>
      <w:jc w:val="center"/>
    </w:pPr>
    <w:rPr>
      <w:sz w:val="18"/>
      <w:szCs w:val="18"/>
    </w:rPr>
  </w:style>
  <w:style w:type="paragraph" w:customStyle="1" w:styleId="2261">
    <w:name w:val="7"/>
    <w:basedOn w:val="1"/>
    <w:autoRedefine/>
    <w:qFormat/>
    <w:uiPriority w:val="99"/>
    <w:pPr>
      <w:adjustRightInd/>
      <w:snapToGrid/>
      <w:spacing w:line="240" w:lineRule="auto"/>
      <w:ind w:firstLine="0" w:firstLineChars="0"/>
    </w:pPr>
    <w:rPr>
      <w:rFonts w:ascii="Arial Narrow" w:hAnsi="Arial Narrow" w:eastAsia="仿宋_GB2312"/>
      <w:szCs w:val="24"/>
    </w:rPr>
  </w:style>
  <w:style w:type="paragraph" w:customStyle="1" w:styleId="2262">
    <w:name w:val="标题6"/>
    <w:basedOn w:val="1"/>
    <w:link w:val="3747"/>
    <w:autoRedefine/>
    <w:qFormat/>
    <w:uiPriority w:val="0"/>
    <w:pPr>
      <w:autoSpaceDE w:val="0"/>
      <w:autoSpaceDN w:val="0"/>
      <w:spacing w:line="300" w:lineRule="auto"/>
      <w:ind w:firstLine="480"/>
      <w:jc w:val="left"/>
      <w:textAlignment w:val="bottom"/>
      <w:outlineLvl w:val="5"/>
    </w:pPr>
    <w:rPr>
      <w:rFonts w:ascii="Arial Narrow" w:hAnsi="宋体"/>
      <w:szCs w:val="24"/>
    </w:rPr>
  </w:style>
  <w:style w:type="paragraph" w:customStyle="1" w:styleId="2263">
    <w:name w:val="Heading"/>
    <w:basedOn w:val="1"/>
    <w:autoRedefine/>
    <w:qFormat/>
    <w:uiPriority w:val="0"/>
    <w:pPr>
      <w:keepNext/>
      <w:widowControl/>
      <w:autoSpaceDE w:val="0"/>
      <w:autoSpaceDN w:val="0"/>
      <w:adjustRightInd/>
      <w:snapToGrid/>
      <w:spacing w:line="300" w:lineRule="auto"/>
      <w:ind w:left="1440" w:hanging="1440" w:firstLineChars="0"/>
      <w:jc w:val="left"/>
    </w:pPr>
    <w:rPr>
      <w:kern w:val="28"/>
      <w:szCs w:val="24"/>
      <w:lang w:val="en-GB" w:eastAsia="en-GB"/>
    </w:rPr>
  </w:style>
  <w:style w:type="paragraph" w:customStyle="1" w:styleId="2264">
    <w:name w:val="Heading2"/>
    <w:basedOn w:val="3"/>
    <w:autoRedefine/>
    <w:qFormat/>
    <w:uiPriority w:val="0"/>
    <w:pPr>
      <w:numPr>
        <w:numId w:val="0"/>
      </w:numPr>
      <w:adjustRightInd/>
      <w:snapToGrid/>
      <w:spacing w:before="340" w:after="330" w:line="560" w:lineRule="exact"/>
      <w:jc w:val="center"/>
    </w:pPr>
    <w:rPr>
      <w:bCs w:val="0"/>
      <w:kern w:val="0"/>
      <w:sz w:val="30"/>
      <w:szCs w:val="30"/>
      <w:lang w:val="en-US"/>
    </w:rPr>
  </w:style>
  <w:style w:type="paragraph" w:customStyle="1" w:styleId="2265">
    <w:name w:val="批注框文本2"/>
    <w:basedOn w:val="1"/>
    <w:autoRedefine/>
    <w:semiHidden/>
    <w:qFormat/>
    <w:uiPriority w:val="0"/>
    <w:pPr>
      <w:widowControl/>
      <w:autoSpaceDE w:val="0"/>
      <w:autoSpaceDN w:val="0"/>
      <w:adjustRightInd/>
      <w:snapToGrid/>
      <w:spacing w:line="240" w:lineRule="auto"/>
      <w:ind w:firstLine="0" w:firstLineChars="0"/>
      <w:jc w:val="left"/>
    </w:pPr>
    <w:rPr>
      <w:rFonts w:ascii="Tahoma" w:hAnsi="Tahoma" w:cs="幼圆"/>
      <w:kern w:val="0"/>
      <w:sz w:val="16"/>
      <w:szCs w:val="16"/>
      <w:lang w:val="en-GB" w:eastAsia="en-GB"/>
    </w:rPr>
  </w:style>
  <w:style w:type="paragraph" w:customStyle="1" w:styleId="2266">
    <w:name w:val="bluck"/>
    <w:basedOn w:val="1"/>
    <w:autoRedefine/>
    <w:qFormat/>
    <w:uiPriority w:val="0"/>
    <w:pPr>
      <w:widowControl/>
      <w:adjustRightInd/>
      <w:snapToGrid/>
      <w:spacing w:beforeAutospacing="1" w:afterAutospacing="1" w:line="301" w:lineRule="atLeast"/>
      <w:ind w:firstLine="0" w:firstLineChars="0"/>
      <w:jc w:val="left"/>
    </w:pPr>
    <w:rPr>
      <w:rFonts w:eastAsia="Arial Unicode MS" w:cs="Arial Unicode MS"/>
      <w:color w:val="000000"/>
      <w:kern w:val="0"/>
      <w:sz w:val="22"/>
      <w:szCs w:val="22"/>
    </w:rPr>
  </w:style>
  <w:style w:type="character" w:customStyle="1" w:styleId="2267">
    <w:name w:val="black1"/>
    <w:autoRedefine/>
    <w:qFormat/>
    <w:uiPriority w:val="0"/>
    <w:rPr>
      <w:rFonts w:hint="default" w:eastAsia="宋体"/>
      <w:color w:val="000000"/>
      <w:sz w:val="20"/>
      <w:szCs w:val="20"/>
      <w:lang w:val="en-US" w:eastAsia="en-US" w:bidi="ar-SA"/>
    </w:rPr>
  </w:style>
  <w:style w:type="paragraph" w:customStyle="1" w:styleId="2268">
    <w:name w:val="标3正文项"/>
    <w:basedOn w:val="1"/>
    <w:autoRedefine/>
    <w:qFormat/>
    <w:uiPriority w:val="0"/>
    <w:pPr>
      <w:adjustRightInd/>
      <w:snapToGrid/>
      <w:spacing w:line="360" w:lineRule="auto"/>
      <w:ind w:firstLine="540" w:firstLineChars="0"/>
    </w:pPr>
    <w:rPr>
      <w:szCs w:val="24"/>
    </w:rPr>
  </w:style>
  <w:style w:type="paragraph" w:customStyle="1" w:styleId="2269">
    <w:name w:val="In Table (II)"/>
    <w:basedOn w:val="1"/>
    <w:autoRedefine/>
    <w:qFormat/>
    <w:uiPriority w:val="0"/>
    <w:pPr>
      <w:tabs>
        <w:tab w:val="left" w:pos="2200"/>
        <w:tab w:val="left" w:pos="3960"/>
        <w:tab w:val="left" w:pos="5280"/>
      </w:tabs>
      <w:adjustRightInd/>
      <w:snapToGrid/>
      <w:spacing w:line="0" w:lineRule="atLeast"/>
      <w:ind w:left="48" w:leftChars="20" w:firstLine="0" w:firstLineChars="0"/>
      <w:jc w:val="left"/>
    </w:pPr>
    <w:rPr>
      <w:rFonts w:ascii="Tahoma" w:hAnsi="Tahoma" w:eastAsia="华文中宋" w:cs="Arial"/>
      <w:bCs/>
      <w:sz w:val="21"/>
      <w:szCs w:val="21"/>
    </w:rPr>
  </w:style>
  <w:style w:type="paragraph" w:customStyle="1" w:styleId="2270">
    <w:name w:val="In Table"/>
    <w:basedOn w:val="1"/>
    <w:autoRedefine/>
    <w:qFormat/>
    <w:uiPriority w:val="0"/>
    <w:pPr>
      <w:tabs>
        <w:tab w:val="left" w:pos="2200"/>
        <w:tab w:val="left" w:pos="3960"/>
        <w:tab w:val="left" w:pos="5280"/>
      </w:tabs>
      <w:adjustRightInd/>
      <w:snapToGrid/>
      <w:spacing w:line="0" w:lineRule="atLeast"/>
      <w:ind w:firstLine="0" w:firstLineChars="0"/>
      <w:jc w:val="center"/>
    </w:pPr>
    <w:rPr>
      <w:rFonts w:ascii="Tahoma" w:hAnsi="Tahoma" w:eastAsia="华文中宋" w:cs="Arial"/>
      <w:bCs/>
      <w:sz w:val="21"/>
      <w:szCs w:val="21"/>
    </w:rPr>
  </w:style>
  <w:style w:type="paragraph" w:customStyle="1" w:styleId="2271">
    <w:name w:val="说明书"/>
    <w:basedOn w:val="1"/>
    <w:autoRedefine/>
    <w:qFormat/>
    <w:uiPriority w:val="0"/>
    <w:pPr>
      <w:snapToGrid/>
      <w:spacing w:line="500" w:lineRule="exact"/>
      <w:ind w:firstLine="624" w:firstLineChars="0"/>
      <w:textAlignment w:val="baseline"/>
    </w:pPr>
    <w:rPr>
      <w:rFonts w:ascii="Arial" w:hAnsi="Arial"/>
      <w:kern w:val="0"/>
      <w:sz w:val="28"/>
    </w:rPr>
  </w:style>
  <w:style w:type="paragraph" w:customStyle="1" w:styleId="2272">
    <w:name w:val="样式 样式 标题 41.1.1.1标题 4.1.1.1.1标题 4 Char款1.1.1.1 Char标4 + (符号) ......"/>
    <w:basedOn w:val="1"/>
    <w:autoRedefine/>
    <w:qFormat/>
    <w:uiPriority w:val="0"/>
    <w:pPr>
      <w:keepLines/>
      <w:autoSpaceDE w:val="0"/>
      <w:autoSpaceDN w:val="0"/>
      <w:spacing w:line="360" w:lineRule="auto"/>
      <w:ind w:firstLine="0" w:firstLineChars="0"/>
      <w:jc w:val="left"/>
      <w:textAlignment w:val="bottom"/>
      <w:outlineLvl w:val="3"/>
    </w:pPr>
    <w:rPr>
      <w:rFonts w:ascii="宋体" w:hAnsi="宋体"/>
      <w:sz w:val="28"/>
    </w:rPr>
  </w:style>
  <w:style w:type="paragraph" w:customStyle="1" w:styleId="2273">
    <w:name w:val="标题 51"/>
    <w:basedOn w:val="1"/>
    <w:autoRedefine/>
    <w:qFormat/>
    <w:uiPriority w:val="0"/>
    <w:pPr>
      <w:tabs>
        <w:tab w:val="left" w:pos="0"/>
      </w:tabs>
      <w:autoSpaceDE w:val="0"/>
      <w:autoSpaceDN w:val="0"/>
      <w:spacing w:line="420" w:lineRule="exact"/>
      <w:ind w:right="-263" w:firstLine="360"/>
    </w:pPr>
    <w:rPr>
      <w:rFonts w:ascii="仿宋_GB2312" w:hAnsi="宋体" w:eastAsia="仿宋_GB2312" w:cs="宋体"/>
      <w:szCs w:val="24"/>
    </w:rPr>
  </w:style>
  <w:style w:type="character" w:customStyle="1" w:styleId="2274">
    <w:name w:val="1) Char1"/>
    <w:autoRedefine/>
    <w:qFormat/>
    <w:uiPriority w:val="0"/>
    <w:rPr>
      <w:rFonts w:ascii="宋体" w:hAnsi="宋体" w:eastAsia="宋体"/>
      <w:kern w:val="2"/>
      <w:sz w:val="28"/>
      <w:szCs w:val="28"/>
      <w:lang w:val="en-US" w:eastAsia="zh-CN" w:bidi="ar-SA"/>
    </w:rPr>
  </w:style>
  <w:style w:type="character" w:customStyle="1" w:styleId="2275">
    <w:name w:val="标题 5 Char1"/>
    <w:autoRedefine/>
    <w:qFormat/>
    <w:uiPriority w:val="0"/>
  </w:style>
  <w:style w:type="paragraph" w:customStyle="1" w:styleId="2276">
    <w:name w:val="表中居中文字"/>
    <w:basedOn w:val="1"/>
    <w:autoRedefine/>
    <w:qFormat/>
    <w:uiPriority w:val="0"/>
    <w:pPr>
      <w:autoSpaceDE w:val="0"/>
      <w:autoSpaceDN w:val="0"/>
      <w:spacing w:line="300" w:lineRule="auto"/>
      <w:ind w:firstLine="0" w:firstLineChars="0"/>
      <w:jc w:val="center"/>
    </w:pPr>
    <w:rPr>
      <w:rFonts w:ascii="仿宋_GB2312" w:hAnsi="宋体" w:eastAsia="仿宋_GB2312" w:cs="Arial"/>
      <w:szCs w:val="18"/>
    </w:rPr>
  </w:style>
  <w:style w:type="paragraph" w:customStyle="1" w:styleId="2277">
    <w:name w:val="zxl正文首行缩进  2 字符 行距: Char"/>
    <w:basedOn w:val="1"/>
    <w:autoRedefine/>
    <w:qFormat/>
    <w:uiPriority w:val="0"/>
    <w:pPr>
      <w:widowControl/>
      <w:tabs>
        <w:tab w:val="left" w:pos="-1843"/>
        <w:tab w:val="left" w:pos="1727"/>
        <w:tab w:val="left" w:pos="1884"/>
      </w:tabs>
      <w:autoSpaceDE w:val="0"/>
      <w:autoSpaceDN w:val="0"/>
      <w:spacing w:line="336" w:lineRule="auto"/>
      <w:ind w:firstLine="480"/>
      <w:textAlignment w:val="bottom"/>
      <w:outlineLvl w:val="0"/>
    </w:pPr>
    <w:rPr>
      <w:rFonts w:ascii="仿宋_GB2312" w:hAnsi="宋体" w:eastAsia="仿宋_GB2312" w:cs="宋体"/>
      <w:color w:val="000000"/>
      <w:szCs w:val="24"/>
    </w:rPr>
  </w:style>
  <w:style w:type="paragraph" w:customStyle="1" w:styleId="2278">
    <w:name w:val="列表项目符号1.缩2"/>
    <w:basedOn w:val="1"/>
    <w:autoRedefine/>
    <w:qFormat/>
    <w:uiPriority w:val="0"/>
    <w:pPr>
      <w:tabs>
        <w:tab w:val="left" w:pos="397"/>
        <w:tab w:val="left" w:pos="945"/>
      </w:tabs>
      <w:autoSpaceDE w:val="0"/>
      <w:autoSpaceDN w:val="0"/>
      <w:spacing w:line="300" w:lineRule="auto"/>
      <w:ind w:firstLine="425"/>
      <w:textAlignment w:val="baseline"/>
    </w:pPr>
    <w:rPr>
      <w:rFonts w:ascii="仿宋_GB2312" w:hAnsi="宋体" w:eastAsia="仿宋_GB2312" w:cs="宋体"/>
      <w:kern w:val="0"/>
    </w:rPr>
  </w:style>
  <w:style w:type="paragraph" w:customStyle="1" w:styleId="2279">
    <w:name w:val="表格文字中"/>
    <w:basedOn w:val="1"/>
    <w:autoRedefine/>
    <w:qFormat/>
    <w:uiPriority w:val="0"/>
    <w:pPr>
      <w:keepNext/>
      <w:widowControl/>
      <w:tabs>
        <w:tab w:val="left" w:pos="1727"/>
        <w:tab w:val="left" w:pos="1884"/>
      </w:tabs>
      <w:autoSpaceDE w:val="0"/>
      <w:autoSpaceDN w:val="0"/>
      <w:spacing w:line="300" w:lineRule="auto"/>
      <w:ind w:firstLine="480"/>
      <w:jc w:val="center"/>
      <w:outlineLvl w:val="0"/>
    </w:pPr>
    <w:rPr>
      <w:rFonts w:ascii="黑体" w:hAnsi="宋体" w:eastAsia="黑体" w:cs="宋体"/>
      <w:color w:val="000000"/>
      <w:kern w:val="0"/>
      <w:sz w:val="18"/>
    </w:rPr>
  </w:style>
  <w:style w:type="character" w:customStyle="1" w:styleId="2280">
    <w:name w:val="表格文字中 Char"/>
    <w:autoRedefine/>
    <w:qFormat/>
    <w:uiPriority w:val="0"/>
    <w:rPr>
      <w:rFonts w:ascii="黑体" w:hAnsi="宋体" w:eastAsia="黑体"/>
      <w:color w:val="000000"/>
      <w:sz w:val="18"/>
      <w:lang w:val="en-US" w:eastAsia="zh-CN" w:bidi="ar-SA"/>
    </w:rPr>
  </w:style>
  <w:style w:type="paragraph" w:customStyle="1" w:styleId="2281">
    <w:name w:val="表格文字居中 Char Char"/>
    <w:basedOn w:val="86"/>
    <w:autoRedefine/>
    <w:qFormat/>
    <w:uiPriority w:val="0"/>
    <w:pPr>
      <w:keepNext/>
      <w:widowControl/>
      <w:tabs>
        <w:tab w:val="left" w:pos="628"/>
        <w:tab w:val="left" w:pos="1727"/>
        <w:tab w:val="left" w:pos="1884"/>
        <w:tab w:val="left" w:pos="4900"/>
      </w:tabs>
      <w:autoSpaceDE w:val="0"/>
      <w:autoSpaceDN w:val="0"/>
      <w:spacing w:before="100" w:beforeAutospacing="1" w:after="0" w:line="240" w:lineRule="auto"/>
      <w:ind w:firstLine="0" w:firstLineChars="0"/>
      <w:jc w:val="center"/>
    </w:pPr>
    <w:rPr>
      <w:rFonts w:hint="eastAsia" w:ascii="仿宋_GB2312" w:hAnsi="宋体" w:eastAsia="仿宋_GB2312" w:cs="宋体"/>
      <w:color w:val="FF0000"/>
      <w:kern w:val="2"/>
      <w:szCs w:val="24"/>
      <w:lang w:val="en-US"/>
    </w:rPr>
  </w:style>
  <w:style w:type="paragraph" w:customStyle="1" w:styleId="2282">
    <w:name w:val="列表项目符号1."/>
    <w:basedOn w:val="1"/>
    <w:autoRedefine/>
    <w:qFormat/>
    <w:uiPriority w:val="0"/>
    <w:pPr>
      <w:keepNext/>
      <w:autoSpaceDE w:val="0"/>
      <w:autoSpaceDN w:val="0"/>
      <w:spacing w:line="312" w:lineRule="atLeast"/>
      <w:ind w:left="425" w:hanging="425" w:firstLineChars="0"/>
      <w:textAlignment w:val="baseline"/>
    </w:pPr>
    <w:rPr>
      <w:rFonts w:ascii="仿宋_GB2312" w:hAnsi="宋体" w:eastAsia="仿宋_GB2312" w:cs="宋体"/>
      <w:kern w:val="0"/>
      <w:sz w:val="21"/>
    </w:rPr>
  </w:style>
  <w:style w:type="paragraph" w:customStyle="1" w:styleId="2283">
    <w:name w:val="注意"/>
    <w:basedOn w:val="1"/>
    <w:next w:val="86"/>
    <w:autoRedefine/>
    <w:qFormat/>
    <w:uiPriority w:val="0"/>
    <w:pPr>
      <w:keepNext/>
      <w:autoSpaceDE w:val="0"/>
      <w:autoSpaceDN w:val="0"/>
      <w:spacing w:line="300" w:lineRule="auto"/>
      <w:ind w:firstLine="198"/>
    </w:pPr>
    <w:rPr>
      <w:rFonts w:ascii="仿宋_GB2312" w:hAnsi="宋体" w:eastAsia="楷体_GB2312" w:cs="宋体"/>
      <w:color w:val="000000"/>
      <w:sz w:val="21"/>
      <w:szCs w:val="24"/>
    </w:rPr>
  </w:style>
  <w:style w:type="paragraph" w:customStyle="1" w:styleId="2284">
    <w:name w:val="样式 标题 1 + 黑体 四号 自动设置 两端对齐 段前: 7.8 磅 段后: 7.8 磅"/>
    <w:basedOn w:val="3"/>
    <w:autoRedefine/>
    <w:qFormat/>
    <w:uiPriority w:val="0"/>
    <w:pPr>
      <w:numPr>
        <w:numId w:val="0"/>
      </w:numPr>
      <w:adjustRightInd/>
      <w:snapToGrid/>
      <w:spacing w:before="340" w:after="330" w:line="560" w:lineRule="exact"/>
      <w:jc w:val="center"/>
    </w:pPr>
    <w:rPr>
      <w:bCs w:val="0"/>
      <w:kern w:val="0"/>
      <w:sz w:val="30"/>
      <w:szCs w:val="30"/>
      <w:lang w:val="en-US"/>
    </w:rPr>
  </w:style>
  <w:style w:type="paragraph" w:customStyle="1" w:styleId="2285">
    <w:name w:val="样式 标题 51)项标题 5 Char1) Char项 Char标5 + 左 Char"/>
    <w:basedOn w:val="7"/>
    <w:next w:val="86"/>
    <w:link w:val="2286"/>
    <w:autoRedefine/>
    <w:qFormat/>
    <w:uiPriority w:val="0"/>
    <w:pPr>
      <w:numPr>
        <w:numId w:val="0"/>
      </w:numPr>
      <w:tabs>
        <w:tab w:val="left" w:pos="2100"/>
      </w:tabs>
      <w:adjustRightInd/>
      <w:snapToGrid/>
      <w:spacing w:before="0" w:after="0"/>
      <w:ind w:left="2100" w:hanging="420"/>
    </w:pPr>
    <w:rPr>
      <w:rFonts w:ascii="宋体"/>
      <w:bCs w:val="0"/>
      <w:spacing w:val="6"/>
      <w:sz w:val="26"/>
      <w:szCs w:val="26"/>
      <w:lang w:val="en-US"/>
    </w:rPr>
  </w:style>
  <w:style w:type="character" w:customStyle="1" w:styleId="2286">
    <w:name w:val="样式 标题 51)项标题 5 Char1) Char项 Char标5 + 左 Char Char"/>
    <w:link w:val="2285"/>
    <w:autoRedefine/>
    <w:qFormat/>
    <w:uiPriority w:val="0"/>
    <w:rPr>
      <w:rFonts w:ascii="宋体"/>
      <w:b/>
      <w:spacing w:val="6"/>
      <w:kern w:val="2"/>
      <w:sz w:val="26"/>
      <w:szCs w:val="26"/>
    </w:rPr>
  </w:style>
  <w:style w:type="paragraph" w:customStyle="1" w:styleId="2287">
    <w:name w:val="样式 题注"/>
    <w:basedOn w:val="22"/>
    <w:autoRedefine/>
    <w:qFormat/>
    <w:uiPriority w:val="0"/>
    <w:pPr>
      <w:autoSpaceDE w:val="0"/>
      <w:autoSpaceDN w:val="0"/>
      <w:spacing w:line="240" w:lineRule="auto"/>
      <w:ind w:firstLine="617" w:firstLineChars="0"/>
    </w:pPr>
    <w:rPr>
      <w:rFonts w:ascii="黑体" w:hAnsi="宋体" w:cs="Arial"/>
      <w:color w:val="000000"/>
      <w:lang w:val="en-US"/>
    </w:rPr>
  </w:style>
  <w:style w:type="paragraph" w:customStyle="1" w:styleId="2288">
    <w:name w:val="表中文字居中"/>
    <w:basedOn w:val="1"/>
    <w:next w:val="86"/>
    <w:autoRedefine/>
    <w:qFormat/>
    <w:uiPriority w:val="0"/>
    <w:pPr>
      <w:keepNext/>
      <w:autoSpaceDE w:val="0"/>
      <w:autoSpaceDN w:val="0"/>
      <w:spacing w:line="300" w:lineRule="auto"/>
      <w:ind w:firstLine="480"/>
      <w:jc w:val="center"/>
    </w:pPr>
    <w:rPr>
      <w:rFonts w:ascii="仿宋_GB2312" w:hAnsi="宋体" w:eastAsia="仿宋_GB2312" w:cs="宋体"/>
      <w:szCs w:val="24"/>
    </w:rPr>
  </w:style>
  <w:style w:type="paragraph" w:customStyle="1" w:styleId="2289">
    <w:name w:val="样式 标题 51)项标题 5 Char1) Char项 Char标5 + 左1"/>
    <w:basedOn w:val="7"/>
    <w:next w:val="1"/>
    <w:autoRedefine/>
    <w:qFormat/>
    <w:uiPriority w:val="0"/>
    <w:pPr>
      <w:numPr>
        <w:numId w:val="0"/>
      </w:numPr>
      <w:tabs>
        <w:tab w:val="left" w:pos="2100"/>
      </w:tabs>
      <w:adjustRightInd/>
      <w:snapToGrid/>
      <w:spacing w:before="0" w:after="0"/>
      <w:ind w:left="2100" w:hanging="420"/>
    </w:pPr>
    <w:rPr>
      <w:rFonts w:ascii="宋体"/>
      <w:bCs w:val="0"/>
      <w:spacing w:val="6"/>
      <w:sz w:val="26"/>
      <w:szCs w:val="26"/>
      <w:lang w:val="en-US"/>
    </w:rPr>
  </w:style>
  <w:style w:type="paragraph" w:customStyle="1" w:styleId="2290">
    <w:name w:val="样式 目录 1目录 + 首行缩进:  2 字符"/>
    <w:basedOn w:val="59"/>
    <w:autoRedefine/>
    <w:qFormat/>
    <w:uiPriority w:val="0"/>
    <w:pPr>
      <w:keepNext/>
      <w:tabs>
        <w:tab w:val="right" w:leader="dot" w:pos="9062"/>
        <w:tab w:val="clear" w:pos="960"/>
        <w:tab w:val="clear" w:pos="9060"/>
      </w:tabs>
      <w:autoSpaceDE w:val="0"/>
      <w:autoSpaceDN w:val="0"/>
      <w:spacing w:line="300" w:lineRule="auto"/>
      <w:ind w:firstLine="0"/>
      <w:jc w:val="both"/>
    </w:pPr>
    <w:rPr>
      <w:rFonts w:ascii="Arial Narrow" w:hAnsi="Arial Narrow" w:eastAsia="仿宋_GB2312" w:cs="宋体"/>
      <w:b w:val="0"/>
      <w:color w:val="000000"/>
      <w:sz w:val="20"/>
      <w:lang w:val="zh-CN"/>
    </w:rPr>
  </w:style>
  <w:style w:type="paragraph" w:customStyle="1" w:styleId="2291">
    <w:name w:val="题注2"/>
    <w:basedOn w:val="22"/>
    <w:autoRedefine/>
    <w:qFormat/>
    <w:uiPriority w:val="0"/>
    <w:pPr>
      <w:keepNext/>
      <w:autoSpaceDE w:val="0"/>
      <w:autoSpaceDN w:val="0"/>
      <w:spacing w:afterLines="50" w:line="240" w:lineRule="auto"/>
      <w:ind w:right="109" w:rightChars="39" w:firstLine="0" w:firstLineChars="0"/>
    </w:pPr>
    <w:rPr>
      <w:rFonts w:ascii="黑体" w:hAnsi="宋体" w:cs="Arial"/>
      <w:b w:val="0"/>
      <w:snapToGrid w:val="0"/>
      <w:color w:val="000000"/>
      <w:kern w:val="0"/>
      <w:lang w:val="en-US"/>
    </w:rPr>
  </w:style>
  <w:style w:type="paragraph" w:customStyle="1" w:styleId="2292">
    <w:name w:val="样式 正文首行缩进 + 首行缩进:  2 字符"/>
    <w:basedOn w:val="86"/>
    <w:autoRedefine/>
    <w:qFormat/>
    <w:uiPriority w:val="0"/>
    <w:pPr>
      <w:tabs>
        <w:tab w:val="left" w:pos="628"/>
        <w:tab w:val="left" w:pos="1727"/>
        <w:tab w:val="left" w:pos="1884"/>
        <w:tab w:val="left" w:pos="2660"/>
        <w:tab w:val="left" w:pos="5460"/>
      </w:tabs>
      <w:autoSpaceDE w:val="0"/>
      <w:autoSpaceDN w:val="0"/>
      <w:spacing w:after="0" w:line="300" w:lineRule="auto"/>
      <w:ind w:firstLine="480" w:firstLineChars="200"/>
      <w:jc w:val="center"/>
    </w:pPr>
    <w:rPr>
      <w:rFonts w:ascii="仿宋_GB2312" w:hAnsi="宋体" w:eastAsia="仿宋_GB2312" w:cs="宋体"/>
      <w:bCs/>
      <w:color w:val="000000"/>
      <w:kern w:val="2"/>
      <w:szCs w:val="24"/>
      <w:lang w:val="en-US"/>
    </w:rPr>
  </w:style>
  <w:style w:type="paragraph" w:customStyle="1" w:styleId="2293">
    <w:name w:val="样式 标题 1标题 1 Char标1第一章 + 两端对齐 段前: 0.5 行 段后: 0.5 行"/>
    <w:basedOn w:val="3"/>
    <w:autoRedefine/>
    <w:qFormat/>
    <w:uiPriority w:val="0"/>
    <w:pPr>
      <w:numPr>
        <w:numId w:val="0"/>
      </w:numPr>
      <w:adjustRightInd/>
      <w:snapToGrid/>
      <w:spacing w:before="340" w:after="330" w:line="560" w:lineRule="exact"/>
      <w:jc w:val="center"/>
    </w:pPr>
    <w:rPr>
      <w:bCs w:val="0"/>
      <w:kern w:val="0"/>
      <w:sz w:val="30"/>
      <w:szCs w:val="30"/>
      <w:lang w:val="en-US"/>
    </w:rPr>
  </w:style>
  <w:style w:type="paragraph" w:customStyle="1" w:styleId="2294">
    <w:name w:val="样式 标题 31.1.1条标题 3 Char Char标题 3 Char标3 +"/>
    <w:basedOn w:val="5"/>
    <w:autoRedefine/>
    <w:qFormat/>
    <w:uiPriority w:val="0"/>
    <w:pPr>
      <w:numPr>
        <w:numId w:val="0"/>
      </w:numPr>
      <w:tabs>
        <w:tab w:val="left" w:pos="1260"/>
      </w:tabs>
      <w:adjustRightInd/>
      <w:snapToGrid/>
      <w:spacing w:before="260" w:after="260" w:line="416" w:lineRule="auto"/>
      <w:ind w:left="1260" w:hanging="420" w:firstLineChars="200"/>
    </w:pPr>
    <w:rPr>
      <w:sz w:val="32"/>
      <w:lang w:val="en-US"/>
    </w:rPr>
  </w:style>
  <w:style w:type="paragraph" w:customStyle="1" w:styleId="2295">
    <w:name w:val="样式 标题 21.1标题 21.1标题2标题 2 Char1节_Heading 2标2 + 段前: 0.5 行..."/>
    <w:basedOn w:val="4"/>
    <w:autoRedefine/>
    <w:qFormat/>
    <w:uiPriority w:val="0"/>
    <w:pPr>
      <w:numPr>
        <w:ilvl w:val="0"/>
        <w:numId w:val="0"/>
      </w:numPr>
      <w:spacing w:before="260" w:after="260" w:line="415" w:lineRule="auto"/>
    </w:pPr>
    <w:rPr>
      <w:rFonts w:ascii="Arial" w:hAnsi="Arial" w:eastAsia="黑体"/>
      <w:color w:val="000000"/>
      <w:sz w:val="32"/>
      <w:lang w:val="en-US"/>
    </w:rPr>
  </w:style>
  <w:style w:type="paragraph" w:customStyle="1" w:styleId="2296">
    <w:name w:val="样式 标题 41.1.1.1标题 4.1.1.1.1标题 4 Char款1.1.1.1 Char标4 +"/>
    <w:basedOn w:val="6"/>
    <w:autoRedefine/>
    <w:qFormat/>
    <w:uiPriority w:val="0"/>
    <w:pPr>
      <w:numPr>
        <w:numId w:val="0"/>
      </w:numPr>
      <w:tabs>
        <w:tab w:val="left" w:pos="1680"/>
      </w:tabs>
      <w:adjustRightInd/>
      <w:snapToGrid/>
      <w:spacing w:before="280" w:after="290" w:line="376" w:lineRule="auto"/>
      <w:ind w:left="1680" w:hanging="420" w:firstLineChars="200"/>
      <w:jc w:val="both"/>
    </w:pPr>
    <w:rPr>
      <w:rFonts w:ascii="Arial" w:hAnsi="Arial" w:eastAsia="黑体"/>
      <w:sz w:val="28"/>
      <w:lang w:val="en-US"/>
    </w:rPr>
  </w:style>
  <w:style w:type="paragraph" w:customStyle="1" w:styleId="2297">
    <w:name w:val="样式 标题 51)项标5 +"/>
    <w:basedOn w:val="7"/>
    <w:autoRedefine/>
    <w:qFormat/>
    <w:uiPriority w:val="0"/>
    <w:pPr>
      <w:numPr>
        <w:numId w:val="0"/>
      </w:numPr>
      <w:tabs>
        <w:tab w:val="left" w:pos="2100"/>
      </w:tabs>
      <w:adjustRightInd/>
      <w:snapToGrid/>
      <w:spacing w:before="0" w:after="0"/>
      <w:ind w:left="2100" w:hanging="420"/>
    </w:pPr>
    <w:rPr>
      <w:rFonts w:ascii="宋体"/>
      <w:bCs w:val="0"/>
      <w:spacing w:val="6"/>
      <w:sz w:val="26"/>
      <w:szCs w:val="26"/>
      <w:lang w:val="en-US"/>
    </w:rPr>
  </w:style>
  <w:style w:type="paragraph" w:customStyle="1" w:styleId="2298">
    <w:name w:val="样式 标题 51)项标5 +1"/>
    <w:basedOn w:val="7"/>
    <w:autoRedefine/>
    <w:qFormat/>
    <w:uiPriority w:val="0"/>
    <w:pPr>
      <w:numPr>
        <w:numId w:val="0"/>
      </w:numPr>
      <w:tabs>
        <w:tab w:val="left" w:pos="2100"/>
      </w:tabs>
      <w:adjustRightInd/>
      <w:snapToGrid/>
      <w:spacing w:before="0" w:after="0"/>
      <w:ind w:left="2100" w:hanging="420"/>
    </w:pPr>
    <w:rPr>
      <w:rFonts w:ascii="宋体"/>
      <w:bCs w:val="0"/>
      <w:spacing w:val="6"/>
      <w:sz w:val="26"/>
      <w:szCs w:val="26"/>
      <w:lang w:val="en-US"/>
    </w:rPr>
  </w:style>
  <w:style w:type="paragraph" w:customStyle="1" w:styleId="2299">
    <w:name w:val="样式 标题 1标题 1 Char标1 + 段前: 0.5 行 段后: 0.5 行"/>
    <w:basedOn w:val="3"/>
    <w:autoRedefine/>
    <w:qFormat/>
    <w:uiPriority w:val="0"/>
    <w:pPr>
      <w:numPr>
        <w:numId w:val="0"/>
      </w:numPr>
      <w:adjustRightInd/>
      <w:snapToGrid/>
      <w:spacing w:before="340" w:after="330" w:line="560" w:lineRule="exact"/>
      <w:jc w:val="center"/>
    </w:pPr>
    <w:rPr>
      <w:bCs w:val="0"/>
      <w:kern w:val="0"/>
      <w:sz w:val="30"/>
      <w:szCs w:val="30"/>
      <w:lang w:val="en-US"/>
    </w:rPr>
  </w:style>
  <w:style w:type="paragraph" w:customStyle="1" w:styleId="2300">
    <w:name w:val="样式 标题 21.1标题 21.1标题2标题 2 Char1节_Heading 2标2二级标题1.1标题 +..."/>
    <w:basedOn w:val="4"/>
    <w:autoRedefine/>
    <w:qFormat/>
    <w:uiPriority w:val="0"/>
    <w:pPr>
      <w:numPr>
        <w:ilvl w:val="0"/>
        <w:numId w:val="0"/>
      </w:numPr>
      <w:spacing w:before="260" w:after="260" w:line="415" w:lineRule="auto"/>
    </w:pPr>
    <w:rPr>
      <w:rFonts w:ascii="Arial" w:hAnsi="Arial" w:eastAsia="黑体"/>
      <w:color w:val="000000"/>
      <w:sz w:val="32"/>
      <w:lang w:val="en-US"/>
    </w:rPr>
  </w:style>
  <w:style w:type="paragraph" w:customStyle="1" w:styleId="2301">
    <w:name w:val="标题 52"/>
    <w:basedOn w:val="1"/>
    <w:autoRedefine/>
    <w:qFormat/>
    <w:uiPriority w:val="0"/>
    <w:pPr>
      <w:autoSpaceDE w:val="0"/>
      <w:autoSpaceDN w:val="0"/>
      <w:spacing w:line="300" w:lineRule="auto"/>
      <w:ind w:firstLine="567"/>
    </w:pPr>
    <w:rPr>
      <w:rFonts w:ascii="仿宋_GB2312" w:hAnsi="宋体" w:eastAsia="仿宋_GB2312" w:cs="宋体"/>
      <w:szCs w:val="24"/>
    </w:rPr>
  </w:style>
  <w:style w:type="paragraph" w:customStyle="1" w:styleId="2302">
    <w:name w:val="样式 标题 21.1标题 21.1标题2标题 2 Char1节_Heading 2标2二级标题1.1标题 +...1"/>
    <w:basedOn w:val="1"/>
    <w:next w:val="86"/>
    <w:autoRedefine/>
    <w:qFormat/>
    <w:uiPriority w:val="0"/>
    <w:pPr>
      <w:keepNext/>
      <w:autoSpaceDE w:val="0"/>
      <w:autoSpaceDN w:val="0"/>
      <w:spacing w:line="300" w:lineRule="auto"/>
      <w:ind w:firstLine="480"/>
    </w:pPr>
    <w:rPr>
      <w:rFonts w:ascii="仿宋_GB2312" w:hAnsi="宋体" w:eastAsia="仿宋_GB2312" w:cs="宋体"/>
    </w:rPr>
  </w:style>
  <w:style w:type="paragraph" w:customStyle="1" w:styleId="2303">
    <w:name w:val="c"/>
    <w:autoRedefine/>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2304">
    <w:name w:val="gb1"/>
    <w:basedOn w:val="1"/>
    <w:autoRedefine/>
    <w:qFormat/>
    <w:uiPriority w:val="0"/>
    <w:pPr>
      <w:tabs>
        <w:tab w:val="left" w:pos="227"/>
      </w:tabs>
      <w:overflowPunct w:val="0"/>
      <w:autoSpaceDE w:val="0"/>
      <w:autoSpaceDN w:val="0"/>
      <w:spacing w:line="300" w:lineRule="auto"/>
      <w:ind w:firstLine="480"/>
      <w:textAlignment w:val="baseline"/>
    </w:pPr>
    <w:rPr>
      <w:rFonts w:ascii="Arial" w:hAnsi="Arial" w:eastAsia="仿宋体" w:cs="宋体"/>
      <w:kern w:val="0"/>
      <w:sz w:val="21"/>
    </w:rPr>
  </w:style>
  <w:style w:type="paragraph" w:customStyle="1" w:styleId="2305">
    <w:name w:val="注释标题4"/>
    <w:basedOn w:val="16"/>
    <w:autoRedefine/>
    <w:qFormat/>
    <w:uiPriority w:val="0"/>
    <w:pPr>
      <w:autoSpaceDE w:val="0"/>
      <w:autoSpaceDN w:val="0"/>
      <w:adjustRightInd w:val="0"/>
      <w:snapToGrid w:val="0"/>
      <w:spacing w:line="300" w:lineRule="auto"/>
      <w:ind w:left="-20" w:firstLine="198" w:firstLineChars="200"/>
    </w:pPr>
    <w:rPr>
      <w:rFonts w:ascii="仿宋_GB2312" w:hAnsi="宋体" w:eastAsia="仿宋_GB2312" w:cs="宋体"/>
      <w:kern w:val="2"/>
      <w:sz w:val="24"/>
      <w:szCs w:val="24"/>
      <w:lang w:val="en-US"/>
    </w:rPr>
  </w:style>
  <w:style w:type="paragraph" w:customStyle="1" w:styleId="2306">
    <w:name w:val="首页脚注"/>
    <w:basedOn w:val="55"/>
    <w:autoRedefine/>
    <w:qFormat/>
    <w:uiPriority w:val="0"/>
    <w:pPr>
      <w:keepLines/>
      <w:tabs>
        <w:tab w:val="center" w:pos="4320"/>
        <w:tab w:val="clear" w:pos="4153"/>
        <w:tab w:val="clear" w:pos="8306"/>
      </w:tabs>
      <w:overflowPunct w:val="0"/>
      <w:autoSpaceDE w:val="0"/>
      <w:autoSpaceDN w:val="0"/>
      <w:snapToGrid/>
      <w:spacing w:line="360" w:lineRule="auto"/>
      <w:ind w:firstLine="630" w:firstLineChars="300"/>
      <w:jc w:val="center"/>
      <w:textAlignment w:val="baseline"/>
    </w:pPr>
    <w:rPr>
      <w:rFonts w:eastAsia="仿宋_GB2312" w:cs="宋体"/>
      <w:sz w:val="28"/>
      <w:szCs w:val="20"/>
      <w:lang w:val="en-US"/>
    </w:rPr>
  </w:style>
  <w:style w:type="paragraph" w:customStyle="1" w:styleId="2307">
    <w:name w:val="样式 正文文本 +"/>
    <w:basedOn w:val="34"/>
    <w:autoRedefine/>
    <w:qFormat/>
    <w:uiPriority w:val="0"/>
    <w:pPr>
      <w:autoSpaceDE w:val="0"/>
      <w:autoSpaceDN w:val="0"/>
      <w:spacing w:line="300" w:lineRule="auto"/>
      <w:ind w:firstLine="480"/>
      <w:jc w:val="center"/>
    </w:pPr>
    <w:rPr>
      <w:rFonts w:ascii="仿宋_GB2312" w:hAnsi="宋体" w:eastAsia="仿宋_GB2312" w:cs="宋体"/>
      <w:bCs/>
      <w:szCs w:val="24"/>
      <w:lang w:val="en-US"/>
    </w:rPr>
  </w:style>
  <w:style w:type="paragraph" w:customStyle="1" w:styleId="2308">
    <w:name w:val="样式 题注 + (西文) 宋体"/>
    <w:basedOn w:val="22"/>
    <w:autoRedefine/>
    <w:qFormat/>
    <w:uiPriority w:val="0"/>
    <w:pPr>
      <w:tabs>
        <w:tab w:val="left" w:pos="1727"/>
        <w:tab w:val="left" w:pos="1884"/>
      </w:tabs>
      <w:autoSpaceDE w:val="0"/>
      <w:autoSpaceDN w:val="0"/>
      <w:spacing w:line="360" w:lineRule="auto"/>
      <w:ind w:firstLine="0" w:firstLineChars="0"/>
      <w:outlineLvl w:val="0"/>
    </w:pPr>
    <w:rPr>
      <w:rFonts w:ascii="黑体" w:hAnsi="宋体" w:cs="宋体"/>
      <w:color w:val="000000"/>
      <w:kern w:val="0"/>
    </w:rPr>
  </w:style>
  <w:style w:type="character" w:customStyle="1" w:styleId="2309">
    <w:name w:val="样式 题注 + (西文) 宋体 Char"/>
    <w:autoRedefine/>
    <w:qFormat/>
    <w:locked/>
    <w:uiPriority w:val="0"/>
    <w:rPr>
      <w:rFonts w:ascii="宋体" w:hAnsi="宋体" w:eastAsia="宋体" w:cs="宋体"/>
      <w:color w:val="000000"/>
      <w:sz w:val="28"/>
      <w:szCs w:val="28"/>
      <w:lang w:val="zh-CN" w:eastAsia="zh-CN" w:bidi="ar-SA"/>
    </w:rPr>
  </w:style>
  <w:style w:type="paragraph" w:customStyle="1" w:styleId="2310">
    <w:name w:val="样式 表格1 + 黑体 两端对齐 首行缩进:  2.12 厘米 行距: 1.5 倍行距"/>
    <w:basedOn w:val="1"/>
    <w:autoRedefine/>
    <w:qFormat/>
    <w:uiPriority w:val="0"/>
    <w:pPr>
      <w:keepNext/>
      <w:autoSpaceDE w:val="0"/>
      <w:autoSpaceDN w:val="0"/>
      <w:spacing w:line="300" w:lineRule="auto"/>
      <w:ind w:firstLine="480"/>
      <w:jc w:val="center"/>
    </w:pPr>
    <w:rPr>
      <w:rFonts w:ascii="黑体" w:hAnsi="宋体" w:eastAsia="黑体" w:cs="黑体"/>
      <w:kern w:val="0"/>
      <w:szCs w:val="24"/>
      <w:lang w:val="zh-CN"/>
    </w:rPr>
  </w:style>
  <w:style w:type="paragraph" w:customStyle="1" w:styleId="2311">
    <w:name w:val="五号"/>
    <w:basedOn w:val="1"/>
    <w:autoRedefine/>
    <w:qFormat/>
    <w:uiPriority w:val="0"/>
    <w:pPr>
      <w:autoSpaceDE w:val="0"/>
      <w:autoSpaceDN w:val="0"/>
      <w:spacing w:line="300" w:lineRule="auto"/>
    </w:pPr>
    <w:rPr>
      <w:rFonts w:ascii="仿宋_GB2312" w:hAnsi="宋体" w:eastAsia="仿宋_GB2312" w:cs="宋体"/>
      <w:sz w:val="21"/>
      <w:szCs w:val="21"/>
    </w:rPr>
  </w:style>
  <w:style w:type="character" w:customStyle="1" w:styleId="2312">
    <w:name w:val="五号 Char"/>
    <w:autoRedefine/>
    <w:qFormat/>
    <w:uiPriority w:val="0"/>
    <w:rPr>
      <w:rFonts w:ascii="Verdana" w:hAnsi="Verdana" w:eastAsia="宋体"/>
      <w:kern w:val="2"/>
      <w:sz w:val="21"/>
      <w:szCs w:val="24"/>
      <w:lang w:val="en-US" w:eastAsia="zh-CN" w:bidi="ar-SA"/>
    </w:rPr>
  </w:style>
  <w:style w:type="paragraph" w:customStyle="1" w:styleId="2313">
    <w:name w:val="样式 题注 + 小四"/>
    <w:basedOn w:val="22"/>
    <w:autoRedefine/>
    <w:qFormat/>
    <w:uiPriority w:val="0"/>
    <w:pPr>
      <w:autoSpaceDE w:val="0"/>
      <w:autoSpaceDN w:val="0"/>
      <w:spacing w:line="360" w:lineRule="auto"/>
    </w:pPr>
    <w:rPr>
      <w:rFonts w:ascii="Arial" w:hAnsi="Arial" w:cs="Arial"/>
      <w:color w:val="000000"/>
      <w:lang w:val="en-US"/>
    </w:rPr>
  </w:style>
  <w:style w:type="character" w:customStyle="1" w:styleId="2314">
    <w:name w:val="样式 题注 + 小四 Char"/>
    <w:autoRedefine/>
    <w:qFormat/>
    <w:uiPriority w:val="0"/>
    <w:rPr>
      <w:rFonts w:ascii="Arial" w:hAnsi="Arial" w:eastAsia="黑体" w:cs="Arial"/>
      <w:kern w:val="2"/>
      <w:sz w:val="24"/>
      <w:szCs w:val="24"/>
      <w:lang w:val="en-US" w:eastAsia="zh-CN" w:bidi="ar-SA"/>
    </w:rPr>
  </w:style>
  <w:style w:type="paragraph" w:customStyle="1" w:styleId="2315">
    <w:name w:val="样式 左侧:  0.85 厘米"/>
    <w:basedOn w:val="1"/>
    <w:autoRedefine/>
    <w:qFormat/>
    <w:uiPriority w:val="0"/>
    <w:pPr>
      <w:autoSpaceDE w:val="0"/>
      <w:autoSpaceDN w:val="0"/>
      <w:spacing w:line="300" w:lineRule="auto"/>
      <w:ind w:left="482"/>
    </w:pPr>
    <w:rPr>
      <w:rFonts w:ascii="仿宋_GB2312" w:hAnsi="宋体" w:eastAsia="仿宋_GB2312" w:cs="宋体"/>
    </w:rPr>
  </w:style>
  <w:style w:type="character" w:customStyle="1" w:styleId="2316">
    <w:name w:val="标题5 Char Char"/>
    <w:autoRedefine/>
    <w:qFormat/>
    <w:uiPriority w:val="0"/>
    <w:rPr>
      <w:rFonts w:ascii="宋体" w:hAnsi="Verdana" w:eastAsia="宋体"/>
      <w:color w:val="000000"/>
      <w:kern w:val="2"/>
      <w:sz w:val="28"/>
      <w:szCs w:val="24"/>
      <w:lang w:val="en-US" w:eastAsia="zh-CN" w:bidi="ar-SA"/>
    </w:rPr>
  </w:style>
  <w:style w:type="paragraph" w:customStyle="1" w:styleId="2317">
    <w:name w:val="表格标题居中"/>
    <w:autoRedefine/>
    <w:qFormat/>
    <w:uiPriority w:val="0"/>
    <w:pPr>
      <w:autoSpaceDE w:val="0"/>
      <w:autoSpaceDN w:val="0"/>
      <w:spacing w:line="360" w:lineRule="auto"/>
      <w:ind w:firstLine="561"/>
      <w:jc w:val="center"/>
    </w:pPr>
    <w:rPr>
      <w:rFonts w:ascii="仿宋_GB2312" w:hAnsi="宋体" w:eastAsia="黑体" w:cs="宋体"/>
      <w:color w:val="000000"/>
      <w:szCs w:val="24"/>
      <w:lang w:val="en-US" w:eastAsia="zh-CN" w:bidi="ar-SA"/>
    </w:rPr>
  </w:style>
  <w:style w:type="paragraph" w:customStyle="1" w:styleId="2318">
    <w:name w:val="样式 普通段落 + 首行缩进:  2 字符 段前: 0.5 行4"/>
    <w:basedOn w:val="1"/>
    <w:autoRedefine/>
    <w:qFormat/>
    <w:uiPriority w:val="0"/>
    <w:pPr>
      <w:autoSpaceDE w:val="0"/>
      <w:autoSpaceDN w:val="0"/>
      <w:spacing w:beforeLines="50" w:line="288" w:lineRule="auto"/>
      <w:ind w:firstLine="480"/>
    </w:pPr>
    <w:rPr>
      <w:rFonts w:ascii="Arial" w:hAnsi="Arial" w:eastAsia="华文宋体" w:cs="Arial"/>
      <w:kern w:val="0"/>
    </w:rPr>
  </w:style>
  <w:style w:type="paragraph" w:customStyle="1" w:styleId="2319">
    <w:name w:val="样式 题注 + (西文) Arial (中文) 黑体 小四 Char Char"/>
    <w:basedOn w:val="22"/>
    <w:autoRedefine/>
    <w:qFormat/>
    <w:uiPriority w:val="0"/>
    <w:pPr>
      <w:autoSpaceDE w:val="0"/>
      <w:autoSpaceDN w:val="0"/>
      <w:spacing w:line="240" w:lineRule="auto"/>
      <w:ind w:firstLine="0" w:firstLineChars="0"/>
    </w:pPr>
    <w:rPr>
      <w:rFonts w:ascii="Arial" w:hAnsi="Arial" w:cs="Arial"/>
      <w:color w:val="000000"/>
      <w:lang w:val="en-US"/>
    </w:rPr>
  </w:style>
  <w:style w:type="character" w:customStyle="1" w:styleId="2320">
    <w:name w:val="样式 题注 + (西文) Arial (中文) 黑体 小四 Char Char Char"/>
    <w:autoRedefine/>
    <w:qFormat/>
    <w:uiPriority w:val="0"/>
    <w:rPr>
      <w:rFonts w:ascii="黑体" w:hAnsi="Arial" w:eastAsia="黑体" w:cs="Arial"/>
      <w:kern w:val="2"/>
      <w:sz w:val="28"/>
      <w:szCs w:val="28"/>
      <w:lang w:val="en-US" w:eastAsia="zh-CN" w:bidi="ar-SA"/>
    </w:rPr>
  </w:style>
  <w:style w:type="paragraph" w:customStyle="1" w:styleId="2321">
    <w:name w:val="样式 标题 21.1标题 21.1标题2标题 2 Char1节_Heading 2标2二级标题1.1标题 +...2"/>
    <w:basedOn w:val="4"/>
    <w:autoRedefine/>
    <w:qFormat/>
    <w:uiPriority w:val="0"/>
    <w:pPr>
      <w:numPr>
        <w:ilvl w:val="0"/>
        <w:numId w:val="0"/>
      </w:numPr>
      <w:spacing w:before="260" w:after="260" w:line="415" w:lineRule="auto"/>
    </w:pPr>
    <w:rPr>
      <w:rFonts w:ascii="Arial" w:hAnsi="Arial" w:eastAsia="黑体"/>
      <w:color w:val="000000"/>
      <w:sz w:val="32"/>
      <w:lang w:val="en-US"/>
    </w:rPr>
  </w:style>
  <w:style w:type="character" w:customStyle="1" w:styleId="2322">
    <w:name w:val="样式 标题 51)项标5标题 5 Char21) Char2项 Char2 + 左侧:  -0.04 厘米 首行缩... Char"/>
    <w:autoRedefine/>
    <w:qFormat/>
    <w:uiPriority w:val="0"/>
    <w:rPr>
      <w:rFonts w:ascii="宋体" w:hAnsi="宋体" w:eastAsia="宋体" w:cs="宋体"/>
      <w:kern w:val="2"/>
      <w:sz w:val="28"/>
      <w:szCs w:val="28"/>
      <w:lang w:val="en-US" w:eastAsia="zh-CN" w:bidi="ar-SA"/>
    </w:rPr>
  </w:style>
  <w:style w:type="paragraph" w:customStyle="1" w:styleId="2323">
    <w:name w:val="样式 左侧:  -0.04 厘米"/>
    <w:basedOn w:val="1"/>
    <w:autoRedefine/>
    <w:qFormat/>
    <w:uiPriority w:val="0"/>
    <w:pPr>
      <w:autoSpaceDE w:val="0"/>
      <w:autoSpaceDN w:val="0"/>
      <w:spacing w:line="300" w:lineRule="auto"/>
      <w:ind w:left="-23"/>
    </w:pPr>
    <w:rPr>
      <w:rFonts w:ascii="仿宋_GB2312" w:hAnsi="宋体" w:eastAsia="仿宋_GB2312" w:cs="宋体"/>
    </w:rPr>
  </w:style>
  <w:style w:type="paragraph" w:customStyle="1" w:styleId="2324">
    <w:name w:val="样式 样式 左侧:  -0.04 厘米 + 首行缩进:  2 字符"/>
    <w:basedOn w:val="2325"/>
    <w:autoRedefine/>
    <w:qFormat/>
    <w:uiPriority w:val="0"/>
    <w:pPr>
      <w:ind w:firstLine="560"/>
    </w:pPr>
  </w:style>
  <w:style w:type="paragraph" w:customStyle="1" w:styleId="2325">
    <w:name w:val="样式 五号 首行缩进:  2 字符"/>
    <w:basedOn w:val="1"/>
    <w:autoRedefine/>
    <w:qFormat/>
    <w:uiPriority w:val="0"/>
    <w:pPr>
      <w:autoSpaceDE w:val="0"/>
      <w:autoSpaceDN w:val="0"/>
      <w:spacing w:line="300" w:lineRule="auto"/>
      <w:ind w:firstLine="420"/>
    </w:pPr>
    <w:rPr>
      <w:rFonts w:ascii="仿宋_GB2312" w:hAnsi="宋体" w:eastAsia="仿宋_GB2312" w:cs="宋体"/>
      <w:szCs w:val="24"/>
    </w:rPr>
  </w:style>
  <w:style w:type="character" w:customStyle="1" w:styleId="2326">
    <w:name w:val="无节 Char"/>
    <w:autoRedefine/>
    <w:qFormat/>
    <w:uiPriority w:val="0"/>
    <w:rPr>
      <w:rFonts w:ascii="Arial" w:hAnsi="Arial" w:eastAsia="宋体"/>
      <w:kern w:val="2"/>
      <w:sz w:val="28"/>
      <w:szCs w:val="28"/>
      <w:lang w:val="en-US" w:eastAsia="zh-CN" w:bidi="ar-SA"/>
    </w:rPr>
  </w:style>
  <w:style w:type="paragraph" w:customStyle="1" w:styleId="2327">
    <w:name w:val="标题 53"/>
    <w:basedOn w:val="2259"/>
    <w:autoRedefine/>
    <w:qFormat/>
    <w:uiPriority w:val="0"/>
  </w:style>
  <w:style w:type="paragraph" w:customStyle="1" w:styleId="2328">
    <w:name w:val="标题 21.1标题 21.1标题2标题 2 Char1节_Heading 2标2二级标题1.1标题 +..."/>
    <w:basedOn w:val="1"/>
    <w:autoRedefine/>
    <w:qFormat/>
    <w:uiPriority w:val="0"/>
    <w:pPr>
      <w:autoSpaceDE w:val="0"/>
      <w:autoSpaceDN w:val="0"/>
      <w:spacing w:line="300" w:lineRule="auto"/>
    </w:pPr>
    <w:rPr>
      <w:rFonts w:ascii="仿宋_GB2312" w:hAnsi="宋体" w:eastAsia="仿宋_GB2312" w:cs="宋体"/>
      <w:szCs w:val="24"/>
    </w:rPr>
  </w:style>
  <w:style w:type="paragraph" w:customStyle="1" w:styleId="2329">
    <w:name w:val="样式 题注 + (西文) Arial (中文) 黑体 小四"/>
    <w:basedOn w:val="22"/>
    <w:autoRedefine/>
    <w:qFormat/>
    <w:uiPriority w:val="0"/>
    <w:pPr>
      <w:tabs>
        <w:tab w:val="left" w:pos="360"/>
      </w:tabs>
      <w:autoSpaceDE w:val="0"/>
      <w:autoSpaceDN w:val="0"/>
      <w:spacing w:line="240" w:lineRule="auto"/>
      <w:ind w:firstLine="560" w:firstLineChars="0"/>
    </w:pPr>
    <w:rPr>
      <w:rFonts w:ascii="Arial" w:hAnsi="Arial" w:cs="Arial"/>
      <w:color w:val="000000"/>
      <w:lang w:val="en-US"/>
    </w:rPr>
  </w:style>
  <w:style w:type="paragraph" w:customStyle="1" w:styleId="2330">
    <w:name w:val="样式 样式 题注 + (西文) 宋体 + 黑体 四号"/>
    <w:basedOn w:val="2308"/>
    <w:autoRedefine/>
    <w:qFormat/>
    <w:uiPriority w:val="0"/>
    <w:pPr>
      <w:outlineLvl w:val="9"/>
    </w:pPr>
    <w:rPr>
      <w:rFonts w:hAnsi="黑体"/>
    </w:rPr>
  </w:style>
  <w:style w:type="character" w:customStyle="1" w:styleId="2331">
    <w:name w:val="样式 样式 题注 + (西文) 宋体 + 黑体 四号 Char"/>
    <w:autoRedefine/>
    <w:qFormat/>
    <w:uiPriority w:val="0"/>
    <w:rPr>
      <w:rFonts w:ascii="黑体" w:hAnsi="黑体" w:eastAsia="黑体" w:cs="宋体"/>
      <w:color w:val="000000"/>
      <w:sz w:val="28"/>
      <w:szCs w:val="24"/>
      <w:lang w:val="zh-CN" w:eastAsia="zh-CN" w:bidi="ar-SA"/>
    </w:rPr>
  </w:style>
  <w:style w:type="paragraph" w:customStyle="1" w:styleId="2332">
    <w:name w:val="样式 标题 51)项标题 5 Char1) Char项 Char标5一级项 + 紧缩量  0.7 磅"/>
    <w:basedOn w:val="1"/>
    <w:autoRedefine/>
    <w:qFormat/>
    <w:uiPriority w:val="0"/>
    <w:pPr>
      <w:autoSpaceDE w:val="0"/>
      <w:autoSpaceDN w:val="0"/>
      <w:spacing w:line="300" w:lineRule="auto"/>
      <w:ind w:firstLine="567"/>
    </w:pPr>
    <w:rPr>
      <w:rFonts w:ascii="仿宋_GB2312" w:hAnsi="宋体" w:eastAsia="仿宋_GB2312" w:cs="宋体"/>
      <w:spacing w:val="-14"/>
      <w:szCs w:val="24"/>
    </w:rPr>
  </w:style>
  <w:style w:type="character" w:customStyle="1" w:styleId="2333">
    <w:name w:val="样式 标题 51)项标题 5 Char1) Char项 Char标5一级项 + 紧缩量  0.7 磅 Char"/>
    <w:autoRedefine/>
    <w:qFormat/>
    <w:uiPriority w:val="0"/>
    <w:rPr>
      <w:rFonts w:ascii="宋体" w:hAnsi="宋体" w:eastAsia="宋体"/>
      <w:spacing w:val="-14"/>
      <w:kern w:val="2"/>
      <w:sz w:val="28"/>
      <w:szCs w:val="28"/>
      <w:lang w:val="en-US" w:eastAsia="zh-CN" w:bidi="ar-SA"/>
    </w:rPr>
  </w:style>
  <w:style w:type="paragraph" w:customStyle="1" w:styleId="2334">
    <w:name w:val="样式 标题 41.1.1.1标题 4.1.1.1.1标题 4 Char款1.1.1.1 Char标4 + (符号) ..."/>
    <w:basedOn w:val="6"/>
    <w:next w:val="6"/>
    <w:autoRedefine/>
    <w:qFormat/>
    <w:uiPriority w:val="0"/>
    <w:pPr>
      <w:numPr>
        <w:numId w:val="0"/>
      </w:numPr>
      <w:tabs>
        <w:tab w:val="left" w:pos="1680"/>
      </w:tabs>
      <w:adjustRightInd/>
      <w:snapToGrid/>
      <w:spacing w:before="280" w:after="290" w:line="376" w:lineRule="auto"/>
      <w:ind w:left="1680" w:hanging="420" w:firstLineChars="200"/>
      <w:jc w:val="both"/>
    </w:pPr>
    <w:rPr>
      <w:rFonts w:ascii="Arial" w:hAnsi="Arial" w:eastAsia="黑体"/>
      <w:sz w:val="28"/>
      <w:lang w:val="en-US"/>
    </w:rPr>
  </w:style>
  <w:style w:type="character" w:customStyle="1" w:styleId="2335">
    <w:name w:val="样式 标题 41.1.1.1标题 4.1.1.1.1标题 4 Char款1.1.1.1 Char标4 + (符号) ... Char Char"/>
    <w:autoRedefine/>
    <w:qFormat/>
    <w:uiPriority w:val="0"/>
    <w:rPr>
      <w:rFonts w:ascii="宋体" w:hAnsi="Arial" w:eastAsia="宋体"/>
      <w:bCs/>
      <w:color w:val="000000"/>
      <w:kern w:val="2"/>
      <w:sz w:val="28"/>
      <w:szCs w:val="28"/>
      <w:lang w:val="en-US" w:eastAsia="zh-CN" w:bidi="ar-SA"/>
    </w:rPr>
  </w:style>
  <w:style w:type="paragraph" w:customStyle="1" w:styleId="2336">
    <w:name w:val="样式 标题 1标题 1 Char标1 + 段前: 0.5 行 段后: 0.5 行1"/>
    <w:basedOn w:val="3"/>
    <w:autoRedefine/>
    <w:qFormat/>
    <w:uiPriority w:val="0"/>
    <w:pPr>
      <w:numPr>
        <w:numId w:val="0"/>
      </w:numPr>
      <w:adjustRightInd/>
      <w:snapToGrid/>
      <w:spacing w:before="340" w:after="330" w:line="560" w:lineRule="exact"/>
      <w:jc w:val="center"/>
    </w:pPr>
    <w:rPr>
      <w:bCs w:val="0"/>
      <w:kern w:val="0"/>
      <w:sz w:val="30"/>
      <w:szCs w:val="30"/>
      <w:lang w:val="en-US"/>
    </w:rPr>
  </w:style>
  <w:style w:type="paragraph" w:customStyle="1" w:styleId="2337">
    <w:name w:val="样式 标题 21.1标题 21.1标题2标题 2 Char1节_Heading 2标2 + 段前: 0.5 行...1"/>
    <w:basedOn w:val="4"/>
    <w:autoRedefine/>
    <w:qFormat/>
    <w:uiPriority w:val="0"/>
    <w:pPr>
      <w:numPr>
        <w:ilvl w:val="0"/>
        <w:numId w:val="0"/>
      </w:numPr>
      <w:spacing w:before="260" w:after="260" w:line="415" w:lineRule="auto"/>
    </w:pPr>
    <w:rPr>
      <w:rFonts w:ascii="Arial" w:hAnsi="Arial" w:eastAsia="黑体"/>
      <w:color w:val="000000"/>
      <w:sz w:val="32"/>
      <w:lang w:val="en-US"/>
    </w:rPr>
  </w:style>
  <w:style w:type="paragraph" w:customStyle="1" w:styleId="2338">
    <w:name w:val="样式 标题5 + 段前: 0.5 行 段后: 0.5 行"/>
    <w:basedOn w:val="2197"/>
    <w:autoRedefine/>
    <w:qFormat/>
    <w:uiPriority w:val="0"/>
    <w:pPr>
      <w:numPr>
        <w:numId w:val="0"/>
      </w:numPr>
      <w:tabs>
        <w:tab w:val="left" w:pos="864"/>
      </w:tabs>
      <w:adjustRightInd w:val="0"/>
      <w:spacing w:line="360" w:lineRule="auto"/>
      <w:ind w:left="864" w:hanging="864"/>
      <w:jc w:val="left"/>
      <w:outlineLvl w:val="4"/>
    </w:pPr>
    <w:rPr>
      <w:rFonts w:ascii="仿宋_GB2312" w:hAnsi="宋体" w:cs="宋体"/>
      <w:bCs/>
      <w:kern w:val="44"/>
      <w:szCs w:val="28"/>
    </w:rPr>
  </w:style>
  <w:style w:type="paragraph" w:customStyle="1" w:styleId="2339">
    <w:name w:val="样式 标题 41.1.1.1标题 4.1.1.1.1标题 4 Char款1.1.1.1 Char标4 + 段前: 0..."/>
    <w:basedOn w:val="6"/>
    <w:autoRedefine/>
    <w:qFormat/>
    <w:uiPriority w:val="0"/>
    <w:pPr>
      <w:numPr>
        <w:numId w:val="0"/>
      </w:numPr>
      <w:tabs>
        <w:tab w:val="left" w:pos="1680"/>
      </w:tabs>
      <w:adjustRightInd/>
      <w:snapToGrid/>
      <w:spacing w:before="280" w:after="290" w:line="376" w:lineRule="auto"/>
      <w:ind w:left="1680" w:hanging="420" w:firstLineChars="200"/>
      <w:jc w:val="both"/>
    </w:pPr>
    <w:rPr>
      <w:rFonts w:ascii="Arial" w:hAnsi="Arial" w:eastAsia="黑体"/>
      <w:sz w:val="28"/>
      <w:lang w:val="en-US"/>
    </w:rPr>
  </w:style>
  <w:style w:type="character" w:customStyle="1" w:styleId="2340">
    <w:name w:val="样式 标题 51)项标题 5 Char1) Char项 Char标5一级项 + 紧缩量  0.7 磅 Char1"/>
    <w:autoRedefine/>
    <w:qFormat/>
    <w:uiPriority w:val="0"/>
    <w:rPr>
      <w:rFonts w:ascii="宋体" w:hAnsi="宋体" w:eastAsia="宋体"/>
      <w:spacing w:val="-14"/>
      <w:kern w:val="2"/>
      <w:sz w:val="28"/>
      <w:szCs w:val="28"/>
      <w:lang w:val="en-US" w:eastAsia="zh-CN" w:bidi="ar-SA"/>
    </w:rPr>
  </w:style>
  <w:style w:type="character" w:customStyle="1" w:styleId="2341">
    <w:name w:val="标题 3 Char2"/>
    <w:autoRedefine/>
    <w:qFormat/>
    <w:uiPriority w:val="0"/>
    <w:rPr>
      <w:rFonts w:ascii="宋体" w:hAnsi="Arial" w:eastAsia="宋体"/>
      <w:b/>
      <w:bCs/>
      <w:color w:val="000000"/>
      <w:kern w:val="2"/>
      <w:sz w:val="28"/>
      <w:szCs w:val="28"/>
      <w:lang w:val="en-US" w:eastAsia="zh-CN" w:bidi="ar-SA"/>
    </w:rPr>
  </w:style>
  <w:style w:type="character" w:customStyle="1" w:styleId="2342">
    <w:name w:val="标题 4 Char3"/>
    <w:autoRedefine/>
    <w:qFormat/>
    <w:uiPriority w:val="0"/>
    <w:rPr>
      <w:rFonts w:ascii="宋体" w:hAnsi="Arial" w:eastAsia="宋体"/>
      <w:b/>
      <w:bCs/>
      <w:color w:val="000000"/>
      <w:kern w:val="2"/>
      <w:sz w:val="28"/>
      <w:szCs w:val="28"/>
      <w:lang w:val="en-US" w:eastAsia="zh-CN" w:bidi="ar-SA"/>
    </w:rPr>
  </w:style>
  <w:style w:type="character" w:customStyle="1" w:styleId="2343">
    <w:name w:val="标题5 Char"/>
    <w:autoRedefine/>
    <w:qFormat/>
    <w:uiPriority w:val="0"/>
    <w:rPr>
      <w:rFonts w:ascii="宋体" w:hAnsi="宋体" w:eastAsia="宋体"/>
      <w:b/>
      <w:bCs/>
      <w:color w:val="000000"/>
      <w:kern w:val="2"/>
      <w:sz w:val="28"/>
      <w:szCs w:val="32"/>
      <w:lang w:val="en-US" w:eastAsia="zh-CN" w:bidi="ar-SA"/>
    </w:rPr>
  </w:style>
  <w:style w:type="paragraph" w:customStyle="1" w:styleId="2344">
    <w:name w:val="样式 表格文字居中 + 首行缩进:  2 字符"/>
    <w:autoRedefine/>
    <w:qFormat/>
    <w:uiPriority w:val="0"/>
    <w:pPr>
      <w:autoSpaceDE w:val="0"/>
      <w:autoSpaceDN w:val="0"/>
      <w:spacing w:before="50" w:after="50"/>
      <w:jc w:val="center"/>
    </w:pPr>
    <w:rPr>
      <w:rFonts w:ascii="仿宋_GB2312" w:hAnsi="宋体" w:eastAsia="仿宋_GB2312" w:cs="宋体"/>
      <w:color w:val="000000"/>
      <w:lang w:val="en-US" w:eastAsia="zh-CN" w:bidi="ar-SA"/>
    </w:rPr>
  </w:style>
  <w:style w:type="paragraph" w:customStyle="1" w:styleId="2345">
    <w:name w:val="样式 样式 五号 首行缩进:  2 字符 + 首行缩进:  2 字符"/>
    <w:basedOn w:val="2325"/>
    <w:autoRedefine/>
    <w:qFormat/>
    <w:uiPriority w:val="0"/>
    <w:pPr>
      <w:ind w:firstLine="560"/>
    </w:pPr>
  </w:style>
  <w:style w:type="paragraph" w:customStyle="1" w:styleId="2346">
    <w:name w:val="样式 样式 样式 五号 首行缩进:  2 字符 + 首行缩进:  2 字符 + 首行缩进:  2 字符"/>
    <w:basedOn w:val="2347"/>
    <w:autoRedefine/>
    <w:qFormat/>
    <w:uiPriority w:val="0"/>
  </w:style>
  <w:style w:type="paragraph" w:customStyle="1" w:styleId="2347">
    <w:name w:val="样式 样式 五号 首行缩进:  2 字符 + 首行缩进:  2 字符1"/>
    <w:basedOn w:val="2325"/>
    <w:autoRedefine/>
    <w:qFormat/>
    <w:uiPriority w:val="0"/>
    <w:pPr>
      <w:ind w:firstLine="480"/>
    </w:pPr>
  </w:style>
  <w:style w:type="paragraph" w:customStyle="1" w:styleId="2348">
    <w:name w:val="样式 表格文字居中 + 宋体 小四 Char"/>
    <w:link w:val="2349"/>
    <w:autoRedefine/>
    <w:qFormat/>
    <w:uiPriority w:val="0"/>
    <w:pPr>
      <w:autoSpaceDE w:val="0"/>
      <w:autoSpaceDN w:val="0"/>
      <w:spacing w:line="360" w:lineRule="auto"/>
      <w:jc w:val="center"/>
    </w:pPr>
    <w:rPr>
      <w:rFonts w:ascii="宋体" w:hAnsi="宋体" w:eastAsia="宋体" w:cs="Times New Roman"/>
      <w:szCs w:val="24"/>
      <w:lang w:val="en-US" w:eastAsia="zh-CN" w:bidi="ar-SA"/>
    </w:rPr>
  </w:style>
  <w:style w:type="character" w:customStyle="1" w:styleId="2349">
    <w:name w:val="样式 表格文字居中 + 宋体 小四 Char Char"/>
    <w:link w:val="2348"/>
    <w:autoRedefine/>
    <w:qFormat/>
    <w:uiPriority w:val="0"/>
    <w:rPr>
      <w:rFonts w:ascii="宋体" w:hAnsi="宋体"/>
      <w:kern w:val="2"/>
      <w:sz w:val="24"/>
      <w:szCs w:val="24"/>
    </w:rPr>
  </w:style>
  <w:style w:type="paragraph" w:customStyle="1" w:styleId="2350">
    <w:name w:val="表格内"/>
    <w:basedOn w:val="1"/>
    <w:link w:val="3129"/>
    <w:autoRedefine/>
    <w:qFormat/>
    <w:uiPriority w:val="0"/>
    <w:pPr>
      <w:snapToGrid/>
      <w:spacing w:line="240" w:lineRule="atLeast"/>
      <w:ind w:firstLine="0" w:firstLineChars="0"/>
      <w:jc w:val="center"/>
      <w:textAlignment w:val="baseline"/>
    </w:pPr>
    <w:rPr>
      <w:rFonts w:ascii="宋体" w:hAnsi="宋体" w:eastAsia="仿宋_GB2312" w:cs="宋体"/>
      <w:kern w:val="0"/>
    </w:rPr>
  </w:style>
  <w:style w:type="paragraph" w:customStyle="1" w:styleId="2351">
    <w:name w:val="Items"/>
    <w:basedOn w:val="1"/>
    <w:autoRedefine/>
    <w:qFormat/>
    <w:uiPriority w:val="0"/>
    <w:pPr>
      <w:adjustRightInd/>
      <w:snapToGrid/>
      <w:spacing w:beforeLines="20" w:afterLines="30" w:line="560" w:lineRule="exact"/>
      <w:ind w:left="240" w:firstLine="80" w:firstLineChars="0"/>
    </w:pPr>
    <w:rPr>
      <w:rFonts w:ascii="Arial" w:hAnsi="Arial" w:eastAsia="仿宋_GB2312" w:cs="宋体"/>
    </w:rPr>
  </w:style>
  <w:style w:type="paragraph" w:customStyle="1" w:styleId="2352">
    <w:name w:val="批注框文本 Char Char"/>
    <w:basedOn w:val="1"/>
    <w:autoRedefine/>
    <w:qFormat/>
    <w:uiPriority w:val="0"/>
    <w:pPr>
      <w:adjustRightInd/>
      <w:snapToGrid/>
      <w:spacing w:line="312" w:lineRule="auto"/>
      <w:ind w:firstLine="0" w:firstLineChars="0"/>
    </w:pPr>
    <w:rPr>
      <w:rFonts w:eastAsia="楷体_GB2312"/>
      <w:sz w:val="18"/>
    </w:rPr>
  </w:style>
  <w:style w:type="paragraph" w:customStyle="1" w:styleId="2353">
    <w:name w:val="样式 仿宋_GB2312 小四 行距: 多倍行距 1.25 字行"/>
    <w:basedOn w:val="1"/>
    <w:autoRedefine/>
    <w:qFormat/>
    <w:uiPriority w:val="0"/>
    <w:pPr>
      <w:adjustRightInd/>
      <w:snapToGrid/>
      <w:spacing w:line="300" w:lineRule="auto"/>
      <w:ind w:firstLine="0" w:firstLineChars="0"/>
    </w:pPr>
    <w:rPr>
      <w:rFonts w:ascii="Arial Narrow" w:hAnsi="Arial Narrow" w:eastAsia="仿宋_GB2312" w:cs="宋体"/>
      <w:szCs w:val="24"/>
    </w:rPr>
  </w:style>
  <w:style w:type="paragraph" w:customStyle="1" w:styleId="2354">
    <w:name w:val="表字1"/>
    <w:basedOn w:val="1"/>
    <w:autoRedefine/>
    <w:qFormat/>
    <w:uiPriority w:val="0"/>
    <w:pPr>
      <w:snapToGrid/>
      <w:spacing w:line="360" w:lineRule="auto"/>
      <w:ind w:firstLine="0" w:firstLineChars="0"/>
      <w:jc w:val="center"/>
      <w:textAlignment w:val="baseline"/>
    </w:pPr>
    <w:rPr>
      <w:rFonts w:ascii="宋体"/>
      <w:kern w:val="0"/>
      <w:sz w:val="21"/>
    </w:rPr>
  </w:style>
  <w:style w:type="paragraph" w:customStyle="1" w:styleId="2355">
    <w:name w:val="我的样式（正文）"/>
    <w:basedOn w:val="1"/>
    <w:autoRedefine/>
    <w:qFormat/>
    <w:uiPriority w:val="0"/>
    <w:pPr>
      <w:adjustRightInd/>
      <w:snapToGrid/>
      <w:spacing w:line="440" w:lineRule="exact"/>
      <w:ind w:firstLine="0" w:firstLineChars="0"/>
    </w:pPr>
    <w:rPr>
      <w:rFonts w:ascii="宋体"/>
      <w:sz w:val="28"/>
      <w:szCs w:val="28"/>
    </w:rPr>
  </w:style>
  <w:style w:type="character" w:customStyle="1" w:styleId="2356">
    <w:name w:val="可研-正文首行缩进 Char Char"/>
    <w:autoRedefine/>
    <w:qFormat/>
    <w:uiPriority w:val="0"/>
    <w:rPr>
      <w:rFonts w:ascii="Arial Narrow" w:hAnsi="Arial Narrow" w:eastAsia="仿宋_GB2312"/>
      <w:kern w:val="2"/>
      <w:sz w:val="24"/>
      <w:szCs w:val="24"/>
      <w:lang w:val="en-US" w:eastAsia="zh-CN" w:bidi="ar-SA"/>
    </w:rPr>
  </w:style>
  <w:style w:type="paragraph" w:customStyle="1" w:styleId="2357">
    <w:name w:val="正文小四"/>
    <w:basedOn w:val="1"/>
    <w:link w:val="2660"/>
    <w:autoRedefine/>
    <w:qFormat/>
    <w:uiPriority w:val="0"/>
    <w:pPr>
      <w:adjustRightInd/>
      <w:snapToGrid/>
      <w:spacing w:line="360" w:lineRule="auto"/>
      <w:ind w:firstLine="0" w:firstLineChars="0"/>
    </w:pPr>
  </w:style>
  <w:style w:type="character" w:customStyle="1" w:styleId="2358">
    <w:name w:val="content"/>
    <w:autoRedefine/>
    <w:qFormat/>
    <w:uiPriority w:val="0"/>
    <w:rPr>
      <w:rFonts w:ascii="Verdana" w:hAnsi="Verdana" w:eastAsia="宋体"/>
      <w:lang w:val="en-US" w:eastAsia="en-US" w:bidi="ar-SA"/>
    </w:rPr>
  </w:style>
  <w:style w:type="paragraph" w:customStyle="1" w:styleId="2359">
    <w:name w:val="项目符号文字"/>
    <w:basedOn w:val="2360"/>
    <w:next w:val="2360"/>
    <w:autoRedefine/>
    <w:qFormat/>
    <w:uiPriority w:val="0"/>
    <w:pPr>
      <w:tabs>
        <w:tab w:val="left" w:pos="927"/>
      </w:tabs>
      <w:ind w:left="284" w:firstLine="0"/>
    </w:pPr>
    <w:rPr>
      <w:rFonts w:ascii="宋体" w:hAnsi="宋体"/>
    </w:rPr>
  </w:style>
  <w:style w:type="paragraph" w:customStyle="1" w:styleId="2360">
    <w:name w:val="文字"/>
    <w:basedOn w:val="1"/>
    <w:autoRedefine/>
    <w:qFormat/>
    <w:uiPriority w:val="0"/>
    <w:pPr>
      <w:adjustRightInd/>
      <w:snapToGrid/>
      <w:spacing w:line="360" w:lineRule="auto"/>
      <w:ind w:firstLine="482" w:firstLineChars="0"/>
    </w:pPr>
    <w:rPr>
      <w:rFonts w:ascii="Arial" w:hAnsi="Arial"/>
      <w:snapToGrid w:val="0"/>
      <w:kern w:val="28"/>
    </w:rPr>
  </w:style>
  <w:style w:type="paragraph" w:customStyle="1" w:styleId="2361">
    <w:name w:val="正文41"/>
    <w:basedOn w:val="87"/>
    <w:autoRedefine/>
    <w:qFormat/>
    <w:uiPriority w:val="0"/>
    <w:pPr>
      <w:tabs>
        <w:tab w:val="left" w:pos="425"/>
      </w:tabs>
      <w:adjustRightInd/>
      <w:snapToGrid/>
      <w:spacing w:after="0" w:line="360" w:lineRule="auto"/>
      <w:ind w:left="425" w:leftChars="0" w:hanging="425" w:firstLineChars="0"/>
    </w:pPr>
    <w:rPr>
      <w:kern w:val="2"/>
      <w:szCs w:val="24"/>
      <w:lang w:val="en-US"/>
    </w:rPr>
  </w:style>
  <w:style w:type="paragraph" w:customStyle="1" w:styleId="2362">
    <w:name w:val="正文5"/>
    <w:basedOn w:val="1"/>
    <w:autoRedefine/>
    <w:qFormat/>
    <w:uiPriority w:val="0"/>
    <w:pPr>
      <w:adjustRightInd/>
      <w:snapToGrid/>
      <w:spacing w:line="360" w:lineRule="auto"/>
      <w:ind w:firstLine="70" w:firstLineChars="70"/>
    </w:pPr>
    <w:rPr>
      <w:szCs w:val="24"/>
    </w:rPr>
  </w:style>
  <w:style w:type="paragraph" w:customStyle="1" w:styleId="2363">
    <w:name w:val="表格填充1"/>
    <w:basedOn w:val="1"/>
    <w:autoRedefine/>
    <w:qFormat/>
    <w:uiPriority w:val="0"/>
    <w:pPr>
      <w:adjustRightInd/>
      <w:spacing w:line="240" w:lineRule="auto"/>
      <w:ind w:firstLine="0" w:firstLineChars="0"/>
      <w:jc w:val="center"/>
    </w:pPr>
    <w:rPr>
      <w:snapToGrid w:val="0"/>
      <w:sz w:val="30"/>
    </w:rPr>
  </w:style>
  <w:style w:type="paragraph" w:customStyle="1" w:styleId="2364">
    <w:name w:val="流程文字"/>
    <w:basedOn w:val="1"/>
    <w:autoRedefine/>
    <w:qFormat/>
    <w:uiPriority w:val="0"/>
    <w:pPr>
      <w:tabs>
        <w:tab w:val="left" w:pos="6480"/>
      </w:tabs>
      <w:topLinePunct/>
      <w:spacing w:line="240" w:lineRule="auto"/>
      <w:ind w:firstLine="0" w:firstLineChars="0"/>
      <w:jc w:val="center"/>
    </w:pPr>
    <w:rPr>
      <w:rFonts w:eastAsia="仿宋_GB2312"/>
      <w:sz w:val="21"/>
    </w:rPr>
  </w:style>
  <w:style w:type="paragraph" w:customStyle="1" w:styleId="2365">
    <w:name w:val="表内字五"/>
    <w:basedOn w:val="66"/>
    <w:autoRedefine/>
    <w:qFormat/>
    <w:uiPriority w:val="0"/>
    <w:pPr>
      <w:tabs>
        <w:tab w:val="left" w:pos="255"/>
        <w:tab w:val="left" w:pos="540"/>
        <w:tab w:val="left" w:pos="600"/>
        <w:tab w:val="left" w:pos="720"/>
        <w:tab w:val="left" w:pos="1200"/>
        <w:tab w:val="left" w:pos="1440"/>
        <w:tab w:val="left" w:pos="2448"/>
        <w:tab w:val="left" w:pos="3000"/>
        <w:tab w:val="left" w:pos="3888"/>
        <w:tab w:val="left" w:pos="4800"/>
        <w:tab w:val="left" w:pos="5883"/>
        <w:tab w:val="left" w:pos="6300"/>
        <w:tab w:val="left" w:pos="7353"/>
        <w:tab w:val="left" w:pos="8613"/>
      </w:tabs>
      <w:autoSpaceDE w:val="0"/>
      <w:autoSpaceDN w:val="0"/>
      <w:snapToGrid w:val="0"/>
      <w:spacing w:line="300" w:lineRule="auto"/>
      <w:ind w:firstLine="0" w:firstLineChars="0"/>
      <w:jc w:val="center"/>
      <w:textAlignment w:val="baseline"/>
    </w:pPr>
    <w:rPr>
      <w:b w:val="0"/>
      <w:kern w:val="0"/>
      <w:sz w:val="21"/>
      <w:szCs w:val="21"/>
      <w:lang w:val="en-US"/>
    </w:rPr>
  </w:style>
  <w:style w:type="paragraph" w:customStyle="1" w:styleId="2366">
    <w:name w:val="样式1 正文"/>
    <w:basedOn w:val="45"/>
    <w:autoRedefine/>
    <w:qFormat/>
    <w:uiPriority w:val="0"/>
    <w:pPr>
      <w:snapToGrid w:val="0"/>
      <w:spacing w:line="420" w:lineRule="auto"/>
    </w:pPr>
    <w:rPr>
      <w:rFonts w:hAnsi="宋体" w:cs="Courier New"/>
      <w:szCs w:val="21"/>
      <w:lang w:val="en-US"/>
    </w:rPr>
  </w:style>
  <w:style w:type="paragraph" w:customStyle="1" w:styleId="2367">
    <w:name w:val="biaoge 表1"/>
    <w:basedOn w:val="1"/>
    <w:autoRedefine/>
    <w:qFormat/>
    <w:uiPriority w:val="0"/>
    <w:pPr>
      <w:adjustRightInd/>
      <w:snapToGrid/>
      <w:spacing w:line="240" w:lineRule="auto"/>
      <w:ind w:firstLine="0" w:firstLineChars="0"/>
      <w:jc w:val="center"/>
    </w:pPr>
    <w:rPr>
      <w:sz w:val="21"/>
    </w:rPr>
  </w:style>
  <w:style w:type="paragraph" w:customStyle="1" w:styleId="2368">
    <w:name w:val="样式 样式 正文缩进 + 首行缩进:  2 字符 + 首行缩进:  0.99 厘米"/>
    <w:basedOn w:val="1"/>
    <w:autoRedefine/>
    <w:qFormat/>
    <w:uiPriority w:val="0"/>
    <w:pPr>
      <w:tabs>
        <w:tab w:val="left" w:pos="540"/>
        <w:tab w:val="left" w:pos="600"/>
        <w:tab w:val="left" w:pos="7265"/>
        <w:tab w:val="left" w:pos="7340"/>
        <w:tab w:val="left" w:pos="8613"/>
      </w:tabs>
      <w:autoSpaceDE w:val="0"/>
      <w:autoSpaceDN w:val="0"/>
      <w:spacing w:line="300" w:lineRule="auto"/>
      <w:ind w:firstLine="624" w:firstLineChars="0"/>
      <w:textAlignment w:val="baseline"/>
    </w:pPr>
    <w:rPr>
      <w:rFonts w:ascii="宋体" w:hAnsi="宋体"/>
      <w:kern w:val="0"/>
      <w:sz w:val="28"/>
      <w:u w:color="FFFFFF"/>
    </w:rPr>
  </w:style>
  <w:style w:type="paragraph" w:customStyle="1" w:styleId="2369">
    <w:name w:val="表前文字"/>
    <w:basedOn w:val="1"/>
    <w:autoRedefine/>
    <w:qFormat/>
    <w:uiPriority w:val="0"/>
    <w:pPr>
      <w:adjustRightInd/>
      <w:snapToGrid/>
      <w:spacing w:line="240" w:lineRule="auto"/>
      <w:ind w:firstLine="0" w:firstLineChars="0"/>
      <w:jc w:val="center"/>
    </w:pPr>
    <w:rPr>
      <w:rFonts w:ascii="宋体" w:hAnsi="宋体"/>
      <w:bCs/>
      <w:kern w:val="0"/>
      <w:szCs w:val="24"/>
    </w:rPr>
  </w:style>
  <w:style w:type="character" w:customStyle="1" w:styleId="2370">
    <w:name w:val="Char1 Char Char Char Char Char Char Char Char Char Char Char Char Char Char Char Char Char"/>
    <w:autoRedefine/>
    <w:qFormat/>
    <w:uiPriority w:val="0"/>
    <w:rPr>
      <w:rFonts w:ascii="Arial Narrow" w:hAnsi="Arial Narrow" w:eastAsia="仿宋_GB2312"/>
      <w:sz w:val="24"/>
      <w:szCs w:val="28"/>
      <w:lang w:val="en-US" w:eastAsia="zh-CN" w:bidi="ar-SA"/>
    </w:rPr>
  </w:style>
  <w:style w:type="character" w:customStyle="1" w:styleId="2371">
    <w:name w:val="标题 4 Char Char3"/>
    <w:autoRedefine/>
    <w:qFormat/>
    <w:uiPriority w:val="0"/>
    <w:rPr>
      <w:rFonts w:ascii="Arial Narrow" w:hAnsi="Arial Narrow" w:eastAsia="仿宋_GB2312" w:cs="Arial"/>
      <w:snapToGrid w:val="0"/>
      <w:sz w:val="24"/>
      <w:szCs w:val="32"/>
      <w:lang w:val="en-US" w:eastAsia="zh-CN" w:bidi="ar-SA"/>
    </w:rPr>
  </w:style>
  <w:style w:type="character" w:customStyle="1" w:styleId="2372">
    <w:name w:val="可研-正文首行缩进 Char Char Char2"/>
    <w:autoRedefine/>
    <w:qFormat/>
    <w:uiPriority w:val="0"/>
    <w:rPr>
      <w:rFonts w:ascii="Arial Narrow" w:hAnsi="宋体" w:eastAsia="宋体"/>
      <w:b/>
      <w:kern w:val="2"/>
      <w:sz w:val="24"/>
      <w:szCs w:val="24"/>
      <w:lang w:val="en-US" w:eastAsia="zh-CN" w:bidi="ar-SA"/>
    </w:rPr>
  </w:style>
  <w:style w:type="paragraph" w:customStyle="1" w:styleId="2373">
    <w:name w:val="表格文字居中 Char Char1"/>
    <w:basedOn w:val="86"/>
    <w:autoRedefine/>
    <w:qFormat/>
    <w:uiPriority w:val="0"/>
    <w:pPr>
      <w:keepNext/>
      <w:widowControl/>
      <w:tabs>
        <w:tab w:val="left" w:pos="628"/>
        <w:tab w:val="left" w:pos="1727"/>
        <w:tab w:val="left" w:pos="1884"/>
        <w:tab w:val="left" w:pos="4900"/>
      </w:tabs>
      <w:autoSpaceDE w:val="0"/>
      <w:autoSpaceDN w:val="0"/>
      <w:spacing w:before="100" w:beforeAutospacing="1" w:after="0" w:line="240" w:lineRule="auto"/>
      <w:ind w:firstLine="0" w:firstLineChars="200"/>
      <w:jc w:val="center"/>
    </w:pPr>
    <w:rPr>
      <w:rFonts w:hint="eastAsia" w:ascii="仿宋_GB2312" w:hAnsi="宋体" w:cs="宋体"/>
      <w:b/>
      <w:bCs/>
      <w:color w:val="FF0000"/>
      <w:kern w:val="2"/>
      <w:szCs w:val="24"/>
      <w:lang w:val="en-US"/>
    </w:rPr>
  </w:style>
  <w:style w:type="character" w:customStyle="1" w:styleId="2374">
    <w:name w:val="表格文字居中 Char Char Char"/>
    <w:autoRedefine/>
    <w:qFormat/>
    <w:uiPriority w:val="0"/>
    <w:rPr>
      <w:rFonts w:ascii="宋体" w:hAnsi="宋体" w:eastAsia="宋体"/>
      <w:kern w:val="2"/>
      <w:sz w:val="24"/>
      <w:szCs w:val="24"/>
      <w:lang w:val="en-US" w:eastAsia="zh-CN" w:bidi="ar-SA"/>
    </w:rPr>
  </w:style>
  <w:style w:type="character" w:customStyle="1" w:styleId="2375">
    <w:name w:val="样式 标题 51)项标题 5 Char1) Char项 Char标5 + 左 Char Char Char"/>
    <w:autoRedefine/>
    <w:qFormat/>
    <w:uiPriority w:val="0"/>
    <w:rPr>
      <w:rFonts w:ascii="Arial Narrow" w:hAnsi="Arial" w:eastAsia="宋体"/>
      <w:b/>
      <w:bCs/>
      <w:color w:val="000000"/>
      <w:kern w:val="24"/>
      <w:sz w:val="28"/>
      <w:szCs w:val="28"/>
      <w:lang w:val="en-US" w:eastAsia="zh-CN" w:bidi="ar-SA"/>
    </w:rPr>
  </w:style>
  <w:style w:type="character" w:customStyle="1" w:styleId="2376">
    <w:name w:val="样式 表格文字居中 + 宋体 小四 Char Char Char"/>
    <w:autoRedefine/>
    <w:qFormat/>
    <w:uiPriority w:val="0"/>
    <w:rPr>
      <w:rFonts w:ascii="宋体" w:hAnsi="宋体" w:eastAsia="宋体"/>
      <w:kern w:val="2"/>
      <w:sz w:val="24"/>
      <w:szCs w:val="24"/>
      <w:lang w:val="en-US" w:eastAsia="zh-CN" w:bidi="ar-SA"/>
    </w:rPr>
  </w:style>
  <w:style w:type="character" w:customStyle="1" w:styleId="2377">
    <w:name w:val="可研-正文首行缩进 Char Char Char1"/>
    <w:autoRedefine/>
    <w:qFormat/>
    <w:uiPriority w:val="0"/>
    <w:rPr>
      <w:rFonts w:ascii="Arial Narrow" w:hAnsi="Arial Narrow" w:eastAsia="仿宋_GB2312"/>
      <w:kern w:val="2"/>
      <w:sz w:val="24"/>
      <w:szCs w:val="24"/>
      <w:lang w:val="en-US" w:eastAsia="zh-CN" w:bidi="ar-SA"/>
    </w:rPr>
  </w:style>
  <w:style w:type="character" w:customStyle="1" w:styleId="2378">
    <w:name w:val="可研-正文首行缩进 Char Char Char Char Char"/>
    <w:autoRedefine/>
    <w:qFormat/>
    <w:uiPriority w:val="0"/>
    <w:rPr>
      <w:rFonts w:ascii="Arial Narrow" w:hAnsi="Arial Narrow" w:eastAsia="仿宋_GB2312"/>
      <w:kern w:val="2"/>
      <w:sz w:val="24"/>
      <w:szCs w:val="24"/>
      <w:lang w:val="en-US" w:eastAsia="zh-CN" w:bidi="ar-SA"/>
    </w:rPr>
  </w:style>
  <w:style w:type="character" w:customStyle="1" w:styleId="2379">
    <w:name w:val="表格文字居中 Char Char Char Char"/>
    <w:autoRedefine/>
    <w:qFormat/>
    <w:uiPriority w:val="0"/>
    <w:rPr>
      <w:rFonts w:ascii="宋体" w:hAnsi="宋体" w:eastAsia="宋体"/>
      <w:kern w:val="2"/>
      <w:sz w:val="24"/>
      <w:szCs w:val="24"/>
      <w:lang w:val="en-US" w:eastAsia="zh-CN" w:bidi="ar-SA"/>
    </w:rPr>
  </w:style>
  <w:style w:type="character" w:customStyle="1" w:styleId="2380">
    <w:name w:val="样式 标题 51)项标题 5 Char1) Char项 Char标5 + 左 Char Char Char Char"/>
    <w:autoRedefine/>
    <w:qFormat/>
    <w:uiPriority w:val="0"/>
    <w:rPr>
      <w:rFonts w:ascii="Arial Narrow" w:hAnsi="Arial" w:eastAsia="宋体"/>
      <w:b/>
      <w:bCs/>
      <w:kern w:val="24"/>
      <w:sz w:val="28"/>
      <w:szCs w:val="28"/>
      <w:lang w:val="en-US" w:eastAsia="zh-CN" w:bidi="ar-SA"/>
    </w:rPr>
  </w:style>
  <w:style w:type="character" w:customStyle="1" w:styleId="2381">
    <w:name w:val="样式 表格文字居中 + 宋体 小四 Char Char Char Char"/>
    <w:autoRedefine/>
    <w:qFormat/>
    <w:uiPriority w:val="0"/>
    <w:rPr>
      <w:rFonts w:ascii="宋体" w:hAnsi="宋体" w:eastAsia="宋体"/>
      <w:kern w:val="2"/>
      <w:sz w:val="24"/>
      <w:szCs w:val="24"/>
      <w:lang w:val="en-US" w:eastAsia="zh-CN" w:bidi="ar-SA"/>
    </w:rPr>
  </w:style>
  <w:style w:type="paragraph" w:customStyle="1" w:styleId="2382">
    <w:name w:val="样式 标题 4 + 图案: 清除 (白色)1"/>
    <w:basedOn w:val="6"/>
    <w:autoRedefine/>
    <w:qFormat/>
    <w:uiPriority w:val="0"/>
    <w:pPr>
      <w:numPr>
        <w:numId w:val="0"/>
      </w:numPr>
      <w:tabs>
        <w:tab w:val="left" w:pos="1680"/>
      </w:tabs>
      <w:adjustRightInd/>
      <w:snapToGrid/>
      <w:spacing w:before="280" w:after="290" w:line="376" w:lineRule="auto"/>
      <w:ind w:left="1680" w:hanging="420" w:firstLineChars="200"/>
      <w:jc w:val="both"/>
    </w:pPr>
    <w:rPr>
      <w:rFonts w:ascii="Arial" w:hAnsi="Arial" w:eastAsia="黑体"/>
      <w:sz w:val="28"/>
      <w:lang w:val="en-US"/>
    </w:rPr>
  </w:style>
  <w:style w:type="paragraph" w:customStyle="1" w:styleId="2383">
    <w:name w:val="表文字5"/>
    <w:basedOn w:val="1"/>
    <w:autoRedefine/>
    <w:qFormat/>
    <w:uiPriority w:val="0"/>
    <w:pPr>
      <w:snapToGrid/>
      <w:spacing w:line="240" w:lineRule="auto"/>
      <w:ind w:firstLine="0" w:firstLineChars="0"/>
      <w:jc w:val="left"/>
      <w:textAlignment w:val="baseline"/>
    </w:pPr>
    <w:rPr>
      <w:rFonts w:ascii="宋体"/>
      <w:kern w:val="0"/>
      <w:sz w:val="21"/>
    </w:rPr>
  </w:style>
  <w:style w:type="paragraph" w:customStyle="1" w:styleId="2384">
    <w:name w:val="封面标题1"/>
    <w:basedOn w:val="1"/>
    <w:next w:val="1"/>
    <w:autoRedefine/>
    <w:qFormat/>
    <w:uiPriority w:val="0"/>
    <w:pPr>
      <w:snapToGrid/>
      <w:spacing w:line="240" w:lineRule="auto"/>
      <w:ind w:firstLine="0" w:firstLineChars="0"/>
      <w:jc w:val="center"/>
      <w:textAlignment w:val="baseline"/>
    </w:pPr>
    <w:rPr>
      <w:rFonts w:ascii="宋体" w:eastAsia="宋体繁体"/>
      <w:b/>
      <w:spacing w:val="6"/>
      <w:kern w:val="0"/>
      <w:sz w:val="44"/>
    </w:rPr>
  </w:style>
  <w:style w:type="paragraph" w:customStyle="1" w:styleId="2385">
    <w:name w:val="封面标题2"/>
    <w:basedOn w:val="1"/>
    <w:autoRedefine/>
    <w:qFormat/>
    <w:uiPriority w:val="0"/>
    <w:pPr>
      <w:snapToGrid/>
      <w:spacing w:line="480" w:lineRule="atLeast"/>
      <w:ind w:firstLine="0" w:firstLineChars="0"/>
      <w:jc w:val="center"/>
      <w:textAlignment w:val="baseline"/>
    </w:pPr>
    <w:rPr>
      <w:rFonts w:ascii="宋体" w:eastAsia="黑体"/>
      <w:kern w:val="0"/>
      <w:sz w:val="52"/>
    </w:rPr>
  </w:style>
  <w:style w:type="paragraph" w:customStyle="1" w:styleId="2386">
    <w:name w:val="CM1"/>
    <w:basedOn w:val="151"/>
    <w:next w:val="151"/>
    <w:autoRedefine/>
    <w:qFormat/>
    <w:uiPriority w:val="0"/>
    <w:rPr>
      <w:color w:val="auto"/>
    </w:rPr>
  </w:style>
  <w:style w:type="paragraph" w:customStyle="1" w:styleId="2387">
    <w:name w:val="CM109"/>
    <w:basedOn w:val="151"/>
    <w:next w:val="151"/>
    <w:autoRedefine/>
    <w:qFormat/>
    <w:uiPriority w:val="0"/>
    <w:pPr>
      <w:spacing w:after="378"/>
    </w:pPr>
    <w:rPr>
      <w:color w:val="auto"/>
    </w:rPr>
  </w:style>
  <w:style w:type="paragraph" w:customStyle="1" w:styleId="2388">
    <w:name w:val="CM21"/>
    <w:basedOn w:val="151"/>
    <w:next w:val="151"/>
    <w:autoRedefine/>
    <w:qFormat/>
    <w:uiPriority w:val="99"/>
    <w:pPr>
      <w:spacing w:line="438" w:lineRule="atLeast"/>
    </w:pPr>
    <w:rPr>
      <w:color w:val="auto"/>
    </w:rPr>
  </w:style>
  <w:style w:type="paragraph" w:customStyle="1" w:styleId="2389">
    <w:name w:val="CM110"/>
    <w:basedOn w:val="151"/>
    <w:next w:val="151"/>
    <w:autoRedefine/>
    <w:qFormat/>
    <w:uiPriority w:val="0"/>
    <w:pPr>
      <w:spacing w:after="73"/>
    </w:pPr>
    <w:rPr>
      <w:color w:val="auto"/>
    </w:rPr>
  </w:style>
  <w:style w:type="paragraph" w:customStyle="1" w:styleId="2390">
    <w:name w:val="CM24"/>
    <w:basedOn w:val="151"/>
    <w:next w:val="151"/>
    <w:autoRedefine/>
    <w:qFormat/>
    <w:uiPriority w:val="0"/>
    <w:pPr>
      <w:spacing w:line="468" w:lineRule="atLeast"/>
    </w:pPr>
    <w:rPr>
      <w:color w:val="auto"/>
    </w:rPr>
  </w:style>
  <w:style w:type="paragraph" w:customStyle="1" w:styleId="2391">
    <w:name w:val="CM112"/>
    <w:basedOn w:val="151"/>
    <w:next w:val="151"/>
    <w:autoRedefine/>
    <w:qFormat/>
    <w:uiPriority w:val="0"/>
    <w:pPr>
      <w:spacing w:after="303"/>
    </w:pPr>
    <w:rPr>
      <w:color w:val="auto"/>
    </w:rPr>
  </w:style>
  <w:style w:type="paragraph" w:customStyle="1" w:styleId="2392">
    <w:name w:val="CM27"/>
    <w:basedOn w:val="151"/>
    <w:next w:val="151"/>
    <w:autoRedefine/>
    <w:qFormat/>
    <w:uiPriority w:val="0"/>
    <w:pPr>
      <w:spacing w:line="438" w:lineRule="atLeast"/>
    </w:pPr>
    <w:rPr>
      <w:color w:val="auto"/>
    </w:rPr>
  </w:style>
  <w:style w:type="paragraph" w:customStyle="1" w:styleId="2393">
    <w:name w:val="Char Char3 Char Char Char Char1"/>
    <w:basedOn w:val="1"/>
    <w:autoRedefine/>
    <w:qFormat/>
    <w:uiPriority w:val="0"/>
    <w:pPr>
      <w:widowControl/>
      <w:adjustRightInd/>
      <w:snapToGrid/>
      <w:spacing w:line="240" w:lineRule="exact"/>
      <w:ind w:firstLine="0" w:firstLineChars="0"/>
      <w:jc w:val="left"/>
    </w:pPr>
    <w:rPr>
      <w:rFonts w:ascii="Verdana" w:hAnsi="Verdana"/>
      <w:kern w:val="0"/>
      <w:sz w:val="20"/>
      <w:lang w:eastAsia="en-US"/>
    </w:rPr>
  </w:style>
  <w:style w:type="paragraph" w:customStyle="1" w:styleId="2394">
    <w:name w:val="样式 报告正文 + 首行缩进:  2 字符 Char Char"/>
    <w:basedOn w:val="1"/>
    <w:link w:val="2395"/>
    <w:autoRedefine/>
    <w:qFormat/>
    <w:uiPriority w:val="0"/>
    <w:pPr>
      <w:adjustRightInd/>
      <w:snapToGrid/>
      <w:spacing w:line="312" w:lineRule="auto"/>
      <w:ind w:firstLine="600"/>
    </w:pPr>
    <w:rPr>
      <w:rFonts w:eastAsia="楷体_GB2312" w:cs="宋体"/>
      <w:bCs/>
      <w:sz w:val="30"/>
      <w:szCs w:val="24"/>
    </w:rPr>
  </w:style>
  <w:style w:type="character" w:customStyle="1" w:styleId="2395">
    <w:name w:val="样式 报告正文 + 首行缩进:  2 字符 Char Char Char"/>
    <w:link w:val="2394"/>
    <w:autoRedefine/>
    <w:qFormat/>
    <w:uiPriority w:val="0"/>
    <w:rPr>
      <w:rFonts w:eastAsia="楷体_GB2312" w:cs="宋体"/>
      <w:bCs/>
      <w:kern w:val="2"/>
      <w:sz w:val="30"/>
      <w:szCs w:val="24"/>
    </w:rPr>
  </w:style>
  <w:style w:type="paragraph" w:customStyle="1" w:styleId="2396">
    <w:name w:val="投标文件正文"/>
    <w:basedOn w:val="1"/>
    <w:link w:val="2397"/>
    <w:autoRedefine/>
    <w:qFormat/>
    <w:uiPriority w:val="0"/>
    <w:pPr>
      <w:adjustRightInd/>
      <w:snapToGrid/>
      <w:spacing w:line="400" w:lineRule="exact"/>
      <w:ind w:firstLine="480"/>
    </w:pPr>
    <w:rPr>
      <w:rFonts w:ascii="Arial" w:hAnsi="Arial"/>
      <w:szCs w:val="24"/>
    </w:rPr>
  </w:style>
  <w:style w:type="character" w:customStyle="1" w:styleId="2397">
    <w:name w:val="投标文件正文 Char"/>
    <w:link w:val="2396"/>
    <w:autoRedefine/>
    <w:qFormat/>
    <w:uiPriority w:val="0"/>
    <w:rPr>
      <w:rFonts w:ascii="Arial" w:hAnsi="Arial"/>
      <w:kern w:val="2"/>
      <w:sz w:val="24"/>
      <w:szCs w:val="24"/>
    </w:rPr>
  </w:style>
  <w:style w:type="paragraph" w:customStyle="1" w:styleId="2398">
    <w:name w:val="投标文件一级标题"/>
    <w:basedOn w:val="3"/>
    <w:autoRedefine/>
    <w:qFormat/>
    <w:uiPriority w:val="0"/>
    <w:pPr>
      <w:numPr>
        <w:numId w:val="15"/>
      </w:numPr>
      <w:tabs>
        <w:tab w:val="left" w:pos="680"/>
      </w:tabs>
      <w:adjustRightInd/>
      <w:snapToGrid/>
      <w:spacing w:before="340" w:after="330" w:line="560" w:lineRule="exact"/>
      <w:ind w:left="0" w:firstLine="0"/>
      <w:jc w:val="center"/>
    </w:pPr>
    <w:rPr>
      <w:bCs w:val="0"/>
      <w:kern w:val="0"/>
      <w:sz w:val="30"/>
      <w:szCs w:val="30"/>
      <w:lang w:val="en-US"/>
    </w:rPr>
  </w:style>
  <w:style w:type="paragraph" w:customStyle="1" w:styleId="2399">
    <w:name w:val="投标文件二级标题"/>
    <w:basedOn w:val="4"/>
    <w:autoRedefine/>
    <w:qFormat/>
    <w:uiPriority w:val="0"/>
    <w:pPr>
      <w:numPr>
        <w:ilvl w:val="0"/>
        <w:numId w:val="0"/>
      </w:numPr>
      <w:tabs>
        <w:tab w:val="left" w:pos="680"/>
      </w:tabs>
      <w:spacing w:before="260" w:after="260" w:line="415" w:lineRule="auto"/>
      <w:ind w:left="851" w:hanging="851"/>
    </w:pPr>
    <w:rPr>
      <w:rFonts w:ascii="Arial" w:hAnsi="Arial" w:eastAsia="黑体"/>
      <w:color w:val="000000"/>
      <w:sz w:val="32"/>
      <w:lang w:val="en-US"/>
    </w:rPr>
  </w:style>
  <w:style w:type="paragraph" w:customStyle="1" w:styleId="2400">
    <w:name w:val="投标文件三级标题"/>
    <w:basedOn w:val="5"/>
    <w:autoRedefine/>
    <w:qFormat/>
    <w:uiPriority w:val="0"/>
    <w:pPr>
      <w:numPr>
        <w:numId w:val="0"/>
      </w:numPr>
      <w:tabs>
        <w:tab w:val="left" w:pos="1260"/>
      </w:tabs>
      <w:adjustRightInd/>
      <w:snapToGrid/>
      <w:spacing w:before="260" w:after="260" w:line="416" w:lineRule="auto"/>
      <w:ind w:left="1260" w:hanging="420" w:firstLineChars="200"/>
    </w:pPr>
    <w:rPr>
      <w:sz w:val="32"/>
      <w:lang w:val="en-US"/>
    </w:rPr>
  </w:style>
  <w:style w:type="paragraph" w:customStyle="1" w:styleId="2401">
    <w:name w:val="投标文件四级标题"/>
    <w:basedOn w:val="6"/>
    <w:autoRedefine/>
    <w:qFormat/>
    <w:uiPriority w:val="0"/>
    <w:pPr>
      <w:numPr>
        <w:numId w:val="0"/>
      </w:numPr>
      <w:tabs>
        <w:tab w:val="left" w:pos="680"/>
        <w:tab w:val="left" w:pos="1680"/>
      </w:tabs>
      <w:adjustRightInd/>
      <w:snapToGrid/>
      <w:spacing w:before="280" w:after="290" w:line="376" w:lineRule="auto"/>
      <w:ind w:left="1680" w:hanging="420" w:firstLineChars="200"/>
      <w:jc w:val="both"/>
    </w:pPr>
    <w:rPr>
      <w:rFonts w:ascii="Arial" w:hAnsi="Arial" w:eastAsia="黑体"/>
      <w:sz w:val="28"/>
      <w:lang w:val="en-US"/>
    </w:rPr>
  </w:style>
  <w:style w:type="character" w:customStyle="1" w:styleId="2402">
    <w:name w:val="默认段落字体 Para Char Char"/>
    <w:link w:val="289"/>
    <w:autoRedefine/>
    <w:qFormat/>
    <w:uiPriority w:val="0"/>
    <w:rPr>
      <w:rFonts w:ascii="宋体" w:hAnsi="宋体" w:cs="宋体"/>
      <w:kern w:val="2"/>
      <w:sz w:val="24"/>
      <w:szCs w:val="24"/>
    </w:rPr>
  </w:style>
  <w:style w:type="paragraph" w:customStyle="1" w:styleId="2403">
    <w:name w:val="正文-ls"/>
    <w:basedOn w:val="1"/>
    <w:link w:val="2404"/>
    <w:autoRedefine/>
    <w:qFormat/>
    <w:uiPriority w:val="0"/>
    <w:pPr>
      <w:adjustRightInd/>
      <w:snapToGrid/>
      <w:spacing w:line="360" w:lineRule="auto"/>
    </w:pPr>
    <w:rPr>
      <w:rFonts w:hAnsi="宋体" w:cs="宋体"/>
    </w:rPr>
  </w:style>
  <w:style w:type="character" w:customStyle="1" w:styleId="2404">
    <w:name w:val="正文-ls Char"/>
    <w:link w:val="2403"/>
    <w:autoRedefine/>
    <w:qFormat/>
    <w:uiPriority w:val="0"/>
    <w:rPr>
      <w:rFonts w:hAnsi="宋体" w:cs="宋体"/>
      <w:kern w:val="2"/>
      <w:sz w:val="24"/>
    </w:rPr>
  </w:style>
  <w:style w:type="character" w:customStyle="1" w:styleId="2405">
    <w:name w:val="纯文本1 Char"/>
    <w:autoRedefine/>
    <w:qFormat/>
    <w:uiPriority w:val="0"/>
    <w:rPr>
      <w:rFonts w:ascii="宋体" w:hAnsi="Courier New" w:eastAsia="宋体"/>
      <w:lang w:val="zh-CN" w:eastAsia="zh-CN" w:bidi="ar-SA"/>
    </w:rPr>
  </w:style>
  <w:style w:type="character" w:customStyle="1" w:styleId="2406">
    <w:name w:val="Body Text Indent 3 Char"/>
    <w:autoRedefine/>
    <w:qFormat/>
    <w:uiPriority w:val="0"/>
    <w:rPr>
      <w:rFonts w:ascii="宋体" w:hAnsi="宋体" w:eastAsia="宋体"/>
      <w:sz w:val="24"/>
      <w:szCs w:val="24"/>
      <w:lang w:val="zh-CN" w:eastAsia="zh-CN" w:bidi="ar-BH"/>
    </w:rPr>
  </w:style>
  <w:style w:type="paragraph" w:customStyle="1" w:styleId="2407">
    <w:name w:val="dan7-1"/>
    <w:basedOn w:val="1"/>
    <w:link w:val="2408"/>
    <w:autoRedefine/>
    <w:qFormat/>
    <w:uiPriority w:val="0"/>
    <w:pPr>
      <w:adjustRightInd/>
      <w:snapToGrid/>
      <w:spacing w:line="360" w:lineRule="auto"/>
    </w:pPr>
    <w:rPr>
      <w:kern w:val="0"/>
      <w:szCs w:val="24"/>
      <w:lang w:val="zh-CN"/>
    </w:rPr>
  </w:style>
  <w:style w:type="character" w:customStyle="1" w:styleId="2408">
    <w:name w:val="dan7-1 Char"/>
    <w:link w:val="2407"/>
    <w:autoRedefine/>
    <w:qFormat/>
    <w:uiPriority w:val="0"/>
    <w:rPr>
      <w:sz w:val="24"/>
      <w:szCs w:val="24"/>
      <w:lang w:val="zh-CN"/>
    </w:rPr>
  </w:style>
  <w:style w:type="paragraph" w:customStyle="1" w:styleId="2409">
    <w:name w:val="_Style 10"/>
    <w:basedOn w:val="1"/>
    <w:next w:val="34"/>
    <w:autoRedefine/>
    <w:qFormat/>
    <w:uiPriority w:val="0"/>
    <w:pPr>
      <w:adjustRightInd/>
      <w:snapToGrid/>
      <w:spacing w:line="360" w:lineRule="auto"/>
      <w:ind w:firstLine="0" w:firstLineChars="0"/>
    </w:pPr>
  </w:style>
  <w:style w:type="character" w:customStyle="1" w:styleId="2410">
    <w:name w:val="style41"/>
    <w:autoRedefine/>
    <w:qFormat/>
    <w:uiPriority w:val="0"/>
    <w:rPr>
      <w:color w:val="000000"/>
      <w:sz w:val="16"/>
      <w:szCs w:val="16"/>
    </w:rPr>
  </w:style>
  <w:style w:type="character" w:customStyle="1" w:styleId="2411">
    <w:name w:val="rsdesckey1"/>
    <w:autoRedefine/>
    <w:qFormat/>
    <w:uiPriority w:val="0"/>
    <w:rPr>
      <w:color w:val="FF0000"/>
    </w:rPr>
  </w:style>
  <w:style w:type="character" w:customStyle="1" w:styleId="2412">
    <w:name w:val="style51"/>
    <w:autoRedefine/>
    <w:qFormat/>
    <w:uiPriority w:val="0"/>
    <w:rPr>
      <w:sz w:val="21"/>
      <w:szCs w:val="21"/>
    </w:rPr>
  </w:style>
  <w:style w:type="paragraph" w:customStyle="1" w:styleId="2413">
    <w:name w:val="?2"/>
    <w:basedOn w:val="1"/>
    <w:next w:val="1"/>
    <w:autoRedefine/>
    <w:qFormat/>
    <w:uiPriority w:val="0"/>
    <w:pPr>
      <w:autoSpaceDE w:val="0"/>
      <w:autoSpaceDN w:val="0"/>
      <w:snapToGrid/>
      <w:spacing w:line="240" w:lineRule="auto"/>
      <w:ind w:firstLine="0" w:firstLineChars="0"/>
      <w:jc w:val="left"/>
    </w:pPr>
    <w:rPr>
      <w:rFonts w:ascii="五" w:eastAsia="五"/>
      <w:kern w:val="0"/>
      <w:sz w:val="20"/>
      <w:szCs w:val="24"/>
    </w:rPr>
  </w:style>
  <w:style w:type="paragraph" w:customStyle="1" w:styleId="2414">
    <w:name w:val="text13"/>
    <w:basedOn w:val="1"/>
    <w:autoRedefine/>
    <w:qFormat/>
    <w:uiPriority w:val="0"/>
    <w:pPr>
      <w:widowControl/>
      <w:adjustRightInd/>
      <w:snapToGrid/>
      <w:spacing w:beforeAutospacing="1" w:afterAutospacing="1" w:line="240" w:lineRule="auto"/>
      <w:ind w:firstLine="0" w:firstLineChars="0"/>
      <w:jc w:val="left"/>
    </w:pPr>
    <w:rPr>
      <w:rFonts w:ascii="宋体" w:hAnsi="宋体"/>
      <w:kern w:val="0"/>
      <w:szCs w:val="24"/>
    </w:rPr>
  </w:style>
  <w:style w:type="paragraph" w:customStyle="1" w:styleId="2415">
    <w:name w:val="af0"/>
    <w:basedOn w:val="1"/>
    <w:autoRedefine/>
    <w:qFormat/>
    <w:uiPriority w:val="0"/>
    <w:pPr>
      <w:widowControl/>
      <w:adjustRightInd/>
      <w:snapToGrid/>
      <w:spacing w:beforeAutospacing="1" w:afterAutospacing="1" w:line="240" w:lineRule="auto"/>
      <w:ind w:firstLine="0" w:firstLineChars="0"/>
      <w:jc w:val="left"/>
    </w:pPr>
    <w:rPr>
      <w:rFonts w:ascii="宋体" w:hAnsi="宋体"/>
      <w:kern w:val="0"/>
      <w:szCs w:val="24"/>
    </w:rPr>
  </w:style>
  <w:style w:type="character" w:customStyle="1" w:styleId="2416">
    <w:name w:val="cont21"/>
    <w:autoRedefine/>
    <w:qFormat/>
    <w:uiPriority w:val="0"/>
    <w:rPr>
      <w:sz w:val="21"/>
      <w:szCs w:val="21"/>
    </w:rPr>
  </w:style>
  <w:style w:type="paragraph" w:customStyle="1" w:styleId="2417">
    <w:name w:val="样式 表格内容 + (中文) 宋体 居中"/>
    <w:basedOn w:val="1"/>
    <w:autoRedefine/>
    <w:qFormat/>
    <w:uiPriority w:val="0"/>
    <w:pPr>
      <w:overflowPunct w:val="0"/>
      <w:spacing w:line="440" w:lineRule="exact"/>
      <w:ind w:firstLine="0" w:firstLineChars="0"/>
      <w:jc w:val="center"/>
      <w:textAlignment w:val="baseline"/>
    </w:pPr>
    <w:rPr>
      <w:rFonts w:ascii="Arial" w:hAnsi="Arial"/>
      <w:kern w:val="0"/>
      <w:sz w:val="21"/>
      <w:szCs w:val="21"/>
    </w:rPr>
  </w:style>
  <w:style w:type="paragraph" w:customStyle="1" w:styleId="2418">
    <w:name w:val="666666-标题2"/>
    <w:basedOn w:val="1"/>
    <w:autoRedefine/>
    <w:qFormat/>
    <w:uiPriority w:val="0"/>
    <w:pPr>
      <w:adjustRightInd/>
      <w:snapToGrid/>
      <w:spacing w:beforeLines="50" w:afterLines="50" w:line="440" w:lineRule="exact"/>
      <w:ind w:firstLine="0" w:firstLineChars="0"/>
      <w:outlineLvl w:val="1"/>
    </w:pPr>
    <w:rPr>
      <w:rFonts w:eastAsia="黑体"/>
      <w:kern w:val="44"/>
      <w:sz w:val="32"/>
    </w:rPr>
  </w:style>
  <w:style w:type="paragraph" w:customStyle="1" w:styleId="2419">
    <w:name w:val="666666-标题3"/>
    <w:basedOn w:val="5"/>
    <w:autoRedefine/>
    <w:qFormat/>
    <w:uiPriority w:val="0"/>
    <w:pPr>
      <w:numPr>
        <w:numId w:val="0"/>
      </w:numPr>
      <w:tabs>
        <w:tab w:val="left" w:pos="1260"/>
      </w:tabs>
      <w:adjustRightInd/>
      <w:snapToGrid/>
      <w:spacing w:before="260" w:after="260" w:line="416" w:lineRule="auto"/>
      <w:ind w:left="1260" w:hanging="420" w:firstLineChars="200"/>
    </w:pPr>
    <w:rPr>
      <w:sz w:val="32"/>
      <w:lang w:val="en-US"/>
    </w:rPr>
  </w:style>
  <w:style w:type="paragraph" w:customStyle="1" w:styleId="2420">
    <w:name w:val="666666-正文"/>
    <w:basedOn w:val="1"/>
    <w:autoRedefine/>
    <w:qFormat/>
    <w:uiPriority w:val="0"/>
    <w:pPr>
      <w:adjustRightInd/>
      <w:snapToGrid/>
      <w:spacing w:line="440" w:lineRule="exact"/>
    </w:pPr>
    <w:rPr>
      <w:lang w:val="zh-CN"/>
    </w:rPr>
  </w:style>
  <w:style w:type="paragraph" w:customStyle="1" w:styleId="2421">
    <w:name w:val="666666-标题1"/>
    <w:basedOn w:val="1"/>
    <w:autoRedefine/>
    <w:qFormat/>
    <w:uiPriority w:val="0"/>
    <w:pPr>
      <w:adjustRightInd/>
      <w:snapToGrid/>
      <w:spacing w:beforeLines="50" w:afterLines="50" w:line="440" w:lineRule="exact"/>
      <w:ind w:firstLine="0" w:firstLineChars="0"/>
      <w:outlineLvl w:val="0"/>
    </w:pPr>
    <w:rPr>
      <w:rFonts w:eastAsia="黑体"/>
      <w:sz w:val="36"/>
    </w:rPr>
  </w:style>
  <w:style w:type="paragraph" w:customStyle="1" w:styleId="2422">
    <w:name w:val="word"/>
    <w:basedOn w:val="1"/>
    <w:autoRedefine/>
    <w:qFormat/>
    <w:uiPriority w:val="0"/>
    <w:pPr>
      <w:adjustRightInd/>
      <w:snapToGrid/>
      <w:spacing w:beforeLines="50" w:line="240" w:lineRule="auto"/>
      <w:ind w:firstLine="0" w:firstLineChars="0"/>
      <w:jc w:val="center"/>
    </w:pPr>
    <w:rPr>
      <w:rFonts w:ascii="黑体" w:eastAsia="黑体"/>
      <w:sz w:val="21"/>
      <w:szCs w:val="21"/>
    </w:rPr>
  </w:style>
  <w:style w:type="paragraph" w:customStyle="1" w:styleId="2423">
    <w:name w:val="标题 3 + Arial 小四 非加粗 段前: 0 磅 段后: 6 磅 行距: 固定值 22 磅"/>
    <w:basedOn w:val="5"/>
    <w:next w:val="1"/>
    <w:autoRedefine/>
    <w:qFormat/>
    <w:uiPriority w:val="0"/>
    <w:pPr>
      <w:numPr>
        <w:numId w:val="0"/>
      </w:numPr>
      <w:tabs>
        <w:tab w:val="left" w:pos="1260"/>
      </w:tabs>
      <w:adjustRightInd/>
      <w:snapToGrid/>
      <w:spacing w:before="260" w:after="260" w:line="416" w:lineRule="auto"/>
      <w:ind w:left="1260" w:hanging="420" w:firstLineChars="200"/>
    </w:pPr>
    <w:rPr>
      <w:sz w:val="32"/>
      <w:lang w:val="en-US"/>
    </w:rPr>
  </w:style>
  <w:style w:type="paragraph" w:customStyle="1" w:styleId="2424">
    <w:name w:val="样式 四号 黑色 首行缩进:  2 字符"/>
    <w:basedOn w:val="1"/>
    <w:autoRedefine/>
    <w:qFormat/>
    <w:uiPriority w:val="0"/>
    <w:pPr>
      <w:adjustRightInd/>
      <w:snapToGrid/>
      <w:spacing w:line="480" w:lineRule="atLeast"/>
    </w:pPr>
    <w:rPr>
      <w:color w:val="000000"/>
      <w:szCs w:val="24"/>
    </w:rPr>
  </w:style>
  <w:style w:type="paragraph" w:customStyle="1" w:styleId="2425">
    <w:name w:val="TEXT"/>
    <w:basedOn w:val="1"/>
    <w:autoRedefine/>
    <w:qFormat/>
    <w:uiPriority w:val="0"/>
    <w:pPr>
      <w:adjustRightInd/>
      <w:snapToGrid/>
      <w:spacing w:line="360" w:lineRule="auto"/>
      <w:ind w:firstLine="0" w:firstLineChars="0"/>
    </w:pPr>
    <w:rPr>
      <w:b/>
      <w:sz w:val="30"/>
      <w:szCs w:val="30"/>
    </w:rPr>
  </w:style>
  <w:style w:type="paragraph" w:customStyle="1" w:styleId="2426">
    <w:name w:val="初设正文"/>
    <w:basedOn w:val="1"/>
    <w:autoRedefine/>
    <w:qFormat/>
    <w:uiPriority w:val="0"/>
    <w:pPr>
      <w:adjustRightInd/>
      <w:snapToGrid/>
      <w:spacing w:line="440" w:lineRule="exact"/>
      <w:ind w:left="425" w:firstLine="425" w:firstLineChars="0"/>
    </w:pPr>
    <w:rPr>
      <w:rFonts w:ascii="Arial" w:hAnsi="Arial"/>
      <w:kern w:val="0"/>
    </w:rPr>
  </w:style>
  <w:style w:type="paragraph" w:customStyle="1" w:styleId="2427">
    <w:name w:val="正文x"/>
    <w:basedOn w:val="1"/>
    <w:next w:val="1"/>
    <w:autoRedefine/>
    <w:qFormat/>
    <w:uiPriority w:val="0"/>
    <w:pPr>
      <w:adjustRightInd/>
      <w:snapToGrid/>
      <w:spacing w:line="360" w:lineRule="auto"/>
      <w:ind w:firstLine="480"/>
    </w:pPr>
    <w:rPr>
      <w:rFonts w:hAnsi="宋体"/>
      <w:szCs w:val="24"/>
    </w:rPr>
  </w:style>
  <w:style w:type="paragraph" w:customStyle="1" w:styleId="2428">
    <w:name w:val="正文样式3"/>
    <w:basedOn w:val="1"/>
    <w:autoRedefine/>
    <w:qFormat/>
    <w:uiPriority w:val="0"/>
    <w:pPr>
      <w:keepLines/>
      <w:snapToGrid/>
      <w:spacing w:line="20" w:lineRule="atLeast"/>
      <w:ind w:firstLine="0" w:firstLineChars="0"/>
      <w:jc w:val="center"/>
      <w:textAlignment w:val="baseline"/>
    </w:pPr>
    <w:rPr>
      <w:kern w:val="0"/>
    </w:rPr>
  </w:style>
  <w:style w:type="paragraph" w:customStyle="1" w:styleId="2429">
    <w:name w:val="样式 列表 + 五号"/>
    <w:basedOn w:val="66"/>
    <w:autoRedefine/>
    <w:qFormat/>
    <w:uiPriority w:val="0"/>
    <w:pPr>
      <w:keepNext/>
      <w:ind w:firstLine="0" w:firstLineChars="0"/>
      <w:jc w:val="center"/>
    </w:pPr>
    <w:rPr>
      <w:b w:val="0"/>
      <w:sz w:val="21"/>
      <w:lang w:val="en-US"/>
    </w:rPr>
  </w:style>
  <w:style w:type="paragraph" w:customStyle="1" w:styleId="2430">
    <w:name w:val="666666-表头儿"/>
    <w:basedOn w:val="1"/>
    <w:link w:val="2431"/>
    <w:autoRedefine/>
    <w:qFormat/>
    <w:uiPriority w:val="0"/>
    <w:pPr>
      <w:adjustRightInd/>
      <w:snapToGrid/>
      <w:spacing w:line="440" w:lineRule="exact"/>
      <w:ind w:firstLine="0" w:firstLineChars="0"/>
      <w:jc w:val="center"/>
    </w:pPr>
    <w:rPr>
      <w:rFonts w:eastAsia="黑体"/>
      <w:sz w:val="21"/>
    </w:rPr>
  </w:style>
  <w:style w:type="character" w:customStyle="1" w:styleId="2431">
    <w:name w:val="666666-表头儿 Char"/>
    <w:link w:val="2430"/>
    <w:autoRedefine/>
    <w:qFormat/>
    <w:uiPriority w:val="0"/>
    <w:rPr>
      <w:rFonts w:eastAsia="黑体"/>
      <w:kern w:val="2"/>
      <w:sz w:val="21"/>
    </w:rPr>
  </w:style>
  <w:style w:type="paragraph" w:customStyle="1" w:styleId="2432">
    <w:name w:val="样式 标题 3 + 宋体"/>
    <w:basedOn w:val="5"/>
    <w:autoRedefine/>
    <w:qFormat/>
    <w:uiPriority w:val="0"/>
    <w:pPr>
      <w:numPr>
        <w:numId w:val="0"/>
      </w:numPr>
      <w:tabs>
        <w:tab w:val="left" w:pos="1260"/>
      </w:tabs>
      <w:adjustRightInd/>
      <w:snapToGrid/>
      <w:spacing w:before="260" w:after="260" w:line="416" w:lineRule="auto"/>
      <w:ind w:left="1260" w:hanging="420" w:firstLineChars="200"/>
    </w:pPr>
    <w:rPr>
      <w:sz w:val="32"/>
      <w:lang w:val="en-US"/>
    </w:rPr>
  </w:style>
  <w:style w:type="paragraph" w:customStyle="1" w:styleId="2433">
    <w:name w:val="4 Char"/>
    <w:basedOn w:val="1"/>
    <w:autoRedefine/>
    <w:qFormat/>
    <w:uiPriority w:val="0"/>
    <w:pPr>
      <w:adjustRightInd/>
      <w:snapToGrid/>
      <w:spacing w:line="240" w:lineRule="auto"/>
      <w:ind w:firstLine="0" w:firstLineChars="0"/>
    </w:pPr>
    <w:rPr>
      <w:sz w:val="21"/>
      <w:szCs w:val="24"/>
    </w:rPr>
  </w:style>
  <w:style w:type="character" w:customStyle="1" w:styleId="2434">
    <w:name w:val="Re Char1"/>
    <w:autoRedefine/>
    <w:qFormat/>
    <w:uiPriority w:val="0"/>
    <w:rPr>
      <w:rFonts w:eastAsia="宋体"/>
      <w:b/>
      <w:bCs/>
      <w:kern w:val="2"/>
      <w:sz w:val="32"/>
      <w:szCs w:val="32"/>
      <w:lang w:val="en-US" w:eastAsia="zh-CN" w:bidi="ar-SA"/>
    </w:rPr>
  </w:style>
  <w:style w:type="character" w:customStyle="1" w:styleId="2435">
    <w:name w:val="标题 3-ls Char"/>
    <w:autoRedefine/>
    <w:qFormat/>
    <w:uiPriority w:val="0"/>
    <w:rPr>
      <w:rFonts w:eastAsia="黑体"/>
      <w:b/>
      <w:bCs/>
      <w:kern w:val="2"/>
      <w:sz w:val="28"/>
      <w:szCs w:val="32"/>
      <w:lang w:val="en-US" w:eastAsia="zh-CN" w:bidi="ar-SA"/>
    </w:rPr>
  </w:style>
  <w:style w:type="paragraph" w:customStyle="1" w:styleId="2436">
    <w:name w:val="标题1-ls"/>
    <w:basedOn w:val="84"/>
    <w:autoRedefine/>
    <w:qFormat/>
    <w:uiPriority w:val="0"/>
    <w:pPr>
      <w:spacing w:before="0" w:afterLines="100" w:line="360" w:lineRule="auto"/>
    </w:pPr>
    <w:rPr>
      <w:rFonts w:ascii="Times New Roman" w:hAnsi="Times New Roman" w:eastAsia="黑体" w:cs="Arial"/>
      <w:bCs w:val="0"/>
      <w:sz w:val="36"/>
      <w:lang w:val="en-US"/>
    </w:rPr>
  </w:style>
  <w:style w:type="paragraph" w:customStyle="1" w:styleId="2437">
    <w:name w:val="表左"/>
    <w:basedOn w:val="1"/>
    <w:autoRedefine/>
    <w:semiHidden/>
    <w:qFormat/>
    <w:uiPriority w:val="0"/>
    <w:pPr>
      <w:adjustRightInd/>
      <w:snapToGrid/>
      <w:spacing w:line="280" w:lineRule="exact"/>
      <w:ind w:firstLine="0" w:firstLineChars="0"/>
      <w:jc w:val="left"/>
    </w:pPr>
    <w:rPr>
      <w:rFonts w:ascii="宋体"/>
      <w:color w:val="000000"/>
      <w:sz w:val="18"/>
      <w:szCs w:val="24"/>
    </w:rPr>
  </w:style>
  <w:style w:type="character" w:customStyle="1" w:styleId="2438">
    <w:name w:val="标题 4宋旭峰 Char Char"/>
    <w:autoRedefine/>
    <w:qFormat/>
    <w:uiPriority w:val="0"/>
    <w:rPr>
      <w:rFonts w:eastAsia="黑体"/>
      <w:b/>
      <w:bCs/>
      <w:kern w:val="2"/>
      <w:sz w:val="24"/>
      <w:szCs w:val="28"/>
      <w:lang w:val="en-US" w:eastAsia="zh-CN" w:bidi="ar-SA"/>
    </w:rPr>
  </w:style>
  <w:style w:type="paragraph" w:customStyle="1" w:styleId="2439">
    <w:name w:val="依据文字"/>
    <w:basedOn w:val="87"/>
    <w:autoRedefine/>
    <w:semiHidden/>
    <w:qFormat/>
    <w:uiPriority w:val="0"/>
    <w:pPr>
      <w:tabs>
        <w:tab w:val="left" w:pos="420"/>
        <w:tab w:val="left" w:pos="870"/>
        <w:tab w:val="left" w:pos="3150"/>
      </w:tabs>
      <w:autoSpaceDE w:val="0"/>
      <w:autoSpaceDN w:val="0"/>
      <w:snapToGrid/>
      <w:spacing w:before="60" w:after="0" w:line="336" w:lineRule="auto"/>
      <w:ind w:left="0" w:leftChars="0" w:firstLine="527" w:firstLineChars="0"/>
      <w:textAlignment w:val="baseline"/>
    </w:pPr>
    <w:rPr>
      <w:rFonts w:ascii="宋体"/>
      <w:kern w:val="2"/>
      <w:lang w:val="en-US"/>
    </w:rPr>
  </w:style>
  <w:style w:type="paragraph" w:customStyle="1" w:styleId="2440">
    <w:name w:val="右侧"/>
    <w:autoRedefine/>
    <w:qFormat/>
    <w:uiPriority w:val="0"/>
    <w:pPr>
      <w:spacing w:line="280" w:lineRule="exact"/>
      <w:jc w:val="right"/>
    </w:pPr>
    <w:rPr>
      <w:rFonts w:ascii="Batang" w:hAnsi="Batang" w:eastAsia="宋体" w:cs="Times New Roman"/>
      <w:color w:val="000000"/>
      <w:sz w:val="18"/>
      <w:lang w:val="en-US" w:eastAsia="zh-CN" w:bidi="ar-SA"/>
    </w:rPr>
  </w:style>
  <w:style w:type="paragraph" w:customStyle="1" w:styleId="2441">
    <w:name w:val="左侧"/>
    <w:autoRedefine/>
    <w:semiHidden/>
    <w:qFormat/>
    <w:uiPriority w:val="0"/>
    <w:pPr>
      <w:spacing w:line="280" w:lineRule="exact"/>
      <w:jc w:val="center"/>
    </w:pPr>
    <w:rPr>
      <w:rFonts w:ascii="Batang" w:hAnsi="Batang" w:eastAsia="宋体" w:cs="Times New Roman"/>
      <w:color w:val="000000"/>
      <w:sz w:val="21"/>
      <w:lang w:val="en-US" w:eastAsia="zh-CN" w:bidi="ar-SA"/>
    </w:rPr>
  </w:style>
  <w:style w:type="paragraph" w:customStyle="1" w:styleId="2442">
    <w:name w:val="右五"/>
    <w:basedOn w:val="2443"/>
    <w:next w:val="1"/>
    <w:autoRedefine/>
    <w:semiHidden/>
    <w:qFormat/>
    <w:uiPriority w:val="0"/>
    <w:pPr>
      <w:jc w:val="right"/>
    </w:pPr>
  </w:style>
  <w:style w:type="paragraph" w:customStyle="1" w:styleId="2443">
    <w:name w:val="左五"/>
    <w:basedOn w:val="1"/>
    <w:autoRedefine/>
    <w:semiHidden/>
    <w:qFormat/>
    <w:uiPriority w:val="0"/>
    <w:pPr>
      <w:spacing w:line="280" w:lineRule="exact"/>
      <w:ind w:firstLine="0" w:firstLineChars="0"/>
      <w:jc w:val="left"/>
    </w:pPr>
    <w:rPr>
      <w:rFonts w:ascii="宋体" w:hAnsi="Symusic"/>
      <w:color w:val="000000"/>
      <w:sz w:val="18"/>
      <w:szCs w:val="24"/>
    </w:rPr>
  </w:style>
  <w:style w:type="paragraph" w:customStyle="1" w:styleId="2444">
    <w:name w:val="正文仿宋小四"/>
    <w:basedOn w:val="1"/>
    <w:autoRedefine/>
    <w:semiHidden/>
    <w:qFormat/>
    <w:uiPriority w:val="0"/>
    <w:pPr>
      <w:spacing w:line="360" w:lineRule="auto"/>
      <w:ind w:firstLine="480"/>
    </w:pPr>
    <w:rPr>
      <w:rFonts w:eastAsia="仿宋_GB2312"/>
      <w:szCs w:val="24"/>
    </w:rPr>
  </w:style>
  <w:style w:type="paragraph" w:customStyle="1" w:styleId="2445">
    <w:name w:val="样式 仿宋_GB2312 小四1"/>
    <w:basedOn w:val="1"/>
    <w:autoRedefine/>
    <w:semiHidden/>
    <w:qFormat/>
    <w:uiPriority w:val="0"/>
    <w:pPr>
      <w:snapToGrid/>
      <w:spacing w:line="360" w:lineRule="auto"/>
      <w:ind w:firstLine="480"/>
      <w:textAlignment w:val="baseline"/>
    </w:pPr>
    <w:rPr>
      <w:rFonts w:eastAsia="仿宋_GB2312"/>
      <w:kern w:val="0"/>
      <w:szCs w:val="24"/>
    </w:rPr>
  </w:style>
  <w:style w:type="character" w:customStyle="1" w:styleId="2446">
    <w:name w:val="样式 (西文) 宋体 (中文) 仿宋_GB2312 黑色"/>
    <w:autoRedefine/>
    <w:semiHidden/>
    <w:qFormat/>
    <w:uiPriority w:val="0"/>
    <w:rPr>
      <w:rFonts w:ascii="Times New Roman" w:hAnsi="Times New Roman" w:eastAsia="仿宋_GB2312" w:cs="Courier New"/>
      <w:color w:val="000000"/>
      <w:kern w:val="2"/>
      <w:sz w:val="32"/>
      <w:szCs w:val="32"/>
      <w:lang w:val="en-US" w:eastAsia="zh-CN" w:bidi="ar-SA"/>
    </w:rPr>
  </w:style>
  <w:style w:type="paragraph" w:customStyle="1" w:styleId="2447">
    <w:name w:val="样式 标题 2 + 段后: 0.5 行"/>
    <w:basedOn w:val="4"/>
    <w:autoRedefine/>
    <w:semiHidden/>
    <w:qFormat/>
    <w:uiPriority w:val="0"/>
    <w:pPr>
      <w:keepNext w:val="0"/>
      <w:keepLines w:val="0"/>
      <w:numPr>
        <w:ilvl w:val="0"/>
        <w:numId w:val="0"/>
      </w:numPr>
      <w:tabs>
        <w:tab w:val="left" w:pos="630"/>
        <w:tab w:val="left" w:pos="840"/>
        <w:tab w:val="left" w:pos="1287"/>
        <w:tab w:val="left" w:pos="3920"/>
        <w:tab w:val="left" w:pos="5670"/>
      </w:tabs>
      <w:spacing w:before="260" w:afterLines="50" w:line="240" w:lineRule="auto"/>
      <w:ind w:firstLine="567"/>
      <w:contextualSpacing/>
    </w:pPr>
    <w:rPr>
      <w:rFonts w:eastAsia="仿宋_GB2312"/>
      <w:b w:val="0"/>
      <w:bCs w:val="0"/>
      <w:color w:val="000000"/>
      <w:sz w:val="30"/>
      <w:lang w:val="en-US"/>
    </w:rPr>
  </w:style>
  <w:style w:type="paragraph" w:customStyle="1" w:styleId="2448">
    <w:name w:val="正文999"/>
    <w:basedOn w:val="1"/>
    <w:autoRedefine/>
    <w:semiHidden/>
    <w:qFormat/>
    <w:uiPriority w:val="0"/>
    <w:pPr>
      <w:adjustRightInd/>
      <w:snapToGrid/>
      <w:spacing w:line="360" w:lineRule="auto"/>
      <w:ind w:firstLine="480"/>
    </w:pPr>
    <w:rPr>
      <w:rFonts w:ascii="宋体" w:hAnsi="宋体"/>
      <w:szCs w:val="24"/>
    </w:rPr>
  </w:style>
  <w:style w:type="paragraph" w:customStyle="1" w:styleId="2449">
    <w:name w:val="默认段落字体 Para"/>
    <w:basedOn w:val="1"/>
    <w:autoRedefine/>
    <w:qFormat/>
    <w:uiPriority w:val="0"/>
    <w:pPr>
      <w:adjustRightInd/>
      <w:snapToGrid/>
      <w:spacing w:line="240" w:lineRule="auto"/>
      <w:ind w:firstLine="0" w:firstLineChars="0"/>
    </w:pPr>
    <w:rPr>
      <w:sz w:val="21"/>
      <w:szCs w:val="24"/>
    </w:rPr>
  </w:style>
  <w:style w:type="character" w:customStyle="1" w:styleId="2450">
    <w:name w:val="正文文本缩进 2 Char Char Char"/>
    <w:autoRedefine/>
    <w:qFormat/>
    <w:uiPriority w:val="0"/>
    <w:rPr>
      <w:rFonts w:ascii="Arial" w:hAnsi="Arial" w:eastAsia="宋体"/>
      <w:kern w:val="2"/>
      <w:sz w:val="24"/>
      <w:szCs w:val="24"/>
      <w:lang w:val="en-US" w:eastAsia="zh-CN" w:bidi="ar-SA"/>
    </w:rPr>
  </w:style>
  <w:style w:type="paragraph" w:customStyle="1" w:styleId="2451">
    <w:name w:val="样式 居中 首行缩进:  0 字符 Char Char Char"/>
    <w:basedOn w:val="1"/>
    <w:next w:val="1"/>
    <w:link w:val="2452"/>
    <w:autoRedefine/>
    <w:qFormat/>
    <w:uiPriority w:val="0"/>
    <w:pPr>
      <w:tabs>
        <w:tab w:val="left" w:pos="9128"/>
      </w:tabs>
      <w:adjustRightInd/>
      <w:spacing w:line="240" w:lineRule="auto"/>
      <w:ind w:firstLine="0" w:firstLineChars="0"/>
      <w:jc w:val="center"/>
    </w:pPr>
    <w:rPr>
      <w:rFonts w:ascii="宋体" w:hAnsi="宋体"/>
      <w:color w:val="FF0000"/>
      <w:sz w:val="18"/>
      <w:szCs w:val="18"/>
    </w:rPr>
  </w:style>
  <w:style w:type="character" w:customStyle="1" w:styleId="2452">
    <w:name w:val="样式 居中 首行缩进:  0 字符 Char Char Char Char"/>
    <w:link w:val="2451"/>
    <w:autoRedefine/>
    <w:qFormat/>
    <w:uiPriority w:val="0"/>
    <w:rPr>
      <w:rFonts w:ascii="宋体" w:hAnsi="宋体"/>
      <w:color w:val="FF0000"/>
      <w:kern w:val="2"/>
      <w:sz w:val="18"/>
      <w:szCs w:val="18"/>
    </w:rPr>
  </w:style>
  <w:style w:type="paragraph" w:customStyle="1" w:styleId="2453">
    <w:name w:val="样式 居中 首行缩进:  0 字符"/>
    <w:basedOn w:val="1"/>
    <w:next w:val="1"/>
    <w:link w:val="2454"/>
    <w:autoRedefine/>
    <w:qFormat/>
    <w:uiPriority w:val="0"/>
    <w:pPr>
      <w:tabs>
        <w:tab w:val="left" w:pos="9128"/>
      </w:tabs>
      <w:adjustRightInd/>
      <w:snapToGrid/>
      <w:spacing w:line="500" w:lineRule="exact"/>
      <w:ind w:firstLine="0" w:firstLineChars="0"/>
      <w:jc w:val="center"/>
    </w:pPr>
    <w:rPr>
      <w:rFonts w:eastAsia="仿宋_GB2312"/>
      <w:sz w:val="21"/>
    </w:rPr>
  </w:style>
  <w:style w:type="character" w:customStyle="1" w:styleId="2454">
    <w:name w:val="样式 居中 首行缩进:  0 字符 Char"/>
    <w:link w:val="2453"/>
    <w:autoRedefine/>
    <w:qFormat/>
    <w:locked/>
    <w:uiPriority w:val="0"/>
    <w:rPr>
      <w:rFonts w:eastAsia="仿宋_GB2312"/>
      <w:kern w:val="2"/>
      <w:sz w:val="21"/>
    </w:rPr>
  </w:style>
  <w:style w:type="table" w:customStyle="1" w:styleId="2455">
    <w:name w:val="自定义1"/>
    <w:basedOn w:val="125"/>
    <w:autoRedefine/>
    <w:qFormat/>
    <w:uiPriority w:val="0"/>
    <w:pPr>
      <w:jc w:val="center"/>
    </w:pPr>
    <w:rPr>
      <w:sz w:val="21"/>
      <w:szCs w:val="21"/>
    </w:rPr>
    <w:tblPr>
      <w:tblBorders>
        <w:top w:val="thinThickSmallGap" w:color="auto" w:sz="12" w:space="0"/>
        <w:left w:val="thinThickSmallGap" w:color="auto" w:sz="12" w:space="0"/>
        <w:bottom w:val="thickThinSmallGap" w:color="auto" w:sz="12" w:space="0"/>
        <w:right w:val="thickThinSmallGap" w:color="auto" w:sz="12" w:space="0"/>
      </w:tblBorders>
      <w:tblCellMar>
        <w:left w:w="0" w:type="dxa"/>
        <w:right w:w="0" w:type="dxa"/>
      </w:tblCellMar>
    </w:tblPr>
    <w:tcPr>
      <w:shd w:val="clear" w:color="auto" w:fill="auto"/>
      <w:vAlign w:val="center"/>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paragraph" w:customStyle="1" w:styleId="2456">
    <w:name w:val="样式 标题 1 + 加粗"/>
    <w:basedOn w:val="3"/>
    <w:autoRedefine/>
    <w:qFormat/>
    <w:uiPriority w:val="0"/>
    <w:pPr>
      <w:numPr>
        <w:numId w:val="0"/>
      </w:numPr>
      <w:adjustRightInd/>
      <w:snapToGrid/>
      <w:spacing w:before="340" w:beforeAutospacing="1" w:after="330" w:afterAutospacing="1" w:line="360" w:lineRule="auto"/>
      <w:jc w:val="both"/>
    </w:pPr>
    <w:rPr>
      <w:rFonts w:eastAsia="黑体"/>
      <w:sz w:val="32"/>
      <w:vertAlign w:val="superscript"/>
      <w:lang w:val="en-US"/>
    </w:rPr>
  </w:style>
  <w:style w:type="character" w:customStyle="1" w:styleId="2457">
    <w:name w:val="font14px"/>
    <w:autoRedefine/>
    <w:qFormat/>
    <w:uiPriority w:val="0"/>
    <w:rPr>
      <w:rFonts w:eastAsia="宋体"/>
      <w:kern w:val="2"/>
      <w:sz w:val="21"/>
      <w:szCs w:val="24"/>
      <w:lang w:val="en-US" w:eastAsia="zh-CN" w:bidi="ar-SA"/>
    </w:rPr>
  </w:style>
  <w:style w:type="character" w:customStyle="1" w:styleId="2458">
    <w:name w:val="s"/>
    <w:autoRedefine/>
    <w:qFormat/>
    <w:uiPriority w:val="0"/>
    <w:rPr>
      <w:rFonts w:eastAsia="宋体"/>
      <w:kern w:val="2"/>
      <w:sz w:val="21"/>
      <w:szCs w:val="24"/>
      <w:lang w:val="en-US" w:eastAsia="zh-CN" w:bidi="ar-SA"/>
    </w:rPr>
  </w:style>
  <w:style w:type="paragraph" w:customStyle="1" w:styleId="2459">
    <w:name w:val="样式 居中 首行缩进:  0 字符 Char Char"/>
    <w:basedOn w:val="1"/>
    <w:next w:val="1"/>
    <w:autoRedefine/>
    <w:qFormat/>
    <w:uiPriority w:val="0"/>
    <w:pPr>
      <w:tabs>
        <w:tab w:val="left" w:pos="9128"/>
      </w:tabs>
      <w:adjustRightInd/>
      <w:spacing w:line="240" w:lineRule="auto"/>
      <w:ind w:firstLine="0" w:firstLineChars="0"/>
      <w:jc w:val="center"/>
    </w:pPr>
    <w:rPr>
      <w:rFonts w:ascii="宋体" w:hAnsi="宋体"/>
      <w:color w:val="FF0000"/>
      <w:sz w:val="18"/>
      <w:szCs w:val="18"/>
    </w:rPr>
  </w:style>
  <w:style w:type="table" w:customStyle="1" w:styleId="2460">
    <w:name w:val="自定义"/>
    <w:basedOn w:val="94"/>
    <w:autoRedefine/>
    <w:qFormat/>
    <w:uiPriority w:val="0"/>
    <w:pPr>
      <w:adjustRightInd/>
      <w:snapToGrid/>
      <w:spacing w:beforeLines="0" w:line="240" w:lineRule="auto"/>
      <w:ind w:firstLine="0" w:firstLineChars="0"/>
      <w:jc w:val="center"/>
    </w:pPr>
    <w:rPr>
      <w:sz w:val="21"/>
    </w:rPr>
    <w:tblPr>
      <w:tblBorders>
        <w:top w:val="thinThickSmallGap" w:color="auto" w:sz="12" w:space="0"/>
        <w:left w:val="thinThickSmallGap" w:color="auto" w:sz="12" w:space="0"/>
        <w:bottom w:val="thickThinSmallGap" w:color="auto" w:sz="12" w:space="0"/>
        <w:right w:val="thickThinSmallGap" w:color="auto" w:sz="12" w:space="0"/>
      </w:tblBorders>
      <w:tblCellMar>
        <w:left w:w="0" w:type="dxa"/>
        <w:right w:w="0" w:type="dxa"/>
      </w:tblCellMar>
    </w:tblPr>
    <w:tcPr>
      <w:shd w:val="clear" w:color="auto" w:fill="auto"/>
      <w:vAlign w:val="center"/>
    </w:tcPr>
    <w:tblStylePr w:type="firstRow">
      <w:rPr>
        <w:caps/>
        <w:color w:val="auto"/>
      </w:rPr>
      <w:tcPr>
        <w:tcBorders>
          <w:tl2br w:val="nil"/>
          <w:tr2bl w:val="nil"/>
        </w:tcBorders>
      </w:tcPr>
    </w:tblStylePr>
  </w:style>
  <w:style w:type="character" w:customStyle="1" w:styleId="2461">
    <w:name w:val="个人答复风格"/>
    <w:autoRedefine/>
    <w:qFormat/>
    <w:uiPriority w:val="0"/>
    <w:rPr>
      <w:rFonts w:ascii="Arial" w:hAnsi="Arial" w:eastAsia="宋体" w:cs="Arial"/>
      <w:color w:val="auto"/>
      <w:kern w:val="2"/>
      <w:sz w:val="20"/>
      <w:szCs w:val="24"/>
      <w:lang w:val="en-US" w:eastAsia="zh-CN" w:bidi="ar-SA"/>
    </w:rPr>
  </w:style>
  <w:style w:type="character" w:customStyle="1" w:styleId="2462">
    <w:name w:val="个人撰写风格"/>
    <w:autoRedefine/>
    <w:qFormat/>
    <w:uiPriority w:val="0"/>
    <w:rPr>
      <w:rFonts w:ascii="Arial" w:hAnsi="Arial" w:eastAsia="宋体" w:cs="Arial"/>
      <w:color w:val="auto"/>
      <w:kern w:val="2"/>
      <w:sz w:val="20"/>
      <w:szCs w:val="24"/>
      <w:lang w:val="en-US" w:eastAsia="zh-CN" w:bidi="ar-SA"/>
    </w:rPr>
  </w:style>
  <w:style w:type="paragraph" w:customStyle="1" w:styleId="2463">
    <w:name w:val="居中正文"/>
    <w:basedOn w:val="21"/>
    <w:next w:val="21"/>
    <w:autoRedefine/>
    <w:qFormat/>
    <w:uiPriority w:val="0"/>
    <w:pPr>
      <w:spacing w:line="540" w:lineRule="exact"/>
      <w:ind w:right="-13" w:rightChars="-6" w:firstLine="200"/>
      <w:jc w:val="center"/>
    </w:pPr>
    <w:rPr>
      <w:rFonts w:ascii="Times New Roman" w:hAnsi="Times New Roman" w:eastAsia="仿宋_GB2312"/>
      <w:sz w:val="28"/>
      <w:szCs w:val="20"/>
      <w:lang w:val="en-US"/>
    </w:rPr>
  </w:style>
  <w:style w:type="table" w:customStyle="1" w:styleId="2464">
    <w:name w:val="普通表格1"/>
    <w:autoRedefine/>
    <w:semiHidden/>
    <w:qFormat/>
    <w:uiPriority w:val="0"/>
    <w:rPr>
      <w:rFonts w:eastAsia="Times New Roman"/>
    </w:rPr>
    <w:tblPr>
      <w:tblCellMar>
        <w:top w:w="0" w:type="dxa"/>
        <w:left w:w="108" w:type="dxa"/>
        <w:bottom w:w="0" w:type="dxa"/>
        <w:right w:w="108" w:type="dxa"/>
      </w:tblCellMar>
    </w:tblPr>
  </w:style>
  <w:style w:type="paragraph" w:customStyle="1" w:styleId="2465">
    <w:name w:val="正文（首行式样2）"/>
    <w:basedOn w:val="21"/>
    <w:link w:val="2466"/>
    <w:autoRedefine/>
    <w:qFormat/>
    <w:uiPriority w:val="0"/>
    <w:pPr>
      <w:snapToGrid w:val="0"/>
      <w:spacing w:line="360" w:lineRule="auto"/>
      <w:ind w:right="-13" w:rightChars="-6" w:firstLine="526" w:firstLineChars="219"/>
    </w:pPr>
    <w:rPr>
      <w:rFonts w:ascii="宋体" w:hAnsi="宋体"/>
      <w:color w:val="000000"/>
      <w:sz w:val="24"/>
      <w:lang w:val="en-US"/>
    </w:rPr>
  </w:style>
  <w:style w:type="character" w:customStyle="1" w:styleId="2466">
    <w:name w:val="正文（首行式样2） Char"/>
    <w:link w:val="2465"/>
    <w:autoRedefine/>
    <w:qFormat/>
    <w:uiPriority w:val="0"/>
    <w:rPr>
      <w:rFonts w:ascii="宋体" w:hAnsi="宋体"/>
      <w:color w:val="000000"/>
      <w:kern w:val="2"/>
      <w:sz w:val="24"/>
      <w:szCs w:val="24"/>
    </w:rPr>
  </w:style>
  <w:style w:type="paragraph" w:customStyle="1" w:styleId="2467">
    <w:name w:val="正文(首行缩进两字2)"/>
    <w:basedOn w:val="21"/>
    <w:autoRedefine/>
    <w:qFormat/>
    <w:uiPriority w:val="0"/>
    <w:pPr>
      <w:spacing w:line="480" w:lineRule="exact"/>
      <w:ind w:right="-13" w:rightChars="-6" w:firstLine="560"/>
    </w:pPr>
    <w:rPr>
      <w:rFonts w:ascii="Times New Roman" w:hAnsi="Times New Roman" w:eastAsia="仿宋_GB2312"/>
      <w:sz w:val="28"/>
      <w:szCs w:val="20"/>
      <w:lang w:val="en-US"/>
    </w:rPr>
  </w:style>
  <w:style w:type="paragraph" w:customStyle="1" w:styleId="2468">
    <w:name w:val="样式 四号2"/>
    <w:basedOn w:val="1"/>
    <w:autoRedefine/>
    <w:qFormat/>
    <w:uiPriority w:val="0"/>
    <w:pPr>
      <w:adjustRightInd/>
      <w:snapToGrid/>
      <w:spacing w:line="440" w:lineRule="exact"/>
    </w:pPr>
    <w:rPr>
      <w:kern w:val="0"/>
      <w:sz w:val="28"/>
      <w:szCs w:val="24"/>
    </w:rPr>
  </w:style>
  <w:style w:type="paragraph" w:customStyle="1" w:styleId="2469">
    <w:name w:val="样式 标题 2 + 段前: 1 行 段后: 0.5 行"/>
    <w:basedOn w:val="4"/>
    <w:autoRedefine/>
    <w:qFormat/>
    <w:uiPriority w:val="0"/>
    <w:pPr>
      <w:numPr>
        <w:ilvl w:val="0"/>
        <w:numId w:val="0"/>
      </w:numPr>
      <w:spacing w:beforeLines="100" w:afterLines="50" w:line="500" w:lineRule="exact"/>
    </w:pPr>
    <w:rPr>
      <w:rFonts w:ascii="Arial" w:hAnsi="Arial" w:eastAsia="黑体" w:cs="宋体"/>
      <w:b w:val="0"/>
      <w:bCs w:val="0"/>
      <w:sz w:val="28"/>
      <w:szCs w:val="20"/>
      <w:lang w:val="en-US"/>
    </w:rPr>
  </w:style>
  <w:style w:type="paragraph" w:customStyle="1" w:styleId="2470">
    <w:name w:val="Char Char Char Char Char Char Char Char Char Char Char Char1 Char"/>
    <w:basedOn w:val="1"/>
    <w:next w:val="1"/>
    <w:autoRedefine/>
    <w:qFormat/>
    <w:uiPriority w:val="0"/>
    <w:pPr>
      <w:adjustRightInd/>
      <w:snapToGrid/>
      <w:spacing w:line="360" w:lineRule="auto"/>
    </w:pPr>
    <w:rPr>
      <w:rFonts w:ascii="宋体" w:hAnsi="宋体" w:cs="宋体"/>
      <w:szCs w:val="24"/>
    </w:rPr>
  </w:style>
  <w:style w:type="paragraph" w:customStyle="1" w:styleId="2471">
    <w:name w:val="样式 正文首行缩进 2 + (符号) 宋体 + (符号) 宋体"/>
    <w:basedOn w:val="1"/>
    <w:link w:val="2472"/>
    <w:autoRedefine/>
    <w:qFormat/>
    <w:uiPriority w:val="0"/>
    <w:pPr>
      <w:adjustRightInd/>
      <w:snapToGrid/>
      <w:spacing w:line="360" w:lineRule="auto"/>
    </w:pPr>
    <w:rPr>
      <w:rFonts w:ascii="宋体"/>
      <w:szCs w:val="24"/>
    </w:rPr>
  </w:style>
  <w:style w:type="character" w:customStyle="1" w:styleId="2472">
    <w:name w:val="样式 正文首行缩进 2 + (符号) 宋体 + (符号) 宋体 Char Char"/>
    <w:link w:val="2471"/>
    <w:autoRedefine/>
    <w:qFormat/>
    <w:uiPriority w:val="0"/>
    <w:rPr>
      <w:rFonts w:ascii="宋体"/>
      <w:kern w:val="2"/>
      <w:sz w:val="24"/>
      <w:szCs w:val="24"/>
    </w:rPr>
  </w:style>
  <w:style w:type="paragraph" w:customStyle="1" w:styleId="2473">
    <w:name w:val="样式 5 + 首行缩进:  2 字符"/>
    <w:basedOn w:val="1"/>
    <w:link w:val="2474"/>
    <w:autoRedefine/>
    <w:qFormat/>
    <w:uiPriority w:val="0"/>
    <w:pPr>
      <w:adjustRightInd/>
      <w:snapToGrid/>
      <w:spacing w:line="240" w:lineRule="auto"/>
      <w:ind w:firstLine="592"/>
    </w:pPr>
    <w:rPr>
      <w:rFonts w:ascii="楷体_GB2312" w:hAnsi="宋体" w:eastAsia="楷体_GB2312" w:cs="宋体"/>
      <w:color w:val="000000"/>
      <w:spacing w:val="-2"/>
      <w:sz w:val="30"/>
      <w:szCs w:val="30"/>
    </w:rPr>
  </w:style>
  <w:style w:type="character" w:customStyle="1" w:styleId="2474">
    <w:name w:val="样式 5 + 首行缩进:  2 字符 Char"/>
    <w:link w:val="2473"/>
    <w:autoRedefine/>
    <w:qFormat/>
    <w:uiPriority w:val="0"/>
    <w:rPr>
      <w:rFonts w:ascii="楷体_GB2312" w:hAnsi="宋体" w:eastAsia="楷体_GB2312" w:cs="宋体"/>
      <w:color w:val="000000"/>
      <w:spacing w:val="-2"/>
      <w:kern w:val="2"/>
      <w:sz w:val="30"/>
      <w:szCs w:val="30"/>
    </w:rPr>
  </w:style>
  <w:style w:type="paragraph" w:customStyle="1" w:styleId="2475">
    <w:name w:val="样式 标题 2 + 黑色"/>
    <w:basedOn w:val="4"/>
    <w:next w:val="87"/>
    <w:autoRedefine/>
    <w:qFormat/>
    <w:uiPriority w:val="0"/>
    <w:pPr>
      <w:numPr>
        <w:ilvl w:val="0"/>
        <w:numId w:val="0"/>
      </w:numPr>
      <w:spacing w:before="260" w:beforeAutospacing="1" w:after="260" w:line="360" w:lineRule="auto"/>
    </w:pPr>
    <w:rPr>
      <w:rFonts w:ascii="黑体" w:hAnsi="Arial" w:eastAsia="黑体"/>
      <w:color w:val="000000"/>
      <w:kern w:val="18"/>
      <w:sz w:val="30"/>
      <w:szCs w:val="30"/>
      <w:lang w:val="en-US"/>
    </w:rPr>
  </w:style>
  <w:style w:type="paragraph" w:customStyle="1" w:styleId="2476">
    <w:name w:val="公式样式1"/>
    <w:basedOn w:val="1"/>
    <w:autoRedefine/>
    <w:qFormat/>
    <w:uiPriority w:val="0"/>
    <w:pPr>
      <w:adjustRightInd/>
      <w:snapToGrid/>
      <w:spacing w:line="240" w:lineRule="auto"/>
      <w:ind w:firstLine="0" w:firstLineChars="0"/>
      <w:jc w:val="center"/>
    </w:pPr>
    <w:rPr>
      <w:rFonts w:ascii="宋体" w:hAnsi="宋体"/>
      <w:color w:val="FF0000"/>
      <w:sz w:val="21"/>
      <w:szCs w:val="24"/>
    </w:rPr>
  </w:style>
  <w:style w:type="paragraph" w:customStyle="1" w:styleId="2477">
    <w:name w:val="设计文本"/>
    <w:basedOn w:val="1"/>
    <w:autoRedefine/>
    <w:qFormat/>
    <w:uiPriority w:val="0"/>
    <w:pPr>
      <w:adjustRightInd/>
      <w:snapToGrid/>
      <w:spacing w:line="240" w:lineRule="auto"/>
      <w:ind w:firstLine="0" w:firstLineChars="0"/>
      <w:jc w:val="center"/>
    </w:pPr>
  </w:style>
  <w:style w:type="paragraph" w:customStyle="1" w:styleId="2478">
    <w:name w:val="a01"/>
    <w:basedOn w:val="1"/>
    <w:autoRedefine/>
    <w:qFormat/>
    <w:uiPriority w:val="0"/>
    <w:pPr>
      <w:widowControl/>
      <w:adjustRightInd/>
      <w:snapToGrid/>
      <w:spacing w:beforeAutospacing="1" w:afterAutospacing="1" w:line="345" w:lineRule="atLeast"/>
      <w:ind w:firstLine="0" w:firstLineChars="0"/>
      <w:jc w:val="left"/>
    </w:pPr>
    <w:rPr>
      <w:rFonts w:ascii="宋体" w:hAnsi="宋体" w:cs="宋体"/>
      <w:color w:val="000000"/>
      <w:kern w:val="0"/>
      <w:sz w:val="23"/>
      <w:szCs w:val="23"/>
    </w:rPr>
  </w:style>
  <w:style w:type="paragraph" w:customStyle="1" w:styleId="2479">
    <w:name w:val="小四表文左齐"/>
    <w:basedOn w:val="1"/>
    <w:autoRedefine/>
    <w:qFormat/>
    <w:uiPriority w:val="0"/>
    <w:pPr>
      <w:adjustRightInd/>
      <w:snapToGrid/>
      <w:spacing w:line="240" w:lineRule="auto"/>
      <w:ind w:firstLine="0" w:firstLineChars="0"/>
      <w:jc w:val="center"/>
    </w:pPr>
    <w:rPr>
      <w:rFonts w:ascii="宋体" w:hAnsi="宋体"/>
      <w:sz w:val="21"/>
      <w:szCs w:val="24"/>
    </w:rPr>
  </w:style>
  <w:style w:type="paragraph" w:customStyle="1" w:styleId="2480">
    <w:name w:val="Char Char Char1 Char Char Char Char Char Char Char Char Char Char Char Char Char Char Char Char Char Char Char"/>
    <w:basedOn w:val="1"/>
    <w:autoRedefine/>
    <w:qFormat/>
    <w:uiPriority w:val="0"/>
    <w:pPr>
      <w:adjustRightInd/>
      <w:snapToGrid/>
      <w:spacing w:line="240" w:lineRule="auto"/>
      <w:ind w:firstLine="0" w:firstLineChars="0"/>
    </w:pPr>
    <w:rPr>
      <w:sz w:val="21"/>
      <w:szCs w:val="24"/>
    </w:rPr>
  </w:style>
  <w:style w:type="paragraph" w:customStyle="1" w:styleId="2481">
    <w:name w:val="插图"/>
    <w:next w:val="1"/>
    <w:autoRedefine/>
    <w:qFormat/>
    <w:uiPriority w:val="0"/>
    <w:pPr>
      <w:snapToGrid w:val="0"/>
      <w:spacing w:line="240" w:lineRule="exact"/>
      <w:jc w:val="center"/>
    </w:pPr>
    <w:rPr>
      <w:rFonts w:ascii="宋体" w:hAnsi="Times New Roman" w:eastAsia="宋体" w:cs="Times New Roman"/>
      <w:kern w:val="2"/>
      <w:sz w:val="21"/>
      <w:szCs w:val="21"/>
      <w:lang w:val="en-US" w:eastAsia="zh-CN" w:bidi="ar-SA"/>
    </w:rPr>
  </w:style>
  <w:style w:type="paragraph" w:customStyle="1" w:styleId="2482">
    <w:name w:val="密级编号"/>
    <w:basedOn w:val="1"/>
    <w:autoRedefine/>
    <w:qFormat/>
    <w:uiPriority w:val="0"/>
    <w:pPr>
      <w:snapToGrid/>
      <w:spacing w:line="240" w:lineRule="auto"/>
      <w:ind w:firstLine="0" w:firstLineChars="0"/>
      <w:jc w:val="center"/>
      <w:textAlignment w:val="baseline"/>
    </w:pPr>
    <w:rPr>
      <w:rFonts w:ascii="仿宋_GB2312" w:eastAsia="仿宋_GB2312"/>
      <w:kern w:val="0"/>
    </w:rPr>
  </w:style>
  <w:style w:type="paragraph" w:customStyle="1" w:styleId="2483">
    <w:name w:val="样式 行距: 1.5 倍行距"/>
    <w:basedOn w:val="1"/>
    <w:autoRedefine/>
    <w:qFormat/>
    <w:uiPriority w:val="0"/>
    <w:pPr>
      <w:tabs>
        <w:tab w:val="left" w:pos="630"/>
      </w:tabs>
      <w:adjustRightInd/>
      <w:snapToGrid/>
      <w:spacing w:line="360" w:lineRule="auto"/>
      <w:ind w:firstLine="0" w:firstLineChars="0"/>
    </w:pPr>
    <w:rPr>
      <w:rFonts w:ascii="宋体" w:hAnsi="宋体"/>
      <w:color w:val="000000"/>
    </w:rPr>
  </w:style>
  <w:style w:type="paragraph" w:customStyle="1" w:styleId="2484">
    <w:name w:val="样式 表头 + 首行缩进:  2 字符"/>
    <w:basedOn w:val="1"/>
    <w:autoRedefine/>
    <w:qFormat/>
    <w:uiPriority w:val="0"/>
    <w:pPr>
      <w:keepNext/>
      <w:tabs>
        <w:tab w:val="left" w:pos="3319"/>
        <w:tab w:val="left" w:pos="3600"/>
      </w:tabs>
      <w:adjustRightInd/>
      <w:snapToGrid/>
      <w:spacing w:line="240" w:lineRule="auto"/>
      <w:ind w:firstLine="0" w:firstLineChars="0"/>
      <w:jc w:val="center"/>
    </w:pPr>
    <w:rPr>
      <w:rFonts w:eastAsia="仿宋_GB2312"/>
      <w:b/>
      <w:bCs/>
      <w:color w:val="000000"/>
    </w:rPr>
  </w:style>
  <w:style w:type="paragraph" w:customStyle="1" w:styleId="2485">
    <w:name w:val="报告节"/>
    <w:next w:val="1"/>
    <w:autoRedefine/>
    <w:qFormat/>
    <w:uiPriority w:val="0"/>
    <w:pPr>
      <w:keepNext/>
      <w:tabs>
        <w:tab w:val="left" w:pos="3319"/>
        <w:tab w:val="left" w:pos="3600"/>
      </w:tabs>
      <w:spacing w:line="720" w:lineRule="auto"/>
      <w:jc w:val="center"/>
      <w:outlineLvl w:val="1"/>
    </w:pPr>
    <w:rPr>
      <w:rFonts w:ascii="仿宋_GB2312" w:hAnsi="Times New Roman" w:eastAsia="仿宋_GB2312" w:cs="Times New Roman"/>
      <w:b/>
      <w:snapToGrid w:val="0"/>
      <w:sz w:val="32"/>
      <w:szCs w:val="32"/>
      <w:lang w:val="en-US" w:eastAsia="zh-CN" w:bidi="ar-SA"/>
    </w:rPr>
  </w:style>
  <w:style w:type="paragraph" w:customStyle="1" w:styleId="2486">
    <w:name w:val="报告一"/>
    <w:autoRedefine/>
    <w:qFormat/>
    <w:uiPriority w:val="0"/>
    <w:pPr>
      <w:keepNext/>
      <w:tabs>
        <w:tab w:val="left" w:pos="3319"/>
        <w:tab w:val="left" w:pos="3600"/>
      </w:tabs>
      <w:ind w:left="560"/>
      <w:outlineLvl w:val="3"/>
    </w:pPr>
    <w:rPr>
      <w:rFonts w:ascii="仿宋_GB2312" w:hAnsi="宋体" w:eastAsia="仿宋_GB2312" w:cs="Times New Roman"/>
      <w:b/>
      <w:bCs/>
      <w:sz w:val="28"/>
      <w:szCs w:val="28"/>
      <w:lang w:val="en-US" w:eastAsia="zh-CN" w:bidi="ar-SA"/>
    </w:rPr>
  </w:style>
  <w:style w:type="paragraph" w:customStyle="1" w:styleId="2487">
    <w:name w:val="表文字 Char"/>
    <w:basedOn w:val="1"/>
    <w:link w:val="2488"/>
    <w:autoRedefine/>
    <w:qFormat/>
    <w:uiPriority w:val="0"/>
    <w:pPr>
      <w:keepNext/>
      <w:widowControl/>
      <w:adjustRightInd/>
      <w:snapToGrid/>
      <w:spacing w:line="240" w:lineRule="exact"/>
      <w:ind w:firstLine="0" w:firstLineChars="0"/>
    </w:pPr>
    <w:rPr>
      <w:rFonts w:ascii="仿宋_GB2312" w:hAnsi="宋体" w:eastAsia="仿宋_GB2312"/>
      <w:b/>
      <w:bCs/>
      <w:sz w:val="18"/>
      <w:szCs w:val="18"/>
    </w:rPr>
  </w:style>
  <w:style w:type="character" w:customStyle="1" w:styleId="2488">
    <w:name w:val="表文字 Char Char"/>
    <w:link w:val="2487"/>
    <w:autoRedefine/>
    <w:qFormat/>
    <w:uiPriority w:val="0"/>
    <w:rPr>
      <w:rFonts w:ascii="仿宋_GB2312" w:hAnsi="宋体" w:eastAsia="仿宋_GB2312"/>
      <w:b/>
      <w:bCs/>
      <w:kern w:val="2"/>
      <w:sz w:val="18"/>
      <w:szCs w:val="18"/>
    </w:rPr>
  </w:style>
  <w:style w:type="paragraph" w:customStyle="1" w:styleId="2489">
    <w:name w:val="正文(首行缩进)宋旭峰"/>
    <w:basedOn w:val="21"/>
    <w:link w:val="2490"/>
    <w:autoRedefine/>
    <w:qFormat/>
    <w:uiPriority w:val="0"/>
    <w:pPr>
      <w:spacing w:line="360" w:lineRule="auto"/>
      <w:ind w:firstLine="480"/>
      <w:contextualSpacing/>
    </w:pPr>
    <w:rPr>
      <w:rFonts w:ascii="Times New Roman" w:hAnsi="Times New Roman" w:cs="TimesNewRomanPSMT"/>
      <w:snapToGrid w:val="0"/>
      <w:kern w:val="0"/>
      <w:sz w:val="24"/>
      <w:lang w:val="en-US"/>
    </w:rPr>
  </w:style>
  <w:style w:type="character" w:customStyle="1" w:styleId="2490">
    <w:name w:val="正文(首行缩进)宋旭峰 Char Char"/>
    <w:link w:val="2489"/>
    <w:autoRedefine/>
    <w:qFormat/>
    <w:uiPriority w:val="0"/>
    <w:rPr>
      <w:rFonts w:cs="TimesNewRomanPSMT"/>
      <w:snapToGrid w:val="0"/>
      <w:sz w:val="24"/>
      <w:szCs w:val="24"/>
    </w:rPr>
  </w:style>
  <w:style w:type="paragraph" w:customStyle="1" w:styleId="2491">
    <w:name w:val="Char Char Char Char Char Char Char Char Char Char Char Char Char Char Char Char Char Char Char Char Char Char Char Char Char Char Char Char Char Char Char Char Char Char Char Char Char Char Char"/>
    <w:basedOn w:val="1"/>
    <w:autoRedefine/>
    <w:qFormat/>
    <w:uiPriority w:val="0"/>
    <w:pPr>
      <w:adjustRightInd/>
      <w:snapToGrid/>
      <w:spacing w:line="240" w:lineRule="auto"/>
      <w:ind w:firstLine="0" w:firstLineChars="0"/>
    </w:pPr>
    <w:rPr>
      <w:sz w:val="21"/>
      <w:szCs w:val="24"/>
    </w:rPr>
  </w:style>
  <w:style w:type="paragraph" w:customStyle="1" w:styleId="2492">
    <w:name w:val="样式 样式 样式 设计正文 + 首行缩进:  2 字符 + 首行缩进:  2 字符 + 首行缩进:  2 字符"/>
    <w:basedOn w:val="1"/>
    <w:autoRedefine/>
    <w:qFormat/>
    <w:uiPriority w:val="0"/>
    <w:pPr>
      <w:keepNext/>
      <w:adjustRightInd/>
      <w:snapToGrid/>
      <w:spacing w:line="360" w:lineRule="auto"/>
      <w:ind w:firstLine="538" w:firstLineChars="192"/>
    </w:pPr>
    <w:rPr>
      <w:rFonts w:ascii="仿宋_GB2312" w:eastAsia="仿宋_GB2312" w:cs="宋体"/>
      <w:sz w:val="28"/>
    </w:rPr>
  </w:style>
  <w:style w:type="paragraph" w:customStyle="1" w:styleId="2493">
    <w:name w:val="正文(首行缩进) Char Char Char"/>
    <w:basedOn w:val="1"/>
    <w:link w:val="2501"/>
    <w:autoRedefine/>
    <w:qFormat/>
    <w:uiPriority w:val="0"/>
    <w:pPr>
      <w:adjustRightInd/>
      <w:snapToGrid/>
      <w:spacing w:line="360" w:lineRule="auto"/>
      <w:ind w:firstLine="480"/>
    </w:pPr>
    <w:rPr>
      <w:snapToGrid w:val="0"/>
      <w:szCs w:val="24"/>
    </w:rPr>
  </w:style>
  <w:style w:type="paragraph" w:customStyle="1" w:styleId="2494">
    <w:name w:val="Char Char Char Char Char Char Char Char Char1"/>
    <w:basedOn w:val="1"/>
    <w:autoRedefine/>
    <w:qFormat/>
    <w:uiPriority w:val="0"/>
    <w:pPr>
      <w:adjustRightInd/>
      <w:snapToGrid/>
      <w:spacing w:line="240" w:lineRule="auto"/>
      <w:ind w:firstLine="0" w:firstLineChars="0"/>
    </w:pPr>
    <w:rPr>
      <w:sz w:val="21"/>
      <w:szCs w:val="24"/>
    </w:rPr>
  </w:style>
  <w:style w:type="paragraph" w:customStyle="1" w:styleId="2495">
    <w:name w:val="表底说明"/>
    <w:basedOn w:val="1"/>
    <w:link w:val="2496"/>
    <w:autoRedefine/>
    <w:qFormat/>
    <w:uiPriority w:val="0"/>
    <w:pPr>
      <w:adjustRightInd/>
      <w:snapToGrid/>
      <w:spacing w:line="240" w:lineRule="auto"/>
      <w:ind w:firstLine="0" w:firstLineChars="0"/>
    </w:pPr>
    <w:rPr>
      <w:sz w:val="18"/>
      <w:szCs w:val="24"/>
    </w:rPr>
  </w:style>
  <w:style w:type="character" w:customStyle="1" w:styleId="2496">
    <w:name w:val="表底说明 Char"/>
    <w:link w:val="2495"/>
    <w:autoRedefine/>
    <w:qFormat/>
    <w:uiPriority w:val="0"/>
    <w:rPr>
      <w:kern w:val="2"/>
      <w:sz w:val="18"/>
      <w:szCs w:val="24"/>
    </w:rPr>
  </w:style>
  <w:style w:type="paragraph" w:customStyle="1" w:styleId="2497">
    <w:name w:val="环保专篇"/>
    <w:link w:val="2498"/>
    <w:autoRedefine/>
    <w:qFormat/>
    <w:uiPriority w:val="0"/>
    <w:pPr>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character" w:customStyle="1" w:styleId="2498">
    <w:name w:val="环保专篇 Char"/>
    <w:link w:val="2497"/>
    <w:autoRedefine/>
    <w:qFormat/>
    <w:uiPriority w:val="0"/>
    <w:rPr>
      <w:kern w:val="2"/>
      <w:sz w:val="24"/>
      <w:szCs w:val="24"/>
    </w:rPr>
  </w:style>
  <w:style w:type="paragraph" w:customStyle="1" w:styleId="2499">
    <w:name w:val="表格后空行"/>
    <w:basedOn w:val="1"/>
    <w:autoRedefine/>
    <w:qFormat/>
    <w:uiPriority w:val="0"/>
    <w:pPr>
      <w:widowControl/>
      <w:adjustRightInd/>
      <w:snapToGrid/>
      <w:spacing w:line="240" w:lineRule="exact"/>
      <w:ind w:firstLine="0" w:firstLineChars="0"/>
      <w:textAlignment w:val="baseline"/>
    </w:pPr>
    <w:rPr>
      <w:rFonts w:cs="宋体"/>
      <w:color w:val="000000"/>
      <w:kern w:val="0"/>
      <w:sz w:val="21"/>
      <w:u w:color="000000"/>
    </w:rPr>
  </w:style>
  <w:style w:type="paragraph" w:customStyle="1" w:styleId="2500">
    <w:name w:val="表头标题格式"/>
    <w:basedOn w:val="1"/>
    <w:link w:val="2506"/>
    <w:autoRedefine/>
    <w:qFormat/>
    <w:uiPriority w:val="0"/>
    <w:pPr>
      <w:tabs>
        <w:tab w:val="left" w:pos="360"/>
        <w:tab w:val="left" w:pos="1620"/>
      </w:tabs>
      <w:adjustRightInd/>
      <w:snapToGrid/>
      <w:spacing w:line="360" w:lineRule="auto"/>
      <w:ind w:firstLine="0" w:firstLineChars="0"/>
      <w:jc w:val="center"/>
    </w:pPr>
    <w:rPr>
      <w:rFonts w:ascii="黑体" w:hAnsi="宋体" w:eastAsia="黑体" w:cs="宋体"/>
      <w:b/>
      <w:bCs/>
    </w:rPr>
  </w:style>
  <w:style w:type="character" w:customStyle="1" w:styleId="2501">
    <w:name w:val="正文(首行缩进) Char Char Char Char"/>
    <w:link w:val="2493"/>
    <w:autoRedefine/>
    <w:qFormat/>
    <w:uiPriority w:val="0"/>
    <w:rPr>
      <w:snapToGrid w:val="0"/>
      <w:kern w:val="2"/>
      <w:sz w:val="24"/>
      <w:szCs w:val="24"/>
    </w:rPr>
  </w:style>
  <w:style w:type="paragraph" w:customStyle="1" w:styleId="2502">
    <w:name w:val="样式 正文首行缩进 2 + (符号) 宋体"/>
    <w:basedOn w:val="87"/>
    <w:link w:val="2503"/>
    <w:autoRedefine/>
    <w:qFormat/>
    <w:uiPriority w:val="0"/>
    <w:pPr>
      <w:adjustRightInd/>
      <w:snapToGrid/>
      <w:spacing w:after="0" w:line="360" w:lineRule="auto"/>
      <w:ind w:left="0" w:leftChars="0" w:firstLine="200"/>
    </w:pPr>
    <w:rPr>
      <w:rFonts w:ascii="宋体"/>
      <w:kern w:val="2"/>
      <w:szCs w:val="24"/>
      <w:lang w:val="en-US"/>
    </w:rPr>
  </w:style>
  <w:style w:type="character" w:customStyle="1" w:styleId="2503">
    <w:name w:val="样式 正文首行缩进 2 + (符号) 宋体 Char"/>
    <w:link w:val="2502"/>
    <w:autoRedefine/>
    <w:qFormat/>
    <w:uiPriority w:val="0"/>
    <w:rPr>
      <w:rFonts w:ascii="宋体"/>
      <w:kern w:val="2"/>
      <w:sz w:val="24"/>
      <w:szCs w:val="24"/>
    </w:rPr>
  </w:style>
  <w:style w:type="paragraph" w:customStyle="1" w:styleId="2504">
    <w:name w:val="表后空行格式"/>
    <w:basedOn w:val="1300"/>
    <w:autoRedefine/>
    <w:qFormat/>
    <w:uiPriority w:val="0"/>
    <w:pPr>
      <w:widowControl w:val="0"/>
      <w:spacing w:line="240" w:lineRule="exact"/>
      <w:ind w:firstLine="0" w:firstLineChars="0"/>
    </w:pPr>
    <w:rPr>
      <w:rFonts w:hAnsi="Times New Roman" w:cs="Times New Roman"/>
      <w:kern w:val="2"/>
      <w:sz w:val="18"/>
      <w:szCs w:val="24"/>
    </w:rPr>
  </w:style>
  <w:style w:type="character" w:customStyle="1" w:styleId="2505">
    <w:name w:val="正文格式 Char"/>
    <w:link w:val="1300"/>
    <w:autoRedefine/>
    <w:qFormat/>
    <w:uiPriority w:val="0"/>
    <w:rPr>
      <w:rFonts w:ascii="宋体" w:hAnsi="Calibri" w:cs="宋体"/>
      <w:sz w:val="24"/>
    </w:rPr>
  </w:style>
  <w:style w:type="character" w:customStyle="1" w:styleId="2506">
    <w:name w:val="表头标题格式 Char"/>
    <w:link w:val="2500"/>
    <w:autoRedefine/>
    <w:qFormat/>
    <w:uiPriority w:val="0"/>
    <w:rPr>
      <w:rFonts w:ascii="黑体" w:hAnsi="宋体" w:eastAsia="黑体" w:cs="宋体"/>
      <w:b/>
      <w:bCs/>
      <w:kern w:val="2"/>
      <w:sz w:val="24"/>
    </w:rPr>
  </w:style>
  <w:style w:type="paragraph" w:customStyle="1" w:styleId="2507">
    <w:name w:val="正文 楷体"/>
    <w:basedOn w:val="1"/>
    <w:autoRedefine/>
    <w:qFormat/>
    <w:uiPriority w:val="0"/>
    <w:pPr>
      <w:adjustRightInd/>
      <w:snapToGrid/>
      <w:spacing w:line="500" w:lineRule="exact"/>
    </w:pPr>
    <w:rPr>
      <w:rFonts w:ascii="楷体_GB2312" w:hAnsi="楷体_GB2312" w:eastAsia="楷体_GB2312" w:cs="宋体"/>
      <w:szCs w:val="24"/>
    </w:rPr>
  </w:style>
  <w:style w:type="paragraph" w:customStyle="1" w:styleId="2508">
    <w:name w:val="正文（首行缩进两字） Char Char Char Char1 Char11"/>
    <w:basedOn w:val="1"/>
    <w:next w:val="21"/>
    <w:autoRedefine/>
    <w:semiHidden/>
    <w:qFormat/>
    <w:uiPriority w:val="0"/>
    <w:pPr>
      <w:adjustRightInd/>
      <w:snapToGrid/>
      <w:spacing w:line="440" w:lineRule="exact"/>
    </w:pPr>
    <w:rPr>
      <w:rFonts w:ascii="Arial" w:hAnsi="Arial"/>
      <w:szCs w:val="24"/>
    </w:rPr>
  </w:style>
  <w:style w:type="paragraph" w:customStyle="1" w:styleId="2509">
    <w:name w:val="Char Char Char Char Char2 Char Char Char Char1"/>
    <w:basedOn w:val="1"/>
    <w:autoRedefine/>
    <w:semiHidden/>
    <w:qFormat/>
    <w:uiPriority w:val="0"/>
    <w:pPr>
      <w:spacing w:line="360" w:lineRule="auto"/>
    </w:pPr>
    <w:rPr>
      <w:rFonts w:ascii="宋体" w:hAnsi="宋体" w:cs="宋体"/>
      <w:szCs w:val="26"/>
    </w:rPr>
  </w:style>
  <w:style w:type="paragraph" w:customStyle="1" w:styleId="2510">
    <w:name w:val="12 Char Char Char Char"/>
    <w:basedOn w:val="1"/>
    <w:autoRedefine/>
    <w:qFormat/>
    <w:uiPriority w:val="0"/>
    <w:pPr>
      <w:adjustRightInd/>
      <w:snapToGrid/>
      <w:spacing w:line="360" w:lineRule="auto"/>
      <w:jc w:val="left"/>
    </w:pPr>
    <w:rPr>
      <w:rFonts w:ascii="宋体" w:hAnsi="宋体"/>
      <w:position w:val="-6"/>
      <w:sz w:val="28"/>
      <w:u w:val="single"/>
    </w:rPr>
  </w:style>
  <w:style w:type="character" w:customStyle="1" w:styleId="2511">
    <w:name w:val="正文（首行缩进两字）2 Char"/>
    <w:autoRedefine/>
    <w:qFormat/>
    <w:uiPriority w:val="0"/>
    <w:rPr>
      <w:rFonts w:ascii="宋体" w:hAnsi="宋体" w:eastAsia="宋体" w:cs="宋体"/>
      <w:snapToGrid w:val="0"/>
      <w:kern w:val="24"/>
      <w:sz w:val="24"/>
      <w:szCs w:val="24"/>
      <w:lang w:val="en-US" w:eastAsia="zh-CN" w:bidi="ar-SA"/>
    </w:rPr>
  </w:style>
  <w:style w:type="paragraph" w:customStyle="1" w:styleId="2512">
    <w:name w:val="Char Char Char Char Char Char Char Char Char Char Char Char Char Char Char Char1"/>
    <w:basedOn w:val="1"/>
    <w:autoRedefine/>
    <w:qFormat/>
    <w:uiPriority w:val="0"/>
    <w:pPr>
      <w:adjustRightInd/>
      <w:snapToGrid/>
      <w:spacing w:line="240" w:lineRule="auto"/>
      <w:ind w:firstLine="0" w:firstLineChars="0"/>
    </w:pPr>
    <w:rPr>
      <w:sz w:val="21"/>
      <w:szCs w:val="24"/>
    </w:rPr>
  </w:style>
  <w:style w:type="character" w:customStyle="1" w:styleId="2513">
    <w:name w:val="Char Char5"/>
    <w:autoRedefine/>
    <w:semiHidden/>
    <w:qFormat/>
    <w:uiPriority w:val="0"/>
    <w:rPr>
      <w:rFonts w:eastAsia="宋体"/>
      <w:kern w:val="2"/>
      <w:sz w:val="18"/>
      <w:szCs w:val="18"/>
      <w:lang w:val="en-US" w:eastAsia="zh-CN" w:bidi="ar-SA"/>
    </w:rPr>
  </w:style>
  <w:style w:type="paragraph" w:customStyle="1" w:styleId="2514">
    <w:name w:val="pvc1.1"/>
    <w:basedOn w:val="4"/>
    <w:next w:val="4"/>
    <w:autoRedefine/>
    <w:semiHidden/>
    <w:qFormat/>
    <w:uiPriority w:val="0"/>
    <w:pPr>
      <w:numPr>
        <w:ilvl w:val="0"/>
        <w:numId w:val="0"/>
      </w:numPr>
      <w:tabs>
        <w:tab w:val="left" w:pos="576"/>
        <w:tab w:val="left" w:pos="768"/>
      </w:tabs>
      <w:spacing w:beforeLines="100" w:afterLines="100" w:line="324" w:lineRule="auto"/>
      <w:ind w:left="576" w:hanging="576"/>
    </w:pPr>
    <w:rPr>
      <w:rFonts w:ascii="黑体" w:hAnsi="Arial" w:eastAsia="华文中宋" w:cs="宋体"/>
      <w:b w:val="0"/>
      <w:bCs w:val="0"/>
      <w:sz w:val="44"/>
      <w:szCs w:val="44"/>
      <w:lang w:val="en-US"/>
    </w:rPr>
  </w:style>
  <w:style w:type="character" w:customStyle="1" w:styleId="2515">
    <w:name w:val="标题1.1.1.1.1 Char Char1"/>
    <w:autoRedefine/>
    <w:qFormat/>
    <w:uiPriority w:val="0"/>
    <w:rPr>
      <w:rFonts w:ascii="宋体" w:eastAsia="宋体"/>
      <w:b/>
      <w:spacing w:val="6"/>
      <w:kern w:val="2"/>
      <w:sz w:val="26"/>
      <w:szCs w:val="26"/>
      <w:lang w:val="en-US" w:eastAsia="zh-CN" w:bidi="ar-SA"/>
    </w:rPr>
  </w:style>
  <w:style w:type="character" w:customStyle="1" w:styleId="2516">
    <w:name w:val="标题 6 Char1"/>
    <w:autoRedefine/>
    <w:qFormat/>
    <w:uiPriority w:val="0"/>
    <w:rPr>
      <w:rFonts w:ascii="Arial" w:hAnsi="Arial" w:eastAsia="黑体"/>
      <w:b/>
      <w:spacing w:val="6"/>
      <w:kern w:val="2"/>
      <w:sz w:val="24"/>
      <w:szCs w:val="26"/>
    </w:rPr>
  </w:style>
  <w:style w:type="character" w:customStyle="1" w:styleId="2517">
    <w:name w:val="项标题(1) Char Char1"/>
    <w:autoRedefine/>
    <w:qFormat/>
    <w:uiPriority w:val="0"/>
    <w:rPr>
      <w:rFonts w:ascii="宋体" w:eastAsia="宋体"/>
      <w:b/>
      <w:spacing w:val="6"/>
      <w:kern w:val="2"/>
      <w:sz w:val="24"/>
      <w:szCs w:val="26"/>
      <w:lang w:val="en-US" w:eastAsia="zh-CN" w:bidi="ar-SA"/>
    </w:rPr>
  </w:style>
  <w:style w:type="character" w:customStyle="1" w:styleId="2518">
    <w:name w:val="目标题 1) Char Char1"/>
    <w:autoRedefine/>
    <w:qFormat/>
    <w:uiPriority w:val="0"/>
    <w:rPr>
      <w:rFonts w:ascii="Arial" w:hAnsi="Arial" w:eastAsia="黑体"/>
      <w:spacing w:val="6"/>
      <w:kern w:val="2"/>
      <w:sz w:val="24"/>
      <w:szCs w:val="26"/>
      <w:lang w:val="en-US" w:eastAsia="zh-CN" w:bidi="ar-SA"/>
    </w:rPr>
  </w:style>
  <w:style w:type="character" w:customStyle="1" w:styleId="2519">
    <w:name w:val="干标题(a) Char Char1"/>
    <w:autoRedefine/>
    <w:qFormat/>
    <w:uiPriority w:val="0"/>
    <w:rPr>
      <w:rFonts w:ascii="Arial" w:hAnsi="Arial" w:eastAsia="黑体"/>
      <w:spacing w:val="6"/>
      <w:kern w:val="2"/>
      <w:sz w:val="21"/>
      <w:szCs w:val="26"/>
      <w:lang w:val="en-US" w:eastAsia="zh-CN" w:bidi="ar-SA"/>
    </w:rPr>
  </w:style>
  <w:style w:type="paragraph" w:customStyle="1" w:styleId="2520">
    <w:name w:val="样式 报告正文 + 首行缩进:  2 字符"/>
    <w:basedOn w:val="1"/>
    <w:link w:val="2521"/>
    <w:autoRedefine/>
    <w:semiHidden/>
    <w:qFormat/>
    <w:uiPriority w:val="0"/>
    <w:pPr>
      <w:autoSpaceDE w:val="0"/>
      <w:autoSpaceDN w:val="0"/>
      <w:adjustRightInd/>
      <w:snapToGrid/>
      <w:spacing w:line="360" w:lineRule="auto"/>
    </w:pPr>
    <w:rPr>
      <w:rFonts w:cs="宋体"/>
    </w:rPr>
  </w:style>
  <w:style w:type="character" w:customStyle="1" w:styleId="2521">
    <w:name w:val="样式 报告正文 + 首行缩进:  2 字符 Char"/>
    <w:link w:val="2520"/>
    <w:autoRedefine/>
    <w:semiHidden/>
    <w:qFormat/>
    <w:uiPriority w:val="0"/>
    <w:rPr>
      <w:rFonts w:cs="宋体"/>
      <w:kern w:val="2"/>
      <w:sz w:val="24"/>
    </w:rPr>
  </w:style>
  <w:style w:type="character" w:customStyle="1" w:styleId="2522">
    <w:name w:val="题注 Char Char Char Char2"/>
    <w:autoRedefine/>
    <w:qFormat/>
    <w:uiPriority w:val="0"/>
    <w:rPr>
      <w:rFonts w:ascii="Arial" w:hAnsi="Arial" w:eastAsia="黑体" w:cs="Arial"/>
      <w:kern w:val="2"/>
      <w:sz w:val="21"/>
      <w:lang w:val="en-US" w:eastAsia="zh-CN" w:bidi="ar-SA"/>
    </w:rPr>
  </w:style>
  <w:style w:type="paragraph" w:customStyle="1" w:styleId="2523">
    <w:name w:val="标题22"/>
    <w:basedOn w:val="4"/>
    <w:next w:val="4"/>
    <w:link w:val="3449"/>
    <w:autoRedefine/>
    <w:qFormat/>
    <w:uiPriority w:val="0"/>
    <w:pPr>
      <w:keepNext w:val="0"/>
      <w:keepLines w:val="0"/>
      <w:numPr>
        <w:ilvl w:val="0"/>
        <w:numId w:val="0"/>
      </w:numPr>
      <w:spacing w:before="260" w:after="260" w:line="240" w:lineRule="auto"/>
      <w:ind w:firstLine="357"/>
    </w:pPr>
    <w:rPr>
      <w:rFonts w:ascii="黑体" w:hAnsi="宋体" w:eastAsia="黑体"/>
      <w:bCs w:val="0"/>
      <w:kern w:val="0"/>
      <w:sz w:val="28"/>
      <w:szCs w:val="20"/>
      <w:lang w:val="en-US"/>
    </w:rPr>
  </w:style>
  <w:style w:type="character" w:customStyle="1" w:styleId="2524">
    <w:name w:val="文本条款 Char5"/>
    <w:autoRedefine/>
    <w:qFormat/>
    <w:uiPriority w:val="0"/>
    <w:rPr>
      <w:rFonts w:eastAsia="宋体"/>
      <w:kern w:val="2"/>
      <w:sz w:val="21"/>
      <w:lang w:val="en-US" w:eastAsia="zh-CN"/>
    </w:rPr>
  </w:style>
  <w:style w:type="character" w:customStyle="1" w:styleId="2525">
    <w:name w:val="Char Char17"/>
    <w:autoRedefine/>
    <w:qFormat/>
    <w:uiPriority w:val="0"/>
    <w:rPr>
      <w:rFonts w:eastAsia="宋体"/>
      <w:color w:val="000000"/>
      <w:kern w:val="2"/>
      <w:sz w:val="18"/>
      <w:szCs w:val="18"/>
      <w:lang w:val="en-US" w:eastAsia="zh-CN" w:bidi="ar-SA"/>
    </w:rPr>
  </w:style>
  <w:style w:type="character" w:customStyle="1" w:styleId="2526">
    <w:name w:val="todaynews_14pxtitlered1"/>
    <w:autoRedefine/>
    <w:qFormat/>
    <w:uiPriority w:val="0"/>
    <w:rPr>
      <w:color w:val="D56453"/>
      <w:sz w:val="21"/>
      <w:szCs w:val="21"/>
      <w:u w:val="none"/>
    </w:rPr>
  </w:style>
  <w:style w:type="paragraph" w:customStyle="1" w:styleId="2527">
    <w:name w:val="直接正文"/>
    <w:autoRedefine/>
    <w:qFormat/>
    <w:uiPriority w:val="0"/>
    <w:pPr>
      <w:spacing w:afterLines="50" w:line="480" w:lineRule="exact"/>
      <w:ind w:firstLine="459"/>
    </w:pPr>
    <w:rPr>
      <w:rFonts w:ascii="宋体" w:hAnsi="宋体" w:eastAsia="宋体" w:cs="Times New Roman"/>
      <w:bCs/>
      <w:spacing w:val="-5"/>
      <w:kern w:val="10"/>
      <w:sz w:val="24"/>
      <w:lang w:val="en-US" w:eastAsia="zh-CN" w:bidi="he-IL"/>
    </w:rPr>
  </w:style>
  <w:style w:type="paragraph" w:customStyle="1" w:styleId="2528">
    <w:name w:val="hcr4"/>
    <w:autoRedefine/>
    <w:qFormat/>
    <w:uiPriority w:val="0"/>
    <w:pPr>
      <w:ind w:firstLine="200" w:firstLineChars="200"/>
    </w:pPr>
    <w:rPr>
      <w:rFonts w:ascii="仿宋_GB2312" w:hAnsi="Times New Roman" w:eastAsia="仿宋_GB2312" w:cs="Times New Roman"/>
      <w:bCs/>
      <w:sz w:val="28"/>
      <w:lang w:val="en-US" w:eastAsia="zh-CN" w:bidi="ar-SA"/>
    </w:rPr>
  </w:style>
  <w:style w:type="paragraph" w:customStyle="1" w:styleId="2529">
    <w:name w:val="正文前面有点"/>
    <w:basedOn w:val="31"/>
    <w:autoRedefine/>
    <w:qFormat/>
    <w:uiPriority w:val="0"/>
    <w:pPr>
      <w:tabs>
        <w:tab w:val="left" w:pos="3409"/>
      </w:tabs>
      <w:adjustRightInd w:val="0"/>
      <w:snapToGrid w:val="0"/>
      <w:spacing w:after="0" w:line="360" w:lineRule="auto"/>
      <w:ind w:left="3409" w:hanging="420"/>
    </w:pPr>
    <w:rPr>
      <w:rFonts w:hAnsi="Arial"/>
      <w:snapToGrid w:val="0"/>
      <w:kern w:val="10"/>
      <w:sz w:val="24"/>
      <w:szCs w:val="20"/>
      <w:lang w:val="en-US" w:bidi="he-IL"/>
    </w:rPr>
  </w:style>
  <w:style w:type="paragraph" w:customStyle="1" w:styleId="2530">
    <w:name w:val="条条"/>
    <w:basedOn w:val="21"/>
    <w:autoRedefine/>
    <w:qFormat/>
    <w:uiPriority w:val="0"/>
    <w:pPr>
      <w:tabs>
        <w:tab w:val="left" w:pos="620"/>
      </w:tabs>
      <w:spacing w:beforeLines="30" w:afterLines="30"/>
      <w:ind w:left="620" w:hanging="420" w:firstLineChars="0"/>
    </w:pPr>
    <w:rPr>
      <w:rFonts w:ascii="新宋体" w:hAnsi="Times New Roman" w:eastAsia="新宋体"/>
      <w:w w:val="90"/>
      <w:sz w:val="22"/>
      <w:szCs w:val="20"/>
      <w:lang w:val="en-US"/>
    </w:rPr>
  </w:style>
  <w:style w:type="paragraph" w:customStyle="1" w:styleId="2531">
    <w:name w:val="ygs正文"/>
    <w:basedOn w:val="1"/>
    <w:autoRedefine/>
    <w:qFormat/>
    <w:uiPriority w:val="0"/>
    <w:pPr>
      <w:adjustRightInd/>
      <w:snapToGrid/>
      <w:spacing w:line="440" w:lineRule="exact"/>
      <w:ind w:firstLine="480"/>
    </w:pPr>
    <w:rPr>
      <w:rFonts w:ascii="宋体" w:hAnsi="宋体"/>
      <w:bCs/>
      <w:szCs w:val="24"/>
    </w:rPr>
  </w:style>
  <w:style w:type="paragraph" w:customStyle="1" w:styleId="2532">
    <w:name w:val="样式 标题 3 + 加粗"/>
    <w:basedOn w:val="5"/>
    <w:autoRedefine/>
    <w:qFormat/>
    <w:uiPriority w:val="0"/>
    <w:pPr>
      <w:numPr>
        <w:numId w:val="0"/>
      </w:numPr>
      <w:tabs>
        <w:tab w:val="left" w:pos="1260"/>
        <w:tab w:val="left" w:pos="1440"/>
      </w:tabs>
      <w:adjustRightInd/>
      <w:snapToGrid/>
      <w:spacing w:beforeLines="50" w:afterLines="50" w:line="360" w:lineRule="exact"/>
      <w:ind w:firstLine="200" w:firstLineChars="200"/>
      <w:jc w:val="left"/>
    </w:pPr>
    <w:rPr>
      <w:rFonts w:eastAsia="黑体"/>
      <w:b w:val="0"/>
      <w:szCs w:val="24"/>
      <w:lang w:val="en-US"/>
    </w:rPr>
  </w:style>
  <w:style w:type="character" w:customStyle="1" w:styleId="2533">
    <w:name w:val="大纲正文 Char1"/>
    <w:autoRedefine/>
    <w:qFormat/>
    <w:uiPriority w:val="0"/>
    <w:rPr>
      <w:rFonts w:ascii="Times New Roman" w:hAnsi="Times New Roman" w:eastAsia="宋体" w:cs="宋体"/>
      <w:sz w:val="24"/>
      <w:szCs w:val="20"/>
    </w:rPr>
  </w:style>
  <w:style w:type="character" w:customStyle="1" w:styleId="2534">
    <w:name w:val="ht1"/>
    <w:autoRedefine/>
    <w:qFormat/>
    <w:uiPriority w:val="0"/>
    <w:rPr>
      <w:rFonts w:ascii="黑体" w:eastAsia="黑体"/>
      <w:b/>
      <w:bCs/>
    </w:rPr>
  </w:style>
  <w:style w:type="character" w:customStyle="1" w:styleId="2535">
    <w:name w:val="9points1"/>
    <w:autoRedefine/>
    <w:qFormat/>
    <w:uiPriority w:val="0"/>
    <w:rPr>
      <w:rFonts w:hint="default"/>
      <w:color w:val="003366"/>
      <w:sz w:val="18"/>
      <w:szCs w:val="18"/>
      <w:u w:val="none"/>
    </w:rPr>
  </w:style>
  <w:style w:type="character" w:customStyle="1" w:styleId="2536">
    <w:name w:val="txt1"/>
    <w:autoRedefine/>
    <w:qFormat/>
    <w:uiPriority w:val="0"/>
    <w:rPr>
      <w:spacing w:val="60"/>
      <w:sz w:val="14"/>
      <w:szCs w:val="14"/>
    </w:rPr>
  </w:style>
  <w:style w:type="paragraph" w:customStyle="1" w:styleId="2537">
    <w:name w:val="标书标题1"/>
    <w:basedOn w:val="3"/>
    <w:autoRedefine/>
    <w:qFormat/>
    <w:uiPriority w:val="0"/>
    <w:pPr>
      <w:keepNext w:val="0"/>
      <w:keepLines w:val="0"/>
      <w:numPr>
        <w:numId w:val="0"/>
      </w:numPr>
      <w:tabs>
        <w:tab w:val="left" w:pos="1280"/>
      </w:tabs>
      <w:spacing w:before="340" w:after="330" w:line="360" w:lineRule="auto"/>
      <w:ind w:left="1280" w:hanging="720"/>
      <w:jc w:val="center"/>
    </w:pPr>
    <w:rPr>
      <w:rFonts w:ascii="Arial Narrow" w:hAnsi="Arial Narrow" w:eastAsia="黑体"/>
      <w:b w:val="0"/>
      <w:bCs w:val="0"/>
      <w:snapToGrid w:val="0"/>
      <w:kern w:val="0"/>
      <w:sz w:val="30"/>
      <w:szCs w:val="20"/>
      <w:lang w:val="en-US"/>
    </w:rPr>
  </w:style>
  <w:style w:type="paragraph" w:customStyle="1" w:styleId="2538">
    <w:name w:val="标书标题2"/>
    <w:basedOn w:val="4"/>
    <w:autoRedefine/>
    <w:qFormat/>
    <w:uiPriority w:val="0"/>
    <w:pPr>
      <w:keepNext w:val="0"/>
      <w:keepLines w:val="0"/>
      <w:numPr>
        <w:ilvl w:val="0"/>
        <w:numId w:val="0"/>
      </w:numPr>
      <w:tabs>
        <w:tab w:val="left" w:pos="574"/>
        <w:tab w:val="left" w:pos="1400"/>
      </w:tabs>
      <w:spacing w:before="260" w:after="260" w:line="300" w:lineRule="auto"/>
      <w:ind w:left="1400" w:hanging="420"/>
      <w:jc w:val="left"/>
    </w:pPr>
    <w:rPr>
      <w:rFonts w:ascii="Arial Narrow" w:hAnsi="Arial Narrow" w:eastAsia="黑体"/>
      <w:bCs w:val="0"/>
      <w:kern w:val="0"/>
      <w:sz w:val="28"/>
      <w:szCs w:val="20"/>
      <w:lang w:val="en-US"/>
    </w:rPr>
  </w:style>
  <w:style w:type="paragraph" w:customStyle="1" w:styleId="2539">
    <w:name w:val="标书标题3"/>
    <w:basedOn w:val="5"/>
    <w:autoRedefine/>
    <w:qFormat/>
    <w:uiPriority w:val="0"/>
    <w:pPr>
      <w:keepNext w:val="0"/>
      <w:keepLines w:val="0"/>
      <w:numPr>
        <w:numId w:val="0"/>
      </w:numPr>
      <w:tabs>
        <w:tab w:val="left" w:pos="1260"/>
        <w:tab w:val="left" w:pos="1820"/>
      </w:tabs>
      <w:spacing w:before="260" w:after="260" w:line="300" w:lineRule="auto"/>
      <w:ind w:left="1820" w:hanging="420" w:firstLineChars="200"/>
      <w:jc w:val="left"/>
    </w:pPr>
    <w:rPr>
      <w:rFonts w:ascii="Arial Narrow" w:hAnsi="Arial Narrow" w:eastAsia="仿宋_GB2312"/>
      <w:bCs w:val="0"/>
      <w:kern w:val="0"/>
      <w:sz w:val="28"/>
      <w:szCs w:val="20"/>
      <w:lang w:val="en-US"/>
    </w:rPr>
  </w:style>
  <w:style w:type="paragraph" w:customStyle="1" w:styleId="2540">
    <w:name w:val="标书标题4"/>
    <w:basedOn w:val="6"/>
    <w:autoRedefine/>
    <w:qFormat/>
    <w:uiPriority w:val="0"/>
    <w:pPr>
      <w:keepNext w:val="0"/>
      <w:keepLines w:val="0"/>
      <w:numPr>
        <w:numId w:val="0"/>
      </w:numPr>
      <w:tabs>
        <w:tab w:val="left" w:pos="1680"/>
        <w:tab w:val="left" w:pos="2240"/>
      </w:tabs>
      <w:spacing w:before="280" w:after="290" w:line="300" w:lineRule="auto"/>
      <w:ind w:left="2240" w:hanging="420" w:firstLineChars="200"/>
      <w:jc w:val="both"/>
    </w:pPr>
    <w:rPr>
      <w:rFonts w:ascii="Arial Narrow" w:hAnsi="Arial Narrow" w:eastAsia="仿宋_GB2312"/>
      <w:b w:val="0"/>
      <w:bCs w:val="0"/>
      <w:kern w:val="0"/>
      <w:sz w:val="28"/>
      <w:szCs w:val="20"/>
      <w:lang w:val="en-US"/>
    </w:rPr>
  </w:style>
  <w:style w:type="paragraph" w:customStyle="1" w:styleId="2541">
    <w:name w:val="标题03"/>
    <w:basedOn w:val="1"/>
    <w:next w:val="1"/>
    <w:autoRedefine/>
    <w:qFormat/>
    <w:uiPriority w:val="0"/>
    <w:pPr>
      <w:adjustRightInd/>
      <w:snapToGrid/>
      <w:spacing w:line="480" w:lineRule="atLeast"/>
      <w:ind w:firstLine="480" w:firstLineChars="0"/>
    </w:pPr>
    <w:rPr>
      <w:b/>
    </w:rPr>
  </w:style>
  <w:style w:type="paragraph" w:customStyle="1" w:styleId="2542">
    <w:name w:val="样式 正文（首行缩进两字） + 宋体"/>
    <w:basedOn w:val="21"/>
    <w:autoRedefine/>
    <w:qFormat/>
    <w:uiPriority w:val="0"/>
    <w:pPr>
      <w:adjustRightInd w:val="0"/>
      <w:ind w:firstLine="0" w:firstLineChars="0"/>
    </w:pPr>
    <w:rPr>
      <w:rFonts w:ascii="宋体" w:hAnsi="宋体"/>
      <w:sz w:val="28"/>
      <w:szCs w:val="20"/>
      <w:lang w:val="en-US"/>
    </w:rPr>
  </w:style>
  <w:style w:type="character" w:customStyle="1" w:styleId="2543">
    <w:name w:val="css-text3"/>
    <w:basedOn w:val="133"/>
    <w:autoRedefine/>
    <w:qFormat/>
    <w:uiPriority w:val="0"/>
  </w:style>
  <w:style w:type="character" w:customStyle="1" w:styleId="2544">
    <w:name w:val="fontcsszw"/>
    <w:basedOn w:val="133"/>
    <w:autoRedefine/>
    <w:qFormat/>
    <w:uiPriority w:val="0"/>
  </w:style>
  <w:style w:type="character" w:customStyle="1" w:styleId="2545">
    <w:name w:val="hei121"/>
    <w:autoRedefine/>
    <w:qFormat/>
    <w:uiPriority w:val="0"/>
    <w:rPr>
      <w:sz w:val="18"/>
      <w:szCs w:val="18"/>
      <w:u w:val="none"/>
    </w:rPr>
  </w:style>
  <w:style w:type="paragraph" w:customStyle="1" w:styleId="2546">
    <w:name w:val="序号（1）"/>
    <w:basedOn w:val="1"/>
    <w:autoRedefine/>
    <w:qFormat/>
    <w:uiPriority w:val="0"/>
    <w:pPr>
      <w:tabs>
        <w:tab w:val="left" w:pos="0"/>
        <w:tab w:val="left" w:pos="927"/>
      </w:tabs>
      <w:spacing w:line="360" w:lineRule="auto"/>
      <w:ind w:firstLine="567" w:firstLineChars="0"/>
    </w:pPr>
    <w:rPr>
      <w:sz w:val="28"/>
      <w:szCs w:val="24"/>
    </w:rPr>
  </w:style>
  <w:style w:type="paragraph" w:customStyle="1" w:styleId="2547">
    <w:name w:val="新标题样式"/>
    <w:basedOn w:val="1"/>
    <w:autoRedefine/>
    <w:qFormat/>
    <w:uiPriority w:val="0"/>
    <w:pPr>
      <w:tabs>
        <w:tab w:val="left" w:pos="567"/>
      </w:tabs>
      <w:adjustRightInd/>
      <w:snapToGrid/>
      <w:spacing w:line="360" w:lineRule="auto"/>
      <w:ind w:firstLine="0" w:firstLineChars="0"/>
    </w:pPr>
    <w:rPr>
      <w:rFonts w:ascii="黑体" w:eastAsia="黑体"/>
      <w:b/>
      <w:spacing w:val="20"/>
    </w:rPr>
  </w:style>
  <w:style w:type="character" w:customStyle="1" w:styleId="2548">
    <w:name w:val="k1"/>
    <w:autoRedefine/>
    <w:qFormat/>
    <w:uiPriority w:val="0"/>
    <w:rPr>
      <w:rFonts w:hint="eastAsia" w:ascii="宋体" w:hAnsi="宋体" w:eastAsia="宋体"/>
      <w:b/>
      <w:bCs/>
      <w:color w:val="FF0000"/>
      <w:sz w:val="30"/>
      <w:szCs w:val="30"/>
      <w:u w:val="none"/>
    </w:rPr>
  </w:style>
  <w:style w:type="paragraph" w:customStyle="1" w:styleId="2549">
    <w:name w:val="样式 表 + 加粗"/>
    <w:basedOn w:val="1"/>
    <w:autoRedefine/>
    <w:qFormat/>
    <w:uiPriority w:val="0"/>
    <w:pPr>
      <w:autoSpaceDE w:val="0"/>
      <w:autoSpaceDN w:val="0"/>
      <w:adjustRightInd/>
      <w:snapToGrid/>
      <w:spacing w:line="360" w:lineRule="exact"/>
      <w:ind w:firstLine="539" w:firstLineChars="0"/>
      <w:jc w:val="center"/>
      <w:textAlignment w:val="bottom"/>
      <w:outlineLvl w:val="6"/>
    </w:pPr>
    <w:rPr>
      <w:rFonts w:eastAsia="仿宋_GB2312"/>
      <w:b/>
      <w:bCs/>
    </w:rPr>
  </w:style>
  <w:style w:type="paragraph" w:customStyle="1" w:styleId="2550">
    <w:name w:val="样式 正文缩进 + 宋体 小四"/>
    <w:basedOn w:val="21"/>
    <w:autoRedefine/>
    <w:qFormat/>
    <w:uiPriority w:val="0"/>
    <w:pPr>
      <w:spacing w:beforeLines="50" w:afterLines="50" w:line="360" w:lineRule="exact"/>
      <w:ind w:firstLine="200"/>
    </w:pPr>
    <w:rPr>
      <w:rFonts w:ascii="Times New Roman" w:hAnsi="Times New Roman" w:eastAsia="仿宋_GB2312"/>
      <w:sz w:val="24"/>
      <w:szCs w:val="20"/>
      <w:lang w:val="en-US"/>
    </w:rPr>
  </w:style>
  <w:style w:type="paragraph" w:customStyle="1" w:styleId="2551">
    <w:name w:val="样式 标题 4 + 左侧:  1.48 厘米 首行缩进:  0 厘米"/>
    <w:basedOn w:val="6"/>
    <w:autoRedefine/>
    <w:qFormat/>
    <w:uiPriority w:val="0"/>
    <w:pPr>
      <w:numPr>
        <w:numId w:val="0"/>
      </w:numPr>
      <w:tabs>
        <w:tab w:val="left" w:pos="1680"/>
      </w:tabs>
      <w:adjustRightInd/>
      <w:snapToGrid/>
      <w:spacing w:beforeLines="50" w:after="290" w:line="360" w:lineRule="exact"/>
      <w:ind w:firstLine="200" w:firstLineChars="200"/>
    </w:pPr>
    <w:rPr>
      <w:rFonts w:eastAsia="仿宋_GB2312" w:cs="宋体"/>
      <w:szCs w:val="20"/>
      <w:lang w:val="en-US"/>
    </w:rPr>
  </w:style>
  <w:style w:type="paragraph" w:customStyle="1" w:styleId="2552">
    <w:name w:val="样式 标题 2 + 首行缩进:  2 字符"/>
    <w:basedOn w:val="4"/>
    <w:link w:val="2958"/>
    <w:autoRedefine/>
    <w:qFormat/>
    <w:uiPriority w:val="0"/>
    <w:pPr>
      <w:numPr>
        <w:ilvl w:val="0"/>
        <w:numId w:val="0"/>
      </w:numPr>
      <w:spacing w:before="260" w:after="260" w:line="360" w:lineRule="exact"/>
      <w:jc w:val="left"/>
    </w:pPr>
    <w:rPr>
      <w:rFonts w:eastAsia="黑体" w:cs="宋体"/>
      <w:bCs w:val="0"/>
      <w:szCs w:val="20"/>
      <w:lang w:val="en-US"/>
    </w:rPr>
  </w:style>
  <w:style w:type="paragraph" w:customStyle="1" w:styleId="2553">
    <w:name w:val="样式 右侧:  0.2 厘米 段前: 2.5 磅"/>
    <w:basedOn w:val="1"/>
    <w:autoRedefine/>
    <w:qFormat/>
    <w:uiPriority w:val="0"/>
    <w:pPr>
      <w:adjustRightInd/>
      <w:snapToGrid/>
      <w:spacing w:line="360" w:lineRule="exact"/>
      <w:ind w:firstLine="225" w:firstLineChars="0"/>
    </w:pPr>
    <w:rPr>
      <w:rFonts w:eastAsia="仿宋_GB2312" w:cs="宋体"/>
    </w:rPr>
  </w:style>
  <w:style w:type="character" w:customStyle="1" w:styleId="2554">
    <w:name w:val="author"/>
    <w:basedOn w:val="133"/>
    <w:autoRedefine/>
    <w:qFormat/>
    <w:uiPriority w:val="0"/>
  </w:style>
  <w:style w:type="character" w:customStyle="1" w:styleId="2555">
    <w:name w:val="newcontentcss1"/>
    <w:autoRedefine/>
    <w:qFormat/>
    <w:uiPriority w:val="0"/>
    <w:rPr>
      <w:sz w:val="18"/>
      <w:szCs w:val="18"/>
    </w:rPr>
  </w:style>
  <w:style w:type="paragraph" w:customStyle="1" w:styleId="2556">
    <w:name w:val="空行"/>
    <w:basedOn w:val="1"/>
    <w:autoRedefine/>
    <w:qFormat/>
    <w:uiPriority w:val="0"/>
    <w:pPr>
      <w:adjustRightInd/>
      <w:snapToGrid/>
      <w:spacing w:line="300" w:lineRule="exact"/>
      <w:ind w:firstLine="482" w:firstLineChars="0"/>
    </w:pPr>
    <w:rPr>
      <w:rFonts w:eastAsia="仿宋_GB2312"/>
    </w:rPr>
  </w:style>
  <w:style w:type="paragraph" w:customStyle="1" w:styleId="2557">
    <w:name w:val="样式 样式4 + 段前: 0.5 行"/>
    <w:basedOn w:val="357"/>
    <w:autoRedefine/>
    <w:qFormat/>
    <w:uiPriority w:val="0"/>
    <w:pPr>
      <w:adjustRightInd w:val="0"/>
      <w:snapToGrid w:val="0"/>
      <w:spacing w:beforeLines="50" w:line="480" w:lineRule="exact"/>
      <w:outlineLvl w:val="4"/>
    </w:pPr>
    <w:rPr>
      <w:rFonts w:ascii="Times New Roman" w:eastAsia="宋体" w:cs="宋体"/>
      <w:snapToGrid w:val="0"/>
      <w:sz w:val="26"/>
      <w:szCs w:val="20"/>
      <w:lang w:val="en-US"/>
    </w:rPr>
  </w:style>
  <w:style w:type="paragraph" w:customStyle="1" w:styleId="2558">
    <w:name w:val="Char Char Char1"/>
    <w:basedOn w:val="1"/>
    <w:autoRedefine/>
    <w:qFormat/>
    <w:uiPriority w:val="0"/>
    <w:pPr>
      <w:adjustRightInd/>
      <w:snapToGrid/>
      <w:spacing w:line="240" w:lineRule="auto"/>
      <w:ind w:firstLine="0" w:firstLineChars="0"/>
    </w:pPr>
    <w:rPr>
      <w:szCs w:val="24"/>
    </w:rPr>
  </w:style>
  <w:style w:type="character" w:customStyle="1" w:styleId="2559">
    <w:name w:val="正文样式 Char Char"/>
    <w:autoRedefine/>
    <w:qFormat/>
    <w:uiPriority w:val="0"/>
    <w:rPr>
      <w:rFonts w:eastAsia="宋体"/>
      <w:color w:val="000000"/>
      <w:kern w:val="2"/>
      <w:sz w:val="26"/>
      <w:szCs w:val="26"/>
      <w:lang w:val="en-US" w:eastAsia="zh-CN" w:bidi="ar-SA"/>
    </w:rPr>
  </w:style>
  <w:style w:type="character" w:customStyle="1" w:styleId="2560">
    <w:name w:val="款标题1.1.1.1 Char Char1"/>
    <w:autoRedefine/>
    <w:qFormat/>
    <w:uiPriority w:val="0"/>
    <w:rPr>
      <w:rFonts w:ascii="Cambria" w:hAnsi="Cambria"/>
      <w:iCs/>
      <w:color w:val="000000"/>
      <w:sz w:val="24"/>
      <w:szCs w:val="24"/>
      <w:lang w:eastAsia="en-US" w:bidi="en-US"/>
    </w:rPr>
  </w:style>
  <w:style w:type="paragraph" w:customStyle="1" w:styleId="2561">
    <w:name w:val="标题11"/>
    <w:basedOn w:val="1"/>
    <w:link w:val="3447"/>
    <w:autoRedefine/>
    <w:qFormat/>
    <w:uiPriority w:val="0"/>
    <w:pPr>
      <w:widowControl/>
      <w:spacing w:beforeLines="50" w:afterLines="50" w:line="360" w:lineRule="auto"/>
      <w:ind w:firstLine="360" w:firstLineChars="0"/>
      <w:jc w:val="left"/>
      <w:outlineLvl w:val="0"/>
    </w:pPr>
    <w:rPr>
      <w:rFonts w:ascii="Calibri" w:hAnsi="Calibri"/>
      <w:b/>
      <w:kern w:val="0"/>
      <w:sz w:val="36"/>
      <w:szCs w:val="36"/>
      <w:lang w:eastAsia="en-US" w:bidi="en-US"/>
    </w:rPr>
  </w:style>
  <w:style w:type="paragraph" w:customStyle="1" w:styleId="2562">
    <w:name w:val="样式 标题 1 + 段后: 7.8 磅"/>
    <w:basedOn w:val="3"/>
    <w:autoRedefine/>
    <w:qFormat/>
    <w:uiPriority w:val="0"/>
    <w:pPr>
      <w:keepNext w:val="0"/>
      <w:keepLines w:val="0"/>
      <w:widowControl/>
      <w:numPr>
        <w:numId w:val="0"/>
      </w:numPr>
      <w:pBdr>
        <w:bottom w:val="single" w:color="365F91" w:sz="12" w:space="1"/>
      </w:pBdr>
      <w:adjustRightInd/>
      <w:snapToGrid/>
      <w:spacing w:before="340" w:after="330" w:line="240" w:lineRule="auto"/>
    </w:pPr>
    <w:rPr>
      <w:rFonts w:ascii="Cambria" w:hAnsi="Cambria" w:cs="宋体"/>
      <w:color w:val="365F91"/>
      <w:kern w:val="0"/>
      <w:sz w:val="24"/>
      <w:szCs w:val="20"/>
    </w:rPr>
  </w:style>
  <w:style w:type="character" w:customStyle="1" w:styleId="2563">
    <w:name w:val="我的正文 Char"/>
    <w:link w:val="1990"/>
    <w:autoRedefine/>
    <w:qFormat/>
    <w:uiPriority w:val="0"/>
    <w:rPr>
      <w:kern w:val="2"/>
      <w:sz w:val="24"/>
      <w:szCs w:val="24"/>
    </w:rPr>
  </w:style>
  <w:style w:type="paragraph" w:customStyle="1" w:styleId="2564">
    <w:name w:val="样式 标题 3小节名小节小节标题段头SottoparagrafoReh33heading 3- bodyh..."/>
    <w:basedOn w:val="5"/>
    <w:link w:val="2565"/>
    <w:autoRedefine/>
    <w:qFormat/>
    <w:uiPriority w:val="0"/>
    <w:pPr>
      <w:keepNext w:val="0"/>
      <w:keepLines w:val="0"/>
      <w:widowControl/>
      <w:numPr>
        <w:numId w:val="0"/>
      </w:numPr>
      <w:tabs>
        <w:tab w:val="left" w:pos="1260"/>
      </w:tabs>
      <w:adjustRightInd/>
      <w:snapToGrid/>
      <w:spacing w:before="260" w:after="260" w:line="360" w:lineRule="auto"/>
      <w:ind w:firstLine="200" w:firstLineChars="200"/>
      <w:jc w:val="left"/>
    </w:pPr>
    <w:rPr>
      <w:rFonts w:ascii="Calibri" w:hAnsi="Calibri" w:cs="宋体"/>
      <w:bCs w:val="0"/>
      <w:color w:val="000000"/>
      <w:sz w:val="30"/>
      <w:szCs w:val="20"/>
      <w:lang w:val="en-US"/>
    </w:rPr>
  </w:style>
  <w:style w:type="character" w:customStyle="1" w:styleId="2565">
    <w:name w:val="样式 标题 3小节名小节小节标题段头SottoparagrafoReh33heading 3- bodyh... Char"/>
    <w:link w:val="2564"/>
    <w:autoRedefine/>
    <w:qFormat/>
    <w:uiPriority w:val="0"/>
    <w:rPr>
      <w:rFonts w:ascii="Calibri" w:hAnsi="Calibri" w:cs="宋体"/>
      <w:b/>
      <w:color w:val="000000"/>
      <w:kern w:val="2"/>
      <w:sz w:val="30"/>
    </w:rPr>
  </w:style>
  <w:style w:type="paragraph" w:customStyle="1" w:styleId="2566">
    <w:name w:val="样式 样式 标题 4项 + 非加粗 段前: 0.5 行 段后: 0.5 行 + 段前: 0.5 行 段后: 0.5 行"/>
    <w:basedOn w:val="1"/>
    <w:autoRedefine/>
    <w:qFormat/>
    <w:uiPriority w:val="0"/>
    <w:pPr>
      <w:keepLines/>
      <w:widowControl/>
      <w:spacing w:line="360" w:lineRule="auto"/>
      <w:ind w:firstLine="480"/>
      <w:jc w:val="center"/>
    </w:pPr>
    <w:rPr>
      <w:rFonts w:ascii="Calibri" w:hAnsi="Calibri"/>
      <w:bCs/>
      <w:color w:val="000000"/>
      <w:kern w:val="0"/>
      <w:szCs w:val="22"/>
      <w:lang w:eastAsia="en-US" w:bidi="en-US"/>
    </w:rPr>
  </w:style>
  <w:style w:type="paragraph" w:customStyle="1" w:styleId="2567">
    <w:name w:val="表名 Char Char Char Char"/>
    <w:basedOn w:val="1"/>
    <w:autoRedefine/>
    <w:qFormat/>
    <w:uiPriority w:val="0"/>
    <w:pPr>
      <w:widowControl/>
      <w:autoSpaceDE w:val="0"/>
      <w:autoSpaceDN w:val="0"/>
      <w:spacing w:line="240" w:lineRule="auto"/>
      <w:ind w:firstLine="360" w:firstLineChars="0"/>
      <w:jc w:val="center"/>
      <w:textAlignment w:val="baseline"/>
    </w:pPr>
    <w:rPr>
      <w:rFonts w:ascii="Arial" w:hAnsi="Arial" w:eastAsia="黑体"/>
      <w:color w:val="000000"/>
      <w:kern w:val="0"/>
      <w:szCs w:val="21"/>
      <w:lang w:eastAsia="en-US" w:bidi="en-US"/>
    </w:rPr>
  </w:style>
  <w:style w:type="paragraph" w:customStyle="1" w:styleId="2568">
    <w:name w:val="样式 样式 样式 样式 标题 3段 + + 段前: 1.5 行 段后: 1.5 行 + 段前: 1.5 行 段后: 1.5 行 ..."/>
    <w:basedOn w:val="1"/>
    <w:autoRedefine/>
    <w:qFormat/>
    <w:uiPriority w:val="0"/>
    <w:pPr>
      <w:keepLines/>
      <w:widowControl/>
      <w:adjustRightInd/>
      <w:snapToGrid/>
      <w:spacing w:beforeLines="100" w:afterLines="100" w:line="240" w:lineRule="auto"/>
      <w:ind w:firstLine="360" w:firstLineChars="0"/>
      <w:jc w:val="left"/>
      <w:outlineLvl w:val="2"/>
    </w:pPr>
    <w:rPr>
      <w:rFonts w:ascii="Calibri" w:hAnsi="Calibri" w:eastAsia="黑体" w:cs="宋体"/>
      <w:b/>
      <w:bCs/>
      <w:color w:val="000000"/>
      <w:kern w:val="0"/>
      <w:lang w:eastAsia="en-US" w:bidi="en-US"/>
    </w:rPr>
  </w:style>
  <w:style w:type="paragraph" w:customStyle="1" w:styleId="2569">
    <w:name w:val="样式 标题 1章 + Times New Roman 二号 非加粗"/>
    <w:basedOn w:val="3"/>
    <w:autoRedefine/>
    <w:qFormat/>
    <w:uiPriority w:val="0"/>
    <w:pPr>
      <w:keepNext w:val="0"/>
      <w:keepLines w:val="0"/>
      <w:widowControl/>
      <w:numPr>
        <w:numId w:val="0"/>
      </w:numPr>
      <w:pBdr>
        <w:bottom w:val="single" w:color="365F91" w:sz="12" w:space="1"/>
      </w:pBdr>
      <w:adjustRightInd/>
      <w:snapToGrid/>
      <w:spacing w:before="340" w:after="330" w:line="240" w:lineRule="auto"/>
    </w:pPr>
    <w:rPr>
      <w:rFonts w:ascii="Cambria" w:hAnsi="Cambria"/>
      <w:bCs w:val="0"/>
      <w:color w:val="000000"/>
      <w:kern w:val="0"/>
      <w:sz w:val="24"/>
      <w:szCs w:val="20"/>
    </w:rPr>
  </w:style>
  <w:style w:type="paragraph" w:customStyle="1" w:styleId="2570">
    <w:name w:val="样式 标题 2节 + 段前: 0.5 行 段后: 0.5 行"/>
    <w:basedOn w:val="4"/>
    <w:autoRedefine/>
    <w:qFormat/>
    <w:uiPriority w:val="0"/>
    <w:pPr>
      <w:keepNext w:val="0"/>
      <w:keepLines w:val="0"/>
      <w:widowControl/>
      <w:numPr>
        <w:ilvl w:val="0"/>
        <w:numId w:val="0"/>
      </w:numPr>
      <w:spacing w:before="260" w:after="260" w:line="360" w:lineRule="auto"/>
      <w:jc w:val="left"/>
    </w:pPr>
    <w:rPr>
      <w:rFonts w:cs="宋体"/>
      <w:b w:val="0"/>
      <w:bCs w:val="0"/>
      <w:color w:val="000000"/>
      <w:kern w:val="0"/>
      <w:szCs w:val="24"/>
      <w:lang w:eastAsia="en-US" w:bidi="en-US"/>
    </w:rPr>
  </w:style>
  <w:style w:type="paragraph" w:customStyle="1" w:styleId="2571">
    <w:name w:val="样式 标题 4项 + 非加粗 段前: 0.5 行 段后: 0.5 行"/>
    <w:basedOn w:val="6"/>
    <w:autoRedefine/>
    <w:qFormat/>
    <w:uiPriority w:val="0"/>
    <w:pPr>
      <w:keepNext w:val="0"/>
      <w:keepLines w:val="0"/>
      <w:widowControl/>
      <w:numPr>
        <w:numId w:val="0"/>
      </w:numPr>
      <w:tabs>
        <w:tab w:val="left" w:pos="1680"/>
      </w:tabs>
      <w:adjustRightInd/>
      <w:snapToGrid/>
      <w:spacing w:before="280" w:after="290" w:line="240" w:lineRule="auto"/>
      <w:ind w:firstLine="200" w:firstLineChars="200"/>
      <w:jc w:val="center"/>
    </w:pPr>
    <w:rPr>
      <w:rFonts w:ascii="Cambria" w:hAnsi="Cambria" w:cs="宋体"/>
      <w:b w:val="0"/>
      <w:bCs w:val="0"/>
      <w:iCs/>
      <w:color w:val="000000"/>
      <w:kern w:val="0"/>
      <w:szCs w:val="24"/>
      <w:lang w:eastAsia="en-US" w:bidi="en-US"/>
    </w:rPr>
  </w:style>
  <w:style w:type="paragraph" w:customStyle="1" w:styleId="2572">
    <w:name w:val="Char Char Char Char Char Char Char Char Char Char Char Char Char Char Char Char Char Char Char Char Char Char Char Char Char Char Char Char Char Char Char"/>
    <w:basedOn w:val="1"/>
    <w:autoRedefine/>
    <w:qFormat/>
    <w:uiPriority w:val="0"/>
    <w:pPr>
      <w:widowControl/>
      <w:adjustRightInd/>
      <w:snapToGrid/>
      <w:spacing w:line="240" w:lineRule="auto"/>
      <w:ind w:firstLine="360" w:firstLineChars="0"/>
      <w:jc w:val="left"/>
    </w:pPr>
    <w:rPr>
      <w:rFonts w:ascii="Calibri" w:hAnsi="Calibri"/>
      <w:kern w:val="0"/>
      <w:sz w:val="22"/>
      <w:szCs w:val="22"/>
      <w:lang w:eastAsia="en-US" w:bidi="en-US"/>
    </w:rPr>
  </w:style>
  <w:style w:type="paragraph" w:customStyle="1" w:styleId="2573">
    <w:name w:val="样式 样式3 + 黑色"/>
    <w:basedOn w:val="1"/>
    <w:autoRedefine/>
    <w:qFormat/>
    <w:uiPriority w:val="0"/>
    <w:pPr>
      <w:widowControl/>
      <w:adjustRightInd/>
      <w:snapToGrid/>
      <w:spacing w:line="240" w:lineRule="auto"/>
      <w:ind w:firstLine="480"/>
      <w:jc w:val="left"/>
    </w:pPr>
    <w:rPr>
      <w:rFonts w:ascii="Calibri" w:hAnsi="Calibri" w:eastAsia="华文中宋"/>
      <w:color w:val="000000"/>
      <w:kern w:val="0"/>
      <w:szCs w:val="22"/>
      <w:lang w:eastAsia="en-US" w:bidi="en-US"/>
    </w:rPr>
  </w:style>
  <w:style w:type="paragraph" w:customStyle="1" w:styleId="2574">
    <w:name w:val="表单位"/>
    <w:basedOn w:val="1"/>
    <w:link w:val="2775"/>
    <w:autoRedefine/>
    <w:qFormat/>
    <w:uiPriority w:val="0"/>
    <w:pPr>
      <w:widowControl/>
      <w:adjustRightInd/>
      <w:snapToGrid/>
      <w:spacing w:line="360" w:lineRule="auto"/>
      <w:jc w:val="center"/>
    </w:pPr>
    <w:rPr>
      <w:rFonts w:ascii="宋体" w:hAnsi="Calibri"/>
      <w:kern w:val="0"/>
      <w:szCs w:val="22"/>
      <w:lang w:eastAsia="en-US" w:bidi="en-US"/>
    </w:rPr>
  </w:style>
  <w:style w:type="character" w:customStyle="1" w:styleId="2575">
    <w:name w:val="style71"/>
    <w:autoRedefine/>
    <w:qFormat/>
    <w:uiPriority w:val="0"/>
    <w:rPr>
      <w:color w:val="990000"/>
    </w:rPr>
  </w:style>
  <w:style w:type="character" w:customStyle="1" w:styleId="2576">
    <w:name w:val="question-title"/>
    <w:basedOn w:val="133"/>
    <w:autoRedefine/>
    <w:qFormat/>
    <w:uiPriority w:val="0"/>
  </w:style>
  <w:style w:type="character" w:customStyle="1" w:styleId="2577">
    <w:name w:val="无间隔 Char"/>
    <w:autoRedefine/>
    <w:qFormat/>
    <w:uiPriority w:val="0"/>
    <w:rPr>
      <w:rFonts w:ascii="Calibri" w:hAnsi="Calibri" w:eastAsia="宋体" w:cs="Times New Roman"/>
      <w:kern w:val="0"/>
      <w:sz w:val="22"/>
      <w:lang w:eastAsia="en-US" w:bidi="en-US"/>
    </w:rPr>
  </w:style>
  <w:style w:type="character" w:customStyle="1" w:styleId="2578">
    <w:name w:val="C样式 Char"/>
    <w:link w:val="2579"/>
    <w:autoRedefine/>
    <w:qFormat/>
    <w:uiPriority w:val="0"/>
    <w:rPr>
      <w:rFonts w:ascii="宋体" w:hAnsi="宋体"/>
      <w:snapToGrid w:val="0"/>
      <w:kern w:val="24"/>
      <w:sz w:val="24"/>
    </w:rPr>
  </w:style>
  <w:style w:type="paragraph" w:customStyle="1" w:styleId="2579">
    <w:name w:val="C样式"/>
    <w:basedOn w:val="21"/>
    <w:link w:val="2578"/>
    <w:autoRedefine/>
    <w:qFormat/>
    <w:uiPriority w:val="0"/>
    <w:pPr>
      <w:spacing w:line="440" w:lineRule="exact"/>
      <w:ind w:firstLine="424"/>
    </w:pPr>
    <w:rPr>
      <w:rFonts w:ascii="宋体" w:hAnsi="宋体"/>
      <w:snapToGrid w:val="0"/>
      <w:kern w:val="24"/>
      <w:sz w:val="24"/>
      <w:szCs w:val="20"/>
      <w:lang w:val="en-US"/>
    </w:rPr>
  </w:style>
  <w:style w:type="paragraph" w:customStyle="1" w:styleId="2580">
    <w:name w:val="标准正文格式"/>
    <w:basedOn w:val="1"/>
    <w:autoRedefine/>
    <w:qFormat/>
    <w:uiPriority w:val="0"/>
    <w:pPr>
      <w:adjustRightInd/>
      <w:snapToGrid/>
      <w:spacing w:line="360" w:lineRule="auto"/>
      <w:ind w:firstLine="480"/>
      <w:jc w:val="left"/>
    </w:pPr>
    <w:rPr>
      <w:rFonts w:ascii="宋体" w:hAnsi="宋体"/>
      <w:color w:val="000000"/>
      <w:kern w:val="0"/>
    </w:rPr>
  </w:style>
  <w:style w:type="paragraph" w:customStyle="1" w:styleId="2581">
    <w:name w:val="样式 样式 样式 样式 样式4 + 首行缩进:  0.75 字符 + 首行缩进:  2 字符 + 首行缩进:  2 字符 + 首..."/>
    <w:basedOn w:val="1"/>
    <w:autoRedefine/>
    <w:qFormat/>
    <w:uiPriority w:val="0"/>
    <w:pPr>
      <w:ind w:firstLine="560"/>
    </w:pPr>
    <w:rPr>
      <w:rFonts w:ascii="仿宋_GB2312" w:hAnsi="宋体" w:eastAsia="仿宋_GB2312"/>
      <w:kern w:val="0"/>
      <w:sz w:val="28"/>
    </w:rPr>
  </w:style>
  <w:style w:type="paragraph" w:customStyle="1" w:styleId="2582">
    <w:name w:val="地告正文"/>
    <w:basedOn w:val="1"/>
    <w:autoRedefine/>
    <w:qFormat/>
    <w:uiPriority w:val="0"/>
    <w:pPr>
      <w:spacing w:line="620" w:lineRule="atLeast"/>
    </w:pPr>
    <w:rPr>
      <w:sz w:val="28"/>
      <w:szCs w:val="24"/>
    </w:rPr>
  </w:style>
  <w:style w:type="paragraph" w:customStyle="1" w:styleId="2583">
    <w:name w:val="CM2"/>
    <w:basedOn w:val="1"/>
    <w:next w:val="1"/>
    <w:autoRedefine/>
    <w:qFormat/>
    <w:uiPriority w:val="0"/>
    <w:pPr>
      <w:autoSpaceDE w:val="0"/>
      <w:autoSpaceDN w:val="0"/>
      <w:snapToGrid/>
      <w:spacing w:line="468" w:lineRule="atLeast"/>
      <w:ind w:firstLine="0" w:firstLineChars="0"/>
      <w:jc w:val="left"/>
    </w:pPr>
    <w:rPr>
      <w:kern w:val="0"/>
      <w:szCs w:val="24"/>
    </w:rPr>
  </w:style>
  <w:style w:type="paragraph" w:customStyle="1" w:styleId="2584">
    <w:name w:val="CM3"/>
    <w:basedOn w:val="1"/>
    <w:next w:val="1"/>
    <w:autoRedefine/>
    <w:qFormat/>
    <w:uiPriority w:val="0"/>
    <w:pPr>
      <w:autoSpaceDE w:val="0"/>
      <w:autoSpaceDN w:val="0"/>
      <w:snapToGrid/>
      <w:spacing w:line="468" w:lineRule="atLeast"/>
      <w:ind w:firstLine="0" w:firstLineChars="0"/>
      <w:jc w:val="left"/>
    </w:pPr>
    <w:rPr>
      <w:kern w:val="0"/>
      <w:szCs w:val="24"/>
    </w:rPr>
  </w:style>
  <w:style w:type="paragraph" w:customStyle="1" w:styleId="2585">
    <w:name w:val="CM82"/>
    <w:basedOn w:val="1"/>
    <w:next w:val="1"/>
    <w:autoRedefine/>
    <w:qFormat/>
    <w:uiPriority w:val="0"/>
    <w:pPr>
      <w:autoSpaceDE w:val="0"/>
      <w:autoSpaceDN w:val="0"/>
      <w:snapToGrid/>
      <w:spacing w:line="240" w:lineRule="auto"/>
      <w:ind w:firstLine="0" w:firstLineChars="0"/>
      <w:jc w:val="left"/>
    </w:pPr>
    <w:rPr>
      <w:kern w:val="0"/>
      <w:szCs w:val="24"/>
    </w:rPr>
  </w:style>
  <w:style w:type="paragraph" w:customStyle="1" w:styleId="2586">
    <w:name w:val="CM11"/>
    <w:basedOn w:val="151"/>
    <w:next w:val="151"/>
    <w:autoRedefine/>
    <w:qFormat/>
    <w:uiPriority w:val="0"/>
    <w:pPr>
      <w:spacing w:line="468" w:lineRule="atLeast"/>
    </w:pPr>
    <w:rPr>
      <w:color w:val="auto"/>
    </w:rPr>
  </w:style>
  <w:style w:type="paragraph" w:customStyle="1" w:styleId="2587">
    <w:name w:val="CM81"/>
    <w:basedOn w:val="151"/>
    <w:next w:val="151"/>
    <w:autoRedefine/>
    <w:qFormat/>
    <w:uiPriority w:val="0"/>
    <w:pPr>
      <w:spacing w:after="290"/>
    </w:pPr>
    <w:rPr>
      <w:color w:val="auto"/>
    </w:rPr>
  </w:style>
  <w:style w:type="paragraph" w:customStyle="1" w:styleId="2588">
    <w:name w:val="CM28"/>
    <w:basedOn w:val="151"/>
    <w:next w:val="151"/>
    <w:autoRedefine/>
    <w:qFormat/>
    <w:uiPriority w:val="0"/>
    <w:rPr>
      <w:color w:val="auto"/>
    </w:rPr>
  </w:style>
  <w:style w:type="paragraph" w:customStyle="1" w:styleId="2589">
    <w:name w:val="CM14"/>
    <w:basedOn w:val="151"/>
    <w:next w:val="151"/>
    <w:autoRedefine/>
    <w:qFormat/>
    <w:uiPriority w:val="0"/>
    <w:pPr>
      <w:spacing w:line="468" w:lineRule="atLeast"/>
    </w:pPr>
    <w:rPr>
      <w:color w:val="auto"/>
    </w:rPr>
  </w:style>
  <w:style w:type="paragraph" w:customStyle="1" w:styleId="2590">
    <w:name w:val="CM85"/>
    <w:basedOn w:val="151"/>
    <w:next w:val="151"/>
    <w:autoRedefine/>
    <w:qFormat/>
    <w:uiPriority w:val="0"/>
    <w:pPr>
      <w:spacing w:after="165"/>
    </w:pPr>
    <w:rPr>
      <w:color w:val="auto"/>
    </w:rPr>
  </w:style>
  <w:style w:type="paragraph" w:customStyle="1" w:styleId="2591">
    <w:name w:val="CM86"/>
    <w:basedOn w:val="151"/>
    <w:next w:val="151"/>
    <w:autoRedefine/>
    <w:qFormat/>
    <w:uiPriority w:val="0"/>
    <w:pPr>
      <w:spacing w:after="403"/>
    </w:pPr>
    <w:rPr>
      <w:color w:val="auto"/>
    </w:rPr>
  </w:style>
  <w:style w:type="paragraph" w:customStyle="1" w:styleId="2592">
    <w:name w:val="CM12"/>
    <w:basedOn w:val="151"/>
    <w:next w:val="151"/>
    <w:autoRedefine/>
    <w:qFormat/>
    <w:uiPriority w:val="0"/>
    <w:pPr>
      <w:spacing w:line="468" w:lineRule="atLeast"/>
    </w:pPr>
    <w:rPr>
      <w:color w:val="auto"/>
    </w:rPr>
  </w:style>
  <w:style w:type="paragraph" w:customStyle="1" w:styleId="2593">
    <w:name w:val="CM29"/>
    <w:basedOn w:val="151"/>
    <w:next w:val="151"/>
    <w:autoRedefine/>
    <w:qFormat/>
    <w:uiPriority w:val="0"/>
    <w:pPr>
      <w:spacing w:line="468" w:lineRule="atLeast"/>
    </w:pPr>
    <w:rPr>
      <w:color w:val="auto"/>
    </w:rPr>
  </w:style>
  <w:style w:type="paragraph" w:customStyle="1" w:styleId="2594">
    <w:name w:val="CM93"/>
    <w:basedOn w:val="151"/>
    <w:next w:val="151"/>
    <w:autoRedefine/>
    <w:qFormat/>
    <w:uiPriority w:val="0"/>
    <w:pPr>
      <w:spacing w:after="238"/>
    </w:pPr>
    <w:rPr>
      <w:color w:val="auto"/>
    </w:rPr>
  </w:style>
  <w:style w:type="paragraph" w:customStyle="1" w:styleId="2595">
    <w:name w:val="CM95"/>
    <w:basedOn w:val="151"/>
    <w:next w:val="151"/>
    <w:autoRedefine/>
    <w:qFormat/>
    <w:uiPriority w:val="0"/>
    <w:pPr>
      <w:spacing w:after="528"/>
    </w:pPr>
    <w:rPr>
      <w:color w:val="auto"/>
    </w:rPr>
  </w:style>
  <w:style w:type="paragraph" w:customStyle="1" w:styleId="2596">
    <w:name w:val="CM45"/>
    <w:basedOn w:val="151"/>
    <w:next w:val="151"/>
    <w:autoRedefine/>
    <w:qFormat/>
    <w:uiPriority w:val="0"/>
    <w:pPr>
      <w:spacing w:line="428" w:lineRule="atLeast"/>
    </w:pPr>
    <w:rPr>
      <w:color w:val="auto"/>
    </w:rPr>
  </w:style>
  <w:style w:type="paragraph" w:customStyle="1" w:styleId="2597">
    <w:name w:val="CM67"/>
    <w:basedOn w:val="151"/>
    <w:next w:val="151"/>
    <w:autoRedefine/>
    <w:qFormat/>
    <w:uiPriority w:val="0"/>
    <w:pPr>
      <w:spacing w:line="531" w:lineRule="atLeast"/>
    </w:pPr>
    <w:rPr>
      <w:color w:val="auto"/>
    </w:rPr>
  </w:style>
  <w:style w:type="paragraph" w:customStyle="1" w:styleId="2598">
    <w:name w:val="CM68"/>
    <w:basedOn w:val="151"/>
    <w:next w:val="151"/>
    <w:autoRedefine/>
    <w:qFormat/>
    <w:uiPriority w:val="0"/>
    <w:pPr>
      <w:spacing w:line="533" w:lineRule="atLeast"/>
    </w:pPr>
    <w:rPr>
      <w:color w:val="auto"/>
    </w:rPr>
  </w:style>
  <w:style w:type="character" w:customStyle="1" w:styleId="2599">
    <w:name w:val="款标题1.1.1.1 Char Char"/>
    <w:autoRedefine/>
    <w:qFormat/>
    <w:uiPriority w:val="0"/>
    <w:rPr>
      <w:rFonts w:ascii="仿宋_GB2312" w:eastAsia="仿宋_GB2312"/>
      <w:kern w:val="2"/>
      <w:sz w:val="28"/>
      <w:lang w:val="en-US" w:eastAsia="zh-CN" w:bidi="ar-SA"/>
    </w:rPr>
  </w:style>
  <w:style w:type="character" w:customStyle="1" w:styleId="2600">
    <w:name w:val="标题1.1.1.1.1 Char Char"/>
    <w:autoRedefine/>
    <w:qFormat/>
    <w:uiPriority w:val="0"/>
    <w:rPr>
      <w:rFonts w:ascii="仿宋_GB2312" w:eastAsia="仿宋_GB2312"/>
      <w:b/>
      <w:kern w:val="2"/>
      <w:sz w:val="28"/>
      <w:lang w:val="en-US" w:eastAsia="zh-CN" w:bidi="ar-SA"/>
    </w:rPr>
  </w:style>
  <w:style w:type="character" w:customStyle="1" w:styleId="2601">
    <w:name w:val="项标题(1) Char Char"/>
    <w:autoRedefine/>
    <w:qFormat/>
    <w:uiPriority w:val="0"/>
    <w:rPr>
      <w:rFonts w:ascii="仿宋_GB2312" w:eastAsia="仿宋_GB2312"/>
      <w:b/>
      <w:kern w:val="2"/>
      <w:sz w:val="24"/>
      <w:lang w:val="en-US" w:eastAsia="zh-CN" w:bidi="ar-SA"/>
    </w:rPr>
  </w:style>
  <w:style w:type="character" w:customStyle="1" w:styleId="2602">
    <w:name w:val="目标题 1) Char Char"/>
    <w:autoRedefine/>
    <w:qFormat/>
    <w:uiPriority w:val="0"/>
    <w:rPr>
      <w:rFonts w:ascii="Arial" w:hAnsi="Arial" w:eastAsia="黑体"/>
      <w:kern w:val="2"/>
      <w:sz w:val="24"/>
      <w:lang w:val="en-US" w:eastAsia="zh-CN" w:bidi="ar-SA"/>
    </w:rPr>
  </w:style>
  <w:style w:type="character" w:customStyle="1" w:styleId="2603">
    <w:name w:val="干标题(a) Char Char"/>
    <w:autoRedefine/>
    <w:qFormat/>
    <w:uiPriority w:val="0"/>
    <w:rPr>
      <w:rFonts w:ascii="Arial" w:hAnsi="Arial" w:eastAsia="黑体"/>
      <w:kern w:val="2"/>
      <w:sz w:val="28"/>
      <w:lang w:val="en-US" w:eastAsia="zh-CN" w:bidi="ar-SA"/>
    </w:rPr>
  </w:style>
  <w:style w:type="character" w:customStyle="1" w:styleId="2604">
    <w:name w:val="仿宋体正文 Char Char"/>
    <w:autoRedefine/>
    <w:qFormat/>
    <w:uiPriority w:val="0"/>
    <w:rPr>
      <w:rFonts w:eastAsia="宋体"/>
      <w:kern w:val="2"/>
      <w:sz w:val="28"/>
      <w:lang w:val="en-US" w:eastAsia="zh-CN" w:bidi="ar-SA"/>
    </w:rPr>
  </w:style>
  <w:style w:type="paragraph" w:customStyle="1" w:styleId="2605">
    <w:name w:val="样式 普通(网站) + 段前: 自动 段后: 自动 行距: 最小值 24 磅"/>
    <w:basedOn w:val="81"/>
    <w:autoRedefine/>
    <w:qFormat/>
    <w:uiPriority w:val="0"/>
    <w:pPr>
      <w:spacing w:beforeAutospacing="0" w:afterAutospacing="0" w:line="480" w:lineRule="exact"/>
      <w:ind w:firstLine="200" w:firstLineChars="200"/>
    </w:pPr>
    <w:rPr>
      <w:rFonts w:hAnsi="Times New Roman"/>
      <w:sz w:val="28"/>
      <w:szCs w:val="20"/>
      <w:lang w:val="en-US"/>
    </w:rPr>
  </w:style>
  <w:style w:type="paragraph" w:customStyle="1" w:styleId="2606">
    <w:name w:val="公司名"/>
    <w:basedOn w:val="1"/>
    <w:autoRedefine/>
    <w:qFormat/>
    <w:uiPriority w:val="0"/>
    <w:pPr>
      <w:framePr w:w="3840" w:h="1366" w:wrap="notBeside" w:vAnchor="page" w:hAnchor="margin" w:y="889" w:anchorLock="1"/>
      <w:widowControl/>
      <w:tabs>
        <w:tab w:val="left" w:pos="-145"/>
        <w:tab w:val="left" w:pos="0"/>
        <w:tab w:val="left" w:pos="37"/>
        <w:tab w:val="left" w:pos="580"/>
        <w:tab w:val="left" w:pos="4500"/>
        <w:tab w:val="left" w:pos="5160"/>
      </w:tabs>
      <w:adjustRightInd/>
      <w:snapToGrid/>
      <w:spacing w:line="280" w:lineRule="atLeast"/>
      <w:ind w:firstLine="0" w:firstLineChars="0"/>
      <w:jc w:val="left"/>
    </w:pPr>
    <w:rPr>
      <w:rFonts w:ascii="宋体" w:hAnsi="宋体"/>
      <w:spacing w:val="-25"/>
      <w:kern w:val="0"/>
      <w:sz w:val="18"/>
      <w:szCs w:val="18"/>
    </w:rPr>
  </w:style>
  <w:style w:type="paragraph" w:customStyle="1" w:styleId="2607">
    <w:name w:val="主题行"/>
    <w:basedOn w:val="1"/>
    <w:next w:val="34"/>
    <w:autoRedefine/>
    <w:qFormat/>
    <w:uiPriority w:val="0"/>
    <w:pPr>
      <w:widowControl/>
      <w:tabs>
        <w:tab w:val="left" w:pos="-145"/>
        <w:tab w:val="left" w:pos="0"/>
        <w:tab w:val="left" w:pos="37"/>
        <w:tab w:val="left" w:pos="580"/>
        <w:tab w:val="left" w:pos="4500"/>
        <w:tab w:val="left" w:pos="5160"/>
      </w:tabs>
      <w:adjustRightInd/>
      <w:snapToGrid/>
      <w:spacing w:line="220" w:lineRule="atLeast"/>
      <w:ind w:firstLine="0" w:firstLineChars="0"/>
      <w:jc w:val="left"/>
    </w:pPr>
    <w:rPr>
      <w:rFonts w:ascii="Arial Black" w:hAnsi="Arial Black"/>
      <w:spacing w:val="-10"/>
      <w:kern w:val="0"/>
      <w:sz w:val="20"/>
    </w:rPr>
  </w:style>
  <w:style w:type="paragraph" w:customStyle="1" w:styleId="2608">
    <w:name w:val="样式 样式 (西文) ˎ̥ 四号 左 行距: 最小值 16.75 磅 首行缩进:  2 字符 + 首行缩进:  2 字符1"/>
    <w:basedOn w:val="1"/>
    <w:autoRedefine/>
    <w:qFormat/>
    <w:uiPriority w:val="0"/>
    <w:pPr>
      <w:adjustRightInd/>
      <w:snapToGrid/>
      <w:spacing w:line="360" w:lineRule="auto"/>
      <w:ind w:firstLine="480"/>
      <w:jc w:val="left"/>
    </w:pPr>
    <w:rPr>
      <w:rFonts w:ascii="ˎ̥" w:hAnsi="ˎ̥" w:cs="宋体"/>
      <w:kern w:val="0"/>
    </w:rPr>
  </w:style>
  <w:style w:type="paragraph" w:customStyle="1" w:styleId="2609">
    <w:name w:val="Paragraphy"/>
    <w:basedOn w:val="1"/>
    <w:autoRedefine/>
    <w:qFormat/>
    <w:uiPriority w:val="0"/>
    <w:pPr>
      <w:adjustRightInd/>
      <w:snapToGrid/>
      <w:spacing w:beforeLines="50" w:line="312" w:lineRule="auto"/>
      <w:ind w:firstLine="250" w:firstLineChars="250"/>
    </w:pPr>
    <w:rPr>
      <w:spacing w:val="6"/>
      <w:sz w:val="28"/>
      <w:szCs w:val="24"/>
    </w:rPr>
  </w:style>
  <w:style w:type="character" w:customStyle="1" w:styleId="2610">
    <w:name w:val="文本条款 Char2"/>
    <w:autoRedefine/>
    <w:qFormat/>
    <w:uiPriority w:val="0"/>
    <w:rPr>
      <w:rFonts w:eastAsia="宋体"/>
      <w:kern w:val="2"/>
      <w:sz w:val="21"/>
      <w:lang w:val="en-US" w:eastAsia="zh-CN"/>
    </w:rPr>
  </w:style>
  <w:style w:type="character" w:customStyle="1" w:styleId="2611">
    <w:name w:val="普通文字 Char Char3"/>
    <w:autoRedefine/>
    <w:qFormat/>
    <w:uiPriority w:val="0"/>
    <w:rPr>
      <w:rFonts w:ascii="宋体" w:hAnsi="Courier New" w:eastAsia="宋体"/>
      <w:kern w:val="28"/>
      <w:sz w:val="28"/>
      <w:lang w:val="en-US" w:eastAsia="zh-CN"/>
    </w:rPr>
  </w:style>
  <w:style w:type="character" w:customStyle="1" w:styleId="2612">
    <w:name w:val="文本条款 Char3"/>
    <w:autoRedefine/>
    <w:qFormat/>
    <w:uiPriority w:val="0"/>
    <w:rPr>
      <w:rFonts w:eastAsia="宋体"/>
      <w:kern w:val="2"/>
      <w:sz w:val="21"/>
      <w:lang w:val="en-US" w:eastAsia="zh-CN"/>
    </w:rPr>
  </w:style>
  <w:style w:type="character" w:customStyle="1" w:styleId="2613">
    <w:name w:val="普通文字 Char Char5"/>
    <w:autoRedefine/>
    <w:qFormat/>
    <w:uiPriority w:val="0"/>
    <w:rPr>
      <w:rFonts w:ascii="宋体" w:hAnsi="Courier New" w:eastAsia="宋体"/>
      <w:kern w:val="28"/>
      <w:sz w:val="28"/>
      <w:lang w:val="en-US" w:eastAsia="zh-CN"/>
    </w:rPr>
  </w:style>
  <w:style w:type="character" w:customStyle="1" w:styleId="2614">
    <w:name w:val="样式 正文缩进 + 首行缩进:  2 字符 Char"/>
    <w:link w:val="1189"/>
    <w:autoRedefine/>
    <w:qFormat/>
    <w:uiPriority w:val="0"/>
    <w:rPr>
      <w:snapToGrid w:val="0"/>
      <w:sz w:val="28"/>
      <w:lang w:val="zh-CN"/>
    </w:rPr>
  </w:style>
  <w:style w:type="character" w:customStyle="1" w:styleId="2615">
    <w:name w:val="文本条款 Char4"/>
    <w:autoRedefine/>
    <w:qFormat/>
    <w:uiPriority w:val="0"/>
    <w:rPr>
      <w:rFonts w:ascii="Times New Roman" w:hAnsi="Times New Roman" w:eastAsia="宋体" w:cs="Times New Roman"/>
      <w:szCs w:val="20"/>
    </w:rPr>
  </w:style>
  <w:style w:type="character" w:customStyle="1" w:styleId="2616">
    <w:name w:val="普通文字 Char Char7"/>
    <w:autoRedefine/>
    <w:qFormat/>
    <w:uiPriority w:val="0"/>
    <w:rPr>
      <w:rFonts w:ascii="宋体" w:hAnsi="Courier New" w:eastAsia="宋体"/>
      <w:kern w:val="28"/>
      <w:sz w:val="28"/>
    </w:rPr>
  </w:style>
  <w:style w:type="character" w:customStyle="1" w:styleId="2617">
    <w:name w:val="Char Char19"/>
    <w:autoRedefine/>
    <w:qFormat/>
    <w:uiPriority w:val="0"/>
    <w:rPr>
      <w:rFonts w:ascii="Cambria" w:hAnsi="Cambria" w:eastAsia="宋体"/>
      <w:b/>
      <w:kern w:val="28"/>
      <w:sz w:val="32"/>
    </w:rPr>
  </w:style>
  <w:style w:type="character" w:customStyle="1" w:styleId="2618">
    <w:name w:val="样式15 Char"/>
    <w:link w:val="1133"/>
    <w:autoRedefine/>
    <w:qFormat/>
    <w:uiPriority w:val="0"/>
    <w:rPr>
      <w:rFonts w:ascii="宋体" w:hAnsi="Calibri"/>
      <w:sz w:val="26"/>
      <w:szCs w:val="26"/>
    </w:rPr>
  </w:style>
  <w:style w:type="character" w:customStyle="1" w:styleId="2619">
    <w:name w:val="样式17 Char"/>
    <w:link w:val="1459"/>
    <w:autoRedefine/>
    <w:qFormat/>
    <w:uiPriority w:val="0"/>
    <w:rPr>
      <w:bCs/>
      <w:snapToGrid w:val="0"/>
      <w:spacing w:val="8"/>
      <w:kern w:val="2"/>
      <w:sz w:val="28"/>
      <w:szCs w:val="28"/>
    </w:rPr>
  </w:style>
  <w:style w:type="paragraph" w:customStyle="1" w:styleId="2620">
    <w:name w:val="样式 标题 2标题 2 Char Char + 小三"/>
    <w:basedOn w:val="4"/>
    <w:link w:val="2621"/>
    <w:autoRedefine/>
    <w:qFormat/>
    <w:uiPriority w:val="0"/>
    <w:pPr>
      <w:numPr>
        <w:ilvl w:val="0"/>
        <w:numId w:val="0"/>
      </w:numPr>
      <w:spacing w:before="260" w:after="260" w:line="288" w:lineRule="auto"/>
    </w:pPr>
    <w:rPr>
      <w:sz w:val="30"/>
      <w:szCs w:val="20"/>
      <w:lang w:val="en-US"/>
    </w:rPr>
  </w:style>
  <w:style w:type="character" w:customStyle="1" w:styleId="2621">
    <w:name w:val="样式 标题 2标题 2 Char Char + 小三 Char"/>
    <w:link w:val="2620"/>
    <w:autoRedefine/>
    <w:qFormat/>
    <w:uiPriority w:val="0"/>
    <w:rPr>
      <w:b/>
      <w:bCs/>
      <w:kern w:val="2"/>
      <w:sz w:val="30"/>
    </w:rPr>
  </w:style>
  <w:style w:type="paragraph" w:customStyle="1" w:styleId="2622">
    <w:name w:val="默认段落字体 Para Char Char Char Char Char Char Char Char Char Char Char Char Char Char Char Char Char"/>
    <w:basedOn w:val="1"/>
    <w:autoRedefine/>
    <w:qFormat/>
    <w:uiPriority w:val="0"/>
    <w:pPr>
      <w:adjustRightInd/>
      <w:snapToGrid/>
      <w:spacing w:line="240" w:lineRule="auto"/>
      <w:ind w:firstLine="0" w:firstLineChars="0"/>
    </w:pPr>
    <w:rPr>
      <w:rFonts w:ascii="Tahoma" w:hAnsi="Tahoma"/>
    </w:rPr>
  </w:style>
  <w:style w:type="character" w:customStyle="1" w:styleId="2623">
    <w:name w:val="报告书表头 Char"/>
    <w:autoRedefine/>
    <w:qFormat/>
    <w:uiPriority w:val="0"/>
    <w:rPr>
      <w:rFonts w:ascii="Arial" w:hAnsi="Arial" w:eastAsia="黑体" w:cs="Arial"/>
      <w:b/>
      <w:color w:val="000000"/>
      <w:spacing w:val="2"/>
      <w:kern w:val="28"/>
      <w:sz w:val="24"/>
      <w:szCs w:val="24"/>
    </w:rPr>
  </w:style>
  <w:style w:type="paragraph" w:customStyle="1" w:styleId="2624">
    <w:name w:val="标题001"/>
    <w:basedOn w:val="1"/>
    <w:link w:val="2625"/>
    <w:autoRedefine/>
    <w:qFormat/>
    <w:uiPriority w:val="0"/>
    <w:pPr>
      <w:adjustRightInd/>
      <w:snapToGrid/>
      <w:ind w:firstLine="0" w:firstLineChars="0"/>
      <w:outlineLvl w:val="0"/>
    </w:pPr>
    <w:rPr>
      <w:b/>
      <w:sz w:val="32"/>
      <w:lang w:val="zh-CN"/>
    </w:rPr>
  </w:style>
  <w:style w:type="character" w:customStyle="1" w:styleId="2625">
    <w:name w:val="标题001 Char"/>
    <w:link w:val="2624"/>
    <w:autoRedefine/>
    <w:qFormat/>
    <w:uiPriority w:val="0"/>
    <w:rPr>
      <w:b/>
      <w:kern w:val="2"/>
      <w:sz w:val="32"/>
      <w:lang w:val="zh-CN"/>
    </w:rPr>
  </w:style>
  <w:style w:type="paragraph" w:customStyle="1" w:styleId="2626">
    <w:name w:val="样式222"/>
    <w:basedOn w:val="202"/>
    <w:autoRedefine/>
    <w:qFormat/>
    <w:uiPriority w:val="0"/>
    <w:pPr>
      <w:keepNext/>
      <w:keepLines/>
      <w:widowControl/>
      <w:adjustRightInd/>
      <w:snapToGrid/>
      <w:spacing w:before="340" w:after="330" w:line="360" w:lineRule="auto"/>
      <w:jc w:val="both"/>
      <w:textAlignment w:val="auto"/>
      <w:outlineLvl w:val="1"/>
    </w:pPr>
    <w:rPr>
      <w:rFonts w:ascii="Times New Roman"/>
      <w:kern w:val="0"/>
      <w:sz w:val="30"/>
      <w:szCs w:val="30"/>
      <w:lang w:val="en-US"/>
    </w:rPr>
  </w:style>
  <w:style w:type="paragraph" w:customStyle="1" w:styleId="2627">
    <w:name w:val="标题02"/>
    <w:basedOn w:val="4"/>
    <w:next w:val="819"/>
    <w:link w:val="2628"/>
    <w:autoRedefine/>
    <w:qFormat/>
    <w:uiPriority w:val="0"/>
    <w:pPr>
      <w:numPr>
        <w:ilvl w:val="0"/>
        <w:numId w:val="0"/>
      </w:numPr>
      <w:spacing w:before="260" w:after="260" w:line="360" w:lineRule="auto"/>
    </w:pPr>
    <w:rPr>
      <w:bCs w:val="0"/>
      <w:sz w:val="32"/>
      <w:szCs w:val="20"/>
      <w:lang w:val="en-US"/>
    </w:rPr>
  </w:style>
  <w:style w:type="character" w:customStyle="1" w:styleId="2628">
    <w:name w:val="标题02 Char"/>
    <w:link w:val="2627"/>
    <w:autoRedefine/>
    <w:qFormat/>
    <w:uiPriority w:val="0"/>
    <w:rPr>
      <w:b/>
      <w:kern w:val="2"/>
      <w:sz w:val="32"/>
    </w:rPr>
  </w:style>
  <w:style w:type="paragraph" w:customStyle="1" w:styleId="2629">
    <w:name w:val="新正文"/>
    <w:basedOn w:val="1"/>
    <w:link w:val="2630"/>
    <w:autoRedefine/>
    <w:qFormat/>
    <w:uiPriority w:val="0"/>
    <w:pPr>
      <w:adjustRightInd/>
      <w:snapToGrid/>
      <w:spacing w:line="460" w:lineRule="exact"/>
    </w:pPr>
  </w:style>
  <w:style w:type="character" w:customStyle="1" w:styleId="2630">
    <w:name w:val="新正文 Char"/>
    <w:link w:val="2629"/>
    <w:autoRedefine/>
    <w:qFormat/>
    <w:uiPriority w:val="0"/>
    <w:rPr>
      <w:kern w:val="2"/>
      <w:sz w:val="24"/>
    </w:rPr>
  </w:style>
  <w:style w:type="character" w:customStyle="1" w:styleId="2631">
    <w:name w:val="djen2"/>
    <w:autoRedefine/>
    <w:qFormat/>
    <w:uiPriority w:val="0"/>
    <w:rPr>
      <w:color w:val="3476CD"/>
    </w:rPr>
  </w:style>
  <w:style w:type="paragraph" w:customStyle="1" w:styleId="2632">
    <w:name w:val="一一一"/>
    <w:basedOn w:val="2163"/>
    <w:autoRedefine/>
    <w:qFormat/>
    <w:uiPriority w:val="0"/>
    <w:pPr>
      <w:keepNext/>
      <w:widowControl w:val="0"/>
      <w:tabs>
        <w:tab w:val="clear" w:pos="425"/>
        <w:tab w:val="clear" w:pos="9720"/>
      </w:tabs>
      <w:ind w:left="0" w:firstLine="643"/>
      <w:jc w:val="both"/>
      <w:outlineLvl w:val="0"/>
    </w:pPr>
    <w:rPr>
      <w:rFonts w:ascii="宋体" w:hAnsi="宋体"/>
      <w:kern w:val="2"/>
      <w:sz w:val="32"/>
      <w:szCs w:val="24"/>
    </w:rPr>
  </w:style>
  <w:style w:type="paragraph" w:customStyle="1" w:styleId="2633">
    <w:name w:val="二二二"/>
    <w:basedOn w:val="2164"/>
    <w:autoRedefine/>
    <w:qFormat/>
    <w:uiPriority w:val="0"/>
    <w:pPr>
      <w:keepNext/>
      <w:keepLines/>
      <w:widowControl w:val="0"/>
      <w:autoSpaceDE w:val="0"/>
      <w:autoSpaceDN w:val="0"/>
      <w:adjustRightInd w:val="0"/>
      <w:spacing w:before="260" w:after="260" w:line="416" w:lineRule="auto"/>
      <w:jc w:val="both"/>
      <w:textAlignment w:val="baseline"/>
      <w:outlineLvl w:val="1"/>
    </w:pPr>
    <w:rPr>
      <w:rFonts w:ascii="Arial" w:hAnsi="Arial" w:eastAsia="黑体"/>
      <w:bCs/>
      <w:color w:val="000000"/>
      <w:kern w:val="2"/>
      <w:sz w:val="24"/>
      <w:szCs w:val="32"/>
    </w:rPr>
  </w:style>
  <w:style w:type="paragraph" w:customStyle="1" w:styleId="2634">
    <w:name w:val="2.1"/>
    <w:basedOn w:val="2633"/>
    <w:autoRedefine/>
    <w:qFormat/>
    <w:uiPriority w:val="0"/>
    <w:pPr>
      <w:ind w:left="1320" w:hanging="420"/>
    </w:pPr>
  </w:style>
  <w:style w:type="paragraph" w:customStyle="1" w:styleId="2635">
    <w:name w:val="cucd-TB"/>
    <w:link w:val="3321"/>
    <w:autoRedefine/>
    <w:qFormat/>
    <w:uiPriority w:val="0"/>
    <w:pPr>
      <w:spacing w:line="360" w:lineRule="auto"/>
      <w:jc w:val="center"/>
    </w:pPr>
    <w:rPr>
      <w:rFonts w:ascii="Times New Roman" w:hAnsi="Times New Roman" w:eastAsia="宋体" w:cs="Times New Roman"/>
      <w:kern w:val="2"/>
      <w:sz w:val="21"/>
      <w:szCs w:val="24"/>
      <w:lang w:val="en-US" w:eastAsia="zh-CN" w:bidi="ar-SA"/>
    </w:rPr>
  </w:style>
  <w:style w:type="paragraph" w:customStyle="1" w:styleId="2636">
    <w:name w:val="样式 表格文字 Char + 段前: 0.5 行"/>
    <w:basedOn w:val="1"/>
    <w:autoRedefine/>
    <w:qFormat/>
    <w:uiPriority w:val="0"/>
    <w:pPr>
      <w:adjustRightInd/>
      <w:snapToGrid/>
      <w:spacing w:beforeLines="50" w:line="240" w:lineRule="auto"/>
      <w:ind w:firstLine="0" w:firstLineChars="0"/>
      <w:jc w:val="center"/>
    </w:pPr>
  </w:style>
  <w:style w:type="paragraph" w:customStyle="1" w:styleId="2637">
    <w:name w:val="一级"/>
    <w:basedOn w:val="425"/>
    <w:link w:val="3148"/>
    <w:autoRedefine/>
    <w:qFormat/>
    <w:uiPriority w:val="0"/>
    <w:pPr>
      <w:widowControl w:val="0"/>
      <w:tabs>
        <w:tab w:val="left" w:pos="720"/>
      </w:tabs>
      <w:spacing w:line="360" w:lineRule="auto"/>
      <w:ind w:left="720" w:hanging="720"/>
      <w:jc w:val="both"/>
    </w:pPr>
    <w:rPr>
      <w:rFonts w:ascii="楷体_GB2312" w:eastAsia="楷体_GB2312"/>
      <w:b/>
      <w:color w:val="000000"/>
      <w:kern w:val="2"/>
      <w:sz w:val="28"/>
      <w:szCs w:val="28"/>
      <w:lang w:val="en-US"/>
    </w:rPr>
  </w:style>
  <w:style w:type="paragraph" w:customStyle="1" w:styleId="2638">
    <w:name w:val="正文+8"/>
    <w:basedOn w:val="1"/>
    <w:next w:val="1"/>
    <w:autoRedefine/>
    <w:qFormat/>
    <w:uiPriority w:val="0"/>
    <w:pPr>
      <w:autoSpaceDE w:val="0"/>
      <w:autoSpaceDN w:val="0"/>
      <w:snapToGrid/>
      <w:spacing w:line="240" w:lineRule="auto"/>
      <w:ind w:firstLine="0" w:firstLineChars="0"/>
      <w:jc w:val="left"/>
    </w:pPr>
    <w:rPr>
      <w:rFonts w:ascii="宋体"/>
      <w:kern w:val="0"/>
      <w:szCs w:val="24"/>
    </w:rPr>
  </w:style>
  <w:style w:type="paragraph" w:customStyle="1" w:styleId="2639">
    <w:name w:val="一级级"/>
    <w:basedOn w:val="1"/>
    <w:autoRedefine/>
    <w:qFormat/>
    <w:uiPriority w:val="0"/>
    <w:pPr>
      <w:tabs>
        <w:tab w:val="left" w:pos="210"/>
      </w:tabs>
      <w:adjustRightInd/>
      <w:snapToGrid/>
      <w:spacing w:line="480" w:lineRule="auto"/>
      <w:ind w:firstLine="0" w:firstLineChars="0"/>
      <w:jc w:val="center"/>
    </w:pPr>
    <w:rPr>
      <w:rFonts w:ascii="楷体_GB2312" w:hAnsi="宋体" w:eastAsia="楷体_GB2312"/>
      <w:b/>
      <w:sz w:val="44"/>
      <w:szCs w:val="44"/>
    </w:rPr>
  </w:style>
  <w:style w:type="paragraph" w:customStyle="1" w:styleId="2640">
    <w:name w:val="二鸡鸡"/>
    <w:basedOn w:val="3"/>
    <w:autoRedefine/>
    <w:qFormat/>
    <w:uiPriority w:val="0"/>
    <w:pPr>
      <w:keepLines w:val="0"/>
      <w:numPr>
        <w:numId w:val="0"/>
      </w:numPr>
      <w:adjustRightInd/>
      <w:snapToGrid/>
      <w:spacing w:before="340" w:after="330" w:line="240" w:lineRule="auto"/>
      <w:jc w:val="both"/>
    </w:pPr>
    <w:rPr>
      <w:rFonts w:ascii="宋体" w:hAnsi="宋体" w:eastAsia="黑体"/>
      <w:b w:val="0"/>
      <w:bCs w:val="0"/>
      <w:kern w:val="2"/>
      <w:sz w:val="32"/>
      <w:szCs w:val="24"/>
      <w:lang w:val="en-US"/>
    </w:rPr>
  </w:style>
  <w:style w:type="paragraph" w:customStyle="1" w:styleId="2641">
    <w:name w:val="三鸡鸡"/>
    <w:basedOn w:val="4"/>
    <w:autoRedefine/>
    <w:qFormat/>
    <w:uiPriority w:val="0"/>
    <w:pPr>
      <w:numPr>
        <w:ilvl w:val="0"/>
        <w:numId w:val="0"/>
      </w:numPr>
      <w:autoSpaceDE w:val="0"/>
      <w:autoSpaceDN w:val="0"/>
      <w:spacing w:before="260" w:after="260" w:line="415" w:lineRule="auto"/>
      <w:ind w:left="1320" w:hanging="420"/>
      <w:textAlignment w:val="baseline"/>
    </w:pPr>
    <w:rPr>
      <w:rFonts w:ascii="Arial" w:hAnsi="Arial" w:eastAsia="黑体"/>
      <w:color w:val="000000"/>
      <w:lang w:val="en-US"/>
    </w:rPr>
  </w:style>
  <w:style w:type="paragraph" w:customStyle="1" w:styleId="2642">
    <w:name w:val="一二鸡鸡"/>
    <w:basedOn w:val="2634"/>
    <w:autoRedefine/>
    <w:qFormat/>
    <w:uiPriority w:val="0"/>
  </w:style>
  <w:style w:type="paragraph" w:customStyle="1" w:styleId="2643">
    <w:name w:val="二二鸡鸡"/>
    <w:basedOn w:val="3"/>
    <w:autoRedefine/>
    <w:qFormat/>
    <w:uiPriority w:val="0"/>
    <w:pPr>
      <w:keepLines w:val="0"/>
      <w:numPr>
        <w:numId w:val="0"/>
      </w:numPr>
      <w:adjustRightInd/>
      <w:snapToGrid/>
      <w:spacing w:before="340" w:after="330" w:line="240" w:lineRule="auto"/>
      <w:jc w:val="both"/>
    </w:pPr>
    <w:rPr>
      <w:rFonts w:ascii="宋体" w:hAnsi="宋体" w:eastAsia="黑体"/>
      <w:b w:val="0"/>
      <w:bCs w:val="0"/>
      <w:kern w:val="2"/>
      <w:sz w:val="32"/>
      <w:szCs w:val="24"/>
      <w:lang w:val="en-US"/>
    </w:rPr>
  </w:style>
  <w:style w:type="paragraph" w:customStyle="1" w:styleId="2644">
    <w:name w:val="二三鸡鸡"/>
    <w:basedOn w:val="2164"/>
    <w:autoRedefine/>
    <w:qFormat/>
    <w:uiPriority w:val="0"/>
    <w:pPr>
      <w:keepNext/>
      <w:keepLines/>
      <w:widowControl w:val="0"/>
      <w:autoSpaceDE w:val="0"/>
      <w:autoSpaceDN w:val="0"/>
      <w:adjustRightInd w:val="0"/>
      <w:spacing w:before="260" w:after="260" w:line="416" w:lineRule="auto"/>
      <w:jc w:val="both"/>
      <w:textAlignment w:val="baseline"/>
      <w:outlineLvl w:val="1"/>
    </w:pPr>
    <w:rPr>
      <w:rFonts w:ascii="楷体_GB2312" w:hAnsi="Arial" w:eastAsia="楷体_GB2312"/>
      <w:bCs/>
      <w:color w:val="000000"/>
      <w:kern w:val="2"/>
      <w:sz w:val="24"/>
      <w:szCs w:val="32"/>
    </w:rPr>
  </w:style>
  <w:style w:type="paragraph" w:customStyle="1" w:styleId="2645">
    <w:name w:val="二二二鸡鸡"/>
    <w:basedOn w:val="202"/>
    <w:autoRedefine/>
    <w:qFormat/>
    <w:uiPriority w:val="0"/>
    <w:pPr>
      <w:keepNext/>
      <w:keepLines/>
      <w:tabs>
        <w:tab w:val="left" w:pos="425"/>
      </w:tabs>
      <w:autoSpaceDE w:val="0"/>
      <w:autoSpaceDN w:val="0"/>
      <w:snapToGrid/>
      <w:spacing w:before="260" w:after="260" w:line="415" w:lineRule="auto"/>
      <w:ind w:left="425" w:hanging="425"/>
      <w:jc w:val="both"/>
      <w:textAlignment w:val="auto"/>
      <w:outlineLvl w:val="1"/>
    </w:pPr>
    <w:rPr>
      <w:rFonts w:ascii="Arial" w:hAnsi="Arial" w:eastAsia="黑体"/>
      <w:b/>
      <w:bCs/>
      <w:color w:val="000000"/>
      <w:sz w:val="24"/>
      <w:szCs w:val="32"/>
      <w:lang w:val="en-US"/>
    </w:rPr>
  </w:style>
  <w:style w:type="paragraph" w:customStyle="1" w:styleId="2646">
    <w:name w:val="tgt2"/>
    <w:basedOn w:val="1"/>
    <w:autoRedefine/>
    <w:qFormat/>
    <w:uiPriority w:val="0"/>
    <w:pPr>
      <w:widowControl/>
      <w:adjustRightInd/>
      <w:snapToGrid/>
      <w:spacing w:line="360" w:lineRule="auto"/>
      <w:ind w:firstLine="0" w:firstLineChars="0"/>
      <w:jc w:val="left"/>
    </w:pPr>
    <w:rPr>
      <w:rFonts w:ascii="宋体" w:hAnsi="宋体" w:cs="宋体"/>
      <w:b/>
      <w:bCs/>
      <w:kern w:val="0"/>
      <w:sz w:val="36"/>
      <w:szCs w:val="36"/>
    </w:rPr>
  </w:style>
  <w:style w:type="paragraph" w:customStyle="1" w:styleId="2647">
    <w:name w:val="Char Char Char Char Char Char Char Char Char1 Char Char Char Char Char Char Char"/>
    <w:basedOn w:val="26"/>
    <w:autoRedefine/>
    <w:qFormat/>
    <w:uiPriority w:val="0"/>
    <w:pPr>
      <w:shd w:val="clear" w:color="auto" w:fill="000080"/>
      <w:adjustRightInd/>
      <w:snapToGrid/>
      <w:spacing w:line="240" w:lineRule="auto"/>
      <w:ind w:firstLine="0" w:firstLineChars="0"/>
    </w:pPr>
    <w:rPr>
      <w:sz w:val="21"/>
      <w:szCs w:val="20"/>
      <w:lang w:val="en-US"/>
    </w:rPr>
  </w:style>
  <w:style w:type="paragraph" w:customStyle="1" w:styleId="2648">
    <w:name w:val="Char Char1 Char Char"/>
    <w:basedOn w:val="1"/>
    <w:autoRedefine/>
    <w:qFormat/>
    <w:uiPriority w:val="0"/>
    <w:pPr>
      <w:adjustRightInd/>
      <w:snapToGrid/>
      <w:spacing w:line="240" w:lineRule="auto"/>
      <w:ind w:firstLine="0" w:firstLineChars="0"/>
    </w:pPr>
    <w:rPr>
      <w:sz w:val="21"/>
      <w:szCs w:val="24"/>
    </w:rPr>
  </w:style>
  <w:style w:type="paragraph" w:customStyle="1" w:styleId="2649">
    <w:name w:val="第二节"/>
    <w:basedOn w:val="1"/>
    <w:autoRedefine/>
    <w:qFormat/>
    <w:uiPriority w:val="0"/>
    <w:pPr>
      <w:numPr>
        <w:ilvl w:val="0"/>
        <w:numId w:val="16"/>
      </w:numPr>
      <w:autoSpaceDE w:val="0"/>
      <w:autoSpaceDN w:val="0"/>
      <w:snapToGrid/>
      <w:spacing w:line="360" w:lineRule="auto"/>
      <w:ind w:firstLine="0" w:firstLineChars="0"/>
      <w:jc w:val="left"/>
      <w:textAlignment w:val="baseline"/>
    </w:pPr>
    <w:rPr>
      <w:rFonts w:ascii="宋体" w:hAnsi="宋体"/>
      <w:color w:val="FF0000"/>
      <w:kern w:val="0"/>
      <w:sz w:val="28"/>
      <w:szCs w:val="28"/>
    </w:rPr>
  </w:style>
  <w:style w:type="character" w:customStyle="1" w:styleId="2650">
    <w:name w:val="st1"/>
    <w:basedOn w:val="133"/>
    <w:autoRedefine/>
    <w:qFormat/>
    <w:uiPriority w:val="0"/>
  </w:style>
  <w:style w:type="paragraph" w:customStyle="1" w:styleId="2651">
    <w:name w:val="三级D六"/>
    <w:basedOn w:val="2644"/>
    <w:autoRedefine/>
    <w:qFormat/>
    <w:uiPriority w:val="0"/>
    <w:pPr>
      <w:tabs>
        <w:tab w:val="left" w:pos="600"/>
      </w:tabs>
      <w:ind w:left="600" w:hanging="600"/>
    </w:pPr>
  </w:style>
  <w:style w:type="paragraph" w:customStyle="1" w:styleId="2652">
    <w:name w:val="三级D七"/>
    <w:basedOn w:val="2644"/>
    <w:autoRedefine/>
    <w:qFormat/>
    <w:uiPriority w:val="0"/>
    <w:pPr>
      <w:tabs>
        <w:tab w:val="left" w:pos="600"/>
      </w:tabs>
      <w:spacing w:line="360" w:lineRule="auto"/>
      <w:ind w:left="600" w:hanging="600"/>
    </w:pPr>
  </w:style>
  <w:style w:type="character" w:customStyle="1" w:styleId="2653">
    <w:name w:val="fontstyle01"/>
    <w:autoRedefine/>
    <w:qFormat/>
    <w:uiPriority w:val="0"/>
    <w:rPr>
      <w:rFonts w:hint="eastAsia" w:ascii="宋体" w:hAnsi="宋体" w:eastAsia="宋体"/>
      <w:color w:val="000000"/>
      <w:sz w:val="24"/>
      <w:szCs w:val="24"/>
    </w:rPr>
  </w:style>
  <w:style w:type="paragraph" w:customStyle="1" w:styleId="2654">
    <w:name w:val="样式23"/>
    <w:basedOn w:val="1"/>
    <w:link w:val="2655"/>
    <w:autoRedefine/>
    <w:qFormat/>
    <w:uiPriority w:val="0"/>
    <w:pPr>
      <w:adjustRightInd/>
      <w:snapToGrid/>
      <w:spacing w:line="360" w:lineRule="auto"/>
      <w:ind w:firstLine="480"/>
      <w:jc w:val="left"/>
    </w:pPr>
    <w:rPr>
      <w:rFonts w:ascii="宋体" w:hAnsi="宋体"/>
      <w:color w:val="000000"/>
      <w:szCs w:val="24"/>
      <w:lang w:val="zh-CN"/>
    </w:rPr>
  </w:style>
  <w:style w:type="character" w:customStyle="1" w:styleId="2655">
    <w:name w:val="样式23 Char"/>
    <w:link w:val="2654"/>
    <w:autoRedefine/>
    <w:qFormat/>
    <w:uiPriority w:val="0"/>
    <w:rPr>
      <w:rFonts w:ascii="宋体" w:hAnsi="宋体"/>
      <w:color w:val="000000"/>
      <w:kern w:val="2"/>
      <w:sz w:val="24"/>
      <w:szCs w:val="24"/>
      <w:lang w:val="zh-CN"/>
    </w:rPr>
  </w:style>
  <w:style w:type="paragraph" w:customStyle="1" w:styleId="2656">
    <w:name w:val="小四表文居中"/>
    <w:autoRedefine/>
    <w:qFormat/>
    <w:uiPriority w:val="0"/>
    <w:pPr>
      <w:widowControl w:val="0"/>
      <w:jc w:val="center"/>
    </w:pPr>
    <w:rPr>
      <w:rFonts w:ascii="仿宋_GB2312" w:hAnsi="Times New Roman" w:eastAsia="仿宋_GB2312" w:cs="Times New Roman"/>
      <w:kern w:val="2"/>
      <w:sz w:val="24"/>
      <w:szCs w:val="24"/>
      <w:lang w:val="en-US" w:eastAsia="zh-CN" w:bidi="ar-SA"/>
    </w:rPr>
  </w:style>
  <w:style w:type="paragraph" w:customStyle="1" w:styleId="2657">
    <w:name w:val="标题002"/>
    <w:basedOn w:val="1"/>
    <w:autoRedefine/>
    <w:qFormat/>
    <w:uiPriority w:val="0"/>
    <w:pPr>
      <w:adjustRightInd/>
      <w:snapToGrid/>
      <w:ind w:firstLine="0" w:firstLineChars="0"/>
      <w:outlineLvl w:val="1"/>
    </w:pPr>
    <w:rPr>
      <w:b/>
      <w:sz w:val="28"/>
    </w:rPr>
  </w:style>
  <w:style w:type="paragraph" w:customStyle="1" w:styleId="2658">
    <w:name w:val="样式111"/>
    <w:basedOn w:val="2624"/>
    <w:autoRedefine/>
    <w:qFormat/>
    <w:uiPriority w:val="0"/>
    <w:pPr>
      <w:spacing w:beforeLines="100" w:afterLines="100" w:line="360" w:lineRule="auto"/>
      <w:jc w:val="center"/>
    </w:pPr>
    <w:rPr>
      <w:sz w:val="44"/>
      <w:szCs w:val="44"/>
    </w:rPr>
  </w:style>
  <w:style w:type="paragraph" w:customStyle="1" w:styleId="2659">
    <w:name w:val="正文001"/>
    <w:basedOn w:val="1"/>
    <w:link w:val="2661"/>
    <w:autoRedefine/>
    <w:qFormat/>
    <w:uiPriority w:val="0"/>
    <w:pPr>
      <w:adjustRightInd/>
      <w:snapToGrid/>
      <w:spacing w:line="420" w:lineRule="exact"/>
      <w:ind w:firstLine="482" w:firstLineChars="0"/>
    </w:pPr>
  </w:style>
  <w:style w:type="character" w:customStyle="1" w:styleId="2660">
    <w:name w:val="正文小四 Char"/>
    <w:link w:val="2357"/>
    <w:autoRedefine/>
    <w:qFormat/>
    <w:locked/>
    <w:uiPriority w:val="0"/>
    <w:rPr>
      <w:kern w:val="2"/>
      <w:sz w:val="24"/>
    </w:rPr>
  </w:style>
  <w:style w:type="character" w:customStyle="1" w:styleId="2661">
    <w:name w:val="正文001 Char"/>
    <w:link w:val="2659"/>
    <w:autoRedefine/>
    <w:qFormat/>
    <w:uiPriority w:val="0"/>
    <w:rPr>
      <w:kern w:val="2"/>
      <w:sz w:val="24"/>
    </w:rPr>
  </w:style>
  <w:style w:type="paragraph" w:customStyle="1" w:styleId="2662">
    <w:name w:val="11"/>
    <w:autoRedefine/>
    <w:qFormat/>
    <w:uiPriority w:val="0"/>
    <w:rPr>
      <w:rFonts w:ascii="Calibri" w:hAnsi="Calibri" w:eastAsia="宋体" w:cs="Times New Roman"/>
      <w:kern w:val="2"/>
      <w:sz w:val="21"/>
      <w:szCs w:val="22"/>
      <w:lang w:val="en-US" w:eastAsia="zh-CN" w:bidi="ar-SA"/>
    </w:rPr>
  </w:style>
  <w:style w:type="paragraph" w:customStyle="1" w:styleId="2663">
    <w:name w:val="zhang正文"/>
    <w:basedOn w:val="35"/>
    <w:autoRedefine/>
    <w:qFormat/>
    <w:uiPriority w:val="0"/>
    <w:pPr>
      <w:autoSpaceDE w:val="0"/>
      <w:autoSpaceDN w:val="0"/>
      <w:spacing w:line="500" w:lineRule="exact"/>
      <w:ind w:left="0" w:leftChars="0" w:firstLine="539" w:firstLineChars="0"/>
      <w:textAlignment w:val="baseline"/>
    </w:pPr>
    <w:rPr>
      <w:rFonts w:eastAsia="楷体_GB2312"/>
      <w:sz w:val="28"/>
      <w:lang w:val="en-US"/>
    </w:rPr>
  </w:style>
  <w:style w:type="paragraph" w:customStyle="1" w:styleId="2664">
    <w:name w:val="标1"/>
    <w:basedOn w:val="1"/>
    <w:link w:val="2796"/>
    <w:autoRedefine/>
    <w:qFormat/>
    <w:uiPriority w:val="0"/>
    <w:pPr>
      <w:adjustRightInd/>
      <w:snapToGrid/>
      <w:spacing w:line="460" w:lineRule="exact"/>
      <w:ind w:firstLine="0" w:firstLineChars="0"/>
      <w:outlineLvl w:val="0"/>
    </w:pPr>
    <w:rPr>
      <w:b/>
      <w:sz w:val="32"/>
    </w:rPr>
  </w:style>
  <w:style w:type="paragraph" w:customStyle="1" w:styleId="2665">
    <w:name w:val="表内5"/>
    <w:basedOn w:val="1"/>
    <w:autoRedefine/>
    <w:qFormat/>
    <w:uiPriority w:val="0"/>
    <w:pPr>
      <w:tabs>
        <w:tab w:val="left" w:pos="4680"/>
      </w:tabs>
      <w:spacing w:line="400" w:lineRule="exact"/>
      <w:ind w:firstLine="0" w:firstLineChars="0"/>
      <w:jc w:val="center"/>
    </w:pPr>
    <w:rPr>
      <w:color w:val="FF0000"/>
      <w:sz w:val="21"/>
      <w:szCs w:val="21"/>
    </w:rPr>
  </w:style>
  <w:style w:type="paragraph" w:customStyle="1" w:styleId="2666">
    <w:name w:val="样式 (符号) 宋体 小四 首行缩进:  0.85 厘米 行距: 1.5 倍行距"/>
    <w:basedOn w:val="1"/>
    <w:autoRedefine/>
    <w:qFormat/>
    <w:uiPriority w:val="0"/>
    <w:pPr>
      <w:adjustRightInd/>
      <w:snapToGrid/>
      <w:spacing w:line="360" w:lineRule="auto"/>
      <w:ind w:firstLine="480" w:firstLineChars="0"/>
    </w:pPr>
    <w:rPr>
      <w:rFonts w:cs="宋体"/>
      <w:kern w:val="0"/>
    </w:rPr>
  </w:style>
  <w:style w:type="paragraph" w:customStyle="1" w:styleId="2667">
    <w:name w:val="样式 首行缩进:  0.77 厘米 段前: 7.8 磅 段后: 0.5 行"/>
    <w:basedOn w:val="1"/>
    <w:autoRedefine/>
    <w:qFormat/>
    <w:uiPriority w:val="0"/>
    <w:pPr>
      <w:adjustRightInd/>
      <w:ind w:firstLine="437" w:firstLineChars="0"/>
    </w:pPr>
    <w:rPr>
      <w:rFonts w:eastAsia="仿宋_GB2312"/>
      <w:sz w:val="28"/>
    </w:rPr>
  </w:style>
  <w:style w:type="paragraph" w:customStyle="1" w:styleId="2668">
    <w:name w:val="标题04"/>
    <w:basedOn w:val="6"/>
    <w:next w:val="1"/>
    <w:autoRedefine/>
    <w:qFormat/>
    <w:uiPriority w:val="0"/>
    <w:pPr>
      <w:numPr>
        <w:numId w:val="0"/>
      </w:numPr>
      <w:tabs>
        <w:tab w:val="left" w:pos="1680"/>
      </w:tabs>
      <w:adjustRightInd/>
      <w:snapToGrid/>
      <w:spacing w:before="280" w:after="290" w:line="400" w:lineRule="exact"/>
      <w:ind w:firstLine="200" w:firstLineChars="200"/>
      <w:jc w:val="both"/>
    </w:pPr>
    <w:rPr>
      <w:rFonts w:ascii="Arial" w:hAnsi="Arial" w:eastAsia="黑体"/>
      <w:sz w:val="28"/>
      <w:lang w:val="en-US"/>
    </w:rPr>
  </w:style>
  <w:style w:type="paragraph" w:customStyle="1" w:styleId="2669">
    <w:name w:val="标准-条文1.1.1.1"/>
    <w:basedOn w:val="2670"/>
    <w:autoRedefine/>
    <w:qFormat/>
    <w:uiPriority w:val="0"/>
    <w:pPr>
      <w:tabs>
        <w:tab w:val="left" w:pos="4581"/>
      </w:tabs>
      <w:ind w:left="0"/>
      <w:jc w:val="both"/>
      <w:outlineLvl w:val="4"/>
    </w:pPr>
    <w:rPr>
      <w:kern w:val="2"/>
    </w:rPr>
  </w:style>
  <w:style w:type="paragraph" w:customStyle="1" w:styleId="2670">
    <w:name w:val="标准-条文1.1.1"/>
    <w:basedOn w:val="2671"/>
    <w:autoRedefine/>
    <w:qFormat/>
    <w:uiPriority w:val="0"/>
    <w:pPr>
      <w:ind w:left="360"/>
      <w:outlineLvl w:val="3"/>
    </w:pPr>
  </w:style>
  <w:style w:type="paragraph" w:customStyle="1" w:styleId="2671">
    <w:name w:val="标准-条文1.1"/>
    <w:next w:val="1"/>
    <w:autoRedefine/>
    <w:qFormat/>
    <w:uiPriority w:val="0"/>
    <w:pPr>
      <w:widowControl w:val="0"/>
      <w:adjustRightInd w:val="0"/>
      <w:snapToGrid w:val="0"/>
      <w:spacing w:line="360" w:lineRule="auto"/>
      <w:outlineLvl w:val="2"/>
    </w:pPr>
    <w:rPr>
      <w:rFonts w:ascii="宋体" w:hAnsi="Times New Roman" w:eastAsia="宋体" w:cs="Times New Roman"/>
      <w:sz w:val="24"/>
      <w:lang w:val="en-US" w:eastAsia="zh-CN" w:bidi="ar-SA"/>
    </w:rPr>
  </w:style>
  <w:style w:type="paragraph" w:customStyle="1" w:styleId="2672">
    <w:name w:val="标准-章"/>
    <w:next w:val="2671"/>
    <w:autoRedefine/>
    <w:qFormat/>
    <w:uiPriority w:val="0"/>
    <w:pPr>
      <w:keepNext/>
      <w:adjustRightInd w:val="0"/>
      <w:snapToGrid w:val="0"/>
      <w:spacing w:beforeLines="50" w:afterLines="50"/>
      <w:outlineLvl w:val="1"/>
    </w:pPr>
    <w:rPr>
      <w:rFonts w:ascii="宋体" w:hAnsi="Times New Roman" w:eastAsia="宋体" w:cs="Times New Roman"/>
      <w:b/>
      <w:sz w:val="28"/>
      <w:lang w:val="en-US" w:eastAsia="zh-CN" w:bidi="ar-SA"/>
    </w:rPr>
  </w:style>
  <w:style w:type="paragraph" w:customStyle="1" w:styleId="2673">
    <w:name w:val="样式 报告 + 首行缩进:  2 字符 段前: 0.3 行 段后: 0.3 行"/>
    <w:basedOn w:val="1"/>
    <w:autoRedefine/>
    <w:qFormat/>
    <w:uiPriority w:val="0"/>
    <w:pPr>
      <w:adjustRightInd/>
      <w:snapToGrid/>
      <w:spacing w:line="400" w:lineRule="atLeast"/>
      <w:ind w:firstLine="480"/>
    </w:pPr>
  </w:style>
  <w:style w:type="paragraph" w:customStyle="1" w:styleId="2674">
    <w:name w:val="验收报告-条"/>
    <w:autoRedefine/>
    <w:qFormat/>
    <w:uiPriority w:val="0"/>
    <w:pPr>
      <w:widowControl w:val="0"/>
      <w:adjustRightInd w:val="0"/>
      <w:snapToGrid w:val="0"/>
      <w:spacing w:line="360" w:lineRule="auto"/>
      <w:ind w:firstLine="227"/>
      <w:outlineLvl w:val="2"/>
    </w:pPr>
    <w:rPr>
      <w:rFonts w:ascii="宋体" w:hAnsi="宋体" w:eastAsia="宋体" w:cs="Times New Roman"/>
      <w:bCs/>
      <w:sz w:val="28"/>
      <w:szCs w:val="32"/>
      <w:lang w:val="en-US" w:eastAsia="zh-CN" w:bidi="ar-SA"/>
    </w:rPr>
  </w:style>
  <w:style w:type="paragraph" w:customStyle="1" w:styleId="2675">
    <w:name w:val="样式 1"/>
    <w:basedOn w:val="1"/>
    <w:link w:val="2780"/>
    <w:autoRedefine/>
    <w:qFormat/>
    <w:uiPriority w:val="0"/>
    <w:pPr>
      <w:adjustRightInd/>
      <w:snapToGrid/>
      <w:spacing w:line="360" w:lineRule="auto"/>
      <w:ind w:firstLine="480"/>
    </w:pPr>
  </w:style>
  <w:style w:type="paragraph" w:customStyle="1" w:styleId="2676">
    <w:name w:val="保留正文"/>
    <w:basedOn w:val="1"/>
    <w:autoRedefine/>
    <w:qFormat/>
    <w:uiPriority w:val="0"/>
    <w:pPr>
      <w:keepNext/>
      <w:snapToGrid/>
      <w:spacing w:line="480" w:lineRule="auto"/>
      <w:ind w:firstLine="0" w:firstLineChars="0"/>
      <w:textAlignment w:val="baseline"/>
    </w:pPr>
    <w:rPr>
      <w:rFonts w:ascii="宋体"/>
      <w:kern w:val="0"/>
      <w:szCs w:val="24"/>
    </w:rPr>
  </w:style>
  <w:style w:type="paragraph" w:customStyle="1" w:styleId="2677">
    <w:name w:val="论文正文"/>
    <w:basedOn w:val="21"/>
    <w:autoRedefine/>
    <w:qFormat/>
    <w:uiPriority w:val="0"/>
    <w:pPr>
      <w:ind w:firstLine="480"/>
    </w:pPr>
    <w:rPr>
      <w:rFonts w:ascii="宋体" w:hAnsi="宋体"/>
      <w:sz w:val="28"/>
      <w:lang w:val="en-US"/>
    </w:rPr>
  </w:style>
  <w:style w:type="paragraph" w:customStyle="1" w:styleId="2678">
    <w:name w:val="(a空格行"/>
    <w:basedOn w:val="45"/>
    <w:autoRedefine/>
    <w:qFormat/>
    <w:uiPriority w:val="0"/>
    <w:pPr>
      <w:ind w:firstLine="480" w:firstLineChars="200"/>
    </w:pPr>
    <w:rPr>
      <w:rFonts w:ascii="Times New Roman" w:hAnsi="Times New Roman"/>
      <w:sz w:val="10"/>
      <w:szCs w:val="24"/>
      <w:lang w:val="en-US"/>
    </w:rPr>
  </w:style>
  <w:style w:type="paragraph" w:customStyle="1" w:styleId="2679">
    <w:name w:val="reader-word-layer reader-word-s2-4"/>
    <w:basedOn w:val="1"/>
    <w:autoRedefine/>
    <w:qFormat/>
    <w:uiPriority w:val="0"/>
    <w:pPr>
      <w:widowControl/>
      <w:adjustRightInd/>
      <w:snapToGrid/>
      <w:spacing w:beforeAutospacing="1" w:afterAutospacing="1" w:line="240" w:lineRule="auto"/>
      <w:ind w:firstLine="0" w:firstLineChars="0"/>
      <w:jc w:val="left"/>
    </w:pPr>
    <w:rPr>
      <w:rFonts w:ascii="宋体" w:hAnsi="宋体" w:cs="宋体"/>
      <w:kern w:val="0"/>
      <w:szCs w:val="24"/>
    </w:rPr>
  </w:style>
  <w:style w:type="paragraph" w:customStyle="1" w:styleId="2680">
    <w:name w:val="验收报告-款"/>
    <w:autoRedefine/>
    <w:qFormat/>
    <w:uiPriority w:val="0"/>
    <w:pPr>
      <w:widowControl w:val="0"/>
      <w:tabs>
        <w:tab w:val="left" w:pos="360"/>
      </w:tabs>
      <w:adjustRightInd w:val="0"/>
      <w:snapToGrid w:val="0"/>
      <w:spacing w:line="360" w:lineRule="auto"/>
      <w:ind w:firstLine="100" w:firstLineChars="100"/>
      <w:outlineLvl w:val="3"/>
    </w:pPr>
    <w:rPr>
      <w:rFonts w:ascii="宋体" w:hAnsi="宋体" w:eastAsia="宋体" w:cs="Times New Roman"/>
      <w:sz w:val="28"/>
      <w:lang w:val="en-US" w:eastAsia="zh-CN" w:bidi="ar-SA"/>
    </w:rPr>
  </w:style>
  <w:style w:type="paragraph" w:customStyle="1" w:styleId="2681">
    <w:name w:val="验收报告-章"/>
    <w:next w:val="1"/>
    <w:autoRedefine/>
    <w:qFormat/>
    <w:uiPriority w:val="0"/>
    <w:pPr>
      <w:keepNext/>
      <w:widowControl w:val="0"/>
      <w:adjustRightInd w:val="0"/>
      <w:snapToGrid w:val="0"/>
      <w:spacing w:beforeLines="150" w:afterLines="200"/>
      <w:jc w:val="both"/>
      <w:outlineLvl w:val="0"/>
    </w:pPr>
    <w:rPr>
      <w:rFonts w:ascii="宋体" w:hAnsi="宋体" w:eastAsia="宋体" w:cs="Times New Roman"/>
      <w:b/>
      <w:sz w:val="32"/>
      <w:lang w:val="en-US" w:eastAsia="zh-CN" w:bidi="ar-SA"/>
    </w:rPr>
  </w:style>
  <w:style w:type="paragraph" w:customStyle="1" w:styleId="2682">
    <w:name w:val="验收报告-项"/>
    <w:next w:val="1"/>
    <w:autoRedefine/>
    <w:qFormat/>
    <w:uiPriority w:val="0"/>
    <w:pPr>
      <w:keepNext/>
      <w:widowControl w:val="0"/>
      <w:tabs>
        <w:tab w:val="left" w:pos="720"/>
      </w:tabs>
      <w:adjustRightInd w:val="0"/>
      <w:snapToGrid w:val="0"/>
      <w:spacing w:beforeLines="200" w:afterLines="100"/>
      <w:outlineLvl w:val="1"/>
    </w:pPr>
    <w:rPr>
      <w:rFonts w:ascii="宋体" w:hAnsi="宋体" w:eastAsia="宋体" w:cs="Times New Roman"/>
      <w:b/>
      <w:sz w:val="28"/>
      <w:lang w:val="en-US" w:eastAsia="zh-CN" w:bidi="ar-SA"/>
    </w:rPr>
  </w:style>
  <w:style w:type="paragraph" w:customStyle="1" w:styleId="2683">
    <w:name w:val="1文章"/>
    <w:basedOn w:val="1"/>
    <w:autoRedefine/>
    <w:qFormat/>
    <w:uiPriority w:val="0"/>
    <w:pPr>
      <w:adjustRightInd/>
      <w:spacing w:line="240" w:lineRule="auto"/>
      <w:ind w:firstLine="0" w:firstLineChars="0"/>
      <w:jc w:val="center"/>
    </w:pPr>
    <w:rPr>
      <w:color w:val="000000"/>
      <w:sz w:val="21"/>
    </w:rPr>
  </w:style>
  <w:style w:type="paragraph" w:customStyle="1" w:styleId="2684">
    <w:name w:val="样式 样式1 + 宋体 小四1"/>
    <w:basedOn w:val="202"/>
    <w:autoRedefine/>
    <w:qFormat/>
    <w:uiPriority w:val="0"/>
    <w:pPr>
      <w:keepNext/>
      <w:keepLines/>
      <w:widowControl/>
      <w:adjustRightInd/>
      <w:snapToGrid/>
      <w:spacing w:before="340" w:after="330" w:line="360" w:lineRule="auto"/>
      <w:ind w:firstLine="200" w:firstLineChars="200"/>
      <w:jc w:val="left"/>
      <w:textAlignment w:val="auto"/>
      <w:outlineLvl w:val="0"/>
    </w:pPr>
    <w:rPr>
      <w:rFonts w:ascii="Times New Roman"/>
      <w:kern w:val="0"/>
      <w:sz w:val="24"/>
      <w:szCs w:val="30"/>
      <w:lang w:val="en-US"/>
    </w:rPr>
  </w:style>
  <w:style w:type="paragraph" w:customStyle="1" w:styleId="2685">
    <w:name w:val="正文02"/>
    <w:basedOn w:val="21"/>
    <w:autoRedefine/>
    <w:qFormat/>
    <w:uiPriority w:val="0"/>
    <w:pPr>
      <w:spacing w:line="460" w:lineRule="exact"/>
      <w:ind w:firstLine="200"/>
    </w:pPr>
    <w:rPr>
      <w:rFonts w:ascii="Times New Roman" w:hAnsi="Times New Roman"/>
      <w:sz w:val="24"/>
      <w:lang w:val="en-US"/>
    </w:rPr>
  </w:style>
  <w:style w:type="paragraph" w:customStyle="1" w:styleId="2686">
    <w:name w:val="unnamed2 style13"/>
    <w:basedOn w:val="1"/>
    <w:autoRedefine/>
    <w:qFormat/>
    <w:uiPriority w:val="0"/>
    <w:pPr>
      <w:widowControl/>
      <w:adjustRightInd/>
      <w:snapToGrid/>
      <w:spacing w:beforeAutospacing="1" w:afterAutospacing="1" w:line="240" w:lineRule="auto"/>
      <w:ind w:firstLine="0" w:firstLineChars="0"/>
      <w:jc w:val="left"/>
    </w:pPr>
    <w:rPr>
      <w:rFonts w:ascii="宋体" w:hAnsi="宋体" w:cs="宋体"/>
      <w:kern w:val="0"/>
      <w:szCs w:val="24"/>
    </w:rPr>
  </w:style>
  <w:style w:type="paragraph" w:customStyle="1" w:styleId="2687">
    <w:name w:val="样式16"/>
    <w:basedOn w:val="842"/>
    <w:autoRedefine/>
    <w:qFormat/>
    <w:uiPriority w:val="0"/>
    <w:pPr>
      <w:widowControl w:val="0"/>
      <w:adjustRightInd/>
      <w:snapToGrid/>
      <w:spacing w:beforeLines="0" w:afterLines="0" w:line="460" w:lineRule="exact"/>
      <w:ind w:firstLine="480"/>
      <w:jc w:val="both"/>
      <w:outlineLvl w:val="9"/>
    </w:pPr>
    <w:rPr>
      <w:rFonts w:ascii="Times New Roman" w:hAnsi="Times New Roman" w:eastAsia="宋体"/>
      <w:b w:val="0"/>
      <w:color w:val="000000"/>
      <w:sz w:val="24"/>
      <w:szCs w:val="24"/>
      <w:lang w:val="en-US"/>
    </w:rPr>
  </w:style>
  <w:style w:type="paragraph" w:customStyle="1" w:styleId="2688">
    <w:name w:val="表格001"/>
    <w:basedOn w:val="1"/>
    <w:link w:val="2772"/>
    <w:autoRedefine/>
    <w:qFormat/>
    <w:uiPriority w:val="0"/>
    <w:pPr>
      <w:adjustRightInd/>
      <w:snapToGrid/>
      <w:spacing w:line="240" w:lineRule="auto"/>
      <w:ind w:firstLine="0" w:firstLineChars="0"/>
      <w:jc w:val="center"/>
    </w:pPr>
    <w:rPr>
      <w:sz w:val="21"/>
    </w:rPr>
  </w:style>
  <w:style w:type="paragraph" w:customStyle="1" w:styleId="2689">
    <w:name w:val="样式 样式 正文首行缩进 + 首行缩进:  2 字符 + 首行缩进:  2 字符"/>
    <w:basedOn w:val="1"/>
    <w:autoRedefine/>
    <w:qFormat/>
    <w:uiPriority w:val="0"/>
    <w:pPr>
      <w:topLinePunct/>
      <w:spacing w:line="360" w:lineRule="auto"/>
      <w:ind w:firstLine="480" w:firstLineChars="0"/>
      <w:textAlignment w:val="baseline"/>
    </w:pPr>
    <w:rPr>
      <w:rFonts w:hAnsi="宋体" w:eastAsia="Times New Roman"/>
      <w:kern w:val="0"/>
    </w:rPr>
  </w:style>
  <w:style w:type="paragraph" w:customStyle="1" w:styleId="2690">
    <w:name w:val="td"/>
    <w:basedOn w:val="1"/>
    <w:autoRedefine/>
    <w:qFormat/>
    <w:uiPriority w:val="0"/>
    <w:pPr>
      <w:widowControl/>
      <w:adjustRightInd/>
      <w:snapToGrid/>
      <w:spacing w:beforeAutospacing="1" w:afterAutospacing="1" w:line="240" w:lineRule="auto"/>
      <w:ind w:firstLine="0" w:firstLineChars="0"/>
      <w:jc w:val="left"/>
    </w:pPr>
    <w:rPr>
      <w:rFonts w:ascii="Arial Unicode MS" w:hAnsi="Arial Unicode MS" w:eastAsia="Arial Unicode MS" w:cs="Arial Unicode MS"/>
      <w:kern w:val="0"/>
      <w:szCs w:val="24"/>
    </w:rPr>
  </w:style>
  <w:style w:type="paragraph" w:customStyle="1" w:styleId="2691">
    <w:name w:val="样式 (符号) 宋体 小四 加粗 居中 行距: 1.5 倍行距"/>
    <w:basedOn w:val="1"/>
    <w:autoRedefine/>
    <w:qFormat/>
    <w:uiPriority w:val="0"/>
    <w:pPr>
      <w:adjustRightInd/>
      <w:snapToGrid/>
      <w:spacing w:line="360" w:lineRule="auto"/>
      <w:ind w:firstLine="482"/>
      <w:jc w:val="center"/>
    </w:pPr>
    <w:rPr>
      <w:rFonts w:cs="宋体"/>
      <w:bCs/>
      <w:sz w:val="21"/>
      <w:szCs w:val="21"/>
    </w:rPr>
  </w:style>
  <w:style w:type="paragraph" w:customStyle="1" w:styleId="2692">
    <w:name w:val="style6 style23"/>
    <w:basedOn w:val="1"/>
    <w:autoRedefine/>
    <w:qFormat/>
    <w:uiPriority w:val="0"/>
    <w:pPr>
      <w:widowControl/>
      <w:adjustRightInd/>
      <w:snapToGrid/>
      <w:spacing w:beforeAutospacing="1" w:afterAutospacing="1" w:line="240" w:lineRule="auto"/>
      <w:ind w:firstLine="0" w:firstLineChars="0"/>
      <w:jc w:val="left"/>
    </w:pPr>
    <w:rPr>
      <w:rFonts w:ascii="宋体" w:hAnsi="宋体" w:cs="宋体"/>
      <w:kern w:val="0"/>
      <w:szCs w:val="24"/>
    </w:rPr>
  </w:style>
  <w:style w:type="paragraph" w:customStyle="1" w:styleId="2693">
    <w:name w:val="unnamed2"/>
    <w:basedOn w:val="1"/>
    <w:autoRedefine/>
    <w:qFormat/>
    <w:uiPriority w:val="0"/>
    <w:pPr>
      <w:widowControl/>
      <w:adjustRightInd/>
      <w:snapToGrid/>
      <w:spacing w:beforeAutospacing="1" w:afterAutospacing="1" w:line="300" w:lineRule="atLeast"/>
      <w:ind w:firstLine="0" w:firstLineChars="0"/>
      <w:jc w:val="left"/>
    </w:pPr>
    <w:rPr>
      <w:rFonts w:ascii="宋体" w:hAnsi="宋体" w:cs="宋体"/>
      <w:color w:val="666666"/>
      <w:kern w:val="0"/>
      <w:sz w:val="18"/>
      <w:szCs w:val="18"/>
    </w:rPr>
  </w:style>
  <w:style w:type="paragraph" w:customStyle="1" w:styleId="2694">
    <w:name w:val="1表格"/>
    <w:basedOn w:val="1"/>
    <w:autoRedefine/>
    <w:qFormat/>
    <w:uiPriority w:val="0"/>
    <w:pPr>
      <w:adjustRightInd/>
      <w:spacing w:line="240" w:lineRule="auto"/>
      <w:ind w:firstLine="0" w:firstLineChars="0"/>
      <w:jc w:val="center"/>
      <w:outlineLvl w:val="4"/>
    </w:pPr>
    <w:rPr>
      <w:spacing w:val="4"/>
      <w:sz w:val="21"/>
      <w:szCs w:val="24"/>
    </w:rPr>
  </w:style>
  <w:style w:type="paragraph" w:customStyle="1" w:styleId="2695">
    <w:name w:val="5文章(治)"/>
    <w:basedOn w:val="1"/>
    <w:autoRedefine/>
    <w:qFormat/>
    <w:uiPriority w:val="0"/>
    <w:pPr>
      <w:adjustRightInd/>
      <w:snapToGrid/>
      <w:spacing w:line="360" w:lineRule="auto"/>
      <w:ind w:firstLine="480"/>
    </w:pPr>
    <w:rPr>
      <w:szCs w:val="24"/>
    </w:rPr>
  </w:style>
  <w:style w:type="paragraph" w:customStyle="1" w:styleId="2696">
    <w:name w:val="Char Char1 Char Char Char Char Char Char Char Char Char Char Char Char Char Char Char Char Char Char"/>
    <w:basedOn w:val="1"/>
    <w:autoRedefine/>
    <w:qFormat/>
    <w:uiPriority w:val="0"/>
    <w:pPr>
      <w:adjustRightInd/>
      <w:snapToGrid/>
      <w:spacing w:line="360" w:lineRule="auto"/>
    </w:pPr>
    <w:rPr>
      <w:rFonts w:ascii="宋体" w:hAnsi="宋体" w:cs="宋体"/>
      <w:szCs w:val="24"/>
    </w:rPr>
  </w:style>
  <w:style w:type="paragraph" w:customStyle="1" w:styleId="2697">
    <w:name w:val="样式 样式 样式 样式1 + 宋体 小四 + 首行缩进:  2 字符 + 宋体"/>
    <w:basedOn w:val="2698"/>
    <w:autoRedefine/>
    <w:qFormat/>
    <w:uiPriority w:val="0"/>
  </w:style>
  <w:style w:type="paragraph" w:customStyle="1" w:styleId="2698">
    <w:name w:val="样式 样式 样式1 + 宋体 小四 + 首行缩进:  2 字符"/>
    <w:basedOn w:val="2699"/>
    <w:autoRedefine/>
    <w:qFormat/>
    <w:uiPriority w:val="0"/>
    <w:pPr>
      <w:ind w:firstLine="480"/>
    </w:pPr>
    <w:rPr>
      <w:rFonts w:ascii="Times New Roman" w:hAnsi="Times New Roman" w:cs="宋体"/>
      <w:szCs w:val="24"/>
    </w:rPr>
  </w:style>
  <w:style w:type="paragraph" w:customStyle="1" w:styleId="2699">
    <w:name w:val="样式 样式1 + 宋体 小四"/>
    <w:basedOn w:val="202"/>
    <w:autoRedefine/>
    <w:qFormat/>
    <w:uiPriority w:val="0"/>
    <w:pPr>
      <w:keepNext/>
      <w:keepLines/>
      <w:widowControl/>
      <w:adjustRightInd/>
      <w:snapToGrid/>
      <w:spacing w:before="340" w:after="330" w:line="360" w:lineRule="auto"/>
      <w:ind w:firstLine="200" w:firstLineChars="200"/>
      <w:jc w:val="left"/>
      <w:textAlignment w:val="auto"/>
      <w:outlineLvl w:val="0"/>
    </w:pPr>
    <w:rPr>
      <w:rFonts w:ascii="宋体" w:hAnsi="宋体"/>
      <w:kern w:val="0"/>
      <w:sz w:val="24"/>
      <w:szCs w:val="30"/>
      <w:lang w:val="en-US"/>
    </w:rPr>
  </w:style>
  <w:style w:type="paragraph" w:customStyle="1" w:styleId="2700">
    <w:name w:val="BG5"/>
    <w:basedOn w:val="1"/>
    <w:autoRedefine/>
    <w:qFormat/>
    <w:uiPriority w:val="0"/>
    <w:pPr>
      <w:autoSpaceDE w:val="0"/>
      <w:autoSpaceDN w:val="0"/>
      <w:snapToGrid/>
      <w:spacing w:line="200" w:lineRule="exact"/>
      <w:ind w:firstLine="0" w:firstLineChars="0"/>
      <w:jc w:val="center"/>
      <w:textAlignment w:val="baseline"/>
    </w:pPr>
    <w:rPr>
      <w:rFonts w:ascii="@宋体"/>
      <w:kern w:val="0"/>
      <w:sz w:val="21"/>
    </w:rPr>
  </w:style>
  <w:style w:type="paragraph" w:customStyle="1" w:styleId="2701">
    <w:name w:val="样式 样式1 + 宋体 小四2"/>
    <w:basedOn w:val="202"/>
    <w:link w:val="2767"/>
    <w:autoRedefine/>
    <w:qFormat/>
    <w:uiPriority w:val="0"/>
    <w:pPr>
      <w:keepNext/>
      <w:keepLines/>
      <w:widowControl/>
      <w:adjustRightInd/>
      <w:snapToGrid/>
      <w:spacing w:before="340" w:after="330" w:line="360" w:lineRule="auto"/>
      <w:ind w:firstLine="200" w:firstLineChars="200"/>
      <w:jc w:val="left"/>
      <w:textAlignment w:val="auto"/>
      <w:outlineLvl w:val="0"/>
    </w:pPr>
    <w:rPr>
      <w:rFonts w:ascii="Times New Roman"/>
      <w:spacing w:val="-2"/>
      <w:kern w:val="0"/>
      <w:sz w:val="24"/>
      <w:szCs w:val="30"/>
      <w:lang w:val="en-US"/>
    </w:rPr>
  </w:style>
  <w:style w:type="paragraph" w:customStyle="1" w:styleId="2702">
    <w:name w:val="bg"/>
    <w:basedOn w:val="1"/>
    <w:autoRedefine/>
    <w:qFormat/>
    <w:uiPriority w:val="0"/>
    <w:pPr>
      <w:widowControl/>
      <w:adjustRightInd/>
      <w:snapToGrid/>
      <w:spacing w:line="240" w:lineRule="auto"/>
      <w:ind w:firstLine="0" w:firstLineChars="0"/>
    </w:pPr>
    <w:rPr>
      <w:kern w:val="0"/>
    </w:rPr>
  </w:style>
  <w:style w:type="paragraph" w:customStyle="1" w:styleId="2703">
    <w:name w:val="a2"/>
    <w:basedOn w:val="1"/>
    <w:autoRedefine/>
    <w:qFormat/>
    <w:uiPriority w:val="0"/>
    <w:pPr>
      <w:adjustRightInd/>
      <w:snapToGrid/>
      <w:spacing w:beforeLines="50" w:line="240" w:lineRule="auto"/>
      <w:ind w:firstLine="0" w:firstLineChars="0"/>
      <w:jc w:val="left"/>
      <w:outlineLvl w:val="1"/>
    </w:pPr>
    <w:rPr>
      <w:rFonts w:eastAsia="楷体_GB2312"/>
      <w:b/>
      <w:sz w:val="28"/>
      <w:szCs w:val="28"/>
    </w:rPr>
  </w:style>
  <w:style w:type="paragraph" w:customStyle="1" w:styleId="2704">
    <w:name w:val="样式 样式1 + (西文) Times New Roman (中文) 宋体 小四 非加粗"/>
    <w:basedOn w:val="202"/>
    <w:next w:val="202"/>
    <w:link w:val="2802"/>
    <w:autoRedefine/>
    <w:qFormat/>
    <w:uiPriority w:val="0"/>
    <w:pPr>
      <w:keepNext/>
      <w:keepLines/>
      <w:widowControl/>
      <w:adjustRightInd/>
      <w:snapToGrid/>
      <w:spacing w:before="340" w:after="330" w:line="360" w:lineRule="auto"/>
      <w:ind w:firstLine="200" w:firstLineChars="200"/>
      <w:jc w:val="left"/>
      <w:textAlignment w:val="auto"/>
      <w:outlineLvl w:val="0"/>
    </w:pPr>
    <w:rPr>
      <w:rFonts w:ascii="Times New Roman"/>
      <w:b/>
      <w:sz w:val="24"/>
      <w:szCs w:val="24"/>
      <w:lang w:val="en-US"/>
    </w:rPr>
  </w:style>
  <w:style w:type="paragraph" w:customStyle="1" w:styleId="2705">
    <w:name w:val="1级标题"/>
    <w:basedOn w:val="1"/>
    <w:autoRedefine/>
    <w:qFormat/>
    <w:uiPriority w:val="0"/>
    <w:pPr>
      <w:adjustRightInd/>
      <w:snapToGrid/>
      <w:spacing w:line="460" w:lineRule="exact"/>
      <w:ind w:firstLine="0" w:firstLineChars="0"/>
      <w:outlineLvl w:val="0"/>
    </w:pPr>
    <w:rPr>
      <w:rFonts w:ascii="Arial" w:hAnsi="Arial"/>
      <w:b/>
      <w:color w:val="000000"/>
      <w:sz w:val="36"/>
      <w:szCs w:val="24"/>
    </w:rPr>
  </w:style>
  <w:style w:type="paragraph" w:customStyle="1" w:styleId="2706">
    <w:name w:val="正文0001"/>
    <w:basedOn w:val="86"/>
    <w:autoRedefine/>
    <w:qFormat/>
    <w:uiPriority w:val="0"/>
    <w:pPr>
      <w:adjustRightInd/>
      <w:snapToGrid/>
      <w:spacing w:line="360" w:lineRule="auto"/>
    </w:pPr>
    <w:rPr>
      <w:kern w:val="2"/>
      <w:lang w:val="en-US"/>
    </w:rPr>
  </w:style>
  <w:style w:type="paragraph" w:customStyle="1" w:styleId="2707">
    <w:name w:val="xz3"/>
    <w:basedOn w:val="1"/>
    <w:autoRedefine/>
    <w:qFormat/>
    <w:uiPriority w:val="0"/>
    <w:pPr>
      <w:adjustRightInd/>
      <w:snapToGrid/>
      <w:spacing w:beforeLines="50" w:line="240" w:lineRule="auto"/>
      <w:ind w:firstLine="0" w:firstLineChars="0"/>
      <w:jc w:val="left"/>
      <w:outlineLvl w:val="2"/>
    </w:pPr>
    <w:rPr>
      <w:rFonts w:ascii="楷体_GB2312" w:eastAsia="楷体_GB2312"/>
      <w:b/>
      <w:sz w:val="30"/>
      <w:szCs w:val="32"/>
    </w:rPr>
  </w:style>
  <w:style w:type="paragraph" w:customStyle="1" w:styleId="2708">
    <w:name w:val="无缩进正文"/>
    <w:basedOn w:val="1"/>
    <w:autoRedefine/>
    <w:qFormat/>
    <w:uiPriority w:val="0"/>
    <w:pPr>
      <w:spacing w:line="288" w:lineRule="auto"/>
      <w:ind w:firstLine="0" w:firstLineChars="0"/>
      <w:jc w:val="center"/>
    </w:pPr>
    <w:rPr>
      <w:kern w:val="0"/>
      <w:sz w:val="21"/>
      <w:szCs w:val="24"/>
    </w:rPr>
  </w:style>
  <w:style w:type="paragraph" w:customStyle="1" w:styleId="2709">
    <w:name w:val="样式 小四 加粗 居中 行距: 1.5 倍行距"/>
    <w:basedOn w:val="1"/>
    <w:autoRedefine/>
    <w:qFormat/>
    <w:uiPriority w:val="0"/>
    <w:pPr>
      <w:adjustRightInd/>
      <w:snapToGrid/>
      <w:spacing w:line="360" w:lineRule="auto"/>
      <w:ind w:firstLine="0" w:firstLineChars="0"/>
      <w:jc w:val="center"/>
    </w:pPr>
    <w:rPr>
      <w:rFonts w:cs="宋体"/>
      <w:bCs/>
      <w:sz w:val="21"/>
      <w:szCs w:val="21"/>
    </w:rPr>
  </w:style>
  <w:style w:type="paragraph" w:customStyle="1" w:styleId="2710">
    <w:name w:val="a表格"/>
    <w:basedOn w:val="1"/>
    <w:autoRedefine/>
    <w:qFormat/>
    <w:uiPriority w:val="0"/>
    <w:pPr>
      <w:adjustRightInd/>
      <w:spacing w:line="240" w:lineRule="auto"/>
      <w:ind w:firstLine="0" w:firstLineChars="0"/>
      <w:jc w:val="center"/>
      <w:outlineLvl w:val="2"/>
    </w:pPr>
    <w:rPr>
      <w:sz w:val="21"/>
      <w:szCs w:val="30"/>
    </w:rPr>
  </w:style>
  <w:style w:type="paragraph" w:customStyle="1" w:styleId="2711">
    <w:name w:val="表内"/>
    <w:basedOn w:val="1"/>
    <w:link w:val="2776"/>
    <w:autoRedefine/>
    <w:qFormat/>
    <w:uiPriority w:val="0"/>
    <w:pPr>
      <w:adjustRightInd/>
      <w:snapToGrid/>
      <w:spacing w:line="240" w:lineRule="auto"/>
      <w:ind w:firstLine="0" w:firstLineChars="0"/>
      <w:jc w:val="center"/>
    </w:pPr>
    <w:rPr>
      <w:sz w:val="21"/>
      <w:szCs w:val="24"/>
    </w:rPr>
  </w:style>
  <w:style w:type="paragraph" w:customStyle="1" w:styleId="2712">
    <w:name w:val="黄小林图题"/>
    <w:basedOn w:val="1"/>
    <w:autoRedefine/>
    <w:qFormat/>
    <w:uiPriority w:val="0"/>
    <w:pPr>
      <w:adjustRightInd/>
      <w:snapToGrid/>
      <w:spacing w:line="240" w:lineRule="auto"/>
      <w:ind w:firstLine="0" w:firstLineChars="0"/>
      <w:jc w:val="center"/>
      <w:outlineLvl w:val="0"/>
    </w:pPr>
    <w:rPr>
      <w:sz w:val="28"/>
    </w:rPr>
  </w:style>
  <w:style w:type="paragraph" w:customStyle="1" w:styleId="2713">
    <w:name w:val="编号1"/>
    <w:basedOn w:val="1"/>
    <w:autoRedefine/>
    <w:qFormat/>
    <w:uiPriority w:val="0"/>
    <w:pPr>
      <w:tabs>
        <w:tab w:val="left" w:pos="1230"/>
      </w:tabs>
      <w:adjustRightInd/>
      <w:snapToGrid/>
      <w:spacing w:line="240" w:lineRule="auto"/>
      <w:ind w:left="1230" w:hanging="600" w:firstLineChars="0"/>
    </w:pPr>
    <w:rPr>
      <w:sz w:val="21"/>
    </w:rPr>
  </w:style>
  <w:style w:type="paragraph" w:customStyle="1" w:styleId="2714">
    <w:name w:val="样式22"/>
    <w:basedOn w:val="1"/>
    <w:autoRedefine/>
    <w:qFormat/>
    <w:uiPriority w:val="0"/>
    <w:pPr>
      <w:pBdr>
        <w:bottom w:val="thinThickSmallGap" w:color="auto" w:sz="18" w:space="1"/>
      </w:pBdr>
      <w:adjustRightInd/>
      <w:snapToGrid/>
      <w:spacing w:line="240" w:lineRule="auto"/>
      <w:ind w:firstLine="0" w:firstLineChars="0"/>
      <w:jc w:val="center"/>
    </w:pPr>
    <w:rPr>
      <w:sz w:val="18"/>
      <w:szCs w:val="18"/>
    </w:rPr>
  </w:style>
  <w:style w:type="paragraph" w:customStyle="1" w:styleId="2715">
    <w:name w:val="样式 (中文) 仿宋_GB2312 小四 行距: 1.5 倍行距1"/>
    <w:basedOn w:val="1"/>
    <w:autoRedefine/>
    <w:qFormat/>
    <w:uiPriority w:val="0"/>
    <w:pPr>
      <w:adjustRightInd/>
      <w:snapToGrid/>
      <w:spacing w:line="360" w:lineRule="auto"/>
      <w:ind w:firstLine="480"/>
    </w:pPr>
    <w:rPr>
      <w:rFonts w:cs="宋体"/>
    </w:rPr>
  </w:style>
  <w:style w:type="paragraph" w:customStyle="1" w:styleId="2716">
    <w:name w:val="样式 (中文) 仿宋_GB2312 小四 加粗 行距: 1.5 倍行距"/>
    <w:basedOn w:val="1"/>
    <w:autoRedefine/>
    <w:qFormat/>
    <w:uiPriority w:val="0"/>
    <w:pPr>
      <w:adjustRightInd/>
      <w:snapToGrid/>
      <w:spacing w:line="360" w:lineRule="auto"/>
      <w:ind w:firstLine="482"/>
    </w:pPr>
    <w:rPr>
      <w:rFonts w:cs="宋体"/>
      <w:b/>
      <w:bCs/>
    </w:rPr>
  </w:style>
  <w:style w:type="paragraph" w:customStyle="1" w:styleId="2717">
    <w:name w:val="样式 正文001 + 首行缩进:  2 字符1"/>
    <w:basedOn w:val="1"/>
    <w:autoRedefine/>
    <w:qFormat/>
    <w:uiPriority w:val="0"/>
    <w:pPr>
      <w:adjustRightInd/>
      <w:snapToGrid/>
      <w:spacing w:line="460" w:lineRule="exact"/>
      <w:ind w:firstLine="480"/>
    </w:pPr>
  </w:style>
  <w:style w:type="paragraph" w:customStyle="1" w:styleId="2718">
    <w:name w:val="(a表格标题"/>
    <w:basedOn w:val="1"/>
    <w:autoRedefine/>
    <w:qFormat/>
    <w:uiPriority w:val="0"/>
    <w:pPr>
      <w:adjustRightInd/>
      <w:snapToGrid/>
      <w:spacing w:line="240" w:lineRule="auto"/>
      <w:ind w:firstLine="0" w:firstLineChars="0"/>
      <w:jc w:val="center"/>
    </w:pPr>
    <w:rPr>
      <w:rFonts w:eastAsia="黑体"/>
      <w:b/>
      <w:color w:val="000000"/>
      <w:sz w:val="21"/>
      <w:szCs w:val="21"/>
    </w:rPr>
  </w:style>
  <w:style w:type="paragraph" w:customStyle="1" w:styleId="2719">
    <w:name w:val="reader-word-layer reader-word-s2-5"/>
    <w:basedOn w:val="1"/>
    <w:autoRedefine/>
    <w:qFormat/>
    <w:uiPriority w:val="0"/>
    <w:pPr>
      <w:widowControl/>
      <w:adjustRightInd/>
      <w:snapToGrid/>
      <w:spacing w:beforeAutospacing="1" w:afterAutospacing="1" w:line="240" w:lineRule="auto"/>
      <w:ind w:firstLine="0" w:firstLineChars="0"/>
      <w:jc w:val="left"/>
    </w:pPr>
    <w:rPr>
      <w:rFonts w:ascii="宋体" w:hAnsi="宋体" w:cs="宋体"/>
      <w:kern w:val="0"/>
      <w:szCs w:val="24"/>
    </w:rPr>
  </w:style>
  <w:style w:type="paragraph" w:customStyle="1" w:styleId="2720">
    <w:name w:val="注解"/>
    <w:basedOn w:val="21"/>
    <w:autoRedefine/>
    <w:qFormat/>
    <w:uiPriority w:val="0"/>
    <w:pPr>
      <w:spacing w:line="360" w:lineRule="exact"/>
      <w:ind w:firstLine="200"/>
    </w:pPr>
    <w:rPr>
      <w:rFonts w:ascii="Times New Roman" w:hAnsi="Times New Roman"/>
      <w:lang w:val="en-US"/>
    </w:rPr>
  </w:style>
  <w:style w:type="paragraph" w:customStyle="1" w:styleId="2721">
    <w:name w:val="内容小标题"/>
    <w:basedOn w:val="1"/>
    <w:link w:val="2782"/>
    <w:autoRedefine/>
    <w:qFormat/>
    <w:uiPriority w:val="0"/>
    <w:pPr>
      <w:adjustRightInd/>
      <w:snapToGrid/>
      <w:spacing w:line="360" w:lineRule="auto"/>
      <w:ind w:firstLine="0" w:firstLineChars="0"/>
      <w:jc w:val="left"/>
    </w:pPr>
    <w:rPr>
      <w:b/>
      <w:szCs w:val="24"/>
    </w:rPr>
  </w:style>
  <w:style w:type="paragraph" w:customStyle="1" w:styleId="2722">
    <w:name w:val="Char Char Char2 Char"/>
    <w:basedOn w:val="1"/>
    <w:autoRedefine/>
    <w:qFormat/>
    <w:uiPriority w:val="0"/>
    <w:pPr>
      <w:tabs>
        <w:tab w:val="left" w:pos="1230"/>
      </w:tabs>
      <w:adjustRightInd/>
      <w:snapToGrid/>
      <w:spacing w:line="240" w:lineRule="auto"/>
      <w:ind w:left="1230" w:hanging="600" w:firstLineChars="0"/>
    </w:pPr>
    <w:rPr>
      <w:sz w:val="21"/>
      <w:szCs w:val="24"/>
    </w:rPr>
  </w:style>
  <w:style w:type="paragraph" w:customStyle="1" w:styleId="2723">
    <w:name w:val="reader-word-layer reader-word-s1-13"/>
    <w:basedOn w:val="1"/>
    <w:autoRedefine/>
    <w:qFormat/>
    <w:uiPriority w:val="0"/>
    <w:pPr>
      <w:widowControl/>
      <w:adjustRightInd/>
      <w:snapToGrid/>
      <w:spacing w:beforeAutospacing="1" w:afterAutospacing="1" w:line="240" w:lineRule="auto"/>
      <w:ind w:firstLine="0" w:firstLineChars="0"/>
      <w:jc w:val="left"/>
    </w:pPr>
    <w:rPr>
      <w:rFonts w:ascii="宋体" w:hAnsi="宋体" w:cs="宋体"/>
      <w:kern w:val="0"/>
      <w:szCs w:val="24"/>
    </w:rPr>
  </w:style>
  <w:style w:type="paragraph" w:customStyle="1" w:styleId="2724">
    <w:name w:val="zzzzzzz"/>
    <w:basedOn w:val="87"/>
    <w:next w:val="87"/>
    <w:link w:val="2777"/>
    <w:autoRedefine/>
    <w:qFormat/>
    <w:uiPriority w:val="0"/>
    <w:pPr>
      <w:adjustRightInd/>
      <w:snapToGrid/>
      <w:spacing w:line="360" w:lineRule="auto"/>
      <w:ind w:left="0" w:leftChars="0" w:firstLine="200"/>
    </w:pPr>
    <w:rPr>
      <w:kern w:val="2"/>
      <w:lang w:val="en-US"/>
    </w:rPr>
  </w:style>
  <w:style w:type="paragraph" w:customStyle="1" w:styleId="2725">
    <w:name w:val="样式 正文缩进 + 仿宋_GB2312 首行缩进:  0.99 厘米 行距: 固定值 25 磅"/>
    <w:basedOn w:val="21"/>
    <w:autoRedefine/>
    <w:qFormat/>
    <w:uiPriority w:val="0"/>
    <w:pPr>
      <w:ind w:firstLine="560"/>
    </w:pPr>
    <w:rPr>
      <w:rFonts w:ascii="仿宋_GB2312" w:hAnsi="Times New Roman" w:eastAsia="仿宋_GB2312"/>
      <w:sz w:val="28"/>
      <w:szCs w:val="20"/>
      <w:lang w:val="en-US"/>
    </w:rPr>
  </w:style>
  <w:style w:type="paragraph" w:customStyle="1" w:styleId="2726">
    <w:name w:val="样式 标题 1 + Times New Roman"/>
    <w:basedOn w:val="3"/>
    <w:autoRedefine/>
    <w:qFormat/>
    <w:uiPriority w:val="0"/>
    <w:pPr>
      <w:numPr>
        <w:numId w:val="0"/>
      </w:numPr>
      <w:adjustRightInd/>
      <w:snapToGrid/>
      <w:spacing w:before="340" w:after="330" w:line="360" w:lineRule="auto"/>
      <w:jc w:val="both"/>
    </w:pPr>
    <w:rPr>
      <w:sz w:val="32"/>
      <w:szCs w:val="32"/>
      <w:lang w:val="en-US"/>
    </w:rPr>
  </w:style>
  <w:style w:type="paragraph" w:customStyle="1" w:styleId="2727">
    <w:name w:val="金光华文本正文"/>
    <w:basedOn w:val="1"/>
    <w:autoRedefine/>
    <w:qFormat/>
    <w:uiPriority w:val="0"/>
    <w:pPr>
      <w:widowControl/>
      <w:tabs>
        <w:tab w:val="left" w:pos="6840"/>
      </w:tabs>
      <w:adjustRightInd/>
      <w:snapToGrid/>
      <w:spacing w:line="360" w:lineRule="auto"/>
      <w:ind w:firstLine="510" w:firstLineChars="0"/>
      <w:jc w:val="left"/>
    </w:pPr>
    <w:rPr>
      <w:rFonts w:ascii="宋体" w:hAnsi="宋体"/>
      <w:szCs w:val="24"/>
    </w:rPr>
  </w:style>
  <w:style w:type="paragraph" w:customStyle="1" w:styleId="2728">
    <w:name w:val="标准-(1)"/>
    <w:basedOn w:val="1"/>
    <w:autoRedefine/>
    <w:qFormat/>
    <w:uiPriority w:val="0"/>
    <w:pPr>
      <w:widowControl/>
      <w:tabs>
        <w:tab w:val="left" w:pos="5325"/>
      </w:tabs>
      <w:spacing w:line="360" w:lineRule="auto"/>
      <w:ind w:firstLine="397" w:firstLineChars="0"/>
      <w:jc w:val="left"/>
      <w:outlineLvl w:val="5"/>
    </w:pPr>
    <w:rPr>
      <w:rFonts w:ascii="宋体" w:hAnsi="宋体"/>
      <w:kern w:val="0"/>
    </w:rPr>
  </w:style>
  <w:style w:type="paragraph" w:customStyle="1" w:styleId="2729">
    <w:name w:val="小四宋居中1.0"/>
    <w:basedOn w:val="1"/>
    <w:next w:val="1"/>
    <w:autoRedefine/>
    <w:qFormat/>
    <w:uiPriority w:val="0"/>
    <w:pPr>
      <w:adjustRightInd/>
      <w:snapToGrid/>
      <w:spacing w:line="400" w:lineRule="exact"/>
      <w:ind w:firstLine="0" w:firstLineChars="0"/>
      <w:jc w:val="center"/>
    </w:pPr>
    <w:rPr>
      <w:rFonts w:ascii="楷体_GB2312" w:eastAsia="楷体_GB2312"/>
      <w:szCs w:val="24"/>
    </w:rPr>
  </w:style>
  <w:style w:type="paragraph" w:customStyle="1" w:styleId="2730">
    <w:name w:val="表格下方正文"/>
    <w:basedOn w:val="21"/>
    <w:autoRedefine/>
    <w:qFormat/>
    <w:uiPriority w:val="0"/>
    <w:pPr>
      <w:spacing w:line="460" w:lineRule="exact"/>
      <w:ind w:firstLine="200"/>
    </w:pPr>
    <w:rPr>
      <w:rFonts w:ascii="Times New Roman" w:hAnsi="Times New Roman"/>
      <w:sz w:val="24"/>
      <w:lang w:val="en-US"/>
    </w:rPr>
  </w:style>
  <w:style w:type="paragraph" w:customStyle="1" w:styleId="2731">
    <w:name w:val="默认段落字体 Para Char Char Char Char Char Char Char"/>
    <w:basedOn w:val="1"/>
    <w:autoRedefine/>
    <w:qFormat/>
    <w:uiPriority w:val="0"/>
    <w:pPr>
      <w:snapToGrid/>
      <w:spacing w:line="360" w:lineRule="auto"/>
      <w:ind w:left="200" w:hanging="200" w:hangingChars="200"/>
      <w:textAlignment w:val="baseline"/>
    </w:pPr>
    <w:rPr>
      <w:kern w:val="0"/>
    </w:rPr>
  </w:style>
  <w:style w:type="paragraph" w:customStyle="1" w:styleId="2732">
    <w:name w:val="a2-l style231"/>
    <w:basedOn w:val="1"/>
    <w:autoRedefine/>
    <w:qFormat/>
    <w:uiPriority w:val="0"/>
    <w:pPr>
      <w:widowControl/>
      <w:adjustRightInd/>
      <w:snapToGrid/>
      <w:spacing w:beforeAutospacing="1" w:afterAutospacing="1" w:line="240" w:lineRule="auto"/>
      <w:ind w:firstLine="0" w:firstLineChars="0"/>
      <w:jc w:val="left"/>
    </w:pPr>
    <w:rPr>
      <w:rFonts w:ascii="宋体" w:hAnsi="宋体" w:cs="宋体"/>
      <w:kern w:val="0"/>
      <w:szCs w:val="24"/>
    </w:rPr>
  </w:style>
  <w:style w:type="paragraph" w:customStyle="1" w:styleId="2733">
    <w:name w:val="缩絖"/>
    <w:basedOn w:val="34"/>
    <w:autoRedefine/>
    <w:qFormat/>
    <w:uiPriority w:val="0"/>
    <w:pPr>
      <w:snapToGrid/>
      <w:spacing w:line="312" w:lineRule="atLeast"/>
      <w:ind w:firstLine="420" w:firstLineChars="0"/>
      <w:textAlignment w:val="baseline"/>
    </w:pPr>
    <w:rPr>
      <w:sz w:val="27"/>
      <w:lang w:val="en-US"/>
    </w:rPr>
  </w:style>
  <w:style w:type="paragraph" w:customStyle="1" w:styleId="2734">
    <w:name w:val="样式 样式 仿宋_GB2312 四号 黑色 首行缩进:  0.99 厘米 行距: 1.5 倍行距 + 首行缩进:  2 字符 Char"/>
    <w:basedOn w:val="1"/>
    <w:autoRedefine/>
    <w:qFormat/>
    <w:uiPriority w:val="0"/>
    <w:pPr>
      <w:adjustRightInd/>
      <w:snapToGrid/>
      <w:spacing w:line="360" w:lineRule="auto"/>
      <w:ind w:firstLine="480"/>
      <w:jc w:val="center"/>
    </w:pPr>
    <w:rPr>
      <w:rFonts w:ascii="宋体" w:hAnsi="宋体"/>
      <w:szCs w:val="24"/>
    </w:rPr>
  </w:style>
  <w:style w:type="paragraph" w:customStyle="1" w:styleId="2735">
    <w:name w:val="标题01"/>
    <w:basedOn w:val="3"/>
    <w:next w:val="1"/>
    <w:autoRedefine/>
    <w:qFormat/>
    <w:uiPriority w:val="0"/>
    <w:pPr>
      <w:numPr>
        <w:ilvl w:val="0"/>
        <w:numId w:val="0"/>
      </w:numPr>
      <w:adjustRightInd/>
      <w:snapToGrid/>
      <w:spacing w:before="340" w:after="330" w:line="480" w:lineRule="auto"/>
      <w:jc w:val="both"/>
    </w:pPr>
    <w:rPr>
      <w:bCs w:val="0"/>
      <w:sz w:val="44"/>
      <w:szCs w:val="20"/>
      <w:lang w:val="en-US"/>
    </w:rPr>
  </w:style>
  <w:style w:type="paragraph" w:customStyle="1" w:styleId="2736">
    <w:name w:val="bt3"/>
    <w:basedOn w:val="5"/>
    <w:autoRedefine/>
    <w:qFormat/>
    <w:uiPriority w:val="0"/>
    <w:pPr>
      <w:numPr>
        <w:numId w:val="0"/>
      </w:numPr>
      <w:tabs>
        <w:tab w:val="left" w:pos="1260"/>
      </w:tabs>
      <w:adjustRightInd/>
      <w:snapToGrid/>
      <w:spacing w:before="260" w:afterLines="50" w:line="360" w:lineRule="auto"/>
      <w:ind w:firstLine="200" w:firstLineChars="200"/>
    </w:pPr>
    <w:rPr>
      <w:rFonts w:ascii="Arial" w:hAnsi="Arial"/>
      <w:b w:val="0"/>
      <w:bCs w:val="0"/>
      <w:sz w:val="28"/>
      <w:szCs w:val="24"/>
      <w:lang w:val="en-US"/>
    </w:rPr>
  </w:style>
  <w:style w:type="paragraph" w:customStyle="1" w:styleId="2737">
    <w:name w:val="项目编号"/>
    <w:basedOn w:val="1"/>
    <w:next w:val="1"/>
    <w:autoRedefine/>
    <w:qFormat/>
    <w:uiPriority w:val="0"/>
    <w:pPr>
      <w:adjustRightInd/>
      <w:snapToGrid/>
      <w:spacing w:line="360" w:lineRule="auto"/>
      <w:ind w:firstLine="0" w:firstLineChars="0"/>
    </w:pPr>
  </w:style>
  <w:style w:type="paragraph" w:customStyle="1" w:styleId="2738">
    <w:name w:val="标题003"/>
    <w:basedOn w:val="1"/>
    <w:autoRedefine/>
    <w:qFormat/>
    <w:uiPriority w:val="0"/>
    <w:pPr>
      <w:adjustRightInd/>
      <w:snapToGrid/>
      <w:spacing w:beforeLines="100" w:line="240" w:lineRule="auto"/>
      <w:ind w:firstLine="0" w:firstLineChars="0"/>
      <w:outlineLvl w:val="2"/>
    </w:pPr>
    <w:rPr>
      <w:rFonts w:ascii="宋体" w:hAnsi="宋体"/>
      <w:b/>
      <w:sz w:val="28"/>
      <w:szCs w:val="28"/>
    </w:rPr>
  </w:style>
  <w:style w:type="paragraph" w:customStyle="1" w:styleId="2739">
    <w:name w:val="样式 内容 + 首行缩进:  2 字符"/>
    <w:basedOn w:val="1"/>
    <w:link w:val="2773"/>
    <w:autoRedefine/>
    <w:qFormat/>
    <w:uiPriority w:val="0"/>
    <w:pPr>
      <w:adjustRightInd/>
      <w:snapToGrid/>
      <w:spacing w:line="360" w:lineRule="auto"/>
      <w:ind w:firstLine="480"/>
      <w:jc w:val="left"/>
    </w:pPr>
    <w:rPr>
      <w:rFonts w:cs="宋体"/>
    </w:rPr>
  </w:style>
  <w:style w:type="paragraph" w:customStyle="1" w:styleId="2740">
    <w:name w:val="xz2"/>
    <w:basedOn w:val="1"/>
    <w:autoRedefine/>
    <w:qFormat/>
    <w:uiPriority w:val="0"/>
    <w:pPr>
      <w:adjustRightInd/>
      <w:snapToGrid/>
      <w:spacing w:beforeLines="50" w:line="240" w:lineRule="auto"/>
      <w:ind w:firstLine="0" w:firstLineChars="0"/>
      <w:jc w:val="left"/>
      <w:outlineLvl w:val="1"/>
    </w:pPr>
    <w:rPr>
      <w:rFonts w:ascii="楷体_GB2312" w:eastAsia="楷体_GB2312"/>
      <w:b/>
      <w:sz w:val="32"/>
      <w:szCs w:val="30"/>
    </w:rPr>
  </w:style>
  <w:style w:type="paragraph" w:customStyle="1" w:styleId="2741">
    <w:name w:val="样式 标题 2标题节标题节 Char标题节 Char Char标题 2 Char Char Char节标题 1.1标..."/>
    <w:basedOn w:val="4"/>
    <w:link w:val="2791"/>
    <w:autoRedefine/>
    <w:qFormat/>
    <w:uiPriority w:val="0"/>
    <w:pPr>
      <w:numPr>
        <w:ilvl w:val="0"/>
        <w:numId w:val="0"/>
      </w:numPr>
      <w:spacing w:before="260" w:after="260" w:line="360" w:lineRule="auto"/>
    </w:pPr>
    <w:rPr>
      <w:sz w:val="30"/>
      <w:lang w:val="en-US"/>
    </w:rPr>
  </w:style>
  <w:style w:type="paragraph" w:customStyle="1" w:styleId="2742">
    <w:name w:val="样式 宋体 小四 首行缩进:  0.85 厘米 行距: 1.5 倍行距"/>
    <w:basedOn w:val="1"/>
    <w:autoRedefine/>
    <w:qFormat/>
    <w:uiPriority w:val="0"/>
    <w:pPr>
      <w:adjustRightInd/>
      <w:snapToGrid/>
      <w:spacing w:line="360" w:lineRule="auto"/>
      <w:ind w:firstLine="480" w:firstLineChars="0"/>
    </w:pPr>
    <w:rPr>
      <w:rFonts w:cs="宋体"/>
    </w:rPr>
  </w:style>
  <w:style w:type="paragraph" w:customStyle="1" w:styleId="2743">
    <w:name w:val="自定义正文"/>
    <w:autoRedefine/>
    <w:qFormat/>
    <w:uiPriority w:val="0"/>
    <w:pPr>
      <w:widowControl w:val="0"/>
      <w:adjustRightInd w:val="0"/>
      <w:snapToGrid w:val="0"/>
      <w:spacing w:line="360" w:lineRule="auto"/>
      <w:ind w:firstLine="510"/>
      <w:jc w:val="both"/>
    </w:pPr>
    <w:rPr>
      <w:rFonts w:ascii="Times New Roman" w:hAnsi="Times New Roman" w:eastAsia="宋体" w:cs="Times New Roman"/>
      <w:spacing w:val="-2"/>
      <w:kern w:val="2"/>
      <w:sz w:val="28"/>
      <w:szCs w:val="24"/>
      <w:lang w:val="en-US" w:eastAsia="zh-CN" w:bidi="ar-SA"/>
    </w:rPr>
  </w:style>
  <w:style w:type="paragraph" w:customStyle="1" w:styleId="2744">
    <w:name w:val="unnamed2 style11"/>
    <w:basedOn w:val="1"/>
    <w:autoRedefine/>
    <w:qFormat/>
    <w:uiPriority w:val="0"/>
    <w:pPr>
      <w:widowControl/>
      <w:adjustRightInd/>
      <w:snapToGrid/>
      <w:spacing w:beforeAutospacing="1" w:afterAutospacing="1" w:line="240" w:lineRule="auto"/>
      <w:ind w:firstLine="0" w:firstLineChars="0"/>
      <w:jc w:val="left"/>
    </w:pPr>
    <w:rPr>
      <w:rFonts w:ascii="宋体" w:hAnsi="宋体" w:cs="宋体"/>
      <w:kern w:val="0"/>
      <w:szCs w:val="24"/>
    </w:rPr>
  </w:style>
  <w:style w:type="paragraph" w:customStyle="1" w:styleId="2745">
    <w:name w:val="Char Char Char Char Char Char1 Char Char Char Char Char Char Char Char Char Char Char Char1 Char Char Char Char Char Char Char Char Char Char Char Char Char"/>
    <w:basedOn w:val="1"/>
    <w:autoRedefine/>
    <w:qFormat/>
    <w:uiPriority w:val="0"/>
    <w:pPr>
      <w:adjustRightInd/>
      <w:snapToGrid/>
      <w:spacing w:line="240" w:lineRule="auto"/>
      <w:ind w:firstLine="0" w:firstLineChars="0"/>
    </w:pPr>
    <w:rPr>
      <w:szCs w:val="24"/>
    </w:rPr>
  </w:style>
  <w:style w:type="paragraph" w:customStyle="1" w:styleId="2746">
    <w:name w:val="块引用"/>
    <w:basedOn w:val="1"/>
    <w:autoRedefine/>
    <w:qFormat/>
    <w:uiPriority w:val="0"/>
    <w:pPr>
      <w:widowControl/>
      <w:pBdr>
        <w:top w:val="single" w:color="auto" w:sz="6" w:space="14"/>
        <w:left w:val="single" w:color="auto" w:sz="6" w:space="10"/>
        <w:bottom w:val="single" w:color="auto" w:sz="6" w:space="14"/>
        <w:right w:val="single" w:color="auto" w:sz="6" w:space="10"/>
      </w:pBdr>
      <w:adjustRightInd/>
      <w:snapToGrid/>
      <w:spacing w:beforeAutospacing="1" w:afterAutospacing="1" w:line="360" w:lineRule="auto"/>
      <w:ind w:left="210" w:leftChars="100" w:right="210" w:rightChars="100" w:firstLine="480"/>
    </w:pPr>
    <w:rPr>
      <w:rFonts w:ascii="Garamond" w:hAnsi="Garamond"/>
      <w:kern w:val="0"/>
    </w:rPr>
  </w:style>
  <w:style w:type="paragraph" w:customStyle="1" w:styleId="2747">
    <w:name w:val="样式 纯文本 + (符号) 宋体 13 磅 首行缩进:  0.92 厘米 行距: 固定值 27 磅"/>
    <w:basedOn w:val="1"/>
    <w:link w:val="2787"/>
    <w:autoRedefine/>
    <w:qFormat/>
    <w:uiPriority w:val="0"/>
    <w:pPr>
      <w:topLinePunct/>
      <w:adjustRightInd/>
      <w:snapToGrid/>
      <w:spacing w:line="540" w:lineRule="exact"/>
      <w:ind w:firstLine="522" w:firstLineChars="0"/>
    </w:pPr>
    <w:rPr>
      <w:rFonts w:ascii="宋体" w:hAnsi="宋体" w:cs="宋体"/>
      <w:sz w:val="26"/>
    </w:rPr>
  </w:style>
  <w:style w:type="paragraph" w:customStyle="1" w:styleId="2748">
    <w:name w:val="(a正文"/>
    <w:basedOn w:val="1"/>
    <w:link w:val="2798"/>
    <w:autoRedefine/>
    <w:qFormat/>
    <w:uiPriority w:val="0"/>
    <w:pPr>
      <w:adjustRightInd/>
      <w:snapToGrid/>
      <w:spacing w:line="440" w:lineRule="exact"/>
    </w:pPr>
    <w:rPr>
      <w:rFonts w:eastAsia="仿宋_GB2312"/>
      <w:color w:val="000000"/>
      <w:szCs w:val="24"/>
    </w:rPr>
  </w:style>
  <w:style w:type="paragraph" w:customStyle="1" w:styleId="2749">
    <w:name w:val="Char Char Char Char Char Char3 Char Char Char Char Char Char Char"/>
    <w:basedOn w:val="1"/>
    <w:next w:val="1"/>
    <w:autoRedefine/>
    <w:qFormat/>
    <w:uiPriority w:val="0"/>
    <w:pPr>
      <w:adjustRightInd/>
      <w:snapToGrid/>
      <w:spacing w:line="240" w:lineRule="auto"/>
      <w:ind w:firstLine="0" w:firstLineChars="0"/>
    </w:pPr>
    <w:rPr>
      <w:rFonts w:eastAsia="黑体"/>
      <w:sz w:val="28"/>
      <w:szCs w:val="24"/>
    </w:rPr>
  </w:style>
  <w:style w:type="paragraph" w:customStyle="1" w:styleId="2750">
    <w:name w:val="T正文"/>
    <w:autoRedefine/>
    <w:qFormat/>
    <w:uiPriority w:val="0"/>
    <w:pPr>
      <w:widowControl w:val="0"/>
      <w:adjustRightInd w:val="0"/>
      <w:snapToGrid w:val="0"/>
      <w:spacing w:line="360" w:lineRule="auto"/>
      <w:ind w:firstLine="200" w:firstLineChars="200"/>
      <w:jc w:val="both"/>
    </w:pPr>
    <w:rPr>
      <w:rFonts w:ascii="Times New Roman" w:hAnsi="Times New Roman" w:eastAsia="楷体_GB2312" w:cs="Times New Roman"/>
      <w:sz w:val="28"/>
      <w:lang w:val="en-US" w:eastAsia="zh-CN" w:bidi="ar-SA"/>
    </w:rPr>
  </w:style>
  <w:style w:type="paragraph" w:customStyle="1" w:styleId="2751">
    <w:name w:val="验收报告-正文列表1."/>
    <w:basedOn w:val="1"/>
    <w:autoRedefine/>
    <w:qFormat/>
    <w:uiPriority w:val="0"/>
    <w:pPr>
      <w:tabs>
        <w:tab w:val="left" w:pos="814"/>
      </w:tabs>
      <w:spacing w:line="360" w:lineRule="auto"/>
      <w:ind w:firstLine="454" w:firstLineChars="0"/>
      <w:jc w:val="left"/>
      <w:outlineLvl w:val="8"/>
    </w:pPr>
    <w:rPr>
      <w:rFonts w:hint="eastAsia" w:ascii="宋体" w:hAnsi="宋体"/>
      <w:kern w:val="0"/>
      <w:sz w:val="28"/>
      <w:szCs w:val="24"/>
    </w:rPr>
  </w:style>
  <w:style w:type="paragraph" w:customStyle="1" w:styleId="2752">
    <w:name w:val="表001"/>
    <w:basedOn w:val="202"/>
    <w:autoRedefine/>
    <w:qFormat/>
    <w:uiPriority w:val="0"/>
    <w:pPr>
      <w:keepNext/>
      <w:keepLines/>
      <w:adjustRightInd/>
      <w:snapToGrid/>
      <w:spacing w:before="340" w:after="330" w:line="360" w:lineRule="auto"/>
      <w:textAlignment w:val="auto"/>
      <w:outlineLvl w:val="0"/>
    </w:pPr>
    <w:rPr>
      <w:rFonts w:ascii="Times New Roman"/>
      <w:sz w:val="24"/>
      <w:szCs w:val="20"/>
      <w:lang w:val="en-US"/>
    </w:rPr>
  </w:style>
  <w:style w:type="paragraph" w:customStyle="1" w:styleId="2753">
    <w:name w:val="样式 样式 样式 左  0 字符 首行缩进:  2 字符 + 首行缩进:  0 字符 + 首行缩进:  4 字符"/>
    <w:basedOn w:val="1"/>
    <w:autoRedefine/>
    <w:qFormat/>
    <w:uiPriority w:val="0"/>
    <w:pPr>
      <w:adjustRightInd/>
      <w:snapToGrid/>
      <w:spacing w:line="360" w:lineRule="auto"/>
      <w:ind w:firstLine="488" w:firstLineChars="0"/>
    </w:pPr>
    <w:rPr>
      <w:color w:val="FF0000"/>
      <w:szCs w:val="24"/>
    </w:rPr>
  </w:style>
  <w:style w:type="paragraph" w:customStyle="1" w:styleId="2754">
    <w:name w:val="样式 (符号) 宋体 小四 加粗 居中 行距: 1.5 倍行距1"/>
    <w:basedOn w:val="1"/>
    <w:autoRedefine/>
    <w:qFormat/>
    <w:uiPriority w:val="0"/>
    <w:pPr>
      <w:adjustRightInd/>
      <w:snapToGrid/>
      <w:spacing w:line="360" w:lineRule="auto"/>
      <w:ind w:firstLine="0" w:firstLineChars="0"/>
      <w:jc w:val="center"/>
    </w:pPr>
    <w:rPr>
      <w:rFonts w:cs="宋体"/>
      <w:bCs/>
      <w:sz w:val="21"/>
      <w:szCs w:val="21"/>
    </w:rPr>
  </w:style>
  <w:style w:type="paragraph" w:customStyle="1" w:styleId="2755">
    <w:name w:val="reader-word-layer reader-word-s1-12"/>
    <w:basedOn w:val="1"/>
    <w:autoRedefine/>
    <w:qFormat/>
    <w:uiPriority w:val="0"/>
    <w:pPr>
      <w:widowControl/>
      <w:adjustRightInd/>
      <w:snapToGrid/>
      <w:spacing w:beforeAutospacing="1" w:afterAutospacing="1" w:line="240" w:lineRule="auto"/>
      <w:ind w:firstLine="0" w:firstLineChars="0"/>
      <w:jc w:val="left"/>
    </w:pPr>
    <w:rPr>
      <w:rFonts w:ascii="宋体" w:hAnsi="宋体" w:cs="宋体"/>
      <w:kern w:val="0"/>
      <w:szCs w:val="24"/>
    </w:rPr>
  </w:style>
  <w:style w:type="paragraph" w:customStyle="1" w:styleId="2756">
    <w:name w:val="xz4"/>
    <w:basedOn w:val="1"/>
    <w:autoRedefine/>
    <w:qFormat/>
    <w:uiPriority w:val="0"/>
    <w:pPr>
      <w:adjustRightInd/>
      <w:snapToGrid/>
      <w:spacing w:beforeLines="50" w:line="240" w:lineRule="auto"/>
      <w:ind w:firstLine="0" w:firstLineChars="0"/>
      <w:jc w:val="left"/>
      <w:outlineLvl w:val="3"/>
    </w:pPr>
    <w:rPr>
      <w:rFonts w:eastAsia="楷体_GB2312"/>
      <w:b/>
      <w:sz w:val="28"/>
      <w:szCs w:val="24"/>
    </w:rPr>
  </w:style>
  <w:style w:type="paragraph" w:customStyle="1" w:styleId="2757">
    <w:name w:val="xzz"/>
    <w:basedOn w:val="1"/>
    <w:autoRedefine/>
    <w:qFormat/>
    <w:uiPriority w:val="0"/>
    <w:pPr>
      <w:adjustRightInd/>
      <w:snapToGrid/>
      <w:spacing w:line="240" w:lineRule="auto"/>
      <w:ind w:firstLine="480"/>
    </w:pPr>
    <w:rPr>
      <w:szCs w:val="24"/>
    </w:rPr>
  </w:style>
  <w:style w:type="paragraph" w:customStyle="1" w:styleId="2758">
    <w:name w:val="az"/>
    <w:basedOn w:val="1"/>
    <w:autoRedefine/>
    <w:qFormat/>
    <w:uiPriority w:val="0"/>
    <w:pPr>
      <w:adjustRightInd/>
      <w:snapToGrid/>
      <w:spacing w:beforeLines="50" w:line="360" w:lineRule="auto"/>
      <w:ind w:firstLine="480"/>
    </w:pPr>
    <w:rPr>
      <w:kern w:val="0"/>
      <w:szCs w:val="24"/>
    </w:rPr>
  </w:style>
  <w:style w:type="paragraph" w:customStyle="1" w:styleId="2759">
    <w:name w:val="表格 32"/>
    <w:basedOn w:val="1"/>
    <w:autoRedefine/>
    <w:qFormat/>
    <w:uiPriority w:val="0"/>
    <w:pPr>
      <w:autoSpaceDE w:val="0"/>
      <w:autoSpaceDN w:val="0"/>
      <w:snapToGrid/>
      <w:spacing w:line="240" w:lineRule="auto"/>
      <w:ind w:firstLine="0" w:firstLineChars="0"/>
      <w:jc w:val="center"/>
      <w:textAlignment w:val="baseline"/>
    </w:pPr>
    <w:rPr>
      <w:rFonts w:eastAsia="仿宋_GB2312"/>
      <w:kern w:val="0"/>
    </w:rPr>
  </w:style>
  <w:style w:type="paragraph" w:customStyle="1" w:styleId="2760">
    <w:name w:val="bt4"/>
    <w:basedOn w:val="1"/>
    <w:autoRedefine/>
    <w:qFormat/>
    <w:uiPriority w:val="0"/>
    <w:pPr>
      <w:autoSpaceDE w:val="0"/>
      <w:autoSpaceDN w:val="0"/>
      <w:spacing w:line="360" w:lineRule="auto"/>
      <w:ind w:firstLine="0" w:firstLineChars="0"/>
      <w:textAlignment w:val="baseline"/>
      <w:outlineLvl w:val="3"/>
    </w:pPr>
    <w:rPr>
      <w:rFonts w:ascii="Arial" w:hAnsi="Arial"/>
      <w:kern w:val="0"/>
      <w:szCs w:val="24"/>
    </w:rPr>
  </w:style>
  <w:style w:type="paragraph" w:customStyle="1" w:styleId="2761">
    <w:name w:val="a表头"/>
    <w:basedOn w:val="1"/>
    <w:autoRedefine/>
    <w:qFormat/>
    <w:uiPriority w:val="0"/>
    <w:pPr>
      <w:adjustRightInd/>
      <w:snapToGrid/>
      <w:spacing w:line="240" w:lineRule="auto"/>
      <w:ind w:firstLine="0" w:firstLineChars="0"/>
      <w:jc w:val="center"/>
    </w:pPr>
    <w:rPr>
      <w:rFonts w:eastAsia="楷体_GB2312"/>
      <w:b/>
      <w:szCs w:val="24"/>
    </w:rPr>
  </w:style>
  <w:style w:type="paragraph" w:customStyle="1" w:styleId="2762">
    <w:name w:val="样式21"/>
    <w:basedOn w:val="1339"/>
    <w:autoRedefine/>
    <w:qFormat/>
    <w:uiPriority w:val="0"/>
    <w:pPr>
      <w:widowControl w:val="0"/>
      <w:tabs>
        <w:tab w:val="clear" w:pos="2265"/>
      </w:tabs>
      <w:spacing w:before="0" w:beforeAutospacing="0" w:after="0" w:afterAutospacing="0" w:line="460" w:lineRule="exact"/>
      <w:ind w:firstLine="480"/>
      <w:jc w:val="both"/>
    </w:pPr>
    <w:rPr>
      <w:rFonts w:ascii="Times New Roman" w:hAnsi="Times New Roman" w:cs="Times New Roman"/>
      <w:color w:val="000000"/>
      <w:szCs w:val="24"/>
    </w:rPr>
  </w:style>
  <w:style w:type="paragraph" w:customStyle="1" w:styleId="2763">
    <w:name w:val="reader-word-layer reader-word-s7-4"/>
    <w:basedOn w:val="1"/>
    <w:autoRedefine/>
    <w:qFormat/>
    <w:uiPriority w:val="0"/>
    <w:pPr>
      <w:widowControl/>
      <w:adjustRightInd/>
      <w:snapToGrid/>
      <w:spacing w:beforeAutospacing="1" w:afterAutospacing="1" w:line="240" w:lineRule="auto"/>
      <w:ind w:firstLine="0" w:firstLineChars="0"/>
      <w:jc w:val="left"/>
    </w:pPr>
    <w:rPr>
      <w:rFonts w:ascii="宋体" w:hAnsi="宋体" w:cs="宋体"/>
      <w:kern w:val="0"/>
      <w:szCs w:val="24"/>
    </w:rPr>
  </w:style>
  <w:style w:type="paragraph" w:customStyle="1" w:styleId="2764">
    <w:name w:val="样式 样式1 + (西文) Times New Roman (中文) 宋体 小四 首行缩进:  2 字符"/>
    <w:basedOn w:val="202"/>
    <w:autoRedefine/>
    <w:qFormat/>
    <w:uiPriority w:val="0"/>
    <w:pPr>
      <w:keepNext/>
      <w:keepLines/>
      <w:widowControl/>
      <w:adjustRightInd/>
      <w:snapToGrid/>
      <w:spacing w:before="340" w:after="330" w:line="360" w:lineRule="auto"/>
      <w:ind w:firstLine="200" w:firstLineChars="200"/>
      <w:jc w:val="both"/>
      <w:textAlignment w:val="auto"/>
      <w:outlineLvl w:val="0"/>
    </w:pPr>
    <w:rPr>
      <w:rFonts w:ascii="Times New Roman" w:cs="宋体"/>
      <w:sz w:val="24"/>
      <w:szCs w:val="20"/>
      <w:lang w:val="en-US"/>
    </w:rPr>
  </w:style>
  <w:style w:type="character" w:customStyle="1" w:styleId="2765">
    <w:name w:val="表格标题 Char1"/>
    <w:autoRedefine/>
    <w:qFormat/>
    <w:uiPriority w:val="0"/>
    <w:rPr>
      <w:rFonts w:ascii="宋体" w:hAnsi="宋体" w:eastAsia="宋体"/>
      <w:kern w:val="2"/>
      <w:sz w:val="24"/>
      <w:lang w:val="en-US" w:eastAsia="zh-CN" w:bidi="ar-SA"/>
    </w:rPr>
  </w:style>
  <w:style w:type="character" w:customStyle="1" w:styleId="2766">
    <w:name w:val="red1"/>
    <w:autoRedefine/>
    <w:qFormat/>
    <w:uiPriority w:val="0"/>
    <w:rPr>
      <w:color w:val="976E44"/>
      <w:sz w:val="18"/>
      <w:szCs w:val="18"/>
    </w:rPr>
  </w:style>
  <w:style w:type="character" w:customStyle="1" w:styleId="2767">
    <w:name w:val="样式 样式1 + 宋体 小四2 Char"/>
    <w:link w:val="2701"/>
    <w:autoRedefine/>
    <w:qFormat/>
    <w:uiPriority w:val="0"/>
    <w:rPr>
      <w:spacing w:val="-2"/>
      <w:sz w:val="24"/>
      <w:szCs w:val="30"/>
    </w:rPr>
  </w:style>
  <w:style w:type="character" w:customStyle="1" w:styleId="2768">
    <w:name w:val="inner"/>
    <w:basedOn w:val="133"/>
    <w:autoRedefine/>
    <w:qFormat/>
    <w:uiPriority w:val="0"/>
  </w:style>
  <w:style w:type="character" w:customStyle="1" w:styleId="2769">
    <w:name w:val="自定义正文 Char1"/>
    <w:autoRedefine/>
    <w:qFormat/>
    <w:uiPriority w:val="0"/>
    <w:rPr>
      <w:b/>
      <w:position w:val="-28"/>
      <w:sz w:val="28"/>
    </w:rPr>
  </w:style>
  <w:style w:type="character" w:customStyle="1" w:styleId="2770">
    <w:name w:val="君邦正文 Char4"/>
    <w:autoRedefine/>
    <w:qFormat/>
    <w:uiPriority w:val="0"/>
    <w:rPr>
      <w:rFonts w:ascii="宋体" w:hAnsi="宋体" w:eastAsia="宋体" w:cs="Times New Roman"/>
      <w:sz w:val="24"/>
      <w:szCs w:val="20"/>
    </w:rPr>
  </w:style>
  <w:style w:type="character" w:customStyle="1" w:styleId="2771">
    <w:name w:val="无页眉 Char Char"/>
    <w:autoRedefine/>
    <w:qFormat/>
    <w:uiPriority w:val="0"/>
    <w:rPr>
      <w:rFonts w:eastAsia="宋体"/>
      <w:kern w:val="2"/>
      <w:sz w:val="21"/>
      <w:szCs w:val="18"/>
      <w:lang w:val="en-US" w:eastAsia="zh-CN" w:bidi="ar-SA"/>
    </w:rPr>
  </w:style>
  <w:style w:type="character" w:customStyle="1" w:styleId="2772">
    <w:name w:val="表格001 Char"/>
    <w:link w:val="2688"/>
    <w:autoRedefine/>
    <w:qFormat/>
    <w:uiPriority w:val="0"/>
    <w:rPr>
      <w:kern w:val="2"/>
      <w:sz w:val="21"/>
    </w:rPr>
  </w:style>
  <w:style w:type="character" w:customStyle="1" w:styleId="2773">
    <w:name w:val="样式 内容 + 首行缩进:  2 字符 Char"/>
    <w:link w:val="2739"/>
    <w:autoRedefine/>
    <w:qFormat/>
    <w:uiPriority w:val="0"/>
    <w:rPr>
      <w:rFonts w:cs="宋体"/>
      <w:kern w:val="2"/>
      <w:sz w:val="24"/>
    </w:rPr>
  </w:style>
  <w:style w:type="character" w:customStyle="1" w:styleId="2774">
    <w:name w:val="正文规定 Char Char"/>
    <w:autoRedefine/>
    <w:qFormat/>
    <w:uiPriority w:val="0"/>
    <w:rPr>
      <w:rFonts w:ascii="Arial" w:hAnsi="Arial"/>
      <w:b/>
      <w:sz w:val="24"/>
    </w:rPr>
  </w:style>
  <w:style w:type="character" w:customStyle="1" w:styleId="2775">
    <w:name w:val="表单位 Char"/>
    <w:link w:val="2574"/>
    <w:autoRedefine/>
    <w:qFormat/>
    <w:uiPriority w:val="0"/>
    <w:rPr>
      <w:rFonts w:ascii="宋体" w:hAnsi="Calibri"/>
      <w:sz w:val="24"/>
      <w:szCs w:val="22"/>
      <w:lang w:eastAsia="en-US" w:bidi="en-US"/>
    </w:rPr>
  </w:style>
  <w:style w:type="character" w:customStyle="1" w:styleId="2776">
    <w:name w:val="表内 Char"/>
    <w:link w:val="2711"/>
    <w:autoRedefine/>
    <w:qFormat/>
    <w:uiPriority w:val="0"/>
    <w:rPr>
      <w:kern w:val="2"/>
      <w:sz w:val="21"/>
      <w:szCs w:val="24"/>
    </w:rPr>
  </w:style>
  <w:style w:type="character" w:customStyle="1" w:styleId="2777">
    <w:name w:val="zzzzzzz Char"/>
    <w:link w:val="2724"/>
    <w:autoRedefine/>
    <w:qFormat/>
    <w:uiPriority w:val="0"/>
    <w:rPr>
      <w:kern w:val="2"/>
      <w:sz w:val="24"/>
    </w:rPr>
  </w:style>
  <w:style w:type="character" w:customStyle="1" w:styleId="2778">
    <w:name w:val="cdred1"/>
    <w:autoRedefine/>
    <w:qFormat/>
    <w:uiPriority w:val="0"/>
    <w:rPr>
      <w:color w:val="BC2931"/>
    </w:rPr>
  </w:style>
  <w:style w:type="character" w:customStyle="1" w:styleId="2779">
    <w:name w:val="t131"/>
    <w:autoRedefine/>
    <w:qFormat/>
    <w:uiPriority w:val="0"/>
    <w:rPr>
      <w:rFonts w:ascii="Arial" w:hAnsi="Arial" w:eastAsia="宋体" w:cs="Verdana"/>
      <w:b/>
      <w:color w:val="333333"/>
      <w:kern w:val="2"/>
      <w:sz w:val="18"/>
      <w:szCs w:val="18"/>
      <w:u w:val="none"/>
      <w:lang w:val="en-US" w:eastAsia="en-US" w:bidi="ar-SA"/>
    </w:rPr>
  </w:style>
  <w:style w:type="character" w:customStyle="1" w:styleId="2780">
    <w:name w:val="样式 1 Char"/>
    <w:link w:val="2675"/>
    <w:autoRedefine/>
    <w:qFormat/>
    <w:uiPriority w:val="0"/>
    <w:rPr>
      <w:kern w:val="2"/>
      <w:sz w:val="24"/>
    </w:rPr>
  </w:style>
  <w:style w:type="character" w:customStyle="1" w:styleId="2781">
    <w:name w:val="style301"/>
    <w:autoRedefine/>
    <w:qFormat/>
    <w:uiPriority w:val="0"/>
    <w:rPr>
      <w:rFonts w:hint="default" w:ascii="Arial" w:hAnsi="Arial" w:cs="Arial"/>
    </w:rPr>
  </w:style>
  <w:style w:type="character" w:customStyle="1" w:styleId="2782">
    <w:name w:val="内容小标题 Char"/>
    <w:link w:val="2721"/>
    <w:autoRedefine/>
    <w:qFormat/>
    <w:uiPriority w:val="0"/>
    <w:rPr>
      <w:b/>
      <w:kern w:val="2"/>
      <w:sz w:val="24"/>
      <w:szCs w:val="24"/>
    </w:rPr>
  </w:style>
  <w:style w:type="character" w:customStyle="1" w:styleId="2783">
    <w:name w:val="ddd"/>
    <w:autoRedefine/>
    <w:qFormat/>
    <w:uiPriority w:val="0"/>
    <w:rPr>
      <w:rFonts w:ascii="Arial" w:hAnsi="Arial" w:eastAsia="宋体" w:cs="Verdana"/>
      <w:b/>
      <w:kern w:val="2"/>
      <w:sz w:val="24"/>
      <w:szCs w:val="24"/>
      <w:lang w:val="en-US" w:eastAsia="en-US" w:bidi="ar-SA"/>
    </w:rPr>
  </w:style>
  <w:style w:type="character" w:customStyle="1" w:styleId="2784">
    <w:name w:val="a2-l style23"/>
    <w:basedOn w:val="133"/>
    <w:autoRedefine/>
    <w:qFormat/>
    <w:uiPriority w:val="0"/>
  </w:style>
  <w:style w:type="character" w:customStyle="1" w:styleId="2785">
    <w:name w:val="正文001 Char Char"/>
    <w:autoRedefine/>
    <w:qFormat/>
    <w:uiPriority w:val="0"/>
    <w:rPr>
      <w:rFonts w:eastAsia="宋体"/>
      <w:kern w:val="2"/>
      <w:sz w:val="24"/>
      <w:lang w:val="en-US" w:eastAsia="zh-CN" w:bidi="ar-SA"/>
    </w:rPr>
  </w:style>
  <w:style w:type="character" w:customStyle="1" w:styleId="2786">
    <w:name w:val="样式 (中文) 仿宋_GB2312"/>
    <w:autoRedefine/>
    <w:qFormat/>
    <w:uiPriority w:val="0"/>
    <w:rPr>
      <w:rFonts w:ascii="Arial" w:hAnsi="Arial" w:eastAsia="宋体" w:cs="Verdana"/>
      <w:b/>
      <w:spacing w:val="-12"/>
      <w:kern w:val="2"/>
      <w:sz w:val="24"/>
      <w:szCs w:val="24"/>
      <w:lang w:val="en-US" w:eastAsia="en-US" w:bidi="ar-SA"/>
    </w:rPr>
  </w:style>
  <w:style w:type="character" w:customStyle="1" w:styleId="2787">
    <w:name w:val="样式 纯文本 + (符号) 宋体 13 磅 首行缩进:  0.92 厘米 行距: 固定值 27 磅 Char1"/>
    <w:link w:val="2747"/>
    <w:autoRedefine/>
    <w:qFormat/>
    <w:uiPriority w:val="0"/>
    <w:rPr>
      <w:rFonts w:ascii="宋体" w:hAnsi="宋体" w:cs="宋体"/>
      <w:kern w:val="2"/>
      <w:sz w:val="26"/>
    </w:rPr>
  </w:style>
  <w:style w:type="character" w:customStyle="1" w:styleId="2788">
    <w:name w:val="样式 正文首行缩进 + (西文) MS Mincho (中文) MS Mincho Char"/>
    <w:autoRedefine/>
    <w:qFormat/>
    <w:uiPriority w:val="0"/>
    <w:rPr>
      <w:rFonts w:ascii="MS Mincho" w:hAnsi="MS Mincho" w:eastAsia="MS Mincho"/>
      <w:kern w:val="54"/>
      <w:sz w:val="26"/>
      <w:szCs w:val="26"/>
    </w:rPr>
  </w:style>
  <w:style w:type="character" w:customStyle="1" w:styleId="2789">
    <w:name w:val="样式 (中文) 仿宋_GB23121"/>
    <w:autoRedefine/>
    <w:qFormat/>
    <w:uiPriority w:val="0"/>
    <w:rPr>
      <w:rFonts w:ascii="Arial" w:hAnsi="Arial" w:eastAsia="宋体" w:cs="Verdana"/>
      <w:b/>
      <w:kern w:val="0"/>
      <w:sz w:val="24"/>
      <w:szCs w:val="24"/>
      <w:lang w:val="en-US" w:eastAsia="en-US" w:bidi="ar-SA"/>
    </w:rPr>
  </w:style>
  <w:style w:type="character" w:customStyle="1" w:styleId="2790">
    <w:name w:val="p101"/>
    <w:autoRedefine/>
    <w:qFormat/>
    <w:uiPriority w:val="0"/>
    <w:rPr>
      <w:rFonts w:hint="default" w:ascii="ˎ̥" w:hAnsi="ˎ̥"/>
      <w:sz w:val="21"/>
      <w:szCs w:val="21"/>
    </w:rPr>
  </w:style>
  <w:style w:type="character" w:customStyle="1" w:styleId="2791">
    <w:name w:val="样式 标题 2标题节标题节 Char标题节 Char Char标题 2 Char Char Char节标题 1.1标... Char"/>
    <w:link w:val="2741"/>
    <w:autoRedefine/>
    <w:qFormat/>
    <w:uiPriority w:val="0"/>
    <w:rPr>
      <w:b/>
      <w:bCs/>
      <w:kern w:val="2"/>
      <w:sz w:val="30"/>
      <w:szCs w:val="32"/>
    </w:rPr>
  </w:style>
  <w:style w:type="character" w:customStyle="1" w:styleId="2792">
    <w:name w:val="标1 Char Char"/>
    <w:autoRedefine/>
    <w:qFormat/>
    <w:uiPriority w:val="0"/>
    <w:rPr>
      <w:rFonts w:eastAsia="宋体"/>
      <w:b/>
      <w:kern w:val="2"/>
      <w:sz w:val="32"/>
      <w:lang w:val="en-US" w:eastAsia="zh-CN" w:bidi="ar-SA"/>
    </w:rPr>
  </w:style>
  <w:style w:type="character" w:customStyle="1" w:styleId="2793">
    <w:name w:val="12heiwuxian"/>
    <w:basedOn w:val="133"/>
    <w:autoRedefine/>
    <w:qFormat/>
    <w:uiPriority w:val="0"/>
  </w:style>
  <w:style w:type="character" w:customStyle="1" w:styleId="2794">
    <w:name w:val="tpc_content1"/>
    <w:autoRedefine/>
    <w:qFormat/>
    <w:uiPriority w:val="0"/>
    <w:rPr>
      <w:sz w:val="20"/>
      <w:szCs w:val="20"/>
    </w:rPr>
  </w:style>
  <w:style w:type="character" w:customStyle="1" w:styleId="2795">
    <w:name w:val="style9"/>
    <w:basedOn w:val="133"/>
    <w:autoRedefine/>
    <w:qFormat/>
    <w:uiPriority w:val="0"/>
  </w:style>
  <w:style w:type="character" w:customStyle="1" w:styleId="2796">
    <w:name w:val="标1 Char"/>
    <w:link w:val="2664"/>
    <w:autoRedefine/>
    <w:qFormat/>
    <w:uiPriority w:val="0"/>
    <w:rPr>
      <w:b/>
      <w:kern w:val="2"/>
      <w:sz w:val="32"/>
    </w:rPr>
  </w:style>
  <w:style w:type="character" w:customStyle="1" w:styleId="2797">
    <w:name w:val="hangju"/>
    <w:autoRedefine/>
    <w:qFormat/>
    <w:uiPriority w:val="0"/>
    <w:rPr>
      <w:rFonts w:ascii="Arial" w:hAnsi="Arial" w:eastAsia="宋体" w:cs="Verdana"/>
      <w:b/>
      <w:kern w:val="2"/>
      <w:sz w:val="24"/>
      <w:szCs w:val="24"/>
      <w:lang w:val="en-US" w:eastAsia="en-US" w:bidi="ar-SA"/>
    </w:rPr>
  </w:style>
  <w:style w:type="character" w:customStyle="1" w:styleId="2798">
    <w:name w:val="(a正文 Char"/>
    <w:link w:val="2748"/>
    <w:autoRedefine/>
    <w:qFormat/>
    <w:uiPriority w:val="0"/>
    <w:rPr>
      <w:rFonts w:eastAsia="仿宋_GB2312"/>
      <w:color w:val="000000"/>
      <w:kern w:val="2"/>
      <w:sz w:val="24"/>
      <w:szCs w:val="24"/>
    </w:rPr>
  </w:style>
  <w:style w:type="character" w:customStyle="1" w:styleId="2799">
    <w:name w:val="font_11"/>
    <w:autoRedefine/>
    <w:qFormat/>
    <w:uiPriority w:val="0"/>
    <w:rPr>
      <w:sz w:val="21"/>
      <w:szCs w:val="21"/>
    </w:rPr>
  </w:style>
  <w:style w:type="character" w:customStyle="1" w:styleId="2800">
    <w:name w:val="style101"/>
    <w:autoRedefine/>
    <w:qFormat/>
    <w:uiPriority w:val="0"/>
    <w:rPr>
      <w:b/>
      <w:bCs/>
      <w:color w:val="FF0000"/>
    </w:rPr>
  </w:style>
  <w:style w:type="character" w:customStyle="1" w:styleId="2801">
    <w:name w:val="buysell"/>
    <w:basedOn w:val="133"/>
    <w:autoRedefine/>
    <w:qFormat/>
    <w:uiPriority w:val="0"/>
  </w:style>
  <w:style w:type="character" w:customStyle="1" w:styleId="2802">
    <w:name w:val="样式 样式1 + (西文) Times New Roman (中文) 宋体 小四 非加粗 Char"/>
    <w:link w:val="2704"/>
    <w:autoRedefine/>
    <w:qFormat/>
    <w:uiPriority w:val="0"/>
    <w:rPr>
      <w:b/>
      <w:kern w:val="2"/>
      <w:sz w:val="24"/>
      <w:szCs w:val="24"/>
    </w:rPr>
  </w:style>
  <w:style w:type="character" w:customStyle="1" w:styleId="2803">
    <w:name w:val="样式 样式 仿宋_GB2312 四号 黑色 首行缩进:  0.99 厘米 行距: 1.5 倍行距 + 首行缩进:  2 字符 Char Char"/>
    <w:autoRedefine/>
    <w:qFormat/>
    <w:uiPriority w:val="0"/>
    <w:rPr>
      <w:rFonts w:ascii="仿宋_GB2312" w:hAnsi="Arial" w:eastAsia="仿宋_GB2312" w:cs="宋体"/>
      <w:b/>
      <w:color w:val="000000"/>
      <w:kern w:val="2"/>
      <w:sz w:val="24"/>
      <w:szCs w:val="24"/>
      <w:lang w:val="en-US" w:eastAsia="zh-CN" w:bidi="ar-SA"/>
    </w:rPr>
  </w:style>
  <w:style w:type="character" w:customStyle="1" w:styleId="2804">
    <w:name w:val="test1"/>
    <w:autoRedefine/>
    <w:qFormat/>
    <w:uiPriority w:val="0"/>
    <w:rPr>
      <w:rFonts w:hint="default" w:ascii="ˎ̥" w:hAnsi="ˎ̥"/>
      <w:color w:val="000000"/>
      <w:sz w:val="23"/>
      <w:szCs w:val="23"/>
      <w:u w:val="none"/>
    </w:rPr>
  </w:style>
  <w:style w:type="paragraph" w:customStyle="1" w:styleId="2805">
    <w:name w:val="正文2 Char Char Char Char Char Char Char Char Char Char Char Char1 Char Char Char Char Char Char Char Char1 Char Char Char Char Char Char"/>
    <w:basedOn w:val="1"/>
    <w:autoRedefine/>
    <w:qFormat/>
    <w:uiPriority w:val="0"/>
    <w:pPr>
      <w:widowControl/>
      <w:adjustRightInd/>
      <w:snapToGrid/>
      <w:spacing w:line="400" w:lineRule="exact"/>
      <w:ind w:firstLine="0" w:firstLineChars="0"/>
      <w:jc w:val="center"/>
    </w:pPr>
    <w:rPr>
      <w:rFonts w:ascii="Verdana" w:hAnsi="Verdana"/>
      <w:kern w:val="0"/>
      <w:sz w:val="21"/>
      <w:lang w:eastAsia="en-US"/>
    </w:rPr>
  </w:style>
  <w:style w:type="character" w:customStyle="1" w:styleId="2806">
    <w:name w:val="75pt"/>
    <w:basedOn w:val="133"/>
    <w:autoRedefine/>
    <w:qFormat/>
    <w:uiPriority w:val="0"/>
  </w:style>
  <w:style w:type="paragraph" w:customStyle="1" w:styleId="2807">
    <w:name w:val="Char Char Char Char Char Char Char Char Char Char Char Char3"/>
    <w:basedOn w:val="1"/>
    <w:autoRedefine/>
    <w:semiHidden/>
    <w:qFormat/>
    <w:uiPriority w:val="0"/>
    <w:pPr>
      <w:widowControl/>
      <w:tabs>
        <w:tab w:val="left" w:pos="540"/>
        <w:tab w:val="left" w:pos="1800"/>
      </w:tabs>
      <w:spacing w:line="240" w:lineRule="exact"/>
      <w:ind w:firstLine="480"/>
      <w:jc w:val="left"/>
    </w:pPr>
    <w:rPr>
      <w:szCs w:val="22"/>
    </w:rPr>
  </w:style>
  <w:style w:type="paragraph" w:customStyle="1" w:styleId="2808">
    <w:name w:val="Char Char Char Char Char Char Char Char Char Char Char Char2"/>
    <w:basedOn w:val="1"/>
    <w:autoRedefine/>
    <w:semiHidden/>
    <w:qFormat/>
    <w:uiPriority w:val="0"/>
    <w:pPr>
      <w:widowControl/>
      <w:tabs>
        <w:tab w:val="left" w:pos="540"/>
        <w:tab w:val="left" w:pos="1800"/>
      </w:tabs>
      <w:spacing w:line="240" w:lineRule="exact"/>
      <w:ind w:firstLine="480"/>
      <w:jc w:val="left"/>
    </w:pPr>
    <w:rPr>
      <w:szCs w:val="22"/>
    </w:rPr>
  </w:style>
  <w:style w:type="paragraph" w:customStyle="1" w:styleId="2809">
    <w:name w:val="正文6"/>
    <w:autoRedefine/>
    <w:qFormat/>
    <w:uiPriority w:val="0"/>
    <w:pPr>
      <w:jc w:val="both"/>
    </w:pPr>
    <w:rPr>
      <w:rFonts w:ascii="Times New Roman" w:hAnsi="Times New Roman" w:eastAsia="宋体" w:cs="Times New Roman"/>
      <w:kern w:val="2"/>
      <w:sz w:val="21"/>
      <w:szCs w:val="21"/>
      <w:lang w:val="en-US" w:eastAsia="zh-CN" w:bidi="ar-SA"/>
    </w:rPr>
  </w:style>
  <w:style w:type="character" w:customStyle="1" w:styleId="2810">
    <w:name w:val="f_codeexample"/>
    <w:autoRedefine/>
    <w:qFormat/>
    <w:uiPriority w:val="0"/>
    <w:rPr>
      <w:rFonts w:ascii="Courier New" w:hAnsi="Courier New" w:cs="Courier New"/>
      <w:color w:val="000000"/>
      <w:sz w:val="16"/>
      <w:szCs w:val="16"/>
    </w:rPr>
  </w:style>
  <w:style w:type="character" w:customStyle="1" w:styleId="2811">
    <w:name w:val="f_imagecaption"/>
    <w:autoRedefine/>
    <w:qFormat/>
    <w:uiPriority w:val="0"/>
    <w:rPr>
      <w:b/>
      <w:sz w:val="16"/>
      <w:szCs w:val="16"/>
    </w:rPr>
  </w:style>
  <w:style w:type="character" w:customStyle="1" w:styleId="2812">
    <w:name w:val="f_heading1"/>
    <w:autoRedefine/>
    <w:qFormat/>
    <w:uiPriority w:val="0"/>
    <w:rPr>
      <w:b/>
      <w:color w:val="FFFFFF"/>
      <w:sz w:val="28"/>
      <w:szCs w:val="28"/>
    </w:rPr>
  </w:style>
  <w:style w:type="character" w:customStyle="1" w:styleId="2813">
    <w:name w:val="subtitle1"/>
    <w:autoRedefine/>
    <w:qFormat/>
    <w:uiPriority w:val="0"/>
    <w:rPr>
      <w:rFonts w:hint="eastAsia" w:ascii="宋体" w:hAnsi="宋体" w:eastAsia="宋体"/>
      <w:color w:val="000000"/>
      <w:sz w:val="14"/>
      <w:szCs w:val="14"/>
    </w:rPr>
  </w:style>
  <w:style w:type="character" w:customStyle="1" w:styleId="2814">
    <w:name w:val="f_courierfixed"/>
    <w:autoRedefine/>
    <w:qFormat/>
    <w:uiPriority w:val="0"/>
    <w:rPr>
      <w:rFonts w:ascii="Courier New" w:hAnsi="Courier New" w:cs="Courier New"/>
      <w:color w:val="000000"/>
      <w:sz w:val="18"/>
      <w:szCs w:val="18"/>
    </w:rPr>
  </w:style>
  <w:style w:type="paragraph" w:customStyle="1" w:styleId="2815">
    <w:name w:val="正文字体"/>
    <w:basedOn w:val="1"/>
    <w:autoRedefine/>
    <w:semiHidden/>
    <w:qFormat/>
    <w:uiPriority w:val="0"/>
    <w:pPr>
      <w:spacing w:line="440" w:lineRule="atLeast"/>
    </w:pPr>
    <w:rPr>
      <w:b/>
      <w:bCs/>
      <w:color w:val="000000"/>
    </w:rPr>
  </w:style>
  <w:style w:type="paragraph" w:customStyle="1" w:styleId="2816">
    <w:name w:val="ReMinD正文"/>
    <w:autoRedefine/>
    <w:qFormat/>
    <w:uiPriority w:val="0"/>
    <w:pPr>
      <w:spacing w:line="440" w:lineRule="exact"/>
      <w:ind w:firstLine="200" w:firstLineChars="200"/>
    </w:pPr>
    <w:rPr>
      <w:rFonts w:ascii="Times New Roman" w:hAnsi="Times New Roman" w:eastAsia="宋体" w:cs="Times New Roman"/>
      <w:b/>
      <w:kern w:val="2"/>
      <w:sz w:val="24"/>
      <w:szCs w:val="24"/>
      <w:lang w:val="en-US" w:eastAsia="zh-CN" w:bidi="ar-SA"/>
    </w:rPr>
  </w:style>
  <w:style w:type="paragraph" w:customStyle="1" w:styleId="2817">
    <w:name w:val="列出段落11"/>
    <w:basedOn w:val="1"/>
    <w:autoRedefine/>
    <w:qFormat/>
    <w:uiPriority w:val="0"/>
    <w:pPr>
      <w:adjustRightInd/>
      <w:snapToGrid/>
      <w:spacing w:line="440" w:lineRule="exact"/>
      <w:ind w:firstLine="420"/>
    </w:pPr>
    <w:rPr>
      <w:szCs w:val="22"/>
    </w:rPr>
  </w:style>
  <w:style w:type="paragraph" w:customStyle="1" w:styleId="2818">
    <w:name w:val="样式 表头 + 加粗"/>
    <w:basedOn w:val="185"/>
    <w:autoRedefine/>
    <w:qFormat/>
    <w:uiPriority w:val="0"/>
    <w:pPr>
      <w:keepNext/>
      <w:adjustRightInd/>
      <w:spacing w:after="60" w:line="360" w:lineRule="exact"/>
      <w:ind w:firstLine="200" w:firstLineChars="200"/>
    </w:pPr>
    <w:rPr>
      <w:rFonts w:ascii="黑体" w:eastAsia="黑体"/>
      <w:bCs/>
      <w:snapToGrid w:val="0"/>
      <w:spacing w:val="10"/>
      <w:kern w:val="21"/>
      <w:szCs w:val="22"/>
      <w:lang w:val="en-US"/>
    </w:rPr>
  </w:style>
  <w:style w:type="paragraph" w:customStyle="1" w:styleId="2819">
    <w:name w:val="正文7"/>
    <w:basedOn w:val="1"/>
    <w:link w:val="2820"/>
    <w:autoRedefine/>
    <w:qFormat/>
    <w:uiPriority w:val="0"/>
    <w:pPr>
      <w:snapToGrid/>
      <w:spacing w:line="315" w:lineRule="atLeast"/>
      <w:ind w:firstLine="0" w:firstLineChars="0"/>
      <w:jc w:val="left"/>
      <w:textAlignment w:val="baseline"/>
    </w:pPr>
    <w:rPr>
      <w:rFonts w:ascii="宋体"/>
      <w:kern w:val="0"/>
    </w:rPr>
  </w:style>
  <w:style w:type="character" w:customStyle="1" w:styleId="2820">
    <w:name w:val="正文 Char2"/>
    <w:link w:val="2819"/>
    <w:autoRedefine/>
    <w:qFormat/>
    <w:uiPriority w:val="0"/>
    <w:rPr>
      <w:rFonts w:ascii="宋体"/>
      <w:sz w:val="24"/>
    </w:rPr>
  </w:style>
  <w:style w:type="paragraph" w:customStyle="1" w:styleId="2821">
    <w:name w:val="Char Char Char Char Char Char Char Char Char Char Char Char1 Char Char Char Char Char Char Char Char Char Char Char Char Char Char Char Char Char Char Char1"/>
    <w:basedOn w:val="1"/>
    <w:autoRedefine/>
    <w:semiHidden/>
    <w:qFormat/>
    <w:uiPriority w:val="0"/>
    <w:pPr>
      <w:adjustRightInd/>
      <w:snapToGrid/>
      <w:spacing w:line="360" w:lineRule="auto"/>
    </w:pPr>
    <w:rPr>
      <w:rFonts w:ascii="宋体" w:hAnsi="宋体" w:cs="宋体"/>
      <w:szCs w:val="26"/>
    </w:rPr>
  </w:style>
  <w:style w:type="paragraph" w:customStyle="1" w:styleId="2822">
    <w:name w:val="Char Char Char Char12"/>
    <w:basedOn w:val="1"/>
    <w:autoRedefine/>
    <w:qFormat/>
    <w:uiPriority w:val="0"/>
    <w:pPr>
      <w:adjustRightInd/>
      <w:snapToGrid/>
      <w:spacing w:line="360" w:lineRule="auto"/>
    </w:pPr>
    <w:rPr>
      <w:rFonts w:ascii="宋体" w:hAnsi="宋体" w:cs="宋体"/>
      <w:szCs w:val="24"/>
    </w:rPr>
  </w:style>
  <w:style w:type="paragraph" w:customStyle="1" w:styleId="2823">
    <w:name w:val="Char22"/>
    <w:basedOn w:val="1"/>
    <w:autoRedefine/>
    <w:qFormat/>
    <w:uiPriority w:val="0"/>
    <w:pPr>
      <w:adjustRightInd/>
      <w:snapToGrid/>
      <w:spacing w:line="240" w:lineRule="auto"/>
      <w:ind w:firstLine="0" w:firstLineChars="0"/>
    </w:pPr>
    <w:rPr>
      <w:sz w:val="21"/>
      <w:szCs w:val="21"/>
    </w:rPr>
  </w:style>
  <w:style w:type="paragraph" w:customStyle="1" w:styleId="2824">
    <w:name w:val="Char Char Char Char Char Char2"/>
    <w:basedOn w:val="1"/>
    <w:autoRedefine/>
    <w:qFormat/>
    <w:uiPriority w:val="0"/>
    <w:pPr>
      <w:adjustRightInd/>
      <w:snapToGrid/>
      <w:spacing w:line="240" w:lineRule="auto"/>
      <w:ind w:firstLine="0" w:firstLineChars="0"/>
    </w:pPr>
    <w:rPr>
      <w:rFonts w:ascii="宋体" w:hAnsi="宋体"/>
      <w:szCs w:val="24"/>
    </w:rPr>
  </w:style>
  <w:style w:type="paragraph" w:customStyle="1" w:styleId="2825">
    <w:name w:val="Char Char1 Char1"/>
    <w:basedOn w:val="1"/>
    <w:autoRedefine/>
    <w:qFormat/>
    <w:uiPriority w:val="0"/>
    <w:pPr>
      <w:adjustRightInd/>
      <w:snapToGrid/>
      <w:spacing w:line="240" w:lineRule="auto"/>
      <w:ind w:firstLine="0" w:firstLineChars="0"/>
    </w:pPr>
    <w:rPr>
      <w:sz w:val="21"/>
      <w:szCs w:val="24"/>
    </w:rPr>
  </w:style>
  <w:style w:type="paragraph" w:customStyle="1" w:styleId="2826">
    <w:name w:val="批注框文本3"/>
    <w:basedOn w:val="1"/>
    <w:autoRedefine/>
    <w:semiHidden/>
    <w:qFormat/>
    <w:uiPriority w:val="0"/>
    <w:pPr>
      <w:widowControl/>
      <w:autoSpaceDE w:val="0"/>
      <w:autoSpaceDN w:val="0"/>
      <w:adjustRightInd/>
      <w:snapToGrid/>
      <w:spacing w:line="240" w:lineRule="auto"/>
      <w:ind w:firstLine="0" w:firstLineChars="0"/>
      <w:jc w:val="left"/>
    </w:pPr>
    <w:rPr>
      <w:rFonts w:ascii="Tahoma" w:hAnsi="Tahoma" w:cs="幼圆"/>
      <w:kern w:val="0"/>
      <w:sz w:val="16"/>
      <w:szCs w:val="16"/>
      <w:lang w:val="en-GB" w:eastAsia="en-GB"/>
    </w:rPr>
  </w:style>
  <w:style w:type="paragraph" w:customStyle="1" w:styleId="2827">
    <w:name w:val="正文8"/>
    <w:autoRedefine/>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2828">
    <w:name w:val="Char1 Char Char Char Char Char Char Char Char Char Char Char Char Char Char Char Char Char1"/>
    <w:autoRedefine/>
    <w:qFormat/>
    <w:uiPriority w:val="0"/>
    <w:rPr>
      <w:rFonts w:ascii="Arial Narrow" w:hAnsi="Arial Narrow" w:eastAsia="仿宋_GB2312"/>
      <w:sz w:val="24"/>
      <w:szCs w:val="28"/>
      <w:lang w:val="en-US" w:eastAsia="zh-CN" w:bidi="ar-SA"/>
    </w:rPr>
  </w:style>
  <w:style w:type="paragraph" w:customStyle="1" w:styleId="2829">
    <w:name w:val="Char Char3 Char Char Char Char2"/>
    <w:basedOn w:val="1"/>
    <w:autoRedefine/>
    <w:qFormat/>
    <w:uiPriority w:val="0"/>
    <w:pPr>
      <w:widowControl/>
      <w:adjustRightInd/>
      <w:snapToGrid/>
      <w:spacing w:line="240" w:lineRule="exact"/>
      <w:ind w:firstLine="0" w:firstLineChars="0"/>
      <w:jc w:val="left"/>
    </w:pPr>
    <w:rPr>
      <w:rFonts w:ascii="Verdana" w:hAnsi="Verdana"/>
      <w:kern w:val="0"/>
      <w:sz w:val="20"/>
      <w:lang w:eastAsia="en-US"/>
    </w:rPr>
  </w:style>
  <w:style w:type="paragraph" w:customStyle="1" w:styleId="2830">
    <w:name w:val="Char Char Char Char Char2 Char Char Char Char2"/>
    <w:basedOn w:val="1"/>
    <w:autoRedefine/>
    <w:semiHidden/>
    <w:qFormat/>
    <w:uiPriority w:val="0"/>
    <w:pPr>
      <w:spacing w:line="360" w:lineRule="auto"/>
    </w:pPr>
    <w:rPr>
      <w:rFonts w:ascii="宋体" w:hAnsi="宋体" w:cs="宋体"/>
      <w:szCs w:val="26"/>
    </w:rPr>
  </w:style>
  <w:style w:type="character" w:customStyle="1" w:styleId="2831">
    <w:name w:val="标题9"/>
    <w:basedOn w:val="133"/>
    <w:autoRedefine/>
    <w:qFormat/>
    <w:uiPriority w:val="0"/>
  </w:style>
  <w:style w:type="paragraph" w:customStyle="1" w:styleId="2832">
    <w:name w:val="Char Char Char Char Char Char Char Char Char Char Char Char Char Char Char Char Char Char1"/>
    <w:basedOn w:val="1"/>
    <w:autoRedefine/>
    <w:qFormat/>
    <w:uiPriority w:val="0"/>
    <w:pPr>
      <w:adjustRightInd/>
      <w:snapToGrid/>
      <w:spacing w:line="240" w:lineRule="auto"/>
      <w:ind w:firstLine="0" w:firstLineChars="0"/>
    </w:pPr>
    <w:rPr>
      <w:sz w:val="21"/>
      <w:szCs w:val="24"/>
    </w:rPr>
  </w:style>
  <w:style w:type="paragraph" w:customStyle="1" w:styleId="2833">
    <w:name w:val="Char Char Char Char Char Char Char Char Char Char Char Char1"/>
    <w:basedOn w:val="1"/>
    <w:next w:val="1"/>
    <w:autoRedefine/>
    <w:qFormat/>
    <w:uiPriority w:val="0"/>
    <w:pPr>
      <w:adjustRightInd/>
      <w:snapToGrid/>
      <w:spacing w:line="360" w:lineRule="auto"/>
    </w:pPr>
    <w:rPr>
      <w:rFonts w:ascii="宋体" w:hAnsi="宋体" w:cs="宋体"/>
      <w:szCs w:val="24"/>
    </w:rPr>
  </w:style>
  <w:style w:type="paragraph" w:customStyle="1" w:styleId="2834">
    <w:name w:val="Char Char Char Char Char Char Char Char Char Char Char Char1 Char1"/>
    <w:basedOn w:val="1"/>
    <w:next w:val="1"/>
    <w:autoRedefine/>
    <w:qFormat/>
    <w:uiPriority w:val="0"/>
    <w:pPr>
      <w:adjustRightInd/>
      <w:snapToGrid/>
      <w:spacing w:line="360" w:lineRule="auto"/>
    </w:pPr>
    <w:rPr>
      <w:rFonts w:ascii="宋体" w:hAnsi="宋体" w:cs="宋体"/>
      <w:szCs w:val="24"/>
    </w:rPr>
  </w:style>
  <w:style w:type="paragraph" w:customStyle="1" w:styleId="2835">
    <w:name w:val="Char Char Char1 Char Char Char Char Char Char Char Char Char Char Char Char Char Char Char Char Char Char Char1"/>
    <w:basedOn w:val="1"/>
    <w:autoRedefine/>
    <w:qFormat/>
    <w:uiPriority w:val="0"/>
    <w:pPr>
      <w:adjustRightInd/>
      <w:snapToGrid/>
      <w:spacing w:line="240" w:lineRule="auto"/>
      <w:ind w:firstLine="0" w:firstLineChars="0"/>
    </w:pPr>
    <w:rPr>
      <w:sz w:val="21"/>
      <w:szCs w:val="24"/>
    </w:rPr>
  </w:style>
  <w:style w:type="paragraph" w:customStyle="1" w:styleId="2836">
    <w:name w:val="Char Char Char Char Char Char Char Char Char Char Char Char Char Char Char Char Char Char Char Char Char Char Char Char Char Char Char Char Char Char Char Char Char Char Char Char Char Char Char1"/>
    <w:basedOn w:val="1"/>
    <w:autoRedefine/>
    <w:qFormat/>
    <w:uiPriority w:val="0"/>
    <w:pPr>
      <w:adjustRightInd/>
      <w:snapToGrid/>
      <w:spacing w:line="240" w:lineRule="auto"/>
      <w:ind w:firstLine="0" w:firstLineChars="0"/>
    </w:pPr>
    <w:rPr>
      <w:sz w:val="21"/>
      <w:szCs w:val="24"/>
    </w:rPr>
  </w:style>
  <w:style w:type="paragraph" w:customStyle="1" w:styleId="2837">
    <w:name w:val="Char Char Char Char Char Char Char Char Char Char Char1"/>
    <w:basedOn w:val="1"/>
    <w:autoRedefine/>
    <w:qFormat/>
    <w:uiPriority w:val="0"/>
    <w:pPr>
      <w:snapToGrid/>
      <w:spacing w:line="360" w:lineRule="auto"/>
      <w:ind w:firstLine="0" w:firstLineChars="0"/>
    </w:pPr>
    <w:rPr>
      <w:kern w:val="0"/>
    </w:rPr>
  </w:style>
  <w:style w:type="character" w:customStyle="1" w:styleId="2838">
    <w:name w:val="Char Char Char Char Char Char Char Char1"/>
    <w:link w:val="1183"/>
    <w:autoRedefine/>
    <w:qFormat/>
    <w:uiPriority w:val="0"/>
    <w:rPr>
      <w:kern w:val="2"/>
      <w:sz w:val="21"/>
      <w:szCs w:val="24"/>
    </w:rPr>
  </w:style>
  <w:style w:type="character" w:customStyle="1" w:styleId="2839">
    <w:name w:val="Char Char171"/>
    <w:autoRedefine/>
    <w:qFormat/>
    <w:uiPriority w:val="0"/>
    <w:rPr>
      <w:rFonts w:eastAsia="宋体"/>
      <w:color w:val="000000"/>
      <w:kern w:val="2"/>
      <w:sz w:val="18"/>
      <w:szCs w:val="18"/>
      <w:lang w:val="en-US" w:eastAsia="zh-CN" w:bidi="ar-SA"/>
    </w:rPr>
  </w:style>
  <w:style w:type="paragraph" w:customStyle="1" w:styleId="2840">
    <w:name w:val="Char Char Char2"/>
    <w:basedOn w:val="1"/>
    <w:autoRedefine/>
    <w:qFormat/>
    <w:uiPriority w:val="0"/>
    <w:pPr>
      <w:adjustRightInd/>
      <w:snapToGrid/>
      <w:spacing w:line="240" w:lineRule="auto"/>
      <w:ind w:firstLine="0" w:firstLineChars="0"/>
    </w:pPr>
    <w:rPr>
      <w:szCs w:val="24"/>
    </w:rPr>
  </w:style>
  <w:style w:type="character" w:customStyle="1" w:styleId="2841">
    <w:name w:val="Char Char221"/>
    <w:autoRedefine/>
    <w:qFormat/>
    <w:uiPriority w:val="0"/>
    <w:rPr>
      <w:sz w:val="18"/>
      <w:lang w:eastAsia="en-US" w:bidi="en-US"/>
    </w:rPr>
  </w:style>
  <w:style w:type="character" w:customStyle="1" w:styleId="2842">
    <w:name w:val="Char Char211"/>
    <w:autoRedefine/>
    <w:qFormat/>
    <w:uiPriority w:val="0"/>
    <w:rPr>
      <w:rFonts w:eastAsia="宋体"/>
      <w:sz w:val="18"/>
    </w:rPr>
  </w:style>
  <w:style w:type="character" w:customStyle="1" w:styleId="2843">
    <w:name w:val="Char Char201"/>
    <w:autoRedefine/>
    <w:qFormat/>
    <w:uiPriority w:val="0"/>
    <w:rPr>
      <w:rFonts w:eastAsia="宋体"/>
      <w:sz w:val="18"/>
    </w:rPr>
  </w:style>
  <w:style w:type="character" w:customStyle="1" w:styleId="2844">
    <w:name w:val="Char Char191"/>
    <w:autoRedefine/>
    <w:qFormat/>
    <w:uiPriority w:val="0"/>
    <w:rPr>
      <w:rFonts w:ascii="Cambria" w:hAnsi="Cambria" w:eastAsia="宋体"/>
      <w:b/>
      <w:kern w:val="28"/>
      <w:sz w:val="32"/>
    </w:rPr>
  </w:style>
  <w:style w:type="character" w:customStyle="1" w:styleId="2845">
    <w:name w:val="Char Char181"/>
    <w:autoRedefine/>
    <w:qFormat/>
    <w:uiPriority w:val="0"/>
    <w:rPr>
      <w:rFonts w:eastAsia="宋体"/>
    </w:rPr>
  </w:style>
  <w:style w:type="character" w:customStyle="1" w:styleId="2846">
    <w:name w:val="Char Char25"/>
    <w:autoRedefine/>
    <w:qFormat/>
    <w:uiPriority w:val="0"/>
    <w:rPr>
      <w:rFonts w:ascii="Times New Roman" w:hAnsi="Times New Roman" w:eastAsia="宋体" w:cs="Times New Roman"/>
      <w:szCs w:val="24"/>
    </w:rPr>
  </w:style>
  <w:style w:type="paragraph" w:customStyle="1" w:styleId="2847">
    <w:name w:val="Char Char Char Char Char"/>
    <w:basedOn w:val="1"/>
    <w:autoRedefine/>
    <w:qFormat/>
    <w:uiPriority w:val="0"/>
    <w:pPr>
      <w:adjustRightInd/>
      <w:snapToGrid/>
      <w:spacing w:line="240" w:lineRule="auto"/>
      <w:ind w:firstLine="0" w:firstLineChars="0"/>
    </w:pPr>
    <w:rPr>
      <w:sz w:val="21"/>
      <w:szCs w:val="24"/>
    </w:rPr>
  </w:style>
  <w:style w:type="paragraph" w:customStyle="1" w:styleId="2848">
    <w:name w:val="表小5"/>
    <w:basedOn w:val="1"/>
    <w:autoRedefine/>
    <w:qFormat/>
    <w:uiPriority w:val="0"/>
    <w:pPr>
      <w:tabs>
        <w:tab w:val="left" w:pos="0"/>
        <w:tab w:val="left" w:pos="2619"/>
      </w:tabs>
      <w:adjustRightInd/>
      <w:spacing w:line="240" w:lineRule="auto"/>
      <w:ind w:firstLine="0" w:firstLineChars="0"/>
      <w:jc w:val="center"/>
    </w:pPr>
    <w:rPr>
      <w:rFonts w:hAnsi="宋体"/>
      <w:spacing w:val="6"/>
      <w:sz w:val="21"/>
    </w:rPr>
  </w:style>
  <w:style w:type="paragraph" w:customStyle="1" w:styleId="2849">
    <w:name w:val="1.1.1.1"/>
    <w:basedOn w:val="1"/>
    <w:link w:val="2850"/>
    <w:autoRedefine/>
    <w:qFormat/>
    <w:uiPriority w:val="0"/>
    <w:pPr>
      <w:spacing w:line="288" w:lineRule="auto"/>
      <w:ind w:firstLine="0" w:firstLineChars="0"/>
      <w:jc w:val="left"/>
      <w:textAlignment w:val="baseline"/>
    </w:pPr>
    <w:rPr>
      <w:rFonts w:ascii="黑体" w:hAnsi="华文仿宋" w:eastAsia="黑体"/>
      <w:spacing w:val="4"/>
      <w:kern w:val="0"/>
      <w:sz w:val="28"/>
    </w:rPr>
  </w:style>
  <w:style w:type="character" w:customStyle="1" w:styleId="2850">
    <w:name w:val="1.1.1.1 Char"/>
    <w:link w:val="2849"/>
    <w:autoRedefine/>
    <w:qFormat/>
    <w:uiPriority w:val="0"/>
    <w:rPr>
      <w:rFonts w:ascii="黑体" w:hAnsi="华文仿宋" w:eastAsia="黑体"/>
      <w:spacing w:val="4"/>
      <w:sz w:val="28"/>
    </w:rPr>
  </w:style>
  <w:style w:type="character" w:customStyle="1" w:styleId="2851">
    <w:name w:val="Date Char"/>
    <w:autoRedefine/>
    <w:semiHidden/>
    <w:qFormat/>
    <w:locked/>
    <w:uiPriority w:val="0"/>
    <w:rPr>
      <w:rFonts w:eastAsia="宋体"/>
      <w:kern w:val="2"/>
      <w:sz w:val="21"/>
      <w:szCs w:val="24"/>
      <w:lang w:val="en-US" w:eastAsia="zh-CN" w:bidi="ar-SA"/>
    </w:rPr>
  </w:style>
  <w:style w:type="paragraph" w:customStyle="1" w:styleId="2852">
    <w:name w:val="二级标题 Char Char Char"/>
    <w:basedOn w:val="1"/>
    <w:next w:val="1"/>
    <w:autoRedefine/>
    <w:qFormat/>
    <w:uiPriority w:val="0"/>
    <w:pPr>
      <w:adjustRightInd/>
      <w:snapToGrid/>
      <w:spacing w:line="529" w:lineRule="exact"/>
    </w:pPr>
    <w:rPr>
      <w:rFonts w:ascii="宋体" w:hAnsi="宋体" w:cs="宋体"/>
      <w:szCs w:val="24"/>
    </w:rPr>
  </w:style>
  <w:style w:type="character" w:customStyle="1" w:styleId="2853">
    <w:name w:val="标题 3 Char1 Char Char1"/>
    <w:autoRedefine/>
    <w:qFormat/>
    <w:uiPriority w:val="0"/>
    <w:rPr>
      <w:rFonts w:eastAsia="宋体"/>
      <w:b/>
      <w:bCs/>
      <w:kern w:val="2"/>
      <w:sz w:val="32"/>
      <w:szCs w:val="32"/>
      <w:lang w:val="en-US" w:eastAsia="zh-CN" w:bidi="ar-SA"/>
    </w:rPr>
  </w:style>
  <w:style w:type="character" w:customStyle="1" w:styleId="2854">
    <w:name w:val="c1"/>
    <w:autoRedefine/>
    <w:qFormat/>
    <w:uiPriority w:val="0"/>
    <w:rPr>
      <w:rFonts w:hint="default" w:ascii="ˎ̥" w:hAnsi="ˎ̥"/>
      <w:color w:val="000000"/>
      <w:sz w:val="21"/>
      <w:szCs w:val="21"/>
      <w:u w:val="none"/>
    </w:rPr>
  </w:style>
  <w:style w:type="paragraph" w:customStyle="1" w:styleId="2855">
    <w:name w:val="正文排版"/>
    <w:basedOn w:val="1"/>
    <w:autoRedefine/>
    <w:qFormat/>
    <w:uiPriority w:val="0"/>
    <w:pPr>
      <w:adjustRightInd/>
      <w:snapToGrid/>
      <w:spacing w:line="500" w:lineRule="exact"/>
      <w:ind w:firstLine="560"/>
    </w:pPr>
    <w:rPr>
      <w:rFonts w:ascii="宋体" w:hAnsi="宋体"/>
      <w:color w:val="000000"/>
      <w:sz w:val="28"/>
      <w:szCs w:val="28"/>
    </w:rPr>
  </w:style>
  <w:style w:type="character" w:customStyle="1" w:styleId="2856">
    <w:name w:val="wbz2"/>
    <w:autoRedefine/>
    <w:qFormat/>
    <w:uiPriority w:val="0"/>
    <w:rPr>
      <w:rFonts w:hint="default"/>
      <w:color w:val="000000"/>
      <w:spacing w:val="0"/>
      <w:sz w:val="18"/>
      <w:szCs w:val="18"/>
      <w:u w:val="none"/>
    </w:rPr>
  </w:style>
  <w:style w:type="character" w:customStyle="1" w:styleId="2857">
    <w:name w:val="ft42"/>
    <w:autoRedefine/>
    <w:qFormat/>
    <w:uiPriority w:val="0"/>
    <w:rPr>
      <w:rFonts w:hint="default" w:ascii="Times" w:hAnsi="Times" w:cs="Times"/>
      <w:color w:val="000000"/>
      <w:sz w:val="27"/>
      <w:szCs w:val="27"/>
    </w:rPr>
  </w:style>
  <w:style w:type="character" w:customStyle="1" w:styleId="2858">
    <w:name w:val="ft44"/>
    <w:autoRedefine/>
    <w:qFormat/>
    <w:uiPriority w:val="0"/>
    <w:rPr>
      <w:rFonts w:hint="default" w:ascii="Times" w:hAnsi="Times" w:cs="Times"/>
      <w:color w:val="000000"/>
      <w:sz w:val="11"/>
      <w:szCs w:val="11"/>
    </w:rPr>
  </w:style>
  <w:style w:type="character" w:customStyle="1" w:styleId="2859">
    <w:name w:val="ft610"/>
    <w:autoRedefine/>
    <w:qFormat/>
    <w:uiPriority w:val="0"/>
    <w:rPr>
      <w:rFonts w:hint="default" w:ascii="Times" w:hAnsi="Times" w:cs="Times"/>
      <w:color w:val="000000"/>
      <w:sz w:val="24"/>
      <w:szCs w:val="24"/>
    </w:rPr>
  </w:style>
  <w:style w:type="character" w:customStyle="1" w:styleId="2860">
    <w:name w:val="ft183"/>
    <w:autoRedefine/>
    <w:qFormat/>
    <w:uiPriority w:val="0"/>
    <w:rPr>
      <w:rFonts w:hint="default" w:ascii="Times" w:hAnsi="Times" w:cs="Times"/>
      <w:color w:val="000000"/>
      <w:sz w:val="24"/>
      <w:szCs w:val="24"/>
    </w:rPr>
  </w:style>
  <w:style w:type="character" w:customStyle="1" w:styleId="2861">
    <w:name w:val="jj1"/>
    <w:autoRedefine/>
    <w:qFormat/>
    <w:uiPriority w:val="0"/>
  </w:style>
  <w:style w:type="character" w:customStyle="1" w:styleId="2862">
    <w:name w:val="wangyong1"/>
    <w:autoRedefine/>
    <w:qFormat/>
    <w:uiPriority w:val="0"/>
    <w:rPr>
      <w:rFonts w:hint="default"/>
      <w:color w:val="000000"/>
      <w:sz w:val="18"/>
      <w:szCs w:val="18"/>
      <w:u w:val="none"/>
    </w:rPr>
  </w:style>
  <w:style w:type="character" w:customStyle="1" w:styleId="2863">
    <w:name w:val="第四层条 Char Char"/>
    <w:autoRedefine/>
    <w:qFormat/>
    <w:uiPriority w:val="0"/>
    <w:rPr>
      <w:rFonts w:eastAsia="宋体"/>
      <w:b/>
      <w:kern w:val="2"/>
      <w:sz w:val="28"/>
      <w:lang w:val="en-US" w:eastAsia="zh-CN" w:bidi="ar-SA"/>
    </w:rPr>
  </w:style>
  <w:style w:type="character" w:customStyle="1" w:styleId="2864">
    <w:name w:val="第五层条 Char Char"/>
    <w:autoRedefine/>
    <w:qFormat/>
    <w:uiPriority w:val="0"/>
    <w:rPr>
      <w:rFonts w:ascii="Arial" w:hAnsi="Arial" w:eastAsia="黑体"/>
      <w:b/>
      <w:bCs/>
      <w:kern w:val="2"/>
      <w:sz w:val="24"/>
      <w:szCs w:val="24"/>
      <w:lang w:val="en-US" w:eastAsia="zh-CN" w:bidi="ar-SA"/>
    </w:rPr>
  </w:style>
  <w:style w:type="character" w:customStyle="1" w:styleId="2865">
    <w:name w:val="14red1"/>
    <w:autoRedefine/>
    <w:qFormat/>
    <w:uiPriority w:val="0"/>
    <w:rPr>
      <w:color w:val="FF0000"/>
      <w:sz w:val="21"/>
      <w:szCs w:val="21"/>
      <w:u w:val="none"/>
    </w:rPr>
  </w:style>
  <w:style w:type="paragraph" w:customStyle="1" w:styleId="2866">
    <w:name w:val="样式 标题 1 + 小四"/>
    <w:basedOn w:val="3"/>
    <w:autoRedefine/>
    <w:qFormat/>
    <w:uiPriority w:val="0"/>
    <w:pPr>
      <w:keepNext w:val="0"/>
      <w:pageBreakBefore/>
      <w:numPr>
        <w:numId w:val="0"/>
      </w:numPr>
      <w:adjustRightInd/>
      <w:snapToGrid/>
      <w:spacing w:before="340" w:after="330" w:line="360" w:lineRule="auto"/>
      <w:jc w:val="center"/>
    </w:pPr>
    <w:rPr>
      <w:spacing w:val="20"/>
      <w:kern w:val="28"/>
      <w:szCs w:val="32"/>
      <w:lang w:val="en-US"/>
    </w:rPr>
  </w:style>
  <w:style w:type="character" w:customStyle="1" w:styleId="2867">
    <w:name w:val="smessage_content"/>
    <w:basedOn w:val="133"/>
    <w:autoRedefine/>
    <w:qFormat/>
    <w:uiPriority w:val="0"/>
  </w:style>
  <w:style w:type="paragraph" w:customStyle="1" w:styleId="2868">
    <w:name w:val="表格字"/>
    <w:basedOn w:val="66"/>
    <w:autoRedefine/>
    <w:qFormat/>
    <w:uiPriority w:val="0"/>
    <w:pPr>
      <w:spacing w:line="380" w:lineRule="exact"/>
      <w:ind w:firstLine="0" w:firstLineChars="0"/>
      <w:jc w:val="center"/>
    </w:pPr>
    <w:rPr>
      <w:b w:val="0"/>
      <w:sz w:val="21"/>
      <w:szCs w:val="21"/>
      <w:lang w:val="en-US"/>
    </w:rPr>
  </w:style>
  <w:style w:type="paragraph" w:customStyle="1" w:styleId="2869">
    <w:name w:val="正文1 Char Char Char"/>
    <w:basedOn w:val="1"/>
    <w:autoRedefine/>
    <w:qFormat/>
    <w:uiPriority w:val="0"/>
    <w:pPr>
      <w:adjustRightInd/>
      <w:snapToGrid/>
      <w:spacing w:line="560" w:lineRule="exact"/>
    </w:pPr>
    <w:rPr>
      <w:rFonts w:ascii="宋体" w:hAnsi="宋体" w:cs="宋体"/>
      <w:szCs w:val="24"/>
    </w:rPr>
  </w:style>
  <w:style w:type="paragraph" w:customStyle="1" w:styleId="2870">
    <w:name w:val="样式12q"/>
    <w:basedOn w:val="1"/>
    <w:link w:val="2871"/>
    <w:autoRedefine/>
    <w:qFormat/>
    <w:uiPriority w:val="0"/>
    <w:pPr>
      <w:adjustRightInd/>
      <w:snapToGrid/>
      <w:spacing w:line="360" w:lineRule="auto"/>
      <w:ind w:firstLine="560"/>
    </w:pPr>
    <w:rPr>
      <w:sz w:val="28"/>
      <w:szCs w:val="28"/>
    </w:rPr>
  </w:style>
  <w:style w:type="character" w:customStyle="1" w:styleId="2871">
    <w:name w:val="样式12q Char"/>
    <w:link w:val="2870"/>
    <w:autoRedefine/>
    <w:qFormat/>
    <w:uiPriority w:val="0"/>
    <w:rPr>
      <w:kern w:val="2"/>
      <w:sz w:val="28"/>
      <w:szCs w:val="28"/>
    </w:rPr>
  </w:style>
  <w:style w:type="paragraph" w:customStyle="1" w:styleId="2872">
    <w:name w:val="标题 3，BSH-3条标题1.1.1"/>
    <w:basedOn w:val="5"/>
    <w:link w:val="2873"/>
    <w:autoRedefine/>
    <w:qFormat/>
    <w:uiPriority w:val="0"/>
    <w:pPr>
      <w:numPr>
        <w:numId w:val="0"/>
      </w:numPr>
      <w:tabs>
        <w:tab w:val="left" w:pos="1260"/>
      </w:tabs>
      <w:adjustRightInd/>
      <w:snapToGrid/>
      <w:spacing w:before="260" w:after="260" w:line="360" w:lineRule="auto"/>
      <w:ind w:firstLine="200" w:firstLineChars="200"/>
      <w:jc w:val="left"/>
      <w:outlineLvl w:val="9"/>
    </w:pPr>
    <w:rPr>
      <w:rFonts w:ascii="宋体" w:hAnsi="宋体"/>
      <w:b w:val="0"/>
      <w:bCs w:val="0"/>
      <w:caps/>
      <w:kern w:val="0"/>
      <w:szCs w:val="24"/>
      <w:lang w:val="en-US"/>
    </w:rPr>
  </w:style>
  <w:style w:type="character" w:customStyle="1" w:styleId="2873">
    <w:name w:val="标题 3，BSH-3条标题1.1.1 Char Char"/>
    <w:link w:val="2872"/>
    <w:autoRedefine/>
    <w:qFormat/>
    <w:uiPriority w:val="0"/>
    <w:rPr>
      <w:rFonts w:ascii="宋体" w:hAnsi="宋体"/>
      <w:caps/>
      <w:sz w:val="24"/>
      <w:szCs w:val="24"/>
    </w:rPr>
  </w:style>
  <w:style w:type="paragraph" w:customStyle="1" w:styleId="2874">
    <w:name w:val="样式 标题 2节标题 1.11.1标题2SeBSH-2h2l22nd levelTitre22Header ..."/>
    <w:basedOn w:val="4"/>
    <w:link w:val="2875"/>
    <w:autoRedefine/>
    <w:qFormat/>
    <w:uiPriority w:val="0"/>
    <w:pPr>
      <w:numPr>
        <w:ilvl w:val="0"/>
        <w:numId w:val="0"/>
      </w:numPr>
      <w:spacing w:before="260" w:after="260" w:line="415" w:lineRule="auto"/>
    </w:pPr>
    <w:rPr>
      <w:rFonts w:ascii="宋体" w:hAnsi="宋体" w:eastAsia="黑体"/>
      <w:b w:val="0"/>
      <w:lang w:val="en-US"/>
    </w:rPr>
  </w:style>
  <w:style w:type="character" w:customStyle="1" w:styleId="2875">
    <w:name w:val="样式 标题 2节标题 1.11.1标题2SeBSH-2h2l22nd levelTitre22Header ... Char"/>
    <w:link w:val="2874"/>
    <w:autoRedefine/>
    <w:qFormat/>
    <w:uiPriority w:val="0"/>
    <w:rPr>
      <w:rFonts w:ascii="宋体" w:hAnsi="宋体" w:eastAsia="黑体"/>
      <w:bCs/>
      <w:kern w:val="2"/>
      <w:sz w:val="24"/>
      <w:szCs w:val="32"/>
    </w:rPr>
  </w:style>
  <w:style w:type="paragraph" w:customStyle="1" w:styleId="2876">
    <w:name w:val="正文：段落格式"/>
    <w:basedOn w:val="1"/>
    <w:link w:val="2877"/>
    <w:autoRedefine/>
    <w:qFormat/>
    <w:uiPriority w:val="0"/>
    <w:pPr>
      <w:tabs>
        <w:tab w:val="left" w:pos="1440"/>
      </w:tabs>
      <w:spacing w:line="440" w:lineRule="atLeast"/>
      <w:ind w:left="1440" w:hanging="360" w:firstLineChars="0"/>
    </w:pPr>
    <w:rPr>
      <w:rFonts w:ascii="宋体" w:hAnsi="宋体"/>
      <w:color w:val="000000"/>
      <w:kern w:val="15"/>
      <w:szCs w:val="24"/>
    </w:rPr>
  </w:style>
  <w:style w:type="character" w:customStyle="1" w:styleId="2877">
    <w:name w:val="正文：段落格式 Char"/>
    <w:link w:val="2876"/>
    <w:autoRedefine/>
    <w:qFormat/>
    <w:uiPriority w:val="0"/>
    <w:rPr>
      <w:rFonts w:ascii="宋体" w:hAnsi="宋体"/>
      <w:color w:val="000000"/>
      <w:kern w:val="15"/>
      <w:sz w:val="24"/>
      <w:szCs w:val="24"/>
    </w:rPr>
  </w:style>
  <w:style w:type="paragraph" w:customStyle="1" w:styleId="2878">
    <w:name w:val="样式 样式 正文缩进s4 + 首行缩进:  2 字符 + 首行缩进:  2 字符"/>
    <w:basedOn w:val="1"/>
    <w:autoRedefine/>
    <w:qFormat/>
    <w:uiPriority w:val="0"/>
    <w:pPr>
      <w:spacing w:line="336" w:lineRule="auto"/>
      <w:ind w:firstLine="545" w:firstLineChars="227"/>
    </w:pPr>
    <w:rPr>
      <w:rFonts w:ascii="宋体" w:hAnsi="宋体"/>
      <w:color w:val="000000"/>
      <w:sz w:val="28"/>
    </w:rPr>
  </w:style>
  <w:style w:type="paragraph" w:customStyle="1" w:styleId="2879">
    <w:name w:val="正文文本最新 Char Char Char Char1 Char"/>
    <w:basedOn w:val="1"/>
    <w:link w:val="2880"/>
    <w:autoRedefine/>
    <w:qFormat/>
    <w:uiPriority w:val="0"/>
    <w:pPr>
      <w:adjustRightInd/>
      <w:snapToGrid/>
      <w:spacing w:line="360" w:lineRule="auto"/>
    </w:pPr>
    <w:rPr>
      <w:bCs/>
      <w:sz w:val="28"/>
      <w:szCs w:val="24"/>
    </w:rPr>
  </w:style>
  <w:style w:type="character" w:customStyle="1" w:styleId="2880">
    <w:name w:val="正文文本最新 Char Char Char Char1 Char Char"/>
    <w:link w:val="2879"/>
    <w:autoRedefine/>
    <w:qFormat/>
    <w:uiPriority w:val="0"/>
    <w:rPr>
      <w:bCs/>
      <w:kern w:val="2"/>
      <w:sz w:val="28"/>
      <w:szCs w:val="24"/>
    </w:rPr>
  </w:style>
  <w:style w:type="paragraph" w:customStyle="1" w:styleId="2881">
    <w:name w:val="标题1q"/>
    <w:basedOn w:val="1"/>
    <w:next w:val="1"/>
    <w:autoRedefine/>
    <w:qFormat/>
    <w:uiPriority w:val="0"/>
    <w:pPr>
      <w:adjustRightInd/>
      <w:snapToGrid/>
      <w:spacing w:line="360" w:lineRule="auto"/>
      <w:ind w:left="431"/>
      <w:jc w:val="center"/>
    </w:pPr>
    <w:rPr>
      <w:sz w:val="21"/>
    </w:rPr>
  </w:style>
  <w:style w:type="character" w:customStyle="1" w:styleId="2882">
    <w:name w:val="正文 宋体 小四 Char"/>
    <w:link w:val="2883"/>
    <w:autoRedefine/>
    <w:qFormat/>
    <w:uiPriority w:val="0"/>
    <w:rPr>
      <w:rFonts w:ascii="宋体" w:hAnsi="宋体"/>
      <w:sz w:val="24"/>
    </w:rPr>
  </w:style>
  <w:style w:type="paragraph" w:customStyle="1" w:styleId="2883">
    <w:name w:val="正文 宋体 小四"/>
    <w:basedOn w:val="1"/>
    <w:link w:val="2882"/>
    <w:autoRedefine/>
    <w:qFormat/>
    <w:uiPriority w:val="0"/>
    <w:pPr>
      <w:adjustRightInd/>
      <w:snapToGrid/>
      <w:spacing w:line="360" w:lineRule="auto"/>
      <w:ind w:firstLine="480" w:firstLineChars="0"/>
    </w:pPr>
    <w:rPr>
      <w:rFonts w:ascii="宋体" w:hAnsi="宋体"/>
      <w:kern w:val="0"/>
    </w:rPr>
  </w:style>
  <w:style w:type="character" w:customStyle="1" w:styleId="2884">
    <w:name w:val="四号仿宋左空1格行距1倍 Char Char"/>
    <w:autoRedefine/>
    <w:qFormat/>
    <w:locked/>
    <w:uiPriority w:val="0"/>
    <w:rPr>
      <w:rFonts w:ascii="Arial" w:hAnsi="Arial" w:eastAsia="黑体"/>
      <w:b/>
      <w:kern w:val="2"/>
      <w:sz w:val="28"/>
      <w:lang w:val="en-US" w:eastAsia="zh-CN" w:bidi="ar-SA"/>
    </w:rPr>
  </w:style>
  <w:style w:type="paragraph" w:customStyle="1" w:styleId="2885">
    <w:name w:val="L正文"/>
    <w:basedOn w:val="1"/>
    <w:link w:val="2887"/>
    <w:autoRedefine/>
    <w:qFormat/>
    <w:uiPriority w:val="0"/>
    <w:pPr>
      <w:autoSpaceDE w:val="0"/>
      <w:autoSpaceDN w:val="0"/>
      <w:spacing w:line="360" w:lineRule="auto"/>
    </w:pPr>
    <w:rPr>
      <w:rFonts w:cs="宋体"/>
      <w:bCs/>
      <w:snapToGrid w:val="0"/>
      <w:kern w:val="0"/>
      <w:sz w:val="26"/>
      <w:szCs w:val="26"/>
    </w:rPr>
  </w:style>
  <w:style w:type="character" w:customStyle="1" w:styleId="2886">
    <w:name w:val="图表名 Char1"/>
    <w:autoRedefine/>
    <w:qFormat/>
    <w:uiPriority w:val="0"/>
    <w:rPr>
      <w:rFonts w:eastAsia="黑体"/>
      <w:sz w:val="28"/>
      <w:szCs w:val="28"/>
      <w:lang w:val="en-US" w:eastAsia="zh-CN" w:bidi="ar-SA"/>
    </w:rPr>
  </w:style>
  <w:style w:type="character" w:customStyle="1" w:styleId="2887">
    <w:name w:val="L正文 Char"/>
    <w:link w:val="2885"/>
    <w:autoRedefine/>
    <w:qFormat/>
    <w:uiPriority w:val="0"/>
    <w:rPr>
      <w:rFonts w:cs="宋体"/>
      <w:bCs/>
      <w:snapToGrid w:val="0"/>
      <w:sz w:val="26"/>
      <w:szCs w:val="26"/>
    </w:rPr>
  </w:style>
  <w:style w:type="character" w:customStyle="1" w:styleId="2888">
    <w:name w:val="电脑标志 Char Char"/>
    <w:autoRedefine/>
    <w:qFormat/>
    <w:uiPriority w:val="0"/>
    <w:rPr>
      <w:rFonts w:ascii="Arial" w:hAnsi="Arial" w:eastAsia="黑体"/>
      <w:b/>
      <w:bCs/>
      <w:kern w:val="2"/>
      <w:sz w:val="32"/>
      <w:szCs w:val="32"/>
      <w:lang w:val="en-US" w:eastAsia="zh-CN" w:bidi="ar-SA"/>
    </w:rPr>
  </w:style>
  <w:style w:type="paragraph" w:customStyle="1" w:styleId="2889">
    <w:name w:val="表格文字5号"/>
    <w:basedOn w:val="1"/>
    <w:autoRedefine/>
    <w:qFormat/>
    <w:uiPriority w:val="0"/>
    <w:pPr>
      <w:adjustRightInd/>
      <w:snapToGrid/>
      <w:spacing w:line="280" w:lineRule="exact"/>
      <w:jc w:val="center"/>
    </w:pPr>
    <w:rPr>
      <w:rFonts w:ascii="仿宋_GB2312" w:eastAsia="仿宋_GB2312"/>
      <w:sz w:val="21"/>
      <w:szCs w:val="24"/>
    </w:rPr>
  </w:style>
  <w:style w:type="paragraph" w:customStyle="1" w:styleId="2890">
    <w:name w:val="表格文字小四号"/>
    <w:autoRedefine/>
    <w:qFormat/>
    <w:uiPriority w:val="0"/>
    <w:pPr>
      <w:widowControl w:val="0"/>
      <w:spacing w:line="480" w:lineRule="exact"/>
      <w:jc w:val="center"/>
    </w:pPr>
    <w:rPr>
      <w:rFonts w:ascii="宋体" w:hAnsi="Times New Roman" w:eastAsia="宋体" w:cs="Times New Roman"/>
      <w:sz w:val="28"/>
      <w:szCs w:val="24"/>
      <w:lang w:val="en-US" w:eastAsia="zh-CN" w:bidi="ar-SA"/>
    </w:rPr>
  </w:style>
  <w:style w:type="paragraph" w:customStyle="1" w:styleId="2891">
    <w:name w:val="表格文字：灌溉制度"/>
    <w:basedOn w:val="45"/>
    <w:autoRedefine/>
    <w:qFormat/>
    <w:uiPriority w:val="0"/>
    <w:pPr>
      <w:spacing w:line="240" w:lineRule="exact"/>
      <w:jc w:val="center"/>
    </w:pPr>
    <w:rPr>
      <w:rFonts w:ascii="仿宋_GB2312" w:hAnsi="宋体" w:eastAsia="仿宋_GB2312"/>
      <w:sz w:val="24"/>
      <w:szCs w:val="24"/>
      <w:lang w:val="en-US"/>
    </w:rPr>
  </w:style>
  <w:style w:type="paragraph" w:customStyle="1" w:styleId="2892">
    <w:name w:val="表格文字1"/>
    <w:basedOn w:val="1"/>
    <w:next w:val="1"/>
    <w:autoRedefine/>
    <w:qFormat/>
    <w:uiPriority w:val="0"/>
    <w:pPr>
      <w:adjustRightInd/>
      <w:snapToGrid/>
      <w:spacing w:line="240" w:lineRule="auto"/>
    </w:pPr>
    <w:rPr>
      <w:rFonts w:ascii="仿宋_GB2312" w:eastAsia="仿宋_GB2312"/>
      <w:szCs w:val="24"/>
    </w:rPr>
  </w:style>
  <w:style w:type="paragraph" w:customStyle="1" w:styleId="2893">
    <w:name w:val="样式 首行缩进:  2 字符1"/>
    <w:basedOn w:val="1"/>
    <w:autoRedefine/>
    <w:qFormat/>
    <w:uiPriority w:val="0"/>
    <w:pPr>
      <w:adjustRightInd/>
      <w:snapToGrid/>
      <w:spacing w:line="560" w:lineRule="exact"/>
      <w:ind w:right="272" w:firstLine="480"/>
    </w:pPr>
    <w:rPr>
      <w:rFonts w:ascii="仿宋_GB2312" w:eastAsia="仿宋_GB2312" w:cs="宋体"/>
      <w:kern w:val="0"/>
    </w:rPr>
  </w:style>
  <w:style w:type="character" w:customStyle="1" w:styleId="2894">
    <w:name w:val="样式 自动设置"/>
    <w:autoRedefine/>
    <w:qFormat/>
    <w:uiPriority w:val="0"/>
    <w:rPr>
      <w:color w:val="auto"/>
    </w:rPr>
  </w:style>
  <w:style w:type="paragraph" w:customStyle="1" w:styleId="2895">
    <w:name w:val="line20"/>
    <w:basedOn w:val="1"/>
    <w:autoRedefine/>
    <w:qFormat/>
    <w:uiPriority w:val="0"/>
    <w:pPr>
      <w:widowControl/>
      <w:adjustRightInd/>
      <w:snapToGrid/>
      <w:spacing w:beforeAutospacing="1" w:afterAutospacing="1" w:line="315" w:lineRule="atLeast"/>
      <w:jc w:val="left"/>
    </w:pPr>
    <w:rPr>
      <w:rFonts w:ascii="仿宋_GB2312" w:hAnsi="宋体" w:eastAsia="仿宋_GB2312" w:cs="宋体"/>
      <w:kern w:val="0"/>
      <w:szCs w:val="24"/>
    </w:rPr>
  </w:style>
  <w:style w:type="character" w:customStyle="1" w:styleId="2896">
    <w:name w:val="content21"/>
    <w:autoRedefine/>
    <w:qFormat/>
    <w:uiPriority w:val="0"/>
    <w:rPr>
      <w:color w:val="000000"/>
      <w:sz w:val="18"/>
      <w:szCs w:val="18"/>
    </w:rPr>
  </w:style>
  <w:style w:type="paragraph" w:customStyle="1" w:styleId="2897">
    <w:name w:val="表格文字小5号"/>
    <w:autoRedefine/>
    <w:qFormat/>
    <w:uiPriority w:val="0"/>
    <w:pPr>
      <w:widowControl w:val="0"/>
      <w:spacing w:line="240" w:lineRule="exact"/>
      <w:jc w:val="center"/>
    </w:pPr>
    <w:rPr>
      <w:rFonts w:ascii="宋体" w:hAnsi="宋体" w:eastAsia="宋体" w:cs="Times New Roman"/>
      <w:kern w:val="2"/>
      <w:sz w:val="18"/>
      <w:szCs w:val="18"/>
      <w:lang w:val="en-US" w:eastAsia="zh-CN" w:bidi="ar-SA"/>
    </w:rPr>
  </w:style>
  <w:style w:type="character" w:customStyle="1" w:styleId="2898">
    <w:name w:val="14hei1"/>
    <w:autoRedefine/>
    <w:qFormat/>
    <w:uiPriority w:val="0"/>
    <w:rPr>
      <w:color w:val="000000"/>
      <w:sz w:val="28"/>
      <w:szCs w:val="28"/>
      <w:u w:val="none"/>
    </w:rPr>
  </w:style>
  <w:style w:type="paragraph" w:customStyle="1" w:styleId="2899">
    <w:name w:val="扉页文字"/>
    <w:next w:val="1"/>
    <w:autoRedefine/>
    <w:qFormat/>
    <w:uiPriority w:val="0"/>
    <w:pPr>
      <w:widowControl w:val="0"/>
      <w:spacing w:line="760" w:lineRule="exact"/>
      <w:ind w:firstLine="400" w:firstLineChars="400"/>
    </w:pPr>
    <w:rPr>
      <w:rFonts w:ascii="宋体" w:hAnsi="Times New Roman" w:eastAsia="宋体" w:cs="Times New Roman"/>
      <w:kern w:val="2"/>
      <w:sz w:val="28"/>
      <w:szCs w:val="32"/>
      <w:lang w:val="en-US" w:eastAsia="zh-CN" w:bidi="ar-SA"/>
    </w:rPr>
  </w:style>
  <w:style w:type="paragraph" w:customStyle="1" w:styleId="2900">
    <w:name w:val="表头+单位"/>
    <w:basedOn w:val="66"/>
    <w:autoRedefine/>
    <w:qFormat/>
    <w:uiPriority w:val="0"/>
    <w:pPr>
      <w:keepNext/>
      <w:ind w:firstLine="0" w:firstLineChars="0"/>
      <w:jc w:val="right"/>
    </w:pPr>
    <w:rPr>
      <w:rFonts w:ascii="黑体" w:eastAsia="黑体"/>
      <w:b w:val="0"/>
      <w:sz w:val="28"/>
      <w:lang w:val="en-US"/>
    </w:rPr>
  </w:style>
  <w:style w:type="paragraph" w:customStyle="1" w:styleId="2901">
    <w:name w:val="样式 表格文字 + (符号) 宋体 五号 首行缩进:  0.74 厘米"/>
    <w:basedOn w:val="45"/>
    <w:autoRedefine/>
    <w:qFormat/>
    <w:uiPriority w:val="0"/>
    <w:pPr>
      <w:widowControl/>
      <w:spacing w:line="340" w:lineRule="exact"/>
      <w:jc w:val="center"/>
    </w:pPr>
    <w:rPr>
      <w:rFonts w:ascii="仿宋_GB2312" w:hAnsi="宋体" w:eastAsia="仿宋_GB2312" w:cs="宋体"/>
      <w:kern w:val="0"/>
      <w:lang w:val="en-US"/>
    </w:rPr>
  </w:style>
  <w:style w:type="paragraph" w:customStyle="1" w:styleId="2902">
    <w:name w:val="表格单位"/>
    <w:basedOn w:val="1"/>
    <w:autoRedefine/>
    <w:qFormat/>
    <w:uiPriority w:val="0"/>
    <w:pPr>
      <w:adjustRightInd/>
      <w:snapToGrid/>
      <w:spacing w:line="320" w:lineRule="exact"/>
      <w:jc w:val="right"/>
    </w:pPr>
    <w:rPr>
      <w:rFonts w:ascii="仿宋_GB2312" w:eastAsia="仿宋_GB2312"/>
      <w:szCs w:val="24"/>
    </w:rPr>
  </w:style>
  <w:style w:type="paragraph" w:customStyle="1" w:styleId="2903">
    <w:name w:val="样式 表头 + 首行缩进:  0.97 厘米"/>
    <w:basedOn w:val="66"/>
    <w:autoRedefine/>
    <w:qFormat/>
    <w:uiPriority w:val="0"/>
    <w:pPr>
      <w:keepNext/>
      <w:ind w:firstLine="0" w:firstLineChars="0"/>
      <w:jc w:val="center"/>
    </w:pPr>
    <w:rPr>
      <w:rFonts w:ascii="黑体" w:eastAsia="黑体" w:cs="宋体"/>
      <w:b w:val="0"/>
      <w:sz w:val="28"/>
      <w:szCs w:val="20"/>
      <w:lang w:val="en-US"/>
    </w:rPr>
  </w:style>
  <w:style w:type="paragraph" w:customStyle="1" w:styleId="2904">
    <w:name w:val="样式 表头 + 首行缩进:  0.97 厘米1"/>
    <w:basedOn w:val="66"/>
    <w:autoRedefine/>
    <w:qFormat/>
    <w:uiPriority w:val="0"/>
    <w:pPr>
      <w:keepNext/>
      <w:ind w:firstLine="0" w:firstLineChars="0"/>
      <w:jc w:val="center"/>
    </w:pPr>
    <w:rPr>
      <w:rFonts w:ascii="黑体" w:eastAsia="黑体" w:cs="宋体"/>
      <w:b w:val="0"/>
      <w:sz w:val="28"/>
      <w:szCs w:val="20"/>
      <w:lang w:val="en-US"/>
    </w:rPr>
  </w:style>
  <w:style w:type="paragraph" w:customStyle="1" w:styleId="2905">
    <w:name w:val="样式 表头 + 首行缩进:  0.99 厘米"/>
    <w:basedOn w:val="66"/>
    <w:autoRedefine/>
    <w:qFormat/>
    <w:uiPriority w:val="0"/>
    <w:pPr>
      <w:keepNext/>
      <w:ind w:firstLine="0" w:firstLineChars="0"/>
      <w:jc w:val="center"/>
    </w:pPr>
    <w:rPr>
      <w:rFonts w:ascii="黑体" w:eastAsia="黑体" w:cs="宋体"/>
      <w:b w:val="0"/>
      <w:sz w:val="28"/>
      <w:szCs w:val="20"/>
      <w:lang w:val="en-US"/>
    </w:rPr>
  </w:style>
  <w:style w:type="paragraph" w:customStyle="1" w:styleId="2906">
    <w:name w:val="样式 表头 + 五号"/>
    <w:basedOn w:val="66"/>
    <w:link w:val="2907"/>
    <w:autoRedefine/>
    <w:qFormat/>
    <w:uiPriority w:val="0"/>
    <w:pPr>
      <w:keepNext/>
      <w:ind w:firstLine="0" w:firstLineChars="0"/>
      <w:jc w:val="center"/>
    </w:pPr>
    <w:rPr>
      <w:rFonts w:ascii="黑体" w:eastAsia="黑体"/>
      <w:b w:val="0"/>
      <w:lang w:val="en-US"/>
    </w:rPr>
  </w:style>
  <w:style w:type="character" w:customStyle="1" w:styleId="2907">
    <w:name w:val="样式 表头 + 五号 Char"/>
    <w:link w:val="2906"/>
    <w:autoRedefine/>
    <w:qFormat/>
    <w:uiPriority w:val="0"/>
    <w:rPr>
      <w:rFonts w:ascii="黑体" w:eastAsia="黑体"/>
      <w:kern w:val="2"/>
      <w:sz w:val="24"/>
      <w:szCs w:val="24"/>
    </w:rPr>
  </w:style>
  <w:style w:type="paragraph" w:customStyle="1" w:styleId="2908">
    <w:name w:val="4表中文字"/>
    <w:basedOn w:val="1"/>
    <w:autoRedefine/>
    <w:qFormat/>
    <w:uiPriority w:val="0"/>
    <w:pPr>
      <w:tabs>
        <w:tab w:val="left" w:pos="6195"/>
      </w:tabs>
      <w:autoSpaceDE w:val="0"/>
      <w:autoSpaceDN w:val="0"/>
      <w:snapToGrid/>
      <w:spacing w:line="240" w:lineRule="auto"/>
      <w:jc w:val="center"/>
    </w:pPr>
    <w:rPr>
      <w:rFonts w:ascii="仿宋_GB2312" w:eastAsia="仿宋_GB2312"/>
      <w:kern w:val="0"/>
      <w:szCs w:val="24"/>
    </w:rPr>
  </w:style>
  <w:style w:type="paragraph" w:customStyle="1" w:styleId="2909">
    <w:name w:val="参考文献"/>
    <w:basedOn w:val="1"/>
    <w:autoRedefine/>
    <w:qFormat/>
    <w:uiPriority w:val="0"/>
    <w:pPr>
      <w:widowControl/>
      <w:autoSpaceDE w:val="0"/>
      <w:autoSpaceDN w:val="0"/>
      <w:snapToGrid/>
      <w:spacing w:line="318" w:lineRule="atLeast"/>
      <w:textAlignment w:val="bottom"/>
    </w:pPr>
    <w:rPr>
      <w:rFonts w:eastAsia="仿宋_GB2312"/>
      <w:kern w:val="0"/>
      <w:sz w:val="21"/>
    </w:rPr>
  </w:style>
  <w:style w:type="paragraph" w:customStyle="1" w:styleId="2910">
    <w:name w:val="附件名"/>
    <w:autoRedefine/>
    <w:qFormat/>
    <w:uiPriority w:val="0"/>
    <w:pPr>
      <w:jc w:val="center"/>
    </w:pPr>
    <w:rPr>
      <w:rFonts w:ascii="Times New Roman" w:hAnsi="Times New Roman" w:eastAsia="黑体" w:cs="Times New Roman"/>
      <w:sz w:val="36"/>
      <w:lang w:val="en-US" w:eastAsia="zh-CN" w:bidi="ar-SA"/>
    </w:rPr>
  </w:style>
  <w:style w:type="paragraph" w:customStyle="1" w:styleId="2911">
    <w:name w:val="样式 正文 小四 行距: 1.5 倍行距 + 宋体 五号 首行缩进:  2 字符"/>
    <w:basedOn w:val="1"/>
    <w:autoRedefine/>
    <w:qFormat/>
    <w:uiPriority w:val="0"/>
    <w:pPr>
      <w:widowControl/>
      <w:adjustRightInd/>
      <w:snapToGrid/>
      <w:spacing w:line="240" w:lineRule="auto"/>
      <w:jc w:val="center"/>
    </w:pPr>
    <w:rPr>
      <w:rFonts w:ascii="宋体" w:hAnsi="宋体" w:cs="宋体"/>
      <w:kern w:val="0"/>
      <w:sz w:val="21"/>
    </w:rPr>
  </w:style>
  <w:style w:type="paragraph" w:customStyle="1" w:styleId="2912">
    <w:name w:val="样式 样式 正文 小四 行距: 1.5 倍行距 + 宋体 五号 首行缩进:  2 字符 + 首行缩进:  2 字符"/>
    <w:basedOn w:val="2911"/>
    <w:autoRedefine/>
    <w:qFormat/>
    <w:uiPriority w:val="0"/>
    <w:pPr>
      <w:ind w:firstLine="0" w:firstLineChars="0"/>
    </w:pPr>
  </w:style>
  <w:style w:type="paragraph" w:customStyle="1" w:styleId="2913">
    <w:name w:val="样式 正文 + 宋体 五号 首行缩进:  2 字符"/>
    <w:basedOn w:val="1"/>
    <w:autoRedefine/>
    <w:qFormat/>
    <w:uiPriority w:val="0"/>
    <w:pPr>
      <w:adjustRightInd/>
      <w:snapToGrid/>
      <w:spacing w:line="240" w:lineRule="auto"/>
      <w:jc w:val="center"/>
    </w:pPr>
    <w:rPr>
      <w:rFonts w:ascii="宋体" w:hAnsi="宋体" w:cs="宋体"/>
      <w:kern w:val="0"/>
      <w:sz w:val="18"/>
    </w:rPr>
  </w:style>
  <w:style w:type="character" w:customStyle="1" w:styleId="2914">
    <w:name w:val="样式 正文表文字00 +"/>
    <w:autoRedefine/>
    <w:qFormat/>
    <w:uiPriority w:val="0"/>
    <w:rPr>
      <w:rFonts w:eastAsia="宋体"/>
      <w:kern w:val="0"/>
      <w:sz w:val="21"/>
    </w:rPr>
  </w:style>
  <w:style w:type="paragraph" w:customStyle="1" w:styleId="2915">
    <w:name w:val="样式 正文00 + 首行缩进:  2 字符"/>
    <w:basedOn w:val="1"/>
    <w:autoRedefine/>
    <w:qFormat/>
    <w:uiPriority w:val="0"/>
    <w:pPr>
      <w:adjustRightInd/>
      <w:snapToGrid/>
      <w:spacing w:line="240" w:lineRule="auto"/>
      <w:jc w:val="left"/>
    </w:pPr>
    <w:rPr>
      <w:rFonts w:ascii="宋体" w:hAnsi="宋体" w:cs="宋体"/>
      <w:sz w:val="21"/>
    </w:rPr>
  </w:style>
  <w:style w:type="paragraph" w:customStyle="1" w:styleId="2916">
    <w:name w:val="段落1"/>
    <w:basedOn w:val="1"/>
    <w:link w:val="2917"/>
    <w:autoRedefine/>
    <w:qFormat/>
    <w:uiPriority w:val="0"/>
    <w:pPr>
      <w:snapToGrid/>
      <w:spacing w:line="360" w:lineRule="auto"/>
      <w:ind w:right="210" w:rightChars="100" w:firstLine="480"/>
      <w:textAlignment w:val="baseline"/>
    </w:pPr>
    <w:rPr>
      <w:rFonts w:ascii="宋体" w:hAnsi="宋体"/>
      <w:szCs w:val="24"/>
      <w:lang w:val="en-AU"/>
    </w:rPr>
  </w:style>
  <w:style w:type="character" w:customStyle="1" w:styleId="2917">
    <w:name w:val="段落1 Char1"/>
    <w:link w:val="2916"/>
    <w:autoRedefine/>
    <w:qFormat/>
    <w:uiPriority w:val="0"/>
    <w:rPr>
      <w:rFonts w:ascii="宋体" w:hAnsi="宋体"/>
      <w:kern w:val="2"/>
      <w:sz w:val="24"/>
      <w:szCs w:val="24"/>
      <w:lang w:val="en-AU"/>
    </w:rPr>
  </w:style>
  <w:style w:type="paragraph" w:customStyle="1" w:styleId="2918">
    <w:name w:val="样式 左侧:  0 厘米 首行缩进:  0.85 厘米"/>
    <w:basedOn w:val="1"/>
    <w:autoRedefine/>
    <w:qFormat/>
    <w:uiPriority w:val="0"/>
    <w:pPr>
      <w:adjustRightInd/>
      <w:snapToGrid/>
      <w:spacing w:line="240" w:lineRule="auto"/>
      <w:ind w:firstLine="480"/>
    </w:pPr>
    <w:rPr>
      <w:rFonts w:eastAsia="仿宋_GB2312"/>
    </w:rPr>
  </w:style>
  <w:style w:type="paragraph" w:customStyle="1" w:styleId="2919">
    <w:name w:val="样式 标题 2电脑标志 + 首行缩进:  2 字符"/>
    <w:basedOn w:val="4"/>
    <w:autoRedefine/>
    <w:qFormat/>
    <w:uiPriority w:val="0"/>
    <w:pPr>
      <w:keepNext w:val="0"/>
      <w:keepLines w:val="0"/>
      <w:numPr>
        <w:ilvl w:val="0"/>
        <w:numId w:val="0"/>
      </w:numPr>
      <w:spacing w:before="260" w:after="260" w:line="240" w:lineRule="auto"/>
    </w:pPr>
    <w:rPr>
      <w:rFonts w:ascii="黑体" w:hAnsi="Arial" w:eastAsia="黑体" w:cs="宋体"/>
      <w:b w:val="0"/>
      <w:bCs w:val="0"/>
      <w:sz w:val="28"/>
      <w:szCs w:val="20"/>
      <w:lang w:val="en-US"/>
    </w:rPr>
  </w:style>
  <w:style w:type="paragraph" w:customStyle="1" w:styleId="2920">
    <w:name w:val="样式 标题 2电脑标志 + 首行缩进:  2 字符1"/>
    <w:basedOn w:val="4"/>
    <w:autoRedefine/>
    <w:qFormat/>
    <w:uiPriority w:val="0"/>
    <w:pPr>
      <w:keepNext w:val="0"/>
      <w:keepLines w:val="0"/>
      <w:numPr>
        <w:ilvl w:val="0"/>
        <w:numId w:val="0"/>
      </w:numPr>
      <w:spacing w:before="260" w:after="260" w:line="240" w:lineRule="auto"/>
    </w:pPr>
    <w:rPr>
      <w:rFonts w:ascii="黑体" w:hAnsi="Arial" w:eastAsia="黑体" w:cs="宋体"/>
      <w:b w:val="0"/>
      <w:bCs w:val="0"/>
      <w:sz w:val="28"/>
      <w:szCs w:val="20"/>
      <w:lang w:val="en-US"/>
    </w:rPr>
  </w:style>
  <w:style w:type="paragraph" w:customStyle="1" w:styleId="2921">
    <w:name w:val="样式 标题 4 + 首行缩进:  2 字符"/>
    <w:basedOn w:val="6"/>
    <w:autoRedefine/>
    <w:qFormat/>
    <w:uiPriority w:val="0"/>
    <w:pPr>
      <w:keepNext w:val="0"/>
      <w:keepLines w:val="0"/>
      <w:numPr>
        <w:numId w:val="0"/>
      </w:numPr>
      <w:tabs>
        <w:tab w:val="left" w:pos="1680"/>
      </w:tabs>
      <w:adjustRightInd/>
      <w:snapToGrid/>
      <w:spacing w:before="280" w:after="290" w:line="240" w:lineRule="auto"/>
      <w:ind w:firstLine="200" w:firstLineChars="200"/>
      <w:jc w:val="both"/>
    </w:pPr>
    <w:rPr>
      <w:rFonts w:ascii="仿宋_GB2312" w:hAnsi="Arial" w:eastAsia="仿宋_GB2312" w:cs="宋体"/>
      <w:b w:val="0"/>
      <w:bCs w:val="0"/>
      <w:sz w:val="28"/>
      <w:szCs w:val="20"/>
      <w:lang w:val="en-US"/>
    </w:rPr>
  </w:style>
  <w:style w:type="paragraph" w:customStyle="1" w:styleId="2922">
    <w:name w:val="样式 标题 4 + 首行缩进:  28 磅"/>
    <w:basedOn w:val="6"/>
    <w:autoRedefine/>
    <w:qFormat/>
    <w:uiPriority w:val="0"/>
    <w:pPr>
      <w:keepNext w:val="0"/>
      <w:keepLines w:val="0"/>
      <w:numPr>
        <w:numId w:val="0"/>
      </w:numPr>
      <w:tabs>
        <w:tab w:val="left" w:pos="1680"/>
      </w:tabs>
      <w:adjustRightInd/>
      <w:snapToGrid/>
      <w:spacing w:before="280" w:after="290" w:line="240" w:lineRule="auto"/>
      <w:ind w:firstLine="200" w:firstLineChars="200"/>
      <w:jc w:val="both"/>
    </w:pPr>
    <w:rPr>
      <w:rFonts w:ascii="仿宋_GB2312" w:hAnsi="Arial" w:eastAsia="仿宋_GB2312" w:cs="宋体"/>
      <w:b w:val="0"/>
      <w:bCs w:val="0"/>
      <w:sz w:val="28"/>
      <w:szCs w:val="20"/>
      <w:lang w:val="en-US"/>
    </w:rPr>
  </w:style>
  <w:style w:type="paragraph" w:customStyle="1" w:styleId="2923">
    <w:name w:val="样式 表格 + 居中"/>
    <w:basedOn w:val="1"/>
    <w:autoRedefine/>
    <w:qFormat/>
    <w:uiPriority w:val="0"/>
    <w:pPr>
      <w:kinsoku w:val="0"/>
      <w:overflowPunct w:val="0"/>
      <w:spacing w:line="240" w:lineRule="auto"/>
      <w:jc w:val="center"/>
    </w:pPr>
    <w:rPr>
      <w:kern w:val="0"/>
      <w:szCs w:val="28"/>
    </w:rPr>
  </w:style>
  <w:style w:type="character" w:customStyle="1" w:styleId="2924">
    <w:name w:val="图表名 Char"/>
    <w:link w:val="1317"/>
    <w:autoRedefine/>
    <w:qFormat/>
    <w:uiPriority w:val="0"/>
    <w:rPr>
      <w:rFonts w:ascii="宋体" w:hAnsi="Calibri" w:eastAsia="黑体"/>
      <w:sz w:val="24"/>
    </w:rPr>
  </w:style>
  <w:style w:type="paragraph" w:customStyle="1" w:styleId="2925">
    <w:name w:val="样式 样式 表格 + 居中 + 两端对齐 首行缩进:  2 字符"/>
    <w:basedOn w:val="2923"/>
    <w:autoRedefine/>
    <w:qFormat/>
    <w:uiPriority w:val="0"/>
    <w:pPr>
      <w:ind w:firstLine="0" w:firstLineChars="0"/>
      <w:jc w:val="both"/>
    </w:pPr>
    <w:rPr>
      <w:rFonts w:cs="宋体"/>
      <w:szCs w:val="20"/>
    </w:rPr>
  </w:style>
  <w:style w:type="paragraph" w:customStyle="1" w:styleId="2926">
    <w:name w:val="样式 样式 表格 + 居中 + 首行缩进:  2 字符"/>
    <w:basedOn w:val="2923"/>
    <w:autoRedefine/>
    <w:qFormat/>
    <w:uiPriority w:val="0"/>
    <w:pPr>
      <w:ind w:firstLine="0" w:firstLineChars="0"/>
    </w:pPr>
    <w:rPr>
      <w:rFonts w:cs="宋体"/>
      <w:szCs w:val="20"/>
    </w:rPr>
  </w:style>
  <w:style w:type="paragraph" w:customStyle="1" w:styleId="2927">
    <w:name w:val="Char1 Char Char Char Char Char Char"/>
    <w:basedOn w:val="1"/>
    <w:autoRedefine/>
    <w:qFormat/>
    <w:uiPriority w:val="0"/>
    <w:pPr>
      <w:keepNext/>
      <w:keepLines/>
      <w:adjustRightInd/>
      <w:snapToGrid/>
      <w:spacing w:line="240" w:lineRule="exact"/>
      <w:ind w:firstLine="0" w:firstLineChars="0"/>
      <w:jc w:val="left"/>
    </w:pPr>
    <w:rPr>
      <w:rFonts w:ascii="宋体" w:hAnsi="宋体"/>
      <w:b/>
      <w:kern w:val="0"/>
      <w:sz w:val="44"/>
      <w:szCs w:val="44"/>
      <w:lang w:eastAsia="en-US"/>
    </w:rPr>
  </w:style>
  <w:style w:type="character" w:customStyle="1" w:styleId="2928">
    <w:name w:val="p11"/>
    <w:autoRedefine/>
    <w:qFormat/>
    <w:uiPriority w:val="0"/>
    <w:rPr>
      <w:rFonts w:hint="default"/>
      <w:sz w:val="18"/>
      <w:szCs w:val="18"/>
    </w:rPr>
  </w:style>
  <w:style w:type="paragraph" w:customStyle="1" w:styleId="2929">
    <w:name w:val="表号文字"/>
    <w:basedOn w:val="1"/>
    <w:autoRedefine/>
    <w:qFormat/>
    <w:uiPriority w:val="0"/>
    <w:pPr>
      <w:spacing w:line="300" w:lineRule="auto"/>
      <w:ind w:firstLine="0" w:firstLineChars="0"/>
      <w:jc w:val="left"/>
    </w:pPr>
    <w:rPr>
      <w:rFonts w:eastAsia="黑体"/>
      <w:sz w:val="21"/>
      <w:szCs w:val="24"/>
    </w:rPr>
  </w:style>
  <w:style w:type="character" w:customStyle="1" w:styleId="2930">
    <w:name w:val="表文 Char2"/>
    <w:link w:val="1180"/>
    <w:autoRedefine/>
    <w:qFormat/>
    <w:uiPriority w:val="0"/>
    <w:rPr>
      <w:rFonts w:ascii="宋体" w:hAnsi="Calibri" w:cs="宋体"/>
      <w:sz w:val="22"/>
    </w:rPr>
  </w:style>
  <w:style w:type="character" w:customStyle="1" w:styleId="2931">
    <w:name w:val="三号宋体居中行距2倍距 Char"/>
    <w:autoRedefine/>
    <w:qFormat/>
    <w:locked/>
    <w:uiPriority w:val="0"/>
    <w:rPr>
      <w:rFonts w:ascii="Arial" w:hAnsi="Arial" w:eastAsia="黑体"/>
      <w:b/>
      <w:bCs/>
      <w:kern w:val="2"/>
      <w:sz w:val="32"/>
      <w:szCs w:val="32"/>
      <w:lang w:val="en-US" w:eastAsia="zh-CN" w:bidi="ar-SA"/>
    </w:rPr>
  </w:style>
  <w:style w:type="paragraph" w:customStyle="1" w:styleId="2932">
    <w:name w:val="正文（唐）"/>
    <w:basedOn w:val="1"/>
    <w:autoRedefine/>
    <w:semiHidden/>
    <w:qFormat/>
    <w:uiPriority w:val="0"/>
    <w:pPr>
      <w:autoSpaceDE w:val="0"/>
      <w:autoSpaceDN w:val="0"/>
      <w:snapToGrid/>
      <w:spacing w:line="460" w:lineRule="exact"/>
      <w:ind w:left="-45" w:firstLine="480"/>
    </w:pPr>
    <w:rPr>
      <w:rFonts w:ascii="宋体" w:hAnsi="宋体" w:eastAsia="Times New Roman" w:cs="宋体"/>
      <w:b/>
      <w:szCs w:val="24"/>
    </w:rPr>
  </w:style>
  <w:style w:type="character" w:customStyle="1" w:styleId="2933">
    <w:name w:val="页眉小5号 Char Char"/>
    <w:autoRedefine/>
    <w:qFormat/>
    <w:uiPriority w:val="0"/>
    <w:rPr>
      <w:rFonts w:eastAsia="宋体"/>
      <w:kern w:val="2"/>
      <w:sz w:val="18"/>
      <w:szCs w:val="18"/>
      <w:lang w:val="en-US" w:eastAsia="zh-CN" w:bidi="ar-SA"/>
    </w:rPr>
  </w:style>
  <w:style w:type="paragraph" w:customStyle="1" w:styleId="2934">
    <w:name w:val="1 Char Char Char Char Char Char Char"/>
    <w:basedOn w:val="1"/>
    <w:autoRedefine/>
    <w:qFormat/>
    <w:uiPriority w:val="0"/>
    <w:pPr>
      <w:adjustRightInd/>
      <w:snapToGrid/>
      <w:spacing w:line="240" w:lineRule="auto"/>
      <w:ind w:firstLine="0" w:firstLineChars="0"/>
    </w:pPr>
    <w:rPr>
      <w:sz w:val="21"/>
      <w:szCs w:val="24"/>
    </w:rPr>
  </w:style>
  <w:style w:type="character" w:customStyle="1" w:styleId="2935">
    <w:name w:val="四号宋体左齐行距1.5倍 Char"/>
    <w:autoRedefine/>
    <w:qFormat/>
    <w:locked/>
    <w:uiPriority w:val="0"/>
    <w:rPr>
      <w:rFonts w:eastAsia="宋体"/>
      <w:b/>
      <w:bCs/>
      <w:kern w:val="2"/>
      <w:sz w:val="32"/>
      <w:szCs w:val="32"/>
      <w:lang w:val="en-US" w:eastAsia="zh-CN" w:bidi="ar-SA"/>
    </w:rPr>
  </w:style>
  <w:style w:type="paragraph" w:customStyle="1" w:styleId="2936">
    <w:name w:val="111"/>
    <w:basedOn w:val="6"/>
    <w:next w:val="1"/>
    <w:autoRedefine/>
    <w:qFormat/>
    <w:uiPriority w:val="0"/>
    <w:pPr>
      <w:numPr>
        <w:numId w:val="0"/>
      </w:numPr>
      <w:tabs>
        <w:tab w:val="left" w:pos="1680"/>
        <w:tab w:val="left" w:pos="2880"/>
      </w:tabs>
      <w:adjustRightInd/>
      <w:snapToGrid/>
      <w:spacing w:before="280" w:after="290" w:line="376" w:lineRule="auto"/>
      <w:ind w:left="2880" w:hanging="360" w:firstLineChars="200"/>
      <w:jc w:val="both"/>
    </w:pPr>
    <w:rPr>
      <w:rFonts w:ascii="Arial" w:hAnsi="Arial" w:eastAsia="黑体"/>
      <w:bCs w:val="0"/>
      <w:sz w:val="28"/>
      <w:szCs w:val="20"/>
      <w:lang w:val="en-US"/>
    </w:rPr>
  </w:style>
  <w:style w:type="paragraph" w:customStyle="1" w:styleId="2937">
    <w:name w:val="新"/>
    <w:basedOn w:val="7"/>
    <w:autoRedefine/>
    <w:qFormat/>
    <w:uiPriority w:val="0"/>
    <w:pPr>
      <w:numPr>
        <w:numId w:val="0"/>
      </w:numPr>
      <w:tabs>
        <w:tab w:val="left" w:pos="2100"/>
        <w:tab w:val="left" w:pos="3600"/>
      </w:tabs>
      <w:adjustRightInd/>
      <w:snapToGrid/>
      <w:spacing w:before="0" w:after="0"/>
      <w:ind w:left="3600" w:hanging="360"/>
    </w:pPr>
    <w:rPr>
      <w:bCs w:val="0"/>
      <w:sz w:val="24"/>
      <w:szCs w:val="20"/>
      <w:lang w:val="en-US"/>
    </w:rPr>
  </w:style>
  <w:style w:type="character" w:customStyle="1" w:styleId="2938">
    <w:name w:val="页眉小5号 Char Char1"/>
    <w:autoRedefine/>
    <w:qFormat/>
    <w:uiPriority w:val="0"/>
    <w:rPr>
      <w:rFonts w:eastAsia="宋体"/>
      <w:kern w:val="2"/>
      <w:sz w:val="18"/>
      <w:szCs w:val="18"/>
      <w:lang w:val="en-US" w:eastAsia="zh-CN" w:bidi="ar-SA"/>
    </w:rPr>
  </w:style>
  <w:style w:type="character" w:customStyle="1" w:styleId="2939">
    <w:name w:val="链接"/>
    <w:autoRedefine/>
    <w:qFormat/>
    <w:uiPriority w:val="0"/>
    <w:rPr>
      <w:rFonts w:ascii="Times New Roman" w:eastAsia="宋体"/>
      <w:color w:val="0000FF"/>
      <w:sz w:val="21"/>
      <w:u w:val="single" w:color="0000FF"/>
      <w:vertAlign w:val="baseline"/>
      <w:lang w:val="en-US" w:eastAsia="zh-CN"/>
    </w:rPr>
  </w:style>
  <w:style w:type="paragraph" w:customStyle="1" w:styleId="2940">
    <w:name w:val="目录标题"/>
    <w:basedOn w:val="1"/>
    <w:next w:val="1"/>
    <w:autoRedefine/>
    <w:qFormat/>
    <w:uiPriority w:val="0"/>
    <w:pPr>
      <w:widowControl/>
      <w:adjustRightInd/>
      <w:snapToGrid/>
      <w:spacing w:line="566" w:lineRule="atLeast"/>
      <w:ind w:firstLine="419" w:firstLineChars="0"/>
      <w:jc w:val="center"/>
      <w:textAlignment w:val="baseline"/>
    </w:pPr>
    <w:rPr>
      <w:rFonts w:ascii="Arial" w:eastAsia="黑体"/>
      <w:color w:val="000000"/>
      <w:spacing w:val="566"/>
      <w:kern w:val="0"/>
      <w:sz w:val="54"/>
      <w:u w:color="000000"/>
    </w:rPr>
  </w:style>
  <w:style w:type="paragraph" w:customStyle="1" w:styleId="2941">
    <w:name w:val="文章总标题"/>
    <w:basedOn w:val="1"/>
    <w:next w:val="2942"/>
    <w:autoRedefine/>
    <w:qFormat/>
    <w:uiPriority w:val="0"/>
    <w:pPr>
      <w:widowControl/>
      <w:adjustRightInd/>
      <w:snapToGrid/>
      <w:spacing w:line="566" w:lineRule="atLeast"/>
      <w:ind w:firstLine="0" w:firstLineChars="0"/>
      <w:jc w:val="center"/>
      <w:textAlignment w:val="baseline"/>
    </w:pPr>
    <w:rPr>
      <w:rFonts w:ascii="Arial" w:eastAsia="黑体"/>
      <w:color w:val="000000"/>
      <w:kern w:val="0"/>
      <w:sz w:val="54"/>
      <w:u w:color="000000"/>
    </w:rPr>
  </w:style>
  <w:style w:type="paragraph" w:customStyle="1" w:styleId="2942">
    <w:name w:val="文章附标题"/>
    <w:basedOn w:val="1"/>
    <w:next w:val="331"/>
    <w:autoRedefine/>
    <w:qFormat/>
    <w:uiPriority w:val="0"/>
    <w:pPr>
      <w:widowControl/>
      <w:adjustRightInd/>
      <w:snapToGrid/>
      <w:spacing w:line="374" w:lineRule="atLeast"/>
      <w:ind w:firstLine="0" w:firstLineChars="0"/>
      <w:jc w:val="center"/>
      <w:textAlignment w:val="baseline"/>
    </w:pPr>
    <w:rPr>
      <w:color w:val="000000"/>
      <w:kern w:val="0"/>
      <w:sz w:val="36"/>
      <w:u w:color="000000"/>
    </w:rPr>
  </w:style>
  <w:style w:type="paragraph" w:customStyle="1" w:styleId="2943">
    <w:name w:val="目录3"/>
    <w:basedOn w:val="1"/>
    <w:next w:val="1"/>
    <w:autoRedefine/>
    <w:qFormat/>
    <w:uiPriority w:val="0"/>
    <w:pPr>
      <w:widowControl/>
      <w:tabs>
        <w:tab w:val="left" w:leader="dot" w:pos="8503"/>
      </w:tabs>
      <w:adjustRightInd/>
      <w:snapToGrid/>
      <w:spacing w:line="317" w:lineRule="atLeast"/>
      <w:ind w:firstLine="419" w:firstLineChars="0"/>
      <w:textAlignment w:val="baseline"/>
    </w:pPr>
    <w:rPr>
      <w:color w:val="000000"/>
      <w:kern w:val="0"/>
      <w:sz w:val="21"/>
      <w:u w:color="000000"/>
    </w:rPr>
  </w:style>
  <w:style w:type="paragraph" w:customStyle="1" w:styleId="2944">
    <w:name w:val="目录4"/>
    <w:basedOn w:val="1"/>
    <w:next w:val="1"/>
    <w:autoRedefine/>
    <w:qFormat/>
    <w:uiPriority w:val="0"/>
    <w:pPr>
      <w:widowControl/>
      <w:tabs>
        <w:tab w:val="left" w:leader="dot" w:pos="8503"/>
      </w:tabs>
      <w:adjustRightInd/>
      <w:snapToGrid/>
      <w:spacing w:line="317" w:lineRule="atLeast"/>
      <w:ind w:firstLine="629" w:firstLineChars="0"/>
      <w:textAlignment w:val="baseline"/>
    </w:pPr>
    <w:rPr>
      <w:color w:val="000000"/>
      <w:kern w:val="0"/>
      <w:sz w:val="21"/>
      <w:u w:color="000000"/>
    </w:rPr>
  </w:style>
  <w:style w:type="paragraph" w:customStyle="1" w:styleId="2945">
    <w:name w:val="0005左缩2"/>
    <w:basedOn w:val="1"/>
    <w:autoRedefine/>
    <w:qFormat/>
    <w:uiPriority w:val="0"/>
    <w:pPr>
      <w:widowControl/>
      <w:autoSpaceDE w:val="0"/>
      <w:autoSpaceDN w:val="0"/>
      <w:snapToGrid/>
      <w:spacing w:afterLines="30" w:line="500" w:lineRule="exact"/>
    </w:pPr>
    <w:rPr>
      <w:rFonts w:ascii="宋体" w:hAnsi="宋体"/>
      <w:sz w:val="28"/>
      <w:szCs w:val="28"/>
    </w:rPr>
  </w:style>
  <w:style w:type="paragraph" w:customStyle="1" w:styleId="2946">
    <w:name w:val="正"/>
    <w:basedOn w:val="21"/>
    <w:link w:val="2947"/>
    <w:autoRedefine/>
    <w:qFormat/>
    <w:uiPriority w:val="0"/>
    <w:pPr>
      <w:topLinePunct/>
      <w:autoSpaceDE w:val="0"/>
      <w:autoSpaceDN w:val="0"/>
      <w:adjustRightInd w:val="0"/>
      <w:snapToGrid w:val="0"/>
      <w:spacing w:line="500" w:lineRule="exact"/>
      <w:ind w:firstLine="560"/>
    </w:pPr>
    <w:rPr>
      <w:rFonts w:ascii="宋体" w:hAnsi="宋体"/>
      <w:sz w:val="28"/>
      <w:szCs w:val="28"/>
    </w:rPr>
  </w:style>
  <w:style w:type="character" w:customStyle="1" w:styleId="2947">
    <w:name w:val="正 Char1"/>
    <w:link w:val="2946"/>
    <w:autoRedefine/>
    <w:qFormat/>
    <w:uiPriority w:val="0"/>
    <w:rPr>
      <w:rFonts w:ascii="宋体" w:hAnsi="宋体"/>
      <w:kern w:val="2"/>
      <w:sz w:val="28"/>
      <w:szCs w:val="28"/>
      <w:lang w:val="zh-CN"/>
    </w:rPr>
  </w:style>
  <w:style w:type="paragraph" w:customStyle="1" w:styleId="2948">
    <w:name w:val="标题符"/>
    <w:basedOn w:val="1"/>
    <w:autoRedefine/>
    <w:qFormat/>
    <w:uiPriority w:val="0"/>
    <w:pPr>
      <w:tabs>
        <w:tab w:val="left" w:pos="360"/>
      </w:tabs>
      <w:overflowPunct w:val="0"/>
      <w:adjustRightInd/>
      <w:ind w:firstLine="560"/>
    </w:pPr>
    <w:rPr>
      <w:rFonts w:ascii="Arial" w:hAnsi="Arial" w:eastAsia="仿宋_GB2312"/>
      <w:sz w:val="28"/>
    </w:rPr>
  </w:style>
  <w:style w:type="paragraph" w:customStyle="1" w:styleId="2949">
    <w:name w:val="蒲标题2"/>
    <w:basedOn w:val="4"/>
    <w:autoRedefine/>
    <w:qFormat/>
    <w:uiPriority w:val="0"/>
    <w:pPr>
      <w:numPr>
        <w:ilvl w:val="0"/>
        <w:numId w:val="0"/>
      </w:numPr>
      <w:autoSpaceDE w:val="0"/>
      <w:autoSpaceDN w:val="0"/>
      <w:spacing w:before="260" w:after="260" w:line="360" w:lineRule="auto"/>
      <w:outlineLvl w:val="0"/>
    </w:pPr>
    <w:rPr>
      <w:color w:val="000000"/>
      <w:kern w:val="0"/>
      <w:szCs w:val="24"/>
      <w:lang w:val="en-US"/>
    </w:rPr>
  </w:style>
  <w:style w:type="paragraph" w:customStyle="1" w:styleId="2950">
    <w:name w:val="0002"/>
    <w:basedOn w:val="4"/>
    <w:autoRedefine/>
    <w:qFormat/>
    <w:uiPriority w:val="0"/>
    <w:pPr>
      <w:keepNext w:val="0"/>
      <w:keepLines w:val="0"/>
      <w:numPr>
        <w:ilvl w:val="0"/>
        <w:numId w:val="0"/>
      </w:numPr>
      <w:spacing w:beforeLines="100" w:after="260" w:line="360" w:lineRule="auto"/>
      <w:jc w:val="left"/>
    </w:pPr>
    <w:rPr>
      <w:rFonts w:ascii="宋体" w:hAnsi="Arial"/>
      <w:kern w:val="0"/>
      <w:sz w:val="32"/>
      <w:lang w:val="en-US"/>
    </w:rPr>
  </w:style>
  <w:style w:type="character" w:customStyle="1" w:styleId="2951">
    <w:name w:val="hui141"/>
    <w:autoRedefine/>
    <w:qFormat/>
    <w:uiPriority w:val="0"/>
    <w:rPr>
      <w:b/>
      <w:bCs/>
      <w:color w:val="333333"/>
      <w:sz w:val="21"/>
      <w:szCs w:val="21"/>
    </w:rPr>
  </w:style>
  <w:style w:type="character" w:customStyle="1" w:styleId="2952">
    <w:name w:val="小2号宋体居中行距2倍 Char"/>
    <w:autoRedefine/>
    <w:qFormat/>
    <w:locked/>
    <w:uiPriority w:val="0"/>
    <w:rPr>
      <w:rFonts w:eastAsia="宋体"/>
      <w:b/>
      <w:bCs/>
      <w:kern w:val="44"/>
      <w:sz w:val="44"/>
      <w:szCs w:val="44"/>
      <w:lang w:val="en-US" w:eastAsia="zh-CN" w:bidi="ar-SA"/>
    </w:rPr>
  </w:style>
  <w:style w:type="character" w:customStyle="1" w:styleId="2953">
    <w:name w:val="节 Char1"/>
    <w:autoRedefine/>
    <w:qFormat/>
    <w:locked/>
    <w:uiPriority w:val="0"/>
    <w:rPr>
      <w:rFonts w:ascii="Arial" w:hAnsi="Arial" w:eastAsia="黑体"/>
      <w:b/>
      <w:bCs/>
      <w:kern w:val="2"/>
      <w:sz w:val="32"/>
      <w:szCs w:val="32"/>
      <w:lang w:val="en-US" w:eastAsia="zh-CN" w:bidi="ar-SA"/>
    </w:rPr>
  </w:style>
  <w:style w:type="character" w:customStyle="1" w:styleId="2954">
    <w:name w:val="5号宋体居中 Char Char"/>
    <w:autoRedefine/>
    <w:qFormat/>
    <w:locked/>
    <w:uiPriority w:val="0"/>
    <w:rPr>
      <w:rFonts w:ascii="Arial" w:hAnsi="Arial" w:eastAsia="黑体"/>
      <w:kern w:val="2"/>
      <w:sz w:val="21"/>
      <w:lang w:val="en-US" w:eastAsia="zh-CN" w:bidi="ar-SA"/>
    </w:rPr>
  </w:style>
  <w:style w:type="paragraph" w:customStyle="1" w:styleId="2955">
    <w:name w:val="样式 图格式"/>
    <w:basedOn w:val="4"/>
    <w:autoRedefine/>
    <w:semiHidden/>
    <w:qFormat/>
    <w:uiPriority w:val="0"/>
    <w:pPr>
      <w:numPr>
        <w:ilvl w:val="0"/>
        <w:numId w:val="0"/>
      </w:numPr>
      <w:shd w:val="clear" w:color="auto" w:fill="FFFFFF"/>
      <w:kinsoku w:val="0"/>
      <w:overflowPunct w:val="0"/>
      <w:autoSpaceDE w:val="0"/>
      <w:autoSpaceDN w:val="0"/>
      <w:spacing w:before="260" w:after="260" w:line="300" w:lineRule="atLeast"/>
      <w:jc w:val="left"/>
      <w:outlineLvl w:val="9"/>
    </w:pPr>
    <w:rPr>
      <w:rFonts w:ascii="Arial" w:hAnsi="Arial" w:cs="宋体"/>
      <w:color w:val="0000FF"/>
      <w:kern w:val="0"/>
      <w:szCs w:val="24"/>
      <w:lang w:val="en-US"/>
    </w:rPr>
  </w:style>
  <w:style w:type="paragraph" w:customStyle="1" w:styleId="2956">
    <w:name w:val="样式 5号表"/>
    <w:basedOn w:val="1"/>
    <w:autoRedefine/>
    <w:qFormat/>
    <w:uiPriority w:val="0"/>
    <w:pPr>
      <w:shd w:val="clear" w:color="auto" w:fill="FFFFFF"/>
      <w:kinsoku w:val="0"/>
      <w:overflowPunct w:val="0"/>
      <w:autoSpaceDE w:val="0"/>
      <w:autoSpaceDN w:val="0"/>
      <w:adjustRightInd/>
      <w:spacing w:line="300" w:lineRule="exact"/>
      <w:ind w:firstLine="0" w:firstLineChars="0"/>
    </w:pPr>
    <w:rPr>
      <w:rFonts w:ascii="宋体" w:hAnsi="宋体" w:cs="宋体"/>
      <w:bCs/>
      <w:sz w:val="21"/>
    </w:rPr>
  </w:style>
  <w:style w:type="paragraph" w:customStyle="1" w:styleId="2957">
    <w:name w:val="样式 标题 1 + 宋体 四号 居中"/>
    <w:basedOn w:val="3"/>
    <w:autoRedefine/>
    <w:qFormat/>
    <w:uiPriority w:val="0"/>
    <w:pPr>
      <w:numPr>
        <w:numId w:val="0"/>
      </w:numPr>
      <w:adjustRightInd/>
      <w:snapToGrid/>
      <w:spacing w:before="340" w:after="330" w:line="600" w:lineRule="exact"/>
      <w:jc w:val="center"/>
    </w:pPr>
    <w:rPr>
      <w:bCs w:val="0"/>
      <w:color w:val="FF0000"/>
      <w:sz w:val="32"/>
      <w:szCs w:val="28"/>
      <w:lang w:val="en-US"/>
    </w:rPr>
  </w:style>
  <w:style w:type="character" w:customStyle="1" w:styleId="2958">
    <w:name w:val="样式 标题 2 + 首行缩进:  2 字符 Char"/>
    <w:link w:val="2552"/>
    <w:autoRedefine/>
    <w:qFormat/>
    <w:locked/>
    <w:uiPriority w:val="0"/>
    <w:rPr>
      <w:rFonts w:eastAsia="黑体" w:cs="宋体"/>
      <w:b/>
      <w:kern w:val="2"/>
      <w:sz w:val="24"/>
    </w:rPr>
  </w:style>
  <w:style w:type="paragraph" w:customStyle="1" w:styleId="2959">
    <w:name w:val="样式 标题 1 + 首行缩进:  2 字符"/>
    <w:basedOn w:val="3"/>
    <w:autoRedefine/>
    <w:qFormat/>
    <w:uiPriority w:val="0"/>
    <w:pPr>
      <w:numPr>
        <w:numId w:val="0"/>
      </w:numPr>
      <w:adjustRightInd/>
      <w:snapToGrid/>
      <w:spacing w:before="340" w:after="330" w:line="360" w:lineRule="auto"/>
      <w:jc w:val="both"/>
    </w:pPr>
    <w:rPr>
      <w:rFonts w:ascii="宋体" w:hAnsi="宋体" w:cs="宋体"/>
      <w:color w:val="FF0000"/>
      <w:sz w:val="36"/>
      <w:szCs w:val="20"/>
      <w:lang w:val="en-US"/>
    </w:rPr>
  </w:style>
  <w:style w:type="paragraph" w:customStyle="1" w:styleId="2960">
    <w:name w:val="样式 样式 标题 2 + 宋体 小二 首行缩进:  2 字符 + 段前: 0.5 行 段后: 0.5 行"/>
    <w:basedOn w:val="1"/>
    <w:autoRedefine/>
    <w:qFormat/>
    <w:uiPriority w:val="0"/>
    <w:pPr>
      <w:keepNext/>
      <w:keepLines/>
      <w:adjustRightInd/>
      <w:snapToGrid/>
      <w:spacing w:beforeLines="50" w:line="240" w:lineRule="auto"/>
      <w:ind w:firstLine="0" w:firstLineChars="0"/>
      <w:outlineLvl w:val="1"/>
    </w:pPr>
    <w:rPr>
      <w:rFonts w:ascii="宋体" w:hAnsi="宋体" w:cs="宋体"/>
      <w:b/>
      <w:bCs/>
      <w:sz w:val="32"/>
    </w:rPr>
  </w:style>
  <w:style w:type="character" w:customStyle="1" w:styleId="2961">
    <w:name w:val="样式 标题 2 + 宋体 小二 首行缩进:  2 字符 Char"/>
    <w:link w:val="2962"/>
    <w:autoRedefine/>
    <w:qFormat/>
    <w:locked/>
    <w:uiPriority w:val="0"/>
    <w:rPr>
      <w:rFonts w:ascii="宋体" w:hAnsi="宋体" w:cs="宋体"/>
      <w:b/>
      <w:bCs/>
      <w:sz w:val="32"/>
    </w:rPr>
  </w:style>
  <w:style w:type="paragraph" w:customStyle="1" w:styleId="2962">
    <w:name w:val="样式 标题 2 + 宋体 小二 首行缩进:  2 字符"/>
    <w:basedOn w:val="4"/>
    <w:link w:val="2961"/>
    <w:autoRedefine/>
    <w:qFormat/>
    <w:uiPriority w:val="0"/>
    <w:pPr>
      <w:numPr>
        <w:ilvl w:val="0"/>
        <w:numId w:val="0"/>
      </w:numPr>
      <w:spacing w:beforeLines="50" w:afterLines="50" w:line="240" w:lineRule="auto"/>
    </w:pPr>
    <w:rPr>
      <w:rFonts w:ascii="宋体" w:hAnsi="宋体" w:cs="宋体"/>
      <w:kern w:val="0"/>
      <w:sz w:val="32"/>
      <w:szCs w:val="20"/>
      <w:lang w:val="en-US"/>
    </w:rPr>
  </w:style>
  <w:style w:type="paragraph" w:customStyle="1" w:styleId="2963">
    <w:name w:val="样式 标题 3 + 段前: 0.5 行 段后: 0.5 行"/>
    <w:basedOn w:val="5"/>
    <w:autoRedefine/>
    <w:qFormat/>
    <w:uiPriority w:val="0"/>
    <w:pPr>
      <w:numPr>
        <w:numId w:val="0"/>
      </w:numPr>
      <w:tabs>
        <w:tab w:val="left" w:pos="1260"/>
      </w:tabs>
      <w:adjustRightInd/>
      <w:snapToGrid/>
      <w:spacing w:before="260" w:after="260" w:line="360" w:lineRule="auto"/>
      <w:ind w:firstLine="200" w:firstLineChars="200"/>
    </w:pPr>
    <w:rPr>
      <w:rFonts w:ascii="宋体" w:hAnsi="宋体" w:cs="宋体"/>
      <w:b w:val="0"/>
      <w:sz w:val="30"/>
      <w:szCs w:val="20"/>
      <w:lang w:val="en-US"/>
    </w:rPr>
  </w:style>
  <w:style w:type="paragraph" w:customStyle="1" w:styleId="2964">
    <w:name w:val="小标题"/>
    <w:basedOn w:val="1"/>
    <w:autoRedefine/>
    <w:qFormat/>
    <w:uiPriority w:val="0"/>
    <w:pPr>
      <w:adjustRightInd/>
      <w:snapToGrid/>
      <w:spacing w:line="500" w:lineRule="exact"/>
      <w:ind w:firstLine="567" w:firstLineChars="0"/>
    </w:pPr>
    <w:rPr>
      <w:sz w:val="28"/>
      <w:szCs w:val="28"/>
    </w:rPr>
  </w:style>
  <w:style w:type="paragraph" w:customStyle="1" w:styleId="2965">
    <w:name w:val="大标题"/>
    <w:basedOn w:val="1"/>
    <w:autoRedefine/>
    <w:qFormat/>
    <w:uiPriority w:val="0"/>
    <w:pPr>
      <w:adjustRightInd/>
      <w:snapToGrid/>
      <w:spacing w:line="500" w:lineRule="exact"/>
      <w:ind w:firstLine="0" w:firstLineChars="0"/>
      <w:jc w:val="left"/>
    </w:pPr>
    <w:rPr>
      <w:sz w:val="28"/>
      <w:szCs w:val="28"/>
    </w:rPr>
  </w:style>
  <w:style w:type="paragraph" w:customStyle="1" w:styleId="2966">
    <w:name w:val="样式 样式 首行缩进:  2 字符 + 居中"/>
    <w:basedOn w:val="1039"/>
    <w:autoRedefine/>
    <w:qFormat/>
    <w:uiPriority w:val="0"/>
    <w:pPr>
      <w:widowControl w:val="0"/>
      <w:adjustRightInd/>
      <w:snapToGrid/>
      <w:spacing w:line="500" w:lineRule="exact"/>
      <w:ind w:firstLine="0" w:firstLineChars="0"/>
      <w:jc w:val="center"/>
    </w:pPr>
    <w:rPr>
      <w:rFonts w:ascii="宋体" w:hAnsi="宋体" w:cs="宋体"/>
      <w:kern w:val="2"/>
      <w:lang w:val="en-US" w:eastAsia="zh-CN"/>
    </w:rPr>
  </w:style>
  <w:style w:type="paragraph" w:customStyle="1" w:styleId="2967">
    <w:name w:val="样式 样式 首行缩进:  2 字符 + 居中1"/>
    <w:basedOn w:val="1039"/>
    <w:autoRedefine/>
    <w:qFormat/>
    <w:uiPriority w:val="0"/>
    <w:pPr>
      <w:widowControl w:val="0"/>
      <w:adjustRightInd/>
      <w:snapToGrid/>
      <w:spacing w:line="500" w:lineRule="exact"/>
      <w:ind w:firstLine="0" w:firstLineChars="0"/>
      <w:jc w:val="center"/>
    </w:pPr>
    <w:rPr>
      <w:rFonts w:ascii="宋体" w:hAnsi="宋体" w:cs="宋体"/>
      <w:kern w:val="2"/>
      <w:szCs w:val="28"/>
      <w:lang w:val="en-US" w:eastAsia="zh-CN"/>
    </w:rPr>
  </w:style>
  <w:style w:type="paragraph" w:customStyle="1" w:styleId="2968">
    <w:name w:val="3字符"/>
    <w:basedOn w:val="1"/>
    <w:autoRedefine/>
    <w:qFormat/>
    <w:uiPriority w:val="0"/>
    <w:pPr>
      <w:adjustRightInd/>
      <w:snapToGrid/>
      <w:spacing w:line="500" w:lineRule="exact"/>
      <w:ind w:left="561" w:firstLine="100" w:firstLineChars="100"/>
    </w:pPr>
    <w:rPr>
      <w:sz w:val="28"/>
      <w:szCs w:val="28"/>
    </w:rPr>
  </w:style>
  <w:style w:type="paragraph" w:customStyle="1" w:styleId="2969">
    <w:name w:val="征文"/>
    <w:basedOn w:val="1"/>
    <w:autoRedefine/>
    <w:qFormat/>
    <w:uiPriority w:val="0"/>
    <w:pPr>
      <w:adjustRightInd/>
      <w:snapToGrid/>
      <w:spacing w:line="400" w:lineRule="exact"/>
      <w:ind w:firstLine="480" w:firstLineChars="0"/>
    </w:pPr>
    <w:rPr>
      <w:rFonts w:cs="宋体"/>
    </w:rPr>
  </w:style>
  <w:style w:type="paragraph" w:customStyle="1" w:styleId="2970">
    <w:name w:val="样式 3字符 + 首行缩进:  1 字符"/>
    <w:basedOn w:val="2968"/>
    <w:autoRedefine/>
    <w:qFormat/>
    <w:uiPriority w:val="0"/>
    <w:pPr>
      <w:ind w:firstLine="280"/>
    </w:pPr>
    <w:rPr>
      <w:rFonts w:cs="宋体"/>
      <w:szCs w:val="20"/>
    </w:rPr>
  </w:style>
  <w:style w:type="paragraph" w:customStyle="1" w:styleId="2971">
    <w:name w:val="5号字表"/>
    <w:basedOn w:val="1"/>
    <w:autoRedefine/>
    <w:qFormat/>
    <w:uiPriority w:val="0"/>
    <w:pPr>
      <w:tabs>
        <w:tab w:val="left" w:pos="210"/>
      </w:tabs>
      <w:adjustRightInd/>
      <w:snapToGrid/>
      <w:spacing w:line="500" w:lineRule="exact"/>
      <w:jc w:val="left"/>
    </w:pPr>
    <w:rPr>
      <w:rFonts w:ascii="宋体" w:hAnsi="宋体" w:cs="宋体"/>
      <w:bCs/>
      <w:sz w:val="28"/>
    </w:rPr>
  </w:style>
  <w:style w:type="paragraph" w:customStyle="1" w:styleId="2972">
    <w:name w:val="样式 目录 1 级别1"/>
    <w:basedOn w:val="1"/>
    <w:next w:val="1"/>
    <w:autoRedefine/>
    <w:qFormat/>
    <w:uiPriority w:val="0"/>
    <w:pPr>
      <w:shd w:val="clear" w:color="auto" w:fill="FFFFFF"/>
      <w:tabs>
        <w:tab w:val="left" w:pos="210"/>
      </w:tabs>
      <w:kinsoku w:val="0"/>
      <w:overflowPunct w:val="0"/>
      <w:autoSpaceDE w:val="0"/>
      <w:autoSpaceDN w:val="0"/>
      <w:spacing w:line="400" w:lineRule="exact"/>
      <w:jc w:val="left"/>
    </w:pPr>
    <w:rPr>
      <w:rFonts w:ascii="宋体" w:hAnsi="宋体" w:cs="宋体"/>
      <w:b/>
      <w:bCs/>
      <w:szCs w:val="28"/>
    </w:rPr>
  </w:style>
  <w:style w:type="paragraph" w:customStyle="1" w:styleId="2973">
    <w:name w:val="设计封面"/>
    <w:basedOn w:val="4"/>
    <w:autoRedefine/>
    <w:qFormat/>
    <w:uiPriority w:val="0"/>
    <w:pPr>
      <w:numPr>
        <w:ilvl w:val="0"/>
        <w:numId w:val="0"/>
      </w:numPr>
      <w:tabs>
        <w:tab w:val="left" w:pos="210"/>
      </w:tabs>
      <w:spacing w:before="260" w:after="260" w:line="500" w:lineRule="exact"/>
      <w:ind w:firstLine="200" w:firstLineChars="200"/>
      <w:jc w:val="center"/>
      <w:outlineLvl w:val="9"/>
    </w:pPr>
    <w:rPr>
      <w:rFonts w:ascii="Arial" w:hAnsi="Arial" w:eastAsia="华文中宋"/>
      <w:bCs w:val="0"/>
      <w:sz w:val="72"/>
      <w:szCs w:val="28"/>
      <w:lang w:val="en-US"/>
    </w:rPr>
  </w:style>
  <w:style w:type="paragraph" w:customStyle="1" w:styleId="2974">
    <w:name w:val="设计封面矿名魏体1"/>
    <w:basedOn w:val="1"/>
    <w:autoRedefine/>
    <w:qFormat/>
    <w:uiPriority w:val="0"/>
    <w:pPr>
      <w:tabs>
        <w:tab w:val="left" w:pos="210"/>
      </w:tabs>
      <w:autoSpaceDE w:val="0"/>
      <w:autoSpaceDN w:val="0"/>
      <w:adjustRightInd/>
      <w:snapToGrid/>
      <w:spacing w:line="500" w:lineRule="exact"/>
      <w:ind w:firstLine="0" w:firstLineChars="0"/>
      <w:jc w:val="center"/>
    </w:pPr>
    <w:rPr>
      <w:rFonts w:eastAsia="华文新魏"/>
      <w:bCs/>
      <w:sz w:val="52"/>
      <w:szCs w:val="28"/>
    </w:rPr>
  </w:style>
  <w:style w:type="paragraph" w:customStyle="1" w:styleId="2975">
    <w:name w:val="设计封面日期中宋2"/>
    <w:basedOn w:val="1"/>
    <w:next w:val="1"/>
    <w:autoRedefine/>
    <w:qFormat/>
    <w:uiPriority w:val="0"/>
    <w:pPr>
      <w:tabs>
        <w:tab w:val="left" w:pos="210"/>
      </w:tabs>
      <w:adjustRightInd/>
      <w:spacing w:line="360" w:lineRule="auto"/>
      <w:ind w:firstLine="0" w:firstLineChars="0"/>
      <w:jc w:val="center"/>
    </w:pPr>
    <w:rPr>
      <w:rFonts w:ascii="宋体" w:hAnsi="宋体"/>
      <w:b/>
      <w:bCs/>
      <w:spacing w:val="60"/>
      <w:sz w:val="44"/>
      <w:szCs w:val="28"/>
    </w:rPr>
  </w:style>
  <w:style w:type="paragraph" w:customStyle="1" w:styleId="2976">
    <w:name w:val="设计著录宋2"/>
    <w:basedOn w:val="2975"/>
    <w:next w:val="1"/>
    <w:autoRedefine/>
    <w:qFormat/>
    <w:uiPriority w:val="0"/>
    <w:pPr>
      <w:adjustRightInd w:val="0"/>
      <w:ind w:firstLine="300" w:firstLineChars="300"/>
      <w:jc w:val="both"/>
    </w:pPr>
    <w:rPr>
      <w:rFonts w:ascii="Times New Roman" w:hAnsi="Times New Roman" w:eastAsia="华文中宋"/>
      <w:kern w:val="4"/>
    </w:rPr>
  </w:style>
  <w:style w:type="paragraph" w:customStyle="1" w:styleId="2977">
    <w:name w:val="样式 标题 2 + 宋体 四号 首行缩进:  0.99 厘米"/>
    <w:basedOn w:val="4"/>
    <w:next w:val="1"/>
    <w:autoRedefine/>
    <w:semiHidden/>
    <w:qFormat/>
    <w:uiPriority w:val="0"/>
    <w:pPr>
      <w:numPr>
        <w:ilvl w:val="0"/>
        <w:numId w:val="0"/>
      </w:numPr>
      <w:tabs>
        <w:tab w:val="left" w:pos="210"/>
      </w:tabs>
      <w:spacing w:before="260" w:after="260" w:line="500" w:lineRule="exact"/>
      <w:ind w:firstLine="561" w:firstLineChars="200"/>
    </w:pPr>
    <w:rPr>
      <w:rFonts w:ascii="宋体" w:hAnsi="宋体"/>
      <w:bCs w:val="0"/>
      <w:sz w:val="28"/>
      <w:szCs w:val="28"/>
      <w:lang w:val="en-US"/>
    </w:rPr>
  </w:style>
  <w:style w:type="paragraph" w:customStyle="1" w:styleId="2978">
    <w:name w:val="样式 目录 1 + 首行缩进:  2 字符"/>
    <w:basedOn w:val="1"/>
    <w:next w:val="1"/>
    <w:autoRedefine/>
    <w:qFormat/>
    <w:uiPriority w:val="0"/>
    <w:pPr>
      <w:tabs>
        <w:tab w:val="left" w:pos="210"/>
      </w:tabs>
      <w:snapToGrid/>
      <w:spacing w:line="360" w:lineRule="exact"/>
      <w:jc w:val="left"/>
    </w:pPr>
    <w:rPr>
      <w:rFonts w:ascii="宋体" w:hAnsi="宋体" w:cs="宋体"/>
      <w:b/>
      <w:bCs/>
      <w:szCs w:val="28"/>
    </w:rPr>
  </w:style>
  <w:style w:type="paragraph" w:customStyle="1" w:styleId="2979">
    <w:name w:val="样式 标题 1 + 首行缩进:  2.7 厘米"/>
    <w:basedOn w:val="3"/>
    <w:autoRedefine/>
    <w:qFormat/>
    <w:uiPriority w:val="0"/>
    <w:pPr>
      <w:numPr>
        <w:numId w:val="0"/>
      </w:numPr>
      <w:tabs>
        <w:tab w:val="left" w:pos="210"/>
      </w:tabs>
      <w:adjustRightInd/>
      <w:snapToGrid/>
      <w:spacing w:before="340" w:after="330" w:line="600" w:lineRule="exact"/>
      <w:ind w:firstLine="200" w:firstLineChars="200"/>
      <w:jc w:val="center"/>
    </w:pPr>
    <w:rPr>
      <w:rFonts w:ascii="宋体" w:hAnsi="宋体" w:cs="宋体"/>
      <w:bCs w:val="0"/>
      <w:color w:val="FF0000"/>
      <w:sz w:val="30"/>
      <w:szCs w:val="20"/>
      <w:lang w:val="en-US"/>
    </w:rPr>
  </w:style>
  <w:style w:type="paragraph" w:customStyle="1" w:styleId="2980">
    <w:name w:val="标题 1红4号"/>
    <w:basedOn w:val="3"/>
    <w:autoRedefine/>
    <w:qFormat/>
    <w:uiPriority w:val="0"/>
    <w:pPr>
      <w:numPr>
        <w:numId w:val="0"/>
      </w:numPr>
      <w:shd w:val="clear" w:color="auto" w:fill="FFFFFF"/>
      <w:tabs>
        <w:tab w:val="left" w:pos="210"/>
      </w:tabs>
      <w:kinsoku w:val="0"/>
      <w:overflowPunct w:val="0"/>
      <w:autoSpaceDE w:val="0"/>
      <w:autoSpaceDN w:val="0"/>
      <w:adjustRightInd/>
      <w:snapToGrid/>
      <w:spacing w:before="340" w:after="330" w:line="240" w:lineRule="auto"/>
      <w:ind w:firstLine="200" w:firstLineChars="200"/>
      <w:jc w:val="center"/>
    </w:pPr>
    <w:rPr>
      <w:rFonts w:ascii="宋体" w:hAnsi="宋体"/>
      <w:bCs w:val="0"/>
      <w:color w:val="FF6600"/>
      <w:szCs w:val="28"/>
      <w:lang w:val="en-US"/>
    </w:rPr>
  </w:style>
  <w:style w:type="paragraph" w:customStyle="1" w:styleId="2981">
    <w:name w:val="标题 2 蓝四号"/>
    <w:basedOn w:val="4"/>
    <w:next w:val="1"/>
    <w:autoRedefine/>
    <w:semiHidden/>
    <w:qFormat/>
    <w:uiPriority w:val="0"/>
    <w:pPr>
      <w:numPr>
        <w:ilvl w:val="0"/>
        <w:numId w:val="0"/>
      </w:numPr>
      <w:shd w:val="clear" w:color="auto" w:fill="FFFFFF"/>
      <w:tabs>
        <w:tab w:val="left" w:pos="210"/>
      </w:tabs>
      <w:kinsoku w:val="0"/>
      <w:overflowPunct w:val="0"/>
      <w:autoSpaceDE w:val="0"/>
      <w:autoSpaceDN w:val="0"/>
      <w:spacing w:before="260" w:after="260" w:line="300" w:lineRule="exact"/>
    </w:pPr>
    <w:rPr>
      <w:rFonts w:ascii="宋体" w:hAnsi="宋体"/>
      <w:bCs w:val="0"/>
      <w:color w:val="0000FF"/>
      <w:szCs w:val="24"/>
      <w:lang w:val="en-US"/>
    </w:rPr>
  </w:style>
  <w:style w:type="paragraph" w:customStyle="1" w:styleId="2982">
    <w:name w:val="样式 居中 首行缩进:  0 厘米"/>
    <w:basedOn w:val="1"/>
    <w:autoRedefine/>
    <w:qFormat/>
    <w:uiPriority w:val="0"/>
    <w:pPr>
      <w:spacing w:line="500" w:lineRule="exact"/>
      <w:ind w:firstLine="0" w:firstLineChars="0"/>
      <w:jc w:val="center"/>
    </w:pPr>
    <w:rPr>
      <w:rFonts w:ascii="宋体" w:hAnsi="宋体" w:cs="宋体"/>
      <w:sz w:val="28"/>
    </w:rPr>
  </w:style>
  <w:style w:type="paragraph" w:customStyle="1" w:styleId="2983">
    <w:name w:val="样式 样式 标题 2 + 首行缩进:  2 字符 + 首行缩进:  2 字符"/>
    <w:basedOn w:val="2552"/>
    <w:autoRedefine/>
    <w:qFormat/>
    <w:uiPriority w:val="0"/>
    <w:pPr>
      <w:snapToGrid/>
      <w:spacing w:before="0" w:after="0" w:line="560" w:lineRule="exact"/>
      <w:ind w:firstLine="200" w:firstLineChars="200"/>
      <w:jc w:val="both"/>
    </w:pPr>
    <w:rPr>
      <w:rFonts w:ascii="楷体_GB2312" w:hAnsi="Arial" w:eastAsia="宋体"/>
      <w:bCs/>
      <w:sz w:val="28"/>
    </w:rPr>
  </w:style>
  <w:style w:type="paragraph" w:customStyle="1" w:styleId="2984">
    <w:name w:val="样式 样式 标题 2 + 首行缩进:  2 字符 + 段前: 0 磅 段后: 0 磅"/>
    <w:basedOn w:val="2552"/>
    <w:autoRedefine/>
    <w:qFormat/>
    <w:uiPriority w:val="0"/>
    <w:pPr>
      <w:snapToGrid/>
      <w:spacing w:before="0" w:after="0" w:line="500" w:lineRule="exact"/>
      <w:ind w:firstLine="562" w:firstLineChars="200"/>
    </w:pPr>
    <w:rPr>
      <w:rFonts w:ascii="Arial" w:hAnsi="Arial" w:eastAsia="宋体"/>
      <w:bCs/>
      <w:sz w:val="28"/>
    </w:rPr>
  </w:style>
  <w:style w:type="paragraph" w:customStyle="1" w:styleId="2985">
    <w:name w:val="0001"/>
    <w:basedOn w:val="3"/>
    <w:autoRedefine/>
    <w:qFormat/>
    <w:uiPriority w:val="0"/>
    <w:pPr>
      <w:pageBreakBefore/>
      <w:widowControl/>
      <w:numPr>
        <w:ilvl w:val="0"/>
        <w:numId w:val="0"/>
      </w:numPr>
      <w:adjustRightInd/>
      <w:snapToGrid/>
      <w:spacing w:beforeLines="200" w:after="330" w:line="360" w:lineRule="auto"/>
      <w:jc w:val="center"/>
    </w:pPr>
    <w:rPr>
      <w:rFonts w:ascii="宋体"/>
      <w:bCs w:val="0"/>
      <w:kern w:val="0"/>
      <w:sz w:val="36"/>
      <w:szCs w:val="20"/>
      <w:lang w:val="en-US"/>
    </w:rPr>
  </w:style>
  <w:style w:type="paragraph" w:customStyle="1" w:styleId="2986">
    <w:name w:val="0003"/>
    <w:basedOn w:val="5"/>
    <w:autoRedefine/>
    <w:qFormat/>
    <w:uiPriority w:val="0"/>
    <w:pPr>
      <w:keepNext w:val="0"/>
      <w:keepLines w:val="0"/>
      <w:numPr>
        <w:numId w:val="0"/>
      </w:numPr>
      <w:tabs>
        <w:tab w:val="left" w:pos="1260"/>
      </w:tabs>
      <w:adjustRightInd/>
      <w:snapToGrid/>
      <w:spacing w:beforeLines="100" w:after="260" w:line="360" w:lineRule="auto"/>
      <w:ind w:firstLine="200" w:firstLineChars="200"/>
      <w:jc w:val="left"/>
    </w:pPr>
    <w:rPr>
      <w:rFonts w:ascii="宋体"/>
      <w:kern w:val="0"/>
      <w:sz w:val="28"/>
      <w:lang w:val="en-US"/>
    </w:rPr>
  </w:style>
  <w:style w:type="paragraph" w:customStyle="1" w:styleId="2987">
    <w:name w:val="0004正文"/>
    <w:basedOn w:val="1"/>
    <w:autoRedefine/>
    <w:qFormat/>
    <w:uiPriority w:val="0"/>
    <w:pPr>
      <w:widowControl/>
      <w:autoSpaceDE w:val="0"/>
      <w:autoSpaceDN w:val="0"/>
      <w:snapToGrid/>
      <w:spacing w:line="500" w:lineRule="exact"/>
      <w:ind w:firstLine="0" w:firstLineChars="0"/>
    </w:pPr>
    <w:rPr>
      <w:rFonts w:ascii="宋体" w:hAnsi="宋体"/>
      <w:sz w:val="28"/>
      <w:szCs w:val="28"/>
    </w:rPr>
  </w:style>
  <w:style w:type="paragraph" w:customStyle="1" w:styleId="2988">
    <w:name w:val="样式 0004正文 + 首行缩进:  2 字符"/>
    <w:basedOn w:val="2987"/>
    <w:autoRedefine/>
    <w:qFormat/>
    <w:uiPriority w:val="0"/>
    <w:pPr>
      <w:spacing w:afterLines="20"/>
      <w:ind w:firstLine="560"/>
    </w:pPr>
    <w:rPr>
      <w:rFonts w:cs="宋体"/>
      <w:szCs w:val="20"/>
    </w:rPr>
  </w:style>
  <w:style w:type="paragraph" w:customStyle="1" w:styleId="2989">
    <w:name w:val="样式 0005左缩2 + 首行缩进:  2 字符 段后: 0.3 行"/>
    <w:basedOn w:val="2945"/>
    <w:autoRedefine/>
    <w:qFormat/>
    <w:uiPriority w:val="0"/>
    <w:pPr>
      <w:ind w:firstLine="560"/>
    </w:pPr>
    <w:rPr>
      <w:rFonts w:cs="宋体"/>
      <w:szCs w:val="20"/>
    </w:rPr>
  </w:style>
  <w:style w:type="paragraph" w:customStyle="1" w:styleId="2990">
    <w:name w:val="0006"/>
    <w:basedOn w:val="2987"/>
    <w:autoRedefine/>
    <w:qFormat/>
    <w:uiPriority w:val="0"/>
    <w:pPr>
      <w:snapToGrid w:val="0"/>
      <w:spacing w:afterLines="50"/>
    </w:pPr>
    <w:rPr>
      <w:b/>
      <w:bCs/>
      <w:kern w:val="0"/>
      <w:lang w:val="zh-CN"/>
    </w:rPr>
  </w:style>
  <w:style w:type="paragraph" w:customStyle="1" w:styleId="2991">
    <w:name w:val="0007小四 居中"/>
    <w:basedOn w:val="2987"/>
    <w:autoRedefine/>
    <w:qFormat/>
    <w:uiPriority w:val="0"/>
    <w:pPr>
      <w:jc w:val="center"/>
    </w:pPr>
    <w:rPr>
      <w:sz w:val="24"/>
      <w:szCs w:val="24"/>
    </w:rPr>
  </w:style>
  <w:style w:type="character" w:customStyle="1" w:styleId="2992">
    <w:name w:val="左2 Char"/>
    <w:link w:val="2993"/>
    <w:autoRedefine/>
    <w:qFormat/>
    <w:locked/>
    <w:uiPriority w:val="0"/>
    <w:rPr>
      <w:rFonts w:ascii="宋体" w:hAnsi="宋体"/>
      <w:sz w:val="28"/>
      <w:szCs w:val="28"/>
    </w:rPr>
  </w:style>
  <w:style w:type="paragraph" w:customStyle="1" w:styleId="2993">
    <w:name w:val="左2"/>
    <w:basedOn w:val="1"/>
    <w:next w:val="1"/>
    <w:link w:val="2992"/>
    <w:autoRedefine/>
    <w:qFormat/>
    <w:uiPriority w:val="0"/>
    <w:pPr>
      <w:adjustRightInd/>
      <w:snapToGrid/>
      <w:spacing w:line="500" w:lineRule="exact"/>
      <w:ind w:firstLine="560"/>
    </w:pPr>
    <w:rPr>
      <w:rFonts w:ascii="宋体" w:hAnsi="宋体"/>
      <w:kern w:val="0"/>
      <w:sz w:val="28"/>
      <w:szCs w:val="28"/>
    </w:rPr>
  </w:style>
  <w:style w:type="paragraph" w:customStyle="1" w:styleId="2994">
    <w:name w:val="正文小四缩"/>
    <w:basedOn w:val="1"/>
    <w:autoRedefine/>
    <w:qFormat/>
    <w:uiPriority w:val="0"/>
    <w:pPr>
      <w:widowControl/>
      <w:snapToGrid/>
      <w:spacing w:line="420" w:lineRule="atLeast"/>
      <w:ind w:firstLine="510" w:firstLineChars="0"/>
      <w:jc w:val="left"/>
    </w:pPr>
    <w:rPr>
      <w:rFonts w:ascii="宋体"/>
      <w:bCs/>
      <w:kern w:val="0"/>
      <w:lang w:eastAsia="en-US" w:bidi="en-US"/>
    </w:rPr>
  </w:style>
  <w:style w:type="paragraph" w:customStyle="1" w:styleId="2995">
    <w:name w:val="样式 加粗 左侧:  0.32 厘米"/>
    <w:basedOn w:val="1"/>
    <w:autoRedefine/>
    <w:qFormat/>
    <w:uiPriority w:val="0"/>
    <w:pPr>
      <w:adjustRightInd/>
      <w:snapToGrid/>
      <w:spacing w:line="500" w:lineRule="exact"/>
      <w:ind w:left="180" w:firstLine="0" w:firstLineChars="0"/>
    </w:pPr>
    <w:rPr>
      <w:rFonts w:cs="宋体"/>
      <w:b/>
      <w:bCs/>
      <w:sz w:val="28"/>
    </w:rPr>
  </w:style>
  <w:style w:type="paragraph" w:customStyle="1" w:styleId="2996">
    <w:name w:val="缩2"/>
    <w:basedOn w:val="1"/>
    <w:autoRedefine/>
    <w:qFormat/>
    <w:uiPriority w:val="0"/>
    <w:pPr>
      <w:adjustRightInd/>
      <w:snapToGrid/>
      <w:spacing w:line="500" w:lineRule="exact"/>
      <w:ind w:firstLine="560"/>
    </w:pPr>
    <w:rPr>
      <w:sz w:val="28"/>
      <w:szCs w:val="24"/>
    </w:rPr>
  </w:style>
  <w:style w:type="paragraph" w:customStyle="1" w:styleId="2997">
    <w:name w:val="样式 标题 21.1标题 2 + 首行缩进:  2 字符"/>
    <w:basedOn w:val="4"/>
    <w:autoRedefine/>
    <w:qFormat/>
    <w:uiPriority w:val="0"/>
    <w:pPr>
      <w:numPr>
        <w:ilvl w:val="0"/>
        <w:numId w:val="0"/>
      </w:numPr>
      <w:spacing w:before="260" w:after="260" w:line="500" w:lineRule="exact"/>
      <w:ind w:firstLine="602" w:firstLineChars="200"/>
      <w:jc w:val="left"/>
    </w:pPr>
    <w:rPr>
      <w:rFonts w:ascii="宋体" w:hAnsi="宋体" w:cs="宋体"/>
      <w:kern w:val="44"/>
      <w:sz w:val="30"/>
      <w:szCs w:val="30"/>
      <w:lang w:val="en-US"/>
    </w:rPr>
  </w:style>
  <w:style w:type="paragraph" w:customStyle="1" w:styleId="2998">
    <w:name w:val="样式6 正文"/>
    <w:autoRedefine/>
    <w:qFormat/>
    <w:uiPriority w:val="0"/>
    <w:pPr>
      <w:widowControl w:val="0"/>
      <w:spacing w:beforeLines="50" w:line="500" w:lineRule="exact"/>
      <w:ind w:firstLine="560" w:firstLineChars="200"/>
      <w:jc w:val="both"/>
    </w:pPr>
    <w:rPr>
      <w:rFonts w:ascii="仿宋_GB2312" w:hAnsi="Times New Roman" w:eastAsia="仿宋_GB2312" w:cs="Times New Roman"/>
      <w:sz w:val="28"/>
      <w:szCs w:val="28"/>
      <w:lang w:val="en-US" w:eastAsia="zh-CN" w:bidi="ar-SA"/>
    </w:rPr>
  </w:style>
  <w:style w:type="character" w:customStyle="1" w:styleId="2999">
    <w:name w:val="标题 11 Char"/>
    <w:autoRedefine/>
    <w:qFormat/>
    <w:uiPriority w:val="0"/>
    <w:rPr>
      <w:rFonts w:hint="eastAsia" w:ascii="宋体" w:hAnsi="宋体" w:eastAsia="宋体" w:cs="Times New Roman"/>
      <w:kern w:val="44"/>
      <w:sz w:val="32"/>
      <w:szCs w:val="32"/>
    </w:rPr>
  </w:style>
  <w:style w:type="character" w:customStyle="1" w:styleId="3000">
    <w:name w:val="1.1.1标题 3 Char Char"/>
    <w:autoRedefine/>
    <w:qFormat/>
    <w:uiPriority w:val="0"/>
    <w:rPr>
      <w:rFonts w:hint="default" w:ascii="Arial" w:hAnsi="Arial" w:eastAsia="宋体" w:cs="Times New Roman"/>
      <w:b/>
      <w:kern w:val="44"/>
      <w:sz w:val="30"/>
      <w:szCs w:val="20"/>
    </w:rPr>
  </w:style>
  <w:style w:type="character" w:customStyle="1" w:styleId="3001">
    <w:name w:val="1.1标题 2 Char Char"/>
    <w:autoRedefine/>
    <w:qFormat/>
    <w:uiPriority w:val="0"/>
    <w:rPr>
      <w:rFonts w:hint="default" w:ascii="Arial" w:hAnsi="Arial" w:eastAsia="宋体" w:cs="Times New Roman"/>
      <w:b/>
      <w:kern w:val="44"/>
      <w:sz w:val="28"/>
      <w:szCs w:val="20"/>
    </w:rPr>
  </w:style>
  <w:style w:type="paragraph" w:customStyle="1" w:styleId="3002">
    <w:name w:val="设计封面编号宋2"/>
    <w:basedOn w:val="2974"/>
    <w:next w:val="2973"/>
    <w:autoRedefine/>
    <w:qFormat/>
    <w:uiPriority w:val="0"/>
    <w:rPr>
      <w:rFonts w:eastAsia="宋体"/>
      <w:sz w:val="44"/>
    </w:rPr>
  </w:style>
  <w:style w:type="paragraph" w:customStyle="1" w:styleId="3003">
    <w:name w:val="标题 1红4号1"/>
    <w:basedOn w:val="3"/>
    <w:autoRedefine/>
    <w:qFormat/>
    <w:uiPriority w:val="0"/>
    <w:pPr>
      <w:numPr>
        <w:numId w:val="0"/>
      </w:numPr>
      <w:shd w:val="clear" w:color="auto" w:fill="FFFFFF"/>
      <w:tabs>
        <w:tab w:val="left" w:pos="210"/>
      </w:tabs>
      <w:kinsoku w:val="0"/>
      <w:overflowPunct w:val="0"/>
      <w:autoSpaceDE w:val="0"/>
      <w:autoSpaceDN w:val="0"/>
      <w:adjustRightInd/>
      <w:snapToGrid/>
      <w:spacing w:before="340" w:after="330" w:line="240" w:lineRule="auto"/>
      <w:ind w:firstLine="200" w:firstLineChars="200"/>
      <w:jc w:val="center"/>
    </w:pPr>
    <w:rPr>
      <w:rFonts w:ascii="宋体" w:hAnsi="宋体"/>
      <w:bCs w:val="0"/>
      <w:color w:val="FF6600"/>
      <w:szCs w:val="28"/>
      <w:lang w:val="en-US"/>
    </w:rPr>
  </w:style>
  <w:style w:type="paragraph" w:customStyle="1" w:styleId="3004">
    <w:name w:val="标题 2 蓝四号1"/>
    <w:basedOn w:val="4"/>
    <w:next w:val="1"/>
    <w:autoRedefine/>
    <w:semiHidden/>
    <w:qFormat/>
    <w:uiPriority w:val="0"/>
    <w:pPr>
      <w:numPr>
        <w:ilvl w:val="0"/>
        <w:numId w:val="0"/>
      </w:numPr>
      <w:shd w:val="clear" w:color="auto" w:fill="FFFFFF"/>
      <w:tabs>
        <w:tab w:val="left" w:pos="210"/>
      </w:tabs>
      <w:kinsoku w:val="0"/>
      <w:overflowPunct w:val="0"/>
      <w:autoSpaceDE w:val="0"/>
      <w:autoSpaceDN w:val="0"/>
      <w:spacing w:before="260" w:after="260" w:line="300" w:lineRule="exact"/>
    </w:pPr>
    <w:rPr>
      <w:rFonts w:ascii="宋体" w:hAnsi="宋体"/>
      <w:bCs w:val="0"/>
      <w:color w:val="0000FF"/>
      <w:szCs w:val="24"/>
      <w:lang w:val="en-US"/>
    </w:rPr>
  </w:style>
  <w:style w:type="character" w:customStyle="1" w:styleId="3005">
    <w:name w:val="bold121"/>
    <w:autoRedefine/>
    <w:qFormat/>
    <w:uiPriority w:val="0"/>
    <w:rPr>
      <w:b/>
      <w:bCs/>
      <w:sz w:val="18"/>
      <w:szCs w:val="18"/>
    </w:rPr>
  </w:style>
  <w:style w:type="character" w:customStyle="1" w:styleId="3006">
    <w:name w:val="上标"/>
    <w:autoRedefine/>
    <w:qFormat/>
    <w:uiPriority w:val="0"/>
    <w:rPr>
      <w:vertAlign w:val="superscript"/>
    </w:rPr>
  </w:style>
  <w:style w:type="paragraph" w:customStyle="1" w:styleId="3007">
    <w:name w:val="样式 标题 3标题3小标题1.1.1标题 3 + 段后: 4 磅"/>
    <w:basedOn w:val="5"/>
    <w:autoRedefine/>
    <w:qFormat/>
    <w:uiPriority w:val="0"/>
    <w:pPr>
      <w:widowControl/>
      <w:numPr>
        <w:numId w:val="0"/>
      </w:numPr>
      <w:tabs>
        <w:tab w:val="left" w:pos="1260"/>
      </w:tabs>
      <w:adjustRightInd/>
      <w:snapToGrid/>
      <w:spacing w:before="260" w:after="260" w:line="360" w:lineRule="auto"/>
      <w:ind w:left="720" w:hanging="432" w:firstLineChars="200"/>
      <w:jc w:val="left"/>
    </w:pPr>
    <w:rPr>
      <w:rFonts w:eastAsia="黑体" w:cs="宋体"/>
      <w:b w:val="0"/>
      <w:bCs w:val="0"/>
      <w:spacing w:val="-5"/>
      <w:kern w:val="28"/>
      <w:szCs w:val="20"/>
      <w:lang w:val="en-US"/>
    </w:rPr>
  </w:style>
  <w:style w:type="paragraph" w:customStyle="1" w:styleId="3008">
    <w:name w:val="蒲表头"/>
    <w:basedOn w:val="1"/>
    <w:autoRedefine/>
    <w:qFormat/>
    <w:uiPriority w:val="0"/>
    <w:pPr>
      <w:spacing w:line="240" w:lineRule="auto"/>
      <w:ind w:firstLine="0" w:firstLineChars="0"/>
      <w:jc w:val="center"/>
    </w:pPr>
    <w:rPr>
      <w:color w:val="0000FF"/>
      <w:sz w:val="21"/>
      <w:szCs w:val="21"/>
    </w:rPr>
  </w:style>
  <w:style w:type="paragraph" w:customStyle="1" w:styleId="3009">
    <w:name w:val="样式 首行缩进:  1.01 厘米"/>
    <w:basedOn w:val="1"/>
    <w:autoRedefine/>
    <w:qFormat/>
    <w:uiPriority w:val="0"/>
    <w:pPr>
      <w:adjustRightInd/>
      <w:snapToGrid/>
      <w:spacing w:line="500" w:lineRule="exact"/>
      <w:ind w:firstLine="570" w:firstLineChars="0"/>
    </w:pPr>
    <w:rPr>
      <w:rFonts w:cs="宋体"/>
      <w:kern w:val="28"/>
      <w:sz w:val="28"/>
    </w:rPr>
  </w:style>
  <w:style w:type="paragraph" w:customStyle="1" w:styleId="3010">
    <w:name w:val="3标题(治)"/>
    <w:basedOn w:val="5"/>
    <w:link w:val="3011"/>
    <w:autoRedefine/>
    <w:qFormat/>
    <w:uiPriority w:val="0"/>
    <w:pPr>
      <w:numPr>
        <w:numId w:val="0"/>
      </w:numPr>
      <w:tabs>
        <w:tab w:val="left" w:pos="1260"/>
      </w:tabs>
      <w:adjustRightInd/>
      <w:snapToGrid/>
      <w:spacing w:beforeLines="50" w:afterLines="50" w:line="360" w:lineRule="auto"/>
      <w:ind w:firstLine="200" w:firstLineChars="200"/>
      <w:textAlignment w:val="baseline"/>
    </w:pPr>
    <w:rPr>
      <w:sz w:val="28"/>
      <w:szCs w:val="28"/>
      <w:lang w:val="en-US"/>
    </w:rPr>
  </w:style>
  <w:style w:type="character" w:customStyle="1" w:styleId="3011">
    <w:name w:val="3标题(治) Char"/>
    <w:link w:val="3010"/>
    <w:autoRedefine/>
    <w:qFormat/>
    <w:uiPriority w:val="0"/>
    <w:rPr>
      <w:b/>
      <w:bCs/>
      <w:kern w:val="2"/>
      <w:sz w:val="28"/>
      <w:szCs w:val="28"/>
    </w:rPr>
  </w:style>
  <w:style w:type="paragraph" w:customStyle="1" w:styleId="3012">
    <w:name w:val="蒲标题1"/>
    <w:basedOn w:val="3"/>
    <w:autoRedefine/>
    <w:qFormat/>
    <w:uiPriority w:val="0"/>
    <w:pPr>
      <w:numPr>
        <w:numId w:val="0"/>
      </w:numPr>
      <w:adjustRightInd/>
      <w:snapToGrid/>
      <w:spacing w:before="340" w:after="330" w:line="360" w:lineRule="auto"/>
      <w:jc w:val="both"/>
    </w:pPr>
    <w:rPr>
      <w:kern w:val="2"/>
      <w:sz w:val="32"/>
      <w:szCs w:val="32"/>
      <w:lang w:val="en-US"/>
    </w:rPr>
  </w:style>
  <w:style w:type="paragraph" w:customStyle="1" w:styleId="3013">
    <w:name w:val="蒲标题3"/>
    <w:basedOn w:val="5"/>
    <w:link w:val="3014"/>
    <w:autoRedefine/>
    <w:qFormat/>
    <w:uiPriority w:val="0"/>
    <w:pPr>
      <w:numPr>
        <w:numId w:val="0"/>
      </w:numPr>
      <w:tabs>
        <w:tab w:val="left" w:pos="1260"/>
      </w:tabs>
      <w:autoSpaceDE w:val="0"/>
      <w:autoSpaceDN w:val="0"/>
      <w:spacing w:before="260" w:after="260" w:line="360" w:lineRule="auto"/>
      <w:ind w:firstLine="200" w:firstLineChars="200"/>
      <w:outlineLvl w:val="0"/>
    </w:pPr>
    <w:rPr>
      <w:color w:val="000000"/>
      <w:szCs w:val="24"/>
      <w:lang w:val="en-US"/>
    </w:rPr>
  </w:style>
  <w:style w:type="character" w:customStyle="1" w:styleId="3014">
    <w:name w:val="蒲标题3 Char"/>
    <w:link w:val="3013"/>
    <w:autoRedefine/>
    <w:qFormat/>
    <w:uiPriority w:val="0"/>
    <w:rPr>
      <w:b/>
      <w:bCs/>
      <w:color w:val="000000"/>
      <w:kern w:val="2"/>
      <w:sz w:val="24"/>
      <w:szCs w:val="24"/>
    </w:rPr>
  </w:style>
  <w:style w:type="character" w:customStyle="1" w:styleId="3015">
    <w:name w:val="蒲正文 Char"/>
    <w:link w:val="506"/>
    <w:autoRedefine/>
    <w:qFormat/>
    <w:uiPriority w:val="0"/>
    <w:rPr>
      <w:rFonts w:ascii="宋体" w:hAnsi="宋体"/>
      <w:b/>
      <w:sz w:val="24"/>
      <w:szCs w:val="24"/>
    </w:rPr>
  </w:style>
  <w:style w:type="paragraph" w:customStyle="1" w:styleId="3016">
    <w:name w:val="7表格(治)"/>
    <w:autoRedefine/>
    <w:qFormat/>
    <w:uiPriority w:val="0"/>
    <w:pPr>
      <w:jc w:val="center"/>
    </w:pPr>
    <w:rPr>
      <w:rFonts w:ascii="宋体" w:hAnsi="宋体" w:eastAsia="宋体" w:cs="Times New Roman"/>
      <w:color w:val="0000FF"/>
      <w:sz w:val="21"/>
      <w:lang w:val="en-US" w:eastAsia="zh-CN" w:bidi="ar-SA"/>
    </w:rPr>
  </w:style>
  <w:style w:type="paragraph" w:customStyle="1" w:styleId="3017">
    <w:name w:val="6表(图)头(治)"/>
    <w:next w:val="1"/>
    <w:autoRedefine/>
    <w:qFormat/>
    <w:uiPriority w:val="0"/>
    <w:pPr>
      <w:widowControl w:val="0"/>
      <w:adjustRightInd w:val="0"/>
      <w:snapToGrid w:val="0"/>
      <w:jc w:val="center"/>
    </w:pPr>
    <w:rPr>
      <w:rFonts w:ascii="Times New Roman" w:hAnsi="宋体" w:eastAsia="宋体" w:cs="Times New Roman"/>
      <w:sz w:val="21"/>
      <w:szCs w:val="21"/>
      <w:lang w:val="en-US" w:eastAsia="zh-CN" w:bidi="ar-SA"/>
    </w:rPr>
  </w:style>
  <w:style w:type="paragraph" w:customStyle="1" w:styleId="3018">
    <w:name w:val="1表格头"/>
    <w:basedOn w:val="2694"/>
    <w:autoRedefine/>
    <w:qFormat/>
    <w:uiPriority w:val="0"/>
    <w:pPr>
      <w:spacing w:line="160" w:lineRule="atLeast"/>
      <w:jc w:val="both"/>
      <w:outlineLvl w:val="9"/>
    </w:pPr>
    <w:rPr>
      <w:b/>
      <w:color w:val="000000"/>
      <w:spacing w:val="0"/>
      <w:sz w:val="24"/>
    </w:rPr>
  </w:style>
  <w:style w:type="paragraph" w:customStyle="1" w:styleId="3019">
    <w:name w:val="a9"/>
    <w:basedOn w:val="1"/>
    <w:autoRedefine/>
    <w:qFormat/>
    <w:uiPriority w:val="0"/>
    <w:pPr>
      <w:widowControl/>
      <w:snapToGrid/>
      <w:spacing w:beforeAutospacing="1" w:afterAutospacing="1" w:line="360" w:lineRule="atLeast"/>
      <w:ind w:firstLine="0" w:firstLineChars="0"/>
      <w:jc w:val="left"/>
      <w:textAlignment w:val="baseline"/>
    </w:pPr>
    <w:rPr>
      <w:rFonts w:ascii="宋体" w:hAnsi="宋体"/>
      <w:color w:val="000000"/>
      <w:kern w:val="0"/>
    </w:rPr>
  </w:style>
  <w:style w:type="character" w:customStyle="1" w:styleId="3020">
    <w:name w:val="infodetail"/>
    <w:basedOn w:val="133"/>
    <w:autoRedefine/>
    <w:qFormat/>
    <w:uiPriority w:val="0"/>
  </w:style>
  <w:style w:type="paragraph" w:customStyle="1" w:styleId="3021">
    <w:name w:val="四级标题"/>
    <w:basedOn w:val="1"/>
    <w:autoRedefine/>
    <w:qFormat/>
    <w:uiPriority w:val="0"/>
    <w:pPr>
      <w:spacing w:line="300" w:lineRule="auto"/>
      <w:ind w:firstLine="0" w:firstLineChars="0"/>
      <w:outlineLvl w:val="3"/>
    </w:pPr>
    <w:rPr>
      <w:rFonts w:eastAsia="华文中宋"/>
      <w:sz w:val="28"/>
      <w:szCs w:val="24"/>
    </w:rPr>
  </w:style>
  <w:style w:type="paragraph" w:customStyle="1" w:styleId="3022">
    <w:name w:val="样式 样式 黑色 首行缩进:  2 字符 行距: 固定值 25 磅 + Times New Roman 首行缩进:  2 字符"/>
    <w:basedOn w:val="1"/>
    <w:autoRedefine/>
    <w:qFormat/>
    <w:uiPriority w:val="0"/>
    <w:pPr>
      <w:adjustRightInd/>
      <w:snapToGrid/>
      <w:spacing w:line="580" w:lineRule="exact"/>
    </w:pPr>
    <w:rPr>
      <w:rFonts w:eastAsia="仿宋_GB2312" w:cs="宋体"/>
      <w:b/>
      <w:bCs/>
      <w:color w:val="000000"/>
      <w:sz w:val="28"/>
    </w:rPr>
  </w:style>
  <w:style w:type="character" w:customStyle="1" w:styleId="3023">
    <w:name w:val="表号 Char1"/>
    <w:autoRedefine/>
    <w:qFormat/>
    <w:uiPriority w:val="0"/>
    <w:rPr>
      <w:rFonts w:ascii="宋体" w:hAnsi="宋体" w:eastAsia="宋体" w:cs="Times New Roman"/>
      <w:color w:val="000000"/>
      <w:spacing w:val="6"/>
      <w:w w:val="95"/>
      <w:kern w:val="0"/>
      <w:sz w:val="24"/>
      <w:szCs w:val="24"/>
    </w:rPr>
  </w:style>
  <w:style w:type="paragraph" w:customStyle="1" w:styleId="3024">
    <w:name w:val="样式 标题 4 + 黑色 首行缩进:  2 字符 段前: 7.5 磅 行距: 固定值 23 磅1"/>
    <w:basedOn w:val="6"/>
    <w:autoRedefine/>
    <w:qFormat/>
    <w:uiPriority w:val="0"/>
    <w:pPr>
      <w:numPr>
        <w:numId w:val="0"/>
      </w:numPr>
      <w:tabs>
        <w:tab w:val="left" w:pos="1680"/>
      </w:tabs>
      <w:autoSpaceDE w:val="0"/>
      <w:autoSpaceDN w:val="0"/>
      <w:snapToGrid/>
      <w:spacing w:before="280" w:beforeAutospacing="1" w:after="290" w:line="440" w:lineRule="exact"/>
      <w:ind w:firstLine="480" w:firstLineChars="200"/>
      <w:jc w:val="both"/>
    </w:pPr>
    <w:rPr>
      <w:rFonts w:eastAsia="黑体"/>
      <w:b w:val="0"/>
      <w:szCs w:val="20"/>
      <w:lang w:val="en-US"/>
    </w:rPr>
  </w:style>
  <w:style w:type="character" w:customStyle="1" w:styleId="3025">
    <w:name w:val="1.1标题2 Char Char"/>
    <w:autoRedefine/>
    <w:qFormat/>
    <w:uiPriority w:val="0"/>
    <w:rPr>
      <w:rFonts w:ascii="Arial" w:hAnsi="Arial" w:eastAsia="黑体"/>
      <w:b/>
      <w:bCs/>
      <w:kern w:val="2"/>
      <w:sz w:val="32"/>
      <w:szCs w:val="32"/>
      <w:lang w:val="en-US" w:eastAsia="zh-CN" w:bidi="ar-SA"/>
    </w:rPr>
  </w:style>
  <w:style w:type="character" w:customStyle="1" w:styleId="3026">
    <w:name w:val="keywords"/>
    <w:autoRedefine/>
    <w:qFormat/>
    <w:uiPriority w:val="0"/>
    <w:rPr>
      <w:b/>
      <w:bCs/>
      <w:color w:val="EE0033"/>
    </w:rPr>
  </w:style>
  <w:style w:type="character" w:customStyle="1" w:styleId="3027">
    <w:name w:val="copyright1"/>
    <w:autoRedefine/>
    <w:qFormat/>
    <w:uiPriority w:val="0"/>
    <w:rPr>
      <w:rFonts w:hint="default"/>
      <w:color w:val="000000"/>
    </w:rPr>
  </w:style>
  <w:style w:type="paragraph" w:customStyle="1" w:styleId="3028">
    <w:name w:val="分目录2"/>
    <w:basedOn w:val="1"/>
    <w:autoRedefine/>
    <w:qFormat/>
    <w:uiPriority w:val="0"/>
    <w:pPr>
      <w:tabs>
        <w:tab w:val="right" w:leader="dot" w:pos="8304"/>
      </w:tabs>
      <w:spacing w:line="360" w:lineRule="auto"/>
      <w:ind w:firstLine="560"/>
    </w:pPr>
    <w:rPr>
      <w:kern w:val="0"/>
      <w:sz w:val="28"/>
      <w:szCs w:val="28"/>
    </w:rPr>
  </w:style>
  <w:style w:type="character" w:customStyle="1" w:styleId="3029">
    <w:name w:val="Char Char23"/>
    <w:autoRedefine/>
    <w:qFormat/>
    <w:uiPriority w:val="0"/>
    <w:rPr>
      <w:rFonts w:ascii="Arial Narrow" w:hAnsi="Arial Narrow" w:eastAsia="仿宋_GB2312"/>
      <w:kern w:val="2"/>
      <w:sz w:val="24"/>
      <w:szCs w:val="24"/>
      <w:lang w:val="en-US" w:eastAsia="zh-CN" w:bidi="ar-SA"/>
    </w:rPr>
  </w:style>
  <w:style w:type="character" w:customStyle="1" w:styleId="3030">
    <w:name w:val="正文-ls Char Char"/>
    <w:autoRedefine/>
    <w:qFormat/>
    <w:uiPriority w:val="0"/>
    <w:rPr>
      <w:rFonts w:hAnsi="宋体" w:eastAsia="宋体" w:cs="宋体"/>
      <w:kern w:val="2"/>
      <w:sz w:val="24"/>
      <w:lang w:val="en-US" w:eastAsia="zh-CN" w:bidi="ar-SA"/>
    </w:rPr>
  </w:style>
  <w:style w:type="paragraph" w:customStyle="1" w:styleId="3031">
    <w:name w:val="正文9"/>
    <w:basedOn w:val="1"/>
    <w:link w:val="3032"/>
    <w:autoRedefine/>
    <w:qFormat/>
    <w:uiPriority w:val="0"/>
    <w:pPr>
      <w:snapToGrid/>
      <w:spacing w:line="315" w:lineRule="atLeast"/>
      <w:ind w:firstLine="0" w:firstLineChars="0"/>
      <w:jc w:val="left"/>
      <w:textAlignment w:val="baseline"/>
    </w:pPr>
    <w:rPr>
      <w:rFonts w:ascii="宋体"/>
      <w:kern w:val="0"/>
    </w:rPr>
  </w:style>
  <w:style w:type="character" w:customStyle="1" w:styleId="3032">
    <w:name w:val="正文 Char4"/>
    <w:link w:val="3031"/>
    <w:autoRedefine/>
    <w:qFormat/>
    <w:uiPriority w:val="0"/>
    <w:rPr>
      <w:rFonts w:ascii="宋体"/>
      <w:sz w:val="24"/>
    </w:rPr>
  </w:style>
  <w:style w:type="paragraph" w:customStyle="1" w:styleId="3033">
    <w:name w:val="Char4 Char Char Char5"/>
    <w:basedOn w:val="1"/>
    <w:autoRedefine/>
    <w:semiHidden/>
    <w:qFormat/>
    <w:uiPriority w:val="0"/>
    <w:pPr>
      <w:spacing w:line="360" w:lineRule="auto"/>
    </w:pPr>
    <w:rPr>
      <w:rFonts w:ascii="宋体" w:hAnsi="宋体" w:cs="宋体"/>
      <w:szCs w:val="26"/>
    </w:rPr>
  </w:style>
  <w:style w:type="paragraph" w:customStyle="1" w:styleId="3034">
    <w:name w:val="Char Char Char Char Char Char Char Char Char4"/>
    <w:basedOn w:val="1"/>
    <w:autoRedefine/>
    <w:qFormat/>
    <w:uiPriority w:val="0"/>
    <w:pPr>
      <w:adjustRightInd/>
      <w:snapToGrid/>
      <w:spacing w:line="240" w:lineRule="auto"/>
      <w:ind w:firstLine="0" w:firstLineChars="0"/>
    </w:pPr>
    <w:rPr>
      <w:sz w:val="21"/>
      <w:szCs w:val="24"/>
    </w:rPr>
  </w:style>
  <w:style w:type="paragraph" w:customStyle="1" w:styleId="3035">
    <w:name w:val="Char Char Char Char5"/>
    <w:basedOn w:val="1"/>
    <w:autoRedefine/>
    <w:qFormat/>
    <w:uiPriority w:val="0"/>
    <w:pPr>
      <w:spacing w:line="360" w:lineRule="auto"/>
    </w:pPr>
    <w:rPr>
      <w:rFonts w:ascii="宋体" w:hAnsi="宋体" w:cs="宋体"/>
      <w:szCs w:val="26"/>
    </w:rPr>
  </w:style>
  <w:style w:type="paragraph" w:customStyle="1" w:styleId="3036">
    <w:name w:val="Char Char Char Char Char Char Char Char Char Char Char Char1 Char Char Char Char Char Char Char Char Char Char Char Char Char Char Char Char Char Char Char3"/>
    <w:basedOn w:val="1"/>
    <w:autoRedefine/>
    <w:semiHidden/>
    <w:qFormat/>
    <w:uiPriority w:val="0"/>
    <w:pPr>
      <w:adjustRightInd/>
      <w:snapToGrid/>
      <w:spacing w:line="360" w:lineRule="auto"/>
    </w:pPr>
    <w:rPr>
      <w:rFonts w:ascii="宋体" w:hAnsi="宋体" w:cs="宋体"/>
      <w:szCs w:val="26"/>
    </w:rPr>
  </w:style>
  <w:style w:type="paragraph" w:customStyle="1" w:styleId="3037">
    <w:name w:val="Char Char1 Char Char Char Char3"/>
    <w:basedOn w:val="1"/>
    <w:autoRedefine/>
    <w:qFormat/>
    <w:uiPriority w:val="0"/>
    <w:pPr>
      <w:adjustRightInd/>
      <w:snapToGrid/>
      <w:spacing w:line="240" w:lineRule="auto"/>
      <w:ind w:firstLine="0" w:firstLineChars="0"/>
    </w:pPr>
    <w:rPr>
      <w:szCs w:val="24"/>
    </w:rPr>
  </w:style>
  <w:style w:type="paragraph" w:customStyle="1" w:styleId="3038">
    <w:name w:val="Char2 Char Char Char Char Char Char3"/>
    <w:basedOn w:val="1"/>
    <w:autoRedefine/>
    <w:qFormat/>
    <w:uiPriority w:val="0"/>
    <w:pPr>
      <w:adjustRightInd/>
      <w:snapToGrid/>
      <w:spacing w:line="240" w:lineRule="auto"/>
      <w:ind w:firstLine="0" w:firstLineChars="0"/>
    </w:pPr>
    <w:rPr>
      <w:sz w:val="21"/>
      <w:szCs w:val="24"/>
    </w:rPr>
  </w:style>
  <w:style w:type="paragraph" w:customStyle="1" w:styleId="3039">
    <w:name w:val="Char Char Char Char14"/>
    <w:basedOn w:val="1"/>
    <w:autoRedefine/>
    <w:qFormat/>
    <w:uiPriority w:val="0"/>
    <w:pPr>
      <w:adjustRightInd/>
      <w:snapToGrid/>
      <w:spacing w:line="360" w:lineRule="auto"/>
    </w:pPr>
    <w:rPr>
      <w:rFonts w:ascii="宋体" w:hAnsi="宋体" w:cs="宋体"/>
      <w:szCs w:val="24"/>
    </w:rPr>
  </w:style>
  <w:style w:type="paragraph" w:customStyle="1" w:styleId="3040">
    <w:name w:val="Char25"/>
    <w:basedOn w:val="1"/>
    <w:autoRedefine/>
    <w:qFormat/>
    <w:uiPriority w:val="0"/>
    <w:pPr>
      <w:adjustRightInd/>
      <w:snapToGrid/>
      <w:spacing w:line="240" w:lineRule="auto"/>
      <w:ind w:firstLine="0" w:firstLineChars="0"/>
    </w:pPr>
    <w:rPr>
      <w:sz w:val="21"/>
      <w:szCs w:val="21"/>
    </w:rPr>
  </w:style>
  <w:style w:type="paragraph" w:customStyle="1" w:styleId="3041">
    <w:name w:val="Char Char Char Char Char Char4"/>
    <w:basedOn w:val="1"/>
    <w:autoRedefine/>
    <w:qFormat/>
    <w:uiPriority w:val="0"/>
    <w:pPr>
      <w:adjustRightInd/>
      <w:snapToGrid/>
      <w:spacing w:line="240" w:lineRule="auto"/>
      <w:ind w:firstLine="0" w:firstLineChars="0"/>
    </w:pPr>
    <w:rPr>
      <w:rFonts w:ascii="宋体" w:hAnsi="宋体"/>
      <w:szCs w:val="24"/>
    </w:rPr>
  </w:style>
  <w:style w:type="character" w:customStyle="1" w:styleId="3042">
    <w:name w:val="Char Char74"/>
    <w:autoRedefine/>
    <w:qFormat/>
    <w:uiPriority w:val="0"/>
    <w:rPr>
      <w:rFonts w:eastAsia="宋体"/>
      <w:b/>
      <w:bCs/>
      <w:kern w:val="44"/>
      <w:sz w:val="44"/>
      <w:szCs w:val="44"/>
      <w:lang w:val="en-US" w:eastAsia="zh-CN" w:bidi="ar-SA"/>
    </w:rPr>
  </w:style>
  <w:style w:type="paragraph" w:customStyle="1" w:styleId="3043">
    <w:name w:val="Char Char1 Char3"/>
    <w:basedOn w:val="1"/>
    <w:autoRedefine/>
    <w:qFormat/>
    <w:uiPriority w:val="0"/>
    <w:pPr>
      <w:adjustRightInd/>
      <w:snapToGrid/>
      <w:spacing w:line="240" w:lineRule="auto"/>
      <w:ind w:firstLine="0" w:firstLineChars="0"/>
    </w:pPr>
    <w:rPr>
      <w:sz w:val="21"/>
      <w:szCs w:val="24"/>
    </w:rPr>
  </w:style>
  <w:style w:type="paragraph" w:customStyle="1" w:styleId="3044">
    <w:name w:val="批注框文本4"/>
    <w:basedOn w:val="1"/>
    <w:autoRedefine/>
    <w:semiHidden/>
    <w:qFormat/>
    <w:uiPriority w:val="0"/>
    <w:pPr>
      <w:widowControl/>
      <w:autoSpaceDE w:val="0"/>
      <w:autoSpaceDN w:val="0"/>
      <w:adjustRightInd/>
      <w:snapToGrid/>
      <w:spacing w:line="240" w:lineRule="auto"/>
      <w:ind w:firstLine="0" w:firstLineChars="0"/>
      <w:jc w:val="left"/>
    </w:pPr>
    <w:rPr>
      <w:rFonts w:ascii="Tahoma" w:hAnsi="Tahoma" w:cs="幼圆"/>
      <w:kern w:val="0"/>
      <w:sz w:val="16"/>
      <w:szCs w:val="16"/>
      <w:lang w:val="en-GB" w:eastAsia="en-GB"/>
    </w:rPr>
  </w:style>
  <w:style w:type="paragraph" w:customStyle="1" w:styleId="3045">
    <w:name w:val="正文10"/>
    <w:autoRedefine/>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3046">
    <w:name w:val="普通(网站)3"/>
    <w:basedOn w:val="1"/>
    <w:autoRedefine/>
    <w:qFormat/>
    <w:uiPriority w:val="0"/>
    <w:pPr>
      <w:adjustRightInd/>
      <w:snapToGrid/>
      <w:spacing w:line="240" w:lineRule="auto"/>
      <w:ind w:firstLine="0" w:firstLineChars="0"/>
    </w:pPr>
    <w:rPr>
      <w:szCs w:val="24"/>
    </w:rPr>
  </w:style>
  <w:style w:type="character" w:customStyle="1" w:styleId="3047">
    <w:name w:val="Char1 Char Char Char Char Char Char Char Char Char Char Char Char Char Char Char Char Char3"/>
    <w:autoRedefine/>
    <w:qFormat/>
    <w:uiPriority w:val="0"/>
    <w:rPr>
      <w:rFonts w:ascii="Arial Narrow" w:hAnsi="Arial Narrow" w:eastAsia="仿宋_GB2312"/>
      <w:sz w:val="24"/>
      <w:szCs w:val="28"/>
      <w:lang w:val="en-US" w:eastAsia="zh-CN" w:bidi="ar-SA"/>
    </w:rPr>
  </w:style>
  <w:style w:type="paragraph" w:customStyle="1" w:styleId="3048">
    <w:name w:val="Char Char3 Char Char Char Char4"/>
    <w:basedOn w:val="1"/>
    <w:autoRedefine/>
    <w:qFormat/>
    <w:uiPriority w:val="0"/>
    <w:pPr>
      <w:widowControl/>
      <w:adjustRightInd/>
      <w:snapToGrid/>
      <w:spacing w:line="240" w:lineRule="exact"/>
      <w:ind w:firstLine="0" w:firstLineChars="0"/>
      <w:jc w:val="left"/>
    </w:pPr>
    <w:rPr>
      <w:rFonts w:ascii="Verdana" w:hAnsi="Verdana"/>
      <w:kern w:val="0"/>
      <w:sz w:val="20"/>
      <w:lang w:eastAsia="en-US"/>
    </w:rPr>
  </w:style>
  <w:style w:type="character" w:customStyle="1" w:styleId="3049">
    <w:name w:val="Char Char163"/>
    <w:autoRedefine/>
    <w:qFormat/>
    <w:uiPriority w:val="0"/>
    <w:rPr>
      <w:rFonts w:ascii="Book Antiqua" w:hAnsi="Book Antiqua" w:eastAsia="宋体"/>
      <w:i/>
      <w:sz w:val="22"/>
      <w:lang w:val="en-GB" w:eastAsia="zh-CN" w:bidi="ar-SA"/>
    </w:rPr>
  </w:style>
  <w:style w:type="paragraph" w:customStyle="1" w:styleId="3050">
    <w:name w:val="Char Char Char Char Char Char Char Char Char Char Char Char Char Char Char Char Char Char Char3"/>
    <w:basedOn w:val="1"/>
    <w:autoRedefine/>
    <w:qFormat/>
    <w:uiPriority w:val="0"/>
    <w:pPr>
      <w:adjustRightInd/>
      <w:snapToGrid/>
      <w:spacing w:line="240" w:lineRule="auto"/>
      <w:ind w:firstLine="0" w:firstLineChars="0"/>
    </w:pPr>
    <w:rPr>
      <w:rFonts w:eastAsia="Times New Roman"/>
      <w:kern w:val="0"/>
      <w:sz w:val="20"/>
    </w:rPr>
  </w:style>
  <w:style w:type="character" w:customStyle="1" w:styleId="3051">
    <w:name w:val="Char Char103"/>
    <w:autoRedefine/>
    <w:qFormat/>
    <w:uiPriority w:val="0"/>
    <w:rPr>
      <w:rFonts w:eastAsia="宋体"/>
      <w:sz w:val="18"/>
      <w:szCs w:val="18"/>
      <w:lang w:val="zh-CN" w:eastAsia="zh-CN" w:bidi="ar-SA"/>
    </w:rPr>
  </w:style>
  <w:style w:type="character" w:customStyle="1" w:styleId="3052">
    <w:name w:val="Char Char83"/>
    <w:autoRedefine/>
    <w:qFormat/>
    <w:uiPriority w:val="0"/>
    <w:rPr>
      <w:rFonts w:ascii="宋体" w:hAnsi="宋体" w:eastAsia="宋体"/>
      <w:sz w:val="24"/>
      <w:szCs w:val="24"/>
      <w:lang w:val="zh-CN" w:eastAsia="zh-CN" w:bidi="ar-SA"/>
    </w:rPr>
  </w:style>
  <w:style w:type="paragraph" w:customStyle="1" w:styleId="3053">
    <w:name w:val="Char Char Char Char Char2 Char Char Char Char4"/>
    <w:basedOn w:val="1"/>
    <w:autoRedefine/>
    <w:semiHidden/>
    <w:qFormat/>
    <w:uiPriority w:val="0"/>
    <w:pPr>
      <w:spacing w:line="360" w:lineRule="auto"/>
    </w:pPr>
    <w:rPr>
      <w:rFonts w:ascii="宋体" w:hAnsi="宋体" w:cs="宋体"/>
      <w:szCs w:val="26"/>
    </w:rPr>
  </w:style>
  <w:style w:type="paragraph" w:customStyle="1" w:styleId="3054">
    <w:name w:val="Char Char Char Char Char Char Char Char Char Char Char Char Char Char Char Char Char Char3"/>
    <w:basedOn w:val="1"/>
    <w:autoRedefine/>
    <w:qFormat/>
    <w:uiPriority w:val="0"/>
    <w:pPr>
      <w:adjustRightInd/>
      <w:snapToGrid/>
      <w:spacing w:line="240" w:lineRule="auto"/>
      <w:ind w:firstLine="0" w:firstLineChars="0"/>
    </w:pPr>
    <w:rPr>
      <w:sz w:val="21"/>
      <w:szCs w:val="24"/>
    </w:rPr>
  </w:style>
  <w:style w:type="paragraph" w:customStyle="1" w:styleId="3055">
    <w:name w:val="Char Char Char Char Char Char Char Char Char Char Char Char6"/>
    <w:basedOn w:val="1"/>
    <w:next w:val="1"/>
    <w:autoRedefine/>
    <w:qFormat/>
    <w:uiPriority w:val="0"/>
    <w:pPr>
      <w:adjustRightInd/>
      <w:snapToGrid/>
      <w:spacing w:line="360" w:lineRule="auto"/>
    </w:pPr>
    <w:rPr>
      <w:rFonts w:ascii="宋体" w:hAnsi="宋体" w:cs="宋体"/>
      <w:szCs w:val="24"/>
    </w:rPr>
  </w:style>
  <w:style w:type="paragraph" w:customStyle="1" w:styleId="3056">
    <w:name w:val="Char Char Char Char Char Char Char Char Char Char Char Char1 Char3"/>
    <w:basedOn w:val="1"/>
    <w:next w:val="1"/>
    <w:autoRedefine/>
    <w:qFormat/>
    <w:uiPriority w:val="0"/>
    <w:pPr>
      <w:adjustRightInd/>
      <w:snapToGrid/>
      <w:spacing w:line="360" w:lineRule="auto"/>
    </w:pPr>
    <w:rPr>
      <w:rFonts w:ascii="宋体" w:hAnsi="宋体" w:cs="宋体"/>
      <w:szCs w:val="24"/>
    </w:rPr>
  </w:style>
  <w:style w:type="paragraph" w:customStyle="1" w:styleId="3057">
    <w:name w:val="Char Char Char Char Char Char Char Char Char Char Char Char Char Char Char Char4"/>
    <w:basedOn w:val="1"/>
    <w:autoRedefine/>
    <w:qFormat/>
    <w:uiPriority w:val="0"/>
    <w:pPr>
      <w:adjustRightInd/>
      <w:snapToGrid/>
      <w:spacing w:line="240" w:lineRule="auto"/>
      <w:ind w:firstLine="0" w:firstLineChars="0"/>
    </w:pPr>
    <w:rPr>
      <w:sz w:val="21"/>
      <w:szCs w:val="24"/>
    </w:rPr>
  </w:style>
  <w:style w:type="paragraph" w:customStyle="1" w:styleId="3058">
    <w:name w:val="Char Char Char1 Char Char Char Char Char Char Char Char Char Char Char Char Char Char Char Char Char Char Char3"/>
    <w:basedOn w:val="1"/>
    <w:autoRedefine/>
    <w:qFormat/>
    <w:uiPriority w:val="0"/>
    <w:pPr>
      <w:adjustRightInd/>
      <w:snapToGrid/>
      <w:spacing w:line="240" w:lineRule="auto"/>
      <w:ind w:firstLine="0" w:firstLineChars="0"/>
    </w:pPr>
    <w:rPr>
      <w:sz w:val="21"/>
      <w:szCs w:val="24"/>
    </w:rPr>
  </w:style>
  <w:style w:type="paragraph" w:customStyle="1" w:styleId="3059">
    <w:name w:val="Char Char Char Char Char Char Char Char Char Char Char Char Char Char Char Char Char Char Char Char Char Char Char Char Char Char Char Char Char Char Char Char Char Char Char Char Char Char Char3"/>
    <w:basedOn w:val="1"/>
    <w:autoRedefine/>
    <w:qFormat/>
    <w:uiPriority w:val="0"/>
    <w:pPr>
      <w:adjustRightInd/>
      <w:snapToGrid/>
      <w:spacing w:line="240" w:lineRule="auto"/>
      <w:ind w:firstLine="0" w:firstLineChars="0"/>
    </w:pPr>
    <w:rPr>
      <w:sz w:val="21"/>
      <w:szCs w:val="24"/>
    </w:rPr>
  </w:style>
  <w:style w:type="paragraph" w:customStyle="1" w:styleId="3060">
    <w:name w:val="Char Char Char Char Char Char Char Char Char Char Char3"/>
    <w:basedOn w:val="1"/>
    <w:autoRedefine/>
    <w:qFormat/>
    <w:uiPriority w:val="0"/>
    <w:pPr>
      <w:snapToGrid/>
      <w:spacing w:line="360" w:lineRule="auto"/>
      <w:ind w:firstLine="0" w:firstLineChars="0"/>
    </w:pPr>
    <w:rPr>
      <w:kern w:val="0"/>
    </w:rPr>
  </w:style>
  <w:style w:type="character" w:customStyle="1" w:styleId="3061">
    <w:name w:val="Char Char Char Char Char Char Char Char3"/>
    <w:link w:val="1436"/>
    <w:autoRedefine/>
    <w:qFormat/>
    <w:uiPriority w:val="0"/>
    <w:rPr>
      <w:kern w:val="2"/>
      <w:sz w:val="21"/>
      <w:szCs w:val="24"/>
    </w:rPr>
  </w:style>
  <w:style w:type="character" w:customStyle="1" w:styleId="3062">
    <w:name w:val="Char Char173"/>
    <w:autoRedefine/>
    <w:qFormat/>
    <w:uiPriority w:val="0"/>
    <w:rPr>
      <w:rFonts w:eastAsia="宋体"/>
      <w:color w:val="000000"/>
      <w:kern w:val="2"/>
      <w:sz w:val="18"/>
      <w:szCs w:val="18"/>
      <w:lang w:val="en-US" w:eastAsia="zh-CN" w:bidi="ar-SA"/>
    </w:rPr>
  </w:style>
  <w:style w:type="paragraph" w:customStyle="1" w:styleId="3063">
    <w:name w:val="Char Char Char4"/>
    <w:basedOn w:val="1"/>
    <w:autoRedefine/>
    <w:qFormat/>
    <w:uiPriority w:val="0"/>
    <w:pPr>
      <w:adjustRightInd/>
      <w:snapToGrid/>
      <w:spacing w:line="240" w:lineRule="auto"/>
      <w:ind w:firstLine="0" w:firstLineChars="0"/>
    </w:pPr>
    <w:rPr>
      <w:szCs w:val="24"/>
    </w:rPr>
  </w:style>
  <w:style w:type="character" w:customStyle="1" w:styleId="3064">
    <w:name w:val="Char Char223"/>
    <w:autoRedefine/>
    <w:qFormat/>
    <w:uiPriority w:val="0"/>
    <w:rPr>
      <w:sz w:val="18"/>
      <w:lang w:eastAsia="en-US" w:bidi="en-US"/>
    </w:rPr>
  </w:style>
  <w:style w:type="character" w:customStyle="1" w:styleId="3065">
    <w:name w:val="Char Char213"/>
    <w:autoRedefine/>
    <w:qFormat/>
    <w:uiPriority w:val="0"/>
    <w:rPr>
      <w:rFonts w:eastAsia="宋体"/>
      <w:sz w:val="18"/>
    </w:rPr>
  </w:style>
  <w:style w:type="character" w:customStyle="1" w:styleId="3066">
    <w:name w:val="Char Char203"/>
    <w:autoRedefine/>
    <w:qFormat/>
    <w:uiPriority w:val="0"/>
    <w:rPr>
      <w:rFonts w:eastAsia="宋体"/>
      <w:sz w:val="18"/>
    </w:rPr>
  </w:style>
  <w:style w:type="character" w:customStyle="1" w:styleId="3067">
    <w:name w:val="Char Char193"/>
    <w:autoRedefine/>
    <w:qFormat/>
    <w:uiPriority w:val="0"/>
    <w:rPr>
      <w:rFonts w:ascii="Cambria" w:hAnsi="Cambria" w:eastAsia="宋体"/>
      <w:b/>
      <w:kern w:val="28"/>
      <w:sz w:val="32"/>
    </w:rPr>
  </w:style>
  <w:style w:type="character" w:customStyle="1" w:styleId="3068">
    <w:name w:val="Char Char183"/>
    <w:autoRedefine/>
    <w:qFormat/>
    <w:uiPriority w:val="0"/>
    <w:rPr>
      <w:rFonts w:eastAsia="宋体"/>
    </w:rPr>
  </w:style>
  <w:style w:type="character" w:customStyle="1" w:styleId="3069">
    <w:name w:val="Char Char252"/>
    <w:autoRedefine/>
    <w:qFormat/>
    <w:uiPriority w:val="0"/>
    <w:rPr>
      <w:rFonts w:ascii="Times New Roman" w:hAnsi="Times New Roman" w:eastAsia="宋体" w:cs="Times New Roman"/>
      <w:szCs w:val="24"/>
    </w:rPr>
  </w:style>
  <w:style w:type="paragraph" w:customStyle="1" w:styleId="3070">
    <w:name w:val="Char Char Char1 Char2"/>
    <w:basedOn w:val="1"/>
    <w:autoRedefine/>
    <w:qFormat/>
    <w:uiPriority w:val="0"/>
    <w:pPr>
      <w:adjustRightInd/>
      <w:snapToGrid/>
      <w:spacing w:line="240" w:lineRule="auto"/>
      <w:ind w:firstLine="0" w:firstLineChars="0"/>
    </w:pPr>
    <w:rPr>
      <w:rFonts w:ascii="宋体" w:hAnsi="Tahoma" w:cs="Tahoma"/>
      <w:sz w:val="20"/>
      <w:szCs w:val="21"/>
    </w:rPr>
  </w:style>
  <w:style w:type="paragraph" w:customStyle="1" w:styleId="3071">
    <w:name w:val="Char Char Char Char Char2"/>
    <w:basedOn w:val="1"/>
    <w:autoRedefine/>
    <w:qFormat/>
    <w:uiPriority w:val="0"/>
    <w:pPr>
      <w:adjustRightInd/>
      <w:snapToGrid/>
      <w:spacing w:line="240" w:lineRule="auto"/>
      <w:ind w:firstLine="0" w:firstLineChars="0"/>
    </w:pPr>
    <w:rPr>
      <w:sz w:val="21"/>
      <w:szCs w:val="24"/>
    </w:rPr>
  </w:style>
  <w:style w:type="paragraph" w:customStyle="1" w:styleId="3072">
    <w:name w:val="Char1 Char Char Char Char Char Char2"/>
    <w:basedOn w:val="1"/>
    <w:autoRedefine/>
    <w:qFormat/>
    <w:uiPriority w:val="0"/>
    <w:pPr>
      <w:keepNext/>
      <w:keepLines/>
      <w:adjustRightInd/>
      <w:snapToGrid/>
      <w:spacing w:line="240" w:lineRule="exact"/>
      <w:ind w:firstLine="0" w:firstLineChars="0"/>
      <w:jc w:val="left"/>
    </w:pPr>
    <w:rPr>
      <w:rFonts w:ascii="宋体" w:hAnsi="宋体"/>
      <w:b/>
      <w:kern w:val="0"/>
      <w:sz w:val="44"/>
      <w:szCs w:val="44"/>
      <w:lang w:eastAsia="en-US"/>
    </w:rPr>
  </w:style>
  <w:style w:type="paragraph" w:customStyle="1" w:styleId="3073">
    <w:name w:val="标题 1红4号3"/>
    <w:basedOn w:val="3"/>
    <w:autoRedefine/>
    <w:qFormat/>
    <w:uiPriority w:val="0"/>
    <w:pPr>
      <w:numPr>
        <w:numId w:val="0"/>
      </w:numPr>
      <w:shd w:val="clear" w:color="auto" w:fill="FFFFFF"/>
      <w:tabs>
        <w:tab w:val="left" w:pos="210"/>
      </w:tabs>
      <w:kinsoku w:val="0"/>
      <w:overflowPunct w:val="0"/>
      <w:autoSpaceDE w:val="0"/>
      <w:autoSpaceDN w:val="0"/>
      <w:adjustRightInd/>
      <w:snapToGrid/>
      <w:spacing w:before="340" w:after="330" w:line="240" w:lineRule="auto"/>
      <w:ind w:firstLine="200" w:firstLineChars="200"/>
      <w:jc w:val="center"/>
    </w:pPr>
    <w:rPr>
      <w:rFonts w:ascii="宋体" w:hAnsi="宋体"/>
      <w:bCs w:val="0"/>
      <w:color w:val="FF6600"/>
      <w:szCs w:val="28"/>
      <w:lang w:val="en-US"/>
    </w:rPr>
  </w:style>
  <w:style w:type="paragraph" w:customStyle="1" w:styleId="3074">
    <w:name w:val="标题 2 蓝四号3"/>
    <w:basedOn w:val="4"/>
    <w:next w:val="1"/>
    <w:autoRedefine/>
    <w:semiHidden/>
    <w:qFormat/>
    <w:uiPriority w:val="0"/>
    <w:pPr>
      <w:numPr>
        <w:ilvl w:val="0"/>
        <w:numId w:val="0"/>
      </w:numPr>
      <w:shd w:val="clear" w:color="auto" w:fill="FFFFFF"/>
      <w:tabs>
        <w:tab w:val="left" w:pos="210"/>
      </w:tabs>
      <w:kinsoku w:val="0"/>
      <w:overflowPunct w:val="0"/>
      <w:autoSpaceDE w:val="0"/>
      <w:autoSpaceDN w:val="0"/>
      <w:spacing w:before="260" w:after="260" w:line="300" w:lineRule="exact"/>
    </w:pPr>
    <w:rPr>
      <w:rFonts w:ascii="宋体" w:hAnsi="宋体"/>
      <w:bCs w:val="0"/>
      <w:color w:val="0000FF"/>
      <w:szCs w:val="24"/>
      <w:lang w:val="en-US"/>
    </w:rPr>
  </w:style>
  <w:style w:type="character" w:customStyle="1" w:styleId="3075">
    <w:name w:val="Char Char232"/>
    <w:autoRedefine/>
    <w:qFormat/>
    <w:uiPriority w:val="0"/>
    <w:rPr>
      <w:rFonts w:ascii="Arial Narrow" w:hAnsi="Arial Narrow" w:eastAsia="仿宋_GB2312"/>
      <w:kern w:val="2"/>
      <w:sz w:val="24"/>
      <w:szCs w:val="24"/>
      <w:lang w:val="en-US" w:eastAsia="zh-CN" w:bidi="ar-SA"/>
    </w:rPr>
  </w:style>
  <w:style w:type="character" w:customStyle="1" w:styleId="3076">
    <w:name w:val="Char Char272"/>
    <w:autoRedefine/>
    <w:qFormat/>
    <w:uiPriority w:val="0"/>
    <w:rPr>
      <w:rFonts w:eastAsia="宋体"/>
      <w:bCs/>
      <w:color w:val="000000"/>
      <w:sz w:val="24"/>
      <w:szCs w:val="19"/>
      <w:lang w:val="en-US" w:eastAsia="zh-CN" w:bidi="ar-SA"/>
    </w:rPr>
  </w:style>
  <w:style w:type="character" w:customStyle="1" w:styleId="3077">
    <w:name w:val="Char Char322"/>
    <w:autoRedefine/>
    <w:qFormat/>
    <w:uiPriority w:val="0"/>
    <w:rPr>
      <w:rFonts w:eastAsia="宋体"/>
      <w:color w:val="000000"/>
      <w:kern w:val="2"/>
      <w:sz w:val="24"/>
      <w:szCs w:val="24"/>
      <w:lang w:val="en-US" w:eastAsia="zh-CN" w:bidi="ar-SA"/>
    </w:rPr>
  </w:style>
  <w:style w:type="character" w:customStyle="1" w:styleId="3078">
    <w:name w:val="Char Char342"/>
    <w:autoRedefine/>
    <w:qFormat/>
    <w:uiPriority w:val="0"/>
    <w:rPr>
      <w:rFonts w:eastAsia="宋体"/>
      <w:kern w:val="2"/>
      <w:sz w:val="21"/>
      <w:szCs w:val="24"/>
      <w:lang w:val="en-US" w:eastAsia="zh-CN" w:bidi="ar-SA"/>
    </w:rPr>
  </w:style>
  <w:style w:type="character" w:customStyle="1" w:styleId="3079">
    <w:name w:val="fontstyle11"/>
    <w:autoRedefine/>
    <w:qFormat/>
    <w:uiPriority w:val="0"/>
    <w:rPr>
      <w:rFonts w:hint="default" w:ascii="TimesNewRoman" w:hAnsi="TimesNewRoman"/>
      <w:color w:val="000000"/>
      <w:sz w:val="24"/>
      <w:szCs w:val="24"/>
    </w:rPr>
  </w:style>
  <w:style w:type="paragraph" w:customStyle="1" w:styleId="3080">
    <w:name w:val="正文12"/>
    <w:basedOn w:val="1"/>
    <w:link w:val="3081"/>
    <w:autoRedefine/>
    <w:qFormat/>
    <w:uiPriority w:val="0"/>
    <w:pPr>
      <w:snapToGrid/>
      <w:spacing w:line="315" w:lineRule="atLeast"/>
      <w:ind w:firstLine="0" w:firstLineChars="0"/>
      <w:jc w:val="left"/>
      <w:textAlignment w:val="baseline"/>
    </w:pPr>
    <w:rPr>
      <w:rFonts w:ascii="宋体"/>
      <w:kern w:val="0"/>
    </w:rPr>
  </w:style>
  <w:style w:type="character" w:customStyle="1" w:styleId="3081">
    <w:name w:val="正文 Char3"/>
    <w:link w:val="3080"/>
    <w:autoRedefine/>
    <w:qFormat/>
    <w:uiPriority w:val="0"/>
    <w:rPr>
      <w:rFonts w:ascii="宋体"/>
      <w:sz w:val="24"/>
    </w:rPr>
  </w:style>
  <w:style w:type="paragraph" w:customStyle="1" w:styleId="3082">
    <w:name w:val="12"/>
    <w:autoRedefine/>
    <w:qFormat/>
    <w:uiPriority w:val="0"/>
    <w:pPr>
      <w:widowControl w:val="0"/>
      <w:jc w:val="both"/>
    </w:pPr>
    <w:rPr>
      <w:rFonts w:ascii="Times New Roman" w:hAnsi="Times New Roman" w:eastAsia="宋体" w:cs="Times New Roman"/>
      <w:color w:val="000000"/>
      <w:kern w:val="2"/>
      <w:sz w:val="24"/>
      <w:szCs w:val="24"/>
      <w:lang w:val="en-US" w:eastAsia="zh-CN" w:bidi="ar-SA"/>
    </w:rPr>
  </w:style>
  <w:style w:type="paragraph" w:customStyle="1" w:styleId="3083">
    <w:name w:val="Char4 Char Char Char4"/>
    <w:basedOn w:val="1"/>
    <w:autoRedefine/>
    <w:semiHidden/>
    <w:qFormat/>
    <w:uiPriority w:val="0"/>
    <w:pPr>
      <w:spacing w:line="360" w:lineRule="auto"/>
    </w:pPr>
    <w:rPr>
      <w:rFonts w:ascii="宋体" w:hAnsi="宋体" w:cs="宋体"/>
      <w:szCs w:val="26"/>
    </w:rPr>
  </w:style>
  <w:style w:type="paragraph" w:customStyle="1" w:styleId="3084">
    <w:name w:val="Char Char Char Char Char Char Char Char Char3"/>
    <w:basedOn w:val="1"/>
    <w:autoRedefine/>
    <w:qFormat/>
    <w:uiPriority w:val="0"/>
    <w:pPr>
      <w:adjustRightInd/>
      <w:snapToGrid/>
      <w:spacing w:line="240" w:lineRule="auto"/>
      <w:ind w:firstLine="0" w:firstLineChars="0"/>
    </w:pPr>
    <w:rPr>
      <w:sz w:val="21"/>
      <w:szCs w:val="24"/>
    </w:rPr>
  </w:style>
  <w:style w:type="paragraph" w:customStyle="1" w:styleId="3085">
    <w:name w:val="Char Char Char Char Char Char Char Char Char Char Char Char1 Char Char Char Char Char Char Char Char Char Char Char Char Char Char Char Char Char Char Char2"/>
    <w:basedOn w:val="1"/>
    <w:autoRedefine/>
    <w:semiHidden/>
    <w:qFormat/>
    <w:uiPriority w:val="0"/>
    <w:pPr>
      <w:adjustRightInd/>
      <w:snapToGrid/>
      <w:spacing w:line="360" w:lineRule="auto"/>
    </w:pPr>
    <w:rPr>
      <w:rFonts w:ascii="宋体" w:hAnsi="宋体" w:cs="宋体"/>
      <w:szCs w:val="26"/>
    </w:rPr>
  </w:style>
  <w:style w:type="paragraph" w:customStyle="1" w:styleId="3086">
    <w:name w:val="Char Char1 Char Char Char Char2"/>
    <w:basedOn w:val="1"/>
    <w:autoRedefine/>
    <w:qFormat/>
    <w:uiPriority w:val="0"/>
    <w:pPr>
      <w:adjustRightInd/>
      <w:snapToGrid/>
      <w:spacing w:line="240" w:lineRule="auto"/>
      <w:ind w:firstLine="0" w:firstLineChars="0"/>
    </w:pPr>
    <w:rPr>
      <w:szCs w:val="24"/>
    </w:rPr>
  </w:style>
  <w:style w:type="paragraph" w:customStyle="1" w:styleId="3087">
    <w:name w:val="Char2 Char Char Char Char Char Char2"/>
    <w:basedOn w:val="1"/>
    <w:autoRedefine/>
    <w:qFormat/>
    <w:uiPriority w:val="0"/>
    <w:pPr>
      <w:adjustRightInd/>
      <w:snapToGrid/>
      <w:spacing w:line="240" w:lineRule="auto"/>
      <w:ind w:firstLine="0" w:firstLineChars="0"/>
    </w:pPr>
    <w:rPr>
      <w:sz w:val="21"/>
      <w:szCs w:val="24"/>
    </w:rPr>
  </w:style>
  <w:style w:type="paragraph" w:customStyle="1" w:styleId="3088">
    <w:name w:val="Char Char Char Char13"/>
    <w:basedOn w:val="1"/>
    <w:autoRedefine/>
    <w:qFormat/>
    <w:uiPriority w:val="0"/>
    <w:pPr>
      <w:adjustRightInd/>
      <w:snapToGrid/>
      <w:spacing w:line="360" w:lineRule="auto"/>
    </w:pPr>
    <w:rPr>
      <w:rFonts w:ascii="宋体" w:hAnsi="宋体" w:cs="宋体"/>
      <w:szCs w:val="24"/>
    </w:rPr>
  </w:style>
  <w:style w:type="paragraph" w:customStyle="1" w:styleId="3089">
    <w:name w:val="Char24"/>
    <w:basedOn w:val="1"/>
    <w:autoRedefine/>
    <w:qFormat/>
    <w:uiPriority w:val="0"/>
    <w:pPr>
      <w:adjustRightInd/>
      <w:snapToGrid/>
      <w:spacing w:line="240" w:lineRule="auto"/>
      <w:ind w:firstLine="0" w:firstLineChars="0"/>
    </w:pPr>
    <w:rPr>
      <w:sz w:val="21"/>
      <w:szCs w:val="21"/>
    </w:rPr>
  </w:style>
  <w:style w:type="paragraph" w:customStyle="1" w:styleId="3090">
    <w:name w:val="Char Char Char Char Char Char3"/>
    <w:basedOn w:val="1"/>
    <w:autoRedefine/>
    <w:qFormat/>
    <w:uiPriority w:val="0"/>
    <w:pPr>
      <w:adjustRightInd/>
      <w:snapToGrid/>
      <w:spacing w:line="240" w:lineRule="auto"/>
      <w:ind w:firstLine="0" w:firstLineChars="0"/>
    </w:pPr>
    <w:rPr>
      <w:rFonts w:ascii="宋体" w:hAnsi="宋体"/>
      <w:szCs w:val="24"/>
    </w:rPr>
  </w:style>
  <w:style w:type="paragraph" w:customStyle="1" w:styleId="3091">
    <w:name w:val="日期4"/>
    <w:basedOn w:val="1"/>
    <w:next w:val="1"/>
    <w:autoRedefine/>
    <w:qFormat/>
    <w:uiPriority w:val="0"/>
    <w:pPr>
      <w:snapToGrid/>
      <w:spacing w:line="240" w:lineRule="auto"/>
      <w:ind w:firstLine="0" w:firstLineChars="0"/>
      <w:textAlignment w:val="baseline"/>
    </w:pPr>
    <w:rPr>
      <w:sz w:val="21"/>
    </w:rPr>
  </w:style>
  <w:style w:type="character" w:customStyle="1" w:styleId="3092">
    <w:name w:val="Char Char73"/>
    <w:autoRedefine/>
    <w:qFormat/>
    <w:uiPriority w:val="0"/>
    <w:rPr>
      <w:rFonts w:eastAsia="宋体"/>
      <w:b/>
      <w:bCs/>
      <w:kern w:val="44"/>
      <w:sz w:val="44"/>
      <w:szCs w:val="44"/>
      <w:lang w:val="en-US" w:eastAsia="zh-CN" w:bidi="ar-SA"/>
    </w:rPr>
  </w:style>
  <w:style w:type="paragraph" w:customStyle="1" w:styleId="3093">
    <w:name w:val="Char Char1 Char2"/>
    <w:basedOn w:val="1"/>
    <w:autoRedefine/>
    <w:qFormat/>
    <w:uiPriority w:val="0"/>
    <w:pPr>
      <w:adjustRightInd/>
      <w:snapToGrid/>
      <w:spacing w:line="240" w:lineRule="auto"/>
      <w:ind w:firstLine="0" w:firstLineChars="0"/>
    </w:pPr>
    <w:rPr>
      <w:sz w:val="21"/>
      <w:szCs w:val="24"/>
    </w:rPr>
  </w:style>
  <w:style w:type="paragraph" w:customStyle="1" w:styleId="3094">
    <w:name w:val="批注框文本5"/>
    <w:basedOn w:val="1"/>
    <w:autoRedefine/>
    <w:semiHidden/>
    <w:qFormat/>
    <w:uiPriority w:val="0"/>
    <w:pPr>
      <w:widowControl/>
      <w:autoSpaceDE w:val="0"/>
      <w:autoSpaceDN w:val="0"/>
      <w:adjustRightInd/>
      <w:snapToGrid/>
      <w:spacing w:line="240" w:lineRule="auto"/>
      <w:ind w:firstLine="0" w:firstLineChars="0"/>
      <w:jc w:val="left"/>
    </w:pPr>
    <w:rPr>
      <w:rFonts w:ascii="Tahoma" w:hAnsi="Tahoma" w:cs="幼圆"/>
      <w:kern w:val="0"/>
      <w:sz w:val="16"/>
      <w:szCs w:val="16"/>
      <w:lang w:val="en-GB" w:eastAsia="en-GB"/>
    </w:rPr>
  </w:style>
  <w:style w:type="paragraph" w:customStyle="1" w:styleId="3095">
    <w:name w:val="正文13"/>
    <w:autoRedefine/>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3096">
    <w:name w:val="普通(网站)4"/>
    <w:basedOn w:val="1"/>
    <w:autoRedefine/>
    <w:qFormat/>
    <w:uiPriority w:val="0"/>
    <w:pPr>
      <w:adjustRightInd/>
      <w:snapToGrid/>
      <w:spacing w:line="240" w:lineRule="auto"/>
      <w:ind w:firstLine="0" w:firstLineChars="0"/>
    </w:pPr>
    <w:rPr>
      <w:szCs w:val="24"/>
    </w:rPr>
  </w:style>
  <w:style w:type="character" w:customStyle="1" w:styleId="3097">
    <w:name w:val="Char1 Char Char Char Char Char Char Char Char Char Char Char Char Char Char Char Char Char2"/>
    <w:autoRedefine/>
    <w:qFormat/>
    <w:uiPriority w:val="0"/>
    <w:rPr>
      <w:rFonts w:ascii="Arial Narrow" w:hAnsi="Arial Narrow" w:eastAsia="仿宋_GB2312"/>
      <w:sz w:val="24"/>
      <w:szCs w:val="28"/>
      <w:lang w:val="en-US" w:eastAsia="zh-CN" w:bidi="ar-SA"/>
    </w:rPr>
  </w:style>
  <w:style w:type="paragraph" w:customStyle="1" w:styleId="3098">
    <w:name w:val="Char Char3 Char Char Char Char3"/>
    <w:basedOn w:val="1"/>
    <w:autoRedefine/>
    <w:qFormat/>
    <w:uiPriority w:val="0"/>
    <w:pPr>
      <w:widowControl/>
      <w:adjustRightInd/>
      <w:snapToGrid/>
      <w:spacing w:line="240" w:lineRule="exact"/>
      <w:ind w:firstLine="0" w:firstLineChars="0"/>
      <w:jc w:val="left"/>
    </w:pPr>
    <w:rPr>
      <w:rFonts w:ascii="Verdana" w:hAnsi="Verdana"/>
      <w:kern w:val="0"/>
      <w:sz w:val="20"/>
      <w:lang w:eastAsia="en-US"/>
    </w:rPr>
  </w:style>
  <w:style w:type="character" w:customStyle="1" w:styleId="3099">
    <w:name w:val="Char Char162"/>
    <w:autoRedefine/>
    <w:qFormat/>
    <w:uiPriority w:val="0"/>
    <w:rPr>
      <w:rFonts w:ascii="Book Antiqua" w:hAnsi="Book Antiqua" w:eastAsia="宋体"/>
      <w:i/>
      <w:sz w:val="22"/>
      <w:lang w:val="en-GB" w:eastAsia="zh-CN" w:bidi="ar-SA"/>
    </w:rPr>
  </w:style>
  <w:style w:type="paragraph" w:customStyle="1" w:styleId="3100">
    <w:name w:val="Char Char Char Char Char2 Char Char Char Char3"/>
    <w:basedOn w:val="1"/>
    <w:autoRedefine/>
    <w:semiHidden/>
    <w:qFormat/>
    <w:uiPriority w:val="0"/>
    <w:pPr>
      <w:spacing w:line="360" w:lineRule="auto"/>
    </w:pPr>
    <w:rPr>
      <w:rFonts w:ascii="宋体" w:hAnsi="宋体" w:cs="宋体"/>
      <w:szCs w:val="26"/>
    </w:rPr>
  </w:style>
  <w:style w:type="character" w:customStyle="1" w:styleId="3101">
    <w:name w:val="标题12"/>
    <w:basedOn w:val="133"/>
    <w:autoRedefine/>
    <w:qFormat/>
    <w:uiPriority w:val="0"/>
  </w:style>
  <w:style w:type="paragraph" w:customStyle="1" w:styleId="3102">
    <w:name w:val="Char Char Char Char Char Char Char Char Char Char Char Char Char Char Char Char Char Char2"/>
    <w:basedOn w:val="1"/>
    <w:autoRedefine/>
    <w:qFormat/>
    <w:uiPriority w:val="0"/>
    <w:pPr>
      <w:adjustRightInd/>
      <w:snapToGrid/>
      <w:spacing w:line="240" w:lineRule="auto"/>
      <w:ind w:firstLine="0" w:firstLineChars="0"/>
    </w:pPr>
    <w:rPr>
      <w:sz w:val="21"/>
      <w:szCs w:val="24"/>
    </w:rPr>
  </w:style>
  <w:style w:type="paragraph" w:customStyle="1" w:styleId="3103">
    <w:name w:val="Char Char Char Char Char Char Char Char Char Char Char Char5"/>
    <w:basedOn w:val="1"/>
    <w:next w:val="1"/>
    <w:autoRedefine/>
    <w:qFormat/>
    <w:uiPriority w:val="0"/>
    <w:pPr>
      <w:adjustRightInd/>
      <w:snapToGrid/>
      <w:spacing w:line="360" w:lineRule="auto"/>
    </w:pPr>
    <w:rPr>
      <w:rFonts w:ascii="宋体" w:hAnsi="宋体" w:cs="宋体"/>
      <w:szCs w:val="24"/>
    </w:rPr>
  </w:style>
  <w:style w:type="paragraph" w:customStyle="1" w:styleId="3104">
    <w:name w:val="Char Char Char Char Char Char Char Char Char Char Char Char1 Char2"/>
    <w:basedOn w:val="1"/>
    <w:next w:val="1"/>
    <w:autoRedefine/>
    <w:qFormat/>
    <w:uiPriority w:val="0"/>
    <w:pPr>
      <w:adjustRightInd/>
      <w:snapToGrid/>
      <w:spacing w:line="360" w:lineRule="auto"/>
    </w:pPr>
    <w:rPr>
      <w:rFonts w:ascii="宋体" w:hAnsi="宋体" w:cs="宋体"/>
      <w:szCs w:val="24"/>
    </w:rPr>
  </w:style>
  <w:style w:type="paragraph" w:customStyle="1" w:styleId="3105">
    <w:name w:val="Char Char Char Char Char Char Char Char Char Char Char Char Char Char Char Char3"/>
    <w:basedOn w:val="1"/>
    <w:autoRedefine/>
    <w:qFormat/>
    <w:uiPriority w:val="0"/>
    <w:pPr>
      <w:adjustRightInd/>
      <w:snapToGrid/>
      <w:spacing w:line="240" w:lineRule="auto"/>
      <w:ind w:firstLine="0" w:firstLineChars="0"/>
    </w:pPr>
    <w:rPr>
      <w:sz w:val="21"/>
      <w:szCs w:val="24"/>
    </w:rPr>
  </w:style>
  <w:style w:type="paragraph" w:customStyle="1" w:styleId="3106">
    <w:name w:val="Char Char Char1 Char Char Char Char Char Char Char Char Char Char Char Char Char Char Char Char Char Char Char2"/>
    <w:basedOn w:val="1"/>
    <w:autoRedefine/>
    <w:qFormat/>
    <w:uiPriority w:val="0"/>
    <w:pPr>
      <w:adjustRightInd/>
      <w:snapToGrid/>
      <w:spacing w:line="240" w:lineRule="auto"/>
      <w:ind w:firstLine="0" w:firstLineChars="0"/>
    </w:pPr>
    <w:rPr>
      <w:sz w:val="21"/>
      <w:szCs w:val="24"/>
    </w:rPr>
  </w:style>
  <w:style w:type="paragraph" w:customStyle="1" w:styleId="3107">
    <w:name w:val="Char Char Char Char Char Char Char Char Char Char Char Char Char Char Char Char Char Char Char Char Char Char Char Char Char Char Char Char Char Char Char Char Char Char Char Char Char Char Char2"/>
    <w:basedOn w:val="1"/>
    <w:autoRedefine/>
    <w:qFormat/>
    <w:uiPriority w:val="0"/>
    <w:pPr>
      <w:adjustRightInd/>
      <w:snapToGrid/>
      <w:spacing w:line="240" w:lineRule="auto"/>
      <w:ind w:firstLine="0" w:firstLineChars="0"/>
    </w:pPr>
    <w:rPr>
      <w:sz w:val="21"/>
      <w:szCs w:val="24"/>
    </w:rPr>
  </w:style>
  <w:style w:type="paragraph" w:customStyle="1" w:styleId="3108">
    <w:name w:val="Char Char Char Char Char Char Char Char Char Char Char2"/>
    <w:basedOn w:val="1"/>
    <w:autoRedefine/>
    <w:qFormat/>
    <w:uiPriority w:val="0"/>
    <w:pPr>
      <w:snapToGrid/>
      <w:spacing w:line="360" w:lineRule="auto"/>
      <w:ind w:firstLine="0" w:firstLineChars="0"/>
    </w:pPr>
    <w:rPr>
      <w:kern w:val="0"/>
    </w:rPr>
  </w:style>
  <w:style w:type="character" w:customStyle="1" w:styleId="3109">
    <w:name w:val="Char Char Char Char Char Char Char Char2"/>
    <w:link w:val="1581"/>
    <w:autoRedefine/>
    <w:qFormat/>
    <w:uiPriority w:val="0"/>
    <w:rPr>
      <w:kern w:val="2"/>
      <w:sz w:val="28"/>
      <w:szCs w:val="24"/>
    </w:rPr>
  </w:style>
  <w:style w:type="character" w:customStyle="1" w:styleId="3110">
    <w:name w:val="Char Char172"/>
    <w:autoRedefine/>
    <w:qFormat/>
    <w:uiPriority w:val="0"/>
    <w:rPr>
      <w:rFonts w:eastAsia="宋体"/>
      <w:color w:val="000000"/>
      <w:kern w:val="2"/>
      <w:sz w:val="18"/>
      <w:szCs w:val="18"/>
      <w:lang w:val="en-US" w:eastAsia="zh-CN" w:bidi="ar-SA"/>
    </w:rPr>
  </w:style>
  <w:style w:type="paragraph" w:customStyle="1" w:styleId="3111">
    <w:name w:val="Char Char Char3"/>
    <w:basedOn w:val="1"/>
    <w:autoRedefine/>
    <w:qFormat/>
    <w:uiPriority w:val="0"/>
    <w:pPr>
      <w:adjustRightInd/>
      <w:snapToGrid/>
      <w:spacing w:line="240" w:lineRule="auto"/>
      <w:ind w:firstLine="0" w:firstLineChars="0"/>
    </w:pPr>
    <w:rPr>
      <w:szCs w:val="24"/>
    </w:rPr>
  </w:style>
  <w:style w:type="character" w:customStyle="1" w:styleId="3112">
    <w:name w:val="Char Char222"/>
    <w:autoRedefine/>
    <w:qFormat/>
    <w:uiPriority w:val="0"/>
    <w:rPr>
      <w:sz w:val="18"/>
      <w:lang w:eastAsia="en-US" w:bidi="en-US"/>
    </w:rPr>
  </w:style>
  <w:style w:type="character" w:customStyle="1" w:styleId="3113">
    <w:name w:val="Char Char212"/>
    <w:autoRedefine/>
    <w:qFormat/>
    <w:uiPriority w:val="0"/>
    <w:rPr>
      <w:rFonts w:eastAsia="宋体"/>
      <w:sz w:val="18"/>
    </w:rPr>
  </w:style>
  <w:style w:type="character" w:customStyle="1" w:styleId="3114">
    <w:name w:val="Char Char202"/>
    <w:autoRedefine/>
    <w:qFormat/>
    <w:uiPriority w:val="0"/>
    <w:rPr>
      <w:rFonts w:eastAsia="宋体"/>
      <w:sz w:val="18"/>
    </w:rPr>
  </w:style>
  <w:style w:type="character" w:customStyle="1" w:styleId="3115">
    <w:name w:val="Char Char192"/>
    <w:autoRedefine/>
    <w:qFormat/>
    <w:uiPriority w:val="0"/>
    <w:rPr>
      <w:rFonts w:ascii="Cambria" w:hAnsi="Cambria" w:eastAsia="宋体"/>
      <w:b/>
      <w:kern w:val="28"/>
      <w:sz w:val="32"/>
    </w:rPr>
  </w:style>
  <w:style w:type="character" w:customStyle="1" w:styleId="3116">
    <w:name w:val="Char Char182"/>
    <w:autoRedefine/>
    <w:qFormat/>
    <w:uiPriority w:val="0"/>
    <w:rPr>
      <w:rFonts w:eastAsia="宋体"/>
    </w:rPr>
  </w:style>
  <w:style w:type="character" w:customStyle="1" w:styleId="3117">
    <w:name w:val="Char Char251"/>
    <w:autoRedefine/>
    <w:qFormat/>
    <w:uiPriority w:val="0"/>
    <w:rPr>
      <w:rFonts w:ascii="Times New Roman" w:hAnsi="Times New Roman" w:eastAsia="宋体" w:cs="Times New Roman"/>
      <w:szCs w:val="24"/>
    </w:rPr>
  </w:style>
  <w:style w:type="paragraph" w:customStyle="1" w:styleId="3118">
    <w:name w:val="Char Char Char1 Char1"/>
    <w:basedOn w:val="1"/>
    <w:autoRedefine/>
    <w:qFormat/>
    <w:uiPriority w:val="0"/>
    <w:pPr>
      <w:adjustRightInd/>
      <w:snapToGrid/>
      <w:spacing w:line="240" w:lineRule="auto"/>
      <w:ind w:firstLine="0" w:firstLineChars="0"/>
    </w:pPr>
    <w:rPr>
      <w:rFonts w:ascii="宋体" w:hAnsi="Tahoma" w:cs="Tahoma"/>
      <w:sz w:val="20"/>
      <w:szCs w:val="21"/>
    </w:rPr>
  </w:style>
  <w:style w:type="paragraph" w:customStyle="1" w:styleId="3119">
    <w:name w:val="Char Char Char Char Char1"/>
    <w:basedOn w:val="1"/>
    <w:autoRedefine/>
    <w:qFormat/>
    <w:uiPriority w:val="0"/>
    <w:pPr>
      <w:adjustRightInd/>
      <w:snapToGrid/>
      <w:spacing w:line="240" w:lineRule="auto"/>
      <w:ind w:firstLine="0" w:firstLineChars="0"/>
    </w:pPr>
    <w:rPr>
      <w:sz w:val="21"/>
      <w:szCs w:val="24"/>
    </w:rPr>
  </w:style>
  <w:style w:type="paragraph" w:customStyle="1" w:styleId="3120">
    <w:name w:val="Char1 Char Char Char Char Char Char1"/>
    <w:basedOn w:val="1"/>
    <w:autoRedefine/>
    <w:qFormat/>
    <w:uiPriority w:val="0"/>
    <w:pPr>
      <w:keepNext/>
      <w:keepLines/>
      <w:adjustRightInd/>
      <w:snapToGrid/>
      <w:spacing w:line="240" w:lineRule="exact"/>
      <w:ind w:firstLine="0" w:firstLineChars="0"/>
      <w:jc w:val="left"/>
    </w:pPr>
    <w:rPr>
      <w:rFonts w:ascii="宋体" w:hAnsi="宋体"/>
      <w:b/>
      <w:kern w:val="0"/>
      <w:sz w:val="44"/>
      <w:szCs w:val="44"/>
      <w:lang w:eastAsia="en-US"/>
    </w:rPr>
  </w:style>
  <w:style w:type="paragraph" w:customStyle="1" w:styleId="3121">
    <w:name w:val="标题 1红4号2"/>
    <w:basedOn w:val="3"/>
    <w:autoRedefine/>
    <w:qFormat/>
    <w:uiPriority w:val="0"/>
    <w:pPr>
      <w:numPr>
        <w:numId w:val="0"/>
      </w:numPr>
      <w:shd w:val="clear" w:color="auto" w:fill="FFFFFF"/>
      <w:tabs>
        <w:tab w:val="left" w:pos="210"/>
      </w:tabs>
      <w:kinsoku w:val="0"/>
      <w:overflowPunct w:val="0"/>
      <w:autoSpaceDE w:val="0"/>
      <w:autoSpaceDN w:val="0"/>
      <w:adjustRightInd/>
      <w:snapToGrid/>
      <w:spacing w:before="340" w:after="330" w:line="240" w:lineRule="auto"/>
      <w:ind w:firstLine="200" w:firstLineChars="200"/>
      <w:jc w:val="center"/>
    </w:pPr>
    <w:rPr>
      <w:rFonts w:ascii="宋体" w:hAnsi="宋体"/>
      <w:bCs w:val="0"/>
      <w:color w:val="FF6600"/>
      <w:szCs w:val="28"/>
      <w:lang w:val="en-US"/>
    </w:rPr>
  </w:style>
  <w:style w:type="paragraph" w:customStyle="1" w:styleId="3122">
    <w:name w:val="标题 2 蓝四号2"/>
    <w:basedOn w:val="4"/>
    <w:next w:val="1"/>
    <w:autoRedefine/>
    <w:semiHidden/>
    <w:qFormat/>
    <w:uiPriority w:val="0"/>
    <w:pPr>
      <w:numPr>
        <w:ilvl w:val="0"/>
        <w:numId w:val="0"/>
      </w:numPr>
      <w:shd w:val="clear" w:color="auto" w:fill="FFFFFF"/>
      <w:tabs>
        <w:tab w:val="left" w:pos="210"/>
      </w:tabs>
      <w:kinsoku w:val="0"/>
      <w:overflowPunct w:val="0"/>
      <w:autoSpaceDE w:val="0"/>
      <w:autoSpaceDN w:val="0"/>
      <w:spacing w:before="260" w:after="260" w:line="300" w:lineRule="exact"/>
    </w:pPr>
    <w:rPr>
      <w:rFonts w:ascii="宋体" w:hAnsi="宋体"/>
      <w:bCs w:val="0"/>
      <w:color w:val="0000FF"/>
      <w:szCs w:val="24"/>
      <w:lang w:val="en-US"/>
    </w:rPr>
  </w:style>
  <w:style w:type="character" w:customStyle="1" w:styleId="3123">
    <w:name w:val="Char Char231"/>
    <w:autoRedefine/>
    <w:qFormat/>
    <w:uiPriority w:val="0"/>
    <w:rPr>
      <w:rFonts w:ascii="Arial Narrow" w:hAnsi="Arial Narrow" w:eastAsia="仿宋_GB2312"/>
      <w:kern w:val="2"/>
      <w:sz w:val="24"/>
      <w:szCs w:val="24"/>
      <w:lang w:val="en-US" w:eastAsia="zh-CN" w:bidi="ar-SA"/>
    </w:rPr>
  </w:style>
  <w:style w:type="character" w:customStyle="1" w:styleId="3124">
    <w:name w:val="Char Char271"/>
    <w:autoRedefine/>
    <w:qFormat/>
    <w:uiPriority w:val="0"/>
    <w:rPr>
      <w:rFonts w:eastAsia="宋体"/>
      <w:bCs/>
      <w:color w:val="000000"/>
      <w:sz w:val="24"/>
      <w:szCs w:val="19"/>
      <w:lang w:val="en-US" w:eastAsia="zh-CN" w:bidi="ar-SA"/>
    </w:rPr>
  </w:style>
  <w:style w:type="character" w:customStyle="1" w:styleId="3125">
    <w:name w:val="Char Char341"/>
    <w:autoRedefine/>
    <w:qFormat/>
    <w:uiPriority w:val="0"/>
    <w:rPr>
      <w:rFonts w:eastAsia="宋体"/>
      <w:kern w:val="2"/>
      <w:sz w:val="21"/>
      <w:szCs w:val="24"/>
      <w:lang w:val="en-US" w:eastAsia="zh-CN" w:bidi="ar-SA"/>
    </w:rPr>
  </w:style>
  <w:style w:type="character" w:customStyle="1" w:styleId="3126">
    <w:name w:val="表格样式 Char"/>
    <w:autoRedefine/>
    <w:qFormat/>
    <w:uiPriority w:val="0"/>
    <w:rPr>
      <w:rFonts w:ascii="Times New Roman" w:hAnsi="Times New Roman" w:eastAsia="宋体" w:cs="Times New Roman"/>
      <w:sz w:val="22"/>
    </w:rPr>
  </w:style>
  <w:style w:type="paragraph" w:customStyle="1" w:styleId="3127">
    <w:name w:val="1、表内字"/>
    <w:basedOn w:val="1"/>
    <w:autoRedefine/>
    <w:qFormat/>
    <w:uiPriority w:val="0"/>
    <w:pPr>
      <w:adjustRightInd/>
      <w:snapToGrid/>
      <w:spacing w:line="240" w:lineRule="auto"/>
      <w:ind w:firstLine="0" w:firstLineChars="0"/>
      <w:jc w:val="center"/>
    </w:pPr>
    <w:rPr>
      <w:sz w:val="21"/>
      <w:szCs w:val="21"/>
    </w:rPr>
  </w:style>
  <w:style w:type="paragraph" w:customStyle="1" w:styleId="3128">
    <w:name w:val="1、正文"/>
    <w:basedOn w:val="1"/>
    <w:autoRedefine/>
    <w:qFormat/>
    <w:uiPriority w:val="99"/>
    <w:pPr>
      <w:adjustRightInd/>
      <w:snapToGrid/>
      <w:spacing w:line="360" w:lineRule="auto"/>
      <w:ind w:firstLine="480"/>
    </w:pPr>
    <w:rPr>
      <w:szCs w:val="24"/>
    </w:rPr>
  </w:style>
  <w:style w:type="character" w:customStyle="1" w:styleId="3129">
    <w:name w:val="表格内 Char"/>
    <w:link w:val="2350"/>
    <w:autoRedefine/>
    <w:qFormat/>
    <w:uiPriority w:val="0"/>
    <w:rPr>
      <w:rFonts w:ascii="宋体" w:hAnsi="宋体" w:eastAsia="仿宋_GB2312" w:cs="宋体"/>
      <w:sz w:val="24"/>
    </w:rPr>
  </w:style>
  <w:style w:type="character" w:customStyle="1" w:styleId="3130">
    <w:name w:val="sb1"/>
    <w:autoRedefine/>
    <w:qFormat/>
    <w:uiPriority w:val="0"/>
    <w:rPr>
      <w:sz w:val="20"/>
      <w:szCs w:val="20"/>
    </w:rPr>
  </w:style>
  <w:style w:type="paragraph" w:customStyle="1" w:styleId="3131">
    <w:name w:val="表样式1"/>
    <w:basedOn w:val="1"/>
    <w:autoRedefine/>
    <w:qFormat/>
    <w:uiPriority w:val="0"/>
    <w:pPr>
      <w:adjustRightInd/>
      <w:spacing w:line="360" w:lineRule="auto"/>
      <w:ind w:left="-21" w:right="-21" w:firstLine="0" w:firstLineChars="0"/>
      <w:jc w:val="center"/>
    </w:pPr>
    <w:rPr>
      <w:bCs/>
      <w:color w:val="000000"/>
      <w:sz w:val="21"/>
      <w:szCs w:val="21"/>
    </w:rPr>
  </w:style>
  <w:style w:type="paragraph" w:customStyle="1" w:styleId="3132">
    <w:name w:val="段标"/>
    <w:basedOn w:val="1"/>
    <w:autoRedefine/>
    <w:qFormat/>
    <w:uiPriority w:val="0"/>
    <w:pPr>
      <w:snapToGrid/>
      <w:spacing w:line="360" w:lineRule="auto"/>
      <w:ind w:firstLine="567" w:firstLineChars="0"/>
      <w:jc w:val="left"/>
      <w:textAlignment w:val="baseline"/>
    </w:pPr>
    <w:rPr>
      <w:kern w:val="0"/>
      <w:sz w:val="28"/>
    </w:rPr>
  </w:style>
  <w:style w:type="paragraph" w:customStyle="1" w:styleId="3133">
    <w:name w:val="环表头"/>
    <w:basedOn w:val="1"/>
    <w:next w:val="1"/>
    <w:autoRedefine/>
    <w:qFormat/>
    <w:uiPriority w:val="0"/>
    <w:pPr>
      <w:widowControl/>
      <w:suppressAutoHyphens/>
      <w:snapToGrid/>
      <w:spacing w:line="312" w:lineRule="atLeast"/>
      <w:ind w:right="28" w:firstLine="0" w:firstLineChars="0"/>
      <w:jc w:val="center"/>
      <w:textAlignment w:val="baseline"/>
    </w:pPr>
    <w:rPr>
      <w:rFonts w:ascii="黑体" w:hAnsi="宋体" w:eastAsia="黑体"/>
      <w:kern w:val="0"/>
    </w:rPr>
  </w:style>
  <w:style w:type="paragraph" w:customStyle="1" w:styleId="3134">
    <w:name w:val="表格后正文"/>
    <w:basedOn w:val="1"/>
    <w:autoRedefine/>
    <w:qFormat/>
    <w:uiPriority w:val="0"/>
    <w:pPr>
      <w:tabs>
        <w:tab w:val="left" w:pos="567"/>
      </w:tabs>
      <w:adjustRightInd/>
      <w:snapToGrid/>
      <w:spacing w:line="360" w:lineRule="auto"/>
      <w:ind w:firstLine="567" w:firstLineChars="0"/>
    </w:pPr>
    <w:rPr>
      <w:spacing w:val="20"/>
    </w:rPr>
  </w:style>
  <w:style w:type="paragraph" w:customStyle="1" w:styleId="3135">
    <w:name w:val="black12"/>
    <w:basedOn w:val="1"/>
    <w:autoRedefine/>
    <w:qFormat/>
    <w:uiPriority w:val="0"/>
    <w:pPr>
      <w:widowControl/>
      <w:adjustRightInd/>
      <w:snapToGrid/>
      <w:spacing w:beforeAutospacing="1" w:afterAutospacing="1" w:line="240" w:lineRule="atLeast"/>
      <w:ind w:firstLine="0" w:firstLineChars="0"/>
      <w:jc w:val="left"/>
    </w:pPr>
    <w:rPr>
      <w:rFonts w:ascii="ˎ̥" w:hAnsi="ˎ̥" w:cs="宋体"/>
      <w:color w:val="333333"/>
      <w:kern w:val="0"/>
      <w:sz w:val="18"/>
      <w:szCs w:val="18"/>
    </w:rPr>
  </w:style>
  <w:style w:type="paragraph" w:customStyle="1" w:styleId="3136">
    <w:name w:val="aa"/>
    <w:basedOn w:val="1"/>
    <w:autoRedefine/>
    <w:qFormat/>
    <w:uiPriority w:val="0"/>
    <w:pPr>
      <w:snapToGrid/>
      <w:spacing w:line="315" w:lineRule="atLeast"/>
      <w:ind w:firstLine="0" w:firstLineChars="0"/>
      <w:jc w:val="left"/>
      <w:textAlignment w:val="baseline"/>
    </w:pPr>
    <w:rPr>
      <w:rFonts w:ascii="宋体"/>
      <w:kern w:val="0"/>
      <w:sz w:val="28"/>
      <w:szCs w:val="28"/>
    </w:rPr>
  </w:style>
  <w:style w:type="paragraph" w:customStyle="1" w:styleId="3137">
    <w:name w:val="标题3.5"/>
    <w:basedOn w:val="1"/>
    <w:autoRedefine/>
    <w:qFormat/>
    <w:uiPriority w:val="0"/>
    <w:pPr>
      <w:adjustRightInd/>
      <w:snapToGrid/>
      <w:spacing w:line="240" w:lineRule="auto"/>
      <w:ind w:firstLine="0" w:firstLineChars="0"/>
    </w:pPr>
    <w:rPr>
      <w:rFonts w:eastAsia="仿宋_GB2312"/>
      <w:szCs w:val="24"/>
    </w:rPr>
  </w:style>
  <w:style w:type="paragraph" w:customStyle="1" w:styleId="3138">
    <w:name w:val="环标3"/>
    <w:basedOn w:val="5"/>
    <w:autoRedefine/>
    <w:qFormat/>
    <w:uiPriority w:val="0"/>
    <w:pPr>
      <w:keepNext w:val="0"/>
      <w:keepLines w:val="0"/>
      <w:numPr>
        <w:numId w:val="0"/>
      </w:numPr>
      <w:tabs>
        <w:tab w:val="left" w:pos="1260"/>
      </w:tabs>
      <w:snapToGrid/>
      <w:spacing w:before="260" w:after="260" w:line="312" w:lineRule="atLeast"/>
      <w:ind w:firstLine="200" w:firstLineChars="200"/>
      <w:textAlignment w:val="baseline"/>
    </w:pPr>
    <w:rPr>
      <w:rFonts w:ascii="宋体" w:hAnsi="Courier New"/>
      <w:b w:val="0"/>
      <w:bCs w:val="0"/>
      <w:kern w:val="0"/>
      <w:szCs w:val="20"/>
      <w:lang w:val="en-US"/>
    </w:rPr>
  </w:style>
  <w:style w:type="paragraph" w:customStyle="1" w:styleId="3139">
    <w:name w:val="tt"/>
    <w:basedOn w:val="1"/>
    <w:autoRedefine/>
    <w:qFormat/>
    <w:uiPriority w:val="0"/>
    <w:pPr>
      <w:adjustRightInd/>
      <w:snapToGrid/>
      <w:spacing w:line="460" w:lineRule="atLeast"/>
    </w:pPr>
    <w:rPr>
      <w:rFonts w:ascii="Arial" w:hAnsi="Arial"/>
      <w:szCs w:val="24"/>
      <w:lang w:eastAsia="en-US"/>
    </w:rPr>
  </w:style>
  <w:style w:type="character" w:customStyle="1" w:styleId="3140">
    <w:name w:val="表格备注 Char"/>
    <w:autoRedefine/>
    <w:qFormat/>
    <w:uiPriority w:val="0"/>
    <w:rPr>
      <w:rFonts w:eastAsia="仿宋_GB2312"/>
    </w:rPr>
  </w:style>
  <w:style w:type="character" w:customStyle="1" w:styleId="3141">
    <w:name w:val="公式 Char"/>
    <w:link w:val="1486"/>
    <w:autoRedefine/>
    <w:qFormat/>
    <w:uiPriority w:val="0"/>
    <w:rPr>
      <w:rFonts w:ascii="宋体"/>
      <w:sz w:val="28"/>
      <w:szCs w:val="28"/>
    </w:rPr>
  </w:style>
  <w:style w:type="character" w:customStyle="1" w:styleId="3142">
    <w:name w:val="公式说明 Char"/>
    <w:link w:val="1136"/>
    <w:autoRedefine/>
    <w:qFormat/>
    <w:uiPriority w:val="0"/>
    <w:rPr>
      <w:rFonts w:eastAsia="仿宋_GB2312" w:cs="宋体"/>
      <w:sz w:val="24"/>
    </w:rPr>
  </w:style>
  <w:style w:type="paragraph" w:customStyle="1" w:styleId="3143">
    <w:name w:val="1环评正文"/>
    <w:basedOn w:val="1"/>
    <w:autoRedefine/>
    <w:qFormat/>
    <w:uiPriority w:val="0"/>
    <w:pPr>
      <w:widowControl/>
      <w:adjustRightInd/>
      <w:snapToGrid/>
      <w:spacing w:line="360" w:lineRule="auto"/>
    </w:pPr>
    <w:rPr>
      <w:rFonts w:cs="宋体"/>
      <w:kern w:val="0"/>
    </w:rPr>
  </w:style>
  <w:style w:type="paragraph" w:customStyle="1" w:styleId="3144">
    <w:name w:val="3对 标题3"/>
    <w:basedOn w:val="1"/>
    <w:autoRedefine/>
    <w:qFormat/>
    <w:uiPriority w:val="99"/>
    <w:pPr>
      <w:adjustRightInd/>
      <w:snapToGrid/>
      <w:spacing w:line="384" w:lineRule="auto"/>
      <w:jc w:val="left"/>
      <w:outlineLvl w:val="2"/>
    </w:pPr>
    <w:rPr>
      <w:b/>
      <w:szCs w:val="22"/>
    </w:rPr>
  </w:style>
  <w:style w:type="character" w:customStyle="1" w:styleId="3145">
    <w:name w:val="标4lcc Char"/>
    <w:link w:val="3146"/>
    <w:autoRedefine/>
    <w:qFormat/>
    <w:uiPriority w:val="0"/>
    <w:rPr>
      <w:b/>
      <w:bCs/>
      <w:sz w:val="24"/>
      <w:szCs w:val="28"/>
    </w:rPr>
  </w:style>
  <w:style w:type="paragraph" w:customStyle="1" w:styleId="3146">
    <w:name w:val="标4lcc"/>
    <w:basedOn w:val="6"/>
    <w:next w:val="6"/>
    <w:link w:val="3145"/>
    <w:autoRedefine/>
    <w:qFormat/>
    <w:uiPriority w:val="0"/>
    <w:pPr>
      <w:numPr>
        <w:numId w:val="0"/>
      </w:numPr>
      <w:tabs>
        <w:tab w:val="left" w:pos="1680"/>
      </w:tabs>
      <w:spacing w:before="280" w:afterLines="50" w:line="240" w:lineRule="auto"/>
      <w:ind w:firstLine="482" w:firstLineChars="200"/>
      <w:jc w:val="both"/>
    </w:pPr>
    <w:rPr>
      <w:kern w:val="0"/>
      <w:lang w:val="en-US"/>
    </w:rPr>
  </w:style>
  <w:style w:type="character" w:customStyle="1" w:styleId="3147">
    <w:name w:val="表内容 Char"/>
    <w:link w:val="1750"/>
    <w:autoRedefine/>
    <w:qFormat/>
    <w:locked/>
    <w:uiPriority w:val="0"/>
  </w:style>
  <w:style w:type="character" w:customStyle="1" w:styleId="3148">
    <w:name w:val="一级 Char"/>
    <w:link w:val="2637"/>
    <w:autoRedefine/>
    <w:qFormat/>
    <w:uiPriority w:val="0"/>
    <w:rPr>
      <w:rFonts w:ascii="楷体_GB2312" w:hAnsi="宋体" w:eastAsia="楷体_GB2312"/>
      <w:b/>
      <w:color w:val="000000"/>
      <w:kern w:val="2"/>
      <w:sz w:val="28"/>
      <w:szCs w:val="28"/>
    </w:rPr>
  </w:style>
  <w:style w:type="character" w:customStyle="1" w:styleId="3149">
    <w:name w:val="四级 Char"/>
    <w:link w:val="3150"/>
    <w:autoRedefine/>
    <w:qFormat/>
    <w:uiPriority w:val="0"/>
    <w:rPr>
      <w:rFonts w:eastAsia="黑体"/>
      <w:sz w:val="24"/>
      <w:szCs w:val="24"/>
    </w:rPr>
  </w:style>
  <w:style w:type="paragraph" w:customStyle="1" w:styleId="3150">
    <w:name w:val="四级"/>
    <w:basedOn w:val="1"/>
    <w:link w:val="3149"/>
    <w:autoRedefine/>
    <w:qFormat/>
    <w:uiPriority w:val="0"/>
    <w:pPr>
      <w:spacing w:line="360" w:lineRule="auto"/>
      <w:ind w:firstLine="0" w:firstLineChars="0"/>
      <w:jc w:val="left"/>
      <w:outlineLvl w:val="3"/>
    </w:pPr>
    <w:rPr>
      <w:rFonts w:eastAsia="黑体"/>
      <w:kern w:val="0"/>
      <w:szCs w:val="24"/>
    </w:rPr>
  </w:style>
  <w:style w:type="paragraph" w:customStyle="1" w:styleId="3151">
    <w:name w:val="二级"/>
    <w:basedOn w:val="5"/>
    <w:link w:val="3153"/>
    <w:autoRedefine/>
    <w:qFormat/>
    <w:uiPriority w:val="0"/>
    <w:pPr>
      <w:numPr>
        <w:numId w:val="0"/>
      </w:numPr>
      <w:tabs>
        <w:tab w:val="left" w:pos="1260"/>
      </w:tabs>
      <w:adjustRightInd/>
      <w:snapToGrid/>
      <w:spacing w:before="260" w:after="260" w:line="360" w:lineRule="auto"/>
      <w:ind w:firstLine="200" w:firstLineChars="200"/>
      <w:jc w:val="left"/>
      <w:outlineLvl w:val="1"/>
    </w:pPr>
    <w:rPr>
      <w:rFonts w:eastAsia="黑体"/>
      <w:b w:val="0"/>
      <w:color w:val="000000"/>
      <w:sz w:val="30"/>
      <w:szCs w:val="20"/>
      <w:lang w:val="en-US"/>
    </w:rPr>
  </w:style>
  <w:style w:type="paragraph" w:customStyle="1" w:styleId="3152">
    <w:name w:val="三级"/>
    <w:basedOn w:val="4"/>
    <w:link w:val="3154"/>
    <w:autoRedefine/>
    <w:qFormat/>
    <w:uiPriority w:val="0"/>
    <w:pPr>
      <w:numPr>
        <w:ilvl w:val="0"/>
        <w:numId w:val="0"/>
      </w:numPr>
      <w:spacing w:beforeLines="50" w:after="260" w:line="360" w:lineRule="auto"/>
      <w:jc w:val="left"/>
      <w:outlineLvl w:val="2"/>
    </w:pPr>
    <w:rPr>
      <w:color w:val="000000"/>
      <w:szCs w:val="24"/>
      <w:lang w:val="en-US"/>
    </w:rPr>
  </w:style>
  <w:style w:type="character" w:customStyle="1" w:styleId="3153">
    <w:name w:val="二级 Char"/>
    <w:link w:val="3151"/>
    <w:autoRedefine/>
    <w:qFormat/>
    <w:uiPriority w:val="0"/>
    <w:rPr>
      <w:rFonts w:eastAsia="黑体"/>
      <w:bCs/>
      <w:color w:val="000000"/>
      <w:kern w:val="2"/>
      <w:sz w:val="30"/>
    </w:rPr>
  </w:style>
  <w:style w:type="character" w:customStyle="1" w:styleId="3154">
    <w:name w:val="三级 Char"/>
    <w:link w:val="3152"/>
    <w:autoRedefine/>
    <w:qFormat/>
    <w:uiPriority w:val="0"/>
    <w:rPr>
      <w:b/>
      <w:bCs/>
      <w:color w:val="000000"/>
      <w:kern w:val="2"/>
      <w:sz w:val="24"/>
      <w:szCs w:val="24"/>
    </w:rPr>
  </w:style>
  <w:style w:type="paragraph" w:customStyle="1" w:styleId="3155">
    <w:name w:val="龚艺正文加粗"/>
    <w:basedOn w:val="1"/>
    <w:link w:val="3156"/>
    <w:autoRedefine/>
    <w:qFormat/>
    <w:uiPriority w:val="0"/>
    <w:pPr>
      <w:tabs>
        <w:tab w:val="left" w:pos="8789"/>
      </w:tabs>
      <w:wordWrap w:val="0"/>
      <w:adjustRightInd/>
      <w:snapToGrid/>
      <w:spacing w:line="360" w:lineRule="auto"/>
    </w:pPr>
    <w:rPr>
      <w:rFonts w:hAnsi="宋体" w:cs="宋体"/>
      <w:color w:val="000000"/>
      <w:szCs w:val="24"/>
    </w:rPr>
  </w:style>
  <w:style w:type="character" w:customStyle="1" w:styleId="3156">
    <w:name w:val="龚艺正文加粗 Char"/>
    <w:link w:val="3155"/>
    <w:autoRedefine/>
    <w:qFormat/>
    <w:uiPriority w:val="0"/>
    <w:rPr>
      <w:rFonts w:hAnsi="宋体" w:cs="宋体"/>
      <w:color w:val="000000"/>
      <w:kern w:val="2"/>
      <w:sz w:val="24"/>
      <w:szCs w:val="24"/>
    </w:rPr>
  </w:style>
  <w:style w:type="paragraph" w:customStyle="1" w:styleId="3157">
    <w:name w:val="正文加粗"/>
    <w:basedOn w:val="70"/>
    <w:link w:val="3158"/>
    <w:autoRedefine/>
    <w:qFormat/>
    <w:uiPriority w:val="0"/>
    <w:pPr>
      <w:spacing w:beforeLines="50" w:line="360" w:lineRule="auto"/>
      <w:ind w:left="0" w:leftChars="0" w:firstLine="482" w:firstLineChars="200"/>
    </w:pPr>
    <w:rPr>
      <w:rFonts w:hAnsi="宋体"/>
      <w:b/>
      <w:color w:val="000000"/>
      <w:sz w:val="24"/>
      <w:szCs w:val="20"/>
      <w:lang w:val="en-US"/>
    </w:rPr>
  </w:style>
  <w:style w:type="character" w:customStyle="1" w:styleId="3158">
    <w:name w:val="正文加粗 Char"/>
    <w:link w:val="3157"/>
    <w:autoRedefine/>
    <w:qFormat/>
    <w:uiPriority w:val="0"/>
    <w:rPr>
      <w:rFonts w:hAnsi="宋体"/>
      <w:b/>
      <w:color w:val="000000"/>
      <w:kern w:val="2"/>
      <w:sz w:val="24"/>
    </w:rPr>
  </w:style>
  <w:style w:type="paragraph" w:customStyle="1" w:styleId="3159">
    <w:name w:val="龚艺表名"/>
    <w:basedOn w:val="1"/>
    <w:link w:val="3160"/>
    <w:autoRedefine/>
    <w:qFormat/>
    <w:uiPriority w:val="0"/>
    <w:pPr>
      <w:adjustRightInd/>
      <w:snapToGrid/>
      <w:spacing w:beforeLines="20" w:line="360" w:lineRule="auto"/>
      <w:jc w:val="center"/>
    </w:pPr>
    <w:rPr>
      <w:b/>
      <w:szCs w:val="21"/>
    </w:rPr>
  </w:style>
  <w:style w:type="character" w:customStyle="1" w:styleId="3160">
    <w:name w:val="龚艺表名 Char"/>
    <w:link w:val="3159"/>
    <w:autoRedefine/>
    <w:qFormat/>
    <w:uiPriority w:val="0"/>
    <w:rPr>
      <w:b/>
      <w:kern w:val="2"/>
      <w:sz w:val="24"/>
      <w:szCs w:val="21"/>
    </w:rPr>
  </w:style>
  <w:style w:type="character" w:customStyle="1" w:styleId="3161">
    <w:name w:val="龚艺表名 Char Char"/>
    <w:autoRedefine/>
    <w:qFormat/>
    <w:uiPriority w:val="0"/>
    <w:rPr>
      <w:rFonts w:ascii="Times New Roman" w:hAnsi="Times New Roman" w:eastAsia="宋体" w:cs="Times New Roman"/>
      <w:b/>
    </w:rPr>
  </w:style>
  <w:style w:type="paragraph" w:customStyle="1" w:styleId="3162">
    <w:name w:val="标题1级"/>
    <w:basedOn w:val="1"/>
    <w:link w:val="3163"/>
    <w:autoRedefine/>
    <w:qFormat/>
    <w:uiPriority w:val="0"/>
    <w:pPr>
      <w:adjustRightInd/>
      <w:snapToGrid/>
      <w:spacing w:beforeLines="50" w:afterLines="50" w:line="360" w:lineRule="auto"/>
      <w:ind w:firstLine="0" w:firstLineChars="0"/>
      <w:jc w:val="left"/>
      <w:outlineLvl w:val="0"/>
    </w:pPr>
    <w:rPr>
      <w:b/>
      <w:kern w:val="0"/>
      <w:sz w:val="32"/>
    </w:rPr>
  </w:style>
  <w:style w:type="character" w:customStyle="1" w:styleId="3163">
    <w:name w:val="标题1级 Char"/>
    <w:link w:val="3162"/>
    <w:autoRedefine/>
    <w:qFormat/>
    <w:uiPriority w:val="0"/>
    <w:rPr>
      <w:b/>
      <w:sz w:val="32"/>
    </w:rPr>
  </w:style>
  <w:style w:type="paragraph" w:customStyle="1" w:styleId="3164">
    <w:name w:val="标题2.2级"/>
    <w:basedOn w:val="1"/>
    <w:link w:val="3165"/>
    <w:autoRedefine/>
    <w:qFormat/>
    <w:uiPriority w:val="0"/>
    <w:pPr>
      <w:adjustRightInd/>
      <w:snapToGrid/>
      <w:spacing w:beforeLines="30" w:afterLines="30" w:line="360" w:lineRule="auto"/>
      <w:ind w:firstLine="0" w:firstLineChars="0"/>
      <w:jc w:val="left"/>
      <w:outlineLvl w:val="1"/>
    </w:pPr>
    <w:rPr>
      <w:b/>
      <w:kern w:val="0"/>
      <w:sz w:val="28"/>
    </w:rPr>
  </w:style>
  <w:style w:type="character" w:customStyle="1" w:styleId="3165">
    <w:name w:val="标题2.2级 Char"/>
    <w:link w:val="3164"/>
    <w:autoRedefine/>
    <w:qFormat/>
    <w:uiPriority w:val="0"/>
    <w:rPr>
      <w:b/>
      <w:sz w:val="28"/>
    </w:rPr>
  </w:style>
  <w:style w:type="paragraph" w:customStyle="1" w:styleId="3166">
    <w:name w:val="标题3.3.3级"/>
    <w:basedOn w:val="1"/>
    <w:link w:val="3167"/>
    <w:autoRedefine/>
    <w:qFormat/>
    <w:uiPriority w:val="0"/>
    <w:pPr>
      <w:adjustRightInd/>
      <w:snapToGrid/>
      <w:spacing w:beforeLines="50" w:afterLines="50" w:line="360" w:lineRule="auto"/>
      <w:ind w:firstLine="0" w:firstLineChars="0"/>
      <w:jc w:val="left"/>
      <w:outlineLvl w:val="2"/>
    </w:pPr>
    <w:rPr>
      <w:b/>
      <w:kern w:val="0"/>
      <w:szCs w:val="24"/>
    </w:rPr>
  </w:style>
  <w:style w:type="character" w:customStyle="1" w:styleId="3167">
    <w:name w:val="标题3.3.3级 Char"/>
    <w:link w:val="3166"/>
    <w:autoRedefine/>
    <w:qFormat/>
    <w:uiPriority w:val="0"/>
    <w:rPr>
      <w:b/>
      <w:sz w:val="24"/>
      <w:szCs w:val="24"/>
    </w:rPr>
  </w:style>
  <w:style w:type="paragraph" w:customStyle="1" w:styleId="3168">
    <w:name w:val="标题4.4.4.4级"/>
    <w:basedOn w:val="1"/>
    <w:link w:val="3169"/>
    <w:autoRedefine/>
    <w:qFormat/>
    <w:uiPriority w:val="0"/>
    <w:pPr>
      <w:adjustRightInd/>
      <w:snapToGrid/>
      <w:spacing w:line="360" w:lineRule="auto"/>
      <w:ind w:firstLine="0" w:firstLineChars="0"/>
      <w:jc w:val="left"/>
      <w:outlineLvl w:val="3"/>
    </w:pPr>
    <w:rPr>
      <w:b/>
      <w:kern w:val="0"/>
      <w:szCs w:val="24"/>
    </w:rPr>
  </w:style>
  <w:style w:type="character" w:customStyle="1" w:styleId="3169">
    <w:name w:val="标题4.4.4.4级 Char"/>
    <w:link w:val="3168"/>
    <w:autoRedefine/>
    <w:qFormat/>
    <w:uiPriority w:val="0"/>
    <w:rPr>
      <w:b/>
      <w:sz w:val="24"/>
      <w:szCs w:val="24"/>
    </w:rPr>
  </w:style>
  <w:style w:type="paragraph" w:customStyle="1" w:styleId="3170">
    <w:name w:val="方程"/>
    <w:basedOn w:val="1"/>
    <w:autoRedefine/>
    <w:qFormat/>
    <w:uiPriority w:val="0"/>
    <w:pPr>
      <w:widowControl/>
      <w:overflowPunct w:val="0"/>
      <w:snapToGrid/>
      <w:spacing w:line="440" w:lineRule="atLeast"/>
      <w:ind w:firstLine="482"/>
      <w:jc w:val="center"/>
      <w:textAlignment w:val="bottom"/>
    </w:pPr>
    <w:rPr>
      <w:rFonts w:ascii="CG Times (W1)" w:hAnsi="CG Times (W1)"/>
      <w:kern w:val="0"/>
    </w:rPr>
  </w:style>
  <w:style w:type="paragraph" w:customStyle="1" w:styleId="3171">
    <w:name w:val="应填表格"/>
    <w:basedOn w:val="1"/>
    <w:autoRedefine/>
    <w:qFormat/>
    <w:uiPriority w:val="0"/>
    <w:pPr>
      <w:snapToGrid/>
      <w:spacing w:line="360" w:lineRule="auto"/>
      <w:jc w:val="left"/>
      <w:textAlignment w:val="baseline"/>
    </w:pPr>
    <w:rPr>
      <w:kern w:val="0"/>
    </w:rPr>
  </w:style>
  <w:style w:type="paragraph" w:customStyle="1" w:styleId="3172">
    <w:name w:val="已有表格"/>
    <w:basedOn w:val="1"/>
    <w:autoRedefine/>
    <w:qFormat/>
    <w:uiPriority w:val="0"/>
    <w:pPr>
      <w:snapToGrid/>
      <w:spacing w:line="360" w:lineRule="auto"/>
      <w:jc w:val="center"/>
      <w:textAlignment w:val="baseline"/>
    </w:pPr>
    <w:rPr>
      <w:b/>
      <w:kern w:val="0"/>
    </w:rPr>
  </w:style>
  <w:style w:type="paragraph" w:customStyle="1" w:styleId="3173">
    <w:name w:val="样式 标题 3 + 四号 段前: 0 磅 段后: 0 磅 行距: 单倍行距"/>
    <w:basedOn w:val="5"/>
    <w:autoRedefine/>
    <w:qFormat/>
    <w:uiPriority w:val="0"/>
    <w:pPr>
      <w:numPr>
        <w:numId w:val="0"/>
      </w:numPr>
      <w:tabs>
        <w:tab w:val="left" w:pos="1260"/>
      </w:tabs>
      <w:adjustRightInd/>
      <w:snapToGrid/>
      <w:spacing w:before="260" w:after="260" w:line="240" w:lineRule="auto"/>
      <w:ind w:firstLine="200" w:firstLineChars="200"/>
      <w:jc w:val="left"/>
    </w:pPr>
    <w:rPr>
      <w:rFonts w:cs="宋体"/>
      <w:snapToGrid w:val="0"/>
      <w:kern w:val="0"/>
      <w:sz w:val="28"/>
      <w:szCs w:val="28"/>
      <w:lang w:val="en-US"/>
    </w:rPr>
  </w:style>
  <w:style w:type="paragraph" w:customStyle="1" w:styleId="3174">
    <w:name w:val="样式 样式 左侧:  2 字符 段后: 0.5 行 + 首行缩进:  2 字符 段后: 0.5 行"/>
    <w:basedOn w:val="1"/>
    <w:autoRedefine/>
    <w:qFormat/>
    <w:uiPriority w:val="0"/>
    <w:pPr>
      <w:adjustRightInd/>
      <w:snapToGrid/>
      <w:spacing w:line="360" w:lineRule="auto"/>
      <w:ind w:firstLine="480"/>
      <w:jc w:val="left"/>
    </w:pPr>
    <w:rPr>
      <w:rFonts w:eastAsia="仿宋_GB2312"/>
    </w:rPr>
  </w:style>
  <w:style w:type="paragraph" w:customStyle="1" w:styleId="3175">
    <w:name w:val="Char Char1 Char Char Char Char Char Char Char Char Char Char Char Char Char Char"/>
    <w:basedOn w:val="1"/>
    <w:autoRedefine/>
    <w:qFormat/>
    <w:uiPriority w:val="0"/>
    <w:pPr>
      <w:widowControl/>
      <w:adjustRightInd/>
      <w:snapToGrid/>
      <w:spacing w:beforeLines="100" w:line="240" w:lineRule="exact"/>
      <w:jc w:val="left"/>
    </w:pPr>
    <w:rPr>
      <w:rFonts w:ascii="Verdana" w:hAnsi="Verdana"/>
      <w:kern w:val="0"/>
      <w:sz w:val="32"/>
      <w:szCs w:val="32"/>
      <w:lang w:eastAsia="en-US"/>
    </w:rPr>
  </w:style>
  <w:style w:type="paragraph" w:customStyle="1" w:styleId="3176">
    <w:name w:val="textfont"/>
    <w:basedOn w:val="1"/>
    <w:autoRedefine/>
    <w:qFormat/>
    <w:uiPriority w:val="0"/>
    <w:pPr>
      <w:widowControl/>
      <w:adjustRightInd/>
      <w:snapToGrid/>
      <w:spacing w:beforeAutospacing="1" w:afterAutospacing="1" w:line="360" w:lineRule="auto"/>
      <w:jc w:val="left"/>
    </w:pPr>
    <w:rPr>
      <w:rFonts w:ascii="宋体" w:hAnsi="宋体"/>
      <w:kern w:val="0"/>
      <w:szCs w:val="24"/>
    </w:rPr>
  </w:style>
  <w:style w:type="paragraph" w:customStyle="1" w:styleId="3177">
    <w:name w:val="8--"/>
    <w:basedOn w:val="1"/>
    <w:autoRedefine/>
    <w:qFormat/>
    <w:uiPriority w:val="0"/>
    <w:pPr>
      <w:snapToGrid/>
      <w:spacing w:line="360" w:lineRule="atLeast"/>
      <w:jc w:val="left"/>
      <w:textAlignment w:val="baseline"/>
    </w:pPr>
    <w:rPr>
      <w:kern w:val="0"/>
    </w:rPr>
  </w:style>
  <w:style w:type="paragraph" w:customStyle="1" w:styleId="3178">
    <w:name w:val="图表说明"/>
    <w:basedOn w:val="1"/>
    <w:autoRedefine/>
    <w:qFormat/>
    <w:uiPriority w:val="0"/>
    <w:pPr>
      <w:spacing w:line="360" w:lineRule="auto"/>
      <w:jc w:val="center"/>
    </w:pPr>
    <w:rPr>
      <w:rFonts w:hAnsi="宋体"/>
      <w:sz w:val="21"/>
      <w:szCs w:val="21"/>
    </w:rPr>
  </w:style>
  <w:style w:type="paragraph" w:customStyle="1" w:styleId="3179">
    <w:name w:val="+正文"/>
    <w:basedOn w:val="1"/>
    <w:autoRedefine/>
    <w:qFormat/>
    <w:uiPriority w:val="0"/>
    <w:pPr>
      <w:adjustRightInd/>
      <w:snapToGrid/>
      <w:spacing w:line="360" w:lineRule="auto"/>
      <w:ind w:firstLine="0" w:firstLineChars="0"/>
      <w:jc w:val="left"/>
    </w:pPr>
    <w:rPr>
      <w:szCs w:val="24"/>
    </w:rPr>
  </w:style>
  <w:style w:type="paragraph" w:customStyle="1" w:styleId="3180">
    <w:name w:val="Char1 Char Char"/>
    <w:basedOn w:val="1"/>
    <w:autoRedefine/>
    <w:qFormat/>
    <w:uiPriority w:val="0"/>
    <w:pPr>
      <w:adjustRightInd/>
      <w:snapToGrid/>
      <w:spacing w:line="360" w:lineRule="auto"/>
      <w:jc w:val="left"/>
    </w:pPr>
    <w:rPr>
      <w:sz w:val="21"/>
      <w:szCs w:val="24"/>
    </w:rPr>
  </w:style>
  <w:style w:type="paragraph" w:customStyle="1" w:styleId="3181">
    <w:name w:val="框图文字1"/>
    <w:basedOn w:val="1"/>
    <w:autoRedefine/>
    <w:qFormat/>
    <w:uiPriority w:val="0"/>
    <w:pPr>
      <w:spacing w:line="360" w:lineRule="auto"/>
      <w:jc w:val="center"/>
    </w:pPr>
    <w:rPr>
      <w:sz w:val="18"/>
    </w:rPr>
  </w:style>
  <w:style w:type="paragraph" w:customStyle="1" w:styleId="3182">
    <w:name w:val="正文-第几条"/>
    <w:basedOn w:val="1"/>
    <w:autoRedefine/>
    <w:qFormat/>
    <w:uiPriority w:val="0"/>
    <w:pPr>
      <w:tabs>
        <w:tab w:val="left" w:pos="1200"/>
      </w:tabs>
      <w:adjustRightInd/>
      <w:snapToGrid/>
      <w:spacing w:line="360" w:lineRule="auto"/>
      <w:ind w:left="1200" w:leftChars="400" w:hanging="360" w:hangingChars="200"/>
      <w:jc w:val="left"/>
    </w:pPr>
    <w:rPr>
      <w:szCs w:val="24"/>
    </w:rPr>
  </w:style>
  <w:style w:type="paragraph" w:customStyle="1" w:styleId="3183">
    <w:name w:val="附录二级条标题"/>
    <w:basedOn w:val="3184"/>
    <w:next w:val="1"/>
    <w:autoRedefine/>
    <w:qFormat/>
    <w:uiPriority w:val="0"/>
    <w:pPr>
      <w:tabs>
        <w:tab w:val="left" w:pos="360"/>
        <w:tab w:val="left" w:pos="828"/>
        <w:tab w:val="left" w:pos="840"/>
        <w:tab w:val="left" w:pos="1260"/>
        <w:tab w:val="left" w:pos="1680"/>
      </w:tabs>
      <w:ind w:left="360" w:hanging="360"/>
      <w:outlineLvl w:val="3"/>
    </w:pPr>
  </w:style>
  <w:style w:type="paragraph" w:customStyle="1" w:styleId="3184">
    <w:name w:val="附录一级条标题"/>
    <w:basedOn w:val="3185"/>
    <w:next w:val="1"/>
    <w:autoRedefine/>
    <w:qFormat/>
    <w:uiPriority w:val="0"/>
    <w:pPr>
      <w:tabs>
        <w:tab w:val="left" w:pos="828"/>
        <w:tab w:val="left" w:pos="840"/>
        <w:tab w:val="left" w:pos="1260"/>
      </w:tabs>
      <w:autoSpaceDN w:val="0"/>
      <w:spacing w:beforeLines="0" w:afterLines="0"/>
      <w:ind w:left="828" w:hanging="240"/>
      <w:outlineLvl w:val="2"/>
    </w:pPr>
  </w:style>
  <w:style w:type="paragraph" w:customStyle="1" w:styleId="3185">
    <w:name w:val="附录章标题"/>
    <w:next w:val="1"/>
    <w:autoRedefine/>
    <w:qFormat/>
    <w:uiPriority w:val="0"/>
    <w:pPr>
      <w:tabs>
        <w:tab w:val="left" w:pos="840"/>
      </w:tabs>
      <w:wordWrap w:val="0"/>
      <w:overflowPunct w:val="0"/>
      <w:autoSpaceDE w:val="0"/>
      <w:spacing w:beforeLines="50" w:afterLines="50"/>
      <w:ind w:left="840" w:hanging="420"/>
      <w:textAlignment w:val="baseline"/>
      <w:outlineLvl w:val="1"/>
    </w:pPr>
    <w:rPr>
      <w:rFonts w:ascii="黑体" w:hAnsi="Times New Roman" w:eastAsia="黑体" w:cs="Times New Roman"/>
      <w:kern w:val="21"/>
      <w:sz w:val="21"/>
      <w:lang w:val="en-US" w:eastAsia="zh-CN" w:bidi="ar-SA"/>
    </w:rPr>
  </w:style>
  <w:style w:type="paragraph" w:customStyle="1" w:styleId="3186">
    <w:name w:val="附录三级条标题"/>
    <w:basedOn w:val="3183"/>
    <w:next w:val="1"/>
    <w:autoRedefine/>
    <w:qFormat/>
    <w:uiPriority w:val="0"/>
    <w:pPr>
      <w:tabs>
        <w:tab w:val="left" w:pos="1068"/>
        <w:tab w:val="left" w:pos="2100"/>
        <w:tab w:val="clear" w:pos="360"/>
        <w:tab w:val="clear" w:pos="1680"/>
      </w:tabs>
      <w:ind w:left="1068"/>
      <w:outlineLvl w:val="4"/>
    </w:pPr>
  </w:style>
  <w:style w:type="paragraph" w:customStyle="1" w:styleId="3187">
    <w:name w:val="附录四级条标题"/>
    <w:basedOn w:val="3186"/>
    <w:next w:val="1"/>
    <w:autoRedefine/>
    <w:qFormat/>
    <w:uiPriority w:val="0"/>
    <w:pPr>
      <w:tabs>
        <w:tab w:val="left" w:pos="960"/>
        <w:tab w:val="left" w:pos="2520"/>
        <w:tab w:val="clear" w:pos="1068"/>
        <w:tab w:val="clear" w:pos="2100"/>
      </w:tabs>
      <w:ind w:left="960"/>
      <w:outlineLvl w:val="5"/>
    </w:pPr>
  </w:style>
  <w:style w:type="paragraph" w:customStyle="1" w:styleId="3188">
    <w:name w:val="附录五级条标题"/>
    <w:basedOn w:val="3187"/>
    <w:next w:val="1"/>
    <w:autoRedefine/>
    <w:qFormat/>
    <w:uiPriority w:val="0"/>
    <w:pPr>
      <w:tabs>
        <w:tab w:val="left" w:pos="435"/>
        <w:tab w:val="left" w:pos="2940"/>
        <w:tab w:val="clear" w:pos="960"/>
        <w:tab w:val="clear" w:pos="2520"/>
      </w:tabs>
      <w:ind w:left="435" w:hanging="165"/>
      <w:outlineLvl w:val="6"/>
    </w:pPr>
  </w:style>
  <w:style w:type="paragraph" w:customStyle="1" w:styleId="3189">
    <w:name w:val="附录标识"/>
    <w:basedOn w:val="332"/>
    <w:autoRedefine/>
    <w:qFormat/>
    <w:uiPriority w:val="0"/>
    <w:pPr>
      <w:tabs>
        <w:tab w:val="left" w:pos="6405"/>
        <w:tab w:val="clear" w:pos="360"/>
        <w:tab w:val="clear" w:pos="903"/>
      </w:tabs>
      <w:spacing w:after="200"/>
      <w:ind w:left="0" w:firstLine="0"/>
    </w:pPr>
    <w:rPr>
      <w:sz w:val="21"/>
    </w:rPr>
  </w:style>
  <w:style w:type="paragraph" w:customStyle="1" w:styleId="3190">
    <w:name w:val="列项·"/>
    <w:autoRedefine/>
    <w:qFormat/>
    <w:uiPriority w:val="0"/>
    <w:pPr>
      <w:tabs>
        <w:tab w:val="left" w:pos="840"/>
      </w:tabs>
      <w:ind w:left="840" w:leftChars="200" w:hanging="420" w:hangingChars="200"/>
    </w:pPr>
    <w:rPr>
      <w:rFonts w:ascii="宋体" w:hAnsi="Times New Roman" w:eastAsia="宋体" w:cs="Times New Roman"/>
      <w:sz w:val="21"/>
      <w:lang w:val="en-US" w:eastAsia="zh-CN" w:bidi="ar-SA"/>
    </w:rPr>
  </w:style>
  <w:style w:type="paragraph" w:customStyle="1" w:styleId="3191">
    <w:name w:val="正文-叶"/>
    <w:basedOn w:val="1"/>
    <w:autoRedefine/>
    <w:qFormat/>
    <w:uiPriority w:val="0"/>
    <w:pPr>
      <w:topLinePunct/>
      <w:adjustRightInd/>
      <w:snapToGrid/>
      <w:spacing w:line="312" w:lineRule="auto"/>
      <w:ind w:firstLine="465"/>
      <w:jc w:val="left"/>
    </w:pPr>
  </w:style>
  <w:style w:type="paragraph" w:customStyle="1" w:styleId="3192">
    <w:name w:val="Item1"/>
    <w:basedOn w:val="1"/>
    <w:autoRedefine/>
    <w:qFormat/>
    <w:uiPriority w:val="0"/>
    <w:pPr>
      <w:adjustRightInd/>
      <w:snapToGrid/>
      <w:spacing w:line="360" w:lineRule="auto"/>
      <w:jc w:val="left"/>
    </w:pPr>
    <w:rPr>
      <w:sz w:val="21"/>
      <w:szCs w:val="24"/>
    </w:rPr>
  </w:style>
  <w:style w:type="paragraph" w:customStyle="1" w:styleId="3193">
    <w:name w:val="ourfont3"/>
    <w:basedOn w:val="1"/>
    <w:autoRedefine/>
    <w:qFormat/>
    <w:uiPriority w:val="0"/>
    <w:pPr>
      <w:widowControl/>
      <w:adjustRightInd/>
      <w:snapToGrid/>
      <w:spacing w:beforeAutospacing="1" w:afterAutospacing="1" w:line="360" w:lineRule="auto"/>
      <w:jc w:val="left"/>
    </w:pPr>
    <w:rPr>
      <w:rFonts w:ascii="宋体" w:hAnsi="宋体" w:cs="宋体"/>
      <w:kern w:val="0"/>
      <w:szCs w:val="24"/>
    </w:rPr>
  </w:style>
  <w:style w:type="paragraph" w:customStyle="1" w:styleId="3194">
    <w:name w:val="indent"/>
    <w:basedOn w:val="1"/>
    <w:autoRedefine/>
    <w:qFormat/>
    <w:uiPriority w:val="0"/>
    <w:pPr>
      <w:widowControl/>
      <w:adjustRightInd/>
      <w:snapToGrid/>
      <w:spacing w:beforeAutospacing="1" w:afterAutospacing="1" w:line="360" w:lineRule="auto"/>
      <w:ind w:firstLine="525"/>
      <w:jc w:val="left"/>
    </w:pPr>
    <w:rPr>
      <w:rFonts w:ascii="宋体" w:hAnsi="宋体" w:cs="宋体"/>
      <w:kern w:val="0"/>
      <w:szCs w:val="24"/>
    </w:rPr>
  </w:style>
  <w:style w:type="paragraph" w:customStyle="1" w:styleId="3195">
    <w:name w:val="文-7"/>
    <w:basedOn w:val="1"/>
    <w:autoRedefine/>
    <w:qFormat/>
    <w:uiPriority w:val="0"/>
    <w:pPr>
      <w:tabs>
        <w:tab w:val="right" w:leader="dot" w:pos="8789"/>
      </w:tabs>
      <w:adjustRightInd/>
      <w:snapToGrid/>
      <w:spacing w:line="360" w:lineRule="auto"/>
      <w:ind w:left="1701" w:firstLine="482"/>
      <w:jc w:val="left"/>
    </w:pPr>
    <w:rPr>
      <w:szCs w:val="24"/>
    </w:rPr>
  </w:style>
  <w:style w:type="paragraph" w:customStyle="1" w:styleId="3196">
    <w:name w:val="样式 样式 首行缩进:  2 字符 + 首行缩进:  2 字符"/>
    <w:basedOn w:val="1"/>
    <w:autoRedefine/>
    <w:qFormat/>
    <w:uiPriority w:val="0"/>
    <w:pPr>
      <w:adjustRightInd/>
      <w:snapToGrid/>
      <w:spacing w:line="360" w:lineRule="auto"/>
      <w:ind w:firstLine="480"/>
      <w:jc w:val="left"/>
    </w:pPr>
    <w:rPr>
      <w:rFonts w:cs="宋体"/>
      <w:sz w:val="21"/>
    </w:rPr>
  </w:style>
  <w:style w:type="paragraph" w:customStyle="1" w:styleId="3197">
    <w:name w:val="Char Char1 Char Char Char Char Char Char Char Char Char Char Char Char Char Char1"/>
    <w:basedOn w:val="1"/>
    <w:autoRedefine/>
    <w:qFormat/>
    <w:uiPriority w:val="0"/>
    <w:pPr>
      <w:widowControl/>
      <w:adjustRightInd/>
      <w:snapToGrid/>
      <w:spacing w:beforeLines="100" w:line="240" w:lineRule="exact"/>
      <w:jc w:val="left"/>
    </w:pPr>
    <w:rPr>
      <w:rFonts w:ascii="Verdana" w:hAnsi="Verdana"/>
      <w:kern w:val="0"/>
      <w:sz w:val="32"/>
      <w:szCs w:val="32"/>
      <w:lang w:eastAsia="en-US"/>
    </w:rPr>
  </w:style>
  <w:style w:type="paragraph" w:customStyle="1" w:styleId="3198">
    <w:name w:val="样式 宋体 小四 首行缩进:  0.85 厘米 行距: 多倍行距 1.75 字行"/>
    <w:basedOn w:val="1"/>
    <w:autoRedefine/>
    <w:qFormat/>
    <w:uiPriority w:val="0"/>
    <w:pPr>
      <w:snapToGrid/>
      <w:spacing w:line="360" w:lineRule="auto"/>
      <w:ind w:firstLine="340"/>
      <w:jc w:val="left"/>
    </w:pPr>
    <w:rPr>
      <w:rFonts w:ascii="宋体" w:hAnsi="宋体"/>
    </w:rPr>
  </w:style>
  <w:style w:type="paragraph" w:customStyle="1" w:styleId="3199">
    <w:name w:val="Char Char2 Char Char Char Char"/>
    <w:basedOn w:val="1"/>
    <w:autoRedefine/>
    <w:qFormat/>
    <w:uiPriority w:val="0"/>
    <w:pPr>
      <w:widowControl/>
      <w:adjustRightInd/>
      <w:snapToGrid/>
      <w:spacing w:line="240" w:lineRule="exact"/>
      <w:jc w:val="left"/>
    </w:pPr>
    <w:rPr>
      <w:rFonts w:ascii="Verdana" w:hAnsi="Verdana" w:eastAsia="仿宋_GB2312"/>
      <w:kern w:val="0"/>
      <w:lang w:eastAsia="en-US"/>
    </w:rPr>
  </w:style>
  <w:style w:type="character" w:customStyle="1" w:styleId="3200">
    <w:name w:val="表标题 Char"/>
    <w:autoRedefine/>
    <w:qFormat/>
    <w:uiPriority w:val="0"/>
    <w:rPr>
      <w:rFonts w:ascii="Arial Narrow" w:hAnsi="Arial Narrow" w:eastAsia="仿宋_GB2312" w:cs="Times New Roman"/>
      <w:b/>
      <w:bCs/>
      <w:spacing w:val="-4"/>
      <w:kern w:val="0"/>
      <w:sz w:val="24"/>
      <w:szCs w:val="24"/>
    </w:rPr>
  </w:style>
  <w:style w:type="paragraph" w:customStyle="1" w:styleId="3201">
    <w:name w:val="WPS Plain"/>
    <w:autoRedefine/>
    <w:qFormat/>
    <w:uiPriority w:val="0"/>
    <w:rPr>
      <w:rFonts w:ascii="Times New Roman" w:hAnsi="Times New Roman" w:eastAsia="宋体" w:cs="Times New Roman"/>
      <w:lang w:val="en-US" w:eastAsia="zh-CN" w:bidi="ar-SA"/>
    </w:rPr>
  </w:style>
  <w:style w:type="character" w:customStyle="1" w:styleId="3202">
    <w:name w:val="表格小四 Char"/>
    <w:link w:val="420"/>
    <w:autoRedefine/>
    <w:qFormat/>
    <w:uiPriority w:val="0"/>
    <w:rPr>
      <w:rFonts w:ascii="宋体" w:hAnsi="宋体" w:cs="宋体"/>
      <w:bCs/>
      <w:sz w:val="24"/>
      <w:szCs w:val="24"/>
    </w:rPr>
  </w:style>
  <w:style w:type="paragraph" w:customStyle="1" w:styleId="3203">
    <w:name w:val="20100519正文"/>
    <w:link w:val="3204"/>
    <w:autoRedefine/>
    <w:qFormat/>
    <w:uiPriority w:val="0"/>
    <w:pPr>
      <w:spacing w:line="480" w:lineRule="exact"/>
    </w:pPr>
    <w:rPr>
      <w:rFonts w:ascii="Times New Roman" w:hAnsi="Times New Roman" w:eastAsia="宋体" w:cs="Times New Roman"/>
      <w:szCs w:val="28"/>
      <w:lang w:val="en-US" w:eastAsia="zh-CN" w:bidi="ar-SA"/>
    </w:rPr>
  </w:style>
  <w:style w:type="character" w:customStyle="1" w:styleId="3204">
    <w:name w:val="20100519正文 Char Char"/>
    <w:link w:val="3203"/>
    <w:autoRedefine/>
    <w:qFormat/>
    <w:uiPriority w:val="0"/>
    <w:rPr>
      <w:szCs w:val="28"/>
    </w:rPr>
  </w:style>
  <w:style w:type="paragraph" w:customStyle="1" w:styleId="3205">
    <w:name w:val="1正文"/>
    <w:basedOn w:val="1"/>
    <w:link w:val="3206"/>
    <w:autoRedefine/>
    <w:qFormat/>
    <w:uiPriority w:val="0"/>
    <w:pPr>
      <w:ind w:firstLine="520"/>
      <w:jc w:val="left"/>
    </w:pPr>
    <w:rPr>
      <w:rFonts w:hAnsi="宋体"/>
      <w:kern w:val="0"/>
      <w:sz w:val="26"/>
      <w:szCs w:val="26"/>
    </w:rPr>
  </w:style>
  <w:style w:type="character" w:customStyle="1" w:styleId="3206">
    <w:name w:val="1正文 Char"/>
    <w:link w:val="3205"/>
    <w:autoRedefine/>
    <w:qFormat/>
    <w:uiPriority w:val="0"/>
    <w:rPr>
      <w:rFonts w:hAnsi="宋体"/>
      <w:sz w:val="26"/>
      <w:szCs w:val="26"/>
    </w:rPr>
  </w:style>
  <w:style w:type="paragraph" w:customStyle="1" w:styleId="3207">
    <w:name w:val="03表格文本"/>
    <w:basedOn w:val="1"/>
    <w:link w:val="3208"/>
    <w:autoRedefine/>
    <w:qFormat/>
    <w:uiPriority w:val="0"/>
    <w:pPr>
      <w:spacing w:line="360" w:lineRule="exact"/>
      <w:jc w:val="center"/>
    </w:pPr>
    <w:rPr>
      <w:kern w:val="0"/>
      <w:sz w:val="22"/>
    </w:rPr>
  </w:style>
  <w:style w:type="character" w:customStyle="1" w:styleId="3208">
    <w:name w:val="03表格文本 Char"/>
    <w:link w:val="3207"/>
    <w:autoRedefine/>
    <w:qFormat/>
    <w:uiPriority w:val="0"/>
    <w:rPr>
      <w:sz w:val="22"/>
    </w:rPr>
  </w:style>
  <w:style w:type="paragraph" w:customStyle="1" w:styleId="3209">
    <w:name w:val="04表格标注"/>
    <w:basedOn w:val="1"/>
    <w:autoRedefine/>
    <w:qFormat/>
    <w:uiPriority w:val="0"/>
    <w:pPr>
      <w:adjustRightInd/>
      <w:spacing w:line="360" w:lineRule="auto"/>
      <w:ind w:firstLine="480"/>
      <w:jc w:val="left"/>
    </w:pPr>
    <w:rPr>
      <w:snapToGrid w:val="0"/>
      <w:kern w:val="0"/>
      <w:sz w:val="21"/>
      <w:szCs w:val="21"/>
    </w:rPr>
  </w:style>
  <w:style w:type="paragraph" w:customStyle="1" w:styleId="3210">
    <w:name w:val="05土标题"/>
    <w:basedOn w:val="1866"/>
    <w:autoRedefine/>
    <w:qFormat/>
    <w:uiPriority w:val="0"/>
    <w:pPr>
      <w:spacing w:beforeLines="0" w:afterLines="50"/>
      <w:ind w:firstLine="200" w:firstLineChars="200"/>
    </w:pPr>
    <w:rPr>
      <w:lang w:val="en-US"/>
    </w:rPr>
  </w:style>
  <w:style w:type="paragraph" w:customStyle="1" w:styleId="3211">
    <w:name w:val="样式 首行缩进:  2.57 字符"/>
    <w:basedOn w:val="1"/>
    <w:autoRedefine/>
    <w:qFormat/>
    <w:uiPriority w:val="0"/>
    <w:pPr>
      <w:adjustRightInd/>
      <w:snapToGrid/>
      <w:ind w:firstLine="720" w:firstLineChars="257"/>
      <w:jc w:val="left"/>
    </w:pPr>
    <w:rPr>
      <w:rFonts w:cs="宋体"/>
    </w:rPr>
  </w:style>
  <w:style w:type="paragraph" w:customStyle="1" w:styleId="3212">
    <w:name w:val="标3lcc"/>
    <w:basedOn w:val="45"/>
    <w:link w:val="3213"/>
    <w:autoRedefine/>
    <w:qFormat/>
    <w:uiPriority w:val="0"/>
    <w:pPr>
      <w:spacing w:beforeLines="50" w:afterLines="50"/>
      <w:outlineLvl w:val="2"/>
    </w:pPr>
    <w:rPr>
      <w:rFonts w:ascii="Times New Roman" w:hAnsi="Times New Roman"/>
      <w:b/>
      <w:color w:val="000000"/>
      <w:kern w:val="0"/>
      <w:szCs w:val="24"/>
      <w:lang w:val="en-US"/>
    </w:rPr>
  </w:style>
  <w:style w:type="character" w:customStyle="1" w:styleId="3213">
    <w:name w:val="标3lcc Char"/>
    <w:link w:val="3212"/>
    <w:autoRedefine/>
    <w:qFormat/>
    <w:uiPriority w:val="0"/>
    <w:rPr>
      <w:b/>
      <w:color w:val="000000"/>
      <w:sz w:val="21"/>
      <w:szCs w:val="24"/>
    </w:rPr>
  </w:style>
  <w:style w:type="paragraph" w:customStyle="1" w:styleId="3214">
    <w:name w:val="2010可研正文"/>
    <w:link w:val="3215"/>
    <w:autoRedefine/>
    <w:qFormat/>
    <w:uiPriority w:val="0"/>
    <w:pPr>
      <w:spacing w:line="480" w:lineRule="exact"/>
      <w:ind w:firstLine="200" w:firstLineChars="200"/>
      <w:jc w:val="both"/>
    </w:pPr>
    <w:rPr>
      <w:rFonts w:ascii="Times New Roman" w:hAnsi="Times New Roman" w:eastAsia="宋体" w:cs="宋体"/>
      <w:lang w:val="en-US" w:eastAsia="zh-CN" w:bidi="ar-SA"/>
    </w:rPr>
  </w:style>
  <w:style w:type="character" w:customStyle="1" w:styleId="3215">
    <w:name w:val="2010可研正文 Char1"/>
    <w:link w:val="3214"/>
    <w:autoRedefine/>
    <w:qFormat/>
    <w:uiPriority w:val="0"/>
    <w:rPr>
      <w:rFonts w:cs="宋体"/>
    </w:rPr>
  </w:style>
  <w:style w:type="paragraph" w:customStyle="1" w:styleId="3216">
    <w:name w:val="标2lcc"/>
    <w:basedOn w:val="45"/>
    <w:link w:val="3217"/>
    <w:autoRedefine/>
    <w:qFormat/>
    <w:uiPriority w:val="0"/>
    <w:pPr>
      <w:spacing w:line="360" w:lineRule="auto"/>
      <w:outlineLvl w:val="1"/>
    </w:pPr>
    <w:rPr>
      <w:rFonts w:ascii="Times New Roman" w:hAnsi="Times New Roman"/>
      <w:b/>
      <w:color w:val="000000"/>
      <w:kern w:val="0"/>
      <w:sz w:val="20"/>
      <w:lang w:val="en-US"/>
    </w:rPr>
  </w:style>
  <w:style w:type="character" w:customStyle="1" w:styleId="3217">
    <w:name w:val="标2lcc Char"/>
    <w:link w:val="3216"/>
    <w:autoRedefine/>
    <w:qFormat/>
    <w:uiPriority w:val="0"/>
    <w:rPr>
      <w:b/>
      <w:color w:val="000000"/>
    </w:rPr>
  </w:style>
  <w:style w:type="paragraph" w:customStyle="1" w:styleId="3218">
    <w:name w:val="正文lcc"/>
    <w:basedOn w:val="1"/>
    <w:link w:val="3219"/>
    <w:autoRedefine/>
    <w:qFormat/>
    <w:uiPriority w:val="0"/>
    <w:pPr>
      <w:spacing w:line="360" w:lineRule="auto"/>
    </w:pPr>
    <w:rPr>
      <w:rFonts w:eastAsia="Times New Roman"/>
      <w:kern w:val="0"/>
      <w:szCs w:val="24"/>
    </w:rPr>
  </w:style>
  <w:style w:type="character" w:customStyle="1" w:styleId="3219">
    <w:name w:val="正文lcc Char"/>
    <w:link w:val="3218"/>
    <w:autoRedefine/>
    <w:qFormat/>
    <w:uiPriority w:val="0"/>
    <w:rPr>
      <w:rFonts w:eastAsia="Times New Roman"/>
      <w:sz w:val="24"/>
      <w:szCs w:val="24"/>
    </w:rPr>
  </w:style>
  <w:style w:type="paragraph" w:customStyle="1" w:styleId="3220">
    <w:name w:val="表格-lcc"/>
    <w:basedOn w:val="1"/>
    <w:next w:val="1"/>
    <w:link w:val="3221"/>
    <w:autoRedefine/>
    <w:qFormat/>
    <w:uiPriority w:val="0"/>
    <w:pPr>
      <w:adjustRightInd/>
      <w:spacing w:line="240" w:lineRule="auto"/>
      <w:ind w:firstLine="0" w:firstLineChars="0"/>
      <w:jc w:val="center"/>
    </w:pPr>
    <w:rPr>
      <w:b/>
      <w:kern w:val="0"/>
      <w:sz w:val="21"/>
      <w:szCs w:val="21"/>
    </w:rPr>
  </w:style>
  <w:style w:type="character" w:customStyle="1" w:styleId="3221">
    <w:name w:val="表格-lcc Char"/>
    <w:link w:val="3220"/>
    <w:autoRedefine/>
    <w:qFormat/>
    <w:uiPriority w:val="0"/>
    <w:rPr>
      <w:b/>
      <w:sz w:val="21"/>
      <w:szCs w:val="21"/>
    </w:rPr>
  </w:style>
  <w:style w:type="paragraph" w:customStyle="1" w:styleId="3222">
    <w:name w:val="标4"/>
    <w:basedOn w:val="1"/>
    <w:next w:val="3218"/>
    <w:link w:val="3223"/>
    <w:autoRedefine/>
    <w:qFormat/>
    <w:uiPriority w:val="0"/>
    <w:pPr>
      <w:adjustRightInd/>
      <w:snapToGrid/>
      <w:spacing w:line="360" w:lineRule="auto"/>
      <w:outlineLvl w:val="4"/>
    </w:pPr>
    <w:rPr>
      <w:b/>
      <w:color w:val="000000"/>
      <w:kern w:val="0"/>
      <w:szCs w:val="24"/>
    </w:rPr>
  </w:style>
  <w:style w:type="character" w:customStyle="1" w:styleId="3223">
    <w:name w:val="标4 Char"/>
    <w:link w:val="3222"/>
    <w:autoRedefine/>
    <w:qFormat/>
    <w:uiPriority w:val="0"/>
    <w:rPr>
      <w:b/>
      <w:color w:val="000000"/>
      <w:sz w:val="24"/>
      <w:szCs w:val="24"/>
    </w:rPr>
  </w:style>
  <w:style w:type="paragraph" w:customStyle="1" w:styleId="3224">
    <w:name w:val="表文lcc"/>
    <w:basedOn w:val="1"/>
    <w:next w:val="1"/>
    <w:link w:val="3225"/>
    <w:autoRedefine/>
    <w:qFormat/>
    <w:uiPriority w:val="0"/>
    <w:pPr>
      <w:adjustRightInd/>
      <w:snapToGrid/>
      <w:spacing w:line="240" w:lineRule="auto"/>
      <w:ind w:firstLine="0" w:firstLineChars="0"/>
      <w:jc w:val="center"/>
    </w:pPr>
    <w:rPr>
      <w:kern w:val="0"/>
      <w:sz w:val="21"/>
      <w:szCs w:val="18"/>
    </w:rPr>
  </w:style>
  <w:style w:type="character" w:customStyle="1" w:styleId="3225">
    <w:name w:val="表文lcc Char"/>
    <w:link w:val="3224"/>
    <w:autoRedefine/>
    <w:qFormat/>
    <w:uiPriority w:val="0"/>
    <w:rPr>
      <w:sz w:val="21"/>
      <w:szCs w:val="18"/>
    </w:rPr>
  </w:style>
  <w:style w:type="paragraph" w:customStyle="1" w:styleId="3226">
    <w:name w:val="表内居中"/>
    <w:basedOn w:val="3227"/>
    <w:link w:val="3229"/>
    <w:autoRedefine/>
    <w:qFormat/>
    <w:uiPriority w:val="0"/>
    <w:rPr>
      <w:rFonts w:ascii="Times New Roman" w:hAnsi="Times New Roman"/>
    </w:rPr>
  </w:style>
  <w:style w:type="paragraph" w:customStyle="1" w:styleId="3227">
    <w:name w:val="表内容5号"/>
    <w:basedOn w:val="1"/>
    <w:link w:val="3228"/>
    <w:autoRedefine/>
    <w:qFormat/>
    <w:uiPriority w:val="0"/>
    <w:pPr>
      <w:overflowPunct w:val="0"/>
      <w:adjustRightInd/>
      <w:snapToGrid/>
      <w:spacing w:line="240" w:lineRule="auto"/>
      <w:ind w:firstLine="0" w:firstLineChars="0"/>
      <w:jc w:val="center"/>
    </w:pPr>
    <w:rPr>
      <w:rFonts w:ascii="Calibri" w:hAnsi="Calibri"/>
      <w:kern w:val="0"/>
      <w:sz w:val="21"/>
      <w:szCs w:val="21"/>
    </w:rPr>
  </w:style>
  <w:style w:type="character" w:customStyle="1" w:styleId="3228">
    <w:name w:val="表内容5号 Char Char"/>
    <w:link w:val="3227"/>
    <w:autoRedefine/>
    <w:qFormat/>
    <w:uiPriority w:val="0"/>
    <w:rPr>
      <w:rFonts w:ascii="Calibri" w:hAnsi="Calibri"/>
      <w:sz w:val="21"/>
      <w:szCs w:val="21"/>
    </w:rPr>
  </w:style>
  <w:style w:type="character" w:customStyle="1" w:styleId="3229">
    <w:name w:val="表内居中 Char"/>
    <w:link w:val="3226"/>
    <w:autoRedefine/>
    <w:qFormat/>
    <w:uiPriority w:val="0"/>
    <w:rPr>
      <w:sz w:val="21"/>
      <w:szCs w:val="21"/>
    </w:rPr>
  </w:style>
  <w:style w:type="paragraph" w:customStyle="1" w:styleId="3230">
    <w:name w:val="龚正文"/>
    <w:basedOn w:val="1"/>
    <w:link w:val="3231"/>
    <w:autoRedefine/>
    <w:qFormat/>
    <w:uiPriority w:val="0"/>
    <w:pPr>
      <w:overflowPunct w:val="0"/>
      <w:adjustRightInd/>
      <w:snapToGrid/>
      <w:spacing w:line="360" w:lineRule="auto"/>
      <w:ind w:firstLine="480"/>
    </w:pPr>
    <w:rPr>
      <w:rFonts w:ascii="Calibri" w:hAnsi="宋体"/>
      <w:kern w:val="0"/>
    </w:rPr>
  </w:style>
  <w:style w:type="character" w:customStyle="1" w:styleId="3231">
    <w:name w:val="龚正文 Char Char"/>
    <w:link w:val="3230"/>
    <w:autoRedefine/>
    <w:qFormat/>
    <w:uiPriority w:val="0"/>
    <w:rPr>
      <w:rFonts w:ascii="Calibri" w:hAnsi="宋体"/>
      <w:sz w:val="24"/>
    </w:rPr>
  </w:style>
  <w:style w:type="character" w:customStyle="1" w:styleId="3232">
    <w:name w:val="3级标题 Char Char"/>
    <w:link w:val="697"/>
    <w:autoRedefine/>
    <w:qFormat/>
    <w:uiPriority w:val="0"/>
    <w:rPr>
      <w:rFonts w:ascii="宋体" w:hAnsi="Calibri"/>
      <w:b/>
      <w:sz w:val="24"/>
    </w:rPr>
  </w:style>
  <w:style w:type="character" w:customStyle="1" w:styleId="3233">
    <w:name w:val="2级标题 Char Char"/>
    <w:link w:val="1195"/>
    <w:autoRedefine/>
    <w:qFormat/>
    <w:uiPriority w:val="0"/>
    <w:rPr>
      <w:rFonts w:ascii="宋体" w:hAnsi="Calibri" w:cs="宋体"/>
      <w:b/>
      <w:sz w:val="26"/>
      <w:szCs w:val="26"/>
    </w:rPr>
  </w:style>
  <w:style w:type="paragraph" w:customStyle="1" w:styleId="3234">
    <w:name w:val="表题1"/>
    <w:basedOn w:val="1"/>
    <w:link w:val="3235"/>
    <w:autoRedefine/>
    <w:qFormat/>
    <w:uiPriority w:val="0"/>
    <w:pPr>
      <w:tabs>
        <w:tab w:val="left" w:pos="2800"/>
        <w:tab w:val="left" w:pos="5700"/>
      </w:tabs>
      <w:overflowPunct w:val="0"/>
      <w:adjustRightInd/>
      <w:snapToGrid/>
      <w:spacing w:beforeLines="50" w:line="360" w:lineRule="auto"/>
      <w:ind w:firstLine="0" w:firstLineChars="0"/>
      <w:jc w:val="center"/>
    </w:pPr>
    <w:rPr>
      <w:rFonts w:ascii="Calibri" w:hAnsi="Calibri"/>
      <w:b/>
      <w:kern w:val="0"/>
      <w:sz w:val="21"/>
      <w:szCs w:val="21"/>
    </w:rPr>
  </w:style>
  <w:style w:type="character" w:customStyle="1" w:styleId="3235">
    <w:name w:val="表题1 Char Char"/>
    <w:link w:val="3234"/>
    <w:autoRedefine/>
    <w:qFormat/>
    <w:uiPriority w:val="0"/>
    <w:rPr>
      <w:rFonts w:ascii="Calibri" w:hAnsi="Calibri"/>
      <w:b/>
      <w:sz w:val="21"/>
      <w:szCs w:val="21"/>
    </w:rPr>
  </w:style>
  <w:style w:type="paragraph" w:customStyle="1" w:styleId="3236">
    <w:name w:val="y正文"/>
    <w:autoRedefine/>
    <w:qFormat/>
    <w:uiPriority w:val="0"/>
    <w:pPr>
      <w:spacing w:line="360" w:lineRule="auto"/>
      <w:ind w:firstLine="420" w:firstLineChars="200"/>
      <w:jc w:val="both"/>
    </w:pPr>
    <w:rPr>
      <w:rFonts w:ascii="Times New Roman" w:hAnsi="Times New Roman" w:eastAsia="宋体" w:cs="Calibri"/>
      <w:kern w:val="2"/>
      <w:sz w:val="21"/>
      <w:szCs w:val="21"/>
      <w:lang w:val="en-US" w:eastAsia="zh-CN" w:bidi="ar-SA"/>
    </w:rPr>
  </w:style>
  <w:style w:type="paragraph" w:customStyle="1" w:styleId="3237">
    <w:name w:val="样式 自动A +"/>
    <w:basedOn w:val="1"/>
    <w:link w:val="3238"/>
    <w:autoRedefine/>
    <w:qFormat/>
    <w:uiPriority w:val="0"/>
    <w:pPr>
      <w:overflowPunct w:val="0"/>
      <w:adjustRightInd/>
      <w:snapToGrid/>
      <w:spacing w:beforeLines="50" w:afterLines="50" w:line="360" w:lineRule="auto"/>
      <w:ind w:firstLine="480"/>
    </w:pPr>
    <w:rPr>
      <w:rFonts w:ascii="Calibri" w:hAnsi="Calibri"/>
      <w:color w:val="000000"/>
      <w:kern w:val="0"/>
    </w:rPr>
  </w:style>
  <w:style w:type="character" w:customStyle="1" w:styleId="3238">
    <w:name w:val="样式 自动A + Char Char"/>
    <w:link w:val="3237"/>
    <w:autoRedefine/>
    <w:qFormat/>
    <w:uiPriority w:val="0"/>
    <w:rPr>
      <w:rFonts w:ascii="Calibri" w:hAnsi="Calibri"/>
      <w:color w:val="000000"/>
      <w:sz w:val="24"/>
    </w:rPr>
  </w:style>
  <w:style w:type="paragraph" w:customStyle="1" w:styleId="3239">
    <w:name w:val="龚表名。"/>
    <w:basedOn w:val="1"/>
    <w:link w:val="3240"/>
    <w:autoRedefine/>
    <w:qFormat/>
    <w:uiPriority w:val="0"/>
    <w:pPr>
      <w:overflowPunct w:val="0"/>
      <w:adjustRightInd/>
      <w:snapToGrid/>
      <w:spacing w:line="360" w:lineRule="auto"/>
      <w:jc w:val="center"/>
    </w:pPr>
    <w:rPr>
      <w:rFonts w:ascii="Calibri" w:hAnsi="Calibri"/>
      <w:b/>
      <w:kern w:val="0"/>
      <w:sz w:val="21"/>
    </w:rPr>
  </w:style>
  <w:style w:type="character" w:customStyle="1" w:styleId="3240">
    <w:name w:val="龚表名。 Char Char"/>
    <w:link w:val="3239"/>
    <w:autoRedefine/>
    <w:qFormat/>
    <w:uiPriority w:val="0"/>
    <w:rPr>
      <w:rFonts w:ascii="Calibri" w:hAnsi="Calibri"/>
      <w:b/>
      <w:sz w:val="21"/>
    </w:rPr>
  </w:style>
  <w:style w:type="paragraph" w:customStyle="1" w:styleId="3241">
    <w:name w:val="样式 报告书正文 + 首行缩进:  2 字符"/>
    <w:basedOn w:val="1"/>
    <w:link w:val="3242"/>
    <w:autoRedefine/>
    <w:qFormat/>
    <w:uiPriority w:val="0"/>
    <w:pPr>
      <w:tabs>
        <w:tab w:val="left" w:pos="6300"/>
      </w:tabs>
      <w:adjustRightInd/>
      <w:snapToGrid/>
      <w:spacing w:line="360" w:lineRule="auto"/>
      <w:ind w:firstLine="482"/>
    </w:pPr>
    <w:rPr>
      <w:color w:val="000000"/>
      <w:kern w:val="0"/>
      <w:szCs w:val="24"/>
    </w:rPr>
  </w:style>
  <w:style w:type="character" w:customStyle="1" w:styleId="3242">
    <w:name w:val="样式 报告书正文 + 首行缩进:  2 字符 Char1"/>
    <w:link w:val="3241"/>
    <w:autoRedefine/>
    <w:qFormat/>
    <w:uiPriority w:val="0"/>
    <w:rPr>
      <w:color w:val="000000"/>
      <w:sz w:val="24"/>
      <w:szCs w:val="24"/>
    </w:rPr>
  </w:style>
  <w:style w:type="paragraph" w:customStyle="1" w:styleId="3243">
    <w:name w:val="龚艺正文"/>
    <w:basedOn w:val="1"/>
    <w:link w:val="3244"/>
    <w:autoRedefine/>
    <w:qFormat/>
    <w:uiPriority w:val="0"/>
    <w:pPr>
      <w:wordWrap w:val="0"/>
      <w:adjustRightInd/>
      <w:snapToGrid/>
      <w:spacing w:line="360" w:lineRule="auto"/>
      <w:ind w:firstLine="480"/>
      <w:jc w:val="left"/>
    </w:pPr>
    <w:rPr>
      <w:color w:val="000000"/>
      <w:kern w:val="0"/>
    </w:rPr>
  </w:style>
  <w:style w:type="character" w:customStyle="1" w:styleId="3244">
    <w:name w:val="龚艺正文 Char"/>
    <w:link w:val="3243"/>
    <w:autoRedefine/>
    <w:qFormat/>
    <w:uiPriority w:val="0"/>
    <w:rPr>
      <w:color w:val="000000"/>
      <w:sz w:val="24"/>
    </w:rPr>
  </w:style>
  <w:style w:type="paragraph" w:customStyle="1" w:styleId="3245">
    <w:name w:val="龚艺标题4"/>
    <w:basedOn w:val="1"/>
    <w:link w:val="3246"/>
    <w:autoRedefine/>
    <w:qFormat/>
    <w:uiPriority w:val="0"/>
    <w:pPr>
      <w:overflowPunct w:val="0"/>
      <w:adjustRightInd/>
      <w:snapToGrid/>
      <w:spacing w:beforeLines="50" w:line="360" w:lineRule="auto"/>
      <w:outlineLvl w:val="3"/>
    </w:pPr>
    <w:rPr>
      <w:rFonts w:ascii="Calibri" w:hAnsi="宋体"/>
      <w:color w:val="000000"/>
      <w:kern w:val="0"/>
      <w:szCs w:val="28"/>
    </w:rPr>
  </w:style>
  <w:style w:type="character" w:customStyle="1" w:styleId="3246">
    <w:name w:val="龚艺标题4 Char Char"/>
    <w:link w:val="3245"/>
    <w:autoRedefine/>
    <w:qFormat/>
    <w:uiPriority w:val="0"/>
    <w:rPr>
      <w:rFonts w:ascii="Calibri" w:hAnsi="宋体"/>
      <w:color w:val="000000"/>
      <w:sz w:val="24"/>
      <w:szCs w:val="28"/>
    </w:rPr>
  </w:style>
  <w:style w:type="character" w:customStyle="1" w:styleId="3247">
    <w:name w:val="hongse381"/>
    <w:autoRedefine/>
    <w:qFormat/>
    <w:uiPriority w:val="0"/>
    <w:rPr>
      <w:sz w:val="19"/>
      <w:szCs w:val="19"/>
    </w:rPr>
  </w:style>
  <w:style w:type="character" w:customStyle="1" w:styleId="3248">
    <w:name w:val="tt41"/>
    <w:basedOn w:val="133"/>
    <w:autoRedefine/>
    <w:qFormat/>
    <w:uiPriority w:val="0"/>
  </w:style>
  <w:style w:type="character" w:customStyle="1" w:styleId="3249">
    <w:name w:val="duanluo2"/>
    <w:autoRedefine/>
    <w:qFormat/>
    <w:uiPriority w:val="0"/>
    <w:rPr>
      <w:rFonts w:hint="default" w:ascii="_GB2312" w:hAnsi="_GB2312"/>
      <w:color w:val="000000"/>
      <w:spacing w:val="432"/>
      <w:sz w:val="21"/>
      <w:szCs w:val="21"/>
    </w:rPr>
  </w:style>
  <w:style w:type="character" w:customStyle="1" w:styleId="3250">
    <w:name w:val="css1"/>
    <w:autoRedefine/>
    <w:qFormat/>
    <w:uiPriority w:val="0"/>
    <w:rPr>
      <w:sz w:val="20"/>
      <w:szCs w:val="20"/>
      <w:u w:val="none"/>
    </w:rPr>
  </w:style>
  <w:style w:type="character" w:customStyle="1" w:styleId="3251">
    <w:name w:val="white"/>
    <w:basedOn w:val="133"/>
    <w:autoRedefine/>
    <w:qFormat/>
    <w:uiPriority w:val="0"/>
  </w:style>
  <w:style w:type="character" w:customStyle="1" w:styleId="3252">
    <w:name w:val="postbody1"/>
    <w:autoRedefine/>
    <w:qFormat/>
    <w:uiPriority w:val="0"/>
    <w:rPr>
      <w:sz w:val="21"/>
      <w:szCs w:val="21"/>
    </w:rPr>
  </w:style>
  <w:style w:type="character" w:customStyle="1" w:styleId="3253">
    <w:name w:val="u150"/>
    <w:basedOn w:val="133"/>
    <w:autoRedefine/>
    <w:qFormat/>
    <w:uiPriority w:val="0"/>
  </w:style>
  <w:style w:type="character" w:customStyle="1" w:styleId="3254">
    <w:name w:val="titlefront1"/>
    <w:autoRedefine/>
    <w:qFormat/>
    <w:uiPriority w:val="0"/>
    <w:rPr>
      <w:sz w:val="19"/>
      <w:szCs w:val="19"/>
    </w:rPr>
  </w:style>
  <w:style w:type="character" w:customStyle="1" w:styleId="3255">
    <w:name w:val="style441"/>
    <w:autoRedefine/>
    <w:qFormat/>
    <w:uiPriority w:val="0"/>
    <w:rPr>
      <w:sz w:val="18"/>
      <w:szCs w:val="18"/>
    </w:rPr>
  </w:style>
  <w:style w:type="character" w:customStyle="1" w:styleId="3256">
    <w:name w:val="小标题样式"/>
    <w:autoRedefine/>
    <w:qFormat/>
    <w:uiPriority w:val="0"/>
    <w:rPr>
      <w:rFonts w:ascii="Times New Roman" w:hAnsi="Times New Roman" w:eastAsia="宋体"/>
      <w:kern w:val="2"/>
      <w:sz w:val="28"/>
      <w:szCs w:val="28"/>
      <w:lang w:val="en-US" w:eastAsia="zh-CN" w:bidi="ar-SA"/>
    </w:rPr>
  </w:style>
  <w:style w:type="character" w:customStyle="1" w:styleId="3257">
    <w:name w:val="明显参考11"/>
    <w:autoRedefine/>
    <w:qFormat/>
    <w:uiPriority w:val="32"/>
    <w:rPr>
      <w:b/>
      <w:bCs/>
      <w:smallCaps/>
      <w:color w:val="C0504D"/>
      <w:spacing w:val="5"/>
      <w:u w:val="single"/>
    </w:rPr>
  </w:style>
  <w:style w:type="character" w:customStyle="1" w:styleId="3258">
    <w:name w:val="title-text"/>
    <w:basedOn w:val="133"/>
    <w:autoRedefine/>
    <w:qFormat/>
    <w:uiPriority w:val="0"/>
  </w:style>
  <w:style w:type="character" w:customStyle="1" w:styleId="3259">
    <w:name w:val="正文0 Char"/>
    <w:link w:val="3260"/>
    <w:autoRedefine/>
    <w:qFormat/>
    <w:uiPriority w:val="0"/>
    <w:rPr>
      <w:rFonts w:hAnsi="宋体"/>
      <w:sz w:val="24"/>
      <w:szCs w:val="24"/>
    </w:rPr>
  </w:style>
  <w:style w:type="paragraph" w:customStyle="1" w:styleId="3260">
    <w:name w:val="正文0"/>
    <w:basedOn w:val="1"/>
    <w:next w:val="1"/>
    <w:link w:val="3259"/>
    <w:autoRedefine/>
    <w:qFormat/>
    <w:uiPriority w:val="0"/>
    <w:pPr>
      <w:ind w:firstLine="480"/>
    </w:pPr>
    <w:rPr>
      <w:rFonts w:hAnsi="宋体"/>
      <w:kern w:val="0"/>
      <w:szCs w:val="24"/>
    </w:rPr>
  </w:style>
  <w:style w:type="character" w:customStyle="1" w:styleId="3261">
    <w:name w:val="style391"/>
    <w:autoRedefine/>
    <w:qFormat/>
    <w:uiPriority w:val="0"/>
    <w:rPr>
      <w:b/>
      <w:bCs/>
      <w:color w:val="287D3C"/>
      <w:sz w:val="21"/>
      <w:szCs w:val="21"/>
    </w:rPr>
  </w:style>
  <w:style w:type="character" w:customStyle="1" w:styleId="3262">
    <w:name w:val="style421"/>
    <w:autoRedefine/>
    <w:qFormat/>
    <w:uiPriority w:val="0"/>
    <w:rPr>
      <w:color w:val="287D3C"/>
      <w:sz w:val="21"/>
      <w:szCs w:val="21"/>
    </w:rPr>
  </w:style>
  <w:style w:type="character" w:customStyle="1" w:styleId="3263">
    <w:name w:val="标题3l Char"/>
    <w:link w:val="3264"/>
    <w:autoRedefine/>
    <w:qFormat/>
    <w:uiPriority w:val="0"/>
    <w:rPr>
      <w:b/>
      <w:color w:val="000000"/>
      <w:sz w:val="24"/>
    </w:rPr>
  </w:style>
  <w:style w:type="paragraph" w:customStyle="1" w:styleId="3264">
    <w:name w:val="标题3l"/>
    <w:basedOn w:val="1"/>
    <w:link w:val="3263"/>
    <w:autoRedefine/>
    <w:qFormat/>
    <w:uiPriority w:val="0"/>
    <w:pPr>
      <w:spacing w:line="360" w:lineRule="auto"/>
      <w:ind w:firstLine="0" w:firstLineChars="0"/>
      <w:outlineLvl w:val="2"/>
    </w:pPr>
    <w:rPr>
      <w:b/>
      <w:color w:val="000000"/>
      <w:kern w:val="0"/>
    </w:rPr>
  </w:style>
  <w:style w:type="character" w:customStyle="1" w:styleId="3265">
    <w:name w:val="【表中文字】 Char"/>
    <w:link w:val="3266"/>
    <w:autoRedefine/>
    <w:qFormat/>
    <w:uiPriority w:val="0"/>
    <w:rPr>
      <w:rFonts w:ascii="Calibri" w:hAnsi="Calibri"/>
      <w:sz w:val="24"/>
    </w:rPr>
  </w:style>
  <w:style w:type="paragraph" w:customStyle="1" w:styleId="3266">
    <w:name w:val="【表中文字】"/>
    <w:basedOn w:val="1"/>
    <w:link w:val="3265"/>
    <w:autoRedefine/>
    <w:qFormat/>
    <w:uiPriority w:val="0"/>
    <w:pPr>
      <w:adjustRightInd/>
      <w:snapToGrid/>
      <w:spacing w:line="360" w:lineRule="auto"/>
      <w:jc w:val="center"/>
    </w:pPr>
    <w:rPr>
      <w:rFonts w:ascii="Calibri" w:hAnsi="Calibri"/>
      <w:kern w:val="0"/>
    </w:rPr>
  </w:style>
  <w:style w:type="character" w:customStyle="1" w:styleId="3267">
    <w:name w:val="标题1l Char"/>
    <w:link w:val="3268"/>
    <w:autoRedefine/>
    <w:qFormat/>
    <w:uiPriority w:val="0"/>
    <w:rPr>
      <w:b/>
      <w:color w:val="000000"/>
      <w:sz w:val="30"/>
      <w:szCs w:val="30"/>
    </w:rPr>
  </w:style>
  <w:style w:type="paragraph" w:customStyle="1" w:styleId="3268">
    <w:name w:val="标题1l"/>
    <w:basedOn w:val="1"/>
    <w:link w:val="3267"/>
    <w:autoRedefine/>
    <w:qFormat/>
    <w:uiPriority w:val="0"/>
    <w:pPr>
      <w:adjustRightInd/>
      <w:snapToGrid/>
      <w:spacing w:line="360" w:lineRule="auto"/>
      <w:ind w:firstLine="0" w:firstLineChars="0"/>
      <w:jc w:val="left"/>
      <w:outlineLvl w:val="0"/>
    </w:pPr>
    <w:rPr>
      <w:b/>
      <w:color w:val="000000"/>
      <w:kern w:val="0"/>
      <w:sz w:val="30"/>
      <w:szCs w:val="30"/>
    </w:rPr>
  </w:style>
  <w:style w:type="character" w:customStyle="1" w:styleId="3269">
    <w:name w:val="样式44 Char"/>
    <w:link w:val="3270"/>
    <w:autoRedefine/>
    <w:qFormat/>
    <w:uiPriority w:val="0"/>
    <w:rPr>
      <w:color w:val="000000"/>
      <w:sz w:val="24"/>
    </w:rPr>
  </w:style>
  <w:style w:type="paragraph" w:customStyle="1" w:styleId="3270">
    <w:name w:val="样式44"/>
    <w:basedOn w:val="1"/>
    <w:link w:val="3269"/>
    <w:autoRedefine/>
    <w:qFormat/>
    <w:uiPriority w:val="0"/>
    <w:pPr>
      <w:adjustRightInd/>
      <w:snapToGrid/>
      <w:spacing w:line="360" w:lineRule="auto"/>
      <w:ind w:firstLine="480"/>
    </w:pPr>
    <w:rPr>
      <w:color w:val="000000"/>
      <w:kern w:val="0"/>
    </w:rPr>
  </w:style>
  <w:style w:type="character" w:customStyle="1" w:styleId="3271">
    <w:name w:val="标题1lcc Char"/>
    <w:link w:val="3272"/>
    <w:autoRedefine/>
    <w:qFormat/>
    <w:uiPriority w:val="0"/>
    <w:rPr>
      <w:b/>
      <w:bCs/>
      <w:kern w:val="44"/>
      <w:sz w:val="32"/>
      <w:szCs w:val="24"/>
    </w:rPr>
  </w:style>
  <w:style w:type="paragraph" w:customStyle="1" w:styleId="3272">
    <w:name w:val="标题1lcc"/>
    <w:basedOn w:val="3"/>
    <w:link w:val="3271"/>
    <w:autoRedefine/>
    <w:qFormat/>
    <w:uiPriority w:val="0"/>
    <w:pPr>
      <w:numPr>
        <w:numId w:val="0"/>
      </w:numPr>
      <w:spacing w:before="340" w:after="330" w:line="360" w:lineRule="auto"/>
      <w:jc w:val="center"/>
    </w:pPr>
    <w:rPr>
      <w:sz w:val="32"/>
      <w:szCs w:val="24"/>
      <w:lang w:val="en-US"/>
    </w:rPr>
  </w:style>
  <w:style w:type="paragraph" w:customStyle="1" w:styleId="3273">
    <w:name w:val="style44"/>
    <w:basedOn w:val="1"/>
    <w:autoRedefine/>
    <w:qFormat/>
    <w:uiPriority w:val="0"/>
    <w:pPr>
      <w:widowControl/>
      <w:adjustRightInd/>
      <w:snapToGrid/>
      <w:spacing w:beforeAutospacing="1" w:afterAutospacing="1" w:line="240" w:lineRule="auto"/>
      <w:ind w:firstLine="0" w:firstLineChars="0"/>
      <w:jc w:val="left"/>
    </w:pPr>
    <w:rPr>
      <w:rFonts w:ascii="宋体" w:hAnsi="宋体" w:cs="宋体"/>
      <w:kern w:val="0"/>
      <w:sz w:val="18"/>
      <w:szCs w:val="18"/>
    </w:rPr>
  </w:style>
  <w:style w:type="paragraph" w:customStyle="1" w:styleId="3274">
    <w:name w:val="Char23"/>
    <w:basedOn w:val="1"/>
    <w:autoRedefine/>
    <w:qFormat/>
    <w:uiPriority w:val="0"/>
    <w:pPr>
      <w:adjustRightInd/>
      <w:snapToGrid/>
      <w:spacing w:line="240" w:lineRule="auto"/>
      <w:ind w:firstLine="0" w:firstLineChars="0"/>
    </w:pPr>
    <w:rPr>
      <w:sz w:val="21"/>
    </w:rPr>
  </w:style>
  <w:style w:type="paragraph" w:customStyle="1" w:styleId="3275">
    <w:name w:val="1 Char Char Char Char Char Char Char Char Char Char Char Char Char"/>
    <w:basedOn w:val="1"/>
    <w:autoRedefine/>
    <w:semiHidden/>
    <w:qFormat/>
    <w:uiPriority w:val="0"/>
    <w:pPr>
      <w:adjustRightInd/>
      <w:snapToGrid/>
      <w:spacing w:line="240" w:lineRule="auto"/>
      <w:ind w:firstLine="0" w:firstLineChars="0"/>
    </w:pPr>
    <w:rPr>
      <w:sz w:val="21"/>
      <w:szCs w:val="24"/>
    </w:rPr>
  </w:style>
  <w:style w:type="table" w:customStyle="1" w:styleId="3276">
    <w:name w:val="AAA"/>
    <w:basedOn w:val="89"/>
    <w:autoRedefine/>
    <w:qFormat/>
    <w:uiPriority w:val="0"/>
    <w:pPr>
      <w:widowControl w:val="0"/>
      <w:jc w:val="center"/>
    </w:pPr>
    <w:tblPr>
      <w:tblBorders>
        <w:top w:val="single" w:color="auto" w:sz="12" w:space="0"/>
        <w:bottom w:val="single" w:color="auto" w:sz="12" w:space="0"/>
      </w:tblBorders>
    </w:tblPr>
    <w:tcPr>
      <w:vAlign w:val="center"/>
    </w:tcPr>
  </w:style>
  <w:style w:type="paragraph" w:customStyle="1" w:styleId="3277">
    <w:name w:val="三级标题0"/>
    <w:basedOn w:val="5"/>
    <w:next w:val="1"/>
    <w:link w:val="3278"/>
    <w:autoRedefine/>
    <w:qFormat/>
    <w:uiPriority w:val="0"/>
    <w:pPr>
      <w:numPr>
        <w:numId w:val="0"/>
      </w:numPr>
      <w:tabs>
        <w:tab w:val="left" w:pos="1260"/>
      </w:tabs>
      <w:spacing w:before="260" w:after="260" w:line="360" w:lineRule="auto"/>
      <w:ind w:firstLine="200" w:firstLineChars="200"/>
    </w:pPr>
    <w:rPr>
      <w:rFonts w:eastAsia="黑体"/>
      <w:color w:val="FF0000"/>
      <w:sz w:val="30"/>
      <w:szCs w:val="30"/>
      <w:lang w:val="en-US"/>
    </w:rPr>
  </w:style>
  <w:style w:type="character" w:customStyle="1" w:styleId="3278">
    <w:name w:val="三级标题0 Char"/>
    <w:link w:val="3277"/>
    <w:autoRedefine/>
    <w:qFormat/>
    <w:uiPriority w:val="0"/>
    <w:rPr>
      <w:rFonts w:eastAsia="黑体"/>
      <w:b/>
      <w:bCs/>
      <w:color w:val="FF0000"/>
      <w:kern w:val="2"/>
      <w:sz w:val="30"/>
      <w:szCs w:val="30"/>
    </w:rPr>
  </w:style>
  <w:style w:type="paragraph" w:customStyle="1" w:styleId="3279">
    <w:name w:val="11表名"/>
    <w:basedOn w:val="77"/>
    <w:autoRedefine/>
    <w:qFormat/>
    <w:uiPriority w:val="0"/>
    <w:pPr>
      <w:widowControl w:val="0"/>
      <w:adjustRightInd w:val="0"/>
      <w:spacing w:line="240" w:lineRule="auto"/>
      <w:ind w:left="0" w:leftChars="0" w:firstLine="0" w:firstLineChars="0"/>
      <w:jc w:val="center"/>
      <w:textAlignment w:val="baseline"/>
    </w:pPr>
    <w:rPr>
      <w:rFonts w:ascii="Times New Roman" w:hAnsi="Times New Roman"/>
      <w:b/>
      <w:snapToGrid/>
      <w:kern w:val="0"/>
      <w:sz w:val="21"/>
      <w:szCs w:val="24"/>
      <w:lang w:eastAsia="zh-CN" w:bidi="ar-SA"/>
    </w:rPr>
  </w:style>
  <w:style w:type="paragraph" w:customStyle="1" w:styleId="3280">
    <w:name w:val="11表内字"/>
    <w:basedOn w:val="1"/>
    <w:autoRedefine/>
    <w:qFormat/>
    <w:uiPriority w:val="0"/>
    <w:pPr>
      <w:autoSpaceDE w:val="0"/>
      <w:autoSpaceDN w:val="0"/>
      <w:adjustRightInd/>
      <w:snapToGrid/>
      <w:spacing w:line="240" w:lineRule="auto"/>
      <w:ind w:firstLine="0" w:firstLineChars="0"/>
      <w:jc w:val="center"/>
    </w:pPr>
    <w:rPr>
      <w:sz w:val="21"/>
    </w:rPr>
  </w:style>
  <w:style w:type="paragraph" w:customStyle="1" w:styleId="3281">
    <w:name w:val="表名、图名"/>
    <w:basedOn w:val="1"/>
    <w:autoRedefine/>
    <w:qFormat/>
    <w:uiPriority w:val="0"/>
    <w:pPr>
      <w:adjustRightInd/>
      <w:snapToGrid/>
      <w:spacing w:line="240" w:lineRule="auto"/>
      <w:ind w:firstLine="0" w:firstLineChars="0"/>
      <w:jc w:val="center"/>
    </w:pPr>
    <w:rPr>
      <w:b/>
      <w:bCs/>
      <w:sz w:val="21"/>
      <w:szCs w:val="18"/>
    </w:rPr>
  </w:style>
  <w:style w:type="paragraph" w:customStyle="1" w:styleId="3282">
    <w:name w:val="龚4级标题"/>
    <w:basedOn w:val="1"/>
    <w:link w:val="3285"/>
    <w:autoRedefine/>
    <w:qFormat/>
    <w:uiPriority w:val="0"/>
    <w:pPr>
      <w:adjustRightInd/>
      <w:snapToGrid/>
      <w:spacing w:beforeLines="50" w:line="360" w:lineRule="auto"/>
      <w:ind w:firstLine="0" w:firstLineChars="0"/>
      <w:outlineLvl w:val="3"/>
    </w:pPr>
    <w:rPr>
      <w:b/>
      <w:kern w:val="0"/>
      <w:szCs w:val="24"/>
    </w:rPr>
  </w:style>
  <w:style w:type="paragraph" w:customStyle="1" w:styleId="3283">
    <w:name w:val="正文l"/>
    <w:basedOn w:val="1"/>
    <w:link w:val="3286"/>
    <w:autoRedefine/>
    <w:qFormat/>
    <w:uiPriority w:val="0"/>
    <w:pPr>
      <w:autoSpaceDE w:val="0"/>
      <w:autoSpaceDN w:val="0"/>
      <w:snapToGrid/>
      <w:spacing w:line="360" w:lineRule="auto"/>
    </w:pPr>
    <w:rPr>
      <w:rFonts w:eastAsia="Times New Roman"/>
      <w:kern w:val="0"/>
      <w:szCs w:val="24"/>
    </w:rPr>
  </w:style>
  <w:style w:type="paragraph" w:customStyle="1" w:styleId="3284">
    <w:name w:val="小四+首行缩进"/>
    <w:basedOn w:val="1"/>
    <w:link w:val="3287"/>
    <w:autoRedefine/>
    <w:qFormat/>
    <w:uiPriority w:val="0"/>
    <w:pPr>
      <w:adjustRightInd/>
      <w:snapToGrid/>
      <w:spacing w:line="360" w:lineRule="auto"/>
      <w:ind w:firstLine="482" w:firstLineChars="0"/>
    </w:pPr>
    <w:rPr>
      <w:rFonts w:ascii="宋体" w:hAnsi="宋体"/>
      <w:kern w:val="0"/>
    </w:rPr>
  </w:style>
  <w:style w:type="character" w:customStyle="1" w:styleId="3285">
    <w:name w:val="龚4级标题 Char"/>
    <w:link w:val="3282"/>
    <w:autoRedefine/>
    <w:qFormat/>
    <w:locked/>
    <w:uiPriority w:val="0"/>
    <w:rPr>
      <w:b/>
      <w:sz w:val="24"/>
      <w:szCs w:val="24"/>
    </w:rPr>
  </w:style>
  <w:style w:type="character" w:customStyle="1" w:styleId="3286">
    <w:name w:val="正文l Char"/>
    <w:link w:val="3283"/>
    <w:autoRedefine/>
    <w:qFormat/>
    <w:uiPriority w:val="0"/>
    <w:rPr>
      <w:rFonts w:eastAsia="Times New Roman"/>
      <w:sz w:val="24"/>
      <w:szCs w:val="24"/>
    </w:rPr>
  </w:style>
  <w:style w:type="character" w:customStyle="1" w:styleId="3287">
    <w:name w:val="小四+首行缩进 Char2"/>
    <w:link w:val="3284"/>
    <w:autoRedefine/>
    <w:qFormat/>
    <w:uiPriority w:val="0"/>
    <w:rPr>
      <w:rFonts w:ascii="宋体" w:hAnsi="宋体"/>
      <w:sz w:val="24"/>
    </w:rPr>
  </w:style>
  <w:style w:type="character" w:customStyle="1" w:styleId="3288">
    <w:name w:val="报告表格 Char Char"/>
    <w:autoRedefine/>
    <w:qFormat/>
    <w:uiPriority w:val="0"/>
    <w:rPr>
      <w:rFonts w:ascii="Times New Roman" w:hAnsi="Times New Roman" w:eastAsia="宋体" w:cs="Times New Roman"/>
      <w:kern w:val="0"/>
      <w:szCs w:val="20"/>
    </w:rPr>
  </w:style>
  <w:style w:type="character" w:customStyle="1" w:styleId="3289">
    <w:name w:val="MTEquationSection"/>
    <w:autoRedefine/>
    <w:qFormat/>
    <w:uiPriority w:val="0"/>
    <w:rPr>
      <w:rFonts w:ascii="Tahoma" w:hAnsi="Tahoma" w:eastAsia="微软雅黑"/>
      <w:b/>
      <w:vanish/>
      <w:color w:val="FF0000"/>
      <w:kern w:val="0"/>
      <w:sz w:val="22"/>
      <w:szCs w:val="24"/>
    </w:rPr>
  </w:style>
  <w:style w:type="paragraph" w:customStyle="1" w:styleId="3290">
    <w:name w:val="表内l"/>
    <w:basedOn w:val="1"/>
    <w:link w:val="3291"/>
    <w:autoRedefine/>
    <w:qFormat/>
    <w:uiPriority w:val="0"/>
    <w:pPr>
      <w:adjustRightInd/>
      <w:snapToGrid/>
      <w:spacing w:line="240" w:lineRule="auto"/>
      <w:ind w:firstLine="0" w:firstLineChars="0"/>
      <w:jc w:val="center"/>
    </w:pPr>
    <w:rPr>
      <w:bCs/>
      <w:sz w:val="21"/>
      <w:szCs w:val="21"/>
    </w:rPr>
  </w:style>
  <w:style w:type="character" w:customStyle="1" w:styleId="3291">
    <w:name w:val="表内l Char"/>
    <w:link w:val="3290"/>
    <w:autoRedefine/>
    <w:qFormat/>
    <w:uiPriority w:val="0"/>
    <w:rPr>
      <w:bCs/>
      <w:kern w:val="2"/>
      <w:sz w:val="21"/>
      <w:szCs w:val="21"/>
    </w:rPr>
  </w:style>
  <w:style w:type="table" w:customStyle="1" w:styleId="3292">
    <w:name w:val="Table Normal1"/>
    <w:autoRedefine/>
    <w:unhideWhenUsed/>
    <w:qFormat/>
    <w:uiPriority w:val="2"/>
    <w:pPr>
      <w:widowControl w:val="0"/>
    </w:pPr>
    <w:rPr>
      <w:rFonts w:ascii="Calibri" w:hAnsi="Calibri"/>
      <w:sz w:val="22"/>
      <w:lang w:eastAsia="en-US"/>
    </w:rPr>
    <w:tblPr>
      <w:tblCellMar>
        <w:top w:w="0" w:type="dxa"/>
        <w:left w:w="0" w:type="dxa"/>
        <w:bottom w:w="0" w:type="dxa"/>
        <w:right w:w="0" w:type="dxa"/>
      </w:tblCellMar>
    </w:tblPr>
  </w:style>
  <w:style w:type="paragraph" w:customStyle="1" w:styleId="3293">
    <w:name w:val="biao 2"/>
    <w:basedOn w:val="1"/>
    <w:link w:val="3294"/>
    <w:autoRedefine/>
    <w:qFormat/>
    <w:uiPriority w:val="0"/>
    <w:pPr>
      <w:keepNext/>
      <w:keepLines/>
      <w:spacing w:line="360" w:lineRule="auto"/>
      <w:ind w:firstLine="0" w:firstLineChars="0"/>
      <w:outlineLvl w:val="1"/>
    </w:pPr>
    <w:rPr>
      <w:b/>
      <w:bCs/>
      <w:color w:val="000000"/>
      <w:sz w:val="28"/>
      <w:szCs w:val="28"/>
      <w:lang w:val="zh-CN"/>
    </w:rPr>
  </w:style>
  <w:style w:type="character" w:customStyle="1" w:styleId="3294">
    <w:name w:val="biao 2 Char"/>
    <w:link w:val="3293"/>
    <w:autoRedefine/>
    <w:qFormat/>
    <w:uiPriority w:val="0"/>
    <w:rPr>
      <w:b/>
      <w:bCs/>
      <w:color w:val="000000"/>
      <w:kern w:val="2"/>
      <w:sz w:val="28"/>
      <w:szCs w:val="28"/>
      <w:lang w:val="zh-CN"/>
    </w:rPr>
  </w:style>
  <w:style w:type="character" w:customStyle="1" w:styleId="3295">
    <w:name w:val="图表内容 Char"/>
    <w:link w:val="3296"/>
    <w:autoRedefine/>
    <w:qFormat/>
    <w:uiPriority w:val="0"/>
    <w:rPr>
      <w:rFonts w:eastAsia="仿宋_GB2312"/>
    </w:rPr>
  </w:style>
  <w:style w:type="paragraph" w:customStyle="1" w:styleId="3296">
    <w:name w:val="图表内容"/>
    <w:basedOn w:val="1"/>
    <w:link w:val="3295"/>
    <w:autoRedefine/>
    <w:qFormat/>
    <w:uiPriority w:val="0"/>
    <w:pPr>
      <w:spacing w:line="240" w:lineRule="auto"/>
      <w:ind w:firstLine="0" w:firstLineChars="0"/>
      <w:jc w:val="center"/>
    </w:pPr>
    <w:rPr>
      <w:rFonts w:eastAsia="仿宋_GB2312"/>
      <w:kern w:val="0"/>
      <w:sz w:val="20"/>
    </w:rPr>
  </w:style>
  <w:style w:type="character" w:customStyle="1" w:styleId="3297">
    <w:name w:val="样式 (西文) 仿宋_GB2312 (中文) 仿宋_GB2312 Char"/>
    <w:link w:val="3298"/>
    <w:autoRedefine/>
    <w:qFormat/>
    <w:uiPriority w:val="0"/>
    <w:rPr>
      <w:rFonts w:ascii="仿宋_GB2312" w:eastAsia="仿宋_GB2312"/>
      <w:sz w:val="28"/>
      <w:szCs w:val="30"/>
    </w:rPr>
  </w:style>
  <w:style w:type="paragraph" w:customStyle="1" w:styleId="3298">
    <w:name w:val="样式 (西文) 仿宋_GB2312 (中文) 仿宋_GB2312"/>
    <w:basedOn w:val="1"/>
    <w:link w:val="3297"/>
    <w:autoRedefine/>
    <w:qFormat/>
    <w:uiPriority w:val="0"/>
    <w:pPr>
      <w:spacing w:afterLines="100" w:line="300" w:lineRule="auto"/>
      <w:contextualSpacing/>
    </w:pPr>
    <w:rPr>
      <w:rFonts w:ascii="仿宋_GB2312" w:eastAsia="仿宋_GB2312"/>
      <w:kern w:val="0"/>
      <w:sz w:val="28"/>
      <w:szCs w:val="30"/>
    </w:rPr>
  </w:style>
  <w:style w:type="character" w:customStyle="1" w:styleId="3299">
    <w:name w:val="ask-title"/>
    <w:basedOn w:val="133"/>
    <w:autoRedefine/>
    <w:qFormat/>
    <w:uiPriority w:val="0"/>
  </w:style>
  <w:style w:type="paragraph" w:customStyle="1" w:styleId="3300">
    <w:name w:val="zhang"/>
    <w:basedOn w:val="1"/>
    <w:autoRedefine/>
    <w:qFormat/>
    <w:uiPriority w:val="99"/>
    <w:pPr>
      <w:widowControl/>
      <w:adjustRightInd/>
      <w:snapToGrid/>
      <w:spacing w:beforeAutospacing="1" w:afterAutospacing="1" w:line="240" w:lineRule="auto"/>
      <w:ind w:firstLine="0" w:firstLineChars="0"/>
      <w:jc w:val="left"/>
    </w:pPr>
    <w:rPr>
      <w:rFonts w:ascii="宋体" w:hAnsi="宋体" w:cs="宋体"/>
      <w:color w:val="000000"/>
      <w:kern w:val="0"/>
      <w:szCs w:val="24"/>
    </w:rPr>
  </w:style>
  <w:style w:type="paragraph" w:customStyle="1" w:styleId="3301">
    <w:name w:val="S-正文"/>
    <w:basedOn w:val="1"/>
    <w:autoRedefine/>
    <w:qFormat/>
    <w:uiPriority w:val="0"/>
    <w:pPr>
      <w:widowControl/>
      <w:adjustRightInd/>
      <w:snapToGrid/>
      <w:spacing w:line="360" w:lineRule="auto"/>
      <w:jc w:val="left"/>
    </w:pPr>
    <w:rPr>
      <w:rFonts w:ascii="仿宋_GB2312" w:hAnsi="Calibri" w:eastAsia="仿宋_GB2312" w:cs="仿宋_GB2312"/>
      <w:sz w:val="28"/>
      <w:szCs w:val="24"/>
    </w:rPr>
  </w:style>
  <w:style w:type="paragraph" w:customStyle="1" w:styleId="3302">
    <w:name w:val="CM7"/>
    <w:basedOn w:val="1"/>
    <w:next w:val="1"/>
    <w:autoRedefine/>
    <w:qFormat/>
    <w:uiPriority w:val="99"/>
    <w:pPr>
      <w:autoSpaceDE w:val="0"/>
      <w:autoSpaceDN w:val="0"/>
      <w:snapToGrid/>
      <w:spacing w:line="591" w:lineRule="atLeast"/>
      <w:ind w:firstLine="0" w:firstLineChars="0"/>
      <w:jc w:val="left"/>
    </w:pPr>
    <w:rPr>
      <w:rFonts w:ascii="黑体" w:eastAsia="黑体"/>
      <w:kern w:val="0"/>
      <w:szCs w:val="24"/>
    </w:rPr>
  </w:style>
  <w:style w:type="paragraph" w:customStyle="1" w:styleId="3303">
    <w:name w:val="标题 4　1.1.1"/>
    <w:basedOn w:val="6"/>
    <w:autoRedefine/>
    <w:qFormat/>
    <w:uiPriority w:val="0"/>
    <w:pPr>
      <w:numPr>
        <w:numId w:val="0"/>
      </w:numPr>
      <w:tabs>
        <w:tab w:val="left" w:pos="1680"/>
      </w:tabs>
      <w:adjustRightInd/>
      <w:snapToGrid/>
      <w:spacing w:before="280" w:after="290" w:line="490" w:lineRule="exact"/>
      <w:ind w:firstLine="200" w:firstLineChars="200"/>
      <w:jc w:val="both"/>
    </w:pPr>
    <w:rPr>
      <w:rFonts w:eastAsia="黑体"/>
      <w:sz w:val="28"/>
      <w:szCs w:val="20"/>
      <w:lang w:val="en-US"/>
    </w:rPr>
  </w:style>
  <w:style w:type="paragraph" w:customStyle="1" w:styleId="3304">
    <w:name w:val="图号"/>
    <w:basedOn w:val="1"/>
    <w:autoRedefine/>
    <w:qFormat/>
    <w:uiPriority w:val="0"/>
    <w:pPr>
      <w:autoSpaceDE w:val="0"/>
      <w:autoSpaceDN w:val="0"/>
      <w:spacing w:line="360" w:lineRule="auto"/>
      <w:ind w:firstLine="0" w:firstLineChars="0"/>
      <w:jc w:val="center"/>
    </w:pPr>
    <w:rPr>
      <w:rFonts w:ascii="宋体" w:hAnsi="宋体"/>
      <w:b/>
      <w:bCs/>
      <w:sz w:val="21"/>
      <w:szCs w:val="21"/>
      <w:lang w:val="zh-CN"/>
    </w:rPr>
  </w:style>
  <w:style w:type="paragraph" w:customStyle="1" w:styleId="3305">
    <w:name w:val="jb仿宋_GB2312"/>
    <w:basedOn w:val="1"/>
    <w:autoRedefine/>
    <w:qFormat/>
    <w:uiPriority w:val="0"/>
    <w:pPr>
      <w:tabs>
        <w:tab w:val="left" w:pos="446"/>
      </w:tabs>
      <w:adjustRightInd/>
      <w:snapToGrid/>
      <w:spacing w:line="360" w:lineRule="auto"/>
      <w:ind w:firstLine="480"/>
    </w:pPr>
    <w:rPr>
      <w:rFonts w:ascii="宋体" w:hAnsi="宋体"/>
      <w:szCs w:val="24"/>
    </w:rPr>
  </w:style>
  <w:style w:type="paragraph" w:customStyle="1" w:styleId="3306">
    <w:name w:val="标题 2标题 1.1"/>
    <w:basedOn w:val="4"/>
    <w:autoRedefine/>
    <w:qFormat/>
    <w:uiPriority w:val="0"/>
    <w:pPr>
      <w:widowControl/>
      <w:numPr>
        <w:ilvl w:val="0"/>
        <w:numId w:val="0"/>
      </w:numPr>
      <w:tabs>
        <w:tab w:val="left" w:pos="720"/>
        <w:tab w:val="left" w:pos="1400"/>
      </w:tabs>
      <w:spacing w:beforeLines="100" w:afterLines="60" w:line="560" w:lineRule="exact"/>
      <w:ind w:left="1400" w:hanging="936"/>
      <w:jc w:val="left"/>
    </w:pPr>
    <w:rPr>
      <w:rFonts w:ascii="仿宋_GB2312" w:hAnsi="宋体"/>
      <w:kern w:val="0"/>
      <w:sz w:val="32"/>
      <w:szCs w:val="20"/>
      <w:lang w:val="en-US"/>
    </w:rPr>
  </w:style>
  <w:style w:type="character" w:customStyle="1" w:styleId="3307">
    <w:name w:val="jb仿宋_GB2312 Char"/>
    <w:autoRedefine/>
    <w:qFormat/>
    <w:uiPriority w:val="0"/>
    <w:rPr>
      <w:rFonts w:hAnsi="仿宋_GB2312" w:eastAsia="仿宋_GB2312"/>
      <w:kern w:val="2"/>
      <w:sz w:val="28"/>
      <w:lang w:val="en-US" w:eastAsia="zh-CN" w:bidi="ar-SA"/>
    </w:rPr>
  </w:style>
  <w:style w:type="paragraph" w:customStyle="1" w:styleId="3308">
    <w:name w:val="样式 王向东正文 + 首行缩进:  2 字符"/>
    <w:basedOn w:val="2170"/>
    <w:autoRedefine/>
    <w:qFormat/>
    <w:uiPriority w:val="0"/>
    <w:pPr>
      <w:spacing w:line="360" w:lineRule="auto"/>
      <w:ind w:right="0" w:rightChars="0" w:firstLine="560"/>
      <w:jc w:val="both"/>
    </w:pPr>
    <w:rPr>
      <w:rFonts w:ascii="Times New Roman" w:hAnsi="Times New Roman" w:eastAsia="仿宋_GB2312" w:cs="Times New Roman"/>
      <w:sz w:val="28"/>
      <w:szCs w:val="20"/>
    </w:rPr>
  </w:style>
  <w:style w:type="character" w:customStyle="1" w:styleId="3309">
    <w:name w:val="表 Char1"/>
    <w:autoRedefine/>
    <w:qFormat/>
    <w:uiPriority w:val="0"/>
    <w:rPr>
      <w:rFonts w:ascii="宋体" w:hAnsi="宋体" w:eastAsia="宋体" w:cs="Times New Roman"/>
      <w:color w:val="FF0000"/>
      <w:sz w:val="18"/>
      <w:szCs w:val="18"/>
    </w:rPr>
  </w:style>
  <w:style w:type="paragraph" w:customStyle="1" w:styleId="3310">
    <w:name w:val="样式 正文文本 + 首行缩进:  2 字符4"/>
    <w:basedOn w:val="34"/>
    <w:autoRedefine/>
    <w:qFormat/>
    <w:uiPriority w:val="0"/>
    <w:pPr>
      <w:snapToGrid/>
      <w:spacing w:line="280" w:lineRule="exact"/>
      <w:ind w:right="-42" w:firstLine="0" w:firstLineChars="0"/>
      <w:textAlignment w:val="baseline"/>
    </w:pPr>
    <w:rPr>
      <w:rFonts w:hAnsi="宋体" w:cs="宋体"/>
      <w:kern w:val="2"/>
      <w:sz w:val="21"/>
      <w:szCs w:val="21"/>
      <w:lang w:val="en-US"/>
    </w:rPr>
  </w:style>
  <w:style w:type="paragraph" w:customStyle="1" w:styleId="3311">
    <w:name w:val="样式 标题 4 + 段前: 7.8 磅"/>
    <w:basedOn w:val="6"/>
    <w:autoRedefine/>
    <w:qFormat/>
    <w:uiPriority w:val="0"/>
    <w:pPr>
      <w:numPr>
        <w:numId w:val="0"/>
      </w:numPr>
      <w:tabs>
        <w:tab w:val="left" w:pos="1680"/>
      </w:tabs>
      <w:adjustRightInd/>
      <w:snapToGrid/>
      <w:spacing w:before="280" w:after="290" w:line="240" w:lineRule="exact"/>
      <w:ind w:firstLine="200" w:firstLineChars="200"/>
      <w:jc w:val="both"/>
    </w:pPr>
    <w:rPr>
      <w:rFonts w:ascii="Arial" w:hAnsi="Arial" w:eastAsia="仿宋_GB2312" w:cs="Arial"/>
      <w:bCs w:val="0"/>
      <w:szCs w:val="21"/>
      <w:lang w:val="en-US"/>
    </w:rPr>
  </w:style>
  <w:style w:type="paragraph" w:customStyle="1" w:styleId="3312">
    <w:name w:val="正文表格文字"/>
    <w:basedOn w:val="1"/>
    <w:autoRedefine/>
    <w:qFormat/>
    <w:uiPriority w:val="0"/>
    <w:pPr>
      <w:widowControl/>
      <w:adjustRightInd/>
      <w:snapToGrid/>
      <w:spacing w:line="400" w:lineRule="exact"/>
      <w:ind w:firstLine="0" w:firstLineChars="0"/>
      <w:jc w:val="left"/>
    </w:pPr>
    <w:rPr>
      <w:kern w:val="0"/>
      <w:sz w:val="21"/>
    </w:rPr>
  </w:style>
  <w:style w:type="character" w:customStyle="1" w:styleId="3313">
    <w:name w:val="z1"/>
    <w:autoRedefine/>
    <w:qFormat/>
    <w:uiPriority w:val="0"/>
    <w:rPr>
      <w:spacing w:val="400"/>
      <w:sz w:val="18"/>
      <w:szCs w:val="18"/>
    </w:rPr>
  </w:style>
  <w:style w:type="paragraph" w:customStyle="1" w:styleId="3314">
    <w:name w:val="正文条目a"/>
    <w:basedOn w:val="1"/>
    <w:autoRedefine/>
    <w:qFormat/>
    <w:uiPriority w:val="0"/>
    <w:pPr>
      <w:adjustRightInd/>
      <w:snapToGrid/>
      <w:spacing w:line="240" w:lineRule="auto"/>
      <w:ind w:left="400" w:leftChars="300" w:hanging="100" w:hangingChars="100"/>
    </w:pPr>
    <w:rPr>
      <w:rFonts w:ascii="宋体"/>
      <w:szCs w:val="24"/>
    </w:rPr>
  </w:style>
  <w:style w:type="table" w:customStyle="1" w:styleId="3315">
    <w:name w:val="专业网格2"/>
    <w:basedOn w:val="88"/>
    <w:autoRedefine/>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316">
    <w:name w:val="表格内容1"/>
    <w:basedOn w:val="1"/>
    <w:autoRedefine/>
    <w:qFormat/>
    <w:uiPriority w:val="0"/>
    <w:pPr>
      <w:spacing w:line="240" w:lineRule="atLeast"/>
      <w:ind w:firstLine="0" w:firstLineChars="0"/>
      <w:jc w:val="center"/>
    </w:pPr>
    <w:rPr>
      <w:snapToGrid w:val="0"/>
      <w:kern w:val="0"/>
      <w:sz w:val="21"/>
      <w:szCs w:val="24"/>
    </w:rPr>
  </w:style>
  <w:style w:type="paragraph" w:customStyle="1" w:styleId="3317">
    <w:name w:val="样式 标题 3 + (西文)粗体"/>
    <w:basedOn w:val="5"/>
    <w:autoRedefine/>
    <w:qFormat/>
    <w:uiPriority w:val="0"/>
    <w:pPr>
      <w:numPr>
        <w:numId w:val="0"/>
      </w:numPr>
      <w:tabs>
        <w:tab w:val="left" w:pos="1260"/>
      </w:tabs>
      <w:adjustRightInd/>
      <w:snapToGrid/>
      <w:spacing w:before="260" w:after="260" w:line="416" w:lineRule="auto"/>
      <w:ind w:firstLine="200" w:firstLineChars="200"/>
    </w:pPr>
    <w:rPr>
      <w:rFonts w:ascii="Arial" w:hAnsi="Arial" w:eastAsia="仿宋_GB2312" w:cs="Angsana New"/>
      <w:lang w:val="en-US" w:bidi="th-TH"/>
    </w:rPr>
  </w:style>
  <w:style w:type="paragraph" w:customStyle="1" w:styleId="3318">
    <w:name w:val="海港表格文字"/>
    <w:basedOn w:val="2168"/>
    <w:autoRedefine/>
    <w:qFormat/>
    <w:uiPriority w:val="0"/>
    <w:pPr>
      <w:snapToGrid w:val="0"/>
      <w:spacing w:line="300" w:lineRule="exact"/>
      <w:ind w:left="-56" w:leftChars="-30" w:right="-56" w:rightChars="-30" w:firstLine="19"/>
      <w:jc w:val="center"/>
    </w:pPr>
    <w:rPr>
      <w:rFonts w:ascii="宋体" w:hAnsi="宋体" w:eastAsia="宋体"/>
      <w:color w:val="FF0000"/>
      <w:spacing w:val="0"/>
      <w:sz w:val="18"/>
    </w:rPr>
  </w:style>
  <w:style w:type="character" w:customStyle="1" w:styleId="3319">
    <w:name w:val="cucd-0 Char"/>
    <w:link w:val="3320"/>
    <w:autoRedefine/>
    <w:qFormat/>
    <w:uiPriority w:val="0"/>
    <w:rPr>
      <w:sz w:val="24"/>
    </w:rPr>
  </w:style>
  <w:style w:type="paragraph" w:customStyle="1" w:styleId="3320">
    <w:name w:val="cucd-0"/>
    <w:link w:val="3319"/>
    <w:autoRedefine/>
    <w:qFormat/>
    <w:uiPriority w:val="0"/>
    <w:pPr>
      <w:spacing w:line="360" w:lineRule="auto"/>
      <w:ind w:firstLine="480" w:firstLineChars="200"/>
    </w:pPr>
    <w:rPr>
      <w:rFonts w:ascii="Times New Roman" w:hAnsi="Times New Roman" w:eastAsia="宋体" w:cs="Times New Roman"/>
      <w:sz w:val="24"/>
      <w:lang w:val="en-US" w:eastAsia="zh-CN" w:bidi="ar-SA"/>
    </w:rPr>
  </w:style>
  <w:style w:type="character" w:customStyle="1" w:styleId="3321">
    <w:name w:val="cucd-TB Char"/>
    <w:link w:val="2635"/>
    <w:autoRedefine/>
    <w:qFormat/>
    <w:uiPriority w:val="0"/>
    <w:rPr>
      <w:kern w:val="2"/>
      <w:sz w:val="21"/>
      <w:szCs w:val="24"/>
    </w:rPr>
  </w:style>
  <w:style w:type="paragraph" w:customStyle="1" w:styleId="3322">
    <w:name w:val="cucd-TB-Head"/>
    <w:basedOn w:val="1"/>
    <w:next w:val="3320"/>
    <w:link w:val="3323"/>
    <w:autoRedefine/>
    <w:qFormat/>
    <w:uiPriority w:val="0"/>
    <w:pPr>
      <w:adjustRightInd/>
      <w:snapToGrid/>
      <w:spacing w:beforeLines="50" w:line="360" w:lineRule="auto"/>
      <w:ind w:firstLine="0" w:firstLineChars="0"/>
      <w:jc w:val="center"/>
    </w:pPr>
    <w:rPr>
      <w:rFonts w:eastAsia="黑体"/>
      <w:color w:val="0000FF"/>
      <w:szCs w:val="24"/>
    </w:rPr>
  </w:style>
  <w:style w:type="character" w:customStyle="1" w:styleId="3323">
    <w:name w:val="cucd-TB-Head Char"/>
    <w:link w:val="3322"/>
    <w:autoRedefine/>
    <w:qFormat/>
    <w:uiPriority w:val="0"/>
    <w:rPr>
      <w:rFonts w:eastAsia="黑体"/>
      <w:color w:val="0000FF"/>
      <w:kern w:val="2"/>
      <w:sz w:val="24"/>
      <w:szCs w:val="24"/>
    </w:rPr>
  </w:style>
  <w:style w:type="table" w:customStyle="1" w:styleId="3324">
    <w:name w:val="cucd-table"/>
    <w:basedOn w:val="88"/>
    <w:autoRedefine/>
    <w:qFormat/>
    <w:uiPriority w:val="0"/>
    <w:pPr>
      <w:jc w:val="center"/>
    </w:pPr>
    <w:tblP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Pr>
    <w:tcPr>
      <w:vAlign w:val="center"/>
    </w:tcPr>
    <w:tblStylePr w:type="firstRow">
      <w:rPr>
        <w:b/>
        <w:i w:val="0"/>
      </w:rPr>
      <w:tcPr>
        <w:tcBorders>
          <w:top w:val="thinThickSmallGap" w:color="auto" w:sz="12" w:space="0"/>
          <w:left w:val="thinThickSmallGap" w:color="auto" w:sz="12" w:space="0"/>
          <w:bottom w:val="single" w:color="auto" w:sz="4" w:space="0"/>
          <w:right w:val="thickThinSmallGap" w:color="auto" w:sz="12" w:space="0"/>
          <w:insideH w:val="single" w:sz="6" w:space="0"/>
          <w:insideV w:val="single" w:sz="6" w:space="0"/>
          <w:tl2br w:val="nil"/>
          <w:tr2bl w:val="nil"/>
        </w:tcBorders>
        <w:shd w:val="clear" w:color="auto" w:fill="D9D9D9"/>
      </w:tcPr>
    </w:tblStylePr>
  </w:style>
  <w:style w:type="paragraph" w:customStyle="1" w:styleId="3325">
    <w:name w:val="cucd-2"/>
    <w:next w:val="3326"/>
    <w:autoRedefine/>
    <w:qFormat/>
    <w:uiPriority w:val="0"/>
    <w:pPr>
      <w:tabs>
        <w:tab w:val="left" w:pos="567"/>
      </w:tabs>
      <w:spacing w:line="360" w:lineRule="auto"/>
      <w:ind w:left="567" w:hanging="567"/>
      <w:outlineLvl w:val="1"/>
    </w:pPr>
    <w:rPr>
      <w:rFonts w:ascii="Times New Roman" w:hAnsi="Times New Roman" w:eastAsia="黑体" w:cs="Times New Roman"/>
      <w:b/>
      <w:kern w:val="2"/>
      <w:sz w:val="30"/>
      <w:szCs w:val="24"/>
      <w:lang w:val="en-US" w:eastAsia="zh-CN" w:bidi="ar-SA"/>
    </w:rPr>
  </w:style>
  <w:style w:type="paragraph" w:customStyle="1" w:styleId="3326">
    <w:name w:val="cucd-3"/>
    <w:next w:val="3327"/>
    <w:link w:val="3328"/>
    <w:autoRedefine/>
    <w:qFormat/>
    <w:uiPriority w:val="0"/>
    <w:pPr>
      <w:tabs>
        <w:tab w:val="left" w:pos="709"/>
      </w:tabs>
      <w:spacing w:line="360" w:lineRule="auto"/>
      <w:ind w:left="709" w:hanging="709"/>
      <w:outlineLvl w:val="2"/>
    </w:pPr>
    <w:rPr>
      <w:rFonts w:ascii="Times New Roman" w:hAnsi="Times New Roman" w:eastAsia="宋体" w:cs="Times New Roman"/>
      <w:b/>
      <w:kern w:val="2"/>
      <w:sz w:val="28"/>
      <w:szCs w:val="24"/>
      <w:lang w:val="en-US" w:eastAsia="zh-CN" w:bidi="ar-SA"/>
    </w:rPr>
  </w:style>
  <w:style w:type="paragraph" w:customStyle="1" w:styleId="3327">
    <w:name w:val="cucd-4"/>
    <w:next w:val="3320"/>
    <w:autoRedefine/>
    <w:qFormat/>
    <w:uiPriority w:val="0"/>
    <w:pPr>
      <w:tabs>
        <w:tab w:val="left" w:pos="851"/>
      </w:tabs>
      <w:spacing w:line="360" w:lineRule="auto"/>
      <w:ind w:left="851" w:hanging="851"/>
      <w:outlineLvl w:val="3"/>
    </w:pPr>
    <w:rPr>
      <w:rFonts w:ascii="Times New Roman" w:hAnsi="Times New Roman" w:eastAsia="宋体" w:cs="Times New Roman"/>
      <w:b/>
      <w:kern w:val="2"/>
      <w:sz w:val="24"/>
      <w:szCs w:val="24"/>
      <w:lang w:val="en-US" w:eastAsia="zh-CN" w:bidi="ar-SA"/>
    </w:rPr>
  </w:style>
  <w:style w:type="character" w:customStyle="1" w:styleId="3328">
    <w:name w:val="cucd-3 Char"/>
    <w:link w:val="3326"/>
    <w:autoRedefine/>
    <w:qFormat/>
    <w:uiPriority w:val="0"/>
    <w:rPr>
      <w:b/>
      <w:kern w:val="2"/>
      <w:sz w:val="28"/>
      <w:szCs w:val="24"/>
    </w:rPr>
  </w:style>
  <w:style w:type="paragraph" w:customStyle="1" w:styleId="3329">
    <w:name w:val="CM19"/>
    <w:basedOn w:val="151"/>
    <w:next w:val="151"/>
    <w:autoRedefine/>
    <w:qFormat/>
    <w:uiPriority w:val="0"/>
    <w:rPr>
      <w:rFonts w:ascii="宋体"/>
      <w:color w:val="auto"/>
    </w:rPr>
  </w:style>
  <w:style w:type="character" w:customStyle="1" w:styleId="3330">
    <w:name w:val="样式 样式1 + 首行缩进:  2 字符 Char"/>
    <w:autoRedefine/>
    <w:qFormat/>
    <w:uiPriority w:val="0"/>
    <w:rPr>
      <w:rFonts w:eastAsia="宋体" w:cs="宋体"/>
      <w:bCs/>
      <w:kern w:val="2"/>
      <w:sz w:val="24"/>
      <w:lang w:val="en-US" w:eastAsia="zh-CN" w:bidi="ar-SA"/>
    </w:rPr>
  </w:style>
  <w:style w:type="paragraph" w:customStyle="1" w:styleId="3331">
    <w:name w:val="3 Char Char Char Char Char Char Char Char Char1 Char Char Char Char"/>
    <w:basedOn w:val="1"/>
    <w:autoRedefine/>
    <w:qFormat/>
    <w:uiPriority w:val="0"/>
    <w:pPr>
      <w:adjustRightInd/>
      <w:spacing w:line="360" w:lineRule="auto"/>
    </w:pPr>
    <w:rPr>
      <w:rFonts w:eastAsia="仿宋_GB2312"/>
      <w:szCs w:val="24"/>
    </w:rPr>
  </w:style>
  <w:style w:type="paragraph" w:customStyle="1" w:styleId="3332">
    <w:name w:val="标题2编号"/>
    <w:basedOn w:val="4"/>
    <w:next w:val="1"/>
    <w:autoRedefine/>
    <w:qFormat/>
    <w:uiPriority w:val="0"/>
    <w:pPr>
      <w:keepNext w:val="0"/>
      <w:keepLines w:val="0"/>
      <w:numPr>
        <w:ilvl w:val="0"/>
        <w:numId w:val="0"/>
      </w:numPr>
      <w:spacing w:before="260" w:after="260" w:line="600" w:lineRule="exact"/>
    </w:pPr>
    <w:rPr>
      <w:rFonts w:ascii="仿宋_GB2312" w:hAnsi="Arial" w:eastAsia="方正楷体简体"/>
      <w:b w:val="0"/>
      <w:sz w:val="32"/>
      <w:lang w:val="en-US"/>
    </w:rPr>
  </w:style>
  <w:style w:type="paragraph" w:customStyle="1" w:styleId="3333">
    <w:name w:val="纯咖啡正文"/>
    <w:autoRedefine/>
    <w:qFormat/>
    <w:uiPriority w:val="0"/>
    <w:pPr>
      <w:spacing w:line="360" w:lineRule="auto"/>
      <w:ind w:firstLine="200" w:firstLineChars="200"/>
    </w:pPr>
    <w:rPr>
      <w:rFonts w:ascii="宋体" w:hAnsi="Times New Roman" w:eastAsia="宋体" w:cs="Times New Roman"/>
      <w:bCs/>
      <w:sz w:val="24"/>
      <w:szCs w:val="24"/>
      <w:lang w:val="en-US" w:eastAsia="zh-CN" w:bidi="ar-SA"/>
    </w:rPr>
  </w:style>
  <w:style w:type="paragraph" w:customStyle="1" w:styleId="3334">
    <w:name w:val="正式"/>
    <w:basedOn w:val="1"/>
    <w:autoRedefine/>
    <w:qFormat/>
    <w:uiPriority w:val="0"/>
    <w:pPr>
      <w:adjustRightInd/>
      <w:snapToGrid/>
      <w:spacing w:beforeLines="50" w:afterLines="50" w:line="360" w:lineRule="auto"/>
      <w:jc w:val="left"/>
    </w:pPr>
    <w:rPr>
      <w:rFonts w:hAnsi="宋体"/>
      <w:kern w:val="0"/>
      <w:szCs w:val="21"/>
    </w:rPr>
  </w:style>
  <w:style w:type="paragraph" w:customStyle="1" w:styleId="3335">
    <w:name w:val="BG"/>
    <w:basedOn w:val="1"/>
    <w:autoRedefine/>
    <w:qFormat/>
    <w:uiPriority w:val="0"/>
    <w:pPr>
      <w:adjustRightInd/>
      <w:snapToGrid/>
      <w:spacing w:line="240" w:lineRule="auto"/>
      <w:ind w:firstLine="0" w:firstLineChars="0"/>
      <w:jc w:val="center"/>
    </w:pPr>
    <w:rPr>
      <w:sz w:val="21"/>
      <w:szCs w:val="21"/>
    </w:rPr>
  </w:style>
  <w:style w:type="paragraph" w:customStyle="1" w:styleId="3336">
    <w:name w:val="标题51"/>
    <w:basedOn w:val="21"/>
    <w:autoRedefine/>
    <w:qFormat/>
    <w:uiPriority w:val="0"/>
    <w:pPr>
      <w:tabs>
        <w:tab w:val="left" w:pos="900"/>
      </w:tabs>
      <w:ind w:left="900" w:hanging="900" w:firstLineChars="0"/>
    </w:pPr>
    <w:rPr>
      <w:rFonts w:ascii="Times New Roman" w:hAnsi="Times New Roman"/>
      <w:b/>
      <w:spacing w:val="10"/>
      <w:sz w:val="28"/>
      <w:szCs w:val="20"/>
      <w:lang w:val="en-US"/>
    </w:rPr>
  </w:style>
  <w:style w:type="paragraph" w:customStyle="1" w:styleId="3337">
    <w:name w:val="a)"/>
    <w:basedOn w:val="1"/>
    <w:autoRedefine/>
    <w:qFormat/>
    <w:uiPriority w:val="0"/>
    <w:pPr>
      <w:snapToGrid/>
      <w:spacing w:line="360" w:lineRule="auto"/>
      <w:ind w:firstLine="567" w:firstLineChars="0"/>
      <w:textAlignment w:val="baseline"/>
    </w:pPr>
    <w:rPr>
      <w:kern w:val="0"/>
      <w:sz w:val="28"/>
    </w:rPr>
  </w:style>
  <w:style w:type="paragraph" w:customStyle="1" w:styleId="3338">
    <w:name w:val="表样式2"/>
    <w:basedOn w:val="1"/>
    <w:autoRedefine/>
    <w:qFormat/>
    <w:uiPriority w:val="0"/>
    <w:pPr>
      <w:adjustRightInd/>
      <w:snapToGrid/>
      <w:spacing w:line="240" w:lineRule="auto"/>
      <w:ind w:firstLine="0" w:firstLineChars="0"/>
      <w:jc w:val="center"/>
    </w:pPr>
    <w:rPr>
      <w:rFonts w:ascii="宋体" w:hAnsi="宋体"/>
      <w:bCs/>
      <w:sz w:val="21"/>
      <w:szCs w:val="24"/>
    </w:rPr>
  </w:style>
  <w:style w:type="character" w:customStyle="1" w:styleId="3339">
    <w:name w:val="样式 宋体 四号"/>
    <w:autoRedefine/>
    <w:qFormat/>
    <w:uiPriority w:val="0"/>
    <w:rPr>
      <w:rFonts w:ascii="宋体" w:hAnsi="宋体"/>
      <w:sz w:val="24"/>
    </w:rPr>
  </w:style>
  <w:style w:type="paragraph" w:customStyle="1" w:styleId="3340">
    <w:name w:val="表格内容格式"/>
    <w:basedOn w:val="1"/>
    <w:next w:val="34"/>
    <w:autoRedefine/>
    <w:qFormat/>
    <w:uiPriority w:val="0"/>
    <w:pPr>
      <w:snapToGrid/>
      <w:spacing w:line="360" w:lineRule="exact"/>
      <w:ind w:firstLine="0" w:firstLineChars="0"/>
      <w:textAlignment w:val="baseline"/>
    </w:pPr>
    <w:rPr>
      <w:rFonts w:hAnsi="宋体"/>
      <w:snapToGrid w:val="0"/>
      <w:color w:val="000000"/>
      <w:kern w:val="0"/>
      <w:sz w:val="21"/>
      <w:szCs w:val="21"/>
    </w:rPr>
  </w:style>
  <w:style w:type="character" w:customStyle="1" w:styleId="3341">
    <w:name w:val="正文样式 Char1"/>
    <w:link w:val="1351"/>
    <w:autoRedefine/>
    <w:qFormat/>
    <w:uiPriority w:val="0"/>
    <w:rPr>
      <w:rFonts w:ascii="宋体" w:hAnsi="Calibri"/>
      <w:sz w:val="24"/>
    </w:rPr>
  </w:style>
  <w:style w:type="paragraph" w:customStyle="1" w:styleId="3342">
    <w:name w:val="样式 样式 样式 样式1 + 首行缩进:  2 字符 + 首行缩进:  2 字符 + 四号 首行缩进:  2 字符"/>
    <w:basedOn w:val="1255"/>
    <w:autoRedefine/>
    <w:qFormat/>
    <w:uiPriority w:val="0"/>
    <w:pPr>
      <w:widowControl w:val="0"/>
      <w:tabs>
        <w:tab w:val="clear" w:pos="2265"/>
        <w:tab w:val="clear" w:pos="3075"/>
      </w:tabs>
      <w:spacing w:line="440" w:lineRule="exact"/>
      <w:ind w:firstLine="560"/>
      <w:jc w:val="both"/>
    </w:pPr>
    <w:rPr>
      <w:rFonts w:ascii="Times New Roman" w:hAnsi="Times New Roman"/>
      <w:kern w:val="2"/>
      <w:sz w:val="28"/>
    </w:rPr>
  </w:style>
  <w:style w:type="character" w:customStyle="1" w:styleId="3343">
    <w:name w:val="style6"/>
    <w:basedOn w:val="133"/>
    <w:autoRedefine/>
    <w:qFormat/>
    <w:uiPriority w:val="0"/>
  </w:style>
  <w:style w:type="character" w:customStyle="1" w:styleId="3344">
    <w:name w:val="样式 样式 样式1 + 首行缩进:  2 字符 + 首行缩进:  2 字符 Char"/>
    <w:autoRedefine/>
    <w:qFormat/>
    <w:uiPriority w:val="0"/>
    <w:rPr>
      <w:rFonts w:eastAsia="宋体" w:cs="宋体"/>
      <w:bCs/>
      <w:kern w:val="2"/>
      <w:sz w:val="24"/>
      <w:lang w:val="en-US" w:eastAsia="zh-CN" w:bidi="ar-SA"/>
    </w:rPr>
  </w:style>
  <w:style w:type="character" w:customStyle="1" w:styleId="3345">
    <w:name w:val="样式 样式1 + 首行缩进:  2 字符 Char2"/>
    <w:autoRedefine/>
    <w:qFormat/>
    <w:uiPriority w:val="0"/>
    <w:rPr>
      <w:rFonts w:eastAsia="宋体" w:cs="宋体"/>
      <w:bCs/>
      <w:kern w:val="2"/>
      <w:sz w:val="24"/>
      <w:lang w:val="en-US" w:eastAsia="zh-CN" w:bidi="ar-SA"/>
    </w:rPr>
  </w:style>
  <w:style w:type="paragraph" w:customStyle="1" w:styleId="3346">
    <w:name w:val="表图标题"/>
    <w:basedOn w:val="1"/>
    <w:autoRedefine/>
    <w:qFormat/>
    <w:uiPriority w:val="0"/>
    <w:pPr>
      <w:adjustRightInd/>
      <w:snapToGrid/>
      <w:spacing w:line="240" w:lineRule="exact"/>
      <w:ind w:firstLine="0" w:firstLineChars="0"/>
      <w:jc w:val="center"/>
    </w:pPr>
    <w:rPr>
      <w:sz w:val="18"/>
      <w:szCs w:val="18"/>
    </w:rPr>
  </w:style>
  <w:style w:type="paragraph" w:customStyle="1" w:styleId="3347">
    <w:name w:val="style0"/>
    <w:basedOn w:val="1"/>
    <w:autoRedefine/>
    <w:qFormat/>
    <w:uiPriority w:val="0"/>
    <w:pPr>
      <w:widowControl/>
      <w:adjustRightInd/>
      <w:snapToGrid/>
      <w:spacing w:beforeAutospacing="1" w:afterAutospacing="1" w:line="240" w:lineRule="auto"/>
      <w:ind w:firstLine="0" w:firstLineChars="0"/>
      <w:jc w:val="left"/>
      <w:textAlignment w:val="bottom"/>
    </w:pPr>
    <w:rPr>
      <w:kern w:val="0"/>
      <w:szCs w:val="24"/>
    </w:rPr>
  </w:style>
  <w:style w:type="character" w:customStyle="1" w:styleId="3348">
    <w:name w:val="hei1"/>
    <w:autoRedefine/>
    <w:qFormat/>
    <w:uiPriority w:val="0"/>
    <w:rPr>
      <w:spacing w:val="405"/>
      <w:sz w:val="20"/>
      <w:szCs w:val="20"/>
    </w:rPr>
  </w:style>
  <w:style w:type="paragraph" w:customStyle="1" w:styleId="3349">
    <w:name w:val="表号1"/>
    <w:basedOn w:val="1"/>
    <w:autoRedefine/>
    <w:qFormat/>
    <w:uiPriority w:val="0"/>
    <w:pPr>
      <w:adjustRightInd/>
      <w:snapToGrid/>
      <w:spacing w:line="240" w:lineRule="auto"/>
      <w:ind w:firstLine="0" w:firstLineChars="0"/>
      <w:jc w:val="left"/>
    </w:pPr>
    <w:rPr>
      <w:color w:val="000000"/>
      <w:sz w:val="21"/>
    </w:rPr>
  </w:style>
  <w:style w:type="paragraph" w:customStyle="1" w:styleId="3350">
    <w:name w:val="表格左对齐"/>
    <w:basedOn w:val="35"/>
    <w:autoRedefine/>
    <w:qFormat/>
    <w:uiPriority w:val="0"/>
    <w:pPr>
      <w:snapToGrid/>
      <w:spacing w:line="240" w:lineRule="auto"/>
      <w:ind w:left="0" w:leftChars="0" w:firstLine="0" w:firstLineChars="0"/>
      <w:jc w:val="left"/>
      <w:textAlignment w:val="baseline"/>
    </w:pPr>
    <w:rPr>
      <w:sz w:val="21"/>
      <w:lang w:val="en-US"/>
    </w:rPr>
  </w:style>
  <w:style w:type="paragraph" w:customStyle="1" w:styleId="3351">
    <w:name w:val="表头编号"/>
    <w:basedOn w:val="1"/>
    <w:autoRedefine/>
    <w:qFormat/>
    <w:uiPriority w:val="0"/>
    <w:pPr>
      <w:tabs>
        <w:tab w:val="left" w:pos="8610"/>
        <w:tab w:val="left" w:pos="8820"/>
      </w:tabs>
      <w:adjustRightInd/>
      <w:snapToGrid/>
      <w:spacing w:line="240" w:lineRule="atLeast"/>
      <w:ind w:right="3" w:firstLine="0" w:firstLineChars="0"/>
      <w:jc w:val="center"/>
    </w:pPr>
    <w:rPr>
      <w:b/>
    </w:rPr>
  </w:style>
  <w:style w:type="paragraph" w:customStyle="1" w:styleId="3352">
    <w:name w:val="多文字表"/>
    <w:basedOn w:val="405"/>
    <w:autoRedefine/>
    <w:qFormat/>
    <w:uiPriority w:val="0"/>
    <w:pPr>
      <w:spacing w:line="360" w:lineRule="auto"/>
      <w:ind w:firstLine="200"/>
      <w:jc w:val="both"/>
    </w:pPr>
    <w:rPr>
      <w:sz w:val="18"/>
      <w:szCs w:val="20"/>
    </w:rPr>
  </w:style>
  <w:style w:type="paragraph" w:customStyle="1" w:styleId="3353">
    <w:name w:val="黑宋体"/>
    <w:basedOn w:val="6"/>
    <w:autoRedefine/>
    <w:qFormat/>
    <w:uiPriority w:val="0"/>
    <w:pPr>
      <w:numPr>
        <w:numId w:val="0"/>
      </w:numPr>
      <w:tabs>
        <w:tab w:val="left" w:pos="1680"/>
      </w:tabs>
      <w:adjustRightInd/>
      <w:snapToGrid/>
      <w:spacing w:before="280" w:after="290" w:line="360" w:lineRule="auto"/>
      <w:ind w:left="864" w:firstLine="471" w:firstLineChars="200"/>
      <w:textAlignment w:val="baseline"/>
      <w:outlineLvl w:val="9"/>
    </w:pPr>
    <w:rPr>
      <w:rFonts w:eastAsia="黑体" w:cs="Arial"/>
      <w:bCs w:val="0"/>
      <w:color w:val="000000"/>
      <w:szCs w:val="32"/>
      <w:lang w:val="en-US"/>
    </w:rPr>
  </w:style>
  <w:style w:type="paragraph" w:customStyle="1" w:styleId="3354">
    <w:name w:val="数字表格"/>
    <w:basedOn w:val="276"/>
    <w:autoRedefine/>
    <w:qFormat/>
    <w:uiPriority w:val="0"/>
    <w:pPr>
      <w:adjustRightInd/>
      <w:snapToGrid/>
      <w:jc w:val="both"/>
    </w:pPr>
    <w:rPr>
      <w:bCs/>
      <w:sz w:val="15"/>
      <w:lang w:val="en-US"/>
    </w:rPr>
  </w:style>
  <w:style w:type="paragraph" w:customStyle="1" w:styleId="3355">
    <w:name w:val="图文1"/>
    <w:basedOn w:val="185"/>
    <w:autoRedefine/>
    <w:qFormat/>
    <w:uiPriority w:val="0"/>
    <w:pPr>
      <w:spacing w:line="440" w:lineRule="exact"/>
    </w:pPr>
    <w:rPr>
      <w:rFonts w:ascii="黑体" w:eastAsia="黑体"/>
      <w:b w:val="0"/>
      <w:bCs/>
      <w:spacing w:val="8"/>
      <w:sz w:val="28"/>
      <w:szCs w:val="21"/>
      <w:lang w:val="en-US"/>
    </w:rPr>
  </w:style>
  <w:style w:type="paragraph" w:customStyle="1" w:styleId="3356">
    <w:name w:val="正文2000"/>
    <w:basedOn w:val="1"/>
    <w:autoRedefine/>
    <w:qFormat/>
    <w:uiPriority w:val="0"/>
    <w:pPr>
      <w:adjustRightInd/>
      <w:snapToGrid/>
      <w:spacing w:line="360" w:lineRule="auto"/>
      <w:ind w:firstLine="0" w:firstLineChars="0"/>
    </w:pPr>
    <w:rPr>
      <w:rFonts w:ascii="宋体" w:hAnsi="宋体"/>
      <w:b/>
    </w:rPr>
  </w:style>
  <w:style w:type="paragraph" w:customStyle="1" w:styleId="3357">
    <w:name w:val="表框1"/>
    <w:basedOn w:val="1"/>
    <w:autoRedefine/>
    <w:qFormat/>
    <w:uiPriority w:val="0"/>
    <w:pPr>
      <w:pBdr>
        <w:top w:val="single" w:color="auto" w:sz="12" w:space="1"/>
        <w:left w:val="single" w:color="auto" w:sz="12" w:space="1"/>
        <w:bottom w:val="single" w:color="auto" w:sz="12" w:space="1"/>
        <w:right w:val="single" w:color="auto" w:sz="12" w:space="1"/>
      </w:pBdr>
      <w:adjustRightInd/>
      <w:snapToGrid/>
      <w:spacing w:line="360" w:lineRule="auto"/>
      <w:ind w:firstLine="0" w:firstLineChars="0"/>
      <w:jc w:val="left"/>
    </w:pPr>
  </w:style>
  <w:style w:type="paragraph" w:customStyle="1" w:styleId="3358">
    <w:name w:val="表框2"/>
    <w:basedOn w:val="1"/>
    <w:autoRedefine/>
    <w:qFormat/>
    <w:uiPriority w:val="0"/>
    <w:pPr>
      <w:framePr w:hSpace="181" w:vSpace="181" w:wrap="notBeside" w:vAnchor="text" w:hAnchor="text" w:y="1"/>
      <w:pBdr>
        <w:top w:val="single" w:color="auto" w:sz="4" w:space="1"/>
        <w:left w:val="single" w:color="auto" w:sz="4" w:space="4"/>
        <w:bottom w:val="single" w:color="auto" w:sz="4" w:space="1"/>
        <w:right w:val="single" w:color="auto" w:sz="4" w:space="4"/>
      </w:pBdr>
      <w:adjustRightInd/>
      <w:snapToGrid/>
      <w:spacing w:line="360" w:lineRule="auto"/>
      <w:ind w:firstLine="0" w:firstLineChars="0"/>
      <w:jc w:val="left"/>
    </w:pPr>
  </w:style>
  <w:style w:type="paragraph" w:customStyle="1" w:styleId="3359">
    <w:name w:val="PP 行"/>
    <w:basedOn w:val="58"/>
    <w:autoRedefine/>
    <w:qFormat/>
    <w:uiPriority w:val="0"/>
    <w:pPr>
      <w:adjustRightInd/>
      <w:snapToGrid/>
      <w:spacing w:beforeLines="0" w:line="360" w:lineRule="auto"/>
      <w:ind w:left="0" w:leftChars="0" w:firstLine="0" w:firstLineChars="0"/>
      <w:jc w:val="left"/>
    </w:pPr>
    <w:rPr>
      <w:snapToGrid/>
      <w:kern w:val="2"/>
      <w:szCs w:val="20"/>
      <w:lang w:val="en-US"/>
    </w:rPr>
  </w:style>
  <w:style w:type="paragraph" w:customStyle="1" w:styleId="3360">
    <w:name w:val="样式 标题 3 + 浅蓝1"/>
    <w:basedOn w:val="5"/>
    <w:autoRedefine/>
    <w:qFormat/>
    <w:uiPriority w:val="0"/>
    <w:pPr>
      <w:numPr>
        <w:numId w:val="0"/>
      </w:numPr>
      <w:tabs>
        <w:tab w:val="left" w:pos="1260"/>
      </w:tabs>
      <w:adjustRightInd/>
      <w:snapToGrid/>
      <w:spacing w:before="260" w:after="260" w:line="288" w:lineRule="auto"/>
      <w:ind w:left="720" w:firstLine="180" w:firstLineChars="200"/>
    </w:pPr>
    <w:rPr>
      <w:rFonts w:ascii="黑体" w:hAnsi="Arial" w:eastAsia="黑体" w:cs="Arial"/>
      <w:bCs w:val="0"/>
      <w:color w:val="000000"/>
      <w:sz w:val="28"/>
      <w:szCs w:val="36"/>
      <w:lang w:val="en-US"/>
    </w:rPr>
  </w:style>
  <w:style w:type="paragraph" w:customStyle="1" w:styleId="3361">
    <w:name w:val="!表格(alt+t)"/>
    <w:basedOn w:val="276"/>
    <w:next w:val="728"/>
    <w:autoRedefine/>
    <w:qFormat/>
    <w:uiPriority w:val="0"/>
  </w:style>
  <w:style w:type="paragraph" w:customStyle="1" w:styleId="3362">
    <w:name w:val="!章名(alt+m)"/>
    <w:next w:val="1"/>
    <w:autoRedefine/>
    <w:qFormat/>
    <w:uiPriority w:val="0"/>
    <w:pPr>
      <w:spacing w:line="500" w:lineRule="exact"/>
      <w:jc w:val="center"/>
      <w:outlineLvl w:val="0"/>
    </w:pPr>
    <w:rPr>
      <w:rFonts w:ascii="Arial" w:hAnsi="Arial" w:eastAsia="黑体" w:cs="Times New Roman"/>
      <w:spacing w:val="-5"/>
      <w:sz w:val="32"/>
      <w:szCs w:val="32"/>
      <w:lang w:val="en-US" w:eastAsia="zh-CN" w:bidi="ar-SA"/>
    </w:rPr>
  </w:style>
  <w:style w:type="paragraph" w:customStyle="1" w:styleId="3363">
    <w:name w:val="文章副标题"/>
    <w:basedOn w:val="1"/>
    <w:next w:val="3"/>
    <w:autoRedefine/>
    <w:qFormat/>
    <w:uiPriority w:val="0"/>
    <w:pPr>
      <w:widowControl/>
      <w:adjustRightInd/>
      <w:snapToGrid/>
      <w:spacing w:line="374" w:lineRule="atLeast"/>
      <w:ind w:firstLine="0" w:firstLineChars="0"/>
      <w:jc w:val="center"/>
      <w:textAlignment w:val="baseline"/>
    </w:pPr>
    <w:rPr>
      <w:color w:val="000000"/>
      <w:kern w:val="0"/>
      <w:sz w:val="36"/>
      <w:u w:color="000000"/>
    </w:rPr>
  </w:style>
  <w:style w:type="paragraph" w:customStyle="1" w:styleId="3364">
    <w:name w:val="标题 12"/>
    <w:basedOn w:val="1"/>
    <w:next w:val="3365"/>
    <w:autoRedefine/>
    <w:qFormat/>
    <w:uiPriority w:val="0"/>
    <w:pPr>
      <w:widowControl/>
      <w:adjustRightInd/>
      <w:snapToGrid/>
      <w:spacing w:line="788" w:lineRule="atLeast"/>
      <w:ind w:firstLine="0" w:firstLineChars="0"/>
      <w:jc w:val="center"/>
      <w:textAlignment w:val="baseline"/>
    </w:pPr>
    <w:rPr>
      <w:rFonts w:ascii="Arial" w:eastAsia="黑体"/>
      <w:color w:val="000000"/>
      <w:kern w:val="0"/>
      <w:sz w:val="31"/>
      <w:u w:color="000000"/>
    </w:rPr>
  </w:style>
  <w:style w:type="paragraph" w:customStyle="1" w:styleId="3365">
    <w:name w:val="标题 22"/>
    <w:basedOn w:val="1"/>
    <w:next w:val="1"/>
    <w:autoRedefine/>
    <w:qFormat/>
    <w:uiPriority w:val="0"/>
    <w:pPr>
      <w:widowControl/>
      <w:adjustRightInd/>
      <w:snapToGrid/>
      <w:spacing w:line="1054" w:lineRule="atLeast"/>
      <w:ind w:firstLine="419" w:firstLineChars="0"/>
      <w:textAlignment w:val="baseline"/>
    </w:pPr>
    <w:rPr>
      <w:rFonts w:ascii="Arial" w:eastAsia="黑体"/>
      <w:color w:val="000000"/>
      <w:kern w:val="0"/>
      <w:sz w:val="30"/>
      <w:u w:color="000000"/>
    </w:rPr>
  </w:style>
  <w:style w:type="paragraph" w:customStyle="1" w:styleId="3366">
    <w:name w:val="标题 32"/>
    <w:basedOn w:val="1"/>
    <w:autoRedefine/>
    <w:qFormat/>
    <w:uiPriority w:val="0"/>
    <w:pPr>
      <w:widowControl/>
      <w:adjustRightInd/>
      <w:snapToGrid/>
      <w:spacing w:line="640" w:lineRule="atLeast"/>
      <w:ind w:firstLine="419" w:firstLineChars="0"/>
      <w:textAlignment w:val="baseline"/>
    </w:pPr>
    <w:rPr>
      <w:color w:val="000000"/>
      <w:kern w:val="0"/>
      <w:sz w:val="28"/>
      <w:u w:color="000000"/>
    </w:rPr>
  </w:style>
  <w:style w:type="paragraph" w:customStyle="1" w:styleId="3367">
    <w:name w:val="标题 61"/>
    <w:basedOn w:val="1"/>
    <w:next w:val="1"/>
    <w:autoRedefine/>
    <w:qFormat/>
    <w:uiPriority w:val="0"/>
    <w:pPr>
      <w:widowControl/>
      <w:adjustRightInd/>
      <w:snapToGrid/>
      <w:spacing w:line="606" w:lineRule="atLeast"/>
      <w:ind w:firstLine="419" w:firstLineChars="0"/>
      <w:textAlignment w:val="baseline"/>
    </w:pPr>
    <w:rPr>
      <w:color w:val="000000"/>
      <w:kern w:val="0"/>
      <w:u w:color="000000"/>
    </w:rPr>
  </w:style>
  <w:style w:type="paragraph" w:customStyle="1" w:styleId="3368">
    <w:name w:val="标题 71"/>
    <w:basedOn w:val="1"/>
    <w:next w:val="1"/>
    <w:autoRedefine/>
    <w:qFormat/>
    <w:uiPriority w:val="0"/>
    <w:pPr>
      <w:widowControl/>
      <w:adjustRightInd/>
      <w:snapToGrid/>
      <w:spacing w:line="606" w:lineRule="atLeast"/>
      <w:ind w:firstLine="419" w:firstLineChars="0"/>
      <w:textAlignment w:val="baseline"/>
    </w:pPr>
    <w:rPr>
      <w:color w:val="000000"/>
      <w:kern w:val="0"/>
      <w:u w:color="000000"/>
    </w:rPr>
  </w:style>
  <w:style w:type="paragraph" w:customStyle="1" w:styleId="3369">
    <w:name w:val="标题 81"/>
    <w:basedOn w:val="1"/>
    <w:next w:val="1"/>
    <w:autoRedefine/>
    <w:qFormat/>
    <w:uiPriority w:val="0"/>
    <w:pPr>
      <w:widowControl/>
      <w:adjustRightInd/>
      <w:snapToGrid/>
      <w:spacing w:line="606" w:lineRule="atLeast"/>
      <w:ind w:firstLine="419" w:firstLineChars="0"/>
      <w:textAlignment w:val="baseline"/>
    </w:pPr>
    <w:rPr>
      <w:color w:val="000000"/>
      <w:kern w:val="0"/>
      <w:u w:color="000000"/>
    </w:rPr>
  </w:style>
  <w:style w:type="paragraph" w:customStyle="1" w:styleId="3370">
    <w:name w:val="标题 91"/>
    <w:basedOn w:val="1"/>
    <w:next w:val="1"/>
    <w:autoRedefine/>
    <w:qFormat/>
    <w:uiPriority w:val="0"/>
    <w:pPr>
      <w:widowControl/>
      <w:adjustRightInd/>
      <w:snapToGrid/>
      <w:spacing w:line="606" w:lineRule="atLeast"/>
      <w:ind w:firstLine="419" w:firstLineChars="0"/>
      <w:textAlignment w:val="baseline"/>
    </w:pPr>
    <w:rPr>
      <w:color w:val="000000"/>
      <w:kern w:val="0"/>
      <w:u w:color="000000"/>
    </w:rPr>
  </w:style>
  <w:style w:type="character" w:customStyle="1" w:styleId="3371">
    <w:name w:val="默认段落字体1"/>
    <w:autoRedefine/>
    <w:semiHidden/>
    <w:qFormat/>
    <w:uiPriority w:val="0"/>
    <w:rPr>
      <w:rFonts w:ascii="Times New Roman" w:eastAsia="宋体"/>
      <w:color w:val="000000"/>
      <w:spacing w:val="0"/>
      <w:w w:val="100"/>
      <w:sz w:val="21"/>
      <w:u w:val="none" w:color="000000"/>
      <w:vertAlign w:val="baseline"/>
      <w:lang w:val="en-US" w:eastAsia="zh-CN"/>
    </w:rPr>
  </w:style>
  <w:style w:type="paragraph" w:customStyle="1" w:styleId="3372">
    <w:name w:val="图表头"/>
    <w:basedOn w:val="1"/>
    <w:next w:val="1"/>
    <w:autoRedefine/>
    <w:qFormat/>
    <w:uiPriority w:val="0"/>
    <w:pPr>
      <w:widowControl/>
      <w:adjustRightInd/>
      <w:snapToGrid/>
      <w:spacing w:line="708" w:lineRule="atLeast"/>
      <w:ind w:firstLine="419" w:firstLineChars="0"/>
      <w:jc w:val="center"/>
      <w:textAlignment w:val="baseline"/>
    </w:pPr>
    <w:rPr>
      <w:rFonts w:ascii="宋体"/>
      <w:b/>
      <w:color w:val="000000"/>
      <w:kern w:val="0"/>
      <w:u w:color="000000"/>
    </w:rPr>
  </w:style>
  <w:style w:type="paragraph" w:customStyle="1" w:styleId="3373">
    <w:name w:val="表格_dg"/>
    <w:basedOn w:val="1"/>
    <w:autoRedefine/>
    <w:qFormat/>
    <w:uiPriority w:val="0"/>
    <w:pPr>
      <w:widowControl/>
      <w:adjustRightInd/>
      <w:snapToGrid/>
      <w:spacing w:line="572" w:lineRule="atLeast"/>
      <w:ind w:firstLine="419" w:firstLineChars="0"/>
      <w:jc w:val="center"/>
      <w:textAlignment w:val="center"/>
    </w:pPr>
    <w:rPr>
      <w:rFonts w:ascii="宋体"/>
      <w:color w:val="000000"/>
      <w:kern w:val="0"/>
      <w:sz w:val="21"/>
      <w:u w:color="000000"/>
    </w:rPr>
  </w:style>
  <w:style w:type="paragraph" w:customStyle="1" w:styleId="3374">
    <w:name w:val="!标题1(alt+1)"/>
    <w:basedOn w:val="3362"/>
    <w:next w:val="1"/>
    <w:autoRedefine/>
    <w:qFormat/>
    <w:uiPriority w:val="0"/>
    <w:pPr>
      <w:spacing w:line="440" w:lineRule="exact"/>
      <w:jc w:val="both"/>
      <w:outlineLvl w:val="9"/>
    </w:pPr>
    <w:rPr>
      <w:rFonts w:ascii="Times New Roman" w:hAnsi="Times New Roman" w:eastAsia="宋体"/>
      <w:b/>
      <w:sz w:val="24"/>
    </w:rPr>
  </w:style>
  <w:style w:type="paragraph" w:customStyle="1" w:styleId="3375">
    <w:name w:val="!标题2(alt+2)"/>
    <w:next w:val="1"/>
    <w:autoRedefine/>
    <w:qFormat/>
    <w:uiPriority w:val="0"/>
    <w:pPr>
      <w:jc w:val="both"/>
    </w:pPr>
    <w:rPr>
      <w:rFonts w:ascii="Times New Roman" w:hAnsi="Times New Roman" w:eastAsia="宋体" w:cs="Times New Roman"/>
      <w:b/>
      <w:bCs/>
      <w:color w:val="000000"/>
      <w:sz w:val="24"/>
      <w:szCs w:val="24"/>
      <w:lang w:val="en-US" w:eastAsia="zh-CN" w:bidi="ar-SA"/>
    </w:rPr>
  </w:style>
  <w:style w:type="character" w:customStyle="1" w:styleId="3376">
    <w:name w:val="!标题2(alt+2) Char Char"/>
    <w:autoRedefine/>
    <w:qFormat/>
    <w:uiPriority w:val="0"/>
    <w:rPr>
      <w:rFonts w:eastAsia="宋体"/>
      <w:kern w:val="2"/>
      <w:sz w:val="30"/>
      <w:szCs w:val="30"/>
      <w:lang w:val="en-US" w:eastAsia="zh-CN" w:bidi="ar-SA"/>
    </w:rPr>
  </w:style>
  <w:style w:type="paragraph" w:customStyle="1" w:styleId="3377">
    <w:name w:val="!标题3(alt+3)"/>
    <w:next w:val="1"/>
    <w:autoRedefine/>
    <w:qFormat/>
    <w:uiPriority w:val="0"/>
    <w:pPr>
      <w:spacing w:before="120" w:after="80" w:line="500" w:lineRule="exact"/>
      <w:outlineLvl w:val="2"/>
    </w:pPr>
    <w:rPr>
      <w:rFonts w:ascii="Times New Roman" w:hAnsi="Times New Roman" w:eastAsia="黑体" w:cs="Times New Roman"/>
      <w:kern w:val="2"/>
      <w:sz w:val="24"/>
      <w:szCs w:val="24"/>
      <w:lang w:val="en-US" w:eastAsia="zh-CN" w:bidi="ar-SA"/>
    </w:rPr>
  </w:style>
  <w:style w:type="character" w:customStyle="1" w:styleId="3378">
    <w:name w:val="!标题3(alt+3) Char Char"/>
    <w:autoRedefine/>
    <w:qFormat/>
    <w:uiPriority w:val="0"/>
    <w:rPr>
      <w:rFonts w:eastAsia="黑体"/>
      <w:kern w:val="2"/>
      <w:sz w:val="24"/>
      <w:szCs w:val="24"/>
      <w:lang w:val="en-US" w:eastAsia="zh-CN" w:bidi="ar-SA"/>
    </w:rPr>
  </w:style>
  <w:style w:type="paragraph" w:customStyle="1" w:styleId="3379">
    <w:name w:val="!标题4(alt+4)"/>
    <w:basedOn w:val="1"/>
    <w:autoRedefine/>
    <w:qFormat/>
    <w:uiPriority w:val="0"/>
    <w:pPr>
      <w:tabs>
        <w:tab w:val="left" w:pos="1825"/>
      </w:tabs>
      <w:adjustRightInd/>
      <w:snapToGrid/>
      <w:spacing w:line="420" w:lineRule="exact"/>
      <w:ind w:left="1825" w:hanging="420" w:firstLineChars="0"/>
      <w:outlineLvl w:val="3"/>
    </w:pPr>
    <w:rPr>
      <w:szCs w:val="24"/>
    </w:rPr>
  </w:style>
  <w:style w:type="character" w:customStyle="1" w:styleId="3380">
    <w:name w:val="!表格(alt+t) Char"/>
    <w:autoRedefine/>
    <w:qFormat/>
    <w:uiPriority w:val="0"/>
    <w:rPr>
      <w:rFonts w:eastAsia="宋体"/>
      <w:sz w:val="21"/>
      <w:szCs w:val="21"/>
      <w:lang w:val="en-US" w:eastAsia="zh-CN" w:bidi="ar-SA"/>
    </w:rPr>
  </w:style>
  <w:style w:type="character" w:customStyle="1" w:styleId="3381">
    <w:name w:val="!注_字符(alt+p)"/>
    <w:autoRedefine/>
    <w:qFormat/>
    <w:uiPriority w:val="0"/>
    <w:rPr>
      <w:rFonts w:eastAsia="宋体"/>
      <w:sz w:val="21"/>
    </w:rPr>
  </w:style>
  <w:style w:type="paragraph" w:customStyle="1" w:styleId="3382">
    <w:name w:val="gg_body"/>
    <w:basedOn w:val="1"/>
    <w:autoRedefine/>
    <w:qFormat/>
    <w:uiPriority w:val="0"/>
    <w:pPr>
      <w:adjustRightInd/>
      <w:snapToGrid/>
      <w:spacing w:line="460" w:lineRule="exact"/>
    </w:pPr>
    <w:rPr>
      <w:rFonts w:ascii="宋体" w:hAnsi="宋体"/>
      <w:szCs w:val="24"/>
    </w:rPr>
  </w:style>
  <w:style w:type="character" w:customStyle="1" w:styleId="3383">
    <w:name w:val="!正文(alt+c) Char1"/>
    <w:autoRedefine/>
    <w:qFormat/>
    <w:uiPriority w:val="0"/>
    <w:rPr>
      <w:rFonts w:eastAsia="宋体"/>
      <w:sz w:val="24"/>
      <w:szCs w:val="24"/>
      <w:lang w:val="en-US" w:eastAsia="zh-CN" w:bidi="ar-SA"/>
    </w:rPr>
  </w:style>
  <w:style w:type="character" w:customStyle="1" w:styleId="3384">
    <w:name w:val="!表标题(alt+h) Char2"/>
    <w:autoRedefine/>
    <w:qFormat/>
    <w:uiPriority w:val="0"/>
  </w:style>
  <w:style w:type="character" w:customStyle="1" w:styleId="3385">
    <w:name w:val="!表标题(alt+h) Char1"/>
    <w:autoRedefine/>
    <w:qFormat/>
    <w:uiPriority w:val="0"/>
    <w:rPr>
      <w:rFonts w:eastAsia="黑体"/>
      <w:sz w:val="24"/>
      <w:szCs w:val="24"/>
      <w:lang w:val="en-US" w:eastAsia="zh-CN" w:bidi="ar-SA"/>
    </w:rPr>
  </w:style>
  <w:style w:type="paragraph" w:customStyle="1" w:styleId="3386">
    <w:name w:val="表5号字"/>
    <w:autoRedefine/>
    <w:qFormat/>
    <w:uiPriority w:val="0"/>
    <w:pPr>
      <w:keepNext/>
      <w:widowControl w:val="0"/>
      <w:adjustRightInd w:val="0"/>
      <w:spacing w:before="120" w:line="60" w:lineRule="atLeast"/>
      <w:jc w:val="center"/>
      <w:textAlignment w:val="baseline"/>
    </w:pPr>
    <w:rPr>
      <w:rFonts w:ascii="Times New Roman" w:hAnsi="Times New Roman" w:eastAsia="宋体" w:cs="Times New Roman"/>
      <w:sz w:val="21"/>
      <w:lang w:val="en-US" w:eastAsia="zh-CN" w:bidi="ar-SA"/>
    </w:rPr>
  </w:style>
  <w:style w:type="character" w:customStyle="1" w:styleId="3387">
    <w:name w:val="正文4号 Char Char"/>
    <w:autoRedefine/>
    <w:qFormat/>
    <w:uiPriority w:val="0"/>
    <w:rPr>
      <w:rFonts w:eastAsia="宋体"/>
      <w:kern w:val="2"/>
      <w:sz w:val="24"/>
      <w:lang w:val="en-US" w:eastAsia="zh-CN" w:bidi="ar-SA"/>
    </w:rPr>
  </w:style>
  <w:style w:type="paragraph" w:customStyle="1" w:styleId="3388">
    <w:name w:val="pa-4"/>
    <w:basedOn w:val="1"/>
    <w:autoRedefine/>
    <w:qFormat/>
    <w:uiPriority w:val="0"/>
    <w:pPr>
      <w:widowControl/>
      <w:adjustRightInd/>
      <w:snapToGrid/>
      <w:spacing w:beforeAutospacing="1" w:afterAutospacing="1" w:line="240" w:lineRule="auto"/>
      <w:ind w:firstLine="0" w:firstLineChars="0"/>
      <w:jc w:val="left"/>
    </w:pPr>
    <w:rPr>
      <w:rFonts w:ascii="宋体" w:hAnsi="宋体" w:cs="宋体"/>
      <w:kern w:val="0"/>
      <w:szCs w:val="24"/>
    </w:rPr>
  </w:style>
  <w:style w:type="paragraph" w:customStyle="1" w:styleId="3389">
    <w:name w:val="样式 行距: 固定值 18 磅 首行缩进:  2 字符"/>
    <w:basedOn w:val="1"/>
    <w:autoRedefine/>
    <w:qFormat/>
    <w:uiPriority w:val="0"/>
    <w:pPr>
      <w:adjustRightInd/>
      <w:snapToGrid/>
      <w:spacing w:line="360" w:lineRule="auto"/>
      <w:ind w:firstLine="420"/>
    </w:pPr>
    <w:rPr>
      <w:rFonts w:cs="宋体"/>
    </w:rPr>
  </w:style>
  <w:style w:type="character" w:customStyle="1" w:styleId="3390">
    <w:name w:val="question-title2"/>
    <w:basedOn w:val="133"/>
    <w:autoRedefine/>
    <w:qFormat/>
    <w:uiPriority w:val="0"/>
  </w:style>
  <w:style w:type="paragraph" w:customStyle="1" w:styleId="3391">
    <w:name w:val="cucd-1"/>
    <w:next w:val="3325"/>
    <w:autoRedefine/>
    <w:qFormat/>
    <w:uiPriority w:val="0"/>
    <w:pPr>
      <w:pageBreakBefore/>
      <w:tabs>
        <w:tab w:val="left" w:pos="425"/>
      </w:tabs>
      <w:spacing w:beforeLines="100"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character" w:customStyle="1" w:styleId="3392">
    <w:name w:val="cucd-3 Char1"/>
    <w:autoRedefine/>
    <w:qFormat/>
    <w:uiPriority w:val="0"/>
    <w:rPr>
      <w:rFonts w:eastAsia="宋体"/>
      <w:b/>
      <w:kern w:val="2"/>
      <w:sz w:val="28"/>
      <w:szCs w:val="24"/>
      <w:lang w:val="en-US" w:eastAsia="zh-CN" w:bidi="ar-SA"/>
    </w:rPr>
  </w:style>
  <w:style w:type="paragraph" w:customStyle="1" w:styleId="3393">
    <w:name w:val="样式 cucd-0 + 宋体"/>
    <w:basedOn w:val="1"/>
    <w:autoRedefine/>
    <w:qFormat/>
    <w:uiPriority w:val="0"/>
    <w:pPr>
      <w:widowControl/>
      <w:adjustRightInd/>
      <w:snapToGrid/>
      <w:spacing w:line="360" w:lineRule="auto"/>
      <w:ind w:firstLine="480"/>
      <w:jc w:val="left"/>
    </w:pPr>
    <w:rPr>
      <w:rFonts w:ascii="宋体" w:hAnsi="宋体"/>
      <w:szCs w:val="24"/>
    </w:rPr>
  </w:style>
  <w:style w:type="paragraph" w:customStyle="1" w:styleId="3394">
    <w:name w:val="CM23"/>
    <w:basedOn w:val="151"/>
    <w:next w:val="151"/>
    <w:autoRedefine/>
    <w:qFormat/>
    <w:uiPriority w:val="0"/>
    <w:pPr>
      <w:spacing w:line="573" w:lineRule="atLeast"/>
    </w:pPr>
    <w:rPr>
      <w:rFonts w:ascii="黑体" w:eastAsia="黑体"/>
      <w:color w:val="auto"/>
      <w:sz w:val="20"/>
    </w:rPr>
  </w:style>
  <w:style w:type="character" w:customStyle="1" w:styleId="3395">
    <w:name w:val="Body Text Indent Char"/>
    <w:autoRedefine/>
    <w:semiHidden/>
    <w:qFormat/>
    <w:locked/>
    <w:uiPriority w:val="0"/>
    <w:rPr>
      <w:rFonts w:ascii="Times New Roman" w:hAnsi="Times New Roman" w:eastAsia="宋体" w:cs="Times New Roman"/>
      <w:color w:val="FF0000"/>
      <w:sz w:val="20"/>
      <w:szCs w:val="20"/>
    </w:rPr>
  </w:style>
  <w:style w:type="paragraph" w:customStyle="1" w:styleId="3396">
    <w:name w:val="三亚标3"/>
    <w:basedOn w:val="1"/>
    <w:autoRedefine/>
    <w:qFormat/>
    <w:uiPriority w:val="0"/>
    <w:pPr>
      <w:keepNext/>
      <w:keepLines/>
      <w:adjustRightInd/>
      <w:snapToGrid/>
      <w:spacing w:line="413" w:lineRule="auto"/>
      <w:ind w:firstLine="0" w:firstLineChars="0"/>
      <w:jc w:val="left"/>
      <w:outlineLvl w:val="1"/>
    </w:pPr>
    <w:rPr>
      <w:b/>
      <w:bCs/>
      <w:kern w:val="0"/>
      <w:szCs w:val="32"/>
    </w:rPr>
  </w:style>
  <w:style w:type="paragraph" w:customStyle="1" w:styleId="3397">
    <w:name w:val="CM80"/>
    <w:basedOn w:val="151"/>
    <w:next w:val="151"/>
    <w:autoRedefine/>
    <w:qFormat/>
    <w:uiPriority w:val="0"/>
    <w:pPr>
      <w:spacing w:after="68"/>
    </w:pPr>
    <w:rPr>
      <w:rFonts w:ascii="宋体"/>
      <w:color w:val="auto"/>
    </w:rPr>
  </w:style>
  <w:style w:type="character" w:customStyle="1" w:styleId="3398">
    <w:name w:val="cucd-0 Char Char"/>
    <w:autoRedefine/>
    <w:qFormat/>
    <w:locked/>
    <w:uiPriority w:val="0"/>
    <w:rPr>
      <w:kern w:val="2"/>
      <w:sz w:val="24"/>
      <w:szCs w:val="24"/>
    </w:rPr>
  </w:style>
  <w:style w:type="character" w:customStyle="1" w:styleId="3399">
    <w:name w:val="公正文 Char"/>
    <w:link w:val="3400"/>
    <w:autoRedefine/>
    <w:qFormat/>
    <w:locked/>
    <w:uiPriority w:val="0"/>
    <w:rPr>
      <w:rFonts w:ascii="宋体" w:hAnsi="宋体" w:eastAsia="仿宋_GB2312"/>
      <w:sz w:val="28"/>
      <w:szCs w:val="24"/>
    </w:rPr>
  </w:style>
  <w:style w:type="paragraph" w:customStyle="1" w:styleId="3400">
    <w:name w:val="公正文"/>
    <w:basedOn w:val="21"/>
    <w:link w:val="3399"/>
    <w:autoRedefine/>
    <w:qFormat/>
    <w:uiPriority w:val="0"/>
    <w:pPr>
      <w:adjustRightInd w:val="0"/>
      <w:snapToGrid w:val="0"/>
      <w:spacing w:line="355" w:lineRule="auto"/>
      <w:ind w:firstLine="200"/>
    </w:pPr>
    <w:rPr>
      <w:rFonts w:ascii="宋体" w:hAnsi="宋体" w:eastAsia="仿宋_GB2312"/>
      <w:kern w:val="0"/>
      <w:sz w:val="28"/>
      <w:lang w:val="en-US"/>
    </w:rPr>
  </w:style>
  <w:style w:type="character" w:customStyle="1" w:styleId="3401">
    <w:name w:val="description6"/>
    <w:basedOn w:val="133"/>
    <w:autoRedefine/>
    <w:qFormat/>
    <w:uiPriority w:val="0"/>
  </w:style>
  <w:style w:type="character" w:customStyle="1" w:styleId="3402">
    <w:name w:val="环评正文2 Char Char"/>
    <w:link w:val="3403"/>
    <w:autoRedefine/>
    <w:qFormat/>
    <w:uiPriority w:val="0"/>
    <w:rPr>
      <w:rFonts w:ascii="宋体" w:hAnsi="宋体" w:eastAsia="仿宋_GB2312"/>
      <w:color w:val="000000"/>
      <w:kern w:val="16"/>
      <w:sz w:val="24"/>
      <w:szCs w:val="24"/>
    </w:rPr>
  </w:style>
  <w:style w:type="paragraph" w:customStyle="1" w:styleId="3403">
    <w:name w:val="环评正文2"/>
    <w:basedOn w:val="1"/>
    <w:link w:val="3402"/>
    <w:autoRedefine/>
    <w:qFormat/>
    <w:uiPriority w:val="0"/>
    <w:pPr>
      <w:adjustRightInd/>
      <w:snapToGrid/>
      <w:spacing w:line="360" w:lineRule="auto"/>
    </w:pPr>
    <w:rPr>
      <w:rFonts w:ascii="宋体" w:hAnsi="宋体" w:eastAsia="仿宋_GB2312"/>
      <w:color w:val="000000"/>
      <w:kern w:val="16"/>
      <w:szCs w:val="24"/>
    </w:rPr>
  </w:style>
  <w:style w:type="paragraph" w:customStyle="1" w:styleId="3404">
    <w:name w:val="表格字2"/>
    <w:basedOn w:val="1"/>
    <w:autoRedefine/>
    <w:qFormat/>
    <w:uiPriority w:val="0"/>
    <w:pPr>
      <w:adjustRightInd/>
      <w:snapToGrid/>
      <w:spacing w:line="240" w:lineRule="auto"/>
      <w:ind w:firstLine="0" w:firstLineChars="0"/>
    </w:pPr>
    <w:rPr>
      <w:rFonts w:ascii="宋体" w:hAnsi="宋体"/>
      <w:color w:val="000000"/>
      <w:kern w:val="16"/>
      <w:sz w:val="21"/>
      <w:szCs w:val="21"/>
    </w:rPr>
  </w:style>
  <w:style w:type="character" w:customStyle="1" w:styleId="3405">
    <w:name w:val="fontstyle21"/>
    <w:autoRedefine/>
    <w:qFormat/>
    <w:uiPriority w:val="0"/>
    <w:rPr>
      <w:rFonts w:hint="default" w:ascii="TimesNewRoman" w:hAnsi="TimesNewRoman"/>
      <w:color w:val="000000"/>
      <w:sz w:val="24"/>
      <w:szCs w:val="24"/>
    </w:rPr>
  </w:style>
  <w:style w:type="character" w:customStyle="1" w:styleId="3406">
    <w:name w:val="fontstyle31"/>
    <w:autoRedefine/>
    <w:qFormat/>
    <w:uiPriority w:val="0"/>
    <w:rPr>
      <w:rFonts w:hint="default" w:ascii="TimesNewRoman" w:hAnsi="TimesNewRoman"/>
      <w:b/>
      <w:bCs/>
      <w:color w:val="000000"/>
      <w:sz w:val="24"/>
      <w:szCs w:val="24"/>
    </w:rPr>
  </w:style>
  <w:style w:type="paragraph" w:customStyle="1" w:styleId="3407">
    <w:name w:val="Char Char Char Char Char Char Char Char Char Char Char Char4"/>
    <w:basedOn w:val="1"/>
    <w:autoRedefine/>
    <w:qFormat/>
    <w:uiPriority w:val="0"/>
    <w:pPr>
      <w:widowControl/>
      <w:tabs>
        <w:tab w:val="left" w:pos="540"/>
        <w:tab w:val="left" w:pos="1800"/>
      </w:tabs>
      <w:spacing w:line="240" w:lineRule="exact"/>
      <w:ind w:firstLine="480"/>
      <w:jc w:val="left"/>
    </w:pPr>
    <w:rPr>
      <w:szCs w:val="22"/>
    </w:rPr>
  </w:style>
  <w:style w:type="paragraph" w:customStyle="1" w:styleId="3408">
    <w:name w:val="正文14"/>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3409">
    <w:name w:val="Char Char Char Char Char Char Char Char Char Char Char Char7"/>
    <w:basedOn w:val="1"/>
    <w:autoRedefine/>
    <w:semiHidden/>
    <w:qFormat/>
    <w:uiPriority w:val="0"/>
    <w:pPr>
      <w:widowControl/>
      <w:tabs>
        <w:tab w:val="left" w:pos="540"/>
        <w:tab w:val="left" w:pos="1800"/>
      </w:tabs>
      <w:spacing w:line="240" w:lineRule="exact"/>
      <w:ind w:firstLine="480"/>
      <w:jc w:val="left"/>
    </w:pPr>
    <w:rPr>
      <w:szCs w:val="22"/>
    </w:rPr>
  </w:style>
  <w:style w:type="paragraph" w:customStyle="1" w:styleId="3410">
    <w:name w:val="表格内字体"/>
    <w:basedOn w:val="1"/>
    <w:link w:val="3411"/>
    <w:autoRedefine/>
    <w:qFormat/>
    <w:uiPriority w:val="0"/>
    <w:pPr>
      <w:adjustRightInd/>
      <w:snapToGrid/>
      <w:spacing w:line="240" w:lineRule="auto"/>
      <w:ind w:firstLine="0" w:firstLineChars="0"/>
      <w:jc w:val="center"/>
    </w:pPr>
    <w:rPr>
      <w:sz w:val="21"/>
      <w:szCs w:val="18"/>
    </w:rPr>
  </w:style>
  <w:style w:type="character" w:customStyle="1" w:styleId="3411">
    <w:name w:val="表格内字体 Char"/>
    <w:link w:val="3410"/>
    <w:autoRedefine/>
    <w:qFormat/>
    <w:uiPriority w:val="0"/>
    <w:rPr>
      <w:kern w:val="2"/>
      <w:sz w:val="21"/>
      <w:szCs w:val="18"/>
    </w:rPr>
  </w:style>
  <w:style w:type="paragraph" w:customStyle="1" w:styleId="3412">
    <w:name w:val="标题44"/>
    <w:basedOn w:val="1"/>
    <w:link w:val="3414"/>
    <w:autoRedefine/>
    <w:qFormat/>
    <w:uiPriority w:val="0"/>
    <w:pPr>
      <w:adjustRightInd/>
      <w:snapToGrid/>
      <w:spacing w:line="360" w:lineRule="auto"/>
      <w:ind w:firstLine="0" w:firstLineChars="0"/>
      <w:jc w:val="left"/>
      <w:outlineLvl w:val="3"/>
    </w:pPr>
    <w:rPr>
      <w:b/>
      <w:szCs w:val="24"/>
    </w:rPr>
  </w:style>
  <w:style w:type="table" w:customStyle="1" w:styleId="3413">
    <w:name w:val="专业网格3"/>
    <w:basedOn w:val="8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414">
    <w:name w:val="标题44 Char"/>
    <w:link w:val="3412"/>
    <w:autoRedefine/>
    <w:qFormat/>
    <w:uiPriority w:val="0"/>
    <w:rPr>
      <w:b/>
      <w:kern w:val="2"/>
      <w:sz w:val="24"/>
      <w:szCs w:val="24"/>
    </w:rPr>
  </w:style>
  <w:style w:type="character" w:customStyle="1" w:styleId="3415">
    <w:name w:val="WJ表格 Char"/>
    <w:link w:val="3416"/>
    <w:autoRedefine/>
    <w:qFormat/>
    <w:uiPriority w:val="0"/>
    <w:rPr>
      <w:rFonts w:ascii="宋体" w:hAnsi="宋体"/>
      <w:color w:val="000000"/>
      <w:szCs w:val="24"/>
    </w:rPr>
  </w:style>
  <w:style w:type="paragraph" w:customStyle="1" w:styleId="3416">
    <w:name w:val="WJ表格"/>
    <w:basedOn w:val="1"/>
    <w:next w:val="1"/>
    <w:link w:val="3415"/>
    <w:autoRedefine/>
    <w:qFormat/>
    <w:uiPriority w:val="0"/>
    <w:pPr>
      <w:tabs>
        <w:tab w:val="left" w:pos="600"/>
      </w:tabs>
      <w:adjustRightInd/>
      <w:snapToGrid/>
      <w:spacing w:line="240" w:lineRule="auto"/>
      <w:ind w:firstLine="0" w:firstLineChars="0"/>
      <w:jc w:val="center"/>
    </w:pPr>
    <w:rPr>
      <w:rFonts w:ascii="宋体" w:hAnsi="宋体"/>
      <w:color w:val="000000"/>
      <w:kern w:val="0"/>
      <w:sz w:val="20"/>
      <w:szCs w:val="24"/>
    </w:rPr>
  </w:style>
  <w:style w:type="character" w:customStyle="1" w:styleId="3417">
    <w:name w:val="WJ标题3 Char"/>
    <w:link w:val="3418"/>
    <w:autoRedefine/>
    <w:qFormat/>
    <w:uiPriority w:val="0"/>
    <w:rPr>
      <w:rFonts w:ascii="宋体" w:hAnsi="宋体"/>
      <w:color w:val="000000"/>
      <w:sz w:val="24"/>
      <w:szCs w:val="24"/>
    </w:rPr>
  </w:style>
  <w:style w:type="paragraph" w:customStyle="1" w:styleId="3418">
    <w:name w:val="WJ标题3"/>
    <w:basedOn w:val="4"/>
    <w:link w:val="3417"/>
    <w:autoRedefine/>
    <w:qFormat/>
    <w:uiPriority w:val="0"/>
    <w:pPr>
      <w:numPr>
        <w:ilvl w:val="0"/>
        <w:numId w:val="0"/>
      </w:numPr>
      <w:spacing w:before="260" w:after="260" w:line="415" w:lineRule="auto"/>
    </w:pPr>
    <w:rPr>
      <w:rFonts w:ascii="宋体" w:hAnsi="宋体"/>
      <w:b w:val="0"/>
      <w:bCs w:val="0"/>
      <w:color w:val="000000"/>
      <w:kern w:val="0"/>
      <w:szCs w:val="24"/>
      <w:lang w:val="en-US"/>
    </w:rPr>
  </w:style>
  <w:style w:type="character" w:customStyle="1" w:styleId="3419">
    <w:name w:val="WJ正文 Char"/>
    <w:link w:val="3420"/>
    <w:autoRedefine/>
    <w:qFormat/>
    <w:uiPriority w:val="0"/>
    <w:rPr>
      <w:rFonts w:ascii="宋体" w:hAnsi="宋体"/>
      <w:color w:val="000000"/>
      <w:sz w:val="24"/>
      <w:szCs w:val="24"/>
    </w:rPr>
  </w:style>
  <w:style w:type="paragraph" w:customStyle="1" w:styleId="3420">
    <w:name w:val="WJ正文"/>
    <w:basedOn w:val="1"/>
    <w:next w:val="1"/>
    <w:link w:val="3419"/>
    <w:autoRedefine/>
    <w:qFormat/>
    <w:uiPriority w:val="0"/>
    <w:pPr>
      <w:tabs>
        <w:tab w:val="left" w:pos="600"/>
      </w:tabs>
      <w:adjustRightInd/>
      <w:snapToGrid/>
      <w:spacing w:line="360" w:lineRule="auto"/>
    </w:pPr>
    <w:rPr>
      <w:rFonts w:ascii="宋体" w:hAnsi="宋体"/>
      <w:color w:val="000000"/>
      <w:kern w:val="0"/>
      <w:szCs w:val="24"/>
    </w:rPr>
  </w:style>
  <w:style w:type="paragraph" w:customStyle="1" w:styleId="3421">
    <w:name w:val="纯文本5"/>
    <w:basedOn w:val="1"/>
    <w:autoRedefine/>
    <w:qFormat/>
    <w:uiPriority w:val="0"/>
    <w:pPr>
      <w:snapToGrid/>
      <w:spacing w:line="240" w:lineRule="auto"/>
      <w:ind w:firstLine="0" w:firstLineChars="0"/>
      <w:textAlignment w:val="baseline"/>
    </w:pPr>
    <w:rPr>
      <w:rFonts w:ascii="宋体" w:hAnsi="Courier New"/>
      <w:sz w:val="21"/>
    </w:rPr>
  </w:style>
  <w:style w:type="paragraph" w:customStyle="1" w:styleId="3422">
    <w:name w:val="默认段落字体 Para Char Char Char Char Char Char Char Char Char Char Char Char Char"/>
    <w:basedOn w:val="1"/>
    <w:autoRedefine/>
    <w:qFormat/>
    <w:uiPriority w:val="0"/>
    <w:pPr>
      <w:adjustRightInd/>
      <w:snapToGrid/>
      <w:spacing w:line="240" w:lineRule="auto"/>
      <w:ind w:firstLine="0" w:firstLineChars="0"/>
    </w:pPr>
    <w:rPr>
      <w:sz w:val="21"/>
      <w:szCs w:val="24"/>
    </w:rPr>
  </w:style>
  <w:style w:type="paragraph" w:customStyle="1" w:styleId="3423">
    <w:name w:val="basic eng. doc."/>
    <w:basedOn w:val="1"/>
    <w:autoRedefine/>
    <w:qFormat/>
    <w:uiPriority w:val="0"/>
    <w:pPr>
      <w:spacing w:line="240" w:lineRule="auto"/>
      <w:ind w:left="200" w:leftChars="200" w:firstLine="0" w:firstLineChars="0"/>
    </w:pPr>
    <w:rPr>
      <w:rFonts w:hint="eastAsia" w:ascii="宋体" w:hAnsi="宋体"/>
      <w:kern w:val="0"/>
      <w:sz w:val="21"/>
      <w:szCs w:val="32"/>
    </w:rPr>
  </w:style>
  <w:style w:type="paragraph" w:customStyle="1" w:styleId="3424">
    <w:name w:val="日期5"/>
    <w:basedOn w:val="1"/>
    <w:next w:val="1"/>
    <w:autoRedefine/>
    <w:qFormat/>
    <w:uiPriority w:val="0"/>
    <w:pPr>
      <w:snapToGrid/>
      <w:spacing w:line="240" w:lineRule="auto"/>
      <w:ind w:firstLine="0" w:firstLineChars="0"/>
      <w:jc w:val="left"/>
      <w:textAlignment w:val="baseline"/>
    </w:pPr>
    <w:rPr>
      <w:rFonts w:ascii="宋体"/>
      <w:spacing w:val="24"/>
      <w:kern w:val="24"/>
    </w:rPr>
  </w:style>
  <w:style w:type="character" w:customStyle="1" w:styleId="3425">
    <w:name w:val="标题 1 Char Char Char Char1"/>
    <w:autoRedefine/>
    <w:qFormat/>
    <w:uiPriority w:val="0"/>
    <w:rPr>
      <w:rFonts w:eastAsia="宋体"/>
      <w:b/>
      <w:bCs/>
      <w:kern w:val="44"/>
      <w:sz w:val="44"/>
      <w:szCs w:val="44"/>
      <w:lang w:val="en-US" w:eastAsia="zh-CN" w:bidi="ar-SA"/>
    </w:rPr>
  </w:style>
  <w:style w:type="paragraph" w:customStyle="1" w:styleId="3426">
    <w:name w:val="puce"/>
    <w:basedOn w:val="1"/>
    <w:autoRedefine/>
    <w:qFormat/>
    <w:uiPriority w:val="0"/>
    <w:pPr>
      <w:widowControl/>
      <w:tabs>
        <w:tab w:val="left" w:pos="1040"/>
      </w:tabs>
      <w:spacing w:line="240" w:lineRule="auto"/>
      <w:ind w:left="1020" w:hanging="340" w:firstLineChars="0"/>
    </w:pPr>
    <w:rPr>
      <w:rFonts w:ascii="Arial" w:hAnsi="Arial"/>
      <w:kern w:val="0"/>
    </w:rPr>
  </w:style>
  <w:style w:type="paragraph" w:customStyle="1" w:styleId="3427">
    <w:name w:val="ENUM"/>
    <w:basedOn w:val="1"/>
    <w:autoRedefine/>
    <w:qFormat/>
    <w:uiPriority w:val="0"/>
    <w:pPr>
      <w:widowControl/>
      <w:tabs>
        <w:tab w:val="left" w:pos="1418"/>
      </w:tabs>
      <w:adjustRightInd/>
      <w:snapToGrid/>
      <w:spacing w:line="240" w:lineRule="auto"/>
      <w:ind w:left="1418" w:hanging="284"/>
    </w:pPr>
    <w:rPr>
      <w:rFonts w:ascii="Arial" w:hAnsi="Arial"/>
      <w:kern w:val="0"/>
      <w:sz w:val="22"/>
      <w:lang w:val="en-GB"/>
    </w:rPr>
  </w:style>
  <w:style w:type="character" w:customStyle="1" w:styleId="3428">
    <w:name w:val="style81"/>
    <w:autoRedefine/>
    <w:qFormat/>
    <w:uiPriority w:val="0"/>
    <w:rPr>
      <w:sz w:val="24"/>
      <w:szCs w:val="24"/>
    </w:rPr>
  </w:style>
  <w:style w:type="paragraph" w:customStyle="1" w:styleId="3429">
    <w:name w:val="1"/>
    <w:basedOn w:val="1"/>
    <w:autoRedefine/>
    <w:qFormat/>
    <w:uiPriority w:val="0"/>
    <w:pPr>
      <w:adjustRightInd/>
      <w:snapToGrid/>
      <w:spacing w:line="240" w:lineRule="auto"/>
      <w:ind w:firstLine="0" w:firstLineChars="0"/>
      <w:jc w:val="center"/>
    </w:pPr>
    <w:rPr>
      <w:sz w:val="21"/>
    </w:rPr>
  </w:style>
  <w:style w:type="paragraph" w:customStyle="1" w:styleId="3430">
    <w:name w:val="图标字体"/>
    <w:basedOn w:val="1"/>
    <w:link w:val="3435"/>
    <w:autoRedefine/>
    <w:qFormat/>
    <w:uiPriority w:val="0"/>
    <w:pPr>
      <w:tabs>
        <w:tab w:val="left" w:pos="660"/>
      </w:tabs>
      <w:spacing w:afterLines="50" w:line="240" w:lineRule="auto"/>
      <w:ind w:firstLine="0" w:firstLineChars="0"/>
      <w:jc w:val="center"/>
    </w:pPr>
    <w:rPr>
      <w:b/>
      <w:szCs w:val="26"/>
    </w:rPr>
  </w:style>
  <w:style w:type="paragraph" w:customStyle="1" w:styleId="3431">
    <w:name w:val="表 头"/>
    <w:basedOn w:val="1"/>
    <w:autoRedefine/>
    <w:qFormat/>
    <w:uiPriority w:val="0"/>
    <w:pPr>
      <w:snapToGrid/>
      <w:spacing w:line="360" w:lineRule="atLeast"/>
      <w:ind w:firstLine="0" w:firstLineChars="0"/>
      <w:jc w:val="center"/>
    </w:pPr>
    <w:rPr>
      <w:rFonts w:eastAsia="黑体"/>
      <w:spacing w:val="10"/>
      <w:kern w:val="0"/>
    </w:rPr>
  </w:style>
  <w:style w:type="character" w:customStyle="1" w:styleId="3432">
    <w:name w:val="neirong1"/>
    <w:autoRedefine/>
    <w:qFormat/>
    <w:uiPriority w:val="0"/>
    <w:rPr>
      <w:sz w:val="21"/>
      <w:szCs w:val="21"/>
    </w:rPr>
  </w:style>
  <w:style w:type="character" w:customStyle="1" w:styleId="3433">
    <w:name w:val="表字 Char"/>
    <w:link w:val="2198"/>
    <w:autoRedefine/>
    <w:qFormat/>
    <w:uiPriority w:val="0"/>
    <w:rPr>
      <w:rFonts w:ascii="宋体"/>
      <w:color w:val="000000"/>
      <w:sz w:val="21"/>
    </w:rPr>
  </w:style>
  <w:style w:type="character" w:customStyle="1" w:styleId="3434">
    <w:name w:val="表头字体 Char"/>
    <w:autoRedefine/>
    <w:qFormat/>
    <w:uiPriority w:val="0"/>
    <w:rPr>
      <w:rFonts w:ascii="Times New Roman" w:hAnsi="Times New Roman" w:eastAsia="宋体" w:cs="Times New Roman"/>
      <w:b/>
      <w:sz w:val="24"/>
      <w:szCs w:val="24"/>
    </w:rPr>
  </w:style>
  <w:style w:type="character" w:customStyle="1" w:styleId="3435">
    <w:name w:val="图标字体 Char"/>
    <w:link w:val="3430"/>
    <w:autoRedefine/>
    <w:qFormat/>
    <w:uiPriority w:val="0"/>
    <w:rPr>
      <w:b/>
      <w:kern w:val="2"/>
      <w:sz w:val="24"/>
      <w:szCs w:val="26"/>
    </w:rPr>
  </w:style>
  <w:style w:type="table" w:customStyle="1" w:styleId="3436">
    <w:name w:val="网格型21"/>
    <w:basedOn w:val="88"/>
    <w:autoRedefine/>
    <w:qFormat/>
    <w:uiPriority w:val="0"/>
    <w:pPr>
      <w:widowControl w:val="0"/>
      <w:adjustRightInd w:val="0"/>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437">
    <w:name w:val="图标题"/>
    <w:basedOn w:val="1"/>
    <w:next w:val="1"/>
    <w:autoRedefine/>
    <w:qFormat/>
    <w:uiPriority w:val="0"/>
    <w:pPr>
      <w:autoSpaceDE w:val="0"/>
      <w:autoSpaceDN w:val="0"/>
      <w:spacing w:line="400" w:lineRule="atLeast"/>
      <w:ind w:firstLine="0" w:firstLineChars="0"/>
      <w:jc w:val="center"/>
      <w:textAlignment w:val="baseline"/>
    </w:pPr>
    <w:rPr>
      <w:rFonts w:eastAsia="仿宋_GB2312"/>
      <w:b/>
      <w:spacing w:val="2"/>
      <w:kern w:val="0"/>
    </w:rPr>
  </w:style>
  <w:style w:type="paragraph" w:customStyle="1" w:styleId="3438">
    <w:name w:val="Char Char Char 字元 字元"/>
    <w:basedOn w:val="1"/>
    <w:autoRedefine/>
    <w:semiHidden/>
    <w:qFormat/>
    <w:uiPriority w:val="0"/>
    <w:pPr>
      <w:adjustRightInd/>
      <w:spacing w:line="360" w:lineRule="auto"/>
      <w:ind w:firstLine="0" w:firstLineChars="0"/>
    </w:pPr>
    <w:rPr>
      <w:szCs w:val="24"/>
    </w:rPr>
  </w:style>
  <w:style w:type="paragraph" w:customStyle="1" w:styleId="3439">
    <w:name w:val="1 Char Char Char Char Char Char Char Char Char Char Char Char Char Char Char Char"/>
    <w:basedOn w:val="1"/>
    <w:autoRedefine/>
    <w:qFormat/>
    <w:uiPriority w:val="0"/>
    <w:pPr>
      <w:adjustRightInd/>
      <w:snapToGrid/>
      <w:spacing w:line="240" w:lineRule="auto"/>
      <w:ind w:firstLine="0" w:firstLineChars="0"/>
    </w:pPr>
    <w:rPr>
      <w:sz w:val="21"/>
      <w:szCs w:val="24"/>
    </w:rPr>
  </w:style>
  <w:style w:type="character" w:customStyle="1" w:styleId="3440">
    <w:name w:val="Normal Char"/>
    <w:link w:val="3441"/>
    <w:autoRedefine/>
    <w:qFormat/>
    <w:uiPriority w:val="0"/>
    <w:rPr>
      <w:rFonts w:ascii="宋体"/>
      <w:sz w:val="24"/>
    </w:rPr>
  </w:style>
  <w:style w:type="paragraph" w:customStyle="1" w:styleId="3441">
    <w:name w:val="正文15"/>
    <w:link w:val="3440"/>
    <w:autoRedefine/>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paragraph" w:customStyle="1" w:styleId="3442">
    <w:name w:val="Normal1"/>
    <w:autoRedefine/>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paragraph" w:customStyle="1" w:styleId="3443">
    <w:name w:val="正文常用"/>
    <w:basedOn w:val="1"/>
    <w:autoRedefine/>
    <w:qFormat/>
    <w:uiPriority w:val="0"/>
    <w:pPr>
      <w:adjustRightInd/>
      <w:snapToGrid/>
      <w:spacing w:line="520" w:lineRule="exact"/>
    </w:pPr>
    <w:rPr>
      <w:sz w:val="28"/>
      <w:szCs w:val="28"/>
    </w:rPr>
  </w:style>
  <w:style w:type="paragraph" w:customStyle="1" w:styleId="3444">
    <w:name w:val="album-div"/>
    <w:basedOn w:val="1"/>
    <w:autoRedefine/>
    <w:qFormat/>
    <w:uiPriority w:val="0"/>
    <w:pPr>
      <w:widowControl/>
      <w:adjustRightInd/>
      <w:snapToGrid/>
      <w:spacing w:beforeAutospacing="1" w:afterAutospacing="1" w:line="240" w:lineRule="auto"/>
      <w:ind w:firstLine="0" w:firstLineChars="0"/>
      <w:jc w:val="left"/>
    </w:pPr>
    <w:rPr>
      <w:rFonts w:ascii="宋体" w:hAnsi="宋体" w:cs="宋体"/>
      <w:kern w:val="0"/>
      <w:szCs w:val="24"/>
    </w:rPr>
  </w:style>
  <w:style w:type="character" w:customStyle="1" w:styleId="3445">
    <w:name w:val="title9"/>
    <w:autoRedefine/>
    <w:qFormat/>
    <w:uiPriority w:val="0"/>
  </w:style>
  <w:style w:type="character" w:customStyle="1" w:styleId="3446">
    <w:name w:val="count3"/>
    <w:autoRedefine/>
    <w:qFormat/>
    <w:uiPriority w:val="0"/>
  </w:style>
  <w:style w:type="character" w:customStyle="1" w:styleId="3447">
    <w:name w:val="标题11 Char"/>
    <w:link w:val="2561"/>
    <w:autoRedefine/>
    <w:qFormat/>
    <w:uiPriority w:val="0"/>
    <w:rPr>
      <w:rFonts w:ascii="Calibri" w:hAnsi="Calibri"/>
      <w:b/>
      <w:sz w:val="36"/>
      <w:szCs w:val="36"/>
      <w:lang w:eastAsia="en-US" w:bidi="en-US"/>
    </w:rPr>
  </w:style>
  <w:style w:type="paragraph" w:customStyle="1" w:styleId="3448">
    <w:name w:val="标题33"/>
    <w:basedOn w:val="1"/>
    <w:link w:val="3450"/>
    <w:autoRedefine/>
    <w:qFormat/>
    <w:uiPriority w:val="0"/>
    <w:pPr>
      <w:adjustRightInd/>
      <w:snapToGrid/>
      <w:spacing w:line="360" w:lineRule="auto"/>
      <w:ind w:firstLine="0" w:firstLineChars="0"/>
      <w:jc w:val="left"/>
      <w:outlineLvl w:val="2"/>
    </w:pPr>
    <w:rPr>
      <w:b/>
      <w:szCs w:val="24"/>
    </w:rPr>
  </w:style>
  <w:style w:type="character" w:customStyle="1" w:styleId="3449">
    <w:name w:val="标题22 Char"/>
    <w:link w:val="2523"/>
    <w:autoRedefine/>
    <w:qFormat/>
    <w:uiPriority w:val="0"/>
    <w:rPr>
      <w:rFonts w:ascii="黑体" w:hAnsi="宋体" w:eastAsia="黑体"/>
      <w:b/>
      <w:sz w:val="28"/>
    </w:rPr>
  </w:style>
  <w:style w:type="character" w:customStyle="1" w:styleId="3450">
    <w:name w:val="标题33 Char"/>
    <w:link w:val="3448"/>
    <w:autoRedefine/>
    <w:qFormat/>
    <w:uiPriority w:val="0"/>
    <w:rPr>
      <w:b/>
      <w:kern w:val="2"/>
      <w:sz w:val="24"/>
      <w:szCs w:val="24"/>
    </w:rPr>
  </w:style>
  <w:style w:type="table" w:customStyle="1" w:styleId="3451">
    <w:name w:val="专业网格21"/>
    <w:basedOn w:val="88"/>
    <w:autoRedefine/>
    <w:qFormat/>
    <w:uiPriority w:val="0"/>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452">
    <w:name w:val="专业网格31"/>
    <w:basedOn w:val="88"/>
    <w:autoRedefine/>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453">
    <w:name w:val="列表 Char1"/>
    <w:autoRedefine/>
    <w:qFormat/>
    <w:uiPriority w:val="0"/>
    <w:rPr>
      <w:kern w:val="2"/>
      <w:sz w:val="21"/>
      <w:szCs w:val="24"/>
    </w:rPr>
  </w:style>
  <w:style w:type="table" w:customStyle="1" w:styleId="3454">
    <w:name w:val="网格型 711"/>
    <w:basedOn w:val="88"/>
    <w:autoRedefine/>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bottom w:val="single" w:color="000000" w:sz="12" w:space="0"/>
          <w:tl2br w:val="nil"/>
          <w:tr2bl w:val="nil"/>
        </w:tcBorders>
      </w:tcPr>
    </w:tblStylePr>
    <w:tblStylePr w:type="lastRow">
      <w:rPr>
        <w:b w:val="0"/>
        <w:bCs w:val="0"/>
      </w:rPr>
      <w:tcPr>
        <w:tcBorders>
          <w:top w:val="single" w:color="00000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nwCell">
      <w:tcPr>
        <w:tcBorders>
          <w:tl2br w:val="single" w:color="000000" w:sz="6" w:space="0"/>
          <w:tr2bl w:val="nil"/>
        </w:tcBorders>
      </w:tcPr>
    </w:tblStylePr>
  </w:style>
  <w:style w:type="paragraph" w:customStyle="1" w:styleId="3455">
    <w:name w:val="正文16"/>
    <w:basedOn w:val="1"/>
    <w:autoRedefine/>
    <w:qFormat/>
    <w:uiPriority w:val="0"/>
    <w:pPr>
      <w:snapToGrid/>
      <w:spacing w:line="315" w:lineRule="atLeast"/>
      <w:ind w:firstLine="0" w:firstLineChars="0"/>
      <w:jc w:val="left"/>
      <w:textAlignment w:val="baseline"/>
    </w:pPr>
    <w:rPr>
      <w:rFonts w:ascii="宋体"/>
      <w:kern w:val="0"/>
    </w:rPr>
  </w:style>
  <w:style w:type="character" w:customStyle="1" w:styleId="3456">
    <w:name w:val="已访问的超级链接"/>
    <w:autoRedefine/>
    <w:qFormat/>
    <w:uiPriority w:val="0"/>
    <w:rPr>
      <w:rFonts w:ascii="Times New Roman" w:eastAsia="宋体"/>
      <w:color w:val="800080"/>
      <w:spacing w:val="0"/>
      <w:w w:val="100"/>
      <w:sz w:val="21"/>
      <w:u w:val="single" w:color="800080"/>
      <w:vertAlign w:val="baseline"/>
      <w:lang w:val="en-US" w:eastAsia="zh-CN"/>
    </w:rPr>
  </w:style>
  <w:style w:type="paragraph" w:customStyle="1" w:styleId="3457">
    <w:name w:val="HTML 预先格式化"/>
    <w:basedOn w:val="1"/>
    <w:autoRedefine/>
    <w:qFormat/>
    <w:uiPriority w:val="0"/>
    <w:pPr>
      <w:widowControl/>
      <w:tabs>
        <w:tab w:val="left" w:pos="912"/>
        <w:tab w:val="left" w:pos="1831"/>
        <w:tab w:val="left" w:pos="2743"/>
        <w:tab w:val="left" w:pos="3662"/>
        <w:tab w:val="left" w:pos="4575"/>
        <w:tab w:val="left" w:pos="5493"/>
        <w:tab w:val="left" w:pos="6406"/>
        <w:tab w:val="left" w:pos="7324"/>
        <w:tab w:val="left" w:pos="8237"/>
        <w:tab w:val="left" w:pos="9150"/>
        <w:tab w:val="left" w:pos="10068"/>
        <w:tab w:val="left" w:pos="10981"/>
        <w:tab w:val="left" w:pos="11899"/>
        <w:tab w:val="left" w:pos="12812"/>
        <w:tab w:val="left" w:pos="13730"/>
        <w:tab w:val="left" w:pos="14643"/>
      </w:tabs>
      <w:adjustRightInd/>
      <w:snapToGrid/>
      <w:spacing w:line="351" w:lineRule="atLeast"/>
      <w:ind w:firstLine="419" w:firstLineChars="0"/>
      <w:jc w:val="left"/>
      <w:textAlignment w:val="baseline"/>
    </w:pPr>
    <w:rPr>
      <w:rFonts w:ascii="黑体" w:eastAsia="黑体"/>
      <w:color w:val="000000"/>
      <w:kern w:val="0"/>
      <w:sz w:val="21"/>
      <w:u w:color="000000"/>
    </w:rPr>
  </w:style>
  <w:style w:type="paragraph" w:customStyle="1" w:styleId="3458">
    <w:name w:val="正文文本缩进 32"/>
    <w:basedOn w:val="1"/>
    <w:autoRedefine/>
    <w:qFormat/>
    <w:uiPriority w:val="0"/>
    <w:pPr>
      <w:adjustRightInd/>
      <w:snapToGrid/>
      <w:spacing w:line="240" w:lineRule="auto"/>
      <w:ind w:left="420" w:leftChars="200" w:firstLine="0" w:firstLineChars="0"/>
    </w:pPr>
    <w:rPr>
      <w:sz w:val="16"/>
      <w:szCs w:val="16"/>
    </w:rPr>
  </w:style>
  <w:style w:type="table" w:customStyle="1" w:styleId="3459">
    <w:name w:val="专业网格4"/>
    <w:basedOn w:val="88"/>
    <w:autoRedefine/>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60">
    <w:name w:val="网格型 72"/>
    <w:basedOn w:val="88"/>
    <w:autoRedefine/>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bottom w:val="single" w:color="000000" w:sz="12" w:space="0"/>
          <w:tl2br w:val="nil"/>
          <w:tr2bl w:val="nil"/>
        </w:tcBorders>
      </w:tcPr>
    </w:tblStylePr>
    <w:tblStylePr w:type="lastRow">
      <w:rPr>
        <w:b w:val="0"/>
        <w:bCs w:val="0"/>
      </w:rPr>
      <w:tcPr>
        <w:tcBorders>
          <w:top w:val="single" w:color="00000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nwCell">
      <w:tcPr>
        <w:tcBorders>
          <w:tl2br w:val="single" w:color="000000" w:sz="6" w:space="0"/>
          <w:tr2bl w:val="nil"/>
        </w:tcBorders>
      </w:tcPr>
    </w:tblStylePr>
  </w:style>
  <w:style w:type="paragraph" w:customStyle="1" w:styleId="3461">
    <w:name w:val="图头字体"/>
    <w:basedOn w:val="1903"/>
    <w:link w:val="3463"/>
    <w:autoRedefine/>
    <w:qFormat/>
    <w:uiPriority w:val="0"/>
    <w:pPr>
      <w:adjustRightInd w:val="0"/>
      <w:snapToGrid w:val="0"/>
    </w:pPr>
    <w:rPr>
      <w:rFonts w:ascii="Times New Roman" w:hAnsi="Times New Roman" w:eastAsia="宋体"/>
      <w:kern w:val="2"/>
      <w:lang w:val="en-US"/>
    </w:rPr>
  </w:style>
  <w:style w:type="table" w:customStyle="1" w:styleId="3462">
    <w:name w:val="专业网格5"/>
    <w:basedOn w:val="88"/>
    <w:autoRedefine/>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463">
    <w:name w:val="图头字体 Char"/>
    <w:link w:val="3461"/>
    <w:autoRedefine/>
    <w:qFormat/>
    <w:uiPriority w:val="0"/>
    <w:rPr>
      <w:b/>
      <w:kern w:val="2"/>
      <w:sz w:val="24"/>
      <w:szCs w:val="24"/>
    </w:rPr>
  </w:style>
  <w:style w:type="table" w:customStyle="1" w:styleId="3464">
    <w:name w:val="网格型 73"/>
    <w:basedOn w:val="88"/>
    <w:autoRedefine/>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bottom w:val="single" w:color="000000" w:sz="12" w:space="0"/>
          <w:tl2br w:val="nil"/>
          <w:tr2bl w:val="nil"/>
        </w:tcBorders>
      </w:tcPr>
    </w:tblStylePr>
    <w:tblStylePr w:type="lastRow">
      <w:rPr>
        <w:b w:val="0"/>
        <w:bCs w:val="0"/>
      </w:rPr>
      <w:tcPr>
        <w:tcBorders>
          <w:top w:val="single" w:color="00000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nwCell">
      <w:tcPr>
        <w:tcBorders>
          <w:tl2br w:val="single" w:color="000000" w:sz="6" w:space="0"/>
          <w:tr2bl w:val="nil"/>
        </w:tcBorders>
      </w:tcPr>
    </w:tblStylePr>
  </w:style>
  <w:style w:type="table" w:customStyle="1" w:styleId="3465">
    <w:name w:val="网格型模版1"/>
    <w:basedOn w:val="88"/>
    <w:autoRedefine/>
    <w:semiHidden/>
    <w:qFormat/>
    <w:uiPriority w:val="0"/>
    <w:pPr>
      <w:widowControl w:val="0"/>
      <w:adjustRightInd w:val="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66">
    <w:name w:val="专业网格6"/>
    <w:basedOn w:val="8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67">
    <w:name w:val="列表型 52"/>
    <w:basedOn w:val="88"/>
    <w:autoRedefine/>
    <w:qFormat/>
    <w:uiPriority w:val="0"/>
    <w:pPr>
      <w:widowControl w:val="0"/>
      <w:adjustRightInd w:val="0"/>
      <w:jc w:val="both"/>
      <w:textAlignment w:val="baseline"/>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bottom w:val="single" w:color="000000" w:sz="12" w:space="0"/>
          <w:tl2br w:val="nil"/>
          <w:tr2bl w:val="nil"/>
        </w:tcBorders>
      </w:tcPr>
    </w:tblStylePr>
    <w:tblStylePr w:type="firstCol">
      <w:rPr>
        <w:b/>
        <w:bCs/>
      </w:rPr>
      <w:tcPr>
        <w:tcBorders>
          <w:tl2br w:val="nil"/>
          <w:tr2bl w:val="nil"/>
        </w:tcBorders>
      </w:tcPr>
    </w:tblStylePr>
  </w:style>
  <w:style w:type="table" w:customStyle="1" w:styleId="3468">
    <w:name w:val="网格型 512"/>
    <w:basedOn w:val="88"/>
    <w:autoRedefine/>
    <w:qFormat/>
    <w:uiPriority w:val="0"/>
    <w:pPr>
      <w:widowControl w:val="0"/>
      <w:adjustRightInd w:val="0"/>
      <w:snapToGrid w:val="0"/>
      <w:spacing w:line="348" w:lineRule="auto"/>
      <w:ind w:firstLine="200" w:firstLineChars="20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3469">
    <w:name w:val="网格型 74"/>
    <w:basedOn w:val="88"/>
    <w:autoRedefine/>
    <w:qFormat/>
    <w:uiPriority w:val="0"/>
    <w:pPr>
      <w:widowControl w:val="0"/>
      <w:snapToGrid w:val="0"/>
      <w:spacing w:line="348" w:lineRule="auto"/>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bottom w:val="single" w:color="000000" w:sz="12" w:space="0"/>
          <w:tl2br w:val="nil"/>
          <w:tr2bl w:val="nil"/>
        </w:tcBorders>
      </w:tcPr>
    </w:tblStylePr>
    <w:tblStylePr w:type="lastRow">
      <w:rPr>
        <w:b w:val="0"/>
        <w:bCs w:val="0"/>
      </w:rPr>
      <w:tcPr>
        <w:tcBorders>
          <w:top w:val="single" w:color="00000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nwCell">
      <w:tcPr>
        <w:tcBorders>
          <w:tl2br w:val="single" w:color="000000" w:sz="6" w:space="0"/>
          <w:tr2bl w:val="nil"/>
        </w:tcBorders>
      </w:tcPr>
    </w:tblStylePr>
  </w:style>
  <w:style w:type="table" w:customStyle="1" w:styleId="3470">
    <w:name w:val="专业网格12"/>
    <w:basedOn w:val="88"/>
    <w:autoRedefine/>
    <w:qFormat/>
    <w:uiPriority w:val="0"/>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471">
    <w:name w:val="专业网格22"/>
    <w:basedOn w:val="88"/>
    <w:autoRedefine/>
    <w:qFormat/>
    <w:uiPriority w:val="0"/>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472">
    <w:name w:val="专业网格32"/>
    <w:basedOn w:val="88"/>
    <w:autoRedefine/>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73">
    <w:name w:val="网格型 712"/>
    <w:basedOn w:val="88"/>
    <w:autoRedefine/>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bottom w:val="single" w:color="000000" w:sz="12" w:space="0"/>
          <w:tl2br w:val="nil"/>
          <w:tr2bl w:val="nil"/>
        </w:tcBorders>
      </w:tcPr>
    </w:tblStylePr>
    <w:tblStylePr w:type="lastRow">
      <w:rPr>
        <w:b w:val="0"/>
        <w:bCs w:val="0"/>
      </w:rPr>
      <w:tcPr>
        <w:tcBorders>
          <w:top w:val="single" w:color="00000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nwCell">
      <w:tcPr>
        <w:tcBorders>
          <w:tl2br w:val="single" w:color="000000" w:sz="6" w:space="0"/>
          <w:tr2bl w:val="nil"/>
        </w:tcBorders>
      </w:tcPr>
    </w:tblStylePr>
  </w:style>
  <w:style w:type="table" w:customStyle="1" w:styleId="3474">
    <w:name w:val="网格型-无边竖线1"/>
    <w:basedOn w:val="88"/>
    <w:autoRedefine/>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475">
    <w:name w:val="headline-content"/>
    <w:autoRedefine/>
    <w:qFormat/>
    <w:uiPriority w:val="0"/>
  </w:style>
  <w:style w:type="character" w:styleId="3476">
    <w:name w:val="Placeholder Text"/>
    <w:autoRedefine/>
    <w:semiHidden/>
    <w:qFormat/>
    <w:uiPriority w:val="99"/>
    <w:rPr>
      <w:color w:val="808080"/>
    </w:rPr>
  </w:style>
  <w:style w:type="paragraph" w:styleId="3477">
    <w:name w:val="Intense Quote"/>
    <w:basedOn w:val="1"/>
    <w:next w:val="1"/>
    <w:autoRedefine/>
    <w:qFormat/>
    <w:uiPriority w:val="30"/>
    <w:pPr>
      <w:pBdr>
        <w:bottom w:val="single" w:color="4F81BD" w:sz="4" w:space="4"/>
      </w:pBdr>
      <w:adjustRightInd/>
      <w:snapToGrid/>
      <w:ind w:left="936" w:right="936"/>
    </w:pPr>
    <w:rPr>
      <w:b/>
      <w:bCs/>
      <w:i/>
      <w:iCs/>
      <w:color w:val="4F81BD"/>
      <w:kern w:val="0"/>
      <w:szCs w:val="24"/>
    </w:rPr>
  </w:style>
  <w:style w:type="character" w:customStyle="1" w:styleId="3478">
    <w:name w:val="明显引用 字符1"/>
    <w:basedOn w:val="133"/>
    <w:autoRedefine/>
    <w:qFormat/>
    <w:uiPriority w:val="99"/>
    <w:rPr>
      <w:i/>
      <w:iCs/>
      <w:color w:val="5B9BD5" w:themeColor="accent1"/>
      <w:kern w:val="2"/>
      <w:sz w:val="24"/>
      <w14:textFill>
        <w14:solidFill>
          <w14:schemeClr w14:val="accent1"/>
        </w14:solidFill>
      </w14:textFill>
    </w:rPr>
  </w:style>
  <w:style w:type="paragraph" w:customStyle="1" w:styleId="3479">
    <w:name w:val="样式 列表 2 + 华文仿宋 居中"/>
    <w:basedOn w:val="37"/>
    <w:autoRedefine/>
    <w:qFormat/>
    <w:uiPriority w:val="0"/>
    <w:pPr>
      <w:ind w:left="0" w:leftChars="0" w:firstLine="0" w:firstLineChars="0"/>
      <w:jc w:val="center"/>
    </w:pPr>
    <w:rPr>
      <w:sz w:val="22"/>
      <w:szCs w:val="22"/>
    </w:rPr>
  </w:style>
  <w:style w:type="character" w:customStyle="1" w:styleId="3480">
    <w:name w:val="g Char Char2"/>
    <w:autoRedefine/>
    <w:qFormat/>
    <w:uiPriority w:val="0"/>
    <w:rPr>
      <w:rFonts w:eastAsia="宋体"/>
      <w:sz w:val="18"/>
      <w:szCs w:val="18"/>
      <w:lang w:bidi="ar-SA"/>
    </w:rPr>
  </w:style>
  <w:style w:type="character" w:customStyle="1" w:styleId="3481">
    <w:name w:val="列表 3 字符"/>
    <w:link w:val="12"/>
    <w:autoRedefine/>
    <w:qFormat/>
    <w:locked/>
    <w:uiPriority w:val="0"/>
    <w:rPr>
      <w:kern w:val="2"/>
      <w:sz w:val="21"/>
      <w:szCs w:val="24"/>
    </w:rPr>
  </w:style>
  <w:style w:type="paragraph" w:customStyle="1" w:styleId="3482">
    <w:name w:val="表格内正文"/>
    <w:autoRedefine/>
    <w:qFormat/>
    <w:uiPriority w:val="0"/>
    <w:pPr>
      <w:widowControl w:val="0"/>
      <w:spacing w:line="360" w:lineRule="exact"/>
      <w:ind w:firstLine="420" w:firstLineChars="200"/>
      <w:jc w:val="both"/>
    </w:pPr>
    <w:rPr>
      <w:rFonts w:ascii="Times New Roman" w:hAnsi="Times New Roman" w:eastAsia="宋体" w:cs="Times New Roman"/>
      <w:kern w:val="2"/>
      <w:sz w:val="21"/>
      <w:szCs w:val="24"/>
      <w:lang w:val="en-US" w:eastAsia="zh-CN" w:bidi="ar-SA"/>
    </w:rPr>
  </w:style>
  <w:style w:type="paragraph" w:customStyle="1" w:styleId="3483">
    <w:name w:val="样式 首行缩进:  2 字符 行距: 固定值 26 磅"/>
    <w:basedOn w:val="1"/>
    <w:autoRedefine/>
    <w:qFormat/>
    <w:uiPriority w:val="0"/>
    <w:pPr>
      <w:adjustRightInd/>
      <w:snapToGrid/>
    </w:pPr>
    <w:rPr>
      <w:rFonts w:cs="宋体"/>
    </w:rPr>
  </w:style>
  <w:style w:type="character" w:customStyle="1" w:styleId="3484">
    <w:name w:val="样式 正文文本缩进 2正文文字缩进 2 + 四号 蓝色 Char Char"/>
    <w:link w:val="3485"/>
    <w:autoRedefine/>
    <w:qFormat/>
    <w:locked/>
    <w:uiPriority w:val="0"/>
    <w:rPr>
      <w:color w:val="0000FF"/>
      <w:sz w:val="24"/>
      <w:szCs w:val="24"/>
    </w:rPr>
  </w:style>
  <w:style w:type="paragraph" w:customStyle="1" w:styleId="3485">
    <w:name w:val="样式 正文文本缩进 2正文文字缩进 2 + 四号 蓝色 Char"/>
    <w:basedOn w:val="51"/>
    <w:link w:val="3484"/>
    <w:autoRedefine/>
    <w:qFormat/>
    <w:uiPriority w:val="0"/>
    <w:pPr>
      <w:adjustRightInd w:val="0"/>
      <w:spacing w:line="480" w:lineRule="exact"/>
      <w:ind w:left="0" w:leftChars="0" w:firstLine="709"/>
    </w:pPr>
    <w:rPr>
      <w:color w:val="0000FF"/>
      <w:kern w:val="0"/>
      <w:sz w:val="24"/>
      <w:lang w:val="en-US"/>
    </w:rPr>
  </w:style>
  <w:style w:type="paragraph" w:customStyle="1" w:styleId="3486">
    <w:name w:val="样式 红色 首行缩进:  2 字符"/>
    <w:basedOn w:val="1"/>
    <w:autoRedefine/>
    <w:qFormat/>
    <w:uiPriority w:val="0"/>
    <w:pPr>
      <w:adjustRightInd/>
      <w:snapToGrid/>
      <w:ind w:firstLine="480"/>
    </w:pPr>
    <w:rPr>
      <w:rFonts w:cs="宋体"/>
      <w:color w:val="FF0000"/>
    </w:rPr>
  </w:style>
  <w:style w:type="paragraph" w:customStyle="1" w:styleId="3487">
    <w:name w:val="样式 正文文本缩进 2正文文字缩进 2 + 四号 蓝色"/>
    <w:basedOn w:val="51"/>
    <w:autoRedefine/>
    <w:qFormat/>
    <w:uiPriority w:val="0"/>
    <w:pPr>
      <w:adjustRightInd w:val="0"/>
      <w:spacing w:line="480" w:lineRule="exact"/>
      <w:ind w:left="0" w:leftChars="0" w:firstLine="709"/>
    </w:pPr>
    <w:rPr>
      <w:rFonts w:eastAsia="Times New Roman"/>
      <w:color w:val="0000FF"/>
      <w:kern w:val="0"/>
      <w:sz w:val="24"/>
      <w:lang w:val="en-US"/>
    </w:rPr>
  </w:style>
  <w:style w:type="paragraph" w:customStyle="1" w:styleId="3488">
    <w:name w:val="样式 五号 居中 行距: 最小值 18 磅"/>
    <w:basedOn w:val="1"/>
    <w:autoRedefine/>
    <w:qFormat/>
    <w:uiPriority w:val="0"/>
    <w:pPr>
      <w:adjustRightInd/>
      <w:snapToGrid/>
      <w:spacing w:line="360" w:lineRule="atLeast"/>
      <w:ind w:firstLine="0" w:firstLineChars="0"/>
      <w:jc w:val="center"/>
    </w:pPr>
    <w:rPr>
      <w:rFonts w:cs="宋体"/>
      <w:sz w:val="21"/>
    </w:rPr>
  </w:style>
  <w:style w:type="paragraph" w:customStyle="1" w:styleId="3489">
    <w:name w:val="样式 (中文) 黑体"/>
    <w:basedOn w:val="1"/>
    <w:autoRedefine/>
    <w:qFormat/>
    <w:uiPriority w:val="0"/>
    <w:pPr>
      <w:adjustRightInd/>
      <w:snapToGrid/>
      <w:ind w:firstLine="567" w:firstLineChars="0"/>
    </w:pPr>
    <w:rPr>
      <w:rFonts w:eastAsia="黑体" w:cs="宋体"/>
      <w:kern w:val="0"/>
    </w:rPr>
  </w:style>
  <w:style w:type="paragraph" w:customStyle="1" w:styleId="3490">
    <w:name w:val="热电厂正文"/>
    <w:basedOn w:val="1"/>
    <w:autoRedefine/>
    <w:qFormat/>
    <w:uiPriority w:val="0"/>
    <w:pPr>
      <w:adjustRightInd/>
      <w:snapToGrid/>
      <w:spacing w:line="440" w:lineRule="exact"/>
      <w:ind w:firstLine="480"/>
    </w:pPr>
    <w:rPr>
      <w:szCs w:val="24"/>
    </w:rPr>
  </w:style>
  <w:style w:type="paragraph" w:customStyle="1" w:styleId="3491">
    <w:name w:val="标题后正文"/>
    <w:basedOn w:val="1"/>
    <w:autoRedefine/>
    <w:qFormat/>
    <w:uiPriority w:val="0"/>
    <w:pPr>
      <w:spacing w:line="360" w:lineRule="auto"/>
    </w:pPr>
    <w:rPr>
      <w:rFonts w:ascii="Arial" w:hAnsi="Arial"/>
      <w:kern w:val="28"/>
    </w:rPr>
  </w:style>
  <w:style w:type="paragraph" w:customStyle="1" w:styleId="3492">
    <w:name w:val="样式 小四 首行缩进:  0.74 厘米 行距: 固定值 20 磅"/>
    <w:basedOn w:val="1"/>
    <w:autoRedefine/>
    <w:qFormat/>
    <w:uiPriority w:val="0"/>
    <w:pPr>
      <w:adjustRightInd/>
      <w:snapToGrid/>
      <w:spacing w:line="440" w:lineRule="exact"/>
      <w:ind w:firstLine="454" w:firstLineChars="0"/>
    </w:pPr>
  </w:style>
  <w:style w:type="character" w:customStyle="1" w:styleId="3493">
    <w:name w:val="标准 Char Char"/>
    <w:link w:val="3494"/>
    <w:autoRedefine/>
    <w:qFormat/>
    <w:locked/>
    <w:uiPriority w:val="0"/>
    <w:rPr>
      <w:sz w:val="28"/>
    </w:rPr>
  </w:style>
  <w:style w:type="paragraph" w:customStyle="1" w:styleId="3494">
    <w:name w:val="标准 Char"/>
    <w:basedOn w:val="1"/>
    <w:link w:val="3493"/>
    <w:autoRedefine/>
    <w:qFormat/>
    <w:uiPriority w:val="0"/>
    <w:pPr>
      <w:snapToGrid/>
      <w:ind w:firstLine="0" w:firstLineChars="0"/>
    </w:pPr>
    <w:rPr>
      <w:kern w:val="0"/>
      <w:sz w:val="28"/>
    </w:rPr>
  </w:style>
  <w:style w:type="paragraph" w:customStyle="1" w:styleId="3495">
    <w:name w:val="样式 小四 行距: 固定值 24 磅 首行缩进:  2 字符"/>
    <w:basedOn w:val="1"/>
    <w:autoRedefine/>
    <w:qFormat/>
    <w:uiPriority w:val="0"/>
    <w:pPr>
      <w:adjustRightInd/>
      <w:snapToGrid/>
      <w:spacing w:line="440" w:lineRule="exact"/>
    </w:pPr>
    <w:rPr>
      <w:szCs w:val="24"/>
    </w:rPr>
  </w:style>
  <w:style w:type="paragraph" w:customStyle="1" w:styleId="3496">
    <w:name w:val="农业部一"/>
    <w:next w:val="34"/>
    <w:autoRedefine/>
    <w:qFormat/>
    <w:uiPriority w:val="0"/>
    <w:pPr>
      <w:widowControl w:val="0"/>
      <w:topLinePunct/>
      <w:spacing w:line="360" w:lineRule="atLeast"/>
      <w:jc w:val="center"/>
    </w:pPr>
    <w:rPr>
      <w:rFonts w:ascii="Times New Roman" w:hAnsi="Times New Roman" w:eastAsia="宋体" w:cs="Times New Roman"/>
      <w:kern w:val="2"/>
      <w:sz w:val="24"/>
      <w:szCs w:val="24"/>
      <w:lang w:val="en-US" w:eastAsia="zh-CN" w:bidi="ar-SA"/>
    </w:rPr>
  </w:style>
  <w:style w:type="paragraph" w:customStyle="1" w:styleId="3497">
    <w:name w:val="5#表格"/>
    <w:basedOn w:val="1"/>
    <w:autoRedefine/>
    <w:qFormat/>
    <w:uiPriority w:val="0"/>
    <w:pPr>
      <w:tabs>
        <w:tab w:val="left" w:pos="600"/>
      </w:tabs>
      <w:snapToGrid/>
      <w:spacing w:line="360" w:lineRule="exact"/>
      <w:ind w:firstLine="0" w:firstLineChars="0"/>
      <w:jc w:val="center"/>
    </w:pPr>
    <w:rPr>
      <w:kern w:val="0"/>
      <w:sz w:val="21"/>
      <w:szCs w:val="21"/>
    </w:rPr>
  </w:style>
  <w:style w:type="paragraph" w:customStyle="1" w:styleId="3498">
    <w:name w:val="国函"/>
    <w:next w:val="1"/>
    <w:autoRedefine/>
    <w:qFormat/>
    <w:uiPriority w:val="0"/>
    <w:pPr>
      <w:adjustRightInd w:val="0"/>
      <w:spacing w:after="300"/>
      <w:jc w:val="center"/>
    </w:pPr>
    <w:rPr>
      <w:rFonts w:ascii="Times New Roman" w:hAnsi="Times New Roman" w:eastAsia="楷体_GB2312" w:cs="Times New Roman"/>
      <w:lang w:val="en-US" w:eastAsia="zh-CN" w:bidi="ar-SA"/>
    </w:rPr>
  </w:style>
  <w:style w:type="paragraph" w:customStyle="1" w:styleId="3499">
    <w:name w:val="样式 标题 1 + 浅蓝 首行缩进:  0 厘米"/>
    <w:basedOn w:val="3"/>
    <w:autoRedefine/>
    <w:qFormat/>
    <w:uiPriority w:val="0"/>
    <w:pPr>
      <w:numPr>
        <w:numId w:val="0"/>
      </w:numPr>
      <w:tabs>
        <w:tab w:val="left" w:pos="360"/>
      </w:tabs>
      <w:spacing w:before="340" w:after="330" w:line="360" w:lineRule="auto"/>
      <w:ind w:firstLine="567"/>
    </w:pPr>
    <w:rPr>
      <w:bCs w:val="0"/>
      <w:color w:val="3366FF"/>
      <w:sz w:val="32"/>
      <w:szCs w:val="20"/>
      <w:lang w:val="en-US"/>
    </w:rPr>
  </w:style>
  <w:style w:type="paragraph" w:customStyle="1" w:styleId="3500">
    <w:name w:val="样式 左侧:  0.85 厘米 首行缩进:  2 字符"/>
    <w:basedOn w:val="1"/>
    <w:autoRedefine/>
    <w:qFormat/>
    <w:uiPriority w:val="0"/>
    <w:pPr>
      <w:adjustRightInd/>
      <w:snapToGrid/>
    </w:pPr>
  </w:style>
  <w:style w:type="paragraph" w:customStyle="1" w:styleId="3501">
    <w:name w:val="样式 标题 3 + 首行缩进:  0 厘米"/>
    <w:basedOn w:val="5"/>
    <w:autoRedefine/>
    <w:qFormat/>
    <w:uiPriority w:val="0"/>
    <w:pPr>
      <w:numPr>
        <w:ilvl w:val="0"/>
        <w:numId w:val="0"/>
      </w:numPr>
      <w:tabs>
        <w:tab w:val="left" w:pos="1134"/>
        <w:tab w:val="left" w:pos="1256"/>
      </w:tabs>
      <w:spacing w:before="260" w:after="260" w:line="360" w:lineRule="auto"/>
      <w:ind w:firstLine="567"/>
      <w:jc w:val="left"/>
    </w:pPr>
    <w:rPr>
      <w:bCs w:val="0"/>
      <w:kern w:val="0"/>
      <w:szCs w:val="20"/>
      <w:lang w:val="en-US"/>
    </w:rPr>
  </w:style>
  <w:style w:type="paragraph" w:customStyle="1" w:styleId="3502">
    <w:name w:val="表格用字 +  六号"/>
    <w:basedOn w:val="1"/>
    <w:autoRedefine/>
    <w:qFormat/>
    <w:uiPriority w:val="0"/>
    <w:pPr>
      <w:adjustRightInd/>
      <w:snapToGrid/>
      <w:spacing w:line="0" w:lineRule="atLeast"/>
      <w:ind w:firstLine="0" w:firstLineChars="0"/>
    </w:pPr>
    <w:rPr>
      <w:rFonts w:ascii="宋体" w:eastAsia="仿宋_GB2312"/>
      <w:sz w:val="15"/>
    </w:rPr>
  </w:style>
  <w:style w:type="paragraph" w:customStyle="1" w:styleId="3503">
    <w:name w:val="说明-表格用字"/>
    <w:basedOn w:val="1"/>
    <w:autoRedefine/>
    <w:qFormat/>
    <w:uiPriority w:val="0"/>
    <w:pPr>
      <w:adjustRightInd/>
      <w:snapToGrid/>
      <w:spacing w:line="240" w:lineRule="auto"/>
      <w:ind w:firstLine="0" w:firstLineChars="0"/>
      <w:jc w:val="center"/>
    </w:pPr>
    <w:rPr>
      <w:rFonts w:ascii="宋体" w:hAnsi="宋体"/>
      <w:kern w:val="0"/>
      <w:sz w:val="21"/>
    </w:rPr>
  </w:style>
  <w:style w:type="paragraph" w:customStyle="1" w:styleId="3504">
    <w:name w:val="样式 标题 1 + 加粗 首行缩进:  0 厘米"/>
    <w:basedOn w:val="3"/>
    <w:autoRedefine/>
    <w:qFormat/>
    <w:uiPriority w:val="0"/>
    <w:pPr>
      <w:widowControl/>
      <w:numPr>
        <w:numId w:val="0"/>
      </w:numPr>
      <w:tabs>
        <w:tab w:val="left" w:pos="360"/>
      </w:tabs>
      <w:spacing w:before="340" w:after="330" w:line="480" w:lineRule="atLeast"/>
    </w:pPr>
    <w:rPr>
      <w:bCs w:val="0"/>
      <w:sz w:val="32"/>
      <w:szCs w:val="20"/>
      <w:lang w:val="en-US"/>
    </w:rPr>
  </w:style>
  <w:style w:type="paragraph" w:customStyle="1" w:styleId="3505">
    <w:name w:val="样式 小五 居中 首行缩进:  2 字符"/>
    <w:basedOn w:val="1"/>
    <w:autoRedefine/>
    <w:qFormat/>
    <w:uiPriority w:val="0"/>
    <w:pPr>
      <w:adjustRightInd/>
      <w:snapToGrid/>
      <w:spacing w:line="240" w:lineRule="auto"/>
      <w:ind w:firstLine="0" w:firstLineChars="0"/>
      <w:jc w:val="center"/>
    </w:pPr>
    <w:rPr>
      <w:sz w:val="18"/>
    </w:rPr>
  </w:style>
  <w:style w:type="paragraph" w:customStyle="1" w:styleId="3506">
    <w:name w:val="说明-表格-注"/>
    <w:basedOn w:val="1"/>
    <w:autoRedefine/>
    <w:qFormat/>
    <w:uiPriority w:val="0"/>
    <w:pPr>
      <w:adjustRightInd/>
      <w:snapToGrid/>
      <w:spacing w:line="0" w:lineRule="atLeast"/>
      <w:ind w:left="189" w:leftChars="189" w:right="374" w:firstLine="13" w:firstLineChars="7"/>
    </w:pPr>
    <w:rPr>
      <w:rFonts w:hAnsi="宋体"/>
      <w:sz w:val="18"/>
    </w:rPr>
  </w:style>
  <w:style w:type="paragraph" w:customStyle="1" w:styleId="3507">
    <w:name w:val="说明-标题3"/>
    <w:basedOn w:val="5"/>
    <w:autoRedefine/>
    <w:qFormat/>
    <w:uiPriority w:val="0"/>
    <w:pPr>
      <w:numPr>
        <w:ilvl w:val="0"/>
        <w:numId w:val="0"/>
      </w:numPr>
      <w:tabs>
        <w:tab w:val="left" w:pos="1134"/>
        <w:tab w:val="left" w:pos="1256"/>
      </w:tabs>
      <w:adjustRightInd/>
      <w:snapToGrid/>
      <w:spacing w:before="260" w:afterLines="50" w:line="416" w:lineRule="atLeast"/>
    </w:pPr>
    <w:rPr>
      <w:rFonts w:ascii="黑体" w:eastAsia="黑体"/>
      <w:b w:val="0"/>
      <w:bCs w:val="0"/>
      <w:kern w:val="0"/>
      <w:sz w:val="30"/>
      <w:szCs w:val="20"/>
      <w:lang w:val="en-US"/>
    </w:rPr>
  </w:style>
  <w:style w:type="paragraph" w:customStyle="1" w:styleId="3508">
    <w:name w:val="样式 样式 标题 3 + 宋体 小四 加粗 + 首行缩进:  0 厘米"/>
    <w:basedOn w:val="1"/>
    <w:autoRedefine/>
    <w:qFormat/>
    <w:uiPriority w:val="0"/>
    <w:pPr>
      <w:keepNext/>
      <w:keepLines/>
      <w:spacing w:line="240" w:lineRule="auto"/>
      <w:ind w:firstLine="567" w:firstLineChars="0"/>
    </w:pPr>
    <w:rPr>
      <w:rFonts w:ascii="宋体" w:hAnsi="宋体"/>
      <w:b/>
      <w:kern w:val="0"/>
    </w:rPr>
  </w:style>
  <w:style w:type="paragraph" w:customStyle="1" w:styleId="3509">
    <w:name w:val="说明-正文"/>
    <w:basedOn w:val="1"/>
    <w:autoRedefine/>
    <w:qFormat/>
    <w:uiPriority w:val="0"/>
    <w:pPr>
      <w:spacing w:line="360" w:lineRule="auto"/>
      <w:ind w:firstLine="480"/>
    </w:pPr>
    <w:rPr>
      <w:kern w:val="0"/>
    </w:rPr>
  </w:style>
  <w:style w:type="paragraph" w:customStyle="1" w:styleId="3510">
    <w:name w:val="说明-标题2"/>
    <w:basedOn w:val="4"/>
    <w:autoRedefine/>
    <w:qFormat/>
    <w:uiPriority w:val="0"/>
    <w:pPr>
      <w:pageBreakBefore/>
      <w:numPr>
        <w:ilvl w:val="0"/>
        <w:numId w:val="0"/>
      </w:numPr>
      <w:tabs>
        <w:tab w:val="left" w:pos="927"/>
        <w:tab w:val="left" w:pos="1134"/>
      </w:tabs>
      <w:adjustRightInd/>
      <w:snapToGrid/>
      <w:spacing w:before="260" w:after="260" w:line="416" w:lineRule="atLeast"/>
    </w:pPr>
    <w:rPr>
      <w:rFonts w:ascii="Arial" w:hAnsi="Arial" w:eastAsia="黑体"/>
      <w:bCs w:val="0"/>
      <w:kern w:val="0"/>
      <w:sz w:val="36"/>
      <w:szCs w:val="20"/>
      <w:lang w:val="en-US"/>
    </w:rPr>
  </w:style>
  <w:style w:type="paragraph" w:customStyle="1" w:styleId="3511">
    <w:name w:val="表格用字"/>
    <w:basedOn w:val="76"/>
    <w:autoRedefine/>
    <w:qFormat/>
    <w:uiPriority w:val="0"/>
    <w:pPr>
      <w:spacing w:line="0" w:lineRule="atLeast"/>
    </w:pPr>
    <w:rPr>
      <w:rFonts w:ascii="宋体" w:eastAsia="仿宋_GB2312"/>
      <w:sz w:val="24"/>
      <w:szCs w:val="20"/>
      <w:lang w:val="en-US"/>
    </w:rPr>
  </w:style>
  <w:style w:type="paragraph" w:customStyle="1" w:styleId="3512">
    <w:name w:val="样式 小四 首行缩进:  2 字符"/>
    <w:basedOn w:val="1"/>
    <w:autoRedefine/>
    <w:qFormat/>
    <w:uiPriority w:val="0"/>
    <w:pPr>
      <w:snapToGrid/>
      <w:spacing w:line="480" w:lineRule="atLeast"/>
      <w:ind w:firstLine="180" w:firstLineChars="180"/>
    </w:pPr>
    <w:rPr>
      <w:kern w:val="0"/>
    </w:rPr>
  </w:style>
  <w:style w:type="paragraph" w:customStyle="1" w:styleId="3513">
    <w:name w:val="说明-标题4"/>
    <w:basedOn w:val="6"/>
    <w:autoRedefine/>
    <w:qFormat/>
    <w:uiPriority w:val="0"/>
    <w:pPr>
      <w:numPr>
        <w:ilvl w:val="0"/>
        <w:numId w:val="0"/>
      </w:numPr>
      <w:tabs>
        <w:tab w:val="left" w:pos="1134"/>
        <w:tab w:val="left" w:pos="1630"/>
      </w:tabs>
      <w:adjustRightInd/>
      <w:snapToGrid/>
      <w:spacing w:before="280" w:after="290" w:line="376" w:lineRule="atLeast"/>
      <w:ind w:left="100" w:leftChars="100"/>
      <w:jc w:val="both"/>
    </w:pPr>
    <w:rPr>
      <w:rFonts w:ascii="Arial" w:hAnsi="Arial"/>
      <w:b w:val="0"/>
      <w:bCs w:val="0"/>
      <w:kern w:val="0"/>
      <w:szCs w:val="20"/>
      <w:lang w:val="en-US"/>
    </w:rPr>
  </w:style>
  <w:style w:type="paragraph" w:customStyle="1" w:styleId="3514">
    <w:name w:val="样式 正文文本缩进 2正文文字缩进 2 + 自动设置 首行缩进:  2 字符"/>
    <w:basedOn w:val="51"/>
    <w:autoRedefine/>
    <w:qFormat/>
    <w:uiPriority w:val="0"/>
    <w:pPr>
      <w:tabs>
        <w:tab w:val="left" w:pos="4500"/>
      </w:tabs>
      <w:snapToGrid w:val="0"/>
      <w:spacing w:line="440" w:lineRule="exact"/>
      <w:ind w:left="0" w:leftChars="0" w:firstLine="200" w:firstLineChars="200"/>
    </w:pPr>
    <w:rPr>
      <w:rFonts w:ascii="宋体" w:hAnsi="宋体" w:eastAsia="Times New Roman"/>
      <w:kern w:val="0"/>
      <w:sz w:val="24"/>
      <w:szCs w:val="20"/>
      <w:lang w:val="en-US"/>
    </w:rPr>
  </w:style>
  <w:style w:type="paragraph" w:customStyle="1" w:styleId="3515">
    <w:name w:val="样式 样式 标题 2 + 加粗 段前: 1 行 + 四号 首行缩进:  0 厘米"/>
    <w:basedOn w:val="1"/>
    <w:autoRedefine/>
    <w:qFormat/>
    <w:uiPriority w:val="0"/>
    <w:pPr>
      <w:keepNext/>
      <w:keepLines/>
      <w:snapToGrid/>
      <w:spacing w:line="240" w:lineRule="auto"/>
      <w:ind w:firstLine="567" w:firstLineChars="0"/>
      <w:jc w:val="left"/>
    </w:pPr>
    <w:rPr>
      <w:rFonts w:ascii="宋体"/>
      <w:b/>
      <w:kern w:val="0"/>
      <w:sz w:val="28"/>
    </w:rPr>
  </w:style>
  <w:style w:type="paragraph" w:customStyle="1" w:styleId="3516">
    <w:name w:val="样式 小五 首行缩进:  2 字符"/>
    <w:basedOn w:val="1"/>
    <w:autoRedefine/>
    <w:qFormat/>
    <w:uiPriority w:val="0"/>
    <w:pPr>
      <w:adjustRightInd/>
      <w:snapToGrid/>
      <w:spacing w:line="240" w:lineRule="auto"/>
      <w:ind w:firstLine="0" w:firstLineChars="0"/>
    </w:pPr>
    <w:rPr>
      <w:sz w:val="18"/>
    </w:rPr>
  </w:style>
  <w:style w:type="paragraph" w:customStyle="1" w:styleId="3517">
    <w:name w:val="样式 标题 1 + 首行缩进:  0 厘米"/>
    <w:basedOn w:val="3"/>
    <w:autoRedefine/>
    <w:qFormat/>
    <w:uiPriority w:val="0"/>
    <w:pPr>
      <w:numPr>
        <w:numId w:val="0"/>
      </w:numPr>
      <w:tabs>
        <w:tab w:val="left" w:pos="360"/>
      </w:tabs>
      <w:spacing w:before="340" w:after="330" w:line="360" w:lineRule="auto"/>
      <w:ind w:firstLine="567"/>
    </w:pPr>
    <w:rPr>
      <w:bCs w:val="0"/>
      <w:sz w:val="32"/>
      <w:szCs w:val="20"/>
      <w:lang w:val="en-US"/>
    </w:rPr>
  </w:style>
  <w:style w:type="paragraph" w:customStyle="1" w:styleId="3518">
    <w:name w:val="表格用字 Char Char"/>
    <w:basedOn w:val="76"/>
    <w:autoRedefine/>
    <w:qFormat/>
    <w:uiPriority w:val="0"/>
    <w:pPr>
      <w:spacing w:line="0" w:lineRule="atLeast"/>
    </w:pPr>
    <w:rPr>
      <w:rFonts w:ascii="宋体" w:eastAsia="仿宋_GB2312"/>
      <w:sz w:val="24"/>
      <w:szCs w:val="20"/>
      <w:lang w:val="en-US"/>
    </w:rPr>
  </w:style>
  <w:style w:type="paragraph" w:customStyle="1" w:styleId="3519">
    <w:name w:val="样式 标题 3标题 3 Char标题 3 Char Char Char Char Char标题 3 Char Char C..."/>
    <w:basedOn w:val="5"/>
    <w:autoRedefine/>
    <w:qFormat/>
    <w:uiPriority w:val="0"/>
    <w:pPr>
      <w:numPr>
        <w:ilvl w:val="0"/>
        <w:numId w:val="0"/>
      </w:numPr>
      <w:tabs>
        <w:tab w:val="left" w:pos="636"/>
      </w:tabs>
      <w:snapToGrid/>
      <w:spacing w:before="260" w:after="260"/>
      <w:jc w:val="left"/>
    </w:pPr>
    <w:rPr>
      <w:rFonts w:ascii="宋体" w:hAnsi="宋体"/>
      <w:bCs w:val="0"/>
      <w:kern w:val="0"/>
      <w:szCs w:val="20"/>
      <w:lang w:val="en-US"/>
    </w:rPr>
  </w:style>
  <w:style w:type="paragraph" w:customStyle="1" w:styleId="3520">
    <w:name w:val="样式 标题 2 + Times New Roman 段前: 0.5 行 段后: 0.5 行"/>
    <w:basedOn w:val="4"/>
    <w:autoRedefine/>
    <w:qFormat/>
    <w:uiPriority w:val="0"/>
    <w:pPr>
      <w:numPr>
        <w:ilvl w:val="0"/>
        <w:numId w:val="0"/>
      </w:numPr>
      <w:tabs>
        <w:tab w:val="left" w:pos="4500"/>
      </w:tabs>
      <w:spacing w:before="260" w:after="260" w:line="460" w:lineRule="exact"/>
    </w:pPr>
    <w:rPr>
      <w:bCs w:val="0"/>
      <w:kern w:val="0"/>
      <w:sz w:val="28"/>
      <w:szCs w:val="20"/>
      <w:lang w:val="en-US"/>
    </w:rPr>
  </w:style>
  <w:style w:type="paragraph" w:customStyle="1" w:styleId="3521">
    <w:name w:val="说明-正文-公式"/>
    <w:basedOn w:val="3509"/>
    <w:autoRedefine/>
    <w:qFormat/>
    <w:uiPriority w:val="0"/>
    <w:pPr>
      <w:ind w:firstLine="200"/>
    </w:pPr>
  </w:style>
  <w:style w:type="paragraph" w:customStyle="1" w:styleId="3522">
    <w:name w:val="样式 标题 2 + 浅蓝 段前: 1 行"/>
    <w:basedOn w:val="4"/>
    <w:autoRedefine/>
    <w:qFormat/>
    <w:uiPriority w:val="0"/>
    <w:pPr>
      <w:numPr>
        <w:ilvl w:val="0"/>
        <w:numId w:val="0"/>
      </w:numPr>
      <w:tabs>
        <w:tab w:val="left" w:pos="927"/>
        <w:tab w:val="left" w:pos="1134"/>
      </w:tabs>
      <w:spacing w:before="260" w:after="260" w:line="360" w:lineRule="auto"/>
      <w:ind w:firstLine="567"/>
    </w:pPr>
    <w:rPr>
      <w:rFonts w:ascii="宋体"/>
      <w:bCs w:val="0"/>
      <w:color w:val="3366FF"/>
      <w:kern w:val="0"/>
      <w:sz w:val="28"/>
      <w:szCs w:val="20"/>
      <w:lang w:val="en-US"/>
    </w:rPr>
  </w:style>
  <w:style w:type="paragraph" w:customStyle="1" w:styleId="3523">
    <w:name w:val="样式 样式7 + 小四"/>
    <w:basedOn w:val="501"/>
    <w:autoRedefine/>
    <w:qFormat/>
    <w:uiPriority w:val="0"/>
    <w:pPr>
      <w:keepNext/>
      <w:keepLines/>
      <w:tabs>
        <w:tab w:val="left" w:pos="560"/>
      </w:tabs>
      <w:spacing w:before="240"/>
      <w:ind w:firstLine="0" w:firstLineChars="0"/>
      <w:jc w:val="left"/>
      <w:outlineLvl w:val="2"/>
    </w:pPr>
    <w:rPr>
      <w:rFonts w:ascii="宋体" w:hAnsi="宋体"/>
      <w:b/>
      <w:kern w:val="0"/>
      <w:sz w:val="24"/>
      <w:szCs w:val="20"/>
      <w:lang w:val="en-US"/>
    </w:rPr>
  </w:style>
  <w:style w:type="paragraph" w:customStyle="1" w:styleId="3524">
    <w:name w:val="样式 样式 标题 2 + 左侧:  2 字符 + 首行缩进:  2 字符1"/>
    <w:basedOn w:val="1"/>
    <w:autoRedefine/>
    <w:qFormat/>
    <w:uiPriority w:val="0"/>
    <w:pPr>
      <w:keepNext/>
      <w:keepLines/>
      <w:spacing w:line="416" w:lineRule="atLeast"/>
      <w:ind w:firstLine="640"/>
      <w:jc w:val="left"/>
    </w:pPr>
    <w:rPr>
      <w:rFonts w:ascii="Arial" w:hAnsi="Arial" w:eastAsia="黑体"/>
      <w:b/>
      <w:kern w:val="0"/>
      <w:sz w:val="28"/>
    </w:rPr>
  </w:style>
  <w:style w:type="paragraph" w:customStyle="1" w:styleId="3525">
    <w:name w:val="表格用字 Char1"/>
    <w:basedOn w:val="76"/>
    <w:autoRedefine/>
    <w:qFormat/>
    <w:uiPriority w:val="0"/>
    <w:pPr>
      <w:spacing w:line="0" w:lineRule="atLeast"/>
    </w:pPr>
    <w:rPr>
      <w:rFonts w:ascii="宋体" w:eastAsia="仿宋_GB2312"/>
      <w:sz w:val="24"/>
      <w:szCs w:val="20"/>
      <w:lang w:val="en-US"/>
    </w:rPr>
  </w:style>
  <w:style w:type="paragraph" w:customStyle="1" w:styleId="3526">
    <w:name w:val="插图1"/>
    <w:basedOn w:val="1"/>
    <w:autoRedefine/>
    <w:qFormat/>
    <w:uiPriority w:val="0"/>
    <w:pPr>
      <w:snapToGrid/>
      <w:spacing w:line="240" w:lineRule="auto"/>
      <w:ind w:firstLine="0" w:firstLineChars="0"/>
    </w:pPr>
    <w:rPr>
      <w:kern w:val="0"/>
    </w:rPr>
  </w:style>
  <w:style w:type="paragraph" w:customStyle="1" w:styleId="3527">
    <w:name w:val="样式 小二 加粗 黑色 居中 段后: 12 磅"/>
    <w:basedOn w:val="84"/>
    <w:autoRedefine/>
    <w:qFormat/>
    <w:uiPriority w:val="0"/>
    <w:pPr>
      <w:spacing w:before="0" w:after="0" w:line="460" w:lineRule="exact"/>
      <w:outlineLvl w:val="9"/>
    </w:pPr>
    <w:rPr>
      <w:rFonts w:ascii="Arial" w:hAnsi="Arial" w:eastAsia="Times New Roman"/>
      <w:bCs w:val="0"/>
      <w:color w:val="000000"/>
      <w:sz w:val="36"/>
      <w:szCs w:val="20"/>
      <w:lang w:val="en-US"/>
    </w:rPr>
  </w:style>
  <w:style w:type="paragraph" w:customStyle="1" w:styleId="3528">
    <w:name w:val="样式 节 + 段前: 0.5 行 段后: 0.5 行"/>
    <w:basedOn w:val="4"/>
    <w:autoRedefine/>
    <w:qFormat/>
    <w:uiPriority w:val="0"/>
    <w:pPr>
      <w:numPr>
        <w:ilvl w:val="0"/>
        <w:numId w:val="0"/>
      </w:numPr>
      <w:tabs>
        <w:tab w:val="left" w:pos="840"/>
      </w:tabs>
      <w:adjustRightInd/>
      <w:snapToGrid/>
      <w:spacing w:before="260" w:afterLines="50" w:line="240" w:lineRule="auto"/>
      <w:ind w:left="839" w:hanging="839"/>
      <w:outlineLvl w:val="2"/>
    </w:pPr>
    <w:rPr>
      <w:rFonts w:ascii="宋体" w:hAnsi="宋体"/>
      <w:b w:val="0"/>
      <w:bCs w:val="0"/>
      <w:kern w:val="0"/>
      <w:sz w:val="28"/>
      <w:szCs w:val="20"/>
      <w:lang w:val="en-US"/>
    </w:rPr>
  </w:style>
  <w:style w:type="paragraph" w:customStyle="1" w:styleId="3529">
    <w:name w:val="条-成果 Char"/>
    <w:basedOn w:val="5"/>
    <w:autoRedefine/>
    <w:qFormat/>
    <w:uiPriority w:val="0"/>
    <w:pPr>
      <w:numPr>
        <w:ilvl w:val="0"/>
        <w:numId w:val="0"/>
      </w:numPr>
      <w:tabs>
        <w:tab w:val="left" w:pos="1440"/>
      </w:tabs>
      <w:adjustRightInd/>
      <w:snapToGrid/>
      <w:spacing w:before="260" w:after="260" w:line="400" w:lineRule="exact"/>
      <w:ind w:left="1440" w:hanging="720"/>
      <w:outlineLvl w:val="9"/>
    </w:pPr>
    <w:rPr>
      <w:rFonts w:ascii="宋体" w:hAnsi="宋体"/>
      <w:b w:val="0"/>
      <w:bCs w:val="0"/>
      <w:kern w:val="0"/>
      <w:szCs w:val="20"/>
      <w:lang w:val="en-US"/>
    </w:rPr>
  </w:style>
  <w:style w:type="paragraph" w:customStyle="1" w:styleId="3530">
    <w:name w:val="样式 标题 2 + Times New Roman 小三 行距: 最小值 24 磅"/>
    <w:basedOn w:val="4"/>
    <w:autoRedefine/>
    <w:qFormat/>
    <w:uiPriority w:val="0"/>
    <w:pPr>
      <w:numPr>
        <w:numId w:val="0"/>
      </w:numPr>
      <w:tabs>
        <w:tab w:val="left" w:pos="2242"/>
      </w:tabs>
      <w:adjustRightInd/>
      <w:snapToGrid/>
      <w:spacing w:before="260" w:after="260" w:line="480" w:lineRule="atLeast"/>
      <w:ind w:left="680" w:hanging="680" w:firstLineChars="200"/>
    </w:pPr>
    <w:rPr>
      <w:rFonts w:eastAsia="黑体" w:cs="宋体"/>
      <w:b w:val="0"/>
      <w:bCs w:val="0"/>
      <w:kern w:val="0"/>
      <w:sz w:val="30"/>
      <w:szCs w:val="20"/>
      <w:lang w:val="en-US"/>
    </w:rPr>
  </w:style>
  <w:style w:type="paragraph" w:customStyle="1" w:styleId="3531">
    <w:name w:val="样式 首行缩进:  2 字符 行距: 1.5 倍行距"/>
    <w:basedOn w:val="1"/>
    <w:autoRedefine/>
    <w:qFormat/>
    <w:uiPriority w:val="0"/>
    <w:pPr>
      <w:adjustRightInd/>
      <w:snapToGrid/>
      <w:spacing w:line="440" w:lineRule="exact"/>
    </w:pPr>
    <w:rPr>
      <w:rFonts w:cs="宋体"/>
    </w:rPr>
  </w:style>
  <w:style w:type="paragraph" w:customStyle="1" w:styleId="3532">
    <w:name w:val="样式 首行缩进:  2 字符 行距: 固定值 30 磅"/>
    <w:basedOn w:val="1"/>
    <w:autoRedefine/>
    <w:qFormat/>
    <w:uiPriority w:val="0"/>
    <w:pPr>
      <w:adjustRightInd/>
      <w:snapToGrid/>
      <w:spacing w:line="440" w:lineRule="exact"/>
    </w:pPr>
    <w:rPr>
      <w:rFonts w:cs="宋体"/>
    </w:rPr>
  </w:style>
  <w:style w:type="paragraph" w:customStyle="1" w:styleId="3533">
    <w:name w:val="样式 样式 首行缩进:  2 字符 行距: 固定值 30 磅 + 首行缩进:  2 字符"/>
    <w:basedOn w:val="3532"/>
    <w:autoRedefine/>
    <w:qFormat/>
    <w:uiPriority w:val="0"/>
    <w:pPr>
      <w:spacing w:line="480" w:lineRule="exact"/>
    </w:pPr>
  </w:style>
  <w:style w:type="paragraph" w:customStyle="1" w:styleId="3534">
    <w:name w:val="样式 行距: 最小值 18 磅"/>
    <w:basedOn w:val="1"/>
    <w:autoRedefine/>
    <w:qFormat/>
    <w:uiPriority w:val="0"/>
    <w:pPr>
      <w:adjustRightInd/>
      <w:snapToGrid/>
      <w:ind w:firstLine="567" w:firstLineChars="0"/>
    </w:pPr>
    <w:rPr>
      <w:rFonts w:cs="宋体"/>
      <w:kern w:val="0"/>
    </w:rPr>
  </w:style>
  <w:style w:type="paragraph" w:customStyle="1" w:styleId="3535">
    <w:name w:val="样式 首行缩进:  2 字符 右侧:  -0.04 厘米"/>
    <w:basedOn w:val="1"/>
    <w:autoRedefine/>
    <w:qFormat/>
    <w:uiPriority w:val="0"/>
    <w:pPr>
      <w:adjustRightInd/>
      <w:snapToGrid/>
      <w:ind w:right="-23"/>
    </w:pPr>
    <w:rPr>
      <w:rFonts w:cs="宋体"/>
    </w:rPr>
  </w:style>
  <w:style w:type="paragraph" w:customStyle="1" w:styleId="3536">
    <w:name w:val="样式 行距: 最小值 24 磅 首行缩进:  0 字符"/>
    <w:basedOn w:val="1"/>
    <w:autoRedefine/>
    <w:qFormat/>
    <w:uiPriority w:val="0"/>
    <w:pPr>
      <w:adjustRightInd/>
      <w:snapToGrid/>
      <w:spacing w:line="460" w:lineRule="exact"/>
      <w:ind w:firstLine="567" w:firstLineChars="0"/>
    </w:pPr>
    <w:rPr>
      <w:rFonts w:cs="宋体"/>
    </w:rPr>
  </w:style>
  <w:style w:type="paragraph" w:customStyle="1" w:styleId="3537">
    <w:name w:val="样式 首行缩进:  2 字符 右侧:  0.5 厘米"/>
    <w:basedOn w:val="1"/>
    <w:autoRedefine/>
    <w:qFormat/>
    <w:uiPriority w:val="0"/>
    <w:pPr>
      <w:adjustRightInd/>
      <w:snapToGrid/>
      <w:ind w:right="284"/>
    </w:pPr>
    <w:rPr>
      <w:rFonts w:cs="宋体"/>
    </w:rPr>
  </w:style>
  <w:style w:type="paragraph" w:customStyle="1" w:styleId="3538">
    <w:name w:val="样式 行距: 最小值 24 磅"/>
    <w:basedOn w:val="1"/>
    <w:autoRedefine/>
    <w:qFormat/>
    <w:uiPriority w:val="0"/>
    <w:pPr>
      <w:adjustRightInd/>
      <w:snapToGrid/>
      <w:ind w:firstLine="567" w:firstLineChars="0"/>
    </w:pPr>
    <w:rPr>
      <w:rFonts w:cs="宋体"/>
      <w:kern w:val="0"/>
    </w:rPr>
  </w:style>
  <w:style w:type="paragraph" w:customStyle="1" w:styleId="3539">
    <w:name w:val="样式 样式 首行缩进:  2 字符 行距: 1.5 倍行距 + 首行缩进:  2 字符"/>
    <w:basedOn w:val="3531"/>
    <w:autoRedefine/>
    <w:qFormat/>
    <w:uiPriority w:val="0"/>
    <w:pPr>
      <w:spacing w:line="480" w:lineRule="exact"/>
    </w:pPr>
  </w:style>
  <w:style w:type="paragraph" w:customStyle="1" w:styleId="3540">
    <w:name w:val="样式 首行缩进:  2 字符 行距: 固定值 29 磅"/>
    <w:basedOn w:val="1"/>
    <w:autoRedefine/>
    <w:qFormat/>
    <w:uiPriority w:val="0"/>
    <w:pPr>
      <w:adjustRightInd/>
      <w:snapToGrid/>
    </w:pPr>
    <w:rPr>
      <w:rFonts w:cs="宋体"/>
    </w:rPr>
  </w:style>
  <w:style w:type="paragraph" w:customStyle="1" w:styleId="3541">
    <w:name w:val="样式 日期 + 首行缩进:  2 字符"/>
    <w:basedOn w:val="50"/>
    <w:autoRedefine/>
    <w:qFormat/>
    <w:uiPriority w:val="0"/>
    <w:pPr>
      <w:adjustRightInd/>
      <w:snapToGrid/>
      <w:ind w:left="0" w:leftChars="0"/>
    </w:pPr>
    <w:rPr>
      <w:rFonts w:eastAsia="Times New Roman" w:cs="宋体"/>
      <w:szCs w:val="20"/>
      <w:lang w:val="en-US"/>
    </w:rPr>
  </w:style>
  <w:style w:type="paragraph" w:customStyle="1" w:styleId="3542">
    <w:name w:val="样式 首行缩进:  2 字符 行距: 最小值 19 磅"/>
    <w:basedOn w:val="1"/>
    <w:autoRedefine/>
    <w:qFormat/>
    <w:uiPriority w:val="0"/>
    <w:pPr>
      <w:adjustRightInd/>
      <w:snapToGrid/>
    </w:pPr>
    <w:rPr>
      <w:rFonts w:cs="宋体"/>
    </w:rPr>
  </w:style>
  <w:style w:type="paragraph" w:customStyle="1" w:styleId="3543">
    <w:name w:val="样式 行距: 最小值 18 磅 首行缩进:  0 字符"/>
    <w:basedOn w:val="1"/>
    <w:autoRedefine/>
    <w:qFormat/>
    <w:uiPriority w:val="0"/>
    <w:pPr>
      <w:adjustRightInd/>
      <w:snapToGrid/>
      <w:ind w:firstLine="567" w:firstLineChars="0"/>
    </w:pPr>
    <w:rPr>
      <w:rFonts w:cs="宋体"/>
    </w:rPr>
  </w:style>
  <w:style w:type="paragraph" w:customStyle="1" w:styleId="3544">
    <w:name w:val="样式 左 首行缩进:  2 字符"/>
    <w:basedOn w:val="1"/>
    <w:autoRedefine/>
    <w:qFormat/>
    <w:uiPriority w:val="0"/>
    <w:pPr>
      <w:adjustRightInd/>
      <w:snapToGrid/>
      <w:jc w:val="left"/>
    </w:pPr>
    <w:rPr>
      <w:rFonts w:cs="宋体"/>
    </w:rPr>
  </w:style>
  <w:style w:type="paragraph" w:customStyle="1" w:styleId="3545">
    <w:name w:val="样式 宋体 左 首行缩进:  2 字符 行距: 固定值 28 磅"/>
    <w:basedOn w:val="1"/>
    <w:autoRedefine/>
    <w:qFormat/>
    <w:uiPriority w:val="0"/>
    <w:pPr>
      <w:adjustRightInd/>
      <w:snapToGrid/>
      <w:jc w:val="left"/>
    </w:pPr>
    <w:rPr>
      <w:rFonts w:ascii="宋体" w:cs="宋体"/>
    </w:rPr>
  </w:style>
  <w:style w:type="paragraph" w:customStyle="1" w:styleId="3546">
    <w:name w:val="样式 标题 1 + 段前: 17 磅 段后: 16.5 磅"/>
    <w:basedOn w:val="3"/>
    <w:autoRedefine/>
    <w:qFormat/>
    <w:uiPriority w:val="0"/>
    <w:pPr>
      <w:numPr>
        <w:numId w:val="0"/>
      </w:numPr>
      <w:tabs>
        <w:tab w:val="left" w:pos="1134"/>
      </w:tabs>
      <w:snapToGrid/>
      <w:spacing w:before="340" w:after="330" w:line="480" w:lineRule="atLeast"/>
      <w:ind w:firstLine="723" w:firstLineChars="200"/>
      <w:jc w:val="both"/>
    </w:pPr>
    <w:rPr>
      <w:sz w:val="36"/>
      <w:szCs w:val="20"/>
      <w:lang w:val="en-US"/>
    </w:rPr>
  </w:style>
  <w:style w:type="paragraph" w:customStyle="1" w:styleId="3547">
    <w:name w:val="图片"/>
    <w:basedOn w:val="1"/>
    <w:autoRedefine/>
    <w:qFormat/>
    <w:uiPriority w:val="0"/>
    <w:pPr>
      <w:spacing w:line="400" w:lineRule="atLeast"/>
      <w:ind w:firstLine="0" w:firstLineChars="0"/>
      <w:jc w:val="center"/>
    </w:pPr>
    <w:rPr>
      <w:kern w:val="0"/>
      <w:sz w:val="28"/>
    </w:rPr>
  </w:style>
  <w:style w:type="paragraph" w:customStyle="1" w:styleId="3548">
    <w:name w:val="南郊正文"/>
    <w:basedOn w:val="1"/>
    <w:next w:val="1"/>
    <w:autoRedefine/>
    <w:qFormat/>
    <w:uiPriority w:val="0"/>
    <w:pPr>
      <w:adjustRightInd/>
      <w:snapToGrid/>
      <w:spacing w:line="240" w:lineRule="auto"/>
      <w:ind w:firstLine="0" w:firstLineChars="0"/>
    </w:pPr>
    <w:rPr>
      <w:szCs w:val="24"/>
    </w:rPr>
  </w:style>
  <w:style w:type="paragraph" w:customStyle="1" w:styleId="3549">
    <w:name w:val="样式 区划正文+小4 24 + 首行缩进:  2 字符1"/>
    <w:basedOn w:val="1"/>
    <w:autoRedefine/>
    <w:qFormat/>
    <w:uiPriority w:val="0"/>
    <w:pPr>
      <w:spacing w:line="460" w:lineRule="exact"/>
    </w:pPr>
  </w:style>
  <w:style w:type="character" w:customStyle="1" w:styleId="3550">
    <w:name w:val="正文（首行缩进） Char1"/>
    <w:link w:val="1848"/>
    <w:autoRedefine/>
    <w:qFormat/>
    <w:locked/>
    <w:uiPriority w:val="0"/>
    <w:rPr>
      <w:snapToGrid w:val="0"/>
      <w:sz w:val="24"/>
      <w:szCs w:val="24"/>
    </w:rPr>
  </w:style>
  <w:style w:type="paragraph" w:customStyle="1" w:styleId="3551">
    <w:name w:val="样式 小四 居中 行距: 单倍行距"/>
    <w:basedOn w:val="1"/>
    <w:autoRedefine/>
    <w:qFormat/>
    <w:uiPriority w:val="0"/>
    <w:pPr>
      <w:snapToGrid/>
      <w:spacing w:line="440" w:lineRule="exact"/>
      <w:ind w:firstLine="0" w:firstLineChars="0"/>
      <w:jc w:val="center"/>
    </w:pPr>
    <w:rPr>
      <w:color w:val="FF0000"/>
      <w:kern w:val="0"/>
    </w:rPr>
  </w:style>
  <w:style w:type="paragraph" w:customStyle="1" w:styleId="3552">
    <w:name w:val="分标题"/>
    <w:basedOn w:val="1"/>
    <w:next w:val="1"/>
    <w:autoRedefine/>
    <w:qFormat/>
    <w:uiPriority w:val="0"/>
    <w:pPr>
      <w:widowControl/>
      <w:adjustRightInd/>
      <w:snapToGrid/>
      <w:spacing w:line="360" w:lineRule="auto"/>
      <w:ind w:firstLine="0" w:firstLineChars="0"/>
      <w:jc w:val="left"/>
    </w:pPr>
    <w:rPr>
      <w:rFonts w:ascii="宋体"/>
      <w:b/>
      <w:kern w:val="0"/>
      <w:szCs w:val="24"/>
    </w:rPr>
  </w:style>
  <w:style w:type="paragraph" w:customStyle="1" w:styleId="3553">
    <w:name w:val="样式 标题 3 + Times New Roman 四号 加粗"/>
    <w:basedOn w:val="5"/>
    <w:autoRedefine/>
    <w:qFormat/>
    <w:uiPriority w:val="0"/>
    <w:pPr>
      <w:numPr>
        <w:ilvl w:val="0"/>
        <w:numId w:val="0"/>
      </w:numPr>
      <w:tabs>
        <w:tab w:val="left" w:pos="1134"/>
        <w:tab w:val="left" w:pos="1256"/>
      </w:tabs>
      <w:spacing w:before="260" w:after="260" w:line="320" w:lineRule="atLeast"/>
    </w:pPr>
    <w:rPr>
      <w:rFonts w:ascii="宋体" w:hAnsi="宋体" w:eastAsia="楷体_GB2312"/>
      <w:kern w:val="0"/>
      <w:sz w:val="28"/>
      <w:szCs w:val="28"/>
      <w:lang w:val="en-US"/>
    </w:rPr>
  </w:style>
  <w:style w:type="paragraph" w:customStyle="1" w:styleId="3554">
    <w:name w:val="正文样式一"/>
    <w:basedOn w:val="1"/>
    <w:autoRedefine/>
    <w:qFormat/>
    <w:uiPriority w:val="0"/>
    <w:pPr>
      <w:snapToGrid/>
      <w:spacing w:line="400" w:lineRule="atLeast"/>
      <w:ind w:firstLine="510" w:firstLineChars="0"/>
    </w:pPr>
    <w:rPr>
      <w:kern w:val="0"/>
    </w:rPr>
  </w:style>
  <w:style w:type="paragraph" w:customStyle="1" w:styleId="3555">
    <w:name w:val="标题样式1"/>
    <w:basedOn w:val="34"/>
    <w:autoRedefine/>
    <w:qFormat/>
    <w:uiPriority w:val="0"/>
    <w:pPr>
      <w:snapToGrid/>
      <w:spacing w:line="400" w:lineRule="atLeast"/>
      <w:ind w:firstLine="540" w:firstLineChars="0"/>
    </w:pPr>
    <w:rPr>
      <w:rFonts w:ascii="黑体" w:eastAsia="黑体"/>
      <w:b/>
      <w:sz w:val="28"/>
      <w:lang w:val="en-US"/>
    </w:rPr>
  </w:style>
  <w:style w:type="paragraph" w:customStyle="1" w:styleId="3556">
    <w:name w:val="标题样式2"/>
    <w:basedOn w:val="4"/>
    <w:autoRedefine/>
    <w:qFormat/>
    <w:uiPriority w:val="0"/>
    <w:pPr>
      <w:numPr>
        <w:ilvl w:val="0"/>
        <w:numId w:val="0"/>
      </w:numPr>
      <w:tabs>
        <w:tab w:val="left" w:pos="927"/>
        <w:tab w:val="left" w:pos="1134"/>
      </w:tabs>
      <w:spacing w:beforeLines="50" w:afterLines="50" w:line="300" w:lineRule="atLeast"/>
      <w:jc w:val="center"/>
    </w:pPr>
    <w:rPr>
      <w:rFonts w:ascii="宋体" w:hAnsi="宋体"/>
      <w:b w:val="0"/>
      <w:bCs w:val="0"/>
      <w:kern w:val="0"/>
      <w:sz w:val="21"/>
      <w:szCs w:val="20"/>
      <w:lang w:val="en-US"/>
    </w:rPr>
  </w:style>
  <w:style w:type="paragraph" w:customStyle="1" w:styleId="3557">
    <w:name w:val="标题样式3"/>
    <w:basedOn w:val="5"/>
    <w:autoRedefine/>
    <w:qFormat/>
    <w:uiPriority w:val="0"/>
    <w:pPr>
      <w:numPr>
        <w:ilvl w:val="0"/>
        <w:numId w:val="0"/>
      </w:numPr>
      <w:tabs>
        <w:tab w:val="left" w:pos="1134"/>
        <w:tab w:val="left" w:pos="1256"/>
      </w:tabs>
      <w:adjustRightInd/>
      <w:snapToGrid/>
      <w:spacing w:before="260" w:after="260" w:line="400" w:lineRule="atLeast"/>
      <w:ind w:firstLine="510"/>
    </w:pPr>
    <w:rPr>
      <w:rFonts w:ascii="宋体" w:hAnsi="宋体" w:eastAsia="黑体"/>
      <w:b w:val="0"/>
      <w:bCs w:val="0"/>
      <w:kern w:val="0"/>
      <w:szCs w:val="20"/>
      <w:lang w:val="en-US"/>
    </w:rPr>
  </w:style>
  <w:style w:type="paragraph" w:customStyle="1" w:styleId="3558">
    <w:name w:val="正文样式2"/>
    <w:basedOn w:val="1"/>
    <w:next w:val="2428"/>
    <w:autoRedefine/>
    <w:qFormat/>
    <w:uiPriority w:val="0"/>
    <w:pPr>
      <w:keepNext/>
      <w:snapToGrid/>
      <w:spacing w:line="480" w:lineRule="atLeast"/>
      <w:ind w:firstLine="567" w:firstLineChars="0"/>
    </w:pPr>
    <w:rPr>
      <w:rFonts w:ascii="黑体" w:eastAsia="黑体"/>
      <w:kern w:val="0"/>
      <w:sz w:val="28"/>
    </w:rPr>
  </w:style>
  <w:style w:type="paragraph" w:customStyle="1" w:styleId="3559">
    <w:name w:val="样式 首行缩进:  2 字符 行距: 最小值 22 磅"/>
    <w:basedOn w:val="1"/>
    <w:autoRedefine/>
    <w:qFormat/>
    <w:uiPriority w:val="0"/>
    <w:pPr>
      <w:spacing w:line="420" w:lineRule="atLeast"/>
    </w:pPr>
    <w:rPr>
      <w:rFonts w:cs="宋体"/>
      <w:kern w:val="0"/>
      <w:szCs w:val="24"/>
    </w:rPr>
  </w:style>
  <w:style w:type="paragraph" w:customStyle="1" w:styleId="3560">
    <w:name w:val="样式 首行缩进:  2 字符 行距: 最小值 22 磅1"/>
    <w:basedOn w:val="1"/>
    <w:autoRedefine/>
    <w:qFormat/>
    <w:uiPriority w:val="0"/>
    <w:pPr>
      <w:spacing w:line="420" w:lineRule="atLeast"/>
    </w:pPr>
    <w:rPr>
      <w:rFonts w:cs="宋体"/>
      <w:kern w:val="0"/>
      <w:szCs w:val="24"/>
    </w:rPr>
  </w:style>
  <w:style w:type="paragraph" w:customStyle="1" w:styleId="3561">
    <w:name w:val="样式 正文文字缩进 3 + 自动设置 图案: 清除 行距: 最小值 23 磅"/>
    <w:basedOn w:val="70"/>
    <w:autoRedefine/>
    <w:qFormat/>
    <w:uiPriority w:val="0"/>
    <w:pPr>
      <w:adjustRightInd w:val="0"/>
      <w:snapToGrid w:val="0"/>
      <w:spacing w:line="420" w:lineRule="atLeast"/>
      <w:ind w:left="0" w:leftChars="0" w:firstLine="200" w:firstLineChars="200"/>
    </w:pPr>
    <w:rPr>
      <w:rFonts w:eastAsia="Times New Roman" w:cs="宋体"/>
      <w:kern w:val="0"/>
      <w:sz w:val="24"/>
      <w:szCs w:val="24"/>
      <w:lang w:val="en-US"/>
    </w:rPr>
  </w:style>
  <w:style w:type="paragraph" w:customStyle="1" w:styleId="3562">
    <w:name w:val="样式 首行缩进:  1.82 字符"/>
    <w:basedOn w:val="1"/>
    <w:autoRedefine/>
    <w:qFormat/>
    <w:uiPriority w:val="0"/>
    <w:pPr>
      <w:spacing w:line="420" w:lineRule="atLeast"/>
    </w:pPr>
    <w:rPr>
      <w:rFonts w:cs="宋体"/>
      <w:kern w:val="0"/>
      <w:szCs w:val="24"/>
    </w:rPr>
  </w:style>
  <w:style w:type="paragraph" w:customStyle="1" w:styleId="3563">
    <w:name w:val="样式 首行缩进:  2 字符 行距: 最小值 22 磅2"/>
    <w:basedOn w:val="1"/>
    <w:autoRedefine/>
    <w:qFormat/>
    <w:uiPriority w:val="0"/>
    <w:pPr>
      <w:spacing w:line="420" w:lineRule="atLeast"/>
    </w:pPr>
    <w:rPr>
      <w:rFonts w:cs="宋体"/>
      <w:kern w:val="0"/>
      <w:szCs w:val="24"/>
    </w:rPr>
  </w:style>
  <w:style w:type="paragraph" w:customStyle="1" w:styleId="3564">
    <w:name w:val="样式 行距: 最小值 22 磅 首行缩进:  0 字符"/>
    <w:basedOn w:val="1"/>
    <w:autoRedefine/>
    <w:qFormat/>
    <w:uiPriority w:val="0"/>
    <w:pPr>
      <w:spacing w:line="420" w:lineRule="atLeast"/>
      <w:ind w:firstLine="0" w:firstLineChars="0"/>
    </w:pPr>
    <w:rPr>
      <w:rFonts w:cs="宋体"/>
      <w:kern w:val="0"/>
      <w:szCs w:val="24"/>
    </w:rPr>
  </w:style>
  <w:style w:type="paragraph" w:customStyle="1" w:styleId="3565">
    <w:name w:val="样式 首行缩进:  0 字符"/>
    <w:basedOn w:val="1"/>
    <w:autoRedefine/>
    <w:qFormat/>
    <w:uiPriority w:val="0"/>
    <w:pPr>
      <w:spacing w:line="420" w:lineRule="atLeast"/>
      <w:ind w:firstLine="0" w:firstLineChars="0"/>
    </w:pPr>
    <w:rPr>
      <w:rFonts w:cs="宋体"/>
      <w:kern w:val="0"/>
      <w:szCs w:val="24"/>
    </w:rPr>
  </w:style>
  <w:style w:type="paragraph" w:customStyle="1" w:styleId="3566">
    <w:name w:val="样式 首行缩进:  2 字符 行距: 固定值 24 磅"/>
    <w:basedOn w:val="1"/>
    <w:autoRedefine/>
    <w:qFormat/>
    <w:uiPriority w:val="0"/>
    <w:pPr>
      <w:spacing w:line="420" w:lineRule="atLeast"/>
    </w:pPr>
    <w:rPr>
      <w:rFonts w:cs="宋体"/>
      <w:kern w:val="0"/>
      <w:szCs w:val="24"/>
    </w:rPr>
  </w:style>
  <w:style w:type="paragraph" w:customStyle="1" w:styleId="3567">
    <w:name w:val="样式 首行缩进:  2 字符 行距: 固定值 22 磅"/>
    <w:basedOn w:val="1"/>
    <w:autoRedefine/>
    <w:qFormat/>
    <w:uiPriority w:val="0"/>
    <w:pPr>
      <w:spacing w:line="420" w:lineRule="atLeast"/>
    </w:pPr>
    <w:rPr>
      <w:rFonts w:cs="宋体"/>
      <w:kern w:val="0"/>
      <w:szCs w:val="24"/>
    </w:rPr>
  </w:style>
  <w:style w:type="paragraph" w:customStyle="1" w:styleId="3568">
    <w:name w:val="样式 左侧:  0.19 厘米 首行缩进:  2 字符 加宽量  0.2 磅 行距: 固定值 24 磅"/>
    <w:basedOn w:val="1"/>
    <w:autoRedefine/>
    <w:qFormat/>
    <w:uiPriority w:val="0"/>
    <w:pPr>
      <w:spacing w:line="420" w:lineRule="atLeast"/>
      <w:ind w:left="108"/>
    </w:pPr>
    <w:rPr>
      <w:rFonts w:cs="宋体"/>
      <w:spacing w:val="4"/>
      <w:kern w:val="0"/>
      <w:szCs w:val="24"/>
    </w:rPr>
  </w:style>
  <w:style w:type="paragraph" w:customStyle="1" w:styleId="3569">
    <w:name w:val="样式 首行缩进:  2 字符 行距: 固定值 25 磅"/>
    <w:basedOn w:val="1"/>
    <w:autoRedefine/>
    <w:qFormat/>
    <w:uiPriority w:val="0"/>
    <w:pPr>
      <w:spacing w:line="420" w:lineRule="atLeast"/>
    </w:pPr>
    <w:rPr>
      <w:rFonts w:cs="宋体"/>
      <w:kern w:val="0"/>
      <w:szCs w:val="24"/>
    </w:rPr>
  </w:style>
  <w:style w:type="paragraph" w:customStyle="1" w:styleId="3570">
    <w:name w:val="样式 首行缩进:  1.7 字符"/>
    <w:basedOn w:val="1"/>
    <w:autoRedefine/>
    <w:qFormat/>
    <w:uiPriority w:val="0"/>
    <w:pPr>
      <w:spacing w:line="420" w:lineRule="atLeast"/>
    </w:pPr>
    <w:rPr>
      <w:rFonts w:cs="宋体"/>
      <w:kern w:val="0"/>
      <w:szCs w:val="24"/>
    </w:rPr>
  </w:style>
  <w:style w:type="paragraph" w:customStyle="1" w:styleId="3571">
    <w:name w:val="样式 (西文) 宋体 首行缩进:  2 字符"/>
    <w:basedOn w:val="1"/>
    <w:autoRedefine/>
    <w:qFormat/>
    <w:uiPriority w:val="0"/>
    <w:pPr>
      <w:spacing w:line="420" w:lineRule="atLeast"/>
    </w:pPr>
    <w:rPr>
      <w:rFonts w:ascii="宋体" w:hAnsi="宋体" w:cs="宋体"/>
      <w:kern w:val="0"/>
      <w:szCs w:val="24"/>
    </w:rPr>
  </w:style>
  <w:style w:type="paragraph" w:customStyle="1" w:styleId="3572">
    <w:name w:val="样式 样式 (西文) 宋体 首行缩进:  2 字符 + 首行缩进:  2 字符"/>
    <w:basedOn w:val="3571"/>
    <w:autoRedefine/>
    <w:qFormat/>
    <w:uiPriority w:val="0"/>
  </w:style>
  <w:style w:type="paragraph" w:customStyle="1" w:styleId="3573">
    <w:name w:val="xl389"/>
    <w:basedOn w:val="1"/>
    <w:autoRedefine/>
    <w:qFormat/>
    <w:uiPriority w:val="0"/>
    <w:pPr>
      <w:widowControl/>
      <w:pBdr>
        <w:left w:val="single" w:color="auto" w:sz="4" w:space="0"/>
        <w:bottom w:val="single" w:color="auto" w:sz="4" w:space="0"/>
      </w:pBdr>
      <w:adjustRightInd/>
      <w:snapToGrid/>
      <w:spacing w:beforeAutospacing="1" w:afterAutospacing="1" w:line="240" w:lineRule="auto"/>
      <w:ind w:firstLine="0" w:firstLineChars="0"/>
      <w:jc w:val="center"/>
    </w:pPr>
    <w:rPr>
      <w:rFonts w:ascii="宋体" w:hAnsi="宋体"/>
      <w:kern w:val="0"/>
      <w:szCs w:val="24"/>
    </w:rPr>
  </w:style>
  <w:style w:type="paragraph" w:customStyle="1" w:styleId="3574">
    <w:name w:val="样式 正文宋体小四 + 首行缩进:  2 字符"/>
    <w:basedOn w:val="1"/>
    <w:autoRedefine/>
    <w:qFormat/>
    <w:uiPriority w:val="0"/>
    <w:pPr>
      <w:adjustRightInd/>
      <w:snapToGrid/>
      <w:spacing w:line="240" w:lineRule="auto"/>
      <w:ind w:firstLine="480" w:firstLineChars="0"/>
    </w:pPr>
    <w:rPr>
      <w:rFonts w:cs="宋体"/>
      <w:sz w:val="21"/>
      <w:szCs w:val="24"/>
    </w:rPr>
  </w:style>
  <w:style w:type="paragraph" w:customStyle="1" w:styleId="3575">
    <w:name w:val="样式 样式 表格1 + 首行缩进:  2 字符 + 首行缩进:  2 字符"/>
    <w:basedOn w:val="1"/>
    <w:autoRedefine/>
    <w:qFormat/>
    <w:uiPriority w:val="0"/>
    <w:pPr>
      <w:adjustRightInd/>
      <w:snapToGrid/>
      <w:spacing w:line="400" w:lineRule="exact"/>
      <w:ind w:firstLine="0" w:firstLineChars="0"/>
      <w:jc w:val="left"/>
    </w:pPr>
    <w:rPr>
      <w:rFonts w:cs="宋体"/>
      <w:sz w:val="21"/>
    </w:rPr>
  </w:style>
  <w:style w:type="paragraph" w:customStyle="1" w:styleId="3576">
    <w:name w:val="样式 表格1 + 首行缩进:  2 字符1"/>
    <w:basedOn w:val="348"/>
    <w:autoRedefine/>
    <w:qFormat/>
    <w:uiPriority w:val="0"/>
    <w:pPr>
      <w:adjustRightInd/>
      <w:snapToGrid/>
      <w:spacing w:line="400" w:lineRule="exact"/>
      <w:jc w:val="left"/>
    </w:pPr>
    <w:rPr>
      <w:rFonts w:eastAsia="Times New Roman" w:cs="宋体"/>
      <w:szCs w:val="20"/>
      <w:lang w:val="en-US"/>
    </w:rPr>
  </w:style>
  <w:style w:type="character" w:customStyle="1" w:styleId="3577">
    <w:name w:val="珠江啤酒正文 Char"/>
    <w:link w:val="3578"/>
    <w:autoRedefine/>
    <w:qFormat/>
    <w:locked/>
    <w:uiPriority w:val="0"/>
  </w:style>
  <w:style w:type="paragraph" w:customStyle="1" w:styleId="3578">
    <w:name w:val="珠江啤酒正文"/>
    <w:basedOn w:val="1"/>
    <w:link w:val="3577"/>
    <w:autoRedefine/>
    <w:qFormat/>
    <w:uiPriority w:val="0"/>
    <w:pPr>
      <w:adjustRightInd/>
      <w:snapToGrid/>
      <w:spacing w:line="240" w:lineRule="auto"/>
      <w:ind w:firstLine="0" w:firstLineChars="0"/>
    </w:pPr>
    <w:rPr>
      <w:kern w:val="0"/>
      <w:sz w:val="20"/>
    </w:rPr>
  </w:style>
  <w:style w:type="paragraph" w:customStyle="1" w:styleId="3579">
    <w:name w:val="样式 表格 + 五号1"/>
    <w:basedOn w:val="1"/>
    <w:autoRedefine/>
    <w:qFormat/>
    <w:uiPriority w:val="0"/>
    <w:pPr>
      <w:adjustRightInd/>
      <w:snapToGrid/>
      <w:spacing w:line="400" w:lineRule="exact"/>
      <w:ind w:firstLine="0" w:firstLineChars="0"/>
      <w:jc w:val="center"/>
    </w:pPr>
    <w:rPr>
      <w:sz w:val="21"/>
      <w:szCs w:val="21"/>
    </w:rPr>
  </w:style>
  <w:style w:type="paragraph" w:customStyle="1" w:styleId="3580">
    <w:name w:val="区划正文"/>
    <w:basedOn w:val="1"/>
    <w:autoRedefine/>
    <w:qFormat/>
    <w:uiPriority w:val="0"/>
    <w:pPr>
      <w:adjustRightInd/>
      <w:spacing w:line="240" w:lineRule="auto"/>
      <w:ind w:firstLine="0" w:firstLineChars="0"/>
    </w:pPr>
    <w:rPr>
      <w:rFonts w:cs="宋体"/>
      <w:sz w:val="21"/>
    </w:rPr>
  </w:style>
  <w:style w:type="paragraph" w:customStyle="1" w:styleId="3581">
    <w:name w:val="正文111"/>
    <w:basedOn w:val="21"/>
    <w:autoRedefine/>
    <w:qFormat/>
    <w:uiPriority w:val="0"/>
    <w:pPr>
      <w:spacing w:line="360" w:lineRule="auto"/>
      <w:ind w:firstLine="200"/>
    </w:pPr>
    <w:rPr>
      <w:rFonts w:ascii="Times New Roman" w:hAnsi="Times New Roman"/>
      <w:kern w:val="0"/>
      <w:sz w:val="24"/>
      <w:lang w:val="en-US"/>
    </w:rPr>
  </w:style>
  <w:style w:type="character" w:customStyle="1" w:styleId="3582">
    <w:name w:val="表中文字 Char1"/>
    <w:autoRedefine/>
    <w:qFormat/>
    <w:locked/>
    <w:uiPriority w:val="0"/>
    <w:rPr>
      <w:rFonts w:ascii="Times New Roman" w:hAnsi="Times New Roman"/>
      <w:snapToGrid w:val="0"/>
      <w:sz w:val="21"/>
    </w:rPr>
  </w:style>
  <w:style w:type="character" w:customStyle="1" w:styleId="3583">
    <w:name w:val="样式 正文缩进正文（首行缩进两字）s4 + Arial Char"/>
    <w:link w:val="3584"/>
    <w:autoRedefine/>
    <w:semiHidden/>
    <w:qFormat/>
    <w:locked/>
    <w:uiPriority w:val="0"/>
    <w:rPr>
      <w:sz w:val="24"/>
      <w:szCs w:val="24"/>
    </w:rPr>
  </w:style>
  <w:style w:type="paragraph" w:customStyle="1" w:styleId="3584">
    <w:name w:val="样式 正文缩进正文（首行缩进两字）s4 + Arial"/>
    <w:basedOn w:val="21"/>
    <w:link w:val="3583"/>
    <w:autoRedefine/>
    <w:semiHidden/>
    <w:qFormat/>
    <w:uiPriority w:val="0"/>
    <w:pPr>
      <w:spacing w:line="400" w:lineRule="exact"/>
      <w:ind w:firstLine="0" w:firstLineChars="0"/>
    </w:pPr>
    <w:rPr>
      <w:rFonts w:ascii="Times New Roman" w:hAnsi="Times New Roman"/>
      <w:kern w:val="0"/>
      <w:sz w:val="24"/>
      <w:lang w:val="en-US"/>
    </w:rPr>
  </w:style>
  <w:style w:type="character" w:customStyle="1" w:styleId="3585">
    <w:name w:val="样式 题注 + (西文) Times New Roman (中文) 宋体 小四 加粗 黑色 Char Char"/>
    <w:autoRedefine/>
    <w:qFormat/>
    <w:locked/>
    <w:uiPriority w:val="0"/>
    <w:rPr>
      <w:rFonts w:ascii="Arial" w:hAnsi="Arial"/>
      <w:b/>
      <w:bCs/>
      <w:color w:val="000000"/>
      <w:sz w:val="24"/>
      <w:szCs w:val="24"/>
    </w:rPr>
  </w:style>
  <w:style w:type="paragraph" w:customStyle="1" w:styleId="3586">
    <w:name w:val="标题4-4"/>
    <w:basedOn w:val="6"/>
    <w:autoRedefine/>
    <w:qFormat/>
    <w:uiPriority w:val="0"/>
    <w:pPr>
      <w:numPr>
        <w:ilvl w:val="0"/>
        <w:numId w:val="0"/>
      </w:numPr>
      <w:tabs>
        <w:tab w:val="left" w:pos="1134"/>
        <w:tab w:val="left" w:pos="1630"/>
      </w:tabs>
      <w:adjustRightInd/>
      <w:snapToGrid/>
      <w:spacing w:before="280" w:after="290" w:line="360" w:lineRule="auto"/>
      <w:jc w:val="both"/>
    </w:pPr>
    <w:rPr>
      <w:kern w:val="0"/>
      <w:szCs w:val="24"/>
      <w:lang w:val="en-US"/>
    </w:rPr>
  </w:style>
  <w:style w:type="paragraph" w:customStyle="1" w:styleId="3587">
    <w:name w:val="新标题2"/>
    <w:basedOn w:val="4"/>
    <w:autoRedefine/>
    <w:qFormat/>
    <w:uiPriority w:val="0"/>
    <w:pPr>
      <w:widowControl/>
      <w:numPr>
        <w:ilvl w:val="0"/>
        <w:numId w:val="0"/>
      </w:numPr>
      <w:tabs>
        <w:tab w:val="left" w:pos="645"/>
      </w:tabs>
      <w:overflowPunct w:val="0"/>
      <w:topLinePunct/>
      <w:autoSpaceDE w:val="0"/>
      <w:autoSpaceDN w:val="0"/>
      <w:spacing w:beforeLines="50" w:afterLines="50" w:line="520" w:lineRule="exact"/>
      <w:ind w:left="645" w:hanging="567"/>
      <w:jc w:val="left"/>
    </w:pPr>
    <w:rPr>
      <w:rFonts w:ascii="Arial" w:hAnsi="Arial" w:eastAsia="黑体" w:cs="宋体"/>
      <w:b w:val="0"/>
      <w:bCs w:val="0"/>
      <w:kern w:val="0"/>
      <w:sz w:val="32"/>
      <w:szCs w:val="20"/>
      <w:lang w:val="en-US"/>
    </w:rPr>
  </w:style>
  <w:style w:type="paragraph" w:customStyle="1" w:styleId="3588">
    <w:name w:val="新标题1"/>
    <w:basedOn w:val="3"/>
    <w:autoRedefine/>
    <w:qFormat/>
    <w:uiPriority w:val="0"/>
    <w:pPr>
      <w:numPr>
        <w:numId w:val="0"/>
      </w:numPr>
      <w:tabs>
        <w:tab w:val="left" w:pos="503"/>
      </w:tabs>
      <w:overflowPunct w:val="0"/>
      <w:topLinePunct/>
      <w:autoSpaceDE w:val="0"/>
      <w:autoSpaceDN w:val="0"/>
      <w:spacing w:before="340" w:after="330" w:line="520" w:lineRule="exact"/>
      <w:ind w:left="503" w:hanging="425"/>
      <w:jc w:val="both"/>
    </w:pPr>
    <w:rPr>
      <w:rFonts w:ascii="Arial" w:hAnsi="Arial" w:cs="宋体"/>
      <w:kern w:val="2"/>
      <w:sz w:val="36"/>
      <w:szCs w:val="20"/>
      <w:lang w:val="en-US"/>
    </w:rPr>
  </w:style>
  <w:style w:type="paragraph" w:customStyle="1" w:styleId="3589">
    <w:name w:val="新标题3"/>
    <w:basedOn w:val="5"/>
    <w:autoRedefine/>
    <w:qFormat/>
    <w:uiPriority w:val="0"/>
    <w:pPr>
      <w:numPr>
        <w:ilvl w:val="0"/>
        <w:numId w:val="0"/>
      </w:numPr>
      <w:tabs>
        <w:tab w:val="left" w:pos="1229"/>
      </w:tabs>
      <w:overflowPunct w:val="0"/>
      <w:topLinePunct/>
      <w:autoSpaceDE w:val="0"/>
      <w:autoSpaceDN w:val="0"/>
      <w:spacing w:before="260" w:after="260" w:line="520" w:lineRule="exact"/>
      <w:ind w:left="1229" w:hanging="709"/>
    </w:pPr>
    <w:rPr>
      <w:rFonts w:ascii="黑体" w:eastAsia="黑体" w:cs="宋体"/>
      <w:b w:val="0"/>
      <w:bCs w:val="0"/>
      <w:kern w:val="0"/>
      <w:sz w:val="30"/>
      <w:szCs w:val="20"/>
      <w:lang w:val="en-US"/>
    </w:rPr>
  </w:style>
  <w:style w:type="character" w:customStyle="1" w:styleId="3590">
    <w:name w:val="新标题4 Char"/>
    <w:link w:val="3591"/>
    <w:autoRedefine/>
    <w:qFormat/>
    <w:locked/>
    <w:uiPriority w:val="0"/>
    <w:rPr>
      <w:rFonts w:ascii="Arial" w:hAnsi="Arial"/>
      <w:b/>
      <w:bCs/>
      <w:spacing w:val="8"/>
      <w:sz w:val="24"/>
    </w:rPr>
  </w:style>
  <w:style w:type="paragraph" w:customStyle="1" w:styleId="3591">
    <w:name w:val="新标题4"/>
    <w:basedOn w:val="6"/>
    <w:link w:val="3590"/>
    <w:autoRedefine/>
    <w:qFormat/>
    <w:uiPriority w:val="0"/>
    <w:pPr>
      <w:numPr>
        <w:ilvl w:val="0"/>
        <w:numId w:val="0"/>
      </w:numPr>
      <w:tabs>
        <w:tab w:val="left" w:pos="1024"/>
        <w:tab w:val="left" w:pos="1241"/>
      </w:tabs>
      <w:overflowPunct w:val="0"/>
      <w:topLinePunct/>
      <w:autoSpaceDE w:val="0"/>
      <w:autoSpaceDN w:val="0"/>
      <w:spacing w:before="280" w:after="290" w:line="440" w:lineRule="exact"/>
      <w:ind w:left="1241" w:hanging="851"/>
    </w:pPr>
    <w:rPr>
      <w:rFonts w:ascii="Arial" w:hAnsi="Arial"/>
      <w:spacing w:val="8"/>
      <w:kern w:val="0"/>
      <w:szCs w:val="20"/>
      <w:lang w:val="en-US"/>
    </w:rPr>
  </w:style>
  <w:style w:type="paragraph" w:customStyle="1" w:styleId="3592">
    <w:name w:val="样式 首行缩进:  2 字符20"/>
    <w:basedOn w:val="1"/>
    <w:autoRedefine/>
    <w:qFormat/>
    <w:uiPriority w:val="0"/>
    <w:pPr>
      <w:adjustRightInd/>
      <w:snapToGrid/>
      <w:spacing w:line="520" w:lineRule="exact"/>
      <w:ind w:firstLine="560"/>
    </w:pPr>
    <w:rPr>
      <w:rFonts w:cs="宋体"/>
    </w:rPr>
  </w:style>
  <w:style w:type="paragraph" w:customStyle="1" w:styleId="3593">
    <w:name w:val="neirong"/>
    <w:basedOn w:val="1"/>
    <w:autoRedefine/>
    <w:qFormat/>
    <w:uiPriority w:val="0"/>
    <w:pPr>
      <w:widowControl/>
      <w:adjustRightInd/>
      <w:snapToGrid/>
      <w:spacing w:beforeAutospacing="1" w:afterAutospacing="1" w:line="240" w:lineRule="auto"/>
      <w:ind w:firstLine="0" w:firstLineChars="0"/>
      <w:jc w:val="left"/>
    </w:pPr>
    <w:rPr>
      <w:rFonts w:ascii="宋体" w:hAnsi="宋体"/>
      <w:kern w:val="0"/>
      <w:szCs w:val="24"/>
    </w:rPr>
  </w:style>
  <w:style w:type="paragraph" w:customStyle="1" w:styleId="3594">
    <w:name w:val="91"/>
    <w:basedOn w:val="1"/>
    <w:autoRedefine/>
    <w:qFormat/>
    <w:uiPriority w:val="0"/>
    <w:pPr>
      <w:keepNext/>
      <w:adjustRightInd/>
      <w:snapToGrid/>
      <w:spacing w:beforeLines="30" w:line="360" w:lineRule="auto"/>
      <w:ind w:firstLine="0" w:firstLineChars="0"/>
    </w:pPr>
    <w:rPr>
      <w:szCs w:val="24"/>
    </w:rPr>
  </w:style>
  <w:style w:type="paragraph" w:customStyle="1" w:styleId="3595">
    <w:name w:val="段落2"/>
    <w:basedOn w:val="1484"/>
    <w:autoRedefine/>
    <w:qFormat/>
    <w:uiPriority w:val="0"/>
    <w:pPr>
      <w:spacing w:afterLines="0" w:line="400" w:lineRule="atLeast"/>
      <w:ind w:firstLine="454" w:firstLineChars="0"/>
      <w:textAlignment w:val="auto"/>
    </w:pPr>
    <w:rPr>
      <w:rFonts w:ascii="Calibri" w:hAnsi="Calibri" w:eastAsia="宋体"/>
    </w:rPr>
  </w:style>
  <w:style w:type="paragraph" w:customStyle="1" w:styleId="3596">
    <w:name w:val="样式 首行缩进:  2 字符16"/>
    <w:basedOn w:val="1"/>
    <w:autoRedefine/>
    <w:qFormat/>
    <w:uiPriority w:val="0"/>
    <w:pPr>
      <w:adjustRightInd/>
      <w:snapToGrid/>
      <w:spacing w:line="520" w:lineRule="exact"/>
      <w:ind w:firstLine="560"/>
    </w:pPr>
  </w:style>
  <w:style w:type="paragraph" w:customStyle="1" w:styleId="3597">
    <w:name w:val="样式 首行缩进:  2 字符17"/>
    <w:basedOn w:val="1"/>
    <w:autoRedefine/>
    <w:qFormat/>
    <w:uiPriority w:val="0"/>
    <w:pPr>
      <w:adjustRightInd/>
      <w:snapToGrid/>
      <w:spacing w:line="520" w:lineRule="exact"/>
      <w:ind w:firstLine="560"/>
    </w:pPr>
  </w:style>
  <w:style w:type="paragraph" w:customStyle="1" w:styleId="3598">
    <w:name w:val="样式 标题 2节标题 1.1b2H2BSH-2节标题 1.1 Charb2 CharH2 Char条标题1.1..."/>
    <w:basedOn w:val="4"/>
    <w:autoRedefine/>
    <w:qFormat/>
    <w:uiPriority w:val="0"/>
    <w:pPr>
      <w:numPr>
        <w:ilvl w:val="0"/>
        <w:numId w:val="0"/>
      </w:numPr>
      <w:tabs>
        <w:tab w:val="left" w:pos="927"/>
        <w:tab w:val="left" w:pos="1134"/>
      </w:tabs>
      <w:spacing w:before="260" w:afterLines="50" w:line="412" w:lineRule="auto"/>
      <w:jc w:val="left"/>
    </w:pPr>
    <w:rPr>
      <w:rFonts w:cs="宋体"/>
      <w:kern w:val="0"/>
      <w:sz w:val="30"/>
      <w:szCs w:val="20"/>
      <w:lang w:val="en-US"/>
    </w:rPr>
  </w:style>
  <w:style w:type="character" w:customStyle="1" w:styleId="3599">
    <w:name w:val="正文qrz Char Char Char"/>
    <w:link w:val="3600"/>
    <w:autoRedefine/>
    <w:qFormat/>
    <w:locked/>
    <w:uiPriority w:val="0"/>
    <w:rPr>
      <w:rFonts w:ascii="宋体" w:hAnsi="宋体"/>
      <w:color w:val="FF00FF"/>
      <w:sz w:val="24"/>
      <w:szCs w:val="28"/>
    </w:rPr>
  </w:style>
  <w:style w:type="paragraph" w:customStyle="1" w:styleId="3600">
    <w:name w:val="正文qrz Char Char"/>
    <w:basedOn w:val="1"/>
    <w:link w:val="3599"/>
    <w:autoRedefine/>
    <w:qFormat/>
    <w:uiPriority w:val="0"/>
    <w:pPr>
      <w:adjustRightInd/>
      <w:spacing w:line="360" w:lineRule="auto"/>
      <w:ind w:firstLine="480"/>
    </w:pPr>
    <w:rPr>
      <w:rFonts w:ascii="宋体" w:hAnsi="宋体"/>
      <w:color w:val="FF00FF"/>
      <w:kern w:val="0"/>
      <w:szCs w:val="28"/>
    </w:rPr>
  </w:style>
  <w:style w:type="character" w:customStyle="1" w:styleId="3601">
    <w:name w:val="正文qrz Char"/>
    <w:link w:val="3602"/>
    <w:autoRedefine/>
    <w:qFormat/>
    <w:locked/>
    <w:uiPriority w:val="0"/>
    <w:rPr>
      <w:color w:val="FF00FF"/>
      <w:sz w:val="24"/>
      <w:szCs w:val="24"/>
    </w:rPr>
  </w:style>
  <w:style w:type="paragraph" w:customStyle="1" w:styleId="3602">
    <w:name w:val="正文qrz"/>
    <w:basedOn w:val="1"/>
    <w:link w:val="3601"/>
    <w:autoRedefine/>
    <w:qFormat/>
    <w:uiPriority w:val="0"/>
    <w:pPr>
      <w:adjustRightInd/>
      <w:spacing w:line="440" w:lineRule="exact"/>
      <w:ind w:firstLine="480"/>
      <w:jc w:val="left"/>
    </w:pPr>
    <w:rPr>
      <w:color w:val="FF00FF"/>
      <w:kern w:val="0"/>
      <w:szCs w:val="24"/>
    </w:rPr>
  </w:style>
  <w:style w:type="paragraph" w:customStyle="1" w:styleId="3603">
    <w:name w:val="表格 + 五号"/>
    <w:basedOn w:val="276"/>
    <w:autoRedefine/>
    <w:qFormat/>
    <w:uiPriority w:val="0"/>
    <w:pPr>
      <w:keepNext/>
      <w:keepLines/>
      <w:snapToGrid/>
      <w:spacing w:line="400" w:lineRule="exact"/>
    </w:pPr>
    <w:rPr>
      <w:rFonts w:eastAsia="Times New Roman"/>
      <w:kern w:val="0"/>
      <w:lang w:val="en-US"/>
    </w:rPr>
  </w:style>
  <w:style w:type="paragraph" w:customStyle="1" w:styleId="3604">
    <w:name w:val="样式 正文文字 + 首行缩进:  2 字符 行距: 最小值 24 磅"/>
    <w:basedOn w:val="1"/>
    <w:autoRedefine/>
    <w:qFormat/>
    <w:uiPriority w:val="0"/>
    <w:pPr>
      <w:spacing w:line="480" w:lineRule="atLeast"/>
      <w:ind w:firstLine="480"/>
    </w:pPr>
    <w:rPr>
      <w:rFonts w:cs="宋体"/>
    </w:rPr>
  </w:style>
  <w:style w:type="character" w:customStyle="1" w:styleId="3605">
    <w:name w:val="正文宋体小四 Char"/>
    <w:link w:val="3606"/>
    <w:autoRedefine/>
    <w:qFormat/>
    <w:locked/>
    <w:uiPriority w:val="0"/>
    <w:rPr>
      <w:sz w:val="24"/>
      <w:szCs w:val="24"/>
    </w:rPr>
  </w:style>
  <w:style w:type="paragraph" w:customStyle="1" w:styleId="3606">
    <w:name w:val="正文宋体小四"/>
    <w:basedOn w:val="21"/>
    <w:link w:val="3605"/>
    <w:autoRedefine/>
    <w:qFormat/>
    <w:uiPriority w:val="0"/>
    <w:pPr>
      <w:adjustRightInd w:val="0"/>
      <w:spacing w:line="480" w:lineRule="exact"/>
      <w:ind w:firstLine="480"/>
    </w:pPr>
    <w:rPr>
      <w:rFonts w:ascii="Times New Roman" w:hAnsi="Times New Roman"/>
      <w:kern w:val="0"/>
      <w:sz w:val="24"/>
      <w:lang w:val="en-US"/>
    </w:rPr>
  </w:style>
  <w:style w:type="character" w:customStyle="1" w:styleId="3607">
    <w:name w:val="样式 正文（首行缩进两字） + 小三 首行缩进:  1 厘米 行距: 固定值 24 磅 Char Char"/>
    <w:link w:val="3608"/>
    <w:autoRedefine/>
    <w:qFormat/>
    <w:locked/>
    <w:uiPriority w:val="0"/>
    <w:rPr>
      <w:sz w:val="28"/>
      <w:szCs w:val="30"/>
    </w:rPr>
  </w:style>
  <w:style w:type="paragraph" w:customStyle="1" w:styleId="3608">
    <w:name w:val="样式 正文（首行缩进两字） + 小三 首行缩进:  1 厘米 行距: 固定值 24 磅 Char"/>
    <w:basedOn w:val="21"/>
    <w:link w:val="3607"/>
    <w:autoRedefine/>
    <w:qFormat/>
    <w:uiPriority w:val="0"/>
    <w:pPr>
      <w:adjustRightInd w:val="0"/>
      <w:spacing w:line="480" w:lineRule="exact"/>
      <w:ind w:firstLine="567" w:firstLineChars="0"/>
    </w:pPr>
    <w:rPr>
      <w:rFonts w:ascii="Times New Roman" w:hAnsi="Times New Roman"/>
      <w:kern w:val="0"/>
      <w:sz w:val="28"/>
      <w:szCs w:val="30"/>
      <w:lang w:val="en-US"/>
    </w:rPr>
  </w:style>
  <w:style w:type="character" w:customStyle="1" w:styleId="3609">
    <w:name w:val="样式 样式 正文（首行缩进两字） + 小三 首行缩进:  1 厘米 行距: 固定值 24 磅 + 宋体 黑色 Char"/>
    <w:link w:val="3610"/>
    <w:autoRedefine/>
    <w:qFormat/>
    <w:locked/>
    <w:uiPriority w:val="0"/>
    <w:rPr>
      <w:color w:val="000000"/>
      <w:sz w:val="28"/>
      <w:szCs w:val="28"/>
    </w:rPr>
  </w:style>
  <w:style w:type="paragraph" w:customStyle="1" w:styleId="3610">
    <w:name w:val="样式 样式 正文（首行缩进两字） + 小三 首行缩进:  1 厘米 行距: 固定值 24 磅 + 宋体 黑色"/>
    <w:basedOn w:val="3608"/>
    <w:link w:val="3609"/>
    <w:autoRedefine/>
    <w:qFormat/>
    <w:uiPriority w:val="0"/>
    <w:rPr>
      <w:color w:val="000000"/>
      <w:szCs w:val="28"/>
    </w:rPr>
  </w:style>
  <w:style w:type="paragraph" w:customStyle="1" w:styleId="3611">
    <w:name w:val="样式 表格 + 五号"/>
    <w:basedOn w:val="276"/>
    <w:autoRedefine/>
    <w:qFormat/>
    <w:uiPriority w:val="0"/>
    <w:pPr>
      <w:keepNext/>
      <w:keepLines/>
      <w:snapToGrid/>
      <w:spacing w:line="400" w:lineRule="exact"/>
      <w:ind w:firstLine="546" w:firstLineChars="260"/>
      <w:jc w:val="both"/>
    </w:pPr>
    <w:rPr>
      <w:rFonts w:eastAsia="Times New Roman"/>
      <w:kern w:val="0"/>
      <w:lang w:val="en-US"/>
    </w:rPr>
  </w:style>
  <w:style w:type="paragraph" w:customStyle="1" w:styleId="3612">
    <w:name w:val="集团要求内容格式"/>
    <w:basedOn w:val="1"/>
    <w:autoRedefine/>
    <w:qFormat/>
    <w:uiPriority w:val="0"/>
    <w:pPr>
      <w:adjustRightInd/>
      <w:snapToGrid/>
      <w:spacing w:line="240" w:lineRule="auto"/>
      <w:ind w:firstLine="560"/>
    </w:pPr>
    <w:rPr>
      <w:rFonts w:ascii="仿宋_GB2312" w:eastAsia="仿宋_GB2312"/>
      <w:sz w:val="28"/>
      <w:szCs w:val="28"/>
    </w:rPr>
  </w:style>
  <w:style w:type="paragraph" w:customStyle="1" w:styleId="3613">
    <w:name w:val="样式 桔黄 首行缩进:  1 厘米 行距: 固定值 25 磅"/>
    <w:basedOn w:val="1"/>
    <w:autoRedefine/>
    <w:qFormat/>
    <w:uiPriority w:val="0"/>
    <w:pPr>
      <w:snapToGrid/>
      <w:spacing w:line="500" w:lineRule="exact"/>
      <w:ind w:firstLine="560"/>
    </w:pPr>
    <w:rPr>
      <w:rFonts w:ascii="宋体" w:hAnsi="宋体" w:cs="宋体"/>
      <w:kern w:val="0"/>
      <w:sz w:val="28"/>
    </w:rPr>
  </w:style>
  <w:style w:type="paragraph" w:customStyle="1" w:styleId="3614">
    <w:name w:val="样式 纯文本 + (符号) 宋体 四号"/>
    <w:basedOn w:val="45"/>
    <w:autoRedefine/>
    <w:qFormat/>
    <w:uiPriority w:val="0"/>
    <w:pPr>
      <w:spacing w:line="500" w:lineRule="exact"/>
      <w:ind w:firstLine="560" w:firstLineChars="200"/>
    </w:pPr>
    <w:rPr>
      <w:rFonts w:cs="Century"/>
      <w:kern w:val="0"/>
      <w:sz w:val="28"/>
      <w:szCs w:val="21"/>
      <w:lang w:val="en-US"/>
    </w:rPr>
  </w:style>
  <w:style w:type="paragraph" w:customStyle="1" w:styleId="3615">
    <w:name w:val="样式 四号 行距: 多倍行距 1.25 字行1"/>
    <w:basedOn w:val="1"/>
    <w:autoRedefine/>
    <w:qFormat/>
    <w:uiPriority w:val="0"/>
    <w:pPr>
      <w:overflowPunct w:val="0"/>
      <w:autoSpaceDE w:val="0"/>
      <w:autoSpaceDN w:val="0"/>
      <w:spacing w:line="500" w:lineRule="exact"/>
      <w:ind w:firstLine="560"/>
    </w:pPr>
    <w:rPr>
      <w:rFonts w:ascii="宋体" w:hAnsi="宋体" w:cs="宋体"/>
      <w:kern w:val="24"/>
      <w:sz w:val="28"/>
    </w:rPr>
  </w:style>
  <w:style w:type="paragraph" w:customStyle="1" w:styleId="3616">
    <w:name w:val="样式 标题 2 +"/>
    <w:basedOn w:val="4"/>
    <w:autoRedefine/>
    <w:qFormat/>
    <w:uiPriority w:val="0"/>
    <w:pPr>
      <w:numPr>
        <w:ilvl w:val="0"/>
        <w:numId w:val="0"/>
      </w:numPr>
      <w:tabs>
        <w:tab w:val="left" w:pos="927"/>
        <w:tab w:val="left" w:pos="1134"/>
      </w:tabs>
      <w:spacing w:before="260" w:afterLines="50" w:line="520" w:lineRule="exact"/>
      <w:jc w:val="left"/>
    </w:pPr>
    <w:rPr>
      <w:rFonts w:ascii="Arial" w:hAnsi="Arial"/>
      <w:kern w:val="0"/>
      <w:sz w:val="30"/>
      <w:lang w:val="en-US"/>
    </w:rPr>
  </w:style>
  <w:style w:type="paragraph" w:customStyle="1" w:styleId="3617">
    <w:name w:val="样式 热电厂正文 + 首行缩进:  2 字符"/>
    <w:basedOn w:val="3490"/>
    <w:autoRedefine/>
    <w:qFormat/>
    <w:uiPriority w:val="0"/>
    <w:pPr>
      <w:spacing w:line="480" w:lineRule="exact"/>
    </w:pPr>
    <w:rPr>
      <w:rFonts w:cs="宋体"/>
      <w:szCs w:val="20"/>
    </w:rPr>
  </w:style>
  <w:style w:type="paragraph" w:customStyle="1" w:styleId="3618">
    <w:name w:val="样式 首行缩进:  2 字符6"/>
    <w:basedOn w:val="1"/>
    <w:autoRedefine/>
    <w:qFormat/>
    <w:uiPriority w:val="0"/>
    <w:pPr>
      <w:adjustRightInd/>
      <w:snapToGrid/>
      <w:spacing w:line="520" w:lineRule="exact"/>
      <w:ind w:firstLine="560"/>
    </w:pPr>
    <w:rPr>
      <w:rFonts w:cs="宋体"/>
    </w:rPr>
  </w:style>
  <w:style w:type="paragraph" w:customStyle="1" w:styleId="3619">
    <w:name w:val="样式 首行缩进:  2 字符8"/>
    <w:basedOn w:val="1"/>
    <w:autoRedefine/>
    <w:qFormat/>
    <w:uiPriority w:val="0"/>
    <w:pPr>
      <w:adjustRightInd/>
      <w:snapToGrid/>
      <w:spacing w:line="520" w:lineRule="exact"/>
      <w:ind w:firstLine="560"/>
    </w:pPr>
    <w:rPr>
      <w:rFonts w:cs="宋体"/>
    </w:rPr>
  </w:style>
  <w:style w:type="paragraph" w:customStyle="1" w:styleId="3620">
    <w:name w:val="样式 五号 居中 行距: 固定值 20 磅"/>
    <w:basedOn w:val="1"/>
    <w:autoRedefine/>
    <w:qFormat/>
    <w:uiPriority w:val="0"/>
    <w:pPr>
      <w:adjustRightInd/>
      <w:snapToGrid/>
      <w:spacing w:line="400" w:lineRule="exact"/>
      <w:ind w:firstLine="2" w:firstLineChars="0"/>
      <w:jc w:val="center"/>
    </w:pPr>
    <w:rPr>
      <w:rFonts w:cs="宋体"/>
      <w:sz w:val="21"/>
    </w:rPr>
  </w:style>
  <w:style w:type="paragraph" w:customStyle="1" w:styleId="3621">
    <w:name w:val="样式 样式 首行缩进:  2 字符 行距: 最小值 24 磅 + 首行缩进:  2 字符"/>
    <w:basedOn w:val="1"/>
    <w:autoRedefine/>
    <w:qFormat/>
    <w:uiPriority w:val="0"/>
    <w:pPr>
      <w:adjustRightInd/>
      <w:snapToGrid/>
      <w:spacing w:line="480" w:lineRule="atLeast"/>
      <w:ind w:firstLine="480"/>
    </w:pPr>
    <w:rPr>
      <w:rFonts w:cs="宋体"/>
      <w:szCs w:val="24"/>
    </w:rPr>
  </w:style>
  <w:style w:type="paragraph" w:customStyle="1" w:styleId="3622">
    <w:name w:val="样式 样式 四号 黑色 首行缩进:  2 字符 + 自动设置 首行缩进:  2 字符 行距: 固定值 24 磅"/>
    <w:basedOn w:val="2424"/>
    <w:autoRedefine/>
    <w:qFormat/>
    <w:uiPriority w:val="0"/>
    <w:pPr>
      <w:spacing w:line="480" w:lineRule="exact"/>
      <w:ind w:firstLine="480"/>
    </w:pPr>
    <w:rPr>
      <w:rFonts w:cs="宋体"/>
      <w:color w:val="auto"/>
      <w:szCs w:val="20"/>
    </w:rPr>
  </w:style>
  <w:style w:type="paragraph" w:customStyle="1" w:styleId="3623">
    <w:name w:val="正文 Char Char Char"/>
    <w:basedOn w:val="1"/>
    <w:autoRedefine/>
    <w:qFormat/>
    <w:uiPriority w:val="0"/>
    <w:pPr>
      <w:adjustRightInd/>
      <w:snapToGrid/>
      <w:spacing w:line="240" w:lineRule="auto"/>
      <w:ind w:firstLine="0" w:firstLineChars="0"/>
    </w:pPr>
    <w:rPr>
      <w:rFonts w:cs="宋体"/>
    </w:rPr>
  </w:style>
  <w:style w:type="paragraph" w:customStyle="1" w:styleId="3624">
    <w:name w:val="样式 首行缩进:  2 字符13"/>
    <w:basedOn w:val="1"/>
    <w:autoRedefine/>
    <w:qFormat/>
    <w:uiPriority w:val="0"/>
    <w:pPr>
      <w:adjustRightInd/>
      <w:snapToGrid/>
      <w:spacing w:line="520" w:lineRule="exact"/>
      <w:ind w:firstLine="560"/>
    </w:pPr>
    <w:rPr>
      <w:szCs w:val="24"/>
    </w:rPr>
  </w:style>
  <w:style w:type="paragraph" w:customStyle="1" w:styleId="3625">
    <w:name w:val="表内五号两端对齐"/>
    <w:basedOn w:val="1"/>
    <w:autoRedefine/>
    <w:qFormat/>
    <w:uiPriority w:val="0"/>
    <w:pPr>
      <w:adjustRightInd/>
      <w:snapToGrid/>
      <w:spacing w:line="360" w:lineRule="auto"/>
      <w:ind w:firstLine="720" w:firstLineChars="300"/>
    </w:pPr>
    <w:rPr>
      <w:rFonts w:ascii="Arial" w:hAnsi="Arial" w:cs="Arial"/>
      <w:szCs w:val="24"/>
    </w:rPr>
  </w:style>
  <w:style w:type="paragraph" w:customStyle="1" w:styleId="3626">
    <w:name w:val="款，1."/>
    <w:basedOn w:val="1"/>
    <w:autoRedefine/>
    <w:qFormat/>
    <w:uiPriority w:val="0"/>
    <w:pPr>
      <w:adjustRightInd/>
      <w:snapToGrid/>
      <w:spacing w:line="460" w:lineRule="exact"/>
      <w:ind w:firstLine="567" w:firstLineChars="0"/>
      <w:outlineLvl w:val="2"/>
    </w:pPr>
    <w:rPr>
      <w:rFonts w:eastAsia="仿宋_GB2312"/>
      <w:sz w:val="28"/>
    </w:rPr>
  </w:style>
  <w:style w:type="paragraph" w:customStyle="1" w:styleId="3627">
    <w:name w:val="7.2.2"/>
    <w:basedOn w:val="4"/>
    <w:autoRedefine/>
    <w:qFormat/>
    <w:uiPriority w:val="0"/>
    <w:pPr>
      <w:numPr>
        <w:ilvl w:val="0"/>
        <w:numId w:val="0"/>
      </w:numPr>
      <w:tabs>
        <w:tab w:val="left" w:pos="927"/>
        <w:tab w:val="left" w:pos="1134"/>
      </w:tabs>
      <w:adjustRightInd/>
      <w:spacing w:beforeLines="50" w:afterLines="50" w:line="400" w:lineRule="exact"/>
    </w:pPr>
    <w:rPr>
      <w:rFonts w:ascii="Arial" w:hAnsi="Arial"/>
      <w:color w:val="000000"/>
      <w:kern w:val="0"/>
      <w:szCs w:val="24"/>
      <w:lang w:val="en-US"/>
    </w:rPr>
  </w:style>
  <w:style w:type="paragraph" w:customStyle="1" w:styleId="3628">
    <w:name w:val="表内小四居中"/>
    <w:autoRedefine/>
    <w:qFormat/>
    <w:uiPriority w:val="0"/>
    <w:pPr>
      <w:adjustRightInd w:val="0"/>
      <w:snapToGrid w:val="0"/>
      <w:spacing w:line="360" w:lineRule="auto"/>
      <w:ind w:left="-57" w:right="-57"/>
      <w:jc w:val="center"/>
    </w:pPr>
    <w:rPr>
      <w:rFonts w:ascii="仿宋_GB2312" w:hAnsi="Times New Roman" w:eastAsia="仿宋_GB2312" w:cs="Times New Roman"/>
      <w:sz w:val="28"/>
      <w:lang w:val="en-US" w:eastAsia="zh-CN" w:bidi="ar-SA"/>
    </w:rPr>
  </w:style>
  <w:style w:type="paragraph" w:customStyle="1" w:styleId="3629">
    <w:name w:val="?y??"/>
    <w:autoRedefine/>
    <w:qFormat/>
    <w:uiPriority w:val="0"/>
    <w:pPr>
      <w:widowControl w:val="0"/>
      <w:snapToGrid w:val="0"/>
      <w:jc w:val="both"/>
    </w:pPr>
    <w:rPr>
      <w:rFonts w:ascii="宋体" w:hAnsi="Times New Roman" w:eastAsia="宋体" w:cs="Times New Roman"/>
      <w:kern w:val="2"/>
      <w:sz w:val="21"/>
      <w:lang w:val="en-US" w:eastAsia="en-US" w:bidi="ar-SA"/>
    </w:rPr>
  </w:style>
  <w:style w:type="character" w:customStyle="1" w:styleId="3630">
    <w:name w:val="c正文 Char"/>
    <w:link w:val="3631"/>
    <w:autoRedefine/>
    <w:qFormat/>
    <w:locked/>
    <w:uiPriority w:val="0"/>
    <w:rPr>
      <w:rFonts w:ascii="仿宋_GB2312" w:eastAsia="仿宋_GB2312"/>
      <w:sz w:val="28"/>
      <w:szCs w:val="28"/>
    </w:rPr>
  </w:style>
  <w:style w:type="paragraph" w:customStyle="1" w:styleId="3631">
    <w:name w:val="c正文"/>
    <w:basedOn w:val="1"/>
    <w:link w:val="3630"/>
    <w:autoRedefine/>
    <w:qFormat/>
    <w:uiPriority w:val="0"/>
    <w:pPr>
      <w:spacing w:line="360" w:lineRule="auto"/>
    </w:pPr>
    <w:rPr>
      <w:rFonts w:ascii="仿宋_GB2312" w:eastAsia="仿宋_GB2312"/>
      <w:kern w:val="0"/>
      <w:sz w:val="28"/>
      <w:szCs w:val="28"/>
    </w:rPr>
  </w:style>
  <w:style w:type="paragraph" w:customStyle="1" w:styleId="3632">
    <w:name w:val="标题40"/>
    <w:basedOn w:val="1"/>
    <w:autoRedefine/>
    <w:qFormat/>
    <w:uiPriority w:val="0"/>
    <w:pPr>
      <w:adjustRightInd/>
      <w:spacing w:beforeLines="50" w:line="360" w:lineRule="auto"/>
      <w:ind w:firstLine="0" w:firstLineChars="0"/>
      <w:outlineLvl w:val="3"/>
    </w:pPr>
    <w:rPr>
      <w:rFonts w:ascii="宋体" w:hAnsi="宋体"/>
      <w:b/>
      <w:bCs/>
      <w:kern w:val="0"/>
    </w:rPr>
  </w:style>
  <w:style w:type="paragraph" w:customStyle="1" w:styleId="3633">
    <w:name w:val="样式 标题 3 + 小三 段前: 6 磅 段后: 6 磅 行距: 多倍行距 1.25 字行"/>
    <w:basedOn w:val="5"/>
    <w:autoRedefine/>
    <w:qFormat/>
    <w:uiPriority w:val="0"/>
    <w:pPr>
      <w:numPr>
        <w:ilvl w:val="0"/>
        <w:numId w:val="0"/>
      </w:numPr>
      <w:tabs>
        <w:tab w:val="left" w:pos="1134"/>
        <w:tab w:val="left" w:pos="1256"/>
      </w:tabs>
      <w:adjustRightInd/>
      <w:snapToGrid/>
      <w:spacing w:before="260" w:after="260" w:line="360" w:lineRule="auto"/>
    </w:pPr>
    <w:rPr>
      <w:rFonts w:ascii="宋体" w:hAnsi="宋体" w:eastAsia="黑体" w:cs="宋体"/>
      <w:kern w:val="0"/>
      <w:sz w:val="28"/>
      <w:szCs w:val="28"/>
      <w:lang w:val="en-US"/>
    </w:rPr>
  </w:style>
  <w:style w:type="paragraph" w:customStyle="1" w:styleId="3634">
    <w:name w:val="样式 标题 3 + 四号 段前: 6 磅 段后: 6 磅 行距: 多倍行距 1.25 字行"/>
    <w:basedOn w:val="5"/>
    <w:autoRedefine/>
    <w:qFormat/>
    <w:uiPriority w:val="0"/>
    <w:pPr>
      <w:numPr>
        <w:ilvl w:val="0"/>
        <w:numId w:val="0"/>
      </w:numPr>
      <w:tabs>
        <w:tab w:val="left" w:pos="1134"/>
        <w:tab w:val="left" w:pos="1256"/>
      </w:tabs>
      <w:adjustRightInd/>
      <w:spacing w:before="260" w:after="260" w:line="300" w:lineRule="auto"/>
    </w:pPr>
    <w:rPr>
      <w:rFonts w:ascii="黑体" w:eastAsia="黑体" w:cs="宋体"/>
      <w:kern w:val="0"/>
      <w:sz w:val="28"/>
      <w:szCs w:val="20"/>
      <w:lang w:val="en-US"/>
    </w:rPr>
  </w:style>
  <w:style w:type="character" w:customStyle="1" w:styleId="3635">
    <w:name w:val="样式 标题 2 + (西文) Times New Roman (中文) 宋体 段前: 12 磅 段后: 6 磅 行距: ... Char"/>
    <w:link w:val="3636"/>
    <w:autoRedefine/>
    <w:qFormat/>
    <w:locked/>
    <w:uiPriority w:val="0"/>
    <w:rPr>
      <w:rFonts w:ascii="宋体" w:hAnsi="宋体"/>
      <w:b/>
      <w:bCs/>
      <w:sz w:val="32"/>
    </w:rPr>
  </w:style>
  <w:style w:type="paragraph" w:customStyle="1" w:styleId="3636">
    <w:name w:val="样式 标题 2 + (西文) Times New Roman (中文) 宋体 段前: 12 磅 段后: 6 磅 行距: ..."/>
    <w:basedOn w:val="4"/>
    <w:link w:val="3635"/>
    <w:autoRedefine/>
    <w:qFormat/>
    <w:uiPriority w:val="0"/>
    <w:pPr>
      <w:numPr>
        <w:ilvl w:val="0"/>
        <w:numId w:val="0"/>
      </w:numPr>
      <w:tabs>
        <w:tab w:val="left" w:pos="927"/>
        <w:tab w:val="left" w:pos="1134"/>
      </w:tabs>
      <w:adjustRightInd/>
      <w:snapToGrid/>
      <w:spacing w:beforeLines="50" w:afterLines="50" w:line="300" w:lineRule="auto"/>
    </w:pPr>
    <w:rPr>
      <w:rFonts w:ascii="宋体" w:hAnsi="宋体"/>
      <w:kern w:val="0"/>
      <w:sz w:val="32"/>
      <w:szCs w:val="20"/>
      <w:lang w:val="en-US"/>
    </w:rPr>
  </w:style>
  <w:style w:type="paragraph" w:customStyle="1" w:styleId="3637">
    <w:name w:val="样式 标题 2 + (西文) Times New Roman (中文) 宋体 段前: 12 磅 段后: 6 磅 行距: ...1"/>
    <w:basedOn w:val="4"/>
    <w:autoRedefine/>
    <w:qFormat/>
    <w:uiPriority w:val="0"/>
    <w:pPr>
      <w:numPr>
        <w:ilvl w:val="0"/>
        <w:numId w:val="0"/>
      </w:numPr>
      <w:tabs>
        <w:tab w:val="left" w:pos="2700"/>
      </w:tabs>
      <w:adjustRightInd/>
      <w:spacing w:beforeLines="50" w:afterLines="50" w:line="360" w:lineRule="auto"/>
    </w:pPr>
    <w:rPr>
      <w:rFonts w:ascii="黑体" w:eastAsia="黑体" w:cs="宋体"/>
      <w:kern w:val="0"/>
      <w:sz w:val="32"/>
      <w:lang w:val="en-US"/>
    </w:rPr>
  </w:style>
  <w:style w:type="paragraph" w:customStyle="1" w:styleId="3638">
    <w:name w:val="样式 标题 3 + 小三 段前: 7.8 磅 段后: 7.8 磅 行距: 1.5 倍行距"/>
    <w:basedOn w:val="5"/>
    <w:autoRedefine/>
    <w:qFormat/>
    <w:uiPriority w:val="0"/>
    <w:pPr>
      <w:numPr>
        <w:ilvl w:val="0"/>
        <w:numId w:val="0"/>
      </w:numPr>
      <w:tabs>
        <w:tab w:val="left" w:pos="1134"/>
        <w:tab w:val="left" w:pos="1256"/>
      </w:tabs>
      <w:adjustRightInd/>
      <w:snapToGrid/>
      <w:spacing w:before="260" w:after="260" w:line="360" w:lineRule="auto"/>
    </w:pPr>
    <w:rPr>
      <w:rFonts w:ascii="黑体" w:eastAsia="黑体" w:cs="宋体"/>
      <w:kern w:val="0"/>
      <w:sz w:val="30"/>
      <w:szCs w:val="20"/>
      <w:lang w:val="en-US"/>
    </w:rPr>
  </w:style>
  <w:style w:type="paragraph" w:customStyle="1" w:styleId="3639">
    <w:name w:val="样式 标题 4 + 行距: 1.5 倍行距"/>
    <w:basedOn w:val="6"/>
    <w:autoRedefine/>
    <w:qFormat/>
    <w:uiPriority w:val="0"/>
    <w:pPr>
      <w:numPr>
        <w:ilvl w:val="0"/>
        <w:numId w:val="0"/>
      </w:numPr>
      <w:tabs>
        <w:tab w:val="left" w:pos="1134"/>
        <w:tab w:val="left" w:pos="1630"/>
      </w:tabs>
      <w:snapToGrid/>
      <w:spacing w:before="280" w:after="290" w:line="360" w:lineRule="auto"/>
      <w:jc w:val="both"/>
    </w:pPr>
    <w:rPr>
      <w:rFonts w:cs="宋体"/>
      <w:kern w:val="0"/>
      <w:sz w:val="28"/>
      <w:szCs w:val="20"/>
      <w:lang w:val="en-US"/>
    </w:rPr>
  </w:style>
  <w:style w:type="paragraph" w:customStyle="1" w:styleId="3640">
    <w:name w:val="样式 宋体 小四 行距: 1.5 倍行距"/>
    <w:basedOn w:val="1"/>
    <w:autoRedefine/>
    <w:qFormat/>
    <w:uiPriority w:val="0"/>
    <w:pPr>
      <w:adjustRightInd/>
      <w:snapToGrid/>
      <w:spacing w:line="500" w:lineRule="exact"/>
      <w:ind w:firstLine="0" w:firstLineChars="0"/>
    </w:pPr>
    <w:rPr>
      <w:rFonts w:ascii="宋体"/>
    </w:rPr>
  </w:style>
  <w:style w:type="paragraph" w:customStyle="1" w:styleId="3641">
    <w:name w:val="样式 标题 2节标题 1.1 + Times New Roman 首行缩进:  0 厘米"/>
    <w:basedOn w:val="4"/>
    <w:autoRedefine/>
    <w:qFormat/>
    <w:uiPriority w:val="0"/>
    <w:pPr>
      <w:numPr>
        <w:ilvl w:val="0"/>
        <w:numId w:val="0"/>
      </w:numPr>
      <w:tabs>
        <w:tab w:val="left" w:pos="927"/>
        <w:tab w:val="left" w:pos="1134"/>
      </w:tabs>
      <w:snapToGrid/>
      <w:spacing w:before="260" w:after="260" w:line="416" w:lineRule="atLeast"/>
    </w:pPr>
    <w:rPr>
      <w:rFonts w:eastAsia="黑体" w:cs="宋体"/>
      <w:kern w:val="0"/>
      <w:sz w:val="32"/>
      <w:szCs w:val="20"/>
      <w:lang w:val="en-US"/>
    </w:rPr>
  </w:style>
  <w:style w:type="character" w:customStyle="1" w:styleId="3642">
    <w:name w:val="陈正文 Char"/>
    <w:link w:val="3643"/>
    <w:autoRedefine/>
    <w:qFormat/>
    <w:locked/>
    <w:uiPriority w:val="0"/>
    <w:rPr>
      <w:b/>
      <w:sz w:val="24"/>
      <w:szCs w:val="24"/>
    </w:rPr>
  </w:style>
  <w:style w:type="paragraph" w:customStyle="1" w:styleId="3643">
    <w:name w:val="陈正文"/>
    <w:basedOn w:val="1"/>
    <w:next w:val="1"/>
    <w:link w:val="3642"/>
    <w:autoRedefine/>
    <w:qFormat/>
    <w:uiPriority w:val="0"/>
    <w:pPr>
      <w:adjustRightInd/>
      <w:snapToGrid/>
      <w:spacing w:line="360" w:lineRule="auto"/>
      <w:ind w:firstLine="0" w:firstLineChars="0"/>
      <w:jc w:val="center"/>
    </w:pPr>
    <w:rPr>
      <w:b/>
      <w:kern w:val="0"/>
      <w:szCs w:val="24"/>
    </w:rPr>
  </w:style>
  <w:style w:type="character" w:customStyle="1" w:styleId="3644">
    <w:name w:val="陈表格中内容 Char"/>
    <w:link w:val="3645"/>
    <w:autoRedefine/>
    <w:qFormat/>
    <w:locked/>
    <w:uiPriority w:val="0"/>
    <w:rPr>
      <w:rFonts w:ascii="仿宋_GB2312" w:eastAsia="仿宋_GB2312"/>
      <w:szCs w:val="21"/>
    </w:rPr>
  </w:style>
  <w:style w:type="paragraph" w:customStyle="1" w:styleId="3645">
    <w:name w:val="陈表格中内容"/>
    <w:basedOn w:val="1"/>
    <w:next w:val="1"/>
    <w:link w:val="3644"/>
    <w:autoRedefine/>
    <w:qFormat/>
    <w:uiPriority w:val="0"/>
    <w:pPr>
      <w:adjustRightInd/>
      <w:snapToGrid/>
      <w:spacing w:line="240" w:lineRule="auto"/>
      <w:ind w:left="-66" w:leftChars="-66" w:firstLine="105" w:firstLineChars="50"/>
    </w:pPr>
    <w:rPr>
      <w:rFonts w:ascii="仿宋_GB2312" w:eastAsia="仿宋_GB2312"/>
      <w:kern w:val="0"/>
      <w:sz w:val="20"/>
      <w:szCs w:val="21"/>
    </w:rPr>
  </w:style>
  <w:style w:type="character" w:customStyle="1" w:styleId="3646">
    <w:name w:val="1-正文 Char"/>
    <w:link w:val="3647"/>
    <w:autoRedefine/>
    <w:qFormat/>
    <w:locked/>
    <w:uiPriority w:val="0"/>
    <w:rPr>
      <w:rFonts w:ascii="宋体" w:hAnsi="宋体"/>
      <w:sz w:val="24"/>
      <w:szCs w:val="24"/>
    </w:rPr>
  </w:style>
  <w:style w:type="paragraph" w:customStyle="1" w:styleId="3647">
    <w:name w:val="1-正文"/>
    <w:basedOn w:val="1"/>
    <w:link w:val="3646"/>
    <w:autoRedefine/>
    <w:qFormat/>
    <w:uiPriority w:val="0"/>
    <w:pPr>
      <w:adjustRightInd/>
      <w:snapToGrid/>
      <w:spacing w:line="360" w:lineRule="auto"/>
      <w:ind w:firstLine="480"/>
    </w:pPr>
    <w:rPr>
      <w:rFonts w:ascii="宋体" w:hAnsi="宋体"/>
      <w:kern w:val="0"/>
      <w:szCs w:val="24"/>
    </w:rPr>
  </w:style>
  <w:style w:type="paragraph" w:customStyle="1" w:styleId="3648">
    <w:name w:val="标题1（新）"/>
    <w:basedOn w:val="1"/>
    <w:next w:val="1"/>
    <w:autoRedefine/>
    <w:qFormat/>
    <w:uiPriority w:val="0"/>
    <w:pPr>
      <w:widowControl/>
      <w:adjustRightInd/>
      <w:snapToGrid/>
      <w:spacing w:beforeLines="50" w:line="240" w:lineRule="auto"/>
      <w:ind w:firstLine="0" w:firstLineChars="0"/>
      <w:jc w:val="left"/>
    </w:pPr>
    <w:rPr>
      <w:rFonts w:eastAsia="黑体"/>
      <w:kern w:val="0"/>
      <w:szCs w:val="28"/>
    </w:rPr>
  </w:style>
  <w:style w:type="character" w:customStyle="1" w:styleId="3649">
    <w:name w:val="热电厂正文 Char Char Char"/>
    <w:link w:val="3650"/>
    <w:autoRedefine/>
    <w:qFormat/>
    <w:locked/>
    <w:uiPriority w:val="0"/>
    <w:rPr>
      <w:sz w:val="24"/>
      <w:szCs w:val="24"/>
    </w:rPr>
  </w:style>
  <w:style w:type="paragraph" w:customStyle="1" w:styleId="3650">
    <w:name w:val="热电厂正文 Char Char"/>
    <w:basedOn w:val="1"/>
    <w:link w:val="3649"/>
    <w:autoRedefine/>
    <w:qFormat/>
    <w:uiPriority w:val="0"/>
    <w:pPr>
      <w:adjustRightInd/>
      <w:snapToGrid/>
      <w:spacing w:line="440" w:lineRule="exact"/>
      <w:ind w:firstLine="480"/>
    </w:pPr>
    <w:rPr>
      <w:kern w:val="0"/>
      <w:szCs w:val="24"/>
    </w:rPr>
  </w:style>
  <w:style w:type="paragraph" w:customStyle="1" w:styleId="3651">
    <w:name w:val="表格02"/>
    <w:basedOn w:val="1"/>
    <w:autoRedefine/>
    <w:qFormat/>
    <w:uiPriority w:val="0"/>
    <w:pPr>
      <w:adjustRightInd/>
      <w:spacing w:line="400" w:lineRule="exact"/>
      <w:ind w:firstLine="0" w:firstLineChars="0"/>
      <w:jc w:val="center"/>
    </w:pPr>
    <w:rPr>
      <w:kern w:val="0"/>
      <w:szCs w:val="24"/>
    </w:rPr>
  </w:style>
  <w:style w:type="paragraph" w:customStyle="1" w:styleId="3652">
    <w:name w:val="表格02左"/>
    <w:basedOn w:val="3651"/>
    <w:autoRedefine/>
    <w:qFormat/>
    <w:uiPriority w:val="0"/>
    <w:pPr>
      <w:jc w:val="left"/>
    </w:pPr>
  </w:style>
  <w:style w:type="paragraph" w:customStyle="1" w:styleId="3653">
    <w:name w:val="正文表标题"/>
    <w:next w:val="1"/>
    <w:autoRedefine/>
    <w:qFormat/>
    <w:uiPriority w:val="0"/>
    <w:pPr>
      <w:tabs>
        <w:tab w:val="left" w:pos="1134"/>
      </w:tabs>
      <w:ind w:left="1134" w:hanging="567"/>
      <w:jc w:val="center"/>
    </w:pPr>
    <w:rPr>
      <w:rFonts w:ascii="黑体" w:hAnsi="Times New Roman" w:eastAsia="黑体" w:cs="Times New Roman"/>
      <w:sz w:val="21"/>
      <w:lang w:val="en-US" w:eastAsia="zh-CN" w:bidi="ar-SA"/>
    </w:rPr>
  </w:style>
  <w:style w:type="character" w:customStyle="1" w:styleId="3654">
    <w:name w:val="正文正式格式 Char"/>
    <w:link w:val="3655"/>
    <w:autoRedefine/>
    <w:qFormat/>
    <w:locked/>
    <w:uiPriority w:val="0"/>
    <w:rPr>
      <w:szCs w:val="24"/>
    </w:rPr>
  </w:style>
  <w:style w:type="paragraph" w:customStyle="1" w:styleId="3655">
    <w:name w:val="正文正式格式"/>
    <w:basedOn w:val="1"/>
    <w:link w:val="3654"/>
    <w:autoRedefine/>
    <w:qFormat/>
    <w:uiPriority w:val="0"/>
    <w:pPr>
      <w:adjustRightInd/>
      <w:snapToGrid/>
      <w:spacing w:line="360" w:lineRule="auto"/>
      <w:jc w:val="left"/>
    </w:pPr>
    <w:rPr>
      <w:kern w:val="0"/>
      <w:sz w:val="20"/>
      <w:szCs w:val="24"/>
    </w:rPr>
  </w:style>
  <w:style w:type="paragraph" w:customStyle="1" w:styleId="3656">
    <w:name w:val="样式33"/>
    <w:basedOn w:val="1"/>
    <w:autoRedefine/>
    <w:qFormat/>
    <w:uiPriority w:val="0"/>
    <w:pPr>
      <w:adjustRightInd/>
      <w:snapToGrid/>
      <w:spacing w:beforeLines="50" w:line="300" w:lineRule="auto"/>
      <w:ind w:firstLine="0" w:firstLineChars="0"/>
      <w:outlineLvl w:val="2"/>
    </w:pPr>
    <w:rPr>
      <w:b/>
      <w:sz w:val="28"/>
      <w:szCs w:val="28"/>
    </w:rPr>
  </w:style>
  <w:style w:type="paragraph" w:customStyle="1" w:styleId="3657">
    <w:name w:val="标题4，正式三级标题"/>
    <w:basedOn w:val="6"/>
    <w:autoRedefine/>
    <w:qFormat/>
    <w:uiPriority w:val="0"/>
    <w:pPr>
      <w:numPr>
        <w:ilvl w:val="0"/>
        <w:numId w:val="0"/>
      </w:numPr>
      <w:tabs>
        <w:tab w:val="left" w:pos="1134"/>
        <w:tab w:val="left" w:pos="1630"/>
      </w:tabs>
      <w:autoSpaceDE w:val="0"/>
      <w:autoSpaceDN w:val="0"/>
      <w:snapToGrid/>
      <w:spacing w:before="280" w:after="290" w:line="360" w:lineRule="auto"/>
    </w:pPr>
    <w:rPr>
      <w:rFonts w:ascii="Arial" w:hAnsi="Arial"/>
      <w:kern w:val="0"/>
      <w:sz w:val="21"/>
      <w:lang w:val="en-US"/>
    </w:rPr>
  </w:style>
  <w:style w:type="paragraph" w:customStyle="1" w:styleId="3658">
    <w:name w:val="table_description"/>
    <w:basedOn w:val="1"/>
    <w:autoRedefine/>
    <w:qFormat/>
    <w:uiPriority w:val="0"/>
    <w:pPr>
      <w:widowControl/>
      <w:adjustRightInd/>
      <w:snapToGrid/>
      <w:spacing w:beforeAutospacing="1" w:afterAutospacing="1" w:line="240" w:lineRule="auto"/>
      <w:ind w:firstLine="0" w:firstLineChars="0"/>
      <w:jc w:val="center"/>
    </w:pPr>
    <w:rPr>
      <w:rFonts w:ascii="宋体" w:hAnsi="宋体"/>
      <w:kern w:val="0"/>
      <w:szCs w:val="24"/>
    </w:rPr>
  </w:style>
  <w:style w:type="paragraph" w:customStyle="1" w:styleId="3659">
    <w:name w:val="table_title"/>
    <w:basedOn w:val="1"/>
    <w:autoRedefine/>
    <w:qFormat/>
    <w:uiPriority w:val="0"/>
    <w:pPr>
      <w:widowControl/>
      <w:adjustRightInd/>
      <w:snapToGrid/>
      <w:spacing w:beforeAutospacing="1" w:afterAutospacing="1" w:line="240" w:lineRule="auto"/>
      <w:ind w:firstLine="0" w:firstLineChars="0"/>
      <w:jc w:val="center"/>
    </w:pPr>
    <w:rPr>
      <w:rFonts w:ascii="宋体" w:hAnsi="宋体"/>
      <w:b/>
      <w:bCs/>
      <w:kern w:val="0"/>
      <w:szCs w:val="24"/>
    </w:rPr>
  </w:style>
  <w:style w:type="paragraph" w:customStyle="1" w:styleId="3660">
    <w:name w:val="封面标准号1"/>
    <w:autoRedefine/>
    <w:qFormat/>
    <w:uiPriority w:val="0"/>
    <w:pPr>
      <w:widowControl w:val="0"/>
      <w:kinsoku w:val="0"/>
      <w:overflowPunct w:val="0"/>
      <w:autoSpaceDE w:val="0"/>
      <w:autoSpaceDN w:val="0"/>
      <w:spacing w:before="308"/>
      <w:jc w:val="right"/>
    </w:pPr>
    <w:rPr>
      <w:rFonts w:ascii="Times New Roman" w:hAnsi="Times New Roman" w:eastAsia="宋体" w:cs="Times New Roman"/>
      <w:sz w:val="28"/>
      <w:lang w:val="en-US" w:eastAsia="zh-CN" w:bidi="ar-SA"/>
    </w:rPr>
  </w:style>
  <w:style w:type="paragraph" w:customStyle="1" w:styleId="3661">
    <w:name w:val="注×："/>
    <w:autoRedefine/>
    <w:qFormat/>
    <w:uiPriority w:val="0"/>
    <w:pPr>
      <w:widowControl w:val="0"/>
      <w:tabs>
        <w:tab w:val="left" w:pos="630"/>
        <w:tab w:val="left" w:pos="1470"/>
      </w:tabs>
      <w:autoSpaceDE w:val="0"/>
      <w:autoSpaceDN w:val="0"/>
      <w:ind w:left="1470" w:hanging="720"/>
      <w:jc w:val="both"/>
    </w:pPr>
    <w:rPr>
      <w:rFonts w:ascii="宋体" w:hAnsi="Times New Roman" w:eastAsia="宋体" w:cs="Times New Roman"/>
      <w:sz w:val="18"/>
      <w:lang w:val="en-US" w:eastAsia="zh-CN" w:bidi="ar-SA"/>
    </w:rPr>
  </w:style>
  <w:style w:type="paragraph" w:customStyle="1" w:styleId="3662">
    <w:name w:val="标准书眉_偶数页"/>
    <w:basedOn w:val="1"/>
    <w:next w:val="1"/>
    <w:autoRedefine/>
    <w:qFormat/>
    <w:uiPriority w:val="0"/>
    <w:pPr>
      <w:widowControl/>
      <w:tabs>
        <w:tab w:val="center" w:pos="4154"/>
        <w:tab w:val="right" w:pos="8306"/>
      </w:tabs>
      <w:adjustRightInd/>
      <w:snapToGrid/>
      <w:spacing w:line="240" w:lineRule="auto"/>
      <w:ind w:firstLine="0" w:firstLineChars="0"/>
      <w:jc w:val="left"/>
    </w:pPr>
    <w:rPr>
      <w:kern w:val="0"/>
      <w:sz w:val="21"/>
    </w:rPr>
  </w:style>
  <w:style w:type="paragraph" w:customStyle="1" w:styleId="3663">
    <w:name w:val="标准书眉一"/>
    <w:autoRedefine/>
    <w:qFormat/>
    <w:uiPriority w:val="0"/>
    <w:pPr>
      <w:jc w:val="both"/>
    </w:pPr>
    <w:rPr>
      <w:rFonts w:ascii="Times New Roman" w:hAnsi="Times New Roman" w:eastAsia="宋体" w:cs="Times New Roman"/>
      <w:lang w:val="en-US" w:eastAsia="zh-CN" w:bidi="ar-SA"/>
    </w:rPr>
  </w:style>
  <w:style w:type="paragraph" w:customStyle="1" w:styleId="3664">
    <w:name w:val="样式 Times New Roman :  2 字符"/>
    <w:basedOn w:val="1"/>
    <w:autoRedefine/>
    <w:qFormat/>
    <w:uiPriority w:val="0"/>
    <w:pPr>
      <w:adjustRightInd/>
      <w:snapToGrid/>
      <w:spacing w:line="360" w:lineRule="auto"/>
      <w:ind w:firstLine="480"/>
    </w:pPr>
  </w:style>
  <w:style w:type="paragraph" w:customStyle="1" w:styleId="3665">
    <w:name w:val="f14"/>
    <w:basedOn w:val="1"/>
    <w:autoRedefine/>
    <w:qFormat/>
    <w:uiPriority w:val="0"/>
    <w:pPr>
      <w:widowControl/>
      <w:wordWrap w:val="0"/>
      <w:adjustRightInd/>
      <w:snapToGrid/>
      <w:spacing w:line="240" w:lineRule="auto"/>
      <w:ind w:firstLine="0" w:firstLineChars="0"/>
      <w:jc w:val="left"/>
    </w:pPr>
    <w:rPr>
      <w:rFonts w:ascii="宋体" w:hAnsi="宋体"/>
      <w:kern w:val="0"/>
      <w:sz w:val="21"/>
      <w:szCs w:val="21"/>
    </w:rPr>
  </w:style>
  <w:style w:type="paragraph" w:customStyle="1" w:styleId="3666">
    <w:name w:val="table_note"/>
    <w:basedOn w:val="1"/>
    <w:autoRedefine/>
    <w:qFormat/>
    <w:uiPriority w:val="0"/>
    <w:pPr>
      <w:widowControl/>
      <w:adjustRightInd/>
      <w:snapToGrid/>
      <w:spacing w:beforeAutospacing="1" w:afterAutospacing="1" w:line="240" w:lineRule="auto"/>
      <w:ind w:firstLine="0" w:firstLineChars="0"/>
      <w:jc w:val="left"/>
    </w:pPr>
    <w:rPr>
      <w:rFonts w:ascii="宋体" w:hAnsi="宋体"/>
      <w:kern w:val="0"/>
      <w:szCs w:val="24"/>
    </w:rPr>
  </w:style>
  <w:style w:type="paragraph" w:customStyle="1" w:styleId="3667">
    <w:name w:val="tr"/>
    <w:basedOn w:val="1"/>
    <w:autoRedefine/>
    <w:qFormat/>
    <w:uiPriority w:val="0"/>
    <w:pPr>
      <w:widowControl/>
      <w:adjustRightInd/>
      <w:snapToGrid/>
      <w:spacing w:beforeAutospacing="1" w:afterAutospacing="1" w:line="240" w:lineRule="auto"/>
      <w:ind w:firstLine="0" w:firstLineChars="0"/>
      <w:jc w:val="left"/>
    </w:pPr>
    <w:rPr>
      <w:rFonts w:ascii="Arial" w:hAnsi="Arial" w:cs="Arial"/>
      <w:kern w:val="0"/>
      <w:sz w:val="14"/>
      <w:szCs w:val="14"/>
    </w:rPr>
  </w:style>
  <w:style w:type="paragraph" w:customStyle="1" w:styleId="3668">
    <w:name w:val="题注1"/>
    <w:basedOn w:val="1"/>
    <w:autoRedefine/>
    <w:qFormat/>
    <w:uiPriority w:val="0"/>
    <w:pPr>
      <w:widowControl/>
      <w:adjustRightInd/>
      <w:snapToGrid/>
      <w:spacing w:beforeAutospacing="1" w:line="240" w:lineRule="auto"/>
      <w:ind w:firstLine="0" w:firstLineChars="0"/>
      <w:jc w:val="left"/>
    </w:pPr>
    <w:rPr>
      <w:rFonts w:ascii="Arial" w:hAnsi="Arial" w:cs="Arial"/>
      <w:b/>
      <w:bCs/>
      <w:kern w:val="0"/>
      <w:sz w:val="14"/>
      <w:szCs w:val="14"/>
    </w:rPr>
  </w:style>
  <w:style w:type="paragraph" w:customStyle="1" w:styleId="3669">
    <w:name w:val="top"/>
    <w:basedOn w:val="1"/>
    <w:autoRedefine/>
    <w:qFormat/>
    <w:uiPriority w:val="0"/>
    <w:pPr>
      <w:widowControl/>
      <w:adjustRightInd/>
      <w:snapToGrid/>
      <w:spacing w:beforeAutospacing="1" w:afterAutospacing="1" w:line="240" w:lineRule="auto"/>
      <w:ind w:firstLine="0" w:firstLineChars="0"/>
      <w:jc w:val="right"/>
    </w:pPr>
    <w:rPr>
      <w:rFonts w:ascii="Arial" w:hAnsi="Arial" w:cs="Arial"/>
      <w:kern w:val="0"/>
      <w:sz w:val="12"/>
      <w:szCs w:val="12"/>
    </w:rPr>
  </w:style>
  <w:style w:type="paragraph" w:customStyle="1" w:styleId="3670">
    <w:name w:val="tablespacing"/>
    <w:basedOn w:val="1"/>
    <w:autoRedefine/>
    <w:qFormat/>
    <w:uiPriority w:val="0"/>
    <w:pPr>
      <w:widowControl/>
      <w:adjustRightInd/>
      <w:snapToGrid/>
      <w:spacing w:beforeAutospacing="1" w:afterAutospacing="1" w:line="240" w:lineRule="auto"/>
      <w:ind w:firstLine="0" w:firstLineChars="0"/>
      <w:jc w:val="left"/>
    </w:pPr>
    <w:rPr>
      <w:rFonts w:ascii="宋体" w:hAnsi="宋体" w:cs="宋体"/>
      <w:kern w:val="0"/>
      <w:szCs w:val="24"/>
    </w:rPr>
  </w:style>
  <w:style w:type="paragraph" w:customStyle="1" w:styleId="3671">
    <w:name w:val="fontsmall"/>
    <w:basedOn w:val="1"/>
    <w:autoRedefine/>
    <w:qFormat/>
    <w:uiPriority w:val="0"/>
    <w:pPr>
      <w:widowControl/>
      <w:adjustRightInd/>
      <w:snapToGrid/>
      <w:spacing w:beforeAutospacing="1" w:afterAutospacing="1" w:line="240" w:lineRule="auto"/>
      <w:ind w:firstLine="0" w:firstLineChars="0"/>
      <w:jc w:val="left"/>
    </w:pPr>
    <w:rPr>
      <w:rFonts w:ascii="Arial" w:hAnsi="Arial" w:cs="Arial"/>
      <w:kern w:val="0"/>
      <w:sz w:val="13"/>
      <w:szCs w:val="13"/>
    </w:rPr>
  </w:style>
  <w:style w:type="paragraph" w:customStyle="1" w:styleId="3672">
    <w:name w:val="navigation"/>
    <w:basedOn w:val="1"/>
    <w:autoRedefine/>
    <w:qFormat/>
    <w:uiPriority w:val="0"/>
    <w:pPr>
      <w:widowControl/>
      <w:adjustRightInd/>
      <w:snapToGrid/>
      <w:spacing w:beforeAutospacing="1" w:afterAutospacing="1" w:line="240" w:lineRule="auto"/>
      <w:ind w:firstLine="0" w:firstLineChars="0"/>
      <w:jc w:val="left"/>
    </w:pPr>
    <w:rPr>
      <w:rFonts w:ascii="Arial" w:hAnsi="Arial" w:cs="Arial"/>
      <w:kern w:val="0"/>
      <w:sz w:val="12"/>
      <w:szCs w:val="12"/>
    </w:rPr>
  </w:style>
  <w:style w:type="paragraph" w:customStyle="1" w:styleId="3673">
    <w:name w:val="invisiblelink"/>
    <w:basedOn w:val="1"/>
    <w:autoRedefine/>
    <w:qFormat/>
    <w:uiPriority w:val="0"/>
    <w:pPr>
      <w:widowControl/>
      <w:adjustRightInd/>
      <w:snapToGrid/>
      <w:spacing w:beforeAutospacing="1" w:afterAutospacing="1" w:line="240" w:lineRule="auto"/>
      <w:ind w:firstLine="0" w:firstLineChars="0"/>
      <w:jc w:val="left"/>
    </w:pPr>
    <w:rPr>
      <w:rFonts w:ascii="Arial" w:hAnsi="Arial" w:cs="Arial"/>
      <w:color w:val="FFFFFF"/>
      <w:kern w:val="0"/>
      <w:sz w:val="12"/>
      <w:szCs w:val="12"/>
    </w:rPr>
  </w:style>
  <w:style w:type="paragraph" w:customStyle="1" w:styleId="3674">
    <w:name w:val="toplogo"/>
    <w:basedOn w:val="1"/>
    <w:autoRedefine/>
    <w:qFormat/>
    <w:uiPriority w:val="0"/>
    <w:pPr>
      <w:widowControl/>
      <w:adjustRightInd/>
      <w:snapToGrid/>
      <w:spacing w:beforeAutospacing="1" w:line="240" w:lineRule="auto"/>
      <w:ind w:firstLine="0" w:firstLineChars="0"/>
      <w:jc w:val="left"/>
    </w:pPr>
    <w:rPr>
      <w:rFonts w:ascii="Arial" w:hAnsi="Arial" w:cs="Arial"/>
      <w:b/>
      <w:bCs/>
      <w:kern w:val="0"/>
      <w:sz w:val="17"/>
      <w:szCs w:val="17"/>
    </w:rPr>
  </w:style>
  <w:style w:type="paragraph" w:customStyle="1" w:styleId="3675">
    <w:name w:val="search"/>
    <w:basedOn w:val="1"/>
    <w:autoRedefine/>
    <w:qFormat/>
    <w:uiPriority w:val="0"/>
    <w:pPr>
      <w:widowControl/>
      <w:adjustRightInd/>
      <w:snapToGrid/>
      <w:spacing w:beforeAutospacing="1" w:afterAutospacing="1" w:line="240" w:lineRule="auto"/>
      <w:ind w:firstLine="0" w:firstLineChars="0"/>
      <w:jc w:val="left"/>
    </w:pPr>
    <w:rPr>
      <w:rFonts w:ascii="Arial" w:hAnsi="Arial" w:cs="Arial"/>
      <w:kern w:val="0"/>
      <w:sz w:val="12"/>
      <w:szCs w:val="12"/>
    </w:rPr>
  </w:style>
  <w:style w:type="paragraph" w:customStyle="1" w:styleId="3676">
    <w:name w:val="side"/>
    <w:basedOn w:val="1"/>
    <w:autoRedefine/>
    <w:qFormat/>
    <w:uiPriority w:val="0"/>
    <w:pPr>
      <w:widowControl/>
      <w:adjustRightInd/>
      <w:snapToGrid/>
      <w:spacing w:beforeAutospacing="1" w:afterAutospacing="1" w:line="240" w:lineRule="auto"/>
      <w:ind w:firstLine="0" w:firstLineChars="0"/>
      <w:jc w:val="left"/>
    </w:pPr>
    <w:rPr>
      <w:rFonts w:ascii="Arial" w:hAnsi="Arial" w:cs="Arial"/>
      <w:kern w:val="0"/>
      <w:sz w:val="14"/>
      <w:szCs w:val="14"/>
    </w:rPr>
  </w:style>
  <w:style w:type="paragraph" w:customStyle="1" w:styleId="3677">
    <w:name w:val="subparagraph"/>
    <w:basedOn w:val="1"/>
    <w:autoRedefine/>
    <w:qFormat/>
    <w:uiPriority w:val="0"/>
    <w:pPr>
      <w:widowControl/>
      <w:adjustRightInd/>
      <w:snapToGrid/>
      <w:spacing w:beforeAutospacing="1" w:afterAutospacing="1" w:line="240" w:lineRule="auto"/>
      <w:ind w:firstLine="0" w:firstLineChars="0"/>
      <w:jc w:val="left"/>
    </w:pPr>
    <w:rPr>
      <w:rFonts w:ascii="Arial" w:hAnsi="Arial" w:cs="Arial"/>
      <w:kern w:val="0"/>
      <w:sz w:val="14"/>
      <w:szCs w:val="14"/>
    </w:rPr>
  </w:style>
  <w:style w:type="paragraph" w:customStyle="1" w:styleId="3678">
    <w:name w:val="head"/>
    <w:basedOn w:val="1"/>
    <w:autoRedefine/>
    <w:qFormat/>
    <w:uiPriority w:val="0"/>
    <w:pPr>
      <w:widowControl/>
      <w:adjustRightInd/>
      <w:snapToGrid/>
      <w:spacing w:beforeAutospacing="1" w:afterAutospacing="1" w:line="240" w:lineRule="auto"/>
      <w:ind w:firstLine="0" w:firstLineChars="0"/>
      <w:jc w:val="left"/>
    </w:pPr>
    <w:rPr>
      <w:rFonts w:ascii="Arial" w:hAnsi="Arial" w:cs="Arial"/>
      <w:b/>
      <w:bCs/>
      <w:kern w:val="0"/>
      <w:sz w:val="21"/>
      <w:szCs w:val="21"/>
    </w:rPr>
  </w:style>
  <w:style w:type="paragraph" w:customStyle="1" w:styleId="3679">
    <w:name w:val="recentupdateslink"/>
    <w:basedOn w:val="1"/>
    <w:autoRedefine/>
    <w:qFormat/>
    <w:uiPriority w:val="0"/>
    <w:pPr>
      <w:widowControl/>
      <w:adjustRightInd/>
      <w:snapToGrid/>
      <w:spacing w:beforeAutospacing="1" w:afterAutospacing="1" w:line="240" w:lineRule="auto"/>
      <w:ind w:firstLine="0" w:firstLineChars="0"/>
      <w:jc w:val="left"/>
    </w:pPr>
    <w:rPr>
      <w:rFonts w:ascii="Arial" w:hAnsi="Arial" w:cs="Arial"/>
      <w:b/>
      <w:bCs/>
      <w:kern w:val="0"/>
      <w:sz w:val="14"/>
      <w:szCs w:val="14"/>
    </w:rPr>
  </w:style>
  <w:style w:type="paragraph" w:customStyle="1" w:styleId="3680">
    <w:name w:val="updatetitle"/>
    <w:basedOn w:val="1"/>
    <w:autoRedefine/>
    <w:qFormat/>
    <w:uiPriority w:val="0"/>
    <w:pPr>
      <w:widowControl/>
      <w:adjustRightInd/>
      <w:snapToGrid/>
      <w:spacing w:beforeAutospacing="1" w:afterAutospacing="1" w:line="240" w:lineRule="auto"/>
      <w:ind w:firstLine="100" w:firstLineChars="0"/>
      <w:jc w:val="left"/>
    </w:pPr>
    <w:rPr>
      <w:rFonts w:ascii="Arial" w:hAnsi="Arial" w:cs="Arial"/>
      <w:b/>
      <w:bCs/>
      <w:color w:val="FF0000"/>
      <w:kern w:val="0"/>
      <w:sz w:val="17"/>
      <w:szCs w:val="17"/>
    </w:rPr>
  </w:style>
  <w:style w:type="paragraph" w:customStyle="1" w:styleId="3681">
    <w:name w:val="updatebodytest"/>
    <w:basedOn w:val="1"/>
    <w:autoRedefine/>
    <w:qFormat/>
    <w:uiPriority w:val="0"/>
    <w:pPr>
      <w:widowControl/>
      <w:adjustRightInd/>
      <w:snapToGrid/>
      <w:spacing w:beforeAutospacing="1" w:afterAutospacing="1" w:line="240" w:lineRule="auto"/>
      <w:ind w:firstLine="0" w:firstLineChars="0"/>
      <w:jc w:val="left"/>
    </w:pPr>
    <w:rPr>
      <w:rFonts w:ascii="Arial" w:hAnsi="Arial" w:cs="Arial"/>
      <w:kern w:val="0"/>
      <w:sz w:val="14"/>
      <w:szCs w:val="14"/>
    </w:rPr>
  </w:style>
  <w:style w:type="paragraph" w:customStyle="1" w:styleId="3682">
    <w:name w:val="updatebold"/>
    <w:basedOn w:val="1"/>
    <w:autoRedefine/>
    <w:qFormat/>
    <w:uiPriority w:val="0"/>
    <w:pPr>
      <w:widowControl/>
      <w:adjustRightInd/>
      <w:snapToGrid/>
      <w:spacing w:beforeAutospacing="1" w:afterAutospacing="1" w:line="240" w:lineRule="auto"/>
      <w:ind w:firstLine="0" w:firstLineChars="0"/>
      <w:jc w:val="left"/>
    </w:pPr>
    <w:rPr>
      <w:rFonts w:ascii="Arial" w:hAnsi="Arial" w:cs="Arial"/>
      <w:b/>
      <w:bCs/>
      <w:kern w:val="0"/>
      <w:sz w:val="14"/>
      <w:szCs w:val="14"/>
    </w:rPr>
  </w:style>
  <w:style w:type="paragraph" w:customStyle="1" w:styleId="3683">
    <w:name w:val="body"/>
    <w:basedOn w:val="1"/>
    <w:autoRedefine/>
    <w:qFormat/>
    <w:uiPriority w:val="0"/>
    <w:pPr>
      <w:widowControl/>
      <w:shd w:val="clear" w:color="auto" w:fill="FFFFFF"/>
      <w:adjustRightInd/>
      <w:snapToGrid/>
      <w:spacing w:beforeAutospacing="1" w:afterAutospacing="1" w:line="240" w:lineRule="auto"/>
      <w:ind w:firstLine="0" w:firstLineChars="0"/>
      <w:jc w:val="left"/>
    </w:pPr>
    <w:rPr>
      <w:rFonts w:ascii="Arial" w:hAnsi="Arial" w:cs="Arial"/>
      <w:color w:val="000000"/>
      <w:kern w:val="0"/>
      <w:szCs w:val="24"/>
    </w:rPr>
  </w:style>
  <w:style w:type="paragraph" w:customStyle="1" w:styleId="3684">
    <w:name w:val="p"/>
    <w:basedOn w:val="1"/>
    <w:autoRedefine/>
    <w:qFormat/>
    <w:uiPriority w:val="0"/>
    <w:pPr>
      <w:widowControl/>
      <w:adjustRightInd/>
      <w:snapToGrid/>
      <w:spacing w:beforeAutospacing="1" w:afterAutospacing="1" w:line="240" w:lineRule="auto"/>
      <w:ind w:firstLine="0" w:firstLineChars="0"/>
      <w:jc w:val="center"/>
    </w:pPr>
    <w:rPr>
      <w:rFonts w:ascii="Arial" w:hAnsi="Arial" w:cs="Arial"/>
      <w:kern w:val="0"/>
      <w:szCs w:val="24"/>
    </w:rPr>
  </w:style>
  <w:style w:type="paragraph" w:customStyle="1" w:styleId="3685">
    <w:name w:val="副标题1"/>
    <w:basedOn w:val="1"/>
    <w:autoRedefine/>
    <w:qFormat/>
    <w:uiPriority w:val="0"/>
    <w:pPr>
      <w:widowControl/>
      <w:adjustRightInd/>
      <w:snapToGrid/>
      <w:spacing w:beforeAutospacing="1" w:afterAutospacing="1" w:line="240" w:lineRule="auto"/>
      <w:ind w:firstLine="0" w:firstLineChars="0"/>
      <w:jc w:val="left"/>
    </w:pPr>
    <w:rPr>
      <w:rFonts w:ascii="Arial" w:hAnsi="Arial" w:cs="Arial"/>
      <w:b/>
      <w:bCs/>
      <w:kern w:val="0"/>
      <w:sz w:val="17"/>
      <w:szCs w:val="17"/>
    </w:rPr>
  </w:style>
  <w:style w:type="paragraph" w:customStyle="1" w:styleId="3686">
    <w:name w:val="mainheader"/>
    <w:basedOn w:val="1"/>
    <w:autoRedefine/>
    <w:qFormat/>
    <w:uiPriority w:val="0"/>
    <w:pPr>
      <w:widowControl/>
      <w:adjustRightInd/>
      <w:snapToGrid/>
      <w:spacing w:beforeAutospacing="1" w:afterAutospacing="1" w:line="240" w:lineRule="auto"/>
      <w:ind w:firstLine="0" w:firstLineChars="0"/>
      <w:jc w:val="left"/>
    </w:pPr>
    <w:rPr>
      <w:rFonts w:ascii="宋体" w:hAnsi="宋体" w:cs="宋体"/>
      <w:b/>
      <w:bCs/>
      <w:kern w:val="0"/>
      <w:sz w:val="31"/>
      <w:szCs w:val="31"/>
    </w:rPr>
  </w:style>
  <w:style w:type="paragraph" w:customStyle="1" w:styleId="3687">
    <w:name w:val="chapter"/>
    <w:basedOn w:val="1"/>
    <w:autoRedefine/>
    <w:qFormat/>
    <w:uiPriority w:val="0"/>
    <w:pPr>
      <w:widowControl/>
      <w:adjustRightInd/>
      <w:snapToGrid/>
      <w:spacing w:beforeAutospacing="1" w:afterAutospacing="1" w:line="240" w:lineRule="auto"/>
      <w:ind w:firstLine="0" w:firstLineChars="0"/>
      <w:jc w:val="left"/>
    </w:pPr>
    <w:rPr>
      <w:rFonts w:ascii="Arial" w:hAnsi="Arial" w:cs="Arial"/>
      <w:b/>
      <w:bCs/>
      <w:kern w:val="0"/>
      <w:sz w:val="19"/>
      <w:szCs w:val="19"/>
    </w:rPr>
  </w:style>
  <w:style w:type="paragraph" w:customStyle="1" w:styleId="3688">
    <w:name w:val="subchapter"/>
    <w:basedOn w:val="1"/>
    <w:autoRedefine/>
    <w:qFormat/>
    <w:uiPriority w:val="0"/>
    <w:pPr>
      <w:widowControl/>
      <w:adjustRightInd/>
      <w:snapToGrid/>
      <w:spacing w:beforeAutospacing="1" w:afterAutospacing="1" w:line="240" w:lineRule="auto"/>
      <w:ind w:firstLine="0" w:firstLineChars="0"/>
      <w:jc w:val="left"/>
    </w:pPr>
    <w:rPr>
      <w:rFonts w:ascii="Arial" w:hAnsi="Arial" w:cs="Arial"/>
      <w:b/>
      <w:bCs/>
      <w:kern w:val="0"/>
      <w:sz w:val="17"/>
      <w:szCs w:val="17"/>
    </w:rPr>
  </w:style>
  <w:style w:type="paragraph" w:customStyle="1" w:styleId="3689">
    <w:name w:val="part"/>
    <w:basedOn w:val="1"/>
    <w:autoRedefine/>
    <w:qFormat/>
    <w:uiPriority w:val="0"/>
    <w:pPr>
      <w:widowControl/>
      <w:adjustRightInd/>
      <w:snapToGrid/>
      <w:spacing w:beforeAutospacing="1" w:afterAutospacing="1" w:line="240" w:lineRule="auto"/>
      <w:ind w:firstLine="0" w:firstLineChars="0"/>
      <w:jc w:val="left"/>
    </w:pPr>
    <w:rPr>
      <w:rFonts w:ascii="宋体" w:hAnsi="宋体" w:cs="宋体"/>
      <w:b/>
      <w:bCs/>
      <w:kern w:val="0"/>
      <w:szCs w:val="24"/>
    </w:rPr>
  </w:style>
  <w:style w:type="paragraph" w:customStyle="1" w:styleId="3690">
    <w:name w:val="subpart"/>
    <w:basedOn w:val="1"/>
    <w:autoRedefine/>
    <w:qFormat/>
    <w:uiPriority w:val="0"/>
    <w:pPr>
      <w:widowControl/>
      <w:shd w:val="clear" w:color="auto" w:fill="FFFFFF"/>
      <w:adjustRightInd/>
      <w:snapToGrid/>
      <w:spacing w:beforeAutospacing="1" w:afterAutospacing="1" w:line="240" w:lineRule="auto"/>
      <w:ind w:firstLine="0" w:firstLineChars="0"/>
      <w:jc w:val="left"/>
    </w:pPr>
    <w:rPr>
      <w:rFonts w:ascii="宋体" w:hAnsi="宋体" w:cs="宋体"/>
      <w:color w:val="0000FF"/>
      <w:kern w:val="0"/>
      <w:sz w:val="22"/>
      <w:szCs w:val="22"/>
    </w:rPr>
  </w:style>
  <w:style w:type="paragraph" w:customStyle="1" w:styleId="3691">
    <w:name w:val="nopart"/>
    <w:basedOn w:val="1"/>
    <w:autoRedefine/>
    <w:qFormat/>
    <w:uiPriority w:val="0"/>
    <w:pPr>
      <w:widowControl/>
      <w:shd w:val="clear" w:color="auto" w:fill="FFFFFF"/>
      <w:adjustRightInd/>
      <w:snapToGrid/>
      <w:spacing w:beforeAutospacing="1" w:afterAutospacing="1" w:line="240" w:lineRule="auto"/>
      <w:ind w:firstLine="0" w:firstLineChars="0"/>
      <w:jc w:val="left"/>
    </w:pPr>
    <w:rPr>
      <w:rFonts w:ascii="宋体" w:hAnsi="宋体" w:cs="宋体"/>
      <w:color w:val="008000"/>
      <w:kern w:val="0"/>
      <w:szCs w:val="24"/>
    </w:rPr>
  </w:style>
  <w:style w:type="paragraph" w:customStyle="1" w:styleId="3692">
    <w:name w:val="reserved"/>
    <w:basedOn w:val="1"/>
    <w:autoRedefine/>
    <w:qFormat/>
    <w:uiPriority w:val="0"/>
    <w:pPr>
      <w:widowControl/>
      <w:shd w:val="clear" w:color="auto" w:fill="FFFFFF"/>
      <w:adjustRightInd/>
      <w:snapToGrid/>
      <w:spacing w:beforeAutospacing="1" w:afterAutospacing="1" w:line="240" w:lineRule="auto"/>
      <w:ind w:firstLine="0" w:firstLineChars="0"/>
      <w:jc w:val="left"/>
    </w:pPr>
    <w:rPr>
      <w:rFonts w:ascii="宋体" w:hAnsi="宋体" w:cs="宋体"/>
      <w:color w:val="FF0000"/>
      <w:kern w:val="0"/>
      <w:szCs w:val="24"/>
    </w:rPr>
  </w:style>
  <w:style w:type="paragraph" w:customStyle="1" w:styleId="3693">
    <w:name w:val="menu"/>
    <w:basedOn w:val="1"/>
    <w:autoRedefine/>
    <w:qFormat/>
    <w:uiPriority w:val="0"/>
    <w:pPr>
      <w:widowControl/>
      <w:adjustRightInd/>
      <w:snapToGrid/>
      <w:spacing w:beforeAutospacing="1" w:afterAutospacing="1" w:line="240" w:lineRule="auto"/>
      <w:ind w:firstLine="0" w:firstLineChars="0"/>
      <w:jc w:val="left"/>
    </w:pPr>
    <w:rPr>
      <w:rFonts w:ascii="Arial" w:hAnsi="Arial" w:cs="Arial"/>
      <w:kern w:val="0"/>
      <w:sz w:val="14"/>
      <w:szCs w:val="14"/>
    </w:rPr>
  </w:style>
  <w:style w:type="paragraph" w:customStyle="1" w:styleId="3694">
    <w:name w:val="hilite"/>
    <w:basedOn w:val="1"/>
    <w:autoRedefine/>
    <w:qFormat/>
    <w:uiPriority w:val="0"/>
    <w:pPr>
      <w:widowControl/>
      <w:adjustRightInd/>
      <w:snapToGrid/>
      <w:spacing w:beforeAutospacing="1" w:afterAutospacing="1" w:line="240" w:lineRule="auto"/>
      <w:ind w:firstLine="0" w:firstLineChars="0"/>
      <w:jc w:val="left"/>
    </w:pPr>
    <w:rPr>
      <w:rFonts w:ascii="宋体" w:hAnsi="宋体" w:cs="宋体"/>
      <w:b/>
      <w:bCs/>
      <w:color w:val="CC0000"/>
      <w:kern w:val="0"/>
      <w:szCs w:val="24"/>
    </w:rPr>
  </w:style>
  <w:style w:type="paragraph" w:customStyle="1" w:styleId="3695">
    <w:name w:val="hang"/>
    <w:basedOn w:val="1"/>
    <w:autoRedefine/>
    <w:qFormat/>
    <w:uiPriority w:val="0"/>
    <w:pPr>
      <w:widowControl/>
      <w:adjustRightInd/>
      <w:snapToGrid/>
      <w:spacing w:beforeAutospacing="1" w:afterAutospacing="1" w:line="240" w:lineRule="auto"/>
      <w:ind w:hanging="480" w:firstLineChars="0"/>
      <w:jc w:val="left"/>
    </w:pPr>
    <w:rPr>
      <w:rFonts w:ascii="宋体" w:hAnsi="宋体" w:cs="宋体"/>
      <w:kern w:val="0"/>
      <w:szCs w:val="24"/>
    </w:rPr>
  </w:style>
  <w:style w:type="paragraph" w:customStyle="1" w:styleId="3696">
    <w:name w:val="table_div"/>
    <w:basedOn w:val="1"/>
    <w:autoRedefine/>
    <w:qFormat/>
    <w:uiPriority w:val="0"/>
    <w:pPr>
      <w:widowControl/>
      <w:pBdr>
        <w:top w:val="single" w:color="000000" w:sz="12" w:space="0"/>
        <w:left w:val="single" w:color="000000" w:sz="12" w:space="0"/>
        <w:bottom w:val="single" w:color="000000" w:sz="12" w:space="0"/>
        <w:right w:val="single" w:color="000000" w:sz="12" w:space="0"/>
      </w:pBdr>
      <w:adjustRightInd/>
      <w:snapToGrid/>
      <w:spacing w:beforeAutospacing="1" w:afterAutospacing="1" w:line="240" w:lineRule="auto"/>
      <w:ind w:firstLine="0" w:firstLineChars="0"/>
      <w:jc w:val="left"/>
    </w:pPr>
    <w:rPr>
      <w:rFonts w:ascii="宋体" w:hAnsi="宋体" w:cs="宋体"/>
      <w:kern w:val="0"/>
      <w:szCs w:val="24"/>
    </w:rPr>
  </w:style>
  <w:style w:type="paragraph" w:customStyle="1" w:styleId="3697">
    <w:name w:val="table_cell"/>
    <w:basedOn w:val="1"/>
    <w:autoRedefine/>
    <w:qFormat/>
    <w:uiPriority w:val="0"/>
    <w:pPr>
      <w:widowControl/>
      <w:pBdr>
        <w:top w:val="single" w:color="000000" w:sz="4" w:space="0"/>
        <w:left w:val="single" w:color="000000" w:sz="4" w:space="0"/>
        <w:bottom w:val="single" w:color="000000" w:sz="4" w:space="0"/>
        <w:right w:val="single" w:color="000000" w:sz="4" w:space="0"/>
      </w:pBdr>
      <w:adjustRightInd/>
      <w:snapToGrid/>
      <w:spacing w:beforeAutospacing="1" w:afterAutospacing="1" w:line="240" w:lineRule="auto"/>
      <w:ind w:firstLine="0" w:firstLineChars="0"/>
      <w:jc w:val="left"/>
    </w:pPr>
    <w:rPr>
      <w:rFonts w:ascii="宋体" w:hAnsi="宋体" w:cs="宋体"/>
      <w:kern w:val="0"/>
      <w:szCs w:val="24"/>
    </w:rPr>
  </w:style>
  <w:style w:type="paragraph" w:customStyle="1" w:styleId="3698">
    <w:name w:val="table_colhed"/>
    <w:basedOn w:val="1"/>
    <w:autoRedefine/>
    <w:qFormat/>
    <w:uiPriority w:val="0"/>
    <w:pPr>
      <w:widowControl/>
      <w:pBdr>
        <w:top w:val="single" w:color="000000" w:sz="4" w:space="0"/>
        <w:left w:val="single" w:color="000000" w:sz="4" w:space="0"/>
        <w:bottom w:val="single" w:color="000000" w:sz="4" w:space="0"/>
        <w:right w:val="single" w:color="000000" w:sz="4" w:space="0"/>
      </w:pBdr>
      <w:adjustRightInd/>
      <w:snapToGrid/>
      <w:spacing w:beforeAutospacing="1" w:afterAutospacing="1" w:line="240" w:lineRule="auto"/>
      <w:ind w:firstLine="0" w:firstLineChars="0"/>
      <w:jc w:val="left"/>
    </w:pPr>
    <w:rPr>
      <w:rFonts w:ascii="宋体" w:hAnsi="宋体" w:cs="宋体"/>
      <w:kern w:val="0"/>
      <w:szCs w:val="24"/>
    </w:rPr>
  </w:style>
  <w:style w:type="paragraph" w:customStyle="1" w:styleId="3699">
    <w:name w:val="表内标题栏"/>
    <w:basedOn w:val="1"/>
    <w:autoRedefine/>
    <w:qFormat/>
    <w:uiPriority w:val="0"/>
    <w:pPr>
      <w:adjustRightInd/>
      <w:snapToGrid/>
      <w:spacing w:line="300" w:lineRule="exact"/>
      <w:ind w:firstLine="0" w:firstLineChars="0"/>
      <w:jc w:val="center"/>
    </w:pPr>
    <w:rPr>
      <w:rFonts w:ascii="宋体"/>
      <w:szCs w:val="24"/>
    </w:rPr>
  </w:style>
  <w:style w:type="paragraph" w:customStyle="1" w:styleId="3700">
    <w:name w:val="Char1 Char Char Char11"/>
    <w:basedOn w:val="1"/>
    <w:autoRedefine/>
    <w:qFormat/>
    <w:uiPriority w:val="0"/>
    <w:pPr>
      <w:adjustRightInd/>
      <w:snapToGrid/>
      <w:spacing w:line="240" w:lineRule="auto"/>
      <w:ind w:firstLine="0" w:firstLineChars="0"/>
    </w:pPr>
    <w:rPr>
      <w:sz w:val="21"/>
      <w:szCs w:val="24"/>
    </w:rPr>
  </w:style>
  <w:style w:type="paragraph" w:customStyle="1" w:styleId="3701">
    <w:name w:val="样式 样式18 + 黑色"/>
    <w:basedOn w:val="1"/>
    <w:autoRedefine/>
    <w:qFormat/>
    <w:uiPriority w:val="0"/>
    <w:pPr>
      <w:keepNext/>
      <w:keepLines/>
      <w:tabs>
        <w:tab w:val="left" w:pos="1800"/>
      </w:tabs>
      <w:overflowPunct w:val="0"/>
      <w:topLinePunct/>
      <w:autoSpaceDE w:val="0"/>
      <w:autoSpaceDN w:val="0"/>
      <w:ind w:firstLine="0" w:firstLineChars="0"/>
      <w:jc w:val="left"/>
      <w:outlineLvl w:val="3"/>
    </w:pPr>
    <w:rPr>
      <w:rFonts w:hAnsi="宋体"/>
      <w:color w:val="000000"/>
      <w:kern w:val="0"/>
    </w:rPr>
  </w:style>
  <w:style w:type="paragraph" w:customStyle="1" w:styleId="3702">
    <w:name w:val="样式 样式11 + 黑色"/>
    <w:basedOn w:val="1"/>
    <w:autoRedefine/>
    <w:qFormat/>
    <w:uiPriority w:val="0"/>
    <w:pPr>
      <w:keepNext/>
      <w:keepLines/>
      <w:tabs>
        <w:tab w:val="left" w:pos="1256"/>
      </w:tabs>
      <w:overflowPunct w:val="0"/>
      <w:topLinePunct/>
      <w:autoSpaceDE w:val="0"/>
      <w:autoSpaceDN w:val="0"/>
      <w:spacing w:line="480" w:lineRule="atLeast"/>
      <w:ind w:left="-31" w:firstLine="567" w:firstLineChars="0"/>
      <w:jc w:val="left"/>
      <w:outlineLvl w:val="2"/>
    </w:pPr>
    <w:rPr>
      <w:rFonts w:eastAsia="黑体"/>
      <w:color w:val="000000"/>
      <w:kern w:val="0"/>
    </w:rPr>
  </w:style>
  <w:style w:type="paragraph" w:customStyle="1" w:styleId="3703">
    <w:name w:val="样式 样式 样式 样式 样式 样式 样式 样式9 + 段前: 0.5 行 段后: 0.5 行 + 段前: 1 行 段后: 0.5..."/>
    <w:basedOn w:val="1"/>
    <w:autoRedefine/>
    <w:qFormat/>
    <w:uiPriority w:val="0"/>
    <w:pPr>
      <w:keepNext/>
      <w:keepLines/>
      <w:tabs>
        <w:tab w:val="left" w:pos="927"/>
      </w:tabs>
      <w:adjustRightInd/>
      <w:snapToGrid/>
      <w:spacing w:beforeLines="100"/>
      <w:ind w:firstLine="567" w:firstLineChars="0"/>
      <w:jc w:val="left"/>
      <w:outlineLvl w:val="1"/>
    </w:pPr>
    <w:rPr>
      <w:rFonts w:ascii="Arial" w:hAnsi="Arial" w:eastAsia="黑体"/>
      <w:color w:val="000000"/>
      <w:spacing w:val="6"/>
      <w:sz w:val="28"/>
    </w:rPr>
  </w:style>
  <w:style w:type="paragraph" w:customStyle="1" w:styleId="3704">
    <w:name w:val="SCIDI环评表格"/>
    <w:basedOn w:val="1"/>
    <w:autoRedefine/>
    <w:qFormat/>
    <w:uiPriority w:val="0"/>
    <w:pPr>
      <w:spacing w:line="240" w:lineRule="auto"/>
      <w:ind w:firstLine="0" w:firstLineChars="0"/>
      <w:jc w:val="center"/>
    </w:pPr>
    <w:rPr>
      <w:kern w:val="0"/>
      <w:sz w:val="21"/>
      <w:szCs w:val="21"/>
    </w:rPr>
  </w:style>
  <w:style w:type="paragraph" w:customStyle="1" w:styleId="3705">
    <w:name w:val="样式 样式2 + (符号) 宋体 Char"/>
    <w:basedOn w:val="1"/>
    <w:autoRedefine/>
    <w:qFormat/>
    <w:uiPriority w:val="0"/>
    <w:pPr>
      <w:spacing w:line="440" w:lineRule="exact"/>
      <w:ind w:firstLine="480"/>
    </w:pPr>
    <w:rPr>
      <w:szCs w:val="28"/>
    </w:rPr>
  </w:style>
  <w:style w:type="paragraph" w:customStyle="1" w:styleId="3706">
    <w:name w:val="样式 表格文字 + 居中 首行缩进:  2 字符"/>
    <w:basedOn w:val="184"/>
    <w:autoRedefine/>
    <w:qFormat/>
    <w:uiPriority w:val="0"/>
    <w:pPr>
      <w:tabs>
        <w:tab w:val="left" w:pos="1960"/>
      </w:tabs>
      <w:snapToGrid/>
      <w:spacing w:line="400" w:lineRule="exact"/>
      <w:textAlignment w:val="auto"/>
    </w:pPr>
    <w:rPr>
      <w:rFonts w:eastAsia="仿宋_GB2312"/>
      <w:snapToGrid/>
      <w:kern w:val="24"/>
      <w:sz w:val="24"/>
      <w:szCs w:val="20"/>
      <w:lang w:val="en-US"/>
    </w:rPr>
  </w:style>
  <w:style w:type="paragraph" w:customStyle="1" w:styleId="3707">
    <w:name w:val="样式 表格文字 + 首行缩进:  2 字符"/>
    <w:basedOn w:val="184"/>
    <w:autoRedefine/>
    <w:qFormat/>
    <w:uiPriority w:val="0"/>
    <w:pPr>
      <w:tabs>
        <w:tab w:val="left" w:pos="1960"/>
      </w:tabs>
      <w:snapToGrid/>
      <w:spacing w:line="400" w:lineRule="exact"/>
      <w:jc w:val="both"/>
      <w:textAlignment w:val="auto"/>
    </w:pPr>
    <w:rPr>
      <w:rFonts w:eastAsia="仿宋_GB2312"/>
      <w:snapToGrid/>
      <w:kern w:val="24"/>
      <w:sz w:val="24"/>
      <w:szCs w:val="20"/>
      <w:lang w:val="en-US"/>
    </w:rPr>
  </w:style>
  <w:style w:type="paragraph" w:customStyle="1" w:styleId="3708">
    <w:name w:val="表——索引"/>
    <w:basedOn w:val="1"/>
    <w:autoRedefine/>
    <w:qFormat/>
    <w:uiPriority w:val="0"/>
    <w:pPr>
      <w:widowControl/>
      <w:adjustRightInd/>
      <w:snapToGrid/>
      <w:spacing w:line="360" w:lineRule="auto"/>
      <w:ind w:firstLine="0" w:firstLineChars="0"/>
      <w:jc w:val="center"/>
    </w:pPr>
    <w:rPr>
      <w:rFonts w:ascii="宋体" w:hAnsi="宋体"/>
      <w:color w:val="000000"/>
      <w:szCs w:val="24"/>
    </w:rPr>
  </w:style>
  <w:style w:type="paragraph" w:customStyle="1" w:styleId="3709">
    <w:name w:val="标题 B"/>
    <w:basedOn w:val="4"/>
    <w:autoRedefine/>
    <w:qFormat/>
    <w:uiPriority w:val="0"/>
    <w:pPr>
      <w:numPr>
        <w:ilvl w:val="0"/>
        <w:numId w:val="0"/>
      </w:numPr>
      <w:tabs>
        <w:tab w:val="left" w:pos="927"/>
        <w:tab w:val="left" w:pos="1134"/>
      </w:tabs>
      <w:snapToGrid/>
      <w:spacing w:beforeLines="50" w:after="260" w:line="400" w:lineRule="exact"/>
      <w:jc w:val="center"/>
      <w:outlineLvl w:val="9"/>
    </w:pPr>
    <w:rPr>
      <w:rFonts w:ascii="Arial Rounded MT Bold" w:hAnsi="Arial Rounded MT Bold" w:eastAsia="黑体"/>
      <w:b w:val="0"/>
      <w:bCs w:val="0"/>
      <w:color w:val="000000"/>
      <w:spacing w:val="8"/>
      <w:kern w:val="0"/>
      <w:sz w:val="32"/>
      <w:szCs w:val="20"/>
      <w:lang w:val="en-US"/>
    </w:rPr>
  </w:style>
  <w:style w:type="character" w:customStyle="1" w:styleId="3710">
    <w:name w:val="表体 Char"/>
    <w:link w:val="178"/>
    <w:autoRedefine/>
    <w:qFormat/>
    <w:locked/>
    <w:uiPriority w:val="0"/>
    <w:rPr>
      <w:color w:val="000000"/>
      <w:kern w:val="24"/>
      <w:sz w:val="21"/>
    </w:rPr>
  </w:style>
  <w:style w:type="paragraph" w:customStyle="1" w:styleId="3711">
    <w:name w:val="Char Char1 Char Char1 Char Char1 Char Char1 Char Char Char Char Char Char Char"/>
    <w:basedOn w:val="1"/>
    <w:autoRedefine/>
    <w:qFormat/>
    <w:uiPriority w:val="0"/>
    <w:pPr>
      <w:adjustRightInd/>
      <w:snapToGrid/>
      <w:spacing w:line="240" w:lineRule="auto"/>
      <w:ind w:firstLine="0" w:firstLineChars="0"/>
    </w:pPr>
    <w:rPr>
      <w:rFonts w:ascii="Tahoma" w:hAnsi="Tahoma"/>
      <w:szCs w:val="24"/>
    </w:rPr>
  </w:style>
  <w:style w:type="paragraph" w:customStyle="1" w:styleId="3712">
    <w:name w:val="Char Char7 Char Char Char Char Char Char"/>
    <w:basedOn w:val="5"/>
    <w:autoRedefine/>
    <w:qFormat/>
    <w:uiPriority w:val="0"/>
    <w:pPr>
      <w:numPr>
        <w:ilvl w:val="0"/>
        <w:numId w:val="0"/>
      </w:numPr>
      <w:tabs>
        <w:tab w:val="left" w:pos="360"/>
        <w:tab w:val="left" w:pos="900"/>
      </w:tabs>
      <w:adjustRightInd/>
      <w:spacing w:before="260" w:after="260" w:line="360" w:lineRule="auto"/>
      <w:ind w:left="-12" w:leftChars="-12" w:firstLine="200" w:firstLineChars="200"/>
      <w:jc w:val="left"/>
    </w:pPr>
    <w:rPr>
      <w:rFonts w:eastAsia="黑体"/>
      <w:bCs w:val="0"/>
      <w:kern w:val="0"/>
      <w:sz w:val="28"/>
      <w:szCs w:val="20"/>
      <w:lang w:val="en-US"/>
    </w:rPr>
  </w:style>
  <w:style w:type="character" w:customStyle="1" w:styleId="3713">
    <w:name w:val="样式 正文文本缩进 2正文文字缩进 2 + 自动设置 Char Char"/>
    <w:link w:val="3714"/>
    <w:autoRedefine/>
    <w:qFormat/>
    <w:locked/>
    <w:uiPriority w:val="0"/>
    <w:rPr>
      <w:rFonts w:ascii="宋体" w:hAnsi="宋体"/>
      <w:sz w:val="24"/>
    </w:rPr>
  </w:style>
  <w:style w:type="paragraph" w:customStyle="1" w:styleId="3714">
    <w:name w:val="样式 正文文本缩进 2正文文字缩进 2 + 自动设置 Char"/>
    <w:basedOn w:val="1"/>
    <w:link w:val="3713"/>
    <w:autoRedefine/>
    <w:qFormat/>
    <w:uiPriority w:val="0"/>
    <w:pPr>
      <w:tabs>
        <w:tab w:val="left" w:pos="4500"/>
      </w:tabs>
      <w:adjustRightInd/>
      <w:spacing w:line="440" w:lineRule="exact"/>
      <w:ind w:firstLine="420"/>
    </w:pPr>
    <w:rPr>
      <w:rFonts w:ascii="宋体" w:hAnsi="宋体"/>
      <w:kern w:val="0"/>
    </w:rPr>
  </w:style>
  <w:style w:type="paragraph" w:customStyle="1" w:styleId="3715">
    <w:name w:val="标题三"/>
    <w:basedOn w:val="5"/>
    <w:autoRedefine/>
    <w:qFormat/>
    <w:uiPriority w:val="0"/>
    <w:pPr>
      <w:numPr>
        <w:ilvl w:val="0"/>
        <w:numId w:val="0"/>
      </w:numPr>
      <w:tabs>
        <w:tab w:val="left" w:pos="4500"/>
      </w:tabs>
      <w:adjustRightInd/>
      <w:spacing w:before="260" w:after="260" w:line="440" w:lineRule="atLeast"/>
      <w:ind w:firstLine="200" w:firstLineChars="200"/>
    </w:pPr>
    <w:rPr>
      <w:rFonts w:ascii="宋体" w:hAnsi="宋体"/>
      <w:bCs w:val="0"/>
      <w:kern w:val="0"/>
      <w:sz w:val="28"/>
      <w:szCs w:val="20"/>
      <w:lang w:val="en-US"/>
    </w:rPr>
  </w:style>
  <w:style w:type="paragraph" w:customStyle="1" w:styleId="3716">
    <w:name w:val="Char2 Char Char Char Char Char Char Char"/>
    <w:basedOn w:val="1"/>
    <w:autoRedefine/>
    <w:qFormat/>
    <w:uiPriority w:val="0"/>
    <w:pPr>
      <w:autoSpaceDE w:val="0"/>
      <w:autoSpaceDN w:val="0"/>
      <w:spacing w:line="360" w:lineRule="auto"/>
      <w:ind w:firstLine="560"/>
    </w:pPr>
    <w:rPr>
      <w:rFonts w:eastAsia="仿宋_GB2312"/>
      <w:color w:val="000000"/>
    </w:rPr>
  </w:style>
  <w:style w:type="paragraph" w:customStyle="1" w:styleId="3717">
    <w:name w:val="标题二"/>
    <w:basedOn w:val="1"/>
    <w:autoRedefine/>
    <w:qFormat/>
    <w:uiPriority w:val="0"/>
    <w:pPr>
      <w:keepNext/>
      <w:keepLines/>
      <w:tabs>
        <w:tab w:val="left" w:pos="4500"/>
      </w:tabs>
      <w:adjustRightInd/>
      <w:spacing w:line="440" w:lineRule="atLeast"/>
      <w:ind w:firstLine="0" w:firstLineChars="0"/>
      <w:outlineLvl w:val="1"/>
    </w:pPr>
    <w:rPr>
      <w:rFonts w:ascii="宋体" w:hAnsi="宋体"/>
      <w:b/>
      <w:color w:val="000000"/>
      <w:sz w:val="30"/>
    </w:rPr>
  </w:style>
  <w:style w:type="paragraph" w:customStyle="1" w:styleId="3718">
    <w:name w:val="正文（1）"/>
    <w:basedOn w:val="21"/>
    <w:next w:val="86"/>
    <w:autoRedefine/>
    <w:qFormat/>
    <w:uiPriority w:val="0"/>
    <w:pPr>
      <w:widowControl/>
      <w:adjustRightInd w:val="0"/>
      <w:snapToGrid w:val="0"/>
      <w:spacing w:line="480" w:lineRule="atLeast"/>
      <w:ind w:firstLine="480"/>
    </w:pPr>
    <w:rPr>
      <w:rFonts w:ascii="Times New Roman" w:hAnsi="宋体"/>
      <w:kern w:val="0"/>
      <w:sz w:val="24"/>
      <w:szCs w:val="20"/>
      <w:lang w:val="en-US"/>
    </w:rPr>
  </w:style>
  <w:style w:type="paragraph" w:customStyle="1" w:styleId="3719">
    <w:name w:val="节标"/>
    <w:basedOn w:val="1"/>
    <w:autoRedefine/>
    <w:qFormat/>
    <w:uiPriority w:val="0"/>
    <w:pPr>
      <w:widowControl/>
      <w:autoSpaceDE w:val="0"/>
      <w:autoSpaceDN w:val="0"/>
      <w:snapToGrid/>
      <w:ind w:firstLine="567" w:firstLineChars="0"/>
      <w:jc w:val="center"/>
    </w:pPr>
    <w:rPr>
      <w:b/>
      <w:kern w:val="0"/>
      <w:sz w:val="30"/>
    </w:rPr>
  </w:style>
  <w:style w:type="paragraph" w:customStyle="1" w:styleId="3720">
    <w:name w:val="Achievement"/>
    <w:basedOn w:val="34"/>
    <w:autoRedefine/>
    <w:qFormat/>
    <w:uiPriority w:val="0"/>
    <w:pPr>
      <w:widowControl/>
      <w:tabs>
        <w:tab w:val="left" w:pos="960"/>
      </w:tabs>
      <w:adjustRightInd/>
      <w:snapToGrid/>
      <w:spacing w:line="220" w:lineRule="atLeast"/>
      <w:ind w:left="960" w:right="-360" w:hanging="960" w:firstLineChars="0"/>
      <w:jc w:val="left"/>
    </w:pPr>
    <w:rPr>
      <w:rFonts w:eastAsia="Times New Roman"/>
      <w:sz w:val="20"/>
      <w:szCs w:val="24"/>
      <w:lang w:val="en-US"/>
    </w:rPr>
  </w:style>
  <w:style w:type="paragraph" w:customStyle="1" w:styleId="3721">
    <w:name w:val="条(三级)"/>
    <w:basedOn w:val="3722"/>
    <w:next w:val="1"/>
    <w:autoRedefine/>
    <w:qFormat/>
    <w:uiPriority w:val="0"/>
    <w:pPr>
      <w:tabs>
        <w:tab w:val="left" w:pos="927"/>
        <w:tab w:val="left" w:pos="1134"/>
      </w:tabs>
    </w:pPr>
    <w:rPr>
      <w:b w:val="0"/>
    </w:rPr>
  </w:style>
  <w:style w:type="paragraph" w:customStyle="1" w:styleId="3722">
    <w:name w:val="条(二级)"/>
    <w:basedOn w:val="4"/>
    <w:next w:val="3721"/>
    <w:autoRedefine/>
    <w:qFormat/>
    <w:uiPriority w:val="0"/>
    <w:pPr>
      <w:numPr>
        <w:ilvl w:val="0"/>
        <w:numId w:val="0"/>
      </w:numPr>
      <w:tabs>
        <w:tab w:val="left" w:pos="927"/>
        <w:tab w:val="left" w:pos="1134"/>
      </w:tabs>
      <w:snapToGrid/>
      <w:spacing w:before="260" w:after="260" w:line="460" w:lineRule="exact"/>
      <w:jc w:val="left"/>
      <w:outlineLvl w:val="9"/>
    </w:pPr>
    <w:rPr>
      <w:rFonts w:ascii="宋体" w:hAnsi="Arial"/>
      <w:bCs w:val="0"/>
      <w:spacing w:val="3"/>
      <w:kern w:val="24"/>
      <w:szCs w:val="20"/>
      <w:lang w:val="en-US"/>
    </w:rPr>
  </w:style>
  <w:style w:type="paragraph" w:customStyle="1" w:styleId="3723">
    <w:name w:val="条(四级)"/>
    <w:basedOn w:val="1"/>
    <w:next w:val="1"/>
    <w:autoRedefine/>
    <w:qFormat/>
    <w:uiPriority w:val="0"/>
    <w:pPr>
      <w:keepNext/>
      <w:keepLines/>
      <w:widowControl/>
      <w:autoSpaceDE w:val="0"/>
      <w:autoSpaceDN w:val="0"/>
      <w:snapToGrid/>
      <w:spacing w:line="460" w:lineRule="exact"/>
      <w:ind w:firstLine="0" w:firstLineChars="0"/>
      <w:jc w:val="left"/>
    </w:pPr>
    <w:rPr>
      <w:rFonts w:ascii="宋体" w:hAnsi="Arial"/>
      <w:spacing w:val="3"/>
      <w:kern w:val="24"/>
      <w:sz w:val="26"/>
    </w:rPr>
  </w:style>
  <w:style w:type="paragraph" w:customStyle="1" w:styleId="3724">
    <w:name w:val="条文1"/>
    <w:basedOn w:val="1"/>
    <w:autoRedefine/>
    <w:qFormat/>
    <w:uiPriority w:val="0"/>
    <w:pPr>
      <w:widowControl/>
      <w:autoSpaceDE w:val="0"/>
      <w:autoSpaceDN w:val="0"/>
      <w:snapToGrid/>
      <w:spacing w:line="460" w:lineRule="exact"/>
      <w:ind w:left="907" w:hanging="425" w:firstLineChars="0"/>
    </w:pPr>
    <w:rPr>
      <w:rFonts w:ascii="宋体" w:hAnsi="Century Schoolbook"/>
      <w:spacing w:val="3"/>
      <w:kern w:val="24"/>
      <w:sz w:val="26"/>
    </w:rPr>
  </w:style>
  <w:style w:type="paragraph" w:customStyle="1" w:styleId="3725">
    <w:name w:val="Personal Info"/>
    <w:basedOn w:val="3720"/>
    <w:autoRedefine/>
    <w:qFormat/>
    <w:uiPriority w:val="0"/>
    <w:pPr>
      <w:tabs>
        <w:tab w:val="left" w:pos="425"/>
        <w:tab w:val="clear" w:pos="960"/>
      </w:tabs>
      <w:spacing w:before="220"/>
      <w:ind w:left="425" w:hanging="425"/>
    </w:pPr>
    <w:rPr>
      <w:szCs w:val="20"/>
    </w:rPr>
  </w:style>
  <w:style w:type="paragraph" w:customStyle="1" w:styleId="3726">
    <w:name w:val="Address 1"/>
    <w:basedOn w:val="1"/>
    <w:autoRedefine/>
    <w:qFormat/>
    <w:uiPriority w:val="0"/>
    <w:pPr>
      <w:framePr w:w="2400" w:wrap="notBeside" w:vAnchor="page" w:hAnchor="page" w:x="8065" w:y="1009" w:anchorLock="1"/>
      <w:widowControl/>
      <w:adjustRightInd/>
      <w:snapToGrid/>
      <w:spacing w:line="200" w:lineRule="atLeast"/>
      <w:ind w:firstLine="0" w:firstLineChars="0"/>
      <w:jc w:val="left"/>
    </w:pPr>
    <w:rPr>
      <w:kern w:val="0"/>
      <w:sz w:val="16"/>
    </w:rPr>
  </w:style>
  <w:style w:type="paragraph" w:customStyle="1" w:styleId="3727">
    <w:name w:val="Address 2"/>
    <w:basedOn w:val="1"/>
    <w:autoRedefine/>
    <w:qFormat/>
    <w:uiPriority w:val="0"/>
    <w:pPr>
      <w:framePr w:w="2405" w:wrap="notBeside" w:vAnchor="page" w:hAnchor="page" w:x="5761" w:y="1009" w:anchorLock="1"/>
      <w:widowControl/>
      <w:adjustRightInd/>
      <w:snapToGrid/>
      <w:spacing w:line="200" w:lineRule="atLeast"/>
      <w:ind w:firstLine="0" w:firstLineChars="0"/>
      <w:jc w:val="left"/>
    </w:pPr>
    <w:rPr>
      <w:kern w:val="0"/>
      <w:sz w:val="16"/>
    </w:rPr>
  </w:style>
  <w:style w:type="paragraph" w:customStyle="1" w:styleId="3728">
    <w:name w:val="City/State"/>
    <w:basedOn w:val="34"/>
    <w:next w:val="34"/>
    <w:autoRedefine/>
    <w:qFormat/>
    <w:uiPriority w:val="0"/>
    <w:pPr>
      <w:keepNext/>
      <w:widowControl/>
      <w:adjustRightInd/>
      <w:snapToGrid/>
      <w:spacing w:line="220" w:lineRule="atLeast"/>
      <w:ind w:right="-360" w:firstLine="0" w:firstLineChars="0"/>
      <w:jc w:val="left"/>
    </w:pPr>
    <w:rPr>
      <w:rFonts w:eastAsia="Times New Roman"/>
      <w:sz w:val="20"/>
      <w:lang w:val="en-US"/>
    </w:rPr>
  </w:style>
  <w:style w:type="paragraph" w:customStyle="1" w:styleId="3729">
    <w:name w:val="Company Name"/>
    <w:basedOn w:val="1"/>
    <w:next w:val="1"/>
    <w:autoRedefine/>
    <w:qFormat/>
    <w:uiPriority w:val="0"/>
    <w:pPr>
      <w:widowControl/>
      <w:tabs>
        <w:tab w:val="left" w:pos="2160"/>
        <w:tab w:val="right" w:pos="6480"/>
      </w:tabs>
      <w:adjustRightInd/>
      <w:snapToGrid/>
      <w:spacing w:line="220" w:lineRule="atLeast"/>
      <w:ind w:right="-360" w:firstLine="0" w:firstLineChars="0"/>
      <w:jc w:val="left"/>
    </w:pPr>
    <w:rPr>
      <w:kern w:val="0"/>
      <w:sz w:val="20"/>
    </w:rPr>
  </w:style>
  <w:style w:type="paragraph" w:customStyle="1" w:styleId="3730">
    <w:name w:val="Company Name One"/>
    <w:basedOn w:val="3729"/>
    <w:next w:val="1"/>
    <w:autoRedefine/>
    <w:qFormat/>
    <w:uiPriority w:val="0"/>
  </w:style>
  <w:style w:type="paragraph" w:customStyle="1" w:styleId="3731">
    <w:name w:val="Document Label"/>
    <w:basedOn w:val="1"/>
    <w:next w:val="1"/>
    <w:autoRedefine/>
    <w:qFormat/>
    <w:uiPriority w:val="0"/>
    <w:pPr>
      <w:widowControl/>
      <w:adjustRightInd/>
      <w:snapToGrid/>
      <w:spacing w:line="240" w:lineRule="auto"/>
      <w:ind w:right="-360" w:firstLine="0" w:firstLineChars="0"/>
      <w:jc w:val="left"/>
    </w:pPr>
    <w:rPr>
      <w:spacing w:val="-20"/>
      <w:kern w:val="0"/>
      <w:sz w:val="48"/>
    </w:rPr>
  </w:style>
  <w:style w:type="paragraph" w:customStyle="1" w:styleId="3732">
    <w:name w:val="Institution"/>
    <w:basedOn w:val="1"/>
    <w:next w:val="3720"/>
    <w:autoRedefine/>
    <w:qFormat/>
    <w:uiPriority w:val="0"/>
    <w:pPr>
      <w:widowControl/>
      <w:tabs>
        <w:tab w:val="left" w:pos="2160"/>
        <w:tab w:val="right" w:pos="6480"/>
      </w:tabs>
      <w:adjustRightInd/>
      <w:snapToGrid/>
      <w:spacing w:line="220" w:lineRule="atLeast"/>
      <w:ind w:right="-360" w:firstLine="0" w:firstLineChars="0"/>
      <w:jc w:val="left"/>
    </w:pPr>
    <w:rPr>
      <w:kern w:val="0"/>
      <w:sz w:val="20"/>
    </w:rPr>
  </w:style>
  <w:style w:type="paragraph" w:customStyle="1" w:styleId="3733">
    <w:name w:val="Job Title"/>
    <w:next w:val="3720"/>
    <w:autoRedefine/>
    <w:qFormat/>
    <w:uiPriority w:val="0"/>
    <w:pPr>
      <w:spacing w:after="40" w:line="220" w:lineRule="atLeast"/>
    </w:pPr>
    <w:rPr>
      <w:rFonts w:ascii="Arial" w:hAnsi="Arial" w:eastAsia="宋体" w:cs="Times New Roman"/>
      <w:b/>
      <w:spacing w:val="-10"/>
      <w:lang w:val="en-US" w:eastAsia="zh-CN" w:bidi="ar-SA"/>
    </w:rPr>
  </w:style>
  <w:style w:type="paragraph" w:customStyle="1" w:styleId="3734">
    <w:name w:val="Name"/>
    <w:basedOn w:val="1"/>
    <w:next w:val="1"/>
    <w:autoRedefine/>
    <w:qFormat/>
    <w:uiPriority w:val="0"/>
    <w:pPr>
      <w:widowControl/>
      <w:adjustRightInd/>
      <w:snapToGrid/>
      <w:spacing w:line="240" w:lineRule="atLeast"/>
      <w:ind w:left="2160" w:firstLine="0" w:firstLineChars="0"/>
      <w:jc w:val="left"/>
    </w:pPr>
    <w:rPr>
      <w:spacing w:val="-20"/>
      <w:kern w:val="0"/>
      <w:sz w:val="48"/>
    </w:rPr>
  </w:style>
  <w:style w:type="paragraph" w:customStyle="1" w:styleId="3735">
    <w:name w:val="No Title"/>
    <w:basedOn w:val="1"/>
    <w:autoRedefine/>
    <w:qFormat/>
    <w:uiPriority w:val="0"/>
    <w:pPr>
      <w:widowControl/>
      <w:pBdr>
        <w:top w:val="single" w:color="FFFFFF" w:sz="6" w:space="2"/>
        <w:left w:val="single" w:color="FFFFFF" w:sz="6" w:space="2"/>
        <w:bottom w:val="single" w:color="FFFFFF" w:sz="6" w:space="2"/>
        <w:right w:val="single" w:color="FFFFFF" w:sz="6" w:space="2"/>
      </w:pBdr>
      <w:adjustRightInd/>
      <w:snapToGrid/>
      <w:spacing w:line="280" w:lineRule="atLeast"/>
      <w:ind w:firstLine="0" w:firstLineChars="0"/>
      <w:jc w:val="left"/>
    </w:pPr>
    <w:rPr>
      <w:rFonts w:ascii="Arial" w:hAnsi="Arial"/>
      <w:b/>
      <w:spacing w:val="-10"/>
      <w:kern w:val="0"/>
      <w:position w:val="7"/>
      <w:sz w:val="20"/>
    </w:rPr>
  </w:style>
  <w:style w:type="paragraph" w:customStyle="1" w:styleId="3736">
    <w:name w:val="Objective"/>
    <w:basedOn w:val="1"/>
    <w:next w:val="34"/>
    <w:autoRedefine/>
    <w:qFormat/>
    <w:uiPriority w:val="0"/>
    <w:pPr>
      <w:widowControl/>
      <w:adjustRightInd/>
      <w:snapToGrid/>
      <w:spacing w:line="220" w:lineRule="atLeast"/>
      <w:ind w:firstLine="0" w:firstLineChars="0"/>
      <w:jc w:val="left"/>
    </w:pPr>
    <w:rPr>
      <w:kern w:val="0"/>
      <w:sz w:val="20"/>
    </w:rPr>
  </w:style>
  <w:style w:type="paragraph" w:customStyle="1" w:styleId="3737">
    <w:name w:val="Section Subtitle"/>
    <w:basedOn w:val="4"/>
    <w:next w:val="1"/>
    <w:autoRedefine/>
    <w:qFormat/>
    <w:uiPriority w:val="0"/>
    <w:pPr>
      <w:keepNext w:val="0"/>
      <w:keepLines w:val="0"/>
      <w:widowControl/>
      <w:numPr>
        <w:ilvl w:val="0"/>
        <w:numId w:val="0"/>
      </w:numPr>
      <w:pBdr>
        <w:left w:val="single" w:color="FFFFFF" w:sz="6" w:space="2"/>
        <w:bottom w:val="single" w:color="FFFFFF" w:sz="6" w:space="2"/>
        <w:right w:val="single" w:color="FFFFFF" w:sz="6" w:space="2"/>
      </w:pBdr>
      <w:shd w:val="pct10" w:color="auto" w:fill="auto"/>
      <w:adjustRightInd/>
      <w:snapToGrid/>
      <w:spacing w:before="260" w:after="260" w:line="280" w:lineRule="atLeast"/>
      <w:jc w:val="left"/>
      <w:outlineLvl w:val="9"/>
    </w:pPr>
    <w:rPr>
      <w:rFonts w:ascii="Arial" w:hAnsi="Arial"/>
      <w:b w:val="0"/>
      <w:bCs w:val="0"/>
      <w:kern w:val="0"/>
      <w:position w:val="6"/>
      <w:sz w:val="20"/>
      <w:szCs w:val="20"/>
      <w:lang w:val="en-US"/>
    </w:rPr>
  </w:style>
  <w:style w:type="paragraph" w:customStyle="1" w:styleId="3738">
    <w:name w:val="章(一级)"/>
    <w:basedOn w:val="3"/>
    <w:next w:val="3722"/>
    <w:autoRedefine/>
    <w:qFormat/>
    <w:uiPriority w:val="0"/>
    <w:pPr>
      <w:numPr>
        <w:numId w:val="0"/>
      </w:numPr>
      <w:tabs>
        <w:tab w:val="left" w:pos="1134"/>
      </w:tabs>
      <w:snapToGrid/>
      <w:spacing w:before="340" w:after="330" w:line="460" w:lineRule="exact"/>
      <w:outlineLvl w:val="9"/>
    </w:pPr>
    <w:rPr>
      <w:rFonts w:ascii="宋体" w:hAnsi="Arial"/>
      <w:bCs w:val="0"/>
      <w:kern w:val="24"/>
      <w:sz w:val="24"/>
      <w:szCs w:val="20"/>
      <w:lang w:val="en-US"/>
    </w:rPr>
  </w:style>
  <w:style w:type="paragraph" w:customStyle="1" w:styleId="3739">
    <w:name w:val="档案号"/>
    <w:basedOn w:val="57"/>
    <w:autoRedefine/>
    <w:qFormat/>
    <w:uiPriority w:val="0"/>
    <w:pPr>
      <w:pBdr>
        <w:bottom w:val="none" w:color="auto" w:sz="0" w:space="0"/>
      </w:pBdr>
      <w:tabs>
        <w:tab w:val="center" w:pos="4320"/>
        <w:tab w:val="right" w:pos="8640"/>
        <w:tab w:val="clear" w:pos="4153"/>
        <w:tab w:val="clear" w:pos="8306"/>
      </w:tabs>
      <w:snapToGrid/>
      <w:spacing w:line="460" w:lineRule="exact"/>
      <w:ind w:firstLine="0" w:firstLineChars="0"/>
      <w:jc w:val="right"/>
    </w:pPr>
    <w:rPr>
      <w:rFonts w:ascii="宋体" w:hAnsi="Arial" w:eastAsia="Times New Roman"/>
      <w:spacing w:val="3"/>
      <w:kern w:val="24"/>
      <w:sz w:val="24"/>
      <w:szCs w:val="20"/>
      <w:lang w:val="en-US"/>
    </w:rPr>
  </w:style>
  <w:style w:type="paragraph" w:customStyle="1" w:styleId="3740">
    <w:name w:val="页号"/>
    <w:basedOn w:val="55"/>
    <w:autoRedefine/>
    <w:qFormat/>
    <w:uiPriority w:val="0"/>
    <w:pPr>
      <w:tabs>
        <w:tab w:val="center" w:pos="4320"/>
        <w:tab w:val="right" w:pos="8640"/>
        <w:tab w:val="clear" w:pos="4153"/>
        <w:tab w:val="clear" w:pos="8306"/>
      </w:tabs>
      <w:snapToGrid/>
      <w:ind w:firstLine="0" w:firstLineChars="0"/>
      <w:jc w:val="center"/>
    </w:pPr>
    <w:rPr>
      <w:rFonts w:ascii="宋体" w:hAnsi="Arial" w:eastAsia="Times New Roman"/>
      <w:spacing w:val="3"/>
      <w:kern w:val="24"/>
      <w:sz w:val="24"/>
      <w:szCs w:val="20"/>
      <w:lang w:val="en-US"/>
    </w:rPr>
  </w:style>
  <w:style w:type="paragraph" w:customStyle="1" w:styleId="3741">
    <w:name w:val="sms"/>
    <w:basedOn w:val="1"/>
    <w:autoRedefine/>
    <w:qFormat/>
    <w:uiPriority w:val="0"/>
    <w:pPr>
      <w:widowControl/>
      <w:overflowPunct w:val="0"/>
      <w:autoSpaceDE w:val="0"/>
      <w:autoSpaceDN w:val="0"/>
      <w:snapToGrid/>
      <w:spacing w:line="360" w:lineRule="auto"/>
      <w:ind w:left="2126" w:right="992" w:firstLine="709" w:firstLineChars="0"/>
      <w:jc w:val="left"/>
    </w:pPr>
    <w:rPr>
      <w:rFonts w:ascii="宋体"/>
      <w:spacing w:val="20"/>
      <w:kern w:val="0"/>
      <w:sz w:val="26"/>
    </w:rPr>
  </w:style>
  <w:style w:type="paragraph" w:customStyle="1" w:styleId="3742">
    <w:name w:val="zxl正文首行缩进  2 字符 行距: Char Char"/>
    <w:basedOn w:val="1"/>
    <w:autoRedefine/>
    <w:qFormat/>
    <w:uiPriority w:val="0"/>
    <w:pPr>
      <w:widowControl/>
      <w:tabs>
        <w:tab w:val="left" w:pos="-1843"/>
        <w:tab w:val="left" w:pos="0"/>
        <w:tab w:val="left" w:pos="1727"/>
        <w:tab w:val="left" w:pos="1884"/>
      </w:tabs>
      <w:adjustRightInd/>
      <w:snapToGrid/>
      <w:spacing w:line="360" w:lineRule="auto"/>
      <w:ind w:firstLine="482" w:firstLineChars="0"/>
      <w:jc w:val="left"/>
      <w:outlineLvl w:val="0"/>
    </w:pPr>
    <w:rPr>
      <w:rFonts w:ascii="宋体" w:hAnsi="宋体"/>
      <w:color w:val="000000"/>
    </w:rPr>
  </w:style>
  <w:style w:type="paragraph" w:customStyle="1" w:styleId="3743">
    <w:name w:val="自定义缩进"/>
    <w:basedOn w:val="1"/>
    <w:autoRedefine/>
    <w:qFormat/>
    <w:uiPriority w:val="0"/>
    <w:pPr>
      <w:adjustRightInd/>
      <w:snapToGrid/>
      <w:spacing w:line="480" w:lineRule="atLeast"/>
      <w:ind w:firstLine="480"/>
      <w:jc w:val="left"/>
    </w:pPr>
    <w:rPr>
      <w:color w:val="FF0000"/>
      <w:szCs w:val="24"/>
    </w:rPr>
  </w:style>
  <w:style w:type="paragraph" w:customStyle="1" w:styleId="3744">
    <w:name w:val="题注+"/>
    <w:basedOn w:val="22"/>
    <w:next w:val="1"/>
    <w:autoRedefine/>
    <w:qFormat/>
    <w:uiPriority w:val="0"/>
    <w:pPr>
      <w:keepNext/>
      <w:widowControl/>
      <w:adjustRightInd/>
      <w:snapToGrid/>
      <w:spacing w:line="336" w:lineRule="auto"/>
      <w:ind w:firstLine="0" w:firstLineChars="0"/>
      <w:outlineLvl w:val="6"/>
    </w:pPr>
    <w:rPr>
      <w:rFonts w:ascii="黑体" w:hAnsi="Arial"/>
      <w:kern w:val="0"/>
      <w:lang w:val="en-US"/>
    </w:rPr>
  </w:style>
  <w:style w:type="paragraph" w:customStyle="1" w:styleId="3745">
    <w:name w:val="自定义表格文字居中"/>
    <w:basedOn w:val="1"/>
    <w:autoRedefine/>
    <w:qFormat/>
    <w:uiPriority w:val="0"/>
    <w:pPr>
      <w:keepNext/>
      <w:spacing w:line="360" w:lineRule="exact"/>
      <w:ind w:left="5" w:hanging="5" w:firstLineChars="0"/>
      <w:jc w:val="center"/>
      <w:outlineLvl w:val="0"/>
    </w:pPr>
    <w:rPr>
      <w:color w:val="FF0000"/>
      <w:kern w:val="0"/>
      <w:sz w:val="21"/>
    </w:rPr>
  </w:style>
  <w:style w:type="paragraph" w:customStyle="1" w:styleId="3746">
    <w:name w:val="样式 标题 4标4 + (符号) 宋体"/>
    <w:basedOn w:val="6"/>
    <w:autoRedefine/>
    <w:qFormat/>
    <w:uiPriority w:val="0"/>
    <w:pPr>
      <w:numPr>
        <w:ilvl w:val="0"/>
        <w:numId w:val="0"/>
      </w:numPr>
      <w:tabs>
        <w:tab w:val="left" w:pos="360"/>
      </w:tabs>
      <w:adjustRightInd/>
      <w:snapToGrid/>
      <w:spacing w:before="280" w:after="290" w:line="336" w:lineRule="auto"/>
      <w:ind w:left="245" w:hanging="245"/>
    </w:pPr>
    <w:rPr>
      <w:rFonts w:ascii="宋体"/>
      <w:b w:val="0"/>
      <w:bCs w:val="0"/>
      <w:kern w:val="0"/>
      <w:sz w:val="28"/>
      <w:lang w:val="en-US"/>
    </w:rPr>
  </w:style>
  <w:style w:type="character" w:customStyle="1" w:styleId="3747">
    <w:name w:val="标题6 Char"/>
    <w:link w:val="2262"/>
    <w:autoRedefine/>
    <w:qFormat/>
    <w:locked/>
    <w:uiPriority w:val="0"/>
    <w:rPr>
      <w:rFonts w:ascii="Arial Narrow" w:hAnsi="宋体"/>
      <w:kern w:val="2"/>
      <w:sz w:val="24"/>
      <w:szCs w:val="24"/>
    </w:rPr>
  </w:style>
  <w:style w:type="character" w:customStyle="1" w:styleId="3748">
    <w:name w:val="样式 题注 + 首行缩进:  2 字符2 Char"/>
    <w:link w:val="3749"/>
    <w:autoRedefine/>
    <w:qFormat/>
    <w:locked/>
    <w:uiPriority w:val="0"/>
    <w:rPr>
      <w:sz w:val="24"/>
    </w:rPr>
  </w:style>
  <w:style w:type="paragraph" w:customStyle="1" w:styleId="3749">
    <w:name w:val="样式 题注 + 首行缩进:  2 字符2"/>
    <w:basedOn w:val="22"/>
    <w:link w:val="3748"/>
    <w:autoRedefine/>
    <w:qFormat/>
    <w:uiPriority w:val="0"/>
    <w:pPr>
      <w:keepNext/>
      <w:spacing w:line="240" w:lineRule="auto"/>
      <w:ind w:firstLine="480"/>
    </w:pPr>
    <w:rPr>
      <w:rFonts w:ascii="Times New Roman" w:hAnsi="Times New Roman" w:eastAsia="宋体"/>
      <w:kern w:val="0"/>
      <w:lang w:val="en-US"/>
    </w:rPr>
  </w:style>
  <w:style w:type="paragraph" w:customStyle="1" w:styleId="3750">
    <w:name w:val="样式 表格文字居中 + 行距: 单倍行距"/>
    <w:basedOn w:val="1"/>
    <w:autoRedefine/>
    <w:qFormat/>
    <w:uiPriority w:val="0"/>
    <w:pPr>
      <w:keepNext/>
      <w:tabs>
        <w:tab w:val="left" w:pos="628"/>
        <w:tab w:val="left" w:pos="1727"/>
        <w:tab w:val="left" w:pos="1884"/>
      </w:tabs>
      <w:spacing w:beforeLines="10" w:line="240" w:lineRule="auto"/>
      <w:ind w:firstLine="0" w:firstLineChars="0"/>
      <w:jc w:val="center"/>
    </w:pPr>
    <w:rPr>
      <w:rFonts w:ascii="宋体" w:hAnsi="宋体" w:cs="宋体"/>
      <w:color w:val="FF0000"/>
      <w:kern w:val="0"/>
      <w:sz w:val="21"/>
      <w:szCs w:val="21"/>
    </w:rPr>
  </w:style>
  <w:style w:type="character" w:customStyle="1" w:styleId="3751">
    <w:name w:val="样式 表格备注 Char"/>
    <w:link w:val="3752"/>
    <w:autoRedefine/>
    <w:qFormat/>
    <w:locked/>
    <w:uiPriority w:val="0"/>
    <w:rPr>
      <w:rFonts w:ascii="宋体" w:hAnsi="宋体" w:eastAsia="楷体_GB2312"/>
      <w:sz w:val="24"/>
    </w:rPr>
  </w:style>
  <w:style w:type="paragraph" w:customStyle="1" w:styleId="3752">
    <w:name w:val="样式 表格备注"/>
    <w:basedOn w:val="1"/>
    <w:link w:val="3751"/>
    <w:autoRedefine/>
    <w:qFormat/>
    <w:uiPriority w:val="0"/>
    <w:pPr>
      <w:keepNext/>
      <w:tabs>
        <w:tab w:val="left" w:pos="628"/>
        <w:tab w:val="left" w:pos="1727"/>
        <w:tab w:val="left" w:pos="1884"/>
        <w:tab w:val="left" w:pos="4325"/>
        <w:tab w:val="left" w:pos="4900"/>
      </w:tabs>
      <w:spacing w:line="360" w:lineRule="auto"/>
      <w:ind w:firstLine="480"/>
      <w:jc w:val="left"/>
    </w:pPr>
    <w:rPr>
      <w:rFonts w:ascii="宋体" w:hAnsi="宋体" w:eastAsia="楷体_GB2312"/>
      <w:kern w:val="0"/>
    </w:rPr>
  </w:style>
  <w:style w:type="paragraph" w:customStyle="1" w:styleId="3753">
    <w:name w:val="Char6 Char Char Char Char Char Char Char Char Char"/>
    <w:basedOn w:val="1"/>
    <w:autoRedefine/>
    <w:qFormat/>
    <w:uiPriority w:val="0"/>
    <w:pPr>
      <w:adjustRightInd/>
      <w:snapToGrid/>
      <w:spacing w:line="240" w:lineRule="auto"/>
      <w:ind w:firstLine="0" w:firstLineChars="0"/>
    </w:pPr>
    <w:rPr>
      <w:rFonts w:ascii="宋体" w:hAnsi="宋体"/>
      <w:color w:val="000000"/>
      <w:sz w:val="28"/>
    </w:rPr>
  </w:style>
  <w:style w:type="paragraph" w:customStyle="1" w:styleId="3754">
    <w:name w:val="样式 正文首行缩进 + 首行缩进:  2 字符1"/>
    <w:basedOn w:val="86"/>
    <w:autoRedefine/>
    <w:qFormat/>
    <w:uiPriority w:val="0"/>
    <w:pPr>
      <w:adjustRightInd/>
      <w:snapToGrid/>
      <w:spacing w:after="0" w:line="360" w:lineRule="auto"/>
      <w:ind w:firstLine="480" w:firstLineChars="200"/>
    </w:pPr>
    <w:rPr>
      <w:rFonts w:eastAsia="Times New Roman"/>
      <w:szCs w:val="24"/>
    </w:rPr>
  </w:style>
  <w:style w:type="paragraph" w:customStyle="1" w:styleId="3755">
    <w:name w:val="样式 标题 4标题 4 Char Char + 两端对齐 左侧:  0 厘米 段前: 0 磅 段后: 0 磅"/>
    <w:basedOn w:val="6"/>
    <w:autoRedefine/>
    <w:qFormat/>
    <w:uiPriority w:val="0"/>
    <w:pPr>
      <w:numPr>
        <w:ilvl w:val="0"/>
        <w:numId w:val="0"/>
      </w:numPr>
      <w:tabs>
        <w:tab w:val="left" w:pos="2160"/>
        <w:tab w:val="left" w:pos="4500"/>
      </w:tabs>
      <w:adjustRightInd/>
      <w:spacing w:before="280" w:after="290" w:line="440" w:lineRule="atLeast"/>
      <w:ind w:left="2160" w:hanging="420"/>
      <w:jc w:val="both"/>
    </w:pPr>
    <w:rPr>
      <w:rFonts w:ascii="Arial" w:hAnsi="Arial" w:eastAsia="黑体" w:cs="宋体"/>
      <w:b w:val="0"/>
      <w:bCs w:val="0"/>
      <w:kern w:val="0"/>
      <w:szCs w:val="20"/>
      <w:lang w:val="en-US"/>
    </w:rPr>
  </w:style>
  <w:style w:type="paragraph" w:customStyle="1" w:styleId="3756">
    <w:name w:val="样式 标题 3标题 3 Char Char标题 3 Char Char Char Char Char标题 3 Char C...3"/>
    <w:basedOn w:val="5"/>
    <w:autoRedefine/>
    <w:qFormat/>
    <w:uiPriority w:val="0"/>
    <w:pPr>
      <w:numPr>
        <w:ilvl w:val="0"/>
        <w:numId w:val="0"/>
      </w:numPr>
      <w:tabs>
        <w:tab w:val="left" w:pos="4500"/>
      </w:tabs>
      <w:spacing w:before="260" w:after="260" w:line="400" w:lineRule="exact"/>
    </w:pPr>
    <w:rPr>
      <w:rFonts w:cs="宋体"/>
      <w:kern w:val="0"/>
      <w:szCs w:val="24"/>
      <w:lang w:val="en-US"/>
    </w:rPr>
  </w:style>
  <w:style w:type="paragraph" w:customStyle="1" w:styleId="3757">
    <w:name w:val="ljw表格"/>
    <w:basedOn w:val="1"/>
    <w:next w:val="1"/>
    <w:autoRedefine/>
    <w:qFormat/>
    <w:uiPriority w:val="0"/>
    <w:pPr>
      <w:spacing w:beforeLines="25" w:line="240" w:lineRule="auto"/>
      <w:ind w:firstLine="0" w:firstLineChars="0"/>
      <w:jc w:val="center"/>
    </w:pPr>
    <w:rPr>
      <w:rFonts w:ascii="宋体" w:hAnsi="宋体"/>
      <w:bCs/>
      <w:sz w:val="22"/>
      <w:szCs w:val="28"/>
    </w:rPr>
  </w:style>
  <w:style w:type="paragraph" w:customStyle="1" w:styleId="3758">
    <w:name w:val="ljw正文"/>
    <w:basedOn w:val="1"/>
    <w:autoRedefine/>
    <w:qFormat/>
    <w:uiPriority w:val="0"/>
    <w:pPr>
      <w:spacing w:line="300" w:lineRule="auto"/>
      <w:ind w:firstLine="480"/>
    </w:pPr>
    <w:rPr>
      <w:rFonts w:ascii="宋体" w:hAnsi="宋体"/>
      <w:bCs/>
      <w:szCs w:val="28"/>
    </w:rPr>
  </w:style>
  <w:style w:type="paragraph" w:customStyle="1" w:styleId="3759">
    <w:name w:val="Sun"/>
    <w:basedOn w:val="1"/>
    <w:autoRedefine/>
    <w:qFormat/>
    <w:uiPriority w:val="0"/>
    <w:pPr>
      <w:snapToGrid/>
      <w:spacing w:line="360" w:lineRule="auto"/>
      <w:ind w:firstLine="567" w:firstLineChars="0"/>
    </w:pPr>
    <w:rPr>
      <w:kern w:val="28"/>
      <w:sz w:val="28"/>
    </w:rPr>
  </w:style>
  <w:style w:type="paragraph" w:customStyle="1" w:styleId="3760">
    <w:name w:val="ljw子标题"/>
    <w:basedOn w:val="1"/>
    <w:next w:val="34"/>
    <w:autoRedefine/>
    <w:qFormat/>
    <w:uiPriority w:val="0"/>
    <w:pPr>
      <w:spacing w:beforeLines="50" w:line="240" w:lineRule="auto"/>
      <w:ind w:firstLine="0" w:firstLineChars="0"/>
      <w:jc w:val="left"/>
    </w:pPr>
    <w:rPr>
      <w:rFonts w:ascii="宋体" w:hAnsi="宋体"/>
      <w:b/>
      <w:szCs w:val="28"/>
    </w:rPr>
  </w:style>
  <w:style w:type="character" w:customStyle="1" w:styleId="3761">
    <w:name w:val="表1 Char"/>
    <w:link w:val="1208"/>
    <w:autoRedefine/>
    <w:qFormat/>
    <w:locked/>
    <w:uiPriority w:val="0"/>
    <w:rPr>
      <w:rFonts w:ascii="宋体" w:hAnsi="Calibri"/>
      <w:sz w:val="24"/>
    </w:rPr>
  </w:style>
  <w:style w:type="paragraph" w:customStyle="1" w:styleId="3762">
    <w:name w:val="ch中文正文"/>
    <w:autoRedefine/>
    <w:qFormat/>
    <w:uiPriority w:val="0"/>
    <w:pPr>
      <w:spacing w:beforeLines="50" w:line="360" w:lineRule="auto"/>
      <w:ind w:firstLine="200" w:firstLineChars="200"/>
    </w:pPr>
    <w:rPr>
      <w:rFonts w:ascii="Times New Roman" w:hAnsi="Times New Roman" w:eastAsia="宋体" w:cs="Times New Roman"/>
      <w:sz w:val="24"/>
      <w:lang w:val="en-US" w:eastAsia="zh-CN" w:bidi="ar-SA"/>
    </w:rPr>
  </w:style>
  <w:style w:type="paragraph" w:customStyle="1" w:styleId="3763">
    <w:name w:val="样式 样式 蓝色 首行缩进:  1 厘米 行距: 固定值 25 磅 + 首行缩进:  2 字符"/>
    <w:basedOn w:val="1"/>
    <w:autoRedefine/>
    <w:qFormat/>
    <w:uiPriority w:val="0"/>
    <w:pPr>
      <w:adjustRightInd/>
      <w:snapToGrid/>
      <w:spacing w:line="500" w:lineRule="exact"/>
      <w:ind w:firstLine="560"/>
    </w:pPr>
    <w:rPr>
      <w:rFonts w:cs="宋体"/>
      <w:sz w:val="28"/>
    </w:rPr>
  </w:style>
  <w:style w:type="paragraph" w:customStyle="1" w:styleId="3764">
    <w:name w:val="样式 首行缩进:  2 字符10"/>
    <w:basedOn w:val="1"/>
    <w:autoRedefine/>
    <w:qFormat/>
    <w:uiPriority w:val="0"/>
    <w:pPr>
      <w:adjustRightInd/>
      <w:snapToGrid/>
      <w:spacing w:line="520" w:lineRule="exact"/>
      <w:ind w:firstLine="560"/>
    </w:pPr>
    <w:rPr>
      <w:rFonts w:cs="宋体"/>
    </w:rPr>
  </w:style>
  <w:style w:type="paragraph" w:customStyle="1" w:styleId="3765">
    <w:name w:val="样式 正文（首行缩进两字） Char1标题4 + 宋体 小四 首行缩进:  0.85 厘米"/>
    <w:basedOn w:val="1"/>
    <w:autoRedefine/>
    <w:qFormat/>
    <w:uiPriority w:val="0"/>
    <w:pPr>
      <w:snapToGrid/>
      <w:spacing w:line="440" w:lineRule="atLeast"/>
      <w:ind w:firstLine="482" w:firstLineChars="0"/>
    </w:pPr>
    <w:rPr>
      <w:rFonts w:ascii="宋体" w:hAnsi="宋体" w:cs="宋体"/>
      <w:kern w:val="0"/>
    </w:rPr>
  </w:style>
  <w:style w:type="paragraph" w:customStyle="1" w:styleId="3766">
    <w:name w:val="样式 正文（首行缩进两字） Char1标题4 + (符号) 宋体 小四 首行缩进:  0.85 厘米"/>
    <w:basedOn w:val="1"/>
    <w:autoRedefine/>
    <w:qFormat/>
    <w:uiPriority w:val="0"/>
    <w:pPr>
      <w:snapToGrid/>
      <w:spacing w:line="440" w:lineRule="atLeast"/>
      <w:ind w:firstLine="482" w:firstLineChars="0"/>
    </w:pPr>
    <w:rPr>
      <w:rFonts w:hAnsi="宋体" w:cs="宋体"/>
      <w:kern w:val="0"/>
    </w:rPr>
  </w:style>
  <w:style w:type="paragraph" w:customStyle="1" w:styleId="3767">
    <w:name w:val="样式 标题 2节标题 1.1b21.1标题2b21 Char1.1标题2 Char标题 21节标题 1.11b2..."/>
    <w:basedOn w:val="4"/>
    <w:autoRedefine/>
    <w:qFormat/>
    <w:uiPriority w:val="0"/>
    <w:pPr>
      <w:widowControl/>
      <w:numPr>
        <w:ilvl w:val="0"/>
        <w:numId w:val="0"/>
      </w:numPr>
      <w:tabs>
        <w:tab w:val="left" w:pos="0"/>
        <w:tab w:val="left" w:pos="576"/>
      </w:tabs>
      <w:snapToGrid/>
      <w:spacing w:before="260" w:after="260" w:line="480" w:lineRule="auto"/>
      <w:jc w:val="left"/>
    </w:pPr>
    <w:rPr>
      <w:rFonts w:ascii="黑体" w:eastAsia="黑体" w:cs="宋体"/>
      <w:b w:val="0"/>
      <w:kern w:val="0"/>
      <w:sz w:val="28"/>
      <w:szCs w:val="28"/>
      <w:lang w:val="en-US"/>
    </w:rPr>
  </w:style>
  <w:style w:type="paragraph" w:customStyle="1" w:styleId="3768">
    <w:name w:val="样式 正文首行缩进 + 首行缩进:  0 厘米"/>
    <w:basedOn w:val="86"/>
    <w:autoRedefine/>
    <w:qFormat/>
    <w:uiPriority w:val="0"/>
    <w:pPr>
      <w:adjustRightInd/>
      <w:snapToGrid/>
      <w:spacing w:after="0" w:line="240" w:lineRule="exact"/>
      <w:ind w:firstLine="0" w:firstLineChars="0"/>
      <w:jc w:val="left"/>
    </w:pPr>
    <w:rPr>
      <w:rFonts w:ascii="宋体" w:hAnsi="宋体" w:eastAsia="Times New Roman" w:cs="宋体"/>
      <w:lang w:val="en-US"/>
    </w:rPr>
  </w:style>
  <w:style w:type="character" w:customStyle="1" w:styleId="3769">
    <w:name w:val="样式 正文文本缩进 2正文文字缩进 2 + 四号 蓝色 Char Char Char Char Char Char Char Char"/>
    <w:link w:val="3770"/>
    <w:autoRedefine/>
    <w:qFormat/>
    <w:locked/>
    <w:uiPriority w:val="0"/>
    <w:rPr>
      <w:color w:val="0000FF"/>
      <w:sz w:val="24"/>
      <w:szCs w:val="24"/>
    </w:rPr>
  </w:style>
  <w:style w:type="paragraph" w:customStyle="1" w:styleId="3770">
    <w:name w:val="样式 正文文本缩进 2正文文字缩进 2 + 四号 蓝色 Char Char Char Char Char Char Char"/>
    <w:basedOn w:val="51"/>
    <w:link w:val="3769"/>
    <w:autoRedefine/>
    <w:qFormat/>
    <w:uiPriority w:val="0"/>
    <w:pPr>
      <w:adjustRightInd w:val="0"/>
      <w:spacing w:line="480" w:lineRule="exact"/>
      <w:ind w:left="0" w:leftChars="0" w:firstLine="709"/>
    </w:pPr>
    <w:rPr>
      <w:color w:val="0000FF"/>
      <w:kern w:val="0"/>
      <w:sz w:val="24"/>
      <w:lang w:val="en-US"/>
    </w:rPr>
  </w:style>
  <w:style w:type="paragraph" w:customStyle="1" w:styleId="3771">
    <w:name w:val="样式 正文文本缩进 2正文文字缩进 2 + 四号 蓝色 Char Char Char Char Char"/>
    <w:basedOn w:val="51"/>
    <w:autoRedefine/>
    <w:qFormat/>
    <w:uiPriority w:val="0"/>
    <w:pPr>
      <w:adjustRightInd w:val="0"/>
      <w:spacing w:line="480" w:lineRule="exact"/>
      <w:ind w:left="0" w:leftChars="0" w:firstLine="709"/>
    </w:pPr>
    <w:rPr>
      <w:rFonts w:eastAsia="Times New Roman"/>
      <w:color w:val="0000FF"/>
      <w:kern w:val="0"/>
      <w:sz w:val="24"/>
      <w:lang w:val="en-US"/>
    </w:rPr>
  </w:style>
  <w:style w:type="paragraph" w:customStyle="1" w:styleId="3772">
    <w:name w:val="样式 标题 4款标题1.1.1.1标题 4 Char标题 4 Char CharL4 + 宋体 小四 非加粗"/>
    <w:basedOn w:val="6"/>
    <w:autoRedefine/>
    <w:qFormat/>
    <w:uiPriority w:val="0"/>
    <w:pPr>
      <w:numPr>
        <w:ilvl w:val="0"/>
        <w:numId w:val="0"/>
      </w:numPr>
      <w:tabs>
        <w:tab w:val="left" w:pos="1134"/>
        <w:tab w:val="left" w:pos="1630"/>
      </w:tabs>
      <w:adjustRightInd/>
      <w:snapToGrid/>
      <w:spacing w:before="280" w:after="290" w:line="376" w:lineRule="auto"/>
      <w:jc w:val="both"/>
    </w:pPr>
    <w:rPr>
      <w:rFonts w:ascii="宋体" w:hAnsi="宋体"/>
      <w:b w:val="0"/>
      <w:bCs w:val="0"/>
      <w:kern w:val="0"/>
      <w:szCs w:val="24"/>
      <w:lang w:val="en-US"/>
    </w:rPr>
  </w:style>
  <w:style w:type="paragraph" w:customStyle="1" w:styleId="3773">
    <w:name w:val="样式 标题 4款标题1.1.1.1标题 4 Char标题 4 Char CharL4 + 宋体 小四 非加粗1"/>
    <w:basedOn w:val="6"/>
    <w:autoRedefine/>
    <w:qFormat/>
    <w:uiPriority w:val="0"/>
    <w:pPr>
      <w:numPr>
        <w:ilvl w:val="0"/>
        <w:numId w:val="0"/>
      </w:numPr>
      <w:tabs>
        <w:tab w:val="left" w:pos="1134"/>
        <w:tab w:val="left" w:pos="1630"/>
      </w:tabs>
      <w:adjustRightInd/>
      <w:snapToGrid/>
      <w:spacing w:beforeLines="50" w:after="290" w:line="376" w:lineRule="auto"/>
      <w:jc w:val="both"/>
    </w:pPr>
    <w:rPr>
      <w:rFonts w:ascii="宋体" w:hAnsi="宋体"/>
      <w:b w:val="0"/>
      <w:bCs w:val="0"/>
      <w:kern w:val="0"/>
      <w:lang w:val="en-US"/>
    </w:rPr>
  </w:style>
  <w:style w:type="paragraph" w:customStyle="1" w:styleId="3774">
    <w:name w:val="样式 样式 标题 4款标题1.1.1.1标题 4 Char标题 4 Char CharL4 + 宋体 小四 非加粗1 + 段前:..."/>
    <w:basedOn w:val="3773"/>
    <w:autoRedefine/>
    <w:qFormat/>
    <w:uiPriority w:val="0"/>
    <w:rPr>
      <w:rFonts w:cs="宋体"/>
      <w:szCs w:val="20"/>
    </w:rPr>
  </w:style>
  <w:style w:type="paragraph" w:customStyle="1" w:styleId="3775">
    <w:name w:val="表内文字大"/>
    <w:basedOn w:val="1"/>
    <w:autoRedefine/>
    <w:qFormat/>
    <w:uiPriority w:val="0"/>
    <w:pPr>
      <w:spacing w:line="240" w:lineRule="auto"/>
      <w:ind w:left="-25" w:firstLine="0" w:firstLineChars="0"/>
    </w:pPr>
    <w:rPr>
      <w:sz w:val="21"/>
      <w:szCs w:val="21"/>
    </w:rPr>
  </w:style>
  <w:style w:type="paragraph" w:customStyle="1" w:styleId="3776">
    <w:name w:val="表内小4"/>
    <w:basedOn w:val="3775"/>
    <w:autoRedefine/>
    <w:qFormat/>
    <w:uiPriority w:val="0"/>
    <w:pPr>
      <w:ind w:left="240" w:hanging="240"/>
    </w:pPr>
    <w:rPr>
      <w:sz w:val="18"/>
      <w:szCs w:val="18"/>
    </w:rPr>
  </w:style>
  <w:style w:type="paragraph" w:customStyle="1" w:styleId="3777">
    <w:name w:val="表内文字小"/>
    <w:basedOn w:val="1"/>
    <w:autoRedefine/>
    <w:qFormat/>
    <w:uiPriority w:val="0"/>
    <w:pPr>
      <w:spacing w:line="240" w:lineRule="auto"/>
      <w:ind w:firstLine="0" w:firstLineChars="0"/>
      <w:jc w:val="center"/>
    </w:pPr>
    <w:rPr>
      <w:sz w:val="18"/>
      <w:szCs w:val="18"/>
    </w:rPr>
  </w:style>
  <w:style w:type="paragraph" w:customStyle="1" w:styleId="3778">
    <w:name w:val="4级样式"/>
    <w:basedOn w:val="6"/>
    <w:autoRedefine/>
    <w:qFormat/>
    <w:uiPriority w:val="0"/>
    <w:pPr>
      <w:numPr>
        <w:ilvl w:val="0"/>
        <w:numId w:val="0"/>
      </w:numPr>
      <w:tabs>
        <w:tab w:val="left" w:pos="1080"/>
      </w:tabs>
      <w:adjustRightInd/>
      <w:snapToGrid/>
      <w:spacing w:before="280" w:after="290" w:line="360" w:lineRule="auto"/>
      <w:ind w:left="1080" w:hanging="1080"/>
      <w:jc w:val="both"/>
    </w:pPr>
    <w:rPr>
      <w:rFonts w:eastAsia="黑体" w:cs="宋体"/>
      <w:b w:val="0"/>
      <w:bCs w:val="0"/>
      <w:kern w:val="0"/>
      <w:szCs w:val="24"/>
      <w:lang w:val="en-US"/>
    </w:rPr>
  </w:style>
  <w:style w:type="paragraph" w:customStyle="1" w:styleId="3779">
    <w:name w:val="3 级样式"/>
    <w:basedOn w:val="5"/>
    <w:autoRedefine/>
    <w:qFormat/>
    <w:uiPriority w:val="0"/>
    <w:pPr>
      <w:numPr>
        <w:ilvl w:val="0"/>
        <w:numId w:val="0"/>
      </w:numPr>
      <w:tabs>
        <w:tab w:val="left" w:pos="720"/>
      </w:tabs>
      <w:adjustRightInd/>
      <w:snapToGrid/>
      <w:spacing w:beforeLines="20" w:afterLines="30" w:line="360" w:lineRule="auto"/>
      <w:ind w:left="720" w:hanging="720"/>
      <w:jc w:val="left"/>
    </w:pPr>
    <w:rPr>
      <w:rFonts w:eastAsia="黑体" w:cs="宋体"/>
      <w:b w:val="0"/>
      <w:bCs w:val="0"/>
      <w:color w:val="000000"/>
      <w:kern w:val="28"/>
      <w:sz w:val="28"/>
      <w:szCs w:val="28"/>
      <w:lang w:val="en-US"/>
    </w:rPr>
  </w:style>
  <w:style w:type="paragraph" w:customStyle="1" w:styleId="3780">
    <w:name w:val="2 级样式"/>
    <w:basedOn w:val="4"/>
    <w:autoRedefine/>
    <w:qFormat/>
    <w:uiPriority w:val="0"/>
    <w:pPr>
      <w:numPr>
        <w:ilvl w:val="0"/>
        <w:numId w:val="0"/>
      </w:numPr>
      <w:tabs>
        <w:tab w:val="left" w:pos="927"/>
        <w:tab w:val="left" w:pos="1134"/>
      </w:tabs>
      <w:snapToGrid/>
      <w:spacing w:beforeLines="30" w:afterLines="30" w:line="360" w:lineRule="auto"/>
      <w:ind w:left="840" w:hanging="720"/>
      <w:jc w:val="left"/>
    </w:pPr>
    <w:rPr>
      <w:rFonts w:eastAsia="黑体" w:cs="宋体"/>
      <w:b w:val="0"/>
      <w:bCs w:val="0"/>
      <w:color w:val="003300"/>
      <w:kern w:val="0"/>
      <w:sz w:val="30"/>
      <w:szCs w:val="30"/>
      <w:lang w:val="en-US"/>
    </w:rPr>
  </w:style>
  <w:style w:type="paragraph" w:customStyle="1" w:styleId="3781">
    <w:name w:val="样式 标题 22级样式 + 段前: 0.3 行 段后: 0.3 行1"/>
    <w:basedOn w:val="4"/>
    <w:autoRedefine/>
    <w:qFormat/>
    <w:uiPriority w:val="0"/>
    <w:pPr>
      <w:numPr>
        <w:ilvl w:val="0"/>
        <w:numId w:val="0"/>
      </w:numPr>
      <w:tabs>
        <w:tab w:val="left" w:pos="927"/>
        <w:tab w:val="left" w:pos="1134"/>
      </w:tabs>
      <w:snapToGrid/>
      <w:spacing w:beforeLines="30" w:afterLines="30" w:line="360" w:lineRule="auto"/>
      <w:jc w:val="left"/>
    </w:pPr>
    <w:rPr>
      <w:rFonts w:eastAsia="黑体" w:cs="宋体"/>
      <w:b w:val="0"/>
      <w:bCs w:val="0"/>
      <w:color w:val="003300"/>
      <w:kern w:val="0"/>
      <w:sz w:val="28"/>
      <w:szCs w:val="20"/>
      <w:lang w:val="en-US"/>
    </w:rPr>
  </w:style>
  <w:style w:type="paragraph" w:customStyle="1" w:styleId="3782">
    <w:name w:val="1级样式."/>
    <w:basedOn w:val="1"/>
    <w:autoRedefine/>
    <w:qFormat/>
    <w:uiPriority w:val="0"/>
    <w:pPr>
      <w:keepNext/>
      <w:keepLines/>
      <w:widowControl/>
      <w:adjustRightInd/>
      <w:snapToGrid/>
      <w:spacing w:beforeLines="50" w:line="360" w:lineRule="auto"/>
      <w:ind w:firstLine="0" w:firstLineChars="0"/>
      <w:jc w:val="left"/>
      <w:outlineLvl w:val="0"/>
    </w:pPr>
    <w:rPr>
      <w:rFonts w:eastAsia="黑体"/>
      <w:color w:val="000000"/>
      <w:kern w:val="44"/>
      <w:sz w:val="36"/>
      <w:szCs w:val="36"/>
    </w:rPr>
  </w:style>
  <w:style w:type="paragraph" w:customStyle="1" w:styleId="3783">
    <w:name w:val="样式 样式2 + 首行缩进:  2 字符"/>
    <w:basedOn w:val="1"/>
    <w:autoRedefine/>
    <w:qFormat/>
    <w:uiPriority w:val="0"/>
    <w:pPr>
      <w:spacing w:line="360" w:lineRule="auto"/>
      <w:ind w:firstLine="0" w:firstLineChars="0"/>
    </w:pPr>
    <w:rPr>
      <w:rFonts w:ascii="宋体" w:hAnsi="宋体" w:cs="宋体"/>
      <w:b/>
      <w:sz w:val="28"/>
      <w:szCs w:val="28"/>
    </w:rPr>
  </w:style>
  <w:style w:type="paragraph" w:customStyle="1" w:styleId="3784">
    <w:name w:val="Char6 Char Char Char Char Char Char Char Char Char1"/>
    <w:basedOn w:val="1"/>
    <w:autoRedefine/>
    <w:qFormat/>
    <w:uiPriority w:val="0"/>
    <w:pPr>
      <w:adjustRightInd/>
      <w:snapToGrid/>
      <w:spacing w:line="240" w:lineRule="auto"/>
      <w:ind w:firstLine="0" w:firstLineChars="0"/>
    </w:pPr>
    <w:rPr>
      <w:rFonts w:ascii="宋体" w:hAnsi="宋体"/>
      <w:color w:val="000000"/>
      <w:sz w:val="28"/>
    </w:rPr>
  </w:style>
  <w:style w:type="paragraph" w:customStyle="1" w:styleId="3785">
    <w:name w:val="页眉中"/>
    <w:basedOn w:val="1"/>
    <w:autoRedefine/>
    <w:qFormat/>
    <w:uiPriority w:val="0"/>
    <w:pPr>
      <w:spacing w:line="300" w:lineRule="auto"/>
      <w:ind w:firstLine="0" w:firstLineChars="0"/>
      <w:jc w:val="left"/>
    </w:pPr>
    <w:rPr>
      <w:rFonts w:ascii="黑体" w:eastAsia="黑体"/>
      <w:bCs/>
    </w:rPr>
  </w:style>
  <w:style w:type="paragraph" w:customStyle="1" w:styleId="3786">
    <w:name w:val="等核实"/>
    <w:basedOn w:val="35"/>
    <w:autoRedefine/>
    <w:qFormat/>
    <w:uiPriority w:val="0"/>
    <w:pPr>
      <w:tabs>
        <w:tab w:val="left" w:pos="4305"/>
      </w:tabs>
      <w:spacing w:line="300" w:lineRule="auto"/>
      <w:ind w:left="0" w:leftChars="0" w:firstLine="567" w:firstLineChars="0"/>
    </w:pPr>
    <w:rPr>
      <w:rFonts w:ascii="宋体" w:hAnsi="宋体" w:eastAsia="Times New Roman"/>
      <w:color w:val="0000FF"/>
      <w:sz w:val="28"/>
      <w:lang w:val="en-US"/>
    </w:rPr>
  </w:style>
  <w:style w:type="paragraph" w:customStyle="1" w:styleId="3787">
    <w:name w:val="待定小"/>
    <w:basedOn w:val="3777"/>
    <w:autoRedefine/>
    <w:qFormat/>
    <w:uiPriority w:val="0"/>
    <w:rPr>
      <w:rFonts w:ascii="宋体" w:hAnsi="Times"/>
      <w:color w:val="0000FF"/>
      <w:sz w:val="21"/>
      <w:szCs w:val="20"/>
    </w:rPr>
  </w:style>
  <w:style w:type="paragraph" w:customStyle="1" w:styleId="3788">
    <w:name w:val="题图"/>
    <w:basedOn w:val="1"/>
    <w:autoRedefine/>
    <w:qFormat/>
    <w:uiPriority w:val="0"/>
    <w:pPr>
      <w:spacing w:line="240" w:lineRule="auto"/>
      <w:ind w:firstLine="0" w:firstLineChars="0"/>
      <w:jc w:val="center"/>
    </w:pPr>
    <w:rPr>
      <w:rFonts w:ascii="宋体"/>
      <w:sz w:val="28"/>
      <w:szCs w:val="24"/>
    </w:rPr>
  </w:style>
  <w:style w:type="paragraph" w:customStyle="1" w:styleId="3789">
    <w:name w:val="表内宋5"/>
    <w:basedOn w:val="81"/>
    <w:autoRedefine/>
    <w:qFormat/>
    <w:uiPriority w:val="0"/>
    <w:pPr>
      <w:adjustRightInd w:val="0"/>
      <w:snapToGrid w:val="0"/>
      <w:jc w:val="both"/>
    </w:pPr>
    <w:rPr>
      <w:rFonts w:ascii="宋体"/>
      <w:color w:val="000000"/>
      <w:sz w:val="21"/>
      <w:lang w:val="en-US"/>
    </w:rPr>
  </w:style>
  <w:style w:type="paragraph" w:customStyle="1" w:styleId="3790">
    <w:name w:val="样式 标题 2 + 段前: 0.3 行 段后: 0.3 行"/>
    <w:basedOn w:val="4"/>
    <w:autoRedefine/>
    <w:qFormat/>
    <w:uiPriority w:val="0"/>
    <w:pPr>
      <w:widowControl/>
      <w:numPr>
        <w:ilvl w:val="0"/>
        <w:numId w:val="0"/>
      </w:numPr>
      <w:tabs>
        <w:tab w:val="left" w:pos="927"/>
        <w:tab w:val="left" w:pos="1134"/>
      </w:tabs>
      <w:spacing w:before="260" w:after="260"/>
    </w:pPr>
    <w:rPr>
      <w:rFonts w:eastAsia="黑体" w:cs="宋体"/>
      <w:kern w:val="0"/>
      <w:sz w:val="30"/>
      <w:szCs w:val="20"/>
      <w:lang w:val="en-US"/>
    </w:rPr>
  </w:style>
  <w:style w:type="paragraph" w:customStyle="1" w:styleId="3791">
    <w:name w:val="标题 2 + 段前: 0.3 行 段后: 0.3 行1"/>
    <w:basedOn w:val="4"/>
    <w:next w:val="1"/>
    <w:autoRedefine/>
    <w:qFormat/>
    <w:uiPriority w:val="0"/>
    <w:pPr>
      <w:widowControl/>
      <w:numPr>
        <w:ilvl w:val="0"/>
        <w:numId w:val="0"/>
      </w:numPr>
      <w:tabs>
        <w:tab w:val="left" w:pos="927"/>
        <w:tab w:val="left" w:pos="1134"/>
      </w:tabs>
      <w:spacing w:before="260" w:after="260"/>
      <w:ind w:left="1" w:firstLine="1"/>
    </w:pPr>
    <w:rPr>
      <w:rFonts w:eastAsia="黑体" w:cs="宋体"/>
      <w:b w:val="0"/>
      <w:kern w:val="0"/>
      <w:sz w:val="30"/>
      <w:szCs w:val="20"/>
      <w:lang w:val="en-US"/>
    </w:rPr>
  </w:style>
  <w:style w:type="paragraph" w:customStyle="1" w:styleId="3792">
    <w:name w:val="样式 标题 21.1标题 21.1_Heading 2标题 2 Char1节标2节标题 1.11.1标题2h..."/>
    <w:basedOn w:val="4"/>
    <w:autoRedefine/>
    <w:qFormat/>
    <w:uiPriority w:val="0"/>
    <w:pPr>
      <w:numPr>
        <w:ilvl w:val="0"/>
        <w:numId w:val="0"/>
      </w:numPr>
      <w:tabs>
        <w:tab w:val="left" w:pos="927"/>
        <w:tab w:val="left" w:pos="1134"/>
      </w:tabs>
      <w:snapToGrid/>
      <w:spacing w:before="260" w:after="260" w:line="360" w:lineRule="auto"/>
      <w:jc w:val="left"/>
    </w:pPr>
    <w:rPr>
      <w:rFonts w:eastAsia="黑体"/>
      <w:b w:val="0"/>
      <w:bCs w:val="0"/>
      <w:color w:val="0000FF"/>
      <w:kern w:val="0"/>
      <w:sz w:val="28"/>
      <w:szCs w:val="28"/>
      <w:lang w:val="en-US"/>
    </w:rPr>
  </w:style>
  <w:style w:type="paragraph" w:customStyle="1" w:styleId="3793">
    <w:name w:val="样式 标题 1章标题 1文章标题h11st levelSection Headl1章b1H1章节标题1标题..."/>
    <w:basedOn w:val="3"/>
    <w:autoRedefine/>
    <w:qFormat/>
    <w:uiPriority w:val="0"/>
    <w:pPr>
      <w:numPr>
        <w:numId w:val="0"/>
      </w:numPr>
      <w:tabs>
        <w:tab w:val="left" w:pos="1134"/>
      </w:tabs>
      <w:adjustRightInd/>
      <w:snapToGrid/>
      <w:spacing w:before="340" w:after="330" w:line="360" w:lineRule="auto"/>
    </w:pPr>
    <w:rPr>
      <w:rFonts w:eastAsia="黑体"/>
      <w:b w:val="0"/>
      <w:bCs w:val="0"/>
      <w:color w:val="0000FF"/>
      <w:sz w:val="32"/>
      <w:szCs w:val="32"/>
      <w:lang w:val="en-US"/>
    </w:rPr>
  </w:style>
  <w:style w:type="paragraph" w:customStyle="1" w:styleId="3794">
    <w:name w:val="表标题4.4 行"/>
    <w:basedOn w:val="1"/>
    <w:autoRedefine/>
    <w:qFormat/>
    <w:uiPriority w:val="0"/>
    <w:pPr>
      <w:tabs>
        <w:tab w:val="left" w:pos="2723"/>
      </w:tabs>
      <w:adjustRightInd/>
      <w:snapToGrid/>
      <w:spacing w:beforeLines="100" w:line="0" w:lineRule="atLeast"/>
      <w:ind w:firstLine="0" w:firstLineChars="0"/>
      <w:jc w:val="center"/>
    </w:pPr>
    <w:rPr>
      <w:rFonts w:eastAsia="黑体" w:cs="宋体"/>
      <w:b/>
      <w:bCs/>
      <w:color w:val="000000"/>
    </w:rPr>
  </w:style>
  <w:style w:type="paragraph" w:customStyle="1" w:styleId="3795">
    <w:name w:val="首选正文"/>
    <w:basedOn w:val="1"/>
    <w:autoRedefine/>
    <w:qFormat/>
    <w:uiPriority w:val="0"/>
    <w:pPr>
      <w:widowControl/>
      <w:adjustRightInd/>
      <w:snapToGrid/>
      <w:spacing w:line="460" w:lineRule="exact"/>
      <w:ind w:firstLine="480"/>
      <w:jc w:val="left"/>
    </w:pPr>
    <w:rPr>
      <w:rFonts w:cs="宋体"/>
      <w:kern w:val="0"/>
      <w:szCs w:val="24"/>
    </w:rPr>
  </w:style>
  <w:style w:type="paragraph" w:customStyle="1" w:styleId="3796">
    <w:name w:val="目次"/>
    <w:basedOn w:val="86"/>
    <w:autoRedefine/>
    <w:qFormat/>
    <w:uiPriority w:val="0"/>
    <w:pPr>
      <w:keepNext/>
      <w:tabs>
        <w:tab w:val="left" w:pos="628"/>
        <w:tab w:val="left" w:pos="1727"/>
        <w:tab w:val="left" w:pos="1884"/>
        <w:tab w:val="left" w:pos="2660"/>
        <w:tab w:val="left" w:pos="4325"/>
      </w:tabs>
      <w:spacing w:after="0" w:line="360" w:lineRule="auto"/>
      <w:ind w:firstLine="560" w:firstLineChars="200"/>
      <w:jc w:val="left"/>
    </w:pPr>
    <w:rPr>
      <w:rFonts w:ascii="宋体" w:hAnsi="宋体" w:eastAsia="Times New Roman"/>
      <w:b/>
      <w:bCs/>
      <w:color w:val="000000"/>
      <w:sz w:val="28"/>
      <w:szCs w:val="28"/>
      <w:lang w:val="en-US"/>
    </w:rPr>
  </w:style>
  <w:style w:type="character" w:customStyle="1" w:styleId="3797">
    <w:name w:val="样式 正文首行缩进 + 四号 Char"/>
    <w:link w:val="3798"/>
    <w:autoRedefine/>
    <w:qFormat/>
    <w:locked/>
    <w:uiPriority w:val="0"/>
    <w:rPr>
      <w:rFonts w:ascii="宋体" w:hAnsi="宋体"/>
      <w:sz w:val="28"/>
      <w:szCs w:val="24"/>
    </w:rPr>
  </w:style>
  <w:style w:type="paragraph" w:customStyle="1" w:styleId="3798">
    <w:name w:val="样式 正文首行缩进 + 四号"/>
    <w:basedOn w:val="86"/>
    <w:link w:val="3797"/>
    <w:autoRedefine/>
    <w:qFormat/>
    <w:uiPriority w:val="0"/>
    <w:pPr>
      <w:keepLines/>
      <w:tabs>
        <w:tab w:val="left" w:pos="0"/>
        <w:tab w:val="left" w:pos="1727"/>
        <w:tab w:val="left" w:pos="1884"/>
        <w:tab w:val="left" w:pos="8480"/>
      </w:tabs>
      <w:spacing w:before="100" w:beforeAutospacing="1" w:line="240" w:lineRule="auto"/>
      <w:ind w:left="-7" w:leftChars="-7"/>
    </w:pPr>
    <w:rPr>
      <w:rFonts w:ascii="宋体" w:hAnsi="宋体"/>
      <w:sz w:val="28"/>
      <w:szCs w:val="24"/>
      <w:lang w:val="en-US"/>
    </w:rPr>
  </w:style>
  <w:style w:type="paragraph" w:customStyle="1" w:styleId="3799">
    <w:name w:val="样式 表格文字居中 + 左 首行缩进:  0 厘米"/>
    <w:basedOn w:val="1438"/>
    <w:autoRedefine/>
    <w:qFormat/>
    <w:uiPriority w:val="0"/>
    <w:pPr>
      <w:keepNext/>
      <w:tabs>
        <w:tab w:val="left" w:pos="628"/>
      </w:tabs>
      <w:adjustRightInd w:val="0"/>
      <w:snapToGrid/>
      <w:spacing w:beforeLines="0" w:line="240" w:lineRule="auto"/>
      <w:jc w:val="left"/>
    </w:pPr>
    <w:rPr>
      <w:rFonts w:ascii="宋体" w:hAnsi="宋体" w:eastAsia="Times New Roman" w:cs="宋体"/>
      <w:bCs/>
      <w:kern w:val="0"/>
      <w:sz w:val="24"/>
    </w:rPr>
  </w:style>
  <w:style w:type="paragraph" w:customStyle="1" w:styleId="3800">
    <w:name w:val="表格03"/>
    <w:basedOn w:val="1"/>
    <w:autoRedefine/>
    <w:qFormat/>
    <w:uiPriority w:val="0"/>
    <w:pPr>
      <w:adjustRightInd/>
      <w:snapToGrid/>
      <w:spacing w:line="400" w:lineRule="exact"/>
      <w:ind w:firstLine="0" w:firstLineChars="0"/>
      <w:jc w:val="center"/>
    </w:pPr>
    <w:rPr>
      <w:sz w:val="21"/>
      <w:szCs w:val="21"/>
    </w:rPr>
  </w:style>
  <w:style w:type="paragraph" w:customStyle="1" w:styleId="3801">
    <w:name w:val="表格01 Char"/>
    <w:basedOn w:val="1"/>
    <w:autoRedefine/>
    <w:qFormat/>
    <w:uiPriority w:val="0"/>
    <w:pPr>
      <w:ind w:firstLine="0" w:firstLineChars="0"/>
      <w:jc w:val="center"/>
    </w:pPr>
    <w:rPr>
      <w:rFonts w:cs="宋体"/>
      <w:spacing w:val="-2"/>
      <w:kern w:val="0"/>
      <w:sz w:val="28"/>
      <w:szCs w:val="28"/>
    </w:rPr>
  </w:style>
  <w:style w:type="paragraph" w:customStyle="1" w:styleId="3802">
    <w:name w:val="样式 四号 行距: 固定值 25 磅"/>
    <w:basedOn w:val="1"/>
    <w:autoRedefine/>
    <w:qFormat/>
    <w:uiPriority w:val="0"/>
    <w:pPr>
      <w:adjustRightInd/>
      <w:snapToGrid/>
      <w:spacing w:line="480" w:lineRule="atLeast"/>
    </w:pPr>
    <w:rPr>
      <w:szCs w:val="24"/>
    </w:rPr>
  </w:style>
  <w:style w:type="paragraph" w:customStyle="1" w:styleId="3803">
    <w:name w:val="文"/>
    <w:basedOn w:val="1"/>
    <w:autoRedefine/>
    <w:qFormat/>
    <w:uiPriority w:val="0"/>
    <w:pPr>
      <w:adjustRightInd/>
      <w:snapToGrid/>
      <w:spacing w:line="360" w:lineRule="auto"/>
      <w:ind w:firstLine="480"/>
    </w:pPr>
    <w:rPr>
      <w:szCs w:val="24"/>
    </w:rPr>
  </w:style>
  <w:style w:type="paragraph" w:customStyle="1" w:styleId="3804">
    <w:name w:val="样式 标题 2 + 小四"/>
    <w:basedOn w:val="4"/>
    <w:autoRedefine/>
    <w:qFormat/>
    <w:uiPriority w:val="0"/>
    <w:pPr>
      <w:numPr>
        <w:ilvl w:val="0"/>
        <w:numId w:val="0"/>
      </w:numPr>
      <w:tabs>
        <w:tab w:val="left" w:pos="927"/>
        <w:tab w:val="left" w:pos="1134"/>
      </w:tabs>
      <w:adjustRightInd/>
      <w:snapToGrid/>
      <w:spacing w:before="260" w:after="260" w:line="400" w:lineRule="atLeast"/>
      <w:jc w:val="left"/>
    </w:pPr>
    <w:rPr>
      <w:rFonts w:ascii="Arial" w:hAnsi="Arial" w:eastAsia="黑体"/>
      <w:kern w:val="0"/>
      <w:lang w:val="en-US"/>
    </w:rPr>
  </w:style>
  <w:style w:type="paragraph" w:customStyle="1" w:styleId="3805">
    <w:name w:val="style5"/>
    <w:basedOn w:val="1"/>
    <w:autoRedefine/>
    <w:qFormat/>
    <w:uiPriority w:val="0"/>
    <w:pPr>
      <w:widowControl/>
      <w:adjustRightInd/>
      <w:snapToGrid/>
      <w:spacing w:beforeAutospacing="1" w:afterAutospacing="1" w:line="240" w:lineRule="auto"/>
      <w:ind w:firstLine="0" w:firstLineChars="0"/>
      <w:jc w:val="left"/>
    </w:pPr>
    <w:rPr>
      <w:rFonts w:ascii="宋体" w:hAnsi="宋体" w:cs="宋体"/>
      <w:color w:val="000000"/>
      <w:kern w:val="0"/>
      <w:szCs w:val="24"/>
    </w:rPr>
  </w:style>
  <w:style w:type="paragraph" w:customStyle="1" w:styleId="3806">
    <w:name w:val="样式 小四 黑色 首行缩进:  0.74 厘米 行距: 固定值 20 磅"/>
    <w:basedOn w:val="1"/>
    <w:autoRedefine/>
    <w:qFormat/>
    <w:uiPriority w:val="0"/>
    <w:pPr>
      <w:adjustRightInd/>
      <w:snapToGrid/>
      <w:spacing w:line="440" w:lineRule="exact"/>
      <w:ind w:firstLine="454" w:firstLineChars="0"/>
    </w:pPr>
    <w:rPr>
      <w:rFonts w:cs="宋体"/>
      <w:color w:val="000000"/>
    </w:rPr>
  </w:style>
  <w:style w:type="paragraph" w:customStyle="1" w:styleId="3807">
    <w:name w:val="样式 热电厂正文 + 首行缩进:  2 字符 Char"/>
    <w:basedOn w:val="1"/>
    <w:autoRedefine/>
    <w:qFormat/>
    <w:uiPriority w:val="0"/>
    <w:pPr>
      <w:adjustRightInd/>
      <w:snapToGrid/>
      <w:ind w:firstLine="480"/>
    </w:pPr>
    <w:rPr>
      <w:rFonts w:cs="宋体"/>
      <w:szCs w:val="24"/>
    </w:rPr>
  </w:style>
  <w:style w:type="paragraph" w:customStyle="1" w:styleId="3808">
    <w:name w:val="样式 标题 3 + 宋体 黑色 首行缩进:  2 字符 段前: 6 磅 段后: 6 磅 行距: 最小值 24 磅"/>
    <w:basedOn w:val="5"/>
    <w:autoRedefine/>
    <w:qFormat/>
    <w:uiPriority w:val="0"/>
    <w:pPr>
      <w:numPr>
        <w:ilvl w:val="0"/>
        <w:numId w:val="0"/>
      </w:numPr>
      <w:tabs>
        <w:tab w:val="left" w:pos="1134"/>
        <w:tab w:val="left" w:pos="1256"/>
      </w:tabs>
      <w:spacing w:before="260" w:after="260" w:line="480" w:lineRule="atLeast"/>
      <w:ind w:firstLine="200" w:firstLineChars="200"/>
    </w:pPr>
    <w:rPr>
      <w:rFonts w:ascii="宋体" w:hAnsi="宋体"/>
      <w:color w:val="000000"/>
      <w:kern w:val="0"/>
      <w:sz w:val="28"/>
      <w:szCs w:val="28"/>
      <w:lang w:val="en-US"/>
    </w:rPr>
  </w:style>
  <w:style w:type="paragraph" w:customStyle="1" w:styleId="3809">
    <w:name w:val="样式 黑体 首行缩进:  2 字符 行距: 最小值 24 磅"/>
    <w:basedOn w:val="1"/>
    <w:autoRedefine/>
    <w:qFormat/>
    <w:uiPriority w:val="0"/>
    <w:pPr>
      <w:adjustRightInd/>
      <w:snapToGrid/>
      <w:spacing w:line="480" w:lineRule="atLeast"/>
      <w:ind w:firstLine="480"/>
    </w:pPr>
    <w:rPr>
      <w:rFonts w:ascii="黑体" w:eastAsia="黑体" w:cs="宋体"/>
    </w:rPr>
  </w:style>
  <w:style w:type="character" w:customStyle="1" w:styleId="3810">
    <w:name w:val="样式 热电厂正文 + 首行缩进:  2 字符 Char Char Char Char"/>
    <w:link w:val="3811"/>
    <w:autoRedefine/>
    <w:qFormat/>
    <w:locked/>
    <w:uiPriority w:val="0"/>
    <w:rPr>
      <w:rFonts w:ascii="宋体" w:hAnsi="宋体"/>
    </w:rPr>
  </w:style>
  <w:style w:type="paragraph" w:customStyle="1" w:styleId="3811">
    <w:name w:val="样式 热电厂正文 + 首行缩进:  2 字符 Char Char Char"/>
    <w:link w:val="3810"/>
    <w:autoRedefine/>
    <w:qFormat/>
    <w:uiPriority w:val="0"/>
    <w:pPr>
      <w:ind w:firstLine="480"/>
    </w:pPr>
    <w:rPr>
      <w:rFonts w:ascii="宋体" w:hAnsi="宋体" w:eastAsia="宋体" w:cs="Times New Roman"/>
      <w:lang w:val="en-US" w:eastAsia="zh-CN" w:bidi="ar-SA"/>
    </w:rPr>
  </w:style>
  <w:style w:type="paragraph" w:customStyle="1" w:styleId="3812">
    <w:name w:val="样式 标题 3标题 3 Char + 黑色 行距: 固定值 26 磅"/>
    <w:basedOn w:val="5"/>
    <w:autoRedefine/>
    <w:qFormat/>
    <w:uiPriority w:val="0"/>
    <w:pPr>
      <w:numPr>
        <w:ilvl w:val="0"/>
        <w:numId w:val="0"/>
      </w:numPr>
      <w:tabs>
        <w:tab w:val="left" w:pos="360"/>
        <w:tab w:val="left" w:pos="1647"/>
      </w:tabs>
      <w:adjustRightInd/>
      <w:snapToGrid/>
      <w:spacing w:before="260" w:after="260" w:line="520" w:lineRule="exact"/>
      <w:ind w:hanging="200" w:hangingChars="200"/>
    </w:pPr>
    <w:rPr>
      <w:rFonts w:cs="宋体"/>
      <w:kern w:val="0"/>
      <w:sz w:val="30"/>
      <w:szCs w:val="20"/>
      <w:lang w:val="en-US"/>
    </w:rPr>
  </w:style>
  <w:style w:type="paragraph" w:customStyle="1" w:styleId="3813">
    <w:name w:val="样式 热电厂正文 + 四号 首行缩进:  2 字符"/>
    <w:autoRedefine/>
    <w:qFormat/>
    <w:uiPriority w:val="0"/>
    <w:rPr>
      <w:rFonts w:ascii="Times New Roman" w:hAnsi="Times New Roman" w:eastAsia="宋体" w:cs="宋体"/>
      <w:lang w:val="en-US" w:eastAsia="zh-CN" w:bidi="ar-SA"/>
    </w:rPr>
  </w:style>
  <w:style w:type="paragraph" w:customStyle="1" w:styleId="3814">
    <w:name w:val="样式 首行缩进:  2 字符5"/>
    <w:basedOn w:val="1"/>
    <w:autoRedefine/>
    <w:qFormat/>
    <w:uiPriority w:val="0"/>
    <w:pPr>
      <w:adjustRightInd/>
      <w:snapToGrid/>
      <w:spacing w:line="520" w:lineRule="exact"/>
      <w:ind w:firstLine="560"/>
    </w:pPr>
    <w:rPr>
      <w:rFonts w:cs="宋体"/>
    </w:rPr>
  </w:style>
  <w:style w:type="character" w:customStyle="1" w:styleId="3815">
    <w:name w:val="样式 样式 首行缩进:  2 字符 行距: 最小值 24 磅 + 首行缩进:  2 字符 Char Char Char"/>
    <w:link w:val="3816"/>
    <w:autoRedefine/>
    <w:qFormat/>
    <w:locked/>
    <w:uiPriority w:val="0"/>
    <w:rPr>
      <w:rFonts w:ascii="宋体" w:hAnsi="宋体"/>
      <w:sz w:val="24"/>
      <w:szCs w:val="24"/>
    </w:rPr>
  </w:style>
  <w:style w:type="paragraph" w:customStyle="1" w:styleId="3816">
    <w:name w:val="样式 样式 首行缩进:  2 字符 行距: 最小值 24 磅 + 首行缩进:  2 字符 Char Char"/>
    <w:basedOn w:val="1"/>
    <w:link w:val="3815"/>
    <w:autoRedefine/>
    <w:qFormat/>
    <w:uiPriority w:val="0"/>
    <w:pPr>
      <w:adjustRightInd/>
      <w:snapToGrid/>
      <w:spacing w:line="480" w:lineRule="atLeast"/>
      <w:ind w:firstLine="480"/>
    </w:pPr>
    <w:rPr>
      <w:rFonts w:ascii="宋体" w:hAnsi="宋体"/>
      <w:kern w:val="0"/>
      <w:szCs w:val="24"/>
    </w:rPr>
  </w:style>
  <w:style w:type="character" w:customStyle="1" w:styleId="3817">
    <w:name w:val="样式 首行缩进:  2 字符 行距: 最小值 24 磅 Char Char Char"/>
    <w:link w:val="3818"/>
    <w:autoRedefine/>
    <w:semiHidden/>
    <w:qFormat/>
    <w:locked/>
    <w:uiPriority w:val="0"/>
    <w:rPr>
      <w:rFonts w:ascii="宋体" w:hAnsi="宋体"/>
      <w:sz w:val="24"/>
      <w:szCs w:val="24"/>
    </w:rPr>
  </w:style>
  <w:style w:type="paragraph" w:customStyle="1" w:styleId="3818">
    <w:name w:val="样式 首行缩进:  2 字符 行距: 最小值 24 磅 Char Char"/>
    <w:basedOn w:val="1"/>
    <w:link w:val="3817"/>
    <w:autoRedefine/>
    <w:semiHidden/>
    <w:qFormat/>
    <w:uiPriority w:val="0"/>
    <w:pPr>
      <w:adjustRightInd/>
      <w:snapToGrid/>
      <w:spacing w:line="480" w:lineRule="atLeast"/>
      <w:ind w:firstLine="560"/>
    </w:pPr>
    <w:rPr>
      <w:rFonts w:ascii="宋体" w:hAnsi="宋体"/>
      <w:kern w:val="0"/>
      <w:szCs w:val="24"/>
    </w:rPr>
  </w:style>
  <w:style w:type="paragraph" w:customStyle="1" w:styleId="3819">
    <w:name w:val="样式 标题 3标题 3 Char + 小四 黑色"/>
    <w:basedOn w:val="5"/>
    <w:autoRedefine/>
    <w:qFormat/>
    <w:uiPriority w:val="0"/>
    <w:pPr>
      <w:numPr>
        <w:ilvl w:val="0"/>
        <w:numId w:val="0"/>
      </w:numPr>
      <w:tabs>
        <w:tab w:val="left" w:pos="360"/>
        <w:tab w:val="left" w:pos="1647"/>
      </w:tabs>
      <w:adjustRightInd/>
      <w:snapToGrid/>
      <w:spacing w:before="260" w:after="260" w:line="480" w:lineRule="atLeast"/>
      <w:ind w:hanging="200" w:hangingChars="200"/>
    </w:pPr>
    <w:rPr>
      <w:color w:val="000000"/>
      <w:kern w:val="0"/>
      <w:sz w:val="28"/>
      <w:szCs w:val="24"/>
      <w:lang w:val="en-US"/>
    </w:rPr>
  </w:style>
  <w:style w:type="paragraph" w:customStyle="1" w:styleId="3820">
    <w:name w:val="样式 标题 3标题 3 Char + 段前: 0 磅 段后: 0 磅 行距: 最小值 24 磅"/>
    <w:basedOn w:val="5"/>
    <w:autoRedefine/>
    <w:qFormat/>
    <w:uiPriority w:val="0"/>
    <w:pPr>
      <w:numPr>
        <w:ilvl w:val="0"/>
        <w:numId w:val="0"/>
      </w:numPr>
      <w:tabs>
        <w:tab w:val="left" w:pos="360"/>
        <w:tab w:val="left" w:pos="1647"/>
      </w:tabs>
      <w:adjustRightInd/>
      <w:snapToGrid/>
      <w:spacing w:before="260" w:after="260" w:line="480" w:lineRule="atLeast"/>
      <w:ind w:hanging="200" w:hangingChars="200"/>
    </w:pPr>
    <w:rPr>
      <w:rFonts w:cs="宋体"/>
      <w:kern w:val="0"/>
      <w:sz w:val="30"/>
      <w:szCs w:val="20"/>
      <w:lang w:val="en-US"/>
    </w:rPr>
  </w:style>
  <w:style w:type="paragraph" w:customStyle="1" w:styleId="3821">
    <w:name w:val="样式 首行缩进:  2 字符9"/>
    <w:basedOn w:val="1"/>
    <w:autoRedefine/>
    <w:qFormat/>
    <w:uiPriority w:val="0"/>
    <w:pPr>
      <w:adjustRightInd/>
      <w:snapToGrid/>
      <w:spacing w:line="520" w:lineRule="exact"/>
      <w:ind w:firstLine="560"/>
    </w:pPr>
    <w:rPr>
      <w:rFonts w:cs="宋体"/>
    </w:rPr>
  </w:style>
  <w:style w:type="paragraph" w:customStyle="1" w:styleId="3822">
    <w:name w:val="样式 样式 首行缩进:  2 字符19 + 首行缩进:  2 字符"/>
    <w:basedOn w:val="1"/>
    <w:autoRedefine/>
    <w:qFormat/>
    <w:uiPriority w:val="0"/>
    <w:pPr>
      <w:adjustRightInd/>
      <w:snapToGrid/>
      <w:spacing w:line="520" w:lineRule="exact"/>
      <w:ind w:firstLine="480"/>
    </w:pPr>
    <w:rPr>
      <w:rFonts w:cs="宋体"/>
    </w:rPr>
  </w:style>
  <w:style w:type="paragraph" w:customStyle="1" w:styleId="3823">
    <w:name w:val="样式 标题 1 + 首行缩进:  2 字符 段前: 12 磅 段后: 12 磅 行距: 最小值 24 磅"/>
    <w:basedOn w:val="3"/>
    <w:autoRedefine/>
    <w:qFormat/>
    <w:uiPriority w:val="0"/>
    <w:pPr>
      <w:numPr>
        <w:numId w:val="0"/>
      </w:numPr>
      <w:tabs>
        <w:tab w:val="left" w:pos="1134"/>
      </w:tabs>
      <w:spacing w:before="340" w:after="330" w:line="480" w:lineRule="atLeast"/>
      <w:jc w:val="both"/>
    </w:pPr>
    <w:rPr>
      <w:sz w:val="32"/>
      <w:szCs w:val="20"/>
      <w:lang w:val="en-US"/>
    </w:rPr>
  </w:style>
  <w:style w:type="paragraph" w:customStyle="1" w:styleId="3824">
    <w:name w:val="样式 标题 2 + 段前: 6 磅 段后: 6 磅 行距: 最小值 24 磅"/>
    <w:basedOn w:val="4"/>
    <w:autoRedefine/>
    <w:qFormat/>
    <w:uiPriority w:val="0"/>
    <w:pPr>
      <w:numPr>
        <w:ilvl w:val="0"/>
        <w:numId w:val="0"/>
      </w:numPr>
      <w:tabs>
        <w:tab w:val="left" w:pos="927"/>
        <w:tab w:val="left" w:pos="1134"/>
      </w:tabs>
      <w:spacing w:before="260" w:after="260" w:line="480" w:lineRule="atLeast"/>
    </w:pPr>
    <w:rPr>
      <w:b w:val="0"/>
      <w:kern w:val="0"/>
      <w:sz w:val="30"/>
      <w:szCs w:val="30"/>
      <w:lang w:val="en-US"/>
    </w:rPr>
  </w:style>
  <w:style w:type="paragraph" w:customStyle="1" w:styleId="3825">
    <w:name w:val="样式 样式 标题 3 + 宋体 黑色 首行缩进:  2 字符 段前: 6 磅 段后: 6 磅 行距: 最小值 24 磅 + 首行..."/>
    <w:basedOn w:val="3808"/>
    <w:autoRedefine/>
    <w:qFormat/>
    <w:uiPriority w:val="0"/>
    <w:pPr>
      <w:ind w:firstLine="562"/>
    </w:pPr>
    <w:rPr>
      <w:rFonts w:ascii="Times New Roman" w:hAnsi="Times New Roman"/>
    </w:rPr>
  </w:style>
  <w:style w:type="paragraph" w:customStyle="1" w:styleId="3826">
    <w:name w:val="样式 标题 3 + 首行缩进:  2 字符 段前: 6 磅 段后: 6 磅 行距: 最小值 24 磅"/>
    <w:basedOn w:val="5"/>
    <w:autoRedefine/>
    <w:qFormat/>
    <w:uiPriority w:val="0"/>
    <w:pPr>
      <w:numPr>
        <w:ilvl w:val="0"/>
        <w:numId w:val="0"/>
      </w:numPr>
      <w:tabs>
        <w:tab w:val="left" w:pos="1134"/>
        <w:tab w:val="left" w:pos="1256"/>
      </w:tabs>
      <w:spacing w:before="260" w:after="260" w:line="480" w:lineRule="atLeast"/>
      <w:ind w:firstLine="100" w:firstLineChars="100"/>
    </w:pPr>
    <w:rPr>
      <w:kern w:val="0"/>
      <w:sz w:val="28"/>
      <w:szCs w:val="28"/>
      <w:lang w:val="en-US"/>
    </w:rPr>
  </w:style>
  <w:style w:type="paragraph" w:customStyle="1" w:styleId="3827">
    <w:name w:val="样式 标题 4 + 首行缩进:  2 字符1"/>
    <w:basedOn w:val="6"/>
    <w:autoRedefine/>
    <w:qFormat/>
    <w:uiPriority w:val="0"/>
    <w:pPr>
      <w:numPr>
        <w:ilvl w:val="0"/>
        <w:numId w:val="0"/>
      </w:numPr>
      <w:tabs>
        <w:tab w:val="left" w:pos="1134"/>
        <w:tab w:val="left" w:pos="1630"/>
      </w:tabs>
      <w:spacing w:before="280" w:after="290" w:line="480" w:lineRule="atLeast"/>
      <w:ind w:firstLine="480" w:firstLineChars="200"/>
      <w:jc w:val="both"/>
    </w:pPr>
    <w:rPr>
      <w:rFonts w:ascii="Arial" w:hAnsi="Arial"/>
      <w:bCs w:val="0"/>
      <w:kern w:val="0"/>
      <w:szCs w:val="24"/>
      <w:lang w:val="en-US"/>
    </w:rPr>
  </w:style>
  <w:style w:type="paragraph" w:customStyle="1" w:styleId="3828">
    <w:name w:val="样式 标题 4 + 四号"/>
    <w:basedOn w:val="6"/>
    <w:autoRedefine/>
    <w:qFormat/>
    <w:uiPriority w:val="0"/>
    <w:pPr>
      <w:widowControl/>
      <w:numPr>
        <w:ilvl w:val="0"/>
        <w:numId w:val="0"/>
      </w:numPr>
      <w:tabs>
        <w:tab w:val="left" w:pos="1134"/>
        <w:tab w:val="left" w:pos="1630"/>
      </w:tabs>
      <w:adjustRightInd/>
      <w:spacing w:before="280" w:after="290" w:line="480" w:lineRule="atLeast"/>
      <w:ind w:firstLine="200" w:firstLineChars="200"/>
      <w:jc w:val="both"/>
    </w:pPr>
    <w:rPr>
      <w:b w:val="0"/>
      <w:bCs w:val="0"/>
      <w:kern w:val="0"/>
      <w:szCs w:val="24"/>
      <w:lang w:val="en-US"/>
    </w:rPr>
  </w:style>
  <w:style w:type="paragraph" w:customStyle="1" w:styleId="3829">
    <w:name w:val="样式 样式 标题 3 + 首行缩进:  2 字符 段前: 6 磅 段后: 6 磅 行距: 最小值 24 磅 + 首行缩进:  1..."/>
    <w:basedOn w:val="3826"/>
    <w:autoRedefine/>
    <w:qFormat/>
    <w:uiPriority w:val="0"/>
    <w:pPr>
      <w:ind w:firstLine="280"/>
    </w:pPr>
    <w:rPr>
      <w:rFonts w:cs="宋体"/>
      <w:b w:val="0"/>
    </w:rPr>
  </w:style>
  <w:style w:type="paragraph" w:customStyle="1" w:styleId="3830">
    <w:name w:val="样式 样式 标题 4 + 四号 + 首行缩进:  2 字符"/>
    <w:basedOn w:val="3828"/>
    <w:autoRedefine/>
    <w:qFormat/>
    <w:uiPriority w:val="0"/>
    <w:rPr>
      <w:rFonts w:cs="宋体"/>
      <w:szCs w:val="20"/>
    </w:rPr>
  </w:style>
  <w:style w:type="paragraph" w:customStyle="1" w:styleId="3831">
    <w:name w:val="样式 正文文本缩进 + 小四 非加粗 非倾斜 行距: 固定值 20 磅"/>
    <w:basedOn w:val="35"/>
    <w:autoRedefine/>
    <w:qFormat/>
    <w:uiPriority w:val="0"/>
    <w:pPr>
      <w:adjustRightInd/>
      <w:snapToGrid/>
      <w:spacing w:line="440" w:lineRule="exact"/>
      <w:ind w:left="0" w:leftChars="0" w:firstLine="454" w:firstLineChars="0"/>
    </w:pPr>
    <w:rPr>
      <w:rFonts w:eastAsia="Times New Roman"/>
      <w:lang w:val="en-US"/>
    </w:rPr>
  </w:style>
  <w:style w:type="paragraph" w:customStyle="1" w:styleId="3832">
    <w:name w:val="样式 热电厂正文 + 首行缩进:  2 字符 Char Char"/>
    <w:basedOn w:val="3490"/>
    <w:autoRedefine/>
    <w:qFormat/>
    <w:uiPriority w:val="0"/>
    <w:pPr>
      <w:spacing w:line="480" w:lineRule="exact"/>
    </w:pPr>
    <w:rPr>
      <w:rFonts w:cs="宋体"/>
    </w:rPr>
  </w:style>
  <w:style w:type="paragraph" w:customStyle="1" w:styleId="3833">
    <w:name w:val="样式 样式 首行缩进:  2 字符 行距: 最小值 24 磅 + 首行缩进:  2 字符 Char"/>
    <w:basedOn w:val="1"/>
    <w:autoRedefine/>
    <w:qFormat/>
    <w:uiPriority w:val="0"/>
    <w:pPr>
      <w:adjustRightInd/>
      <w:snapToGrid/>
      <w:spacing w:line="480" w:lineRule="atLeast"/>
      <w:ind w:firstLine="480"/>
    </w:pPr>
    <w:rPr>
      <w:rFonts w:cs="宋体"/>
      <w:szCs w:val="24"/>
    </w:rPr>
  </w:style>
  <w:style w:type="paragraph" w:customStyle="1" w:styleId="3834">
    <w:name w:val=".€·..‘ .€·..‘ ..￡............è.. + .￥·..fi_GB2312 é|.è.....è..:  2 .....| ..μ.’”: 0.3 è.. è..è·.: 1.5 ..“è..è·. + é|.è.........&quot;"/>
    <w:basedOn w:val="151"/>
    <w:next w:val="151"/>
    <w:autoRedefine/>
    <w:qFormat/>
    <w:uiPriority w:val="0"/>
    <w:pPr>
      <w:spacing w:after="30"/>
    </w:pPr>
    <w:rPr>
      <w:rFonts w:ascii="Kai Titling" w:eastAsia="Kai Titling"/>
      <w:color w:val="auto"/>
    </w:rPr>
  </w:style>
  <w:style w:type="paragraph" w:customStyle="1" w:styleId="3835">
    <w:name w:val="表－索引"/>
    <w:basedOn w:val="1"/>
    <w:autoRedefine/>
    <w:qFormat/>
    <w:uiPriority w:val="0"/>
    <w:pPr>
      <w:adjustRightInd/>
      <w:snapToGrid/>
      <w:spacing w:line="360" w:lineRule="auto"/>
      <w:ind w:firstLine="0" w:firstLineChars="0"/>
      <w:jc w:val="center"/>
    </w:pPr>
  </w:style>
  <w:style w:type="paragraph" w:customStyle="1" w:styleId="3836">
    <w:name w:val="样式 标题 2节标题 1.1标题 2 Char1标题 2 Char Char1.1标题 21.1标题2标题 2 C..."/>
    <w:basedOn w:val="4"/>
    <w:autoRedefine/>
    <w:qFormat/>
    <w:uiPriority w:val="0"/>
    <w:pPr>
      <w:numPr>
        <w:ilvl w:val="0"/>
        <w:numId w:val="0"/>
      </w:numPr>
      <w:tabs>
        <w:tab w:val="left" w:pos="927"/>
      </w:tabs>
      <w:adjustRightInd/>
      <w:snapToGrid/>
      <w:spacing w:before="260" w:after="260"/>
      <w:ind w:firstLine="567"/>
    </w:pPr>
    <w:rPr>
      <w:kern w:val="0"/>
      <w:sz w:val="28"/>
      <w:lang w:val="en-US"/>
    </w:rPr>
  </w:style>
  <w:style w:type="paragraph" w:customStyle="1" w:styleId="3837">
    <w:name w:val="Char2 Char Char Char"/>
    <w:basedOn w:val="1"/>
    <w:autoRedefine/>
    <w:qFormat/>
    <w:uiPriority w:val="0"/>
    <w:pPr>
      <w:autoSpaceDE w:val="0"/>
      <w:autoSpaceDN w:val="0"/>
      <w:spacing w:line="360" w:lineRule="auto"/>
      <w:ind w:firstLine="560"/>
    </w:pPr>
    <w:rPr>
      <w:rFonts w:ascii="宋体" w:hAnsi="宋体" w:eastAsia="仿宋_GB2312"/>
      <w:color w:val="000000"/>
      <w:szCs w:val="24"/>
    </w:rPr>
  </w:style>
  <w:style w:type="paragraph" w:customStyle="1" w:styleId="3838">
    <w:name w:val="Char Char1 Char Char Char Char Char Char Char Char Char Char Char Char Char Char1 Char Char Char Char Char Char1"/>
    <w:basedOn w:val="1"/>
    <w:autoRedefine/>
    <w:qFormat/>
    <w:uiPriority w:val="0"/>
    <w:pPr>
      <w:widowControl/>
      <w:adjustRightInd/>
      <w:snapToGrid/>
      <w:spacing w:line="300" w:lineRule="auto"/>
    </w:pPr>
    <w:rPr>
      <w:sz w:val="21"/>
      <w:szCs w:val="24"/>
    </w:rPr>
  </w:style>
  <w:style w:type="character" w:customStyle="1" w:styleId="3839">
    <w:name w:val="正文-自建 Char"/>
    <w:link w:val="3840"/>
    <w:autoRedefine/>
    <w:qFormat/>
    <w:locked/>
    <w:uiPriority w:val="0"/>
    <w:rPr>
      <w:sz w:val="28"/>
      <w:szCs w:val="28"/>
    </w:rPr>
  </w:style>
  <w:style w:type="paragraph" w:customStyle="1" w:styleId="3840">
    <w:name w:val="正文-自建"/>
    <w:basedOn w:val="21"/>
    <w:link w:val="3839"/>
    <w:autoRedefine/>
    <w:qFormat/>
    <w:uiPriority w:val="0"/>
    <w:pPr>
      <w:spacing w:line="600" w:lineRule="exact"/>
      <w:ind w:firstLine="200"/>
    </w:pPr>
    <w:rPr>
      <w:rFonts w:ascii="Times New Roman" w:hAnsi="Times New Roman"/>
      <w:kern w:val="0"/>
      <w:sz w:val="28"/>
      <w:szCs w:val="28"/>
      <w:lang w:val="en-US"/>
    </w:rPr>
  </w:style>
  <w:style w:type="paragraph" w:customStyle="1" w:styleId="3841">
    <w:name w:val="样式 行距: 固定值 24 磅"/>
    <w:basedOn w:val="1"/>
    <w:autoRedefine/>
    <w:qFormat/>
    <w:uiPriority w:val="0"/>
    <w:pPr>
      <w:adjustRightInd/>
      <w:snapToGrid/>
    </w:pPr>
  </w:style>
  <w:style w:type="paragraph" w:customStyle="1" w:styleId="3842">
    <w:name w:val="Pa1"/>
    <w:basedOn w:val="1"/>
    <w:next w:val="1"/>
    <w:autoRedefine/>
    <w:qFormat/>
    <w:uiPriority w:val="0"/>
    <w:pPr>
      <w:autoSpaceDE w:val="0"/>
      <w:autoSpaceDN w:val="0"/>
      <w:adjustRightInd/>
      <w:snapToGrid/>
      <w:spacing w:line="221" w:lineRule="atLeast"/>
      <w:ind w:firstLine="0" w:firstLineChars="0"/>
      <w:jc w:val="left"/>
    </w:pPr>
    <w:rPr>
      <w:rFonts w:ascii="黑体" w:hAnsi="黑体" w:eastAsia="黑体"/>
      <w:color w:val="000000"/>
      <w:kern w:val="0"/>
    </w:rPr>
  </w:style>
  <w:style w:type="paragraph" w:customStyle="1" w:styleId="3843">
    <w:name w:val="Pa3"/>
    <w:basedOn w:val="151"/>
    <w:next w:val="151"/>
    <w:autoRedefine/>
    <w:qFormat/>
    <w:uiPriority w:val="0"/>
    <w:pPr>
      <w:adjustRightInd/>
      <w:spacing w:line="241" w:lineRule="atLeast"/>
    </w:pPr>
    <w:rPr>
      <w:rFonts w:ascii="黑体" w:hAnsi="黑体" w:eastAsia="黑体"/>
      <w:szCs w:val="20"/>
    </w:rPr>
  </w:style>
  <w:style w:type="paragraph" w:customStyle="1" w:styleId="3844">
    <w:name w:val="Pa9"/>
    <w:basedOn w:val="1"/>
    <w:next w:val="1"/>
    <w:autoRedefine/>
    <w:qFormat/>
    <w:uiPriority w:val="0"/>
    <w:pPr>
      <w:autoSpaceDE w:val="0"/>
      <w:autoSpaceDN w:val="0"/>
      <w:snapToGrid/>
      <w:spacing w:line="221" w:lineRule="atLeast"/>
      <w:ind w:firstLine="0" w:firstLineChars="0"/>
      <w:jc w:val="left"/>
    </w:pPr>
    <w:rPr>
      <w:rFonts w:ascii="黑体" w:hAnsi="Calibri" w:eastAsia="黑体"/>
      <w:kern w:val="0"/>
      <w:szCs w:val="24"/>
    </w:rPr>
  </w:style>
  <w:style w:type="paragraph" w:customStyle="1" w:styleId="3845">
    <w:name w:val="中文报告书样式 Char"/>
    <w:basedOn w:val="1"/>
    <w:autoRedefine/>
    <w:qFormat/>
    <w:uiPriority w:val="0"/>
    <w:pPr>
      <w:snapToGrid/>
      <w:spacing w:line="480" w:lineRule="atLeast"/>
      <w:ind w:firstLine="482" w:firstLineChars="0"/>
    </w:pPr>
    <w:rPr>
      <w:kern w:val="24"/>
    </w:rPr>
  </w:style>
  <w:style w:type="paragraph" w:customStyle="1" w:styleId="3846">
    <w:name w:val="秦皇岛正文"/>
    <w:basedOn w:val="1"/>
    <w:autoRedefine/>
    <w:qFormat/>
    <w:uiPriority w:val="0"/>
    <w:pPr>
      <w:adjustRightInd/>
      <w:snapToGrid/>
      <w:spacing w:line="400" w:lineRule="exact"/>
    </w:pPr>
    <w:rPr>
      <w:rFonts w:ascii="宋体" w:hAnsi="宋体"/>
      <w:szCs w:val="24"/>
    </w:rPr>
  </w:style>
  <w:style w:type="character" w:customStyle="1" w:styleId="3847">
    <w:name w:val="0-4 Char"/>
    <w:link w:val="3848"/>
    <w:autoRedefine/>
    <w:qFormat/>
    <w:locked/>
    <w:uiPriority w:val="0"/>
    <w:rPr>
      <w:rFonts w:ascii="宋体" w:hAnsi="宋体"/>
      <w:sz w:val="24"/>
      <w:szCs w:val="24"/>
    </w:rPr>
  </w:style>
  <w:style w:type="paragraph" w:customStyle="1" w:styleId="3848">
    <w:name w:val="0-4"/>
    <w:basedOn w:val="1"/>
    <w:link w:val="3847"/>
    <w:autoRedefine/>
    <w:qFormat/>
    <w:uiPriority w:val="0"/>
    <w:pPr>
      <w:adjustRightInd/>
      <w:snapToGrid/>
      <w:spacing w:line="440" w:lineRule="exact"/>
      <w:ind w:firstLine="480"/>
    </w:pPr>
    <w:rPr>
      <w:rFonts w:ascii="宋体" w:hAnsi="宋体"/>
      <w:kern w:val="0"/>
      <w:szCs w:val="24"/>
    </w:rPr>
  </w:style>
  <w:style w:type="paragraph" w:customStyle="1" w:styleId="3849">
    <w:name w:val="宋体 13 磅 行距: 固定值 24 磅"/>
    <w:basedOn w:val="1"/>
    <w:autoRedefine/>
    <w:qFormat/>
    <w:uiPriority w:val="0"/>
    <w:pPr>
      <w:adjustRightInd/>
      <w:snapToGrid/>
      <w:ind w:firstLine="520"/>
    </w:pPr>
    <w:rPr>
      <w:rFonts w:ascii="宋体" w:hAnsi="宋体" w:cs="宋体"/>
      <w:sz w:val="26"/>
    </w:rPr>
  </w:style>
  <w:style w:type="paragraph" w:customStyle="1" w:styleId="3850">
    <w:name w:val="fix"/>
    <w:basedOn w:val="1"/>
    <w:autoRedefine/>
    <w:qFormat/>
    <w:uiPriority w:val="0"/>
    <w:pPr>
      <w:widowControl/>
      <w:adjustRightInd/>
      <w:snapToGrid/>
      <w:spacing w:beforeAutospacing="1" w:afterAutospacing="1" w:line="288" w:lineRule="auto"/>
      <w:ind w:firstLine="0" w:firstLineChars="0"/>
      <w:jc w:val="left"/>
    </w:pPr>
    <w:rPr>
      <w:rFonts w:ascii="ˎ̥" w:hAnsi="ˎ̥" w:cs="宋体"/>
      <w:color w:val="000000"/>
      <w:kern w:val="0"/>
      <w:sz w:val="20"/>
    </w:rPr>
  </w:style>
  <w:style w:type="paragraph" w:customStyle="1" w:styleId="3851">
    <w:name w:val="_Style 19"/>
    <w:basedOn w:val="1"/>
    <w:autoRedefine/>
    <w:qFormat/>
    <w:uiPriority w:val="0"/>
    <w:pPr>
      <w:widowControl/>
      <w:adjustRightInd/>
      <w:snapToGrid/>
      <w:spacing w:line="240" w:lineRule="exact"/>
      <w:ind w:firstLine="0" w:firstLineChars="0"/>
      <w:jc w:val="left"/>
    </w:pPr>
    <w:rPr>
      <w:sz w:val="21"/>
    </w:rPr>
  </w:style>
  <w:style w:type="paragraph" w:customStyle="1" w:styleId="3852">
    <w:name w:val="Char Char7 Char Char Char Char Char Char1"/>
    <w:basedOn w:val="5"/>
    <w:autoRedefine/>
    <w:qFormat/>
    <w:uiPriority w:val="0"/>
    <w:pPr>
      <w:numPr>
        <w:ilvl w:val="0"/>
        <w:numId w:val="0"/>
      </w:numPr>
      <w:tabs>
        <w:tab w:val="left" w:pos="360"/>
        <w:tab w:val="left" w:pos="900"/>
      </w:tabs>
      <w:adjustRightInd/>
      <w:spacing w:before="260" w:after="260" w:line="360" w:lineRule="auto"/>
      <w:ind w:left="-12" w:leftChars="-12" w:firstLine="200" w:firstLineChars="200"/>
      <w:jc w:val="left"/>
    </w:pPr>
    <w:rPr>
      <w:rFonts w:eastAsia="黑体"/>
      <w:b w:val="0"/>
      <w:bCs w:val="0"/>
      <w:kern w:val="0"/>
      <w:szCs w:val="24"/>
      <w:lang w:val="en-US"/>
    </w:rPr>
  </w:style>
  <w:style w:type="paragraph" w:customStyle="1" w:styleId="3853">
    <w:name w:val="Char Char Char1 Char11"/>
    <w:basedOn w:val="1"/>
    <w:autoRedefine/>
    <w:qFormat/>
    <w:uiPriority w:val="0"/>
    <w:pPr>
      <w:spacing w:line="240" w:lineRule="auto"/>
      <w:ind w:left="-45" w:firstLine="0" w:firstLineChars="0"/>
    </w:pPr>
    <w:rPr>
      <w:sz w:val="21"/>
      <w:szCs w:val="24"/>
    </w:rPr>
  </w:style>
  <w:style w:type="paragraph" w:customStyle="1" w:styleId="3854">
    <w:name w:val="X-正文"/>
    <w:basedOn w:val="1"/>
    <w:autoRedefine/>
    <w:qFormat/>
    <w:uiPriority w:val="0"/>
    <w:pPr>
      <w:spacing w:line="360" w:lineRule="auto"/>
      <w:jc w:val="left"/>
    </w:pPr>
    <w:rPr>
      <w:rFonts w:ascii="宋体" w:hAnsi="宋体" w:eastAsia="楷体_GB2312"/>
      <w:szCs w:val="24"/>
    </w:rPr>
  </w:style>
  <w:style w:type="character" w:customStyle="1" w:styleId="3855">
    <w:name w:val="武正文 Char"/>
    <w:link w:val="3856"/>
    <w:autoRedefine/>
    <w:qFormat/>
    <w:locked/>
    <w:uiPriority w:val="0"/>
    <w:rPr>
      <w:color w:val="000000"/>
      <w:sz w:val="24"/>
      <w:szCs w:val="24"/>
    </w:rPr>
  </w:style>
  <w:style w:type="paragraph" w:customStyle="1" w:styleId="3856">
    <w:name w:val="武正文"/>
    <w:basedOn w:val="1"/>
    <w:link w:val="3855"/>
    <w:autoRedefine/>
    <w:qFormat/>
    <w:uiPriority w:val="0"/>
    <w:pPr>
      <w:adjustRightInd/>
      <w:snapToGrid/>
      <w:spacing w:line="460" w:lineRule="exact"/>
    </w:pPr>
    <w:rPr>
      <w:color w:val="000000"/>
      <w:kern w:val="0"/>
      <w:szCs w:val="24"/>
    </w:rPr>
  </w:style>
  <w:style w:type="paragraph" w:customStyle="1" w:styleId="3857">
    <w:name w:val="正文-报告书"/>
    <w:basedOn w:val="1"/>
    <w:autoRedefine/>
    <w:qFormat/>
    <w:uiPriority w:val="0"/>
    <w:pPr>
      <w:adjustRightInd/>
      <w:snapToGrid/>
      <w:spacing w:line="460" w:lineRule="exact"/>
      <w:ind w:firstLine="480"/>
    </w:pPr>
    <w:rPr>
      <w:szCs w:val="24"/>
    </w:rPr>
  </w:style>
  <w:style w:type="paragraph" w:customStyle="1" w:styleId="3858">
    <w:name w:val="表内序号"/>
    <w:basedOn w:val="1"/>
    <w:autoRedefine/>
    <w:qFormat/>
    <w:uiPriority w:val="0"/>
    <w:pPr>
      <w:widowControl/>
      <w:spacing w:line="360" w:lineRule="auto"/>
      <w:ind w:right="-47" w:rightChars="-47" w:firstLine="0" w:firstLineChars="0"/>
      <w:jc w:val="center"/>
    </w:pPr>
    <w:rPr>
      <w:kern w:val="0"/>
    </w:rPr>
  </w:style>
  <w:style w:type="paragraph" w:customStyle="1" w:styleId="3859">
    <w:name w:val="表格标题-报告书"/>
    <w:basedOn w:val="1"/>
    <w:next w:val="1"/>
    <w:autoRedefine/>
    <w:qFormat/>
    <w:uiPriority w:val="0"/>
    <w:pPr>
      <w:adjustRightInd/>
      <w:snapToGrid/>
      <w:spacing w:beforeLines="50" w:line="240" w:lineRule="auto"/>
      <w:ind w:firstLine="0" w:firstLineChars="0"/>
      <w:jc w:val="center"/>
    </w:pPr>
    <w:rPr>
      <w:rFonts w:eastAsia="华文中宋"/>
      <w:kern w:val="24"/>
      <w:sz w:val="21"/>
      <w:szCs w:val="21"/>
    </w:rPr>
  </w:style>
  <w:style w:type="paragraph" w:customStyle="1" w:styleId="3860">
    <w:name w:val="表格文字居中-报告书"/>
    <w:basedOn w:val="1"/>
    <w:next w:val="1"/>
    <w:autoRedefine/>
    <w:qFormat/>
    <w:uiPriority w:val="0"/>
    <w:pPr>
      <w:adjustRightInd/>
      <w:snapToGrid/>
      <w:spacing w:line="240" w:lineRule="auto"/>
      <w:ind w:firstLine="0" w:firstLineChars="0"/>
      <w:jc w:val="center"/>
    </w:pPr>
    <w:rPr>
      <w:sz w:val="21"/>
      <w:szCs w:val="18"/>
    </w:rPr>
  </w:style>
  <w:style w:type="paragraph" w:customStyle="1" w:styleId="3861">
    <w:name w:val="统一正文格式"/>
    <w:basedOn w:val="35"/>
    <w:autoRedefine/>
    <w:qFormat/>
    <w:uiPriority w:val="0"/>
    <w:pPr>
      <w:tabs>
        <w:tab w:val="left" w:pos="0"/>
      </w:tabs>
      <w:adjustRightInd/>
      <w:snapToGrid/>
      <w:spacing w:line="460" w:lineRule="atLeast"/>
      <w:ind w:left="0" w:leftChars="0"/>
    </w:pPr>
    <w:rPr>
      <w:rFonts w:eastAsia="Times New Roman" w:cs="宋体"/>
      <w:kern w:val="24"/>
      <w:lang w:val="en-US"/>
    </w:rPr>
  </w:style>
  <w:style w:type="paragraph" w:customStyle="1" w:styleId="3862">
    <w:name w:val="X-正文-B"/>
    <w:autoRedefine/>
    <w:qFormat/>
    <w:uiPriority w:val="0"/>
    <w:pPr>
      <w:spacing w:line="360" w:lineRule="auto"/>
    </w:pPr>
    <w:rPr>
      <w:rFonts w:ascii="宋体" w:hAnsi="宋体" w:eastAsia="楷体_GB2312" w:cs="Times New Roman"/>
      <w:b/>
      <w:kern w:val="2"/>
      <w:sz w:val="24"/>
      <w:szCs w:val="24"/>
      <w:lang w:val="en-US" w:eastAsia="zh-CN" w:bidi="ar-SA"/>
    </w:rPr>
  </w:style>
  <w:style w:type="paragraph" w:customStyle="1" w:styleId="3863">
    <w:name w:val="表格文本"/>
    <w:basedOn w:val="1"/>
    <w:next w:val="1"/>
    <w:autoRedefine/>
    <w:qFormat/>
    <w:uiPriority w:val="0"/>
    <w:pPr>
      <w:adjustRightInd/>
      <w:snapToGrid/>
      <w:spacing w:line="240" w:lineRule="exact"/>
      <w:ind w:firstLine="0" w:firstLineChars="0"/>
    </w:pPr>
    <w:rPr>
      <w:sz w:val="21"/>
    </w:rPr>
  </w:style>
  <w:style w:type="paragraph" w:customStyle="1" w:styleId="3864">
    <w:name w:val="正文-使用"/>
    <w:basedOn w:val="1"/>
    <w:autoRedefine/>
    <w:qFormat/>
    <w:uiPriority w:val="0"/>
    <w:pPr>
      <w:spacing w:line="360" w:lineRule="auto"/>
      <w:ind w:firstLine="482" w:firstLineChars="0"/>
    </w:pPr>
  </w:style>
  <w:style w:type="paragraph" w:customStyle="1" w:styleId="3865">
    <w:name w:val="文-5"/>
    <w:basedOn w:val="1"/>
    <w:autoRedefine/>
    <w:qFormat/>
    <w:uiPriority w:val="0"/>
    <w:pPr>
      <w:tabs>
        <w:tab w:val="right" w:leader="dot" w:pos="8789"/>
      </w:tabs>
      <w:adjustRightInd/>
      <w:snapToGrid/>
      <w:spacing w:line="240" w:lineRule="auto"/>
      <w:ind w:left="1276" w:firstLine="482" w:firstLineChars="0"/>
    </w:pPr>
  </w:style>
  <w:style w:type="paragraph" w:customStyle="1" w:styleId="3866">
    <w:name w:val="样式 标题 2节标题1.1标题 2节标题 1.1H2节标题 1.1 Char第一层条H21 + 段前: 2.4 磅..."/>
    <w:basedOn w:val="4"/>
    <w:autoRedefine/>
    <w:qFormat/>
    <w:uiPriority w:val="0"/>
    <w:pPr>
      <w:widowControl/>
      <w:numPr>
        <w:ilvl w:val="0"/>
        <w:numId w:val="0"/>
      </w:numPr>
      <w:tabs>
        <w:tab w:val="left" w:pos="927"/>
        <w:tab w:val="left" w:pos="1134"/>
      </w:tabs>
      <w:adjustRightInd/>
      <w:spacing w:before="260" w:after="260" w:line="420" w:lineRule="atLeast"/>
      <w:jc w:val="left"/>
    </w:pPr>
    <w:rPr>
      <w:rFonts w:ascii="宋体" w:eastAsia="黑体" w:cs="宋体"/>
      <w:b w:val="0"/>
      <w:bCs w:val="0"/>
      <w:spacing w:val="-10"/>
      <w:kern w:val="28"/>
      <w:sz w:val="30"/>
      <w:szCs w:val="20"/>
      <w:lang w:val="en-US"/>
    </w:rPr>
  </w:style>
  <w:style w:type="character" w:customStyle="1" w:styleId="3867">
    <w:name w:val="样式 标题 2节H2节标题 1.1 + (西文) Times New Roman (中文) 宋体 段前: 6 磅 段... Char Char"/>
    <w:link w:val="3868"/>
    <w:autoRedefine/>
    <w:qFormat/>
    <w:locked/>
    <w:uiPriority w:val="0"/>
    <w:rPr>
      <w:rFonts w:ascii="宋体" w:hAnsi="宋体"/>
      <w:b/>
      <w:bCs/>
      <w:sz w:val="32"/>
    </w:rPr>
  </w:style>
  <w:style w:type="paragraph" w:customStyle="1" w:styleId="3868">
    <w:name w:val="样式 标题 2节H2节标题 1.1 + (西文) Times New Roman (中文) 宋体 段前: 6 磅 段..."/>
    <w:basedOn w:val="4"/>
    <w:next w:val="1"/>
    <w:link w:val="3867"/>
    <w:autoRedefine/>
    <w:qFormat/>
    <w:uiPriority w:val="0"/>
    <w:pPr>
      <w:numPr>
        <w:ilvl w:val="0"/>
        <w:numId w:val="0"/>
      </w:numPr>
      <w:tabs>
        <w:tab w:val="left" w:pos="927"/>
        <w:tab w:val="left" w:pos="1134"/>
      </w:tabs>
      <w:adjustRightInd/>
      <w:snapToGrid/>
      <w:spacing w:before="260" w:after="260" w:line="500" w:lineRule="exact"/>
    </w:pPr>
    <w:rPr>
      <w:rFonts w:ascii="宋体" w:hAnsi="宋体"/>
      <w:kern w:val="0"/>
      <w:sz w:val="32"/>
      <w:szCs w:val="20"/>
      <w:lang w:val="en-US"/>
    </w:rPr>
  </w:style>
  <w:style w:type="paragraph" w:customStyle="1" w:styleId="3869">
    <w:name w:val="reader-word-layer reader-word-s1-17"/>
    <w:basedOn w:val="1"/>
    <w:autoRedefine/>
    <w:qFormat/>
    <w:uiPriority w:val="0"/>
    <w:pPr>
      <w:widowControl/>
      <w:adjustRightInd/>
      <w:snapToGrid/>
      <w:spacing w:beforeAutospacing="1" w:afterAutospacing="1" w:line="240" w:lineRule="auto"/>
      <w:ind w:firstLine="0" w:firstLineChars="0"/>
      <w:jc w:val="left"/>
    </w:pPr>
    <w:rPr>
      <w:rFonts w:ascii="宋体" w:hAnsi="宋体" w:cs="宋体"/>
      <w:kern w:val="0"/>
      <w:szCs w:val="24"/>
    </w:rPr>
  </w:style>
  <w:style w:type="paragraph" w:customStyle="1" w:styleId="3870">
    <w:name w:val="reader-word-layer reader-word-s1-18"/>
    <w:basedOn w:val="1"/>
    <w:autoRedefine/>
    <w:qFormat/>
    <w:uiPriority w:val="0"/>
    <w:pPr>
      <w:widowControl/>
      <w:adjustRightInd/>
      <w:snapToGrid/>
      <w:spacing w:beforeAutospacing="1" w:afterAutospacing="1" w:line="240" w:lineRule="auto"/>
      <w:ind w:firstLine="0" w:firstLineChars="0"/>
      <w:jc w:val="left"/>
    </w:pPr>
    <w:rPr>
      <w:rFonts w:ascii="宋体" w:hAnsi="宋体" w:cs="宋体"/>
      <w:kern w:val="0"/>
      <w:szCs w:val="24"/>
    </w:rPr>
  </w:style>
  <w:style w:type="paragraph" w:customStyle="1" w:styleId="3871">
    <w:name w:val="reader-word-layer reader-word-s1-14"/>
    <w:basedOn w:val="1"/>
    <w:autoRedefine/>
    <w:qFormat/>
    <w:uiPriority w:val="0"/>
    <w:pPr>
      <w:widowControl/>
      <w:adjustRightInd/>
      <w:snapToGrid/>
      <w:spacing w:beforeAutospacing="1" w:afterAutospacing="1" w:line="240" w:lineRule="auto"/>
      <w:ind w:firstLine="0" w:firstLineChars="0"/>
      <w:jc w:val="left"/>
    </w:pPr>
    <w:rPr>
      <w:rFonts w:ascii="宋体" w:hAnsi="宋体" w:cs="宋体"/>
      <w:kern w:val="0"/>
      <w:szCs w:val="24"/>
    </w:rPr>
  </w:style>
  <w:style w:type="paragraph" w:customStyle="1" w:styleId="3872">
    <w:name w:val="reader-word-layer reader-word-s1-15"/>
    <w:basedOn w:val="1"/>
    <w:autoRedefine/>
    <w:qFormat/>
    <w:uiPriority w:val="0"/>
    <w:pPr>
      <w:widowControl/>
      <w:adjustRightInd/>
      <w:snapToGrid/>
      <w:spacing w:beforeAutospacing="1" w:afterAutospacing="1" w:line="240" w:lineRule="auto"/>
      <w:ind w:firstLine="0" w:firstLineChars="0"/>
      <w:jc w:val="left"/>
    </w:pPr>
    <w:rPr>
      <w:rFonts w:ascii="宋体" w:hAnsi="宋体" w:cs="宋体"/>
      <w:kern w:val="0"/>
      <w:szCs w:val="24"/>
    </w:rPr>
  </w:style>
  <w:style w:type="paragraph" w:customStyle="1" w:styleId="3873">
    <w:name w:val="reader-word-layer reader-word-s1-7 reader-word-s1-15"/>
    <w:basedOn w:val="1"/>
    <w:autoRedefine/>
    <w:qFormat/>
    <w:uiPriority w:val="0"/>
    <w:pPr>
      <w:widowControl/>
      <w:adjustRightInd/>
      <w:snapToGrid/>
      <w:spacing w:beforeAutospacing="1" w:afterAutospacing="1" w:line="240" w:lineRule="auto"/>
      <w:ind w:firstLine="0" w:firstLineChars="0"/>
      <w:jc w:val="left"/>
    </w:pPr>
    <w:rPr>
      <w:rFonts w:ascii="宋体" w:hAnsi="宋体" w:cs="宋体"/>
      <w:kern w:val="0"/>
      <w:szCs w:val="24"/>
    </w:rPr>
  </w:style>
  <w:style w:type="paragraph" w:customStyle="1" w:styleId="3874">
    <w:name w:val="_Style 632"/>
    <w:basedOn w:val="1"/>
    <w:autoRedefine/>
    <w:qFormat/>
    <w:uiPriority w:val="0"/>
    <w:pPr>
      <w:spacing w:line="360" w:lineRule="auto"/>
    </w:pPr>
    <w:rPr>
      <w:sz w:val="21"/>
      <w:szCs w:val="24"/>
    </w:rPr>
  </w:style>
  <w:style w:type="paragraph" w:customStyle="1" w:styleId="3875">
    <w:name w:val="reader-word-layer reader-word-s6-1"/>
    <w:basedOn w:val="1"/>
    <w:autoRedefine/>
    <w:qFormat/>
    <w:uiPriority w:val="0"/>
    <w:pPr>
      <w:widowControl/>
      <w:adjustRightInd/>
      <w:snapToGrid/>
      <w:spacing w:beforeAutospacing="1" w:afterAutospacing="1" w:line="240" w:lineRule="auto"/>
      <w:ind w:firstLine="0" w:firstLineChars="0"/>
      <w:jc w:val="left"/>
    </w:pPr>
    <w:rPr>
      <w:rFonts w:ascii="宋体" w:hAnsi="宋体" w:cs="宋体"/>
      <w:kern w:val="0"/>
      <w:szCs w:val="24"/>
    </w:rPr>
  </w:style>
  <w:style w:type="character" w:customStyle="1" w:styleId="3876">
    <w:name w:val="样式 行距: 多倍行距 1.3 字行 Char"/>
    <w:link w:val="3877"/>
    <w:autoRedefine/>
    <w:qFormat/>
    <w:locked/>
    <w:uiPriority w:val="0"/>
    <w:rPr>
      <w:rFonts w:ascii="仿宋_GB2312" w:eastAsia="仿宋_GB2312"/>
      <w:sz w:val="24"/>
      <w:szCs w:val="24"/>
    </w:rPr>
  </w:style>
  <w:style w:type="paragraph" w:customStyle="1" w:styleId="3877">
    <w:name w:val="样式 行距: 多倍行距 1.3 字行"/>
    <w:basedOn w:val="1"/>
    <w:link w:val="3876"/>
    <w:autoRedefine/>
    <w:qFormat/>
    <w:uiPriority w:val="0"/>
    <w:pPr>
      <w:adjustRightInd/>
      <w:snapToGrid/>
      <w:spacing w:line="360" w:lineRule="auto"/>
      <w:ind w:firstLine="480"/>
    </w:pPr>
    <w:rPr>
      <w:rFonts w:ascii="仿宋_GB2312" w:eastAsia="仿宋_GB2312"/>
      <w:kern w:val="0"/>
      <w:szCs w:val="24"/>
    </w:rPr>
  </w:style>
  <w:style w:type="character" w:customStyle="1" w:styleId="3878">
    <w:name w:val="dxj正文 Char"/>
    <w:link w:val="3879"/>
    <w:autoRedefine/>
    <w:qFormat/>
    <w:locked/>
    <w:uiPriority w:val="0"/>
    <w:rPr>
      <w:rFonts w:eastAsia="Times New Roman"/>
      <w:snapToGrid w:val="0"/>
      <w:sz w:val="24"/>
      <w:szCs w:val="24"/>
    </w:rPr>
  </w:style>
  <w:style w:type="paragraph" w:customStyle="1" w:styleId="3879">
    <w:name w:val="dxj正文"/>
    <w:link w:val="3878"/>
    <w:autoRedefine/>
    <w:qFormat/>
    <w:uiPriority w:val="0"/>
    <w:pPr>
      <w:snapToGrid w:val="0"/>
      <w:ind w:firstLine="200"/>
    </w:pPr>
    <w:rPr>
      <w:rFonts w:ascii="Times New Roman" w:hAnsi="Times New Roman" w:eastAsia="Times New Roman" w:cs="Times New Roman"/>
      <w:snapToGrid w:val="0"/>
      <w:sz w:val="24"/>
      <w:szCs w:val="24"/>
      <w:lang w:val="en-US" w:eastAsia="zh-CN" w:bidi="ar-SA"/>
    </w:rPr>
  </w:style>
  <w:style w:type="character" w:customStyle="1" w:styleId="3880">
    <w:name w:val="核查报告正文 Char Char"/>
    <w:link w:val="3881"/>
    <w:autoRedefine/>
    <w:qFormat/>
    <w:locked/>
    <w:uiPriority w:val="0"/>
    <w:rPr>
      <w:rFonts w:ascii="Arial" w:hAnsi="Arial" w:eastAsia="楷体_GB2312"/>
      <w:sz w:val="24"/>
      <w:szCs w:val="52"/>
    </w:rPr>
  </w:style>
  <w:style w:type="paragraph" w:customStyle="1" w:styleId="3881">
    <w:name w:val="核查报告正文 Char"/>
    <w:link w:val="3880"/>
    <w:autoRedefine/>
    <w:qFormat/>
    <w:uiPriority w:val="0"/>
    <w:pPr>
      <w:spacing w:line="440" w:lineRule="exact"/>
      <w:ind w:firstLine="200" w:firstLineChars="200"/>
    </w:pPr>
    <w:rPr>
      <w:rFonts w:ascii="Arial" w:hAnsi="Arial" w:eastAsia="楷体_GB2312" w:cs="Times New Roman"/>
      <w:sz w:val="24"/>
      <w:szCs w:val="52"/>
      <w:lang w:val="en-US" w:eastAsia="zh-CN" w:bidi="ar-SA"/>
    </w:rPr>
  </w:style>
  <w:style w:type="character" w:customStyle="1" w:styleId="3882">
    <w:name w:val="正文段落（宋旭峰） Char"/>
    <w:link w:val="3883"/>
    <w:autoRedefine/>
    <w:qFormat/>
    <w:locked/>
    <w:uiPriority w:val="0"/>
    <w:rPr>
      <w:rFonts w:ascii="宋体" w:hAnsi="宋体"/>
      <w:snapToGrid w:val="0"/>
      <w:color w:val="000000"/>
      <w:sz w:val="24"/>
      <w:szCs w:val="24"/>
    </w:rPr>
  </w:style>
  <w:style w:type="paragraph" w:customStyle="1" w:styleId="3883">
    <w:name w:val="正文段落（宋旭峰）"/>
    <w:basedOn w:val="1"/>
    <w:link w:val="3882"/>
    <w:autoRedefine/>
    <w:qFormat/>
    <w:uiPriority w:val="0"/>
    <w:pPr>
      <w:adjustRightInd/>
      <w:spacing w:line="360" w:lineRule="auto"/>
      <w:ind w:firstLine="480"/>
    </w:pPr>
    <w:rPr>
      <w:rFonts w:ascii="宋体" w:hAnsi="宋体"/>
      <w:snapToGrid w:val="0"/>
      <w:color w:val="000000"/>
      <w:kern w:val="0"/>
      <w:szCs w:val="24"/>
    </w:rPr>
  </w:style>
  <w:style w:type="character" w:customStyle="1" w:styleId="3884">
    <w:name w:val="正文段落 Char"/>
    <w:autoRedefine/>
    <w:qFormat/>
    <w:locked/>
    <w:uiPriority w:val="0"/>
    <w:rPr>
      <w:rFonts w:ascii="宋体" w:hAnsi="宋体" w:eastAsia="宋体" w:cs="Times New Roman"/>
      <w:sz w:val="24"/>
      <w:szCs w:val="20"/>
    </w:rPr>
  </w:style>
  <w:style w:type="paragraph" w:customStyle="1" w:styleId="3885">
    <w:name w:val="Char Char Char3 Char Char Char Char"/>
    <w:basedOn w:val="1"/>
    <w:next w:val="1"/>
    <w:autoRedefine/>
    <w:qFormat/>
    <w:uiPriority w:val="0"/>
    <w:pPr>
      <w:adjustRightInd/>
      <w:snapToGrid/>
      <w:spacing w:line="360" w:lineRule="auto"/>
    </w:pPr>
    <w:rPr>
      <w:rFonts w:ascii="宋体" w:hAnsi="宋体" w:cs="宋体"/>
      <w:szCs w:val="24"/>
    </w:rPr>
  </w:style>
  <w:style w:type="paragraph" w:customStyle="1" w:styleId="3886">
    <w:name w:val="Char Char1 Char Char1 Char Char Char Char"/>
    <w:basedOn w:val="1"/>
    <w:autoRedefine/>
    <w:qFormat/>
    <w:uiPriority w:val="0"/>
    <w:pPr>
      <w:adjustRightInd/>
      <w:snapToGrid/>
      <w:spacing w:line="240" w:lineRule="auto"/>
      <w:ind w:firstLine="0" w:firstLineChars="0"/>
    </w:pPr>
    <w:rPr>
      <w:rFonts w:ascii="Tahoma" w:hAnsi="Tahoma"/>
    </w:rPr>
  </w:style>
  <w:style w:type="paragraph" w:customStyle="1" w:styleId="3887">
    <w:name w:val="Char Char3 Char Char Char Char Char Char Char"/>
    <w:basedOn w:val="1"/>
    <w:autoRedefine/>
    <w:qFormat/>
    <w:uiPriority w:val="0"/>
    <w:pPr>
      <w:widowControl/>
      <w:adjustRightInd/>
      <w:snapToGrid/>
      <w:spacing w:line="240" w:lineRule="exact"/>
      <w:ind w:firstLine="0" w:firstLineChars="0"/>
      <w:jc w:val="left"/>
    </w:pPr>
    <w:rPr>
      <w:rFonts w:ascii="Verdana" w:hAnsi="Verdana"/>
      <w:kern w:val="0"/>
      <w:sz w:val="20"/>
      <w:lang w:eastAsia="en-US"/>
    </w:rPr>
  </w:style>
  <w:style w:type="paragraph" w:customStyle="1" w:styleId="3888">
    <w:name w:val="dxj表内容"/>
    <w:basedOn w:val="178"/>
    <w:autoRedefine/>
    <w:qFormat/>
    <w:uiPriority w:val="0"/>
    <w:pPr>
      <w:adjustRightInd/>
      <w:snapToGrid/>
      <w:spacing w:line="280" w:lineRule="exact"/>
      <w:textAlignment w:val="auto"/>
    </w:pPr>
    <w:rPr>
      <w:rFonts w:eastAsia="Times New Roman"/>
      <w:sz w:val="18"/>
      <w:szCs w:val="24"/>
    </w:rPr>
  </w:style>
  <w:style w:type="paragraph" w:customStyle="1" w:styleId="3889">
    <w:name w:val="profile"/>
    <w:basedOn w:val="1"/>
    <w:autoRedefine/>
    <w:qFormat/>
    <w:uiPriority w:val="0"/>
    <w:pPr>
      <w:widowControl/>
      <w:adjustRightInd/>
      <w:snapToGrid/>
      <w:spacing w:beforeAutospacing="1" w:afterAutospacing="1" w:line="384" w:lineRule="auto"/>
      <w:ind w:firstLine="0" w:firstLineChars="0"/>
    </w:pPr>
    <w:rPr>
      <w:rFonts w:ascii="宋体" w:hAnsi="宋体"/>
      <w:kern w:val="0"/>
      <w:sz w:val="21"/>
      <w:szCs w:val="21"/>
    </w:rPr>
  </w:style>
  <w:style w:type="paragraph" w:customStyle="1" w:styleId="3890">
    <w:name w:val="dxj标题2"/>
    <w:basedOn w:val="4"/>
    <w:autoRedefine/>
    <w:qFormat/>
    <w:uiPriority w:val="0"/>
    <w:pPr>
      <w:numPr>
        <w:ilvl w:val="0"/>
        <w:numId w:val="0"/>
      </w:numPr>
      <w:tabs>
        <w:tab w:val="left" w:pos="927"/>
        <w:tab w:val="left" w:pos="1134"/>
      </w:tabs>
      <w:spacing w:beforeLines="50" w:after="260" w:line="360" w:lineRule="auto"/>
    </w:pPr>
    <w:rPr>
      <w:rFonts w:eastAsia="黑体"/>
      <w:b w:val="0"/>
      <w:bCs w:val="0"/>
      <w:color w:val="000000"/>
      <w:kern w:val="0"/>
      <w:sz w:val="28"/>
      <w:szCs w:val="30"/>
      <w:lang w:val="en-US"/>
    </w:rPr>
  </w:style>
  <w:style w:type="paragraph" w:customStyle="1" w:styleId="3891">
    <w:name w:val="dxj表头"/>
    <w:basedOn w:val="1"/>
    <w:autoRedefine/>
    <w:qFormat/>
    <w:uiPriority w:val="0"/>
    <w:pPr>
      <w:spacing w:line="360" w:lineRule="auto"/>
      <w:ind w:firstLine="0" w:firstLineChars="0"/>
      <w:jc w:val="center"/>
    </w:pPr>
    <w:rPr>
      <w:rFonts w:eastAsia="黑体" w:cs="宋体"/>
      <w:sz w:val="21"/>
      <w:szCs w:val="24"/>
    </w:rPr>
  </w:style>
  <w:style w:type="paragraph" w:customStyle="1" w:styleId="3892">
    <w:name w:val="样式 样式9 + 段前: 0.5 行 段后: 0.5 行"/>
    <w:basedOn w:val="842"/>
    <w:autoRedefine/>
    <w:qFormat/>
    <w:uiPriority w:val="0"/>
    <w:pPr>
      <w:keepNext/>
      <w:keepLines/>
      <w:widowControl w:val="0"/>
      <w:tabs>
        <w:tab w:val="left" w:pos="0"/>
      </w:tabs>
      <w:adjustRightInd/>
      <w:snapToGrid/>
      <w:spacing w:afterLines="50"/>
      <w:ind w:firstLine="0" w:firstLineChars="0"/>
      <w:jc w:val="both"/>
      <w:outlineLvl w:val="1"/>
    </w:pPr>
    <w:rPr>
      <w:rFonts w:ascii="Arial" w:hAnsi="Arial"/>
      <w:b w:val="0"/>
      <w:spacing w:val="6"/>
      <w:sz w:val="28"/>
      <w:szCs w:val="20"/>
      <w:lang w:val="en-US"/>
    </w:rPr>
  </w:style>
  <w:style w:type="paragraph" w:customStyle="1" w:styleId="3893">
    <w:name w:val="样式 样式18 + 红色 行距: 固定值 26 磅"/>
    <w:basedOn w:val="1339"/>
    <w:autoRedefine/>
    <w:qFormat/>
    <w:uiPriority w:val="0"/>
    <w:pPr>
      <w:keepNext/>
      <w:keepLines/>
      <w:widowControl w:val="0"/>
      <w:tabs>
        <w:tab w:val="clear" w:pos="2265"/>
      </w:tabs>
      <w:overflowPunct w:val="0"/>
      <w:topLinePunct/>
      <w:autoSpaceDE w:val="0"/>
      <w:autoSpaceDN w:val="0"/>
      <w:adjustRightInd w:val="0"/>
      <w:snapToGrid w:val="0"/>
      <w:spacing w:before="0" w:beforeAutospacing="0" w:after="0" w:afterAutospacing="0" w:line="520" w:lineRule="exact"/>
      <w:ind w:left="1800" w:firstLine="0" w:firstLineChars="0"/>
      <w:jc w:val="left"/>
      <w:outlineLvl w:val="3"/>
    </w:pPr>
    <w:rPr>
      <w:rFonts w:ascii="Times New Roman" w:cs="Times New Roman"/>
      <w:color w:val="FF0000"/>
      <w:szCs w:val="20"/>
    </w:rPr>
  </w:style>
  <w:style w:type="paragraph" w:customStyle="1" w:styleId="3894">
    <w:name w:val="样式 样式13 + 右侧:  1 字符"/>
    <w:basedOn w:val="1225"/>
    <w:autoRedefine/>
    <w:qFormat/>
    <w:uiPriority w:val="0"/>
    <w:pPr>
      <w:widowControl w:val="0"/>
      <w:tabs>
        <w:tab w:val="left" w:pos="560"/>
        <w:tab w:val="left" w:pos="927"/>
        <w:tab w:val="left" w:pos="1440"/>
      </w:tabs>
      <w:overflowPunct w:val="0"/>
      <w:topLinePunct/>
      <w:autoSpaceDE w:val="0"/>
      <w:autoSpaceDN w:val="0"/>
      <w:spacing w:beforeLines="0" w:afterLines="0"/>
      <w:ind w:firstLine="0" w:firstLineChars="0"/>
      <w:jc w:val="left"/>
      <w:outlineLvl w:val="3"/>
    </w:pPr>
    <w:rPr>
      <w:rFonts w:ascii="Times New Roman" w:hAnsi="宋体" w:eastAsia="宋体"/>
      <w:b w:val="0"/>
      <w:bCs w:val="0"/>
      <w:snapToGrid/>
      <w:sz w:val="24"/>
      <w:szCs w:val="20"/>
    </w:rPr>
  </w:style>
  <w:style w:type="paragraph" w:customStyle="1" w:styleId="3895">
    <w:name w:val="29"/>
    <w:basedOn w:val="1"/>
    <w:autoRedefine/>
    <w:qFormat/>
    <w:uiPriority w:val="0"/>
    <w:pPr>
      <w:widowControl/>
      <w:adjustRightInd/>
      <w:snapToGrid/>
      <w:spacing w:beforeAutospacing="1" w:afterAutospacing="1" w:line="240" w:lineRule="auto"/>
      <w:ind w:firstLine="0" w:firstLineChars="0"/>
      <w:jc w:val="left"/>
    </w:pPr>
    <w:rPr>
      <w:rFonts w:ascii="宋体" w:hAnsi="宋体"/>
      <w:kern w:val="0"/>
    </w:rPr>
  </w:style>
  <w:style w:type="character" w:customStyle="1" w:styleId="3896">
    <w:name w:val="保定正文 Char"/>
    <w:link w:val="3897"/>
    <w:autoRedefine/>
    <w:qFormat/>
    <w:locked/>
    <w:uiPriority w:val="0"/>
    <w:rPr>
      <w:rFonts w:ascii="宋体" w:hAnsi="宋体"/>
      <w:snapToGrid w:val="0"/>
    </w:rPr>
  </w:style>
  <w:style w:type="paragraph" w:customStyle="1" w:styleId="3897">
    <w:name w:val="保定正文"/>
    <w:basedOn w:val="1"/>
    <w:link w:val="3896"/>
    <w:autoRedefine/>
    <w:qFormat/>
    <w:uiPriority w:val="0"/>
    <w:pPr>
      <w:adjustRightInd/>
      <w:spacing w:line="360" w:lineRule="auto"/>
    </w:pPr>
    <w:rPr>
      <w:rFonts w:ascii="宋体" w:hAnsi="宋体"/>
      <w:snapToGrid w:val="0"/>
      <w:kern w:val="0"/>
      <w:sz w:val="20"/>
    </w:rPr>
  </w:style>
  <w:style w:type="paragraph" w:customStyle="1" w:styleId="3898">
    <w:name w:val="样式 小四 行距: 1.5 倍行距1"/>
    <w:basedOn w:val="1"/>
    <w:autoRedefine/>
    <w:qFormat/>
    <w:uiPriority w:val="0"/>
    <w:pPr>
      <w:widowControl/>
      <w:adjustRightInd/>
      <w:snapToGrid/>
      <w:spacing w:line="360" w:lineRule="auto"/>
      <w:ind w:firstLine="480"/>
      <w:jc w:val="left"/>
    </w:pPr>
    <w:rPr>
      <w:rFonts w:cs="宋体"/>
      <w:szCs w:val="24"/>
    </w:rPr>
  </w:style>
  <w:style w:type="character" w:customStyle="1" w:styleId="3899">
    <w:name w:val="3级标题 Char"/>
    <w:autoRedefine/>
    <w:qFormat/>
    <w:locked/>
    <w:uiPriority w:val="0"/>
    <w:rPr>
      <w:rFonts w:ascii="宋体" w:hAnsi="宋体"/>
      <w:bCs/>
      <w:kern w:val="2"/>
      <w:sz w:val="25"/>
      <w:szCs w:val="25"/>
      <w:lang w:bidi="ar-SA"/>
    </w:rPr>
  </w:style>
  <w:style w:type="character" w:customStyle="1" w:styleId="3900">
    <w:name w:val="2级标题 Char"/>
    <w:autoRedefine/>
    <w:qFormat/>
    <w:locked/>
    <w:uiPriority w:val="0"/>
    <w:rPr>
      <w:rFonts w:ascii="黑体" w:hAnsi="宋体" w:eastAsia="黑体"/>
      <w:bCs/>
      <w:spacing w:val="5"/>
      <w:kern w:val="2"/>
      <w:sz w:val="25"/>
      <w:szCs w:val="25"/>
      <w:lang w:bidi="ar-SA"/>
    </w:rPr>
  </w:style>
  <w:style w:type="character" w:customStyle="1" w:styleId="3901">
    <w:name w:val="众联表头 Char"/>
    <w:link w:val="3902"/>
    <w:autoRedefine/>
    <w:qFormat/>
    <w:locked/>
    <w:uiPriority w:val="0"/>
    <w:rPr>
      <w:rFonts w:ascii="宋体" w:hAnsi="宋体"/>
      <w:spacing w:val="5"/>
      <w:sz w:val="25"/>
      <w:szCs w:val="25"/>
    </w:rPr>
  </w:style>
  <w:style w:type="paragraph" w:customStyle="1" w:styleId="3902">
    <w:name w:val="众联表头"/>
    <w:basedOn w:val="1"/>
    <w:link w:val="3901"/>
    <w:autoRedefine/>
    <w:qFormat/>
    <w:uiPriority w:val="0"/>
    <w:pPr>
      <w:adjustRightInd/>
      <w:snapToGrid/>
      <w:spacing w:line="460" w:lineRule="exact"/>
      <w:ind w:firstLine="520"/>
    </w:pPr>
    <w:rPr>
      <w:rFonts w:ascii="宋体" w:hAnsi="宋体"/>
      <w:spacing w:val="5"/>
      <w:kern w:val="0"/>
      <w:sz w:val="25"/>
      <w:szCs w:val="25"/>
    </w:rPr>
  </w:style>
  <w:style w:type="paragraph" w:customStyle="1" w:styleId="3903">
    <w:name w:val="样式 标题 4"/>
    <w:basedOn w:val="6"/>
    <w:autoRedefine/>
    <w:qFormat/>
    <w:uiPriority w:val="0"/>
    <w:pPr>
      <w:numPr>
        <w:ilvl w:val="0"/>
        <w:numId w:val="0"/>
      </w:numPr>
      <w:tabs>
        <w:tab w:val="left" w:pos="1134"/>
        <w:tab w:val="left" w:pos="1630"/>
      </w:tabs>
      <w:adjustRightInd/>
      <w:snapToGrid/>
      <w:spacing w:before="280" w:after="290"/>
    </w:pPr>
    <w:rPr>
      <w:rFonts w:ascii="宋体" w:hAnsi="宋体" w:cs="Arial"/>
      <w:color w:val="008000"/>
      <w:spacing w:val="-10"/>
      <w:kern w:val="0"/>
      <w:szCs w:val="24"/>
      <w:lang w:val="en-US"/>
    </w:rPr>
  </w:style>
  <w:style w:type="paragraph" w:customStyle="1" w:styleId="3904">
    <w:name w:val="标题111"/>
    <w:basedOn w:val="1"/>
    <w:autoRedefine/>
    <w:qFormat/>
    <w:uiPriority w:val="0"/>
    <w:pPr>
      <w:adjustRightInd/>
      <w:snapToGrid/>
      <w:ind w:firstLine="0" w:firstLineChars="0"/>
    </w:pPr>
    <w:rPr>
      <w:rFonts w:ascii="Calibri" w:hAnsi="Calibri"/>
      <w:b/>
      <w:szCs w:val="24"/>
    </w:rPr>
  </w:style>
  <w:style w:type="paragraph" w:customStyle="1" w:styleId="3905">
    <w:name w:val="燕山正文"/>
    <w:basedOn w:val="1"/>
    <w:autoRedefine/>
    <w:qFormat/>
    <w:uiPriority w:val="0"/>
    <w:pPr>
      <w:tabs>
        <w:tab w:val="left" w:pos="4680"/>
      </w:tabs>
      <w:spacing w:line="360" w:lineRule="auto"/>
      <w:ind w:firstLine="480"/>
    </w:pPr>
    <w:rPr>
      <w:rFonts w:hAnsi="宋体"/>
      <w:szCs w:val="24"/>
    </w:rPr>
  </w:style>
  <w:style w:type="paragraph" w:customStyle="1" w:styleId="3906">
    <w:name w:val="样式 行距: 固定值 25 磅"/>
    <w:autoRedefine/>
    <w:qFormat/>
    <w:uiPriority w:val="0"/>
    <w:pPr>
      <w:spacing w:line="360" w:lineRule="auto"/>
      <w:ind w:firstLine="560" w:firstLineChars="200"/>
    </w:pPr>
    <w:rPr>
      <w:rFonts w:ascii="Times New Roman" w:hAnsi="Times New Roman" w:eastAsia="宋体" w:cs="Times New Roman"/>
      <w:szCs w:val="28"/>
      <w:lang w:val="en-US" w:eastAsia="zh-CN" w:bidi="ar-SA"/>
    </w:rPr>
  </w:style>
  <w:style w:type="paragraph" w:customStyle="1" w:styleId="3907">
    <w:name w:val="样式 标题 3三级标题标题3H3h33rd level第二层条ReHead 3 WSA标题03三级标题 3..."/>
    <w:basedOn w:val="5"/>
    <w:autoRedefine/>
    <w:qFormat/>
    <w:uiPriority w:val="0"/>
    <w:pPr>
      <w:numPr>
        <w:ilvl w:val="0"/>
        <w:numId w:val="0"/>
      </w:numPr>
      <w:tabs>
        <w:tab w:val="left" w:pos="1134"/>
        <w:tab w:val="left" w:pos="1256"/>
      </w:tabs>
      <w:adjustRightInd/>
      <w:snapToGrid/>
      <w:spacing w:before="260" w:after="260" w:line="360" w:lineRule="auto"/>
      <w:jc w:val="left"/>
    </w:pPr>
    <w:rPr>
      <w:rFonts w:ascii="黑体" w:eastAsia="黑体" w:cs="宋体"/>
      <w:kern w:val="0"/>
      <w:sz w:val="28"/>
      <w:szCs w:val="28"/>
      <w:lang w:val="en-US"/>
    </w:rPr>
  </w:style>
  <w:style w:type="character" w:customStyle="1" w:styleId="3908">
    <w:name w:val="正文首行缩进 Char2 Char"/>
    <w:autoRedefine/>
    <w:qFormat/>
    <w:locked/>
    <w:uiPriority w:val="0"/>
    <w:rPr>
      <w:rFonts w:ascii="Times New Roman" w:hAnsi="Times New Roman" w:eastAsia="宋体" w:cs="Times New Roman"/>
      <w:kern w:val="0"/>
      <w:sz w:val="28"/>
      <w:szCs w:val="24"/>
    </w:rPr>
  </w:style>
  <w:style w:type="paragraph" w:customStyle="1" w:styleId="3909">
    <w:name w:val="副标题2"/>
    <w:basedOn w:val="4"/>
    <w:autoRedefine/>
    <w:qFormat/>
    <w:uiPriority w:val="0"/>
    <w:pPr>
      <w:numPr>
        <w:ilvl w:val="0"/>
        <w:numId w:val="0"/>
      </w:numPr>
      <w:tabs>
        <w:tab w:val="left" w:pos="780"/>
        <w:tab w:val="left" w:pos="1680"/>
      </w:tabs>
      <w:adjustRightInd/>
      <w:snapToGrid/>
      <w:spacing w:before="260" w:after="260" w:line="360" w:lineRule="auto"/>
      <w:ind w:left="200" w:leftChars="200" w:hanging="360" w:hangingChars="200"/>
      <w:jc w:val="center"/>
    </w:pPr>
    <w:rPr>
      <w:rFonts w:ascii="Arial" w:hAnsi="Arial" w:eastAsia="黑体" w:cs="宋体"/>
      <w:kern w:val="0"/>
      <w:sz w:val="30"/>
      <w:szCs w:val="20"/>
      <w:lang w:val="en-US"/>
    </w:rPr>
  </w:style>
  <w:style w:type="paragraph" w:customStyle="1" w:styleId="3910">
    <w:name w:val="样式 正文 +1"/>
    <w:basedOn w:val="1"/>
    <w:autoRedefine/>
    <w:qFormat/>
    <w:uiPriority w:val="0"/>
    <w:pPr>
      <w:adjustRightInd/>
      <w:snapToGrid/>
      <w:spacing w:line="360" w:lineRule="auto"/>
      <w:jc w:val="left"/>
    </w:pPr>
    <w:rPr>
      <w:rFonts w:cs="宋体"/>
    </w:rPr>
  </w:style>
  <w:style w:type="paragraph" w:customStyle="1" w:styleId="3911">
    <w:name w:val="reader-word-layer reader-word-s1-1"/>
    <w:basedOn w:val="1"/>
    <w:autoRedefine/>
    <w:qFormat/>
    <w:uiPriority w:val="0"/>
    <w:pPr>
      <w:widowControl/>
      <w:adjustRightInd/>
      <w:snapToGrid/>
      <w:spacing w:beforeAutospacing="1" w:afterAutospacing="1" w:line="240" w:lineRule="auto"/>
      <w:ind w:firstLine="0" w:firstLineChars="0"/>
      <w:jc w:val="left"/>
    </w:pPr>
    <w:rPr>
      <w:rFonts w:ascii="宋体" w:hAnsi="宋体" w:cs="宋体"/>
      <w:kern w:val="0"/>
      <w:szCs w:val="24"/>
    </w:rPr>
  </w:style>
  <w:style w:type="paragraph" w:customStyle="1" w:styleId="3912">
    <w:name w:val="reader-word-layer reader-word-s1-3"/>
    <w:basedOn w:val="1"/>
    <w:autoRedefine/>
    <w:qFormat/>
    <w:uiPriority w:val="0"/>
    <w:pPr>
      <w:widowControl/>
      <w:adjustRightInd/>
      <w:snapToGrid/>
      <w:spacing w:beforeAutospacing="1" w:afterAutospacing="1" w:line="240" w:lineRule="auto"/>
      <w:ind w:firstLine="0" w:firstLineChars="0"/>
      <w:jc w:val="left"/>
    </w:pPr>
    <w:rPr>
      <w:rFonts w:ascii="宋体" w:hAnsi="宋体" w:cs="宋体"/>
      <w:kern w:val="0"/>
      <w:szCs w:val="24"/>
    </w:rPr>
  </w:style>
  <w:style w:type="paragraph" w:customStyle="1" w:styleId="3913">
    <w:name w:val="Char1 Char Char Char12"/>
    <w:basedOn w:val="1"/>
    <w:autoRedefine/>
    <w:qFormat/>
    <w:uiPriority w:val="0"/>
    <w:pPr>
      <w:adjustRightInd/>
      <w:snapToGrid/>
      <w:spacing w:line="240" w:lineRule="auto"/>
      <w:ind w:firstLine="0" w:firstLineChars="0"/>
    </w:pPr>
    <w:rPr>
      <w:sz w:val="21"/>
      <w:szCs w:val="24"/>
    </w:rPr>
  </w:style>
  <w:style w:type="paragraph" w:customStyle="1" w:styleId="3914">
    <w:name w:val="题注3"/>
    <w:basedOn w:val="1"/>
    <w:autoRedefine/>
    <w:qFormat/>
    <w:uiPriority w:val="0"/>
    <w:pPr>
      <w:widowControl/>
      <w:adjustRightInd/>
      <w:snapToGrid/>
      <w:spacing w:beforeAutospacing="1" w:line="240" w:lineRule="auto"/>
      <w:ind w:firstLine="0" w:firstLineChars="0"/>
      <w:jc w:val="left"/>
    </w:pPr>
    <w:rPr>
      <w:rFonts w:ascii="Arial" w:hAnsi="Arial" w:cs="Arial"/>
      <w:b/>
      <w:bCs/>
      <w:kern w:val="0"/>
      <w:sz w:val="14"/>
      <w:szCs w:val="14"/>
    </w:rPr>
  </w:style>
  <w:style w:type="paragraph" w:customStyle="1" w:styleId="3915">
    <w:name w:val="页脚3"/>
    <w:basedOn w:val="1"/>
    <w:autoRedefine/>
    <w:qFormat/>
    <w:uiPriority w:val="0"/>
    <w:pPr>
      <w:widowControl/>
      <w:adjustRightInd/>
      <w:snapToGrid/>
      <w:spacing w:beforeAutospacing="1" w:afterAutospacing="1" w:line="240" w:lineRule="auto"/>
      <w:ind w:firstLine="0" w:firstLineChars="0"/>
      <w:jc w:val="center"/>
    </w:pPr>
    <w:rPr>
      <w:rFonts w:ascii="Arial" w:hAnsi="Arial" w:cs="Arial"/>
      <w:kern w:val="0"/>
      <w:sz w:val="12"/>
      <w:szCs w:val="12"/>
    </w:rPr>
  </w:style>
  <w:style w:type="paragraph" w:customStyle="1" w:styleId="3916">
    <w:name w:val="Char Char1 Char Char1 Char Char1 Char Char1 Char Char Char Char Char Char Char1"/>
    <w:basedOn w:val="1"/>
    <w:autoRedefine/>
    <w:qFormat/>
    <w:uiPriority w:val="0"/>
    <w:pPr>
      <w:adjustRightInd/>
      <w:snapToGrid/>
      <w:spacing w:line="240" w:lineRule="auto"/>
      <w:ind w:firstLine="0" w:firstLineChars="0"/>
    </w:pPr>
    <w:rPr>
      <w:rFonts w:ascii="Tahoma" w:hAnsi="Tahoma"/>
      <w:szCs w:val="24"/>
    </w:rPr>
  </w:style>
  <w:style w:type="paragraph" w:customStyle="1" w:styleId="3917">
    <w:name w:val="Char Char7 Char Char Char Char Char Char2"/>
    <w:basedOn w:val="5"/>
    <w:autoRedefine/>
    <w:qFormat/>
    <w:uiPriority w:val="0"/>
    <w:pPr>
      <w:numPr>
        <w:ilvl w:val="0"/>
        <w:numId w:val="0"/>
      </w:numPr>
      <w:tabs>
        <w:tab w:val="left" w:pos="360"/>
        <w:tab w:val="left" w:pos="900"/>
      </w:tabs>
      <w:adjustRightInd/>
      <w:spacing w:before="260" w:after="260" w:line="360" w:lineRule="auto"/>
      <w:ind w:left="-12" w:leftChars="-12" w:firstLine="200" w:firstLineChars="200"/>
      <w:jc w:val="left"/>
    </w:pPr>
    <w:rPr>
      <w:rFonts w:eastAsia="黑体"/>
      <w:bCs w:val="0"/>
      <w:kern w:val="0"/>
      <w:sz w:val="28"/>
      <w:szCs w:val="20"/>
      <w:lang w:val="en-US"/>
    </w:rPr>
  </w:style>
  <w:style w:type="paragraph" w:customStyle="1" w:styleId="3918">
    <w:name w:val="Char2 Char Char Char Char Char Char Char1"/>
    <w:basedOn w:val="1"/>
    <w:autoRedefine/>
    <w:qFormat/>
    <w:uiPriority w:val="0"/>
    <w:pPr>
      <w:autoSpaceDE w:val="0"/>
      <w:autoSpaceDN w:val="0"/>
      <w:spacing w:line="360" w:lineRule="auto"/>
      <w:ind w:firstLine="560"/>
    </w:pPr>
    <w:rPr>
      <w:rFonts w:eastAsia="仿宋_GB2312"/>
      <w:color w:val="000000"/>
    </w:rPr>
  </w:style>
  <w:style w:type="paragraph" w:customStyle="1" w:styleId="3919">
    <w:name w:val="Char Char Char1 Char12"/>
    <w:basedOn w:val="1"/>
    <w:autoRedefine/>
    <w:qFormat/>
    <w:uiPriority w:val="0"/>
    <w:pPr>
      <w:spacing w:line="240" w:lineRule="auto"/>
      <w:ind w:left="-45" w:firstLine="0" w:firstLineChars="0"/>
    </w:pPr>
    <w:rPr>
      <w:sz w:val="21"/>
      <w:szCs w:val="24"/>
    </w:rPr>
  </w:style>
  <w:style w:type="table" w:customStyle="1" w:styleId="3920">
    <w:name w:val="表格41"/>
    <w:basedOn w:val="88"/>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921">
    <w:name w:val="样式 (中文) 仿宋_GB2312 四号"/>
    <w:autoRedefine/>
    <w:qFormat/>
    <w:uiPriority w:val="0"/>
    <w:rPr>
      <w:rFonts w:eastAsia="华文新魏"/>
      <w:sz w:val="28"/>
      <w:szCs w:val="28"/>
    </w:rPr>
  </w:style>
  <w:style w:type="character" w:customStyle="1" w:styleId="3922">
    <w:name w:val="未处理的提及3"/>
    <w:basedOn w:val="133"/>
    <w:autoRedefine/>
    <w:semiHidden/>
    <w:unhideWhenUsed/>
    <w:qFormat/>
    <w:uiPriority w:val="99"/>
    <w:rPr>
      <w:color w:val="605E5C"/>
      <w:shd w:val="clear" w:color="auto" w:fill="E1DFDD"/>
    </w:rPr>
  </w:style>
  <w:style w:type="paragraph" w:customStyle="1" w:styleId="3923">
    <w:name w:val="样式 13 磅 行距: 固定值 24 磅1"/>
    <w:basedOn w:val="1"/>
    <w:autoRedefine/>
    <w:qFormat/>
    <w:uiPriority w:val="0"/>
    <w:pPr>
      <w:adjustRightInd/>
      <w:snapToGrid/>
    </w:pPr>
    <w:rPr>
      <w:rFonts w:ascii="仿宋_GB2312" w:hAnsi="宋体" w:eastAsia="仿宋_GB2312" w:cs="宋体"/>
      <w:sz w:val="26"/>
      <w:szCs w:val="26"/>
    </w:rPr>
  </w:style>
  <w:style w:type="paragraph" w:customStyle="1" w:styleId="3924">
    <w:name w:val="样式 正文缩进正文缩进2正文缩进 Char Char正文缩进 Char Char Char Char正文缩进 Char ..."/>
    <w:basedOn w:val="21"/>
    <w:autoRedefine/>
    <w:qFormat/>
    <w:uiPriority w:val="0"/>
    <w:pPr>
      <w:spacing w:line="360" w:lineRule="auto"/>
      <w:ind w:firstLine="200" w:firstLineChars="0"/>
    </w:pPr>
    <w:rPr>
      <w:rFonts w:cs="宋体"/>
      <w:sz w:val="24"/>
      <w:szCs w:val="22"/>
      <w:lang w:val="en-US"/>
    </w:rPr>
  </w:style>
  <w:style w:type="character" w:customStyle="1" w:styleId="3925">
    <w:name w:val="未处理的提及4"/>
    <w:basedOn w:val="133"/>
    <w:autoRedefine/>
    <w:semiHidden/>
    <w:unhideWhenUsed/>
    <w:qFormat/>
    <w:uiPriority w:val="99"/>
    <w:rPr>
      <w:color w:val="605E5C"/>
      <w:shd w:val="clear" w:color="auto" w:fill="E1DFDD"/>
    </w:rPr>
  </w:style>
  <w:style w:type="paragraph" w:customStyle="1" w:styleId="3926">
    <w:name w:val="样式 样式4 + 首行缩进:  2 字符"/>
    <w:basedOn w:val="1"/>
    <w:autoRedefine/>
    <w:qFormat/>
    <w:uiPriority w:val="0"/>
    <w:pPr>
      <w:spacing w:line="440" w:lineRule="exact"/>
      <w:ind w:firstLine="480"/>
    </w:pPr>
    <w:rPr>
      <w:rFonts w:cs="宋体"/>
      <w:kern w:val="0"/>
    </w:rPr>
  </w:style>
  <w:style w:type="paragraph" w:customStyle="1" w:styleId="3927">
    <w:name w:val="Table Text"/>
    <w:basedOn w:val="1"/>
    <w:autoRedefine/>
    <w:semiHidden/>
    <w:qFormat/>
    <w:uiPriority w:val="0"/>
    <w:rPr>
      <w:rFonts w:ascii="宋体" w:hAnsi="宋体" w:cs="宋体"/>
      <w:sz w:val="18"/>
      <w:szCs w:val="18"/>
      <w:lang w:eastAsia="en-US"/>
    </w:rPr>
  </w:style>
  <w:style w:type="paragraph" w:customStyle="1" w:styleId="3928">
    <w:name w:val="正文标题3"/>
    <w:basedOn w:val="5"/>
    <w:autoRedefine/>
    <w:qFormat/>
    <w:uiPriority w:val="0"/>
    <w:pPr>
      <w:jc w:val="left"/>
    </w:pPr>
    <w:rPr>
      <w:rFonts w:ascii="仿宋_GB2312" w:hAnsi="仿宋_GB2312" w:cs="仿宋_GB2312"/>
      <w:sz w:val="28"/>
    </w:rPr>
  </w:style>
  <w:style w:type="paragraph" w:customStyle="1" w:styleId="3929">
    <w:name w:val="表格-HF"/>
    <w:basedOn w:val="3930"/>
    <w:autoRedefine/>
    <w:qFormat/>
    <w:uiPriority w:val="2"/>
    <w:pPr>
      <w:spacing w:line="240" w:lineRule="auto"/>
    </w:pPr>
    <w:rPr>
      <w:b w:val="0"/>
      <w:sz w:val="21"/>
    </w:rPr>
  </w:style>
  <w:style w:type="paragraph" w:customStyle="1" w:styleId="3930">
    <w:name w:val="表题-HF"/>
    <w:basedOn w:val="1"/>
    <w:autoRedefine/>
    <w:qFormat/>
    <w:uiPriority w:val="2"/>
    <w:pPr>
      <w:spacing w:line="348" w:lineRule="auto"/>
      <w:ind w:firstLine="0" w:firstLineChars="0"/>
      <w:jc w:val="center"/>
    </w:pPr>
    <w:rPr>
      <w:b/>
      <w:szCs w:val="21"/>
    </w:rPr>
  </w:style>
  <w:style w:type="paragraph" w:customStyle="1" w:styleId="3931">
    <w:name w:val="正 文"/>
    <w:basedOn w:val="1"/>
    <w:link w:val="3942"/>
    <w:autoRedefine/>
    <w:qFormat/>
    <w:uiPriority w:val="0"/>
  </w:style>
  <w:style w:type="paragraph" w:customStyle="1" w:styleId="3932">
    <w:name w:val="表内文字"/>
    <w:basedOn w:val="1"/>
    <w:autoRedefine/>
    <w:qFormat/>
    <w:uiPriority w:val="0"/>
    <w:pPr>
      <w:jc w:val="center"/>
    </w:pPr>
    <w:rPr>
      <w:rFonts w:cs="宋体"/>
      <w:kern w:val="0"/>
    </w:rPr>
  </w:style>
  <w:style w:type="character" w:customStyle="1" w:styleId="3933">
    <w:name w:val="checkbox"/>
    <w:basedOn w:val="133"/>
    <w:autoRedefine/>
    <w:qFormat/>
    <w:uiPriority w:val="0"/>
  </w:style>
  <w:style w:type="character" w:customStyle="1" w:styleId="3934">
    <w:name w:val="checkbox2"/>
    <w:basedOn w:val="133"/>
    <w:autoRedefine/>
    <w:qFormat/>
    <w:uiPriority w:val="0"/>
  </w:style>
  <w:style w:type="character" w:customStyle="1" w:styleId="3935">
    <w:name w:val="shenbao"/>
    <w:basedOn w:val="133"/>
    <w:autoRedefine/>
    <w:qFormat/>
    <w:uiPriority w:val="0"/>
    <w:rPr>
      <w:color w:val="EF6334"/>
    </w:rPr>
  </w:style>
  <w:style w:type="character" w:customStyle="1" w:styleId="3936">
    <w:name w:val="chakan"/>
    <w:basedOn w:val="133"/>
    <w:autoRedefine/>
    <w:qFormat/>
    <w:uiPriority w:val="0"/>
    <w:rPr>
      <w:color w:val="0064EA"/>
    </w:rPr>
  </w:style>
  <w:style w:type="character" w:customStyle="1" w:styleId="3937">
    <w:name w:val="disabled"/>
    <w:basedOn w:val="133"/>
    <w:qFormat/>
    <w:uiPriority w:val="0"/>
    <w:rPr>
      <w:vanish/>
    </w:rPr>
  </w:style>
  <w:style w:type="character" w:customStyle="1" w:styleId="3938">
    <w:name w:val="znspantitle"/>
    <w:basedOn w:val="133"/>
    <w:qFormat/>
    <w:uiPriority w:val="0"/>
    <w:rPr>
      <w:b/>
      <w:bCs/>
      <w:color w:val="333333"/>
    </w:rPr>
  </w:style>
  <w:style w:type="character" w:customStyle="1" w:styleId="3939">
    <w:name w:val="表格体 Char"/>
    <w:basedOn w:val="133"/>
    <w:link w:val="405"/>
    <w:qFormat/>
    <w:uiPriority w:val="0"/>
    <w:rPr>
      <w:rFonts w:cstheme="minorBidi"/>
      <w:kern w:val="2"/>
      <w:sz w:val="21"/>
      <w:szCs w:val="18"/>
    </w:rPr>
  </w:style>
  <w:style w:type="paragraph" w:customStyle="1" w:styleId="3940">
    <w:name w:val="表内文本"/>
    <w:basedOn w:val="1"/>
    <w:link w:val="3941"/>
    <w:qFormat/>
    <w:uiPriority w:val="0"/>
    <w:pPr>
      <w:spacing w:line="460" w:lineRule="atLeast"/>
    </w:pPr>
    <w:rPr>
      <w:bCs/>
      <w:sz w:val="26"/>
      <w:szCs w:val="72"/>
    </w:rPr>
  </w:style>
  <w:style w:type="character" w:customStyle="1" w:styleId="3941">
    <w:name w:val="表内文本 Char"/>
    <w:link w:val="3940"/>
    <w:qFormat/>
    <w:uiPriority w:val="0"/>
    <w:rPr>
      <w:bCs/>
      <w:kern w:val="2"/>
      <w:sz w:val="26"/>
      <w:szCs w:val="72"/>
    </w:rPr>
  </w:style>
  <w:style w:type="character" w:customStyle="1" w:styleId="3942">
    <w:name w:val="正 文 Char"/>
    <w:link w:val="3931"/>
    <w:qFormat/>
    <w:uiPriority w:val="0"/>
    <w:rPr>
      <w:kern w:val="2"/>
      <w:sz w:val="24"/>
    </w:rPr>
  </w:style>
  <w:style w:type="paragraph" w:customStyle="1" w:styleId="3943">
    <w:name w:val="表格格式"/>
    <w:basedOn w:val="1"/>
    <w:qFormat/>
    <w:uiPriority w:val="0"/>
    <w:pPr>
      <w:widowControl/>
      <w:spacing w:line="240" w:lineRule="auto"/>
      <w:ind w:firstLine="0" w:firstLineChars="0"/>
      <w:jc w:val="center"/>
    </w:pPr>
    <w:rPr>
      <w:kern w:val="0"/>
      <w:sz w:val="21"/>
      <w:szCs w:val="22"/>
    </w:rPr>
  </w:style>
  <w:style w:type="paragraph" w:customStyle="1" w:styleId="3944">
    <w:name w:val="font2"/>
    <w:basedOn w:val="1"/>
    <w:qFormat/>
    <w:uiPriority w:val="0"/>
    <w:pPr>
      <w:widowControl/>
      <w:adjustRightInd/>
      <w:snapToGrid/>
      <w:spacing w:before="100" w:beforeAutospacing="1" w:after="100" w:afterAutospacing="1" w:line="240" w:lineRule="auto"/>
      <w:ind w:firstLine="0" w:firstLineChars="0"/>
      <w:jc w:val="left"/>
    </w:pPr>
    <w:rPr>
      <w:color w:val="000000"/>
      <w:kern w:val="0"/>
      <w:sz w:val="18"/>
      <w:szCs w:val="18"/>
    </w:rPr>
  </w:style>
  <w:style w:type="paragraph" w:customStyle="1" w:styleId="3945">
    <w:name w:val="font3"/>
    <w:basedOn w:val="1"/>
    <w:qFormat/>
    <w:uiPriority w:val="0"/>
    <w:pPr>
      <w:widowControl/>
      <w:adjustRightInd/>
      <w:snapToGrid/>
      <w:spacing w:before="100" w:beforeAutospacing="1" w:after="100" w:afterAutospacing="1" w:line="240" w:lineRule="auto"/>
      <w:ind w:firstLine="0" w:firstLineChars="0"/>
      <w:jc w:val="left"/>
    </w:pPr>
    <w:rPr>
      <w:color w:val="FF0000"/>
      <w:kern w:val="0"/>
      <w:sz w:val="18"/>
      <w:szCs w:val="18"/>
    </w:rPr>
  </w:style>
  <w:style w:type="paragraph" w:customStyle="1" w:styleId="3946">
    <w:name w:val="font4"/>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color w:val="FF0000"/>
      <w:kern w:val="0"/>
      <w:sz w:val="18"/>
      <w:szCs w:val="18"/>
    </w:rPr>
  </w:style>
  <w:style w:type="paragraph" w:customStyle="1" w:styleId="3947">
    <w:name w:val="et2"/>
    <w:basedOn w:val="1"/>
    <w:qFormat/>
    <w:uiPriority w:val="0"/>
    <w:pPr>
      <w:widowControl/>
      <w:pBdr>
        <w:top w:val="single" w:color="000000" w:sz="8" w:space="0"/>
        <w:left w:val="single" w:color="000000" w:sz="8" w:space="0"/>
        <w:bottom w:val="single" w:color="000000" w:sz="8" w:space="0"/>
        <w:right w:val="single" w:color="000000" w:sz="8" w:space="0"/>
      </w:pBdr>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3948">
    <w:name w:val="et3"/>
    <w:basedOn w:val="1"/>
    <w:qFormat/>
    <w:uiPriority w:val="0"/>
    <w:pPr>
      <w:widowControl/>
      <w:pBdr>
        <w:top w:val="single" w:color="000000" w:sz="8" w:space="0"/>
        <w:bottom w:val="single" w:color="000000" w:sz="8" w:space="0"/>
        <w:right w:val="single" w:color="000000" w:sz="8" w:space="0"/>
      </w:pBdr>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3949">
    <w:name w:val="et4"/>
    <w:basedOn w:val="1"/>
    <w:qFormat/>
    <w:uiPriority w:val="0"/>
    <w:pPr>
      <w:widowControl/>
      <w:pBdr>
        <w:top w:val="single" w:color="000000" w:sz="8" w:space="0"/>
        <w:bottom w:val="single" w:color="000000" w:sz="8" w:space="0"/>
        <w:right w:val="single" w:color="000000" w:sz="8" w:space="0"/>
      </w:pBdr>
      <w:adjustRightInd/>
      <w:snapToGrid/>
      <w:spacing w:before="100" w:beforeAutospacing="1" w:after="100" w:afterAutospacing="1" w:line="240" w:lineRule="auto"/>
      <w:ind w:firstLine="0" w:firstLineChars="0"/>
      <w:jc w:val="center"/>
    </w:pPr>
    <w:rPr>
      <w:kern w:val="0"/>
      <w:sz w:val="18"/>
      <w:szCs w:val="18"/>
    </w:rPr>
  </w:style>
  <w:style w:type="paragraph" w:customStyle="1" w:styleId="3950">
    <w:name w:val="et5"/>
    <w:basedOn w:val="1"/>
    <w:qFormat/>
    <w:uiPriority w:val="0"/>
    <w:pPr>
      <w:widowControl/>
      <w:pBdr>
        <w:left w:val="single" w:color="000000" w:sz="8" w:space="0"/>
        <w:bottom w:val="single" w:color="000000" w:sz="8" w:space="0"/>
        <w:right w:val="single" w:color="000000" w:sz="8" w:space="0"/>
      </w:pBdr>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3951">
    <w:name w:val="et6"/>
    <w:basedOn w:val="1"/>
    <w:qFormat/>
    <w:uiPriority w:val="0"/>
    <w:pPr>
      <w:widowControl/>
      <w:pBdr>
        <w:bottom w:val="single" w:color="000000" w:sz="8" w:space="0"/>
        <w:right w:val="single" w:color="000000" w:sz="8" w:space="0"/>
      </w:pBdr>
      <w:adjustRightInd/>
      <w:snapToGrid/>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3952">
    <w:name w:val="et7"/>
    <w:basedOn w:val="1"/>
    <w:qFormat/>
    <w:uiPriority w:val="0"/>
    <w:pPr>
      <w:widowControl/>
      <w:pBdr>
        <w:bottom w:val="single" w:color="000000" w:sz="8" w:space="0"/>
        <w:right w:val="single" w:color="000000" w:sz="8" w:space="0"/>
      </w:pBdr>
      <w:adjustRightInd/>
      <w:snapToGrid/>
      <w:spacing w:before="100" w:beforeAutospacing="1" w:after="100" w:afterAutospacing="1" w:line="240" w:lineRule="auto"/>
      <w:ind w:firstLine="0" w:firstLineChars="0"/>
      <w:jc w:val="center"/>
    </w:pPr>
    <w:rPr>
      <w:kern w:val="0"/>
      <w:sz w:val="18"/>
      <w:szCs w:val="18"/>
    </w:rPr>
  </w:style>
  <w:style w:type="paragraph" w:customStyle="1" w:styleId="3953">
    <w:name w:val="et8"/>
    <w:basedOn w:val="1"/>
    <w:qFormat/>
    <w:uiPriority w:val="0"/>
    <w:pPr>
      <w:widowControl/>
      <w:pBdr>
        <w:bottom w:val="single" w:color="000000" w:sz="8" w:space="0"/>
        <w:right w:val="single" w:color="000000" w:sz="8" w:space="0"/>
      </w:pBdr>
      <w:adjustRightInd/>
      <w:snapToGrid/>
      <w:spacing w:before="100" w:beforeAutospacing="1" w:after="100" w:afterAutospacing="1" w:line="240" w:lineRule="auto"/>
      <w:ind w:firstLine="0" w:firstLineChars="0"/>
      <w:jc w:val="center"/>
    </w:pPr>
    <w:rPr>
      <w:color w:val="FF0000"/>
      <w:kern w:val="0"/>
      <w:sz w:val="18"/>
      <w:szCs w:val="18"/>
    </w:rPr>
  </w:style>
  <w:style w:type="paragraph" w:customStyle="1" w:styleId="3954">
    <w:name w:val="et9"/>
    <w:basedOn w:val="1"/>
    <w:qFormat/>
    <w:uiPriority w:val="0"/>
    <w:pPr>
      <w:widowControl/>
      <w:pBdr>
        <w:bottom w:val="single" w:color="000000" w:sz="8" w:space="0"/>
        <w:right w:val="single" w:color="000000" w:sz="8" w:space="0"/>
      </w:pBdr>
      <w:shd w:val="clear" w:color="auto" w:fill="B0D08D"/>
      <w:adjustRightInd/>
      <w:snapToGrid/>
      <w:spacing w:before="100" w:beforeAutospacing="1" w:after="100" w:afterAutospacing="1" w:line="240" w:lineRule="auto"/>
      <w:ind w:firstLine="0" w:firstLineChars="0"/>
      <w:jc w:val="center"/>
    </w:pPr>
    <w:rPr>
      <w:kern w:val="0"/>
      <w:sz w:val="18"/>
      <w:szCs w:val="18"/>
    </w:rPr>
  </w:style>
  <w:style w:type="paragraph" w:customStyle="1" w:styleId="3955">
    <w:name w:val="et13"/>
    <w:basedOn w:val="1"/>
    <w:qFormat/>
    <w:uiPriority w:val="0"/>
    <w:pPr>
      <w:widowControl/>
      <w:pBdr>
        <w:left w:val="single" w:color="000000" w:sz="8" w:space="0"/>
        <w:bottom w:val="single" w:color="000000" w:sz="8" w:space="0"/>
        <w:right w:val="single" w:color="000000" w:sz="8" w:space="0"/>
      </w:pBdr>
      <w:adjustRightInd/>
      <w:snapToGrid/>
      <w:spacing w:before="100" w:beforeAutospacing="1" w:after="100" w:afterAutospacing="1" w:line="240" w:lineRule="auto"/>
      <w:ind w:firstLine="0" w:firstLineChars="0"/>
      <w:jc w:val="center"/>
    </w:pPr>
    <w:rPr>
      <w:kern w:val="0"/>
      <w:sz w:val="18"/>
      <w:szCs w:val="18"/>
    </w:rPr>
  </w:style>
  <w:style w:type="paragraph" w:customStyle="1" w:styleId="3956">
    <w:name w:val="et14"/>
    <w:basedOn w:val="1"/>
    <w:qFormat/>
    <w:uiPriority w:val="0"/>
    <w:pPr>
      <w:widowControl/>
      <w:pBdr>
        <w:left w:val="single" w:color="000000" w:sz="8" w:space="0"/>
        <w:bottom w:val="single" w:color="000000" w:sz="8" w:space="0"/>
        <w:right w:val="single" w:color="000000" w:sz="8" w:space="0"/>
      </w:pBdr>
      <w:adjustRightInd/>
      <w:snapToGrid/>
      <w:spacing w:before="100" w:beforeAutospacing="1" w:after="100" w:afterAutospacing="1" w:line="240" w:lineRule="auto"/>
      <w:ind w:firstLine="0" w:firstLineChars="0"/>
      <w:jc w:val="center"/>
    </w:pPr>
    <w:rPr>
      <w:rFonts w:ascii="宋体" w:hAnsi="宋体" w:cs="宋体"/>
      <w:color w:val="FF0000"/>
      <w:kern w:val="0"/>
      <w:sz w:val="18"/>
      <w:szCs w:val="18"/>
    </w:rPr>
  </w:style>
  <w:style w:type="paragraph" w:customStyle="1" w:styleId="3957">
    <w:name w:val="et16"/>
    <w:basedOn w:val="1"/>
    <w:qFormat/>
    <w:uiPriority w:val="0"/>
    <w:pPr>
      <w:widowControl/>
      <w:pBdr>
        <w:bottom w:val="single" w:color="000000" w:sz="8" w:space="0"/>
        <w:right w:val="single" w:color="000000" w:sz="8" w:space="0"/>
      </w:pBdr>
      <w:adjustRightInd/>
      <w:snapToGrid/>
      <w:spacing w:before="100" w:beforeAutospacing="1" w:after="100" w:afterAutospacing="1" w:line="240" w:lineRule="auto"/>
      <w:ind w:firstLine="0" w:firstLineChars="0"/>
      <w:jc w:val="center"/>
    </w:pPr>
    <w:rPr>
      <w:kern w:val="0"/>
      <w:sz w:val="18"/>
      <w:szCs w:val="18"/>
    </w:rPr>
  </w:style>
  <w:style w:type="character" w:customStyle="1" w:styleId="3958">
    <w:name w:val="未处理的提及5"/>
    <w:basedOn w:val="133"/>
    <w:semiHidden/>
    <w:unhideWhenUsed/>
    <w:qFormat/>
    <w:uiPriority w:val="99"/>
    <w:rPr>
      <w:color w:val="605E5C"/>
      <w:shd w:val="clear" w:color="auto" w:fill="E1DFDD"/>
    </w:rPr>
  </w:style>
  <w:style w:type="paragraph" w:customStyle="1" w:styleId="3959">
    <w:name w:val="封面项目-L"/>
    <w:basedOn w:val="1"/>
    <w:link w:val="3960"/>
    <w:qFormat/>
    <w:uiPriority w:val="6"/>
    <w:pPr>
      <w:adjustRightInd/>
      <w:spacing w:line="360" w:lineRule="auto"/>
      <w:ind w:firstLine="0" w:firstLineChars="0"/>
      <w:jc w:val="center"/>
    </w:pPr>
    <w:rPr>
      <w:rFonts w:eastAsia="楷体" w:cs="Arial"/>
      <w:bCs/>
      <w:snapToGrid w:val="0"/>
      <w:color w:val="000000"/>
      <w:sz w:val="48"/>
      <w:szCs w:val="52"/>
      <w:lang w:val="zh-CN"/>
    </w:rPr>
  </w:style>
  <w:style w:type="character" w:customStyle="1" w:styleId="3960">
    <w:name w:val="封面项目-L 字符"/>
    <w:link w:val="3959"/>
    <w:qFormat/>
    <w:uiPriority w:val="6"/>
    <w:rPr>
      <w:rFonts w:eastAsia="楷体" w:cs="Arial"/>
      <w:bCs/>
      <w:snapToGrid w:val="0"/>
      <w:color w:val="000000"/>
      <w:kern w:val="2"/>
      <w:sz w:val="48"/>
      <w:szCs w:val="52"/>
      <w:lang w:val="zh-CN"/>
    </w:rPr>
  </w:style>
  <w:style w:type="paragraph" w:customStyle="1" w:styleId="3961">
    <w:name w:val="封面类型-L"/>
    <w:basedOn w:val="1"/>
    <w:link w:val="3962"/>
    <w:qFormat/>
    <w:uiPriority w:val="6"/>
    <w:pPr>
      <w:adjustRightInd/>
      <w:snapToGrid/>
      <w:spacing w:line="240" w:lineRule="auto"/>
      <w:ind w:firstLine="0" w:firstLineChars="0"/>
      <w:jc w:val="center"/>
    </w:pPr>
    <w:rPr>
      <w:rFonts w:eastAsia="华文新魏" w:cs="Arial"/>
      <w:snapToGrid w:val="0"/>
      <w:color w:val="000000"/>
      <w:sz w:val="80"/>
      <w:szCs w:val="80"/>
    </w:rPr>
  </w:style>
  <w:style w:type="character" w:customStyle="1" w:styleId="3962">
    <w:name w:val="封面类型-L 字符"/>
    <w:link w:val="3961"/>
    <w:qFormat/>
    <w:uiPriority w:val="6"/>
    <w:rPr>
      <w:rFonts w:eastAsia="华文新魏" w:cs="Arial"/>
      <w:snapToGrid w:val="0"/>
      <w:color w:val="000000"/>
      <w:kern w:val="2"/>
      <w:sz w:val="80"/>
      <w:szCs w:val="80"/>
    </w:rPr>
  </w:style>
  <w:style w:type="paragraph" w:customStyle="1" w:styleId="3963">
    <w:name w:val="封面单位-L"/>
    <w:basedOn w:val="1"/>
    <w:link w:val="3964"/>
    <w:qFormat/>
    <w:uiPriority w:val="0"/>
    <w:pPr>
      <w:adjustRightInd/>
      <w:spacing w:line="360" w:lineRule="auto"/>
      <w:ind w:firstLine="0" w:firstLineChars="0"/>
      <w:jc w:val="center"/>
    </w:pPr>
    <w:rPr>
      <w:rFonts w:eastAsia="楷体" w:cs="华文中宋"/>
      <w:snapToGrid w:val="0"/>
      <w:color w:val="000000"/>
      <w:sz w:val="32"/>
      <w:szCs w:val="28"/>
    </w:rPr>
  </w:style>
  <w:style w:type="character" w:customStyle="1" w:styleId="3964">
    <w:name w:val="封面单位-L 字符"/>
    <w:link w:val="3963"/>
    <w:qFormat/>
    <w:uiPriority w:val="0"/>
    <w:rPr>
      <w:rFonts w:eastAsia="楷体" w:cs="华文中宋"/>
      <w:snapToGrid w:val="0"/>
      <w:color w:val="000000"/>
      <w:kern w:val="2"/>
      <w:sz w:val="32"/>
      <w:szCs w:val="28"/>
    </w:rPr>
  </w:style>
  <w:style w:type="paragraph" w:customStyle="1" w:styleId="3965">
    <w:name w:val="king"/>
    <w:basedOn w:val="1"/>
    <w:qFormat/>
    <w:uiPriority w:val="0"/>
    <w:pPr>
      <w:adjustRightInd/>
      <w:snapToGrid/>
      <w:spacing w:line="320" w:lineRule="exact"/>
      <w:ind w:firstLine="0" w:firstLineChars="0"/>
      <w:jc w:val="center"/>
    </w:pPr>
    <w:rPr>
      <w:sz w:val="21"/>
      <w:szCs w:val="28"/>
    </w:rPr>
  </w:style>
  <w:style w:type="character" w:customStyle="1" w:styleId="3966">
    <w:name w:val="NormalCharacter"/>
    <w:semiHidden/>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4" Type="http://schemas.openxmlformats.org/officeDocument/2006/relationships/fontTable" Target="fontTable.xml"/><Relationship Id="rId63" Type="http://schemas.openxmlformats.org/officeDocument/2006/relationships/customXml" Target="../customXml/item1.xml"/><Relationship Id="rId62" Type="http://schemas.openxmlformats.org/officeDocument/2006/relationships/numbering" Target="numbering.xml"/><Relationship Id="rId61" Type="http://schemas.openxmlformats.org/officeDocument/2006/relationships/image" Target="media/image32.png"/><Relationship Id="rId60" Type="http://schemas.openxmlformats.org/officeDocument/2006/relationships/image" Target="media/image31.png"/><Relationship Id="rId6" Type="http://schemas.openxmlformats.org/officeDocument/2006/relationships/header" Target="header2.xml"/><Relationship Id="rId59" Type="http://schemas.openxmlformats.org/officeDocument/2006/relationships/image" Target="media/image30.jpeg"/><Relationship Id="rId58" Type="http://schemas.openxmlformats.org/officeDocument/2006/relationships/image" Target="media/image29.png"/><Relationship Id="rId57" Type="http://schemas.openxmlformats.org/officeDocument/2006/relationships/image" Target="media/image28.png"/><Relationship Id="rId56" Type="http://schemas.openxmlformats.org/officeDocument/2006/relationships/image" Target="media/image27.png"/><Relationship Id="rId55" Type="http://schemas.openxmlformats.org/officeDocument/2006/relationships/image" Target="media/image26.png"/><Relationship Id="rId54" Type="http://schemas.openxmlformats.org/officeDocument/2006/relationships/image" Target="media/image25.png"/><Relationship Id="rId53" Type="http://schemas.openxmlformats.org/officeDocument/2006/relationships/image" Target="media/image24.png"/><Relationship Id="rId52" Type="http://schemas.openxmlformats.org/officeDocument/2006/relationships/image" Target="media/image23.png"/><Relationship Id="rId51" Type="http://schemas.openxmlformats.org/officeDocument/2006/relationships/image" Target="media/image22.png"/><Relationship Id="rId50" Type="http://schemas.openxmlformats.org/officeDocument/2006/relationships/image" Target="media/image21.png"/><Relationship Id="rId5" Type="http://schemas.openxmlformats.org/officeDocument/2006/relationships/header" Target="header1.xml"/><Relationship Id="rId49" Type="http://schemas.openxmlformats.org/officeDocument/2006/relationships/image" Target="media/image20.png"/><Relationship Id="rId48" Type="http://schemas.openxmlformats.org/officeDocument/2006/relationships/image" Target="media/image19.wmf"/><Relationship Id="rId47" Type="http://schemas.openxmlformats.org/officeDocument/2006/relationships/oleObject" Target="embeddings/oleObject5.bin"/><Relationship Id="rId46" Type="http://schemas.openxmlformats.org/officeDocument/2006/relationships/image" Target="media/image18.png"/><Relationship Id="rId45" Type="http://schemas.openxmlformats.org/officeDocument/2006/relationships/image" Target="media/image17.wmf"/><Relationship Id="rId44" Type="http://schemas.openxmlformats.org/officeDocument/2006/relationships/oleObject" Target="embeddings/oleObject4.bin"/><Relationship Id="rId43" Type="http://schemas.openxmlformats.org/officeDocument/2006/relationships/chart" Target="charts/chart9.xml"/><Relationship Id="rId42" Type="http://schemas.openxmlformats.org/officeDocument/2006/relationships/chart" Target="charts/chart8.xml"/><Relationship Id="rId41" Type="http://schemas.openxmlformats.org/officeDocument/2006/relationships/chart" Target="charts/chart7.xml"/><Relationship Id="rId40" Type="http://schemas.openxmlformats.org/officeDocument/2006/relationships/chart" Target="charts/chart6.xml"/><Relationship Id="rId4" Type="http://schemas.openxmlformats.org/officeDocument/2006/relationships/endnotes" Target="endnotes.xml"/><Relationship Id="rId39" Type="http://schemas.openxmlformats.org/officeDocument/2006/relationships/chart" Target="charts/chart5.xml"/><Relationship Id="rId38" Type="http://schemas.openxmlformats.org/officeDocument/2006/relationships/chart" Target="charts/chart4.xml"/><Relationship Id="rId37" Type="http://schemas.openxmlformats.org/officeDocument/2006/relationships/chart" Target="charts/chart3.xml"/><Relationship Id="rId36" Type="http://schemas.openxmlformats.org/officeDocument/2006/relationships/chart" Target="charts/chart2.xml"/><Relationship Id="rId35" Type="http://schemas.openxmlformats.org/officeDocument/2006/relationships/chart" Target="charts/chart1.xml"/><Relationship Id="rId34" Type="http://schemas.openxmlformats.org/officeDocument/2006/relationships/image" Target="media/image16.wmf"/><Relationship Id="rId33" Type="http://schemas.openxmlformats.org/officeDocument/2006/relationships/oleObject" Target="embeddings/oleObject3.bin"/><Relationship Id="rId32" Type="http://schemas.openxmlformats.org/officeDocument/2006/relationships/image" Target="media/image15.png"/><Relationship Id="rId31" Type="http://schemas.openxmlformats.org/officeDocument/2006/relationships/image" Target="media/image14.wmf"/><Relationship Id="rId30" Type="http://schemas.openxmlformats.org/officeDocument/2006/relationships/image" Target="media/image13.wmf"/><Relationship Id="rId3" Type="http://schemas.openxmlformats.org/officeDocument/2006/relationships/footnotes" Target="footnotes.xml"/><Relationship Id="rId29" Type="http://schemas.openxmlformats.org/officeDocument/2006/relationships/image" Target="media/image12.wmf"/><Relationship Id="rId28" Type="http://schemas.openxmlformats.org/officeDocument/2006/relationships/image" Target="media/image11.wmf"/><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wmf"/><Relationship Id="rId22" Type="http://schemas.openxmlformats.org/officeDocument/2006/relationships/oleObject" Target="embeddings/oleObject2.bin"/><Relationship Id="rId21" Type="http://schemas.openxmlformats.org/officeDocument/2006/relationships/image" Target="media/image5.png"/><Relationship Id="rId20" Type="http://schemas.openxmlformats.org/officeDocument/2006/relationships/image" Target="media/image4.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3.jpeg"/><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H:\360&#23433;&#20840;&#20113;&#30424;&#21516;&#27493;&#29256;\&#24037;&#20316;&#36827;&#34892;&#26102;\&#24037;&#20316;2025\2025011&#28023;&#23431;&#39029;&#23721;&#27668;&#24320;&#37319;&#24223;&#27700;&#22788;&#29702;&#39033;&#30446;\08&#39044;&#27979;&#30456;&#20851;\&#22320;&#19979;&#27700;&#39044;&#27979;\&#22320;&#19979;&#27700;&#39044;&#27979;&#32467;&#2652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360&#23433;&#20840;&#20113;&#30424;&#21516;&#27493;&#29256;\&#24037;&#20316;&#36827;&#34892;&#26102;\&#24037;&#20316;2025\2025011&#28023;&#23431;&#39029;&#23721;&#27668;&#24320;&#37319;&#24223;&#27700;&#22788;&#29702;&#39033;&#30446;\08&#39044;&#27979;&#30456;&#20851;\&#22320;&#19979;&#27700;&#39044;&#27979;\&#22320;&#19979;&#27700;&#39044;&#27979;&#32467;&#2652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360&#23433;&#20840;&#20113;&#30424;&#21516;&#27493;&#29256;\&#24037;&#20316;&#36827;&#34892;&#26102;\&#24037;&#20316;2025\2025011&#28023;&#23431;&#39029;&#23721;&#27668;&#24320;&#37319;&#24223;&#27700;&#22788;&#29702;&#39033;&#30446;\08&#39044;&#27979;&#30456;&#20851;\&#22320;&#19979;&#27700;&#39044;&#27979;\&#22320;&#19979;&#27700;&#39044;&#27979;&#32467;&#2652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H:\360&#23433;&#20840;&#20113;&#30424;&#21516;&#27493;&#29256;\&#24037;&#20316;&#36827;&#34892;&#26102;\&#24037;&#20316;2025\2025011&#28023;&#23431;&#39029;&#23721;&#27668;&#24320;&#37319;&#24223;&#27700;&#22788;&#29702;&#39033;&#30446;\08&#39044;&#27979;&#30456;&#20851;\&#22320;&#19979;&#27700;&#39044;&#27979;\&#22320;&#19979;&#27700;&#39044;&#27979;&#32467;&#2652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H:\360&#23433;&#20840;&#20113;&#30424;&#21516;&#27493;&#29256;\&#24037;&#20316;&#36827;&#34892;&#26102;\&#24037;&#20316;2025\2025011&#28023;&#23431;&#39029;&#23721;&#27668;&#24320;&#37319;&#24223;&#27700;&#22788;&#29702;&#39033;&#30446;\08&#39044;&#27979;&#30456;&#20851;\&#22320;&#19979;&#27700;&#39044;&#27979;\&#22320;&#19979;&#27700;&#39044;&#27979;&#32467;&#2652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H:\360&#23433;&#20840;&#20113;&#30424;&#21516;&#27493;&#29256;\&#24037;&#20316;&#36827;&#34892;&#26102;\&#24037;&#20316;2025\2025011&#28023;&#23431;&#39029;&#23721;&#27668;&#24320;&#37319;&#24223;&#27700;&#22788;&#29702;&#39033;&#30446;\08&#39044;&#27979;&#30456;&#20851;\&#22320;&#19979;&#27700;&#39044;&#27979;\&#22320;&#19979;&#27700;&#39044;&#27979;&#32467;&#2652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H:\360&#23433;&#20840;&#20113;&#30424;&#21516;&#27493;&#29256;\&#24037;&#20316;&#36827;&#34892;&#26102;\&#24037;&#20316;2025\2025011&#28023;&#23431;&#39029;&#23721;&#27668;&#24320;&#37319;&#24223;&#27700;&#22788;&#29702;&#39033;&#30446;\08&#39044;&#27979;&#30456;&#20851;\&#22320;&#19979;&#27700;&#39044;&#27979;\&#22320;&#19979;&#27700;&#39044;&#27979;&#32467;&#2652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H:\360&#23433;&#20840;&#20113;&#30424;&#21516;&#27493;&#29256;\&#24037;&#20316;&#36827;&#34892;&#26102;\&#24037;&#20316;2025\2025011&#28023;&#23431;&#39029;&#23721;&#27668;&#24320;&#37319;&#24223;&#27700;&#22788;&#29702;&#39033;&#30446;\08&#39044;&#27979;&#30456;&#20851;\&#22320;&#19979;&#27700;&#39044;&#27979;\&#22320;&#19979;&#27700;&#39044;&#27979;&#32467;&#2652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H:\360&#23433;&#20840;&#20113;&#30424;&#21516;&#27493;&#29256;\&#24037;&#20316;&#36827;&#34892;&#26102;\&#24037;&#20316;2025\2025011&#28023;&#23431;&#39029;&#23721;&#27668;&#24320;&#37319;&#24223;&#27700;&#22788;&#29702;&#39033;&#30446;\08&#39044;&#27979;&#30456;&#20851;\&#22320;&#19979;&#27700;&#39044;&#27979;\&#22320;&#19979;&#27700;&#39044;&#27979;&#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b" anchorCtr="1"/>
          <a:lstStyle/>
          <a:p>
            <a:pPr algn="ctr" rtl="0">
              <a:defRPr lang="en-US" altLang="en-US" sz="1000" b="1" i="0" u="none" strike="noStrike" kern="1200" baseline="0">
                <a:solidFill>
                  <a:sysClr val="windowText" lastClr="000000"/>
                </a:solidFill>
                <a:latin typeface="Times New Roman" panose="02020603050405020304" charset="0"/>
                <a:ea typeface="宋体" panose="02010600030101010101" charset="-122"/>
                <a:cs typeface="+mn-cs"/>
              </a:defRPr>
            </a:pPr>
            <a:r>
              <a:rPr lang="zh-CN" altLang="en-US" sz="1000" b="1" i="0" u="none" strike="noStrike" kern="1200" baseline="0">
                <a:solidFill>
                  <a:sysClr val="windowText" lastClr="000000"/>
                </a:solidFill>
                <a:latin typeface="Times New Roman" panose="02020603050405020304" charset="0"/>
                <a:ea typeface="宋体" panose="02010600030101010101" charset="-122"/>
                <a:cs typeface="+mn-cs"/>
              </a:rPr>
              <a:t>第</a:t>
            </a:r>
            <a:r>
              <a:rPr lang="en-US" altLang="zh-CN" sz="1000" b="1" i="0" u="none" strike="noStrike" kern="1200" baseline="0">
                <a:solidFill>
                  <a:sysClr val="windowText" lastClr="000000"/>
                </a:solidFill>
                <a:latin typeface="Times New Roman" panose="02020603050405020304" charset="0"/>
                <a:ea typeface="宋体" panose="02010600030101010101" charset="-122"/>
                <a:cs typeface="+mn-cs"/>
              </a:rPr>
              <a:t>100</a:t>
            </a:r>
            <a:r>
              <a:rPr lang="zh-CN" altLang="en-US" sz="1000" b="1" i="0" u="none" strike="noStrike" kern="1200" baseline="0">
                <a:solidFill>
                  <a:sysClr val="windowText" lastClr="000000"/>
                </a:solidFill>
                <a:latin typeface="Times New Roman" panose="02020603050405020304" charset="0"/>
                <a:ea typeface="宋体" panose="02010600030101010101" charset="-122"/>
                <a:cs typeface="+mn-cs"/>
              </a:rPr>
              <a:t>天时污染物浓度与距离关第变化图      </a:t>
            </a:r>
            <a:r>
              <a:rPr lang="en-US" altLang="zh-CN" sz="1000" b="1" i="0" u="none" strike="noStrike" kern="1200" baseline="0">
                <a:solidFill>
                  <a:sysClr val="windowText" lastClr="000000"/>
                </a:solidFill>
                <a:latin typeface="Times New Roman" panose="02020603050405020304" charset="0"/>
                <a:ea typeface="宋体" panose="02010600030101010101" charset="-122"/>
                <a:cs typeface="+mn-cs"/>
              </a:rPr>
              <a:t>X</a:t>
            </a:r>
            <a:r>
              <a:rPr lang="zh-CN" altLang="en-US" sz="1000" b="1" i="0" u="none" strike="noStrike" kern="1200" baseline="0">
                <a:solidFill>
                  <a:sysClr val="windowText" lastClr="000000"/>
                </a:solidFill>
                <a:latin typeface="Times New Roman" panose="02020603050405020304" charset="0"/>
                <a:ea typeface="宋体" panose="02010600030101010101" charset="-122"/>
                <a:cs typeface="+mn-cs"/>
              </a:rPr>
              <a:t>（</a:t>
            </a:r>
            <a:r>
              <a:rPr lang="en-US" altLang="zh-CN" sz="1000" b="1" i="0" u="none" strike="noStrike" kern="1200" baseline="0">
                <a:solidFill>
                  <a:sysClr val="windowText" lastClr="000000"/>
                </a:solidFill>
                <a:latin typeface="Times New Roman" panose="02020603050405020304" charset="0"/>
                <a:ea typeface="宋体" panose="02010600030101010101" charset="-122"/>
                <a:cs typeface="+mn-cs"/>
              </a:rPr>
              <a:t>m</a:t>
            </a:r>
            <a:r>
              <a:rPr lang="zh-CN" altLang="en-US" sz="1000" b="1" i="0" u="none" strike="noStrike" kern="1200" baseline="0">
                <a:solidFill>
                  <a:sysClr val="windowText" lastClr="000000"/>
                </a:solidFill>
                <a:latin typeface="Times New Roman" panose="02020603050405020304" charset="0"/>
                <a:ea typeface="宋体" panose="02010600030101010101" charset="-122"/>
                <a:cs typeface="+mn-cs"/>
              </a:rPr>
              <a:t>）</a:t>
            </a:r>
            <a:endParaRPr lang="en-US" altLang="en-US" sz="1000" b="1" i="0" u="none" strike="noStrike" kern="1200" baseline="0">
              <a:solidFill>
                <a:sysClr val="windowText" lastClr="000000"/>
              </a:solidFill>
              <a:latin typeface="Times New Roman" panose="02020603050405020304" charset="0"/>
              <a:ea typeface="宋体" panose="02010600030101010101" charset="-122"/>
              <a:cs typeface="+mn-cs"/>
            </a:endParaRPr>
          </a:p>
        </c:rich>
      </c:tx>
      <c:layout>
        <c:manualLayout>
          <c:xMode val="edge"/>
          <c:yMode val="edge"/>
          <c:x val="0.196594427244582"/>
          <c:y val="0.885078770771967"/>
        </c:manualLayout>
      </c:layout>
      <c:overlay val="0"/>
    </c:title>
    <c:autoTitleDeleted val="0"/>
    <c:plotArea>
      <c:layout>
        <c:manualLayout>
          <c:layoutTarget val="inner"/>
          <c:xMode val="edge"/>
          <c:yMode val="edge"/>
          <c:x val="0.178296808791579"/>
          <c:y val="0.0854943444052941"/>
          <c:w val="0.775659537636796"/>
          <c:h val="0.684005886547419"/>
        </c:manualLayout>
      </c:layout>
      <c:scatterChart>
        <c:scatterStyle val="smoothMarker"/>
        <c:varyColors val="0"/>
        <c:ser>
          <c:idx val="0"/>
          <c:order val="0"/>
          <c:dLbls>
            <c:delete val="1"/>
          </c:dLbls>
          <c:xVal>
            <c:numRef>
              <c:f>[地下水预测结果.xlsx]COD改!$A$4:$A$34</c:f>
              <c:numCache>
                <c:formatCode>General</c:formatCode>
                <c:ptCount val="3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numCache>
            </c:numRef>
          </c:xVal>
          <c:yVal>
            <c:numRef>
              <c:f>[地下水预测结果.xlsx]COD改!$B$4:$B$34</c:f>
              <c:numCache>
                <c:formatCode>0.00E+00</c:formatCode>
                <c:ptCount val="31"/>
                <c:pt idx="0">
                  <c:v>2001.34</c:v>
                </c:pt>
                <c:pt idx="1">
                  <c:v>1651.34</c:v>
                </c:pt>
                <c:pt idx="2">
                  <c:v>1291.34</c:v>
                </c:pt>
                <c:pt idx="3">
                  <c:v>951.34</c:v>
                </c:pt>
                <c:pt idx="4">
                  <c:v>659.34</c:v>
                </c:pt>
                <c:pt idx="5">
                  <c:v>428.34</c:v>
                </c:pt>
                <c:pt idx="6">
                  <c:v>260.34</c:v>
                </c:pt>
                <c:pt idx="7">
                  <c:v>148.34</c:v>
                </c:pt>
                <c:pt idx="8">
                  <c:v>78.94</c:v>
                </c:pt>
                <c:pt idx="9">
                  <c:v>39.44</c:v>
                </c:pt>
                <c:pt idx="10">
                  <c:v>18.74</c:v>
                </c:pt>
                <c:pt idx="11">
                  <c:v>8.73</c:v>
                </c:pt>
                <c:pt idx="12">
                  <c:v>4.25</c:v>
                </c:pt>
                <c:pt idx="13">
                  <c:v>2.4</c:v>
                </c:pt>
                <c:pt idx="14">
                  <c:v>1.7</c:v>
                </c:pt>
                <c:pt idx="15">
                  <c:v>1.453</c:v>
                </c:pt>
                <c:pt idx="16">
                  <c:v>1.3728</c:v>
                </c:pt>
                <c:pt idx="17">
                  <c:v>1.34882</c:v>
                </c:pt>
                <c:pt idx="18">
                  <c:v>1.3422</c:v>
                </c:pt>
                <c:pt idx="19">
                  <c:v>1.340506</c:v>
                </c:pt>
                <c:pt idx="20">
                  <c:v>1.340108</c:v>
                </c:pt>
                <c:pt idx="21">
                  <c:v>1.3400213</c:v>
                </c:pt>
                <c:pt idx="22">
                  <c:v>1.34000388</c:v>
                </c:pt>
                <c:pt idx="23">
                  <c:v>1.340000655</c:v>
                </c:pt>
                <c:pt idx="24">
                  <c:v>1.340000102</c:v>
                </c:pt>
                <c:pt idx="25">
                  <c:v>1.3400000153</c:v>
                </c:pt>
                <c:pt idx="26">
                  <c:v>1.34000000211</c:v>
                </c:pt>
                <c:pt idx="27">
                  <c:v>1.340000000256</c:v>
                </c:pt>
                <c:pt idx="28">
                  <c:v>1.3400000000278</c:v>
                </c:pt>
                <c:pt idx="29">
                  <c:v>1.34000000000155</c:v>
                </c:pt>
                <c:pt idx="30">
                  <c:v>1.34000000000011</c:v>
                </c:pt>
              </c:numCache>
            </c:numRef>
          </c:yVal>
          <c:smooth val="1"/>
        </c:ser>
        <c:dLbls>
          <c:showLegendKey val="0"/>
          <c:showVal val="0"/>
          <c:showCatName val="0"/>
          <c:showSerName val="0"/>
          <c:showPercent val="0"/>
          <c:showBubbleSize val="0"/>
        </c:dLbls>
        <c:axId val="369128192"/>
        <c:axId val="369129728"/>
      </c:scatterChart>
      <c:valAx>
        <c:axId val="369128192"/>
        <c:scaling>
          <c:orientation val="minMax"/>
        </c:scaling>
        <c:delete val="0"/>
        <c:axPos val="b"/>
        <c:majorGridlines>
          <c:spPr>
            <a:ln w="9525" cap="flat" cmpd="sng" algn="ctr">
              <a:noFill/>
              <a:prstDash val="solid"/>
              <a:round/>
            </a:ln>
          </c:spPr>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mn-cs"/>
              </a:defRPr>
            </a:pPr>
          </a:p>
        </c:txPr>
        <c:crossAx val="369129728"/>
        <c:crosses val="autoZero"/>
        <c:crossBetween val="midCat"/>
      </c:valAx>
      <c:valAx>
        <c:axId val="369129728"/>
        <c:scaling>
          <c:orientation val="minMax"/>
          <c:min val="0"/>
        </c:scaling>
        <c:delete val="0"/>
        <c:axPos val="l"/>
        <c:majorGridlines/>
        <c:title>
          <c:tx>
            <c:rich>
              <a:bodyPr rot="-5400000" spcFirstLastPara="0" vertOverflow="ellipsis" vert="horz" wrap="square" anchor="ctr" anchorCtr="1"/>
              <a:lstStyle/>
              <a:p>
                <a:pPr algn="ctr" rtl="0">
                  <a:defRPr lang="zh-CN" altLang="zh-CN" sz="1000" b="1" i="0" u="none" strike="noStrike" kern="1200" baseline="0">
                    <a:solidFill>
                      <a:sysClr val="windowText" lastClr="000000"/>
                    </a:solidFill>
                    <a:latin typeface="Times New Roman" panose="02020603050405020304" charset="0"/>
                    <a:ea typeface="宋体" panose="02010600030101010101" charset="-122"/>
                    <a:cs typeface="+mn-cs"/>
                  </a:defRPr>
                </a:pPr>
                <a:r>
                  <a:rPr lang="zh-CN" altLang="zh-CN" sz="1000" b="1" i="0" u="none" strike="noStrike" kern="1200" baseline="0">
                    <a:solidFill>
                      <a:sysClr val="windowText" lastClr="000000"/>
                    </a:solidFill>
                    <a:latin typeface="Times New Roman" panose="02020603050405020304" charset="0"/>
                    <a:ea typeface="宋体" panose="02010600030101010101" charset="-122"/>
                    <a:cs typeface="+mn-cs"/>
                  </a:rPr>
                  <a:t>浓度（</a:t>
                </a:r>
                <a:r>
                  <a:rPr lang="en-US" altLang="zh-CN" sz="1000" b="1" i="0" u="none" strike="noStrike" kern="1200" baseline="0">
                    <a:solidFill>
                      <a:sysClr val="windowText" lastClr="000000"/>
                    </a:solidFill>
                    <a:latin typeface="Times New Roman" panose="02020603050405020304" charset="0"/>
                    <a:ea typeface="宋体" panose="02010600030101010101" charset="-122"/>
                    <a:cs typeface="+mn-cs"/>
                  </a:rPr>
                  <a:t>mg/L)</a:t>
                </a:r>
                <a:endParaRPr lang="zh-CN" altLang="zh-CN" sz="1000" b="1" i="0" u="none" strike="noStrike" kern="1200" baseline="0">
                  <a:solidFill>
                    <a:sysClr val="windowText" lastClr="000000"/>
                  </a:solidFill>
                  <a:latin typeface="Times New Roman" panose="02020603050405020304" charset="0"/>
                  <a:ea typeface="宋体" panose="02010600030101010101" charset="-122"/>
                  <a:cs typeface="+mn-cs"/>
                </a:endParaRPr>
              </a:p>
            </c:rich>
          </c:tx>
          <c:layout>
            <c:manualLayout>
              <c:xMode val="edge"/>
              <c:yMode val="edge"/>
              <c:x val="0.000711389548578361"/>
              <c:y val="0.288769359388898"/>
            </c:manualLayout>
          </c:layout>
          <c:overlay val="0"/>
        </c:title>
        <c:numFmt formatCode="General" sourceLinked="0"/>
        <c:majorTickMark val="out"/>
        <c:minorTickMark val="none"/>
        <c:tickLblPos val="nextTo"/>
        <c:txPr>
          <a:bodyPr rot="-60000000" spcFirstLastPara="0" vertOverflow="ellipsis" vert="horz" wrap="square" anchor="ctr" anchorCtr="1"/>
          <a:lstStyle/>
          <a:p>
            <a:pPr algn="ctr">
              <a:defRPr lang="zh-CN" altLang="en-US" sz="1000" b="0" i="0" u="none" strike="noStrike" kern="1200" baseline="0">
                <a:solidFill>
                  <a:sysClr val="windowText" lastClr="000000"/>
                </a:solidFill>
                <a:latin typeface="Times New Roman" panose="02020603050405020304" charset="0"/>
                <a:ea typeface="+mn-ea"/>
                <a:cs typeface="+mn-cs"/>
              </a:defRPr>
            </a:pPr>
          </a:p>
        </c:txPr>
        <c:crossAx val="369128192"/>
        <c:crosses val="autoZero"/>
        <c:crossBetween val="midCat"/>
      </c:valAx>
    </c:plotArea>
    <c:plotVisOnly val="1"/>
    <c:dispBlanksAs val="gap"/>
    <c:showDLblsOverMax val="0"/>
    <c:extLst>
      <c:ext uri="{0b15fc19-7d7d-44ad-8c2d-2c3a37ce22c3}">
        <chartProps xmlns="https://web.wps.cn/et/2018/main" chartId="{9e85c277-08b2-4282-925e-e39a671b1fb0}"/>
      </c:ext>
    </c:extLst>
  </c:chart>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dLbls>
            <c:delete val="1"/>
          </c:dLbls>
          <c:xVal>
            <c:numRef>
              <c:f>[地下水预测结果.xlsx]COD改!$C$4:$C$34</c:f>
              <c:numCache>
                <c:formatCode>General</c:formatCode>
                <c:ptCount val="3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numCache>
            </c:numRef>
          </c:xVal>
          <c:yVal>
            <c:numRef>
              <c:f>[地下水预测结果.xlsx]COD改!$D$4:$D$34</c:f>
              <c:numCache>
                <c:formatCode>0.00E+00</c:formatCode>
                <c:ptCount val="31"/>
                <c:pt idx="0">
                  <c:v>77.14</c:v>
                </c:pt>
                <c:pt idx="1">
                  <c:v>93.74</c:v>
                </c:pt>
                <c:pt idx="2">
                  <c:v>111.34</c:v>
                </c:pt>
                <c:pt idx="3">
                  <c:v>128.34</c:v>
                </c:pt>
                <c:pt idx="4">
                  <c:v>146.34</c:v>
                </c:pt>
                <c:pt idx="5">
                  <c:v>163.34</c:v>
                </c:pt>
                <c:pt idx="6">
                  <c:v>178.34</c:v>
                </c:pt>
                <c:pt idx="7">
                  <c:v>193.34</c:v>
                </c:pt>
                <c:pt idx="8">
                  <c:v>205.34</c:v>
                </c:pt>
                <c:pt idx="9">
                  <c:v>215.34</c:v>
                </c:pt>
                <c:pt idx="10">
                  <c:v>223.34</c:v>
                </c:pt>
                <c:pt idx="11">
                  <c:v>228.34</c:v>
                </c:pt>
                <c:pt idx="12">
                  <c:v>230.34</c:v>
                </c:pt>
                <c:pt idx="13">
                  <c:v>229.34</c:v>
                </c:pt>
                <c:pt idx="14">
                  <c:v>226.34</c:v>
                </c:pt>
                <c:pt idx="15">
                  <c:v>220.34</c:v>
                </c:pt>
                <c:pt idx="16">
                  <c:v>212.34</c:v>
                </c:pt>
                <c:pt idx="17">
                  <c:v>202.34</c:v>
                </c:pt>
                <c:pt idx="18">
                  <c:v>190.34</c:v>
                </c:pt>
                <c:pt idx="19">
                  <c:v>177.34</c:v>
                </c:pt>
                <c:pt idx="20">
                  <c:v>163.34</c:v>
                </c:pt>
                <c:pt idx="21">
                  <c:v>149.34</c:v>
                </c:pt>
                <c:pt idx="22">
                  <c:v>134.34</c:v>
                </c:pt>
                <c:pt idx="23">
                  <c:v>120.34</c:v>
                </c:pt>
                <c:pt idx="24">
                  <c:v>106.34</c:v>
                </c:pt>
                <c:pt idx="25">
                  <c:v>93.34</c:v>
                </c:pt>
                <c:pt idx="26">
                  <c:v>81.04</c:v>
                </c:pt>
                <c:pt idx="27">
                  <c:v>69.84</c:v>
                </c:pt>
                <c:pt idx="28">
                  <c:v>59.54</c:v>
                </c:pt>
                <c:pt idx="29">
                  <c:v>50.34</c:v>
                </c:pt>
                <c:pt idx="30">
                  <c:v>42.24</c:v>
                </c:pt>
              </c:numCache>
            </c:numRef>
          </c:yVal>
          <c:smooth val="1"/>
        </c:ser>
        <c:dLbls>
          <c:showLegendKey val="0"/>
          <c:showVal val="0"/>
          <c:showCatName val="0"/>
          <c:showSerName val="0"/>
          <c:showPercent val="0"/>
          <c:showBubbleSize val="0"/>
        </c:dLbls>
        <c:axId val="369572480"/>
        <c:axId val="369582848"/>
      </c:scatterChart>
      <c:valAx>
        <c:axId val="369572480"/>
        <c:scaling>
          <c:orientation val="minMax"/>
        </c:scaling>
        <c:delete val="0"/>
        <c:axPos val="b"/>
        <c:title>
          <c:tx>
            <c:rich>
              <a:bodyPr rot="0" spcFirstLastPara="0" vertOverflow="ellipsis" vert="horz" wrap="square" anchor="ctr" anchorCtr="1"/>
              <a:lstStyle/>
              <a:p>
                <a:pPr algn="ctr" rtl="0">
                  <a:defRPr lang="en-US" altLang="en-US" sz="1000" b="1" i="0" u="none" strike="noStrike" kern="1200" baseline="0">
                    <a:solidFill>
                      <a:sysClr val="windowText" lastClr="000000"/>
                    </a:solidFill>
                    <a:latin typeface="Times New Roman" panose="02020603050405020304" charset="0"/>
                    <a:ea typeface="宋体" panose="02010600030101010101" charset="-122"/>
                    <a:cs typeface="+mn-cs"/>
                  </a:defRPr>
                </a:pPr>
                <a:r>
                  <a:rPr lang="zh-CN" altLang="zh-CN" sz="1000" b="1" i="0" u="none" strike="noStrike" baseline="0">
                    <a:effectLst/>
                  </a:rPr>
                  <a:t>第</a:t>
                </a:r>
                <a:r>
                  <a:rPr lang="en-US" altLang="zh-CN" sz="1000" b="1" i="0" u="none" strike="noStrike" baseline="0">
                    <a:effectLst/>
                  </a:rPr>
                  <a:t>1000</a:t>
                </a:r>
                <a:r>
                  <a:rPr lang="zh-CN" altLang="zh-CN" sz="1000" b="1" i="0" u="none" strike="noStrike" baseline="0">
                    <a:effectLst/>
                  </a:rPr>
                  <a:t>天时污染物浓度与距离关第变化图</a:t>
                </a:r>
                <a:r>
                  <a:rPr lang="en-US" altLang="zh-CN" sz="1000" b="1" i="0" u="none" strike="noStrike" baseline="0">
                    <a:effectLst/>
                  </a:rPr>
                  <a:t>  </a:t>
                </a:r>
                <a:r>
                  <a:rPr lang="zh-CN" altLang="zh-CN" sz="1000" b="1" i="0" u="none" strike="noStrike" baseline="0">
                    <a:effectLst/>
                  </a:rPr>
                  <a:t> </a:t>
                </a:r>
                <a:r>
                  <a:rPr lang="en-US" altLang="en-US" sz="1000" b="1" i="0" u="none" strike="noStrike" kern="1200" baseline="0">
                    <a:solidFill>
                      <a:sysClr val="windowText" lastClr="000000"/>
                    </a:solidFill>
                    <a:latin typeface="Times New Roman" panose="02020603050405020304" charset="0"/>
                    <a:ea typeface="宋体" panose="02010600030101010101" charset="-122"/>
                    <a:cs typeface="+mn-cs"/>
                  </a:rPr>
                  <a:t>X</a:t>
                </a:r>
                <a:r>
                  <a:rPr lang="zh-CN" altLang="en-US" sz="1000" b="1" i="0" u="none" strike="noStrike" kern="1200" baseline="0">
                    <a:solidFill>
                      <a:sysClr val="windowText" lastClr="000000"/>
                    </a:solidFill>
                    <a:latin typeface="Times New Roman" panose="02020603050405020304" charset="0"/>
                    <a:ea typeface="宋体" panose="02010600030101010101" charset="-122"/>
                    <a:cs typeface="+mn-cs"/>
                  </a:rPr>
                  <a:t>（</a:t>
                </a:r>
                <a:r>
                  <a:rPr lang="en-US" altLang="zh-CN" sz="1000" b="1" i="0" u="none" strike="noStrike" kern="1200" baseline="0">
                    <a:solidFill>
                      <a:sysClr val="windowText" lastClr="000000"/>
                    </a:solidFill>
                    <a:latin typeface="Times New Roman" panose="02020603050405020304" charset="0"/>
                    <a:ea typeface="宋体" panose="02010600030101010101" charset="-122"/>
                    <a:cs typeface="+mn-cs"/>
                  </a:rPr>
                  <a:t>m</a:t>
                </a:r>
                <a:r>
                  <a:rPr lang="zh-CN" altLang="en-US" sz="1000" b="1" i="0" u="none" strike="noStrike" kern="1200" baseline="0">
                    <a:solidFill>
                      <a:sysClr val="windowText" lastClr="000000"/>
                    </a:solidFill>
                    <a:latin typeface="Times New Roman" panose="02020603050405020304" charset="0"/>
                    <a:ea typeface="宋体" panose="02010600030101010101" charset="-122"/>
                    <a:cs typeface="+mn-cs"/>
                  </a:rPr>
                  <a:t>）</a:t>
                </a:r>
                <a:endParaRPr lang="en-US" altLang="en-US" sz="1000" b="1" i="0" u="none" strike="noStrike" kern="1200" baseline="0">
                  <a:solidFill>
                    <a:sysClr val="windowText" lastClr="000000"/>
                  </a:solidFill>
                  <a:latin typeface="Times New Roman" panose="02020603050405020304" charset="0"/>
                  <a:ea typeface="宋体" panose="02010600030101010101" charset="-122"/>
                  <a:cs typeface="+mn-cs"/>
                </a:endParaRPr>
              </a:p>
            </c:rich>
          </c:tx>
          <c:layout/>
          <c:overlay val="0"/>
        </c:title>
        <c:numFmt formatCode="General" sourceLinked="1"/>
        <c:majorTickMark val="out"/>
        <c:minorTickMark val="none"/>
        <c:tickLblPos val="nextTo"/>
        <c:txPr>
          <a:bodyPr rot="-60000000" spcFirstLastPara="0" vertOverflow="ellipsis" vert="horz" wrap="square" anchor="ctr" anchorCtr="1"/>
          <a:lstStyle/>
          <a:p>
            <a:pPr algn="ctr">
              <a:defRPr lang="zh-CN" altLang="en-US" sz="1000" b="0" i="0" u="none" strike="noStrike" kern="1200" baseline="0">
                <a:solidFill>
                  <a:sysClr val="windowText" lastClr="000000"/>
                </a:solidFill>
                <a:latin typeface="Times New Roman" panose="02020603050405020304" charset="0"/>
                <a:ea typeface="+mn-ea"/>
                <a:cs typeface="+mn-cs"/>
              </a:defRPr>
            </a:pPr>
          </a:p>
        </c:txPr>
        <c:crossAx val="369582848"/>
        <c:crosses val="autoZero"/>
        <c:crossBetween val="midCat"/>
      </c:valAx>
      <c:valAx>
        <c:axId val="369582848"/>
        <c:scaling>
          <c:orientation val="minMax"/>
          <c:min val="0"/>
        </c:scaling>
        <c:delete val="0"/>
        <c:axPos val="l"/>
        <c:majorGridlines/>
        <c:title>
          <c:tx>
            <c:rich>
              <a:bodyPr rot="-5400000" spcFirstLastPara="0" vertOverflow="ellipsis" vert="horz" wrap="square" anchor="ctr" anchorCtr="1"/>
              <a:lstStyle/>
              <a:p>
                <a:pPr algn="ctr" rtl="0">
                  <a:defRPr lang="zh-CN" altLang="zh-CN" sz="1000" b="1" i="0" u="none" strike="noStrike" kern="1200" baseline="0">
                    <a:solidFill>
                      <a:sysClr val="windowText" lastClr="000000"/>
                    </a:solidFill>
                    <a:latin typeface="Times New Roman" panose="02020603050405020304" charset="0"/>
                    <a:ea typeface="宋体" panose="02010600030101010101" charset="-122"/>
                    <a:cs typeface="+mn-cs"/>
                  </a:defRPr>
                </a:pPr>
                <a:r>
                  <a:rPr lang="zh-CN" altLang="zh-CN" sz="1000" b="1" i="0" u="none" strike="noStrike" kern="1200" baseline="0">
                    <a:solidFill>
                      <a:sysClr val="windowText" lastClr="000000"/>
                    </a:solidFill>
                    <a:latin typeface="Times New Roman" panose="02020603050405020304" charset="0"/>
                    <a:ea typeface="宋体" panose="02010600030101010101" charset="-122"/>
                    <a:cs typeface="+mn-cs"/>
                  </a:rPr>
                  <a:t>浓度（</a:t>
                </a:r>
                <a:r>
                  <a:rPr lang="en-US" altLang="zh-CN" sz="1000" b="1" i="0" u="none" strike="noStrike" kern="1200" baseline="0">
                    <a:solidFill>
                      <a:sysClr val="windowText" lastClr="000000"/>
                    </a:solidFill>
                    <a:latin typeface="Times New Roman" panose="02020603050405020304" charset="0"/>
                    <a:ea typeface="宋体" panose="02010600030101010101" charset="-122"/>
                    <a:cs typeface="+mn-cs"/>
                  </a:rPr>
                  <a:t>mg/L)</a:t>
                </a:r>
                <a:endParaRPr lang="zh-CN" altLang="zh-CN" sz="1000" b="1" i="0" u="none" strike="noStrike" kern="1200" baseline="0">
                  <a:solidFill>
                    <a:sysClr val="windowText" lastClr="000000"/>
                  </a:solidFill>
                  <a:latin typeface="Times New Roman" panose="02020603050405020304" charset="0"/>
                  <a:ea typeface="宋体" panose="02010600030101010101" charset="-122"/>
                  <a:cs typeface="+mn-cs"/>
                </a:endParaRPr>
              </a:p>
            </c:rich>
          </c:tx>
          <c:layout>
            <c:manualLayout>
              <c:xMode val="edge"/>
              <c:yMode val="edge"/>
              <c:x val="0.0146008441321539"/>
              <c:y val="0.364286320434487"/>
            </c:manualLayout>
          </c:layout>
          <c:overlay val="0"/>
        </c:title>
        <c:numFmt formatCode="General" sourceLinked="0"/>
        <c:majorTickMark val="out"/>
        <c:minorTickMark val="none"/>
        <c:tickLblPos val="nextTo"/>
        <c:txPr>
          <a:bodyPr rot="-60000000" spcFirstLastPara="0" vertOverflow="ellipsis" vert="horz" wrap="square" anchor="ctr" anchorCtr="1"/>
          <a:lstStyle/>
          <a:p>
            <a:pPr algn="ctr">
              <a:defRPr lang="zh-CN" altLang="en-US" sz="1000" b="0" i="0" u="none" strike="noStrike" kern="1200" baseline="0">
                <a:solidFill>
                  <a:sysClr val="windowText" lastClr="000000"/>
                </a:solidFill>
                <a:latin typeface="Times New Roman" panose="02020603050405020304" charset="0"/>
                <a:ea typeface="+mn-ea"/>
                <a:cs typeface="+mn-cs"/>
              </a:defRPr>
            </a:pPr>
          </a:p>
        </c:txPr>
        <c:crossAx val="369572480"/>
        <c:crosses val="autoZero"/>
        <c:crossBetween val="midCat"/>
      </c:valAx>
    </c:plotArea>
    <c:plotVisOnly val="1"/>
    <c:dispBlanksAs val="gap"/>
    <c:showDLblsOverMax val="0"/>
    <c:extLst>
      <c:ext uri="{0b15fc19-7d7d-44ad-8c2d-2c3a37ce22c3}">
        <chartProps xmlns="https://web.wps.cn/et/2018/main" chartId="{836bef8b-b58b-4f94-84fe-ffd308775129}"/>
      </c:ext>
    </c:extLst>
  </c:chart>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dLbls>
            <c:delete val="1"/>
          </c:dLbls>
          <c:xVal>
            <c:numRef>
              <c:f>[地下水预测结果.xlsx]COD改!$E$4:$E$34</c:f>
              <c:numCache>
                <c:formatCode>General</c:formatCode>
                <c:ptCount val="3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numCache>
            </c:numRef>
          </c:xVal>
          <c:yVal>
            <c:numRef>
              <c:f>[地下水预测结果.xlsx]COD改!$F$4:$F$34</c:f>
              <c:numCache>
                <c:formatCode>0.00E+00</c:formatCode>
                <c:ptCount val="31"/>
                <c:pt idx="0">
                  <c:v>19.84</c:v>
                </c:pt>
                <c:pt idx="1">
                  <c:v>21.74</c:v>
                </c:pt>
                <c:pt idx="2">
                  <c:v>23.74</c:v>
                </c:pt>
                <c:pt idx="3">
                  <c:v>25.94</c:v>
                </c:pt>
                <c:pt idx="4">
                  <c:v>28.14</c:v>
                </c:pt>
                <c:pt idx="5">
                  <c:v>30.54</c:v>
                </c:pt>
                <c:pt idx="6">
                  <c:v>33.04</c:v>
                </c:pt>
                <c:pt idx="7">
                  <c:v>35.64</c:v>
                </c:pt>
                <c:pt idx="8">
                  <c:v>38.34</c:v>
                </c:pt>
                <c:pt idx="9">
                  <c:v>41.14</c:v>
                </c:pt>
                <c:pt idx="10">
                  <c:v>44.04</c:v>
                </c:pt>
                <c:pt idx="11">
                  <c:v>46.94</c:v>
                </c:pt>
                <c:pt idx="12">
                  <c:v>49.94</c:v>
                </c:pt>
                <c:pt idx="13">
                  <c:v>53.04</c:v>
                </c:pt>
                <c:pt idx="14">
                  <c:v>56.14</c:v>
                </c:pt>
                <c:pt idx="15">
                  <c:v>59.24</c:v>
                </c:pt>
                <c:pt idx="16">
                  <c:v>62.34</c:v>
                </c:pt>
                <c:pt idx="17">
                  <c:v>65.44</c:v>
                </c:pt>
                <c:pt idx="18">
                  <c:v>68.44</c:v>
                </c:pt>
                <c:pt idx="19">
                  <c:v>71.44</c:v>
                </c:pt>
                <c:pt idx="20">
                  <c:v>74.44</c:v>
                </c:pt>
                <c:pt idx="21">
                  <c:v>77.34</c:v>
                </c:pt>
                <c:pt idx="22">
                  <c:v>80.04</c:v>
                </c:pt>
                <c:pt idx="23">
                  <c:v>82.74</c:v>
                </c:pt>
                <c:pt idx="24">
                  <c:v>85.24</c:v>
                </c:pt>
                <c:pt idx="25">
                  <c:v>87.64</c:v>
                </c:pt>
                <c:pt idx="26">
                  <c:v>89.84</c:v>
                </c:pt>
                <c:pt idx="27">
                  <c:v>91.84</c:v>
                </c:pt>
                <c:pt idx="28">
                  <c:v>93.64</c:v>
                </c:pt>
                <c:pt idx="29">
                  <c:v>95.24</c:v>
                </c:pt>
                <c:pt idx="30">
                  <c:v>96.64</c:v>
                </c:pt>
              </c:numCache>
            </c:numRef>
          </c:yVal>
          <c:smooth val="1"/>
        </c:ser>
        <c:dLbls>
          <c:showLegendKey val="0"/>
          <c:showVal val="0"/>
          <c:showCatName val="0"/>
          <c:showSerName val="0"/>
          <c:showPercent val="0"/>
          <c:showBubbleSize val="0"/>
        </c:dLbls>
        <c:axId val="369572480"/>
        <c:axId val="369582848"/>
      </c:scatterChart>
      <c:valAx>
        <c:axId val="369572480"/>
        <c:scaling>
          <c:orientation val="minMax"/>
        </c:scaling>
        <c:delete val="0"/>
        <c:axPos val="b"/>
        <c:title>
          <c:tx>
            <c:rich>
              <a:bodyPr rot="0" spcFirstLastPara="0" vertOverflow="ellipsis" vert="horz" wrap="square" anchor="ctr" anchorCtr="1"/>
              <a:lstStyle/>
              <a:p>
                <a:pPr algn="ctr" rtl="0">
                  <a:defRPr lang="en-US" altLang="en-US" sz="1000" b="1" i="0" u="none" strike="noStrike" kern="1200" baseline="0">
                    <a:solidFill>
                      <a:sysClr val="windowText" lastClr="000000"/>
                    </a:solidFill>
                    <a:latin typeface="Times New Roman" panose="02020603050405020304" charset="0"/>
                    <a:ea typeface="宋体" panose="02010600030101010101" charset="-122"/>
                    <a:cs typeface="+mn-cs"/>
                  </a:defRPr>
                </a:pPr>
                <a:r>
                  <a:rPr lang="zh-CN" altLang="zh-CN" sz="1000" b="1" i="0" u="none" strike="noStrike" baseline="0">
                    <a:effectLst/>
                  </a:rPr>
                  <a:t>第</a:t>
                </a:r>
                <a:r>
                  <a:rPr lang="en-US" altLang="zh-CN" sz="1000" b="1" i="0" u="none" strike="noStrike" baseline="0">
                    <a:effectLst/>
                  </a:rPr>
                  <a:t>10</a:t>
                </a:r>
                <a:r>
                  <a:rPr lang="zh-CN" sz="1000" b="1" i="0" u="none" strike="noStrike" baseline="0">
                    <a:effectLst/>
                  </a:rPr>
                  <a:t>年</a:t>
                </a:r>
                <a:r>
                  <a:rPr lang="zh-CN" altLang="zh-CN" sz="1000" b="1" i="0" u="none" strike="noStrike" baseline="0">
                    <a:effectLst/>
                  </a:rPr>
                  <a:t>时污染物浓度与距离关第变化图</a:t>
                </a:r>
                <a:r>
                  <a:rPr lang="en-US" altLang="zh-CN" sz="1000" b="1" i="0" u="none" strike="noStrike" baseline="0">
                    <a:effectLst/>
                  </a:rPr>
                  <a:t>  </a:t>
                </a:r>
                <a:r>
                  <a:rPr lang="zh-CN" altLang="zh-CN" sz="1000" b="1" i="0" u="none" strike="noStrike" baseline="0">
                    <a:effectLst/>
                  </a:rPr>
                  <a:t> </a:t>
                </a:r>
                <a:r>
                  <a:rPr lang="en-US" altLang="en-US" sz="1000" b="1" i="0" u="none" strike="noStrike" kern="1200" baseline="0">
                    <a:solidFill>
                      <a:sysClr val="windowText" lastClr="000000"/>
                    </a:solidFill>
                    <a:latin typeface="Times New Roman" panose="02020603050405020304" charset="0"/>
                    <a:ea typeface="宋体" panose="02010600030101010101" charset="-122"/>
                    <a:cs typeface="+mn-cs"/>
                  </a:rPr>
                  <a:t>X</a:t>
                </a:r>
                <a:r>
                  <a:rPr lang="zh-CN" altLang="en-US" sz="1000" b="1" i="0" u="none" strike="noStrike" kern="1200" baseline="0">
                    <a:solidFill>
                      <a:sysClr val="windowText" lastClr="000000"/>
                    </a:solidFill>
                    <a:latin typeface="Times New Roman" panose="02020603050405020304" charset="0"/>
                    <a:ea typeface="宋体" panose="02010600030101010101" charset="-122"/>
                    <a:cs typeface="+mn-cs"/>
                  </a:rPr>
                  <a:t>（</a:t>
                </a:r>
                <a:r>
                  <a:rPr lang="en-US" altLang="zh-CN" sz="1000" b="1" i="0" u="none" strike="noStrike" kern="1200" baseline="0">
                    <a:solidFill>
                      <a:sysClr val="windowText" lastClr="000000"/>
                    </a:solidFill>
                    <a:latin typeface="Times New Roman" panose="02020603050405020304" charset="0"/>
                    <a:ea typeface="宋体" panose="02010600030101010101" charset="-122"/>
                    <a:cs typeface="+mn-cs"/>
                  </a:rPr>
                  <a:t>m</a:t>
                </a:r>
                <a:r>
                  <a:rPr lang="zh-CN" altLang="en-US" sz="1000" b="1" i="0" u="none" strike="noStrike" kern="1200" baseline="0">
                    <a:solidFill>
                      <a:sysClr val="windowText" lastClr="000000"/>
                    </a:solidFill>
                    <a:latin typeface="Times New Roman" panose="02020603050405020304" charset="0"/>
                    <a:ea typeface="宋体" panose="02010600030101010101" charset="-122"/>
                    <a:cs typeface="+mn-cs"/>
                  </a:rPr>
                  <a:t>）</a:t>
                </a:r>
                <a:endParaRPr lang="en-US" altLang="en-US" sz="1000" b="1" i="0" u="none" strike="noStrike" kern="1200" baseline="0">
                  <a:solidFill>
                    <a:sysClr val="windowText" lastClr="000000"/>
                  </a:solidFill>
                  <a:latin typeface="Times New Roman" panose="02020603050405020304" charset="0"/>
                  <a:ea typeface="宋体" panose="02010600030101010101" charset="-122"/>
                  <a:cs typeface="+mn-cs"/>
                </a:endParaRPr>
              </a:p>
            </c:rich>
          </c:tx>
          <c:layout/>
          <c:overlay val="0"/>
        </c:title>
        <c:numFmt formatCode="General" sourceLinked="1"/>
        <c:majorTickMark val="out"/>
        <c:minorTickMark val="none"/>
        <c:tickLblPos val="nextTo"/>
        <c:txPr>
          <a:bodyPr rot="-60000000" spcFirstLastPara="0" vertOverflow="ellipsis" vert="horz" wrap="square" anchor="ctr" anchorCtr="1"/>
          <a:lstStyle/>
          <a:p>
            <a:pPr algn="ctr">
              <a:defRPr lang="zh-CN" altLang="en-US" sz="1000" b="0" i="0" u="none" strike="noStrike" kern="1200" baseline="0">
                <a:solidFill>
                  <a:sysClr val="windowText" lastClr="000000"/>
                </a:solidFill>
                <a:latin typeface="Times New Roman" panose="02020603050405020304" charset="0"/>
                <a:ea typeface="+mn-ea"/>
                <a:cs typeface="+mn-cs"/>
              </a:defRPr>
            </a:pPr>
          </a:p>
        </c:txPr>
        <c:crossAx val="369582848"/>
        <c:crosses val="autoZero"/>
        <c:crossBetween val="midCat"/>
      </c:valAx>
      <c:valAx>
        <c:axId val="369582848"/>
        <c:scaling>
          <c:orientation val="minMax"/>
          <c:min val="0"/>
        </c:scaling>
        <c:delete val="0"/>
        <c:axPos val="l"/>
        <c:majorGridlines/>
        <c:title>
          <c:tx>
            <c:rich>
              <a:bodyPr rot="-5400000" spcFirstLastPara="0" vertOverflow="ellipsis" vert="horz" wrap="square" anchor="ctr" anchorCtr="1"/>
              <a:lstStyle/>
              <a:p>
                <a:pPr algn="ctr" rtl="0">
                  <a:defRPr lang="zh-CN" altLang="zh-CN" sz="1000" b="1" i="0" u="none" strike="noStrike" kern="1200" baseline="0">
                    <a:solidFill>
                      <a:sysClr val="windowText" lastClr="000000"/>
                    </a:solidFill>
                    <a:latin typeface="Times New Roman" panose="02020603050405020304" charset="0"/>
                    <a:ea typeface="宋体" panose="02010600030101010101" charset="-122"/>
                    <a:cs typeface="+mn-cs"/>
                  </a:defRPr>
                </a:pPr>
                <a:r>
                  <a:rPr lang="zh-CN" altLang="zh-CN" sz="1000" b="1" i="0" u="none" strike="noStrike" kern="1200" baseline="0">
                    <a:solidFill>
                      <a:sysClr val="windowText" lastClr="000000"/>
                    </a:solidFill>
                    <a:latin typeface="Times New Roman" panose="02020603050405020304" charset="0"/>
                    <a:ea typeface="宋体" panose="02010600030101010101" charset="-122"/>
                    <a:cs typeface="+mn-cs"/>
                  </a:rPr>
                  <a:t>浓度（</a:t>
                </a:r>
                <a:r>
                  <a:rPr lang="en-US" altLang="zh-CN" sz="1000" b="1" i="0" u="none" strike="noStrike" kern="1200" baseline="0">
                    <a:solidFill>
                      <a:sysClr val="windowText" lastClr="000000"/>
                    </a:solidFill>
                    <a:latin typeface="Times New Roman" panose="02020603050405020304" charset="0"/>
                    <a:ea typeface="宋体" panose="02010600030101010101" charset="-122"/>
                    <a:cs typeface="+mn-cs"/>
                  </a:rPr>
                  <a:t>mg/L)</a:t>
                </a:r>
                <a:endParaRPr lang="zh-CN" altLang="zh-CN" sz="1000" b="1" i="0" u="none" strike="noStrike" kern="1200" baseline="0">
                  <a:solidFill>
                    <a:sysClr val="windowText" lastClr="000000"/>
                  </a:solidFill>
                  <a:latin typeface="Times New Roman" panose="02020603050405020304" charset="0"/>
                  <a:ea typeface="宋体" panose="02010600030101010101" charset="-122"/>
                  <a:cs typeface="+mn-cs"/>
                </a:endParaRPr>
              </a:p>
            </c:rich>
          </c:tx>
          <c:layout>
            <c:manualLayout>
              <c:xMode val="edge"/>
              <c:yMode val="edge"/>
              <c:x val="0.0146008441321539"/>
              <c:y val="0.364286320434487"/>
            </c:manualLayout>
          </c:layout>
          <c:overlay val="0"/>
        </c:title>
        <c:numFmt formatCode="General" sourceLinked="0"/>
        <c:majorTickMark val="out"/>
        <c:minorTickMark val="none"/>
        <c:tickLblPos val="nextTo"/>
        <c:txPr>
          <a:bodyPr rot="-60000000" spcFirstLastPara="0" vertOverflow="ellipsis" vert="horz" wrap="square" anchor="ctr" anchorCtr="1"/>
          <a:lstStyle/>
          <a:p>
            <a:pPr algn="ctr">
              <a:defRPr lang="zh-CN" altLang="en-US" sz="1000" b="0" i="0" u="none" strike="noStrike" kern="1200" baseline="0">
                <a:solidFill>
                  <a:sysClr val="windowText" lastClr="000000"/>
                </a:solidFill>
                <a:latin typeface="Times New Roman" panose="02020603050405020304" charset="0"/>
                <a:ea typeface="+mn-ea"/>
                <a:cs typeface="+mn-cs"/>
              </a:defRPr>
            </a:pPr>
          </a:p>
        </c:txPr>
        <c:crossAx val="369572480"/>
        <c:crosses val="autoZero"/>
        <c:crossBetween val="midCat"/>
      </c:valAx>
    </c:plotArea>
    <c:plotVisOnly val="1"/>
    <c:dispBlanksAs val="gap"/>
    <c:showDLblsOverMax val="0"/>
    <c:extLst>
      <c:ext uri="{0b15fc19-7d7d-44ad-8c2d-2c3a37ce22c3}">
        <chartProps xmlns="https://web.wps.cn/et/2018/main" chartId="{f13c54a4-25f5-40b3-9059-f74d4dcb0757}"/>
      </c:ext>
    </c:extLst>
  </c:chart>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b" anchorCtr="1"/>
          <a:lstStyle/>
          <a:p>
            <a:pPr algn="ctr" rtl="0">
              <a:defRPr lang="en-US" altLang="en-US" sz="1000" b="1" i="0" u="none" strike="noStrike" kern="1200" baseline="0">
                <a:solidFill>
                  <a:sysClr val="windowText" lastClr="000000"/>
                </a:solidFill>
                <a:latin typeface="Times New Roman" panose="02020603050405020304" charset="0"/>
                <a:ea typeface="宋体" panose="02010600030101010101" charset="-122"/>
                <a:cs typeface="+mn-cs"/>
              </a:defRPr>
            </a:pPr>
            <a:r>
              <a:rPr lang="zh-CN" altLang="en-US" sz="1000" b="1" i="0" u="none" strike="noStrike" kern="1200" baseline="0">
                <a:solidFill>
                  <a:sysClr val="windowText" lastClr="000000"/>
                </a:solidFill>
                <a:latin typeface="Times New Roman" panose="02020603050405020304" charset="0"/>
                <a:ea typeface="宋体" panose="02010600030101010101" charset="-122"/>
                <a:cs typeface="+mn-cs"/>
              </a:rPr>
              <a:t>第</a:t>
            </a:r>
            <a:r>
              <a:rPr lang="en-US" altLang="zh-CN" sz="1000" b="1" i="0" u="none" strike="noStrike" kern="1200" baseline="0">
                <a:solidFill>
                  <a:sysClr val="windowText" lastClr="000000"/>
                </a:solidFill>
                <a:latin typeface="Times New Roman" panose="02020603050405020304" charset="0"/>
                <a:ea typeface="宋体" panose="02010600030101010101" charset="-122"/>
                <a:cs typeface="+mn-cs"/>
              </a:rPr>
              <a:t>100</a:t>
            </a:r>
            <a:r>
              <a:rPr lang="zh-CN" altLang="en-US" sz="1000" b="1" i="0" u="none" strike="noStrike" kern="1200" baseline="0">
                <a:solidFill>
                  <a:sysClr val="windowText" lastClr="000000"/>
                </a:solidFill>
                <a:latin typeface="Times New Roman" panose="02020603050405020304" charset="0"/>
                <a:ea typeface="宋体" panose="02010600030101010101" charset="-122"/>
                <a:cs typeface="+mn-cs"/>
              </a:rPr>
              <a:t>天时污染物浓度与距离关第变化图      </a:t>
            </a:r>
            <a:r>
              <a:rPr lang="en-US" altLang="zh-CN" sz="1000" b="1" i="0" u="none" strike="noStrike" kern="1200" baseline="0">
                <a:solidFill>
                  <a:sysClr val="windowText" lastClr="000000"/>
                </a:solidFill>
                <a:latin typeface="Times New Roman" panose="02020603050405020304" charset="0"/>
                <a:ea typeface="宋体" panose="02010600030101010101" charset="-122"/>
                <a:cs typeface="+mn-cs"/>
              </a:rPr>
              <a:t>X</a:t>
            </a:r>
            <a:r>
              <a:rPr lang="zh-CN" altLang="en-US" sz="1000" b="1" i="0" u="none" strike="noStrike" kern="1200" baseline="0">
                <a:solidFill>
                  <a:sysClr val="windowText" lastClr="000000"/>
                </a:solidFill>
                <a:latin typeface="Times New Roman" panose="02020603050405020304" charset="0"/>
                <a:ea typeface="宋体" panose="02010600030101010101" charset="-122"/>
                <a:cs typeface="+mn-cs"/>
              </a:rPr>
              <a:t>（</a:t>
            </a:r>
            <a:r>
              <a:rPr lang="en-US" altLang="zh-CN" sz="1000" b="1" i="0" u="none" strike="noStrike" kern="1200" baseline="0">
                <a:solidFill>
                  <a:sysClr val="windowText" lastClr="000000"/>
                </a:solidFill>
                <a:latin typeface="Times New Roman" panose="02020603050405020304" charset="0"/>
                <a:ea typeface="宋体" panose="02010600030101010101" charset="-122"/>
                <a:cs typeface="+mn-cs"/>
              </a:rPr>
              <a:t>m</a:t>
            </a:r>
            <a:r>
              <a:rPr lang="zh-CN" altLang="en-US" sz="1000" b="1" i="0" u="none" strike="noStrike" kern="1200" baseline="0">
                <a:solidFill>
                  <a:sysClr val="windowText" lastClr="000000"/>
                </a:solidFill>
                <a:latin typeface="Times New Roman" panose="02020603050405020304" charset="0"/>
                <a:ea typeface="宋体" panose="02010600030101010101" charset="-122"/>
                <a:cs typeface="+mn-cs"/>
              </a:rPr>
              <a:t>）</a:t>
            </a:r>
            <a:endParaRPr lang="en-US" altLang="en-US" sz="1000" b="1" i="0" u="none" strike="noStrike" kern="1200" baseline="0">
              <a:solidFill>
                <a:sysClr val="windowText" lastClr="000000"/>
              </a:solidFill>
              <a:latin typeface="Times New Roman" panose="02020603050405020304" charset="0"/>
              <a:ea typeface="宋体" panose="02010600030101010101" charset="-122"/>
              <a:cs typeface="+mn-cs"/>
            </a:endParaRPr>
          </a:p>
        </c:rich>
      </c:tx>
      <c:layout>
        <c:manualLayout>
          <c:xMode val="edge"/>
          <c:yMode val="edge"/>
          <c:x val="0.196594427244582"/>
          <c:y val="0.885078770771967"/>
        </c:manualLayout>
      </c:layout>
      <c:overlay val="0"/>
    </c:title>
    <c:autoTitleDeleted val="0"/>
    <c:plotArea>
      <c:layout>
        <c:manualLayout>
          <c:layoutTarget val="inner"/>
          <c:xMode val="edge"/>
          <c:yMode val="edge"/>
          <c:x val="0.178296808791579"/>
          <c:y val="0.0854943444052941"/>
          <c:w val="0.775659537636796"/>
          <c:h val="0.684005886547419"/>
        </c:manualLayout>
      </c:layout>
      <c:scatterChart>
        <c:scatterStyle val="smoothMarker"/>
        <c:varyColors val="0"/>
        <c:ser>
          <c:idx val="0"/>
          <c:order val="0"/>
          <c:dLbls>
            <c:delete val="1"/>
          </c:dLbls>
          <c:xVal>
            <c:numRef>
              <c:f>'[地下水预测结果.xlsx]氯化物-新'!$A$4:$A$34</c:f>
              <c:numCache>
                <c:formatCode>General</c:formatCode>
                <c:ptCount val="3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numCache>
            </c:numRef>
          </c:xVal>
          <c:yVal>
            <c:numRef>
              <c:f>'[地下水预测结果.xlsx]氯化物-新'!$B$4:$B$34</c:f>
              <c:numCache>
                <c:formatCode>0.00E+00</c:formatCode>
                <c:ptCount val="31"/>
                <c:pt idx="0">
                  <c:v>20015.8</c:v>
                </c:pt>
                <c:pt idx="1">
                  <c:v>16515.8</c:v>
                </c:pt>
                <c:pt idx="2">
                  <c:v>12915.8</c:v>
                </c:pt>
                <c:pt idx="3">
                  <c:v>9515.8</c:v>
                </c:pt>
                <c:pt idx="4">
                  <c:v>6595.8</c:v>
                </c:pt>
                <c:pt idx="5">
                  <c:v>4285.8</c:v>
                </c:pt>
                <c:pt idx="6">
                  <c:v>2605.8</c:v>
                </c:pt>
                <c:pt idx="7">
                  <c:v>1485.8</c:v>
                </c:pt>
                <c:pt idx="8">
                  <c:v>791.8</c:v>
                </c:pt>
                <c:pt idx="9">
                  <c:v>396.8</c:v>
                </c:pt>
                <c:pt idx="10">
                  <c:v>189.8</c:v>
                </c:pt>
                <c:pt idx="11">
                  <c:v>89.7</c:v>
                </c:pt>
                <c:pt idx="12">
                  <c:v>44.9</c:v>
                </c:pt>
                <c:pt idx="13">
                  <c:v>26.4</c:v>
                </c:pt>
                <c:pt idx="14">
                  <c:v>19.4</c:v>
                </c:pt>
                <c:pt idx="15">
                  <c:v>16.93</c:v>
                </c:pt>
                <c:pt idx="16">
                  <c:v>16.128</c:v>
                </c:pt>
                <c:pt idx="17">
                  <c:v>15.8882</c:v>
                </c:pt>
                <c:pt idx="18">
                  <c:v>15.822</c:v>
                </c:pt>
                <c:pt idx="19">
                  <c:v>15.80506</c:v>
                </c:pt>
                <c:pt idx="20">
                  <c:v>15.80108</c:v>
                </c:pt>
                <c:pt idx="21">
                  <c:v>15.800213</c:v>
                </c:pt>
                <c:pt idx="22">
                  <c:v>15.8000388</c:v>
                </c:pt>
                <c:pt idx="23">
                  <c:v>15.80000655</c:v>
                </c:pt>
                <c:pt idx="24">
                  <c:v>15.80000102</c:v>
                </c:pt>
                <c:pt idx="25">
                  <c:v>15.800000153</c:v>
                </c:pt>
                <c:pt idx="26">
                  <c:v>15.8000000211</c:v>
                </c:pt>
                <c:pt idx="27">
                  <c:v>15.80000000256</c:v>
                </c:pt>
                <c:pt idx="28">
                  <c:v>15.800000000278</c:v>
                </c:pt>
                <c:pt idx="29">
                  <c:v>15.8000000000155</c:v>
                </c:pt>
                <c:pt idx="30">
                  <c:v>15.8000000000011</c:v>
                </c:pt>
              </c:numCache>
            </c:numRef>
          </c:yVal>
          <c:smooth val="1"/>
        </c:ser>
        <c:dLbls>
          <c:showLegendKey val="0"/>
          <c:showVal val="0"/>
          <c:showCatName val="0"/>
          <c:showSerName val="0"/>
          <c:showPercent val="0"/>
          <c:showBubbleSize val="0"/>
        </c:dLbls>
        <c:axId val="369128192"/>
        <c:axId val="369129728"/>
      </c:scatterChart>
      <c:valAx>
        <c:axId val="369128192"/>
        <c:scaling>
          <c:orientation val="minMax"/>
        </c:scaling>
        <c:delete val="0"/>
        <c:axPos val="b"/>
        <c:majorGridlines>
          <c:spPr>
            <a:ln w="9525" cap="flat" cmpd="sng" algn="ctr">
              <a:noFill/>
              <a:prstDash val="solid"/>
              <a:round/>
            </a:ln>
          </c:spPr>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mn-cs"/>
              </a:defRPr>
            </a:pPr>
          </a:p>
        </c:txPr>
        <c:crossAx val="369129728"/>
        <c:crosses val="autoZero"/>
        <c:crossBetween val="midCat"/>
      </c:valAx>
      <c:valAx>
        <c:axId val="369129728"/>
        <c:scaling>
          <c:orientation val="minMax"/>
          <c:min val="0"/>
        </c:scaling>
        <c:delete val="0"/>
        <c:axPos val="l"/>
        <c:majorGridlines/>
        <c:title>
          <c:tx>
            <c:rich>
              <a:bodyPr rot="-5400000" spcFirstLastPara="0" vertOverflow="ellipsis" vert="horz" wrap="square" anchor="ctr" anchorCtr="1"/>
              <a:lstStyle/>
              <a:p>
                <a:pPr algn="ctr" rtl="0">
                  <a:defRPr lang="zh-CN" altLang="zh-CN" sz="1000" b="1" i="0" u="none" strike="noStrike" kern="1200" baseline="0">
                    <a:solidFill>
                      <a:sysClr val="windowText" lastClr="000000"/>
                    </a:solidFill>
                    <a:latin typeface="Times New Roman" panose="02020603050405020304" charset="0"/>
                    <a:ea typeface="宋体" panose="02010600030101010101" charset="-122"/>
                    <a:cs typeface="+mn-cs"/>
                  </a:defRPr>
                </a:pPr>
                <a:r>
                  <a:rPr lang="zh-CN" altLang="zh-CN" sz="1000" b="1" i="0" u="none" strike="noStrike" kern="1200" baseline="0">
                    <a:solidFill>
                      <a:sysClr val="windowText" lastClr="000000"/>
                    </a:solidFill>
                    <a:latin typeface="Times New Roman" panose="02020603050405020304" charset="0"/>
                    <a:ea typeface="宋体" panose="02010600030101010101" charset="-122"/>
                    <a:cs typeface="+mn-cs"/>
                  </a:rPr>
                  <a:t>浓度（</a:t>
                </a:r>
                <a:r>
                  <a:rPr lang="en-US" altLang="zh-CN" sz="1000" b="1" i="0" u="none" strike="noStrike" kern="1200" baseline="0">
                    <a:solidFill>
                      <a:sysClr val="windowText" lastClr="000000"/>
                    </a:solidFill>
                    <a:latin typeface="Times New Roman" panose="02020603050405020304" charset="0"/>
                    <a:ea typeface="宋体" panose="02010600030101010101" charset="-122"/>
                    <a:cs typeface="+mn-cs"/>
                  </a:rPr>
                  <a:t>mg/L)</a:t>
                </a:r>
                <a:endParaRPr lang="zh-CN" altLang="zh-CN" sz="1000" b="1" i="0" u="none" strike="noStrike" kern="1200" baseline="0">
                  <a:solidFill>
                    <a:sysClr val="windowText" lastClr="000000"/>
                  </a:solidFill>
                  <a:latin typeface="Times New Roman" panose="02020603050405020304" charset="0"/>
                  <a:ea typeface="宋体" panose="02010600030101010101" charset="-122"/>
                  <a:cs typeface="+mn-cs"/>
                </a:endParaRPr>
              </a:p>
            </c:rich>
          </c:tx>
          <c:layout>
            <c:manualLayout>
              <c:xMode val="edge"/>
              <c:yMode val="edge"/>
              <c:x val="0.000711389548578361"/>
              <c:y val="0.288769359388898"/>
            </c:manualLayout>
          </c:layout>
          <c:overlay val="0"/>
        </c:title>
        <c:numFmt formatCode="General" sourceLinked="0"/>
        <c:majorTickMark val="out"/>
        <c:minorTickMark val="none"/>
        <c:tickLblPos val="nextTo"/>
        <c:txPr>
          <a:bodyPr rot="-60000000" spcFirstLastPara="0" vertOverflow="ellipsis" vert="horz" wrap="square" anchor="ctr" anchorCtr="1"/>
          <a:lstStyle/>
          <a:p>
            <a:pPr algn="ctr">
              <a:defRPr lang="zh-CN" altLang="en-US" sz="1000" b="0" i="0" u="none" strike="noStrike" kern="1200" baseline="0">
                <a:solidFill>
                  <a:sysClr val="windowText" lastClr="000000"/>
                </a:solidFill>
                <a:latin typeface="Times New Roman" panose="02020603050405020304" charset="0"/>
                <a:ea typeface="+mn-ea"/>
                <a:cs typeface="+mn-cs"/>
              </a:defRPr>
            </a:pPr>
          </a:p>
        </c:txPr>
        <c:crossAx val="369128192"/>
        <c:crosses val="autoZero"/>
        <c:crossBetween val="midCat"/>
      </c:valAx>
    </c:plotArea>
    <c:plotVisOnly val="1"/>
    <c:dispBlanksAs val="gap"/>
    <c:showDLblsOverMax val="0"/>
    <c:extLst>
      <c:ext uri="{0b15fc19-7d7d-44ad-8c2d-2c3a37ce22c3}">
        <chartProps xmlns="https://web.wps.cn/et/2018/main" chartId="{9e85c277-08b2-4282-925e-e39a671b1fb0}"/>
      </c:ext>
    </c:extLst>
  </c:chart>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dLbls>
            <c:delete val="1"/>
          </c:dLbls>
          <c:xVal>
            <c:numRef>
              <c:f>'[地下水预测结果.xlsx]氯化物-新'!$C$4:$C$34</c:f>
              <c:numCache>
                <c:formatCode>General</c:formatCode>
                <c:ptCount val="3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numCache>
            </c:numRef>
          </c:xVal>
          <c:yVal>
            <c:numRef>
              <c:f>'[地下水预测结果.xlsx]氯化物-新'!$D$4:$D$34</c:f>
              <c:numCache>
                <c:formatCode>0.00E+00</c:formatCode>
                <c:ptCount val="31"/>
                <c:pt idx="0">
                  <c:v>773.8</c:v>
                </c:pt>
                <c:pt idx="1">
                  <c:v>939.8</c:v>
                </c:pt>
                <c:pt idx="2">
                  <c:v>1115.8</c:v>
                </c:pt>
                <c:pt idx="3">
                  <c:v>1285.8</c:v>
                </c:pt>
                <c:pt idx="4">
                  <c:v>1465.8</c:v>
                </c:pt>
                <c:pt idx="5">
                  <c:v>1635.8</c:v>
                </c:pt>
                <c:pt idx="6">
                  <c:v>1785.8</c:v>
                </c:pt>
                <c:pt idx="7">
                  <c:v>1935.8</c:v>
                </c:pt>
                <c:pt idx="8">
                  <c:v>2055.8</c:v>
                </c:pt>
                <c:pt idx="9">
                  <c:v>2155.8</c:v>
                </c:pt>
                <c:pt idx="10">
                  <c:v>2235.8</c:v>
                </c:pt>
                <c:pt idx="11">
                  <c:v>2285.8</c:v>
                </c:pt>
                <c:pt idx="12">
                  <c:v>2305.8</c:v>
                </c:pt>
                <c:pt idx="13">
                  <c:v>2295.8</c:v>
                </c:pt>
                <c:pt idx="14">
                  <c:v>2265.8</c:v>
                </c:pt>
                <c:pt idx="15">
                  <c:v>2205.8</c:v>
                </c:pt>
                <c:pt idx="16">
                  <c:v>2125.8</c:v>
                </c:pt>
                <c:pt idx="17">
                  <c:v>2025.8</c:v>
                </c:pt>
                <c:pt idx="18">
                  <c:v>1905.8</c:v>
                </c:pt>
                <c:pt idx="19">
                  <c:v>1775.8</c:v>
                </c:pt>
                <c:pt idx="20">
                  <c:v>1635.8</c:v>
                </c:pt>
                <c:pt idx="21">
                  <c:v>1495.8</c:v>
                </c:pt>
                <c:pt idx="22">
                  <c:v>1345.8</c:v>
                </c:pt>
                <c:pt idx="23">
                  <c:v>1205.8</c:v>
                </c:pt>
                <c:pt idx="24">
                  <c:v>1065.8</c:v>
                </c:pt>
                <c:pt idx="25">
                  <c:v>935.8</c:v>
                </c:pt>
                <c:pt idx="26">
                  <c:v>812.8</c:v>
                </c:pt>
                <c:pt idx="27">
                  <c:v>700.8</c:v>
                </c:pt>
                <c:pt idx="28">
                  <c:v>597.8</c:v>
                </c:pt>
                <c:pt idx="29">
                  <c:v>505.8</c:v>
                </c:pt>
                <c:pt idx="30">
                  <c:v>424.8</c:v>
                </c:pt>
              </c:numCache>
            </c:numRef>
          </c:yVal>
          <c:smooth val="1"/>
        </c:ser>
        <c:dLbls>
          <c:showLegendKey val="0"/>
          <c:showVal val="0"/>
          <c:showCatName val="0"/>
          <c:showSerName val="0"/>
          <c:showPercent val="0"/>
          <c:showBubbleSize val="0"/>
        </c:dLbls>
        <c:axId val="369572480"/>
        <c:axId val="369582848"/>
      </c:scatterChart>
      <c:valAx>
        <c:axId val="369572480"/>
        <c:scaling>
          <c:orientation val="minMax"/>
        </c:scaling>
        <c:delete val="0"/>
        <c:axPos val="b"/>
        <c:title>
          <c:tx>
            <c:rich>
              <a:bodyPr rot="0" spcFirstLastPara="0" vertOverflow="ellipsis" vert="horz" wrap="square" anchor="ctr" anchorCtr="1"/>
              <a:lstStyle/>
              <a:p>
                <a:pPr algn="ctr" rtl="0">
                  <a:defRPr lang="en-US" altLang="en-US" sz="1000" b="1" i="0" u="none" strike="noStrike" kern="1200" baseline="0">
                    <a:solidFill>
                      <a:sysClr val="windowText" lastClr="000000"/>
                    </a:solidFill>
                    <a:latin typeface="Times New Roman" panose="02020603050405020304" charset="0"/>
                    <a:ea typeface="宋体" panose="02010600030101010101" charset="-122"/>
                    <a:cs typeface="+mn-cs"/>
                  </a:defRPr>
                </a:pPr>
                <a:r>
                  <a:rPr lang="zh-CN" altLang="zh-CN" sz="1000" b="1" i="0" u="none" strike="noStrike" baseline="0">
                    <a:effectLst/>
                  </a:rPr>
                  <a:t>第</a:t>
                </a:r>
                <a:r>
                  <a:rPr lang="en-US" altLang="zh-CN" sz="1000" b="1" i="0" u="none" strike="noStrike" baseline="0">
                    <a:effectLst/>
                  </a:rPr>
                  <a:t>1000</a:t>
                </a:r>
                <a:r>
                  <a:rPr lang="zh-CN" altLang="zh-CN" sz="1000" b="1" i="0" u="none" strike="noStrike" baseline="0">
                    <a:effectLst/>
                  </a:rPr>
                  <a:t>天时污染物浓度与距离关第变化图</a:t>
                </a:r>
                <a:r>
                  <a:rPr lang="en-US" altLang="zh-CN" sz="1000" b="1" i="0" u="none" strike="noStrike" baseline="0">
                    <a:effectLst/>
                  </a:rPr>
                  <a:t>  </a:t>
                </a:r>
                <a:r>
                  <a:rPr lang="zh-CN" altLang="zh-CN" sz="1000" b="1" i="0" u="none" strike="noStrike" baseline="0">
                    <a:effectLst/>
                  </a:rPr>
                  <a:t> </a:t>
                </a:r>
                <a:r>
                  <a:rPr lang="en-US" altLang="en-US" sz="1000" b="1" i="0" u="none" strike="noStrike" kern="1200" baseline="0">
                    <a:solidFill>
                      <a:sysClr val="windowText" lastClr="000000"/>
                    </a:solidFill>
                    <a:latin typeface="Times New Roman" panose="02020603050405020304" charset="0"/>
                    <a:ea typeface="宋体" panose="02010600030101010101" charset="-122"/>
                    <a:cs typeface="+mn-cs"/>
                  </a:rPr>
                  <a:t>X</a:t>
                </a:r>
                <a:r>
                  <a:rPr lang="zh-CN" altLang="en-US" sz="1000" b="1" i="0" u="none" strike="noStrike" kern="1200" baseline="0">
                    <a:solidFill>
                      <a:sysClr val="windowText" lastClr="000000"/>
                    </a:solidFill>
                    <a:latin typeface="Times New Roman" panose="02020603050405020304" charset="0"/>
                    <a:ea typeface="宋体" panose="02010600030101010101" charset="-122"/>
                    <a:cs typeface="+mn-cs"/>
                  </a:rPr>
                  <a:t>（</a:t>
                </a:r>
                <a:r>
                  <a:rPr lang="en-US" altLang="zh-CN" sz="1000" b="1" i="0" u="none" strike="noStrike" kern="1200" baseline="0">
                    <a:solidFill>
                      <a:sysClr val="windowText" lastClr="000000"/>
                    </a:solidFill>
                    <a:latin typeface="Times New Roman" panose="02020603050405020304" charset="0"/>
                    <a:ea typeface="宋体" panose="02010600030101010101" charset="-122"/>
                    <a:cs typeface="+mn-cs"/>
                  </a:rPr>
                  <a:t>m</a:t>
                </a:r>
                <a:r>
                  <a:rPr lang="zh-CN" altLang="en-US" sz="1000" b="1" i="0" u="none" strike="noStrike" kern="1200" baseline="0">
                    <a:solidFill>
                      <a:sysClr val="windowText" lastClr="000000"/>
                    </a:solidFill>
                    <a:latin typeface="Times New Roman" panose="02020603050405020304" charset="0"/>
                    <a:ea typeface="宋体" panose="02010600030101010101" charset="-122"/>
                    <a:cs typeface="+mn-cs"/>
                  </a:rPr>
                  <a:t>）</a:t>
                </a:r>
                <a:endParaRPr lang="en-US" altLang="en-US" sz="1000" b="1" i="0" u="none" strike="noStrike" kern="1200" baseline="0">
                  <a:solidFill>
                    <a:sysClr val="windowText" lastClr="000000"/>
                  </a:solidFill>
                  <a:latin typeface="Times New Roman" panose="02020603050405020304" charset="0"/>
                  <a:ea typeface="宋体" panose="02010600030101010101" charset="-122"/>
                  <a:cs typeface="+mn-cs"/>
                </a:endParaRPr>
              </a:p>
            </c:rich>
          </c:tx>
          <c:layout/>
          <c:overlay val="0"/>
        </c:title>
        <c:numFmt formatCode="General" sourceLinked="1"/>
        <c:majorTickMark val="out"/>
        <c:minorTickMark val="none"/>
        <c:tickLblPos val="nextTo"/>
        <c:txPr>
          <a:bodyPr rot="-60000000" spcFirstLastPara="0" vertOverflow="ellipsis" vert="horz" wrap="square" anchor="ctr" anchorCtr="1"/>
          <a:lstStyle/>
          <a:p>
            <a:pPr algn="ctr">
              <a:defRPr lang="zh-CN" altLang="en-US" sz="1000" b="0" i="0" u="none" strike="noStrike" kern="1200" baseline="0">
                <a:solidFill>
                  <a:sysClr val="windowText" lastClr="000000"/>
                </a:solidFill>
                <a:latin typeface="Times New Roman" panose="02020603050405020304" charset="0"/>
                <a:ea typeface="+mn-ea"/>
                <a:cs typeface="+mn-cs"/>
              </a:defRPr>
            </a:pPr>
          </a:p>
        </c:txPr>
        <c:crossAx val="369582848"/>
        <c:crosses val="autoZero"/>
        <c:crossBetween val="midCat"/>
      </c:valAx>
      <c:valAx>
        <c:axId val="369582848"/>
        <c:scaling>
          <c:orientation val="minMax"/>
          <c:min val="0"/>
        </c:scaling>
        <c:delete val="0"/>
        <c:axPos val="l"/>
        <c:majorGridlines/>
        <c:title>
          <c:tx>
            <c:rich>
              <a:bodyPr rot="-5400000" spcFirstLastPara="0" vertOverflow="ellipsis" vert="horz" wrap="square" anchor="ctr" anchorCtr="1"/>
              <a:lstStyle/>
              <a:p>
                <a:pPr algn="ctr" rtl="0">
                  <a:defRPr lang="zh-CN" altLang="zh-CN" sz="1000" b="1" i="0" u="none" strike="noStrike" kern="1200" baseline="0">
                    <a:solidFill>
                      <a:sysClr val="windowText" lastClr="000000"/>
                    </a:solidFill>
                    <a:latin typeface="Times New Roman" panose="02020603050405020304" charset="0"/>
                    <a:ea typeface="宋体" panose="02010600030101010101" charset="-122"/>
                    <a:cs typeface="+mn-cs"/>
                  </a:defRPr>
                </a:pPr>
                <a:r>
                  <a:rPr lang="zh-CN" altLang="zh-CN" sz="1000" b="1" i="0" u="none" strike="noStrike" kern="1200" baseline="0">
                    <a:solidFill>
                      <a:sysClr val="windowText" lastClr="000000"/>
                    </a:solidFill>
                    <a:latin typeface="Times New Roman" panose="02020603050405020304" charset="0"/>
                    <a:ea typeface="宋体" panose="02010600030101010101" charset="-122"/>
                    <a:cs typeface="+mn-cs"/>
                  </a:rPr>
                  <a:t>浓度（</a:t>
                </a:r>
                <a:r>
                  <a:rPr lang="en-US" altLang="zh-CN" sz="1000" b="1" i="0" u="none" strike="noStrike" kern="1200" baseline="0">
                    <a:solidFill>
                      <a:sysClr val="windowText" lastClr="000000"/>
                    </a:solidFill>
                    <a:latin typeface="Times New Roman" panose="02020603050405020304" charset="0"/>
                    <a:ea typeface="宋体" panose="02010600030101010101" charset="-122"/>
                    <a:cs typeface="+mn-cs"/>
                  </a:rPr>
                  <a:t>mg/L)</a:t>
                </a:r>
                <a:endParaRPr lang="zh-CN" altLang="zh-CN" sz="1000" b="1" i="0" u="none" strike="noStrike" kern="1200" baseline="0">
                  <a:solidFill>
                    <a:sysClr val="windowText" lastClr="000000"/>
                  </a:solidFill>
                  <a:latin typeface="Times New Roman" panose="02020603050405020304" charset="0"/>
                  <a:ea typeface="宋体" panose="02010600030101010101" charset="-122"/>
                  <a:cs typeface="+mn-cs"/>
                </a:endParaRPr>
              </a:p>
            </c:rich>
          </c:tx>
          <c:layout>
            <c:manualLayout>
              <c:xMode val="edge"/>
              <c:yMode val="edge"/>
              <c:x val="0.0146008441321539"/>
              <c:y val="0.364286320434487"/>
            </c:manualLayout>
          </c:layout>
          <c:overlay val="0"/>
        </c:title>
        <c:numFmt formatCode="General" sourceLinked="0"/>
        <c:majorTickMark val="out"/>
        <c:minorTickMark val="none"/>
        <c:tickLblPos val="nextTo"/>
        <c:txPr>
          <a:bodyPr rot="-60000000" spcFirstLastPara="0" vertOverflow="ellipsis" vert="horz" wrap="square" anchor="ctr" anchorCtr="1"/>
          <a:lstStyle/>
          <a:p>
            <a:pPr algn="ctr">
              <a:defRPr lang="zh-CN" altLang="en-US" sz="1000" b="0" i="0" u="none" strike="noStrike" kern="1200" baseline="0">
                <a:solidFill>
                  <a:sysClr val="windowText" lastClr="000000"/>
                </a:solidFill>
                <a:latin typeface="Times New Roman" panose="02020603050405020304" charset="0"/>
                <a:ea typeface="+mn-ea"/>
                <a:cs typeface="+mn-cs"/>
              </a:defRPr>
            </a:pPr>
          </a:p>
        </c:txPr>
        <c:crossAx val="369572480"/>
        <c:crosses val="autoZero"/>
        <c:crossBetween val="midCat"/>
      </c:valAx>
    </c:plotArea>
    <c:plotVisOnly val="1"/>
    <c:dispBlanksAs val="gap"/>
    <c:showDLblsOverMax val="0"/>
    <c:extLst>
      <c:ext uri="{0b15fc19-7d7d-44ad-8c2d-2c3a37ce22c3}">
        <chartProps xmlns="https://web.wps.cn/et/2018/main" chartId="{836bef8b-b58b-4f94-84fe-ffd308775129}"/>
      </c:ext>
    </c:extLst>
  </c:chart>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dLbls>
            <c:delete val="1"/>
          </c:dLbls>
          <c:xVal>
            <c:numRef>
              <c:f>'[地下水预测结果.xlsx]氯化物-新'!$E$4:$E$34</c:f>
              <c:numCache>
                <c:formatCode>General</c:formatCode>
                <c:ptCount val="3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numCache>
            </c:numRef>
          </c:xVal>
          <c:yVal>
            <c:numRef>
              <c:f>'[地下水预测结果.xlsx]氯化物-新'!$F$4:$F$34</c:f>
              <c:numCache>
                <c:formatCode>0.00E+00</c:formatCode>
                <c:ptCount val="31"/>
                <c:pt idx="0">
                  <c:v>200.8</c:v>
                </c:pt>
                <c:pt idx="1">
                  <c:v>219.8</c:v>
                </c:pt>
                <c:pt idx="2">
                  <c:v>239.8</c:v>
                </c:pt>
                <c:pt idx="3">
                  <c:v>261.8</c:v>
                </c:pt>
                <c:pt idx="4">
                  <c:v>283.8</c:v>
                </c:pt>
                <c:pt idx="5">
                  <c:v>307.8</c:v>
                </c:pt>
                <c:pt idx="6">
                  <c:v>332.8</c:v>
                </c:pt>
                <c:pt idx="7">
                  <c:v>358.8</c:v>
                </c:pt>
                <c:pt idx="8">
                  <c:v>385.8</c:v>
                </c:pt>
                <c:pt idx="9">
                  <c:v>413.8</c:v>
                </c:pt>
                <c:pt idx="10">
                  <c:v>442.8</c:v>
                </c:pt>
                <c:pt idx="11">
                  <c:v>471.8</c:v>
                </c:pt>
                <c:pt idx="12">
                  <c:v>501.8</c:v>
                </c:pt>
                <c:pt idx="13">
                  <c:v>532.8</c:v>
                </c:pt>
                <c:pt idx="14">
                  <c:v>563.8</c:v>
                </c:pt>
                <c:pt idx="15">
                  <c:v>594.8</c:v>
                </c:pt>
                <c:pt idx="16">
                  <c:v>625.8</c:v>
                </c:pt>
                <c:pt idx="17">
                  <c:v>656.8</c:v>
                </c:pt>
                <c:pt idx="18">
                  <c:v>686.8</c:v>
                </c:pt>
                <c:pt idx="19">
                  <c:v>716.8</c:v>
                </c:pt>
                <c:pt idx="20">
                  <c:v>746.8</c:v>
                </c:pt>
                <c:pt idx="21">
                  <c:v>775.8</c:v>
                </c:pt>
                <c:pt idx="22">
                  <c:v>802.8</c:v>
                </c:pt>
                <c:pt idx="23">
                  <c:v>829.8</c:v>
                </c:pt>
                <c:pt idx="24">
                  <c:v>854.8</c:v>
                </c:pt>
                <c:pt idx="25">
                  <c:v>878.8</c:v>
                </c:pt>
                <c:pt idx="26">
                  <c:v>900.8</c:v>
                </c:pt>
                <c:pt idx="27">
                  <c:v>920.8</c:v>
                </c:pt>
                <c:pt idx="28">
                  <c:v>938.8</c:v>
                </c:pt>
                <c:pt idx="29">
                  <c:v>954.8</c:v>
                </c:pt>
                <c:pt idx="30">
                  <c:v>968.8</c:v>
                </c:pt>
              </c:numCache>
            </c:numRef>
          </c:yVal>
          <c:smooth val="1"/>
        </c:ser>
        <c:dLbls>
          <c:showLegendKey val="0"/>
          <c:showVal val="0"/>
          <c:showCatName val="0"/>
          <c:showSerName val="0"/>
          <c:showPercent val="0"/>
          <c:showBubbleSize val="0"/>
        </c:dLbls>
        <c:axId val="369572480"/>
        <c:axId val="369582848"/>
      </c:scatterChart>
      <c:valAx>
        <c:axId val="369572480"/>
        <c:scaling>
          <c:orientation val="minMax"/>
        </c:scaling>
        <c:delete val="0"/>
        <c:axPos val="b"/>
        <c:title>
          <c:tx>
            <c:rich>
              <a:bodyPr rot="0" spcFirstLastPara="0" vertOverflow="ellipsis" vert="horz" wrap="square" anchor="ctr" anchorCtr="1"/>
              <a:lstStyle/>
              <a:p>
                <a:pPr algn="ctr" rtl="0">
                  <a:defRPr lang="en-US" altLang="en-US" sz="1000" b="1" i="0" u="none" strike="noStrike" kern="1200" baseline="0">
                    <a:solidFill>
                      <a:sysClr val="windowText" lastClr="000000"/>
                    </a:solidFill>
                    <a:latin typeface="Times New Roman" panose="02020603050405020304" charset="0"/>
                    <a:ea typeface="宋体" panose="02010600030101010101" charset="-122"/>
                    <a:cs typeface="+mn-cs"/>
                  </a:defRPr>
                </a:pPr>
                <a:r>
                  <a:rPr lang="zh-CN" altLang="zh-CN" sz="1000" b="1" i="0" u="none" strike="noStrike" baseline="0">
                    <a:effectLst/>
                  </a:rPr>
                  <a:t>第</a:t>
                </a:r>
                <a:r>
                  <a:rPr lang="en-US" altLang="zh-CN" sz="1000" b="1" i="0" u="none" strike="noStrike" baseline="0">
                    <a:effectLst/>
                  </a:rPr>
                  <a:t>10</a:t>
                </a:r>
                <a:r>
                  <a:rPr lang="zh-CN" sz="1000" b="1" i="0" u="none" strike="noStrike" baseline="0">
                    <a:effectLst/>
                  </a:rPr>
                  <a:t>年</a:t>
                </a:r>
                <a:r>
                  <a:rPr lang="zh-CN" altLang="zh-CN" sz="1000" b="1" i="0" u="none" strike="noStrike" baseline="0">
                    <a:effectLst/>
                  </a:rPr>
                  <a:t>时污染物浓度与距离关第变化图</a:t>
                </a:r>
                <a:r>
                  <a:rPr lang="en-US" altLang="zh-CN" sz="1000" b="1" i="0" u="none" strike="noStrike" baseline="0">
                    <a:effectLst/>
                  </a:rPr>
                  <a:t>  </a:t>
                </a:r>
                <a:r>
                  <a:rPr lang="zh-CN" altLang="zh-CN" sz="1000" b="1" i="0" u="none" strike="noStrike" baseline="0">
                    <a:effectLst/>
                  </a:rPr>
                  <a:t> </a:t>
                </a:r>
                <a:r>
                  <a:rPr lang="en-US" altLang="en-US" sz="1000" b="1" i="0" u="none" strike="noStrike" kern="1200" baseline="0">
                    <a:solidFill>
                      <a:sysClr val="windowText" lastClr="000000"/>
                    </a:solidFill>
                    <a:latin typeface="Times New Roman" panose="02020603050405020304" charset="0"/>
                    <a:ea typeface="宋体" panose="02010600030101010101" charset="-122"/>
                    <a:cs typeface="+mn-cs"/>
                  </a:rPr>
                  <a:t>X</a:t>
                </a:r>
                <a:r>
                  <a:rPr lang="zh-CN" altLang="en-US" sz="1000" b="1" i="0" u="none" strike="noStrike" kern="1200" baseline="0">
                    <a:solidFill>
                      <a:sysClr val="windowText" lastClr="000000"/>
                    </a:solidFill>
                    <a:latin typeface="Times New Roman" panose="02020603050405020304" charset="0"/>
                    <a:ea typeface="宋体" panose="02010600030101010101" charset="-122"/>
                    <a:cs typeface="+mn-cs"/>
                  </a:rPr>
                  <a:t>（</a:t>
                </a:r>
                <a:r>
                  <a:rPr lang="en-US" altLang="zh-CN" sz="1000" b="1" i="0" u="none" strike="noStrike" kern="1200" baseline="0">
                    <a:solidFill>
                      <a:sysClr val="windowText" lastClr="000000"/>
                    </a:solidFill>
                    <a:latin typeface="Times New Roman" panose="02020603050405020304" charset="0"/>
                    <a:ea typeface="宋体" panose="02010600030101010101" charset="-122"/>
                    <a:cs typeface="+mn-cs"/>
                  </a:rPr>
                  <a:t>m</a:t>
                </a:r>
                <a:r>
                  <a:rPr lang="zh-CN" altLang="en-US" sz="1000" b="1" i="0" u="none" strike="noStrike" kern="1200" baseline="0">
                    <a:solidFill>
                      <a:sysClr val="windowText" lastClr="000000"/>
                    </a:solidFill>
                    <a:latin typeface="Times New Roman" panose="02020603050405020304" charset="0"/>
                    <a:ea typeface="宋体" panose="02010600030101010101" charset="-122"/>
                    <a:cs typeface="+mn-cs"/>
                  </a:rPr>
                  <a:t>）</a:t>
                </a:r>
                <a:endParaRPr lang="en-US" altLang="en-US" sz="1000" b="1" i="0" u="none" strike="noStrike" kern="1200" baseline="0">
                  <a:solidFill>
                    <a:sysClr val="windowText" lastClr="000000"/>
                  </a:solidFill>
                  <a:latin typeface="Times New Roman" panose="02020603050405020304" charset="0"/>
                  <a:ea typeface="宋体" panose="02010600030101010101" charset="-122"/>
                  <a:cs typeface="+mn-cs"/>
                </a:endParaRPr>
              </a:p>
            </c:rich>
          </c:tx>
          <c:layout/>
          <c:overlay val="0"/>
        </c:title>
        <c:numFmt formatCode="General" sourceLinked="1"/>
        <c:majorTickMark val="out"/>
        <c:minorTickMark val="none"/>
        <c:tickLblPos val="nextTo"/>
        <c:txPr>
          <a:bodyPr rot="-60000000" spcFirstLastPara="0" vertOverflow="ellipsis" vert="horz" wrap="square" anchor="ctr" anchorCtr="1"/>
          <a:lstStyle/>
          <a:p>
            <a:pPr algn="ctr">
              <a:defRPr lang="zh-CN" altLang="en-US" sz="1000" b="0" i="0" u="none" strike="noStrike" kern="1200" baseline="0">
                <a:solidFill>
                  <a:sysClr val="windowText" lastClr="000000"/>
                </a:solidFill>
                <a:latin typeface="Times New Roman" panose="02020603050405020304" charset="0"/>
                <a:ea typeface="+mn-ea"/>
                <a:cs typeface="+mn-cs"/>
              </a:defRPr>
            </a:pPr>
          </a:p>
        </c:txPr>
        <c:crossAx val="369582848"/>
        <c:crosses val="autoZero"/>
        <c:crossBetween val="midCat"/>
      </c:valAx>
      <c:valAx>
        <c:axId val="369582848"/>
        <c:scaling>
          <c:orientation val="minMax"/>
          <c:min val="0"/>
        </c:scaling>
        <c:delete val="0"/>
        <c:axPos val="l"/>
        <c:majorGridlines/>
        <c:title>
          <c:tx>
            <c:rich>
              <a:bodyPr rot="-5400000" spcFirstLastPara="0" vertOverflow="ellipsis" vert="horz" wrap="square" anchor="ctr" anchorCtr="1"/>
              <a:lstStyle/>
              <a:p>
                <a:pPr algn="ctr" rtl="0">
                  <a:defRPr lang="zh-CN" altLang="zh-CN" sz="1000" b="1" i="0" u="none" strike="noStrike" kern="1200" baseline="0">
                    <a:solidFill>
                      <a:sysClr val="windowText" lastClr="000000"/>
                    </a:solidFill>
                    <a:latin typeface="Times New Roman" panose="02020603050405020304" charset="0"/>
                    <a:ea typeface="宋体" panose="02010600030101010101" charset="-122"/>
                    <a:cs typeface="+mn-cs"/>
                  </a:defRPr>
                </a:pPr>
                <a:r>
                  <a:rPr lang="zh-CN" altLang="zh-CN" sz="1000" b="1" i="0" u="none" strike="noStrike" kern="1200" baseline="0">
                    <a:solidFill>
                      <a:sysClr val="windowText" lastClr="000000"/>
                    </a:solidFill>
                    <a:latin typeface="Times New Roman" panose="02020603050405020304" charset="0"/>
                    <a:ea typeface="宋体" panose="02010600030101010101" charset="-122"/>
                    <a:cs typeface="+mn-cs"/>
                  </a:rPr>
                  <a:t>浓度（</a:t>
                </a:r>
                <a:r>
                  <a:rPr lang="en-US" altLang="zh-CN" sz="1000" b="1" i="0" u="none" strike="noStrike" kern="1200" baseline="0">
                    <a:solidFill>
                      <a:sysClr val="windowText" lastClr="000000"/>
                    </a:solidFill>
                    <a:latin typeface="Times New Roman" panose="02020603050405020304" charset="0"/>
                    <a:ea typeface="宋体" panose="02010600030101010101" charset="-122"/>
                    <a:cs typeface="+mn-cs"/>
                  </a:rPr>
                  <a:t>mg/L)</a:t>
                </a:r>
                <a:endParaRPr lang="zh-CN" altLang="zh-CN" sz="1000" b="1" i="0" u="none" strike="noStrike" kern="1200" baseline="0">
                  <a:solidFill>
                    <a:sysClr val="windowText" lastClr="000000"/>
                  </a:solidFill>
                  <a:latin typeface="Times New Roman" panose="02020603050405020304" charset="0"/>
                  <a:ea typeface="宋体" panose="02010600030101010101" charset="-122"/>
                  <a:cs typeface="+mn-cs"/>
                </a:endParaRPr>
              </a:p>
            </c:rich>
          </c:tx>
          <c:layout>
            <c:manualLayout>
              <c:xMode val="edge"/>
              <c:yMode val="edge"/>
              <c:x val="0.0146008441321539"/>
              <c:y val="0.364286320434487"/>
            </c:manualLayout>
          </c:layout>
          <c:overlay val="0"/>
        </c:title>
        <c:numFmt formatCode="General" sourceLinked="0"/>
        <c:majorTickMark val="out"/>
        <c:minorTickMark val="none"/>
        <c:tickLblPos val="nextTo"/>
        <c:txPr>
          <a:bodyPr rot="-60000000" spcFirstLastPara="0" vertOverflow="ellipsis" vert="horz" wrap="square" anchor="ctr" anchorCtr="1"/>
          <a:lstStyle/>
          <a:p>
            <a:pPr algn="ctr">
              <a:defRPr lang="zh-CN" altLang="en-US" sz="1000" b="0" i="0" u="none" strike="noStrike" kern="1200" baseline="0">
                <a:solidFill>
                  <a:sysClr val="windowText" lastClr="000000"/>
                </a:solidFill>
                <a:latin typeface="Times New Roman" panose="02020603050405020304" charset="0"/>
                <a:ea typeface="+mn-ea"/>
                <a:cs typeface="+mn-cs"/>
              </a:defRPr>
            </a:pPr>
          </a:p>
        </c:txPr>
        <c:crossAx val="369572480"/>
        <c:crosses val="autoZero"/>
        <c:crossBetween val="midCat"/>
      </c:valAx>
    </c:plotArea>
    <c:plotVisOnly val="1"/>
    <c:dispBlanksAs val="gap"/>
    <c:showDLblsOverMax val="0"/>
    <c:extLst>
      <c:ext uri="{0b15fc19-7d7d-44ad-8c2d-2c3a37ce22c3}">
        <chartProps xmlns="https://web.wps.cn/et/2018/main" chartId="{f13c54a4-25f5-40b3-9059-f74d4dcb0757}"/>
      </c:ext>
    </c:extLst>
  </c:chart>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b" anchorCtr="1"/>
          <a:lstStyle/>
          <a:p>
            <a:pPr algn="ctr" rtl="0">
              <a:defRPr lang="en-US" altLang="en-US" sz="1000" b="1" i="0" u="none" strike="noStrike" kern="1200" baseline="0">
                <a:solidFill>
                  <a:sysClr val="windowText" lastClr="000000"/>
                </a:solidFill>
                <a:latin typeface="Times New Roman" panose="02020603050405020304" charset="0"/>
                <a:ea typeface="宋体" panose="02010600030101010101" charset="-122"/>
                <a:cs typeface="+mn-cs"/>
              </a:defRPr>
            </a:pPr>
            <a:r>
              <a:rPr lang="zh-CN" altLang="en-US" sz="1000" b="1" i="0" u="none" strike="noStrike" kern="1200" baseline="0">
                <a:solidFill>
                  <a:sysClr val="windowText" lastClr="000000"/>
                </a:solidFill>
                <a:latin typeface="Times New Roman" panose="02020603050405020304" charset="0"/>
                <a:ea typeface="宋体" panose="02010600030101010101" charset="-122"/>
                <a:cs typeface="+mn-cs"/>
              </a:rPr>
              <a:t>第</a:t>
            </a:r>
            <a:r>
              <a:rPr lang="en-US" altLang="zh-CN" sz="1000" b="1" i="0" u="none" strike="noStrike" kern="1200" baseline="0">
                <a:solidFill>
                  <a:sysClr val="windowText" lastClr="000000"/>
                </a:solidFill>
                <a:latin typeface="Times New Roman" panose="02020603050405020304" charset="0"/>
                <a:ea typeface="宋体" panose="02010600030101010101" charset="-122"/>
                <a:cs typeface="+mn-cs"/>
              </a:rPr>
              <a:t>100</a:t>
            </a:r>
            <a:r>
              <a:rPr lang="zh-CN" altLang="en-US" sz="1000" b="1" i="0" u="none" strike="noStrike" kern="1200" baseline="0">
                <a:solidFill>
                  <a:sysClr val="windowText" lastClr="000000"/>
                </a:solidFill>
                <a:latin typeface="Times New Roman" panose="02020603050405020304" charset="0"/>
                <a:ea typeface="宋体" panose="02010600030101010101" charset="-122"/>
                <a:cs typeface="+mn-cs"/>
              </a:rPr>
              <a:t>天时污染物浓度与距离关第变化图      </a:t>
            </a:r>
            <a:r>
              <a:rPr lang="en-US" altLang="zh-CN" sz="1000" b="1" i="0" u="none" strike="noStrike" kern="1200" baseline="0">
                <a:solidFill>
                  <a:sysClr val="windowText" lastClr="000000"/>
                </a:solidFill>
                <a:latin typeface="Times New Roman" panose="02020603050405020304" charset="0"/>
                <a:ea typeface="宋体" panose="02010600030101010101" charset="-122"/>
                <a:cs typeface="+mn-cs"/>
              </a:rPr>
              <a:t>X</a:t>
            </a:r>
            <a:r>
              <a:rPr lang="zh-CN" altLang="en-US" sz="1000" b="1" i="0" u="none" strike="noStrike" kern="1200" baseline="0">
                <a:solidFill>
                  <a:sysClr val="windowText" lastClr="000000"/>
                </a:solidFill>
                <a:latin typeface="Times New Roman" panose="02020603050405020304" charset="0"/>
                <a:ea typeface="宋体" panose="02010600030101010101" charset="-122"/>
                <a:cs typeface="+mn-cs"/>
              </a:rPr>
              <a:t>（</a:t>
            </a:r>
            <a:r>
              <a:rPr lang="en-US" altLang="zh-CN" sz="1000" b="1" i="0" u="none" strike="noStrike" kern="1200" baseline="0">
                <a:solidFill>
                  <a:sysClr val="windowText" lastClr="000000"/>
                </a:solidFill>
                <a:latin typeface="Times New Roman" panose="02020603050405020304" charset="0"/>
                <a:ea typeface="宋体" panose="02010600030101010101" charset="-122"/>
                <a:cs typeface="+mn-cs"/>
              </a:rPr>
              <a:t>m</a:t>
            </a:r>
            <a:r>
              <a:rPr lang="zh-CN" altLang="en-US" sz="1000" b="1" i="0" u="none" strike="noStrike" kern="1200" baseline="0">
                <a:solidFill>
                  <a:sysClr val="windowText" lastClr="000000"/>
                </a:solidFill>
                <a:latin typeface="Times New Roman" panose="02020603050405020304" charset="0"/>
                <a:ea typeface="宋体" panose="02010600030101010101" charset="-122"/>
                <a:cs typeface="+mn-cs"/>
              </a:rPr>
              <a:t>）</a:t>
            </a:r>
            <a:endParaRPr lang="en-US" altLang="en-US" sz="1000" b="1" i="0" u="none" strike="noStrike" kern="1200" baseline="0">
              <a:solidFill>
                <a:sysClr val="windowText" lastClr="000000"/>
              </a:solidFill>
              <a:latin typeface="Times New Roman" panose="02020603050405020304" charset="0"/>
              <a:ea typeface="宋体" panose="02010600030101010101" charset="-122"/>
              <a:cs typeface="+mn-cs"/>
            </a:endParaRPr>
          </a:p>
        </c:rich>
      </c:tx>
      <c:layout>
        <c:manualLayout>
          <c:xMode val="edge"/>
          <c:yMode val="edge"/>
          <c:x val="0.196594427244582"/>
          <c:y val="0.885078770771967"/>
        </c:manualLayout>
      </c:layout>
      <c:overlay val="0"/>
    </c:title>
    <c:autoTitleDeleted val="0"/>
    <c:plotArea>
      <c:layout>
        <c:manualLayout>
          <c:layoutTarget val="inner"/>
          <c:xMode val="edge"/>
          <c:yMode val="edge"/>
          <c:x val="0.178296808791579"/>
          <c:y val="0.0854943444052941"/>
          <c:w val="0.775659537636796"/>
          <c:h val="0.684005886547419"/>
        </c:manualLayout>
      </c:layout>
      <c:scatterChart>
        <c:scatterStyle val="smoothMarker"/>
        <c:varyColors val="0"/>
        <c:ser>
          <c:idx val="0"/>
          <c:order val="0"/>
          <c:dLbls>
            <c:delete val="1"/>
          </c:dLbls>
          <c:xVal>
            <c:numRef>
              <c:f>'[地下水预测结果.xlsx]石油类-新'!$A$4:$A$34</c:f>
              <c:numCache>
                <c:formatCode>General</c:formatCode>
                <c:ptCount val="3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numCache>
            </c:numRef>
          </c:xVal>
          <c:yVal>
            <c:numRef>
              <c:f>'[地下水预测结果.xlsx]石油类-新'!$B$4:$B$34</c:f>
              <c:numCache>
                <c:formatCode>0.00E+00</c:formatCode>
                <c:ptCount val="31"/>
                <c:pt idx="0">
                  <c:v>100.005</c:v>
                </c:pt>
                <c:pt idx="1">
                  <c:v>82.505</c:v>
                </c:pt>
                <c:pt idx="2">
                  <c:v>64.505</c:v>
                </c:pt>
                <c:pt idx="3">
                  <c:v>47.505</c:v>
                </c:pt>
                <c:pt idx="4">
                  <c:v>32.905</c:v>
                </c:pt>
                <c:pt idx="5">
                  <c:v>21.405</c:v>
                </c:pt>
                <c:pt idx="6">
                  <c:v>13.005</c:v>
                </c:pt>
                <c:pt idx="7">
                  <c:v>7.355</c:v>
                </c:pt>
                <c:pt idx="8">
                  <c:v>3.885</c:v>
                </c:pt>
                <c:pt idx="9">
                  <c:v>1.915</c:v>
                </c:pt>
                <c:pt idx="10">
                  <c:v>0.876</c:v>
                </c:pt>
                <c:pt idx="11">
                  <c:v>0.374</c:v>
                </c:pt>
                <c:pt idx="12">
                  <c:v>0.15</c:v>
                </c:pt>
                <c:pt idx="13">
                  <c:v>0.0581</c:v>
                </c:pt>
                <c:pt idx="14">
                  <c:v>0.023</c:v>
                </c:pt>
                <c:pt idx="15">
                  <c:v>0.01064</c:v>
                </c:pt>
                <c:pt idx="16">
                  <c:v>0.00664</c:v>
                </c:pt>
                <c:pt idx="17">
                  <c:v>0.005441</c:v>
                </c:pt>
                <c:pt idx="18">
                  <c:v>0.00511</c:v>
                </c:pt>
                <c:pt idx="19">
                  <c:v>0.0050253</c:v>
                </c:pt>
                <c:pt idx="20">
                  <c:v>0.0050054</c:v>
                </c:pt>
                <c:pt idx="21">
                  <c:v>0.00500106</c:v>
                </c:pt>
                <c:pt idx="22">
                  <c:v>0.005000194</c:v>
                </c:pt>
                <c:pt idx="23">
                  <c:v>0.0050000328</c:v>
                </c:pt>
                <c:pt idx="24">
                  <c:v>0.00500000511</c:v>
                </c:pt>
                <c:pt idx="25">
                  <c:v>0.005000000763</c:v>
                </c:pt>
                <c:pt idx="26">
                  <c:v>0.005000000105</c:v>
                </c:pt>
                <c:pt idx="27">
                  <c:v>0.0050000000128</c:v>
                </c:pt>
                <c:pt idx="28">
                  <c:v>0.00500000000139</c:v>
                </c:pt>
                <c:pt idx="29">
                  <c:v>0.0050000000000777</c:v>
                </c:pt>
                <c:pt idx="30">
                  <c:v>0.00500000000000555</c:v>
                </c:pt>
              </c:numCache>
            </c:numRef>
          </c:yVal>
          <c:smooth val="1"/>
        </c:ser>
        <c:dLbls>
          <c:showLegendKey val="0"/>
          <c:showVal val="0"/>
          <c:showCatName val="0"/>
          <c:showSerName val="0"/>
          <c:showPercent val="0"/>
          <c:showBubbleSize val="0"/>
        </c:dLbls>
        <c:axId val="369128192"/>
        <c:axId val="369129728"/>
      </c:scatterChart>
      <c:valAx>
        <c:axId val="369128192"/>
        <c:scaling>
          <c:orientation val="minMax"/>
        </c:scaling>
        <c:delete val="0"/>
        <c:axPos val="b"/>
        <c:majorGridlines>
          <c:spPr>
            <a:ln w="9525" cap="flat" cmpd="sng" algn="ctr">
              <a:noFill/>
              <a:prstDash val="solid"/>
              <a:round/>
            </a:ln>
          </c:spPr>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mn-cs"/>
              </a:defRPr>
            </a:pPr>
          </a:p>
        </c:txPr>
        <c:crossAx val="369129728"/>
        <c:crosses val="autoZero"/>
        <c:crossBetween val="midCat"/>
      </c:valAx>
      <c:valAx>
        <c:axId val="369129728"/>
        <c:scaling>
          <c:orientation val="minMax"/>
          <c:min val="0"/>
        </c:scaling>
        <c:delete val="0"/>
        <c:axPos val="l"/>
        <c:majorGridlines/>
        <c:title>
          <c:tx>
            <c:rich>
              <a:bodyPr rot="-5400000" spcFirstLastPara="0" vertOverflow="ellipsis" vert="horz" wrap="square" anchor="ctr" anchorCtr="1"/>
              <a:lstStyle/>
              <a:p>
                <a:pPr algn="ctr" rtl="0">
                  <a:defRPr lang="zh-CN" altLang="zh-CN" sz="1000" b="1" i="0" u="none" strike="noStrike" kern="1200" baseline="0">
                    <a:solidFill>
                      <a:sysClr val="windowText" lastClr="000000"/>
                    </a:solidFill>
                    <a:latin typeface="Times New Roman" panose="02020603050405020304" charset="0"/>
                    <a:ea typeface="宋体" panose="02010600030101010101" charset="-122"/>
                    <a:cs typeface="+mn-cs"/>
                  </a:defRPr>
                </a:pPr>
                <a:r>
                  <a:rPr lang="zh-CN" altLang="zh-CN" sz="1000" b="1" i="0" u="none" strike="noStrike" kern="1200" baseline="0">
                    <a:solidFill>
                      <a:sysClr val="windowText" lastClr="000000"/>
                    </a:solidFill>
                    <a:latin typeface="Times New Roman" panose="02020603050405020304" charset="0"/>
                    <a:ea typeface="宋体" panose="02010600030101010101" charset="-122"/>
                    <a:cs typeface="+mn-cs"/>
                  </a:rPr>
                  <a:t>浓度（</a:t>
                </a:r>
                <a:r>
                  <a:rPr lang="en-US" altLang="zh-CN" sz="1000" b="1" i="0" u="none" strike="noStrike" kern="1200" baseline="0">
                    <a:solidFill>
                      <a:sysClr val="windowText" lastClr="000000"/>
                    </a:solidFill>
                    <a:latin typeface="Times New Roman" panose="02020603050405020304" charset="0"/>
                    <a:ea typeface="宋体" panose="02010600030101010101" charset="-122"/>
                    <a:cs typeface="+mn-cs"/>
                  </a:rPr>
                  <a:t>mg/L)</a:t>
                </a:r>
                <a:endParaRPr lang="zh-CN" altLang="zh-CN" sz="1000" b="1" i="0" u="none" strike="noStrike" kern="1200" baseline="0">
                  <a:solidFill>
                    <a:sysClr val="windowText" lastClr="000000"/>
                  </a:solidFill>
                  <a:latin typeface="Times New Roman" panose="02020603050405020304" charset="0"/>
                  <a:ea typeface="宋体" panose="02010600030101010101" charset="-122"/>
                  <a:cs typeface="+mn-cs"/>
                </a:endParaRPr>
              </a:p>
            </c:rich>
          </c:tx>
          <c:layout>
            <c:manualLayout>
              <c:xMode val="edge"/>
              <c:yMode val="edge"/>
              <c:x val="0.000711389548578361"/>
              <c:y val="0.288769359388898"/>
            </c:manualLayout>
          </c:layout>
          <c:overlay val="0"/>
        </c:title>
        <c:numFmt formatCode="General" sourceLinked="0"/>
        <c:majorTickMark val="out"/>
        <c:minorTickMark val="none"/>
        <c:tickLblPos val="nextTo"/>
        <c:txPr>
          <a:bodyPr rot="-60000000" spcFirstLastPara="0" vertOverflow="ellipsis" vert="horz" wrap="square" anchor="ctr" anchorCtr="1"/>
          <a:lstStyle/>
          <a:p>
            <a:pPr algn="ctr">
              <a:defRPr lang="zh-CN" altLang="en-US" sz="1000" b="0" i="0" u="none" strike="noStrike" kern="1200" baseline="0">
                <a:solidFill>
                  <a:sysClr val="windowText" lastClr="000000"/>
                </a:solidFill>
                <a:latin typeface="Times New Roman" panose="02020603050405020304" charset="0"/>
                <a:ea typeface="+mn-ea"/>
                <a:cs typeface="+mn-cs"/>
              </a:defRPr>
            </a:pPr>
          </a:p>
        </c:txPr>
        <c:crossAx val="369128192"/>
        <c:crosses val="autoZero"/>
        <c:crossBetween val="midCat"/>
      </c:valAx>
    </c:plotArea>
    <c:plotVisOnly val="1"/>
    <c:dispBlanksAs val="gap"/>
    <c:showDLblsOverMax val="0"/>
    <c:extLst>
      <c:ext uri="{0b15fc19-7d7d-44ad-8c2d-2c3a37ce22c3}">
        <chartProps xmlns="https://web.wps.cn/et/2018/main" chartId="{9e85c277-08b2-4282-925e-e39a671b1fb0}"/>
      </c:ext>
    </c:extLst>
  </c:chart>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dLbls>
            <c:delete val="1"/>
          </c:dLbls>
          <c:xVal>
            <c:numRef>
              <c:f>'[地下水预测结果.xlsx]石油类-新'!$C$4:$C$34</c:f>
              <c:numCache>
                <c:formatCode>General</c:formatCode>
                <c:ptCount val="3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numCache>
            </c:numRef>
          </c:xVal>
          <c:yVal>
            <c:numRef>
              <c:f>'[地下水预测结果.xlsx]石油类-新'!$D$4:$D$34</c:f>
              <c:numCache>
                <c:formatCode>0.00E+00</c:formatCode>
                <c:ptCount val="31"/>
                <c:pt idx="0">
                  <c:v>3.795</c:v>
                </c:pt>
                <c:pt idx="1">
                  <c:v>4.625</c:v>
                </c:pt>
                <c:pt idx="2">
                  <c:v>5.485</c:v>
                </c:pt>
                <c:pt idx="3">
                  <c:v>6.365</c:v>
                </c:pt>
                <c:pt idx="4">
                  <c:v>7.245</c:v>
                </c:pt>
                <c:pt idx="5">
                  <c:v>8.085</c:v>
                </c:pt>
                <c:pt idx="6">
                  <c:v>8.875</c:v>
                </c:pt>
                <c:pt idx="7">
                  <c:v>9.595</c:v>
                </c:pt>
                <c:pt idx="8">
                  <c:v>10.205</c:v>
                </c:pt>
                <c:pt idx="9">
                  <c:v>10.705</c:v>
                </c:pt>
                <c:pt idx="10">
                  <c:v>11.105</c:v>
                </c:pt>
                <c:pt idx="11">
                  <c:v>11.405</c:v>
                </c:pt>
                <c:pt idx="12">
                  <c:v>11.505</c:v>
                </c:pt>
                <c:pt idx="13">
                  <c:v>11.405</c:v>
                </c:pt>
                <c:pt idx="14">
                  <c:v>11.305</c:v>
                </c:pt>
                <c:pt idx="15">
                  <c:v>11.005</c:v>
                </c:pt>
                <c:pt idx="16">
                  <c:v>10.505</c:v>
                </c:pt>
                <c:pt idx="17">
                  <c:v>10.005</c:v>
                </c:pt>
                <c:pt idx="18">
                  <c:v>9.445</c:v>
                </c:pt>
                <c:pt idx="19">
                  <c:v>8.795</c:v>
                </c:pt>
                <c:pt idx="20">
                  <c:v>8.105</c:v>
                </c:pt>
                <c:pt idx="21">
                  <c:v>7.385</c:v>
                </c:pt>
                <c:pt idx="22">
                  <c:v>6.665</c:v>
                </c:pt>
                <c:pt idx="23">
                  <c:v>5.955</c:v>
                </c:pt>
                <c:pt idx="24">
                  <c:v>5.265</c:v>
                </c:pt>
                <c:pt idx="25">
                  <c:v>4.605</c:v>
                </c:pt>
                <c:pt idx="26">
                  <c:v>3.995</c:v>
                </c:pt>
                <c:pt idx="27">
                  <c:v>3.425</c:v>
                </c:pt>
                <c:pt idx="28">
                  <c:v>2.915</c:v>
                </c:pt>
                <c:pt idx="29">
                  <c:v>2.455</c:v>
                </c:pt>
                <c:pt idx="30">
                  <c:v>2.045</c:v>
                </c:pt>
              </c:numCache>
            </c:numRef>
          </c:yVal>
          <c:smooth val="1"/>
        </c:ser>
        <c:dLbls>
          <c:showLegendKey val="0"/>
          <c:showVal val="0"/>
          <c:showCatName val="0"/>
          <c:showSerName val="0"/>
          <c:showPercent val="0"/>
          <c:showBubbleSize val="0"/>
        </c:dLbls>
        <c:axId val="369572480"/>
        <c:axId val="369582848"/>
      </c:scatterChart>
      <c:valAx>
        <c:axId val="369572480"/>
        <c:scaling>
          <c:orientation val="minMax"/>
        </c:scaling>
        <c:delete val="0"/>
        <c:axPos val="b"/>
        <c:title>
          <c:tx>
            <c:rich>
              <a:bodyPr rot="0" spcFirstLastPara="0" vertOverflow="ellipsis" vert="horz" wrap="square" anchor="ctr" anchorCtr="1"/>
              <a:lstStyle/>
              <a:p>
                <a:pPr algn="ctr" rtl="0">
                  <a:defRPr lang="en-US" altLang="en-US" sz="1000" b="1" i="0" u="none" strike="noStrike" kern="1200" baseline="0">
                    <a:solidFill>
                      <a:sysClr val="windowText" lastClr="000000"/>
                    </a:solidFill>
                    <a:latin typeface="Times New Roman" panose="02020603050405020304" charset="0"/>
                    <a:ea typeface="宋体" panose="02010600030101010101" charset="-122"/>
                    <a:cs typeface="+mn-cs"/>
                  </a:defRPr>
                </a:pPr>
                <a:r>
                  <a:rPr lang="zh-CN" altLang="zh-CN" sz="1000" b="1" i="0" u="none" strike="noStrike" baseline="0">
                    <a:effectLst/>
                  </a:rPr>
                  <a:t>第</a:t>
                </a:r>
                <a:r>
                  <a:rPr lang="en-US" altLang="zh-CN" sz="1000" b="1" i="0" u="none" strike="noStrike" baseline="0">
                    <a:effectLst/>
                  </a:rPr>
                  <a:t>1000</a:t>
                </a:r>
                <a:r>
                  <a:rPr lang="zh-CN" altLang="zh-CN" sz="1000" b="1" i="0" u="none" strike="noStrike" baseline="0">
                    <a:effectLst/>
                  </a:rPr>
                  <a:t>天时污染物浓度与距离关第变化图</a:t>
                </a:r>
                <a:r>
                  <a:rPr lang="en-US" altLang="zh-CN" sz="1000" b="1" i="0" u="none" strike="noStrike" baseline="0">
                    <a:effectLst/>
                  </a:rPr>
                  <a:t>  </a:t>
                </a:r>
                <a:r>
                  <a:rPr lang="zh-CN" altLang="zh-CN" sz="1000" b="1" i="0" u="none" strike="noStrike" baseline="0">
                    <a:effectLst/>
                  </a:rPr>
                  <a:t> </a:t>
                </a:r>
                <a:r>
                  <a:rPr lang="en-US" altLang="en-US" sz="1000" b="1" i="0" u="none" strike="noStrike" kern="1200" baseline="0">
                    <a:solidFill>
                      <a:sysClr val="windowText" lastClr="000000"/>
                    </a:solidFill>
                    <a:latin typeface="Times New Roman" panose="02020603050405020304" charset="0"/>
                    <a:ea typeface="宋体" panose="02010600030101010101" charset="-122"/>
                    <a:cs typeface="+mn-cs"/>
                  </a:rPr>
                  <a:t>X</a:t>
                </a:r>
                <a:r>
                  <a:rPr lang="zh-CN" altLang="en-US" sz="1000" b="1" i="0" u="none" strike="noStrike" kern="1200" baseline="0">
                    <a:solidFill>
                      <a:sysClr val="windowText" lastClr="000000"/>
                    </a:solidFill>
                    <a:latin typeface="Times New Roman" panose="02020603050405020304" charset="0"/>
                    <a:ea typeface="宋体" panose="02010600030101010101" charset="-122"/>
                    <a:cs typeface="+mn-cs"/>
                  </a:rPr>
                  <a:t>（</a:t>
                </a:r>
                <a:r>
                  <a:rPr lang="en-US" altLang="zh-CN" sz="1000" b="1" i="0" u="none" strike="noStrike" kern="1200" baseline="0">
                    <a:solidFill>
                      <a:sysClr val="windowText" lastClr="000000"/>
                    </a:solidFill>
                    <a:latin typeface="Times New Roman" panose="02020603050405020304" charset="0"/>
                    <a:ea typeface="宋体" panose="02010600030101010101" charset="-122"/>
                    <a:cs typeface="+mn-cs"/>
                  </a:rPr>
                  <a:t>m</a:t>
                </a:r>
                <a:r>
                  <a:rPr lang="zh-CN" altLang="en-US" sz="1000" b="1" i="0" u="none" strike="noStrike" kern="1200" baseline="0">
                    <a:solidFill>
                      <a:sysClr val="windowText" lastClr="000000"/>
                    </a:solidFill>
                    <a:latin typeface="Times New Roman" panose="02020603050405020304" charset="0"/>
                    <a:ea typeface="宋体" panose="02010600030101010101" charset="-122"/>
                    <a:cs typeface="+mn-cs"/>
                  </a:rPr>
                  <a:t>）</a:t>
                </a:r>
                <a:endParaRPr lang="en-US" altLang="en-US" sz="1000" b="1" i="0" u="none" strike="noStrike" kern="1200" baseline="0">
                  <a:solidFill>
                    <a:sysClr val="windowText" lastClr="000000"/>
                  </a:solidFill>
                  <a:latin typeface="Times New Roman" panose="02020603050405020304" charset="0"/>
                  <a:ea typeface="宋体" panose="02010600030101010101" charset="-122"/>
                  <a:cs typeface="+mn-cs"/>
                </a:endParaRPr>
              </a:p>
            </c:rich>
          </c:tx>
          <c:layout/>
          <c:overlay val="0"/>
        </c:title>
        <c:numFmt formatCode="General" sourceLinked="1"/>
        <c:majorTickMark val="out"/>
        <c:minorTickMark val="none"/>
        <c:tickLblPos val="nextTo"/>
        <c:txPr>
          <a:bodyPr rot="-60000000" spcFirstLastPara="0" vertOverflow="ellipsis" vert="horz" wrap="square" anchor="ctr" anchorCtr="1"/>
          <a:lstStyle/>
          <a:p>
            <a:pPr algn="ctr">
              <a:defRPr lang="zh-CN" altLang="en-US" sz="1000" b="0" i="0" u="none" strike="noStrike" kern="1200" baseline="0">
                <a:solidFill>
                  <a:sysClr val="windowText" lastClr="000000"/>
                </a:solidFill>
                <a:latin typeface="Times New Roman" panose="02020603050405020304" charset="0"/>
                <a:ea typeface="+mn-ea"/>
                <a:cs typeface="+mn-cs"/>
              </a:defRPr>
            </a:pPr>
          </a:p>
        </c:txPr>
        <c:crossAx val="369582848"/>
        <c:crosses val="autoZero"/>
        <c:crossBetween val="midCat"/>
      </c:valAx>
      <c:valAx>
        <c:axId val="369582848"/>
        <c:scaling>
          <c:orientation val="minMax"/>
          <c:min val="0"/>
        </c:scaling>
        <c:delete val="0"/>
        <c:axPos val="l"/>
        <c:majorGridlines/>
        <c:title>
          <c:tx>
            <c:rich>
              <a:bodyPr rot="-5400000" spcFirstLastPara="0" vertOverflow="ellipsis" vert="horz" wrap="square" anchor="ctr" anchorCtr="1"/>
              <a:lstStyle/>
              <a:p>
                <a:pPr algn="ctr" rtl="0">
                  <a:defRPr lang="zh-CN" altLang="zh-CN" sz="1000" b="1" i="0" u="none" strike="noStrike" kern="1200" baseline="0">
                    <a:solidFill>
                      <a:sysClr val="windowText" lastClr="000000"/>
                    </a:solidFill>
                    <a:latin typeface="Times New Roman" panose="02020603050405020304" charset="0"/>
                    <a:ea typeface="宋体" panose="02010600030101010101" charset="-122"/>
                    <a:cs typeface="+mn-cs"/>
                  </a:defRPr>
                </a:pPr>
                <a:r>
                  <a:rPr lang="zh-CN" altLang="zh-CN" sz="1000" b="1" i="0" u="none" strike="noStrike" kern="1200" baseline="0">
                    <a:solidFill>
                      <a:sysClr val="windowText" lastClr="000000"/>
                    </a:solidFill>
                    <a:latin typeface="Times New Roman" panose="02020603050405020304" charset="0"/>
                    <a:ea typeface="宋体" panose="02010600030101010101" charset="-122"/>
                    <a:cs typeface="+mn-cs"/>
                  </a:rPr>
                  <a:t>浓度（</a:t>
                </a:r>
                <a:r>
                  <a:rPr lang="en-US" altLang="zh-CN" sz="1000" b="1" i="0" u="none" strike="noStrike" kern="1200" baseline="0">
                    <a:solidFill>
                      <a:sysClr val="windowText" lastClr="000000"/>
                    </a:solidFill>
                    <a:latin typeface="Times New Roman" panose="02020603050405020304" charset="0"/>
                    <a:ea typeface="宋体" panose="02010600030101010101" charset="-122"/>
                    <a:cs typeface="+mn-cs"/>
                  </a:rPr>
                  <a:t>mg/L)</a:t>
                </a:r>
                <a:endParaRPr lang="zh-CN" altLang="zh-CN" sz="1000" b="1" i="0" u="none" strike="noStrike" kern="1200" baseline="0">
                  <a:solidFill>
                    <a:sysClr val="windowText" lastClr="000000"/>
                  </a:solidFill>
                  <a:latin typeface="Times New Roman" panose="02020603050405020304" charset="0"/>
                  <a:ea typeface="宋体" panose="02010600030101010101" charset="-122"/>
                  <a:cs typeface="+mn-cs"/>
                </a:endParaRPr>
              </a:p>
            </c:rich>
          </c:tx>
          <c:layout>
            <c:manualLayout>
              <c:xMode val="edge"/>
              <c:yMode val="edge"/>
              <c:x val="0.0146008441321539"/>
              <c:y val="0.364286320434487"/>
            </c:manualLayout>
          </c:layout>
          <c:overlay val="0"/>
        </c:title>
        <c:numFmt formatCode="General" sourceLinked="0"/>
        <c:majorTickMark val="out"/>
        <c:minorTickMark val="none"/>
        <c:tickLblPos val="nextTo"/>
        <c:txPr>
          <a:bodyPr rot="-60000000" spcFirstLastPara="0" vertOverflow="ellipsis" vert="horz" wrap="square" anchor="ctr" anchorCtr="1"/>
          <a:lstStyle/>
          <a:p>
            <a:pPr algn="ctr">
              <a:defRPr lang="zh-CN" altLang="en-US" sz="1000" b="0" i="0" u="none" strike="noStrike" kern="1200" baseline="0">
                <a:solidFill>
                  <a:sysClr val="windowText" lastClr="000000"/>
                </a:solidFill>
                <a:latin typeface="Times New Roman" panose="02020603050405020304" charset="0"/>
                <a:ea typeface="+mn-ea"/>
                <a:cs typeface="+mn-cs"/>
              </a:defRPr>
            </a:pPr>
          </a:p>
        </c:txPr>
        <c:crossAx val="369572480"/>
        <c:crosses val="autoZero"/>
        <c:crossBetween val="midCat"/>
      </c:valAx>
    </c:plotArea>
    <c:plotVisOnly val="1"/>
    <c:dispBlanksAs val="gap"/>
    <c:showDLblsOverMax val="0"/>
    <c:extLst>
      <c:ext uri="{0b15fc19-7d7d-44ad-8c2d-2c3a37ce22c3}">
        <chartProps xmlns="https://web.wps.cn/et/2018/main" chartId="{836bef8b-b58b-4f94-84fe-ffd308775129}"/>
      </c:ext>
    </c:extLst>
  </c:chart>
  <c:txPr>
    <a:bodyPr/>
    <a:lstStyle/>
    <a:p>
      <a:pPr>
        <a:defRPr lang="zh-CN"/>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dLbls>
            <c:delete val="1"/>
          </c:dLbls>
          <c:xVal>
            <c:numRef>
              <c:f>'[地下水预测结果.xlsx]石油类-新'!$E$4:$E$34</c:f>
              <c:numCache>
                <c:formatCode>General</c:formatCode>
                <c:ptCount val="3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numCache>
            </c:numRef>
          </c:xVal>
          <c:yVal>
            <c:numRef>
              <c:f>'[地下水预测结果.xlsx]石油类-新'!$F$4:$F$34</c:f>
              <c:numCache>
                <c:formatCode>0.00E+00</c:formatCode>
                <c:ptCount val="31"/>
                <c:pt idx="0">
                  <c:v>0.928</c:v>
                </c:pt>
                <c:pt idx="1">
                  <c:v>1.025</c:v>
                </c:pt>
                <c:pt idx="2">
                  <c:v>1.125</c:v>
                </c:pt>
                <c:pt idx="3">
                  <c:v>1.235</c:v>
                </c:pt>
                <c:pt idx="4">
                  <c:v>1.345</c:v>
                </c:pt>
                <c:pt idx="5">
                  <c:v>1.465</c:v>
                </c:pt>
                <c:pt idx="6">
                  <c:v>1.595</c:v>
                </c:pt>
                <c:pt idx="7">
                  <c:v>1.725</c:v>
                </c:pt>
                <c:pt idx="8">
                  <c:v>1.855</c:v>
                </c:pt>
                <c:pt idx="9">
                  <c:v>1.995</c:v>
                </c:pt>
                <c:pt idx="10">
                  <c:v>2.135</c:v>
                </c:pt>
                <c:pt idx="11">
                  <c:v>2.285</c:v>
                </c:pt>
                <c:pt idx="12">
                  <c:v>2.435</c:v>
                </c:pt>
                <c:pt idx="13">
                  <c:v>2.585</c:v>
                </c:pt>
                <c:pt idx="14">
                  <c:v>2.745</c:v>
                </c:pt>
                <c:pt idx="15">
                  <c:v>2.895</c:v>
                </c:pt>
                <c:pt idx="16">
                  <c:v>3.055</c:v>
                </c:pt>
                <c:pt idx="17">
                  <c:v>3.205</c:v>
                </c:pt>
                <c:pt idx="18">
                  <c:v>3.365</c:v>
                </c:pt>
                <c:pt idx="19">
                  <c:v>3.515</c:v>
                </c:pt>
                <c:pt idx="20">
                  <c:v>3.655</c:v>
                </c:pt>
                <c:pt idx="21">
                  <c:v>3.805</c:v>
                </c:pt>
                <c:pt idx="22">
                  <c:v>3.945</c:v>
                </c:pt>
                <c:pt idx="23">
                  <c:v>4.075</c:v>
                </c:pt>
                <c:pt idx="24">
                  <c:v>4.205</c:v>
                </c:pt>
                <c:pt idx="25">
                  <c:v>4.315</c:v>
                </c:pt>
                <c:pt idx="26">
                  <c:v>4.425</c:v>
                </c:pt>
                <c:pt idx="27">
                  <c:v>4.525</c:v>
                </c:pt>
                <c:pt idx="28">
                  <c:v>4.625</c:v>
                </c:pt>
                <c:pt idx="29">
                  <c:v>4.705</c:v>
                </c:pt>
                <c:pt idx="30">
                  <c:v>4.775</c:v>
                </c:pt>
              </c:numCache>
            </c:numRef>
          </c:yVal>
          <c:smooth val="1"/>
        </c:ser>
        <c:dLbls>
          <c:showLegendKey val="0"/>
          <c:showVal val="0"/>
          <c:showCatName val="0"/>
          <c:showSerName val="0"/>
          <c:showPercent val="0"/>
          <c:showBubbleSize val="0"/>
        </c:dLbls>
        <c:axId val="369572480"/>
        <c:axId val="369582848"/>
      </c:scatterChart>
      <c:valAx>
        <c:axId val="369572480"/>
        <c:scaling>
          <c:orientation val="minMax"/>
        </c:scaling>
        <c:delete val="0"/>
        <c:axPos val="b"/>
        <c:title>
          <c:tx>
            <c:rich>
              <a:bodyPr rot="0" spcFirstLastPara="0" vertOverflow="ellipsis" vert="horz" wrap="square" anchor="ctr" anchorCtr="1"/>
              <a:lstStyle/>
              <a:p>
                <a:pPr algn="ctr" rtl="0">
                  <a:defRPr lang="en-US" altLang="en-US" sz="1000" b="1" i="0" u="none" strike="noStrike" kern="1200" baseline="0">
                    <a:solidFill>
                      <a:sysClr val="windowText" lastClr="000000"/>
                    </a:solidFill>
                    <a:latin typeface="Times New Roman" panose="02020603050405020304" charset="0"/>
                    <a:ea typeface="宋体" panose="02010600030101010101" charset="-122"/>
                    <a:cs typeface="+mn-cs"/>
                  </a:defRPr>
                </a:pPr>
                <a:r>
                  <a:rPr lang="zh-CN" altLang="zh-CN" sz="1000" b="1" i="0" u="none" strike="noStrike" baseline="0">
                    <a:effectLst/>
                  </a:rPr>
                  <a:t>第</a:t>
                </a:r>
                <a:r>
                  <a:rPr lang="en-US" altLang="zh-CN" sz="1000" b="1" i="0" u="none" strike="noStrike" baseline="0">
                    <a:effectLst/>
                  </a:rPr>
                  <a:t>10</a:t>
                </a:r>
                <a:r>
                  <a:rPr lang="zh-CN" sz="1000" b="1" i="0" u="none" strike="noStrike" baseline="0">
                    <a:effectLst/>
                  </a:rPr>
                  <a:t>年</a:t>
                </a:r>
                <a:r>
                  <a:rPr lang="zh-CN" altLang="zh-CN" sz="1000" b="1" i="0" u="none" strike="noStrike" baseline="0">
                    <a:effectLst/>
                  </a:rPr>
                  <a:t>时污染物浓度与距离关第变化图</a:t>
                </a:r>
                <a:r>
                  <a:rPr lang="en-US" altLang="zh-CN" sz="1000" b="1" i="0" u="none" strike="noStrike" baseline="0">
                    <a:effectLst/>
                  </a:rPr>
                  <a:t>  </a:t>
                </a:r>
                <a:r>
                  <a:rPr lang="zh-CN" altLang="zh-CN" sz="1000" b="1" i="0" u="none" strike="noStrike" baseline="0">
                    <a:effectLst/>
                  </a:rPr>
                  <a:t> </a:t>
                </a:r>
                <a:r>
                  <a:rPr lang="en-US" altLang="en-US" sz="1000" b="1" i="0" u="none" strike="noStrike" kern="1200" baseline="0">
                    <a:solidFill>
                      <a:sysClr val="windowText" lastClr="000000"/>
                    </a:solidFill>
                    <a:latin typeface="Times New Roman" panose="02020603050405020304" charset="0"/>
                    <a:ea typeface="宋体" panose="02010600030101010101" charset="-122"/>
                    <a:cs typeface="+mn-cs"/>
                  </a:rPr>
                  <a:t>X</a:t>
                </a:r>
                <a:r>
                  <a:rPr lang="zh-CN" altLang="en-US" sz="1000" b="1" i="0" u="none" strike="noStrike" kern="1200" baseline="0">
                    <a:solidFill>
                      <a:sysClr val="windowText" lastClr="000000"/>
                    </a:solidFill>
                    <a:latin typeface="Times New Roman" panose="02020603050405020304" charset="0"/>
                    <a:ea typeface="宋体" panose="02010600030101010101" charset="-122"/>
                    <a:cs typeface="+mn-cs"/>
                  </a:rPr>
                  <a:t>（</a:t>
                </a:r>
                <a:r>
                  <a:rPr lang="en-US" altLang="zh-CN" sz="1000" b="1" i="0" u="none" strike="noStrike" kern="1200" baseline="0">
                    <a:solidFill>
                      <a:sysClr val="windowText" lastClr="000000"/>
                    </a:solidFill>
                    <a:latin typeface="Times New Roman" panose="02020603050405020304" charset="0"/>
                    <a:ea typeface="宋体" panose="02010600030101010101" charset="-122"/>
                    <a:cs typeface="+mn-cs"/>
                  </a:rPr>
                  <a:t>m</a:t>
                </a:r>
                <a:r>
                  <a:rPr lang="zh-CN" altLang="en-US" sz="1000" b="1" i="0" u="none" strike="noStrike" kern="1200" baseline="0">
                    <a:solidFill>
                      <a:sysClr val="windowText" lastClr="000000"/>
                    </a:solidFill>
                    <a:latin typeface="Times New Roman" panose="02020603050405020304" charset="0"/>
                    <a:ea typeface="宋体" panose="02010600030101010101" charset="-122"/>
                    <a:cs typeface="+mn-cs"/>
                  </a:rPr>
                  <a:t>）</a:t>
                </a:r>
                <a:endParaRPr lang="en-US" altLang="en-US" sz="1000" b="1" i="0" u="none" strike="noStrike" kern="1200" baseline="0">
                  <a:solidFill>
                    <a:sysClr val="windowText" lastClr="000000"/>
                  </a:solidFill>
                  <a:latin typeface="Times New Roman" panose="02020603050405020304" charset="0"/>
                  <a:ea typeface="宋体" panose="02010600030101010101" charset="-122"/>
                  <a:cs typeface="+mn-cs"/>
                </a:endParaRPr>
              </a:p>
            </c:rich>
          </c:tx>
          <c:layout/>
          <c:overlay val="0"/>
        </c:title>
        <c:numFmt formatCode="General" sourceLinked="1"/>
        <c:majorTickMark val="out"/>
        <c:minorTickMark val="none"/>
        <c:tickLblPos val="nextTo"/>
        <c:txPr>
          <a:bodyPr rot="-60000000" spcFirstLastPara="0" vertOverflow="ellipsis" vert="horz" wrap="square" anchor="ctr" anchorCtr="1"/>
          <a:lstStyle/>
          <a:p>
            <a:pPr algn="ctr">
              <a:defRPr lang="zh-CN" altLang="en-US" sz="1000" b="0" i="0" u="none" strike="noStrike" kern="1200" baseline="0">
                <a:solidFill>
                  <a:sysClr val="windowText" lastClr="000000"/>
                </a:solidFill>
                <a:latin typeface="Times New Roman" panose="02020603050405020304" charset="0"/>
                <a:ea typeface="+mn-ea"/>
                <a:cs typeface="+mn-cs"/>
              </a:defRPr>
            </a:pPr>
          </a:p>
        </c:txPr>
        <c:crossAx val="369582848"/>
        <c:crosses val="autoZero"/>
        <c:crossBetween val="midCat"/>
      </c:valAx>
      <c:valAx>
        <c:axId val="369582848"/>
        <c:scaling>
          <c:orientation val="minMax"/>
          <c:min val="0"/>
        </c:scaling>
        <c:delete val="0"/>
        <c:axPos val="l"/>
        <c:majorGridlines/>
        <c:title>
          <c:tx>
            <c:rich>
              <a:bodyPr rot="-5400000" spcFirstLastPara="0" vertOverflow="ellipsis" vert="horz" wrap="square" anchor="ctr" anchorCtr="1"/>
              <a:lstStyle/>
              <a:p>
                <a:pPr algn="ctr" rtl="0">
                  <a:defRPr lang="zh-CN" altLang="zh-CN" sz="1000" b="1" i="0" u="none" strike="noStrike" kern="1200" baseline="0">
                    <a:solidFill>
                      <a:sysClr val="windowText" lastClr="000000"/>
                    </a:solidFill>
                    <a:latin typeface="Times New Roman" panose="02020603050405020304" charset="0"/>
                    <a:ea typeface="宋体" panose="02010600030101010101" charset="-122"/>
                    <a:cs typeface="+mn-cs"/>
                  </a:defRPr>
                </a:pPr>
                <a:r>
                  <a:rPr lang="zh-CN" altLang="zh-CN" sz="1000" b="1" i="0" u="none" strike="noStrike" kern="1200" baseline="0">
                    <a:solidFill>
                      <a:sysClr val="windowText" lastClr="000000"/>
                    </a:solidFill>
                    <a:latin typeface="Times New Roman" panose="02020603050405020304" charset="0"/>
                    <a:ea typeface="宋体" panose="02010600030101010101" charset="-122"/>
                    <a:cs typeface="+mn-cs"/>
                  </a:rPr>
                  <a:t>浓度（</a:t>
                </a:r>
                <a:r>
                  <a:rPr lang="en-US" altLang="zh-CN" sz="1000" b="1" i="0" u="none" strike="noStrike" kern="1200" baseline="0">
                    <a:solidFill>
                      <a:sysClr val="windowText" lastClr="000000"/>
                    </a:solidFill>
                    <a:latin typeface="Times New Roman" panose="02020603050405020304" charset="0"/>
                    <a:ea typeface="宋体" panose="02010600030101010101" charset="-122"/>
                    <a:cs typeface="+mn-cs"/>
                  </a:rPr>
                  <a:t>mg/L)</a:t>
                </a:r>
                <a:endParaRPr lang="zh-CN" altLang="zh-CN" sz="1000" b="1" i="0" u="none" strike="noStrike" kern="1200" baseline="0">
                  <a:solidFill>
                    <a:sysClr val="windowText" lastClr="000000"/>
                  </a:solidFill>
                  <a:latin typeface="Times New Roman" panose="02020603050405020304" charset="0"/>
                  <a:ea typeface="宋体" panose="02010600030101010101" charset="-122"/>
                  <a:cs typeface="+mn-cs"/>
                </a:endParaRPr>
              </a:p>
            </c:rich>
          </c:tx>
          <c:layout>
            <c:manualLayout>
              <c:xMode val="edge"/>
              <c:yMode val="edge"/>
              <c:x val="0.0146008441321539"/>
              <c:y val="0.364286320434487"/>
            </c:manualLayout>
          </c:layout>
          <c:overlay val="0"/>
        </c:title>
        <c:numFmt formatCode="General" sourceLinked="0"/>
        <c:majorTickMark val="out"/>
        <c:minorTickMark val="none"/>
        <c:tickLblPos val="nextTo"/>
        <c:txPr>
          <a:bodyPr rot="-60000000" spcFirstLastPara="0" vertOverflow="ellipsis" vert="horz" wrap="square" anchor="ctr" anchorCtr="1"/>
          <a:lstStyle/>
          <a:p>
            <a:pPr algn="ctr">
              <a:defRPr lang="zh-CN" altLang="en-US" sz="1000" b="0" i="0" u="none" strike="noStrike" kern="1200" baseline="0">
                <a:solidFill>
                  <a:sysClr val="windowText" lastClr="000000"/>
                </a:solidFill>
                <a:latin typeface="Times New Roman" panose="02020603050405020304" charset="0"/>
                <a:ea typeface="+mn-ea"/>
                <a:cs typeface="+mn-cs"/>
              </a:defRPr>
            </a:pPr>
          </a:p>
        </c:txPr>
        <c:crossAx val="369572480"/>
        <c:crosses val="autoZero"/>
        <c:crossBetween val="midCat"/>
      </c:valAx>
    </c:plotArea>
    <c:plotVisOnly val="1"/>
    <c:dispBlanksAs val="gap"/>
    <c:showDLblsOverMax val="0"/>
    <c:extLst>
      <c:ext uri="{0b15fc19-7d7d-44ad-8c2d-2c3a37ce22c3}">
        <chartProps xmlns="https://web.wps.cn/et/2018/main" chartId="{f13c54a4-25f5-40b3-9059-f74d4dcb0757}"/>
      </c:ext>
    </c:extLst>
  </c:chart>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F02E9D-6B30-42A2-A12D-341303B7C25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207</Pages>
  <Words>133485</Words>
  <Characters>155785</Characters>
  <Lines>1549</Lines>
  <Paragraphs>436</Paragraphs>
  <TotalTime>21</TotalTime>
  <ScaleCrop>false</ScaleCrop>
  <LinksUpToDate>false</LinksUpToDate>
  <CharactersWithSpaces>157444</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2023-05-23T07:13:00Z</dcterms:created>
  <dc:creator>swlong</dc:creator>
  <cp:lastModifiedBy>LW</cp:lastModifiedBy>
  <cp:lastPrinted>2024-12-26T06:02:00Z</cp:lastPrinted>
  <dcterms:modified xsi:type="dcterms:W3CDTF">2025-10-28T02:09:57Z</dcterms:modified>
  <cp:revision>168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D65C0D83FF0241F684E7377FA1E5908B_13</vt:lpwstr>
  </property>
  <property fmtid="{D5CDD505-2E9C-101B-9397-08002B2CF9AE}" pid="4" name="KSOTemplateDocerSaveRecord">
    <vt:lpwstr>eyJoZGlkIjoiMzgzZGE4M2U2MWFmYzYzODI0YTBiZTg5MDE3MzZhMGEiLCJ1c2VySWQiOiI1ODUyNzk1NzIifQ==</vt:lpwstr>
  </property>
</Properties>
</file>